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5BB5" w14:textId="77777777" w:rsidR="00455DC9" w:rsidRDefault="00455DC9" w:rsidP="00455DC9">
      <w:pPr>
        <w:tabs>
          <w:tab w:val="left" w:pos="426"/>
        </w:tabs>
        <w:spacing w:after="0" w:line="276" w:lineRule="auto"/>
        <w:ind w:left="284" w:hanging="284"/>
        <w:contextualSpacing/>
        <w:jc w:val="both"/>
      </w:pPr>
    </w:p>
    <w:p w14:paraId="10297FE8" w14:textId="77777777" w:rsidR="00455DC9" w:rsidRDefault="00455DC9" w:rsidP="0055101F">
      <w:pPr>
        <w:spacing w:after="0"/>
        <w:jc w:val="both"/>
        <w:rPr>
          <w:rFonts w:ascii="Arial" w:eastAsia="Calibri" w:hAnsi="Arial" w:cs="Arial"/>
          <w:b/>
        </w:rPr>
      </w:pPr>
      <w:r>
        <w:rPr>
          <w:rFonts w:ascii="Arial" w:eastAsia="Calibri" w:hAnsi="Arial" w:cs="Arial"/>
          <w:b/>
        </w:rPr>
        <w:t>DOCUMENTO</w:t>
      </w:r>
      <w:r w:rsidRPr="001D24BE">
        <w:rPr>
          <w:rFonts w:ascii="Arial" w:eastAsia="Calibri" w:hAnsi="Arial" w:cs="Arial"/>
          <w:b/>
        </w:rPr>
        <w:t xml:space="preserve"> TIPO – </w:t>
      </w:r>
      <w:r>
        <w:rPr>
          <w:rFonts w:ascii="Arial" w:eastAsia="Calibri" w:hAnsi="Arial" w:cs="Arial"/>
          <w:b/>
        </w:rPr>
        <w:t>Fundamentos jurídicos para su expedición</w:t>
      </w:r>
    </w:p>
    <w:p w14:paraId="231C9930" w14:textId="77777777" w:rsidR="00455DC9" w:rsidRDefault="00455DC9" w:rsidP="0055101F">
      <w:pPr>
        <w:spacing w:after="0"/>
        <w:jc w:val="both"/>
        <w:rPr>
          <w:rFonts w:ascii="Arial" w:eastAsia="Calibri" w:hAnsi="Arial" w:cs="Arial"/>
          <w:b/>
        </w:rPr>
      </w:pPr>
    </w:p>
    <w:p w14:paraId="6B231DDC" w14:textId="77777777" w:rsidR="0055101F" w:rsidRPr="0055101F" w:rsidRDefault="0055101F" w:rsidP="0055101F">
      <w:pPr>
        <w:shd w:val="clear" w:color="auto" w:fill="FFFFFF"/>
        <w:spacing w:after="0" w:line="240" w:lineRule="auto"/>
        <w:jc w:val="both"/>
        <w:rPr>
          <w:rFonts w:ascii="Arial" w:eastAsia="Times New Roman" w:hAnsi="Arial" w:cs="Arial"/>
          <w:color w:val="0D0D0D"/>
          <w:sz w:val="20"/>
          <w:szCs w:val="20"/>
          <w:bdr w:val="none" w:sz="0" w:space="0" w:color="auto" w:frame="1"/>
          <w:lang w:eastAsia="es-CO"/>
        </w:rPr>
      </w:pPr>
      <w:r w:rsidRPr="0055101F">
        <w:rPr>
          <w:rFonts w:ascii="Arial" w:eastAsia="Times New Roman" w:hAnsi="Arial" w:cs="Arial"/>
          <w:color w:val="0D0D0D"/>
          <w:sz w:val="20"/>
          <w:szCs w:val="20"/>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53C7376E" w14:textId="50FC62C0" w:rsidR="0055101F" w:rsidRPr="0055101F" w:rsidRDefault="0055101F" w:rsidP="0055101F">
      <w:pPr>
        <w:shd w:val="clear" w:color="auto" w:fill="FFFFFF"/>
        <w:spacing w:before="120" w:after="0" w:line="240" w:lineRule="auto"/>
        <w:jc w:val="both"/>
        <w:rPr>
          <w:rFonts w:ascii="Arial" w:eastAsia="Times New Roman" w:hAnsi="Arial" w:cs="Arial"/>
          <w:color w:val="0D0D0D"/>
          <w:sz w:val="20"/>
          <w:szCs w:val="20"/>
          <w:bdr w:val="none" w:sz="0" w:space="0" w:color="auto" w:frame="1"/>
          <w:lang w:eastAsia="es-CO"/>
        </w:rPr>
      </w:pPr>
      <w:r w:rsidRPr="0055101F">
        <w:rPr>
          <w:rFonts w:ascii="Arial" w:eastAsia="Times New Roman" w:hAnsi="Arial" w:cs="Arial"/>
          <w:color w:val="0D0D0D"/>
          <w:sz w:val="20"/>
          <w:szCs w:val="20"/>
          <w:bdr w:val="none" w:sz="0" w:space="0" w:color="auto" w:frame="1"/>
          <w:lang w:eastAsia="es-CO"/>
        </w:rPr>
        <w:t>[…]</w:t>
      </w:r>
    </w:p>
    <w:p w14:paraId="1CA65D3E" w14:textId="77777777" w:rsidR="0055101F" w:rsidRPr="0055101F" w:rsidRDefault="0055101F" w:rsidP="0055101F">
      <w:pPr>
        <w:shd w:val="clear" w:color="auto" w:fill="FFFFFF"/>
        <w:spacing w:before="120" w:after="0" w:line="240" w:lineRule="auto"/>
        <w:jc w:val="both"/>
        <w:rPr>
          <w:rFonts w:ascii="Arial" w:eastAsia="Times New Roman" w:hAnsi="Arial" w:cs="Arial"/>
          <w:color w:val="000000"/>
          <w:sz w:val="20"/>
          <w:szCs w:val="20"/>
          <w:lang w:eastAsia="es-CO"/>
        </w:rPr>
      </w:pPr>
      <w:r w:rsidRPr="0055101F">
        <w:rPr>
          <w:rFonts w:ascii="Arial" w:eastAsia="Times New Roman" w:hAnsi="Arial" w:cs="Arial"/>
          <w:color w:val="0D0D0D"/>
          <w:sz w:val="20"/>
          <w:szCs w:val="20"/>
          <w:bdr w:val="none" w:sz="0" w:space="0" w:color="auto" w:frame="1"/>
          <w:lang w:eastAsia="es-CO"/>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expide las Resoluciones No. 240 y 241 del 27 de noviembre 2020 a través de las cuales se adoptan los documentos tipo de licitación de obra pública – versión 3 y de selección abreviada de menor cuantía – versión 2 de infraestructura de transporte, lo cuales son obligatorios a partir del 1º de enero de 2021.  </w:t>
      </w:r>
    </w:p>
    <w:p w14:paraId="3A82997E" w14:textId="77777777" w:rsidR="00455DC9" w:rsidRDefault="00455DC9" w:rsidP="00455DC9">
      <w:pPr>
        <w:spacing w:after="0"/>
        <w:jc w:val="both"/>
        <w:rPr>
          <w:rFonts w:ascii="Arial" w:eastAsia="Calibri" w:hAnsi="Arial" w:cs="Arial"/>
          <w:b/>
        </w:rPr>
      </w:pPr>
    </w:p>
    <w:p w14:paraId="3F473D22" w14:textId="7F65922F" w:rsidR="00455DC9" w:rsidRPr="006C15D5" w:rsidRDefault="00455DC9" w:rsidP="00455DC9">
      <w:pPr>
        <w:spacing w:after="0"/>
        <w:jc w:val="both"/>
        <w:rPr>
          <w:rFonts w:ascii="Arial" w:eastAsia="Calibri" w:hAnsi="Arial" w:cs="Arial"/>
          <w:b/>
          <w:color w:val="000000" w:themeColor="text1"/>
        </w:rPr>
      </w:pPr>
      <w:r>
        <w:rPr>
          <w:rFonts w:ascii="Arial" w:eastAsia="Calibri" w:hAnsi="Arial" w:cs="Arial"/>
          <w:b/>
          <w:color w:val="000000" w:themeColor="text1"/>
        </w:rPr>
        <w:t>DOCUMENTO TIPO – Inalterabilidad –</w:t>
      </w:r>
      <w:r w:rsidR="0055101F">
        <w:rPr>
          <w:rFonts w:ascii="Arial" w:eastAsia="Calibri" w:hAnsi="Arial" w:cs="Arial"/>
          <w:b/>
          <w:color w:val="000000" w:themeColor="text1"/>
        </w:rPr>
        <w:t xml:space="preserve"> </w:t>
      </w:r>
      <w:r>
        <w:rPr>
          <w:rFonts w:ascii="Arial" w:eastAsia="Calibri" w:hAnsi="Arial" w:cs="Arial"/>
          <w:b/>
          <w:color w:val="000000" w:themeColor="text1"/>
        </w:rPr>
        <w:t>Licitación pública</w:t>
      </w:r>
      <w:r w:rsidR="0055101F">
        <w:rPr>
          <w:rFonts w:ascii="Arial" w:eastAsia="Calibri" w:hAnsi="Arial" w:cs="Arial"/>
          <w:b/>
          <w:color w:val="000000" w:themeColor="text1"/>
        </w:rPr>
        <w:t xml:space="preserve"> – Versión 3</w:t>
      </w:r>
    </w:p>
    <w:p w14:paraId="2B010A55" w14:textId="77777777" w:rsidR="00455DC9" w:rsidRPr="006C15D5" w:rsidRDefault="00455DC9" w:rsidP="00455DC9">
      <w:pPr>
        <w:spacing w:after="0"/>
        <w:jc w:val="both"/>
        <w:rPr>
          <w:rFonts w:ascii="Arial" w:eastAsia="Calibri" w:hAnsi="Arial" w:cs="Arial"/>
          <w:color w:val="000000" w:themeColor="text1"/>
          <w:sz w:val="20"/>
          <w:szCs w:val="20"/>
        </w:rPr>
      </w:pPr>
    </w:p>
    <w:p w14:paraId="6D1DBAC8" w14:textId="304A8F54" w:rsidR="0055101F" w:rsidRPr="0055101F" w:rsidRDefault="0055101F" w:rsidP="0055101F">
      <w:pPr>
        <w:shd w:val="clear" w:color="auto" w:fill="FFFFFF"/>
        <w:spacing w:after="0" w:line="240" w:lineRule="auto"/>
        <w:jc w:val="both"/>
        <w:textAlignment w:val="baseline"/>
        <w:rPr>
          <w:rFonts w:ascii="Arial" w:eastAsia="Times New Roman" w:hAnsi="Arial" w:cs="Arial"/>
          <w:b/>
          <w:bCs/>
          <w:color w:val="000000"/>
          <w:sz w:val="20"/>
          <w:szCs w:val="20"/>
          <w:lang w:eastAsia="es-CO"/>
        </w:rPr>
      </w:pPr>
      <w:r w:rsidRPr="0055101F">
        <w:rPr>
          <w:rFonts w:ascii="Arial" w:eastAsia="Calibri" w:hAnsi="Arial" w:cs="Arial"/>
          <w:bCs/>
          <w:sz w:val="20"/>
          <w:szCs w:val="20"/>
          <w:lang w:val="es-ES_tradnl"/>
        </w:rPr>
        <w:t xml:space="preserve">El artículo 2.2.1.2.6.1.4 del Decreto 1082 de 2015 establece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la Agencia, en ejercicio del mandato establecido en el artículo 1 de la Ley 2022 de 2020, como se dijo en el numeral anterior, son de obligatorio cumplimiento para las entidades sometidas al Estatuto General de Contratación de la Administración pública que adelanten procesos que deban regirse por su contenido y no pueden variarse los requisitos que en ellos sean fijados. </w:t>
      </w:r>
    </w:p>
    <w:p w14:paraId="28938EE8" w14:textId="77777777" w:rsidR="0055101F" w:rsidRPr="0055101F" w:rsidRDefault="0055101F" w:rsidP="0055101F">
      <w:pPr>
        <w:spacing w:before="120" w:after="0" w:line="240" w:lineRule="auto"/>
        <w:jc w:val="both"/>
        <w:rPr>
          <w:rFonts w:ascii="Arial" w:eastAsia="Calibri" w:hAnsi="Arial" w:cs="Arial"/>
          <w:bCs/>
          <w:sz w:val="20"/>
          <w:szCs w:val="20"/>
          <w:lang w:val="es-ES_tradnl"/>
        </w:rPr>
      </w:pPr>
      <w:r w:rsidRPr="0055101F">
        <w:rPr>
          <w:rFonts w:ascii="Arial" w:eastAsia="Calibri" w:hAnsi="Arial" w:cs="Arial"/>
          <w:bCs/>
          <w:sz w:val="20"/>
          <w:szCs w:val="20"/>
          <w:lang w:val="es-ES_tradnl"/>
        </w:rPr>
        <w:t xml:space="preserve">Esta prohibición la ratifica el artículo 3 de la Resolución No. 240 de 2020, por medio de las que se implementan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14:paraId="3D7201F3" w14:textId="77777777" w:rsidR="00455DC9" w:rsidRDefault="00455DC9" w:rsidP="00455DC9">
      <w:pPr>
        <w:spacing w:after="0"/>
        <w:jc w:val="both"/>
        <w:rPr>
          <w:rFonts w:ascii="Arial" w:eastAsia="Calibri" w:hAnsi="Arial" w:cs="Arial"/>
          <w:b/>
          <w:color w:val="000000" w:themeColor="text1"/>
          <w:sz w:val="20"/>
          <w:szCs w:val="20"/>
        </w:rPr>
      </w:pPr>
    </w:p>
    <w:p w14:paraId="59C18DEF" w14:textId="77777777" w:rsidR="00455DC9" w:rsidRDefault="00455DC9" w:rsidP="00455DC9">
      <w:pPr>
        <w:spacing w:after="0"/>
        <w:jc w:val="both"/>
        <w:rPr>
          <w:rFonts w:ascii="Arial" w:eastAsia="Calibri" w:hAnsi="Arial" w:cs="Arial"/>
          <w:b/>
        </w:rPr>
      </w:pPr>
      <w:r>
        <w:rPr>
          <w:rFonts w:ascii="Arial" w:eastAsia="Calibri" w:hAnsi="Arial" w:cs="Arial"/>
          <w:b/>
        </w:rPr>
        <w:t>DOCUMENTO</w:t>
      </w:r>
      <w:r w:rsidRPr="001D24BE">
        <w:rPr>
          <w:rFonts w:ascii="Arial" w:eastAsia="Calibri" w:hAnsi="Arial" w:cs="Arial"/>
          <w:b/>
        </w:rPr>
        <w:t xml:space="preserve"> TIPO – Inalterabilidad – Información en corchetes y resaltado gris</w:t>
      </w:r>
    </w:p>
    <w:p w14:paraId="716EEEAD" w14:textId="77777777" w:rsidR="00455DC9" w:rsidRDefault="00455DC9" w:rsidP="00455DC9">
      <w:pPr>
        <w:spacing w:after="0"/>
        <w:jc w:val="both"/>
        <w:rPr>
          <w:rFonts w:ascii="Arial" w:eastAsia="Calibri" w:hAnsi="Arial" w:cs="Arial"/>
          <w:b/>
        </w:rPr>
      </w:pPr>
    </w:p>
    <w:p w14:paraId="4BB69F05" w14:textId="37FF5251" w:rsidR="0055101F" w:rsidRPr="0055101F" w:rsidRDefault="0055101F" w:rsidP="0055101F">
      <w:pPr>
        <w:spacing w:after="0" w:line="240" w:lineRule="auto"/>
        <w:jc w:val="both"/>
        <w:rPr>
          <w:rFonts w:ascii="Arial" w:eastAsia="Times New Roman" w:hAnsi="Arial" w:cs="Arial"/>
          <w:bCs/>
          <w:color w:val="000000"/>
          <w:sz w:val="20"/>
          <w:szCs w:val="20"/>
          <w:lang w:eastAsia="es-CO"/>
        </w:rPr>
      </w:pPr>
      <w:r w:rsidRPr="0055101F">
        <w:rPr>
          <w:rFonts w:ascii="Arial" w:eastAsia="Calibri" w:hAnsi="Arial" w:cs="Arial"/>
          <w:bCs/>
          <w:sz w:val="20"/>
          <w:szCs w:val="20"/>
          <w:lang w:val="es-MX"/>
        </w:rPr>
        <w:t>Este principio de inalterabilidad también es aplicable a los formatos y anexos implementados junto con el «Documento Base», los cuales deben ser usados para desarrollar el procedimiento de contratación y que los proponentes acrediten los diferentes requisitos establecidos para participar en él. Estos, al igual que el «Documento Base», contienen apartes entre corchetes y resaltados en gris, los cuales debe diligenciar la entidad, al igual que otros aspectos relativos a información que debe ser completada por los oferentes al hacer uso del formato. En ese sentido, la «Matriz 1 – Experiencia» de los «</w:t>
      </w:r>
      <w:r w:rsidRPr="0055101F">
        <w:rPr>
          <w:rFonts w:ascii="Arial" w:eastAsia="Times New Roman" w:hAnsi="Arial" w:cs="Arial"/>
          <w:bCs/>
          <w:color w:val="000000"/>
          <w:sz w:val="20"/>
          <w:szCs w:val="20"/>
          <w:lang w:eastAsia="es-CO"/>
        </w:rPr>
        <w:t xml:space="preserve">Documentos Tipo – Versión 3» de licitación para obra pública de infraestructura de transporte, dispone que «[Las Entidades Estatales no podrán incluir, modificar, suprimir o alterar las </w:t>
      </w:r>
      <w:r w:rsidRPr="0055101F">
        <w:rPr>
          <w:rFonts w:ascii="Arial" w:eastAsia="Times New Roman" w:hAnsi="Arial" w:cs="Arial"/>
          <w:bCs/>
          <w:color w:val="000000"/>
          <w:sz w:val="20"/>
          <w:szCs w:val="20"/>
          <w:lang w:eastAsia="es-CO"/>
        </w:rPr>
        <w:lastRenderedPageBreak/>
        <w:t xml:space="preserve">condiciones de experiencia establecidas en esta Matriz, salvo cuando de forma expresa esta lo determine]». De esta forma, se tiene como ejemplo, entre otros, el aparte que dispone lo siguiente: «[La Entidad deberá establecer la variable "XX% "conforme a la relación entre longitudes y porcentajes señalada en la fila denominada "% DE DIMENSIONAMIENTO"]». </w:t>
      </w:r>
    </w:p>
    <w:p w14:paraId="5905BC8D" w14:textId="77777777" w:rsidR="0055101F" w:rsidRPr="00687878" w:rsidRDefault="0055101F" w:rsidP="0055101F">
      <w:pPr>
        <w:spacing w:after="0" w:line="276" w:lineRule="auto"/>
        <w:ind w:firstLine="709"/>
        <w:jc w:val="both"/>
        <w:rPr>
          <w:rFonts w:ascii="Arial" w:eastAsia="Calibri" w:hAnsi="Arial" w:cs="Arial"/>
          <w:bCs/>
          <w:lang w:val="es-MX"/>
        </w:rPr>
      </w:pPr>
    </w:p>
    <w:p w14:paraId="54224BF2" w14:textId="77777777" w:rsidR="00792508" w:rsidRPr="00E81E00" w:rsidRDefault="00792508" w:rsidP="0055101F">
      <w:pPr>
        <w:spacing w:after="0"/>
        <w:jc w:val="both"/>
        <w:rPr>
          <w:rFonts w:ascii="Arial" w:eastAsia="Calibri" w:hAnsi="Arial" w:cs="Arial"/>
          <w:b/>
        </w:rPr>
      </w:pPr>
      <w:r w:rsidRPr="00E81E00">
        <w:rPr>
          <w:rFonts w:ascii="Arial" w:eastAsia="Calibri" w:hAnsi="Arial" w:cs="Arial"/>
          <w:b/>
        </w:rPr>
        <w:t xml:space="preserve">DOCUMENTOS TIPO </w:t>
      </w:r>
      <w:r w:rsidRPr="00E81E00">
        <w:rPr>
          <w:rFonts w:ascii="Arial" w:eastAsia="Calibri" w:hAnsi="Arial" w:cs="Arial"/>
          <w:b/>
        </w:rPr>
        <w:softHyphen/>
        <w:t>– Infraestructura de transporte – Versión 3 – Matriz 1 Experiencia – Complejidad alta, media o baja – Cambio</w:t>
      </w:r>
    </w:p>
    <w:p w14:paraId="42C8599B" w14:textId="77777777" w:rsidR="00792508" w:rsidRPr="00E81E00" w:rsidRDefault="00792508" w:rsidP="00792508">
      <w:pPr>
        <w:spacing w:after="0"/>
        <w:jc w:val="both"/>
        <w:rPr>
          <w:rFonts w:ascii="Arial" w:eastAsia="Calibri" w:hAnsi="Arial" w:cs="Arial"/>
          <w:b/>
        </w:rPr>
      </w:pPr>
    </w:p>
    <w:p w14:paraId="106D5ED0" w14:textId="77777777" w:rsidR="0055101F" w:rsidRPr="0055101F" w:rsidRDefault="0055101F" w:rsidP="0055101F">
      <w:pPr>
        <w:spacing w:after="120" w:line="240" w:lineRule="auto"/>
        <w:ind w:right="51"/>
        <w:jc w:val="both"/>
        <w:rPr>
          <w:rFonts w:ascii="Arial" w:hAnsi="Arial" w:cs="Arial"/>
          <w:sz w:val="20"/>
          <w:szCs w:val="20"/>
        </w:rPr>
      </w:pPr>
      <w:r w:rsidRPr="0055101F">
        <w:rPr>
          <w:rFonts w:ascii="Arial" w:hAnsi="Arial" w:cs="Arial"/>
          <w:sz w:val="20"/>
          <w:szCs w:val="20"/>
        </w:rPr>
        <w:t xml:space="preserve">Como se indicó en el numeral 2.1 de este documento, la Agencia Nacional de Contratación Pública – Colombia Compra Eficiente expidió la Resolución No. 240 del 27 de noviembre de 2020, «Por la cual se actualizan los documentos tipo para los procesos de licitación de obra pública de infraestructura de transporte». En el documento base adoptado por esta resolución se creó el numeral «3.5.1 Determinación de los requisitos mínimos de experiencia según la Matriz 1 – Experiencia», en el cual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a partir de la actualización de los documentos tipo de licitación de obra pública de infraestructura de transporte – versión 3 se crean dos Matrices de experiencia: i) una para proyectos de complejidad técnica baja o media y </w:t>
      </w:r>
      <w:proofErr w:type="spellStart"/>
      <w:r w:rsidRPr="0055101F">
        <w:rPr>
          <w:rFonts w:ascii="Arial" w:hAnsi="Arial" w:cs="Arial"/>
          <w:sz w:val="20"/>
          <w:szCs w:val="20"/>
        </w:rPr>
        <w:t>ii</w:t>
      </w:r>
      <w:proofErr w:type="spellEnd"/>
      <w:r w:rsidRPr="0055101F">
        <w:rPr>
          <w:rFonts w:ascii="Arial" w:hAnsi="Arial" w:cs="Arial"/>
          <w:sz w:val="20"/>
          <w:szCs w:val="20"/>
        </w:rPr>
        <w:t xml:space="preserve">) otra para proyectos de complejidad técnica alta. </w:t>
      </w:r>
    </w:p>
    <w:p w14:paraId="63BC9162" w14:textId="2C3DDC61" w:rsidR="00792508" w:rsidRPr="0055101F" w:rsidRDefault="0055101F" w:rsidP="0055101F">
      <w:pPr>
        <w:spacing w:after="0" w:line="240" w:lineRule="auto"/>
        <w:jc w:val="both"/>
        <w:textAlignment w:val="baseline"/>
        <w:rPr>
          <w:rFonts w:ascii="Arial" w:hAnsi="Arial" w:cs="Arial"/>
          <w:sz w:val="20"/>
          <w:szCs w:val="20"/>
        </w:rPr>
      </w:pPr>
      <w:r w:rsidRPr="0055101F">
        <w:rPr>
          <w:rFonts w:ascii="Arial" w:hAnsi="Arial" w:cs="Arial"/>
          <w:sz w:val="20"/>
          <w:szCs w:val="20"/>
        </w:rPr>
        <w:t>Sin perjuicio de la implementación de este cambio, el método para determinar los requisitos de experiencia estandarizados a partir de la Matriz 1 sigue siendo el mismo que en las versiones anteriores, con la salvedad de que ahora, antes de proceder a acotar el requisito a exigirse, la entidad debe determinar y justificar si el proyecto es de media–baja o de alta complejidad técnica y, en función de ello, aplicar alguna de las matrices de experiencia. En ese orden, la entidad debe establecer si aplica la matriz 1 de proyectos de complejidad media-baja o la de proyectos de complejidad alta, para luego subsumir el objeto contractual en alguno de los tipos de obra y actividades incluidos en la misma, estableciendo los requisitos de experiencia exigibles según la cantidad de SMMLV del presupuesto oficial del respectivo proceso de contratación.</w:t>
      </w:r>
    </w:p>
    <w:p w14:paraId="0943EC10" w14:textId="77777777" w:rsidR="0055101F" w:rsidRDefault="0055101F" w:rsidP="0055101F">
      <w:pPr>
        <w:spacing w:after="0" w:line="276" w:lineRule="auto"/>
        <w:textAlignment w:val="baseline"/>
        <w:rPr>
          <w:rFonts w:ascii="Arial" w:hAnsi="Arial" w:cs="Arial"/>
          <w:lang w:val="es-MX" w:eastAsia="es-CO"/>
        </w:rPr>
      </w:pPr>
    </w:p>
    <w:p w14:paraId="7C3686DA" w14:textId="6E25203E" w:rsidR="002A6137" w:rsidRDefault="002A6137" w:rsidP="00792508">
      <w:pPr>
        <w:spacing w:after="0"/>
        <w:jc w:val="both"/>
        <w:rPr>
          <w:rFonts w:ascii="Arial" w:eastAsia="Calibri" w:hAnsi="Arial" w:cs="Arial"/>
          <w:b/>
          <w:color w:val="000000" w:themeColor="text1"/>
        </w:rPr>
      </w:pPr>
      <w:r w:rsidRPr="00174EB3">
        <w:rPr>
          <w:rFonts w:ascii="Arial" w:eastAsia="Calibri" w:hAnsi="Arial" w:cs="Arial"/>
          <w:b/>
          <w:color w:val="000000" w:themeColor="text1"/>
        </w:rPr>
        <w:t xml:space="preserve">DOCUMENTOS TIPO – Licitación – Versión </w:t>
      </w:r>
      <w:r>
        <w:rPr>
          <w:rFonts w:ascii="Arial" w:eastAsia="Calibri" w:hAnsi="Arial" w:cs="Arial"/>
          <w:b/>
          <w:color w:val="000000" w:themeColor="text1"/>
        </w:rPr>
        <w:t>3</w:t>
      </w:r>
      <w:r w:rsidRPr="00174EB3">
        <w:rPr>
          <w:rFonts w:ascii="Arial" w:eastAsia="Calibri" w:hAnsi="Arial" w:cs="Arial"/>
          <w:b/>
          <w:color w:val="000000" w:themeColor="text1"/>
        </w:rPr>
        <w:t xml:space="preserve"> – Combinación de experiencias – Matriz 1</w:t>
      </w:r>
    </w:p>
    <w:p w14:paraId="2152E209" w14:textId="77777777" w:rsidR="002A6137" w:rsidRDefault="002A6137" w:rsidP="002A6137">
      <w:pPr>
        <w:spacing w:after="0"/>
        <w:jc w:val="both"/>
        <w:rPr>
          <w:rFonts w:ascii="Arial" w:hAnsi="Arial" w:cs="Arial"/>
          <w:color w:val="000000" w:themeColor="text1"/>
          <w:lang w:val="es-ES"/>
        </w:rPr>
      </w:pPr>
    </w:p>
    <w:p w14:paraId="2D16EA4B" w14:textId="698ECC48" w:rsidR="0055101F" w:rsidRPr="0055101F" w:rsidRDefault="002A6137" w:rsidP="0055101F">
      <w:pPr>
        <w:spacing w:after="120" w:line="240" w:lineRule="auto"/>
        <w:jc w:val="both"/>
        <w:rPr>
          <w:rFonts w:ascii="Arial" w:eastAsia="Calibri" w:hAnsi="Arial" w:cs="Arial"/>
          <w:color w:val="000000"/>
          <w:sz w:val="20"/>
          <w:szCs w:val="20"/>
          <w:lang w:val="es-MX"/>
        </w:rPr>
      </w:pPr>
      <w:r w:rsidRPr="0055101F">
        <w:rPr>
          <w:rFonts w:ascii="Arial" w:eastAsia="Calibri" w:hAnsi="Arial" w:cs="Arial"/>
          <w:color w:val="000000" w:themeColor="text1"/>
          <w:sz w:val="20"/>
          <w:szCs w:val="20"/>
        </w:rPr>
        <w:t>[…]</w:t>
      </w:r>
      <w:r w:rsidR="0055101F" w:rsidRPr="0055101F">
        <w:rPr>
          <w:rFonts w:ascii="Arial" w:eastAsia="Calibri" w:hAnsi="Arial" w:cs="Arial"/>
          <w:color w:val="000000"/>
          <w:sz w:val="20"/>
          <w:szCs w:val="20"/>
          <w:lang w:val="es-MX"/>
        </w:rPr>
        <w:t>, en el acápite de «Reglas para definir la experiencia exigible en el proceso de contratación» de la «Matriz 1 – Experiencia», tanto de baja o mediana y alta complejidad de los documentos tipo actuales se establece la regla […]</w:t>
      </w:r>
    </w:p>
    <w:p w14:paraId="0EBFAEC5" w14:textId="263FCFE2" w:rsidR="0055101F" w:rsidRPr="0055101F" w:rsidRDefault="0055101F" w:rsidP="0055101F">
      <w:pPr>
        <w:spacing w:after="120" w:line="240" w:lineRule="auto"/>
        <w:ind w:right="709"/>
        <w:jc w:val="both"/>
        <w:rPr>
          <w:rFonts w:ascii="Arial" w:eastAsia="Calibri" w:hAnsi="Arial" w:cs="Arial"/>
          <w:color w:val="000000"/>
          <w:sz w:val="20"/>
          <w:szCs w:val="20"/>
          <w:lang w:val="es-MX"/>
        </w:rPr>
      </w:pPr>
      <w:r w:rsidRPr="0055101F">
        <w:rPr>
          <w:rFonts w:ascii="Arial" w:eastAsia="Calibri" w:hAnsi="Arial" w:cs="Arial"/>
          <w:color w:val="000000"/>
          <w:sz w:val="20"/>
          <w:szCs w:val="20"/>
          <w:lang w:val="es-MX"/>
        </w:rPr>
        <w:t>[…]</w:t>
      </w:r>
    </w:p>
    <w:p w14:paraId="63271ACF" w14:textId="6AA086A4" w:rsidR="0055101F" w:rsidRPr="0055101F" w:rsidRDefault="0055101F" w:rsidP="0055101F">
      <w:pPr>
        <w:spacing w:after="120" w:line="240" w:lineRule="auto"/>
        <w:jc w:val="both"/>
        <w:rPr>
          <w:rFonts w:ascii="Arial" w:eastAsia="Calibri" w:hAnsi="Arial" w:cs="Arial"/>
          <w:color w:val="000000"/>
          <w:sz w:val="20"/>
          <w:szCs w:val="20"/>
          <w:lang w:val="es-ES_tradnl"/>
        </w:rPr>
      </w:pPr>
      <w:r w:rsidRPr="0055101F">
        <w:rPr>
          <w:rFonts w:ascii="Arial" w:eastAsia="Calibri" w:hAnsi="Arial" w:cs="Arial"/>
          <w:color w:val="000000"/>
          <w:sz w:val="20"/>
          <w:szCs w:val="20"/>
          <w:lang w:val="es-MX"/>
        </w:rPr>
        <w:t>Como se advierte de lo anterior, en la versión 3 de los documentos tipo se reguló de forma pormenorizada y explicada suficientemente la forma en que procede exigir experiencias combinadas asociadas a diferentes actividades a contratar de la «Matriz 1 – Experiencia», tanto de baja o mediana y alta complejidad. En tal sentido, se prescribe que esta posibilidad se puede utilizar «</w:t>
      </w:r>
      <w:r w:rsidRPr="0055101F">
        <w:rPr>
          <w:rFonts w:ascii="Arial" w:eastAsia="Calibri" w:hAnsi="Arial" w:cs="Arial"/>
          <w:color w:val="000000"/>
          <w:sz w:val="20"/>
          <w:szCs w:val="20"/>
          <w:lang w:val="es-ES_tradnl"/>
        </w:rPr>
        <w:t xml:space="preserve">Cuando el objeto del proceso de contratación contemple la ejecución de dos o más “Actividades a Contratar” (ej.: 1.1 y 7.1)», supuesto en el cual se plantean las dos opciones relacionadas con: i) solicitar solo la experiencia asociada a la «actividad a contratar» de mayor relevancia en el contrato o </w:t>
      </w:r>
      <w:proofErr w:type="spellStart"/>
      <w:r w:rsidRPr="0055101F">
        <w:rPr>
          <w:rFonts w:ascii="Arial" w:eastAsia="Calibri" w:hAnsi="Arial" w:cs="Arial"/>
          <w:color w:val="000000"/>
          <w:sz w:val="20"/>
          <w:szCs w:val="20"/>
          <w:lang w:val="es-ES_tradnl"/>
        </w:rPr>
        <w:t>ii</w:t>
      </w:r>
      <w:proofErr w:type="spellEnd"/>
      <w:r w:rsidRPr="0055101F">
        <w:rPr>
          <w:rFonts w:ascii="Arial" w:eastAsia="Calibri" w:hAnsi="Arial" w:cs="Arial"/>
          <w:color w:val="000000"/>
          <w:sz w:val="20"/>
          <w:szCs w:val="20"/>
          <w:lang w:val="es-ES_tradnl"/>
        </w:rPr>
        <w:t xml:space="preserve">) combinar experiencias de las 2 </w:t>
      </w:r>
      <w:proofErr w:type="spellStart"/>
      <w:r w:rsidRPr="0055101F">
        <w:rPr>
          <w:rFonts w:ascii="Arial" w:eastAsia="Calibri" w:hAnsi="Arial" w:cs="Arial"/>
          <w:color w:val="000000"/>
          <w:sz w:val="20"/>
          <w:szCs w:val="20"/>
          <w:lang w:val="es-ES_tradnl"/>
        </w:rPr>
        <w:t>ó</w:t>
      </w:r>
      <w:proofErr w:type="spellEnd"/>
      <w:r w:rsidRPr="0055101F">
        <w:rPr>
          <w:rFonts w:ascii="Arial" w:eastAsia="Calibri" w:hAnsi="Arial" w:cs="Arial"/>
          <w:color w:val="000000"/>
          <w:sz w:val="20"/>
          <w:szCs w:val="20"/>
          <w:lang w:val="es-ES_tradnl"/>
        </w:rPr>
        <w:t xml:space="preserve"> más «actividades a contratar» que se van a ejecutar en desarrollo del contrato, de acuerdo con las reglas establecidas en el aparte citado previamente.</w:t>
      </w:r>
    </w:p>
    <w:p w14:paraId="15BDDB8D" w14:textId="6E3C4FB0" w:rsidR="002A6137" w:rsidRPr="00C33F16" w:rsidRDefault="002A6137" w:rsidP="0055101F">
      <w:pPr>
        <w:spacing w:after="120" w:line="240" w:lineRule="auto"/>
        <w:jc w:val="both"/>
        <w:rPr>
          <w:rFonts w:ascii="Arial" w:eastAsia="Calibri" w:hAnsi="Arial" w:cs="Arial"/>
          <w:color w:val="000000" w:themeColor="text1"/>
          <w:sz w:val="20"/>
          <w:szCs w:val="20"/>
        </w:rPr>
      </w:pPr>
    </w:p>
    <w:p w14:paraId="483A25AF" w14:textId="443560A0" w:rsidR="00601F06" w:rsidRDefault="00CE3AFC" w:rsidP="00CE3AFC">
      <w:pPr>
        <w:spacing w:after="0"/>
        <w:jc w:val="right"/>
        <w:rPr>
          <w:rFonts w:ascii="Arial" w:eastAsia="Calibri" w:hAnsi="Arial" w:cs="Arial"/>
          <w:color w:val="000000" w:themeColor="text1"/>
          <w:lang w:val="es-ES_tradnl"/>
        </w:rPr>
      </w:pPr>
      <w:r>
        <w:rPr>
          <w:noProof/>
        </w:rPr>
        <w:lastRenderedPageBreak/>
        <w:drawing>
          <wp:inline distT="0" distB="0" distL="0" distR="0" wp14:anchorId="4EC8A8CD" wp14:editId="66CAE035">
            <wp:extent cx="3051499"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7875" t="34715" r="13781" b="50493"/>
                    <a:stretch/>
                  </pic:blipFill>
                  <pic:spPr bwMode="auto">
                    <a:xfrm>
                      <a:off x="0" y="0"/>
                      <a:ext cx="3054730" cy="896298"/>
                    </a:xfrm>
                    <a:prstGeom prst="rect">
                      <a:avLst/>
                    </a:prstGeom>
                    <a:ln>
                      <a:noFill/>
                    </a:ln>
                    <a:extLst>
                      <a:ext uri="{53640926-AAD7-44D8-BBD7-CCE9431645EC}">
                        <a14:shadowObscured xmlns:a14="http://schemas.microsoft.com/office/drawing/2010/main"/>
                      </a:ext>
                    </a:extLst>
                  </pic:spPr>
                </pic:pic>
              </a:graphicData>
            </a:graphic>
          </wp:inline>
        </w:drawing>
      </w:r>
    </w:p>
    <w:p w14:paraId="2877BAB5" w14:textId="2F48F8A3" w:rsidR="00CE3AFC" w:rsidRPr="00747F4B" w:rsidRDefault="00747F4B" w:rsidP="00455DC9">
      <w:pPr>
        <w:spacing w:after="0"/>
        <w:jc w:val="both"/>
        <w:rPr>
          <w:rFonts w:ascii="Arial" w:eastAsia="Calibri" w:hAnsi="Arial" w:cs="Arial"/>
          <w:color w:val="000000" w:themeColor="text1"/>
          <w:lang w:val="es-ES_tradnl"/>
        </w:rPr>
      </w:pPr>
      <w:bookmarkStart w:id="0" w:name="_Hlk73599102"/>
      <w:r w:rsidRPr="00747F4B">
        <w:rPr>
          <w:rFonts w:ascii="Arial" w:hAnsi="Arial" w:cs="Arial"/>
        </w:rPr>
        <w:t>Bogotá, 03 Junio 2021</w:t>
      </w:r>
    </w:p>
    <w:p w14:paraId="5365EC44" w14:textId="77777777" w:rsidR="00CE3AFC" w:rsidRDefault="00CE3AFC" w:rsidP="00455DC9">
      <w:pPr>
        <w:spacing w:after="0"/>
        <w:jc w:val="both"/>
        <w:rPr>
          <w:rFonts w:ascii="Arial" w:eastAsia="Calibri" w:hAnsi="Arial" w:cs="Arial"/>
          <w:color w:val="000000" w:themeColor="text1"/>
          <w:lang w:val="es-ES_tradnl"/>
        </w:rPr>
      </w:pPr>
    </w:p>
    <w:p w14:paraId="68192B90" w14:textId="14426D40" w:rsidR="00455DC9" w:rsidRPr="00455DC9" w:rsidRDefault="00455DC9" w:rsidP="00455DC9">
      <w:pPr>
        <w:spacing w:after="0"/>
        <w:jc w:val="both"/>
        <w:rPr>
          <w:rFonts w:ascii="Arial" w:eastAsia="Calibri" w:hAnsi="Arial" w:cs="Arial"/>
          <w:color w:val="000000" w:themeColor="text1"/>
          <w:lang w:val="es-ES_tradnl"/>
        </w:rPr>
      </w:pPr>
      <w:r w:rsidRPr="00455DC9">
        <w:rPr>
          <w:rFonts w:ascii="Arial" w:eastAsia="Calibri" w:hAnsi="Arial" w:cs="Arial"/>
          <w:color w:val="000000" w:themeColor="text1"/>
          <w:lang w:val="es-ES_tradnl"/>
        </w:rPr>
        <w:t>Señora</w:t>
      </w:r>
    </w:p>
    <w:p w14:paraId="48DEF007" w14:textId="0E3E8472" w:rsidR="00455DC9" w:rsidRPr="00BF1842" w:rsidRDefault="00455DC9" w:rsidP="00455DC9">
      <w:pPr>
        <w:spacing w:after="0"/>
        <w:jc w:val="both"/>
        <w:rPr>
          <w:rFonts w:ascii="Arial" w:hAnsi="Arial" w:cs="Arial"/>
          <w:b/>
          <w:bCs/>
        </w:rPr>
      </w:pPr>
      <w:r w:rsidRPr="00BF1842">
        <w:rPr>
          <w:rFonts w:ascii="Arial" w:hAnsi="Arial" w:cs="Arial"/>
          <w:b/>
          <w:bCs/>
        </w:rPr>
        <w:t>Diana Patricia L</w:t>
      </w:r>
      <w:r w:rsidR="00BF1842" w:rsidRPr="00BF1842">
        <w:rPr>
          <w:rFonts w:ascii="Arial" w:hAnsi="Arial" w:cs="Arial"/>
          <w:b/>
          <w:bCs/>
        </w:rPr>
        <w:t>ó</w:t>
      </w:r>
      <w:r w:rsidRPr="00BF1842">
        <w:rPr>
          <w:rFonts w:ascii="Arial" w:hAnsi="Arial" w:cs="Arial"/>
          <w:b/>
          <w:bCs/>
        </w:rPr>
        <w:t>pez Leal</w:t>
      </w:r>
    </w:p>
    <w:p w14:paraId="278D61E6" w14:textId="6FF42ED0" w:rsidR="00455DC9" w:rsidRPr="00455DC9" w:rsidRDefault="00455DC9" w:rsidP="00455DC9">
      <w:pPr>
        <w:spacing w:after="0"/>
        <w:jc w:val="both"/>
        <w:rPr>
          <w:rFonts w:ascii="Arial" w:eastAsia="Calibri" w:hAnsi="Arial" w:cs="Arial"/>
          <w:color w:val="000000" w:themeColor="text1"/>
          <w:lang w:val="es-ES_tradnl"/>
        </w:rPr>
      </w:pPr>
      <w:r w:rsidRPr="00455DC9">
        <w:rPr>
          <w:rFonts w:ascii="Arial" w:hAnsi="Arial" w:cs="Arial"/>
        </w:rPr>
        <w:t>Medellín, Antioquia</w:t>
      </w:r>
    </w:p>
    <w:p w14:paraId="3CA232E9" w14:textId="07536920" w:rsidR="00BF1842" w:rsidRDefault="00BF1842" w:rsidP="00BF1842">
      <w:pPr>
        <w:spacing w:after="0"/>
        <w:rPr>
          <w:rFonts w:ascii="Arial" w:eastAsia="Calibri" w:hAnsi="Arial" w:cs="Arial"/>
          <w:b/>
          <w:bCs/>
          <w:color w:val="000000" w:themeColor="text1"/>
          <w:lang w:val="es-ES_tradnl"/>
        </w:rPr>
      </w:pPr>
    </w:p>
    <w:p w14:paraId="25F49CE9" w14:textId="77777777" w:rsidR="00601F06" w:rsidRDefault="00601F06" w:rsidP="00BF1842">
      <w:pPr>
        <w:spacing w:after="0"/>
        <w:rPr>
          <w:rFonts w:ascii="Arial" w:eastAsia="Calibri" w:hAnsi="Arial" w:cs="Arial"/>
          <w:b/>
          <w:bCs/>
          <w:color w:val="000000" w:themeColor="text1"/>
          <w:lang w:val="es-ES_tradnl"/>
        </w:rPr>
      </w:pPr>
    </w:p>
    <w:p w14:paraId="6043DFB7" w14:textId="712A06CF" w:rsidR="00455DC9" w:rsidRPr="00C440B6" w:rsidRDefault="00455DC9" w:rsidP="00BF1842">
      <w:pPr>
        <w:spacing w:after="0"/>
        <w:rPr>
          <w:rFonts w:ascii="Arial" w:eastAsia="Calibri" w:hAnsi="Arial" w:cs="Arial"/>
          <w:b/>
          <w:bCs/>
          <w:color w:val="000000" w:themeColor="text1"/>
          <w:lang w:val="es-ES_tradnl"/>
        </w:rPr>
      </w:pPr>
      <w:r>
        <w:rPr>
          <w:rFonts w:ascii="Arial" w:eastAsia="Calibri" w:hAnsi="Arial" w:cs="Arial"/>
          <w:b/>
          <w:bCs/>
          <w:color w:val="000000" w:themeColor="text1"/>
          <w:lang w:val="es-ES_tradnl"/>
        </w:rPr>
        <w:t xml:space="preserve">                                            </w:t>
      </w:r>
      <w:r w:rsidRPr="00C440B6">
        <w:rPr>
          <w:rFonts w:ascii="Arial" w:eastAsia="Calibri" w:hAnsi="Arial" w:cs="Arial"/>
          <w:b/>
          <w:bCs/>
          <w:color w:val="000000" w:themeColor="text1"/>
          <w:lang w:val="es-ES_tradnl"/>
        </w:rPr>
        <w:t xml:space="preserve">Concepto C ‒ </w:t>
      </w:r>
      <w:r w:rsidR="00BF1842">
        <w:rPr>
          <w:rFonts w:ascii="Arial" w:eastAsia="Calibri" w:hAnsi="Arial" w:cs="Arial"/>
          <w:b/>
          <w:bCs/>
          <w:color w:val="000000" w:themeColor="text1"/>
          <w:lang w:val="es-ES_tradnl"/>
        </w:rPr>
        <w:t xml:space="preserve">268 </w:t>
      </w:r>
      <w:r w:rsidRPr="00C440B6">
        <w:rPr>
          <w:rFonts w:ascii="Arial" w:eastAsia="Calibri" w:hAnsi="Arial" w:cs="Arial"/>
          <w:b/>
          <w:bCs/>
          <w:color w:val="000000" w:themeColor="text1"/>
          <w:lang w:val="es-ES_tradnl"/>
        </w:rPr>
        <w:t>de 2021</w:t>
      </w:r>
    </w:p>
    <w:p w14:paraId="26EA6725" w14:textId="77777777" w:rsidR="00455DC9" w:rsidRPr="00C440B6" w:rsidRDefault="00455DC9" w:rsidP="00BF1842">
      <w:pPr>
        <w:spacing w:after="0"/>
        <w:jc w:val="both"/>
        <w:rPr>
          <w:rFonts w:ascii="Arial" w:eastAsia="Calibri" w:hAnsi="Arial" w:cs="Arial"/>
          <w:color w:val="000000" w:themeColor="text1"/>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55DC9" w:rsidRPr="00C440B6" w14:paraId="7A68FD80" w14:textId="77777777" w:rsidTr="005F47AD">
        <w:tc>
          <w:tcPr>
            <w:tcW w:w="2689" w:type="dxa"/>
          </w:tcPr>
          <w:p w14:paraId="0983ACFE" w14:textId="77777777" w:rsidR="00455DC9" w:rsidRPr="00C440B6" w:rsidRDefault="00455DC9" w:rsidP="00BF1842">
            <w:pPr>
              <w:jc w:val="both"/>
              <w:rPr>
                <w:rFonts w:ascii="Arial" w:eastAsia="Calibri" w:hAnsi="Arial" w:cs="Arial"/>
                <w:color w:val="000000" w:themeColor="text1"/>
                <w:lang w:val="es-ES_tradnl"/>
              </w:rPr>
            </w:pPr>
            <w:r w:rsidRPr="00C440B6">
              <w:rPr>
                <w:rFonts w:ascii="Arial" w:eastAsia="Calibri" w:hAnsi="Arial" w:cs="Arial"/>
                <w:b/>
                <w:color w:val="000000" w:themeColor="text1"/>
                <w:lang w:val="es-ES_tradnl"/>
              </w:rPr>
              <w:t>Temas:</w:t>
            </w:r>
            <w:r w:rsidRPr="00C440B6">
              <w:rPr>
                <w:rFonts w:ascii="Arial" w:eastAsia="Calibri" w:hAnsi="Arial" w:cs="Arial"/>
                <w:color w:val="000000" w:themeColor="text1"/>
                <w:lang w:val="es-ES_tradnl"/>
              </w:rPr>
              <w:t xml:space="preserve">                                      </w:t>
            </w:r>
          </w:p>
        </w:tc>
        <w:tc>
          <w:tcPr>
            <w:tcW w:w="6237" w:type="dxa"/>
          </w:tcPr>
          <w:p w14:paraId="047AC0E2" w14:textId="77777777" w:rsidR="00B426CA" w:rsidRPr="00CE28A2" w:rsidRDefault="00B426CA" w:rsidP="00B426CA">
            <w:pPr>
              <w:jc w:val="both"/>
              <w:rPr>
                <w:rFonts w:ascii="Arial" w:eastAsia="Calibri" w:hAnsi="Arial" w:cs="Arial"/>
                <w:bCs/>
                <w:color w:val="000000" w:themeColor="text1"/>
              </w:rPr>
            </w:pPr>
            <w:r w:rsidRPr="00CE28A2">
              <w:rPr>
                <w:rFonts w:ascii="Arial" w:eastAsia="Calibri" w:hAnsi="Arial" w:cs="Arial"/>
                <w:bCs/>
              </w:rPr>
              <w:t xml:space="preserve">DOCUMENTO TIPO – Fundamentos jurídicos para su expedición / </w:t>
            </w:r>
            <w:r w:rsidRPr="00CE28A2">
              <w:rPr>
                <w:rFonts w:ascii="Arial" w:eastAsia="Calibri" w:hAnsi="Arial" w:cs="Arial"/>
                <w:bCs/>
                <w:color w:val="000000" w:themeColor="text1"/>
              </w:rPr>
              <w:t xml:space="preserve">DOCUMENTO TIPO – Inalterabilidad – Vinculatoriedad - Licitación pública / </w:t>
            </w:r>
            <w:r w:rsidRPr="00CE28A2">
              <w:rPr>
                <w:rFonts w:ascii="Arial" w:eastAsia="Calibri" w:hAnsi="Arial" w:cs="Arial"/>
                <w:bCs/>
              </w:rPr>
              <w:t xml:space="preserve">DOCUMENTO TIPO – Inalterabilidad – Información en corchetes y resaltado gris / DOCUMENTOS TIPO </w:t>
            </w:r>
            <w:r w:rsidRPr="00CE28A2">
              <w:rPr>
                <w:rFonts w:ascii="Arial" w:eastAsia="Calibri" w:hAnsi="Arial" w:cs="Arial"/>
                <w:bCs/>
              </w:rPr>
              <w:softHyphen/>
              <w:t xml:space="preserve">– Infraestructura de transporte – Versión 3 – Matriz 1 Experiencia – Complejidad alta, media o baja – Cambio / </w:t>
            </w:r>
            <w:r w:rsidRPr="00CE28A2">
              <w:rPr>
                <w:rFonts w:ascii="Arial" w:eastAsia="Calibri" w:hAnsi="Arial" w:cs="Arial"/>
                <w:bCs/>
                <w:color w:val="000000" w:themeColor="text1"/>
              </w:rPr>
              <w:t>DOCUMENTOS TIPO – Licitación – Versión 3 – Combinación de experiencias – Matriz 1</w:t>
            </w:r>
          </w:p>
          <w:p w14:paraId="09436AE8" w14:textId="77777777" w:rsidR="00455DC9" w:rsidRPr="00C440B6" w:rsidRDefault="00455DC9" w:rsidP="00B426CA">
            <w:pPr>
              <w:spacing w:line="276" w:lineRule="auto"/>
              <w:jc w:val="both"/>
              <w:rPr>
                <w:rFonts w:ascii="Arial" w:eastAsia="Calibri" w:hAnsi="Arial" w:cs="Arial"/>
                <w:color w:val="000000" w:themeColor="text1"/>
                <w:lang w:val="es-ES_tradnl"/>
              </w:rPr>
            </w:pPr>
          </w:p>
        </w:tc>
      </w:tr>
      <w:tr w:rsidR="00455DC9" w:rsidRPr="00C440B6" w14:paraId="55275687" w14:textId="77777777" w:rsidTr="005F47AD">
        <w:tc>
          <w:tcPr>
            <w:tcW w:w="2689" w:type="dxa"/>
          </w:tcPr>
          <w:p w14:paraId="28D212AF" w14:textId="77777777" w:rsidR="00455DC9" w:rsidRPr="00C440B6" w:rsidRDefault="00455DC9" w:rsidP="00BF1842">
            <w:pPr>
              <w:jc w:val="both"/>
              <w:rPr>
                <w:rFonts w:ascii="Arial" w:eastAsia="Calibri" w:hAnsi="Arial" w:cs="Arial"/>
                <w:b/>
                <w:color w:val="000000" w:themeColor="text1"/>
                <w:lang w:val="es-ES_tradnl"/>
              </w:rPr>
            </w:pPr>
            <w:r w:rsidRPr="00C440B6">
              <w:rPr>
                <w:rFonts w:ascii="Arial" w:eastAsia="Calibri" w:hAnsi="Arial" w:cs="Arial"/>
                <w:b/>
                <w:color w:val="000000" w:themeColor="text1"/>
                <w:lang w:val="es-ES_tradnl"/>
              </w:rPr>
              <w:t>Radicación:</w:t>
            </w:r>
            <w:r w:rsidRPr="00C440B6">
              <w:rPr>
                <w:rFonts w:ascii="Arial" w:eastAsia="Calibri" w:hAnsi="Arial" w:cs="Arial"/>
                <w:color w:val="000000" w:themeColor="text1"/>
                <w:lang w:val="es-ES_tradnl"/>
              </w:rPr>
              <w:t xml:space="preserve">                              </w:t>
            </w:r>
          </w:p>
        </w:tc>
        <w:tc>
          <w:tcPr>
            <w:tcW w:w="6237" w:type="dxa"/>
          </w:tcPr>
          <w:p w14:paraId="1E238EBB" w14:textId="3AE1C102" w:rsidR="00455DC9" w:rsidRPr="00C440B6" w:rsidRDefault="00455DC9" w:rsidP="00BF1842">
            <w:pPr>
              <w:jc w:val="both"/>
              <w:rPr>
                <w:rFonts w:ascii="Arial" w:eastAsia="Calibri" w:hAnsi="Arial" w:cs="Arial"/>
                <w:color w:val="000000" w:themeColor="text1"/>
                <w:lang w:val="es-ES_tradnl"/>
              </w:rPr>
            </w:pPr>
            <w:r w:rsidRPr="00C440B6">
              <w:rPr>
                <w:rFonts w:ascii="Arial" w:eastAsia="Calibri" w:hAnsi="Arial" w:cs="Arial"/>
                <w:color w:val="000000" w:themeColor="text1"/>
                <w:lang w:val="es-ES_tradnl"/>
              </w:rPr>
              <w:t xml:space="preserve">Respuesta a consulta # </w:t>
            </w:r>
            <w:r w:rsidR="00BF1842" w:rsidRPr="00BF1842">
              <w:rPr>
                <w:rFonts w:ascii="Arial" w:eastAsia="Calibri" w:hAnsi="Arial" w:cs="Arial"/>
                <w:color w:val="000000" w:themeColor="text1"/>
                <w:lang w:val="es-ES_tradnl"/>
              </w:rPr>
              <w:t>P20210423003431</w:t>
            </w:r>
          </w:p>
        </w:tc>
      </w:tr>
    </w:tbl>
    <w:p w14:paraId="6FCAB6ED" w14:textId="34345789" w:rsidR="00455DC9" w:rsidRDefault="00455DC9" w:rsidP="00BF1842">
      <w:pPr>
        <w:spacing w:after="0"/>
        <w:jc w:val="both"/>
        <w:rPr>
          <w:rFonts w:ascii="Arial" w:eastAsia="Calibri" w:hAnsi="Arial" w:cs="Arial"/>
          <w:color w:val="000000" w:themeColor="text1"/>
          <w:lang w:val="es-ES_tradnl"/>
        </w:rPr>
      </w:pPr>
    </w:p>
    <w:p w14:paraId="570EE1C8" w14:textId="77777777" w:rsidR="00601F06" w:rsidRDefault="00601F06" w:rsidP="00BF1842">
      <w:pPr>
        <w:spacing w:after="0"/>
        <w:jc w:val="both"/>
        <w:rPr>
          <w:rFonts w:ascii="Arial" w:eastAsia="Calibri" w:hAnsi="Arial" w:cs="Arial"/>
          <w:color w:val="000000" w:themeColor="text1"/>
          <w:lang w:val="es-ES_tradnl"/>
        </w:rPr>
      </w:pPr>
    </w:p>
    <w:p w14:paraId="4ED893EA" w14:textId="74542144" w:rsidR="00455DC9" w:rsidRDefault="00455DC9" w:rsidP="00BF1842">
      <w:pPr>
        <w:spacing w:after="0"/>
        <w:jc w:val="both"/>
        <w:rPr>
          <w:rFonts w:ascii="Arial" w:eastAsia="Calibri" w:hAnsi="Arial" w:cs="Arial"/>
          <w:color w:val="000000" w:themeColor="text1"/>
          <w:lang w:val="es-ES_tradnl"/>
        </w:rPr>
      </w:pPr>
      <w:r w:rsidRPr="00C440B6">
        <w:rPr>
          <w:rFonts w:ascii="Arial" w:eastAsia="Calibri" w:hAnsi="Arial" w:cs="Arial"/>
          <w:color w:val="000000" w:themeColor="text1"/>
          <w:lang w:val="es-ES_tradnl"/>
        </w:rPr>
        <w:t>Estimad</w:t>
      </w:r>
      <w:r>
        <w:rPr>
          <w:rFonts w:ascii="Arial" w:eastAsia="Calibri" w:hAnsi="Arial" w:cs="Arial"/>
          <w:color w:val="000000" w:themeColor="text1"/>
          <w:lang w:val="es-ES_tradnl"/>
        </w:rPr>
        <w:t>a</w:t>
      </w:r>
      <w:r w:rsidRPr="00C440B6">
        <w:rPr>
          <w:rFonts w:ascii="Arial" w:eastAsia="Calibri" w:hAnsi="Arial" w:cs="Arial"/>
          <w:color w:val="000000" w:themeColor="text1"/>
          <w:lang w:val="es-ES_tradnl"/>
        </w:rPr>
        <w:t xml:space="preserve"> señor</w:t>
      </w:r>
      <w:r>
        <w:rPr>
          <w:rFonts w:ascii="Arial" w:eastAsia="Calibri" w:hAnsi="Arial" w:cs="Arial"/>
          <w:color w:val="000000" w:themeColor="text1"/>
          <w:lang w:val="es-ES_tradnl"/>
        </w:rPr>
        <w:t>a</w:t>
      </w:r>
      <w:r w:rsidR="00BF1842" w:rsidRPr="00BF1842">
        <w:rPr>
          <w:rFonts w:ascii="Arial" w:hAnsi="Arial" w:cs="Arial"/>
          <w:b/>
          <w:bCs/>
        </w:rPr>
        <w:t xml:space="preserve"> </w:t>
      </w:r>
      <w:r w:rsidR="00BF1842" w:rsidRPr="00BF1842">
        <w:rPr>
          <w:rFonts w:ascii="Arial" w:hAnsi="Arial" w:cs="Arial"/>
        </w:rPr>
        <w:t>López Leal</w:t>
      </w:r>
      <w:r w:rsidRPr="00BF1842">
        <w:rPr>
          <w:rFonts w:ascii="Arial" w:eastAsia="Calibri" w:hAnsi="Arial" w:cs="Arial"/>
          <w:color w:val="000000" w:themeColor="text1"/>
          <w:lang w:val="es-ES_tradnl"/>
        </w:rPr>
        <w:t>:</w:t>
      </w:r>
    </w:p>
    <w:p w14:paraId="5A8D2776" w14:textId="77777777" w:rsidR="00BF1842" w:rsidRPr="00791FE8" w:rsidRDefault="00BF1842" w:rsidP="00BF1842">
      <w:pPr>
        <w:spacing w:after="0"/>
        <w:jc w:val="both"/>
        <w:rPr>
          <w:rFonts w:ascii="Arial" w:eastAsia="Calibri" w:hAnsi="Arial" w:cs="Arial"/>
          <w:color w:val="000000" w:themeColor="text1"/>
          <w:lang w:val="es-ES_tradnl"/>
        </w:rPr>
      </w:pPr>
    </w:p>
    <w:p w14:paraId="11654933" w14:textId="746F34B9" w:rsidR="00455DC9" w:rsidRPr="00C440B6" w:rsidRDefault="00455DC9" w:rsidP="00BF1842">
      <w:pPr>
        <w:spacing w:after="0" w:line="276" w:lineRule="auto"/>
        <w:jc w:val="both"/>
        <w:rPr>
          <w:rFonts w:ascii="Arial" w:eastAsia="Calibri" w:hAnsi="Arial" w:cs="Arial"/>
          <w:color w:val="000000" w:themeColor="text1"/>
          <w:lang w:val="es-ES_tradnl"/>
        </w:rPr>
      </w:pPr>
      <w:r w:rsidRPr="00C440B6">
        <w:rPr>
          <w:rFonts w:ascii="Arial" w:eastAsia="Calibri" w:hAnsi="Arial" w:cs="Arial"/>
          <w:color w:val="000000" w:themeColor="text1"/>
          <w:lang w:val="es-ES_tradnl"/>
        </w:rPr>
        <w:t xml:space="preserve">En ejercicio de la competencia otorgada por el numeral 8 del artículo 11 y el numeral 5 del artículo 3 del Decreto Ley 4170 de 2011, la Agencia Nacional de Contratación Pública </w:t>
      </w:r>
      <w:r>
        <w:rPr>
          <w:rFonts w:ascii="Arial" w:eastAsia="Calibri" w:hAnsi="Arial" w:cs="Arial"/>
          <w:color w:val="000000" w:themeColor="text1"/>
          <w:lang w:val="es-ES_tradnl"/>
        </w:rPr>
        <w:t>–</w:t>
      </w:r>
      <w:r w:rsidRPr="00C440B6">
        <w:rPr>
          <w:rFonts w:ascii="Arial" w:eastAsia="Calibri" w:hAnsi="Arial" w:cs="Arial"/>
          <w:color w:val="000000" w:themeColor="text1"/>
          <w:lang w:val="es-ES_tradnl"/>
        </w:rPr>
        <w:t xml:space="preserve"> Colombia Compra Eficiente responde su consulta del </w:t>
      </w:r>
      <w:r w:rsidR="00BF1842">
        <w:rPr>
          <w:rFonts w:ascii="Arial" w:eastAsia="Calibri" w:hAnsi="Arial" w:cs="Arial"/>
          <w:color w:val="000000" w:themeColor="text1"/>
          <w:lang w:val="es-ES_tradnl"/>
        </w:rPr>
        <w:t>23</w:t>
      </w:r>
      <w:r w:rsidRPr="00C440B6">
        <w:rPr>
          <w:rFonts w:ascii="Arial" w:eastAsia="Calibri" w:hAnsi="Arial" w:cs="Arial"/>
          <w:color w:val="000000" w:themeColor="text1"/>
          <w:lang w:val="es-ES_tradnl"/>
        </w:rPr>
        <w:t xml:space="preserve"> de </w:t>
      </w:r>
      <w:r w:rsidR="00BF1842">
        <w:rPr>
          <w:rFonts w:ascii="Arial" w:eastAsia="Calibri" w:hAnsi="Arial" w:cs="Arial"/>
          <w:color w:val="000000" w:themeColor="text1"/>
          <w:lang w:val="es-ES_tradnl"/>
        </w:rPr>
        <w:t xml:space="preserve">abril </w:t>
      </w:r>
      <w:r w:rsidRPr="00C440B6">
        <w:rPr>
          <w:rFonts w:ascii="Arial" w:eastAsia="Calibri" w:hAnsi="Arial" w:cs="Arial"/>
          <w:color w:val="000000" w:themeColor="text1"/>
          <w:lang w:val="es-ES_tradnl"/>
        </w:rPr>
        <w:t>del 2021.</w:t>
      </w:r>
    </w:p>
    <w:p w14:paraId="50ABD158" w14:textId="11C22732" w:rsidR="00455DC9" w:rsidRDefault="00455DC9" w:rsidP="008D663D">
      <w:pPr>
        <w:tabs>
          <w:tab w:val="left" w:pos="426"/>
        </w:tabs>
        <w:spacing w:after="0" w:line="276" w:lineRule="auto"/>
        <w:contextualSpacing/>
        <w:jc w:val="both"/>
        <w:rPr>
          <w:rFonts w:ascii="Arial" w:eastAsia="Calibri" w:hAnsi="Arial" w:cs="Arial"/>
          <w:b/>
        </w:rPr>
      </w:pPr>
    </w:p>
    <w:p w14:paraId="606675ED" w14:textId="4664A0D0" w:rsidR="008D663D" w:rsidRDefault="008D663D" w:rsidP="008D663D">
      <w:pPr>
        <w:tabs>
          <w:tab w:val="left" w:pos="426"/>
        </w:tabs>
        <w:spacing w:after="0" w:line="276" w:lineRule="auto"/>
        <w:contextualSpacing/>
        <w:jc w:val="both"/>
        <w:rPr>
          <w:rFonts w:ascii="Arial" w:eastAsia="Calibri" w:hAnsi="Arial" w:cs="Arial"/>
          <w:b/>
        </w:rPr>
      </w:pPr>
      <w:r>
        <w:rPr>
          <w:rFonts w:ascii="Arial" w:eastAsia="Calibri" w:hAnsi="Arial" w:cs="Arial"/>
          <w:b/>
        </w:rPr>
        <w:t>1. Problemas planteados</w:t>
      </w:r>
    </w:p>
    <w:p w14:paraId="1D7A1418" w14:textId="2FD0CF72" w:rsidR="008D663D" w:rsidRDefault="008D663D" w:rsidP="008D663D">
      <w:pPr>
        <w:tabs>
          <w:tab w:val="left" w:pos="426"/>
        </w:tabs>
        <w:spacing w:after="0" w:line="276" w:lineRule="auto"/>
        <w:contextualSpacing/>
        <w:jc w:val="both"/>
        <w:rPr>
          <w:rFonts w:ascii="Arial" w:eastAsia="Calibri" w:hAnsi="Arial" w:cs="Arial"/>
          <w:b/>
        </w:rPr>
      </w:pPr>
    </w:p>
    <w:p w14:paraId="07329535" w14:textId="38212B81" w:rsidR="00551914" w:rsidRPr="0071577B" w:rsidRDefault="00551914" w:rsidP="00DD426F">
      <w:pPr>
        <w:tabs>
          <w:tab w:val="left" w:pos="426"/>
        </w:tabs>
        <w:spacing w:after="0" w:line="276" w:lineRule="auto"/>
        <w:contextualSpacing/>
        <w:jc w:val="both"/>
        <w:rPr>
          <w:rFonts w:ascii="Arial" w:hAnsi="Arial" w:cs="Arial"/>
          <w:bCs/>
          <w:color w:val="000000" w:themeColor="text1"/>
          <w:lang w:val="es-MX"/>
        </w:rPr>
      </w:pPr>
      <w:r w:rsidRPr="0071577B">
        <w:rPr>
          <w:rFonts w:ascii="Arial" w:eastAsia="Calibri" w:hAnsi="Arial" w:cs="Arial"/>
          <w:bCs/>
          <w:color w:val="000000" w:themeColor="text1"/>
        </w:rPr>
        <w:t xml:space="preserve">En el marco de unas </w:t>
      </w:r>
      <w:r w:rsidR="00FF1841" w:rsidRPr="0071577B">
        <w:rPr>
          <w:rFonts w:ascii="Arial" w:eastAsia="Calibri" w:hAnsi="Arial" w:cs="Arial"/>
          <w:bCs/>
          <w:color w:val="000000" w:themeColor="text1"/>
        </w:rPr>
        <w:t>licitaciones públicas que adelanta la Gobernación de Antioquia, usted realiza las siguientes preguntas:</w:t>
      </w:r>
      <w:r w:rsidR="00B64F6C" w:rsidRPr="0071577B">
        <w:rPr>
          <w:rFonts w:ascii="Arial" w:eastAsia="Calibri" w:hAnsi="Arial" w:cs="Arial"/>
          <w:bCs/>
          <w:color w:val="000000" w:themeColor="text1"/>
        </w:rPr>
        <w:t xml:space="preserve"> </w:t>
      </w:r>
      <w:r w:rsidR="00E42846" w:rsidRPr="0071577B">
        <w:rPr>
          <w:rFonts w:ascii="Arial" w:eastAsia="Calibri" w:hAnsi="Arial" w:cs="Arial"/>
          <w:bCs/>
          <w:color w:val="000000" w:themeColor="text1"/>
        </w:rPr>
        <w:t xml:space="preserve">i) </w:t>
      </w:r>
      <w:r w:rsidR="00B64F6C" w:rsidRPr="0071577B">
        <w:rPr>
          <w:rFonts w:ascii="Arial" w:eastAsia="Calibri" w:hAnsi="Arial" w:cs="Arial"/>
          <w:bCs/>
          <w:color w:val="000000" w:themeColor="text1"/>
        </w:rPr>
        <w:t>«</w:t>
      </w:r>
      <w:r w:rsidRPr="0071577B">
        <w:rPr>
          <w:rFonts w:ascii="Arial" w:hAnsi="Arial" w:cs="Arial"/>
          <w:bCs/>
          <w:color w:val="000000" w:themeColor="text1"/>
          <w:lang w:val="es-MX"/>
        </w:rPr>
        <w:t>¿Para Colombia Compra como se debe determinar o justificar la inclusión, modificación, supresión o alteración de las condiciones de la matriz?</w:t>
      </w:r>
      <w:r w:rsidR="005E7BB2" w:rsidRPr="0071577B">
        <w:rPr>
          <w:rFonts w:ascii="Arial" w:eastAsia="Calibri" w:hAnsi="Arial" w:cs="Arial"/>
          <w:bCs/>
          <w:color w:val="000000" w:themeColor="text1"/>
        </w:rPr>
        <w:t>»</w:t>
      </w:r>
      <w:r w:rsidR="000B5840" w:rsidRPr="0071577B">
        <w:rPr>
          <w:rFonts w:ascii="Arial" w:eastAsia="Calibri" w:hAnsi="Arial" w:cs="Arial"/>
          <w:bCs/>
          <w:color w:val="000000" w:themeColor="text1"/>
        </w:rPr>
        <w:t xml:space="preserve">, </w:t>
      </w:r>
      <w:proofErr w:type="spellStart"/>
      <w:r w:rsidR="00ED5A37" w:rsidRPr="0071577B">
        <w:rPr>
          <w:rFonts w:ascii="Arial" w:hAnsi="Arial" w:cs="Arial"/>
          <w:bCs/>
          <w:color w:val="000000" w:themeColor="text1"/>
          <w:lang w:val="es-MX"/>
        </w:rPr>
        <w:t>ii</w:t>
      </w:r>
      <w:proofErr w:type="spellEnd"/>
      <w:r w:rsidR="00ED5A37" w:rsidRPr="0071577B">
        <w:rPr>
          <w:rFonts w:ascii="Arial" w:hAnsi="Arial" w:cs="Arial"/>
          <w:bCs/>
          <w:color w:val="000000" w:themeColor="text1"/>
          <w:lang w:val="es-MX"/>
        </w:rPr>
        <w:t>)</w:t>
      </w:r>
      <w:r w:rsidR="00B667FF" w:rsidRPr="0071577B">
        <w:rPr>
          <w:rFonts w:ascii="Arial" w:hAnsi="Arial" w:cs="Arial"/>
          <w:bCs/>
          <w:color w:val="000000" w:themeColor="text1"/>
          <w:lang w:val="es-MX"/>
        </w:rPr>
        <w:t xml:space="preserve"> </w:t>
      </w:r>
      <w:r w:rsidR="000B5840" w:rsidRPr="0071577B">
        <w:rPr>
          <w:rFonts w:ascii="Arial" w:hAnsi="Arial" w:cs="Arial"/>
          <w:bCs/>
          <w:color w:val="000000" w:themeColor="text1"/>
          <w:lang w:val="es-MX"/>
        </w:rPr>
        <w:t>«</w:t>
      </w:r>
      <w:r w:rsidRPr="0071577B">
        <w:rPr>
          <w:rFonts w:ascii="Arial" w:hAnsi="Arial" w:cs="Arial"/>
          <w:bCs/>
          <w:color w:val="000000" w:themeColor="text1"/>
          <w:lang w:val="es-MX"/>
        </w:rPr>
        <w:t>¿Para Colombia Compra como se debe determinar la experiencia para este proyecto teniendo en cuenta que el 85% aproximadamente corresponde a rehabilitación o mantenimiento de carretera y un 15% aproximadamente corresponde a la construcción y mantenimiento y rehabilitación de puente?</w:t>
      </w:r>
      <w:r w:rsidR="000B5840" w:rsidRPr="0071577B">
        <w:rPr>
          <w:rFonts w:ascii="Arial" w:hAnsi="Arial" w:cs="Arial"/>
          <w:bCs/>
          <w:color w:val="000000" w:themeColor="text1"/>
          <w:lang w:val="es-MX"/>
        </w:rPr>
        <w:t>»</w:t>
      </w:r>
      <w:r w:rsidR="00ED5A37" w:rsidRPr="0071577B">
        <w:rPr>
          <w:rFonts w:ascii="Arial" w:hAnsi="Arial" w:cs="Arial"/>
          <w:bCs/>
          <w:color w:val="000000" w:themeColor="text1"/>
          <w:lang w:val="es-MX"/>
        </w:rPr>
        <w:t xml:space="preserve">, </w:t>
      </w:r>
      <w:proofErr w:type="spellStart"/>
      <w:r w:rsidR="00ED5A37" w:rsidRPr="0071577B">
        <w:rPr>
          <w:rFonts w:ascii="Arial" w:hAnsi="Arial" w:cs="Arial"/>
          <w:bCs/>
          <w:color w:val="000000" w:themeColor="text1"/>
          <w:lang w:val="es-MX"/>
        </w:rPr>
        <w:t>iii</w:t>
      </w:r>
      <w:proofErr w:type="spellEnd"/>
      <w:r w:rsidR="00ED5A37" w:rsidRPr="0071577B">
        <w:rPr>
          <w:rFonts w:ascii="Arial" w:hAnsi="Arial" w:cs="Arial"/>
          <w:bCs/>
          <w:color w:val="000000" w:themeColor="text1"/>
          <w:lang w:val="es-MX"/>
        </w:rPr>
        <w:t>)</w:t>
      </w:r>
      <w:r w:rsidR="000B5840" w:rsidRPr="0071577B">
        <w:rPr>
          <w:rFonts w:ascii="Arial" w:hAnsi="Arial" w:cs="Arial"/>
          <w:bCs/>
          <w:color w:val="000000" w:themeColor="text1"/>
          <w:lang w:val="es-MX"/>
        </w:rPr>
        <w:t xml:space="preserve"> «</w:t>
      </w:r>
      <w:r w:rsidRPr="0071577B">
        <w:rPr>
          <w:rFonts w:ascii="Arial" w:hAnsi="Arial" w:cs="Arial"/>
          <w:bCs/>
          <w:color w:val="000000" w:themeColor="text1"/>
          <w:lang w:val="es-MX"/>
        </w:rPr>
        <w:t xml:space="preserve">¿Se debe obviar solicitar experiencia en puentes y regirse a lo que establece la matriz por considerar el 85% del contrato </w:t>
      </w:r>
      <w:r w:rsidRPr="0071577B">
        <w:rPr>
          <w:rFonts w:ascii="Arial" w:hAnsi="Arial" w:cs="Arial"/>
          <w:bCs/>
          <w:color w:val="000000" w:themeColor="text1"/>
          <w:lang w:val="es-MX"/>
        </w:rPr>
        <w:lastRenderedPageBreak/>
        <w:t>corresponde a rehabilitación o mantenimiento de carretera?</w:t>
      </w:r>
      <w:r w:rsidR="0071577B" w:rsidRPr="0071577B">
        <w:rPr>
          <w:rFonts w:ascii="Arial" w:hAnsi="Arial" w:cs="Arial"/>
          <w:bCs/>
          <w:color w:val="000000" w:themeColor="text1"/>
          <w:lang w:val="es-MX"/>
        </w:rPr>
        <w:t>»</w:t>
      </w:r>
      <w:r w:rsidR="00ED5A37" w:rsidRPr="0071577B">
        <w:rPr>
          <w:rFonts w:ascii="Arial" w:hAnsi="Arial" w:cs="Arial"/>
          <w:bCs/>
          <w:color w:val="000000" w:themeColor="text1"/>
          <w:lang w:val="es-MX"/>
        </w:rPr>
        <w:t xml:space="preserve">, </w:t>
      </w:r>
      <w:proofErr w:type="spellStart"/>
      <w:r w:rsidR="00ED5A37" w:rsidRPr="0071577B">
        <w:rPr>
          <w:rFonts w:ascii="Arial" w:hAnsi="Arial" w:cs="Arial"/>
          <w:bCs/>
          <w:color w:val="000000" w:themeColor="text1"/>
          <w:lang w:val="es-MX"/>
        </w:rPr>
        <w:t>iv</w:t>
      </w:r>
      <w:proofErr w:type="spellEnd"/>
      <w:r w:rsidR="00ED5A37" w:rsidRPr="0071577B">
        <w:rPr>
          <w:rFonts w:ascii="Arial" w:hAnsi="Arial" w:cs="Arial"/>
          <w:bCs/>
          <w:color w:val="000000" w:themeColor="text1"/>
          <w:lang w:val="es-MX"/>
        </w:rPr>
        <w:t xml:space="preserve">) </w:t>
      </w:r>
      <w:r w:rsidR="0071577B" w:rsidRPr="0071577B">
        <w:rPr>
          <w:rFonts w:ascii="Arial" w:hAnsi="Arial" w:cs="Arial"/>
          <w:bCs/>
          <w:color w:val="000000" w:themeColor="text1"/>
          <w:lang w:val="es-MX"/>
        </w:rPr>
        <w:t>«</w:t>
      </w:r>
      <w:r w:rsidRPr="0071577B">
        <w:rPr>
          <w:rFonts w:ascii="Arial" w:hAnsi="Arial" w:cs="Arial"/>
          <w:bCs/>
          <w:color w:val="000000" w:themeColor="text1"/>
          <w:lang w:val="es-MX"/>
        </w:rPr>
        <w:t>¿Se debe y puede incluir, modificar, suprimir o alterar la experiencia en rehabilitación o mantenimiento de carretera incluyendo experiencia en puentes y que esa experiencia en puentes se determine tal y como lo establece la matriz No 1?</w:t>
      </w:r>
      <w:r w:rsidR="0071577B" w:rsidRPr="0071577B">
        <w:rPr>
          <w:rFonts w:ascii="Arial" w:hAnsi="Arial" w:cs="Arial"/>
          <w:bCs/>
          <w:color w:val="000000" w:themeColor="text1"/>
          <w:lang w:val="es-MX"/>
        </w:rPr>
        <w:t>»</w:t>
      </w:r>
      <w:r w:rsidR="00ED5A37" w:rsidRPr="0071577B">
        <w:rPr>
          <w:rFonts w:ascii="Arial" w:hAnsi="Arial" w:cs="Arial"/>
          <w:bCs/>
          <w:color w:val="000000" w:themeColor="text1"/>
          <w:lang w:val="es-MX"/>
        </w:rPr>
        <w:t xml:space="preserve"> y v) </w:t>
      </w:r>
      <w:r w:rsidR="0071577B" w:rsidRPr="0071577B">
        <w:rPr>
          <w:rFonts w:ascii="Arial" w:hAnsi="Arial" w:cs="Arial"/>
          <w:bCs/>
          <w:color w:val="000000" w:themeColor="text1"/>
          <w:lang w:val="es-MX"/>
        </w:rPr>
        <w:t>«</w:t>
      </w:r>
      <w:r w:rsidRPr="0071577B">
        <w:rPr>
          <w:rFonts w:ascii="Arial" w:hAnsi="Arial" w:cs="Arial"/>
          <w:bCs/>
          <w:color w:val="000000" w:themeColor="text1"/>
          <w:lang w:val="es-MX"/>
        </w:rPr>
        <w:t>¿Si es posible incluir también experiencia en puentes, esta se debe considerar en el literal H de la experiencia del proponente?</w:t>
      </w:r>
      <w:r w:rsidR="00ED5A37" w:rsidRPr="0071577B">
        <w:rPr>
          <w:rFonts w:ascii="Arial" w:hAnsi="Arial" w:cs="Arial"/>
          <w:bCs/>
          <w:color w:val="000000" w:themeColor="text1"/>
          <w:lang w:val="es-MX"/>
        </w:rPr>
        <w:t>»</w:t>
      </w:r>
      <w:r w:rsidR="0071577B" w:rsidRPr="0071577B">
        <w:rPr>
          <w:rFonts w:ascii="Arial" w:hAnsi="Arial" w:cs="Arial"/>
          <w:bCs/>
          <w:color w:val="000000" w:themeColor="text1"/>
          <w:lang w:val="es-MX"/>
        </w:rPr>
        <w:t xml:space="preserve">. </w:t>
      </w:r>
    </w:p>
    <w:p w14:paraId="6482564B" w14:textId="77777777" w:rsidR="002A49DA" w:rsidRDefault="002A49DA" w:rsidP="008D663D">
      <w:pPr>
        <w:tabs>
          <w:tab w:val="left" w:pos="426"/>
        </w:tabs>
        <w:spacing w:after="0" w:line="276" w:lineRule="auto"/>
        <w:contextualSpacing/>
        <w:jc w:val="both"/>
        <w:rPr>
          <w:rFonts w:ascii="Arial" w:eastAsia="Calibri" w:hAnsi="Arial" w:cs="Arial"/>
          <w:b/>
        </w:rPr>
      </w:pPr>
    </w:p>
    <w:p w14:paraId="6092CF10" w14:textId="6604E2EC" w:rsidR="00F37112" w:rsidRPr="00F37112" w:rsidRDefault="008D663D" w:rsidP="008D663D">
      <w:pPr>
        <w:tabs>
          <w:tab w:val="left" w:pos="426"/>
        </w:tabs>
        <w:spacing w:after="0" w:line="276" w:lineRule="auto"/>
        <w:contextualSpacing/>
        <w:jc w:val="both"/>
        <w:rPr>
          <w:rFonts w:ascii="Arial" w:eastAsia="Calibri" w:hAnsi="Arial" w:cs="Arial"/>
          <w:b/>
        </w:rPr>
      </w:pPr>
      <w:r>
        <w:rPr>
          <w:rFonts w:ascii="Arial" w:eastAsia="Calibri" w:hAnsi="Arial" w:cs="Arial"/>
          <w:b/>
        </w:rPr>
        <w:t xml:space="preserve">2. </w:t>
      </w:r>
      <w:r w:rsidR="00F37112" w:rsidRPr="00F37112">
        <w:rPr>
          <w:rFonts w:ascii="Arial" w:eastAsia="Calibri" w:hAnsi="Arial" w:cs="Arial"/>
          <w:b/>
        </w:rPr>
        <w:t>Consideraciones</w:t>
      </w:r>
    </w:p>
    <w:p w14:paraId="7B1E763F" w14:textId="77777777" w:rsidR="00F37112" w:rsidRPr="00F37112" w:rsidRDefault="00F37112" w:rsidP="00F37112">
      <w:pPr>
        <w:tabs>
          <w:tab w:val="left" w:pos="426"/>
        </w:tabs>
        <w:spacing w:after="0" w:line="276" w:lineRule="auto"/>
        <w:jc w:val="both"/>
        <w:rPr>
          <w:rFonts w:ascii="Arial" w:eastAsia="Calibri" w:hAnsi="Arial" w:cs="Arial"/>
          <w:b/>
        </w:rPr>
      </w:pPr>
    </w:p>
    <w:p w14:paraId="5AAB3C22" w14:textId="77777777" w:rsidR="00F37112" w:rsidRPr="00F37112" w:rsidRDefault="00F37112" w:rsidP="00F37112">
      <w:pPr>
        <w:spacing w:after="120" w:line="276" w:lineRule="auto"/>
        <w:jc w:val="both"/>
        <w:rPr>
          <w:rFonts w:ascii="Arial" w:eastAsia="Calibri" w:hAnsi="Arial" w:cs="Arial"/>
          <w:bCs/>
          <w:lang w:val="es-MX"/>
        </w:rPr>
      </w:pPr>
      <w:bookmarkStart w:id="1" w:name="_Hlk60921449"/>
      <w:r w:rsidRPr="00F37112">
        <w:rPr>
          <w:rFonts w:ascii="Arial" w:eastAsia="Calibri" w:hAnsi="Arial" w:cs="Arial"/>
          <w:bCs/>
          <w:lang w:val="es-MX"/>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762EB7E5" w14:textId="77777777" w:rsidR="00F37112" w:rsidRPr="00F37112" w:rsidRDefault="00F37112" w:rsidP="00F37112">
      <w:pPr>
        <w:spacing w:after="120" w:line="276" w:lineRule="auto"/>
        <w:ind w:firstLine="708"/>
        <w:jc w:val="both"/>
        <w:rPr>
          <w:rFonts w:ascii="Arial" w:eastAsia="Calibri" w:hAnsi="Arial" w:cs="Arial"/>
          <w:lang w:val="es-ES"/>
        </w:rPr>
      </w:pPr>
      <w:bookmarkStart w:id="2" w:name="_Hlk61701014"/>
      <w:bookmarkStart w:id="3" w:name="_Hlk62136649"/>
      <w:r w:rsidRPr="00F37112">
        <w:rPr>
          <w:rFonts w:ascii="Arial" w:eastAsia="Calibri" w:hAnsi="Arial" w:cs="Arial"/>
          <w:lang w:val="es-ES"/>
        </w:rPr>
        <w:t xml:space="preserve">Es necesario tener en cuenta que </w:t>
      </w:r>
      <w:bookmarkStart w:id="4" w:name="_Hlk61026958"/>
      <w:r w:rsidRPr="00F37112">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37112">
        <w:rPr>
          <w:rFonts w:ascii="Arial" w:eastAsia="Calibri" w:hAnsi="Arial" w:cs="Arial"/>
          <w:bCs/>
          <w:lang w:val="es-MX"/>
        </w:rPr>
        <w:t xml:space="preserve"> de todos los partícipes de la contratación estatal.</w:t>
      </w:r>
    </w:p>
    <w:p w14:paraId="7951BA55" w14:textId="77777777" w:rsidR="00F37112" w:rsidRPr="00F37112" w:rsidRDefault="00F37112" w:rsidP="00F37112">
      <w:pPr>
        <w:spacing w:after="120" w:line="276" w:lineRule="auto"/>
        <w:ind w:firstLine="708"/>
        <w:jc w:val="both"/>
        <w:rPr>
          <w:rFonts w:ascii="Arial" w:eastAsia="Calibri" w:hAnsi="Arial" w:cs="Arial"/>
          <w:lang w:val="es-ES"/>
        </w:rPr>
      </w:pPr>
      <w:r w:rsidRPr="00F37112">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37112">
        <w:rPr>
          <w:rFonts w:ascii="Arial" w:eastAsia="Calibri" w:hAnsi="Arial" w:cs="Arial"/>
          <w:vertAlign w:val="superscript"/>
          <w:lang w:val="es-ES"/>
        </w:rPr>
        <w:footnoteReference w:id="1"/>
      </w:r>
      <w:r w:rsidRPr="00F37112">
        <w:rPr>
          <w:rFonts w:ascii="Arial" w:eastAsia="Calibri" w:hAnsi="Arial"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F37112">
        <w:rPr>
          <w:rFonts w:ascii="Arial" w:eastAsia="Calibri" w:hAnsi="Arial"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14:paraId="59143BB2" w14:textId="7765F06B" w:rsidR="0042354E" w:rsidRDefault="00F37112" w:rsidP="0063541B">
      <w:pPr>
        <w:spacing w:after="120" w:line="276" w:lineRule="auto"/>
        <w:ind w:firstLine="708"/>
        <w:jc w:val="both"/>
        <w:rPr>
          <w:rFonts w:ascii="Arial" w:eastAsia="Calibri" w:hAnsi="Arial" w:cs="Arial"/>
          <w:b/>
          <w:bCs/>
          <w:lang w:val="es-MX"/>
        </w:rPr>
      </w:pPr>
      <w:r w:rsidRPr="0063541B">
        <w:rPr>
          <w:rFonts w:ascii="Arial" w:eastAsia="Calibri" w:hAnsi="Arial" w:cs="Arial"/>
          <w:color w:val="000000"/>
          <w:lang w:val="es-MX"/>
        </w:rPr>
        <w:lastRenderedPageBreak/>
        <w:t xml:space="preserve">Sin perjuicio de lo anterior, </w:t>
      </w:r>
      <w:r w:rsidRPr="0063541B">
        <w:rPr>
          <w:rFonts w:ascii="Arial" w:eastAsia="Calibri" w:hAnsi="Arial" w:cs="Arial"/>
          <w:color w:val="000000"/>
          <w:lang w:val="es-ES"/>
        </w:rPr>
        <w:t xml:space="preserve">la Subdirección –dentro de los límites de sus atribuciones, esto es, </w:t>
      </w:r>
      <w:bookmarkStart w:id="5" w:name="_Hlk61025408"/>
      <w:r w:rsidRPr="0063541B">
        <w:rPr>
          <w:rFonts w:ascii="Arial" w:eastAsia="Calibri" w:hAnsi="Arial" w:cs="Arial"/>
          <w:color w:val="000000"/>
          <w:lang w:val="es-ES"/>
        </w:rPr>
        <w:t>haciendo abstracción del caso particular expuesto por el peticionario</w:t>
      </w:r>
      <w:bookmarkEnd w:id="5"/>
      <w:r w:rsidRPr="0063541B">
        <w:rPr>
          <w:rFonts w:ascii="Arial" w:eastAsia="Calibri" w:hAnsi="Arial" w:cs="Arial"/>
          <w:color w:val="000000"/>
          <w:lang w:val="es-ES"/>
        </w:rPr>
        <w:t>– resolverá la consulta conforme a las normas generales en materia de contratación estatal. Con este objetivo se analizarán los siguientes temas: i)</w:t>
      </w:r>
      <w:bookmarkEnd w:id="1"/>
      <w:r w:rsidR="007A6505">
        <w:rPr>
          <w:rFonts w:ascii="Arial" w:eastAsia="Calibri" w:hAnsi="Arial" w:cs="Arial"/>
          <w:color w:val="000000"/>
          <w:lang w:val="es-ES"/>
        </w:rPr>
        <w:t xml:space="preserve"> </w:t>
      </w:r>
      <w:r w:rsidR="007A6505">
        <w:rPr>
          <w:rFonts w:ascii="Arial" w:eastAsia="Calibri" w:hAnsi="Arial" w:cs="Arial"/>
          <w:lang w:val="es-MX"/>
        </w:rPr>
        <w:t>f</w:t>
      </w:r>
      <w:r w:rsidR="0042354E" w:rsidRPr="0063541B">
        <w:rPr>
          <w:rFonts w:ascii="Arial" w:eastAsia="Calibri" w:hAnsi="Arial" w:cs="Arial"/>
          <w:lang w:val="es-MX"/>
        </w:rPr>
        <w:t xml:space="preserve">undamentos jurídicos para la expedición de los documentos tipo, </w:t>
      </w:r>
      <w:proofErr w:type="spellStart"/>
      <w:r w:rsidR="0042354E" w:rsidRPr="0063541B">
        <w:rPr>
          <w:rFonts w:ascii="Arial" w:eastAsia="Calibri" w:hAnsi="Arial" w:cs="Arial"/>
          <w:lang w:val="es-MX"/>
        </w:rPr>
        <w:t>ii</w:t>
      </w:r>
      <w:proofErr w:type="spellEnd"/>
      <w:r w:rsidR="0042354E" w:rsidRPr="0063541B">
        <w:rPr>
          <w:rFonts w:ascii="Arial" w:eastAsia="Calibri" w:hAnsi="Arial" w:cs="Arial"/>
          <w:lang w:val="es-MX"/>
        </w:rPr>
        <w:t xml:space="preserve">) </w:t>
      </w:r>
      <w:r w:rsidR="007A6505">
        <w:rPr>
          <w:rFonts w:ascii="Arial" w:eastAsia="Times New Roman" w:hAnsi="Arial" w:cs="Arial"/>
          <w:color w:val="000000"/>
          <w:lang w:eastAsia="es-CO"/>
        </w:rPr>
        <w:t>i</w:t>
      </w:r>
      <w:r w:rsidR="0042354E" w:rsidRPr="0063541B">
        <w:rPr>
          <w:rFonts w:ascii="Arial" w:eastAsia="Times New Roman" w:hAnsi="Arial" w:cs="Arial"/>
          <w:color w:val="000000"/>
          <w:lang w:eastAsia="es-CO"/>
        </w:rPr>
        <w:t xml:space="preserve">nalterabilidad de los «Documentos Tipo – Versión 3» de licitación para obra pública de infraestructura de transporte y sus excepciones, </w:t>
      </w:r>
      <w:proofErr w:type="spellStart"/>
      <w:r w:rsidR="0042354E" w:rsidRPr="0063541B">
        <w:rPr>
          <w:rFonts w:ascii="Arial" w:eastAsia="Times New Roman" w:hAnsi="Arial" w:cs="Arial"/>
          <w:color w:val="000000"/>
          <w:lang w:eastAsia="es-CO"/>
        </w:rPr>
        <w:t>iii</w:t>
      </w:r>
      <w:proofErr w:type="spellEnd"/>
      <w:r w:rsidR="0042354E" w:rsidRPr="0063541B">
        <w:rPr>
          <w:rFonts w:ascii="Arial" w:eastAsia="Times New Roman" w:hAnsi="Arial" w:cs="Arial"/>
          <w:color w:val="000000"/>
          <w:lang w:eastAsia="es-CO"/>
        </w:rPr>
        <w:t>)</w:t>
      </w:r>
      <w:r w:rsidR="00230B29" w:rsidRPr="0063541B">
        <w:rPr>
          <w:rFonts w:ascii="Arial" w:eastAsia="Times New Roman" w:hAnsi="Arial" w:cs="Arial"/>
          <w:color w:val="000000"/>
          <w:lang w:eastAsia="es-CO"/>
        </w:rPr>
        <w:t xml:space="preserve"> </w:t>
      </w:r>
      <w:r w:rsidR="00F4683E">
        <w:rPr>
          <w:rFonts w:ascii="Arial" w:hAnsi="Arial" w:cs="Arial"/>
        </w:rPr>
        <w:t>a</w:t>
      </w:r>
      <w:r w:rsidR="00BA38ED" w:rsidRPr="0063541B">
        <w:rPr>
          <w:rFonts w:ascii="Arial" w:hAnsi="Arial" w:cs="Arial"/>
        </w:rPr>
        <w:t xml:space="preserve">creditación y evaluación de los requisitos de experiencia general en la </w:t>
      </w:r>
      <w:r w:rsidR="002A49DA">
        <w:rPr>
          <w:rFonts w:ascii="Arial" w:hAnsi="Arial" w:cs="Arial"/>
        </w:rPr>
        <w:t>«</w:t>
      </w:r>
      <w:r w:rsidR="00BA38ED" w:rsidRPr="0063541B">
        <w:rPr>
          <w:rFonts w:ascii="Arial" w:hAnsi="Arial" w:cs="Arial"/>
        </w:rPr>
        <w:t>Matriz 1 – Experiencia</w:t>
      </w:r>
      <w:r w:rsidR="002A49DA">
        <w:rPr>
          <w:rFonts w:ascii="Arial" w:hAnsi="Arial" w:cs="Arial"/>
        </w:rPr>
        <w:t>»</w:t>
      </w:r>
      <w:r w:rsidR="00BA38ED" w:rsidRPr="0063541B">
        <w:rPr>
          <w:rFonts w:ascii="Arial" w:hAnsi="Arial" w:cs="Arial"/>
        </w:rPr>
        <w:t xml:space="preserve"> de los </w:t>
      </w:r>
      <w:r w:rsidR="00BA38ED" w:rsidRPr="0063541B">
        <w:rPr>
          <w:rFonts w:ascii="Arial" w:eastAsia="Times New Roman" w:hAnsi="Arial" w:cs="Arial"/>
          <w:color w:val="000000"/>
          <w:lang w:eastAsia="es-CO"/>
        </w:rPr>
        <w:t xml:space="preserve">«Documentos Tipo – Versión 3» de licitación para obra pública de infraestructura de transporte </w:t>
      </w:r>
      <w:r w:rsidR="00230B29" w:rsidRPr="0063541B">
        <w:rPr>
          <w:rFonts w:ascii="Arial" w:hAnsi="Arial" w:cs="Arial"/>
        </w:rPr>
        <w:t xml:space="preserve">y </w:t>
      </w:r>
      <w:proofErr w:type="spellStart"/>
      <w:r w:rsidR="00230B29" w:rsidRPr="0063541B">
        <w:rPr>
          <w:rFonts w:ascii="Arial" w:hAnsi="Arial" w:cs="Arial"/>
        </w:rPr>
        <w:t>iv</w:t>
      </w:r>
      <w:proofErr w:type="spellEnd"/>
      <w:r w:rsidR="00230B29" w:rsidRPr="0063541B">
        <w:rPr>
          <w:rFonts w:ascii="Arial" w:hAnsi="Arial" w:cs="Arial"/>
        </w:rPr>
        <w:t>)</w:t>
      </w:r>
      <w:r w:rsidR="00230B29" w:rsidRPr="0063541B">
        <w:rPr>
          <w:rFonts w:ascii="Arial" w:eastAsia="Calibri" w:hAnsi="Arial" w:cs="Arial"/>
          <w:color w:val="000000"/>
        </w:rPr>
        <w:t xml:space="preserve"> </w:t>
      </w:r>
      <w:r w:rsidR="00F938B9">
        <w:rPr>
          <w:rFonts w:ascii="Arial" w:eastAsia="Calibri" w:hAnsi="Arial" w:cs="Arial"/>
          <w:color w:val="000000"/>
        </w:rPr>
        <w:t>c</w:t>
      </w:r>
      <w:r w:rsidR="00230B29" w:rsidRPr="0063541B">
        <w:rPr>
          <w:rFonts w:ascii="Arial" w:eastAsia="Calibri" w:hAnsi="Arial" w:cs="Arial"/>
          <w:color w:val="000000"/>
        </w:rPr>
        <w:t xml:space="preserve">ombinación de experiencia en los </w:t>
      </w:r>
      <w:r w:rsidR="00F938B9" w:rsidRPr="0063541B">
        <w:rPr>
          <w:rFonts w:ascii="Arial" w:eastAsia="Calibri" w:hAnsi="Arial" w:cs="Arial"/>
          <w:color w:val="000000"/>
        </w:rPr>
        <w:t>documentos tipo</w:t>
      </w:r>
      <w:r w:rsidR="00230B29" w:rsidRPr="0063541B">
        <w:rPr>
          <w:rFonts w:ascii="Arial" w:eastAsia="Calibri" w:hAnsi="Arial" w:cs="Arial"/>
          <w:color w:val="000000"/>
        </w:rPr>
        <w:t>.</w:t>
      </w:r>
    </w:p>
    <w:p w14:paraId="0BD54862" w14:textId="51CA26A6" w:rsidR="00BF1842" w:rsidRDefault="00BF1842" w:rsidP="00F03692">
      <w:pPr>
        <w:spacing w:after="120" w:line="276" w:lineRule="auto"/>
        <w:ind w:firstLine="709"/>
        <w:jc w:val="both"/>
        <w:rPr>
          <w:rFonts w:ascii="Arial" w:hAnsi="Arial" w:cs="Arial"/>
        </w:rPr>
      </w:pPr>
      <w:r w:rsidRPr="00CA5C6B">
        <w:rPr>
          <w:rFonts w:ascii="Arial" w:hAnsi="Arial" w:cs="Arial"/>
        </w:rPr>
        <w:t xml:space="preserve">La Agencia Nacional de Contratación Pública </w:t>
      </w:r>
      <w:r w:rsidR="00F938B9">
        <w:rPr>
          <w:rFonts w:ascii="Arial" w:hAnsi="Arial" w:cs="Arial"/>
        </w:rPr>
        <w:t>–</w:t>
      </w:r>
      <w:r w:rsidRPr="00CA5C6B">
        <w:rPr>
          <w:rFonts w:ascii="Arial" w:hAnsi="Arial" w:cs="Arial"/>
        </w:rPr>
        <w:t xml:space="preserve"> Colombia Compra Eficiente </w:t>
      </w:r>
      <w:r w:rsidRPr="00CA5C6B">
        <w:rPr>
          <w:rFonts w:ascii="Arial" w:eastAsia="Calibri" w:hAnsi="Arial" w:cs="Arial"/>
        </w:rPr>
        <w:t>e</w:t>
      </w:r>
      <w:r w:rsidRPr="00CA5C6B">
        <w:rPr>
          <w:rFonts w:ascii="Arial" w:hAnsi="Arial" w:cs="Arial"/>
        </w:rPr>
        <w:t>n los conceptos C–144 de</w:t>
      </w:r>
      <w:r>
        <w:rPr>
          <w:rFonts w:ascii="Arial" w:hAnsi="Arial" w:cs="Arial"/>
        </w:rPr>
        <w:t>l</w:t>
      </w:r>
      <w:r w:rsidRPr="00CA5C6B">
        <w:rPr>
          <w:rFonts w:ascii="Arial" w:hAnsi="Arial" w:cs="Arial"/>
        </w:rPr>
        <w:t xml:space="preserve">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w:t>
      </w:r>
      <w:r>
        <w:rPr>
          <w:rFonts w:ascii="Arial" w:hAnsi="Arial" w:cs="Arial"/>
        </w:rPr>
        <w:t xml:space="preserve">, </w:t>
      </w:r>
      <w:r w:rsidRPr="00CA5C6B">
        <w:rPr>
          <w:rFonts w:ascii="Arial" w:hAnsi="Arial" w:cs="Arial"/>
        </w:rPr>
        <w:t>C-775 de 2020 del 11 de diciembre de 2020</w:t>
      </w:r>
      <w:r>
        <w:rPr>
          <w:rFonts w:ascii="Arial" w:hAnsi="Arial" w:cs="Arial"/>
        </w:rPr>
        <w:t>, C-064 del 8 de marzo de 2021,</w:t>
      </w:r>
      <w:r w:rsidRPr="00CA5C6B">
        <w:rPr>
          <w:rFonts w:ascii="Arial" w:hAnsi="Arial" w:cs="Arial"/>
        </w:rPr>
        <w:t xml:space="preserve"> explicó el principio de inalterabilidad de los documentos tipo y sus excepciones</w:t>
      </w:r>
      <w:r w:rsidR="00F03692">
        <w:rPr>
          <w:rFonts w:ascii="Arial" w:hAnsi="Arial" w:cs="Arial"/>
        </w:rPr>
        <w:t>.</w:t>
      </w:r>
    </w:p>
    <w:p w14:paraId="121FCACC" w14:textId="7976507F" w:rsidR="00F03692" w:rsidRPr="0063541B" w:rsidRDefault="00F03692" w:rsidP="00F03692">
      <w:pPr>
        <w:spacing w:after="0" w:line="276" w:lineRule="auto"/>
        <w:ind w:firstLine="709"/>
        <w:jc w:val="both"/>
        <w:rPr>
          <w:rFonts w:ascii="Arial" w:eastAsia="Calibri" w:hAnsi="Arial" w:cs="Arial"/>
          <w:lang w:val="es-MX"/>
        </w:rPr>
      </w:pPr>
      <w:r w:rsidRPr="0063541B">
        <w:rPr>
          <w:rFonts w:ascii="Arial" w:hAnsi="Arial" w:cs="Arial"/>
        </w:rPr>
        <w:t xml:space="preserve">Por otra parte, en los conceptos </w:t>
      </w:r>
      <w:r w:rsidR="00843371" w:rsidRPr="0063541B">
        <w:rPr>
          <w:rFonts w:ascii="Arial" w:hAnsi="Arial" w:cs="Arial"/>
        </w:rPr>
        <w:t xml:space="preserve">4201912000007142 del 2 de diciembre de 2019, </w:t>
      </w:r>
      <w:r w:rsidR="001F2548" w:rsidRPr="0063541B">
        <w:rPr>
          <w:rFonts w:ascii="Arial" w:hAnsi="Arial" w:cs="Arial"/>
        </w:rPr>
        <w:t xml:space="preserve">4201912000007593 del 9 de diciembre de 2019, </w:t>
      </w:r>
      <w:r w:rsidR="00B27947" w:rsidRPr="0063541B">
        <w:rPr>
          <w:rFonts w:ascii="Arial" w:hAnsi="Arial" w:cs="Arial"/>
        </w:rPr>
        <w:t xml:space="preserve">4201912000008083 del 23 de diciembre de 2019, </w:t>
      </w:r>
      <w:r w:rsidR="00963EE4" w:rsidRPr="0063541B">
        <w:rPr>
          <w:rFonts w:ascii="Arial" w:hAnsi="Arial" w:cs="Arial"/>
        </w:rPr>
        <w:t xml:space="preserve">C-097 del 3 de marzo de 2020, </w:t>
      </w:r>
      <w:r w:rsidRPr="0063541B">
        <w:rPr>
          <w:rFonts w:ascii="Arial" w:hAnsi="Arial" w:cs="Arial"/>
          <w:color w:val="000000" w:themeColor="text1"/>
        </w:rPr>
        <w:t xml:space="preserve">C-154 del 1 de abril de 2020, C-207 del </w:t>
      </w:r>
      <w:r w:rsidRPr="0063541B">
        <w:rPr>
          <w:rFonts w:ascii="Arial" w:hAnsi="Arial" w:cs="Arial"/>
        </w:rPr>
        <w:t xml:space="preserve">13 de abril de 2020, </w:t>
      </w:r>
      <w:r w:rsidRPr="0063541B">
        <w:rPr>
          <w:rFonts w:ascii="Arial" w:eastAsia="Calibri" w:hAnsi="Arial" w:cs="Arial"/>
          <w:color w:val="000000" w:themeColor="text1"/>
        </w:rPr>
        <w:t xml:space="preserve">C-244 del 27 de abril de 2020, C-259 del 15 de abril de 2020 y C-635 del </w:t>
      </w:r>
      <w:r w:rsidRPr="0063541B">
        <w:rPr>
          <w:rFonts w:ascii="Arial" w:hAnsi="Arial" w:cs="Arial"/>
          <w:color w:val="000000" w:themeColor="text1"/>
          <w:lang w:val="es-ES"/>
        </w:rPr>
        <w:t>29 de octubre de 2020</w:t>
      </w:r>
      <w:r w:rsidR="00F4683E">
        <w:rPr>
          <w:rFonts w:ascii="Arial" w:hAnsi="Arial" w:cs="Arial"/>
          <w:color w:val="000000" w:themeColor="text1"/>
          <w:lang w:val="es-ES"/>
        </w:rPr>
        <w:t xml:space="preserve"> se pronunció sobre </w:t>
      </w:r>
      <w:r w:rsidR="00F4683E">
        <w:rPr>
          <w:rFonts w:ascii="Arial" w:eastAsia="Calibri" w:hAnsi="Arial" w:cs="Arial"/>
          <w:color w:val="000000"/>
        </w:rPr>
        <w:t>la c</w:t>
      </w:r>
      <w:r w:rsidR="00F4683E" w:rsidRPr="0063541B">
        <w:rPr>
          <w:rFonts w:ascii="Arial" w:eastAsia="Calibri" w:hAnsi="Arial" w:cs="Arial"/>
          <w:color w:val="000000"/>
        </w:rPr>
        <w:t xml:space="preserve">ombinación de experiencia en los </w:t>
      </w:r>
      <w:r w:rsidR="00F938B9" w:rsidRPr="0063541B">
        <w:rPr>
          <w:rFonts w:ascii="Arial" w:eastAsia="Calibri" w:hAnsi="Arial" w:cs="Arial"/>
          <w:color w:val="000000"/>
        </w:rPr>
        <w:t>documentos tipo</w:t>
      </w:r>
      <w:r w:rsidR="00F938B9" w:rsidRPr="0063541B">
        <w:rPr>
          <w:rFonts w:ascii="Arial" w:hAnsi="Arial" w:cs="Arial"/>
          <w:color w:val="000000" w:themeColor="text1"/>
          <w:lang w:val="es-ES"/>
        </w:rPr>
        <w:t xml:space="preserve"> </w:t>
      </w:r>
      <w:r w:rsidR="00F938B9">
        <w:rPr>
          <w:rFonts w:ascii="Arial" w:eastAsia="Calibri" w:hAnsi="Arial" w:cs="Arial"/>
        </w:rPr>
        <w:t>E</w:t>
      </w:r>
      <w:r w:rsidR="00F938B9" w:rsidRPr="0063541B">
        <w:rPr>
          <w:rFonts w:ascii="Arial" w:eastAsia="Calibri" w:hAnsi="Arial" w:cs="Arial"/>
        </w:rPr>
        <w:t>n lo pertinente</w:t>
      </w:r>
      <w:r w:rsidR="00F938B9">
        <w:rPr>
          <w:rFonts w:ascii="Arial" w:eastAsia="Calibri" w:hAnsi="Arial" w:cs="Arial"/>
        </w:rPr>
        <w:t>, l</w:t>
      </w:r>
      <w:r w:rsidRPr="0063541B">
        <w:rPr>
          <w:rFonts w:ascii="Arial" w:eastAsia="Calibri" w:hAnsi="Arial" w:cs="Arial"/>
        </w:rPr>
        <w:t>as tesis desarrolladas en estos conceptos</w:t>
      </w:r>
      <w:r w:rsidR="00F938B9">
        <w:rPr>
          <w:rFonts w:ascii="Arial" w:eastAsia="Calibri" w:hAnsi="Arial" w:cs="Arial"/>
        </w:rPr>
        <w:t xml:space="preserve"> </w:t>
      </w:r>
      <w:r w:rsidRPr="0063541B">
        <w:rPr>
          <w:rFonts w:ascii="Arial" w:eastAsia="Calibri" w:hAnsi="Arial" w:cs="Arial"/>
        </w:rPr>
        <w:t xml:space="preserve">se </w:t>
      </w:r>
      <w:r w:rsidR="00F938B9">
        <w:rPr>
          <w:rFonts w:ascii="Arial" w:eastAsia="Calibri" w:hAnsi="Arial" w:cs="Arial"/>
        </w:rPr>
        <w:t>reiteran</w:t>
      </w:r>
      <w:r w:rsidRPr="0063541B">
        <w:rPr>
          <w:rFonts w:ascii="Arial" w:eastAsia="Calibri" w:hAnsi="Arial" w:cs="Arial"/>
        </w:rPr>
        <w:t xml:space="preserve"> a continuación:</w:t>
      </w:r>
    </w:p>
    <w:p w14:paraId="4CF456C1" w14:textId="77777777" w:rsidR="00BF1842" w:rsidRPr="009B66A6" w:rsidRDefault="00BF1842" w:rsidP="00F03692">
      <w:pPr>
        <w:spacing w:after="0" w:line="276" w:lineRule="auto"/>
        <w:jc w:val="both"/>
        <w:rPr>
          <w:rFonts w:ascii="Arial" w:eastAsia="Calibri" w:hAnsi="Arial" w:cs="Arial"/>
          <w:lang w:val="es-MX"/>
        </w:rPr>
      </w:pPr>
    </w:p>
    <w:p w14:paraId="1B14CA9B" w14:textId="5551B6A1" w:rsidR="009B66A6" w:rsidRDefault="009B66A6" w:rsidP="00F03692">
      <w:pPr>
        <w:spacing w:after="0" w:line="276" w:lineRule="auto"/>
        <w:jc w:val="both"/>
        <w:rPr>
          <w:rFonts w:ascii="Arial" w:eastAsia="Calibri" w:hAnsi="Arial" w:cs="Arial"/>
          <w:b/>
          <w:bCs/>
          <w:lang w:val="es-MX"/>
        </w:rPr>
      </w:pPr>
      <w:r w:rsidRPr="009B66A6">
        <w:rPr>
          <w:rFonts w:ascii="Arial" w:eastAsia="Calibri" w:hAnsi="Arial" w:cs="Arial"/>
          <w:b/>
          <w:bCs/>
          <w:lang w:val="es-MX"/>
        </w:rPr>
        <w:t xml:space="preserve">2.1. Fundamentos jurídicos para la expedición de los documentos tipo </w:t>
      </w:r>
    </w:p>
    <w:p w14:paraId="3AD80F56" w14:textId="77777777" w:rsidR="00BF1842" w:rsidRPr="009B66A6" w:rsidRDefault="00BF1842" w:rsidP="00BF1842">
      <w:pPr>
        <w:spacing w:after="0" w:line="276" w:lineRule="auto"/>
        <w:jc w:val="both"/>
        <w:rPr>
          <w:rFonts w:ascii="Arial" w:eastAsia="Calibri" w:hAnsi="Arial" w:cs="Arial"/>
          <w:b/>
          <w:bCs/>
          <w:lang w:val="es-MX"/>
        </w:rPr>
      </w:pPr>
    </w:p>
    <w:p w14:paraId="234730BD" w14:textId="77777777" w:rsidR="009B66A6" w:rsidRPr="009B66A6" w:rsidRDefault="009B66A6" w:rsidP="00BF1842">
      <w:pPr>
        <w:shd w:val="clear" w:color="auto" w:fill="FFFFFF"/>
        <w:spacing w:after="120" w:line="276" w:lineRule="auto"/>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 xml:space="preserve">Los llamados pliegos tipo aparecieron en nuestro ordenamiento jurídico en el 2007, cuando el legislador facultó al Gobierno Nacional para adoptarlos en la compra o suministro de </w:t>
      </w:r>
      <w:r w:rsidRPr="009B66A6">
        <w:rPr>
          <w:rFonts w:ascii="Arial" w:eastAsia="Times New Roman" w:hAnsi="Arial" w:cs="Arial"/>
          <w:color w:val="0D0D0D"/>
          <w:bdr w:val="none" w:sz="0" w:space="0" w:color="auto" w:frame="1"/>
          <w:lang w:eastAsia="es-CO"/>
        </w:rPr>
        <w:lastRenderedPageBreak/>
        <w:t>bienes de características técnicas uniformes</w:t>
      </w:r>
      <w:r w:rsidRPr="009B66A6">
        <w:rPr>
          <w:rFonts w:ascii="Arial" w:eastAsia="Times New Roman" w:hAnsi="Arial" w:cs="Arial"/>
          <w:color w:val="0D0D0D"/>
          <w:bdr w:val="none" w:sz="0" w:space="0" w:color="auto" w:frame="1"/>
          <w:vertAlign w:val="superscript"/>
          <w:lang w:eastAsia="es-CO"/>
        </w:rPr>
        <w:footnoteReference w:id="2"/>
      </w:r>
      <w:r w:rsidRPr="009B66A6">
        <w:rPr>
          <w:rFonts w:ascii="Arial" w:eastAsia="Times New Roman" w:hAnsi="Arial" w:cs="Arial"/>
          <w:color w:val="0D0D0D"/>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9B66A6">
        <w:rPr>
          <w:rFonts w:ascii="Arial" w:eastAsia="Times New Roman" w:hAnsi="Arial" w:cs="Arial"/>
          <w:color w:val="0D0D0D"/>
          <w:bdr w:val="none" w:sz="0" w:space="0" w:color="auto" w:frame="1"/>
          <w:vertAlign w:val="superscript"/>
          <w:lang w:eastAsia="es-CO"/>
        </w:rPr>
        <w:footnoteReference w:id="3"/>
      </w:r>
      <w:r w:rsidRPr="009B66A6">
        <w:rPr>
          <w:rFonts w:ascii="Arial" w:eastAsia="Times New Roman" w:hAnsi="Arial" w:cs="Arial"/>
          <w:color w:val="0D0D0D"/>
          <w:bdr w:val="none" w:sz="0" w:space="0" w:color="auto" w:frame="1"/>
          <w:lang w:eastAsia="es-CO"/>
        </w:rPr>
        <w:t>. </w:t>
      </w:r>
    </w:p>
    <w:p w14:paraId="7D258F9C" w14:textId="77777777" w:rsidR="009B66A6" w:rsidRPr="009B66A6" w:rsidRDefault="009B66A6" w:rsidP="009B66A6">
      <w:pPr>
        <w:shd w:val="clear" w:color="auto" w:fill="FFFFFF"/>
        <w:spacing w:before="120" w:after="0" w:line="276" w:lineRule="auto"/>
        <w:ind w:firstLine="708"/>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9B66A6">
        <w:rPr>
          <w:rFonts w:ascii="Arial" w:eastAsia="Times New Roman" w:hAnsi="Arial" w:cs="Arial"/>
          <w:color w:val="0D0D0D"/>
          <w:bdr w:val="none" w:sz="0" w:space="0" w:color="auto" w:frame="1"/>
          <w:vertAlign w:val="superscript"/>
          <w:lang w:eastAsia="es-CO"/>
        </w:rPr>
        <w:footnoteReference w:id="4"/>
      </w:r>
      <w:r w:rsidRPr="009B66A6">
        <w:rPr>
          <w:rFonts w:ascii="Arial" w:eastAsia="Times New Roman" w:hAnsi="Arial" w:cs="Arial"/>
          <w:color w:val="0D0D0D"/>
          <w:bdr w:val="none" w:sz="0" w:space="0" w:color="auto" w:frame="1"/>
          <w:lang w:eastAsia="es-CO"/>
        </w:rPr>
        <w:t>. Sin embargo, en el texto aprobado, los pliegos tipo se limitaron a la adquisición o suministro de bienes de características técnicas uniformes</w:t>
      </w:r>
      <w:r w:rsidRPr="009B66A6">
        <w:rPr>
          <w:rFonts w:ascii="Arial" w:eastAsia="Times New Roman" w:hAnsi="Arial" w:cs="Arial"/>
          <w:color w:val="0D0D0D"/>
          <w:bdr w:val="none" w:sz="0" w:space="0" w:color="auto" w:frame="1"/>
          <w:vertAlign w:val="superscript"/>
          <w:lang w:eastAsia="es-CO"/>
        </w:rPr>
        <w:footnoteReference w:id="5"/>
      </w:r>
      <w:r w:rsidRPr="009B66A6">
        <w:rPr>
          <w:rFonts w:ascii="Arial" w:eastAsia="Times New Roman" w:hAnsi="Arial" w:cs="Arial"/>
          <w:color w:val="0D0D0D"/>
          <w:bdr w:val="none" w:sz="0" w:space="0" w:color="auto" w:frame="1"/>
          <w:lang w:eastAsia="es-CO"/>
        </w:rPr>
        <w:t>. </w:t>
      </w:r>
    </w:p>
    <w:p w14:paraId="2503426B" w14:textId="77777777" w:rsidR="009B66A6" w:rsidRPr="009B66A6" w:rsidRDefault="009B66A6" w:rsidP="009B66A6">
      <w:pPr>
        <w:shd w:val="clear" w:color="auto" w:fill="FFFFFF"/>
        <w:spacing w:before="120" w:after="0" w:line="276" w:lineRule="auto"/>
        <w:ind w:firstLine="709"/>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0917C855" w14:textId="77777777" w:rsidR="009B66A6" w:rsidRPr="009B66A6" w:rsidRDefault="009B66A6" w:rsidP="009B66A6">
      <w:pPr>
        <w:shd w:val="clear" w:color="auto" w:fill="FFFFFF"/>
        <w:spacing w:after="0" w:line="276" w:lineRule="auto"/>
        <w:ind w:firstLine="709"/>
        <w:jc w:val="both"/>
        <w:rPr>
          <w:rFonts w:ascii="Arial" w:eastAsia="Times New Roman" w:hAnsi="Arial" w:cs="Arial"/>
          <w:color w:val="000000"/>
          <w:lang w:eastAsia="es-CO"/>
        </w:rPr>
      </w:pPr>
    </w:p>
    <w:p w14:paraId="706D26F7" w14:textId="77777777" w:rsidR="009B66A6" w:rsidRPr="009B66A6" w:rsidRDefault="009B66A6" w:rsidP="009B66A6">
      <w:pPr>
        <w:shd w:val="clear" w:color="auto" w:fill="FFFFFF"/>
        <w:spacing w:after="0" w:line="240" w:lineRule="auto"/>
        <w:ind w:left="709" w:right="709"/>
        <w:jc w:val="both"/>
        <w:rPr>
          <w:rFonts w:ascii="Arial" w:eastAsia="Times New Roman" w:hAnsi="Arial" w:cs="Arial"/>
          <w:color w:val="0D0D0D"/>
          <w:sz w:val="21"/>
          <w:szCs w:val="21"/>
          <w:bdr w:val="none" w:sz="0" w:space="0" w:color="auto" w:frame="1"/>
          <w:lang w:eastAsia="es-CO"/>
        </w:rPr>
      </w:pPr>
      <w:r w:rsidRPr="009B66A6">
        <w:rPr>
          <w:rFonts w:ascii="Arial" w:eastAsia="Times New Roman"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9B66A6">
        <w:rPr>
          <w:rFonts w:ascii="Arial" w:eastAsia="Times New Roman"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9B66A6">
        <w:rPr>
          <w:rFonts w:ascii="Arial" w:eastAsia="Times New Roman" w:hAnsi="Arial" w:cs="Arial"/>
          <w:color w:val="0D0D0D"/>
          <w:sz w:val="21"/>
          <w:szCs w:val="21"/>
          <w:bdr w:val="none" w:sz="0" w:space="0" w:color="auto" w:frame="1"/>
          <w:lang w:eastAsia="es-CO"/>
        </w:rPr>
        <w:t> […] </w:t>
      </w:r>
      <w:r w:rsidRPr="009B66A6">
        <w:rPr>
          <w:rFonts w:ascii="Arial" w:eastAsia="Times New Roman" w:hAnsi="Arial" w:cs="Arial"/>
          <w:i/>
          <w:iCs/>
          <w:color w:val="0D0D0D"/>
          <w:sz w:val="21"/>
          <w:szCs w:val="21"/>
          <w:bdr w:val="none" w:sz="0" w:space="0" w:color="auto" w:frame="1"/>
          <w:lang w:eastAsia="es-CO"/>
        </w:rPr>
        <w:t>teniendo en cuenta la naturaleza y cuantía de los contratos</w:t>
      </w:r>
      <w:r w:rsidRPr="009B66A6">
        <w:rPr>
          <w:rFonts w:ascii="Arial" w:eastAsia="Times New Roman" w:hAnsi="Arial" w:cs="Arial"/>
          <w:color w:val="0D0D0D"/>
          <w:sz w:val="21"/>
          <w:szCs w:val="21"/>
          <w:bdr w:val="none" w:sz="0" w:space="0" w:color="auto" w:frame="1"/>
          <w:lang w:eastAsia="es-CO"/>
        </w:rPr>
        <w:t> […]. (Énfasis fuera de texto) </w:t>
      </w:r>
    </w:p>
    <w:p w14:paraId="267CB384" w14:textId="77777777" w:rsidR="009B66A6" w:rsidRPr="009B66A6" w:rsidRDefault="009B66A6" w:rsidP="009B66A6">
      <w:pPr>
        <w:shd w:val="clear" w:color="auto" w:fill="FFFFFF"/>
        <w:spacing w:after="0" w:line="276" w:lineRule="auto"/>
        <w:ind w:left="709" w:right="709"/>
        <w:jc w:val="both"/>
        <w:rPr>
          <w:rFonts w:ascii="Arial" w:eastAsia="Times New Roman" w:hAnsi="Arial" w:cs="Arial"/>
          <w:color w:val="000000"/>
          <w:lang w:eastAsia="es-CO"/>
        </w:rPr>
      </w:pPr>
    </w:p>
    <w:p w14:paraId="18FF8414" w14:textId="77777777" w:rsidR="009B66A6" w:rsidRPr="009B66A6" w:rsidRDefault="009B66A6" w:rsidP="009B66A6">
      <w:pPr>
        <w:shd w:val="clear" w:color="auto" w:fill="FFFFFF"/>
        <w:spacing w:after="0" w:line="276" w:lineRule="auto"/>
        <w:ind w:firstLine="708"/>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9B66A6">
        <w:rPr>
          <w:rFonts w:ascii="Arial" w:eastAsia="Times New Roman" w:hAnsi="Arial" w:cs="Arial"/>
          <w:color w:val="0D0D0D"/>
          <w:bdr w:val="none" w:sz="0" w:space="0" w:color="auto" w:frame="1"/>
          <w:lang w:eastAsia="es-CO"/>
        </w:rPr>
        <w:t>ii</w:t>
      </w:r>
      <w:proofErr w:type="spellEnd"/>
      <w:r w:rsidRPr="009B66A6">
        <w:rPr>
          <w:rFonts w:ascii="Arial" w:eastAsia="Times New Roman" w:hAnsi="Arial" w:cs="Arial"/>
          <w:color w:val="0D0D0D"/>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9B66A6">
        <w:rPr>
          <w:rFonts w:ascii="Arial" w:eastAsia="Times New Roman" w:hAnsi="Arial" w:cs="Arial"/>
          <w:color w:val="0D0D0D"/>
          <w:bdr w:val="none" w:sz="0" w:space="0" w:color="auto" w:frame="1"/>
          <w:lang w:eastAsia="es-CO"/>
        </w:rPr>
        <w:t>iii</w:t>
      </w:r>
      <w:proofErr w:type="spellEnd"/>
      <w:r w:rsidRPr="009B66A6">
        <w:rPr>
          <w:rFonts w:ascii="Arial" w:eastAsia="Times New Roman" w:hAnsi="Arial" w:cs="Arial"/>
          <w:color w:val="0D0D0D"/>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9B66A6">
        <w:rPr>
          <w:rFonts w:ascii="Arial" w:eastAsia="Times New Roman" w:hAnsi="Arial" w:cs="Arial"/>
          <w:color w:val="0D0D0D"/>
          <w:bdr w:val="none" w:sz="0" w:space="0" w:color="auto" w:frame="1"/>
          <w:lang w:eastAsia="es-CO"/>
        </w:rPr>
        <w:t>iv</w:t>
      </w:r>
      <w:proofErr w:type="spellEnd"/>
      <w:r w:rsidRPr="009B66A6">
        <w:rPr>
          <w:rFonts w:ascii="Arial" w:eastAsia="Times New Roman" w:hAnsi="Arial" w:cs="Arial"/>
          <w:color w:val="0D0D0D"/>
          <w:bdr w:val="none" w:sz="0" w:space="0" w:color="auto" w:frame="1"/>
          <w:lang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9B66A6">
        <w:rPr>
          <w:rFonts w:ascii="Arial" w:eastAsia="Times New Roman" w:hAnsi="Arial" w:cs="Arial"/>
          <w:color w:val="0D0D0D"/>
          <w:bdr w:val="none" w:sz="0" w:space="0" w:color="auto" w:frame="1"/>
          <w:vertAlign w:val="superscript"/>
          <w:lang w:eastAsia="es-CO"/>
        </w:rPr>
        <w:footnoteReference w:id="6"/>
      </w:r>
      <w:r w:rsidRPr="009B66A6">
        <w:rPr>
          <w:rFonts w:ascii="Arial" w:eastAsia="Times New Roman" w:hAnsi="Arial" w:cs="Arial"/>
          <w:color w:val="0D0D0D"/>
          <w:bdr w:val="none" w:sz="0" w:space="0" w:color="auto" w:frame="1"/>
          <w:lang w:eastAsia="es-CO"/>
        </w:rPr>
        <w:t>.  </w:t>
      </w:r>
    </w:p>
    <w:p w14:paraId="1D7AC4CA" w14:textId="77777777" w:rsidR="009B66A6" w:rsidRPr="009B66A6" w:rsidRDefault="009B66A6" w:rsidP="009B66A6">
      <w:pPr>
        <w:shd w:val="clear" w:color="auto" w:fill="FFFFFF"/>
        <w:spacing w:before="120" w:after="0" w:line="276" w:lineRule="auto"/>
        <w:ind w:firstLine="703"/>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09DC44D7" w14:textId="77777777" w:rsidR="009B66A6" w:rsidRPr="009B66A6" w:rsidRDefault="009B66A6" w:rsidP="009B66A6">
      <w:pPr>
        <w:shd w:val="clear" w:color="auto" w:fill="FFFFFF"/>
        <w:spacing w:before="120" w:after="0" w:line="276" w:lineRule="auto"/>
        <w:ind w:firstLine="705"/>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62499C35" w14:textId="77777777" w:rsidR="009B66A6" w:rsidRPr="009B66A6" w:rsidRDefault="009B66A6" w:rsidP="009B66A6">
      <w:pPr>
        <w:shd w:val="clear" w:color="auto" w:fill="FFFFFF"/>
        <w:spacing w:before="120" w:after="0" w:line="276" w:lineRule="auto"/>
        <w:ind w:firstLine="705"/>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3CFA8E9F" w14:textId="77777777" w:rsidR="009B66A6" w:rsidRPr="009B66A6" w:rsidRDefault="009B66A6" w:rsidP="009B66A6">
      <w:pPr>
        <w:shd w:val="clear" w:color="auto" w:fill="FFFFFF"/>
        <w:spacing w:before="120" w:after="0" w:line="276" w:lineRule="auto"/>
        <w:ind w:firstLine="705"/>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733E3CC8" w14:textId="77777777" w:rsidR="009B66A6" w:rsidRPr="009B66A6" w:rsidRDefault="009B66A6" w:rsidP="009B66A6">
      <w:pPr>
        <w:shd w:val="clear" w:color="auto" w:fill="FFFFFF"/>
        <w:spacing w:before="120" w:after="0" w:line="276" w:lineRule="auto"/>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35AEA863" w14:textId="77777777" w:rsidR="009B66A6" w:rsidRPr="009B66A6" w:rsidRDefault="009B66A6" w:rsidP="009B66A6">
      <w:pPr>
        <w:shd w:val="clear" w:color="auto" w:fill="FFFFFF"/>
        <w:spacing w:before="120" w:after="0" w:line="276" w:lineRule="auto"/>
        <w:ind w:firstLine="708"/>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 xml:space="preserve">El Gobierno Nacional ejerció nuevamente la competencia prevista en el citado artículo 4 de la Ley 1882 de 2018, expidiendo el Decreto 2096 de 2019. A través de él se </w:t>
      </w:r>
      <w:r w:rsidRPr="009B66A6">
        <w:rPr>
          <w:rFonts w:ascii="Arial" w:eastAsia="Times New Roman" w:hAnsi="Arial" w:cs="Arial"/>
          <w:color w:val="0D0D0D"/>
          <w:bdr w:val="none" w:sz="0" w:space="0" w:color="auto" w:frame="1"/>
          <w:lang w:eastAsia="es-CO"/>
        </w:rPr>
        <w:lastRenderedPageBreak/>
        <w:t>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087EAED1" w14:textId="77777777" w:rsidR="009B66A6" w:rsidRPr="009B66A6" w:rsidRDefault="009B66A6" w:rsidP="009B66A6">
      <w:pPr>
        <w:shd w:val="clear" w:color="auto" w:fill="FFFFFF"/>
        <w:spacing w:before="120" w:after="0" w:line="276" w:lineRule="auto"/>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            El artículo 2.2.1.2.6.2.2 del Decreto 1082 de 2015 contiene el listado de los documentos tipo aplicables a los procesos de selección abreviada de menor cuantía para la contratación de obra pública de infraestructura de transporte. Además, el 2.2.1.2.6.2.3 </w:t>
      </w:r>
      <w:r w:rsidRPr="009B66A6">
        <w:rPr>
          <w:rFonts w:ascii="Arial" w:eastAsia="Times New Roman" w:hAnsi="Arial" w:cs="Arial"/>
          <w:i/>
          <w:iCs/>
          <w:color w:val="0D0D0D"/>
          <w:bdr w:val="none" w:sz="0" w:space="0" w:color="auto" w:frame="1"/>
          <w:lang w:eastAsia="es-CO"/>
        </w:rPr>
        <w:t>ibidem</w:t>
      </w:r>
      <w:r w:rsidRPr="009B66A6">
        <w:rPr>
          <w:rFonts w:ascii="Arial" w:eastAsia="Times New Roman" w:hAnsi="Arial" w:cs="Arial"/>
          <w:color w:val="0D0D0D"/>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7F053B06" w14:textId="77777777" w:rsidR="009B66A6" w:rsidRPr="009B66A6" w:rsidRDefault="009B66A6" w:rsidP="009B66A6">
      <w:pPr>
        <w:shd w:val="clear" w:color="auto" w:fill="FFFFFF"/>
        <w:spacing w:before="120" w:after="0" w:line="276" w:lineRule="auto"/>
        <w:ind w:firstLine="708"/>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06B650BE" w14:textId="77777777" w:rsidR="009B66A6" w:rsidRPr="009B66A6" w:rsidRDefault="009B66A6" w:rsidP="009B66A6">
      <w:pPr>
        <w:shd w:val="clear" w:color="auto" w:fill="FFFFFF"/>
        <w:spacing w:before="120" w:after="0" w:line="276" w:lineRule="auto"/>
        <w:ind w:firstLine="708"/>
        <w:jc w:val="both"/>
        <w:rPr>
          <w:rFonts w:ascii="Arial" w:eastAsia="Times New Roman" w:hAnsi="Arial" w:cs="Arial"/>
          <w:color w:val="0D0D0D"/>
          <w:bdr w:val="none" w:sz="0" w:space="0" w:color="auto" w:frame="1"/>
          <w:lang w:eastAsia="es-CO"/>
        </w:rPr>
      </w:pPr>
      <w:r w:rsidRPr="009B66A6">
        <w:rPr>
          <w:rFonts w:ascii="Arial" w:eastAsia="Times New Roman" w:hAnsi="Arial" w:cs="Arial"/>
          <w:color w:val="0D0D0D"/>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1B442A5E" w14:textId="77777777" w:rsidR="009B66A6" w:rsidRPr="009B66A6" w:rsidRDefault="009B66A6" w:rsidP="009B66A6">
      <w:pPr>
        <w:shd w:val="clear" w:color="auto" w:fill="FFFFFF"/>
        <w:spacing w:before="120" w:after="0" w:line="276" w:lineRule="auto"/>
        <w:ind w:firstLine="708"/>
        <w:jc w:val="both"/>
        <w:rPr>
          <w:rFonts w:ascii="Arial" w:eastAsia="Times New Roman" w:hAnsi="Arial" w:cs="Arial"/>
          <w:color w:val="000000"/>
          <w:lang w:eastAsia="es-CO"/>
        </w:rPr>
      </w:pPr>
      <w:r w:rsidRPr="009B66A6">
        <w:rPr>
          <w:rFonts w:ascii="Arial" w:eastAsia="Times New Roman" w:hAnsi="Arial" w:cs="Arial"/>
          <w:color w:val="0D0D0D"/>
          <w:bdr w:val="none" w:sz="0" w:space="0" w:color="auto" w:frame="1"/>
          <w:lang w:eastAsia="es-CO"/>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expide las Resoluciones No. 240 y 241 del 27 de noviembre 2020 a través de las cuales se adoptan los documentos tipo de licitación de obra pública – versión 3 y de selección abreviada de menor cuantía – versión 2 de infraestructura de transporte, lo cuales son obligatorios a partir del 1º de enero de 2021.  </w:t>
      </w:r>
    </w:p>
    <w:p w14:paraId="211A2B79" w14:textId="77777777" w:rsidR="009B66A6" w:rsidRPr="009B66A6" w:rsidRDefault="009B66A6" w:rsidP="009B66A6">
      <w:pPr>
        <w:shd w:val="clear" w:color="auto" w:fill="FFFFFF"/>
        <w:spacing w:after="0" w:line="276" w:lineRule="auto"/>
        <w:textAlignment w:val="baseline"/>
        <w:rPr>
          <w:rFonts w:ascii="Arial" w:eastAsia="Times New Roman" w:hAnsi="Arial" w:cs="Arial"/>
          <w:color w:val="000000"/>
          <w:lang w:eastAsia="es-CO"/>
        </w:rPr>
      </w:pPr>
    </w:p>
    <w:p w14:paraId="040273D6" w14:textId="77777777" w:rsidR="009B66A6" w:rsidRPr="009B66A6" w:rsidRDefault="009B66A6" w:rsidP="009B66A6">
      <w:pPr>
        <w:shd w:val="clear" w:color="auto" w:fill="FFFFFF"/>
        <w:spacing w:after="0" w:line="276" w:lineRule="auto"/>
        <w:jc w:val="both"/>
        <w:textAlignment w:val="baseline"/>
        <w:rPr>
          <w:rFonts w:ascii="Arial" w:eastAsia="Times New Roman" w:hAnsi="Arial" w:cs="Arial"/>
          <w:b/>
          <w:bCs/>
          <w:color w:val="000000"/>
          <w:lang w:eastAsia="es-CO"/>
        </w:rPr>
      </w:pPr>
      <w:r w:rsidRPr="009B66A6">
        <w:rPr>
          <w:rFonts w:ascii="Arial" w:eastAsia="Times New Roman" w:hAnsi="Arial" w:cs="Arial"/>
          <w:b/>
          <w:bCs/>
          <w:color w:val="000000"/>
          <w:lang w:eastAsia="es-CO"/>
        </w:rPr>
        <w:t xml:space="preserve">2.2. Inalterabilidad de los «Documentos Tipo – Versión 3» de licitación para obra pública de infraestructura de transporte y sus excepciones </w:t>
      </w:r>
    </w:p>
    <w:p w14:paraId="6D229907" w14:textId="77777777" w:rsidR="009B66A6" w:rsidRPr="009B66A6" w:rsidRDefault="009B66A6" w:rsidP="009B66A6">
      <w:pPr>
        <w:shd w:val="clear" w:color="auto" w:fill="FFFFFF"/>
        <w:spacing w:after="0" w:line="276" w:lineRule="auto"/>
        <w:textAlignment w:val="baseline"/>
        <w:rPr>
          <w:rFonts w:ascii="Arial" w:eastAsia="Times New Roman" w:hAnsi="Arial" w:cs="Arial"/>
          <w:b/>
          <w:bCs/>
          <w:color w:val="000000"/>
          <w:lang w:eastAsia="es-CO"/>
        </w:rPr>
      </w:pPr>
    </w:p>
    <w:p w14:paraId="63559BE6" w14:textId="5A49B89E" w:rsidR="009B66A6" w:rsidRPr="009B66A6" w:rsidRDefault="009B66A6" w:rsidP="009B66A6">
      <w:pPr>
        <w:shd w:val="clear" w:color="auto" w:fill="FFFFFF"/>
        <w:spacing w:after="0" w:line="276" w:lineRule="auto"/>
        <w:jc w:val="both"/>
        <w:textAlignment w:val="baseline"/>
        <w:rPr>
          <w:rFonts w:ascii="Arial" w:eastAsia="Times New Roman" w:hAnsi="Arial" w:cs="Arial"/>
          <w:b/>
          <w:bCs/>
          <w:color w:val="000000"/>
          <w:lang w:eastAsia="es-CO"/>
        </w:rPr>
      </w:pPr>
      <w:r w:rsidRPr="009B66A6">
        <w:rPr>
          <w:rFonts w:ascii="Arial" w:eastAsia="Calibri" w:hAnsi="Arial" w:cs="Arial"/>
          <w:bCs/>
          <w:lang w:val="es-ES_tradnl"/>
        </w:rPr>
        <w:t>El artículo 2.2.1.2.6.1.4 del Decreto 1082 de 2015 establece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9B66A6">
        <w:rPr>
          <w:rFonts w:ascii="Arial" w:eastAsia="Calibri" w:hAnsi="Arial" w:cs="Arial"/>
          <w:bCs/>
          <w:vertAlign w:val="superscript"/>
          <w:lang w:val="es-ES_tradnl"/>
        </w:rPr>
        <w:footnoteReference w:id="7"/>
      </w:r>
      <w:r w:rsidRPr="009B66A6">
        <w:rPr>
          <w:rFonts w:ascii="Arial" w:eastAsia="Calibri" w:hAnsi="Arial" w:cs="Arial"/>
          <w:bCs/>
          <w:lang w:val="es-ES_tradnl"/>
        </w:rPr>
        <w:t>. En consecuencia</w:t>
      </w:r>
      <w:bookmarkStart w:id="6" w:name="_Hlk64290904"/>
      <w:r w:rsidRPr="009B66A6">
        <w:rPr>
          <w:rFonts w:ascii="Arial" w:eastAsia="Calibri" w:hAnsi="Arial" w:cs="Arial"/>
          <w:bCs/>
          <w:lang w:val="es-ES_tradnl"/>
        </w:rPr>
        <w:t xml:space="preserve">, las condiciones que sean establecidas en los documentos que adopte </w:t>
      </w:r>
      <w:r w:rsidR="00845031">
        <w:rPr>
          <w:rFonts w:ascii="Arial" w:eastAsia="Calibri" w:hAnsi="Arial" w:cs="Arial"/>
          <w:bCs/>
          <w:lang w:val="es-ES_tradnl"/>
        </w:rPr>
        <w:t>la Agencia</w:t>
      </w:r>
      <w:r w:rsidRPr="009B66A6">
        <w:rPr>
          <w:rFonts w:ascii="Arial" w:eastAsia="Calibri" w:hAnsi="Arial" w:cs="Arial"/>
          <w:bCs/>
          <w:lang w:val="es-ES_tradnl"/>
        </w:rPr>
        <w:t>, en ejercicio del mandato establecido en el artículo 1 de la Ley 2022 de 2020, como se dijo en el numeral anterior, son de obligatorio cumplimiento para las entidades sometidas al Estatuto General de Contratación de la Administración pública que adelanten procesos que deban regirse por su contenido y no pueden variarse los requisitos que en ellos sean fijados.</w:t>
      </w:r>
      <w:bookmarkEnd w:id="6"/>
      <w:r w:rsidRPr="009B66A6">
        <w:rPr>
          <w:rFonts w:ascii="Arial" w:eastAsia="Calibri" w:hAnsi="Arial" w:cs="Arial"/>
          <w:bCs/>
          <w:lang w:val="es-ES_tradnl"/>
        </w:rPr>
        <w:t xml:space="preserve"> </w:t>
      </w:r>
    </w:p>
    <w:p w14:paraId="664AB838" w14:textId="77777777" w:rsidR="009B66A6" w:rsidRPr="009B66A6" w:rsidRDefault="009B66A6" w:rsidP="009B66A6">
      <w:pPr>
        <w:spacing w:before="120" w:after="0" w:line="276" w:lineRule="auto"/>
        <w:ind w:firstLine="709"/>
        <w:jc w:val="both"/>
        <w:rPr>
          <w:rFonts w:ascii="Arial" w:eastAsia="Calibri" w:hAnsi="Arial" w:cs="Arial"/>
          <w:bCs/>
          <w:lang w:val="es-ES_tradnl"/>
        </w:rPr>
      </w:pPr>
      <w:r w:rsidRPr="009B66A6">
        <w:rPr>
          <w:rFonts w:ascii="Arial" w:eastAsia="Calibri" w:hAnsi="Arial" w:cs="Arial"/>
          <w:bCs/>
          <w:lang w:val="es-ES_tradnl"/>
        </w:rPr>
        <w:t xml:space="preserve">Esta prohibición la ratifica el artículo 3 de la Resolución No. 240 de 2020, por medio de las que se implementan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14:paraId="5B8A2B3C" w14:textId="77777777" w:rsidR="009B66A6" w:rsidRPr="009B66A6" w:rsidRDefault="009B66A6" w:rsidP="009B66A6">
      <w:pPr>
        <w:spacing w:before="120" w:after="0" w:line="276" w:lineRule="auto"/>
        <w:ind w:firstLine="708"/>
        <w:jc w:val="both"/>
        <w:rPr>
          <w:rFonts w:ascii="Arial" w:eastAsia="Calibri" w:hAnsi="Arial" w:cs="Arial"/>
          <w:bCs/>
          <w:lang w:val="es-ES_tradnl"/>
        </w:rPr>
      </w:pPr>
      <w:r w:rsidRPr="009B66A6">
        <w:rPr>
          <w:rFonts w:ascii="Arial" w:eastAsia="Calibri" w:hAnsi="Arial" w:cs="Arial"/>
          <w:bCs/>
          <w:lang w:val="es-ES_tradnl"/>
        </w:rPr>
        <w:t xml:space="preserve">Además, las entidades estatales deben garantizar el </w:t>
      </w:r>
      <w:r w:rsidRPr="009B66A6">
        <w:rPr>
          <w:rFonts w:ascii="Arial" w:eastAsia="Calibri" w:hAnsi="Arial" w:cs="Arial"/>
          <w:bCs/>
          <w:i/>
          <w:iCs/>
          <w:lang w:val="es-ES_tradnl"/>
        </w:rPr>
        <w:t>principio de economía</w:t>
      </w:r>
      <w:r w:rsidRPr="009B66A6">
        <w:rPr>
          <w:rFonts w:ascii="Arial" w:eastAsia="Calibri" w:hAnsi="Arial" w:cs="Arial"/>
          <w:bCs/>
          <w:lang w:val="es-ES_tradnl"/>
        </w:rPr>
        <w:t>, del cual se desprende que no pueden exigir documentos o requisitos más allá de los que permitan la Constitución, la ley y los reglamentos. Este postulado ha encontrado eco no solo en la contratación estatal</w:t>
      </w:r>
      <w:r w:rsidRPr="009B66A6">
        <w:rPr>
          <w:rFonts w:ascii="Arial" w:eastAsia="Calibri" w:hAnsi="Arial" w:cs="Arial"/>
          <w:bCs/>
          <w:vertAlign w:val="superscript"/>
          <w:lang w:val="es-ES_tradnl"/>
        </w:rPr>
        <w:footnoteReference w:id="8"/>
      </w:r>
      <w:r w:rsidRPr="009B66A6">
        <w:rPr>
          <w:rFonts w:ascii="Arial" w:eastAsia="Calibri" w:hAnsi="Arial" w:cs="Arial"/>
          <w:bCs/>
          <w:lang w:val="es-ES_tradnl"/>
        </w:rPr>
        <w:t xml:space="preserve"> sino además en la normativa </w:t>
      </w:r>
      <w:proofErr w:type="spellStart"/>
      <w:r w:rsidRPr="009B66A6">
        <w:rPr>
          <w:rFonts w:ascii="Arial" w:eastAsia="Calibri" w:hAnsi="Arial" w:cs="Arial"/>
          <w:bCs/>
          <w:lang w:val="es-ES_tradnl"/>
        </w:rPr>
        <w:t>antitrámites</w:t>
      </w:r>
      <w:proofErr w:type="spellEnd"/>
      <w:r w:rsidRPr="009B66A6">
        <w:rPr>
          <w:rFonts w:ascii="Arial" w:eastAsia="Calibri" w:hAnsi="Arial" w:cs="Arial"/>
          <w:bCs/>
          <w:vertAlign w:val="superscript"/>
          <w:lang w:val="es-ES_tradnl"/>
        </w:rPr>
        <w:footnoteReference w:id="9"/>
      </w:r>
      <w:r w:rsidRPr="009B66A6">
        <w:rPr>
          <w:rFonts w:ascii="Arial" w:eastAsia="Calibri" w:hAnsi="Arial" w:cs="Arial"/>
          <w:bCs/>
          <w:lang w:val="es-ES_tradnl"/>
        </w:rPr>
        <w:t xml:space="preserve">; pues se inscribe dentro de la tendencia de simplificación y racionalización de los procedimientos administrativos. De </w:t>
      </w:r>
      <w:r w:rsidRPr="009B66A6">
        <w:rPr>
          <w:rFonts w:ascii="Arial" w:eastAsia="Calibri" w:hAnsi="Arial" w:cs="Arial"/>
          <w:bCs/>
          <w:lang w:val="es-ES_tradnl"/>
        </w:rPr>
        <w:lastRenderedPageBreak/>
        <w:t>ahí que cuando las autoridades solicitan la entrega de documentación innecesaria, menoscaban el principio de economía.</w:t>
      </w:r>
    </w:p>
    <w:p w14:paraId="5EA99667" w14:textId="470C5467" w:rsidR="009B66A6" w:rsidRPr="009B66A6" w:rsidRDefault="009B66A6" w:rsidP="009B66A6">
      <w:pPr>
        <w:spacing w:before="120" w:after="0" w:line="276" w:lineRule="auto"/>
        <w:ind w:firstLine="709"/>
        <w:jc w:val="both"/>
        <w:rPr>
          <w:rFonts w:ascii="Arial" w:eastAsia="Calibri" w:hAnsi="Arial" w:cs="Arial"/>
          <w:lang w:val="es-MX"/>
        </w:rPr>
      </w:pPr>
      <w:r w:rsidRPr="009B66A6">
        <w:rPr>
          <w:rFonts w:ascii="Arial" w:eastAsia="Calibri" w:hAnsi="Arial" w:cs="Arial"/>
          <w:lang w:val="es-MX"/>
        </w:rPr>
        <w:t>Por su parte, la parte introductoria de los documentos tipo dispone que los aspectos incluidos en corchetes y resaltado gris –</w:t>
      </w:r>
      <w:r w:rsidRPr="009B66A6">
        <w:rPr>
          <w:rFonts w:ascii="Arial" w:eastAsia="Calibri" w:hAnsi="Arial" w:cs="Arial"/>
          <w:highlight w:val="lightGray"/>
          <w:lang w:val="es-MX"/>
        </w:rPr>
        <w:t>[texto de ejemplo]</w:t>
      </w:r>
      <w:r w:rsidRPr="009B66A6">
        <w:rPr>
          <w:rFonts w:ascii="Arial" w:eastAsia="Calibri" w:hAnsi="Arial" w:cs="Arial"/>
          <w:lang w:val="es-MX"/>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w:t>
      </w:r>
      <w:r w:rsidR="00EE340C" w:rsidRPr="009B66A6">
        <w:rPr>
          <w:rFonts w:ascii="Arial" w:eastAsia="Calibri" w:hAnsi="Arial" w:cs="Arial"/>
          <w:lang w:val="es-MX"/>
        </w:rPr>
        <w:t>documentos tipo</w:t>
      </w:r>
      <w:r w:rsidRPr="009B66A6">
        <w:rPr>
          <w:rFonts w:ascii="Arial" w:eastAsia="Calibri" w:hAnsi="Arial" w:cs="Arial"/>
          <w:lang w:val="es-MX"/>
        </w:rPr>
        <w:t xml:space="preserve">, de acuerdo con su necesidad y las instrucciones que precise el </w:t>
      </w:r>
      <w:r w:rsidR="00B25B99">
        <w:rPr>
          <w:rFonts w:ascii="Arial" w:eastAsia="Calibri" w:hAnsi="Arial" w:cs="Arial"/>
          <w:lang w:val="es-MX"/>
        </w:rPr>
        <w:t>p</w:t>
      </w:r>
      <w:r w:rsidRPr="009B66A6">
        <w:rPr>
          <w:rFonts w:ascii="Arial" w:eastAsia="Calibri" w:hAnsi="Arial" w:cs="Arial"/>
          <w:lang w:val="es-MX"/>
        </w:rPr>
        <w:t xml:space="preserve">liego. </w:t>
      </w:r>
    </w:p>
    <w:p w14:paraId="2AFBE60E" w14:textId="3F0ED75F" w:rsidR="009B66A6" w:rsidRPr="009B66A6" w:rsidRDefault="009B66A6" w:rsidP="009B66A6">
      <w:pPr>
        <w:spacing w:before="120" w:after="0" w:line="276" w:lineRule="auto"/>
        <w:ind w:firstLine="709"/>
        <w:jc w:val="both"/>
        <w:rPr>
          <w:rFonts w:ascii="Arial" w:eastAsia="Calibri" w:hAnsi="Arial" w:cs="Arial"/>
          <w:bCs/>
          <w:lang w:val="es-MX"/>
        </w:rPr>
      </w:pPr>
      <w:r w:rsidRPr="009B66A6">
        <w:rPr>
          <w:rFonts w:ascii="Arial" w:eastAsia="Calibri" w:hAnsi="Arial" w:cs="Arial"/>
          <w:bCs/>
          <w:lang w:val="es-MX"/>
        </w:rPr>
        <w:t>Es de precisar que la entidad</w:t>
      </w:r>
      <w:r w:rsidR="00845031">
        <w:rPr>
          <w:rFonts w:ascii="Arial" w:eastAsia="Calibri" w:hAnsi="Arial" w:cs="Arial"/>
          <w:bCs/>
          <w:lang w:val="es-MX"/>
        </w:rPr>
        <w:t>,</w:t>
      </w:r>
      <w:r w:rsidRPr="009B66A6">
        <w:rPr>
          <w:rFonts w:ascii="Arial" w:eastAsia="Calibri" w:hAnsi="Arial" w:cs="Arial"/>
          <w:bCs/>
          <w:lang w:val="es-MX"/>
        </w:rPr>
        <w:t xml:space="preserve"> durante la etapa de planeación </w:t>
      </w:r>
      <w:r w:rsidR="00B25B99">
        <w:rPr>
          <w:rFonts w:ascii="Arial" w:eastAsia="Calibri" w:hAnsi="Arial" w:cs="Arial"/>
          <w:bCs/>
          <w:lang w:val="es-MX"/>
        </w:rPr>
        <w:t xml:space="preserve">y </w:t>
      </w:r>
      <w:r w:rsidRPr="009B66A6">
        <w:rPr>
          <w:rFonts w:ascii="Arial" w:eastAsia="Calibri" w:hAnsi="Arial" w:cs="Arial"/>
          <w:bCs/>
          <w:lang w:val="es-MX"/>
        </w:rPr>
        <w:t>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1CB56B7F" w14:textId="37693D31" w:rsidR="009B66A6" w:rsidRDefault="009B66A6" w:rsidP="003F13ED">
      <w:pPr>
        <w:spacing w:before="120" w:after="120" w:line="276" w:lineRule="auto"/>
        <w:ind w:firstLine="709"/>
        <w:jc w:val="both"/>
        <w:rPr>
          <w:rFonts w:ascii="Arial" w:eastAsia="Calibri" w:hAnsi="Arial" w:cs="Arial"/>
          <w:lang w:val="es-MX"/>
        </w:rPr>
      </w:pPr>
      <w:r w:rsidRPr="009B66A6">
        <w:rPr>
          <w:rFonts w:ascii="Arial" w:eastAsia="Calibri" w:hAnsi="Arial" w:cs="Arial"/>
          <w:lang w:val="es-MX"/>
        </w:rPr>
        <w:t xml:space="preserve">Asimismo, el artículo </w:t>
      </w:r>
      <w:r w:rsidR="003F13ED">
        <w:rPr>
          <w:rFonts w:ascii="Arial" w:eastAsia="Calibri" w:hAnsi="Arial" w:cs="Arial"/>
          <w:lang w:val="es-MX"/>
        </w:rPr>
        <w:t>4 de la Resolución 240 de 2020</w:t>
      </w:r>
      <w:r w:rsidRPr="009B66A6">
        <w:rPr>
          <w:rFonts w:ascii="Arial" w:hAnsi="Arial" w:cs="Arial"/>
          <w:vertAlign w:val="superscript"/>
          <w:lang w:val="es-MX"/>
        </w:rPr>
        <w:footnoteReference w:id="10"/>
      </w:r>
      <w:r w:rsidRPr="009B66A6">
        <w:rPr>
          <w:rFonts w:ascii="Arial" w:eastAsia="Calibri" w:hAnsi="Arial" w:cs="Arial"/>
          <w:lang w:val="es-MX"/>
        </w:rPr>
        <w:t xml:space="preserve">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roofErr w:type="spellStart"/>
      <w:r w:rsidRPr="009B66A6">
        <w:rPr>
          <w:rFonts w:ascii="Arial" w:eastAsia="Calibri" w:hAnsi="Arial" w:cs="Arial"/>
          <w:lang w:val="es-MX"/>
        </w:rPr>
        <w:t>ii</w:t>
      </w:r>
      <w:proofErr w:type="spellEnd"/>
      <w:r w:rsidRPr="009B66A6">
        <w:rPr>
          <w:rFonts w:ascii="Arial" w:eastAsia="Calibri" w:hAnsi="Arial" w:cs="Arial"/>
          <w:lang w:val="es-MX"/>
        </w:rPr>
        <w:t xml:space="preserve">) conservar los requisitos exigidos en los Documentos Tipo, </w:t>
      </w:r>
      <w:proofErr w:type="spellStart"/>
      <w:r w:rsidRPr="009B66A6">
        <w:rPr>
          <w:rFonts w:ascii="Arial" w:eastAsia="Calibri" w:hAnsi="Arial" w:cs="Arial"/>
          <w:lang w:val="es-MX"/>
        </w:rPr>
        <w:t>iii</w:t>
      </w:r>
      <w:proofErr w:type="spellEnd"/>
      <w:r w:rsidRPr="009B66A6">
        <w:rPr>
          <w:rFonts w:ascii="Arial" w:eastAsia="Calibri" w:hAnsi="Arial" w:cs="Arial"/>
          <w:lang w:val="es-MX"/>
        </w:rPr>
        <w:t xml:space="preserve">) abstenerse de pedir experiencia exclusiva con entidades estatales, experiencia previa en un territorio específico, limitada en el tiempo o que incluya volúmenes o cantidades de obra específica, </w:t>
      </w:r>
      <w:proofErr w:type="spellStart"/>
      <w:r w:rsidRPr="009B66A6">
        <w:rPr>
          <w:rFonts w:ascii="Arial" w:eastAsia="Calibri" w:hAnsi="Arial" w:cs="Arial"/>
          <w:lang w:val="es-MX"/>
        </w:rPr>
        <w:t>iv</w:t>
      </w:r>
      <w:proofErr w:type="spellEnd"/>
      <w:r w:rsidRPr="009B66A6">
        <w:rPr>
          <w:rFonts w:ascii="Arial" w:eastAsia="Calibri" w:hAnsi="Arial" w:cs="Arial"/>
          <w:lang w:val="es-MX"/>
        </w:rPr>
        <w:t xml:space="preserve">) clasificar </w:t>
      </w:r>
      <w:r w:rsidRPr="009B66A6">
        <w:rPr>
          <w:rFonts w:ascii="Arial" w:eastAsia="Calibri" w:hAnsi="Arial" w:cs="Arial"/>
          <w:lang w:val="es-MX"/>
        </w:rPr>
        <w:lastRenderedPageBreak/>
        <w:t xml:space="preserve">la experiencia requerida solo hasta el tercer nivel del Clasificador de Bienes y Servicios e incluir exclusivamente los códigos que estén relacionados directamente con el objeto a contratar. </w:t>
      </w:r>
    </w:p>
    <w:p w14:paraId="2DABF178" w14:textId="2B4022E5" w:rsidR="00483796" w:rsidRPr="0055101F" w:rsidRDefault="00483796" w:rsidP="0055101F">
      <w:pPr>
        <w:spacing w:after="120" w:line="276" w:lineRule="auto"/>
        <w:ind w:firstLine="708"/>
        <w:jc w:val="both"/>
        <w:rPr>
          <w:rFonts w:ascii="Arial" w:eastAsia="Calibri" w:hAnsi="Arial" w:cs="Arial"/>
        </w:rPr>
      </w:pPr>
      <w:r>
        <w:rPr>
          <w:rFonts w:ascii="Arial" w:eastAsia="Calibri" w:hAnsi="Arial" w:cs="Arial"/>
        </w:rPr>
        <w:t xml:space="preserve">La posibilidad de solicitar experiencia adicional solo ocurre cuando el objeto contractual incluye bienes o servicios adicionales a la obra pública de infraestructura de transporte. Esto implica que: i) la actividad que se requiere, si bien es una labor de obra, no está relacionada con la infraestructura de transporte, por ejemplo, la construcción de un parque recreativo cerca de la vía, y </w:t>
      </w:r>
      <w:proofErr w:type="spellStart"/>
      <w:r>
        <w:rPr>
          <w:rFonts w:ascii="Arial" w:eastAsia="Calibri" w:hAnsi="Arial" w:cs="Arial"/>
        </w:rPr>
        <w:t>ii</w:t>
      </w:r>
      <w:proofErr w:type="spellEnd"/>
      <w:r>
        <w:rPr>
          <w:rFonts w:ascii="Arial" w:eastAsia="Calibri" w:hAnsi="Arial" w:cs="Arial"/>
        </w:rPr>
        <w:t>) el bien o servicio adicional es distinto a la actividad principal, aun cuando se relaciona con la infraestructura de transporte, v. gr.,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76E9BAC1" w14:textId="77777777" w:rsidR="009B66A6" w:rsidRPr="009B66A6" w:rsidRDefault="009B66A6" w:rsidP="00EB3CFF">
      <w:pPr>
        <w:spacing w:after="120" w:line="276" w:lineRule="auto"/>
        <w:ind w:firstLine="709"/>
        <w:jc w:val="both"/>
        <w:rPr>
          <w:rFonts w:ascii="Arial" w:eastAsia="Calibri" w:hAnsi="Arial" w:cs="Arial"/>
          <w:bCs/>
          <w:lang w:val="es-MX"/>
        </w:rPr>
      </w:pPr>
      <w:r w:rsidRPr="009B66A6">
        <w:rPr>
          <w:rFonts w:ascii="Arial" w:eastAsia="Calibri" w:hAnsi="Arial" w:cs="Arial"/>
          <w:bCs/>
          <w:lang w:val="es-MX"/>
        </w:rPr>
        <w:t xml:space="preserve">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 </w:t>
      </w:r>
    </w:p>
    <w:p w14:paraId="07EE1E8F" w14:textId="207971F5" w:rsidR="00177B0A" w:rsidRPr="00687878" w:rsidRDefault="009B66A6" w:rsidP="00EB3CFF">
      <w:pPr>
        <w:spacing w:after="120" w:line="276" w:lineRule="auto"/>
        <w:ind w:firstLine="709"/>
        <w:jc w:val="both"/>
        <w:rPr>
          <w:rFonts w:ascii="Arial" w:eastAsia="Calibri" w:hAnsi="Arial" w:cs="Arial"/>
          <w:bCs/>
          <w:lang w:val="es-MX"/>
        </w:rPr>
      </w:pPr>
      <w:r w:rsidRPr="009B66A6">
        <w:rPr>
          <w:rFonts w:ascii="Arial" w:eastAsia="Calibri" w:hAnsi="Arial" w:cs="Arial"/>
          <w:bCs/>
          <w:lang w:val="es-MX"/>
        </w:rPr>
        <w:t>Este principio de inalterabilidad también es aplicable a los formatos y anexos implementados junto con el «Documento Base», los cuales deben ser usados para desarrollar el procedimiento de contratación y que los proponentes acrediten los diferentes requisitos establecidos para participar en él. Estos, al igual que el «Documento Base», contienen apartes entre corchetes y resaltados en gris, los cuales debe diligencia</w:t>
      </w:r>
      <w:r w:rsidR="00C54615">
        <w:rPr>
          <w:rFonts w:ascii="Arial" w:eastAsia="Calibri" w:hAnsi="Arial" w:cs="Arial"/>
          <w:bCs/>
          <w:lang w:val="es-MX"/>
        </w:rPr>
        <w:t>r</w:t>
      </w:r>
      <w:r w:rsidRPr="009B66A6">
        <w:rPr>
          <w:rFonts w:ascii="Arial" w:eastAsia="Calibri" w:hAnsi="Arial" w:cs="Arial"/>
          <w:bCs/>
          <w:lang w:val="es-MX"/>
        </w:rPr>
        <w:t xml:space="preserve"> la entidad</w:t>
      </w:r>
      <w:r w:rsidRPr="00A953D4">
        <w:rPr>
          <w:rFonts w:ascii="Arial" w:eastAsia="Calibri" w:hAnsi="Arial" w:cs="Arial"/>
          <w:bCs/>
          <w:lang w:val="es-MX"/>
        </w:rPr>
        <w:t xml:space="preserve">, al igual que otros aspectos relativos a información que debe ser completada por los oferentes al hacer uso del formato. </w:t>
      </w:r>
      <w:r w:rsidR="00BC1BE8" w:rsidRPr="00A953D4">
        <w:rPr>
          <w:rFonts w:ascii="Arial" w:eastAsia="Calibri" w:hAnsi="Arial" w:cs="Arial"/>
          <w:bCs/>
          <w:lang w:val="es-MX"/>
        </w:rPr>
        <w:t xml:space="preserve">En ese sentido, la </w:t>
      </w:r>
      <w:r w:rsidR="00C54615">
        <w:rPr>
          <w:rFonts w:ascii="Arial" w:eastAsia="Calibri" w:hAnsi="Arial" w:cs="Arial"/>
          <w:bCs/>
          <w:lang w:val="es-MX"/>
        </w:rPr>
        <w:t>«M</w:t>
      </w:r>
      <w:r w:rsidR="00BC1BE8" w:rsidRPr="00A953D4">
        <w:rPr>
          <w:rFonts w:ascii="Arial" w:eastAsia="Calibri" w:hAnsi="Arial" w:cs="Arial"/>
          <w:bCs/>
          <w:lang w:val="es-MX"/>
        </w:rPr>
        <w:t>atriz 1</w:t>
      </w:r>
      <w:r w:rsidR="00C54615">
        <w:rPr>
          <w:rFonts w:ascii="Arial" w:eastAsia="Calibri" w:hAnsi="Arial" w:cs="Arial"/>
          <w:bCs/>
          <w:lang w:val="es-MX"/>
        </w:rPr>
        <w:t xml:space="preserve"> – </w:t>
      </w:r>
      <w:r w:rsidR="009C3187" w:rsidRPr="00A953D4">
        <w:rPr>
          <w:rFonts w:ascii="Arial" w:eastAsia="Calibri" w:hAnsi="Arial" w:cs="Arial"/>
          <w:bCs/>
          <w:lang w:val="es-MX"/>
        </w:rPr>
        <w:t>Experiencia</w:t>
      </w:r>
      <w:r w:rsidR="00C54615">
        <w:rPr>
          <w:rFonts w:ascii="Arial" w:eastAsia="Calibri" w:hAnsi="Arial" w:cs="Arial"/>
          <w:bCs/>
          <w:lang w:val="es-MX"/>
        </w:rPr>
        <w:t>»</w:t>
      </w:r>
      <w:r w:rsidR="009C3187" w:rsidRPr="00A953D4">
        <w:rPr>
          <w:rFonts w:ascii="Arial" w:eastAsia="Calibri" w:hAnsi="Arial" w:cs="Arial"/>
          <w:bCs/>
          <w:lang w:val="es-MX"/>
        </w:rPr>
        <w:t xml:space="preserve"> de los </w:t>
      </w:r>
      <w:r w:rsidR="00C54615">
        <w:rPr>
          <w:rFonts w:ascii="Arial" w:eastAsia="Calibri" w:hAnsi="Arial" w:cs="Arial"/>
          <w:bCs/>
          <w:lang w:val="es-MX"/>
        </w:rPr>
        <w:t>«</w:t>
      </w:r>
      <w:r w:rsidR="009C3187" w:rsidRPr="00A953D4">
        <w:rPr>
          <w:rFonts w:ascii="Arial" w:eastAsia="Times New Roman" w:hAnsi="Arial" w:cs="Arial"/>
          <w:bCs/>
          <w:color w:val="000000"/>
          <w:lang w:eastAsia="es-CO"/>
        </w:rPr>
        <w:t>Documentos Tipo – Versión 3</w:t>
      </w:r>
      <w:r w:rsidR="00C54615">
        <w:rPr>
          <w:rFonts w:ascii="Arial" w:eastAsia="Times New Roman" w:hAnsi="Arial" w:cs="Arial"/>
          <w:bCs/>
          <w:color w:val="000000"/>
          <w:lang w:eastAsia="es-CO"/>
        </w:rPr>
        <w:t>»</w:t>
      </w:r>
      <w:r w:rsidR="009C3187" w:rsidRPr="00A953D4">
        <w:rPr>
          <w:rFonts w:ascii="Arial" w:eastAsia="Times New Roman" w:hAnsi="Arial" w:cs="Arial"/>
          <w:bCs/>
          <w:color w:val="000000"/>
          <w:lang w:eastAsia="es-CO"/>
        </w:rPr>
        <w:t xml:space="preserve"> de licitación para obra pública de infraestructura de transporte, dispone que </w:t>
      </w:r>
      <w:r w:rsidR="00687878" w:rsidRPr="00A953D4">
        <w:rPr>
          <w:rFonts w:ascii="Arial" w:eastAsia="Times New Roman" w:hAnsi="Arial" w:cs="Arial"/>
          <w:bCs/>
          <w:color w:val="000000"/>
          <w:lang w:eastAsia="es-CO"/>
        </w:rPr>
        <w:t>«[Las Entidades Estatales no podrán incluir, modificar, suprimir o alterar las condiciones de experiencia establecidas en esta Matriz, salvo cuando de forma expresa esta lo determine]»</w:t>
      </w:r>
      <w:r w:rsidR="00F20E6C">
        <w:rPr>
          <w:rFonts w:ascii="Arial" w:eastAsia="Times New Roman" w:hAnsi="Arial" w:cs="Arial"/>
          <w:bCs/>
          <w:color w:val="000000"/>
          <w:lang w:eastAsia="es-CO"/>
        </w:rPr>
        <w:t>.</w:t>
      </w:r>
      <w:r w:rsidR="00687878" w:rsidRPr="00A953D4">
        <w:rPr>
          <w:rFonts w:ascii="Arial" w:eastAsia="Times New Roman" w:hAnsi="Arial" w:cs="Arial"/>
          <w:bCs/>
          <w:color w:val="000000"/>
          <w:lang w:eastAsia="es-CO"/>
        </w:rPr>
        <w:t xml:space="preserve"> </w:t>
      </w:r>
      <w:r w:rsidR="00F20E6C">
        <w:rPr>
          <w:rFonts w:ascii="Arial" w:eastAsia="Times New Roman" w:hAnsi="Arial" w:cs="Arial"/>
          <w:bCs/>
          <w:color w:val="000000"/>
          <w:lang w:eastAsia="es-CO"/>
        </w:rPr>
        <w:t>D</w:t>
      </w:r>
      <w:r w:rsidR="00687878" w:rsidRPr="00A953D4">
        <w:rPr>
          <w:rFonts w:ascii="Arial" w:eastAsia="Times New Roman" w:hAnsi="Arial" w:cs="Arial"/>
          <w:bCs/>
          <w:color w:val="000000"/>
          <w:lang w:eastAsia="es-CO"/>
        </w:rPr>
        <w:t xml:space="preserve">e </w:t>
      </w:r>
      <w:r w:rsidR="00EF09BD" w:rsidRPr="00A953D4">
        <w:rPr>
          <w:rFonts w:ascii="Arial" w:eastAsia="Times New Roman" w:hAnsi="Arial" w:cs="Arial"/>
          <w:bCs/>
          <w:color w:val="000000"/>
          <w:lang w:eastAsia="es-CO"/>
        </w:rPr>
        <w:t>esta forma, se tiene como ejemplo</w:t>
      </w:r>
      <w:r w:rsidR="00F20E6C">
        <w:rPr>
          <w:rFonts w:ascii="Arial" w:eastAsia="Times New Roman" w:hAnsi="Arial" w:cs="Arial"/>
          <w:bCs/>
          <w:color w:val="000000"/>
          <w:lang w:eastAsia="es-CO"/>
        </w:rPr>
        <w:t>,</w:t>
      </w:r>
      <w:r w:rsidR="00EF09BD" w:rsidRPr="00A953D4">
        <w:rPr>
          <w:rFonts w:ascii="Arial" w:eastAsia="Times New Roman" w:hAnsi="Arial" w:cs="Arial"/>
          <w:bCs/>
          <w:color w:val="000000"/>
          <w:lang w:eastAsia="es-CO"/>
        </w:rPr>
        <w:t xml:space="preserve"> entre </w:t>
      </w:r>
      <w:r w:rsidR="00687878" w:rsidRPr="00A953D4">
        <w:rPr>
          <w:rFonts w:ascii="Arial" w:eastAsia="Times New Roman" w:hAnsi="Arial" w:cs="Arial"/>
          <w:bCs/>
          <w:color w:val="000000"/>
          <w:lang w:eastAsia="es-CO"/>
        </w:rPr>
        <w:t xml:space="preserve">otros, el aparte que </w:t>
      </w:r>
      <w:r w:rsidR="00657E00">
        <w:rPr>
          <w:rFonts w:ascii="Arial" w:eastAsia="Times New Roman" w:hAnsi="Arial" w:cs="Arial"/>
          <w:bCs/>
          <w:color w:val="000000"/>
          <w:lang w:eastAsia="es-CO"/>
        </w:rPr>
        <w:t>dispone lo siguiente:</w:t>
      </w:r>
      <w:r w:rsidR="00687878" w:rsidRPr="00A953D4">
        <w:rPr>
          <w:rFonts w:ascii="Arial" w:eastAsia="Times New Roman" w:hAnsi="Arial" w:cs="Arial"/>
          <w:bCs/>
          <w:color w:val="000000"/>
          <w:lang w:eastAsia="es-CO"/>
        </w:rPr>
        <w:t xml:space="preserve"> </w:t>
      </w:r>
      <w:r w:rsidR="004853B8" w:rsidRPr="00A953D4">
        <w:rPr>
          <w:rFonts w:ascii="Arial" w:eastAsia="Times New Roman" w:hAnsi="Arial" w:cs="Arial"/>
          <w:bCs/>
          <w:color w:val="000000"/>
          <w:lang w:eastAsia="es-CO"/>
        </w:rPr>
        <w:t>«[La Entidad deberá establecer la variable "XX% "conforme a la relación entre longitudes y porcentajes señalada en la fila denominada "% DE DIMENSIONAMIENTO"]».</w:t>
      </w:r>
      <w:r w:rsidR="004853B8">
        <w:rPr>
          <w:rFonts w:ascii="Arial" w:eastAsia="Times New Roman" w:hAnsi="Arial" w:cs="Arial"/>
          <w:bCs/>
          <w:color w:val="000000"/>
          <w:lang w:eastAsia="es-CO"/>
        </w:rPr>
        <w:t xml:space="preserve"> </w:t>
      </w:r>
    </w:p>
    <w:p w14:paraId="62874E50" w14:textId="77777777" w:rsidR="009B66A6" w:rsidRPr="009B66A6" w:rsidRDefault="009B66A6" w:rsidP="00A953D4">
      <w:pPr>
        <w:spacing w:after="120" w:line="276" w:lineRule="auto"/>
        <w:ind w:firstLine="709"/>
        <w:jc w:val="both"/>
        <w:rPr>
          <w:rFonts w:ascii="Arial" w:hAnsi="Arial" w:cs="Arial"/>
          <w:lang w:val="es-MX"/>
        </w:rPr>
      </w:pPr>
      <w:r w:rsidRPr="009B66A6">
        <w:rPr>
          <w:rFonts w:ascii="Arial" w:hAnsi="Arial" w:cs="Arial"/>
          <w:lang w:val="es-MX"/>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w:t>
      </w:r>
      <w:r w:rsidRPr="009B66A6">
        <w:rPr>
          <w:rFonts w:ascii="Arial" w:hAnsi="Arial" w:cs="Arial"/>
          <w:lang w:val="es-MX"/>
        </w:rPr>
        <w:lastRenderedPageBreak/>
        <w:t xml:space="preserve">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7BD42F98" w14:textId="77777777" w:rsidR="009B66A6" w:rsidRPr="009B66A6" w:rsidRDefault="009B66A6" w:rsidP="00A1218D">
      <w:pPr>
        <w:spacing w:after="120" w:line="276" w:lineRule="auto"/>
        <w:ind w:firstLine="709"/>
        <w:jc w:val="both"/>
        <w:rPr>
          <w:rFonts w:ascii="Arial" w:hAnsi="Arial" w:cs="Arial"/>
        </w:rPr>
      </w:pPr>
      <w:r w:rsidRPr="009B66A6">
        <w:rPr>
          <w:rFonts w:ascii="Arial" w:hAnsi="Arial" w:cs="Arial"/>
          <w:lang w:val="es-MX"/>
        </w:rPr>
        <w:t xml:space="preserve">En relación con el principio constitucional </w:t>
      </w:r>
      <w:r w:rsidRPr="009B66A6">
        <w:rPr>
          <w:rFonts w:ascii="Arial" w:hAnsi="Arial" w:cs="Arial"/>
          <w:i/>
          <w:iCs/>
          <w:lang w:val="es-MX"/>
        </w:rPr>
        <w:t>sub examine</w:t>
      </w:r>
      <w:r w:rsidRPr="009B66A6">
        <w:rPr>
          <w:rFonts w:ascii="Arial" w:hAnsi="Arial" w:cs="Arial"/>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9B66A6">
        <w:rPr>
          <w:rFonts w:ascii="Arial" w:hAnsi="Arial" w:cs="Arial"/>
          <w:vertAlign w:val="superscript"/>
        </w:rPr>
        <w:footnoteReference w:id="11"/>
      </w:r>
      <w:r w:rsidRPr="009B66A6">
        <w:rPr>
          <w:rFonts w:ascii="Arial" w:hAnsi="Arial" w:cs="Arial"/>
        </w:rPr>
        <w:t xml:space="preserve">. </w:t>
      </w:r>
    </w:p>
    <w:p w14:paraId="1632E6F0" w14:textId="77777777" w:rsidR="009B66A6" w:rsidRPr="009B66A6" w:rsidRDefault="009B66A6" w:rsidP="00BA38ED">
      <w:pPr>
        <w:spacing w:after="0" w:line="276" w:lineRule="auto"/>
        <w:ind w:firstLine="709"/>
        <w:jc w:val="both"/>
        <w:rPr>
          <w:rFonts w:ascii="Arial" w:hAnsi="Arial" w:cs="Arial"/>
          <w:lang w:val="es-MX"/>
        </w:rPr>
      </w:pPr>
      <w:r w:rsidRPr="009B66A6">
        <w:rPr>
          <w:rFonts w:ascii="Arial" w:hAnsi="Arial" w:cs="Arial"/>
          <w:lang w:val="es-MX"/>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5702D27E" w14:textId="42FDD87D" w:rsidR="009B66A6" w:rsidRDefault="009B66A6" w:rsidP="00BA38ED">
      <w:pPr>
        <w:spacing w:after="0"/>
      </w:pPr>
    </w:p>
    <w:p w14:paraId="51B3080E" w14:textId="21749405" w:rsidR="00455DC9" w:rsidRPr="00BA38ED" w:rsidRDefault="00455DC9" w:rsidP="00BA38ED">
      <w:pPr>
        <w:spacing w:after="0" w:line="276" w:lineRule="auto"/>
        <w:jc w:val="both"/>
        <w:rPr>
          <w:rFonts w:ascii="Arial" w:hAnsi="Arial" w:cs="Arial"/>
          <w:b/>
          <w:bCs/>
        </w:rPr>
      </w:pPr>
      <w:r w:rsidRPr="00BA38ED">
        <w:rPr>
          <w:rFonts w:ascii="Arial" w:hAnsi="Arial" w:cs="Arial"/>
          <w:b/>
          <w:bCs/>
        </w:rPr>
        <w:t>2.</w:t>
      </w:r>
      <w:r w:rsidR="00230B29" w:rsidRPr="00BA38ED">
        <w:rPr>
          <w:rFonts w:ascii="Arial" w:hAnsi="Arial" w:cs="Arial"/>
          <w:b/>
          <w:bCs/>
        </w:rPr>
        <w:t>3</w:t>
      </w:r>
      <w:r w:rsidRPr="00BA38ED">
        <w:rPr>
          <w:rFonts w:ascii="Arial" w:hAnsi="Arial" w:cs="Arial"/>
          <w:b/>
          <w:bCs/>
        </w:rPr>
        <w:t xml:space="preserve">. Acreditación y evaluación de los requisitos de experiencia general </w:t>
      </w:r>
      <w:r w:rsidR="00ED5B05" w:rsidRPr="00BA38ED">
        <w:rPr>
          <w:rFonts w:ascii="Arial" w:hAnsi="Arial" w:cs="Arial"/>
          <w:b/>
          <w:bCs/>
        </w:rPr>
        <w:t xml:space="preserve">en la Matriz 1 – Experiencia de los </w:t>
      </w:r>
      <w:r w:rsidR="00ED5B05" w:rsidRPr="00BA38ED">
        <w:rPr>
          <w:rFonts w:ascii="Arial" w:eastAsia="Times New Roman" w:hAnsi="Arial" w:cs="Arial"/>
          <w:b/>
          <w:bCs/>
          <w:color w:val="000000"/>
          <w:lang w:eastAsia="es-CO"/>
        </w:rPr>
        <w:t>«Documentos Tipo – Versión 3» de licitación para obra pública de infraestructura de transporte</w:t>
      </w:r>
      <w:r w:rsidR="00BA38ED" w:rsidRPr="00BA38ED">
        <w:rPr>
          <w:rFonts w:ascii="Arial" w:eastAsia="Times New Roman" w:hAnsi="Arial" w:cs="Arial"/>
          <w:b/>
          <w:bCs/>
          <w:color w:val="000000"/>
          <w:lang w:eastAsia="es-CO"/>
        </w:rPr>
        <w:t xml:space="preserve">. </w:t>
      </w:r>
    </w:p>
    <w:p w14:paraId="5C48EE41" w14:textId="77777777" w:rsidR="00455DC9" w:rsidRPr="00E81E00" w:rsidRDefault="00455DC9" w:rsidP="00BA38ED">
      <w:pPr>
        <w:spacing w:after="0" w:line="276" w:lineRule="auto"/>
        <w:jc w:val="both"/>
        <w:rPr>
          <w:rFonts w:ascii="Arial" w:hAnsi="Arial" w:cs="Arial"/>
          <w:b/>
          <w:bCs/>
        </w:rPr>
      </w:pPr>
    </w:p>
    <w:p w14:paraId="74E92667" w14:textId="490E35EC" w:rsidR="00455DC9" w:rsidRPr="00E81E00" w:rsidRDefault="00A07FF2" w:rsidP="00BA38ED">
      <w:pPr>
        <w:spacing w:after="120" w:line="276" w:lineRule="auto"/>
        <w:ind w:right="51"/>
        <w:jc w:val="both"/>
        <w:rPr>
          <w:rFonts w:ascii="Arial" w:hAnsi="Arial" w:cs="Arial"/>
        </w:rPr>
      </w:pPr>
      <w:r w:rsidRPr="00ED407B">
        <w:rPr>
          <w:rFonts w:ascii="Arial" w:hAnsi="Arial" w:cs="Arial"/>
        </w:rPr>
        <w:t>Como se</w:t>
      </w:r>
      <w:r w:rsidR="00F33B91" w:rsidRPr="00ED407B">
        <w:rPr>
          <w:rFonts w:ascii="Arial" w:hAnsi="Arial" w:cs="Arial"/>
        </w:rPr>
        <w:t xml:space="preserve"> indicó en el numeral 2.1 de este documento, l</w:t>
      </w:r>
      <w:r w:rsidR="00455DC9" w:rsidRPr="00ED407B">
        <w:rPr>
          <w:rFonts w:ascii="Arial" w:hAnsi="Arial" w:cs="Arial"/>
        </w:rPr>
        <w:t xml:space="preserve">a Agencia Nacional de Contratación Pública – Colombia Compra Eficiente expidió la Resolución No. 240 del 27 de noviembre de 2020, «Por la cual se actualizan los documentos tipo para los procesos de licitación de obra pública de infraestructura de transporte». En el </w:t>
      </w:r>
      <w:r w:rsidR="00D90303" w:rsidRPr="00ED407B">
        <w:rPr>
          <w:rFonts w:ascii="Arial" w:hAnsi="Arial" w:cs="Arial"/>
        </w:rPr>
        <w:t>documento base</w:t>
      </w:r>
      <w:r w:rsidR="00455DC9" w:rsidRPr="00ED407B">
        <w:rPr>
          <w:rFonts w:ascii="Arial" w:hAnsi="Arial" w:cs="Arial"/>
        </w:rPr>
        <w:t xml:space="preserve"> adoptado por </w:t>
      </w:r>
      <w:r w:rsidR="00D90303">
        <w:rPr>
          <w:rFonts w:ascii="Arial" w:hAnsi="Arial" w:cs="Arial"/>
        </w:rPr>
        <w:t>esta</w:t>
      </w:r>
      <w:r w:rsidR="00455DC9" w:rsidRPr="00ED407B">
        <w:rPr>
          <w:rFonts w:ascii="Arial" w:hAnsi="Arial" w:cs="Arial"/>
        </w:rPr>
        <w:t xml:space="preserve"> resolución se creó el numeral «3.5.1 Determinación de los requisitos mínimos de experiencia según la Matriz 1 – Experiencia», en el cual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a partir de la actualización de los documentos tipo de licitación de obra pública de infraestructura de transporte – versión 3 se crean dos </w:t>
      </w:r>
      <w:r w:rsidR="00455DC9" w:rsidRPr="00ED407B">
        <w:rPr>
          <w:rFonts w:ascii="Arial" w:hAnsi="Arial" w:cs="Arial"/>
        </w:rPr>
        <w:lastRenderedPageBreak/>
        <w:t xml:space="preserve">Matrices de experiencia: i) </w:t>
      </w:r>
      <w:r w:rsidR="00D90303">
        <w:rPr>
          <w:rFonts w:ascii="Arial" w:hAnsi="Arial" w:cs="Arial"/>
        </w:rPr>
        <w:t xml:space="preserve">una </w:t>
      </w:r>
      <w:r w:rsidR="00455DC9" w:rsidRPr="00ED407B">
        <w:rPr>
          <w:rFonts w:ascii="Arial" w:hAnsi="Arial" w:cs="Arial"/>
        </w:rPr>
        <w:t xml:space="preserve">para proyectos de complejidad técnica baja o media y </w:t>
      </w:r>
      <w:proofErr w:type="spellStart"/>
      <w:r w:rsidR="00455DC9" w:rsidRPr="00ED407B">
        <w:rPr>
          <w:rFonts w:ascii="Arial" w:hAnsi="Arial" w:cs="Arial"/>
        </w:rPr>
        <w:t>ii</w:t>
      </w:r>
      <w:proofErr w:type="spellEnd"/>
      <w:r w:rsidR="00455DC9" w:rsidRPr="00ED407B">
        <w:rPr>
          <w:rFonts w:ascii="Arial" w:hAnsi="Arial" w:cs="Arial"/>
        </w:rPr>
        <w:t>)</w:t>
      </w:r>
      <w:r w:rsidR="00D90303">
        <w:rPr>
          <w:rFonts w:ascii="Arial" w:hAnsi="Arial" w:cs="Arial"/>
        </w:rPr>
        <w:t xml:space="preserve"> otra</w:t>
      </w:r>
      <w:r w:rsidR="00455DC9" w:rsidRPr="00ED407B">
        <w:rPr>
          <w:rFonts w:ascii="Arial" w:hAnsi="Arial" w:cs="Arial"/>
        </w:rPr>
        <w:t xml:space="preserve"> para proyectos de complejidad técnica alta.</w:t>
      </w:r>
      <w:r w:rsidR="00455DC9" w:rsidRPr="00E81E00">
        <w:rPr>
          <w:rFonts w:ascii="Arial" w:hAnsi="Arial" w:cs="Arial"/>
        </w:rPr>
        <w:t xml:space="preserve"> </w:t>
      </w:r>
    </w:p>
    <w:p w14:paraId="2F7321C0" w14:textId="5C5ADFF2" w:rsidR="00455DC9" w:rsidRPr="00E81E00" w:rsidRDefault="00455DC9" w:rsidP="00BA38ED">
      <w:pPr>
        <w:spacing w:after="120" w:line="276" w:lineRule="auto"/>
        <w:ind w:right="51"/>
        <w:jc w:val="both"/>
        <w:rPr>
          <w:rFonts w:ascii="Arial" w:hAnsi="Arial" w:cs="Arial"/>
        </w:rPr>
      </w:pPr>
      <w:r w:rsidRPr="00E81E00">
        <w:rPr>
          <w:rFonts w:ascii="Arial" w:hAnsi="Arial" w:cs="Arial"/>
        </w:rPr>
        <w:tab/>
        <w:t>Sin perjuicio de la implementación de este cambio, el método para determinar los requisitos de experiencia estandarizados a partir de la Matriz 1 sigue siendo el mismo que en las versiones anteriores, con la salvedad de que ahora, antes de proceder a acotar el requisito a exigirse, la entidad debe determinar y justificar si el proyecto es de media</w:t>
      </w:r>
      <w:r>
        <w:rPr>
          <w:rFonts w:ascii="Arial" w:hAnsi="Arial" w:cs="Arial"/>
        </w:rPr>
        <w:t>–</w:t>
      </w:r>
      <w:r w:rsidRPr="00E81E00">
        <w:rPr>
          <w:rFonts w:ascii="Arial" w:hAnsi="Arial" w:cs="Arial"/>
        </w:rPr>
        <w:t>baja o</w:t>
      </w:r>
      <w:r w:rsidR="00D03E11">
        <w:rPr>
          <w:rFonts w:ascii="Arial" w:hAnsi="Arial" w:cs="Arial"/>
        </w:rPr>
        <w:t xml:space="preserve"> de</w:t>
      </w:r>
      <w:r w:rsidRPr="00E81E00">
        <w:rPr>
          <w:rFonts w:ascii="Arial" w:hAnsi="Arial" w:cs="Arial"/>
        </w:rPr>
        <w:t xml:space="preserve"> alta complejidad técnica y</w:t>
      </w:r>
      <w:r w:rsidR="00D03E11">
        <w:rPr>
          <w:rFonts w:ascii="Arial" w:hAnsi="Arial" w:cs="Arial"/>
        </w:rPr>
        <w:t>,</w:t>
      </w:r>
      <w:r w:rsidRPr="00E81E00">
        <w:rPr>
          <w:rFonts w:ascii="Arial" w:hAnsi="Arial" w:cs="Arial"/>
        </w:rPr>
        <w:t xml:space="preserve"> en función de ello</w:t>
      </w:r>
      <w:r w:rsidR="00D03E11">
        <w:rPr>
          <w:rFonts w:ascii="Arial" w:hAnsi="Arial" w:cs="Arial"/>
        </w:rPr>
        <w:t>,</w:t>
      </w:r>
      <w:r w:rsidRPr="00E81E00">
        <w:rPr>
          <w:rFonts w:ascii="Arial" w:hAnsi="Arial" w:cs="Arial"/>
        </w:rPr>
        <w:t xml:space="preserve"> aplicar alguna de las </w:t>
      </w:r>
      <w:r w:rsidR="00D03E11">
        <w:rPr>
          <w:rFonts w:ascii="Arial" w:hAnsi="Arial" w:cs="Arial"/>
        </w:rPr>
        <w:t>m</w:t>
      </w:r>
      <w:r w:rsidRPr="00E81E00">
        <w:rPr>
          <w:rFonts w:ascii="Arial" w:hAnsi="Arial" w:cs="Arial"/>
        </w:rPr>
        <w:t xml:space="preserve">atrices </w:t>
      </w:r>
      <w:r w:rsidR="00D03E11">
        <w:rPr>
          <w:rFonts w:ascii="Arial" w:hAnsi="Arial" w:cs="Arial"/>
        </w:rPr>
        <w:t>de experiencia</w:t>
      </w:r>
      <w:r w:rsidRPr="00E81E00">
        <w:rPr>
          <w:rFonts w:ascii="Arial" w:hAnsi="Arial" w:cs="Arial"/>
        </w:rPr>
        <w:t xml:space="preserve">. En ese orden, la entidad debe establecer si aplica la </w:t>
      </w:r>
      <w:r w:rsidR="00D03E11">
        <w:rPr>
          <w:rFonts w:ascii="Arial" w:hAnsi="Arial" w:cs="Arial"/>
        </w:rPr>
        <w:t>m</w:t>
      </w:r>
      <w:r w:rsidRPr="00E81E00">
        <w:rPr>
          <w:rFonts w:ascii="Arial" w:hAnsi="Arial" w:cs="Arial"/>
        </w:rPr>
        <w:t xml:space="preserve">atriz 1 de proyectos de complejidad media-baja o la de proyectos de complejidad alta, para luego subsumir el objeto contractual en alguno de los tipos de obra y actividades incluidos en la </w:t>
      </w:r>
      <w:r w:rsidR="0006447D">
        <w:rPr>
          <w:rFonts w:ascii="Arial" w:hAnsi="Arial" w:cs="Arial"/>
        </w:rPr>
        <w:t>misma</w:t>
      </w:r>
      <w:r w:rsidRPr="00E81E00">
        <w:rPr>
          <w:rFonts w:ascii="Arial" w:hAnsi="Arial" w:cs="Arial"/>
        </w:rPr>
        <w:t xml:space="preserve">, estableciendo los requisitos de experiencia exigibles según la cantidad de SMMLV del presupuesto oficial del respectivo proceso de contratación. </w:t>
      </w:r>
    </w:p>
    <w:p w14:paraId="6EE27E9D" w14:textId="254E29BF" w:rsidR="00455DC9" w:rsidRPr="00E81E00" w:rsidRDefault="00455DC9" w:rsidP="00455DC9">
      <w:pPr>
        <w:spacing w:before="120" w:line="276" w:lineRule="auto"/>
        <w:ind w:firstLine="708"/>
        <w:jc w:val="both"/>
        <w:rPr>
          <w:rFonts w:ascii="Arial" w:hAnsi="Arial" w:cs="Arial"/>
        </w:rPr>
      </w:pPr>
      <w:r w:rsidRPr="00E81E00">
        <w:rPr>
          <w:rFonts w:ascii="Arial" w:hAnsi="Arial" w:cs="Arial"/>
        </w:rPr>
        <w:t xml:space="preserve">De esta manera, la entidad estatal que adelanta un proceso de contratación de licitación de obra pública de infraestructura de transporte debe definir la experiencia exigible teniendo en cuenta las condiciones fijadas en la </w:t>
      </w:r>
      <w:r w:rsidR="0006447D">
        <w:rPr>
          <w:rFonts w:ascii="Arial" w:hAnsi="Arial" w:cs="Arial"/>
        </w:rPr>
        <w:t>m</w:t>
      </w:r>
      <w:r w:rsidRPr="00E81E00">
        <w:rPr>
          <w:rFonts w:ascii="Arial" w:hAnsi="Arial" w:cs="Arial"/>
        </w:rPr>
        <w:t>atriz 1, de acuerdo con los siguientes pasos:</w:t>
      </w:r>
    </w:p>
    <w:p w14:paraId="02205243" w14:textId="345B644A" w:rsidR="00455DC9" w:rsidRPr="00E81E00" w:rsidRDefault="00455DC9" w:rsidP="00455DC9">
      <w:pPr>
        <w:spacing w:before="120" w:line="276" w:lineRule="auto"/>
        <w:ind w:firstLine="708"/>
        <w:jc w:val="both"/>
        <w:rPr>
          <w:rFonts w:ascii="Arial" w:hAnsi="Arial" w:cs="Arial"/>
        </w:rPr>
      </w:pPr>
      <w:r w:rsidRPr="00E81E00">
        <w:rPr>
          <w:rFonts w:ascii="Arial" w:hAnsi="Arial" w:cs="Arial"/>
        </w:rPr>
        <w:t xml:space="preserve">a) Establecer si se trata de un proyecto de complejidad baja-media o alta, y en función de ello establecer la </w:t>
      </w:r>
      <w:r w:rsidR="0006447D">
        <w:rPr>
          <w:rFonts w:ascii="Arial" w:hAnsi="Arial" w:cs="Arial"/>
        </w:rPr>
        <w:t>m</w:t>
      </w:r>
      <w:r w:rsidRPr="00E81E00">
        <w:rPr>
          <w:rFonts w:ascii="Arial" w:hAnsi="Arial" w:cs="Arial"/>
        </w:rPr>
        <w:t xml:space="preserve">atriz </w:t>
      </w:r>
      <w:r w:rsidR="0006447D">
        <w:rPr>
          <w:rFonts w:ascii="Arial" w:hAnsi="Arial" w:cs="Arial"/>
        </w:rPr>
        <w:t>de experiencia aplicable</w:t>
      </w:r>
      <w:r w:rsidRPr="00E81E00">
        <w:rPr>
          <w:rFonts w:ascii="Arial" w:hAnsi="Arial" w:cs="Arial"/>
        </w:rPr>
        <w:t>.</w:t>
      </w:r>
    </w:p>
    <w:p w14:paraId="2D008652" w14:textId="304FA78C" w:rsidR="00455DC9" w:rsidRPr="00E81E00" w:rsidRDefault="00455DC9" w:rsidP="00455DC9">
      <w:pPr>
        <w:spacing w:before="120" w:line="276" w:lineRule="auto"/>
        <w:ind w:firstLine="708"/>
        <w:jc w:val="both"/>
        <w:rPr>
          <w:rFonts w:ascii="Arial" w:hAnsi="Arial" w:cs="Arial"/>
        </w:rPr>
      </w:pPr>
      <w:r w:rsidRPr="00E81E00">
        <w:rPr>
          <w:rFonts w:ascii="Arial" w:hAnsi="Arial" w:cs="Arial"/>
        </w:rPr>
        <w:t xml:space="preserve"> b) Identificada la respectiva </w:t>
      </w:r>
      <w:r w:rsidR="0006447D">
        <w:rPr>
          <w:rFonts w:ascii="Arial" w:hAnsi="Arial" w:cs="Arial"/>
        </w:rPr>
        <w:t>m</w:t>
      </w:r>
      <w:r w:rsidRPr="00E81E00">
        <w:rPr>
          <w:rFonts w:ascii="Arial" w:hAnsi="Arial" w:cs="Arial"/>
        </w:rPr>
        <w:t>atriz, la entidad deberá determinar el tipo de infraestructura sobre el cual recae la obra a ejecutar. Al respecto esta matriz contiene ocho (8) secciones que corresponden a los tipos de infraestructura estandarizados.</w:t>
      </w:r>
    </w:p>
    <w:p w14:paraId="082DB131" w14:textId="7ADB6073" w:rsidR="00455DC9" w:rsidRPr="00E81E00" w:rsidRDefault="00455DC9" w:rsidP="00455DC9">
      <w:pPr>
        <w:spacing w:before="120" w:line="276" w:lineRule="auto"/>
        <w:ind w:firstLine="708"/>
        <w:jc w:val="both"/>
        <w:rPr>
          <w:rFonts w:ascii="Arial" w:hAnsi="Arial" w:cs="Arial"/>
        </w:rPr>
      </w:pPr>
      <w:r w:rsidRPr="00E81E00">
        <w:rPr>
          <w:rFonts w:ascii="Arial" w:hAnsi="Arial" w:cs="Arial"/>
        </w:rPr>
        <w:t xml:space="preserve">c) Definido el tipo de infraestructura, identificar la </w:t>
      </w:r>
      <w:r w:rsidRPr="00E81E00">
        <w:rPr>
          <w:rFonts w:ascii="Arial" w:eastAsia="Calibri" w:hAnsi="Arial" w:cs="Arial"/>
        </w:rPr>
        <w:t>«</w:t>
      </w:r>
      <w:r w:rsidRPr="00E81E00">
        <w:rPr>
          <w:rFonts w:ascii="Arial" w:hAnsi="Arial" w:cs="Arial"/>
        </w:rPr>
        <w:t>ACTIVIDAD A CONTRATAR</w:t>
      </w:r>
      <w:r w:rsidRPr="00E81E00">
        <w:rPr>
          <w:rFonts w:ascii="Arial" w:eastAsia="Calibri" w:hAnsi="Arial" w:cs="Arial"/>
        </w:rPr>
        <w:t>»</w:t>
      </w:r>
      <w:r w:rsidRPr="00E81E00">
        <w:rPr>
          <w:rFonts w:ascii="Arial" w:hAnsi="Arial" w:cs="Arial"/>
        </w:rPr>
        <w:t xml:space="preserve"> acorde con la </w:t>
      </w:r>
      <w:r w:rsidR="0006447D">
        <w:rPr>
          <w:rFonts w:ascii="Arial" w:hAnsi="Arial" w:cs="Arial"/>
        </w:rPr>
        <w:t>m</w:t>
      </w:r>
      <w:r w:rsidRPr="00E81E00">
        <w:rPr>
          <w:rFonts w:ascii="Arial" w:hAnsi="Arial" w:cs="Arial"/>
        </w:rPr>
        <w:t xml:space="preserve">atriz 1. </w:t>
      </w:r>
    </w:p>
    <w:p w14:paraId="5BF34E29" w14:textId="0678A2C0" w:rsidR="00455DC9" w:rsidRPr="00E81E00" w:rsidRDefault="00455DC9" w:rsidP="00455DC9">
      <w:pPr>
        <w:spacing w:before="120" w:line="276" w:lineRule="auto"/>
        <w:ind w:firstLine="708"/>
        <w:jc w:val="both"/>
        <w:rPr>
          <w:rFonts w:ascii="Arial" w:hAnsi="Arial" w:cs="Arial"/>
        </w:rPr>
      </w:pPr>
      <w:r w:rsidRPr="00E81E00">
        <w:rPr>
          <w:rFonts w:ascii="Arial" w:hAnsi="Arial" w:cs="Arial"/>
        </w:rPr>
        <w:t xml:space="preserve">c) Identificar el rango en el cual se encuentra el </w:t>
      </w:r>
      <w:r w:rsidR="0006447D" w:rsidRPr="00E81E00">
        <w:rPr>
          <w:rFonts w:ascii="Arial" w:hAnsi="Arial" w:cs="Arial"/>
        </w:rPr>
        <w:t xml:space="preserve">proceso de contratación </w:t>
      </w:r>
      <w:r w:rsidRPr="00E81E00">
        <w:rPr>
          <w:rFonts w:ascii="Arial" w:hAnsi="Arial" w:cs="Arial"/>
        </w:rPr>
        <w:t xml:space="preserve">de acuerdo con el presupuesto oficial. </w:t>
      </w:r>
    </w:p>
    <w:p w14:paraId="200A5EED" w14:textId="3FB6E3BD" w:rsidR="00455DC9" w:rsidRPr="00E81E00" w:rsidRDefault="00455DC9" w:rsidP="00455DC9">
      <w:pPr>
        <w:spacing w:before="120" w:after="120" w:line="276" w:lineRule="auto"/>
        <w:ind w:firstLine="709"/>
        <w:jc w:val="both"/>
        <w:rPr>
          <w:rFonts w:ascii="Arial" w:hAnsi="Arial" w:cs="Arial"/>
        </w:rPr>
      </w:pPr>
      <w:r w:rsidRPr="00E81E00">
        <w:rPr>
          <w:rFonts w:ascii="Arial" w:hAnsi="Arial" w:cs="Arial"/>
        </w:rPr>
        <w:t xml:space="preserve">d) Identificar la </w:t>
      </w:r>
      <w:r w:rsidRPr="00E81E00">
        <w:rPr>
          <w:rFonts w:ascii="Arial" w:eastAsia="Calibri" w:hAnsi="Arial" w:cs="Arial"/>
        </w:rPr>
        <w:t>«</w:t>
      </w:r>
      <w:r w:rsidRPr="00E81E00">
        <w:rPr>
          <w:rFonts w:ascii="Arial" w:hAnsi="Arial" w:cs="Arial"/>
        </w:rPr>
        <w:t>experiencia general</w:t>
      </w:r>
      <w:r w:rsidRPr="00E81E00">
        <w:rPr>
          <w:rFonts w:ascii="Arial" w:eastAsia="Calibri" w:hAnsi="Arial" w:cs="Arial"/>
        </w:rPr>
        <w:t>»</w:t>
      </w:r>
      <w:r w:rsidRPr="00E81E00">
        <w:rPr>
          <w:rFonts w:ascii="Arial" w:hAnsi="Arial" w:cs="Arial"/>
        </w:rPr>
        <w:t xml:space="preserve"> exigible acorde con la Matriz 1 teniendo en cuenta la actividad a contratar y el rango de la cuantía del </w:t>
      </w:r>
      <w:r w:rsidR="00A47577" w:rsidRPr="00E81E00">
        <w:rPr>
          <w:rFonts w:ascii="Arial" w:hAnsi="Arial" w:cs="Arial"/>
        </w:rPr>
        <w:t>proceso de contratación</w:t>
      </w:r>
      <w:r w:rsidRPr="00E81E00">
        <w:rPr>
          <w:rFonts w:ascii="Arial" w:hAnsi="Arial" w:cs="Arial"/>
        </w:rPr>
        <w:t xml:space="preserve">. </w:t>
      </w:r>
    </w:p>
    <w:p w14:paraId="48E87061" w14:textId="77777777" w:rsidR="00455DC9" w:rsidRPr="00E81E00" w:rsidRDefault="00455DC9" w:rsidP="00455DC9">
      <w:pPr>
        <w:spacing w:after="120" w:line="276" w:lineRule="auto"/>
        <w:ind w:firstLine="709"/>
        <w:jc w:val="both"/>
        <w:rPr>
          <w:rFonts w:ascii="Arial" w:hAnsi="Arial" w:cs="Arial"/>
        </w:rPr>
      </w:pPr>
      <w:r w:rsidRPr="00E81E00">
        <w:rPr>
          <w:rFonts w:ascii="Arial" w:hAnsi="Arial" w:cs="Arial"/>
        </w:rPr>
        <w:t xml:space="preserve">e) Identificar la </w:t>
      </w:r>
      <w:r w:rsidRPr="00E81E00">
        <w:rPr>
          <w:rFonts w:ascii="Arial" w:eastAsia="Calibri" w:hAnsi="Arial" w:cs="Arial"/>
        </w:rPr>
        <w:t>«</w:t>
      </w:r>
      <w:r w:rsidRPr="00E81E00">
        <w:rPr>
          <w:rFonts w:ascii="Arial" w:hAnsi="Arial" w:cs="Arial"/>
        </w:rPr>
        <w:t>experiencia específica</w:t>
      </w:r>
      <w:r w:rsidRPr="00E81E00">
        <w:rPr>
          <w:rFonts w:ascii="Arial" w:eastAsia="Calibri" w:hAnsi="Arial" w:cs="Arial"/>
        </w:rPr>
        <w:t>»</w:t>
      </w:r>
      <w:r w:rsidRPr="00E81E00">
        <w:rPr>
          <w:rFonts w:ascii="Arial" w:hAnsi="Arial" w:cs="Arial"/>
        </w:rPr>
        <w:t xml:space="preserve"> exigible y el porcentaje de dimensionamiento que se puede solicitar acorde con la longitud a ejecutar, de acuerdo con la cuantía del proceso de contratación. Cuando en la </w:t>
      </w:r>
      <w:r w:rsidRPr="00E81E00">
        <w:rPr>
          <w:rFonts w:ascii="Arial" w:eastAsia="Calibri" w:hAnsi="Arial" w:cs="Arial"/>
        </w:rPr>
        <w:t>«</w:t>
      </w:r>
      <w:r w:rsidRPr="00E81E00">
        <w:rPr>
          <w:rFonts w:ascii="Arial" w:hAnsi="Arial" w:cs="Arial"/>
        </w:rPr>
        <w:t>experiencia específica</w:t>
      </w:r>
      <w:r w:rsidRPr="00E81E00">
        <w:rPr>
          <w:rFonts w:ascii="Arial" w:eastAsia="Calibri" w:hAnsi="Arial" w:cs="Arial"/>
        </w:rPr>
        <w:t>»</w:t>
      </w:r>
      <w:r w:rsidRPr="00E81E00">
        <w:rPr>
          <w:rFonts w:ascii="Arial" w:hAnsi="Arial" w:cs="Arial"/>
        </w:rPr>
        <w:t xml:space="preserve"> se indiquen las siglas </w:t>
      </w:r>
      <w:r w:rsidRPr="00E81E00">
        <w:rPr>
          <w:rFonts w:ascii="Arial" w:hAnsi="Arial" w:cs="Arial"/>
          <w:i/>
          <w:iCs/>
        </w:rPr>
        <w:t>N.A</w:t>
      </w:r>
      <w:r w:rsidRPr="00E81E00">
        <w:rPr>
          <w:rFonts w:ascii="Arial" w:hAnsi="Arial" w:cs="Arial"/>
        </w:rPr>
        <w:t xml:space="preserve"> significa que la entidad estatal no puede exigir a los proponentes experiencia específica en los procesos de contratación. </w:t>
      </w:r>
    </w:p>
    <w:p w14:paraId="182C219E" w14:textId="7153114E" w:rsidR="00455DC9" w:rsidRDefault="00455DC9" w:rsidP="00455DC9">
      <w:pPr>
        <w:spacing w:after="120" w:line="276" w:lineRule="auto"/>
        <w:ind w:firstLine="709"/>
        <w:jc w:val="both"/>
        <w:rPr>
          <w:rFonts w:ascii="Arial" w:hAnsi="Arial" w:cs="Arial"/>
        </w:rPr>
      </w:pPr>
      <w:r w:rsidRPr="00E81E00">
        <w:rPr>
          <w:rFonts w:ascii="Arial" w:hAnsi="Arial" w:cs="Arial"/>
        </w:rPr>
        <w:t>f) Establecidos los requisitos de experiencia exigibles, la entidad deberá consignarlos en los apartados grises entre corchetes del literal A del numeral 3.5.2 del Documento Base, para que los oferentes puedan conocer los requisitos de experiencia general y espec</w:t>
      </w:r>
      <w:r>
        <w:rPr>
          <w:rFonts w:ascii="Arial" w:hAnsi="Arial" w:cs="Arial"/>
        </w:rPr>
        <w:t>í</w:t>
      </w:r>
      <w:r w:rsidRPr="00E81E00">
        <w:rPr>
          <w:rFonts w:ascii="Arial" w:hAnsi="Arial" w:cs="Arial"/>
        </w:rPr>
        <w:t>fica exigidos por la entidad.</w:t>
      </w:r>
    </w:p>
    <w:p w14:paraId="089A5C98" w14:textId="77777777" w:rsidR="00325E4D" w:rsidRPr="00325E4D" w:rsidRDefault="00325E4D" w:rsidP="00325E4D">
      <w:pPr>
        <w:spacing w:before="120" w:after="0" w:line="276" w:lineRule="auto"/>
        <w:ind w:firstLine="708"/>
        <w:jc w:val="both"/>
        <w:rPr>
          <w:rFonts w:ascii="Arial" w:hAnsi="Arial" w:cs="Arial"/>
          <w:lang w:val="es-MX"/>
        </w:rPr>
      </w:pPr>
      <w:r w:rsidRPr="00325E4D">
        <w:rPr>
          <w:rFonts w:ascii="Arial" w:hAnsi="Arial" w:cs="Arial"/>
          <w:lang w:val="es-MX"/>
        </w:rPr>
        <w:lastRenderedPageBreak/>
        <w:t xml:space="preserve">Varios de los requisitos de experiencia general y específica contemplados en la Matriz 1 exigen que los contratos que se aporten para acreditarlos den cuenta de la ejecución de cierto porcentaje de dimensionamiento respecto del proyecto ofertado, o un porcentaje del presupuesto oficial del mismo. </w:t>
      </w:r>
    </w:p>
    <w:p w14:paraId="24DEE187" w14:textId="77777777" w:rsidR="00325E4D" w:rsidRPr="00325E4D" w:rsidRDefault="00325E4D" w:rsidP="00325E4D">
      <w:pPr>
        <w:spacing w:before="120" w:after="120" w:line="276" w:lineRule="auto"/>
        <w:ind w:firstLine="709"/>
        <w:jc w:val="both"/>
        <w:rPr>
          <w:rFonts w:ascii="Arial" w:hAnsi="Arial" w:cs="Arial"/>
          <w:lang w:val="es-MX"/>
        </w:rPr>
      </w:pPr>
      <w:r w:rsidRPr="00325E4D">
        <w:rPr>
          <w:rFonts w:ascii="Arial" w:hAnsi="Arial" w:cs="Arial"/>
          <w:lang w:val="es-MX"/>
        </w:rPr>
        <w:t>El dimensionamiento supone que la experiencia a exigirse estará determinada por la longitud –u otra magnitud– que se pretende intervenir, de tal manera que a quienes estén interesados en participar se les exigirá, por ejemplo, acreditar experiencia específica en proyectos en donde hayan intervenido un porcentaje de dicha longitud establecida en kilómetros (km) en la Matriz 1. Del mismo modo, cuando se exijan requisitos en función del porcentaje del presupuesto oficial, el valor de el o los contratos que se aporten deberán igualar o superar la equivalencia del porcentaje exigible expresado en SMMLV.</w:t>
      </w:r>
    </w:p>
    <w:p w14:paraId="157EB543" w14:textId="77777777" w:rsidR="00325E4D" w:rsidRPr="00325E4D" w:rsidRDefault="00325E4D" w:rsidP="00325E4D">
      <w:pPr>
        <w:spacing w:after="120" w:line="276" w:lineRule="auto"/>
        <w:ind w:right="51" w:firstLine="708"/>
        <w:jc w:val="both"/>
        <w:rPr>
          <w:rFonts w:ascii="Arial" w:hAnsi="Arial" w:cs="Arial"/>
          <w:lang w:val="es-MX"/>
        </w:rPr>
      </w:pPr>
      <w:r w:rsidRPr="00325E4D">
        <w:rPr>
          <w:rFonts w:ascii="Arial" w:hAnsi="Arial" w:cs="Arial"/>
          <w:lang w:val="es-MX"/>
        </w:rPr>
        <w:t xml:space="preserve">Para que un proponente pueda habilitarse en lo referente a la experiencia debe demostrar haber ejecutado en los contratos con los que la acredita, determinado porcentaje del presupuesto oficial, lo cual,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Además, mediante estos contratos deberá demostrarse que la experiencia satisface las particularidades del requisito exigido por la Matriz 1 y el numeral 3.5.1 del Documento Base. </w:t>
      </w:r>
    </w:p>
    <w:p w14:paraId="38FC8E2D" w14:textId="7D77CD69" w:rsidR="00325E4D" w:rsidRPr="0055101F" w:rsidRDefault="00325E4D" w:rsidP="00325E4D">
      <w:pPr>
        <w:spacing w:after="120" w:line="276" w:lineRule="auto"/>
        <w:ind w:right="51" w:firstLine="708"/>
        <w:jc w:val="both"/>
        <w:rPr>
          <w:rFonts w:ascii="Arial" w:hAnsi="Arial" w:cs="Arial"/>
          <w:lang w:val="es-MX"/>
        </w:rPr>
      </w:pPr>
      <w:r w:rsidRPr="00325E4D">
        <w:rPr>
          <w:rFonts w:ascii="Arial" w:hAnsi="Arial" w:cs="Arial"/>
          <w:lang w:val="es-MX"/>
        </w:rPr>
        <w:t xml:space="preserve">Respecto de cada uno de estos contratos, conforme lo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w:t>
      </w:r>
      <w:r w:rsidR="007C061E">
        <w:rPr>
          <w:rFonts w:ascii="Arial" w:hAnsi="Arial" w:cs="Arial"/>
          <w:lang w:val="es-MX"/>
        </w:rPr>
        <w:t>y</w:t>
      </w:r>
      <w:r w:rsidRPr="00325E4D">
        <w:rPr>
          <w:rFonts w:ascii="Arial" w:hAnsi="Arial" w:cs="Arial"/>
          <w:lang w:val="es-MX"/>
        </w:rPr>
        <w:t xml:space="preserve"> i) el porcentaje de participación en el valor ejecutado en el caso de contratistas plurales</w:t>
      </w:r>
      <w:r w:rsidRPr="00325E4D">
        <w:rPr>
          <w:rFonts w:ascii="Arial" w:hAnsi="Arial" w:cs="Arial"/>
          <w:vertAlign w:val="superscript"/>
          <w:lang w:val="es-MX"/>
        </w:rPr>
        <w:footnoteReference w:id="12"/>
      </w:r>
      <w:r w:rsidRPr="00325E4D">
        <w:rPr>
          <w:rFonts w:ascii="Arial" w:hAnsi="Arial" w:cs="Arial"/>
          <w:lang w:val="es-MX"/>
        </w:rPr>
        <w:t xml:space="preserve">. Si bien, de </w:t>
      </w:r>
      <w:r w:rsidRPr="00325E4D">
        <w:rPr>
          <w:rFonts w:ascii="Arial" w:hAnsi="Arial" w:cs="Arial"/>
          <w:lang w:val="es-MX"/>
        </w:rPr>
        <w:lastRenderedPageBreak/>
        <w:t>conformidad con el artículo 6 de la Ley 1150 de 2007, el requisito habilitante de experiencia debe acredita</w:t>
      </w:r>
      <w:r w:rsidR="00CF530B">
        <w:rPr>
          <w:rFonts w:ascii="Arial" w:hAnsi="Arial" w:cs="Arial"/>
          <w:lang w:val="es-MX"/>
        </w:rPr>
        <w:t>rse</w:t>
      </w:r>
      <w:r w:rsidRPr="00325E4D">
        <w:rPr>
          <w:rFonts w:ascii="Arial" w:hAnsi="Arial" w:cs="Arial"/>
          <w:lang w:val="es-MX"/>
        </w:rPr>
        <w:t xml:space="preserve"> mediante el RUP, en la medida que este no registra toda la información relacionada en el numeral 3.5.5, los proponentes deberán recurrir a los documentos del </w:t>
      </w:r>
      <w:r w:rsidRPr="0055101F">
        <w:rPr>
          <w:rFonts w:ascii="Arial" w:hAnsi="Arial" w:cs="Arial"/>
          <w:lang w:val="es-MX"/>
        </w:rPr>
        <w:t>numeral 3.5.6 para acreditar dicha información</w:t>
      </w:r>
      <w:r w:rsidRPr="0055101F">
        <w:rPr>
          <w:rFonts w:ascii="Arial" w:hAnsi="Arial" w:cs="Arial"/>
          <w:vertAlign w:val="superscript"/>
          <w:lang w:val="es-MX"/>
        </w:rPr>
        <w:footnoteReference w:id="13"/>
      </w:r>
      <w:r w:rsidRPr="0055101F">
        <w:rPr>
          <w:rFonts w:ascii="Arial" w:hAnsi="Arial" w:cs="Arial"/>
          <w:lang w:val="es-MX"/>
        </w:rPr>
        <w:t>.</w:t>
      </w:r>
    </w:p>
    <w:p w14:paraId="4BE72F16" w14:textId="08D9A7A3" w:rsidR="00325E4D" w:rsidRPr="0055101F" w:rsidRDefault="00325E4D" w:rsidP="00AE4600">
      <w:pPr>
        <w:spacing w:after="0" w:line="276" w:lineRule="auto"/>
        <w:ind w:right="51" w:firstLine="708"/>
        <w:jc w:val="both"/>
        <w:rPr>
          <w:rFonts w:ascii="Arial" w:hAnsi="Arial" w:cs="Arial"/>
          <w:lang w:val="es-MX"/>
        </w:rPr>
      </w:pPr>
      <w:r w:rsidRPr="0055101F">
        <w:rPr>
          <w:rFonts w:ascii="Arial" w:hAnsi="Arial" w:cs="Arial"/>
          <w:lang w:val="es-MX"/>
        </w:rPr>
        <w:lastRenderedPageBreak/>
        <w:t xml:space="preserve">Conforme a lo anterior, la </w:t>
      </w:r>
      <w:r w:rsidR="001C57B7" w:rsidRPr="0055101F">
        <w:rPr>
          <w:rFonts w:ascii="Arial" w:hAnsi="Arial" w:cs="Arial"/>
          <w:lang w:val="es-MX"/>
        </w:rPr>
        <w:t>m</w:t>
      </w:r>
      <w:r w:rsidRPr="0055101F">
        <w:rPr>
          <w:rFonts w:ascii="Arial" w:hAnsi="Arial" w:cs="Arial"/>
          <w:lang w:val="es-MX"/>
        </w:rPr>
        <w:t xml:space="preserve">atriz 1 propende por la estandarización de los requisitos habilitantes, para lo cual establece unos requisitos de experiencia general para cada una de las actividades que contempla, y unos requisitos de experiencia específica determinables a partir del monto del presupuesto oficial del proceso de contratación y el alcance físico de la obra. Al respecto, se pone de presente que los requisitos de experiencia establecidos por la </w:t>
      </w:r>
      <w:r w:rsidR="001C57B7" w:rsidRPr="0055101F">
        <w:rPr>
          <w:rFonts w:ascii="Arial" w:hAnsi="Arial" w:cs="Arial"/>
          <w:lang w:val="es-MX"/>
        </w:rPr>
        <w:t>m</w:t>
      </w:r>
      <w:r w:rsidRPr="0055101F">
        <w:rPr>
          <w:rFonts w:ascii="Arial" w:hAnsi="Arial" w:cs="Arial"/>
          <w:lang w:val="es-MX"/>
        </w:rPr>
        <w:t xml:space="preserve">atriz 1, son inalterables y de obligatoria observancia para las entidades, por lo que estas, en principio, no pueden exigir requisitos de experiencia distintos a los que surgen de la aplicación de la matriz. </w:t>
      </w:r>
    </w:p>
    <w:p w14:paraId="58C03F61" w14:textId="77777777" w:rsidR="00AE4600" w:rsidRPr="0055101F" w:rsidRDefault="00AE4600" w:rsidP="00AE4600">
      <w:pPr>
        <w:spacing w:after="0" w:line="276" w:lineRule="auto"/>
        <w:ind w:right="51" w:firstLine="708"/>
        <w:jc w:val="both"/>
        <w:rPr>
          <w:rFonts w:ascii="Arial" w:hAnsi="Arial" w:cs="Arial"/>
          <w:lang w:val="es-MX"/>
        </w:rPr>
      </w:pPr>
    </w:p>
    <w:p w14:paraId="2499AC8D" w14:textId="447A0AE0" w:rsidR="00455DC9" w:rsidRPr="0055101F" w:rsidRDefault="00455DC9" w:rsidP="00AE4600">
      <w:pPr>
        <w:spacing w:after="0" w:line="276" w:lineRule="auto"/>
        <w:jc w:val="both"/>
        <w:rPr>
          <w:rFonts w:ascii="Arial" w:eastAsia="Calibri" w:hAnsi="Arial" w:cs="Arial"/>
          <w:b/>
          <w:bCs/>
          <w:color w:val="000000"/>
        </w:rPr>
      </w:pPr>
      <w:r w:rsidRPr="0055101F">
        <w:rPr>
          <w:rFonts w:ascii="Arial" w:eastAsia="Calibri" w:hAnsi="Arial" w:cs="Arial"/>
          <w:b/>
          <w:bCs/>
          <w:color w:val="000000"/>
          <w:lang w:val="es-MX"/>
        </w:rPr>
        <w:t>2.</w:t>
      </w:r>
      <w:r w:rsidR="00AE4600" w:rsidRPr="0055101F">
        <w:rPr>
          <w:rFonts w:ascii="Arial" w:eastAsia="Calibri" w:hAnsi="Arial" w:cs="Arial"/>
          <w:b/>
          <w:bCs/>
          <w:color w:val="000000"/>
          <w:lang w:val="es-MX"/>
        </w:rPr>
        <w:t>4</w:t>
      </w:r>
      <w:r w:rsidRPr="0055101F">
        <w:rPr>
          <w:rFonts w:ascii="Arial" w:eastAsia="Calibri" w:hAnsi="Arial" w:cs="Arial"/>
          <w:b/>
          <w:bCs/>
          <w:color w:val="000000"/>
          <w:lang w:val="es-MX"/>
        </w:rPr>
        <w:t xml:space="preserve">. </w:t>
      </w:r>
      <w:r w:rsidRPr="0055101F">
        <w:rPr>
          <w:rFonts w:ascii="Arial" w:eastAsia="Calibri" w:hAnsi="Arial" w:cs="Arial"/>
          <w:b/>
          <w:bCs/>
          <w:color w:val="000000"/>
        </w:rPr>
        <w:t xml:space="preserve">Combinación de experiencia en los </w:t>
      </w:r>
      <w:r w:rsidR="00914BBB" w:rsidRPr="0055101F">
        <w:rPr>
          <w:rFonts w:ascii="Arial" w:eastAsia="Calibri" w:hAnsi="Arial" w:cs="Arial"/>
          <w:b/>
          <w:bCs/>
          <w:color w:val="000000"/>
        </w:rPr>
        <w:t>documentos tipo</w:t>
      </w:r>
    </w:p>
    <w:p w14:paraId="61D2DA2F" w14:textId="77777777" w:rsidR="00A45814" w:rsidRPr="0055101F" w:rsidRDefault="00A45814" w:rsidP="00AE4600">
      <w:pPr>
        <w:spacing w:after="0" w:line="276" w:lineRule="auto"/>
        <w:jc w:val="both"/>
        <w:rPr>
          <w:rFonts w:ascii="Arial" w:eastAsia="Calibri" w:hAnsi="Arial" w:cs="Arial"/>
          <w:color w:val="000000"/>
          <w:lang w:val="es-MX"/>
        </w:rPr>
      </w:pPr>
    </w:p>
    <w:p w14:paraId="0322D6F5" w14:textId="2FA66412" w:rsidR="00455DC9" w:rsidRPr="0055101F" w:rsidRDefault="00455DC9" w:rsidP="002D56B4">
      <w:pPr>
        <w:spacing w:after="120" w:line="276" w:lineRule="auto"/>
        <w:jc w:val="both"/>
        <w:rPr>
          <w:rFonts w:ascii="Arial" w:eastAsia="Calibri" w:hAnsi="Arial" w:cs="Arial"/>
          <w:color w:val="000000"/>
          <w:lang w:val="es-MX"/>
        </w:rPr>
      </w:pPr>
      <w:r w:rsidRPr="0055101F">
        <w:rPr>
          <w:rFonts w:ascii="Arial" w:eastAsia="Calibri" w:hAnsi="Arial" w:cs="Arial"/>
          <w:color w:val="000000"/>
          <w:lang w:val="es-MX"/>
        </w:rPr>
        <w:t xml:space="preserve">Indicadas las prescripciones generales respecto a la exigencia de la experiencia en los procedimientos de licitación de obra pública de infraestructura de transporte, regidos por los documentos tipo, corresponde analizar de forma precisa la posibilidad de combinar experiencias de distintas actividades de la </w:t>
      </w:r>
      <w:r w:rsidR="00914BBB" w:rsidRPr="0055101F">
        <w:rPr>
          <w:rFonts w:ascii="Arial" w:eastAsia="Calibri" w:hAnsi="Arial" w:cs="Arial"/>
          <w:color w:val="000000"/>
          <w:lang w:val="es-MX"/>
        </w:rPr>
        <w:t>«</w:t>
      </w:r>
      <w:r w:rsidRPr="0055101F">
        <w:rPr>
          <w:rFonts w:ascii="Arial" w:eastAsia="Calibri" w:hAnsi="Arial" w:cs="Arial"/>
          <w:color w:val="000000"/>
          <w:lang w:val="es-MX"/>
        </w:rPr>
        <w:t>Matriz 1 – Experiencia</w:t>
      </w:r>
      <w:r w:rsidR="00914BBB" w:rsidRPr="0055101F">
        <w:rPr>
          <w:rFonts w:ascii="Arial" w:eastAsia="Calibri" w:hAnsi="Arial" w:cs="Arial"/>
          <w:color w:val="000000"/>
          <w:lang w:val="es-MX"/>
        </w:rPr>
        <w:t>»</w:t>
      </w:r>
      <w:r w:rsidRPr="0055101F">
        <w:rPr>
          <w:rFonts w:ascii="Arial" w:eastAsia="Calibri" w:hAnsi="Arial" w:cs="Arial"/>
          <w:color w:val="000000"/>
          <w:lang w:val="es-MX"/>
        </w:rPr>
        <w:t>.</w:t>
      </w:r>
    </w:p>
    <w:p w14:paraId="6A9D3344" w14:textId="3565448E" w:rsidR="00455DC9" w:rsidRPr="0055101F" w:rsidRDefault="00455DC9" w:rsidP="002D56B4">
      <w:pPr>
        <w:spacing w:after="120" w:line="276" w:lineRule="auto"/>
        <w:ind w:firstLine="708"/>
        <w:jc w:val="both"/>
        <w:rPr>
          <w:rFonts w:ascii="Arial" w:eastAsia="Calibri" w:hAnsi="Arial" w:cs="Arial"/>
          <w:color w:val="000000"/>
          <w:lang w:val="es-MX"/>
        </w:rPr>
      </w:pPr>
      <w:r w:rsidRPr="0055101F">
        <w:rPr>
          <w:rFonts w:ascii="Arial" w:eastAsia="Calibri" w:hAnsi="Arial" w:cs="Arial"/>
          <w:color w:val="000000"/>
          <w:lang w:val="es-MX"/>
        </w:rPr>
        <w:t xml:space="preserve">Cabe señalar </w:t>
      </w:r>
      <w:r w:rsidR="00312C2C" w:rsidRPr="0055101F">
        <w:rPr>
          <w:rFonts w:ascii="Arial" w:eastAsia="Calibri" w:hAnsi="Arial" w:cs="Arial"/>
          <w:color w:val="000000"/>
          <w:lang w:val="es-MX"/>
        </w:rPr>
        <w:t xml:space="preserve">en forma  </w:t>
      </w:r>
      <w:r w:rsidRPr="0055101F">
        <w:rPr>
          <w:rFonts w:ascii="Arial" w:eastAsia="Calibri" w:hAnsi="Arial" w:cs="Arial"/>
          <w:color w:val="000000"/>
          <w:lang w:val="es-MX"/>
        </w:rPr>
        <w:t>preliminar</w:t>
      </w:r>
      <w:r w:rsidR="00312C2C" w:rsidRPr="0055101F">
        <w:rPr>
          <w:rFonts w:ascii="Arial" w:eastAsia="Calibri" w:hAnsi="Arial" w:cs="Arial"/>
          <w:color w:val="000000"/>
          <w:lang w:val="es-MX"/>
        </w:rPr>
        <w:t xml:space="preserve"> </w:t>
      </w:r>
      <w:r w:rsidRPr="0055101F">
        <w:rPr>
          <w:rFonts w:ascii="Arial" w:eastAsia="Calibri" w:hAnsi="Arial" w:cs="Arial"/>
          <w:color w:val="000000"/>
          <w:lang w:val="es-MX"/>
        </w:rPr>
        <w:t xml:space="preserve">que esta entidad se pronunció en relación con el alcance </w:t>
      </w:r>
      <w:r w:rsidR="009D0BD2" w:rsidRPr="0055101F">
        <w:rPr>
          <w:rFonts w:ascii="Arial" w:eastAsia="Calibri" w:hAnsi="Arial" w:cs="Arial"/>
          <w:color w:val="000000"/>
          <w:lang w:val="es-MX"/>
        </w:rPr>
        <w:t xml:space="preserve">de </w:t>
      </w:r>
      <w:r w:rsidRPr="0055101F">
        <w:rPr>
          <w:rFonts w:ascii="Arial" w:eastAsia="Calibri" w:hAnsi="Arial" w:cs="Arial"/>
          <w:color w:val="000000"/>
          <w:lang w:val="es-MX"/>
        </w:rPr>
        <w:t>la incluida en la Matriz 1 – Experiencia de los documentos tipo de licitación de obra pública de infraestructura de transporte, contemplada para la Versión 1</w:t>
      </w:r>
      <w:r w:rsidRPr="0055101F">
        <w:rPr>
          <w:rFonts w:ascii="Arial" w:eastAsia="Calibri" w:hAnsi="Arial" w:cs="Arial"/>
          <w:b/>
          <w:bCs/>
          <w:color w:val="000000"/>
          <w:lang w:val="es-MX"/>
        </w:rPr>
        <w:t xml:space="preserve"> </w:t>
      </w:r>
      <w:r w:rsidRPr="0055101F">
        <w:rPr>
          <w:rFonts w:ascii="Arial" w:eastAsia="Calibri" w:hAnsi="Arial" w:cs="Arial"/>
          <w:color w:val="000000"/>
          <w:lang w:val="es-MX"/>
        </w:rPr>
        <w:t>de dichos documentos, la cual establecía «NOTA: la ejecución de actividades se pediría según el requerimiento de cada proceso, se pueden pedir los de cada APARTE o sus combinaciones». En efecto, el alcance de dicha nota se acotó en los conceptos del: 7 de agosto de 2019, que se produjo dentro del radicado No. 2201913000005643</w:t>
      </w:r>
      <w:r w:rsidRPr="0055101F">
        <w:rPr>
          <w:rFonts w:ascii="Arial" w:eastAsia="Calibri" w:hAnsi="Arial" w:cs="Arial"/>
          <w:color w:val="000000"/>
          <w:vertAlign w:val="superscript"/>
          <w:lang w:val="es-MX"/>
        </w:rPr>
        <w:footnoteReference w:id="14"/>
      </w:r>
      <w:r w:rsidRPr="0055101F">
        <w:rPr>
          <w:rFonts w:ascii="Arial" w:eastAsia="Calibri" w:hAnsi="Arial" w:cs="Arial"/>
          <w:color w:val="000000"/>
          <w:lang w:val="es-MX"/>
        </w:rPr>
        <w:t>; 26 de agosto de 2019, correspondiente al radicado No. 2201913000006218</w:t>
      </w:r>
      <w:r w:rsidRPr="0055101F">
        <w:rPr>
          <w:rFonts w:ascii="Arial" w:eastAsia="Calibri" w:hAnsi="Arial" w:cs="Arial"/>
          <w:color w:val="000000"/>
          <w:vertAlign w:val="superscript"/>
          <w:lang w:val="es-MX"/>
        </w:rPr>
        <w:footnoteReference w:id="15"/>
      </w:r>
      <w:r w:rsidRPr="0055101F">
        <w:rPr>
          <w:rFonts w:ascii="Arial" w:eastAsia="Calibri" w:hAnsi="Arial" w:cs="Arial"/>
          <w:color w:val="000000"/>
          <w:lang w:val="es-MX"/>
        </w:rPr>
        <w:t>; 12 de septiembre de 2019, dictado en el radicado No. 2201913000006777</w:t>
      </w:r>
      <w:r w:rsidRPr="0055101F">
        <w:rPr>
          <w:rFonts w:ascii="Arial" w:eastAsia="Calibri" w:hAnsi="Arial" w:cs="Arial"/>
          <w:color w:val="000000"/>
          <w:vertAlign w:val="superscript"/>
          <w:lang w:val="es-MX"/>
        </w:rPr>
        <w:footnoteReference w:id="16"/>
      </w:r>
      <w:r w:rsidRPr="0055101F">
        <w:rPr>
          <w:rFonts w:ascii="Arial" w:eastAsia="Calibri" w:hAnsi="Arial" w:cs="Arial"/>
          <w:color w:val="000000"/>
          <w:lang w:val="es-MX"/>
        </w:rPr>
        <w:t xml:space="preserve">;16 de septiembre de 2019, proferido </w:t>
      </w:r>
      <w:r w:rsidRPr="0055101F">
        <w:rPr>
          <w:rFonts w:ascii="Arial" w:eastAsia="Calibri" w:hAnsi="Arial" w:cs="Arial"/>
          <w:color w:val="000000"/>
          <w:lang w:val="es-MX"/>
        </w:rPr>
        <w:lastRenderedPageBreak/>
        <w:t>dentro del radicado No. 2201913000006878</w:t>
      </w:r>
      <w:r w:rsidRPr="0055101F">
        <w:rPr>
          <w:rFonts w:ascii="Arial" w:eastAsia="Calibri" w:hAnsi="Arial" w:cs="Arial"/>
          <w:color w:val="000000"/>
          <w:vertAlign w:val="superscript"/>
          <w:lang w:val="es-MX"/>
        </w:rPr>
        <w:footnoteReference w:id="17"/>
      </w:r>
      <w:r w:rsidRPr="0055101F">
        <w:rPr>
          <w:rFonts w:ascii="Arial" w:eastAsia="Calibri" w:hAnsi="Arial" w:cs="Arial"/>
          <w:color w:val="000000"/>
          <w:lang w:val="es-MX"/>
        </w:rPr>
        <w:t>; del 9 de diciembre de 2019, dictado al interior del radicado No. 2201913000009080</w:t>
      </w:r>
      <w:r w:rsidRPr="0055101F">
        <w:rPr>
          <w:rFonts w:ascii="Arial" w:eastAsia="Calibri" w:hAnsi="Arial" w:cs="Arial"/>
          <w:color w:val="000000"/>
          <w:vertAlign w:val="superscript"/>
          <w:lang w:val="es-MX"/>
        </w:rPr>
        <w:footnoteReference w:id="18"/>
      </w:r>
      <w:r w:rsidRPr="0055101F">
        <w:rPr>
          <w:rFonts w:ascii="Arial" w:eastAsia="Calibri" w:hAnsi="Arial" w:cs="Arial"/>
          <w:color w:val="000000"/>
          <w:lang w:val="es-MX"/>
        </w:rPr>
        <w:t>; y en el concepto C-154 del 1 de abril de 2020 se explicó el alcance de las expresiones «los de cada aparte» y «sus combinaciones», contenidas en dicha nota existente en la Versión 1 de los documentos tipo.</w:t>
      </w:r>
    </w:p>
    <w:p w14:paraId="2BC4B5BD" w14:textId="0903B955" w:rsidR="00455DC9" w:rsidRPr="0055101F" w:rsidRDefault="00455DC9" w:rsidP="00455DC9">
      <w:pPr>
        <w:spacing w:before="120" w:after="120" w:line="276" w:lineRule="auto"/>
        <w:jc w:val="both"/>
        <w:rPr>
          <w:rFonts w:ascii="Arial" w:eastAsia="Calibri" w:hAnsi="Arial" w:cs="Arial"/>
          <w:color w:val="000000"/>
          <w:lang w:val="es-MX"/>
        </w:rPr>
      </w:pPr>
      <w:r w:rsidRPr="0055101F">
        <w:rPr>
          <w:rFonts w:ascii="Arial" w:eastAsia="Calibri" w:hAnsi="Arial" w:cs="Arial"/>
          <w:color w:val="000000"/>
          <w:lang w:val="es-MX"/>
        </w:rPr>
        <w:tab/>
        <w:t>No obstante, dicha nota fue modificada en la Versión 2 de los documentos tipo de licitación de obra pública de infraestructura de transporte</w:t>
      </w:r>
      <w:r w:rsidR="00E336DD" w:rsidRPr="0055101F">
        <w:rPr>
          <w:rFonts w:ascii="Arial" w:eastAsia="Calibri" w:hAnsi="Arial" w:cs="Arial"/>
          <w:color w:val="000000"/>
          <w:lang w:val="es-MX"/>
        </w:rPr>
        <w:t xml:space="preserve"> y se mantuvo en la Versión 3 de estos documentos</w:t>
      </w:r>
      <w:r w:rsidRPr="0055101F">
        <w:rPr>
          <w:rFonts w:ascii="Arial" w:eastAsia="Calibri" w:hAnsi="Arial" w:cs="Arial"/>
          <w:color w:val="000000"/>
          <w:lang w:val="es-MX"/>
        </w:rPr>
        <w:t xml:space="preserve">, por lo que al final de la </w:t>
      </w:r>
      <w:r w:rsidR="00914BBB" w:rsidRPr="0055101F">
        <w:rPr>
          <w:rFonts w:ascii="Arial" w:eastAsia="Calibri" w:hAnsi="Arial" w:cs="Arial"/>
          <w:color w:val="000000"/>
          <w:lang w:val="es-MX"/>
        </w:rPr>
        <w:t>«</w:t>
      </w:r>
      <w:r w:rsidRPr="0055101F">
        <w:rPr>
          <w:rFonts w:ascii="Arial" w:eastAsia="Calibri" w:hAnsi="Arial" w:cs="Arial"/>
          <w:color w:val="000000"/>
          <w:lang w:val="es-MX"/>
        </w:rPr>
        <w:t>Matriz 1 – Experiencia</w:t>
      </w:r>
      <w:r w:rsidR="00914BBB" w:rsidRPr="0055101F">
        <w:rPr>
          <w:rFonts w:ascii="Arial" w:eastAsia="Calibri" w:hAnsi="Arial" w:cs="Arial"/>
          <w:color w:val="000000"/>
          <w:lang w:val="es-MX"/>
        </w:rPr>
        <w:t>»</w:t>
      </w:r>
      <w:r w:rsidRPr="0055101F">
        <w:rPr>
          <w:rFonts w:ascii="Arial" w:eastAsia="Calibri" w:hAnsi="Arial" w:cs="Arial"/>
          <w:color w:val="000000"/>
          <w:lang w:val="es-MX"/>
        </w:rPr>
        <w:t xml:space="preserve"> de los documentos actuales se aclara de forma más pormenorizada la posibilidad que existe de solicitar experiencia asociada a más de un tipo de «actividad a contratar», en los proyectos que impliquen la ejecución, precisamente, de dos o más actividades a contratar de las contempladas en la matriz indicada.</w:t>
      </w:r>
    </w:p>
    <w:p w14:paraId="347CCBB5" w14:textId="6EE998C4" w:rsidR="00455DC9" w:rsidRPr="0055101F" w:rsidRDefault="00455DC9" w:rsidP="00455DC9">
      <w:pPr>
        <w:spacing w:before="120" w:after="0" w:line="276" w:lineRule="auto"/>
        <w:jc w:val="both"/>
        <w:rPr>
          <w:rFonts w:ascii="Arial" w:eastAsia="Calibri" w:hAnsi="Arial" w:cs="Arial"/>
          <w:color w:val="000000"/>
          <w:lang w:val="es-MX"/>
        </w:rPr>
      </w:pPr>
      <w:r w:rsidRPr="0055101F">
        <w:rPr>
          <w:rFonts w:ascii="Arial" w:eastAsia="Calibri" w:hAnsi="Arial" w:cs="Arial"/>
          <w:color w:val="000000"/>
          <w:lang w:val="es-MX"/>
        </w:rPr>
        <w:tab/>
        <w:t xml:space="preserve">En este sentido, en el acápite de «Reglas para definir la experiencia exigible en el proceso de contratación» de la </w:t>
      </w:r>
      <w:r w:rsidR="002D1858" w:rsidRPr="0055101F">
        <w:rPr>
          <w:rFonts w:ascii="Arial" w:eastAsia="Calibri" w:hAnsi="Arial" w:cs="Arial"/>
          <w:color w:val="000000"/>
          <w:lang w:val="es-MX"/>
        </w:rPr>
        <w:t>«</w:t>
      </w:r>
      <w:r w:rsidRPr="0055101F">
        <w:rPr>
          <w:rFonts w:ascii="Arial" w:eastAsia="Calibri" w:hAnsi="Arial" w:cs="Arial"/>
          <w:color w:val="000000"/>
          <w:lang w:val="es-MX"/>
        </w:rPr>
        <w:t>Matriz 1 – Experiencia</w:t>
      </w:r>
      <w:r w:rsidR="002D1858" w:rsidRPr="0055101F">
        <w:rPr>
          <w:rFonts w:ascii="Arial" w:eastAsia="Calibri" w:hAnsi="Arial" w:cs="Arial"/>
          <w:color w:val="000000"/>
          <w:lang w:val="es-MX"/>
        </w:rPr>
        <w:t>»</w:t>
      </w:r>
      <w:r w:rsidR="003321F9" w:rsidRPr="0055101F">
        <w:rPr>
          <w:rFonts w:ascii="Arial" w:eastAsia="Calibri" w:hAnsi="Arial" w:cs="Arial"/>
          <w:color w:val="000000"/>
          <w:lang w:val="es-MX"/>
        </w:rPr>
        <w:t>,</w:t>
      </w:r>
      <w:r w:rsidRPr="0055101F">
        <w:rPr>
          <w:rFonts w:ascii="Arial" w:eastAsia="Calibri" w:hAnsi="Arial" w:cs="Arial"/>
          <w:color w:val="000000"/>
          <w:lang w:val="es-MX"/>
        </w:rPr>
        <w:t xml:space="preserve"> </w:t>
      </w:r>
      <w:r w:rsidR="003321F9" w:rsidRPr="0055101F">
        <w:rPr>
          <w:rFonts w:ascii="Arial" w:eastAsia="Calibri" w:hAnsi="Arial" w:cs="Arial"/>
          <w:color w:val="000000"/>
          <w:lang w:val="es-MX"/>
        </w:rPr>
        <w:t>tanto de baja</w:t>
      </w:r>
      <w:r w:rsidR="008D116A" w:rsidRPr="0055101F">
        <w:rPr>
          <w:rFonts w:ascii="Arial" w:eastAsia="Calibri" w:hAnsi="Arial" w:cs="Arial"/>
          <w:color w:val="000000"/>
          <w:lang w:val="es-MX"/>
        </w:rPr>
        <w:t xml:space="preserve"> </w:t>
      </w:r>
      <w:r w:rsidR="003500FE" w:rsidRPr="0055101F">
        <w:rPr>
          <w:rFonts w:ascii="Arial" w:eastAsia="Calibri" w:hAnsi="Arial" w:cs="Arial"/>
          <w:color w:val="000000"/>
          <w:lang w:val="es-MX"/>
        </w:rPr>
        <w:t>o</w:t>
      </w:r>
      <w:r w:rsidR="003321F9" w:rsidRPr="0055101F">
        <w:rPr>
          <w:rFonts w:ascii="Arial" w:eastAsia="Calibri" w:hAnsi="Arial" w:cs="Arial"/>
          <w:color w:val="000000"/>
          <w:lang w:val="es-MX"/>
        </w:rPr>
        <w:t xml:space="preserve"> mediana y alta complejidad </w:t>
      </w:r>
      <w:r w:rsidRPr="0055101F">
        <w:rPr>
          <w:rFonts w:ascii="Arial" w:eastAsia="Calibri" w:hAnsi="Arial" w:cs="Arial"/>
          <w:color w:val="000000"/>
          <w:lang w:val="es-MX"/>
        </w:rPr>
        <w:t>de los documentos tipo actuales se establece la regla vi) que prescribe lo siguiente:</w:t>
      </w:r>
    </w:p>
    <w:p w14:paraId="329FB380" w14:textId="77777777" w:rsidR="00455DC9" w:rsidRPr="0055101F" w:rsidRDefault="00455DC9" w:rsidP="00984FCC">
      <w:pPr>
        <w:spacing w:after="0" w:line="240" w:lineRule="auto"/>
        <w:ind w:left="709" w:right="709"/>
        <w:jc w:val="both"/>
        <w:rPr>
          <w:rFonts w:ascii="Arial" w:eastAsia="Calibri" w:hAnsi="Arial" w:cs="Arial"/>
          <w:color w:val="000000"/>
          <w:lang w:val="es-MX"/>
        </w:rPr>
      </w:pPr>
    </w:p>
    <w:p w14:paraId="54CDDAFA" w14:textId="25F7BD81" w:rsidR="00984FCC" w:rsidRPr="0055101F" w:rsidRDefault="00455DC9" w:rsidP="00984FCC">
      <w:pPr>
        <w:spacing w:after="120" w:line="240" w:lineRule="auto"/>
        <w:ind w:left="709" w:right="709"/>
        <w:jc w:val="both"/>
        <w:rPr>
          <w:rFonts w:ascii="Arial" w:eastAsia="Calibri" w:hAnsi="Arial" w:cs="Arial"/>
          <w:color w:val="000000"/>
          <w:sz w:val="21"/>
          <w:szCs w:val="21"/>
          <w:lang w:val="es-ES_tradnl"/>
        </w:rPr>
      </w:pPr>
      <w:r w:rsidRPr="0055101F">
        <w:rPr>
          <w:rFonts w:ascii="Arial" w:eastAsia="Calibri" w:hAnsi="Arial" w:cs="Arial"/>
          <w:color w:val="000000"/>
          <w:sz w:val="21"/>
          <w:szCs w:val="21"/>
          <w:lang w:val="es-ES_tradnl"/>
        </w:rPr>
        <w:t xml:space="preserve">vi) </w:t>
      </w:r>
      <w:r w:rsidR="00984FCC" w:rsidRPr="0055101F">
        <w:rPr>
          <w:rFonts w:ascii="Arial" w:eastAsia="Calibri" w:hAnsi="Arial" w:cs="Arial"/>
          <w:color w:val="000000"/>
          <w:sz w:val="21"/>
          <w:szCs w:val="21"/>
          <w:lang w:val="es-ES_tradnl"/>
        </w:rPr>
        <w:t xml:space="preserve">Cuando el objeto del proceso de contratación contemple la ejecución de dos o más “Actividades a Contratar” (ej.: 1.1 y 7.1),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que para las actividades a contratar, diferentes a la de mayor relevancia, la “Matriz </w:t>
      </w:r>
      <w:r w:rsidR="00984FCC" w:rsidRPr="0055101F">
        <w:rPr>
          <w:rFonts w:ascii="Arial" w:eastAsia="Calibri" w:hAnsi="Arial" w:cs="Arial"/>
          <w:color w:val="000000"/>
          <w:sz w:val="21"/>
          <w:szCs w:val="21"/>
          <w:lang w:val="es-ES_tradnl"/>
        </w:rPr>
        <w:lastRenderedPageBreak/>
        <w:t xml:space="preserve">1- Experiencia” no contemple la experiencia específica, se podrá solicitar la experiencia general de la actividad, como específica. </w:t>
      </w:r>
    </w:p>
    <w:p w14:paraId="2BDF080C" w14:textId="22FEBD08" w:rsidR="00984FCC" w:rsidRPr="0055101F" w:rsidRDefault="00984FCC" w:rsidP="00984FCC">
      <w:pPr>
        <w:spacing w:after="120" w:line="240" w:lineRule="auto"/>
        <w:ind w:left="709" w:right="709"/>
        <w:jc w:val="both"/>
        <w:rPr>
          <w:rFonts w:ascii="Arial" w:eastAsia="Calibri" w:hAnsi="Arial" w:cs="Arial"/>
          <w:color w:val="000000"/>
          <w:sz w:val="21"/>
          <w:szCs w:val="21"/>
          <w:lang w:val="es-ES_tradnl"/>
        </w:rPr>
      </w:pPr>
      <w:r w:rsidRPr="0055101F">
        <w:rPr>
          <w:rFonts w:ascii="Arial" w:eastAsia="Calibri" w:hAnsi="Arial" w:cs="Arial"/>
          <w:color w:val="000000"/>
          <w:sz w:val="21"/>
          <w:szCs w:val="21"/>
          <w:lang w:val="es-ES_tradnl"/>
        </w:rPr>
        <w:t xml:space="preserve">Tenga en cuenta que la experiencia se exigirá en función del valor del presupuesto oficial y no por el valor de la desagregación de actividades. </w:t>
      </w:r>
    </w:p>
    <w:p w14:paraId="2E4C94FF" w14:textId="1F7B5EE3" w:rsidR="00984FCC" w:rsidRPr="0055101F" w:rsidRDefault="00984FCC" w:rsidP="00984FCC">
      <w:pPr>
        <w:spacing w:after="120" w:line="240" w:lineRule="auto"/>
        <w:ind w:left="709" w:right="709"/>
        <w:jc w:val="both"/>
        <w:rPr>
          <w:rFonts w:ascii="Arial" w:eastAsia="Calibri" w:hAnsi="Arial" w:cs="Arial"/>
          <w:color w:val="000000"/>
          <w:sz w:val="21"/>
          <w:szCs w:val="21"/>
          <w:lang w:val="es-ES_tradnl"/>
        </w:rPr>
      </w:pPr>
      <w:r w:rsidRPr="0055101F">
        <w:rPr>
          <w:rFonts w:ascii="Arial" w:eastAsia="Calibri" w:hAnsi="Arial" w:cs="Arial"/>
          <w:color w:val="000000"/>
          <w:sz w:val="21"/>
          <w:szCs w:val="21"/>
          <w:lang w:val="es-ES_tradnl"/>
        </w:rPr>
        <w:t>Adicionalmente, en los casos donde la Entidad opte por la exigencia de la experiencia específica para las actividades distintas a la de mayor relevancia, se deberá incluir la siguiente nota:</w:t>
      </w:r>
    </w:p>
    <w:p w14:paraId="0090874B" w14:textId="4AFCB95A" w:rsidR="00455DC9" w:rsidRPr="0055101F" w:rsidRDefault="00984FCC" w:rsidP="00984FCC">
      <w:pPr>
        <w:spacing w:after="0" w:line="240" w:lineRule="auto"/>
        <w:ind w:left="709" w:right="709"/>
        <w:jc w:val="both"/>
        <w:rPr>
          <w:rFonts w:ascii="Arial" w:eastAsia="Calibri" w:hAnsi="Arial" w:cs="Arial"/>
          <w:color w:val="000000"/>
          <w:sz w:val="21"/>
          <w:szCs w:val="21"/>
          <w:lang w:val="es-ES_tradnl"/>
        </w:rPr>
      </w:pPr>
      <w:r w:rsidRPr="0055101F">
        <w:rPr>
          <w:rFonts w:ascii="Arial" w:eastAsia="Calibri" w:hAnsi="Arial" w:cs="Arial"/>
          <w:color w:val="000000"/>
          <w:sz w:val="21"/>
          <w:szCs w:val="21"/>
          <w:lang w:val="es-ES_tradnl"/>
        </w:rPr>
        <w:t>“Nota: Tenga en cuenta que la acreditación de las actividades de la Experiencia se podrá hacer a través de mínimo uno (1) y máximo (6) contratos. Para el caso de Experiencias combinadas, un Proponente podrá acreditar una o más actividades, con un contrato o con varios de forma independiente (</w:t>
      </w:r>
      <w:proofErr w:type="spellStart"/>
      <w:r w:rsidRPr="0055101F">
        <w:rPr>
          <w:rFonts w:ascii="Arial" w:eastAsia="Calibri" w:hAnsi="Arial" w:cs="Arial"/>
          <w:color w:val="000000"/>
          <w:sz w:val="21"/>
          <w:szCs w:val="21"/>
          <w:lang w:val="es-ES_tradnl"/>
        </w:rPr>
        <w:t>ej</w:t>
      </w:r>
      <w:proofErr w:type="spellEnd"/>
      <w:r w:rsidRPr="0055101F">
        <w:rPr>
          <w:rFonts w:ascii="Arial" w:eastAsia="Calibri" w:hAnsi="Arial" w:cs="Arial"/>
          <w:color w:val="000000"/>
          <w:sz w:val="21"/>
          <w:szCs w:val="21"/>
          <w:lang w:val="es-ES_tradnl"/>
        </w:rPr>
        <w:t>: un contrato que contemple construcción de vía con un paso a desnivel o un contrato que contemple construcción de vía y otro que contemple el paso a desnivel), situación que será verificada por la Entidad en la evaluación sin realizar desagregación por el valor de las actividades respecto al total del contrato.”</w:t>
      </w:r>
    </w:p>
    <w:p w14:paraId="43A2FFEB" w14:textId="77777777" w:rsidR="00455DC9" w:rsidRPr="0055101F" w:rsidRDefault="00455DC9" w:rsidP="00984FCC">
      <w:pPr>
        <w:spacing w:after="0" w:line="240" w:lineRule="auto"/>
        <w:ind w:left="709" w:right="709"/>
        <w:jc w:val="both"/>
        <w:rPr>
          <w:rFonts w:ascii="Arial" w:eastAsia="Calibri" w:hAnsi="Arial" w:cs="Arial"/>
          <w:color w:val="000000"/>
          <w:lang w:val="es-MX"/>
        </w:rPr>
      </w:pPr>
    </w:p>
    <w:p w14:paraId="5F40B2A3" w14:textId="3A568174" w:rsidR="00455DC9" w:rsidRPr="0055101F" w:rsidRDefault="00455DC9" w:rsidP="00984FCC">
      <w:pPr>
        <w:spacing w:after="0" w:line="276" w:lineRule="auto"/>
        <w:jc w:val="both"/>
        <w:rPr>
          <w:rFonts w:ascii="Arial" w:eastAsia="Calibri" w:hAnsi="Arial" w:cs="Arial"/>
          <w:color w:val="000000"/>
          <w:sz w:val="21"/>
          <w:szCs w:val="21"/>
          <w:lang w:val="es-ES_tradnl"/>
        </w:rPr>
      </w:pPr>
      <w:r w:rsidRPr="0055101F">
        <w:rPr>
          <w:rFonts w:ascii="Arial" w:eastAsia="Calibri" w:hAnsi="Arial" w:cs="Arial"/>
          <w:color w:val="000000"/>
          <w:lang w:val="es-MX"/>
        </w:rPr>
        <w:tab/>
        <w:t xml:space="preserve">Como se advierte de lo anterior, en la versión </w:t>
      </w:r>
      <w:r w:rsidR="00B06893" w:rsidRPr="0055101F">
        <w:rPr>
          <w:rFonts w:ascii="Arial" w:eastAsia="Calibri" w:hAnsi="Arial" w:cs="Arial"/>
          <w:color w:val="000000"/>
          <w:lang w:val="es-MX"/>
        </w:rPr>
        <w:t>3</w:t>
      </w:r>
      <w:r w:rsidRPr="0055101F">
        <w:rPr>
          <w:rFonts w:ascii="Arial" w:eastAsia="Calibri" w:hAnsi="Arial" w:cs="Arial"/>
          <w:color w:val="000000"/>
          <w:lang w:val="es-MX"/>
        </w:rPr>
        <w:t xml:space="preserve"> de los documentos tipo se reguló de forma pormenorizada y explicada suficientemente la forma en que procede exigir experiencias combinadas asociadas a diferentes actividades a contratar de la </w:t>
      </w:r>
      <w:r w:rsidR="00F745C1" w:rsidRPr="0055101F">
        <w:rPr>
          <w:rFonts w:ascii="Arial" w:eastAsia="Calibri" w:hAnsi="Arial" w:cs="Arial"/>
          <w:color w:val="000000"/>
          <w:lang w:val="es-MX"/>
        </w:rPr>
        <w:t>«</w:t>
      </w:r>
      <w:r w:rsidRPr="0055101F">
        <w:rPr>
          <w:rFonts w:ascii="Arial" w:eastAsia="Calibri" w:hAnsi="Arial" w:cs="Arial"/>
          <w:color w:val="000000"/>
          <w:lang w:val="es-MX"/>
        </w:rPr>
        <w:t>Matriz 1 – Experiencia</w:t>
      </w:r>
      <w:r w:rsidR="00F745C1" w:rsidRPr="0055101F">
        <w:rPr>
          <w:rFonts w:ascii="Arial" w:eastAsia="Calibri" w:hAnsi="Arial" w:cs="Arial"/>
          <w:color w:val="000000"/>
          <w:lang w:val="es-MX"/>
        </w:rPr>
        <w:t>»</w:t>
      </w:r>
      <w:r w:rsidR="00B06893" w:rsidRPr="0055101F">
        <w:rPr>
          <w:rFonts w:ascii="Arial" w:eastAsia="Calibri" w:hAnsi="Arial" w:cs="Arial"/>
          <w:color w:val="000000"/>
          <w:lang w:val="es-MX"/>
        </w:rPr>
        <w:t xml:space="preserve">, tanto de </w:t>
      </w:r>
      <w:r w:rsidR="007C6077" w:rsidRPr="0055101F">
        <w:rPr>
          <w:rFonts w:ascii="Arial" w:eastAsia="Calibri" w:hAnsi="Arial" w:cs="Arial"/>
          <w:color w:val="000000"/>
          <w:lang w:val="es-MX"/>
        </w:rPr>
        <w:t>baja</w:t>
      </w:r>
      <w:r w:rsidR="008D116A" w:rsidRPr="0055101F">
        <w:rPr>
          <w:rFonts w:ascii="Arial" w:eastAsia="Calibri" w:hAnsi="Arial" w:cs="Arial"/>
          <w:color w:val="000000"/>
          <w:lang w:val="es-MX"/>
        </w:rPr>
        <w:t xml:space="preserve"> </w:t>
      </w:r>
      <w:r w:rsidR="007C6130" w:rsidRPr="0055101F">
        <w:rPr>
          <w:rFonts w:ascii="Arial" w:eastAsia="Calibri" w:hAnsi="Arial" w:cs="Arial"/>
          <w:color w:val="000000"/>
          <w:lang w:val="es-MX"/>
        </w:rPr>
        <w:t>o</w:t>
      </w:r>
      <w:r w:rsidR="007C6077" w:rsidRPr="0055101F">
        <w:rPr>
          <w:rFonts w:ascii="Arial" w:eastAsia="Calibri" w:hAnsi="Arial" w:cs="Arial"/>
          <w:color w:val="000000"/>
          <w:lang w:val="es-MX"/>
        </w:rPr>
        <w:t xml:space="preserve"> mediana y alta complejidad</w:t>
      </w:r>
      <w:r w:rsidRPr="0055101F">
        <w:rPr>
          <w:rFonts w:ascii="Arial" w:eastAsia="Calibri" w:hAnsi="Arial" w:cs="Arial"/>
          <w:color w:val="000000"/>
          <w:lang w:val="es-MX"/>
        </w:rPr>
        <w:t>. En tal sentido, se prescribe que esta posibilidad se puede utilizar «</w:t>
      </w:r>
      <w:r w:rsidRPr="0055101F">
        <w:rPr>
          <w:rFonts w:ascii="Arial" w:eastAsia="Calibri" w:hAnsi="Arial" w:cs="Arial"/>
          <w:color w:val="000000"/>
          <w:sz w:val="21"/>
          <w:szCs w:val="21"/>
          <w:lang w:val="es-ES_tradnl"/>
        </w:rPr>
        <w:t xml:space="preserve">Cuando el objeto del proceso de contratación contemple la ejecución de dos o más “Actividades a Contratar” (ej.: 1.1 y 7.1)», supuesto en el cual se plantean las dos opciones relacionadas con: i) solicitar solo la experiencia asociada a la «actividad a contratar» de mayor relevancia en el contrato o </w:t>
      </w:r>
      <w:proofErr w:type="spellStart"/>
      <w:r w:rsidRPr="0055101F">
        <w:rPr>
          <w:rFonts w:ascii="Arial" w:eastAsia="Calibri" w:hAnsi="Arial" w:cs="Arial"/>
          <w:color w:val="000000"/>
          <w:sz w:val="21"/>
          <w:szCs w:val="21"/>
          <w:lang w:val="es-ES_tradnl"/>
        </w:rPr>
        <w:t>ii</w:t>
      </w:r>
      <w:proofErr w:type="spellEnd"/>
      <w:r w:rsidRPr="0055101F">
        <w:rPr>
          <w:rFonts w:ascii="Arial" w:eastAsia="Calibri" w:hAnsi="Arial" w:cs="Arial"/>
          <w:color w:val="000000"/>
          <w:sz w:val="21"/>
          <w:szCs w:val="21"/>
          <w:lang w:val="es-ES_tradnl"/>
        </w:rPr>
        <w:t xml:space="preserve">) combinar experiencias de las 2 </w:t>
      </w:r>
      <w:proofErr w:type="spellStart"/>
      <w:r w:rsidRPr="0055101F">
        <w:rPr>
          <w:rFonts w:ascii="Arial" w:eastAsia="Calibri" w:hAnsi="Arial" w:cs="Arial"/>
          <w:color w:val="000000"/>
          <w:sz w:val="21"/>
          <w:szCs w:val="21"/>
          <w:lang w:val="es-ES_tradnl"/>
        </w:rPr>
        <w:t>ó</w:t>
      </w:r>
      <w:proofErr w:type="spellEnd"/>
      <w:r w:rsidRPr="0055101F">
        <w:rPr>
          <w:rFonts w:ascii="Arial" w:eastAsia="Calibri" w:hAnsi="Arial" w:cs="Arial"/>
          <w:color w:val="000000"/>
          <w:sz w:val="21"/>
          <w:szCs w:val="21"/>
          <w:lang w:val="es-ES_tradnl"/>
        </w:rPr>
        <w:t xml:space="preserve"> más «actividades a contratar» que se van a ejecutar en desarrollo del contrato, de acuerdo con las reglas establecidas en el aparte citado previamente.</w:t>
      </w:r>
    </w:p>
    <w:p w14:paraId="5011FB78" w14:textId="77777777" w:rsidR="00455DC9" w:rsidRPr="0055101F" w:rsidRDefault="00455DC9" w:rsidP="00455DC9">
      <w:pPr>
        <w:spacing w:after="0" w:line="276" w:lineRule="auto"/>
        <w:jc w:val="both"/>
        <w:rPr>
          <w:rFonts w:ascii="Arial" w:eastAsia="Calibri" w:hAnsi="Arial" w:cs="Arial"/>
          <w:sz w:val="24"/>
          <w:lang w:val="es-ES_tradnl"/>
        </w:rPr>
      </w:pPr>
    </w:p>
    <w:p w14:paraId="5CE905C8" w14:textId="77777777" w:rsidR="00455DC9" w:rsidRPr="0055101F" w:rsidRDefault="00455DC9" w:rsidP="00455DC9">
      <w:pPr>
        <w:tabs>
          <w:tab w:val="left" w:pos="0"/>
        </w:tabs>
        <w:spacing w:after="0" w:line="276" w:lineRule="auto"/>
        <w:jc w:val="both"/>
        <w:rPr>
          <w:rFonts w:ascii="Arial" w:eastAsia="Calibri" w:hAnsi="Arial" w:cs="Arial"/>
          <w:b/>
          <w:color w:val="000000"/>
          <w:lang w:val="es-ES_tradnl"/>
        </w:rPr>
      </w:pPr>
      <w:r w:rsidRPr="0055101F">
        <w:rPr>
          <w:rFonts w:ascii="Arial" w:eastAsia="Calibri" w:hAnsi="Arial" w:cs="Arial"/>
          <w:b/>
          <w:color w:val="000000"/>
          <w:lang w:val="es-ES_tradnl"/>
        </w:rPr>
        <w:t>3. Respuestas</w:t>
      </w:r>
    </w:p>
    <w:p w14:paraId="74FF9292" w14:textId="2505064A" w:rsidR="00C23490" w:rsidRPr="0055101F" w:rsidRDefault="00C23490" w:rsidP="00920A92">
      <w:pPr>
        <w:tabs>
          <w:tab w:val="left" w:pos="0"/>
        </w:tabs>
        <w:spacing w:after="0" w:line="276" w:lineRule="auto"/>
        <w:jc w:val="both"/>
        <w:rPr>
          <w:rFonts w:ascii="Arial" w:eastAsia="Calibri" w:hAnsi="Arial" w:cs="Arial"/>
          <w:color w:val="000000"/>
          <w:lang w:val="es-ES_tradnl"/>
        </w:rPr>
      </w:pPr>
    </w:p>
    <w:p w14:paraId="3C9EC1A3" w14:textId="12967B76" w:rsidR="00D60126" w:rsidRPr="0055101F" w:rsidRDefault="00D60126" w:rsidP="00D60126">
      <w:pPr>
        <w:spacing w:after="0" w:line="276" w:lineRule="auto"/>
        <w:jc w:val="both"/>
        <w:rPr>
          <w:rFonts w:ascii="Arial" w:hAnsi="Arial" w:cs="Arial"/>
        </w:rPr>
      </w:pPr>
      <w:r w:rsidRPr="0055101F">
        <w:rPr>
          <w:rFonts w:ascii="Arial" w:hAnsi="Arial" w:cs="Arial"/>
        </w:rPr>
        <w:t xml:space="preserve">Como se manifestó en la parte considerativa, las competencias asignadas a esta Subdirección por el Decreto Ley 4170 de 2011 no contemplan la resolución de casos concretos ni la validación de hipótesis. Tales labores exceden la función consultiva atribuida a esta entidad por el numeral 5 del artículo 3 y el numeral 8 del artículo 11 del mencionado decreto. Sin embargo, para satisfacer en la mayor medida de lo posible el derecho fundamental de petición y esclarecer las inquietudes del peticionario sobre la aplicación de ciertos aspectos de los documentos tipo de licitación de obra pública – versión 3, se ha analizado el contenido de la petición, </w:t>
      </w:r>
      <w:r w:rsidRPr="0055101F">
        <w:rPr>
          <w:rFonts w:ascii="Arial" w:eastAsia="Calibri" w:hAnsi="Arial" w:cs="Arial"/>
        </w:rPr>
        <w:t>haciendo abstracción del caso particular expuesto en la consulta</w:t>
      </w:r>
      <w:r w:rsidRPr="0055101F">
        <w:rPr>
          <w:rFonts w:ascii="Arial" w:hAnsi="Arial" w:cs="Arial"/>
        </w:rPr>
        <w:t>, en ese sentido, se procede a responder las preguntas en el ejercicio de la referida función consultiva.</w:t>
      </w:r>
    </w:p>
    <w:p w14:paraId="4CCF0279" w14:textId="77777777" w:rsidR="00D60126" w:rsidRPr="0055101F" w:rsidRDefault="00D60126" w:rsidP="00920A92">
      <w:pPr>
        <w:tabs>
          <w:tab w:val="left" w:pos="0"/>
        </w:tabs>
        <w:spacing w:after="0" w:line="276" w:lineRule="auto"/>
        <w:jc w:val="both"/>
        <w:rPr>
          <w:rFonts w:ascii="Arial" w:eastAsia="Calibri" w:hAnsi="Arial" w:cs="Arial"/>
          <w:color w:val="000000"/>
          <w:lang w:val="es-ES_tradnl"/>
        </w:rPr>
      </w:pPr>
    </w:p>
    <w:p w14:paraId="34987C3A" w14:textId="32315E44" w:rsidR="00837F63" w:rsidRPr="0055101F" w:rsidRDefault="00837F63" w:rsidP="0055101F">
      <w:pPr>
        <w:tabs>
          <w:tab w:val="left" w:pos="426"/>
        </w:tabs>
        <w:spacing w:after="0" w:line="240" w:lineRule="auto"/>
        <w:ind w:left="709" w:right="709"/>
        <w:contextualSpacing/>
        <w:jc w:val="both"/>
        <w:rPr>
          <w:rFonts w:ascii="Arial" w:hAnsi="Arial" w:cs="Arial"/>
          <w:bCs/>
          <w:color w:val="000000" w:themeColor="text1"/>
          <w:sz w:val="21"/>
          <w:szCs w:val="21"/>
          <w:lang w:val="es-MX"/>
        </w:rPr>
      </w:pPr>
      <w:r w:rsidRPr="0055101F">
        <w:rPr>
          <w:rFonts w:ascii="Arial" w:eastAsia="Calibri" w:hAnsi="Arial" w:cs="Arial"/>
          <w:bCs/>
          <w:color w:val="000000" w:themeColor="text1"/>
          <w:sz w:val="21"/>
          <w:szCs w:val="21"/>
        </w:rPr>
        <w:t xml:space="preserve">i) </w:t>
      </w:r>
      <w:r w:rsidR="00A96B4A" w:rsidRPr="0055101F">
        <w:rPr>
          <w:rFonts w:ascii="Arial" w:eastAsia="Calibri" w:hAnsi="Arial" w:cs="Arial"/>
          <w:bCs/>
          <w:color w:val="000000" w:themeColor="text1"/>
          <w:sz w:val="21"/>
          <w:szCs w:val="21"/>
        </w:rPr>
        <w:t>«</w:t>
      </w:r>
      <w:r w:rsidR="00980F7A" w:rsidRPr="0055101F">
        <w:rPr>
          <w:rFonts w:ascii="Arial" w:hAnsi="Arial" w:cs="Arial"/>
          <w:bCs/>
          <w:color w:val="000000" w:themeColor="text1"/>
          <w:sz w:val="21"/>
          <w:szCs w:val="21"/>
          <w:lang w:val="es-MX"/>
        </w:rPr>
        <w:t>¿Para Colombia Compra como se debe determinar o justificar la inclusión, modificación, supresión o alteración de las condiciones de la matriz?</w:t>
      </w:r>
      <w:r w:rsidR="00036B56" w:rsidRPr="0055101F">
        <w:rPr>
          <w:rFonts w:ascii="Arial" w:hAnsi="Arial" w:cs="Arial"/>
          <w:bCs/>
          <w:color w:val="000000" w:themeColor="text1"/>
          <w:sz w:val="21"/>
          <w:szCs w:val="21"/>
          <w:lang w:val="es-MX"/>
        </w:rPr>
        <w:t>».</w:t>
      </w:r>
    </w:p>
    <w:p w14:paraId="576B4DB0" w14:textId="6BAAD375" w:rsidR="00837F63" w:rsidRPr="0055101F" w:rsidRDefault="00837F63" w:rsidP="00E544CF">
      <w:pPr>
        <w:tabs>
          <w:tab w:val="left" w:pos="426"/>
        </w:tabs>
        <w:spacing w:after="120" w:line="276" w:lineRule="auto"/>
        <w:ind w:right="709"/>
        <w:contextualSpacing/>
        <w:jc w:val="both"/>
        <w:rPr>
          <w:rFonts w:ascii="Arial" w:eastAsia="Calibri" w:hAnsi="Arial" w:cs="Arial"/>
          <w:bCs/>
          <w:color w:val="000000" w:themeColor="text1"/>
        </w:rPr>
      </w:pPr>
    </w:p>
    <w:p w14:paraId="34F6ED16" w14:textId="77777777" w:rsidR="0016016F" w:rsidRPr="0055101F" w:rsidRDefault="0016016F" w:rsidP="0016016F">
      <w:pPr>
        <w:spacing w:after="120" w:line="276" w:lineRule="auto"/>
        <w:jc w:val="both"/>
        <w:rPr>
          <w:rFonts w:ascii="Arial" w:hAnsi="Arial" w:cs="Arial"/>
        </w:rPr>
      </w:pPr>
      <w:r w:rsidRPr="0055101F">
        <w:rPr>
          <w:rFonts w:ascii="Arial" w:hAnsi="Arial" w:cs="Arial"/>
        </w:rPr>
        <w:t>Los documentos tipo, dentro de los que se encuentran los formatos, formularios, matrices y anexos, en virtud del principio de inalterabilidad establecido en el artículo 2.2.1.2.6.1.4, del Decreto 1082 de 2015, desarrollado en el artículo 3 de las Resolución No. 240 de 2020, no pueden ser alterados por la entidad pública y, menos, por los oferentes, salvo en los apartados incluidos entre corchetes y resaltados en gris. Estos documentos, de conformidad con el parágrafo 7° del artículo 2 de la Ley 1150 de 2007, son de obligatoria aplicación para entidades estatales sometidas al Estatuto General de Contratación de la Administración Pública, para adelantar procesos de contratación de obra pública para infraestructura de transporte en la modalidad de licitación pública.</w:t>
      </w:r>
    </w:p>
    <w:p w14:paraId="0AFB83AA" w14:textId="77777777" w:rsidR="00957A35" w:rsidRPr="0055101F" w:rsidRDefault="00957A35" w:rsidP="00822ED6">
      <w:pPr>
        <w:spacing w:after="0" w:line="276" w:lineRule="auto"/>
        <w:ind w:firstLine="709"/>
        <w:jc w:val="both"/>
        <w:rPr>
          <w:rFonts w:ascii="Arial" w:eastAsia="Calibri" w:hAnsi="Arial" w:cs="Arial"/>
          <w:bCs/>
          <w:lang w:val="es-MX"/>
        </w:rPr>
      </w:pPr>
      <w:r w:rsidRPr="0055101F">
        <w:rPr>
          <w:rFonts w:ascii="Arial" w:eastAsia="Calibri" w:hAnsi="Arial" w:cs="Arial"/>
          <w:bCs/>
          <w:lang w:val="es-MX"/>
        </w:rPr>
        <w:t xml:space="preserve">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 </w:t>
      </w:r>
    </w:p>
    <w:p w14:paraId="54E837A0" w14:textId="77777777" w:rsidR="00E544CF" w:rsidRPr="0055101F" w:rsidRDefault="00E544CF" w:rsidP="00822ED6">
      <w:pPr>
        <w:tabs>
          <w:tab w:val="left" w:pos="426"/>
        </w:tabs>
        <w:spacing w:after="0" w:line="276" w:lineRule="auto"/>
        <w:ind w:right="709"/>
        <w:contextualSpacing/>
        <w:jc w:val="both"/>
        <w:rPr>
          <w:rFonts w:ascii="Arial" w:eastAsia="Calibri" w:hAnsi="Arial" w:cs="Arial"/>
          <w:bCs/>
          <w:color w:val="000000" w:themeColor="text1"/>
        </w:rPr>
      </w:pPr>
    </w:p>
    <w:p w14:paraId="34A36E54" w14:textId="0CEB6C8D" w:rsidR="00253D26" w:rsidRPr="0055101F" w:rsidRDefault="00980F7A" w:rsidP="0055101F">
      <w:pPr>
        <w:spacing w:after="120" w:line="240" w:lineRule="auto"/>
        <w:ind w:left="709" w:right="709"/>
        <w:jc w:val="both"/>
        <w:rPr>
          <w:rFonts w:ascii="Arial" w:eastAsia="Calibri" w:hAnsi="Arial" w:cs="Arial"/>
          <w:color w:val="000000"/>
          <w:sz w:val="21"/>
          <w:szCs w:val="21"/>
          <w:lang w:val="es-MX"/>
        </w:rPr>
      </w:pPr>
      <w:proofErr w:type="spellStart"/>
      <w:r w:rsidRPr="0055101F">
        <w:rPr>
          <w:rFonts w:ascii="Arial" w:hAnsi="Arial" w:cs="Arial"/>
          <w:bCs/>
          <w:color w:val="000000" w:themeColor="text1"/>
          <w:sz w:val="21"/>
          <w:szCs w:val="21"/>
          <w:lang w:val="es-MX"/>
        </w:rPr>
        <w:t>ii</w:t>
      </w:r>
      <w:proofErr w:type="spellEnd"/>
      <w:r w:rsidRPr="0055101F">
        <w:rPr>
          <w:rFonts w:ascii="Arial" w:hAnsi="Arial" w:cs="Arial"/>
          <w:bCs/>
          <w:color w:val="000000" w:themeColor="text1"/>
          <w:sz w:val="21"/>
          <w:szCs w:val="21"/>
          <w:lang w:val="es-MX"/>
        </w:rPr>
        <w:t xml:space="preserve">) </w:t>
      </w:r>
      <w:r w:rsidR="00036B56" w:rsidRPr="0055101F">
        <w:rPr>
          <w:rFonts w:ascii="Arial" w:hAnsi="Arial" w:cs="Arial"/>
          <w:bCs/>
          <w:color w:val="000000" w:themeColor="text1"/>
          <w:sz w:val="21"/>
          <w:szCs w:val="21"/>
          <w:lang w:val="es-MX"/>
        </w:rPr>
        <w:t>«</w:t>
      </w:r>
      <w:r w:rsidRPr="0055101F">
        <w:rPr>
          <w:rFonts w:ascii="Arial" w:hAnsi="Arial" w:cs="Arial"/>
          <w:bCs/>
          <w:color w:val="000000" w:themeColor="text1"/>
          <w:sz w:val="21"/>
          <w:szCs w:val="21"/>
          <w:lang w:val="es-MX"/>
        </w:rPr>
        <w:t xml:space="preserve">¿Para Colombia Compra como se debe determinar la experiencia para este proyecto teniendo en cuenta que el 85% aproximadamente corresponde a rehabilitación o mantenimiento de carretera y un 15% aproximadamente corresponde a la </w:t>
      </w:r>
      <w:r w:rsidRPr="0055101F">
        <w:rPr>
          <w:rFonts w:ascii="Arial" w:eastAsia="Calibri" w:hAnsi="Arial" w:cs="Arial"/>
          <w:color w:val="000000"/>
          <w:sz w:val="21"/>
          <w:szCs w:val="21"/>
          <w:lang w:val="es-MX"/>
        </w:rPr>
        <w:t>construcción y mantenimiento y rehabilitación de puente?</w:t>
      </w:r>
      <w:r w:rsidR="00036B56" w:rsidRPr="0055101F">
        <w:rPr>
          <w:rFonts w:ascii="Arial" w:eastAsia="Calibri" w:hAnsi="Arial" w:cs="Arial"/>
          <w:color w:val="000000"/>
          <w:sz w:val="21"/>
          <w:szCs w:val="21"/>
          <w:lang w:val="es-MX"/>
        </w:rPr>
        <w:t>».</w:t>
      </w:r>
      <w:r w:rsidRPr="0055101F">
        <w:rPr>
          <w:rFonts w:ascii="Arial" w:eastAsia="Calibri" w:hAnsi="Arial" w:cs="Arial"/>
          <w:color w:val="000000"/>
          <w:sz w:val="21"/>
          <w:szCs w:val="21"/>
          <w:lang w:val="es-MX"/>
        </w:rPr>
        <w:t xml:space="preserve"> </w:t>
      </w:r>
    </w:p>
    <w:p w14:paraId="417E9ADA" w14:textId="66C9DF79" w:rsidR="00837F63" w:rsidRPr="0055101F" w:rsidRDefault="00980F7A" w:rsidP="0055101F">
      <w:pPr>
        <w:spacing w:before="120" w:after="120" w:line="240" w:lineRule="auto"/>
        <w:ind w:left="709" w:right="709"/>
        <w:jc w:val="both"/>
        <w:rPr>
          <w:rFonts w:ascii="Arial" w:eastAsia="Calibri" w:hAnsi="Arial" w:cs="Arial"/>
          <w:color w:val="000000"/>
          <w:sz w:val="21"/>
          <w:szCs w:val="21"/>
          <w:lang w:val="es-MX"/>
        </w:rPr>
      </w:pPr>
      <w:proofErr w:type="spellStart"/>
      <w:r w:rsidRPr="0055101F">
        <w:rPr>
          <w:rFonts w:ascii="Arial" w:eastAsia="Calibri" w:hAnsi="Arial" w:cs="Arial"/>
          <w:color w:val="000000"/>
          <w:sz w:val="21"/>
          <w:szCs w:val="21"/>
          <w:lang w:val="es-MX"/>
        </w:rPr>
        <w:t>iii</w:t>
      </w:r>
      <w:proofErr w:type="spellEnd"/>
      <w:r w:rsidRPr="0055101F">
        <w:rPr>
          <w:rFonts w:ascii="Arial" w:eastAsia="Calibri" w:hAnsi="Arial" w:cs="Arial"/>
          <w:color w:val="000000"/>
          <w:sz w:val="21"/>
          <w:szCs w:val="21"/>
          <w:lang w:val="es-MX"/>
        </w:rPr>
        <w:t xml:space="preserve">) </w:t>
      </w:r>
      <w:r w:rsidR="00036B56" w:rsidRPr="0055101F">
        <w:rPr>
          <w:rFonts w:ascii="Arial" w:eastAsia="Calibri" w:hAnsi="Arial" w:cs="Arial"/>
          <w:color w:val="000000"/>
          <w:sz w:val="21"/>
          <w:szCs w:val="21"/>
          <w:lang w:val="es-MX"/>
        </w:rPr>
        <w:t>«</w:t>
      </w:r>
      <w:r w:rsidRPr="0055101F">
        <w:rPr>
          <w:rFonts w:ascii="Arial" w:eastAsia="Calibri" w:hAnsi="Arial" w:cs="Arial"/>
          <w:color w:val="000000"/>
          <w:sz w:val="21"/>
          <w:szCs w:val="21"/>
          <w:lang w:val="es-MX"/>
        </w:rPr>
        <w:t>¿Se debe obviar solicitar experiencia en puentes y regirse a lo que establece la matriz por considerar el 85% del contrato corresponde a rehabilitación o mantenimiento de carretera?</w:t>
      </w:r>
      <w:r w:rsidR="00036B56" w:rsidRPr="0055101F">
        <w:rPr>
          <w:rFonts w:ascii="Arial" w:eastAsia="Calibri" w:hAnsi="Arial" w:cs="Arial"/>
          <w:color w:val="000000"/>
          <w:sz w:val="21"/>
          <w:szCs w:val="21"/>
          <w:lang w:val="es-MX"/>
        </w:rPr>
        <w:t>».</w:t>
      </w:r>
    </w:p>
    <w:p w14:paraId="31FA40BB" w14:textId="0854D53F" w:rsidR="00837F63" w:rsidRPr="0055101F" w:rsidRDefault="00980F7A" w:rsidP="0055101F">
      <w:pPr>
        <w:spacing w:after="0" w:line="240" w:lineRule="auto"/>
        <w:ind w:left="709" w:right="709"/>
        <w:jc w:val="both"/>
        <w:rPr>
          <w:rFonts w:ascii="Arial" w:hAnsi="Arial" w:cs="Arial"/>
          <w:bCs/>
          <w:color w:val="000000" w:themeColor="text1"/>
          <w:sz w:val="21"/>
          <w:szCs w:val="21"/>
          <w:lang w:val="es-MX"/>
        </w:rPr>
      </w:pPr>
      <w:proofErr w:type="spellStart"/>
      <w:r w:rsidRPr="0055101F">
        <w:rPr>
          <w:rFonts w:ascii="Arial" w:eastAsia="Calibri" w:hAnsi="Arial" w:cs="Arial"/>
          <w:color w:val="000000"/>
          <w:sz w:val="21"/>
          <w:szCs w:val="21"/>
          <w:lang w:val="es-MX"/>
        </w:rPr>
        <w:t>iv</w:t>
      </w:r>
      <w:proofErr w:type="spellEnd"/>
      <w:r w:rsidRPr="0055101F">
        <w:rPr>
          <w:rFonts w:ascii="Arial" w:eastAsia="Calibri" w:hAnsi="Arial" w:cs="Arial"/>
          <w:color w:val="000000"/>
          <w:sz w:val="21"/>
          <w:szCs w:val="21"/>
          <w:lang w:val="es-MX"/>
        </w:rPr>
        <w:t xml:space="preserve">) </w:t>
      </w:r>
      <w:r w:rsidR="00036B56" w:rsidRPr="0055101F">
        <w:rPr>
          <w:rFonts w:ascii="Arial" w:eastAsia="Calibri" w:hAnsi="Arial" w:cs="Arial"/>
          <w:color w:val="000000"/>
          <w:sz w:val="21"/>
          <w:szCs w:val="21"/>
          <w:lang w:val="es-MX"/>
        </w:rPr>
        <w:t>«</w:t>
      </w:r>
      <w:r w:rsidRPr="0055101F">
        <w:rPr>
          <w:rFonts w:ascii="Arial" w:eastAsia="Calibri" w:hAnsi="Arial" w:cs="Arial"/>
          <w:color w:val="000000"/>
          <w:sz w:val="21"/>
          <w:szCs w:val="21"/>
          <w:lang w:val="es-MX"/>
        </w:rPr>
        <w:t>¿Se debe y</w:t>
      </w:r>
      <w:r w:rsidRPr="0055101F">
        <w:rPr>
          <w:rFonts w:ascii="Arial" w:hAnsi="Arial" w:cs="Arial"/>
          <w:bCs/>
          <w:color w:val="000000" w:themeColor="text1"/>
          <w:sz w:val="21"/>
          <w:szCs w:val="21"/>
          <w:lang w:val="es-MX"/>
        </w:rPr>
        <w:t xml:space="preserve"> puede incluir, modificar, suprimir o alterar la experiencia en rehabilitación o mantenimiento de carretera incluyendo experiencia en puentes y que esa experiencia en puentes se determine tal y como lo establece la matriz No 1?</w:t>
      </w:r>
      <w:r w:rsidR="00036B56" w:rsidRPr="0055101F">
        <w:rPr>
          <w:rFonts w:ascii="Arial" w:hAnsi="Arial" w:cs="Arial"/>
          <w:bCs/>
          <w:color w:val="000000" w:themeColor="text1"/>
          <w:sz w:val="21"/>
          <w:szCs w:val="21"/>
          <w:lang w:val="es-MX"/>
        </w:rPr>
        <w:t>».</w:t>
      </w:r>
    </w:p>
    <w:p w14:paraId="66985CF8" w14:textId="3C4B3BFC" w:rsidR="00955B43" w:rsidRPr="0055101F" w:rsidRDefault="00955B43" w:rsidP="00253D26">
      <w:pPr>
        <w:spacing w:after="0" w:line="276" w:lineRule="auto"/>
        <w:jc w:val="both"/>
        <w:rPr>
          <w:rFonts w:ascii="Arial" w:hAnsi="Arial" w:cs="Arial"/>
        </w:rPr>
      </w:pPr>
    </w:p>
    <w:p w14:paraId="7BEBF90F" w14:textId="476C29D9" w:rsidR="00955B43" w:rsidRPr="0055101F" w:rsidRDefault="00D60126" w:rsidP="0055101F">
      <w:pPr>
        <w:spacing w:after="0" w:line="276" w:lineRule="auto"/>
        <w:jc w:val="both"/>
        <w:rPr>
          <w:rFonts w:ascii="Arial" w:eastAsia="Calibri" w:hAnsi="Arial" w:cs="Arial"/>
          <w:color w:val="000000"/>
          <w:lang w:val="es-ES_tradnl"/>
        </w:rPr>
      </w:pPr>
      <w:r w:rsidRPr="0055101F">
        <w:rPr>
          <w:rFonts w:ascii="Arial" w:eastAsia="Calibri" w:hAnsi="Arial" w:cs="Arial"/>
        </w:rPr>
        <w:t>Por las razones expuestas en la parte considerativa de este concepto, haciendo abstracción del caso particular expuesto en la consulta, se aclara que</w:t>
      </w:r>
      <w:r w:rsidR="0027706B" w:rsidRPr="0055101F">
        <w:rPr>
          <w:rFonts w:ascii="Arial" w:eastAsia="Calibri" w:hAnsi="Arial" w:cs="Arial"/>
        </w:rPr>
        <w:t xml:space="preserve"> </w:t>
      </w:r>
      <w:r w:rsidR="00110F0A" w:rsidRPr="0055101F">
        <w:rPr>
          <w:rFonts w:ascii="Arial" w:eastAsia="Calibri" w:hAnsi="Arial" w:cs="Arial"/>
        </w:rPr>
        <w:t>la</w:t>
      </w:r>
      <w:r w:rsidRPr="0055101F">
        <w:rPr>
          <w:rFonts w:ascii="Arial" w:hAnsi="Arial" w:cs="Arial"/>
        </w:rPr>
        <w:t xml:space="preserve"> </w:t>
      </w:r>
      <w:r w:rsidR="0027706B" w:rsidRPr="0055101F">
        <w:rPr>
          <w:rFonts w:ascii="Arial" w:hAnsi="Arial" w:cs="Arial"/>
          <w:bCs/>
          <w:color w:val="000000" w:themeColor="text1"/>
          <w:sz w:val="21"/>
          <w:szCs w:val="21"/>
          <w:lang w:val="es-MX"/>
        </w:rPr>
        <w:t xml:space="preserve">rehabilitación o mantenimiento de carretera y la </w:t>
      </w:r>
      <w:r w:rsidR="0027706B" w:rsidRPr="0055101F">
        <w:rPr>
          <w:rFonts w:ascii="Arial" w:eastAsia="Calibri" w:hAnsi="Arial" w:cs="Arial"/>
          <w:color w:val="000000"/>
          <w:lang w:val="es-MX"/>
        </w:rPr>
        <w:t>construcción</w:t>
      </w:r>
      <w:r w:rsidR="00112069" w:rsidRPr="0055101F">
        <w:rPr>
          <w:rFonts w:ascii="Arial" w:eastAsia="Calibri" w:hAnsi="Arial" w:cs="Arial"/>
          <w:color w:val="000000"/>
          <w:lang w:val="es-MX"/>
        </w:rPr>
        <w:t>,</w:t>
      </w:r>
      <w:r w:rsidR="0027706B" w:rsidRPr="0055101F">
        <w:rPr>
          <w:rFonts w:ascii="Arial" w:eastAsia="Calibri" w:hAnsi="Arial" w:cs="Arial"/>
          <w:color w:val="000000"/>
          <w:lang w:val="es-MX"/>
        </w:rPr>
        <w:t xml:space="preserve"> mantenimiento </w:t>
      </w:r>
      <w:r w:rsidR="00C0426A" w:rsidRPr="0055101F">
        <w:rPr>
          <w:rFonts w:ascii="Arial" w:eastAsia="Calibri" w:hAnsi="Arial" w:cs="Arial"/>
          <w:color w:val="000000"/>
          <w:lang w:val="es-MX"/>
        </w:rPr>
        <w:t xml:space="preserve">y </w:t>
      </w:r>
      <w:r w:rsidR="0027706B" w:rsidRPr="0055101F">
        <w:rPr>
          <w:rFonts w:ascii="Arial" w:eastAsia="Calibri" w:hAnsi="Arial" w:cs="Arial"/>
          <w:color w:val="000000"/>
          <w:lang w:val="es-MX"/>
        </w:rPr>
        <w:t>rehabilitación de puente</w:t>
      </w:r>
      <w:r w:rsidR="001D267C" w:rsidRPr="0055101F">
        <w:rPr>
          <w:rFonts w:ascii="Arial" w:eastAsia="Calibri" w:hAnsi="Arial" w:cs="Arial"/>
          <w:color w:val="000000"/>
          <w:lang w:val="es-MX"/>
        </w:rPr>
        <w:t>s</w:t>
      </w:r>
      <w:r w:rsidR="0027706B" w:rsidRPr="0055101F">
        <w:rPr>
          <w:rFonts w:ascii="Arial" w:hAnsi="Arial" w:cs="Arial"/>
        </w:rPr>
        <w:t xml:space="preserve"> </w:t>
      </w:r>
      <w:r w:rsidR="00C0426A" w:rsidRPr="0055101F">
        <w:rPr>
          <w:rFonts w:ascii="Arial" w:hAnsi="Arial" w:cs="Arial"/>
        </w:rPr>
        <w:t xml:space="preserve">se encuentran comprendidas en la </w:t>
      </w:r>
      <w:r w:rsidR="00036B56" w:rsidRPr="0055101F">
        <w:rPr>
          <w:rFonts w:ascii="Arial" w:hAnsi="Arial" w:cs="Arial"/>
        </w:rPr>
        <w:t>«</w:t>
      </w:r>
      <w:r w:rsidR="00C0426A" w:rsidRPr="0055101F">
        <w:rPr>
          <w:rFonts w:ascii="Arial" w:hAnsi="Arial" w:cs="Arial"/>
        </w:rPr>
        <w:t>Matriz 1 – Experiencia</w:t>
      </w:r>
      <w:r w:rsidR="00036B56" w:rsidRPr="0055101F">
        <w:rPr>
          <w:rFonts w:ascii="Arial" w:hAnsi="Arial" w:cs="Arial"/>
        </w:rPr>
        <w:t>»</w:t>
      </w:r>
      <w:r w:rsidR="00C0426A" w:rsidRPr="0055101F">
        <w:rPr>
          <w:rFonts w:ascii="Arial" w:hAnsi="Arial" w:cs="Arial"/>
        </w:rPr>
        <w:t xml:space="preserve"> como actividad</w:t>
      </w:r>
      <w:r w:rsidR="001D267C" w:rsidRPr="0055101F">
        <w:rPr>
          <w:rFonts w:ascii="Arial" w:hAnsi="Arial" w:cs="Arial"/>
        </w:rPr>
        <w:t>es</w:t>
      </w:r>
      <w:r w:rsidR="00C0426A" w:rsidRPr="0055101F">
        <w:rPr>
          <w:rFonts w:ascii="Arial" w:hAnsi="Arial" w:cs="Arial"/>
        </w:rPr>
        <w:t xml:space="preserve"> a contratar</w:t>
      </w:r>
      <w:r w:rsidR="006F5D6D" w:rsidRPr="0055101F">
        <w:rPr>
          <w:rFonts w:ascii="Arial" w:hAnsi="Arial" w:cs="Arial"/>
        </w:rPr>
        <w:t>.</w:t>
      </w:r>
      <w:r w:rsidR="00C0426A" w:rsidRPr="0055101F">
        <w:rPr>
          <w:rFonts w:ascii="Arial" w:hAnsi="Arial" w:cs="Arial"/>
        </w:rPr>
        <w:t xml:space="preserve"> </w:t>
      </w:r>
      <w:r w:rsidR="006F5D6D" w:rsidRPr="0055101F">
        <w:rPr>
          <w:rFonts w:ascii="Arial" w:hAnsi="Arial" w:cs="Arial"/>
        </w:rPr>
        <w:t>E</w:t>
      </w:r>
      <w:r w:rsidR="00C0426A" w:rsidRPr="0055101F">
        <w:rPr>
          <w:rFonts w:ascii="Arial" w:hAnsi="Arial" w:cs="Arial"/>
        </w:rPr>
        <w:t>n ese sentido</w:t>
      </w:r>
      <w:r w:rsidR="003B32EA" w:rsidRPr="0055101F">
        <w:rPr>
          <w:rFonts w:ascii="Arial" w:hAnsi="Arial" w:cs="Arial"/>
        </w:rPr>
        <w:t xml:space="preserve">, </w:t>
      </w:r>
      <w:r w:rsidR="00912C92" w:rsidRPr="0055101F">
        <w:rPr>
          <w:rFonts w:ascii="Arial" w:eastAsia="Calibri" w:hAnsi="Arial" w:cs="Arial"/>
          <w:color w:val="000000"/>
          <w:lang w:val="es-ES_tradnl"/>
        </w:rPr>
        <w:t>d</w:t>
      </w:r>
      <w:r w:rsidR="00955B43" w:rsidRPr="0055101F">
        <w:rPr>
          <w:rFonts w:ascii="Arial" w:eastAsia="Calibri" w:hAnsi="Arial" w:cs="Arial"/>
          <w:color w:val="000000"/>
          <w:lang w:val="es-ES_tradnl"/>
        </w:rPr>
        <w:t xml:space="preserve">e conformidad </w:t>
      </w:r>
      <w:r w:rsidR="00BC6CD4" w:rsidRPr="0055101F">
        <w:rPr>
          <w:rFonts w:ascii="Arial" w:eastAsia="Calibri" w:hAnsi="Arial" w:cs="Arial"/>
          <w:color w:val="000000"/>
          <w:lang w:val="es-ES_tradnl"/>
        </w:rPr>
        <w:t xml:space="preserve">con </w:t>
      </w:r>
      <w:r w:rsidR="00955B43" w:rsidRPr="0055101F">
        <w:rPr>
          <w:rFonts w:ascii="Arial" w:eastAsia="Calibri" w:hAnsi="Arial" w:cs="Arial"/>
          <w:color w:val="000000"/>
          <w:lang w:val="es-ES_tradnl"/>
        </w:rPr>
        <w:t xml:space="preserve">las consideraciones anteriores, </w:t>
      </w:r>
      <w:r w:rsidR="003B32EA" w:rsidRPr="0055101F">
        <w:rPr>
          <w:rFonts w:ascii="Arial" w:eastAsia="Calibri" w:hAnsi="Arial" w:cs="Arial"/>
          <w:color w:val="000000"/>
          <w:lang w:val="es-ES_tradnl"/>
        </w:rPr>
        <w:t>la entidad solicitar</w:t>
      </w:r>
      <w:r w:rsidR="00F511AC" w:rsidRPr="0055101F">
        <w:rPr>
          <w:rFonts w:ascii="Arial" w:eastAsia="Calibri" w:hAnsi="Arial" w:cs="Arial"/>
          <w:color w:val="000000"/>
          <w:lang w:val="es-ES_tradnl"/>
        </w:rPr>
        <w:t>á</w:t>
      </w:r>
      <w:r w:rsidR="00955B43" w:rsidRPr="0055101F">
        <w:rPr>
          <w:rFonts w:ascii="Arial" w:eastAsia="Calibri" w:hAnsi="Arial" w:cs="Arial"/>
          <w:color w:val="000000"/>
          <w:lang w:val="es-ES_tradnl"/>
        </w:rPr>
        <w:t xml:space="preserve"> experiencias </w:t>
      </w:r>
      <w:r w:rsidR="00955B43" w:rsidRPr="0055101F">
        <w:rPr>
          <w:rFonts w:ascii="Arial" w:eastAsia="Calibri" w:hAnsi="Arial" w:cs="Arial"/>
          <w:i/>
          <w:iCs/>
          <w:color w:val="000000"/>
          <w:lang w:val="es-ES_tradnl"/>
        </w:rPr>
        <w:t xml:space="preserve">combinadas </w:t>
      </w:r>
      <w:r w:rsidR="00955B43" w:rsidRPr="0055101F">
        <w:rPr>
          <w:rFonts w:ascii="Arial" w:eastAsia="Calibri" w:hAnsi="Arial" w:cs="Arial"/>
          <w:color w:val="000000"/>
          <w:lang w:val="es-MX"/>
        </w:rPr>
        <w:t>«</w:t>
      </w:r>
      <w:r w:rsidR="00955B43" w:rsidRPr="0055101F">
        <w:rPr>
          <w:rFonts w:ascii="Arial" w:eastAsia="Calibri" w:hAnsi="Arial" w:cs="Arial"/>
          <w:color w:val="000000"/>
          <w:sz w:val="21"/>
          <w:szCs w:val="21"/>
          <w:lang w:val="es-ES_tradnl"/>
        </w:rPr>
        <w:t xml:space="preserve">cuando el objeto del </w:t>
      </w:r>
      <w:r w:rsidR="00955B43" w:rsidRPr="0055101F">
        <w:rPr>
          <w:rFonts w:ascii="Arial" w:eastAsia="Calibri" w:hAnsi="Arial" w:cs="Arial"/>
          <w:color w:val="000000"/>
          <w:lang w:val="es-ES_tradnl"/>
        </w:rPr>
        <w:t xml:space="preserve">proceso de contratación contemple la ejecución de dos o más “Actividades a Contratar”» y lo podrá exigir teniendo en cuenta la regulación del numeral vi) de las </w:t>
      </w:r>
      <w:r w:rsidR="00955B43" w:rsidRPr="0055101F">
        <w:rPr>
          <w:rFonts w:ascii="Arial" w:eastAsia="Calibri" w:hAnsi="Arial" w:cs="Arial"/>
          <w:color w:val="000000"/>
          <w:lang w:val="es-MX"/>
        </w:rPr>
        <w:t xml:space="preserve">«Reglas para definir la experiencia exigible en el proceso de contratación» de la </w:t>
      </w:r>
      <w:r w:rsidR="00123FAE" w:rsidRPr="0055101F">
        <w:rPr>
          <w:rFonts w:ascii="Arial" w:eastAsia="Calibri" w:hAnsi="Arial" w:cs="Arial"/>
          <w:color w:val="000000"/>
          <w:lang w:val="es-MX"/>
        </w:rPr>
        <w:t>«</w:t>
      </w:r>
      <w:r w:rsidR="00955B43" w:rsidRPr="0055101F">
        <w:rPr>
          <w:rFonts w:ascii="Arial" w:eastAsia="Calibri" w:hAnsi="Arial" w:cs="Arial"/>
          <w:color w:val="000000"/>
          <w:lang w:val="es-MX"/>
        </w:rPr>
        <w:t>Matriz 1 – Experiencia</w:t>
      </w:r>
      <w:r w:rsidR="00123FAE" w:rsidRPr="0055101F">
        <w:rPr>
          <w:rFonts w:ascii="Arial" w:eastAsia="Calibri" w:hAnsi="Arial" w:cs="Arial"/>
          <w:color w:val="000000"/>
          <w:lang w:val="es-MX"/>
        </w:rPr>
        <w:t>»,</w:t>
      </w:r>
      <w:r w:rsidR="00955B43" w:rsidRPr="0055101F">
        <w:rPr>
          <w:rFonts w:ascii="Arial" w:eastAsia="Calibri" w:hAnsi="Arial" w:cs="Arial"/>
          <w:color w:val="000000"/>
          <w:lang w:val="es-MX"/>
        </w:rPr>
        <w:t xml:space="preserve"> </w:t>
      </w:r>
      <w:r w:rsidR="00B83754" w:rsidRPr="0055101F">
        <w:rPr>
          <w:rFonts w:ascii="Arial" w:eastAsia="Calibri" w:hAnsi="Arial" w:cs="Arial"/>
          <w:color w:val="000000"/>
          <w:lang w:val="es-MX"/>
        </w:rPr>
        <w:t xml:space="preserve">explicado </w:t>
      </w:r>
      <w:r w:rsidR="00955B43" w:rsidRPr="0055101F">
        <w:rPr>
          <w:rFonts w:ascii="Arial" w:eastAsia="Calibri" w:hAnsi="Arial" w:cs="Arial"/>
          <w:color w:val="000000"/>
          <w:lang w:val="es-MX"/>
        </w:rPr>
        <w:t>en las consideraciones de este concepto.</w:t>
      </w:r>
    </w:p>
    <w:p w14:paraId="05E46C27" w14:textId="77777777" w:rsidR="00837F63" w:rsidRPr="0055101F" w:rsidRDefault="00837F63" w:rsidP="00FC7E05">
      <w:pPr>
        <w:tabs>
          <w:tab w:val="left" w:pos="426"/>
        </w:tabs>
        <w:spacing w:after="0" w:line="276" w:lineRule="auto"/>
        <w:ind w:right="709"/>
        <w:contextualSpacing/>
        <w:jc w:val="both"/>
        <w:rPr>
          <w:rFonts w:ascii="Arial" w:hAnsi="Arial" w:cs="Arial"/>
          <w:bCs/>
          <w:color w:val="000000" w:themeColor="text1"/>
          <w:lang w:val="es-MX"/>
        </w:rPr>
      </w:pPr>
    </w:p>
    <w:p w14:paraId="190579DB" w14:textId="7F12E9DC" w:rsidR="00980F7A" w:rsidRPr="0055101F" w:rsidRDefault="00980F7A" w:rsidP="0055101F">
      <w:pPr>
        <w:tabs>
          <w:tab w:val="left" w:pos="426"/>
        </w:tabs>
        <w:spacing w:after="0" w:line="240" w:lineRule="auto"/>
        <w:ind w:left="709" w:right="709"/>
        <w:contextualSpacing/>
        <w:jc w:val="both"/>
        <w:rPr>
          <w:rFonts w:ascii="Arial" w:hAnsi="Arial" w:cs="Arial"/>
          <w:bCs/>
          <w:color w:val="000000" w:themeColor="text1"/>
          <w:sz w:val="21"/>
          <w:szCs w:val="21"/>
          <w:lang w:val="es-MX"/>
        </w:rPr>
      </w:pPr>
      <w:r w:rsidRPr="0055101F">
        <w:rPr>
          <w:rFonts w:ascii="Arial" w:hAnsi="Arial" w:cs="Arial"/>
          <w:bCs/>
          <w:color w:val="000000" w:themeColor="text1"/>
          <w:sz w:val="21"/>
          <w:szCs w:val="21"/>
          <w:lang w:val="es-MX"/>
        </w:rPr>
        <w:t xml:space="preserve">v) </w:t>
      </w:r>
      <w:r w:rsidR="00B83754" w:rsidRPr="0055101F">
        <w:rPr>
          <w:rFonts w:ascii="Arial" w:hAnsi="Arial" w:cs="Arial"/>
          <w:bCs/>
          <w:color w:val="000000" w:themeColor="text1"/>
          <w:sz w:val="21"/>
          <w:szCs w:val="21"/>
          <w:lang w:val="es-MX"/>
        </w:rPr>
        <w:t>«</w:t>
      </w:r>
      <w:r w:rsidRPr="0055101F">
        <w:rPr>
          <w:rFonts w:ascii="Arial" w:hAnsi="Arial" w:cs="Arial"/>
          <w:bCs/>
          <w:color w:val="000000" w:themeColor="text1"/>
          <w:sz w:val="21"/>
          <w:szCs w:val="21"/>
          <w:lang w:val="es-MX"/>
        </w:rPr>
        <w:t xml:space="preserve">¿Si es posible incluir también experiencia en puentes, esta se debe considerar en el literal H de la experiencia del proponente?». </w:t>
      </w:r>
    </w:p>
    <w:p w14:paraId="55BFDC89" w14:textId="4E174A70" w:rsidR="00BB1D3E" w:rsidRPr="0055101F" w:rsidRDefault="00BB1D3E">
      <w:pPr>
        <w:tabs>
          <w:tab w:val="left" w:pos="426"/>
        </w:tabs>
        <w:spacing w:after="0" w:line="276" w:lineRule="auto"/>
        <w:contextualSpacing/>
        <w:jc w:val="both"/>
        <w:rPr>
          <w:rFonts w:ascii="Arial" w:hAnsi="Arial" w:cs="Arial"/>
          <w:bCs/>
          <w:color w:val="000000" w:themeColor="text1"/>
          <w:lang w:val="es-MX"/>
        </w:rPr>
      </w:pPr>
    </w:p>
    <w:p w14:paraId="6E8F87D2" w14:textId="53DDEF63" w:rsidR="00435767" w:rsidRPr="0055101F" w:rsidRDefault="008B6425" w:rsidP="00E87850">
      <w:pPr>
        <w:tabs>
          <w:tab w:val="left" w:pos="426"/>
        </w:tabs>
        <w:spacing w:after="120" w:line="276" w:lineRule="auto"/>
        <w:contextualSpacing/>
        <w:jc w:val="both"/>
        <w:rPr>
          <w:rFonts w:ascii="Arial" w:eastAsia="Times New Roman" w:hAnsi="Arial" w:cs="Arial"/>
          <w:bCs/>
          <w:color w:val="000000"/>
          <w:lang w:eastAsia="es-CO"/>
        </w:rPr>
      </w:pPr>
      <w:r w:rsidRPr="0055101F">
        <w:rPr>
          <w:rFonts w:ascii="Arial" w:hAnsi="Arial" w:cs="Arial"/>
          <w:bCs/>
          <w:color w:val="000000" w:themeColor="text1"/>
          <w:lang w:val="es-MX"/>
        </w:rPr>
        <w:t>Haciendo abstracción del caso concreto planteado en la consulta</w:t>
      </w:r>
      <w:r w:rsidR="0000026C" w:rsidRPr="0055101F">
        <w:rPr>
          <w:rFonts w:ascii="Arial" w:hAnsi="Arial" w:cs="Arial"/>
          <w:bCs/>
          <w:color w:val="000000" w:themeColor="text1"/>
          <w:lang w:val="es-MX"/>
        </w:rPr>
        <w:t xml:space="preserve">, no </w:t>
      </w:r>
      <w:r w:rsidR="002C3FEC" w:rsidRPr="0055101F">
        <w:rPr>
          <w:rFonts w:ascii="Arial" w:hAnsi="Arial" w:cs="Arial"/>
          <w:bCs/>
          <w:color w:val="000000" w:themeColor="text1"/>
          <w:lang w:val="es-MX"/>
        </w:rPr>
        <w:t>es posible aplicar lo</w:t>
      </w:r>
      <w:r w:rsidR="007C0720" w:rsidRPr="0055101F">
        <w:rPr>
          <w:rFonts w:ascii="Arial" w:hAnsi="Arial" w:cs="Arial"/>
          <w:bCs/>
          <w:color w:val="000000" w:themeColor="text1"/>
          <w:lang w:val="es-MX"/>
        </w:rPr>
        <w:t xml:space="preserve"> dispuesto en el literal H, del numeral </w:t>
      </w:r>
      <w:r w:rsidR="00894883" w:rsidRPr="0055101F">
        <w:rPr>
          <w:rFonts w:ascii="Arial" w:hAnsi="Arial" w:cs="Arial"/>
          <w:bCs/>
          <w:color w:val="000000" w:themeColor="text1"/>
          <w:lang w:val="es-MX"/>
        </w:rPr>
        <w:t>3.5.2 del Documento Base</w:t>
      </w:r>
      <w:r w:rsidR="002C3FEC" w:rsidRPr="0055101F">
        <w:rPr>
          <w:rFonts w:ascii="Arial" w:hAnsi="Arial" w:cs="Arial"/>
          <w:bCs/>
          <w:color w:val="000000" w:themeColor="text1"/>
          <w:lang w:val="es-MX"/>
        </w:rPr>
        <w:t xml:space="preserve"> cuando las actividades</w:t>
      </w:r>
      <w:r w:rsidR="005614ED" w:rsidRPr="0055101F">
        <w:rPr>
          <w:rFonts w:ascii="Arial" w:eastAsia="Times New Roman" w:hAnsi="Arial" w:cs="Arial"/>
          <w:bCs/>
          <w:color w:val="000000"/>
          <w:lang w:eastAsia="es-CO"/>
        </w:rPr>
        <w:t xml:space="preserve"> </w:t>
      </w:r>
      <w:r w:rsidR="000B4D44" w:rsidRPr="0055101F">
        <w:rPr>
          <w:rFonts w:ascii="Arial" w:eastAsia="Times New Roman" w:hAnsi="Arial" w:cs="Arial"/>
          <w:bCs/>
          <w:color w:val="000000"/>
          <w:lang w:eastAsia="es-CO"/>
        </w:rPr>
        <w:t>están</w:t>
      </w:r>
      <w:r w:rsidR="005614ED" w:rsidRPr="0055101F">
        <w:rPr>
          <w:rFonts w:ascii="Arial" w:eastAsia="Times New Roman" w:hAnsi="Arial" w:cs="Arial"/>
          <w:bCs/>
          <w:color w:val="000000"/>
          <w:lang w:eastAsia="es-CO"/>
        </w:rPr>
        <w:t xml:space="preserve"> incluidas en la </w:t>
      </w:r>
      <w:r w:rsidR="00755936" w:rsidRPr="0055101F">
        <w:rPr>
          <w:rFonts w:ascii="Arial" w:eastAsia="Times New Roman" w:hAnsi="Arial" w:cs="Arial"/>
          <w:bCs/>
          <w:color w:val="000000"/>
          <w:lang w:eastAsia="es-CO"/>
        </w:rPr>
        <w:t>«M</w:t>
      </w:r>
      <w:r w:rsidR="005614ED" w:rsidRPr="0055101F">
        <w:rPr>
          <w:rFonts w:ascii="Arial" w:eastAsia="Times New Roman" w:hAnsi="Arial" w:cs="Arial"/>
          <w:bCs/>
          <w:color w:val="000000"/>
          <w:lang w:eastAsia="es-CO"/>
        </w:rPr>
        <w:t>atriz 1</w:t>
      </w:r>
      <w:r w:rsidR="00755936" w:rsidRPr="0055101F">
        <w:rPr>
          <w:rFonts w:ascii="Arial" w:eastAsia="Times New Roman" w:hAnsi="Arial" w:cs="Arial"/>
          <w:bCs/>
          <w:color w:val="000000"/>
          <w:lang w:eastAsia="es-CO"/>
        </w:rPr>
        <w:t xml:space="preserve"> –</w:t>
      </w:r>
      <w:r w:rsidR="005614ED" w:rsidRPr="0055101F">
        <w:rPr>
          <w:rFonts w:ascii="Arial" w:eastAsia="Times New Roman" w:hAnsi="Arial" w:cs="Arial"/>
          <w:bCs/>
          <w:color w:val="000000"/>
          <w:lang w:eastAsia="es-CO"/>
        </w:rPr>
        <w:t xml:space="preserve"> Experiencia</w:t>
      </w:r>
      <w:r w:rsidR="00755936" w:rsidRPr="0055101F">
        <w:rPr>
          <w:rFonts w:ascii="Arial" w:eastAsia="Times New Roman" w:hAnsi="Arial" w:cs="Arial"/>
          <w:bCs/>
          <w:color w:val="000000"/>
          <w:lang w:eastAsia="es-CO"/>
        </w:rPr>
        <w:t xml:space="preserve">». </w:t>
      </w:r>
      <w:r w:rsidR="000B4D44" w:rsidRPr="0055101F">
        <w:rPr>
          <w:rFonts w:ascii="Arial" w:eastAsia="Times New Roman" w:hAnsi="Arial" w:cs="Arial"/>
          <w:bCs/>
          <w:color w:val="000000"/>
          <w:lang w:eastAsia="es-CO"/>
        </w:rPr>
        <w:t>Cuando esto sucede</w:t>
      </w:r>
      <w:r w:rsidR="005614ED" w:rsidRPr="0055101F">
        <w:rPr>
          <w:rFonts w:ascii="Arial" w:eastAsia="Times New Roman" w:hAnsi="Arial" w:cs="Arial"/>
          <w:bCs/>
          <w:color w:val="000000"/>
          <w:lang w:eastAsia="es-CO"/>
        </w:rPr>
        <w:t xml:space="preserve">, no </w:t>
      </w:r>
      <w:r w:rsidR="005B43E8" w:rsidRPr="0055101F">
        <w:rPr>
          <w:rFonts w:ascii="Arial" w:eastAsia="Times New Roman" w:hAnsi="Arial" w:cs="Arial"/>
          <w:bCs/>
          <w:color w:val="000000"/>
          <w:lang w:eastAsia="es-CO"/>
        </w:rPr>
        <w:t>habría</w:t>
      </w:r>
      <w:r w:rsidR="005614ED" w:rsidRPr="0055101F">
        <w:rPr>
          <w:rFonts w:ascii="Arial" w:eastAsia="Times New Roman" w:hAnsi="Arial" w:cs="Arial"/>
          <w:bCs/>
          <w:color w:val="000000"/>
          <w:lang w:eastAsia="es-CO"/>
        </w:rPr>
        <w:t xml:space="preserve"> lugar a </w:t>
      </w:r>
      <w:r w:rsidR="002539AB" w:rsidRPr="0055101F">
        <w:rPr>
          <w:rFonts w:ascii="Arial" w:eastAsia="Times New Roman" w:hAnsi="Arial" w:cs="Arial"/>
          <w:bCs/>
          <w:color w:val="000000"/>
          <w:lang w:eastAsia="es-CO"/>
        </w:rPr>
        <w:t>solicitar experiencia adicional</w:t>
      </w:r>
      <w:r w:rsidR="005B43E8" w:rsidRPr="0055101F">
        <w:rPr>
          <w:rFonts w:ascii="Arial" w:eastAsia="Times New Roman" w:hAnsi="Arial" w:cs="Arial"/>
          <w:bCs/>
          <w:color w:val="000000"/>
          <w:lang w:eastAsia="es-CO"/>
        </w:rPr>
        <w:t>; t</w:t>
      </w:r>
      <w:r w:rsidR="00CD6CB7" w:rsidRPr="0055101F">
        <w:rPr>
          <w:rFonts w:ascii="Arial" w:eastAsia="Times New Roman" w:hAnsi="Arial" w:cs="Arial"/>
          <w:bCs/>
          <w:color w:val="000000"/>
          <w:lang w:eastAsia="es-CO"/>
        </w:rPr>
        <w:t>odo lo contrario,</w:t>
      </w:r>
      <w:r w:rsidR="00515F3D" w:rsidRPr="0055101F">
        <w:rPr>
          <w:rFonts w:ascii="Arial" w:eastAsia="Times New Roman" w:hAnsi="Arial" w:cs="Arial"/>
          <w:bCs/>
          <w:color w:val="000000"/>
          <w:lang w:eastAsia="es-CO"/>
        </w:rPr>
        <w:t xml:space="preserve"> como se indicó en la respuesta al punto anterior, la entidad </w:t>
      </w:r>
      <w:r w:rsidR="00CD6CB7" w:rsidRPr="0055101F">
        <w:rPr>
          <w:rFonts w:ascii="Arial" w:eastAsia="Times New Roman" w:hAnsi="Arial" w:cs="Arial"/>
          <w:bCs/>
          <w:color w:val="000000"/>
          <w:lang w:eastAsia="es-CO"/>
        </w:rPr>
        <w:t xml:space="preserve">debe </w:t>
      </w:r>
      <w:r w:rsidR="00515F3D" w:rsidRPr="0055101F">
        <w:rPr>
          <w:rFonts w:ascii="Arial" w:eastAsia="Times New Roman" w:hAnsi="Arial" w:cs="Arial"/>
          <w:bCs/>
          <w:color w:val="000000"/>
          <w:lang w:eastAsia="es-CO"/>
        </w:rPr>
        <w:t xml:space="preserve">combinar las experiencias </w:t>
      </w:r>
      <w:r w:rsidR="00F23F9A" w:rsidRPr="0055101F">
        <w:rPr>
          <w:rFonts w:ascii="Arial" w:eastAsia="Times New Roman" w:hAnsi="Arial" w:cs="Arial"/>
          <w:bCs/>
          <w:color w:val="000000"/>
          <w:lang w:eastAsia="es-CO"/>
        </w:rPr>
        <w:t>de las actividades que pretende contratar.</w:t>
      </w:r>
    </w:p>
    <w:p w14:paraId="75F59C62" w14:textId="77777777" w:rsidR="00E87850" w:rsidRPr="0055101F" w:rsidRDefault="00E87850" w:rsidP="0055101F">
      <w:pPr>
        <w:tabs>
          <w:tab w:val="left" w:pos="426"/>
        </w:tabs>
        <w:spacing w:after="120" w:line="276" w:lineRule="auto"/>
        <w:contextualSpacing/>
        <w:jc w:val="both"/>
        <w:rPr>
          <w:rFonts w:ascii="Arial" w:eastAsia="Times New Roman" w:hAnsi="Arial" w:cs="Arial"/>
          <w:bCs/>
          <w:color w:val="000000"/>
          <w:sz w:val="8"/>
          <w:szCs w:val="8"/>
          <w:lang w:eastAsia="es-CO"/>
        </w:rPr>
      </w:pPr>
    </w:p>
    <w:p w14:paraId="5E804A3E" w14:textId="034D1EC0" w:rsidR="00E87850" w:rsidRDefault="009A6C2B" w:rsidP="00E87850">
      <w:pPr>
        <w:spacing w:after="120" w:line="276" w:lineRule="auto"/>
        <w:ind w:firstLine="708"/>
        <w:jc w:val="both"/>
        <w:rPr>
          <w:rFonts w:ascii="Arial" w:eastAsia="Calibri" w:hAnsi="Arial" w:cs="Arial"/>
        </w:rPr>
      </w:pPr>
      <w:r w:rsidRPr="0055101F">
        <w:rPr>
          <w:rFonts w:ascii="Arial" w:eastAsia="Calibri" w:hAnsi="Arial" w:cs="Arial"/>
        </w:rPr>
        <w:t>Al respecto, es necesario tener en cuenta que l</w:t>
      </w:r>
      <w:r w:rsidR="00E87850" w:rsidRPr="0055101F">
        <w:rPr>
          <w:rFonts w:ascii="Arial" w:eastAsia="Calibri" w:hAnsi="Arial" w:cs="Arial"/>
        </w:rPr>
        <w:t xml:space="preserve">a posibilidad de solicitar experiencia adicional solo ocurre cuando el objeto contractual incluye bienes o servicios adicionales a la obra pública de infraestructura de transporte. Esto implica que: i) la actividad que se requiere, si bien es una labor de obra, no está relacionada con la infraestructura de transporte, por ejemplo, la construcción de un parque recreativo cerca de la vía, y </w:t>
      </w:r>
      <w:proofErr w:type="spellStart"/>
      <w:r w:rsidR="00E87850" w:rsidRPr="0055101F">
        <w:rPr>
          <w:rFonts w:ascii="Arial" w:eastAsia="Calibri" w:hAnsi="Arial" w:cs="Arial"/>
        </w:rPr>
        <w:t>ii</w:t>
      </w:r>
      <w:proofErr w:type="spellEnd"/>
      <w:r w:rsidR="00E87850" w:rsidRPr="0055101F">
        <w:rPr>
          <w:rFonts w:ascii="Arial" w:eastAsia="Calibri" w:hAnsi="Arial" w:cs="Arial"/>
        </w:rPr>
        <w:t>) el bien o servicio adicional es distinto a la actividad principal, aun cuando se relaciona con la infraestructura de transporte, v. gr.,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1FF31BF1" w14:textId="4C83B980" w:rsidR="00806859" w:rsidRDefault="00806859" w:rsidP="0055101F">
      <w:pPr>
        <w:tabs>
          <w:tab w:val="left" w:pos="426"/>
        </w:tabs>
        <w:spacing w:after="120" w:line="276" w:lineRule="auto"/>
        <w:contextualSpacing/>
        <w:jc w:val="both"/>
        <w:rPr>
          <w:rFonts w:ascii="Arial" w:eastAsia="Times New Roman" w:hAnsi="Arial" w:cs="Arial"/>
          <w:bCs/>
          <w:color w:val="000000"/>
          <w:lang w:eastAsia="es-CO"/>
        </w:rPr>
      </w:pPr>
    </w:p>
    <w:p w14:paraId="7470523E" w14:textId="16891621" w:rsidR="00806859" w:rsidRPr="002539AB" w:rsidRDefault="00806859" w:rsidP="0055101F">
      <w:pPr>
        <w:tabs>
          <w:tab w:val="left" w:pos="426"/>
        </w:tabs>
        <w:spacing w:before="120" w:after="0" w:line="276" w:lineRule="auto"/>
        <w:contextualSpacing/>
        <w:jc w:val="both"/>
        <w:rPr>
          <w:rFonts w:ascii="Arial" w:eastAsia="Times New Roman" w:hAnsi="Arial" w:cs="Arial"/>
          <w:bCs/>
          <w:color w:val="000000"/>
          <w:lang w:eastAsia="es-CO"/>
        </w:rPr>
      </w:pPr>
      <w:r w:rsidRPr="00806859">
        <w:rPr>
          <w:rFonts w:ascii="Arial" w:eastAsia="Times New Roman" w:hAnsi="Arial" w:cs="Arial"/>
          <w:bCs/>
          <w:color w:val="000000"/>
          <w:lang w:eastAsia="es-CO"/>
        </w:rPr>
        <w:t>Este concepto tiene el alcance previsto en el artículo 28 del Código de Procedimiento Administrativo y de lo Contencioso Administrativo.</w:t>
      </w:r>
    </w:p>
    <w:p w14:paraId="72D9A193" w14:textId="77777777" w:rsidR="00455DC9" w:rsidRPr="00455DC9" w:rsidRDefault="00455DC9" w:rsidP="00455DC9">
      <w:pPr>
        <w:spacing w:after="0" w:line="276" w:lineRule="auto"/>
        <w:jc w:val="both"/>
        <w:rPr>
          <w:rFonts w:ascii="Arial" w:eastAsia="Times New Roman" w:hAnsi="Arial" w:cs="Arial"/>
          <w:color w:val="000000"/>
          <w:lang w:val="es-ES_tradnl" w:eastAsia="es-CO"/>
        </w:rPr>
      </w:pPr>
    </w:p>
    <w:p w14:paraId="22186776" w14:textId="77777777" w:rsidR="00455DC9" w:rsidRPr="00455DC9" w:rsidRDefault="00455DC9" w:rsidP="00455DC9">
      <w:pPr>
        <w:tabs>
          <w:tab w:val="left" w:pos="426"/>
        </w:tabs>
        <w:spacing w:after="120" w:line="276" w:lineRule="auto"/>
        <w:jc w:val="both"/>
        <w:rPr>
          <w:rFonts w:ascii="Arial" w:eastAsia="Times New Roman" w:hAnsi="Arial" w:cs="Arial"/>
          <w:color w:val="000000"/>
          <w:sz w:val="18"/>
          <w:szCs w:val="20"/>
          <w:lang w:val="es-ES_tradnl" w:eastAsia="es-CO"/>
        </w:rPr>
      </w:pPr>
      <w:r w:rsidRPr="00455DC9">
        <w:rPr>
          <w:rFonts w:ascii="Arial" w:eastAsia="Calibri" w:hAnsi="Arial" w:cs="Arial"/>
          <w:color w:val="000000"/>
          <w:lang w:val="es-ES"/>
        </w:rPr>
        <w:t>Atentamente,</w:t>
      </w:r>
    </w:p>
    <w:p w14:paraId="2ED1B760" w14:textId="25BE8D11" w:rsidR="00FC7E05" w:rsidRDefault="00BD316B" w:rsidP="00455DC9">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18"/>
          <w:szCs w:val="20"/>
        </w:rPr>
        <w:drawing>
          <wp:inline distT="0" distB="0" distL="0" distR="0" wp14:anchorId="61C97FB0" wp14:editId="0A345C08">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1A36931B" w14:textId="77777777" w:rsidR="001175DA" w:rsidRPr="00C440B6" w:rsidRDefault="001175DA" w:rsidP="00455DC9">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55DC9" w:rsidRPr="00C440B6" w14:paraId="454135E0" w14:textId="77777777" w:rsidTr="005F47AD">
        <w:trPr>
          <w:trHeight w:val="315"/>
        </w:trPr>
        <w:tc>
          <w:tcPr>
            <w:tcW w:w="812" w:type="dxa"/>
            <w:vAlign w:val="center"/>
            <w:hideMark/>
          </w:tcPr>
          <w:p w14:paraId="6E0FF971" w14:textId="77777777" w:rsidR="00455DC9" w:rsidRPr="00C440B6" w:rsidRDefault="00455DC9" w:rsidP="005F47A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5E14D9F" w14:textId="04359A8F" w:rsidR="00455DC9" w:rsidRDefault="00455DC9" w:rsidP="005F47AD">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Carlos Mario Castrill</w:t>
            </w:r>
            <w:r w:rsidR="005A4912">
              <w:rPr>
                <w:rFonts w:ascii="Arial" w:hAnsi="Arial" w:cs="Arial"/>
                <w:color w:val="000000" w:themeColor="text1"/>
                <w:sz w:val="16"/>
                <w:szCs w:val="16"/>
                <w:lang w:val="es-ES" w:eastAsia="es-ES"/>
              </w:rPr>
              <w:t>ó</w:t>
            </w:r>
            <w:r>
              <w:rPr>
                <w:rFonts w:ascii="Arial" w:hAnsi="Arial" w:cs="Arial"/>
                <w:color w:val="000000" w:themeColor="text1"/>
                <w:sz w:val="16"/>
                <w:szCs w:val="16"/>
                <w:lang w:val="es-ES" w:eastAsia="es-ES"/>
              </w:rPr>
              <w:t>n Endo</w:t>
            </w:r>
          </w:p>
          <w:p w14:paraId="5F6BCA6A" w14:textId="77777777" w:rsidR="00455DC9" w:rsidRPr="00C440B6" w:rsidRDefault="00455DC9" w:rsidP="005F47AD">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 w:eastAsia="es-ES"/>
              </w:rPr>
              <w:t>Contratista de la Subdirección de Gestión Contractual</w:t>
            </w:r>
          </w:p>
        </w:tc>
      </w:tr>
      <w:tr w:rsidR="00455DC9" w:rsidRPr="00C440B6" w14:paraId="4E9EEE2B" w14:textId="77777777" w:rsidTr="005F47AD">
        <w:trPr>
          <w:trHeight w:val="330"/>
        </w:trPr>
        <w:tc>
          <w:tcPr>
            <w:tcW w:w="812" w:type="dxa"/>
            <w:vAlign w:val="center"/>
            <w:hideMark/>
          </w:tcPr>
          <w:p w14:paraId="71BCA565" w14:textId="77777777" w:rsidR="00455DC9" w:rsidRPr="00C440B6" w:rsidRDefault="00455DC9" w:rsidP="005F47A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21F76B" w14:textId="77777777" w:rsidR="00455DC9" w:rsidRPr="00C440B6" w:rsidRDefault="00455DC9" w:rsidP="005F47A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Juan David Montoya Penagos</w:t>
            </w:r>
          </w:p>
          <w:p w14:paraId="4B1DBB15" w14:textId="77777777" w:rsidR="00455DC9" w:rsidRPr="00C440B6" w:rsidRDefault="00455DC9" w:rsidP="005F47A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Pr>
                <w:rFonts w:ascii="Arial" w:hAnsi="Arial" w:cs="Arial"/>
                <w:color w:val="000000" w:themeColor="text1"/>
                <w:sz w:val="16"/>
                <w:szCs w:val="16"/>
                <w:lang w:val="es-ES_tradnl" w:eastAsia="es-ES"/>
              </w:rPr>
              <w:t xml:space="preserve"> de la </w:t>
            </w:r>
            <w:r w:rsidRPr="005F5694">
              <w:rPr>
                <w:rFonts w:ascii="Arial" w:hAnsi="Arial" w:cs="Arial"/>
                <w:color w:val="000000" w:themeColor="text1"/>
                <w:sz w:val="16"/>
                <w:szCs w:val="16"/>
                <w:lang w:val="es-ES_tradnl" w:eastAsia="es-ES"/>
              </w:rPr>
              <w:t>Subdirección de Gestión Contractual</w:t>
            </w:r>
          </w:p>
        </w:tc>
      </w:tr>
      <w:tr w:rsidR="00455DC9" w:rsidRPr="00C440B6" w14:paraId="7283E930" w14:textId="77777777" w:rsidTr="005F47AD">
        <w:trPr>
          <w:trHeight w:val="300"/>
        </w:trPr>
        <w:tc>
          <w:tcPr>
            <w:tcW w:w="812" w:type="dxa"/>
            <w:vAlign w:val="center"/>
            <w:hideMark/>
          </w:tcPr>
          <w:p w14:paraId="4223C3C8" w14:textId="77777777" w:rsidR="00455DC9" w:rsidRPr="00C440B6" w:rsidRDefault="00455DC9" w:rsidP="005F47A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1AB987" w14:textId="77777777" w:rsidR="00455DC9" w:rsidRPr="00C440B6" w:rsidRDefault="00455DC9" w:rsidP="005F47A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Jorge Augusto Tirado Navarro</w:t>
            </w:r>
          </w:p>
          <w:p w14:paraId="294C6322" w14:textId="77777777" w:rsidR="00455DC9" w:rsidRPr="00C440B6" w:rsidRDefault="00455DC9" w:rsidP="005F47A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ANCP – CCE</w:t>
            </w:r>
          </w:p>
        </w:tc>
      </w:tr>
      <w:bookmarkEnd w:id="0"/>
    </w:tbl>
    <w:p w14:paraId="1F671C3D" w14:textId="77777777" w:rsidR="00455DC9" w:rsidRDefault="00455DC9"/>
    <w:sectPr w:rsidR="00455DC9">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4668" w14:textId="77777777" w:rsidR="00EA65D2" w:rsidRDefault="00EA65D2" w:rsidP="00F37112">
      <w:pPr>
        <w:spacing w:after="0" w:line="240" w:lineRule="auto"/>
      </w:pPr>
      <w:r>
        <w:separator/>
      </w:r>
    </w:p>
  </w:endnote>
  <w:endnote w:type="continuationSeparator" w:id="0">
    <w:p w14:paraId="5E412EB1" w14:textId="77777777" w:rsidR="00EA65D2" w:rsidRDefault="00EA65D2" w:rsidP="00F3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7EB4" w14:textId="77777777" w:rsidR="009D1F74" w:rsidRDefault="009D1F74" w:rsidP="009D1F74">
    <w:pPr>
      <w:pStyle w:val="Sinespaciado"/>
      <w:rPr>
        <w:rFonts w:ascii="Arial" w:hAnsi="Arial" w:cs="Arial"/>
        <w:sz w:val="18"/>
        <w:szCs w:val="18"/>
      </w:rPr>
    </w:pPr>
  </w:p>
  <w:p w14:paraId="2E20B51B" w14:textId="77777777" w:rsidR="009D1F74" w:rsidRPr="005A79FE" w:rsidRDefault="009D1F74" w:rsidP="009D1F7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37D08E12" w14:textId="77777777" w:rsidR="009D1F74" w:rsidRDefault="009D1F74" w:rsidP="009D1F74">
    <w:pPr>
      <w:pStyle w:val="Piedepgina"/>
      <w:jc w:val="center"/>
      <w:rPr>
        <w:lang w:val="es-ES"/>
      </w:rPr>
    </w:pPr>
    <w:r>
      <w:rPr>
        <w:noProof/>
      </w:rPr>
      <w:drawing>
        <wp:inline distT="0" distB="0" distL="0" distR="0" wp14:anchorId="587D6A55" wp14:editId="5E653530">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5E29" w14:textId="77777777" w:rsidR="00EA65D2" w:rsidRDefault="00EA65D2" w:rsidP="00F37112">
      <w:pPr>
        <w:spacing w:after="0" w:line="240" w:lineRule="auto"/>
      </w:pPr>
      <w:r>
        <w:separator/>
      </w:r>
    </w:p>
  </w:footnote>
  <w:footnote w:type="continuationSeparator" w:id="0">
    <w:p w14:paraId="68429CF1" w14:textId="77777777" w:rsidR="00EA65D2" w:rsidRDefault="00EA65D2" w:rsidP="00F37112">
      <w:pPr>
        <w:spacing w:after="0" w:line="240" w:lineRule="auto"/>
      </w:pPr>
      <w:r>
        <w:continuationSeparator/>
      </w:r>
    </w:p>
  </w:footnote>
  <w:footnote w:id="1">
    <w:p w14:paraId="03ED1A87" w14:textId="77777777" w:rsidR="00F37112" w:rsidRDefault="00F37112" w:rsidP="00F37112">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2">
    <w:p w14:paraId="39D23D76" w14:textId="77777777" w:rsidR="009B66A6" w:rsidRDefault="009B66A6" w:rsidP="009B66A6">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518C9B27" w14:textId="77777777" w:rsidR="009B66A6" w:rsidRDefault="009B66A6" w:rsidP="009B66A6">
      <w:pPr>
        <w:pStyle w:val="Textonotapie"/>
        <w:ind w:firstLine="709"/>
      </w:pPr>
    </w:p>
  </w:footnote>
  <w:footnote w:id="3">
    <w:p w14:paraId="1A29055B" w14:textId="77777777" w:rsidR="009B66A6" w:rsidRDefault="009B66A6" w:rsidP="009B66A6">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32BF33E6" w14:textId="77777777" w:rsidR="009B66A6" w:rsidRDefault="009B66A6" w:rsidP="009B66A6">
      <w:pPr>
        <w:pStyle w:val="Textonotapie"/>
        <w:ind w:firstLine="709"/>
      </w:pPr>
    </w:p>
  </w:footnote>
  <w:footnote w:id="4">
    <w:p w14:paraId="6C36CF1A" w14:textId="77777777" w:rsidR="009B66A6" w:rsidRDefault="009B66A6" w:rsidP="009B66A6">
      <w:pPr>
        <w:pStyle w:val="Textonotapie"/>
        <w:ind w:firstLine="709"/>
      </w:pPr>
      <w:r>
        <w:rPr>
          <w:rStyle w:val="Refdenotaalpie"/>
        </w:rPr>
        <w:footnoteRef/>
      </w:r>
      <w:r>
        <w:t xml:space="preserve"> </w:t>
      </w:r>
      <w:proofErr w:type="spellStart"/>
      <w:r w:rsidRPr="0043040E">
        <w:rPr>
          <w:rFonts w:ascii="Arial" w:hAnsi="Arial" w:cs="Arial"/>
          <w:sz w:val="19"/>
          <w:szCs w:val="19"/>
        </w:rPr>
        <w:t>Ibídem</w:t>
      </w:r>
      <w:proofErr w:type="spellEnd"/>
      <w:r w:rsidRPr="0043040E">
        <w:rPr>
          <w:rFonts w:ascii="Arial" w:hAnsi="Arial" w:cs="Arial"/>
          <w:sz w:val="19"/>
          <w:szCs w:val="19"/>
        </w:rPr>
        <w:t>.</w:t>
      </w:r>
      <w:r w:rsidRPr="0043040E">
        <w:t xml:space="preserve">  </w:t>
      </w:r>
    </w:p>
    <w:p w14:paraId="0DB3FC67" w14:textId="77777777" w:rsidR="009B66A6" w:rsidRDefault="009B66A6" w:rsidP="009B66A6">
      <w:pPr>
        <w:pStyle w:val="Textonotapie"/>
        <w:ind w:firstLine="709"/>
      </w:pPr>
    </w:p>
  </w:footnote>
  <w:footnote w:id="5">
    <w:p w14:paraId="4CE6BAE2" w14:textId="77777777" w:rsidR="009B66A6" w:rsidRDefault="009B66A6" w:rsidP="009B66A6">
      <w:pPr>
        <w:shd w:val="clear" w:color="auto" w:fill="FFFFFF"/>
        <w:ind w:firstLine="709"/>
        <w:jc w:val="both"/>
        <w:textAlignment w:val="baseline"/>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416 de 2007, Informe de Conciliación Senado. </w:t>
      </w:r>
    </w:p>
    <w:p w14:paraId="4A9C442C" w14:textId="77777777" w:rsidR="009B66A6" w:rsidRPr="0043040E" w:rsidRDefault="009B66A6" w:rsidP="009B66A6">
      <w:pPr>
        <w:shd w:val="clear" w:color="auto" w:fill="FFFFFF"/>
        <w:ind w:firstLine="709"/>
        <w:jc w:val="both"/>
        <w:textAlignment w:val="baseline"/>
        <w:rPr>
          <w:rFonts w:ascii="Calibri" w:eastAsia="Times New Roman" w:hAnsi="Calibri" w:cs="Calibri"/>
          <w:color w:val="000000"/>
          <w:sz w:val="20"/>
          <w:szCs w:val="20"/>
          <w:lang w:eastAsia="es-CO"/>
        </w:rPr>
      </w:pPr>
    </w:p>
  </w:footnote>
  <w:footnote w:id="6">
    <w:p w14:paraId="67F01E2E" w14:textId="77777777" w:rsidR="009B66A6" w:rsidRPr="0043040E" w:rsidRDefault="009B66A6" w:rsidP="009B66A6">
      <w:pPr>
        <w:shd w:val="clear" w:color="auto" w:fill="FFFFFF"/>
        <w:ind w:firstLine="709"/>
        <w:jc w:val="both"/>
        <w:textAlignment w:val="baseline"/>
        <w:rPr>
          <w:rFonts w:ascii="Calibri" w:eastAsia="Times New Roman" w:hAnsi="Calibri" w:cs="Calibri"/>
          <w:color w:val="000000"/>
          <w:sz w:val="20"/>
          <w:szCs w:val="20"/>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1C2AE85" w14:textId="77777777" w:rsidR="009B66A6" w:rsidRPr="0043040E" w:rsidRDefault="009B66A6" w:rsidP="009B66A6">
      <w:pPr>
        <w:shd w:val="clear" w:color="auto" w:fill="FFFFFF"/>
        <w:ind w:firstLine="709"/>
        <w:jc w:val="both"/>
        <w:textAlignment w:val="baseline"/>
        <w:rPr>
          <w:rFonts w:ascii="Calibri" w:eastAsia="Times New Roman" w:hAnsi="Calibri" w:cs="Calibri"/>
          <w:color w:val="000000"/>
          <w:sz w:val="20"/>
          <w:szCs w:val="20"/>
          <w:lang w:eastAsia="es-CO"/>
        </w:rPr>
      </w:pPr>
      <w:r w:rsidRPr="0043040E">
        <w:rPr>
          <w:rFonts w:ascii="Arial" w:eastAsia="Times New Roman"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4ADD5B2" w14:textId="77777777" w:rsidR="009B66A6" w:rsidRPr="0043040E" w:rsidRDefault="009B66A6" w:rsidP="009B66A6">
      <w:pPr>
        <w:shd w:val="clear" w:color="auto" w:fill="FFFFFF"/>
        <w:ind w:firstLine="709"/>
        <w:jc w:val="both"/>
        <w:textAlignment w:val="baseline"/>
        <w:rPr>
          <w:rFonts w:ascii="Calibri" w:eastAsia="Times New Roman" w:hAnsi="Calibri" w:cs="Calibri"/>
          <w:color w:val="000000"/>
          <w:sz w:val="20"/>
          <w:szCs w:val="20"/>
          <w:lang w:eastAsia="es-CO"/>
        </w:rPr>
      </w:pPr>
      <w:r w:rsidRPr="0043040E">
        <w:rPr>
          <w:rFonts w:ascii="Arial" w:eastAsia="Times New Roman"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3BEBDC0B" w14:textId="77777777" w:rsidR="009B66A6" w:rsidRPr="0043040E" w:rsidRDefault="009B66A6" w:rsidP="009B66A6">
      <w:pPr>
        <w:shd w:val="clear" w:color="auto" w:fill="FFFFFF"/>
        <w:ind w:firstLine="709"/>
        <w:jc w:val="both"/>
        <w:textAlignment w:val="baseline"/>
        <w:rPr>
          <w:rFonts w:ascii="Calibri" w:eastAsia="Times New Roman" w:hAnsi="Calibri" w:cs="Calibri"/>
          <w:color w:val="000000"/>
          <w:sz w:val="20"/>
          <w:szCs w:val="20"/>
          <w:lang w:eastAsia="es-CO"/>
        </w:rPr>
      </w:pPr>
      <w:r w:rsidRPr="0043040E">
        <w:rPr>
          <w:rFonts w:ascii="Arial" w:eastAsia="Times New Roman"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2655C53" w14:textId="77777777" w:rsidR="009B66A6" w:rsidRPr="0043040E" w:rsidRDefault="009B66A6" w:rsidP="009B66A6">
      <w:pPr>
        <w:shd w:val="clear" w:color="auto" w:fill="FFFFFF"/>
        <w:ind w:firstLine="708"/>
        <w:jc w:val="both"/>
        <w:textAlignment w:val="baseline"/>
        <w:rPr>
          <w:rFonts w:ascii="Calibri" w:eastAsia="Times New Roman" w:hAnsi="Calibri" w:cs="Calibri"/>
          <w:color w:val="000000"/>
          <w:sz w:val="20"/>
          <w:szCs w:val="20"/>
          <w:lang w:eastAsia="es-CO"/>
        </w:rPr>
      </w:pPr>
      <w:r w:rsidRPr="0043040E">
        <w:rPr>
          <w:rFonts w:ascii="Arial" w:eastAsia="Times New Roman"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6593BD2F" w14:textId="77777777" w:rsidR="009B66A6" w:rsidRDefault="009B66A6" w:rsidP="009B66A6">
      <w:pPr>
        <w:pStyle w:val="Textonotapie"/>
      </w:pPr>
    </w:p>
  </w:footnote>
  <w:footnote w:id="7">
    <w:p w14:paraId="6FCD9687" w14:textId="77777777" w:rsidR="009B66A6" w:rsidRPr="0045370A" w:rsidRDefault="009B66A6" w:rsidP="00D5450B">
      <w:pPr>
        <w:pStyle w:val="Textonotapie"/>
        <w:ind w:firstLine="708"/>
        <w:jc w:val="both"/>
        <w:rPr>
          <w:rFonts w:ascii="Arial" w:hAnsi="Arial" w:cs="Arial"/>
          <w:sz w:val="19"/>
          <w:szCs w:val="19"/>
        </w:rPr>
      </w:pPr>
      <w:r>
        <w:rPr>
          <w:rStyle w:val="Refdenotaalpie"/>
        </w:rPr>
        <w:footnoteRef/>
      </w:r>
      <w:r>
        <w:t xml:space="preserve"> </w:t>
      </w:r>
      <w:r w:rsidRPr="0045370A">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3D14ACCF" w14:textId="77777777" w:rsidR="009B66A6" w:rsidRPr="0045370A" w:rsidRDefault="009B66A6" w:rsidP="00D5450B">
      <w:pPr>
        <w:pStyle w:val="Textonotapie"/>
        <w:ind w:firstLine="708"/>
        <w:rPr>
          <w:rFonts w:ascii="Arial" w:hAnsi="Arial" w:cs="Arial"/>
          <w:sz w:val="19"/>
          <w:szCs w:val="19"/>
          <w:lang w:val="es-CO"/>
        </w:rPr>
      </w:pPr>
      <w:r w:rsidRPr="0045370A">
        <w:rPr>
          <w:rFonts w:ascii="Arial" w:hAnsi="Arial" w:cs="Arial"/>
          <w:sz w:val="19"/>
          <w:szCs w:val="19"/>
        </w:rPr>
        <w:t xml:space="preserve"> </w:t>
      </w:r>
    </w:p>
  </w:footnote>
  <w:footnote w:id="8">
    <w:p w14:paraId="5D364D1A" w14:textId="77777777" w:rsidR="009B66A6" w:rsidRPr="00133C4A" w:rsidRDefault="009B66A6" w:rsidP="00D5450B">
      <w:pPr>
        <w:pStyle w:val="Textonotapie"/>
        <w:ind w:firstLine="709"/>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0738B85D" w14:textId="77777777" w:rsidR="009B66A6" w:rsidRPr="00133C4A" w:rsidRDefault="009B66A6" w:rsidP="00D5450B">
      <w:pPr>
        <w:pStyle w:val="Textonotapie"/>
        <w:ind w:firstLine="709"/>
        <w:jc w:val="both"/>
        <w:rPr>
          <w:rFonts w:ascii="Arial" w:hAnsi="Arial" w:cs="Arial"/>
          <w:color w:val="000000" w:themeColor="text1"/>
          <w:sz w:val="19"/>
          <w:szCs w:val="19"/>
        </w:rPr>
      </w:pPr>
    </w:p>
  </w:footnote>
  <w:footnote w:id="9">
    <w:p w14:paraId="3B288D15" w14:textId="2B6C61BE" w:rsidR="009B66A6" w:rsidRPr="00133C4A" w:rsidRDefault="009B66A6" w:rsidP="0055101F">
      <w:pPr>
        <w:spacing w:after="0" w:line="240" w:lineRule="auto"/>
        <w:ind w:firstLine="709"/>
        <w:jc w:val="both"/>
        <w:rPr>
          <w:rFonts w:ascii="Arial" w:hAnsi="Arial" w:cs="Arial"/>
          <w:color w:val="000000" w:themeColor="text1"/>
          <w:sz w:val="19"/>
          <w:szCs w:val="19"/>
          <w:lang w:val="es-ES"/>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10">
    <w:p w14:paraId="6408F8AA" w14:textId="3007D440" w:rsidR="009B66A6" w:rsidRPr="000F2B47" w:rsidRDefault="009B66A6" w:rsidP="009B66A6">
      <w:pPr>
        <w:pStyle w:val="Textonotapie"/>
        <w:ind w:firstLine="708"/>
        <w:jc w:val="both"/>
        <w:rPr>
          <w:rFonts w:ascii="Arial" w:hAnsi="Arial" w:cs="Arial"/>
          <w:sz w:val="19"/>
          <w:szCs w:val="19"/>
        </w:rPr>
      </w:pPr>
      <w:r w:rsidRPr="000F2B47">
        <w:rPr>
          <w:rStyle w:val="Refdenotaalpie"/>
          <w:rFonts w:ascii="Arial" w:hAnsi="Arial" w:cs="Arial"/>
          <w:sz w:val="19"/>
          <w:szCs w:val="19"/>
        </w:rPr>
        <w:footnoteRef/>
      </w:r>
      <w:r w:rsidRPr="000F2B47">
        <w:rPr>
          <w:rFonts w:ascii="Arial" w:hAnsi="Arial" w:cs="Arial"/>
          <w:sz w:val="19"/>
          <w:szCs w:val="19"/>
        </w:rPr>
        <w:t xml:space="preserve"> </w:t>
      </w:r>
      <w:r w:rsidR="003F13ED">
        <w:rPr>
          <w:rFonts w:ascii="Arial" w:hAnsi="Arial" w:cs="Arial"/>
          <w:sz w:val="19"/>
          <w:szCs w:val="19"/>
        </w:rPr>
        <w:t xml:space="preserve">La norma dispone lo siguiente: </w:t>
      </w:r>
      <w:r w:rsidR="00EE340C">
        <w:rPr>
          <w:rFonts w:ascii="Arial" w:hAnsi="Arial" w:cs="Arial"/>
          <w:sz w:val="19"/>
          <w:szCs w:val="19"/>
        </w:rPr>
        <w:t>«</w:t>
      </w:r>
      <w:r w:rsidRPr="000F2B47">
        <w:rPr>
          <w:rFonts w:ascii="Arial" w:hAnsi="Arial" w:cs="Arial"/>
          <w:sz w:val="19"/>
          <w:szCs w:val="19"/>
        </w:rPr>
        <w:t xml:space="preserve">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47386F7E" w14:textId="77777777" w:rsidR="009B66A6" w:rsidRPr="000F2B47" w:rsidRDefault="009B66A6" w:rsidP="009B66A6">
      <w:pPr>
        <w:pStyle w:val="Textonotapie"/>
        <w:ind w:firstLine="708"/>
        <w:jc w:val="both"/>
        <w:rPr>
          <w:rFonts w:ascii="Arial" w:hAnsi="Arial" w:cs="Arial"/>
          <w:sz w:val="19"/>
          <w:szCs w:val="19"/>
        </w:rPr>
      </w:pPr>
      <w:r w:rsidRPr="000F2B47">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5B1A1787" w14:textId="77777777" w:rsidR="009B66A6" w:rsidRPr="000F2B47" w:rsidRDefault="009B66A6" w:rsidP="009B66A6">
      <w:pPr>
        <w:pStyle w:val="Textonotapie"/>
        <w:ind w:firstLine="708"/>
        <w:jc w:val="both"/>
        <w:rPr>
          <w:rFonts w:ascii="Arial" w:hAnsi="Arial" w:cs="Arial"/>
          <w:sz w:val="19"/>
          <w:szCs w:val="19"/>
        </w:rPr>
      </w:pPr>
      <w:r w:rsidRPr="000F2B47">
        <w:rPr>
          <w:rFonts w:ascii="Arial" w:hAnsi="Arial" w:cs="Arial"/>
          <w:sz w:val="19"/>
          <w:szCs w:val="19"/>
        </w:rPr>
        <w:t xml:space="preserve">»2. Conservar los requisitos exigidos en los Documentos Tipo.  </w:t>
      </w:r>
    </w:p>
    <w:p w14:paraId="13057F52" w14:textId="77777777" w:rsidR="009B66A6" w:rsidRPr="00D5103D" w:rsidRDefault="009B66A6" w:rsidP="009B66A6">
      <w:pPr>
        <w:pStyle w:val="Textonotapie"/>
        <w:ind w:firstLine="708"/>
        <w:jc w:val="both"/>
        <w:rPr>
          <w:lang w:val="es-CO"/>
        </w:rPr>
      </w:pPr>
      <w:r w:rsidRPr="000F2B47">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r>
        <w:t xml:space="preserve">  </w:t>
      </w:r>
    </w:p>
  </w:footnote>
  <w:footnote w:id="11">
    <w:p w14:paraId="68FA74CB" w14:textId="504D75F5" w:rsidR="009B66A6" w:rsidRPr="00133C4A" w:rsidRDefault="009B66A6" w:rsidP="0055101F">
      <w:pPr>
        <w:ind w:firstLine="708"/>
        <w:jc w:val="both"/>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Cita tomada de la providencia del 20 de febrero de 2020, dictada por el Consejo de Estado</w:t>
      </w:r>
      <w:r>
        <w:rPr>
          <w:rFonts w:ascii="Arial" w:hAnsi="Arial" w:cs="Arial"/>
          <w:color w:val="000000" w:themeColor="text1"/>
          <w:sz w:val="19"/>
          <w:szCs w:val="19"/>
        </w:rPr>
        <w:t>.</w:t>
      </w:r>
      <w:r w:rsidRPr="00133C4A">
        <w:rPr>
          <w:rFonts w:ascii="Arial" w:hAnsi="Arial" w:cs="Arial"/>
          <w:color w:val="000000" w:themeColor="text1"/>
          <w:sz w:val="19"/>
          <w:szCs w:val="19"/>
        </w:rPr>
        <w:t xml:space="preserve"> Sección Tercera</w:t>
      </w:r>
      <w:r>
        <w:rPr>
          <w:rFonts w:ascii="Arial" w:hAnsi="Arial" w:cs="Arial"/>
          <w:color w:val="000000" w:themeColor="text1"/>
          <w:sz w:val="19"/>
          <w:szCs w:val="19"/>
        </w:rPr>
        <w:t>.</w:t>
      </w:r>
      <w:r w:rsidRPr="00133C4A">
        <w:rPr>
          <w:rFonts w:ascii="Arial" w:hAnsi="Arial" w:cs="Arial"/>
          <w:color w:val="000000" w:themeColor="text1"/>
          <w:sz w:val="19"/>
          <w:szCs w:val="19"/>
        </w:rPr>
        <w:t xml:space="preserve"> Subsección A, dentro del expediente 47001-23-33-000-2018-00035-01</w:t>
      </w:r>
      <w:r>
        <w:rPr>
          <w:rFonts w:ascii="Arial" w:hAnsi="Arial" w:cs="Arial"/>
          <w:color w:val="000000" w:themeColor="text1"/>
          <w:sz w:val="19"/>
          <w:szCs w:val="19"/>
        </w:rPr>
        <w:t xml:space="preserve"> </w:t>
      </w:r>
      <w:r w:rsidRPr="00133C4A">
        <w:rPr>
          <w:rFonts w:ascii="Arial" w:hAnsi="Arial" w:cs="Arial"/>
          <w:color w:val="000000" w:themeColor="text1"/>
          <w:sz w:val="19"/>
          <w:szCs w:val="19"/>
        </w:rPr>
        <w:t>(63</w:t>
      </w:r>
      <w:r>
        <w:rPr>
          <w:rFonts w:ascii="Arial" w:hAnsi="Arial" w:cs="Arial"/>
          <w:color w:val="000000" w:themeColor="text1"/>
          <w:sz w:val="19"/>
          <w:szCs w:val="19"/>
        </w:rPr>
        <w:t>.</w:t>
      </w:r>
      <w:r w:rsidRPr="00133C4A">
        <w:rPr>
          <w:rFonts w:ascii="Arial" w:hAnsi="Arial" w:cs="Arial"/>
          <w:color w:val="000000" w:themeColor="text1"/>
          <w:sz w:val="19"/>
          <w:szCs w:val="19"/>
        </w:rPr>
        <w:t>854), cuya ponente fue Marta Nubia Velásquez Rico.</w:t>
      </w:r>
    </w:p>
  </w:footnote>
  <w:footnote w:id="12">
    <w:p w14:paraId="7F06378E" w14:textId="46B309E7" w:rsidR="00325E4D" w:rsidRPr="00B86A5C" w:rsidRDefault="00325E4D" w:rsidP="00325E4D">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«3.5.5.</w:t>
      </w:r>
      <w:r w:rsidR="00CF530B">
        <w:rPr>
          <w:rFonts w:ascii="Arial" w:hAnsi="Arial" w:cs="Arial"/>
          <w:sz w:val="19"/>
          <w:szCs w:val="19"/>
        </w:rPr>
        <w:t xml:space="preserve"> </w:t>
      </w:r>
      <w:r w:rsidRPr="00B86A5C">
        <w:rPr>
          <w:rFonts w:ascii="Arial" w:hAnsi="Arial" w:cs="Arial"/>
          <w:sz w:val="19"/>
          <w:szCs w:val="19"/>
        </w:rPr>
        <w:t>ACREDITACIÓN DE LA EXPERIENCIA REQUERIDA</w:t>
      </w:r>
    </w:p>
    <w:p w14:paraId="2C8E3740"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 xml:space="preserve">»Los proponentes acreditarán para cada uno de los contratos aportados la siguiente información mediante alguno de los documentos señalados en la sección 3.5.5 del pliego de condiciones: </w:t>
      </w:r>
    </w:p>
    <w:p w14:paraId="66EA650B"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t>Contratante</w:t>
      </w:r>
    </w:p>
    <w:p w14:paraId="49334C2F"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»B.</w:t>
      </w:r>
      <w:r w:rsidRPr="00B86A5C">
        <w:rPr>
          <w:rFonts w:ascii="Arial" w:hAnsi="Arial" w:cs="Arial"/>
          <w:sz w:val="19"/>
          <w:szCs w:val="19"/>
        </w:rPr>
        <w:tab/>
        <w:t>Objeto del contrato</w:t>
      </w:r>
    </w:p>
    <w:p w14:paraId="4FFE8436"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»C.</w:t>
      </w:r>
      <w:r w:rsidRPr="00B86A5C">
        <w:rPr>
          <w:rFonts w:ascii="Arial" w:hAnsi="Arial" w:cs="Arial"/>
          <w:sz w:val="19"/>
          <w:szCs w:val="19"/>
        </w:rPr>
        <w:tab/>
        <w:t>Principales actividades ejecutadas</w:t>
      </w:r>
    </w:p>
    <w:p w14:paraId="7222DCFD"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»D.</w:t>
      </w:r>
      <w:r w:rsidRPr="00B86A5C">
        <w:rPr>
          <w:rFonts w:ascii="Arial" w:hAnsi="Arial" w:cs="Arial"/>
          <w:sz w:val="19"/>
          <w:szCs w:val="19"/>
        </w:rPr>
        <w:tab/>
        <w:t>Las longitudes, volúmenes, dimensiones, tipologías y demás condiciones de experiencia establecidas en la Matriz 1 – Experiencia, si aplica.</w:t>
      </w:r>
    </w:p>
    <w:p w14:paraId="3E84B9CA"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»E.</w:t>
      </w:r>
      <w:r w:rsidRPr="00B86A5C">
        <w:rPr>
          <w:rFonts w:ascii="Arial" w:hAnsi="Arial" w:cs="Arial"/>
          <w:sz w:val="19"/>
          <w:szCs w:val="19"/>
        </w:rPr>
        <w:tab/>
        <w:t xml:space="preserve">La fecha de iniciación de la ejecución del contrato: Esta fecha es diferente a la de suscripción del contrato, a menos que de los documentos del numeral 3.5.5 de forma expresa así se determine. </w:t>
      </w:r>
    </w:p>
    <w:p w14:paraId="04D8592C"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suscripción y/o inicio del contrato: se tendrá en cuenta el último día del mes que se encuentre señalado en la certificación.</w:t>
      </w:r>
    </w:p>
    <w:p w14:paraId="7AE197D7"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»F.</w:t>
      </w:r>
      <w:r w:rsidRPr="00B86A5C">
        <w:rPr>
          <w:rFonts w:ascii="Arial" w:hAnsi="Arial" w:cs="Arial"/>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3B8B0F69" w14:textId="77777777" w:rsidR="00325E4D" w:rsidRPr="00B86A5C" w:rsidRDefault="00325E4D" w:rsidP="00325E4D">
      <w:pPr>
        <w:pStyle w:val="Textonotapie"/>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60DB162B"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»G.</w:t>
      </w:r>
      <w:r w:rsidRPr="00B86A5C">
        <w:rPr>
          <w:rFonts w:ascii="Arial" w:hAnsi="Arial" w:cs="Arial"/>
          <w:sz w:val="19"/>
          <w:szCs w:val="19"/>
        </w:rPr>
        <w:tab/>
        <w:t>Nombre y cargo de la persona que expide la certificación.</w:t>
      </w:r>
    </w:p>
    <w:p w14:paraId="4FEE6675"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»H.</w:t>
      </w:r>
      <w:r w:rsidRPr="00B86A5C">
        <w:rPr>
          <w:rFonts w:ascii="Arial" w:hAnsi="Arial" w:cs="Arial"/>
          <w:sz w:val="19"/>
          <w:szCs w:val="19"/>
        </w:rPr>
        <w:tab/>
        <w:t>El porcentaje de participación del integrante del contratista plural.</w:t>
      </w:r>
    </w:p>
    <w:p w14:paraId="07DD737E"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»I.</w:t>
      </w:r>
      <w:r w:rsidRPr="00B86A5C">
        <w:rPr>
          <w:rFonts w:ascii="Arial" w:hAnsi="Arial" w:cs="Arial"/>
          <w:sz w:val="19"/>
          <w:szCs w:val="19"/>
        </w:rPr>
        <w:tab/>
        <w:t>El porcentaje de participación en el valor ejecutado en el caso de contratistas plurales».</w:t>
      </w:r>
    </w:p>
  </w:footnote>
  <w:footnote w:id="13">
    <w:p w14:paraId="55A46C35" w14:textId="77777777" w:rsidR="00325E4D" w:rsidRPr="00B86A5C" w:rsidRDefault="00325E4D" w:rsidP="00325E4D">
      <w:pPr>
        <w:pStyle w:val="Textonotapie"/>
        <w:ind w:firstLine="708"/>
        <w:rPr>
          <w:rFonts w:ascii="Arial" w:hAnsi="Arial" w:cs="Arial"/>
          <w:sz w:val="19"/>
          <w:szCs w:val="19"/>
        </w:rPr>
      </w:pPr>
    </w:p>
    <w:p w14:paraId="1FD81961" w14:textId="77777777" w:rsidR="00325E4D" w:rsidRPr="00B86A5C" w:rsidRDefault="00325E4D" w:rsidP="00325E4D">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«3.5.6.</w:t>
      </w:r>
      <w:r w:rsidRPr="00B86A5C">
        <w:rPr>
          <w:rFonts w:ascii="Arial" w:hAnsi="Arial" w:cs="Arial"/>
          <w:sz w:val="19"/>
          <w:szCs w:val="19"/>
        </w:rPr>
        <w:tab/>
        <w:t>DOCUMENTOS VÁLIDOS PARA LA ACREDITACIÓN DE LA EXPERIENCIA REQUERIDA</w:t>
      </w:r>
    </w:p>
    <w:p w14:paraId="405255D6"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31B3C40A"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t>Acta de liquidación</w:t>
      </w:r>
    </w:p>
    <w:p w14:paraId="5874908B"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»B.</w:t>
      </w:r>
      <w:r w:rsidRPr="00B86A5C">
        <w:rPr>
          <w:rFonts w:ascii="Arial" w:hAnsi="Arial" w:cs="Arial"/>
          <w:sz w:val="19"/>
          <w:szCs w:val="19"/>
        </w:rPr>
        <w:tab/>
        <w:t xml:space="preserve">Acta de entrega, terminación, final o de recibo definitivo. </w:t>
      </w:r>
    </w:p>
    <w:p w14:paraId="0ADA0755"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»C.</w:t>
      </w:r>
      <w:r w:rsidRPr="00B86A5C">
        <w:rPr>
          <w:rFonts w:ascii="Arial" w:hAnsi="Arial" w:cs="Arial"/>
          <w:sz w:val="19"/>
          <w:szCs w:val="19"/>
        </w:rPr>
        <w:tab/>
        <w:t>Certificación de experiencia. Expedida con posterioridad a la fecha de terminación del contrato en la que conste el recibo a satisfacción de la obra contratada debidamente suscrita por quien esté en capacidad u obligación de hacerlo.</w:t>
      </w:r>
    </w:p>
    <w:p w14:paraId="6957EB65"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»D.</w:t>
      </w:r>
      <w:r w:rsidRPr="00B86A5C">
        <w:rPr>
          <w:rFonts w:ascii="Arial" w:hAnsi="Arial" w:cs="Arial"/>
          <w:sz w:val="19"/>
          <w:szCs w:val="19"/>
        </w:rPr>
        <w:tab/>
        <w:t>Acta de inicio o la orden de inicio. La misma sólo será válida para efectos de acreditar la fecha de inicio.</w:t>
      </w:r>
    </w:p>
    <w:p w14:paraId="6CEE5F46"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»E.</w:t>
      </w:r>
      <w:r w:rsidRPr="00B86A5C">
        <w:rPr>
          <w:rFonts w:ascii="Arial" w:hAnsi="Arial" w:cs="Arial"/>
          <w:sz w:val="19"/>
          <w:szCs w:val="19"/>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0FC9FB9D"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 xml:space="preserve">»Para efectos de acreditación de experiencia entre particulares, el proponente deberá aportar adicionalmente alguno de los documentos que se describen a continuación: </w:t>
      </w:r>
    </w:p>
    <w:p w14:paraId="52C68130" w14:textId="77777777" w:rsidR="00325E4D" w:rsidRPr="00B86A5C" w:rsidRDefault="00325E4D" w:rsidP="00325E4D">
      <w:pPr>
        <w:pStyle w:val="Textonotapie"/>
        <w:ind w:firstLine="708"/>
        <w:jc w:val="both"/>
        <w:rPr>
          <w:rFonts w:ascii="Arial" w:hAnsi="Arial" w:cs="Arial"/>
          <w:sz w:val="19"/>
          <w:szCs w:val="19"/>
        </w:rPr>
      </w:pPr>
      <w:r w:rsidRPr="00B86A5C">
        <w:rPr>
          <w:rFonts w:ascii="Arial" w:hAnsi="Arial" w:cs="Arial"/>
          <w:sz w:val="19"/>
          <w:szCs w:val="19"/>
        </w:rPr>
        <w:t>»A.</w:t>
      </w:r>
      <w:r w:rsidRPr="00B86A5C">
        <w:rPr>
          <w:rFonts w:ascii="Arial" w:hAnsi="Arial" w:cs="Arial"/>
          <w:sz w:val="19"/>
          <w:szCs w:val="19"/>
        </w:rPr>
        <w:tab/>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2456EF66" w14:textId="77777777" w:rsidR="00325E4D" w:rsidRDefault="00325E4D" w:rsidP="00325E4D">
      <w:pPr>
        <w:pStyle w:val="Textonotapie"/>
        <w:ind w:firstLine="708"/>
        <w:jc w:val="both"/>
        <w:rPr>
          <w:rFonts w:ascii="Arial" w:hAnsi="Arial" w:cs="Arial"/>
          <w:sz w:val="19"/>
          <w:szCs w:val="19"/>
        </w:rPr>
      </w:pPr>
      <w:r w:rsidRPr="00B86A5C">
        <w:rPr>
          <w:rFonts w:ascii="Arial" w:hAnsi="Arial" w:cs="Arial"/>
          <w:sz w:val="19"/>
          <w:szCs w:val="19"/>
        </w:rPr>
        <w:t>»</w:t>
      </w:r>
      <w:r w:rsidRPr="00B86A5C">
        <w:rPr>
          <w:rFonts w:ascii="Arial" w:hAnsi="Arial" w:cs="Arial"/>
          <w:sz w:val="19"/>
          <w:szCs w:val="19"/>
          <w:highlight w:val="lightGray"/>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B86A5C">
        <w:rPr>
          <w:rFonts w:ascii="Arial" w:hAnsi="Arial" w:cs="Arial"/>
          <w:sz w:val="19"/>
          <w:szCs w:val="19"/>
        </w:rPr>
        <w:t xml:space="preserve">». </w:t>
      </w:r>
    </w:p>
    <w:p w14:paraId="362AD12E" w14:textId="77777777" w:rsidR="00325E4D" w:rsidRPr="00B86A5C" w:rsidRDefault="00325E4D" w:rsidP="00325E4D">
      <w:pPr>
        <w:pStyle w:val="Textonotapie"/>
        <w:ind w:firstLine="708"/>
        <w:jc w:val="both"/>
        <w:rPr>
          <w:rFonts w:ascii="Arial" w:hAnsi="Arial" w:cs="Arial"/>
          <w:sz w:val="19"/>
          <w:szCs w:val="19"/>
        </w:rPr>
      </w:pPr>
    </w:p>
  </w:footnote>
  <w:footnote w:id="14">
    <w:p w14:paraId="7449EDE4" w14:textId="77777777" w:rsidR="00455DC9" w:rsidRPr="00455DC9" w:rsidRDefault="00455DC9" w:rsidP="00455DC9">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Allí se preguntó: «¿Cuál es el alcance de la nota contenida en la Matriz No. 1- Experiencia de los Documentos Tipo para licitación de obra de infraestructura de transporte que establece: “Nota: La ejecución de actividades se pedirán según el requerimiento de cada proceso, se pueden pedir los de cada APARTE o sus combinaciones”. En virtud de esta nota, la entidad estatal puede solicitar experiencia en actividades y volúmenes de obra específicos o sólo puede exigir lo solicitado de manera explícita en la matriz referida?».</w:t>
      </w:r>
    </w:p>
    <w:p w14:paraId="53383352" w14:textId="77777777" w:rsidR="00455DC9" w:rsidRPr="00455DC9" w:rsidRDefault="00455DC9" w:rsidP="00455DC9">
      <w:pPr>
        <w:pStyle w:val="Textonotapie"/>
        <w:jc w:val="both"/>
        <w:rPr>
          <w:rFonts w:ascii="Arial" w:hAnsi="Arial" w:cs="Arial"/>
          <w:color w:val="000000"/>
          <w:sz w:val="19"/>
          <w:szCs w:val="19"/>
          <w:lang w:val="es-ES"/>
        </w:rPr>
      </w:pPr>
    </w:p>
  </w:footnote>
  <w:footnote w:id="15">
    <w:p w14:paraId="2E15B56B" w14:textId="77777777" w:rsidR="00455DC9" w:rsidRPr="00455DC9" w:rsidRDefault="00455DC9" w:rsidP="00455DC9">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En esa ocasión se preguntó: «[…] El resto de la nota ‘Se pueden pedir los de cada APARTE o sus combinaciones’. Cada APARTE es el requisito correspondiente a (GENERAL y ESPECIFICA) en 2.1 o 2.2 o 2.3? y ‘o sus combinaciones’ significa que se pueden pedir los requisitos de 2.1 y 2.2 o 2.1 y 2.3 o 2.1 y 2.2 y 2.3 al mismo tiempo?».</w:t>
      </w:r>
    </w:p>
    <w:p w14:paraId="11DDA18A" w14:textId="77777777" w:rsidR="00455DC9" w:rsidRPr="00455DC9" w:rsidRDefault="00455DC9" w:rsidP="00455DC9">
      <w:pPr>
        <w:pStyle w:val="Textonotapie"/>
        <w:ind w:firstLine="708"/>
        <w:jc w:val="both"/>
        <w:rPr>
          <w:rFonts w:ascii="Arial" w:hAnsi="Arial" w:cs="Arial"/>
          <w:color w:val="000000"/>
          <w:sz w:val="19"/>
          <w:szCs w:val="19"/>
          <w:lang w:val="es-ES"/>
        </w:rPr>
      </w:pPr>
    </w:p>
  </w:footnote>
  <w:footnote w:id="16">
    <w:p w14:paraId="7E8AF289" w14:textId="77777777" w:rsidR="00455DC9" w:rsidRPr="00455DC9" w:rsidRDefault="00455DC9" w:rsidP="00455DC9">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Allí se preguntó: «¿Un proceso de selección, cuyo objeto corresponde a la construcción de una vía urbana, pero tiene actividades de urbanismo y construcción de redes de servicios públicos, es pertinente combinar actividades dentro de la exigencia de experiencia, es decir, incluir varias experiencias conforme a las distintas actividades o debo elegir la más representativa?».</w:t>
      </w:r>
    </w:p>
    <w:p w14:paraId="338775F2" w14:textId="77777777" w:rsidR="00455DC9" w:rsidRPr="00455DC9" w:rsidRDefault="00455DC9" w:rsidP="00455DC9">
      <w:pPr>
        <w:pStyle w:val="Textonotapie"/>
        <w:ind w:firstLine="708"/>
        <w:jc w:val="both"/>
        <w:rPr>
          <w:rFonts w:ascii="Arial" w:hAnsi="Arial" w:cs="Arial"/>
          <w:color w:val="000000"/>
          <w:sz w:val="19"/>
          <w:szCs w:val="19"/>
          <w:lang w:val="es-ES"/>
        </w:rPr>
      </w:pPr>
    </w:p>
  </w:footnote>
  <w:footnote w:id="17">
    <w:p w14:paraId="6EC48846" w14:textId="77777777" w:rsidR="00455DC9" w:rsidRPr="00455DC9" w:rsidRDefault="00455DC9" w:rsidP="00455DC9">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En esa ocasión se preguntó: «Revisados los documentos de los pliegos tipo se encuentra que en la matriz de experiencia para los segmentos 1, 2, 3, 5, 6, 7 y 8 para la acreditación de experiencia, ésta indica que se puede solicitar que los contratos hayan contenido la ejecución de las actividades (según el requerimiento de cada proceso) y que se pueden pedir los de cada aparte o actividades a contratar o las combinaciones que se deriven de éstas. De lo anterior, se puede colegir entonces que,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w:t>
      </w:r>
    </w:p>
    <w:p w14:paraId="04ACCA96" w14:textId="77777777" w:rsidR="00455DC9" w:rsidRPr="00455DC9" w:rsidRDefault="00455DC9" w:rsidP="00455DC9">
      <w:pPr>
        <w:pStyle w:val="Textonotapie"/>
        <w:ind w:firstLine="708"/>
        <w:jc w:val="both"/>
        <w:rPr>
          <w:rFonts w:ascii="Arial" w:hAnsi="Arial" w:cs="Arial"/>
          <w:color w:val="000000"/>
          <w:sz w:val="19"/>
          <w:szCs w:val="19"/>
          <w:lang w:val="es-ES"/>
        </w:rPr>
      </w:pPr>
    </w:p>
  </w:footnote>
  <w:footnote w:id="18">
    <w:p w14:paraId="73E4985B" w14:textId="77777777" w:rsidR="00455DC9" w:rsidRPr="00455DC9" w:rsidRDefault="00455DC9" w:rsidP="00455DC9">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Allí se preguntó: «¿[p]</w:t>
      </w:r>
      <w:proofErr w:type="spellStart"/>
      <w:r w:rsidRPr="00455DC9">
        <w:rPr>
          <w:rFonts w:ascii="Arial" w:hAnsi="Arial" w:cs="Arial"/>
          <w:color w:val="000000"/>
          <w:sz w:val="19"/>
          <w:szCs w:val="19"/>
        </w:rPr>
        <w:t>uede</w:t>
      </w:r>
      <w:proofErr w:type="spellEnd"/>
      <w:r w:rsidRPr="00455DC9">
        <w:rPr>
          <w:rFonts w:ascii="Arial" w:hAnsi="Arial" w:cs="Arial"/>
          <w:color w:val="000000"/>
          <w:sz w:val="19"/>
          <w:szCs w:val="19"/>
        </w:rPr>
        <w:t xml:space="preserve"> una entidad pedir como requisito de experiencia actividades en la matriz 1? Según veo algunas entidades se amparan en la columna de "acreditación de experiencia" – “que haya contenido la ejecución de” – “NOTA: la ejecución de actividades se pediría según el requerimiento de cada proceso, se pueden pedir los de cada ACTIVIDADES A CONTRATAR o sus combinaciones)". Se observa que algunas entidades amparándose en lo estipulado en dicha matriz 1, piden actividades que solamente cumplen proponentes específicos. Si de poder la entidad pedir cualquier tipo de actividad, se estarían dando vía libre para que limiten los procesos a un participante en particular”».</w:t>
      </w:r>
    </w:p>
    <w:p w14:paraId="23B5E048" w14:textId="77777777" w:rsidR="00455DC9" w:rsidRPr="00455DC9" w:rsidRDefault="00455DC9" w:rsidP="00455DC9">
      <w:pPr>
        <w:pStyle w:val="Textonotapie"/>
        <w:ind w:firstLine="708"/>
        <w:jc w:val="both"/>
        <w:rPr>
          <w:rFonts w:ascii="Arial" w:hAnsi="Arial" w:cs="Arial"/>
          <w:color w:val="000000"/>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EDD3" w14:textId="77777777" w:rsidR="00146156" w:rsidRDefault="00146156" w:rsidP="00146156">
    <w:pPr>
      <w:pStyle w:val="Encabezado"/>
    </w:pPr>
  </w:p>
  <w:p w14:paraId="71F865DC" w14:textId="6EA98C7F" w:rsidR="00146156" w:rsidRDefault="00146156" w:rsidP="00146156">
    <w:pPr>
      <w:pStyle w:val="Encabezado"/>
    </w:pPr>
    <w:r>
      <w:rPr>
        <w:noProof/>
        <w:lang w:val="en-US"/>
      </w:rPr>
      <w:drawing>
        <wp:anchor distT="0" distB="0" distL="114300" distR="114300" simplePos="0" relativeHeight="251659776" behindDoc="1" locked="0" layoutInCell="1" allowOverlap="1" wp14:anchorId="06528C34" wp14:editId="09B48A37">
          <wp:simplePos x="0" y="0"/>
          <wp:positionH relativeFrom="column">
            <wp:posOffset>4753610</wp:posOffset>
          </wp:positionH>
          <wp:positionV relativeFrom="paragraph">
            <wp:posOffset>114300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7FD6B3" w14:textId="77777777" w:rsidR="00146156" w:rsidRDefault="00146156" w:rsidP="00146156">
    <w:pPr>
      <w:pStyle w:val="Encabezado"/>
    </w:pPr>
  </w:p>
  <w:p w14:paraId="6168A36E" w14:textId="77777777" w:rsidR="00146156" w:rsidRDefault="00146156" w:rsidP="00146156">
    <w:pPr>
      <w:pStyle w:val="Encabezado"/>
    </w:pPr>
  </w:p>
  <w:p w14:paraId="1457B436" w14:textId="77777777" w:rsidR="009D1F74" w:rsidRDefault="009D1F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241" w:hanging="360"/>
      </w:pPr>
      <w:rPr>
        <w:b/>
        <w:color w:val="auto"/>
      </w:rPr>
    </w:lvl>
    <w:lvl w:ilvl="1">
      <w:start w:val="2"/>
      <w:numFmt w:val="decimal"/>
      <w:isLgl/>
      <w:lvlText w:val="%1.%2"/>
      <w:lvlJc w:val="left"/>
      <w:pPr>
        <w:ind w:left="5881" w:hanging="360"/>
      </w:pPr>
    </w:lvl>
    <w:lvl w:ilvl="2">
      <w:start w:val="1"/>
      <w:numFmt w:val="decimal"/>
      <w:isLgl/>
      <w:lvlText w:val="%1.%2.%3"/>
      <w:lvlJc w:val="left"/>
      <w:pPr>
        <w:ind w:left="6601" w:hanging="720"/>
      </w:pPr>
    </w:lvl>
    <w:lvl w:ilvl="3">
      <w:start w:val="1"/>
      <w:numFmt w:val="decimal"/>
      <w:isLgl/>
      <w:lvlText w:val="%1.%2.%3.%4"/>
      <w:lvlJc w:val="left"/>
      <w:pPr>
        <w:ind w:left="6601" w:hanging="720"/>
      </w:pPr>
    </w:lvl>
    <w:lvl w:ilvl="4">
      <w:start w:val="1"/>
      <w:numFmt w:val="decimal"/>
      <w:isLgl/>
      <w:lvlText w:val="%1.%2.%3.%4.%5"/>
      <w:lvlJc w:val="left"/>
      <w:pPr>
        <w:ind w:left="6961" w:hanging="1080"/>
      </w:pPr>
    </w:lvl>
    <w:lvl w:ilvl="5">
      <w:start w:val="1"/>
      <w:numFmt w:val="decimal"/>
      <w:isLgl/>
      <w:lvlText w:val="%1.%2.%3.%4.%5.%6"/>
      <w:lvlJc w:val="left"/>
      <w:pPr>
        <w:ind w:left="6961" w:hanging="1080"/>
      </w:pPr>
    </w:lvl>
    <w:lvl w:ilvl="6">
      <w:start w:val="1"/>
      <w:numFmt w:val="decimal"/>
      <w:isLgl/>
      <w:lvlText w:val="%1.%2.%3.%4.%5.%6.%7"/>
      <w:lvlJc w:val="left"/>
      <w:pPr>
        <w:ind w:left="7321" w:hanging="1440"/>
      </w:pPr>
    </w:lvl>
    <w:lvl w:ilvl="7">
      <w:start w:val="1"/>
      <w:numFmt w:val="decimal"/>
      <w:isLgl/>
      <w:lvlText w:val="%1.%2.%3.%4.%5.%6.%7.%8"/>
      <w:lvlJc w:val="left"/>
      <w:pPr>
        <w:ind w:left="7321" w:hanging="1440"/>
      </w:pPr>
    </w:lvl>
    <w:lvl w:ilvl="8">
      <w:start w:val="1"/>
      <w:numFmt w:val="decimal"/>
      <w:isLgl/>
      <w:lvlText w:val="%1.%2.%3.%4.%5.%6.%7.%8.%9"/>
      <w:lvlJc w:val="left"/>
      <w:pPr>
        <w:ind w:left="7681" w:hanging="1800"/>
      </w:pPr>
    </w:lvl>
  </w:abstractNum>
  <w:abstractNum w:abstractNumId="1" w15:restartNumberingAfterBreak="0">
    <w:nsid w:val="5A0C4E2E"/>
    <w:multiLevelType w:val="hybridMultilevel"/>
    <w:tmpl w:val="B7666588"/>
    <w:lvl w:ilvl="0" w:tplc="C8DE6E8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7FA77192"/>
    <w:multiLevelType w:val="hybridMultilevel"/>
    <w:tmpl w:val="356E03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12"/>
    <w:rsid w:val="0000026C"/>
    <w:rsid w:val="000002B7"/>
    <w:rsid w:val="00036B56"/>
    <w:rsid w:val="00054D2B"/>
    <w:rsid w:val="0006447D"/>
    <w:rsid w:val="000810A1"/>
    <w:rsid w:val="000B4D44"/>
    <w:rsid w:val="000B5840"/>
    <w:rsid w:val="00110F0A"/>
    <w:rsid w:val="00112069"/>
    <w:rsid w:val="001175DA"/>
    <w:rsid w:val="00123FAE"/>
    <w:rsid w:val="001426E9"/>
    <w:rsid w:val="00146156"/>
    <w:rsid w:val="0016016F"/>
    <w:rsid w:val="00165A36"/>
    <w:rsid w:val="00177B0A"/>
    <w:rsid w:val="001852B2"/>
    <w:rsid w:val="00192926"/>
    <w:rsid w:val="00195A38"/>
    <w:rsid w:val="001A425D"/>
    <w:rsid w:val="001B4C74"/>
    <w:rsid w:val="001C57B7"/>
    <w:rsid w:val="001D267C"/>
    <w:rsid w:val="001D42A2"/>
    <w:rsid w:val="001F2548"/>
    <w:rsid w:val="0020741B"/>
    <w:rsid w:val="0021776D"/>
    <w:rsid w:val="00230B29"/>
    <w:rsid w:val="002430E1"/>
    <w:rsid w:val="002539AB"/>
    <w:rsid w:val="00253D26"/>
    <w:rsid w:val="0027706B"/>
    <w:rsid w:val="002812CC"/>
    <w:rsid w:val="002A0D70"/>
    <w:rsid w:val="002A49DA"/>
    <w:rsid w:val="002A6137"/>
    <w:rsid w:val="002C3FEC"/>
    <w:rsid w:val="002D1858"/>
    <w:rsid w:val="002D3ACF"/>
    <w:rsid w:val="002D56B4"/>
    <w:rsid w:val="002E6E05"/>
    <w:rsid w:val="00312C2C"/>
    <w:rsid w:val="003255AD"/>
    <w:rsid w:val="00325E4D"/>
    <w:rsid w:val="003321F9"/>
    <w:rsid w:val="0034733B"/>
    <w:rsid w:val="003500FE"/>
    <w:rsid w:val="003622D8"/>
    <w:rsid w:val="00393356"/>
    <w:rsid w:val="003B32EA"/>
    <w:rsid w:val="003C75CE"/>
    <w:rsid w:val="003E002C"/>
    <w:rsid w:val="003F1149"/>
    <w:rsid w:val="003F13ED"/>
    <w:rsid w:val="00411E0D"/>
    <w:rsid w:val="0042354E"/>
    <w:rsid w:val="00435767"/>
    <w:rsid w:val="00436D2F"/>
    <w:rsid w:val="00452EE7"/>
    <w:rsid w:val="00455DC9"/>
    <w:rsid w:val="00483796"/>
    <w:rsid w:val="004853B8"/>
    <w:rsid w:val="0049674A"/>
    <w:rsid w:val="004A064E"/>
    <w:rsid w:val="004A22C5"/>
    <w:rsid w:val="004C2569"/>
    <w:rsid w:val="004C332B"/>
    <w:rsid w:val="00515F3D"/>
    <w:rsid w:val="0055101F"/>
    <w:rsid w:val="00551914"/>
    <w:rsid w:val="00551F4A"/>
    <w:rsid w:val="005614ED"/>
    <w:rsid w:val="0056577E"/>
    <w:rsid w:val="005A4912"/>
    <w:rsid w:val="005B43E8"/>
    <w:rsid w:val="005E7BB2"/>
    <w:rsid w:val="005F3A02"/>
    <w:rsid w:val="00601F06"/>
    <w:rsid w:val="0060575A"/>
    <w:rsid w:val="0063541B"/>
    <w:rsid w:val="00657E00"/>
    <w:rsid w:val="0066416F"/>
    <w:rsid w:val="00672697"/>
    <w:rsid w:val="00687878"/>
    <w:rsid w:val="006B1584"/>
    <w:rsid w:val="006F5D6D"/>
    <w:rsid w:val="0071577B"/>
    <w:rsid w:val="00747F4B"/>
    <w:rsid w:val="00755936"/>
    <w:rsid w:val="00755FEA"/>
    <w:rsid w:val="007672C6"/>
    <w:rsid w:val="00772FF0"/>
    <w:rsid w:val="00792508"/>
    <w:rsid w:val="007A0959"/>
    <w:rsid w:val="007A6505"/>
    <w:rsid w:val="007C061E"/>
    <w:rsid w:val="007C0720"/>
    <w:rsid w:val="007C6077"/>
    <w:rsid w:val="007C6130"/>
    <w:rsid w:val="00806859"/>
    <w:rsid w:val="008074B8"/>
    <w:rsid w:val="00822ED6"/>
    <w:rsid w:val="00837F63"/>
    <w:rsid w:val="00840EC8"/>
    <w:rsid w:val="00843371"/>
    <w:rsid w:val="00845031"/>
    <w:rsid w:val="00894883"/>
    <w:rsid w:val="008B6425"/>
    <w:rsid w:val="008D116A"/>
    <w:rsid w:val="008D663D"/>
    <w:rsid w:val="00905323"/>
    <w:rsid w:val="00912C92"/>
    <w:rsid w:val="00914BBB"/>
    <w:rsid w:val="00920A92"/>
    <w:rsid w:val="009274F3"/>
    <w:rsid w:val="00954D90"/>
    <w:rsid w:val="00955B43"/>
    <w:rsid w:val="00957A35"/>
    <w:rsid w:val="00963EE4"/>
    <w:rsid w:val="009675A7"/>
    <w:rsid w:val="0097608D"/>
    <w:rsid w:val="00980F7A"/>
    <w:rsid w:val="00983D80"/>
    <w:rsid w:val="00984FCC"/>
    <w:rsid w:val="009A6C2B"/>
    <w:rsid w:val="009B66A6"/>
    <w:rsid w:val="009C3187"/>
    <w:rsid w:val="009D0BD2"/>
    <w:rsid w:val="009D1F74"/>
    <w:rsid w:val="009E474D"/>
    <w:rsid w:val="00A07FF2"/>
    <w:rsid w:val="00A1218D"/>
    <w:rsid w:val="00A317A2"/>
    <w:rsid w:val="00A45814"/>
    <w:rsid w:val="00A47577"/>
    <w:rsid w:val="00A57ED8"/>
    <w:rsid w:val="00A953D4"/>
    <w:rsid w:val="00A96776"/>
    <w:rsid w:val="00A96B4A"/>
    <w:rsid w:val="00AB4338"/>
    <w:rsid w:val="00AC524D"/>
    <w:rsid w:val="00AC7E58"/>
    <w:rsid w:val="00AE4600"/>
    <w:rsid w:val="00AF5124"/>
    <w:rsid w:val="00AF787F"/>
    <w:rsid w:val="00B06893"/>
    <w:rsid w:val="00B25B99"/>
    <w:rsid w:val="00B27947"/>
    <w:rsid w:val="00B426CA"/>
    <w:rsid w:val="00B64F6C"/>
    <w:rsid w:val="00B667FF"/>
    <w:rsid w:val="00B83754"/>
    <w:rsid w:val="00BA38ED"/>
    <w:rsid w:val="00BB1D3E"/>
    <w:rsid w:val="00BC1BE8"/>
    <w:rsid w:val="00BC6CD4"/>
    <w:rsid w:val="00BD316B"/>
    <w:rsid w:val="00BF1842"/>
    <w:rsid w:val="00C0426A"/>
    <w:rsid w:val="00C145A1"/>
    <w:rsid w:val="00C23490"/>
    <w:rsid w:val="00C313A2"/>
    <w:rsid w:val="00C54615"/>
    <w:rsid w:val="00C5616F"/>
    <w:rsid w:val="00CA7A63"/>
    <w:rsid w:val="00CC3AD4"/>
    <w:rsid w:val="00CD6CB7"/>
    <w:rsid w:val="00CE3AFC"/>
    <w:rsid w:val="00CF530B"/>
    <w:rsid w:val="00D03E11"/>
    <w:rsid w:val="00D35D83"/>
    <w:rsid w:val="00D5450B"/>
    <w:rsid w:val="00D60126"/>
    <w:rsid w:val="00D90303"/>
    <w:rsid w:val="00DD426F"/>
    <w:rsid w:val="00E17DFA"/>
    <w:rsid w:val="00E20C90"/>
    <w:rsid w:val="00E336DD"/>
    <w:rsid w:val="00E42846"/>
    <w:rsid w:val="00E514B3"/>
    <w:rsid w:val="00E544CF"/>
    <w:rsid w:val="00E76CAB"/>
    <w:rsid w:val="00E87850"/>
    <w:rsid w:val="00EA65D2"/>
    <w:rsid w:val="00EB3CFF"/>
    <w:rsid w:val="00ED407B"/>
    <w:rsid w:val="00ED5A37"/>
    <w:rsid w:val="00ED5B05"/>
    <w:rsid w:val="00EE340C"/>
    <w:rsid w:val="00EF09BD"/>
    <w:rsid w:val="00F03692"/>
    <w:rsid w:val="00F20E6C"/>
    <w:rsid w:val="00F22129"/>
    <w:rsid w:val="00F23F9A"/>
    <w:rsid w:val="00F273ED"/>
    <w:rsid w:val="00F33B91"/>
    <w:rsid w:val="00F37112"/>
    <w:rsid w:val="00F42655"/>
    <w:rsid w:val="00F42BB2"/>
    <w:rsid w:val="00F4683E"/>
    <w:rsid w:val="00F46BD3"/>
    <w:rsid w:val="00F511AC"/>
    <w:rsid w:val="00F65AFE"/>
    <w:rsid w:val="00F745C1"/>
    <w:rsid w:val="00F7704C"/>
    <w:rsid w:val="00F91557"/>
    <w:rsid w:val="00F938B9"/>
    <w:rsid w:val="00F95F3B"/>
    <w:rsid w:val="00FC04EE"/>
    <w:rsid w:val="00FC7E05"/>
    <w:rsid w:val="00FD58F2"/>
    <w:rsid w:val="00FF18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398B"/>
  <w15:chartTrackingRefBased/>
  <w15:docId w15:val="{4AE3DA79-2842-4262-9EE7-19DDC3B9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3711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37112"/>
    <w:pPr>
      <w:spacing w:after="0" w:line="240" w:lineRule="auto"/>
    </w:pPr>
    <w:rPr>
      <w:sz w:val="20"/>
      <w:szCs w:val="20"/>
      <w:lang w:val="es-MX"/>
    </w:rPr>
  </w:style>
  <w:style w:type="character" w:customStyle="1" w:styleId="TextonotapieCar1">
    <w:name w:val="Texto nota pie Car1"/>
    <w:basedOn w:val="Fuentedeprrafopredeter"/>
    <w:uiPriority w:val="99"/>
    <w:semiHidden/>
    <w:rsid w:val="00F3711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F37112"/>
    <w:rPr>
      <w:vertAlign w:val="superscript"/>
    </w:rPr>
  </w:style>
  <w:style w:type="paragraph" w:customStyle="1" w:styleId="Appelnotedebasde">
    <w:name w:val="Appel note de bas de..."/>
    <w:basedOn w:val="Normal"/>
    <w:link w:val="Refdenotaalpie"/>
    <w:uiPriority w:val="99"/>
    <w:rsid w:val="00F37112"/>
    <w:pPr>
      <w:spacing w:line="240" w:lineRule="exact"/>
    </w:pPr>
    <w:rPr>
      <w:vertAlign w:val="superscript"/>
    </w:rPr>
  </w:style>
  <w:style w:type="character" w:styleId="Textoennegrita">
    <w:name w:val="Strong"/>
    <w:basedOn w:val="Fuentedeprrafopredeter"/>
    <w:uiPriority w:val="22"/>
    <w:qFormat/>
    <w:rsid w:val="00455DC9"/>
    <w:rPr>
      <w:b/>
      <w:bCs/>
    </w:rPr>
  </w:style>
  <w:style w:type="character" w:styleId="nfasis">
    <w:name w:val="Emphasis"/>
    <w:basedOn w:val="Fuentedeprrafopredeter"/>
    <w:uiPriority w:val="20"/>
    <w:qFormat/>
    <w:rsid w:val="00455DC9"/>
    <w:rPr>
      <w:i/>
      <w:iCs/>
    </w:rPr>
  </w:style>
  <w:style w:type="table" w:styleId="Tablaconcuadrcula">
    <w:name w:val="Table Grid"/>
    <w:basedOn w:val="Tablanormal"/>
    <w:uiPriority w:val="59"/>
    <w:rsid w:val="0045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55D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455DC9"/>
    <w:rPr>
      <w:rFonts w:ascii="Times New Roman" w:eastAsia="Times New Roman" w:hAnsi="Times New Roman" w:cs="Times New Roman"/>
      <w:sz w:val="24"/>
      <w:szCs w:val="24"/>
      <w:lang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BF1842"/>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F1842"/>
    <w:rPr>
      <w:sz w:val="24"/>
      <w:lang w:val="es-MX"/>
    </w:rPr>
  </w:style>
  <w:style w:type="paragraph" w:styleId="Encabezado">
    <w:name w:val="header"/>
    <w:basedOn w:val="Normal"/>
    <w:link w:val="EncabezadoCar"/>
    <w:uiPriority w:val="99"/>
    <w:unhideWhenUsed/>
    <w:rsid w:val="009D1F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F74"/>
  </w:style>
  <w:style w:type="paragraph" w:styleId="Piedepgina">
    <w:name w:val="footer"/>
    <w:basedOn w:val="Normal"/>
    <w:link w:val="PiedepginaCar"/>
    <w:uiPriority w:val="99"/>
    <w:unhideWhenUsed/>
    <w:rsid w:val="009D1F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F74"/>
  </w:style>
  <w:style w:type="paragraph" w:styleId="Sinespaciado">
    <w:name w:val="No Spacing"/>
    <w:uiPriority w:val="1"/>
    <w:qFormat/>
    <w:rsid w:val="009D1F74"/>
    <w:pPr>
      <w:spacing w:after="0" w:line="240" w:lineRule="auto"/>
    </w:pPr>
    <w:rPr>
      <w:sz w:val="24"/>
      <w:lang w:val="es-MX"/>
    </w:rPr>
  </w:style>
  <w:style w:type="character" w:styleId="Refdecomentario">
    <w:name w:val="annotation reference"/>
    <w:basedOn w:val="Fuentedeprrafopredeter"/>
    <w:uiPriority w:val="99"/>
    <w:semiHidden/>
    <w:unhideWhenUsed/>
    <w:rsid w:val="002A0D70"/>
    <w:rPr>
      <w:sz w:val="16"/>
      <w:szCs w:val="16"/>
    </w:rPr>
  </w:style>
  <w:style w:type="paragraph" w:styleId="Textocomentario">
    <w:name w:val="annotation text"/>
    <w:basedOn w:val="Normal"/>
    <w:link w:val="TextocomentarioCar"/>
    <w:uiPriority w:val="99"/>
    <w:unhideWhenUsed/>
    <w:rsid w:val="002A0D70"/>
    <w:pPr>
      <w:spacing w:line="240" w:lineRule="auto"/>
    </w:pPr>
    <w:rPr>
      <w:sz w:val="20"/>
      <w:szCs w:val="20"/>
    </w:rPr>
  </w:style>
  <w:style w:type="character" w:customStyle="1" w:styleId="TextocomentarioCar">
    <w:name w:val="Texto comentario Car"/>
    <w:basedOn w:val="Fuentedeprrafopredeter"/>
    <w:link w:val="Textocomentario"/>
    <w:uiPriority w:val="99"/>
    <w:rsid w:val="002A0D70"/>
    <w:rPr>
      <w:sz w:val="20"/>
      <w:szCs w:val="20"/>
    </w:rPr>
  </w:style>
  <w:style w:type="paragraph" w:styleId="Asuntodelcomentario">
    <w:name w:val="annotation subject"/>
    <w:basedOn w:val="Textocomentario"/>
    <w:next w:val="Textocomentario"/>
    <w:link w:val="AsuntodelcomentarioCar"/>
    <w:uiPriority w:val="99"/>
    <w:semiHidden/>
    <w:unhideWhenUsed/>
    <w:rsid w:val="002A0D70"/>
    <w:rPr>
      <w:b/>
      <w:bCs/>
    </w:rPr>
  </w:style>
  <w:style w:type="character" w:customStyle="1" w:styleId="AsuntodelcomentarioCar">
    <w:name w:val="Asunto del comentario Car"/>
    <w:basedOn w:val="TextocomentarioCar"/>
    <w:link w:val="Asuntodelcomentario"/>
    <w:uiPriority w:val="99"/>
    <w:semiHidden/>
    <w:rsid w:val="002A0D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54">
      <w:bodyDiv w:val="1"/>
      <w:marLeft w:val="0"/>
      <w:marRight w:val="0"/>
      <w:marTop w:val="0"/>
      <w:marBottom w:val="0"/>
      <w:divBdr>
        <w:top w:val="none" w:sz="0" w:space="0" w:color="auto"/>
        <w:left w:val="none" w:sz="0" w:space="0" w:color="auto"/>
        <w:bottom w:val="none" w:sz="0" w:space="0" w:color="auto"/>
        <w:right w:val="none" w:sz="0" w:space="0" w:color="auto"/>
      </w:divBdr>
    </w:div>
    <w:div w:id="8607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28C39-36E5-4DD2-BC1D-D3658A9C7A1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DF1DB52-3CE9-4E42-AE92-F6BB56CCC9AA}">
  <ds:schemaRefs>
    <ds:schemaRef ds:uri="http://schemas.microsoft.com/sharepoint/v3/contenttype/forms"/>
  </ds:schemaRefs>
</ds:datastoreItem>
</file>

<file path=customXml/itemProps3.xml><?xml version="1.0" encoding="utf-8"?>
<ds:datastoreItem xmlns:ds="http://schemas.openxmlformats.org/officeDocument/2006/customXml" ds:itemID="{BDFBE3BD-93FA-4909-843C-AB9B5DE5C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7826</Words>
  <Characters>43046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Cindy Natalia Sierra Benítez</cp:lastModifiedBy>
  <cp:revision>3</cp:revision>
  <dcterms:created xsi:type="dcterms:W3CDTF">2021-06-03T13:07:00Z</dcterms:created>
  <dcterms:modified xsi:type="dcterms:W3CDTF">2021-06-04T14:19:00Z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