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5DE37" w14:textId="77777777" w:rsidR="00D30D54" w:rsidRPr="004B27AF" w:rsidRDefault="00D30D54" w:rsidP="00D30D54">
      <w:pPr>
        <w:jc w:val="right"/>
        <w:rPr>
          <w:rFonts w:ascii="Arial" w:hAnsi="Arial" w:cs="Arial"/>
          <w:b/>
          <w:color w:val="000000" w:themeColor="text1"/>
          <w:sz w:val="16"/>
          <w:szCs w:val="16"/>
          <w:lang w:eastAsia="es-ES"/>
        </w:rPr>
      </w:pPr>
      <w:r w:rsidRPr="004B27AF">
        <w:rPr>
          <w:rFonts w:ascii="Arial" w:hAnsi="Arial" w:cs="Arial"/>
          <w:b/>
          <w:color w:val="000000" w:themeColor="text1"/>
          <w:sz w:val="16"/>
          <w:szCs w:val="16"/>
          <w:lang w:eastAsia="es-ES"/>
        </w:rPr>
        <w:t>CCE-DES-FM-17</w:t>
      </w:r>
    </w:p>
    <w:p w14:paraId="7ACAB75F" w14:textId="77777777" w:rsidR="00D30D54" w:rsidRPr="00EE7ADB" w:rsidRDefault="00D30D54" w:rsidP="00D30D54">
      <w:pPr>
        <w:pStyle w:val="Textoindependiente"/>
        <w:spacing w:before="3"/>
        <w:rPr>
          <w:sz w:val="16"/>
        </w:rPr>
      </w:pPr>
    </w:p>
    <w:p w14:paraId="4DE9BE15" w14:textId="77777777" w:rsidR="00D30D54" w:rsidRPr="00B8408D" w:rsidRDefault="00D30D54" w:rsidP="00D30D54">
      <w:pPr>
        <w:jc w:val="both"/>
        <w:rPr>
          <w:rFonts w:ascii="Arial" w:eastAsia="Calibri" w:hAnsi="Arial" w:cs="Arial"/>
          <w:b/>
          <w:bCs/>
          <w:sz w:val="22"/>
          <w:szCs w:val="22"/>
        </w:rPr>
      </w:pPr>
      <w:r w:rsidRPr="00B8408D">
        <w:rPr>
          <w:rFonts w:ascii="Arial" w:eastAsia="Calibri" w:hAnsi="Arial" w:cs="Arial"/>
          <w:b/>
          <w:bCs/>
          <w:sz w:val="22"/>
          <w:szCs w:val="22"/>
        </w:rPr>
        <w:t xml:space="preserve">TRATADOS COMERCIALES – Fuentes – Aplicabilidad </w:t>
      </w:r>
    </w:p>
    <w:p w14:paraId="1B2E0E2A" w14:textId="77777777" w:rsidR="00D30D54" w:rsidRPr="00B8408D" w:rsidRDefault="00D30D54" w:rsidP="00D30D54">
      <w:pPr>
        <w:jc w:val="both"/>
        <w:rPr>
          <w:rFonts w:ascii="Arial" w:eastAsia="Calibri" w:hAnsi="Arial" w:cs="Arial"/>
          <w:bCs/>
          <w:sz w:val="22"/>
          <w:szCs w:val="22"/>
        </w:rPr>
      </w:pPr>
    </w:p>
    <w:p w14:paraId="50E20F43" w14:textId="77777777" w:rsidR="00D30D54" w:rsidRPr="00B8408D" w:rsidRDefault="00D30D54" w:rsidP="00D30D54">
      <w:pPr>
        <w:pStyle w:val="Textoindependiente"/>
        <w:spacing w:before="111"/>
        <w:jc w:val="both"/>
      </w:pPr>
      <w:r w:rsidRPr="00B8408D">
        <w:t xml:space="preserve">Los tratados bilaterales de comercio con capítulos sobre contratación pública son hoy </w:t>
      </w:r>
      <w:r w:rsidRPr="00B8408D">
        <w:rPr>
          <w:spacing w:val="7"/>
        </w:rPr>
        <w:t xml:space="preserve"> </w:t>
      </w:r>
      <w:r w:rsidRPr="00B8408D">
        <w:t xml:space="preserve">en </w:t>
      </w:r>
      <w:r w:rsidRPr="00B8408D">
        <w:rPr>
          <w:spacing w:val="13"/>
        </w:rPr>
        <w:t xml:space="preserve"> </w:t>
      </w:r>
      <w:r w:rsidRPr="00B8408D">
        <w:t xml:space="preserve">día </w:t>
      </w:r>
      <w:r w:rsidRPr="00B8408D">
        <w:rPr>
          <w:spacing w:val="10"/>
        </w:rPr>
        <w:t xml:space="preserve"> </w:t>
      </w:r>
      <w:r w:rsidRPr="00B8408D">
        <w:t xml:space="preserve">una </w:t>
      </w:r>
      <w:r w:rsidRPr="00B8408D">
        <w:rPr>
          <w:spacing w:val="13"/>
        </w:rPr>
        <w:t xml:space="preserve"> </w:t>
      </w:r>
      <w:r w:rsidRPr="00B8408D">
        <w:t xml:space="preserve">realidad </w:t>
      </w:r>
      <w:r w:rsidRPr="00B8408D">
        <w:rPr>
          <w:spacing w:val="9"/>
        </w:rPr>
        <w:t xml:space="preserve"> </w:t>
      </w:r>
      <w:r w:rsidRPr="00B8408D">
        <w:t xml:space="preserve">en </w:t>
      </w:r>
      <w:r w:rsidRPr="00B8408D">
        <w:rPr>
          <w:spacing w:val="10"/>
        </w:rPr>
        <w:t xml:space="preserve"> </w:t>
      </w:r>
      <w:r w:rsidRPr="00B8408D">
        <w:t xml:space="preserve">el </w:t>
      </w:r>
      <w:r w:rsidRPr="00B8408D">
        <w:rPr>
          <w:spacing w:val="11"/>
        </w:rPr>
        <w:t xml:space="preserve"> </w:t>
      </w:r>
      <w:r w:rsidRPr="00B8408D">
        <w:t xml:space="preserve">ordenamiento </w:t>
      </w:r>
      <w:r w:rsidRPr="00B8408D">
        <w:rPr>
          <w:spacing w:val="10"/>
        </w:rPr>
        <w:t xml:space="preserve"> </w:t>
      </w:r>
      <w:r w:rsidRPr="00B8408D">
        <w:t xml:space="preserve">jurídico </w:t>
      </w:r>
      <w:r w:rsidRPr="00B8408D">
        <w:rPr>
          <w:spacing w:val="9"/>
        </w:rPr>
        <w:t xml:space="preserve"> </w:t>
      </w:r>
      <w:r w:rsidRPr="00B8408D">
        <w:t xml:space="preserve">colombiano </w:t>
      </w:r>
      <w:r w:rsidRPr="00B8408D">
        <w:rPr>
          <w:spacing w:val="10"/>
        </w:rPr>
        <w:t xml:space="preserve"> </w:t>
      </w:r>
      <w:r w:rsidRPr="00B8408D">
        <w:t xml:space="preserve">y </w:t>
      </w:r>
      <w:r w:rsidRPr="00B8408D">
        <w:rPr>
          <w:spacing w:val="8"/>
        </w:rPr>
        <w:t xml:space="preserve"> </w:t>
      </w:r>
      <w:r w:rsidRPr="00B8408D">
        <w:t xml:space="preserve">las </w:t>
      </w:r>
      <w:r w:rsidRPr="00B8408D">
        <w:rPr>
          <w:spacing w:val="10"/>
        </w:rPr>
        <w:t xml:space="preserve"> </w:t>
      </w:r>
      <w:r w:rsidRPr="00B8408D">
        <w:t xml:space="preserve">normas </w:t>
      </w:r>
      <w:r w:rsidRPr="00B8408D">
        <w:rPr>
          <w:spacing w:val="10"/>
        </w:rPr>
        <w:t xml:space="preserve"> </w:t>
      </w:r>
      <w:r w:rsidRPr="00B8408D">
        <w:t>de contratación nacionales, como el Estatuto General de Contratación, deben aplicarse en la práctica con la debida observancia de las obligaciones internacionales del Estado, so pena de responsabilidad por incumplimiento de las mismas.</w:t>
      </w:r>
    </w:p>
    <w:p w14:paraId="0B706B6A" w14:textId="77777777" w:rsidR="00D30D54" w:rsidRPr="00B8408D" w:rsidRDefault="00D30D54" w:rsidP="00D30D54">
      <w:pPr>
        <w:jc w:val="both"/>
        <w:rPr>
          <w:rFonts w:ascii="Arial" w:eastAsia="Calibri" w:hAnsi="Arial" w:cs="Arial"/>
          <w:bCs/>
          <w:sz w:val="22"/>
          <w:szCs w:val="22"/>
        </w:rPr>
      </w:pPr>
    </w:p>
    <w:p w14:paraId="72D56E76" w14:textId="77777777" w:rsidR="00D30D54" w:rsidRPr="00B8408D" w:rsidRDefault="00D30D54" w:rsidP="00D30D54">
      <w:pPr>
        <w:jc w:val="both"/>
        <w:rPr>
          <w:rFonts w:ascii="Arial" w:eastAsia="Calibri" w:hAnsi="Arial" w:cs="Arial"/>
          <w:b/>
          <w:bCs/>
          <w:sz w:val="22"/>
          <w:szCs w:val="22"/>
        </w:rPr>
      </w:pPr>
      <w:r w:rsidRPr="00B8408D">
        <w:rPr>
          <w:rFonts w:ascii="Arial" w:eastAsia="Calibri" w:hAnsi="Arial" w:cs="Arial"/>
          <w:b/>
          <w:bCs/>
          <w:sz w:val="22"/>
          <w:szCs w:val="22"/>
        </w:rPr>
        <w:t xml:space="preserve">TRATADOS COMERCIALES – CONTRATACIÓN PÚBLICA CUBIERTA – Noción </w:t>
      </w:r>
    </w:p>
    <w:p w14:paraId="00FBA479" w14:textId="77777777" w:rsidR="00D30D54" w:rsidRPr="00B8408D" w:rsidRDefault="00D30D54" w:rsidP="00D30D54">
      <w:pPr>
        <w:jc w:val="both"/>
        <w:rPr>
          <w:rFonts w:ascii="Arial" w:hAnsi="Arial" w:cs="Arial"/>
          <w:noProof/>
          <w:sz w:val="22"/>
          <w:szCs w:val="22"/>
          <w:lang w:val="es-ES_tradnl"/>
        </w:rPr>
      </w:pPr>
    </w:p>
    <w:p w14:paraId="50E17652" w14:textId="77777777" w:rsidR="00D30D54" w:rsidRPr="00B8408D" w:rsidRDefault="00D30D54" w:rsidP="00D30D54">
      <w:pPr>
        <w:jc w:val="both"/>
        <w:rPr>
          <w:rFonts w:ascii="Arial" w:eastAsia="Calibri" w:hAnsi="Arial" w:cs="Arial"/>
          <w:bCs/>
          <w:sz w:val="22"/>
          <w:szCs w:val="22"/>
          <w:lang w:val="es-ES_tradnl"/>
        </w:rPr>
      </w:pPr>
      <w:r w:rsidRPr="00B8408D">
        <w:rPr>
          <w:rFonts w:ascii="Arial" w:eastAsia="Calibri" w:hAnsi="Arial" w:cs="Arial"/>
          <w:bCs/>
          <w:sz w:val="22"/>
          <w:szCs w:val="22"/>
          <w:lang w:val="es-ES_tradnl"/>
        </w:rPr>
        <w:t xml:space="preserve">Uno de los aspectos que presenta mayor complejidad a nivel internacional en materia de contratación pública se refiere al concepto de contratación pública cubierta. Esto es, las transacciones que se entienden comprendidas dentro del acuerdo, y a las cuales deben, en consecuencia, aplicarse los estándares de protección acordados. Para poder determinar qué es contratación cubierta es necesario revisar el instrumento normativo preciso cuya protección se invoca – el tratado – y determinar si la transacción que se alega como cubierta lo está o no. </w:t>
      </w:r>
    </w:p>
    <w:p w14:paraId="748502C0" w14:textId="77777777" w:rsidR="00D30D54" w:rsidRPr="00B8408D" w:rsidRDefault="00D30D54" w:rsidP="00D30D54">
      <w:pPr>
        <w:jc w:val="both"/>
        <w:rPr>
          <w:rFonts w:ascii="Arial" w:eastAsia="Calibri" w:hAnsi="Arial" w:cs="Arial"/>
          <w:bCs/>
          <w:sz w:val="22"/>
          <w:szCs w:val="22"/>
          <w:lang w:val="es-ES_tradnl"/>
        </w:rPr>
      </w:pPr>
    </w:p>
    <w:p w14:paraId="2DC778B0" w14:textId="77777777" w:rsidR="00D30D54" w:rsidRDefault="00D30D54" w:rsidP="00D30D54">
      <w:pPr>
        <w:jc w:val="both"/>
        <w:rPr>
          <w:rFonts w:ascii="Arial" w:eastAsia="Calibri" w:hAnsi="Arial" w:cs="Arial"/>
          <w:b/>
          <w:sz w:val="22"/>
          <w:szCs w:val="22"/>
        </w:rPr>
      </w:pPr>
      <w:r w:rsidRPr="00B8408D">
        <w:rPr>
          <w:rFonts w:ascii="Arial" w:hAnsi="Arial" w:cs="Arial"/>
          <w:b/>
          <w:bCs/>
          <w:sz w:val="22"/>
          <w:szCs w:val="22"/>
        </w:rPr>
        <w:t xml:space="preserve">TRATADOS COMERCIALES – Contratación pública cubierta – Manual </w:t>
      </w:r>
    </w:p>
    <w:p w14:paraId="586DB201" w14:textId="77777777" w:rsidR="00D30D54" w:rsidRDefault="00D30D54" w:rsidP="00D30D54">
      <w:pPr>
        <w:jc w:val="both"/>
        <w:rPr>
          <w:rFonts w:ascii="Arial" w:eastAsia="Calibri" w:hAnsi="Arial" w:cs="Arial"/>
          <w:b/>
          <w:sz w:val="22"/>
          <w:szCs w:val="22"/>
        </w:rPr>
      </w:pPr>
    </w:p>
    <w:p w14:paraId="0352C7CE" w14:textId="77777777" w:rsidR="00D30D54" w:rsidRPr="00B8408D" w:rsidRDefault="00D30D54" w:rsidP="00D30D54">
      <w:pPr>
        <w:pStyle w:val="Textoindependiente"/>
        <w:jc w:val="both"/>
      </w:pPr>
      <w:r w:rsidRPr="00B8408D">
        <w:t xml:space="preserve">El Manual de Colombia Compra Eficiente es una guía para que las Entidades Estatales contraten según lo estipulado en cada Tratado Internacional, es por esto que la función de la Entidad no es interpretar ningún acuerdo sino compilar la información según </w:t>
      </w:r>
      <w:r w:rsidRPr="00B8408D">
        <w:rPr>
          <w:spacing w:val="5"/>
        </w:rPr>
        <w:t xml:space="preserve">lo </w:t>
      </w:r>
      <w:r w:rsidRPr="00B8408D">
        <w:t>establecido en cada uno de los TLC, y presentarla de manera</w:t>
      </w:r>
      <w:r w:rsidRPr="00B8408D">
        <w:rPr>
          <w:spacing w:val="-20"/>
        </w:rPr>
        <w:t xml:space="preserve"> </w:t>
      </w:r>
      <w:r w:rsidRPr="00B8408D">
        <w:t>organizada.</w:t>
      </w:r>
    </w:p>
    <w:p w14:paraId="19C7CB7B" w14:textId="77777777" w:rsidR="00D30D54" w:rsidRDefault="00D30D54" w:rsidP="00D30D54">
      <w:pPr>
        <w:pStyle w:val="Textoindependiente"/>
        <w:spacing w:before="121"/>
        <w:jc w:val="both"/>
      </w:pPr>
      <w:r w:rsidRPr="00B8408D">
        <w:t>Así lo indicó esta Subdirección en el Concepto con radicado No. 2201913000008425 del 13 de noviembre de 2019, «Las entidades estatales pueden hacer uso del “Manual para el manejo de los Acuerdos Comerciales en Procesos de Contratación”, expedido por Colombia Compra Eficiente como herramienta orientadora para conocer la cobertura de los Acuerdos Comerciales y los plazos correspondientes. Sin embargo, el uso del manual no exime a la entidad del deber de conocer y aplicar cada Acuerdo Comercial». Ello quiere decir que el Manual es una herramienta de orientación, pero no exime a las entidades estatales de verificar la cobertura y aplicar los acuerdos comerciales que resulten obligatorios en el correspondiente procedimiento de</w:t>
      </w:r>
      <w:r w:rsidRPr="00D91930">
        <w:t xml:space="preserve"> </w:t>
      </w:r>
      <w:r w:rsidRPr="00B8408D">
        <w:t>selección.</w:t>
      </w:r>
    </w:p>
    <w:p w14:paraId="20D5F685" w14:textId="77777777" w:rsidR="00D30D54" w:rsidRDefault="00D30D54" w:rsidP="00D30D54">
      <w:pPr>
        <w:pStyle w:val="Textoindependiente"/>
        <w:jc w:val="both"/>
      </w:pPr>
    </w:p>
    <w:p w14:paraId="4B5F05B6" w14:textId="77777777" w:rsidR="00D30D54" w:rsidRDefault="00D30D54" w:rsidP="00D30D54">
      <w:pPr>
        <w:pStyle w:val="Textoindependiente"/>
        <w:jc w:val="both"/>
        <w:rPr>
          <w:b/>
          <w:bCs/>
          <w:sz w:val="22"/>
          <w:szCs w:val="22"/>
        </w:rPr>
      </w:pPr>
      <w:r>
        <w:rPr>
          <w:b/>
          <w:bCs/>
          <w:sz w:val="22"/>
          <w:szCs w:val="22"/>
        </w:rPr>
        <w:t xml:space="preserve">TRATO NACIONAL – Acuerdo Comercial con la Unión Europea </w:t>
      </w:r>
    </w:p>
    <w:p w14:paraId="176AF634" w14:textId="77777777" w:rsidR="00D30D54" w:rsidRDefault="00D30D54" w:rsidP="00D30D54">
      <w:pPr>
        <w:pStyle w:val="Textoindependiente"/>
        <w:jc w:val="both"/>
        <w:rPr>
          <w:b/>
          <w:bCs/>
          <w:sz w:val="22"/>
          <w:szCs w:val="22"/>
        </w:rPr>
      </w:pPr>
    </w:p>
    <w:p w14:paraId="7D73EF9F" w14:textId="77777777" w:rsidR="00D30D54" w:rsidRPr="00804685" w:rsidRDefault="00D30D54" w:rsidP="00D30D54">
      <w:pPr>
        <w:pStyle w:val="Textoindependiente"/>
        <w:jc w:val="both"/>
        <w:rPr>
          <w:rFonts w:eastAsia="Calibri"/>
          <w:bCs/>
          <w:color w:val="000000" w:themeColor="text1"/>
          <w:lang w:val="es-ES_tradnl"/>
        </w:rPr>
      </w:pPr>
      <w:r w:rsidRPr="00804685">
        <w:rPr>
          <w:rFonts w:eastAsia="Calibri"/>
          <w:bCs/>
          <w:color w:val="000000" w:themeColor="text1"/>
          <w:lang w:val="es-ES_tradnl"/>
        </w:rPr>
        <w:t xml:space="preserve">El trato nacional puede estar estipulado en un </w:t>
      </w:r>
      <w:r w:rsidRPr="00804685">
        <w:rPr>
          <w:rFonts w:eastAsia="Calibri"/>
          <w:bCs/>
          <w:i/>
          <w:iCs/>
          <w:color w:val="000000" w:themeColor="text1"/>
          <w:lang w:val="es-ES_tradnl"/>
        </w:rPr>
        <w:t>tratado o acuerdo comercial</w:t>
      </w:r>
      <w:r w:rsidRPr="00804685">
        <w:rPr>
          <w:rFonts w:eastAsia="Calibri"/>
          <w:bCs/>
          <w:color w:val="000000" w:themeColor="text1"/>
          <w:lang w:val="es-ES_tradnl"/>
        </w:rPr>
        <w:t xml:space="preserve"> suscrito entre Colombia y uno o varios Estados, adoptando como cláusula que a los oferentes, bienes o servicios extranjeros de dichos estados se les considerará en nuestro país como nacionales, bajo las condiciones establecidas en la respectiva negociación. Así, el tratado correspondiente puede contener un acápite en el que se establezca que determinados bienes o servicios cubiertos se beneficiarán por el trato nacional; lo que a veces también puede suceder con los proveedores. Para el presente concepto, la cláusula estipulada en el literal b) del artículo 175 del acuerdo comercial firmado con la Unión Europea impone que: «Cada País Andino signatario, incluidas sus entidades contratantes, otorgarán inmediata e incondicionalmente a las mercancías y servicios de la parte UE, y a los proveedores de la parte UE que ofrezcan tales mercancías y servicios, un trato no menos favorable que el trato otorgado a sus propios mercancías, servicios y proveedores</w:t>
      </w:r>
      <w:r w:rsidRPr="00804685">
        <w:t>».</w:t>
      </w:r>
      <w:r w:rsidRPr="00804685">
        <w:rPr>
          <w:rFonts w:eastAsia="Calibri"/>
          <w:bCs/>
          <w:color w:val="000000" w:themeColor="text1"/>
          <w:lang w:val="es-ES_tradnl"/>
        </w:rPr>
        <w:t xml:space="preserve"> De la misma forma el tratado– en el </w:t>
      </w:r>
      <w:r w:rsidRPr="00804685">
        <w:rPr>
          <w:rFonts w:eastAsia="Calibri"/>
          <w:bCs/>
          <w:color w:val="000000" w:themeColor="text1"/>
          <w:lang w:val="es-ES_tradnl"/>
        </w:rPr>
        <w:lastRenderedPageBreak/>
        <w:t>mismo artículo estudiado– puesto de presente genera la obligación de «no discriminar a un proveedor establecido en su territorio en razón de las mercancías o servicios ofrecidos por dicho proveedor para una determinada contratación pública sean mercancías o servicios de otra parte</w:t>
      </w:r>
      <w:r w:rsidRPr="00804685">
        <w:t>».</w:t>
      </w:r>
    </w:p>
    <w:p w14:paraId="63BC9295" w14:textId="77777777" w:rsidR="00D30D54" w:rsidRDefault="00D30D54" w:rsidP="00D30D54">
      <w:pPr>
        <w:pStyle w:val="Textoindependiente"/>
        <w:jc w:val="both"/>
        <w:rPr>
          <w:b/>
          <w:bCs/>
          <w:sz w:val="22"/>
          <w:szCs w:val="22"/>
        </w:rPr>
      </w:pPr>
    </w:p>
    <w:p w14:paraId="545046A7" w14:textId="77777777" w:rsidR="00D30D54" w:rsidRDefault="00D30D54" w:rsidP="00D30D54">
      <w:pPr>
        <w:pStyle w:val="Textoindependiente"/>
        <w:jc w:val="both"/>
        <w:rPr>
          <w:b/>
          <w:bCs/>
          <w:sz w:val="22"/>
          <w:szCs w:val="22"/>
        </w:rPr>
      </w:pPr>
      <w:r>
        <w:rPr>
          <w:b/>
          <w:bCs/>
          <w:sz w:val="22"/>
          <w:szCs w:val="22"/>
        </w:rPr>
        <w:t xml:space="preserve">Conceptos emitidos por la Agencia – Naturaleza </w:t>
      </w:r>
    </w:p>
    <w:p w14:paraId="26B35D6B" w14:textId="77777777" w:rsidR="00D30D54" w:rsidRDefault="00D30D54" w:rsidP="00D30D54">
      <w:pPr>
        <w:pStyle w:val="Textoindependiente"/>
        <w:jc w:val="both"/>
        <w:rPr>
          <w:b/>
          <w:bCs/>
          <w:sz w:val="22"/>
          <w:szCs w:val="22"/>
        </w:rPr>
      </w:pPr>
    </w:p>
    <w:p w14:paraId="4A13A92A" w14:textId="77777777" w:rsidR="00D30D54" w:rsidRPr="00B32B26" w:rsidRDefault="00D30D54" w:rsidP="00D30D54">
      <w:pPr>
        <w:spacing w:after="120"/>
        <w:jc w:val="both"/>
        <w:rPr>
          <w:rFonts w:ascii="Arial" w:eastAsia="Calibri" w:hAnsi="Arial" w:cs="Arial"/>
          <w:sz w:val="20"/>
          <w:szCs w:val="20"/>
          <w:lang w:val="es-ES"/>
        </w:rPr>
      </w:pPr>
      <w:r w:rsidRPr="00B32B26">
        <w:rPr>
          <w:rFonts w:ascii="Arial" w:eastAsia="Calibri" w:hAnsi="Arial" w:cs="Arial"/>
          <w:sz w:val="20"/>
          <w:szCs w:val="20"/>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p>
    <w:p w14:paraId="6F4D7B2F" w14:textId="77777777" w:rsidR="00D30D54" w:rsidRPr="00B32B26" w:rsidRDefault="00D30D54" w:rsidP="00D30D54">
      <w:pPr>
        <w:pStyle w:val="Textoindependiente"/>
        <w:jc w:val="both"/>
        <w:rPr>
          <w:b/>
          <w:bCs/>
        </w:rPr>
      </w:pPr>
      <w:r w:rsidRPr="00B32B26">
        <w:rPr>
          <w:rFonts w:eastAsia="Calibri"/>
          <w:bCs/>
        </w:rPr>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A7BAC7E" w14:textId="77777777" w:rsidR="00D30D54" w:rsidRDefault="00D30D54" w:rsidP="00D30D54">
      <w:pPr>
        <w:pStyle w:val="Textoindependiente"/>
        <w:jc w:val="both"/>
        <w:rPr>
          <w:b/>
          <w:bCs/>
          <w:sz w:val="22"/>
          <w:szCs w:val="22"/>
        </w:rPr>
      </w:pPr>
    </w:p>
    <w:p w14:paraId="45951F56" w14:textId="77777777" w:rsidR="00D30D54" w:rsidRPr="00804685" w:rsidRDefault="00D30D54" w:rsidP="00D30D54">
      <w:pPr>
        <w:pStyle w:val="Textoindependiente"/>
        <w:jc w:val="both"/>
        <w:rPr>
          <w:b/>
          <w:bCs/>
          <w:sz w:val="22"/>
          <w:szCs w:val="22"/>
        </w:rPr>
      </w:pPr>
    </w:p>
    <w:p w14:paraId="04DFFD9D" w14:textId="77777777" w:rsidR="00D30D54" w:rsidRPr="00B8408D" w:rsidRDefault="00D30D54" w:rsidP="00D30D54">
      <w:pPr>
        <w:ind w:left="300"/>
        <w:jc w:val="both"/>
        <w:rPr>
          <w:rFonts w:ascii="Arial" w:eastAsia="Calibri" w:hAnsi="Arial" w:cs="Arial"/>
          <w:b/>
          <w:sz w:val="22"/>
          <w:szCs w:val="22"/>
        </w:rPr>
      </w:pPr>
    </w:p>
    <w:p w14:paraId="20111B92" w14:textId="77777777" w:rsidR="00D30D54" w:rsidRPr="00B8408D" w:rsidRDefault="00D30D54" w:rsidP="00D30D54">
      <w:pPr>
        <w:spacing w:line="253" w:lineRule="exact"/>
        <w:rPr>
          <w:rFonts w:ascii="Arial" w:hAnsi="Arial" w:cs="Arial"/>
          <w:color w:val="000000" w:themeColor="text1"/>
          <w:sz w:val="22"/>
          <w:szCs w:val="22"/>
          <w:lang w:val="pt-BR"/>
        </w:rPr>
      </w:pPr>
      <w:r w:rsidRPr="00B8408D">
        <w:rPr>
          <w:rFonts w:ascii="Arial" w:hAnsi="Arial" w:cs="Arial"/>
          <w:b/>
          <w:bCs/>
          <w:color w:val="000000" w:themeColor="text1"/>
          <w:sz w:val="22"/>
          <w:szCs w:val="22"/>
          <w:lang w:val="pt-BR"/>
        </w:rPr>
        <w:t xml:space="preserve">Bogotá D.C. </w:t>
      </w:r>
      <w:r w:rsidRPr="00B8408D">
        <w:rPr>
          <w:rFonts w:ascii="Arial" w:hAnsi="Arial" w:cs="Arial"/>
          <w:color w:val="000000" w:themeColor="text1"/>
          <w:sz w:val="22"/>
          <w:szCs w:val="22"/>
          <w:lang w:val="pt-BR"/>
        </w:rPr>
        <w:t>#####</w:t>
      </w:r>
    </w:p>
    <w:p w14:paraId="4B5B77F8" w14:textId="77777777" w:rsidR="00D30D54" w:rsidRPr="00B8408D" w:rsidRDefault="00D30D54" w:rsidP="00D30D54">
      <w:pPr>
        <w:spacing w:line="253" w:lineRule="exact"/>
        <w:ind w:left="301"/>
        <w:rPr>
          <w:rFonts w:ascii="Arial" w:hAnsi="Arial" w:cs="Arial"/>
          <w:b/>
          <w:color w:val="000000" w:themeColor="text1"/>
          <w:sz w:val="22"/>
          <w:szCs w:val="22"/>
          <w:lang w:val="pt-BR"/>
        </w:rPr>
      </w:pPr>
    </w:p>
    <w:p w14:paraId="0F164D53" w14:textId="77777777" w:rsidR="00D30D54" w:rsidRPr="003374ED" w:rsidRDefault="00D30D54" w:rsidP="00D30D54">
      <w:pPr>
        <w:jc w:val="right"/>
      </w:pPr>
      <w:r w:rsidRPr="003374ED">
        <w:fldChar w:fldCharType="begin"/>
      </w:r>
      <w:r w:rsidRPr="003374ED">
        <w:instrText xml:space="preserve"> INCLUDEPICTURE "/var/folders/tb/0fmk9b510f57pz5rwhv8lnpw0000gp/T/com.microsoft.Word/WebArchiveCopyPasteTempFiles/page1image36887664" \* MERGEFORMATINET </w:instrText>
      </w:r>
      <w:r w:rsidRPr="003374ED">
        <w:fldChar w:fldCharType="separate"/>
      </w:r>
      <w:r w:rsidRPr="003374ED">
        <w:rPr>
          <w:noProof/>
        </w:rPr>
        <w:drawing>
          <wp:inline distT="0" distB="0" distL="0" distR="0" wp14:anchorId="743B048C" wp14:editId="172A5657">
            <wp:extent cx="2397125" cy="609600"/>
            <wp:effectExtent l="0" t="0" r="3175" b="0"/>
            <wp:docPr id="4" name="Imagen 4" descr="page1image368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8876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7125" cy="609600"/>
                    </a:xfrm>
                    <a:prstGeom prst="rect">
                      <a:avLst/>
                    </a:prstGeom>
                    <a:noFill/>
                    <a:ln>
                      <a:noFill/>
                    </a:ln>
                  </pic:spPr>
                </pic:pic>
              </a:graphicData>
            </a:graphic>
          </wp:inline>
        </w:drawing>
      </w:r>
      <w:r w:rsidRPr="003374ED">
        <w:fldChar w:fldCharType="end"/>
      </w:r>
    </w:p>
    <w:p w14:paraId="65A10FAA" w14:textId="77777777" w:rsidR="00D30D54" w:rsidRPr="00B8408D" w:rsidRDefault="00D30D54" w:rsidP="00D30D54">
      <w:pPr>
        <w:pStyle w:val="Textoindependiente"/>
        <w:rPr>
          <w:b/>
          <w:color w:val="000000" w:themeColor="text1"/>
          <w:sz w:val="22"/>
          <w:szCs w:val="22"/>
          <w:lang w:val="pt-BR"/>
        </w:rPr>
      </w:pPr>
    </w:p>
    <w:p w14:paraId="6EE2D488" w14:textId="77777777" w:rsidR="00D30D54" w:rsidRPr="00B8408D" w:rsidRDefault="00D30D54" w:rsidP="00D30D54">
      <w:pPr>
        <w:pStyle w:val="Textoindependiente"/>
        <w:rPr>
          <w:b/>
          <w:color w:val="000000" w:themeColor="text1"/>
          <w:sz w:val="22"/>
          <w:szCs w:val="22"/>
          <w:lang w:val="pt-BR"/>
        </w:rPr>
      </w:pPr>
    </w:p>
    <w:p w14:paraId="0F005534" w14:textId="77777777" w:rsidR="00D30D54" w:rsidRPr="00B8408D" w:rsidRDefault="00D30D54" w:rsidP="00D30D54">
      <w:pPr>
        <w:pStyle w:val="Textoindependiente"/>
        <w:spacing w:before="93"/>
        <w:rPr>
          <w:b/>
          <w:bCs/>
          <w:color w:val="000000" w:themeColor="text1"/>
          <w:sz w:val="22"/>
          <w:szCs w:val="22"/>
        </w:rPr>
      </w:pPr>
      <w:r w:rsidRPr="00B8408D">
        <w:rPr>
          <w:b/>
          <w:bCs/>
          <w:color w:val="000000" w:themeColor="text1"/>
          <w:sz w:val="22"/>
          <w:szCs w:val="22"/>
        </w:rPr>
        <w:t>Señor</w:t>
      </w:r>
      <w:r>
        <w:rPr>
          <w:b/>
          <w:bCs/>
          <w:color w:val="000000" w:themeColor="text1"/>
          <w:sz w:val="22"/>
          <w:szCs w:val="22"/>
        </w:rPr>
        <w:t>a</w:t>
      </w:r>
    </w:p>
    <w:p w14:paraId="1AD15FAB" w14:textId="77777777" w:rsidR="00D30D54" w:rsidRPr="00B8408D" w:rsidRDefault="00D30D54" w:rsidP="00D30D54">
      <w:pPr>
        <w:pStyle w:val="Ttulo1"/>
        <w:spacing w:before="37" w:line="253" w:lineRule="exact"/>
        <w:rPr>
          <w:rFonts w:ascii="Arial" w:hAnsi="Arial" w:cs="Arial"/>
          <w:color w:val="000000" w:themeColor="text1"/>
          <w:sz w:val="22"/>
          <w:szCs w:val="22"/>
        </w:rPr>
      </w:pPr>
      <w:r>
        <w:rPr>
          <w:rFonts w:ascii="Arial" w:hAnsi="Arial" w:cs="Arial"/>
          <w:color w:val="000000" w:themeColor="text1"/>
          <w:sz w:val="22"/>
          <w:szCs w:val="22"/>
        </w:rPr>
        <w:t>XXXXXX</w:t>
      </w:r>
    </w:p>
    <w:p w14:paraId="6D4FEA4D" w14:textId="77777777" w:rsidR="00D30D54" w:rsidRPr="00B8408D" w:rsidRDefault="00D30D54" w:rsidP="00D30D54">
      <w:pPr>
        <w:pStyle w:val="Textoindependiente"/>
        <w:rPr>
          <w:color w:val="000000" w:themeColor="text1"/>
          <w:sz w:val="22"/>
          <w:szCs w:val="22"/>
        </w:rPr>
      </w:pPr>
      <w:r w:rsidRPr="00B8408D">
        <w:rPr>
          <w:color w:val="000000" w:themeColor="text1"/>
          <w:sz w:val="22"/>
          <w:szCs w:val="22"/>
        </w:rPr>
        <w:t>Bogotá, D.C</w:t>
      </w:r>
      <w:r>
        <w:rPr>
          <w:color w:val="000000" w:themeColor="text1"/>
          <w:sz w:val="22"/>
          <w:szCs w:val="22"/>
        </w:rPr>
        <w:t>.</w:t>
      </w:r>
    </w:p>
    <w:p w14:paraId="2DDC7B3E" w14:textId="77777777" w:rsidR="00D30D54" w:rsidRPr="00B8408D" w:rsidRDefault="00D30D54" w:rsidP="00D30D54">
      <w:pPr>
        <w:pStyle w:val="Textoindependiente"/>
        <w:rPr>
          <w:color w:val="000000" w:themeColor="text1"/>
          <w:sz w:val="22"/>
          <w:szCs w:val="22"/>
        </w:rPr>
      </w:pPr>
    </w:p>
    <w:p w14:paraId="7E70C952" w14:textId="77777777" w:rsidR="00D30D54" w:rsidRPr="00B8408D" w:rsidRDefault="00D30D54" w:rsidP="00D30D54">
      <w:pPr>
        <w:pStyle w:val="Textoindependiente"/>
        <w:spacing w:before="1"/>
        <w:rPr>
          <w:color w:val="000000" w:themeColor="text1"/>
          <w:sz w:val="22"/>
          <w:szCs w:val="22"/>
        </w:rPr>
      </w:pPr>
    </w:p>
    <w:p w14:paraId="47E839C9" w14:textId="77777777" w:rsidR="00D30D54" w:rsidRDefault="00D30D54" w:rsidP="00D30D54">
      <w:pPr>
        <w:pStyle w:val="Ttulo1"/>
        <w:ind w:left="2124"/>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Pr="00B8408D">
        <w:rPr>
          <w:rFonts w:ascii="Arial" w:hAnsi="Arial" w:cs="Arial"/>
          <w:b/>
          <w:bCs/>
          <w:color w:val="000000" w:themeColor="text1"/>
          <w:sz w:val="22"/>
          <w:szCs w:val="22"/>
        </w:rPr>
        <w:t>Concepto C ‒ 285 de 2021</w:t>
      </w:r>
    </w:p>
    <w:p w14:paraId="32FDBC8C" w14:textId="77777777" w:rsidR="00D30D54" w:rsidRPr="0085443D" w:rsidRDefault="00D30D54" w:rsidP="00D30D54"/>
    <w:p w14:paraId="4B37093F" w14:textId="77777777" w:rsidR="00D30D54" w:rsidRPr="00B8408D" w:rsidRDefault="00D30D54" w:rsidP="00D30D54">
      <w:pPr>
        <w:pStyle w:val="Textoindependiente"/>
        <w:spacing w:before="6"/>
        <w:rPr>
          <w:b/>
          <w:sz w:val="22"/>
          <w:szCs w:val="22"/>
        </w:rPr>
      </w:pPr>
    </w:p>
    <w:tbl>
      <w:tblPr>
        <w:tblStyle w:val="TableNormal"/>
        <w:tblW w:w="0" w:type="auto"/>
        <w:tblInd w:w="108" w:type="dxa"/>
        <w:tblLayout w:type="fixed"/>
        <w:tblLook w:val="01E0" w:firstRow="1" w:lastRow="1" w:firstColumn="1" w:lastColumn="1" w:noHBand="0" w:noVBand="0"/>
      </w:tblPr>
      <w:tblGrid>
        <w:gridCol w:w="2169"/>
        <w:gridCol w:w="7163"/>
      </w:tblGrid>
      <w:tr w:rsidR="00D30D54" w:rsidRPr="00B8408D" w14:paraId="53B6B357" w14:textId="77777777" w:rsidTr="007C6F1C">
        <w:trPr>
          <w:trHeight w:val="1107"/>
        </w:trPr>
        <w:tc>
          <w:tcPr>
            <w:tcW w:w="2169" w:type="dxa"/>
          </w:tcPr>
          <w:p w14:paraId="196A8D2E" w14:textId="77777777" w:rsidR="00D30D54" w:rsidRPr="00B8408D" w:rsidRDefault="00D30D54" w:rsidP="007C6F1C">
            <w:pPr>
              <w:pStyle w:val="TableParagraph"/>
              <w:spacing w:line="246" w:lineRule="exact"/>
              <w:ind w:left="200"/>
              <w:rPr>
                <w:b/>
              </w:rPr>
            </w:pPr>
            <w:r w:rsidRPr="00B8408D">
              <w:rPr>
                <w:b/>
              </w:rPr>
              <w:t>Temas:</w:t>
            </w:r>
          </w:p>
        </w:tc>
        <w:tc>
          <w:tcPr>
            <w:tcW w:w="7163" w:type="dxa"/>
          </w:tcPr>
          <w:p w14:paraId="27B6E8A4" w14:textId="77777777" w:rsidR="00D30D54" w:rsidRDefault="00D30D54" w:rsidP="007C6F1C">
            <w:pPr>
              <w:pStyle w:val="TableParagraph"/>
              <w:ind w:right="199"/>
              <w:jc w:val="both"/>
            </w:pPr>
            <w:r w:rsidRPr="00B8408D">
              <w:t xml:space="preserve">TRATADOS COMERCIALES – Fuentes – Aplicabilidad / TRATADOS COMERCIALES – Contratación pública cubierta – Noción / TRATADOS COMERCIALES – Contratación pública cubierta – </w:t>
            </w:r>
            <w:r>
              <w:t xml:space="preserve">Manual / TRATO NACIONAL – Acuerdo comercial con la Unión Europea – Conceptos emitidos por la Agencia – Naturaleza </w:t>
            </w:r>
          </w:p>
          <w:p w14:paraId="2F07A7A2" w14:textId="77777777" w:rsidR="00D30D54" w:rsidRPr="00B8408D" w:rsidRDefault="00D30D54" w:rsidP="007C6F1C">
            <w:pPr>
              <w:pStyle w:val="TableParagraph"/>
              <w:ind w:right="199"/>
              <w:jc w:val="both"/>
            </w:pPr>
          </w:p>
        </w:tc>
      </w:tr>
      <w:tr w:rsidR="00D30D54" w:rsidRPr="00B8408D" w14:paraId="46E2AC28" w14:textId="77777777" w:rsidTr="007C6F1C">
        <w:trPr>
          <w:trHeight w:val="564"/>
        </w:trPr>
        <w:tc>
          <w:tcPr>
            <w:tcW w:w="2169" w:type="dxa"/>
          </w:tcPr>
          <w:p w14:paraId="230AE101" w14:textId="77777777" w:rsidR="00D30D54" w:rsidRPr="00B8408D" w:rsidRDefault="00D30D54" w:rsidP="007C6F1C">
            <w:pPr>
              <w:pStyle w:val="TableParagraph"/>
              <w:spacing w:before="56"/>
              <w:ind w:left="200"/>
              <w:rPr>
                <w:b/>
              </w:rPr>
            </w:pPr>
            <w:r w:rsidRPr="00B8408D">
              <w:rPr>
                <w:b/>
              </w:rPr>
              <w:t>Radicación:</w:t>
            </w:r>
          </w:p>
        </w:tc>
        <w:tc>
          <w:tcPr>
            <w:tcW w:w="7163" w:type="dxa"/>
          </w:tcPr>
          <w:p w14:paraId="7366B961" w14:textId="77777777" w:rsidR="00D30D54" w:rsidRPr="00B8408D" w:rsidRDefault="00D30D54" w:rsidP="007C6F1C">
            <w:pPr>
              <w:pStyle w:val="TableParagraph"/>
              <w:tabs>
                <w:tab w:val="left" w:pos="2230"/>
                <w:tab w:val="left" w:pos="2812"/>
                <w:tab w:val="left" w:pos="3552"/>
                <w:tab w:val="left" w:pos="4939"/>
              </w:tabs>
              <w:spacing w:before="56" w:line="250" w:lineRule="atLeast"/>
              <w:ind w:right="200"/>
            </w:pPr>
            <w:r w:rsidRPr="00B8408D">
              <w:rPr>
                <w:rFonts w:eastAsia="Calibri"/>
                <w:bCs/>
                <w:color w:val="000000" w:themeColor="text1"/>
              </w:rPr>
              <w:t>Respuesta a consulta P20210428003638</w:t>
            </w:r>
          </w:p>
        </w:tc>
      </w:tr>
    </w:tbl>
    <w:p w14:paraId="00F3665B" w14:textId="77777777" w:rsidR="00D30D54" w:rsidRPr="00B8408D" w:rsidRDefault="00D30D54" w:rsidP="00D30D54">
      <w:pPr>
        <w:pStyle w:val="Textoindependiente"/>
        <w:rPr>
          <w:b/>
          <w:sz w:val="22"/>
          <w:szCs w:val="22"/>
        </w:rPr>
      </w:pPr>
    </w:p>
    <w:p w14:paraId="14AA7326" w14:textId="77777777" w:rsidR="00D30D54" w:rsidRPr="00B8408D" w:rsidRDefault="00D30D54" w:rsidP="00D30D54">
      <w:pPr>
        <w:pStyle w:val="Textoindependiente"/>
        <w:spacing w:before="4" w:line="276" w:lineRule="auto"/>
        <w:rPr>
          <w:b/>
          <w:sz w:val="22"/>
          <w:szCs w:val="22"/>
        </w:rPr>
      </w:pPr>
    </w:p>
    <w:p w14:paraId="6A103439" w14:textId="77777777" w:rsidR="00D30D54" w:rsidRPr="00B8408D" w:rsidRDefault="00D30D54" w:rsidP="00D30D54">
      <w:pPr>
        <w:pStyle w:val="Textoindependiente"/>
        <w:spacing w:line="276" w:lineRule="auto"/>
        <w:rPr>
          <w:sz w:val="22"/>
          <w:szCs w:val="22"/>
        </w:rPr>
      </w:pPr>
      <w:r w:rsidRPr="00B8408D">
        <w:rPr>
          <w:sz w:val="22"/>
          <w:szCs w:val="22"/>
        </w:rPr>
        <w:t xml:space="preserve">Estimada señora </w:t>
      </w:r>
      <w:r>
        <w:rPr>
          <w:sz w:val="22"/>
          <w:szCs w:val="22"/>
        </w:rPr>
        <w:t>XXXXX</w:t>
      </w:r>
      <w:r w:rsidRPr="00B8408D">
        <w:rPr>
          <w:sz w:val="22"/>
          <w:szCs w:val="22"/>
        </w:rPr>
        <w:t>:</w:t>
      </w:r>
    </w:p>
    <w:p w14:paraId="0AB055A0" w14:textId="77777777" w:rsidR="00D30D54" w:rsidRPr="00B8408D" w:rsidRDefault="00D30D54" w:rsidP="00D30D54">
      <w:pPr>
        <w:pStyle w:val="Textoindependiente"/>
        <w:spacing w:before="1" w:line="276" w:lineRule="auto"/>
        <w:rPr>
          <w:sz w:val="22"/>
          <w:szCs w:val="22"/>
        </w:rPr>
      </w:pPr>
    </w:p>
    <w:p w14:paraId="29D18DEE" w14:textId="77777777" w:rsidR="00D30D54" w:rsidRPr="00B8408D" w:rsidRDefault="00D30D54" w:rsidP="00D30D54">
      <w:pPr>
        <w:pStyle w:val="Textoindependiente"/>
        <w:spacing w:line="276" w:lineRule="auto"/>
        <w:jc w:val="both"/>
        <w:rPr>
          <w:sz w:val="22"/>
          <w:szCs w:val="22"/>
        </w:rPr>
      </w:pPr>
      <w:r w:rsidRPr="00B8408D">
        <w:rPr>
          <w:sz w:val="22"/>
          <w:szCs w:val="22"/>
        </w:rPr>
        <w:t>En ejercicio de la competencia otorgada por el numeral 8 del artículo 11 y el numeral 5 del artículo 3 del Decreto Ley 4170 de 2011, la Agencia Nacional de Contratación</w:t>
      </w:r>
      <w:r w:rsidRPr="00B8408D">
        <w:rPr>
          <w:spacing w:val="-3"/>
          <w:sz w:val="22"/>
          <w:szCs w:val="22"/>
        </w:rPr>
        <w:t xml:space="preserve"> </w:t>
      </w:r>
      <w:r w:rsidRPr="00B8408D">
        <w:rPr>
          <w:sz w:val="22"/>
          <w:szCs w:val="22"/>
        </w:rPr>
        <w:t>Pública ― Colombia Compra Eficiente responde su consulta del 28 de abril de 2021.</w:t>
      </w:r>
    </w:p>
    <w:p w14:paraId="673E9CC7" w14:textId="77777777" w:rsidR="00D30D54" w:rsidRDefault="00D30D54" w:rsidP="00D30D54">
      <w:pPr>
        <w:pStyle w:val="Textoindependiente"/>
        <w:spacing w:before="8"/>
        <w:rPr>
          <w:b/>
          <w:bCs/>
          <w:color w:val="000000" w:themeColor="text1"/>
          <w:sz w:val="22"/>
          <w:szCs w:val="22"/>
        </w:rPr>
      </w:pPr>
    </w:p>
    <w:p w14:paraId="68117CC5" w14:textId="77777777" w:rsidR="00D30D54" w:rsidRPr="00B8408D" w:rsidRDefault="00D30D54" w:rsidP="00D30D54">
      <w:pPr>
        <w:pStyle w:val="Textoindependiente"/>
        <w:spacing w:before="8"/>
        <w:rPr>
          <w:b/>
          <w:bCs/>
          <w:color w:val="000000" w:themeColor="text1"/>
          <w:sz w:val="22"/>
          <w:szCs w:val="22"/>
        </w:rPr>
      </w:pPr>
    </w:p>
    <w:p w14:paraId="01EC82CA" w14:textId="77777777" w:rsidR="00D30D54" w:rsidRPr="00B8408D" w:rsidRDefault="00D30D54" w:rsidP="00D30D54">
      <w:pPr>
        <w:pStyle w:val="Ttulo1"/>
        <w:keepNext w:val="0"/>
        <w:keepLines w:val="0"/>
        <w:widowControl w:val="0"/>
        <w:numPr>
          <w:ilvl w:val="0"/>
          <w:numId w:val="6"/>
        </w:numPr>
        <w:tabs>
          <w:tab w:val="left" w:pos="586"/>
        </w:tabs>
        <w:autoSpaceDE w:val="0"/>
        <w:autoSpaceDN w:val="0"/>
        <w:spacing w:before="0"/>
        <w:rPr>
          <w:rFonts w:ascii="Arial" w:hAnsi="Arial" w:cs="Arial"/>
          <w:b/>
          <w:bCs/>
          <w:color w:val="000000" w:themeColor="text1"/>
          <w:sz w:val="22"/>
          <w:szCs w:val="22"/>
        </w:rPr>
      </w:pPr>
      <w:r w:rsidRPr="00B8408D">
        <w:rPr>
          <w:rFonts w:ascii="Arial" w:hAnsi="Arial" w:cs="Arial"/>
          <w:b/>
          <w:bCs/>
          <w:color w:val="000000" w:themeColor="text1"/>
          <w:sz w:val="22"/>
          <w:szCs w:val="22"/>
        </w:rPr>
        <w:t>Problema</w:t>
      </w:r>
      <w:r w:rsidRPr="00B8408D">
        <w:rPr>
          <w:rFonts w:ascii="Arial" w:hAnsi="Arial" w:cs="Arial"/>
          <w:b/>
          <w:bCs/>
          <w:color w:val="000000" w:themeColor="text1"/>
          <w:spacing w:val="-2"/>
          <w:sz w:val="22"/>
          <w:szCs w:val="22"/>
        </w:rPr>
        <w:t xml:space="preserve"> </w:t>
      </w:r>
      <w:r w:rsidRPr="00B8408D">
        <w:rPr>
          <w:rFonts w:ascii="Arial" w:hAnsi="Arial" w:cs="Arial"/>
          <w:b/>
          <w:bCs/>
          <w:color w:val="000000" w:themeColor="text1"/>
          <w:sz w:val="22"/>
          <w:szCs w:val="22"/>
        </w:rPr>
        <w:t>planteado</w:t>
      </w:r>
    </w:p>
    <w:p w14:paraId="69621E1A" w14:textId="77777777" w:rsidR="00D30D54" w:rsidRDefault="00D30D54" w:rsidP="00D30D54">
      <w:pPr>
        <w:pStyle w:val="NormalWeb"/>
        <w:spacing w:line="276" w:lineRule="auto"/>
        <w:jc w:val="both"/>
        <w:rPr>
          <w:rFonts w:ascii="Arial" w:hAnsi="Arial" w:cs="Arial"/>
          <w:sz w:val="22"/>
          <w:szCs w:val="22"/>
        </w:rPr>
      </w:pPr>
      <w:r>
        <w:rPr>
          <w:rFonts w:ascii="Arial" w:hAnsi="Arial" w:cs="Arial"/>
          <w:sz w:val="22"/>
          <w:szCs w:val="22"/>
        </w:rPr>
        <w:t xml:space="preserve">Usted realiza las siguientes preguntas: </w:t>
      </w:r>
    </w:p>
    <w:p w14:paraId="7429B76B" w14:textId="77777777" w:rsidR="00D30D54" w:rsidRDefault="00D30D54" w:rsidP="00D30D54">
      <w:pPr>
        <w:pStyle w:val="NormalWeb"/>
        <w:numPr>
          <w:ilvl w:val="0"/>
          <w:numId w:val="9"/>
        </w:numPr>
        <w:ind w:right="709"/>
        <w:jc w:val="both"/>
        <w:rPr>
          <w:rFonts w:ascii="ArialNarrow" w:hAnsi="ArialNarrow"/>
          <w:sz w:val="21"/>
          <w:szCs w:val="21"/>
        </w:rPr>
      </w:pPr>
      <w:r>
        <w:rPr>
          <w:rFonts w:ascii="ArialNarrow" w:hAnsi="ArialNarrow"/>
          <w:sz w:val="21"/>
          <w:szCs w:val="21"/>
        </w:rPr>
        <w:t>«</w:t>
      </w:r>
      <w:r w:rsidRPr="002F6A04">
        <w:rPr>
          <w:rFonts w:ascii="ArialNarrow" w:hAnsi="ArialNarrow"/>
          <w:sz w:val="21"/>
          <w:szCs w:val="21"/>
        </w:rPr>
        <w:t>¿La Aerocivil debe seguir teniendo en cuenta los conceptos emitidos en el año 2017?</w:t>
      </w:r>
      <w:r>
        <w:rPr>
          <w:rFonts w:ascii="ArialNarrow" w:hAnsi="ArialNarrow"/>
          <w:sz w:val="21"/>
          <w:szCs w:val="21"/>
        </w:rPr>
        <w:t xml:space="preserve"> </w:t>
      </w:r>
      <w:r w:rsidRPr="002F6A04">
        <w:rPr>
          <w:rFonts w:ascii="ArialNarrow" w:hAnsi="ArialNarrow"/>
          <w:sz w:val="21"/>
          <w:szCs w:val="21"/>
        </w:rPr>
        <w:t>Si es así muy respetuosamente se solicita actualizar dichos</w:t>
      </w:r>
      <w:r>
        <w:rPr>
          <w:rFonts w:ascii="ArialNarrow" w:hAnsi="ArialNarrow"/>
          <w:sz w:val="21"/>
          <w:szCs w:val="21"/>
        </w:rPr>
        <w:t xml:space="preserve"> </w:t>
      </w:r>
      <w:r w:rsidRPr="002F6A04">
        <w:rPr>
          <w:rFonts w:ascii="ArialNarrow" w:hAnsi="ArialNarrow"/>
          <w:sz w:val="21"/>
          <w:szCs w:val="21"/>
        </w:rPr>
        <w:t>conceptos</w:t>
      </w:r>
      <w:r w:rsidRPr="002F6A04">
        <w:rPr>
          <w:rFonts w:ascii="Arial" w:hAnsi="Arial" w:cs="Arial"/>
          <w:sz w:val="21"/>
          <w:szCs w:val="21"/>
        </w:rPr>
        <w:t>».</w:t>
      </w:r>
    </w:p>
    <w:p w14:paraId="7F6E6AE5" w14:textId="77777777" w:rsidR="00D30D54" w:rsidRPr="002F6A04" w:rsidRDefault="00D30D54" w:rsidP="00D30D54">
      <w:pPr>
        <w:pStyle w:val="NormalWeb"/>
        <w:numPr>
          <w:ilvl w:val="0"/>
          <w:numId w:val="9"/>
        </w:numPr>
        <w:spacing w:before="120" w:beforeAutospacing="0" w:after="120" w:afterAutospacing="0"/>
        <w:ind w:right="709"/>
        <w:jc w:val="both"/>
        <w:rPr>
          <w:rFonts w:ascii="ArialNarrow" w:hAnsi="ArialNarrow"/>
          <w:sz w:val="21"/>
          <w:szCs w:val="21"/>
        </w:rPr>
      </w:pPr>
      <w:r w:rsidRPr="002F6A04">
        <w:rPr>
          <w:rFonts w:ascii="ArialNarrow" w:hAnsi="ArialNarrow"/>
          <w:sz w:val="21"/>
          <w:szCs w:val="21"/>
        </w:rPr>
        <w:t>«¿Cuál es la interpretación que se le debe dar a la excepción 44?</w:t>
      </w:r>
      <w:r w:rsidRPr="002F6A04">
        <w:rPr>
          <w:rFonts w:ascii="Arial" w:hAnsi="Arial" w:cs="Arial"/>
          <w:sz w:val="21"/>
          <w:szCs w:val="21"/>
        </w:rPr>
        <w:t>».</w:t>
      </w:r>
    </w:p>
    <w:p w14:paraId="4A07CA1A" w14:textId="77777777" w:rsidR="00D30D54" w:rsidRPr="002F6A04" w:rsidRDefault="00D30D54" w:rsidP="00D30D54">
      <w:pPr>
        <w:pStyle w:val="NormalWeb"/>
        <w:numPr>
          <w:ilvl w:val="0"/>
          <w:numId w:val="8"/>
        </w:numPr>
        <w:spacing w:before="120" w:beforeAutospacing="0" w:after="120" w:afterAutospacing="0"/>
        <w:ind w:right="709"/>
        <w:jc w:val="both"/>
        <w:rPr>
          <w:rFonts w:ascii="ArialNarrow" w:hAnsi="ArialNarrow"/>
          <w:sz w:val="21"/>
          <w:szCs w:val="21"/>
        </w:rPr>
      </w:pPr>
      <w:r>
        <w:rPr>
          <w:rFonts w:ascii="ArialNarrow" w:hAnsi="ArialNarrow"/>
          <w:sz w:val="21"/>
          <w:szCs w:val="21"/>
        </w:rPr>
        <w:t>«</w:t>
      </w:r>
      <w:r w:rsidRPr="002F6A04">
        <w:rPr>
          <w:rFonts w:ascii="ArialNarrow" w:hAnsi="ArialNarrow"/>
          <w:sz w:val="21"/>
          <w:szCs w:val="21"/>
        </w:rPr>
        <w:t>¿Se le debe dar trato nacional al proponente plural conformado por una empresa colombiana y una empresa de un país perteneciente a la Unión Europea?</w:t>
      </w:r>
      <w:r w:rsidRPr="002F6A04">
        <w:rPr>
          <w:rFonts w:ascii="Arial" w:hAnsi="Arial" w:cs="Arial"/>
          <w:sz w:val="21"/>
          <w:szCs w:val="21"/>
        </w:rPr>
        <w:t>».</w:t>
      </w:r>
    </w:p>
    <w:p w14:paraId="27E12B7A" w14:textId="77777777" w:rsidR="00D30D54" w:rsidRPr="002F6A04" w:rsidRDefault="00D30D54" w:rsidP="00D30D54">
      <w:pPr>
        <w:pStyle w:val="NormalWeb"/>
        <w:numPr>
          <w:ilvl w:val="0"/>
          <w:numId w:val="8"/>
        </w:numPr>
        <w:spacing w:before="120" w:beforeAutospacing="0" w:after="120" w:afterAutospacing="0"/>
        <w:ind w:right="709"/>
        <w:jc w:val="both"/>
        <w:rPr>
          <w:rFonts w:ascii="ArialNarrow" w:hAnsi="ArialNarrow"/>
          <w:sz w:val="21"/>
          <w:szCs w:val="21"/>
        </w:rPr>
      </w:pPr>
      <w:r w:rsidRPr="002F6A04">
        <w:rPr>
          <w:rFonts w:ascii="ArialNarrow" w:hAnsi="ArialNarrow"/>
          <w:sz w:val="21"/>
          <w:szCs w:val="21"/>
        </w:rPr>
        <w:t>«¿Se le debe dar trato nacional al proponente plural conformado por una empresa colombiana y una sucursal de una empresa de un país perteneciente a la Unión Europea?</w:t>
      </w:r>
      <w:r w:rsidRPr="002F6A04">
        <w:rPr>
          <w:rFonts w:ascii="Arial" w:hAnsi="Arial" w:cs="Arial"/>
          <w:sz w:val="21"/>
          <w:szCs w:val="21"/>
        </w:rPr>
        <w:t>».</w:t>
      </w:r>
    </w:p>
    <w:p w14:paraId="044DAD9B" w14:textId="77777777" w:rsidR="00D30D54" w:rsidRPr="002F6A04" w:rsidRDefault="00D30D54" w:rsidP="00D30D54">
      <w:pPr>
        <w:pStyle w:val="NormalWeb"/>
        <w:numPr>
          <w:ilvl w:val="0"/>
          <w:numId w:val="8"/>
        </w:numPr>
        <w:spacing w:before="120" w:beforeAutospacing="0" w:after="120" w:afterAutospacing="0"/>
        <w:ind w:right="709"/>
        <w:jc w:val="both"/>
        <w:rPr>
          <w:rFonts w:ascii="ArialNarrow" w:hAnsi="ArialNarrow"/>
          <w:sz w:val="21"/>
          <w:szCs w:val="21"/>
        </w:rPr>
      </w:pPr>
      <w:r w:rsidRPr="002F6A04">
        <w:rPr>
          <w:rFonts w:ascii="ArialNarrow" w:hAnsi="ArialNarrow"/>
          <w:sz w:val="21"/>
          <w:szCs w:val="21"/>
        </w:rPr>
        <w:t>¿Se le debe dar trato Nacional a un proponente singular cuyo país de origen haga parte de la Unión Europea?</w:t>
      </w:r>
      <w:r w:rsidRPr="002F6A04">
        <w:rPr>
          <w:rFonts w:ascii="Arial" w:hAnsi="Arial" w:cs="Arial"/>
          <w:sz w:val="21"/>
          <w:szCs w:val="21"/>
        </w:rPr>
        <w:t>».</w:t>
      </w:r>
    </w:p>
    <w:p w14:paraId="3309D552" w14:textId="77777777" w:rsidR="00D30D54" w:rsidRPr="002F6A04" w:rsidRDefault="00D30D54" w:rsidP="00D30D54">
      <w:pPr>
        <w:pStyle w:val="NormalWeb"/>
        <w:numPr>
          <w:ilvl w:val="0"/>
          <w:numId w:val="8"/>
        </w:numPr>
        <w:spacing w:before="120" w:beforeAutospacing="0" w:after="120" w:afterAutospacing="0"/>
        <w:ind w:right="709"/>
        <w:jc w:val="both"/>
        <w:rPr>
          <w:rFonts w:ascii="ArialNarrow" w:hAnsi="ArialNarrow"/>
          <w:sz w:val="21"/>
          <w:szCs w:val="21"/>
        </w:rPr>
      </w:pPr>
      <w:r w:rsidRPr="002F6A04">
        <w:rPr>
          <w:rFonts w:ascii="ArialNarrow" w:hAnsi="ArialNarrow"/>
          <w:sz w:val="21"/>
          <w:szCs w:val="21"/>
        </w:rPr>
        <w:t>¿Se le debe dar trato Nacional a un proponente singular cuyo país de origen haga parte de la Unión Europea con sucursal en Colombia?</w:t>
      </w:r>
      <w:r w:rsidRPr="002F6A04">
        <w:rPr>
          <w:rFonts w:ascii="Arial" w:hAnsi="Arial" w:cs="Arial"/>
          <w:sz w:val="21"/>
          <w:szCs w:val="21"/>
        </w:rPr>
        <w:t>».</w:t>
      </w:r>
    </w:p>
    <w:p w14:paraId="1B49859B" w14:textId="77777777" w:rsidR="00D30D54" w:rsidRPr="002F6A04" w:rsidRDefault="00D30D54" w:rsidP="00D30D54">
      <w:pPr>
        <w:pStyle w:val="NormalWeb"/>
        <w:numPr>
          <w:ilvl w:val="0"/>
          <w:numId w:val="8"/>
        </w:numPr>
        <w:spacing w:before="120" w:beforeAutospacing="0" w:after="120" w:afterAutospacing="0"/>
        <w:ind w:right="709"/>
        <w:jc w:val="both"/>
        <w:rPr>
          <w:rFonts w:ascii="ArialNarrow" w:hAnsi="ArialNarrow"/>
          <w:sz w:val="21"/>
          <w:szCs w:val="21"/>
        </w:rPr>
      </w:pPr>
      <w:r w:rsidRPr="002F6A04">
        <w:rPr>
          <w:rFonts w:ascii="ArialNarrow" w:hAnsi="ArialNarrow"/>
          <w:sz w:val="21"/>
          <w:szCs w:val="21"/>
        </w:rPr>
        <w:t>¿La Aerocivil debe dar trato Nacional a los bienes, servicios y/o proponentes que provengan de algún país que conforman la Unión Europea?</w:t>
      </w:r>
      <w:r w:rsidRPr="002F6A04">
        <w:rPr>
          <w:rFonts w:ascii="Arial" w:hAnsi="Arial" w:cs="Arial"/>
          <w:sz w:val="21"/>
          <w:szCs w:val="21"/>
        </w:rPr>
        <w:t>».</w:t>
      </w:r>
    </w:p>
    <w:p w14:paraId="6E97447A" w14:textId="77777777" w:rsidR="00D30D54" w:rsidRPr="002F6A04" w:rsidRDefault="00D30D54" w:rsidP="00D30D54">
      <w:pPr>
        <w:pStyle w:val="NormalWeb"/>
        <w:numPr>
          <w:ilvl w:val="0"/>
          <w:numId w:val="8"/>
        </w:numPr>
        <w:spacing w:before="120" w:beforeAutospacing="0" w:after="120" w:afterAutospacing="0"/>
        <w:ind w:right="709"/>
        <w:jc w:val="both"/>
        <w:rPr>
          <w:rFonts w:ascii="ArialNarrow" w:hAnsi="ArialNarrow"/>
          <w:sz w:val="21"/>
          <w:szCs w:val="21"/>
        </w:rPr>
      </w:pPr>
      <w:r w:rsidRPr="002F6A04">
        <w:rPr>
          <w:rFonts w:ascii="ArialNarrow" w:hAnsi="ArialNarrow"/>
          <w:sz w:val="21"/>
          <w:szCs w:val="21"/>
        </w:rPr>
        <w:t>¿Qué se entiende por infraestructura para el sistema aeroportuario y cuáles son los procesos y contratos relacionados con esto?</w:t>
      </w:r>
      <w:r w:rsidRPr="002F6A04">
        <w:rPr>
          <w:rFonts w:ascii="Arial" w:hAnsi="Arial" w:cs="Arial"/>
          <w:sz w:val="21"/>
          <w:szCs w:val="21"/>
        </w:rPr>
        <w:t>».</w:t>
      </w:r>
    </w:p>
    <w:p w14:paraId="3C2AECDD" w14:textId="77777777" w:rsidR="00D30D54" w:rsidRPr="002F6A04" w:rsidRDefault="00D30D54" w:rsidP="00D30D54">
      <w:pPr>
        <w:pStyle w:val="NormalWeb"/>
        <w:numPr>
          <w:ilvl w:val="0"/>
          <w:numId w:val="8"/>
        </w:numPr>
        <w:ind w:right="709"/>
        <w:jc w:val="both"/>
        <w:rPr>
          <w:rFonts w:ascii="ArialNarrow" w:hAnsi="ArialNarrow"/>
          <w:sz w:val="21"/>
          <w:szCs w:val="21"/>
        </w:rPr>
      </w:pPr>
      <w:r w:rsidRPr="002F6A04">
        <w:rPr>
          <w:rFonts w:ascii="ArialNarrow" w:hAnsi="ArialNarrow"/>
          <w:sz w:val="21"/>
          <w:szCs w:val="21"/>
        </w:rPr>
        <w:t>¿Qué se entiende por infraestructura para el sistema nacional del espacio aéreo y cuáles son los procesos y contratos relacionados con esto?</w:t>
      </w:r>
      <w:r w:rsidRPr="002F6A04">
        <w:rPr>
          <w:rFonts w:ascii="Arial" w:hAnsi="Arial" w:cs="Arial"/>
          <w:sz w:val="21"/>
          <w:szCs w:val="21"/>
        </w:rPr>
        <w:t>».</w:t>
      </w:r>
    </w:p>
    <w:p w14:paraId="55CDAD88" w14:textId="77777777" w:rsidR="00D30D54" w:rsidRPr="00B8408D" w:rsidRDefault="00D30D54" w:rsidP="00D30D54">
      <w:pPr>
        <w:pStyle w:val="Ttulo1"/>
        <w:keepNext w:val="0"/>
        <w:keepLines w:val="0"/>
        <w:widowControl w:val="0"/>
        <w:numPr>
          <w:ilvl w:val="0"/>
          <w:numId w:val="6"/>
        </w:numPr>
        <w:tabs>
          <w:tab w:val="left" w:pos="586"/>
        </w:tabs>
        <w:autoSpaceDE w:val="0"/>
        <w:autoSpaceDN w:val="0"/>
        <w:spacing w:before="0"/>
        <w:jc w:val="both"/>
        <w:rPr>
          <w:rFonts w:ascii="Arial" w:hAnsi="Arial" w:cs="Arial"/>
          <w:b/>
          <w:bCs/>
          <w:sz w:val="22"/>
          <w:szCs w:val="22"/>
        </w:rPr>
      </w:pPr>
      <w:r w:rsidRPr="00B8408D">
        <w:rPr>
          <w:rFonts w:ascii="Arial" w:hAnsi="Arial" w:cs="Arial"/>
          <w:b/>
          <w:bCs/>
          <w:color w:val="000000" w:themeColor="text1"/>
          <w:sz w:val="22"/>
          <w:szCs w:val="22"/>
        </w:rPr>
        <w:t>Consideraciones</w:t>
      </w:r>
    </w:p>
    <w:p w14:paraId="4E870CAD" w14:textId="77777777" w:rsidR="00D30D54" w:rsidRPr="00B8408D" w:rsidRDefault="00D30D54" w:rsidP="00D30D54">
      <w:pPr>
        <w:pStyle w:val="Textoindependiente"/>
        <w:rPr>
          <w:b/>
          <w:sz w:val="22"/>
          <w:szCs w:val="22"/>
        </w:rPr>
      </w:pPr>
    </w:p>
    <w:p w14:paraId="2DFE339F" w14:textId="77777777" w:rsidR="00D30D54" w:rsidRPr="00B8408D" w:rsidRDefault="00D30D54" w:rsidP="00D30D54">
      <w:pPr>
        <w:pStyle w:val="Textoindependiente"/>
        <w:spacing w:line="276" w:lineRule="auto"/>
        <w:jc w:val="both"/>
        <w:rPr>
          <w:sz w:val="22"/>
          <w:szCs w:val="22"/>
        </w:rPr>
      </w:pPr>
      <w:r w:rsidRPr="00B8408D">
        <w:rPr>
          <w:sz w:val="22"/>
          <w:szCs w:val="22"/>
        </w:rPr>
        <w:t>Para desarrollar el problema planteado, es necesario explicar: i) contratación pública y acuerdos comerciales</w:t>
      </w:r>
      <w:r>
        <w:rPr>
          <w:sz w:val="22"/>
          <w:szCs w:val="22"/>
        </w:rPr>
        <w:t>,</w:t>
      </w:r>
      <w:r w:rsidRPr="00B8408D">
        <w:rPr>
          <w:sz w:val="22"/>
          <w:szCs w:val="22"/>
        </w:rPr>
        <w:t xml:space="preserve"> ii) contratación pública cubierta y tratamiento de las excepciones en los acuerdos</w:t>
      </w:r>
      <w:r w:rsidRPr="00B8408D">
        <w:rPr>
          <w:spacing w:val="-8"/>
          <w:sz w:val="22"/>
          <w:szCs w:val="22"/>
        </w:rPr>
        <w:t xml:space="preserve"> </w:t>
      </w:r>
      <w:r w:rsidRPr="00B8408D">
        <w:rPr>
          <w:sz w:val="22"/>
          <w:szCs w:val="22"/>
        </w:rPr>
        <w:t>comerciales</w:t>
      </w:r>
      <w:r>
        <w:rPr>
          <w:sz w:val="22"/>
          <w:szCs w:val="22"/>
        </w:rPr>
        <w:t xml:space="preserve">, iii) trato nacional y iv) naturaleza de los conceptos emitidos por </w:t>
      </w:r>
      <w:r>
        <w:rPr>
          <w:sz w:val="22"/>
          <w:szCs w:val="22"/>
        </w:rPr>
        <w:lastRenderedPageBreak/>
        <w:t>CCE.</w:t>
      </w:r>
    </w:p>
    <w:p w14:paraId="0C0F2E63" w14:textId="77777777" w:rsidR="00D30D54" w:rsidRDefault="00D30D54" w:rsidP="00D30D54">
      <w:pPr>
        <w:pStyle w:val="Textoindependiente"/>
        <w:spacing w:before="119" w:line="276" w:lineRule="auto"/>
        <w:ind w:firstLine="709"/>
        <w:jc w:val="both"/>
        <w:rPr>
          <w:sz w:val="22"/>
          <w:szCs w:val="22"/>
        </w:rPr>
      </w:pPr>
      <w:r w:rsidRPr="00B8408D">
        <w:rPr>
          <w:sz w:val="22"/>
          <w:szCs w:val="22"/>
        </w:rPr>
        <w:t>La Agencia Nacional de Contratación Pública – Colombia Compra Eficiente se pronunció sobre la vigencia de los tratados o acuerdos comerciales en la contratación estatal en los conceptos con radicado No.: 2201913000006925 del 17 de septiembre de 2019, 2201913000008236 del 6 de noviembre de 2019, 2201913000008425 del 13 de noviembre de 2019, C–360 del 16 de julio de 2020, C–417 del 16 de julio de 2020, C–611 del 2 de octubre de 2020, C–613 del 26 de octubre de 2020 y C-694 del 26 de noviembre de 2020. Las ideas expuestas en dichas oportunidades se reiterarán a continuación y se complementarán en lo pertinente.</w:t>
      </w:r>
    </w:p>
    <w:p w14:paraId="3D73345A" w14:textId="77777777" w:rsidR="00D30D54" w:rsidRPr="00F8190C" w:rsidRDefault="00D30D54" w:rsidP="00D30D54">
      <w:pPr>
        <w:spacing w:before="120" w:line="276" w:lineRule="auto"/>
        <w:ind w:firstLine="709"/>
        <w:jc w:val="both"/>
        <w:rPr>
          <w:rFonts w:ascii="Arial" w:eastAsia="Calibri" w:hAnsi="Arial" w:cs="Arial"/>
          <w:color w:val="000000" w:themeColor="text1"/>
          <w:sz w:val="22"/>
          <w:lang w:val="es-ES_tradnl"/>
        </w:rPr>
      </w:pPr>
      <w:r w:rsidRPr="002F6A04">
        <w:rPr>
          <w:rFonts w:ascii="Arial" w:hAnsi="Arial" w:cs="Arial"/>
          <w:sz w:val="22"/>
          <w:szCs w:val="22"/>
        </w:rPr>
        <w:t xml:space="preserve">Así mismo, </w:t>
      </w:r>
      <w:r w:rsidRPr="002F6A04">
        <w:rPr>
          <w:rFonts w:ascii="Arial" w:eastAsia="Calibri" w:hAnsi="Arial" w:cs="Arial"/>
          <w:color w:val="000000" w:themeColor="text1"/>
          <w:sz w:val="22"/>
          <w:lang w:val="es-ES_tradnl"/>
        </w:rPr>
        <w:t>conviene indicar que la Agencia</w:t>
      </w:r>
      <w:r w:rsidRPr="00F8190C">
        <w:rPr>
          <w:rFonts w:ascii="Arial" w:eastAsia="Calibri" w:hAnsi="Arial" w:cs="Arial"/>
          <w:color w:val="000000" w:themeColor="text1"/>
          <w:sz w:val="22"/>
          <w:lang w:val="es-ES_tradnl"/>
        </w:rPr>
        <w:t xml:space="preserve"> Nacional de Contratación Pública ― Colombia Compra Eficiente, mediante los conceptos C-043 del 15 de enero de 2020, C-073 del 28 de febrero de 2020, C-114 del 6 de marzo de 2020, C-033 del 13 de marzo de 2020</w:t>
      </w:r>
      <w:r>
        <w:rPr>
          <w:rFonts w:ascii="Arial" w:eastAsia="Calibri" w:hAnsi="Arial" w:cs="Arial"/>
          <w:color w:val="000000" w:themeColor="text1"/>
          <w:sz w:val="22"/>
          <w:lang w:val="es-ES_tradnl"/>
        </w:rPr>
        <w:t xml:space="preserve">, </w:t>
      </w:r>
      <w:r w:rsidRPr="00F8190C">
        <w:rPr>
          <w:rFonts w:ascii="Arial" w:eastAsia="Calibri" w:hAnsi="Arial" w:cs="Arial"/>
          <w:color w:val="000000" w:themeColor="text1"/>
          <w:sz w:val="22"/>
          <w:lang w:val="es-ES_tradnl"/>
        </w:rPr>
        <w:t>C-119 del 18 de marzo de 2020</w:t>
      </w:r>
      <w:r>
        <w:rPr>
          <w:rFonts w:ascii="Arial" w:eastAsia="Calibri" w:hAnsi="Arial" w:cs="Arial"/>
          <w:color w:val="000000" w:themeColor="text1"/>
          <w:sz w:val="22"/>
          <w:lang w:val="es-ES_tradnl"/>
        </w:rPr>
        <w:t xml:space="preserve"> y C-360 del 16 de julio de 2020</w:t>
      </w:r>
      <w:r w:rsidRPr="00F8190C">
        <w:rPr>
          <w:rFonts w:ascii="Arial" w:eastAsia="Calibri" w:hAnsi="Arial" w:cs="Arial"/>
          <w:color w:val="000000" w:themeColor="text1"/>
          <w:sz w:val="22"/>
          <w:lang w:val="es-ES_tradnl"/>
        </w:rPr>
        <w:t xml:space="preserve">, se pronunció sobre el entendimiento del concepto de trato nacional. Algunas de </w:t>
      </w:r>
      <w:r w:rsidRPr="00F8190C">
        <w:rPr>
          <w:rFonts w:ascii="Arial" w:hAnsi="Arial" w:cs="Arial"/>
          <w:color w:val="000000" w:themeColor="text1"/>
          <w:sz w:val="22"/>
          <w:lang w:val="es-ES_tradnl"/>
        </w:rPr>
        <w:t>las tesis expuestas en dichas oportunidades se reiteran a continuación:</w:t>
      </w:r>
    </w:p>
    <w:p w14:paraId="07AC36DE" w14:textId="77777777" w:rsidR="00D30D54" w:rsidRPr="00B8408D" w:rsidRDefault="00D30D54" w:rsidP="00D30D54">
      <w:pPr>
        <w:pStyle w:val="Textoindependiente"/>
        <w:spacing w:before="2"/>
        <w:rPr>
          <w:sz w:val="22"/>
          <w:szCs w:val="22"/>
        </w:rPr>
      </w:pPr>
    </w:p>
    <w:p w14:paraId="74C191C7" w14:textId="77777777" w:rsidR="00D30D54" w:rsidRPr="00B8408D" w:rsidRDefault="00D30D54" w:rsidP="00D30D54">
      <w:pPr>
        <w:pStyle w:val="Ttulo1"/>
        <w:keepNext w:val="0"/>
        <w:keepLines w:val="0"/>
        <w:widowControl w:val="0"/>
        <w:numPr>
          <w:ilvl w:val="1"/>
          <w:numId w:val="7"/>
        </w:numPr>
        <w:tabs>
          <w:tab w:val="left" w:pos="726"/>
        </w:tabs>
        <w:autoSpaceDE w:val="0"/>
        <w:autoSpaceDN w:val="0"/>
        <w:spacing w:before="1" w:line="276" w:lineRule="auto"/>
        <w:rPr>
          <w:rFonts w:ascii="Arial" w:hAnsi="Arial" w:cs="Arial"/>
          <w:b/>
          <w:bCs/>
          <w:color w:val="000000" w:themeColor="text1"/>
          <w:sz w:val="22"/>
          <w:szCs w:val="22"/>
        </w:rPr>
      </w:pPr>
      <w:r w:rsidRPr="00B8408D">
        <w:rPr>
          <w:rFonts w:ascii="Arial" w:hAnsi="Arial" w:cs="Arial"/>
          <w:b/>
          <w:bCs/>
          <w:color w:val="000000" w:themeColor="text1"/>
          <w:sz w:val="22"/>
          <w:szCs w:val="22"/>
        </w:rPr>
        <w:t>Contratación pública y tratados</w:t>
      </w:r>
      <w:r w:rsidRPr="00B8408D">
        <w:rPr>
          <w:rFonts w:ascii="Arial" w:hAnsi="Arial" w:cs="Arial"/>
          <w:b/>
          <w:bCs/>
          <w:color w:val="000000" w:themeColor="text1"/>
          <w:spacing w:val="-6"/>
          <w:sz w:val="22"/>
          <w:szCs w:val="22"/>
        </w:rPr>
        <w:t xml:space="preserve"> </w:t>
      </w:r>
      <w:r w:rsidRPr="00B8408D">
        <w:rPr>
          <w:rFonts w:ascii="Arial" w:hAnsi="Arial" w:cs="Arial"/>
          <w:b/>
          <w:bCs/>
          <w:color w:val="000000" w:themeColor="text1"/>
          <w:sz w:val="22"/>
          <w:szCs w:val="22"/>
        </w:rPr>
        <w:t>internacionales</w:t>
      </w:r>
    </w:p>
    <w:p w14:paraId="410262CC" w14:textId="77777777" w:rsidR="00D30D54" w:rsidRPr="00B8408D" w:rsidRDefault="00D30D54" w:rsidP="00D30D54">
      <w:pPr>
        <w:pStyle w:val="Textoindependiente"/>
        <w:spacing w:before="7" w:line="276" w:lineRule="auto"/>
        <w:rPr>
          <w:b/>
          <w:sz w:val="22"/>
          <w:szCs w:val="22"/>
        </w:rPr>
      </w:pPr>
    </w:p>
    <w:p w14:paraId="13950E58" w14:textId="77777777" w:rsidR="00D30D54" w:rsidRPr="00B8408D" w:rsidRDefault="00D30D54" w:rsidP="00D30D54">
      <w:pPr>
        <w:pStyle w:val="Textoindependiente"/>
        <w:spacing w:line="276" w:lineRule="auto"/>
        <w:jc w:val="both"/>
        <w:rPr>
          <w:sz w:val="22"/>
          <w:szCs w:val="22"/>
        </w:rPr>
      </w:pPr>
      <w:r w:rsidRPr="00B8408D">
        <w:rPr>
          <w:sz w:val="22"/>
          <w:szCs w:val="22"/>
        </w:rPr>
        <w:t xml:space="preserve">El derecho de la contratación estatal ha dejado de ser un fenómeno estrictamente de derecho nacional. Desde hace varias décadas existen instrumentos normativos, buenas prácticas y </w:t>
      </w:r>
      <w:r w:rsidRPr="00B8408D">
        <w:rPr>
          <w:i/>
          <w:sz w:val="22"/>
          <w:szCs w:val="22"/>
        </w:rPr>
        <w:t xml:space="preserve">soft law </w:t>
      </w:r>
      <w:r w:rsidRPr="00B8408D">
        <w:rPr>
          <w:sz w:val="22"/>
          <w:szCs w:val="22"/>
        </w:rPr>
        <w:t>que hacen parte del «nuevo sistema de fuentes» de la contratación pública en diversos ordenamientos jurídicos en el mundo. La transformación de los sistemas locales ha sido de tal magnitud y tan evidente resulta la existencia de un orden internacional que la doctrina se refirió, hace más de dos décadas, a este cuerpo de normas e ideas sobre contratación estatal como «una reforma global»</w:t>
      </w:r>
      <w:r w:rsidRPr="00B8408D">
        <w:rPr>
          <w:rStyle w:val="Refdenotaalpie"/>
          <w:sz w:val="22"/>
        </w:rPr>
        <w:footnoteReference w:id="1"/>
      </w:r>
      <w:r w:rsidRPr="00B8408D">
        <w:rPr>
          <w:position w:val="8"/>
          <w:sz w:val="22"/>
          <w:szCs w:val="22"/>
        </w:rPr>
        <w:t xml:space="preserve"> </w:t>
      </w:r>
      <w:r w:rsidRPr="00B8408D">
        <w:rPr>
          <w:sz w:val="22"/>
          <w:szCs w:val="22"/>
        </w:rPr>
        <w:t>o, incluso, una</w:t>
      </w:r>
      <w:r>
        <w:rPr>
          <w:sz w:val="22"/>
          <w:szCs w:val="22"/>
        </w:rPr>
        <w:t xml:space="preserve"> </w:t>
      </w:r>
      <w:r w:rsidRPr="00B8408D">
        <w:rPr>
          <w:sz w:val="22"/>
          <w:szCs w:val="22"/>
        </w:rPr>
        <w:t>«revolución global»</w:t>
      </w:r>
      <w:r w:rsidRPr="00B8408D">
        <w:rPr>
          <w:rStyle w:val="Refdenotaalpie"/>
          <w:sz w:val="22"/>
        </w:rPr>
        <w:footnoteReference w:id="2"/>
      </w:r>
      <w:r w:rsidRPr="00B8408D">
        <w:rPr>
          <w:sz w:val="22"/>
          <w:szCs w:val="22"/>
        </w:rPr>
        <w:t>.</w:t>
      </w:r>
    </w:p>
    <w:p w14:paraId="5853FE77" w14:textId="77777777" w:rsidR="00D30D54" w:rsidRPr="00B8408D" w:rsidRDefault="00D30D54" w:rsidP="00D30D54">
      <w:pPr>
        <w:pStyle w:val="Textoindependiente"/>
        <w:spacing w:before="157" w:line="276" w:lineRule="auto"/>
        <w:ind w:firstLine="709"/>
        <w:jc w:val="both"/>
        <w:rPr>
          <w:sz w:val="22"/>
          <w:szCs w:val="22"/>
        </w:rPr>
      </w:pPr>
      <w:r w:rsidRPr="00B8408D">
        <w:rPr>
          <w:sz w:val="22"/>
          <w:szCs w:val="22"/>
        </w:rPr>
        <w:t>Esta revolución global en materia de contratación estatal es un fenómeno jurídico o manifestación de un fenómeno más amplio que es la globalización, en el cual se cuentan actores diversos, como la Comisión de las Naciones Unidas para el Derecho Mercantil que cuenta con una ley modelo en materia de contratación pública</w:t>
      </w:r>
      <w:r w:rsidRPr="00B8408D">
        <w:rPr>
          <w:rStyle w:val="Refdenotaalpie"/>
          <w:sz w:val="22"/>
        </w:rPr>
        <w:footnoteReference w:id="3"/>
      </w:r>
      <w:r w:rsidRPr="00B8408D">
        <w:rPr>
          <w:sz w:val="22"/>
          <w:szCs w:val="22"/>
        </w:rPr>
        <w:t xml:space="preserve">, los organismos </w:t>
      </w:r>
      <w:r w:rsidRPr="00B8408D">
        <w:rPr>
          <w:sz w:val="22"/>
          <w:szCs w:val="22"/>
        </w:rPr>
        <w:lastRenderedPageBreak/>
        <w:t>multilaterales de crédito que han actuado como catalizadores de reforma de los sistemas locales</w:t>
      </w:r>
      <w:r w:rsidRPr="00B8408D">
        <w:rPr>
          <w:rStyle w:val="Refdenotaalpie"/>
          <w:sz w:val="22"/>
        </w:rPr>
        <w:footnoteReference w:id="4"/>
      </w:r>
      <w:r w:rsidRPr="00B8408D">
        <w:rPr>
          <w:sz w:val="22"/>
          <w:szCs w:val="22"/>
        </w:rPr>
        <w:t>. De igual forma, la liberalización de los mercados de contratación a través de acuerdos plurilaterales de comercio como el Acuerdo sobre Contratación Pública de la OMC, acuerdos regionales como la Unión Europea, o acuerdos bilaterales de comercio con capítulos de contratación estatal, lo cual tiene importantes efectos para el asunto analizado en este</w:t>
      </w:r>
      <w:r w:rsidRPr="00B8408D">
        <w:rPr>
          <w:spacing w:val="-7"/>
          <w:sz w:val="22"/>
          <w:szCs w:val="22"/>
        </w:rPr>
        <w:t xml:space="preserve"> </w:t>
      </w:r>
      <w:r w:rsidRPr="00B8408D">
        <w:rPr>
          <w:sz w:val="22"/>
          <w:szCs w:val="22"/>
        </w:rPr>
        <w:t>concepto.</w:t>
      </w:r>
    </w:p>
    <w:p w14:paraId="2955F36C" w14:textId="77777777" w:rsidR="00D30D54" w:rsidRPr="00B8408D" w:rsidRDefault="00D30D54" w:rsidP="00D30D54">
      <w:pPr>
        <w:pStyle w:val="Textoindependiente"/>
        <w:spacing w:before="111" w:line="276" w:lineRule="auto"/>
        <w:ind w:firstLine="709"/>
        <w:jc w:val="both"/>
        <w:rPr>
          <w:sz w:val="22"/>
          <w:szCs w:val="22"/>
        </w:rPr>
      </w:pPr>
      <w:r w:rsidRPr="00B8408D">
        <w:rPr>
          <w:sz w:val="22"/>
          <w:szCs w:val="22"/>
        </w:rPr>
        <w:t>Los tratados bilaterales de comercio con capítulos sobre contratación pública son hoy en día una realidad en el ordenamiento jurídico colombiano y las normas de contratación nacionales, como el Estatuto General de Contratación, deben aplicarse en la práctica con la debida observancia de las obligaciones internacionales del Estado, so pena de responsabilidad por incumplimiento de las mismas.</w:t>
      </w:r>
    </w:p>
    <w:p w14:paraId="6168480E" w14:textId="77777777" w:rsidR="00D30D54" w:rsidRPr="00B8408D" w:rsidRDefault="00D30D54" w:rsidP="00D30D54">
      <w:pPr>
        <w:pStyle w:val="Textoindependiente"/>
        <w:spacing w:before="119" w:line="276" w:lineRule="auto"/>
        <w:ind w:firstLine="709"/>
        <w:jc w:val="both"/>
        <w:rPr>
          <w:sz w:val="22"/>
          <w:szCs w:val="22"/>
        </w:rPr>
      </w:pPr>
      <w:r w:rsidRPr="00B8408D">
        <w:rPr>
          <w:sz w:val="22"/>
          <w:szCs w:val="22"/>
        </w:rPr>
        <w:t>Uno de los aspectos que presenta mayor complejidad a nivel internacional en materia de contratación pública se refiere al concepto de contratación pública cubierta. Esto es, las transacciones que se entienden comprendidas dentro del acuerdo, y a las cuales deben, en consecuencia, aplicarse los estándares de protección acordados. Para determinar qué es contratación cubierta es necesario revisar el instrumento normativo preciso cuya protección se invoca – el tratado – y determinar si la transacción está cubierta o no.</w:t>
      </w:r>
    </w:p>
    <w:p w14:paraId="78A12869" w14:textId="77777777" w:rsidR="00D30D54" w:rsidRPr="00B8408D" w:rsidRDefault="00D30D54" w:rsidP="00D30D54">
      <w:pPr>
        <w:pStyle w:val="Textoindependiente"/>
        <w:spacing w:before="122" w:line="276" w:lineRule="auto"/>
        <w:ind w:firstLine="709"/>
        <w:jc w:val="both"/>
        <w:rPr>
          <w:sz w:val="22"/>
          <w:szCs w:val="22"/>
        </w:rPr>
      </w:pPr>
      <w:r w:rsidRPr="00B8408D">
        <w:rPr>
          <w:sz w:val="22"/>
          <w:szCs w:val="22"/>
        </w:rPr>
        <w:t>En este marco, la Agencia Nacional de Contratación Pública – Colombia Compra Eficiente expidió el manual para el manejo de los acuerdos comerciales en procesos de contratación con el fin de lograr que las entidades estatales cumplan, en la práctica, de manera sencilla y pacífica las obligaciones internacionales adquiridas por el Estado. Este manual, sin introducir ninguna modificación o restricción a los tratados, condensa y explica los deberes internacionales del estado colombiano que deben iluminar la actuación de las entidades estatales</w:t>
      </w:r>
      <w:r w:rsidRPr="00B8408D">
        <w:rPr>
          <w:spacing w:val="-8"/>
          <w:sz w:val="22"/>
          <w:szCs w:val="22"/>
        </w:rPr>
        <w:t xml:space="preserve"> </w:t>
      </w:r>
      <w:r w:rsidRPr="00B8408D">
        <w:rPr>
          <w:sz w:val="22"/>
          <w:szCs w:val="22"/>
        </w:rPr>
        <w:t>contratantes.</w:t>
      </w:r>
    </w:p>
    <w:p w14:paraId="5998307D" w14:textId="77777777" w:rsidR="00D30D54" w:rsidRDefault="00D30D54" w:rsidP="00D30D54">
      <w:pPr>
        <w:pStyle w:val="Ttulo1"/>
        <w:keepNext w:val="0"/>
        <w:keepLines w:val="0"/>
        <w:widowControl w:val="0"/>
        <w:tabs>
          <w:tab w:val="left" w:pos="728"/>
        </w:tabs>
        <w:autoSpaceDE w:val="0"/>
        <w:autoSpaceDN w:val="0"/>
        <w:spacing w:before="0" w:line="276" w:lineRule="auto"/>
        <w:rPr>
          <w:rFonts w:ascii="Arial" w:hAnsi="Arial" w:cs="Arial"/>
          <w:b/>
          <w:bCs/>
          <w:color w:val="000000" w:themeColor="text1"/>
          <w:sz w:val="22"/>
          <w:szCs w:val="22"/>
        </w:rPr>
      </w:pPr>
    </w:p>
    <w:p w14:paraId="3E891E6D" w14:textId="77777777" w:rsidR="00D30D54" w:rsidRDefault="00D30D54" w:rsidP="00D30D54">
      <w:pPr>
        <w:pStyle w:val="Ttulo1"/>
        <w:keepNext w:val="0"/>
        <w:keepLines w:val="0"/>
        <w:widowControl w:val="0"/>
        <w:numPr>
          <w:ilvl w:val="1"/>
          <w:numId w:val="7"/>
        </w:numPr>
        <w:tabs>
          <w:tab w:val="left" w:pos="728"/>
        </w:tabs>
        <w:autoSpaceDE w:val="0"/>
        <w:autoSpaceDN w:val="0"/>
        <w:spacing w:before="0" w:line="276" w:lineRule="auto"/>
        <w:jc w:val="both"/>
        <w:rPr>
          <w:rFonts w:ascii="Arial" w:hAnsi="Arial" w:cs="Arial"/>
          <w:b/>
          <w:bCs/>
          <w:color w:val="000000" w:themeColor="text1"/>
          <w:sz w:val="22"/>
          <w:szCs w:val="22"/>
        </w:rPr>
      </w:pPr>
      <w:r w:rsidRPr="00B8408D">
        <w:rPr>
          <w:rFonts w:ascii="Arial" w:hAnsi="Arial" w:cs="Arial"/>
          <w:b/>
          <w:bCs/>
          <w:color w:val="000000" w:themeColor="text1"/>
          <w:sz w:val="22"/>
          <w:szCs w:val="22"/>
        </w:rPr>
        <w:t>Contratación pública cubierta y tratamiento de las excepciones en los acuerdos comerciales</w:t>
      </w:r>
    </w:p>
    <w:p w14:paraId="2D610E78" w14:textId="77777777" w:rsidR="00D30D54" w:rsidRPr="00B8408D" w:rsidRDefault="00D30D54" w:rsidP="00D30D54"/>
    <w:p w14:paraId="7F74E762" w14:textId="77777777" w:rsidR="00D30D54" w:rsidRPr="00B8408D" w:rsidRDefault="00D30D54" w:rsidP="00D30D54">
      <w:pPr>
        <w:pStyle w:val="Textoindependiente"/>
        <w:spacing w:line="276" w:lineRule="auto"/>
        <w:jc w:val="both"/>
        <w:rPr>
          <w:sz w:val="22"/>
          <w:szCs w:val="22"/>
        </w:rPr>
      </w:pPr>
      <w:r w:rsidRPr="00B8408D">
        <w:rPr>
          <w:sz w:val="22"/>
          <w:szCs w:val="22"/>
        </w:rPr>
        <w:t xml:space="preserve">El Manual de Colombia Compra Eficiente es una guía para que las Entidades Estatales contraten según lo estipulado en cada Tratado Internacional, es por esto que la función de la Entidad no es interpretar ningún acuerdo sino compilar la información según </w:t>
      </w:r>
      <w:r w:rsidRPr="00B8408D">
        <w:rPr>
          <w:spacing w:val="5"/>
          <w:sz w:val="22"/>
          <w:szCs w:val="22"/>
        </w:rPr>
        <w:t xml:space="preserve">lo </w:t>
      </w:r>
      <w:r w:rsidRPr="00B8408D">
        <w:rPr>
          <w:sz w:val="22"/>
          <w:szCs w:val="22"/>
        </w:rPr>
        <w:t>establecido en cada uno de los TLC, y presentarla de manera</w:t>
      </w:r>
      <w:r w:rsidRPr="00B8408D">
        <w:rPr>
          <w:spacing w:val="-20"/>
          <w:sz w:val="22"/>
          <w:szCs w:val="22"/>
        </w:rPr>
        <w:t xml:space="preserve"> </w:t>
      </w:r>
      <w:r w:rsidRPr="00B8408D">
        <w:rPr>
          <w:sz w:val="22"/>
          <w:szCs w:val="22"/>
        </w:rPr>
        <w:t>organizada.</w:t>
      </w:r>
    </w:p>
    <w:p w14:paraId="42DD99FB" w14:textId="77777777" w:rsidR="00D30D54" w:rsidRPr="00B8408D" w:rsidRDefault="00D30D54" w:rsidP="00D30D54">
      <w:pPr>
        <w:pStyle w:val="Textoindependiente"/>
        <w:spacing w:before="121" w:line="276" w:lineRule="auto"/>
        <w:ind w:firstLine="707"/>
        <w:jc w:val="both"/>
        <w:rPr>
          <w:sz w:val="22"/>
          <w:szCs w:val="22"/>
        </w:rPr>
      </w:pPr>
      <w:r w:rsidRPr="00B8408D">
        <w:rPr>
          <w:sz w:val="22"/>
          <w:szCs w:val="22"/>
        </w:rPr>
        <w:lastRenderedPageBreak/>
        <w:t xml:space="preserve">Así lo indicó esta Subdirección en el Concepto con radicado No. 2201913000008425 del 13 de noviembre de 2019, «Las entidades estatales pueden hacer uso del “Manual para el manejo de los Acuerdos Comerciales en Procesos de Contratación”, expedido por Colombia Compra Eficiente como herramienta orientadora para conocer la cobertura de los Acuerdos Comerciales y los plazos correspondientes. Sin embargo, el uso del manual no exime a la entidad del deber de conocer y aplicar cada Acuerdo Comercial». Ello </w:t>
      </w:r>
      <w:r>
        <w:rPr>
          <w:sz w:val="22"/>
          <w:szCs w:val="22"/>
        </w:rPr>
        <w:t xml:space="preserve">quiere </w:t>
      </w:r>
      <w:r w:rsidRPr="00B8408D">
        <w:rPr>
          <w:sz w:val="22"/>
          <w:szCs w:val="22"/>
        </w:rPr>
        <w:t>decir que el Manual es una herramienta de orientación, pero no exime a las entidades estatales de verificar la cobertura y aplicar los acuerdos comerciales que resulten obligatorios en el correspondiente procedimiento de</w:t>
      </w:r>
      <w:r w:rsidRPr="0063407B">
        <w:rPr>
          <w:sz w:val="22"/>
          <w:szCs w:val="22"/>
        </w:rPr>
        <w:t xml:space="preserve"> </w:t>
      </w:r>
      <w:r w:rsidRPr="00B8408D">
        <w:rPr>
          <w:sz w:val="22"/>
          <w:szCs w:val="22"/>
        </w:rPr>
        <w:t>selección</w:t>
      </w:r>
      <w:r>
        <w:rPr>
          <w:sz w:val="22"/>
          <w:szCs w:val="22"/>
        </w:rPr>
        <w:t>.</w:t>
      </w:r>
    </w:p>
    <w:p w14:paraId="4A6903EE" w14:textId="77777777" w:rsidR="00D30D54" w:rsidRPr="00B8408D" w:rsidRDefault="00D30D54" w:rsidP="00D30D54">
      <w:pPr>
        <w:pStyle w:val="Textoindependiente"/>
        <w:spacing w:before="120" w:line="276" w:lineRule="auto"/>
        <w:ind w:firstLine="707"/>
        <w:jc w:val="both"/>
        <w:rPr>
          <w:sz w:val="22"/>
          <w:szCs w:val="22"/>
        </w:rPr>
      </w:pPr>
      <w:r w:rsidRPr="00B8408D">
        <w:rPr>
          <w:sz w:val="22"/>
          <w:szCs w:val="22"/>
        </w:rPr>
        <w:t>Según se indicó en el numeral anterior de este concepto, la contratación pública cubierta solamente puede ser determinada en cada instrumento normativo de derecho internacional de manera independiente. En relación con ese punto, la Oficina de Asuntos Legales Internacionales del Ministerio de Comercio e Industria señaló:</w:t>
      </w:r>
    </w:p>
    <w:p w14:paraId="39C8A1D2" w14:textId="77777777" w:rsidR="00D30D54" w:rsidRPr="00B8408D" w:rsidRDefault="00D30D54" w:rsidP="00D30D54">
      <w:pPr>
        <w:spacing w:before="94" w:line="276" w:lineRule="auto"/>
        <w:ind w:left="709" w:right="709"/>
        <w:jc w:val="both"/>
        <w:rPr>
          <w:rFonts w:ascii="Arial" w:hAnsi="Arial" w:cs="Arial"/>
          <w:sz w:val="22"/>
          <w:szCs w:val="22"/>
        </w:rPr>
      </w:pPr>
      <w:r w:rsidRPr="00B8408D">
        <w:rPr>
          <w:rFonts w:ascii="Arial" w:hAnsi="Arial" w:cs="Arial"/>
          <w:sz w:val="22"/>
          <w:szCs w:val="22"/>
        </w:rPr>
        <w:t>Al respecto, esta Oficina aclara que los presuntos errores identificados en su comunicación deben revisarse en cada proceso licitatorio a la luz del siguiente estándar de aplicabilidad de los acuerdos:</w:t>
      </w:r>
    </w:p>
    <w:p w14:paraId="60F4BF64" w14:textId="77777777" w:rsidR="00D30D54" w:rsidRPr="00B8408D" w:rsidRDefault="00D30D54" w:rsidP="00D30D54">
      <w:pPr>
        <w:pStyle w:val="Prrafodelista"/>
        <w:widowControl w:val="0"/>
        <w:numPr>
          <w:ilvl w:val="2"/>
          <w:numId w:val="7"/>
        </w:numPr>
        <w:tabs>
          <w:tab w:val="left" w:pos="1727"/>
          <w:tab w:val="left" w:pos="1728"/>
        </w:tabs>
        <w:autoSpaceDE w:val="0"/>
        <w:autoSpaceDN w:val="0"/>
        <w:spacing w:before="120" w:line="276" w:lineRule="auto"/>
        <w:ind w:left="709" w:right="709"/>
        <w:contextualSpacing w:val="0"/>
        <w:jc w:val="both"/>
        <w:rPr>
          <w:rFonts w:ascii="Arial" w:hAnsi="Arial" w:cs="Arial"/>
          <w:sz w:val="22"/>
        </w:rPr>
      </w:pPr>
      <w:r w:rsidRPr="00B8408D">
        <w:rPr>
          <w:rFonts w:ascii="Arial" w:hAnsi="Arial" w:cs="Arial"/>
          <w:sz w:val="22"/>
        </w:rPr>
        <w:t>Que la entidad estatal que adelanta la contratación esté incluida en el acuerdo</w:t>
      </w:r>
      <w:r w:rsidRPr="00B8408D">
        <w:rPr>
          <w:rFonts w:ascii="Arial" w:hAnsi="Arial" w:cs="Arial"/>
          <w:spacing w:val="-2"/>
          <w:sz w:val="22"/>
        </w:rPr>
        <w:t xml:space="preserve"> </w:t>
      </w:r>
      <w:r w:rsidRPr="00B8408D">
        <w:rPr>
          <w:rFonts w:ascii="Arial" w:hAnsi="Arial" w:cs="Arial"/>
          <w:sz w:val="22"/>
        </w:rPr>
        <w:t>comercial;</w:t>
      </w:r>
    </w:p>
    <w:p w14:paraId="285F51D2" w14:textId="77777777" w:rsidR="00D30D54" w:rsidRPr="00B8408D" w:rsidRDefault="00D30D54" w:rsidP="00D30D54">
      <w:pPr>
        <w:pStyle w:val="Prrafodelista"/>
        <w:widowControl w:val="0"/>
        <w:numPr>
          <w:ilvl w:val="2"/>
          <w:numId w:val="7"/>
        </w:numPr>
        <w:tabs>
          <w:tab w:val="left" w:pos="1728"/>
        </w:tabs>
        <w:autoSpaceDE w:val="0"/>
        <w:autoSpaceDN w:val="0"/>
        <w:spacing w:line="276" w:lineRule="auto"/>
        <w:ind w:left="709" w:right="709"/>
        <w:contextualSpacing w:val="0"/>
        <w:jc w:val="both"/>
        <w:rPr>
          <w:rFonts w:ascii="Arial" w:hAnsi="Arial" w:cs="Arial"/>
          <w:sz w:val="22"/>
        </w:rPr>
      </w:pPr>
      <w:r w:rsidRPr="00B8408D">
        <w:rPr>
          <w:rFonts w:ascii="Arial" w:hAnsi="Arial" w:cs="Arial"/>
          <w:sz w:val="22"/>
        </w:rPr>
        <w:t>Que el valor estimado del proceso de contratación sea superior al valor a partir del cual el acuerdo comercial es</w:t>
      </w:r>
      <w:r w:rsidRPr="00B8408D">
        <w:rPr>
          <w:rFonts w:ascii="Arial" w:hAnsi="Arial" w:cs="Arial"/>
          <w:spacing w:val="-11"/>
          <w:sz w:val="22"/>
        </w:rPr>
        <w:t xml:space="preserve"> </w:t>
      </w:r>
      <w:r w:rsidRPr="00B8408D">
        <w:rPr>
          <w:rFonts w:ascii="Arial" w:hAnsi="Arial" w:cs="Arial"/>
          <w:sz w:val="22"/>
        </w:rPr>
        <w:t>aplicable;</w:t>
      </w:r>
    </w:p>
    <w:p w14:paraId="6BD2ADBE" w14:textId="77777777" w:rsidR="00D30D54" w:rsidRPr="00B8408D" w:rsidRDefault="00D30D54" w:rsidP="00D30D54">
      <w:pPr>
        <w:pStyle w:val="Prrafodelista"/>
        <w:widowControl w:val="0"/>
        <w:numPr>
          <w:ilvl w:val="2"/>
          <w:numId w:val="7"/>
        </w:numPr>
        <w:tabs>
          <w:tab w:val="left" w:pos="1728"/>
        </w:tabs>
        <w:autoSpaceDE w:val="0"/>
        <w:autoSpaceDN w:val="0"/>
        <w:spacing w:line="276" w:lineRule="auto"/>
        <w:ind w:left="709" w:right="709"/>
        <w:contextualSpacing w:val="0"/>
        <w:jc w:val="both"/>
        <w:rPr>
          <w:rFonts w:ascii="Arial" w:hAnsi="Arial" w:cs="Arial"/>
          <w:sz w:val="22"/>
        </w:rPr>
      </w:pPr>
      <w:r w:rsidRPr="00B8408D">
        <w:rPr>
          <w:rFonts w:ascii="Arial" w:hAnsi="Arial" w:cs="Arial"/>
          <w:sz w:val="22"/>
        </w:rPr>
        <w:t>Que la entidad estatal determine que no le son aplicables al proceso de contratación las excepciones previstas en el capítulo sobre contratación pública de dicho acuerdo comercial,</w:t>
      </w:r>
      <w:r w:rsidRPr="00B8408D">
        <w:rPr>
          <w:rFonts w:ascii="Arial" w:hAnsi="Arial" w:cs="Arial"/>
          <w:spacing w:val="-9"/>
          <w:sz w:val="22"/>
        </w:rPr>
        <w:t xml:space="preserve"> </w:t>
      </w:r>
      <w:r w:rsidRPr="00B8408D">
        <w:rPr>
          <w:rFonts w:ascii="Arial" w:hAnsi="Arial" w:cs="Arial"/>
          <w:sz w:val="22"/>
        </w:rPr>
        <w:t>y</w:t>
      </w:r>
    </w:p>
    <w:p w14:paraId="0C6044AB" w14:textId="77777777" w:rsidR="00D30D54" w:rsidRPr="00B8408D" w:rsidRDefault="00D30D54" w:rsidP="00D30D54">
      <w:pPr>
        <w:pStyle w:val="Prrafodelista"/>
        <w:widowControl w:val="0"/>
        <w:numPr>
          <w:ilvl w:val="2"/>
          <w:numId w:val="7"/>
        </w:numPr>
        <w:tabs>
          <w:tab w:val="left" w:pos="1728"/>
        </w:tabs>
        <w:autoSpaceDE w:val="0"/>
        <w:autoSpaceDN w:val="0"/>
        <w:spacing w:line="276" w:lineRule="auto"/>
        <w:ind w:left="709" w:right="709"/>
        <w:contextualSpacing w:val="0"/>
        <w:jc w:val="both"/>
        <w:rPr>
          <w:rFonts w:ascii="Arial" w:hAnsi="Arial" w:cs="Arial"/>
          <w:sz w:val="22"/>
        </w:rPr>
      </w:pPr>
      <w:r w:rsidRPr="00B8408D">
        <w:rPr>
          <w:rFonts w:ascii="Arial" w:hAnsi="Arial" w:cs="Arial"/>
          <w:sz w:val="22"/>
        </w:rPr>
        <w:t>Que el acuerdo comercial esté</w:t>
      </w:r>
      <w:r w:rsidRPr="00B8408D">
        <w:rPr>
          <w:rFonts w:ascii="Arial" w:hAnsi="Arial" w:cs="Arial"/>
          <w:spacing w:val="-8"/>
          <w:sz w:val="22"/>
        </w:rPr>
        <w:t xml:space="preserve"> </w:t>
      </w:r>
      <w:r w:rsidRPr="00B8408D">
        <w:rPr>
          <w:rFonts w:ascii="Arial" w:hAnsi="Arial" w:cs="Arial"/>
          <w:sz w:val="22"/>
        </w:rPr>
        <w:t>vigente</w:t>
      </w:r>
    </w:p>
    <w:p w14:paraId="6437044C" w14:textId="77777777" w:rsidR="00D30D54" w:rsidRPr="00B8408D" w:rsidRDefault="00D30D54" w:rsidP="00D30D54">
      <w:pPr>
        <w:spacing w:before="123" w:line="276" w:lineRule="auto"/>
        <w:ind w:left="709" w:right="709"/>
        <w:jc w:val="both"/>
        <w:rPr>
          <w:rFonts w:ascii="Arial" w:hAnsi="Arial" w:cs="Arial"/>
          <w:sz w:val="22"/>
          <w:szCs w:val="22"/>
        </w:rPr>
      </w:pPr>
      <w:r w:rsidRPr="00B8408D">
        <w:rPr>
          <w:rFonts w:ascii="Arial" w:hAnsi="Arial" w:cs="Arial"/>
          <w:sz w:val="22"/>
          <w:szCs w:val="22"/>
        </w:rPr>
        <w:t>[…] también debemos precisar que cada acuerdo comercial es único, y, por lo tanto, al examinar su cobertura, se debe tener en cuenta que cada Acuerdo es diferente y, en esta medida, pueden contener entidades, valores, y excepciones distintas a los demás acuerdos comerciales</w:t>
      </w:r>
      <w:r w:rsidRPr="00B8408D">
        <w:rPr>
          <w:rStyle w:val="Refdenotaalpie"/>
          <w:rFonts w:ascii="Arial" w:hAnsi="Arial" w:cs="Arial"/>
          <w:sz w:val="22"/>
        </w:rPr>
        <w:footnoteReference w:id="5"/>
      </w:r>
      <w:r w:rsidRPr="00B8408D">
        <w:rPr>
          <w:rFonts w:ascii="Arial" w:hAnsi="Arial" w:cs="Arial"/>
          <w:sz w:val="22"/>
          <w:szCs w:val="22"/>
        </w:rPr>
        <w:t>.</w:t>
      </w:r>
    </w:p>
    <w:p w14:paraId="2DACCFF2" w14:textId="77777777" w:rsidR="00D30D54" w:rsidRPr="00B8408D" w:rsidRDefault="00D30D54" w:rsidP="00D30D54">
      <w:pPr>
        <w:pStyle w:val="Textoindependiente"/>
        <w:spacing w:before="6" w:line="276" w:lineRule="auto"/>
        <w:rPr>
          <w:sz w:val="22"/>
          <w:szCs w:val="22"/>
        </w:rPr>
      </w:pPr>
    </w:p>
    <w:p w14:paraId="59B245D0" w14:textId="77777777" w:rsidR="00D30D54" w:rsidRPr="00B8408D" w:rsidRDefault="00D30D54" w:rsidP="00D30D54">
      <w:pPr>
        <w:pStyle w:val="Textoindependiente"/>
        <w:spacing w:after="120" w:line="276" w:lineRule="auto"/>
        <w:ind w:firstLine="707"/>
        <w:jc w:val="both"/>
        <w:rPr>
          <w:sz w:val="22"/>
          <w:szCs w:val="22"/>
        </w:rPr>
      </w:pPr>
      <w:r w:rsidRPr="00B8408D">
        <w:rPr>
          <w:sz w:val="22"/>
          <w:szCs w:val="22"/>
        </w:rPr>
        <w:t>Por ello, para determinar si la contratación de la Aeronáutica Civil se encuentra cubierta o no por el Acuerdo Comercial, es necesario observar el contenido del mismo.</w:t>
      </w:r>
    </w:p>
    <w:p w14:paraId="272D20AB" w14:textId="77777777" w:rsidR="00D30D54" w:rsidRPr="00B8408D" w:rsidRDefault="00D30D54" w:rsidP="00D30D54">
      <w:pPr>
        <w:pStyle w:val="Textoindependiente"/>
        <w:spacing w:line="276" w:lineRule="auto"/>
        <w:ind w:firstLine="709"/>
        <w:jc w:val="both"/>
        <w:rPr>
          <w:sz w:val="22"/>
          <w:szCs w:val="22"/>
        </w:rPr>
      </w:pPr>
      <w:r w:rsidRPr="00B8408D">
        <w:rPr>
          <w:sz w:val="22"/>
          <w:szCs w:val="22"/>
        </w:rPr>
        <w:t>La contratación de la Aeronáutica Civil, en tanto Unidad Administrativa Especial adscrita al Ministerio de Transporte</w:t>
      </w:r>
      <w:r w:rsidRPr="00B8408D">
        <w:rPr>
          <w:rStyle w:val="Refdenotaalpie"/>
          <w:sz w:val="22"/>
        </w:rPr>
        <w:footnoteReference w:id="6"/>
      </w:r>
      <w:r w:rsidRPr="00B8408D">
        <w:rPr>
          <w:sz w:val="22"/>
          <w:szCs w:val="22"/>
        </w:rPr>
        <w:t xml:space="preserve">, estaría en principio cubierta por los distintos acuerdos </w:t>
      </w:r>
      <w:r w:rsidRPr="00B8408D">
        <w:rPr>
          <w:sz w:val="22"/>
          <w:szCs w:val="22"/>
        </w:rPr>
        <w:lastRenderedPageBreak/>
        <w:t>comerciales, pues se trata de una unidad administrativa especial adscrita a una entidad cubierta, esto es, el Ministerio de Transporte.</w:t>
      </w:r>
    </w:p>
    <w:p w14:paraId="094B0D60" w14:textId="77777777" w:rsidR="00D30D54" w:rsidRPr="00B8408D" w:rsidRDefault="00D30D54" w:rsidP="00D30D54">
      <w:pPr>
        <w:pStyle w:val="Textoindependiente"/>
        <w:spacing w:before="120" w:line="276" w:lineRule="auto"/>
        <w:ind w:firstLine="709"/>
        <w:jc w:val="both"/>
        <w:rPr>
          <w:sz w:val="22"/>
          <w:szCs w:val="22"/>
        </w:rPr>
      </w:pPr>
      <w:r w:rsidRPr="00B8408D">
        <w:rPr>
          <w:sz w:val="22"/>
          <w:szCs w:val="22"/>
        </w:rPr>
        <w:t>No obstante, en el Anexo 4: Lista de excepciones a la aplicación de los Acuerdos Comerciales, se puede</w:t>
      </w:r>
      <w:r w:rsidRPr="00B8408D">
        <w:rPr>
          <w:spacing w:val="-27"/>
          <w:sz w:val="22"/>
          <w:szCs w:val="22"/>
        </w:rPr>
        <w:t xml:space="preserve"> </w:t>
      </w:r>
      <w:r w:rsidRPr="00B8408D">
        <w:rPr>
          <w:sz w:val="22"/>
          <w:szCs w:val="22"/>
        </w:rPr>
        <w:t>leer:</w:t>
      </w:r>
    </w:p>
    <w:p w14:paraId="1F4CD9C5" w14:textId="77777777" w:rsidR="00D30D54" w:rsidRPr="00B8408D" w:rsidRDefault="00D30D54" w:rsidP="00D30D54">
      <w:pPr>
        <w:pStyle w:val="Textoindependiente"/>
        <w:spacing w:before="11" w:line="276" w:lineRule="auto"/>
        <w:rPr>
          <w:sz w:val="22"/>
          <w:szCs w:val="22"/>
        </w:rPr>
      </w:pPr>
    </w:p>
    <w:p w14:paraId="624B0F64" w14:textId="77777777" w:rsidR="00D30D54" w:rsidRPr="00B8408D" w:rsidRDefault="00D30D54" w:rsidP="00D30D54">
      <w:pPr>
        <w:spacing w:line="276" w:lineRule="auto"/>
        <w:ind w:left="709" w:right="709"/>
        <w:jc w:val="both"/>
        <w:rPr>
          <w:rFonts w:ascii="Arial" w:hAnsi="Arial" w:cs="Arial"/>
          <w:sz w:val="22"/>
          <w:szCs w:val="22"/>
        </w:rPr>
      </w:pPr>
      <w:r w:rsidRPr="00B8408D">
        <w:rPr>
          <w:rFonts w:ascii="Arial" w:hAnsi="Arial" w:cs="Arial"/>
          <w:sz w:val="22"/>
          <w:szCs w:val="22"/>
        </w:rPr>
        <w:t>44. Los Procesos de Contratación de la Unidad Administrativa Especial de Aeronáutica Civil –AEROCIVIL– relacionadas con la infraestructura para el sistema aeroportuario o para el sistema nacional del espacio aéreo, las cuales no están cubiertas por el Acuerdo Comercial.</w:t>
      </w:r>
    </w:p>
    <w:p w14:paraId="749A4B56" w14:textId="77777777" w:rsidR="00D30D54" w:rsidRPr="00B8408D" w:rsidRDefault="00D30D54" w:rsidP="00D30D54">
      <w:pPr>
        <w:pStyle w:val="Textoindependiente"/>
        <w:spacing w:line="276" w:lineRule="auto"/>
        <w:rPr>
          <w:sz w:val="22"/>
          <w:szCs w:val="22"/>
        </w:rPr>
      </w:pPr>
    </w:p>
    <w:p w14:paraId="5E49248A" w14:textId="77777777" w:rsidR="00D30D54" w:rsidRPr="00B8408D" w:rsidRDefault="00D30D54" w:rsidP="00D30D54">
      <w:pPr>
        <w:pStyle w:val="Textoindependiente"/>
        <w:spacing w:before="1" w:line="276" w:lineRule="auto"/>
        <w:ind w:firstLine="707"/>
        <w:jc w:val="both"/>
        <w:rPr>
          <w:sz w:val="22"/>
          <w:szCs w:val="22"/>
        </w:rPr>
      </w:pPr>
      <w:r w:rsidRPr="00B8408D">
        <w:rPr>
          <w:sz w:val="22"/>
          <w:szCs w:val="22"/>
        </w:rPr>
        <w:t xml:space="preserve">En este otro aparte del manual se explica la regla de excepción de la contratación de la Aeronáutica Civil: están completamente excluidas las contrataciones relacionadas con la infraestructura para el sistema aeroportuario o para el sistema nacional del espacio aéreo. </w:t>
      </w:r>
    </w:p>
    <w:p w14:paraId="370BBD8A" w14:textId="77777777" w:rsidR="00D30D54" w:rsidRPr="00B8408D" w:rsidRDefault="00D30D54" w:rsidP="00D30D54">
      <w:pPr>
        <w:pStyle w:val="Textoindependiente"/>
        <w:spacing w:before="120" w:line="276" w:lineRule="auto"/>
        <w:ind w:firstLine="707"/>
        <w:jc w:val="both"/>
        <w:rPr>
          <w:sz w:val="22"/>
          <w:szCs w:val="22"/>
        </w:rPr>
      </w:pPr>
      <w:r w:rsidRPr="00B8408D">
        <w:rPr>
          <w:sz w:val="22"/>
          <w:szCs w:val="22"/>
        </w:rPr>
        <w:t>En este punto se debe resaltar que el Acuerdo Comercial excluye «las contrataciones relacionadas con la infraestructura para el sistema aeroportuario o para el sistema nacional del espacio aéreo» sin hacer ninguna consideración especial sobre el tipo de procedimiento de selección o el objeto de dichas «contrataciones». De lo anterior se deriva que dentro de la excepción del Acuerdo se encuentran incluidas todas «las contrataciones» sin importar la particularidad objeto del contrato o la modalidad de selección del contratista –licitación o concurso de méritos– que debe adelantar la entidad de conformidad con la legislación nacional.</w:t>
      </w:r>
    </w:p>
    <w:p w14:paraId="58733731" w14:textId="77777777" w:rsidR="00D30D54" w:rsidRPr="00B8408D" w:rsidRDefault="00D30D54" w:rsidP="00D30D54">
      <w:pPr>
        <w:pStyle w:val="Textoindependiente"/>
        <w:spacing w:before="120" w:line="276" w:lineRule="auto"/>
        <w:ind w:firstLine="707"/>
        <w:jc w:val="both"/>
        <w:rPr>
          <w:sz w:val="22"/>
          <w:szCs w:val="22"/>
        </w:rPr>
      </w:pPr>
      <w:r w:rsidRPr="00B8408D">
        <w:rPr>
          <w:sz w:val="22"/>
          <w:szCs w:val="22"/>
        </w:rPr>
        <w:t>Además, en la actualidad no existe una interpretación oficial sobre el tipo de proceso de selección o un significado preciso o «diferente» de «contrataciones relacionadas con la infraestructura para el sistema aeroportuario o para el sistema nacional del espacio aéreo». Sobre esto el artículo 31 de la Convención de Viena sobre el derecho de los tratados, aprobada por la Ley 32 de 1985, señala lo siguiente:</w:t>
      </w:r>
    </w:p>
    <w:p w14:paraId="57192765" w14:textId="77777777" w:rsidR="00D30D54" w:rsidRPr="00B8408D" w:rsidRDefault="00D30D54" w:rsidP="00D30D54">
      <w:pPr>
        <w:pStyle w:val="Textoindependiente"/>
        <w:spacing w:before="2" w:line="276" w:lineRule="auto"/>
        <w:rPr>
          <w:sz w:val="22"/>
          <w:szCs w:val="22"/>
        </w:rPr>
      </w:pPr>
    </w:p>
    <w:p w14:paraId="7B092A4D" w14:textId="77777777" w:rsidR="00D30D54" w:rsidRPr="00B8408D" w:rsidRDefault="00D30D54" w:rsidP="00D30D54">
      <w:pPr>
        <w:spacing w:before="1" w:line="276" w:lineRule="auto"/>
        <w:ind w:left="709" w:right="709"/>
        <w:rPr>
          <w:rFonts w:ascii="Arial" w:hAnsi="Arial" w:cs="Arial"/>
          <w:sz w:val="22"/>
          <w:szCs w:val="22"/>
        </w:rPr>
      </w:pPr>
      <w:r w:rsidRPr="00B8408D">
        <w:rPr>
          <w:rFonts w:ascii="Arial" w:hAnsi="Arial" w:cs="Arial"/>
          <w:sz w:val="22"/>
          <w:szCs w:val="22"/>
        </w:rPr>
        <w:t>Artículo 31. Regla general de interpretación.</w:t>
      </w:r>
    </w:p>
    <w:p w14:paraId="29A8B94B" w14:textId="77777777" w:rsidR="00D30D54" w:rsidRPr="00B8408D" w:rsidRDefault="00D30D54" w:rsidP="00D30D54">
      <w:pPr>
        <w:pStyle w:val="Prrafodelista"/>
        <w:widowControl w:val="0"/>
        <w:numPr>
          <w:ilvl w:val="0"/>
          <w:numId w:val="1"/>
        </w:numPr>
        <w:tabs>
          <w:tab w:val="left" w:pos="1213"/>
        </w:tabs>
        <w:autoSpaceDE w:val="0"/>
        <w:autoSpaceDN w:val="0"/>
        <w:spacing w:before="121" w:line="276" w:lineRule="auto"/>
        <w:ind w:left="709" w:right="709" w:firstLine="0"/>
        <w:contextualSpacing w:val="0"/>
        <w:jc w:val="both"/>
        <w:rPr>
          <w:rFonts w:ascii="Arial" w:hAnsi="Arial" w:cs="Arial"/>
          <w:sz w:val="22"/>
        </w:rPr>
      </w:pPr>
      <w:r w:rsidRPr="00B8408D">
        <w:rPr>
          <w:rFonts w:ascii="Arial" w:hAnsi="Arial" w:cs="Arial"/>
          <w:sz w:val="22"/>
        </w:rPr>
        <w:t>Un tratado deberá interpretarse de buena fe conforme al sentido corriente que haya de atribuirse a los términos del tratado en el contexto de estos y teniendo en cuenta su objeto y</w:t>
      </w:r>
      <w:r w:rsidRPr="00B8408D">
        <w:rPr>
          <w:rFonts w:ascii="Arial" w:hAnsi="Arial" w:cs="Arial"/>
          <w:spacing w:val="-7"/>
          <w:sz w:val="22"/>
        </w:rPr>
        <w:t xml:space="preserve"> </w:t>
      </w:r>
      <w:r w:rsidRPr="00B8408D">
        <w:rPr>
          <w:rFonts w:ascii="Arial" w:hAnsi="Arial" w:cs="Arial"/>
          <w:sz w:val="22"/>
        </w:rPr>
        <w:t>fin.</w:t>
      </w:r>
    </w:p>
    <w:p w14:paraId="48D94CAF" w14:textId="77777777" w:rsidR="00D30D54" w:rsidRPr="00B8408D" w:rsidRDefault="00D30D54" w:rsidP="00D30D54">
      <w:pPr>
        <w:pStyle w:val="Prrafodelista"/>
        <w:widowControl w:val="0"/>
        <w:numPr>
          <w:ilvl w:val="0"/>
          <w:numId w:val="5"/>
        </w:numPr>
        <w:tabs>
          <w:tab w:val="left" w:pos="1248"/>
        </w:tabs>
        <w:autoSpaceDE w:val="0"/>
        <w:autoSpaceDN w:val="0"/>
        <w:spacing w:before="118" w:line="276" w:lineRule="auto"/>
        <w:ind w:left="709" w:right="709" w:firstLine="0"/>
        <w:contextualSpacing w:val="0"/>
        <w:jc w:val="both"/>
        <w:rPr>
          <w:rFonts w:ascii="Arial" w:hAnsi="Arial" w:cs="Arial"/>
          <w:sz w:val="22"/>
        </w:rPr>
      </w:pPr>
      <w:r w:rsidRPr="00B8408D">
        <w:rPr>
          <w:rFonts w:ascii="Arial" w:hAnsi="Arial" w:cs="Arial"/>
          <w:sz w:val="22"/>
        </w:rPr>
        <w:t>Para los efectos de la interpretación de un tratado el contexto comprenderá, además del texto, incluidos su preámbulo y</w:t>
      </w:r>
      <w:r w:rsidRPr="00B8408D">
        <w:rPr>
          <w:rFonts w:ascii="Arial" w:hAnsi="Arial" w:cs="Arial"/>
          <w:spacing w:val="-15"/>
          <w:sz w:val="22"/>
        </w:rPr>
        <w:t xml:space="preserve"> </w:t>
      </w:r>
      <w:r w:rsidRPr="00B8408D">
        <w:rPr>
          <w:rFonts w:ascii="Arial" w:hAnsi="Arial" w:cs="Arial"/>
          <w:sz w:val="22"/>
        </w:rPr>
        <w:t>anexos:</w:t>
      </w:r>
    </w:p>
    <w:p w14:paraId="535FB8A1" w14:textId="77777777" w:rsidR="00D30D54" w:rsidRPr="00B8408D" w:rsidRDefault="00D30D54" w:rsidP="00D30D54">
      <w:pPr>
        <w:pStyle w:val="Prrafodelista"/>
        <w:widowControl w:val="0"/>
        <w:numPr>
          <w:ilvl w:val="0"/>
          <w:numId w:val="4"/>
        </w:numPr>
        <w:tabs>
          <w:tab w:val="left" w:pos="1278"/>
        </w:tabs>
        <w:autoSpaceDE w:val="0"/>
        <w:autoSpaceDN w:val="0"/>
        <w:spacing w:before="122" w:line="276" w:lineRule="auto"/>
        <w:ind w:left="709" w:right="709" w:firstLine="0"/>
        <w:contextualSpacing w:val="0"/>
        <w:jc w:val="both"/>
        <w:rPr>
          <w:rFonts w:ascii="Arial" w:hAnsi="Arial" w:cs="Arial"/>
          <w:sz w:val="22"/>
        </w:rPr>
      </w:pPr>
      <w:r w:rsidRPr="00B8408D">
        <w:rPr>
          <w:rFonts w:ascii="Arial" w:hAnsi="Arial" w:cs="Arial"/>
          <w:sz w:val="22"/>
        </w:rPr>
        <w:t>todo acuerdo que se refiera al tratado y haya sido concertado entre todas las partes con motivo de la celebración del</w:t>
      </w:r>
      <w:r w:rsidRPr="00B8408D">
        <w:rPr>
          <w:rFonts w:ascii="Arial" w:hAnsi="Arial" w:cs="Arial"/>
          <w:spacing w:val="-10"/>
          <w:sz w:val="22"/>
        </w:rPr>
        <w:t xml:space="preserve"> </w:t>
      </w:r>
      <w:r w:rsidRPr="00B8408D">
        <w:rPr>
          <w:rFonts w:ascii="Arial" w:hAnsi="Arial" w:cs="Arial"/>
          <w:sz w:val="22"/>
        </w:rPr>
        <w:t>tratado:</w:t>
      </w:r>
    </w:p>
    <w:p w14:paraId="1A3AD746" w14:textId="77777777" w:rsidR="00D30D54" w:rsidRPr="00B8408D" w:rsidRDefault="00D30D54" w:rsidP="00D30D54">
      <w:pPr>
        <w:pStyle w:val="Prrafodelista"/>
        <w:widowControl w:val="0"/>
        <w:numPr>
          <w:ilvl w:val="0"/>
          <w:numId w:val="4"/>
        </w:numPr>
        <w:tabs>
          <w:tab w:val="left" w:pos="1336"/>
        </w:tabs>
        <w:autoSpaceDE w:val="0"/>
        <w:autoSpaceDN w:val="0"/>
        <w:spacing w:before="120" w:line="276" w:lineRule="auto"/>
        <w:ind w:left="709" w:right="709" w:firstLine="0"/>
        <w:contextualSpacing w:val="0"/>
        <w:jc w:val="both"/>
        <w:rPr>
          <w:rFonts w:ascii="Arial" w:hAnsi="Arial" w:cs="Arial"/>
          <w:sz w:val="22"/>
        </w:rPr>
      </w:pPr>
      <w:r w:rsidRPr="00B8408D">
        <w:rPr>
          <w:rFonts w:ascii="Arial" w:hAnsi="Arial" w:cs="Arial"/>
          <w:sz w:val="22"/>
        </w:rPr>
        <w:lastRenderedPageBreak/>
        <w:t>todo instrumento formulado por una o más partes con motivo de la celebración del tratado y aceptado por las demás como instrumento referente al</w:t>
      </w:r>
      <w:r w:rsidRPr="00B8408D">
        <w:rPr>
          <w:rFonts w:ascii="Arial" w:hAnsi="Arial" w:cs="Arial"/>
          <w:spacing w:val="-2"/>
          <w:sz w:val="22"/>
        </w:rPr>
        <w:t xml:space="preserve"> </w:t>
      </w:r>
      <w:r w:rsidRPr="00B8408D">
        <w:rPr>
          <w:rFonts w:ascii="Arial" w:hAnsi="Arial" w:cs="Arial"/>
          <w:sz w:val="22"/>
        </w:rPr>
        <w:t>tratado;</w:t>
      </w:r>
    </w:p>
    <w:p w14:paraId="5E6169A7" w14:textId="77777777" w:rsidR="00D30D54" w:rsidRPr="00B8408D" w:rsidRDefault="00D30D54" w:rsidP="00D30D54">
      <w:pPr>
        <w:pStyle w:val="Prrafodelista"/>
        <w:widowControl w:val="0"/>
        <w:numPr>
          <w:ilvl w:val="0"/>
          <w:numId w:val="5"/>
        </w:numPr>
        <w:tabs>
          <w:tab w:val="left" w:pos="1243"/>
        </w:tabs>
        <w:autoSpaceDE w:val="0"/>
        <w:autoSpaceDN w:val="0"/>
        <w:spacing w:before="121" w:line="276" w:lineRule="auto"/>
        <w:ind w:left="709" w:right="709" w:hanging="233"/>
        <w:contextualSpacing w:val="0"/>
        <w:rPr>
          <w:rFonts w:ascii="Arial" w:hAnsi="Arial" w:cs="Arial"/>
          <w:sz w:val="22"/>
        </w:rPr>
      </w:pPr>
      <w:r w:rsidRPr="00B8408D">
        <w:rPr>
          <w:rFonts w:ascii="Arial" w:hAnsi="Arial" w:cs="Arial"/>
          <w:sz w:val="22"/>
        </w:rPr>
        <w:t>Juntamente con el contexto, habrá de tenerse en</w:t>
      </w:r>
      <w:r w:rsidRPr="00B8408D">
        <w:rPr>
          <w:rFonts w:ascii="Arial" w:hAnsi="Arial" w:cs="Arial"/>
          <w:spacing w:val="-11"/>
          <w:sz w:val="22"/>
        </w:rPr>
        <w:t xml:space="preserve"> </w:t>
      </w:r>
      <w:r w:rsidRPr="00B8408D">
        <w:rPr>
          <w:rFonts w:ascii="Arial" w:hAnsi="Arial" w:cs="Arial"/>
          <w:sz w:val="22"/>
        </w:rPr>
        <w:t>cuenta:</w:t>
      </w:r>
    </w:p>
    <w:p w14:paraId="5A1F019C" w14:textId="77777777" w:rsidR="00D30D54" w:rsidRPr="00B8408D" w:rsidRDefault="00D30D54" w:rsidP="00D30D54">
      <w:pPr>
        <w:pStyle w:val="Prrafodelista"/>
        <w:widowControl w:val="0"/>
        <w:numPr>
          <w:ilvl w:val="0"/>
          <w:numId w:val="3"/>
        </w:numPr>
        <w:tabs>
          <w:tab w:val="left" w:pos="1266"/>
        </w:tabs>
        <w:autoSpaceDE w:val="0"/>
        <w:autoSpaceDN w:val="0"/>
        <w:spacing w:before="118" w:line="276" w:lineRule="auto"/>
        <w:ind w:left="709" w:right="709" w:firstLine="0"/>
        <w:contextualSpacing w:val="0"/>
        <w:rPr>
          <w:rFonts w:ascii="Arial" w:hAnsi="Arial" w:cs="Arial"/>
          <w:sz w:val="22"/>
        </w:rPr>
      </w:pPr>
      <w:r w:rsidRPr="00B8408D">
        <w:rPr>
          <w:rFonts w:ascii="Arial" w:hAnsi="Arial" w:cs="Arial"/>
          <w:sz w:val="22"/>
        </w:rPr>
        <w:t>todo acuerdo ulterior entre las partes acerca de la interpretación del tratado o de la aplicación de sus</w:t>
      </w:r>
      <w:r w:rsidRPr="00B8408D">
        <w:rPr>
          <w:rFonts w:ascii="Arial" w:hAnsi="Arial" w:cs="Arial"/>
          <w:spacing w:val="-6"/>
          <w:sz w:val="22"/>
        </w:rPr>
        <w:t xml:space="preserve"> </w:t>
      </w:r>
      <w:r w:rsidRPr="00B8408D">
        <w:rPr>
          <w:rFonts w:ascii="Arial" w:hAnsi="Arial" w:cs="Arial"/>
          <w:sz w:val="22"/>
        </w:rPr>
        <w:t>disposiciones:</w:t>
      </w:r>
    </w:p>
    <w:p w14:paraId="728DA49F" w14:textId="77777777" w:rsidR="00D30D54" w:rsidRPr="00B8408D" w:rsidRDefault="00D30D54" w:rsidP="00D30D54">
      <w:pPr>
        <w:pStyle w:val="Prrafodelista"/>
        <w:widowControl w:val="0"/>
        <w:numPr>
          <w:ilvl w:val="0"/>
          <w:numId w:val="3"/>
        </w:numPr>
        <w:tabs>
          <w:tab w:val="left" w:pos="1278"/>
        </w:tabs>
        <w:autoSpaceDE w:val="0"/>
        <w:autoSpaceDN w:val="0"/>
        <w:spacing w:before="120" w:line="276" w:lineRule="auto"/>
        <w:ind w:left="709" w:right="709" w:firstLine="0"/>
        <w:contextualSpacing w:val="0"/>
        <w:rPr>
          <w:rFonts w:ascii="Arial" w:hAnsi="Arial" w:cs="Arial"/>
          <w:sz w:val="22"/>
        </w:rPr>
      </w:pPr>
      <w:r w:rsidRPr="00B8408D">
        <w:rPr>
          <w:rFonts w:ascii="Arial" w:hAnsi="Arial" w:cs="Arial"/>
          <w:sz w:val="22"/>
        </w:rPr>
        <w:t>toda práctica ulteriormente seguida en la aplicación del tratado por la cual conste el acuerdo de las partes acerca de la interpretación del</w:t>
      </w:r>
      <w:r w:rsidRPr="00B8408D">
        <w:rPr>
          <w:rFonts w:ascii="Arial" w:hAnsi="Arial" w:cs="Arial"/>
          <w:spacing w:val="-18"/>
          <w:sz w:val="22"/>
        </w:rPr>
        <w:t xml:space="preserve"> </w:t>
      </w:r>
      <w:r w:rsidRPr="00B8408D">
        <w:rPr>
          <w:rFonts w:ascii="Arial" w:hAnsi="Arial" w:cs="Arial"/>
          <w:sz w:val="22"/>
        </w:rPr>
        <w:t>tratado:</w:t>
      </w:r>
    </w:p>
    <w:p w14:paraId="3EF157A1" w14:textId="77777777" w:rsidR="00D30D54" w:rsidRPr="00B8408D" w:rsidRDefault="00D30D54" w:rsidP="00D30D54">
      <w:pPr>
        <w:pStyle w:val="Prrafodelista"/>
        <w:widowControl w:val="0"/>
        <w:numPr>
          <w:ilvl w:val="0"/>
          <w:numId w:val="3"/>
        </w:numPr>
        <w:tabs>
          <w:tab w:val="left" w:pos="1271"/>
        </w:tabs>
        <w:autoSpaceDE w:val="0"/>
        <w:autoSpaceDN w:val="0"/>
        <w:spacing w:before="122" w:line="276" w:lineRule="auto"/>
        <w:ind w:left="709" w:right="709" w:firstLine="0"/>
        <w:contextualSpacing w:val="0"/>
        <w:rPr>
          <w:rFonts w:ascii="Arial" w:hAnsi="Arial" w:cs="Arial"/>
          <w:sz w:val="22"/>
        </w:rPr>
      </w:pPr>
      <w:r w:rsidRPr="00B8408D">
        <w:rPr>
          <w:rFonts w:ascii="Arial" w:hAnsi="Arial" w:cs="Arial"/>
          <w:sz w:val="22"/>
        </w:rPr>
        <w:t>toda forma pertinente de derecho internacional aplicable en las relaciones entre las</w:t>
      </w:r>
      <w:r w:rsidRPr="00B8408D">
        <w:rPr>
          <w:rFonts w:ascii="Arial" w:hAnsi="Arial" w:cs="Arial"/>
          <w:spacing w:val="-3"/>
          <w:sz w:val="22"/>
        </w:rPr>
        <w:t xml:space="preserve"> </w:t>
      </w:r>
      <w:r w:rsidRPr="00B8408D">
        <w:rPr>
          <w:rFonts w:ascii="Arial" w:hAnsi="Arial" w:cs="Arial"/>
          <w:sz w:val="22"/>
        </w:rPr>
        <w:t>partes.</w:t>
      </w:r>
    </w:p>
    <w:p w14:paraId="4BBB9CAB" w14:textId="77777777" w:rsidR="00D30D54" w:rsidRPr="002F6A04" w:rsidRDefault="00D30D54" w:rsidP="00D30D54">
      <w:pPr>
        <w:pStyle w:val="Prrafodelista"/>
        <w:widowControl w:val="0"/>
        <w:numPr>
          <w:ilvl w:val="0"/>
          <w:numId w:val="5"/>
        </w:numPr>
        <w:tabs>
          <w:tab w:val="left" w:pos="1248"/>
        </w:tabs>
        <w:autoSpaceDE w:val="0"/>
        <w:autoSpaceDN w:val="0"/>
        <w:spacing w:before="119" w:line="276" w:lineRule="auto"/>
        <w:ind w:left="709" w:right="709" w:firstLine="0"/>
        <w:contextualSpacing w:val="0"/>
        <w:rPr>
          <w:rFonts w:ascii="Arial" w:hAnsi="Arial" w:cs="Arial"/>
          <w:sz w:val="22"/>
        </w:rPr>
      </w:pPr>
      <w:r w:rsidRPr="00B8408D">
        <w:rPr>
          <w:rFonts w:ascii="Arial" w:hAnsi="Arial" w:cs="Arial"/>
          <w:sz w:val="22"/>
        </w:rPr>
        <w:t>Se dará a un término un sentido especial si consta que tal fue la intención de las</w:t>
      </w:r>
      <w:r w:rsidRPr="00B8408D">
        <w:rPr>
          <w:rFonts w:ascii="Arial" w:hAnsi="Arial" w:cs="Arial"/>
          <w:spacing w:val="-3"/>
          <w:sz w:val="22"/>
        </w:rPr>
        <w:t xml:space="preserve"> </w:t>
      </w:r>
      <w:r w:rsidRPr="00B8408D">
        <w:rPr>
          <w:rFonts w:ascii="Arial" w:hAnsi="Arial" w:cs="Arial"/>
          <w:sz w:val="22"/>
        </w:rPr>
        <w:t>partes.</w:t>
      </w:r>
    </w:p>
    <w:p w14:paraId="77763C83" w14:textId="77777777" w:rsidR="00D30D54" w:rsidRPr="00B8408D" w:rsidRDefault="00D30D54" w:rsidP="00D30D54">
      <w:pPr>
        <w:pStyle w:val="Textoindependiente"/>
        <w:spacing w:before="120" w:line="276" w:lineRule="auto"/>
        <w:ind w:firstLine="707"/>
        <w:jc w:val="both"/>
        <w:rPr>
          <w:sz w:val="22"/>
          <w:szCs w:val="22"/>
        </w:rPr>
      </w:pPr>
      <w:r w:rsidRPr="00B8408D">
        <w:rPr>
          <w:sz w:val="22"/>
          <w:szCs w:val="22"/>
        </w:rPr>
        <w:t>Así las cosas, la excepción objeto de estudio en este concepto jurídico debe interpretarse, incluso en su aplicación concreta por parte de las Entidades Estatales contratantes en Colombia, de buena fe y conforme al sentido corriente que haya de atribuirse a los términos del tratado en el contexto de estos, y habida consideración de su objeto y finalidad.</w:t>
      </w:r>
    </w:p>
    <w:p w14:paraId="0DFC591E" w14:textId="77777777" w:rsidR="00D30D54" w:rsidRDefault="00D30D54" w:rsidP="00D30D54">
      <w:pPr>
        <w:pStyle w:val="Textoindependiente"/>
        <w:spacing w:before="2" w:line="276" w:lineRule="auto"/>
        <w:rPr>
          <w:sz w:val="22"/>
          <w:szCs w:val="22"/>
        </w:rPr>
      </w:pPr>
    </w:p>
    <w:p w14:paraId="24F37A30" w14:textId="77777777" w:rsidR="00D30D54" w:rsidRPr="002F6A04" w:rsidRDefault="00D30D54" w:rsidP="00D30D54">
      <w:pPr>
        <w:pStyle w:val="Textoindependiente"/>
        <w:numPr>
          <w:ilvl w:val="1"/>
          <w:numId w:val="7"/>
        </w:numPr>
        <w:spacing w:before="2" w:line="276" w:lineRule="auto"/>
        <w:rPr>
          <w:b/>
          <w:bCs/>
          <w:sz w:val="22"/>
          <w:szCs w:val="22"/>
        </w:rPr>
      </w:pPr>
      <w:r w:rsidRPr="002F6A04">
        <w:rPr>
          <w:b/>
          <w:bCs/>
          <w:sz w:val="22"/>
          <w:szCs w:val="22"/>
        </w:rPr>
        <w:t xml:space="preserve">Trato Nacional </w:t>
      </w:r>
    </w:p>
    <w:p w14:paraId="2BA3564F" w14:textId="77777777" w:rsidR="00D30D54" w:rsidRDefault="00D30D54" w:rsidP="00D30D54">
      <w:pPr>
        <w:pStyle w:val="Textoindependiente"/>
        <w:spacing w:before="2" w:line="276" w:lineRule="auto"/>
        <w:rPr>
          <w:sz w:val="22"/>
          <w:szCs w:val="22"/>
        </w:rPr>
      </w:pPr>
    </w:p>
    <w:p w14:paraId="3432EA7E" w14:textId="77777777" w:rsidR="00D30D54" w:rsidRPr="00F8190C" w:rsidRDefault="00D30D54" w:rsidP="00D30D54">
      <w:pPr>
        <w:tabs>
          <w:tab w:val="left" w:pos="0"/>
        </w:tabs>
        <w:spacing w:line="276" w:lineRule="auto"/>
        <w:jc w:val="both"/>
        <w:rPr>
          <w:rFonts w:ascii="Arial" w:eastAsia="Calibri" w:hAnsi="Arial" w:cs="Arial"/>
          <w:bCs/>
          <w:color w:val="000000" w:themeColor="text1"/>
          <w:sz w:val="22"/>
          <w:lang w:val="es-ES_tradnl"/>
        </w:rPr>
      </w:pPr>
      <w:r w:rsidRPr="00F8190C">
        <w:rPr>
          <w:rFonts w:ascii="Arial" w:eastAsia="Calibri" w:hAnsi="Arial" w:cs="Arial"/>
          <w:bCs/>
          <w:color w:val="000000" w:themeColor="text1"/>
          <w:sz w:val="22"/>
          <w:lang w:val="es-ES_tradnl"/>
        </w:rPr>
        <w:t xml:space="preserve">El artículo 20 de la Ley 80 de 1993 consagra el </w:t>
      </w:r>
      <w:r w:rsidRPr="00F8190C">
        <w:rPr>
          <w:rFonts w:ascii="Arial" w:eastAsia="Calibri" w:hAnsi="Arial" w:cs="Arial"/>
          <w:bCs/>
          <w:i/>
          <w:iCs/>
          <w:color w:val="000000" w:themeColor="text1"/>
          <w:sz w:val="22"/>
          <w:lang w:val="es-ES_tradnl"/>
        </w:rPr>
        <w:t>principio de reciprocidad</w:t>
      </w:r>
      <w:r w:rsidRPr="00F8190C">
        <w:rPr>
          <w:rFonts w:ascii="Arial" w:eastAsia="Calibri" w:hAnsi="Arial" w:cs="Arial"/>
          <w:bCs/>
          <w:color w:val="000000" w:themeColor="text1"/>
          <w:sz w:val="22"/>
          <w:lang w:val="es-ES_tradnl"/>
        </w:rPr>
        <w:t xml:space="preserve"> en la contratación estatal, entendido como el compromiso asumido por el Estado de brindar a los oferentes de bienes y servicios de origen extranjero un trato semejante al que les conceden a los colombianos en otros </w:t>
      </w:r>
      <w:r>
        <w:rPr>
          <w:rFonts w:ascii="Arial" w:eastAsia="Calibri" w:hAnsi="Arial" w:cs="Arial"/>
          <w:bCs/>
          <w:color w:val="000000" w:themeColor="text1"/>
          <w:sz w:val="22"/>
          <w:lang w:val="es-ES_tradnl"/>
        </w:rPr>
        <w:t>E</w:t>
      </w:r>
      <w:r w:rsidRPr="00F8190C">
        <w:rPr>
          <w:rFonts w:ascii="Arial" w:eastAsia="Calibri" w:hAnsi="Arial" w:cs="Arial"/>
          <w:bCs/>
          <w:color w:val="000000" w:themeColor="text1"/>
          <w:sz w:val="22"/>
          <w:lang w:val="es-ES_tradnl"/>
        </w:rPr>
        <w:t xml:space="preserve">stados con los cuales se ha celebrado acuerdo o tratado comercial, </w:t>
      </w:r>
      <w:r w:rsidRPr="00F8190C">
        <w:rPr>
          <w:rFonts w:ascii="Arial" w:eastAsia="Calibri" w:hAnsi="Arial" w:cs="Arial"/>
          <w:bCs/>
          <w:color w:val="000000" w:themeColor="text1"/>
          <w:sz w:val="22"/>
          <w:lang w:val="es-ES_tradnl"/>
        </w:rPr>
        <w:lastRenderedPageBreak/>
        <w:t>cuando, en ausencia de tratado, se certifica dicha reciprocidad</w:t>
      </w:r>
      <w:r w:rsidRPr="00F8190C">
        <w:rPr>
          <w:rStyle w:val="Refdenotaalpie"/>
          <w:rFonts w:ascii="Arial" w:eastAsia="Calibri" w:hAnsi="Arial" w:cs="Arial"/>
          <w:bCs/>
          <w:color w:val="000000" w:themeColor="text1"/>
          <w:sz w:val="22"/>
          <w:lang w:val="es-ES_tradnl"/>
        </w:rPr>
        <w:footnoteReference w:id="7"/>
      </w:r>
      <w:r>
        <w:rPr>
          <w:rFonts w:ascii="Arial" w:eastAsia="Calibri" w:hAnsi="Arial" w:cs="Arial"/>
          <w:bCs/>
          <w:color w:val="000000" w:themeColor="text1"/>
          <w:sz w:val="22"/>
          <w:lang w:val="es-ES_tradnl"/>
        </w:rPr>
        <w:t xml:space="preserve">, </w:t>
      </w:r>
      <w:r w:rsidRPr="00F8190C">
        <w:rPr>
          <w:rFonts w:ascii="Arial" w:eastAsia="Calibri" w:hAnsi="Arial" w:cs="Arial"/>
          <w:bCs/>
          <w:color w:val="000000" w:themeColor="text1"/>
          <w:sz w:val="22"/>
          <w:lang w:val="es-ES_tradnl"/>
        </w:rPr>
        <w:t>o en virtud de procesos de integración regional</w:t>
      </w:r>
      <w:r w:rsidRPr="00F8190C">
        <w:rPr>
          <w:rStyle w:val="Refdenotaalpie"/>
          <w:rFonts w:ascii="Arial" w:eastAsia="Calibri" w:hAnsi="Arial" w:cs="Arial"/>
          <w:bCs/>
          <w:color w:val="000000" w:themeColor="text1"/>
          <w:sz w:val="22"/>
          <w:lang w:val="es-ES_tradnl"/>
        </w:rPr>
        <w:footnoteReference w:id="8"/>
      </w:r>
      <w:r w:rsidRPr="00F8190C">
        <w:rPr>
          <w:rFonts w:ascii="Arial" w:eastAsia="Calibri" w:hAnsi="Arial" w:cs="Arial"/>
          <w:bCs/>
          <w:color w:val="000000" w:themeColor="text1"/>
          <w:sz w:val="22"/>
          <w:lang w:val="es-ES_tradnl"/>
        </w:rPr>
        <w:t>.</w:t>
      </w:r>
    </w:p>
    <w:p w14:paraId="205ABCCA" w14:textId="77777777" w:rsidR="00D30D54" w:rsidRPr="00F8190C" w:rsidRDefault="00D30D54" w:rsidP="00D30D54">
      <w:pPr>
        <w:tabs>
          <w:tab w:val="left" w:pos="0"/>
        </w:tabs>
        <w:spacing w:before="120" w:line="276" w:lineRule="auto"/>
        <w:ind w:firstLine="709"/>
        <w:jc w:val="both"/>
        <w:rPr>
          <w:rFonts w:ascii="Arial" w:eastAsia="Calibri" w:hAnsi="Arial" w:cs="Arial"/>
          <w:bCs/>
          <w:color w:val="000000" w:themeColor="text1"/>
          <w:sz w:val="22"/>
          <w:lang w:val="es-ES_tradnl"/>
        </w:rPr>
      </w:pPr>
      <w:r w:rsidRPr="00F8190C">
        <w:rPr>
          <w:rFonts w:ascii="Arial" w:eastAsia="Calibri" w:hAnsi="Arial" w:cs="Arial"/>
          <w:bCs/>
          <w:color w:val="000000" w:themeColor="text1"/>
          <w:sz w:val="22"/>
          <w:lang w:val="es-ES_tradnl"/>
        </w:rPr>
        <w:t xml:space="preserve">En otras palabras, el </w:t>
      </w:r>
      <w:r w:rsidRPr="00F8190C">
        <w:rPr>
          <w:rFonts w:ascii="Arial" w:eastAsia="Calibri" w:hAnsi="Arial" w:cs="Arial"/>
          <w:bCs/>
          <w:i/>
          <w:iCs/>
          <w:color w:val="000000" w:themeColor="text1"/>
          <w:sz w:val="22"/>
          <w:lang w:val="es-ES_tradnl"/>
        </w:rPr>
        <w:t xml:space="preserve">trato nacional </w:t>
      </w:r>
      <w:r w:rsidRPr="00F8190C">
        <w:rPr>
          <w:rFonts w:ascii="Arial" w:eastAsia="Calibri" w:hAnsi="Arial" w:cs="Arial"/>
          <w:bCs/>
          <w:color w:val="000000" w:themeColor="text1"/>
          <w:sz w:val="22"/>
          <w:lang w:val="es-ES_tradnl"/>
        </w:rPr>
        <w:t>consiste en la consideración especial en la asignación de puntaje, que se tiene sobre los oferentes, bienes y servicios colombianos</w:t>
      </w:r>
      <w:r>
        <w:rPr>
          <w:rFonts w:ascii="Arial" w:eastAsia="Calibri" w:hAnsi="Arial" w:cs="Arial"/>
          <w:bCs/>
          <w:color w:val="000000" w:themeColor="text1"/>
          <w:sz w:val="22"/>
          <w:lang w:val="es-ES_tradnl"/>
        </w:rPr>
        <w:t>,</w:t>
      </w:r>
      <w:r w:rsidRPr="00F8190C">
        <w:rPr>
          <w:rFonts w:ascii="Arial" w:eastAsia="Calibri" w:hAnsi="Arial" w:cs="Arial"/>
          <w:bCs/>
          <w:color w:val="000000" w:themeColor="text1"/>
          <w:sz w:val="22"/>
          <w:lang w:val="es-ES_tradnl"/>
        </w:rPr>
        <w:t xml:space="preserve">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r w:rsidRPr="00F8190C">
        <w:rPr>
          <w:rStyle w:val="Refdenotaalpie"/>
          <w:rFonts w:ascii="Arial" w:eastAsia="Calibri" w:hAnsi="Arial" w:cs="Arial"/>
          <w:bCs/>
          <w:color w:val="000000" w:themeColor="text1"/>
          <w:sz w:val="22"/>
          <w:lang w:val="es-ES_tradnl"/>
        </w:rPr>
        <w:footnoteReference w:id="9"/>
      </w:r>
      <w:r w:rsidRPr="00F8190C">
        <w:rPr>
          <w:rFonts w:ascii="Arial" w:eastAsia="Calibri" w:hAnsi="Arial" w:cs="Arial"/>
          <w:bCs/>
          <w:color w:val="000000" w:themeColor="text1"/>
          <w:sz w:val="22"/>
          <w:lang w:val="es-ES_tradnl"/>
        </w:rPr>
        <w:t>.</w:t>
      </w:r>
    </w:p>
    <w:p w14:paraId="54096321" w14:textId="77777777" w:rsidR="00D30D54" w:rsidRDefault="00D30D54" w:rsidP="00D30D54">
      <w:pPr>
        <w:pStyle w:val="Textoindependiente"/>
        <w:spacing w:before="120" w:line="276" w:lineRule="auto"/>
        <w:ind w:firstLine="708"/>
        <w:jc w:val="both"/>
        <w:rPr>
          <w:rFonts w:eastAsia="Calibri"/>
          <w:bCs/>
          <w:color w:val="000000" w:themeColor="text1"/>
          <w:sz w:val="22"/>
          <w:lang w:val="es-ES_tradnl"/>
        </w:rPr>
      </w:pPr>
      <w:r w:rsidRPr="00F8190C">
        <w:rPr>
          <w:rFonts w:eastAsia="Calibri"/>
          <w:bCs/>
          <w:color w:val="000000" w:themeColor="text1"/>
          <w:sz w:val="22"/>
          <w:lang w:val="es-ES_tradnl"/>
        </w:rPr>
        <w:lastRenderedPageBreak/>
        <w:t xml:space="preserve">En cuanto a la primera de ellas, cabe señalar que el trato nacional puede estar estipulado en un </w:t>
      </w:r>
      <w:r w:rsidRPr="00F8190C">
        <w:rPr>
          <w:rFonts w:eastAsia="Calibri"/>
          <w:bCs/>
          <w:i/>
          <w:iCs/>
          <w:color w:val="000000" w:themeColor="text1"/>
          <w:sz w:val="22"/>
          <w:lang w:val="es-ES_tradnl"/>
        </w:rPr>
        <w:t>tratado o acuerdo comercial</w:t>
      </w:r>
      <w:r w:rsidRPr="00F8190C">
        <w:rPr>
          <w:rFonts w:eastAsia="Calibri"/>
          <w:bCs/>
          <w:color w:val="000000" w:themeColor="text1"/>
          <w:sz w:val="22"/>
          <w:lang w:val="es-ES_tradnl"/>
        </w:rPr>
        <w:t xml:space="preserve"> suscrito entre Colombia y uno o varios Estados</w:t>
      </w:r>
      <w:r>
        <w:rPr>
          <w:rFonts w:eastAsia="Calibri"/>
          <w:bCs/>
          <w:color w:val="000000" w:themeColor="text1"/>
          <w:sz w:val="22"/>
          <w:lang w:val="es-ES_tradnl"/>
        </w:rPr>
        <w:t xml:space="preserve">, </w:t>
      </w:r>
      <w:r w:rsidRPr="00F8190C">
        <w:rPr>
          <w:rFonts w:eastAsia="Calibri"/>
          <w:bCs/>
          <w:color w:val="000000" w:themeColor="text1"/>
          <w:sz w:val="22"/>
          <w:lang w:val="es-ES_tradnl"/>
        </w:rPr>
        <w:t>adoptando como cláusula que a los oferentes, bienes o servicios extranjeros de dichos estados se les considerará en nuestro país como nacionales, bajo las condiciones establecidas en la respectiva negociación</w:t>
      </w:r>
      <w:r w:rsidRPr="00F8190C">
        <w:rPr>
          <w:rStyle w:val="Refdenotaalpie"/>
          <w:rFonts w:eastAsia="Calibri"/>
          <w:bCs/>
          <w:color w:val="000000" w:themeColor="text1"/>
          <w:sz w:val="22"/>
          <w:lang w:val="es-ES_tradnl"/>
        </w:rPr>
        <w:footnoteReference w:id="10"/>
      </w:r>
      <w:r w:rsidRPr="00F8190C">
        <w:rPr>
          <w:rFonts w:eastAsia="Calibri"/>
          <w:bCs/>
          <w:color w:val="000000" w:themeColor="text1"/>
          <w:sz w:val="22"/>
          <w:lang w:val="es-ES_tradnl"/>
        </w:rPr>
        <w:t>. Así, el tratado correspondiente puede contener un acápite en el que se establezca que determinados bienes o servicios cubiertos se beneficiarán por el trato nacional; lo que a veces también puede suceder con los proveedores.</w:t>
      </w:r>
      <w:r>
        <w:rPr>
          <w:rFonts w:eastAsia="Calibri"/>
          <w:bCs/>
          <w:color w:val="000000" w:themeColor="text1"/>
          <w:sz w:val="22"/>
          <w:lang w:val="es-ES_tradnl"/>
        </w:rPr>
        <w:t xml:space="preserve"> Para el presente concepto, la cláusula estipulada en el literal b) del artículo 175 del acuerdo comercial firmado con la Unión Europea impone que: «Cada País Andino signatario, incluidas sus entidades contratantes, otorgarán inmediata e incondicionalmente a las mercancías y servicios de la parte UE, y a los proveedores de la parte UE que ofrezcan tales mercancías y servicios, un trato no menos favorable que el trato otorgado a sus propios mercancías, servicios y proveedore</w:t>
      </w:r>
      <w:r w:rsidRPr="00804685">
        <w:rPr>
          <w:rFonts w:eastAsia="Calibri"/>
          <w:bCs/>
          <w:color w:val="000000" w:themeColor="text1"/>
          <w:sz w:val="22"/>
          <w:szCs w:val="22"/>
          <w:lang w:val="es-ES_tradnl"/>
        </w:rPr>
        <w:t>s</w:t>
      </w:r>
      <w:r w:rsidRPr="00804685">
        <w:rPr>
          <w:sz w:val="22"/>
          <w:szCs w:val="22"/>
        </w:rPr>
        <w:t>».</w:t>
      </w:r>
      <w:r w:rsidRPr="00804685">
        <w:rPr>
          <w:rStyle w:val="Refdenotaalpie"/>
          <w:rFonts w:eastAsia="Calibri"/>
          <w:bCs/>
          <w:color w:val="000000" w:themeColor="text1"/>
          <w:sz w:val="22"/>
          <w:lang w:val="es-ES_tradnl"/>
        </w:rPr>
        <w:footnoteReference w:id="11"/>
      </w:r>
      <w:r w:rsidRPr="00804685">
        <w:rPr>
          <w:rFonts w:eastAsia="Calibri"/>
          <w:bCs/>
          <w:color w:val="000000" w:themeColor="text1"/>
          <w:sz w:val="22"/>
          <w:szCs w:val="22"/>
          <w:lang w:val="es-ES_tradnl"/>
        </w:rPr>
        <w:t>.</w:t>
      </w:r>
      <w:r>
        <w:rPr>
          <w:rFonts w:eastAsia="Calibri"/>
          <w:bCs/>
          <w:color w:val="000000" w:themeColor="text1"/>
          <w:sz w:val="22"/>
          <w:lang w:val="es-ES_tradnl"/>
        </w:rPr>
        <w:t xml:space="preserve"> De la misma forma el tratado– en el mismo artículo estudiado– puesto de presente genera la obligación de «no discriminar a un proveedor establecido en su territorio en razón de las mercancías o servicios ofrecidos por dicho proveedor para una determinada contratación pública sean mercancías o servicios de </w:t>
      </w:r>
      <w:r w:rsidRPr="00804685">
        <w:rPr>
          <w:rFonts w:eastAsia="Calibri"/>
          <w:bCs/>
          <w:color w:val="000000" w:themeColor="text1"/>
          <w:sz w:val="22"/>
          <w:szCs w:val="22"/>
          <w:lang w:val="es-ES_tradnl"/>
        </w:rPr>
        <w:t>otra parte</w:t>
      </w:r>
      <w:r w:rsidRPr="00804685">
        <w:rPr>
          <w:sz w:val="22"/>
          <w:szCs w:val="22"/>
        </w:rPr>
        <w:t>».</w:t>
      </w:r>
    </w:p>
    <w:p w14:paraId="072CC95A" w14:textId="77777777" w:rsidR="00D30D54" w:rsidRDefault="00D30D54" w:rsidP="00D30D54">
      <w:pPr>
        <w:pStyle w:val="Textoindependiente"/>
        <w:spacing w:before="120" w:line="276" w:lineRule="auto"/>
        <w:ind w:firstLine="708"/>
        <w:jc w:val="both"/>
        <w:rPr>
          <w:rFonts w:eastAsia="Calibri"/>
          <w:bCs/>
          <w:color w:val="000000" w:themeColor="text1"/>
          <w:sz w:val="22"/>
          <w:lang w:val="es-ES_tradnl"/>
        </w:rPr>
      </w:pPr>
      <w:r w:rsidRPr="00F8190C">
        <w:rPr>
          <w:rFonts w:eastAsia="Calibri"/>
          <w:bCs/>
          <w:color w:val="000000" w:themeColor="text1"/>
          <w:sz w:val="22"/>
          <w:lang w:val="es-ES_tradnl"/>
        </w:rPr>
        <w:t xml:space="preserve">En consecuencia, para que pueda aplicarse el trato nacional en virtud del pacto contenido en un tratado o acuerdo comercial, la contratación debe versar sobre los bienes, servicios o proveedores </w:t>
      </w:r>
      <w:r w:rsidRPr="00F8190C">
        <w:rPr>
          <w:rFonts w:eastAsia="Calibri"/>
          <w:bCs/>
          <w:i/>
          <w:iCs/>
          <w:color w:val="000000" w:themeColor="text1"/>
          <w:sz w:val="22"/>
          <w:lang w:val="es-ES_tradnl"/>
        </w:rPr>
        <w:t>cubiertos</w:t>
      </w:r>
      <w:r w:rsidRPr="00F8190C">
        <w:rPr>
          <w:rFonts w:eastAsia="Calibri"/>
          <w:bCs/>
          <w:color w:val="000000" w:themeColor="text1"/>
          <w:sz w:val="22"/>
          <w:lang w:val="es-ES_tradnl"/>
        </w:rPr>
        <w:t xml:space="preserve"> por dicho tratado, pues la autonomía de la voluntad de </w:t>
      </w:r>
      <w:r w:rsidRPr="00F8190C">
        <w:rPr>
          <w:rFonts w:eastAsia="Calibri"/>
          <w:bCs/>
          <w:color w:val="000000" w:themeColor="text1"/>
          <w:sz w:val="22"/>
          <w:lang w:val="es-ES_tradnl"/>
        </w:rPr>
        <w:lastRenderedPageBreak/>
        <w:t>los Estados, que es expresión de su soberanía, les permite negociar en el acuerdo comercial un alcance o cobertura del mismo, según razones de oportunidad o conveniencia, y es por esto que en los tratados se establecen las entidades cubiertas, así como los umbrales, es decir los valores o montos que, al igualarse o superarse en un procedimiento de contratación, hacen que este quede amparado por el tratado</w:t>
      </w:r>
      <w:r w:rsidRPr="00F8190C">
        <w:rPr>
          <w:rStyle w:val="Refdenotaalpie"/>
          <w:rFonts w:eastAsia="Calibri"/>
          <w:bCs/>
          <w:color w:val="000000" w:themeColor="text1"/>
          <w:sz w:val="22"/>
          <w:lang w:val="es-ES_tradnl"/>
        </w:rPr>
        <w:footnoteReference w:id="12"/>
      </w:r>
      <w:r w:rsidRPr="00F8190C">
        <w:rPr>
          <w:rFonts w:eastAsia="Calibri"/>
          <w:bCs/>
          <w:color w:val="000000" w:themeColor="text1"/>
          <w:sz w:val="22"/>
          <w:lang w:val="es-ES_tradnl"/>
        </w:rPr>
        <w:t>.</w:t>
      </w:r>
    </w:p>
    <w:p w14:paraId="5C35256F" w14:textId="77777777" w:rsidR="00D30D54" w:rsidRDefault="00D30D54" w:rsidP="00D30D54">
      <w:pPr>
        <w:pStyle w:val="Textoindependiente"/>
        <w:spacing w:line="276" w:lineRule="auto"/>
        <w:ind w:firstLine="708"/>
        <w:jc w:val="both"/>
        <w:rPr>
          <w:rFonts w:eastAsia="Calibri"/>
          <w:bCs/>
          <w:color w:val="000000" w:themeColor="text1"/>
          <w:sz w:val="22"/>
          <w:lang w:val="es-ES_tradnl"/>
        </w:rPr>
      </w:pPr>
    </w:p>
    <w:p w14:paraId="7DEA05D0" w14:textId="77777777" w:rsidR="00D30D54" w:rsidRPr="002F6A04" w:rsidRDefault="00D30D54" w:rsidP="00D30D54">
      <w:pPr>
        <w:pStyle w:val="Textoindependiente"/>
        <w:numPr>
          <w:ilvl w:val="1"/>
          <w:numId w:val="7"/>
        </w:numPr>
        <w:spacing w:line="276" w:lineRule="auto"/>
        <w:jc w:val="both"/>
        <w:rPr>
          <w:b/>
          <w:bCs/>
          <w:sz w:val="22"/>
          <w:szCs w:val="22"/>
        </w:rPr>
      </w:pPr>
      <w:r w:rsidRPr="002F6A04">
        <w:rPr>
          <w:b/>
          <w:bCs/>
          <w:sz w:val="22"/>
          <w:szCs w:val="22"/>
        </w:rPr>
        <w:t>Naturaleza de los conceptos emitidos por CCE</w:t>
      </w:r>
    </w:p>
    <w:p w14:paraId="15EDEB62" w14:textId="77777777" w:rsidR="00D30D54" w:rsidRDefault="00D30D54" w:rsidP="00D30D54">
      <w:pPr>
        <w:spacing w:line="276" w:lineRule="auto"/>
        <w:jc w:val="both"/>
        <w:rPr>
          <w:rStyle w:val="normaltextrun"/>
          <w:rFonts w:ascii="Arial" w:hAnsi="Arial" w:cs="Arial"/>
          <w:color w:val="000000"/>
          <w:sz w:val="22"/>
          <w:shd w:val="clear" w:color="auto" w:fill="FFFFFF"/>
        </w:rPr>
      </w:pPr>
    </w:p>
    <w:p w14:paraId="636BDAF4" w14:textId="77777777" w:rsidR="00D30D54" w:rsidRDefault="00D30D54" w:rsidP="00D30D54">
      <w:pPr>
        <w:spacing w:after="120" w:line="276" w:lineRule="auto"/>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En el presente aparte, se tendrá en cuenta el</w:t>
      </w:r>
      <w:r w:rsidRPr="005D1A82">
        <w:rPr>
          <w:rStyle w:val="normaltextrun"/>
          <w:rFonts w:ascii="Arial" w:hAnsi="Arial" w:cs="Arial"/>
          <w:color w:val="000000"/>
          <w:sz w:val="22"/>
          <w:shd w:val="clear" w:color="auto" w:fill="FFFFFF"/>
        </w:rPr>
        <w:t xml:space="preserve"> Concepto </w:t>
      </w:r>
      <w:bookmarkStart w:id="0" w:name="_Hlk50719406"/>
      <w:r w:rsidRPr="005D1A82">
        <w:rPr>
          <w:rStyle w:val="normaltextrun"/>
          <w:rFonts w:ascii="Arial" w:hAnsi="Arial" w:cs="Arial"/>
          <w:color w:val="000000"/>
          <w:sz w:val="22"/>
          <w:shd w:val="clear" w:color="auto" w:fill="FFFFFF"/>
        </w:rPr>
        <w:t>C-418 del 27 de julio de 2020</w:t>
      </w:r>
      <w:bookmarkEnd w:id="0"/>
      <w:r w:rsidRPr="005D1A82">
        <w:rPr>
          <w:rStyle w:val="normaltextrun"/>
          <w:rFonts w:ascii="Arial" w:hAnsi="Arial" w:cs="Arial"/>
          <w:color w:val="000000"/>
          <w:sz w:val="22"/>
          <w:shd w:val="clear" w:color="auto" w:fill="FFFFFF"/>
        </w:rPr>
        <w:t xml:space="preserve">, </w:t>
      </w:r>
      <w:r>
        <w:rPr>
          <w:rStyle w:val="normaltextrun"/>
          <w:rFonts w:ascii="Arial" w:hAnsi="Arial" w:cs="Arial"/>
          <w:color w:val="000000"/>
          <w:sz w:val="22"/>
          <w:shd w:val="clear" w:color="auto" w:fill="FFFFFF"/>
        </w:rPr>
        <w:t xml:space="preserve">el cual hace referencia a la función de </w:t>
      </w:r>
      <w:r w:rsidRPr="005D1A82">
        <w:rPr>
          <w:rStyle w:val="normaltextrun"/>
          <w:rFonts w:ascii="Arial" w:hAnsi="Arial" w:cs="Arial"/>
          <w:color w:val="000000"/>
          <w:sz w:val="22"/>
          <w:shd w:val="clear" w:color="auto" w:fill="FFFFFF"/>
        </w:rPr>
        <w:t>interpretación</w:t>
      </w:r>
      <w:r>
        <w:rPr>
          <w:rStyle w:val="normaltextrun"/>
          <w:rFonts w:ascii="Arial" w:hAnsi="Arial" w:cs="Arial"/>
          <w:color w:val="000000"/>
          <w:sz w:val="22"/>
          <w:shd w:val="clear" w:color="auto" w:fill="FFFFFF"/>
        </w:rPr>
        <w:t xml:space="preserve"> con la cuenta la Agencia sobre</w:t>
      </w:r>
      <w:r w:rsidRPr="005D1A82">
        <w:rPr>
          <w:rStyle w:val="normaltextrun"/>
          <w:rFonts w:ascii="Arial" w:hAnsi="Arial" w:cs="Arial"/>
          <w:color w:val="000000"/>
          <w:sz w:val="22"/>
          <w:shd w:val="clear" w:color="auto" w:fill="FFFFFF"/>
        </w:rPr>
        <w:t xml:space="preserve"> </w:t>
      </w:r>
      <w:r>
        <w:rPr>
          <w:rStyle w:val="normaltextrun"/>
          <w:rFonts w:ascii="Arial" w:hAnsi="Arial" w:cs="Arial"/>
          <w:color w:val="000000"/>
          <w:sz w:val="22"/>
          <w:shd w:val="clear" w:color="auto" w:fill="FFFFFF"/>
        </w:rPr>
        <w:t>las</w:t>
      </w:r>
      <w:r w:rsidRPr="005D1A82">
        <w:rPr>
          <w:rStyle w:val="normaltextrun"/>
          <w:rFonts w:ascii="Arial" w:hAnsi="Arial" w:cs="Arial"/>
          <w:color w:val="000000"/>
          <w:sz w:val="22"/>
          <w:shd w:val="clear" w:color="auto" w:fill="FFFFFF"/>
        </w:rPr>
        <w:t xml:space="preserve"> normas contractuales </w:t>
      </w:r>
      <w:r>
        <w:rPr>
          <w:rStyle w:val="normaltextrun"/>
          <w:rFonts w:ascii="Arial" w:hAnsi="Arial" w:cs="Arial"/>
          <w:color w:val="000000"/>
          <w:sz w:val="22"/>
          <w:shd w:val="clear" w:color="auto" w:fill="FFFFFF"/>
        </w:rPr>
        <w:t xml:space="preserve">y con base en ello, aclarar la naturaleza de los conceptos expedidos por esta entidad. </w:t>
      </w:r>
    </w:p>
    <w:p w14:paraId="3BBBA000" w14:textId="77777777" w:rsidR="00D30D54" w:rsidRPr="002D7D93" w:rsidRDefault="00D30D54" w:rsidP="00D30D54">
      <w:pPr>
        <w:spacing w:after="120" w:line="276" w:lineRule="auto"/>
        <w:ind w:firstLine="708"/>
        <w:jc w:val="both"/>
        <w:rPr>
          <w:rFonts w:ascii="Arial" w:eastAsia="Calibri" w:hAnsi="Arial" w:cs="Arial"/>
          <w:sz w:val="22"/>
          <w:lang w:val="es-ES"/>
        </w:rPr>
      </w:pPr>
      <w:r>
        <w:rPr>
          <w:rFonts w:ascii="Arial" w:eastAsia="Calibri" w:hAnsi="Arial" w:cs="Arial"/>
          <w:sz w:val="22"/>
          <w:lang w:val="es-ES"/>
        </w:rPr>
        <w:t>Al respecto, es necesario tener en cuenta que esta Entidad solo tiene competencia para responder solicitudes sobre la aplicación de normas de carácter general en materia de compras y contratación pública. En ese sentido, resolver consultas sobre casos particulares desborda las atribuciones asignada por el legislador extraordinario, que no concibió a Colombia Compra Eficiente como una autoridad para solucionar problemas jurídicos particulares, especialmente, cuando el conocimiento de estos últimos corresponde a las autoridades judiciales y a los organismos de control.</w:t>
      </w:r>
      <w:r>
        <w:rPr>
          <w:rFonts w:ascii="Arial" w:eastAsia="Calibri" w:hAnsi="Arial" w:cs="Arial"/>
          <w:bCs/>
          <w:sz w:val="22"/>
        </w:rPr>
        <w:t xml:space="preserve"> </w:t>
      </w:r>
    </w:p>
    <w:p w14:paraId="27F60647" w14:textId="77777777" w:rsidR="00D30D54" w:rsidRDefault="00D30D54" w:rsidP="00D30D54">
      <w:pPr>
        <w:spacing w:after="120" w:line="276" w:lineRule="auto"/>
        <w:ind w:firstLine="708"/>
        <w:jc w:val="both"/>
        <w:rPr>
          <w:rFonts w:ascii="Arial" w:eastAsia="Calibri" w:hAnsi="Arial" w:cs="Arial"/>
          <w:sz w:val="22"/>
          <w:lang w:val="es-ES"/>
        </w:rPr>
      </w:pPr>
      <w:r>
        <w:rPr>
          <w:rFonts w:ascii="Arial" w:eastAsia="Calibri"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Style w:val="Refdenotaalpie"/>
          <w:rFonts w:ascii="Arial" w:eastAsia="Calibri" w:hAnsi="Arial" w:cs="Arial"/>
          <w:sz w:val="22"/>
          <w:lang w:val="es-ES"/>
        </w:rPr>
        <w:footnoteReference w:id="13"/>
      </w:r>
      <w:r>
        <w:rPr>
          <w:rFonts w:ascii="Arial" w:eastAsia="Calibri" w:hAnsi="Arial" w:cs="Arial"/>
          <w:sz w:val="22"/>
          <w:lang w:val="es-ES"/>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p>
    <w:p w14:paraId="245BA950" w14:textId="77777777" w:rsidR="00D30D54" w:rsidRDefault="00D30D54" w:rsidP="00D30D54">
      <w:pPr>
        <w:tabs>
          <w:tab w:val="left" w:pos="426"/>
        </w:tabs>
        <w:spacing w:line="276" w:lineRule="auto"/>
        <w:jc w:val="both"/>
        <w:rPr>
          <w:rFonts w:ascii="Arial" w:eastAsia="Calibri" w:hAnsi="Arial" w:cs="Arial"/>
          <w:bCs/>
          <w:sz w:val="22"/>
          <w:lang w:val="es-ES"/>
        </w:rPr>
      </w:pPr>
      <w:r>
        <w:rPr>
          <w:rFonts w:ascii="Arial" w:eastAsia="Calibri" w:hAnsi="Arial" w:cs="Arial"/>
          <w:bCs/>
          <w:sz w:val="22"/>
        </w:rPr>
        <w:lastRenderedPageBreak/>
        <w:tab/>
      </w:r>
      <w:r>
        <w:rPr>
          <w:rFonts w:ascii="Arial" w:eastAsia="Calibri" w:hAnsi="Arial" w:cs="Arial"/>
          <w:bCs/>
          <w:sz w:val="22"/>
        </w:rPr>
        <w:tab/>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p>
    <w:p w14:paraId="6B7B1B88" w14:textId="77777777" w:rsidR="00D30D54" w:rsidRDefault="00D30D54" w:rsidP="00D30D54">
      <w:pPr>
        <w:tabs>
          <w:tab w:val="left" w:pos="426"/>
        </w:tabs>
        <w:spacing w:line="276" w:lineRule="auto"/>
        <w:jc w:val="both"/>
        <w:rPr>
          <w:rFonts w:ascii="Arial" w:eastAsia="Calibri" w:hAnsi="Arial" w:cs="Arial"/>
          <w:bCs/>
          <w:sz w:val="22"/>
        </w:rPr>
      </w:pPr>
    </w:p>
    <w:p w14:paraId="6CDC1675" w14:textId="77777777" w:rsidR="00D30D54" w:rsidRDefault="00D30D54" w:rsidP="00D30D54">
      <w:pPr>
        <w:tabs>
          <w:tab w:val="left" w:pos="426"/>
        </w:tabs>
        <w:ind w:left="709" w:right="709"/>
        <w:jc w:val="both"/>
        <w:rPr>
          <w:rFonts w:ascii="Arial" w:eastAsia="Calibri" w:hAnsi="Arial" w:cs="Arial"/>
          <w:bCs/>
          <w:sz w:val="20"/>
          <w:szCs w:val="20"/>
        </w:rPr>
      </w:pPr>
      <w:r>
        <w:rPr>
          <w:rFonts w:ascii="Arial" w:eastAsia="Calibri" w:hAnsi="Arial" w:cs="Arial"/>
          <w:bCs/>
          <w:sz w:val="20"/>
          <w:szCs w:val="20"/>
        </w:rPr>
        <w:t xml:space="preserve">Artículo 28. Alcance de los conceptos. Salvo disposición legal en contrario, los conceptos emitidos por </w:t>
      </w:r>
      <w:r w:rsidRPr="000C7BF6">
        <w:rPr>
          <w:rFonts w:ascii="Arial" w:eastAsia="Calibri" w:hAnsi="Arial" w:cs="Arial"/>
          <w:bCs/>
          <w:sz w:val="21"/>
          <w:szCs w:val="21"/>
        </w:rPr>
        <w:t>las</w:t>
      </w:r>
      <w:r>
        <w:rPr>
          <w:rFonts w:ascii="Arial" w:eastAsia="Calibri" w:hAnsi="Arial" w:cs="Arial"/>
          <w:bCs/>
          <w:sz w:val="20"/>
          <w:szCs w:val="20"/>
        </w:rPr>
        <w:t xml:space="preserve"> autoridades como respuestas a peticiones realizadas en ejercicio del derecho a formular consultas no serán de obligatorio cumplimiento o ejecución.  </w:t>
      </w:r>
    </w:p>
    <w:p w14:paraId="52566FA1" w14:textId="77777777" w:rsidR="00D30D54" w:rsidRDefault="00D30D54" w:rsidP="00D30D54">
      <w:pPr>
        <w:tabs>
          <w:tab w:val="left" w:pos="426"/>
        </w:tabs>
        <w:spacing w:line="276" w:lineRule="auto"/>
        <w:jc w:val="both"/>
        <w:rPr>
          <w:rFonts w:ascii="Arial" w:eastAsia="Calibri" w:hAnsi="Arial" w:cs="Arial"/>
          <w:bCs/>
          <w:sz w:val="22"/>
        </w:rPr>
      </w:pPr>
    </w:p>
    <w:p w14:paraId="59054755" w14:textId="77777777" w:rsidR="00D30D54" w:rsidRDefault="00D30D54" w:rsidP="00D30D54">
      <w:pPr>
        <w:spacing w:after="120" w:line="276" w:lineRule="auto"/>
        <w:ind w:firstLine="708"/>
        <w:jc w:val="both"/>
        <w:rPr>
          <w:rFonts w:ascii="Arial" w:eastAsia="Calibri" w:hAnsi="Arial" w:cs="Arial"/>
          <w:bCs/>
          <w:sz w:val="22"/>
        </w:rPr>
      </w:pPr>
      <w:r>
        <w:rPr>
          <w:rFonts w:ascii="Arial" w:eastAsia="Calibri" w:hAnsi="Arial" w:cs="Arial"/>
          <w:bCs/>
          <w:sz w:val="22"/>
        </w:rPr>
        <w:t xml:space="preserve">La norma citada prescribe que los conceptos emitidos por las autoridades, como respuestas a peticiones realizadas en ejercicio del derecho a formular consultas, no son de obligatorio cumplimiento o de imperativa ejecución, es decir, no tienen efectos vinculantes. 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w:t>
      </w:r>
    </w:p>
    <w:p w14:paraId="3A8E6B89" w14:textId="77777777" w:rsidR="00D30D54" w:rsidRPr="002D7D93" w:rsidRDefault="00D30D54" w:rsidP="00D30D54">
      <w:pPr>
        <w:spacing w:after="120" w:line="276" w:lineRule="auto"/>
        <w:ind w:firstLine="708"/>
        <w:jc w:val="both"/>
        <w:rPr>
          <w:rFonts w:ascii="Arial" w:eastAsia="Calibri" w:hAnsi="Arial" w:cs="Arial"/>
          <w:bCs/>
          <w:sz w:val="22"/>
        </w:rPr>
      </w:pPr>
      <w:r>
        <w:rPr>
          <w:rFonts w:ascii="Arial" w:eastAsia="Calibri" w:hAnsi="Arial" w:cs="Arial"/>
          <w:bCs/>
          <w:sz w:val="22"/>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ente que elabora el concepto. </w:t>
      </w:r>
    </w:p>
    <w:p w14:paraId="04C03094" w14:textId="77777777" w:rsidR="00D30D54" w:rsidRPr="00127EBF" w:rsidRDefault="00D30D54" w:rsidP="00D30D54">
      <w:pPr>
        <w:tabs>
          <w:tab w:val="left" w:pos="709"/>
        </w:tabs>
        <w:spacing w:before="120" w:line="276" w:lineRule="auto"/>
        <w:jc w:val="both"/>
        <w:rPr>
          <w:rFonts w:ascii="Arial" w:eastAsia="Calibri" w:hAnsi="Arial" w:cs="Arial"/>
          <w:bCs/>
          <w:sz w:val="21"/>
          <w:szCs w:val="21"/>
          <w:lang w:val="es-ES_tradnl"/>
        </w:rPr>
      </w:pPr>
      <w:r>
        <w:rPr>
          <w:rStyle w:val="eop"/>
          <w:rFonts w:ascii="Arial" w:hAnsi="Arial" w:cs="Arial"/>
          <w:color w:val="000000"/>
          <w:sz w:val="22"/>
          <w:shd w:val="clear" w:color="auto" w:fill="FFFFFF"/>
        </w:rPr>
        <w:tab/>
        <w:t xml:space="preserve">En concordancia con ello, en concepto reciente, C-176 del 19 de abril de 2021, </w:t>
      </w:r>
      <w:r w:rsidRPr="00127EBF">
        <w:rPr>
          <w:rFonts w:ascii="Arial" w:eastAsia="Calibri" w:hAnsi="Arial" w:cs="Arial"/>
          <w:bCs/>
          <w:sz w:val="22"/>
          <w:lang w:val="es-ES_tradnl"/>
        </w:rPr>
        <w:t>Esta posición es compartida por varias entidades públicas que ejercen la misma función. Por ejemplo, 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w:t>
      </w:r>
      <w:r w:rsidRPr="00127EBF">
        <w:rPr>
          <w:rStyle w:val="Refdenotaalpie"/>
          <w:rFonts w:ascii="Arial" w:eastAsia="Calibri" w:hAnsi="Arial" w:cs="Arial"/>
          <w:bCs/>
          <w:sz w:val="22"/>
          <w:lang w:val="es-ES_tradnl"/>
        </w:rPr>
        <w:footnoteReference w:id="14"/>
      </w:r>
      <w:r w:rsidRPr="00127EBF">
        <w:rPr>
          <w:rFonts w:ascii="Arial" w:eastAsia="Calibri" w:hAnsi="Arial" w:cs="Arial"/>
          <w:bCs/>
          <w:sz w:val="22"/>
          <w:lang w:val="es-ES_tradnl"/>
        </w:rPr>
        <w:t>. Igualmente, en concepto del año 2017</w:t>
      </w:r>
      <w:r w:rsidRPr="00127EBF">
        <w:rPr>
          <w:rStyle w:val="Refdenotaalpie"/>
          <w:rFonts w:ascii="Arial" w:eastAsia="Calibri" w:hAnsi="Arial" w:cs="Arial"/>
          <w:bCs/>
          <w:sz w:val="22"/>
          <w:lang w:val="es-ES_tradnl"/>
        </w:rPr>
        <w:footnoteReference w:id="15"/>
      </w:r>
      <w:r w:rsidRPr="00127EBF">
        <w:rPr>
          <w:rFonts w:ascii="Arial" w:eastAsia="Calibri" w:hAnsi="Arial" w:cs="Arial"/>
          <w:bCs/>
          <w:sz w:val="22"/>
          <w:lang w:val="es-ES_tradnl"/>
        </w:rPr>
        <w:t xml:space="preserve">,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w:t>
      </w:r>
      <w:r w:rsidRPr="00127EBF">
        <w:rPr>
          <w:rFonts w:ascii="Arial" w:eastAsia="Calibri" w:hAnsi="Arial" w:cs="Arial"/>
          <w:bCs/>
          <w:sz w:val="22"/>
          <w:lang w:val="es-ES_tradnl"/>
        </w:rPr>
        <w:lastRenderedPageBreak/>
        <w:t>pueden ser utilizados para facilitar la interpretación y aplicación de las normas jurídicas vigentes […]».</w:t>
      </w:r>
    </w:p>
    <w:p w14:paraId="5C144E05" w14:textId="77777777" w:rsidR="00D30D54" w:rsidRDefault="00D30D54" w:rsidP="00D30D54">
      <w:pPr>
        <w:tabs>
          <w:tab w:val="left" w:pos="709"/>
        </w:tabs>
        <w:spacing w:before="120" w:line="276" w:lineRule="auto"/>
        <w:jc w:val="both"/>
        <w:rPr>
          <w:rFonts w:ascii="Arial" w:eastAsia="Calibri" w:hAnsi="Arial" w:cs="Arial"/>
          <w:bCs/>
          <w:sz w:val="22"/>
          <w:lang w:val="es-ES_tradnl"/>
        </w:rPr>
      </w:pPr>
      <w:r w:rsidRPr="00127EBF">
        <w:rPr>
          <w:rFonts w:ascii="Arial" w:eastAsia="Calibri" w:hAnsi="Arial" w:cs="Arial"/>
          <w:bCs/>
          <w:sz w:val="22"/>
          <w:lang w:val="es-ES_tradnl"/>
        </w:rPr>
        <w:tab/>
        <w:t xml:space="preserve">En términos generales, lo que se busca con el ejercicio de la función consultiva es que la opinión jurídica de la </w:t>
      </w:r>
      <w:r>
        <w:rPr>
          <w:rFonts w:ascii="Arial" w:eastAsia="Calibri" w:hAnsi="Arial" w:cs="Arial"/>
          <w:bCs/>
          <w:sz w:val="22"/>
          <w:lang w:val="es-ES_tradnl"/>
        </w:rPr>
        <w:t>Agencia Nacional de Contratación Pública – Colombia Compra Eficiente</w:t>
      </w:r>
      <w:r w:rsidRPr="00127EBF">
        <w:rPr>
          <w:rFonts w:ascii="Arial" w:eastAsia="Calibri" w:hAnsi="Arial" w:cs="Arial"/>
          <w:bCs/>
          <w:sz w:val="22"/>
          <w:lang w:val="es-ES_tradnl"/>
        </w:rPr>
        <w:t xml:space="preserve"> </w:t>
      </w:r>
      <w:r>
        <w:rPr>
          <w:rFonts w:ascii="Arial" w:eastAsia="Calibri" w:hAnsi="Arial" w:cs="Arial"/>
          <w:bCs/>
          <w:sz w:val="22"/>
          <w:lang w:val="es-ES_tradnl"/>
        </w:rPr>
        <w:t xml:space="preserve">sea un </w:t>
      </w:r>
      <w:r w:rsidRPr="00127EBF">
        <w:rPr>
          <w:rFonts w:ascii="Arial" w:eastAsia="Calibri" w:hAnsi="Arial" w:cs="Arial"/>
          <w:bCs/>
          <w:sz w:val="22"/>
          <w:lang w:val="es-ES_tradnl"/>
        </w:rPr>
        <w:t xml:space="preserve">criterio de orientación para </w:t>
      </w:r>
      <w:r>
        <w:rPr>
          <w:rFonts w:ascii="Arial" w:eastAsia="Calibri" w:hAnsi="Arial" w:cs="Arial"/>
          <w:bCs/>
          <w:sz w:val="22"/>
          <w:lang w:val="es-ES_tradnl"/>
        </w:rPr>
        <w:t>los operadores jurídicos</w:t>
      </w:r>
      <w:r w:rsidRPr="00127EBF">
        <w:rPr>
          <w:rFonts w:ascii="Arial" w:eastAsia="Calibri" w:hAnsi="Arial" w:cs="Arial"/>
          <w:bCs/>
          <w:sz w:val="22"/>
          <w:lang w:val="es-ES_tradnl"/>
        </w:rPr>
        <w:t xml:space="preserve">, </w:t>
      </w:r>
      <w:r>
        <w:rPr>
          <w:rFonts w:ascii="Arial" w:eastAsia="Calibri" w:hAnsi="Arial" w:cs="Arial"/>
          <w:bCs/>
          <w:sz w:val="22"/>
          <w:lang w:val="es-ES_tradnl"/>
        </w:rPr>
        <w:t xml:space="preserve">sin que ello suponga resolver un problema entre partes o asumir la </w:t>
      </w:r>
      <w:r w:rsidRPr="00235DCF">
        <w:rPr>
          <w:rFonts w:ascii="Arial" w:eastAsia="Calibri" w:hAnsi="Arial" w:cs="Arial"/>
          <w:bCs/>
          <w:i/>
          <w:iCs/>
          <w:sz w:val="22"/>
          <w:lang w:val="es-ES_tradnl"/>
        </w:rPr>
        <w:t>única</w:t>
      </w:r>
      <w:r>
        <w:rPr>
          <w:rFonts w:ascii="Arial" w:eastAsia="Calibri" w:hAnsi="Arial" w:cs="Arial"/>
          <w:bCs/>
          <w:sz w:val="22"/>
          <w:lang w:val="es-ES_tradnl"/>
        </w:rPr>
        <w:t xml:space="preserve"> posible interpretación de una disposición normativa</w:t>
      </w:r>
      <w:r w:rsidRPr="00127EBF">
        <w:rPr>
          <w:rFonts w:ascii="Arial" w:eastAsia="Calibri" w:hAnsi="Arial" w:cs="Arial"/>
          <w:bCs/>
          <w:sz w:val="22"/>
          <w:lang w:val="es-ES_tradnl"/>
        </w:rPr>
        <w:t>.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127EBF">
        <w:rPr>
          <w:rStyle w:val="Refdenotaalpie"/>
          <w:rFonts w:ascii="Arial" w:eastAsia="Calibri" w:hAnsi="Arial" w:cs="Arial"/>
          <w:bCs/>
          <w:sz w:val="22"/>
          <w:lang w:val="es-ES_tradnl"/>
        </w:rPr>
        <w:footnoteReference w:id="16"/>
      </w:r>
      <w:r>
        <w:rPr>
          <w:rFonts w:ascii="Arial" w:eastAsia="Calibri" w:hAnsi="Arial" w:cs="Arial"/>
          <w:bCs/>
          <w:sz w:val="22"/>
          <w:lang w:val="es-ES_tradnl"/>
        </w:rPr>
        <w:t>.</w:t>
      </w:r>
    </w:p>
    <w:p w14:paraId="1201EEC2" w14:textId="77777777" w:rsidR="00D30D54" w:rsidRDefault="00D30D54" w:rsidP="00D30D54">
      <w:pPr>
        <w:tabs>
          <w:tab w:val="left" w:pos="709"/>
        </w:tabs>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Las</w:t>
      </w:r>
      <w:r w:rsidRPr="00127EBF">
        <w:rPr>
          <w:rFonts w:ascii="Arial" w:eastAsia="Calibri" w:hAnsi="Arial" w:cs="Arial"/>
          <w:bCs/>
          <w:sz w:val="22"/>
          <w:lang w:val="es-ES_tradnl"/>
        </w:rPr>
        <w:t xml:space="preserve"> autoridades que ejercen funciones consultivas </w:t>
      </w:r>
      <w:r>
        <w:rPr>
          <w:rFonts w:ascii="Arial" w:eastAsia="Calibri" w:hAnsi="Arial" w:cs="Arial"/>
          <w:bCs/>
          <w:sz w:val="22"/>
          <w:lang w:val="es-ES_tradnl"/>
        </w:rPr>
        <w:t>pueden expresar su interpretación de un precepto normativo que no excluye otras interpretaciones posibles, pues el derecho, como sistema normativo, es un lenguaje que, en ocasiones, se tiñe de vaguedad, en virtud de la utilización de conceptos jurídicos indeterminados</w:t>
      </w:r>
      <w:r w:rsidRPr="00127EBF">
        <w:rPr>
          <w:rFonts w:ascii="Arial" w:eastAsia="Calibri" w:hAnsi="Arial" w:cs="Arial"/>
          <w:bCs/>
          <w:sz w:val="22"/>
          <w:lang w:val="es-ES_tradnl"/>
        </w:rPr>
        <w:t>.</w:t>
      </w:r>
      <w:r>
        <w:rPr>
          <w:rFonts w:ascii="Arial" w:eastAsia="Calibri" w:hAnsi="Arial" w:cs="Arial"/>
          <w:bCs/>
          <w:sz w:val="22"/>
          <w:lang w:val="es-ES_tradnl"/>
        </w:rPr>
        <w:t xml:space="preserve"> </w:t>
      </w:r>
      <w:r w:rsidRPr="00127EBF">
        <w:rPr>
          <w:rFonts w:ascii="Arial" w:eastAsia="Calibri" w:hAnsi="Arial" w:cs="Arial"/>
          <w:bCs/>
          <w:sz w:val="22"/>
          <w:lang w:val="es-ES_tradnl"/>
        </w:rPr>
        <w:t>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w:t>
      </w:r>
      <w:r>
        <w:rPr>
          <w:rFonts w:ascii="Arial" w:eastAsia="Calibri" w:hAnsi="Arial" w:cs="Arial"/>
          <w:bCs/>
          <w:sz w:val="22"/>
          <w:lang w:val="es-ES_tradnl"/>
        </w:rPr>
        <w:t xml:space="preserve"> </w:t>
      </w:r>
      <w:r w:rsidRPr="00127EBF">
        <w:rPr>
          <w:rFonts w:ascii="Arial" w:eastAsia="Calibri" w:hAnsi="Arial" w:cs="Arial"/>
          <w:bCs/>
          <w:sz w:val="22"/>
          <w:lang w:val="es-ES_tradnl"/>
        </w:rPr>
        <w:t>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w:t>
      </w:r>
      <w:r>
        <w:rPr>
          <w:rFonts w:ascii="Arial" w:eastAsia="Calibri" w:hAnsi="Arial" w:cs="Arial"/>
          <w:bCs/>
          <w:sz w:val="22"/>
          <w:lang w:val="es-ES_tradnl"/>
        </w:rPr>
        <w:t>.</w:t>
      </w:r>
      <w:r w:rsidRPr="00127EBF">
        <w:rPr>
          <w:rFonts w:ascii="Arial" w:eastAsia="Calibri" w:hAnsi="Arial" w:cs="Arial"/>
          <w:bCs/>
          <w:sz w:val="22"/>
          <w:lang w:val="es-ES_tradnl"/>
        </w:rPr>
        <w:t xml:space="preserve"> </w:t>
      </w:r>
      <w:r>
        <w:rPr>
          <w:rFonts w:ascii="Arial" w:eastAsia="Calibri" w:hAnsi="Arial" w:cs="Arial"/>
          <w:bCs/>
          <w:sz w:val="22"/>
          <w:lang w:val="es-ES_tradnl"/>
        </w:rPr>
        <w:t>E</w:t>
      </w:r>
      <w:r w:rsidRPr="00127EBF">
        <w:rPr>
          <w:rFonts w:ascii="Arial" w:eastAsia="Calibri" w:hAnsi="Arial" w:cs="Arial"/>
          <w:bCs/>
          <w:sz w:val="22"/>
          <w:lang w:val="es-ES_tradnl"/>
        </w:rPr>
        <w:t xml:space="preserve">n otras palabras, los conceptos «no serán de obligatorio cumplimiento o ejecución». </w:t>
      </w:r>
    </w:p>
    <w:p w14:paraId="6F315341" w14:textId="77777777" w:rsidR="00D30D54" w:rsidRPr="00804685" w:rsidRDefault="00D30D54" w:rsidP="00D30D54">
      <w:pPr>
        <w:tabs>
          <w:tab w:val="left" w:pos="709"/>
        </w:tabs>
        <w:spacing w:before="120" w:line="276" w:lineRule="auto"/>
        <w:ind w:firstLine="709"/>
        <w:jc w:val="both"/>
        <w:rPr>
          <w:rFonts w:ascii="Arial" w:eastAsia="Calibri" w:hAnsi="Arial" w:cs="Arial"/>
          <w:bCs/>
          <w:sz w:val="22"/>
          <w:lang w:val="es-ES_tradnl"/>
        </w:rPr>
      </w:pPr>
    </w:p>
    <w:p w14:paraId="5253C917" w14:textId="77777777" w:rsidR="00D30D54" w:rsidRPr="00B8408D" w:rsidRDefault="00D30D54" w:rsidP="00D30D54">
      <w:pPr>
        <w:pStyle w:val="Ttulo1"/>
        <w:keepNext w:val="0"/>
        <w:keepLines w:val="0"/>
        <w:widowControl w:val="0"/>
        <w:numPr>
          <w:ilvl w:val="0"/>
          <w:numId w:val="2"/>
        </w:numPr>
        <w:tabs>
          <w:tab w:val="left" w:pos="544"/>
        </w:tabs>
        <w:autoSpaceDE w:val="0"/>
        <w:autoSpaceDN w:val="0"/>
        <w:spacing w:before="0" w:line="276" w:lineRule="auto"/>
        <w:ind w:left="0" w:hanging="244"/>
        <w:rPr>
          <w:rFonts w:ascii="Arial" w:hAnsi="Arial" w:cs="Arial"/>
          <w:b/>
          <w:bCs/>
          <w:color w:val="000000" w:themeColor="text1"/>
          <w:sz w:val="22"/>
          <w:szCs w:val="22"/>
        </w:rPr>
      </w:pPr>
      <w:r w:rsidRPr="00B8408D">
        <w:rPr>
          <w:rFonts w:ascii="Arial" w:hAnsi="Arial" w:cs="Arial"/>
          <w:b/>
          <w:bCs/>
          <w:color w:val="000000" w:themeColor="text1"/>
          <w:sz w:val="22"/>
          <w:szCs w:val="22"/>
        </w:rPr>
        <w:t>Respuesta</w:t>
      </w:r>
    </w:p>
    <w:p w14:paraId="73566785" w14:textId="77777777" w:rsidR="00D30D54" w:rsidRPr="00804685" w:rsidRDefault="00D30D54" w:rsidP="00D30D54">
      <w:pPr>
        <w:pStyle w:val="NormalWeb"/>
        <w:numPr>
          <w:ilvl w:val="0"/>
          <w:numId w:val="10"/>
        </w:numPr>
        <w:ind w:left="709" w:right="709" w:firstLine="0"/>
        <w:jc w:val="both"/>
        <w:rPr>
          <w:rFonts w:ascii="ArialNarrow" w:hAnsi="ArialNarrow"/>
          <w:sz w:val="21"/>
          <w:szCs w:val="21"/>
        </w:rPr>
      </w:pPr>
      <w:r>
        <w:rPr>
          <w:rFonts w:ascii="ArialNarrow" w:hAnsi="ArialNarrow"/>
          <w:sz w:val="21"/>
          <w:szCs w:val="21"/>
        </w:rPr>
        <w:t>«</w:t>
      </w:r>
      <w:r w:rsidRPr="002F6A04">
        <w:rPr>
          <w:rFonts w:ascii="ArialNarrow" w:hAnsi="ArialNarrow"/>
          <w:sz w:val="21"/>
          <w:szCs w:val="21"/>
        </w:rPr>
        <w:t>¿La Aerocivil debe seguir teniendo en cuenta los conceptos emitidos en el año 2017?</w:t>
      </w:r>
      <w:r>
        <w:rPr>
          <w:rFonts w:ascii="ArialNarrow" w:hAnsi="ArialNarrow"/>
          <w:sz w:val="21"/>
          <w:szCs w:val="21"/>
        </w:rPr>
        <w:t xml:space="preserve"> </w:t>
      </w:r>
      <w:r w:rsidRPr="002F6A04">
        <w:rPr>
          <w:rFonts w:ascii="ArialNarrow" w:hAnsi="ArialNarrow"/>
          <w:sz w:val="21"/>
          <w:szCs w:val="21"/>
        </w:rPr>
        <w:t>Si es así muy respetuosamente se solicita actualizar dichos</w:t>
      </w:r>
      <w:r>
        <w:rPr>
          <w:rFonts w:ascii="ArialNarrow" w:hAnsi="ArialNarrow"/>
          <w:sz w:val="21"/>
          <w:szCs w:val="21"/>
        </w:rPr>
        <w:t xml:space="preserve"> </w:t>
      </w:r>
      <w:r w:rsidRPr="002F6A04">
        <w:rPr>
          <w:rFonts w:ascii="ArialNarrow" w:hAnsi="ArialNarrow"/>
          <w:sz w:val="21"/>
          <w:szCs w:val="21"/>
        </w:rPr>
        <w:t>conceptos</w:t>
      </w:r>
      <w:r w:rsidRPr="002F6A04">
        <w:rPr>
          <w:rFonts w:ascii="Arial" w:hAnsi="Arial" w:cs="Arial"/>
          <w:sz w:val="21"/>
          <w:szCs w:val="21"/>
        </w:rPr>
        <w:t>».</w:t>
      </w:r>
    </w:p>
    <w:p w14:paraId="54CE564C" w14:textId="77777777" w:rsidR="00D30D54" w:rsidRDefault="00D30D54" w:rsidP="00D30D54">
      <w:pPr>
        <w:spacing w:after="120" w:line="276" w:lineRule="auto"/>
        <w:jc w:val="both"/>
        <w:rPr>
          <w:rFonts w:ascii="Arial" w:eastAsia="Calibri" w:hAnsi="Arial" w:cs="Arial"/>
          <w:bCs/>
          <w:sz w:val="22"/>
        </w:rPr>
      </w:pPr>
      <w:r w:rsidRPr="00804685">
        <w:rPr>
          <w:rFonts w:ascii="Arial" w:hAnsi="Arial" w:cs="Arial"/>
          <w:sz w:val="22"/>
          <w:szCs w:val="22"/>
        </w:rPr>
        <w:t xml:space="preserve">Con base en los presupuestos anteriores es posible concluir que </w:t>
      </w:r>
      <w:r w:rsidRPr="00804685">
        <w:rPr>
          <w:rFonts w:ascii="Arial" w:eastAsia="Calibri" w:hAnsi="Arial" w:cs="Arial"/>
          <w:bCs/>
          <w:sz w:val="22"/>
        </w:rPr>
        <w:t xml:space="preserve">los conceptos de esta Agencia tienen como objeto la interpretación de normas de carácter general, esto es, del </w:t>
      </w:r>
      <w:r w:rsidRPr="00804685">
        <w:rPr>
          <w:rFonts w:ascii="Arial" w:eastAsia="Calibri" w:hAnsi="Arial" w:cs="Arial"/>
          <w:bCs/>
          <w:sz w:val="22"/>
        </w:rPr>
        <w:lastRenderedPageBreak/>
        <w:t xml:space="preserve">ordenamiento jurídico en abstracto, no la resolución de controversias o la asesoría para casos concretos; además, no son vinculantes o de obligatorio cumplimiento para el destinatario, sino que expresan la posición interpretativa del ente que elabora el concepto. </w:t>
      </w:r>
    </w:p>
    <w:p w14:paraId="0AD17A8E" w14:textId="77777777" w:rsidR="00D30D54" w:rsidRPr="00804685" w:rsidRDefault="00D30D54" w:rsidP="00D30D54">
      <w:pPr>
        <w:spacing w:after="120" w:line="276" w:lineRule="auto"/>
        <w:ind w:firstLine="709"/>
        <w:jc w:val="both"/>
        <w:rPr>
          <w:rFonts w:ascii="Arial" w:eastAsia="Calibri" w:hAnsi="Arial" w:cs="Arial"/>
          <w:bCs/>
          <w:sz w:val="22"/>
        </w:rPr>
      </w:pPr>
      <w:r>
        <w:rPr>
          <w:rFonts w:ascii="Arial" w:eastAsia="Calibri" w:hAnsi="Arial" w:cs="Arial"/>
          <w:bCs/>
          <w:sz w:val="22"/>
        </w:rPr>
        <w:t xml:space="preserve">Es decir, </w:t>
      </w:r>
      <w:r>
        <w:rPr>
          <w:rFonts w:ascii="Arial" w:eastAsia="Calibri" w:hAnsi="Arial" w:cs="Arial"/>
          <w:bCs/>
          <w:sz w:val="22"/>
          <w:lang w:val="es-ES_tradnl"/>
        </w:rPr>
        <w:t>e</w:t>
      </w:r>
      <w:r w:rsidRPr="00127EBF">
        <w:rPr>
          <w:rFonts w:ascii="Arial" w:eastAsia="Calibri" w:hAnsi="Arial" w:cs="Arial"/>
          <w:bCs/>
          <w:sz w:val="22"/>
          <w:lang w:val="es-ES_tradnl"/>
        </w:rPr>
        <w:t xml:space="preserve">n términos generales, lo que se busca con el ejercicio de la función consultiva es que la opinión jurídica de la </w:t>
      </w:r>
      <w:r>
        <w:rPr>
          <w:rFonts w:ascii="Arial" w:eastAsia="Calibri" w:hAnsi="Arial" w:cs="Arial"/>
          <w:bCs/>
          <w:sz w:val="22"/>
          <w:lang w:val="es-ES_tradnl"/>
        </w:rPr>
        <w:t>Agencia Nacional de Contratación Pública – Colombia Compra Eficiente</w:t>
      </w:r>
      <w:r w:rsidRPr="00127EBF">
        <w:rPr>
          <w:rFonts w:ascii="Arial" w:eastAsia="Calibri" w:hAnsi="Arial" w:cs="Arial"/>
          <w:bCs/>
          <w:sz w:val="22"/>
          <w:lang w:val="es-ES_tradnl"/>
        </w:rPr>
        <w:t xml:space="preserve"> </w:t>
      </w:r>
      <w:r>
        <w:rPr>
          <w:rFonts w:ascii="Arial" w:eastAsia="Calibri" w:hAnsi="Arial" w:cs="Arial"/>
          <w:bCs/>
          <w:sz w:val="22"/>
          <w:lang w:val="es-ES_tradnl"/>
        </w:rPr>
        <w:t xml:space="preserve">sea un </w:t>
      </w:r>
      <w:r w:rsidRPr="00127EBF">
        <w:rPr>
          <w:rFonts w:ascii="Arial" w:eastAsia="Calibri" w:hAnsi="Arial" w:cs="Arial"/>
          <w:bCs/>
          <w:sz w:val="22"/>
          <w:lang w:val="es-ES_tradnl"/>
        </w:rPr>
        <w:t xml:space="preserve">criterio de orientación para </w:t>
      </w:r>
      <w:r>
        <w:rPr>
          <w:rFonts w:ascii="Arial" w:eastAsia="Calibri" w:hAnsi="Arial" w:cs="Arial"/>
          <w:bCs/>
          <w:sz w:val="22"/>
          <w:lang w:val="es-ES_tradnl"/>
        </w:rPr>
        <w:t>los operadores jurídicos</w:t>
      </w:r>
      <w:r w:rsidRPr="00127EBF">
        <w:rPr>
          <w:rFonts w:ascii="Arial" w:eastAsia="Calibri" w:hAnsi="Arial" w:cs="Arial"/>
          <w:bCs/>
          <w:sz w:val="22"/>
          <w:lang w:val="es-ES_tradnl"/>
        </w:rPr>
        <w:t xml:space="preserve">, </w:t>
      </w:r>
      <w:r>
        <w:rPr>
          <w:rFonts w:ascii="Arial" w:eastAsia="Calibri" w:hAnsi="Arial" w:cs="Arial"/>
          <w:bCs/>
          <w:sz w:val="22"/>
          <w:lang w:val="es-ES_tradnl"/>
        </w:rPr>
        <w:t xml:space="preserve">sin que ello suponga resolver un problema entre partes o asumir la </w:t>
      </w:r>
      <w:r w:rsidRPr="00235DCF">
        <w:rPr>
          <w:rFonts w:ascii="Arial" w:eastAsia="Calibri" w:hAnsi="Arial" w:cs="Arial"/>
          <w:bCs/>
          <w:i/>
          <w:iCs/>
          <w:sz w:val="22"/>
          <w:lang w:val="es-ES_tradnl"/>
        </w:rPr>
        <w:t>única</w:t>
      </w:r>
      <w:r>
        <w:rPr>
          <w:rFonts w:ascii="Arial" w:eastAsia="Calibri" w:hAnsi="Arial" w:cs="Arial"/>
          <w:bCs/>
          <w:sz w:val="22"/>
          <w:lang w:val="es-ES_tradnl"/>
        </w:rPr>
        <w:t xml:space="preserve"> posible interpretación de una disposición normativa</w:t>
      </w:r>
      <w:r w:rsidRPr="00127EBF">
        <w:rPr>
          <w:rFonts w:ascii="Arial" w:eastAsia="Calibri" w:hAnsi="Arial" w:cs="Arial"/>
          <w:bCs/>
          <w:sz w:val="22"/>
          <w:lang w:val="es-ES_tradnl"/>
        </w:rPr>
        <w:t>.</w:t>
      </w:r>
    </w:p>
    <w:p w14:paraId="21573E01" w14:textId="77777777" w:rsidR="00D30D54" w:rsidRPr="00804685" w:rsidRDefault="00D30D54" w:rsidP="00D30D54">
      <w:pPr>
        <w:pStyle w:val="Textoindependiente"/>
        <w:spacing w:line="276" w:lineRule="auto"/>
        <w:jc w:val="both"/>
        <w:rPr>
          <w:sz w:val="22"/>
          <w:szCs w:val="22"/>
        </w:rPr>
      </w:pPr>
    </w:p>
    <w:p w14:paraId="2AF26A7B" w14:textId="77777777" w:rsidR="00D30D54" w:rsidRPr="00804685" w:rsidRDefault="00D30D54" w:rsidP="00D30D54">
      <w:pPr>
        <w:pStyle w:val="NormalWeb"/>
        <w:numPr>
          <w:ilvl w:val="0"/>
          <w:numId w:val="10"/>
        </w:numPr>
        <w:spacing w:before="0" w:beforeAutospacing="0" w:after="0" w:afterAutospacing="0"/>
        <w:ind w:left="709" w:right="709" w:firstLine="0"/>
        <w:jc w:val="both"/>
        <w:rPr>
          <w:rFonts w:ascii="ArialNarrow" w:hAnsi="ArialNarrow"/>
          <w:sz w:val="21"/>
          <w:szCs w:val="21"/>
        </w:rPr>
      </w:pPr>
      <w:r w:rsidRPr="002F6A04">
        <w:rPr>
          <w:rFonts w:ascii="ArialNarrow" w:hAnsi="ArialNarrow"/>
          <w:sz w:val="21"/>
          <w:szCs w:val="21"/>
        </w:rPr>
        <w:t>«¿Cuál es la interpretación que se le debe dar a la excepción 44?</w:t>
      </w:r>
      <w:r w:rsidRPr="002F6A04">
        <w:rPr>
          <w:rFonts w:ascii="Arial" w:hAnsi="Arial" w:cs="Arial"/>
          <w:sz w:val="21"/>
          <w:szCs w:val="21"/>
        </w:rPr>
        <w:t>».</w:t>
      </w:r>
    </w:p>
    <w:p w14:paraId="30EBBA6A" w14:textId="77777777" w:rsidR="00D30D54" w:rsidRPr="002F6A04" w:rsidRDefault="00D30D54" w:rsidP="00D30D54">
      <w:pPr>
        <w:pStyle w:val="NormalWeb"/>
        <w:numPr>
          <w:ilvl w:val="0"/>
          <w:numId w:val="10"/>
        </w:numPr>
        <w:spacing w:before="120" w:beforeAutospacing="0" w:after="120" w:afterAutospacing="0"/>
        <w:ind w:left="709" w:right="709" w:firstLine="0"/>
        <w:jc w:val="both"/>
        <w:rPr>
          <w:rFonts w:ascii="ArialNarrow" w:hAnsi="ArialNarrow"/>
          <w:sz w:val="21"/>
          <w:szCs w:val="21"/>
        </w:rPr>
      </w:pPr>
      <w:r w:rsidRPr="002F6A04">
        <w:rPr>
          <w:rFonts w:ascii="ArialNarrow" w:hAnsi="ArialNarrow"/>
          <w:sz w:val="21"/>
          <w:szCs w:val="21"/>
        </w:rPr>
        <w:t>¿Qué se entiende por infraestructura para el sistema aeroportuario y cuáles son los procesos y contratos relacionados con esto?</w:t>
      </w:r>
      <w:r w:rsidRPr="002F6A04">
        <w:rPr>
          <w:rFonts w:ascii="Arial" w:hAnsi="Arial" w:cs="Arial"/>
          <w:sz w:val="21"/>
          <w:szCs w:val="21"/>
        </w:rPr>
        <w:t>».</w:t>
      </w:r>
    </w:p>
    <w:p w14:paraId="5E5B4428" w14:textId="77777777" w:rsidR="00D30D54" w:rsidRPr="00804685" w:rsidRDefault="00D30D54" w:rsidP="00D30D54">
      <w:pPr>
        <w:pStyle w:val="NormalWeb"/>
        <w:numPr>
          <w:ilvl w:val="0"/>
          <w:numId w:val="10"/>
        </w:numPr>
        <w:spacing w:after="0" w:afterAutospacing="0"/>
        <w:ind w:left="709" w:right="709" w:firstLine="0"/>
        <w:jc w:val="both"/>
        <w:rPr>
          <w:rFonts w:ascii="ArialNarrow" w:hAnsi="ArialNarrow"/>
          <w:sz w:val="21"/>
          <w:szCs w:val="21"/>
        </w:rPr>
      </w:pPr>
      <w:r w:rsidRPr="002F6A04">
        <w:rPr>
          <w:rFonts w:ascii="ArialNarrow" w:hAnsi="ArialNarrow"/>
          <w:sz w:val="21"/>
          <w:szCs w:val="21"/>
        </w:rPr>
        <w:t>¿Qué se entiende por infraestructura para el sistema nacional del espacio aéreo y cuáles son los procesos y contratos relacionados con esto?</w:t>
      </w:r>
      <w:r w:rsidRPr="002F6A04">
        <w:rPr>
          <w:rFonts w:ascii="Arial" w:hAnsi="Arial" w:cs="Arial"/>
          <w:sz w:val="21"/>
          <w:szCs w:val="21"/>
        </w:rPr>
        <w:t>».</w:t>
      </w:r>
    </w:p>
    <w:p w14:paraId="6E528F97" w14:textId="77777777" w:rsidR="00D30D54" w:rsidRPr="00804685" w:rsidRDefault="00D30D54" w:rsidP="00D30D54">
      <w:pPr>
        <w:pStyle w:val="NormalWeb"/>
        <w:spacing w:before="0" w:beforeAutospacing="0" w:after="0" w:afterAutospacing="0"/>
        <w:ind w:left="709" w:right="709"/>
        <w:jc w:val="both"/>
        <w:rPr>
          <w:rFonts w:ascii="ArialNarrow" w:hAnsi="ArialNarrow"/>
          <w:sz w:val="21"/>
          <w:szCs w:val="21"/>
        </w:rPr>
      </w:pPr>
    </w:p>
    <w:p w14:paraId="705B849F" w14:textId="77777777" w:rsidR="00D30D54" w:rsidRDefault="00D30D54" w:rsidP="00D30D54">
      <w:pPr>
        <w:pStyle w:val="Textoindependiente"/>
        <w:spacing w:line="276" w:lineRule="auto"/>
        <w:jc w:val="both"/>
        <w:rPr>
          <w:sz w:val="22"/>
          <w:szCs w:val="22"/>
        </w:rPr>
      </w:pPr>
      <w:r>
        <w:rPr>
          <w:color w:val="000000" w:themeColor="text1"/>
          <w:sz w:val="22"/>
          <w:szCs w:val="22"/>
        </w:rPr>
        <w:t xml:space="preserve">Respecto a estas cuestiones, debemos poner de presente que </w:t>
      </w:r>
      <w:r w:rsidRPr="00B8408D">
        <w:rPr>
          <w:sz w:val="22"/>
          <w:szCs w:val="22"/>
        </w:rPr>
        <w:t xml:space="preserve">no existe una aclaración o interpretación oficial sobre el alcance que puede tener la excepción 44, pero </w:t>
      </w:r>
      <w:r>
        <w:rPr>
          <w:sz w:val="22"/>
          <w:szCs w:val="22"/>
        </w:rPr>
        <w:t>es posible</w:t>
      </w:r>
      <w:r w:rsidRPr="00B8408D">
        <w:rPr>
          <w:sz w:val="22"/>
          <w:szCs w:val="22"/>
        </w:rPr>
        <w:t xml:space="preserve"> advertir que la </w:t>
      </w:r>
      <w:r>
        <w:rPr>
          <w:sz w:val="22"/>
          <w:szCs w:val="22"/>
        </w:rPr>
        <w:t>A</w:t>
      </w:r>
      <w:r w:rsidRPr="00B8408D">
        <w:rPr>
          <w:sz w:val="22"/>
          <w:szCs w:val="22"/>
        </w:rPr>
        <w:t xml:space="preserve">eronáutica </w:t>
      </w:r>
      <w:r>
        <w:rPr>
          <w:sz w:val="22"/>
          <w:szCs w:val="22"/>
        </w:rPr>
        <w:t>C</w:t>
      </w:r>
      <w:r w:rsidRPr="00B8408D">
        <w:rPr>
          <w:sz w:val="22"/>
          <w:szCs w:val="22"/>
        </w:rPr>
        <w:t>ivil</w:t>
      </w:r>
      <w:r>
        <w:rPr>
          <w:sz w:val="22"/>
          <w:szCs w:val="22"/>
        </w:rPr>
        <w:t xml:space="preserve">, como entidad estatal facultada para contratar y dotada de la respectiva autonomía contractual y discrecionalidad administrativa, </w:t>
      </w:r>
      <w:r w:rsidRPr="00B8408D">
        <w:rPr>
          <w:sz w:val="22"/>
          <w:szCs w:val="22"/>
        </w:rPr>
        <w:t>est</w:t>
      </w:r>
      <w:r>
        <w:rPr>
          <w:sz w:val="22"/>
          <w:szCs w:val="22"/>
        </w:rPr>
        <w:t>á</w:t>
      </w:r>
      <w:r w:rsidRPr="00B8408D">
        <w:rPr>
          <w:sz w:val="22"/>
          <w:szCs w:val="22"/>
        </w:rPr>
        <w:t xml:space="preserve"> </w:t>
      </w:r>
      <w:r>
        <w:rPr>
          <w:sz w:val="22"/>
          <w:szCs w:val="22"/>
        </w:rPr>
        <w:t xml:space="preserve">plenamente </w:t>
      </w:r>
      <w:r w:rsidRPr="00B8408D">
        <w:rPr>
          <w:sz w:val="22"/>
          <w:szCs w:val="22"/>
        </w:rPr>
        <w:t>facultada para</w:t>
      </w:r>
      <w:r>
        <w:rPr>
          <w:sz w:val="22"/>
          <w:szCs w:val="22"/>
        </w:rPr>
        <w:t xml:space="preserve"> realizar las interpretaciones necesarias y, por tanto,</w:t>
      </w:r>
      <w:r w:rsidRPr="00B8408D">
        <w:rPr>
          <w:sz w:val="22"/>
          <w:szCs w:val="22"/>
        </w:rPr>
        <w:t xml:space="preserve"> </w:t>
      </w:r>
      <w:r>
        <w:rPr>
          <w:sz w:val="22"/>
          <w:szCs w:val="22"/>
        </w:rPr>
        <w:t xml:space="preserve">determinar si en sus procedimientos contractuales aplica o no la excepción 44 o </w:t>
      </w:r>
      <w:r w:rsidRPr="00B8408D">
        <w:rPr>
          <w:sz w:val="22"/>
          <w:szCs w:val="22"/>
        </w:rPr>
        <w:t>los acuerdos comerciales vigentes</w:t>
      </w:r>
      <w:r>
        <w:rPr>
          <w:sz w:val="22"/>
          <w:szCs w:val="22"/>
        </w:rPr>
        <w:t>. Es decir, la Aeronáutica Civil es la entidad llamada a determinar si el objeto contractual versa sobre el contenido de la excepción, esto es:</w:t>
      </w:r>
      <w:r w:rsidRPr="00B8408D">
        <w:rPr>
          <w:sz w:val="22"/>
          <w:szCs w:val="22"/>
        </w:rPr>
        <w:t xml:space="preserve"> i)</w:t>
      </w:r>
      <w:r>
        <w:rPr>
          <w:sz w:val="22"/>
          <w:szCs w:val="22"/>
        </w:rPr>
        <w:t xml:space="preserve"> </w:t>
      </w:r>
      <w:r w:rsidRPr="00B8408D">
        <w:rPr>
          <w:sz w:val="22"/>
          <w:szCs w:val="22"/>
        </w:rPr>
        <w:t>la infraestructura para el sistema aeroportuario y</w:t>
      </w:r>
      <w:r>
        <w:rPr>
          <w:sz w:val="22"/>
          <w:szCs w:val="22"/>
        </w:rPr>
        <w:t>/o</w:t>
      </w:r>
      <w:r w:rsidRPr="00B8408D">
        <w:rPr>
          <w:sz w:val="22"/>
          <w:szCs w:val="22"/>
        </w:rPr>
        <w:t xml:space="preserve"> (ii) la infraestructura para el sistema nacional del espacio aéreo</w:t>
      </w:r>
      <w:r>
        <w:rPr>
          <w:sz w:val="22"/>
          <w:szCs w:val="22"/>
        </w:rPr>
        <w:t>, eventos en los cuales no deberá dar aplicación a los acuerdos comerciales suscritos por Colombia.</w:t>
      </w:r>
    </w:p>
    <w:p w14:paraId="01FBAFD7" w14:textId="77777777" w:rsidR="00D30D54" w:rsidRDefault="00D30D54" w:rsidP="00D30D54">
      <w:pPr>
        <w:pStyle w:val="Textoindependiente"/>
        <w:spacing w:line="276" w:lineRule="auto"/>
        <w:jc w:val="both"/>
        <w:rPr>
          <w:sz w:val="22"/>
          <w:szCs w:val="22"/>
        </w:rPr>
      </w:pPr>
    </w:p>
    <w:p w14:paraId="2F958A1F" w14:textId="77777777" w:rsidR="00D30D54" w:rsidRPr="002F6A04" w:rsidRDefault="00D30D54" w:rsidP="00D30D54">
      <w:pPr>
        <w:pStyle w:val="NormalWeb"/>
        <w:numPr>
          <w:ilvl w:val="0"/>
          <w:numId w:val="10"/>
        </w:numPr>
        <w:spacing w:before="120" w:beforeAutospacing="0" w:after="120" w:afterAutospacing="0"/>
        <w:ind w:left="709" w:right="709" w:firstLine="0"/>
        <w:jc w:val="both"/>
        <w:rPr>
          <w:rFonts w:ascii="ArialNarrow" w:hAnsi="ArialNarrow"/>
          <w:sz w:val="21"/>
          <w:szCs w:val="21"/>
        </w:rPr>
      </w:pPr>
      <w:r>
        <w:rPr>
          <w:rFonts w:ascii="ArialNarrow" w:hAnsi="ArialNarrow"/>
          <w:sz w:val="21"/>
          <w:szCs w:val="21"/>
        </w:rPr>
        <w:t>«</w:t>
      </w:r>
      <w:r w:rsidRPr="002F6A04">
        <w:rPr>
          <w:rFonts w:ascii="ArialNarrow" w:hAnsi="ArialNarrow"/>
          <w:sz w:val="21"/>
          <w:szCs w:val="21"/>
        </w:rPr>
        <w:t>¿Se le debe dar trato nacional al proponente plural conformado por una empresa colombiana y una empresa de un país perteneciente a la Unión Europea?</w:t>
      </w:r>
      <w:r w:rsidRPr="002F6A04">
        <w:rPr>
          <w:rFonts w:ascii="Arial" w:hAnsi="Arial" w:cs="Arial"/>
          <w:sz w:val="21"/>
          <w:szCs w:val="21"/>
        </w:rPr>
        <w:t>».</w:t>
      </w:r>
    </w:p>
    <w:p w14:paraId="16E097E4" w14:textId="77777777" w:rsidR="00D30D54" w:rsidRPr="002F6A04" w:rsidRDefault="00D30D54" w:rsidP="00D30D54">
      <w:pPr>
        <w:pStyle w:val="NormalWeb"/>
        <w:numPr>
          <w:ilvl w:val="0"/>
          <w:numId w:val="10"/>
        </w:numPr>
        <w:spacing w:before="120" w:beforeAutospacing="0" w:after="120" w:afterAutospacing="0"/>
        <w:ind w:left="709" w:right="709" w:firstLine="0"/>
        <w:jc w:val="both"/>
        <w:rPr>
          <w:rFonts w:ascii="ArialNarrow" w:hAnsi="ArialNarrow"/>
          <w:sz w:val="21"/>
          <w:szCs w:val="21"/>
        </w:rPr>
      </w:pPr>
      <w:r w:rsidRPr="002F6A04">
        <w:rPr>
          <w:rFonts w:ascii="ArialNarrow" w:hAnsi="ArialNarrow"/>
          <w:sz w:val="21"/>
          <w:szCs w:val="21"/>
        </w:rPr>
        <w:t>«¿Se le debe dar trato nacional al proponente plural conformado por una empresa colombiana y una sucursal de una empresa de un país perteneciente a la Unión Europea?</w:t>
      </w:r>
      <w:r w:rsidRPr="002F6A04">
        <w:rPr>
          <w:rFonts w:ascii="Arial" w:hAnsi="Arial" w:cs="Arial"/>
          <w:sz w:val="21"/>
          <w:szCs w:val="21"/>
        </w:rPr>
        <w:t>».</w:t>
      </w:r>
    </w:p>
    <w:p w14:paraId="412FBB07" w14:textId="77777777" w:rsidR="00D30D54" w:rsidRPr="002F6A04" w:rsidRDefault="00D30D54" w:rsidP="00D30D54">
      <w:pPr>
        <w:pStyle w:val="NormalWeb"/>
        <w:numPr>
          <w:ilvl w:val="0"/>
          <w:numId w:val="10"/>
        </w:numPr>
        <w:spacing w:before="120" w:beforeAutospacing="0" w:after="120" w:afterAutospacing="0"/>
        <w:ind w:left="709" w:right="709" w:firstLine="0"/>
        <w:jc w:val="both"/>
        <w:rPr>
          <w:rFonts w:ascii="ArialNarrow" w:hAnsi="ArialNarrow"/>
          <w:sz w:val="21"/>
          <w:szCs w:val="21"/>
        </w:rPr>
      </w:pPr>
      <w:r w:rsidRPr="002F6A04">
        <w:rPr>
          <w:rFonts w:ascii="ArialNarrow" w:hAnsi="ArialNarrow"/>
          <w:sz w:val="21"/>
          <w:szCs w:val="21"/>
        </w:rPr>
        <w:t>¿Se le debe dar trato Nacional a un proponente singular cuyo país de origen haga parte de la Unión Europea?</w:t>
      </w:r>
      <w:r w:rsidRPr="002F6A04">
        <w:rPr>
          <w:rFonts w:ascii="Arial" w:hAnsi="Arial" w:cs="Arial"/>
          <w:sz w:val="21"/>
          <w:szCs w:val="21"/>
        </w:rPr>
        <w:t>».</w:t>
      </w:r>
    </w:p>
    <w:p w14:paraId="5F26D408" w14:textId="77777777" w:rsidR="00D30D54" w:rsidRPr="002F6A04" w:rsidRDefault="00D30D54" w:rsidP="00D30D54">
      <w:pPr>
        <w:pStyle w:val="NormalWeb"/>
        <w:numPr>
          <w:ilvl w:val="0"/>
          <w:numId w:val="10"/>
        </w:numPr>
        <w:spacing w:before="120" w:beforeAutospacing="0" w:after="120" w:afterAutospacing="0"/>
        <w:ind w:left="709" w:right="709" w:firstLine="0"/>
        <w:jc w:val="both"/>
        <w:rPr>
          <w:rFonts w:ascii="ArialNarrow" w:hAnsi="ArialNarrow"/>
          <w:sz w:val="21"/>
          <w:szCs w:val="21"/>
        </w:rPr>
      </w:pPr>
      <w:r w:rsidRPr="002F6A04">
        <w:rPr>
          <w:rFonts w:ascii="ArialNarrow" w:hAnsi="ArialNarrow"/>
          <w:sz w:val="21"/>
          <w:szCs w:val="21"/>
        </w:rPr>
        <w:t>¿Se le debe dar trato Nacional a un proponente singular cuyo país de origen haga parte de la Unión Europea con sucursal en Colombia?</w:t>
      </w:r>
      <w:r w:rsidRPr="002F6A04">
        <w:rPr>
          <w:rFonts w:ascii="Arial" w:hAnsi="Arial" w:cs="Arial"/>
          <w:sz w:val="21"/>
          <w:szCs w:val="21"/>
        </w:rPr>
        <w:t>».</w:t>
      </w:r>
    </w:p>
    <w:p w14:paraId="6FA12499" w14:textId="77777777" w:rsidR="00D30D54" w:rsidRDefault="00D30D54" w:rsidP="00D30D54">
      <w:pPr>
        <w:pStyle w:val="NormalWeb"/>
        <w:numPr>
          <w:ilvl w:val="0"/>
          <w:numId w:val="10"/>
        </w:numPr>
        <w:spacing w:before="120" w:beforeAutospacing="0" w:after="0" w:afterAutospacing="0"/>
        <w:ind w:left="709" w:right="709" w:firstLine="0"/>
        <w:jc w:val="both"/>
        <w:rPr>
          <w:rFonts w:ascii="ArialNarrow" w:hAnsi="ArialNarrow"/>
          <w:sz w:val="21"/>
          <w:szCs w:val="21"/>
        </w:rPr>
      </w:pPr>
      <w:r w:rsidRPr="002F6A04">
        <w:rPr>
          <w:rFonts w:ascii="ArialNarrow" w:hAnsi="ArialNarrow"/>
          <w:sz w:val="21"/>
          <w:szCs w:val="21"/>
        </w:rPr>
        <w:t>¿La Aerocivil debe dar trato Nacional a los bienes, servicios y/o proponentes que provengan de algún país que conforman la Unión Europea?</w:t>
      </w:r>
      <w:r w:rsidRPr="002F6A04">
        <w:rPr>
          <w:rFonts w:ascii="Arial" w:hAnsi="Arial" w:cs="Arial"/>
          <w:sz w:val="21"/>
          <w:szCs w:val="21"/>
        </w:rPr>
        <w:t>».</w:t>
      </w:r>
    </w:p>
    <w:p w14:paraId="1405FECA" w14:textId="77777777" w:rsidR="00D30D54" w:rsidRPr="00804685" w:rsidRDefault="00D30D54" w:rsidP="00D30D54">
      <w:pPr>
        <w:pStyle w:val="NormalWeb"/>
        <w:spacing w:before="120" w:beforeAutospacing="0" w:after="0" w:afterAutospacing="0"/>
        <w:ind w:left="1428" w:right="709"/>
        <w:jc w:val="both"/>
        <w:rPr>
          <w:rFonts w:ascii="ArialNarrow" w:hAnsi="ArialNarrow"/>
          <w:sz w:val="21"/>
          <w:szCs w:val="21"/>
        </w:rPr>
      </w:pPr>
    </w:p>
    <w:p w14:paraId="450C52F0" w14:textId="77777777" w:rsidR="00D30D54" w:rsidRPr="00804685" w:rsidRDefault="00D30D54" w:rsidP="00D30D54">
      <w:pPr>
        <w:pStyle w:val="Textoindependiente"/>
        <w:spacing w:after="120" w:line="276" w:lineRule="auto"/>
        <w:jc w:val="both"/>
        <w:rPr>
          <w:rFonts w:eastAsia="Calibri"/>
          <w:bCs/>
          <w:color w:val="000000" w:themeColor="text1"/>
          <w:sz w:val="22"/>
          <w:lang w:val="es-ES_tradnl"/>
        </w:rPr>
      </w:pPr>
      <w:r>
        <w:rPr>
          <w:sz w:val="22"/>
          <w:szCs w:val="22"/>
        </w:rPr>
        <w:t>Para referirnos a la solución de las presentes preguntas es necesario recordar que el trato nacional</w:t>
      </w:r>
      <w:r w:rsidRPr="00804685">
        <w:rPr>
          <w:rFonts w:eastAsia="Calibri"/>
          <w:bCs/>
          <w:color w:val="000000" w:themeColor="text1"/>
          <w:sz w:val="22"/>
          <w:lang w:val="es-ES_tradnl"/>
        </w:rPr>
        <w:t xml:space="preserve"> </w:t>
      </w:r>
      <w:r w:rsidRPr="00F8190C">
        <w:rPr>
          <w:rFonts w:eastAsia="Calibri"/>
          <w:bCs/>
          <w:color w:val="000000" w:themeColor="text1"/>
          <w:sz w:val="22"/>
          <w:lang w:val="es-ES_tradnl"/>
        </w:rPr>
        <w:t xml:space="preserve">puede provenir </w:t>
      </w:r>
      <w:r>
        <w:rPr>
          <w:rFonts w:eastAsia="Calibri"/>
          <w:bCs/>
          <w:color w:val="000000" w:themeColor="text1"/>
          <w:sz w:val="22"/>
          <w:lang w:val="es-ES_tradnl"/>
        </w:rPr>
        <w:t xml:space="preserve">de </w:t>
      </w:r>
      <w:r w:rsidRPr="00F8190C">
        <w:rPr>
          <w:rFonts w:eastAsia="Calibri"/>
          <w:bCs/>
          <w:color w:val="000000" w:themeColor="text1"/>
          <w:sz w:val="22"/>
          <w:lang w:val="es-ES_tradnl"/>
        </w:rPr>
        <w:t>tres fuentes</w:t>
      </w:r>
      <w:r>
        <w:rPr>
          <w:rFonts w:eastAsia="Calibri"/>
          <w:bCs/>
          <w:color w:val="000000" w:themeColor="text1"/>
          <w:sz w:val="22"/>
          <w:lang w:val="es-ES_tradnl"/>
        </w:rPr>
        <w:t xml:space="preserve"> distintas</w:t>
      </w:r>
      <w:r w:rsidRPr="00F8190C">
        <w:rPr>
          <w:rFonts w:eastAsia="Calibri"/>
          <w:bCs/>
          <w:color w:val="000000" w:themeColor="text1"/>
          <w:sz w:val="22"/>
          <w:lang w:val="es-ES_tradnl"/>
        </w:rPr>
        <w:t>: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r>
        <w:rPr>
          <w:rFonts w:eastAsia="Calibri"/>
          <w:bCs/>
          <w:color w:val="000000" w:themeColor="text1"/>
          <w:sz w:val="22"/>
          <w:lang w:val="es-ES_tradnl"/>
        </w:rPr>
        <w:t xml:space="preserve">. </w:t>
      </w:r>
    </w:p>
    <w:p w14:paraId="04D6ACF0" w14:textId="77777777" w:rsidR="00D30D54" w:rsidRDefault="00D30D54" w:rsidP="00D30D54">
      <w:pPr>
        <w:pStyle w:val="Textoindependiente"/>
        <w:spacing w:before="120" w:line="276" w:lineRule="auto"/>
        <w:ind w:firstLine="709"/>
        <w:jc w:val="both"/>
        <w:rPr>
          <w:sz w:val="22"/>
          <w:szCs w:val="22"/>
        </w:rPr>
      </w:pPr>
      <w:r>
        <w:rPr>
          <w:color w:val="000000" w:themeColor="text1"/>
          <w:sz w:val="22"/>
          <w:szCs w:val="22"/>
        </w:rPr>
        <w:t xml:space="preserve">En el caso concreto se estudiara un acuerdo comercial, en especifico el acuerdo firmado con la Unión Europea que en su artículo 175 especifica que una de las obligaciones derivadas del mismo seria el trato nacional, en la medida en que, las entidades colombianas </w:t>
      </w:r>
      <w:r>
        <w:rPr>
          <w:rFonts w:eastAsia="Calibri"/>
          <w:bCs/>
          <w:color w:val="000000" w:themeColor="text1"/>
          <w:sz w:val="22"/>
          <w:lang w:val="es-ES_tradnl"/>
        </w:rPr>
        <w:t>otorgarán inmediata e incondicionalmente a las mercancías y servicios de la parte UE, y a los proveedores de la parte UE que ofrezcan tales mercancías y servicios, un trato no menos favorable que el trato otorgado a sus propios mercancías, servicios y proveedore</w:t>
      </w:r>
      <w:r w:rsidRPr="00804685">
        <w:rPr>
          <w:rFonts w:eastAsia="Calibri"/>
          <w:bCs/>
          <w:color w:val="000000" w:themeColor="text1"/>
          <w:sz w:val="22"/>
          <w:szCs w:val="22"/>
          <w:lang w:val="es-ES_tradnl"/>
        </w:rPr>
        <w:t>s</w:t>
      </w:r>
      <w:r w:rsidRPr="00804685">
        <w:rPr>
          <w:sz w:val="22"/>
          <w:szCs w:val="22"/>
        </w:rPr>
        <w:t>»</w:t>
      </w:r>
      <w:r w:rsidRPr="00804685">
        <w:rPr>
          <w:rFonts w:eastAsia="Calibri"/>
          <w:bCs/>
          <w:color w:val="000000" w:themeColor="text1"/>
          <w:sz w:val="22"/>
          <w:szCs w:val="22"/>
          <w:lang w:val="es-ES_tradnl"/>
        </w:rPr>
        <w:t>.</w:t>
      </w:r>
      <w:r>
        <w:rPr>
          <w:rFonts w:eastAsia="Calibri"/>
          <w:bCs/>
          <w:color w:val="000000" w:themeColor="text1"/>
          <w:sz w:val="22"/>
          <w:lang w:val="es-ES_tradnl"/>
        </w:rPr>
        <w:t xml:space="preserve"> En concordancia, el numeral siguiente pone de presente «no discriminar a un proveedor establecido en su territorio debido a las mercancías o servicios ofrecidos por dicho proveedor para una determinada contratación pública sean mercancías o servicios de </w:t>
      </w:r>
      <w:r w:rsidRPr="00804685">
        <w:rPr>
          <w:rFonts w:eastAsia="Calibri"/>
          <w:bCs/>
          <w:color w:val="000000" w:themeColor="text1"/>
          <w:sz w:val="22"/>
          <w:szCs w:val="22"/>
          <w:lang w:val="es-ES_tradnl"/>
        </w:rPr>
        <w:t>otra parte</w:t>
      </w:r>
      <w:r w:rsidRPr="00804685">
        <w:rPr>
          <w:sz w:val="22"/>
          <w:szCs w:val="22"/>
        </w:rPr>
        <w:t>».</w:t>
      </w:r>
      <w:r>
        <w:rPr>
          <w:sz w:val="22"/>
          <w:szCs w:val="22"/>
        </w:rPr>
        <w:t xml:space="preserve"> </w:t>
      </w:r>
    </w:p>
    <w:p w14:paraId="3AB52E4E" w14:textId="77777777" w:rsidR="00D30D54" w:rsidRDefault="00D30D54" w:rsidP="00D30D54">
      <w:pPr>
        <w:pStyle w:val="Textoindependiente"/>
        <w:spacing w:before="120" w:line="276" w:lineRule="auto"/>
        <w:ind w:firstLine="709"/>
        <w:jc w:val="both"/>
        <w:rPr>
          <w:rFonts w:eastAsia="Calibri"/>
          <w:bCs/>
          <w:color w:val="000000" w:themeColor="text1"/>
          <w:sz w:val="22"/>
          <w:lang w:val="es-ES_tradnl"/>
        </w:rPr>
      </w:pPr>
      <w:r>
        <w:rPr>
          <w:sz w:val="22"/>
          <w:szCs w:val="22"/>
        </w:rPr>
        <w:t xml:space="preserve">En virtud de ello podemos advertir que, existe obligación de dar trato nacional a las mercancías y servicios que hagan parte de la lista acordada en el tratado de la Unión Europea. Para el caso especifico de los proponentes según las obligaciones derivadas del tratado estos proveedores que tienen su establecimiento en el territorio en razón de las mercancías y servicios tampoco pueden ser discriminados.  </w:t>
      </w:r>
    </w:p>
    <w:p w14:paraId="53BE4C3D" w14:textId="77777777" w:rsidR="00D30D54" w:rsidRPr="00B8408D" w:rsidRDefault="00D30D54" w:rsidP="00D30D54">
      <w:pPr>
        <w:tabs>
          <w:tab w:val="left" w:pos="284"/>
        </w:tabs>
        <w:spacing w:line="276" w:lineRule="auto"/>
        <w:ind w:firstLine="709"/>
        <w:jc w:val="both"/>
        <w:rPr>
          <w:rFonts w:ascii="Arial" w:hAnsi="Arial" w:cs="Arial"/>
          <w:color w:val="000000" w:themeColor="text1"/>
          <w:sz w:val="22"/>
          <w:szCs w:val="22"/>
        </w:rPr>
      </w:pPr>
    </w:p>
    <w:p w14:paraId="467F9B33" w14:textId="77777777" w:rsidR="00D30D54" w:rsidRPr="00B8408D" w:rsidRDefault="00D30D54" w:rsidP="00D30D54">
      <w:pPr>
        <w:spacing w:line="276" w:lineRule="auto"/>
        <w:jc w:val="both"/>
        <w:rPr>
          <w:rFonts w:ascii="Arial" w:eastAsia="Calibri" w:hAnsi="Arial" w:cs="Arial"/>
          <w:color w:val="000000" w:themeColor="text1"/>
          <w:sz w:val="22"/>
          <w:szCs w:val="22"/>
        </w:rPr>
      </w:pPr>
      <w:r w:rsidRPr="00B8408D">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2871C19B" w14:textId="77777777" w:rsidR="00D30D54" w:rsidRPr="00B8408D" w:rsidRDefault="00D30D54" w:rsidP="00D30D54">
      <w:pPr>
        <w:jc w:val="both"/>
        <w:rPr>
          <w:rFonts w:ascii="Arial" w:eastAsia="Calibri" w:hAnsi="Arial" w:cs="Arial"/>
          <w:color w:val="000000" w:themeColor="text1"/>
          <w:sz w:val="22"/>
          <w:szCs w:val="22"/>
        </w:rPr>
      </w:pPr>
    </w:p>
    <w:p w14:paraId="2F1D1520" w14:textId="77777777" w:rsidR="00D30D54" w:rsidRPr="00B8408D" w:rsidRDefault="00D30D54" w:rsidP="00D30D54">
      <w:pPr>
        <w:jc w:val="both"/>
        <w:rPr>
          <w:rFonts w:ascii="Arial" w:hAnsi="Arial" w:cs="Arial"/>
          <w:color w:val="000000" w:themeColor="text1"/>
          <w:sz w:val="22"/>
          <w:szCs w:val="22"/>
          <w:lang w:eastAsia="es-CO"/>
        </w:rPr>
      </w:pPr>
      <w:r w:rsidRPr="00B8408D">
        <w:rPr>
          <w:rFonts w:ascii="Arial" w:hAnsi="Arial" w:cs="Arial"/>
          <w:color w:val="000000" w:themeColor="text1"/>
          <w:sz w:val="22"/>
          <w:szCs w:val="22"/>
          <w:lang w:eastAsia="es-CO"/>
        </w:rPr>
        <w:t>Atentamente,</w:t>
      </w:r>
    </w:p>
    <w:p w14:paraId="09C040D9" w14:textId="77777777" w:rsidR="00D30D54" w:rsidRPr="00B8408D" w:rsidRDefault="00D30D54" w:rsidP="00D30D54">
      <w:pPr>
        <w:jc w:val="center"/>
        <w:rPr>
          <w:rFonts w:ascii="Arial" w:hAnsi="Arial" w:cs="Arial"/>
          <w:color w:val="000000" w:themeColor="text1"/>
          <w:sz w:val="22"/>
          <w:szCs w:val="22"/>
          <w:lang w:eastAsia="es-CO"/>
        </w:rPr>
      </w:pPr>
      <w:r w:rsidRPr="00FC4438">
        <w:rPr>
          <w:noProof/>
        </w:rPr>
        <w:drawing>
          <wp:inline distT="0" distB="0" distL="0" distR="0" wp14:anchorId="4E3EF53C" wp14:editId="6052F063">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4600" cy="1114425"/>
                    </a:xfrm>
                    <a:prstGeom prst="rect">
                      <a:avLst/>
                    </a:prstGeom>
                  </pic:spPr>
                </pic:pic>
              </a:graphicData>
            </a:graphic>
          </wp:inline>
        </w:drawing>
      </w:r>
    </w:p>
    <w:p w14:paraId="2F847E9A" w14:textId="77777777" w:rsidR="00D30D54" w:rsidRPr="00B8408D" w:rsidRDefault="00D30D54" w:rsidP="00D30D54">
      <w:pPr>
        <w:jc w:val="center"/>
        <w:rPr>
          <w:rFonts w:ascii="Arial" w:hAnsi="Arial" w:cs="Arial"/>
          <w:color w:val="000000" w:themeColor="text1"/>
          <w:sz w:val="22"/>
          <w:szCs w:val="22"/>
          <w:lang w:eastAsia="es-CO"/>
        </w:rPr>
      </w:pPr>
    </w:p>
    <w:p w14:paraId="08F9B583" w14:textId="77777777" w:rsidR="00D30D54" w:rsidRPr="00B8408D" w:rsidRDefault="00D30D54" w:rsidP="00D30D54">
      <w:pPr>
        <w:jc w:val="center"/>
        <w:rPr>
          <w:rFonts w:ascii="Arial" w:hAnsi="Arial" w:cs="Arial"/>
          <w:color w:val="000000" w:themeColor="text1"/>
          <w:sz w:val="16"/>
          <w:szCs w:val="16"/>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30D54" w:rsidRPr="00B8408D" w14:paraId="39994E48" w14:textId="77777777" w:rsidTr="007C6F1C">
        <w:trPr>
          <w:trHeight w:val="315"/>
        </w:trPr>
        <w:tc>
          <w:tcPr>
            <w:tcW w:w="812" w:type="dxa"/>
            <w:vAlign w:val="center"/>
            <w:hideMark/>
          </w:tcPr>
          <w:p w14:paraId="6EB514B7" w14:textId="77777777" w:rsidR="00D30D54" w:rsidRPr="00B8408D" w:rsidRDefault="00D30D54" w:rsidP="007C6F1C">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3E89E2D" w14:textId="77777777" w:rsidR="00D30D54" w:rsidRPr="00B8408D" w:rsidRDefault="00D30D54" w:rsidP="007C6F1C">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 xml:space="preserve">Camilo Perdomo Villamil </w:t>
            </w:r>
          </w:p>
          <w:p w14:paraId="7E08FB30" w14:textId="77777777" w:rsidR="00D30D54" w:rsidRPr="00B8408D" w:rsidRDefault="00D30D54" w:rsidP="007C6F1C">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Contratista de la Subdirección de Gestión Contractual</w:t>
            </w:r>
          </w:p>
        </w:tc>
      </w:tr>
      <w:tr w:rsidR="00D30D54" w:rsidRPr="00B8408D" w14:paraId="5198B397" w14:textId="77777777" w:rsidTr="007C6F1C">
        <w:trPr>
          <w:trHeight w:val="330"/>
        </w:trPr>
        <w:tc>
          <w:tcPr>
            <w:tcW w:w="812" w:type="dxa"/>
            <w:vAlign w:val="center"/>
            <w:hideMark/>
          </w:tcPr>
          <w:p w14:paraId="495D0516" w14:textId="77777777" w:rsidR="00D30D54" w:rsidRPr="00B8408D" w:rsidRDefault="00D30D54" w:rsidP="007C6F1C">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098EA2C" w14:textId="77777777" w:rsidR="00D30D54" w:rsidRPr="00B8408D" w:rsidRDefault="00D30D54"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Juan David Montoya Penagos </w:t>
            </w:r>
          </w:p>
          <w:p w14:paraId="555C50E8" w14:textId="77777777" w:rsidR="00D30D54" w:rsidRPr="00B8408D" w:rsidRDefault="00D30D54" w:rsidP="007C6F1C">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Gestor T1-15 de la Subdirección de Gestión Contractual</w:t>
            </w:r>
          </w:p>
        </w:tc>
      </w:tr>
      <w:tr w:rsidR="00D30D54" w:rsidRPr="00B8408D" w14:paraId="4B4658F1" w14:textId="77777777" w:rsidTr="007C6F1C">
        <w:trPr>
          <w:trHeight w:val="300"/>
        </w:trPr>
        <w:tc>
          <w:tcPr>
            <w:tcW w:w="812" w:type="dxa"/>
            <w:vAlign w:val="center"/>
            <w:hideMark/>
          </w:tcPr>
          <w:p w14:paraId="6A2E837E" w14:textId="77777777" w:rsidR="00D30D54" w:rsidRPr="00B8408D" w:rsidRDefault="00D30D54" w:rsidP="007C6F1C">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577583C" w14:textId="77777777" w:rsidR="00D30D54" w:rsidRPr="00B8408D" w:rsidRDefault="00D30D54" w:rsidP="007C6F1C">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Jorge Augusto Tirado Navarro</w:t>
            </w:r>
          </w:p>
          <w:p w14:paraId="1E80B903" w14:textId="77777777" w:rsidR="00D30D54" w:rsidRPr="00B8408D" w:rsidRDefault="00D30D54" w:rsidP="007C6F1C">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Subdirector de Gestión Contractual ANCP – CCE</w:t>
            </w:r>
          </w:p>
        </w:tc>
      </w:tr>
    </w:tbl>
    <w:p w14:paraId="64CEFFDF" w14:textId="77777777" w:rsidR="00D30D54" w:rsidRPr="0085443D" w:rsidRDefault="00D30D54" w:rsidP="00D30D54">
      <w:pPr>
        <w:rPr>
          <w:rFonts w:ascii="Arial" w:hAnsi="Arial" w:cs="Arial"/>
          <w:sz w:val="22"/>
          <w:szCs w:val="22"/>
        </w:rPr>
      </w:pPr>
    </w:p>
    <w:p w14:paraId="742D6DD5" w14:textId="77777777" w:rsidR="00D30D54" w:rsidRDefault="00D30D54"/>
    <w:sectPr w:rsidR="00D30D54" w:rsidSect="007F1895">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FF361" w14:textId="77777777" w:rsidR="00501497" w:rsidRDefault="00501497" w:rsidP="00D30D54">
      <w:r>
        <w:separator/>
      </w:r>
    </w:p>
  </w:endnote>
  <w:endnote w:type="continuationSeparator" w:id="0">
    <w:p w14:paraId="111EF376" w14:textId="77777777" w:rsidR="00501497" w:rsidRDefault="00501497" w:rsidP="00D3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Narrow">
    <w:altName w:val="Arial"/>
    <w:panose1 w:val="020B0606020202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F9CC2" w14:textId="77777777" w:rsidR="00387886" w:rsidRDefault="00501497" w:rsidP="007F1895">
    <w:pPr>
      <w:pStyle w:val="Sinespaciado"/>
      <w:jc w:val="right"/>
      <w:rPr>
        <w:rFonts w:ascii="Arial" w:hAnsi="Arial" w:cs="Arial"/>
        <w:sz w:val="18"/>
        <w:szCs w:val="18"/>
      </w:rPr>
    </w:pPr>
  </w:p>
  <w:p w14:paraId="041DA8A7" w14:textId="77777777" w:rsidR="00387886" w:rsidRDefault="00501497" w:rsidP="007F1895">
    <w:pPr>
      <w:pStyle w:val="Sinespaciado"/>
      <w:jc w:val="right"/>
      <w:rPr>
        <w:rFonts w:ascii="Arial" w:hAnsi="Arial" w:cs="Arial"/>
        <w:sz w:val="18"/>
        <w:szCs w:val="18"/>
      </w:rPr>
    </w:pPr>
  </w:p>
  <w:p w14:paraId="00DBD0FC" w14:textId="77777777" w:rsidR="00387886" w:rsidRPr="008217B7" w:rsidRDefault="00501497"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0BECFD83" w14:textId="77777777" w:rsidR="00387886" w:rsidRDefault="00501497" w:rsidP="007F1895">
    <w:pPr>
      <w:pStyle w:val="Piedepgina"/>
      <w:jc w:val="center"/>
      <w:rPr>
        <w:lang w:val="es-ES"/>
      </w:rPr>
    </w:pPr>
    <w:r>
      <w:rPr>
        <w:noProof/>
      </w:rPr>
      <w:drawing>
        <wp:inline distT="0" distB="0" distL="0" distR="0" wp14:anchorId="7B149C4C" wp14:editId="60BD17E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DC63348" w14:textId="77777777" w:rsidR="00387886" w:rsidRPr="00E756AC" w:rsidRDefault="00501497" w:rsidP="007F1895">
    <w:pPr>
      <w:pStyle w:val="Piedepgina"/>
      <w:jc w:val="center"/>
      <w:rPr>
        <w:sz w:val="18"/>
        <w:szCs w:val="18"/>
        <w:lang w:val="es-ES"/>
      </w:rPr>
    </w:pPr>
  </w:p>
  <w:p w14:paraId="57AA01F9" w14:textId="77777777" w:rsidR="00387886" w:rsidRPr="00E756AC" w:rsidRDefault="00501497"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8DAD6" w14:textId="77777777" w:rsidR="00501497" w:rsidRDefault="00501497" w:rsidP="00D30D54">
      <w:r>
        <w:separator/>
      </w:r>
    </w:p>
  </w:footnote>
  <w:footnote w:type="continuationSeparator" w:id="0">
    <w:p w14:paraId="6995DA41" w14:textId="77777777" w:rsidR="00501497" w:rsidRDefault="00501497" w:rsidP="00D30D54">
      <w:r>
        <w:continuationSeparator/>
      </w:r>
    </w:p>
  </w:footnote>
  <w:footnote w:id="1">
    <w:p w14:paraId="68DCEDE3" w14:textId="77777777" w:rsidR="00D30D54" w:rsidRPr="00B8408D" w:rsidRDefault="00D30D54" w:rsidP="00D30D54">
      <w:pPr>
        <w:spacing w:before="73"/>
        <w:ind w:left="1008"/>
        <w:rPr>
          <w:rFonts w:ascii="Arial" w:hAnsi="Arial" w:cs="Arial"/>
          <w:i/>
          <w:sz w:val="19"/>
          <w:szCs w:val="19"/>
          <w:lang w:val="en-US"/>
        </w:rPr>
      </w:pPr>
      <w:r w:rsidRPr="00B8408D">
        <w:rPr>
          <w:rStyle w:val="Refdenotaalpie"/>
          <w:rFonts w:ascii="Arial" w:hAnsi="Arial" w:cs="Arial"/>
          <w:sz w:val="19"/>
          <w:szCs w:val="19"/>
        </w:rPr>
        <w:footnoteRef/>
      </w:r>
      <w:r w:rsidRPr="00B8408D">
        <w:rPr>
          <w:rFonts w:ascii="Arial" w:hAnsi="Arial" w:cs="Arial"/>
          <w:sz w:val="19"/>
          <w:szCs w:val="19"/>
          <w:lang w:val="en-US"/>
        </w:rPr>
        <w:t xml:space="preserve"> DON WALLACE.  </w:t>
      </w:r>
      <w:r w:rsidRPr="00B8408D">
        <w:rPr>
          <w:rFonts w:ascii="Arial" w:hAnsi="Arial" w:cs="Arial"/>
          <w:i/>
          <w:sz w:val="19"/>
          <w:szCs w:val="19"/>
          <w:lang w:val="en-US"/>
        </w:rPr>
        <w:t xml:space="preserve">The changing world of  national  procurement systems: </w:t>
      </w:r>
      <w:r w:rsidRPr="00B8408D">
        <w:rPr>
          <w:rFonts w:ascii="Arial" w:hAnsi="Arial" w:cs="Arial"/>
          <w:i/>
          <w:spacing w:val="23"/>
          <w:sz w:val="19"/>
          <w:szCs w:val="19"/>
          <w:lang w:val="en-US"/>
        </w:rPr>
        <w:t xml:space="preserve"> </w:t>
      </w:r>
      <w:r w:rsidRPr="00B8408D">
        <w:rPr>
          <w:rFonts w:ascii="Arial" w:hAnsi="Arial" w:cs="Arial"/>
          <w:i/>
          <w:sz w:val="19"/>
          <w:szCs w:val="19"/>
          <w:lang w:val="en-US"/>
        </w:rPr>
        <w:t>global  reformation.</w:t>
      </w:r>
    </w:p>
    <w:p w14:paraId="7E9F1B31" w14:textId="77777777" w:rsidR="00D30D54" w:rsidRPr="00B8408D" w:rsidRDefault="00D30D54" w:rsidP="00D30D54">
      <w:pPr>
        <w:spacing w:before="4"/>
        <w:ind w:left="300"/>
        <w:rPr>
          <w:rFonts w:ascii="Arial" w:hAnsi="Arial" w:cs="Arial"/>
          <w:sz w:val="19"/>
          <w:szCs w:val="19"/>
          <w:lang w:val="en-US"/>
        </w:rPr>
      </w:pPr>
      <w:r w:rsidRPr="00B8408D">
        <w:rPr>
          <w:rFonts w:ascii="Arial" w:hAnsi="Arial" w:cs="Arial"/>
          <w:sz w:val="19"/>
          <w:szCs w:val="19"/>
          <w:lang w:val="en-US"/>
        </w:rPr>
        <w:t>Public procurement law review 4.2, 1995: 57-62.</w:t>
      </w:r>
    </w:p>
    <w:p w14:paraId="38E31F10" w14:textId="77777777" w:rsidR="00D30D54" w:rsidRPr="00B8408D" w:rsidRDefault="00D30D54" w:rsidP="00D30D54">
      <w:pPr>
        <w:pStyle w:val="Textonotapie"/>
        <w:rPr>
          <w:rFonts w:ascii="Arial" w:hAnsi="Arial" w:cs="Arial"/>
          <w:sz w:val="19"/>
          <w:szCs w:val="19"/>
          <w:lang w:val="es-CO"/>
        </w:rPr>
      </w:pPr>
    </w:p>
  </w:footnote>
  <w:footnote w:id="2">
    <w:p w14:paraId="7C2B70D1" w14:textId="77777777" w:rsidR="00D30D54" w:rsidRPr="00B8408D" w:rsidRDefault="00D30D54" w:rsidP="00D30D54">
      <w:pPr>
        <w:ind w:left="300" w:right="450" w:firstLine="707"/>
        <w:jc w:val="both"/>
        <w:rPr>
          <w:rFonts w:ascii="Arial" w:hAnsi="Arial" w:cs="Arial"/>
          <w:sz w:val="19"/>
          <w:szCs w:val="19"/>
          <w:lang w:val="en-US"/>
        </w:rPr>
      </w:pPr>
      <w:r w:rsidRPr="00B8408D">
        <w:rPr>
          <w:rFonts w:ascii="Arial" w:hAnsi="Arial" w:cs="Arial"/>
          <w:position w:val="7"/>
          <w:sz w:val="19"/>
          <w:szCs w:val="19"/>
          <w:lang w:val="en-US"/>
        </w:rPr>
        <w:t xml:space="preserve">2 </w:t>
      </w:r>
      <w:r w:rsidRPr="00B8408D">
        <w:rPr>
          <w:rFonts w:ascii="Arial" w:hAnsi="Arial" w:cs="Arial"/>
          <w:sz w:val="19"/>
          <w:szCs w:val="19"/>
          <w:lang w:val="en-US"/>
        </w:rPr>
        <w:t>SUE ARROWSMITH; LINARELLI, John; WALLACE, Don. Regulation public procurement- national and international perspectives. Kluwer Law International BV, 2000.</w:t>
      </w:r>
    </w:p>
    <w:p w14:paraId="2993F11F" w14:textId="77777777" w:rsidR="00D30D54" w:rsidRPr="00B8408D" w:rsidRDefault="00D30D54" w:rsidP="00D30D54">
      <w:pPr>
        <w:pStyle w:val="Textonotapie"/>
        <w:rPr>
          <w:rFonts w:ascii="Arial" w:hAnsi="Arial" w:cs="Arial"/>
          <w:sz w:val="19"/>
          <w:szCs w:val="19"/>
          <w:lang w:val="en-US"/>
        </w:rPr>
      </w:pPr>
    </w:p>
  </w:footnote>
  <w:footnote w:id="3">
    <w:p w14:paraId="2B95FB05" w14:textId="77777777" w:rsidR="00D30D54" w:rsidRPr="00B8408D" w:rsidRDefault="00D30D54" w:rsidP="00D30D54">
      <w:pPr>
        <w:spacing w:line="235" w:lineRule="auto"/>
        <w:ind w:left="300" w:right="453" w:firstLine="707"/>
        <w:jc w:val="both"/>
        <w:rPr>
          <w:rFonts w:ascii="Arial" w:hAnsi="Arial" w:cs="Arial"/>
          <w:sz w:val="19"/>
          <w:szCs w:val="19"/>
          <w:lang w:val="en-US"/>
        </w:rPr>
      </w:pPr>
      <w:r w:rsidRPr="00B8408D">
        <w:rPr>
          <w:rFonts w:ascii="Arial" w:hAnsi="Arial" w:cs="Arial"/>
          <w:position w:val="7"/>
          <w:sz w:val="19"/>
          <w:szCs w:val="19"/>
          <w:lang w:val="en-US"/>
        </w:rPr>
        <w:t xml:space="preserve">3 </w:t>
      </w:r>
      <w:r w:rsidRPr="00B8408D">
        <w:rPr>
          <w:rFonts w:ascii="Arial" w:hAnsi="Arial" w:cs="Arial"/>
          <w:sz w:val="19"/>
          <w:szCs w:val="19"/>
          <w:lang w:val="en-US"/>
        </w:rPr>
        <w:t xml:space="preserve">SUE ARROWSMITH. Public procurement: An appraisal of the UNCITRAL model law as a global standard. </w:t>
      </w:r>
      <w:r w:rsidRPr="00B8408D">
        <w:rPr>
          <w:rFonts w:ascii="Arial" w:hAnsi="Arial" w:cs="Arial"/>
          <w:i/>
          <w:sz w:val="19"/>
          <w:szCs w:val="19"/>
          <w:lang w:val="en-US"/>
        </w:rPr>
        <w:t>International &amp; Comparative Law Quarterly</w:t>
      </w:r>
      <w:r w:rsidRPr="00B8408D">
        <w:rPr>
          <w:rFonts w:ascii="Arial" w:hAnsi="Arial" w:cs="Arial"/>
          <w:sz w:val="19"/>
          <w:szCs w:val="19"/>
          <w:lang w:val="en-US"/>
        </w:rPr>
        <w:t>, 2004, vol. 53, no 1, p. 17-46.</w:t>
      </w:r>
    </w:p>
    <w:p w14:paraId="33CBB09B" w14:textId="77777777" w:rsidR="00D30D54" w:rsidRPr="00B8408D" w:rsidRDefault="00D30D54" w:rsidP="00D30D54">
      <w:pPr>
        <w:pStyle w:val="Textonotapie"/>
        <w:rPr>
          <w:rFonts w:ascii="Arial" w:hAnsi="Arial" w:cs="Arial"/>
          <w:sz w:val="19"/>
          <w:szCs w:val="19"/>
          <w:lang w:val="es-CO"/>
        </w:rPr>
      </w:pPr>
    </w:p>
  </w:footnote>
  <w:footnote w:id="4">
    <w:p w14:paraId="2842F038" w14:textId="77777777" w:rsidR="00D30D54" w:rsidRPr="00B8408D" w:rsidRDefault="00D30D54" w:rsidP="00D30D54">
      <w:pPr>
        <w:ind w:left="300" w:right="450" w:firstLine="707"/>
        <w:jc w:val="both"/>
        <w:rPr>
          <w:rFonts w:ascii="Arial" w:hAnsi="Arial" w:cs="Arial"/>
          <w:sz w:val="19"/>
          <w:szCs w:val="19"/>
        </w:rPr>
      </w:pPr>
      <w:r w:rsidRPr="00B8408D">
        <w:rPr>
          <w:rStyle w:val="Refdenotaalpie"/>
          <w:rFonts w:ascii="Arial" w:hAnsi="Arial" w:cs="Arial"/>
          <w:sz w:val="19"/>
          <w:szCs w:val="19"/>
        </w:rPr>
        <w:footnoteRef/>
      </w:r>
      <w:r w:rsidRPr="00B8408D">
        <w:rPr>
          <w:rFonts w:ascii="Arial" w:hAnsi="Arial" w:cs="Arial"/>
          <w:sz w:val="19"/>
          <w:szCs w:val="19"/>
          <w:lang w:val="en-US"/>
        </w:rPr>
        <w:t xml:space="preserve"> SOPE  WILLIAMS-ELEGBE.  The  World  Bank's  influence  on  procurement  reform  in Africa. </w:t>
      </w:r>
      <w:r w:rsidRPr="00B8408D">
        <w:rPr>
          <w:rFonts w:ascii="Arial" w:hAnsi="Arial" w:cs="Arial"/>
          <w:i/>
          <w:sz w:val="19"/>
          <w:szCs w:val="19"/>
          <w:lang w:val="en-US"/>
        </w:rPr>
        <w:t>African Journal of International and Comparative Law</w:t>
      </w:r>
      <w:r w:rsidRPr="00B8408D">
        <w:rPr>
          <w:rFonts w:ascii="Arial" w:hAnsi="Arial" w:cs="Arial"/>
          <w:sz w:val="19"/>
          <w:szCs w:val="19"/>
          <w:lang w:val="en-US"/>
        </w:rPr>
        <w:t xml:space="preserve">, 2013, vol. 21, no 1, p. 95-119; SOPE WILLIAMS-ELEGBE. Public Procurement and Multilateral Development Banks: Law, Practice and Problems. </w:t>
      </w:r>
      <w:r w:rsidRPr="00B8408D">
        <w:rPr>
          <w:rFonts w:ascii="Arial" w:hAnsi="Arial" w:cs="Arial"/>
          <w:sz w:val="19"/>
          <w:szCs w:val="19"/>
        </w:rPr>
        <w:t>Bloomsbury Publishing,</w:t>
      </w:r>
      <w:r w:rsidRPr="00B8408D">
        <w:rPr>
          <w:rFonts w:ascii="Arial" w:hAnsi="Arial" w:cs="Arial"/>
          <w:spacing w:val="-3"/>
          <w:sz w:val="19"/>
          <w:szCs w:val="19"/>
        </w:rPr>
        <w:t xml:space="preserve"> </w:t>
      </w:r>
      <w:r w:rsidRPr="00B8408D">
        <w:rPr>
          <w:rFonts w:ascii="Arial" w:hAnsi="Arial" w:cs="Arial"/>
          <w:sz w:val="19"/>
          <w:szCs w:val="19"/>
        </w:rPr>
        <w:t>2017.</w:t>
      </w:r>
    </w:p>
    <w:p w14:paraId="2B0659E1" w14:textId="77777777" w:rsidR="00D30D54" w:rsidRPr="00B8408D" w:rsidRDefault="00D30D54" w:rsidP="00D30D54">
      <w:pPr>
        <w:pStyle w:val="Textonotapie"/>
        <w:rPr>
          <w:rFonts w:ascii="Arial" w:hAnsi="Arial" w:cs="Arial"/>
          <w:sz w:val="19"/>
          <w:szCs w:val="19"/>
          <w:lang w:val="es-CO"/>
        </w:rPr>
      </w:pPr>
    </w:p>
  </w:footnote>
  <w:footnote w:id="5">
    <w:p w14:paraId="2DB2D5CB" w14:textId="77777777" w:rsidR="00D30D54" w:rsidRPr="00B8408D" w:rsidRDefault="00D30D54" w:rsidP="00D30D54">
      <w:pPr>
        <w:spacing w:before="78"/>
        <w:ind w:left="300" w:firstLine="707"/>
        <w:rPr>
          <w:rFonts w:ascii="Arial" w:hAnsi="Arial" w:cs="Arial"/>
          <w:sz w:val="19"/>
          <w:szCs w:val="19"/>
        </w:rPr>
      </w:pPr>
      <w:r w:rsidRPr="00B8408D">
        <w:rPr>
          <w:rStyle w:val="Refdenotaalpie"/>
          <w:rFonts w:ascii="Arial" w:hAnsi="Arial" w:cs="Arial"/>
          <w:sz w:val="19"/>
          <w:szCs w:val="19"/>
        </w:rPr>
        <w:footnoteRef/>
      </w:r>
      <w:r w:rsidRPr="00B8408D">
        <w:rPr>
          <w:rFonts w:ascii="Arial" w:hAnsi="Arial" w:cs="Arial"/>
          <w:sz w:val="19"/>
          <w:szCs w:val="19"/>
        </w:rPr>
        <w:t xml:space="preserve"> Oficina de Asuntos Legales Internacionales del Ministerio de Comercio, Industria y Turismo, Concepto de 13 de abril de 2020, radicado: No. 1-2020-005897.</w:t>
      </w:r>
    </w:p>
    <w:p w14:paraId="40C0AA68" w14:textId="77777777" w:rsidR="00D30D54" w:rsidRPr="00B8408D" w:rsidRDefault="00D30D54" w:rsidP="00D30D54">
      <w:pPr>
        <w:pStyle w:val="Textonotapie"/>
        <w:rPr>
          <w:rFonts w:ascii="Arial" w:hAnsi="Arial" w:cs="Arial"/>
          <w:sz w:val="19"/>
          <w:szCs w:val="19"/>
          <w:lang w:val="es-CO"/>
        </w:rPr>
      </w:pPr>
    </w:p>
  </w:footnote>
  <w:footnote w:id="6">
    <w:p w14:paraId="3A563392" w14:textId="77777777" w:rsidR="00D30D54" w:rsidRPr="00B8408D" w:rsidRDefault="00D30D54" w:rsidP="00D30D54">
      <w:pPr>
        <w:spacing w:before="78"/>
        <w:ind w:left="300" w:firstLine="707"/>
        <w:rPr>
          <w:rFonts w:ascii="Arial" w:hAnsi="Arial" w:cs="Arial"/>
          <w:sz w:val="19"/>
          <w:szCs w:val="19"/>
        </w:rPr>
      </w:pPr>
      <w:r w:rsidRPr="00B8408D">
        <w:rPr>
          <w:rStyle w:val="Refdenotaalpie"/>
          <w:rFonts w:ascii="Arial" w:hAnsi="Arial" w:cs="Arial"/>
          <w:sz w:val="19"/>
          <w:szCs w:val="19"/>
        </w:rPr>
        <w:footnoteRef/>
      </w:r>
      <w:r w:rsidRPr="00B8408D">
        <w:rPr>
          <w:rFonts w:ascii="Arial" w:hAnsi="Arial" w:cs="Arial"/>
          <w:sz w:val="19"/>
          <w:szCs w:val="19"/>
        </w:rPr>
        <w:t xml:space="preserve"> Oficina de Asuntos Legales Internacionales del Ministerio de Comercio, Industria y Turismo, Concepto de 13 de abril de 2020, radicado: No. 1-2020-005897.</w:t>
      </w:r>
    </w:p>
    <w:p w14:paraId="18052F13" w14:textId="77777777" w:rsidR="00D30D54" w:rsidRPr="00B8408D" w:rsidRDefault="00D30D54" w:rsidP="00D30D54">
      <w:pPr>
        <w:pStyle w:val="Textonotapie"/>
        <w:rPr>
          <w:rFonts w:ascii="Arial" w:hAnsi="Arial" w:cs="Arial"/>
          <w:sz w:val="19"/>
          <w:szCs w:val="19"/>
          <w:lang w:val="es-CO"/>
        </w:rPr>
      </w:pPr>
    </w:p>
  </w:footnote>
  <w:footnote w:id="7">
    <w:p w14:paraId="19EBA6E0" w14:textId="77777777" w:rsidR="00D30D54" w:rsidRPr="00C850F2" w:rsidRDefault="00D30D54" w:rsidP="00D30D54">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14:paraId="006D90FB" w14:textId="77777777" w:rsidR="00D30D54" w:rsidRPr="00C850F2" w:rsidRDefault="00D30D54" w:rsidP="00D30D54">
      <w:pPr>
        <w:pStyle w:val="Textonotapie"/>
        <w:ind w:firstLine="709"/>
        <w:jc w:val="both"/>
        <w:rPr>
          <w:rFonts w:ascii="Arial" w:hAnsi="Arial" w:cs="Arial"/>
          <w:sz w:val="19"/>
          <w:szCs w:val="19"/>
          <w:lang w:val="es-ES"/>
        </w:rPr>
      </w:pPr>
      <w:r w:rsidRPr="00C850F2">
        <w:rPr>
          <w:rFonts w:ascii="Arial" w:hAnsi="Arial" w:cs="Arial"/>
          <w:sz w:val="19"/>
          <w:szCs w:val="19"/>
          <w:lang w:val="es-ES"/>
        </w:rPr>
        <w:t>»Se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14:paraId="065FAA1B" w14:textId="77777777" w:rsidR="00D30D54" w:rsidRPr="00C850F2" w:rsidRDefault="00D30D54" w:rsidP="00D30D54">
      <w:pPr>
        <w:pStyle w:val="Textonotapie"/>
        <w:ind w:firstLine="709"/>
        <w:jc w:val="both"/>
        <w:rPr>
          <w:rFonts w:ascii="Arial" w:hAnsi="Arial" w:cs="Arial"/>
          <w:sz w:val="19"/>
          <w:szCs w:val="19"/>
          <w:lang w:val="es-ES"/>
        </w:rPr>
      </w:pPr>
      <w:r w:rsidRPr="00C850F2">
        <w:rPr>
          <w:rFonts w:ascii="Arial" w:hAnsi="Arial" w:cs="Arial"/>
          <w:sz w:val="19"/>
          <w:szCs w:val="19"/>
          <w:lang w:val="es-ES"/>
        </w:rPr>
        <w:t>»PARÁGRAFO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14:paraId="1F0D74C6" w14:textId="77777777" w:rsidR="00D30D54" w:rsidRDefault="00D30D54" w:rsidP="00D30D54">
      <w:pPr>
        <w:pStyle w:val="Textonotapie"/>
        <w:ind w:firstLine="709"/>
        <w:jc w:val="both"/>
        <w:rPr>
          <w:rFonts w:ascii="Arial" w:hAnsi="Arial" w:cs="Arial"/>
          <w:sz w:val="19"/>
          <w:szCs w:val="19"/>
          <w:lang w:val="es-ES"/>
        </w:rPr>
      </w:pPr>
      <w:r w:rsidRPr="00C850F2">
        <w:rPr>
          <w:rFonts w:ascii="Arial" w:hAnsi="Arial" w:cs="Arial"/>
          <w:sz w:val="19"/>
          <w:szCs w:val="19"/>
          <w:lang w:val="es-ES"/>
        </w:rPr>
        <w:t>»PARÁGRAFO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14:paraId="6245A049" w14:textId="77777777" w:rsidR="00D30D54" w:rsidRPr="00C850F2" w:rsidRDefault="00D30D54" w:rsidP="00D30D54">
      <w:pPr>
        <w:pStyle w:val="Textonotapie"/>
        <w:ind w:firstLine="709"/>
        <w:jc w:val="both"/>
        <w:rPr>
          <w:rFonts w:ascii="Arial" w:hAnsi="Arial" w:cs="Arial"/>
          <w:sz w:val="19"/>
          <w:szCs w:val="19"/>
          <w:lang w:val="es-CO"/>
        </w:rPr>
      </w:pPr>
    </w:p>
  </w:footnote>
  <w:footnote w:id="8">
    <w:p w14:paraId="2422EE98" w14:textId="77777777" w:rsidR="00D30D54" w:rsidRPr="00C850F2" w:rsidRDefault="00D30D54" w:rsidP="00D30D54">
      <w:pPr>
        <w:pStyle w:val="Textonotapie"/>
        <w:ind w:firstLine="709"/>
        <w:jc w:val="both"/>
        <w:rPr>
          <w:rFonts w:ascii="Arial" w:hAnsi="Arial" w:cs="Arial"/>
          <w:sz w:val="19"/>
          <w:szCs w:val="19"/>
          <w:lang w:val="es-CO"/>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Así lo reconoció la Agencia Nacional de Contratación Pública – Colombia Compra Eficiente en el Manual para el Manejo de los Acuerdos Comerciales en Procesos de Contratación, el cual puede consultarse en el siguiente sitio web: https://www.colombiacompra.gov.co/sites/cce_public/files/cce_documents/cce_manual_acuerdos_comerciales.pdf</w:t>
      </w:r>
    </w:p>
  </w:footnote>
  <w:footnote w:id="9">
    <w:p w14:paraId="6B2805BF" w14:textId="77777777" w:rsidR="00D30D54" w:rsidRDefault="00D30D54" w:rsidP="00D30D54">
      <w:pPr>
        <w:pStyle w:val="Textonotapie"/>
        <w:ind w:firstLine="709"/>
        <w:jc w:val="both"/>
        <w:rPr>
          <w:rFonts w:ascii="Arial" w:hAnsi="Arial" w:cs="Arial"/>
          <w:sz w:val="19"/>
          <w:szCs w:val="19"/>
        </w:rPr>
      </w:pPr>
    </w:p>
    <w:p w14:paraId="797169FE" w14:textId="77777777" w:rsidR="00D30D54" w:rsidRPr="00C850F2" w:rsidRDefault="00D30D54" w:rsidP="00D30D54">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14:paraId="0EFC2DFC" w14:textId="77777777" w:rsidR="00D30D54" w:rsidRPr="00C850F2" w:rsidRDefault="00D30D54" w:rsidP="00D30D54">
      <w:pPr>
        <w:pStyle w:val="Textonotapie"/>
        <w:ind w:firstLine="709"/>
        <w:jc w:val="both"/>
        <w:rPr>
          <w:rFonts w:ascii="Arial" w:hAnsi="Arial" w:cs="Arial"/>
          <w:sz w:val="19"/>
          <w:szCs w:val="19"/>
          <w:lang w:val="es-ES"/>
        </w:rPr>
      </w:pPr>
      <w:r w:rsidRPr="00C850F2">
        <w:rPr>
          <w:rFonts w:ascii="Arial" w:hAnsi="Arial" w:cs="Arial"/>
          <w:sz w:val="19"/>
          <w:szCs w:val="19"/>
          <w:lang w:val="es-ES"/>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7B7CE7FF" w14:textId="77777777" w:rsidR="00D30D54" w:rsidRDefault="00D30D54" w:rsidP="00D30D54">
      <w:pPr>
        <w:pStyle w:val="Textonotapie"/>
        <w:ind w:firstLine="709"/>
        <w:jc w:val="both"/>
        <w:rPr>
          <w:rFonts w:ascii="Arial" w:hAnsi="Arial" w:cs="Arial"/>
          <w:sz w:val="19"/>
          <w:szCs w:val="19"/>
          <w:lang w:val="es-ES"/>
        </w:rPr>
      </w:pPr>
      <w:r w:rsidRPr="00C850F2">
        <w:rPr>
          <w:rFonts w:ascii="Arial" w:hAnsi="Arial" w:cs="Arial"/>
          <w:sz w:val="19"/>
          <w:szCs w:val="19"/>
          <w:lang w:val="es-ES"/>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01DD1E79" w14:textId="77777777" w:rsidR="00D30D54" w:rsidRPr="00C850F2" w:rsidRDefault="00D30D54" w:rsidP="00D30D54">
      <w:pPr>
        <w:pStyle w:val="Textonotapie"/>
        <w:ind w:firstLine="709"/>
        <w:jc w:val="both"/>
        <w:rPr>
          <w:rFonts w:ascii="Arial" w:hAnsi="Arial" w:cs="Arial"/>
          <w:sz w:val="19"/>
          <w:szCs w:val="19"/>
          <w:lang w:val="es-CO"/>
        </w:rPr>
      </w:pPr>
    </w:p>
  </w:footnote>
  <w:footnote w:id="10">
    <w:p w14:paraId="1AE6ACC0" w14:textId="77777777" w:rsidR="00D30D54" w:rsidRDefault="00D30D54" w:rsidP="00D30D54">
      <w:pPr>
        <w:tabs>
          <w:tab w:val="left" w:pos="0"/>
        </w:tabs>
        <w:ind w:firstLine="709"/>
        <w:jc w:val="both"/>
        <w:rPr>
          <w:rFonts w:ascii="Arial" w:eastAsia="Calibri" w:hAnsi="Arial" w:cs="Arial"/>
          <w:bCs/>
          <w:color w:val="000000" w:themeColor="text1"/>
          <w:sz w:val="19"/>
          <w:szCs w:val="19"/>
          <w:lang w:val="es-ES_tradnl"/>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eastAsia="Calibri" w:hAnsi="Arial" w:cs="Arial"/>
          <w:bCs/>
          <w:color w:val="000000" w:themeColor="text1"/>
          <w:sz w:val="19"/>
          <w:szCs w:val="19"/>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p w14:paraId="1E7DFC59" w14:textId="77777777" w:rsidR="00D30D54" w:rsidRPr="00C850F2" w:rsidRDefault="00D30D54" w:rsidP="00D30D54">
      <w:pPr>
        <w:tabs>
          <w:tab w:val="left" w:pos="0"/>
        </w:tabs>
        <w:ind w:firstLine="709"/>
        <w:jc w:val="both"/>
        <w:rPr>
          <w:rFonts w:ascii="Arial" w:eastAsia="Calibri" w:hAnsi="Arial" w:cs="Arial"/>
          <w:bCs/>
          <w:color w:val="000000" w:themeColor="text1"/>
          <w:sz w:val="19"/>
          <w:szCs w:val="19"/>
        </w:rPr>
      </w:pPr>
    </w:p>
  </w:footnote>
  <w:footnote w:id="11">
    <w:p w14:paraId="6246AE75" w14:textId="77777777" w:rsidR="00D30D54" w:rsidRPr="002F6A04" w:rsidRDefault="00D30D54" w:rsidP="00D30D54">
      <w:pPr>
        <w:pStyle w:val="Textonotapie"/>
        <w:ind w:firstLine="708"/>
        <w:rPr>
          <w:rFonts w:ascii="Arial" w:hAnsi="Arial" w:cs="Arial"/>
          <w:sz w:val="19"/>
          <w:szCs w:val="19"/>
        </w:rPr>
      </w:pPr>
      <w:r w:rsidRPr="002F6A04">
        <w:rPr>
          <w:rStyle w:val="Refdenotaalpie"/>
          <w:rFonts w:ascii="Arial" w:hAnsi="Arial" w:cs="Arial"/>
          <w:sz w:val="19"/>
          <w:szCs w:val="19"/>
        </w:rPr>
        <w:footnoteRef/>
      </w:r>
      <w:r w:rsidRPr="002F6A04">
        <w:rPr>
          <w:rFonts w:ascii="Arial" w:hAnsi="Arial" w:cs="Arial"/>
          <w:sz w:val="19"/>
          <w:szCs w:val="19"/>
        </w:rPr>
        <w:t xml:space="preserve"> </w:t>
      </w:r>
      <w:hyperlink r:id="rId1" w:history="1">
        <w:r w:rsidRPr="002F6A04">
          <w:rPr>
            <w:rStyle w:val="Hipervnculo"/>
            <w:rFonts w:ascii="Arial" w:hAnsi="Arial" w:cs="Arial"/>
            <w:sz w:val="19"/>
            <w:szCs w:val="19"/>
          </w:rPr>
          <w:t>http://www.mipymes.gov.co/mipymes/media/mipymes/Documentos/Titulo-VI-Contratacion-Publica.pdf</w:t>
        </w:r>
      </w:hyperlink>
    </w:p>
    <w:p w14:paraId="4C9FAD53" w14:textId="77777777" w:rsidR="00D30D54" w:rsidRPr="002F6A04" w:rsidRDefault="00D30D54" w:rsidP="00D30D54">
      <w:pPr>
        <w:pStyle w:val="Textonotapie"/>
        <w:rPr>
          <w:lang w:val="es-ES"/>
        </w:rPr>
      </w:pPr>
    </w:p>
  </w:footnote>
  <w:footnote w:id="12">
    <w:p w14:paraId="24C9156E" w14:textId="77777777" w:rsidR="00D30D54" w:rsidRPr="00C850F2" w:rsidRDefault="00D30D54" w:rsidP="00D30D54">
      <w:pPr>
        <w:pStyle w:val="Textonotapie"/>
        <w:ind w:firstLine="709"/>
        <w:jc w:val="both"/>
        <w:rPr>
          <w:rFonts w:ascii="Arial" w:hAnsi="Arial" w:cs="Arial"/>
          <w:sz w:val="19"/>
          <w:szCs w:val="19"/>
          <w:lang w:val="es-CO"/>
        </w:rPr>
      </w:pPr>
      <w:r w:rsidRPr="00C850F2">
        <w:rPr>
          <w:rStyle w:val="Refdenotaalpie"/>
          <w:rFonts w:ascii="Arial" w:hAnsi="Arial" w:cs="Arial"/>
          <w:sz w:val="19"/>
          <w:szCs w:val="19"/>
        </w:rPr>
        <w:footnoteRef/>
      </w:r>
      <w:r w:rsidRPr="00C850F2">
        <w:rPr>
          <w:rFonts w:ascii="Arial" w:hAnsi="Arial" w:cs="Arial"/>
          <w:sz w:val="19"/>
          <w:szCs w:val="19"/>
        </w:rPr>
        <w:t xml:space="preserve"> Esta información puede consultarse en el siguiente enlace: https://www.colombiacompra.gov.co/compradores/acuerdos-comerciales-y-trato-nacional-por-reciprocidad</w:t>
      </w:r>
    </w:p>
  </w:footnote>
  <w:footnote w:id="13">
    <w:p w14:paraId="5147F35A" w14:textId="77777777" w:rsidR="00D30D54" w:rsidRDefault="00D30D54" w:rsidP="00D30D54">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14">
    <w:p w14:paraId="504FAE18" w14:textId="77777777" w:rsidR="00D30D54" w:rsidRDefault="00D30D54" w:rsidP="00D30D54">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Procuraduría General de la Nación. </w:t>
      </w:r>
      <w:r>
        <w:rPr>
          <w:rFonts w:ascii="Arial" w:hAnsi="Arial" w:cs="Arial"/>
          <w:sz w:val="19"/>
          <w:szCs w:val="19"/>
        </w:rPr>
        <w:t>C</w:t>
      </w:r>
      <w:r w:rsidRPr="0093788B">
        <w:rPr>
          <w:rFonts w:ascii="Arial" w:hAnsi="Arial" w:cs="Arial"/>
          <w:sz w:val="19"/>
          <w:szCs w:val="19"/>
        </w:rPr>
        <w:t>oncepto del 15 de octubre de 2014</w:t>
      </w:r>
      <w:r>
        <w:rPr>
          <w:rFonts w:ascii="Arial" w:hAnsi="Arial" w:cs="Arial"/>
          <w:sz w:val="19"/>
          <w:szCs w:val="19"/>
        </w:rPr>
        <w:t xml:space="preserve">. </w:t>
      </w:r>
      <w:r w:rsidRPr="003A4125">
        <w:rPr>
          <w:rFonts w:ascii="Arial" w:hAnsi="Arial" w:cs="Arial"/>
          <w:sz w:val="19"/>
          <w:szCs w:val="19"/>
        </w:rPr>
        <w:t>Procuraduría Delegada para Asuntos Disciplinarios. Radicado PAD C-114-2014</w:t>
      </w:r>
      <w:r>
        <w:rPr>
          <w:rFonts w:ascii="Arial" w:hAnsi="Arial" w:cs="Arial"/>
          <w:sz w:val="19"/>
          <w:szCs w:val="19"/>
        </w:rPr>
        <w:t>.</w:t>
      </w:r>
    </w:p>
    <w:p w14:paraId="1BD6A5DD" w14:textId="77777777" w:rsidR="00D30D54" w:rsidRPr="003A4125" w:rsidRDefault="00D30D54" w:rsidP="00D30D54">
      <w:pPr>
        <w:pStyle w:val="Textonotapie"/>
        <w:ind w:firstLine="709"/>
        <w:jc w:val="both"/>
        <w:rPr>
          <w:rFonts w:ascii="Arial" w:hAnsi="Arial" w:cs="Arial"/>
          <w:sz w:val="19"/>
          <w:szCs w:val="19"/>
        </w:rPr>
      </w:pPr>
    </w:p>
  </w:footnote>
  <w:footnote w:id="15">
    <w:p w14:paraId="14A5CC48" w14:textId="77777777" w:rsidR="00D30D54" w:rsidRDefault="00D30D54" w:rsidP="00D30D54">
      <w:pPr>
        <w:pStyle w:val="Textonotapie"/>
        <w:ind w:firstLine="708"/>
      </w:pPr>
      <w:r w:rsidRPr="001946FB">
        <w:rPr>
          <w:rStyle w:val="Refdenotaalpie"/>
          <w:rFonts w:ascii="Arial" w:hAnsi="Arial" w:cs="Arial"/>
          <w:sz w:val="19"/>
          <w:szCs w:val="19"/>
        </w:rPr>
        <w:footnoteRef/>
      </w:r>
      <w:r w:rsidRPr="001946FB">
        <w:rPr>
          <w:rFonts w:ascii="Arial" w:hAnsi="Arial" w:cs="Arial"/>
          <w:sz w:val="19"/>
          <w:szCs w:val="19"/>
        </w:rPr>
        <w:t xml:space="preserve"> Contraloría General de la República. Oficina Jurídica. Concepto 80112-OJ-008 2017</w:t>
      </w:r>
      <w:r>
        <w:rPr>
          <w:rFonts w:ascii="Arial" w:hAnsi="Arial" w:cs="Arial"/>
          <w:sz w:val="19"/>
          <w:szCs w:val="19"/>
        </w:rPr>
        <w:t>.</w:t>
      </w:r>
    </w:p>
  </w:footnote>
  <w:footnote w:id="16">
    <w:p w14:paraId="379A9417" w14:textId="77777777" w:rsidR="00D30D54" w:rsidRPr="008815AB" w:rsidRDefault="00D30D54" w:rsidP="00D30D54">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ARBOLEDA PERDONO, Enrique José. Comentarios al Nuevo Código de Procedimiento Administrativo y de lo Contencioso Administrativo (2ª ed.). Editorial Legis. Bogotá. 2012. p.59.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F718" w14:textId="77777777" w:rsidR="00387886" w:rsidRDefault="00501497">
    <w:pPr>
      <w:pStyle w:val="Encabezado"/>
    </w:pPr>
    <w:r>
      <w:rPr>
        <w:noProof/>
        <w:lang w:val="es-CO" w:eastAsia="es-CO"/>
      </w:rPr>
      <w:drawing>
        <wp:anchor distT="0" distB="0" distL="114300" distR="114300" simplePos="0" relativeHeight="251659264" behindDoc="1" locked="0" layoutInCell="1" allowOverlap="1" wp14:anchorId="03D81AFE" wp14:editId="1490338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6ACD"/>
    <w:multiLevelType w:val="hybridMultilevel"/>
    <w:tmpl w:val="F8206DF2"/>
    <w:lvl w:ilvl="0" w:tplc="6D143684">
      <w:start w:val="1"/>
      <w:numFmt w:val="upperRoman"/>
      <w:lvlText w:val="%1."/>
      <w:lvlJc w:val="left"/>
      <w:pPr>
        <w:ind w:left="1010" w:hanging="203"/>
      </w:pPr>
      <w:rPr>
        <w:rFonts w:ascii="Arial" w:eastAsia="Arial" w:hAnsi="Arial" w:cs="Arial" w:hint="default"/>
        <w:spacing w:val="-1"/>
        <w:w w:val="100"/>
        <w:sz w:val="21"/>
        <w:szCs w:val="21"/>
        <w:lang w:val="es-ES" w:eastAsia="es-ES" w:bidi="es-ES"/>
      </w:rPr>
    </w:lvl>
    <w:lvl w:ilvl="1" w:tplc="C218C684">
      <w:numFmt w:val="bullet"/>
      <w:lvlText w:val="•"/>
      <w:lvlJc w:val="left"/>
      <w:pPr>
        <w:ind w:left="1872" w:hanging="203"/>
      </w:pPr>
      <w:rPr>
        <w:rFonts w:hint="default"/>
        <w:lang w:val="es-ES" w:eastAsia="es-ES" w:bidi="es-ES"/>
      </w:rPr>
    </w:lvl>
    <w:lvl w:ilvl="2" w:tplc="455A0BF0">
      <w:numFmt w:val="bullet"/>
      <w:lvlText w:val="•"/>
      <w:lvlJc w:val="left"/>
      <w:pPr>
        <w:ind w:left="2724" w:hanging="203"/>
      </w:pPr>
      <w:rPr>
        <w:rFonts w:hint="default"/>
        <w:lang w:val="es-ES" w:eastAsia="es-ES" w:bidi="es-ES"/>
      </w:rPr>
    </w:lvl>
    <w:lvl w:ilvl="3" w:tplc="6E88D314">
      <w:numFmt w:val="bullet"/>
      <w:lvlText w:val="•"/>
      <w:lvlJc w:val="left"/>
      <w:pPr>
        <w:ind w:left="3576" w:hanging="203"/>
      </w:pPr>
      <w:rPr>
        <w:rFonts w:hint="default"/>
        <w:lang w:val="es-ES" w:eastAsia="es-ES" w:bidi="es-ES"/>
      </w:rPr>
    </w:lvl>
    <w:lvl w:ilvl="4" w:tplc="2F7C34D2">
      <w:numFmt w:val="bullet"/>
      <w:lvlText w:val="•"/>
      <w:lvlJc w:val="left"/>
      <w:pPr>
        <w:ind w:left="4428" w:hanging="203"/>
      </w:pPr>
      <w:rPr>
        <w:rFonts w:hint="default"/>
        <w:lang w:val="es-ES" w:eastAsia="es-ES" w:bidi="es-ES"/>
      </w:rPr>
    </w:lvl>
    <w:lvl w:ilvl="5" w:tplc="A95233E8">
      <w:numFmt w:val="bullet"/>
      <w:lvlText w:val="•"/>
      <w:lvlJc w:val="left"/>
      <w:pPr>
        <w:ind w:left="5280" w:hanging="203"/>
      </w:pPr>
      <w:rPr>
        <w:rFonts w:hint="default"/>
        <w:lang w:val="es-ES" w:eastAsia="es-ES" w:bidi="es-ES"/>
      </w:rPr>
    </w:lvl>
    <w:lvl w:ilvl="6" w:tplc="978EBA4C">
      <w:numFmt w:val="bullet"/>
      <w:lvlText w:val="•"/>
      <w:lvlJc w:val="left"/>
      <w:pPr>
        <w:ind w:left="6132" w:hanging="203"/>
      </w:pPr>
      <w:rPr>
        <w:rFonts w:hint="default"/>
        <w:lang w:val="es-ES" w:eastAsia="es-ES" w:bidi="es-ES"/>
      </w:rPr>
    </w:lvl>
    <w:lvl w:ilvl="7" w:tplc="7BACED10">
      <w:numFmt w:val="bullet"/>
      <w:lvlText w:val="•"/>
      <w:lvlJc w:val="left"/>
      <w:pPr>
        <w:ind w:left="6984" w:hanging="203"/>
      </w:pPr>
      <w:rPr>
        <w:rFonts w:hint="default"/>
        <w:lang w:val="es-ES" w:eastAsia="es-ES" w:bidi="es-ES"/>
      </w:rPr>
    </w:lvl>
    <w:lvl w:ilvl="8" w:tplc="1AC8AAB0">
      <w:numFmt w:val="bullet"/>
      <w:lvlText w:val="•"/>
      <w:lvlJc w:val="left"/>
      <w:pPr>
        <w:ind w:left="7836" w:hanging="203"/>
      </w:pPr>
      <w:rPr>
        <w:rFonts w:hint="default"/>
        <w:lang w:val="es-ES" w:eastAsia="es-ES" w:bidi="es-ES"/>
      </w:rPr>
    </w:lvl>
  </w:abstractNum>
  <w:abstractNum w:abstractNumId="1" w15:restartNumberingAfterBreak="0">
    <w:nsid w:val="0A3A168D"/>
    <w:multiLevelType w:val="hybridMultilevel"/>
    <w:tmpl w:val="B73C1D12"/>
    <w:lvl w:ilvl="0" w:tplc="9AF2AB20">
      <w:start w:val="1"/>
      <w:numFmt w:val="lowerLetter"/>
      <w:lvlText w:val="%1)"/>
      <w:lvlJc w:val="left"/>
      <w:pPr>
        <w:ind w:left="1010" w:hanging="268"/>
      </w:pPr>
      <w:rPr>
        <w:rFonts w:ascii="Arial" w:eastAsia="Arial" w:hAnsi="Arial" w:cs="Arial" w:hint="default"/>
        <w:w w:val="100"/>
        <w:sz w:val="21"/>
        <w:szCs w:val="21"/>
        <w:lang w:val="es-ES" w:eastAsia="es-ES" w:bidi="es-ES"/>
      </w:rPr>
    </w:lvl>
    <w:lvl w:ilvl="1" w:tplc="7590974C">
      <w:numFmt w:val="bullet"/>
      <w:lvlText w:val="•"/>
      <w:lvlJc w:val="left"/>
      <w:pPr>
        <w:ind w:left="1872" w:hanging="268"/>
      </w:pPr>
      <w:rPr>
        <w:rFonts w:hint="default"/>
        <w:lang w:val="es-ES" w:eastAsia="es-ES" w:bidi="es-ES"/>
      </w:rPr>
    </w:lvl>
    <w:lvl w:ilvl="2" w:tplc="DA2C68A4">
      <w:numFmt w:val="bullet"/>
      <w:lvlText w:val="•"/>
      <w:lvlJc w:val="left"/>
      <w:pPr>
        <w:ind w:left="2724" w:hanging="268"/>
      </w:pPr>
      <w:rPr>
        <w:rFonts w:hint="default"/>
        <w:lang w:val="es-ES" w:eastAsia="es-ES" w:bidi="es-ES"/>
      </w:rPr>
    </w:lvl>
    <w:lvl w:ilvl="3" w:tplc="B8C60F6C">
      <w:numFmt w:val="bullet"/>
      <w:lvlText w:val="•"/>
      <w:lvlJc w:val="left"/>
      <w:pPr>
        <w:ind w:left="3576" w:hanging="268"/>
      </w:pPr>
      <w:rPr>
        <w:rFonts w:hint="default"/>
        <w:lang w:val="es-ES" w:eastAsia="es-ES" w:bidi="es-ES"/>
      </w:rPr>
    </w:lvl>
    <w:lvl w:ilvl="4" w:tplc="F0381CAA">
      <w:numFmt w:val="bullet"/>
      <w:lvlText w:val="•"/>
      <w:lvlJc w:val="left"/>
      <w:pPr>
        <w:ind w:left="4428" w:hanging="268"/>
      </w:pPr>
      <w:rPr>
        <w:rFonts w:hint="default"/>
        <w:lang w:val="es-ES" w:eastAsia="es-ES" w:bidi="es-ES"/>
      </w:rPr>
    </w:lvl>
    <w:lvl w:ilvl="5" w:tplc="0D62EB56">
      <w:numFmt w:val="bullet"/>
      <w:lvlText w:val="•"/>
      <w:lvlJc w:val="left"/>
      <w:pPr>
        <w:ind w:left="5280" w:hanging="268"/>
      </w:pPr>
      <w:rPr>
        <w:rFonts w:hint="default"/>
        <w:lang w:val="es-ES" w:eastAsia="es-ES" w:bidi="es-ES"/>
      </w:rPr>
    </w:lvl>
    <w:lvl w:ilvl="6" w:tplc="02C828DC">
      <w:numFmt w:val="bullet"/>
      <w:lvlText w:val="•"/>
      <w:lvlJc w:val="left"/>
      <w:pPr>
        <w:ind w:left="6132" w:hanging="268"/>
      </w:pPr>
      <w:rPr>
        <w:rFonts w:hint="default"/>
        <w:lang w:val="es-ES" w:eastAsia="es-ES" w:bidi="es-ES"/>
      </w:rPr>
    </w:lvl>
    <w:lvl w:ilvl="7" w:tplc="CBD099F4">
      <w:numFmt w:val="bullet"/>
      <w:lvlText w:val="•"/>
      <w:lvlJc w:val="left"/>
      <w:pPr>
        <w:ind w:left="6984" w:hanging="268"/>
      </w:pPr>
      <w:rPr>
        <w:rFonts w:hint="default"/>
        <w:lang w:val="es-ES" w:eastAsia="es-ES" w:bidi="es-ES"/>
      </w:rPr>
    </w:lvl>
    <w:lvl w:ilvl="8" w:tplc="A8B6D9E2">
      <w:numFmt w:val="bullet"/>
      <w:lvlText w:val="•"/>
      <w:lvlJc w:val="left"/>
      <w:pPr>
        <w:ind w:left="7836" w:hanging="268"/>
      </w:pPr>
      <w:rPr>
        <w:rFonts w:hint="default"/>
        <w:lang w:val="es-ES" w:eastAsia="es-ES" w:bidi="es-ES"/>
      </w:rPr>
    </w:lvl>
  </w:abstractNum>
  <w:abstractNum w:abstractNumId="2" w15:restartNumberingAfterBreak="0">
    <w:nsid w:val="0CC16F09"/>
    <w:multiLevelType w:val="multilevel"/>
    <w:tmpl w:val="689213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A718DA"/>
    <w:multiLevelType w:val="hybridMultilevel"/>
    <w:tmpl w:val="1FB85F8A"/>
    <w:lvl w:ilvl="0" w:tplc="A8041186">
      <w:start w:val="2"/>
      <w:numFmt w:val="decimal"/>
      <w:lvlText w:val="%1."/>
      <w:lvlJc w:val="left"/>
      <w:pPr>
        <w:ind w:left="1010" w:hanging="238"/>
      </w:pPr>
      <w:rPr>
        <w:rFonts w:ascii="Arial" w:eastAsia="Arial" w:hAnsi="Arial" w:cs="Arial" w:hint="default"/>
        <w:w w:val="100"/>
        <w:sz w:val="21"/>
        <w:szCs w:val="21"/>
        <w:lang w:val="es-ES" w:eastAsia="es-ES" w:bidi="es-ES"/>
      </w:rPr>
    </w:lvl>
    <w:lvl w:ilvl="1" w:tplc="AFD4D846">
      <w:numFmt w:val="bullet"/>
      <w:lvlText w:val="•"/>
      <w:lvlJc w:val="left"/>
      <w:pPr>
        <w:ind w:left="1872" w:hanging="238"/>
      </w:pPr>
      <w:rPr>
        <w:rFonts w:hint="default"/>
        <w:lang w:val="es-ES" w:eastAsia="es-ES" w:bidi="es-ES"/>
      </w:rPr>
    </w:lvl>
    <w:lvl w:ilvl="2" w:tplc="B404B1BE">
      <w:numFmt w:val="bullet"/>
      <w:lvlText w:val="•"/>
      <w:lvlJc w:val="left"/>
      <w:pPr>
        <w:ind w:left="2724" w:hanging="238"/>
      </w:pPr>
      <w:rPr>
        <w:rFonts w:hint="default"/>
        <w:lang w:val="es-ES" w:eastAsia="es-ES" w:bidi="es-ES"/>
      </w:rPr>
    </w:lvl>
    <w:lvl w:ilvl="3" w:tplc="700A9DA6">
      <w:numFmt w:val="bullet"/>
      <w:lvlText w:val="•"/>
      <w:lvlJc w:val="left"/>
      <w:pPr>
        <w:ind w:left="3576" w:hanging="238"/>
      </w:pPr>
      <w:rPr>
        <w:rFonts w:hint="default"/>
        <w:lang w:val="es-ES" w:eastAsia="es-ES" w:bidi="es-ES"/>
      </w:rPr>
    </w:lvl>
    <w:lvl w:ilvl="4" w:tplc="89D8A7D0">
      <w:numFmt w:val="bullet"/>
      <w:lvlText w:val="•"/>
      <w:lvlJc w:val="left"/>
      <w:pPr>
        <w:ind w:left="4428" w:hanging="238"/>
      </w:pPr>
      <w:rPr>
        <w:rFonts w:hint="default"/>
        <w:lang w:val="es-ES" w:eastAsia="es-ES" w:bidi="es-ES"/>
      </w:rPr>
    </w:lvl>
    <w:lvl w:ilvl="5" w:tplc="6DE699B0">
      <w:numFmt w:val="bullet"/>
      <w:lvlText w:val="•"/>
      <w:lvlJc w:val="left"/>
      <w:pPr>
        <w:ind w:left="5280" w:hanging="238"/>
      </w:pPr>
      <w:rPr>
        <w:rFonts w:hint="default"/>
        <w:lang w:val="es-ES" w:eastAsia="es-ES" w:bidi="es-ES"/>
      </w:rPr>
    </w:lvl>
    <w:lvl w:ilvl="6" w:tplc="81E6D9B8">
      <w:numFmt w:val="bullet"/>
      <w:lvlText w:val="•"/>
      <w:lvlJc w:val="left"/>
      <w:pPr>
        <w:ind w:left="6132" w:hanging="238"/>
      </w:pPr>
      <w:rPr>
        <w:rFonts w:hint="default"/>
        <w:lang w:val="es-ES" w:eastAsia="es-ES" w:bidi="es-ES"/>
      </w:rPr>
    </w:lvl>
    <w:lvl w:ilvl="7" w:tplc="F1D06D84">
      <w:numFmt w:val="bullet"/>
      <w:lvlText w:val="•"/>
      <w:lvlJc w:val="left"/>
      <w:pPr>
        <w:ind w:left="6984" w:hanging="238"/>
      </w:pPr>
      <w:rPr>
        <w:rFonts w:hint="default"/>
        <w:lang w:val="es-ES" w:eastAsia="es-ES" w:bidi="es-ES"/>
      </w:rPr>
    </w:lvl>
    <w:lvl w:ilvl="8" w:tplc="D658A6BE">
      <w:numFmt w:val="bullet"/>
      <w:lvlText w:val="•"/>
      <w:lvlJc w:val="left"/>
      <w:pPr>
        <w:ind w:left="7836" w:hanging="238"/>
      </w:pPr>
      <w:rPr>
        <w:rFonts w:hint="default"/>
        <w:lang w:val="es-ES" w:eastAsia="es-ES" w:bidi="es-ES"/>
      </w:rPr>
    </w:lvl>
  </w:abstractNum>
  <w:abstractNum w:abstractNumId="4" w15:restartNumberingAfterBreak="0">
    <w:nsid w:val="37BB3129"/>
    <w:multiLevelType w:val="hybridMultilevel"/>
    <w:tmpl w:val="639CE7F6"/>
    <w:lvl w:ilvl="0" w:tplc="B9CEC46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322434E"/>
    <w:multiLevelType w:val="hybridMultilevel"/>
    <w:tmpl w:val="44E6A1F2"/>
    <w:lvl w:ilvl="0" w:tplc="032E7668">
      <w:start w:val="2"/>
      <w:numFmt w:val="lowerRoman"/>
      <w:lvlText w:val="%1)"/>
      <w:lvlJc w:val="left"/>
      <w:pPr>
        <w:ind w:left="1428" w:hanging="72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E0964FC"/>
    <w:multiLevelType w:val="hybridMultilevel"/>
    <w:tmpl w:val="BBB4934E"/>
    <w:lvl w:ilvl="0" w:tplc="A6BA9EEA">
      <w:start w:val="1"/>
      <w:numFmt w:val="lowerLetter"/>
      <w:lvlText w:val="%1)"/>
      <w:lvlJc w:val="left"/>
      <w:pPr>
        <w:ind w:left="1010" w:hanging="255"/>
      </w:pPr>
      <w:rPr>
        <w:rFonts w:ascii="Arial" w:eastAsia="Arial" w:hAnsi="Arial" w:cs="Arial" w:hint="default"/>
        <w:w w:val="100"/>
        <w:sz w:val="21"/>
        <w:szCs w:val="21"/>
        <w:lang w:val="es-ES" w:eastAsia="es-ES" w:bidi="es-ES"/>
      </w:rPr>
    </w:lvl>
    <w:lvl w:ilvl="1" w:tplc="E7007492">
      <w:numFmt w:val="bullet"/>
      <w:lvlText w:val="•"/>
      <w:lvlJc w:val="left"/>
      <w:pPr>
        <w:ind w:left="1872" w:hanging="255"/>
      </w:pPr>
      <w:rPr>
        <w:rFonts w:hint="default"/>
        <w:lang w:val="es-ES" w:eastAsia="es-ES" w:bidi="es-ES"/>
      </w:rPr>
    </w:lvl>
    <w:lvl w:ilvl="2" w:tplc="7384F016">
      <w:numFmt w:val="bullet"/>
      <w:lvlText w:val="•"/>
      <w:lvlJc w:val="left"/>
      <w:pPr>
        <w:ind w:left="2724" w:hanging="255"/>
      </w:pPr>
      <w:rPr>
        <w:rFonts w:hint="default"/>
        <w:lang w:val="es-ES" w:eastAsia="es-ES" w:bidi="es-ES"/>
      </w:rPr>
    </w:lvl>
    <w:lvl w:ilvl="3" w:tplc="077212C8">
      <w:numFmt w:val="bullet"/>
      <w:lvlText w:val="•"/>
      <w:lvlJc w:val="left"/>
      <w:pPr>
        <w:ind w:left="3576" w:hanging="255"/>
      </w:pPr>
      <w:rPr>
        <w:rFonts w:hint="default"/>
        <w:lang w:val="es-ES" w:eastAsia="es-ES" w:bidi="es-ES"/>
      </w:rPr>
    </w:lvl>
    <w:lvl w:ilvl="4" w:tplc="F2F2D53E">
      <w:numFmt w:val="bullet"/>
      <w:lvlText w:val="•"/>
      <w:lvlJc w:val="left"/>
      <w:pPr>
        <w:ind w:left="4428" w:hanging="255"/>
      </w:pPr>
      <w:rPr>
        <w:rFonts w:hint="default"/>
        <w:lang w:val="es-ES" w:eastAsia="es-ES" w:bidi="es-ES"/>
      </w:rPr>
    </w:lvl>
    <w:lvl w:ilvl="5" w:tplc="2CA04538">
      <w:numFmt w:val="bullet"/>
      <w:lvlText w:val="•"/>
      <w:lvlJc w:val="left"/>
      <w:pPr>
        <w:ind w:left="5280" w:hanging="255"/>
      </w:pPr>
      <w:rPr>
        <w:rFonts w:hint="default"/>
        <w:lang w:val="es-ES" w:eastAsia="es-ES" w:bidi="es-ES"/>
      </w:rPr>
    </w:lvl>
    <w:lvl w:ilvl="6" w:tplc="0B005232">
      <w:numFmt w:val="bullet"/>
      <w:lvlText w:val="•"/>
      <w:lvlJc w:val="left"/>
      <w:pPr>
        <w:ind w:left="6132" w:hanging="255"/>
      </w:pPr>
      <w:rPr>
        <w:rFonts w:hint="default"/>
        <w:lang w:val="es-ES" w:eastAsia="es-ES" w:bidi="es-ES"/>
      </w:rPr>
    </w:lvl>
    <w:lvl w:ilvl="7" w:tplc="BC5E1D4A">
      <w:numFmt w:val="bullet"/>
      <w:lvlText w:val="•"/>
      <w:lvlJc w:val="left"/>
      <w:pPr>
        <w:ind w:left="6984" w:hanging="255"/>
      </w:pPr>
      <w:rPr>
        <w:rFonts w:hint="default"/>
        <w:lang w:val="es-ES" w:eastAsia="es-ES" w:bidi="es-ES"/>
      </w:rPr>
    </w:lvl>
    <w:lvl w:ilvl="8" w:tplc="1D943224">
      <w:numFmt w:val="bullet"/>
      <w:lvlText w:val="•"/>
      <w:lvlJc w:val="left"/>
      <w:pPr>
        <w:ind w:left="7836" w:hanging="255"/>
      </w:pPr>
      <w:rPr>
        <w:rFonts w:hint="default"/>
        <w:lang w:val="es-ES" w:eastAsia="es-ES" w:bidi="es-ES"/>
      </w:rPr>
    </w:lvl>
  </w:abstractNum>
  <w:abstractNum w:abstractNumId="7" w15:restartNumberingAfterBreak="0">
    <w:nsid w:val="5A552591"/>
    <w:multiLevelType w:val="hybridMultilevel"/>
    <w:tmpl w:val="639CE7F6"/>
    <w:lvl w:ilvl="0" w:tplc="B9CEC46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AB9383E"/>
    <w:multiLevelType w:val="hybridMultilevel"/>
    <w:tmpl w:val="1A660842"/>
    <w:lvl w:ilvl="0" w:tplc="360CDDE0">
      <w:start w:val="1"/>
      <w:numFmt w:val="decimal"/>
      <w:lvlText w:val="%1."/>
      <w:lvlJc w:val="left"/>
      <w:pPr>
        <w:ind w:left="660" w:hanging="360"/>
      </w:pPr>
      <w:rPr>
        <w:rFonts w:hint="default"/>
        <w:color w:val="000000" w:themeColor="text1"/>
      </w:rPr>
    </w:lvl>
    <w:lvl w:ilvl="1" w:tplc="080A0019">
      <w:start w:val="1"/>
      <w:numFmt w:val="lowerLetter"/>
      <w:lvlText w:val="%2."/>
      <w:lvlJc w:val="left"/>
      <w:pPr>
        <w:ind w:left="1380" w:hanging="360"/>
      </w:pPr>
    </w:lvl>
    <w:lvl w:ilvl="2" w:tplc="080A001B">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9" w15:restartNumberingAfterBreak="0">
    <w:nsid w:val="6680047E"/>
    <w:multiLevelType w:val="hybridMultilevel"/>
    <w:tmpl w:val="F4B8D518"/>
    <w:lvl w:ilvl="0" w:tplc="A2262576">
      <w:start w:val="3"/>
      <w:numFmt w:val="decimal"/>
      <w:lvlText w:val="%1."/>
      <w:lvlJc w:val="left"/>
      <w:pPr>
        <w:ind w:left="543" w:hanging="243"/>
      </w:pPr>
      <w:rPr>
        <w:rFonts w:ascii="Arial" w:eastAsia="Arial" w:hAnsi="Arial" w:cs="Arial" w:hint="default"/>
        <w:b/>
        <w:bCs/>
        <w:spacing w:val="-1"/>
        <w:w w:val="100"/>
        <w:sz w:val="22"/>
        <w:szCs w:val="22"/>
        <w:lang w:val="es-ES" w:eastAsia="es-ES" w:bidi="es-ES"/>
      </w:rPr>
    </w:lvl>
    <w:lvl w:ilvl="1" w:tplc="6214FDF0">
      <w:start w:val="1"/>
      <w:numFmt w:val="lowerRoman"/>
      <w:lvlText w:val="%2)"/>
      <w:lvlJc w:val="left"/>
      <w:pPr>
        <w:ind w:left="1010" w:hanging="190"/>
      </w:pPr>
      <w:rPr>
        <w:rFonts w:ascii="Arial" w:eastAsia="Arial" w:hAnsi="Arial" w:cs="Arial" w:hint="default"/>
        <w:w w:val="100"/>
        <w:sz w:val="21"/>
        <w:szCs w:val="21"/>
        <w:lang w:val="es-ES" w:eastAsia="es-ES" w:bidi="es-ES"/>
      </w:rPr>
    </w:lvl>
    <w:lvl w:ilvl="2" w:tplc="64BA9508">
      <w:numFmt w:val="bullet"/>
      <w:lvlText w:val="•"/>
      <w:lvlJc w:val="left"/>
      <w:pPr>
        <w:ind w:left="1966" w:hanging="190"/>
      </w:pPr>
      <w:rPr>
        <w:rFonts w:hint="default"/>
        <w:lang w:val="es-ES" w:eastAsia="es-ES" w:bidi="es-ES"/>
      </w:rPr>
    </w:lvl>
    <w:lvl w:ilvl="3" w:tplc="E1D2D3FA">
      <w:numFmt w:val="bullet"/>
      <w:lvlText w:val="•"/>
      <w:lvlJc w:val="left"/>
      <w:pPr>
        <w:ind w:left="2913" w:hanging="190"/>
      </w:pPr>
      <w:rPr>
        <w:rFonts w:hint="default"/>
        <w:lang w:val="es-ES" w:eastAsia="es-ES" w:bidi="es-ES"/>
      </w:rPr>
    </w:lvl>
    <w:lvl w:ilvl="4" w:tplc="D6286852">
      <w:numFmt w:val="bullet"/>
      <w:lvlText w:val="•"/>
      <w:lvlJc w:val="left"/>
      <w:pPr>
        <w:ind w:left="3860" w:hanging="190"/>
      </w:pPr>
      <w:rPr>
        <w:rFonts w:hint="default"/>
        <w:lang w:val="es-ES" w:eastAsia="es-ES" w:bidi="es-ES"/>
      </w:rPr>
    </w:lvl>
    <w:lvl w:ilvl="5" w:tplc="8AE6FCAE">
      <w:numFmt w:val="bullet"/>
      <w:lvlText w:val="•"/>
      <w:lvlJc w:val="left"/>
      <w:pPr>
        <w:ind w:left="4806" w:hanging="190"/>
      </w:pPr>
      <w:rPr>
        <w:rFonts w:hint="default"/>
        <w:lang w:val="es-ES" w:eastAsia="es-ES" w:bidi="es-ES"/>
      </w:rPr>
    </w:lvl>
    <w:lvl w:ilvl="6" w:tplc="5AA62E3C">
      <w:numFmt w:val="bullet"/>
      <w:lvlText w:val="•"/>
      <w:lvlJc w:val="left"/>
      <w:pPr>
        <w:ind w:left="5753" w:hanging="190"/>
      </w:pPr>
      <w:rPr>
        <w:rFonts w:hint="default"/>
        <w:lang w:val="es-ES" w:eastAsia="es-ES" w:bidi="es-ES"/>
      </w:rPr>
    </w:lvl>
    <w:lvl w:ilvl="7" w:tplc="110E97BA">
      <w:numFmt w:val="bullet"/>
      <w:lvlText w:val="•"/>
      <w:lvlJc w:val="left"/>
      <w:pPr>
        <w:ind w:left="6700" w:hanging="190"/>
      </w:pPr>
      <w:rPr>
        <w:rFonts w:hint="default"/>
        <w:lang w:val="es-ES" w:eastAsia="es-ES" w:bidi="es-ES"/>
      </w:rPr>
    </w:lvl>
    <w:lvl w:ilvl="8" w:tplc="4B2E7BD2">
      <w:numFmt w:val="bullet"/>
      <w:lvlText w:val="•"/>
      <w:lvlJc w:val="left"/>
      <w:pPr>
        <w:ind w:left="7646" w:hanging="190"/>
      </w:pPr>
      <w:rPr>
        <w:rFonts w:hint="default"/>
        <w:lang w:val="es-ES" w:eastAsia="es-ES" w:bidi="es-ES"/>
      </w:rPr>
    </w:lvl>
  </w:abstractNum>
  <w:num w:numId="1">
    <w:abstractNumId w:val="0"/>
  </w:num>
  <w:num w:numId="2">
    <w:abstractNumId w:val="9"/>
  </w:num>
  <w:num w:numId="3">
    <w:abstractNumId w:val="6"/>
  </w:num>
  <w:num w:numId="4">
    <w:abstractNumId w:val="1"/>
  </w:num>
  <w:num w:numId="5">
    <w:abstractNumId w:val="3"/>
  </w:num>
  <w:num w:numId="6">
    <w:abstractNumId w:val="8"/>
  </w:num>
  <w:num w:numId="7">
    <w:abstractNumId w:val="2"/>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54"/>
    <w:rsid w:val="00501497"/>
    <w:rsid w:val="00D30D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5DF6377"/>
  <w15:chartTrackingRefBased/>
  <w15:docId w15:val="{6673215B-1710-FA4B-BA52-FA5B4124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D54"/>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D30D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0D54"/>
    <w:rPr>
      <w:rFonts w:asciiTheme="majorHAnsi" w:eastAsiaTheme="majorEastAsia" w:hAnsiTheme="majorHAnsi" w:cstheme="majorBidi"/>
      <w:color w:val="2F5496" w:themeColor="accent1" w:themeShade="BF"/>
      <w:sz w:val="32"/>
      <w:szCs w:val="32"/>
      <w:lang w:eastAsia="es-MX"/>
    </w:rPr>
  </w:style>
  <w:style w:type="paragraph" w:styleId="Piedepgina">
    <w:name w:val="footer"/>
    <w:basedOn w:val="Normal"/>
    <w:link w:val="PiedepginaCar"/>
    <w:uiPriority w:val="99"/>
    <w:unhideWhenUsed/>
    <w:rsid w:val="00D30D54"/>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30D54"/>
    <w:rPr>
      <w:szCs w:val="22"/>
      <w:lang w:val="es-MX"/>
    </w:rPr>
  </w:style>
  <w:style w:type="paragraph" w:styleId="Encabezado">
    <w:name w:val="header"/>
    <w:basedOn w:val="Normal"/>
    <w:link w:val="EncabezadoCar"/>
    <w:uiPriority w:val="99"/>
    <w:unhideWhenUsed/>
    <w:rsid w:val="00D30D54"/>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30D54"/>
    <w:rPr>
      <w:szCs w:val="22"/>
      <w:lang w:val="es-MX"/>
    </w:rPr>
  </w:style>
  <w:style w:type="table" w:styleId="Tablaconcuadrcula">
    <w:name w:val="Table Grid"/>
    <w:basedOn w:val="Tablanormal"/>
    <w:uiPriority w:val="39"/>
    <w:rsid w:val="00D30D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D30D54"/>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D30D54"/>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30D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30D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30D54"/>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D30D54"/>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30D54"/>
    <w:rPr>
      <w:vertAlign w:val="superscript"/>
    </w:rPr>
  </w:style>
  <w:style w:type="paragraph" w:styleId="Textoindependiente">
    <w:name w:val="Body Text"/>
    <w:basedOn w:val="Normal"/>
    <w:link w:val="TextoindependienteCar"/>
    <w:uiPriority w:val="1"/>
    <w:qFormat/>
    <w:rsid w:val="00D30D54"/>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D30D54"/>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D30D54"/>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uiPriority w:val="99"/>
    <w:unhideWhenUsed/>
    <w:rsid w:val="00D30D54"/>
    <w:pPr>
      <w:spacing w:before="100" w:beforeAutospacing="1" w:after="100" w:afterAutospacing="1"/>
    </w:pPr>
  </w:style>
  <w:style w:type="character" w:styleId="Hipervnculo">
    <w:name w:val="Hyperlink"/>
    <w:basedOn w:val="Fuentedeprrafopredeter"/>
    <w:uiPriority w:val="99"/>
    <w:unhideWhenUsed/>
    <w:rsid w:val="00D30D54"/>
    <w:rPr>
      <w:color w:val="0000FF"/>
      <w:u w:val="single"/>
    </w:rPr>
  </w:style>
  <w:style w:type="character" w:customStyle="1" w:styleId="normaltextrun">
    <w:name w:val="normaltextrun"/>
    <w:basedOn w:val="Fuentedeprrafopredeter"/>
    <w:rsid w:val="00D30D54"/>
  </w:style>
  <w:style w:type="character" w:customStyle="1" w:styleId="eop">
    <w:name w:val="eop"/>
    <w:basedOn w:val="Fuentedeprrafopredeter"/>
    <w:rsid w:val="00D30D54"/>
  </w:style>
  <w:style w:type="table" w:customStyle="1" w:styleId="TableNormal">
    <w:name w:val="Table Normal"/>
    <w:uiPriority w:val="2"/>
    <w:semiHidden/>
    <w:unhideWhenUsed/>
    <w:qFormat/>
    <w:rsid w:val="00D30D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0D54"/>
    <w:pPr>
      <w:widowControl w:val="0"/>
      <w:autoSpaceDE w:val="0"/>
      <w:autoSpaceDN w:val="0"/>
      <w:ind w:left="107"/>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mipymes.gov.co/mipymes/media/mipymes/Documentos/Titulo-VI-Contratacion-Publ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91A3AE2-0B31-4B43-8B84-A17D91496B60}"/>
</file>

<file path=customXml/itemProps2.xml><?xml version="1.0" encoding="utf-8"?>
<ds:datastoreItem xmlns:ds="http://schemas.openxmlformats.org/officeDocument/2006/customXml" ds:itemID="{47126717-B087-4A12-8B34-6196227ED624}"/>
</file>

<file path=customXml/itemProps3.xml><?xml version="1.0" encoding="utf-8"?>
<ds:datastoreItem xmlns:ds="http://schemas.openxmlformats.org/officeDocument/2006/customXml" ds:itemID="{8F40ABDE-58E0-46E9-8F52-5466EBBBD007}"/>
</file>

<file path=docProps/app.xml><?xml version="1.0" encoding="utf-8"?>
<Properties xmlns="http://schemas.openxmlformats.org/officeDocument/2006/extended-properties" xmlns:vt="http://schemas.openxmlformats.org/officeDocument/2006/docPropsVTypes">
  <Template>Normal.dotm</Template>
  <TotalTime>0</TotalTime>
  <Pages>16</Pages>
  <Words>4980</Words>
  <Characters>27394</Characters>
  <Application>Microsoft Office Word</Application>
  <DocSecurity>0</DocSecurity>
  <Lines>228</Lines>
  <Paragraphs>64</Paragraphs>
  <ScaleCrop>false</ScaleCrop>
  <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1</cp:revision>
  <dcterms:created xsi:type="dcterms:W3CDTF">2021-06-23T13:53:00Z</dcterms:created>
  <dcterms:modified xsi:type="dcterms:W3CDTF">2021-06-23T13:53:00Z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