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5CA0" w14:textId="77777777" w:rsidR="00075B7E" w:rsidRPr="00DD2D97" w:rsidRDefault="00075B7E" w:rsidP="00075B7E">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73000316"/>
      <w:r w:rsidRPr="00DD2D97">
        <w:rPr>
          <w:rFonts w:ascii="Arial" w:hAnsi="Arial" w:cs="Arial"/>
          <w:bCs/>
          <w:color w:val="000000" w:themeColor="text1"/>
          <w:sz w:val="16"/>
          <w:szCs w:val="16"/>
          <w:lang w:val="es-ES_tradnl" w:eastAsia="es-ES"/>
        </w:rPr>
        <w:t>CCE-DES-FM-17</w:t>
      </w:r>
      <w:bookmarkEnd w:id="0"/>
      <w:bookmarkEnd w:id="1"/>
    </w:p>
    <w:p w14:paraId="00151EB3" w14:textId="77777777" w:rsidR="00075B7E" w:rsidRPr="00DD2D97" w:rsidRDefault="00075B7E" w:rsidP="00075B7E">
      <w:pPr>
        <w:jc w:val="both"/>
        <w:rPr>
          <w:rFonts w:ascii="Arial" w:eastAsia="Calibri" w:hAnsi="Arial" w:cs="Arial"/>
          <w:b/>
          <w:color w:val="000000" w:themeColor="text1"/>
          <w:sz w:val="22"/>
          <w:lang w:val="es-ES_tradnl"/>
        </w:rPr>
      </w:pPr>
    </w:p>
    <w:p w14:paraId="693F646A" w14:textId="77777777" w:rsidR="00C212DA" w:rsidRPr="00C22EDD" w:rsidRDefault="00C212DA" w:rsidP="00C212DA">
      <w:pPr>
        <w:jc w:val="both"/>
        <w:rPr>
          <w:rFonts w:ascii="Arial" w:hAnsi="Arial" w:cs="Arial"/>
          <w:b/>
          <w:sz w:val="22"/>
          <w:szCs w:val="22"/>
          <w:lang w:val="es-ES_tradnl" w:eastAsia="es-ES"/>
        </w:rPr>
      </w:pPr>
      <w:r w:rsidRPr="00C22EDD">
        <w:rPr>
          <w:rFonts w:ascii="Arial" w:hAnsi="Arial" w:cs="Arial"/>
          <w:b/>
          <w:sz w:val="22"/>
          <w:szCs w:val="22"/>
          <w:lang w:val="es-ES_tradnl" w:eastAsia="es-ES"/>
        </w:rPr>
        <w:t>PRINCIPIO DE PUBLICIDAD – Democracia – Estado social de Derecho – Fundamento axiológico</w:t>
      </w:r>
    </w:p>
    <w:p w14:paraId="3FFC167E" w14:textId="77777777" w:rsidR="00C212DA" w:rsidRPr="00C22EDD" w:rsidRDefault="00C212DA" w:rsidP="00C212DA">
      <w:pPr>
        <w:jc w:val="both"/>
        <w:rPr>
          <w:rFonts w:ascii="Arial" w:hAnsi="Arial" w:cs="Arial"/>
          <w:noProof/>
          <w:color w:val="000000" w:themeColor="text1"/>
          <w:sz w:val="22"/>
          <w:lang w:val="es-ES_tradnl"/>
        </w:rPr>
      </w:pPr>
    </w:p>
    <w:p w14:paraId="44F7AD66" w14:textId="77777777" w:rsidR="00C212DA" w:rsidRDefault="00C212DA" w:rsidP="00C212DA">
      <w:pPr>
        <w:jc w:val="both"/>
        <w:rPr>
          <w:rFonts w:ascii="Arial" w:eastAsia="Calibri" w:hAnsi="Arial" w:cs="Arial"/>
          <w:color w:val="000000" w:themeColor="text1"/>
          <w:sz w:val="20"/>
          <w:szCs w:val="20"/>
          <w:lang w:val="es-ES_tradnl"/>
        </w:rPr>
      </w:pPr>
      <w:r w:rsidRPr="00A71531">
        <w:rPr>
          <w:rFonts w:ascii="Arial" w:eastAsia="Calibri" w:hAnsi="Arial" w:cs="Arial"/>
          <w:color w:val="000000" w:themeColor="text1"/>
          <w:sz w:val="20"/>
          <w:szCs w:val="20"/>
          <w:lang w:val="es-ES_tradnl"/>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6CC402C9" w14:textId="77777777" w:rsidR="00C212DA" w:rsidRPr="00A71531" w:rsidRDefault="00C212DA" w:rsidP="00C212DA">
      <w:pPr>
        <w:jc w:val="both"/>
        <w:rPr>
          <w:rFonts w:ascii="Arial" w:eastAsia="Calibri" w:hAnsi="Arial" w:cs="Arial"/>
          <w:color w:val="000000" w:themeColor="text1"/>
          <w:sz w:val="20"/>
          <w:szCs w:val="20"/>
          <w:lang w:val="es-ES_tradnl"/>
        </w:rPr>
      </w:pPr>
    </w:p>
    <w:p w14:paraId="36ABC5F7" w14:textId="77777777" w:rsidR="00C212DA" w:rsidRPr="00C22EDD" w:rsidRDefault="00C212DA" w:rsidP="00C212DA">
      <w:pPr>
        <w:jc w:val="both"/>
        <w:rPr>
          <w:rFonts w:ascii="Arial" w:eastAsia="Calibri" w:hAnsi="Arial" w:cs="Arial"/>
          <w:color w:val="000000" w:themeColor="text1"/>
          <w:sz w:val="20"/>
          <w:szCs w:val="20"/>
          <w:lang w:val="es-ES_tradnl"/>
        </w:rPr>
      </w:pPr>
      <w:r w:rsidRPr="00A71531">
        <w:rPr>
          <w:rFonts w:ascii="Arial" w:eastAsia="Calibri" w:hAnsi="Arial" w:cs="Arial"/>
          <w:color w:val="000000" w:themeColor="text1"/>
          <w:sz w:val="20"/>
          <w:szCs w:val="20"/>
          <w:lang w:val="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r w:rsidRPr="00C22EDD">
        <w:rPr>
          <w:rFonts w:ascii="Arial" w:eastAsia="Calibri" w:hAnsi="Arial" w:cs="Arial"/>
          <w:color w:val="000000" w:themeColor="text1"/>
          <w:sz w:val="20"/>
          <w:szCs w:val="20"/>
          <w:lang w:val="es-ES_tradnl"/>
        </w:rPr>
        <w:t xml:space="preserve">. </w:t>
      </w:r>
    </w:p>
    <w:p w14:paraId="76D672C3" w14:textId="77777777" w:rsidR="00C212DA" w:rsidRPr="00C22EDD" w:rsidRDefault="00C212DA" w:rsidP="00C212DA">
      <w:pPr>
        <w:jc w:val="both"/>
        <w:rPr>
          <w:rFonts w:ascii="Arial" w:hAnsi="Arial" w:cs="Arial"/>
          <w:sz w:val="20"/>
          <w:szCs w:val="20"/>
          <w:lang w:val="es-ES_tradnl" w:eastAsia="es-ES"/>
        </w:rPr>
      </w:pPr>
    </w:p>
    <w:p w14:paraId="1BFDA179" w14:textId="77777777" w:rsidR="00C212DA" w:rsidRPr="00C22EDD" w:rsidRDefault="00C212DA" w:rsidP="00C212DA">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Entidades exceptuadas – Información oficial – Auto del 25 de febrero de 2021 – Efectos</w:t>
      </w:r>
    </w:p>
    <w:p w14:paraId="6C285188" w14:textId="77777777" w:rsidR="00C212DA" w:rsidRPr="00C22EDD" w:rsidRDefault="00C212DA" w:rsidP="00C212DA">
      <w:pPr>
        <w:jc w:val="both"/>
        <w:rPr>
          <w:rFonts w:ascii="Arial" w:hAnsi="Arial" w:cs="Arial"/>
          <w:sz w:val="20"/>
          <w:szCs w:val="20"/>
          <w:lang w:val="es-ES_tradnl" w:eastAsia="es-ES"/>
        </w:rPr>
      </w:pPr>
    </w:p>
    <w:p w14:paraId="61CCBF8C" w14:textId="77777777" w:rsidR="00C212DA" w:rsidRDefault="00C212DA" w:rsidP="00C212DA">
      <w:pPr>
        <w:jc w:val="both"/>
        <w:rPr>
          <w:rFonts w:ascii="Arial" w:hAnsi="Arial" w:cs="Arial"/>
          <w:color w:val="000000" w:themeColor="text1"/>
          <w:sz w:val="20"/>
          <w:szCs w:val="20"/>
          <w:lang w:val="es-ES_tradnl"/>
        </w:rPr>
      </w:pPr>
      <w:r w:rsidRPr="00C22EDD">
        <w:rPr>
          <w:rFonts w:ascii="Arial" w:hAnsi="Arial" w:cs="Arial"/>
          <w:color w:val="000000" w:themeColor="text1"/>
          <w:sz w:val="20"/>
          <w:szCs w:val="20"/>
          <w:lang w:val="es-ES_tradnl"/>
        </w:rPr>
        <w:t xml:space="preserve">[…] </w:t>
      </w:r>
      <w:r w:rsidRPr="00A71531">
        <w:rPr>
          <w:rFonts w:ascii="Arial" w:hAnsi="Arial" w:cs="Arial"/>
          <w:color w:val="000000" w:themeColor="text1"/>
          <w:sz w:val="20"/>
          <w:szCs w:val="20"/>
          <w:lang w:val="es-ES_tradnl"/>
        </w:rPr>
        <w:t>en el auto bajo análisis la Sección Tercera admite que a las entidades exceptuadas de la aplicación del Estatuto General de Contratación de la Administración Pública sí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no la Agencia mediante una circular.</w:t>
      </w:r>
    </w:p>
    <w:p w14:paraId="06DD427E" w14:textId="77777777" w:rsidR="00C212DA" w:rsidRPr="00A71531" w:rsidRDefault="00C212DA" w:rsidP="00C212DA">
      <w:pPr>
        <w:jc w:val="both"/>
        <w:rPr>
          <w:rFonts w:ascii="Arial" w:hAnsi="Arial" w:cs="Arial"/>
          <w:color w:val="000000" w:themeColor="text1"/>
          <w:sz w:val="20"/>
          <w:szCs w:val="20"/>
          <w:lang w:val="es-ES_tradnl"/>
        </w:rPr>
      </w:pPr>
    </w:p>
    <w:p w14:paraId="714C8D13" w14:textId="77777777" w:rsidR="00C212DA" w:rsidRPr="00C22EDD" w:rsidRDefault="00C212DA" w:rsidP="00C212DA">
      <w:pPr>
        <w:jc w:val="both"/>
        <w:rPr>
          <w:rFonts w:ascii="Arial" w:hAnsi="Arial" w:cs="Arial"/>
          <w:sz w:val="20"/>
          <w:szCs w:val="20"/>
          <w:lang w:val="es-ES_tradnl" w:eastAsia="es-ES"/>
        </w:rPr>
      </w:pPr>
      <w:r w:rsidRPr="00A71531">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“contratación realizada con dineros públicos”. Para su aplicación resulta irrelevante el régimen contractual del contrato. La publicación de la información oficial de la contratación debe realizarse si los negocios jurídicos adelantados fueron financiados con recursos públicos»</w:t>
      </w:r>
      <w:r>
        <w:rPr>
          <w:rFonts w:ascii="Arial" w:hAnsi="Arial" w:cs="Arial"/>
          <w:color w:val="000000" w:themeColor="text1"/>
          <w:sz w:val="20"/>
          <w:szCs w:val="20"/>
          <w:lang w:val="es-ES_tradnl"/>
        </w:rPr>
        <w:t>.</w:t>
      </w:r>
    </w:p>
    <w:p w14:paraId="20CCFFAD" w14:textId="77777777" w:rsidR="00C212DA" w:rsidRPr="00C22EDD" w:rsidRDefault="00C212DA" w:rsidP="00C212DA">
      <w:pPr>
        <w:jc w:val="both"/>
        <w:rPr>
          <w:rFonts w:ascii="Arial" w:hAnsi="Arial" w:cs="Arial"/>
          <w:b/>
          <w:sz w:val="22"/>
          <w:szCs w:val="22"/>
          <w:lang w:val="es-ES_tradnl" w:eastAsia="es-ES"/>
        </w:rPr>
      </w:pPr>
      <w:r w:rsidRPr="00C22EDD">
        <w:rPr>
          <w:rFonts w:ascii="Arial" w:hAnsi="Arial" w:cs="Arial"/>
          <w:b/>
          <w:sz w:val="22"/>
          <w:szCs w:val="22"/>
          <w:lang w:val="es-ES_tradnl" w:eastAsia="es-ES"/>
        </w:rPr>
        <w:lastRenderedPageBreak/>
        <w:t>SECOP – Entidades exceptuadas – Publicidad – Documentos – Información oficial – Concepto CU-003</w:t>
      </w:r>
    </w:p>
    <w:p w14:paraId="7379475E" w14:textId="77777777" w:rsidR="00C212DA" w:rsidRPr="00C22EDD" w:rsidRDefault="00C212DA" w:rsidP="00C212DA">
      <w:pPr>
        <w:jc w:val="both"/>
        <w:rPr>
          <w:rFonts w:ascii="Arial" w:hAnsi="Arial" w:cs="Arial"/>
          <w:b/>
          <w:sz w:val="22"/>
          <w:szCs w:val="22"/>
          <w:lang w:val="es-ES_tradnl" w:eastAsia="es-ES"/>
        </w:rPr>
      </w:pPr>
    </w:p>
    <w:p w14:paraId="0EB3D1D8" w14:textId="77777777" w:rsidR="00C212DA" w:rsidRPr="00C22EDD" w:rsidRDefault="00C212DA" w:rsidP="00C212DA">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0"/>
          <w:szCs w:val="20"/>
          <w:lang w:val="es-ES_tradnl"/>
        </w:rPr>
        <w:t>sujeto obligado</w:t>
      </w:r>
      <w:r w:rsidRPr="00C22EDD">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3860624" w14:textId="77777777" w:rsidR="00C212DA" w:rsidRPr="00C22EDD" w:rsidRDefault="00C212DA" w:rsidP="00C212DA">
      <w:pPr>
        <w:jc w:val="both"/>
        <w:rPr>
          <w:rFonts w:ascii="Arial" w:eastAsia="Calibri" w:hAnsi="Arial" w:cs="Arial"/>
          <w:color w:val="000000" w:themeColor="text1"/>
          <w:sz w:val="20"/>
          <w:szCs w:val="20"/>
          <w:lang w:val="es-ES_tradnl"/>
        </w:rPr>
      </w:pPr>
    </w:p>
    <w:p w14:paraId="67A64F2B" w14:textId="77777777" w:rsidR="00C212DA" w:rsidRPr="00C22EDD" w:rsidRDefault="00C212DA" w:rsidP="00C212DA">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C22EDD">
        <w:rPr>
          <w:rFonts w:ascii="Arial" w:hAnsi="Arial" w:cs="Arial"/>
          <w:sz w:val="20"/>
          <w:szCs w:val="20"/>
          <w:lang w:val="es-ES_tradnl"/>
        </w:rPr>
        <w:t xml:space="preserve">artículo </w:t>
      </w:r>
      <w:r w:rsidRPr="00C22EDD">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72381862" w14:textId="77777777" w:rsidR="00C212DA" w:rsidRPr="00C22EDD" w:rsidRDefault="00C212DA" w:rsidP="00C212DA">
      <w:pPr>
        <w:jc w:val="both"/>
        <w:rPr>
          <w:rFonts w:ascii="Arial" w:hAnsi="Arial" w:cs="Arial"/>
          <w:sz w:val="20"/>
          <w:szCs w:val="20"/>
          <w:lang w:val="es-ES_tradnl" w:eastAsia="es-ES"/>
        </w:rPr>
      </w:pPr>
    </w:p>
    <w:p w14:paraId="6D0C59CA" w14:textId="77777777" w:rsidR="00C212DA" w:rsidRPr="00C22EDD" w:rsidRDefault="00C212DA" w:rsidP="00C212DA">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Auto del 25 de febrero de 2021 – Publicidad – Mandato vigente</w:t>
      </w:r>
    </w:p>
    <w:p w14:paraId="0DDD93B2" w14:textId="77777777" w:rsidR="00C212DA" w:rsidRPr="00C22EDD" w:rsidRDefault="00C212DA" w:rsidP="00C212DA">
      <w:pPr>
        <w:jc w:val="both"/>
        <w:rPr>
          <w:rFonts w:ascii="Arial" w:hAnsi="Arial" w:cs="Arial"/>
          <w:sz w:val="20"/>
          <w:szCs w:val="20"/>
          <w:lang w:val="es-ES_tradnl" w:eastAsia="es-ES"/>
        </w:rPr>
      </w:pPr>
    </w:p>
    <w:p w14:paraId="0877CA24" w14:textId="77777777" w:rsidR="00C212DA" w:rsidRDefault="00C212DA" w:rsidP="00C212DA">
      <w:pPr>
        <w:jc w:val="both"/>
        <w:rPr>
          <w:rFonts w:ascii="Arial" w:hAnsi="Arial" w:cs="Arial"/>
          <w:color w:val="000000" w:themeColor="text1"/>
          <w:sz w:val="20"/>
          <w:szCs w:val="20"/>
          <w:lang w:val="es-ES_tradnl"/>
        </w:rPr>
      </w:pPr>
      <w:r w:rsidRPr="00DE4D2A">
        <w:rPr>
          <w:rFonts w:ascii="Arial" w:hAnsi="Arial" w:cs="Arial"/>
          <w:color w:val="000000" w:themeColor="text1"/>
          <w:sz w:val="20"/>
          <w:szCs w:val="20"/>
          <w:lang w:val="es-ES_tradnl" w:eastAsia="es-CO"/>
        </w:rPr>
        <w:t>[…]</w:t>
      </w:r>
      <w:r>
        <w:rPr>
          <w:rFonts w:ascii="Arial" w:hAnsi="Arial" w:cs="Arial"/>
          <w:color w:val="000000" w:themeColor="text1"/>
          <w:sz w:val="20"/>
          <w:szCs w:val="20"/>
          <w:lang w:val="es-ES_tradnl" w:eastAsia="es-CO"/>
        </w:rPr>
        <w:t xml:space="preserve"> </w:t>
      </w:r>
      <w:r w:rsidRPr="004353C9">
        <w:rPr>
          <w:rFonts w:ascii="Arial" w:hAnsi="Arial" w:cs="Arial"/>
          <w:color w:val="000000" w:themeColor="text1"/>
          <w:sz w:val="20"/>
          <w:szCs w:val="20"/>
          <w:lang w:val="es-ES_tradnl" w:eastAsia="es-CO"/>
        </w:rPr>
        <w:t xml:space="preserve">No </w:t>
      </w:r>
      <w:r w:rsidRPr="00D66932">
        <w:rPr>
          <w:rFonts w:ascii="Arial" w:hAnsi="Arial" w:cs="Arial"/>
          <w:color w:val="000000" w:themeColor="text1"/>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D66932">
        <w:rPr>
          <w:rFonts w:ascii="Arial" w:hAnsi="Arial" w:cs="Arial"/>
          <w:i/>
          <w:iCs/>
          <w:color w:val="000000" w:themeColor="text1"/>
          <w:sz w:val="20"/>
          <w:szCs w:val="20"/>
          <w:lang w:val="es-ES_tradnl"/>
        </w:rPr>
        <w:t>sujetos obligados</w:t>
      </w:r>
      <w:r w:rsidRPr="00D66932">
        <w:rPr>
          <w:rFonts w:ascii="Arial" w:hAnsi="Arial" w:cs="Arial"/>
          <w:color w:val="000000" w:themeColor="text1"/>
          <w:sz w:val="20"/>
          <w:szCs w:val="20"/>
          <w:lang w:val="es-ES_tradnl"/>
        </w:rPr>
        <w:t xml:space="preserve"> a garantizar el derecho de acceso a la información y a los documentos públicos, deben publicar en el SECOP los documentos a los que se refiere el literal e), del artículo 9 y el </w:t>
      </w:r>
      <w:r w:rsidRPr="00D66932">
        <w:rPr>
          <w:rFonts w:ascii="Arial" w:eastAsia="Calibri" w:hAnsi="Arial" w:cs="Arial"/>
          <w:color w:val="000000" w:themeColor="text1"/>
          <w:sz w:val="20"/>
          <w:szCs w:val="20"/>
          <w:lang w:val="es-ES_tradnl"/>
        </w:rPr>
        <w:t>literal g), del artículo 11, de la Ley 1712 de 2014, como los artículos 7 al 10 del Decreto 103 de 2015 –compilado en los artículos 2.1.1.1.1. al 2.1.1.6.1. del Decreto 1081 de 2015–</w:t>
      </w:r>
      <w:r w:rsidRPr="00D66932">
        <w:rPr>
          <w:rFonts w:ascii="Arial" w:hAnsi="Arial" w:cs="Arial"/>
          <w:color w:val="000000" w:themeColor="text1"/>
          <w:sz w:val="20"/>
          <w:szCs w:val="20"/>
          <w:lang w:val="es-ES_tradnl"/>
        </w:rPr>
        <w:t xml:space="preserve">. Cuarto, porque, el auto del 25 de febrero de 2021 no suspende todo el contenido de las </w:t>
      </w:r>
      <w:r w:rsidRPr="00D66932">
        <w:rPr>
          <w:rFonts w:ascii="Arial" w:hAnsi="Arial" w:cs="Arial"/>
          <w:sz w:val="20"/>
          <w:szCs w:val="20"/>
          <w:lang w:val="es-ES_tradnl"/>
        </w:rPr>
        <w:t xml:space="preserve">circulares </w:t>
      </w:r>
      <w:r w:rsidRPr="00D66932">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D66932">
        <w:rPr>
          <w:rFonts w:ascii="Arial" w:hAnsi="Arial" w:cs="Arial"/>
          <w:bCs/>
          <w:color w:val="000000" w:themeColor="text1"/>
          <w:sz w:val="20"/>
          <w:szCs w:val="20"/>
          <w:lang w:val="es-ES_tradnl"/>
        </w:rPr>
        <w:t>No. 23 del 16 de marzo de 2017 y No. 007 de 2020, así como de la Circular Externa Única –actualizada el 16 de abril de 2019–, las cuales se encuentran vigentes.</w:t>
      </w:r>
      <w:r w:rsidRPr="00D66932">
        <w:rPr>
          <w:rFonts w:ascii="Arial" w:hAnsi="Arial" w:cs="Arial"/>
          <w:color w:val="000000" w:themeColor="text1"/>
          <w:sz w:val="20"/>
          <w:szCs w:val="20"/>
          <w:lang w:val="es-ES_tradnl"/>
        </w:rPr>
        <w:t xml:space="preserve"> </w:t>
      </w:r>
    </w:p>
    <w:p w14:paraId="76927C93" w14:textId="77777777" w:rsidR="00C212DA" w:rsidRDefault="00C212DA" w:rsidP="00C212DA">
      <w:pPr>
        <w:jc w:val="both"/>
        <w:rPr>
          <w:rFonts w:ascii="Arial" w:hAnsi="Arial" w:cs="Arial"/>
          <w:color w:val="000000" w:themeColor="text1"/>
          <w:sz w:val="20"/>
          <w:szCs w:val="20"/>
          <w:lang w:val="es-ES_tradnl"/>
        </w:rPr>
      </w:pPr>
    </w:p>
    <w:p w14:paraId="6CC207C3" w14:textId="77777777" w:rsidR="00C212DA" w:rsidRPr="00B6306F" w:rsidRDefault="00C212DA" w:rsidP="00C212DA">
      <w:pPr>
        <w:jc w:val="both"/>
        <w:rPr>
          <w:rFonts w:ascii="Arial" w:eastAsia="Calibri" w:hAnsi="Arial" w:cs="Arial"/>
          <w:b/>
          <w:bCs/>
          <w:color w:val="000000" w:themeColor="text1"/>
          <w:sz w:val="22"/>
        </w:rPr>
      </w:pPr>
      <w:r w:rsidRPr="0091437B">
        <w:rPr>
          <w:rFonts w:ascii="Arial" w:eastAsia="Calibri" w:hAnsi="Arial" w:cs="Arial"/>
          <w:b/>
          <w:bCs/>
          <w:color w:val="1A1A1A" w:themeColor="background1" w:themeShade="1A"/>
          <w:sz w:val="22"/>
        </w:rPr>
        <w:t>EMPRESAS DE SERVICIOS PÚBLICOS – Naturaleza jurídica especial</w:t>
      </w:r>
      <w:r>
        <w:rPr>
          <w:rFonts w:ascii="Arial" w:eastAsia="Calibri" w:hAnsi="Arial" w:cs="Arial"/>
          <w:b/>
          <w:bCs/>
          <w:color w:val="1A1A1A" w:themeColor="background1" w:themeShade="1A"/>
          <w:sz w:val="22"/>
        </w:rPr>
        <w:t xml:space="preserve"> </w:t>
      </w:r>
      <w:r w:rsidRPr="0091437B">
        <w:rPr>
          <w:rFonts w:ascii="Arial" w:eastAsia="Calibri" w:hAnsi="Arial" w:cs="Arial"/>
          <w:b/>
          <w:bCs/>
          <w:color w:val="1A1A1A" w:themeColor="background1" w:themeShade="1A"/>
          <w:sz w:val="22"/>
        </w:rPr>
        <w:t>–</w:t>
      </w:r>
      <w:r>
        <w:rPr>
          <w:rFonts w:ascii="Arial" w:eastAsia="Calibri" w:hAnsi="Arial" w:cs="Arial"/>
          <w:b/>
          <w:bCs/>
          <w:color w:val="1A1A1A" w:themeColor="background1" w:themeShade="1A"/>
          <w:sz w:val="22"/>
        </w:rPr>
        <w:t xml:space="preserve"> Régimen contractual </w:t>
      </w:r>
    </w:p>
    <w:p w14:paraId="6AB0C77D" w14:textId="77777777" w:rsidR="00C212DA" w:rsidRPr="0091437B" w:rsidRDefault="00C212DA" w:rsidP="00C212DA">
      <w:pPr>
        <w:jc w:val="both"/>
        <w:rPr>
          <w:rFonts w:ascii="Arial" w:eastAsia="Calibri" w:hAnsi="Arial" w:cs="Arial"/>
          <w:b/>
          <w:bCs/>
          <w:color w:val="1A1A1A" w:themeColor="background1" w:themeShade="1A"/>
          <w:sz w:val="22"/>
        </w:rPr>
      </w:pPr>
    </w:p>
    <w:p w14:paraId="1AE1E5CC" w14:textId="77777777" w:rsidR="00C212DA" w:rsidRPr="0091437B" w:rsidRDefault="00C212DA" w:rsidP="00C212DA">
      <w:pPr>
        <w:jc w:val="both"/>
        <w:rPr>
          <w:rFonts w:ascii="Arial" w:eastAsia="Calibri" w:hAnsi="Arial" w:cs="Arial"/>
          <w:b/>
          <w:color w:val="1A1A1A" w:themeColor="background1" w:themeShade="1A"/>
          <w:sz w:val="20"/>
          <w:szCs w:val="20"/>
        </w:rPr>
      </w:pPr>
    </w:p>
    <w:p w14:paraId="67397F5A" w14:textId="77777777" w:rsidR="00C212DA" w:rsidRDefault="00C212DA" w:rsidP="00C212DA">
      <w:pPr>
        <w:jc w:val="both"/>
        <w:rPr>
          <w:rFonts w:ascii="Arial" w:hAnsi="Arial" w:cs="Arial"/>
          <w:color w:val="1A1A1A" w:themeColor="background1" w:themeShade="1A"/>
          <w:sz w:val="20"/>
          <w:szCs w:val="20"/>
        </w:rPr>
      </w:pPr>
      <w:r w:rsidRPr="00401C7E">
        <w:rPr>
          <w:rFonts w:ascii="Arial" w:hAnsi="Arial" w:cs="Arial"/>
          <w:color w:val="1A1A1A" w:themeColor="background1" w:themeShade="1A"/>
          <w:sz w:val="20"/>
          <w:szCs w:val="20"/>
        </w:rPr>
        <w:lastRenderedPageBreak/>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23D77B09" w14:textId="77777777" w:rsidR="00C212DA" w:rsidRPr="00401C7E" w:rsidRDefault="00C212DA" w:rsidP="00C212DA">
      <w:pPr>
        <w:jc w:val="both"/>
        <w:rPr>
          <w:rFonts w:ascii="Arial" w:hAnsi="Arial" w:cs="Arial"/>
          <w:color w:val="1A1A1A" w:themeColor="background1" w:themeShade="1A"/>
          <w:sz w:val="20"/>
          <w:szCs w:val="20"/>
        </w:rPr>
      </w:pPr>
    </w:p>
    <w:p w14:paraId="1C97CBDB" w14:textId="77777777" w:rsidR="00C212DA" w:rsidRDefault="00C212DA" w:rsidP="00C212DA">
      <w:pPr>
        <w:jc w:val="both"/>
        <w:rPr>
          <w:rFonts w:ascii="Arial" w:hAnsi="Arial" w:cs="Arial"/>
          <w:color w:val="1A1A1A" w:themeColor="background1" w:themeShade="1A"/>
          <w:sz w:val="20"/>
          <w:szCs w:val="20"/>
        </w:rPr>
      </w:pPr>
      <w:r w:rsidRPr="00401C7E">
        <w:rPr>
          <w:rFonts w:ascii="Arial" w:hAnsi="Arial" w:cs="Arial"/>
          <w:color w:val="1A1A1A" w:themeColor="background1" w:themeShade="1A"/>
          <w:sz w:val="20"/>
          <w:szCs w:val="20"/>
        </w:rPr>
        <w:t>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 Sin embargo, como se analizó ut supra, eso no las exime del deber de publicar su actividad contractual, cuando ejecuten recursos públicos.</w:t>
      </w:r>
    </w:p>
    <w:p w14:paraId="06746442" w14:textId="77777777" w:rsidR="00C212DA" w:rsidRDefault="00C212DA" w:rsidP="00C212DA">
      <w:pPr>
        <w:jc w:val="both"/>
        <w:rPr>
          <w:rFonts w:ascii="Arial" w:hAnsi="Arial" w:cs="Arial"/>
          <w:color w:val="000000" w:themeColor="text1"/>
          <w:sz w:val="20"/>
          <w:szCs w:val="20"/>
          <w:lang w:val="es-ES_tradnl"/>
        </w:rPr>
      </w:pPr>
    </w:p>
    <w:p w14:paraId="3A36E755" w14:textId="77777777" w:rsidR="00C212DA" w:rsidRPr="00B6306F" w:rsidRDefault="00C212DA" w:rsidP="00C212DA">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II – </w:t>
      </w:r>
      <w:r>
        <w:rPr>
          <w:rFonts w:ascii="Arial" w:eastAsia="Calibri" w:hAnsi="Arial" w:cs="Arial"/>
          <w:b/>
          <w:bCs/>
          <w:color w:val="000000" w:themeColor="text1"/>
          <w:sz w:val="22"/>
        </w:rPr>
        <w:t xml:space="preserve">Deber de publicidad </w:t>
      </w:r>
      <w:r w:rsidRPr="2B0DD062">
        <w:rPr>
          <w:rFonts w:ascii="Arial" w:eastAsia="Calibri" w:hAnsi="Arial" w:cs="Arial"/>
          <w:b/>
          <w:bCs/>
          <w:color w:val="000000" w:themeColor="text1"/>
          <w:sz w:val="22"/>
        </w:rPr>
        <w:t>– Alcance</w:t>
      </w:r>
    </w:p>
    <w:p w14:paraId="675579EC" w14:textId="77777777" w:rsidR="00C212DA" w:rsidRPr="00A5491D" w:rsidRDefault="00C212DA" w:rsidP="00C212DA">
      <w:pPr>
        <w:jc w:val="both"/>
        <w:rPr>
          <w:rFonts w:ascii="Arial" w:hAnsi="Arial" w:cs="Arial"/>
          <w:color w:val="000000" w:themeColor="text1"/>
          <w:sz w:val="22"/>
        </w:rPr>
      </w:pPr>
    </w:p>
    <w:p w14:paraId="55334EF7" w14:textId="77777777" w:rsidR="00C212DA" w:rsidRDefault="00C212DA" w:rsidP="00C212DA">
      <w:pPr>
        <w:jc w:val="both"/>
        <w:rPr>
          <w:rFonts w:ascii="Arial" w:eastAsia="Calibri" w:hAnsi="Arial" w:cs="Arial"/>
          <w:color w:val="000000" w:themeColor="text1"/>
          <w:sz w:val="20"/>
          <w:szCs w:val="20"/>
        </w:rPr>
      </w:pPr>
      <w:r w:rsidRPr="147ED689">
        <w:rPr>
          <w:rFonts w:ascii="Arial" w:eastAsia="Calibri" w:hAnsi="Arial" w:cs="Arial"/>
          <w:color w:val="000000" w:themeColor="text1"/>
          <w:sz w:val="20"/>
          <w:szCs w:val="20"/>
        </w:rPr>
        <w:t xml:space="preserve">[…] </w:t>
      </w:r>
      <w:r w:rsidRPr="00401C7E">
        <w:rPr>
          <w:rFonts w:ascii="Arial" w:eastAsia="Calibri" w:hAnsi="Arial" w:cs="Arial"/>
          <w:color w:val="000000" w:themeColor="text1"/>
          <w:sz w:val="20"/>
          <w:szCs w:val="20"/>
        </w:rPr>
        <w:t>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está vinculado a las entidades referidas por la Agencia en las Circulares Externas mencionadas.</w:t>
      </w:r>
    </w:p>
    <w:p w14:paraId="2C6939B7" w14:textId="77777777" w:rsidR="00C212DA" w:rsidRDefault="00C212DA" w:rsidP="00C212DA">
      <w:pPr>
        <w:jc w:val="both"/>
        <w:rPr>
          <w:rFonts w:ascii="Arial" w:eastAsia="Calibri" w:hAnsi="Arial" w:cs="Arial"/>
          <w:color w:val="000000" w:themeColor="text1"/>
          <w:sz w:val="20"/>
          <w:szCs w:val="20"/>
        </w:rPr>
      </w:pPr>
    </w:p>
    <w:p w14:paraId="5BD7EF1B" w14:textId="77777777" w:rsidR="00C212DA" w:rsidRDefault="00C212DA" w:rsidP="00C212DA">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Pr>
          <w:rFonts w:ascii="Arial" w:eastAsia="Calibri" w:hAnsi="Arial" w:cs="Arial"/>
          <w:b/>
          <w:bCs/>
          <w:color w:val="000000" w:themeColor="text1"/>
          <w:sz w:val="22"/>
        </w:rPr>
        <w:t xml:space="preserve">– EMPRESAS </w:t>
      </w:r>
      <w:r w:rsidRPr="004E6A98">
        <w:rPr>
          <w:rFonts w:ascii="Arial" w:eastAsia="Calibri" w:hAnsi="Arial" w:cs="Arial"/>
          <w:b/>
          <w:bCs/>
          <w:color w:val="000000" w:themeColor="text1"/>
          <w:sz w:val="22"/>
        </w:rPr>
        <w:t>PRESTADOR</w:t>
      </w:r>
      <w:r>
        <w:rPr>
          <w:rFonts w:ascii="Arial" w:eastAsia="Calibri" w:hAnsi="Arial" w:cs="Arial"/>
          <w:b/>
          <w:bCs/>
          <w:color w:val="000000" w:themeColor="text1"/>
          <w:sz w:val="22"/>
        </w:rPr>
        <w:t>A</w:t>
      </w:r>
      <w:r w:rsidRPr="004E6A98">
        <w:rPr>
          <w:rFonts w:ascii="Arial" w:eastAsia="Calibri" w:hAnsi="Arial" w:cs="Arial"/>
          <w:b/>
          <w:bCs/>
          <w:color w:val="000000" w:themeColor="text1"/>
          <w:sz w:val="22"/>
        </w:rPr>
        <w:t xml:space="preserve">S DE SERVICIOS PÚBLICOS DOMICILIARIOS </w:t>
      </w:r>
      <w:r w:rsidRPr="2B0DD062">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Deber de publicidad </w:t>
      </w:r>
    </w:p>
    <w:p w14:paraId="05FCBF8B" w14:textId="77777777" w:rsidR="00C212DA" w:rsidRDefault="00C212DA" w:rsidP="00C212DA">
      <w:pPr>
        <w:pStyle w:val="paragraph"/>
        <w:spacing w:before="0" w:beforeAutospacing="0" w:after="0" w:afterAutospacing="0"/>
        <w:ind w:right="45"/>
        <w:jc w:val="both"/>
        <w:textAlignment w:val="baseline"/>
        <w:rPr>
          <w:rFonts w:ascii="Arial" w:eastAsia="Calibri" w:hAnsi="Arial" w:cs="Arial"/>
          <w:color w:val="000000" w:themeColor="text1"/>
          <w:sz w:val="20"/>
          <w:szCs w:val="20"/>
          <w:lang w:eastAsia="es-ES_tradnl"/>
        </w:rPr>
      </w:pPr>
    </w:p>
    <w:p w14:paraId="4C4CFE14" w14:textId="77777777" w:rsidR="00C212DA" w:rsidRPr="00401C7E" w:rsidRDefault="00C212DA" w:rsidP="00C212DA">
      <w:pPr>
        <w:spacing w:after="120"/>
        <w:jc w:val="both"/>
        <w:rPr>
          <w:rFonts w:ascii="Arial" w:eastAsia="Calibri" w:hAnsi="Arial" w:cs="Arial"/>
          <w:color w:val="000000" w:themeColor="text1"/>
          <w:sz w:val="20"/>
          <w:szCs w:val="20"/>
        </w:rPr>
      </w:pPr>
      <w:r w:rsidRPr="00401C7E">
        <w:rPr>
          <w:rFonts w:ascii="Arial" w:eastAsia="Calibri" w:hAnsi="Arial" w:cs="Arial"/>
          <w:color w:val="000000" w:themeColor="text1"/>
          <w:sz w:val="20"/>
          <w:szCs w:val="20"/>
        </w:rPr>
        <w:t>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gestionándose a través de SECOP I, con excepción de los procesos de contratación derivados de la aplicación del Decreto 092 de 2017.</w:t>
      </w:r>
    </w:p>
    <w:p w14:paraId="40BC2327" w14:textId="77777777" w:rsidR="00C212DA" w:rsidRDefault="00C212DA" w:rsidP="00C212DA">
      <w:pPr>
        <w:spacing w:after="120"/>
        <w:jc w:val="both"/>
        <w:rPr>
          <w:rFonts w:ascii="Arial" w:eastAsia="Calibri" w:hAnsi="Arial" w:cs="Arial"/>
          <w:color w:val="000000" w:themeColor="text1"/>
          <w:sz w:val="20"/>
          <w:szCs w:val="20"/>
        </w:rPr>
      </w:pPr>
      <w:r w:rsidRPr="00401C7E">
        <w:rPr>
          <w:rFonts w:ascii="Arial" w:eastAsia="Calibri" w:hAnsi="Arial" w:cs="Arial"/>
          <w:color w:val="000000" w:themeColor="text1"/>
          <w:sz w:val="20"/>
          <w:szCs w:val="20"/>
        </w:rPr>
        <w:t>En todo caso, informamos que la Agencia Nacional de Contratación Pública – Colombia Compra Eficiente no ha establecido una fecha exacta a partir de la cual será obligatorio el uso del SECOP II para las entidades que no se encuentran incluidas en los Anexos de las Circulares No.1 de 2019 y 2021. Cuando se determine, la entidad informará con la suficiente anticipación a través los canales de comunicación oficiales, con el fin de coordinar los servicios de capacitación y acompañamiento correspondientes.</w:t>
      </w:r>
    </w:p>
    <w:p w14:paraId="349F8325" w14:textId="77777777" w:rsidR="00075B7E" w:rsidRPr="00D66932" w:rsidRDefault="00075B7E" w:rsidP="00075B7E">
      <w:pPr>
        <w:jc w:val="both"/>
        <w:rPr>
          <w:rFonts w:ascii="Arial" w:hAnsi="Arial" w:cs="Arial"/>
          <w:color w:val="000000" w:themeColor="text1"/>
          <w:sz w:val="20"/>
          <w:szCs w:val="20"/>
          <w:lang w:val="es-ES_tradnl" w:eastAsia="es-CO"/>
        </w:rPr>
      </w:pPr>
    </w:p>
    <w:p w14:paraId="6676F948" w14:textId="0FACE594" w:rsidR="00075B7E" w:rsidRPr="00DD2D97" w:rsidRDefault="00E25CDD" w:rsidP="00E25CDD">
      <w:pPr>
        <w:spacing w:after="160" w:line="259" w:lineRule="auto"/>
        <w:jc w:val="right"/>
        <w:rPr>
          <w:rFonts w:ascii="Arial" w:eastAsia="Calibri" w:hAnsi="Arial" w:cs="Arial"/>
          <w:bCs/>
          <w:color w:val="000000" w:themeColor="text1"/>
          <w:sz w:val="20"/>
          <w:szCs w:val="20"/>
          <w:lang w:val="es-ES_tradnl"/>
        </w:rPr>
      </w:pPr>
      <w:r>
        <w:rPr>
          <w:noProof/>
        </w:rPr>
        <w:drawing>
          <wp:inline distT="0" distB="0" distL="0" distR="0" wp14:anchorId="76F021E6" wp14:editId="75516B2A">
            <wp:extent cx="20193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19300" cy="590550"/>
                    </a:xfrm>
                    <a:prstGeom prst="rect">
                      <a:avLst/>
                    </a:prstGeom>
                  </pic:spPr>
                </pic:pic>
              </a:graphicData>
            </a:graphic>
          </wp:inline>
        </w:drawing>
      </w:r>
      <w:bookmarkStart w:id="3" w:name="_GoBack"/>
      <w:bookmarkEnd w:id="3"/>
    </w:p>
    <w:p w14:paraId="7D462CFF" w14:textId="77777777" w:rsidR="00075B7E" w:rsidRPr="006F4713" w:rsidRDefault="00075B7E" w:rsidP="00075B7E">
      <w:pPr>
        <w:jc w:val="right"/>
      </w:pPr>
      <w:r w:rsidRPr="006F4713">
        <w:lastRenderedPageBreak/>
        <w:fldChar w:fldCharType="begin"/>
      </w:r>
      <w:r>
        <w:instrText xml:space="preserve"> INCLUDEPICTURE "C:\\var\\folders\\5l\\v1rdjm0x1x9416lmbj7_vjt40000gn\\T\\com.microsoft.Word\\WebArchiveCopyPasteTempFiles\\page1image3851712" \* MERGEFORMAT </w:instrText>
      </w:r>
      <w:r w:rsidRPr="006F4713">
        <w:fldChar w:fldCharType="end"/>
      </w:r>
    </w:p>
    <w:p w14:paraId="08393DC8" w14:textId="77777777" w:rsidR="00075B7E" w:rsidRPr="00DD2D97" w:rsidRDefault="00075B7E" w:rsidP="00075B7E">
      <w:pPr>
        <w:jc w:val="both"/>
        <w:rPr>
          <w:rFonts w:ascii="Arial" w:hAnsi="Arial" w:cs="Arial"/>
          <w:b/>
          <w:color w:val="000000" w:themeColor="text1"/>
          <w:sz w:val="22"/>
          <w:lang w:val="es-ES_tradnl"/>
        </w:rPr>
      </w:pPr>
    </w:p>
    <w:p w14:paraId="1703E0F9" w14:textId="330E7D96" w:rsidR="00075B7E" w:rsidRPr="00DD2D97" w:rsidRDefault="00075B7E" w:rsidP="00075B7E">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Señor</w:t>
      </w:r>
      <w:r w:rsidR="00FF3C5B">
        <w:rPr>
          <w:rFonts w:ascii="Arial" w:eastAsia="Calibri" w:hAnsi="Arial" w:cs="Arial"/>
          <w:color w:val="000000" w:themeColor="text1"/>
          <w:sz w:val="22"/>
          <w:lang w:val="es-ES_tradnl"/>
        </w:rPr>
        <w:t>a</w:t>
      </w:r>
    </w:p>
    <w:p w14:paraId="0ADA7698" w14:textId="01049DD4" w:rsidR="00075B7E" w:rsidRPr="00DD2D97" w:rsidRDefault="00FF3C5B" w:rsidP="00075B7E">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Dina Luz Rivas García</w:t>
      </w:r>
    </w:p>
    <w:p w14:paraId="7A04594A" w14:textId="77777777" w:rsidR="00075B7E" w:rsidRPr="00DD2D97" w:rsidRDefault="00075B7E" w:rsidP="00075B7E">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13E2754E" w14:textId="77777777" w:rsidR="00075B7E" w:rsidRPr="00DD2D97" w:rsidRDefault="00075B7E" w:rsidP="00075B7E">
      <w:pPr>
        <w:jc w:val="both"/>
        <w:rPr>
          <w:rFonts w:ascii="Arial" w:eastAsia="Calibri" w:hAnsi="Arial" w:cs="Arial"/>
          <w:color w:val="000000" w:themeColor="text1"/>
          <w:sz w:val="22"/>
          <w:lang w:val="es-ES_tradnl"/>
        </w:rPr>
      </w:pPr>
    </w:p>
    <w:p w14:paraId="71BAE9E7" w14:textId="77777777" w:rsidR="00075B7E" w:rsidRPr="00DD2D97" w:rsidRDefault="00075B7E" w:rsidP="00075B7E">
      <w:pPr>
        <w:jc w:val="both"/>
        <w:rPr>
          <w:rFonts w:ascii="Arial" w:eastAsia="Calibri" w:hAnsi="Arial" w:cs="Arial"/>
          <w:color w:val="000000" w:themeColor="text1"/>
          <w:sz w:val="22"/>
          <w:lang w:val="es-ES_tradnl"/>
        </w:rPr>
      </w:pPr>
    </w:p>
    <w:p w14:paraId="2AAC4871" w14:textId="77777777" w:rsidR="00075B7E" w:rsidRPr="00DD2D97" w:rsidRDefault="00075B7E" w:rsidP="00075B7E">
      <w:pPr>
        <w:jc w:val="center"/>
        <w:rPr>
          <w:rFonts w:ascii="Arial" w:eastAsia="Calibri" w:hAnsi="Arial" w:cs="Arial"/>
          <w:b/>
          <w:bCs/>
          <w:color w:val="000000" w:themeColor="text1"/>
          <w:sz w:val="22"/>
          <w:lang w:val="es-ES_tradnl"/>
        </w:rPr>
      </w:pPr>
      <w:r w:rsidRPr="0058385E">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241</w:t>
      </w:r>
      <w:r w:rsidRPr="0058385E">
        <w:rPr>
          <w:rFonts w:ascii="Arial" w:eastAsia="Calibri" w:hAnsi="Arial" w:cs="Arial"/>
          <w:b/>
          <w:bCs/>
          <w:color w:val="000000" w:themeColor="text1"/>
          <w:sz w:val="22"/>
          <w:lang w:val="es-ES_tradnl"/>
        </w:rPr>
        <w:t xml:space="preserve"> de 2021</w:t>
      </w:r>
    </w:p>
    <w:p w14:paraId="2E63E4E7" w14:textId="77777777" w:rsidR="00075B7E" w:rsidRPr="00DD2D97" w:rsidRDefault="00075B7E" w:rsidP="00075B7E">
      <w:pPr>
        <w:jc w:val="both"/>
        <w:rPr>
          <w:rFonts w:ascii="Arial" w:eastAsia="Calibri" w:hAnsi="Arial" w:cs="Arial"/>
          <w:color w:val="000000" w:themeColor="text1"/>
          <w:sz w:val="22"/>
          <w:lang w:val="es-ES_tradnl"/>
        </w:rPr>
      </w:pPr>
    </w:p>
    <w:p w14:paraId="49514131" w14:textId="77777777" w:rsidR="00075B7E" w:rsidRPr="00DD2D97" w:rsidRDefault="00075B7E" w:rsidP="00075B7E">
      <w:pPr>
        <w:jc w:val="both"/>
        <w:rPr>
          <w:rFonts w:ascii="Arial" w:eastAsia="Calibri" w:hAnsi="Arial" w:cs="Arial"/>
          <w:color w:val="000000" w:themeColor="text1"/>
          <w:sz w:val="22"/>
          <w:lang w:val="es-ES_tradnl"/>
        </w:rPr>
      </w:pPr>
    </w:p>
    <w:p w14:paraId="4D3ED562" w14:textId="77777777" w:rsidR="00075B7E" w:rsidRPr="00DD2D97" w:rsidRDefault="00075B7E" w:rsidP="00075B7E">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75B7E" w:rsidRPr="00DD2D97" w14:paraId="13D79721" w14:textId="77777777" w:rsidTr="006D48E3">
        <w:tc>
          <w:tcPr>
            <w:tcW w:w="2689" w:type="dxa"/>
          </w:tcPr>
          <w:p w14:paraId="7E8CEF9B" w14:textId="77777777" w:rsidR="00075B7E" w:rsidRPr="00DD2D97" w:rsidRDefault="00075B7E" w:rsidP="006D48E3">
            <w:pPr>
              <w:jc w:val="both"/>
              <w:rPr>
                <w:rFonts w:ascii="Arial" w:eastAsia="Calibri" w:hAnsi="Arial" w:cs="Arial"/>
                <w:color w:val="000000" w:themeColor="text1"/>
                <w:sz w:val="22"/>
                <w:lang w:val="es-ES_tradnl"/>
              </w:rPr>
            </w:pPr>
            <w:r w:rsidRPr="00DD2D97">
              <w:rPr>
                <w:rFonts w:ascii="Arial" w:eastAsia="Calibri" w:hAnsi="Arial" w:cs="Arial"/>
                <w:b/>
                <w:color w:val="000000" w:themeColor="text1"/>
                <w:sz w:val="22"/>
                <w:lang w:val="es-ES_tradnl"/>
              </w:rPr>
              <w:t>Temas:</w:t>
            </w:r>
            <w:r w:rsidRPr="00DD2D97">
              <w:rPr>
                <w:rFonts w:ascii="Arial" w:eastAsia="Calibri" w:hAnsi="Arial" w:cs="Arial"/>
                <w:color w:val="000000" w:themeColor="text1"/>
                <w:sz w:val="22"/>
                <w:lang w:val="es-ES_tradnl"/>
              </w:rPr>
              <w:t xml:space="preserve">                                      </w:t>
            </w:r>
          </w:p>
        </w:tc>
        <w:tc>
          <w:tcPr>
            <w:tcW w:w="6237" w:type="dxa"/>
          </w:tcPr>
          <w:p w14:paraId="7FD119CC" w14:textId="3748B1F3" w:rsidR="00075B7E" w:rsidRPr="004E6A98" w:rsidRDefault="00C212DA" w:rsidP="006D48E3">
            <w:pPr>
              <w:spacing w:after="120"/>
              <w:jc w:val="both"/>
              <w:rPr>
                <w:rFonts w:ascii="Arial" w:eastAsia="Calibri" w:hAnsi="Arial" w:cs="Arial"/>
                <w:color w:val="000000" w:themeColor="text1"/>
                <w:sz w:val="22"/>
              </w:rPr>
            </w:pPr>
            <w:r w:rsidRPr="004E6A98">
              <w:rPr>
                <w:rFonts w:ascii="Arial" w:eastAsia="Calibri" w:hAnsi="Arial" w:cs="Arial"/>
                <w:color w:val="000000" w:themeColor="text1"/>
                <w:sz w:val="22"/>
                <w:lang w:val="es-ES_tradnl"/>
              </w:rPr>
              <w:t xml:space="preserve">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 / </w:t>
            </w:r>
            <w:r w:rsidRPr="004E6A98">
              <w:rPr>
                <w:rFonts w:ascii="Arial" w:eastAsia="Calibri" w:hAnsi="Arial" w:cs="Arial"/>
                <w:color w:val="1A1A1A" w:themeColor="background1" w:themeShade="1A"/>
                <w:sz w:val="22"/>
              </w:rPr>
              <w:t xml:space="preserve">EMPRESAS DE SERVICIOS PÚBLICOS – Naturaleza jurídica especial – Régimen contractual / </w:t>
            </w:r>
            <w:r w:rsidRPr="004E6A98">
              <w:rPr>
                <w:rFonts w:ascii="Arial" w:eastAsia="Calibri" w:hAnsi="Arial" w:cs="Arial"/>
                <w:color w:val="000000" w:themeColor="text1"/>
                <w:sz w:val="22"/>
              </w:rPr>
              <w:t>SECOP II – Deber de publicidad – Alcance / SECOP – EMPRESAS PRESTADORAS DE SERVICIOS PÚBLICOS DOMICILIARIOS – Deber de publicidad</w:t>
            </w:r>
            <w:r w:rsidR="00075B7E" w:rsidRPr="004E6A98">
              <w:rPr>
                <w:rFonts w:ascii="Arial" w:eastAsia="Calibri" w:hAnsi="Arial" w:cs="Arial"/>
                <w:color w:val="000000" w:themeColor="text1"/>
                <w:sz w:val="22"/>
              </w:rPr>
              <w:t xml:space="preserve"> </w:t>
            </w:r>
          </w:p>
        </w:tc>
      </w:tr>
      <w:tr w:rsidR="00075B7E" w:rsidRPr="00DD2D97" w14:paraId="154BAF96" w14:textId="77777777" w:rsidTr="006D48E3">
        <w:tc>
          <w:tcPr>
            <w:tcW w:w="2689" w:type="dxa"/>
          </w:tcPr>
          <w:p w14:paraId="50CD95BE" w14:textId="77777777" w:rsidR="00075B7E" w:rsidRPr="00DD2D97" w:rsidRDefault="00075B7E" w:rsidP="006D48E3">
            <w:pPr>
              <w:spacing w:before="12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Radicación:</w:t>
            </w:r>
            <w:r w:rsidRPr="00DD2D97">
              <w:rPr>
                <w:rFonts w:ascii="Arial" w:eastAsia="Calibri" w:hAnsi="Arial" w:cs="Arial"/>
                <w:color w:val="000000" w:themeColor="text1"/>
                <w:sz w:val="22"/>
                <w:lang w:val="es-ES_tradnl"/>
              </w:rPr>
              <w:t xml:space="preserve">                              </w:t>
            </w:r>
          </w:p>
        </w:tc>
        <w:tc>
          <w:tcPr>
            <w:tcW w:w="6237" w:type="dxa"/>
          </w:tcPr>
          <w:p w14:paraId="79F6822C" w14:textId="4EE8F9F8" w:rsidR="00075B7E" w:rsidRPr="00DD2D97" w:rsidRDefault="00075B7E" w:rsidP="006D48E3">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Respuesta a consulta # </w:t>
            </w:r>
            <w:r w:rsidRPr="003E1D4A">
              <w:rPr>
                <w:rFonts w:ascii="Arial" w:eastAsia="Calibri" w:hAnsi="Arial" w:cs="Arial"/>
                <w:color w:val="000000" w:themeColor="text1"/>
                <w:sz w:val="22"/>
                <w:lang w:val="es-ES_tradnl"/>
              </w:rPr>
              <w:t>P2021040700</w:t>
            </w:r>
            <w:r w:rsidR="00550392">
              <w:rPr>
                <w:rFonts w:ascii="Arial" w:eastAsia="Calibri" w:hAnsi="Arial" w:cs="Arial"/>
                <w:color w:val="000000" w:themeColor="text1"/>
                <w:sz w:val="22"/>
                <w:lang w:val="es-ES_tradnl"/>
              </w:rPr>
              <w:t>3082</w:t>
            </w:r>
          </w:p>
          <w:p w14:paraId="00ECBE43" w14:textId="77777777" w:rsidR="00075B7E" w:rsidRPr="00DD2D97" w:rsidRDefault="00075B7E" w:rsidP="006D48E3">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 </w:t>
            </w:r>
          </w:p>
        </w:tc>
      </w:tr>
    </w:tbl>
    <w:p w14:paraId="139BDD85" w14:textId="5E682184" w:rsidR="00075B7E" w:rsidRPr="00DD2D97" w:rsidRDefault="00075B7E" w:rsidP="00075B7E">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Estimad</w:t>
      </w:r>
      <w:r w:rsidR="00FF3C5B">
        <w:rPr>
          <w:rFonts w:ascii="Arial" w:eastAsia="Calibri" w:hAnsi="Arial" w:cs="Arial"/>
          <w:color w:val="000000" w:themeColor="text1"/>
          <w:sz w:val="22"/>
          <w:lang w:val="es-ES_tradnl"/>
        </w:rPr>
        <w:t>a</w:t>
      </w:r>
      <w:r w:rsidRPr="00DD2D97">
        <w:rPr>
          <w:rFonts w:ascii="Arial" w:eastAsia="Calibri" w:hAnsi="Arial" w:cs="Arial"/>
          <w:color w:val="000000" w:themeColor="text1"/>
          <w:sz w:val="22"/>
          <w:lang w:val="es-ES_tradnl"/>
        </w:rPr>
        <w:t xml:space="preserve"> señor</w:t>
      </w:r>
      <w:r w:rsidR="00FF3C5B">
        <w:rPr>
          <w:rFonts w:ascii="Arial" w:eastAsia="Calibri" w:hAnsi="Arial" w:cs="Arial"/>
          <w:color w:val="000000" w:themeColor="text1"/>
          <w:sz w:val="22"/>
          <w:lang w:val="es-ES_tradnl"/>
        </w:rPr>
        <w:t>a</w:t>
      </w:r>
      <w:r w:rsidRPr="00DD2D97">
        <w:rPr>
          <w:rFonts w:ascii="Arial" w:eastAsia="Calibri" w:hAnsi="Arial" w:cs="Arial"/>
          <w:color w:val="000000" w:themeColor="text1"/>
          <w:sz w:val="22"/>
          <w:lang w:val="es-ES_tradnl"/>
        </w:rPr>
        <w:t xml:space="preserve"> </w:t>
      </w:r>
      <w:r w:rsidR="00FF3C5B">
        <w:rPr>
          <w:rFonts w:ascii="Arial" w:eastAsia="Calibri" w:hAnsi="Arial" w:cs="Arial"/>
          <w:color w:val="000000" w:themeColor="text1"/>
          <w:sz w:val="22"/>
          <w:lang w:val="es-ES_tradnl"/>
        </w:rPr>
        <w:t>Rivas</w:t>
      </w:r>
      <w:r w:rsidRPr="00DD2D97">
        <w:rPr>
          <w:rFonts w:ascii="Arial" w:eastAsia="Calibri" w:hAnsi="Arial" w:cs="Arial"/>
          <w:color w:val="000000" w:themeColor="text1"/>
          <w:sz w:val="22"/>
          <w:lang w:val="es-ES_tradnl"/>
        </w:rPr>
        <w:t>:</w:t>
      </w:r>
    </w:p>
    <w:p w14:paraId="5D8DF5FE" w14:textId="77777777" w:rsidR="00075B7E" w:rsidRPr="00DD2D97" w:rsidRDefault="00075B7E" w:rsidP="00075B7E">
      <w:pPr>
        <w:jc w:val="both"/>
        <w:rPr>
          <w:rFonts w:ascii="Arial" w:eastAsia="Calibri" w:hAnsi="Arial" w:cs="Arial"/>
          <w:color w:val="000000" w:themeColor="text1"/>
          <w:sz w:val="22"/>
          <w:lang w:val="es-ES_tradnl"/>
        </w:rPr>
      </w:pPr>
    </w:p>
    <w:p w14:paraId="2A22FC16" w14:textId="24F895B7" w:rsidR="00075B7E" w:rsidRPr="00DD2D97" w:rsidRDefault="00075B7E" w:rsidP="00075B7E">
      <w:pPr>
        <w:spacing w:line="276" w:lineRule="auto"/>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FF3C5B">
        <w:rPr>
          <w:rFonts w:ascii="Arial" w:eastAsia="Calibri" w:hAnsi="Arial" w:cs="Arial"/>
          <w:color w:val="000000" w:themeColor="text1"/>
          <w:sz w:val="22"/>
          <w:lang w:val="es-ES_tradnl"/>
        </w:rPr>
        <w:t>1</w:t>
      </w:r>
      <w:r w:rsidR="00550392">
        <w:rPr>
          <w:rFonts w:ascii="Arial" w:eastAsia="Calibri" w:hAnsi="Arial" w:cs="Arial"/>
          <w:color w:val="000000" w:themeColor="text1"/>
          <w:sz w:val="22"/>
          <w:lang w:val="es-ES_tradnl"/>
        </w:rPr>
        <w:t>4</w:t>
      </w:r>
      <w:r w:rsidRPr="00DD2D97">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 xml:space="preserve">abril </w:t>
      </w:r>
      <w:r w:rsidRPr="00DD2D97">
        <w:rPr>
          <w:rFonts w:ascii="Arial" w:eastAsia="Calibri" w:hAnsi="Arial" w:cs="Arial"/>
          <w:color w:val="000000" w:themeColor="text1"/>
          <w:sz w:val="22"/>
          <w:lang w:val="es-ES_tradnl"/>
        </w:rPr>
        <w:t>del 2021.</w:t>
      </w:r>
    </w:p>
    <w:p w14:paraId="1B2D9BE1" w14:textId="77777777" w:rsidR="00075B7E" w:rsidRPr="00DD2D97" w:rsidRDefault="00075B7E" w:rsidP="00075B7E">
      <w:pPr>
        <w:spacing w:line="276" w:lineRule="auto"/>
        <w:jc w:val="both"/>
        <w:rPr>
          <w:rFonts w:ascii="Arial" w:eastAsia="Calibri" w:hAnsi="Arial" w:cs="Arial"/>
          <w:b/>
          <w:color w:val="000000" w:themeColor="text1"/>
          <w:sz w:val="22"/>
          <w:lang w:val="es-ES_tradnl"/>
        </w:rPr>
      </w:pPr>
    </w:p>
    <w:p w14:paraId="3FC1CFF2" w14:textId="77777777" w:rsidR="00075B7E" w:rsidRPr="00DD2D97" w:rsidRDefault="00075B7E" w:rsidP="00075B7E">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 xml:space="preserve">Problema planteado </w:t>
      </w:r>
    </w:p>
    <w:p w14:paraId="09533C27" w14:textId="77777777" w:rsidR="00075B7E" w:rsidRPr="00DD2D97" w:rsidRDefault="00075B7E" w:rsidP="00075B7E">
      <w:pPr>
        <w:tabs>
          <w:tab w:val="left" w:pos="426"/>
        </w:tabs>
        <w:spacing w:line="276" w:lineRule="auto"/>
        <w:jc w:val="both"/>
        <w:rPr>
          <w:rFonts w:ascii="Arial" w:eastAsia="Calibri" w:hAnsi="Arial" w:cs="Arial"/>
          <w:b/>
          <w:color w:val="000000" w:themeColor="text1"/>
          <w:sz w:val="22"/>
          <w:lang w:val="es-ES_tradnl"/>
        </w:rPr>
      </w:pPr>
    </w:p>
    <w:p w14:paraId="59375159" w14:textId="77777777" w:rsidR="00075B7E" w:rsidRPr="00DD2D97" w:rsidRDefault="00075B7E" w:rsidP="00075B7E">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 xml:space="preserve">Usted formula la siguiente consulta: </w:t>
      </w:r>
    </w:p>
    <w:p w14:paraId="3A38B17A" w14:textId="77777777" w:rsidR="00075B7E" w:rsidRPr="00DD2D97" w:rsidRDefault="00075B7E" w:rsidP="00075B7E">
      <w:pPr>
        <w:spacing w:line="276" w:lineRule="auto"/>
        <w:jc w:val="both"/>
        <w:rPr>
          <w:rFonts w:ascii="Arial" w:hAnsi="Arial" w:cs="Arial"/>
          <w:color w:val="000000" w:themeColor="text1"/>
          <w:sz w:val="22"/>
          <w:lang w:val="es-ES_tradnl"/>
        </w:rPr>
      </w:pPr>
    </w:p>
    <w:p w14:paraId="7840E60A" w14:textId="77777777" w:rsidR="00FF3C5B" w:rsidRPr="00FF3C5B" w:rsidRDefault="00075B7E" w:rsidP="00FF3C5B">
      <w:pPr>
        <w:ind w:left="709" w:right="709"/>
        <w:jc w:val="both"/>
        <w:rPr>
          <w:rFonts w:ascii="Arial" w:hAnsi="Arial" w:cs="Arial"/>
          <w:color w:val="000000" w:themeColor="text1"/>
          <w:sz w:val="21"/>
          <w:szCs w:val="21"/>
          <w:lang w:val="es-ES_tradnl"/>
        </w:rPr>
      </w:pPr>
      <w:r w:rsidRPr="00DD2D97">
        <w:rPr>
          <w:rFonts w:ascii="Arial" w:hAnsi="Arial" w:cs="Arial"/>
          <w:color w:val="000000" w:themeColor="text1"/>
          <w:sz w:val="21"/>
          <w:szCs w:val="21"/>
          <w:lang w:val="es-ES_tradnl"/>
        </w:rPr>
        <w:t>«</w:t>
      </w:r>
      <w:bookmarkStart w:id="4" w:name="_Hlk70359962"/>
      <w:r w:rsidR="00FF3C5B" w:rsidRPr="00FF3C5B">
        <w:rPr>
          <w:rFonts w:ascii="Arial" w:hAnsi="Arial" w:cs="Arial"/>
          <w:color w:val="000000" w:themeColor="text1"/>
          <w:sz w:val="21"/>
          <w:szCs w:val="21"/>
          <w:lang w:val="es-ES_tradnl"/>
        </w:rPr>
        <w:t>Con toda atención, de conformidad al auto de fecha 25 de febrero de 2021 de la Sala de lo Contencioso Administrativo de la Sección Tercera, Subsección B del Consejo de Estado, me permito solicitar me sea aclarado si las empresas privadas que prestan servicios públicos domiciliarios tienen la obligación de publicar su actividad contractual con recursos 100% privados, las cuales no están regidas por la Ley 80 de 1993 y demás normas que la modifican y complementan, sino por las normas civiles o comerciales.</w:t>
      </w:r>
    </w:p>
    <w:p w14:paraId="6CC60358" w14:textId="77777777" w:rsidR="00FF3C5B" w:rsidRPr="00FF3C5B" w:rsidRDefault="00FF3C5B" w:rsidP="00FF3C5B">
      <w:pPr>
        <w:ind w:left="709" w:right="709"/>
        <w:jc w:val="both"/>
        <w:rPr>
          <w:rFonts w:ascii="Arial" w:hAnsi="Arial" w:cs="Arial"/>
          <w:color w:val="000000" w:themeColor="text1"/>
          <w:sz w:val="21"/>
          <w:szCs w:val="21"/>
          <w:lang w:val="es-ES_tradnl"/>
        </w:rPr>
      </w:pPr>
    </w:p>
    <w:p w14:paraId="2BFD6F9C" w14:textId="1F02C98B" w:rsidR="00075B7E" w:rsidRDefault="00FF3C5B" w:rsidP="00FF3C5B">
      <w:pPr>
        <w:ind w:left="709" w:right="709"/>
        <w:jc w:val="both"/>
        <w:rPr>
          <w:rFonts w:ascii="Arial" w:hAnsi="Arial" w:cs="Arial"/>
          <w:color w:val="000000" w:themeColor="text1"/>
          <w:sz w:val="22"/>
          <w:lang w:val="es-ES_tradnl"/>
        </w:rPr>
      </w:pPr>
      <w:r w:rsidRPr="00FF3C5B">
        <w:rPr>
          <w:rFonts w:ascii="Arial" w:hAnsi="Arial" w:cs="Arial"/>
          <w:color w:val="000000" w:themeColor="text1"/>
          <w:sz w:val="21"/>
          <w:szCs w:val="21"/>
          <w:lang w:val="es-ES_tradnl"/>
        </w:rPr>
        <w:lastRenderedPageBreak/>
        <w:t>Por otro lado, que obligación existe para la empresa de servicios públicos domiciliarios que teniendo su capital 100% privado, lleva a cabo contratación con terceros privados también, pero con recursos públicos</w:t>
      </w:r>
      <w:r w:rsidR="00075B7E" w:rsidRPr="00C22EDD">
        <w:rPr>
          <w:rFonts w:ascii="Arial" w:eastAsia="Calibri" w:hAnsi="Arial" w:cs="Arial"/>
          <w:color w:val="000000" w:themeColor="text1"/>
          <w:sz w:val="22"/>
          <w:lang w:val="es-ES_tradnl"/>
        </w:rPr>
        <w:t>»</w:t>
      </w:r>
      <w:r w:rsidR="00075B7E" w:rsidRPr="007C32D7">
        <w:rPr>
          <w:rFonts w:ascii="Arial" w:hAnsi="Arial" w:cs="Arial"/>
          <w:color w:val="000000" w:themeColor="text1"/>
          <w:sz w:val="21"/>
          <w:szCs w:val="21"/>
          <w:lang w:val="es-ES_tradnl"/>
        </w:rPr>
        <w:t>.</w:t>
      </w:r>
    </w:p>
    <w:p w14:paraId="34AF88CB" w14:textId="77777777" w:rsidR="00075B7E" w:rsidRPr="00DD2D97" w:rsidRDefault="00075B7E" w:rsidP="00075B7E">
      <w:pPr>
        <w:ind w:left="709" w:right="709"/>
        <w:jc w:val="both"/>
        <w:rPr>
          <w:rFonts w:ascii="Arial" w:hAnsi="Arial" w:cs="Arial"/>
          <w:color w:val="000000" w:themeColor="text1"/>
          <w:sz w:val="22"/>
          <w:lang w:val="es-ES_tradnl"/>
        </w:rPr>
      </w:pPr>
    </w:p>
    <w:bookmarkEnd w:id="4"/>
    <w:p w14:paraId="4D1F9469" w14:textId="77777777" w:rsidR="00075B7E" w:rsidRPr="00DD2D97" w:rsidRDefault="00075B7E" w:rsidP="00075B7E">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Consideraciones</w:t>
      </w:r>
    </w:p>
    <w:p w14:paraId="4F8D509E" w14:textId="77777777" w:rsidR="00075B7E" w:rsidRPr="00DD2D97" w:rsidRDefault="00075B7E" w:rsidP="00075B7E">
      <w:pPr>
        <w:spacing w:line="276" w:lineRule="auto"/>
        <w:jc w:val="both"/>
        <w:rPr>
          <w:rFonts w:ascii="Arial" w:eastAsia="Calibri" w:hAnsi="Arial" w:cs="Arial"/>
          <w:color w:val="000000" w:themeColor="text1"/>
          <w:sz w:val="22"/>
          <w:szCs w:val="22"/>
          <w:lang w:val="es-ES_tradnl"/>
        </w:rPr>
      </w:pPr>
    </w:p>
    <w:p w14:paraId="03CE8F56" w14:textId="77777777" w:rsidR="00C212DA" w:rsidRPr="00DD2D97" w:rsidRDefault="00C212DA" w:rsidP="00C212DA">
      <w:pPr>
        <w:spacing w:line="276" w:lineRule="auto"/>
        <w:jc w:val="both"/>
        <w:rPr>
          <w:rFonts w:ascii="Arial" w:eastAsia="Calibri" w:hAnsi="Arial" w:cs="Arial"/>
          <w:color w:val="000000" w:themeColor="text1"/>
          <w:sz w:val="22"/>
          <w:lang w:val="es-ES_tradnl"/>
        </w:rPr>
      </w:pPr>
      <w:r w:rsidRPr="00DD2D97">
        <w:rPr>
          <w:rFonts w:ascii="Arial" w:eastAsia="Calibri" w:hAnsi="Arial" w:cs="Arial"/>
          <w:bCs/>
          <w:color w:val="000000" w:themeColor="text1"/>
          <w:sz w:val="22"/>
          <w:lang w:val="es-ES_tradnl"/>
        </w:rPr>
        <w:t xml:space="preserve">Para responder la consulta se analizarán los siguientes temas: i) fundamento axiológico de la publicidad de la información oficial de la contratación estatal en el Sistema Electrónico </w:t>
      </w:r>
      <w:r>
        <w:rPr>
          <w:rFonts w:ascii="Arial" w:eastAsia="Calibri" w:hAnsi="Arial" w:cs="Arial"/>
          <w:bCs/>
          <w:color w:val="000000" w:themeColor="text1"/>
          <w:sz w:val="22"/>
          <w:lang w:val="es-ES_tradnl"/>
        </w:rPr>
        <w:t>para la</w:t>
      </w:r>
      <w:r w:rsidRPr="00DD2D97">
        <w:rPr>
          <w:rFonts w:ascii="Arial" w:eastAsia="Calibri" w:hAnsi="Arial" w:cs="Arial"/>
          <w:bCs/>
          <w:color w:val="000000" w:themeColor="text1"/>
          <w:sz w:val="22"/>
          <w:lang w:val="es-ES_tradnl"/>
        </w:rPr>
        <w:t xml:space="preserve"> Contratación Pública –SECOP–, ii) efectos del auto del Consejo de Estado del 25 de febrero de 2021 sobre la publicación en el SECOP por parte de las entidades estatales con régimen especial de contratación y iii) documentos que deben publicar en el SECOP las entidades estatales que, por regla general, se rigen por el derecho privado en su actividad contractual.</w:t>
      </w:r>
    </w:p>
    <w:p w14:paraId="265D774A" w14:textId="77777777" w:rsidR="00C212DA" w:rsidRDefault="00C212DA" w:rsidP="00C212DA">
      <w:pPr>
        <w:spacing w:before="120" w:after="120" w:line="276" w:lineRule="auto"/>
        <w:ind w:firstLine="709"/>
        <w:jc w:val="both"/>
        <w:rPr>
          <w:rFonts w:ascii="Arial" w:eastAsia="Calibri" w:hAnsi="Arial" w:cs="Arial"/>
          <w:color w:val="1A1A1A" w:themeColor="background1" w:themeShade="1A"/>
          <w:sz w:val="22"/>
        </w:rPr>
      </w:pPr>
      <w:r w:rsidRPr="00DD2D97">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porque, como se explicará, no es contrario al contenido del auto del Consejo de Estado del 25 de febrero de 2021, que motiva la formulación de la consulta. </w:t>
      </w:r>
    </w:p>
    <w:p w14:paraId="6AB60954" w14:textId="77777777" w:rsidR="00C212DA" w:rsidRPr="00D307CD" w:rsidRDefault="00C212DA" w:rsidP="00C212DA">
      <w:pPr>
        <w:spacing w:line="276" w:lineRule="auto"/>
        <w:ind w:firstLine="708"/>
        <w:jc w:val="both"/>
        <w:rPr>
          <w:rFonts w:ascii="Arial" w:hAnsi="Arial" w:cs="Arial"/>
          <w:color w:val="1A1A1A" w:themeColor="background1" w:themeShade="1A"/>
          <w:sz w:val="22"/>
        </w:rPr>
      </w:pPr>
      <w:r>
        <w:rPr>
          <w:rFonts w:ascii="Arial" w:eastAsia="Calibri" w:hAnsi="Arial" w:cs="Arial"/>
          <w:color w:val="1A1A1A" w:themeColor="background1" w:themeShade="1A"/>
          <w:sz w:val="22"/>
        </w:rPr>
        <w:t>Adicionalmente, p</w:t>
      </w:r>
      <w:r w:rsidRPr="0091437B">
        <w:rPr>
          <w:rFonts w:ascii="Arial" w:eastAsia="Calibri" w:hAnsi="Arial" w:cs="Arial"/>
          <w:color w:val="1A1A1A" w:themeColor="background1" w:themeShade="1A"/>
          <w:sz w:val="22"/>
        </w:rPr>
        <w:t xml:space="preserve">ara desarrollar </w:t>
      </w:r>
      <w:r>
        <w:rPr>
          <w:rFonts w:ascii="Arial" w:eastAsia="Calibri" w:hAnsi="Arial" w:cs="Arial"/>
          <w:color w:val="1A1A1A" w:themeColor="background1" w:themeShade="1A"/>
          <w:sz w:val="22"/>
        </w:rPr>
        <w:t>el</w:t>
      </w:r>
      <w:r w:rsidRPr="0091437B">
        <w:rPr>
          <w:rFonts w:ascii="Arial" w:eastAsia="Calibri" w:hAnsi="Arial" w:cs="Arial"/>
          <w:color w:val="1A1A1A" w:themeColor="background1" w:themeShade="1A"/>
          <w:sz w:val="22"/>
        </w:rPr>
        <w:t xml:space="preserve"> problema planteado</w:t>
      </w:r>
      <w:r>
        <w:rPr>
          <w:rFonts w:ascii="Arial" w:eastAsia="Calibri" w:hAnsi="Arial" w:cs="Arial"/>
          <w:color w:val="1A1A1A" w:themeColor="background1" w:themeShade="1A"/>
          <w:sz w:val="22"/>
        </w:rPr>
        <w:t>,</w:t>
      </w:r>
      <w:r w:rsidRPr="0091437B">
        <w:rPr>
          <w:rFonts w:ascii="Arial" w:eastAsia="Calibri" w:hAnsi="Arial" w:cs="Arial"/>
          <w:color w:val="1A1A1A" w:themeColor="background1" w:themeShade="1A"/>
          <w:sz w:val="22"/>
        </w:rPr>
        <w:t xml:space="preserve"> se explicará</w:t>
      </w:r>
      <w:r>
        <w:rPr>
          <w:rFonts w:ascii="Arial" w:eastAsia="Calibri" w:hAnsi="Arial" w:cs="Arial"/>
          <w:color w:val="1A1A1A" w:themeColor="background1" w:themeShade="1A"/>
          <w:sz w:val="22"/>
        </w:rPr>
        <w:t xml:space="preserve"> el deber de publicidad de la información contractual en el SECOP</w:t>
      </w:r>
      <w:r w:rsidRPr="0091437B">
        <w:rPr>
          <w:rFonts w:ascii="Arial" w:eastAsia="Calibri" w:hAnsi="Arial" w:cs="Arial"/>
          <w:color w:val="1A1A1A" w:themeColor="background1" w:themeShade="1A"/>
          <w:sz w:val="22"/>
        </w:rPr>
        <w:t xml:space="preserve">. </w:t>
      </w:r>
      <w:r w:rsidRPr="0091437B">
        <w:rPr>
          <w:rFonts w:ascii="Arial" w:eastAsia="Calibri" w:hAnsi="Arial" w:cs="Arial"/>
          <w:bCs/>
          <w:color w:val="1A1A1A" w:themeColor="background1" w:themeShade="1A"/>
          <w:sz w:val="22"/>
        </w:rPr>
        <w:t xml:space="preserve">La Agencia Nacional de Contratación Pública estudió este tema en la consulta No. </w:t>
      </w:r>
      <w:r w:rsidRPr="00E26D3C">
        <w:rPr>
          <w:rFonts w:ascii="Arial" w:eastAsia="Calibri" w:hAnsi="Arial" w:cs="Arial"/>
          <w:bCs/>
          <w:color w:val="1A1A1A" w:themeColor="background1" w:themeShade="1A"/>
          <w:sz w:val="22"/>
        </w:rPr>
        <w:t xml:space="preserve">4201913000005397 del 9 de agosto de 2019 y reiteró la posición en los siguientes conceptos: 4201912000006611 del 25 de septiembre de 2019, </w:t>
      </w:r>
      <w:r w:rsidRPr="00E26D3C">
        <w:rPr>
          <w:rFonts w:ascii="Arial" w:hAnsi="Arial" w:cs="Arial"/>
          <w:sz w:val="22"/>
        </w:rPr>
        <w:t>4201913000006847</w:t>
      </w:r>
      <w:r w:rsidRPr="00E26D3C">
        <w:rPr>
          <w:rFonts w:ascii="Arial" w:hAnsi="Arial" w:cs="Arial"/>
          <w:color w:val="1A1A1A" w:themeColor="background1" w:themeShade="1A"/>
          <w:sz w:val="22"/>
        </w:rPr>
        <w:t xml:space="preserve"> del 4 de octubre de 2019, </w:t>
      </w:r>
      <w:r w:rsidRPr="00E26D3C">
        <w:rPr>
          <w:rFonts w:ascii="Arial" w:eastAsia="Calibri" w:hAnsi="Arial" w:cs="Arial"/>
          <w:bCs/>
          <w:color w:val="1A1A1A" w:themeColor="background1" w:themeShade="1A"/>
          <w:sz w:val="22"/>
        </w:rPr>
        <w:t>4201912000007762 del 18 de noviembre de 2019</w:t>
      </w:r>
      <w:r>
        <w:rPr>
          <w:rFonts w:ascii="Arial" w:eastAsia="Calibri" w:hAnsi="Arial" w:cs="Arial"/>
          <w:bCs/>
          <w:color w:val="1A1A1A" w:themeColor="background1" w:themeShade="1A"/>
          <w:sz w:val="22"/>
        </w:rPr>
        <w:t xml:space="preserve"> y</w:t>
      </w:r>
      <w:r w:rsidRPr="00E26D3C">
        <w:rPr>
          <w:rFonts w:ascii="Arial" w:eastAsia="Calibri" w:hAnsi="Arial" w:cs="Arial"/>
          <w:bCs/>
          <w:color w:val="1A1A1A" w:themeColor="background1" w:themeShade="1A"/>
          <w:sz w:val="22"/>
        </w:rPr>
        <w:t xml:space="preserve"> 4201912000007828 del 13 de noviembre de 2019</w:t>
      </w:r>
      <w:r>
        <w:rPr>
          <w:rFonts w:ascii="Arial" w:eastAsia="Calibri" w:hAnsi="Arial" w:cs="Arial"/>
          <w:bCs/>
          <w:color w:val="1A1A1A" w:themeColor="background1" w:themeShade="1A"/>
          <w:sz w:val="22"/>
        </w:rPr>
        <w:t>. Las tesis expuestas en los anteriores conceptos fueron unificadas en el concepto</w:t>
      </w:r>
      <w:r w:rsidRPr="00E26D3C">
        <w:rPr>
          <w:rFonts w:ascii="Arial" w:eastAsia="Calibri" w:hAnsi="Arial" w:cs="Arial"/>
          <w:bCs/>
          <w:color w:val="1A1A1A" w:themeColor="background1" w:themeShade="1A"/>
          <w:sz w:val="22"/>
        </w:rPr>
        <w:t xml:space="preserve"> CU-003 del 15 de enero de 2020</w:t>
      </w:r>
      <w:r>
        <w:rPr>
          <w:rFonts w:ascii="Arial" w:eastAsia="Calibri" w:hAnsi="Arial" w:cs="Arial"/>
          <w:bCs/>
          <w:color w:val="1A1A1A" w:themeColor="background1" w:themeShade="1A"/>
          <w:sz w:val="22"/>
        </w:rPr>
        <w:t xml:space="preserve">. </w:t>
      </w:r>
      <w:r w:rsidRPr="005C29B6">
        <w:rPr>
          <w:rFonts w:ascii="Arial" w:hAnsi="Arial" w:cs="Arial"/>
          <w:color w:val="1A1A1A" w:themeColor="background1" w:themeShade="1A"/>
          <w:sz w:val="22"/>
        </w:rPr>
        <w:t>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w:t>
      </w:r>
      <w:r>
        <w:rPr>
          <w:rFonts w:ascii="Arial" w:hAnsi="Arial" w:cs="Arial"/>
          <w:color w:val="1A1A1A" w:themeColor="background1" w:themeShade="1A"/>
          <w:sz w:val="22"/>
        </w:rPr>
        <w:t xml:space="preserve">, </w:t>
      </w:r>
      <w:r w:rsidRPr="005C29B6">
        <w:rPr>
          <w:rFonts w:ascii="Arial" w:hAnsi="Arial" w:cs="Arial"/>
          <w:color w:val="1A1A1A" w:themeColor="background1" w:themeShade="1A"/>
          <w:sz w:val="22"/>
        </w:rPr>
        <w:t>C-680 de 18 de noviembre de 2020</w:t>
      </w:r>
      <w:r>
        <w:rPr>
          <w:rFonts w:ascii="Arial" w:hAnsi="Arial" w:cs="Arial"/>
          <w:color w:val="1A1A1A" w:themeColor="background1" w:themeShade="1A"/>
          <w:sz w:val="22"/>
        </w:rPr>
        <w:t xml:space="preserve"> y C-780 del 18 de enero de 2021. Finalmente, como consecuencia del </w:t>
      </w:r>
      <w:r>
        <w:rPr>
          <w:rFonts w:ascii="Arial" w:eastAsia="Calibri" w:hAnsi="Arial" w:cs="Arial"/>
          <w:bCs/>
          <w:color w:val="000000" w:themeColor="text1"/>
          <w:sz w:val="22"/>
          <w:lang w:val="es-ES_tradnl"/>
        </w:rPr>
        <w:t>A</w:t>
      </w:r>
      <w:r w:rsidRPr="00DD2D97">
        <w:rPr>
          <w:rFonts w:ascii="Arial" w:eastAsia="Calibri" w:hAnsi="Arial" w:cs="Arial"/>
          <w:bCs/>
          <w:color w:val="000000" w:themeColor="text1"/>
          <w:sz w:val="22"/>
          <w:lang w:val="es-ES_tradnl"/>
        </w:rPr>
        <w:t xml:space="preserve">uto del Consejo de </w:t>
      </w:r>
      <w:r w:rsidRPr="00DD2D97">
        <w:rPr>
          <w:rFonts w:ascii="Arial" w:eastAsia="Calibri" w:hAnsi="Arial" w:cs="Arial"/>
          <w:bCs/>
          <w:color w:val="000000" w:themeColor="text1"/>
          <w:sz w:val="22"/>
          <w:lang w:val="es-ES_tradnl"/>
        </w:rPr>
        <w:lastRenderedPageBreak/>
        <w:t>Estado del 25 de febrero de 2021</w:t>
      </w:r>
      <w:r>
        <w:rPr>
          <w:rFonts w:ascii="Arial" w:eastAsia="Calibri" w:hAnsi="Arial" w:cs="Arial"/>
          <w:bCs/>
          <w:color w:val="000000" w:themeColor="text1"/>
          <w:sz w:val="22"/>
          <w:lang w:val="es-ES_tradnl"/>
        </w:rPr>
        <w:t xml:space="preserve"> se expidió el concepto C-094 del 13 de abril de 2021, C-137 del </w:t>
      </w:r>
      <w:r>
        <w:rPr>
          <w:rFonts w:ascii="Arial" w:hAnsi="Arial" w:cs="Arial"/>
          <w:color w:val="1A1A1A" w:themeColor="background1" w:themeShade="1A"/>
          <w:sz w:val="22"/>
        </w:rPr>
        <w:t xml:space="preserve">13 de abril de 2021 y C-185 del 29 de abril de 2021. </w:t>
      </w:r>
      <w:r w:rsidRPr="00E26D3C">
        <w:rPr>
          <w:rFonts w:ascii="Arial" w:eastAsia="Calibri" w:hAnsi="Arial" w:cs="Arial"/>
          <w:color w:val="1A1A1A" w:themeColor="background1" w:themeShade="1A"/>
          <w:sz w:val="22"/>
        </w:rPr>
        <w:t>La tesis de estos conceptos se reitera a continuación:</w:t>
      </w:r>
      <w:r w:rsidRPr="0091437B">
        <w:rPr>
          <w:rFonts w:ascii="Arial" w:hAnsi="Arial" w:cs="Arial"/>
          <w:color w:val="1A1A1A" w:themeColor="background1" w:themeShade="1A"/>
          <w:sz w:val="22"/>
        </w:rPr>
        <w:t xml:space="preserve"> </w:t>
      </w:r>
    </w:p>
    <w:p w14:paraId="6490C53D" w14:textId="77777777" w:rsidR="00C212DA" w:rsidRPr="00DD2D97" w:rsidRDefault="00C212DA" w:rsidP="00C212DA">
      <w:pPr>
        <w:spacing w:line="276" w:lineRule="auto"/>
        <w:jc w:val="both"/>
        <w:rPr>
          <w:rFonts w:ascii="Arial" w:hAnsi="Arial" w:cs="Arial"/>
          <w:b/>
          <w:bCs/>
          <w:color w:val="000000" w:themeColor="text1"/>
          <w:sz w:val="22"/>
          <w:lang w:val="es-ES_tradnl"/>
        </w:rPr>
      </w:pPr>
    </w:p>
    <w:p w14:paraId="20EB9A51" w14:textId="77777777" w:rsidR="00C212DA" w:rsidRPr="00C22EDD" w:rsidRDefault="00C212DA" w:rsidP="00C212DA">
      <w:pPr>
        <w:tabs>
          <w:tab w:val="left" w:pos="426"/>
        </w:tabs>
        <w:spacing w:line="276" w:lineRule="auto"/>
        <w:jc w:val="both"/>
        <w:rPr>
          <w:rFonts w:ascii="Arial" w:eastAsia="Calibri" w:hAnsi="Arial" w:cs="Arial"/>
          <w:b/>
          <w:color w:val="000000" w:themeColor="text1"/>
          <w:sz w:val="22"/>
          <w:lang w:val="es-ES_tradnl"/>
        </w:rPr>
      </w:pPr>
      <w:bookmarkStart w:id="5" w:name="_Hlk69128905"/>
      <w:r w:rsidRPr="00C22EDD">
        <w:rPr>
          <w:rFonts w:ascii="Arial" w:eastAsia="Calibri" w:hAnsi="Arial" w:cs="Arial"/>
          <w:b/>
          <w:color w:val="000000" w:themeColor="text1"/>
          <w:sz w:val="22"/>
          <w:lang w:val="es-ES_tradnl"/>
        </w:rPr>
        <w:t xml:space="preserve">2.1. Fundamento axiológico de la publicidad de la información oficial de la contratación estatal en el Sistema Electrónico </w:t>
      </w:r>
      <w:r>
        <w:rPr>
          <w:rFonts w:ascii="Arial" w:eastAsia="Calibri" w:hAnsi="Arial" w:cs="Arial"/>
          <w:b/>
          <w:color w:val="000000" w:themeColor="text1"/>
          <w:sz w:val="22"/>
          <w:lang w:val="es-ES_tradnl"/>
        </w:rPr>
        <w:t>para la</w:t>
      </w:r>
      <w:r w:rsidRPr="00C22EDD">
        <w:rPr>
          <w:rFonts w:ascii="Arial" w:eastAsia="Calibri" w:hAnsi="Arial" w:cs="Arial"/>
          <w:b/>
          <w:color w:val="000000" w:themeColor="text1"/>
          <w:sz w:val="22"/>
          <w:lang w:val="es-ES_tradnl"/>
        </w:rPr>
        <w:t xml:space="preserve"> Contratación Pública –SECOP–</w:t>
      </w:r>
    </w:p>
    <w:p w14:paraId="098BD126" w14:textId="77777777" w:rsidR="00C212DA" w:rsidRPr="00C22EDD" w:rsidRDefault="00C212DA" w:rsidP="00C212DA">
      <w:pPr>
        <w:pStyle w:val="Prrafodelista"/>
        <w:spacing w:line="276" w:lineRule="auto"/>
        <w:ind w:left="0" w:firstLine="709"/>
        <w:jc w:val="both"/>
        <w:rPr>
          <w:rFonts w:ascii="Arial" w:eastAsia="Calibri" w:hAnsi="Arial" w:cs="Arial"/>
          <w:b/>
          <w:color w:val="000000" w:themeColor="text1"/>
          <w:sz w:val="22"/>
          <w:lang w:val="es-ES_tradnl"/>
        </w:rPr>
      </w:pPr>
    </w:p>
    <w:p w14:paraId="53E3495D" w14:textId="77777777" w:rsidR="00C212DA" w:rsidRDefault="00C212DA" w:rsidP="00C212DA">
      <w:pPr>
        <w:spacing w:after="120"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2"/>
          <w:lang w:val="es-ES_tradnl"/>
        </w:rPr>
        <w:t>publicidad</w:t>
      </w:r>
      <w:r w:rsidRPr="00C22EDD">
        <w:rPr>
          <w:rFonts w:ascii="Arial" w:eastAsia="Calibri" w:hAnsi="Arial" w:cs="Arial"/>
          <w:color w:val="000000" w:themeColor="text1"/>
          <w:sz w:val="22"/>
          <w:lang w:val="es-ES_tradnl"/>
        </w:rPr>
        <w:t xml:space="preserve">, pues este permite que las actuaciones de las autoridades gocen de visibilidad. En tal sentido, la filosofía política </w:t>
      </w:r>
      <w:r>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 xml:space="preserve"> que la democracia «[…] es idealmente el gobierno de un poder visible, es decir, el gobierno cuyos actos se realizan ante el público y bajo la supervisión de la opinión pública»</w:t>
      </w:r>
      <w:r w:rsidRPr="00C22EDD">
        <w:rPr>
          <w:rStyle w:val="Refdenotaalpie"/>
          <w:rFonts w:ascii="Arial" w:eastAsia="Calibri" w:hAnsi="Arial" w:cs="Arial"/>
          <w:color w:val="000000" w:themeColor="text1"/>
          <w:sz w:val="22"/>
          <w:lang w:val="es-ES_tradnl"/>
        </w:rPr>
        <w:footnoteReference w:id="1"/>
      </w:r>
      <w:r w:rsidRPr="00C22EDD">
        <w:rPr>
          <w:rFonts w:ascii="Arial" w:eastAsia="Calibri" w:hAnsi="Arial" w:cs="Arial"/>
          <w:color w:val="000000" w:themeColor="text1"/>
          <w:sz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51825538" w14:textId="77777777" w:rsidR="00C212DA" w:rsidRPr="00C22EDD" w:rsidRDefault="00C212DA" w:rsidP="00C212DA">
      <w:pPr>
        <w:spacing w:line="276" w:lineRule="auto"/>
        <w:ind w:firstLine="708"/>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w:t>
      </w:r>
      <w:r>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w:t>
      </w:r>
    </w:p>
    <w:p w14:paraId="100C166B" w14:textId="77777777" w:rsidR="00C212DA" w:rsidRPr="00C22EDD" w:rsidRDefault="00C212DA" w:rsidP="00C212DA">
      <w:pPr>
        <w:ind w:firstLine="709"/>
        <w:jc w:val="both"/>
        <w:rPr>
          <w:rFonts w:ascii="Arial" w:eastAsia="Calibri" w:hAnsi="Arial" w:cs="Arial"/>
          <w:color w:val="000000" w:themeColor="text1"/>
          <w:sz w:val="22"/>
          <w:lang w:val="es-ES_tradnl"/>
        </w:rPr>
      </w:pPr>
    </w:p>
    <w:p w14:paraId="3AC4CEE1" w14:textId="77777777" w:rsidR="00C212DA" w:rsidRPr="00C22EDD" w:rsidRDefault="00C212DA" w:rsidP="00C212DA">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2B415692" w14:textId="77777777" w:rsidR="00C212DA" w:rsidRPr="00C22EDD" w:rsidRDefault="00C212DA" w:rsidP="00C212DA">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2"/>
      </w:r>
      <w:r w:rsidRPr="00C22EDD">
        <w:rPr>
          <w:rFonts w:ascii="Arial" w:eastAsia="Calibri" w:hAnsi="Arial" w:cs="Arial"/>
          <w:color w:val="000000" w:themeColor="text1"/>
          <w:sz w:val="21"/>
          <w:szCs w:val="21"/>
          <w:lang w:val="es-ES_tradnl"/>
        </w:rPr>
        <w:t>.</w:t>
      </w:r>
    </w:p>
    <w:p w14:paraId="04A2E7CC" w14:textId="77777777" w:rsidR="00C212DA" w:rsidRPr="00C22EDD" w:rsidRDefault="00C212DA" w:rsidP="00C212DA">
      <w:pPr>
        <w:spacing w:line="276" w:lineRule="auto"/>
        <w:ind w:right="709"/>
        <w:jc w:val="both"/>
        <w:rPr>
          <w:rFonts w:ascii="Arial" w:eastAsia="Calibri" w:hAnsi="Arial" w:cs="Arial"/>
          <w:color w:val="000000" w:themeColor="text1"/>
          <w:sz w:val="22"/>
          <w:lang w:val="es-ES_tradnl"/>
        </w:rPr>
      </w:pPr>
    </w:p>
    <w:p w14:paraId="78A33EE5" w14:textId="77777777" w:rsidR="00C212DA" w:rsidRPr="00C22EDD" w:rsidRDefault="00C212DA" w:rsidP="00C212DA">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lastRenderedPageBreak/>
        <w:t>El principio de publicidad impone a las autoridades administrativas el deber de dar a conocer sus actos, contratos y decisiones, para que se divulguen y eventualmente se controlen dichas actuaciones. Es por e</w:t>
      </w:r>
      <w:r>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3"/>
      </w:r>
      <w:r w:rsidRPr="00C22EDD">
        <w:rPr>
          <w:rFonts w:ascii="Arial" w:eastAsia="Calibri" w:hAnsi="Arial" w:cs="Arial"/>
          <w:color w:val="000000" w:themeColor="text1"/>
          <w:sz w:val="22"/>
          <w:lang w:val="es-ES_tradnl"/>
        </w:rPr>
        <w:t xml:space="preserve">. </w:t>
      </w:r>
    </w:p>
    <w:p w14:paraId="29B0C377"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4"/>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Pr>
          <w:rFonts w:ascii="Arial" w:eastAsiaTheme="minorHAnsi" w:hAnsi="Arial" w:cs="Arial"/>
          <w:color w:val="000000" w:themeColor="text1"/>
          <w:sz w:val="22"/>
          <w:szCs w:val="22"/>
          <w:lang w:val="es-ES_tradnl" w:eastAsia="en-US"/>
        </w:rPr>
        <w:t>E</w:t>
      </w:r>
      <w:r w:rsidRPr="00C22EDD">
        <w:rPr>
          <w:rFonts w:ascii="Arial" w:eastAsiaTheme="minorHAnsi" w:hAnsi="Arial" w:cs="Arial"/>
          <w:color w:val="000000" w:themeColor="text1"/>
          <w:sz w:val="22"/>
          <w:szCs w:val="22"/>
          <w:lang w:val="es-ES_tradnl" w:eastAsia="en-US"/>
        </w:rPr>
        <w:t>n el literal e) del artículo 9</w:t>
      </w:r>
      <w:r>
        <w:rPr>
          <w:rFonts w:ascii="Arial" w:eastAsiaTheme="minorHAnsi" w:hAnsi="Arial" w:cs="Arial"/>
          <w:color w:val="000000" w:themeColor="text1"/>
          <w:sz w:val="22"/>
          <w:szCs w:val="22"/>
          <w:lang w:val="es-ES_tradnl" w:eastAsia="en-US"/>
        </w:rPr>
        <w:t>, l</w:t>
      </w:r>
      <w:r w:rsidRPr="00C22EDD">
        <w:rPr>
          <w:rFonts w:ascii="Arial" w:eastAsiaTheme="minorHAnsi" w:hAnsi="Arial" w:cs="Arial"/>
          <w:color w:val="000000" w:themeColor="text1"/>
          <w:sz w:val="22"/>
          <w:szCs w:val="22"/>
          <w:lang w:val="es-ES_tradnl" w:eastAsia="en-US"/>
        </w:rPr>
        <w:t>a ley estatutaria citada establece</w:t>
      </w:r>
      <w:r>
        <w:rPr>
          <w:rFonts w:ascii="Arial" w:eastAsiaTheme="minorHAnsi" w:hAnsi="Arial" w:cs="Arial"/>
          <w:color w:val="000000" w:themeColor="text1"/>
          <w:sz w:val="22"/>
          <w:szCs w:val="22"/>
          <w:lang w:val="es-ES_tradnl" w:eastAsia="en-US"/>
        </w:rPr>
        <w:t xml:space="preserve"> dispone</w:t>
      </w:r>
      <w:r w:rsidRPr="00C22EDD">
        <w:rPr>
          <w:rFonts w:ascii="Arial" w:eastAsiaTheme="minorHAnsi" w:hAnsi="Arial" w:cs="Arial"/>
          <w:color w:val="000000" w:themeColor="text1"/>
          <w:sz w:val="22"/>
          <w:szCs w:val="22"/>
          <w:lang w:val="es-ES_tradnl" w:eastAsia="en-US"/>
        </w:rPr>
        <w:t xml:space="preserve">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5"/>
      </w:r>
      <w:r w:rsidRPr="00C22EDD">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6"/>
      </w:r>
      <w:r w:rsidRPr="00C22EDD">
        <w:rPr>
          <w:rFonts w:ascii="Arial" w:eastAsiaTheme="minorHAnsi" w:hAnsi="Arial" w:cs="Arial"/>
          <w:color w:val="000000" w:themeColor="text1"/>
          <w:sz w:val="22"/>
          <w:szCs w:val="22"/>
          <w:lang w:val="es-ES_tradnl" w:eastAsia="en-US"/>
        </w:rPr>
        <w:t xml:space="preserve">, el cual dispuso que la publicación de la información </w:t>
      </w:r>
      <w:r w:rsidRPr="00C22EDD">
        <w:rPr>
          <w:rFonts w:ascii="Arial" w:eastAsiaTheme="minorHAnsi" w:hAnsi="Arial" w:cs="Arial"/>
          <w:color w:val="000000" w:themeColor="text1"/>
          <w:sz w:val="22"/>
          <w:szCs w:val="22"/>
          <w:lang w:val="es-ES_tradnl" w:eastAsia="en-US"/>
        </w:rPr>
        <w:lastRenderedPageBreak/>
        <w:t xml:space="preserve">contractual de los sujetos obligados, que contratan con cargo a recursos públicos, debe hacerse en el Sistema Electrónico </w:t>
      </w:r>
      <w:r>
        <w:rPr>
          <w:rFonts w:ascii="Arial" w:eastAsiaTheme="minorHAnsi" w:hAnsi="Arial" w:cs="Arial"/>
          <w:color w:val="000000" w:themeColor="text1"/>
          <w:sz w:val="22"/>
          <w:szCs w:val="22"/>
          <w:lang w:val="es-ES_tradnl" w:eastAsia="en-US"/>
        </w:rPr>
        <w:t>para la</w:t>
      </w:r>
      <w:r w:rsidRPr="00C22EDD">
        <w:rPr>
          <w:rFonts w:ascii="Arial" w:eastAsiaTheme="minorHAnsi" w:hAnsi="Arial" w:cs="Arial"/>
          <w:color w:val="000000" w:themeColor="text1"/>
          <w:sz w:val="22"/>
          <w:szCs w:val="22"/>
          <w:lang w:val="es-ES_tradnl" w:eastAsia="en-US"/>
        </w:rPr>
        <w:t xml:space="preserve"> 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p>
    <w:p w14:paraId="7D4771D6"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7"/>
      </w:r>
      <w:r w:rsidRPr="00C22EDD">
        <w:rPr>
          <w:rFonts w:ascii="Arial" w:eastAsia="Calibri" w:hAnsi="Arial" w:cs="Arial"/>
          <w:color w:val="000000" w:themeColor="text1"/>
          <w:sz w:val="22"/>
          <w:lang w:val="es-ES_tradnl"/>
        </w:rPr>
        <w:t>.</w:t>
      </w:r>
    </w:p>
    <w:p w14:paraId="38E71521"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Para el año 2013, la Agencia Nacional de Contratación Pública </w:t>
      </w:r>
      <w:r>
        <w:rPr>
          <w:rFonts w:ascii="Arial" w:hAnsi="Arial" w:cs="Arial"/>
          <w:color w:val="000000" w:themeColor="text1"/>
          <w:sz w:val="22"/>
          <w:lang w:val="es-ES_tradnl"/>
        </w:rPr>
        <w:t>–</w:t>
      </w:r>
      <w:r w:rsidRPr="00C22EDD">
        <w:rPr>
          <w:rFonts w:ascii="Arial" w:hAnsi="Arial" w:cs="Arial"/>
          <w:color w:val="000000" w:themeColor="text1"/>
          <w:sz w:val="22"/>
          <w:lang w:val="es-ES_tradnl"/>
        </w:rPr>
        <w:t xml:space="preserve">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8"/>
      </w:r>
      <w:r w:rsidRPr="00C22EDD">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226C88"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El debate sobre la obligatoriedad o no de publicar en el SECOP, para las entidades con régimen especial de contratación, había sido definido, al menos de manera preliminar, por el Consejo de Estado. </w:t>
      </w:r>
      <w:r>
        <w:rPr>
          <w:rFonts w:ascii="Arial" w:hAnsi="Arial" w:cs="Arial"/>
          <w:color w:val="000000" w:themeColor="text1"/>
          <w:sz w:val="22"/>
          <w:lang w:val="es-ES_tradnl"/>
        </w:rPr>
        <w:t>En este sentido, l</w:t>
      </w:r>
      <w:r w:rsidRPr="00C22EDD">
        <w:rPr>
          <w:rFonts w:ascii="Arial" w:hAnsi="Arial" w:cs="Arial"/>
          <w:color w:val="000000" w:themeColor="text1"/>
          <w:sz w:val="22"/>
          <w:lang w:val="es-ES_tradnl"/>
        </w:rPr>
        <w:t>a Sección Tercera, Subsección C, en el Auto del 14 de agosto de 2017</w:t>
      </w:r>
      <w:r w:rsidRPr="00C22EDD">
        <w:rPr>
          <w:rStyle w:val="Refdenotaalpie"/>
          <w:rFonts w:ascii="Arial" w:hAnsi="Arial" w:cs="Arial"/>
          <w:color w:val="000000" w:themeColor="text1"/>
          <w:sz w:val="22"/>
          <w:lang w:val="es-ES_tradnl"/>
        </w:rPr>
        <w:footnoteReference w:id="9"/>
      </w:r>
      <w:r w:rsidRPr="00C22EDD">
        <w:rPr>
          <w:rFonts w:ascii="Arial" w:hAnsi="Arial" w:cs="Arial"/>
          <w:color w:val="000000" w:themeColor="text1"/>
          <w:sz w:val="22"/>
          <w:lang w:val="es-ES_tradnl"/>
        </w:rPr>
        <w:t>, expresó que la obligación prevista en la Circular Externa No. 1 se ajusta a la normativa superior, en los siguientes términos:</w:t>
      </w:r>
    </w:p>
    <w:p w14:paraId="07AA5335" w14:textId="77777777" w:rsidR="00C212DA" w:rsidRPr="00C22EDD" w:rsidRDefault="00C212DA" w:rsidP="00C212DA">
      <w:pPr>
        <w:spacing w:line="276" w:lineRule="auto"/>
        <w:jc w:val="both"/>
        <w:rPr>
          <w:rFonts w:ascii="Arial" w:hAnsi="Arial" w:cs="Arial"/>
          <w:color w:val="000000" w:themeColor="text1"/>
          <w:sz w:val="22"/>
          <w:lang w:val="es-ES_tradnl"/>
        </w:rPr>
      </w:pPr>
    </w:p>
    <w:p w14:paraId="2C46DBC4" w14:textId="77777777" w:rsidR="00C212DA" w:rsidRPr="00C22EDD" w:rsidRDefault="00C212DA" w:rsidP="00C212DA">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569BAEE" w14:textId="77777777" w:rsidR="00C212DA" w:rsidRPr="00C22EDD" w:rsidRDefault="00C212DA" w:rsidP="00C212DA">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3435164D" w14:textId="77777777" w:rsidR="00C212DA" w:rsidRPr="00C22EDD" w:rsidRDefault="00C212DA" w:rsidP="00C212DA">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p>
    <w:p w14:paraId="73A559A4" w14:textId="77777777" w:rsidR="00C212DA" w:rsidRPr="00C22EDD" w:rsidRDefault="00C212DA" w:rsidP="00C212DA">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2EDD">
        <w:rPr>
          <w:rStyle w:val="Refdenotaalpie"/>
          <w:rFonts w:ascii="Arial" w:hAnsi="Arial" w:cs="Arial"/>
          <w:color w:val="000000" w:themeColor="text1"/>
          <w:sz w:val="21"/>
          <w:szCs w:val="21"/>
          <w:lang w:val="es-ES_tradnl"/>
        </w:rPr>
        <w:footnoteReference w:id="10"/>
      </w:r>
      <w:r>
        <w:rPr>
          <w:rFonts w:ascii="Arial" w:hAnsi="Arial" w:cs="Arial"/>
          <w:color w:val="000000" w:themeColor="text1"/>
          <w:sz w:val="21"/>
          <w:szCs w:val="21"/>
          <w:lang w:val="es-ES_tradnl"/>
        </w:rPr>
        <w:t>.</w:t>
      </w:r>
    </w:p>
    <w:p w14:paraId="296CE855" w14:textId="77777777" w:rsidR="00C212DA" w:rsidRPr="00C22EDD" w:rsidRDefault="00C212DA" w:rsidP="00C212DA">
      <w:pPr>
        <w:tabs>
          <w:tab w:val="left" w:pos="3885"/>
        </w:tabs>
        <w:spacing w:line="276" w:lineRule="auto"/>
        <w:ind w:left="709" w:right="709"/>
        <w:jc w:val="both"/>
        <w:rPr>
          <w:rFonts w:ascii="Arial" w:eastAsia="Calibri" w:hAnsi="Arial" w:cs="Arial"/>
          <w:color w:val="000000" w:themeColor="text1"/>
          <w:sz w:val="22"/>
          <w:lang w:val="es-ES_tradnl"/>
        </w:rPr>
      </w:pPr>
    </w:p>
    <w:p w14:paraId="5219D32E" w14:textId="77777777" w:rsidR="00C212DA" w:rsidRPr="00C22EDD" w:rsidRDefault="00C212DA" w:rsidP="00C212DA">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Adicionalmente, </w:t>
      </w:r>
      <w:r>
        <w:rPr>
          <w:rFonts w:ascii="Arial" w:hAnsi="Arial" w:cs="Arial"/>
          <w:color w:val="000000" w:themeColor="text1"/>
          <w:sz w:val="22"/>
          <w:lang w:val="es-ES_tradnl"/>
        </w:rPr>
        <w:t>la publicación de</w:t>
      </w:r>
      <w:r w:rsidRPr="00C22EDD">
        <w:rPr>
          <w:rFonts w:ascii="Arial" w:hAnsi="Arial" w:cs="Arial"/>
          <w:color w:val="000000" w:themeColor="text1"/>
          <w:sz w:val="22"/>
          <w:lang w:val="es-ES_tradnl"/>
        </w:rPr>
        <w:t xml:space="preserv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43C75E6F" w14:textId="77777777" w:rsidR="00C212DA" w:rsidRPr="00C22EDD" w:rsidRDefault="00C212DA" w:rsidP="00C212DA">
      <w:pPr>
        <w:ind w:leftChars="709" w:left="1702" w:right="709" w:firstLine="2"/>
        <w:jc w:val="both"/>
        <w:rPr>
          <w:rFonts w:ascii="Arial" w:hAnsi="Arial" w:cs="Arial"/>
          <w:color w:val="000000" w:themeColor="text1"/>
          <w:sz w:val="21"/>
          <w:szCs w:val="21"/>
          <w:lang w:val="es-ES_tradnl"/>
        </w:rPr>
      </w:pPr>
    </w:p>
    <w:p w14:paraId="527E902E" w14:textId="77777777" w:rsidR="00C212DA" w:rsidRPr="00C22EDD" w:rsidRDefault="00C212DA" w:rsidP="00C212DA">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C22EDD">
        <w:rPr>
          <w:rStyle w:val="Refdenotaalpie"/>
          <w:rFonts w:ascii="Arial" w:hAnsi="Arial" w:cs="Arial"/>
          <w:color w:val="000000" w:themeColor="text1"/>
          <w:sz w:val="21"/>
          <w:szCs w:val="21"/>
          <w:lang w:val="es-ES_tradnl"/>
        </w:rPr>
        <w:footnoteReference w:id="11"/>
      </w:r>
      <w:r w:rsidRPr="00C22EDD">
        <w:rPr>
          <w:rFonts w:ascii="Arial" w:hAnsi="Arial" w:cs="Arial"/>
          <w:color w:val="000000" w:themeColor="text1"/>
          <w:sz w:val="21"/>
          <w:szCs w:val="21"/>
          <w:lang w:val="es-ES_tradnl"/>
        </w:rPr>
        <w:t>.</w:t>
      </w:r>
    </w:p>
    <w:p w14:paraId="5C6E15F7" w14:textId="77777777" w:rsidR="00C212DA" w:rsidRPr="00C22EDD" w:rsidRDefault="00C212DA" w:rsidP="00C212DA">
      <w:pPr>
        <w:spacing w:line="276" w:lineRule="auto"/>
        <w:ind w:leftChars="709" w:left="1702" w:right="709"/>
        <w:jc w:val="both"/>
        <w:rPr>
          <w:rFonts w:ascii="Arial" w:hAnsi="Arial" w:cs="Arial"/>
          <w:color w:val="000000" w:themeColor="text1"/>
          <w:sz w:val="21"/>
          <w:szCs w:val="21"/>
          <w:lang w:val="es-ES_tradnl"/>
        </w:rPr>
      </w:pPr>
    </w:p>
    <w:p w14:paraId="064D9C18" w14:textId="77777777" w:rsidR="00C212DA" w:rsidRPr="00C22EDD" w:rsidRDefault="00C212DA" w:rsidP="00C212DA">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Nótese, entonces, que en ese momento el Consejo de Estado asumió como criterio para determinar la obligatoriedad de publicar en el SECOP que la contratación se realizara con recursos públicos, conclusión que </w:t>
      </w:r>
      <w:r>
        <w:rPr>
          <w:rFonts w:ascii="Arial" w:hAnsi="Arial" w:cs="Arial"/>
          <w:color w:val="000000" w:themeColor="text1"/>
          <w:sz w:val="22"/>
          <w:lang w:val="es-ES_tradnl"/>
        </w:rPr>
        <w:t xml:space="preserve">se fundamenta en </w:t>
      </w:r>
      <w:r w:rsidRPr="00C22EDD">
        <w:rPr>
          <w:rFonts w:ascii="Arial" w:hAnsi="Arial" w:cs="Arial"/>
          <w:color w:val="000000" w:themeColor="text1"/>
          <w:sz w:val="22"/>
          <w:lang w:val="es-ES_tradnl"/>
        </w:rPr>
        <w:t xml:space="preserve">el literal c) del artículo 3 de la Ley 1150 de 2007. Así, </w:t>
      </w:r>
      <w:r>
        <w:rPr>
          <w:rFonts w:ascii="Arial" w:hAnsi="Arial" w:cs="Arial"/>
          <w:color w:val="000000" w:themeColor="text1"/>
          <w:sz w:val="22"/>
          <w:lang w:val="es-ES_tradnl"/>
        </w:rPr>
        <w:t>la decisión judicial citada refuerza la obligación de publicar en el SECOP, mandato que además está expresamente consagrado en</w:t>
      </w:r>
      <w:r w:rsidRPr="00C22EDD">
        <w:rPr>
          <w:rFonts w:ascii="Arial" w:hAnsi="Arial" w:cs="Arial"/>
          <w:color w:val="000000" w:themeColor="text1"/>
          <w:sz w:val="22"/>
          <w:lang w:val="es-ES_tradnl"/>
        </w:rPr>
        <w:t xml:space="preserve"> las Leyes 1150 de 2007, 1712 de 2014 y la Circular Externa Única. </w:t>
      </w:r>
    </w:p>
    <w:p w14:paraId="6A6A05C1" w14:textId="77777777" w:rsidR="00C212DA" w:rsidRPr="00C22EDD" w:rsidRDefault="00C212DA" w:rsidP="00C212DA">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006BB06F" w14:textId="77777777" w:rsidR="00C212DA" w:rsidRPr="00C22EDD" w:rsidRDefault="00C212DA" w:rsidP="00C212DA">
      <w:pPr>
        <w:spacing w:line="276" w:lineRule="auto"/>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3E5C3458" w14:textId="77777777" w:rsidR="00C212DA" w:rsidRPr="00C22EDD" w:rsidRDefault="00C212DA" w:rsidP="00C212DA">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7250D947" w14:textId="77777777" w:rsidR="00C212DA" w:rsidRPr="00C22EDD" w:rsidRDefault="00C212DA" w:rsidP="00C212DA">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El 25 de febrero de 2021 la Sección Tercera del Consejo de Estado expidió un auto</w:t>
      </w:r>
      <w:r w:rsidRPr="00C22EDD">
        <w:rPr>
          <w:rStyle w:val="Refdenotaalpie"/>
          <w:rFonts w:ascii="Arial" w:hAnsi="Arial" w:cs="Arial"/>
          <w:bCs/>
          <w:color w:val="000000" w:themeColor="text1"/>
          <w:sz w:val="22"/>
          <w:lang w:val="es-ES_tradnl"/>
        </w:rPr>
        <w:footnoteReference w:id="12"/>
      </w:r>
      <w:r w:rsidRPr="00C22EDD">
        <w:rPr>
          <w:rFonts w:ascii="Arial" w:hAnsi="Arial" w:cs="Arial"/>
          <w:bCs/>
          <w:color w:val="000000" w:themeColor="text1"/>
          <w:sz w:val="22"/>
          <w:lang w:val="es-ES_tradnl"/>
        </w:rPr>
        <w:t xml:space="preserve"> mediante el cual decretó la suspensión provisional de algunos apartes de las circulares externas No. 1 del 21 de junio de 2013 y No. 20 del 27 de agosto de 2015. Teniendo en cuenta que esta decisión judicial</w:t>
      </w:r>
      <w:r>
        <w:rPr>
          <w:rFonts w:ascii="Arial" w:hAnsi="Arial" w:cs="Arial"/>
          <w:bCs/>
          <w:color w:val="000000" w:themeColor="text1"/>
          <w:sz w:val="22"/>
          <w:lang w:val="es-ES_tradnl"/>
        </w:rPr>
        <w:t xml:space="preserve"> es</w:t>
      </w:r>
      <w:r w:rsidRPr="00C22EDD">
        <w:rPr>
          <w:rFonts w:ascii="Arial" w:hAnsi="Arial" w:cs="Arial"/>
          <w:bCs/>
          <w:color w:val="000000" w:themeColor="text1"/>
          <w:sz w:val="22"/>
          <w:lang w:val="es-ES_tradnl"/>
        </w:rPr>
        <w:t xml:space="preserve"> la razón que motiva la presente consulta, se efectuará una síntesis de la providencia y de los argumentos en los que se apoya el Consejo de Estado. </w:t>
      </w:r>
      <w:r>
        <w:rPr>
          <w:rFonts w:ascii="Arial" w:hAnsi="Arial" w:cs="Arial"/>
          <w:bCs/>
          <w:color w:val="000000" w:themeColor="text1"/>
          <w:sz w:val="22"/>
          <w:lang w:val="es-ES_tradnl"/>
        </w:rPr>
        <w:t>Sin embargo</w:t>
      </w:r>
      <w:r w:rsidRPr="00C22EDD">
        <w:rPr>
          <w:rFonts w:ascii="Arial" w:hAnsi="Arial" w:cs="Arial"/>
          <w:bCs/>
          <w:color w:val="000000" w:themeColor="text1"/>
          <w:sz w:val="22"/>
          <w:lang w:val="es-ES_tradnl"/>
        </w:rPr>
        <w:t xml:space="preserve">, antes de proceder con ello, es importante hacer tres aclaraciones importantes: </w:t>
      </w:r>
    </w:p>
    <w:p w14:paraId="22AC5EC6" w14:textId="77777777" w:rsidR="00C212DA" w:rsidRPr="00C22EDD" w:rsidRDefault="00C212DA" w:rsidP="00C212DA">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primera es que la suspensión provisional es una medida cautelar consagrada en el artículo 238 de la Constitución Política</w:t>
      </w:r>
      <w:r w:rsidRPr="00C22EDD">
        <w:rPr>
          <w:rStyle w:val="Refdenotaalpie"/>
          <w:rFonts w:ascii="Arial" w:hAnsi="Arial" w:cs="Arial"/>
          <w:bCs/>
          <w:color w:val="000000" w:themeColor="text1"/>
          <w:sz w:val="22"/>
          <w:lang w:val="es-ES_tradnl"/>
        </w:rPr>
        <w:footnoteReference w:id="13"/>
      </w:r>
      <w:r w:rsidRPr="00C22EDD">
        <w:rPr>
          <w:rFonts w:ascii="Arial" w:hAnsi="Arial" w:cs="Arial"/>
          <w:bCs/>
          <w:color w:val="000000" w:themeColor="text1"/>
          <w:sz w:val="22"/>
          <w:lang w:val="es-ES_tradnl"/>
        </w:rPr>
        <w:t xml:space="preserve"> y en el artículo 230, numeral 3 de la Ley 1437 de 2011</w:t>
      </w:r>
      <w:r w:rsidRPr="00C22EDD">
        <w:rPr>
          <w:rStyle w:val="Refdenotaalpie"/>
          <w:rFonts w:ascii="Arial" w:hAnsi="Arial" w:cs="Arial"/>
          <w:bCs/>
          <w:color w:val="000000" w:themeColor="text1"/>
          <w:sz w:val="22"/>
          <w:lang w:val="es-ES_tradnl"/>
        </w:rPr>
        <w:footnoteReference w:id="14"/>
      </w:r>
      <w:r w:rsidRPr="00C22EDD">
        <w:rPr>
          <w:rFonts w:ascii="Arial" w:hAnsi="Arial" w:cs="Arial"/>
          <w:bCs/>
          <w:color w:val="000000" w:themeColor="text1"/>
          <w:sz w:val="22"/>
          <w:lang w:val="es-ES_tradnl"/>
        </w:rPr>
        <w:t>, que genera –al menos mientras se expide la sentencia– la pérdida de fuerza ejecutoria de los actos administrativos</w:t>
      </w:r>
      <w:r w:rsidRPr="00C22EDD">
        <w:rPr>
          <w:rStyle w:val="Refdenotaalpie"/>
          <w:rFonts w:ascii="Arial" w:hAnsi="Arial" w:cs="Arial"/>
          <w:bCs/>
          <w:color w:val="000000" w:themeColor="text1"/>
          <w:sz w:val="22"/>
          <w:lang w:val="es-ES_tradnl"/>
        </w:rPr>
        <w:footnoteReference w:id="15"/>
      </w:r>
      <w:r w:rsidRPr="00C22EDD">
        <w:rPr>
          <w:rFonts w:ascii="Arial" w:hAnsi="Arial" w:cs="Arial"/>
          <w:bCs/>
          <w:color w:val="000000" w:themeColor="text1"/>
          <w:sz w:val="22"/>
          <w:lang w:val="es-ES_tradnl"/>
        </w:rPr>
        <w:t xml:space="preserve">, pero no la pérdida de su presunción de legalidad, </w:t>
      </w:r>
      <w:r w:rsidRPr="00C22EDD">
        <w:rPr>
          <w:rFonts w:ascii="Arial" w:hAnsi="Arial" w:cs="Arial"/>
          <w:bCs/>
          <w:color w:val="000000" w:themeColor="text1"/>
          <w:sz w:val="22"/>
          <w:lang w:val="es-ES_tradnl"/>
        </w:rPr>
        <w:lastRenderedPageBreak/>
        <w:t xml:space="preserve">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49BC8DA6" w14:textId="77777777" w:rsidR="00C212DA" w:rsidRPr="00C22EDD" w:rsidRDefault="00C212DA" w:rsidP="00C212DA">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6192EA3A" w14:textId="77777777" w:rsidR="00C212DA" w:rsidRPr="00C22EDD" w:rsidRDefault="00C212DA" w:rsidP="00C212DA">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tercera salvedad es que la Circular Externa Única –actualizada el 16 de abril de 2019–</w:t>
      </w:r>
      <w:r w:rsidRPr="00C22EDD">
        <w:rPr>
          <w:rStyle w:val="Refdenotaalpie"/>
          <w:rFonts w:ascii="Arial" w:hAnsi="Arial" w:cs="Arial"/>
          <w:bCs/>
          <w:color w:val="000000" w:themeColor="text1"/>
          <w:sz w:val="22"/>
          <w:lang w:val="es-ES_tradnl"/>
        </w:rPr>
        <w:footnoteReference w:id="16"/>
      </w:r>
      <w:r w:rsidRPr="00C22EDD">
        <w:rPr>
          <w:rFonts w:ascii="Arial" w:hAnsi="Arial" w:cs="Arial"/>
          <w:bCs/>
          <w:color w:val="000000" w:themeColor="text1"/>
          <w:sz w:val="22"/>
          <w:lang w:val="es-ES_tradnl"/>
        </w:rPr>
        <w:t xml:space="preserve">, la Circular No. 007 de 2020 </w:t>
      </w:r>
      <w:r w:rsidRPr="00C22EDD">
        <w:rPr>
          <w:rFonts w:ascii="Arial" w:hAnsi="Arial" w:cs="Arial"/>
          <w:bCs/>
          <w:color w:val="000000" w:themeColor="text1"/>
          <w:sz w:val="22"/>
          <w:lang w:val="es-ES_tradnl"/>
        </w:rPr>
        <w:softHyphen/>
        <w:t>–sobre actualización y diligenciamiento de información en el Sistema Electrónico para la Contratación Pública – SECOP–</w:t>
      </w:r>
      <w:r w:rsidRPr="00C22EDD">
        <w:rPr>
          <w:rStyle w:val="Refdenotaalpie"/>
          <w:rFonts w:ascii="Arial" w:hAnsi="Arial" w:cs="Arial"/>
          <w:bCs/>
          <w:color w:val="000000" w:themeColor="text1"/>
          <w:sz w:val="22"/>
          <w:lang w:val="es-ES_tradnl"/>
        </w:rPr>
        <w:footnoteReference w:id="17"/>
      </w:r>
      <w:r w:rsidRPr="00C22EDD">
        <w:rPr>
          <w:rFonts w:ascii="Arial" w:hAnsi="Arial" w:cs="Arial"/>
          <w:bCs/>
          <w:color w:val="000000" w:themeColor="text1"/>
          <w:sz w:val="22"/>
          <w:lang w:val="es-ES_tradnl"/>
        </w:rPr>
        <w:t xml:space="preserve"> y la Circular Nº 23 del 16 de marzo de 2017 –sobre la calidad y oportunidad de la información del Sistema de Compra Pública disponible en el SECOP–</w:t>
      </w:r>
      <w:r w:rsidRPr="00C22EDD">
        <w:rPr>
          <w:rStyle w:val="Refdenotaalpie"/>
          <w:rFonts w:ascii="Arial" w:hAnsi="Arial" w:cs="Arial"/>
          <w:bCs/>
          <w:color w:val="000000" w:themeColor="text1"/>
          <w:sz w:val="22"/>
          <w:lang w:val="es-ES_tradnl"/>
        </w:rPr>
        <w:footnoteReference w:id="18"/>
      </w:r>
      <w:r w:rsidRPr="00C22EDD">
        <w:rPr>
          <w:rFonts w:ascii="Arial" w:hAnsi="Arial" w:cs="Arial"/>
          <w:bCs/>
          <w:color w:val="000000" w:themeColor="text1"/>
          <w:sz w:val="22"/>
          <w:lang w:val="es-ES_tradnl"/>
        </w:rPr>
        <w:t>, permanecen vigentes, pues no fueron tampoco suspendidas por dicho auto. Como se verá, no obstante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w:t>
      </w:r>
      <w:r>
        <w:rPr>
          <w:rFonts w:ascii="Arial" w:hAnsi="Arial" w:cs="Arial"/>
          <w:bCs/>
          <w:color w:val="000000" w:themeColor="text1"/>
          <w:sz w:val="22"/>
          <w:lang w:val="es-ES_tradnl"/>
        </w:rPr>
        <w:t>, especialmente,</w:t>
      </w:r>
      <w:r w:rsidRPr="00C22EDD">
        <w:rPr>
          <w:rFonts w:ascii="Arial" w:hAnsi="Arial" w:cs="Arial"/>
          <w:bCs/>
          <w:color w:val="000000" w:themeColor="text1"/>
          <w:sz w:val="22"/>
          <w:lang w:val="es-ES_tradnl"/>
        </w:rPr>
        <w:t xml:space="preserve"> en normas de rango constitucional, legal y reglamentario, como las señaladas en los numerales 2.1. y 2.3. de este concepto. Hechas estas aclaraciones, se comentará el auto del 25 de febrero de 2021.</w:t>
      </w:r>
    </w:p>
    <w:p w14:paraId="5C309380"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En ejercicio del medio de control de nulidad simple, dos empresas prestadoras de servicios públicos domiciliarios interpusieron demandas en contra de la Agencia Nacional de Contratación Pública – Colombia Compra Eficiente, para que se declarara la nulidad de las circulares externas No. 1 de 21 de junio de 2013 y No. 20 de 27 de agosto de 2015, considerando que dichas circulares se expidieron con falta de competencia e inobservancia </w:t>
      </w:r>
      <w:r w:rsidRPr="00C22EDD">
        <w:rPr>
          <w:rFonts w:ascii="Arial" w:hAnsi="Arial" w:cs="Arial"/>
          <w:color w:val="000000" w:themeColor="text1"/>
          <w:sz w:val="22"/>
          <w:lang w:val="es-ES_tradnl"/>
        </w:rPr>
        <w:lastRenderedPageBreak/>
        <w:t>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4E978CEF"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(ii) las Circulares Externas No. 1 de 21 de junio de 2013 y 20 de 27 de agosto de 2015 contrarían lo previsto en el artículo 3o de la Ley 1150 de 2007»</w:t>
      </w:r>
      <w:r w:rsidRPr="00C22EDD">
        <w:rPr>
          <w:rStyle w:val="Refdenotaalpie"/>
          <w:rFonts w:ascii="Arial" w:hAnsi="Arial" w:cs="Arial"/>
          <w:color w:val="000000" w:themeColor="text1"/>
          <w:sz w:val="22"/>
          <w:lang w:val="es-ES_tradnl"/>
        </w:rPr>
        <w:footnoteReference w:id="19"/>
      </w:r>
      <w:r w:rsidRPr="00C22EDD">
        <w:rPr>
          <w:rFonts w:ascii="Arial" w:hAnsi="Arial" w:cs="Arial"/>
          <w:color w:val="000000" w:themeColor="text1"/>
          <w:sz w:val="22"/>
          <w:lang w:val="es-ES_tradnl"/>
        </w:rPr>
        <w:t xml:space="preserve">. </w:t>
      </w:r>
      <w:r>
        <w:rPr>
          <w:rFonts w:ascii="Arial" w:hAnsi="Arial" w:cs="Arial"/>
          <w:color w:val="000000" w:themeColor="text1"/>
          <w:sz w:val="22"/>
          <w:lang w:val="es-ES_tradnl"/>
        </w:rPr>
        <w:t>La providencia</w:t>
      </w:r>
      <w:r w:rsidRPr="00C22EDD">
        <w:rPr>
          <w:rFonts w:ascii="Arial" w:hAnsi="Arial" w:cs="Arial"/>
          <w:color w:val="000000" w:themeColor="text1"/>
          <w:sz w:val="22"/>
          <w:lang w:val="es-ES_tradnl"/>
        </w:rPr>
        <w:t>, además, indica que se aparta del auto de la Sección Tercera del 14 de agosto de 201</w:t>
      </w:r>
      <w:r>
        <w:rPr>
          <w:rFonts w:ascii="Arial" w:hAnsi="Arial" w:cs="Arial"/>
          <w:color w:val="000000" w:themeColor="text1"/>
          <w:sz w:val="22"/>
          <w:lang w:val="es-ES_tradnl"/>
        </w:rPr>
        <w:t>7</w:t>
      </w:r>
      <w:r w:rsidRPr="00C22EDD">
        <w:rPr>
          <w:rFonts w:ascii="Arial" w:hAnsi="Arial" w:cs="Arial"/>
          <w:color w:val="000000" w:themeColor="text1"/>
          <w:sz w:val="22"/>
          <w:lang w:val="es-ES_tradnl"/>
        </w:rPr>
        <w:t>, que había negado la suspensión provisional de la circular externa No. 1 de 21 de junio de 2013, por considerar que no hace un análisis adecuado sobre la viabilidad de dicha medida y porque no existe en él cosa juzgada.</w:t>
      </w:r>
    </w:p>
    <w:p w14:paraId="27069B32"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C22EDD">
        <w:rPr>
          <w:rFonts w:ascii="Arial" w:hAnsi="Arial" w:cs="Arial"/>
          <w:i/>
          <w:iCs/>
          <w:color w:val="000000" w:themeColor="text1"/>
          <w:sz w:val="22"/>
          <w:lang w:val="es-ES_tradnl"/>
        </w:rPr>
        <w:t>información oficial</w:t>
      </w:r>
      <w:r w:rsidRPr="00C22EDD">
        <w:rPr>
          <w:rFonts w:ascii="Arial" w:hAnsi="Arial" w:cs="Arial"/>
          <w:color w:val="000000" w:themeColor="text1"/>
          <w:sz w:val="22"/>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w:t>
      </w:r>
      <w:r>
        <w:rPr>
          <w:rFonts w:ascii="Arial" w:hAnsi="Arial" w:cs="Arial"/>
          <w:color w:val="000000" w:themeColor="text1"/>
          <w:sz w:val="22"/>
          <w:lang w:val="es-ES_tradnl"/>
        </w:rPr>
        <w:t xml:space="preserve"> ‒en adelante también EGCAP‒</w:t>
      </w:r>
      <w:r w:rsidRPr="00C22EDD">
        <w:rPr>
          <w:rFonts w:ascii="Arial" w:hAnsi="Arial" w:cs="Arial"/>
          <w:color w:val="000000" w:themeColor="text1"/>
          <w:sz w:val="22"/>
          <w:lang w:val="es-ES_tradnl"/>
        </w:rPr>
        <w:t>. En consecuencia, para el Consejo de Estado, Colombia Compra eficiente ejerció una potestad reglamentaria sobre el mencionado literal de la Ley 1150 de 2007, para la cual carec</w:t>
      </w:r>
      <w:r>
        <w:rPr>
          <w:rFonts w:ascii="Arial" w:hAnsi="Arial" w:cs="Arial"/>
          <w:color w:val="000000" w:themeColor="text1"/>
          <w:sz w:val="22"/>
          <w:lang w:val="es-ES_tradnl"/>
        </w:rPr>
        <w:t>ía</w:t>
      </w:r>
      <w:r w:rsidRPr="00C22EDD">
        <w:rPr>
          <w:rFonts w:ascii="Arial" w:hAnsi="Arial" w:cs="Arial"/>
          <w:color w:val="000000" w:themeColor="text1"/>
          <w:sz w:val="22"/>
          <w:lang w:val="es-ES_tradnl"/>
        </w:rPr>
        <w:t xml:space="preserve"> de competencia.</w:t>
      </w:r>
    </w:p>
    <w:p w14:paraId="437C95FF"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No obstante,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2"/>
          <w:lang w:val="es-ES_tradnl"/>
        </w:rPr>
        <w:t>sí</w:t>
      </w:r>
      <w:r w:rsidRPr="00C22EDD">
        <w:rPr>
          <w:rFonts w:ascii="Arial" w:hAnsi="Arial" w:cs="Arial"/>
          <w:color w:val="000000" w:themeColor="text1"/>
          <w:sz w:val="22"/>
          <w:lang w:val="es-ES_tradnl"/>
        </w:rPr>
        <w:t xml:space="preserve"> les resulta aplicable el deber de publicar la «información oficial de la contratación» en el SECOP, pero no de la manera como precisó el alcance de dicho mandato la Agencia </w:t>
      </w:r>
      <w:r w:rsidRPr="00C22EDD">
        <w:rPr>
          <w:rFonts w:ascii="Arial" w:hAnsi="Arial" w:cs="Arial"/>
          <w:color w:val="000000" w:themeColor="text1"/>
          <w:sz w:val="22"/>
          <w:lang w:val="es-ES_tradnl"/>
        </w:rPr>
        <w:lastRenderedPageBreak/>
        <w:t>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C22EDD">
        <w:rPr>
          <w:rStyle w:val="Refdenotaalpie"/>
          <w:rFonts w:ascii="Arial" w:hAnsi="Arial" w:cs="Arial"/>
          <w:color w:val="000000" w:themeColor="text1"/>
          <w:sz w:val="22"/>
          <w:lang w:val="es-ES_tradnl"/>
        </w:rPr>
        <w:footnoteReference w:id="20"/>
      </w:r>
      <w:r w:rsidRPr="00C22EDD">
        <w:rPr>
          <w:rFonts w:ascii="Arial" w:hAnsi="Arial" w:cs="Arial"/>
          <w:color w:val="000000" w:themeColor="text1"/>
          <w:sz w:val="22"/>
          <w:lang w:val="es-ES_tradnl"/>
        </w:rPr>
        <w:t>. Para el Consejo de Estado, quien debe decir qué debe entenderse por la expresión «información oficial de la contratación» es el legislador o a lo sumo el gobierno nacional a través de un decreto reglamentario, no la Agencia mediante una circular.</w:t>
      </w:r>
    </w:p>
    <w:p w14:paraId="1D932065" w14:textId="77777777" w:rsidR="00C212DA" w:rsidRPr="00C22EDD" w:rsidRDefault="00C212DA" w:rsidP="00C212DA">
      <w:pPr>
        <w:spacing w:before="120" w:line="276" w:lineRule="auto"/>
        <w:ind w:firstLine="709"/>
        <w:jc w:val="both"/>
        <w:rPr>
          <w:rFonts w:ascii="Arial" w:hAnsi="Arial" w:cs="Arial"/>
          <w:sz w:val="22"/>
          <w:szCs w:val="22"/>
          <w:lang w:val="es-ES_tradnl"/>
        </w:rPr>
      </w:pPr>
      <w:r w:rsidRPr="00C22EDD">
        <w:rPr>
          <w:rFonts w:ascii="Arial" w:hAnsi="Arial" w:cs="Arial"/>
          <w:color w:val="000000" w:themeColor="text1"/>
          <w:sz w:val="22"/>
          <w:szCs w:val="22"/>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2"/>
          <w:szCs w:val="22"/>
          <w:lang w:val="es-ES_tradnl"/>
        </w:rPr>
        <w:t>No hay duda de que el literal c) del artículo 3o pertenece a este grupo de normas. Expresamente establece que ese aparte del artículo se aplica a la “</w:t>
      </w:r>
      <w:r w:rsidRPr="00C22EDD">
        <w:rPr>
          <w:rFonts w:ascii="Arial" w:hAnsi="Arial" w:cs="Arial"/>
          <w:i/>
          <w:iCs/>
          <w:sz w:val="22"/>
          <w:szCs w:val="22"/>
          <w:lang w:val="es-ES_tradnl"/>
        </w:rPr>
        <w:t>contratación realizada con dineros públicos</w:t>
      </w:r>
      <w:r w:rsidRPr="00C22EDD">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C22EDD">
        <w:rPr>
          <w:rStyle w:val="Refdenotaalpie"/>
          <w:rFonts w:ascii="Arial" w:hAnsi="Arial" w:cs="Arial"/>
          <w:sz w:val="22"/>
          <w:szCs w:val="22"/>
          <w:lang w:val="es-ES_tradnl"/>
        </w:rPr>
        <w:footnoteReference w:id="21"/>
      </w:r>
      <w:r w:rsidRPr="00C22EDD">
        <w:rPr>
          <w:rFonts w:ascii="Arial" w:hAnsi="Arial" w:cs="Arial"/>
          <w:sz w:val="22"/>
          <w:szCs w:val="22"/>
          <w:lang w:val="es-ES_tradnl"/>
        </w:rPr>
        <w:t xml:space="preserve">. </w:t>
      </w:r>
    </w:p>
    <w:p w14:paraId="304E847B" w14:textId="77777777" w:rsidR="00C212DA" w:rsidRPr="00C22EDD" w:rsidRDefault="00C212DA" w:rsidP="00C212DA">
      <w:pPr>
        <w:spacing w:before="120"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El Consejo de Estado </w:t>
      </w:r>
      <w:r>
        <w:rPr>
          <w:rFonts w:ascii="Arial" w:hAnsi="Arial" w:cs="Arial"/>
          <w:sz w:val="22"/>
          <w:szCs w:val="22"/>
          <w:lang w:val="es-ES_tradnl"/>
        </w:rPr>
        <w:t>señala</w:t>
      </w:r>
      <w:r w:rsidRPr="00C22EDD">
        <w:rPr>
          <w:rFonts w:ascii="Arial" w:hAnsi="Arial" w:cs="Arial"/>
          <w:sz w:val="22"/>
          <w:szCs w:val="22"/>
          <w:lang w:val="es-ES_tradnl"/>
        </w:rPr>
        <w:t xml:space="preserve">, por tanto, </w:t>
      </w:r>
      <w:r>
        <w:rPr>
          <w:rFonts w:ascii="Arial" w:hAnsi="Arial" w:cs="Arial"/>
          <w:sz w:val="22"/>
          <w:szCs w:val="22"/>
          <w:lang w:val="es-ES_tradnl"/>
        </w:rPr>
        <w:t xml:space="preserve">en armonía con lo sostenido por esta Agencia, </w:t>
      </w:r>
      <w:r w:rsidRPr="00C22EDD">
        <w:rPr>
          <w:rFonts w:ascii="Arial" w:hAnsi="Arial" w:cs="Arial"/>
          <w:sz w:val="22"/>
          <w:szCs w:val="22"/>
          <w:lang w:val="es-ES_tradnl"/>
        </w:rPr>
        <w:t xml:space="preserve">que el mandato de publicar la «información oficial de la contratación» se predica de la contratación </w:t>
      </w:r>
      <w:r w:rsidRPr="00C22EDD">
        <w:rPr>
          <w:rFonts w:ascii="Arial" w:hAnsi="Arial" w:cs="Arial"/>
          <w:i/>
          <w:iCs/>
          <w:sz w:val="22"/>
          <w:szCs w:val="22"/>
          <w:lang w:val="es-ES_tradnl"/>
        </w:rPr>
        <w:t>con recursos públicos</w:t>
      </w:r>
      <w:r w:rsidRPr="00C22EDD">
        <w:rPr>
          <w:rFonts w:ascii="Arial" w:hAnsi="Arial" w:cs="Arial"/>
          <w:sz w:val="22"/>
          <w:szCs w:val="22"/>
          <w:lang w:val="es-ES_tradnl"/>
        </w:rPr>
        <w:t>, independientemente de si es adelantada por una entidad estatal sometida o exceptuada del Estatuto General de Contratación de la Administración Pública</w:t>
      </w:r>
      <w:r>
        <w:rPr>
          <w:rFonts w:ascii="Arial" w:hAnsi="Arial" w:cs="Arial"/>
          <w:sz w:val="22"/>
          <w:szCs w:val="22"/>
          <w:lang w:val="es-ES_tradnl"/>
        </w:rPr>
        <w:t xml:space="preserve"> ‒EGCAP‒</w:t>
      </w:r>
      <w:r w:rsidRPr="00C22EDD">
        <w:rPr>
          <w:rFonts w:ascii="Arial" w:hAnsi="Arial" w:cs="Arial"/>
          <w:sz w:val="22"/>
          <w:szCs w:val="22"/>
          <w:lang w:val="es-ES_tradnl"/>
        </w:rPr>
        <w:t xml:space="preserve">. Sin embargo, aclara que el alcance de dicha obligación no es igual para las entidades que se rigen </w:t>
      </w:r>
      <w:r>
        <w:rPr>
          <w:rFonts w:ascii="Arial" w:hAnsi="Arial" w:cs="Arial"/>
          <w:sz w:val="22"/>
          <w:szCs w:val="22"/>
          <w:lang w:val="es-ES_tradnl"/>
        </w:rPr>
        <w:t xml:space="preserve">por </w:t>
      </w:r>
      <w:r w:rsidRPr="00C22EDD">
        <w:rPr>
          <w:rFonts w:ascii="Arial" w:hAnsi="Arial" w:cs="Arial"/>
          <w:sz w:val="22"/>
          <w:szCs w:val="22"/>
          <w:lang w:val="es-ES_tradnl"/>
        </w:rPr>
        <w:t xml:space="preserve">la Ley 80 de 1993 y demás normas complementarias, que para las que aplican el derecho privado o cuentan con un régimen especial. Al respecto, afirma que mientras que una entidad sometida al </w:t>
      </w:r>
      <w:r>
        <w:rPr>
          <w:rFonts w:ascii="Arial" w:hAnsi="Arial" w:cs="Arial"/>
          <w:sz w:val="22"/>
          <w:szCs w:val="22"/>
          <w:lang w:val="es-ES_tradnl"/>
        </w:rPr>
        <w:t>EGCAP</w:t>
      </w:r>
      <w:r w:rsidRPr="00C22EDD">
        <w:rPr>
          <w:rFonts w:ascii="Arial" w:hAnsi="Arial" w:cs="Arial"/>
          <w:sz w:val="22"/>
          <w:szCs w:val="22"/>
          <w:lang w:val="es-ES_tradnl"/>
        </w:rPr>
        <w:t xml:space="preserve"> debe publicar «todos los actos relacionados con la actividad contractual», esto mismo no lo exige el artículo 3 de la Ley 1150 de 2007 para las entidades exceptuadas de dicho Estatuto. Según el alto tribunal, esta interpretación es acorde con los principio</w:t>
      </w:r>
      <w:r>
        <w:rPr>
          <w:rFonts w:ascii="Arial" w:hAnsi="Arial" w:cs="Arial"/>
          <w:sz w:val="22"/>
          <w:szCs w:val="22"/>
          <w:lang w:val="es-ES_tradnl"/>
        </w:rPr>
        <w:t>s</w:t>
      </w:r>
      <w:r w:rsidRPr="00C22EDD">
        <w:rPr>
          <w:rFonts w:ascii="Arial" w:hAnsi="Arial" w:cs="Arial"/>
          <w:sz w:val="22"/>
          <w:szCs w:val="22"/>
          <w:lang w:val="es-ES_tradnl"/>
        </w:rPr>
        <w:t xml:space="preserve">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w:t>
      </w:r>
      <w:r w:rsidRPr="00C22EDD">
        <w:rPr>
          <w:rFonts w:ascii="Arial" w:hAnsi="Arial" w:cs="Arial"/>
          <w:sz w:val="22"/>
          <w:szCs w:val="22"/>
          <w:lang w:val="es-ES_tradnl"/>
        </w:rPr>
        <w:lastRenderedPageBreak/>
        <w:t>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4F3D2897"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C22EDD">
        <w:rPr>
          <w:rFonts w:ascii="Arial" w:hAnsi="Arial" w:cs="Arial"/>
          <w:color w:val="000000" w:themeColor="text1"/>
          <w:sz w:val="22"/>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C22EDD">
        <w:rPr>
          <w:rFonts w:ascii="Arial" w:hAnsi="Arial" w:cs="Arial"/>
          <w:i/>
          <w:iCs/>
          <w:color w:val="000000" w:themeColor="text1"/>
          <w:sz w:val="22"/>
          <w:lang w:val="es-ES_tradnl"/>
        </w:rPr>
        <w:t>quedaron vigentes</w:t>
      </w:r>
      <w:r w:rsidRPr="00C22EDD">
        <w:rPr>
          <w:rFonts w:ascii="Arial" w:hAnsi="Arial" w:cs="Arial"/>
          <w:color w:val="000000" w:themeColor="text1"/>
          <w:sz w:val="22"/>
          <w:lang w:val="es-ES_tradnl"/>
        </w:rPr>
        <w:t>, redactadas en los siguientes términos –solo hay que entender suspendidas las expresiones tachadas–:</w:t>
      </w:r>
    </w:p>
    <w:p w14:paraId="784B14C0" w14:textId="77777777" w:rsidR="00C212DA" w:rsidRPr="00C22EDD" w:rsidRDefault="00C212DA" w:rsidP="00C212DA">
      <w:pPr>
        <w:ind w:left="709" w:right="709"/>
        <w:jc w:val="both"/>
        <w:rPr>
          <w:rFonts w:ascii="Arial" w:hAnsi="Arial" w:cs="Arial"/>
          <w:color w:val="000000" w:themeColor="text1"/>
          <w:sz w:val="21"/>
          <w:szCs w:val="21"/>
          <w:lang w:val="es-ES_tradnl"/>
        </w:rPr>
      </w:pPr>
    </w:p>
    <w:p w14:paraId="7367F92A" w14:textId="77777777" w:rsidR="00C212DA" w:rsidRPr="00C22EDD" w:rsidRDefault="00C212DA" w:rsidP="00C212DA">
      <w:pPr>
        <w:widowControl w:val="0"/>
        <w:ind w:left="709" w:right="709"/>
        <w:jc w:val="both"/>
        <w:rPr>
          <w:rFonts w:ascii="Arial" w:eastAsia="Arial" w:hAnsi="Arial" w:cs="Arial"/>
          <w:sz w:val="21"/>
          <w:szCs w:val="21"/>
          <w:lang w:val="es-ES_tradnl"/>
        </w:rPr>
      </w:pPr>
      <w:r w:rsidRPr="00C22EDD">
        <w:rPr>
          <w:rFonts w:ascii="Arial" w:eastAsia="Arial" w:hAnsi="Arial" w:cs="Arial"/>
          <w:sz w:val="21"/>
          <w:szCs w:val="21"/>
          <w:lang w:val="es-ES_tradnl"/>
        </w:rPr>
        <w:t>Circular Externa No. 1 del 21 de junio de 2013:</w:t>
      </w:r>
    </w:p>
    <w:p w14:paraId="76CEC45A" w14:textId="77777777" w:rsidR="00C212DA" w:rsidRPr="00C22EDD" w:rsidRDefault="00C212DA" w:rsidP="00C212DA">
      <w:pPr>
        <w:widowControl w:val="0"/>
        <w:ind w:left="709" w:right="709"/>
        <w:jc w:val="both"/>
        <w:rPr>
          <w:rFonts w:ascii="Arial" w:eastAsia="Arial" w:hAnsi="Arial" w:cs="Arial"/>
          <w:sz w:val="21"/>
          <w:szCs w:val="21"/>
          <w:lang w:val="es-ES_tradnl"/>
        </w:rPr>
      </w:pPr>
    </w:p>
    <w:p w14:paraId="754FB9E3"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&lt;&lt;Para: Entidades que contratan con recursos públicos</w:t>
      </w:r>
    </w:p>
    <w:p w14:paraId="0E9B29C9"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en el SECOP</w:t>
      </w:r>
    </w:p>
    <w:p w14:paraId="719EC248" w14:textId="77777777" w:rsidR="00C212DA" w:rsidRPr="00C22EDD" w:rsidRDefault="00C212DA" w:rsidP="00C212DA">
      <w:pPr>
        <w:widowControl w:val="0"/>
        <w:ind w:left="709" w:right="709"/>
        <w:jc w:val="both"/>
        <w:rPr>
          <w:rFonts w:ascii="Arial" w:eastAsia="Arial" w:hAnsi="Arial" w:cs="Arial"/>
          <w:i/>
          <w:sz w:val="21"/>
          <w:szCs w:val="21"/>
          <w:lang w:val="es-ES_tradnl"/>
        </w:rPr>
      </w:pPr>
    </w:p>
    <w:p w14:paraId="7290422F"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Sistema Electrónico para la Contratación Pública -SECOP-.</w:t>
      </w:r>
    </w:p>
    <w:p w14:paraId="2347F2FF" w14:textId="77777777" w:rsidR="00C212DA" w:rsidRPr="00C22EDD" w:rsidRDefault="00C212DA" w:rsidP="00C212DA">
      <w:pPr>
        <w:widowControl w:val="0"/>
        <w:ind w:left="709" w:right="709"/>
        <w:jc w:val="both"/>
        <w:rPr>
          <w:rFonts w:ascii="Arial" w:eastAsia="Arial" w:hAnsi="Arial" w:cs="Arial"/>
          <w:i/>
          <w:sz w:val="21"/>
          <w:szCs w:val="21"/>
          <w:lang w:val="es-ES_tradnl"/>
        </w:rPr>
      </w:pPr>
    </w:p>
    <w:p w14:paraId="1A41E619"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contratan con cargo a recursos públicos están obligadas a publicar oportunamente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que se ejecute con cargo a recursos públicos.</w:t>
      </w:r>
    </w:p>
    <w:p w14:paraId="6D250F2B" w14:textId="77777777" w:rsidR="00C212DA" w:rsidRPr="00C22EDD" w:rsidRDefault="00C212DA" w:rsidP="00C212DA">
      <w:pPr>
        <w:widowControl w:val="0"/>
        <w:ind w:left="709" w:right="709"/>
        <w:jc w:val="both"/>
        <w:rPr>
          <w:rFonts w:ascii="Arial" w:eastAsia="Arial" w:hAnsi="Arial" w:cs="Arial"/>
          <w:i/>
          <w:sz w:val="21"/>
          <w:szCs w:val="21"/>
          <w:lang w:val="es-ES_tradnl"/>
        </w:rPr>
      </w:pPr>
    </w:p>
    <w:p w14:paraId="41C3C667"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0E9F38E9" w14:textId="77777777" w:rsidR="00C212DA" w:rsidRPr="00C22EDD" w:rsidRDefault="00C212DA" w:rsidP="00C212DA">
      <w:pPr>
        <w:widowControl w:val="0"/>
        <w:ind w:left="709" w:right="709"/>
        <w:jc w:val="both"/>
        <w:rPr>
          <w:rFonts w:ascii="Arial" w:eastAsia="Arial" w:hAnsi="Arial" w:cs="Arial"/>
          <w:i/>
          <w:sz w:val="21"/>
          <w:szCs w:val="21"/>
          <w:lang w:val="es-ES_tradnl"/>
        </w:rPr>
      </w:pPr>
    </w:p>
    <w:p w14:paraId="0D56EDCF"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contraten de acuerdo con regímenes especiales deben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en el SECOP utilizando la clasificación "régimen especial".</w:t>
      </w:r>
    </w:p>
    <w:p w14:paraId="5AEDC34A" w14:textId="77777777" w:rsidR="00C212DA" w:rsidRPr="00C22EDD" w:rsidRDefault="00C212DA" w:rsidP="00C212DA">
      <w:pPr>
        <w:widowControl w:val="0"/>
        <w:ind w:left="709" w:right="709"/>
        <w:jc w:val="both"/>
        <w:rPr>
          <w:rFonts w:ascii="Arial" w:eastAsia="Arial" w:hAnsi="Arial" w:cs="Arial"/>
          <w:i/>
          <w:sz w:val="21"/>
          <w:szCs w:val="21"/>
          <w:lang w:val="es-ES_tradnl"/>
        </w:rPr>
      </w:pPr>
    </w:p>
    <w:p w14:paraId="6E69C459" w14:textId="77777777" w:rsidR="00C212DA" w:rsidRPr="00C22EDD" w:rsidRDefault="00C212DA" w:rsidP="00C212DA">
      <w:pPr>
        <w:ind w:left="709" w:right="709"/>
        <w:jc w:val="both"/>
        <w:rPr>
          <w:rFonts w:ascii="Arial" w:eastAsia="Arial" w:hAnsi="Arial" w:cs="Arial"/>
          <w:sz w:val="21"/>
          <w:szCs w:val="21"/>
          <w:lang w:val="es-ES_tradnl"/>
        </w:rPr>
      </w:pPr>
      <w:r w:rsidRPr="00C22EDD">
        <w:rPr>
          <w:rFonts w:ascii="Arial" w:eastAsia="Arial" w:hAnsi="Arial" w:cs="Arial"/>
          <w:i/>
          <w:sz w:val="21"/>
          <w:szCs w:val="21"/>
          <w:lang w:val="es-ES_tradnl"/>
        </w:rPr>
        <w:t xml:space="preserve">En http://www.colombiacompra.gov.co/es/compradores está publicado el instructivo para obtener el permiso para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Si tiene </w:t>
      </w:r>
      <w:r w:rsidRPr="00C22EDD">
        <w:rPr>
          <w:rFonts w:ascii="Arial" w:eastAsia="Arial" w:hAnsi="Arial" w:cs="Arial"/>
          <w:i/>
          <w:sz w:val="21"/>
          <w:szCs w:val="21"/>
          <w:lang w:val="es-ES_tradnl"/>
        </w:rPr>
        <w:lastRenderedPageBreak/>
        <w:t>dudas sobre el particular comuníquese en Bogotá al 5953525 opción 5 y para el resto del país al 018000952525 opción 5.&gt;&gt;</w:t>
      </w:r>
    </w:p>
    <w:p w14:paraId="6A9E7BB2" w14:textId="77777777" w:rsidR="00C212DA" w:rsidRPr="00C22EDD" w:rsidRDefault="00C212DA" w:rsidP="00C212DA">
      <w:pPr>
        <w:widowControl w:val="0"/>
        <w:ind w:left="709" w:right="709"/>
        <w:jc w:val="both"/>
        <w:rPr>
          <w:rFonts w:ascii="Arial" w:eastAsia="Arial" w:hAnsi="Arial" w:cs="Arial"/>
          <w:sz w:val="21"/>
          <w:szCs w:val="21"/>
          <w:lang w:val="es-ES_tradnl"/>
        </w:rPr>
      </w:pPr>
    </w:p>
    <w:p w14:paraId="5CFC551F" w14:textId="77777777" w:rsidR="00C212DA" w:rsidRPr="00C22EDD" w:rsidRDefault="00C212DA" w:rsidP="00C212DA">
      <w:pPr>
        <w:widowControl w:val="0"/>
        <w:ind w:left="709" w:right="709"/>
        <w:jc w:val="both"/>
        <w:rPr>
          <w:rFonts w:ascii="Arial" w:eastAsia="Arial" w:hAnsi="Arial" w:cs="Arial"/>
          <w:sz w:val="21"/>
          <w:szCs w:val="21"/>
          <w:u w:val="single"/>
          <w:lang w:val="es-ES_tradnl"/>
        </w:rPr>
      </w:pPr>
      <w:r w:rsidRPr="00C22EDD">
        <w:rPr>
          <w:rFonts w:ascii="Arial" w:eastAsia="Arial" w:hAnsi="Arial" w:cs="Arial"/>
          <w:sz w:val="21"/>
          <w:szCs w:val="21"/>
          <w:u w:val="single"/>
          <w:lang w:val="es-ES_tradnl"/>
        </w:rPr>
        <w:t>Circular Externa No. 20 del 27 de agosto de 2015:</w:t>
      </w:r>
    </w:p>
    <w:p w14:paraId="575A70F5" w14:textId="77777777" w:rsidR="00C212DA" w:rsidRPr="00C22EDD" w:rsidRDefault="00C212DA" w:rsidP="00C212DA">
      <w:pPr>
        <w:widowControl w:val="0"/>
        <w:ind w:left="709" w:right="709"/>
        <w:jc w:val="both"/>
        <w:rPr>
          <w:rFonts w:ascii="Arial" w:eastAsia="Arial" w:hAnsi="Arial" w:cs="Arial"/>
          <w:sz w:val="21"/>
          <w:szCs w:val="21"/>
          <w:lang w:val="es-ES_tradnl"/>
        </w:rPr>
      </w:pPr>
    </w:p>
    <w:p w14:paraId="43AC5A05"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&lt;&lt;Para: Entidades que contratan con recursos públicos </w:t>
      </w:r>
    </w:p>
    <w:p w14:paraId="460644B0"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7985E9BA" w14:textId="77777777" w:rsidR="00C212DA" w:rsidRPr="00C22EDD" w:rsidRDefault="00C212DA" w:rsidP="00C212DA">
      <w:pPr>
        <w:ind w:left="709" w:right="709"/>
        <w:jc w:val="both"/>
        <w:rPr>
          <w:rFonts w:ascii="Arial" w:eastAsia="Arial" w:hAnsi="Arial" w:cs="Arial"/>
          <w:i/>
          <w:sz w:val="21"/>
          <w:szCs w:val="21"/>
          <w:lang w:val="es-ES_tradnl"/>
        </w:rPr>
      </w:pPr>
    </w:p>
    <w:p w14:paraId="216483F3"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2826D307" w14:textId="77777777" w:rsidR="00C212DA" w:rsidRPr="00C22EDD" w:rsidRDefault="00C212DA" w:rsidP="00C212DA">
      <w:pPr>
        <w:ind w:left="709" w:right="709"/>
        <w:jc w:val="both"/>
        <w:rPr>
          <w:rFonts w:ascii="Arial" w:eastAsia="Arial" w:hAnsi="Arial" w:cs="Arial"/>
          <w:i/>
          <w:sz w:val="21"/>
          <w:szCs w:val="21"/>
          <w:lang w:val="es-ES_tradnl"/>
        </w:rPr>
      </w:pPr>
    </w:p>
    <w:p w14:paraId="747A6D89"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C22EDD">
        <w:rPr>
          <w:rFonts w:ascii="Arial" w:eastAsia="Arial" w:hAnsi="Arial" w:cs="Arial"/>
          <w:i/>
          <w:strike/>
          <w:sz w:val="21"/>
          <w:szCs w:val="21"/>
          <w:lang w:val="es-ES_tradnl"/>
        </w:rPr>
        <w:t>de su actividad contractual</w:t>
      </w:r>
      <w:r w:rsidRPr="00C22EDD">
        <w:rPr>
          <w:rFonts w:ascii="Arial" w:eastAsia="Arial" w:hAnsi="Arial" w:cs="Arial"/>
          <w:i/>
          <w:sz w:val="21"/>
          <w:szCs w:val="21"/>
          <w:lang w:val="es-ES_tradnl"/>
        </w:rPr>
        <w:t xml:space="preserve">. La información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17C9113D" w14:textId="77777777" w:rsidR="00C212DA" w:rsidRPr="00C22EDD" w:rsidRDefault="00C212DA" w:rsidP="00C212DA">
      <w:pPr>
        <w:ind w:left="709" w:right="709"/>
        <w:jc w:val="both"/>
        <w:rPr>
          <w:rFonts w:ascii="Arial" w:eastAsia="Arial" w:hAnsi="Arial" w:cs="Arial"/>
          <w:i/>
          <w:sz w:val="21"/>
          <w:szCs w:val="21"/>
          <w:lang w:val="es-ES_tradnl"/>
        </w:rPr>
      </w:pPr>
    </w:p>
    <w:p w14:paraId="17A71D5D" w14:textId="77777777" w:rsidR="00C212DA" w:rsidRPr="00C22EDD" w:rsidRDefault="00C212DA" w:rsidP="00C212DA">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SECOP utilizando la clasificación "régimen especial”.&gt;&gt;</w:t>
      </w:r>
    </w:p>
    <w:p w14:paraId="011E4837" w14:textId="77777777" w:rsidR="00C212DA" w:rsidRPr="00C22EDD" w:rsidRDefault="00C212DA" w:rsidP="00C212DA">
      <w:pPr>
        <w:ind w:right="709"/>
        <w:jc w:val="both"/>
        <w:rPr>
          <w:rFonts w:ascii="Arial" w:hAnsi="Arial" w:cs="Arial"/>
          <w:color w:val="000000" w:themeColor="text1"/>
          <w:sz w:val="21"/>
          <w:szCs w:val="21"/>
          <w:lang w:val="es-ES_tradnl"/>
        </w:rPr>
      </w:pPr>
    </w:p>
    <w:p w14:paraId="01C507C7" w14:textId="77777777" w:rsidR="00C212DA" w:rsidRPr="00C22EDD" w:rsidRDefault="00C212DA" w:rsidP="00C212DA">
      <w:pPr>
        <w:spacing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w:t>
      </w:r>
      <w:r>
        <w:rPr>
          <w:rFonts w:ascii="Arial" w:hAnsi="Arial" w:cs="Arial"/>
          <w:sz w:val="22"/>
          <w:szCs w:val="22"/>
          <w:lang w:val="es-ES_tradnl"/>
        </w:rPr>
        <w:t>Esta</w:t>
      </w:r>
      <w:r w:rsidRPr="00C22EDD">
        <w:rPr>
          <w:rFonts w:ascii="Arial" w:hAnsi="Arial" w:cs="Arial"/>
          <w:sz w:val="22"/>
          <w:szCs w:val="22"/>
          <w:lang w:val="es-ES_tradnl"/>
        </w:rPr>
        <w:t xml:space="preserve"> obligación se fundamenta, entre otros, en los siguientes enunciados normativos: i) los artículos 74 y 209 de la Constitución, ii) el artículo 3, literal c) de la Ley 1150 de 2007, iii) los artículos 3</w:t>
      </w:r>
      <w:r>
        <w:rPr>
          <w:rFonts w:ascii="Arial" w:hAnsi="Arial" w:cs="Arial"/>
          <w:sz w:val="22"/>
          <w:szCs w:val="22"/>
          <w:lang w:val="es-ES_tradnl"/>
        </w:rPr>
        <w:t>, 9, literal e) y</w:t>
      </w:r>
      <w:r w:rsidRPr="00C22EDD">
        <w:rPr>
          <w:rFonts w:ascii="Arial" w:hAnsi="Arial" w:cs="Arial"/>
          <w:sz w:val="22"/>
          <w:szCs w:val="22"/>
          <w:lang w:val="es-ES_tradnl"/>
        </w:rPr>
        <w:t xml:space="preserve"> 11, literal g), de la Ley 1712 de 2014, iv) </w:t>
      </w:r>
      <w:r w:rsidRPr="00C22EDD">
        <w:rPr>
          <w:rFonts w:ascii="Arial" w:eastAsia="Calibri" w:hAnsi="Arial" w:cs="Arial"/>
          <w:color w:val="000000" w:themeColor="text1"/>
          <w:sz w:val="22"/>
          <w:lang w:val="es-ES_tradnl"/>
        </w:rPr>
        <w:t xml:space="preserve">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w:t>
      </w:r>
      <w:r w:rsidRPr="00C22EDD">
        <w:rPr>
          <w:rFonts w:ascii="Arial" w:hAnsi="Arial" w:cs="Arial"/>
          <w:sz w:val="22"/>
          <w:szCs w:val="22"/>
          <w:lang w:val="es-ES_tradnl"/>
        </w:rPr>
        <w:t xml:space="preserve"> y v) las circulares </w:t>
      </w:r>
      <w:r w:rsidRPr="00C22EDD">
        <w:rPr>
          <w:rFonts w:ascii="Arial" w:eastAsia="Arial" w:hAnsi="Arial" w:cs="Arial"/>
          <w:sz w:val="22"/>
          <w:szCs w:val="22"/>
          <w:lang w:val="es-ES_tradnl"/>
        </w:rPr>
        <w:t xml:space="preserve">No. 1 del 21 de junio de 2013, No. 20 del 27 de agosto de 2015, </w:t>
      </w:r>
      <w:r w:rsidRPr="00C22EDD">
        <w:rPr>
          <w:rFonts w:ascii="Arial" w:hAnsi="Arial" w:cs="Arial"/>
          <w:bCs/>
          <w:color w:val="000000" w:themeColor="text1"/>
          <w:sz w:val="22"/>
          <w:szCs w:val="22"/>
          <w:lang w:val="es-ES_tradnl"/>
        </w:rPr>
        <w:t xml:space="preserve">No. 23 del 16 de marzo de 2017, No. 007 de 2020 y la </w:t>
      </w:r>
      <w:r w:rsidRPr="00C22EDD">
        <w:rPr>
          <w:rFonts w:ascii="Arial" w:hAnsi="Arial" w:cs="Arial"/>
          <w:bCs/>
          <w:color w:val="000000" w:themeColor="text1"/>
          <w:sz w:val="22"/>
          <w:szCs w:val="22"/>
          <w:lang w:val="es-ES_tradnl"/>
        </w:rPr>
        <w:lastRenderedPageBreak/>
        <w:t>Circular Externa Única –actualizada el 16 de abril de 2019–</w:t>
      </w:r>
      <w:r w:rsidRPr="00C22EDD">
        <w:rPr>
          <w:rStyle w:val="Refdenotaalpie"/>
          <w:rFonts w:ascii="Arial" w:hAnsi="Arial" w:cs="Arial"/>
          <w:bCs/>
          <w:color w:val="000000" w:themeColor="text1"/>
          <w:sz w:val="22"/>
          <w:szCs w:val="22"/>
          <w:lang w:val="es-ES_tradnl"/>
        </w:rPr>
        <w:footnoteReference w:id="22"/>
      </w:r>
      <w:r w:rsidRPr="00C22EDD">
        <w:rPr>
          <w:rFonts w:ascii="Arial" w:hAnsi="Arial" w:cs="Arial"/>
          <w:bCs/>
          <w:color w:val="000000" w:themeColor="text1"/>
          <w:sz w:val="22"/>
          <w:szCs w:val="22"/>
          <w:lang w:val="es-ES_tradnl"/>
        </w:rPr>
        <w:t>, de la Agencia Nacional de Contratación Pública – Colombia Compra Eficiente.</w:t>
      </w:r>
    </w:p>
    <w:p w14:paraId="7EC80DB2" w14:textId="77777777" w:rsidR="00C212DA" w:rsidRPr="00C22EDD" w:rsidRDefault="00C212DA" w:rsidP="00C212DA">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Ahora, en lo que respecta al contenido o alcance de la expresión «información oficial de la contratación», empleada por el Congreso de la República en el artículo 3, literal c) de la Ley 1150 de 2007, </w:t>
      </w:r>
      <w:r>
        <w:rPr>
          <w:rFonts w:ascii="Arial" w:hAnsi="Arial" w:cs="Arial"/>
          <w:bCs/>
          <w:color w:val="000000" w:themeColor="text1"/>
          <w:sz w:val="22"/>
          <w:lang w:val="es-ES_tradnl"/>
        </w:rPr>
        <w:t>la Agencia Nacional de Contratación Pública</w:t>
      </w:r>
      <w:r w:rsidRPr="00C22EDD">
        <w:rPr>
          <w:rFonts w:ascii="Arial" w:hAnsi="Arial" w:cs="Arial"/>
          <w:bCs/>
          <w:color w:val="000000" w:themeColor="text1"/>
          <w:sz w:val="22"/>
          <w:lang w:val="es-ES_tradnl"/>
        </w:rPr>
        <w:t xml:space="preserve"> considera que el auto del 25 de febrero de 2021 no afecta la interpretación adoptada </w:t>
      </w:r>
      <w:r>
        <w:rPr>
          <w:rFonts w:ascii="Arial" w:hAnsi="Arial" w:cs="Arial"/>
          <w:bCs/>
          <w:color w:val="000000" w:themeColor="text1"/>
          <w:sz w:val="22"/>
          <w:lang w:val="es-ES_tradnl"/>
        </w:rPr>
        <w:t xml:space="preserve">por esta misma Agencia </w:t>
      </w:r>
      <w:r w:rsidRPr="00C22EDD">
        <w:rPr>
          <w:rFonts w:ascii="Arial" w:hAnsi="Arial" w:cs="Arial"/>
          <w:bCs/>
          <w:color w:val="000000" w:themeColor="text1"/>
          <w:sz w:val="22"/>
          <w:lang w:val="es-ES_tradnl"/>
        </w:rPr>
        <w:t xml:space="preserve">en el Concepto CU-003 del 15 de enero de 2020 y, en consecuencia, mantendrá los argumentos que allí se expusieron y que a continuación se </w:t>
      </w:r>
      <w:r w:rsidRPr="002E060B">
        <w:rPr>
          <w:rFonts w:ascii="Arial" w:hAnsi="Arial" w:cs="Arial"/>
          <w:bCs/>
          <w:color w:val="000000" w:themeColor="text1"/>
          <w:sz w:val="22"/>
          <w:lang w:val="es-ES_tradnl"/>
        </w:rPr>
        <w:t>reproducirán. Pero, antes de eso, se explica por qué el referido auto no se aparta de la interpretación que en el siguiente numeral de este concepto reiterará la Subdirección de Gestión Contractual:</w:t>
      </w:r>
    </w:p>
    <w:p w14:paraId="5BC2580A"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bCs/>
          <w:color w:val="000000" w:themeColor="text1"/>
          <w:sz w:val="22"/>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C22EDD">
        <w:rPr>
          <w:rFonts w:ascii="Arial" w:eastAsia="Calibri" w:hAnsi="Arial" w:cs="Arial"/>
          <w:color w:val="000000" w:themeColor="text1"/>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 segundo inciso del artículo 230 de la Constitución Política y el artículo 28 de la Ley 1437 de 2011.</w:t>
      </w:r>
    </w:p>
    <w:p w14:paraId="49B85837"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b) En el auto del 25 de febrero de 2021 la Sección Tercera del Consejo de Estado señala que las entidades exceptuadas del Estatuto General de Contratación de la 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w:t>
      </w:r>
      <w:r>
        <w:rPr>
          <w:rFonts w:ascii="Arial" w:eastAsia="Calibri" w:hAnsi="Arial" w:cs="Arial"/>
          <w:color w:val="000000" w:themeColor="text1"/>
          <w:sz w:val="22"/>
          <w:lang w:val="es-ES_tradnl"/>
        </w:rPr>
        <w:t>contratación</w:t>
      </w:r>
      <w:r w:rsidRPr="00C22EDD">
        <w:rPr>
          <w:rFonts w:ascii="Arial" w:eastAsia="Calibri" w:hAnsi="Arial" w:cs="Arial"/>
          <w:color w:val="000000" w:themeColor="text1"/>
          <w:sz w:val="22"/>
          <w:lang w:val="es-ES_tradnl"/>
        </w:rPr>
        <w:t xml:space="preserve">, que no son los mismos que aquellos </w:t>
      </w:r>
      <w:r w:rsidRPr="00C22EDD">
        <w:rPr>
          <w:rFonts w:ascii="Arial" w:eastAsia="Calibri" w:hAnsi="Arial" w:cs="Arial"/>
          <w:color w:val="000000" w:themeColor="text1"/>
          <w:sz w:val="22"/>
          <w:lang w:val="es-ES_tradnl"/>
        </w:rPr>
        <w:lastRenderedPageBreak/>
        <w:t>que deben publicar las que se rigen por la Ley 80 de 1993 y demás disposiciones complementarias de esta.</w:t>
      </w:r>
    </w:p>
    <w:p w14:paraId="401D14FD" w14:textId="77777777" w:rsidR="00C212DA" w:rsidRPr="00C22EDD" w:rsidRDefault="00C212DA" w:rsidP="00C212DA">
      <w:pPr>
        <w:spacing w:before="120" w:line="276" w:lineRule="auto"/>
        <w:ind w:firstLine="709"/>
        <w:jc w:val="both"/>
        <w:rPr>
          <w:rFonts w:ascii="Arial" w:hAnsi="Arial" w:cs="Arial"/>
          <w:bCs/>
          <w:color w:val="000000" w:themeColor="text1"/>
          <w:sz w:val="22"/>
          <w:lang w:val="es-ES_tradnl"/>
        </w:rPr>
      </w:pPr>
      <w:r w:rsidRPr="00C22EDD">
        <w:rPr>
          <w:rFonts w:ascii="Arial" w:eastAsia="Calibri" w:hAnsi="Arial" w:cs="Arial"/>
          <w:color w:val="000000" w:themeColor="text1"/>
          <w:sz w:val="22"/>
          <w:lang w:val="es-ES_tradnl"/>
        </w:rPr>
        <w:t xml:space="preserve">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 Es decir, la Agencia respetó el régimen legal y reglamentario que en la actualidad desarrolla el derecho de transparencia y de acceso a la información pública. Por ende, </w:t>
      </w:r>
      <w:r>
        <w:rPr>
          <w:rFonts w:ascii="Arial" w:eastAsia="Calibri" w:hAnsi="Arial" w:cs="Arial"/>
          <w:color w:val="000000" w:themeColor="text1"/>
          <w:sz w:val="22"/>
          <w:lang w:val="es-ES_tradnl"/>
        </w:rPr>
        <w:t>la interpretación aquí expuesta</w:t>
      </w:r>
      <w:r w:rsidRPr="00C22EDD">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es congruente con e</w:t>
      </w:r>
      <w:r w:rsidRPr="00C22EDD">
        <w:rPr>
          <w:rFonts w:ascii="Arial" w:eastAsia="Calibri" w:hAnsi="Arial" w:cs="Arial"/>
          <w:color w:val="000000" w:themeColor="text1"/>
          <w:sz w:val="22"/>
          <w:lang w:val="es-ES_tradnl"/>
        </w:rPr>
        <w:t>l auto del Consejo de Estado del 25 de febrero de 2021.</w:t>
      </w:r>
    </w:p>
    <w:p w14:paraId="36BB140A" w14:textId="77777777" w:rsidR="00C212DA" w:rsidRPr="00C22EDD" w:rsidRDefault="00C212DA" w:rsidP="00C212DA">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  </w:t>
      </w:r>
    </w:p>
    <w:p w14:paraId="41FC8D36" w14:textId="77777777" w:rsidR="00C212DA" w:rsidRPr="00C22EDD" w:rsidRDefault="00C212DA" w:rsidP="00C212DA">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C22EDD">
        <w:rPr>
          <w:rFonts w:ascii="Arial" w:hAnsi="Arial" w:cs="Arial"/>
          <w:b/>
          <w:color w:val="000000" w:themeColor="text1"/>
          <w:sz w:val="22"/>
          <w:lang w:val="es-ES_tradnl"/>
        </w:rPr>
        <w:t xml:space="preserve">2.3. Documentos que deben publicar en el SECOP las entidades estatales de régimen especial. Reiteración del concepto CU-003 del 15 de enero de 2020 </w:t>
      </w:r>
    </w:p>
    <w:p w14:paraId="10C238B2" w14:textId="77777777" w:rsidR="00C212DA" w:rsidRPr="00C22EDD" w:rsidRDefault="00C212DA" w:rsidP="00C212DA">
      <w:pPr>
        <w:pStyle w:val="Prrafodelista"/>
        <w:spacing w:line="276" w:lineRule="auto"/>
        <w:ind w:left="0"/>
        <w:jc w:val="both"/>
        <w:rPr>
          <w:rFonts w:ascii="Arial" w:hAnsi="Arial" w:cs="Arial"/>
          <w:b/>
          <w:color w:val="000000" w:themeColor="text1"/>
          <w:sz w:val="22"/>
          <w:lang w:val="es-ES_tradnl"/>
        </w:rPr>
      </w:pPr>
    </w:p>
    <w:p w14:paraId="0605C39C" w14:textId="77777777" w:rsidR="00C212DA" w:rsidRPr="00C22EDD" w:rsidRDefault="00C212DA" w:rsidP="00C212DA">
      <w:pPr>
        <w:pStyle w:val="Prrafodelista"/>
        <w:spacing w:line="276" w:lineRule="auto"/>
        <w:ind w:left="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Determinada la obligación que tienen las entidades sujetas a un régimen especial de publicar la información oficial de su contratación con recursos públicos en el SECOP, se identificarán los documentos que deben publicar, n</w:t>
      </w:r>
      <w:r w:rsidRPr="00C22EDD">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262DDAF7"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rPr>
      </w:pPr>
      <w:r w:rsidRPr="00C22EDD">
        <w:rPr>
          <w:rFonts w:ascii="Arial" w:eastAsia="Calibri" w:hAnsi="Arial" w:cs="Arial"/>
          <w:color w:val="000000" w:themeColor="text1"/>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C22EDD">
        <w:rPr>
          <w:rFonts w:ascii="Arial" w:hAnsi="Arial" w:cs="Arial"/>
          <w:bCs/>
          <w:color w:val="000000" w:themeColor="text1"/>
          <w:sz w:val="22"/>
          <w:lang w:val="es-ES_tradnl"/>
        </w:rPr>
        <w:t>P todos los documentos del proceso que define el Decreto 1082 de 2015, así como lo relativo a la ejecución del contrato. Lo anterior, a partir de lo dispuesto en el literal c) del artículo 3 de la Ley 1150 de 2007</w:t>
      </w:r>
      <w:r w:rsidRPr="00C22EDD">
        <w:rPr>
          <w:rStyle w:val="Refdenotaalpie"/>
          <w:rFonts w:ascii="Arial" w:hAnsi="Arial" w:cs="Arial"/>
          <w:bCs/>
          <w:color w:val="000000" w:themeColor="text1"/>
          <w:sz w:val="22"/>
          <w:lang w:val="es-ES_tradnl"/>
        </w:rPr>
        <w:footnoteReference w:id="23"/>
      </w:r>
      <w:r w:rsidRPr="00C22EDD">
        <w:rPr>
          <w:rFonts w:ascii="Arial" w:hAnsi="Arial" w:cs="Arial"/>
          <w:bCs/>
          <w:color w:val="000000" w:themeColor="text1"/>
          <w:sz w:val="22"/>
          <w:lang w:val="es-ES_tradnl"/>
        </w:rPr>
        <w:t xml:space="preserve">. </w:t>
      </w:r>
      <w:r w:rsidRPr="00C22EDD">
        <w:rPr>
          <w:rFonts w:ascii="Arial" w:hAnsi="Arial" w:cs="Arial"/>
          <w:color w:val="000000" w:themeColor="text1"/>
          <w:sz w:val="22"/>
          <w:lang w:val="es-ES_tradnl"/>
        </w:rPr>
        <w:t xml:space="preserve">En este sentido, reconoció la obligatoriedad, por parte de las entidades de régimen especial, de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4835FE69"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lastRenderedPageBreak/>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C22EDD">
        <w:rPr>
          <w:rStyle w:val="Refdenotaalpie"/>
          <w:rFonts w:ascii="Arial" w:eastAsia="Calibri" w:hAnsi="Arial" w:cs="Arial"/>
          <w:color w:val="000000" w:themeColor="text1"/>
          <w:sz w:val="22"/>
          <w:lang w:val="es-ES_tradnl"/>
        </w:rPr>
        <w:footnoteReference w:id="24"/>
      </w:r>
      <w:r w:rsidRPr="00C22EDD">
        <w:rPr>
          <w:rFonts w:ascii="Arial" w:eastAsia="Calibri" w:hAnsi="Arial" w:cs="Arial"/>
          <w:color w:val="000000" w:themeColor="text1"/>
          <w:sz w:val="22"/>
          <w:lang w:val="es-ES_tradnl"/>
        </w:rPr>
        <w:t xml:space="preserve">. </w:t>
      </w:r>
    </w:p>
    <w:p w14:paraId="5A6DE353"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44B6D78B"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2"/>
          <w:lang w:val="es-ES_tradnl"/>
        </w:rPr>
        <w:t>sujeto obligado</w:t>
      </w:r>
      <w:r w:rsidRPr="00C22EDD">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3577DB05" w14:textId="77777777" w:rsidR="00C212DA" w:rsidRPr="00C22EDD" w:rsidRDefault="00C212DA" w:rsidP="00C212DA">
      <w:pPr>
        <w:spacing w:before="120" w:line="276" w:lineRule="auto"/>
        <w:ind w:firstLine="709"/>
        <w:jc w:val="both"/>
        <w:rPr>
          <w:rFonts w:ascii="Arial" w:eastAsia="Calibri" w:hAnsi="Arial" w:cs="Arial"/>
          <w:color w:val="000000" w:themeColor="text1"/>
          <w:sz w:val="22"/>
          <w:szCs w:val="22"/>
          <w:lang w:val="es-ES_tradnl"/>
        </w:rPr>
      </w:pPr>
      <w:r w:rsidRPr="00C22EDD">
        <w:rPr>
          <w:rFonts w:ascii="Arial" w:eastAsia="Calibri" w:hAnsi="Arial" w:cs="Arial"/>
          <w:color w:val="000000" w:themeColor="text1"/>
          <w:sz w:val="22"/>
          <w:szCs w:val="22"/>
          <w:lang w:val="es-ES_tradnl"/>
        </w:rPr>
        <w:t xml:space="preserve">Luego, el Decreto reglamentario 103 de 2015 –«Por el cual se reglamenta parcialmente la Ley 1712 de 2014 y se dictan otras disposiciones»– establece en el artículo </w:t>
      </w:r>
      <w:r w:rsidRPr="00C22EDD">
        <w:rPr>
          <w:rFonts w:ascii="Arial" w:eastAsia="Calibri" w:hAnsi="Arial" w:cs="Arial"/>
          <w:color w:val="000000" w:themeColor="text1"/>
          <w:sz w:val="22"/>
          <w:szCs w:val="22"/>
          <w:lang w:val="es-ES_tradnl"/>
        </w:rPr>
        <w:lastRenderedPageBreak/>
        <w:t>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C22EDD">
        <w:rPr>
          <w:rStyle w:val="Refdenotaalpie"/>
          <w:rFonts w:ascii="Arial" w:eastAsia="Calibri" w:hAnsi="Arial" w:cs="Arial"/>
          <w:color w:val="000000" w:themeColor="text1"/>
          <w:sz w:val="22"/>
          <w:szCs w:val="22"/>
          <w:lang w:val="es-ES_tradnl"/>
        </w:rPr>
        <w:footnoteReference w:id="25"/>
      </w:r>
      <w:r w:rsidRPr="00C22EDD">
        <w:rPr>
          <w:rFonts w:ascii="Arial" w:eastAsia="Calibri" w:hAnsi="Arial" w:cs="Arial"/>
          <w:color w:val="000000" w:themeColor="text1"/>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C22EDD">
        <w:rPr>
          <w:rStyle w:val="Refdenotaalpie"/>
          <w:rFonts w:ascii="Arial" w:eastAsia="Calibri" w:hAnsi="Arial" w:cs="Arial"/>
          <w:color w:val="000000" w:themeColor="text1"/>
          <w:sz w:val="22"/>
          <w:szCs w:val="22"/>
          <w:lang w:val="es-ES_tradnl"/>
        </w:rPr>
        <w:footnoteReference w:id="26"/>
      </w:r>
      <w:r w:rsidRPr="00C22EDD">
        <w:rPr>
          <w:rFonts w:ascii="Arial" w:eastAsia="Calibri" w:hAnsi="Arial" w:cs="Arial"/>
          <w:color w:val="000000" w:themeColor="text1"/>
          <w:sz w:val="22"/>
          <w:szCs w:val="22"/>
          <w:lang w:val="es-ES_tradnl"/>
        </w:rPr>
        <w:t>. Finalmente, el artículo 10 del Decreto 103 de 2015 –</w:t>
      </w:r>
      <w:r w:rsidRPr="00C22EDD">
        <w:rPr>
          <w:rFonts w:ascii="Arial" w:hAnsi="Arial" w:cs="Arial"/>
          <w:sz w:val="22"/>
          <w:szCs w:val="22"/>
          <w:lang w:val="es-ES_tradnl"/>
        </w:rPr>
        <w:t xml:space="preserve">artículo </w:t>
      </w:r>
      <w:r w:rsidRPr="00C22EDD">
        <w:rPr>
          <w:rFonts w:ascii="Arial" w:eastAsia="Calibri" w:hAnsi="Arial" w:cs="Arial"/>
          <w:color w:val="000000" w:themeColor="text1"/>
          <w:sz w:val="22"/>
          <w:szCs w:val="22"/>
          <w:lang w:val="es-ES_tradnl"/>
        </w:rPr>
        <w:t>2.1.1.2.1.10. del Decreto 1081 de 2015– consagra la obligación que tienen las entidades estatales de publicar en el SECOP el Plan Anual de Adquisiciones</w:t>
      </w:r>
      <w:r w:rsidRPr="00C22EDD">
        <w:rPr>
          <w:rStyle w:val="Refdenotaalpie"/>
          <w:rFonts w:ascii="Arial" w:eastAsia="Calibri" w:hAnsi="Arial" w:cs="Arial"/>
          <w:color w:val="000000" w:themeColor="text1"/>
          <w:sz w:val="22"/>
          <w:szCs w:val="22"/>
          <w:lang w:val="es-ES_tradnl"/>
        </w:rPr>
        <w:footnoteReference w:id="27"/>
      </w:r>
      <w:r w:rsidRPr="00C22EDD">
        <w:rPr>
          <w:rFonts w:ascii="Arial" w:eastAsia="Calibri" w:hAnsi="Arial" w:cs="Arial"/>
          <w:color w:val="000000" w:themeColor="text1"/>
          <w:sz w:val="22"/>
          <w:szCs w:val="22"/>
          <w:lang w:val="es-ES_tradnl"/>
        </w:rPr>
        <w:t>.</w:t>
      </w:r>
    </w:p>
    <w:p w14:paraId="521A1B64"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w:t>
      </w:r>
      <w:r w:rsidRPr="00C22EDD">
        <w:rPr>
          <w:rFonts w:ascii="Arial" w:eastAsia="Calibri" w:hAnsi="Arial" w:cs="Arial"/>
          <w:color w:val="000000" w:themeColor="text1"/>
          <w:sz w:val="22"/>
          <w:lang w:val="es-ES_tradnl"/>
        </w:rPr>
        <w:lastRenderedPageBreak/>
        <w:t>los conforman, previstos en el manual de contratación de la entidad, y finalmente, iii) el plan anual de adquisiciones.</w:t>
      </w:r>
    </w:p>
    <w:p w14:paraId="4E99BD98" w14:textId="77777777" w:rsidR="00C212DA" w:rsidRPr="00C22EDD" w:rsidRDefault="00C212DA" w:rsidP="00C212DA">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el</w:t>
      </w:r>
      <w:r w:rsidRPr="00C22EDD">
        <w:rPr>
          <w:rFonts w:ascii="Arial" w:eastAsia="Calibri" w:hAnsi="Arial" w:cs="Arial"/>
          <w:color w:val="000000" w:themeColor="text1"/>
          <w:sz w:val="22"/>
          <w:lang w:val="es-ES_tradnl"/>
        </w:rPr>
        <w:t xml:space="preserve"> segundo grupo de documentos, debido a que estas entidades están sometidas al derecho privado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7B0B4A21" w14:textId="77777777" w:rsidR="00C212DA" w:rsidRPr="00C22EDD" w:rsidRDefault="00C212DA" w:rsidP="00C212DA">
      <w:pPr>
        <w:spacing w:before="120" w:line="276" w:lineRule="auto"/>
        <w:ind w:firstLine="709"/>
        <w:jc w:val="both"/>
        <w:rPr>
          <w:rFonts w:ascii="Arial" w:hAnsi="Arial" w:cs="Arial"/>
          <w:color w:val="000000" w:themeColor="text1"/>
          <w:sz w:val="22"/>
          <w:lang w:val="es-ES_tradnl" w:eastAsia="es-CO"/>
        </w:rPr>
      </w:pPr>
      <w:r w:rsidRPr="00C22ED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w:t>
      </w:r>
      <w:r>
        <w:rPr>
          <w:rFonts w:ascii="Arial" w:eastAsia="Calibri" w:hAnsi="Arial" w:cs="Arial"/>
          <w:color w:val="000000" w:themeColor="text1"/>
          <w:sz w:val="22"/>
          <w:lang w:val="es-ES_tradnl"/>
        </w:rPr>
        <w:t>le aplican</w:t>
      </w:r>
      <w:r w:rsidRPr="00C22EDD">
        <w:rPr>
          <w:rFonts w:ascii="Arial" w:eastAsia="Calibri" w:hAnsi="Arial" w:cs="Arial"/>
          <w:color w:val="000000" w:themeColor="text1"/>
          <w:sz w:val="22"/>
          <w:lang w:val="es-ES_tradnl"/>
        </w:rPr>
        <w:t xml:space="preserve"> a cualquier entidad pública, incluyendo</w:t>
      </w:r>
      <w:r w:rsidRPr="00C22EDD">
        <w:rPr>
          <w:rFonts w:ascii="Arial" w:hAnsi="Arial" w:cs="Arial"/>
          <w:color w:val="000000" w:themeColor="text1"/>
          <w:sz w:val="22"/>
          <w:lang w:val="es-ES_tradnl"/>
        </w:rPr>
        <w:t xml:space="preserve"> </w:t>
      </w:r>
      <w:r w:rsidRPr="00C22EDD">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7B27D2FD" w14:textId="77777777" w:rsidR="00C212DA" w:rsidRDefault="00C212DA" w:rsidP="00C212DA">
      <w:pPr>
        <w:spacing w:before="120" w:line="276" w:lineRule="auto"/>
        <w:ind w:firstLine="708"/>
        <w:jc w:val="both"/>
        <w:rPr>
          <w:rFonts w:ascii="Arial" w:hAnsi="Arial" w:cs="Arial"/>
          <w:color w:val="000000" w:themeColor="text1"/>
          <w:sz w:val="22"/>
          <w:szCs w:val="22"/>
          <w:lang w:val="es-ES_tradnl"/>
        </w:rPr>
      </w:pPr>
      <w:r w:rsidRPr="00C22EDD">
        <w:rPr>
          <w:rFonts w:ascii="Arial" w:hAnsi="Arial" w:cs="Arial"/>
          <w:color w:val="000000" w:themeColor="text1"/>
          <w:sz w:val="22"/>
          <w:lang w:val="es-ES_tradnl" w:eastAsia="es-CO"/>
        </w:rPr>
        <w:t xml:space="preserve">Se concluye entonces que </w:t>
      </w:r>
      <w:r>
        <w:rPr>
          <w:rFonts w:ascii="Arial" w:hAnsi="Arial" w:cs="Arial"/>
          <w:color w:val="000000" w:themeColor="text1"/>
          <w:sz w:val="22"/>
          <w:lang w:val="es-ES_tradnl" w:eastAsia="es-CO"/>
        </w:rPr>
        <w:t>no</w:t>
      </w:r>
      <w:r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w:t>
      </w:r>
      <w:r>
        <w:rPr>
          <w:rFonts w:ascii="Arial" w:hAnsi="Arial" w:cs="Arial"/>
          <w:color w:val="000000" w:themeColor="text1"/>
          <w:sz w:val="22"/>
          <w:szCs w:val="22"/>
          <w:lang w:val="es-ES_tradnl"/>
        </w:rPr>
        <w:t xml:space="preserve"> precisamente</w:t>
      </w:r>
      <w:r w:rsidRPr="00C22EDD">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C22EDD">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C22EDD">
        <w:rPr>
          <w:rFonts w:ascii="Arial" w:hAnsi="Arial" w:cs="Arial"/>
          <w:i/>
          <w:iCs/>
          <w:color w:val="000000" w:themeColor="text1"/>
          <w:sz w:val="22"/>
          <w:szCs w:val="22"/>
          <w:lang w:val="es-ES_tradnl"/>
        </w:rPr>
        <w:t>sujetos obligados</w:t>
      </w:r>
      <w:r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 xml:space="preserve">literal e), del artículo 9 y el </w:t>
      </w:r>
      <w:r w:rsidRPr="00C22EDD">
        <w:rPr>
          <w:rFonts w:ascii="Arial" w:eastAsia="Calibri" w:hAnsi="Arial" w:cs="Arial"/>
          <w:color w:val="000000" w:themeColor="text1"/>
          <w:sz w:val="22"/>
          <w:szCs w:val="22"/>
          <w:lang w:val="es-ES_tradnl"/>
        </w:rPr>
        <w:t xml:space="preserve">literal g), del artículo 11, de la Ley 1712 de 2014, como los artículos </w:t>
      </w:r>
      <w:r>
        <w:rPr>
          <w:rFonts w:ascii="Arial" w:eastAsia="Calibri" w:hAnsi="Arial" w:cs="Arial"/>
          <w:color w:val="000000" w:themeColor="text1"/>
          <w:sz w:val="22"/>
          <w:szCs w:val="22"/>
          <w:lang w:val="es-ES_tradnl"/>
        </w:rPr>
        <w:t>7</w:t>
      </w:r>
      <w:r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C22EDD">
        <w:rPr>
          <w:rFonts w:ascii="Arial" w:hAnsi="Arial" w:cs="Arial"/>
          <w:color w:val="000000" w:themeColor="text1"/>
          <w:sz w:val="22"/>
          <w:szCs w:val="22"/>
          <w:lang w:val="es-ES_tradnl"/>
        </w:rPr>
        <w:t xml:space="preserve">. Cuarto, porque, el auto del 25 de febrero de 2021 no suspende todo el contenido de las </w:t>
      </w:r>
      <w:r w:rsidRPr="00C22EDD">
        <w:rPr>
          <w:rFonts w:ascii="Arial" w:hAnsi="Arial" w:cs="Arial"/>
          <w:sz w:val="22"/>
          <w:szCs w:val="22"/>
          <w:lang w:val="es-ES_tradnl"/>
        </w:rPr>
        <w:t xml:space="preserve">circulares </w:t>
      </w:r>
      <w:r w:rsidRPr="00C22EDD">
        <w:rPr>
          <w:rFonts w:ascii="Arial" w:eastAsia="Arial" w:hAnsi="Arial" w:cs="Arial"/>
          <w:sz w:val="22"/>
          <w:szCs w:val="22"/>
          <w:lang w:val="es-ES_tradnl"/>
        </w:rPr>
        <w:t xml:space="preserve">No. 1 del 21 de junio de 2013 y No. 20 del 27 de agosto </w:t>
      </w:r>
      <w:r w:rsidRPr="00C22EDD">
        <w:rPr>
          <w:rFonts w:ascii="Arial" w:eastAsia="Arial" w:hAnsi="Arial" w:cs="Arial"/>
          <w:sz w:val="22"/>
          <w:szCs w:val="22"/>
          <w:lang w:val="es-ES_tradnl"/>
        </w:rPr>
        <w:lastRenderedPageBreak/>
        <w:t xml:space="preserve">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5"/>
      <w:r w:rsidRPr="00C22EDD">
        <w:rPr>
          <w:rFonts w:ascii="Arial" w:hAnsi="Arial" w:cs="Arial"/>
          <w:color w:val="000000" w:themeColor="text1"/>
          <w:sz w:val="22"/>
          <w:szCs w:val="22"/>
          <w:lang w:val="es-ES_tradnl"/>
        </w:rPr>
        <w:t xml:space="preserve"> </w:t>
      </w:r>
    </w:p>
    <w:p w14:paraId="41D62F9E" w14:textId="77777777" w:rsidR="00C212DA" w:rsidRDefault="00C212DA" w:rsidP="00C212DA">
      <w:pPr>
        <w:spacing w:line="276" w:lineRule="auto"/>
        <w:jc w:val="both"/>
        <w:rPr>
          <w:rFonts w:ascii="Arial" w:hAnsi="Arial" w:cs="Arial"/>
          <w:color w:val="000000" w:themeColor="text1"/>
          <w:sz w:val="22"/>
          <w:szCs w:val="22"/>
          <w:lang w:val="es-ES_tradnl"/>
        </w:rPr>
      </w:pPr>
    </w:p>
    <w:p w14:paraId="50ED960A" w14:textId="77777777" w:rsidR="00C212DA" w:rsidRPr="0091437B" w:rsidRDefault="00C212DA" w:rsidP="00C212DA">
      <w:pPr>
        <w:spacing w:line="276" w:lineRule="auto"/>
        <w:jc w:val="both"/>
        <w:rPr>
          <w:rFonts w:ascii="Arial" w:hAnsi="Arial" w:cs="Arial"/>
          <w:b/>
          <w:color w:val="1A1A1A" w:themeColor="background1" w:themeShade="1A"/>
          <w:sz w:val="22"/>
        </w:rPr>
      </w:pPr>
      <w:r w:rsidRPr="0091437B">
        <w:rPr>
          <w:rFonts w:ascii="Arial" w:hAnsi="Arial" w:cs="Arial"/>
          <w:b/>
          <w:color w:val="1A1A1A" w:themeColor="background1" w:themeShade="1A"/>
          <w:sz w:val="22"/>
        </w:rPr>
        <w:t>2.</w:t>
      </w:r>
      <w:r>
        <w:rPr>
          <w:rFonts w:ascii="Arial" w:hAnsi="Arial" w:cs="Arial"/>
          <w:b/>
          <w:color w:val="1A1A1A" w:themeColor="background1" w:themeShade="1A"/>
          <w:sz w:val="22"/>
        </w:rPr>
        <w:t>4</w:t>
      </w:r>
      <w:r w:rsidRPr="0091437B">
        <w:rPr>
          <w:rFonts w:ascii="Arial" w:hAnsi="Arial" w:cs="Arial"/>
          <w:b/>
          <w:color w:val="1A1A1A" w:themeColor="background1" w:themeShade="1A"/>
          <w:sz w:val="22"/>
        </w:rPr>
        <w:t xml:space="preserve">. </w:t>
      </w:r>
      <w:r>
        <w:rPr>
          <w:rFonts w:ascii="Arial" w:hAnsi="Arial" w:cs="Arial"/>
          <w:b/>
          <w:color w:val="1A1A1A" w:themeColor="background1" w:themeShade="1A"/>
          <w:sz w:val="22"/>
        </w:rPr>
        <w:t>Régimen  de las e</w:t>
      </w:r>
      <w:r w:rsidRPr="0091437B">
        <w:rPr>
          <w:rFonts w:ascii="Arial" w:hAnsi="Arial" w:cs="Arial"/>
          <w:b/>
          <w:color w:val="1A1A1A" w:themeColor="background1" w:themeShade="1A"/>
          <w:sz w:val="22"/>
        </w:rPr>
        <w:t>mpresas de servicios públicos domiciliarios</w:t>
      </w:r>
      <w:r>
        <w:rPr>
          <w:rFonts w:ascii="Arial" w:hAnsi="Arial" w:cs="Arial"/>
          <w:b/>
          <w:color w:val="1A1A1A" w:themeColor="background1" w:themeShade="1A"/>
          <w:sz w:val="22"/>
        </w:rPr>
        <w:t xml:space="preserve"> y publicidad de la información contractual en el SECOP </w:t>
      </w:r>
      <w:r w:rsidRPr="0091437B">
        <w:rPr>
          <w:rFonts w:ascii="Arial" w:hAnsi="Arial" w:cs="Arial"/>
          <w:b/>
          <w:color w:val="1A1A1A" w:themeColor="background1" w:themeShade="1A"/>
          <w:sz w:val="22"/>
        </w:rPr>
        <w:t xml:space="preserve"> </w:t>
      </w:r>
    </w:p>
    <w:p w14:paraId="45A1EF13" w14:textId="77777777" w:rsidR="00C212DA" w:rsidRPr="0091437B" w:rsidRDefault="00C212DA" w:rsidP="00C212DA">
      <w:pPr>
        <w:spacing w:line="276" w:lineRule="auto"/>
        <w:jc w:val="both"/>
        <w:rPr>
          <w:rFonts w:ascii="Arial" w:hAnsi="Arial" w:cs="Arial"/>
          <w:color w:val="1A1A1A" w:themeColor="background1" w:themeShade="1A"/>
          <w:sz w:val="22"/>
        </w:rPr>
      </w:pPr>
    </w:p>
    <w:p w14:paraId="705D85E3" w14:textId="77777777" w:rsidR="00C212DA" w:rsidRDefault="00C212DA" w:rsidP="00C212DA">
      <w:pPr>
        <w:spacing w:after="120" w:line="276" w:lineRule="auto"/>
        <w:jc w:val="both"/>
        <w:rPr>
          <w:rFonts w:ascii="Arial" w:hAnsi="Arial" w:cs="Arial"/>
          <w:color w:val="1A1A1A" w:themeColor="background1" w:themeShade="1A"/>
          <w:sz w:val="22"/>
        </w:rPr>
      </w:pPr>
      <w:r>
        <w:rPr>
          <w:rFonts w:ascii="Arial" w:hAnsi="Arial" w:cs="Arial"/>
          <w:color w:val="1A1A1A" w:themeColor="background1" w:themeShade="1A"/>
          <w:sz w:val="22"/>
        </w:rPr>
        <w:t xml:space="preserve">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w:t>
      </w:r>
      <w:r w:rsidRPr="00E56769">
        <w:rPr>
          <w:rFonts w:ascii="Arial" w:hAnsi="Arial" w:cs="Arial"/>
          <w:color w:val="1A1A1A" w:themeColor="background1" w:themeShade="1A"/>
          <w:sz w:val="22"/>
        </w:rPr>
        <w:t xml:space="preserve">En desarrollo de esta habilitación superior, el </w:t>
      </w:r>
      <w:r>
        <w:rPr>
          <w:rFonts w:ascii="Arial" w:hAnsi="Arial" w:cs="Arial"/>
          <w:color w:val="1A1A1A" w:themeColor="background1" w:themeShade="1A"/>
          <w:sz w:val="22"/>
        </w:rPr>
        <w:t>Congreso de la República dispuso, en el artículo</w:t>
      </w:r>
      <w:r w:rsidRPr="00E56769">
        <w:rPr>
          <w:rFonts w:ascii="Arial" w:hAnsi="Arial" w:cs="Arial"/>
          <w:color w:val="1A1A1A" w:themeColor="background1" w:themeShade="1A"/>
          <w:sz w:val="22"/>
        </w:rPr>
        <w:t xml:space="preserve"> 15 de la Ley 142 de 1994</w:t>
      </w:r>
      <w:r>
        <w:rPr>
          <w:rFonts w:ascii="Arial" w:hAnsi="Arial" w:cs="Arial"/>
          <w:color w:val="1A1A1A" w:themeColor="background1" w:themeShade="1A"/>
          <w:sz w:val="22"/>
        </w:rPr>
        <w:t xml:space="preserve">, </w:t>
      </w:r>
      <w:r w:rsidRPr="00E56769">
        <w:rPr>
          <w:rFonts w:ascii="Arial" w:hAnsi="Arial" w:cs="Arial"/>
          <w:color w:val="1A1A1A" w:themeColor="background1" w:themeShade="1A"/>
          <w:sz w:val="22"/>
        </w:rPr>
        <w:t>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4EE65B70" w14:textId="77777777" w:rsidR="00C212DA" w:rsidRPr="0091437B" w:rsidRDefault="00C212DA" w:rsidP="00C212DA">
      <w:pPr>
        <w:spacing w:line="276" w:lineRule="auto"/>
        <w:ind w:firstLine="709"/>
        <w:jc w:val="both"/>
        <w:rPr>
          <w:rFonts w:ascii="Arial" w:hAnsi="Arial" w:cs="Arial"/>
          <w:color w:val="1A1A1A" w:themeColor="background1" w:themeShade="1A"/>
          <w:sz w:val="22"/>
        </w:rPr>
      </w:pPr>
      <w:r>
        <w:rPr>
          <w:rFonts w:ascii="Arial" w:hAnsi="Arial" w:cs="Arial"/>
          <w:color w:val="1A1A1A" w:themeColor="background1" w:themeShade="1A"/>
          <w:sz w:val="22"/>
        </w:rPr>
        <w:t>Por su parte, e</w:t>
      </w:r>
      <w:r w:rsidRPr="0091437B">
        <w:rPr>
          <w:rFonts w:ascii="Arial" w:hAnsi="Arial" w:cs="Arial"/>
          <w:color w:val="1A1A1A" w:themeColor="background1" w:themeShade="1A"/>
          <w:sz w:val="22"/>
        </w:rPr>
        <w:t xml:space="preserv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764EA8D5" w14:textId="77777777" w:rsidR="00C212DA" w:rsidRPr="0091437B" w:rsidRDefault="00C212DA" w:rsidP="00C212DA">
      <w:pPr>
        <w:jc w:val="both"/>
        <w:rPr>
          <w:rFonts w:ascii="Arial" w:hAnsi="Arial" w:cs="Arial"/>
          <w:color w:val="1A1A1A" w:themeColor="background1" w:themeShade="1A"/>
          <w:sz w:val="22"/>
        </w:rPr>
      </w:pPr>
    </w:p>
    <w:p w14:paraId="42AFE8B7" w14:textId="77777777" w:rsidR="00C212DA" w:rsidRPr="0091437B" w:rsidRDefault="00C212DA" w:rsidP="00C212DA">
      <w:pPr>
        <w:pStyle w:val="NormalWeb"/>
        <w:spacing w:before="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14.5. Empresa de servicios públicos oficial. Es aquella en cuyo capital la Nación, las entidades territoriales, o las entidades descentralizadas de aquella o estas tienen el 100% de los aportes.</w:t>
      </w:r>
    </w:p>
    <w:p w14:paraId="717F9FB3" w14:textId="77777777" w:rsidR="00C212DA" w:rsidRPr="0091437B" w:rsidRDefault="00C212DA" w:rsidP="00C212DA">
      <w:pPr>
        <w:pStyle w:val="NormalWeb"/>
        <w:spacing w:before="120" w:beforeAutospacing="0" w:after="12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481E9375" w14:textId="77777777" w:rsidR="00C212DA" w:rsidRPr="0091437B" w:rsidRDefault="00C212DA" w:rsidP="00C212DA">
      <w:pPr>
        <w:pStyle w:val="NormalWeb"/>
        <w:spacing w:before="12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580BCC0A" w14:textId="77777777" w:rsidR="00C212DA" w:rsidRPr="0091437B" w:rsidRDefault="00C212DA" w:rsidP="00C212DA">
      <w:pPr>
        <w:pStyle w:val="NormalWeb"/>
        <w:spacing w:before="0" w:beforeAutospacing="0" w:after="0" w:afterAutospacing="0"/>
        <w:jc w:val="both"/>
        <w:rPr>
          <w:rFonts w:ascii="Arial" w:hAnsi="Arial" w:cs="Arial"/>
          <w:color w:val="1A1A1A" w:themeColor="background1" w:themeShade="1A"/>
          <w:sz w:val="22"/>
          <w:lang w:eastAsia="es-ES_tradnl"/>
        </w:rPr>
      </w:pPr>
    </w:p>
    <w:p w14:paraId="579F81FC" w14:textId="77777777" w:rsidR="00C212DA" w:rsidRPr="0091437B" w:rsidRDefault="00C212DA" w:rsidP="00C212DA">
      <w:pPr>
        <w:pStyle w:val="NormalWeb"/>
        <w:spacing w:before="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lastRenderedPageBreak/>
        <w:t>A su turno, el artículo 17 de la ley citada señala que «las empresas de servicios públicos son sociedades por acciones cuyo objeto es la prestación de los servicios públicos de que trata esta ley».</w:t>
      </w:r>
      <w:r>
        <w:rPr>
          <w:rFonts w:ascii="Arial" w:hAnsi="Arial" w:cs="Arial"/>
          <w:color w:val="1A1A1A" w:themeColor="background1" w:themeShade="1A"/>
          <w:sz w:val="22"/>
          <w:lang w:eastAsia="es-ES_tradnl"/>
        </w:rPr>
        <w:t xml:space="preserve"> </w:t>
      </w:r>
    </w:p>
    <w:p w14:paraId="1D4A7F09" w14:textId="77777777" w:rsidR="00C212DA" w:rsidRPr="0091437B" w:rsidRDefault="00C212DA" w:rsidP="00C212DA">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El artículo 68 de esta ley, al listar las entidades descentralizadas del orden nacional, se refirió únicamente a las empresas oficiales de servicios públicos, esto es, aquellas en las que la participación del Estado es del 100%</w:t>
      </w:r>
      <w:r w:rsidRPr="0091437B">
        <w:rPr>
          <w:rStyle w:val="Refdenotaalpie"/>
          <w:rFonts w:ascii="Arial" w:hAnsi="Arial" w:cs="Arial"/>
          <w:color w:val="1A1A1A" w:themeColor="background1" w:themeShade="1A"/>
          <w:sz w:val="22"/>
          <w:lang w:eastAsia="es-ES_tradnl"/>
        </w:rPr>
        <w:footnoteReference w:id="28"/>
      </w:r>
      <w:r w:rsidRPr="0091437B">
        <w:rPr>
          <w:rFonts w:ascii="Arial" w:hAnsi="Arial" w:cs="Arial"/>
          <w:color w:val="1A1A1A" w:themeColor="background1" w:themeShade="1A"/>
          <w:sz w:val="22"/>
          <w:lang w:eastAsia="es-ES_tradnl"/>
        </w:rPr>
        <w:t xml:space="preserve">. </w:t>
      </w:r>
    </w:p>
    <w:p w14:paraId="4DF8319E" w14:textId="77777777" w:rsidR="00C212DA" w:rsidRPr="0091437B" w:rsidRDefault="00C212DA" w:rsidP="00C212DA">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Lo anterior llevó a pensar que el legislador excluyó de la Rama Ejecutiva a las empresas de servicios públicos mixta</w:t>
      </w:r>
      <w:r>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–capital público superior al 50%– y las privadas –capital público inferior al 50%–. Sin embargo, la Corte Constitucional determinó que tanto las empresas de servicios públicos mixta</w:t>
      </w:r>
      <w:r>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como las privadas hacían parte de la Rama Ejecutiva, toda vez que el literal g) del artículo 38 de la Ley 489 de 1998 </w:t>
      </w:r>
      <w:r>
        <w:rPr>
          <w:rFonts w:ascii="Arial" w:hAnsi="Arial" w:cs="Arial"/>
          <w:color w:val="1A1A1A" w:themeColor="background1" w:themeShade="1A"/>
          <w:sz w:val="22"/>
          <w:lang w:eastAsia="es-ES_tradnl"/>
        </w:rPr>
        <w:t xml:space="preserve">aplica a </w:t>
      </w:r>
      <w:r w:rsidRPr="0091437B">
        <w:rPr>
          <w:rFonts w:ascii="Arial" w:hAnsi="Arial" w:cs="Arial"/>
          <w:color w:val="1A1A1A" w:themeColor="background1" w:themeShade="1A"/>
          <w:sz w:val="22"/>
          <w:lang w:eastAsia="es-ES_tradnl"/>
        </w:rPr>
        <w:t xml:space="preserve">«g) Las demás entidades administrativas nacionales con personería jurídica que cree, organice o autorice la ley para que formen parte de la Rama Ejecutiva del Poder Público». </w:t>
      </w:r>
    </w:p>
    <w:p w14:paraId="459460D3" w14:textId="77777777" w:rsidR="00C212DA" w:rsidRPr="0091437B" w:rsidRDefault="00C212DA" w:rsidP="00C212DA">
      <w:pPr>
        <w:pStyle w:val="NormalWeb"/>
        <w:spacing w:before="120" w:beforeAutospacing="0" w:after="120" w:afterAutospacing="0" w:line="276" w:lineRule="auto"/>
        <w:ind w:firstLine="709"/>
        <w:jc w:val="both"/>
        <w:rPr>
          <w:rFonts w:ascii="Arial" w:hAnsi="Arial" w:cs="Arial"/>
          <w:color w:val="1A1A1A" w:themeColor="background1" w:themeShade="1A"/>
          <w:sz w:val="21"/>
          <w:szCs w:val="21"/>
        </w:rPr>
      </w:pPr>
      <w:r w:rsidRPr="0091437B">
        <w:rPr>
          <w:rFonts w:ascii="Arial" w:hAnsi="Arial" w:cs="Arial"/>
          <w:color w:val="1A1A1A" w:themeColor="background1" w:themeShade="1A"/>
          <w:sz w:val="22"/>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91437B">
        <w:rPr>
          <w:rStyle w:val="Refdenotaalpie"/>
          <w:rFonts w:ascii="Arial" w:hAnsi="Arial" w:cs="Arial"/>
          <w:color w:val="1A1A1A" w:themeColor="background1" w:themeShade="1A"/>
          <w:sz w:val="22"/>
          <w:lang w:eastAsia="es-ES_tradnl"/>
        </w:rPr>
        <w:footnoteReference w:id="29"/>
      </w:r>
      <w:r w:rsidRPr="0091437B">
        <w:rPr>
          <w:rFonts w:ascii="Arial" w:hAnsi="Arial" w:cs="Arial"/>
          <w:color w:val="1A1A1A" w:themeColor="background1" w:themeShade="1A"/>
          <w:sz w:val="22"/>
          <w:lang w:eastAsia="es-ES_tradnl"/>
        </w:rPr>
        <w:t>.</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En esta providencia también aclar</w:t>
      </w:r>
      <w:r>
        <w:rPr>
          <w:rFonts w:ascii="Arial" w:hAnsi="Arial" w:cs="Arial"/>
          <w:color w:val="1A1A1A" w:themeColor="background1" w:themeShade="1A"/>
          <w:sz w:val="22"/>
          <w:lang w:eastAsia="es-ES_tradnl"/>
        </w:rPr>
        <w:t>ó</w:t>
      </w:r>
      <w:r w:rsidRPr="0091437B">
        <w:rPr>
          <w:rFonts w:ascii="Arial" w:hAnsi="Arial" w:cs="Arial"/>
          <w:color w:val="1A1A1A" w:themeColor="background1" w:themeShade="1A"/>
          <w:sz w:val="22"/>
          <w:lang w:eastAsia="es-ES_tradnl"/>
        </w:rPr>
        <w:t xml:space="preserve"> que las empresas prestadoras de servicios públicos, de carácter mixto o privado, no son empresas de economía mixta. La anterior </w:t>
      </w:r>
      <w:r w:rsidRPr="0091437B">
        <w:rPr>
          <w:rFonts w:ascii="Arial" w:hAnsi="Arial" w:cs="Arial"/>
          <w:color w:val="1A1A1A" w:themeColor="background1" w:themeShade="1A"/>
          <w:sz w:val="22"/>
          <w:lang w:eastAsia="es-ES_tradnl"/>
        </w:rPr>
        <w:lastRenderedPageBreak/>
        <w:t>conclusión fue fundamentada sobre la idea del carácter o naturaleza especial que la Constitución otorgó a las empresas de servicios públicos</w:t>
      </w:r>
      <w:r w:rsidRPr="0091437B">
        <w:rPr>
          <w:rStyle w:val="Refdenotaalpie"/>
          <w:rFonts w:ascii="Arial" w:hAnsi="Arial" w:cs="Arial"/>
          <w:color w:val="1A1A1A" w:themeColor="background1" w:themeShade="1A"/>
          <w:sz w:val="21"/>
          <w:szCs w:val="21"/>
        </w:rPr>
        <w:footnoteReference w:id="30"/>
      </w:r>
      <w:r w:rsidRPr="0091437B">
        <w:rPr>
          <w:rFonts w:ascii="Arial" w:hAnsi="Arial" w:cs="Arial"/>
          <w:color w:val="1A1A1A" w:themeColor="background1" w:themeShade="1A"/>
          <w:sz w:val="21"/>
          <w:szCs w:val="21"/>
        </w:rPr>
        <w:t>.</w:t>
      </w:r>
    </w:p>
    <w:p w14:paraId="6853641A" w14:textId="77777777" w:rsidR="00C212DA" w:rsidRDefault="00C212DA" w:rsidP="00C212DA">
      <w:pPr>
        <w:spacing w:after="120" w:line="276" w:lineRule="auto"/>
        <w:ind w:firstLine="708"/>
        <w:jc w:val="both"/>
        <w:rPr>
          <w:rFonts w:ascii="Arial" w:hAnsi="Arial" w:cs="Arial"/>
          <w:color w:val="1A1A1A" w:themeColor="background1" w:themeShade="1A"/>
          <w:sz w:val="22"/>
        </w:rPr>
      </w:pPr>
      <w:bookmarkStart w:id="6" w:name="_Hlk65589443"/>
      <w:r w:rsidRPr="0091437B">
        <w:rPr>
          <w:rFonts w:ascii="Arial" w:hAnsi="Arial" w:cs="Arial"/>
          <w:color w:val="1A1A1A" w:themeColor="background1" w:themeShade="1A"/>
          <w:sz w:val="22"/>
        </w:rPr>
        <w:t>Así las cosas, las empresas de servicios públicos tienen una naturaleza jurídica especial que viene dada directamente por el artículo 356 de la Constitución Política</w:t>
      </w:r>
      <w:r>
        <w:rPr>
          <w:rFonts w:ascii="Arial" w:hAnsi="Arial" w:cs="Arial"/>
          <w:color w:val="1A1A1A" w:themeColor="background1" w:themeShade="1A"/>
          <w:sz w:val="22"/>
        </w:rPr>
        <w:t xml:space="preserve">, y </w:t>
      </w:r>
      <w:r w:rsidRPr="0091437B">
        <w:rPr>
          <w:rFonts w:ascii="Arial" w:hAnsi="Arial" w:cs="Arial"/>
          <w:color w:val="1A1A1A" w:themeColor="background1" w:themeShade="1A"/>
          <w:sz w:val="22"/>
        </w:rPr>
        <w:t xml:space="preserve">el hecho de que su composición accionaria </w:t>
      </w:r>
      <w:r>
        <w:rPr>
          <w:rFonts w:ascii="Arial" w:hAnsi="Arial" w:cs="Arial"/>
          <w:color w:val="1A1A1A" w:themeColor="background1" w:themeShade="1A"/>
          <w:sz w:val="22"/>
        </w:rPr>
        <w:t xml:space="preserve">pueda </w:t>
      </w:r>
      <w:r w:rsidRPr="0091437B">
        <w:rPr>
          <w:rFonts w:ascii="Arial" w:hAnsi="Arial" w:cs="Arial"/>
          <w:color w:val="1A1A1A" w:themeColor="background1" w:themeShade="1A"/>
          <w:sz w:val="22"/>
        </w:rPr>
        <w:t>est</w:t>
      </w:r>
      <w:r>
        <w:rPr>
          <w:rFonts w:ascii="Arial" w:hAnsi="Arial" w:cs="Arial"/>
          <w:color w:val="1A1A1A" w:themeColor="background1" w:themeShade="1A"/>
          <w:sz w:val="22"/>
        </w:rPr>
        <w:t>ar</w:t>
      </w:r>
      <w:r w:rsidRPr="0091437B">
        <w:rPr>
          <w:rFonts w:ascii="Arial" w:hAnsi="Arial" w:cs="Arial"/>
          <w:color w:val="1A1A1A" w:themeColor="background1" w:themeShade="1A"/>
          <w:sz w:val="22"/>
        </w:rPr>
        <w:t xml:space="preserve"> compartida por recursos públicos y privados no la</w:t>
      </w:r>
      <w:r>
        <w:rPr>
          <w:rFonts w:ascii="Arial" w:hAnsi="Arial" w:cs="Arial"/>
          <w:color w:val="1A1A1A" w:themeColor="background1" w:themeShade="1A"/>
          <w:sz w:val="22"/>
        </w:rPr>
        <w:t>s</w:t>
      </w:r>
      <w:r w:rsidRPr="0091437B">
        <w:rPr>
          <w:rFonts w:ascii="Arial" w:hAnsi="Arial" w:cs="Arial"/>
          <w:color w:val="1A1A1A" w:themeColor="background1" w:themeShade="1A"/>
          <w:sz w:val="22"/>
        </w:rPr>
        <w:t xml:space="preserve"> convierte en sociedad</w:t>
      </w:r>
      <w:r>
        <w:rPr>
          <w:rFonts w:ascii="Arial" w:hAnsi="Arial" w:cs="Arial"/>
          <w:color w:val="1A1A1A" w:themeColor="background1" w:themeShade="1A"/>
          <w:sz w:val="22"/>
        </w:rPr>
        <w:t xml:space="preserve">es </w:t>
      </w:r>
      <w:r w:rsidRPr="0091437B">
        <w:rPr>
          <w:rFonts w:ascii="Arial" w:hAnsi="Arial" w:cs="Arial"/>
          <w:color w:val="1A1A1A" w:themeColor="background1" w:themeShade="1A"/>
          <w:sz w:val="22"/>
        </w:rPr>
        <w:t xml:space="preserve">de economía mixta, pues las empresas </w:t>
      </w:r>
      <w:r>
        <w:rPr>
          <w:rFonts w:ascii="Arial" w:hAnsi="Arial" w:cs="Arial"/>
          <w:color w:val="1A1A1A" w:themeColor="background1" w:themeShade="1A"/>
          <w:sz w:val="22"/>
        </w:rPr>
        <w:t xml:space="preserve">en cuestión </w:t>
      </w:r>
      <w:r w:rsidRPr="0091437B">
        <w:rPr>
          <w:rFonts w:ascii="Arial" w:hAnsi="Arial" w:cs="Arial"/>
          <w:color w:val="1A1A1A" w:themeColor="background1" w:themeShade="1A"/>
          <w:sz w:val="22"/>
        </w:rPr>
        <w:t xml:space="preserve">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62343766" w14:textId="77777777" w:rsidR="00C212DA" w:rsidRDefault="00C212DA" w:rsidP="00C212DA">
      <w:pPr>
        <w:spacing w:after="120" w:line="276" w:lineRule="auto"/>
        <w:ind w:firstLine="708"/>
        <w:jc w:val="both"/>
        <w:rPr>
          <w:rFonts w:ascii="Arial" w:hAnsi="Arial" w:cs="Arial"/>
          <w:color w:val="1A1A1A" w:themeColor="background1" w:themeShade="1A"/>
          <w:sz w:val="22"/>
        </w:rPr>
      </w:pPr>
      <w:r>
        <w:rPr>
          <w:rFonts w:ascii="Arial" w:hAnsi="Arial" w:cs="Arial"/>
          <w:color w:val="1A1A1A" w:themeColor="background1" w:themeShade="1A"/>
          <w:sz w:val="22"/>
        </w:rPr>
        <w:t>E</w:t>
      </w:r>
      <w:r w:rsidRPr="008B7C9D">
        <w:rPr>
          <w:rFonts w:ascii="Arial" w:hAnsi="Arial" w:cs="Arial"/>
          <w:color w:val="1A1A1A" w:themeColor="background1" w:themeShade="1A"/>
          <w:sz w:val="22"/>
        </w:rPr>
        <w:t>n cuanto al régimen jurídico de contratación de las empresas de servicios públicos, el inciso primero del artículo 31 de la Ley 142 de 1994 señala que «</w:t>
      </w:r>
      <w:r>
        <w:rPr>
          <w:rFonts w:ascii="Arial" w:hAnsi="Arial" w:cs="Arial"/>
          <w:color w:val="1A1A1A" w:themeColor="background1" w:themeShade="1A"/>
          <w:sz w:val="22"/>
        </w:rPr>
        <w:t>[l]</w:t>
      </w:r>
      <w:r w:rsidRPr="008B7C9D">
        <w:rPr>
          <w:rFonts w:ascii="Arial" w:hAnsi="Arial" w:cs="Arial"/>
          <w:color w:val="1A1A1A" w:themeColor="background1" w:themeShade="1A"/>
          <w:sz w:val="22"/>
        </w:rPr>
        <w:t xml:space="preserve">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r>
        <w:rPr>
          <w:rFonts w:ascii="Arial" w:hAnsi="Arial" w:cs="Arial"/>
          <w:color w:val="1A1A1A" w:themeColor="background1" w:themeShade="1A"/>
          <w:sz w:val="22"/>
        </w:rPr>
        <w:t>De esta manera</w:t>
      </w:r>
      <w:r w:rsidRPr="008B7C9D">
        <w:rPr>
          <w:rFonts w:ascii="Arial" w:hAnsi="Arial" w:cs="Arial"/>
          <w:color w:val="1A1A1A" w:themeColor="background1" w:themeShade="1A"/>
          <w:sz w:val="22"/>
        </w:rPr>
        <w:t>,</w:t>
      </w:r>
      <w:r>
        <w:rPr>
          <w:rFonts w:ascii="Arial" w:hAnsi="Arial" w:cs="Arial"/>
          <w:color w:val="1A1A1A" w:themeColor="background1" w:themeShade="1A"/>
          <w:sz w:val="22"/>
        </w:rPr>
        <w:t xml:space="preserve"> sin perjuicio de lo dispuesto en el artículo 13 de la Ley 1150 de 2007 sobre la aplicación de los principios de la función administrativa, la gestión fiscal, las inhabilidades e incompatibilidades,</w:t>
      </w:r>
      <w:r w:rsidRPr="008B7C9D">
        <w:rPr>
          <w:rFonts w:ascii="Arial" w:hAnsi="Arial" w:cs="Arial"/>
          <w:color w:val="1A1A1A" w:themeColor="background1" w:themeShade="1A"/>
          <w:sz w:val="22"/>
        </w:rPr>
        <w:t xml:space="preserve"> el régimen jurídico aplicable a los contratos que celebren las empresas de servicios públicos, incluso para las oficiales y las mixtas, es el contenido en </w:t>
      </w:r>
      <w:r>
        <w:rPr>
          <w:rFonts w:ascii="Arial" w:hAnsi="Arial" w:cs="Arial"/>
          <w:color w:val="1A1A1A" w:themeColor="background1" w:themeShade="1A"/>
          <w:sz w:val="22"/>
        </w:rPr>
        <w:t>el derecho civil y comercial</w:t>
      </w:r>
      <w:r w:rsidRPr="008B7C9D">
        <w:rPr>
          <w:rFonts w:ascii="Arial" w:hAnsi="Arial" w:cs="Arial"/>
          <w:color w:val="1A1A1A" w:themeColor="background1" w:themeShade="1A"/>
          <w:sz w:val="22"/>
        </w:rPr>
        <w:t xml:space="preserve">, esto es, </w:t>
      </w:r>
      <w:r>
        <w:rPr>
          <w:rFonts w:ascii="Arial" w:hAnsi="Arial" w:cs="Arial"/>
          <w:color w:val="1A1A1A" w:themeColor="background1" w:themeShade="1A"/>
          <w:sz w:val="22"/>
        </w:rPr>
        <w:t xml:space="preserve">por regla general </w:t>
      </w:r>
      <w:r w:rsidRPr="008B7C9D">
        <w:rPr>
          <w:rFonts w:ascii="Arial" w:hAnsi="Arial" w:cs="Arial"/>
          <w:color w:val="1A1A1A" w:themeColor="background1" w:themeShade="1A"/>
          <w:sz w:val="22"/>
        </w:rPr>
        <w:t>no están sometidas a la Ley 80 de 1993</w:t>
      </w:r>
      <w:r>
        <w:rPr>
          <w:rStyle w:val="Refdenotaalpie"/>
          <w:rFonts w:ascii="Arial" w:hAnsi="Arial" w:cs="Arial"/>
          <w:color w:val="1A1A1A" w:themeColor="background1" w:themeShade="1A"/>
          <w:sz w:val="22"/>
        </w:rPr>
        <w:footnoteReference w:id="31"/>
      </w:r>
      <w:r w:rsidRPr="008B7C9D">
        <w:rPr>
          <w:rFonts w:ascii="Arial" w:hAnsi="Arial" w:cs="Arial"/>
          <w:color w:val="1A1A1A" w:themeColor="background1" w:themeShade="1A"/>
          <w:sz w:val="22"/>
        </w:rPr>
        <w:t xml:space="preserve">. Sin embargo, como </w:t>
      </w:r>
      <w:r>
        <w:rPr>
          <w:rFonts w:ascii="Arial" w:hAnsi="Arial" w:cs="Arial"/>
          <w:color w:val="1A1A1A" w:themeColor="background1" w:themeShade="1A"/>
          <w:sz w:val="22"/>
        </w:rPr>
        <w:t xml:space="preserve">se analizó </w:t>
      </w:r>
      <w:r w:rsidRPr="002E060B">
        <w:rPr>
          <w:rFonts w:ascii="Arial" w:hAnsi="Arial" w:cs="Arial"/>
          <w:i/>
          <w:iCs/>
          <w:color w:val="1A1A1A" w:themeColor="background1" w:themeShade="1A"/>
          <w:sz w:val="22"/>
        </w:rPr>
        <w:t>ut supra</w:t>
      </w:r>
      <w:r w:rsidRPr="008B7C9D">
        <w:rPr>
          <w:rFonts w:ascii="Arial" w:hAnsi="Arial" w:cs="Arial"/>
          <w:color w:val="1A1A1A" w:themeColor="background1" w:themeShade="1A"/>
          <w:sz w:val="22"/>
        </w:rPr>
        <w:t>, eso no las exime del deber de publicar su actividad contractual, cuando ejecuten recursos públicos.</w:t>
      </w:r>
      <w:r w:rsidRPr="0091437B">
        <w:rPr>
          <w:rFonts w:ascii="Arial" w:hAnsi="Arial" w:cs="Arial"/>
          <w:color w:val="1A1A1A" w:themeColor="background1" w:themeShade="1A"/>
          <w:sz w:val="22"/>
        </w:rPr>
        <w:t xml:space="preserve"> </w:t>
      </w:r>
    </w:p>
    <w:p w14:paraId="083E2ADC" w14:textId="77777777" w:rsidR="00C212DA" w:rsidRPr="00A5491D" w:rsidRDefault="00C212DA" w:rsidP="00C212DA">
      <w:pPr>
        <w:spacing w:after="120" w:line="276" w:lineRule="auto"/>
        <w:ind w:firstLine="708"/>
        <w:jc w:val="both"/>
        <w:rPr>
          <w:rFonts w:ascii="Arial" w:eastAsia="Calibri" w:hAnsi="Arial" w:cs="Arial"/>
          <w:color w:val="000000" w:themeColor="text1"/>
          <w:sz w:val="22"/>
          <w:lang w:val="es-ES"/>
        </w:rPr>
      </w:pPr>
      <w:bookmarkStart w:id="7" w:name="_Hlk37950210"/>
      <w:bookmarkStart w:id="8" w:name="_Hlk70968001"/>
      <w:r w:rsidRPr="00A5491D">
        <w:rPr>
          <w:rFonts w:ascii="Arial" w:eastAsia="Calibri" w:hAnsi="Arial" w:cs="Arial"/>
          <w:color w:val="000000" w:themeColor="text1"/>
          <w:sz w:val="22"/>
          <w:lang w:val="es-ES"/>
        </w:rPr>
        <w:t>Ahora bien, la Agencia Nacional de Contratación Pública – Colombia Compra Eficiente tiene como función administrar el SECOP</w:t>
      </w:r>
      <w:r w:rsidRPr="00A5491D">
        <w:rPr>
          <w:rStyle w:val="Refdenotaalpie"/>
          <w:rFonts w:ascii="Arial" w:eastAsia="Calibri" w:hAnsi="Arial" w:cs="Arial"/>
          <w:color w:val="000000" w:themeColor="text1"/>
          <w:sz w:val="22"/>
          <w:lang w:val="es-ES"/>
        </w:rPr>
        <w:footnoteReference w:id="32"/>
      </w:r>
      <w:r w:rsidRPr="00A5491D">
        <w:rPr>
          <w:rFonts w:ascii="Arial" w:eastAsia="Calibri" w:hAnsi="Arial" w:cs="Arial"/>
          <w:color w:val="000000" w:themeColor="text1"/>
          <w:sz w:val="22"/>
          <w:lang w:val="es-ES"/>
        </w:rPr>
        <w:t xml:space="preserve">, por lo cual desarrolló la primera </w:t>
      </w:r>
      <w:r w:rsidRPr="00A5491D">
        <w:rPr>
          <w:rFonts w:ascii="Arial" w:eastAsia="Calibri" w:hAnsi="Arial" w:cs="Arial"/>
          <w:color w:val="000000" w:themeColor="text1"/>
          <w:sz w:val="22"/>
          <w:lang w:val="es-ES"/>
        </w:rPr>
        <w:lastRenderedPageBreak/>
        <w:t>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53FEF57D" w14:textId="77777777" w:rsidR="00C212DA" w:rsidRPr="00A5491D" w:rsidRDefault="00C212DA" w:rsidP="00C212DA">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771CA5C2" w14:textId="77777777" w:rsidR="00C212DA" w:rsidRPr="00A5491D" w:rsidRDefault="00C212DA" w:rsidP="00C212DA">
      <w:pPr>
        <w:spacing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Es necesario aclarar que, dado que el procedimiento contractual se desarrolla en línea y dentro de la plataforma, paulatinamente se va conformando un expediente electrónico, lo cual </w:t>
      </w:r>
      <w:r>
        <w:rPr>
          <w:rFonts w:ascii="Arial" w:eastAsia="Calibri" w:hAnsi="Arial" w:cs="Arial"/>
          <w:color w:val="000000" w:themeColor="text1"/>
          <w:sz w:val="22"/>
          <w:lang w:val="es-ES"/>
        </w:rPr>
        <w:t>implica</w:t>
      </w:r>
      <w:r w:rsidRPr="00A5491D">
        <w:rPr>
          <w:rFonts w:ascii="Arial" w:eastAsia="Calibri" w:hAnsi="Arial" w:cs="Arial"/>
          <w:color w:val="000000" w:themeColor="text1"/>
          <w:sz w:val="22"/>
          <w:lang w:val="es-ES"/>
        </w:rPr>
        <w:t xml:space="preserve">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w:t>
      </w:r>
    </w:p>
    <w:p w14:paraId="210FEC27" w14:textId="77777777" w:rsidR="00C212DA" w:rsidRPr="00A5491D" w:rsidRDefault="00C212DA" w:rsidP="00C212DA">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Son las entidades públicas relacionadas en dicho anexo las obligadas al uso de la plataforma que se estudia.</w:t>
      </w:r>
    </w:p>
    <w:p w14:paraId="7AE36490" w14:textId="77777777" w:rsidR="00C212DA" w:rsidRPr="00A5491D" w:rsidRDefault="00C212DA" w:rsidP="00C212DA">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w:t>
      </w:r>
      <w:r w:rsidRPr="00A5491D">
        <w:rPr>
          <w:rFonts w:ascii="Arial" w:eastAsia="Calibri" w:hAnsi="Arial" w:cs="Arial"/>
          <w:color w:val="000000" w:themeColor="text1"/>
          <w:sz w:val="22"/>
          <w:lang w:val="es-ES"/>
        </w:rPr>
        <w:lastRenderedPageBreak/>
        <w:t>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0095E4B3" w14:textId="77777777" w:rsidR="00C212DA" w:rsidRDefault="00C212DA" w:rsidP="00C212DA">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Los primeros, porque no alcanzaron a ser capacitados en el uso de la plataforma SECOP II, </w:t>
      </w:r>
      <w:r>
        <w:rPr>
          <w:rFonts w:ascii="Arial" w:eastAsia="Calibri" w:hAnsi="Arial" w:cs="Arial"/>
          <w:color w:val="000000" w:themeColor="text1"/>
          <w:sz w:val="22"/>
          <w:lang w:val="es-ES"/>
        </w:rPr>
        <w:t>pues</w:t>
      </w:r>
      <w:r w:rsidRPr="00A5491D">
        <w:rPr>
          <w:rFonts w:ascii="Arial" w:eastAsia="Calibri" w:hAnsi="Arial" w:cs="Arial"/>
          <w:color w:val="000000" w:themeColor="text1"/>
          <w:sz w:val="22"/>
          <w:lang w:val="es-ES"/>
        </w:rPr>
        <w:t xml:space="preserv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11734839" w14:textId="77777777" w:rsidR="00C212DA" w:rsidRPr="00A5491D" w:rsidRDefault="00C212DA" w:rsidP="00C212DA">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Finalmente, </w:t>
      </w:r>
      <w:r w:rsidRPr="00E00947">
        <w:rPr>
          <w:rFonts w:ascii="Arial" w:eastAsia="Calibri" w:hAnsi="Arial" w:cs="Arial"/>
          <w:color w:val="000000" w:themeColor="text1"/>
          <w:sz w:val="22"/>
          <w:lang w:val="es-ES"/>
        </w:rPr>
        <w:t>el pasado 10 de febrero de 2021</w:t>
      </w:r>
      <w:r>
        <w:rPr>
          <w:rFonts w:ascii="Arial" w:eastAsia="Calibri" w:hAnsi="Arial" w:cs="Arial"/>
          <w:color w:val="000000" w:themeColor="text1"/>
          <w:sz w:val="22"/>
          <w:lang w:val="es-ES"/>
        </w:rPr>
        <w:t xml:space="preserve"> la Agencia</w:t>
      </w:r>
      <w:r w:rsidRPr="00E00947">
        <w:rPr>
          <w:rFonts w:ascii="Arial" w:eastAsia="Calibri" w:hAnsi="Arial" w:cs="Arial"/>
          <w:color w:val="000000" w:themeColor="text1"/>
          <w:sz w:val="22"/>
          <w:lang w:val="es-ES"/>
        </w:rPr>
        <w:t xml:space="preserve"> expidió la Circular Externa No. 1 de 2021 por medio de la cual se determina la obligatoriedad del SECOP II para la vigencia del 2021</w:t>
      </w:r>
      <w:r>
        <w:rPr>
          <w:rFonts w:ascii="Arial" w:eastAsia="Calibri" w:hAnsi="Arial" w:cs="Arial"/>
          <w:color w:val="000000" w:themeColor="text1"/>
          <w:sz w:val="22"/>
          <w:lang w:val="es-ES"/>
        </w:rPr>
        <w:t xml:space="preserve"> </w:t>
      </w:r>
      <w:r w:rsidRPr="00E00947">
        <w:rPr>
          <w:rFonts w:ascii="Arial" w:eastAsia="Calibri" w:hAnsi="Arial" w:cs="Arial"/>
          <w:color w:val="000000" w:themeColor="text1"/>
          <w:sz w:val="22"/>
          <w:lang w:val="es-ES"/>
        </w:rPr>
        <w:t xml:space="preserve">para las entidades estatales listadas en el Anexo No. 1 de esta circular. </w:t>
      </w:r>
    </w:p>
    <w:bookmarkEnd w:id="7"/>
    <w:p w14:paraId="0EA67818" w14:textId="77777777" w:rsidR="00C212DA" w:rsidRPr="00A5491D" w:rsidRDefault="00C212DA" w:rsidP="00C212DA">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Pr="00A5491D">
        <w:rPr>
          <w:rFonts w:ascii="Arial" w:eastAsia="Calibri" w:hAnsi="Arial" w:cs="Arial"/>
          <w:bCs/>
          <w:color w:val="000000" w:themeColor="text1"/>
          <w:sz w:val="22"/>
        </w:rPr>
        <w:t xml:space="preserve">, con fundamento en las consideraciones expuestas en ese momento, </w:t>
      </w:r>
      <w:bookmarkStart w:id="9" w:name="_Hlk72911197"/>
      <w:r w:rsidRPr="00A5491D">
        <w:rPr>
          <w:rFonts w:ascii="Arial" w:eastAsia="Calibri" w:hAnsi="Arial" w:cs="Arial"/>
          <w:bCs/>
          <w:color w:val="000000" w:themeColor="text1"/>
          <w:sz w:val="22"/>
        </w:rPr>
        <w:t>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w:t>
      </w:r>
      <w:r>
        <w:rPr>
          <w:rFonts w:ascii="Arial" w:eastAsia="Calibri" w:hAnsi="Arial" w:cs="Arial"/>
          <w:bCs/>
          <w:color w:val="000000" w:themeColor="text1"/>
          <w:sz w:val="22"/>
        </w:rPr>
        <w:t>á</w:t>
      </w:r>
      <w:r w:rsidRPr="00A5491D">
        <w:rPr>
          <w:rFonts w:ascii="Arial" w:eastAsia="Calibri" w:hAnsi="Arial" w:cs="Arial"/>
          <w:bCs/>
          <w:color w:val="000000" w:themeColor="text1"/>
          <w:sz w:val="22"/>
        </w:rPr>
        <w:t xml:space="preserve"> vinculad</w:t>
      </w:r>
      <w:r>
        <w:rPr>
          <w:rFonts w:ascii="Arial" w:eastAsia="Calibri" w:hAnsi="Arial" w:cs="Arial"/>
          <w:bCs/>
          <w:color w:val="000000" w:themeColor="text1"/>
          <w:sz w:val="22"/>
        </w:rPr>
        <w:t>o a</w:t>
      </w:r>
      <w:r w:rsidRPr="00A5491D">
        <w:rPr>
          <w:rFonts w:ascii="Arial" w:eastAsia="Calibri" w:hAnsi="Arial" w:cs="Arial"/>
          <w:bCs/>
          <w:color w:val="000000" w:themeColor="text1"/>
          <w:sz w:val="22"/>
        </w:rPr>
        <w:t xml:space="preserve"> las entidades referidas </w:t>
      </w:r>
      <w:r>
        <w:rPr>
          <w:rFonts w:ascii="Arial" w:eastAsia="Calibri" w:hAnsi="Arial" w:cs="Arial"/>
          <w:bCs/>
          <w:color w:val="000000" w:themeColor="text1"/>
          <w:sz w:val="22"/>
        </w:rPr>
        <w:t>por la Agencia en las Circulares Externas mencionadas</w:t>
      </w:r>
      <w:r w:rsidRPr="00A5491D">
        <w:rPr>
          <w:rFonts w:ascii="Arial" w:eastAsia="Calibri" w:hAnsi="Arial" w:cs="Arial"/>
          <w:bCs/>
          <w:color w:val="000000" w:themeColor="text1"/>
          <w:sz w:val="22"/>
        </w:rPr>
        <w:t>.</w:t>
      </w:r>
      <w:bookmarkEnd w:id="9"/>
      <w:r w:rsidRPr="00A5491D">
        <w:rPr>
          <w:rFonts w:ascii="Arial" w:eastAsia="Calibri" w:hAnsi="Arial" w:cs="Arial"/>
          <w:bCs/>
          <w:color w:val="000000" w:themeColor="text1"/>
          <w:sz w:val="22"/>
        </w:rPr>
        <w:t xml:space="preserve"> En efecto, en el concepto C-151 de 2020 se concluyó lo siguiente:</w:t>
      </w:r>
    </w:p>
    <w:p w14:paraId="2359F757" w14:textId="77777777" w:rsidR="00C212DA" w:rsidRPr="00A5491D" w:rsidRDefault="00C212DA" w:rsidP="00C212DA">
      <w:pPr>
        <w:spacing w:line="276" w:lineRule="auto"/>
        <w:jc w:val="both"/>
        <w:rPr>
          <w:rFonts w:ascii="Arial" w:eastAsia="Calibri" w:hAnsi="Arial" w:cs="Arial"/>
          <w:bCs/>
          <w:color w:val="000000" w:themeColor="text1"/>
          <w:sz w:val="22"/>
        </w:rPr>
      </w:pPr>
    </w:p>
    <w:p w14:paraId="4D7292CB" w14:textId="77777777" w:rsidR="00C212DA" w:rsidRPr="00A5491D" w:rsidRDefault="00C212DA" w:rsidP="00C212DA">
      <w:pPr>
        <w:ind w:left="709"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A5491D">
        <w:rPr>
          <w:rFonts w:ascii="Arial" w:eastAsia="Calibri" w:hAnsi="Arial" w:cs="Arial"/>
          <w:bCs/>
          <w:color w:val="000000" w:themeColor="text1"/>
          <w:sz w:val="21"/>
          <w:szCs w:val="21"/>
        </w:rPr>
        <w:tab/>
      </w:r>
    </w:p>
    <w:p w14:paraId="3F765132" w14:textId="77777777" w:rsidR="00C212DA" w:rsidRPr="00A5491D" w:rsidRDefault="00C212DA" w:rsidP="00C212DA">
      <w:pPr>
        <w:spacing w:line="276" w:lineRule="auto"/>
        <w:jc w:val="both"/>
        <w:rPr>
          <w:rFonts w:ascii="Arial" w:eastAsia="Calibri" w:hAnsi="Arial" w:cs="Arial"/>
          <w:bCs/>
          <w:color w:val="000000" w:themeColor="text1"/>
          <w:sz w:val="22"/>
        </w:rPr>
      </w:pPr>
    </w:p>
    <w:p w14:paraId="3915CC6C" w14:textId="77777777" w:rsidR="00C212DA" w:rsidRPr="00A5491D" w:rsidRDefault="00C212DA" w:rsidP="00C212DA">
      <w:pPr>
        <w:spacing w:line="276" w:lineRule="auto"/>
        <w:ind w:firstLine="709"/>
        <w:jc w:val="both"/>
        <w:rPr>
          <w:rFonts w:ascii="Arial" w:eastAsia="Calibri" w:hAnsi="Arial" w:cs="Arial"/>
          <w:bCs/>
          <w:color w:val="000000" w:themeColor="text1"/>
          <w:sz w:val="22"/>
          <w:lang w:val="es-ES"/>
        </w:rPr>
      </w:pPr>
      <w:r w:rsidRPr="00A5491D">
        <w:rPr>
          <w:rFonts w:ascii="Arial" w:eastAsia="Calibri" w:hAnsi="Arial" w:cs="Arial"/>
          <w:bCs/>
          <w:color w:val="000000" w:themeColor="text1"/>
          <w:sz w:val="22"/>
        </w:rPr>
        <w:t xml:space="preserve">Las entidades descentralizadas por servicios, por otro lado, también </w:t>
      </w:r>
      <w:r>
        <w:rPr>
          <w:rFonts w:ascii="Arial" w:eastAsia="Calibri" w:hAnsi="Arial" w:cs="Arial"/>
          <w:bCs/>
          <w:color w:val="000000" w:themeColor="text1"/>
          <w:sz w:val="22"/>
        </w:rPr>
        <w:t>deben</w:t>
      </w:r>
      <w:r w:rsidRPr="00A5491D">
        <w:rPr>
          <w:rFonts w:ascii="Arial" w:eastAsia="Calibri" w:hAnsi="Arial" w:cs="Arial"/>
          <w:bCs/>
          <w:color w:val="000000" w:themeColor="text1"/>
          <w:sz w:val="22"/>
        </w:rPr>
        <w:t xml:space="preserve"> publicar su actividad contractual en el SECOP. Así lo concluyó Colombia Compra Eficiente en el concepto C-264 de 2020, en donde </w:t>
      </w:r>
      <w:r>
        <w:rPr>
          <w:rFonts w:ascii="Arial" w:eastAsia="Calibri" w:hAnsi="Arial" w:cs="Arial"/>
          <w:bCs/>
          <w:color w:val="000000" w:themeColor="text1"/>
          <w:sz w:val="22"/>
        </w:rPr>
        <w:t>sostuvo</w:t>
      </w:r>
      <w:r w:rsidRPr="00A5491D">
        <w:rPr>
          <w:rFonts w:ascii="Arial" w:eastAsia="Calibri" w:hAnsi="Arial" w:cs="Arial"/>
          <w:bCs/>
          <w:color w:val="000000" w:themeColor="text1"/>
          <w:sz w:val="22"/>
        </w:rPr>
        <w:t xml:space="preserve"> que: «[e]l Instituto Social de Vivienda y Hábitat de Medellín, sin consideración al régimen sustantivo de contratación que le resulta aplicable, esto es, Estatuto General de Contratación de la Administración Pública o regímenes exceptuados, inclusive </w:t>
      </w:r>
      <w:r w:rsidRPr="00A5491D">
        <w:rPr>
          <w:rFonts w:ascii="Arial" w:eastAsia="Calibri" w:hAnsi="Arial" w:cs="Arial"/>
          <w:bCs/>
          <w:i/>
          <w:iCs/>
          <w:color w:val="000000" w:themeColor="text1"/>
          <w:sz w:val="22"/>
        </w:rPr>
        <w:t>independiente de la tipología de los contratos y el régimen aplicable a los mismos</w:t>
      </w:r>
      <w:r w:rsidRPr="00A5491D">
        <w:rPr>
          <w:rFonts w:ascii="Arial" w:eastAsia="Calibri" w:hAnsi="Arial" w:cs="Arial"/>
          <w:bCs/>
          <w:color w:val="000000" w:themeColor="text1"/>
          <w:sz w:val="22"/>
        </w:rPr>
        <w:t>, está en la obligación de publicar todos los documentos proferidos con ocasión de sus procesos de contratación» «cursivas propias».</w:t>
      </w:r>
    </w:p>
    <w:p w14:paraId="14501C3C" w14:textId="77777777" w:rsidR="00C212DA" w:rsidRDefault="00C212DA" w:rsidP="00C212DA">
      <w:pPr>
        <w:spacing w:after="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t xml:space="preserve">En suma, a la luz de los criterios desarrollados por la Agencia Nacional de Contratación Pública, el deber de publicar en el SECOP se </w:t>
      </w:r>
      <w:r>
        <w:rPr>
          <w:rFonts w:ascii="Arial" w:eastAsia="Calibri" w:hAnsi="Arial" w:cs="Arial"/>
          <w:bCs/>
          <w:color w:val="000000" w:themeColor="text1"/>
          <w:sz w:val="22"/>
        </w:rPr>
        <w:t>fundamenta</w:t>
      </w:r>
      <w:r w:rsidRPr="00A5491D">
        <w:rPr>
          <w:rFonts w:ascii="Arial" w:eastAsia="Calibri" w:hAnsi="Arial" w:cs="Arial"/>
          <w:bCs/>
          <w:color w:val="000000" w:themeColor="text1"/>
          <w:sz w:val="22"/>
        </w:rPr>
        <w:t xml:space="preserve"> en una idea general, </w:t>
      </w:r>
      <w:r w:rsidRPr="00A5491D">
        <w:rPr>
          <w:rFonts w:ascii="Arial" w:eastAsia="Calibri" w:hAnsi="Arial" w:cs="Arial"/>
          <w:bCs/>
          <w:color w:val="000000" w:themeColor="text1"/>
          <w:sz w:val="22"/>
        </w:rPr>
        <w:lastRenderedPageBreak/>
        <w:t xml:space="preserve">esto es, que se debe publicar toda actividad contractual en la que se ejecuten recursos públicos, </w:t>
      </w:r>
      <w:r>
        <w:rPr>
          <w:rFonts w:ascii="Arial" w:eastAsia="Calibri" w:hAnsi="Arial" w:cs="Arial"/>
          <w:bCs/>
          <w:color w:val="000000" w:themeColor="text1"/>
          <w:sz w:val="22"/>
        </w:rPr>
        <w:t>con independencia</w:t>
      </w:r>
      <w:r w:rsidRPr="00A5491D">
        <w:rPr>
          <w:rFonts w:ascii="Arial" w:eastAsia="Calibri" w:hAnsi="Arial" w:cs="Arial"/>
          <w:bCs/>
          <w:color w:val="000000" w:themeColor="text1"/>
          <w:sz w:val="22"/>
        </w:rPr>
        <w:t xml:space="preserve"> de la naturaleza jurídica de la entidad contratante, de su régimen contractual, incluso, sin importar la tipología del contrato a celebrar. Igualmente, este deber debe hacerse efectivo en el SECOP I o en el SECOP II, dependiendo de cada caso.</w:t>
      </w:r>
    </w:p>
    <w:p w14:paraId="6057EAD5" w14:textId="77777777" w:rsidR="00C212DA" w:rsidRPr="00461416" w:rsidRDefault="00C212DA" w:rsidP="00C212DA">
      <w:pPr>
        <w:spacing w:after="120" w:line="276" w:lineRule="auto"/>
        <w:ind w:firstLine="708"/>
        <w:jc w:val="both"/>
        <w:rPr>
          <w:rFonts w:ascii="Arial" w:eastAsia="Calibri" w:hAnsi="Arial" w:cs="Arial"/>
          <w:bCs/>
          <w:color w:val="000000" w:themeColor="text1"/>
          <w:sz w:val="22"/>
          <w:szCs w:val="22"/>
        </w:rPr>
      </w:pPr>
      <w:r w:rsidRPr="00461416">
        <w:rPr>
          <w:rFonts w:ascii="Arial" w:eastAsia="Calibri" w:hAnsi="Arial" w:cs="Arial"/>
          <w:bCs/>
          <w:color w:val="000000" w:themeColor="text1"/>
          <w:sz w:val="22"/>
          <w:szCs w:val="22"/>
        </w:rPr>
        <w:t xml:space="preserve">Para el caso concreto, </w:t>
      </w:r>
      <w:bookmarkStart w:id="10" w:name="_Hlk69139846"/>
      <w:r w:rsidRPr="00461416">
        <w:rPr>
          <w:rFonts w:ascii="Arial" w:eastAsia="Calibri" w:hAnsi="Arial" w:cs="Arial"/>
          <w:bCs/>
          <w:color w:val="000000" w:themeColor="text1"/>
          <w:sz w:val="22"/>
          <w:szCs w:val="22"/>
        </w:rPr>
        <w:t xml:space="preserve">las empresas prestadoras de servicios públicos domiciliarios </w:t>
      </w:r>
      <w:bookmarkEnd w:id="10"/>
      <w:r w:rsidRPr="00461416">
        <w:rPr>
          <w:rFonts w:ascii="Arial" w:eastAsia="Calibri" w:hAnsi="Arial" w:cs="Arial"/>
          <w:bCs/>
          <w:color w:val="000000" w:themeColor="text1"/>
          <w:sz w:val="22"/>
          <w:szCs w:val="22"/>
        </w:rPr>
        <w:t>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w:t>
      </w:r>
      <w:r>
        <w:rPr>
          <w:rFonts w:ascii="Arial" w:eastAsia="Calibri" w:hAnsi="Arial" w:cs="Arial"/>
          <w:bCs/>
          <w:color w:val="000000" w:themeColor="text1"/>
          <w:sz w:val="22"/>
          <w:szCs w:val="22"/>
        </w:rPr>
        <w:t>se</w:t>
      </w:r>
      <w:r w:rsidRPr="00461416">
        <w:rPr>
          <w:rFonts w:ascii="Arial" w:eastAsia="Calibri" w:hAnsi="Arial" w:cs="Arial"/>
          <w:bCs/>
          <w:color w:val="000000" w:themeColor="text1"/>
          <w:sz w:val="22"/>
          <w:szCs w:val="22"/>
        </w:rPr>
        <w:t xml:space="preserve"> a través de SECOP I</w:t>
      </w:r>
      <w:r>
        <w:rPr>
          <w:rFonts w:ascii="Arial" w:eastAsia="Calibri" w:hAnsi="Arial" w:cs="Arial"/>
          <w:bCs/>
          <w:color w:val="000000" w:themeColor="text1"/>
          <w:sz w:val="22"/>
          <w:szCs w:val="22"/>
        </w:rPr>
        <w:t>,</w:t>
      </w:r>
      <w:r w:rsidRPr="00461416">
        <w:rPr>
          <w:rFonts w:ascii="Arial" w:eastAsia="Calibri" w:hAnsi="Arial" w:cs="Arial"/>
          <w:bCs/>
          <w:color w:val="000000" w:themeColor="text1"/>
          <w:sz w:val="22"/>
          <w:szCs w:val="22"/>
        </w:rPr>
        <w:t xml:space="preserve"> con excepción de los procesos de contratación derivados de la aplicación del Decreto 092 de 2017</w:t>
      </w:r>
      <w:r>
        <w:rPr>
          <w:rStyle w:val="Refdenotaalpie"/>
          <w:rFonts w:ascii="Arial" w:eastAsia="Calibri" w:hAnsi="Arial" w:cs="Arial"/>
          <w:bCs/>
          <w:color w:val="000000" w:themeColor="text1"/>
          <w:sz w:val="22"/>
          <w:szCs w:val="22"/>
        </w:rPr>
        <w:footnoteReference w:id="33"/>
      </w:r>
      <w:r w:rsidRPr="00461416">
        <w:rPr>
          <w:rFonts w:ascii="Arial" w:eastAsia="Calibri" w:hAnsi="Arial" w:cs="Arial"/>
          <w:bCs/>
          <w:color w:val="000000" w:themeColor="text1"/>
          <w:sz w:val="22"/>
          <w:szCs w:val="22"/>
        </w:rPr>
        <w:t>.</w:t>
      </w:r>
    </w:p>
    <w:p w14:paraId="27D8E0B2" w14:textId="77777777" w:rsidR="00C212DA" w:rsidRDefault="00C212DA" w:rsidP="00C212DA">
      <w:pPr>
        <w:pStyle w:val="paragraph"/>
        <w:spacing w:before="0" w:beforeAutospacing="0" w:after="0" w:afterAutospacing="0" w:line="276" w:lineRule="auto"/>
        <w:ind w:firstLine="708"/>
        <w:jc w:val="both"/>
        <w:textAlignment w:val="baseline"/>
        <w:rPr>
          <w:rFonts w:ascii="Arial" w:eastAsia="Calibri" w:hAnsi="Arial" w:cs="Arial"/>
          <w:bCs/>
          <w:color w:val="000000" w:themeColor="text1"/>
          <w:sz w:val="22"/>
          <w:szCs w:val="22"/>
          <w:lang w:eastAsia="es-ES_tradnl"/>
        </w:rPr>
      </w:pPr>
      <w:r w:rsidRPr="00461416">
        <w:rPr>
          <w:rFonts w:ascii="Arial" w:eastAsia="Calibri" w:hAnsi="Arial" w:cs="Arial"/>
          <w:bCs/>
          <w:color w:val="000000" w:themeColor="text1"/>
          <w:sz w:val="22"/>
          <w:szCs w:val="22"/>
          <w:lang w:eastAsia="es-ES_tradnl"/>
        </w:rPr>
        <w:t xml:space="preserve">En otras palabras, los únicos procesos que debe adelantar las empresas prestadoras de servicios públicos domiciliarios a través del SECOP II son los derivados del Decreto 092 de 2017 para la contratación con </w:t>
      </w:r>
      <w:r>
        <w:rPr>
          <w:rFonts w:ascii="Arial" w:eastAsia="Calibri" w:hAnsi="Arial" w:cs="Arial"/>
          <w:bCs/>
          <w:color w:val="000000" w:themeColor="text1"/>
          <w:sz w:val="22"/>
          <w:szCs w:val="22"/>
          <w:lang w:eastAsia="es-ES_tradnl"/>
        </w:rPr>
        <w:t>ESAL de</w:t>
      </w:r>
      <w:r w:rsidRPr="00461416">
        <w:rPr>
          <w:rFonts w:ascii="Arial" w:eastAsia="Calibri" w:hAnsi="Arial" w:cs="Arial"/>
          <w:bCs/>
          <w:color w:val="000000" w:themeColor="text1"/>
          <w:sz w:val="22"/>
          <w:szCs w:val="22"/>
          <w:lang w:eastAsia="es-ES_tradnl"/>
        </w:rPr>
        <w:t xml:space="preserve"> reconocida idoneidad. Para ello, tendrán habilitados los módulos de “Régimen Especial” en la plataforma. Si requiere información adicional sobre el uso de estos módulos, puede consultar las guías y manuales dispuestos por la ANCP- CCE en el minisitio de SECOP II disponible en los siguientes enlaces:</w:t>
      </w:r>
    </w:p>
    <w:p w14:paraId="4630D50B" w14:textId="77777777" w:rsidR="00C212DA" w:rsidRPr="00461416" w:rsidRDefault="00C212DA" w:rsidP="00C212DA">
      <w:pPr>
        <w:pStyle w:val="paragraph"/>
        <w:spacing w:before="0" w:beforeAutospacing="0" w:after="0" w:afterAutospacing="0" w:line="276" w:lineRule="auto"/>
        <w:ind w:firstLine="708"/>
        <w:jc w:val="both"/>
        <w:textAlignment w:val="baseline"/>
        <w:rPr>
          <w:rFonts w:ascii="Arial" w:eastAsia="Calibri" w:hAnsi="Arial" w:cs="Arial"/>
          <w:bCs/>
          <w:color w:val="000000" w:themeColor="text1"/>
          <w:sz w:val="22"/>
          <w:szCs w:val="22"/>
          <w:lang w:eastAsia="es-ES_tradnl"/>
        </w:rPr>
      </w:pPr>
    </w:p>
    <w:p w14:paraId="5A69F2AB" w14:textId="77777777" w:rsidR="00C212DA" w:rsidRPr="00461416" w:rsidRDefault="00C212DA" w:rsidP="00C212DA">
      <w:pPr>
        <w:pStyle w:val="paragraph"/>
        <w:numPr>
          <w:ilvl w:val="0"/>
          <w:numId w:val="2"/>
        </w:numPr>
        <w:spacing w:before="0" w:beforeAutospacing="0" w:after="0" w:afterAutospacing="0"/>
        <w:jc w:val="both"/>
        <w:textAlignment w:val="baseline"/>
        <w:rPr>
          <w:rStyle w:val="normaltextrun"/>
          <w:rFonts w:ascii="Arial" w:hAnsi="Arial" w:cs="Arial"/>
          <w:color w:val="000000" w:themeColor="text1"/>
          <w:sz w:val="22"/>
          <w:szCs w:val="22"/>
        </w:rPr>
      </w:pPr>
      <w:r w:rsidRPr="00461416">
        <w:rPr>
          <w:rStyle w:val="normaltextrun"/>
          <w:rFonts w:ascii="Arial" w:hAnsi="Arial" w:cs="Arial"/>
          <w:color w:val="000000" w:themeColor="text1"/>
          <w:sz w:val="22"/>
          <w:szCs w:val="22"/>
        </w:rPr>
        <w:t xml:space="preserve">Régimen especial – Con Oferta: </w:t>
      </w:r>
      <w:hyperlink r:id="rId11" w:history="1">
        <w:r w:rsidRPr="00461416">
          <w:rPr>
            <w:rStyle w:val="Hipervnculo"/>
            <w:rFonts w:ascii="Arial" w:hAnsi="Arial" w:cs="Arial"/>
            <w:color w:val="000000" w:themeColor="text1"/>
            <w:sz w:val="22"/>
            <w:szCs w:val="22"/>
          </w:rPr>
          <w:t>https://colombiacompra.gov.co/node/23628</w:t>
        </w:r>
      </w:hyperlink>
    </w:p>
    <w:p w14:paraId="2D8F64A3" w14:textId="77777777" w:rsidR="00C212DA" w:rsidRPr="00A71531" w:rsidRDefault="00C212DA" w:rsidP="00C212DA">
      <w:pPr>
        <w:pStyle w:val="paragraph"/>
        <w:numPr>
          <w:ilvl w:val="0"/>
          <w:numId w:val="2"/>
        </w:numPr>
        <w:spacing w:before="0" w:beforeAutospacing="0" w:after="0" w:afterAutospacing="0" w:line="276" w:lineRule="auto"/>
        <w:jc w:val="both"/>
        <w:textAlignment w:val="baseline"/>
        <w:rPr>
          <w:rStyle w:val="Hipervnculo"/>
          <w:rFonts w:ascii="Arial" w:hAnsi="Arial" w:cs="Arial"/>
          <w:color w:val="000000" w:themeColor="text1"/>
          <w:sz w:val="22"/>
          <w:szCs w:val="22"/>
        </w:rPr>
      </w:pPr>
      <w:r w:rsidRPr="00461416">
        <w:rPr>
          <w:rStyle w:val="normaltextrun"/>
          <w:rFonts w:ascii="Arial" w:hAnsi="Arial" w:cs="Arial"/>
          <w:color w:val="000000" w:themeColor="text1"/>
          <w:sz w:val="22"/>
          <w:szCs w:val="22"/>
        </w:rPr>
        <w:t xml:space="preserve">Régimen especial – Sin ofertas (Uso transaccional): </w:t>
      </w:r>
      <w:hyperlink r:id="rId12" w:history="1">
        <w:r w:rsidRPr="00461416">
          <w:rPr>
            <w:rStyle w:val="Hipervnculo"/>
            <w:rFonts w:ascii="Arial" w:hAnsi="Arial" w:cs="Arial"/>
            <w:color w:val="000000" w:themeColor="text1"/>
            <w:sz w:val="22"/>
            <w:szCs w:val="22"/>
          </w:rPr>
          <w:t>https://www.colombiacompra.gov.co/node/30741</w:t>
        </w:r>
      </w:hyperlink>
    </w:p>
    <w:p w14:paraId="711484DF" w14:textId="77777777" w:rsidR="00C212DA" w:rsidRPr="00461416" w:rsidRDefault="00C212DA" w:rsidP="00C212DA">
      <w:pPr>
        <w:pStyle w:val="paragraph"/>
        <w:spacing w:before="0" w:beforeAutospacing="0" w:after="0" w:afterAutospacing="0" w:line="276" w:lineRule="auto"/>
        <w:ind w:left="720"/>
        <w:jc w:val="both"/>
        <w:textAlignment w:val="baseline"/>
        <w:rPr>
          <w:rStyle w:val="normaltextrun"/>
          <w:rFonts w:ascii="Arial" w:hAnsi="Arial" w:cs="Arial"/>
          <w:color w:val="000000" w:themeColor="text1"/>
          <w:sz w:val="22"/>
          <w:szCs w:val="22"/>
        </w:rPr>
      </w:pPr>
    </w:p>
    <w:p w14:paraId="3B3A600A" w14:textId="77777777" w:rsidR="00C212DA" w:rsidRPr="00461416" w:rsidRDefault="00C212DA" w:rsidP="00C212DA">
      <w:pPr>
        <w:pStyle w:val="paragraph"/>
        <w:spacing w:before="0" w:beforeAutospacing="0" w:after="120" w:afterAutospacing="0" w:line="276" w:lineRule="auto"/>
        <w:ind w:firstLine="709"/>
        <w:jc w:val="both"/>
        <w:textAlignment w:val="baseline"/>
        <w:rPr>
          <w:rFonts w:ascii="Arial" w:eastAsiaTheme="minorHAnsi" w:hAnsi="Arial" w:cs="Arial"/>
          <w:color w:val="000000" w:themeColor="text1"/>
          <w:sz w:val="22"/>
          <w:szCs w:val="22"/>
          <w:lang w:eastAsia="en-US"/>
        </w:rPr>
      </w:pPr>
      <w:r>
        <w:rPr>
          <w:rStyle w:val="normaltextrun"/>
          <w:rFonts w:ascii="Arial" w:hAnsi="Arial" w:cs="Arial"/>
          <w:color w:val="000000" w:themeColor="text1"/>
          <w:sz w:val="22"/>
          <w:szCs w:val="22"/>
        </w:rPr>
        <w:t xml:space="preserve">En todo caso, informamos que </w:t>
      </w:r>
      <w:r w:rsidRPr="00461416">
        <w:rPr>
          <w:rStyle w:val="normaltextrun"/>
          <w:rFonts w:ascii="Arial" w:hAnsi="Arial" w:cs="Arial"/>
          <w:color w:val="000000" w:themeColor="text1"/>
          <w:sz w:val="22"/>
          <w:szCs w:val="22"/>
        </w:rPr>
        <w:t xml:space="preserve">la Agencia Nacional de Contratación Pública </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Colombia Compra Eficiente no ha establecido una fecha exacta a partir de la cual será obligatorio el uso del SECOP II para las entidades que no se encuentran incluidas en los Anexos de las Circulares No.1 de 2019 y 2021. Cuando </w:t>
      </w:r>
      <w:r>
        <w:rPr>
          <w:rStyle w:val="normaltextrun"/>
          <w:rFonts w:ascii="Arial" w:hAnsi="Arial" w:cs="Arial"/>
          <w:color w:val="000000" w:themeColor="text1"/>
          <w:sz w:val="22"/>
          <w:szCs w:val="22"/>
        </w:rPr>
        <w:t>se determine</w:t>
      </w:r>
      <w:r w:rsidRPr="00461416">
        <w:rPr>
          <w:rStyle w:val="normaltextrun"/>
          <w:rFonts w:ascii="Arial" w:hAnsi="Arial" w:cs="Arial"/>
          <w:color w:val="000000" w:themeColor="text1"/>
          <w:sz w:val="22"/>
          <w:szCs w:val="22"/>
        </w:rPr>
        <w:t xml:space="preserve">, la </w:t>
      </w:r>
      <w:r>
        <w:rPr>
          <w:rStyle w:val="normaltextrun"/>
          <w:rFonts w:ascii="Arial" w:hAnsi="Arial" w:cs="Arial"/>
          <w:color w:val="000000" w:themeColor="text1"/>
          <w:sz w:val="22"/>
          <w:szCs w:val="22"/>
        </w:rPr>
        <w:t>entidad</w:t>
      </w:r>
      <w:r w:rsidRPr="00461416">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informará</w:t>
      </w:r>
      <w:r w:rsidRPr="00461416">
        <w:rPr>
          <w:rStyle w:val="normaltextrun"/>
          <w:rFonts w:ascii="Arial" w:hAnsi="Arial" w:cs="Arial"/>
          <w:color w:val="000000" w:themeColor="text1"/>
          <w:sz w:val="22"/>
          <w:szCs w:val="22"/>
        </w:rPr>
        <w:t xml:space="preserve"> con la suficiente anticipación a través los canales de comunicación oficiales</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49833161" w14:textId="77777777" w:rsidR="00C212DA" w:rsidRPr="00461416" w:rsidRDefault="00C212DA" w:rsidP="00C212DA">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eastAsia="es-ES"/>
        </w:rPr>
      </w:pPr>
      <w:r w:rsidRPr="00461416">
        <w:rPr>
          <w:rFonts w:ascii="Arial" w:eastAsiaTheme="minorHAnsi" w:hAnsi="Arial" w:cs="Arial"/>
          <w:color w:val="000000" w:themeColor="text1"/>
          <w:sz w:val="22"/>
          <w:szCs w:val="22"/>
          <w:lang w:eastAsia="en-US"/>
        </w:rPr>
        <w:t>Si desea conocer información sobre el funcionamiento técnico de SECOP II puede consultar</w:t>
      </w:r>
      <w:r w:rsidRPr="00461416">
        <w:rPr>
          <w:rFonts w:ascii="Arial" w:hAnsi="Arial" w:cs="Arial"/>
          <w:color w:val="000000" w:themeColor="text1"/>
          <w:sz w:val="22"/>
          <w:szCs w:val="22"/>
        </w:rPr>
        <w:t xml:space="preserve"> las guías y manuales dispuestos por la ANCP- CCE en el minisitio de SECOP II en el siguiente enlace </w:t>
      </w:r>
      <w:hyperlink r:id="rId13" w:history="1">
        <w:r w:rsidRPr="00461416">
          <w:rPr>
            <w:rStyle w:val="Hipervnculo"/>
            <w:rFonts w:ascii="Arial" w:eastAsiaTheme="minorHAnsi" w:hAnsi="Arial" w:cs="Arial"/>
            <w:color w:val="000000" w:themeColor="text1"/>
            <w:sz w:val="22"/>
            <w:szCs w:val="22"/>
            <w:lang w:eastAsia="en-US"/>
          </w:rPr>
          <w:t>https://www.colombiacompra.gov.co/secop-ii</w:t>
        </w:r>
      </w:hyperlink>
      <w:r w:rsidRPr="00461416">
        <w:rPr>
          <w:rStyle w:val="Hipervnculo"/>
          <w:rFonts w:ascii="Arial" w:eastAsiaTheme="minorHAnsi" w:hAnsi="Arial" w:cs="Arial"/>
          <w:color w:val="000000" w:themeColor="text1"/>
          <w:sz w:val="22"/>
          <w:szCs w:val="22"/>
          <w:lang w:eastAsia="en-US"/>
        </w:rPr>
        <w:t>.</w:t>
      </w:r>
      <w:r w:rsidRPr="00461416">
        <w:rPr>
          <w:rFonts w:ascii="Arial" w:hAnsi="Arial" w:cs="Arial"/>
          <w:color w:val="000000" w:themeColor="text1"/>
          <w:sz w:val="22"/>
          <w:szCs w:val="22"/>
        </w:rPr>
        <w:t xml:space="preserve"> </w:t>
      </w:r>
    </w:p>
    <w:p w14:paraId="490A3699" w14:textId="77777777" w:rsidR="00C212DA" w:rsidRPr="00461416" w:rsidRDefault="00C212DA" w:rsidP="00C212DA">
      <w:pPr>
        <w:spacing w:line="276" w:lineRule="auto"/>
        <w:ind w:firstLine="708"/>
        <w:jc w:val="both"/>
        <w:rPr>
          <w:rFonts w:ascii="Arial" w:hAnsi="Arial" w:cs="Arial"/>
          <w:color w:val="000000" w:themeColor="text1"/>
          <w:sz w:val="22"/>
          <w:szCs w:val="22"/>
        </w:rPr>
      </w:pPr>
      <w:r w:rsidRPr="00461416">
        <w:rPr>
          <w:rFonts w:ascii="Arial" w:hAnsi="Arial" w:cs="Arial"/>
          <w:color w:val="000000" w:themeColor="text1"/>
          <w:sz w:val="22"/>
          <w:szCs w:val="22"/>
        </w:rPr>
        <w:t xml:space="preserve">Finalmente, en caso de tener dudas sobre las herramientas puede acceder a la Mesa de Servicio de la ANCP - CCE a través de los canales especificados en este enlace: </w:t>
      </w:r>
      <w:hyperlink r:id="rId14" w:history="1">
        <w:r w:rsidRPr="00461416">
          <w:rPr>
            <w:rStyle w:val="Hipervnculo"/>
            <w:rFonts w:ascii="Arial" w:hAnsi="Arial" w:cs="Arial"/>
            <w:color w:val="000000" w:themeColor="text1"/>
            <w:sz w:val="22"/>
            <w:szCs w:val="22"/>
          </w:rPr>
          <w:t>https://www.colombiacompra.gov.co/mesa-de-servicio</w:t>
        </w:r>
      </w:hyperlink>
      <w:r w:rsidRPr="00461416">
        <w:rPr>
          <w:rFonts w:ascii="Arial" w:hAnsi="Arial" w:cs="Arial"/>
          <w:color w:val="000000" w:themeColor="text1"/>
          <w:sz w:val="22"/>
          <w:szCs w:val="22"/>
        </w:rPr>
        <w:t xml:space="preserve">. </w:t>
      </w:r>
    </w:p>
    <w:bookmarkEnd w:id="6"/>
    <w:bookmarkEnd w:id="8"/>
    <w:p w14:paraId="708B016D" w14:textId="77777777" w:rsidR="00075B7E" w:rsidRPr="00DD2D97" w:rsidRDefault="00075B7E" w:rsidP="00075B7E">
      <w:pPr>
        <w:spacing w:line="276" w:lineRule="auto"/>
        <w:jc w:val="both"/>
        <w:rPr>
          <w:rFonts w:ascii="Arial" w:eastAsia="Calibri" w:hAnsi="Arial" w:cs="Arial"/>
          <w:b/>
          <w:color w:val="000000" w:themeColor="text1"/>
          <w:sz w:val="22"/>
          <w:lang w:val="es-ES_tradnl"/>
        </w:rPr>
      </w:pPr>
    </w:p>
    <w:p w14:paraId="1FC29E46" w14:textId="77777777" w:rsidR="00075B7E" w:rsidRPr="00DD2D97" w:rsidRDefault="00075B7E" w:rsidP="00075B7E">
      <w:pPr>
        <w:spacing w:line="276" w:lineRule="auto"/>
        <w:jc w:val="both"/>
        <w:rPr>
          <w:rFonts w:ascii="Arial" w:hAnsi="Arial" w:cs="Arial"/>
          <w:sz w:val="22"/>
          <w:lang w:val="es-ES_tradnl"/>
        </w:rPr>
      </w:pPr>
      <w:r w:rsidRPr="00DD2D97">
        <w:rPr>
          <w:rFonts w:ascii="Arial" w:eastAsia="Calibri" w:hAnsi="Arial" w:cs="Arial"/>
          <w:b/>
          <w:color w:val="000000" w:themeColor="text1"/>
          <w:sz w:val="22"/>
          <w:lang w:val="es-ES_tradnl"/>
        </w:rPr>
        <w:lastRenderedPageBreak/>
        <w:t>3. Respuesta</w:t>
      </w:r>
    </w:p>
    <w:p w14:paraId="083E97A9" w14:textId="77777777" w:rsidR="00075B7E" w:rsidRPr="00DD2D97" w:rsidRDefault="00075B7E" w:rsidP="00075B7E">
      <w:pPr>
        <w:tabs>
          <w:tab w:val="left" w:pos="0"/>
        </w:tabs>
        <w:jc w:val="both"/>
        <w:rPr>
          <w:rFonts w:ascii="Arial" w:eastAsia="Calibri" w:hAnsi="Arial" w:cs="Arial"/>
          <w:color w:val="000000" w:themeColor="text1"/>
          <w:sz w:val="22"/>
          <w:lang w:val="es-ES_tradnl"/>
        </w:rPr>
      </w:pPr>
    </w:p>
    <w:p w14:paraId="03A2D86E" w14:textId="2DB9BB26" w:rsidR="008B2F4C" w:rsidRPr="00FF3C5B" w:rsidRDefault="008B2F4C" w:rsidP="008B2F4C">
      <w:pPr>
        <w:ind w:left="709" w:right="709"/>
        <w:jc w:val="both"/>
        <w:rPr>
          <w:rFonts w:ascii="Arial" w:hAnsi="Arial" w:cs="Arial"/>
          <w:color w:val="000000" w:themeColor="text1"/>
          <w:sz w:val="21"/>
          <w:szCs w:val="21"/>
          <w:lang w:val="es-ES_tradnl"/>
        </w:rPr>
      </w:pPr>
      <w:r w:rsidRPr="00DD2D97">
        <w:rPr>
          <w:rFonts w:ascii="Arial" w:hAnsi="Arial" w:cs="Arial"/>
          <w:color w:val="000000" w:themeColor="text1"/>
          <w:sz w:val="21"/>
          <w:szCs w:val="21"/>
          <w:lang w:val="es-ES_tradnl"/>
        </w:rPr>
        <w:t>«</w:t>
      </w:r>
      <w:r w:rsidRPr="00FF3C5B">
        <w:rPr>
          <w:rFonts w:ascii="Arial" w:hAnsi="Arial" w:cs="Arial"/>
          <w:color w:val="000000" w:themeColor="text1"/>
          <w:sz w:val="21"/>
          <w:szCs w:val="21"/>
          <w:lang w:val="es-ES_tradnl"/>
        </w:rPr>
        <w:t>Con toda atención, de conformidad al auto de fecha 25 de febrero de 2021 de la Sala de lo Contencioso Administrativo de la Sección Tercera, Subsección B del Consejo de Estado, me permito solicitar me sea aclarado si las empresas privadas que prestan servicios públicos domiciliarios tienen la obligación de publicar su actividad contractual con recursos 100% privados, las cuales no están regidas por la Ley 80 de 1993 y demás normas que la modifican y complementan, sino por las normas civiles o comerciales.</w:t>
      </w:r>
    </w:p>
    <w:p w14:paraId="1955B12E" w14:textId="77777777" w:rsidR="008B2F4C" w:rsidRPr="00FF3C5B" w:rsidRDefault="008B2F4C" w:rsidP="008B2F4C">
      <w:pPr>
        <w:ind w:left="709" w:right="709"/>
        <w:jc w:val="both"/>
        <w:rPr>
          <w:rFonts w:ascii="Arial" w:hAnsi="Arial" w:cs="Arial"/>
          <w:color w:val="000000" w:themeColor="text1"/>
          <w:sz w:val="21"/>
          <w:szCs w:val="21"/>
          <w:lang w:val="es-ES_tradnl"/>
        </w:rPr>
      </w:pPr>
    </w:p>
    <w:p w14:paraId="644CD2A8" w14:textId="0C3FA3B6" w:rsidR="00075B7E" w:rsidRPr="007C32D7" w:rsidRDefault="008B2F4C" w:rsidP="008B2F4C">
      <w:pPr>
        <w:ind w:left="709" w:right="709"/>
        <w:jc w:val="both"/>
        <w:rPr>
          <w:rFonts w:ascii="Arial" w:hAnsi="Arial" w:cs="Arial"/>
          <w:color w:val="000000" w:themeColor="text1"/>
          <w:sz w:val="22"/>
          <w:lang w:val="es-ES_tradnl"/>
        </w:rPr>
      </w:pPr>
      <w:r w:rsidRPr="00FF3C5B">
        <w:rPr>
          <w:rFonts w:ascii="Arial" w:hAnsi="Arial" w:cs="Arial"/>
          <w:color w:val="000000" w:themeColor="text1"/>
          <w:sz w:val="21"/>
          <w:szCs w:val="21"/>
          <w:lang w:val="es-ES_tradnl"/>
        </w:rPr>
        <w:t>Por otro lado, que obligación existe para la empresa de servicios públicos domiciliarios que teniendo su capital 100% privado, lleva a cabo contratación con terceros privados también, pero con recursos públicos</w:t>
      </w:r>
      <w:r w:rsidRPr="00C22EDD">
        <w:rPr>
          <w:rFonts w:ascii="Arial" w:eastAsia="Calibri" w:hAnsi="Arial" w:cs="Arial"/>
          <w:color w:val="000000" w:themeColor="text1"/>
          <w:sz w:val="22"/>
          <w:lang w:val="es-ES_tradnl"/>
        </w:rPr>
        <w:t>»</w:t>
      </w:r>
      <w:r w:rsidRPr="007C32D7">
        <w:rPr>
          <w:rFonts w:ascii="Arial" w:hAnsi="Arial" w:cs="Arial"/>
          <w:color w:val="000000" w:themeColor="text1"/>
          <w:sz w:val="21"/>
          <w:szCs w:val="21"/>
          <w:lang w:val="es-ES_tradnl"/>
        </w:rPr>
        <w:t>.</w:t>
      </w:r>
    </w:p>
    <w:p w14:paraId="723A73EF" w14:textId="77777777" w:rsidR="00075B7E" w:rsidRPr="00DD2D97" w:rsidRDefault="00075B7E" w:rsidP="00075B7E">
      <w:pPr>
        <w:ind w:left="709" w:right="709"/>
        <w:jc w:val="both"/>
        <w:rPr>
          <w:rFonts w:ascii="Arial" w:hAnsi="Arial" w:cs="Arial"/>
          <w:color w:val="000000" w:themeColor="text1"/>
          <w:sz w:val="21"/>
          <w:szCs w:val="21"/>
          <w:lang w:val="es-ES_tradnl"/>
        </w:rPr>
      </w:pPr>
    </w:p>
    <w:p w14:paraId="477E9029" w14:textId="244C6D4E" w:rsidR="00075B7E" w:rsidRDefault="00075B7E" w:rsidP="00075B7E">
      <w:pPr>
        <w:spacing w:line="276" w:lineRule="auto"/>
        <w:jc w:val="both"/>
        <w:rPr>
          <w:rFonts w:ascii="Arial" w:hAnsi="Arial" w:cs="Arial"/>
          <w:color w:val="000000" w:themeColor="text1"/>
          <w:sz w:val="22"/>
          <w:szCs w:val="22"/>
          <w:lang w:val="es-ES_tradnl"/>
        </w:rPr>
      </w:pPr>
      <w:r w:rsidRPr="008B3AFB">
        <w:rPr>
          <w:rFonts w:ascii="Arial" w:hAnsi="Arial" w:cs="Arial"/>
          <w:color w:val="000000" w:themeColor="text1"/>
          <w:sz w:val="22"/>
          <w:szCs w:val="22"/>
          <w:lang w:val="es-ES_tradnl"/>
        </w:rPr>
        <w:t xml:space="preserve">De ninguna manera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w:t>
      </w:r>
      <w:r>
        <w:rPr>
          <w:rFonts w:ascii="Arial" w:hAnsi="Arial" w:cs="Arial"/>
          <w:color w:val="000000" w:themeColor="text1"/>
          <w:sz w:val="22"/>
          <w:szCs w:val="22"/>
          <w:lang w:val="es-ES_tradnl"/>
        </w:rPr>
        <w:t xml:space="preserve">precisamente </w:t>
      </w:r>
      <w:r w:rsidRPr="008B3AFB">
        <w:rPr>
          <w:rFonts w:ascii="Arial" w:hAnsi="Arial" w:cs="Arial"/>
          <w:color w:val="000000" w:themeColor="text1"/>
          <w:sz w:val="22"/>
          <w:szCs w:val="22"/>
          <w:lang w:val="es-ES_tradnl"/>
        </w:rPr>
        <w:t>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8B3AFB">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8B3AFB">
        <w:rPr>
          <w:rFonts w:ascii="Arial" w:hAnsi="Arial" w:cs="Arial"/>
          <w:i/>
          <w:iCs/>
          <w:color w:val="000000" w:themeColor="text1"/>
          <w:sz w:val="22"/>
          <w:szCs w:val="22"/>
          <w:lang w:val="es-ES_tradnl"/>
        </w:rPr>
        <w:t>sujetos obligados</w:t>
      </w:r>
      <w:r w:rsidRPr="008B3AFB">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literal e), del artículo 9 y el</w:t>
      </w:r>
      <w:r w:rsidRPr="008B3AFB">
        <w:rPr>
          <w:rFonts w:ascii="Arial" w:eastAsia="Calibri" w:hAnsi="Arial" w:cs="Arial"/>
          <w:color w:val="000000" w:themeColor="text1"/>
          <w:sz w:val="22"/>
          <w:szCs w:val="22"/>
          <w:lang w:val="es-ES_tradnl"/>
        </w:rPr>
        <w:t xml:space="preserve"> literal g), del artículo 11, de la Ley 1712 de 2014, como los artículos </w:t>
      </w:r>
      <w:r>
        <w:rPr>
          <w:rFonts w:ascii="Arial" w:eastAsia="Calibri" w:hAnsi="Arial" w:cs="Arial"/>
          <w:color w:val="000000" w:themeColor="text1"/>
          <w:sz w:val="22"/>
          <w:szCs w:val="22"/>
          <w:lang w:val="es-ES_tradnl"/>
        </w:rPr>
        <w:t>7</w:t>
      </w:r>
      <w:r w:rsidRPr="008B3AFB">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8B3AFB">
        <w:rPr>
          <w:rFonts w:ascii="Arial" w:hAnsi="Arial" w:cs="Arial"/>
          <w:color w:val="000000" w:themeColor="text1"/>
          <w:sz w:val="22"/>
          <w:szCs w:val="22"/>
          <w:lang w:val="es-ES_tradnl"/>
        </w:rPr>
        <w:t xml:space="preserve">. Cuarto, porque, el auto del 25 de febrero de 2021 no suspende todo el contenido de las </w:t>
      </w:r>
      <w:r w:rsidRPr="008B3AFB">
        <w:rPr>
          <w:rFonts w:ascii="Arial" w:hAnsi="Arial" w:cs="Arial"/>
          <w:sz w:val="22"/>
          <w:szCs w:val="22"/>
          <w:lang w:val="es-ES_tradnl"/>
        </w:rPr>
        <w:t xml:space="preserve">circulares </w:t>
      </w:r>
      <w:r w:rsidRPr="008B3AFB">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8B3AFB">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Pr="008B3AFB">
        <w:rPr>
          <w:rFonts w:ascii="Arial" w:hAnsi="Arial" w:cs="Arial"/>
          <w:color w:val="000000" w:themeColor="text1"/>
          <w:sz w:val="22"/>
          <w:szCs w:val="22"/>
          <w:lang w:val="es-ES_tradnl"/>
        </w:rPr>
        <w:t xml:space="preserve"> </w:t>
      </w:r>
    </w:p>
    <w:p w14:paraId="230A02F5" w14:textId="77777777" w:rsidR="0063005C" w:rsidRDefault="0063005C" w:rsidP="00075B7E">
      <w:pPr>
        <w:spacing w:line="276" w:lineRule="auto"/>
        <w:jc w:val="both"/>
        <w:rPr>
          <w:rFonts w:ascii="Arial" w:hAnsi="Arial" w:cs="Arial"/>
          <w:color w:val="000000" w:themeColor="text1"/>
          <w:sz w:val="22"/>
          <w:szCs w:val="22"/>
          <w:lang w:val="es-ES_tradnl"/>
        </w:rPr>
      </w:pPr>
    </w:p>
    <w:p w14:paraId="5CE50642" w14:textId="6D41D6D8" w:rsidR="0010679C" w:rsidRDefault="0010679C" w:rsidP="0010679C">
      <w:pPr>
        <w:spacing w:line="276" w:lineRule="auto"/>
        <w:ind w:firstLine="708"/>
        <w:jc w:val="both"/>
        <w:rPr>
          <w:rFonts w:ascii="Arial" w:hAnsi="Arial" w:cs="Arial"/>
          <w:color w:val="000000" w:themeColor="text1"/>
          <w:sz w:val="22"/>
          <w:lang w:val="es-ES_tradnl"/>
        </w:rPr>
      </w:pPr>
      <w:r>
        <w:rPr>
          <w:rFonts w:ascii="Arial" w:eastAsia="Calibri" w:hAnsi="Arial" w:cs="Arial"/>
          <w:bCs/>
          <w:color w:val="000000" w:themeColor="text1"/>
          <w:sz w:val="22"/>
          <w:szCs w:val="22"/>
        </w:rPr>
        <w:t>Así las cosas, para el caso concreto de su pregunta, se aclara que el</w:t>
      </w:r>
      <w:r w:rsidRPr="00C22EDD">
        <w:rPr>
          <w:rFonts w:ascii="Arial" w:hAnsi="Arial" w:cs="Arial"/>
          <w:color w:val="000000" w:themeColor="text1"/>
          <w:sz w:val="22"/>
          <w:lang w:val="es-ES_tradnl"/>
        </w:rPr>
        <w:t xml:space="preserve"> criterio para determinar la obligatoriedad de publicar en el SECOP </w:t>
      </w:r>
      <w:r>
        <w:rPr>
          <w:rFonts w:ascii="Arial" w:hAnsi="Arial" w:cs="Arial"/>
          <w:color w:val="000000" w:themeColor="text1"/>
          <w:sz w:val="22"/>
          <w:lang w:val="es-ES_tradnl"/>
        </w:rPr>
        <w:t xml:space="preserve">es </w:t>
      </w:r>
      <w:r w:rsidRPr="00C22EDD">
        <w:rPr>
          <w:rFonts w:ascii="Arial" w:hAnsi="Arial" w:cs="Arial"/>
          <w:color w:val="000000" w:themeColor="text1"/>
          <w:sz w:val="22"/>
          <w:lang w:val="es-ES_tradnl"/>
        </w:rPr>
        <w:t>que la contratación se reali</w:t>
      </w:r>
      <w:r>
        <w:rPr>
          <w:rFonts w:ascii="Arial" w:hAnsi="Arial" w:cs="Arial"/>
          <w:color w:val="000000" w:themeColor="text1"/>
          <w:sz w:val="22"/>
          <w:lang w:val="es-ES_tradnl"/>
        </w:rPr>
        <w:t xml:space="preserve">ce </w:t>
      </w:r>
      <w:r w:rsidRPr="00C22EDD">
        <w:rPr>
          <w:rFonts w:ascii="Arial" w:hAnsi="Arial" w:cs="Arial"/>
          <w:color w:val="000000" w:themeColor="text1"/>
          <w:sz w:val="22"/>
          <w:lang w:val="es-ES_tradnl"/>
        </w:rPr>
        <w:t>con recursos públicos, conclusión que extr</w:t>
      </w:r>
      <w:r>
        <w:rPr>
          <w:rFonts w:ascii="Arial" w:hAnsi="Arial" w:cs="Arial"/>
          <w:color w:val="000000" w:themeColor="text1"/>
          <w:sz w:val="22"/>
          <w:lang w:val="es-ES_tradnl"/>
        </w:rPr>
        <w:t>ae</w:t>
      </w:r>
      <w:r w:rsidRPr="00C22EDD">
        <w:rPr>
          <w:rFonts w:ascii="Arial" w:hAnsi="Arial" w:cs="Arial"/>
          <w:color w:val="000000" w:themeColor="text1"/>
          <w:sz w:val="22"/>
          <w:lang w:val="es-ES_tradnl"/>
        </w:rPr>
        <w:t xml:space="preserve"> del literal c) del artículo 3 de la Ley 1150 de 2007</w:t>
      </w:r>
      <w:r>
        <w:rPr>
          <w:rFonts w:ascii="Arial" w:hAnsi="Arial" w:cs="Arial"/>
          <w:color w:val="000000" w:themeColor="text1"/>
          <w:sz w:val="22"/>
          <w:lang w:val="es-ES_tradnl"/>
        </w:rPr>
        <w:t>, así como de</w:t>
      </w:r>
      <w:r w:rsidRPr="00C22EDD">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la decisión judicial citada. Por tanto, a las </w:t>
      </w:r>
      <w:r w:rsidRPr="0010679C">
        <w:rPr>
          <w:rFonts w:ascii="Arial" w:hAnsi="Arial" w:cs="Arial"/>
          <w:color w:val="000000" w:themeColor="text1"/>
          <w:sz w:val="22"/>
          <w:lang w:val="es-ES_tradnl"/>
        </w:rPr>
        <w:t>entidades exceptuadas de la aplicación del Estatuto General de Contratación de la Administración Pública</w:t>
      </w:r>
      <w:r w:rsidR="0063005C">
        <w:rPr>
          <w:rFonts w:ascii="Arial" w:hAnsi="Arial" w:cs="Arial"/>
          <w:color w:val="000000" w:themeColor="text1"/>
          <w:sz w:val="22"/>
          <w:lang w:val="es-ES_tradnl"/>
        </w:rPr>
        <w:t>, independientemente de su naturaleza pública o privada,</w:t>
      </w:r>
      <w:r w:rsidRPr="0010679C">
        <w:rPr>
          <w:rFonts w:ascii="Arial" w:hAnsi="Arial" w:cs="Arial"/>
          <w:color w:val="000000" w:themeColor="text1"/>
          <w:sz w:val="22"/>
          <w:lang w:val="es-ES_tradnl"/>
        </w:rPr>
        <w:t xml:space="preserve"> les resulta aplicable el deber de </w:t>
      </w:r>
      <w:r w:rsidRPr="0010679C">
        <w:rPr>
          <w:rFonts w:ascii="Arial" w:hAnsi="Arial" w:cs="Arial"/>
          <w:color w:val="000000" w:themeColor="text1"/>
          <w:sz w:val="22"/>
          <w:lang w:val="es-ES_tradnl"/>
        </w:rPr>
        <w:lastRenderedPageBreak/>
        <w:t>publicar la «información oficial de la contratación» en el SECOP</w:t>
      </w:r>
      <w:r w:rsidR="000C51A3">
        <w:rPr>
          <w:rFonts w:ascii="Arial" w:hAnsi="Arial" w:cs="Arial"/>
          <w:color w:val="000000" w:themeColor="text1"/>
          <w:sz w:val="22"/>
          <w:lang w:val="es-ES_tradnl"/>
        </w:rPr>
        <w:t xml:space="preserve">, siempre que </w:t>
      </w:r>
      <w:r w:rsidR="0063005C">
        <w:rPr>
          <w:rFonts w:ascii="Arial" w:hAnsi="Arial" w:cs="Arial"/>
          <w:color w:val="000000" w:themeColor="text1"/>
          <w:sz w:val="22"/>
          <w:lang w:val="es-ES_tradnl"/>
        </w:rPr>
        <w:t xml:space="preserve">con esta se ejecuten recursos </w:t>
      </w:r>
      <w:r w:rsidR="000C51A3">
        <w:rPr>
          <w:rFonts w:ascii="Arial" w:hAnsi="Arial" w:cs="Arial"/>
          <w:color w:val="000000" w:themeColor="text1"/>
          <w:sz w:val="22"/>
          <w:lang w:val="es-ES_tradnl"/>
        </w:rPr>
        <w:t>públi</w:t>
      </w:r>
      <w:r w:rsidR="0063005C">
        <w:rPr>
          <w:rFonts w:ascii="Arial" w:hAnsi="Arial" w:cs="Arial"/>
          <w:color w:val="000000" w:themeColor="text1"/>
          <w:sz w:val="22"/>
          <w:lang w:val="es-ES_tradnl"/>
        </w:rPr>
        <w:t>c</w:t>
      </w:r>
      <w:r w:rsidR="000C51A3">
        <w:rPr>
          <w:rFonts w:ascii="Arial" w:hAnsi="Arial" w:cs="Arial"/>
          <w:color w:val="000000" w:themeColor="text1"/>
          <w:sz w:val="22"/>
          <w:lang w:val="es-ES_tradnl"/>
        </w:rPr>
        <w:t>os</w:t>
      </w:r>
      <w:r w:rsidR="0063005C">
        <w:rPr>
          <w:rFonts w:ascii="Arial" w:hAnsi="Arial" w:cs="Arial"/>
          <w:color w:val="000000" w:themeColor="text1"/>
          <w:sz w:val="22"/>
          <w:lang w:val="es-ES_tradnl"/>
        </w:rPr>
        <w:t>.</w:t>
      </w:r>
    </w:p>
    <w:p w14:paraId="2B49005E" w14:textId="26EE9CDD" w:rsidR="000C51A3" w:rsidRDefault="000C51A3" w:rsidP="00075B7E">
      <w:pPr>
        <w:spacing w:line="276" w:lineRule="auto"/>
        <w:jc w:val="both"/>
        <w:rPr>
          <w:rFonts w:ascii="Arial" w:hAnsi="Arial" w:cs="Arial"/>
          <w:color w:val="000000" w:themeColor="text1"/>
          <w:sz w:val="22"/>
          <w:lang w:val="es-ES_tradnl"/>
        </w:rPr>
      </w:pPr>
    </w:p>
    <w:p w14:paraId="2B04943E" w14:textId="77777777" w:rsidR="00230932" w:rsidRDefault="00230932" w:rsidP="00075B7E">
      <w:pPr>
        <w:spacing w:line="276" w:lineRule="auto"/>
        <w:jc w:val="both"/>
        <w:rPr>
          <w:rFonts w:ascii="Arial" w:hAnsi="Arial" w:cs="Arial"/>
          <w:color w:val="000000" w:themeColor="text1"/>
          <w:sz w:val="22"/>
          <w:lang w:val="es-ES_tradnl"/>
        </w:rPr>
      </w:pPr>
    </w:p>
    <w:p w14:paraId="68D98812" w14:textId="364FB7C0" w:rsidR="00075B7E" w:rsidRPr="00DD2D97" w:rsidRDefault="00075B7E" w:rsidP="00075B7E">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C46150B" w14:textId="77777777" w:rsidR="00075B7E" w:rsidRPr="00DD2D97" w:rsidRDefault="00075B7E" w:rsidP="00075B7E">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7A24687" w14:textId="77777777" w:rsidR="00075B7E" w:rsidRPr="00DD2D97" w:rsidRDefault="00075B7E" w:rsidP="00075B7E">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2D97">
        <w:rPr>
          <w:rFonts w:ascii="Arial" w:hAnsi="Arial" w:cs="Arial"/>
          <w:color w:val="000000" w:themeColor="text1"/>
          <w:sz w:val="22"/>
          <w:szCs w:val="22"/>
          <w:lang w:val="es-ES_tradnl"/>
        </w:rPr>
        <w:t>Atentamente,</w:t>
      </w:r>
    </w:p>
    <w:p w14:paraId="17786284" w14:textId="77777777" w:rsidR="00075B7E" w:rsidRPr="00DD2D97" w:rsidRDefault="00075B7E" w:rsidP="00075B7E">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06821A5" w14:textId="18B70E17" w:rsidR="00075B7E" w:rsidRPr="00DD2D97" w:rsidRDefault="00770B8B" w:rsidP="00075B7E">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1A442A6" wp14:editId="559DC048">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5DF798E" w14:textId="77777777" w:rsidR="00075B7E" w:rsidRPr="00DD2D97" w:rsidRDefault="00075B7E" w:rsidP="00075B7E">
      <w:pPr>
        <w:jc w:val="center"/>
        <w:rPr>
          <w:rFonts w:ascii="Arial" w:hAnsi="Arial" w:cs="Arial"/>
          <w:color w:val="000000" w:themeColor="text1"/>
          <w:sz w:val="18"/>
          <w:szCs w:val="20"/>
          <w:lang w:val="es-ES_tradnl" w:eastAsia="es-CO"/>
        </w:rPr>
      </w:pPr>
    </w:p>
    <w:p w14:paraId="5947026B" w14:textId="77777777" w:rsidR="00075B7E" w:rsidRPr="00DD2D97" w:rsidRDefault="00075B7E" w:rsidP="00075B7E">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5B7E" w:rsidRPr="00DD2D97" w14:paraId="68FF0018" w14:textId="77777777" w:rsidTr="006D48E3">
        <w:trPr>
          <w:trHeight w:val="315"/>
        </w:trPr>
        <w:tc>
          <w:tcPr>
            <w:tcW w:w="812" w:type="dxa"/>
            <w:vAlign w:val="center"/>
            <w:hideMark/>
          </w:tcPr>
          <w:p w14:paraId="1434B630"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53E17D1" w14:textId="77777777" w:rsidR="00075B7E" w:rsidRPr="00DD2D97" w:rsidRDefault="00075B7E" w:rsidP="006D48E3">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Nathalia Urrego Jiménez</w:t>
            </w:r>
          </w:p>
          <w:p w14:paraId="7A249898"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Contratista de la Subdirección de Gestión Contractual</w:t>
            </w:r>
          </w:p>
        </w:tc>
      </w:tr>
      <w:tr w:rsidR="00075B7E" w:rsidRPr="00DD2D97" w14:paraId="706EDC30" w14:textId="77777777" w:rsidTr="006D48E3">
        <w:trPr>
          <w:trHeight w:val="330"/>
        </w:trPr>
        <w:tc>
          <w:tcPr>
            <w:tcW w:w="812" w:type="dxa"/>
            <w:vAlign w:val="center"/>
            <w:hideMark/>
          </w:tcPr>
          <w:p w14:paraId="19B382BF"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AB8DB1" w14:textId="77777777" w:rsidR="00075B7E" w:rsidRPr="00DD2D97" w:rsidRDefault="00075B7E" w:rsidP="006D48E3">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w:t>
            </w:r>
          </w:p>
          <w:p w14:paraId="4E676A89"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Gestor T1-15 de la Subdirección de Gestión Contractual</w:t>
            </w:r>
          </w:p>
        </w:tc>
      </w:tr>
      <w:tr w:rsidR="00075B7E" w:rsidRPr="00DD2D97" w14:paraId="4803056B" w14:textId="77777777" w:rsidTr="006D48E3">
        <w:trPr>
          <w:trHeight w:val="300"/>
        </w:trPr>
        <w:tc>
          <w:tcPr>
            <w:tcW w:w="812" w:type="dxa"/>
            <w:vAlign w:val="center"/>
            <w:hideMark/>
          </w:tcPr>
          <w:p w14:paraId="68021625"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187B42"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Jorge Augusto Tirado Navarro</w:t>
            </w:r>
          </w:p>
          <w:p w14:paraId="4D3D6971" w14:textId="77777777" w:rsidR="00075B7E" w:rsidRPr="00DD2D97" w:rsidRDefault="00075B7E" w:rsidP="006D48E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Subdirector de Gestión Contractual ANCP – CCE</w:t>
            </w:r>
          </w:p>
        </w:tc>
      </w:tr>
    </w:tbl>
    <w:p w14:paraId="36F3ACE4" w14:textId="77777777" w:rsidR="00075B7E" w:rsidRPr="00DD2D97" w:rsidRDefault="00075B7E" w:rsidP="00075B7E">
      <w:pPr>
        <w:jc w:val="both"/>
        <w:rPr>
          <w:rFonts w:ascii="Arial" w:hAnsi="Arial" w:cs="Arial"/>
          <w:lang w:val="es-ES_tradnl"/>
        </w:rPr>
      </w:pPr>
    </w:p>
    <w:bookmarkEnd w:id="2"/>
    <w:p w14:paraId="3D3C8A8F" w14:textId="77777777" w:rsidR="00CE7CA5" w:rsidRDefault="00E25CDD"/>
    <w:sectPr w:rsidR="00CE7CA5"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1949" w14:textId="77777777" w:rsidR="007C12E2" w:rsidRDefault="007C12E2" w:rsidP="00075B7E">
      <w:r>
        <w:separator/>
      </w:r>
    </w:p>
  </w:endnote>
  <w:endnote w:type="continuationSeparator" w:id="0">
    <w:p w14:paraId="3E135FE8" w14:textId="77777777" w:rsidR="007C12E2" w:rsidRDefault="007C12E2" w:rsidP="0007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06EE" w14:textId="77777777" w:rsidR="003D3D44" w:rsidRDefault="00E25CDD" w:rsidP="00322937">
    <w:pPr>
      <w:pStyle w:val="Sinespaciado"/>
      <w:jc w:val="right"/>
      <w:rPr>
        <w:rFonts w:ascii="Arial" w:hAnsi="Arial" w:cs="Arial"/>
        <w:sz w:val="18"/>
        <w:szCs w:val="18"/>
      </w:rPr>
    </w:pPr>
  </w:p>
  <w:p w14:paraId="2C8BB766" w14:textId="77777777" w:rsidR="003D3D44" w:rsidRPr="008217B7" w:rsidRDefault="00075B7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07077CDB" w14:textId="77777777" w:rsidR="003D3D44" w:rsidRDefault="00075B7E" w:rsidP="00322937">
    <w:pPr>
      <w:pStyle w:val="Piedepgina"/>
      <w:jc w:val="center"/>
      <w:rPr>
        <w:lang w:val="es-ES"/>
      </w:rPr>
    </w:pPr>
    <w:r>
      <w:rPr>
        <w:noProof/>
        <w:lang w:val="es-ES_tradnl" w:eastAsia="es-ES_tradnl"/>
      </w:rPr>
      <w:drawing>
        <wp:inline distT="0" distB="0" distL="0" distR="0" wp14:anchorId="18C8E91B" wp14:editId="6EA36C9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54D84E5" w14:textId="77777777" w:rsidR="003D3D44" w:rsidRDefault="00E25CDD" w:rsidP="007B0854">
    <w:pPr>
      <w:pStyle w:val="Piedepgina"/>
      <w:jc w:val="center"/>
      <w:rPr>
        <w:lang w:val="es-ES"/>
      </w:rPr>
    </w:pPr>
  </w:p>
  <w:p w14:paraId="49F02CE4" w14:textId="77777777" w:rsidR="003D3D44" w:rsidRPr="007B0854" w:rsidRDefault="00E25CD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5740" w14:textId="77777777" w:rsidR="007C12E2" w:rsidRDefault="007C12E2" w:rsidP="00075B7E">
      <w:r>
        <w:separator/>
      </w:r>
    </w:p>
  </w:footnote>
  <w:footnote w:type="continuationSeparator" w:id="0">
    <w:p w14:paraId="00B66D2B" w14:textId="77777777" w:rsidR="007C12E2" w:rsidRDefault="007C12E2" w:rsidP="00075B7E">
      <w:r>
        <w:continuationSeparator/>
      </w:r>
    </w:p>
  </w:footnote>
  <w:footnote w:id="1">
    <w:p w14:paraId="27DD55B0" w14:textId="77777777" w:rsidR="00C212DA" w:rsidRPr="002E060B" w:rsidRDefault="00C212DA" w:rsidP="00C212DA">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lang w:val="es-ES"/>
        </w:rPr>
        <w:t>BOBBIO, Norberto. Democracia y secreto. México: Fondo de Cultura Económica, 2013. p. 27.</w:t>
      </w:r>
    </w:p>
  </w:footnote>
  <w:footnote w:id="2">
    <w:p w14:paraId="712D0D10" w14:textId="77777777" w:rsidR="00C212DA" w:rsidRPr="002E060B" w:rsidRDefault="00C212DA" w:rsidP="00C212DA">
      <w:pPr>
        <w:pStyle w:val="Textonotapie"/>
        <w:ind w:firstLine="709"/>
        <w:jc w:val="both"/>
        <w:rPr>
          <w:rFonts w:ascii="Arial" w:hAnsi="Arial" w:cs="Arial"/>
          <w:color w:val="000000" w:themeColor="text1"/>
          <w:sz w:val="18"/>
          <w:szCs w:val="18"/>
        </w:rPr>
      </w:pPr>
    </w:p>
    <w:p w14:paraId="685B0DA1"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C- 341 del 4 de junio de 2014. M. P. Mauricio González Cuervo.</w:t>
      </w:r>
    </w:p>
    <w:p w14:paraId="0826CC35" w14:textId="77777777" w:rsidR="00C212DA" w:rsidRPr="002E060B" w:rsidRDefault="00C212DA" w:rsidP="00C212DA">
      <w:pPr>
        <w:pStyle w:val="Textonotapie"/>
        <w:ind w:firstLine="709"/>
        <w:jc w:val="both"/>
        <w:rPr>
          <w:rFonts w:ascii="Arial" w:hAnsi="Arial" w:cs="Arial"/>
          <w:color w:val="000000" w:themeColor="text1"/>
          <w:sz w:val="18"/>
          <w:szCs w:val="18"/>
        </w:rPr>
      </w:pPr>
    </w:p>
  </w:footnote>
  <w:footnote w:id="3">
    <w:p w14:paraId="5374C440"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199B187"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 anterior, sin perjuicio de las publicaciones previstas en el numeral 3 del artículo 30 de la Ley 80 de 1993.</w:t>
      </w:r>
    </w:p>
    <w:p w14:paraId="403C5F8F"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672AD0C8"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70986EB5"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22DBFEBB" w14:textId="77777777" w:rsidR="00C212DA" w:rsidRPr="002E060B" w:rsidRDefault="00C212DA" w:rsidP="00C212DA">
      <w:pPr>
        <w:pStyle w:val="Textonotapie"/>
        <w:ind w:firstLine="709"/>
        <w:jc w:val="both"/>
        <w:rPr>
          <w:rFonts w:ascii="Arial" w:hAnsi="Arial" w:cs="Arial"/>
          <w:color w:val="000000" w:themeColor="text1"/>
          <w:sz w:val="18"/>
          <w:szCs w:val="18"/>
          <w:lang w:val="es-CO"/>
        </w:rPr>
      </w:pPr>
    </w:p>
  </w:footnote>
  <w:footnote w:id="4">
    <w:p w14:paraId="6CC811D7"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2615100" w14:textId="77777777" w:rsidR="00C212DA" w:rsidRPr="002E060B" w:rsidRDefault="00C212DA" w:rsidP="00C212DA">
      <w:pPr>
        <w:pStyle w:val="Textonotapie"/>
        <w:ind w:firstLine="709"/>
        <w:jc w:val="both"/>
        <w:rPr>
          <w:rFonts w:ascii="Arial" w:hAnsi="Arial" w:cs="Arial"/>
          <w:color w:val="000000" w:themeColor="text1"/>
          <w:sz w:val="18"/>
          <w:szCs w:val="18"/>
          <w:lang w:val="es-CO"/>
        </w:rPr>
      </w:pPr>
    </w:p>
  </w:footnote>
  <w:footnote w:id="5">
    <w:p w14:paraId="7A6D5C6A"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507F5288"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F8E0758" w14:textId="77777777" w:rsidR="00C212DA" w:rsidRPr="002E060B" w:rsidRDefault="00C212DA" w:rsidP="00C212DA">
      <w:pPr>
        <w:pStyle w:val="Textonotapie"/>
        <w:ind w:firstLine="709"/>
        <w:jc w:val="both"/>
        <w:rPr>
          <w:rFonts w:ascii="Arial" w:hAnsi="Arial" w:cs="Arial"/>
          <w:color w:val="000000" w:themeColor="text1"/>
          <w:sz w:val="18"/>
          <w:szCs w:val="18"/>
          <w:lang w:val="es-CO"/>
        </w:rPr>
      </w:pPr>
    </w:p>
  </w:footnote>
  <w:footnote w:id="6">
    <w:p w14:paraId="46BC8FF0"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eastAsia="Times New Roman" w:hAnsi="Arial" w:cs="Arial"/>
          <w:color w:val="000000" w:themeColor="text1"/>
          <w:sz w:val="18"/>
          <w:szCs w:val="18"/>
          <w:vertAlign w:val="superscript"/>
          <w:lang w:val="es-ES" w:eastAsia="es-ES"/>
        </w:rPr>
        <w:footnoteRef/>
      </w:r>
      <w:r w:rsidRPr="002E060B">
        <w:rPr>
          <w:rFonts w:ascii="Arial" w:eastAsia="Times New Roman" w:hAnsi="Arial" w:cs="Arial"/>
          <w:color w:val="000000" w:themeColor="text1"/>
          <w:sz w:val="18"/>
          <w:szCs w:val="18"/>
          <w:vertAlign w:val="superscript"/>
          <w:lang w:val="es-ES" w:eastAsia="es-ES"/>
        </w:rPr>
        <w:t xml:space="preserve"> </w:t>
      </w:r>
      <w:r w:rsidRPr="002E060B">
        <w:rPr>
          <w:rFonts w:ascii="Arial" w:eastAsia="Times New Roman" w:hAnsi="Arial" w:cs="Arial"/>
          <w:color w:val="000000" w:themeColor="text1"/>
          <w:sz w:val="18"/>
          <w:szCs w:val="18"/>
          <w:lang w:val="es-ES" w:eastAsia="es-ES"/>
        </w:rPr>
        <w:t>«</w:t>
      </w:r>
      <w:r w:rsidRPr="002E060B">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AEAC347" w14:textId="77777777" w:rsidR="00C212DA" w:rsidRPr="002E060B" w:rsidRDefault="00C212DA" w:rsidP="00C212DA">
      <w:pPr>
        <w:pStyle w:val="Textonotapie"/>
        <w:ind w:firstLine="709"/>
        <w:jc w:val="both"/>
        <w:rPr>
          <w:rFonts w:ascii="Arial" w:eastAsia="Times New Roman" w:hAnsi="Arial" w:cs="Arial"/>
          <w:color w:val="000000" w:themeColor="text1"/>
          <w:sz w:val="18"/>
          <w:szCs w:val="18"/>
          <w:lang w:val="es-ES" w:eastAsia="es-ES"/>
        </w:rPr>
      </w:pPr>
      <w:r w:rsidRPr="002E060B">
        <w:rPr>
          <w:rFonts w:ascii="Arial" w:hAnsi="Arial" w:cs="Arial"/>
          <w:color w:val="000000" w:themeColor="text1"/>
          <w:sz w:val="18"/>
          <w:szCs w:val="18"/>
        </w:rPr>
        <w:t>[…].</w:t>
      </w:r>
    </w:p>
    <w:p w14:paraId="2B525382" w14:textId="77777777" w:rsidR="00C212DA" w:rsidRPr="002E060B" w:rsidRDefault="00C212DA" w:rsidP="00C212DA">
      <w:pPr>
        <w:pStyle w:val="Textonotapie"/>
        <w:ind w:firstLine="709"/>
        <w:jc w:val="both"/>
        <w:rPr>
          <w:rFonts w:ascii="Arial" w:eastAsia="Times New Roman" w:hAnsi="Arial" w:cs="Arial"/>
          <w:color w:val="000000" w:themeColor="text1"/>
          <w:sz w:val="18"/>
          <w:szCs w:val="18"/>
          <w:lang w:val="es-ES" w:eastAsia="es-ES"/>
        </w:rPr>
      </w:pPr>
      <w:r w:rsidRPr="002E060B">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05A7E77" w14:textId="77777777" w:rsidR="00C212DA" w:rsidRPr="002E060B" w:rsidRDefault="00C212DA" w:rsidP="00C212DA">
      <w:pPr>
        <w:pStyle w:val="Textonotapie"/>
        <w:ind w:firstLine="709"/>
        <w:jc w:val="both"/>
        <w:rPr>
          <w:rFonts w:ascii="Arial" w:eastAsia="Times New Roman" w:hAnsi="Arial" w:cs="Arial"/>
          <w:color w:val="000000" w:themeColor="text1"/>
          <w:sz w:val="18"/>
          <w:szCs w:val="18"/>
          <w:lang w:val="es-ES" w:eastAsia="es-ES"/>
        </w:rPr>
      </w:pPr>
    </w:p>
  </w:footnote>
  <w:footnote w:id="7">
    <w:p w14:paraId="7AB265B5"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w:t>
      </w:r>
      <w:r w:rsidRPr="002E060B">
        <w:rPr>
          <w:rFonts w:ascii="Arial" w:eastAsia="Times New Roman" w:hAnsi="Arial" w:cs="Arial"/>
          <w:color w:val="000000" w:themeColor="text1"/>
          <w:sz w:val="18"/>
          <w:szCs w:val="18"/>
          <w:lang w:val="es-ES" w:eastAsia="es-ES"/>
        </w:rPr>
        <w:t xml:space="preserve">orte Constitucional. Sentencia C‒274 de 9 de mayo de 2013. M.P. María Victoria Calle Correa. </w:t>
      </w:r>
    </w:p>
    <w:p w14:paraId="28F4BFB9" w14:textId="77777777" w:rsidR="00C212DA" w:rsidRPr="002E060B" w:rsidRDefault="00C212DA" w:rsidP="00C212DA">
      <w:pPr>
        <w:pStyle w:val="Textonotapie"/>
        <w:ind w:firstLine="709"/>
        <w:jc w:val="both"/>
        <w:rPr>
          <w:rFonts w:ascii="Arial" w:hAnsi="Arial" w:cs="Arial"/>
          <w:color w:val="000000" w:themeColor="text1"/>
          <w:sz w:val="18"/>
          <w:szCs w:val="18"/>
          <w:lang w:val="es-CO"/>
        </w:rPr>
      </w:pPr>
    </w:p>
  </w:footnote>
  <w:footnote w:id="8">
    <w:p w14:paraId="506BF67F"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58DC3B41" w14:textId="77777777" w:rsidR="00C212DA" w:rsidRPr="002E060B" w:rsidRDefault="00C212DA" w:rsidP="00C212DA">
      <w:pPr>
        <w:pStyle w:val="Textonotapie"/>
        <w:ind w:firstLine="709"/>
        <w:jc w:val="both"/>
        <w:rPr>
          <w:rFonts w:ascii="Arial" w:hAnsi="Arial" w:cs="Arial"/>
          <w:color w:val="000000" w:themeColor="text1"/>
          <w:sz w:val="18"/>
          <w:szCs w:val="18"/>
          <w:lang w:val="es-CO"/>
        </w:rPr>
      </w:pPr>
    </w:p>
  </w:footnote>
  <w:footnote w:id="9">
    <w:p w14:paraId="13DA13A5" w14:textId="77777777" w:rsidR="00C212DA" w:rsidRPr="002E060B" w:rsidRDefault="00C212DA" w:rsidP="00C212DA">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color w:val="000000" w:themeColor="text1"/>
          <w:sz w:val="18"/>
          <w:szCs w:val="18"/>
          <w:lang w:val="es-ES"/>
        </w:rPr>
        <w:t>Consejero Ponente: Jaime Orlando Santofimio Gamboa.</w:t>
      </w:r>
    </w:p>
  </w:footnote>
  <w:footnote w:id="10">
    <w:p w14:paraId="30304B0D" w14:textId="77777777" w:rsidR="00C212DA" w:rsidRPr="002E060B" w:rsidRDefault="00C212DA" w:rsidP="00C212DA">
      <w:pPr>
        <w:pStyle w:val="Textonotapie"/>
        <w:ind w:firstLine="709"/>
        <w:jc w:val="both"/>
        <w:rPr>
          <w:rFonts w:ascii="Arial" w:hAnsi="Arial" w:cs="Arial"/>
          <w:color w:val="000000" w:themeColor="text1"/>
          <w:sz w:val="18"/>
          <w:szCs w:val="18"/>
        </w:rPr>
      </w:pPr>
    </w:p>
    <w:p w14:paraId="47BC0EB5"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Consejo de Estado. Sección Tercera. Subsección C. Auto del 14 de agosto de 2017. Exp. 58.820. C.P. Jaime Orlando Santofimio Gamboa. </w:t>
      </w:r>
    </w:p>
    <w:p w14:paraId="148D1F8E" w14:textId="77777777" w:rsidR="00C212DA" w:rsidRPr="002E060B" w:rsidRDefault="00C212DA" w:rsidP="00C212DA">
      <w:pPr>
        <w:pStyle w:val="Textonotapie"/>
        <w:ind w:firstLine="709"/>
        <w:jc w:val="both"/>
        <w:rPr>
          <w:rFonts w:ascii="Arial" w:hAnsi="Arial" w:cs="Arial"/>
          <w:color w:val="000000" w:themeColor="text1"/>
          <w:sz w:val="18"/>
          <w:szCs w:val="18"/>
          <w:lang w:val="es-CO"/>
        </w:rPr>
      </w:pPr>
    </w:p>
  </w:footnote>
  <w:footnote w:id="11">
    <w:p w14:paraId="05005059"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 </w:t>
      </w:r>
    </w:p>
  </w:footnote>
  <w:footnote w:id="12">
    <w:p w14:paraId="78171DED" w14:textId="77777777" w:rsidR="00C212DA" w:rsidRPr="002E060B" w:rsidRDefault="00C212DA" w:rsidP="00C212DA">
      <w:pPr>
        <w:pStyle w:val="Textonotapie"/>
        <w:ind w:firstLine="709"/>
        <w:jc w:val="both"/>
        <w:rPr>
          <w:rFonts w:ascii="Arial" w:hAnsi="Arial" w:cs="Arial"/>
          <w:sz w:val="18"/>
          <w:szCs w:val="18"/>
        </w:rPr>
      </w:pPr>
    </w:p>
    <w:p w14:paraId="29E404C3"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p w14:paraId="2B976377" w14:textId="77777777" w:rsidR="00C212DA" w:rsidRPr="002E060B" w:rsidRDefault="00C212DA" w:rsidP="00C212DA">
      <w:pPr>
        <w:pStyle w:val="Textonotapie"/>
        <w:ind w:firstLine="709"/>
        <w:jc w:val="both"/>
        <w:rPr>
          <w:rFonts w:ascii="Arial" w:hAnsi="Arial" w:cs="Arial"/>
          <w:sz w:val="18"/>
          <w:szCs w:val="18"/>
          <w:lang w:val="es-ES_tradnl"/>
        </w:rPr>
      </w:pPr>
    </w:p>
  </w:footnote>
  <w:footnote w:id="13">
    <w:p w14:paraId="69CF8FAA"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5AC758E1" w14:textId="77777777" w:rsidR="00C212DA" w:rsidRPr="002E060B" w:rsidRDefault="00C212DA" w:rsidP="00C212DA">
      <w:pPr>
        <w:pStyle w:val="Textonotapie"/>
        <w:ind w:firstLine="709"/>
        <w:jc w:val="both"/>
        <w:rPr>
          <w:rFonts w:ascii="Arial" w:hAnsi="Arial" w:cs="Arial"/>
          <w:sz w:val="18"/>
          <w:szCs w:val="18"/>
          <w:lang w:val="es-CO"/>
        </w:rPr>
      </w:pPr>
    </w:p>
  </w:footnote>
  <w:footnote w:id="14">
    <w:p w14:paraId="2CA98DB3" w14:textId="77777777" w:rsidR="00C212DA" w:rsidRPr="002E060B" w:rsidRDefault="00C212DA" w:rsidP="00C212DA">
      <w:pPr>
        <w:ind w:firstLine="709"/>
        <w:jc w:val="both"/>
        <w:rPr>
          <w:rFonts w:ascii="Arial" w:eastAsiaTheme="minorHAnsi" w:hAnsi="Arial" w:cs="Arial"/>
          <w:sz w:val="18"/>
          <w:szCs w:val="18"/>
          <w:lang w:val="es-MX" w:eastAsia="en-US"/>
        </w:rPr>
      </w:pPr>
      <w:r w:rsidRPr="002E060B">
        <w:rPr>
          <w:rStyle w:val="Refdenotaalpie"/>
          <w:rFonts w:ascii="Arial" w:hAnsi="Arial" w:cs="Arial"/>
          <w:sz w:val="18"/>
          <w:szCs w:val="18"/>
        </w:rPr>
        <w:footnoteRef/>
      </w:r>
      <w:r w:rsidRPr="002E060B">
        <w:rPr>
          <w:rFonts w:ascii="Arial" w:hAnsi="Arial" w:cs="Arial"/>
          <w:sz w:val="18"/>
          <w:szCs w:val="18"/>
        </w:rPr>
        <w:t xml:space="preserve"> Este enunciado normativo dispone que «</w:t>
      </w:r>
      <w:r w:rsidRPr="002E060B">
        <w:rPr>
          <w:rFonts w:ascii="Arial" w:eastAsiaTheme="minorHAnsi" w:hAnsi="Arial" w:cs="Arial"/>
          <w:sz w:val="18"/>
          <w:szCs w:val="18"/>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7FADDD52" w14:textId="77777777" w:rsidR="00C212DA" w:rsidRPr="002E060B" w:rsidRDefault="00C212DA" w:rsidP="00C212DA">
      <w:pPr>
        <w:ind w:firstLine="709"/>
        <w:jc w:val="both"/>
        <w:rPr>
          <w:rFonts w:ascii="Arial" w:eastAsiaTheme="minorHAnsi" w:hAnsi="Arial" w:cs="Arial"/>
          <w:sz w:val="18"/>
          <w:szCs w:val="18"/>
          <w:lang w:val="es-MX" w:eastAsia="en-US"/>
        </w:rPr>
      </w:pPr>
      <w:r w:rsidRPr="002E060B">
        <w:rPr>
          <w:rFonts w:ascii="Arial" w:eastAsiaTheme="minorHAnsi" w:hAnsi="Arial" w:cs="Arial"/>
          <w:sz w:val="18"/>
          <w:szCs w:val="18"/>
          <w:lang w:val="es-MX" w:eastAsia="en-US"/>
        </w:rPr>
        <w:t>»[…]</w:t>
      </w:r>
    </w:p>
    <w:p w14:paraId="4C109610" w14:textId="77777777" w:rsidR="00C212DA" w:rsidRPr="002E060B" w:rsidRDefault="00C212DA" w:rsidP="00C212DA">
      <w:pPr>
        <w:shd w:val="clear" w:color="auto" w:fill="FFFFFF"/>
        <w:ind w:firstLine="709"/>
        <w:jc w:val="both"/>
        <w:rPr>
          <w:rFonts w:ascii="Arial" w:hAnsi="Arial" w:cs="Arial"/>
          <w:color w:val="333333"/>
          <w:sz w:val="18"/>
          <w:szCs w:val="18"/>
        </w:rPr>
      </w:pPr>
      <w:r w:rsidRPr="002E060B">
        <w:rPr>
          <w:rFonts w:ascii="Arial" w:hAnsi="Arial" w:cs="Arial"/>
          <w:color w:val="333333"/>
          <w:sz w:val="18"/>
          <w:szCs w:val="18"/>
        </w:rPr>
        <w:t>»3. Suspender provisionalmente los efectos de un acto administrativo.</w:t>
      </w:r>
    </w:p>
    <w:p w14:paraId="3359C6A5" w14:textId="77777777" w:rsidR="00C212DA" w:rsidRPr="002E060B" w:rsidRDefault="00C212DA" w:rsidP="00C212DA">
      <w:pPr>
        <w:shd w:val="clear" w:color="auto" w:fill="FFFFFF"/>
        <w:ind w:firstLine="709"/>
        <w:jc w:val="both"/>
        <w:rPr>
          <w:rFonts w:ascii="Arial" w:hAnsi="Arial" w:cs="Arial"/>
          <w:color w:val="333333"/>
          <w:sz w:val="18"/>
          <w:szCs w:val="18"/>
        </w:rPr>
      </w:pPr>
      <w:r w:rsidRPr="002E060B">
        <w:rPr>
          <w:rFonts w:ascii="Arial" w:hAnsi="Arial" w:cs="Arial"/>
          <w:color w:val="333333"/>
          <w:sz w:val="18"/>
          <w:szCs w:val="18"/>
        </w:rPr>
        <w:t>»[…]».</w:t>
      </w:r>
    </w:p>
    <w:p w14:paraId="162671D3" w14:textId="77777777" w:rsidR="00C212DA" w:rsidRPr="002E060B" w:rsidRDefault="00C212DA" w:rsidP="00C212DA">
      <w:pPr>
        <w:pStyle w:val="Textonotapie"/>
        <w:ind w:firstLine="709"/>
        <w:jc w:val="both"/>
        <w:rPr>
          <w:rFonts w:ascii="Arial" w:hAnsi="Arial" w:cs="Arial"/>
          <w:sz w:val="18"/>
          <w:szCs w:val="18"/>
          <w:lang w:val="es-CO"/>
        </w:rPr>
      </w:pPr>
    </w:p>
  </w:footnote>
  <w:footnote w:id="15">
    <w:p w14:paraId="5BE962E0"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23830032" w14:textId="77777777" w:rsidR="00C212DA" w:rsidRPr="002E060B" w:rsidRDefault="00C212DA" w:rsidP="00C212DA">
      <w:pPr>
        <w:pStyle w:val="Textonotapie"/>
        <w:ind w:firstLine="709"/>
        <w:jc w:val="both"/>
        <w:rPr>
          <w:rFonts w:ascii="Arial" w:hAnsi="Arial" w:cs="Arial"/>
          <w:sz w:val="18"/>
          <w:szCs w:val="18"/>
        </w:rPr>
      </w:pPr>
      <w:r w:rsidRPr="002E060B">
        <w:rPr>
          <w:rFonts w:ascii="Arial" w:hAnsi="Arial" w:cs="Arial"/>
          <w:sz w:val="18"/>
          <w:szCs w:val="18"/>
        </w:rPr>
        <w:t>1. Cuando sean suspendidos provisionalmente sus efectos por la Jurisdicción de lo Contencioso Administrativo.</w:t>
      </w:r>
    </w:p>
    <w:p w14:paraId="73AB4950" w14:textId="77777777" w:rsidR="00C212DA" w:rsidRPr="002E060B" w:rsidRDefault="00C212DA" w:rsidP="00C212DA">
      <w:pPr>
        <w:pStyle w:val="Textonotapie"/>
        <w:ind w:firstLine="709"/>
        <w:jc w:val="both"/>
        <w:rPr>
          <w:rFonts w:ascii="Arial" w:hAnsi="Arial" w:cs="Arial"/>
          <w:sz w:val="18"/>
          <w:szCs w:val="18"/>
        </w:rPr>
      </w:pPr>
      <w:r w:rsidRPr="002E060B">
        <w:rPr>
          <w:rFonts w:ascii="Arial" w:hAnsi="Arial" w:cs="Arial"/>
          <w:sz w:val="18"/>
          <w:szCs w:val="18"/>
        </w:rPr>
        <w:t xml:space="preserve">[…]». </w:t>
      </w:r>
    </w:p>
  </w:footnote>
  <w:footnote w:id="16">
    <w:p w14:paraId="0D288963" w14:textId="77777777" w:rsidR="00C212DA" w:rsidRPr="002E060B" w:rsidRDefault="00C212DA" w:rsidP="00C212DA">
      <w:pPr>
        <w:pStyle w:val="Textonotapie"/>
        <w:ind w:firstLine="709"/>
        <w:jc w:val="both"/>
        <w:rPr>
          <w:rFonts w:ascii="Arial" w:hAnsi="Arial" w:cs="Arial"/>
          <w:sz w:val="18"/>
          <w:szCs w:val="18"/>
        </w:rPr>
      </w:pPr>
    </w:p>
    <w:p w14:paraId="672B503D"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En sitio web:</w:t>
      </w:r>
    </w:p>
    <w:p w14:paraId="03B2139F" w14:textId="77777777" w:rsidR="00C212DA" w:rsidRPr="002E060B" w:rsidRDefault="00C212DA" w:rsidP="00C212DA">
      <w:pPr>
        <w:pStyle w:val="Textonotapie"/>
        <w:jc w:val="both"/>
        <w:rPr>
          <w:rFonts w:ascii="Arial" w:hAnsi="Arial" w:cs="Arial"/>
          <w:sz w:val="18"/>
          <w:szCs w:val="18"/>
        </w:rPr>
      </w:pPr>
      <w:r w:rsidRPr="002E060B">
        <w:rPr>
          <w:rFonts w:ascii="Arial" w:hAnsi="Arial" w:cs="Arial"/>
          <w:sz w:val="18"/>
          <w:szCs w:val="18"/>
        </w:rPr>
        <w:t>https://www.colombiacompra.gov.co/sites/cce_public/files/cce_circulares/cce_circular_unica.pdf</w:t>
      </w:r>
    </w:p>
  </w:footnote>
  <w:footnote w:id="17">
    <w:p w14:paraId="61A77DF8" w14:textId="77777777" w:rsidR="00C212DA" w:rsidRPr="002E060B" w:rsidRDefault="00C212DA" w:rsidP="00C212DA">
      <w:pPr>
        <w:pStyle w:val="Textonotapie"/>
        <w:ind w:firstLine="709"/>
        <w:jc w:val="both"/>
        <w:rPr>
          <w:rFonts w:ascii="Arial" w:hAnsi="Arial" w:cs="Arial"/>
          <w:sz w:val="18"/>
          <w:szCs w:val="18"/>
        </w:rPr>
      </w:pPr>
    </w:p>
    <w:p w14:paraId="719890AC"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sitio web:</w:t>
      </w:r>
    </w:p>
    <w:p w14:paraId="04F300D0" w14:textId="77777777" w:rsidR="00C212DA" w:rsidRPr="002E060B" w:rsidRDefault="00C212DA" w:rsidP="00C212DA">
      <w:pPr>
        <w:pStyle w:val="Textonotapie"/>
        <w:ind w:firstLine="709"/>
        <w:jc w:val="both"/>
        <w:rPr>
          <w:rFonts w:ascii="Arial" w:hAnsi="Arial" w:cs="Arial"/>
          <w:sz w:val="18"/>
          <w:szCs w:val="18"/>
        </w:rPr>
      </w:pPr>
      <w:r w:rsidRPr="002E060B">
        <w:rPr>
          <w:rFonts w:ascii="Arial" w:hAnsi="Arial" w:cs="Arial"/>
          <w:sz w:val="18"/>
          <w:szCs w:val="18"/>
        </w:rPr>
        <w:t>https://www.colombiacompra.gov.co/sites/cce_public/files/cce_circulares/circular_007_de_2020_uso_secop.pdf</w:t>
      </w:r>
    </w:p>
  </w:footnote>
  <w:footnote w:id="18">
    <w:p w14:paraId="7972D572" w14:textId="77777777" w:rsidR="00C212DA" w:rsidRPr="002E060B" w:rsidRDefault="00C212DA" w:rsidP="00C212DA">
      <w:pPr>
        <w:pStyle w:val="Textonotapie"/>
        <w:ind w:firstLine="709"/>
        <w:jc w:val="both"/>
        <w:rPr>
          <w:rFonts w:ascii="Arial" w:hAnsi="Arial" w:cs="Arial"/>
          <w:sz w:val="18"/>
          <w:szCs w:val="18"/>
        </w:rPr>
      </w:pPr>
    </w:p>
    <w:p w14:paraId="457364DC"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sitio web:</w:t>
      </w:r>
    </w:p>
    <w:p w14:paraId="76F11BDE" w14:textId="77777777" w:rsidR="00C212DA" w:rsidRPr="002E060B" w:rsidRDefault="00C212DA" w:rsidP="00C212DA">
      <w:pPr>
        <w:pStyle w:val="Textonotapie"/>
        <w:ind w:firstLine="709"/>
        <w:jc w:val="both"/>
        <w:rPr>
          <w:rFonts w:ascii="Arial" w:hAnsi="Arial" w:cs="Arial"/>
          <w:sz w:val="18"/>
          <w:szCs w:val="18"/>
        </w:rPr>
      </w:pPr>
      <w:r w:rsidRPr="002E060B">
        <w:rPr>
          <w:rFonts w:ascii="Arial" w:hAnsi="Arial" w:cs="Arial"/>
          <w:sz w:val="18"/>
          <w:szCs w:val="18"/>
        </w:rPr>
        <w:t>https://www.colombiacompra.gov.co/sites/cce_public/files/cce_circulares/20170316circularinformacion.pdf</w:t>
      </w:r>
    </w:p>
  </w:footnote>
  <w:footnote w:id="19">
    <w:p w14:paraId="1AC70C96" w14:textId="77777777" w:rsidR="00C212DA" w:rsidRPr="002E060B" w:rsidRDefault="00C212DA" w:rsidP="00C212DA">
      <w:pPr>
        <w:pStyle w:val="Textonotapie"/>
        <w:ind w:firstLine="709"/>
        <w:jc w:val="both"/>
        <w:rPr>
          <w:rFonts w:ascii="Arial" w:hAnsi="Arial" w:cs="Arial"/>
          <w:sz w:val="18"/>
          <w:szCs w:val="18"/>
        </w:rPr>
      </w:pPr>
    </w:p>
    <w:p w14:paraId="613A908F" w14:textId="77777777" w:rsidR="00C212DA" w:rsidRPr="002E060B" w:rsidRDefault="00C212DA" w:rsidP="00C212DA">
      <w:pPr>
        <w:pStyle w:val="Textonotapie"/>
        <w:ind w:firstLine="709"/>
        <w:jc w:val="both"/>
        <w:rPr>
          <w:rFonts w:ascii="Arial" w:hAnsi="Arial" w:cs="Arial"/>
          <w:sz w:val="18"/>
          <w:szCs w:val="18"/>
          <w:lang w:val="es-ES_tradnl"/>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footnote>
  <w:footnote w:id="20">
    <w:p w14:paraId="1EC8B563"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w:t>
      </w:r>
    </w:p>
    <w:p w14:paraId="14E35EF9" w14:textId="77777777" w:rsidR="00C212DA" w:rsidRPr="002E060B" w:rsidRDefault="00C212DA" w:rsidP="00C212DA">
      <w:pPr>
        <w:pStyle w:val="Textonotapie"/>
        <w:ind w:firstLine="709"/>
        <w:jc w:val="both"/>
        <w:rPr>
          <w:rFonts w:ascii="Arial" w:hAnsi="Arial" w:cs="Arial"/>
          <w:sz w:val="18"/>
          <w:szCs w:val="18"/>
        </w:rPr>
      </w:pPr>
    </w:p>
  </w:footnote>
  <w:footnote w:id="21">
    <w:p w14:paraId="71BF3F49" w14:textId="77777777" w:rsidR="00C212DA" w:rsidRPr="002E060B" w:rsidRDefault="00C212DA" w:rsidP="00C212DA">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w:t>
      </w:r>
    </w:p>
  </w:footnote>
  <w:footnote w:id="22">
    <w:p w14:paraId="50EBC2A3" w14:textId="77777777" w:rsidR="00C212DA" w:rsidRPr="002E060B" w:rsidRDefault="00C212DA" w:rsidP="00C212DA">
      <w:pPr>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7F96CF70" w14:textId="77777777" w:rsidR="00C212DA" w:rsidRPr="002E060B" w:rsidRDefault="00C212DA" w:rsidP="00C212DA">
      <w:pPr>
        <w:pStyle w:val="Textonotapie"/>
        <w:ind w:firstLine="709"/>
        <w:jc w:val="both"/>
        <w:rPr>
          <w:rFonts w:ascii="Arial" w:hAnsi="Arial" w:cs="Arial"/>
          <w:sz w:val="18"/>
          <w:szCs w:val="18"/>
          <w:lang w:val="es-CO"/>
        </w:rPr>
      </w:pPr>
    </w:p>
  </w:footnote>
  <w:footnote w:id="23">
    <w:p w14:paraId="57A0EEED" w14:textId="77777777" w:rsidR="00C212DA" w:rsidRPr="002E060B" w:rsidRDefault="00C212DA" w:rsidP="00C212DA">
      <w:pPr>
        <w:pStyle w:val="Prrafodelista"/>
        <w:ind w:left="0" w:firstLine="709"/>
        <w:jc w:val="both"/>
        <w:rPr>
          <w:rFonts w:ascii="Arial" w:hAnsi="Arial" w:cs="Arial"/>
          <w:bCs/>
          <w:color w:val="000000" w:themeColor="text1"/>
          <w:sz w:val="18"/>
          <w:szCs w:val="18"/>
          <w:lang w:val="es-ES"/>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bCs/>
          <w:color w:val="000000" w:themeColor="text1"/>
          <w:sz w:val="18"/>
          <w:szCs w:val="18"/>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3FAE206" w14:textId="77777777" w:rsidR="00C212DA" w:rsidRPr="002E060B" w:rsidRDefault="00C212DA" w:rsidP="00C212DA">
      <w:pPr>
        <w:pStyle w:val="Textonotapie"/>
        <w:ind w:firstLine="709"/>
        <w:jc w:val="both"/>
        <w:rPr>
          <w:rFonts w:ascii="Arial" w:hAnsi="Arial" w:cs="Arial"/>
          <w:color w:val="000000" w:themeColor="text1"/>
          <w:sz w:val="18"/>
          <w:szCs w:val="18"/>
          <w:lang w:val="es-ES"/>
        </w:rPr>
      </w:pPr>
    </w:p>
  </w:footnote>
  <w:footnote w:id="24">
    <w:p w14:paraId="5ABDD78B"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4002E7C2"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A81C568" w14:textId="77777777" w:rsidR="00C212DA" w:rsidRPr="002E060B" w:rsidRDefault="00C212DA" w:rsidP="00C212DA">
      <w:pPr>
        <w:pStyle w:val="Textonotapie"/>
        <w:ind w:firstLine="709"/>
        <w:jc w:val="both"/>
        <w:rPr>
          <w:rFonts w:ascii="Arial" w:hAnsi="Arial" w:cs="Arial"/>
          <w:color w:val="000000" w:themeColor="text1"/>
          <w:sz w:val="18"/>
          <w:szCs w:val="18"/>
        </w:rPr>
      </w:pPr>
    </w:p>
  </w:footnote>
  <w:footnote w:id="25">
    <w:p w14:paraId="6F7F0F01"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6">
    <w:p w14:paraId="786F8C9A" w14:textId="77777777" w:rsidR="00C212DA" w:rsidRPr="002E060B" w:rsidRDefault="00C212DA" w:rsidP="00C212DA">
      <w:pPr>
        <w:pStyle w:val="Textonotapie"/>
        <w:ind w:firstLine="709"/>
        <w:jc w:val="both"/>
        <w:rPr>
          <w:rFonts w:ascii="Arial" w:hAnsi="Arial" w:cs="Arial"/>
          <w:color w:val="000000" w:themeColor="text1"/>
          <w:sz w:val="18"/>
          <w:szCs w:val="18"/>
        </w:rPr>
      </w:pPr>
    </w:p>
    <w:p w14:paraId="6A71D7DE"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2C735D74" w14:textId="77777777" w:rsidR="00C212DA" w:rsidRPr="002E060B" w:rsidRDefault="00C212DA" w:rsidP="00C212DA">
      <w:pPr>
        <w:pStyle w:val="Textonotapie"/>
        <w:ind w:firstLine="709"/>
        <w:jc w:val="both"/>
        <w:rPr>
          <w:rFonts w:ascii="Arial" w:hAnsi="Arial" w:cs="Arial"/>
          <w:color w:val="000000" w:themeColor="text1"/>
          <w:sz w:val="18"/>
          <w:szCs w:val="18"/>
        </w:rPr>
      </w:pPr>
    </w:p>
  </w:footnote>
  <w:footnote w:id="27">
    <w:p w14:paraId="60D50401"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7078489"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no contratan con cargo a recursos públicos no están obligados a publicar su Plan Anual de Adquisiciones.</w:t>
      </w:r>
    </w:p>
    <w:p w14:paraId="2674645F"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5A3B59DE" w14:textId="77777777" w:rsidR="00C212DA" w:rsidRPr="002E060B" w:rsidRDefault="00C212DA" w:rsidP="00C212DA">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footnote>
  <w:footnote w:id="28">
    <w:p w14:paraId="31F36CD2"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2E060B">
        <w:rPr>
          <w:rFonts w:ascii="Arial" w:hAnsi="Arial" w:cs="Arial"/>
          <w:bCs/>
          <w:i/>
          <w:iCs/>
          <w:color w:val="000000" w:themeColor="text1"/>
          <w:sz w:val="18"/>
          <w:szCs w:val="18"/>
        </w:rPr>
        <w:t>las empresas oficiales de servicios públicos</w:t>
      </w:r>
      <w:r w:rsidRPr="002E060B">
        <w:rPr>
          <w:rFonts w:ascii="Arial" w:hAnsi="Arial" w:cs="Arial"/>
          <w:color w:val="000000" w:themeColor="text1"/>
          <w:sz w:val="18"/>
          <w:szCs w:val="18"/>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62A27F97" w14:textId="77777777" w:rsidR="00C212DA" w:rsidRPr="002E060B" w:rsidRDefault="00C212DA" w:rsidP="00C212DA">
      <w:pPr>
        <w:pStyle w:val="Textonotapie"/>
        <w:ind w:firstLine="708"/>
        <w:jc w:val="both"/>
        <w:rPr>
          <w:rFonts w:ascii="Arial" w:hAnsi="Arial" w:cs="Arial"/>
          <w:color w:val="000000" w:themeColor="text1"/>
          <w:sz w:val="18"/>
          <w:szCs w:val="18"/>
        </w:rPr>
      </w:pPr>
    </w:p>
  </w:footnote>
  <w:footnote w:id="29">
    <w:p w14:paraId="0F05B2C1"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68A742FE" w14:textId="77777777" w:rsidR="00C212DA" w:rsidRPr="002E060B" w:rsidRDefault="00C212DA" w:rsidP="00C212DA">
      <w:pPr>
        <w:pStyle w:val="Textonotapie"/>
        <w:ind w:firstLine="708"/>
        <w:jc w:val="both"/>
        <w:rPr>
          <w:rFonts w:ascii="Arial" w:hAnsi="Arial" w:cs="Arial"/>
          <w:color w:val="000000" w:themeColor="text1"/>
          <w:sz w:val="18"/>
          <w:szCs w:val="18"/>
          <w:lang w:val="es-ES"/>
        </w:rPr>
      </w:pPr>
    </w:p>
  </w:footnote>
  <w:footnote w:id="30">
    <w:p w14:paraId="73C202E8"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i/>
          <w:color w:val="000000" w:themeColor="text1"/>
          <w:sz w:val="18"/>
          <w:szCs w:val="18"/>
        </w:rPr>
        <w:t xml:space="preserve"> </w:t>
      </w:r>
      <w:r w:rsidRPr="002E060B">
        <w:rPr>
          <w:rFonts w:ascii="Arial" w:hAnsi="Arial" w:cs="Arial"/>
          <w:i/>
          <w:iCs/>
          <w:color w:val="000000" w:themeColor="text1"/>
          <w:sz w:val="18"/>
          <w:szCs w:val="18"/>
        </w:rPr>
        <w:t>Ibídem.</w:t>
      </w:r>
      <w:r w:rsidRPr="002E060B">
        <w:rPr>
          <w:rFonts w:ascii="Arial" w:hAnsi="Arial" w:cs="Arial"/>
          <w:color w:val="000000" w:themeColor="text1"/>
          <w:sz w:val="18"/>
          <w:szCs w:val="18"/>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74F6690D" w14:textId="77777777" w:rsidR="00C212DA" w:rsidRPr="002E060B" w:rsidRDefault="00C212DA" w:rsidP="00C212DA">
      <w:pPr>
        <w:pStyle w:val="Textonotapie"/>
        <w:ind w:firstLine="708"/>
        <w:jc w:val="both"/>
        <w:rPr>
          <w:rFonts w:ascii="Arial" w:hAnsi="Arial" w:cs="Arial"/>
          <w:color w:val="000000" w:themeColor="text1"/>
          <w:sz w:val="18"/>
          <w:szCs w:val="18"/>
        </w:rPr>
      </w:pPr>
    </w:p>
  </w:footnote>
  <w:footnote w:id="31">
    <w:p w14:paraId="2C2911C8" w14:textId="77777777" w:rsidR="00C212DA" w:rsidRPr="002E060B" w:rsidRDefault="00C212DA" w:rsidP="00C212DA">
      <w:pPr>
        <w:pStyle w:val="Textonotapie"/>
        <w:ind w:firstLine="708"/>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E9BFB73" w14:textId="77777777" w:rsidR="00C212DA" w:rsidRPr="002E060B" w:rsidRDefault="00C212DA" w:rsidP="00C212DA">
      <w:pPr>
        <w:pStyle w:val="Textonotapie"/>
        <w:ind w:firstLine="708"/>
        <w:jc w:val="both"/>
        <w:rPr>
          <w:rFonts w:ascii="Arial" w:hAnsi="Arial" w:cs="Arial"/>
          <w:sz w:val="18"/>
          <w:szCs w:val="18"/>
          <w:lang w:val="es-ES"/>
        </w:rPr>
      </w:pPr>
    </w:p>
  </w:footnote>
  <w:footnote w:id="32">
    <w:p w14:paraId="010A43CC"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4170 de 2011: «Artículo 3. Funciones: La Agencia Nacional de Contratación Pública –Colombia Compra Eficiente– ejercerá las siguientes funciones:</w:t>
      </w:r>
    </w:p>
    <w:p w14:paraId="01D7947F"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46688622" w14:textId="77777777" w:rsidR="00C212DA" w:rsidRPr="002E060B" w:rsidRDefault="00C212DA" w:rsidP="00C212DA">
      <w:pPr>
        <w:pStyle w:val="Textonotapie"/>
        <w:ind w:firstLine="708"/>
        <w:jc w:val="both"/>
        <w:rPr>
          <w:rFonts w:ascii="Arial" w:hAnsi="Arial" w:cs="Arial"/>
          <w:color w:val="000000" w:themeColor="text1"/>
          <w:sz w:val="18"/>
          <w:szCs w:val="18"/>
        </w:rPr>
      </w:pPr>
    </w:p>
    <w:p w14:paraId="32EE9BF5"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06E1C9D1" w14:textId="77777777" w:rsidR="00C212DA" w:rsidRPr="002E060B" w:rsidRDefault="00C212DA" w:rsidP="00C212DA">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w:t>
      </w:r>
    </w:p>
  </w:footnote>
  <w:footnote w:id="33">
    <w:p w14:paraId="1F08192A" w14:textId="77777777" w:rsidR="00C212DA" w:rsidRPr="002E060B" w:rsidRDefault="00C212DA" w:rsidP="00C212DA">
      <w:pPr>
        <w:pStyle w:val="Textonotapie"/>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Ver: </w:t>
      </w:r>
      <w:r>
        <w:rPr>
          <w:rFonts w:ascii="Arial" w:hAnsi="Arial" w:cs="Arial"/>
          <w:sz w:val="18"/>
          <w:szCs w:val="18"/>
        </w:rPr>
        <w:t xml:space="preserve">Artículo 9 del </w:t>
      </w:r>
      <w:r w:rsidRPr="002E060B">
        <w:rPr>
          <w:rFonts w:ascii="Arial" w:hAnsi="Arial" w:cs="Arial"/>
          <w:sz w:val="18"/>
          <w:szCs w:val="18"/>
          <w:lang w:val="es-ES"/>
        </w:rPr>
        <w:t xml:space="preserve">Decreto 92 de 2017 y los conceptos </w:t>
      </w:r>
      <w:r w:rsidRPr="002E060B">
        <w:rPr>
          <w:rFonts w:ascii="Arial" w:hAnsi="Arial" w:cs="Arial"/>
          <w:sz w:val="18"/>
          <w:szCs w:val="18"/>
        </w:rPr>
        <w:t>4201913000005551 del 9/09/2019, C-014 de 2020, C.670 de 2020</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4527" w14:textId="77777777" w:rsidR="003D3D44" w:rsidRDefault="00075B7E">
    <w:pPr>
      <w:pStyle w:val="Encabezado"/>
    </w:pPr>
    <w:r>
      <w:rPr>
        <w:noProof/>
        <w:lang w:val="es-ES_tradnl" w:eastAsia="es-ES_tradnl"/>
      </w:rPr>
      <w:drawing>
        <wp:anchor distT="0" distB="0" distL="114300" distR="114300" simplePos="0" relativeHeight="251659264" behindDoc="1" locked="0" layoutInCell="1" allowOverlap="1" wp14:anchorId="35DA0C45" wp14:editId="09157F7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7E"/>
    <w:rsid w:val="00075B7E"/>
    <w:rsid w:val="000C51A3"/>
    <w:rsid w:val="0010679C"/>
    <w:rsid w:val="00230932"/>
    <w:rsid w:val="00550392"/>
    <w:rsid w:val="0063005C"/>
    <w:rsid w:val="00770B8B"/>
    <w:rsid w:val="007A39B0"/>
    <w:rsid w:val="007C12E2"/>
    <w:rsid w:val="008B2F4C"/>
    <w:rsid w:val="00A30281"/>
    <w:rsid w:val="00C212DA"/>
    <w:rsid w:val="00E25CDD"/>
    <w:rsid w:val="00FE3A4B"/>
    <w:rsid w:val="00FF3C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CB16"/>
  <w15:chartTrackingRefBased/>
  <w15:docId w15:val="{2EE7A03F-2F8D-48A3-979C-D77D121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5B7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75B7E"/>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75B7E"/>
    <w:rPr>
      <w:sz w:val="24"/>
      <w:lang w:val="es-MX"/>
    </w:rPr>
  </w:style>
  <w:style w:type="paragraph" w:styleId="Encabezado">
    <w:name w:val="header"/>
    <w:basedOn w:val="Normal"/>
    <w:link w:val="EncabezadoCar"/>
    <w:uiPriority w:val="99"/>
    <w:unhideWhenUsed/>
    <w:rsid w:val="00075B7E"/>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75B7E"/>
    <w:rPr>
      <w:sz w:val="24"/>
      <w:lang w:val="es-MX"/>
    </w:rPr>
  </w:style>
  <w:style w:type="table" w:styleId="Tablaconcuadrcula">
    <w:name w:val="Table Grid"/>
    <w:basedOn w:val="Tablanormal"/>
    <w:uiPriority w:val="59"/>
    <w:rsid w:val="00075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75B7E"/>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075B7E"/>
    <w:rPr>
      <w:color w:val="0563C1" w:themeColor="hyperlink"/>
      <w:u w:val="single"/>
    </w:rPr>
  </w:style>
  <w:style w:type="paragraph" w:styleId="NormalWeb">
    <w:name w:val="Normal (Web)"/>
    <w:basedOn w:val="Normal"/>
    <w:link w:val="NormalWebCar"/>
    <w:uiPriority w:val="99"/>
    <w:unhideWhenUsed/>
    <w:rsid w:val="00075B7E"/>
    <w:pPr>
      <w:spacing w:before="100" w:beforeAutospacing="1" w:after="100" w:afterAutospacing="1"/>
    </w:pPr>
    <w:rPr>
      <w:lang w:eastAsia="es-CO"/>
    </w:rPr>
  </w:style>
  <w:style w:type="paragraph" w:styleId="Sinespaciado">
    <w:name w:val="No Spacing"/>
    <w:aliases w:val="No Indent"/>
    <w:uiPriority w:val="3"/>
    <w:qFormat/>
    <w:rsid w:val="00075B7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75B7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75B7E"/>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75B7E"/>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75B7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075B7E"/>
    <w:rPr>
      <w:vertAlign w:val="superscript"/>
    </w:rPr>
  </w:style>
  <w:style w:type="paragraph" w:customStyle="1" w:styleId="paragraph">
    <w:name w:val="paragraph"/>
    <w:basedOn w:val="Normal"/>
    <w:uiPriority w:val="99"/>
    <w:rsid w:val="00075B7E"/>
    <w:pPr>
      <w:spacing w:before="100" w:beforeAutospacing="1" w:after="100" w:afterAutospacing="1"/>
    </w:pPr>
    <w:rPr>
      <w:lang w:eastAsia="es-CO"/>
    </w:rPr>
  </w:style>
  <w:style w:type="character" w:customStyle="1" w:styleId="normaltextrun">
    <w:name w:val="normaltextrun"/>
    <w:basedOn w:val="Fuentedeprrafopredeter"/>
    <w:rsid w:val="00075B7E"/>
  </w:style>
  <w:style w:type="paragraph" w:customStyle="1" w:styleId="Appelnotedebasde">
    <w:name w:val="Appel note de bas de..."/>
    <w:basedOn w:val="Normal"/>
    <w:link w:val="Refdenotaalpie"/>
    <w:uiPriority w:val="99"/>
    <w:rsid w:val="00075B7E"/>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075B7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8757">
      <w:bodyDiv w:val="1"/>
      <w:marLeft w:val="0"/>
      <w:marRight w:val="0"/>
      <w:marTop w:val="0"/>
      <w:marBottom w:val="0"/>
      <w:divBdr>
        <w:top w:val="none" w:sz="0" w:space="0" w:color="auto"/>
        <w:left w:val="none" w:sz="0" w:space="0" w:color="auto"/>
        <w:bottom w:val="none" w:sz="0" w:space="0" w:color="auto"/>
        <w:right w:val="none" w:sz="0" w:space="0" w:color="auto"/>
      </w:divBdr>
    </w:div>
    <w:div w:id="9291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ecop-i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node/307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ombiacompra.gov.co/node/23628"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esa-de-servic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40DB1BC-A6B0-4521-9E88-F20BB033A652}"/>
</file>

<file path=customXml/itemProps2.xml><?xml version="1.0" encoding="utf-8"?>
<ds:datastoreItem xmlns:ds="http://schemas.openxmlformats.org/officeDocument/2006/customXml" ds:itemID="{E3852D23-0D0A-4AD4-9092-CDFE80809151}">
  <ds:schemaRefs>
    <ds:schemaRef ds:uri="http://schemas.microsoft.com/sharepoint/v3/contenttype/forms"/>
  </ds:schemaRefs>
</ds:datastoreItem>
</file>

<file path=customXml/itemProps3.xml><?xml version="1.0" encoding="utf-8"?>
<ds:datastoreItem xmlns:ds="http://schemas.openxmlformats.org/officeDocument/2006/customXml" ds:itemID="{EC30A365-D03F-415F-BEA3-8103A2C96A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11083</Words>
  <Characters>60959</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Nathalia Urrego J.</cp:lastModifiedBy>
  <cp:revision>3</cp:revision>
  <dcterms:created xsi:type="dcterms:W3CDTF">2021-05-27T14:37:00Z</dcterms:created>
  <dcterms:modified xsi:type="dcterms:W3CDTF">2021-05-27T14:58:00Z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