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23CD" w:rsidR="004A303C" w:rsidP="00D34306" w:rsidRDefault="004A303C" w14:paraId="09A59AC5" w14:textId="77777777">
      <w:pPr>
        <w:ind w:left="567" w:hanging="567"/>
        <w:jc w:val="right"/>
        <w:outlineLvl w:val="0"/>
        <w:rPr>
          <w:rFonts w:ascii="Arial" w:hAnsi="Arial" w:cs="Arial"/>
          <w:bCs/>
          <w:color w:val="000000" w:themeColor="text1"/>
          <w:sz w:val="16"/>
          <w:szCs w:val="16"/>
          <w:lang w:val="es-CO" w:eastAsia="es-ES"/>
        </w:rPr>
      </w:pPr>
      <w:bookmarkStart w:name="_Hlk28946138" w:id="0"/>
      <w:bookmarkStart w:name="_Hlk29548183" w:id="1"/>
      <w:r w:rsidRPr="00C123CD">
        <w:rPr>
          <w:rFonts w:ascii="Arial" w:hAnsi="Arial" w:cs="Arial"/>
          <w:b/>
          <w:color w:val="000000" w:themeColor="text1"/>
          <w:sz w:val="16"/>
          <w:szCs w:val="16"/>
          <w:lang w:val="es-CO" w:eastAsia="es-ES"/>
        </w:rPr>
        <w:tab/>
      </w:r>
      <w:r w:rsidRPr="00C123CD">
        <w:rPr>
          <w:rFonts w:ascii="Arial" w:hAnsi="Arial" w:cs="Arial"/>
          <w:bCs/>
          <w:color w:val="000000" w:themeColor="text1"/>
          <w:sz w:val="16"/>
          <w:szCs w:val="16"/>
          <w:lang w:val="es-CO" w:eastAsia="es-ES"/>
        </w:rPr>
        <w:t>CCE-DES-FM-17</w:t>
      </w:r>
    </w:p>
    <w:p w:rsidRPr="00C123CD" w:rsidR="002D14DD" w:rsidP="00CA5CA7" w:rsidRDefault="002D14DD" w14:paraId="45BE16CC" w14:textId="77777777">
      <w:pPr>
        <w:jc w:val="both"/>
        <w:rPr>
          <w:rFonts w:ascii="Arial" w:hAnsi="Arial" w:eastAsia="Calibri" w:cs="Arial"/>
          <w:b/>
          <w:sz w:val="22"/>
          <w:lang w:val="es-CO"/>
        </w:rPr>
      </w:pPr>
    </w:p>
    <w:p w:rsidRPr="00C123CD" w:rsidR="00CA5CA7" w:rsidP="00CA5CA7" w:rsidRDefault="00CA5CA7" w14:paraId="6BD2F167" w14:textId="66A0E6AB">
      <w:pPr>
        <w:jc w:val="both"/>
        <w:rPr>
          <w:rFonts w:ascii="Arial" w:hAnsi="Arial" w:eastAsia="Calibri" w:cs="Arial"/>
          <w:sz w:val="22"/>
          <w:szCs w:val="20"/>
          <w:lang w:val="es-CO"/>
        </w:rPr>
      </w:pPr>
      <w:r w:rsidRPr="00C123CD">
        <w:rPr>
          <w:rFonts w:ascii="Arial" w:hAnsi="Arial" w:eastAsia="Calibri" w:cs="Arial"/>
          <w:b/>
          <w:sz w:val="22"/>
          <w:lang w:val="es-CO"/>
        </w:rPr>
        <w:t xml:space="preserve">DOCUMENTOS TIPO </w:t>
      </w:r>
      <w:r w:rsidRPr="00C123CD">
        <w:rPr>
          <w:rFonts w:ascii="Arial" w:hAnsi="Arial" w:eastAsia="Calibri" w:cs="Arial"/>
          <w:b/>
          <w:color w:val="000000" w:themeColor="text1"/>
          <w:sz w:val="22"/>
          <w:lang w:val="es-CO"/>
        </w:rPr>
        <w:t xml:space="preserve">– Formulario 1 </w:t>
      </w:r>
      <w:r w:rsidRPr="00C123CD" w:rsidR="002D14DD">
        <w:rPr>
          <w:rFonts w:ascii="Arial" w:hAnsi="Arial" w:eastAsia="Calibri" w:cs="Arial"/>
          <w:b/>
          <w:color w:val="000000" w:themeColor="text1"/>
          <w:sz w:val="22"/>
          <w:lang w:val="es-CO"/>
        </w:rPr>
        <w:t xml:space="preserve">– Formulario </w:t>
      </w:r>
      <w:r w:rsidRPr="00C123CD">
        <w:rPr>
          <w:rFonts w:ascii="Arial" w:hAnsi="Arial" w:eastAsia="Calibri" w:cs="Arial"/>
          <w:b/>
          <w:color w:val="000000" w:themeColor="text1"/>
          <w:sz w:val="22"/>
          <w:lang w:val="es-CO"/>
        </w:rPr>
        <w:t>de presupuesto oficial</w:t>
      </w:r>
      <w:r w:rsidRPr="00C123CD" w:rsidR="002D14DD">
        <w:rPr>
          <w:rFonts w:ascii="Arial" w:hAnsi="Arial" w:eastAsia="Calibri" w:cs="Arial"/>
          <w:b/>
          <w:color w:val="000000" w:themeColor="text1"/>
          <w:sz w:val="22"/>
          <w:lang w:val="es-CO"/>
        </w:rPr>
        <w:t xml:space="preserve"> - Función</w:t>
      </w:r>
    </w:p>
    <w:p w:rsidRPr="00C123CD" w:rsidR="00CA5CA7" w:rsidP="00CA5CA7" w:rsidRDefault="00CA5CA7" w14:paraId="2ED34D6F" w14:textId="77777777">
      <w:pPr>
        <w:jc w:val="both"/>
        <w:rPr>
          <w:rFonts w:ascii="Arial" w:hAnsi="Arial" w:eastAsia="Calibri" w:cs="Arial"/>
          <w:b/>
          <w:bCs/>
          <w:sz w:val="22"/>
          <w:lang w:val="es-CO"/>
        </w:rPr>
      </w:pPr>
    </w:p>
    <w:p w:rsidRPr="00C123CD" w:rsidR="00CA5CA7" w:rsidP="00CA5CA7" w:rsidRDefault="002D14DD" w14:paraId="079EEFB9" w14:textId="07D8C2C8">
      <w:pPr>
        <w:jc w:val="both"/>
        <w:rPr>
          <w:rFonts w:ascii="Arial" w:hAnsi="Arial" w:cs="Arial"/>
          <w:bCs/>
          <w:color w:val="000000" w:themeColor="text1"/>
          <w:sz w:val="20"/>
          <w:szCs w:val="20"/>
          <w:lang w:val="es-CO"/>
        </w:rPr>
      </w:pPr>
      <w:r w:rsidRPr="00C123CD">
        <w:rPr>
          <w:rFonts w:ascii="Arial" w:hAnsi="Arial" w:cs="Arial"/>
          <w:bCs/>
          <w:color w:val="000000" w:themeColor="text1"/>
          <w:sz w:val="20"/>
          <w:szCs w:val="20"/>
          <w:lang w:val="es-CO"/>
        </w:rPr>
        <w:t>E</w:t>
      </w:r>
      <w:r w:rsidRPr="00C123CD" w:rsidR="00CA5CA7">
        <w:rPr>
          <w:rFonts w:ascii="Arial" w:hAnsi="Arial" w:cs="Arial"/>
          <w:bCs/>
          <w:color w:val="000000" w:themeColor="text1"/>
          <w:sz w:val="20"/>
          <w:szCs w:val="20"/>
          <w:lang w:val="es-CO"/>
        </w:rPr>
        <w:t>l «Formulario 1 – Formulario de Presupuesto Oficial», en la Versión 3 de los documentos tipo de infraestructura de transporte, presenta una dualidad de usos, esto es, como presupuesto oficial y como propuesta económica. Así, en aplicación de esta versión</w:t>
      </w:r>
      <w:r w:rsidRPr="00C123CD" w:rsidR="00E95B28">
        <w:rPr>
          <w:rFonts w:ascii="Arial" w:hAnsi="Arial" w:cs="Arial"/>
          <w:bCs/>
          <w:color w:val="000000" w:themeColor="text1"/>
          <w:sz w:val="20"/>
          <w:szCs w:val="20"/>
          <w:lang w:val="es-CO"/>
        </w:rPr>
        <w:t>,</w:t>
      </w:r>
      <w:r w:rsidRPr="00C123CD" w:rsidR="00CA5CA7">
        <w:rPr>
          <w:rFonts w:ascii="Arial" w:hAnsi="Arial" w:cs="Arial"/>
          <w:bCs/>
          <w:color w:val="000000" w:themeColor="text1"/>
          <w:sz w:val="20"/>
          <w:szCs w:val="20"/>
          <w:lang w:val="es-CO"/>
        </w:rPr>
        <w:t xml:space="preserve"> a las entidades les corresponde elaborar y presentar el presupuesto oficial del proceso y al proponente estructurar su oferta económica. Este formulario debe prepararlo la entidad estatal en la etapa de planeación y le permite definir el valor oficial estimado del proceso de contratación.</w:t>
      </w:r>
    </w:p>
    <w:p w:rsidRPr="00C123CD" w:rsidR="00CA5CA7" w:rsidP="00CA5CA7" w:rsidRDefault="00CA5CA7" w14:paraId="7675E96F" w14:textId="77777777">
      <w:pPr>
        <w:jc w:val="both"/>
        <w:rPr>
          <w:rFonts w:ascii="Arial" w:hAnsi="Arial" w:eastAsia="Calibri" w:cs="Arial"/>
          <w:b/>
          <w:bCs/>
          <w:sz w:val="22"/>
          <w:lang w:val="es-CO"/>
        </w:rPr>
      </w:pPr>
    </w:p>
    <w:p w:rsidRPr="00C123CD" w:rsidR="002371CD" w:rsidP="00CA5CA7" w:rsidRDefault="00CA5CA7" w14:paraId="0E0D25C0" w14:textId="4603AD8C">
      <w:pPr>
        <w:jc w:val="both"/>
        <w:rPr>
          <w:rFonts w:ascii="Arial" w:hAnsi="Arial" w:eastAsia="Calibri" w:cs="Arial"/>
          <w:b/>
          <w:color w:val="000000" w:themeColor="text1"/>
          <w:sz w:val="22"/>
          <w:lang w:val="es-CO"/>
        </w:rPr>
      </w:pPr>
      <w:r w:rsidRPr="00C123CD">
        <w:rPr>
          <w:rFonts w:ascii="Arial" w:hAnsi="Arial" w:eastAsia="Calibri" w:cs="Arial"/>
          <w:b/>
          <w:bCs/>
          <w:sz w:val="22"/>
          <w:lang w:val="es-CO"/>
        </w:rPr>
        <w:t xml:space="preserve">FORMULARIO 1 </w:t>
      </w:r>
      <w:r w:rsidRPr="00C123CD">
        <w:rPr>
          <w:rFonts w:ascii="Arial" w:hAnsi="Arial" w:eastAsia="Calibri" w:cs="Arial"/>
          <w:b/>
          <w:color w:val="000000" w:themeColor="text1"/>
          <w:sz w:val="22"/>
          <w:lang w:val="es-CO"/>
        </w:rPr>
        <w:t xml:space="preserve">– </w:t>
      </w:r>
      <w:r w:rsidRPr="00C123CD" w:rsidR="002D14DD">
        <w:rPr>
          <w:rFonts w:ascii="Arial" w:hAnsi="Arial" w:eastAsia="Calibri" w:cs="Arial"/>
          <w:b/>
          <w:sz w:val="22"/>
          <w:lang w:val="es-CO"/>
        </w:rPr>
        <w:t>Oferta económica – Presentación</w:t>
      </w:r>
    </w:p>
    <w:p w:rsidRPr="00C123CD" w:rsidR="00CA5CA7" w:rsidP="002D14DD" w:rsidRDefault="00CA5CA7" w14:paraId="050C2472" w14:textId="77777777">
      <w:pPr>
        <w:jc w:val="both"/>
        <w:rPr>
          <w:rFonts w:ascii="Arial" w:hAnsi="Arial" w:cs="Arial"/>
          <w:noProof/>
          <w:color w:val="000000" w:themeColor="text1"/>
          <w:sz w:val="22"/>
          <w:lang w:val="es-CO"/>
        </w:rPr>
      </w:pPr>
    </w:p>
    <w:p w:rsidRPr="00C123CD" w:rsidR="00CA5CA7" w:rsidP="00CA5CA7" w:rsidRDefault="002D14DD" w14:paraId="65E67FFE" w14:textId="21B52742">
      <w:pPr>
        <w:jc w:val="both"/>
        <w:rPr>
          <w:rFonts w:ascii="Arial" w:hAnsi="Arial" w:eastAsia="Calibri" w:cs="Arial"/>
          <w:sz w:val="20"/>
          <w:szCs w:val="20"/>
          <w:lang w:val="es-CO"/>
        </w:rPr>
      </w:pPr>
      <w:r w:rsidRPr="00C123CD">
        <w:rPr>
          <w:rFonts w:ascii="Arial" w:hAnsi="Arial" w:eastAsia="Calibri" w:cs="Arial"/>
          <w:sz w:val="20"/>
          <w:szCs w:val="20"/>
          <w:lang w:val="es-CO"/>
        </w:rPr>
        <w:t>En cuanto a la pestaña de «propuesta económica», como se indicó, esta tiene el propósito de servir de instrumento para que los proponentes determinen su ofrecimiento económico. No obstante, en la parte superior derecha del formulario se establece lo siguiente: «[La entidad puede utilizar este formulario de presentación de propuesta económica de forma detallada, sin perjuicio que la entidad pueda modificarlo o establecer la presentación de la oferta económica con un formulario distinto al indicado.]». Igualmente</w:t>
      </w:r>
      <w:r w:rsidRPr="00C123CD" w:rsidR="00E95B28">
        <w:rPr>
          <w:rFonts w:ascii="Arial" w:hAnsi="Arial" w:eastAsia="Calibri" w:cs="Arial"/>
          <w:sz w:val="20"/>
          <w:szCs w:val="20"/>
          <w:lang w:val="es-CO"/>
        </w:rPr>
        <w:t>,</w:t>
      </w:r>
      <w:r w:rsidRPr="00C123CD">
        <w:rPr>
          <w:rFonts w:ascii="Arial" w:hAnsi="Arial" w:eastAsia="Calibri" w:cs="Arial"/>
          <w:sz w:val="20"/>
          <w:szCs w:val="20"/>
          <w:lang w:val="es-CO"/>
        </w:rPr>
        <w:t xml:space="preserve"> se indica que los proponentes emplearán el formulario establecido por la entidad para determinar su propuesta económica conforme al Formulario 1 - Presupuesto Oficial publicado por la Entidad. Esto significa que las entidades pueden diseñar un formulario para que los proponentes presenten su oferta económica, sin que sea obligatorio sujetarse al formulario que los documentos tipo disponen para el efecto. En todo caso, el proponente deberá emplear el formulario que establezca la entidad. </w:t>
      </w:r>
    </w:p>
    <w:p w:rsidRPr="00C123CD" w:rsidR="00CA5CA7" w:rsidP="00CA5CA7" w:rsidRDefault="00CA5CA7" w14:paraId="7EE86B13" w14:textId="77777777">
      <w:pPr>
        <w:jc w:val="both"/>
        <w:rPr>
          <w:rFonts w:ascii="Arial" w:hAnsi="Arial" w:eastAsia="Calibri" w:cs="Arial"/>
          <w:b/>
          <w:sz w:val="22"/>
          <w:lang w:val="es-CO"/>
        </w:rPr>
      </w:pPr>
    </w:p>
    <w:p w:rsidRPr="00C123CD" w:rsidR="00CA5CA7" w:rsidP="00CA5CA7" w:rsidRDefault="00CA5CA7" w14:paraId="3DDEE91B" w14:textId="56C92DA1">
      <w:pPr>
        <w:jc w:val="both"/>
        <w:rPr>
          <w:rFonts w:ascii="Arial" w:hAnsi="Arial" w:eastAsia="Calibri" w:cs="Arial"/>
          <w:b/>
          <w:sz w:val="22"/>
          <w:lang w:val="es-CO"/>
        </w:rPr>
      </w:pPr>
      <w:r w:rsidRPr="00C123CD">
        <w:rPr>
          <w:rFonts w:ascii="Arial" w:hAnsi="Arial" w:eastAsia="Calibri" w:cs="Arial"/>
          <w:b/>
          <w:sz w:val="22"/>
          <w:lang w:val="es-CO"/>
        </w:rPr>
        <w:t xml:space="preserve">LEY DE EMPRENDIMIENTO </w:t>
      </w:r>
      <w:r w:rsidRPr="00C123CD">
        <w:rPr>
          <w:rFonts w:ascii="Arial" w:hAnsi="Arial" w:eastAsia="Calibri" w:cs="Arial"/>
          <w:b/>
          <w:color w:val="000000" w:themeColor="text1"/>
          <w:sz w:val="22"/>
          <w:lang w:val="es-CO"/>
        </w:rPr>
        <w:t>–</w:t>
      </w:r>
      <w:r w:rsidRPr="00C123CD">
        <w:rPr>
          <w:rFonts w:ascii="Arial" w:hAnsi="Arial" w:eastAsia="Calibri" w:cs="Arial"/>
          <w:b/>
          <w:sz w:val="22"/>
          <w:lang w:val="es-CO"/>
        </w:rPr>
        <w:t xml:space="preserve"> Ley 2069 de 2020 </w:t>
      </w:r>
      <w:r w:rsidRPr="00C123CD">
        <w:rPr>
          <w:rFonts w:ascii="Arial" w:hAnsi="Arial" w:eastAsia="Calibri" w:cs="Arial"/>
          <w:b/>
          <w:color w:val="000000" w:themeColor="text1"/>
          <w:sz w:val="22"/>
          <w:lang w:val="es-CO"/>
        </w:rPr>
        <w:t xml:space="preserve">– Vigencia </w:t>
      </w:r>
    </w:p>
    <w:p w:rsidRPr="00C123CD" w:rsidR="00CA5CA7" w:rsidP="00AD063C" w:rsidRDefault="00CA5CA7" w14:paraId="750F820F" w14:textId="77777777">
      <w:pPr>
        <w:jc w:val="both"/>
        <w:rPr>
          <w:rFonts w:ascii="Arial" w:hAnsi="Arial" w:eastAsia="Calibri" w:cs="Arial"/>
          <w:b/>
          <w:color w:val="000000" w:themeColor="text1"/>
          <w:sz w:val="22"/>
          <w:lang w:val="es-CO"/>
        </w:rPr>
      </w:pPr>
    </w:p>
    <w:p w:rsidRPr="00C123CD" w:rsidR="00CA5CA7" w:rsidP="00CA5CA7" w:rsidRDefault="00CA5CA7" w14:paraId="2B6BADAC" w14:textId="4898AA3A">
      <w:pPr>
        <w:jc w:val="both"/>
        <w:rPr>
          <w:rFonts w:ascii="Arial" w:hAnsi="Arial" w:cs="Arial"/>
          <w:bCs/>
          <w:color w:val="000000" w:themeColor="text1"/>
          <w:sz w:val="20"/>
          <w:szCs w:val="20"/>
          <w:lang w:val="es-CO"/>
        </w:rPr>
      </w:pPr>
      <w:r w:rsidRPr="00C123CD">
        <w:rPr>
          <w:rFonts w:ascii="Arial" w:hAnsi="Arial" w:cs="Arial"/>
          <w:bCs/>
          <w:color w:val="000000" w:themeColor="text1"/>
          <w:sz w:val="20"/>
          <w:szCs w:val="20"/>
          <w:lang w:val="es-CO"/>
        </w:rPr>
        <w:t xml:space="preserve">La Ley 2069 de 2020 «Por medio de la cual se impulsa el emprendimiento en Colombia», tiene por objeto «establecer un marco regulatorio que propicie el emprendimiento y el crecimiento, consolidación y sostenibilidad de las empresas, con el fin de aumentar el bienestar social y generar equidad». </w:t>
      </w:r>
      <w:r w:rsidRPr="00C123CD" w:rsidR="00E95B28">
        <w:rPr>
          <w:rFonts w:ascii="Arial" w:hAnsi="Arial" w:cs="Arial"/>
          <w:bCs/>
          <w:color w:val="000000" w:themeColor="text1"/>
          <w:sz w:val="20"/>
          <w:szCs w:val="20"/>
          <w:lang w:val="es-CO"/>
        </w:rPr>
        <w:t>Según el</w:t>
      </w:r>
      <w:r w:rsidRPr="00C123CD">
        <w:rPr>
          <w:rFonts w:ascii="Arial" w:hAnsi="Arial" w:cs="Arial"/>
          <w:bCs/>
          <w:color w:val="000000" w:themeColor="text1"/>
          <w:sz w:val="20"/>
          <w:szCs w:val="20"/>
          <w:lang w:val="es-CO"/>
        </w:rPr>
        <w:t xml:space="preserve"> artículo 84, esta Ley rige a partir de su promulgación, </w:t>
      </w:r>
      <w:r w:rsidRPr="00C123CD" w:rsidR="00083BDF">
        <w:rPr>
          <w:rFonts w:ascii="Arial" w:hAnsi="Arial" w:cs="Arial"/>
          <w:bCs/>
          <w:color w:val="000000" w:themeColor="text1"/>
          <w:sz w:val="20"/>
          <w:szCs w:val="20"/>
          <w:lang w:val="es-CO"/>
        </w:rPr>
        <w:t xml:space="preserve">es decir, </w:t>
      </w:r>
      <w:r w:rsidRPr="00C123CD">
        <w:rPr>
          <w:rFonts w:ascii="Arial" w:hAnsi="Arial" w:cs="Arial"/>
          <w:bCs/>
          <w:color w:val="000000" w:themeColor="text1"/>
          <w:sz w:val="20"/>
          <w:szCs w:val="20"/>
          <w:lang w:val="es-CO"/>
        </w:rPr>
        <w:t>el 31 de diciembre de 2020, lo cual significa que es obligatoria para sus destinatarios a partir de dicha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rsidRPr="00C123CD" w:rsidR="002371CD" w:rsidP="00536D8C" w:rsidRDefault="002371CD" w14:paraId="284277FD" w14:textId="77777777">
      <w:pPr>
        <w:jc w:val="both"/>
        <w:rPr>
          <w:rFonts w:ascii="Arial" w:hAnsi="Arial" w:eastAsia="Calibri" w:cs="Arial"/>
          <w:b/>
          <w:color w:val="000000" w:themeColor="text1"/>
          <w:sz w:val="22"/>
          <w:lang w:val="es-CO"/>
        </w:rPr>
      </w:pPr>
    </w:p>
    <w:p w:rsidRPr="00C123CD" w:rsidR="00CA5CA7" w:rsidP="00CA5CA7" w:rsidRDefault="00CA5CA7" w14:paraId="3B6937E3" w14:textId="77777777">
      <w:pPr>
        <w:jc w:val="both"/>
        <w:rPr>
          <w:rFonts w:ascii="Arial" w:hAnsi="Arial" w:eastAsia="Calibri" w:cs="Arial"/>
          <w:b/>
          <w:sz w:val="22"/>
          <w:lang w:val="es-CO"/>
        </w:rPr>
      </w:pPr>
      <w:r w:rsidRPr="00C123CD">
        <w:rPr>
          <w:rFonts w:ascii="Arial" w:hAnsi="Arial" w:eastAsia="Calibri" w:cs="Arial"/>
          <w:b/>
          <w:sz w:val="22"/>
          <w:lang w:val="es-CO"/>
        </w:rPr>
        <w:t xml:space="preserve">MIPYMES </w:t>
      </w:r>
      <w:r w:rsidRPr="00C123CD">
        <w:rPr>
          <w:rFonts w:ascii="Arial" w:hAnsi="Arial" w:eastAsia="Calibri" w:cs="Arial"/>
          <w:b/>
          <w:color w:val="000000" w:themeColor="text1"/>
          <w:sz w:val="22"/>
          <w:lang w:val="es-CO"/>
        </w:rPr>
        <w:t>–</w:t>
      </w:r>
      <w:r w:rsidRPr="00C123CD">
        <w:rPr>
          <w:rFonts w:ascii="Arial" w:hAnsi="Arial" w:eastAsia="Calibri" w:cs="Arial"/>
          <w:b/>
          <w:sz w:val="22"/>
          <w:lang w:val="es-CO"/>
        </w:rPr>
        <w:t xml:space="preserve"> Ley 2069 </w:t>
      </w:r>
      <w:r w:rsidRPr="00C123CD">
        <w:rPr>
          <w:rFonts w:ascii="Arial" w:hAnsi="Arial" w:eastAsia="Calibri" w:cs="Arial"/>
          <w:b/>
          <w:color w:val="000000" w:themeColor="text1"/>
          <w:sz w:val="22"/>
          <w:lang w:val="es-CO"/>
        </w:rPr>
        <w:t>– Artículo 34 – Convocatorias limitadas – Vigencia</w:t>
      </w:r>
    </w:p>
    <w:p w:rsidRPr="00C123CD" w:rsidR="00CA5CA7" w:rsidP="00CA5CA7" w:rsidRDefault="00CA5CA7" w14:paraId="0D128F91" w14:textId="77777777">
      <w:pPr>
        <w:jc w:val="both"/>
        <w:rPr>
          <w:rFonts w:ascii="Arial" w:hAnsi="Arial" w:eastAsia="Calibri" w:cs="Arial"/>
          <w:sz w:val="20"/>
          <w:szCs w:val="20"/>
          <w:lang w:val="es-CO"/>
        </w:rPr>
      </w:pPr>
    </w:p>
    <w:p w:rsidRPr="00C123CD" w:rsidR="00CA5CA7" w:rsidP="00CA5CA7" w:rsidRDefault="00CA5CA7" w14:paraId="1C1A6B6B" w14:textId="77777777">
      <w:pPr>
        <w:jc w:val="both"/>
        <w:rPr>
          <w:rFonts w:ascii="Arial" w:hAnsi="Arial" w:eastAsia="Calibri" w:cs="Arial"/>
          <w:sz w:val="20"/>
          <w:szCs w:val="20"/>
          <w:lang w:val="es-CO"/>
        </w:rPr>
      </w:pPr>
      <w:r w:rsidRPr="00C123CD">
        <w:rPr>
          <w:rFonts w:ascii="Arial" w:hAnsi="Arial" w:eastAsia="Calibri" w:cs="Arial"/>
          <w:sz w:val="20"/>
          <w:szCs w:val="20"/>
          <w:lang w:val="es-CO"/>
        </w:rPr>
        <w:t>[…],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Por lo anterior, puede afirmarse que, además del decaimiento del artículo 2.2.1.2.4.2.2. del Decreto 1082 de 2015, debe entenderse derogado.</w:t>
      </w:r>
    </w:p>
    <w:p w:rsidRPr="00C123CD" w:rsidR="00CA5CA7" w:rsidP="00E928A5" w:rsidRDefault="00CA5CA7" w14:paraId="1B679218" w14:textId="77777777">
      <w:pPr>
        <w:jc w:val="both"/>
        <w:rPr>
          <w:rFonts w:ascii="Arial" w:hAnsi="Arial" w:cs="Arial"/>
          <w:bCs/>
          <w:color w:val="000000" w:themeColor="text1"/>
          <w:sz w:val="20"/>
          <w:szCs w:val="20"/>
          <w:lang w:val="es-CO"/>
        </w:rPr>
      </w:pPr>
    </w:p>
    <w:p w:rsidRPr="00C123CD" w:rsidR="002371CD" w:rsidP="0068262D" w:rsidRDefault="002371CD" w14:paraId="322C9108" w14:textId="77777777">
      <w:pPr>
        <w:tabs>
          <w:tab w:val="left" w:pos="709"/>
        </w:tabs>
        <w:jc w:val="both"/>
        <w:rPr>
          <w:rFonts w:ascii="Arial" w:hAnsi="Arial" w:cs="Arial"/>
          <w:color w:val="000000" w:themeColor="text1"/>
          <w:sz w:val="20"/>
          <w:szCs w:val="20"/>
          <w:lang w:val="es-CO"/>
        </w:rPr>
      </w:pPr>
    </w:p>
    <w:p w:rsidRPr="00C123CD" w:rsidR="002D14DD" w:rsidP="00622C6E" w:rsidRDefault="002D14DD" w14:paraId="2B3DE3D1" w14:textId="77777777">
      <w:pPr>
        <w:outlineLvl w:val="0"/>
        <w:rPr>
          <w:rFonts w:ascii="Arial" w:hAnsi="Arial" w:cs="Arial"/>
          <w:color w:val="000000" w:themeColor="text1"/>
          <w:sz w:val="22"/>
          <w:lang w:val="es-CO"/>
        </w:rPr>
      </w:pPr>
    </w:p>
    <w:p w:rsidRPr="00C123CD" w:rsidR="002D14DD" w:rsidP="00622C6E" w:rsidRDefault="002D14DD" w14:paraId="6E7AFE28" w14:textId="7F7523C3">
      <w:pPr>
        <w:outlineLvl w:val="0"/>
        <w:rPr>
          <w:rFonts w:ascii="Arial" w:hAnsi="Arial" w:cs="Arial"/>
          <w:color w:val="000000" w:themeColor="text1"/>
          <w:sz w:val="22"/>
          <w:lang w:val="es-CO"/>
        </w:rPr>
      </w:pPr>
    </w:p>
    <w:p w:rsidR="002D14DD" w:rsidP="00622C6E" w:rsidRDefault="002D14DD" w14:paraId="4BE9EAF2" w14:textId="4A4E798B">
      <w:pPr>
        <w:outlineLvl w:val="0"/>
        <w:rPr>
          <w:rFonts w:ascii="Arial" w:hAnsi="Arial" w:cs="Arial"/>
          <w:color w:val="000000" w:themeColor="text1"/>
          <w:sz w:val="22"/>
          <w:lang w:val="es-CO"/>
        </w:rPr>
      </w:pPr>
    </w:p>
    <w:p w:rsidRPr="00C123CD" w:rsidR="00D63CF2" w:rsidP="00622C6E" w:rsidRDefault="00D63CF2" w14:paraId="3F99A210" w14:textId="77777777">
      <w:pPr>
        <w:outlineLvl w:val="0"/>
        <w:rPr>
          <w:rFonts w:ascii="Arial" w:hAnsi="Arial" w:cs="Arial"/>
          <w:color w:val="000000" w:themeColor="text1"/>
          <w:sz w:val="22"/>
          <w:lang w:val="es-CO"/>
        </w:rPr>
      </w:pPr>
    </w:p>
    <w:p w:rsidRPr="00C123CD" w:rsidR="004A303C" w:rsidP="00622C6E" w:rsidRDefault="004D33A0" w14:paraId="1B2B4A71" w14:textId="5C174DE2">
      <w:pPr>
        <w:outlineLvl w:val="0"/>
        <w:rPr>
          <w:rFonts w:ascii="Arial" w:hAnsi="Arial" w:cs="Arial"/>
          <w:b/>
          <w:color w:val="000000" w:themeColor="text1"/>
          <w:sz w:val="22"/>
          <w:lang w:val="es-CO"/>
        </w:rPr>
      </w:pPr>
      <w:r>
        <w:rPr>
          <w:rFonts w:ascii="ArialMT" w:hAnsi="ArialMT" w:cs="ArialMT"/>
          <w:color w:val="4E4D4D"/>
          <w:sz w:val="22"/>
          <w:lang w:val="es-CO"/>
        </w:rPr>
        <w:t>Bogotá, 06 Junio 2021</w:t>
      </w:r>
    </w:p>
    <w:p w:rsidRPr="00C123CD" w:rsidR="00F27A00" w:rsidP="00622C6E" w:rsidRDefault="00F27A00" w14:paraId="38E80F50" w14:textId="77777777">
      <w:pPr>
        <w:outlineLvl w:val="0"/>
        <w:rPr>
          <w:rFonts w:ascii="Arial" w:hAnsi="Arial" w:cs="Arial"/>
          <w:color w:val="000000" w:themeColor="text1"/>
          <w:sz w:val="22"/>
          <w:lang w:val="es-CO"/>
        </w:rPr>
      </w:pPr>
    </w:p>
    <w:p w:rsidRPr="00C123CD" w:rsidR="00735D1C" w:rsidP="00D9022C" w:rsidRDefault="004D33A0" w14:paraId="4AFE88A4" w14:textId="3238BCD8">
      <w:pPr>
        <w:jc w:val="right"/>
        <w:outlineLvl w:val="0"/>
        <w:rPr>
          <w:rFonts w:ascii="Arial" w:hAnsi="Arial" w:cs="Arial"/>
          <w:b/>
          <w:bCs/>
          <w:color w:val="000000" w:themeColor="text1"/>
          <w:sz w:val="22"/>
          <w:lang w:val="es-CO"/>
        </w:rPr>
      </w:pPr>
      <w:r w:rsidR="004D33A0">
        <w:drawing>
          <wp:inline wp14:editId="4B40E841" wp14:anchorId="45B1820F">
            <wp:extent cx="2010056" cy="771633"/>
            <wp:effectExtent l="0" t="0" r="9525" b="9525"/>
            <wp:docPr id="2" name="Imagen 2" title=""/>
            <wp:cNvGraphicFramePr>
              <a:graphicFrameLocks noChangeAspect="1"/>
            </wp:cNvGraphicFramePr>
            <a:graphic>
              <a:graphicData uri="http://schemas.openxmlformats.org/drawingml/2006/picture">
                <pic:pic>
                  <pic:nvPicPr>
                    <pic:cNvPr id="0" name="Imagen 2"/>
                    <pic:cNvPicPr/>
                  </pic:nvPicPr>
                  <pic:blipFill>
                    <a:blip r:embed="R6f8d6af3ccc145f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10056" cy="771633"/>
                    </a:xfrm>
                    <a:prstGeom prst="rect">
                      <a:avLst/>
                    </a:prstGeom>
                  </pic:spPr>
                </pic:pic>
              </a:graphicData>
            </a:graphic>
          </wp:inline>
        </w:drawing>
      </w:r>
    </w:p>
    <w:p w:rsidRPr="00C123CD" w:rsidR="00735D1C" w:rsidP="00D9022C" w:rsidRDefault="00735D1C" w14:paraId="21CCD891" w14:textId="77777777">
      <w:pPr>
        <w:jc w:val="right"/>
        <w:outlineLvl w:val="0"/>
        <w:rPr>
          <w:rFonts w:ascii="Arial" w:hAnsi="Arial" w:cs="Arial"/>
          <w:b/>
          <w:color w:val="000000" w:themeColor="text1"/>
          <w:sz w:val="22"/>
          <w:lang w:val="es-CO"/>
        </w:rPr>
      </w:pPr>
    </w:p>
    <w:p w:rsidRPr="00C123CD" w:rsidR="008026C6" w:rsidP="00E928A5" w:rsidRDefault="004A303C" w14:paraId="11A6E11A" w14:textId="0788E36C">
      <w:pPr>
        <w:outlineLvl w:val="0"/>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Señor</w:t>
      </w:r>
      <w:r w:rsidRPr="00C123CD" w:rsidR="00006ECA">
        <w:rPr>
          <w:rFonts w:ascii="Arial" w:hAnsi="Arial" w:eastAsia="Calibri" w:cs="Arial"/>
          <w:color w:val="000000" w:themeColor="text1"/>
          <w:sz w:val="22"/>
          <w:lang w:val="es-CO"/>
        </w:rPr>
        <w:t>a</w:t>
      </w:r>
    </w:p>
    <w:p w:rsidRPr="00C123CD" w:rsidR="00096901" w:rsidP="00E928A5" w:rsidRDefault="00EB7D36" w14:paraId="460B3732" w14:textId="2ADB501C">
      <w:pPr>
        <w:outlineLvl w:val="0"/>
        <w:rPr>
          <w:rFonts w:ascii="Arial" w:hAnsi="Arial" w:cs="Arial"/>
          <w:b/>
          <w:bCs/>
          <w:sz w:val="22"/>
          <w:lang w:val="es-CO"/>
        </w:rPr>
      </w:pPr>
      <w:r w:rsidRPr="00C123CD">
        <w:rPr>
          <w:rFonts w:ascii="Arial" w:hAnsi="Arial" w:cs="Arial"/>
          <w:b/>
          <w:bCs/>
          <w:sz w:val="22"/>
          <w:lang w:val="es-CO"/>
        </w:rPr>
        <w:t>Mar</w:t>
      </w:r>
      <w:r w:rsidRPr="00C123CD" w:rsidR="00E95B28">
        <w:rPr>
          <w:rFonts w:ascii="Arial" w:hAnsi="Arial" w:cs="Arial"/>
          <w:b/>
          <w:bCs/>
          <w:sz w:val="22"/>
          <w:lang w:val="es-CO"/>
        </w:rPr>
        <w:t>í</w:t>
      </w:r>
      <w:r w:rsidRPr="00C123CD">
        <w:rPr>
          <w:rFonts w:ascii="Arial" w:hAnsi="Arial" w:cs="Arial"/>
          <w:b/>
          <w:bCs/>
          <w:sz w:val="22"/>
          <w:lang w:val="es-CO"/>
        </w:rPr>
        <w:t>a Sof</w:t>
      </w:r>
      <w:r w:rsidRPr="00C123CD" w:rsidR="002A1AAA">
        <w:rPr>
          <w:rFonts w:ascii="Arial" w:hAnsi="Arial" w:cs="Arial"/>
          <w:b/>
          <w:bCs/>
          <w:sz w:val="22"/>
          <w:lang w:val="es-CO"/>
        </w:rPr>
        <w:t>í</w:t>
      </w:r>
      <w:r w:rsidRPr="00C123CD">
        <w:rPr>
          <w:rFonts w:ascii="Arial" w:hAnsi="Arial" w:cs="Arial"/>
          <w:b/>
          <w:bCs/>
          <w:sz w:val="22"/>
          <w:lang w:val="es-CO"/>
        </w:rPr>
        <w:t>a Acosta Muñoz</w:t>
      </w:r>
    </w:p>
    <w:p w:rsidRPr="00C123CD" w:rsidR="00096901" w:rsidP="00E928A5" w:rsidRDefault="00EB7D36" w14:paraId="5F194906" w14:textId="3A7DD172">
      <w:pPr>
        <w:rPr>
          <w:rFonts w:ascii="Arial" w:hAnsi="Arial" w:eastAsia="Calibri" w:cs="Arial"/>
          <w:color w:val="000000" w:themeColor="text1"/>
          <w:sz w:val="22"/>
          <w:lang w:val="es-CO"/>
        </w:rPr>
      </w:pPr>
      <w:r w:rsidRPr="00C123CD">
        <w:rPr>
          <w:rFonts w:ascii="Arial" w:hAnsi="Arial" w:cs="Arial"/>
          <w:sz w:val="22"/>
          <w:lang w:val="es-CO"/>
        </w:rPr>
        <w:t>El Santuario</w:t>
      </w:r>
      <w:r w:rsidRPr="00C123CD" w:rsidR="005F4A9A">
        <w:rPr>
          <w:rFonts w:ascii="Arial" w:hAnsi="Arial" w:cs="Arial"/>
          <w:sz w:val="22"/>
          <w:lang w:val="es-CO"/>
        </w:rPr>
        <w:t xml:space="preserve">, </w:t>
      </w:r>
      <w:r w:rsidRPr="00C123CD" w:rsidR="00E95B28">
        <w:rPr>
          <w:rFonts w:ascii="Arial" w:hAnsi="Arial" w:cs="Arial"/>
          <w:sz w:val="22"/>
          <w:lang w:val="es-CO"/>
        </w:rPr>
        <w:t>Antioquia</w:t>
      </w:r>
    </w:p>
    <w:p w:rsidRPr="00C123CD" w:rsidR="004A303C" w:rsidP="00E928A5" w:rsidRDefault="004A303C" w14:paraId="537C2E2E" w14:textId="17B79AD3">
      <w:pPr>
        <w:rPr>
          <w:rFonts w:ascii="Arial" w:hAnsi="Arial" w:eastAsia="Calibri" w:cs="Arial"/>
          <w:color w:val="000000" w:themeColor="text1"/>
          <w:sz w:val="22"/>
          <w:lang w:val="es-CO"/>
        </w:rPr>
      </w:pPr>
    </w:p>
    <w:p w:rsidRPr="00C123CD" w:rsidR="00B343F3" w:rsidP="00E928A5" w:rsidRDefault="00B343F3" w14:paraId="79BB60E6" w14:textId="77777777">
      <w:pPr>
        <w:rPr>
          <w:rFonts w:ascii="Arial" w:hAnsi="Arial" w:eastAsia="Calibri" w:cs="Arial"/>
          <w:color w:val="000000" w:themeColor="text1"/>
          <w:sz w:val="22"/>
          <w:lang w:val="es-CO"/>
        </w:rPr>
      </w:pPr>
    </w:p>
    <w:p w:rsidRPr="00C123CD" w:rsidR="004A303C" w:rsidP="00E928A5" w:rsidRDefault="004A303C" w14:paraId="5E047539" w14:textId="149153B1">
      <w:pPr>
        <w:ind w:firstLine="2694"/>
        <w:outlineLvl w:val="0"/>
        <w:rPr>
          <w:rFonts w:ascii="Arial" w:hAnsi="Arial" w:eastAsia="Calibri" w:cs="Arial"/>
          <w:b/>
          <w:color w:val="000000" w:themeColor="text1"/>
          <w:sz w:val="22"/>
          <w:lang w:val="es-CO"/>
        </w:rPr>
      </w:pPr>
      <w:r w:rsidRPr="00C123CD">
        <w:rPr>
          <w:rFonts w:ascii="Arial" w:hAnsi="Arial" w:eastAsia="Calibri" w:cs="Arial"/>
          <w:b/>
          <w:color w:val="000000" w:themeColor="text1"/>
          <w:sz w:val="22"/>
          <w:lang w:val="es-CO"/>
        </w:rPr>
        <w:t xml:space="preserve">Concepto C – </w:t>
      </w:r>
      <w:r w:rsidRPr="00C123CD" w:rsidR="00F27A00">
        <w:rPr>
          <w:rFonts w:ascii="Arial" w:hAnsi="Arial" w:eastAsia="Calibri" w:cs="Arial"/>
          <w:b/>
          <w:color w:val="000000" w:themeColor="text1"/>
          <w:sz w:val="22"/>
          <w:lang w:val="es-CO"/>
        </w:rPr>
        <w:t>2</w:t>
      </w:r>
      <w:r w:rsidRPr="00C123CD" w:rsidR="00EB7D36">
        <w:rPr>
          <w:rFonts w:ascii="Arial" w:hAnsi="Arial" w:eastAsia="Calibri" w:cs="Arial"/>
          <w:b/>
          <w:color w:val="000000" w:themeColor="text1"/>
          <w:sz w:val="22"/>
          <w:lang w:val="es-CO"/>
        </w:rPr>
        <w:t>70</w:t>
      </w:r>
      <w:r w:rsidRPr="00C123CD" w:rsidR="00096901">
        <w:rPr>
          <w:rFonts w:ascii="Arial" w:hAnsi="Arial" w:eastAsia="Calibri" w:cs="Arial"/>
          <w:b/>
          <w:color w:val="000000" w:themeColor="text1"/>
          <w:sz w:val="22"/>
          <w:lang w:val="es-CO"/>
        </w:rPr>
        <w:t xml:space="preserve"> de 2021</w:t>
      </w:r>
    </w:p>
    <w:p w:rsidRPr="00C123CD" w:rsidR="004A303C" w:rsidP="00E928A5" w:rsidRDefault="004A303C" w14:paraId="6C11F5BA" w14:textId="77777777">
      <w:pPr>
        <w:rPr>
          <w:rFonts w:ascii="Arial" w:hAnsi="Arial" w:eastAsia="Calibri" w:cs="Arial"/>
          <w:color w:val="000000" w:themeColor="text1"/>
          <w:sz w:val="22"/>
          <w:lang w:val="es-CO"/>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A2803" w:rsidR="000079A6" w:rsidTr="364F65CE" w14:paraId="1A0E95A2" w14:textId="77777777">
        <w:tc>
          <w:tcPr>
            <w:tcW w:w="2689" w:type="dxa"/>
            <w:tcMar/>
            <w:hideMark/>
          </w:tcPr>
          <w:p w:rsidRPr="00C123CD" w:rsidR="004A303C" w:rsidP="00E928A5" w:rsidRDefault="004A303C" w14:paraId="080CE19A" w14:textId="77777777">
            <w:pPr>
              <w:rPr>
                <w:rFonts w:ascii="Arial" w:hAnsi="Arial" w:eastAsia="Calibri" w:cs="Arial"/>
                <w:color w:val="000000" w:themeColor="text1"/>
                <w:sz w:val="22"/>
                <w:lang w:val="es-CO"/>
              </w:rPr>
            </w:pPr>
            <w:r w:rsidRPr="00C123CD">
              <w:rPr>
                <w:rFonts w:ascii="Arial" w:hAnsi="Arial" w:eastAsia="Calibri" w:cs="Arial"/>
                <w:b/>
                <w:color w:val="000000" w:themeColor="text1"/>
                <w:sz w:val="22"/>
                <w:lang w:val="es-CO"/>
              </w:rPr>
              <w:t>Temas:</w:t>
            </w:r>
            <w:r w:rsidRPr="00C123CD">
              <w:rPr>
                <w:rFonts w:ascii="Arial" w:hAnsi="Arial" w:eastAsia="Calibri" w:cs="Arial"/>
                <w:color w:val="000000" w:themeColor="text1"/>
                <w:sz w:val="22"/>
                <w:lang w:val="es-CO"/>
              </w:rPr>
              <w:t xml:space="preserve">           </w:t>
            </w:r>
          </w:p>
          <w:p w:rsidRPr="00C123CD" w:rsidR="004A303C" w:rsidP="00E928A5" w:rsidRDefault="004A303C" w14:paraId="71377C53" w14:textId="77777777">
            <w:pPr>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 xml:space="preserve">                           </w:t>
            </w:r>
          </w:p>
        </w:tc>
        <w:tc>
          <w:tcPr>
            <w:tcW w:w="6237" w:type="dxa"/>
            <w:tcMar/>
            <w:hideMark/>
          </w:tcPr>
          <w:p w:rsidRPr="00C123CD" w:rsidR="004A303C" w:rsidP="364F65CE" w:rsidRDefault="002D14DD" w14:paraId="78A982DF" w14:textId="75436DA2">
            <w:pPr>
              <w:jc w:val="both"/>
              <w:rPr>
                <w:rFonts w:ascii="Arial" w:hAnsi="Arial" w:eastAsia="Calibri" w:cs="Arial"/>
                <w:sz w:val="22"/>
                <w:szCs w:val="22"/>
                <w:lang w:val="es-CO"/>
              </w:rPr>
            </w:pPr>
            <w:r w:rsidRPr="364F65CE" w:rsidR="002D14DD">
              <w:rPr>
                <w:rFonts w:ascii="Arial" w:hAnsi="Arial" w:eastAsia="Calibri" w:cs="Arial"/>
                <w:sz w:val="22"/>
                <w:szCs w:val="22"/>
                <w:lang w:val="es-CO"/>
              </w:rPr>
              <w:t xml:space="preserve">DOCUMENTOS TIPO </w:t>
            </w:r>
            <w:r w:rsidRPr="364F65CE" w:rsidR="002D14DD">
              <w:rPr>
                <w:rFonts w:ascii="Arial" w:hAnsi="Arial" w:eastAsia="Calibri" w:cs="Arial"/>
                <w:color w:val="000000" w:themeColor="text1" w:themeTint="FF" w:themeShade="FF"/>
                <w:sz w:val="22"/>
                <w:szCs w:val="22"/>
                <w:lang w:val="es-CO"/>
              </w:rPr>
              <w:t xml:space="preserve">– Formulario 1 – Formulario de presupuesto oficial – Función </w:t>
            </w:r>
            <w:r w:rsidRPr="364F65CE" w:rsidR="00341C82">
              <w:rPr>
                <w:rFonts w:ascii="Arial" w:hAnsi="Arial" w:eastAsia="Calibri" w:cs="Arial"/>
                <w:color w:val="000000" w:themeColor="text1" w:themeTint="FF" w:themeShade="FF"/>
                <w:sz w:val="22"/>
                <w:szCs w:val="22"/>
                <w:lang w:val="es-CO"/>
              </w:rPr>
              <w:t xml:space="preserve">/ </w:t>
            </w:r>
            <w:r w:rsidRPr="364F65CE" w:rsidR="002D14DD">
              <w:rPr>
                <w:rFonts w:ascii="Arial" w:hAnsi="Arial" w:eastAsia="Calibri" w:cs="Arial"/>
                <w:sz w:val="22"/>
                <w:szCs w:val="22"/>
                <w:lang w:val="es-CO"/>
              </w:rPr>
              <w:t xml:space="preserve">FORMULARIO 1 </w:t>
            </w:r>
            <w:r w:rsidRPr="364F65CE" w:rsidR="002D14DD">
              <w:rPr>
                <w:rFonts w:ascii="Arial" w:hAnsi="Arial" w:eastAsia="Calibri" w:cs="Arial"/>
                <w:color w:val="000000" w:themeColor="text1" w:themeTint="FF" w:themeShade="FF"/>
                <w:sz w:val="22"/>
                <w:szCs w:val="22"/>
                <w:lang w:val="es-CO"/>
              </w:rPr>
              <w:t xml:space="preserve">– </w:t>
            </w:r>
            <w:r w:rsidRPr="364F65CE" w:rsidR="002D14DD">
              <w:rPr>
                <w:rFonts w:ascii="Arial" w:hAnsi="Arial" w:eastAsia="Calibri" w:cs="Arial"/>
                <w:sz w:val="22"/>
                <w:szCs w:val="22"/>
                <w:lang w:val="es-CO"/>
              </w:rPr>
              <w:t>Oferta económica – Presentación</w:t>
            </w:r>
            <w:r w:rsidRPr="364F65CE" w:rsidR="002D14DD">
              <w:rPr>
                <w:rFonts w:ascii="Arial" w:hAnsi="Arial" w:eastAsia="Calibri" w:cs="Arial"/>
                <w:color w:val="000000" w:themeColor="text1" w:themeTint="FF" w:themeShade="FF"/>
                <w:sz w:val="22"/>
                <w:szCs w:val="22"/>
                <w:lang w:val="es-CO"/>
              </w:rPr>
              <w:t xml:space="preserve"> </w:t>
            </w:r>
            <w:r w:rsidRPr="364F65CE" w:rsidR="00903B2A">
              <w:rPr>
                <w:rFonts w:ascii="Arial" w:hAnsi="Arial" w:eastAsia="Calibri" w:cs="Arial"/>
                <w:color w:val="000000" w:themeColor="text1" w:themeTint="FF" w:themeShade="FF"/>
                <w:sz w:val="22"/>
                <w:szCs w:val="22"/>
                <w:lang w:val="es-CO"/>
              </w:rPr>
              <w:t xml:space="preserve">/ </w:t>
            </w:r>
            <w:r w:rsidRPr="364F65CE" w:rsidR="002D14DD">
              <w:rPr>
                <w:rFonts w:ascii="Arial" w:hAnsi="Arial" w:eastAsia="Calibri" w:cs="Arial"/>
                <w:sz w:val="22"/>
                <w:szCs w:val="22"/>
                <w:lang w:val="es-CO"/>
              </w:rPr>
              <w:t xml:space="preserve">LEY DE EMPRENDIMIENTO </w:t>
            </w:r>
            <w:r w:rsidRPr="364F65CE" w:rsidR="002D14DD">
              <w:rPr>
                <w:rFonts w:ascii="Arial" w:hAnsi="Arial" w:eastAsia="Calibri" w:cs="Arial"/>
                <w:color w:val="000000" w:themeColor="text1" w:themeTint="FF" w:themeShade="FF"/>
                <w:sz w:val="22"/>
                <w:szCs w:val="22"/>
                <w:lang w:val="es-CO"/>
              </w:rPr>
              <w:t>–</w:t>
            </w:r>
            <w:r w:rsidRPr="364F65CE" w:rsidR="002D14DD">
              <w:rPr>
                <w:rFonts w:ascii="Arial" w:hAnsi="Arial" w:eastAsia="Calibri" w:cs="Arial"/>
                <w:sz w:val="22"/>
                <w:szCs w:val="22"/>
                <w:lang w:val="es-CO"/>
              </w:rPr>
              <w:t xml:space="preserve"> Ley 2069 de 2020 </w:t>
            </w:r>
            <w:r w:rsidRPr="364F65CE" w:rsidR="002D14DD">
              <w:rPr>
                <w:rFonts w:ascii="Arial" w:hAnsi="Arial" w:eastAsia="Calibri" w:cs="Arial"/>
                <w:color w:val="000000" w:themeColor="text1" w:themeTint="FF" w:themeShade="FF"/>
                <w:sz w:val="22"/>
                <w:szCs w:val="22"/>
                <w:lang w:val="es-CO"/>
              </w:rPr>
              <w:t xml:space="preserve">– Vigencia </w:t>
            </w:r>
            <w:r w:rsidRPr="364F65CE" w:rsidR="00AD063C">
              <w:rPr>
                <w:rFonts w:ascii="Arial" w:hAnsi="Arial" w:eastAsia="Calibri" w:cs="Arial"/>
                <w:color w:val="000000" w:themeColor="text1" w:themeTint="FF" w:themeShade="FF"/>
                <w:sz w:val="22"/>
                <w:szCs w:val="22"/>
                <w:lang w:val="es-CO"/>
              </w:rPr>
              <w:t xml:space="preserve">/ </w:t>
            </w:r>
            <w:r w:rsidRPr="364F65CE" w:rsidR="6E44D491">
              <w:rPr>
                <w:rFonts w:ascii="Arial" w:hAnsi="Arial" w:eastAsia="Calibri" w:cs="Arial"/>
                <w:color w:val="000000" w:themeColor="text1" w:themeTint="FF" w:themeShade="FF"/>
                <w:sz w:val="22"/>
                <w:szCs w:val="22"/>
                <w:lang w:val="es-CO"/>
              </w:rPr>
              <w:t>M</w:t>
            </w:r>
            <w:r w:rsidRPr="364F65CE" w:rsidR="002D14DD">
              <w:rPr>
                <w:rFonts w:ascii="Arial" w:hAnsi="Arial" w:eastAsia="Calibri" w:cs="Arial"/>
                <w:sz w:val="22"/>
                <w:szCs w:val="22"/>
                <w:lang w:val="es-CO"/>
              </w:rPr>
              <w:t xml:space="preserve">IPYMES </w:t>
            </w:r>
            <w:r w:rsidRPr="364F65CE" w:rsidR="002D14DD">
              <w:rPr>
                <w:rFonts w:ascii="Arial" w:hAnsi="Arial" w:eastAsia="Calibri" w:cs="Arial"/>
                <w:color w:val="000000" w:themeColor="text1" w:themeTint="FF" w:themeShade="FF"/>
                <w:sz w:val="22"/>
                <w:szCs w:val="22"/>
                <w:lang w:val="es-CO"/>
              </w:rPr>
              <w:t>–</w:t>
            </w:r>
            <w:r w:rsidRPr="364F65CE" w:rsidR="002D14DD">
              <w:rPr>
                <w:rFonts w:ascii="Arial" w:hAnsi="Arial" w:eastAsia="Calibri" w:cs="Arial"/>
                <w:sz w:val="22"/>
                <w:szCs w:val="22"/>
                <w:lang w:val="es-CO"/>
              </w:rPr>
              <w:t xml:space="preserve"> Ley 2069 </w:t>
            </w:r>
            <w:r w:rsidRPr="364F65CE" w:rsidR="002D14DD">
              <w:rPr>
                <w:rFonts w:ascii="Arial" w:hAnsi="Arial" w:eastAsia="Calibri" w:cs="Arial"/>
                <w:color w:val="000000" w:themeColor="text1" w:themeTint="FF" w:themeShade="FF"/>
                <w:sz w:val="22"/>
                <w:szCs w:val="22"/>
                <w:lang w:val="es-CO"/>
              </w:rPr>
              <w:t xml:space="preserve">– Artículo 34 – Convocatorias limitadas – Vigencia </w:t>
            </w:r>
          </w:p>
        </w:tc>
      </w:tr>
      <w:tr w:rsidRPr="009A2803" w:rsidR="000079A6" w:rsidTr="364F65CE" w14:paraId="4A23AD64" w14:textId="77777777">
        <w:trPr>
          <w:trHeight w:val="74"/>
        </w:trPr>
        <w:tc>
          <w:tcPr>
            <w:tcW w:w="2689" w:type="dxa"/>
            <w:tcMar/>
          </w:tcPr>
          <w:p w:rsidRPr="00C123CD" w:rsidR="004A303C" w:rsidP="00E928A5" w:rsidRDefault="004A303C" w14:paraId="3C8F1BA1" w14:textId="77777777">
            <w:pPr>
              <w:spacing w:before="120"/>
              <w:rPr>
                <w:rFonts w:ascii="Arial" w:hAnsi="Arial" w:eastAsia="Calibri" w:cs="Arial"/>
                <w:b/>
                <w:color w:val="000000" w:themeColor="text1"/>
                <w:sz w:val="22"/>
                <w:lang w:val="es-CO"/>
              </w:rPr>
            </w:pPr>
            <w:r w:rsidRPr="00C123CD">
              <w:rPr>
                <w:rFonts w:ascii="Arial" w:hAnsi="Arial" w:eastAsia="Calibri" w:cs="Arial"/>
                <w:b/>
                <w:color w:val="000000" w:themeColor="text1"/>
                <w:sz w:val="22"/>
                <w:lang w:val="es-CO"/>
              </w:rPr>
              <w:t>Radicación:</w:t>
            </w:r>
            <w:r w:rsidRPr="00C123CD">
              <w:rPr>
                <w:rFonts w:ascii="Arial" w:hAnsi="Arial" w:eastAsia="Calibri" w:cs="Arial"/>
                <w:color w:val="000000" w:themeColor="text1"/>
                <w:sz w:val="22"/>
                <w:lang w:val="es-CO"/>
              </w:rPr>
              <w:t xml:space="preserve">                              </w:t>
            </w:r>
          </w:p>
        </w:tc>
        <w:tc>
          <w:tcPr>
            <w:tcW w:w="6237" w:type="dxa"/>
            <w:tcMar/>
          </w:tcPr>
          <w:p w:rsidRPr="00C123CD" w:rsidR="004A303C" w:rsidP="00096901" w:rsidRDefault="004A303C" w14:paraId="5923B6AB" w14:textId="064651AF">
            <w:pPr>
              <w:spacing w:before="120"/>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Respuesta a consulta</w:t>
            </w:r>
            <w:r w:rsidRPr="00C123CD" w:rsidR="009413FD">
              <w:rPr>
                <w:rFonts w:ascii="Arial" w:hAnsi="Arial" w:eastAsia="Calibri" w:cs="Arial"/>
                <w:color w:val="000000" w:themeColor="text1"/>
                <w:sz w:val="22"/>
                <w:lang w:val="es-CO"/>
              </w:rPr>
              <w:t xml:space="preserve"> </w:t>
            </w:r>
            <w:r w:rsidRPr="00C123CD" w:rsidR="00EB7D36">
              <w:rPr>
                <w:rFonts w:ascii="Arial" w:hAnsi="Arial" w:eastAsia="Calibri" w:cs="Arial"/>
                <w:color w:val="000000" w:themeColor="text1"/>
                <w:sz w:val="22"/>
                <w:lang w:val="es-CO"/>
              </w:rPr>
              <w:t>P20210423003434</w:t>
            </w:r>
          </w:p>
        </w:tc>
      </w:tr>
    </w:tbl>
    <w:p w:rsidRPr="00C123CD" w:rsidR="00D41D56" w:rsidP="00C123CD" w:rsidRDefault="00D41D56" w14:paraId="2B7B4722" w14:textId="5C44ED66">
      <w:pPr>
        <w:rPr>
          <w:rFonts w:ascii="Arial" w:hAnsi="Arial" w:eastAsia="Calibri" w:cs="Arial"/>
          <w:color w:val="000000" w:themeColor="text1"/>
          <w:sz w:val="22"/>
          <w:lang w:val="es-CO"/>
        </w:rPr>
      </w:pPr>
    </w:p>
    <w:p w:rsidRPr="00C123CD" w:rsidR="004302E9" w:rsidP="00C123CD" w:rsidRDefault="004302E9" w14:paraId="5B5442B6" w14:textId="77777777">
      <w:pPr>
        <w:rPr>
          <w:rFonts w:ascii="Arial" w:hAnsi="Arial" w:eastAsia="Calibri" w:cs="Arial"/>
          <w:color w:val="000000" w:themeColor="text1"/>
          <w:sz w:val="22"/>
          <w:lang w:val="es-CO"/>
        </w:rPr>
      </w:pPr>
    </w:p>
    <w:p w:rsidRPr="00C123CD" w:rsidR="00BE151C" w:rsidP="004302E9" w:rsidRDefault="00EB7D36" w14:paraId="5A323A09" w14:textId="342E0BC0">
      <w:pPr>
        <w:spacing w:line="276" w:lineRule="auto"/>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Estimada s</w:t>
      </w:r>
      <w:r w:rsidRPr="00C123CD" w:rsidR="00F27A00">
        <w:rPr>
          <w:rFonts w:ascii="Arial" w:hAnsi="Arial" w:eastAsia="Calibri" w:cs="Arial"/>
          <w:color w:val="000000" w:themeColor="text1"/>
          <w:sz w:val="22"/>
          <w:lang w:val="es-CO"/>
        </w:rPr>
        <w:t>eñor</w:t>
      </w:r>
      <w:r w:rsidRPr="00C123CD">
        <w:rPr>
          <w:rFonts w:ascii="Arial" w:hAnsi="Arial" w:eastAsia="Calibri" w:cs="Arial"/>
          <w:color w:val="000000" w:themeColor="text1"/>
          <w:sz w:val="22"/>
          <w:lang w:val="es-CO"/>
        </w:rPr>
        <w:t>a Acosta:</w:t>
      </w:r>
    </w:p>
    <w:p w:rsidRPr="00C123CD" w:rsidR="004302E9" w:rsidP="004302E9" w:rsidRDefault="004302E9" w14:paraId="5D535C7E" w14:textId="77777777">
      <w:pPr>
        <w:spacing w:line="276" w:lineRule="auto"/>
        <w:rPr>
          <w:rFonts w:ascii="Arial" w:hAnsi="Arial" w:eastAsia="Calibri" w:cs="Arial"/>
          <w:color w:val="000000" w:themeColor="text1"/>
          <w:sz w:val="22"/>
          <w:lang w:val="es-CO"/>
        </w:rPr>
      </w:pPr>
    </w:p>
    <w:p w:rsidRPr="00C123CD" w:rsidR="00365097" w:rsidP="00BE151C" w:rsidRDefault="004A303C" w14:paraId="687A4976" w14:textId="4C9FB91F">
      <w:pPr>
        <w:spacing w:line="276" w:lineRule="auto"/>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En ejercicio de la competencia otorgada p</w:t>
      </w:r>
      <w:r w:rsidRPr="00C123CD" w:rsidR="004213D4">
        <w:rPr>
          <w:rFonts w:ascii="Arial" w:hAnsi="Arial" w:eastAsia="Calibri" w:cs="Arial"/>
          <w:color w:val="000000" w:themeColor="text1"/>
          <w:sz w:val="22"/>
          <w:lang w:val="es-CO"/>
        </w:rPr>
        <w:t xml:space="preserve">or </w:t>
      </w:r>
      <w:r w:rsidRPr="00C123CD" w:rsidR="00622C6E">
        <w:rPr>
          <w:rFonts w:ascii="Arial" w:hAnsi="Arial" w:eastAsia="Calibri" w:cs="Arial"/>
          <w:color w:val="000000" w:themeColor="text1"/>
          <w:sz w:val="22"/>
          <w:lang w:val="es-CO"/>
        </w:rPr>
        <w:t>el numeral 8 del artículo 11 y el numeral 5 del artículo</w:t>
      </w:r>
      <w:r w:rsidRPr="00C123CD" w:rsidR="00096901">
        <w:rPr>
          <w:rFonts w:ascii="Arial" w:hAnsi="Arial" w:eastAsia="Calibri" w:cs="Arial"/>
          <w:color w:val="000000" w:themeColor="text1"/>
          <w:sz w:val="22"/>
          <w:lang w:val="es-CO"/>
        </w:rPr>
        <w:t xml:space="preserve"> 3</w:t>
      </w:r>
      <w:r w:rsidRPr="00C123CD" w:rsidR="00622C6E">
        <w:rPr>
          <w:rFonts w:ascii="Arial" w:hAnsi="Arial" w:eastAsia="Calibri" w:cs="Arial"/>
          <w:color w:val="000000" w:themeColor="text1"/>
          <w:sz w:val="22"/>
          <w:lang w:val="es-CO"/>
        </w:rPr>
        <w:t xml:space="preserve"> </w:t>
      </w:r>
      <w:r w:rsidRPr="00C123CD">
        <w:rPr>
          <w:rFonts w:ascii="Arial" w:hAnsi="Arial" w:eastAsia="Calibri" w:cs="Arial"/>
          <w:color w:val="000000" w:themeColor="text1"/>
          <w:sz w:val="22"/>
          <w:lang w:val="es-CO"/>
        </w:rPr>
        <w:t>del Decreto Ley 4170 de 2011, la Agencia Nacional de Contratación Pública − Colombia Compra Eficiente responde su consulta del</w:t>
      </w:r>
      <w:r w:rsidRPr="00C123CD" w:rsidR="001C4C5C">
        <w:rPr>
          <w:rFonts w:ascii="Arial" w:hAnsi="Arial" w:eastAsia="Calibri" w:cs="Arial"/>
          <w:color w:val="000000" w:themeColor="text1"/>
          <w:sz w:val="22"/>
          <w:lang w:val="es-CO"/>
        </w:rPr>
        <w:t xml:space="preserve"> </w:t>
      </w:r>
      <w:r w:rsidRPr="00C123CD" w:rsidR="00EB7D36">
        <w:rPr>
          <w:rFonts w:ascii="Arial" w:hAnsi="Arial" w:eastAsia="Calibri" w:cs="Arial"/>
          <w:color w:val="000000" w:themeColor="text1"/>
          <w:sz w:val="22"/>
          <w:lang w:val="es-CO"/>
        </w:rPr>
        <w:t>23</w:t>
      </w:r>
      <w:r w:rsidRPr="00C123CD" w:rsidR="007164FE">
        <w:rPr>
          <w:rFonts w:ascii="Arial" w:hAnsi="Arial" w:eastAsia="Calibri" w:cs="Arial"/>
          <w:color w:val="000000" w:themeColor="text1"/>
          <w:sz w:val="22"/>
          <w:lang w:val="es-CO"/>
        </w:rPr>
        <w:t xml:space="preserve"> </w:t>
      </w:r>
      <w:r w:rsidRPr="00C123CD">
        <w:rPr>
          <w:rFonts w:ascii="Arial" w:hAnsi="Arial" w:eastAsia="Calibri" w:cs="Arial"/>
          <w:color w:val="000000" w:themeColor="text1"/>
          <w:sz w:val="22"/>
          <w:lang w:val="es-CO"/>
        </w:rPr>
        <w:t xml:space="preserve">de </w:t>
      </w:r>
      <w:r w:rsidRPr="00C123CD" w:rsidR="001C4C5C">
        <w:rPr>
          <w:rFonts w:ascii="Arial" w:hAnsi="Arial" w:eastAsia="Calibri" w:cs="Arial"/>
          <w:color w:val="000000" w:themeColor="text1"/>
          <w:sz w:val="22"/>
          <w:lang w:val="es-CO"/>
        </w:rPr>
        <w:t>abril</w:t>
      </w:r>
      <w:r w:rsidRPr="00C123CD">
        <w:rPr>
          <w:rFonts w:ascii="Arial" w:hAnsi="Arial" w:eastAsia="Calibri" w:cs="Arial"/>
          <w:color w:val="000000" w:themeColor="text1"/>
          <w:sz w:val="22"/>
          <w:lang w:val="es-CO"/>
        </w:rPr>
        <w:t xml:space="preserve"> de 202</w:t>
      </w:r>
      <w:r w:rsidRPr="00C123CD" w:rsidR="00B5626A">
        <w:rPr>
          <w:rFonts w:ascii="Arial" w:hAnsi="Arial" w:eastAsia="Calibri" w:cs="Arial"/>
          <w:color w:val="000000" w:themeColor="text1"/>
          <w:sz w:val="22"/>
          <w:lang w:val="es-CO"/>
        </w:rPr>
        <w:t>1</w:t>
      </w:r>
      <w:r w:rsidRPr="00C123CD" w:rsidR="00861ADD">
        <w:rPr>
          <w:rFonts w:ascii="Arial" w:hAnsi="Arial" w:eastAsia="Calibri" w:cs="Arial"/>
          <w:color w:val="000000" w:themeColor="text1"/>
          <w:sz w:val="22"/>
          <w:lang w:val="es-CO"/>
        </w:rPr>
        <w:t xml:space="preserve">. </w:t>
      </w:r>
    </w:p>
    <w:p w:rsidRPr="00C123CD" w:rsidR="00BE151C" w:rsidP="007D0174" w:rsidRDefault="00BE151C" w14:paraId="207ACBC2" w14:textId="77777777">
      <w:pPr>
        <w:spacing w:line="276" w:lineRule="auto"/>
        <w:jc w:val="both"/>
        <w:rPr>
          <w:rFonts w:ascii="Arial" w:hAnsi="Arial" w:eastAsia="Calibri" w:cs="Arial"/>
          <w:color w:val="000000" w:themeColor="text1"/>
          <w:sz w:val="22"/>
          <w:lang w:val="es-CO"/>
        </w:rPr>
      </w:pPr>
    </w:p>
    <w:p w:rsidRPr="00C123CD" w:rsidR="00091741" w:rsidP="00C30BDE" w:rsidRDefault="00C30BDE" w14:paraId="63C44639" w14:textId="7DAFE678">
      <w:pPr>
        <w:tabs>
          <w:tab w:val="left" w:pos="284"/>
        </w:tabs>
        <w:spacing w:line="276" w:lineRule="auto"/>
        <w:jc w:val="both"/>
        <w:rPr>
          <w:rFonts w:ascii="Arial" w:hAnsi="Arial" w:eastAsia="Calibri" w:cs="Arial"/>
          <w:b/>
          <w:color w:val="000000" w:themeColor="text1"/>
          <w:sz w:val="22"/>
          <w:lang w:val="es-CO"/>
        </w:rPr>
      </w:pPr>
      <w:r w:rsidRPr="00C123CD">
        <w:rPr>
          <w:rFonts w:ascii="Arial" w:hAnsi="Arial" w:eastAsia="Calibri" w:cs="Arial"/>
          <w:b/>
          <w:color w:val="000000" w:themeColor="text1"/>
          <w:sz w:val="22"/>
          <w:lang w:val="es-CO"/>
        </w:rPr>
        <w:t xml:space="preserve">1. </w:t>
      </w:r>
      <w:r w:rsidRPr="00C123CD" w:rsidR="004A303C">
        <w:rPr>
          <w:rFonts w:ascii="Arial" w:hAnsi="Arial" w:eastAsia="Calibri" w:cs="Arial"/>
          <w:b/>
          <w:color w:val="000000" w:themeColor="text1"/>
          <w:sz w:val="22"/>
          <w:lang w:val="es-CO"/>
        </w:rPr>
        <w:t xml:space="preserve">Problemas planteados </w:t>
      </w:r>
    </w:p>
    <w:p w:rsidRPr="00C123CD" w:rsidR="00EB7D36" w:rsidP="00AF7F1C" w:rsidRDefault="00EB7D36" w14:paraId="3ADB63E0" w14:textId="77777777">
      <w:pPr>
        <w:pStyle w:val="NormalWeb"/>
        <w:shd w:val="clear" w:color="auto" w:fill="FFFFFF"/>
        <w:spacing w:before="0" w:beforeAutospacing="0" w:after="0" w:afterAutospacing="0" w:line="276" w:lineRule="auto"/>
        <w:jc w:val="both"/>
        <w:rPr>
          <w:rFonts w:ascii="Arial" w:hAnsi="Arial" w:eastAsia="Calibri" w:cs="Arial"/>
          <w:color w:val="000000" w:themeColor="text1"/>
          <w:sz w:val="22"/>
          <w:szCs w:val="22"/>
          <w:lang w:val="es-CO"/>
        </w:rPr>
      </w:pPr>
    </w:p>
    <w:p w:rsidRPr="00C123CD" w:rsidR="00C30BDE" w:rsidP="00C123CD" w:rsidRDefault="00EB7D36" w14:paraId="564CEFFA" w14:textId="14264B2D">
      <w:pPr>
        <w:spacing w:line="276" w:lineRule="auto"/>
        <w:jc w:val="both"/>
        <w:rPr>
          <w:rFonts w:ascii="Arial" w:hAnsi="Arial" w:eastAsia="Times New Roman" w:cs="Arial"/>
          <w:color w:val="000000" w:themeColor="text1"/>
          <w:sz w:val="22"/>
          <w:lang w:val="es-CO" w:eastAsia="es-ES_tradnl"/>
        </w:rPr>
      </w:pPr>
      <w:r w:rsidRPr="00C123CD">
        <w:rPr>
          <w:rFonts w:ascii="Arial" w:hAnsi="Arial" w:eastAsia="Times New Roman" w:cs="Arial"/>
          <w:color w:val="000000" w:themeColor="text1"/>
          <w:sz w:val="22"/>
          <w:lang w:val="es-CO" w:eastAsia="es-ES_tradnl"/>
        </w:rPr>
        <w:t xml:space="preserve">Sobre el </w:t>
      </w:r>
      <w:r w:rsidRPr="00C123CD" w:rsidR="005F4A9A">
        <w:rPr>
          <w:rFonts w:ascii="Arial" w:hAnsi="Arial" w:eastAsia="Times New Roman" w:cs="Arial"/>
          <w:color w:val="000000" w:themeColor="text1"/>
          <w:sz w:val="22"/>
          <w:lang w:val="es-CO" w:eastAsia="es-ES_tradnl"/>
        </w:rPr>
        <w:t xml:space="preserve">«Formulario 1 - Formulario de Presupuesto Oficial» </w:t>
      </w:r>
      <w:r w:rsidRPr="00C123CD">
        <w:rPr>
          <w:rFonts w:ascii="Arial" w:hAnsi="Arial" w:eastAsia="Times New Roman" w:cs="Arial"/>
          <w:color w:val="000000" w:themeColor="text1"/>
          <w:sz w:val="22"/>
          <w:lang w:val="es-CO" w:eastAsia="es-ES_tradnl"/>
        </w:rPr>
        <w:t>de</w:t>
      </w:r>
      <w:r w:rsidR="00D63CF2">
        <w:rPr>
          <w:rFonts w:ascii="Arial" w:hAnsi="Arial" w:eastAsia="Times New Roman" w:cs="Arial"/>
          <w:color w:val="000000" w:themeColor="text1"/>
          <w:sz w:val="22"/>
          <w:lang w:val="es-CO" w:eastAsia="es-ES_tradnl"/>
        </w:rPr>
        <w:t xml:space="preserve"> los</w:t>
      </w:r>
      <w:r w:rsidRPr="00C123CD">
        <w:rPr>
          <w:rFonts w:ascii="Arial" w:hAnsi="Arial" w:eastAsia="Times New Roman" w:cs="Arial"/>
          <w:color w:val="000000" w:themeColor="text1"/>
          <w:sz w:val="22"/>
          <w:lang w:val="es-CO" w:eastAsia="es-ES_tradnl"/>
        </w:rPr>
        <w:t xml:space="preserve"> </w:t>
      </w:r>
      <w:r w:rsidR="00D63CF2">
        <w:rPr>
          <w:rFonts w:ascii="Arial" w:hAnsi="Arial" w:eastAsia="Times New Roman" w:cs="Arial"/>
          <w:color w:val="000000" w:themeColor="text1"/>
          <w:sz w:val="22"/>
          <w:lang w:val="es-CO" w:eastAsia="es-ES_tradnl"/>
        </w:rPr>
        <w:t>«D</w:t>
      </w:r>
      <w:r w:rsidRPr="00C123CD" w:rsidR="005F4A9A">
        <w:rPr>
          <w:rFonts w:ascii="Arial" w:hAnsi="Arial" w:eastAsia="Times New Roman" w:cs="Arial"/>
          <w:color w:val="000000" w:themeColor="text1"/>
          <w:sz w:val="22"/>
          <w:lang w:val="es-CO" w:eastAsia="es-ES_tradnl"/>
        </w:rPr>
        <w:t>ocumento</w:t>
      </w:r>
      <w:r w:rsidRPr="00C123CD">
        <w:rPr>
          <w:rFonts w:ascii="Arial" w:hAnsi="Arial" w:eastAsia="Times New Roman" w:cs="Arial"/>
          <w:color w:val="000000" w:themeColor="text1"/>
          <w:sz w:val="22"/>
          <w:lang w:val="es-CO" w:eastAsia="es-ES_tradnl"/>
        </w:rPr>
        <w:t xml:space="preserve"> </w:t>
      </w:r>
      <w:r w:rsidR="00D63CF2">
        <w:rPr>
          <w:rFonts w:ascii="Arial" w:hAnsi="Arial" w:eastAsia="Times New Roman" w:cs="Arial"/>
          <w:color w:val="000000" w:themeColor="text1"/>
          <w:sz w:val="22"/>
          <w:lang w:val="es-CO" w:eastAsia="es-ES_tradnl"/>
        </w:rPr>
        <w:t>T</w:t>
      </w:r>
      <w:r w:rsidRPr="00C123CD">
        <w:rPr>
          <w:rFonts w:ascii="Arial" w:hAnsi="Arial" w:eastAsia="Times New Roman" w:cs="Arial"/>
          <w:color w:val="000000" w:themeColor="text1"/>
          <w:sz w:val="22"/>
          <w:lang w:val="es-CO" w:eastAsia="es-ES_tradnl"/>
        </w:rPr>
        <w:t>ipo</w:t>
      </w:r>
      <w:r w:rsidR="00D63CF2">
        <w:rPr>
          <w:rFonts w:ascii="Arial" w:hAnsi="Arial" w:eastAsia="Times New Roman" w:cs="Arial"/>
          <w:color w:val="000000" w:themeColor="text1"/>
          <w:sz w:val="22"/>
          <w:lang w:val="es-CO" w:eastAsia="es-ES_tradnl"/>
        </w:rPr>
        <w:t xml:space="preserve"> – Versión 3»</w:t>
      </w:r>
      <w:r w:rsidRPr="00C123CD">
        <w:rPr>
          <w:rFonts w:ascii="Arial" w:hAnsi="Arial" w:eastAsia="Times New Roman" w:cs="Arial"/>
          <w:color w:val="000000" w:themeColor="text1"/>
          <w:sz w:val="22"/>
          <w:lang w:val="es-CO" w:eastAsia="es-ES_tradnl"/>
        </w:rPr>
        <w:t xml:space="preserve"> de</w:t>
      </w:r>
      <w:r w:rsidR="00572C59">
        <w:rPr>
          <w:rFonts w:ascii="Arial" w:hAnsi="Arial" w:eastAsia="Times New Roman" w:cs="Arial"/>
          <w:color w:val="000000" w:themeColor="text1"/>
          <w:sz w:val="22"/>
          <w:lang w:val="es-CO" w:eastAsia="es-ES_tradnl"/>
        </w:rPr>
        <w:t xml:space="preserve"> licitación de obra pública de</w:t>
      </w:r>
      <w:r w:rsidRPr="00C123CD">
        <w:rPr>
          <w:rFonts w:ascii="Arial" w:hAnsi="Arial" w:eastAsia="Times New Roman" w:cs="Arial"/>
          <w:color w:val="000000" w:themeColor="text1"/>
          <w:sz w:val="22"/>
          <w:lang w:val="es-CO" w:eastAsia="es-ES_tradnl"/>
        </w:rPr>
        <w:t xml:space="preserve"> infraestructura de transporte, usted </w:t>
      </w:r>
      <w:r w:rsidR="00572C59">
        <w:rPr>
          <w:rFonts w:ascii="Arial" w:hAnsi="Arial" w:eastAsia="Times New Roman" w:cs="Arial"/>
          <w:color w:val="000000" w:themeColor="text1"/>
          <w:sz w:val="22"/>
          <w:lang w:val="es-CO" w:eastAsia="es-ES_tradnl"/>
        </w:rPr>
        <w:t>realiza</w:t>
      </w:r>
      <w:r w:rsidRPr="00C123CD" w:rsidR="00572C59">
        <w:rPr>
          <w:rFonts w:ascii="Arial" w:hAnsi="Arial" w:eastAsia="Times New Roman" w:cs="Arial"/>
          <w:color w:val="000000" w:themeColor="text1"/>
          <w:sz w:val="22"/>
          <w:lang w:val="es-CO" w:eastAsia="es-ES_tradnl"/>
        </w:rPr>
        <w:t xml:space="preserve"> </w:t>
      </w:r>
      <w:r w:rsidRPr="00C123CD">
        <w:rPr>
          <w:rFonts w:ascii="Arial" w:hAnsi="Arial" w:eastAsia="Times New Roman" w:cs="Arial"/>
          <w:color w:val="000000" w:themeColor="text1"/>
          <w:sz w:val="22"/>
          <w:lang w:val="es-CO" w:eastAsia="es-ES_tradnl"/>
        </w:rPr>
        <w:t>la siguiente pregunta: «¿Cuál de las pestañas es la indicada para que proponente presente su propuesta económica en la licitación que participa?».</w:t>
      </w:r>
      <w:r w:rsidR="00572C59">
        <w:rPr>
          <w:rFonts w:ascii="Arial" w:hAnsi="Arial" w:eastAsia="Times New Roman" w:cs="Arial"/>
          <w:color w:val="000000" w:themeColor="text1"/>
          <w:sz w:val="22"/>
          <w:lang w:val="es-CO" w:eastAsia="es-ES_tradnl"/>
        </w:rPr>
        <w:t xml:space="preserve"> </w:t>
      </w:r>
      <w:r w:rsidRPr="00C123CD">
        <w:rPr>
          <w:rFonts w:ascii="Arial" w:hAnsi="Arial" w:eastAsia="Times New Roman" w:cs="Arial"/>
          <w:color w:val="000000" w:themeColor="text1"/>
          <w:sz w:val="22"/>
          <w:lang w:val="es-CO" w:eastAsia="es-ES_tradnl"/>
        </w:rPr>
        <w:t>Adicionalmente, sobre las convocatorias de los procesos de contratación limitada a mipyme, pregunta lo siguiente: «¿A pesar de la expedición de la Ley 2096 de 2020 es posible limitar los procesos contractuales a mipymes a la luz de la ley 1150 y el decreto 1082?»</w:t>
      </w:r>
    </w:p>
    <w:p w:rsidRPr="00C123CD" w:rsidR="00EE0087" w:rsidP="002D14DD" w:rsidRDefault="00EE0087" w14:paraId="134AEF39" w14:textId="77777777">
      <w:pPr>
        <w:pStyle w:val="NormalWeb"/>
        <w:shd w:val="clear" w:color="auto" w:fill="FFFFFF"/>
        <w:spacing w:before="0" w:beforeAutospacing="0" w:after="0" w:afterAutospacing="0" w:line="276" w:lineRule="auto"/>
        <w:ind w:right="709"/>
        <w:jc w:val="both"/>
        <w:rPr>
          <w:rFonts w:ascii="Arial" w:hAnsi="Arial" w:eastAsia="Calibri" w:cs="Arial"/>
          <w:color w:val="000000" w:themeColor="text1"/>
          <w:sz w:val="22"/>
          <w:lang w:val="es-CO"/>
        </w:rPr>
      </w:pPr>
    </w:p>
    <w:p w:rsidRPr="00C123CD" w:rsidR="00E02237" w:rsidP="00CF2E88" w:rsidRDefault="008D5223" w14:paraId="32B9127B" w14:textId="28A0EAAB">
      <w:pPr>
        <w:pStyle w:val="Prrafodelista"/>
        <w:tabs>
          <w:tab w:val="left" w:pos="284"/>
        </w:tabs>
        <w:spacing w:line="276" w:lineRule="auto"/>
        <w:ind w:left="0"/>
        <w:jc w:val="both"/>
        <w:rPr>
          <w:rFonts w:ascii="Arial" w:hAnsi="Arial" w:eastAsia="Calibri" w:cs="Arial"/>
          <w:b/>
          <w:color w:val="000000" w:themeColor="text1"/>
          <w:sz w:val="22"/>
          <w:lang w:val="es-CO"/>
        </w:rPr>
      </w:pPr>
      <w:r w:rsidRPr="00C123CD">
        <w:rPr>
          <w:rFonts w:ascii="Arial" w:hAnsi="Arial" w:eastAsia="Calibri" w:cs="Arial"/>
          <w:b/>
          <w:color w:val="000000" w:themeColor="text1"/>
          <w:sz w:val="22"/>
          <w:lang w:val="es-CO"/>
        </w:rPr>
        <w:t xml:space="preserve">2. </w:t>
      </w:r>
      <w:r w:rsidRPr="00C123CD" w:rsidR="007D0174">
        <w:rPr>
          <w:rFonts w:ascii="Arial" w:hAnsi="Arial" w:eastAsia="Calibri" w:cs="Arial"/>
          <w:b/>
          <w:color w:val="000000" w:themeColor="text1"/>
          <w:sz w:val="22"/>
          <w:lang w:val="es-CO"/>
        </w:rPr>
        <w:t>Consideraciones</w:t>
      </w:r>
      <w:r w:rsidRPr="00C123CD" w:rsidR="00E02237">
        <w:rPr>
          <w:rFonts w:ascii="Arial" w:hAnsi="Arial" w:eastAsia="Calibri" w:cs="Arial"/>
          <w:b/>
          <w:color w:val="000000" w:themeColor="text1"/>
          <w:sz w:val="22"/>
          <w:lang w:val="es-CO"/>
        </w:rPr>
        <w:t xml:space="preserve"> </w:t>
      </w:r>
    </w:p>
    <w:p w:rsidRPr="00C123CD" w:rsidR="00E02237" w:rsidP="00AF7F1C" w:rsidRDefault="00E02237" w14:paraId="0106C99C" w14:textId="77777777">
      <w:pPr>
        <w:pStyle w:val="Prrafodelista"/>
        <w:tabs>
          <w:tab w:val="left" w:pos="284"/>
        </w:tabs>
        <w:ind w:left="0"/>
        <w:jc w:val="both"/>
        <w:rPr>
          <w:rFonts w:ascii="Arial" w:hAnsi="Arial" w:eastAsia="Calibri" w:cs="Arial"/>
          <w:b/>
          <w:color w:val="000000" w:themeColor="text1"/>
          <w:sz w:val="22"/>
          <w:lang w:val="es-CO"/>
        </w:rPr>
      </w:pPr>
    </w:p>
    <w:p w:rsidRPr="009A2803" w:rsidR="00886D92" w:rsidP="0027211F" w:rsidRDefault="000E2C4F" w14:paraId="4F667FCC" w14:textId="6A90A126">
      <w:pPr>
        <w:spacing w:line="276" w:lineRule="auto"/>
        <w:jc w:val="both"/>
        <w:rPr>
          <w:rFonts w:ascii="Arial" w:hAnsi="Arial" w:eastAsia="Times New Roman" w:cs="Arial"/>
          <w:color w:val="000000" w:themeColor="text1"/>
          <w:sz w:val="22"/>
          <w:lang w:val="es-CO" w:eastAsia="es-ES_tradnl"/>
        </w:rPr>
      </w:pPr>
      <w:r w:rsidRPr="00C123CD">
        <w:rPr>
          <w:rFonts w:ascii="Arial" w:hAnsi="Arial" w:eastAsia="Times New Roman" w:cs="Arial"/>
          <w:color w:val="000000" w:themeColor="text1"/>
          <w:sz w:val="22"/>
          <w:lang w:val="es-CO" w:eastAsia="es-ES_tradnl"/>
        </w:rPr>
        <w:lastRenderedPageBreak/>
        <w:t>Para</w:t>
      </w:r>
      <w:r w:rsidRPr="00C123CD" w:rsidR="009C495F">
        <w:rPr>
          <w:rFonts w:ascii="Arial" w:hAnsi="Arial" w:eastAsia="Times New Roman" w:cs="Arial"/>
          <w:color w:val="000000" w:themeColor="text1"/>
          <w:sz w:val="22"/>
          <w:lang w:val="es-CO" w:eastAsia="es-ES_tradnl"/>
        </w:rPr>
        <w:t xml:space="preserve"> </w:t>
      </w:r>
      <w:r w:rsidRPr="00C123CD" w:rsidR="000B7FDC">
        <w:rPr>
          <w:rFonts w:ascii="Arial" w:hAnsi="Arial" w:eastAsia="Times New Roman" w:cs="Arial"/>
          <w:color w:val="000000" w:themeColor="text1"/>
          <w:sz w:val="22"/>
          <w:lang w:val="es-CO" w:eastAsia="es-ES_tradnl"/>
        </w:rPr>
        <w:t xml:space="preserve">absolver </w:t>
      </w:r>
      <w:r w:rsidRPr="00C123CD" w:rsidR="002C0C44">
        <w:rPr>
          <w:rFonts w:ascii="Arial" w:hAnsi="Arial" w:eastAsia="Times New Roman" w:cs="Arial"/>
          <w:color w:val="000000" w:themeColor="text1"/>
          <w:sz w:val="22"/>
          <w:lang w:val="es-CO" w:eastAsia="es-ES_tradnl"/>
        </w:rPr>
        <w:t>los</w:t>
      </w:r>
      <w:r w:rsidRPr="00C123CD" w:rsidR="000B7FDC">
        <w:rPr>
          <w:rFonts w:ascii="Arial" w:hAnsi="Arial" w:eastAsia="Times New Roman" w:cs="Arial"/>
          <w:color w:val="000000" w:themeColor="text1"/>
          <w:sz w:val="22"/>
          <w:lang w:val="es-CO" w:eastAsia="es-ES_tradnl"/>
        </w:rPr>
        <w:t xml:space="preserve"> interrogante</w:t>
      </w:r>
      <w:r w:rsidRPr="00C123CD" w:rsidR="002C0C44">
        <w:rPr>
          <w:rFonts w:ascii="Arial" w:hAnsi="Arial" w:eastAsia="Times New Roman" w:cs="Arial"/>
          <w:color w:val="000000" w:themeColor="text1"/>
          <w:sz w:val="22"/>
          <w:lang w:val="es-CO" w:eastAsia="es-ES_tradnl"/>
        </w:rPr>
        <w:t>s</w:t>
      </w:r>
      <w:r w:rsidRPr="00C123CD" w:rsidR="000B7FDC">
        <w:rPr>
          <w:rFonts w:ascii="Arial" w:hAnsi="Arial" w:eastAsia="Times New Roman" w:cs="Arial"/>
          <w:color w:val="000000" w:themeColor="text1"/>
          <w:sz w:val="22"/>
          <w:lang w:val="es-CO" w:eastAsia="es-ES_tradnl"/>
        </w:rPr>
        <w:t xml:space="preserve"> planteado</w:t>
      </w:r>
      <w:r w:rsidRPr="00C123CD" w:rsidR="002C0C44">
        <w:rPr>
          <w:rFonts w:ascii="Arial" w:hAnsi="Arial" w:eastAsia="Times New Roman" w:cs="Arial"/>
          <w:color w:val="000000" w:themeColor="text1"/>
          <w:sz w:val="22"/>
          <w:lang w:val="es-CO" w:eastAsia="es-ES_tradnl"/>
        </w:rPr>
        <w:t>s</w:t>
      </w:r>
      <w:r w:rsidRPr="00C123CD" w:rsidR="004A303C">
        <w:rPr>
          <w:rFonts w:ascii="Arial" w:hAnsi="Arial" w:eastAsia="Times New Roman" w:cs="Arial"/>
          <w:color w:val="000000" w:themeColor="text1"/>
          <w:sz w:val="22"/>
          <w:lang w:val="es-CO" w:eastAsia="es-ES_tradnl"/>
        </w:rPr>
        <w:t xml:space="preserve">, </w:t>
      </w:r>
      <w:r w:rsidRPr="00C123CD" w:rsidR="00622C6E">
        <w:rPr>
          <w:rFonts w:ascii="Arial" w:hAnsi="Arial" w:eastAsia="Times New Roman" w:cs="Arial"/>
          <w:color w:val="000000" w:themeColor="text1"/>
          <w:sz w:val="22"/>
          <w:lang w:val="es-CO" w:eastAsia="es-ES_tradnl"/>
        </w:rPr>
        <w:t xml:space="preserve">esta dependencia analizará </w:t>
      </w:r>
      <w:r w:rsidRPr="00C123CD" w:rsidR="00C653FC">
        <w:rPr>
          <w:rFonts w:ascii="Arial" w:hAnsi="Arial" w:eastAsia="Times New Roman" w:cs="Arial"/>
          <w:color w:val="000000" w:themeColor="text1"/>
          <w:sz w:val="22"/>
          <w:lang w:val="es-CO" w:eastAsia="es-ES_tradnl"/>
        </w:rPr>
        <w:t xml:space="preserve">los siguientes temas: i) </w:t>
      </w:r>
      <w:r w:rsidRPr="00C123CD" w:rsidR="00886D92">
        <w:rPr>
          <w:rFonts w:ascii="Arial" w:hAnsi="Arial" w:eastAsia="Times New Roman" w:cs="Arial"/>
          <w:color w:val="000000" w:themeColor="text1"/>
          <w:sz w:val="22"/>
          <w:lang w:val="es-CO" w:eastAsia="es-ES_tradnl"/>
        </w:rPr>
        <w:t xml:space="preserve">contenido del «Formulario 1 - Formulario de Presupuesto Oficial» </w:t>
      </w:r>
      <w:r w:rsidRPr="00B86B43" w:rsidR="001E7B78">
        <w:rPr>
          <w:rFonts w:ascii="Arial" w:hAnsi="Arial" w:eastAsia="Times New Roman" w:cs="Arial"/>
          <w:color w:val="000000" w:themeColor="text1"/>
          <w:sz w:val="22"/>
          <w:lang w:val="es-CO" w:eastAsia="es-ES_tradnl"/>
        </w:rPr>
        <w:t>de</w:t>
      </w:r>
      <w:r w:rsidR="001E7B78">
        <w:rPr>
          <w:rFonts w:ascii="Arial" w:hAnsi="Arial" w:eastAsia="Times New Roman" w:cs="Arial"/>
          <w:color w:val="000000" w:themeColor="text1"/>
          <w:sz w:val="22"/>
          <w:lang w:val="es-CO" w:eastAsia="es-ES_tradnl"/>
        </w:rPr>
        <w:t xml:space="preserve"> los</w:t>
      </w:r>
      <w:r w:rsidRPr="00B86B43" w:rsidR="001E7B78">
        <w:rPr>
          <w:rFonts w:ascii="Arial" w:hAnsi="Arial" w:eastAsia="Times New Roman" w:cs="Arial"/>
          <w:color w:val="000000" w:themeColor="text1"/>
          <w:sz w:val="22"/>
          <w:lang w:val="es-CO" w:eastAsia="es-ES_tradnl"/>
        </w:rPr>
        <w:t xml:space="preserve"> </w:t>
      </w:r>
      <w:r w:rsidR="001E7B78">
        <w:rPr>
          <w:rFonts w:ascii="Arial" w:hAnsi="Arial" w:eastAsia="Times New Roman" w:cs="Arial"/>
          <w:color w:val="000000" w:themeColor="text1"/>
          <w:sz w:val="22"/>
          <w:lang w:val="es-CO" w:eastAsia="es-ES_tradnl"/>
        </w:rPr>
        <w:t>«D</w:t>
      </w:r>
      <w:r w:rsidRPr="00B86B43" w:rsidR="001E7B78">
        <w:rPr>
          <w:rFonts w:ascii="Arial" w:hAnsi="Arial" w:eastAsia="Times New Roman" w:cs="Arial"/>
          <w:color w:val="000000" w:themeColor="text1"/>
          <w:sz w:val="22"/>
          <w:lang w:val="es-CO" w:eastAsia="es-ES_tradnl"/>
        </w:rPr>
        <w:t xml:space="preserve">ocumento </w:t>
      </w:r>
      <w:r w:rsidR="001E7B78">
        <w:rPr>
          <w:rFonts w:ascii="Arial" w:hAnsi="Arial" w:eastAsia="Times New Roman" w:cs="Arial"/>
          <w:color w:val="000000" w:themeColor="text1"/>
          <w:sz w:val="22"/>
          <w:lang w:val="es-CO" w:eastAsia="es-ES_tradnl"/>
        </w:rPr>
        <w:t>T</w:t>
      </w:r>
      <w:r w:rsidRPr="00B86B43" w:rsidR="001E7B78">
        <w:rPr>
          <w:rFonts w:ascii="Arial" w:hAnsi="Arial" w:eastAsia="Times New Roman" w:cs="Arial"/>
          <w:color w:val="000000" w:themeColor="text1"/>
          <w:sz w:val="22"/>
          <w:lang w:val="es-CO" w:eastAsia="es-ES_tradnl"/>
        </w:rPr>
        <w:t>ipo</w:t>
      </w:r>
      <w:r w:rsidR="001E7B78">
        <w:rPr>
          <w:rFonts w:ascii="Arial" w:hAnsi="Arial" w:eastAsia="Times New Roman" w:cs="Arial"/>
          <w:color w:val="000000" w:themeColor="text1"/>
          <w:sz w:val="22"/>
          <w:lang w:val="es-CO" w:eastAsia="es-ES_tradnl"/>
        </w:rPr>
        <w:t xml:space="preserve"> – Versión 3»</w:t>
      </w:r>
      <w:r w:rsidRPr="00B86B43" w:rsidR="001E7B78">
        <w:rPr>
          <w:rFonts w:ascii="Arial" w:hAnsi="Arial" w:eastAsia="Times New Roman" w:cs="Arial"/>
          <w:color w:val="000000" w:themeColor="text1"/>
          <w:sz w:val="22"/>
          <w:lang w:val="es-CO" w:eastAsia="es-ES_tradnl"/>
        </w:rPr>
        <w:t xml:space="preserve"> de</w:t>
      </w:r>
      <w:r w:rsidR="001E7B78">
        <w:rPr>
          <w:rFonts w:ascii="Arial" w:hAnsi="Arial" w:eastAsia="Times New Roman" w:cs="Arial"/>
          <w:color w:val="000000" w:themeColor="text1"/>
          <w:sz w:val="22"/>
          <w:lang w:val="es-CO" w:eastAsia="es-ES_tradnl"/>
        </w:rPr>
        <w:t xml:space="preserve"> licitación de obra pública de</w:t>
      </w:r>
      <w:r w:rsidRPr="00B86B43" w:rsidR="001E7B78">
        <w:rPr>
          <w:rFonts w:ascii="Arial" w:hAnsi="Arial" w:eastAsia="Times New Roman" w:cs="Arial"/>
          <w:color w:val="000000" w:themeColor="text1"/>
          <w:sz w:val="22"/>
          <w:lang w:val="es-CO" w:eastAsia="es-ES_tradnl"/>
        </w:rPr>
        <w:t xml:space="preserve"> infraestructura de transporte</w:t>
      </w:r>
      <w:r w:rsidR="001E7B78">
        <w:rPr>
          <w:rFonts w:ascii="Arial" w:hAnsi="Arial" w:eastAsia="Times New Roman" w:cs="Arial"/>
          <w:color w:val="000000" w:themeColor="text1"/>
          <w:sz w:val="22"/>
          <w:lang w:val="es-CO" w:eastAsia="es-ES_tradnl"/>
        </w:rPr>
        <w:t>,</w:t>
      </w:r>
      <w:r w:rsidRPr="00C123CD" w:rsidR="00886D92">
        <w:rPr>
          <w:rFonts w:ascii="Arial" w:hAnsi="Arial" w:eastAsia="Times New Roman" w:cs="Arial"/>
          <w:color w:val="000000" w:themeColor="text1"/>
          <w:sz w:val="22"/>
          <w:lang w:val="es-CO" w:eastAsia="es-ES_tradnl"/>
        </w:rPr>
        <w:t xml:space="preserve"> y ii) </w:t>
      </w:r>
      <w:r w:rsidRPr="00C123CD" w:rsidR="00E452FE">
        <w:rPr>
          <w:rFonts w:ascii="Arial" w:hAnsi="Arial" w:eastAsia="Times New Roman" w:cs="Arial"/>
          <w:color w:val="000000" w:themeColor="text1"/>
          <w:sz w:val="22"/>
          <w:lang w:val="es-CO" w:eastAsia="es-ES_tradnl"/>
        </w:rPr>
        <w:t>regulación de las convocatorias limitadas a mipymes en el artículo 34 de la Ley 2069 de 2020</w:t>
      </w:r>
      <w:r w:rsidRPr="00D63CF2" w:rsidR="00E452FE">
        <w:rPr>
          <w:rFonts w:ascii="Arial" w:hAnsi="Arial" w:eastAsia="Times New Roman" w:cs="Arial"/>
          <w:color w:val="000000" w:themeColor="text1"/>
          <w:sz w:val="22"/>
          <w:lang w:val="es-CO" w:eastAsia="es-ES_tradnl"/>
        </w:rPr>
        <w:t>.</w:t>
      </w:r>
    </w:p>
    <w:p w:rsidRPr="00C123CD" w:rsidR="007648DD" w:rsidP="00701A92" w:rsidRDefault="009B0096" w14:paraId="49BA4515" w14:textId="3B369E3A">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Times New Roman" w:cs="Arial"/>
          <w:color w:val="000000" w:themeColor="text1"/>
          <w:sz w:val="22"/>
          <w:lang w:val="es-CO" w:eastAsia="es-ES_tradnl"/>
        </w:rPr>
        <w:t>L</w:t>
      </w:r>
      <w:r w:rsidRPr="00C123CD" w:rsidR="00393A8A">
        <w:rPr>
          <w:rFonts w:ascii="Arial" w:hAnsi="Arial" w:eastAsia="Times New Roman" w:cs="Arial"/>
          <w:color w:val="000000" w:themeColor="text1"/>
          <w:sz w:val="22"/>
          <w:lang w:val="es-CO" w:eastAsia="es-ES_tradnl"/>
        </w:rPr>
        <w:t>a Agencia Nacional de Contratación Pública – Colombia Compra Eficiente</w:t>
      </w:r>
      <w:r w:rsidRPr="00C123CD" w:rsidR="00886D92">
        <w:rPr>
          <w:rFonts w:ascii="Arial" w:hAnsi="Arial" w:eastAsia="Times New Roman" w:cs="Arial"/>
          <w:color w:val="000000" w:themeColor="text1"/>
          <w:sz w:val="22"/>
          <w:lang w:val="es-CO" w:eastAsia="es-ES_tradnl"/>
        </w:rPr>
        <w:t xml:space="preserve"> </w:t>
      </w:r>
      <w:r w:rsidRPr="00C123CD" w:rsidR="00886D92">
        <w:rPr>
          <w:rFonts w:ascii="Arial" w:hAnsi="Arial" w:eastAsia="Calibri" w:cs="Arial"/>
          <w:bCs/>
          <w:sz w:val="22"/>
          <w:lang w:val="es-CO"/>
        </w:rPr>
        <w:t xml:space="preserve">en los conceptos </w:t>
      </w:r>
      <w:r w:rsidRPr="00C123CD" w:rsidR="00886D92">
        <w:rPr>
          <w:rFonts w:ascii="Arial" w:hAnsi="Arial" w:eastAsia="Calibri" w:cs="Arial"/>
          <w:sz w:val="22"/>
          <w:lang w:val="es-CO"/>
        </w:rPr>
        <w:t xml:space="preserve">C-037 del 28 de enero de 2020, C-038 del 28 de enero de 2020, C-093 del 28 de febrero de 2020, C-133 del 30 de marzo de 2020, C-153 del 1 de abril de 2020, C-184 del 2 de abril de 2020, C-603 del 22 de septiembre de 2020, C-704 del 11 de diciembre de 2020 y C-030 del 26 de febrero de 2021, estudió diferentes cuestiones relacionadas con la presentación de ofertas y uso del «Formulario 1 - Formulario de Presupuesto Oficial» en procesos licitación de obra pública de infraestructura de transporte adelantados con </w:t>
      </w:r>
      <w:r w:rsidRPr="009A2803" w:rsidR="001E7B78">
        <w:rPr>
          <w:rFonts w:ascii="Arial" w:hAnsi="Arial" w:eastAsia="Calibri" w:cs="Arial"/>
          <w:sz w:val="22"/>
          <w:lang w:val="es-CO"/>
        </w:rPr>
        <w:t>documentos tipo</w:t>
      </w:r>
      <w:r w:rsidRPr="00D63CF2" w:rsidR="00CE7D17">
        <w:rPr>
          <w:rFonts w:ascii="Arial" w:hAnsi="Arial" w:eastAsia="Calibri" w:cs="Arial"/>
          <w:sz w:val="22"/>
          <w:lang w:val="es-CO"/>
        </w:rPr>
        <w:t>.</w:t>
      </w:r>
      <w:r w:rsidRPr="009A2803" w:rsidR="00886D92">
        <w:rPr>
          <w:rFonts w:ascii="Arial" w:hAnsi="Arial" w:eastAsia="Calibri" w:cs="Arial"/>
          <w:sz w:val="22"/>
          <w:lang w:val="es-CO"/>
        </w:rPr>
        <w:t xml:space="preserve"> Sobre </w:t>
      </w:r>
      <w:r w:rsidRPr="009A2803" w:rsidR="00886D92">
        <w:rPr>
          <w:rFonts w:ascii="Arial" w:hAnsi="Arial" w:eastAsia="Calibri" w:cs="Arial"/>
          <w:color w:val="000000" w:themeColor="text1"/>
          <w:sz w:val="22"/>
          <w:lang w:val="es-CO"/>
        </w:rPr>
        <w:t>la vigencia de la Ley 2069 de 2020</w:t>
      </w:r>
      <w:r w:rsidRPr="009A2803" w:rsidR="007648DD">
        <w:rPr>
          <w:rFonts w:ascii="Arial" w:hAnsi="Arial" w:eastAsia="Calibri" w:cs="Arial"/>
          <w:color w:val="000000" w:themeColor="text1"/>
          <w:sz w:val="22"/>
          <w:lang w:val="es-CO"/>
        </w:rPr>
        <w:t xml:space="preserve">, esta Agencia se pronunció </w:t>
      </w:r>
      <w:r w:rsidRPr="009A2803" w:rsidR="00886D92">
        <w:rPr>
          <w:rFonts w:ascii="Arial" w:hAnsi="Arial" w:eastAsia="Calibri" w:cs="Arial"/>
          <w:color w:val="000000" w:themeColor="text1"/>
          <w:sz w:val="22"/>
          <w:lang w:val="es-CO"/>
        </w:rPr>
        <w:t>en los conceptos C-009, C-012, C-013, C-015, C-016 y C-026 del 4 de febrero de 2021C-043 del 9 de febrero de 2021, C-005 del 16 de febrero, C-028 y C-029 del 23 de febrero de 2021</w:t>
      </w:r>
      <w:r w:rsidR="00F86F94">
        <w:rPr>
          <w:rFonts w:ascii="Arial" w:hAnsi="Arial" w:eastAsia="Calibri" w:cs="Arial"/>
          <w:color w:val="000000" w:themeColor="text1"/>
          <w:sz w:val="22"/>
          <w:lang w:val="es-CO"/>
        </w:rPr>
        <w:t xml:space="preserve">, </w:t>
      </w:r>
      <w:r w:rsidRPr="009A2803" w:rsidR="00886D92">
        <w:rPr>
          <w:rFonts w:ascii="Arial" w:hAnsi="Arial" w:eastAsia="Calibri" w:cs="Arial"/>
          <w:color w:val="000000" w:themeColor="text1"/>
          <w:sz w:val="22"/>
          <w:lang w:val="es-CO"/>
        </w:rPr>
        <w:t>C-037 del 26 de febrero de 2021</w:t>
      </w:r>
      <w:r w:rsidR="00737273">
        <w:rPr>
          <w:rFonts w:ascii="Arial" w:hAnsi="Arial" w:eastAsia="Calibri" w:cs="Arial"/>
          <w:color w:val="000000" w:themeColor="text1"/>
          <w:sz w:val="22"/>
          <w:lang w:val="es-CO"/>
        </w:rPr>
        <w:t>, C-044 del 3 de marzo de 2021,</w:t>
      </w:r>
      <w:r w:rsidR="004A549C">
        <w:rPr>
          <w:rFonts w:ascii="Arial" w:hAnsi="Arial" w:eastAsia="Calibri" w:cs="Arial"/>
          <w:color w:val="000000" w:themeColor="text1"/>
          <w:sz w:val="22"/>
          <w:lang w:val="es-CO"/>
        </w:rPr>
        <w:t xml:space="preserve"> </w:t>
      </w:r>
      <w:r w:rsidR="00EA7B28">
        <w:rPr>
          <w:rFonts w:ascii="Arial" w:hAnsi="Arial" w:eastAsia="Calibri" w:cs="Arial"/>
          <w:color w:val="000000" w:themeColor="text1"/>
          <w:sz w:val="22"/>
          <w:lang w:val="es-CO"/>
        </w:rPr>
        <w:t>C-125 del 5 de abril de 2021</w:t>
      </w:r>
      <w:r w:rsidR="004A549C">
        <w:rPr>
          <w:rFonts w:ascii="Arial" w:hAnsi="Arial" w:eastAsia="Calibri" w:cs="Arial"/>
          <w:color w:val="000000" w:themeColor="text1"/>
          <w:sz w:val="22"/>
          <w:lang w:val="es-CO"/>
        </w:rPr>
        <w:t>, C-</w:t>
      </w:r>
      <w:r w:rsidR="009446EC">
        <w:rPr>
          <w:rFonts w:ascii="Arial" w:hAnsi="Arial" w:eastAsia="Calibri" w:cs="Arial"/>
          <w:color w:val="000000" w:themeColor="text1"/>
          <w:sz w:val="22"/>
          <w:lang w:val="es-CO"/>
        </w:rPr>
        <w:t>127 del 6 de abril de 2021, C-144 del 7 de abril de 2021,</w:t>
      </w:r>
      <w:r w:rsidR="00904AE6">
        <w:rPr>
          <w:rFonts w:ascii="Arial" w:hAnsi="Arial" w:eastAsia="Calibri" w:cs="Arial"/>
          <w:color w:val="000000" w:themeColor="text1"/>
          <w:sz w:val="22"/>
          <w:lang w:val="es-CO"/>
        </w:rPr>
        <w:t xml:space="preserve"> C-199 del 8 de abril de 2021,</w:t>
      </w:r>
      <w:r w:rsidR="009446EC">
        <w:rPr>
          <w:rFonts w:ascii="Arial" w:hAnsi="Arial" w:eastAsia="Calibri" w:cs="Arial"/>
          <w:color w:val="000000" w:themeColor="text1"/>
          <w:sz w:val="22"/>
          <w:lang w:val="es-CO"/>
        </w:rPr>
        <w:t xml:space="preserve"> C-151 del 12 de abril de 2021, </w:t>
      </w:r>
      <w:r w:rsidR="00EA7B28">
        <w:rPr>
          <w:rFonts w:ascii="Arial" w:hAnsi="Arial" w:eastAsia="Calibri" w:cs="Arial"/>
          <w:color w:val="000000" w:themeColor="text1"/>
          <w:sz w:val="22"/>
          <w:lang w:val="es-CO"/>
        </w:rPr>
        <w:t>C-160 del 20 de abril de 2021</w:t>
      </w:r>
      <w:r w:rsidR="009446EC">
        <w:rPr>
          <w:rFonts w:ascii="Arial" w:hAnsi="Arial" w:eastAsia="Calibri" w:cs="Arial"/>
          <w:color w:val="000000" w:themeColor="text1"/>
          <w:sz w:val="22"/>
          <w:lang w:val="es-CO"/>
        </w:rPr>
        <w:t>, C-</w:t>
      </w:r>
      <w:r w:rsidR="00904AE6">
        <w:rPr>
          <w:rFonts w:ascii="Arial" w:hAnsi="Arial" w:eastAsia="Calibri" w:cs="Arial"/>
          <w:color w:val="000000" w:themeColor="text1"/>
          <w:sz w:val="22"/>
          <w:lang w:val="es-CO"/>
        </w:rPr>
        <w:t>189 del 26 de abril de 2021,</w:t>
      </w:r>
      <w:r w:rsidR="000D7C0C">
        <w:rPr>
          <w:rFonts w:ascii="Arial" w:hAnsi="Arial" w:eastAsia="Calibri" w:cs="Arial"/>
          <w:color w:val="000000" w:themeColor="text1"/>
          <w:sz w:val="22"/>
          <w:lang w:val="es-CO"/>
        </w:rPr>
        <w:t xml:space="preserve"> </w:t>
      </w:r>
      <w:r w:rsidR="00877E46">
        <w:rPr>
          <w:rFonts w:ascii="Arial" w:hAnsi="Arial" w:eastAsia="Calibri" w:cs="Arial"/>
          <w:color w:val="000000" w:themeColor="text1"/>
          <w:sz w:val="22"/>
          <w:lang w:val="es-CO"/>
        </w:rPr>
        <w:t xml:space="preserve">C-208 del 10 de mayo de 2021, </w:t>
      </w:r>
      <w:r w:rsidR="00674C61">
        <w:rPr>
          <w:rFonts w:ascii="Arial" w:hAnsi="Arial" w:eastAsia="Calibri" w:cs="Arial"/>
          <w:color w:val="000000" w:themeColor="text1"/>
          <w:sz w:val="22"/>
          <w:lang w:val="es-CO"/>
        </w:rPr>
        <w:t>C-211 del 11 de mayo de 2021,</w:t>
      </w:r>
      <w:r w:rsidR="00701A92">
        <w:rPr>
          <w:rFonts w:ascii="Arial" w:hAnsi="Arial" w:eastAsia="Calibri" w:cs="Arial"/>
          <w:color w:val="000000" w:themeColor="text1"/>
          <w:sz w:val="22"/>
          <w:lang w:val="es-CO"/>
        </w:rPr>
        <w:t xml:space="preserve"> C-234 del 24 de mayo de 2021,</w:t>
      </w:r>
      <w:r w:rsidR="00674C61">
        <w:rPr>
          <w:rFonts w:ascii="Arial" w:hAnsi="Arial" w:eastAsia="Calibri" w:cs="Arial"/>
          <w:color w:val="000000" w:themeColor="text1"/>
          <w:sz w:val="22"/>
          <w:lang w:val="es-CO"/>
        </w:rPr>
        <w:t xml:space="preserve"> </w:t>
      </w:r>
      <w:r w:rsidR="001E24C8">
        <w:rPr>
          <w:rFonts w:ascii="Arial" w:hAnsi="Arial" w:eastAsia="Calibri" w:cs="Arial"/>
          <w:color w:val="000000" w:themeColor="text1"/>
          <w:sz w:val="22"/>
          <w:lang w:val="es-CO"/>
        </w:rPr>
        <w:t>C-242 del 25 de mayo de 2021</w:t>
      </w:r>
      <w:r w:rsidR="00701A92">
        <w:rPr>
          <w:rFonts w:ascii="Arial" w:hAnsi="Arial" w:eastAsia="Calibri" w:cs="Arial"/>
          <w:color w:val="000000" w:themeColor="text1"/>
          <w:sz w:val="22"/>
          <w:lang w:val="es-CO"/>
        </w:rPr>
        <w:t xml:space="preserve"> y</w:t>
      </w:r>
      <w:r w:rsidR="001E24C8">
        <w:rPr>
          <w:rFonts w:ascii="Arial" w:hAnsi="Arial" w:eastAsia="Calibri" w:cs="Arial"/>
          <w:color w:val="000000" w:themeColor="text1"/>
          <w:sz w:val="22"/>
          <w:lang w:val="es-CO"/>
        </w:rPr>
        <w:t xml:space="preserve"> </w:t>
      </w:r>
      <w:r w:rsidR="000D7C0C">
        <w:rPr>
          <w:rFonts w:ascii="Arial" w:hAnsi="Arial" w:eastAsia="Calibri" w:cs="Arial"/>
          <w:color w:val="000000" w:themeColor="text1"/>
          <w:sz w:val="22"/>
          <w:lang w:val="es-CO"/>
        </w:rPr>
        <w:t xml:space="preserve">C-265 del </w:t>
      </w:r>
      <w:r w:rsidR="00231181">
        <w:rPr>
          <w:rFonts w:ascii="Arial" w:hAnsi="Arial" w:eastAsia="Calibri" w:cs="Arial"/>
          <w:color w:val="000000" w:themeColor="text1"/>
          <w:sz w:val="22"/>
          <w:lang w:val="es-CO"/>
        </w:rPr>
        <w:t>1 de junio de 2021</w:t>
      </w:r>
      <w:r w:rsidRPr="009A2803" w:rsidR="00886D92">
        <w:rPr>
          <w:rFonts w:ascii="Arial" w:hAnsi="Arial" w:eastAsia="Calibri" w:cs="Arial"/>
          <w:color w:val="000000" w:themeColor="text1"/>
          <w:sz w:val="22"/>
          <w:lang w:val="es-CO"/>
        </w:rPr>
        <w:t>.</w:t>
      </w:r>
      <w:r w:rsidRPr="009A2803" w:rsidR="00886D92">
        <w:rPr>
          <w:rFonts w:ascii="Arial" w:hAnsi="Arial" w:eastAsia="Calibri" w:cs="Arial"/>
          <w:sz w:val="22"/>
          <w:lang w:val="es-CO"/>
        </w:rPr>
        <w:t xml:space="preserve"> </w:t>
      </w:r>
      <w:r w:rsidRPr="00C123CD" w:rsidR="007648DD">
        <w:rPr>
          <w:rFonts w:ascii="Arial" w:hAnsi="Arial" w:eastAsia="Calibri" w:cs="Arial"/>
          <w:color w:val="000000" w:themeColor="text1"/>
          <w:sz w:val="22"/>
          <w:lang w:val="es-CO"/>
        </w:rPr>
        <w:t>Las tesis expuestas en los anteriores conceptos se reiteran a continuación.</w:t>
      </w:r>
    </w:p>
    <w:p w:rsidRPr="00C123CD" w:rsidR="007648DD" w:rsidP="007648DD" w:rsidRDefault="007648DD" w14:paraId="3AEF8B8F" w14:textId="77777777">
      <w:pPr>
        <w:spacing w:line="276" w:lineRule="auto"/>
        <w:jc w:val="both"/>
        <w:rPr>
          <w:rFonts w:ascii="Arial" w:hAnsi="Arial" w:eastAsia="Calibri" w:cs="Arial"/>
          <w:color w:val="000000" w:themeColor="text1"/>
          <w:sz w:val="22"/>
          <w:lang w:val="es-CO"/>
        </w:rPr>
      </w:pPr>
    </w:p>
    <w:p w:rsidRPr="00C123CD" w:rsidR="001C4C5C" w:rsidP="00BE151C" w:rsidRDefault="008D5223" w14:paraId="0DB62123" w14:textId="498312FC">
      <w:pPr>
        <w:spacing w:line="276" w:lineRule="auto"/>
        <w:jc w:val="both"/>
        <w:rPr>
          <w:rFonts w:ascii="Arial" w:hAnsi="Arial" w:eastAsia="Times New Roman" w:cs="Arial"/>
          <w:b/>
          <w:bCs/>
          <w:color w:val="000000" w:themeColor="text1"/>
          <w:sz w:val="22"/>
          <w:lang w:val="es-CO" w:eastAsia="es-ES_tradnl"/>
        </w:rPr>
      </w:pPr>
      <w:r w:rsidRPr="00C123CD">
        <w:rPr>
          <w:rFonts w:ascii="Arial" w:hAnsi="Arial" w:eastAsia="Times New Roman" w:cs="Arial"/>
          <w:b/>
          <w:bCs/>
          <w:color w:val="000000" w:themeColor="text1"/>
          <w:sz w:val="22"/>
          <w:lang w:val="es-CO" w:eastAsia="es-ES_tradnl"/>
        </w:rPr>
        <w:t>2.</w:t>
      </w:r>
      <w:r w:rsidRPr="00C123CD" w:rsidR="00126B57">
        <w:rPr>
          <w:rFonts w:ascii="Arial" w:hAnsi="Arial" w:eastAsia="Times New Roman" w:cs="Arial"/>
          <w:b/>
          <w:bCs/>
          <w:color w:val="000000" w:themeColor="text1"/>
          <w:sz w:val="22"/>
          <w:lang w:val="es-CO" w:eastAsia="es-ES_tradnl"/>
        </w:rPr>
        <w:t>1</w:t>
      </w:r>
      <w:r w:rsidRPr="00C123CD">
        <w:rPr>
          <w:rFonts w:ascii="Arial" w:hAnsi="Arial" w:eastAsia="Times New Roman" w:cs="Arial"/>
          <w:b/>
          <w:bCs/>
          <w:color w:val="000000" w:themeColor="text1"/>
          <w:sz w:val="22"/>
          <w:lang w:val="es-CO" w:eastAsia="es-ES_tradnl"/>
        </w:rPr>
        <w:t xml:space="preserve">. </w:t>
      </w:r>
      <w:r w:rsidRPr="00C123CD" w:rsidR="007648DD">
        <w:rPr>
          <w:rFonts w:ascii="Arial" w:hAnsi="Arial" w:eastAsia="Times New Roman" w:cs="Arial"/>
          <w:b/>
          <w:bCs/>
          <w:color w:val="000000" w:themeColor="text1"/>
          <w:sz w:val="22"/>
          <w:lang w:val="es-CO" w:eastAsia="es-ES_tradnl"/>
        </w:rPr>
        <w:t xml:space="preserve">Contenido del «Formulario 1 - Formulario de Presupuesto Oficial» </w:t>
      </w:r>
      <w:r w:rsidRPr="00320325" w:rsidR="00320325">
        <w:rPr>
          <w:rFonts w:ascii="Arial" w:hAnsi="Arial" w:eastAsia="Times New Roman" w:cs="Arial"/>
          <w:b/>
          <w:bCs/>
          <w:color w:val="000000" w:themeColor="text1"/>
          <w:sz w:val="22"/>
          <w:lang w:val="es-CO" w:eastAsia="es-ES_tradnl"/>
        </w:rPr>
        <w:t>de los «Documento Tipo – Versión 3» de licitación de obra pública de infraestructura de transporte</w:t>
      </w:r>
    </w:p>
    <w:p w:rsidRPr="00C123CD" w:rsidR="00E452FE" w:rsidP="00BE151C" w:rsidRDefault="00E452FE" w14:paraId="2FAB1789" w14:textId="51B2A8AD">
      <w:pPr>
        <w:spacing w:line="276" w:lineRule="auto"/>
        <w:jc w:val="both"/>
        <w:rPr>
          <w:rFonts w:ascii="Arial" w:hAnsi="Arial" w:eastAsia="Times New Roman" w:cs="Arial"/>
          <w:b/>
          <w:bCs/>
          <w:color w:val="000000" w:themeColor="text1"/>
          <w:sz w:val="22"/>
          <w:lang w:val="es-CO" w:eastAsia="es-ES_tradnl"/>
        </w:rPr>
      </w:pPr>
    </w:p>
    <w:p w:rsidRPr="00C123CD" w:rsidR="004B2B5B" w:rsidP="0027211F" w:rsidRDefault="004B2B5B" w14:paraId="638B9986" w14:textId="69283C55">
      <w:pPr>
        <w:spacing w:line="276" w:lineRule="auto"/>
        <w:jc w:val="both"/>
        <w:rPr>
          <w:rFonts w:ascii="Arial" w:hAnsi="Arial" w:eastAsia="Calibri" w:cs="Arial"/>
          <w:sz w:val="22"/>
          <w:lang w:val="es-CO"/>
        </w:rPr>
      </w:pPr>
      <w:r w:rsidRPr="00C123CD">
        <w:rPr>
          <w:rFonts w:ascii="Arial" w:hAnsi="Arial" w:eastAsia="Calibri" w:cs="Arial"/>
          <w:sz w:val="22"/>
          <w:lang w:val="es-CO"/>
        </w:rPr>
        <w:t>M</w:t>
      </w:r>
      <w:r w:rsidRPr="00C123CD" w:rsidR="00141EE7">
        <w:rPr>
          <w:rFonts w:ascii="Arial" w:hAnsi="Arial" w:eastAsia="Calibri" w:cs="Arial"/>
          <w:sz w:val="22"/>
          <w:lang w:val="es-CO"/>
        </w:rPr>
        <w:t xml:space="preserve">ediante </w:t>
      </w:r>
      <w:r w:rsidRPr="00C123CD" w:rsidR="00141EE7">
        <w:rPr>
          <w:rFonts w:ascii="Arial" w:hAnsi="Arial" w:eastAsia="Arial" w:cs="Arial"/>
          <w:sz w:val="22"/>
          <w:lang w:val="es-CO"/>
        </w:rPr>
        <w:t>la Resolución No. 240 del 27 de noviembre de 2020</w:t>
      </w:r>
      <w:r w:rsidRPr="00C123CD" w:rsidR="002A1AAA">
        <w:rPr>
          <w:rFonts w:ascii="Arial" w:hAnsi="Arial" w:eastAsia="Arial" w:cs="Arial"/>
          <w:sz w:val="22"/>
          <w:lang w:val="es-CO"/>
        </w:rPr>
        <w:t>,</w:t>
      </w:r>
      <w:r w:rsidRPr="00C123CD" w:rsidR="00141EE7">
        <w:rPr>
          <w:rFonts w:ascii="Arial" w:hAnsi="Arial" w:eastAsia="Arial" w:cs="Arial"/>
          <w:sz w:val="22"/>
          <w:lang w:val="es-CO"/>
        </w:rPr>
        <w:t xml:space="preserve"> </w:t>
      </w:r>
      <w:r w:rsidRPr="00C123CD">
        <w:rPr>
          <w:rFonts w:ascii="Arial" w:hAnsi="Arial" w:eastAsia="Calibri" w:cs="Arial"/>
          <w:sz w:val="22"/>
          <w:lang w:val="es-CO"/>
        </w:rPr>
        <w:t>expedida por la Agencia Nacional de Contratación Pública ─ Colombia Compra Eficiente</w:t>
      </w:r>
      <w:r w:rsidRPr="00C123CD">
        <w:rPr>
          <w:rFonts w:ascii="Arial" w:hAnsi="Arial" w:eastAsia="Arial" w:cs="Arial"/>
          <w:sz w:val="22"/>
          <w:lang w:val="es-CO"/>
        </w:rPr>
        <w:t xml:space="preserve">, se </w:t>
      </w:r>
      <w:r w:rsidRPr="00C123CD" w:rsidR="00141EE7">
        <w:rPr>
          <w:rFonts w:ascii="Arial" w:hAnsi="Arial" w:eastAsia="Arial" w:cs="Arial"/>
          <w:sz w:val="22"/>
          <w:lang w:val="es-CO"/>
        </w:rPr>
        <w:t xml:space="preserve">actualizan los Documentos Tipo para los procesos de selección de licitación de obra pública de infraestructura de transporte </w:t>
      </w:r>
      <w:r w:rsidR="00192CE2">
        <w:rPr>
          <w:rFonts w:ascii="Arial" w:hAnsi="Arial" w:eastAsia="Arial" w:cs="Arial"/>
          <w:sz w:val="22"/>
          <w:lang w:val="es-CO"/>
        </w:rPr>
        <w:t>–</w:t>
      </w:r>
      <w:r w:rsidRPr="00C123CD">
        <w:rPr>
          <w:rFonts w:ascii="Arial" w:hAnsi="Arial" w:eastAsia="Arial" w:cs="Arial"/>
          <w:sz w:val="22"/>
          <w:lang w:val="es-CO"/>
        </w:rPr>
        <w:t xml:space="preserve"> Versión 2, a través de los Documentos Tipo para los procesos de selección de licitación de obra pública de infraestructura de transporte </w:t>
      </w:r>
      <w:r w:rsidR="00192CE2">
        <w:rPr>
          <w:rFonts w:ascii="Arial" w:hAnsi="Arial" w:eastAsia="Arial" w:cs="Arial"/>
          <w:sz w:val="22"/>
          <w:lang w:val="es-CO"/>
        </w:rPr>
        <w:t>–</w:t>
      </w:r>
      <w:r w:rsidRPr="00C123CD">
        <w:rPr>
          <w:rFonts w:ascii="Arial" w:hAnsi="Arial" w:eastAsia="Arial" w:cs="Arial"/>
          <w:sz w:val="22"/>
          <w:lang w:val="es-CO"/>
        </w:rPr>
        <w:t xml:space="preserve"> Versión 3</w:t>
      </w:r>
      <w:r w:rsidRPr="00C123CD">
        <w:rPr>
          <w:rFonts w:ascii="Arial" w:hAnsi="Arial" w:eastAsia="Calibri" w:cs="Arial"/>
          <w:sz w:val="22"/>
          <w:lang w:val="es-CO"/>
        </w:rPr>
        <w:t xml:space="preserve">. </w:t>
      </w:r>
    </w:p>
    <w:p w:rsidRPr="00C123CD" w:rsidR="004B2B5B" w:rsidP="0027211F" w:rsidRDefault="004B2B5B" w14:paraId="1BBCED96" w14:textId="479F8ACE">
      <w:pPr>
        <w:spacing w:before="120" w:line="276" w:lineRule="auto"/>
        <w:ind w:firstLine="709"/>
        <w:jc w:val="both"/>
        <w:rPr>
          <w:rFonts w:ascii="Arial" w:hAnsi="Arial" w:eastAsia="Calibri" w:cs="Arial"/>
          <w:sz w:val="22"/>
          <w:lang w:val="es-CO"/>
        </w:rPr>
      </w:pPr>
      <w:r w:rsidRPr="00C123CD">
        <w:rPr>
          <w:rFonts w:ascii="Arial" w:hAnsi="Arial" w:eastAsia="Calibri" w:cs="Arial"/>
          <w:sz w:val="22"/>
          <w:lang w:val="es-CO"/>
        </w:rPr>
        <w:t xml:space="preserve">En relación con los documentos tipo propiamente dichos, el artículo 1 de la </w:t>
      </w:r>
      <w:r w:rsidRPr="00C123CD" w:rsidR="002A1AAA">
        <w:rPr>
          <w:rFonts w:ascii="Arial" w:hAnsi="Arial" w:eastAsia="Calibri" w:cs="Arial"/>
          <w:sz w:val="22"/>
          <w:lang w:val="es-CO"/>
        </w:rPr>
        <w:t>R</w:t>
      </w:r>
      <w:r w:rsidRPr="00C123CD">
        <w:rPr>
          <w:rFonts w:ascii="Arial" w:hAnsi="Arial" w:eastAsia="Calibri" w:cs="Arial"/>
          <w:sz w:val="22"/>
          <w:lang w:val="es-CO"/>
        </w:rPr>
        <w:t xml:space="preserve">esolución señalada contempló el documento base </w:t>
      </w:r>
      <w:r w:rsidR="00192CE2">
        <w:rPr>
          <w:rFonts w:ascii="Arial" w:hAnsi="Arial" w:eastAsia="Calibri" w:cs="Arial"/>
          <w:sz w:val="22"/>
          <w:lang w:val="es-CO"/>
        </w:rPr>
        <w:t>o</w:t>
      </w:r>
      <w:r w:rsidRPr="00C123CD">
        <w:rPr>
          <w:rFonts w:ascii="Arial" w:hAnsi="Arial" w:eastAsia="Calibri" w:cs="Arial"/>
          <w:sz w:val="22"/>
          <w:lang w:val="es-CO"/>
        </w:rPr>
        <w:t xml:space="preserve"> pliego tipo, junto con los correspondientes anexos, formatos, matrices y formularios. Los anexos están compuestos por el anexo técnico, cronograma, glosario, pacto de transparencia y minuta del contrato. Los formatos contienen la carta de presentación de la oferta, conformación de proponente plural, experiencia, capacidad financiera y organizacional para extranjeros, capacidad residual, pagos de seguridad social y aportes legales, factor de calidad, vinculación de </w:t>
      </w:r>
      <w:r w:rsidRPr="00C123CD">
        <w:rPr>
          <w:rFonts w:ascii="Arial" w:hAnsi="Arial" w:eastAsia="Calibri" w:cs="Arial"/>
          <w:sz w:val="22"/>
          <w:lang w:val="es-CO"/>
        </w:rPr>
        <w:lastRenderedPageBreak/>
        <w:t>personas con discapacidad y puntaje de industria nacional. Las matrices están compuestas por la experiencia, indicadores financieros y organizacionales y riesgos. Finalmente, en los formularios se encuentra el formulario de presupuesto oficial.</w:t>
      </w:r>
    </w:p>
    <w:p w:rsidRPr="00C123CD" w:rsidR="00F7187B" w:rsidP="00C123CD" w:rsidRDefault="00141EE7" w14:paraId="1FE95918" w14:textId="1AA0E0CB">
      <w:pPr>
        <w:pStyle w:val="Textoindependiente"/>
        <w:spacing w:before="120" w:line="276" w:lineRule="auto"/>
        <w:ind w:firstLine="708"/>
        <w:jc w:val="both"/>
        <w:rPr>
          <w:lang w:val="es-CO"/>
        </w:rPr>
      </w:pPr>
      <w:r w:rsidRPr="00C123CD">
        <w:rPr>
          <w:rFonts w:eastAsia="Calibri"/>
          <w:lang w:val="es-CO"/>
        </w:rPr>
        <w:t xml:space="preserve">Específicamente, </w:t>
      </w:r>
      <w:r w:rsidRPr="00C123CD" w:rsidR="005B79A6">
        <w:rPr>
          <w:rFonts w:eastAsia="Calibri"/>
          <w:lang w:val="es-CO"/>
        </w:rPr>
        <w:t>el</w:t>
      </w:r>
      <w:r w:rsidRPr="00C123CD" w:rsidR="00F02D6C">
        <w:rPr>
          <w:rFonts w:eastAsia="Calibri"/>
          <w:lang w:val="es-CO"/>
        </w:rPr>
        <w:t xml:space="preserve"> </w:t>
      </w:r>
      <w:r w:rsidRPr="00C123CD" w:rsidR="008B3CF1">
        <w:rPr>
          <w:rFonts w:eastAsia="Calibri"/>
          <w:lang w:val="es-CO"/>
        </w:rPr>
        <w:t>«Formulario 1 – Formulario de Presupuesto Oficial»</w:t>
      </w:r>
      <w:r w:rsidRPr="00C123CD" w:rsidR="00F7187B">
        <w:rPr>
          <w:rFonts w:eastAsia="Calibri"/>
          <w:lang w:val="es-CO"/>
        </w:rPr>
        <w:t>,</w:t>
      </w:r>
      <w:r w:rsidRPr="00C123CD" w:rsidR="00F479BF">
        <w:rPr>
          <w:rFonts w:eastAsia="Calibri"/>
          <w:lang w:val="es-CO"/>
        </w:rPr>
        <w:t xml:space="preserve"> en la </w:t>
      </w:r>
      <w:r w:rsidR="00192CE2">
        <w:rPr>
          <w:rFonts w:eastAsia="Calibri"/>
          <w:lang w:val="es-CO"/>
        </w:rPr>
        <w:t>v</w:t>
      </w:r>
      <w:r w:rsidRPr="00C123CD" w:rsidR="00F479BF">
        <w:rPr>
          <w:rFonts w:eastAsia="Calibri"/>
          <w:lang w:val="es-CO"/>
        </w:rPr>
        <w:t>ersión 3</w:t>
      </w:r>
      <w:r w:rsidRPr="00C123CD" w:rsidR="004E0C9F">
        <w:rPr>
          <w:rFonts w:eastAsia="Calibri"/>
          <w:lang w:val="es-CO"/>
        </w:rPr>
        <w:t xml:space="preserve"> de los documentos tipo de infraestructura de transporte</w:t>
      </w:r>
      <w:r w:rsidRPr="00C123CD" w:rsidR="005B79A6">
        <w:rPr>
          <w:rFonts w:eastAsia="Calibri"/>
          <w:lang w:val="es-CO"/>
        </w:rPr>
        <w:t xml:space="preserve">, </w:t>
      </w:r>
      <w:r w:rsidRPr="00C123CD" w:rsidR="00F479BF">
        <w:rPr>
          <w:rFonts w:eastAsia="Calibri"/>
          <w:lang w:val="es-CO"/>
        </w:rPr>
        <w:t>presenta una</w:t>
      </w:r>
      <w:r w:rsidRPr="00D63CF2" w:rsidR="00F479BF">
        <w:rPr>
          <w:lang w:val="es-CO"/>
        </w:rPr>
        <w:t xml:space="preserve"> dualidad de usos</w:t>
      </w:r>
      <w:r w:rsidR="000064C1">
        <w:rPr>
          <w:lang w:val="es-CO"/>
        </w:rPr>
        <w:t>. Esta</w:t>
      </w:r>
      <w:r w:rsidRPr="00C123CD" w:rsidR="003D5A67">
        <w:rPr>
          <w:lang w:val="es-CO"/>
        </w:rPr>
        <w:t xml:space="preserve"> doble connotación consiste en que</w:t>
      </w:r>
      <w:r w:rsidRPr="00C123CD" w:rsidR="002A1AAA">
        <w:rPr>
          <w:lang w:val="es-CO"/>
        </w:rPr>
        <w:t>,</w:t>
      </w:r>
      <w:r w:rsidRPr="00C123CD" w:rsidR="00F02D6C">
        <w:rPr>
          <w:lang w:val="es-CO"/>
        </w:rPr>
        <w:t xml:space="preserve"> por un lado, </w:t>
      </w:r>
      <w:r w:rsidRPr="00C123CD" w:rsidR="003D5A67">
        <w:rPr>
          <w:lang w:val="es-CO"/>
        </w:rPr>
        <w:t xml:space="preserve">es </w:t>
      </w:r>
      <w:r w:rsidRPr="00C123CD" w:rsidR="00F02D6C">
        <w:rPr>
          <w:lang w:val="es-CO"/>
        </w:rPr>
        <w:t>el formulario sobre el cual la entidad estructura y presenta el presupuesto oficial del procedimiento de contratación; y</w:t>
      </w:r>
      <w:r w:rsidRPr="00C123CD" w:rsidR="002A1AAA">
        <w:rPr>
          <w:lang w:val="es-CO"/>
        </w:rPr>
        <w:t>,</w:t>
      </w:r>
      <w:r w:rsidRPr="00C123CD" w:rsidR="00F02D6C">
        <w:rPr>
          <w:lang w:val="es-CO"/>
        </w:rPr>
        <w:t xml:space="preserve"> por el otro, </w:t>
      </w:r>
      <w:r w:rsidRPr="00C123CD" w:rsidR="003D5A67">
        <w:rPr>
          <w:lang w:val="es-CO"/>
        </w:rPr>
        <w:t>es</w:t>
      </w:r>
      <w:r w:rsidRPr="00C123CD" w:rsidR="00F02D6C">
        <w:rPr>
          <w:lang w:val="es-CO"/>
        </w:rPr>
        <w:t xml:space="preserve"> el formulario sobre el cual los proponentes elabor</w:t>
      </w:r>
      <w:r w:rsidRPr="00C123CD" w:rsidR="003D5A67">
        <w:rPr>
          <w:lang w:val="es-CO"/>
        </w:rPr>
        <w:t>a</w:t>
      </w:r>
      <w:r w:rsidRPr="00C123CD" w:rsidR="008475BC">
        <w:rPr>
          <w:lang w:val="es-CO"/>
        </w:rPr>
        <w:t>n</w:t>
      </w:r>
      <w:r w:rsidRPr="00C123CD" w:rsidR="00F02D6C">
        <w:rPr>
          <w:lang w:val="es-CO"/>
        </w:rPr>
        <w:t xml:space="preserve"> y presenta</w:t>
      </w:r>
      <w:r w:rsidRPr="00C123CD" w:rsidR="008475BC">
        <w:rPr>
          <w:lang w:val="es-CO"/>
        </w:rPr>
        <w:t>n</w:t>
      </w:r>
      <w:r w:rsidRPr="00C123CD" w:rsidR="00F02D6C">
        <w:rPr>
          <w:lang w:val="es-CO"/>
        </w:rPr>
        <w:t xml:space="preserve"> su oferta económica. </w:t>
      </w:r>
      <w:r w:rsidRPr="00C123CD" w:rsidR="007A0055">
        <w:rPr>
          <w:lang w:val="es-CO"/>
        </w:rPr>
        <w:t>El propósito de esto es</w:t>
      </w:r>
      <w:r w:rsidRPr="00C123CD" w:rsidR="00F02D6C">
        <w:rPr>
          <w:lang w:val="es-CO"/>
        </w:rPr>
        <w:t xml:space="preserve"> evitar la duplicidad de información y permitir que las propuestas económicas </w:t>
      </w:r>
      <w:r w:rsidRPr="00C123CD" w:rsidR="002A1AAA">
        <w:rPr>
          <w:lang w:val="es-CO"/>
        </w:rPr>
        <w:t>sean</w:t>
      </w:r>
      <w:r w:rsidRPr="00C123CD" w:rsidR="00F02D6C">
        <w:rPr>
          <w:lang w:val="es-CO"/>
        </w:rPr>
        <w:t xml:space="preserve"> evaluadas con las variables, cantidades, unidades de medida y reglas consideradas por la entidad al estructurar su presupuesto oficial.</w:t>
      </w:r>
    </w:p>
    <w:p w:rsidRPr="00C123CD" w:rsidR="008475BC" w:rsidP="0027211F" w:rsidRDefault="008475BC" w14:paraId="6B18ADB3" w14:textId="6359D932">
      <w:pPr>
        <w:pStyle w:val="Textoindependiente"/>
        <w:spacing w:before="120" w:line="276" w:lineRule="auto"/>
        <w:ind w:firstLine="709"/>
        <w:jc w:val="both"/>
        <w:rPr>
          <w:rFonts w:eastAsia="Calibri"/>
          <w:lang w:val="es-CO"/>
        </w:rPr>
      </w:pPr>
      <w:r w:rsidRPr="00C123CD">
        <w:rPr>
          <w:rFonts w:eastAsia="Calibri"/>
          <w:lang w:val="es-CO"/>
        </w:rPr>
        <w:t>Teniendo en cuenta lo anterior,</w:t>
      </w:r>
      <w:r w:rsidRPr="00C123CD" w:rsidR="00D42DE9">
        <w:rPr>
          <w:rFonts w:eastAsia="Calibri"/>
          <w:lang w:val="es-CO"/>
        </w:rPr>
        <w:t xml:space="preserve"> el</w:t>
      </w:r>
      <w:r w:rsidRPr="00C123CD">
        <w:rPr>
          <w:rFonts w:eastAsia="Calibri"/>
          <w:lang w:val="es-CO"/>
        </w:rPr>
        <w:t xml:space="preserve"> </w:t>
      </w:r>
      <w:r w:rsidRPr="00C123CD" w:rsidR="00D42DE9">
        <w:rPr>
          <w:rFonts w:eastAsia="Calibri"/>
          <w:lang w:val="es-CO"/>
        </w:rPr>
        <w:t xml:space="preserve">«Formulario 1 – Formulario de Presupuesto Oficial» </w:t>
      </w:r>
      <w:r w:rsidRPr="00C123CD" w:rsidR="00F7187B">
        <w:rPr>
          <w:rFonts w:eastAsia="Calibri"/>
          <w:lang w:val="es-CO"/>
        </w:rPr>
        <w:t>está compuesto por 3 pestañas, a saber:</w:t>
      </w:r>
      <w:r w:rsidRPr="00C123CD">
        <w:rPr>
          <w:rFonts w:eastAsia="Calibri"/>
          <w:lang w:val="es-CO"/>
        </w:rPr>
        <w:t xml:space="preserve"> </w:t>
      </w:r>
      <w:r w:rsidRPr="00C123CD" w:rsidR="00F7187B">
        <w:rPr>
          <w:rFonts w:eastAsia="Calibri"/>
          <w:lang w:val="es-CO"/>
        </w:rPr>
        <w:t>la primera</w:t>
      </w:r>
      <w:r w:rsidRPr="00C123CD" w:rsidR="002A1AAA">
        <w:rPr>
          <w:rFonts w:eastAsia="Calibri"/>
          <w:lang w:val="es-CO"/>
        </w:rPr>
        <w:t>,</w:t>
      </w:r>
      <w:r w:rsidRPr="00C123CD" w:rsidR="00F7187B">
        <w:rPr>
          <w:rFonts w:eastAsia="Calibri"/>
          <w:lang w:val="es-CO"/>
        </w:rPr>
        <w:t xml:space="preserve"> denominada «presupuesto oficial», conforme a la cual la entidad elabora y presenta el presupuesto oficial del proceso de contratación y </w:t>
      </w:r>
      <w:r w:rsidRPr="00C123CD">
        <w:rPr>
          <w:rFonts w:eastAsia="Calibri"/>
          <w:lang w:val="es-CO"/>
        </w:rPr>
        <w:t xml:space="preserve">define </w:t>
      </w:r>
      <w:r w:rsidRPr="00C123CD" w:rsidR="00F7187B">
        <w:rPr>
          <w:rFonts w:eastAsia="Calibri"/>
          <w:lang w:val="es-CO"/>
        </w:rPr>
        <w:t>el valor estimado del contrato;</w:t>
      </w:r>
      <w:r w:rsidRPr="00C123CD">
        <w:rPr>
          <w:rFonts w:eastAsia="Calibri"/>
          <w:lang w:val="es-CO"/>
        </w:rPr>
        <w:t xml:space="preserve"> </w:t>
      </w:r>
      <w:r w:rsidRPr="00C123CD" w:rsidR="00F7187B">
        <w:rPr>
          <w:rFonts w:eastAsia="Calibri"/>
          <w:lang w:val="es-CO"/>
        </w:rPr>
        <w:t>la segunda</w:t>
      </w:r>
      <w:r w:rsidRPr="00C123CD" w:rsidR="002A1AAA">
        <w:rPr>
          <w:rFonts w:eastAsia="Calibri"/>
          <w:lang w:val="es-CO"/>
        </w:rPr>
        <w:t>,</w:t>
      </w:r>
      <w:r w:rsidRPr="00C123CD" w:rsidR="00F7187B">
        <w:rPr>
          <w:rFonts w:eastAsia="Calibri"/>
          <w:lang w:val="es-CO"/>
        </w:rPr>
        <w:t xml:space="preserve"> es la «propuesta económica», para que el proponente estructure la oferta económica; y la tercera</w:t>
      </w:r>
      <w:r w:rsidRPr="00C123CD" w:rsidR="002A1AAA">
        <w:rPr>
          <w:rFonts w:eastAsia="Calibri"/>
          <w:lang w:val="es-CO"/>
        </w:rPr>
        <w:t>,</w:t>
      </w:r>
      <w:r w:rsidRPr="00C123CD" w:rsidR="00F7187B">
        <w:rPr>
          <w:rFonts w:eastAsia="Calibri"/>
          <w:lang w:val="es-CO"/>
        </w:rPr>
        <w:t xml:space="preserve"> </w:t>
      </w:r>
      <w:r w:rsidRPr="00C123CD">
        <w:rPr>
          <w:rFonts w:eastAsia="Calibri"/>
          <w:lang w:val="es-CO"/>
        </w:rPr>
        <w:t>titulada</w:t>
      </w:r>
      <w:r w:rsidRPr="00C123CD" w:rsidR="00F7187B">
        <w:rPr>
          <w:rFonts w:eastAsia="Calibri"/>
          <w:lang w:val="es-CO"/>
        </w:rPr>
        <w:t xml:space="preserve"> «indicar código del ítem de pago», relacionada con los análisis de precios unitarios –APU</w:t>
      </w:r>
      <w:r w:rsidR="001273E2">
        <w:rPr>
          <w:rFonts w:eastAsia="Calibri"/>
          <w:lang w:val="es-CO"/>
        </w:rPr>
        <w:t>–</w:t>
      </w:r>
      <w:r w:rsidRPr="00C123CD" w:rsidR="00F7187B">
        <w:rPr>
          <w:rFonts w:eastAsia="Calibri"/>
          <w:lang w:val="es-CO"/>
        </w:rPr>
        <w:t xml:space="preserve">, de acuerdo con lo establecido en el numeral 8.1 del documento base. </w:t>
      </w:r>
    </w:p>
    <w:p w:rsidRPr="00C123CD" w:rsidR="00D42DE9" w:rsidP="0027211F" w:rsidRDefault="00AE552E" w14:paraId="0CFDF835" w14:textId="7408F00F">
      <w:pPr>
        <w:pStyle w:val="Textoindependiente"/>
        <w:spacing w:before="120" w:line="276" w:lineRule="auto"/>
        <w:ind w:firstLine="709"/>
        <w:jc w:val="both"/>
        <w:rPr>
          <w:i/>
          <w:lang w:val="es-CO" w:eastAsia="es-ES" w:bidi="es-ES"/>
        </w:rPr>
      </w:pPr>
      <w:r>
        <w:rPr>
          <w:rFonts w:eastAsia="Calibri"/>
          <w:lang w:val="es-CO"/>
        </w:rPr>
        <w:t>L</w:t>
      </w:r>
      <w:r w:rsidRPr="00C123CD" w:rsidR="008475BC">
        <w:rPr>
          <w:rFonts w:eastAsia="Calibri"/>
          <w:lang w:val="es-CO"/>
        </w:rPr>
        <w:t>a primera pestaña</w:t>
      </w:r>
      <w:r>
        <w:rPr>
          <w:rFonts w:eastAsia="Calibri"/>
          <w:lang w:val="es-CO"/>
        </w:rPr>
        <w:t xml:space="preserve"> dispone</w:t>
      </w:r>
      <w:r w:rsidRPr="00C123CD" w:rsidR="008475BC">
        <w:rPr>
          <w:rFonts w:eastAsia="Calibri"/>
          <w:lang w:val="es-CO"/>
        </w:rPr>
        <w:t xml:space="preserve"> que </w:t>
      </w:r>
      <w:r w:rsidRPr="00C123CD" w:rsidR="00D42DE9">
        <w:rPr>
          <w:rFonts w:eastAsia="Calibri"/>
          <w:lang w:val="es-CO"/>
        </w:rPr>
        <w:t>«</w:t>
      </w:r>
      <w:r w:rsidRPr="00C123CD" w:rsidR="008475BC">
        <w:rPr>
          <w:rFonts w:eastAsia="Calibri"/>
          <w:lang w:val="es-CO"/>
        </w:rPr>
        <w:t>la entidad podrá utilizar ese formulario de detalle del presupuesto oficial para determinar las condiciones bajo las cuales los proponentes analizarán y presentarán su propuesta económica de forma detallada, sin perjuicio que la entidad pueda modificarlo o establecer la presentación de la oferta económica con un formulario distinto al indicado</w:t>
      </w:r>
      <w:r w:rsidRPr="00C123CD" w:rsidR="00D42DE9">
        <w:rPr>
          <w:rFonts w:eastAsia="Calibri"/>
          <w:lang w:val="es-CO"/>
        </w:rPr>
        <w:t>»</w:t>
      </w:r>
      <w:r w:rsidRPr="00C123CD" w:rsidR="008475BC">
        <w:rPr>
          <w:rFonts w:eastAsia="Calibri"/>
          <w:lang w:val="es-CO"/>
        </w:rPr>
        <w:t xml:space="preserve">. </w:t>
      </w:r>
      <w:r w:rsidRPr="00C123CD" w:rsidR="00FA57FD">
        <w:rPr>
          <w:rFonts w:eastAsia="Calibri"/>
          <w:lang w:val="es-CO"/>
        </w:rPr>
        <w:t>Así, c</w:t>
      </w:r>
      <w:r w:rsidRPr="00C123CD" w:rsidR="008475BC">
        <w:rPr>
          <w:rFonts w:eastAsia="Calibri"/>
          <w:lang w:val="es-CO"/>
        </w:rPr>
        <w:t xml:space="preserve">on base en </w:t>
      </w:r>
      <w:r w:rsidRPr="00C123CD" w:rsidR="00A0654C">
        <w:rPr>
          <w:rFonts w:eastAsia="Calibri"/>
          <w:lang w:val="es-CO"/>
        </w:rPr>
        <w:t>este formulario</w:t>
      </w:r>
      <w:r w:rsidRPr="00C123CD" w:rsidR="00D42DE9">
        <w:rPr>
          <w:rFonts w:eastAsia="Calibri"/>
          <w:lang w:val="es-CO"/>
        </w:rPr>
        <w:t xml:space="preserve">, </w:t>
      </w:r>
      <w:r w:rsidRPr="00C123CD" w:rsidR="00D42DE9">
        <w:rPr>
          <w:lang w:val="es-CO" w:eastAsia="es-ES" w:bidi="es-ES"/>
        </w:rPr>
        <w:t>la entidad listar</w:t>
      </w:r>
      <w:r w:rsidR="00DC1779">
        <w:rPr>
          <w:lang w:val="es-CO" w:eastAsia="es-ES" w:bidi="es-ES"/>
        </w:rPr>
        <w:t>á los</w:t>
      </w:r>
      <w:r w:rsidRPr="00C123CD" w:rsidR="00D42DE9">
        <w:rPr>
          <w:lang w:val="es-CO" w:eastAsia="es-ES" w:bidi="es-ES"/>
        </w:rPr>
        <w:t xml:space="preserve"> </w:t>
      </w:r>
      <w:r w:rsidRPr="00C123CD" w:rsidR="00D42DE9">
        <w:rPr>
          <w:i/>
          <w:lang w:val="es-CO" w:eastAsia="es-ES" w:bidi="es-ES"/>
        </w:rPr>
        <w:t xml:space="preserve">ítems de pago </w:t>
      </w:r>
      <w:r w:rsidRPr="00C123CD" w:rsidR="00D42DE9">
        <w:rPr>
          <w:lang w:val="es-CO" w:eastAsia="es-ES" w:bidi="es-ES"/>
        </w:rPr>
        <w:t>que corresponden a los bienes, obras o servicios que se requieren para la ejecución de la obra pública de infraestructura de transporte contrata</w:t>
      </w:r>
      <w:r w:rsidR="001273E2">
        <w:rPr>
          <w:lang w:val="es-CO" w:eastAsia="es-ES" w:bidi="es-ES"/>
        </w:rPr>
        <w:t>da</w:t>
      </w:r>
      <w:r w:rsidRPr="00C123CD" w:rsidR="00D42DE9">
        <w:rPr>
          <w:lang w:val="es-CO" w:eastAsia="es-ES" w:bidi="es-ES"/>
        </w:rPr>
        <w:t>. Además, establecer</w:t>
      </w:r>
      <w:r w:rsidR="00DC1779">
        <w:rPr>
          <w:lang w:val="es-CO" w:eastAsia="es-ES" w:bidi="es-ES"/>
        </w:rPr>
        <w:t>á</w:t>
      </w:r>
      <w:r w:rsidRPr="00C123CD" w:rsidR="00D42DE9">
        <w:rPr>
          <w:lang w:val="es-CO" w:eastAsia="es-ES" w:bidi="es-ES"/>
        </w:rPr>
        <w:t xml:space="preserve">: i) sus especificaciones generales y particulares, ii) la descripción, iii) la unidad de medida, iv) la cantidad, v) el valor unitario y vi) el valor total de los </w:t>
      </w:r>
      <w:r w:rsidRPr="00C123CD" w:rsidR="00D42DE9">
        <w:rPr>
          <w:i/>
          <w:lang w:val="es-CO" w:eastAsia="es-ES" w:bidi="es-ES"/>
        </w:rPr>
        <w:t>ítems.</w:t>
      </w:r>
    </w:p>
    <w:p w:rsidRPr="00C123CD" w:rsidR="00FA57FD" w:rsidP="0027211F" w:rsidRDefault="00FA57FD" w14:paraId="473C4EB4" w14:textId="37CBEE44">
      <w:pPr>
        <w:widowControl w:val="0"/>
        <w:autoSpaceDE w:val="0"/>
        <w:autoSpaceDN w:val="0"/>
        <w:spacing w:before="120" w:line="276" w:lineRule="auto"/>
        <w:ind w:firstLine="709"/>
        <w:jc w:val="both"/>
        <w:rPr>
          <w:rFonts w:ascii="Arial" w:hAnsi="Arial" w:eastAsia="Arial" w:cs="Arial"/>
          <w:sz w:val="22"/>
          <w:lang w:val="es-CO" w:eastAsia="es-ES" w:bidi="es-ES"/>
        </w:rPr>
      </w:pPr>
      <w:r w:rsidRPr="00C123CD">
        <w:rPr>
          <w:rFonts w:ascii="Arial" w:hAnsi="Arial" w:eastAsia="Arial" w:cs="Arial"/>
          <w:iCs/>
          <w:sz w:val="22"/>
          <w:lang w:val="es-CO" w:eastAsia="es-ES" w:bidi="es-ES"/>
        </w:rPr>
        <w:t xml:space="preserve">En el marco del </w:t>
      </w:r>
      <w:r w:rsidR="004F7EF1">
        <w:rPr>
          <w:rFonts w:ascii="Arial" w:hAnsi="Arial" w:eastAsia="Arial" w:cs="Arial"/>
          <w:iCs/>
          <w:sz w:val="22"/>
          <w:lang w:val="es-CO" w:eastAsia="es-ES" w:bidi="es-ES"/>
        </w:rPr>
        <w:t>principio de</w:t>
      </w:r>
      <w:r w:rsidRPr="00C123CD">
        <w:rPr>
          <w:rFonts w:ascii="Arial" w:hAnsi="Arial" w:eastAsia="Arial" w:cs="Arial"/>
          <w:iCs/>
          <w:sz w:val="22"/>
          <w:lang w:val="es-CO" w:eastAsia="es-ES" w:bidi="es-ES"/>
        </w:rPr>
        <w:t xml:space="preserve"> planeación, la entidad podrá determinar la necesidad de establecer algunos valores topes para </w:t>
      </w:r>
      <w:r w:rsidR="004F7EF1">
        <w:rPr>
          <w:rFonts w:ascii="Arial" w:hAnsi="Arial" w:eastAsia="Arial" w:cs="Arial"/>
          <w:iCs/>
          <w:sz w:val="22"/>
          <w:lang w:val="es-CO" w:eastAsia="es-ES" w:bidi="es-ES"/>
        </w:rPr>
        <w:t>determinados</w:t>
      </w:r>
      <w:r w:rsidRPr="00C123CD" w:rsidR="004F7EF1">
        <w:rPr>
          <w:rFonts w:ascii="Arial" w:hAnsi="Arial" w:eastAsia="Arial" w:cs="Arial"/>
          <w:iCs/>
          <w:sz w:val="22"/>
          <w:lang w:val="es-CO" w:eastAsia="es-ES" w:bidi="es-ES"/>
        </w:rPr>
        <w:t xml:space="preserve"> </w:t>
      </w:r>
      <w:r w:rsidRPr="00C123CD">
        <w:rPr>
          <w:rFonts w:ascii="Arial" w:hAnsi="Arial" w:eastAsia="Arial" w:cs="Arial"/>
          <w:i/>
          <w:sz w:val="22"/>
          <w:lang w:val="es-CO" w:eastAsia="es-ES" w:bidi="es-ES"/>
        </w:rPr>
        <w:t xml:space="preserve">ítems, </w:t>
      </w:r>
      <w:r w:rsidRPr="00C123CD">
        <w:rPr>
          <w:rFonts w:ascii="Arial" w:hAnsi="Arial" w:eastAsia="Arial" w:cs="Arial"/>
          <w:iCs/>
          <w:sz w:val="22"/>
          <w:lang w:val="es-CO" w:eastAsia="es-ES" w:bidi="es-ES"/>
        </w:rPr>
        <w:t>los cuales no podrán exced</w:t>
      </w:r>
      <w:r w:rsidR="002778C7">
        <w:rPr>
          <w:rFonts w:ascii="Arial" w:hAnsi="Arial" w:eastAsia="Arial" w:cs="Arial"/>
          <w:iCs/>
          <w:sz w:val="22"/>
          <w:lang w:val="es-CO" w:eastAsia="es-ES" w:bidi="es-ES"/>
        </w:rPr>
        <w:t>er</w:t>
      </w:r>
      <w:r w:rsidRPr="00C123CD">
        <w:rPr>
          <w:rFonts w:ascii="Arial" w:hAnsi="Arial" w:eastAsia="Arial" w:cs="Arial"/>
          <w:iCs/>
          <w:sz w:val="22"/>
          <w:lang w:val="es-CO" w:eastAsia="es-ES" w:bidi="es-ES"/>
        </w:rPr>
        <w:t xml:space="preserve"> los proponentes al presentar sus ofertas.</w:t>
      </w:r>
      <w:r w:rsidRPr="00C123CD">
        <w:rPr>
          <w:rFonts w:ascii="Arial" w:hAnsi="Arial" w:eastAsia="Arial" w:cs="Arial"/>
          <w:sz w:val="22"/>
          <w:lang w:val="es-CO" w:eastAsia="es-ES" w:bidi="es-ES"/>
        </w:rPr>
        <w:t xml:space="preserve"> La inclusión que hace la entidad de valores que no deben ser </w:t>
      </w:r>
      <w:r w:rsidRPr="00C123CD" w:rsidR="007A0055">
        <w:rPr>
          <w:rFonts w:ascii="Arial" w:hAnsi="Arial" w:eastAsia="Arial" w:cs="Arial"/>
          <w:sz w:val="22"/>
          <w:lang w:val="es-CO" w:eastAsia="es-ES" w:bidi="es-ES"/>
        </w:rPr>
        <w:t>superados</w:t>
      </w:r>
      <w:r w:rsidRPr="00C123CD">
        <w:rPr>
          <w:rFonts w:ascii="Arial" w:hAnsi="Arial" w:eastAsia="Arial" w:cs="Arial"/>
          <w:sz w:val="22"/>
          <w:lang w:val="es-CO" w:eastAsia="es-ES" w:bidi="es-ES"/>
        </w:rPr>
        <w:t xml:space="preserve"> por los proponentes al presentar sus ofertas debe estar justificada en situaciones y eventos particulares de determinados procedimientos de contratación. Cuando las entidades estructuran el </w:t>
      </w:r>
      <w:r w:rsidRPr="00C123CD" w:rsidR="007A0055">
        <w:rPr>
          <w:rFonts w:ascii="Arial" w:hAnsi="Arial" w:eastAsia="Calibri" w:cs="Arial"/>
          <w:sz w:val="22"/>
          <w:lang w:val="es-CO"/>
        </w:rPr>
        <w:t>«Formulario 1 – Formulario de Presupuesto Oficial»</w:t>
      </w:r>
      <w:r w:rsidRPr="00C123CD">
        <w:rPr>
          <w:rFonts w:ascii="Arial" w:hAnsi="Arial" w:eastAsia="Arial" w:cs="Arial"/>
          <w:sz w:val="22"/>
          <w:lang w:val="es-CO" w:eastAsia="es-ES" w:bidi="es-ES"/>
        </w:rPr>
        <w:t xml:space="preserve">, incluyendo este tipo de </w:t>
      </w:r>
      <w:r w:rsidRPr="00C123CD">
        <w:rPr>
          <w:rFonts w:ascii="Arial" w:hAnsi="Arial" w:eastAsia="Arial" w:cs="Arial"/>
          <w:i/>
          <w:sz w:val="22"/>
          <w:lang w:val="es-CO" w:eastAsia="es-ES" w:bidi="es-ES"/>
        </w:rPr>
        <w:t>ítems</w:t>
      </w:r>
      <w:r w:rsidRPr="00C123CD">
        <w:rPr>
          <w:rFonts w:ascii="Arial" w:hAnsi="Arial" w:eastAsia="Arial" w:cs="Arial"/>
          <w:sz w:val="22"/>
          <w:lang w:val="es-CO" w:eastAsia="es-ES" w:bidi="es-ES"/>
        </w:rPr>
        <w:t xml:space="preserve"> y justificando su decisión, los proponentes deben incluirlos dentro de la oferta económica sin exceder el valor que la entidad ha definido, so pena del rechazo de la propuesta</w:t>
      </w:r>
      <w:r w:rsidRPr="00C123CD">
        <w:rPr>
          <w:rFonts w:ascii="Arial" w:hAnsi="Arial" w:eastAsia="Arial" w:cs="Arial"/>
          <w:sz w:val="22"/>
          <w:vertAlign w:val="superscript"/>
          <w:lang w:val="es-CO" w:eastAsia="es-ES" w:bidi="es-ES"/>
        </w:rPr>
        <w:footnoteReference w:id="1"/>
      </w:r>
      <w:r w:rsidRPr="00C123CD">
        <w:rPr>
          <w:rFonts w:ascii="Arial" w:hAnsi="Arial" w:eastAsia="Arial" w:cs="Arial"/>
          <w:sz w:val="22"/>
          <w:lang w:val="es-CO" w:eastAsia="es-ES" w:bidi="es-ES"/>
        </w:rPr>
        <w:t xml:space="preserve">. </w:t>
      </w:r>
    </w:p>
    <w:p w:rsidRPr="00C123CD" w:rsidR="00FA57FD" w:rsidP="0027211F" w:rsidRDefault="0085256D" w14:paraId="0A01F4C3" w14:textId="4F2746C4">
      <w:pPr>
        <w:widowControl w:val="0"/>
        <w:autoSpaceDE w:val="0"/>
        <w:autoSpaceDN w:val="0"/>
        <w:spacing w:before="120" w:line="276" w:lineRule="auto"/>
        <w:ind w:firstLine="709"/>
        <w:jc w:val="both"/>
        <w:rPr>
          <w:rFonts w:ascii="Arial" w:hAnsi="Arial" w:eastAsia="Arial" w:cs="Arial"/>
          <w:sz w:val="22"/>
          <w:lang w:val="es-CO" w:eastAsia="es-ES" w:bidi="es-ES"/>
        </w:rPr>
      </w:pPr>
      <w:r w:rsidRPr="00C123CD">
        <w:rPr>
          <w:rFonts w:ascii="Arial" w:hAnsi="Arial" w:eastAsia="Arial" w:cs="Arial"/>
          <w:sz w:val="22"/>
          <w:lang w:val="es-CO" w:eastAsia="es-ES" w:bidi="es-ES"/>
        </w:rPr>
        <w:lastRenderedPageBreak/>
        <w:t xml:space="preserve">Así mismo, cuando el proceso de contratación es estructurado por precios unitarios, el formulario establece que </w:t>
      </w:r>
      <w:r w:rsidRPr="00C123CD">
        <w:rPr>
          <w:rFonts w:ascii="Arial" w:hAnsi="Arial" w:eastAsia="Calibri" w:cs="Arial"/>
          <w:sz w:val="22"/>
          <w:lang w:val="es-CO"/>
        </w:rPr>
        <w:t>«</w:t>
      </w:r>
      <w:r w:rsidRPr="00C123CD">
        <w:rPr>
          <w:rFonts w:ascii="Arial" w:hAnsi="Arial" w:eastAsia="Arial" w:cs="Arial"/>
          <w:sz w:val="22"/>
          <w:lang w:val="es-CO" w:eastAsia="es-ES" w:bidi="es-ES"/>
        </w:rPr>
        <w:t xml:space="preserve">la Entidad debe aplicar las notas 1, 2 y 3 del presente formulario y las casillas de "Descripción", "Porcentaje" de la Administración, Imprevisto, Utilidad y total A.I.U. resaltadas en color amarillo. Tratándose de otras modalidades de precio, la Entidad puede o no configurar los mismos». </w:t>
      </w:r>
      <w:r w:rsidRPr="00C123CD" w:rsidR="00FA57FD">
        <w:rPr>
          <w:rFonts w:ascii="Arial" w:hAnsi="Arial" w:eastAsia="Arial" w:cs="Arial"/>
          <w:sz w:val="22"/>
          <w:lang w:val="es-CO" w:eastAsia="es-ES" w:bidi="es-ES"/>
        </w:rPr>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rsidRPr="00C123CD" w:rsidR="00465749" w:rsidP="0027211F" w:rsidRDefault="00465749" w14:paraId="30D2B175" w14:textId="77777777">
      <w:pPr>
        <w:widowControl w:val="0"/>
        <w:autoSpaceDE w:val="0"/>
        <w:autoSpaceDN w:val="0"/>
        <w:spacing w:before="120" w:line="276" w:lineRule="auto"/>
        <w:ind w:firstLine="709"/>
        <w:jc w:val="both"/>
        <w:rPr>
          <w:rFonts w:ascii="Arial" w:hAnsi="Arial" w:eastAsia="Arial" w:cs="Arial"/>
          <w:sz w:val="22"/>
          <w:lang w:val="es-CO" w:eastAsia="es-ES" w:bidi="es-ES"/>
        </w:rPr>
      </w:pPr>
      <w:r w:rsidRPr="00C123CD">
        <w:rPr>
          <w:rFonts w:ascii="Arial" w:hAnsi="Arial" w:eastAsia="Arial" w:cs="Arial"/>
          <w:sz w:val="22"/>
          <w:lang w:val="es-CO" w:eastAsia="es-ES" w:bidi="es-ES"/>
        </w:rPr>
        <w:t>En tal sentido, las entidades estatales incluirán de manera obligatoria el porcentaje de la administración, imprevistos y utilidad, cuando el proceso de contratación sea por precios unitarios. En consecuencia, las entidades no podrán omitir alguno de sus componentes y lo definirán de acuerdo con el estudio de mercado y el sector, incluyendo el valor que consideren procedente.</w:t>
      </w:r>
    </w:p>
    <w:p w:rsidRPr="00C123CD" w:rsidR="00691601" w:rsidP="0027211F" w:rsidRDefault="008475BC" w14:paraId="344B0C3A" w14:textId="2A16DA5A">
      <w:pPr>
        <w:pStyle w:val="Textoindependiente"/>
        <w:spacing w:before="120" w:line="276" w:lineRule="auto"/>
        <w:ind w:firstLine="709"/>
        <w:jc w:val="both"/>
        <w:rPr>
          <w:rFonts w:eastAsia="Calibri"/>
          <w:lang w:val="es-CO"/>
        </w:rPr>
      </w:pPr>
      <w:r w:rsidRPr="00C123CD">
        <w:rPr>
          <w:rFonts w:eastAsia="Calibri"/>
          <w:lang w:val="es-CO"/>
        </w:rPr>
        <w:t>En cuanto a la pestaña de</w:t>
      </w:r>
      <w:r w:rsidRPr="00C123CD" w:rsidR="00272082">
        <w:rPr>
          <w:rFonts w:eastAsia="Calibri"/>
          <w:lang w:val="es-CO"/>
        </w:rPr>
        <w:t xml:space="preserve"> «propuesta económica»</w:t>
      </w:r>
      <w:r w:rsidRPr="00C123CD">
        <w:rPr>
          <w:rFonts w:eastAsia="Calibri"/>
          <w:lang w:val="es-CO"/>
        </w:rPr>
        <w:t xml:space="preserve">, como se </w:t>
      </w:r>
      <w:r w:rsidRPr="00C123CD" w:rsidR="00691601">
        <w:rPr>
          <w:rFonts w:eastAsia="Calibri"/>
          <w:lang w:val="es-CO"/>
        </w:rPr>
        <w:t>indicó</w:t>
      </w:r>
      <w:r w:rsidRPr="00C123CD">
        <w:rPr>
          <w:rFonts w:eastAsia="Calibri"/>
          <w:lang w:val="es-CO"/>
        </w:rPr>
        <w:t>, esta tiene el propósito de servir de instrumento para que los proponentes determinen su ofrecimiento económico. No obstante,</w:t>
      </w:r>
      <w:r w:rsidR="00FE1A20">
        <w:rPr>
          <w:rFonts w:eastAsia="Calibri"/>
          <w:lang w:val="es-CO"/>
        </w:rPr>
        <w:t xml:space="preserve"> </w:t>
      </w:r>
      <w:r w:rsidRPr="00C123CD">
        <w:rPr>
          <w:rFonts w:eastAsia="Calibri"/>
          <w:lang w:val="es-CO"/>
        </w:rPr>
        <w:t xml:space="preserve"> la parte superior derecha del formulario</w:t>
      </w:r>
      <w:r w:rsidRPr="00C123CD" w:rsidR="004C1F93">
        <w:rPr>
          <w:rFonts w:eastAsia="Calibri"/>
          <w:lang w:val="es-CO"/>
        </w:rPr>
        <w:t xml:space="preserve"> </w:t>
      </w:r>
      <w:r w:rsidR="00FE1A20">
        <w:rPr>
          <w:rFonts w:eastAsia="Calibri"/>
          <w:lang w:val="es-CO"/>
        </w:rPr>
        <w:t>dispone</w:t>
      </w:r>
      <w:r w:rsidRPr="00C123CD" w:rsidR="00BD60EF">
        <w:rPr>
          <w:rFonts w:eastAsia="Calibri"/>
          <w:lang w:val="es-CO"/>
        </w:rPr>
        <w:t xml:space="preserve"> lo siguiente</w:t>
      </w:r>
      <w:r w:rsidRPr="00C123CD">
        <w:rPr>
          <w:rFonts w:eastAsia="Calibri"/>
          <w:lang w:val="es-CO"/>
        </w:rPr>
        <w:t>:</w:t>
      </w:r>
      <w:r w:rsidRPr="00C123CD" w:rsidR="00BD60EF">
        <w:rPr>
          <w:rFonts w:eastAsia="Calibri"/>
          <w:lang w:val="es-CO"/>
        </w:rPr>
        <w:t xml:space="preserve"> </w:t>
      </w:r>
      <w:r w:rsidRPr="00C123CD">
        <w:rPr>
          <w:rFonts w:eastAsia="Calibri"/>
          <w:lang w:val="es-CO"/>
        </w:rPr>
        <w:t xml:space="preserve">«[La entidad puede utilizar este formulario de presentación de propuesta económica de forma detallada, sin perjuicio que la entidad pueda modificarlo o establecer la presentación de la oferta económica con un formulario distinto al indicado.]». </w:t>
      </w:r>
      <w:r w:rsidRPr="00C123CD" w:rsidR="00BD60EF">
        <w:rPr>
          <w:rFonts w:eastAsia="Calibri"/>
          <w:color w:val="000000" w:themeColor="text1"/>
          <w:lang w:val="es-CO"/>
        </w:rPr>
        <w:t>Igualmente</w:t>
      </w:r>
      <w:r w:rsidRPr="00C123CD" w:rsidR="00B502C8">
        <w:rPr>
          <w:rFonts w:eastAsia="Calibri"/>
          <w:color w:val="000000" w:themeColor="text1"/>
          <w:lang w:val="es-CO"/>
        </w:rPr>
        <w:t>,</w:t>
      </w:r>
      <w:r w:rsidRPr="00C123CD" w:rsidR="00BD60EF">
        <w:rPr>
          <w:rFonts w:eastAsia="Calibri"/>
          <w:color w:val="000000" w:themeColor="text1"/>
          <w:lang w:val="es-CO"/>
        </w:rPr>
        <w:t xml:space="preserve"> se indica que los proponentes emplearán el formulario establecido por la entidad para determinar su propuesta económica conforme al </w:t>
      </w:r>
      <w:r w:rsidR="00FE1A20">
        <w:rPr>
          <w:rFonts w:eastAsia="Calibri"/>
          <w:color w:val="000000" w:themeColor="text1"/>
          <w:lang w:val="es-CO"/>
        </w:rPr>
        <w:t>«</w:t>
      </w:r>
      <w:r w:rsidRPr="00C123CD" w:rsidR="00BD60EF">
        <w:rPr>
          <w:rFonts w:eastAsia="Calibri"/>
          <w:color w:val="000000" w:themeColor="text1"/>
          <w:lang w:val="es-CO"/>
        </w:rPr>
        <w:t xml:space="preserve">Formulario 1 </w:t>
      </w:r>
      <w:r w:rsidR="00FE1A20">
        <w:rPr>
          <w:rFonts w:eastAsia="Calibri"/>
          <w:color w:val="000000" w:themeColor="text1"/>
          <w:lang w:val="es-CO"/>
        </w:rPr>
        <w:t>–</w:t>
      </w:r>
      <w:r w:rsidRPr="00C123CD" w:rsidR="00BD60EF">
        <w:rPr>
          <w:rFonts w:eastAsia="Calibri"/>
          <w:color w:val="000000" w:themeColor="text1"/>
          <w:lang w:val="es-CO"/>
        </w:rPr>
        <w:t xml:space="preserve"> Presupuesto Oficial</w:t>
      </w:r>
      <w:r w:rsidR="00FE1A20">
        <w:rPr>
          <w:rFonts w:eastAsia="Calibri"/>
          <w:color w:val="000000" w:themeColor="text1"/>
          <w:lang w:val="es-CO"/>
        </w:rPr>
        <w:t>»</w:t>
      </w:r>
      <w:r w:rsidRPr="00C123CD" w:rsidR="00BD60EF">
        <w:rPr>
          <w:rFonts w:eastAsia="Calibri"/>
          <w:color w:val="000000" w:themeColor="text1"/>
          <w:lang w:val="es-CO"/>
        </w:rPr>
        <w:t xml:space="preserve"> publicado por la Entidad</w:t>
      </w:r>
      <w:r w:rsidRPr="00C123CD" w:rsidR="00241DC2">
        <w:rPr>
          <w:rFonts w:eastAsia="Calibri"/>
          <w:color w:val="000000" w:themeColor="text1"/>
          <w:lang w:val="es-CO"/>
        </w:rPr>
        <w:t>. Esto</w:t>
      </w:r>
      <w:r w:rsidRPr="00C123CD" w:rsidR="00BD60EF">
        <w:rPr>
          <w:rFonts w:eastAsia="Calibri"/>
          <w:lang w:val="es-CO"/>
        </w:rPr>
        <w:t xml:space="preserve"> significa </w:t>
      </w:r>
      <w:r w:rsidRPr="00C123CD">
        <w:rPr>
          <w:rFonts w:eastAsia="Calibri"/>
          <w:lang w:val="es-CO"/>
        </w:rPr>
        <w:t>que las entidades pueden diseñar un formulario para que los proponentes presenten su oferta económica, sin que sea obligatorio sujetarse al formulario que los documentos tipo disponen para el efecto.</w:t>
      </w:r>
      <w:r w:rsidRPr="00C123CD" w:rsidR="00691601">
        <w:rPr>
          <w:bCs/>
          <w:lang w:val="es-CO"/>
        </w:rPr>
        <w:t xml:space="preserve"> </w:t>
      </w:r>
      <w:r w:rsidRPr="00C123CD" w:rsidR="00BD60EF">
        <w:rPr>
          <w:bCs/>
          <w:lang w:val="es-CO"/>
        </w:rPr>
        <w:t xml:space="preserve">En todo caso, el proponente deberá emplear el </w:t>
      </w:r>
      <w:r w:rsidRPr="00C123CD" w:rsidR="00006681">
        <w:rPr>
          <w:bCs/>
          <w:lang w:val="es-CO"/>
        </w:rPr>
        <w:t>formulario que establezca la entidad</w:t>
      </w:r>
      <w:r w:rsidRPr="00C123CD" w:rsidR="00A0654C">
        <w:rPr>
          <w:bCs/>
          <w:lang w:val="es-CO"/>
        </w:rPr>
        <w:t xml:space="preserve">. </w:t>
      </w:r>
    </w:p>
    <w:p w:rsidRPr="00C123CD" w:rsidR="00691601" w:rsidRDefault="00BD60EF" w14:paraId="737174E7" w14:textId="545808B6">
      <w:pPr>
        <w:pStyle w:val="Textoindependiente"/>
        <w:spacing w:before="120" w:line="276" w:lineRule="auto"/>
        <w:ind w:firstLine="709"/>
        <w:jc w:val="both"/>
        <w:rPr>
          <w:bCs/>
          <w:highlight w:val="yellow"/>
          <w:lang w:val="es-CO"/>
        </w:rPr>
      </w:pPr>
      <w:r w:rsidRPr="00C123CD">
        <w:rPr>
          <w:bCs/>
          <w:lang w:val="es-CO"/>
        </w:rPr>
        <w:t xml:space="preserve">Lo anterior </w:t>
      </w:r>
      <w:r w:rsidR="00C15960">
        <w:rPr>
          <w:bCs/>
          <w:lang w:val="es-CO"/>
        </w:rPr>
        <w:t>concuerda con</w:t>
      </w:r>
      <w:r w:rsidRPr="00C123CD" w:rsidR="00691601">
        <w:rPr>
          <w:bCs/>
          <w:lang w:val="es-CO"/>
        </w:rPr>
        <w:t xml:space="preserve"> el numeral 4.1 del </w:t>
      </w:r>
      <w:r w:rsidRPr="009A2803" w:rsidR="00FE1A20">
        <w:rPr>
          <w:bCs/>
          <w:lang w:val="es-CO"/>
        </w:rPr>
        <w:t>documento base</w:t>
      </w:r>
      <w:r w:rsidRPr="00C123CD" w:rsidR="00691601">
        <w:rPr>
          <w:bCs/>
          <w:lang w:val="es-CO"/>
        </w:rPr>
        <w:t xml:space="preserve">, </w:t>
      </w:r>
      <w:r w:rsidRPr="00C123CD" w:rsidR="00B502C8">
        <w:rPr>
          <w:bCs/>
          <w:lang w:val="es-CO"/>
        </w:rPr>
        <w:t>el cual</w:t>
      </w:r>
      <w:r w:rsidRPr="00C123CD" w:rsidR="00691601">
        <w:rPr>
          <w:bCs/>
          <w:lang w:val="es-CO"/>
        </w:rPr>
        <w:t xml:space="preserve"> </w:t>
      </w:r>
      <w:r w:rsidR="00FE1A20">
        <w:rPr>
          <w:bCs/>
          <w:lang w:val="es-CO"/>
        </w:rPr>
        <w:t>prescribe</w:t>
      </w:r>
      <w:r w:rsidRPr="00C123CD" w:rsidR="00FE1A20">
        <w:rPr>
          <w:bCs/>
          <w:lang w:val="es-CO"/>
        </w:rPr>
        <w:t xml:space="preserve"> </w:t>
      </w:r>
      <w:r w:rsidRPr="00C123CD" w:rsidR="00691601">
        <w:rPr>
          <w:bCs/>
          <w:lang w:val="es-CO"/>
        </w:rPr>
        <w:t xml:space="preserve">que la entidad «debe configurar el formato de oferta económica que se encuentra en el Formulario 1 – Formulario de Presupuesto Oficial, para que sea diligenciado por los Proponentes». En </w:t>
      </w:r>
      <w:r w:rsidR="00C77CDD">
        <w:rPr>
          <w:bCs/>
          <w:lang w:val="es-CO"/>
        </w:rPr>
        <w:t>estos</w:t>
      </w:r>
      <w:r w:rsidRPr="00C123CD" w:rsidR="00691601">
        <w:rPr>
          <w:bCs/>
          <w:lang w:val="es-CO"/>
        </w:rPr>
        <w:t xml:space="preserve"> términos, la presentación de la oferta económica</w:t>
      </w:r>
      <w:r w:rsidRPr="00C123CD" w:rsidR="00A0654C">
        <w:rPr>
          <w:bCs/>
          <w:lang w:val="es-CO"/>
        </w:rPr>
        <w:t xml:space="preserve"> por parte del proponente se realizará teniendo en cuenta el formato determinado por la entidad, sea el </w:t>
      </w:r>
      <w:r w:rsidRPr="00C123CD" w:rsidR="00A0654C">
        <w:rPr>
          <w:bCs/>
          <w:lang w:val="es-CO"/>
        </w:rPr>
        <w:lastRenderedPageBreak/>
        <w:t>que configure de acuerdo con el formulario 1 o aquel que disponga sobre el par</w:t>
      </w:r>
      <w:r w:rsidRPr="00C123CD" w:rsidR="005A63F0">
        <w:rPr>
          <w:bCs/>
          <w:lang w:val="es-CO"/>
        </w:rPr>
        <w:t>ticular.</w:t>
      </w:r>
      <w:r w:rsidR="00557358">
        <w:rPr>
          <w:bCs/>
          <w:lang w:val="es-CO"/>
        </w:rPr>
        <w:t xml:space="preserve"> </w:t>
      </w:r>
      <w:r w:rsidRPr="00C123CD" w:rsidR="00691601">
        <w:rPr>
          <w:bCs/>
          <w:lang w:val="es-CO"/>
        </w:rPr>
        <w:t>Ad</w:t>
      </w:r>
      <w:r w:rsidRPr="00C123CD" w:rsidR="005A63F0">
        <w:rPr>
          <w:bCs/>
          <w:lang w:val="es-CO"/>
        </w:rPr>
        <w:t xml:space="preserve">icionalmente, </w:t>
      </w:r>
      <w:r w:rsidRPr="00C123CD" w:rsidR="00691601">
        <w:rPr>
          <w:bCs/>
          <w:lang w:val="es-CO"/>
        </w:rPr>
        <w:t>al presentar su oferta</w:t>
      </w:r>
      <w:r w:rsidRPr="00C123CD" w:rsidR="00B502C8">
        <w:rPr>
          <w:bCs/>
          <w:lang w:val="es-CO"/>
        </w:rPr>
        <w:t>,</w:t>
      </w:r>
      <w:r w:rsidRPr="00C123CD" w:rsidR="00691601">
        <w:rPr>
          <w:bCs/>
          <w:lang w:val="es-CO"/>
        </w:rPr>
        <w:t xml:space="preserve"> </w:t>
      </w:r>
      <w:r w:rsidRPr="00C123CD" w:rsidR="00B502C8">
        <w:rPr>
          <w:bCs/>
          <w:lang w:val="es-CO"/>
        </w:rPr>
        <w:t xml:space="preserve">los proponentes </w:t>
      </w:r>
      <w:r w:rsidRPr="00C123CD" w:rsidR="00691601">
        <w:rPr>
          <w:bCs/>
          <w:lang w:val="es-CO"/>
        </w:rPr>
        <w:t xml:space="preserve">deberán ceñirse a las reglas para la presentación de oferta </w:t>
      </w:r>
      <w:r w:rsidR="00C77CDD">
        <w:rPr>
          <w:bCs/>
          <w:lang w:val="es-CO"/>
        </w:rPr>
        <w:t>dispuestas</w:t>
      </w:r>
      <w:r w:rsidRPr="00C123CD" w:rsidR="00C77CDD">
        <w:rPr>
          <w:bCs/>
          <w:lang w:val="es-CO"/>
        </w:rPr>
        <w:t xml:space="preserve"> </w:t>
      </w:r>
      <w:r w:rsidRPr="00C123CD" w:rsidR="00691601">
        <w:rPr>
          <w:bCs/>
          <w:lang w:val="es-CO"/>
        </w:rPr>
        <w:t xml:space="preserve">en los numerales 2.3, 2.3.2 y 4.1 </w:t>
      </w:r>
      <w:r w:rsidRPr="00C123CD" w:rsidR="00B502C8">
        <w:rPr>
          <w:bCs/>
          <w:lang w:val="es-CO"/>
        </w:rPr>
        <w:t xml:space="preserve">del </w:t>
      </w:r>
      <w:r w:rsidRPr="009A2803" w:rsidR="00C77CDD">
        <w:rPr>
          <w:bCs/>
          <w:lang w:val="es-CO"/>
        </w:rPr>
        <w:t>documento base</w:t>
      </w:r>
      <w:r w:rsidRPr="00C123CD" w:rsidR="00691601">
        <w:rPr>
          <w:bCs/>
          <w:lang w:val="es-CO"/>
        </w:rPr>
        <w:t xml:space="preserve">, así como observar el análisis de precios unitarios, procurando no ofertar por encima de los valores tope establecidos por la entidad para algunos de los </w:t>
      </w:r>
      <w:r w:rsidRPr="00C123CD" w:rsidR="00691601">
        <w:rPr>
          <w:bCs/>
          <w:i/>
          <w:iCs/>
          <w:lang w:val="es-CO"/>
        </w:rPr>
        <w:t>ítems</w:t>
      </w:r>
      <w:r w:rsidRPr="00C123CD" w:rsidR="00691601">
        <w:rPr>
          <w:bCs/>
          <w:lang w:val="es-CO"/>
        </w:rPr>
        <w:t xml:space="preserve">.  </w:t>
      </w:r>
    </w:p>
    <w:p w:rsidRPr="00C123CD" w:rsidR="00691601" w:rsidP="0027211F" w:rsidRDefault="00691601" w14:paraId="629EBA2D" w14:textId="505312AC">
      <w:pPr>
        <w:pStyle w:val="Textoindependiente"/>
        <w:spacing w:before="120" w:line="276" w:lineRule="auto"/>
        <w:jc w:val="both"/>
        <w:rPr>
          <w:bCs/>
          <w:lang w:val="es-CO"/>
        </w:rPr>
      </w:pPr>
      <w:r w:rsidRPr="00C123CD">
        <w:rPr>
          <w:b/>
          <w:lang w:val="es-CO"/>
        </w:rPr>
        <w:tab/>
      </w:r>
      <w:r w:rsidRPr="00C123CD">
        <w:rPr>
          <w:bCs/>
          <w:lang w:val="es-CO"/>
        </w:rPr>
        <w:t xml:space="preserve"> </w:t>
      </w:r>
      <w:r w:rsidRPr="00C123CD" w:rsidR="00241DC2">
        <w:rPr>
          <w:bCs/>
          <w:lang w:val="es-CO"/>
        </w:rPr>
        <w:t xml:space="preserve">En el evento en que el proceso de contratación </w:t>
      </w:r>
      <w:r w:rsidRPr="00C123CD" w:rsidR="009C6BE9">
        <w:rPr>
          <w:bCs/>
          <w:lang w:val="es-CO"/>
        </w:rPr>
        <w:t>sea</w:t>
      </w:r>
      <w:r w:rsidRPr="00C123CD" w:rsidR="00241DC2">
        <w:rPr>
          <w:bCs/>
          <w:lang w:val="es-CO"/>
        </w:rPr>
        <w:t xml:space="preserve"> estructurado por precios unitarios</w:t>
      </w:r>
      <w:r w:rsidRPr="00C123CD" w:rsidR="009C6BE9">
        <w:rPr>
          <w:bCs/>
          <w:lang w:val="es-CO"/>
        </w:rPr>
        <w:t xml:space="preserve">, </w:t>
      </w:r>
      <w:r w:rsidRPr="00C123CD" w:rsidR="00241DC2">
        <w:rPr>
          <w:bCs/>
          <w:lang w:val="es-CO"/>
        </w:rPr>
        <w:t xml:space="preserve">el formulario </w:t>
      </w:r>
      <w:r w:rsidRPr="00BB4353" w:rsidR="00D61B61">
        <w:rPr>
          <w:bCs/>
          <w:lang w:val="es-CO"/>
        </w:rPr>
        <w:t>dispone</w:t>
      </w:r>
      <w:r w:rsidRPr="009A2803" w:rsidR="00D61B61">
        <w:rPr>
          <w:bCs/>
          <w:lang w:val="es-CO"/>
        </w:rPr>
        <w:t xml:space="preserve"> </w:t>
      </w:r>
      <w:r w:rsidRPr="00C123CD" w:rsidR="00241DC2">
        <w:rPr>
          <w:bCs/>
          <w:lang w:val="es-CO"/>
        </w:rPr>
        <w:t xml:space="preserve">que la Entidad debe aplicar las notas 1, 2 y 3 del presente formato y las casillas de "Descripción", "Porcentaje" de la Administración, Imprevisto, Utilidad y total A.I.U.  resaltadas en color amarillo. Por tanto, de la misma manera en que se establece en la pestaña del </w:t>
      </w:r>
      <w:r w:rsidRPr="00C123CD" w:rsidR="00241DC2">
        <w:rPr>
          <w:rFonts w:eastAsia="Calibri"/>
          <w:lang w:val="es-CO"/>
        </w:rPr>
        <w:t xml:space="preserve">«presupuesto oficial», </w:t>
      </w:r>
      <w:r w:rsidRPr="00C123CD" w:rsidR="009C6BE9">
        <w:rPr>
          <w:rFonts w:eastAsia="Calibri"/>
          <w:lang w:val="es-CO"/>
        </w:rPr>
        <w:t xml:space="preserve">en estos casos </w:t>
      </w:r>
      <w:r w:rsidRPr="00C123CD" w:rsidR="00241DC2">
        <w:rPr>
          <w:rFonts w:eastAsia="Calibri"/>
          <w:lang w:val="es-CO"/>
        </w:rPr>
        <w:t xml:space="preserve">se </w:t>
      </w:r>
      <w:r w:rsidRPr="00C123CD" w:rsidR="00241DC2">
        <w:rPr>
          <w:lang w:val="es-CO" w:eastAsia="es-ES" w:bidi="es-ES"/>
        </w:rPr>
        <w:t>incluirán de</w:t>
      </w:r>
      <w:r w:rsidRPr="00C123CD" w:rsidR="009C6BE9">
        <w:rPr>
          <w:lang w:val="es-CO" w:eastAsia="es-ES" w:bidi="es-ES"/>
        </w:rPr>
        <w:t xml:space="preserve"> forma </w:t>
      </w:r>
      <w:r w:rsidRPr="00C123CD" w:rsidR="00241DC2">
        <w:rPr>
          <w:lang w:val="es-CO" w:eastAsia="es-ES" w:bidi="es-ES"/>
        </w:rPr>
        <w:t>obligatoria el porcentaje de la administración, imprevistos y utilidad</w:t>
      </w:r>
      <w:r w:rsidR="001F245E">
        <w:rPr>
          <w:lang w:val="es-CO" w:eastAsia="es-ES" w:bidi="es-ES"/>
        </w:rPr>
        <w:t>,</w:t>
      </w:r>
      <w:r w:rsidRPr="00C123CD" w:rsidR="00241DC2">
        <w:rPr>
          <w:lang w:val="es-CO" w:eastAsia="es-ES" w:bidi="es-ES"/>
        </w:rPr>
        <w:t xml:space="preserve"> y no podrán omitir alguno de sus componentes</w:t>
      </w:r>
      <w:r w:rsidRPr="00C123CD" w:rsidR="009C6BE9">
        <w:rPr>
          <w:lang w:val="es-CO" w:eastAsia="es-ES" w:bidi="es-ES"/>
        </w:rPr>
        <w:t>.</w:t>
      </w:r>
    </w:p>
    <w:p w:rsidRPr="00C123CD" w:rsidR="00691601" w:rsidP="0027211F" w:rsidRDefault="00006681" w14:paraId="21636CC9" w14:textId="0605D39B">
      <w:pPr>
        <w:pStyle w:val="Textoindependiente"/>
        <w:spacing w:before="120" w:line="276" w:lineRule="auto"/>
        <w:ind w:firstLine="709"/>
        <w:jc w:val="both"/>
        <w:rPr>
          <w:rFonts w:eastAsia="Calibri"/>
          <w:lang w:val="es-CO"/>
        </w:rPr>
      </w:pPr>
      <w:r w:rsidRPr="00C123CD">
        <w:rPr>
          <w:rFonts w:eastAsia="Calibri"/>
          <w:lang w:val="es-CO"/>
        </w:rPr>
        <w:t xml:space="preserve">Así las cosas, </w:t>
      </w:r>
      <w:r w:rsidRPr="00C123CD" w:rsidR="004C1F93">
        <w:rPr>
          <w:rFonts w:eastAsia="Calibri"/>
          <w:lang w:val="es-CO"/>
        </w:rPr>
        <w:t>para presentar ofertas en el marco de procesos de licitación pública</w:t>
      </w:r>
      <w:r w:rsidR="001F245E">
        <w:rPr>
          <w:rFonts w:eastAsia="Calibri"/>
          <w:lang w:val="es-CO"/>
        </w:rPr>
        <w:t xml:space="preserve"> para obras</w:t>
      </w:r>
      <w:r w:rsidRPr="00C123CD" w:rsidR="004C1F93">
        <w:rPr>
          <w:rFonts w:eastAsia="Calibri"/>
          <w:lang w:val="es-CO"/>
        </w:rPr>
        <w:t xml:space="preserve"> de infraestructura de transporte</w:t>
      </w:r>
      <w:r w:rsidRPr="00C123CD" w:rsidR="00241DC2">
        <w:rPr>
          <w:rFonts w:eastAsia="Calibri"/>
          <w:lang w:val="es-CO"/>
        </w:rPr>
        <w:t xml:space="preserve"> </w:t>
      </w:r>
      <w:r w:rsidR="001F245E">
        <w:rPr>
          <w:rFonts w:eastAsia="Calibri"/>
          <w:lang w:val="es-CO"/>
        </w:rPr>
        <w:t xml:space="preserve">– </w:t>
      </w:r>
      <w:r w:rsidRPr="00C123CD" w:rsidR="00241DC2">
        <w:rPr>
          <w:rFonts w:eastAsia="Calibri"/>
          <w:lang w:val="es-CO"/>
        </w:rPr>
        <w:t>Versión 3</w:t>
      </w:r>
      <w:r w:rsidRPr="00C123CD" w:rsidR="004C1F93">
        <w:rPr>
          <w:rFonts w:eastAsia="Calibri"/>
          <w:lang w:val="es-CO"/>
        </w:rPr>
        <w:t xml:space="preserve">, los oferentes </w:t>
      </w:r>
      <w:r w:rsidRPr="00C123CD" w:rsidR="009C6BE9">
        <w:rPr>
          <w:rFonts w:eastAsia="Calibri"/>
          <w:lang w:val="es-CO"/>
        </w:rPr>
        <w:t>deben</w:t>
      </w:r>
      <w:r w:rsidRPr="00C123CD" w:rsidR="004C1F93">
        <w:rPr>
          <w:rFonts w:eastAsia="Calibri"/>
          <w:lang w:val="es-CO"/>
        </w:rPr>
        <w:t xml:space="preserve"> usar la segunda </w:t>
      </w:r>
      <w:r w:rsidRPr="00C123CD" w:rsidR="009C6BE9">
        <w:rPr>
          <w:rFonts w:eastAsia="Calibri"/>
          <w:lang w:val="es-CO"/>
        </w:rPr>
        <w:t>pestaña</w:t>
      </w:r>
      <w:r w:rsidRPr="00C123CD" w:rsidR="004C1F93">
        <w:rPr>
          <w:rFonts w:eastAsia="Calibri"/>
          <w:lang w:val="es-CO"/>
        </w:rPr>
        <w:t xml:space="preserve"> del </w:t>
      </w:r>
      <w:r w:rsidRPr="00C123CD" w:rsidR="00241DC2">
        <w:rPr>
          <w:rFonts w:eastAsia="Calibri"/>
          <w:lang w:val="es-CO"/>
        </w:rPr>
        <w:t xml:space="preserve">«Formulario 1 – Formulario de Presupuesto Oficial» </w:t>
      </w:r>
      <w:r w:rsidRPr="00C123CD" w:rsidR="004C1F93">
        <w:rPr>
          <w:rFonts w:eastAsia="Calibri"/>
          <w:lang w:val="es-CO"/>
        </w:rPr>
        <w:t>puest</w:t>
      </w:r>
      <w:r w:rsidRPr="00C123CD" w:rsidR="009C6BE9">
        <w:rPr>
          <w:rFonts w:eastAsia="Calibri"/>
          <w:lang w:val="es-CO"/>
        </w:rPr>
        <w:t>a</w:t>
      </w:r>
      <w:r w:rsidRPr="00C123CD" w:rsidR="004C1F93">
        <w:rPr>
          <w:rFonts w:eastAsia="Calibri"/>
          <w:lang w:val="es-CO"/>
        </w:rPr>
        <w:t xml:space="preserve"> a disposición en formato Excel por la respectiva entidad, titulada </w:t>
      </w:r>
      <w:r w:rsidRPr="00C123CD" w:rsidR="00241DC2">
        <w:rPr>
          <w:rFonts w:eastAsia="Calibri"/>
          <w:lang w:val="es-CO"/>
        </w:rPr>
        <w:t>«propuesta económica»</w:t>
      </w:r>
      <w:r w:rsidR="001F245E">
        <w:rPr>
          <w:rFonts w:eastAsia="Calibri"/>
          <w:lang w:val="es-CO"/>
        </w:rPr>
        <w:t>. Esto</w:t>
      </w:r>
      <w:r w:rsidRPr="00C123CD" w:rsidR="00241DC2">
        <w:rPr>
          <w:rFonts w:eastAsia="Calibri"/>
          <w:lang w:val="es-CO"/>
        </w:rPr>
        <w:t xml:space="preserve"> </w:t>
      </w:r>
      <w:r w:rsidRPr="00C123CD" w:rsidR="004C1F93">
        <w:rPr>
          <w:rFonts w:eastAsia="Calibri"/>
          <w:lang w:val="es-CO"/>
        </w:rPr>
        <w:t>sin perjuicio de que las entidades estatales</w:t>
      </w:r>
      <w:r w:rsidRPr="00C123CD" w:rsidR="009C6BE9">
        <w:rPr>
          <w:rFonts w:eastAsia="Calibri"/>
          <w:lang w:val="es-CO"/>
        </w:rPr>
        <w:t xml:space="preserve"> modifiquen o establezcan la presentación de la oferta económica con un formulario distinto.</w:t>
      </w:r>
    </w:p>
    <w:p w:rsidRPr="00C123CD" w:rsidR="008475BC" w:rsidP="0027211F" w:rsidRDefault="008475BC" w14:paraId="243D28D3" w14:textId="4149AE7C">
      <w:pPr>
        <w:pStyle w:val="Textoindependiente"/>
        <w:spacing w:before="120" w:line="276" w:lineRule="auto"/>
        <w:ind w:firstLine="709"/>
        <w:jc w:val="both"/>
        <w:rPr>
          <w:sz w:val="18"/>
          <w:szCs w:val="18"/>
          <w:lang w:val="es-CO"/>
        </w:rPr>
      </w:pPr>
      <w:r w:rsidRPr="00C123CD">
        <w:rPr>
          <w:rFonts w:eastAsia="Calibri"/>
          <w:lang w:val="es-CO"/>
        </w:rPr>
        <w:t xml:space="preserve">Finalmente, la pestaña «indicar código del ítem de pago», es el análisis de precios unitarios </w:t>
      </w:r>
      <w:r w:rsidR="001F245E">
        <w:rPr>
          <w:rFonts w:eastAsia="Calibri"/>
          <w:lang w:val="es-CO"/>
        </w:rPr>
        <w:t>–</w:t>
      </w:r>
      <w:r w:rsidRPr="00C123CD">
        <w:rPr>
          <w:rFonts w:eastAsia="Calibri"/>
          <w:lang w:val="es-CO"/>
        </w:rPr>
        <w:t>APU</w:t>
      </w:r>
      <w:r w:rsidR="001F245E">
        <w:rPr>
          <w:rFonts w:eastAsia="Calibri"/>
          <w:lang w:val="es-CO"/>
        </w:rPr>
        <w:t>–</w:t>
      </w:r>
      <w:r w:rsidRPr="00C123CD">
        <w:rPr>
          <w:rFonts w:eastAsia="Calibri"/>
          <w:lang w:val="es-CO"/>
        </w:rPr>
        <w:t>, cuya estructura permite desagregar los ítems de la</w:t>
      </w:r>
      <w:r w:rsidRPr="00C123CD" w:rsidR="009C6BE9">
        <w:rPr>
          <w:rFonts w:eastAsia="Calibri"/>
          <w:lang w:val="es-CO"/>
        </w:rPr>
        <w:t xml:space="preserve"> pestaña</w:t>
      </w:r>
      <w:r w:rsidRPr="00C123CD">
        <w:rPr>
          <w:rFonts w:eastAsia="Calibri"/>
          <w:lang w:val="es-CO"/>
        </w:rPr>
        <w:t xml:space="preserve"> </w:t>
      </w:r>
      <w:r w:rsidRPr="00C123CD" w:rsidR="009C6BE9">
        <w:rPr>
          <w:rFonts w:eastAsia="Calibri"/>
          <w:lang w:val="es-CO"/>
        </w:rPr>
        <w:t xml:space="preserve">de «presupuesto oficial» </w:t>
      </w:r>
      <w:r w:rsidRPr="00C123CD">
        <w:rPr>
          <w:rFonts w:eastAsia="Calibri"/>
          <w:lang w:val="es-CO"/>
        </w:rPr>
        <w:t>en</w:t>
      </w:r>
      <w:r w:rsidRPr="00C123CD" w:rsidR="009C6BE9">
        <w:rPr>
          <w:rFonts w:eastAsia="Calibri"/>
          <w:lang w:val="es-CO"/>
        </w:rPr>
        <w:t xml:space="preserve"> los siguientes</w:t>
      </w:r>
      <w:r w:rsidRPr="00C123CD">
        <w:rPr>
          <w:rFonts w:eastAsia="Calibri"/>
          <w:lang w:val="es-CO"/>
        </w:rPr>
        <w:t>: i) equipo, ii) materiales, iii) transportes, iv) mano de obra y v) costos indirectos.</w:t>
      </w:r>
      <w:r w:rsidRPr="00C123CD" w:rsidR="00081247">
        <w:rPr>
          <w:rFonts w:eastAsia="Calibri"/>
          <w:lang w:val="es-CO"/>
        </w:rPr>
        <w:t xml:space="preserve"> De acuerdo con el numeral 4.1 del </w:t>
      </w:r>
      <w:r w:rsidRPr="009A2803" w:rsidR="00230D37">
        <w:rPr>
          <w:rFonts w:eastAsia="Calibri"/>
          <w:lang w:val="es-CO"/>
        </w:rPr>
        <w:t>documento base</w:t>
      </w:r>
      <w:r w:rsidRPr="00C123CD" w:rsidR="00081247">
        <w:rPr>
          <w:rFonts w:eastAsia="Calibri"/>
          <w:lang w:val="es-CO"/>
        </w:rPr>
        <w:t>, el desglose del APU es una referencia para que el proponente prepare la oferta.</w:t>
      </w:r>
      <w:r w:rsidRPr="00C123CD">
        <w:rPr>
          <w:rFonts w:eastAsia="Calibri"/>
          <w:lang w:val="es-CO"/>
        </w:rPr>
        <w:t xml:space="preserve"> La entidad podrá utilizar este formato para la presentación de los análisis de precios unitarios del contratista de acuerdo con lo previsto en el numeral 8.1 del </w:t>
      </w:r>
      <w:r w:rsidRPr="009A2803" w:rsidR="00230D37">
        <w:rPr>
          <w:rFonts w:eastAsia="Calibri"/>
          <w:lang w:val="es-CO"/>
        </w:rPr>
        <w:t>documento base</w:t>
      </w:r>
      <w:r w:rsidRPr="00C123CD" w:rsidR="004753ED">
        <w:rPr>
          <w:rStyle w:val="Refdenotaalpie"/>
          <w:rFonts w:eastAsia="Calibri"/>
          <w:lang w:val="es-CO"/>
        </w:rPr>
        <w:footnoteReference w:id="2"/>
      </w:r>
      <w:r w:rsidRPr="00C123CD">
        <w:rPr>
          <w:rFonts w:eastAsia="Calibri"/>
          <w:lang w:val="es-CO"/>
        </w:rPr>
        <w:t>.</w:t>
      </w:r>
    </w:p>
    <w:p w:rsidRPr="00C123CD" w:rsidR="00A40F07" w:rsidP="00081247" w:rsidRDefault="00A40F07" w14:paraId="173E6EA3" w14:textId="77777777">
      <w:pPr>
        <w:tabs>
          <w:tab w:val="left" w:pos="426"/>
        </w:tabs>
        <w:jc w:val="both"/>
        <w:rPr>
          <w:rFonts w:ascii="Arial" w:hAnsi="Arial" w:eastAsia="Calibri" w:cs="Arial"/>
          <w:color w:val="000000" w:themeColor="text1"/>
          <w:sz w:val="22"/>
          <w:lang w:val="es-CO" w:eastAsia="en-GB"/>
        </w:rPr>
      </w:pPr>
    </w:p>
    <w:p w:rsidRPr="00C123CD" w:rsidR="00682C11" w:rsidP="00682C11" w:rsidRDefault="00467C65" w14:paraId="5D5B71DC" w14:textId="7424E3FB">
      <w:pPr>
        <w:spacing w:line="276" w:lineRule="auto"/>
        <w:jc w:val="both"/>
        <w:rPr>
          <w:rFonts w:ascii="Arial" w:hAnsi="Arial" w:cs="Arial"/>
          <w:b/>
          <w:color w:val="000000" w:themeColor="text1"/>
          <w:sz w:val="22"/>
          <w:lang w:val="es-CO"/>
        </w:rPr>
      </w:pPr>
      <w:r w:rsidRPr="00C123CD">
        <w:rPr>
          <w:rFonts w:ascii="Arial" w:hAnsi="Arial" w:cs="Arial"/>
          <w:b/>
          <w:color w:val="000000" w:themeColor="text1"/>
          <w:sz w:val="22"/>
          <w:lang w:val="es-CO"/>
        </w:rPr>
        <w:t>2.</w:t>
      </w:r>
      <w:r w:rsidRPr="00C123CD" w:rsidR="00C74D17">
        <w:rPr>
          <w:rFonts w:ascii="Arial" w:hAnsi="Arial" w:cs="Arial"/>
          <w:b/>
          <w:color w:val="000000" w:themeColor="text1"/>
          <w:sz w:val="22"/>
          <w:lang w:val="es-CO"/>
        </w:rPr>
        <w:t>2</w:t>
      </w:r>
      <w:r w:rsidRPr="00C123CD">
        <w:rPr>
          <w:rFonts w:ascii="Arial" w:hAnsi="Arial" w:cs="Arial"/>
          <w:b/>
          <w:color w:val="000000" w:themeColor="text1"/>
          <w:sz w:val="22"/>
          <w:lang w:val="es-CO"/>
        </w:rPr>
        <w:t xml:space="preserve">. </w:t>
      </w:r>
      <w:r w:rsidRPr="00C123CD" w:rsidR="00E452FE">
        <w:rPr>
          <w:rFonts w:ascii="Arial" w:hAnsi="Arial" w:eastAsia="Calibri" w:cs="Arial"/>
          <w:b/>
          <w:bCs/>
          <w:color w:val="000000"/>
          <w:sz w:val="22"/>
          <w:lang w:val="es-CO" w:eastAsia="es-ES_tradnl"/>
        </w:rPr>
        <w:t>Regulación de las convocatorias limitadas a mipymes en el artículo 34 de la Ley 2069 de 2020</w:t>
      </w:r>
    </w:p>
    <w:p w:rsidRPr="00D63CF2" w:rsidR="00A1339C" w:rsidP="00A1339C" w:rsidRDefault="00A1339C" w14:paraId="33FB37FD" w14:textId="77777777">
      <w:pPr>
        <w:jc w:val="both"/>
        <w:rPr>
          <w:rFonts w:ascii="Arial" w:hAnsi="Arial" w:cs="Arial"/>
          <w:color w:val="000000" w:themeColor="text1"/>
          <w:sz w:val="22"/>
          <w:lang w:val="es-CO"/>
        </w:rPr>
      </w:pPr>
      <w:bookmarkStart w:name="_Hlk63848566" w:id="2"/>
    </w:p>
    <w:p w:rsidRPr="00C123CD" w:rsidR="00C0678F" w:rsidP="0027211F" w:rsidRDefault="00A1339C" w14:paraId="2A37CDCA" w14:textId="19463543">
      <w:pPr>
        <w:spacing w:line="276" w:lineRule="auto"/>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 xml:space="preserve">La Ley 2069 de 2020 «Por medio de la cual se impulsa el emprendimiento en Colombia», tiene por objeto «establecer un marco regulatorio que propicie el emprendimiento y el crecimiento, consolidación y sostenibilidad de las empresas, con el fin de aumentar el bienestar social y generar equidad». </w:t>
      </w:r>
      <w:r w:rsidRPr="00C123CD" w:rsidR="00083BDF">
        <w:rPr>
          <w:rFonts w:ascii="Arial" w:hAnsi="Arial" w:eastAsia="Calibri" w:cs="Arial"/>
          <w:color w:val="000000" w:themeColor="text1"/>
          <w:sz w:val="22"/>
          <w:lang w:val="es-CO"/>
        </w:rPr>
        <w:t>Según el</w:t>
      </w:r>
      <w:r w:rsidRPr="00C123CD">
        <w:rPr>
          <w:rFonts w:ascii="Arial" w:hAnsi="Arial" w:eastAsia="Calibri" w:cs="Arial"/>
          <w:color w:val="000000" w:themeColor="text1"/>
          <w:sz w:val="22"/>
          <w:lang w:val="es-CO"/>
        </w:rPr>
        <w:t xml:space="preserve"> artículo 84, esta </w:t>
      </w:r>
      <w:r w:rsidR="00D61B61">
        <w:rPr>
          <w:rFonts w:ascii="Arial" w:hAnsi="Arial" w:eastAsia="Calibri" w:cs="Arial"/>
          <w:color w:val="000000" w:themeColor="text1"/>
          <w:sz w:val="22"/>
          <w:lang w:val="es-CO"/>
        </w:rPr>
        <w:t>l</w:t>
      </w:r>
      <w:r w:rsidRPr="00C123CD">
        <w:rPr>
          <w:rFonts w:ascii="Arial" w:hAnsi="Arial" w:eastAsia="Calibri" w:cs="Arial"/>
          <w:color w:val="000000" w:themeColor="text1"/>
          <w:sz w:val="22"/>
          <w:lang w:val="es-CO"/>
        </w:rPr>
        <w:t xml:space="preserve">ey rige a partir de su promulgación, </w:t>
      </w:r>
      <w:r w:rsidRPr="00C123CD" w:rsidR="00083BDF">
        <w:rPr>
          <w:rFonts w:ascii="Arial" w:hAnsi="Arial" w:eastAsia="Calibri" w:cs="Arial"/>
          <w:color w:val="000000" w:themeColor="text1"/>
          <w:sz w:val="22"/>
          <w:lang w:val="es-CO"/>
        </w:rPr>
        <w:t xml:space="preserve">es decir, </w:t>
      </w:r>
      <w:r w:rsidRPr="00C123CD">
        <w:rPr>
          <w:rFonts w:ascii="Arial" w:hAnsi="Arial" w:eastAsia="Calibri" w:cs="Arial"/>
          <w:color w:val="000000" w:themeColor="text1"/>
          <w:sz w:val="22"/>
          <w:lang w:val="es-CO"/>
        </w:rPr>
        <w:t xml:space="preserve">el 31 de diciembre de 2020, lo cual significa que es obligatoria para sus destinatarios a partir de dicha fecha. </w:t>
      </w:r>
      <w:r w:rsidRPr="00C123CD" w:rsidR="00C0678F">
        <w:rPr>
          <w:rFonts w:ascii="Arial" w:hAnsi="Arial" w:eastAsia="Calibri" w:cs="Arial"/>
          <w:color w:val="000000" w:themeColor="text1"/>
          <w:sz w:val="22"/>
          <w:lang w:val="es-CO"/>
        </w:rPr>
        <w:t xml:space="preserve">Lo anterior, sin perjuicio de la posibilidad de que el gobierno nacional, en ejercicio de la potestad reglamentaria que le confiere el artículo 189, numeral 11, de la Constitución Política, expida el decreto correspondiente que permita la cumplida ejecución de </w:t>
      </w:r>
      <w:r w:rsidR="00734507">
        <w:rPr>
          <w:rFonts w:ascii="Arial" w:hAnsi="Arial" w:eastAsia="Calibri" w:cs="Arial"/>
          <w:color w:val="000000" w:themeColor="text1"/>
          <w:sz w:val="22"/>
          <w:lang w:val="es-CO"/>
        </w:rPr>
        <w:t>la misma</w:t>
      </w:r>
      <w:r w:rsidRPr="00C123CD" w:rsidR="00C0678F">
        <w:rPr>
          <w:rFonts w:ascii="Arial" w:hAnsi="Arial" w:eastAsia="Calibri" w:cs="Arial"/>
          <w:color w:val="000000" w:themeColor="text1"/>
          <w:sz w:val="22"/>
          <w:lang w:val="es-CO"/>
        </w:rPr>
        <w:t>.</w:t>
      </w:r>
    </w:p>
    <w:p w:rsidRPr="00C123CD" w:rsidR="009312E1" w:rsidP="0027211F" w:rsidRDefault="00CD4498" w14:paraId="23B72861" w14:textId="35760782">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bCs/>
          <w:color w:val="000000" w:themeColor="text1"/>
          <w:sz w:val="22"/>
          <w:lang w:val="es-CO"/>
        </w:rPr>
        <w:t xml:space="preserve">Los artículos 30 al 36 de la Ley 2069 de 2020 crean una serie de incentivos para las personas interesadas en celebrar contratos con el Estado. Particularmente, </w:t>
      </w:r>
      <w:r w:rsidRPr="00C123CD" w:rsidR="00C0678F">
        <w:rPr>
          <w:rFonts w:ascii="Arial" w:hAnsi="Arial" w:eastAsia="Calibri" w:cs="Arial"/>
          <w:color w:val="000000" w:themeColor="text1"/>
          <w:sz w:val="22"/>
          <w:lang w:val="es-CO"/>
        </w:rPr>
        <w:t>estas disposiciones modifican algunos aspectos de la contratación estatal para promover el emprendimiento, tales como: i) las reglas sobre la participación de las mipymes en el procedimiento de mínima cuantía</w:t>
      </w:r>
      <w:r w:rsidRPr="00C123CD" w:rsidR="00083BDF">
        <w:rPr>
          <w:rFonts w:ascii="Arial" w:hAnsi="Arial" w:eastAsia="Calibri" w:cs="Arial"/>
          <w:color w:val="000000" w:themeColor="text1"/>
          <w:sz w:val="22"/>
          <w:lang w:val="es-CO"/>
        </w:rPr>
        <w:t>;</w:t>
      </w:r>
      <w:r w:rsidRPr="00C123CD" w:rsidR="00C0678F">
        <w:rPr>
          <w:rFonts w:ascii="Arial" w:hAnsi="Arial" w:eastAsia="Calibri" w:cs="Arial"/>
          <w:color w:val="000000" w:themeColor="text1"/>
          <w:sz w:val="22"/>
          <w:lang w:val="es-CO"/>
        </w:rPr>
        <w:t xml:space="preserve"> ii) los criterios diferenciales para mipymes en el sistema de compras públicas</w:t>
      </w:r>
      <w:r w:rsidRPr="00C123CD" w:rsidR="00083BDF">
        <w:rPr>
          <w:rFonts w:ascii="Arial" w:hAnsi="Arial" w:eastAsia="Calibri" w:cs="Arial"/>
          <w:color w:val="000000" w:themeColor="text1"/>
          <w:sz w:val="22"/>
          <w:lang w:val="es-CO"/>
        </w:rPr>
        <w:t>;</w:t>
      </w:r>
      <w:r w:rsidRPr="00C123CD" w:rsidR="00C0678F">
        <w:rPr>
          <w:rFonts w:ascii="Arial" w:hAnsi="Arial" w:eastAsia="Calibri" w:cs="Arial"/>
          <w:color w:val="000000" w:themeColor="text1"/>
          <w:sz w:val="22"/>
          <w:lang w:val="es-CO"/>
        </w:rPr>
        <w:t xml:space="preserve"> iii) los criterios diferenciales para emprendimientos y empresas de mujeres en el sistema de compras públicas</w:t>
      </w:r>
      <w:r w:rsidRPr="00C123CD" w:rsidR="00083BDF">
        <w:rPr>
          <w:rFonts w:ascii="Arial" w:hAnsi="Arial" w:eastAsia="Calibri" w:cs="Arial"/>
          <w:color w:val="000000" w:themeColor="text1"/>
          <w:sz w:val="22"/>
          <w:lang w:val="es-CO"/>
        </w:rPr>
        <w:t>;</w:t>
      </w:r>
      <w:r w:rsidRPr="00C123CD" w:rsidR="00C0678F">
        <w:rPr>
          <w:rFonts w:ascii="Arial" w:hAnsi="Arial" w:eastAsia="Calibri" w:cs="Arial"/>
          <w:color w:val="000000" w:themeColor="text1"/>
          <w:sz w:val="22"/>
          <w:lang w:val="es-CO"/>
        </w:rPr>
        <w:t xml:space="preserve"> iv) la promoción del acceso de las mipymes al mercado de compras públicas</w:t>
      </w:r>
      <w:r w:rsidRPr="00C123CD" w:rsidR="00083BDF">
        <w:rPr>
          <w:rFonts w:ascii="Arial" w:hAnsi="Arial" w:eastAsia="Calibri" w:cs="Arial"/>
          <w:color w:val="000000" w:themeColor="text1"/>
          <w:sz w:val="22"/>
          <w:lang w:val="es-CO"/>
        </w:rPr>
        <w:t>;</w:t>
      </w:r>
      <w:r w:rsidRPr="00C123CD" w:rsidR="00C0678F">
        <w:rPr>
          <w:rFonts w:ascii="Arial" w:hAnsi="Arial" w:eastAsia="Calibri" w:cs="Arial"/>
          <w:color w:val="000000" w:themeColor="text1"/>
          <w:sz w:val="22"/>
          <w:lang w:val="es-CO"/>
        </w:rPr>
        <w:t xml:space="preserve"> v) la promoción del desarrollo en la contratación pública</w:t>
      </w:r>
      <w:r w:rsidRPr="00C123CD" w:rsidR="00083BDF">
        <w:rPr>
          <w:rFonts w:ascii="Arial" w:hAnsi="Arial" w:eastAsia="Calibri" w:cs="Arial"/>
          <w:color w:val="000000" w:themeColor="text1"/>
          <w:sz w:val="22"/>
          <w:lang w:val="es-CO"/>
        </w:rPr>
        <w:t>;</w:t>
      </w:r>
      <w:r w:rsidRPr="00C123CD" w:rsidR="00C0678F">
        <w:rPr>
          <w:rFonts w:ascii="Arial" w:hAnsi="Arial" w:eastAsia="Calibri" w:cs="Arial"/>
          <w:color w:val="000000" w:themeColor="text1"/>
          <w:sz w:val="22"/>
          <w:lang w:val="es-CO"/>
        </w:rPr>
        <w:t xml:space="preserve"> vi) establece un nuevo régimen de factores de desempate</w:t>
      </w:r>
      <w:r w:rsidRPr="00C123CD" w:rsidR="00083BDF">
        <w:rPr>
          <w:rFonts w:ascii="Arial" w:hAnsi="Arial" w:eastAsia="Calibri" w:cs="Arial"/>
          <w:color w:val="000000" w:themeColor="text1"/>
          <w:sz w:val="22"/>
          <w:lang w:val="es-CO"/>
        </w:rPr>
        <w:t>;</w:t>
      </w:r>
      <w:r w:rsidRPr="00C123CD" w:rsidR="00C0678F">
        <w:rPr>
          <w:rFonts w:ascii="Arial" w:hAnsi="Arial" w:eastAsia="Calibri" w:cs="Arial"/>
          <w:color w:val="000000" w:themeColor="text1"/>
          <w:sz w:val="22"/>
          <w:lang w:val="es-CO"/>
        </w:rPr>
        <w:t xml:space="preserve"> y vi) un llamado a las entidades estatales para que promuevan compras públicas en el marco de la tecnología y la innovación.</w:t>
      </w:r>
    </w:p>
    <w:p w:rsidRPr="00D63CF2" w:rsidR="0021420D" w:rsidP="0027211F" w:rsidRDefault="009312E1" w14:paraId="21F12577" w14:textId="1770E74B">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 xml:space="preserve">Frente a la promoción del desarrollo en la contratación pública, el </w:t>
      </w:r>
      <w:r w:rsidRPr="00C123CD" w:rsidR="00670580">
        <w:rPr>
          <w:rFonts w:ascii="Arial" w:hAnsi="Arial" w:eastAsia="Calibri" w:cs="Arial"/>
          <w:color w:val="000000" w:themeColor="text1"/>
          <w:sz w:val="22"/>
          <w:lang w:val="es-CO"/>
        </w:rPr>
        <w:t xml:space="preserve">artículo 34 de </w:t>
      </w:r>
      <w:r w:rsidR="00204300">
        <w:rPr>
          <w:rFonts w:ascii="Arial" w:hAnsi="Arial" w:eastAsia="Calibri" w:cs="Arial"/>
          <w:color w:val="000000" w:themeColor="text1"/>
          <w:sz w:val="22"/>
          <w:lang w:val="es-CO"/>
        </w:rPr>
        <w:t>l</w:t>
      </w:r>
      <w:r w:rsidRPr="00C123CD" w:rsidR="00670580">
        <w:rPr>
          <w:rFonts w:ascii="Arial" w:hAnsi="Arial" w:eastAsia="Calibri" w:cs="Arial"/>
          <w:color w:val="000000" w:themeColor="text1"/>
          <w:sz w:val="22"/>
          <w:lang w:val="es-CO"/>
        </w:rPr>
        <w:t>a Ley</w:t>
      </w:r>
      <w:r w:rsidR="00204300">
        <w:rPr>
          <w:rFonts w:ascii="Arial" w:hAnsi="Arial" w:eastAsia="Calibri" w:cs="Arial"/>
          <w:color w:val="000000" w:themeColor="text1"/>
          <w:sz w:val="22"/>
          <w:lang w:val="es-CO"/>
        </w:rPr>
        <w:t xml:space="preserve"> de Emprendimiento</w:t>
      </w:r>
      <w:r w:rsidRPr="00C123CD" w:rsidR="004D35C8">
        <w:rPr>
          <w:rStyle w:val="Refdenotaalpie"/>
          <w:rFonts w:ascii="Arial" w:hAnsi="Arial" w:eastAsia="Calibri" w:cs="Arial"/>
          <w:color w:val="000000" w:themeColor="text1"/>
          <w:sz w:val="22"/>
          <w:lang w:val="es-CO"/>
        </w:rPr>
        <w:footnoteReference w:id="3"/>
      </w:r>
      <w:r w:rsidRPr="00C123CD" w:rsidR="00670580">
        <w:rPr>
          <w:rFonts w:ascii="Arial" w:hAnsi="Arial" w:eastAsia="Calibri" w:cs="Arial"/>
          <w:color w:val="000000" w:themeColor="text1"/>
          <w:sz w:val="22"/>
          <w:lang w:val="es-CO"/>
        </w:rPr>
        <w:t xml:space="preserve"> modifica el artículo 12 de la Ley 1150 de 2007</w:t>
      </w:r>
      <w:r w:rsidR="00204300">
        <w:rPr>
          <w:rFonts w:ascii="Arial" w:hAnsi="Arial" w:eastAsia="Calibri" w:cs="Arial"/>
          <w:color w:val="000000" w:themeColor="text1"/>
          <w:sz w:val="22"/>
          <w:lang w:val="es-CO"/>
        </w:rPr>
        <w:t>,</w:t>
      </w:r>
      <w:r w:rsidRPr="00C123CD" w:rsidR="00670580">
        <w:rPr>
          <w:rFonts w:ascii="Arial" w:hAnsi="Arial" w:eastAsia="Calibri" w:cs="Arial"/>
          <w:color w:val="000000" w:themeColor="text1"/>
          <w:sz w:val="22"/>
          <w:lang w:val="es-CO"/>
        </w:rPr>
        <w:t xml:space="preserve"> y establece nuevas </w:t>
      </w:r>
      <w:r w:rsidRPr="00C123CD" w:rsidR="00670580">
        <w:rPr>
          <w:rFonts w:ascii="Arial" w:hAnsi="Arial" w:eastAsia="Calibri" w:cs="Arial"/>
          <w:color w:val="000000" w:themeColor="text1"/>
          <w:sz w:val="22"/>
          <w:lang w:val="es-CO"/>
        </w:rPr>
        <w:lastRenderedPageBreak/>
        <w:t>reglas sobre las convocatorias limitadas a mipymes en los procesos de contratación</w:t>
      </w:r>
      <w:r w:rsidRPr="00C123CD" w:rsidR="0021420D">
        <w:rPr>
          <w:rFonts w:ascii="Arial" w:hAnsi="Arial" w:eastAsia="Calibri" w:cs="Arial"/>
          <w:color w:val="000000" w:themeColor="text1"/>
          <w:sz w:val="22"/>
          <w:lang w:val="es-CO"/>
        </w:rPr>
        <w:t>, prescribiendo lo que se indica a continuación:</w:t>
      </w:r>
    </w:p>
    <w:p w:rsidRPr="00C123CD" w:rsidR="0021420D" w:rsidP="0027211F" w:rsidRDefault="0021420D" w14:paraId="3B370AF1" w14:textId="77777777">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Y agrega que estas convocatorias se pueden realizar también en el ámbito municipal o departamental en el que se ejecute el contrato. </w:t>
      </w:r>
    </w:p>
    <w:p w:rsidRPr="00C123CD" w:rsidR="0021420D" w:rsidP="0027211F" w:rsidRDefault="0021420D" w14:paraId="49AB88AE" w14:textId="77777777">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ii) Indica que dichas convocatorias se deben efectuar –y así lo deberá reglamentar el gobierno nacional– siempre y cuando, antes del acto administrativo de apertura del proceso de selección, por lo menos dos (2) mipymes hayan manifestado su interés.</w:t>
      </w:r>
    </w:p>
    <w:p w:rsidRPr="00C123CD" w:rsidR="0021420D" w:rsidP="0027211F" w:rsidRDefault="0021420D" w14:paraId="54A75FD7" w14:textId="77777777">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rsidRPr="00C123CD" w:rsidR="0021420D" w:rsidP="0027211F" w:rsidRDefault="0021420D" w14:paraId="341492C6" w14:textId="0D65BC53">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 xml:space="preserve">iv) </w:t>
      </w:r>
      <w:r w:rsidRPr="00C123CD" w:rsidR="00544C01">
        <w:rPr>
          <w:rFonts w:ascii="Arial" w:hAnsi="Arial" w:eastAsia="Calibri" w:cs="Arial"/>
          <w:color w:val="000000" w:themeColor="text1"/>
          <w:sz w:val="22"/>
          <w:lang w:val="es-CO"/>
        </w:rPr>
        <w:t>Estipula</w:t>
      </w:r>
      <w:r w:rsidRPr="00C123CD">
        <w:rPr>
          <w:rFonts w:ascii="Arial" w:hAnsi="Arial" w:eastAsia="Calibri" w:cs="Arial"/>
          <w:color w:val="000000" w:themeColor="text1"/>
          <w:sz w:val="22"/>
          <w:lang w:val="es-CO"/>
        </w:rPr>
        <w:t xml:space="preserve"> que, en el reglamento, el gobierno nacional podría establecer condiciones preferenciales para los bienes y servicios producidos por las mipymes, sin contrariar los compromisos internacionales vigentes.</w:t>
      </w:r>
    </w:p>
    <w:p w:rsidRPr="00C123CD" w:rsidR="0021420D" w:rsidP="0027211F" w:rsidRDefault="0021420D" w14:paraId="144F7D57" w14:textId="3945BF4F">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 xml:space="preserve">v)  Aclara que tanto las convocatorias limitadas a mipymes, como las condiciones preferenciales a favor de los bienes y servicios producidos por estas, no </w:t>
      </w:r>
      <w:r w:rsidRPr="00C123CD" w:rsidR="00544C01">
        <w:rPr>
          <w:rFonts w:ascii="Arial" w:hAnsi="Arial" w:eastAsia="Calibri" w:cs="Arial"/>
          <w:color w:val="000000" w:themeColor="text1"/>
          <w:sz w:val="22"/>
          <w:lang w:val="es-CO"/>
        </w:rPr>
        <w:t>son</w:t>
      </w:r>
      <w:r w:rsidRPr="00C123CD">
        <w:rPr>
          <w:rFonts w:ascii="Arial" w:hAnsi="Arial" w:eastAsia="Calibri" w:cs="Arial"/>
          <w:color w:val="000000" w:themeColor="text1"/>
          <w:sz w:val="22"/>
          <w:lang w:val="es-CO"/>
        </w:rPr>
        <w:t xml:space="preserve"> óbice para que deban cumplir las exigencias técnicas y económicas del proceso de selección.</w:t>
      </w:r>
    </w:p>
    <w:p w:rsidRPr="00C123CD" w:rsidR="0021420D" w:rsidP="0027211F" w:rsidRDefault="0021420D" w14:paraId="48882A0D" w14:textId="43C90E12">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vi) Señala que el reglamento que expida el gobierno nacional, además de las convocatorias limitadas a mipymes, deberá contener disposiciones normativas que permitan la provisión de bienes y servicios, a través de la celebración de contratos estatales con algunas personas que gozan de especial protección constitucional. Entre tales personas</w:t>
      </w:r>
      <w:r w:rsidRPr="00C123CD" w:rsidR="00544C01">
        <w:rPr>
          <w:rFonts w:ascii="Arial" w:hAnsi="Arial" w:eastAsia="Calibri" w:cs="Arial"/>
          <w:color w:val="000000" w:themeColor="text1"/>
          <w:sz w:val="22"/>
          <w:lang w:val="es-CO"/>
        </w:rPr>
        <w:t>,</w:t>
      </w:r>
      <w:r w:rsidRPr="00C123CD">
        <w:rPr>
          <w:rFonts w:ascii="Arial" w:hAnsi="Arial" w:eastAsia="Calibri" w:cs="Arial"/>
          <w:color w:val="000000" w:themeColor="text1"/>
          <w:sz w:val="22"/>
          <w:lang w:val="es-CO"/>
        </w:rPr>
        <w:t xml:space="preserve"> se encuentran las que tengan condiciones de pobreza extrema, las desplazadas por la violencia y quienes estén en procesos de reintegración o reincorporación, entre otras que incluya el reglamento.</w:t>
      </w:r>
    </w:p>
    <w:p w:rsidRPr="00C123CD" w:rsidR="0021420D" w:rsidP="0027211F" w:rsidRDefault="0021420D" w14:paraId="2AC21E73" w14:textId="56039435">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vii) Precisa que la posibilidad de participar en convocatorias limitadas a mipymes se encuentra condicionada a que estas acrediten</w:t>
      </w:r>
      <w:r w:rsidRPr="00C123CD" w:rsidR="00544C01">
        <w:rPr>
          <w:rFonts w:ascii="Arial" w:hAnsi="Arial" w:eastAsia="Calibri" w:cs="Arial"/>
          <w:color w:val="000000" w:themeColor="text1"/>
          <w:sz w:val="22"/>
          <w:lang w:val="es-CO"/>
        </w:rPr>
        <w:t>,</w:t>
      </w:r>
      <w:r w:rsidRPr="00C123CD">
        <w:rPr>
          <w:rFonts w:ascii="Arial" w:hAnsi="Arial" w:eastAsia="Calibri" w:cs="Arial"/>
          <w:color w:val="000000" w:themeColor="text1"/>
          <w:sz w:val="22"/>
          <w:lang w:val="es-CO"/>
        </w:rPr>
        <w:t xml:space="preserve"> como mínimo</w:t>
      </w:r>
      <w:r w:rsidRPr="00C123CD" w:rsidR="00544C01">
        <w:rPr>
          <w:rFonts w:ascii="Arial" w:hAnsi="Arial" w:eastAsia="Calibri" w:cs="Arial"/>
          <w:color w:val="000000" w:themeColor="text1"/>
          <w:sz w:val="22"/>
          <w:lang w:val="es-CO"/>
        </w:rPr>
        <w:t>,</w:t>
      </w:r>
      <w:r w:rsidRPr="00C123CD">
        <w:rPr>
          <w:rFonts w:ascii="Arial" w:hAnsi="Arial" w:eastAsia="Calibri" w:cs="Arial"/>
          <w:color w:val="000000" w:themeColor="text1"/>
          <w:sz w:val="22"/>
          <w:lang w:val="es-CO"/>
        </w:rPr>
        <w:t xml:space="preserve"> un año de existencia, con el certificado expedido por la cámara de comercio respectiva o por la autoridad que sea competente para ello.</w:t>
      </w:r>
    </w:p>
    <w:p w:rsidRPr="00C123CD" w:rsidR="0021420D" w:rsidP="0027211F" w:rsidRDefault="0021420D" w14:paraId="0B9DA880" w14:textId="77777777">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rsidRPr="00C123CD" w:rsidR="0021420D" w:rsidP="0027211F" w:rsidRDefault="0021420D" w14:paraId="5D879D51" w14:textId="41BACF23">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lastRenderedPageBreak/>
        <w:t>Según se evidencia, el artículo 34 alude</w:t>
      </w:r>
      <w:r w:rsidRPr="00C123CD">
        <w:rPr>
          <w:rFonts w:ascii="Arial" w:hAnsi="Arial" w:eastAsia="Calibri" w:cs="Arial"/>
          <w:bCs/>
          <w:color w:val="000000" w:themeColor="text1"/>
          <w:sz w:val="22"/>
          <w:lang w:val="es-CO"/>
        </w:rPr>
        <w:t xml:space="preserve"> a la necesidad de un desarrollo reglamentario en la materia, lo que significa que no es posible aplicar su contenido directamente desde la fecha de su expedición</w:t>
      </w:r>
      <w:r w:rsidRPr="00C123CD" w:rsidR="004D35C8">
        <w:rPr>
          <w:rFonts w:ascii="Arial" w:hAnsi="Arial" w:eastAsia="Calibri" w:cs="Arial"/>
          <w:bCs/>
          <w:color w:val="000000" w:themeColor="text1"/>
          <w:sz w:val="22"/>
          <w:lang w:val="es-CO"/>
        </w:rPr>
        <w:t>, hasta</w:t>
      </w:r>
      <w:r w:rsidRPr="00C123CD" w:rsidR="00A123A6">
        <w:rPr>
          <w:rFonts w:ascii="Arial" w:hAnsi="Arial" w:eastAsia="Calibri" w:cs="Arial"/>
          <w:bCs/>
          <w:color w:val="000000" w:themeColor="text1"/>
          <w:sz w:val="22"/>
          <w:lang w:val="es-CO"/>
        </w:rPr>
        <w:t xml:space="preserve"> tanto</w:t>
      </w:r>
      <w:r w:rsidRPr="00C123CD" w:rsidR="004D35C8">
        <w:rPr>
          <w:rFonts w:ascii="Arial" w:hAnsi="Arial" w:eastAsia="Calibri" w:cs="Arial"/>
          <w:bCs/>
          <w:color w:val="000000" w:themeColor="text1"/>
          <w:sz w:val="22"/>
          <w:lang w:val="es-CO"/>
        </w:rPr>
        <w:t xml:space="preserve"> se expida el reglamento que lo regule.</w:t>
      </w:r>
      <w:r w:rsidRPr="00C123CD" w:rsidR="00C90B0F">
        <w:rPr>
          <w:rFonts w:ascii="Arial" w:hAnsi="Arial" w:eastAsia="Calibri" w:cs="Arial"/>
          <w:color w:val="000000" w:themeColor="text1"/>
          <w:sz w:val="22"/>
          <w:lang w:val="es-CO"/>
        </w:rPr>
        <w:t xml:space="preserve"> De ahí que el gobierno nacional debe definir las condiciones para la aplicación de las reglas expedidas, que permitan llevar a cabo las convocatorias limitadas a mipymes</w:t>
      </w:r>
    </w:p>
    <w:p w:rsidRPr="00B2727A" w:rsidR="0021420D" w:rsidP="0027211F" w:rsidRDefault="0021420D" w14:paraId="101B6C1A" w14:textId="71BEFC04">
      <w:pPr>
        <w:spacing w:before="120" w:line="276" w:lineRule="auto"/>
        <w:ind w:firstLine="709"/>
        <w:jc w:val="both"/>
        <w:rPr>
          <w:rFonts w:ascii="Arial" w:hAnsi="Arial" w:eastAsia="Calibri" w:cs="Arial"/>
          <w:color w:val="000000" w:themeColor="text1"/>
          <w:sz w:val="22"/>
          <w:lang w:val="es-ES_tradnl"/>
        </w:rPr>
      </w:pPr>
      <w:r w:rsidRPr="00B2727A">
        <w:rPr>
          <w:rFonts w:ascii="Arial" w:hAnsi="Arial" w:eastAsia="Calibri" w:cs="Arial"/>
          <w:bCs/>
          <w:color w:val="000000" w:themeColor="text1"/>
          <w:sz w:val="22"/>
        </w:rPr>
        <w:t xml:space="preserve">Para efectos de la consulta, es pertinente </w:t>
      </w:r>
      <w:r w:rsidRPr="00B2727A">
        <w:rPr>
          <w:rFonts w:ascii="Arial" w:hAnsi="Arial" w:eastAsia="Calibri" w:cs="Arial"/>
          <w:color w:val="000000" w:themeColor="text1"/>
          <w:sz w:val="22"/>
          <w:lang w:val="es-ES_tradnl"/>
        </w:rPr>
        <w:t xml:space="preserve">preguntarse qué sucede con la vigencia del artículo 2.2.1.2.4.2.2. del Decreto 1082 de 2015, </w:t>
      </w:r>
      <w:r w:rsidRPr="00B2727A" w:rsidR="00544C01">
        <w:rPr>
          <w:rFonts w:ascii="Arial" w:hAnsi="Arial" w:eastAsia="Calibri" w:cs="Arial"/>
          <w:color w:val="000000" w:themeColor="text1"/>
          <w:sz w:val="22"/>
          <w:lang w:val="es-ES_tradnl"/>
        </w:rPr>
        <w:t>el cual</w:t>
      </w:r>
      <w:r w:rsidRPr="00B2727A">
        <w:rPr>
          <w:rFonts w:ascii="Arial" w:hAnsi="Arial" w:eastAsia="Calibri" w:cs="Arial"/>
          <w:color w:val="000000" w:themeColor="text1"/>
          <w:sz w:val="22"/>
          <w:lang w:val="es-ES_tradnl"/>
        </w:rPr>
        <w:t>, hasta la expedición de la Ley 2069 de 2020, regulaba las convocatorias limitadas a mipymes.</w:t>
      </w:r>
      <w:r w:rsidRPr="00B2727A" w:rsidR="004D35C8">
        <w:rPr>
          <w:rFonts w:ascii="Arial" w:hAnsi="Arial" w:eastAsia="Calibri" w:cs="Arial"/>
          <w:color w:val="000000" w:themeColor="text1"/>
          <w:sz w:val="22"/>
          <w:lang w:val="es-ES_tradnl"/>
        </w:rPr>
        <w:t xml:space="preserve"> Conforme</w:t>
      </w:r>
      <w:r w:rsidRPr="00B2727A">
        <w:rPr>
          <w:rFonts w:ascii="Arial" w:hAnsi="Arial" w:eastAsia="Calibri" w:cs="Arial"/>
          <w:bCs/>
          <w:color w:val="000000" w:themeColor="text1"/>
          <w:sz w:val="22"/>
        </w:rPr>
        <w:t xml:space="preserve"> a lo explicado en el Concepto C-043 del 9 de febrero de 2020</w:t>
      </w:r>
      <w:r w:rsidRPr="00B2727A">
        <w:rPr>
          <w:rFonts w:ascii="Arial" w:hAnsi="Arial" w:eastAsia="Calibri" w:cs="Arial"/>
          <w:color w:val="000000" w:themeColor="text1"/>
          <w:sz w:val="22"/>
          <w:lang w:val="es-ES_tradnl"/>
        </w:rPr>
        <w:t xml:space="preserve">, dicho artículo del Decreto reglamentario no está 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rsidRPr="00B2727A" w:rsidR="004D35C8" w:rsidP="0027211F" w:rsidRDefault="00A123A6" w14:paraId="0FAF77AF" w14:textId="7FE0B4A4">
      <w:pPr>
        <w:spacing w:before="120" w:line="276" w:lineRule="auto"/>
        <w:ind w:firstLine="709"/>
        <w:jc w:val="both"/>
        <w:rPr>
          <w:rFonts w:ascii="Arial" w:hAnsi="Arial" w:eastAsia="Calibri" w:cs="Arial"/>
          <w:color w:val="000000" w:themeColor="text1"/>
          <w:sz w:val="22"/>
          <w:lang w:val="es-ES_tradnl"/>
        </w:rPr>
      </w:pPr>
      <w:r w:rsidRPr="00B2727A">
        <w:rPr>
          <w:rFonts w:ascii="Arial" w:hAnsi="Arial" w:eastAsia="Calibri" w:cs="Arial"/>
          <w:color w:val="000000" w:themeColor="text1"/>
          <w:sz w:val="22"/>
          <w:lang w:val="es-ES_tradnl"/>
        </w:rPr>
        <w:t xml:space="preserve">En efecto, el fundamento legal del artículo 2.2.1.2.4.2.2. del Decreto 1082 de 2015, </w:t>
      </w:r>
      <w:r w:rsidRPr="00B2727A" w:rsidR="009D0016">
        <w:rPr>
          <w:rFonts w:ascii="Arial" w:hAnsi="Arial" w:eastAsia="Calibri" w:cs="Arial"/>
          <w:color w:val="000000" w:themeColor="text1"/>
          <w:sz w:val="22"/>
          <w:lang w:val="es-ES_tradnl"/>
        </w:rPr>
        <w:t>es el artículo 12 de la Ley 1150 de 2007, el cual fue modificado por el artículo 34 de la Ley 2069 de 2020. Por ello puede concluirse, sin lugar a duda, que la disposición reglamentaria decayó por desaparición de su fundamento de derecho</w:t>
      </w:r>
      <w:r w:rsidRPr="00B2727A" w:rsidR="004D35C8">
        <w:rPr>
          <w:rFonts w:ascii="Arial" w:hAnsi="Arial" w:eastAsia="Calibri" w:cs="Arial"/>
          <w:color w:val="000000" w:themeColor="text1"/>
          <w:sz w:val="22"/>
          <w:lang w:val="es-ES_tradnl"/>
        </w:rPr>
        <w:t>. Sin embargo, no es solo por una razón formal que se deduce la pérdida de fuerza ejecutoria del artículo 2.2.1.2.4.2.2. del Decreto 1082 de 2015, sino también por un argumento material, como se explica a continuación.</w:t>
      </w:r>
    </w:p>
    <w:p w:rsidRPr="00C123CD" w:rsidR="004D35C8" w:rsidP="0027211F" w:rsidRDefault="009D0016" w14:paraId="598F2640" w14:textId="787F0856">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Como puede notarse de la lectura d</w:t>
      </w:r>
      <w:r w:rsidRPr="00C123CD" w:rsidR="004D35C8">
        <w:rPr>
          <w:rFonts w:ascii="Arial" w:hAnsi="Arial" w:eastAsia="Calibri" w:cs="Arial"/>
          <w:color w:val="000000" w:themeColor="text1"/>
          <w:sz w:val="22"/>
          <w:lang w:val="es-CO"/>
        </w:rPr>
        <w:t>el artículo 2.2.1.2.4.2.2. del Decreto 1082 de 2015</w:t>
      </w:r>
      <w:r w:rsidRPr="00C123CD" w:rsidR="009D2060">
        <w:rPr>
          <w:rFonts w:ascii="Arial" w:hAnsi="Arial" w:eastAsia="Calibri" w:cs="Arial"/>
          <w:color w:val="000000" w:themeColor="text1"/>
          <w:sz w:val="22"/>
          <w:lang w:val="es-CO"/>
        </w:rPr>
        <w:t xml:space="preserve">, </w:t>
      </w:r>
      <w:r w:rsidRPr="00C123CD" w:rsidR="004D35C8">
        <w:rPr>
          <w:rFonts w:ascii="Arial" w:hAnsi="Arial" w:eastAsia="Calibri" w:cs="Arial"/>
          <w:color w:val="000000" w:themeColor="text1"/>
          <w:sz w:val="22"/>
          <w:lang w:val="es-CO"/>
        </w:rPr>
        <w:t>su contenido es contrario al del nuevo artículo 12 de la Ley 1150 de 2007, modificado por el artículo 34 de la Ley 2069 de 2020</w:t>
      </w:r>
      <w:r w:rsidRPr="00C123CD" w:rsidR="00A37C6B">
        <w:rPr>
          <w:rFonts w:ascii="Arial" w:hAnsi="Arial" w:eastAsia="Calibri" w:cs="Arial"/>
          <w:color w:val="000000" w:themeColor="text1"/>
          <w:sz w:val="22"/>
          <w:lang w:val="es-CO"/>
        </w:rPr>
        <w:t xml:space="preserve">. Este último artículo </w:t>
      </w:r>
      <w:r w:rsidRPr="00C123CD" w:rsidR="004D35C8">
        <w:rPr>
          <w:rFonts w:ascii="Arial" w:hAnsi="Arial" w:eastAsia="Calibri" w:cs="Arial"/>
          <w:color w:val="000000" w:themeColor="text1"/>
          <w:sz w:val="22"/>
          <w:lang w:val="es-CO"/>
        </w:rPr>
        <w:t>no consagra las mismas exigencias para las convocatorias limitadas a mipymes</w:t>
      </w:r>
      <w:r w:rsidRPr="00C123CD" w:rsidR="00A37C6B">
        <w:rPr>
          <w:rFonts w:ascii="Arial" w:hAnsi="Arial" w:eastAsia="Calibri" w:cs="Arial"/>
          <w:color w:val="000000" w:themeColor="text1"/>
          <w:sz w:val="22"/>
          <w:lang w:val="es-CO"/>
        </w:rPr>
        <w:t xml:space="preserve">, </w:t>
      </w:r>
      <w:r w:rsidRPr="00C123CD" w:rsidR="004D35C8">
        <w:rPr>
          <w:rFonts w:ascii="Arial" w:hAnsi="Arial" w:eastAsia="Calibri" w:cs="Arial"/>
          <w:color w:val="000000" w:themeColor="text1"/>
          <w:sz w:val="22"/>
          <w:lang w:val="es-CO"/>
        </w:rPr>
        <w:t>n</w:t>
      </w:r>
      <w:r w:rsidRPr="00C123CD" w:rsidR="00A37C6B">
        <w:rPr>
          <w:rFonts w:ascii="Arial" w:hAnsi="Arial" w:eastAsia="Calibri" w:cs="Arial"/>
          <w:color w:val="000000" w:themeColor="text1"/>
          <w:sz w:val="22"/>
          <w:lang w:val="es-CO"/>
        </w:rPr>
        <w:t>i</w:t>
      </w:r>
      <w:r w:rsidRPr="00C123CD" w:rsidR="004D35C8">
        <w:rPr>
          <w:rFonts w:ascii="Arial" w:hAnsi="Arial" w:eastAsia="Calibri" w:cs="Arial"/>
          <w:color w:val="000000" w:themeColor="text1"/>
          <w:sz w:val="22"/>
          <w:lang w:val="es-CO"/>
        </w:rPr>
        <w:t xml:space="preserve"> incluye todos los requisitos que, hasta la entrada en vigencia de la Ley 2069 de 2020, establecía el artículo 2.2.1.2.4.2.2. del Decreto 1082 de 2015. Esta norma indicaba en su primer inciso que la entidad estatal solo podía limitar la convocatoria a las mipymes nacionales si se trataba de procesos de selección de licitación pública, selección abreviada y concursos de méritos. Por su parte, tal restricción no se encuentra en el artículo 34 de la Ley 2069 de 2020</w:t>
      </w:r>
      <w:r w:rsidRPr="00C123CD" w:rsidR="00A37C6B">
        <w:rPr>
          <w:rFonts w:ascii="Arial" w:hAnsi="Arial" w:eastAsia="Calibri" w:cs="Arial"/>
          <w:color w:val="000000" w:themeColor="text1"/>
          <w:sz w:val="22"/>
          <w:lang w:val="es-CO"/>
        </w:rPr>
        <w:t>.</w:t>
      </w:r>
    </w:p>
    <w:p w:rsidRPr="00C123CD" w:rsidR="004D35C8" w:rsidP="0027211F" w:rsidRDefault="004D35C8" w14:paraId="63BB4F7F" w14:textId="77777777">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Adicionalmente, el numeral 1 del artículo 2.2.1.2.4.2.2. del Decreto 1082 de 2015 exigía que el valor del proceso de contratación en el que pretendiera limitarse la convocatoria a mipymes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rsidRPr="00C123CD" w:rsidR="004D35C8" w:rsidP="0027211F" w:rsidRDefault="00D62B76" w14:paraId="23E5AAB5" w14:textId="225C3FD6">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L</w:t>
      </w:r>
      <w:r w:rsidRPr="00C123CD" w:rsidR="004D35C8">
        <w:rPr>
          <w:rFonts w:ascii="Arial" w:hAnsi="Arial" w:eastAsia="Calibri" w:cs="Arial"/>
          <w:color w:val="000000" w:themeColor="text1"/>
          <w:sz w:val="22"/>
          <w:lang w:val="es-CO"/>
        </w:rPr>
        <w:t xml:space="preserve">a nueva disposición legal indica que la convocatoria limitada a mipymes debe hacerse cuando por lo menos </w:t>
      </w:r>
      <w:r w:rsidRPr="00C123CD" w:rsidR="004D35C8">
        <w:rPr>
          <w:rFonts w:ascii="Arial" w:hAnsi="Arial" w:eastAsia="Calibri" w:cs="Arial"/>
          <w:i/>
          <w:iCs/>
          <w:color w:val="000000" w:themeColor="text1"/>
          <w:sz w:val="22"/>
          <w:lang w:val="es-CO"/>
        </w:rPr>
        <w:t>dos (2)</w:t>
      </w:r>
      <w:r w:rsidRPr="00C123CD" w:rsidR="004D35C8">
        <w:rPr>
          <w:rFonts w:ascii="Arial" w:hAnsi="Arial" w:eastAsia="Calibri" w:cs="Arial"/>
          <w:color w:val="000000" w:themeColor="text1"/>
          <w:sz w:val="22"/>
          <w:lang w:val="es-CO"/>
        </w:rPr>
        <w:t xml:space="preserve"> de estas hayan manifestado su interés antes de la </w:t>
      </w:r>
      <w:r w:rsidRPr="00C123CD" w:rsidR="004D35C8">
        <w:rPr>
          <w:rFonts w:ascii="Arial" w:hAnsi="Arial" w:eastAsia="Calibri" w:cs="Arial"/>
          <w:color w:val="000000" w:themeColor="text1"/>
          <w:sz w:val="22"/>
          <w:lang w:val="es-CO"/>
        </w:rPr>
        <w:lastRenderedPageBreak/>
        <w:t>resolución de apertura del proceso respectivo</w:t>
      </w:r>
      <w:r w:rsidRPr="00C123CD">
        <w:rPr>
          <w:rFonts w:ascii="Arial" w:hAnsi="Arial" w:eastAsia="Calibri" w:cs="Arial"/>
          <w:color w:val="000000" w:themeColor="text1"/>
          <w:sz w:val="22"/>
          <w:lang w:val="es-CO"/>
        </w:rPr>
        <w:t>. Por su parte,</w:t>
      </w:r>
      <w:r w:rsidRPr="00C123CD" w:rsidR="004D35C8">
        <w:rPr>
          <w:rFonts w:ascii="Arial" w:hAnsi="Arial" w:eastAsia="Calibri" w:cs="Arial"/>
          <w:color w:val="000000" w:themeColor="text1"/>
          <w:sz w:val="22"/>
          <w:lang w:val="es-CO"/>
        </w:rPr>
        <w:t xml:space="preserve"> el artículo 2.2.1.2.4.2.2. del Decreto 1082 de 2015 condicionaba la limitación de la convocatoria a que la entidad estatal hubiera recibido solicitudes de por lo menos </w:t>
      </w:r>
      <w:r w:rsidRPr="00C123CD" w:rsidR="004D35C8">
        <w:rPr>
          <w:rFonts w:ascii="Arial" w:hAnsi="Arial" w:eastAsia="Calibri" w:cs="Arial"/>
          <w:i/>
          <w:iCs/>
          <w:color w:val="000000" w:themeColor="text1"/>
          <w:sz w:val="22"/>
          <w:lang w:val="es-CO"/>
        </w:rPr>
        <w:t>tres (3)</w:t>
      </w:r>
      <w:r w:rsidRPr="00C123CD" w:rsidR="004D35C8">
        <w:rPr>
          <w:rFonts w:ascii="Arial" w:hAnsi="Arial" w:eastAsia="Calibri" w:cs="Arial"/>
          <w:color w:val="000000" w:themeColor="text1"/>
          <w:sz w:val="22"/>
          <w:lang w:val="es-CO"/>
        </w:rPr>
        <w:t xml:space="preserve"> mipymes, a más tardar un día hábil antes de la apertura del proceso de selección.</w:t>
      </w:r>
    </w:p>
    <w:p w:rsidRPr="00C123CD" w:rsidR="004D35C8" w:rsidP="0027211F" w:rsidRDefault="004D35C8" w14:paraId="3CD2A6FD" w14:textId="77777777">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Entonces, puede afirmarse que, además del decaimiento del artículo 2.2.1.2.4.2.2. del Decreto 1082 de 2015, debe entenderse derogado.</w:t>
      </w:r>
    </w:p>
    <w:p w:rsidRPr="00C123CD" w:rsidR="00670580" w:rsidP="0027211F" w:rsidRDefault="004D35C8" w14:paraId="4B988836" w14:textId="4809C152">
      <w:pPr>
        <w:spacing w:before="120" w:line="276" w:lineRule="auto"/>
        <w:ind w:firstLine="709"/>
        <w:jc w:val="both"/>
        <w:rPr>
          <w:rFonts w:ascii="Arial" w:hAnsi="Arial" w:eastAsia="Calibri" w:cs="Arial"/>
          <w:color w:val="000000" w:themeColor="text1"/>
          <w:sz w:val="22"/>
          <w:lang w:val="es-CO"/>
        </w:rPr>
      </w:pPr>
      <w:r w:rsidRPr="00C123CD">
        <w:rPr>
          <w:rFonts w:ascii="Arial" w:hAnsi="Arial" w:eastAsia="Calibri" w:cs="Arial"/>
          <w:color w:val="000000" w:themeColor="text1"/>
          <w:sz w:val="22"/>
          <w:lang w:val="es-CO"/>
        </w:rPr>
        <w:t xml:space="preserve">Por último, </w:t>
      </w:r>
      <w:r w:rsidRPr="00C123CD" w:rsidR="00AA1D17">
        <w:rPr>
          <w:rFonts w:ascii="Arial" w:hAnsi="Arial" w:eastAsia="Calibri" w:cs="Arial"/>
          <w:color w:val="000000" w:themeColor="text1"/>
          <w:sz w:val="22"/>
          <w:lang w:val="es-CO"/>
        </w:rPr>
        <w:t xml:space="preserve">se precisa que </w:t>
      </w:r>
      <w:r w:rsidRPr="00C123CD">
        <w:rPr>
          <w:rFonts w:ascii="Arial" w:hAnsi="Arial" w:eastAsia="Calibri" w:cs="Arial"/>
          <w:color w:val="000000" w:themeColor="text1"/>
          <w:sz w:val="22"/>
          <w:lang w:val="es-CO"/>
        </w:rPr>
        <w:t>los apartados normativos del artículo 2.2.1.2.4.2.2. del Decreto 1082 de 2015 que, en su texto, no sean contrarios a la nueva regulación contenida en el artículo 34 de la Ley 2069 de 2020</w:t>
      </w:r>
      <w:r w:rsidRPr="00C123CD" w:rsidR="00D62B76">
        <w:rPr>
          <w:rFonts w:ascii="Arial" w:hAnsi="Arial" w:eastAsia="Calibri" w:cs="Arial"/>
          <w:color w:val="000000" w:themeColor="text1"/>
          <w:sz w:val="22"/>
          <w:lang w:val="es-CO"/>
        </w:rPr>
        <w:t>,</w:t>
      </w:r>
      <w:r w:rsidRPr="00C123CD">
        <w:rPr>
          <w:rFonts w:ascii="Arial" w:hAnsi="Arial" w:eastAsia="Calibri" w:cs="Arial"/>
          <w:color w:val="000000" w:themeColor="text1"/>
          <w:sz w:val="22"/>
          <w:lang w:val="es-CO"/>
        </w:rPr>
        <w:t xml:space="preserve"> </w:t>
      </w:r>
      <w:r w:rsidRPr="00C123CD" w:rsidR="00AA1D17">
        <w:rPr>
          <w:rFonts w:ascii="Arial" w:hAnsi="Arial" w:eastAsia="Calibri" w:cs="Arial"/>
          <w:color w:val="000000" w:themeColor="text1"/>
          <w:sz w:val="22"/>
          <w:lang w:val="es-CO"/>
        </w:rPr>
        <w:t xml:space="preserve">no </w:t>
      </w:r>
      <w:r w:rsidRPr="00C123CD">
        <w:rPr>
          <w:rFonts w:ascii="Arial" w:hAnsi="Arial" w:eastAsia="Calibri" w:cs="Arial"/>
          <w:color w:val="000000" w:themeColor="text1"/>
          <w:sz w:val="22"/>
          <w:lang w:val="es-CO"/>
        </w:rPr>
        <w:t xml:space="preserve">pueden seguirse aplicando. </w:t>
      </w:r>
      <w:r w:rsidRPr="00C123CD" w:rsidR="00AA1D17">
        <w:rPr>
          <w:rFonts w:ascii="Arial" w:hAnsi="Arial" w:eastAsia="Calibri" w:cs="Arial"/>
          <w:color w:val="000000" w:themeColor="text1"/>
          <w:sz w:val="22"/>
          <w:lang w:val="es-CO"/>
        </w:rPr>
        <w:t xml:space="preserve">Esto, por cuanto </w:t>
      </w:r>
      <w:r w:rsidRPr="00C123CD">
        <w:rPr>
          <w:rFonts w:ascii="Arial" w:hAnsi="Arial" w:eastAsia="Calibri" w:cs="Arial"/>
          <w:color w:val="000000" w:themeColor="text1"/>
          <w:sz w:val="22"/>
          <w:lang w:val="es-CO"/>
        </w:rPr>
        <w:t xml:space="preserve">el artículo 34, reiteradamente, señala que </w:t>
      </w:r>
      <w:bookmarkStart w:name="_Hlk70609408" w:id="3"/>
      <w:r w:rsidRPr="00C123CD">
        <w:rPr>
          <w:rFonts w:ascii="Arial" w:hAnsi="Arial" w:eastAsia="Calibri" w:cs="Arial"/>
          <w:color w:val="000000" w:themeColor="text1"/>
          <w:sz w:val="22"/>
          <w:lang w:val="es-CO"/>
        </w:rPr>
        <w:t>el gobierno nacional debe definir las condiciones para la aplicación de las reglas recientemente expedidas, que permitan llevar a cabo las convocatorias limitadas a mipymes</w:t>
      </w:r>
      <w:bookmarkEnd w:id="3"/>
      <w:r w:rsidRPr="00C123CD">
        <w:rPr>
          <w:rFonts w:ascii="Arial" w:hAnsi="Arial" w:eastAsia="Calibri" w:cs="Arial"/>
          <w:color w:val="000000" w:themeColor="text1"/>
          <w:sz w:val="22"/>
          <w:lang w:val="es-CO"/>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    </w:t>
      </w:r>
    </w:p>
    <w:bookmarkEnd w:id="2"/>
    <w:p w:rsidRPr="00D63CF2" w:rsidR="002A39F3" w:rsidP="00670580" w:rsidRDefault="002A39F3" w14:paraId="72F68A36" w14:textId="77777777">
      <w:pPr>
        <w:tabs>
          <w:tab w:val="left" w:pos="567"/>
        </w:tabs>
        <w:spacing w:line="276" w:lineRule="auto"/>
        <w:jc w:val="both"/>
        <w:rPr>
          <w:rFonts w:ascii="Arial" w:hAnsi="Arial" w:eastAsia="Calibri" w:cs="Arial"/>
          <w:color w:val="000000" w:themeColor="text1"/>
          <w:sz w:val="22"/>
          <w:lang w:val="es-CO" w:eastAsia="en-GB"/>
        </w:rPr>
      </w:pPr>
    </w:p>
    <w:p w:rsidRPr="00C123CD" w:rsidR="00B9522C" w:rsidP="00B9522C" w:rsidRDefault="00B9522C" w14:paraId="73E1879B" w14:textId="717BDA33">
      <w:pPr>
        <w:shd w:val="clear" w:color="auto" w:fill="FFFFFF"/>
        <w:tabs>
          <w:tab w:val="left" w:pos="426"/>
        </w:tabs>
        <w:spacing w:line="276" w:lineRule="auto"/>
        <w:ind w:right="709"/>
        <w:jc w:val="both"/>
        <w:rPr>
          <w:rFonts w:ascii="Arial" w:hAnsi="Arial" w:eastAsia="Times New Roman" w:cs="Arial"/>
          <w:b/>
          <w:color w:val="000000" w:themeColor="text1"/>
          <w:sz w:val="22"/>
          <w:lang w:val="es-CO" w:eastAsia="es-ES_tradnl"/>
        </w:rPr>
      </w:pPr>
      <w:r w:rsidRPr="00C123CD">
        <w:rPr>
          <w:rFonts w:ascii="Arial" w:hAnsi="Arial" w:eastAsia="Times New Roman" w:cs="Arial"/>
          <w:b/>
          <w:color w:val="000000" w:themeColor="text1"/>
          <w:sz w:val="22"/>
          <w:lang w:val="es-CO" w:eastAsia="es-ES_tradnl"/>
        </w:rPr>
        <w:t>3. Respuesta</w:t>
      </w:r>
    </w:p>
    <w:p w:rsidRPr="00C123CD" w:rsidR="00B9522C" w:rsidP="00AF7F1C" w:rsidRDefault="00B9522C" w14:paraId="125A2578" w14:textId="77777777">
      <w:pPr>
        <w:shd w:val="clear" w:color="auto" w:fill="FFFFFF"/>
        <w:tabs>
          <w:tab w:val="left" w:pos="426"/>
        </w:tabs>
        <w:ind w:right="709"/>
        <w:jc w:val="both"/>
        <w:rPr>
          <w:rFonts w:ascii="Arial" w:hAnsi="Arial" w:eastAsia="Times New Roman" w:cs="Arial"/>
          <w:b/>
          <w:color w:val="000000" w:themeColor="text1"/>
          <w:sz w:val="21"/>
          <w:szCs w:val="21"/>
          <w:lang w:val="es-CO" w:eastAsia="es-ES_tradnl"/>
        </w:rPr>
      </w:pPr>
    </w:p>
    <w:p w:rsidRPr="009A2803" w:rsidR="00670580" w:rsidP="00670580" w:rsidRDefault="009B51C6" w14:paraId="6ABF6097" w14:textId="30E64AAB">
      <w:pPr>
        <w:shd w:val="clear" w:color="auto" w:fill="FFFFFF"/>
        <w:ind w:left="709" w:right="709"/>
        <w:jc w:val="both"/>
        <w:rPr>
          <w:rFonts w:ascii="Arial" w:hAnsi="Arial" w:eastAsia="Calibri" w:cs="Arial"/>
          <w:color w:val="000000" w:themeColor="text1"/>
          <w:sz w:val="21"/>
          <w:szCs w:val="21"/>
          <w:lang w:val="es-CO"/>
        </w:rPr>
      </w:pPr>
      <w:r>
        <w:rPr>
          <w:rFonts w:ascii="Arial" w:hAnsi="Arial" w:eastAsia="Calibri" w:cs="Arial"/>
          <w:color w:val="000000" w:themeColor="text1"/>
          <w:sz w:val="21"/>
          <w:szCs w:val="21"/>
          <w:lang w:val="es-CO"/>
        </w:rPr>
        <w:t>i) «</w:t>
      </w:r>
      <w:r w:rsidRPr="00D63CF2" w:rsidR="00670580">
        <w:rPr>
          <w:rFonts w:ascii="Arial" w:hAnsi="Arial" w:eastAsia="Calibri" w:cs="Arial"/>
          <w:color w:val="000000" w:themeColor="text1"/>
          <w:sz w:val="21"/>
          <w:szCs w:val="21"/>
          <w:lang w:val="es-CO"/>
        </w:rPr>
        <w:t>¿Cuál de las pestañas es la indicada para que proponente presente su propuesta económica en la licitación que participa?</w:t>
      </w:r>
      <w:r>
        <w:rPr>
          <w:rFonts w:ascii="Arial" w:hAnsi="Arial" w:eastAsia="Calibri" w:cs="Arial"/>
          <w:color w:val="000000" w:themeColor="text1"/>
          <w:sz w:val="21"/>
          <w:szCs w:val="21"/>
          <w:lang w:val="es-CO"/>
        </w:rPr>
        <w:t>».</w:t>
      </w:r>
    </w:p>
    <w:p w:rsidRPr="00C123CD" w:rsidR="00670580" w:rsidP="00670580" w:rsidRDefault="00670580" w14:paraId="4AE9828E" w14:textId="77777777">
      <w:pPr>
        <w:jc w:val="both"/>
        <w:rPr>
          <w:rFonts w:ascii="Arial" w:hAnsi="Arial" w:cs="Arial"/>
          <w:color w:val="000000" w:themeColor="text1"/>
          <w:sz w:val="22"/>
          <w:lang w:val="es-CO" w:bidi="es-ES"/>
        </w:rPr>
      </w:pPr>
    </w:p>
    <w:p w:rsidRPr="009A2803" w:rsidR="00670580" w:rsidP="0027211F" w:rsidRDefault="00670580" w14:paraId="3E243A77" w14:textId="3B03742D">
      <w:pPr>
        <w:spacing w:line="276" w:lineRule="auto"/>
        <w:jc w:val="both"/>
        <w:rPr>
          <w:rFonts w:ascii="Arial" w:hAnsi="Arial" w:cs="Arial"/>
          <w:color w:val="000000" w:themeColor="text1"/>
          <w:sz w:val="22"/>
          <w:lang w:val="es-CO"/>
        </w:rPr>
      </w:pPr>
      <w:r w:rsidRPr="00D63CF2">
        <w:rPr>
          <w:rFonts w:ascii="Arial" w:hAnsi="Arial" w:cs="Arial"/>
          <w:color w:val="000000" w:themeColor="text1"/>
          <w:sz w:val="22"/>
          <w:lang w:val="es-CO"/>
        </w:rPr>
        <w:t xml:space="preserve">El </w:t>
      </w:r>
      <w:r w:rsidRPr="00C123CD" w:rsidR="00C46820">
        <w:rPr>
          <w:rFonts w:ascii="Arial" w:hAnsi="Arial" w:eastAsia="Calibri" w:cs="Arial"/>
          <w:sz w:val="22"/>
          <w:lang w:val="es-CO"/>
        </w:rPr>
        <w:t>«Formulario 1 – Formulario de Presupuesto Oficial»</w:t>
      </w:r>
      <w:r w:rsidRPr="00C123CD" w:rsidR="00C46820">
        <w:rPr>
          <w:rFonts w:eastAsia="Calibri"/>
          <w:lang w:val="es-CO"/>
        </w:rPr>
        <w:t xml:space="preserve"> </w:t>
      </w:r>
      <w:r w:rsidRPr="00D63CF2">
        <w:rPr>
          <w:rFonts w:ascii="Arial" w:hAnsi="Arial" w:cs="Arial"/>
          <w:color w:val="000000" w:themeColor="text1"/>
          <w:sz w:val="22"/>
          <w:lang w:val="es-CO"/>
        </w:rPr>
        <w:t xml:space="preserve">del documento tipo de infraestructura de transporte – Versión 3, contiene la pestaña denominada «Propuesta Económica (proponente)» </w:t>
      </w:r>
      <w:r w:rsidRPr="009A2803" w:rsidR="00C46820">
        <w:rPr>
          <w:rFonts w:ascii="Arial" w:hAnsi="Arial" w:cs="Arial"/>
          <w:color w:val="000000" w:themeColor="text1"/>
          <w:sz w:val="22"/>
          <w:lang w:val="es-CO"/>
        </w:rPr>
        <w:t xml:space="preserve">la cual tiene el propósito de servir de instrumento para que los proponentes determinen su ofrecimiento económico. </w:t>
      </w:r>
    </w:p>
    <w:p w:rsidRPr="00D63CF2" w:rsidR="00C46820" w:rsidP="0027211F" w:rsidRDefault="00670580" w14:paraId="7E47447A" w14:textId="26CB67B0">
      <w:pPr>
        <w:pStyle w:val="Textoindependiente"/>
        <w:spacing w:before="120" w:line="276" w:lineRule="auto"/>
        <w:ind w:firstLine="709"/>
        <w:jc w:val="both"/>
        <w:rPr>
          <w:color w:val="000000" w:themeColor="text1"/>
          <w:lang w:val="es-CO"/>
        </w:rPr>
      </w:pPr>
      <w:r w:rsidRPr="009A2803">
        <w:rPr>
          <w:color w:val="000000" w:themeColor="text1"/>
          <w:lang w:val="es-CO"/>
        </w:rPr>
        <w:t xml:space="preserve">No obstante, de acuerdo con lo establecido en dicha pestaña, la entidad puede utilizar ese formulario de presentación de propuesta económica de forma detallada, sin </w:t>
      </w:r>
      <w:r w:rsidRPr="009A2803">
        <w:rPr>
          <w:color w:val="000000" w:themeColor="text1"/>
          <w:lang w:val="es-CO"/>
        </w:rPr>
        <w:lastRenderedPageBreak/>
        <w:t xml:space="preserve">perjuicio </w:t>
      </w:r>
      <w:r w:rsidRPr="009A2803" w:rsidR="00D62B76">
        <w:rPr>
          <w:color w:val="000000" w:themeColor="text1"/>
          <w:lang w:val="es-CO"/>
        </w:rPr>
        <w:t xml:space="preserve">de </w:t>
      </w:r>
      <w:r w:rsidRPr="009A2803">
        <w:rPr>
          <w:color w:val="000000" w:themeColor="text1"/>
          <w:lang w:val="es-CO"/>
        </w:rPr>
        <w:t>que la entidad pueda modificarlo o establecer la presentación de la oferta económica con un formulario distinto al indicado. Igualmente</w:t>
      </w:r>
      <w:r w:rsidRPr="009A2803" w:rsidR="00D62B76">
        <w:rPr>
          <w:color w:val="000000" w:themeColor="text1"/>
          <w:lang w:val="es-CO"/>
        </w:rPr>
        <w:t>,</w:t>
      </w:r>
      <w:r w:rsidRPr="009A2803">
        <w:rPr>
          <w:color w:val="000000" w:themeColor="text1"/>
          <w:lang w:val="es-CO"/>
        </w:rPr>
        <w:t xml:space="preserve"> se indica que los proponentes emplearán el formulario establecido por la entidad para determinar su propuesta económica conforme al </w:t>
      </w:r>
      <w:r w:rsidR="009F466C">
        <w:rPr>
          <w:color w:val="000000" w:themeColor="text1"/>
          <w:lang w:val="es-CO"/>
        </w:rPr>
        <w:t>«</w:t>
      </w:r>
      <w:r w:rsidRPr="009A2803">
        <w:rPr>
          <w:color w:val="000000" w:themeColor="text1"/>
          <w:lang w:val="es-CO"/>
        </w:rPr>
        <w:t xml:space="preserve">Formulario 1 </w:t>
      </w:r>
      <w:r w:rsidR="009F466C">
        <w:rPr>
          <w:color w:val="000000" w:themeColor="text1"/>
          <w:lang w:val="es-CO"/>
        </w:rPr>
        <w:t>–</w:t>
      </w:r>
      <w:r w:rsidRPr="009A2803">
        <w:rPr>
          <w:color w:val="000000" w:themeColor="text1"/>
          <w:lang w:val="es-CO"/>
        </w:rPr>
        <w:t xml:space="preserve"> Presupuesto Oficial</w:t>
      </w:r>
      <w:r w:rsidR="009F466C">
        <w:rPr>
          <w:color w:val="000000" w:themeColor="text1"/>
          <w:lang w:val="es-CO"/>
        </w:rPr>
        <w:t>»</w:t>
      </w:r>
      <w:r w:rsidRPr="009A2803">
        <w:rPr>
          <w:color w:val="000000" w:themeColor="text1"/>
          <w:lang w:val="es-CO"/>
        </w:rPr>
        <w:t xml:space="preserve"> publicado por la Entidad. </w:t>
      </w:r>
      <w:r w:rsidRPr="00C123CD" w:rsidR="00C46820">
        <w:rPr>
          <w:rFonts w:eastAsia="Calibri"/>
          <w:color w:val="000000" w:themeColor="text1"/>
          <w:lang w:val="es-CO"/>
        </w:rPr>
        <w:t>Esto</w:t>
      </w:r>
      <w:r w:rsidRPr="00C123CD" w:rsidR="00C46820">
        <w:rPr>
          <w:rFonts w:eastAsia="Calibri"/>
          <w:lang w:val="es-CO"/>
        </w:rPr>
        <w:t xml:space="preserve"> significa que las entidades pueden diseñar un formulario para que los proponentes presenten su oferta económica, sin que sea obligatorio sujetarse al formulario que los documentos tipo disponen para el efecto.</w:t>
      </w:r>
      <w:r w:rsidRPr="00C123CD" w:rsidR="00C46820">
        <w:rPr>
          <w:bCs/>
          <w:lang w:val="es-CO"/>
        </w:rPr>
        <w:t xml:space="preserve"> En todo caso, el proponente deberá emplear el formulario que establezca la entidad.</w:t>
      </w:r>
    </w:p>
    <w:p w:rsidRPr="009A2803" w:rsidR="00C46820" w:rsidP="0027211F" w:rsidRDefault="00670580" w14:paraId="503353BE" w14:textId="645591F8">
      <w:pPr>
        <w:spacing w:before="120" w:line="276" w:lineRule="auto"/>
        <w:ind w:firstLine="567"/>
        <w:jc w:val="both"/>
        <w:rPr>
          <w:rFonts w:ascii="Arial" w:hAnsi="Arial" w:cs="Arial"/>
          <w:color w:val="000000" w:themeColor="text1"/>
          <w:sz w:val="22"/>
          <w:lang w:val="es-CO"/>
        </w:rPr>
      </w:pPr>
      <w:r w:rsidRPr="009A2803">
        <w:rPr>
          <w:rFonts w:ascii="Arial" w:hAnsi="Arial" w:cs="Arial"/>
          <w:color w:val="000000" w:themeColor="text1"/>
          <w:sz w:val="22"/>
          <w:lang w:val="es-CO"/>
        </w:rPr>
        <w:t>En tal sentido, la pestaña «Propuesta Económica (proponente)» del «Formulario 1 Presupuesto oficial» del documento tipo es el formato dispuesto para que los proponentes elaboren y presenten su oferta económica de acuerdo con lo requerido por la entidad. Sin embargo, la entidad podrá emplear un formulario diferente para que los proponentes presenten su oferta económica, caso en el cual el proponente deberá presentar el formulario establecido por la entidad para determinar su propuesta económica.</w:t>
      </w:r>
    </w:p>
    <w:p w:rsidRPr="009A2803" w:rsidR="00C46820" w:rsidP="00C46820" w:rsidRDefault="00C46820" w14:paraId="384CDD58" w14:textId="77777777">
      <w:pPr>
        <w:spacing w:line="276" w:lineRule="auto"/>
        <w:ind w:firstLine="567"/>
        <w:jc w:val="both"/>
        <w:rPr>
          <w:rFonts w:ascii="Arial" w:hAnsi="Arial" w:cs="Arial"/>
          <w:color w:val="000000" w:themeColor="text1"/>
          <w:sz w:val="22"/>
          <w:lang w:val="es-CO"/>
        </w:rPr>
      </w:pPr>
    </w:p>
    <w:p w:rsidRPr="00C123CD" w:rsidR="00670580" w:rsidP="00670580" w:rsidRDefault="009B51C6" w14:paraId="3D8F3AC0" w14:textId="4B2504A2">
      <w:pPr>
        <w:shd w:val="clear" w:color="auto" w:fill="FFFFFF"/>
        <w:ind w:left="709" w:right="709"/>
        <w:jc w:val="both"/>
        <w:rPr>
          <w:rFonts w:ascii="Arial" w:hAnsi="Arial" w:eastAsia="Calibri" w:cs="Arial"/>
          <w:color w:val="000000" w:themeColor="text1"/>
          <w:sz w:val="21"/>
          <w:szCs w:val="21"/>
          <w:lang w:val="es-CO"/>
        </w:rPr>
      </w:pPr>
      <w:r>
        <w:rPr>
          <w:rFonts w:ascii="Arial" w:hAnsi="Arial" w:eastAsia="Calibri" w:cs="Arial"/>
          <w:color w:val="000000" w:themeColor="text1"/>
          <w:sz w:val="21"/>
          <w:szCs w:val="21"/>
          <w:lang w:val="es-CO"/>
        </w:rPr>
        <w:t>ii) «</w:t>
      </w:r>
      <w:r w:rsidRPr="009A2803" w:rsidR="00670580">
        <w:rPr>
          <w:rFonts w:ascii="Arial" w:hAnsi="Arial" w:eastAsia="Calibri" w:cs="Arial"/>
          <w:color w:val="000000" w:themeColor="text1"/>
          <w:sz w:val="21"/>
          <w:szCs w:val="21"/>
          <w:lang w:val="es-CO"/>
        </w:rPr>
        <w:t>¿A pesar de la expedición de la Ley 2096 de 2020 es posible limitar los procesos contractuales a mipymes a la luz de la ley 1150 y el decreto 1082?</w:t>
      </w:r>
      <w:r w:rsidR="00C527BE">
        <w:rPr>
          <w:rFonts w:ascii="Arial" w:hAnsi="Arial" w:eastAsia="Calibri" w:cs="Arial"/>
          <w:color w:val="000000" w:themeColor="text1"/>
          <w:sz w:val="21"/>
          <w:szCs w:val="21"/>
          <w:lang w:val="es-CO"/>
        </w:rPr>
        <w:t>».</w:t>
      </w:r>
      <w:r w:rsidRPr="009A2803" w:rsidR="00670580">
        <w:rPr>
          <w:rFonts w:ascii="Arial" w:hAnsi="Arial" w:eastAsia="Calibri" w:cs="Arial"/>
          <w:color w:val="000000" w:themeColor="text1"/>
          <w:sz w:val="21"/>
          <w:szCs w:val="21"/>
          <w:lang w:val="es-CO"/>
        </w:rPr>
        <w:t xml:space="preserve"> </w:t>
      </w:r>
    </w:p>
    <w:p w:rsidRPr="00C123CD" w:rsidR="00670580" w:rsidP="00C46820" w:rsidRDefault="00670580" w14:paraId="3ACDA9DF" w14:textId="77777777">
      <w:pPr>
        <w:shd w:val="clear" w:color="auto" w:fill="FFFFFF"/>
        <w:spacing w:line="276" w:lineRule="auto"/>
        <w:ind w:left="709" w:right="709"/>
        <w:jc w:val="both"/>
        <w:rPr>
          <w:rFonts w:ascii="Arial" w:hAnsi="Arial" w:eastAsia="Calibri" w:cs="Arial"/>
          <w:color w:val="000000" w:themeColor="text1"/>
          <w:sz w:val="22"/>
          <w:lang w:val="es-CO"/>
        </w:rPr>
      </w:pPr>
    </w:p>
    <w:p w:rsidRPr="00C123CD" w:rsidR="00670580" w:rsidP="0027211F" w:rsidRDefault="00670580" w14:paraId="71C5DCB1" w14:textId="41CDB86D">
      <w:pPr>
        <w:spacing w:line="276" w:lineRule="auto"/>
        <w:jc w:val="both"/>
        <w:rPr>
          <w:rFonts w:ascii="Arial" w:hAnsi="Arial" w:cs="Arial"/>
          <w:color w:val="000000" w:themeColor="text1"/>
          <w:sz w:val="22"/>
          <w:lang w:val="es-CO"/>
        </w:rPr>
      </w:pPr>
      <w:r w:rsidRPr="00D63CF2">
        <w:rPr>
          <w:rFonts w:ascii="Arial" w:hAnsi="Arial" w:cs="Arial"/>
          <w:color w:val="000000" w:themeColor="text1"/>
          <w:sz w:val="22"/>
          <w:lang w:val="es-CO"/>
        </w:rPr>
        <w:t xml:space="preserve">En opinión de esta Agencia el artículo 2.2.1.2.4.2.2 del Decreto 1082 de 2015 no </w:t>
      </w:r>
      <w:r w:rsidRPr="009A2803">
        <w:rPr>
          <w:rFonts w:ascii="Arial" w:hAnsi="Arial" w:cs="Arial"/>
          <w:color w:val="000000" w:themeColor="text1"/>
          <w:sz w:val="22"/>
          <w:lang w:val="es-CO"/>
        </w:rPr>
        <w:t>está vigente, porque su contenido ha perdido fuerza ejecutoria por desaparición de sus fundamentos de derecho</w:t>
      </w:r>
      <w:r w:rsidRPr="009A2803" w:rsidR="00536B43">
        <w:rPr>
          <w:rFonts w:ascii="Arial" w:hAnsi="Arial" w:cs="Arial"/>
          <w:color w:val="000000" w:themeColor="text1"/>
          <w:sz w:val="22"/>
          <w:lang w:val="es-CO"/>
        </w:rPr>
        <w:t>,</w:t>
      </w:r>
      <w:r w:rsidRPr="009A2803">
        <w:rPr>
          <w:rFonts w:ascii="Arial" w:hAnsi="Arial" w:cs="Arial"/>
          <w:color w:val="000000" w:themeColor="text1"/>
          <w:sz w:val="22"/>
          <w:lang w:val="es-CO"/>
        </w:rPr>
        <w:t xml:space="preserve"> teniendo en cuenta que el artículo 12 de la Ley 1150 de 2011 fue modificado por el artículo 34 de la Ley 2069 de 2020.</w:t>
      </w:r>
      <w:r w:rsidRPr="009A2803" w:rsidR="008711D3">
        <w:rPr>
          <w:rFonts w:ascii="Arial" w:hAnsi="Arial" w:cs="Arial"/>
          <w:color w:val="000000" w:themeColor="text1"/>
          <w:sz w:val="22"/>
          <w:lang w:val="es-CO"/>
        </w:rPr>
        <w:t xml:space="preserve"> </w:t>
      </w:r>
      <w:r w:rsidRPr="009A2803" w:rsidR="00861F7E">
        <w:rPr>
          <w:rFonts w:ascii="Arial" w:hAnsi="Arial" w:cs="Arial"/>
          <w:color w:val="000000" w:themeColor="text1"/>
          <w:sz w:val="22"/>
          <w:lang w:val="es-CO"/>
        </w:rPr>
        <w:t>Adicionalmente</w:t>
      </w:r>
      <w:r w:rsidRPr="009A2803" w:rsidR="008711D3">
        <w:rPr>
          <w:rFonts w:ascii="Arial" w:hAnsi="Arial" w:cs="Arial"/>
          <w:color w:val="000000" w:themeColor="text1"/>
          <w:sz w:val="22"/>
          <w:lang w:val="es-CO"/>
        </w:rPr>
        <w:t>,</w:t>
      </w:r>
      <w:r w:rsidRPr="009A2803" w:rsidR="00861F7E">
        <w:rPr>
          <w:rFonts w:ascii="Arial" w:hAnsi="Arial" w:cs="Arial"/>
          <w:color w:val="000000" w:themeColor="text1"/>
          <w:sz w:val="22"/>
          <w:lang w:val="es-CO"/>
        </w:rPr>
        <w:t xml:space="preserve"> su contenido</w:t>
      </w:r>
      <w:r w:rsidRPr="009A2803" w:rsidR="008711D3">
        <w:rPr>
          <w:rFonts w:ascii="Arial" w:hAnsi="Arial" w:cs="Arial"/>
          <w:color w:val="000000" w:themeColor="text1"/>
          <w:sz w:val="22"/>
          <w:lang w:val="es-CO"/>
        </w:rPr>
        <w:t xml:space="preserve"> es contrario al del artículo 34 de la Ley 2069 de 2020</w:t>
      </w:r>
      <w:r w:rsidRPr="009A2803" w:rsidR="00861F7E">
        <w:rPr>
          <w:rFonts w:ascii="Arial" w:hAnsi="Arial" w:cs="Arial"/>
          <w:color w:val="000000" w:themeColor="text1"/>
          <w:sz w:val="22"/>
          <w:lang w:val="es-CO"/>
        </w:rPr>
        <w:t>. E</w:t>
      </w:r>
      <w:r w:rsidRPr="009A2803" w:rsidR="008711D3">
        <w:rPr>
          <w:rFonts w:ascii="Arial" w:hAnsi="Arial" w:cs="Arial"/>
          <w:color w:val="000000" w:themeColor="text1"/>
          <w:sz w:val="22"/>
          <w:lang w:val="es-CO"/>
        </w:rPr>
        <w:t>n este sentido,</w:t>
      </w:r>
      <w:r w:rsidRPr="00C123CD" w:rsidR="008711D3">
        <w:rPr>
          <w:rFonts w:ascii="Arial" w:hAnsi="Arial" w:eastAsia="Calibri" w:cs="Arial"/>
          <w:color w:val="000000" w:themeColor="text1"/>
          <w:sz w:val="22"/>
          <w:lang w:val="es-CO"/>
        </w:rPr>
        <w:t xml:space="preserve"> </w:t>
      </w:r>
      <w:r w:rsidRPr="00C123CD" w:rsidR="008711D3">
        <w:rPr>
          <w:rFonts w:ascii="Arial" w:hAnsi="Arial" w:cs="Arial"/>
          <w:color w:val="000000" w:themeColor="text1"/>
          <w:sz w:val="22"/>
          <w:lang w:val="es-CO"/>
        </w:rPr>
        <w:t>debe aplicar</w:t>
      </w:r>
      <w:r w:rsidR="009B51C6">
        <w:rPr>
          <w:rFonts w:ascii="Arial" w:hAnsi="Arial" w:cs="Arial"/>
          <w:color w:val="000000" w:themeColor="text1"/>
          <w:sz w:val="22"/>
          <w:lang w:val="es-CO"/>
        </w:rPr>
        <w:t>se</w:t>
      </w:r>
      <w:r w:rsidRPr="00C123CD" w:rsidR="008711D3">
        <w:rPr>
          <w:rFonts w:ascii="Arial" w:hAnsi="Arial" w:cs="Arial"/>
          <w:color w:val="000000" w:themeColor="text1"/>
          <w:sz w:val="22"/>
          <w:lang w:val="es-CO"/>
        </w:rPr>
        <w:t xml:space="preserve"> la consecuencia jurídica prevista en el artículo 84 de la Ley 2069 de 2020, según la cual esta «deroga […] todas las disposiciones que le sean contrarias». Entonces, además del decaimiento del artículo 2.2.1.2.4.2.2. del Decreto 1082 de 2015, debe entenderse derogado</w:t>
      </w:r>
      <w:r w:rsidRPr="00C123CD" w:rsidR="00C90B0F">
        <w:rPr>
          <w:rFonts w:ascii="Arial" w:hAnsi="Arial" w:cs="Arial"/>
          <w:color w:val="000000" w:themeColor="text1"/>
          <w:sz w:val="22"/>
          <w:lang w:val="es-CO"/>
        </w:rPr>
        <w:t xml:space="preserve"> por el </w:t>
      </w:r>
      <w:r w:rsidRPr="00D63CF2" w:rsidR="00C90B0F">
        <w:rPr>
          <w:rFonts w:ascii="Arial" w:hAnsi="Arial" w:cs="Arial"/>
          <w:color w:val="000000" w:themeColor="text1"/>
          <w:sz w:val="22"/>
          <w:lang w:val="es-CO"/>
        </w:rPr>
        <w:t>artículo 34 de la Ley 2069 de 2020</w:t>
      </w:r>
      <w:r w:rsidRPr="009A2803" w:rsidR="00C90B0F">
        <w:rPr>
          <w:rFonts w:ascii="Arial" w:hAnsi="Arial" w:cs="Arial"/>
          <w:color w:val="000000" w:themeColor="text1"/>
          <w:sz w:val="22"/>
          <w:lang w:val="es-CO"/>
        </w:rPr>
        <w:t xml:space="preserve">. </w:t>
      </w:r>
    </w:p>
    <w:p w:rsidRPr="009A2803" w:rsidR="00670580" w:rsidP="00C123CD" w:rsidRDefault="00C90B0F" w14:paraId="4EB066D0" w14:textId="0DA21529">
      <w:pPr>
        <w:spacing w:before="120" w:line="276" w:lineRule="auto"/>
        <w:ind w:firstLine="709"/>
        <w:jc w:val="both"/>
        <w:rPr>
          <w:rFonts w:ascii="Arial" w:hAnsi="Arial" w:cs="Arial"/>
          <w:color w:val="000000" w:themeColor="text1"/>
          <w:sz w:val="22"/>
          <w:lang w:val="es-CO"/>
        </w:rPr>
      </w:pPr>
      <w:r w:rsidRPr="00C123CD">
        <w:rPr>
          <w:rFonts w:ascii="Arial" w:hAnsi="Arial" w:cs="Arial"/>
          <w:color w:val="000000" w:themeColor="text1"/>
          <w:sz w:val="22"/>
          <w:lang w:val="es-CO"/>
        </w:rPr>
        <w:t>Ahora bien, d</w:t>
      </w:r>
      <w:r w:rsidRPr="00C123CD" w:rsidR="00861F7E">
        <w:rPr>
          <w:rFonts w:ascii="Arial" w:hAnsi="Arial" w:cs="Arial"/>
          <w:color w:val="000000" w:themeColor="text1"/>
          <w:sz w:val="22"/>
          <w:lang w:val="es-CO"/>
        </w:rPr>
        <w:t xml:space="preserve">ebido a que el </w:t>
      </w:r>
      <w:r w:rsidRPr="00D63CF2" w:rsidR="00861F7E">
        <w:rPr>
          <w:rFonts w:ascii="Arial" w:hAnsi="Arial" w:cs="Arial"/>
          <w:color w:val="000000" w:themeColor="text1"/>
          <w:sz w:val="22"/>
          <w:lang w:val="es-CO"/>
        </w:rPr>
        <w:t>artículo 34 de la Ley 2069 de 2020</w:t>
      </w:r>
      <w:r w:rsidRPr="009A2803" w:rsidR="00861F7E">
        <w:rPr>
          <w:rFonts w:ascii="Arial" w:hAnsi="Arial" w:cs="Arial"/>
          <w:color w:val="000000" w:themeColor="text1"/>
          <w:sz w:val="22"/>
          <w:lang w:val="es-CO"/>
        </w:rPr>
        <w:t xml:space="preserve"> </w:t>
      </w:r>
      <w:r w:rsidRPr="00C123CD" w:rsidR="00861F7E">
        <w:rPr>
          <w:rFonts w:ascii="Arial" w:hAnsi="Arial" w:eastAsia="Calibri" w:cs="Arial"/>
          <w:color w:val="000000" w:themeColor="text1"/>
          <w:sz w:val="22"/>
          <w:lang w:val="es-CO"/>
        </w:rPr>
        <w:t>alude</w:t>
      </w:r>
      <w:r w:rsidRPr="00C123CD" w:rsidR="00861F7E">
        <w:rPr>
          <w:rFonts w:ascii="Arial" w:hAnsi="Arial" w:eastAsia="Calibri" w:cs="Arial"/>
          <w:bCs/>
          <w:color w:val="000000" w:themeColor="text1"/>
          <w:sz w:val="22"/>
          <w:lang w:val="es-CO"/>
        </w:rPr>
        <w:t xml:space="preserve"> a la necesidad de un desarrollo reglamentario en la materia,</w:t>
      </w:r>
      <w:r w:rsidRPr="00D63CF2" w:rsidR="00861F7E">
        <w:rPr>
          <w:rFonts w:ascii="Arial" w:hAnsi="Arial" w:cs="Arial"/>
          <w:color w:val="000000" w:themeColor="text1"/>
          <w:sz w:val="22"/>
          <w:lang w:val="es-CO"/>
        </w:rPr>
        <w:t xml:space="preserve"> </w:t>
      </w:r>
      <w:r w:rsidRPr="009A2803" w:rsidR="00670580">
        <w:rPr>
          <w:rFonts w:ascii="Arial" w:hAnsi="Arial" w:cs="Arial"/>
          <w:color w:val="000000" w:themeColor="text1"/>
          <w:sz w:val="22"/>
          <w:lang w:val="es-CO"/>
        </w:rPr>
        <w:t xml:space="preserve">mientras no se expida el decreto reglamentario del gobierno nacional,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 </w:t>
      </w:r>
    </w:p>
    <w:p w:rsidRPr="00C123CD" w:rsidR="00670580" w:rsidP="00C123CD" w:rsidRDefault="00670580" w14:paraId="5CE8FAA9" w14:textId="77777777">
      <w:pPr>
        <w:shd w:val="clear" w:color="auto" w:fill="FFFFFF"/>
        <w:spacing w:after="120"/>
        <w:ind w:left="709" w:right="709"/>
        <w:jc w:val="both"/>
        <w:rPr>
          <w:rFonts w:ascii="Arial" w:hAnsi="Arial" w:eastAsia="Calibri" w:cs="Arial"/>
          <w:color w:val="000000" w:themeColor="text1"/>
          <w:sz w:val="22"/>
          <w:lang w:val="es-CO"/>
        </w:rPr>
      </w:pPr>
    </w:p>
    <w:p w:rsidRPr="00C123CD" w:rsidR="00863245" w:rsidP="00AF7F1C" w:rsidRDefault="004A303C" w14:paraId="09C6999B" w14:textId="7BE352C0">
      <w:pPr>
        <w:pStyle w:val="Sinespaciado"/>
        <w:spacing w:line="276" w:lineRule="auto"/>
        <w:jc w:val="both"/>
        <w:rPr>
          <w:rFonts w:ascii="Arial" w:hAnsi="Arial" w:cs="Arial"/>
          <w:lang w:val="es-CO"/>
        </w:rPr>
      </w:pPr>
      <w:r w:rsidRPr="00C123CD">
        <w:rPr>
          <w:rFonts w:ascii="Arial" w:hAnsi="Arial" w:eastAsia="Times New Roman" w:cs="Arial"/>
          <w:color w:val="000000" w:themeColor="text1"/>
          <w:sz w:val="22"/>
          <w:lang w:val="es-CO" w:eastAsia="es-ES_tradnl"/>
        </w:rPr>
        <w:t>Este concepto tiene el alcance previsto en el artículo 28 del Código de Procedimiento Administrativo y de lo Contencioso Administrativo.</w:t>
      </w:r>
    </w:p>
    <w:p w:rsidRPr="00C123CD" w:rsidR="004A303C" w:rsidP="00365097" w:rsidRDefault="004A303C" w14:paraId="55EF1794" w14:textId="6B3C3654">
      <w:pPr>
        <w:tabs>
          <w:tab w:val="left" w:pos="426"/>
        </w:tabs>
        <w:spacing w:before="120" w:line="276" w:lineRule="auto"/>
        <w:jc w:val="both"/>
        <w:rPr>
          <w:rFonts w:ascii="Arial" w:hAnsi="Arial" w:eastAsia="Times New Roman" w:cs="Arial"/>
          <w:color w:val="000000" w:themeColor="text1"/>
          <w:sz w:val="22"/>
          <w:lang w:val="es-CO" w:eastAsia="es-ES_tradnl"/>
        </w:rPr>
      </w:pPr>
      <w:r w:rsidRPr="00C123CD">
        <w:rPr>
          <w:rFonts w:ascii="Arial" w:hAnsi="Arial" w:eastAsia="Times New Roman" w:cs="Arial"/>
          <w:color w:val="000000" w:themeColor="text1"/>
          <w:sz w:val="22"/>
          <w:lang w:val="es-CO" w:eastAsia="es-ES_tradnl"/>
        </w:rPr>
        <w:t>Atentamente,</w:t>
      </w:r>
    </w:p>
    <w:bookmarkEnd w:id="0"/>
    <w:bookmarkEnd w:id="1"/>
    <w:p w:rsidRPr="00C123CD" w:rsidR="00CA3507" w:rsidP="00365097" w:rsidRDefault="00CA3507" w14:paraId="504FE10F" w14:textId="08F38B7F">
      <w:pPr>
        <w:spacing w:before="120" w:line="276" w:lineRule="auto"/>
        <w:jc w:val="center"/>
        <w:rPr>
          <w:rFonts w:ascii="Arial" w:hAnsi="Arial" w:eastAsia="Times New Roman" w:cs="Arial"/>
          <w:color w:val="000000" w:themeColor="text1"/>
          <w:sz w:val="18"/>
          <w:szCs w:val="18"/>
          <w:lang w:val="es-CO" w:eastAsia="es-CO"/>
        </w:rPr>
      </w:pPr>
    </w:p>
    <w:p w:rsidRPr="00C123CD" w:rsidR="00AE2F9D" w:rsidP="5EA2B2A8" w:rsidRDefault="00C30BDE" w14:paraId="4EC0D092" w14:textId="4ACFCC30">
      <w:pPr>
        <w:pStyle w:val="Normal"/>
        <w:spacing w:before="120" w:line="276" w:lineRule="auto"/>
        <w:jc w:val="center"/>
        <w:rPr>
          <w:sz w:val="24"/>
          <w:szCs w:val="24"/>
          <w:lang w:val="es-CO" w:eastAsia="es-CO"/>
        </w:rPr>
      </w:pPr>
      <w:r w:rsidR="47B2894B">
        <w:drawing>
          <wp:inline wp14:editId="3710745D" wp14:anchorId="50F3A42F">
            <wp:extent cx="2600325" cy="1295400"/>
            <wp:effectExtent l="0" t="0" r="0" b="0"/>
            <wp:docPr id="501380018" name="" title=""/>
            <wp:cNvGraphicFramePr>
              <a:graphicFrameLocks noChangeAspect="1"/>
            </wp:cNvGraphicFramePr>
            <a:graphic>
              <a:graphicData uri="http://schemas.openxmlformats.org/drawingml/2006/picture">
                <pic:pic>
                  <pic:nvPicPr>
                    <pic:cNvPr id="0" name=""/>
                    <pic:cNvPicPr/>
                  </pic:nvPicPr>
                  <pic:blipFill>
                    <a:blip r:embed="R473780b7c938493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00325" cy="1295400"/>
                    </a:xfrm>
                    <a:prstGeom prst="rect">
                      <a:avLst/>
                    </a:prstGeom>
                  </pic:spPr>
                </pic:pic>
              </a:graphicData>
            </a:graphic>
          </wp:inline>
        </w:drawing>
      </w:r>
    </w:p>
    <w:p w:rsidRPr="00C123CD" w:rsidR="00B343F3" w:rsidP="004A303C" w:rsidRDefault="00B343F3" w14:paraId="4F89E839" w14:textId="789EAB32">
      <w:pPr>
        <w:jc w:val="center"/>
        <w:rPr>
          <w:rFonts w:ascii="Arial" w:hAnsi="Arial" w:eastAsia="Times New Roman" w:cs="Arial"/>
          <w:color w:val="000000" w:themeColor="text1"/>
          <w:sz w:val="18"/>
          <w:szCs w:val="20"/>
          <w:lang w:val="es-CO" w:eastAsia="es-CO"/>
        </w:rPr>
      </w:pPr>
    </w:p>
    <w:p w:rsidRPr="00C123CD" w:rsidR="00B343F3" w:rsidP="004A303C" w:rsidRDefault="00B343F3" w14:paraId="7A1A8ADB" w14:textId="77777777">
      <w:pPr>
        <w:jc w:val="center"/>
        <w:rPr>
          <w:rFonts w:ascii="Arial" w:hAnsi="Arial" w:eastAsia="Times New Roman" w:cs="Arial"/>
          <w:color w:val="000000" w:themeColor="text1"/>
          <w:sz w:val="18"/>
          <w:szCs w:val="20"/>
          <w:lang w:val="es-CO"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9A2803" w:rsidR="000079A6" w:rsidTr="00C4215E" w14:paraId="3845EF28" w14:textId="77777777">
        <w:trPr>
          <w:trHeight w:val="315"/>
        </w:trPr>
        <w:tc>
          <w:tcPr>
            <w:tcW w:w="812" w:type="dxa"/>
            <w:vAlign w:val="center"/>
            <w:hideMark/>
          </w:tcPr>
          <w:p w:rsidRPr="00C123CD" w:rsidR="004A303C" w:rsidP="00C4215E" w:rsidRDefault="004A303C" w14:paraId="46573DA4" w14:textId="77777777">
            <w:pPr>
              <w:rPr>
                <w:rFonts w:ascii="Arial" w:hAnsi="Arial" w:eastAsia="Times New Roman" w:cs="Arial"/>
                <w:color w:val="000000" w:themeColor="text1"/>
                <w:sz w:val="16"/>
                <w:szCs w:val="16"/>
                <w:lang w:val="es-CO" w:eastAsia="es-ES"/>
              </w:rPr>
            </w:pPr>
            <w:r w:rsidRPr="00C123CD">
              <w:rPr>
                <w:rFonts w:ascii="Arial" w:hAnsi="Arial" w:eastAsia="Times New Roman" w:cs="Arial"/>
                <w:color w:val="000000" w:themeColor="text1"/>
                <w:sz w:val="16"/>
                <w:szCs w:val="16"/>
                <w:lang w:val="es-CO" w:eastAsia="es-ES"/>
              </w:rPr>
              <w:t>Elaboró:</w:t>
            </w:r>
          </w:p>
        </w:tc>
        <w:tc>
          <w:tcPr>
            <w:tcW w:w="4413" w:type="dxa"/>
            <w:tcBorders>
              <w:top w:val="nil"/>
              <w:left w:val="nil"/>
              <w:bottom w:val="dotted" w:color="7F7F7F" w:themeColor="text1" w:themeTint="80" w:sz="4" w:space="0"/>
              <w:right w:val="nil"/>
            </w:tcBorders>
            <w:vAlign w:val="center"/>
            <w:hideMark/>
          </w:tcPr>
          <w:p w:rsidRPr="00C123CD" w:rsidR="004A303C" w:rsidP="00C4215E" w:rsidRDefault="004A303C" w14:paraId="35B831BF" w14:textId="77777777">
            <w:pPr>
              <w:rPr>
                <w:rFonts w:ascii="Arial" w:hAnsi="Arial" w:eastAsia="Times New Roman" w:cs="Arial"/>
                <w:color w:val="000000" w:themeColor="text1"/>
                <w:sz w:val="16"/>
                <w:szCs w:val="16"/>
                <w:lang w:val="es-CO" w:eastAsia="es-ES"/>
              </w:rPr>
            </w:pPr>
            <w:r w:rsidRPr="00C123CD">
              <w:rPr>
                <w:rFonts w:ascii="Arial" w:hAnsi="Arial" w:eastAsia="Times New Roman" w:cs="Arial"/>
                <w:color w:val="000000" w:themeColor="text1"/>
                <w:sz w:val="16"/>
                <w:szCs w:val="16"/>
                <w:lang w:val="es-CO" w:eastAsia="es-ES"/>
              </w:rPr>
              <w:t>Guillermo Escolar Flórez</w:t>
            </w:r>
          </w:p>
          <w:p w:rsidRPr="00C123CD" w:rsidR="00186E11" w:rsidP="00C4215E" w:rsidRDefault="00186E11" w14:paraId="2D2324C2" w14:textId="6439F39A">
            <w:pPr>
              <w:rPr>
                <w:rFonts w:ascii="Arial" w:hAnsi="Arial" w:eastAsia="Times New Roman" w:cs="Arial"/>
                <w:color w:val="000000" w:themeColor="text1"/>
                <w:sz w:val="16"/>
                <w:szCs w:val="16"/>
                <w:lang w:val="es-CO" w:eastAsia="es-ES"/>
              </w:rPr>
            </w:pPr>
            <w:r w:rsidRPr="00C123CD">
              <w:rPr>
                <w:rFonts w:ascii="Arial" w:hAnsi="Arial" w:eastAsia="Times New Roman" w:cs="Arial"/>
                <w:color w:val="000000" w:themeColor="text1"/>
                <w:sz w:val="16"/>
                <w:szCs w:val="16"/>
                <w:lang w:val="es-CO" w:eastAsia="es-ES"/>
              </w:rPr>
              <w:t>Contratista de la Subdirección de Gestión Contractual</w:t>
            </w:r>
          </w:p>
        </w:tc>
      </w:tr>
      <w:tr w:rsidRPr="009A2803" w:rsidR="000079A6" w:rsidTr="00C4215E" w14:paraId="185A8054" w14:textId="77777777">
        <w:trPr>
          <w:trHeight w:val="330"/>
        </w:trPr>
        <w:tc>
          <w:tcPr>
            <w:tcW w:w="812" w:type="dxa"/>
            <w:vAlign w:val="center"/>
            <w:hideMark/>
          </w:tcPr>
          <w:p w:rsidRPr="00C123CD" w:rsidR="004A303C" w:rsidP="00C4215E" w:rsidRDefault="004A303C" w14:paraId="6DF4B2B6" w14:textId="77777777">
            <w:pPr>
              <w:rPr>
                <w:rFonts w:ascii="Arial" w:hAnsi="Arial" w:eastAsia="Times New Roman" w:cs="Arial"/>
                <w:color w:val="000000" w:themeColor="text1"/>
                <w:sz w:val="16"/>
                <w:szCs w:val="16"/>
                <w:lang w:val="es-CO" w:eastAsia="es-ES"/>
              </w:rPr>
            </w:pPr>
            <w:r w:rsidRPr="00C123CD">
              <w:rPr>
                <w:rFonts w:ascii="Arial" w:hAnsi="Arial" w:eastAsia="Times New Roman" w:cs="Arial"/>
                <w:color w:val="000000" w:themeColor="text1"/>
                <w:sz w:val="16"/>
                <w:szCs w:val="16"/>
                <w:lang w:val="es-CO"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123CD" w:rsidR="00C30BDE" w:rsidP="00C30BDE" w:rsidRDefault="00C30BDE" w14:paraId="5B96C20D" w14:textId="77777777">
            <w:pPr>
              <w:rPr>
                <w:rFonts w:ascii="Arial" w:hAnsi="Arial" w:eastAsia="Times New Roman" w:cs="Arial"/>
                <w:color w:val="000000" w:themeColor="text1"/>
                <w:sz w:val="16"/>
                <w:szCs w:val="16"/>
                <w:lang w:val="es-CO" w:eastAsia="es-ES"/>
              </w:rPr>
            </w:pPr>
            <w:r w:rsidRPr="00C123CD">
              <w:rPr>
                <w:rFonts w:ascii="Arial" w:hAnsi="Arial" w:eastAsia="Times New Roman" w:cs="Arial"/>
                <w:color w:val="000000" w:themeColor="text1"/>
                <w:sz w:val="16"/>
                <w:szCs w:val="16"/>
                <w:lang w:val="es-CO" w:eastAsia="es-ES"/>
              </w:rPr>
              <w:t xml:space="preserve">Juan David Montoya Penagos </w:t>
            </w:r>
          </w:p>
          <w:p w:rsidRPr="00C123CD" w:rsidR="00186E11" w:rsidP="00C30BDE" w:rsidRDefault="00C30BDE" w14:paraId="3B49C6C0" w14:textId="419F40CB">
            <w:pPr>
              <w:rPr>
                <w:rFonts w:ascii="Arial" w:hAnsi="Arial" w:eastAsia="Times New Roman" w:cs="Arial"/>
                <w:color w:val="000000" w:themeColor="text1"/>
                <w:sz w:val="16"/>
                <w:szCs w:val="16"/>
                <w:lang w:val="es-CO" w:eastAsia="es-ES"/>
              </w:rPr>
            </w:pPr>
            <w:r w:rsidRPr="00C123CD">
              <w:rPr>
                <w:rFonts w:ascii="Arial" w:hAnsi="Arial" w:eastAsia="Times New Roman" w:cs="Arial"/>
                <w:color w:val="000000" w:themeColor="text1"/>
                <w:sz w:val="16"/>
                <w:szCs w:val="16"/>
                <w:lang w:val="es-CO" w:eastAsia="es-ES"/>
              </w:rPr>
              <w:t>Gestor T1-15 de la Subdirección de Gestión Contractual</w:t>
            </w:r>
          </w:p>
        </w:tc>
      </w:tr>
      <w:tr w:rsidRPr="009A2803" w:rsidR="000079A6" w:rsidTr="00C4215E" w14:paraId="0264BFAB" w14:textId="77777777">
        <w:trPr>
          <w:trHeight w:val="300"/>
        </w:trPr>
        <w:tc>
          <w:tcPr>
            <w:tcW w:w="812" w:type="dxa"/>
            <w:vAlign w:val="center"/>
            <w:hideMark/>
          </w:tcPr>
          <w:p w:rsidRPr="00C123CD" w:rsidR="004A303C" w:rsidP="00C4215E" w:rsidRDefault="004A303C" w14:paraId="62F9E26B" w14:textId="77777777">
            <w:pPr>
              <w:rPr>
                <w:rFonts w:ascii="Arial" w:hAnsi="Arial" w:eastAsia="Times New Roman" w:cs="Arial"/>
                <w:color w:val="000000" w:themeColor="text1"/>
                <w:sz w:val="16"/>
                <w:szCs w:val="16"/>
                <w:lang w:val="es-CO" w:eastAsia="es-ES"/>
              </w:rPr>
            </w:pPr>
            <w:r w:rsidRPr="00C123CD">
              <w:rPr>
                <w:rFonts w:ascii="Arial" w:hAnsi="Arial" w:eastAsia="Times New Roman" w:cs="Arial"/>
                <w:color w:val="000000" w:themeColor="text1"/>
                <w:sz w:val="16"/>
                <w:szCs w:val="16"/>
                <w:lang w:val="es-CO"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123CD" w:rsidR="004A303C" w:rsidP="00C4215E" w:rsidRDefault="00A443F2" w14:paraId="276FFCC9" w14:textId="2005D11D">
            <w:pPr>
              <w:rPr>
                <w:rFonts w:ascii="Arial" w:hAnsi="Arial" w:eastAsia="Times New Roman" w:cs="Arial"/>
                <w:color w:val="000000" w:themeColor="text1"/>
                <w:sz w:val="16"/>
                <w:szCs w:val="16"/>
                <w:lang w:val="es-CO" w:eastAsia="es-ES"/>
              </w:rPr>
            </w:pPr>
            <w:r w:rsidRPr="00C123CD">
              <w:rPr>
                <w:rFonts w:ascii="Arial" w:hAnsi="Arial" w:eastAsia="Times New Roman" w:cs="Arial"/>
                <w:color w:val="000000" w:themeColor="text1"/>
                <w:sz w:val="16"/>
                <w:szCs w:val="16"/>
                <w:lang w:val="es-CO" w:eastAsia="es-ES"/>
              </w:rPr>
              <w:t>Jorge Augusto Tirado Navarro</w:t>
            </w:r>
          </w:p>
          <w:p w:rsidRPr="00C123CD" w:rsidR="004A303C" w:rsidP="00C4215E" w:rsidRDefault="004A303C" w14:paraId="0E4183AA" w14:textId="4BA88713">
            <w:pPr>
              <w:rPr>
                <w:rFonts w:ascii="Arial" w:hAnsi="Arial" w:eastAsia="Times New Roman" w:cs="Arial"/>
                <w:color w:val="000000" w:themeColor="text1"/>
                <w:sz w:val="16"/>
                <w:szCs w:val="16"/>
                <w:lang w:val="es-CO" w:eastAsia="es-ES"/>
              </w:rPr>
            </w:pPr>
            <w:r w:rsidRPr="00C123CD">
              <w:rPr>
                <w:rFonts w:ascii="Arial" w:hAnsi="Arial" w:eastAsia="Times New Roman" w:cs="Arial"/>
                <w:color w:val="000000" w:themeColor="text1"/>
                <w:sz w:val="16"/>
                <w:szCs w:val="16"/>
                <w:lang w:val="es-CO" w:eastAsia="es-ES"/>
              </w:rPr>
              <w:t>Subdirector de Gestión Contractual</w:t>
            </w:r>
            <w:r w:rsidRPr="00C123CD" w:rsidR="00843AB7">
              <w:rPr>
                <w:rFonts w:ascii="Arial" w:hAnsi="Arial" w:eastAsia="Times New Roman" w:cs="Arial"/>
                <w:color w:val="000000" w:themeColor="text1"/>
                <w:sz w:val="16"/>
                <w:szCs w:val="16"/>
                <w:lang w:val="es-CO" w:eastAsia="es-ES"/>
              </w:rPr>
              <w:t xml:space="preserve"> ANCP – CCE</w:t>
            </w:r>
          </w:p>
        </w:tc>
      </w:tr>
    </w:tbl>
    <w:p w:rsidRPr="00C123CD" w:rsidR="00BD6605" w:rsidRDefault="00BD6605" w14:paraId="1B0D48EA" w14:textId="77777777">
      <w:pPr>
        <w:rPr>
          <w:rFonts w:ascii="Arial" w:hAnsi="Arial" w:cs="Arial"/>
          <w:color w:val="000000" w:themeColor="text1"/>
          <w:lang w:val="es-CO"/>
        </w:rPr>
      </w:pPr>
    </w:p>
    <w:sectPr w:rsidRPr="00C123CD" w:rsidR="00BD6605" w:rsidSect="00C4215E">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296" w:rsidP="004A303C" w:rsidRDefault="00D16296" w14:paraId="757F9A66" w14:textId="77777777">
      <w:r>
        <w:separator/>
      </w:r>
    </w:p>
  </w:endnote>
  <w:endnote w:type="continuationSeparator" w:id="0">
    <w:p w:rsidR="00D16296" w:rsidP="004A303C" w:rsidRDefault="00D16296" w14:paraId="7F43D0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215E" w:rsidP="00C4215E" w:rsidRDefault="00C4215E" w14:paraId="3A88BB9E" w14:textId="77777777">
    <w:pPr>
      <w:pStyle w:val="Sinespaciado"/>
      <w:jc w:val="right"/>
      <w:rPr>
        <w:rFonts w:ascii="Arial" w:hAnsi="Arial" w:cs="Arial"/>
        <w:sz w:val="18"/>
        <w:szCs w:val="18"/>
      </w:rPr>
    </w:pPr>
  </w:p>
  <w:p w:rsidR="00C4215E" w:rsidP="00C4215E" w:rsidRDefault="00C4215E" w14:paraId="2A927604" w14:textId="77777777">
    <w:pPr>
      <w:pStyle w:val="Sinespaciado"/>
      <w:jc w:val="right"/>
      <w:rPr>
        <w:rFonts w:ascii="Arial" w:hAnsi="Arial" w:cs="Arial"/>
        <w:sz w:val="18"/>
        <w:szCs w:val="18"/>
      </w:rPr>
    </w:pPr>
  </w:p>
  <w:p w:rsidRPr="008217B7" w:rsidR="00C4215E" w:rsidP="00C4215E" w:rsidRDefault="00C4215E" w14:paraId="4FC6343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C4215E" w:rsidP="00C4215E" w:rsidRDefault="3C399BE9" w14:paraId="01CE2E1A" w14:textId="77777777">
    <w:pPr>
      <w:pStyle w:val="Piedepgina"/>
      <w:jc w:val="center"/>
      <w:rPr>
        <w:lang w:val="es-ES"/>
      </w:rPr>
    </w:pPr>
    <w:r w:rsidR="364F65CE">
      <w:drawing>
        <wp:inline wp14:editId="20093AEA" wp14:anchorId="718D15A4">
          <wp:extent cx="3700130" cy="519139"/>
          <wp:effectExtent l="0" t="0" r="0" b="0"/>
          <wp:docPr id="9" name="Imagen 9" title=""/>
          <wp:cNvGraphicFramePr>
            <a:graphicFrameLocks noChangeAspect="1"/>
          </wp:cNvGraphicFramePr>
          <a:graphic>
            <a:graphicData uri="http://schemas.openxmlformats.org/drawingml/2006/picture">
              <pic:pic>
                <pic:nvPicPr>
                  <pic:cNvPr id="0" name="Imagen 9"/>
                  <pic:cNvPicPr/>
                </pic:nvPicPr>
                <pic:blipFill>
                  <a:blip r:embed="R8bbec8c50b474a8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C4215E" w:rsidP="00C4215E" w:rsidRDefault="00C4215E" w14:paraId="5DCB422F" w14:textId="77777777">
    <w:pPr>
      <w:pStyle w:val="Piedepgina"/>
      <w:jc w:val="center"/>
      <w:rPr>
        <w:sz w:val="18"/>
        <w:szCs w:val="18"/>
        <w:lang w:val="es-ES"/>
      </w:rPr>
    </w:pPr>
  </w:p>
  <w:p w:rsidRPr="00E756AC" w:rsidR="00C4215E" w:rsidP="00C4215E" w:rsidRDefault="00C4215E" w14:paraId="59B6DB65"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296" w:rsidP="004A303C" w:rsidRDefault="00D16296" w14:paraId="4D2762E9" w14:textId="77777777">
      <w:r>
        <w:separator/>
      </w:r>
    </w:p>
  </w:footnote>
  <w:footnote w:type="continuationSeparator" w:id="0">
    <w:p w:rsidR="00D16296" w:rsidP="004A303C" w:rsidRDefault="00D16296" w14:paraId="59169E5D" w14:textId="77777777">
      <w:r>
        <w:continuationSeparator/>
      </w:r>
    </w:p>
  </w:footnote>
  <w:footnote w:id="1">
    <w:p w:rsidRPr="00B502C8" w:rsidR="00FA57FD" w:rsidP="00FA57FD" w:rsidRDefault="00FA57FD" w14:paraId="0E826CF9" w14:textId="0AF384D8">
      <w:pPr>
        <w:ind w:firstLine="708"/>
        <w:jc w:val="both"/>
        <w:rPr>
          <w:rFonts w:ascii="Arial" w:hAnsi="Arial" w:cs="Arial"/>
          <w:sz w:val="19"/>
          <w:szCs w:val="19"/>
        </w:rPr>
      </w:pPr>
      <w:r w:rsidRPr="00FD0DB3">
        <w:rPr>
          <w:rStyle w:val="Refdenotaalpie"/>
          <w:rFonts w:ascii="Arial" w:hAnsi="Arial" w:cs="Arial"/>
          <w:sz w:val="19"/>
          <w:szCs w:val="19"/>
        </w:rPr>
        <w:footnoteRef/>
      </w:r>
      <w:r w:rsidRPr="00FD0DB3">
        <w:rPr>
          <w:rFonts w:ascii="Arial" w:hAnsi="Arial" w:cs="Arial"/>
          <w:sz w:val="19"/>
          <w:szCs w:val="19"/>
        </w:rPr>
        <w:t xml:space="preserve"> En efecto, la causal de rechazo del literal Q de</w:t>
      </w:r>
      <w:r w:rsidR="00FE3680">
        <w:rPr>
          <w:rFonts w:ascii="Arial" w:hAnsi="Arial" w:cs="Arial"/>
          <w:sz w:val="19"/>
          <w:szCs w:val="19"/>
        </w:rPr>
        <w:t>l numeral 1.15 dispone la siguiente causal de rechazo</w:t>
      </w:r>
      <w:r w:rsidRPr="00FD0DB3">
        <w:rPr>
          <w:rFonts w:ascii="Arial" w:hAnsi="Arial" w:cs="Arial"/>
          <w:sz w:val="19"/>
          <w:szCs w:val="19"/>
        </w:rPr>
        <w:t xml:space="preserve">: </w:t>
      </w:r>
      <w:r w:rsidRPr="00B502C8">
        <w:rPr>
          <w:rFonts w:ascii="Arial" w:hAnsi="Arial" w:cs="Arial"/>
          <w:sz w:val="19"/>
          <w:szCs w:val="19"/>
        </w:rPr>
        <w:t>«[Incluir solo cuando la forma de pago sea por precios unitarios]</w:t>
      </w:r>
      <w:r w:rsidRPr="00FD0DB3">
        <w:rPr>
          <w:rFonts w:ascii="Arial" w:hAnsi="Arial" w:cs="Arial"/>
          <w:sz w:val="19"/>
          <w:szCs w:val="19"/>
        </w:rPr>
        <w:t xml:space="preserve"> Superar el valor unitario de alguno o algunos de los siguientes ítems ofrecidos con respecto al valor establecido para cada ítem del presupuesto oficial</w:t>
      </w:r>
      <w:r w:rsidRPr="00B502C8">
        <w:rPr>
          <w:rFonts w:ascii="Arial" w:hAnsi="Arial" w:cs="Arial"/>
          <w:sz w:val="19"/>
          <w:szCs w:val="19"/>
        </w:rPr>
        <w:t xml:space="preserve">: [La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rsidRPr="00FD0DB3" w:rsidR="00FA57FD" w:rsidP="00FA57FD" w:rsidRDefault="00FA57FD" w14:paraId="3C9B4EB2" w14:textId="77777777">
      <w:pPr>
        <w:pStyle w:val="Textonotapie"/>
        <w:ind w:firstLine="708"/>
        <w:jc w:val="both"/>
        <w:rPr>
          <w:rFonts w:ascii="Arial" w:hAnsi="Arial" w:cs="Arial"/>
          <w:sz w:val="19"/>
          <w:szCs w:val="19"/>
          <w:lang w:val="es-CO"/>
        </w:rPr>
      </w:pPr>
      <w:r w:rsidRPr="00B502C8">
        <w:rPr>
          <w:rFonts w:ascii="Arial" w:hAnsi="Arial" w:cs="Arial"/>
          <w:sz w:val="19"/>
          <w:szCs w:val="19"/>
        </w:rPr>
        <w:t>»Para la aplicación de esta causal la entidad debe tener en cuenta que el valor unitario establecido en el Formulario 1 – Formulario de Presupuesto Oficial incluye el valor de AIU]</w:t>
      </w:r>
      <w:r>
        <w:rPr>
          <w:rFonts w:ascii="Arial" w:hAnsi="Arial" w:cs="Arial"/>
          <w:sz w:val="19"/>
          <w:szCs w:val="19"/>
        </w:rPr>
        <w:t>»</w:t>
      </w:r>
    </w:p>
  </w:footnote>
  <w:footnote w:id="2">
    <w:p w:rsidRPr="004753ED" w:rsidR="004753ED" w:rsidP="004753ED" w:rsidRDefault="004753ED" w14:paraId="4B012DDD" w14:textId="3DBE7D46">
      <w:pPr>
        <w:pStyle w:val="Textonotapie"/>
        <w:ind w:firstLine="709"/>
        <w:jc w:val="both"/>
        <w:rPr>
          <w:rFonts w:ascii="Arial" w:hAnsi="Arial" w:cs="Arial"/>
          <w:sz w:val="19"/>
          <w:szCs w:val="19"/>
        </w:rPr>
      </w:pPr>
      <w:r>
        <w:rPr>
          <w:rStyle w:val="Refdenotaalpie"/>
        </w:rPr>
        <w:footnoteRef/>
      </w:r>
      <w:r>
        <w:t xml:space="preserve"> </w:t>
      </w:r>
      <w:r w:rsidRPr="009237E7" w:rsidR="007A0055">
        <w:rPr>
          <w:rFonts w:ascii="Arial" w:hAnsi="Arial" w:eastAsia="Calibri" w:cs="Arial"/>
          <w:sz w:val="22"/>
        </w:rPr>
        <w:t>«</w:t>
      </w:r>
      <w:r w:rsidRPr="004753ED">
        <w:rPr>
          <w:rFonts w:ascii="Arial" w:hAnsi="Arial" w:cs="Arial"/>
          <w:sz w:val="19"/>
          <w:szCs w:val="19"/>
        </w:rPr>
        <w:t>8.1.</w:t>
      </w:r>
      <w:r>
        <w:rPr>
          <w:rFonts w:ascii="Arial" w:hAnsi="Arial" w:cs="Arial"/>
          <w:sz w:val="19"/>
          <w:szCs w:val="19"/>
        </w:rPr>
        <w:t xml:space="preserve"> </w:t>
      </w:r>
      <w:r w:rsidRPr="004753ED">
        <w:rPr>
          <w:rFonts w:ascii="Arial" w:hAnsi="Arial" w:cs="Arial"/>
          <w:sz w:val="19"/>
          <w:szCs w:val="19"/>
        </w:rPr>
        <w:t>INFORMACIÓN PARA EL CONTROL DE LA EJECUCIÓN DE LA OBRA</w:t>
      </w:r>
    </w:p>
    <w:p w:rsidRPr="004753ED" w:rsidR="004753ED" w:rsidP="004753ED" w:rsidRDefault="004753ED" w14:paraId="074955C6" w14:textId="3E8E8779">
      <w:pPr>
        <w:pStyle w:val="Textonotapie"/>
        <w:ind w:firstLine="709"/>
        <w:jc w:val="both"/>
        <w:rPr>
          <w:rFonts w:ascii="Arial" w:hAnsi="Arial" w:cs="Arial"/>
          <w:sz w:val="19"/>
          <w:szCs w:val="19"/>
        </w:rPr>
      </w:pPr>
      <w:r w:rsidRPr="009237E7">
        <w:rPr>
          <w:rFonts w:ascii="Arial" w:hAnsi="Arial" w:eastAsia="Calibri" w:cs="Arial"/>
          <w:sz w:val="22"/>
        </w:rPr>
        <w:t>«</w:t>
      </w:r>
      <w:r w:rsidRPr="004753ED">
        <w:rPr>
          <w:rFonts w:ascii="Arial" w:hAnsi="Arial" w:cs="Arial"/>
          <w:sz w:val="19"/>
          <w:szCs w:val="19"/>
        </w:rPr>
        <w:t>El contratista presentará a la Interventoría respectiva, dentro de los [La entidad deberá definir los días] días hábiles siguientes a la orden de iniciación del contrato de interventoría para su revisión y aprobación, los documentos que se relacionan a continuación, debidamente diligenciados de conformidad con el pliego de condiciones:</w:t>
      </w:r>
    </w:p>
    <w:p w:rsidRPr="004753ED" w:rsidR="004753ED" w:rsidP="004753ED" w:rsidRDefault="004753ED" w14:paraId="236C4248" w14:textId="00BDB43F">
      <w:pPr>
        <w:pStyle w:val="Textonotapie"/>
        <w:ind w:firstLine="709"/>
        <w:jc w:val="both"/>
        <w:rPr>
          <w:rFonts w:ascii="Arial" w:hAnsi="Arial" w:cs="Arial"/>
          <w:sz w:val="19"/>
          <w:szCs w:val="19"/>
        </w:rPr>
      </w:pPr>
      <w:r w:rsidRPr="004753ED">
        <w:rPr>
          <w:rFonts w:ascii="Arial" w:hAnsi="Arial" w:cs="Arial"/>
          <w:sz w:val="19"/>
          <w:szCs w:val="19"/>
        </w:rPr>
        <w:t>1.</w:t>
      </w:r>
      <w:r w:rsidRPr="004753ED">
        <w:rPr>
          <w:rFonts w:ascii="Arial" w:hAnsi="Arial" w:cs="Arial"/>
          <w:sz w:val="19"/>
          <w:szCs w:val="19"/>
        </w:rPr>
        <w:tab/>
      </w:r>
      <w:r w:rsidRPr="004753ED">
        <w:rPr>
          <w:rFonts w:ascii="Arial" w:hAnsi="Arial" w:cs="Arial"/>
          <w:sz w:val="19"/>
          <w:szCs w:val="19"/>
        </w:rPr>
        <w:t>Hojas de vida del personal profesional.</w:t>
      </w:r>
    </w:p>
    <w:p w:rsidRPr="004753ED" w:rsidR="004753ED" w:rsidP="004753ED" w:rsidRDefault="004753ED" w14:paraId="0B378439" w14:textId="08B889F1">
      <w:pPr>
        <w:pStyle w:val="Textonotapie"/>
        <w:ind w:firstLine="709"/>
        <w:jc w:val="both"/>
        <w:rPr>
          <w:rFonts w:ascii="Arial" w:hAnsi="Arial" w:cs="Arial"/>
          <w:sz w:val="19"/>
          <w:szCs w:val="19"/>
        </w:rPr>
      </w:pPr>
      <w:r w:rsidRPr="004753ED">
        <w:rPr>
          <w:rFonts w:ascii="Arial" w:hAnsi="Arial" w:cs="Arial"/>
          <w:sz w:val="19"/>
          <w:szCs w:val="19"/>
        </w:rPr>
        <w:t>2.</w:t>
      </w:r>
      <w:r w:rsidRPr="004753ED">
        <w:rPr>
          <w:rFonts w:ascii="Arial" w:hAnsi="Arial" w:cs="Arial"/>
          <w:sz w:val="19"/>
          <w:szCs w:val="19"/>
        </w:rPr>
        <w:tab/>
      </w:r>
      <w:r w:rsidRPr="004753ED">
        <w:rPr>
          <w:rFonts w:ascii="Arial" w:hAnsi="Arial" w:cs="Arial"/>
          <w:sz w:val="19"/>
          <w:szCs w:val="19"/>
        </w:rPr>
        <w:t>Relación del equipo mínimo obligatorio.</w:t>
      </w:r>
    </w:p>
    <w:p w:rsidRPr="004753ED" w:rsidR="004753ED" w:rsidP="004753ED" w:rsidRDefault="004753ED" w14:paraId="6BD83DCB" w14:textId="2A9086BE">
      <w:pPr>
        <w:pStyle w:val="Textonotapie"/>
        <w:ind w:firstLine="709"/>
        <w:jc w:val="both"/>
        <w:rPr>
          <w:rFonts w:ascii="Arial" w:hAnsi="Arial" w:cs="Arial"/>
          <w:sz w:val="19"/>
          <w:szCs w:val="19"/>
        </w:rPr>
      </w:pPr>
      <w:r w:rsidRPr="004753ED">
        <w:rPr>
          <w:rFonts w:ascii="Arial" w:hAnsi="Arial" w:cs="Arial"/>
          <w:sz w:val="19"/>
          <w:szCs w:val="19"/>
        </w:rPr>
        <w:t>3.</w:t>
      </w:r>
      <w:r w:rsidRPr="004753ED">
        <w:rPr>
          <w:rFonts w:ascii="Arial" w:hAnsi="Arial" w:cs="Arial"/>
          <w:sz w:val="19"/>
          <w:szCs w:val="19"/>
        </w:rPr>
        <w:tab/>
      </w:r>
      <w:r w:rsidRPr="004753ED">
        <w:rPr>
          <w:rFonts w:ascii="Arial" w:hAnsi="Arial" w:cs="Arial"/>
          <w:sz w:val="19"/>
          <w:szCs w:val="19"/>
        </w:rPr>
        <w:t>Análisis de precios unitarios correspondientes a la propuesta económica.</w:t>
      </w:r>
    </w:p>
    <w:p w:rsidRPr="004753ED" w:rsidR="004753ED" w:rsidP="004753ED" w:rsidRDefault="004753ED" w14:paraId="61C792B3" w14:textId="058E021A">
      <w:pPr>
        <w:pStyle w:val="Textonotapie"/>
        <w:ind w:firstLine="709"/>
        <w:jc w:val="both"/>
        <w:rPr>
          <w:rFonts w:ascii="Arial" w:hAnsi="Arial" w:cs="Arial"/>
          <w:sz w:val="19"/>
          <w:szCs w:val="19"/>
        </w:rPr>
      </w:pPr>
      <w:r w:rsidRPr="004753ED">
        <w:rPr>
          <w:rFonts w:ascii="Arial" w:hAnsi="Arial" w:cs="Arial"/>
          <w:sz w:val="19"/>
          <w:szCs w:val="19"/>
        </w:rPr>
        <w:t>4.</w:t>
      </w:r>
      <w:r w:rsidRPr="004753ED">
        <w:rPr>
          <w:rFonts w:ascii="Arial" w:hAnsi="Arial" w:cs="Arial"/>
          <w:sz w:val="19"/>
          <w:szCs w:val="19"/>
        </w:rPr>
        <w:tab/>
      </w:r>
      <w:r w:rsidRPr="004753ED">
        <w:rPr>
          <w:rFonts w:ascii="Arial" w:hAnsi="Arial" w:cs="Arial"/>
          <w:sz w:val="19"/>
          <w:szCs w:val="19"/>
        </w:rPr>
        <w:t>Programa de obra.</w:t>
      </w:r>
    </w:p>
    <w:p w:rsidRPr="004753ED" w:rsidR="004753ED" w:rsidP="004753ED" w:rsidRDefault="004753ED" w14:paraId="4053C3E7" w14:textId="33F35DD3">
      <w:pPr>
        <w:pStyle w:val="Textonotapie"/>
        <w:ind w:firstLine="709"/>
        <w:jc w:val="both"/>
        <w:rPr>
          <w:rFonts w:ascii="Arial" w:hAnsi="Arial" w:cs="Arial"/>
          <w:sz w:val="19"/>
          <w:szCs w:val="19"/>
        </w:rPr>
      </w:pPr>
      <w:r w:rsidRPr="004753ED">
        <w:rPr>
          <w:rFonts w:ascii="Arial" w:hAnsi="Arial" w:cs="Arial"/>
          <w:sz w:val="19"/>
          <w:szCs w:val="19"/>
        </w:rPr>
        <w:t>5.</w:t>
      </w:r>
      <w:r w:rsidRPr="004753ED">
        <w:rPr>
          <w:rFonts w:ascii="Arial" w:hAnsi="Arial" w:cs="Arial"/>
          <w:sz w:val="19"/>
          <w:szCs w:val="19"/>
        </w:rPr>
        <w:tab/>
      </w:r>
      <w:r w:rsidRPr="004753ED">
        <w:rPr>
          <w:rFonts w:ascii="Arial" w:hAnsi="Arial" w:cs="Arial"/>
          <w:sz w:val="19"/>
          <w:szCs w:val="19"/>
        </w:rPr>
        <w:t>Plan de manejo de tránsito- PMT.</w:t>
      </w:r>
    </w:p>
    <w:p w:rsidRPr="004753ED" w:rsidR="004753ED" w:rsidP="004753ED" w:rsidRDefault="004753ED" w14:paraId="688F5DD1" w14:textId="1A633698">
      <w:pPr>
        <w:pStyle w:val="Textonotapie"/>
        <w:ind w:firstLine="709"/>
        <w:jc w:val="both"/>
        <w:rPr>
          <w:rFonts w:ascii="Arial" w:hAnsi="Arial" w:cs="Arial"/>
          <w:sz w:val="19"/>
          <w:szCs w:val="19"/>
        </w:rPr>
      </w:pPr>
      <w:r w:rsidRPr="004753ED">
        <w:rPr>
          <w:rFonts w:ascii="Arial" w:hAnsi="Arial" w:cs="Arial"/>
          <w:sz w:val="19"/>
          <w:szCs w:val="19"/>
        </w:rPr>
        <w:t>6.</w:t>
      </w:r>
      <w:r w:rsidRPr="004753ED">
        <w:rPr>
          <w:rFonts w:ascii="Arial" w:hAnsi="Arial" w:cs="Arial"/>
          <w:sz w:val="19"/>
          <w:szCs w:val="19"/>
        </w:rPr>
        <w:tab/>
      </w:r>
      <w:r w:rsidRPr="004753ED">
        <w:rPr>
          <w:rFonts w:ascii="Arial" w:hAnsi="Arial" w:cs="Arial"/>
          <w:sz w:val="19"/>
          <w:szCs w:val="19"/>
        </w:rPr>
        <w:t>Los demás que puedan exigirse en el pliego de condiciones.</w:t>
      </w:r>
    </w:p>
    <w:p w:rsidRPr="004753ED" w:rsidR="004753ED" w:rsidP="004753ED" w:rsidRDefault="004753ED" w14:paraId="5F0F0027" w14:textId="23E74EB0">
      <w:pPr>
        <w:pStyle w:val="Textonotapie"/>
        <w:ind w:firstLine="709"/>
        <w:jc w:val="both"/>
        <w:rPr>
          <w:rFonts w:ascii="Arial" w:hAnsi="Arial" w:cs="Arial"/>
          <w:sz w:val="19"/>
          <w:szCs w:val="19"/>
        </w:rPr>
      </w:pPr>
      <w:r w:rsidRPr="009237E7">
        <w:rPr>
          <w:rFonts w:ascii="Arial" w:hAnsi="Arial" w:eastAsia="Calibri" w:cs="Arial"/>
          <w:sz w:val="22"/>
        </w:rPr>
        <w:t>«</w:t>
      </w:r>
      <w:r w:rsidRPr="004753ED">
        <w:rPr>
          <w:rFonts w:ascii="Arial" w:hAnsi="Arial" w:cs="Arial"/>
          <w:sz w:val="19"/>
          <w:szCs w:val="19"/>
        </w:rPr>
        <w:t xml:space="preserve">El Interventor revisará los documentos presentados por el contratista de obra en un término no mayor a [incluir] días calendario. En caso de existir algún requerimiento por escrito por parte del Interventor, el Contratista debe atenderlo en un término no mayor a [incluir] días hábiles, so pena de incurrir en causal de incumplimiento del contrato. </w:t>
      </w:r>
    </w:p>
    <w:p w:rsidR="004753ED" w:rsidP="004753ED" w:rsidRDefault="004753ED" w14:paraId="1D3EF326" w14:textId="3B3C062B">
      <w:pPr>
        <w:pStyle w:val="Textonotapie"/>
        <w:ind w:firstLine="709"/>
        <w:jc w:val="both"/>
      </w:pPr>
      <w:r w:rsidRPr="009237E7">
        <w:rPr>
          <w:rFonts w:ascii="Arial" w:hAnsi="Arial" w:eastAsia="Calibri" w:cs="Arial"/>
          <w:sz w:val="22"/>
        </w:rPr>
        <w:t>«</w:t>
      </w:r>
      <w:r w:rsidRPr="004753ED">
        <w:rPr>
          <w:rFonts w:ascii="Arial" w:hAnsi="Arial" w:cs="Arial"/>
          <w:sz w:val="19"/>
          <w:szCs w:val="19"/>
        </w:rPr>
        <w:t>Una vez se cumpla con lo exigido en el pliego de condiciones, el Interventor emitirá su concepto favorable mediante comunicación dirigida al contratista, con copia a la entidad</w:t>
      </w:r>
      <w:r w:rsidRPr="004C1EA4">
        <w:t>»</w:t>
      </w:r>
      <w:r w:rsidR="00230D37">
        <w:t>.</w:t>
      </w:r>
    </w:p>
    <w:p w:rsidRPr="004753ED" w:rsidR="00230D37" w:rsidP="004753ED" w:rsidRDefault="00230D37" w14:paraId="6D451351" w14:textId="77777777">
      <w:pPr>
        <w:pStyle w:val="Textonotapie"/>
        <w:ind w:firstLine="709"/>
        <w:jc w:val="both"/>
        <w:rPr>
          <w:lang w:val="es-CO"/>
        </w:rPr>
      </w:pPr>
    </w:p>
  </w:footnote>
  <w:footnote w:id="3">
    <w:p w:rsidRPr="005F0B10" w:rsidR="004D35C8" w:rsidP="004D35C8" w:rsidRDefault="004D35C8" w14:paraId="0F13C4E5" w14:textId="77777777">
      <w:pPr>
        <w:ind w:firstLine="709"/>
        <w:jc w:val="both"/>
        <w:rPr>
          <w:rFonts w:ascii="Arial" w:hAnsi="Arial" w:cs="Arial"/>
          <w:sz w:val="19"/>
          <w:szCs w:val="19"/>
        </w:rPr>
      </w:pPr>
      <w:r>
        <w:rPr>
          <w:rStyle w:val="Refdenotaalpie"/>
        </w:rPr>
        <w:footnoteRef/>
      </w:r>
      <w:r>
        <w:t xml:space="preserve"> </w:t>
      </w:r>
      <w:r w:rsidRPr="005F0B10">
        <w:rPr>
          <w:rFonts w:ascii="Arial" w:hAnsi="Arial" w:cs="Arial"/>
          <w:sz w:val="19"/>
          <w:szCs w:val="19"/>
          <w:lang w:val="es-ES"/>
        </w:rPr>
        <w:t>En efecto, el artículo 34 de la Ley 2069 de 2020 establece: «</w:t>
      </w:r>
      <w:r w:rsidRPr="005F0B10">
        <w:rPr>
          <w:rFonts w:ascii="Arial" w:hAnsi="Arial" w:cs="Arial"/>
          <w:sz w:val="19"/>
          <w:szCs w:val="19"/>
        </w:rPr>
        <w:t xml:space="preserve">Modifíquese el artículo 12 de la Ley 1150 de 2007, el cual quedará así: </w:t>
      </w:r>
    </w:p>
    <w:p w:rsidRPr="005F0B10" w:rsidR="004D35C8" w:rsidP="004D35C8" w:rsidRDefault="004D35C8" w14:paraId="04753C1E" w14:textId="77777777">
      <w:pPr>
        <w:ind w:firstLine="709"/>
        <w:jc w:val="both"/>
        <w:rPr>
          <w:rFonts w:ascii="Arial" w:hAnsi="Arial" w:eastAsia="Calibri" w:cs="Arial"/>
          <w:color w:val="000000" w:themeColor="text1"/>
          <w:sz w:val="19"/>
          <w:szCs w:val="19"/>
          <w:lang w:val="es-ES_tradnl"/>
        </w:rPr>
      </w:pPr>
      <w:r w:rsidRPr="005F0B10">
        <w:rPr>
          <w:rFonts w:ascii="Arial" w:hAnsi="Arial" w:eastAsia="Calibri" w:cs="Arial"/>
          <w:color w:val="000000" w:themeColor="text1"/>
          <w:sz w:val="19"/>
          <w:szCs w:val="19"/>
        </w:rPr>
        <w:t>»</w:t>
      </w:r>
      <w:r w:rsidRPr="005F0B10">
        <w:rPr>
          <w:rFonts w:ascii="Arial" w:hAnsi="Arial" w:eastAsia="Calibri"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rsidRPr="004D35C8" w:rsidR="004D35C8" w:rsidRDefault="004D35C8" w14:paraId="21E3FDFA" w14:textId="209003D9">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215E" w:rsidRDefault="00C4215E" w14:paraId="20A93E02" w14:textId="77777777">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EA2B2A8">
      <w:rPr/>
      <w:t/>
    </w:r>
    <w:r w:rsidR="364F65C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hint="default" w:ascii="ArialMT" w:hAnsi="ArialMT" w:eastAsia="Times New Roman" w:cs="Times New Roman"/>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83D0818"/>
    <w:multiLevelType w:val="hybridMultilevel"/>
    <w:tmpl w:val="633A2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0"/>
  </w:num>
  <w:num w:numId="1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35EA"/>
    <w:rsid w:val="000064C1"/>
    <w:rsid w:val="00006681"/>
    <w:rsid w:val="00006ECA"/>
    <w:rsid w:val="000079A6"/>
    <w:rsid w:val="00011190"/>
    <w:rsid w:val="0001466D"/>
    <w:rsid w:val="0001620B"/>
    <w:rsid w:val="000176DE"/>
    <w:rsid w:val="000204FC"/>
    <w:rsid w:val="000234B2"/>
    <w:rsid w:val="00023EF1"/>
    <w:rsid w:val="00024FFB"/>
    <w:rsid w:val="0002529B"/>
    <w:rsid w:val="0002684A"/>
    <w:rsid w:val="00026B88"/>
    <w:rsid w:val="00027330"/>
    <w:rsid w:val="00032C44"/>
    <w:rsid w:val="00034102"/>
    <w:rsid w:val="00034222"/>
    <w:rsid w:val="000402A2"/>
    <w:rsid w:val="00043E70"/>
    <w:rsid w:val="00044956"/>
    <w:rsid w:val="000458A1"/>
    <w:rsid w:val="00045B9D"/>
    <w:rsid w:val="0004614C"/>
    <w:rsid w:val="0004642B"/>
    <w:rsid w:val="0005188E"/>
    <w:rsid w:val="000544AE"/>
    <w:rsid w:val="00060CEB"/>
    <w:rsid w:val="00062738"/>
    <w:rsid w:val="00062B22"/>
    <w:rsid w:val="00062F28"/>
    <w:rsid w:val="00063AC1"/>
    <w:rsid w:val="00070135"/>
    <w:rsid w:val="000769F7"/>
    <w:rsid w:val="000778DE"/>
    <w:rsid w:val="000802F6"/>
    <w:rsid w:val="00081247"/>
    <w:rsid w:val="000813CC"/>
    <w:rsid w:val="00081913"/>
    <w:rsid w:val="00082027"/>
    <w:rsid w:val="00083BDF"/>
    <w:rsid w:val="000869D7"/>
    <w:rsid w:val="00087EDA"/>
    <w:rsid w:val="00091741"/>
    <w:rsid w:val="000919DA"/>
    <w:rsid w:val="00093199"/>
    <w:rsid w:val="00096901"/>
    <w:rsid w:val="000A0AEC"/>
    <w:rsid w:val="000A6E67"/>
    <w:rsid w:val="000B660E"/>
    <w:rsid w:val="000B7FDC"/>
    <w:rsid w:val="000C064C"/>
    <w:rsid w:val="000C0A21"/>
    <w:rsid w:val="000C4362"/>
    <w:rsid w:val="000C74CE"/>
    <w:rsid w:val="000C770E"/>
    <w:rsid w:val="000D071C"/>
    <w:rsid w:val="000D0CA4"/>
    <w:rsid w:val="000D2EED"/>
    <w:rsid w:val="000D43EA"/>
    <w:rsid w:val="000D6E4B"/>
    <w:rsid w:val="000D7C0C"/>
    <w:rsid w:val="000E2C4F"/>
    <w:rsid w:val="000E4F2A"/>
    <w:rsid w:val="000E5E0B"/>
    <w:rsid w:val="000E6DD2"/>
    <w:rsid w:val="000F16CF"/>
    <w:rsid w:val="000F61D3"/>
    <w:rsid w:val="00103FB0"/>
    <w:rsid w:val="00105A27"/>
    <w:rsid w:val="001062AF"/>
    <w:rsid w:val="001075EA"/>
    <w:rsid w:val="00111454"/>
    <w:rsid w:val="00111971"/>
    <w:rsid w:val="001125C2"/>
    <w:rsid w:val="0011698D"/>
    <w:rsid w:val="001230BC"/>
    <w:rsid w:val="00123F48"/>
    <w:rsid w:val="00126B57"/>
    <w:rsid w:val="00127307"/>
    <w:rsid w:val="001273E2"/>
    <w:rsid w:val="0012781C"/>
    <w:rsid w:val="00130681"/>
    <w:rsid w:val="00141723"/>
    <w:rsid w:val="00141EE7"/>
    <w:rsid w:val="00142E79"/>
    <w:rsid w:val="00146B60"/>
    <w:rsid w:val="00146F8C"/>
    <w:rsid w:val="001507AE"/>
    <w:rsid w:val="00151779"/>
    <w:rsid w:val="00152D59"/>
    <w:rsid w:val="00153435"/>
    <w:rsid w:val="001539C9"/>
    <w:rsid w:val="00153F8E"/>
    <w:rsid w:val="00154880"/>
    <w:rsid w:val="001571B3"/>
    <w:rsid w:val="0016068F"/>
    <w:rsid w:val="00162EC2"/>
    <w:rsid w:val="00163A8B"/>
    <w:rsid w:val="001647ED"/>
    <w:rsid w:val="001659D1"/>
    <w:rsid w:val="00167479"/>
    <w:rsid w:val="00170558"/>
    <w:rsid w:val="001708CF"/>
    <w:rsid w:val="00185795"/>
    <w:rsid w:val="00186301"/>
    <w:rsid w:val="001863B2"/>
    <w:rsid w:val="00186E11"/>
    <w:rsid w:val="0019117C"/>
    <w:rsid w:val="00191A25"/>
    <w:rsid w:val="0019228D"/>
    <w:rsid w:val="00192CE2"/>
    <w:rsid w:val="00195226"/>
    <w:rsid w:val="00196BD7"/>
    <w:rsid w:val="001A21C0"/>
    <w:rsid w:val="001A6B3E"/>
    <w:rsid w:val="001A7E08"/>
    <w:rsid w:val="001B4AAC"/>
    <w:rsid w:val="001B5526"/>
    <w:rsid w:val="001B684E"/>
    <w:rsid w:val="001C0105"/>
    <w:rsid w:val="001C06F0"/>
    <w:rsid w:val="001C209E"/>
    <w:rsid w:val="001C359E"/>
    <w:rsid w:val="001C3DC2"/>
    <w:rsid w:val="001C4C5C"/>
    <w:rsid w:val="001C60D3"/>
    <w:rsid w:val="001D2743"/>
    <w:rsid w:val="001D6DB5"/>
    <w:rsid w:val="001D71EC"/>
    <w:rsid w:val="001E10D1"/>
    <w:rsid w:val="001E24C8"/>
    <w:rsid w:val="001E2E10"/>
    <w:rsid w:val="001E4CF5"/>
    <w:rsid w:val="001E5852"/>
    <w:rsid w:val="001E7B78"/>
    <w:rsid w:val="001F0BFE"/>
    <w:rsid w:val="001F19A5"/>
    <w:rsid w:val="001F245E"/>
    <w:rsid w:val="001F2F64"/>
    <w:rsid w:val="001F56CF"/>
    <w:rsid w:val="00201EBD"/>
    <w:rsid w:val="00204300"/>
    <w:rsid w:val="00207F73"/>
    <w:rsid w:val="00212317"/>
    <w:rsid w:val="0021284F"/>
    <w:rsid w:val="0021420D"/>
    <w:rsid w:val="00220422"/>
    <w:rsid w:val="00221552"/>
    <w:rsid w:val="00222DE6"/>
    <w:rsid w:val="00223524"/>
    <w:rsid w:val="002236A3"/>
    <w:rsid w:val="00226878"/>
    <w:rsid w:val="0022772A"/>
    <w:rsid w:val="0023044E"/>
    <w:rsid w:val="00230A7E"/>
    <w:rsid w:val="00230D37"/>
    <w:rsid w:val="00231181"/>
    <w:rsid w:val="002326D5"/>
    <w:rsid w:val="00233525"/>
    <w:rsid w:val="0023384C"/>
    <w:rsid w:val="002354D5"/>
    <w:rsid w:val="00236F30"/>
    <w:rsid w:val="002371CD"/>
    <w:rsid w:val="00237EAB"/>
    <w:rsid w:val="002403F2"/>
    <w:rsid w:val="00241DC2"/>
    <w:rsid w:val="00241F51"/>
    <w:rsid w:val="002432F0"/>
    <w:rsid w:val="002465B4"/>
    <w:rsid w:val="00246CBC"/>
    <w:rsid w:val="00247959"/>
    <w:rsid w:val="002535D3"/>
    <w:rsid w:val="002544C2"/>
    <w:rsid w:val="00256B18"/>
    <w:rsid w:val="00263510"/>
    <w:rsid w:val="00265B63"/>
    <w:rsid w:val="00265EF2"/>
    <w:rsid w:val="00272082"/>
    <w:rsid w:val="0027211F"/>
    <w:rsid w:val="00274556"/>
    <w:rsid w:val="002778C7"/>
    <w:rsid w:val="00280653"/>
    <w:rsid w:val="002813C1"/>
    <w:rsid w:val="00281F95"/>
    <w:rsid w:val="00282BA6"/>
    <w:rsid w:val="00285541"/>
    <w:rsid w:val="002875EE"/>
    <w:rsid w:val="00287834"/>
    <w:rsid w:val="0029198D"/>
    <w:rsid w:val="00291F2F"/>
    <w:rsid w:val="00293F1F"/>
    <w:rsid w:val="00296D50"/>
    <w:rsid w:val="002A1AAA"/>
    <w:rsid w:val="002A2BDD"/>
    <w:rsid w:val="002A2F5B"/>
    <w:rsid w:val="002A39F3"/>
    <w:rsid w:val="002B13F7"/>
    <w:rsid w:val="002B1C05"/>
    <w:rsid w:val="002B1CB3"/>
    <w:rsid w:val="002B4D31"/>
    <w:rsid w:val="002B66D7"/>
    <w:rsid w:val="002C0C44"/>
    <w:rsid w:val="002C554A"/>
    <w:rsid w:val="002C593D"/>
    <w:rsid w:val="002C62F1"/>
    <w:rsid w:val="002D14DD"/>
    <w:rsid w:val="002D5388"/>
    <w:rsid w:val="002E06AA"/>
    <w:rsid w:val="002E1529"/>
    <w:rsid w:val="002E284A"/>
    <w:rsid w:val="002E3086"/>
    <w:rsid w:val="002E545F"/>
    <w:rsid w:val="002E73C8"/>
    <w:rsid w:val="002F17A4"/>
    <w:rsid w:val="002F1E99"/>
    <w:rsid w:val="002F2DFB"/>
    <w:rsid w:val="002F3F6A"/>
    <w:rsid w:val="002F4CCC"/>
    <w:rsid w:val="002F6093"/>
    <w:rsid w:val="0030206E"/>
    <w:rsid w:val="003026FE"/>
    <w:rsid w:val="003038BC"/>
    <w:rsid w:val="00310242"/>
    <w:rsid w:val="003102D3"/>
    <w:rsid w:val="00311239"/>
    <w:rsid w:val="003123C8"/>
    <w:rsid w:val="0031266F"/>
    <w:rsid w:val="00313F62"/>
    <w:rsid w:val="0031793E"/>
    <w:rsid w:val="00320325"/>
    <w:rsid w:val="003215F6"/>
    <w:rsid w:val="00324CB6"/>
    <w:rsid w:val="003273B8"/>
    <w:rsid w:val="00327EF4"/>
    <w:rsid w:val="00334D76"/>
    <w:rsid w:val="0033514B"/>
    <w:rsid w:val="003355C9"/>
    <w:rsid w:val="003371D6"/>
    <w:rsid w:val="00341AA9"/>
    <w:rsid w:val="00341C82"/>
    <w:rsid w:val="00344DD9"/>
    <w:rsid w:val="00345C69"/>
    <w:rsid w:val="0035026D"/>
    <w:rsid w:val="003517A0"/>
    <w:rsid w:val="00355294"/>
    <w:rsid w:val="00361F71"/>
    <w:rsid w:val="00363A41"/>
    <w:rsid w:val="003641B4"/>
    <w:rsid w:val="003643A9"/>
    <w:rsid w:val="00365097"/>
    <w:rsid w:val="00365A59"/>
    <w:rsid w:val="00366668"/>
    <w:rsid w:val="00366846"/>
    <w:rsid w:val="00374378"/>
    <w:rsid w:val="00374A17"/>
    <w:rsid w:val="0037511A"/>
    <w:rsid w:val="0037569C"/>
    <w:rsid w:val="00375CD3"/>
    <w:rsid w:val="00376CF7"/>
    <w:rsid w:val="00380E9B"/>
    <w:rsid w:val="003820E3"/>
    <w:rsid w:val="003828A9"/>
    <w:rsid w:val="00382A92"/>
    <w:rsid w:val="00383A02"/>
    <w:rsid w:val="00383E5B"/>
    <w:rsid w:val="00392D9A"/>
    <w:rsid w:val="00393A8A"/>
    <w:rsid w:val="00395DCF"/>
    <w:rsid w:val="00397C31"/>
    <w:rsid w:val="003A0755"/>
    <w:rsid w:val="003A0B9C"/>
    <w:rsid w:val="003A161F"/>
    <w:rsid w:val="003A16E4"/>
    <w:rsid w:val="003A7D4E"/>
    <w:rsid w:val="003B02D6"/>
    <w:rsid w:val="003B06C3"/>
    <w:rsid w:val="003B23C8"/>
    <w:rsid w:val="003B425E"/>
    <w:rsid w:val="003B5D12"/>
    <w:rsid w:val="003C290B"/>
    <w:rsid w:val="003C3676"/>
    <w:rsid w:val="003C6DE9"/>
    <w:rsid w:val="003C7AE5"/>
    <w:rsid w:val="003D1F97"/>
    <w:rsid w:val="003D2A2D"/>
    <w:rsid w:val="003D5A67"/>
    <w:rsid w:val="003D63A4"/>
    <w:rsid w:val="003E6812"/>
    <w:rsid w:val="003F45DC"/>
    <w:rsid w:val="003F75F3"/>
    <w:rsid w:val="0040004C"/>
    <w:rsid w:val="004016FF"/>
    <w:rsid w:val="00404138"/>
    <w:rsid w:val="00405C93"/>
    <w:rsid w:val="0040674B"/>
    <w:rsid w:val="00406E76"/>
    <w:rsid w:val="004079FF"/>
    <w:rsid w:val="004117DD"/>
    <w:rsid w:val="004124C1"/>
    <w:rsid w:val="004128C5"/>
    <w:rsid w:val="004151E9"/>
    <w:rsid w:val="00420A9F"/>
    <w:rsid w:val="004213D4"/>
    <w:rsid w:val="00422D43"/>
    <w:rsid w:val="00424422"/>
    <w:rsid w:val="00425D7D"/>
    <w:rsid w:val="00426F03"/>
    <w:rsid w:val="00430023"/>
    <w:rsid w:val="004302E9"/>
    <w:rsid w:val="00430582"/>
    <w:rsid w:val="004315F6"/>
    <w:rsid w:val="004324D9"/>
    <w:rsid w:val="004327E3"/>
    <w:rsid w:val="00435A56"/>
    <w:rsid w:val="00435D91"/>
    <w:rsid w:val="004407B9"/>
    <w:rsid w:val="00440E6B"/>
    <w:rsid w:val="00441E75"/>
    <w:rsid w:val="004437EA"/>
    <w:rsid w:val="00443C07"/>
    <w:rsid w:val="004452AC"/>
    <w:rsid w:val="004462F2"/>
    <w:rsid w:val="00452E2A"/>
    <w:rsid w:val="004545AE"/>
    <w:rsid w:val="00457ADD"/>
    <w:rsid w:val="00460133"/>
    <w:rsid w:val="0046174F"/>
    <w:rsid w:val="00463FFA"/>
    <w:rsid w:val="0046502B"/>
    <w:rsid w:val="0046528B"/>
    <w:rsid w:val="00465749"/>
    <w:rsid w:val="00466859"/>
    <w:rsid w:val="00467C65"/>
    <w:rsid w:val="00471790"/>
    <w:rsid w:val="004725FC"/>
    <w:rsid w:val="00474352"/>
    <w:rsid w:val="004753ED"/>
    <w:rsid w:val="00475C68"/>
    <w:rsid w:val="00480273"/>
    <w:rsid w:val="004802D0"/>
    <w:rsid w:val="0048033F"/>
    <w:rsid w:val="00482E69"/>
    <w:rsid w:val="00483B49"/>
    <w:rsid w:val="004843C2"/>
    <w:rsid w:val="00485D48"/>
    <w:rsid w:val="00485F62"/>
    <w:rsid w:val="004958D7"/>
    <w:rsid w:val="004966BA"/>
    <w:rsid w:val="00497DA1"/>
    <w:rsid w:val="004A303C"/>
    <w:rsid w:val="004A3487"/>
    <w:rsid w:val="004A549C"/>
    <w:rsid w:val="004A7437"/>
    <w:rsid w:val="004A743C"/>
    <w:rsid w:val="004B0CAB"/>
    <w:rsid w:val="004B2B5B"/>
    <w:rsid w:val="004C17CF"/>
    <w:rsid w:val="004C1F93"/>
    <w:rsid w:val="004C39BF"/>
    <w:rsid w:val="004C59D3"/>
    <w:rsid w:val="004C6330"/>
    <w:rsid w:val="004D2D3A"/>
    <w:rsid w:val="004D33A0"/>
    <w:rsid w:val="004D35C8"/>
    <w:rsid w:val="004D3F03"/>
    <w:rsid w:val="004D51F9"/>
    <w:rsid w:val="004D525E"/>
    <w:rsid w:val="004D69C3"/>
    <w:rsid w:val="004E0C9F"/>
    <w:rsid w:val="004E3619"/>
    <w:rsid w:val="004E3DA3"/>
    <w:rsid w:val="004E7E51"/>
    <w:rsid w:val="004F07AE"/>
    <w:rsid w:val="004F208F"/>
    <w:rsid w:val="004F4D9A"/>
    <w:rsid w:val="004F75E7"/>
    <w:rsid w:val="004F7EF1"/>
    <w:rsid w:val="00500D0D"/>
    <w:rsid w:val="0050179D"/>
    <w:rsid w:val="00502096"/>
    <w:rsid w:val="0050497B"/>
    <w:rsid w:val="005052D5"/>
    <w:rsid w:val="005053F9"/>
    <w:rsid w:val="0050794B"/>
    <w:rsid w:val="00510272"/>
    <w:rsid w:val="00511BEC"/>
    <w:rsid w:val="0051286F"/>
    <w:rsid w:val="0051547E"/>
    <w:rsid w:val="005167CE"/>
    <w:rsid w:val="00517FBF"/>
    <w:rsid w:val="005202C0"/>
    <w:rsid w:val="00523EB9"/>
    <w:rsid w:val="00526823"/>
    <w:rsid w:val="00527FF3"/>
    <w:rsid w:val="00531082"/>
    <w:rsid w:val="00536B43"/>
    <w:rsid w:val="00536D8C"/>
    <w:rsid w:val="00543C0D"/>
    <w:rsid w:val="00544C01"/>
    <w:rsid w:val="005457D3"/>
    <w:rsid w:val="00547CB3"/>
    <w:rsid w:val="00550752"/>
    <w:rsid w:val="00552134"/>
    <w:rsid w:val="00552D49"/>
    <w:rsid w:val="00556F2A"/>
    <w:rsid w:val="00557358"/>
    <w:rsid w:val="00560B67"/>
    <w:rsid w:val="00561A25"/>
    <w:rsid w:val="005713CA"/>
    <w:rsid w:val="005725CC"/>
    <w:rsid w:val="00572C59"/>
    <w:rsid w:val="005751EC"/>
    <w:rsid w:val="00575719"/>
    <w:rsid w:val="005761AE"/>
    <w:rsid w:val="00577D87"/>
    <w:rsid w:val="005800BF"/>
    <w:rsid w:val="00580F88"/>
    <w:rsid w:val="00583A8A"/>
    <w:rsid w:val="00595BCC"/>
    <w:rsid w:val="00596A92"/>
    <w:rsid w:val="00596C81"/>
    <w:rsid w:val="0059714E"/>
    <w:rsid w:val="005A0C03"/>
    <w:rsid w:val="005A2552"/>
    <w:rsid w:val="005A63F0"/>
    <w:rsid w:val="005B03D8"/>
    <w:rsid w:val="005B0C6D"/>
    <w:rsid w:val="005B2A24"/>
    <w:rsid w:val="005B4264"/>
    <w:rsid w:val="005B512D"/>
    <w:rsid w:val="005B79A6"/>
    <w:rsid w:val="005C1EEE"/>
    <w:rsid w:val="005C3A2D"/>
    <w:rsid w:val="005C46A2"/>
    <w:rsid w:val="005C50B5"/>
    <w:rsid w:val="005C691A"/>
    <w:rsid w:val="005D10FE"/>
    <w:rsid w:val="005D17E8"/>
    <w:rsid w:val="005D7684"/>
    <w:rsid w:val="005E0F0A"/>
    <w:rsid w:val="005E0FC6"/>
    <w:rsid w:val="005E3F08"/>
    <w:rsid w:val="005E574C"/>
    <w:rsid w:val="005E5D92"/>
    <w:rsid w:val="005E5E1F"/>
    <w:rsid w:val="005E6CDC"/>
    <w:rsid w:val="005F0DF6"/>
    <w:rsid w:val="005F0E52"/>
    <w:rsid w:val="005F2D19"/>
    <w:rsid w:val="005F4A9A"/>
    <w:rsid w:val="00601E87"/>
    <w:rsid w:val="0060615E"/>
    <w:rsid w:val="00606ABB"/>
    <w:rsid w:val="00606D2B"/>
    <w:rsid w:val="0060708B"/>
    <w:rsid w:val="006107D4"/>
    <w:rsid w:val="0061316D"/>
    <w:rsid w:val="0061417E"/>
    <w:rsid w:val="00614289"/>
    <w:rsid w:val="0061503C"/>
    <w:rsid w:val="006158F4"/>
    <w:rsid w:val="00615F78"/>
    <w:rsid w:val="00617785"/>
    <w:rsid w:val="00617F82"/>
    <w:rsid w:val="00620E83"/>
    <w:rsid w:val="00621E2B"/>
    <w:rsid w:val="006220FB"/>
    <w:rsid w:val="00622C2E"/>
    <w:rsid w:val="00622C6E"/>
    <w:rsid w:val="00626F3F"/>
    <w:rsid w:val="00631789"/>
    <w:rsid w:val="00633255"/>
    <w:rsid w:val="0063433B"/>
    <w:rsid w:val="006401CC"/>
    <w:rsid w:val="0064247D"/>
    <w:rsid w:val="00642562"/>
    <w:rsid w:val="00650642"/>
    <w:rsid w:val="00651586"/>
    <w:rsid w:val="0065749A"/>
    <w:rsid w:val="00660ED0"/>
    <w:rsid w:val="0066116F"/>
    <w:rsid w:val="006627DA"/>
    <w:rsid w:val="00663D13"/>
    <w:rsid w:val="006645E7"/>
    <w:rsid w:val="00670580"/>
    <w:rsid w:val="00671A2C"/>
    <w:rsid w:val="00672207"/>
    <w:rsid w:val="00674877"/>
    <w:rsid w:val="00674C61"/>
    <w:rsid w:val="00675651"/>
    <w:rsid w:val="006761A9"/>
    <w:rsid w:val="00677B2E"/>
    <w:rsid w:val="0068058B"/>
    <w:rsid w:val="00681396"/>
    <w:rsid w:val="0068262D"/>
    <w:rsid w:val="00682C11"/>
    <w:rsid w:val="006839C6"/>
    <w:rsid w:val="00685449"/>
    <w:rsid w:val="00686486"/>
    <w:rsid w:val="006879EF"/>
    <w:rsid w:val="00691601"/>
    <w:rsid w:val="0069241C"/>
    <w:rsid w:val="006952FF"/>
    <w:rsid w:val="006A2D6F"/>
    <w:rsid w:val="006A72E5"/>
    <w:rsid w:val="006B0E3A"/>
    <w:rsid w:val="006B4F8E"/>
    <w:rsid w:val="006B6332"/>
    <w:rsid w:val="006B67BF"/>
    <w:rsid w:val="006B71EC"/>
    <w:rsid w:val="006C04D5"/>
    <w:rsid w:val="006C1B13"/>
    <w:rsid w:val="006C23E1"/>
    <w:rsid w:val="006C2807"/>
    <w:rsid w:val="006C53CF"/>
    <w:rsid w:val="006D016E"/>
    <w:rsid w:val="006D0CE2"/>
    <w:rsid w:val="006D695A"/>
    <w:rsid w:val="006E03CF"/>
    <w:rsid w:val="006E188A"/>
    <w:rsid w:val="006E2AF0"/>
    <w:rsid w:val="006E47E1"/>
    <w:rsid w:val="006E7476"/>
    <w:rsid w:val="006E74A0"/>
    <w:rsid w:val="006F05C5"/>
    <w:rsid w:val="006F3800"/>
    <w:rsid w:val="006F4A1A"/>
    <w:rsid w:val="006F71A2"/>
    <w:rsid w:val="006F771D"/>
    <w:rsid w:val="006F7835"/>
    <w:rsid w:val="007007C0"/>
    <w:rsid w:val="007015A8"/>
    <w:rsid w:val="00701A92"/>
    <w:rsid w:val="00704570"/>
    <w:rsid w:val="0070780B"/>
    <w:rsid w:val="00710E95"/>
    <w:rsid w:val="007128B4"/>
    <w:rsid w:val="007158FC"/>
    <w:rsid w:val="007164FE"/>
    <w:rsid w:val="007241E4"/>
    <w:rsid w:val="00726648"/>
    <w:rsid w:val="0073221D"/>
    <w:rsid w:val="00732CD3"/>
    <w:rsid w:val="00734252"/>
    <w:rsid w:val="00734507"/>
    <w:rsid w:val="0073455E"/>
    <w:rsid w:val="00735D1C"/>
    <w:rsid w:val="0073659A"/>
    <w:rsid w:val="00737273"/>
    <w:rsid w:val="00743A7B"/>
    <w:rsid w:val="007443CE"/>
    <w:rsid w:val="0075059B"/>
    <w:rsid w:val="00751950"/>
    <w:rsid w:val="00754068"/>
    <w:rsid w:val="007569AA"/>
    <w:rsid w:val="00760276"/>
    <w:rsid w:val="007622E0"/>
    <w:rsid w:val="00763221"/>
    <w:rsid w:val="00763570"/>
    <w:rsid w:val="00763FC3"/>
    <w:rsid w:val="007648DD"/>
    <w:rsid w:val="007664DF"/>
    <w:rsid w:val="007667CB"/>
    <w:rsid w:val="00767090"/>
    <w:rsid w:val="00773B80"/>
    <w:rsid w:val="00774750"/>
    <w:rsid w:val="00774AB5"/>
    <w:rsid w:val="00775872"/>
    <w:rsid w:val="0078012C"/>
    <w:rsid w:val="0078185D"/>
    <w:rsid w:val="00781C22"/>
    <w:rsid w:val="00782884"/>
    <w:rsid w:val="0078438A"/>
    <w:rsid w:val="0079160C"/>
    <w:rsid w:val="00792620"/>
    <w:rsid w:val="00794589"/>
    <w:rsid w:val="00795AE7"/>
    <w:rsid w:val="007A0055"/>
    <w:rsid w:val="007A30A3"/>
    <w:rsid w:val="007A40EC"/>
    <w:rsid w:val="007A7284"/>
    <w:rsid w:val="007A77BD"/>
    <w:rsid w:val="007B0DE5"/>
    <w:rsid w:val="007B31AB"/>
    <w:rsid w:val="007B4A00"/>
    <w:rsid w:val="007B4A37"/>
    <w:rsid w:val="007C3126"/>
    <w:rsid w:val="007C5740"/>
    <w:rsid w:val="007C6272"/>
    <w:rsid w:val="007C6368"/>
    <w:rsid w:val="007D0174"/>
    <w:rsid w:val="007D1D86"/>
    <w:rsid w:val="007D30FF"/>
    <w:rsid w:val="007D3A7C"/>
    <w:rsid w:val="007D7A5D"/>
    <w:rsid w:val="007E16B1"/>
    <w:rsid w:val="007E30D2"/>
    <w:rsid w:val="007E6480"/>
    <w:rsid w:val="007E7707"/>
    <w:rsid w:val="007F4042"/>
    <w:rsid w:val="007F5920"/>
    <w:rsid w:val="007F79DF"/>
    <w:rsid w:val="008004FD"/>
    <w:rsid w:val="008010C7"/>
    <w:rsid w:val="008026C6"/>
    <w:rsid w:val="008058A8"/>
    <w:rsid w:val="00814493"/>
    <w:rsid w:val="008157A0"/>
    <w:rsid w:val="00815F25"/>
    <w:rsid w:val="008162B5"/>
    <w:rsid w:val="00816C02"/>
    <w:rsid w:val="00823662"/>
    <w:rsid w:val="00823737"/>
    <w:rsid w:val="00824C33"/>
    <w:rsid w:val="00824E6B"/>
    <w:rsid w:val="00824F6A"/>
    <w:rsid w:val="00825150"/>
    <w:rsid w:val="00825746"/>
    <w:rsid w:val="00826C45"/>
    <w:rsid w:val="00827FB6"/>
    <w:rsid w:val="00837734"/>
    <w:rsid w:val="008379C2"/>
    <w:rsid w:val="00837D0A"/>
    <w:rsid w:val="008416B5"/>
    <w:rsid w:val="00841841"/>
    <w:rsid w:val="0084278C"/>
    <w:rsid w:val="0084312D"/>
    <w:rsid w:val="00843AB7"/>
    <w:rsid w:val="00844558"/>
    <w:rsid w:val="00846856"/>
    <w:rsid w:val="00846C28"/>
    <w:rsid w:val="008475BC"/>
    <w:rsid w:val="0085256D"/>
    <w:rsid w:val="00857768"/>
    <w:rsid w:val="0086037B"/>
    <w:rsid w:val="00861ADD"/>
    <w:rsid w:val="00861F7E"/>
    <w:rsid w:val="00863245"/>
    <w:rsid w:val="00864F51"/>
    <w:rsid w:val="00871150"/>
    <w:rsid w:val="008711D3"/>
    <w:rsid w:val="008724A0"/>
    <w:rsid w:val="00872887"/>
    <w:rsid w:val="0087689D"/>
    <w:rsid w:val="00877AF6"/>
    <w:rsid w:val="00877E46"/>
    <w:rsid w:val="0088150A"/>
    <w:rsid w:val="008824BA"/>
    <w:rsid w:val="00883122"/>
    <w:rsid w:val="008836BC"/>
    <w:rsid w:val="008841AE"/>
    <w:rsid w:val="00885AD9"/>
    <w:rsid w:val="00886D92"/>
    <w:rsid w:val="00887030"/>
    <w:rsid w:val="00887417"/>
    <w:rsid w:val="008875B4"/>
    <w:rsid w:val="00891FA3"/>
    <w:rsid w:val="008925AC"/>
    <w:rsid w:val="00893AA3"/>
    <w:rsid w:val="0089592C"/>
    <w:rsid w:val="00895998"/>
    <w:rsid w:val="008A0193"/>
    <w:rsid w:val="008A310E"/>
    <w:rsid w:val="008A338E"/>
    <w:rsid w:val="008A36E9"/>
    <w:rsid w:val="008A5323"/>
    <w:rsid w:val="008B2F83"/>
    <w:rsid w:val="008B3CF1"/>
    <w:rsid w:val="008B3D9E"/>
    <w:rsid w:val="008B4095"/>
    <w:rsid w:val="008B70F8"/>
    <w:rsid w:val="008C1186"/>
    <w:rsid w:val="008D309B"/>
    <w:rsid w:val="008D4731"/>
    <w:rsid w:val="008D5223"/>
    <w:rsid w:val="008E312F"/>
    <w:rsid w:val="008F0B23"/>
    <w:rsid w:val="008F1902"/>
    <w:rsid w:val="008F24E7"/>
    <w:rsid w:val="00903B2A"/>
    <w:rsid w:val="009044F3"/>
    <w:rsid w:val="00904AE6"/>
    <w:rsid w:val="00905991"/>
    <w:rsid w:val="00905BED"/>
    <w:rsid w:val="009060C8"/>
    <w:rsid w:val="00922D22"/>
    <w:rsid w:val="009234F7"/>
    <w:rsid w:val="009239EE"/>
    <w:rsid w:val="00926468"/>
    <w:rsid w:val="009266FF"/>
    <w:rsid w:val="009268AC"/>
    <w:rsid w:val="00930C5D"/>
    <w:rsid w:val="009312E1"/>
    <w:rsid w:val="009413FD"/>
    <w:rsid w:val="00941EA5"/>
    <w:rsid w:val="009446EC"/>
    <w:rsid w:val="00946659"/>
    <w:rsid w:val="00947412"/>
    <w:rsid w:val="0095113E"/>
    <w:rsid w:val="0095753A"/>
    <w:rsid w:val="00957DB6"/>
    <w:rsid w:val="00960C4B"/>
    <w:rsid w:val="009649CA"/>
    <w:rsid w:val="009654FF"/>
    <w:rsid w:val="00970397"/>
    <w:rsid w:val="009739B4"/>
    <w:rsid w:val="00976023"/>
    <w:rsid w:val="009775B0"/>
    <w:rsid w:val="00982685"/>
    <w:rsid w:val="009831C6"/>
    <w:rsid w:val="00983F80"/>
    <w:rsid w:val="00984A9E"/>
    <w:rsid w:val="00985C4E"/>
    <w:rsid w:val="009867C3"/>
    <w:rsid w:val="00987CA8"/>
    <w:rsid w:val="00990887"/>
    <w:rsid w:val="009916EF"/>
    <w:rsid w:val="009920A5"/>
    <w:rsid w:val="00992771"/>
    <w:rsid w:val="00996310"/>
    <w:rsid w:val="0099758F"/>
    <w:rsid w:val="00997C49"/>
    <w:rsid w:val="009A0112"/>
    <w:rsid w:val="009A05D8"/>
    <w:rsid w:val="009A21B5"/>
    <w:rsid w:val="009A2803"/>
    <w:rsid w:val="009A2DA3"/>
    <w:rsid w:val="009A466F"/>
    <w:rsid w:val="009B0096"/>
    <w:rsid w:val="009B317D"/>
    <w:rsid w:val="009B4306"/>
    <w:rsid w:val="009B51C6"/>
    <w:rsid w:val="009C13FB"/>
    <w:rsid w:val="009C495F"/>
    <w:rsid w:val="009C538B"/>
    <w:rsid w:val="009C6BE9"/>
    <w:rsid w:val="009C7094"/>
    <w:rsid w:val="009D0016"/>
    <w:rsid w:val="009D013E"/>
    <w:rsid w:val="009D10E5"/>
    <w:rsid w:val="009D147B"/>
    <w:rsid w:val="009D1642"/>
    <w:rsid w:val="009D2060"/>
    <w:rsid w:val="009D3AA9"/>
    <w:rsid w:val="009D3E8F"/>
    <w:rsid w:val="009D47FC"/>
    <w:rsid w:val="009D633F"/>
    <w:rsid w:val="009E04DD"/>
    <w:rsid w:val="009E0C41"/>
    <w:rsid w:val="009E1A0F"/>
    <w:rsid w:val="009E29B9"/>
    <w:rsid w:val="009E2DA7"/>
    <w:rsid w:val="009E3088"/>
    <w:rsid w:val="009E4641"/>
    <w:rsid w:val="009E5292"/>
    <w:rsid w:val="009F2969"/>
    <w:rsid w:val="009F466C"/>
    <w:rsid w:val="009F52EF"/>
    <w:rsid w:val="009F69D6"/>
    <w:rsid w:val="00A009D1"/>
    <w:rsid w:val="00A059F1"/>
    <w:rsid w:val="00A05A7F"/>
    <w:rsid w:val="00A0654C"/>
    <w:rsid w:val="00A069EF"/>
    <w:rsid w:val="00A123A6"/>
    <w:rsid w:val="00A1339C"/>
    <w:rsid w:val="00A14317"/>
    <w:rsid w:val="00A14F4A"/>
    <w:rsid w:val="00A16103"/>
    <w:rsid w:val="00A17869"/>
    <w:rsid w:val="00A21650"/>
    <w:rsid w:val="00A21D1A"/>
    <w:rsid w:val="00A23E19"/>
    <w:rsid w:val="00A25613"/>
    <w:rsid w:val="00A2588C"/>
    <w:rsid w:val="00A27343"/>
    <w:rsid w:val="00A3013E"/>
    <w:rsid w:val="00A36E31"/>
    <w:rsid w:val="00A37C6B"/>
    <w:rsid w:val="00A40F07"/>
    <w:rsid w:val="00A416F9"/>
    <w:rsid w:val="00A41E01"/>
    <w:rsid w:val="00A442C4"/>
    <w:rsid w:val="00A4435D"/>
    <w:rsid w:val="00A443F2"/>
    <w:rsid w:val="00A5231A"/>
    <w:rsid w:val="00A52EA7"/>
    <w:rsid w:val="00A6238E"/>
    <w:rsid w:val="00A62B1B"/>
    <w:rsid w:val="00A641A6"/>
    <w:rsid w:val="00A67075"/>
    <w:rsid w:val="00A671C8"/>
    <w:rsid w:val="00A71D3D"/>
    <w:rsid w:val="00A73D75"/>
    <w:rsid w:val="00A81CAD"/>
    <w:rsid w:val="00A81F4E"/>
    <w:rsid w:val="00A83192"/>
    <w:rsid w:val="00A842AA"/>
    <w:rsid w:val="00A8590D"/>
    <w:rsid w:val="00A86E4A"/>
    <w:rsid w:val="00A87614"/>
    <w:rsid w:val="00A907C5"/>
    <w:rsid w:val="00A93C16"/>
    <w:rsid w:val="00A94EDC"/>
    <w:rsid w:val="00A959FC"/>
    <w:rsid w:val="00A97DD8"/>
    <w:rsid w:val="00AA1D17"/>
    <w:rsid w:val="00AA1D4E"/>
    <w:rsid w:val="00AA3352"/>
    <w:rsid w:val="00AA3847"/>
    <w:rsid w:val="00AA5BBF"/>
    <w:rsid w:val="00AA6CEE"/>
    <w:rsid w:val="00AA74EA"/>
    <w:rsid w:val="00AB06D1"/>
    <w:rsid w:val="00AB3133"/>
    <w:rsid w:val="00AB6AB5"/>
    <w:rsid w:val="00AB756D"/>
    <w:rsid w:val="00AC293B"/>
    <w:rsid w:val="00AC37D8"/>
    <w:rsid w:val="00AC6D76"/>
    <w:rsid w:val="00AD063C"/>
    <w:rsid w:val="00AD1BEA"/>
    <w:rsid w:val="00AD24C3"/>
    <w:rsid w:val="00AD3702"/>
    <w:rsid w:val="00AD730B"/>
    <w:rsid w:val="00AE0165"/>
    <w:rsid w:val="00AE2F9D"/>
    <w:rsid w:val="00AE31E2"/>
    <w:rsid w:val="00AE3748"/>
    <w:rsid w:val="00AE37DD"/>
    <w:rsid w:val="00AE4215"/>
    <w:rsid w:val="00AE552E"/>
    <w:rsid w:val="00AE558F"/>
    <w:rsid w:val="00AE7089"/>
    <w:rsid w:val="00AE7421"/>
    <w:rsid w:val="00AF1CBB"/>
    <w:rsid w:val="00AF75F2"/>
    <w:rsid w:val="00AF7F1C"/>
    <w:rsid w:val="00B00B5F"/>
    <w:rsid w:val="00B01589"/>
    <w:rsid w:val="00B026B3"/>
    <w:rsid w:val="00B0552B"/>
    <w:rsid w:val="00B06BF3"/>
    <w:rsid w:val="00B07AE6"/>
    <w:rsid w:val="00B10282"/>
    <w:rsid w:val="00B1410A"/>
    <w:rsid w:val="00B14575"/>
    <w:rsid w:val="00B146B4"/>
    <w:rsid w:val="00B20B62"/>
    <w:rsid w:val="00B257D5"/>
    <w:rsid w:val="00B2727A"/>
    <w:rsid w:val="00B31F81"/>
    <w:rsid w:val="00B32C40"/>
    <w:rsid w:val="00B343F3"/>
    <w:rsid w:val="00B35DB4"/>
    <w:rsid w:val="00B37F25"/>
    <w:rsid w:val="00B40677"/>
    <w:rsid w:val="00B41AD4"/>
    <w:rsid w:val="00B42055"/>
    <w:rsid w:val="00B46482"/>
    <w:rsid w:val="00B46E5E"/>
    <w:rsid w:val="00B502C8"/>
    <w:rsid w:val="00B51A8E"/>
    <w:rsid w:val="00B52FD3"/>
    <w:rsid w:val="00B536D9"/>
    <w:rsid w:val="00B537DD"/>
    <w:rsid w:val="00B53B16"/>
    <w:rsid w:val="00B55023"/>
    <w:rsid w:val="00B5626A"/>
    <w:rsid w:val="00B70D11"/>
    <w:rsid w:val="00B7158B"/>
    <w:rsid w:val="00B71BB4"/>
    <w:rsid w:val="00B72592"/>
    <w:rsid w:val="00B74E4A"/>
    <w:rsid w:val="00B81517"/>
    <w:rsid w:val="00B81A5D"/>
    <w:rsid w:val="00B84059"/>
    <w:rsid w:val="00B85EB4"/>
    <w:rsid w:val="00B9068A"/>
    <w:rsid w:val="00B91E68"/>
    <w:rsid w:val="00B922AB"/>
    <w:rsid w:val="00B93636"/>
    <w:rsid w:val="00B93BC9"/>
    <w:rsid w:val="00B942CA"/>
    <w:rsid w:val="00B9522C"/>
    <w:rsid w:val="00B9530B"/>
    <w:rsid w:val="00BA44E5"/>
    <w:rsid w:val="00BB5F7C"/>
    <w:rsid w:val="00BB6108"/>
    <w:rsid w:val="00BB6E86"/>
    <w:rsid w:val="00BC5201"/>
    <w:rsid w:val="00BC5F83"/>
    <w:rsid w:val="00BC6235"/>
    <w:rsid w:val="00BC66DF"/>
    <w:rsid w:val="00BC6955"/>
    <w:rsid w:val="00BD384F"/>
    <w:rsid w:val="00BD4A41"/>
    <w:rsid w:val="00BD60EF"/>
    <w:rsid w:val="00BD6605"/>
    <w:rsid w:val="00BD74D1"/>
    <w:rsid w:val="00BE0333"/>
    <w:rsid w:val="00BE087C"/>
    <w:rsid w:val="00BE0997"/>
    <w:rsid w:val="00BE151C"/>
    <w:rsid w:val="00BE2FBE"/>
    <w:rsid w:val="00BF2CE2"/>
    <w:rsid w:val="00BF32C1"/>
    <w:rsid w:val="00BF3F44"/>
    <w:rsid w:val="00C02E74"/>
    <w:rsid w:val="00C038AE"/>
    <w:rsid w:val="00C04461"/>
    <w:rsid w:val="00C0678F"/>
    <w:rsid w:val="00C111A7"/>
    <w:rsid w:val="00C123CD"/>
    <w:rsid w:val="00C136F3"/>
    <w:rsid w:val="00C13CF7"/>
    <w:rsid w:val="00C15960"/>
    <w:rsid w:val="00C1629E"/>
    <w:rsid w:val="00C171BD"/>
    <w:rsid w:val="00C20ECD"/>
    <w:rsid w:val="00C23C19"/>
    <w:rsid w:val="00C2611B"/>
    <w:rsid w:val="00C26B34"/>
    <w:rsid w:val="00C30BDE"/>
    <w:rsid w:val="00C3136E"/>
    <w:rsid w:val="00C4215E"/>
    <w:rsid w:val="00C421CB"/>
    <w:rsid w:val="00C426CA"/>
    <w:rsid w:val="00C44A2E"/>
    <w:rsid w:val="00C44F4D"/>
    <w:rsid w:val="00C44FCD"/>
    <w:rsid w:val="00C450B3"/>
    <w:rsid w:val="00C45A9D"/>
    <w:rsid w:val="00C46820"/>
    <w:rsid w:val="00C503E4"/>
    <w:rsid w:val="00C50FA2"/>
    <w:rsid w:val="00C527BE"/>
    <w:rsid w:val="00C54924"/>
    <w:rsid w:val="00C61C64"/>
    <w:rsid w:val="00C653FC"/>
    <w:rsid w:val="00C71673"/>
    <w:rsid w:val="00C74D17"/>
    <w:rsid w:val="00C74E89"/>
    <w:rsid w:val="00C76A02"/>
    <w:rsid w:val="00C77658"/>
    <w:rsid w:val="00C77AF6"/>
    <w:rsid w:val="00C77CDD"/>
    <w:rsid w:val="00C8069B"/>
    <w:rsid w:val="00C8250C"/>
    <w:rsid w:val="00C840DC"/>
    <w:rsid w:val="00C861BA"/>
    <w:rsid w:val="00C90B0F"/>
    <w:rsid w:val="00C94594"/>
    <w:rsid w:val="00C966B6"/>
    <w:rsid w:val="00CA3507"/>
    <w:rsid w:val="00CA5CA7"/>
    <w:rsid w:val="00CA6993"/>
    <w:rsid w:val="00CB2499"/>
    <w:rsid w:val="00CB258A"/>
    <w:rsid w:val="00CC0C7F"/>
    <w:rsid w:val="00CC3A1E"/>
    <w:rsid w:val="00CC46F2"/>
    <w:rsid w:val="00CC7133"/>
    <w:rsid w:val="00CD4498"/>
    <w:rsid w:val="00CD5D2C"/>
    <w:rsid w:val="00CD73F8"/>
    <w:rsid w:val="00CE20DF"/>
    <w:rsid w:val="00CE2500"/>
    <w:rsid w:val="00CE3985"/>
    <w:rsid w:val="00CE7739"/>
    <w:rsid w:val="00CE7D17"/>
    <w:rsid w:val="00CF0038"/>
    <w:rsid w:val="00CF2D89"/>
    <w:rsid w:val="00CF2E88"/>
    <w:rsid w:val="00CF3222"/>
    <w:rsid w:val="00CF7C6D"/>
    <w:rsid w:val="00D001F1"/>
    <w:rsid w:val="00D016BB"/>
    <w:rsid w:val="00D0172E"/>
    <w:rsid w:val="00D04544"/>
    <w:rsid w:val="00D064CE"/>
    <w:rsid w:val="00D11B0A"/>
    <w:rsid w:val="00D134A9"/>
    <w:rsid w:val="00D1359C"/>
    <w:rsid w:val="00D14744"/>
    <w:rsid w:val="00D15F53"/>
    <w:rsid w:val="00D16296"/>
    <w:rsid w:val="00D16B8D"/>
    <w:rsid w:val="00D176E6"/>
    <w:rsid w:val="00D20FE0"/>
    <w:rsid w:val="00D2502C"/>
    <w:rsid w:val="00D2594A"/>
    <w:rsid w:val="00D26A9F"/>
    <w:rsid w:val="00D27B68"/>
    <w:rsid w:val="00D307AE"/>
    <w:rsid w:val="00D34306"/>
    <w:rsid w:val="00D34983"/>
    <w:rsid w:val="00D3667E"/>
    <w:rsid w:val="00D368E6"/>
    <w:rsid w:val="00D377ED"/>
    <w:rsid w:val="00D40FC9"/>
    <w:rsid w:val="00D41D56"/>
    <w:rsid w:val="00D42111"/>
    <w:rsid w:val="00D42DE9"/>
    <w:rsid w:val="00D43A34"/>
    <w:rsid w:val="00D47158"/>
    <w:rsid w:val="00D47AF9"/>
    <w:rsid w:val="00D50B5C"/>
    <w:rsid w:val="00D50FEA"/>
    <w:rsid w:val="00D56B7A"/>
    <w:rsid w:val="00D61B61"/>
    <w:rsid w:val="00D62B76"/>
    <w:rsid w:val="00D62C42"/>
    <w:rsid w:val="00D6377E"/>
    <w:rsid w:val="00D63CF2"/>
    <w:rsid w:val="00D6779F"/>
    <w:rsid w:val="00D70D45"/>
    <w:rsid w:val="00D763B4"/>
    <w:rsid w:val="00D805C0"/>
    <w:rsid w:val="00D83083"/>
    <w:rsid w:val="00D84939"/>
    <w:rsid w:val="00D874F0"/>
    <w:rsid w:val="00D9022C"/>
    <w:rsid w:val="00D92FB4"/>
    <w:rsid w:val="00D937E1"/>
    <w:rsid w:val="00D94B4B"/>
    <w:rsid w:val="00D94D34"/>
    <w:rsid w:val="00D955C4"/>
    <w:rsid w:val="00D97231"/>
    <w:rsid w:val="00DA37E4"/>
    <w:rsid w:val="00DA5E21"/>
    <w:rsid w:val="00DB0BBD"/>
    <w:rsid w:val="00DB170E"/>
    <w:rsid w:val="00DB17F3"/>
    <w:rsid w:val="00DB2999"/>
    <w:rsid w:val="00DB471A"/>
    <w:rsid w:val="00DB76B6"/>
    <w:rsid w:val="00DC1779"/>
    <w:rsid w:val="00DC1C6A"/>
    <w:rsid w:val="00DC29BD"/>
    <w:rsid w:val="00DC5660"/>
    <w:rsid w:val="00DC7F16"/>
    <w:rsid w:val="00DC7FEF"/>
    <w:rsid w:val="00DD1FF2"/>
    <w:rsid w:val="00DD4471"/>
    <w:rsid w:val="00DD503B"/>
    <w:rsid w:val="00DE4FBC"/>
    <w:rsid w:val="00DF0CF7"/>
    <w:rsid w:val="00DF11B6"/>
    <w:rsid w:val="00DF16BA"/>
    <w:rsid w:val="00DF3944"/>
    <w:rsid w:val="00DF3A78"/>
    <w:rsid w:val="00E02237"/>
    <w:rsid w:val="00E033A4"/>
    <w:rsid w:val="00E03471"/>
    <w:rsid w:val="00E1080F"/>
    <w:rsid w:val="00E154AF"/>
    <w:rsid w:val="00E204CA"/>
    <w:rsid w:val="00E210E5"/>
    <w:rsid w:val="00E2360F"/>
    <w:rsid w:val="00E30329"/>
    <w:rsid w:val="00E30FE5"/>
    <w:rsid w:val="00E31169"/>
    <w:rsid w:val="00E3635E"/>
    <w:rsid w:val="00E36F54"/>
    <w:rsid w:val="00E41492"/>
    <w:rsid w:val="00E41578"/>
    <w:rsid w:val="00E42650"/>
    <w:rsid w:val="00E452FE"/>
    <w:rsid w:val="00E45586"/>
    <w:rsid w:val="00E456B4"/>
    <w:rsid w:val="00E460E5"/>
    <w:rsid w:val="00E46A6C"/>
    <w:rsid w:val="00E47D4C"/>
    <w:rsid w:val="00E549C6"/>
    <w:rsid w:val="00E579B5"/>
    <w:rsid w:val="00E600D9"/>
    <w:rsid w:val="00E60B32"/>
    <w:rsid w:val="00E62A7E"/>
    <w:rsid w:val="00E658B7"/>
    <w:rsid w:val="00E71958"/>
    <w:rsid w:val="00E7425B"/>
    <w:rsid w:val="00E76894"/>
    <w:rsid w:val="00E80336"/>
    <w:rsid w:val="00E821F7"/>
    <w:rsid w:val="00E827AD"/>
    <w:rsid w:val="00E8651C"/>
    <w:rsid w:val="00E871C8"/>
    <w:rsid w:val="00E87FEC"/>
    <w:rsid w:val="00E928A5"/>
    <w:rsid w:val="00E95B28"/>
    <w:rsid w:val="00EA04B8"/>
    <w:rsid w:val="00EA0EFF"/>
    <w:rsid w:val="00EA137D"/>
    <w:rsid w:val="00EA1551"/>
    <w:rsid w:val="00EA2791"/>
    <w:rsid w:val="00EA347E"/>
    <w:rsid w:val="00EA3DB5"/>
    <w:rsid w:val="00EA6591"/>
    <w:rsid w:val="00EA7969"/>
    <w:rsid w:val="00EA7B28"/>
    <w:rsid w:val="00EA7BD8"/>
    <w:rsid w:val="00EB22F2"/>
    <w:rsid w:val="00EB6CFC"/>
    <w:rsid w:val="00EB7D36"/>
    <w:rsid w:val="00EC050E"/>
    <w:rsid w:val="00EC2012"/>
    <w:rsid w:val="00EC2E27"/>
    <w:rsid w:val="00EC443D"/>
    <w:rsid w:val="00ED19C5"/>
    <w:rsid w:val="00ED1B4C"/>
    <w:rsid w:val="00ED34D6"/>
    <w:rsid w:val="00ED4A75"/>
    <w:rsid w:val="00ED6A18"/>
    <w:rsid w:val="00ED7A4D"/>
    <w:rsid w:val="00EE0087"/>
    <w:rsid w:val="00EE13E5"/>
    <w:rsid w:val="00EE3F13"/>
    <w:rsid w:val="00EE4474"/>
    <w:rsid w:val="00EE6769"/>
    <w:rsid w:val="00EF3E26"/>
    <w:rsid w:val="00EF47FC"/>
    <w:rsid w:val="00EF5452"/>
    <w:rsid w:val="00F02D6C"/>
    <w:rsid w:val="00F05631"/>
    <w:rsid w:val="00F05A3A"/>
    <w:rsid w:val="00F066FE"/>
    <w:rsid w:val="00F06939"/>
    <w:rsid w:val="00F07D62"/>
    <w:rsid w:val="00F108FF"/>
    <w:rsid w:val="00F12E2C"/>
    <w:rsid w:val="00F200D3"/>
    <w:rsid w:val="00F216C3"/>
    <w:rsid w:val="00F223B9"/>
    <w:rsid w:val="00F27A00"/>
    <w:rsid w:val="00F3049F"/>
    <w:rsid w:val="00F3071A"/>
    <w:rsid w:val="00F33DCF"/>
    <w:rsid w:val="00F35E41"/>
    <w:rsid w:val="00F375E4"/>
    <w:rsid w:val="00F37FE3"/>
    <w:rsid w:val="00F41118"/>
    <w:rsid w:val="00F41618"/>
    <w:rsid w:val="00F419AA"/>
    <w:rsid w:val="00F428AC"/>
    <w:rsid w:val="00F43280"/>
    <w:rsid w:val="00F43897"/>
    <w:rsid w:val="00F46DCD"/>
    <w:rsid w:val="00F479BF"/>
    <w:rsid w:val="00F51CC3"/>
    <w:rsid w:val="00F52A9A"/>
    <w:rsid w:val="00F53833"/>
    <w:rsid w:val="00F62E11"/>
    <w:rsid w:val="00F6477A"/>
    <w:rsid w:val="00F649A2"/>
    <w:rsid w:val="00F65227"/>
    <w:rsid w:val="00F658E6"/>
    <w:rsid w:val="00F6650A"/>
    <w:rsid w:val="00F672A9"/>
    <w:rsid w:val="00F7187B"/>
    <w:rsid w:val="00F71C8A"/>
    <w:rsid w:val="00F749A2"/>
    <w:rsid w:val="00F775E1"/>
    <w:rsid w:val="00F800A1"/>
    <w:rsid w:val="00F82033"/>
    <w:rsid w:val="00F85810"/>
    <w:rsid w:val="00F86CFF"/>
    <w:rsid w:val="00F86F94"/>
    <w:rsid w:val="00F9226F"/>
    <w:rsid w:val="00F94EA2"/>
    <w:rsid w:val="00F962AF"/>
    <w:rsid w:val="00F96ED9"/>
    <w:rsid w:val="00FA02FB"/>
    <w:rsid w:val="00FA19BE"/>
    <w:rsid w:val="00FA220E"/>
    <w:rsid w:val="00FA2604"/>
    <w:rsid w:val="00FA26B9"/>
    <w:rsid w:val="00FA2AD7"/>
    <w:rsid w:val="00FA5281"/>
    <w:rsid w:val="00FA57FD"/>
    <w:rsid w:val="00FB50F9"/>
    <w:rsid w:val="00FB633E"/>
    <w:rsid w:val="00FC2195"/>
    <w:rsid w:val="00FC2FE2"/>
    <w:rsid w:val="00FC4D0C"/>
    <w:rsid w:val="00FC5FB0"/>
    <w:rsid w:val="00FC6015"/>
    <w:rsid w:val="00FD6A7D"/>
    <w:rsid w:val="00FE10F7"/>
    <w:rsid w:val="00FE1A20"/>
    <w:rsid w:val="00FE21BB"/>
    <w:rsid w:val="00FE3680"/>
    <w:rsid w:val="00FE4B51"/>
    <w:rsid w:val="00FE4F25"/>
    <w:rsid w:val="00FE6653"/>
    <w:rsid w:val="00FF04D2"/>
    <w:rsid w:val="00FF222F"/>
    <w:rsid w:val="00FF3E8F"/>
    <w:rsid w:val="00FF4428"/>
    <w:rsid w:val="00FF4D94"/>
    <w:rsid w:val="00FF5A98"/>
    <w:rsid w:val="00FF6DED"/>
    <w:rsid w:val="364F65CE"/>
    <w:rsid w:val="3B7D70DC"/>
    <w:rsid w:val="3C399BE9"/>
    <w:rsid w:val="47B2894B"/>
    <w:rsid w:val="5EA2B2A8"/>
    <w:rsid w:val="6E44D4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16FF"/>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styleId="PiedepginaCar" w:customStyle="1">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styleId="EncabezadoCar" w:customStyle="1">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styleId="TextonotapieCar1" w:customStyle="1">
    <w:name w:val="Texto nota pie Car1"/>
    <w:basedOn w:val="Fuentedeprrafopredeter"/>
    <w:uiPriority w:val="99"/>
    <w:semiHidden/>
    <w:rsid w:val="004A303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styleId="InviasNormal" w:customStyle="1">
    <w:name w:val="Invias Normal"/>
    <w:basedOn w:val="Normal"/>
    <w:link w:val="InviasNormalCar"/>
    <w:qFormat/>
    <w:rsid w:val="004A303C"/>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4A303C"/>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4A303C"/>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4A303C"/>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styleId="TextocomentarioCar" w:customStyle="1">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styleId="AsuntodelcomentarioCar" w:customStyle="1">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hAnsi="Times New Roman" w:eastAsia="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781C22"/>
    <w:rPr>
      <w:rFonts w:ascii="Arial" w:hAnsi="Arial" w:eastAsia="Arial" w:cs="Arial"/>
      <w:lang w:val="es-ES"/>
    </w:rPr>
  </w:style>
  <w:style w:type="paragraph" w:styleId="Appelnotedebasde" w:customStyle="1">
    <w:name w:val="Appel note de bas de..."/>
    <w:basedOn w:val="Normal"/>
    <w:link w:val="Refdenotaalpie"/>
    <w:rsid w:val="00826C45"/>
    <w:pPr>
      <w:spacing w:after="160" w:line="240" w:lineRule="exact"/>
    </w:pPr>
    <w:rPr>
      <w:sz w:val="22"/>
      <w:vertAlign w:val="superscript"/>
      <w:lang w:val="es-CO"/>
    </w:rPr>
  </w:style>
  <w:style w:type="character" w:styleId="apple-converted-space" w:customStyle="1">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styleId="paragraph" w:customStyle="1">
    <w:name w:val="paragraph"/>
    <w:basedOn w:val="Normal"/>
    <w:rsid w:val="00B0552B"/>
    <w:pPr>
      <w:spacing w:before="100" w:beforeAutospacing="1" w:after="100" w:afterAutospacing="1"/>
    </w:pPr>
    <w:rPr>
      <w:rFonts w:ascii="Times New Roman" w:hAnsi="Times New Roman" w:eastAsia="Times New Roman" w:cs="Times New Roman"/>
      <w:szCs w:val="24"/>
      <w:lang w:val="es-CO" w:eastAsia="es-ES_tradnl"/>
    </w:rPr>
  </w:style>
  <w:style w:type="character" w:styleId="normaltextrun" w:customStyle="1">
    <w:name w:val="normaltextrun"/>
    <w:basedOn w:val="Fuentedeprrafopredeter"/>
    <w:rsid w:val="00B0552B"/>
  </w:style>
  <w:style w:type="character" w:styleId="eop" w:customStyle="1">
    <w:name w:val="eop"/>
    <w:basedOn w:val="Fuentedeprrafopredeter"/>
    <w:rsid w:val="00B0552B"/>
  </w:style>
  <w:style w:type="character" w:styleId="Hipervnculo">
    <w:name w:val="Hyperlink"/>
    <w:basedOn w:val="Fuentedeprrafopredeter"/>
    <w:uiPriority w:val="99"/>
    <w:unhideWhenUsed/>
    <w:rsid w:val="00E36F54"/>
    <w:rPr>
      <w:color w:val="0563C1" w:themeColor="hyperlink"/>
      <w:u w:val="single"/>
    </w:rPr>
  </w:style>
  <w:style w:type="character" w:styleId="Mencinsinresolver">
    <w:name w:val="Unresolved Mention"/>
    <w:basedOn w:val="Fuentedeprrafopredeter"/>
    <w:uiPriority w:val="99"/>
    <w:semiHidden/>
    <w:unhideWhenUsed/>
    <w:rsid w:val="00E36F54"/>
    <w:rPr>
      <w:color w:val="605E5C"/>
      <w:shd w:val="clear" w:color="auto" w:fill="E1DFDD"/>
    </w:rPr>
  </w:style>
  <w:style w:type="character" w:styleId="Textoennegrita">
    <w:name w:val="Strong"/>
    <w:basedOn w:val="Fuentedeprrafopredeter"/>
    <w:uiPriority w:val="22"/>
    <w:qFormat/>
    <w:rsid w:val="004452AC"/>
    <w:rPr>
      <w:b/>
      <w:bCs/>
    </w:rPr>
  </w:style>
  <w:style w:type="paragraph" w:styleId="Default" w:customStyle="1">
    <w:name w:val="Default"/>
    <w:rsid w:val="002B13F7"/>
    <w:pPr>
      <w:autoSpaceDE w:val="0"/>
      <w:autoSpaceDN w:val="0"/>
      <w:adjustRightInd w:val="0"/>
      <w:spacing w:after="0" w:line="240" w:lineRule="auto"/>
    </w:pPr>
    <w:rPr>
      <w:rFonts w:ascii="Arial" w:hAnsi="Arial" w:cs="Arial"/>
      <w:color w:val="000000"/>
      <w:sz w:val="24"/>
      <w:szCs w:val="24"/>
    </w:rPr>
  </w:style>
  <w:style w:type="paragraph" w:styleId="TDC5">
    <w:name w:val="toc 5"/>
    <w:basedOn w:val="Normal"/>
    <w:next w:val="Normal"/>
    <w:autoRedefine/>
    <w:uiPriority w:val="39"/>
    <w:semiHidden/>
    <w:unhideWhenUsed/>
    <w:rsid w:val="00FA57FD"/>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184">
      <w:bodyDiv w:val="1"/>
      <w:marLeft w:val="0"/>
      <w:marRight w:val="0"/>
      <w:marTop w:val="0"/>
      <w:marBottom w:val="0"/>
      <w:divBdr>
        <w:top w:val="none" w:sz="0" w:space="0" w:color="auto"/>
        <w:left w:val="none" w:sz="0" w:space="0" w:color="auto"/>
        <w:bottom w:val="none" w:sz="0" w:space="0" w:color="auto"/>
        <w:right w:val="none" w:sz="0" w:space="0" w:color="auto"/>
      </w:divBdr>
    </w:div>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0423">
      <w:bodyDiv w:val="1"/>
      <w:marLeft w:val="0"/>
      <w:marRight w:val="0"/>
      <w:marTop w:val="0"/>
      <w:marBottom w:val="0"/>
      <w:divBdr>
        <w:top w:val="none" w:sz="0" w:space="0" w:color="auto"/>
        <w:left w:val="none" w:sz="0" w:space="0" w:color="auto"/>
        <w:bottom w:val="none" w:sz="0" w:space="0" w:color="auto"/>
        <w:right w:val="none" w:sz="0" w:space="0" w:color="auto"/>
      </w:divBdr>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4911">
      <w:bodyDiv w:val="1"/>
      <w:marLeft w:val="0"/>
      <w:marRight w:val="0"/>
      <w:marTop w:val="0"/>
      <w:marBottom w:val="0"/>
      <w:divBdr>
        <w:top w:val="none" w:sz="0" w:space="0" w:color="auto"/>
        <w:left w:val="none" w:sz="0" w:space="0" w:color="auto"/>
        <w:bottom w:val="none" w:sz="0" w:space="0" w:color="auto"/>
        <w:right w:val="none" w:sz="0" w:space="0" w:color="auto"/>
      </w:divBdr>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4599">
      <w:bodyDiv w:val="1"/>
      <w:marLeft w:val="0"/>
      <w:marRight w:val="0"/>
      <w:marTop w:val="0"/>
      <w:marBottom w:val="0"/>
      <w:divBdr>
        <w:top w:val="none" w:sz="0" w:space="0" w:color="auto"/>
        <w:left w:val="none" w:sz="0" w:space="0" w:color="auto"/>
        <w:bottom w:val="none" w:sz="0" w:space="0" w:color="auto"/>
        <w:right w:val="none" w:sz="0" w:space="0" w:color="auto"/>
      </w:divBdr>
    </w:div>
    <w:div w:id="2121488423">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8.png" Id="R6f8d6af3ccc145f0" /><Relationship Type="http://schemas.openxmlformats.org/officeDocument/2006/relationships/image" Target="/media/image9.png" Id="R473780b7c9384933" /></Relationships>
</file>

<file path=word/_rels/footer1.xml.rels>&#65279;<?xml version="1.0" encoding="utf-8"?><Relationships xmlns="http://schemas.openxmlformats.org/package/2006/relationships"><Relationship Type="http://schemas.openxmlformats.org/officeDocument/2006/relationships/image" Target="/media/imagea.png" Id="R8bbec8c50b474a8c"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0ED3-8C9B-4148-98AD-ADC6328AC9E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E2D6241-B2E4-4F29-AF15-36E0C3F9D4CD}">
  <ds:schemaRefs>
    <ds:schemaRef ds:uri="http://schemas.microsoft.com/sharepoint/v3/contenttype/forms"/>
  </ds:schemaRefs>
</ds:datastoreItem>
</file>

<file path=customXml/itemProps3.xml><?xml version="1.0" encoding="utf-8"?>
<ds:datastoreItem xmlns:ds="http://schemas.openxmlformats.org/officeDocument/2006/customXml" ds:itemID="{A6804171-5480-4A22-B8BD-3E063173FD0E}"/>
</file>

<file path=customXml/itemProps4.xml><?xml version="1.0" encoding="utf-8"?>
<ds:datastoreItem xmlns:ds="http://schemas.openxmlformats.org/officeDocument/2006/customXml" ds:itemID="{56AC9CE9-65A9-3F49-9AA9-32B62A2403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Ramírez Castañeda</dc:creator>
  <keywords/>
  <dc:description/>
  <lastModifiedBy>Manuela Mantilla Pacheco</lastModifiedBy>
  <revision>39</revision>
  <lastPrinted>2020-10-23T22:20:00.0000000Z</lastPrinted>
  <dcterms:created xsi:type="dcterms:W3CDTF">2021-04-30T18:52:00.0000000Z</dcterms:created>
  <dcterms:modified xsi:type="dcterms:W3CDTF">2021-06-30T11:11:07.5448774Z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