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BF2545" w:rsidRDefault="005A79FE" w:rsidP="00875624">
      <w:pPr>
        <w:jc w:val="right"/>
        <w:rPr>
          <w:rFonts w:ascii="Arial" w:eastAsia="Calibri" w:hAnsi="Arial" w:cs="Arial"/>
          <w:b/>
          <w:bCs/>
          <w:sz w:val="16"/>
          <w:szCs w:val="16"/>
        </w:rPr>
      </w:pPr>
      <w:r w:rsidRPr="00BF2545">
        <w:rPr>
          <w:rFonts w:ascii="Arial" w:eastAsia="Times New Roman" w:hAnsi="Arial" w:cs="Arial"/>
          <w:b/>
          <w:bCs/>
          <w:sz w:val="16"/>
          <w:szCs w:val="16"/>
          <w:lang w:eastAsia="es-ES"/>
        </w:rPr>
        <w:t>CCE-DES-FM-17</w:t>
      </w:r>
    </w:p>
    <w:p w14:paraId="2A3E991D" w14:textId="77777777" w:rsidR="00BB755B" w:rsidRPr="009D22EB" w:rsidRDefault="00BB755B" w:rsidP="001470FF">
      <w:pPr>
        <w:jc w:val="both"/>
        <w:rPr>
          <w:rFonts w:ascii="Arial" w:eastAsia="Calibri" w:hAnsi="Arial" w:cs="Arial"/>
          <w:b/>
          <w:bCs/>
          <w:sz w:val="16"/>
          <w:szCs w:val="16"/>
        </w:rPr>
      </w:pPr>
    </w:p>
    <w:p w14:paraId="0A6FED4A" w14:textId="141AFD01" w:rsidR="00B011AD" w:rsidRPr="00BF2545" w:rsidRDefault="0010606F" w:rsidP="001470FF">
      <w:pPr>
        <w:jc w:val="both"/>
        <w:rPr>
          <w:rFonts w:ascii="Arial" w:eastAsia="Calibri" w:hAnsi="Arial" w:cs="Arial"/>
          <w:b/>
          <w:bCs/>
          <w:sz w:val="22"/>
        </w:rPr>
      </w:pPr>
      <w:r w:rsidRPr="00BF2545">
        <w:rPr>
          <w:rFonts w:ascii="Arial" w:eastAsia="Calibri" w:hAnsi="Arial" w:cs="Arial"/>
          <w:b/>
          <w:bCs/>
          <w:sz w:val="22"/>
        </w:rPr>
        <w:t>CONTRAT</w:t>
      </w:r>
      <w:r w:rsidR="009823C6" w:rsidRPr="00BF2545">
        <w:rPr>
          <w:rFonts w:ascii="Arial" w:eastAsia="Calibri" w:hAnsi="Arial" w:cs="Arial"/>
          <w:b/>
          <w:bCs/>
          <w:sz w:val="22"/>
        </w:rPr>
        <w:t>O</w:t>
      </w:r>
      <w:r w:rsidRPr="00BF2545">
        <w:rPr>
          <w:rFonts w:ascii="Arial" w:eastAsia="Calibri" w:hAnsi="Arial" w:cs="Arial"/>
          <w:b/>
          <w:bCs/>
          <w:sz w:val="22"/>
        </w:rPr>
        <w:t xml:space="preserve"> ESTATAL </w:t>
      </w:r>
      <w:r w:rsidR="00175AD3" w:rsidRPr="00BF2545">
        <w:rPr>
          <w:rFonts w:ascii="Arial" w:eastAsia="Calibri" w:hAnsi="Arial" w:cs="Arial"/>
          <w:b/>
          <w:bCs/>
          <w:sz w:val="22"/>
        </w:rPr>
        <w:t>–</w:t>
      </w:r>
      <w:r w:rsidRPr="00BF2545">
        <w:rPr>
          <w:rFonts w:ascii="Arial" w:eastAsia="Calibri" w:hAnsi="Arial" w:cs="Arial"/>
          <w:b/>
          <w:bCs/>
          <w:sz w:val="22"/>
        </w:rPr>
        <w:t xml:space="preserve"> Finalidad</w:t>
      </w:r>
    </w:p>
    <w:p w14:paraId="02EED86C" w14:textId="77777777" w:rsidR="00B011AD" w:rsidRPr="00BF2545" w:rsidRDefault="00B011AD" w:rsidP="001470FF">
      <w:pPr>
        <w:jc w:val="both"/>
        <w:rPr>
          <w:rFonts w:ascii="Arial" w:eastAsia="Calibri" w:hAnsi="Arial" w:cs="Arial"/>
          <w:sz w:val="20"/>
          <w:szCs w:val="20"/>
        </w:rPr>
      </w:pPr>
    </w:p>
    <w:p w14:paraId="1FF164FA" w14:textId="542B1D75" w:rsidR="00B011AD" w:rsidRPr="00BF2545" w:rsidRDefault="00BF2545" w:rsidP="001470FF">
      <w:pPr>
        <w:jc w:val="both"/>
        <w:rPr>
          <w:rFonts w:ascii="Arial" w:eastAsia="Calibri" w:hAnsi="Arial" w:cs="Arial"/>
          <w:sz w:val="20"/>
          <w:szCs w:val="20"/>
        </w:rPr>
      </w:pPr>
      <w:r w:rsidRPr="00BF2545">
        <w:rPr>
          <w:rFonts w:ascii="Arial" w:eastAsia="Calibri" w:hAnsi="Arial" w:cs="Arial"/>
          <w:sz w:val="20"/>
          <w:szCs w:val="20"/>
        </w:rPr>
        <w:t>La contratación estatal pretende el cumplimiento de los fines estatales, la continua y eficiente prestación de los servicios públicos y la efectividad de los derechos e intereses de los administrados que colaboran con ellas en</w:t>
      </w:r>
      <w:r w:rsidR="002F60E9">
        <w:rPr>
          <w:rFonts w:ascii="Arial" w:eastAsia="Calibri" w:hAnsi="Arial" w:cs="Arial"/>
          <w:sz w:val="20"/>
          <w:szCs w:val="20"/>
        </w:rPr>
        <w:t xml:space="preserve"> la consecución de dichos fines</w:t>
      </w:r>
      <w:r w:rsidRPr="00BF2545">
        <w:rPr>
          <w:rFonts w:ascii="Arial" w:eastAsia="Calibri" w:hAnsi="Arial" w:cs="Arial"/>
          <w:sz w:val="20"/>
          <w:szCs w:val="20"/>
        </w:rPr>
        <w:t>. Para el cumplimiento de estos objetivos, las entidades públicas adquieren bienes y servicios a través de procedimientos eminentemente reglados, que reducen el margen de discrecionalidad administrativa. El legislador desarrolló los principales aspectos de estos procedimientos […].</w:t>
      </w:r>
    </w:p>
    <w:p w14:paraId="3843654E" w14:textId="0C922167" w:rsidR="00AC5186" w:rsidRPr="00BF2545" w:rsidRDefault="00AC5186" w:rsidP="001470FF">
      <w:pPr>
        <w:jc w:val="both"/>
        <w:rPr>
          <w:rFonts w:ascii="Arial" w:eastAsia="Calibri" w:hAnsi="Arial" w:cs="Arial"/>
          <w:sz w:val="20"/>
          <w:szCs w:val="20"/>
        </w:rPr>
      </w:pPr>
    </w:p>
    <w:p w14:paraId="287B8B2F" w14:textId="2875C4F7" w:rsidR="00AC5186" w:rsidRPr="00BF2545" w:rsidRDefault="00AC5186" w:rsidP="00AC5186">
      <w:pPr>
        <w:jc w:val="both"/>
        <w:rPr>
          <w:rFonts w:ascii="Arial" w:eastAsia="Calibri" w:hAnsi="Arial" w:cs="Arial"/>
          <w:b/>
          <w:bCs/>
          <w:sz w:val="22"/>
        </w:rPr>
      </w:pPr>
      <w:r w:rsidRPr="00BF2545">
        <w:rPr>
          <w:rFonts w:ascii="Arial" w:eastAsia="Calibri" w:hAnsi="Arial" w:cs="Arial"/>
          <w:b/>
          <w:bCs/>
          <w:sz w:val="22"/>
        </w:rPr>
        <w:t>PROCEDIMIENTO CONTRACTUAL – Carácter reglado</w:t>
      </w:r>
    </w:p>
    <w:p w14:paraId="26974B6A" w14:textId="77777777" w:rsidR="00AC5186" w:rsidRPr="00BF2545" w:rsidRDefault="00AC5186" w:rsidP="00AC5186">
      <w:pPr>
        <w:jc w:val="both"/>
        <w:rPr>
          <w:rFonts w:ascii="Arial" w:eastAsia="Calibri" w:hAnsi="Arial" w:cs="Arial"/>
          <w:sz w:val="20"/>
          <w:szCs w:val="20"/>
        </w:rPr>
      </w:pPr>
    </w:p>
    <w:p w14:paraId="1F490A78" w14:textId="3DD239C0" w:rsidR="00AC5186" w:rsidRPr="00BF2545" w:rsidRDefault="00BF2545" w:rsidP="00BF2545">
      <w:pPr>
        <w:jc w:val="both"/>
        <w:rPr>
          <w:rFonts w:ascii="Arial" w:eastAsia="Calibri" w:hAnsi="Arial" w:cs="Arial"/>
          <w:sz w:val="20"/>
          <w:szCs w:val="20"/>
        </w:rPr>
      </w:pPr>
      <w:r w:rsidRPr="00BF2545">
        <w:rPr>
          <w:rFonts w:ascii="Arial" w:eastAsia="Calibri" w:hAnsi="Arial" w:cs="Arial"/>
          <w:sz w:val="20"/>
          <w:szCs w:val="20"/>
        </w:rPr>
        <w:t>Igualmente, el legislador dispuso los principios que gobiernan los procedimientos de contratación pública, dentro de los que sobresale el de economía, consagrado en el artículo 25 de la Ley 80 de 1993 . En virtud de este principio, la adquisición de bienes y servicios se realiza conforme a las etapas y términos de los procedimientos determinados por la ley. Estos varían dependiendo de la modalidad de selección del contratista y, en cierta medida, de la naturaleza y objeto del contrato a suscribir, como ocurre con los de obra pública de infraestructura de transporte, en los cuales el procedimiento debe ajustarse a lo dispuesto en los «Documentos Tipo», conforme a los artículos 2.2.1.2.6.1.2. y 2.2.1.2.6.2.2 del Decreto 1082 de 2015, los cu</w:t>
      </w:r>
      <w:r w:rsidR="007849C1">
        <w:rPr>
          <w:rFonts w:ascii="Arial" w:eastAsia="Calibri" w:hAnsi="Arial" w:cs="Arial"/>
          <w:sz w:val="20"/>
          <w:szCs w:val="20"/>
        </w:rPr>
        <w:t>a</w:t>
      </w:r>
      <w:r w:rsidRPr="00BF2545">
        <w:rPr>
          <w:rFonts w:ascii="Arial" w:eastAsia="Calibri" w:hAnsi="Arial" w:cs="Arial"/>
          <w:sz w:val="20"/>
          <w:szCs w:val="20"/>
        </w:rPr>
        <w:t>les fueron expedidos en cumplimiento del artículo 2, parágrafo 7, de la Ley 1150 de 2007, adicionado por el artículo 4 de la Ley 1882 de 2018. Lo importante es que estos procedimientos podrán llevarse a cabo de forma escrita a través de los medios tradicionales, o de forma digital por medio del Sistema Electrónico de Contratación Pública −SECOP−. Esto último en virtud de lo dispuesto en el artículo 3 de la Ley 1150 de 2007, en concordancia con la Ley 527 del año 1999.</w:t>
      </w:r>
    </w:p>
    <w:p w14:paraId="424AC4AD" w14:textId="77777777" w:rsidR="00BF2545" w:rsidRPr="00BF2545" w:rsidRDefault="00BF2545" w:rsidP="00BF2545">
      <w:pPr>
        <w:jc w:val="both"/>
        <w:rPr>
          <w:rFonts w:ascii="Arial" w:eastAsia="Calibri" w:hAnsi="Arial" w:cs="Arial"/>
          <w:sz w:val="20"/>
          <w:szCs w:val="20"/>
        </w:rPr>
      </w:pPr>
    </w:p>
    <w:p w14:paraId="5827C73A" w14:textId="3F48D1DF" w:rsidR="00AA2184" w:rsidRPr="00BF2545" w:rsidRDefault="00AA2184" w:rsidP="3FB0ED2D">
      <w:pPr>
        <w:jc w:val="both"/>
        <w:rPr>
          <w:rFonts w:ascii="Arial" w:eastAsia="Calibri" w:hAnsi="Arial" w:cs="Arial"/>
          <w:b/>
          <w:bCs/>
          <w:sz w:val="22"/>
        </w:rPr>
      </w:pPr>
      <w:r w:rsidRPr="3FB0ED2D">
        <w:rPr>
          <w:rFonts w:ascii="Arial" w:eastAsia="Calibri" w:hAnsi="Arial" w:cs="Arial"/>
          <w:b/>
          <w:bCs/>
          <w:sz w:val="22"/>
        </w:rPr>
        <w:t>PROCEDIMIENTO CONTRACTUAL – S</w:t>
      </w:r>
      <w:r w:rsidR="34E4CC3D" w:rsidRPr="3FB0ED2D">
        <w:rPr>
          <w:rFonts w:ascii="Arial" w:eastAsia="Calibri" w:hAnsi="Arial" w:cs="Arial"/>
          <w:b/>
          <w:bCs/>
          <w:sz w:val="22"/>
        </w:rPr>
        <w:t>ecop</w:t>
      </w:r>
    </w:p>
    <w:p w14:paraId="0912F442" w14:textId="77777777" w:rsidR="00AA2184" w:rsidRPr="00BF2545" w:rsidRDefault="00AA2184" w:rsidP="00AA2184">
      <w:pPr>
        <w:jc w:val="both"/>
        <w:rPr>
          <w:rFonts w:ascii="Arial" w:eastAsia="Calibri" w:hAnsi="Arial" w:cs="Arial"/>
          <w:sz w:val="20"/>
          <w:szCs w:val="20"/>
        </w:rPr>
      </w:pPr>
    </w:p>
    <w:p w14:paraId="2F15D6AB" w14:textId="73D93DA7" w:rsidR="00BF2545" w:rsidRPr="00BF2545" w:rsidRDefault="00BF2545" w:rsidP="00BF2545">
      <w:pPr>
        <w:jc w:val="both"/>
        <w:rPr>
          <w:rFonts w:ascii="Arial" w:eastAsia="Calibri" w:hAnsi="Arial" w:cs="Arial"/>
          <w:sz w:val="20"/>
          <w:szCs w:val="20"/>
        </w:rPr>
      </w:pPr>
      <w:r w:rsidRPr="00BF2545">
        <w:rPr>
          <w:rFonts w:ascii="Arial" w:eastAsia="Calibri" w:hAnsi="Arial" w:cs="Arial"/>
          <w:sz w:val="20"/>
          <w:szCs w:val="20"/>
        </w:rPr>
        <w:t>La Agencia Nacional de Contratación Pública – Colombia Compra Eficiente tiene como función administrar el SECOP , por lo cual desarrolló la primera versión de la plataforma, denominada SECOP I, que funciona como medio de publicidad y no transaccional, lo que significa que, en la práctica, el procedimiento contractual ocurre fuera de la plataforma y que la entidad lleva un expediente físico del mismo, cuyos documentos se escanean para cargarlos en la plataforma por quien tenga la función dentro de la entidad, de acuerdo con su organización interna.</w:t>
      </w:r>
    </w:p>
    <w:p w14:paraId="0E81D21B" w14:textId="21E01A17" w:rsidR="00AC5186" w:rsidRPr="00BF2545" w:rsidRDefault="00BF2545" w:rsidP="00BF2545">
      <w:pPr>
        <w:spacing w:before="120"/>
        <w:jc w:val="both"/>
        <w:rPr>
          <w:rFonts w:ascii="Arial" w:eastAsia="Calibri" w:hAnsi="Arial" w:cs="Arial"/>
          <w:sz w:val="20"/>
          <w:szCs w:val="20"/>
        </w:rPr>
      </w:pPr>
      <w:r w:rsidRPr="00BF2545">
        <w:rPr>
          <w:rFonts w:ascii="Arial" w:eastAsia="Calibri" w:hAnsi="Arial" w:cs="Arial"/>
          <w:sz w:val="20"/>
          <w:szCs w:val="20"/>
        </w:rPr>
        <w:t>El SECOP II es la segunda versión de la plataforma y se caracteriza por ser transaccional, esto es, permite la gestión en línea de los procedimientos de contratación, con cuentas y usuarios asociados a éstas, para las entidades y los proveedores, así como el acceso de consulta para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2D55AAA4" w14:textId="77777777" w:rsidR="00BF2545" w:rsidRPr="00BF2545" w:rsidRDefault="00BF2545" w:rsidP="00BF2545">
      <w:pPr>
        <w:jc w:val="both"/>
        <w:rPr>
          <w:rFonts w:ascii="Arial" w:eastAsia="Calibri" w:hAnsi="Arial" w:cs="Arial"/>
          <w:sz w:val="20"/>
          <w:szCs w:val="20"/>
        </w:rPr>
      </w:pPr>
    </w:p>
    <w:p w14:paraId="679FD59C" w14:textId="1B3F3BBC" w:rsidR="00BB755B" w:rsidRPr="00BF2545" w:rsidRDefault="00BB755B" w:rsidP="3FB0ED2D">
      <w:pPr>
        <w:jc w:val="both"/>
        <w:rPr>
          <w:rFonts w:ascii="Arial" w:eastAsia="Calibri" w:hAnsi="Arial" w:cs="Arial"/>
          <w:b/>
          <w:bCs/>
          <w:sz w:val="22"/>
        </w:rPr>
      </w:pPr>
      <w:r w:rsidRPr="3FB0ED2D">
        <w:rPr>
          <w:rFonts w:ascii="Arial" w:eastAsia="Calibri" w:hAnsi="Arial" w:cs="Arial"/>
          <w:b/>
          <w:bCs/>
          <w:sz w:val="22"/>
        </w:rPr>
        <w:t xml:space="preserve">SECOP – </w:t>
      </w:r>
      <w:r w:rsidR="50BC7C24" w:rsidRPr="3FB0ED2D">
        <w:rPr>
          <w:rFonts w:ascii="Arial" w:eastAsia="Calibri" w:hAnsi="Arial" w:cs="Arial"/>
          <w:b/>
          <w:bCs/>
          <w:sz w:val="22"/>
        </w:rPr>
        <w:t>Información – Duplicidad – Prohibición</w:t>
      </w:r>
    </w:p>
    <w:p w14:paraId="79D2BDC0" w14:textId="77777777" w:rsidR="00BB755B" w:rsidRPr="00BF2545" w:rsidRDefault="00BB755B" w:rsidP="00BB755B">
      <w:pPr>
        <w:jc w:val="both"/>
        <w:rPr>
          <w:rFonts w:ascii="Arial" w:eastAsia="Calibri" w:hAnsi="Arial" w:cs="Arial"/>
          <w:sz w:val="20"/>
          <w:szCs w:val="20"/>
        </w:rPr>
      </w:pPr>
    </w:p>
    <w:p w14:paraId="7F957401" w14:textId="77777777" w:rsidR="00BF2545" w:rsidRPr="00BF2545" w:rsidRDefault="00BF2545" w:rsidP="00F1336F">
      <w:pPr>
        <w:jc w:val="both"/>
        <w:rPr>
          <w:rFonts w:ascii="Arial" w:eastAsia="Calibri" w:hAnsi="Arial" w:cs="Arial"/>
          <w:sz w:val="20"/>
          <w:szCs w:val="20"/>
        </w:rPr>
      </w:pPr>
      <w:r w:rsidRPr="00BF2545">
        <w:rPr>
          <w:rFonts w:ascii="Arial" w:eastAsia="Calibri" w:hAnsi="Arial" w:cs="Arial"/>
          <w:sz w:val="20"/>
          <w:szCs w:val="20"/>
        </w:rPr>
        <w:t xml:space="preserve">Es necesario aclarar que, dado que el procedimiento contractual se desarrolla en línea y dentro de la plataforma, paulatinamente se va conformando un expediente electrónico, lo cual implica una diferencia con el SECOP I, donde el procedimiento es físico, esto es, con documentos escritos que se publican posteriormente. Al existir esa diferencia entre las dos versiones del SECOP, por regla </w:t>
      </w:r>
      <w:r w:rsidRPr="00BF2545">
        <w:rPr>
          <w:rFonts w:ascii="Arial" w:eastAsia="Calibri" w:hAnsi="Arial" w:cs="Arial"/>
          <w:sz w:val="20"/>
          <w:szCs w:val="20"/>
        </w:rPr>
        <w:lastRenderedPageBreak/>
        <w:t xml:space="preserve">general, no es posible cargar en SECOP II actuaciones por escrito realizadas por la entidad, como ocurre en el SECOP I, sino que los documentos y actuaciones son electrónicos. </w:t>
      </w:r>
    </w:p>
    <w:p w14:paraId="4E29685D" w14:textId="31FE3073" w:rsidR="00BB755B" w:rsidRPr="00BF2545" w:rsidRDefault="00BB755B" w:rsidP="00F1336F">
      <w:pPr>
        <w:jc w:val="both"/>
        <w:rPr>
          <w:rFonts w:ascii="Arial" w:eastAsia="Calibri" w:hAnsi="Arial" w:cs="Arial"/>
          <w:sz w:val="20"/>
          <w:szCs w:val="20"/>
        </w:rPr>
      </w:pPr>
      <w:r w:rsidRPr="00BF2545">
        <w:rPr>
          <w:rFonts w:ascii="Arial" w:eastAsia="Calibri" w:hAnsi="Arial" w:cs="Arial"/>
          <w:sz w:val="20"/>
          <w:szCs w:val="20"/>
        </w:rPr>
        <w:t>[…]</w:t>
      </w:r>
    </w:p>
    <w:p w14:paraId="30B3CCEC" w14:textId="25868DF2" w:rsidR="00BB755B" w:rsidRPr="00BF2545" w:rsidRDefault="00BB755B" w:rsidP="00BF2545">
      <w:pPr>
        <w:spacing w:before="120"/>
        <w:jc w:val="both"/>
        <w:rPr>
          <w:rFonts w:ascii="Arial" w:eastAsia="Calibri" w:hAnsi="Arial" w:cs="Arial"/>
          <w:sz w:val="20"/>
          <w:szCs w:val="20"/>
          <w:lang w:val="es-ES"/>
        </w:rPr>
      </w:pPr>
      <w:r w:rsidRPr="00BF2545">
        <w:rPr>
          <w:rFonts w:ascii="Arial" w:eastAsia="Calibri" w:hAnsi="Arial" w:cs="Arial"/>
          <w:sz w:val="20"/>
          <w:szCs w:val="20"/>
          <w:lang w:val="es-ES"/>
        </w:rPr>
        <w:t xml:space="preserve">No obstante, </w:t>
      </w:r>
      <w:r w:rsidR="00BF2545" w:rsidRPr="00BF2545">
        <w:rPr>
          <w:rFonts w:ascii="Arial" w:eastAsia="Calibri" w:hAnsi="Arial" w:cs="Arial"/>
          <w:sz w:val="20"/>
          <w:szCs w:val="20"/>
          <w:lang w:val="es-ES"/>
        </w:rPr>
        <w:t>eventualmente puede ocurrir que al SECOP II se deban cargar documentos suscritos por las partes, previamente digitalizados. Esto ocurre, por ejemplo, con los estudios previos, el informe de evaluación, la resolución de adjudicación o con el clausulado del contrato, entre otras actuaciones en las que los usuarios quedan habilitados para cargar documentos en la plataforma. Se trata de algo excepcional, pues, se insiste, el SECOP II es una plataforma esencialmente transaccional, distinta de la SECOP I que es una herramienta eminentemente publicitaria.</w:t>
      </w:r>
    </w:p>
    <w:p w14:paraId="36003B85" w14:textId="77777777" w:rsidR="00BF2545" w:rsidRPr="00BF2545" w:rsidRDefault="00BF2545" w:rsidP="00BF2545">
      <w:pPr>
        <w:spacing w:before="120"/>
        <w:jc w:val="both"/>
        <w:rPr>
          <w:rFonts w:ascii="Arial" w:eastAsia="Calibri" w:hAnsi="Arial" w:cs="Arial"/>
          <w:b/>
          <w:bCs/>
          <w:sz w:val="22"/>
        </w:rPr>
      </w:pPr>
    </w:p>
    <w:p w14:paraId="5ED11D23" w14:textId="11601AAB" w:rsidR="00BB755B" w:rsidRPr="00BF2545" w:rsidRDefault="00BB755B" w:rsidP="00BB755B">
      <w:pPr>
        <w:jc w:val="both"/>
        <w:rPr>
          <w:rFonts w:ascii="Arial" w:eastAsia="Calibri" w:hAnsi="Arial" w:cs="Arial"/>
          <w:b/>
          <w:bCs/>
          <w:sz w:val="22"/>
        </w:rPr>
      </w:pPr>
      <w:r w:rsidRPr="00BF2545">
        <w:rPr>
          <w:rFonts w:ascii="Arial" w:eastAsia="Calibri" w:hAnsi="Arial" w:cs="Arial"/>
          <w:b/>
          <w:bCs/>
          <w:sz w:val="22"/>
        </w:rPr>
        <w:t>INTERPRETACIÓN DEL CONTRATO – Reglas</w:t>
      </w:r>
    </w:p>
    <w:p w14:paraId="1757AAFF" w14:textId="77777777" w:rsidR="00BB755B" w:rsidRPr="00BF2545" w:rsidRDefault="00BB755B" w:rsidP="00BB755B">
      <w:pPr>
        <w:jc w:val="both"/>
        <w:rPr>
          <w:rFonts w:ascii="Arial" w:eastAsia="Calibri" w:hAnsi="Arial" w:cs="Arial"/>
          <w:sz w:val="20"/>
          <w:szCs w:val="20"/>
        </w:rPr>
      </w:pPr>
    </w:p>
    <w:p w14:paraId="580315BB" w14:textId="6350CBD8" w:rsidR="00AC5186" w:rsidRPr="00BF2545" w:rsidRDefault="0075378F" w:rsidP="00F1336F">
      <w:pPr>
        <w:jc w:val="both"/>
        <w:rPr>
          <w:rFonts w:ascii="Arial" w:hAnsi="Arial" w:cs="Arial"/>
          <w:b/>
          <w:bCs/>
          <w:sz w:val="22"/>
        </w:rPr>
      </w:pPr>
      <w:r>
        <w:rPr>
          <w:rFonts w:ascii="Arial" w:eastAsia="Calibri" w:hAnsi="Arial" w:cs="Arial"/>
          <w:sz w:val="20"/>
          <w:szCs w:val="20"/>
        </w:rPr>
        <w:t xml:space="preserve">Para </w:t>
      </w:r>
      <w:r w:rsidR="00BF2545" w:rsidRPr="00BF2545">
        <w:rPr>
          <w:rFonts w:ascii="Arial" w:eastAsia="Calibri" w:hAnsi="Arial" w:cs="Arial"/>
          <w:sz w:val="20"/>
          <w:szCs w:val="20"/>
        </w:rPr>
        <w:t>interpretar un contrato estatal, la doctrina propone varios tipos de reglas. Desde la escuela del racionalismo francés de Pothier y Domat, pasando por la pandectística alemana de Savigny, y llegando hasta los denominados códigos decimonónicos, se han estudiado y propuesto diferentes reglas de interpretación. La doctrina colombiana, por su parte, ha elaborado unas reglas objetivas y unas subjetivas conforme a los artículos 1618 a 1624 del Código Civil. Las primeras son las siguientes: i) una vez conocida la intención de los contratantes ha de estarse más a ella que a lo literal de las palabras (artículo 1618 del Código Civil); ii) las estipulaciones de un contrato pueden interpretarse por la de otro que las partes hayan celebrado sobre la misma materia o por la aplicación práctica que de ellas hayan hecho (artículo 1622, incisos 2 y 3 ibídem); iii) las cláusulas deben interpretarse unas por otras, dándole a cada una el sentido que más convenga al contrato en su totalidad (artículo 1622, inciso 1 ibídem); iv) si en un contrato se expresa un caso para explicar la obligación se entiende que esa mención no es restrictiva sino ejemplificativa (artículo 1623 ibídem); y v) se entiende que las expresiones generales contenidas en el negocio únicamente se aplican a la materia sobre la que se ha contratado (artículo 1619, inciso 2 ibídem». ). Las segundas, son estas: vi) el sentido en que una cláusula pueda producir algún efecto deberá preferirse a aquel en que no produzca efecto alguno «(artículo 1620 ibídem»; ); vii) deberá estarse a la interpretación que mejor cuadre con la naturaleza del contrato «(artículo 1621 ibídem»; ); viii) las cláusulas ambiguas se interpretan a favor del deudor «(artículo 1624, inciso 1 ibídem»; ); y ix) las cláusulas oscuras que hayan sido extendidas o dictadas por una parte se interpretarán contra ella si la ambigüedad proviene de una explicación que ésta ha debido dar «(artículo 1624, inciso 2 ibídem». ). Estas son subsidiarias en relación con aquellas, pues no se relacionan con la voluntad contractual.</w:t>
      </w:r>
    </w:p>
    <w:p w14:paraId="2A98F179" w14:textId="0D7B3478" w:rsidR="00BB755B" w:rsidRDefault="00BB755B" w:rsidP="00F1336F">
      <w:pPr>
        <w:jc w:val="both"/>
        <w:rPr>
          <w:rFonts w:ascii="Arial" w:hAnsi="Arial" w:cs="Arial"/>
          <w:b/>
          <w:bCs/>
          <w:sz w:val="22"/>
        </w:rPr>
      </w:pPr>
    </w:p>
    <w:p w14:paraId="4A9897F1" w14:textId="77777777" w:rsidR="00BF2545" w:rsidRPr="00BF2545" w:rsidRDefault="00BF2545" w:rsidP="00F1336F">
      <w:pPr>
        <w:jc w:val="both"/>
        <w:rPr>
          <w:rFonts w:ascii="Arial" w:hAnsi="Arial" w:cs="Arial"/>
          <w:b/>
          <w:bCs/>
          <w:sz w:val="22"/>
        </w:rPr>
      </w:pPr>
    </w:p>
    <w:p w14:paraId="6B16E4AC" w14:textId="77777777" w:rsidR="00B211A2" w:rsidRDefault="00B211A2" w:rsidP="00B211A2">
      <w:pPr>
        <w:rPr>
          <w:rFonts w:ascii="Arial" w:hAnsi="Arial" w:cs="Arial"/>
          <w:sz w:val="22"/>
        </w:rPr>
      </w:pPr>
      <w:bookmarkStart w:id="0" w:name="_Hlk64030265"/>
    </w:p>
    <w:p w14:paraId="4CA41516" w14:textId="77777777" w:rsidR="00B211A2" w:rsidRDefault="00B211A2" w:rsidP="00B211A2">
      <w:pPr>
        <w:rPr>
          <w:rFonts w:ascii="Arial" w:hAnsi="Arial" w:cs="Arial"/>
          <w:sz w:val="22"/>
        </w:rPr>
      </w:pPr>
    </w:p>
    <w:p w14:paraId="520B7D79" w14:textId="77777777" w:rsidR="00B211A2" w:rsidRDefault="00B211A2" w:rsidP="00B211A2">
      <w:pPr>
        <w:rPr>
          <w:rFonts w:ascii="Arial" w:hAnsi="Arial" w:cs="Arial"/>
          <w:sz w:val="22"/>
        </w:rPr>
      </w:pPr>
    </w:p>
    <w:p w14:paraId="36506B0D" w14:textId="77777777" w:rsidR="00B211A2" w:rsidRDefault="00B211A2" w:rsidP="00B211A2">
      <w:pPr>
        <w:rPr>
          <w:rFonts w:ascii="Arial" w:hAnsi="Arial" w:cs="Arial"/>
          <w:sz w:val="22"/>
        </w:rPr>
      </w:pPr>
    </w:p>
    <w:p w14:paraId="7AE4E55E" w14:textId="77777777" w:rsidR="00B211A2" w:rsidRDefault="00B211A2" w:rsidP="00B211A2">
      <w:pPr>
        <w:rPr>
          <w:rFonts w:ascii="Arial" w:hAnsi="Arial" w:cs="Arial"/>
          <w:sz w:val="22"/>
        </w:rPr>
      </w:pPr>
    </w:p>
    <w:p w14:paraId="50C724F4" w14:textId="77777777" w:rsidR="00B211A2" w:rsidRDefault="00B211A2" w:rsidP="00B211A2">
      <w:pPr>
        <w:rPr>
          <w:rFonts w:ascii="Arial" w:hAnsi="Arial" w:cs="Arial"/>
          <w:sz w:val="22"/>
        </w:rPr>
      </w:pPr>
    </w:p>
    <w:p w14:paraId="214D9462" w14:textId="77777777" w:rsidR="00B211A2" w:rsidRDefault="00B211A2" w:rsidP="00B211A2">
      <w:pPr>
        <w:rPr>
          <w:rFonts w:ascii="Arial" w:hAnsi="Arial" w:cs="Arial"/>
          <w:sz w:val="22"/>
        </w:rPr>
      </w:pPr>
    </w:p>
    <w:p w14:paraId="5D356F30" w14:textId="77777777" w:rsidR="00B211A2" w:rsidRDefault="00B211A2" w:rsidP="00B211A2">
      <w:pPr>
        <w:rPr>
          <w:rFonts w:ascii="Arial" w:hAnsi="Arial" w:cs="Arial"/>
          <w:sz w:val="22"/>
        </w:rPr>
      </w:pPr>
    </w:p>
    <w:p w14:paraId="6191B14E" w14:textId="77777777" w:rsidR="00B211A2" w:rsidRDefault="00B211A2" w:rsidP="00B211A2">
      <w:pPr>
        <w:rPr>
          <w:rFonts w:ascii="Arial" w:hAnsi="Arial" w:cs="Arial"/>
          <w:sz w:val="22"/>
        </w:rPr>
      </w:pPr>
    </w:p>
    <w:p w14:paraId="515CAD17" w14:textId="77777777" w:rsidR="00B211A2" w:rsidRDefault="00B211A2" w:rsidP="00B211A2">
      <w:pPr>
        <w:rPr>
          <w:rFonts w:ascii="Arial" w:hAnsi="Arial" w:cs="Arial"/>
          <w:sz w:val="22"/>
        </w:rPr>
      </w:pPr>
    </w:p>
    <w:p w14:paraId="3A15943C" w14:textId="77777777" w:rsidR="00B211A2" w:rsidRDefault="00B211A2" w:rsidP="00B211A2">
      <w:pPr>
        <w:rPr>
          <w:rFonts w:ascii="Arial" w:hAnsi="Arial" w:cs="Arial"/>
          <w:sz w:val="22"/>
        </w:rPr>
      </w:pPr>
    </w:p>
    <w:p w14:paraId="25C9072A" w14:textId="77777777" w:rsidR="00B211A2" w:rsidRDefault="00B211A2" w:rsidP="00B211A2">
      <w:pPr>
        <w:rPr>
          <w:rFonts w:ascii="Arial" w:hAnsi="Arial" w:cs="Arial"/>
          <w:sz w:val="22"/>
        </w:rPr>
      </w:pPr>
    </w:p>
    <w:p w14:paraId="3B1CF6B2" w14:textId="441DFE9D" w:rsidR="00B211A2" w:rsidRPr="004374DE" w:rsidRDefault="00B211A2" w:rsidP="00B211A2">
      <w:pPr>
        <w:rPr>
          <w:rFonts w:ascii="Arial" w:eastAsia="Arial" w:hAnsi="Arial" w:cs="Arial"/>
          <w:b/>
          <w:bCs/>
          <w:sz w:val="22"/>
          <w:lang w:val="es-ES"/>
        </w:rPr>
      </w:pPr>
      <w:r w:rsidRPr="004374DE">
        <w:rPr>
          <w:rFonts w:ascii="Arial" w:hAnsi="Arial" w:cs="Arial"/>
          <w:sz w:val="22"/>
          <w:szCs w:val="20"/>
          <w:lang w:val="es-ES"/>
        </w:rPr>
        <w:lastRenderedPageBreak/>
        <w:t>Bogotá D.C.</w:t>
      </w:r>
      <w:bookmarkEnd w:id="0"/>
      <w:r w:rsidRPr="004374DE">
        <w:rPr>
          <w:rFonts w:ascii="Arial" w:hAnsi="Arial" w:cs="Arial"/>
          <w:sz w:val="22"/>
          <w:szCs w:val="20"/>
          <w:lang w:val="es-ES"/>
        </w:rPr>
        <w:t xml:space="preserve">, </w:t>
      </w:r>
      <w:r w:rsidR="00F542C2">
        <w:rPr>
          <w:rFonts w:ascii="Arial" w:eastAsia="Arial" w:hAnsi="Arial" w:cs="Arial"/>
          <w:b/>
          <w:bCs/>
          <w:sz w:val="22"/>
          <w:lang w:val="es-ES"/>
        </w:rPr>
        <w:t>15/06/2021</w:t>
      </w:r>
    </w:p>
    <w:p w14:paraId="6130E27A" w14:textId="77777777" w:rsidR="00B211A2" w:rsidRPr="004374DE" w:rsidRDefault="00B211A2" w:rsidP="00B211A2">
      <w:pPr>
        <w:spacing w:line="276" w:lineRule="auto"/>
        <w:rPr>
          <w:rFonts w:ascii="Arial" w:eastAsia="Arial" w:hAnsi="Arial" w:cs="Arial"/>
          <w:b/>
          <w:sz w:val="22"/>
          <w:lang w:val="es-ES"/>
        </w:rPr>
      </w:pPr>
    </w:p>
    <w:p w14:paraId="2B231738" w14:textId="702555AD" w:rsidR="009E73B5" w:rsidRPr="00BF2545" w:rsidRDefault="00F542C2" w:rsidP="00F542C2">
      <w:pPr>
        <w:jc w:val="right"/>
        <w:rPr>
          <w:rFonts w:ascii="Arial" w:eastAsia="Calibri" w:hAnsi="Arial" w:cs="Arial"/>
          <w:sz w:val="22"/>
        </w:rPr>
      </w:pPr>
      <w:r>
        <w:rPr>
          <w:rFonts w:ascii="Times New Roman"/>
          <w:noProof/>
          <w:sz w:val="20"/>
        </w:rPr>
        <w:drawing>
          <wp:inline distT="0" distB="0" distL="0" distR="0" wp14:anchorId="6354CBBA" wp14:editId="47187E67">
            <wp:extent cx="2372585" cy="6088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2585" cy="608837"/>
                    </a:xfrm>
                    <a:prstGeom prst="rect">
                      <a:avLst/>
                    </a:prstGeom>
                  </pic:spPr>
                </pic:pic>
              </a:graphicData>
            </a:graphic>
          </wp:inline>
        </w:drawing>
      </w:r>
    </w:p>
    <w:p w14:paraId="2097EFDF" w14:textId="5944F9B5" w:rsidR="005A79FE" w:rsidRPr="00BF2545" w:rsidRDefault="005A79FE" w:rsidP="005A79FE">
      <w:pPr>
        <w:rPr>
          <w:rFonts w:ascii="Arial" w:eastAsia="Calibri" w:hAnsi="Arial" w:cs="Arial"/>
          <w:sz w:val="22"/>
        </w:rPr>
      </w:pPr>
      <w:r w:rsidRPr="00BF2545">
        <w:rPr>
          <w:rFonts w:ascii="Arial" w:eastAsia="Calibri" w:hAnsi="Arial" w:cs="Arial"/>
          <w:sz w:val="22"/>
        </w:rPr>
        <w:t>Señor</w:t>
      </w:r>
      <w:r w:rsidR="00EE6BB2" w:rsidRPr="00BF2545">
        <w:rPr>
          <w:rFonts w:ascii="Arial" w:eastAsia="Calibri" w:hAnsi="Arial" w:cs="Arial"/>
          <w:sz w:val="22"/>
        </w:rPr>
        <w:t>a</w:t>
      </w:r>
    </w:p>
    <w:p w14:paraId="7FDA027E" w14:textId="26AA5B28" w:rsidR="005A79FE" w:rsidRPr="00BF2545" w:rsidRDefault="00B211A2" w:rsidP="005A79FE">
      <w:pPr>
        <w:rPr>
          <w:rFonts w:ascii="Arial" w:eastAsia="Calibri" w:hAnsi="Arial" w:cs="Arial"/>
          <w:b/>
          <w:sz w:val="22"/>
        </w:rPr>
      </w:pPr>
      <w:r>
        <w:rPr>
          <w:rFonts w:ascii="Arial" w:eastAsia="Calibri" w:hAnsi="Arial" w:cs="Arial"/>
          <w:b/>
          <w:sz w:val="22"/>
        </w:rPr>
        <w:t>Edel Urieta Hurtado</w:t>
      </w:r>
    </w:p>
    <w:p w14:paraId="699E9CB9" w14:textId="431E3C03" w:rsidR="005A79FE" w:rsidRPr="00BF2545" w:rsidRDefault="00B211A2" w:rsidP="005A79FE">
      <w:pPr>
        <w:rPr>
          <w:rFonts w:ascii="Arial" w:eastAsia="Calibri" w:hAnsi="Arial" w:cs="Arial"/>
          <w:sz w:val="22"/>
        </w:rPr>
      </w:pPr>
      <w:r>
        <w:rPr>
          <w:rFonts w:ascii="Arial" w:eastAsia="Calibri" w:hAnsi="Arial" w:cs="Arial"/>
          <w:sz w:val="22"/>
        </w:rPr>
        <w:t>Cartagena</w:t>
      </w:r>
      <w:r w:rsidR="000D40BF" w:rsidRPr="00BF2545">
        <w:rPr>
          <w:rFonts w:ascii="Arial" w:eastAsia="Calibri" w:hAnsi="Arial" w:cs="Arial"/>
          <w:sz w:val="22"/>
        </w:rPr>
        <w:t xml:space="preserve">, </w:t>
      </w:r>
      <w:r>
        <w:rPr>
          <w:rFonts w:ascii="Arial" w:eastAsia="Calibri" w:hAnsi="Arial" w:cs="Arial"/>
          <w:sz w:val="22"/>
        </w:rPr>
        <w:t xml:space="preserve">Bolívar </w:t>
      </w:r>
    </w:p>
    <w:p w14:paraId="3663B1CE" w14:textId="77777777" w:rsidR="00BB755B" w:rsidRPr="00BF2545" w:rsidRDefault="00BB755B" w:rsidP="005A79FE">
      <w:pPr>
        <w:rPr>
          <w:rFonts w:ascii="Arial" w:eastAsia="Calibri" w:hAnsi="Arial" w:cs="Arial"/>
          <w:sz w:val="22"/>
        </w:rPr>
      </w:pPr>
    </w:p>
    <w:p w14:paraId="04EF5647" w14:textId="2073A8EF" w:rsidR="005A79FE" w:rsidRPr="00BF2545" w:rsidRDefault="003142D9" w:rsidP="003D2AED">
      <w:pPr>
        <w:rPr>
          <w:rFonts w:ascii="Arial" w:eastAsia="Calibri" w:hAnsi="Arial" w:cs="Arial"/>
          <w:b/>
          <w:sz w:val="22"/>
        </w:rPr>
      </w:pPr>
      <w:r w:rsidRPr="00BF2545">
        <w:rPr>
          <w:rFonts w:ascii="Arial" w:eastAsia="Calibri" w:hAnsi="Arial" w:cs="Arial"/>
          <w:b/>
          <w:sz w:val="22"/>
        </w:rPr>
        <w:t xml:space="preserve">                                            </w:t>
      </w:r>
      <w:r w:rsidR="005A79FE" w:rsidRPr="00BF2545">
        <w:rPr>
          <w:rFonts w:ascii="Arial" w:eastAsia="Calibri" w:hAnsi="Arial" w:cs="Arial"/>
          <w:b/>
          <w:sz w:val="22"/>
        </w:rPr>
        <w:t xml:space="preserve">Concepto C ─ </w:t>
      </w:r>
      <w:r w:rsidR="00750285">
        <w:rPr>
          <w:rFonts w:ascii="Arial" w:eastAsia="Calibri" w:hAnsi="Arial" w:cs="Arial"/>
          <w:b/>
          <w:sz w:val="22"/>
        </w:rPr>
        <w:t>303</w:t>
      </w:r>
      <w:r w:rsidR="005A79FE" w:rsidRPr="00BF2545">
        <w:rPr>
          <w:rFonts w:ascii="Arial" w:eastAsia="Calibri" w:hAnsi="Arial" w:cs="Arial"/>
          <w:b/>
          <w:sz w:val="22"/>
        </w:rPr>
        <w:t xml:space="preserve"> de 2020</w:t>
      </w:r>
    </w:p>
    <w:p w14:paraId="224B5EF8" w14:textId="77777777" w:rsidR="009E73B5" w:rsidRPr="00BF2545" w:rsidRDefault="009E73B5"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00417" w:rsidRPr="00BF2545" w14:paraId="21699201" w14:textId="77777777" w:rsidTr="00875624">
        <w:tc>
          <w:tcPr>
            <w:tcW w:w="2689" w:type="dxa"/>
            <w:hideMark/>
          </w:tcPr>
          <w:p w14:paraId="26712367" w14:textId="77777777" w:rsidR="005A79FE" w:rsidRPr="00BF2545" w:rsidRDefault="005A79FE" w:rsidP="00F90FA9">
            <w:pPr>
              <w:rPr>
                <w:rFonts w:ascii="Arial" w:eastAsia="Calibri" w:hAnsi="Arial" w:cs="Arial"/>
                <w:sz w:val="22"/>
              </w:rPr>
            </w:pPr>
            <w:r w:rsidRPr="00BF2545">
              <w:rPr>
                <w:rFonts w:ascii="Arial" w:eastAsia="Calibri" w:hAnsi="Arial" w:cs="Arial"/>
                <w:b/>
                <w:sz w:val="22"/>
              </w:rPr>
              <w:t>Temas:</w:t>
            </w:r>
            <w:r w:rsidRPr="00BF2545">
              <w:rPr>
                <w:rFonts w:ascii="Arial" w:eastAsia="Calibri" w:hAnsi="Arial" w:cs="Arial"/>
                <w:sz w:val="22"/>
              </w:rPr>
              <w:t xml:space="preserve">           </w:t>
            </w:r>
          </w:p>
          <w:p w14:paraId="5D67F5C4" w14:textId="77777777" w:rsidR="005A79FE" w:rsidRPr="00BF2545" w:rsidRDefault="005A79FE" w:rsidP="00F90FA9">
            <w:pPr>
              <w:rPr>
                <w:rFonts w:ascii="Arial" w:eastAsia="Calibri" w:hAnsi="Arial" w:cs="Arial"/>
                <w:sz w:val="22"/>
              </w:rPr>
            </w:pPr>
            <w:r w:rsidRPr="00BF2545">
              <w:rPr>
                <w:rFonts w:ascii="Arial" w:eastAsia="Calibri" w:hAnsi="Arial" w:cs="Arial"/>
                <w:sz w:val="22"/>
              </w:rPr>
              <w:t xml:space="preserve">                           </w:t>
            </w:r>
          </w:p>
        </w:tc>
        <w:tc>
          <w:tcPr>
            <w:tcW w:w="6237" w:type="dxa"/>
          </w:tcPr>
          <w:p w14:paraId="784C47C0" w14:textId="76CFDD81" w:rsidR="005A79FE" w:rsidRPr="00BF2545" w:rsidRDefault="00EB7A4F" w:rsidP="003D2AED">
            <w:pPr>
              <w:spacing w:after="120"/>
              <w:jc w:val="both"/>
              <w:rPr>
                <w:rFonts w:ascii="Arial" w:hAnsi="Arial" w:cs="Arial"/>
                <w:color w:val="000000"/>
                <w:sz w:val="22"/>
              </w:rPr>
            </w:pPr>
            <w:r w:rsidRPr="00BF2545">
              <w:rPr>
                <w:rFonts w:ascii="Arial" w:eastAsia="Calibri" w:hAnsi="Arial" w:cs="Arial" w:hint="eastAsia"/>
                <w:sz w:val="22"/>
              </w:rPr>
              <w:t xml:space="preserve">CONTRATO ESTATAL </w:t>
            </w:r>
            <w:r w:rsidRPr="00BF2545">
              <w:rPr>
                <w:rFonts w:ascii="Arial" w:eastAsia="Calibri" w:hAnsi="Arial" w:cs="Arial" w:hint="eastAsia"/>
                <w:sz w:val="22"/>
              </w:rPr>
              <w:t>─</w:t>
            </w:r>
            <w:r w:rsidRPr="00BF2545">
              <w:rPr>
                <w:rFonts w:ascii="Arial" w:eastAsia="Calibri" w:hAnsi="Arial" w:cs="Arial" w:hint="eastAsia"/>
                <w:sz w:val="22"/>
              </w:rPr>
              <w:t xml:space="preserve"> Finalidad</w:t>
            </w:r>
            <w:r w:rsidRPr="00BF2545">
              <w:rPr>
                <w:rFonts w:ascii="Arial" w:eastAsia="Calibri" w:hAnsi="Arial" w:cs="Arial"/>
                <w:sz w:val="22"/>
              </w:rPr>
              <w:t xml:space="preserve"> / PROCEDIMIENTO CONTRACTUAL – Carácter reglado / PROCEDIMIENTO CONTRACTUAL – Principio de economía / PROCEDIMIENTO CONTRACTUAL – Modalidades de trámite / PROCEDIMIENTO CONTRACTUAL – SECOP / SECOP – Prohibición de duplicar información / INTERPRETACIÓN DEL CONTRATO ESTATAL – Reglas</w:t>
            </w:r>
          </w:p>
        </w:tc>
      </w:tr>
      <w:tr w:rsidR="005A79FE" w:rsidRPr="00BF2545" w14:paraId="7C0A7D18" w14:textId="77777777" w:rsidTr="00F90FA9">
        <w:tc>
          <w:tcPr>
            <w:tcW w:w="2689" w:type="dxa"/>
          </w:tcPr>
          <w:p w14:paraId="6A12F093" w14:textId="77777777" w:rsidR="005A79FE" w:rsidRPr="00BF2545" w:rsidRDefault="005A79FE" w:rsidP="009E73B5">
            <w:pPr>
              <w:spacing w:before="60"/>
              <w:rPr>
                <w:rFonts w:ascii="Arial" w:eastAsia="Calibri" w:hAnsi="Arial" w:cs="Arial"/>
                <w:b/>
                <w:sz w:val="22"/>
              </w:rPr>
            </w:pPr>
            <w:r w:rsidRPr="00BF2545">
              <w:rPr>
                <w:rFonts w:ascii="Arial" w:eastAsia="Calibri" w:hAnsi="Arial" w:cs="Arial"/>
                <w:b/>
                <w:sz w:val="22"/>
              </w:rPr>
              <w:t>Radicación:</w:t>
            </w:r>
            <w:r w:rsidRPr="00BF2545">
              <w:rPr>
                <w:rFonts w:ascii="Arial" w:eastAsia="Calibri" w:hAnsi="Arial" w:cs="Arial"/>
                <w:sz w:val="22"/>
              </w:rPr>
              <w:t xml:space="preserve">                              </w:t>
            </w:r>
          </w:p>
        </w:tc>
        <w:tc>
          <w:tcPr>
            <w:tcW w:w="6237" w:type="dxa"/>
          </w:tcPr>
          <w:p w14:paraId="73A42ACA" w14:textId="0309B94B" w:rsidR="005A79FE" w:rsidRPr="00BF2545" w:rsidRDefault="001139C4" w:rsidP="009E73B5">
            <w:pPr>
              <w:spacing w:before="60"/>
              <w:jc w:val="both"/>
              <w:rPr>
                <w:rFonts w:ascii="Arial" w:eastAsia="Calibri" w:hAnsi="Arial" w:cs="Arial"/>
                <w:sz w:val="22"/>
              </w:rPr>
            </w:pPr>
            <w:r w:rsidRPr="00BF2545">
              <w:rPr>
                <w:rFonts w:ascii="Arial" w:eastAsia="Calibri" w:hAnsi="Arial" w:cs="Arial"/>
                <w:sz w:val="22"/>
              </w:rPr>
              <w:t xml:space="preserve">Respuesta a consulta </w:t>
            </w:r>
            <w:r w:rsidR="00B211A2" w:rsidRPr="00B211A2">
              <w:rPr>
                <w:rFonts w:ascii="Arial" w:eastAsia="Calibri" w:hAnsi="Arial" w:cs="Arial"/>
                <w:sz w:val="22"/>
              </w:rPr>
              <w:t>P20210429003702</w:t>
            </w:r>
          </w:p>
        </w:tc>
      </w:tr>
    </w:tbl>
    <w:p w14:paraId="396DE958" w14:textId="77777777" w:rsidR="005A79FE" w:rsidRPr="00BF2545" w:rsidRDefault="005A79FE" w:rsidP="009E73B5">
      <w:pPr>
        <w:spacing w:before="60"/>
        <w:jc w:val="both"/>
        <w:rPr>
          <w:rFonts w:ascii="Arial" w:eastAsia="Calibri" w:hAnsi="Arial" w:cs="Arial"/>
          <w:sz w:val="22"/>
        </w:rPr>
      </w:pPr>
    </w:p>
    <w:p w14:paraId="657E7EE7" w14:textId="1BE64653" w:rsidR="005A79FE" w:rsidRPr="00BF2545" w:rsidRDefault="005A79FE" w:rsidP="005A79FE">
      <w:pPr>
        <w:rPr>
          <w:rFonts w:ascii="Arial" w:eastAsia="Calibri" w:hAnsi="Arial" w:cs="Arial"/>
          <w:sz w:val="22"/>
        </w:rPr>
      </w:pPr>
      <w:r w:rsidRPr="00BF2545">
        <w:rPr>
          <w:rFonts w:ascii="Arial" w:eastAsia="Calibri" w:hAnsi="Arial" w:cs="Arial"/>
          <w:sz w:val="22"/>
        </w:rPr>
        <w:t>Estimad</w:t>
      </w:r>
      <w:r w:rsidR="003F5631" w:rsidRPr="00BF2545">
        <w:rPr>
          <w:rFonts w:ascii="Arial" w:eastAsia="Calibri" w:hAnsi="Arial" w:cs="Arial"/>
          <w:sz w:val="22"/>
        </w:rPr>
        <w:t>a</w:t>
      </w:r>
      <w:r w:rsidR="00626304" w:rsidRPr="00BF2545">
        <w:rPr>
          <w:rFonts w:ascii="Arial" w:eastAsia="Calibri" w:hAnsi="Arial" w:cs="Arial"/>
          <w:sz w:val="22"/>
        </w:rPr>
        <w:t xml:space="preserve"> señor</w:t>
      </w:r>
      <w:r w:rsidR="003F5631" w:rsidRPr="00BF2545">
        <w:rPr>
          <w:rFonts w:ascii="Arial" w:eastAsia="Calibri" w:hAnsi="Arial" w:cs="Arial"/>
          <w:sz w:val="22"/>
        </w:rPr>
        <w:t>a</w:t>
      </w:r>
      <w:r w:rsidR="00626304" w:rsidRPr="00BF2545">
        <w:rPr>
          <w:rFonts w:ascii="Arial" w:eastAsia="Calibri" w:hAnsi="Arial" w:cs="Arial"/>
          <w:sz w:val="22"/>
        </w:rPr>
        <w:t xml:space="preserve"> </w:t>
      </w:r>
      <w:r w:rsidR="00B211A2">
        <w:rPr>
          <w:rFonts w:ascii="Arial" w:eastAsia="Calibri" w:hAnsi="Arial" w:cs="Arial"/>
          <w:sz w:val="22"/>
        </w:rPr>
        <w:t>Urieta</w:t>
      </w:r>
      <w:r w:rsidRPr="00BF2545">
        <w:rPr>
          <w:rFonts w:ascii="Arial" w:eastAsia="Calibri" w:hAnsi="Arial" w:cs="Arial"/>
          <w:sz w:val="22"/>
        </w:rPr>
        <w:t>,</w:t>
      </w:r>
    </w:p>
    <w:p w14:paraId="40D74C98" w14:textId="77777777" w:rsidR="005A79FE" w:rsidRPr="00BF2545" w:rsidRDefault="005A79FE" w:rsidP="005A79FE">
      <w:pPr>
        <w:rPr>
          <w:rFonts w:ascii="Arial" w:eastAsia="Calibri" w:hAnsi="Arial" w:cs="Arial"/>
          <w:sz w:val="22"/>
        </w:rPr>
      </w:pPr>
    </w:p>
    <w:p w14:paraId="1EA2338B" w14:textId="53950679" w:rsidR="005A79FE" w:rsidRPr="00BF2545" w:rsidRDefault="00B06DB6" w:rsidP="0031564F">
      <w:pPr>
        <w:spacing w:line="276" w:lineRule="auto"/>
        <w:ind w:right="49"/>
        <w:jc w:val="both"/>
        <w:rPr>
          <w:rFonts w:ascii="Arial" w:eastAsia="Calibri" w:hAnsi="Arial" w:cs="Arial"/>
          <w:sz w:val="22"/>
        </w:rPr>
      </w:pPr>
      <w:r w:rsidRPr="00BF2545">
        <w:rPr>
          <w:rFonts w:ascii="Arial" w:eastAsia="Calibri" w:hAnsi="Arial" w:cs="Arial"/>
          <w:sz w:val="22"/>
        </w:rPr>
        <w:t>En ejercicio de la competencia otorgada por el numeral 8 del artículo 11 y el numeral 5 del artículo 3 del Decreto Ley 4170 de 2011, l</w:t>
      </w:r>
      <w:r w:rsidR="005A79FE" w:rsidRPr="00BF2545">
        <w:rPr>
          <w:rFonts w:ascii="Arial" w:eastAsia="Calibri" w:hAnsi="Arial" w:cs="Arial"/>
          <w:sz w:val="22"/>
        </w:rPr>
        <w:t xml:space="preserve">a Agencia Nacional de Contratación Pública ―Colombia Compra Eficiente― responde su consulta del </w:t>
      </w:r>
      <w:r w:rsidR="003F5631" w:rsidRPr="00BF2545">
        <w:rPr>
          <w:rFonts w:ascii="Arial" w:eastAsia="Calibri" w:hAnsi="Arial" w:cs="Arial"/>
          <w:sz w:val="22"/>
        </w:rPr>
        <w:t>2</w:t>
      </w:r>
      <w:r w:rsidR="00B211A2">
        <w:rPr>
          <w:rFonts w:ascii="Arial" w:eastAsia="Calibri" w:hAnsi="Arial" w:cs="Arial"/>
          <w:sz w:val="22"/>
        </w:rPr>
        <w:t>9</w:t>
      </w:r>
      <w:r w:rsidRPr="00BF2545">
        <w:rPr>
          <w:rFonts w:ascii="Arial" w:eastAsia="Calibri" w:hAnsi="Arial" w:cs="Arial"/>
          <w:sz w:val="22"/>
        </w:rPr>
        <w:t xml:space="preserve"> de abril</w:t>
      </w:r>
      <w:r w:rsidR="005A79FE" w:rsidRPr="00BF2545">
        <w:rPr>
          <w:rFonts w:ascii="Arial" w:eastAsia="Calibri" w:hAnsi="Arial" w:cs="Arial"/>
          <w:sz w:val="22"/>
        </w:rPr>
        <w:t xml:space="preserve"> de 20</w:t>
      </w:r>
      <w:r w:rsidR="00251051" w:rsidRPr="00BF2545">
        <w:rPr>
          <w:rFonts w:ascii="Arial" w:eastAsia="Calibri" w:hAnsi="Arial" w:cs="Arial"/>
          <w:sz w:val="22"/>
        </w:rPr>
        <w:t>2</w:t>
      </w:r>
      <w:r w:rsidR="00B211A2">
        <w:rPr>
          <w:rFonts w:ascii="Arial" w:eastAsia="Calibri" w:hAnsi="Arial" w:cs="Arial"/>
          <w:sz w:val="22"/>
        </w:rPr>
        <w:t>1</w:t>
      </w:r>
      <w:r w:rsidR="005A79FE" w:rsidRPr="00BF2545">
        <w:rPr>
          <w:rFonts w:ascii="Arial" w:eastAsia="Calibri" w:hAnsi="Arial" w:cs="Arial"/>
          <w:sz w:val="22"/>
        </w:rPr>
        <w:t xml:space="preserve">. </w:t>
      </w:r>
    </w:p>
    <w:p w14:paraId="4FA02A8B" w14:textId="77777777" w:rsidR="005A79FE" w:rsidRPr="00BF2545" w:rsidRDefault="005A79FE" w:rsidP="005A79FE">
      <w:pPr>
        <w:spacing w:line="276" w:lineRule="auto"/>
        <w:jc w:val="both"/>
        <w:rPr>
          <w:rFonts w:ascii="Arial" w:eastAsia="Calibri" w:hAnsi="Arial" w:cs="Arial"/>
          <w:sz w:val="22"/>
        </w:rPr>
      </w:pPr>
    </w:p>
    <w:p w14:paraId="4E8D0889" w14:textId="77777777" w:rsidR="005A79FE" w:rsidRPr="00BF2545"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BF2545">
        <w:rPr>
          <w:rFonts w:ascii="Arial" w:eastAsia="Calibri" w:hAnsi="Arial" w:cs="Arial"/>
          <w:b/>
          <w:sz w:val="22"/>
        </w:rPr>
        <w:t xml:space="preserve">Problemas planteados </w:t>
      </w:r>
    </w:p>
    <w:p w14:paraId="138D5B25" w14:textId="77777777" w:rsidR="005A79FE" w:rsidRPr="00BF2545" w:rsidRDefault="005A79FE" w:rsidP="005A79FE">
      <w:pPr>
        <w:tabs>
          <w:tab w:val="left" w:pos="426"/>
        </w:tabs>
        <w:spacing w:line="276" w:lineRule="auto"/>
        <w:jc w:val="both"/>
        <w:rPr>
          <w:rFonts w:ascii="Arial" w:eastAsia="Calibri" w:hAnsi="Arial" w:cs="Arial"/>
          <w:b/>
          <w:sz w:val="22"/>
        </w:rPr>
      </w:pPr>
    </w:p>
    <w:p w14:paraId="30EE5915" w14:textId="3329684E" w:rsidR="005A79FE" w:rsidRPr="00BF2545" w:rsidRDefault="005A79FE" w:rsidP="004B40B0">
      <w:pPr>
        <w:tabs>
          <w:tab w:val="left" w:pos="426"/>
        </w:tabs>
        <w:spacing w:line="276" w:lineRule="auto"/>
        <w:jc w:val="both"/>
        <w:rPr>
          <w:rFonts w:ascii="Arial" w:eastAsia="Calibri" w:hAnsi="Arial" w:cs="Arial"/>
          <w:sz w:val="22"/>
        </w:rPr>
      </w:pPr>
      <w:r w:rsidRPr="00BF2545">
        <w:rPr>
          <w:rFonts w:ascii="Arial" w:eastAsia="Calibri" w:hAnsi="Arial" w:cs="Arial"/>
          <w:sz w:val="22"/>
        </w:rPr>
        <w:t xml:space="preserve">Usted realiza la siguiente pregunta: </w:t>
      </w:r>
      <w:r w:rsidR="00CB2EE0" w:rsidRPr="00BF2545">
        <w:rPr>
          <w:rFonts w:ascii="Arial" w:eastAsia="Calibri" w:hAnsi="Arial" w:cs="Arial"/>
          <w:sz w:val="22"/>
        </w:rPr>
        <w:t>«</w:t>
      </w:r>
      <w:r w:rsidR="00B211A2" w:rsidRPr="00B211A2">
        <w:rPr>
          <w:rFonts w:ascii="Arial" w:eastAsia="Calibri" w:hAnsi="Arial" w:cs="Arial"/>
          <w:sz w:val="22"/>
        </w:rPr>
        <w:t>¿Qué pliego de condiciones tienen prevalencia en un proceso de contratacion</w:t>
      </w:r>
      <w:r w:rsidR="005B6B25">
        <w:rPr>
          <w:rFonts w:ascii="Arial" w:eastAsia="Calibri" w:hAnsi="Arial" w:cs="Arial"/>
          <w:sz w:val="22"/>
        </w:rPr>
        <w:t xml:space="preserve"> (sic)</w:t>
      </w:r>
      <w:r w:rsidR="00B211A2" w:rsidRPr="00B211A2">
        <w:rPr>
          <w:rFonts w:ascii="Arial" w:eastAsia="Calibri" w:hAnsi="Arial" w:cs="Arial"/>
          <w:sz w:val="22"/>
        </w:rPr>
        <w:t xml:space="preserve"> publicado en la plataforma del Secop2</w:t>
      </w:r>
      <w:r w:rsidR="00B211A2">
        <w:rPr>
          <w:rFonts w:ascii="Arial" w:eastAsia="Calibri" w:hAnsi="Arial" w:cs="Arial"/>
          <w:sz w:val="22"/>
        </w:rPr>
        <w:t xml:space="preserve"> (sic)</w:t>
      </w:r>
      <w:r w:rsidR="00B211A2" w:rsidRPr="00B211A2">
        <w:rPr>
          <w:rFonts w:ascii="Arial" w:eastAsia="Calibri" w:hAnsi="Arial" w:cs="Arial"/>
          <w:sz w:val="22"/>
        </w:rPr>
        <w:t>, el pliego electronico</w:t>
      </w:r>
      <w:r w:rsidR="00B211A2">
        <w:rPr>
          <w:rFonts w:ascii="Arial" w:eastAsia="Calibri" w:hAnsi="Arial" w:cs="Arial"/>
          <w:sz w:val="22"/>
        </w:rPr>
        <w:t xml:space="preserve"> (sic)</w:t>
      </w:r>
      <w:r w:rsidR="00B211A2" w:rsidRPr="00B211A2">
        <w:rPr>
          <w:rFonts w:ascii="Arial" w:eastAsia="Calibri" w:hAnsi="Arial" w:cs="Arial"/>
          <w:sz w:val="22"/>
        </w:rPr>
        <w:t xml:space="preserve"> del Secop2</w:t>
      </w:r>
      <w:r w:rsidR="00B211A2">
        <w:rPr>
          <w:rFonts w:ascii="Arial" w:eastAsia="Calibri" w:hAnsi="Arial" w:cs="Arial"/>
          <w:sz w:val="22"/>
        </w:rPr>
        <w:t xml:space="preserve"> (sic)</w:t>
      </w:r>
      <w:r w:rsidR="00B211A2" w:rsidRPr="00B211A2">
        <w:rPr>
          <w:rFonts w:ascii="Arial" w:eastAsia="Calibri" w:hAnsi="Arial" w:cs="Arial"/>
          <w:sz w:val="22"/>
        </w:rPr>
        <w:t xml:space="preserve"> o el pliego de condiciones como documento adjunto al proceso de contratacion</w:t>
      </w:r>
      <w:r w:rsidR="000C6C4A">
        <w:rPr>
          <w:rFonts w:ascii="Arial" w:eastAsia="Calibri" w:hAnsi="Arial" w:cs="Arial"/>
          <w:sz w:val="22"/>
        </w:rPr>
        <w:t xml:space="preserve"> (sic)</w:t>
      </w:r>
      <w:r w:rsidR="00B211A2" w:rsidRPr="00B211A2">
        <w:rPr>
          <w:rFonts w:ascii="Arial" w:eastAsia="Calibri" w:hAnsi="Arial" w:cs="Arial"/>
          <w:sz w:val="22"/>
        </w:rPr>
        <w:t>?</w:t>
      </w:r>
      <w:r w:rsidR="00B211A2">
        <w:rPr>
          <w:rFonts w:ascii="Arial" w:eastAsia="Calibri" w:hAnsi="Arial" w:cs="Arial"/>
          <w:sz w:val="22"/>
        </w:rPr>
        <w:t>»</w:t>
      </w:r>
    </w:p>
    <w:p w14:paraId="42DC4EC6" w14:textId="77777777" w:rsidR="005A79FE" w:rsidRPr="00BF2545" w:rsidRDefault="005A79FE" w:rsidP="005A79FE">
      <w:pPr>
        <w:tabs>
          <w:tab w:val="left" w:pos="426"/>
        </w:tabs>
        <w:spacing w:line="276" w:lineRule="auto"/>
        <w:jc w:val="both"/>
        <w:rPr>
          <w:rFonts w:ascii="Arial" w:eastAsia="Calibri" w:hAnsi="Arial" w:cs="Arial"/>
          <w:sz w:val="22"/>
        </w:rPr>
      </w:pPr>
    </w:p>
    <w:p w14:paraId="18C6DB19" w14:textId="11E7C1B2" w:rsidR="005A79FE" w:rsidRPr="00BF2545"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BF2545">
        <w:rPr>
          <w:rFonts w:ascii="Arial" w:eastAsia="Calibri" w:hAnsi="Arial" w:cs="Arial"/>
          <w:b/>
          <w:sz w:val="22"/>
        </w:rPr>
        <w:t>Consideraciones</w:t>
      </w:r>
    </w:p>
    <w:p w14:paraId="02FE9605" w14:textId="77777777" w:rsidR="00604180" w:rsidRPr="00BF2545" w:rsidRDefault="00604180" w:rsidP="00604180">
      <w:pPr>
        <w:pStyle w:val="Prrafodelista"/>
        <w:tabs>
          <w:tab w:val="left" w:pos="426"/>
        </w:tabs>
        <w:spacing w:line="276" w:lineRule="auto"/>
        <w:ind w:left="284"/>
        <w:jc w:val="both"/>
        <w:rPr>
          <w:rFonts w:ascii="Arial" w:eastAsia="Calibri" w:hAnsi="Arial" w:cs="Arial"/>
          <w:b/>
          <w:sz w:val="22"/>
        </w:rPr>
      </w:pPr>
    </w:p>
    <w:p w14:paraId="29D2D8DB" w14:textId="27B16A7A" w:rsidR="000C6C4A" w:rsidRDefault="000C6C4A" w:rsidP="003D2AED">
      <w:pPr>
        <w:spacing w:line="276" w:lineRule="auto"/>
        <w:jc w:val="both"/>
        <w:rPr>
          <w:rFonts w:ascii="Arial" w:hAnsi="Arial" w:cs="Arial"/>
          <w:sz w:val="22"/>
          <w:lang w:val="es-ES"/>
        </w:rPr>
      </w:pPr>
      <w:r w:rsidRPr="00E61113">
        <w:rPr>
          <w:rFonts w:ascii="Arial" w:eastAsia="Calibri" w:hAnsi="Arial" w:cs="Arial"/>
          <w:sz w:val="22"/>
          <w:lang w:val="es-ES"/>
        </w:rPr>
        <w:t xml:space="preserve">Es importante destacar que </w:t>
      </w:r>
      <w:r w:rsidRPr="00E61113">
        <w:rPr>
          <w:rFonts w:ascii="Arial" w:hAnsi="Arial" w:cs="Arial"/>
          <w:sz w:val="22"/>
          <w:lang w:val="es-ES"/>
        </w:rPr>
        <w:t>a Agencia Nacional de Contratación Pública – Colombia Compra Eficiente</w:t>
      </w:r>
      <w:r>
        <w:rPr>
          <w:rFonts w:ascii="Arial" w:hAnsi="Arial" w:cs="Arial"/>
          <w:sz w:val="22"/>
          <w:lang w:val="es-ES"/>
        </w:rPr>
        <w:t xml:space="preserve"> en el concepto C-306 del 4 de junio de 2020, se pronunció sobre el tratamiento que debe dársele a los documentos electrónicos y manuscritos cuando la información contenida en estos es diferente. </w:t>
      </w:r>
      <w:r w:rsidR="005B6B25">
        <w:rPr>
          <w:rFonts w:ascii="Arial" w:hAnsi="Arial" w:cs="Arial"/>
          <w:sz w:val="22"/>
          <w:lang w:val="es-ES"/>
        </w:rPr>
        <w:t>La tesis y argumentos expuestos en dicho concepto se reiteran a continuación:</w:t>
      </w:r>
    </w:p>
    <w:p w14:paraId="109C409F" w14:textId="58B3594C" w:rsidR="00440254" w:rsidRDefault="00440254" w:rsidP="00B7508D">
      <w:pPr>
        <w:spacing w:line="276" w:lineRule="auto"/>
        <w:jc w:val="both"/>
        <w:rPr>
          <w:rFonts w:ascii="Arial" w:eastAsia="Calibri" w:hAnsi="Arial" w:cs="Arial"/>
          <w:sz w:val="22"/>
        </w:rPr>
      </w:pPr>
    </w:p>
    <w:p w14:paraId="7375ACBF" w14:textId="77777777" w:rsidR="007F6091" w:rsidRPr="00BF2545" w:rsidRDefault="007F6091" w:rsidP="00B7508D">
      <w:pPr>
        <w:spacing w:line="276" w:lineRule="auto"/>
        <w:jc w:val="both"/>
        <w:rPr>
          <w:rFonts w:ascii="Arial" w:eastAsia="Calibri" w:hAnsi="Arial" w:cs="Arial"/>
          <w:sz w:val="22"/>
        </w:rPr>
      </w:pPr>
    </w:p>
    <w:p w14:paraId="01450E1A" w14:textId="69EA5693" w:rsidR="00440254" w:rsidRPr="00BF2545" w:rsidRDefault="00440254" w:rsidP="00B7508D">
      <w:pPr>
        <w:spacing w:line="276" w:lineRule="auto"/>
        <w:jc w:val="both"/>
        <w:rPr>
          <w:rFonts w:ascii="Arial" w:eastAsia="Calibri" w:hAnsi="Arial" w:cs="Arial"/>
          <w:b/>
          <w:bCs/>
          <w:sz w:val="22"/>
        </w:rPr>
      </w:pPr>
      <w:r w:rsidRPr="00BF2545">
        <w:rPr>
          <w:rFonts w:ascii="Arial" w:eastAsia="Calibri" w:hAnsi="Arial" w:cs="Arial"/>
          <w:b/>
          <w:bCs/>
          <w:sz w:val="22"/>
        </w:rPr>
        <w:t xml:space="preserve">2.1. </w:t>
      </w:r>
      <w:r w:rsidR="00410C57" w:rsidRPr="00BF2545">
        <w:rPr>
          <w:rFonts w:ascii="Arial" w:eastAsia="Calibri" w:hAnsi="Arial" w:cs="Arial"/>
          <w:b/>
          <w:bCs/>
          <w:sz w:val="22"/>
        </w:rPr>
        <w:t xml:space="preserve">El contrato estatal como herramienta para </w:t>
      </w:r>
      <w:r w:rsidR="00997084" w:rsidRPr="00BF2545">
        <w:rPr>
          <w:rFonts w:ascii="Arial" w:eastAsia="Calibri" w:hAnsi="Arial" w:cs="Arial"/>
          <w:b/>
          <w:bCs/>
          <w:sz w:val="22"/>
        </w:rPr>
        <w:t>la adquisición de bienes y servicios</w:t>
      </w:r>
      <w:r w:rsidR="009704F4">
        <w:rPr>
          <w:rFonts w:ascii="Arial" w:eastAsia="Calibri" w:hAnsi="Arial" w:cs="Arial"/>
          <w:b/>
          <w:bCs/>
          <w:sz w:val="22"/>
        </w:rPr>
        <w:t>:</w:t>
      </w:r>
      <w:r w:rsidR="004413D9">
        <w:rPr>
          <w:rFonts w:ascii="Arial" w:eastAsia="Calibri" w:hAnsi="Arial" w:cs="Arial"/>
          <w:b/>
          <w:bCs/>
          <w:sz w:val="22"/>
        </w:rPr>
        <w:t xml:space="preserve"> su c</w:t>
      </w:r>
      <w:r w:rsidR="005D36DD">
        <w:rPr>
          <w:rFonts w:ascii="Arial" w:eastAsia="Calibri" w:hAnsi="Arial" w:cs="Arial"/>
          <w:b/>
          <w:bCs/>
          <w:sz w:val="22"/>
        </w:rPr>
        <w:t xml:space="preserve">elebración por medios </w:t>
      </w:r>
      <w:r w:rsidR="004413D9">
        <w:rPr>
          <w:rFonts w:ascii="Arial" w:eastAsia="Calibri" w:hAnsi="Arial" w:cs="Arial"/>
          <w:b/>
          <w:bCs/>
          <w:sz w:val="22"/>
        </w:rPr>
        <w:t>electrónicos</w:t>
      </w:r>
    </w:p>
    <w:p w14:paraId="6E44835D" w14:textId="77777777" w:rsidR="00410C57" w:rsidRPr="00BF2545" w:rsidRDefault="00410C57" w:rsidP="00B7508D">
      <w:pPr>
        <w:spacing w:line="276" w:lineRule="auto"/>
        <w:jc w:val="both"/>
        <w:rPr>
          <w:rFonts w:ascii="Arial" w:eastAsia="Calibri" w:hAnsi="Arial" w:cs="Arial"/>
          <w:sz w:val="22"/>
        </w:rPr>
      </w:pPr>
    </w:p>
    <w:p w14:paraId="0459A7FC" w14:textId="7CE78B0A" w:rsidR="005317CF" w:rsidRPr="00BF2545" w:rsidRDefault="00467232" w:rsidP="00A947EE">
      <w:pPr>
        <w:spacing w:after="120" w:line="276" w:lineRule="auto"/>
        <w:jc w:val="both"/>
        <w:rPr>
          <w:rFonts w:ascii="Arial" w:eastAsia="Calibri" w:hAnsi="Arial" w:cs="Arial"/>
          <w:sz w:val="22"/>
        </w:rPr>
      </w:pPr>
      <w:r w:rsidRPr="00BF2545">
        <w:rPr>
          <w:rFonts w:ascii="Arial" w:eastAsia="Calibri" w:hAnsi="Arial" w:cs="Arial"/>
          <w:sz w:val="22"/>
        </w:rPr>
        <w:t xml:space="preserve">La contratación estatal </w:t>
      </w:r>
      <w:r w:rsidR="00A947EE" w:rsidRPr="00BF2545">
        <w:rPr>
          <w:rFonts w:ascii="Arial" w:eastAsia="Calibri" w:hAnsi="Arial" w:cs="Arial"/>
          <w:sz w:val="22"/>
        </w:rPr>
        <w:t>pretende</w:t>
      </w:r>
      <w:r w:rsidR="003B77F7" w:rsidRPr="00BF2545">
        <w:rPr>
          <w:rFonts w:ascii="Arial" w:eastAsia="Calibri" w:hAnsi="Arial" w:cs="Arial"/>
          <w:sz w:val="22"/>
        </w:rPr>
        <w:t xml:space="preserve"> </w:t>
      </w:r>
      <w:r w:rsidR="000A14E4" w:rsidRPr="00BF2545">
        <w:rPr>
          <w:rFonts w:ascii="Arial" w:eastAsia="Calibri" w:hAnsi="Arial" w:cs="Arial"/>
          <w:sz w:val="22"/>
        </w:rPr>
        <w:t>el cumplimiento de los fines estatales, la continua y eficiente prestación de los servicios públicos y la efectividad de los derechos e intereses de los administrados que colaboran con ellas en la consecución de dichos fines</w:t>
      </w:r>
      <w:r w:rsidR="000A14E4" w:rsidRPr="00BF2545">
        <w:rPr>
          <w:rStyle w:val="Refdenotaalpie"/>
          <w:rFonts w:ascii="Arial" w:eastAsia="Calibri" w:hAnsi="Arial" w:cs="Arial"/>
          <w:sz w:val="22"/>
        </w:rPr>
        <w:footnoteReference w:id="1"/>
      </w:r>
      <w:r w:rsidR="007464C3" w:rsidRPr="00BF2545">
        <w:rPr>
          <w:rFonts w:ascii="Arial" w:eastAsia="Calibri" w:hAnsi="Arial" w:cs="Arial"/>
          <w:sz w:val="22"/>
        </w:rPr>
        <w:t xml:space="preserve">. </w:t>
      </w:r>
      <w:r w:rsidR="00A947EE" w:rsidRPr="00BF2545">
        <w:rPr>
          <w:rFonts w:ascii="Arial" w:eastAsia="Calibri" w:hAnsi="Arial" w:cs="Arial"/>
          <w:sz w:val="22"/>
        </w:rPr>
        <w:t>P</w:t>
      </w:r>
      <w:r w:rsidR="00891114" w:rsidRPr="00BF2545">
        <w:rPr>
          <w:rFonts w:ascii="Arial" w:eastAsia="Calibri" w:hAnsi="Arial" w:cs="Arial"/>
          <w:sz w:val="22"/>
        </w:rPr>
        <w:t>ara el</w:t>
      </w:r>
      <w:r w:rsidR="007464C3" w:rsidRPr="00BF2545">
        <w:rPr>
          <w:rFonts w:ascii="Arial" w:eastAsia="Calibri" w:hAnsi="Arial" w:cs="Arial"/>
          <w:sz w:val="22"/>
        </w:rPr>
        <w:t xml:space="preserve"> cumplimiento </w:t>
      </w:r>
      <w:r w:rsidR="00A947EE" w:rsidRPr="00BF2545">
        <w:rPr>
          <w:rFonts w:ascii="Arial" w:eastAsia="Calibri" w:hAnsi="Arial" w:cs="Arial"/>
          <w:sz w:val="22"/>
        </w:rPr>
        <w:t>de estos objetivos</w:t>
      </w:r>
      <w:r w:rsidR="005E6734" w:rsidRPr="00BF2545">
        <w:rPr>
          <w:rFonts w:ascii="Arial" w:eastAsia="Calibri" w:hAnsi="Arial" w:cs="Arial"/>
          <w:sz w:val="22"/>
        </w:rPr>
        <w:t>,</w:t>
      </w:r>
      <w:r w:rsidR="007464C3" w:rsidRPr="00BF2545">
        <w:rPr>
          <w:rFonts w:ascii="Arial" w:eastAsia="Calibri" w:hAnsi="Arial" w:cs="Arial"/>
          <w:sz w:val="22"/>
        </w:rPr>
        <w:t xml:space="preserve"> </w:t>
      </w:r>
      <w:r w:rsidR="00997084" w:rsidRPr="00BF2545">
        <w:rPr>
          <w:rFonts w:ascii="Arial" w:eastAsia="Calibri" w:hAnsi="Arial" w:cs="Arial"/>
          <w:sz w:val="22"/>
        </w:rPr>
        <w:t xml:space="preserve">las entidades públicas </w:t>
      </w:r>
      <w:r w:rsidR="00137384" w:rsidRPr="00BF2545">
        <w:rPr>
          <w:rFonts w:ascii="Arial" w:eastAsia="Calibri" w:hAnsi="Arial" w:cs="Arial"/>
          <w:sz w:val="22"/>
        </w:rPr>
        <w:t>adqui</w:t>
      </w:r>
      <w:r w:rsidR="00A947EE" w:rsidRPr="00BF2545">
        <w:rPr>
          <w:rFonts w:ascii="Arial" w:eastAsia="Calibri" w:hAnsi="Arial" w:cs="Arial"/>
          <w:sz w:val="22"/>
        </w:rPr>
        <w:t>eren</w:t>
      </w:r>
      <w:r w:rsidR="00137384" w:rsidRPr="00BF2545">
        <w:rPr>
          <w:rFonts w:ascii="Arial" w:eastAsia="Calibri" w:hAnsi="Arial" w:cs="Arial"/>
          <w:sz w:val="22"/>
        </w:rPr>
        <w:t xml:space="preserve"> </w:t>
      </w:r>
      <w:r w:rsidR="00997084" w:rsidRPr="00BF2545">
        <w:rPr>
          <w:rFonts w:ascii="Arial" w:eastAsia="Calibri" w:hAnsi="Arial" w:cs="Arial"/>
          <w:sz w:val="22"/>
        </w:rPr>
        <w:t>bienes y servicios</w:t>
      </w:r>
      <w:r w:rsidR="00137384" w:rsidRPr="00BF2545">
        <w:rPr>
          <w:rFonts w:ascii="Arial" w:eastAsia="Calibri" w:hAnsi="Arial" w:cs="Arial"/>
          <w:sz w:val="22"/>
        </w:rPr>
        <w:t xml:space="preserve"> a través de</w:t>
      </w:r>
      <w:r w:rsidR="00997084" w:rsidRPr="00BF2545">
        <w:rPr>
          <w:rFonts w:ascii="Arial" w:eastAsia="Calibri" w:hAnsi="Arial" w:cs="Arial"/>
          <w:sz w:val="22"/>
        </w:rPr>
        <w:t xml:space="preserve"> procedimiento</w:t>
      </w:r>
      <w:r w:rsidR="005317CF" w:rsidRPr="00BF2545">
        <w:rPr>
          <w:rFonts w:ascii="Arial" w:eastAsia="Calibri" w:hAnsi="Arial" w:cs="Arial"/>
          <w:sz w:val="22"/>
        </w:rPr>
        <w:t>s</w:t>
      </w:r>
      <w:r w:rsidR="00A947EE" w:rsidRPr="00BF2545">
        <w:rPr>
          <w:rFonts w:ascii="Arial" w:eastAsia="Calibri" w:hAnsi="Arial" w:cs="Arial"/>
          <w:sz w:val="22"/>
        </w:rPr>
        <w:t xml:space="preserve"> eminentemente</w:t>
      </w:r>
      <w:r w:rsidR="00997084" w:rsidRPr="00BF2545">
        <w:rPr>
          <w:rFonts w:ascii="Arial" w:eastAsia="Calibri" w:hAnsi="Arial" w:cs="Arial"/>
          <w:sz w:val="22"/>
        </w:rPr>
        <w:t xml:space="preserve"> reglado</w:t>
      </w:r>
      <w:r w:rsidR="005317CF" w:rsidRPr="00BF2545">
        <w:rPr>
          <w:rFonts w:ascii="Arial" w:eastAsia="Calibri" w:hAnsi="Arial" w:cs="Arial"/>
          <w:sz w:val="22"/>
        </w:rPr>
        <w:t>s</w:t>
      </w:r>
      <w:r w:rsidR="00137384" w:rsidRPr="00BF2545">
        <w:rPr>
          <w:rFonts w:ascii="Arial" w:eastAsia="Calibri" w:hAnsi="Arial" w:cs="Arial"/>
          <w:sz w:val="22"/>
        </w:rPr>
        <w:t xml:space="preserve">, </w:t>
      </w:r>
      <w:r w:rsidR="00A947EE" w:rsidRPr="00BF2545">
        <w:rPr>
          <w:rFonts w:ascii="Arial" w:eastAsia="Calibri" w:hAnsi="Arial" w:cs="Arial"/>
          <w:sz w:val="22"/>
        </w:rPr>
        <w:t>que reduce</w:t>
      </w:r>
      <w:r w:rsidR="005317CF" w:rsidRPr="00BF2545">
        <w:rPr>
          <w:rFonts w:ascii="Arial" w:eastAsia="Calibri" w:hAnsi="Arial" w:cs="Arial"/>
          <w:sz w:val="22"/>
        </w:rPr>
        <w:t>n</w:t>
      </w:r>
      <w:r w:rsidR="00A947EE" w:rsidRPr="00BF2545">
        <w:rPr>
          <w:rFonts w:ascii="Arial" w:eastAsia="Calibri" w:hAnsi="Arial" w:cs="Arial"/>
          <w:sz w:val="22"/>
        </w:rPr>
        <w:t xml:space="preserve"> el margen de discrecionalidad administrativa</w:t>
      </w:r>
      <w:r w:rsidR="00997084" w:rsidRPr="00BF2545">
        <w:rPr>
          <w:rFonts w:ascii="Arial" w:eastAsia="Calibri" w:hAnsi="Arial" w:cs="Arial"/>
          <w:sz w:val="22"/>
        </w:rPr>
        <w:t>. E</w:t>
      </w:r>
      <w:r w:rsidR="007C7894" w:rsidRPr="00BF2545">
        <w:rPr>
          <w:rFonts w:ascii="Arial" w:eastAsia="Calibri" w:hAnsi="Arial" w:cs="Arial"/>
          <w:sz w:val="22"/>
        </w:rPr>
        <w:t xml:space="preserve">l </w:t>
      </w:r>
      <w:r w:rsidR="002A7E7F" w:rsidRPr="00BF2545">
        <w:rPr>
          <w:rFonts w:ascii="Arial" w:eastAsia="Calibri" w:hAnsi="Arial" w:cs="Arial"/>
          <w:sz w:val="22"/>
        </w:rPr>
        <w:t xml:space="preserve">legislador </w:t>
      </w:r>
      <w:r w:rsidR="007C7894" w:rsidRPr="00BF2545">
        <w:rPr>
          <w:rFonts w:ascii="Arial" w:eastAsia="Calibri" w:hAnsi="Arial" w:cs="Arial"/>
          <w:sz w:val="22"/>
        </w:rPr>
        <w:t>desarroll</w:t>
      </w:r>
      <w:r w:rsidR="00A947EE" w:rsidRPr="00BF2545">
        <w:rPr>
          <w:rFonts w:ascii="Arial" w:eastAsia="Calibri" w:hAnsi="Arial" w:cs="Arial"/>
          <w:sz w:val="22"/>
        </w:rPr>
        <w:t>ó</w:t>
      </w:r>
      <w:r w:rsidR="007C7894" w:rsidRPr="00BF2545">
        <w:rPr>
          <w:rFonts w:ascii="Arial" w:eastAsia="Calibri" w:hAnsi="Arial" w:cs="Arial"/>
          <w:sz w:val="22"/>
        </w:rPr>
        <w:t xml:space="preserve"> los principales aspectos de </w:t>
      </w:r>
      <w:r w:rsidR="005317CF" w:rsidRPr="00BF2545">
        <w:rPr>
          <w:rFonts w:ascii="Arial" w:eastAsia="Calibri" w:hAnsi="Arial" w:cs="Arial"/>
          <w:sz w:val="22"/>
        </w:rPr>
        <w:t>estos</w:t>
      </w:r>
      <w:r w:rsidR="007C7894" w:rsidRPr="00BF2545">
        <w:rPr>
          <w:rFonts w:ascii="Arial" w:eastAsia="Calibri" w:hAnsi="Arial" w:cs="Arial"/>
          <w:sz w:val="22"/>
        </w:rPr>
        <w:t xml:space="preserve"> procedimiento</w:t>
      </w:r>
      <w:r w:rsidR="005317CF" w:rsidRPr="00BF2545">
        <w:rPr>
          <w:rFonts w:ascii="Arial" w:eastAsia="Calibri" w:hAnsi="Arial" w:cs="Arial"/>
          <w:sz w:val="22"/>
        </w:rPr>
        <w:t>s</w:t>
      </w:r>
      <w:r w:rsidR="007C7894" w:rsidRPr="00BF2545">
        <w:rPr>
          <w:rFonts w:ascii="Arial" w:eastAsia="Calibri" w:hAnsi="Arial" w:cs="Arial"/>
          <w:sz w:val="22"/>
        </w:rPr>
        <w:t xml:space="preserve"> que, en términos generales, </w:t>
      </w:r>
      <w:r w:rsidR="005317CF" w:rsidRPr="00BF2545">
        <w:rPr>
          <w:rFonts w:ascii="Arial" w:eastAsia="Calibri" w:hAnsi="Arial" w:cs="Arial"/>
          <w:sz w:val="22"/>
        </w:rPr>
        <w:t>implican</w:t>
      </w:r>
      <w:r w:rsidR="002A7E7F" w:rsidRPr="00BF2545">
        <w:rPr>
          <w:rFonts w:ascii="Arial" w:eastAsia="Calibri" w:hAnsi="Arial" w:cs="Arial"/>
          <w:sz w:val="22"/>
        </w:rPr>
        <w:t xml:space="preserve">: i) un conjunto de actuaciones técnicas y presupuestales a desarrollar antes </w:t>
      </w:r>
      <w:r w:rsidR="00137384" w:rsidRPr="00BF2545">
        <w:rPr>
          <w:rFonts w:ascii="Arial" w:eastAsia="Calibri" w:hAnsi="Arial" w:cs="Arial"/>
          <w:sz w:val="22"/>
        </w:rPr>
        <w:t>del inicio formal del procedimiento</w:t>
      </w:r>
      <w:r w:rsidR="00A947EE" w:rsidRPr="00BF2545">
        <w:rPr>
          <w:rFonts w:ascii="Arial" w:eastAsia="Calibri" w:hAnsi="Arial" w:cs="Arial"/>
          <w:sz w:val="22"/>
        </w:rPr>
        <w:t>,</w:t>
      </w:r>
      <w:r w:rsidR="002A7E7F" w:rsidRPr="00BF2545">
        <w:rPr>
          <w:rFonts w:ascii="Arial" w:eastAsia="Calibri" w:hAnsi="Arial" w:cs="Arial"/>
          <w:sz w:val="22"/>
        </w:rPr>
        <w:t xml:space="preserve"> ii) las modalidades de selección de los contratistas</w:t>
      </w:r>
      <w:r w:rsidR="00A947EE" w:rsidRPr="00BF2545">
        <w:rPr>
          <w:rFonts w:ascii="Arial" w:eastAsia="Calibri" w:hAnsi="Arial" w:cs="Arial"/>
          <w:sz w:val="22"/>
        </w:rPr>
        <w:t>,</w:t>
      </w:r>
      <w:r w:rsidR="002A7E7F" w:rsidRPr="00BF2545">
        <w:rPr>
          <w:rFonts w:ascii="Arial" w:eastAsia="Calibri" w:hAnsi="Arial" w:cs="Arial"/>
          <w:sz w:val="22"/>
        </w:rPr>
        <w:t xml:space="preserve"> iii) los requisitos exigibles a quienes aspiren a contratar con el Estado</w:t>
      </w:r>
      <w:r w:rsidR="00A947EE" w:rsidRPr="00BF2545">
        <w:rPr>
          <w:rFonts w:ascii="Arial" w:eastAsia="Calibri" w:hAnsi="Arial" w:cs="Arial"/>
          <w:sz w:val="22"/>
        </w:rPr>
        <w:t>,</w:t>
      </w:r>
      <w:r w:rsidR="002A7E7F" w:rsidRPr="00BF2545">
        <w:rPr>
          <w:rFonts w:ascii="Arial" w:eastAsia="Calibri" w:hAnsi="Arial" w:cs="Arial"/>
          <w:sz w:val="22"/>
        </w:rPr>
        <w:t xml:space="preserve"> iv) </w:t>
      </w:r>
      <w:r w:rsidR="007B3077" w:rsidRPr="00BF2545">
        <w:rPr>
          <w:rFonts w:ascii="Arial" w:eastAsia="Calibri" w:hAnsi="Arial" w:cs="Arial"/>
          <w:sz w:val="22"/>
        </w:rPr>
        <w:t xml:space="preserve">la noción de contrato estatal y, a título enunciativo, algunas de sus modalidades </w:t>
      </w:r>
      <w:r w:rsidR="002A7E7F" w:rsidRPr="00BF2545">
        <w:rPr>
          <w:rFonts w:ascii="Arial" w:eastAsia="Calibri" w:hAnsi="Arial" w:cs="Arial"/>
          <w:sz w:val="22"/>
        </w:rPr>
        <w:t xml:space="preserve">y v) un régimen de ejecución y liquidación de los contratos estatales, frente a lo cual la ley y el reglamento </w:t>
      </w:r>
      <w:r w:rsidR="00A947EE" w:rsidRPr="00BF2545">
        <w:rPr>
          <w:rFonts w:ascii="Arial" w:eastAsia="Calibri" w:hAnsi="Arial" w:cs="Arial"/>
          <w:sz w:val="22"/>
        </w:rPr>
        <w:t>desarrollan</w:t>
      </w:r>
      <w:r w:rsidR="002A7E7F" w:rsidRPr="00BF2545">
        <w:rPr>
          <w:rFonts w:ascii="Arial" w:eastAsia="Calibri" w:hAnsi="Arial" w:cs="Arial"/>
          <w:sz w:val="22"/>
        </w:rPr>
        <w:t>, por ejemplo, un régimen de garantías contractuales</w:t>
      </w:r>
      <w:r w:rsidR="00A947EE" w:rsidRPr="00BF2545">
        <w:rPr>
          <w:rFonts w:ascii="Arial" w:eastAsia="Calibri" w:hAnsi="Arial" w:cs="Arial"/>
          <w:sz w:val="22"/>
        </w:rPr>
        <w:t>, de</w:t>
      </w:r>
      <w:r w:rsidR="002A7E7F" w:rsidRPr="00BF2545">
        <w:rPr>
          <w:rFonts w:ascii="Arial" w:eastAsia="Calibri" w:hAnsi="Arial" w:cs="Arial"/>
          <w:sz w:val="22"/>
        </w:rPr>
        <w:t xml:space="preserve"> supervisión </w:t>
      </w:r>
      <w:r w:rsidR="00A947EE" w:rsidRPr="00BF2545">
        <w:rPr>
          <w:rFonts w:ascii="Arial" w:eastAsia="Calibri" w:hAnsi="Arial" w:cs="Arial"/>
          <w:sz w:val="22"/>
        </w:rPr>
        <w:t>e</w:t>
      </w:r>
      <w:r w:rsidR="002A7E7F" w:rsidRPr="00BF2545">
        <w:rPr>
          <w:rFonts w:ascii="Arial" w:eastAsia="Calibri" w:hAnsi="Arial" w:cs="Arial"/>
          <w:sz w:val="22"/>
        </w:rPr>
        <w:t xml:space="preserve"> interventoría </w:t>
      </w:r>
      <w:r w:rsidR="00A947EE" w:rsidRPr="00BF2545">
        <w:rPr>
          <w:rFonts w:ascii="Arial" w:eastAsia="Calibri" w:hAnsi="Arial" w:cs="Arial"/>
          <w:sz w:val="22"/>
        </w:rPr>
        <w:t xml:space="preserve">para </w:t>
      </w:r>
      <w:r w:rsidR="002A7E7F" w:rsidRPr="00BF2545">
        <w:rPr>
          <w:rFonts w:ascii="Arial" w:eastAsia="Calibri" w:hAnsi="Arial" w:cs="Arial"/>
          <w:sz w:val="22"/>
        </w:rPr>
        <w:t>el contrato</w:t>
      </w:r>
      <w:r w:rsidR="00A947EE" w:rsidRPr="00BF2545">
        <w:rPr>
          <w:rFonts w:ascii="Arial" w:eastAsia="Calibri" w:hAnsi="Arial" w:cs="Arial"/>
          <w:sz w:val="22"/>
        </w:rPr>
        <w:t>, etc</w:t>
      </w:r>
      <w:r w:rsidR="002A7E7F" w:rsidRPr="00BF2545">
        <w:rPr>
          <w:rFonts w:ascii="Arial" w:eastAsia="Calibri" w:hAnsi="Arial" w:cs="Arial"/>
          <w:sz w:val="22"/>
        </w:rPr>
        <w:t>.</w:t>
      </w:r>
      <w:r w:rsidR="007B3077" w:rsidRPr="00BF2545">
        <w:rPr>
          <w:rFonts w:ascii="Arial" w:eastAsia="Calibri" w:hAnsi="Arial" w:cs="Arial"/>
          <w:sz w:val="22"/>
        </w:rPr>
        <w:t xml:space="preserve"> </w:t>
      </w:r>
    </w:p>
    <w:p w14:paraId="6372F5C1" w14:textId="3E5E1887" w:rsidR="008258CF" w:rsidRPr="00BF2545" w:rsidRDefault="007B3077" w:rsidP="005317CF">
      <w:pPr>
        <w:spacing w:after="120" w:line="276" w:lineRule="auto"/>
        <w:ind w:firstLine="708"/>
        <w:jc w:val="both"/>
        <w:rPr>
          <w:rFonts w:ascii="Arial" w:eastAsia="Calibri" w:hAnsi="Arial" w:cs="Arial"/>
          <w:sz w:val="22"/>
        </w:rPr>
      </w:pPr>
      <w:r w:rsidRPr="00BF2545">
        <w:rPr>
          <w:rFonts w:ascii="Arial" w:eastAsia="Calibri" w:hAnsi="Arial" w:cs="Arial"/>
          <w:sz w:val="22"/>
        </w:rPr>
        <w:t xml:space="preserve">Igualmente, </w:t>
      </w:r>
      <w:r w:rsidR="00137384" w:rsidRPr="00BF2545">
        <w:rPr>
          <w:rFonts w:ascii="Arial" w:eastAsia="Calibri" w:hAnsi="Arial" w:cs="Arial"/>
          <w:sz w:val="22"/>
        </w:rPr>
        <w:t xml:space="preserve">el legislador </w:t>
      </w:r>
      <w:r w:rsidR="00A947EE" w:rsidRPr="00BF2545">
        <w:rPr>
          <w:rFonts w:ascii="Arial" w:eastAsia="Calibri" w:hAnsi="Arial" w:cs="Arial"/>
          <w:sz w:val="22"/>
        </w:rPr>
        <w:t>dispuso los</w:t>
      </w:r>
      <w:r w:rsidR="005E6734" w:rsidRPr="00BF2545">
        <w:rPr>
          <w:rFonts w:ascii="Arial" w:eastAsia="Calibri" w:hAnsi="Arial" w:cs="Arial"/>
          <w:sz w:val="22"/>
        </w:rPr>
        <w:t xml:space="preserve"> principios que gobiernan los proce</w:t>
      </w:r>
      <w:r w:rsidR="00A947EE" w:rsidRPr="00BF2545">
        <w:rPr>
          <w:rFonts w:ascii="Arial" w:eastAsia="Calibri" w:hAnsi="Arial" w:cs="Arial"/>
          <w:sz w:val="22"/>
        </w:rPr>
        <w:t>dimientos</w:t>
      </w:r>
      <w:r w:rsidR="005E6734" w:rsidRPr="00BF2545">
        <w:rPr>
          <w:rFonts w:ascii="Arial" w:eastAsia="Calibri" w:hAnsi="Arial" w:cs="Arial"/>
          <w:sz w:val="22"/>
        </w:rPr>
        <w:t xml:space="preserve"> de contratación pública</w:t>
      </w:r>
      <w:r w:rsidR="00137384" w:rsidRPr="00BF2545">
        <w:rPr>
          <w:rFonts w:ascii="Arial" w:eastAsia="Calibri" w:hAnsi="Arial" w:cs="Arial"/>
          <w:sz w:val="22"/>
        </w:rPr>
        <w:t>, dentro de los que s</w:t>
      </w:r>
      <w:r w:rsidR="005317CF" w:rsidRPr="00BF2545">
        <w:rPr>
          <w:rFonts w:ascii="Arial" w:eastAsia="Calibri" w:hAnsi="Arial" w:cs="Arial"/>
          <w:sz w:val="22"/>
        </w:rPr>
        <w:t>obresale</w:t>
      </w:r>
      <w:r w:rsidR="00DA04A8" w:rsidRPr="00BF2545">
        <w:rPr>
          <w:rFonts w:ascii="Arial" w:eastAsia="Calibri" w:hAnsi="Arial" w:cs="Arial"/>
          <w:sz w:val="22"/>
        </w:rPr>
        <w:t xml:space="preserve"> </w:t>
      </w:r>
      <w:r w:rsidR="00137384" w:rsidRPr="00BF2545">
        <w:rPr>
          <w:rFonts w:ascii="Arial" w:eastAsia="Calibri" w:hAnsi="Arial" w:cs="Arial"/>
          <w:sz w:val="22"/>
        </w:rPr>
        <w:t>el de economía</w:t>
      </w:r>
      <w:r w:rsidR="00DA04A8" w:rsidRPr="00BF2545">
        <w:rPr>
          <w:rFonts w:ascii="Arial" w:eastAsia="Calibri" w:hAnsi="Arial" w:cs="Arial"/>
          <w:sz w:val="22"/>
        </w:rPr>
        <w:t xml:space="preserve">, consagrado en el artículo </w:t>
      </w:r>
      <w:r w:rsidR="00997084" w:rsidRPr="00BF2545">
        <w:rPr>
          <w:rFonts w:ascii="Arial" w:eastAsia="Calibri" w:hAnsi="Arial" w:cs="Arial"/>
          <w:color w:val="000000" w:themeColor="text1"/>
          <w:sz w:val="22"/>
        </w:rPr>
        <w:t>25 de la Ley 80 de 1993</w:t>
      </w:r>
      <w:r w:rsidR="00997084" w:rsidRPr="00BF2545">
        <w:rPr>
          <w:rStyle w:val="Refdenotaalpie"/>
          <w:rFonts w:ascii="Arial" w:eastAsia="Calibri" w:hAnsi="Arial" w:cs="Arial"/>
          <w:color w:val="000000" w:themeColor="text1"/>
          <w:sz w:val="22"/>
        </w:rPr>
        <w:footnoteReference w:id="2"/>
      </w:r>
      <w:r w:rsidR="00DA04A8" w:rsidRPr="00BF2545">
        <w:rPr>
          <w:rFonts w:ascii="Arial" w:eastAsia="Calibri" w:hAnsi="Arial" w:cs="Arial"/>
          <w:color w:val="000000" w:themeColor="text1"/>
          <w:sz w:val="22"/>
        </w:rPr>
        <w:t>.</w:t>
      </w:r>
      <w:r w:rsidR="005317CF" w:rsidRPr="00BF2545">
        <w:rPr>
          <w:rFonts w:ascii="Arial" w:eastAsia="Calibri" w:hAnsi="Arial" w:cs="Arial"/>
          <w:color w:val="000000" w:themeColor="text1"/>
          <w:sz w:val="22"/>
        </w:rPr>
        <w:t xml:space="preserve"> </w:t>
      </w:r>
      <w:r w:rsidR="00DA04A8" w:rsidRPr="00BF2545">
        <w:rPr>
          <w:rFonts w:ascii="Arial" w:eastAsia="Calibri" w:hAnsi="Arial" w:cs="Arial"/>
          <w:color w:val="000000" w:themeColor="text1"/>
          <w:sz w:val="22"/>
        </w:rPr>
        <w:t>En</w:t>
      </w:r>
      <w:r w:rsidR="00997084" w:rsidRPr="00BF2545">
        <w:rPr>
          <w:rFonts w:ascii="Arial" w:eastAsia="Calibri" w:hAnsi="Arial" w:cs="Arial"/>
          <w:color w:val="000000" w:themeColor="text1"/>
          <w:sz w:val="22"/>
        </w:rPr>
        <w:t xml:space="preserve"> virtud </w:t>
      </w:r>
      <w:r w:rsidR="005317CF" w:rsidRPr="00BF2545">
        <w:rPr>
          <w:rFonts w:ascii="Arial" w:eastAsia="Calibri" w:hAnsi="Arial" w:cs="Arial"/>
          <w:color w:val="000000" w:themeColor="text1"/>
          <w:sz w:val="22"/>
        </w:rPr>
        <w:t>de este principio</w:t>
      </w:r>
      <w:r w:rsidR="00997084" w:rsidRPr="00BF2545">
        <w:rPr>
          <w:rFonts w:ascii="Arial" w:eastAsia="Calibri" w:hAnsi="Arial" w:cs="Arial"/>
          <w:color w:val="000000" w:themeColor="text1"/>
          <w:sz w:val="22"/>
        </w:rPr>
        <w:t xml:space="preserve">, </w:t>
      </w:r>
      <w:r w:rsidRPr="00BF2545">
        <w:rPr>
          <w:rFonts w:ascii="Arial" w:eastAsia="Calibri" w:hAnsi="Arial" w:cs="Arial"/>
          <w:color w:val="000000" w:themeColor="text1"/>
          <w:sz w:val="22"/>
        </w:rPr>
        <w:t>l</w:t>
      </w:r>
      <w:r w:rsidR="00997084" w:rsidRPr="00BF2545">
        <w:rPr>
          <w:rFonts w:ascii="Arial" w:eastAsia="Calibri" w:hAnsi="Arial" w:cs="Arial"/>
          <w:color w:val="000000" w:themeColor="text1"/>
          <w:sz w:val="22"/>
        </w:rPr>
        <w:t xml:space="preserve">a adquisición de bienes y servicios </w:t>
      </w:r>
      <w:r w:rsidR="005317CF" w:rsidRPr="00BF2545">
        <w:rPr>
          <w:rFonts w:ascii="Arial" w:eastAsia="Calibri" w:hAnsi="Arial" w:cs="Arial"/>
          <w:color w:val="000000" w:themeColor="text1"/>
          <w:sz w:val="22"/>
        </w:rPr>
        <w:t>se realiza conforme a</w:t>
      </w:r>
      <w:r w:rsidR="00997084" w:rsidRPr="00BF2545">
        <w:rPr>
          <w:rFonts w:ascii="Arial" w:eastAsia="Calibri" w:hAnsi="Arial" w:cs="Arial"/>
          <w:color w:val="000000" w:themeColor="text1"/>
          <w:sz w:val="22"/>
        </w:rPr>
        <w:t xml:space="preserve"> las etapas</w:t>
      </w:r>
      <w:r w:rsidR="00DA04A8" w:rsidRPr="00BF2545">
        <w:rPr>
          <w:rFonts w:ascii="Arial" w:eastAsia="Calibri" w:hAnsi="Arial" w:cs="Arial"/>
          <w:color w:val="000000" w:themeColor="text1"/>
          <w:sz w:val="22"/>
        </w:rPr>
        <w:t xml:space="preserve"> y términos </w:t>
      </w:r>
      <w:r w:rsidR="00997084" w:rsidRPr="00BF2545">
        <w:rPr>
          <w:rFonts w:ascii="Arial" w:eastAsia="Calibri" w:hAnsi="Arial" w:cs="Arial"/>
          <w:color w:val="000000" w:themeColor="text1"/>
          <w:sz w:val="22"/>
        </w:rPr>
        <w:t>de</w:t>
      </w:r>
      <w:r w:rsidR="005317CF" w:rsidRPr="00BF2545">
        <w:rPr>
          <w:rFonts w:ascii="Arial" w:eastAsia="Calibri" w:hAnsi="Arial" w:cs="Arial"/>
          <w:color w:val="000000" w:themeColor="text1"/>
          <w:sz w:val="22"/>
        </w:rPr>
        <w:t xml:space="preserve"> </w:t>
      </w:r>
      <w:r w:rsidR="00997084" w:rsidRPr="00BF2545">
        <w:rPr>
          <w:rFonts w:ascii="Arial" w:eastAsia="Calibri" w:hAnsi="Arial" w:cs="Arial"/>
          <w:color w:val="000000" w:themeColor="text1"/>
          <w:sz w:val="22"/>
        </w:rPr>
        <w:t>l</w:t>
      </w:r>
      <w:r w:rsidR="005317CF" w:rsidRPr="00BF2545">
        <w:rPr>
          <w:rFonts w:ascii="Arial" w:eastAsia="Calibri" w:hAnsi="Arial" w:cs="Arial"/>
          <w:color w:val="000000" w:themeColor="text1"/>
          <w:sz w:val="22"/>
        </w:rPr>
        <w:t>os</w:t>
      </w:r>
      <w:r w:rsidR="00997084" w:rsidRPr="00BF2545">
        <w:rPr>
          <w:rFonts w:ascii="Arial" w:eastAsia="Calibri" w:hAnsi="Arial" w:cs="Arial"/>
          <w:color w:val="000000" w:themeColor="text1"/>
          <w:sz w:val="22"/>
        </w:rPr>
        <w:t xml:space="preserve"> proc</w:t>
      </w:r>
      <w:r w:rsidR="005317CF" w:rsidRPr="00BF2545">
        <w:rPr>
          <w:rFonts w:ascii="Arial" w:eastAsia="Calibri" w:hAnsi="Arial" w:cs="Arial"/>
          <w:color w:val="000000" w:themeColor="text1"/>
          <w:sz w:val="22"/>
        </w:rPr>
        <w:t xml:space="preserve">edimientos </w:t>
      </w:r>
      <w:r w:rsidR="00DA04A8" w:rsidRPr="00BF2545">
        <w:rPr>
          <w:rFonts w:ascii="Arial" w:eastAsia="Calibri" w:hAnsi="Arial" w:cs="Arial"/>
          <w:color w:val="000000" w:themeColor="text1"/>
          <w:sz w:val="22"/>
        </w:rPr>
        <w:t xml:space="preserve">determinados </w:t>
      </w:r>
      <w:r w:rsidR="00997084" w:rsidRPr="00BF2545">
        <w:rPr>
          <w:rFonts w:ascii="Arial" w:eastAsia="Calibri" w:hAnsi="Arial" w:cs="Arial"/>
          <w:color w:val="000000" w:themeColor="text1"/>
          <w:sz w:val="22"/>
        </w:rPr>
        <w:t>por la ley.</w:t>
      </w:r>
      <w:r w:rsidR="00DA04A8" w:rsidRPr="00BF2545">
        <w:rPr>
          <w:rFonts w:ascii="Arial" w:eastAsia="Calibri" w:hAnsi="Arial" w:cs="Arial"/>
          <w:color w:val="000000" w:themeColor="text1"/>
          <w:sz w:val="22"/>
        </w:rPr>
        <w:t xml:space="preserve"> </w:t>
      </w:r>
      <w:r w:rsidR="001D0C1D" w:rsidRPr="00BF2545">
        <w:rPr>
          <w:rFonts w:ascii="Arial" w:eastAsia="Calibri" w:hAnsi="Arial" w:cs="Arial"/>
          <w:color w:val="000000" w:themeColor="text1"/>
          <w:sz w:val="22"/>
        </w:rPr>
        <w:t>E</w:t>
      </w:r>
      <w:r w:rsidR="005317CF" w:rsidRPr="00BF2545">
        <w:rPr>
          <w:rFonts w:ascii="Arial" w:eastAsia="Calibri" w:hAnsi="Arial" w:cs="Arial"/>
          <w:color w:val="000000" w:themeColor="text1"/>
          <w:sz w:val="22"/>
        </w:rPr>
        <w:t xml:space="preserve">stos </w:t>
      </w:r>
      <w:r w:rsidR="000B5DBE" w:rsidRPr="00BF2545">
        <w:rPr>
          <w:rFonts w:ascii="Arial" w:eastAsia="Calibri" w:hAnsi="Arial" w:cs="Arial"/>
          <w:sz w:val="22"/>
        </w:rPr>
        <w:t>varía</w:t>
      </w:r>
      <w:r w:rsidR="005317CF" w:rsidRPr="00BF2545">
        <w:rPr>
          <w:rFonts w:ascii="Arial" w:eastAsia="Calibri" w:hAnsi="Arial" w:cs="Arial"/>
          <w:sz w:val="22"/>
        </w:rPr>
        <w:t>n</w:t>
      </w:r>
      <w:r w:rsidR="000B5DBE" w:rsidRPr="00BF2545">
        <w:rPr>
          <w:rFonts w:ascii="Arial" w:eastAsia="Calibri" w:hAnsi="Arial" w:cs="Arial"/>
          <w:sz w:val="22"/>
        </w:rPr>
        <w:t xml:space="preserve"> dependiendo de la modalidad de selección del contratista y, en </w:t>
      </w:r>
      <w:r w:rsidR="00137384" w:rsidRPr="00BF2545">
        <w:rPr>
          <w:rFonts w:ascii="Arial" w:eastAsia="Calibri" w:hAnsi="Arial" w:cs="Arial"/>
          <w:sz w:val="22"/>
        </w:rPr>
        <w:t>cierta medida</w:t>
      </w:r>
      <w:r w:rsidR="000B5DBE" w:rsidRPr="00BF2545">
        <w:rPr>
          <w:rFonts w:ascii="Arial" w:eastAsia="Calibri" w:hAnsi="Arial" w:cs="Arial"/>
          <w:sz w:val="22"/>
        </w:rPr>
        <w:t>, de la naturaleza y objeto del contrato a suscribir, como ocurre con los de obra pública de infraestructura de transporte, en los cuales el procedimiento debe ajustarse a lo</w:t>
      </w:r>
      <w:r w:rsidR="00137384" w:rsidRPr="00BF2545">
        <w:rPr>
          <w:rFonts w:ascii="Arial" w:eastAsia="Calibri" w:hAnsi="Arial" w:cs="Arial"/>
          <w:sz w:val="22"/>
        </w:rPr>
        <w:t xml:space="preserve"> </w:t>
      </w:r>
      <w:r w:rsidR="001D0C1D" w:rsidRPr="00BF2545">
        <w:rPr>
          <w:rFonts w:ascii="Arial" w:eastAsia="Calibri" w:hAnsi="Arial" w:cs="Arial"/>
          <w:sz w:val="22"/>
        </w:rPr>
        <w:t>dispuesto en</w:t>
      </w:r>
      <w:r w:rsidR="00137384" w:rsidRPr="00BF2545">
        <w:rPr>
          <w:rFonts w:ascii="Arial" w:eastAsia="Calibri" w:hAnsi="Arial" w:cs="Arial"/>
          <w:sz w:val="22"/>
        </w:rPr>
        <w:t xml:space="preserve"> los </w:t>
      </w:r>
      <w:r w:rsidR="001D0C1D" w:rsidRPr="00BF2545">
        <w:rPr>
          <w:rFonts w:ascii="Arial" w:eastAsia="Calibri" w:hAnsi="Arial" w:cs="Arial"/>
          <w:sz w:val="22"/>
        </w:rPr>
        <w:t>«</w:t>
      </w:r>
      <w:r w:rsidR="000B5DBE" w:rsidRPr="00BF2545">
        <w:rPr>
          <w:rFonts w:ascii="Arial" w:eastAsia="Calibri" w:hAnsi="Arial" w:cs="Arial"/>
          <w:sz w:val="22"/>
        </w:rPr>
        <w:t>Documentos Tipo</w:t>
      </w:r>
      <w:r w:rsidR="001D0C1D" w:rsidRPr="00BF2545">
        <w:rPr>
          <w:rFonts w:ascii="Arial" w:eastAsia="Calibri" w:hAnsi="Arial" w:cs="Arial"/>
          <w:sz w:val="22"/>
        </w:rPr>
        <w:t>»</w:t>
      </w:r>
      <w:r w:rsidR="000B5DBE" w:rsidRPr="00BF2545">
        <w:rPr>
          <w:rFonts w:ascii="Arial" w:eastAsia="Calibri" w:hAnsi="Arial" w:cs="Arial"/>
          <w:sz w:val="22"/>
        </w:rPr>
        <w:t xml:space="preserve">, </w:t>
      </w:r>
      <w:r w:rsidR="001D0C1D" w:rsidRPr="00BF2545">
        <w:rPr>
          <w:rFonts w:ascii="Arial" w:eastAsia="Calibri" w:hAnsi="Arial" w:cs="Arial"/>
          <w:sz w:val="22"/>
        </w:rPr>
        <w:t>conforme a</w:t>
      </w:r>
      <w:r w:rsidR="00DA04A8" w:rsidRPr="00BF2545">
        <w:rPr>
          <w:rFonts w:ascii="Arial" w:eastAsia="Calibri" w:hAnsi="Arial" w:cs="Arial"/>
          <w:sz w:val="22"/>
        </w:rPr>
        <w:t xml:space="preserve"> </w:t>
      </w:r>
      <w:r w:rsidR="000B5DBE" w:rsidRPr="00BF2545">
        <w:rPr>
          <w:rFonts w:ascii="Arial" w:eastAsia="Calibri" w:hAnsi="Arial" w:cs="Arial"/>
          <w:sz w:val="22"/>
        </w:rPr>
        <w:t>l</w:t>
      </w:r>
      <w:r w:rsidR="00DA04A8" w:rsidRPr="00BF2545">
        <w:rPr>
          <w:rFonts w:ascii="Arial" w:eastAsia="Calibri" w:hAnsi="Arial" w:cs="Arial"/>
          <w:sz w:val="22"/>
        </w:rPr>
        <w:t>os</w:t>
      </w:r>
      <w:r w:rsidR="000B5DBE" w:rsidRPr="00BF2545">
        <w:rPr>
          <w:rFonts w:ascii="Arial" w:eastAsia="Calibri" w:hAnsi="Arial" w:cs="Arial"/>
          <w:sz w:val="22"/>
        </w:rPr>
        <w:t xml:space="preserve"> artículo</w:t>
      </w:r>
      <w:r w:rsidR="00DA04A8" w:rsidRPr="00BF2545">
        <w:rPr>
          <w:rFonts w:ascii="Arial" w:eastAsia="Calibri" w:hAnsi="Arial" w:cs="Arial"/>
          <w:sz w:val="22"/>
        </w:rPr>
        <w:t>s 2.2.1.2.6.1.2. y 2.2.1.2.6.2.2 del Decreto 1082 de 2015,</w:t>
      </w:r>
      <w:r w:rsidR="000B5DBE" w:rsidRPr="00BF2545">
        <w:rPr>
          <w:rFonts w:ascii="Arial" w:eastAsia="Calibri" w:hAnsi="Arial" w:cs="Arial"/>
          <w:sz w:val="22"/>
        </w:rPr>
        <w:t xml:space="preserve"> </w:t>
      </w:r>
      <w:r w:rsidR="001D0C1D" w:rsidRPr="00BF2545">
        <w:rPr>
          <w:rFonts w:ascii="Arial" w:eastAsia="Calibri" w:hAnsi="Arial" w:cs="Arial"/>
          <w:sz w:val="22"/>
        </w:rPr>
        <w:t>los cu</w:t>
      </w:r>
      <w:r w:rsidR="005B6B25">
        <w:rPr>
          <w:rFonts w:ascii="Arial" w:eastAsia="Calibri" w:hAnsi="Arial" w:cs="Arial"/>
          <w:sz w:val="22"/>
        </w:rPr>
        <w:t>a</w:t>
      </w:r>
      <w:r w:rsidR="001D0C1D" w:rsidRPr="00BF2545">
        <w:rPr>
          <w:rFonts w:ascii="Arial" w:eastAsia="Calibri" w:hAnsi="Arial" w:cs="Arial"/>
          <w:sz w:val="22"/>
        </w:rPr>
        <w:t>les</w:t>
      </w:r>
      <w:r w:rsidR="000B5DBE" w:rsidRPr="00BF2545">
        <w:rPr>
          <w:rFonts w:ascii="Arial" w:eastAsia="Calibri" w:hAnsi="Arial" w:cs="Arial"/>
          <w:sz w:val="22"/>
        </w:rPr>
        <w:t xml:space="preserve"> fueron expedidos en cumplimiento del </w:t>
      </w:r>
      <w:r w:rsidR="00DA04A8" w:rsidRPr="00BF2545">
        <w:rPr>
          <w:rFonts w:ascii="Arial" w:eastAsia="Calibri" w:hAnsi="Arial" w:cs="Arial"/>
          <w:sz w:val="22"/>
        </w:rPr>
        <w:lastRenderedPageBreak/>
        <w:t>artículo 2, parágrafo 7, de la Ley 1150 de 2007, adicionado por el artículo 4 de la Ley 1882 de 2018</w:t>
      </w:r>
      <w:r w:rsidR="000B5DBE" w:rsidRPr="00BF2545">
        <w:rPr>
          <w:rFonts w:ascii="Arial" w:eastAsia="Calibri" w:hAnsi="Arial" w:cs="Arial"/>
          <w:sz w:val="22"/>
        </w:rPr>
        <w:t xml:space="preserve">. </w:t>
      </w:r>
      <w:r w:rsidR="001D0C1D" w:rsidRPr="00BF2545">
        <w:rPr>
          <w:rFonts w:ascii="Arial" w:eastAsia="Calibri" w:hAnsi="Arial" w:cs="Arial"/>
          <w:sz w:val="22"/>
        </w:rPr>
        <w:t>Lo importante es que estos procedimientos</w:t>
      </w:r>
      <w:r w:rsidR="008258CF" w:rsidRPr="00BF2545">
        <w:rPr>
          <w:rFonts w:ascii="Arial" w:eastAsia="Calibri" w:hAnsi="Arial" w:cs="Arial"/>
          <w:sz w:val="22"/>
        </w:rPr>
        <w:t xml:space="preserve"> po</w:t>
      </w:r>
      <w:r w:rsidR="000B5DBE" w:rsidRPr="00BF2545">
        <w:rPr>
          <w:rFonts w:ascii="Arial" w:eastAsia="Calibri" w:hAnsi="Arial" w:cs="Arial"/>
          <w:sz w:val="22"/>
        </w:rPr>
        <w:t>drá</w:t>
      </w:r>
      <w:r w:rsidR="008258CF" w:rsidRPr="00BF2545">
        <w:rPr>
          <w:rFonts w:ascii="Arial" w:eastAsia="Calibri" w:hAnsi="Arial" w:cs="Arial"/>
          <w:sz w:val="22"/>
        </w:rPr>
        <w:t>n</w:t>
      </w:r>
      <w:r w:rsidR="000B5DBE" w:rsidRPr="00BF2545">
        <w:rPr>
          <w:rFonts w:ascii="Arial" w:eastAsia="Calibri" w:hAnsi="Arial" w:cs="Arial"/>
          <w:sz w:val="22"/>
        </w:rPr>
        <w:t xml:space="preserve"> llevar</w:t>
      </w:r>
      <w:r w:rsidR="00137384" w:rsidRPr="00BF2545">
        <w:rPr>
          <w:rFonts w:ascii="Arial" w:eastAsia="Calibri" w:hAnsi="Arial" w:cs="Arial"/>
          <w:sz w:val="22"/>
        </w:rPr>
        <w:t>se</w:t>
      </w:r>
      <w:r w:rsidR="000B5DBE" w:rsidRPr="00BF2545">
        <w:rPr>
          <w:rFonts w:ascii="Arial" w:eastAsia="Calibri" w:hAnsi="Arial" w:cs="Arial"/>
          <w:sz w:val="22"/>
        </w:rPr>
        <w:t xml:space="preserve"> a cabo de forma escrita</w:t>
      </w:r>
      <w:r w:rsidR="008258CF" w:rsidRPr="00BF2545">
        <w:rPr>
          <w:rFonts w:ascii="Arial" w:eastAsia="Calibri" w:hAnsi="Arial" w:cs="Arial"/>
          <w:sz w:val="22"/>
        </w:rPr>
        <w:t xml:space="preserve"> a través de los medios tradicionales, </w:t>
      </w:r>
      <w:r w:rsidR="000B5DBE" w:rsidRPr="00BF2545">
        <w:rPr>
          <w:rFonts w:ascii="Arial" w:eastAsia="Calibri" w:hAnsi="Arial" w:cs="Arial"/>
          <w:sz w:val="22"/>
        </w:rPr>
        <w:t xml:space="preserve">o de forma </w:t>
      </w:r>
      <w:r w:rsidR="00B52845" w:rsidRPr="00BF2545">
        <w:rPr>
          <w:rFonts w:ascii="Arial" w:eastAsia="Calibri" w:hAnsi="Arial" w:cs="Arial"/>
          <w:sz w:val="22"/>
        </w:rPr>
        <w:t xml:space="preserve">digital </w:t>
      </w:r>
      <w:r w:rsidR="008258CF" w:rsidRPr="00BF2545">
        <w:rPr>
          <w:rFonts w:ascii="Arial" w:eastAsia="Calibri" w:hAnsi="Arial" w:cs="Arial"/>
          <w:sz w:val="22"/>
        </w:rPr>
        <w:t>por medio del Sistema Electrónico de Contratación Pública −SECOP−</w:t>
      </w:r>
      <w:r w:rsidR="00B52845" w:rsidRPr="00BF2545">
        <w:rPr>
          <w:rFonts w:ascii="Arial" w:eastAsia="Calibri" w:hAnsi="Arial" w:cs="Arial"/>
          <w:sz w:val="22"/>
        </w:rPr>
        <w:t>.</w:t>
      </w:r>
      <w:r w:rsidR="000B5DBE" w:rsidRPr="00BF2545">
        <w:rPr>
          <w:rFonts w:ascii="Arial" w:eastAsia="Calibri" w:hAnsi="Arial" w:cs="Arial"/>
          <w:sz w:val="22"/>
        </w:rPr>
        <w:t xml:space="preserve"> </w:t>
      </w:r>
      <w:r w:rsidR="00B52845" w:rsidRPr="00BF2545">
        <w:rPr>
          <w:rFonts w:ascii="Arial" w:eastAsia="Calibri" w:hAnsi="Arial" w:cs="Arial"/>
          <w:sz w:val="22"/>
        </w:rPr>
        <w:t>E</w:t>
      </w:r>
      <w:r w:rsidR="008258CF" w:rsidRPr="00BF2545">
        <w:rPr>
          <w:rFonts w:ascii="Arial" w:eastAsia="Calibri" w:hAnsi="Arial" w:cs="Arial"/>
          <w:sz w:val="22"/>
        </w:rPr>
        <w:t xml:space="preserve">sto último en virtud de lo </w:t>
      </w:r>
      <w:r w:rsidR="00B52845" w:rsidRPr="00BF2545">
        <w:rPr>
          <w:rFonts w:ascii="Arial" w:eastAsia="Calibri" w:hAnsi="Arial" w:cs="Arial"/>
          <w:sz w:val="22"/>
        </w:rPr>
        <w:t>dispuesto en el</w:t>
      </w:r>
      <w:r w:rsidR="008258CF" w:rsidRPr="00BF2545">
        <w:rPr>
          <w:rFonts w:ascii="Arial" w:eastAsia="Calibri" w:hAnsi="Arial" w:cs="Arial"/>
          <w:sz w:val="22"/>
        </w:rPr>
        <w:t xml:space="preserve"> artículo 3 de la Ley 1150 de 2007, en concordancia con la Ley 527 del año 1999.</w:t>
      </w:r>
    </w:p>
    <w:p w14:paraId="22C0F26A" w14:textId="0C210FD7" w:rsidR="008522FB" w:rsidRPr="00BF2545" w:rsidRDefault="008522FB" w:rsidP="008522FB">
      <w:pPr>
        <w:spacing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t>La Agencia Nacional de Contratación Pública – Colombia Compra Eficiente tiene como función administrar el SECOP</w:t>
      </w:r>
      <w:r w:rsidRPr="00BF2545">
        <w:rPr>
          <w:rStyle w:val="Refdenotaalpie"/>
          <w:rFonts w:ascii="Arial" w:eastAsia="Calibri" w:hAnsi="Arial" w:cs="Arial"/>
          <w:sz w:val="22"/>
          <w:lang w:val="es-ES"/>
        </w:rPr>
        <w:footnoteReference w:id="3"/>
      </w:r>
      <w:r w:rsidRPr="00BF2545">
        <w:rPr>
          <w:rFonts w:ascii="Arial" w:eastAsia="Calibri" w:hAnsi="Arial" w:cs="Arial"/>
          <w:sz w:val="22"/>
          <w:lang w:val="es-ES"/>
        </w:rPr>
        <w:t xml:space="preserve">, por lo cual desarrolló la primera versión de la plataforma, denominada SECOP I, que funciona como medio de publicidad y no transaccional, lo que significa que, en la práctica, el procedimiento contractual ocurre fuera de la plataforma y </w:t>
      </w:r>
      <w:r w:rsidR="00B52845" w:rsidRPr="00BF2545">
        <w:rPr>
          <w:rFonts w:ascii="Arial" w:eastAsia="Calibri" w:hAnsi="Arial" w:cs="Arial"/>
          <w:sz w:val="22"/>
          <w:lang w:val="es-ES"/>
        </w:rPr>
        <w:t xml:space="preserve">que </w:t>
      </w:r>
      <w:r w:rsidRPr="00BF2545">
        <w:rPr>
          <w:rFonts w:ascii="Arial" w:eastAsia="Calibri" w:hAnsi="Arial" w:cs="Arial"/>
          <w:sz w:val="22"/>
          <w:lang w:val="es-ES"/>
        </w:rPr>
        <w:t>la entidad lleva un expediente físico</w:t>
      </w:r>
      <w:r w:rsidR="00B52845" w:rsidRPr="00BF2545">
        <w:rPr>
          <w:rFonts w:ascii="Arial" w:eastAsia="Calibri" w:hAnsi="Arial" w:cs="Arial"/>
          <w:sz w:val="22"/>
          <w:lang w:val="es-ES"/>
        </w:rPr>
        <w:t xml:space="preserve"> del mismo</w:t>
      </w:r>
      <w:r w:rsidRPr="00BF2545">
        <w:rPr>
          <w:rFonts w:ascii="Arial" w:eastAsia="Calibri" w:hAnsi="Arial" w:cs="Arial"/>
          <w:sz w:val="22"/>
          <w:lang w:val="es-ES"/>
        </w:rPr>
        <w:t xml:space="preserve">, cuyos documentos se </w:t>
      </w:r>
      <w:r w:rsidR="00B52845" w:rsidRPr="00BF2545">
        <w:rPr>
          <w:rFonts w:ascii="Arial" w:eastAsia="Calibri" w:hAnsi="Arial" w:cs="Arial"/>
          <w:sz w:val="22"/>
          <w:lang w:val="es-ES"/>
        </w:rPr>
        <w:t>escanean para cargarlos en la plataforma</w:t>
      </w:r>
      <w:r w:rsidRPr="00BF2545">
        <w:rPr>
          <w:rFonts w:ascii="Arial" w:eastAsia="Calibri" w:hAnsi="Arial" w:cs="Arial"/>
          <w:sz w:val="22"/>
          <w:lang w:val="es-ES"/>
        </w:rPr>
        <w:t xml:space="preserve"> por quien tenga la función dentro de la entidad, de acuerdo con su organización interna.</w:t>
      </w:r>
    </w:p>
    <w:p w14:paraId="5F209CD4" w14:textId="293AC958" w:rsidR="008522FB" w:rsidRPr="00BF2545" w:rsidRDefault="008522FB" w:rsidP="008522FB">
      <w:pPr>
        <w:spacing w:before="120"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t xml:space="preserve">El SECOP II es la segunda versión de la plataforma y </w:t>
      </w:r>
      <w:r w:rsidR="00B52845" w:rsidRPr="00BF2545">
        <w:rPr>
          <w:rFonts w:ascii="Arial" w:eastAsia="Calibri" w:hAnsi="Arial" w:cs="Arial"/>
          <w:sz w:val="22"/>
          <w:lang w:val="es-ES"/>
        </w:rPr>
        <w:t>se caracteriza por ser</w:t>
      </w:r>
      <w:r w:rsidRPr="00BF2545">
        <w:rPr>
          <w:rFonts w:ascii="Arial" w:eastAsia="Calibri" w:hAnsi="Arial" w:cs="Arial"/>
          <w:sz w:val="22"/>
          <w:lang w:val="es-ES"/>
        </w:rPr>
        <w:t xml:space="preserve"> transaccional, esto es, permite </w:t>
      </w:r>
      <w:r w:rsidR="00B52845" w:rsidRPr="00BF2545">
        <w:rPr>
          <w:rFonts w:ascii="Arial" w:eastAsia="Calibri" w:hAnsi="Arial" w:cs="Arial"/>
          <w:sz w:val="22"/>
          <w:lang w:val="es-ES"/>
        </w:rPr>
        <w:t xml:space="preserve">la gestión </w:t>
      </w:r>
      <w:r w:rsidRPr="00BF2545">
        <w:rPr>
          <w:rFonts w:ascii="Arial" w:eastAsia="Calibri" w:hAnsi="Arial" w:cs="Arial"/>
          <w:sz w:val="22"/>
          <w:lang w:val="es-ES"/>
        </w:rPr>
        <w:t xml:space="preserve">en línea </w:t>
      </w:r>
      <w:r w:rsidR="00B52845" w:rsidRPr="00BF2545">
        <w:rPr>
          <w:rFonts w:ascii="Arial" w:eastAsia="Calibri" w:hAnsi="Arial" w:cs="Arial"/>
          <w:sz w:val="22"/>
          <w:lang w:val="es-ES"/>
        </w:rPr>
        <w:t>de</w:t>
      </w:r>
      <w:r w:rsidRPr="00BF2545">
        <w:rPr>
          <w:rFonts w:ascii="Arial" w:eastAsia="Calibri" w:hAnsi="Arial" w:cs="Arial"/>
          <w:sz w:val="22"/>
          <w:lang w:val="es-ES"/>
        </w:rPr>
        <w:t xml:space="preserve"> los procedimientos de contratación, con cuentas y usuarios asociados a éstas, para las entidades y los proveedores, así como el acceso </w:t>
      </w:r>
      <w:r w:rsidR="00D7084A" w:rsidRPr="00BF2545">
        <w:rPr>
          <w:rFonts w:ascii="Arial" w:eastAsia="Calibri" w:hAnsi="Arial" w:cs="Arial"/>
          <w:sz w:val="22"/>
          <w:lang w:val="es-ES"/>
        </w:rPr>
        <w:t xml:space="preserve">de </w:t>
      </w:r>
      <w:r w:rsidRPr="00BF2545">
        <w:rPr>
          <w:rFonts w:ascii="Arial" w:eastAsia="Calibri" w:hAnsi="Arial" w:cs="Arial"/>
          <w:sz w:val="22"/>
          <w:lang w:val="es-ES"/>
        </w:rPr>
        <w:t xml:space="preserve">consulta </w:t>
      </w:r>
      <w:r w:rsidR="00D7084A" w:rsidRPr="00BF2545">
        <w:rPr>
          <w:rFonts w:ascii="Arial" w:eastAsia="Calibri" w:hAnsi="Arial" w:cs="Arial"/>
          <w:sz w:val="22"/>
          <w:lang w:val="es-ES"/>
        </w:rPr>
        <w:t>para</w:t>
      </w:r>
      <w:r w:rsidRPr="00BF2545">
        <w:rPr>
          <w:rFonts w:ascii="Arial" w:eastAsia="Calibri" w:hAnsi="Arial" w:cs="Arial"/>
          <w:sz w:val="22"/>
          <w:lang w:val="es-ES"/>
        </w:rPr>
        <w:t xml:space="preserve"> cualquier interesado en hacer seguimiento a la contratación pública. Desde sus cuentas, las entidades crean, evalúan y adjudican procedimientos de contratación, y gestionan la fase de ejecución del contrato. Los proveedores, por su parte, pueden hacer comentarios a los documentos del procedimiento, presentar ofertas y, en general, seguir el procedimiento de selección en línea.</w:t>
      </w:r>
    </w:p>
    <w:p w14:paraId="012D666F" w14:textId="22D95A0B" w:rsidR="008522FB" w:rsidRPr="00BF2545" w:rsidRDefault="008522FB" w:rsidP="008522FB">
      <w:pPr>
        <w:spacing w:line="276" w:lineRule="auto"/>
        <w:ind w:firstLine="708"/>
        <w:jc w:val="both"/>
        <w:rPr>
          <w:rFonts w:ascii="Arial" w:eastAsia="Calibri" w:hAnsi="Arial" w:cs="Arial"/>
          <w:sz w:val="22"/>
          <w:lang w:val="es-ES"/>
        </w:rPr>
      </w:pPr>
      <w:r w:rsidRPr="00BF2545">
        <w:rPr>
          <w:rFonts w:ascii="Arial" w:eastAsia="Calibri" w:hAnsi="Arial" w:cs="Arial"/>
          <w:sz w:val="22"/>
          <w:lang w:val="es-ES"/>
        </w:rPr>
        <w:t xml:space="preserve">Es necesario aclarar que, dado que el procedimiento contractual se desarrolla en línea y dentro de la plataforma, paulatinamente se va conformando un expediente electrónico, lo cual </w:t>
      </w:r>
      <w:r w:rsidR="00F44584" w:rsidRPr="00BF2545">
        <w:rPr>
          <w:rFonts w:ascii="Arial" w:eastAsia="Calibri" w:hAnsi="Arial" w:cs="Arial"/>
          <w:sz w:val="22"/>
          <w:lang w:val="es-ES"/>
        </w:rPr>
        <w:t xml:space="preserve">implica </w:t>
      </w:r>
      <w:r w:rsidRPr="00BF2545">
        <w:rPr>
          <w:rFonts w:ascii="Arial" w:eastAsia="Calibri" w:hAnsi="Arial" w:cs="Arial"/>
          <w:sz w:val="22"/>
          <w:lang w:val="es-ES"/>
        </w:rPr>
        <w:t xml:space="preserve">una diferencia con el SECOP I, donde el procedimiento es físico, esto es, con documentos escritos que se publican </w:t>
      </w:r>
      <w:r w:rsidR="00F44584" w:rsidRPr="00BF2545">
        <w:rPr>
          <w:rFonts w:ascii="Arial" w:eastAsia="Calibri" w:hAnsi="Arial" w:cs="Arial"/>
          <w:sz w:val="22"/>
          <w:lang w:val="es-ES"/>
        </w:rPr>
        <w:t>posteriormente</w:t>
      </w:r>
      <w:r w:rsidRPr="00BF2545">
        <w:rPr>
          <w:rFonts w:ascii="Arial" w:eastAsia="Calibri" w:hAnsi="Arial" w:cs="Arial"/>
          <w:sz w:val="22"/>
          <w:lang w:val="es-ES"/>
        </w:rPr>
        <w:t xml:space="preserve">. Al existir esa diferencia entre las dos versiones del SECOP, por regla general, no es posible </w:t>
      </w:r>
      <w:r w:rsidR="000220A5" w:rsidRPr="00BF2545">
        <w:rPr>
          <w:rFonts w:ascii="Arial" w:eastAsia="Calibri" w:hAnsi="Arial" w:cs="Arial"/>
          <w:sz w:val="22"/>
          <w:lang w:val="es-ES"/>
        </w:rPr>
        <w:t>cargar</w:t>
      </w:r>
      <w:r w:rsidRPr="00BF2545">
        <w:rPr>
          <w:rFonts w:ascii="Arial" w:eastAsia="Calibri" w:hAnsi="Arial" w:cs="Arial"/>
          <w:sz w:val="22"/>
          <w:lang w:val="es-ES"/>
        </w:rPr>
        <w:t xml:space="preserve"> en SECOP II actuaciones por escrito </w:t>
      </w:r>
      <w:r w:rsidR="000220A5" w:rsidRPr="00BF2545">
        <w:rPr>
          <w:rFonts w:ascii="Arial" w:eastAsia="Calibri" w:hAnsi="Arial" w:cs="Arial"/>
          <w:sz w:val="22"/>
          <w:lang w:val="es-ES"/>
        </w:rPr>
        <w:t xml:space="preserve">realizadas por la entidad, como ocurre en </w:t>
      </w:r>
      <w:r w:rsidRPr="00BF2545">
        <w:rPr>
          <w:rFonts w:ascii="Arial" w:eastAsia="Calibri" w:hAnsi="Arial" w:cs="Arial"/>
          <w:sz w:val="22"/>
          <w:lang w:val="es-ES"/>
        </w:rPr>
        <w:t>el SECOP I, sino que los documentos y actuaciones son electrónic</w:t>
      </w:r>
      <w:r w:rsidR="00F44584" w:rsidRPr="00BF2545">
        <w:rPr>
          <w:rFonts w:ascii="Arial" w:eastAsia="Calibri" w:hAnsi="Arial" w:cs="Arial"/>
          <w:sz w:val="22"/>
          <w:lang w:val="es-ES"/>
        </w:rPr>
        <w:t>o</w:t>
      </w:r>
      <w:r w:rsidRPr="00BF2545">
        <w:rPr>
          <w:rFonts w:ascii="Arial" w:eastAsia="Calibri" w:hAnsi="Arial" w:cs="Arial"/>
          <w:sz w:val="22"/>
          <w:lang w:val="es-ES"/>
        </w:rPr>
        <w:t xml:space="preserve">s. En efecto, </w:t>
      </w:r>
      <w:r w:rsidR="000220A5" w:rsidRPr="00BF2545">
        <w:rPr>
          <w:rFonts w:ascii="Arial" w:eastAsia="Calibri" w:hAnsi="Arial" w:cs="Arial"/>
          <w:sz w:val="22"/>
          <w:lang w:val="es-ES"/>
        </w:rPr>
        <w:t>en una de las orientaciones jurídicas del SECOP II</w:t>
      </w:r>
      <w:r w:rsidR="00625958" w:rsidRPr="00BF2545">
        <w:rPr>
          <w:rStyle w:val="Refdenotaalpie"/>
          <w:rFonts w:ascii="Arial" w:eastAsia="Calibri" w:hAnsi="Arial" w:cs="Arial"/>
          <w:sz w:val="22"/>
          <w:lang w:val="es-ES"/>
        </w:rPr>
        <w:footnoteReference w:id="4"/>
      </w:r>
      <w:r w:rsidR="000220A5" w:rsidRPr="00BF2545">
        <w:rPr>
          <w:rFonts w:ascii="Arial" w:eastAsia="Calibri" w:hAnsi="Arial" w:cs="Arial"/>
          <w:sz w:val="22"/>
          <w:lang w:val="es-ES"/>
        </w:rPr>
        <w:t xml:space="preserve">, </w:t>
      </w:r>
      <w:r w:rsidR="00F44584" w:rsidRPr="00BF2545">
        <w:rPr>
          <w:rFonts w:ascii="Arial" w:eastAsia="Calibri" w:hAnsi="Arial" w:cs="Arial"/>
          <w:sz w:val="22"/>
          <w:lang w:val="es-ES"/>
        </w:rPr>
        <w:t>l</w:t>
      </w:r>
      <w:r w:rsidR="000220A5" w:rsidRPr="00BF2545">
        <w:rPr>
          <w:rFonts w:ascii="Arial" w:eastAsia="Calibri" w:hAnsi="Arial" w:cs="Arial"/>
          <w:sz w:val="22"/>
          <w:lang w:val="es-ES"/>
        </w:rPr>
        <w:t xml:space="preserve">a Subdirección </w:t>
      </w:r>
      <w:r w:rsidR="00625958" w:rsidRPr="00BF2545">
        <w:rPr>
          <w:rFonts w:ascii="Arial" w:eastAsia="Calibri" w:hAnsi="Arial" w:cs="Arial"/>
          <w:sz w:val="22"/>
          <w:lang w:val="es-ES"/>
        </w:rPr>
        <w:t xml:space="preserve">de Gestión Contractual </w:t>
      </w:r>
      <w:r w:rsidR="00F44584" w:rsidRPr="00BF2545">
        <w:rPr>
          <w:rFonts w:ascii="Arial" w:eastAsia="Calibri" w:hAnsi="Arial" w:cs="Arial"/>
          <w:sz w:val="22"/>
          <w:lang w:val="es-ES"/>
        </w:rPr>
        <w:t>explicó que</w:t>
      </w:r>
      <w:r w:rsidR="00625958" w:rsidRPr="00BF2545">
        <w:rPr>
          <w:rFonts w:ascii="Arial" w:eastAsia="Calibri" w:hAnsi="Arial" w:cs="Arial"/>
          <w:sz w:val="22"/>
          <w:lang w:val="es-ES"/>
        </w:rPr>
        <w:t>:</w:t>
      </w:r>
    </w:p>
    <w:p w14:paraId="64E1607C" w14:textId="353F6EF5" w:rsidR="000220A5" w:rsidRPr="00BF2545" w:rsidRDefault="000220A5" w:rsidP="008522FB">
      <w:pPr>
        <w:spacing w:line="276" w:lineRule="auto"/>
        <w:ind w:firstLine="708"/>
        <w:jc w:val="both"/>
        <w:rPr>
          <w:rFonts w:ascii="Arial" w:eastAsia="Calibri" w:hAnsi="Arial" w:cs="Arial"/>
          <w:sz w:val="22"/>
          <w:lang w:val="es-ES"/>
        </w:rPr>
      </w:pPr>
    </w:p>
    <w:p w14:paraId="6D74B230" w14:textId="07600B1A" w:rsidR="00625958" w:rsidRPr="00BF2545" w:rsidRDefault="00F44584" w:rsidP="00625958">
      <w:pPr>
        <w:ind w:left="709" w:right="707"/>
        <w:jc w:val="both"/>
        <w:rPr>
          <w:rFonts w:ascii="Arial" w:eastAsia="Calibri" w:hAnsi="Arial" w:cs="Arial"/>
          <w:sz w:val="21"/>
          <w:szCs w:val="21"/>
          <w:lang w:val="es-ES"/>
        </w:rPr>
      </w:pPr>
      <w:r w:rsidRPr="00BF2545">
        <w:rPr>
          <w:rFonts w:ascii="Arial" w:eastAsia="Calibri" w:hAnsi="Arial" w:cs="Arial"/>
          <w:sz w:val="21"/>
          <w:szCs w:val="21"/>
          <w:lang w:val="es-ES"/>
        </w:rPr>
        <w:lastRenderedPageBreak/>
        <w:t xml:space="preserve">[…] </w:t>
      </w:r>
      <w:r w:rsidR="00625958" w:rsidRPr="00BF2545">
        <w:rPr>
          <w:rFonts w:ascii="Arial" w:eastAsia="Calibri" w:hAnsi="Arial" w:cs="Arial"/>
          <w:sz w:val="21"/>
          <w:szCs w:val="21"/>
          <w:lang w:val="es-ES"/>
        </w:rPr>
        <w:t xml:space="preserve">los contratos en SECOP II son electrónicos, por lo cual su publicación se da de manera simultánea a la actuación al ser una plataforma en línea. Teniendo en cuenta lo anterior no hay lugar a la publicación de manera posterior porque las actuaciones se hacen en la plataforma de manera inmediata. </w:t>
      </w:r>
    </w:p>
    <w:p w14:paraId="52BD4316" w14:textId="77777777" w:rsidR="00625958" w:rsidRPr="00BF2545" w:rsidRDefault="00625958" w:rsidP="00625958">
      <w:pPr>
        <w:ind w:left="709" w:right="707"/>
        <w:jc w:val="both"/>
        <w:rPr>
          <w:rFonts w:ascii="Arial" w:eastAsia="Calibri" w:hAnsi="Arial" w:cs="Arial"/>
          <w:sz w:val="21"/>
          <w:szCs w:val="21"/>
          <w:lang w:val="es-ES"/>
        </w:rPr>
      </w:pPr>
    </w:p>
    <w:p w14:paraId="5D9074C9" w14:textId="30E4C098" w:rsidR="000220A5" w:rsidRPr="00BF2545" w:rsidRDefault="00625958" w:rsidP="00625958">
      <w:pPr>
        <w:ind w:left="709" w:right="707"/>
        <w:jc w:val="both"/>
        <w:rPr>
          <w:rFonts w:ascii="Arial" w:eastAsia="Calibri" w:hAnsi="Arial" w:cs="Arial"/>
          <w:sz w:val="21"/>
          <w:szCs w:val="21"/>
          <w:lang w:val="es-ES"/>
        </w:rPr>
      </w:pPr>
      <w:r w:rsidRPr="00BF2545">
        <w:rPr>
          <w:rFonts w:ascii="Arial" w:eastAsia="Calibri" w:hAnsi="Arial" w:cs="Arial"/>
          <w:sz w:val="21"/>
          <w:szCs w:val="21"/>
          <w:lang w:val="es-ES"/>
        </w:rPr>
        <w:t>Los contratos en el SECOP II están compuestos por el formulario y los anexos que son, mensajes de datos que la Entidad envía al proveedor como “contrato” y el mensaje de datos de aceptación por parte del proveedor, estos mensajes acompañados de la firma electrónica y el sello de tiempo que provee la plataforma constituyen el contrato electrónico el cual tiene plena validez y fuerza obligatoria.</w:t>
      </w:r>
    </w:p>
    <w:p w14:paraId="5A7B72BB" w14:textId="4CED6199" w:rsidR="008522FB" w:rsidRPr="00BF2545" w:rsidRDefault="008522FB" w:rsidP="008522FB">
      <w:pPr>
        <w:spacing w:line="276" w:lineRule="auto"/>
        <w:ind w:firstLine="708"/>
        <w:jc w:val="both"/>
        <w:rPr>
          <w:rFonts w:ascii="Arial" w:eastAsia="Calibri" w:hAnsi="Arial" w:cs="Arial"/>
          <w:sz w:val="22"/>
          <w:lang w:val="es-ES"/>
        </w:rPr>
      </w:pPr>
    </w:p>
    <w:p w14:paraId="0A8193A1" w14:textId="4D32A4FE" w:rsidR="00CF3376" w:rsidRPr="00BF2545" w:rsidRDefault="00F44584" w:rsidP="003D2AED">
      <w:pPr>
        <w:spacing w:line="276" w:lineRule="auto"/>
        <w:ind w:firstLine="708"/>
        <w:jc w:val="both"/>
        <w:rPr>
          <w:rFonts w:ascii="Arial" w:eastAsia="Calibri" w:hAnsi="Arial" w:cs="Arial"/>
          <w:sz w:val="22"/>
          <w:lang w:val="es-ES"/>
        </w:rPr>
      </w:pPr>
      <w:r w:rsidRPr="00BF2545">
        <w:rPr>
          <w:rFonts w:ascii="Arial" w:eastAsia="Calibri" w:hAnsi="Arial" w:cs="Arial"/>
          <w:sz w:val="22"/>
          <w:lang w:val="es-ES"/>
        </w:rPr>
        <w:t>L</w:t>
      </w:r>
      <w:r w:rsidR="00625958" w:rsidRPr="00BF2545">
        <w:rPr>
          <w:rFonts w:ascii="Arial" w:eastAsia="Calibri" w:hAnsi="Arial" w:cs="Arial"/>
          <w:sz w:val="22"/>
          <w:lang w:val="es-ES"/>
        </w:rPr>
        <w:t xml:space="preserve">a plataforma SECOP II es totalmente transaccional, </w:t>
      </w:r>
      <w:r w:rsidRPr="00BF2545">
        <w:rPr>
          <w:rFonts w:ascii="Arial" w:eastAsia="Calibri" w:hAnsi="Arial" w:cs="Arial"/>
          <w:sz w:val="22"/>
          <w:lang w:val="es-ES"/>
        </w:rPr>
        <w:t>por lo</w:t>
      </w:r>
      <w:r w:rsidR="00625958" w:rsidRPr="00BF2545">
        <w:rPr>
          <w:rFonts w:ascii="Arial" w:eastAsia="Calibri" w:hAnsi="Arial" w:cs="Arial"/>
          <w:sz w:val="22"/>
          <w:lang w:val="es-ES"/>
        </w:rPr>
        <w:t xml:space="preserve"> que el trámite </w:t>
      </w:r>
      <w:r w:rsidRPr="00BF2545">
        <w:rPr>
          <w:rFonts w:ascii="Arial" w:eastAsia="Calibri" w:hAnsi="Arial" w:cs="Arial"/>
          <w:sz w:val="22"/>
          <w:lang w:val="es-ES"/>
        </w:rPr>
        <w:t>se realiza</w:t>
      </w:r>
      <w:r w:rsidR="00625958" w:rsidRPr="00BF2545">
        <w:rPr>
          <w:rFonts w:ascii="Arial" w:eastAsia="Calibri" w:hAnsi="Arial" w:cs="Arial"/>
          <w:sz w:val="22"/>
          <w:lang w:val="es-ES"/>
        </w:rPr>
        <w:t xml:space="preserve"> en línea y la publicidad </w:t>
      </w:r>
      <w:r w:rsidRPr="00BF2545">
        <w:rPr>
          <w:rFonts w:ascii="Arial" w:eastAsia="Calibri" w:hAnsi="Arial" w:cs="Arial"/>
          <w:sz w:val="22"/>
          <w:lang w:val="es-ES"/>
        </w:rPr>
        <w:t>de las actuaciones es</w:t>
      </w:r>
      <w:r w:rsidR="00625958" w:rsidRPr="00BF2545">
        <w:rPr>
          <w:rFonts w:ascii="Arial" w:eastAsia="Calibri" w:hAnsi="Arial" w:cs="Arial"/>
          <w:sz w:val="22"/>
          <w:lang w:val="es-ES"/>
        </w:rPr>
        <w:t xml:space="preserve"> concomitante</w:t>
      </w:r>
      <w:r w:rsidRPr="00BF2545">
        <w:rPr>
          <w:rFonts w:ascii="Arial" w:eastAsia="Calibri" w:hAnsi="Arial" w:cs="Arial"/>
          <w:sz w:val="22"/>
          <w:lang w:val="es-ES"/>
        </w:rPr>
        <w:t>,</w:t>
      </w:r>
      <w:r w:rsidR="00CF3376" w:rsidRPr="00BF2545">
        <w:rPr>
          <w:rFonts w:ascii="Arial" w:eastAsia="Calibri" w:hAnsi="Arial" w:cs="Arial"/>
          <w:sz w:val="22"/>
          <w:lang w:val="es-ES"/>
        </w:rPr>
        <w:t xml:space="preserve"> </w:t>
      </w:r>
      <w:r w:rsidR="00625958" w:rsidRPr="00BF2545">
        <w:rPr>
          <w:rFonts w:ascii="Arial" w:eastAsia="Calibri" w:hAnsi="Arial" w:cs="Arial"/>
          <w:sz w:val="22"/>
          <w:lang w:val="es-ES"/>
        </w:rPr>
        <w:t xml:space="preserve">según </w:t>
      </w:r>
      <w:r w:rsidRPr="00BF2545">
        <w:rPr>
          <w:rFonts w:ascii="Arial" w:eastAsia="Calibri" w:hAnsi="Arial" w:cs="Arial"/>
          <w:sz w:val="22"/>
          <w:lang w:val="es-ES"/>
        </w:rPr>
        <w:t>transcurran cada una de</w:t>
      </w:r>
      <w:r w:rsidR="00625958" w:rsidRPr="00BF2545">
        <w:rPr>
          <w:rFonts w:ascii="Arial" w:eastAsia="Calibri" w:hAnsi="Arial" w:cs="Arial"/>
          <w:sz w:val="22"/>
          <w:lang w:val="es-ES"/>
        </w:rPr>
        <w:t xml:space="preserve"> las etapas del proce</w:t>
      </w:r>
      <w:r w:rsidRPr="00BF2545">
        <w:rPr>
          <w:rFonts w:ascii="Arial" w:eastAsia="Calibri" w:hAnsi="Arial" w:cs="Arial"/>
          <w:sz w:val="22"/>
          <w:lang w:val="es-ES"/>
        </w:rPr>
        <w:t>dimiento</w:t>
      </w:r>
      <w:r w:rsidR="00625958" w:rsidRPr="00BF2545">
        <w:rPr>
          <w:rFonts w:ascii="Arial" w:eastAsia="Calibri" w:hAnsi="Arial" w:cs="Arial"/>
          <w:sz w:val="22"/>
          <w:lang w:val="es-ES"/>
        </w:rPr>
        <w:t>, lo que descarta la necesidad carga</w:t>
      </w:r>
      <w:r w:rsidRPr="00BF2545">
        <w:rPr>
          <w:rFonts w:ascii="Arial" w:eastAsia="Calibri" w:hAnsi="Arial" w:cs="Arial"/>
          <w:sz w:val="22"/>
          <w:lang w:val="es-ES"/>
        </w:rPr>
        <w:t>r</w:t>
      </w:r>
      <w:r w:rsidR="00625958" w:rsidRPr="00BF2545">
        <w:rPr>
          <w:rFonts w:ascii="Arial" w:eastAsia="Calibri" w:hAnsi="Arial" w:cs="Arial"/>
          <w:sz w:val="22"/>
          <w:lang w:val="es-ES"/>
        </w:rPr>
        <w:t xml:space="preserve"> documentación alguna.</w:t>
      </w:r>
      <w:r w:rsidR="00CF3376" w:rsidRPr="00BF2545">
        <w:rPr>
          <w:rFonts w:ascii="Arial" w:eastAsia="Calibri" w:hAnsi="Arial" w:cs="Arial"/>
          <w:sz w:val="22"/>
          <w:lang w:val="es-ES"/>
        </w:rPr>
        <w:t xml:space="preserve"> Además, de acuerdo con lo </w:t>
      </w:r>
      <w:r w:rsidR="007F2F65" w:rsidRPr="00BF2545">
        <w:rPr>
          <w:rFonts w:ascii="Arial" w:eastAsia="Calibri" w:hAnsi="Arial" w:cs="Arial"/>
          <w:sz w:val="22"/>
          <w:lang w:val="es-ES"/>
        </w:rPr>
        <w:t xml:space="preserve">prescrito </w:t>
      </w:r>
      <w:r w:rsidR="00CF3376" w:rsidRPr="00BF2545">
        <w:rPr>
          <w:rFonts w:ascii="Arial" w:eastAsia="Calibri" w:hAnsi="Arial" w:cs="Arial"/>
          <w:sz w:val="22"/>
          <w:lang w:val="es-ES"/>
        </w:rPr>
        <w:t xml:space="preserve">en el artículo 14 de a Ley 527 de 1999, en la formación del contrato, salvo acuerdo expreso entre las partes, la oferta y su aceptación podrán </w:t>
      </w:r>
      <w:r w:rsidR="007F2F65" w:rsidRPr="00BF2545">
        <w:rPr>
          <w:rFonts w:ascii="Arial" w:eastAsia="Calibri" w:hAnsi="Arial" w:cs="Arial"/>
          <w:sz w:val="22"/>
          <w:lang w:val="es-ES"/>
        </w:rPr>
        <w:t>expresarse</w:t>
      </w:r>
      <w:r w:rsidR="00CF3376" w:rsidRPr="00BF2545">
        <w:rPr>
          <w:rFonts w:ascii="Arial" w:eastAsia="Calibri" w:hAnsi="Arial" w:cs="Arial"/>
          <w:sz w:val="22"/>
          <w:lang w:val="es-ES"/>
        </w:rPr>
        <w:t xml:space="preserve"> por medio de un mensaje de datos, lo que implica que «[n]o se negará validez o fuerza obligatoria a un contrato por la sola razón de haberse utilizado en su formación uno o más mensajes de datos». </w:t>
      </w:r>
      <w:r w:rsidR="004B1CEC" w:rsidRPr="00BF2545">
        <w:rPr>
          <w:rFonts w:ascii="Arial" w:eastAsia="Calibri" w:hAnsi="Arial" w:cs="Arial"/>
          <w:sz w:val="22"/>
          <w:lang w:val="es-ES"/>
        </w:rPr>
        <w:t xml:space="preserve">Igualmente, el artículo 22 </w:t>
      </w:r>
      <w:r w:rsidR="005B6B25" w:rsidRPr="00BF2545">
        <w:rPr>
          <w:rFonts w:ascii="Arial" w:eastAsia="Calibri" w:hAnsi="Arial" w:cs="Arial"/>
          <w:i/>
          <w:iCs/>
          <w:sz w:val="22"/>
          <w:lang w:val="es-ES"/>
        </w:rPr>
        <w:t>ibídem</w:t>
      </w:r>
      <w:r w:rsidR="004B1CEC" w:rsidRPr="00BF2545">
        <w:rPr>
          <w:rFonts w:ascii="Arial" w:eastAsia="Calibri" w:hAnsi="Arial" w:cs="Arial"/>
          <w:sz w:val="22"/>
          <w:lang w:val="es-ES"/>
        </w:rPr>
        <w:t xml:space="preserve"> permite </w:t>
      </w:r>
      <w:r w:rsidR="007F2F65" w:rsidRPr="00BF2545">
        <w:rPr>
          <w:rFonts w:ascii="Arial" w:eastAsia="Calibri" w:hAnsi="Arial" w:cs="Arial"/>
          <w:sz w:val="22"/>
          <w:lang w:val="es-ES"/>
        </w:rPr>
        <w:t>dispone</w:t>
      </w:r>
      <w:r w:rsidR="004B1CEC" w:rsidRPr="00BF2545">
        <w:rPr>
          <w:rFonts w:ascii="Arial" w:eastAsia="Calibri" w:hAnsi="Arial" w:cs="Arial"/>
          <w:sz w:val="22"/>
          <w:lang w:val="es-ES"/>
        </w:rPr>
        <w:t xml:space="preserve"> que los contratos electrónicos compuestos por mensajes de datos tienen los efectos jurídicos según las normas aplicables al negocio jurídico contenido en dichos mensajes, esto es, las normas que regulan el sistema de contratación pública.</w:t>
      </w:r>
    </w:p>
    <w:p w14:paraId="1505ACB0" w14:textId="5875C7F5" w:rsidR="008522FB" w:rsidRPr="00BF2545" w:rsidRDefault="008522FB" w:rsidP="00741FD0">
      <w:pPr>
        <w:spacing w:before="120" w:line="276" w:lineRule="auto"/>
        <w:ind w:firstLine="709"/>
        <w:jc w:val="both"/>
        <w:rPr>
          <w:rFonts w:ascii="Arial" w:eastAsia="Calibri" w:hAnsi="Arial" w:cs="Arial"/>
          <w:sz w:val="22"/>
          <w:lang w:val="es-ES"/>
        </w:rPr>
      </w:pPr>
      <w:r w:rsidRPr="00BF2545">
        <w:rPr>
          <w:rFonts w:ascii="Arial" w:eastAsia="Calibri" w:hAnsi="Arial" w:cs="Arial"/>
          <w:sz w:val="22"/>
          <w:lang w:val="es-ES"/>
        </w:rPr>
        <w:t>No obstante, eventualmente puede ocurrir que al SECOP II se deban</w:t>
      </w:r>
      <w:r w:rsidR="00E75AA7" w:rsidRPr="00BF2545">
        <w:rPr>
          <w:rFonts w:ascii="Arial" w:eastAsia="Calibri" w:hAnsi="Arial" w:cs="Arial"/>
          <w:sz w:val="22"/>
          <w:lang w:val="es-ES"/>
        </w:rPr>
        <w:t xml:space="preserve"> </w:t>
      </w:r>
      <w:r w:rsidRPr="00BF2545">
        <w:rPr>
          <w:rFonts w:ascii="Arial" w:eastAsia="Calibri" w:hAnsi="Arial" w:cs="Arial"/>
          <w:sz w:val="22"/>
          <w:lang w:val="es-ES"/>
        </w:rPr>
        <w:t xml:space="preserve">cargar documentos suscritos por las partes, previamente digitalizados. Esto ocurre, por ejemplo, </w:t>
      </w:r>
      <w:r w:rsidR="00524299" w:rsidRPr="00BF2545">
        <w:rPr>
          <w:rFonts w:ascii="Arial" w:eastAsia="Calibri" w:hAnsi="Arial" w:cs="Arial"/>
          <w:sz w:val="22"/>
          <w:lang w:val="es-ES"/>
        </w:rPr>
        <w:t xml:space="preserve">con los estudios previos, el informe de evaluación, la resolución de adjudicación o </w:t>
      </w:r>
      <w:r w:rsidRPr="00BF2545">
        <w:rPr>
          <w:rFonts w:ascii="Arial" w:eastAsia="Calibri" w:hAnsi="Arial" w:cs="Arial"/>
          <w:sz w:val="22"/>
          <w:lang w:val="es-ES"/>
        </w:rPr>
        <w:t xml:space="preserve">con </w:t>
      </w:r>
      <w:r w:rsidR="004E4273" w:rsidRPr="00BF2545">
        <w:rPr>
          <w:rFonts w:ascii="Arial" w:eastAsia="Calibri" w:hAnsi="Arial" w:cs="Arial"/>
          <w:sz w:val="22"/>
          <w:lang w:val="es-ES"/>
        </w:rPr>
        <w:t>el clausulado del contrato, entre otras actuaciones en las que los usuarios quedan habilitados para cargar documentos en la plataforma</w:t>
      </w:r>
      <w:r w:rsidRPr="00BF2545">
        <w:rPr>
          <w:rFonts w:ascii="Arial" w:eastAsia="Calibri" w:hAnsi="Arial" w:cs="Arial"/>
          <w:sz w:val="22"/>
          <w:lang w:val="es-ES"/>
        </w:rPr>
        <w:t xml:space="preserve">. </w:t>
      </w:r>
      <w:r w:rsidR="00E75AA7" w:rsidRPr="00BF2545">
        <w:rPr>
          <w:rFonts w:ascii="Arial" w:eastAsia="Calibri" w:hAnsi="Arial" w:cs="Arial"/>
          <w:sz w:val="22"/>
          <w:lang w:val="es-ES"/>
        </w:rPr>
        <w:t>S</w:t>
      </w:r>
      <w:r w:rsidRPr="00BF2545">
        <w:rPr>
          <w:rFonts w:ascii="Arial" w:eastAsia="Calibri" w:hAnsi="Arial" w:cs="Arial"/>
          <w:sz w:val="22"/>
          <w:lang w:val="es-ES"/>
        </w:rPr>
        <w:t>e trata de algo excepcional</w:t>
      </w:r>
      <w:r w:rsidR="004E4273" w:rsidRPr="00BF2545">
        <w:rPr>
          <w:rFonts w:ascii="Arial" w:eastAsia="Calibri" w:hAnsi="Arial" w:cs="Arial"/>
          <w:sz w:val="22"/>
          <w:lang w:val="es-ES"/>
        </w:rPr>
        <w:t xml:space="preserve">, pues, se insiste, el SECOP II es </w:t>
      </w:r>
      <w:r w:rsidR="00524299" w:rsidRPr="00BF2545">
        <w:rPr>
          <w:rFonts w:ascii="Arial" w:eastAsia="Calibri" w:hAnsi="Arial" w:cs="Arial"/>
          <w:sz w:val="22"/>
          <w:lang w:val="es-ES"/>
        </w:rPr>
        <w:t xml:space="preserve">una plataforma </w:t>
      </w:r>
      <w:r w:rsidR="004E4273" w:rsidRPr="00BF2545">
        <w:rPr>
          <w:rFonts w:ascii="Arial" w:eastAsia="Calibri" w:hAnsi="Arial" w:cs="Arial"/>
          <w:sz w:val="22"/>
          <w:lang w:val="es-ES"/>
        </w:rPr>
        <w:t>esencialmente transaccional</w:t>
      </w:r>
      <w:r w:rsidR="00524299" w:rsidRPr="00BF2545">
        <w:rPr>
          <w:rFonts w:ascii="Arial" w:eastAsia="Calibri" w:hAnsi="Arial" w:cs="Arial"/>
          <w:sz w:val="22"/>
          <w:lang w:val="es-ES"/>
        </w:rPr>
        <w:t>, distinta de la SECOP I que es una herramienta eminentemente publicitaria</w:t>
      </w:r>
      <w:r w:rsidR="004E4273" w:rsidRPr="00BF2545">
        <w:rPr>
          <w:rFonts w:ascii="Arial" w:eastAsia="Calibri" w:hAnsi="Arial" w:cs="Arial"/>
          <w:sz w:val="22"/>
          <w:lang w:val="es-ES"/>
        </w:rPr>
        <w:t>.</w:t>
      </w:r>
    </w:p>
    <w:p w14:paraId="4B1975A6" w14:textId="06C0DE1A" w:rsidR="004E4273" w:rsidRPr="00BF2545" w:rsidRDefault="003800A7" w:rsidP="004E4273">
      <w:pPr>
        <w:spacing w:before="120" w:line="276" w:lineRule="auto"/>
        <w:ind w:firstLine="709"/>
        <w:jc w:val="both"/>
        <w:rPr>
          <w:rFonts w:ascii="Arial" w:eastAsia="Calibri" w:hAnsi="Arial" w:cs="Arial"/>
          <w:sz w:val="22"/>
          <w:lang w:val="es-ES"/>
        </w:rPr>
      </w:pPr>
      <w:r w:rsidRPr="00BF2545">
        <w:rPr>
          <w:rFonts w:ascii="Arial" w:eastAsia="Calibri" w:hAnsi="Arial" w:cs="Arial"/>
          <w:sz w:val="22"/>
          <w:lang w:val="es-ES"/>
        </w:rPr>
        <w:t xml:space="preserve">Dicho </w:t>
      </w:r>
      <w:r w:rsidR="004E4273" w:rsidRPr="00BF2545">
        <w:rPr>
          <w:rFonts w:ascii="Arial" w:eastAsia="Calibri" w:hAnsi="Arial" w:cs="Arial"/>
          <w:sz w:val="22"/>
          <w:lang w:val="es-ES"/>
        </w:rPr>
        <w:t>carácter excepcional</w:t>
      </w:r>
      <w:r w:rsidRPr="00BF2545">
        <w:rPr>
          <w:rFonts w:ascii="Arial" w:eastAsia="Calibri" w:hAnsi="Arial" w:cs="Arial"/>
          <w:sz w:val="22"/>
          <w:lang w:val="es-ES"/>
        </w:rPr>
        <w:t>, además, se justifica en la necesidad de evitar los</w:t>
      </w:r>
      <w:r w:rsidR="004E4273" w:rsidRPr="00BF2545">
        <w:rPr>
          <w:rFonts w:ascii="Arial" w:eastAsia="Calibri" w:hAnsi="Arial" w:cs="Arial"/>
          <w:sz w:val="22"/>
          <w:lang w:val="es-ES"/>
        </w:rPr>
        <w:t xml:space="preserve"> </w:t>
      </w:r>
      <w:r w:rsidRPr="00BF2545">
        <w:rPr>
          <w:rFonts w:ascii="Arial" w:eastAsia="Calibri" w:hAnsi="Arial" w:cs="Arial"/>
          <w:sz w:val="22"/>
          <w:lang w:val="es-ES"/>
        </w:rPr>
        <w:t>problemas</w:t>
      </w:r>
      <w:r w:rsidR="004E4273" w:rsidRPr="00BF2545">
        <w:rPr>
          <w:rFonts w:ascii="Arial" w:eastAsia="Calibri" w:hAnsi="Arial" w:cs="Arial"/>
          <w:sz w:val="22"/>
          <w:lang w:val="es-ES"/>
        </w:rPr>
        <w:t xml:space="preserve"> que puede</w:t>
      </w:r>
      <w:r w:rsidR="00741FD0" w:rsidRPr="00BF2545">
        <w:rPr>
          <w:rFonts w:ascii="Arial" w:eastAsia="Calibri" w:hAnsi="Arial" w:cs="Arial"/>
          <w:sz w:val="22"/>
          <w:lang w:val="es-ES"/>
        </w:rPr>
        <w:t>n</w:t>
      </w:r>
      <w:r w:rsidR="004E4273" w:rsidRPr="00BF2545">
        <w:rPr>
          <w:rFonts w:ascii="Arial" w:eastAsia="Calibri" w:hAnsi="Arial" w:cs="Arial"/>
          <w:sz w:val="22"/>
          <w:lang w:val="es-ES"/>
        </w:rPr>
        <w:t xml:space="preserve"> surgir ante la duplicidad de información, como, por ejemplo, la discrepancia entre el texto tramitado en el SECOP II y el que la entidad carga a la plataforma, problemática </w:t>
      </w:r>
      <w:r w:rsidRPr="00BF2545">
        <w:rPr>
          <w:rFonts w:ascii="Arial" w:eastAsia="Calibri" w:hAnsi="Arial" w:cs="Arial"/>
          <w:sz w:val="22"/>
          <w:lang w:val="es-ES"/>
        </w:rPr>
        <w:t xml:space="preserve">particular </w:t>
      </w:r>
      <w:r w:rsidR="004E4273" w:rsidRPr="00BF2545">
        <w:rPr>
          <w:rFonts w:ascii="Arial" w:eastAsia="Calibri" w:hAnsi="Arial" w:cs="Arial"/>
          <w:sz w:val="22"/>
          <w:lang w:val="es-ES"/>
        </w:rPr>
        <w:t xml:space="preserve">cuya solución será abordada en el numeral 2.2. </w:t>
      </w:r>
      <w:r w:rsidR="004E4273" w:rsidRPr="00BF2545">
        <w:rPr>
          <w:rFonts w:ascii="Arial" w:eastAsia="Calibri" w:hAnsi="Arial" w:cs="Arial"/>
          <w:i/>
          <w:iCs/>
          <w:sz w:val="22"/>
          <w:lang w:val="es-ES"/>
        </w:rPr>
        <w:t>infra</w:t>
      </w:r>
      <w:r w:rsidR="004E4273" w:rsidRPr="00BF2545">
        <w:rPr>
          <w:rFonts w:ascii="Arial" w:eastAsia="Calibri" w:hAnsi="Arial" w:cs="Arial"/>
          <w:sz w:val="22"/>
          <w:lang w:val="es-ES"/>
        </w:rPr>
        <w:t xml:space="preserve">. </w:t>
      </w:r>
    </w:p>
    <w:p w14:paraId="45BF55A3" w14:textId="0178392F" w:rsidR="008522FB" w:rsidRPr="00BF2545" w:rsidRDefault="008522FB" w:rsidP="008522FB">
      <w:pPr>
        <w:spacing w:before="120"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t xml:space="preserve">Colombia Compra Eficiente realizó el despliegue de SECOP II a nivel territorial en el 2018 y 2019, por lo </w:t>
      </w:r>
      <w:r w:rsidR="001D3405" w:rsidRPr="00BF2545">
        <w:rPr>
          <w:rFonts w:ascii="Arial" w:eastAsia="Calibri" w:hAnsi="Arial" w:cs="Arial"/>
          <w:sz w:val="22"/>
          <w:lang w:val="es-ES"/>
        </w:rPr>
        <w:t>que</w:t>
      </w:r>
      <w:r w:rsidRPr="00BF2545">
        <w:rPr>
          <w:rFonts w:ascii="Arial" w:eastAsia="Calibri" w:hAnsi="Arial" w:cs="Arial"/>
          <w:sz w:val="22"/>
          <w:lang w:val="es-ES"/>
        </w:rPr>
        <w:t xml:space="preserve"> expidió la Circular Externa No. 1 de 2019 sobre la obligatoriedad del uso del SECOP II en el 2020, </w:t>
      </w:r>
      <w:r w:rsidR="001D3405" w:rsidRPr="00BF2545">
        <w:rPr>
          <w:rFonts w:ascii="Arial" w:eastAsia="Calibri" w:hAnsi="Arial" w:cs="Arial"/>
          <w:sz w:val="22"/>
          <w:lang w:val="es-ES"/>
        </w:rPr>
        <w:t>la cual</w:t>
      </w:r>
      <w:r w:rsidRPr="00BF2545">
        <w:rPr>
          <w:rFonts w:ascii="Arial" w:eastAsia="Calibri" w:hAnsi="Arial" w:cs="Arial"/>
          <w:sz w:val="22"/>
          <w:lang w:val="es-ES"/>
        </w:rPr>
        <w:t xml:space="preserve"> dispone</w:t>
      </w:r>
      <w:r w:rsidR="001D3405" w:rsidRPr="00BF2545">
        <w:rPr>
          <w:rFonts w:ascii="Arial" w:eastAsia="Calibri" w:hAnsi="Arial" w:cs="Arial"/>
          <w:sz w:val="22"/>
          <w:lang w:val="es-ES"/>
        </w:rPr>
        <w:t xml:space="preserve"> que</w:t>
      </w:r>
      <w:r w:rsidRPr="00BF2545">
        <w:rPr>
          <w:rFonts w:ascii="Arial" w:eastAsia="Calibri" w:hAnsi="Arial" w:cs="Arial"/>
          <w:sz w:val="22"/>
          <w:lang w:val="es-ES"/>
        </w:rPr>
        <w:t xml:space="preserve">: «a partir del 1 de enero de 2020, todos los procesos de contratación de las entidades relacionadas en el Anexo 1 de esta circular deberán gestionarse, exclusivamente, en el SECOP ll». </w:t>
      </w:r>
      <w:r w:rsidR="001D3405" w:rsidRPr="00BF2545">
        <w:rPr>
          <w:rFonts w:ascii="Arial" w:eastAsia="Calibri" w:hAnsi="Arial" w:cs="Arial"/>
          <w:sz w:val="22"/>
          <w:lang w:val="es-ES"/>
        </w:rPr>
        <w:t>L</w:t>
      </w:r>
      <w:r w:rsidRPr="00BF2545">
        <w:rPr>
          <w:rFonts w:ascii="Arial" w:eastAsia="Calibri" w:hAnsi="Arial" w:cs="Arial"/>
          <w:sz w:val="22"/>
          <w:lang w:val="es-ES"/>
        </w:rPr>
        <w:t xml:space="preserve">as entidades públicas relacionadas en dicho anexo </w:t>
      </w:r>
      <w:r w:rsidR="001D3405" w:rsidRPr="00BF2545">
        <w:rPr>
          <w:rFonts w:ascii="Arial" w:eastAsia="Calibri" w:hAnsi="Arial" w:cs="Arial"/>
          <w:sz w:val="22"/>
          <w:lang w:val="es-ES"/>
        </w:rPr>
        <w:t>están</w:t>
      </w:r>
      <w:r w:rsidRPr="00BF2545">
        <w:rPr>
          <w:rFonts w:ascii="Arial" w:eastAsia="Calibri" w:hAnsi="Arial" w:cs="Arial"/>
          <w:sz w:val="22"/>
          <w:lang w:val="es-ES"/>
        </w:rPr>
        <w:t xml:space="preserve"> obligadas al uso de la plataforma</w:t>
      </w:r>
      <w:r w:rsidR="001D3405" w:rsidRPr="00BF2545">
        <w:rPr>
          <w:rFonts w:ascii="Arial" w:eastAsia="Calibri" w:hAnsi="Arial" w:cs="Arial"/>
          <w:sz w:val="22"/>
          <w:lang w:val="es-ES"/>
        </w:rPr>
        <w:t>.</w:t>
      </w:r>
    </w:p>
    <w:p w14:paraId="58453996" w14:textId="77777777" w:rsidR="008522FB" w:rsidRPr="00BF2545" w:rsidRDefault="008522FB" w:rsidP="008522FB">
      <w:pPr>
        <w:spacing w:before="120"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lastRenderedPageBreak/>
        <w:t xml:space="preserve">Este plazo fue prorrogado por la Agencia Nacional de Contratación Pública – Colombia Compra Eficiente, mediante la Circular Externa No. 2 de 2019, a través de la cual se amplió «la </w:t>
      </w:r>
      <w:proofErr w:type="gramStart"/>
      <w:r w:rsidRPr="00BF2545">
        <w:rPr>
          <w:rFonts w:ascii="Arial" w:eastAsia="Calibri" w:hAnsi="Arial" w:cs="Arial"/>
          <w:sz w:val="22"/>
          <w:lang w:val="es-ES"/>
        </w:rPr>
        <w:t>entrada en vigencia</w:t>
      </w:r>
      <w:proofErr w:type="gramEnd"/>
      <w:r w:rsidRPr="00BF2545">
        <w:rPr>
          <w:rFonts w:ascii="Arial" w:eastAsia="Calibri" w:hAnsi="Arial" w:cs="Arial"/>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72BF1FF5" w14:textId="2D7B071F" w:rsidR="008522FB" w:rsidRPr="00BF2545" w:rsidRDefault="008522FB" w:rsidP="008522FB">
      <w:pPr>
        <w:spacing w:before="120" w:after="120" w:line="276" w:lineRule="auto"/>
        <w:ind w:firstLine="708"/>
        <w:jc w:val="both"/>
        <w:rPr>
          <w:rFonts w:ascii="Arial" w:eastAsia="Calibri" w:hAnsi="Arial" w:cs="Arial"/>
          <w:sz w:val="22"/>
          <w:lang w:val="es-ES"/>
        </w:rPr>
      </w:pPr>
      <w:r w:rsidRPr="00BF2545">
        <w:rPr>
          <w:rFonts w:ascii="Arial" w:eastAsia="Calibri" w:hAnsi="Arial" w:cs="Arial"/>
          <w:sz w:val="22"/>
          <w:lang w:val="es-ES"/>
        </w:rPr>
        <w:t>Los primeros, porque no alcanzaron a capacita</w:t>
      </w:r>
      <w:r w:rsidR="003E136E" w:rsidRPr="00BF2545">
        <w:rPr>
          <w:rFonts w:ascii="Arial" w:eastAsia="Calibri" w:hAnsi="Arial" w:cs="Arial"/>
          <w:sz w:val="22"/>
          <w:lang w:val="es-ES"/>
        </w:rPr>
        <w:t>r</w:t>
      </w:r>
      <w:r w:rsidRPr="00BF2545">
        <w:rPr>
          <w:rFonts w:ascii="Arial" w:eastAsia="Calibri" w:hAnsi="Arial" w:cs="Arial"/>
          <w:sz w:val="22"/>
          <w:lang w:val="es-ES"/>
        </w:rPr>
        <w:t>s</w:t>
      </w:r>
      <w:r w:rsidR="003E136E" w:rsidRPr="00BF2545">
        <w:rPr>
          <w:rFonts w:ascii="Arial" w:eastAsia="Calibri" w:hAnsi="Arial" w:cs="Arial"/>
          <w:sz w:val="22"/>
          <w:lang w:val="es-ES"/>
        </w:rPr>
        <w:t>e</w:t>
      </w:r>
      <w:r w:rsidRPr="00BF2545">
        <w:rPr>
          <w:rFonts w:ascii="Arial" w:eastAsia="Calibri" w:hAnsi="Arial" w:cs="Arial"/>
          <w:sz w:val="22"/>
          <w:lang w:val="es-ES"/>
        </w:rPr>
        <w:t xml:space="preserve"> en el uso de la plataforma SECOP II, </w:t>
      </w:r>
      <w:r w:rsidR="003E136E" w:rsidRPr="00BF2545">
        <w:rPr>
          <w:rFonts w:ascii="Arial" w:eastAsia="Calibri" w:hAnsi="Arial" w:cs="Arial"/>
          <w:sz w:val="22"/>
          <w:lang w:val="es-ES"/>
        </w:rPr>
        <w:t>dado</w:t>
      </w:r>
      <w:r w:rsidRPr="00BF2545">
        <w:rPr>
          <w:rFonts w:ascii="Arial" w:eastAsia="Calibri" w:hAnsi="Arial" w:cs="Arial"/>
          <w:sz w:val="22"/>
          <w:lang w:val="es-ES"/>
        </w:rPr>
        <w:t xml:space="preserve"> que los programas de formación se suspendieron por la ocasionada por el Coronavirus </w:t>
      </w:r>
      <w:r w:rsidR="003E136E" w:rsidRPr="00BF2545">
        <w:rPr>
          <w:rFonts w:ascii="Arial" w:eastAsia="Calibri" w:hAnsi="Arial" w:cs="Arial"/>
          <w:sz w:val="22"/>
          <w:lang w:val="es-ES"/>
        </w:rPr>
        <w:t>–</w:t>
      </w:r>
      <w:r w:rsidRPr="00BF2545">
        <w:rPr>
          <w:rFonts w:ascii="Arial" w:eastAsia="Calibri" w:hAnsi="Arial" w:cs="Arial"/>
          <w:sz w:val="22"/>
          <w:lang w:val="es-ES"/>
        </w:rPr>
        <w:t>COVID 19</w:t>
      </w:r>
      <w:r w:rsidR="003E136E" w:rsidRPr="00BF2545">
        <w:rPr>
          <w:rFonts w:ascii="Arial" w:eastAsia="Calibri" w:hAnsi="Arial" w:cs="Arial"/>
          <w:sz w:val="22"/>
          <w:lang w:val="es-ES"/>
        </w:rPr>
        <w:t>–</w:t>
      </w:r>
      <w:r w:rsidRPr="00BF2545">
        <w:rPr>
          <w:rFonts w:ascii="Arial" w:eastAsia="Calibri" w:hAnsi="Arial" w:cs="Arial"/>
          <w:sz w:val="22"/>
          <w:lang w:val="es-ES"/>
        </w:rPr>
        <w:t>. Los segundos, debido a que «las velocidades de carga son insuficientes para operar la plataforma en [sus] territorios», esto es, por problemas de capacidad técnica de las redes.</w:t>
      </w:r>
    </w:p>
    <w:p w14:paraId="69379783" w14:textId="1FAC14DE" w:rsidR="003800A7" w:rsidRPr="00BF2545" w:rsidRDefault="0010569C" w:rsidP="003D2AED">
      <w:pPr>
        <w:spacing w:line="276" w:lineRule="auto"/>
        <w:ind w:firstLine="708"/>
        <w:jc w:val="both"/>
        <w:rPr>
          <w:rFonts w:ascii="Arial" w:eastAsia="Calibri" w:hAnsi="Arial" w:cs="Arial"/>
          <w:sz w:val="22"/>
        </w:rPr>
      </w:pPr>
      <w:r w:rsidRPr="00BF2545">
        <w:rPr>
          <w:rFonts w:ascii="Arial" w:eastAsia="Calibri" w:hAnsi="Arial" w:cs="Arial"/>
          <w:sz w:val="22"/>
        </w:rPr>
        <w:t xml:space="preserve">En </w:t>
      </w:r>
      <w:r w:rsidR="003800A7" w:rsidRPr="00BF2545">
        <w:rPr>
          <w:rFonts w:ascii="Arial" w:eastAsia="Calibri" w:hAnsi="Arial" w:cs="Arial"/>
          <w:sz w:val="22"/>
        </w:rPr>
        <w:t>suma, l</w:t>
      </w:r>
      <w:r w:rsidR="003E136E" w:rsidRPr="00BF2545">
        <w:rPr>
          <w:rFonts w:ascii="Arial" w:eastAsia="Calibri" w:hAnsi="Arial" w:cs="Arial"/>
          <w:sz w:val="22"/>
        </w:rPr>
        <w:t>os</w:t>
      </w:r>
      <w:r w:rsidR="003800A7" w:rsidRPr="00BF2545">
        <w:rPr>
          <w:rFonts w:ascii="Arial" w:eastAsia="Calibri" w:hAnsi="Arial" w:cs="Arial"/>
          <w:sz w:val="22"/>
        </w:rPr>
        <w:t xml:space="preserve"> </w:t>
      </w:r>
      <w:r w:rsidRPr="00BF2545">
        <w:rPr>
          <w:rFonts w:ascii="Arial" w:eastAsia="Calibri" w:hAnsi="Arial" w:cs="Arial"/>
          <w:sz w:val="22"/>
        </w:rPr>
        <w:t>proce</w:t>
      </w:r>
      <w:r w:rsidR="003E136E" w:rsidRPr="00BF2545">
        <w:rPr>
          <w:rFonts w:ascii="Arial" w:eastAsia="Calibri" w:hAnsi="Arial" w:cs="Arial"/>
          <w:sz w:val="22"/>
        </w:rPr>
        <w:t>dimientos</w:t>
      </w:r>
      <w:r w:rsidRPr="00BF2545">
        <w:rPr>
          <w:rFonts w:ascii="Arial" w:eastAsia="Calibri" w:hAnsi="Arial" w:cs="Arial"/>
          <w:sz w:val="22"/>
        </w:rPr>
        <w:t xml:space="preserve"> contractual</w:t>
      </w:r>
      <w:r w:rsidR="003E136E" w:rsidRPr="00BF2545">
        <w:rPr>
          <w:rFonts w:ascii="Arial" w:eastAsia="Calibri" w:hAnsi="Arial" w:cs="Arial"/>
          <w:sz w:val="22"/>
        </w:rPr>
        <w:t>es</w:t>
      </w:r>
      <w:r w:rsidRPr="00BF2545">
        <w:rPr>
          <w:rFonts w:ascii="Arial" w:eastAsia="Calibri" w:hAnsi="Arial" w:cs="Arial"/>
          <w:sz w:val="22"/>
        </w:rPr>
        <w:t xml:space="preserve"> </w:t>
      </w:r>
      <w:r w:rsidR="003E136E" w:rsidRPr="00BF2545">
        <w:rPr>
          <w:rFonts w:ascii="Arial" w:eastAsia="Calibri" w:hAnsi="Arial" w:cs="Arial"/>
          <w:sz w:val="22"/>
        </w:rPr>
        <w:t>son</w:t>
      </w:r>
      <w:r w:rsidR="00BB12D1" w:rsidRPr="00BF2545">
        <w:rPr>
          <w:rFonts w:ascii="Arial" w:eastAsia="Calibri" w:hAnsi="Arial" w:cs="Arial"/>
          <w:sz w:val="22"/>
        </w:rPr>
        <w:t xml:space="preserve"> esencialmente</w:t>
      </w:r>
      <w:r w:rsidRPr="00BF2545">
        <w:rPr>
          <w:rFonts w:ascii="Arial" w:eastAsia="Calibri" w:hAnsi="Arial" w:cs="Arial"/>
          <w:sz w:val="22"/>
        </w:rPr>
        <w:t xml:space="preserve"> </w:t>
      </w:r>
      <w:r w:rsidR="003800A7" w:rsidRPr="00BF2545">
        <w:rPr>
          <w:rFonts w:ascii="Arial" w:eastAsia="Calibri" w:hAnsi="Arial" w:cs="Arial"/>
          <w:sz w:val="22"/>
        </w:rPr>
        <w:t>reglado</w:t>
      </w:r>
      <w:r w:rsidR="003E136E" w:rsidRPr="00BF2545">
        <w:rPr>
          <w:rFonts w:ascii="Arial" w:eastAsia="Calibri" w:hAnsi="Arial" w:cs="Arial"/>
          <w:sz w:val="22"/>
        </w:rPr>
        <w:t>s</w:t>
      </w:r>
      <w:r w:rsidR="003800A7" w:rsidRPr="00BF2545">
        <w:rPr>
          <w:rFonts w:ascii="Arial" w:eastAsia="Calibri" w:hAnsi="Arial" w:cs="Arial"/>
          <w:sz w:val="22"/>
        </w:rPr>
        <w:t xml:space="preserve"> y, por ende, las entidades públicas están obligadas adelantarlo según los términos y etapas establecidas en la ley. </w:t>
      </w:r>
      <w:r w:rsidR="003E136E" w:rsidRPr="00BF2545">
        <w:rPr>
          <w:rFonts w:ascii="Arial" w:eastAsia="Calibri" w:hAnsi="Arial" w:cs="Arial"/>
          <w:sz w:val="22"/>
        </w:rPr>
        <w:t>Estos</w:t>
      </w:r>
      <w:r w:rsidR="003800A7" w:rsidRPr="00BF2545">
        <w:rPr>
          <w:rFonts w:ascii="Arial" w:eastAsia="Calibri" w:hAnsi="Arial" w:cs="Arial"/>
          <w:sz w:val="22"/>
        </w:rPr>
        <w:t xml:space="preserve"> </w:t>
      </w:r>
      <w:r w:rsidR="00BB12D1" w:rsidRPr="00BF2545">
        <w:rPr>
          <w:rFonts w:ascii="Arial" w:eastAsia="Calibri" w:hAnsi="Arial" w:cs="Arial"/>
          <w:sz w:val="22"/>
        </w:rPr>
        <w:t>podrá</w:t>
      </w:r>
      <w:r w:rsidR="003800A7" w:rsidRPr="00BF2545">
        <w:rPr>
          <w:rFonts w:ascii="Arial" w:eastAsia="Calibri" w:hAnsi="Arial" w:cs="Arial"/>
          <w:sz w:val="22"/>
        </w:rPr>
        <w:t>n tramitarse de forma escrita y tradicional o de forma electrónica a través del SECOP</w:t>
      </w:r>
      <w:r w:rsidR="00660D4A" w:rsidRPr="00BF2545">
        <w:rPr>
          <w:rFonts w:ascii="Arial" w:eastAsia="Calibri" w:hAnsi="Arial" w:cs="Arial"/>
          <w:sz w:val="22"/>
        </w:rPr>
        <w:t xml:space="preserve"> II</w:t>
      </w:r>
      <w:r w:rsidR="003800A7" w:rsidRPr="00BF2545">
        <w:rPr>
          <w:rFonts w:ascii="Arial" w:eastAsia="Calibri" w:hAnsi="Arial" w:cs="Arial"/>
          <w:sz w:val="22"/>
        </w:rPr>
        <w:t xml:space="preserve">, dentro de los límites y </w:t>
      </w:r>
      <w:r w:rsidR="003E136E" w:rsidRPr="00BF2545">
        <w:rPr>
          <w:rFonts w:ascii="Arial" w:eastAsia="Calibri" w:hAnsi="Arial" w:cs="Arial"/>
          <w:sz w:val="22"/>
        </w:rPr>
        <w:t xml:space="preserve">criterios </w:t>
      </w:r>
      <w:r w:rsidR="003800A7" w:rsidRPr="00BF2545">
        <w:rPr>
          <w:rFonts w:ascii="Arial" w:eastAsia="Calibri" w:hAnsi="Arial" w:cs="Arial"/>
          <w:sz w:val="22"/>
        </w:rPr>
        <w:t xml:space="preserve">de obligatoriedad </w:t>
      </w:r>
      <w:r w:rsidR="003E136E" w:rsidRPr="00BF2545">
        <w:rPr>
          <w:rFonts w:ascii="Arial" w:eastAsia="Calibri" w:hAnsi="Arial" w:cs="Arial"/>
          <w:sz w:val="22"/>
        </w:rPr>
        <w:t xml:space="preserve">indicados </w:t>
      </w:r>
      <w:r w:rsidR="003E136E" w:rsidRPr="00E8248F">
        <w:rPr>
          <w:rFonts w:ascii="Arial" w:eastAsia="Calibri" w:hAnsi="Arial" w:cs="Arial"/>
          <w:i/>
          <w:iCs/>
          <w:sz w:val="22"/>
        </w:rPr>
        <w:t>ut supra</w:t>
      </w:r>
      <w:r w:rsidR="003800A7" w:rsidRPr="00BF2545">
        <w:rPr>
          <w:rFonts w:ascii="Arial" w:eastAsia="Calibri" w:hAnsi="Arial" w:cs="Arial"/>
          <w:sz w:val="22"/>
        </w:rPr>
        <w:t xml:space="preserve">. Igualmente, </w:t>
      </w:r>
      <w:r w:rsidR="003E136E" w:rsidRPr="00BF2545">
        <w:rPr>
          <w:rFonts w:ascii="Arial" w:eastAsia="Calibri" w:hAnsi="Arial" w:cs="Arial"/>
          <w:sz w:val="22"/>
        </w:rPr>
        <w:t>n</w:t>
      </w:r>
      <w:r w:rsidR="00660D4A" w:rsidRPr="00BF2545">
        <w:rPr>
          <w:rFonts w:ascii="Arial" w:eastAsia="Calibri" w:hAnsi="Arial" w:cs="Arial"/>
          <w:sz w:val="22"/>
        </w:rPr>
        <w:t xml:space="preserve">o es posible realizar el trámite de forma mixta, esto es, escrito y electrónico, lo cual no excluye </w:t>
      </w:r>
      <w:r w:rsidR="00BB12D1" w:rsidRPr="00BF2545">
        <w:rPr>
          <w:rFonts w:ascii="Arial" w:eastAsia="Calibri" w:hAnsi="Arial" w:cs="Arial"/>
          <w:sz w:val="22"/>
        </w:rPr>
        <w:t>que</w:t>
      </w:r>
      <w:r w:rsidR="00660D4A" w:rsidRPr="00BF2545">
        <w:rPr>
          <w:rFonts w:ascii="Arial" w:eastAsia="Calibri" w:hAnsi="Arial" w:cs="Arial"/>
          <w:sz w:val="22"/>
        </w:rPr>
        <w:t>, excepcional</w:t>
      </w:r>
      <w:r w:rsidR="002B13FB" w:rsidRPr="00BF2545">
        <w:rPr>
          <w:rFonts w:ascii="Arial" w:eastAsia="Calibri" w:hAnsi="Arial" w:cs="Arial"/>
          <w:sz w:val="22"/>
        </w:rPr>
        <w:t>mente</w:t>
      </w:r>
      <w:r w:rsidR="00660D4A" w:rsidRPr="00BF2545">
        <w:rPr>
          <w:rFonts w:ascii="Arial" w:eastAsia="Calibri" w:hAnsi="Arial" w:cs="Arial"/>
          <w:sz w:val="22"/>
        </w:rPr>
        <w:t xml:space="preserve">, </w:t>
      </w:r>
      <w:r w:rsidR="00BB12D1" w:rsidRPr="00BF2545">
        <w:rPr>
          <w:rFonts w:ascii="Arial" w:eastAsia="Calibri" w:hAnsi="Arial" w:cs="Arial"/>
          <w:sz w:val="22"/>
        </w:rPr>
        <w:t xml:space="preserve">puedan y deban cargarse </w:t>
      </w:r>
      <w:r w:rsidR="00660D4A" w:rsidRPr="00BF2545">
        <w:rPr>
          <w:rFonts w:ascii="Arial" w:eastAsia="Calibri" w:hAnsi="Arial" w:cs="Arial"/>
          <w:sz w:val="22"/>
        </w:rPr>
        <w:t xml:space="preserve">algunos documentos digitalizados </w:t>
      </w:r>
      <w:r w:rsidR="002B13FB" w:rsidRPr="00BF2545">
        <w:rPr>
          <w:rFonts w:ascii="Arial" w:eastAsia="Calibri" w:hAnsi="Arial" w:cs="Arial"/>
          <w:sz w:val="22"/>
        </w:rPr>
        <w:t>al SECOP II.</w:t>
      </w:r>
      <w:r w:rsidR="00741FD0" w:rsidRPr="00BF2545">
        <w:rPr>
          <w:rFonts w:ascii="Arial" w:eastAsia="Calibri" w:hAnsi="Arial" w:cs="Arial"/>
          <w:sz w:val="22"/>
        </w:rPr>
        <w:t xml:space="preserve"> Esta situación</w:t>
      </w:r>
      <w:r w:rsidR="003E136E" w:rsidRPr="00BF2545">
        <w:rPr>
          <w:rFonts w:ascii="Arial" w:eastAsia="Calibri" w:hAnsi="Arial" w:cs="Arial"/>
          <w:sz w:val="22"/>
        </w:rPr>
        <w:t xml:space="preserve"> implica</w:t>
      </w:r>
      <w:r w:rsidR="00741FD0" w:rsidRPr="00BF2545">
        <w:rPr>
          <w:rFonts w:ascii="Arial" w:eastAsia="Calibri" w:hAnsi="Arial" w:cs="Arial"/>
          <w:sz w:val="22"/>
        </w:rPr>
        <w:t xml:space="preserve"> problemas asociados con la duplicidad de información, particularmente, </w:t>
      </w:r>
      <w:r w:rsidR="003E136E" w:rsidRPr="00BF2545">
        <w:rPr>
          <w:rFonts w:ascii="Arial" w:eastAsia="Calibri" w:hAnsi="Arial" w:cs="Arial"/>
          <w:sz w:val="22"/>
        </w:rPr>
        <w:t>lo</w:t>
      </w:r>
      <w:r w:rsidR="00741FD0" w:rsidRPr="00BF2545">
        <w:rPr>
          <w:rFonts w:ascii="Arial" w:eastAsia="Calibri" w:hAnsi="Arial" w:cs="Arial"/>
          <w:sz w:val="22"/>
        </w:rPr>
        <w:t xml:space="preserve"> que </w:t>
      </w:r>
      <w:r w:rsidR="003E136E" w:rsidRPr="00BF2545">
        <w:rPr>
          <w:rFonts w:ascii="Arial" w:eastAsia="Calibri" w:hAnsi="Arial" w:cs="Arial"/>
          <w:sz w:val="22"/>
        </w:rPr>
        <w:t>expuesto</w:t>
      </w:r>
      <w:r w:rsidR="00741FD0" w:rsidRPr="00BF2545">
        <w:rPr>
          <w:rFonts w:ascii="Arial" w:eastAsia="Calibri" w:hAnsi="Arial" w:cs="Arial"/>
          <w:sz w:val="22"/>
        </w:rPr>
        <w:t xml:space="preserve"> en la </w:t>
      </w:r>
      <w:r w:rsidR="003E136E" w:rsidRPr="00BF2545">
        <w:rPr>
          <w:rFonts w:ascii="Arial" w:eastAsia="Calibri" w:hAnsi="Arial" w:cs="Arial"/>
          <w:sz w:val="22"/>
        </w:rPr>
        <w:t>inquietud formulada</w:t>
      </w:r>
      <w:r w:rsidR="00741FD0" w:rsidRPr="00BF2545">
        <w:rPr>
          <w:rFonts w:ascii="Arial" w:eastAsia="Calibri" w:hAnsi="Arial" w:cs="Arial"/>
          <w:sz w:val="22"/>
        </w:rPr>
        <w:t xml:space="preserve">, cuyo análisis </w:t>
      </w:r>
      <w:r w:rsidR="003E136E" w:rsidRPr="00BF2545">
        <w:rPr>
          <w:rFonts w:ascii="Arial" w:eastAsia="Calibri" w:hAnsi="Arial" w:cs="Arial"/>
          <w:sz w:val="22"/>
        </w:rPr>
        <w:t>se realizará a continuación</w:t>
      </w:r>
      <w:r w:rsidR="00741FD0" w:rsidRPr="00BF2545">
        <w:rPr>
          <w:rFonts w:ascii="Arial" w:eastAsia="Calibri" w:hAnsi="Arial" w:cs="Arial"/>
          <w:sz w:val="22"/>
        </w:rPr>
        <w:t>.</w:t>
      </w:r>
    </w:p>
    <w:p w14:paraId="5CC2DE73" w14:textId="77777777" w:rsidR="00524299" w:rsidRPr="00BF2545" w:rsidRDefault="00524299" w:rsidP="00D05F08">
      <w:pPr>
        <w:spacing w:line="276" w:lineRule="auto"/>
        <w:jc w:val="both"/>
        <w:rPr>
          <w:rFonts w:ascii="Arial" w:eastAsia="Calibri" w:hAnsi="Arial" w:cs="Arial"/>
          <w:sz w:val="22"/>
        </w:rPr>
      </w:pPr>
    </w:p>
    <w:p w14:paraId="65884925" w14:textId="0B9FF889" w:rsidR="00DD5D6D" w:rsidRPr="00BF2545" w:rsidRDefault="00DD5D6D" w:rsidP="00B7508D">
      <w:pPr>
        <w:spacing w:line="276" w:lineRule="auto"/>
        <w:jc w:val="both"/>
        <w:rPr>
          <w:rFonts w:ascii="Arial" w:hAnsi="Arial" w:cs="Arial"/>
          <w:b/>
          <w:bCs/>
          <w:sz w:val="22"/>
        </w:rPr>
      </w:pPr>
      <w:r w:rsidRPr="00BF2545">
        <w:rPr>
          <w:rFonts w:ascii="Arial" w:hAnsi="Arial" w:cs="Arial"/>
          <w:b/>
          <w:bCs/>
          <w:sz w:val="22"/>
        </w:rPr>
        <w:t xml:space="preserve">2.2. </w:t>
      </w:r>
      <w:r w:rsidR="0010427D" w:rsidRPr="00BF2545">
        <w:rPr>
          <w:rFonts w:ascii="Arial" w:hAnsi="Arial" w:cs="Arial"/>
          <w:b/>
          <w:bCs/>
          <w:sz w:val="22"/>
        </w:rPr>
        <w:t>Interpretación del</w:t>
      </w:r>
      <w:r w:rsidR="00C33C41" w:rsidRPr="00BF2545">
        <w:rPr>
          <w:rFonts w:ascii="Arial" w:hAnsi="Arial" w:cs="Arial"/>
          <w:b/>
          <w:bCs/>
          <w:sz w:val="22"/>
        </w:rPr>
        <w:t xml:space="preserve"> </w:t>
      </w:r>
      <w:r w:rsidR="0010427D" w:rsidRPr="00BF2545">
        <w:rPr>
          <w:rFonts w:ascii="Arial" w:hAnsi="Arial" w:cs="Arial"/>
          <w:b/>
          <w:bCs/>
          <w:sz w:val="22"/>
        </w:rPr>
        <w:t>contrato estatal</w:t>
      </w:r>
      <w:r w:rsidR="00A605AF" w:rsidRPr="00BF2545">
        <w:rPr>
          <w:rFonts w:ascii="Arial" w:hAnsi="Arial" w:cs="Arial"/>
          <w:b/>
          <w:bCs/>
          <w:sz w:val="22"/>
        </w:rPr>
        <w:t xml:space="preserve"> </w:t>
      </w:r>
      <w:r w:rsidR="007C556D" w:rsidRPr="00BF2545">
        <w:rPr>
          <w:rFonts w:ascii="Arial" w:hAnsi="Arial" w:cs="Arial"/>
          <w:b/>
          <w:bCs/>
          <w:sz w:val="22"/>
        </w:rPr>
        <w:t>para la</w:t>
      </w:r>
      <w:r w:rsidR="00A67218" w:rsidRPr="00BF2545">
        <w:rPr>
          <w:rFonts w:ascii="Arial" w:hAnsi="Arial" w:cs="Arial"/>
          <w:b/>
          <w:bCs/>
          <w:sz w:val="22"/>
        </w:rPr>
        <w:t xml:space="preserve"> determina</w:t>
      </w:r>
      <w:r w:rsidR="00A605AF" w:rsidRPr="00BF2545">
        <w:rPr>
          <w:rFonts w:ascii="Arial" w:hAnsi="Arial" w:cs="Arial"/>
          <w:b/>
          <w:bCs/>
          <w:sz w:val="22"/>
        </w:rPr>
        <w:t>ción de s</w:t>
      </w:r>
      <w:r w:rsidR="00A67218" w:rsidRPr="00BF2545">
        <w:rPr>
          <w:rFonts w:ascii="Arial" w:hAnsi="Arial" w:cs="Arial"/>
          <w:b/>
          <w:bCs/>
          <w:sz w:val="22"/>
        </w:rPr>
        <w:t>u contenido</w:t>
      </w:r>
    </w:p>
    <w:p w14:paraId="4A362AB9" w14:textId="2028A6CE" w:rsidR="00DD5D6D" w:rsidRPr="00BF2545" w:rsidRDefault="00DD5D6D" w:rsidP="00B7508D">
      <w:pPr>
        <w:spacing w:line="276" w:lineRule="auto"/>
        <w:jc w:val="both"/>
        <w:rPr>
          <w:rFonts w:ascii="Arial" w:hAnsi="Arial" w:cs="Arial"/>
          <w:b/>
          <w:bCs/>
          <w:sz w:val="22"/>
        </w:rPr>
      </w:pPr>
    </w:p>
    <w:p w14:paraId="53ED65B9" w14:textId="542E3F4F" w:rsidR="005D5BAC" w:rsidRPr="00BF2545" w:rsidRDefault="00C33C41" w:rsidP="00B7508D">
      <w:pPr>
        <w:spacing w:line="276" w:lineRule="auto"/>
        <w:jc w:val="both"/>
        <w:rPr>
          <w:rFonts w:ascii="Arial" w:hAnsi="Arial" w:cs="Arial"/>
          <w:sz w:val="22"/>
        </w:rPr>
      </w:pPr>
      <w:r w:rsidRPr="00BF2545">
        <w:rPr>
          <w:rFonts w:ascii="Arial" w:hAnsi="Arial" w:cs="Arial"/>
          <w:sz w:val="22"/>
        </w:rPr>
        <w:t xml:space="preserve">Como se dijo </w:t>
      </w:r>
      <w:r w:rsidR="003E136E" w:rsidRPr="00BF2545">
        <w:rPr>
          <w:rFonts w:ascii="Arial" w:hAnsi="Arial" w:cs="Arial"/>
          <w:sz w:val="22"/>
        </w:rPr>
        <w:t>anteriormente</w:t>
      </w:r>
      <w:r w:rsidRPr="00BF2545">
        <w:rPr>
          <w:rFonts w:ascii="Arial" w:hAnsi="Arial" w:cs="Arial"/>
          <w:sz w:val="22"/>
        </w:rPr>
        <w:t>,</w:t>
      </w:r>
      <w:r w:rsidR="00366F62" w:rsidRPr="00BF2545">
        <w:rPr>
          <w:rFonts w:ascii="Arial" w:hAnsi="Arial" w:cs="Arial"/>
          <w:sz w:val="22"/>
        </w:rPr>
        <w:t xml:space="preserve"> </w:t>
      </w:r>
      <w:r w:rsidR="00816739" w:rsidRPr="00BF2545">
        <w:rPr>
          <w:rFonts w:ascii="Arial" w:hAnsi="Arial" w:cs="Arial"/>
          <w:sz w:val="22"/>
        </w:rPr>
        <w:t>al</w:t>
      </w:r>
      <w:r w:rsidR="002D4D6D" w:rsidRPr="00BF2545">
        <w:rPr>
          <w:rFonts w:ascii="Arial" w:hAnsi="Arial" w:cs="Arial"/>
          <w:sz w:val="22"/>
        </w:rPr>
        <w:t xml:space="preserve"> </w:t>
      </w:r>
      <w:r w:rsidR="00A71686" w:rsidRPr="00BF2545">
        <w:rPr>
          <w:rFonts w:ascii="Arial" w:hAnsi="Arial" w:cs="Arial"/>
          <w:sz w:val="22"/>
        </w:rPr>
        <w:t xml:space="preserve">cargar </w:t>
      </w:r>
      <w:r w:rsidR="002D4D6D" w:rsidRPr="00BF2545">
        <w:rPr>
          <w:rFonts w:ascii="Arial" w:hAnsi="Arial" w:cs="Arial"/>
          <w:sz w:val="22"/>
        </w:rPr>
        <w:t xml:space="preserve">documentos elaborados por las partes o intervinientes de forma </w:t>
      </w:r>
      <w:r w:rsidR="00A71686" w:rsidRPr="00BF2545">
        <w:rPr>
          <w:rFonts w:ascii="Arial" w:hAnsi="Arial" w:cs="Arial"/>
          <w:sz w:val="22"/>
        </w:rPr>
        <w:t>manual</w:t>
      </w:r>
      <w:r w:rsidR="00816739" w:rsidRPr="00BF2545">
        <w:rPr>
          <w:rFonts w:ascii="Arial" w:hAnsi="Arial" w:cs="Arial"/>
          <w:sz w:val="22"/>
        </w:rPr>
        <w:t xml:space="preserve"> al SECOP II</w:t>
      </w:r>
      <w:r w:rsidR="00A67218" w:rsidRPr="00BF2545">
        <w:rPr>
          <w:rFonts w:ascii="Arial" w:hAnsi="Arial" w:cs="Arial"/>
          <w:sz w:val="22"/>
        </w:rPr>
        <w:t xml:space="preserve">, </w:t>
      </w:r>
      <w:r w:rsidR="00816739" w:rsidRPr="00BF2545">
        <w:rPr>
          <w:rFonts w:ascii="Arial" w:hAnsi="Arial" w:cs="Arial"/>
          <w:sz w:val="22"/>
        </w:rPr>
        <w:t>surgen</w:t>
      </w:r>
      <w:r w:rsidR="00A67218" w:rsidRPr="00BF2545">
        <w:rPr>
          <w:rFonts w:ascii="Arial" w:hAnsi="Arial" w:cs="Arial"/>
          <w:sz w:val="22"/>
        </w:rPr>
        <w:t xml:space="preserve"> problemas </w:t>
      </w:r>
      <w:r w:rsidR="0030017E" w:rsidRPr="00BF2545">
        <w:rPr>
          <w:rFonts w:ascii="Arial" w:hAnsi="Arial" w:cs="Arial"/>
          <w:sz w:val="22"/>
        </w:rPr>
        <w:t>prácticos con efectos jurídicos y contractuales</w:t>
      </w:r>
      <w:r w:rsidR="00A67218" w:rsidRPr="00BF2545">
        <w:rPr>
          <w:rFonts w:ascii="Arial" w:hAnsi="Arial" w:cs="Arial"/>
          <w:sz w:val="22"/>
        </w:rPr>
        <w:t xml:space="preserve">, como </w:t>
      </w:r>
      <w:r w:rsidR="00816739" w:rsidRPr="00BF2545">
        <w:rPr>
          <w:rFonts w:ascii="Arial" w:hAnsi="Arial" w:cs="Arial"/>
          <w:sz w:val="22"/>
        </w:rPr>
        <w:t>sucede frente a las</w:t>
      </w:r>
      <w:r w:rsidR="002D4D6D" w:rsidRPr="00BF2545">
        <w:rPr>
          <w:rFonts w:ascii="Arial" w:hAnsi="Arial" w:cs="Arial"/>
          <w:sz w:val="22"/>
        </w:rPr>
        <w:t xml:space="preserve"> </w:t>
      </w:r>
      <w:r w:rsidR="00A67218" w:rsidRPr="00BF2545">
        <w:rPr>
          <w:rFonts w:ascii="Arial" w:hAnsi="Arial" w:cs="Arial"/>
          <w:sz w:val="22"/>
        </w:rPr>
        <w:t>discrepancia</w:t>
      </w:r>
      <w:r w:rsidR="002D4D6D" w:rsidRPr="00BF2545">
        <w:rPr>
          <w:rFonts w:ascii="Arial" w:hAnsi="Arial" w:cs="Arial"/>
          <w:sz w:val="22"/>
        </w:rPr>
        <w:t>s</w:t>
      </w:r>
      <w:r w:rsidR="00A67218" w:rsidRPr="00BF2545">
        <w:rPr>
          <w:rFonts w:ascii="Arial" w:hAnsi="Arial" w:cs="Arial"/>
          <w:sz w:val="22"/>
        </w:rPr>
        <w:t xml:space="preserve"> entre la información registrada en la plataforma </w:t>
      </w:r>
      <w:r w:rsidR="0030017E" w:rsidRPr="00BF2545">
        <w:rPr>
          <w:rFonts w:ascii="Arial" w:hAnsi="Arial" w:cs="Arial"/>
          <w:sz w:val="22"/>
        </w:rPr>
        <w:t xml:space="preserve">transaccional </w:t>
      </w:r>
      <w:r w:rsidR="00A67218" w:rsidRPr="00BF2545">
        <w:rPr>
          <w:rFonts w:ascii="Arial" w:hAnsi="Arial" w:cs="Arial"/>
          <w:sz w:val="22"/>
        </w:rPr>
        <w:t>y la</w:t>
      </w:r>
      <w:r w:rsidR="002D4D6D" w:rsidRPr="00BF2545">
        <w:rPr>
          <w:rFonts w:ascii="Arial" w:hAnsi="Arial" w:cs="Arial"/>
          <w:sz w:val="22"/>
        </w:rPr>
        <w:t xml:space="preserve"> información</w:t>
      </w:r>
      <w:r w:rsidR="00A67218" w:rsidRPr="00BF2545">
        <w:rPr>
          <w:rFonts w:ascii="Arial" w:hAnsi="Arial" w:cs="Arial"/>
          <w:sz w:val="22"/>
        </w:rPr>
        <w:t xml:space="preserve"> que consta en el clausulado del contrato</w:t>
      </w:r>
      <w:r w:rsidR="002D4D6D" w:rsidRPr="00BF2545">
        <w:rPr>
          <w:rFonts w:ascii="Arial" w:hAnsi="Arial" w:cs="Arial"/>
          <w:sz w:val="22"/>
        </w:rPr>
        <w:t xml:space="preserve">, pues, se insiste, </w:t>
      </w:r>
      <w:r w:rsidR="00816739" w:rsidRPr="00BF2545">
        <w:rPr>
          <w:rFonts w:ascii="Arial" w:hAnsi="Arial" w:cs="Arial"/>
          <w:sz w:val="22"/>
        </w:rPr>
        <w:t xml:space="preserve">algunos </w:t>
      </w:r>
      <w:r w:rsidR="002D4D6D" w:rsidRPr="00BF2545">
        <w:rPr>
          <w:rFonts w:ascii="Arial" w:hAnsi="Arial" w:cs="Arial"/>
          <w:sz w:val="22"/>
        </w:rPr>
        <w:t xml:space="preserve">documentos </w:t>
      </w:r>
      <w:r w:rsidR="00816739" w:rsidRPr="00BF2545">
        <w:rPr>
          <w:rFonts w:ascii="Arial" w:hAnsi="Arial" w:cs="Arial"/>
          <w:sz w:val="22"/>
        </w:rPr>
        <w:t>deben cargarse</w:t>
      </w:r>
      <w:r w:rsidR="002D4D6D" w:rsidRPr="00BF2545">
        <w:rPr>
          <w:rFonts w:ascii="Arial" w:hAnsi="Arial" w:cs="Arial"/>
          <w:sz w:val="22"/>
        </w:rPr>
        <w:t xml:space="preserve"> al SECOP II, una vez elaborados, suscritos y digitalizados</w:t>
      </w:r>
      <w:r w:rsidR="00A67218" w:rsidRPr="00BF2545">
        <w:rPr>
          <w:rFonts w:ascii="Arial" w:hAnsi="Arial" w:cs="Arial"/>
          <w:sz w:val="22"/>
        </w:rPr>
        <w:t>.</w:t>
      </w:r>
      <w:r w:rsidR="003D2AED" w:rsidRPr="00BF2545">
        <w:rPr>
          <w:rFonts w:ascii="Arial" w:hAnsi="Arial" w:cs="Arial"/>
          <w:sz w:val="22"/>
        </w:rPr>
        <w:t xml:space="preserve"> </w:t>
      </w:r>
    </w:p>
    <w:p w14:paraId="2C4DD655" w14:textId="6BFC2037" w:rsidR="00182F10" w:rsidRPr="00BF2545" w:rsidRDefault="00182F10" w:rsidP="001B55CE">
      <w:pPr>
        <w:spacing w:before="120" w:line="276" w:lineRule="auto"/>
        <w:ind w:firstLine="709"/>
        <w:jc w:val="both"/>
        <w:rPr>
          <w:rFonts w:ascii="Arial" w:hAnsi="Arial" w:cs="Arial"/>
          <w:sz w:val="22"/>
        </w:rPr>
      </w:pPr>
      <w:r w:rsidRPr="00BF2545">
        <w:rPr>
          <w:rFonts w:ascii="Arial" w:hAnsi="Arial" w:cs="Arial"/>
          <w:sz w:val="22"/>
        </w:rPr>
        <w:lastRenderedPageBreak/>
        <w:t>En principio</w:t>
      </w:r>
      <w:r w:rsidR="00BB226F" w:rsidRPr="00BF2545">
        <w:rPr>
          <w:rFonts w:ascii="Arial" w:hAnsi="Arial" w:cs="Arial"/>
          <w:sz w:val="22"/>
        </w:rPr>
        <w:t xml:space="preserve">, </w:t>
      </w:r>
      <w:r w:rsidRPr="00BF2545">
        <w:rPr>
          <w:rFonts w:ascii="Arial" w:hAnsi="Arial" w:cs="Arial"/>
          <w:sz w:val="22"/>
        </w:rPr>
        <w:t>quien conozca la controversia</w:t>
      </w:r>
      <w:r w:rsidR="00BB226F" w:rsidRPr="00BF2545">
        <w:rPr>
          <w:rFonts w:ascii="Arial" w:hAnsi="Arial" w:cs="Arial"/>
          <w:sz w:val="22"/>
        </w:rPr>
        <w:t xml:space="preserve"> </w:t>
      </w:r>
      <w:r w:rsidRPr="00BF2545">
        <w:rPr>
          <w:rFonts w:ascii="Arial" w:hAnsi="Arial" w:cs="Arial"/>
          <w:sz w:val="22"/>
        </w:rPr>
        <w:t>determinaría</w:t>
      </w:r>
      <w:r w:rsidR="00BB226F" w:rsidRPr="00BF2545">
        <w:rPr>
          <w:rFonts w:ascii="Arial" w:hAnsi="Arial" w:cs="Arial"/>
          <w:sz w:val="22"/>
        </w:rPr>
        <w:t xml:space="preserve"> cuál de los</w:t>
      </w:r>
      <w:r w:rsidR="00F90FA9" w:rsidRPr="00BF2545">
        <w:rPr>
          <w:rFonts w:ascii="Arial" w:hAnsi="Arial" w:cs="Arial"/>
          <w:sz w:val="22"/>
        </w:rPr>
        <w:t xml:space="preserve"> dos documentos es válido</w:t>
      </w:r>
      <w:r w:rsidRPr="00BF2545">
        <w:rPr>
          <w:rFonts w:ascii="Arial" w:hAnsi="Arial" w:cs="Arial"/>
          <w:sz w:val="22"/>
        </w:rPr>
        <w:t xml:space="preserve">, concluyendo </w:t>
      </w:r>
      <w:r w:rsidR="00F90FA9" w:rsidRPr="00BF2545">
        <w:rPr>
          <w:rFonts w:ascii="Arial" w:hAnsi="Arial" w:cs="Arial"/>
          <w:sz w:val="22"/>
        </w:rPr>
        <w:t xml:space="preserve">si debe </w:t>
      </w:r>
      <w:r w:rsidRPr="00BF2545">
        <w:rPr>
          <w:rFonts w:ascii="Arial" w:hAnsi="Arial" w:cs="Arial"/>
          <w:sz w:val="22"/>
        </w:rPr>
        <w:t>prevalecer e</w:t>
      </w:r>
      <w:r w:rsidR="00F90FA9" w:rsidRPr="00BF2545">
        <w:rPr>
          <w:rFonts w:ascii="Arial" w:hAnsi="Arial" w:cs="Arial"/>
          <w:sz w:val="22"/>
        </w:rPr>
        <w:t xml:space="preserve">l documento físico o </w:t>
      </w:r>
      <w:r w:rsidRPr="00BF2545">
        <w:rPr>
          <w:rFonts w:ascii="Arial" w:hAnsi="Arial" w:cs="Arial"/>
          <w:sz w:val="22"/>
        </w:rPr>
        <w:t>e</w:t>
      </w:r>
      <w:r w:rsidR="00F90FA9" w:rsidRPr="00BF2545">
        <w:rPr>
          <w:rFonts w:ascii="Arial" w:hAnsi="Arial" w:cs="Arial"/>
          <w:sz w:val="22"/>
        </w:rPr>
        <w:t>l electrónico</w:t>
      </w:r>
      <w:r w:rsidR="00BB226F" w:rsidRPr="00BF2545">
        <w:rPr>
          <w:rFonts w:ascii="Arial" w:hAnsi="Arial" w:cs="Arial"/>
          <w:sz w:val="22"/>
        </w:rPr>
        <w:t xml:space="preserve">. Sin embargo, </w:t>
      </w:r>
      <w:r w:rsidR="005D5BAC" w:rsidRPr="00BF2545">
        <w:rPr>
          <w:rFonts w:ascii="Arial" w:hAnsi="Arial" w:cs="Arial"/>
          <w:sz w:val="22"/>
        </w:rPr>
        <w:t xml:space="preserve">a juicio de la Agencia Nacional de Contratación Estatal, </w:t>
      </w:r>
      <w:r w:rsidRPr="00BF2545">
        <w:rPr>
          <w:rFonts w:ascii="Arial" w:hAnsi="Arial" w:cs="Arial"/>
          <w:sz w:val="22"/>
        </w:rPr>
        <w:t>es necesario un examen</w:t>
      </w:r>
      <w:r w:rsidR="00F90FA9" w:rsidRPr="00BF2545">
        <w:rPr>
          <w:rFonts w:ascii="Arial" w:hAnsi="Arial" w:cs="Arial"/>
          <w:sz w:val="22"/>
        </w:rPr>
        <w:t xml:space="preserve"> </w:t>
      </w:r>
      <w:r w:rsidRPr="00BF2545">
        <w:rPr>
          <w:rFonts w:ascii="Arial" w:hAnsi="Arial" w:cs="Arial"/>
          <w:sz w:val="22"/>
        </w:rPr>
        <w:t>d</w:t>
      </w:r>
      <w:r w:rsidR="00F90FA9" w:rsidRPr="00BF2545">
        <w:rPr>
          <w:rFonts w:ascii="Arial" w:hAnsi="Arial" w:cs="Arial"/>
          <w:sz w:val="22"/>
        </w:rPr>
        <w:t xml:space="preserve">el expediente contractual para </w:t>
      </w:r>
      <w:r w:rsidR="00E55936" w:rsidRPr="00BF2545">
        <w:rPr>
          <w:rFonts w:ascii="Arial" w:hAnsi="Arial" w:cs="Arial"/>
          <w:sz w:val="22"/>
        </w:rPr>
        <w:t xml:space="preserve">establecer cuál es la verdadera </w:t>
      </w:r>
      <w:r w:rsidR="00BB226F" w:rsidRPr="00BF2545">
        <w:rPr>
          <w:rFonts w:ascii="Arial" w:hAnsi="Arial" w:cs="Arial"/>
          <w:sz w:val="22"/>
        </w:rPr>
        <w:t>voluntad de las partes</w:t>
      </w:r>
      <w:r w:rsidR="00F90FA9" w:rsidRPr="00BF2545">
        <w:rPr>
          <w:rFonts w:ascii="Arial" w:hAnsi="Arial" w:cs="Arial"/>
          <w:sz w:val="22"/>
        </w:rPr>
        <w:t xml:space="preserve"> y,</w:t>
      </w:r>
      <w:r w:rsidR="00BB226F" w:rsidRPr="00BF2545">
        <w:rPr>
          <w:rFonts w:ascii="Arial" w:hAnsi="Arial" w:cs="Arial"/>
          <w:sz w:val="22"/>
        </w:rPr>
        <w:t xml:space="preserve"> de acuerdo con las reglas de interpretación de los contratos, </w:t>
      </w:r>
      <w:r w:rsidR="00F90FA9" w:rsidRPr="00BF2545">
        <w:rPr>
          <w:rFonts w:ascii="Arial" w:hAnsi="Arial" w:cs="Arial"/>
          <w:sz w:val="22"/>
        </w:rPr>
        <w:t xml:space="preserve">dirimir la controversia, </w:t>
      </w:r>
      <w:r w:rsidR="00BB226F" w:rsidRPr="00BF2545">
        <w:rPr>
          <w:rFonts w:ascii="Arial" w:hAnsi="Arial" w:cs="Arial"/>
          <w:sz w:val="22"/>
        </w:rPr>
        <w:t xml:space="preserve">sin que para ello resulte </w:t>
      </w:r>
      <w:r w:rsidR="00F90FA9" w:rsidRPr="00BF2545">
        <w:rPr>
          <w:rFonts w:ascii="Arial" w:hAnsi="Arial" w:cs="Arial"/>
          <w:sz w:val="22"/>
        </w:rPr>
        <w:t>necesario establecer una regla de jerarquía entre los documentos físicos y electrónicos, al menos en lo que respecta a la contratación estatal gestionada en el SECOP II</w:t>
      </w:r>
      <w:r w:rsidR="00BB226F" w:rsidRPr="00BF2545">
        <w:rPr>
          <w:rFonts w:ascii="Arial" w:hAnsi="Arial" w:cs="Arial"/>
          <w:sz w:val="22"/>
        </w:rPr>
        <w:t xml:space="preserve">. </w:t>
      </w:r>
    </w:p>
    <w:p w14:paraId="144871FC" w14:textId="625A83A3" w:rsidR="00E55936" w:rsidRPr="00BF2545" w:rsidRDefault="00F90FA9" w:rsidP="001B55CE">
      <w:pPr>
        <w:spacing w:before="120" w:line="276" w:lineRule="auto"/>
        <w:ind w:firstLine="709"/>
        <w:jc w:val="both"/>
        <w:rPr>
          <w:rFonts w:ascii="Arial" w:eastAsia="Calibri" w:hAnsi="Arial" w:cs="Arial"/>
          <w:color w:val="000000" w:themeColor="text1"/>
          <w:sz w:val="22"/>
        </w:rPr>
      </w:pPr>
      <w:r w:rsidRPr="00BF2545">
        <w:rPr>
          <w:rFonts w:ascii="Arial" w:hAnsi="Arial" w:cs="Arial"/>
          <w:sz w:val="22"/>
        </w:rPr>
        <w:t xml:space="preserve">Tres argumentos justifican </w:t>
      </w:r>
      <w:r w:rsidR="00182F10" w:rsidRPr="00BF2545">
        <w:rPr>
          <w:rFonts w:ascii="Arial" w:hAnsi="Arial" w:cs="Arial"/>
          <w:sz w:val="22"/>
        </w:rPr>
        <w:t>esta</w:t>
      </w:r>
      <w:r w:rsidRPr="00BF2545">
        <w:rPr>
          <w:rFonts w:ascii="Arial" w:hAnsi="Arial" w:cs="Arial"/>
          <w:sz w:val="22"/>
        </w:rPr>
        <w:t xml:space="preserve"> postura: primero, ambos documentos tienen efectos probatorios según las normas vigentes; segundo, </w:t>
      </w:r>
      <w:r w:rsidR="001B55CE" w:rsidRPr="00BF2545">
        <w:rPr>
          <w:rFonts w:ascii="Arial" w:hAnsi="Arial" w:cs="Arial"/>
          <w:sz w:val="22"/>
        </w:rPr>
        <w:t>para los efectos de la contratación estatal, ni la ley ni el reglamento establecen alguna jerarquía</w:t>
      </w:r>
      <w:r w:rsidR="00E55936" w:rsidRPr="00BF2545">
        <w:rPr>
          <w:rFonts w:ascii="Arial" w:hAnsi="Arial" w:cs="Arial"/>
          <w:sz w:val="22"/>
        </w:rPr>
        <w:t xml:space="preserve"> probatoria o jurídica</w:t>
      </w:r>
      <w:r w:rsidR="001B55CE" w:rsidRPr="00BF2545">
        <w:rPr>
          <w:rFonts w:ascii="Arial" w:hAnsi="Arial" w:cs="Arial"/>
          <w:sz w:val="22"/>
        </w:rPr>
        <w:t xml:space="preserve"> entre los documentos físicos y los electrónicos; y tercero, aunque las reglas de la experiencia </w:t>
      </w:r>
      <w:r w:rsidR="00182F10" w:rsidRPr="00BF2545">
        <w:rPr>
          <w:rFonts w:ascii="Arial" w:hAnsi="Arial" w:cs="Arial"/>
          <w:sz w:val="22"/>
        </w:rPr>
        <w:t>conduzcan a la prevalencia del</w:t>
      </w:r>
      <w:r w:rsidR="001B55CE" w:rsidRPr="00BF2545">
        <w:rPr>
          <w:rFonts w:ascii="Arial" w:hAnsi="Arial" w:cs="Arial"/>
          <w:sz w:val="22"/>
        </w:rPr>
        <w:t xml:space="preserve"> documento manuscrito</w:t>
      </w:r>
      <w:r w:rsidR="00E55936" w:rsidRPr="00BF2545">
        <w:rPr>
          <w:rFonts w:ascii="Arial" w:hAnsi="Arial" w:cs="Arial"/>
          <w:sz w:val="22"/>
        </w:rPr>
        <w:t xml:space="preserve"> por razones de autenticidad,</w:t>
      </w:r>
      <w:r w:rsidR="001B55CE" w:rsidRPr="00BF2545">
        <w:rPr>
          <w:rFonts w:ascii="Arial" w:hAnsi="Arial" w:cs="Arial"/>
          <w:sz w:val="22"/>
        </w:rPr>
        <w:t xml:space="preserve"> </w:t>
      </w:r>
      <w:r w:rsidR="001B55CE" w:rsidRPr="00BF2545">
        <w:rPr>
          <w:rFonts w:ascii="Arial" w:eastAsia="Calibri" w:hAnsi="Arial" w:cs="Arial"/>
          <w:color w:val="000000" w:themeColor="text1"/>
          <w:sz w:val="22"/>
        </w:rPr>
        <w:t xml:space="preserve">los documentos electrónicos que conforman el expediente del SECOP II, </w:t>
      </w:r>
      <w:r w:rsidR="00182F10" w:rsidRPr="00BF2545">
        <w:rPr>
          <w:rFonts w:ascii="Arial" w:eastAsia="Calibri" w:hAnsi="Arial" w:cs="Arial"/>
          <w:color w:val="000000" w:themeColor="text1"/>
          <w:sz w:val="22"/>
        </w:rPr>
        <w:t xml:space="preserve">conforme </w:t>
      </w:r>
      <w:r w:rsidR="002410DA" w:rsidRPr="00BF2545">
        <w:rPr>
          <w:rFonts w:ascii="Arial" w:eastAsia="Calibri" w:hAnsi="Arial" w:cs="Arial"/>
          <w:color w:val="000000" w:themeColor="text1"/>
          <w:sz w:val="22"/>
        </w:rPr>
        <w:t>al numeral 2.4 de</w:t>
      </w:r>
      <w:r w:rsidR="001B55CE" w:rsidRPr="00BF2545">
        <w:rPr>
          <w:rFonts w:ascii="Arial" w:eastAsia="Calibri" w:hAnsi="Arial" w:cs="Arial"/>
          <w:color w:val="000000" w:themeColor="text1"/>
          <w:sz w:val="22"/>
        </w:rPr>
        <w:t xml:space="preserve"> la Circular Única Externa de Colombia Compra Eficiente, «son válidos y tienen valor probatorio de conformidad con el Código de Procedimiento Administrativo y de lo Contencioso Administrativo, y con el Código General del Proceso». Tal </w:t>
      </w:r>
      <w:r w:rsidR="00E55936" w:rsidRPr="00BF2545">
        <w:rPr>
          <w:rFonts w:ascii="Arial" w:eastAsia="Calibri" w:hAnsi="Arial" w:cs="Arial"/>
          <w:color w:val="000000" w:themeColor="text1"/>
          <w:sz w:val="22"/>
        </w:rPr>
        <w:t xml:space="preserve">afirmación </w:t>
      </w:r>
      <w:r w:rsidR="001B55CE" w:rsidRPr="00BF2545">
        <w:rPr>
          <w:rFonts w:ascii="Arial" w:eastAsia="Calibri" w:hAnsi="Arial" w:cs="Arial"/>
          <w:color w:val="000000" w:themeColor="text1"/>
          <w:sz w:val="22"/>
        </w:rPr>
        <w:t>tiene fundamento en el artículo 3 de la Ley 1150 de 2007. Al respecto, en el concepto C-017 de</w:t>
      </w:r>
      <w:r w:rsidR="003D2AED" w:rsidRPr="00BF2545">
        <w:rPr>
          <w:rFonts w:ascii="Arial" w:eastAsia="Calibri" w:hAnsi="Arial" w:cs="Arial"/>
          <w:color w:val="000000" w:themeColor="text1"/>
          <w:sz w:val="22"/>
        </w:rPr>
        <w:t xml:space="preserve">l 27 de abril de </w:t>
      </w:r>
      <w:r w:rsidR="001B55CE" w:rsidRPr="00BF2545">
        <w:rPr>
          <w:rFonts w:ascii="Arial" w:eastAsia="Calibri" w:hAnsi="Arial" w:cs="Arial"/>
          <w:color w:val="000000" w:themeColor="text1"/>
          <w:sz w:val="22"/>
        </w:rPr>
        <w:t xml:space="preserve">2020, </w:t>
      </w:r>
      <w:r w:rsidR="00E55936" w:rsidRPr="00BF2545">
        <w:rPr>
          <w:rFonts w:ascii="Arial" w:eastAsia="Calibri" w:hAnsi="Arial" w:cs="Arial"/>
          <w:color w:val="000000" w:themeColor="text1"/>
          <w:sz w:val="22"/>
        </w:rPr>
        <w:t xml:space="preserve">esta Subdirección </w:t>
      </w:r>
      <w:r w:rsidR="002410DA" w:rsidRPr="00BF2545">
        <w:rPr>
          <w:rFonts w:ascii="Arial" w:eastAsia="Calibri" w:hAnsi="Arial" w:cs="Arial"/>
          <w:color w:val="000000" w:themeColor="text1"/>
          <w:sz w:val="22"/>
        </w:rPr>
        <w:t>explicó lo siguiente</w:t>
      </w:r>
      <w:r w:rsidR="00E55936" w:rsidRPr="00BF2545">
        <w:rPr>
          <w:rFonts w:ascii="Arial" w:eastAsia="Calibri" w:hAnsi="Arial" w:cs="Arial"/>
          <w:color w:val="000000" w:themeColor="text1"/>
          <w:sz w:val="22"/>
        </w:rPr>
        <w:t xml:space="preserve">: </w:t>
      </w:r>
    </w:p>
    <w:p w14:paraId="31662B56" w14:textId="77777777" w:rsidR="00E55936" w:rsidRPr="00BF2545" w:rsidRDefault="00E55936" w:rsidP="009C3696">
      <w:pPr>
        <w:spacing w:line="276" w:lineRule="auto"/>
        <w:ind w:firstLine="709"/>
        <w:jc w:val="both"/>
        <w:rPr>
          <w:rFonts w:ascii="Arial" w:eastAsia="Calibri" w:hAnsi="Arial" w:cs="Arial"/>
          <w:color w:val="000000" w:themeColor="text1"/>
          <w:sz w:val="22"/>
        </w:rPr>
      </w:pPr>
    </w:p>
    <w:p w14:paraId="30B0175E" w14:textId="2B748178" w:rsidR="00F90FA9" w:rsidRPr="00BF2545" w:rsidRDefault="001B55CE" w:rsidP="009C3696">
      <w:pPr>
        <w:ind w:left="709" w:right="707"/>
        <w:jc w:val="both"/>
        <w:rPr>
          <w:rFonts w:ascii="Arial" w:hAnsi="Arial" w:cs="Arial"/>
          <w:sz w:val="21"/>
          <w:szCs w:val="21"/>
        </w:rPr>
      </w:pPr>
      <w:r w:rsidRPr="00BF2545">
        <w:rPr>
          <w:rFonts w:ascii="Arial" w:hAnsi="Arial" w:cs="Arial"/>
          <w:sz w:val="21"/>
          <w:szCs w:val="21"/>
        </w:rPr>
        <w:t>Para los efectos relacionados con el proceso de contratación estatal, los documentos contenidos en el expediente digital de la actuación adelantada en la plataforma SECOP II, tienen plenos efectos probatorios, sin distingo que contengan la firma manuscrita de las partes del contrato estatal. Lo que se buscó con la implementación de una plataforma transaccional −no solo de publicidad−, precisamente, fue que las partes pudieran gestionar el negocio jurídico por medios virtuales, de no ser así no hubiera sido necesaria la sustitución del SECOP I, plataforma de publicidad en la que correspondía a las entidades cargar los documentos previamente diligenciados y firmados.</w:t>
      </w:r>
    </w:p>
    <w:p w14:paraId="53E7094B" w14:textId="77777777" w:rsidR="00F90FA9" w:rsidRPr="00BF2545" w:rsidRDefault="00F90FA9" w:rsidP="003D2AED">
      <w:pPr>
        <w:spacing w:line="276" w:lineRule="auto"/>
        <w:ind w:firstLine="709"/>
        <w:jc w:val="both"/>
        <w:rPr>
          <w:rFonts w:ascii="Arial" w:hAnsi="Arial" w:cs="Arial"/>
          <w:sz w:val="22"/>
        </w:rPr>
      </w:pPr>
    </w:p>
    <w:p w14:paraId="0AFA22BD" w14:textId="0CFA28A8" w:rsidR="00616AA8" w:rsidRPr="00BF2545" w:rsidRDefault="002410DA" w:rsidP="009C3696">
      <w:pPr>
        <w:spacing w:line="276" w:lineRule="auto"/>
        <w:ind w:firstLine="709"/>
        <w:jc w:val="both"/>
        <w:rPr>
          <w:rFonts w:ascii="Arial" w:hAnsi="Arial" w:cs="Arial"/>
          <w:sz w:val="22"/>
        </w:rPr>
      </w:pPr>
      <w:r w:rsidRPr="00BF2545">
        <w:rPr>
          <w:rFonts w:ascii="Arial" w:hAnsi="Arial" w:cs="Arial"/>
          <w:sz w:val="22"/>
        </w:rPr>
        <w:t>Esta medida corresponde a la administración de justicia</w:t>
      </w:r>
      <w:r w:rsidR="00E55936" w:rsidRPr="00BF2545">
        <w:rPr>
          <w:rFonts w:ascii="Arial" w:hAnsi="Arial" w:cs="Arial"/>
          <w:sz w:val="22"/>
        </w:rPr>
        <w:t xml:space="preserve"> </w:t>
      </w:r>
      <w:r w:rsidRPr="00BF2545">
        <w:rPr>
          <w:rFonts w:ascii="Arial" w:hAnsi="Arial" w:cs="Arial"/>
          <w:sz w:val="22"/>
        </w:rPr>
        <w:t>establecer</w:t>
      </w:r>
      <w:r w:rsidR="001B55CE" w:rsidRPr="00BF2545">
        <w:rPr>
          <w:rFonts w:ascii="Arial" w:hAnsi="Arial" w:cs="Arial"/>
          <w:sz w:val="22"/>
        </w:rPr>
        <w:t xml:space="preserve"> cuál fue</w:t>
      </w:r>
      <w:r w:rsidR="005D5BAC" w:rsidRPr="00BF2545">
        <w:rPr>
          <w:rFonts w:ascii="Arial" w:hAnsi="Arial" w:cs="Arial"/>
          <w:sz w:val="22"/>
        </w:rPr>
        <w:t xml:space="preserve"> la voluntad de las partes</w:t>
      </w:r>
      <w:r w:rsidR="001B55CE" w:rsidRPr="00BF2545">
        <w:rPr>
          <w:rFonts w:ascii="Arial" w:hAnsi="Arial" w:cs="Arial"/>
          <w:sz w:val="22"/>
        </w:rPr>
        <w:t xml:space="preserve">, </w:t>
      </w:r>
      <w:r w:rsidRPr="00BF2545">
        <w:rPr>
          <w:rFonts w:ascii="Arial" w:hAnsi="Arial" w:cs="Arial"/>
          <w:sz w:val="22"/>
        </w:rPr>
        <w:t>sin distinguir</w:t>
      </w:r>
      <w:r w:rsidR="001B55CE" w:rsidRPr="00BF2545">
        <w:rPr>
          <w:rFonts w:ascii="Arial" w:hAnsi="Arial" w:cs="Arial"/>
          <w:sz w:val="22"/>
        </w:rPr>
        <w:t xml:space="preserve"> </w:t>
      </w:r>
      <w:r w:rsidR="00435A7C" w:rsidRPr="00BF2545">
        <w:rPr>
          <w:rFonts w:ascii="Arial" w:hAnsi="Arial" w:cs="Arial"/>
          <w:sz w:val="22"/>
        </w:rPr>
        <w:t>la naturaleza</w:t>
      </w:r>
      <w:r w:rsidR="001B55CE" w:rsidRPr="00BF2545">
        <w:rPr>
          <w:rFonts w:ascii="Arial" w:hAnsi="Arial" w:cs="Arial"/>
          <w:sz w:val="22"/>
        </w:rPr>
        <w:t xml:space="preserve"> de los documentos contractuales </w:t>
      </w:r>
      <w:r w:rsidRPr="00BF2545">
        <w:rPr>
          <w:rFonts w:ascii="Arial" w:hAnsi="Arial" w:cs="Arial"/>
          <w:sz w:val="22"/>
        </w:rPr>
        <w:t>en la que se exprese</w:t>
      </w:r>
      <w:r w:rsidR="005D5BAC" w:rsidRPr="00BF2545">
        <w:rPr>
          <w:rFonts w:ascii="Arial" w:hAnsi="Arial" w:cs="Arial"/>
          <w:sz w:val="22"/>
        </w:rPr>
        <w:t xml:space="preserve">. </w:t>
      </w:r>
      <w:r w:rsidRPr="00BF2545">
        <w:rPr>
          <w:rFonts w:ascii="Arial" w:hAnsi="Arial" w:cs="Arial"/>
          <w:sz w:val="22"/>
        </w:rPr>
        <w:t>En esta medida</w:t>
      </w:r>
      <w:r w:rsidR="00A605AF" w:rsidRPr="00BF2545">
        <w:rPr>
          <w:rFonts w:ascii="Arial" w:hAnsi="Arial" w:cs="Arial"/>
          <w:sz w:val="22"/>
        </w:rPr>
        <w:t xml:space="preserve"> es necesario acudir a las reglas de interpretación de los contratos</w:t>
      </w:r>
      <w:r w:rsidR="00BF7EFE" w:rsidRPr="00BF2545">
        <w:rPr>
          <w:rFonts w:ascii="Arial" w:hAnsi="Arial" w:cs="Arial"/>
          <w:sz w:val="22"/>
        </w:rPr>
        <w:t xml:space="preserve"> e identificar </w:t>
      </w:r>
      <w:r w:rsidR="00435A7C" w:rsidRPr="00BF2545">
        <w:rPr>
          <w:rFonts w:ascii="Arial" w:hAnsi="Arial" w:cs="Arial"/>
          <w:sz w:val="22"/>
        </w:rPr>
        <w:t xml:space="preserve">el </w:t>
      </w:r>
      <w:r w:rsidRPr="00BF2545">
        <w:rPr>
          <w:rFonts w:ascii="Arial" w:hAnsi="Arial" w:cs="Arial"/>
          <w:sz w:val="22"/>
        </w:rPr>
        <w:t>«</w:t>
      </w:r>
      <w:r w:rsidR="00435A7C" w:rsidRPr="00BF2545">
        <w:rPr>
          <w:rFonts w:ascii="Arial" w:hAnsi="Arial" w:cs="Arial"/>
          <w:sz w:val="22"/>
        </w:rPr>
        <w:t>querer negocial</w:t>
      </w:r>
      <w:r w:rsidRPr="00BF2545">
        <w:rPr>
          <w:rFonts w:ascii="Arial" w:hAnsi="Arial" w:cs="Arial"/>
          <w:sz w:val="22"/>
        </w:rPr>
        <w:t>»</w:t>
      </w:r>
      <w:r w:rsidR="00435A7C" w:rsidRPr="00BF2545">
        <w:rPr>
          <w:rFonts w:ascii="Arial" w:hAnsi="Arial" w:cs="Arial"/>
          <w:sz w:val="22"/>
        </w:rPr>
        <w:t xml:space="preserve"> de las partes</w:t>
      </w:r>
      <w:r w:rsidRPr="00BF2545">
        <w:rPr>
          <w:rFonts w:ascii="Arial" w:hAnsi="Arial" w:cs="Arial"/>
          <w:sz w:val="22"/>
        </w:rPr>
        <w:t xml:space="preserve">, </w:t>
      </w:r>
      <w:r w:rsidR="00BF7EFE" w:rsidRPr="00BF2545">
        <w:rPr>
          <w:rFonts w:ascii="Arial" w:hAnsi="Arial" w:cs="Arial"/>
          <w:sz w:val="22"/>
        </w:rPr>
        <w:t>pues la jurisprudencia explica que</w:t>
      </w:r>
      <w:r w:rsidR="00616AA8" w:rsidRPr="00BF2545">
        <w:rPr>
          <w:rFonts w:ascii="Arial" w:hAnsi="Arial" w:cs="Arial"/>
          <w:sz w:val="22"/>
        </w:rPr>
        <w:t>:</w:t>
      </w:r>
      <w:r w:rsidRPr="00BF2545">
        <w:rPr>
          <w:rFonts w:ascii="Arial" w:hAnsi="Arial" w:cs="Arial"/>
          <w:sz w:val="22"/>
        </w:rPr>
        <w:t xml:space="preserve"> «</w:t>
      </w:r>
      <w:r w:rsidR="00616AA8" w:rsidRPr="00BF2545">
        <w:rPr>
          <w:rFonts w:ascii="Arial" w:hAnsi="Arial" w:cs="Arial"/>
          <w:sz w:val="22"/>
        </w:rPr>
        <w:t>La interpretación del negocio jurídico, cuando de contratos se trata, no tiene como objeto primario el establecer el querer dispositivo de cada uno de los contratantes individualmente considerado sino la intención común de todos ellos toda vez que el contrato es en últimas el resultado de la convergencia de sus designios negociales</w:t>
      </w:r>
      <w:r w:rsidR="00BF7EFE" w:rsidRPr="00BF2545">
        <w:rPr>
          <w:rFonts w:ascii="Arial" w:hAnsi="Arial" w:cs="Arial"/>
          <w:sz w:val="22"/>
        </w:rPr>
        <w:t>»</w:t>
      </w:r>
      <w:r w:rsidR="00616AA8" w:rsidRPr="00BF2545">
        <w:rPr>
          <w:rFonts w:ascii="Arial" w:hAnsi="Arial" w:cs="Arial"/>
          <w:sz w:val="22"/>
        </w:rPr>
        <w:t>.</w:t>
      </w:r>
    </w:p>
    <w:p w14:paraId="19195B36" w14:textId="11B06863" w:rsidR="002C209A" w:rsidRPr="00BF2545" w:rsidRDefault="005D5BAC" w:rsidP="00D2317B">
      <w:pPr>
        <w:spacing w:before="120" w:line="276" w:lineRule="auto"/>
        <w:ind w:firstLine="708"/>
        <w:jc w:val="both"/>
        <w:rPr>
          <w:rFonts w:ascii="Arial" w:hAnsi="Arial" w:cs="Arial"/>
          <w:sz w:val="22"/>
        </w:rPr>
      </w:pPr>
      <w:r w:rsidRPr="00BF2545">
        <w:rPr>
          <w:rFonts w:ascii="Arial" w:hAnsi="Arial" w:cs="Arial"/>
          <w:sz w:val="22"/>
        </w:rPr>
        <w:lastRenderedPageBreak/>
        <w:t xml:space="preserve">Para </w:t>
      </w:r>
      <w:r w:rsidR="00435A7C" w:rsidRPr="00BF2545">
        <w:rPr>
          <w:rFonts w:ascii="Arial" w:hAnsi="Arial" w:cs="Arial"/>
          <w:sz w:val="22"/>
        </w:rPr>
        <w:t>interpretar un contrato estatal</w:t>
      </w:r>
      <w:r w:rsidRPr="00BF2545">
        <w:rPr>
          <w:rFonts w:ascii="Arial" w:hAnsi="Arial" w:cs="Arial"/>
          <w:sz w:val="22"/>
        </w:rPr>
        <w:t xml:space="preserve">, la doctrina propone </w:t>
      </w:r>
      <w:r w:rsidR="008E3D30" w:rsidRPr="00BF2545">
        <w:rPr>
          <w:rFonts w:ascii="Arial" w:hAnsi="Arial" w:cs="Arial"/>
          <w:sz w:val="22"/>
        </w:rPr>
        <w:t xml:space="preserve">varios </w:t>
      </w:r>
      <w:r w:rsidR="00EE61A7" w:rsidRPr="00BF2545">
        <w:rPr>
          <w:rFonts w:ascii="Arial" w:hAnsi="Arial" w:cs="Arial"/>
          <w:sz w:val="22"/>
        </w:rPr>
        <w:t>tipos de reglas</w:t>
      </w:r>
      <w:r w:rsidR="008E3D30" w:rsidRPr="00BF2545">
        <w:rPr>
          <w:rFonts w:ascii="Arial" w:hAnsi="Arial" w:cs="Arial"/>
          <w:sz w:val="22"/>
        </w:rPr>
        <w:t>. Desde la escuela del racionalismo francés</w:t>
      </w:r>
      <w:r w:rsidR="004C3F00" w:rsidRPr="00BF2545">
        <w:rPr>
          <w:rFonts w:ascii="Arial" w:hAnsi="Arial" w:cs="Arial"/>
          <w:sz w:val="22"/>
        </w:rPr>
        <w:t xml:space="preserve"> de </w:t>
      </w:r>
      <w:r w:rsidR="008E3D30" w:rsidRPr="00BF2545">
        <w:rPr>
          <w:rFonts w:ascii="Arial" w:hAnsi="Arial" w:cs="Arial"/>
          <w:sz w:val="22"/>
        </w:rPr>
        <w:t>Pothier</w:t>
      </w:r>
      <w:r w:rsidR="004C064E" w:rsidRPr="00BF2545">
        <w:rPr>
          <w:rStyle w:val="Refdenotaalpie"/>
          <w:rFonts w:ascii="Arial" w:hAnsi="Arial" w:cs="Arial"/>
          <w:sz w:val="22"/>
        </w:rPr>
        <w:footnoteReference w:id="5"/>
      </w:r>
      <w:r w:rsidR="00496EDD" w:rsidRPr="00BF2545">
        <w:rPr>
          <w:rFonts w:ascii="Arial" w:hAnsi="Arial" w:cs="Arial"/>
          <w:sz w:val="22"/>
        </w:rPr>
        <w:t xml:space="preserve"> y Domat</w:t>
      </w:r>
      <w:r w:rsidR="00496EDD" w:rsidRPr="00BF2545">
        <w:rPr>
          <w:rStyle w:val="Refdenotaalpie"/>
          <w:rFonts w:ascii="Arial" w:hAnsi="Arial" w:cs="Arial"/>
          <w:sz w:val="22"/>
        </w:rPr>
        <w:footnoteReference w:id="6"/>
      </w:r>
      <w:r w:rsidR="00496EDD" w:rsidRPr="00BF2545">
        <w:rPr>
          <w:rFonts w:ascii="Arial" w:hAnsi="Arial" w:cs="Arial"/>
          <w:sz w:val="22"/>
        </w:rPr>
        <w:t xml:space="preserve">, pasando por </w:t>
      </w:r>
      <w:r w:rsidR="00D45D55" w:rsidRPr="00BF2545">
        <w:rPr>
          <w:rFonts w:ascii="Arial" w:hAnsi="Arial" w:cs="Arial"/>
          <w:sz w:val="22"/>
        </w:rPr>
        <w:t>la pandec</w:t>
      </w:r>
      <w:r w:rsidR="004C3F00" w:rsidRPr="00BF2545">
        <w:rPr>
          <w:rFonts w:ascii="Arial" w:hAnsi="Arial" w:cs="Arial"/>
          <w:sz w:val="22"/>
        </w:rPr>
        <w:t xml:space="preserve">tística </w:t>
      </w:r>
      <w:r w:rsidR="00D45D55" w:rsidRPr="00BF2545">
        <w:rPr>
          <w:rFonts w:ascii="Arial" w:hAnsi="Arial" w:cs="Arial"/>
          <w:sz w:val="22"/>
        </w:rPr>
        <w:t>alemana</w:t>
      </w:r>
      <w:r w:rsidR="00496EDD" w:rsidRPr="00BF2545">
        <w:rPr>
          <w:rFonts w:ascii="Arial" w:hAnsi="Arial" w:cs="Arial"/>
          <w:sz w:val="22"/>
        </w:rPr>
        <w:t xml:space="preserve"> de Savig</w:t>
      </w:r>
      <w:r w:rsidR="00750F6A" w:rsidRPr="00BF2545">
        <w:rPr>
          <w:rFonts w:ascii="Arial" w:hAnsi="Arial" w:cs="Arial"/>
          <w:sz w:val="22"/>
        </w:rPr>
        <w:t>n</w:t>
      </w:r>
      <w:r w:rsidR="00D2317B" w:rsidRPr="00BF2545">
        <w:rPr>
          <w:rFonts w:ascii="Arial" w:hAnsi="Arial" w:cs="Arial"/>
          <w:sz w:val="22"/>
        </w:rPr>
        <w:t>y</w:t>
      </w:r>
      <w:r w:rsidR="00D45D55" w:rsidRPr="00BF2545">
        <w:rPr>
          <w:rStyle w:val="Refdenotaalpie"/>
          <w:rFonts w:ascii="Arial" w:hAnsi="Arial" w:cs="Arial"/>
          <w:sz w:val="22"/>
        </w:rPr>
        <w:footnoteReference w:id="7"/>
      </w:r>
      <w:r w:rsidR="00750F6A" w:rsidRPr="00BF2545">
        <w:rPr>
          <w:rFonts w:ascii="Arial" w:hAnsi="Arial" w:cs="Arial"/>
          <w:sz w:val="22"/>
        </w:rPr>
        <w:t>,</w:t>
      </w:r>
      <w:r w:rsidR="00496EDD" w:rsidRPr="00BF2545">
        <w:rPr>
          <w:rFonts w:ascii="Arial" w:hAnsi="Arial" w:cs="Arial"/>
          <w:sz w:val="22"/>
        </w:rPr>
        <w:t xml:space="preserve"> </w:t>
      </w:r>
      <w:r w:rsidR="004C3F00" w:rsidRPr="00BF2545">
        <w:rPr>
          <w:rFonts w:ascii="Arial" w:hAnsi="Arial" w:cs="Arial"/>
          <w:sz w:val="22"/>
        </w:rPr>
        <w:t xml:space="preserve">y llegando hasta los denominados </w:t>
      </w:r>
      <w:r w:rsidR="004C3F00" w:rsidRPr="00BF2545">
        <w:rPr>
          <w:rFonts w:ascii="Arial" w:hAnsi="Arial" w:cs="Arial"/>
          <w:i/>
          <w:iCs/>
          <w:sz w:val="22"/>
        </w:rPr>
        <w:t>códigos decimonónicos</w:t>
      </w:r>
      <w:r w:rsidR="004C3F00" w:rsidRPr="00BF2545">
        <w:rPr>
          <w:rFonts w:ascii="Arial" w:hAnsi="Arial" w:cs="Arial"/>
          <w:sz w:val="22"/>
        </w:rPr>
        <w:t xml:space="preserve">, se han estudiado y propuesto diferentes reglas de interpretación. La doctrina </w:t>
      </w:r>
      <w:r w:rsidR="00FF0E1F" w:rsidRPr="00BF2545">
        <w:rPr>
          <w:rFonts w:ascii="Arial" w:hAnsi="Arial" w:cs="Arial"/>
          <w:sz w:val="22"/>
        </w:rPr>
        <w:t>colombiana</w:t>
      </w:r>
      <w:r w:rsidR="004C3F00" w:rsidRPr="00BF2545">
        <w:rPr>
          <w:rFonts w:ascii="Arial" w:hAnsi="Arial" w:cs="Arial"/>
          <w:sz w:val="22"/>
        </w:rPr>
        <w:t xml:space="preserve">, por su parte, ha elaborado unas </w:t>
      </w:r>
      <w:r w:rsidR="00FF0E1F" w:rsidRPr="00BF2545">
        <w:rPr>
          <w:rFonts w:ascii="Arial" w:hAnsi="Arial" w:cs="Arial"/>
          <w:sz w:val="22"/>
        </w:rPr>
        <w:t>reglas objetivas y unas subjetivas</w:t>
      </w:r>
      <w:r w:rsidR="00FF0E1F" w:rsidRPr="00BF2545">
        <w:rPr>
          <w:rStyle w:val="Refdenotaalpie"/>
          <w:rFonts w:ascii="Arial" w:hAnsi="Arial" w:cs="Arial"/>
          <w:sz w:val="22"/>
        </w:rPr>
        <w:footnoteReference w:id="8"/>
      </w:r>
      <w:r w:rsidR="000163F4" w:rsidRPr="00BF2545">
        <w:rPr>
          <w:rFonts w:ascii="Arial" w:hAnsi="Arial" w:cs="Arial"/>
          <w:sz w:val="22"/>
        </w:rPr>
        <w:t xml:space="preserve"> </w:t>
      </w:r>
      <w:r w:rsidR="000C2A7B" w:rsidRPr="00BF2545">
        <w:rPr>
          <w:rFonts w:ascii="Arial" w:hAnsi="Arial" w:cs="Arial"/>
          <w:sz w:val="22"/>
        </w:rPr>
        <w:t>conforme a</w:t>
      </w:r>
      <w:r w:rsidR="000163F4" w:rsidRPr="00BF2545">
        <w:rPr>
          <w:rFonts w:ascii="Arial" w:hAnsi="Arial" w:cs="Arial"/>
          <w:sz w:val="22"/>
        </w:rPr>
        <w:t xml:space="preserve"> los artículos 1618 a 1624 del Código Civil</w:t>
      </w:r>
      <w:r w:rsidR="00FF0E1F" w:rsidRPr="00BF2545">
        <w:rPr>
          <w:rFonts w:ascii="Arial" w:hAnsi="Arial" w:cs="Arial"/>
          <w:sz w:val="22"/>
        </w:rPr>
        <w:t>. Las primeras</w:t>
      </w:r>
      <w:r w:rsidR="00645B79" w:rsidRPr="00BF2545">
        <w:rPr>
          <w:rFonts w:ascii="Arial" w:hAnsi="Arial" w:cs="Arial"/>
          <w:sz w:val="22"/>
        </w:rPr>
        <w:t xml:space="preserve"> son las siguientes: i) una vez conocida la intención de los contratantes ha de estarse más a ella que a lo literal de las palabras </w:t>
      </w:r>
      <w:r w:rsidR="00D2317B" w:rsidRPr="00BF2545">
        <w:rPr>
          <w:rFonts w:ascii="Arial" w:hAnsi="Arial" w:cs="Arial"/>
          <w:sz w:val="22"/>
        </w:rPr>
        <w:t>(</w:t>
      </w:r>
      <w:r w:rsidR="00645B79" w:rsidRPr="00BF2545">
        <w:rPr>
          <w:rFonts w:ascii="Arial" w:hAnsi="Arial" w:cs="Arial"/>
          <w:sz w:val="22"/>
        </w:rPr>
        <w:t>artículo 1618 del Código Civil</w:t>
      </w:r>
      <w:r w:rsidR="00D2317B" w:rsidRPr="00BF2545">
        <w:rPr>
          <w:rFonts w:ascii="Arial" w:hAnsi="Arial" w:cs="Arial"/>
          <w:sz w:val="22"/>
        </w:rPr>
        <w:t xml:space="preserve">); </w:t>
      </w:r>
      <w:r w:rsidR="00645B79" w:rsidRPr="00BF2545">
        <w:rPr>
          <w:rFonts w:ascii="Arial" w:hAnsi="Arial" w:cs="Arial"/>
          <w:sz w:val="22"/>
        </w:rPr>
        <w:t xml:space="preserve">ii) </w:t>
      </w:r>
      <w:r w:rsidR="00645B79" w:rsidRPr="00BF2545">
        <w:rPr>
          <w:rFonts w:ascii="Arial" w:hAnsi="Arial" w:cs="Arial"/>
          <w:sz w:val="22"/>
          <w:lang w:val="es-ES_tradnl"/>
        </w:rPr>
        <w:t xml:space="preserve">las estipulaciones de un contrato pueden interpretarse por la de otro que las partes hayan celebrado sobre la misma materia o por la aplicación práctica que de ellas hayan hecho </w:t>
      </w:r>
      <w:r w:rsidR="00D2317B" w:rsidRPr="00BF2545">
        <w:rPr>
          <w:rFonts w:ascii="Arial" w:hAnsi="Arial" w:cs="Arial"/>
          <w:sz w:val="22"/>
          <w:lang w:val="es-ES_tradnl"/>
        </w:rPr>
        <w:t>(</w:t>
      </w:r>
      <w:r w:rsidR="00645B79" w:rsidRPr="00BF2545">
        <w:rPr>
          <w:rFonts w:ascii="Arial" w:hAnsi="Arial" w:cs="Arial"/>
          <w:sz w:val="22"/>
          <w:lang w:val="es-ES_tradnl"/>
        </w:rPr>
        <w:t xml:space="preserve">artículo 1622, incisos 2 y 3 </w:t>
      </w:r>
      <w:r w:rsidR="00645B79"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645B79" w:rsidRPr="00BF2545">
        <w:rPr>
          <w:rFonts w:ascii="Arial" w:hAnsi="Arial" w:cs="Arial"/>
          <w:sz w:val="22"/>
          <w:lang w:val="es-ES_tradnl"/>
        </w:rPr>
        <w:t xml:space="preserve">iii) las cláusulas deben interpretarse unas por otras, dándole a cada una el sentido que más convenga al contrato en su totalidad </w:t>
      </w:r>
      <w:r w:rsidR="00D2317B" w:rsidRPr="00BF2545">
        <w:rPr>
          <w:rFonts w:ascii="Arial" w:hAnsi="Arial" w:cs="Arial"/>
          <w:sz w:val="22"/>
          <w:lang w:val="es-ES_tradnl"/>
        </w:rPr>
        <w:t>(</w:t>
      </w:r>
      <w:r w:rsidR="00645B79" w:rsidRPr="00BF2545">
        <w:rPr>
          <w:rFonts w:ascii="Arial" w:hAnsi="Arial" w:cs="Arial"/>
          <w:sz w:val="22"/>
          <w:lang w:val="es-ES_tradnl"/>
        </w:rPr>
        <w:t xml:space="preserve">artículo 1622, inciso 1 </w:t>
      </w:r>
      <w:r w:rsidR="00645B79"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645B79" w:rsidRPr="00BF2545">
        <w:rPr>
          <w:rFonts w:ascii="Arial" w:hAnsi="Arial" w:cs="Arial"/>
          <w:sz w:val="22"/>
          <w:lang w:val="es-ES_tradnl"/>
        </w:rPr>
        <w:t xml:space="preserve">iv) si en un contrato se expresa un caso para explicar la obligación se entiende que esa mención no es restrictiva sino ejemplificativa </w:t>
      </w:r>
      <w:r w:rsidR="00D2317B" w:rsidRPr="00BF2545">
        <w:rPr>
          <w:rFonts w:ascii="Arial" w:hAnsi="Arial" w:cs="Arial"/>
          <w:sz w:val="22"/>
          <w:lang w:val="es-ES_tradnl"/>
        </w:rPr>
        <w:t>(</w:t>
      </w:r>
      <w:r w:rsidR="00645B79" w:rsidRPr="00BF2545">
        <w:rPr>
          <w:rFonts w:ascii="Arial" w:hAnsi="Arial" w:cs="Arial"/>
          <w:sz w:val="22"/>
          <w:lang w:val="es-ES_tradnl"/>
        </w:rPr>
        <w:t xml:space="preserve">artículo 1623 </w:t>
      </w:r>
      <w:r w:rsidR="00645B79" w:rsidRPr="00BF2545">
        <w:rPr>
          <w:rFonts w:ascii="Arial" w:hAnsi="Arial" w:cs="Arial"/>
          <w:i/>
          <w:iCs/>
          <w:sz w:val="22"/>
          <w:lang w:val="es-ES_tradnl"/>
        </w:rPr>
        <w:t>ibídem</w:t>
      </w:r>
      <w:r w:rsidR="00D2317B" w:rsidRPr="00AF5DB0">
        <w:rPr>
          <w:rFonts w:ascii="Arial" w:hAnsi="Arial" w:cs="Arial"/>
          <w:sz w:val="22"/>
          <w:lang w:val="es-ES_tradnl"/>
        </w:rPr>
        <w:t>);</w:t>
      </w:r>
      <w:r w:rsidR="00D2317B" w:rsidRPr="00BF2545">
        <w:rPr>
          <w:rFonts w:ascii="Arial" w:hAnsi="Arial" w:cs="Arial"/>
          <w:sz w:val="22"/>
          <w:lang w:val="es-ES_tradnl"/>
        </w:rPr>
        <w:t xml:space="preserve"> </w:t>
      </w:r>
      <w:r w:rsidR="00645B79" w:rsidRPr="00BF2545">
        <w:rPr>
          <w:rFonts w:ascii="Arial" w:hAnsi="Arial" w:cs="Arial"/>
          <w:sz w:val="22"/>
          <w:lang w:val="es-ES_tradnl"/>
        </w:rPr>
        <w:t xml:space="preserve">y v) se entiende que las expresiones generales contenidas en el negocio únicamente se aplican a la materia sobre la que se ha contratado </w:t>
      </w:r>
      <w:r w:rsidR="00D2317B" w:rsidRPr="00BF2545">
        <w:rPr>
          <w:rFonts w:ascii="Arial" w:hAnsi="Arial" w:cs="Arial"/>
          <w:sz w:val="22"/>
          <w:lang w:val="es-ES_tradnl"/>
        </w:rPr>
        <w:t>(</w:t>
      </w:r>
      <w:r w:rsidR="00645B79" w:rsidRPr="00BF2545">
        <w:rPr>
          <w:rFonts w:ascii="Arial" w:hAnsi="Arial" w:cs="Arial"/>
          <w:sz w:val="22"/>
          <w:lang w:val="es-ES_tradnl"/>
        </w:rPr>
        <w:t xml:space="preserve">artículo 1619, inciso 2 </w:t>
      </w:r>
      <w:r w:rsidR="00645B79"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645B79" w:rsidRPr="00BF2545">
        <w:rPr>
          <w:rFonts w:ascii="Arial" w:hAnsi="Arial" w:cs="Arial"/>
          <w:sz w:val="22"/>
          <w:lang w:val="es-ES_tradnl"/>
        </w:rPr>
        <w:t xml:space="preserve">Las segundas son estas: vi) </w:t>
      </w:r>
      <w:r w:rsidR="005F37E4" w:rsidRPr="00BF2545">
        <w:rPr>
          <w:rFonts w:ascii="Arial" w:hAnsi="Arial" w:cs="Arial"/>
          <w:sz w:val="22"/>
        </w:rPr>
        <w:t xml:space="preserve">el sentido en que una cláusula pueda producir algún efecto deberá preferirse a aquel en que no produzca efecto alguno </w:t>
      </w:r>
      <w:r w:rsidR="00D2317B" w:rsidRPr="00BF2545">
        <w:rPr>
          <w:rFonts w:ascii="Arial" w:hAnsi="Arial" w:cs="Arial"/>
          <w:sz w:val="22"/>
          <w:lang w:val="es-ES_tradnl"/>
        </w:rPr>
        <w:t>(</w:t>
      </w:r>
      <w:r w:rsidR="005F37E4" w:rsidRPr="00BF2545">
        <w:rPr>
          <w:rFonts w:ascii="Arial" w:hAnsi="Arial" w:cs="Arial"/>
          <w:sz w:val="22"/>
          <w:lang w:val="es-ES_tradnl"/>
        </w:rPr>
        <w:t xml:space="preserve">artículo 1620 </w:t>
      </w:r>
      <w:r w:rsidR="005F37E4"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5F37E4" w:rsidRPr="00BF2545">
        <w:rPr>
          <w:rFonts w:ascii="Arial" w:hAnsi="Arial" w:cs="Arial"/>
          <w:sz w:val="22"/>
          <w:lang w:val="es-ES_tradnl"/>
        </w:rPr>
        <w:t>vii)</w:t>
      </w:r>
      <w:r w:rsidR="005F37E4" w:rsidRPr="00BF2545">
        <w:rPr>
          <w:rFonts w:ascii="Arial" w:hAnsi="Arial" w:cs="Arial"/>
          <w:sz w:val="22"/>
        </w:rPr>
        <w:t xml:space="preserve"> deberá estarse a la interpretación que mejor cuadre con la naturaleza del contrato </w:t>
      </w:r>
      <w:r w:rsidR="00D2317B" w:rsidRPr="00BF2545">
        <w:rPr>
          <w:rFonts w:ascii="Arial" w:hAnsi="Arial" w:cs="Arial"/>
          <w:sz w:val="22"/>
          <w:lang w:val="es-ES_tradnl"/>
        </w:rPr>
        <w:t>(</w:t>
      </w:r>
      <w:r w:rsidR="005F37E4" w:rsidRPr="00BF2545">
        <w:rPr>
          <w:rFonts w:ascii="Arial" w:hAnsi="Arial" w:cs="Arial"/>
          <w:sz w:val="22"/>
          <w:lang w:val="es-ES_tradnl"/>
        </w:rPr>
        <w:t xml:space="preserve">artículo 1621 </w:t>
      </w:r>
      <w:r w:rsidR="005F37E4" w:rsidRPr="00BF2545">
        <w:rPr>
          <w:rFonts w:ascii="Arial" w:hAnsi="Arial" w:cs="Arial"/>
          <w:i/>
          <w:iCs/>
          <w:sz w:val="22"/>
          <w:lang w:val="es-ES_tradnl"/>
        </w:rPr>
        <w:t>ibídem</w:t>
      </w:r>
      <w:r w:rsidR="00D2317B" w:rsidRPr="00BF2545">
        <w:rPr>
          <w:rFonts w:ascii="Arial" w:hAnsi="Arial" w:cs="Arial"/>
          <w:sz w:val="22"/>
          <w:lang w:val="es-ES_tradnl"/>
        </w:rPr>
        <w:t>)</w:t>
      </w:r>
      <w:r w:rsidR="00D2317B" w:rsidRPr="00BF2545">
        <w:rPr>
          <w:rFonts w:ascii="Arial" w:hAnsi="Arial" w:cs="Arial"/>
          <w:sz w:val="22"/>
        </w:rPr>
        <w:t xml:space="preserve">; </w:t>
      </w:r>
      <w:r w:rsidR="005F37E4" w:rsidRPr="00BF2545">
        <w:rPr>
          <w:rFonts w:ascii="Arial" w:hAnsi="Arial" w:cs="Arial"/>
          <w:sz w:val="22"/>
        </w:rPr>
        <w:t xml:space="preserve">viii) las cláusulas ambiguas se interpretan a favor del deudor </w:t>
      </w:r>
      <w:r w:rsidR="00D2317B" w:rsidRPr="00BF2545">
        <w:rPr>
          <w:rFonts w:ascii="Arial" w:hAnsi="Arial" w:cs="Arial"/>
          <w:sz w:val="22"/>
          <w:lang w:val="es-ES_tradnl"/>
        </w:rPr>
        <w:t>(</w:t>
      </w:r>
      <w:r w:rsidR="005F37E4" w:rsidRPr="00BF2545">
        <w:rPr>
          <w:rFonts w:ascii="Arial" w:hAnsi="Arial" w:cs="Arial"/>
          <w:sz w:val="22"/>
          <w:lang w:val="es-ES_tradnl"/>
        </w:rPr>
        <w:t xml:space="preserve">artículo 1624, inciso 1 </w:t>
      </w:r>
      <w:r w:rsidR="005F37E4" w:rsidRPr="00BF2545">
        <w:rPr>
          <w:rFonts w:ascii="Arial" w:hAnsi="Arial" w:cs="Arial"/>
          <w:i/>
          <w:iCs/>
          <w:sz w:val="22"/>
          <w:lang w:val="es-ES_tradnl"/>
        </w:rPr>
        <w:t>ibídem</w:t>
      </w:r>
      <w:r w:rsidR="00D2317B" w:rsidRPr="00BF2545">
        <w:rPr>
          <w:rFonts w:ascii="Arial" w:hAnsi="Arial" w:cs="Arial"/>
          <w:sz w:val="22"/>
          <w:lang w:val="es-ES_tradnl"/>
        </w:rPr>
        <w:t xml:space="preserve">); </w:t>
      </w:r>
      <w:r w:rsidR="005F37E4" w:rsidRPr="00BF2545">
        <w:rPr>
          <w:rFonts w:ascii="Arial" w:hAnsi="Arial" w:cs="Arial"/>
          <w:sz w:val="22"/>
          <w:lang w:val="es-ES_tradnl"/>
        </w:rPr>
        <w:t>y ix)</w:t>
      </w:r>
      <w:r w:rsidR="005F37E4" w:rsidRPr="00BF2545">
        <w:rPr>
          <w:rFonts w:ascii="Arial" w:hAnsi="Arial" w:cs="Arial"/>
          <w:sz w:val="22"/>
        </w:rPr>
        <w:t xml:space="preserve"> las cláusulas oscuras que hayan sido extendidas o dictadas por una parte se interpretarán contra ella si la ambigüedad proviene de una explicación que ésta ha debido dar </w:t>
      </w:r>
      <w:r w:rsidR="00D2317B" w:rsidRPr="00BF2545">
        <w:rPr>
          <w:rFonts w:ascii="Arial" w:hAnsi="Arial" w:cs="Arial"/>
          <w:sz w:val="22"/>
          <w:lang w:val="es-ES_tradnl"/>
        </w:rPr>
        <w:t>(</w:t>
      </w:r>
      <w:r w:rsidR="005F37E4" w:rsidRPr="00BF2545">
        <w:rPr>
          <w:rFonts w:ascii="Arial" w:hAnsi="Arial" w:cs="Arial"/>
          <w:sz w:val="22"/>
          <w:lang w:val="es-ES_tradnl"/>
        </w:rPr>
        <w:t xml:space="preserve">artículo 1624, inciso 2 </w:t>
      </w:r>
      <w:r w:rsidR="005F37E4" w:rsidRPr="00BF2545">
        <w:rPr>
          <w:rFonts w:ascii="Arial" w:hAnsi="Arial" w:cs="Arial"/>
          <w:i/>
          <w:iCs/>
          <w:sz w:val="22"/>
          <w:lang w:val="es-ES_tradnl"/>
        </w:rPr>
        <w:t>ibídem</w:t>
      </w:r>
      <w:r w:rsidR="00D2317B" w:rsidRPr="00BF2545">
        <w:rPr>
          <w:rFonts w:ascii="Arial" w:hAnsi="Arial" w:cs="Arial"/>
          <w:sz w:val="22"/>
          <w:lang w:val="es-ES_tradnl"/>
        </w:rPr>
        <w:t>)</w:t>
      </w:r>
      <w:r w:rsidR="00D2317B" w:rsidRPr="00BF2545">
        <w:rPr>
          <w:rFonts w:ascii="Arial" w:hAnsi="Arial" w:cs="Arial"/>
          <w:sz w:val="22"/>
        </w:rPr>
        <w:t xml:space="preserve">. </w:t>
      </w:r>
      <w:r w:rsidR="005F37E4" w:rsidRPr="00BF2545">
        <w:rPr>
          <w:rFonts w:ascii="Arial" w:hAnsi="Arial" w:cs="Arial"/>
          <w:sz w:val="22"/>
        </w:rPr>
        <w:t>E</w:t>
      </w:r>
      <w:r w:rsidR="00AF5DB0">
        <w:rPr>
          <w:rFonts w:ascii="Arial" w:hAnsi="Arial" w:cs="Arial"/>
          <w:sz w:val="22"/>
        </w:rPr>
        <w:t>n abstracto, e</w:t>
      </w:r>
      <w:r w:rsidR="005F37E4" w:rsidRPr="00BF2545">
        <w:rPr>
          <w:rFonts w:ascii="Arial" w:hAnsi="Arial" w:cs="Arial"/>
          <w:sz w:val="22"/>
        </w:rPr>
        <w:t xml:space="preserve">stas son subsidiarias en relación con </w:t>
      </w:r>
      <w:r w:rsidR="000163F4" w:rsidRPr="00BF2545">
        <w:rPr>
          <w:rFonts w:ascii="Arial" w:hAnsi="Arial" w:cs="Arial"/>
          <w:sz w:val="22"/>
        </w:rPr>
        <w:t>aquellas, pues no se relacionan con la voluntad contractual.</w:t>
      </w:r>
      <w:r w:rsidR="00446A22" w:rsidRPr="00BF2545">
        <w:rPr>
          <w:rFonts w:ascii="Arial" w:hAnsi="Arial" w:cs="Arial"/>
          <w:sz w:val="22"/>
        </w:rPr>
        <w:t xml:space="preserve"> </w:t>
      </w:r>
    </w:p>
    <w:p w14:paraId="260E0513" w14:textId="5535A442" w:rsidR="00645B79" w:rsidRPr="00BF2545" w:rsidRDefault="00446A22" w:rsidP="002C209A">
      <w:pPr>
        <w:spacing w:before="120" w:line="276" w:lineRule="auto"/>
        <w:ind w:firstLine="708"/>
        <w:jc w:val="both"/>
        <w:rPr>
          <w:rFonts w:ascii="Arial" w:hAnsi="Arial" w:cs="Arial"/>
          <w:sz w:val="22"/>
        </w:rPr>
      </w:pPr>
      <w:r w:rsidRPr="00BF2545">
        <w:rPr>
          <w:rFonts w:ascii="Arial" w:hAnsi="Arial" w:cs="Arial"/>
          <w:sz w:val="22"/>
        </w:rPr>
        <w:t xml:space="preserve">Para </w:t>
      </w:r>
      <w:r w:rsidR="00AF5DB0">
        <w:rPr>
          <w:rFonts w:ascii="Arial" w:hAnsi="Arial" w:cs="Arial"/>
          <w:sz w:val="22"/>
        </w:rPr>
        <w:t xml:space="preserve">los efectos de </w:t>
      </w:r>
      <w:r w:rsidRPr="00BF2545">
        <w:rPr>
          <w:rFonts w:ascii="Arial" w:hAnsi="Arial" w:cs="Arial"/>
          <w:sz w:val="22"/>
        </w:rPr>
        <w:t>este caso</w:t>
      </w:r>
      <w:r w:rsidR="00AF5DB0">
        <w:rPr>
          <w:rFonts w:ascii="Arial" w:hAnsi="Arial" w:cs="Arial"/>
          <w:sz w:val="22"/>
        </w:rPr>
        <w:t xml:space="preserve"> concreto</w:t>
      </w:r>
      <w:r w:rsidRPr="00BF2545">
        <w:rPr>
          <w:rFonts w:ascii="Arial" w:hAnsi="Arial" w:cs="Arial"/>
          <w:sz w:val="22"/>
        </w:rPr>
        <w:t xml:space="preserve">, se </w:t>
      </w:r>
      <w:r w:rsidR="00AF5DB0">
        <w:rPr>
          <w:rFonts w:ascii="Arial" w:hAnsi="Arial" w:cs="Arial"/>
          <w:sz w:val="22"/>
        </w:rPr>
        <w:t xml:space="preserve">resalta </w:t>
      </w:r>
      <w:r w:rsidRPr="00BF2545">
        <w:rPr>
          <w:rFonts w:ascii="Arial" w:hAnsi="Arial" w:cs="Arial"/>
          <w:sz w:val="22"/>
        </w:rPr>
        <w:t>el artículo 1618 del Código Civil:</w:t>
      </w:r>
    </w:p>
    <w:p w14:paraId="1C395661" w14:textId="5EB383A1" w:rsidR="00417A9D" w:rsidRPr="00BF2545" w:rsidRDefault="00417A9D" w:rsidP="00417A9D">
      <w:pPr>
        <w:jc w:val="both"/>
        <w:rPr>
          <w:rFonts w:ascii="Arial" w:hAnsi="Arial" w:cs="Arial"/>
          <w:sz w:val="22"/>
        </w:rPr>
      </w:pPr>
    </w:p>
    <w:p w14:paraId="27CDA0C4" w14:textId="1B791E09" w:rsidR="00417A9D" w:rsidRPr="00BF2545" w:rsidRDefault="00417A9D" w:rsidP="00417A9D">
      <w:pPr>
        <w:spacing w:before="120"/>
        <w:ind w:left="709" w:right="707"/>
        <w:jc w:val="both"/>
        <w:rPr>
          <w:rFonts w:ascii="Arial" w:hAnsi="Arial" w:cs="Arial"/>
          <w:sz w:val="21"/>
          <w:szCs w:val="21"/>
        </w:rPr>
      </w:pPr>
      <w:r w:rsidRPr="00BF2545">
        <w:rPr>
          <w:rFonts w:ascii="Arial" w:hAnsi="Arial" w:cs="Arial"/>
          <w:sz w:val="21"/>
          <w:szCs w:val="21"/>
        </w:rPr>
        <w:t>ARTICULO 1618. &lt;PREVALENCIA DE LA INTENCI</w:t>
      </w:r>
      <w:r w:rsidR="00BC56BA" w:rsidRPr="00BF2545">
        <w:rPr>
          <w:rFonts w:ascii="Arial" w:hAnsi="Arial" w:cs="Arial"/>
          <w:sz w:val="21"/>
          <w:szCs w:val="21"/>
        </w:rPr>
        <w:t>Ó</w:t>
      </w:r>
      <w:r w:rsidRPr="00BF2545">
        <w:rPr>
          <w:rFonts w:ascii="Arial" w:hAnsi="Arial" w:cs="Arial"/>
          <w:sz w:val="21"/>
          <w:szCs w:val="21"/>
        </w:rPr>
        <w:t>N&gt;. Conocida claramente la intención de los contratantes, debe estarse a ella más que a lo literal de las palabras.</w:t>
      </w:r>
    </w:p>
    <w:p w14:paraId="2876645A" w14:textId="5DE9E35D" w:rsidR="00415491" w:rsidRPr="00BF2545" w:rsidRDefault="00415491" w:rsidP="00415491">
      <w:pPr>
        <w:ind w:left="709" w:right="707"/>
        <w:jc w:val="both"/>
        <w:rPr>
          <w:rFonts w:ascii="Arial" w:hAnsi="Arial" w:cs="Arial"/>
          <w:sz w:val="21"/>
          <w:szCs w:val="21"/>
        </w:rPr>
      </w:pPr>
    </w:p>
    <w:p w14:paraId="1CFE5ACB" w14:textId="4209A98C" w:rsidR="00415491" w:rsidRPr="00BF2545" w:rsidRDefault="002E4430" w:rsidP="00E8248F">
      <w:pPr>
        <w:spacing w:before="120" w:line="276" w:lineRule="auto"/>
        <w:ind w:firstLine="708"/>
        <w:jc w:val="both"/>
        <w:rPr>
          <w:rFonts w:ascii="Arial" w:hAnsi="Arial" w:cs="Arial"/>
          <w:sz w:val="22"/>
        </w:rPr>
      </w:pPr>
      <w:r w:rsidRPr="00BF2545">
        <w:rPr>
          <w:rFonts w:ascii="Arial" w:hAnsi="Arial" w:cs="Arial"/>
          <w:sz w:val="22"/>
        </w:rPr>
        <w:lastRenderedPageBreak/>
        <w:t>De</w:t>
      </w:r>
      <w:r w:rsidR="00415491" w:rsidRPr="00BF2545">
        <w:rPr>
          <w:rFonts w:ascii="Arial" w:hAnsi="Arial" w:cs="Arial"/>
          <w:sz w:val="22"/>
        </w:rPr>
        <w:t xml:space="preserve"> acuerdo con l</w:t>
      </w:r>
      <w:r w:rsidR="00BC56BA" w:rsidRPr="00BF2545">
        <w:rPr>
          <w:rFonts w:ascii="Arial" w:hAnsi="Arial" w:cs="Arial"/>
          <w:sz w:val="22"/>
        </w:rPr>
        <w:t xml:space="preserve">as </w:t>
      </w:r>
      <w:r w:rsidR="00021CDC" w:rsidRPr="00BF2545">
        <w:rPr>
          <w:rFonts w:ascii="Arial" w:hAnsi="Arial" w:cs="Arial"/>
          <w:sz w:val="22"/>
        </w:rPr>
        <w:t xml:space="preserve">reglas </w:t>
      </w:r>
      <w:r w:rsidR="00BC56BA" w:rsidRPr="00BF2545">
        <w:rPr>
          <w:rFonts w:ascii="Arial" w:hAnsi="Arial" w:cs="Arial"/>
          <w:sz w:val="22"/>
        </w:rPr>
        <w:t>mencionadas</w:t>
      </w:r>
      <w:r w:rsidR="00415491" w:rsidRPr="00BF2545">
        <w:rPr>
          <w:rFonts w:ascii="Arial" w:hAnsi="Arial" w:cs="Arial"/>
          <w:sz w:val="22"/>
        </w:rPr>
        <w:t xml:space="preserve">, </w:t>
      </w:r>
      <w:r w:rsidR="00021CDC" w:rsidRPr="00BF2545">
        <w:rPr>
          <w:rFonts w:ascii="Arial" w:hAnsi="Arial" w:cs="Arial"/>
          <w:sz w:val="22"/>
        </w:rPr>
        <w:t>frente a</w:t>
      </w:r>
      <w:r w:rsidR="00DB3E34" w:rsidRPr="00BF2545">
        <w:rPr>
          <w:rFonts w:ascii="Arial" w:hAnsi="Arial" w:cs="Arial"/>
          <w:sz w:val="22"/>
        </w:rPr>
        <w:t xml:space="preserve">l desacuerdo de las partes </w:t>
      </w:r>
      <w:r w:rsidR="00021CDC" w:rsidRPr="00BF2545">
        <w:rPr>
          <w:rFonts w:ascii="Arial" w:hAnsi="Arial" w:cs="Arial"/>
          <w:sz w:val="22"/>
        </w:rPr>
        <w:t xml:space="preserve">en </w:t>
      </w:r>
      <w:r w:rsidR="00DB3E34" w:rsidRPr="00BF2545">
        <w:rPr>
          <w:rFonts w:ascii="Arial" w:hAnsi="Arial" w:cs="Arial"/>
          <w:sz w:val="22"/>
        </w:rPr>
        <w:t xml:space="preserve">el contenido del </w:t>
      </w:r>
      <w:r w:rsidR="00021CDC" w:rsidRPr="00BF2545">
        <w:rPr>
          <w:rFonts w:ascii="Arial" w:hAnsi="Arial" w:cs="Arial"/>
          <w:sz w:val="22"/>
        </w:rPr>
        <w:t>contrato</w:t>
      </w:r>
      <w:r w:rsidR="00DB3E34" w:rsidRPr="00BF2545">
        <w:rPr>
          <w:rFonts w:ascii="Arial" w:hAnsi="Arial" w:cs="Arial"/>
          <w:sz w:val="22"/>
        </w:rPr>
        <w:t xml:space="preserve">, es posible </w:t>
      </w:r>
      <w:r w:rsidR="008B5A7F" w:rsidRPr="00BF2545">
        <w:rPr>
          <w:rFonts w:ascii="Arial" w:hAnsi="Arial" w:cs="Arial"/>
          <w:sz w:val="22"/>
        </w:rPr>
        <w:t>resolver la controversia</w:t>
      </w:r>
      <w:r w:rsidR="00DB3E34" w:rsidRPr="00BF2545">
        <w:rPr>
          <w:rFonts w:ascii="Arial" w:hAnsi="Arial" w:cs="Arial"/>
          <w:sz w:val="22"/>
        </w:rPr>
        <w:t xml:space="preserve"> sin establecer jerarquía</w:t>
      </w:r>
      <w:r w:rsidR="00021CDC" w:rsidRPr="00BF2545">
        <w:rPr>
          <w:rFonts w:ascii="Arial" w:hAnsi="Arial" w:cs="Arial"/>
          <w:sz w:val="22"/>
        </w:rPr>
        <w:t>s</w:t>
      </w:r>
      <w:r w:rsidR="00DB3E34" w:rsidRPr="00BF2545">
        <w:rPr>
          <w:rFonts w:ascii="Arial" w:hAnsi="Arial" w:cs="Arial"/>
          <w:sz w:val="22"/>
        </w:rPr>
        <w:t xml:space="preserve"> entre los documentos contractuales, incluso, </w:t>
      </w:r>
      <w:r w:rsidR="00021CDC" w:rsidRPr="00BF2545">
        <w:rPr>
          <w:rFonts w:ascii="Arial" w:hAnsi="Arial" w:cs="Arial"/>
          <w:sz w:val="22"/>
        </w:rPr>
        <w:t>cuando</w:t>
      </w:r>
      <w:r w:rsidR="00DB3E34" w:rsidRPr="00BF2545">
        <w:rPr>
          <w:rFonts w:ascii="Arial" w:hAnsi="Arial" w:cs="Arial"/>
          <w:sz w:val="22"/>
        </w:rPr>
        <w:t xml:space="preserve"> la discrepancia de un error reflejado en dos versiones de un mismo documento, porque la intención de las partes </w:t>
      </w:r>
      <w:r w:rsidR="0083254D" w:rsidRPr="00BF2545">
        <w:rPr>
          <w:rFonts w:ascii="Arial" w:hAnsi="Arial" w:cs="Arial"/>
          <w:sz w:val="22"/>
        </w:rPr>
        <w:t>está por encima de</w:t>
      </w:r>
      <w:r w:rsidR="00DB3E34" w:rsidRPr="00BF2545">
        <w:rPr>
          <w:rFonts w:ascii="Arial" w:hAnsi="Arial" w:cs="Arial"/>
          <w:sz w:val="22"/>
        </w:rPr>
        <w:t xml:space="preserve"> la literalidad del documento, por </w:t>
      </w:r>
      <w:r w:rsidR="00665559" w:rsidRPr="00BF2545">
        <w:rPr>
          <w:rFonts w:ascii="Arial" w:hAnsi="Arial" w:cs="Arial"/>
          <w:sz w:val="22"/>
        </w:rPr>
        <w:t>disposición</w:t>
      </w:r>
      <w:r w:rsidR="00DB3E34" w:rsidRPr="00BF2545">
        <w:rPr>
          <w:rFonts w:ascii="Arial" w:hAnsi="Arial" w:cs="Arial"/>
          <w:sz w:val="22"/>
        </w:rPr>
        <w:t xml:space="preserve"> del artículo 1618 del Código Civil</w:t>
      </w:r>
      <w:r w:rsidR="00665559" w:rsidRPr="00BF2545">
        <w:rPr>
          <w:rFonts w:ascii="Arial" w:hAnsi="Arial" w:cs="Arial"/>
          <w:sz w:val="22"/>
        </w:rPr>
        <w:t xml:space="preserve"> y </w:t>
      </w:r>
      <w:r w:rsidR="008B5A7F" w:rsidRPr="00BF2545">
        <w:rPr>
          <w:rFonts w:ascii="Arial" w:hAnsi="Arial" w:cs="Arial"/>
          <w:sz w:val="22"/>
        </w:rPr>
        <w:t>la jurisprudencia pacífica del Consejo de Estado</w:t>
      </w:r>
      <w:r w:rsidR="005E45AE" w:rsidRPr="00BF2545">
        <w:rPr>
          <w:rFonts w:ascii="Arial" w:hAnsi="Arial" w:cs="Arial"/>
          <w:sz w:val="22"/>
        </w:rPr>
        <w:t>.</w:t>
      </w:r>
      <w:r w:rsidR="00415491" w:rsidRPr="00BF2545">
        <w:rPr>
          <w:rFonts w:ascii="Arial" w:hAnsi="Arial" w:cs="Arial"/>
          <w:sz w:val="22"/>
        </w:rPr>
        <w:t xml:space="preserve"> </w:t>
      </w:r>
    </w:p>
    <w:p w14:paraId="61C01147" w14:textId="78ECD840" w:rsidR="006358AA" w:rsidRPr="00BF2545" w:rsidRDefault="005D5BAC" w:rsidP="00A605AF">
      <w:pPr>
        <w:spacing w:before="120" w:line="276" w:lineRule="auto"/>
        <w:ind w:firstLine="709"/>
        <w:jc w:val="both"/>
        <w:rPr>
          <w:rFonts w:ascii="Arial" w:hAnsi="Arial" w:cs="Arial"/>
          <w:sz w:val="22"/>
        </w:rPr>
      </w:pPr>
      <w:r w:rsidRPr="00BF2545">
        <w:rPr>
          <w:rFonts w:ascii="Arial" w:hAnsi="Arial" w:cs="Arial"/>
          <w:sz w:val="22"/>
        </w:rPr>
        <w:t xml:space="preserve">Acudiendo a </w:t>
      </w:r>
      <w:r w:rsidR="0083254D" w:rsidRPr="00BF2545">
        <w:rPr>
          <w:rFonts w:ascii="Arial" w:hAnsi="Arial" w:cs="Arial"/>
          <w:sz w:val="22"/>
        </w:rPr>
        <w:t xml:space="preserve">las </w:t>
      </w:r>
      <w:r w:rsidRPr="00BF2545">
        <w:rPr>
          <w:rFonts w:ascii="Arial" w:hAnsi="Arial" w:cs="Arial"/>
          <w:sz w:val="22"/>
        </w:rPr>
        <w:t>reglas de interpretación es posible establecer</w:t>
      </w:r>
      <w:r w:rsidR="0073214A" w:rsidRPr="00BF2545">
        <w:rPr>
          <w:rFonts w:ascii="Arial" w:hAnsi="Arial" w:cs="Arial"/>
          <w:sz w:val="22"/>
        </w:rPr>
        <w:t xml:space="preserve">, por ejemplo, que la intención de las partes se encuentra contenida en el documento electrónico, evento ante el cual sería necesario darle prelación a su contenido sobre el documento físico o manuscrito, sin </w:t>
      </w:r>
      <w:r w:rsidR="0083254D" w:rsidRPr="00BF2545">
        <w:rPr>
          <w:rFonts w:ascii="Arial" w:hAnsi="Arial" w:cs="Arial"/>
          <w:sz w:val="22"/>
        </w:rPr>
        <w:t>discutir la</w:t>
      </w:r>
      <w:r w:rsidR="0073214A" w:rsidRPr="00BF2545">
        <w:rPr>
          <w:rFonts w:ascii="Arial" w:hAnsi="Arial" w:cs="Arial"/>
          <w:sz w:val="22"/>
        </w:rPr>
        <w:t xml:space="preserve"> jerarquía entre </w:t>
      </w:r>
      <w:r w:rsidR="0083254D" w:rsidRPr="00BF2545">
        <w:rPr>
          <w:rFonts w:ascii="Arial" w:hAnsi="Arial" w:cs="Arial"/>
          <w:sz w:val="22"/>
        </w:rPr>
        <w:t>ambos</w:t>
      </w:r>
      <w:r w:rsidR="006358AA" w:rsidRPr="00BF2545">
        <w:rPr>
          <w:rFonts w:ascii="Arial" w:hAnsi="Arial" w:cs="Arial"/>
          <w:sz w:val="22"/>
        </w:rPr>
        <w:t xml:space="preserve">. </w:t>
      </w:r>
      <w:r w:rsidR="0083254D" w:rsidRPr="00BF2545">
        <w:rPr>
          <w:rFonts w:ascii="Arial" w:hAnsi="Arial" w:cs="Arial"/>
          <w:sz w:val="22"/>
        </w:rPr>
        <w:t>Incluso</w:t>
      </w:r>
      <w:r w:rsidR="006358AA" w:rsidRPr="00BF2545">
        <w:rPr>
          <w:rFonts w:ascii="Arial" w:hAnsi="Arial" w:cs="Arial"/>
          <w:sz w:val="22"/>
        </w:rPr>
        <w:t xml:space="preserve">, también es posible que </w:t>
      </w:r>
      <w:r w:rsidR="0083254D" w:rsidRPr="00BF2545">
        <w:rPr>
          <w:rFonts w:ascii="Arial" w:hAnsi="Arial" w:cs="Arial"/>
          <w:sz w:val="22"/>
        </w:rPr>
        <w:t xml:space="preserve">aplicadas </w:t>
      </w:r>
      <w:r w:rsidR="006358AA" w:rsidRPr="00BF2545">
        <w:rPr>
          <w:rFonts w:ascii="Arial" w:hAnsi="Arial" w:cs="Arial"/>
          <w:sz w:val="22"/>
        </w:rPr>
        <w:t xml:space="preserve">las reglas de interpretación de los contratos, </w:t>
      </w:r>
      <w:r w:rsidR="0083254D" w:rsidRPr="00BF2545">
        <w:rPr>
          <w:rFonts w:ascii="Arial" w:hAnsi="Arial" w:cs="Arial"/>
          <w:sz w:val="22"/>
        </w:rPr>
        <w:t>la intención de las partes se exprese en el</w:t>
      </w:r>
      <w:r w:rsidR="006358AA" w:rsidRPr="00BF2545">
        <w:rPr>
          <w:rFonts w:ascii="Arial" w:hAnsi="Arial" w:cs="Arial"/>
          <w:sz w:val="22"/>
        </w:rPr>
        <w:t xml:space="preserve"> documento manuscrito. </w:t>
      </w:r>
      <w:r w:rsidR="0083254D" w:rsidRPr="00BF2545">
        <w:rPr>
          <w:rFonts w:ascii="Arial" w:hAnsi="Arial" w:cs="Arial"/>
          <w:sz w:val="22"/>
        </w:rPr>
        <w:t>Lo anterior</w:t>
      </w:r>
      <w:r w:rsidR="006358AA" w:rsidRPr="00BF2545">
        <w:rPr>
          <w:rFonts w:ascii="Arial" w:hAnsi="Arial" w:cs="Arial"/>
          <w:sz w:val="22"/>
        </w:rPr>
        <w:t xml:space="preserve">, porque no existe una regla de jerarquía que </w:t>
      </w:r>
      <w:r w:rsidR="0083254D" w:rsidRPr="00BF2545">
        <w:rPr>
          <w:rFonts w:ascii="Arial" w:hAnsi="Arial" w:cs="Arial"/>
          <w:sz w:val="22"/>
        </w:rPr>
        <w:t xml:space="preserve">invalide </w:t>
      </w:r>
      <w:r w:rsidR="006358AA" w:rsidRPr="00BF2545">
        <w:rPr>
          <w:rFonts w:ascii="Arial" w:hAnsi="Arial" w:cs="Arial"/>
          <w:sz w:val="22"/>
        </w:rPr>
        <w:t xml:space="preserve"> un documento </w:t>
      </w:r>
      <w:r w:rsidR="0083254D" w:rsidRPr="00BF2545">
        <w:rPr>
          <w:rFonts w:ascii="Arial" w:hAnsi="Arial" w:cs="Arial"/>
          <w:sz w:val="22"/>
        </w:rPr>
        <w:t>respecto al</w:t>
      </w:r>
      <w:r w:rsidR="006358AA" w:rsidRPr="00BF2545">
        <w:rPr>
          <w:rFonts w:ascii="Arial" w:hAnsi="Arial" w:cs="Arial"/>
          <w:sz w:val="22"/>
        </w:rPr>
        <w:t xml:space="preserve"> otro.</w:t>
      </w:r>
    </w:p>
    <w:p w14:paraId="195764F0" w14:textId="51AE2D9B" w:rsidR="00C33C41" w:rsidRPr="00BF2545" w:rsidRDefault="005D5BAC" w:rsidP="00A605AF">
      <w:pPr>
        <w:spacing w:before="120" w:line="276" w:lineRule="auto"/>
        <w:ind w:firstLine="709"/>
        <w:jc w:val="both"/>
        <w:rPr>
          <w:rFonts w:ascii="Arial" w:hAnsi="Arial" w:cs="Arial"/>
          <w:sz w:val="22"/>
        </w:rPr>
      </w:pPr>
      <w:r w:rsidRPr="00BF2545">
        <w:rPr>
          <w:rFonts w:ascii="Arial" w:hAnsi="Arial" w:cs="Arial"/>
          <w:sz w:val="22"/>
        </w:rPr>
        <w:t>De todos modos, la interpretación del contrato</w:t>
      </w:r>
      <w:r w:rsidR="005B6B25">
        <w:rPr>
          <w:rFonts w:ascii="Arial" w:hAnsi="Arial" w:cs="Arial"/>
          <w:sz w:val="22"/>
        </w:rPr>
        <w:t xml:space="preserve"> y los documentos del proceso</w:t>
      </w:r>
      <w:r w:rsidRPr="00BF2545">
        <w:rPr>
          <w:rFonts w:ascii="Arial" w:hAnsi="Arial" w:cs="Arial"/>
          <w:sz w:val="22"/>
        </w:rPr>
        <w:t xml:space="preserve"> corresponde a las partes y, </w:t>
      </w:r>
      <w:r w:rsidR="0083254D" w:rsidRPr="00BF2545">
        <w:rPr>
          <w:rFonts w:ascii="Arial" w:hAnsi="Arial" w:cs="Arial"/>
          <w:sz w:val="22"/>
        </w:rPr>
        <w:t xml:space="preserve">en caso de desacuerdo sobre el sentido o alcance del </w:t>
      </w:r>
      <w:r w:rsidR="005B6B25">
        <w:rPr>
          <w:rFonts w:ascii="Arial" w:hAnsi="Arial" w:cs="Arial"/>
          <w:sz w:val="22"/>
        </w:rPr>
        <w:t>de estos</w:t>
      </w:r>
      <w:r w:rsidRPr="00BF2545">
        <w:rPr>
          <w:rFonts w:ascii="Arial" w:hAnsi="Arial" w:cs="Arial"/>
          <w:sz w:val="22"/>
        </w:rPr>
        <w:t>,</w:t>
      </w:r>
      <w:r w:rsidR="0083254D" w:rsidRPr="00BF2545">
        <w:rPr>
          <w:rFonts w:ascii="Arial" w:hAnsi="Arial" w:cs="Arial"/>
          <w:sz w:val="22"/>
        </w:rPr>
        <w:t xml:space="preserve"> corresponde</w:t>
      </w:r>
      <w:r w:rsidRPr="00BF2545">
        <w:rPr>
          <w:rFonts w:ascii="Arial" w:hAnsi="Arial" w:cs="Arial"/>
          <w:sz w:val="22"/>
        </w:rPr>
        <w:t xml:space="preserve"> a los jueces de lo contencioso administrativo</w:t>
      </w:r>
      <w:r w:rsidR="005B6B25">
        <w:rPr>
          <w:rFonts w:ascii="Arial" w:hAnsi="Arial" w:cs="Arial"/>
          <w:sz w:val="22"/>
        </w:rPr>
        <w:t xml:space="preserve"> interpretar cuál de los documentos prevalece - basando su decisión en de las reglas de interpretación del Código Civil - </w:t>
      </w:r>
      <w:r w:rsidRPr="00BF2545">
        <w:rPr>
          <w:rFonts w:ascii="Arial" w:hAnsi="Arial" w:cs="Arial"/>
          <w:sz w:val="22"/>
        </w:rPr>
        <w:t>.</w:t>
      </w:r>
      <w:r w:rsidR="00EE61A7" w:rsidRPr="00BF2545">
        <w:rPr>
          <w:rFonts w:ascii="Arial" w:hAnsi="Arial" w:cs="Arial"/>
          <w:sz w:val="22"/>
        </w:rPr>
        <w:t xml:space="preserve"> Igualmente, </w:t>
      </w:r>
      <w:r w:rsidR="0073214A" w:rsidRPr="00BF2545">
        <w:rPr>
          <w:rFonts w:ascii="Arial" w:hAnsi="Arial" w:cs="Arial"/>
          <w:sz w:val="22"/>
        </w:rPr>
        <w:t xml:space="preserve">es necesario insistir en </w:t>
      </w:r>
      <w:r w:rsidR="00EE61A7" w:rsidRPr="00BF2545">
        <w:rPr>
          <w:rFonts w:ascii="Arial" w:hAnsi="Arial" w:cs="Arial"/>
          <w:sz w:val="22"/>
        </w:rPr>
        <w:t xml:space="preserve">que no es posible establecer </w:t>
      </w:r>
      <w:r w:rsidR="00EE61A7" w:rsidRPr="00BF2545">
        <w:rPr>
          <w:rFonts w:ascii="Arial" w:hAnsi="Arial" w:cs="Arial"/>
          <w:i/>
          <w:iCs/>
          <w:sz w:val="22"/>
        </w:rPr>
        <w:t xml:space="preserve">ex ante </w:t>
      </w:r>
      <w:r w:rsidR="00EE61A7" w:rsidRPr="00BF2545">
        <w:rPr>
          <w:rFonts w:ascii="Arial" w:hAnsi="Arial" w:cs="Arial"/>
          <w:sz w:val="22"/>
        </w:rPr>
        <w:t xml:space="preserve">la validez jurídica de los documentos contractuales, pues </w:t>
      </w:r>
      <w:r w:rsidR="006221BF" w:rsidRPr="00BF2545">
        <w:rPr>
          <w:rFonts w:ascii="Arial" w:hAnsi="Arial" w:cs="Arial"/>
          <w:sz w:val="22"/>
        </w:rPr>
        <w:t xml:space="preserve">estos </w:t>
      </w:r>
      <w:r w:rsidR="00EE61A7" w:rsidRPr="00BF2545">
        <w:rPr>
          <w:rFonts w:ascii="Arial" w:hAnsi="Arial" w:cs="Arial"/>
          <w:sz w:val="22"/>
        </w:rPr>
        <w:t>deben</w:t>
      </w:r>
      <w:r w:rsidR="0083254D" w:rsidRPr="00BF2545">
        <w:rPr>
          <w:rFonts w:ascii="Arial" w:hAnsi="Arial" w:cs="Arial"/>
          <w:sz w:val="22"/>
        </w:rPr>
        <w:t xml:space="preserve"> </w:t>
      </w:r>
      <w:r w:rsidR="00EE61A7" w:rsidRPr="00BF2545">
        <w:rPr>
          <w:rFonts w:ascii="Arial" w:hAnsi="Arial" w:cs="Arial"/>
          <w:sz w:val="22"/>
        </w:rPr>
        <w:t>valora</w:t>
      </w:r>
      <w:r w:rsidR="0083254D" w:rsidRPr="00BF2545">
        <w:rPr>
          <w:rFonts w:ascii="Arial" w:hAnsi="Arial" w:cs="Arial"/>
          <w:sz w:val="22"/>
        </w:rPr>
        <w:t>r</w:t>
      </w:r>
      <w:r w:rsidR="00EE61A7" w:rsidRPr="00BF2545">
        <w:rPr>
          <w:rFonts w:ascii="Arial" w:hAnsi="Arial" w:cs="Arial"/>
          <w:sz w:val="22"/>
        </w:rPr>
        <w:t>s</w:t>
      </w:r>
      <w:r w:rsidR="0083254D" w:rsidRPr="00BF2545">
        <w:rPr>
          <w:rFonts w:ascii="Arial" w:hAnsi="Arial" w:cs="Arial"/>
          <w:sz w:val="22"/>
        </w:rPr>
        <w:t>e</w:t>
      </w:r>
      <w:r w:rsidR="00EE61A7" w:rsidRPr="00BF2545">
        <w:rPr>
          <w:rFonts w:ascii="Arial" w:hAnsi="Arial" w:cs="Arial"/>
          <w:sz w:val="22"/>
        </w:rPr>
        <w:t xml:space="preserve"> para establecer la voluntad contractual de las partes, </w:t>
      </w:r>
      <w:r w:rsidR="0073214A" w:rsidRPr="00BF2545">
        <w:rPr>
          <w:rFonts w:ascii="Arial" w:hAnsi="Arial" w:cs="Arial"/>
          <w:sz w:val="22"/>
        </w:rPr>
        <w:t xml:space="preserve">de acuerdo a las reglas </w:t>
      </w:r>
      <w:r w:rsidR="0083254D" w:rsidRPr="00BF2545">
        <w:rPr>
          <w:rFonts w:ascii="Arial" w:hAnsi="Arial" w:cs="Arial"/>
          <w:sz w:val="22"/>
        </w:rPr>
        <w:t xml:space="preserve">anteriormente </w:t>
      </w:r>
      <w:r w:rsidR="0073214A" w:rsidRPr="00BF2545">
        <w:rPr>
          <w:rFonts w:ascii="Arial" w:hAnsi="Arial" w:cs="Arial"/>
          <w:sz w:val="22"/>
        </w:rPr>
        <w:t>exp</w:t>
      </w:r>
      <w:r w:rsidR="00FA5544" w:rsidRPr="00BF2545">
        <w:rPr>
          <w:rFonts w:ascii="Arial" w:hAnsi="Arial" w:cs="Arial"/>
          <w:sz w:val="22"/>
        </w:rPr>
        <w:t>uestas</w:t>
      </w:r>
      <w:r w:rsidR="00EE61A7" w:rsidRPr="00BF2545">
        <w:rPr>
          <w:rFonts w:ascii="Arial" w:hAnsi="Arial" w:cs="Arial"/>
          <w:sz w:val="22"/>
        </w:rPr>
        <w:t>.</w:t>
      </w:r>
    </w:p>
    <w:p w14:paraId="2DC3199D" w14:textId="77777777" w:rsidR="00C33C41" w:rsidRPr="00BF2545" w:rsidRDefault="00C33C41" w:rsidP="00B7508D">
      <w:pPr>
        <w:spacing w:line="276" w:lineRule="auto"/>
        <w:jc w:val="both"/>
        <w:rPr>
          <w:rFonts w:ascii="Arial" w:hAnsi="Arial" w:cs="Arial"/>
          <w:b/>
          <w:bCs/>
          <w:sz w:val="22"/>
        </w:rPr>
      </w:pPr>
    </w:p>
    <w:p w14:paraId="5D99A3C6" w14:textId="4647BF84" w:rsidR="005A79FE" w:rsidRPr="00BF2545" w:rsidRDefault="005A79FE" w:rsidP="00D166ED">
      <w:pPr>
        <w:pStyle w:val="Prrafodelista"/>
        <w:numPr>
          <w:ilvl w:val="0"/>
          <w:numId w:val="6"/>
        </w:numPr>
        <w:tabs>
          <w:tab w:val="left" w:pos="284"/>
        </w:tabs>
        <w:spacing w:line="276" w:lineRule="auto"/>
        <w:ind w:left="284" w:hanging="284"/>
        <w:jc w:val="both"/>
        <w:rPr>
          <w:rFonts w:ascii="Arial" w:eastAsia="Calibri" w:hAnsi="Arial" w:cs="Arial"/>
          <w:sz w:val="22"/>
        </w:rPr>
      </w:pPr>
      <w:r w:rsidRPr="00BF2545">
        <w:rPr>
          <w:rFonts w:ascii="Arial" w:eastAsia="Calibri" w:hAnsi="Arial" w:cs="Arial"/>
          <w:b/>
          <w:sz w:val="22"/>
        </w:rPr>
        <w:t>Respuesta</w:t>
      </w:r>
    </w:p>
    <w:p w14:paraId="6A2CCB9A" w14:textId="77777777" w:rsidR="005A79FE" w:rsidRPr="005B6B25" w:rsidRDefault="005A79FE" w:rsidP="00260104">
      <w:pPr>
        <w:spacing w:line="276" w:lineRule="auto"/>
        <w:ind w:left="709" w:right="709"/>
        <w:jc w:val="both"/>
        <w:rPr>
          <w:rFonts w:ascii="Arial" w:eastAsia="Calibri" w:hAnsi="Arial" w:cs="Arial"/>
          <w:i/>
          <w:sz w:val="21"/>
          <w:szCs w:val="21"/>
        </w:rPr>
      </w:pPr>
    </w:p>
    <w:p w14:paraId="149804E6" w14:textId="569356BF" w:rsidR="00C37CD6" w:rsidRDefault="00C37CD6" w:rsidP="005B6B25">
      <w:pPr>
        <w:ind w:left="709" w:right="709"/>
        <w:jc w:val="both"/>
        <w:rPr>
          <w:rFonts w:ascii="Arial" w:eastAsia="Calibri" w:hAnsi="Arial" w:cs="Arial"/>
          <w:sz w:val="21"/>
          <w:szCs w:val="21"/>
        </w:rPr>
      </w:pPr>
      <w:r w:rsidRPr="005B6B25">
        <w:rPr>
          <w:rFonts w:ascii="Arial" w:eastAsia="Calibri" w:hAnsi="Arial" w:cs="Arial"/>
          <w:sz w:val="21"/>
          <w:szCs w:val="21"/>
        </w:rPr>
        <w:t>«</w:t>
      </w:r>
      <w:r w:rsidR="005B6B25" w:rsidRPr="005B6B25">
        <w:rPr>
          <w:rFonts w:ascii="Arial" w:eastAsia="Calibri" w:hAnsi="Arial" w:cs="Arial"/>
          <w:sz w:val="21"/>
          <w:szCs w:val="21"/>
        </w:rPr>
        <w:t>¿Qué pliego de condiciones tienen prevalencia en un proceso de contratacion</w:t>
      </w:r>
      <w:r w:rsidR="005B6B25">
        <w:rPr>
          <w:rFonts w:ascii="Arial" w:eastAsia="Calibri" w:hAnsi="Arial" w:cs="Arial"/>
          <w:sz w:val="21"/>
          <w:szCs w:val="21"/>
        </w:rPr>
        <w:t xml:space="preserve"> (sic)</w:t>
      </w:r>
      <w:r w:rsidR="005B6B25" w:rsidRPr="005B6B25">
        <w:rPr>
          <w:rFonts w:ascii="Arial" w:eastAsia="Calibri" w:hAnsi="Arial" w:cs="Arial"/>
          <w:sz w:val="21"/>
          <w:szCs w:val="21"/>
        </w:rPr>
        <w:t xml:space="preserve"> publicado en la plataforma del Secop2 (sic), el pliego electronico (sic) del Secop2 (sic) o el pliego de condiciones como documento adjunto al proceso de contratacion (sic)?»</w:t>
      </w:r>
    </w:p>
    <w:p w14:paraId="6D73B221" w14:textId="77777777" w:rsidR="005B6B25" w:rsidRPr="005B6B25" w:rsidRDefault="005B6B25" w:rsidP="005B6B25">
      <w:pPr>
        <w:ind w:left="709" w:right="709"/>
        <w:jc w:val="both"/>
        <w:rPr>
          <w:rFonts w:ascii="Arial" w:eastAsia="Calibri" w:hAnsi="Arial" w:cs="Arial"/>
          <w:sz w:val="21"/>
          <w:szCs w:val="21"/>
        </w:rPr>
      </w:pPr>
    </w:p>
    <w:p w14:paraId="042538A0" w14:textId="6932A195" w:rsidR="009823C6" w:rsidRPr="00BF2545" w:rsidRDefault="00EC7ECE" w:rsidP="00EC7ECE">
      <w:pPr>
        <w:spacing w:before="120" w:after="120" w:line="276" w:lineRule="auto"/>
        <w:jc w:val="both"/>
        <w:rPr>
          <w:rFonts w:ascii="Arial" w:hAnsi="Arial" w:cs="Arial"/>
          <w:sz w:val="22"/>
        </w:rPr>
      </w:pPr>
      <w:r w:rsidRPr="00BF2545">
        <w:rPr>
          <w:rFonts w:ascii="Arial" w:hAnsi="Arial" w:cs="Arial"/>
          <w:color w:val="000000"/>
          <w:sz w:val="22"/>
        </w:rPr>
        <w:t xml:space="preserve">No existe disposición normativa que </w:t>
      </w:r>
      <w:r w:rsidR="00B041C1" w:rsidRPr="00BF2545">
        <w:rPr>
          <w:rFonts w:ascii="Arial" w:hAnsi="Arial" w:cs="Arial"/>
          <w:color w:val="000000"/>
          <w:sz w:val="22"/>
        </w:rPr>
        <w:t>establezca</w:t>
      </w:r>
      <w:r w:rsidRPr="00BF2545">
        <w:rPr>
          <w:rFonts w:ascii="Arial" w:hAnsi="Arial" w:cs="Arial"/>
          <w:color w:val="000000"/>
          <w:sz w:val="22"/>
        </w:rPr>
        <w:t xml:space="preserve"> una jerarquía entre los documentos electrónicos y los manuscritos. Por el contrario, en el ordenamiento jurídico existen normas que les dan efectos probatorios a unos y a otros. </w:t>
      </w:r>
      <w:r w:rsidR="00B041C1" w:rsidRPr="00BF2545">
        <w:rPr>
          <w:rFonts w:ascii="Arial" w:hAnsi="Arial" w:cs="Arial"/>
          <w:color w:val="000000"/>
          <w:sz w:val="22"/>
        </w:rPr>
        <w:t>En la situación expuesta, es necesario que</w:t>
      </w:r>
      <w:r w:rsidRPr="00BF2545">
        <w:rPr>
          <w:rFonts w:ascii="Arial" w:hAnsi="Arial" w:cs="Arial"/>
          <w:color w:val="000000"/>
          <w:sz w:val="22"/>
        </w:rPr>
        <w:t xml:space="preserve"> las partes lleg</w:t>
      </w:r>
      <w:r w:rsidR="00B041C1" w:rsidRPr="00BF2545">
        <w:rPr>
          <w:rFonts w:ascii="Arial" w:hAnsi="Arial" w:cs="Arial"/>
          <w:color w:val="000000"/>
          <w:sz w:val="22"/>
        </w:rPr>
        <w:t>uen</w:t>
      </w:r>
      <w:r w:rsidRPr="00BF2545">
        <w:rPr>
          <w:rFonts w:ascii="Arial" w:hAnsi="Arial" w:cs="Arial"/>
          <w:color w:val="000000"/>
          <w:sz w:val="22"/>
        </w:rPr>
        <w:t xml:space="preserve"> a un acuerdo en relación con el contenido </w:t>
      </w:r>
      <w:r w:rsidR="005B6B25">
        <w:rPr>
          <w:rFonts w:ascii="Arial" w:hAnsi="Arial" w:cs="Arial"/>
          <w:color w:val="000000"/>
          <w:sz w:val="22"/>
        </w:rPr>
        <w:t>pliego de condiciones</w:t>
      </w:r>
      <w:r w:rsidRPr="00BF2545">
        <w:rPr>
          <w:rFonts w:ascii="Arial" w:hAnsi="Arial" w:cs="Arial"/>
          <w:color w:val="000000"/>
          <w:sz w:val="22"/>
        </w:rPr>
        <w:t xml:space="preserve"> objeto de controversia. De no </w:t>
      </w:r>
      <w:r w:rsidR="00B041C1" w:rsidRPr="00BF2545">
        <w:rPr>
          <w:rFonts w:ascii="Arial" w:hAnsi="Arial" w:cs="Arial"/>
          <w:color w:val="000000"/>
          <w:sz w:val="22"/>
        </w:rPr>
        <w:t>llegar este</w:t>
      </w:r>
      <w:r w:rsidRPr="00BF2545">
        <w:rPr>
          <w:rFonts w:ascii="Arial" w:hAnsi="Arial" w:cs="Arial"/>
          <w:color w:val="000000"/>
          <w:sz w:val="22"/>
        </w:rPr>
        <w:t xml:space="preserve">, es necesario </w:t>
      </w:r>
      <w:r w:rsidR="00B041C1" w:rsidRPr="00BF2545">
        <w:rPr>
          <w:rFonts w:ascii="Arial" w:hAnsi="Arial" w:cs="Arial"/>
          <w:color w:val="000000"/>
          <w:sz w:val="22"/>
        </w:rPr>
        <w:t>resolver la controversia</w:t>
      </w:r>
      <w:r w:rsidRPr="00BF2545">
        <w:rPr>
          <w:rFonts w:ascii="Arial" w:hAnsi="Arial" w:cs="Arial"/>
          <w:color w:val="000000"/>
          <w:sz w:val="22"/>
        </w:rPr>
        <w:t xml:space="preserve"> acudiendo a las reglas de interpretación de los contratos</w:t>
      </w:r>
      <w:r w:rsidR="00B041C1" w:rsidRPr="00BF2545">
        <w:rPr>
          <w:rFonts w:ascii="Arial" w:hAnsi="Arial" w:cs="Arial"/>
          <w:color w:val="000000"/>
          <w:sz w:val="22"/>
        </w:rPr>
        <w:t xml:space="preserve"> para determinar </w:t>
      </w:r>
      <w:r w:rsidRPr="00BF2545">
        <w:rPr>
          <w:rFonts w:ascii="Arial" w:hAnsi="Arial" w:cs="Arial"/>
          <w:color w:val="000000"/>
          <w:sz w:val="22"/>
        </w:rPr>
        <w:t>cuál fue la intención de las partes, sin que sea necesario fijar una regla específica de jerarquía entre los documentos contractuales.</w:t>
      </w:r>
    </w:p>
    <w:p w14:paraId="07B739D2" w14:textId="77777777" w:rsidR="004523B8" w:rsidRPr="00BF2545" w:rsidRDefault="004523B8" w:rsidP="00D060D9">
      <w:pPr>
        <w:spacing w:before="120" w:after="120" w:line="276" w:lineRule="auto"/>
        <w:jc w:val="both"/>
        <w:rPr>
          <w:rFonts w:ascii="Arial" w:hAnsi="Arial" w:cs="Arial"/>
          <w:sz w:val="22"/>
        </w:rPr>
      </w:pPr>
    </w:p>
    <w:p w14:paraId="5F429EFF" w14:textId="77777777" w:rsidR="005A79FE" w:rsidRPr="00BF2545" w:rsidRDefault="005A79FE" w:rsidP="00BF4E81">
      <w:pPr>
        <w:spacing w:before="120" w:after="120" w:line="276" w:lineRule="auto"/>
        <w:jc w:val="both"/>
        <w:rPr>
          <w:rFonts w:ascii="Arial" w:eastAsia="Calibri" w:hAnsi="Arial" w:cs="Arial"/>
          <w:sz w:val="22"/>
        </w:rPr>
      </w:pPr>
      <w:r w:rsidRPr="00BF2545">
        <w:rPr>
          <w:rFonts w:ascii="Arial" w:eastAsia="Calibri" w:hAnsi="Arial" w:cs="Arial"/>
          <w:sz w:val="22"/>
        </w:rPr>
        <w:lastRenderedPageBreak/>
        <w:t>Este concepto tiene el alcance previsto en el artículo 28 del Código de Procedimiento Administrativo y de lo Contencioso Administrativo.</w:t>
      </w:r>
    </w:p>
    <w:p w14:paraId="19DA8DDB" w14:textId="77777777" w:rsidR="005A79FE" w:rsidRPr="00BF2545" w:rsidRDefault="005A79FE" w:rsidP="005A79FE">
      <w:pPr>
        <w:spacing w:line="276" w:lineRule="auto"/>
        <w:jc w:val="both"/>
        <w:rPr>
          <w:rFonts w:ascii="Arial" w:eastAsia="Calibri" w:hAnsi="Arial" w:cs="Arial"/>
          <w:sz w:val="22"/>
        </w:rPr>
      </w:pPr>
    </w:p>
    <w:p w14:paraId="18AAB28D" w14:textId="223FF99B" w:rsidR="005A79FE" w:rsidRDefault="005A79FE" w:rsidP="005A79FE">
      <w:pPr>
        <w:rPr>
          <w:rFonts w:ascii="Arial" w:eastAsia="Times New Roman" w:hAnsi="Arial" w:cs="Arial"/>
          <w:sz w:val="22"/>
          <w:lang w:eastAsia="es-CO"/>
        </w:rPr>
      </w:pPr>
      <w:r w:rsidRPr="1D8946CE">
        <w:rPr>
          <w:rFonts w:ascii="Arial" w:eastAsia="Times New Roman" w:hAnsi="Arial" w:cs="Arial"/>
          <w:sz w:val="22"/>
          <w:lang w:eastAsia="es-CO"/>
        </w:rPr>
        <w:t>Atentamente,</w:t>
      </w:r>
    </w:p>
    <w:p w14:paraId="0B577419" w14:textId="77777777" w:rsidR="007849C1" w:rsidRPr="00BF2545" w:rsidRDefault="007849C1" w:rsidP="005A79FE">
      <w:pPr>
        <w:rPr>
          <w:rFonts w:ascii="Arial" w:eastAsia="Times New Roman" w:hAnsi="Arial" w:cs="Arial"/>
          <w:sz w:val="22"/>
          <w:lang w:eastAsia="es-CO"/>
        </w:rPr>
      </w:pPr>
    </w:p>
    <w:p w14:paraId="67909B52" w14:textId="3CB5DB9A" w:rsidR="005A79FE" w:rsidRPr="00BF2545" w:rsidRDefault="007849C1" w:rsidP="1D8946CE">
      <w:pPr>
        <w:jc w:val="center"/>
      </w:pPr>
      <w:r>
        <w:rPr>
          <w:noProof/>
        </w:rPr>
        <w:drawing>
          <wp:inline distT="0" distB="0" distL="0" distR="0" wp14:anchorId="27B67F2F" wp14:editId="1F39F88E">
            <wp:extent cx="2514600" cy="111442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2"/>
                    <a:stretch>
                      <a:fillRect/>
                    </a:stretch>
                  </pic:blipFill>
                  <pic:spPr>
                    <a:xfrm>
                      <a:off x="0" y="0"/>
                      <a:ext cx="2514600" cy="1114425"/>
                    </a:xfrm>
                    <a:prstGeom prst="rect">
                      <a:avLst/>
                    </a:prstGeom>
                  </pic:spPr>
                </pic:pic>
              </a:graphicData>
            </a:graphic>
          </wp:inline>
        </w:drawing>
      </w:r>
    </w:p>
    <w:p w14:paraId="2EEB0FD1" w14:textId="1B407A68" w:rsidR="1D8946CE" w:rsidRDefault="1D8946CE" w:rsidP="1D8946CE">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211A2" w:rsidRPr="00E61113" w14:paraId="10501535" w14:textId="77777777" w:rsidTr="00EF4E43">
        <w:trPr>
          <w:trHeight w:val="315"/>
        </w:trPr>
        <w:tc>
          <w:tcPr>
            <w:tcW w:w="812" w:type="dxa"/>
            <w:vAlign w:val="center"/>
            <w:hideMark/>
          </w:tcPr>
          <w:p w14:paraId="4C6E53F6"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3F97DBA9"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David Torres Rojas</w:t>
            </w:r>
          </w:p>
          <w:p w14:paraId="3FD2AD53"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Contratista de la Subdirección de Gestión Contractual</w:t>
            </w:r>
          </w:p>
        </w:tc>
      </w:tr>
      <w:tr w:rsidR="00B211A2" w:rsidRPr="00E61113" w14:paraId="1AFD260B" w14:textId="77777777" w:rsidTr="00EF4E43">
        <w:trPr>
          <w:trHeight w:val="330"/>
        </w:trPr>
        <w:tc>
          <w:tcPr>
            <w:tcW w:w="812" w:type="dxa"/>
            <w:vAlign w:val="center"/>
            <w:hideMark/>
          </w:tcPr>
          <w:p w14:paraId="6B4A53BD"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7B706D" w14:textId="77777777" w:rsidR="00B211A2" w:rsidRDefault="00B211A2" w:rsidP="00EF4E43">
            <w:pPr>
              <w:spacing w:line="276" w:lineRule="auto"/>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Alejandro Sarmiento Cantillo</w:t>
            </w:r>
          </w:p>
          <w:p w14:paraId="2394B554" w14:textId="77777777" w:rsidR="00B211A2" w:rsidRPr="00E61113" w:rsidRDefault="00B211A2" w:rsidP="00EF4E43">
            <w:pPr>
              <w:jc w:val="both"/>
              <w:rPr>
                <w:rFonts w:ascii="Arial" w:hAnsi="Arial" w:cs="Arial"/>
                <w:color w:val="000000" w:themeColor="text1"/>
                <w:sz w:val="16"/>
                <w:szCs w:val="16"/>
                <w:lang w:val="es-ES" w:eastAsia="es-ES"/>
              </w:rPr>
            </w:pPr>
            <w:r>
              <w:rPr>
                <w:rFonts w:ascii="Arial" w:hAnsi="Arial" w:cs="Arial"/>
                <w:color w:val="000000" w:themeColor="text1"/>
                <w:sz w:val="16"/>
                <w:szCs w:val="16"/>
                <w:lang w:val="es-ES_tradnl" w:eastAsia="es-ES"/>
              </w:rPr>
              <w:t>Gestor T1-11 de la Subdirección de Gestión Contractual</w:t>
            </w:r>
          </w:p>
        </w:tc>
      </w:tr>
      <w:tr w:rsidR="00B211A2" w:rsidRPr="00E61113" w14:paraId="7FEBEE03" w14:textId="77777777" w:rsidTr="00EF4E43">
        <w:trPr>
          <w:trHeight w:val="300"/>
        </w:trPr>
        <w:tc>
          <w:tcPr>
            <w:tcW w:w="812" w:type="dxa"/>
            <w:vAlign w:val="center"/>
            <w:hideMark/>
          </w:tcPr>
          <w:p w14:paraId="7CA93541"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26D06D6"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Jorge Augusto Tirado Navarro</w:t>
            </w:r>
          </w:p>
          <w:p w14:paraId="2BABFBE9" w14:textId="77777777" w:rsidR="00B211A2" w:rsidRPr="00E61113" w:rsidRDefault="00B211A2" w:rsidP="00EF4E43">
            <w:pPr>
              <w:jc w:val="both"/>
              <w:rPr>
                <w:rFonts w:ascii="Arial" w:hAnsi="Arial" w:cs="Arial"/>
                <w:color w:val="000000" w:themeColor="text1"/>
                <w:sz w:val="16"/>
                <w:szCs w:val="16"/>
                <w:lang w:val="es-ES" w:eastAsia="es-ES"/>
              </w:rPr>
            </w:pPr>
            <w:r w:rsidRPr="00E61113">
              <w:rPr>
                <w:rFonts w:ascii="Arial" w:hAnsi="Arial" w:cs="Arial"/>
                <w:color w:val="000000" w:themeColor="text1"/>
                <w:sz w:val="16"/>
                <w:szCs w:val="16"/>
                <w:lang w:val="es-ES" w:eastAsia="es-ES"/>
              </w:rPr>
              <w:t>Subdirector de Gestión Contractual ANCP – CCE</w:t>
            </w:r>
          </w:p>
        </w:tc>
      </w:tr>
    </w:tbl>
    <w:p w14:paraId="7EBF297E" w14:textId="77777777" w:rsidR="007B0854" w:rsidRPr="00F1336F" w:rsidRDefault="007B0854" w:rsidP="00CA287E">
      <w:pPr>
        <w:jc w:val="both"/>
        <w:rPr>
          <w:rFonts w:ascii="Arial" w:eastAsia="Calibri" w:hAnsi="Arial" w:cs="Arial"/>
          <w:sz w:val="2"/>
          <w:szCs w:val="2"/>
        </w:rPr>
      </w:pPr>
    </w:p>
    <w:sectPr w:rsidR="007B0854" w:rsidRPr="00F1336F" w:rsidSect="008F6A28">
      <w:headerReference w:type="default" r:id="rId13"/>
      <w:footerReference w:type="default" r:id="rId14"/>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1E9F0" w14:textId="77777777" w:rsidR="006E3ADD" w:rsidRDefault="006E3ADD">
      <w:r>
        <w:separator/>
      </w:r>
    </w:p>
  </w:endnote>
  <w:endnote w:type="continuationSeparator" w:id="0">
    <w:p w14:paraId="23402731" w14:textId="77777777" w:rsidR="006E3ADD" w:rsidRDefault="006E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1CACC" w14:textId="77777777" w:rsidR="00021CDC" w:rsidRDefault="00021CDC" w:rsidP="007B0854">
    <w:pPr>
      <w:pStyle w:val="Sinespaciado"/>
      <w:jc w:val="center"/>
      <w:rPr>
        <w:rFonts w:ascii="Arial" w:hAnsi="Arial" w:cs="Arial"/>
        <w:sz w:val="18"/>
        <w:szCs w:val="18"/>
      </w:rPr>
    </w:pPr>
  </w:p>
  <w:p w14:paraId="312C4A14" w14:textId="085EFAD3" w:rsidR="00021CDC" w:rsidRPr="005A79FE" w:rsidRDefault="00021CDC"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5933">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5933">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021CDC" w:rsidRDefault="3FB0ED2D" w:rsidP="007B0854">
    <w:pPr>
      <w:pStyle w:val="Piedepgina"/>
      <w:jc w:val="center"/>
      <w:rPr>
        <w:lang w:val="es-ES"/>
      </w:rPr>
    </w:pPr>
    <w:r>
      <w:rPr>
        <w:noProof/>
        <w:lang w:val="en-US"/>
      </w:rPr>
      <w:drawing>
        <wp:inline distT="0" distB="0" distL="0" distR="0" wp14:anchorId="608B196D" wp14:editId="22A3089D">
          <wp:extent cx="4241994" cy="595165"/>
          <wp:effectExtent l="0" t="0" r="6350" b="0"/>
          <wp:docPr id="118628570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64DDAB8E" w:rsidR="00021CDC" w:rsidRDefault="00021CDC" w:rsidP="007B0854">
    <w:pPr>
      <w:pStyle w:val="Piedepgina"/>
      <w:jc w:val="center"/>
      <w:rPr>
        <w:lang w:val="es-ES"/>
      </w:rPr>
    </w:pPr>
  </w:p>
  <w:p w14:paraId="270B5050" w14:textId="77777777" w:rsidR="00021CDC" w:rsidRPr="007B0854" w:rsidRDefault="00021CDC"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8EEE4" w14:textId="77777777" w:rsidR="006E3ADD" w:rsidRDefault="006E3ADD">
      <w:r>
        <w:separator/>
      </w:r>
    </w:p>
  </w:footnote>
  <w:footnote w:type="continuationSeparator" w:id="0">
    <w:p w14:paraId="652CC71A" w14:textId="77777777" w:rsidR="006E3ADD" w:rsidRDefault="006E3ADD">
      <w:r>
        <w:continuationSeparator/>
      </w:r>
    </w:p>
  </w:footnote>
  <w:footnote w:id="1">
    <w:p w14:paraId="49CEC894" w14:textId="77777777" w:rsidR="00021CDC" w:rsidRPr="00645B79" w:rsidRDefault="00021CDC" w:rsidP="00645B79">
      <w:pPr>
        <w:pStyle w:val="Textonotapie"/>
        <w:ind w:firstLine="709"/>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Ley 80 de 1993: «Artículo 3º.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604EE43C" w14:textId="592BCF75" w:rsidR="00021CDC" w:rsidRPr="00645B79" w:rsidRDefault="00021CDC" w:rsidP="00645B79">
      <w:pPr>
        <w:pStyle w:val="Textonotapie"/>
        <w:ind w:firstLine="709"/>
        <w:jc w:val="both"/>
        <w:rPr>
          <w:rFonts w:ascii="Arial" w:hAnsi="Arial" w:cs="Arial"/>
          <w:sz w:val="19"/>
          <w:szCs w:val="19"/>
        </w:rPr>
      </w:pPr>
      <w:r w:rsidRPr="00645B79">
        <w:rPr>
          <w:rFonts w:ascii="Arial" w:hAnsi="Arial" w:cs="Arial"/>
          <w:sz w:val="19"/>
          <w:szCs w:val="19"/>
        </w:rPr>
        <w:t>»Los particulares, por su parte, tendrán en cuenta al celebrar y ejecutar contratos con las entidades estatales que, colaboran con ellas en el logro de sus fines y cumplen una función social que, como tal, implica obligaciones».</w:t>
      </w:r>
    </w:p>
    <w:p w14:paraId="00C2B258" w14:textId="77777777" w:rsidR="00021CDC" w:rsidRPr="00645B79" w:rsidRDefault="00021CDC" w:rsidP="00645B79">
      <w:pPr>
        <w:pStyle w:val="Textonotapie"/>
        <w:ind w:firstLine="709"/>
        <w:jc w:val="both"/>
        <w:rPr>
          <w:rFonts w:ascii="Arial" w:hAnsi="Arial" w:cs="Arial"/>
          <w:sz w:val="19"/>
          <w:szCs w:val="19"/>
        </w:rPr>
      </w:pPr>
    </w:p>
  </w:footnote>
  <w:footnote w:id="2">
    <w:p w14:paraId="16E03A13" w14:textId="77777777" w:rsidR="00021CDC" w:rsidRPr="00645B79" w:rsidRDefault="00021CDC" w:rsidP="00645B79">
      <w:pPr>
        <w:pStyle w:val="NormalWeb"/>
        <w:spacing w:before="0" w:beforeAutospacing="0" w:after="0" w:afterAutospacing="0"/>
        <w:ind w:firstLine="709"/>
        <w:jc w:val="both"/>
        <w:rPr>
          <w:rFonts w:ascii="Arial" w:hAnsi="Arial" w:cs="Arial"/>
          <w:sz w:val="19"/>
          <w:szCs w:val="19"/>
        </w:rPr>
      </w:pPr>
      <w:r w:rsidRPr="00645B79">
        <w:rPr>
          <w:rStyle w:val="Refdenotaalpie"/>
          <w:rFonts w:ascii="Arial" w:hAnsi="Arial" w:cs="Arial"/>
          <w:sz w:val="19"/>
          <w:szCs w:val="19"/>
        </w:rPr>
        <w:footnoteRef/>
      </w:r>
      <w:bookmarkStart w:id="1" w:name="25"/>
      <w:r w:rsidRPr="00645B79">
        <w:rPr>
          <w:rFonts w:ascii="Arial" w:hAnsi="Arial" w:cs="Arial"/>
          <w:bCs/>
          <w:sz w:val="19"/>
          <w:szCs w:val="19"/>
        </w:rPr>
        <w:t xml:space="preserve"> «Artículo 25. Del principio de economía</w:t>
      </w:r>
      <w:bookmarkEnd w:id="1"/>
      <w:r w:rsidRPr="00645B79">
        <w:rPr>
          <w:rFonts w:ascii="Arial" w:hAnsi="Arial" w:cs="Arial"/>
          <w:bCs/>
          <w:sz w:val="19"/>
          <w:szCs w:val="19"/>
        </w:rPr>
        <w:t xml:space="preserve">. </w:t>
      </w:r>
      <w:r w:rsidRPr="00645B79">
        <w:rPr>
          <w:rFonts w:ascii="Arial" w:hAnsi="Arial" w:cs="Arial"/>
          <w:sz w:val="19"/>
          <w:szCs w:val="19"/>
        </w:rPr>
        <w:t>En virtud de este principio:</w:t>
      </w:r>
    </w:p>
    <w:p w14:paraId="3320AC8A" w14:textId="77777777" w:rsidR="00021CDC" w:rsidRPr="00645B79" w:rsidRDefault="00021CDC" w:rsidP="00645B79">
      <w:pPr>
        <w:pStyle w:val="NormalWeb"/>
        <w:spacing w:before="0" w:beforeAutospacing="0" w:after="0" w:afterAutospacing="0"/>
        <w:ind w:firstLine="709"/>
        <w:jc w:val="both"/>
        <w:rPr>
          <w:rFonts w:ascii="Arial" w:hAnsi="Arial" w:cs="Arial"/>
          <w:sz w:val="19"/>
          <w:szCs w:val="19"/>
        </w:rPr>
      </w:pPr>
      <w:r w:rsidRPr="00645B79">
        <w:rPr>
          <w:rFonts w:ascii="Arial" w:hAnsi="Arial" w:cs="Arial"/>
          <w:sz w:val="19"/>
          <w:szCs w:val="19"/>
        </w:rPr>
        <w:t>[…]</w:t>
      </w:r>
    </w:p>
    <w:p w14:paraId="07880879" w14:textId="77777777" w:rsidR="00021CDC" w:rsidRPr="00645B79" w:rsidRDefault="00021CDC" w:rsidP="00645B79">
      <w:pPr>
        <w:pStyle w:val="NormalWeb"/>
        <w:spacing w:before="0" w:beforeAutospacing="0" w:after="0" w:afterAutospacing="0"/>
        <w:ind w:firstLine="709"/>
        <w:jc w:val="both"/>
        <w:rPr>
          <w:rFonts w:ascii="Arial" w:hAnsi="Arial" w:cs="Arial"/>
          <w:sz w:val="19"/>
          <w:szCs w:val="19"/>
        </w:rPr>
      </w:pPr>
      <w:r w:rsidRPr="00645B79">
        <w:rPr>
          <w:rFonts w:ascii="Arial" w:hAnsi="Arial" w:cs="Arial"/>
          <w:sz w:val="19"/>
          <w:szCs w:val="19"/>
        </w:rPr>
        <w:t>»1o.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08B9B15F" w14:textId="77777777" w:rsidR="00021CDC" w:rsidRPr="00645B79" w:rsidRDefault="00021CDC" w:rsidP="00645B79">
      <w:pPr>
        <w:pStyle w:val="Textonotapie"/>
        <w:ind w:firstLine="709"/>
        <w:jc w:val="both"/>
        <w:rPr>
          <w:rFonts w:ascii="Arial" w:hAnsi="Arial" w:cs="Arial"/>
          <w:sz w:val="19"/>
          <w:szCs w:val="19"/>
        </w:rPr>
      </w:pPr>
      <w:r w:rsidRPr="00645B79">
        <w:rPr>
          <w:rFonts w:ascii="Arial" w:hAnsi="Arial" w:cs="Arial"/>
          <w:sz w:val="19"/>
          <w:szCs w:val="19"/>
        </w:rPr>
        <w:t xml:space="preserve"> </w:t>
      </w:r>
    </w:p>
  </w:footnote>
  <w:footnote w:id="3">
    <w:p w14:paraId="2939EC7F" w14:textId="77777777"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Decreto 4170 de 2011: «Artículo 3. Funciones: La Agencia Nacional de Contratación Pública –Colombia Compra Eficiente– ejercerá las siguientes funciones:</w:t>
      </w:r>
    </w:p>
    <w:p w14:paraId="2E328C98" w14:textId="77777777" w:rsidR="00021CDC" w:rsidRPr="00645B79" w:rsidRDefault="00021CDC" w:rsidP="00645B79">
      <w:pPr>
        <w:pStyle w:val="Textonotapie"/>
        <w:ind w:firstLine="708"/>
        <w:jc w:val="both"/>
        <w:rPr>
          <w:rFonts w:ascii="Arial" w:hAnsi="Arial" w:cs="Arial"/>
          <w:sz w:val="19"/>
          <w:szCs w:val="19"/>
        </w:rPr>
      </w:pPr>
      <w:r w:rsidRPr="00645B79">
        <w:rPr>
          <w:rFonts w:ascii="Arial" w:hAnsi="Arial" w:cs="Arial"/>
          <w:sz w:val="19"/>
          <w:szCs w:val="19"/>
        </w:rPr>
        <w:t>[...]</w:t>
      </w:r>
    </w:p>
    <w:p w14:paraId="64486F7E" w14:textId="77777777" w:rsidR="00021CDC" w:rsidRPr="00645B79" w:rsidRDefault="00021CDC" w:rsidP="00645B79">
      <w:pPr>
        <w:pStyle w:val="Textonotapie"/>
        <w:ind w:firstLine="708"/>
        <w:jc w:val="both"/>
        <w:rPr>
          <w:rFonts w:ascii="Arial" w:hAnsi="Arial" w:cs="Arial"/>
          <w:sz w:val="19"/>
          <w:szCs w:val="19"/>
        </w:rPr>
      </w:pPr>
    </w:p>
    <w:p w14:paraId="49EA3187" w14:textId="77777777" w:rsidR="00021CDC" w:rsidRPr="00645B79" w:rsidRDefault="00021CDC" w:rsidP="00645B79">
      <w:pPr>
        <w:pStyle w:val="Textonotapie"/>
        <w:ind w:firstLine="708"/>
        <w:jc w:val="both"/>
        <w:rPr>
          <w:rFonts w:ascii="Arial" w:hAnsi="Arial" w:cs="Arial"/>
          <w:sz w:val="19"/>
          <w:szCs w:val="19"/>
        </w:rPr>
      </w:pPr>
      <w:r w:rsidRPr="00645B79">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387AF271" w14:textId="77777777" w:rsidR="00021CDC" w:rsidRPr="00645B79" w:rsidRDefault="00021CDC" w:rsidP="00645B79">
      <w:pPr>
        <w:pStyle w:val="Textonotapie"/>
        <w:ind w:firstLine="708"/>
        <w:jc w:val="both"/>
        <w:rPr>
          <w:rFonts w:ascii="Arial" w:hAnsi="Arial" w:cs="Arial"/>
          <w:sz w:val="19"/>
          <w:szCs w:val="19"/>
        </w:rPr>
      </w:pPr>
      <w:r w:rsidRPr="00645B79">
        <w:rPr>
          <w:rFonts w:ascii="Arial" w:hAnsi="Arial" w:cs="Arial"/>
          <w:sz w:val="19"/>
          <w:szCs w:val="19"/>
        </w:rPr>
        <w:t>[...]».</w:t>
      </w:r>
    </w:p>
  </w:footnote>
  <w:footnote w:id="4">
    <w:p w14:paraId="110BCD57" w14:textId="3935C0FF"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El documento se puede consultar en el siguiente link: </w:t>
      </w:r>
      <w:hyperlink r:id="rId1" w:history="1">
        <w:r w:rsidRPr="00645B79">
          <w:rPr>
            <w:rStyle w:val="Hipervnculo"/>
            <w:rFonts w:ascii="Arial" w:hAnsi="Arial" w:cs="Arial"/>
            <w:color w:val="auto"/>
            <w:sz w:val="19"/>
            <w:szCs w:val="19"/>
          </w:rPr>
          <w:t>https://www.colombiacompra.gov.co/sites/cce_public/files/cce_documentos/concepto_firma_y_contrato_electronico_0.pdf</w:t>
        </w:r>
      </w:hyperlink>
      <w:r w:rsidRPr="00645B79">
        <w:rPr>
          <w:rFonts w:ascii="Arial" w:hAnsi="Arial" w:cs="Arial"/>
          <w:sz w:val="19"/>
          <w:szCs w:val="19"/>
        </w:rPr>
        <w:t>. Consultado el 7 de mayo de 2020.</w:t>
      </w:r>
    </w:p>
  </w:footnote>
  <w:footnote w:id="5">
    <w:p w14:paraId="19540DF9" w14:textId="174D74CE"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POTHIER, Robert Joseph. Tratado de las Obligaciones (Td. Derecho Patrio). Editorial J. Roger. Págs. 63-67. Barcelona, 1839. </w:t>
      </w:r>
    </w:p>
    <w:p w14:paraId="6FB93043" w14:textId="77777777" w:rsidR="00021CDC" w:rsidRPr="00645B79" w:rsidRDefault="00021CDC" w:rsidP="00645B79">
      <w:pPr>
        <w:pStyle w:val="Textonotapie"/>
        <w:ind w:firstLine="708"/>
        <w:jc w:val="both"/>
        <w:rPr>
          <w:rFonts w:ascii="Arial" w:hAnsi="Arial" w:cs="Arial"/>
          <w:sz w:val="19"/>
          <w:szCs w:val="19"/>
        </w:rPr>
      </w:pPr>
    </w:p>
  </w:footnote>
  <w:footnote w:id="6">
    <w:p w14:paraId="63A4C861" w14:textId="3208C219"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GUZMÁN BRITO, Alejandro. Doctrina de Jean Domat sobre la Interpretación de las Leyes. Revisa Chilena de Derecho (Vol. 31). Págs. 39-68. Santiago de Chile, 2004.</w:t>
      </w:r>
    </w:p>
    <w:p w14:paraId="150AF4BA" w14:textId="77777777" w:rsidR="00021CDC" w:rsidRPr="00645B79" w:rsidRDefault="00021CDC" w:rsidP="00645B79">
      <w:pPr>
        <w:pStyle w:val="Textonotapie"/>
        <w:ind w:firstLine="708"/>
        <w:jc w:val="both"/>
        <w:rPr>
          <w:rFonts w:ascii="Arial" w:hAnsi="Arial" w:cs="Arial"/>
          <w:sz w:val="19"/>
          <w:szCs w:val="19"/>
        </w:rPr>
      </w:pPr>
    </w:p>
  </w:footnote>
  <w:footnote w:id="7">
    <w:p w14:paraId="5EE76B9C" w14:textId="3BA4A95B"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ACCATINO, Daniela. La Teoría Clásica del Contrato y la Discusión sobre su Adaptación Judicial. Revisa Chilena de Derecho (Vol. 42). Págs. 35-56. Santiago de Chile, 2015.</w:t>
      </w:r>
    </w:p>
    <w:p w14:paraId="2905518F" w14:textId="6F182E43" w:rsidR="00021CDC" w:rsidRPr="00645B79" w:rsidRDefault="00021CDC" w:rsidP="00645B79">
      <w:pPr>
        <w:pStyle w:val="Textonotapie"/>
        <w:ind w:firstLine="708"/>
        <w:jc w:val="both"/>
        <w:rPr>
          <w:rFonts w:ascii="Arial" w:hAnsi="Arial" w:cs="Arial"/>
          <w:sz w:val="19"/>
          <w:szCs w:val="19"/>
        </w:rPr>
      </w:pPr>
    </w:p>
  </w:footnote>
  <w:footnote w:id="8">
    <w:p w14:paraId="343AB46E" w14:textId="443734EC" w:rsidR="00021CDC" w:rsidRPr="00645B79" w:rsidRDefault="00021CDC" w:rsidP="00645B79">
      <w:pPr>
        <w:pStyle w:val="Textonotapie"/>
        <w:ind w:firstLine="708"/>
        <w:jc w:val="both"/>
        <w:rPr>
          <w:rFonts w:ascii="Arial" w:hAnsi="Arial" w:cs="Arial"/>
          <w:sz w:val="19"/>
          <w:szCs w:val="19"/>
        </w:rPr>
      </w:pPr>
      <w:r w:rsidRPr="00645B79">
        <w:rPr>
          <w:rStyle w:val="Refdenotaalpie"/>
          <w:rFonts w:ascii="Arial" w:hAnsi="Arial" w:cs="Arial"/>
          <w:sz w:val="19"/>
          <w:szCs w:val="19"/>
        </w:rPr>
        <w:footnoteRef/>
      </w:r>
      <w:r w:rsidRPr="00645B79">
        <w:rPr>
          <w:rFonts w:ascii="Arial" w:hAnsi="Arial" w:cs="Arial"/>
          <w:sz w:val="19"/>
          <w:szCs w:val="19"/>
        </w:rPr>
        <w:t xml:space="preserve"> SANTOFIMIO GAMBÓA, Jaime Orlando. Compendio de Derecho Administrativo. Editorial Universidad Externado de Colombia. Págs. 672-673. Bogotá,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021CDC" w:rsidRDefault="00021CDC">
    <w:pPr>
      <w:pStyle w:val="Encabezado"/>
    </w:pPr>
  </w:p>
  <w:p w14:paraId="6A4C7F2C" w14:textId="7D093DBB" w:rsidR="00021CDC" w:rsidRDefault="00021CDC">
    <w:pPr>
      <w:pStyle w:val="Encabezado"/>
    </w:pPr>
  </w:p>
  <w:p w14:paraId="055F2E1F" w14:textId="0B935ADD" w:rsidR="00021CDC" w:rsidRDefault="00021CDC">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021CDC" w:rsidRDefault="00021CDC">
    <w:pPr>
      <w:pStyle w:val="Encabezado"/>
    </w:pPr>
  </w:p>
  <w:p w14:paraId="3D323BDB" w14:textId="04AF0DE6" w:rsidR="00021CDC" w:rsidRDefault="00021CDC">
    <w:pPr>
      <w:pStyle w:val="Encabezado"/>
    </w:pPr>
  </w:p>
  <w:p w14:paraId="6520770B" w14:textId="18EB07B5" w:rsidR="00021CDC" w:rsidRDefault="00021C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6E2"/>
    <w:rsid w:val="0001070F"/>
    <w:rsid w:val="00011653"/>
    <w:rsid w:val="00015D67"/>
    <w:rsid w:val="00016393"/>
    <w:rsid w:val="000163F4"/>
    <w:rsid w:val="000168F2"/>
    <w:rsid w:val="000179EC"/>
    <w:rsid w:val="00020C17"/>
    <w:rsid w:val="00021BA0"/>
    <w:rsid w:val="00021CDC"/>
    <w:rsid w:val="000220A5"/>
    <w:rsid w:val="00022A52"/>
    <w:rsid w:val="00026984"/>
    <w:rsid w:val="00026AD9"/>
    <w:rsid w:val="00032DCA"/>
    <w:rsid w:val="00033CF0"/>
    <w:rsid w:val="00033E2B"/>
    <w:rsid w:val="0003447F"/>
    <w:rsid w:val="00046724"/>
    <w:rsid w:val="000532C4"/>
    <w:rsid w:val="00057EB5"/>
    <w:rsid w:val="00057FD0"/>
    <w:rsid w:val="00070127"/>
    <w:rsid w:val="0007021E"/>
    <w:rsid w:val="00072050"/>
    <w:rsid w:val="0007328A"/>
    <w:rsid w:val="00080076"/>
    <w:rsid w:val="00080A05"/>
    <w:rsid w:val="00084236"/>
    <w:rsid w:val="00086C0F"/>
    <w:rsid w:val="000906E8"/>
    <w:rsid w:val="000932D8"/>
    <w:rsid w:val="000937BF"/>
    <w:rsid w:val="000942EB"/>
    <w:rsid w:val="000959D5"/>
    <w:rsid w:val="00096682"/>
    <w:rsid w:val="00096DB7"/>
    <w:rsid w:val="00097648"/>
    <w:rsid w:val="000A14E4"/>
    <w:rsid w:val="000A417F"/>
    <w:rsid w:val="000A7150"/>
    <w:rsid w:val="000A797D"/>
    <w:rsid w:val="000B07E5"/>
    <w:rsid w:val="000B103F"/>
    <w:rsid w:val="000B5DBE"/>
    <w:rsid w:val="000B7B6A"/>
    <w:rsid w:val="000C007D"/>
    <w:rsid w:val="000C0421"/>
    <w:rsid w:val="000C097B"/>
    <w:rsid w:val="000C2A7B"/>
    <w:rsid w:val="000C2DAC"/>
    <w:rsid w:val="000C5B99"/>
    <w:rsid w:val="000C6C4A"/>
    <w:rsid w:val="000D40BF"/>
    <w:rsid w:val="000D4D6F"/>
    <w:rsid w:val="000D5A3E"/>
    <w:rsid w:val="000D71A8"/>
    <w:rsid w:val="000E0B48"/>
    <w:rsid w:val="000E3C6E"/>
    <w:rsid w:val="000F14C5"/>
    <w:rsid w:val="000F14E8"/>
    <w:rsid w:val="000F2324"/>
    <w:rsid w:val="000F7991"/>
    <w:rsid w:val="00103388"/>
    <w:rsid w:val="001033F9"/>
    <w:rsid w:val="00103487"/>
    <w:rsid w:val="00103915"/>
    <w:rsid w:val="0010427D"/>
    <w:rsid w:val="00104887"/>
    <w:rsid w:val="00104CCA"/>
    <w:rsid w:val="0010569C"/>
    <w:rsid w:val="00105AA5"/>
    <w:rsid w:val="0010606F"/>
    <w:rsid w:val="00106CF3"/>
    <w:rsid w:val="00107907"/>
    <w:rsid w:val="00107A9F"/>
    <w:rsid w:val="001100A0"/>
    <w:rsid w:val="00111C43"/>
    <w:rsid w:val="00112E3A"/>
    <w:rsid w:val="001139C4"/>
    <w:rsid w:val="00122B23"/>
    <w:rsid w:val="00124EE9"/>
    <w:rsid w:val="00131912"/>
    <w:rsid w:val="00137317"/>
    <w:rsid w:val="00137384"/>
    <w:rsid w:val="00137FFA"/>
    <w:rsid w:val="001410E7"/>
    <w:rsid w:val="00146CF4"/>
    <w:rsid w:val="001470FF"/>
    <w:rsid w:val="001501ED"/>
    <w:rsid w:val="001600FC"/>
    <w:rsid w:val="001606BC"/>
    <w:rsid w:val="00165686"/>
    <w:rsid w:val="001676F9"/>
    <w:rsid w:val="00167E26"/>
    <w:rsid w:val="0017055B"/>
    <w:rsid w:val="001746BF"/>
    <w:rsid w:val="00175159"/>
    <w:rsid w:val="00175AD3"/>
    <w:rsid w:val="00177217"/>
    <w:rsid w:val="00180FC9"/>
    <w:rsid w:val="001823EF"/>
    <w:rsid w:val="00182B89"/>
    <w:rsid w:val="00182F10"/>
    <w:rsid w:val="00183DAD"/>
    <w:rsid w:val="00184A9A"/>
    <w:rsid w:val="00191781"/>
    <w:rsid w:val="001956FF"/>
    <w:rsid w:val="001974DF"/>
    <w:rsid w:val="001A6980"/>
    <w:rsid w:val="001B0EBB"/>
    <w:rsid w:val="001B3E78"/>
    <w:rsid w:val="001B484A"/>
    <w:rsid w:val="001B55CE"/>
    <w:rsid w:val="001B5DC2"/>
    <w:rsid w:val="001C3BBA"/>
    <w:rsid w:val="001C6D55"/>
    <w:rsid w:val="001C7B98"/>
    <w:rsid w:val="001D0C1D"/>
    <w:rsid w:val="001D3405"/>
    <w:rsid w:val="001D3A34"/>
    <w:rsid w:val="001D7441"/>
    <w:rsid w:val="001D7D74"/>
    <w:rsid w:val="001E1EB0"/>
    <w:rsid w:val="001E3D09"/>
    <w:rsid w:val="001F1063"/>
    <w:rsid w:val="001F3B61"/>
    <w:rsid w:val="001F3CA1"/>
    <w:rsid w:val="001F44C7"/>
    <w:rsid w:val="001F61EC"/>
    <w:rsid w:val="002007E4"/>
    <w:rsid w:val="00204060"/>
    <w:rsid w:val="002106F2"/>
    <w:rsid w:val="00214F6C"/>
    <w:rsid w:val="0021641A"/>
    <w:rsid w:val="0022315F"/>
    <w:rsid w:val="0022539D"/>
    <w:rsid w:val="00232C17"/>
    <w:rsid w:val="00234B84"/>
    <w:rsid w:val="00234DE9"/>
    <w:rsid w:val="002410DA"/>
    <w:rsid w:val="002419E6"/>
    <w:rsid w:val="0024379B"/>
    <w:rsid w:val="00246D30"/>
    <w:rsid w:val="002475B4"/>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818D9"/>
    <w:rsid w:val="00284EF3"/>
    <w:rsid w:val="0029141D"/>
    <w:rsid w:val="00292004"/>
    <w:rsid w:val="002941B4"/>
    <w:rsid w:val="0029709A"/>
    <w:rsid w:val="002A2CB2"/>
    <w:rsid w:val="002A7E7F"/>
    <w:rsid w:val="002B1089"/>
    <w:rsid w:val="002B13FB"/>
    <w:rsid w:val="002B22A8"/>
    <w:rsid w:val="002B5D7F"/>
    <w:rsid w:val="002B74EA"/>
    <w:rsid w:val="002B7754"/>
    <w:rsid w:val="002C0A42"/>
    <w:rsid w:val="002C1B22"/>
    <w:rsid w:val="002C209A"/>
    <w:rsid w:val="002C3B82"/>
    <w:rsid w:val="002C407E"/>
    <w:rsid w:val="002D3326"/>
    <w:rsid w:val="002D4D6D"/>
    <w:rsid w:val="002D54AB"/>
    <w:rsid w:val="002E051A"/>
    <w:rsid w:val="002E21A1"/>
    <w:rsid w:val="002E3BB5"/>
    <w:rsid w:val="002E4430"/>
    <w:rsid w:val="002E6CCC"/>
    <w:rsid w:val="002F1094"/>
    <w:rsid w:val="002F420A"/>
    <w:rsid w:val="002F60E9"/>
    <w:rsid w:val="002F656D"/>
    <w:rsid w:val="002F707C"/>
    <w:rsid w:val="0030017E"/>
    <w:rsid w:val="003033BA"/>
    <w:rsid w:val="00303F15"/>
    <w:rsid w:val="00305891"/>
    <w:rsid w:val="00305F5C"/>
    <w:rsid w:val="003116BF"/>
    <w:rsid w:val="00311E31"/>
    <w:rsid w:val="003142D9"/>
    <w:rsid w:val="0031445E"/>
    <w:rsid w:val="003151A6"/>
    <w:rsid w:val="0031564F"/>
    <w:rsid w:val="00320BEC"/>
    <w:rsid w:val="0032273F"/>
    <w:rsid w:val="00322AEA"/>
    <w:rsid w:val="00324F88"/>
    <w:rsid w:val="00325957"/>
    <w:rsid w:val="003263F6"/>
    <w:rsid w:val="003279DB"/>
    <w:rsid w:val="0033151A"/>
    <w:rsid w:val="00334F3C"/>
    <w:rsid w:val="0033631F"/>
    <w:rsid w:val="0033706B"/>
    <w:rsid w:val="00340E9A"/>
    <w:rsid w:val="00343DE4"/>
    <w:rsid w:val="0034680A"/>
    <w:rsid w:val="00355762"/>
    <w:rsid w:val="0035627B"/>
    <w:rsid w:val="003607C1"/>
    <w:rsid w:val="00366B8E"/>
    <w:rsid w:val="00366F62"/>
    <w:rsid w:val="00367706"/>
    <w:rsid w:val="0037224F"/>
    <w:rsid w:val="00372947"/>
    <w:rsid w:val="00375E2B"/>
    <w:rsid w:val="003800A7"/>
    <w:rsid w:val="00381D5F"/>
    <w:rsid w:val="0038234D"/>
    <w:rsid w:val="00386456"/>
    <w:rsid w:val="0039188D"/>
    <w:rsid w:val="00392BAF"/>
    <w:rsid w:val="003932DC"/>
    <w:rsid w:val="003956A9"/>
    <w:rsid w:val="003957CA"/>
    <w:rsid w:val="003A0FA4"/>
    <w:rsid w:val="003A41FF"/>
    <w:rsid w:val="003A4D93"/>
    <w:rsid w:val="003A4F7E"/>
    <w:rsid w:val="003A581E"/>
    <w:rsid w:val="003A6781"/>
    <w:rsid w:val="003B749D"/>
    <w:rsid w:val="003B77F7"/>
    <w:rsid w:val="003C256C"/>
    <w:rsid w:val="003C49EE"/>
    <w:rsid w:val="003C4D17"/>
    <w:rsid w:val="003D2AED"/>
    <w:rsid w:val="003D2FFF"/>
    <w:rsid w:val="003D77D3"/>
    <w:rsid w:val="003E136E"/>
    <w:rsid w:val="003E62CC"/>
    <w:rsid w:val="003E755F"/>
    <w:rsid w:val="003F1591"/>
    <w:rsid w:val="003F3C8A"/>
    <w:rsid w:val="003F5631"/>
    <w:rsid w:val="00400483"/>
    <w:rsid w:val="00401EF7"/>
    <w:rsid w:val="00403A40"/>
    <w:rsid w:val="00410C57"/>
    <w:rsid w:val="00411141"/>
    <w:rsid w:val="004126D3"/>
    <w:rsid w:val="00415491"/>
    <w:rsid w:val="00415C9E"/>
    <w:rsid w:val="0041681D"/>
    <w:rsid w:val="00417A9D"/>
    <w:rsid w:val="00417CF7"/>
    <w:rsid w:val="004207C6"/>
    <w:rsid w:val="0042202D"/>
    <w:rsid w:val="00424B4C"/>
    <w:rsid w:val="0042698D"/>
    <w:rsid w:val="004305E6"/>
    <w:rsid w:val="00435165"/>
    <w:rsid w:val="00435A7C"/>
    <w:rsid w:val="004363DD"/>
    <w:rsid w:val="00436EB4"/>
    <w:rsid w:val="004371B1"/>
    <w:rsid w:val="00440254"/>
    <w:rsid w:val="004413D9"/>
    <w:rsid w:val="004416A0"/>
    <w:rsid w:val="004422D6"/>
    <w:rsid w:val="00446A22"/>
    <w:rsid w:val="004515B4"/>
    <w:rsid w:val="004523B8"/>
    <w:rsid w:val="0046006D"/>
    <w:rsid w:val="00467232"/>
    <w:rsid w:val="00480EE1"/>
    <w:rsid w:val="00483658"/>
    <w:rsid w:val="00493B3C"/>
    <w:rsid w:val="0049402B"/>
    <w:rsid w:val="00496EDD"/>
    <w:rsid w:val="004A08A8"/>
    <w:rsid w:val="004A2F90"/>
    <w:rsid w:val="004A34D2"/>
    <w:rsid w:val="004A4E5D"/>
    <w:rsid w:val="004B1CEC"/>
    <w:rsid w:val="004B4015"/>
    <w:rsid w:val="004B40B0"/>
    <w:rsid w:val="004B5ABC"/>
    <w:rsid w:val="004B6480"/>
    <w:rsid w:val="004B7530"/>
    <w:rsid w:val="004C064E"/>
    <w:rsid w:val="004C3F00"/>
    <w:rsid w:val="004C68A1"/>
    <w:rsid w:val="004D3D92"/>
    <w:rsid w:val="004D6F87"/>
    <w:rsid w:val="004E0818"/>
    <w:rsid w:val="004E3410"/>
    <w:rsid w:val="004E4273"/>
    <w:rsid w:val="004F1B2B"/>
    <w:rsid w:val="004F5ACE"/>
    <w:rsid w:val="004F6DFE"/>
    <w:rsid w:val="00500B75"/>
    <w:rsid w:val="00501D22"/>
    <w:rsid w:val="0050419F"/>
    <w:rsid w:val="0051074C"/>
    <w:rsid w:val="00513AF2"/>
    <w:rsid w:val="0051714B"/>
    <w:rsid w:val="00521BD5"/>
    <w:rsid w:val="00524299"/>
    <w:rsid w:val="00524E94"/>
    <w:rsid w:val="00526287"/>
    <w:rsid w:val="00530603"/>
    <w:rsid w:val="005317CF"/>
    <w:rsid w:val="00531BA7"/>
    <w:rsid w:val="005358E8"/>
    <w:rsid w:val="00536209"/>
    <w:rsid w:val="0054119B"/>
    <w:rsid w:val="0054413A"/>
    <w:rsid w:val="00545933"/>
    <w:rsid w:val="00550EE5"/>
    <w:rsid w:val="0055334C"/>
    <w:rsid w:val="00553E74"/>
    <w:rsid w:val="005546DA"/>
    <w:rsid w:val="005564CA"/>
    <w:rsid w:val="0056008D"/>
    <w:rsid w:val="00561092"/>
    <w:rsid w:val="00565771"/>
    <w:rsid w:val="00566A3D"/>
    <w:rsid w:val="00573A49"/>
    <w:rsid w:val="00593B1E"/>
    <w:rsid w:val="00594337"/>
    <w:rsid w:val="0059529F"/>
    <w:rsid w:val="00596E3F"/>
    <w:rsid w:val="00597A66"/>
    <w:rsid w:val="005A0F62"/>
    <w:rsid w:val="005A3A23"/>
    <w:rsid w:val="005A4CBD"/>
    <w:rsid w:val="005A6079"/>
    <w:rsid w:val="005A79FE"/>
    <w:rsid w:val="005A7D64"/>
    <w:rsid w:val="005A7F32"/>
    <w:rsid w:val="005B014E"/>
    <w:rsid w:val="005B0D91"/>
    <w:rsid w:val="005B0E7C"/>
    <w:rsid w:val="005B0F06"/>
    <w:rsid w:val="005B5F34"/>
    <w:rsid w:val="005B6B25"/>
    <w:rsid w:val="005B7A31"/>
    <w:rsid w:val="005C0FEE"/>
    <w:rsid w:val="005C20D2"/>
    <w:rsid w:val="005C5176"/>
    <w:rsid w:val="005D0969"/>
    <w:rsid w:val="005D0D8C"/>
    <w:rsid w:val="005D1784"/>
    <w:rsid w:val="005D1B1D"/>
    <w:rsid w:val="005D2F21"/>
    <w:rsid w:val="005D36DD"/>
    <w:rsid w:val="005D5BAC"/>
    <w:rsid w:val="005E1D2F"/>
    <w:rsid w:val="005E2A4B"/>
    <w:rsid w:val="005E45AE"/>
    <w:rsid w:val="005E57A0"/>
    <w:rsid w:val="005E6249"/>
    <w:rsid w:val="005E6734"/>
    <w:rsid w:val="005F37E4"/>
    <w:rsid w:val="005F63C3"/>
    <w:rsid w:val="005F64B7"/>
    <w:rsid w:val="00604180"/>
    <w:rsid w:val="006048D4"/>
    <w:rsid w:val="00604D12"/>
    <w:rsid w:val="00611EDE"/>
    <w:rsid w:val="00613924"/>
    <w:rsid w:val="006156B8"/>
    <w:rsid w:val="00616AA8"/>
    <w:rsid w:val="00617E23"/>
    <w:rsid w:val="00620D9A"/>
    <w:rsid w:val="006221BF"/>
    <w:rsid w:val="00622929"/>
    <w:rsid w:val="006233C8"/>
    <w:rsid w:val="006244D1"/>
    <w:rsid w:val="00624862"/>
    <w:rsid w:val="00625958"/>
    <w:rsid w:val="00626304"/>
    <w:rsid w:val="006341D3"/>
    <w:rsid w:val="0063426E"/>
    <w:rsid w:val="00634D73"/>
    <w:rsid w:val="006358AA"/>
    <w:rsid w:val="00635D90"/>
    <w:rsid w:val="0063612F"/>
    <w:rsid w:val="006362F6"/>
    <w:rsid w:val="00636ADB"/>
    <w:rsid w:val="00640202"/>
    <w:rsid w:val="00645B79"/>
    <w:rsid w:val="00647642"/>
    <w:rsid w:val="00647FB3"/>
    <w:rsid w:val="00651F4D"/>
    <w:rsid w:val="00654038"/>
    <w:rsid w:val="00654BF5"/>
    <w:rsid w:val="00655371"/>
    <w:rsid w:val="00660D4A"/>
    <w:rsid w:val="00664066"/>
    <w:rsid w:val="00664A41"/>
    <w:rsid w:val="006652C5"/>
    <w:rsid w:val="00665559"/>
    <w:rsid w:val="0066683C"/>
    <w:rsid w:val="006678DC"/>
    <w:rsid w:val="006713FC"/>
    <w:rsid w:val="00676132"/>
    <w:rsid w:val="006839FB"/>
    <w:rsid w:val="00686F15"/>
    <w:rsid w:val="00690310"/>
    <w:rsid w:val="006913CF"/>
    <w:rsid w:val="006935DC"/>
    <w:rsid w:val="00693D14"/>
    <w:rsid w:val="00695B02"/>
    <w:rsid w:val="00695EA3"/>
    <w:rsid w:val="0069616C"/>
    <w:rsid w:val="00697665"/>
    <w:rsid w:val="006A003C"/>
    <w:rsid w:val="006A03EA"/>
    <w:rsid w:val="006A397F"/>
    <w:rsid w:val="006A7FD0"/>
    <w:rsid w:val="006B5BFE"/>
    <w:rsid w:val="006B5F26"/>
    <w:rsid w:val="006B6446"/>
    <w:rsid w:val="006C11EC"/>
    <w:rsid w:val="006C5D24"/>
    <w:rsid w:val="006C6F6C"/>
    <w:rsid w:val="006D005F"/>
    <w:rsid w:val="006D320C"/>
    <w:rsid w:val="006D6D4B"/>
    <w:rsid w:val="006D7687"/>
    <w:rsid w:val="006E0572"/>
    <w:rsid w:val="006E2124"/>
    <w:rsid w:val="006E3ADD"/>
    <w:rsid w:val="006F052E"/>
    <w:rsid w:val="006F05AE"/>
    <w:rsid w:val="006F0D49"/>
    <w:rsid w:val="006F3AD0"/>
    <w:rsid w:val="006F3C5B"/>
    <w:rsid w:val="006F5204"/>
    <w:rsid w:val="006F5F94"/>
    <w:rsid w:val="006F7416"/>
    <w:rsid w:val="00700417"/>
    <w:rsid w:val="00700637"/>
    <w:rsid w:val="00701506"/>
    <w:rsid w:val="0070168F"/>
    <w:rsid w:val="00703917"/>
    <w:rsid w:val="0070419B"/>
    <w:rsid w:val="00704F9F"/>
    <w:rsid w:val="00705631"/>
    <w:rsid w:val="00710E82"/>
    <w:rsid w:val="00713430"/>
    <w:rsid w:val="0071460B"/>
    <w:rsid w:val="00717EA0"/>
    <w:rsid w:val="0072351E"/>
    <w:rsid w:val="007246BC"/>
    <w:rsid w:val="007276CA"/>
    <w:rsid w:val="007302DD"/>
    <w:rsid w:val="0073214A"/>
    <w:rsid w:val="0073440A"/>
    <w:rsid w:val="00736AF6"/>
    <w:rsid w:val="00741FD0"/>
    <w:rsid w:val="00742DD2"/>
    <w:rsid w:val="007464C3"/>
    <w:rsid w:val="00746C97"/>
    <w:rsid w:val="00747283"/>
    <w:rsid w:val="00750285"/>
    <w:rsid w:val="007508F1"/>
    <w:rsid w:val="00750E95"/>
    <w:rsid w:val="00750F6A"/>
    <w:rsid w:val="0075378F"/>
    <w:rsid w:val="00754877"/>
    <w:rsid w:val="00754A02"/>
    <w:rsid w:val="0075647A"/>
    <w:rsid w:val="00760BD6"/>
    <w:rsid w:val="007611C4"/>
    <w:rsid w:val="007634AD"/>
    <w:rsid w:val="00764473"/>
    <w:rsid w:val="00770C09"/>
    <w:rsid w:val="00775FF9"/>
    <w:rsid w:val="0077777E"/>
    <w:rsid w:val="0078122E"/>
    <w:rsid w:val="007849C1"/>
    <w:rsid w:val="00785FE5"/>
    <w:rsid w:val="007901EB"/>
    <w:rsid w:val="0079027B"/>
    <w:rsid w:val="00790E5D"/>
    <w:rsid w:val="007912F2"/>
    <w:rsid w:val="00793831"/>
    <w:rsid w:val="007A2B3C"/>
    <w:rsid w:val="007A535A"/>
    <w:rsid w:val="007A65FC"/>
    <w:rsid w:val="007B024B"/>
    <w:rsid w:val="007B0854"/>
    <w:rsid w:val="007B3077"/>
    <w:rsid w:val="007B4FF4"/>
    <w:rsid w:val="007B5076"/>
    <w:rsid w:val="007B5792"/>
    <w:rsid w:val="007C0005"/>
    <w:rsid w:val="007C1CD2"/>
    <w:rsid w:val="007C5074"/>
    <w:rsid w:val="007C556D"/>
    <w:rsid w:val="007C6E6A"/>
    <w:rsid w:val="007C7894"/>
    <w:rsid w:val="007D67B0"/>
    <w:rsid w:val="007E4A10"/>
    <w:rsid w:val="007E76DE"/>
    <w:rsid w:val="007E793E"/>
    <w:rsid w:val="007F2F65"/>
    <w:rsid w:val="007F6091"/>
    <w:rsid w:val="007F6B5F"/>
    <w:rsid w:val="007F6E4B"/>
    <w:rsid w:val="007F72CB"/>
    <w:rsid w:val="007F7889"/>
    <w:rsid w:val="00801AC5"/>
    <w:rsid w:val="00803048"/>
    <w:rsid w:val="0080324F"/>
    <w:rsid w:val="00804FEB"/>
    <w:rsid w:val="00807423"/>
    <w:rsid w:val="00811C9C"/>
    <w:rsid w:val="00814BCE"/>
    <w:rsid w:val="00814ED2"/>
    <w:rsid w:val="00814F99"/>
    <w:rsid w:val="00816739"/>
    <w:rsid w:val="008212B7"/>
    <w:rsid w:val="0082279C"/>
    <w:rsid w:val="00822F3D"/>
    <w:rsid w:val="00823963"/>
    <w:rsid w:val="008248AA"/>
    <w:rsid w:val="008250D2"/>
    <w:rsid w:val="00825115"/>
    <w:rsid w:val="008258CF"/>
    <w:rsid w:val="00830385"/>
    <w:rsid w:val="00830CDE"/>
    <w:rsid w:val="0083119B"/>
    <w:rsid w:val="0083254D"/>
    <w:rsid w:val="00832C7F"/>
    <w:rsid w:val="00836EAB"/>
    <w:rsid w:val="00840C17"/>
    <w:rsid w:val="0084429A"/>
    <w:rsid w:val="0085092D"/>
    <w:rsid w:val="008522FB"/>
    <w:rsid w:val="00852EBF"/>
    <w:rsid w:val="008552FB"/>
    <w:rsid w:val="008566F8"/>
    <w:rsid w:val="0085720F"/>
    <w:rsid w:val="008639E7"/>
    <w:rsid w:val="0086672C"/>
    <w:rsid w:val="008668CA"/>
    <w:rsid w:val="008701A2"/>
    <w:rsid w:val="00871196"/>
    <w:rsid w:val="00872A43"/>
    <w:rsid w:val="00873912"/>
    <w:rsid w:val="00875624"/>
    <w:rsid w:val="00877E95"/>
    <w:rsid w:val="00881840"/>
    <w:rsid w:val="008820D9"/>
    <w:rsid w:val="00882B32"/>
    <w:rsid w:val="00882FBB"/>
    <w:rsid w:val="008866E2"/>
    <w:rsid w:val="00886854"/>
    <w:rsid w:val="0089026E"/>
    <w:rsid w:val="00891114"/>
    <w:rsid w:val="00893DA8"/>
    <w:rsid w:val="008957F9"/>
    <w:rsid w:val="008A0E32"/>
    <w:rsid w:val="008A2287"/>
    <w:rsid w:val="008A4420"/>
    <w:rsid w:val="008B14DE"/>
    <w:rsid w:val="008B5052"/>
    <w:rsid w:val="008B540B"/>
    <w:rsid w:val="008B573F"/>
    <w:rsid w:val="008B5A7F"/>
    <w:rsid w:val="008B6C27"/>
    <w:rsid w:val="008C5043"/>
    <w:rsid w:val="008D16FC"/>
    <w:rsid w:val="008D1A50"/>
    <w:rsid w:val="008D280F"/>
    <w:rsid w:val="008D55B2"/>
    <w:rsid w:val="008D7C48"/>
    <w:rsid w:val="008E15D0"/>
    <w:rsid w:val="008E197C"/>
    <w:rsid w:val="008E1C15"/>
    <w:rsid w:val="008E3D30"/>
    <w:rsid w:val="008E5170"/>
    <w:rsid w:val="008E541E"/>
    <w:rsid w:val="008E58F0"/>
    <w:rsid w:val="008E5A50"/>
    <w:rsid w:val="008E66DF"/>
    <w:rsid w:val="008F0915"/>
    <w:rsid w:val="008F1081"/>
    <w:rsid w:val="008F37B6"/>
    <w:rsid w:val="008F3EB4"/>
    <w:rsid w:val="008F6A28"/>
    <w:rsid w:val="008F7FD6"/>
    <w:rsid w:val="00900B9E"/>
    <w:rsid w:val="009047C5"/>
    <w:rsid w:val="00904AF1"/>
    <w:rsid w:val="0090545B"/>
    <w:rsid w:val="00906480"/>
    <w:rsid w:val="0091455C"/>
    <w:rsid w:val="009155EA"/>
    <w:rsid w:val="00921D38"/>
    <w:rsid w:val="009228F3"/>
    <w:rsid w:val="00922D56"/>
    <w:rsid w:val="00925566"/>
    <w:rsid w:val="00925BE9"/>
    <w:rsid w:val="00927C0F"/>
    <w:rsid w:val="0093384C"/>
    <w:rsid w:val="00935A2D"/>
    <w:rsid w:val="0094233A"/>
    <w:rsid w:val="00945D4E"/>
    <w:rsid w:val="0094641D"/>
    <w:rsid w:val="00947539"/>
    <w:rsid w:val="00950C4E"/>
    <w:rsid w:val="0095385A"/>
    <w:rsid w:val="00955413"/>
    <w:rsid w:val="00955F41"/>
    <w:rsid w:val="0096050B"/>
    <w:rsid w:val="009606E0"/>
    <w:rsid w:val="0096071B"/>
    <w:rsid w:val="00963D72"/>
    <w:rsid w:val="00967962"/>
    <w:rsid w:val="009704F4"/>
    <w:rsid w:val="009721E6"/>
    <w:rsid w:val="0097455A"/>
    <w:rsid w:val="009823C6"/>
    <w:rsid w:val="0098485F"/>
    <w:rsid w:val="009875B8"/>
    <w:rsid w:val="009933FD"/>
    <w:rsid w:val="00996E00"/>
    <w:rsid w:val="00997084"/>
    <w:rsid w:val="009A0375"/>
    <w:rsid w:val="009A1768"/>
    <w:rsid w:val="009A3BF9"/>
    <w:rsid w:val="009A52AA"/>
    <w:rsid w:val="009B1241"/>
    <w:rsid w:val="009C19F6"/>
    <w:rsid w:val="009C2731"/>
    <w:rsid w:val="009C3696"/>
    <w:rsid w:val="009C53DB"/>
    <w:rsid w:val="009D22EB"/>
    <w:rsid w:val="009D2DE6"/>
    <w:rsid w:val="009D36E9"/>
    <w:rsid w:val="009D46D8"/>
    <w:rsid w:val="009D54EC"/>
    <w:rsid w:val="009D5A1F"/>
    <w:rsid w:val="009D7209"/>
    <w:rsid w:val="009E182F"/>
    <w:rsid w:val="009E2A00"/>
    <w:rsid w:val="009E73B5"/>
    <w:rsid w:val="009F0EAF"/>
    <w:rsid w:val="009F4136"/>
    <w:rsid w:val="009F4333"/>
    <w:rsid w:val="009F48F4"/>
    <w:rsid w:val="009F5D49"/>
    <w:rsid w:val="009F7CCD"/>
    <w:rsid w:val="00A00FAE"/>
    <w:rsid w:val="00A032E4"/>
    <w:rsid w:val="00A03364"/>
    <w:rsid w:val="00A05FF2"/>
    <w:rsid w:val="00A0718D"/>
    <w:rsid w:val="00A07EEB"/>
    <w:rsid w:val="00A1387B"/>
    <w:rsid w:val="00A139F2"/>
    <w:rsid w:val="00A1714F"/>
    <w:rsid w:val="00A211FC"/>
    <w:rsid w:val="00A24560"/>
    <w:rsid w:val="00A24EF7"/>
    <w:rsid w:val="00A3196D"/>
    <w:rsid w:val="00A34538"/>
    <w:rsid w:val="00A37884"/>
    <w:rsid w:val="00A456B2"/>
    <w:rsid w:val="00A515E6"/>
    <w:rsid w:val="00A51AA1"/>
    <w:rsid w:val="00A542A7"/>
    <w:rsid w:val="00A605AF"/>
    <w:rsid w:val="00A617A0"/>
    <w:rsid w:val="00A62ADA"/>
    <w:rsid w:val="00A63500"/>
    <w:rsid w:val="00A64EAE"/>
    <w:rsid w:val="00A65B7F"/>
    <w:rsid w:val="00A667D7"/>
    <w:rsid w:val="00A67218"/>
    <w:rsid w:val="00A70DE5"/>
    <w:rsid w:val="00A71686"/>
    <w:rsid w:val="00A737E6"/>
    <w:rsid w:val="00A7446C"/>
    <w:rsid w:val="00A80765"/>
    <w:rsid w:val="00A850E7"/>
    <w:rsid w:val="00A947EE"/>
    <w:rsid w:val="00A975D9"/>
    <w:rsid w:val="00AA1802"/>
    <w:rsid w:val="00AA1D5A"/>
    <w:rsid w:val="00AA2184"/>
    <w:rsid w:val="00AA23B9"/>
    <w:rsid w:val="00AA442B"/>
    <w:rsid w:val="00AA4FB7"/>
    <w:rsid w:val="00AA753E"/>
    <w:rsid w:val="00AC04D1"/>
    <w:rsid w:val="00AC5186"/>
    <w:rsid w:val="00AC6C82"/>
    <w:rsid w:val="00AD0DBE"/>
    <w:rsid w:val="00AE1106"/>
    <w:rsid w:val="00AE170B"/>
    <w:rsid w:val="00AE27A7"/>
    <w:rsid w:val="00AE6988"/>
    <w:rsid w:val="00AE74BA"/>
    <w:rsid w:val="00AF1C89"/>
    <w:rsid w:val="00AF3754"/>
    <w:rsid w:val="00AF3810"/>
    <w:rsid w:val="00AF3C99"/>
    <w:rsid w:val="00AF48A6"/>
    <w:rsid w:val="00AF5DB0"/>
    <w:rsid w:val="00B011AD"/>
    <w:rsid w:val="00B041C1"/>
    <w:rsid w:val="00B04570"/>
    <w:rsid w:val="00B04E5A"/>
    <w:rsid w:val="00B05082"/>
    <w:rsid w:val="00B05685"/>
    <w:rsid w:val="00B06DB6"/>
    <w:rsid w:val="00B07020"/>
    <w:rsid w:val="00B07C93"/>
    <w:rsid w:val="00B104FB"/>
    <w:rsid w:val="00B172AB"/>
    <w:rsid w:val="00B20E92"/>
    <w:rsid w:val="00B211A2"/>
    <w:rsid w:val="00B21853"/>
    <w:rsid w:val="00B22E22"/>
    <w:rsid w:val="00B33DF3"/>
    <w:rsid w:val="00B375EF"/>
    <w:rsid w:val="00B4148A"/>
    <w:rsid w:val="00B42D84"/>
    <w:rsid w:val="00B44319"/>
    <w:rsid w:val="00B52277"/>
    <w:rsid w:val="00B525CB"/>
    <w:rsid w:val="00B52845"/>
    <w:rsid w:val="00B606AE"/>
    <w:rsid w:val="00B60E21"/>
    <w:rsid w:val="00B63CB2"/>
    <w:rsid w:val="00B64D86"/>
    <w:rsid w:val="00B7127D"/>
    <w:rsid w:val="00B71667"/>
    <w:rsid w:val="00B725F6"/>
    <w:rsid w:val="00B728A5"/>
    <w:rsid w:val="00B73DEE"/>
    <w:rsid w:val="00B745E8"/>
    <w:rsid w:val="00B7508D"/>
    <w:rsid w:val="00B765CD"/>
    <w:rsid w:val="00B8232B"/>
    <w:rsid w:val="00B82A8E"/>
    <w:rsid w:val="00B841C8"/>
    <w:rsid w:val="00B84CB5"/>
    <w:rsid w:val="00B85735"/>
    <w:rsid w:val="00B862F6"/>
    <w:rsid w:val="00B9264D"/>
    <w:rsid w:val="00B959E7"/>
    <w:rsid w:val="00B97FF3"/>
    <w:rsid w:val="00BA028A"/>
    <w:rsid w:val="00BA09D6"/>
    <w:rsid w:val="00BB0477"/>
    <w:rsid w:val="00BB12D1"/>
    <w:rsid w:val="00BB226F"/>
    <w:rsid w:val="00BB2EC5"/>
    <w:rsid w:val="00BB4ECC"/>
    <w:rsid w:val="00BB567C"/>
    <w:rsid w:val="00BB73C3"/>
    <w:rsid w:val="00BB755B"/>
    <w:rsid w:val="00BB76C8"/>
    <w:rsid w:val="00BC0435"/>
    <w:rsid w:val="00BC0553"/>
    <w:rsid w:val="00BC17AA"/>
    <w:rsid w:val="00BC2763"/>
    <w:rsid w:val="00BC2896"/>
    <w:rsid w:val="00BC56BA"/>
    <w:rsid w:val="00BC5A6A"/>
    <w:rsid w:val="00BD1364"/>
    <w:rsid w:val="00BD24F7"/>
    <w:rsid w:val="00BD4192"/>
    <w:rsid w:val="00BD5028"/>
    <w:rsid w:val="00BD5B82"/>
    <w:rsid w:val="00BD5D80"/>
    <w:rsid w:val="00BD6190"/>
    <w:rsid w:val="00BD78FE"/>
    <w:rsid w:val="00BE22FC"/>
    <w:rsid w:val="00BE60D0"/>
    <w:rsid w:val="00BE704E"/>
    <w:rsid w:val="00BF0970"/>
    <w:rsid w:val="00BF2545"/>
    <w:rsid w:val="00BF27E9"/>
    <w:rsid w:val="00BF4330"/>
    <w:rsid w:val="00BF4E81"/>
    <w:rsid w:val="00BF7D79"/>
    <w:rsid w:val="00BF7EFE"/>
    <w:rsid w:val="00C02F60"/>
    <w:rsid w:val="00C041A1"/>
    <w:rsid w:val="00C0607F"/>
    <w:rsid w:val="00C06443"/>
    <w:rsid w:val="00C07F86"/>
    <w:rsid w:val="00C11FB6"/>
    <w:rsid w:val="00C12677"/>
    <w:rsid w:val="00C1503B"/>
    <w:rsid w:val="00C1508A"/>
    <w:rsid w:val="00C157B3"/>
    <w:rsid w:val="00C2341D"/>
    <w:rsid w:val="00C2713D"/>
    <w:rsid w:val="00C31F87"/>
    <w:rsid w:val="00C33B1D"/>
    <w:rsid w:val="00C33C41"/>
    <w:rsid w:val="00C37CD6"/>
    <w:rsid w:val="00C44259"/>
    <w:rsid w:val="00C449B5"/>
    <w:rsid w:val="00C467D5"/>
    <w:rsid w:val="00C525B1"/>
    <w:rsid w:val="00C61414"/>
    <w:rsid w:val="00C74E01"/>
    <w:rsid w:val="00C7673C"/>
    <w:rsid w:val="00C80B17"/>
    <w:rsid w:val="00C80CC4"/>
    <w:rsid w:val="00C846CA"/>
    <w:rsid w:val="00C857EB"/>
    <w:rsid w:val="00C871F2"/>
    <w:rsid w:val="00C878AF"/>
    <w:rsid w:val="00CA0BCB"/>
    <w:rsid w:val="00CA287E"/>
    <w:rsid w:val="00CB2EE0"/>
    <w:rsid w:val="00CB55AE"/>
    <w:rsid w:val="00CC00CD"/>
    <w:rsid w:val="00CC2924"/>
    <w:rsid w:val="00CC55CA"/>
    <w:rsid w:val="00CC7AF3"/>
    <w:rsid w:val="00CC7BF7"/>
    <w:rsid w:val="00CD4BD4"/>
    <w:rsid w:val="00CD50BF"/>
    <w:rsid w:val="00CD5662"/>
    <w:rsid w:val="00CE302E"/>
    <w:rsid w:val="00CE3D07"/>
    <w:rsid w:val="00CE5926"/>
    <w:rsid w:val="00CE5E8A"/>
    <w:rsid w:val="00CF16F1"/>
    <w:rsid w:val="00CF1DE5"/>
    <w:rsid w:val="00CF3376"/>
    <w:rsid w:val="00CF6C19"/>
    <w:rsid w:val="00D02615"/>
    <w:rsid w:val="00D05F08"/>
    <w:rsid w:val="00D060D9"/>
    <w:rsid w:val="00D06F4E"/>
    <w:rsid w:val="00D10462"/>
    <w:rsid w:val="00D12206"/>
    <w:rsid w:val="00D1409A"/>
    <w:rsid w:val="00D15F65"/>
    <w:rsid w:val="00D166ED"/>
    <w:rsid w:val="00D16E39"/>
    <w:rsid w:val="00D206E0"/>
    <w:rsid w:val="00D2317B"/>
    <w:rsid w:val="00D23C6A"/>
    <w:rsid w:val="00D30F2E"/>
    <w:rsid w:val="00D3287F"/>
    <w:rsid w:val="00D34BCF"/>
    <w:rsid w:val="00D35852"/>
    <w:rsid w:val="00D41929"/>
    <w:rsid w:val="00D41B41"/>
    <w:rsid w:val="00D44542"/>
    <w:rsid w:val="00D44F0A"/>
    <w:rsid w:val="00D45D55"/>
    <w:rsid w:val="00D45EEC"/>
    <w:rsid w:val="00D52976"/>
    <w:rsid w:val="00D562FD"/>
    <w:rsid w:val="00D6191F"/>
    <w:rsid w:val="00D704A0"/>
    <w:rsid w:val="00D7084A"/>
    <w:rsid w:val="00D72434"/>
    <w:rsid w:val="00D72E9D"/>
    <w:rsid w:val="00D735B3"/>
    <w:rsid w:val="00D805B5"/>
    <w:rsid w:val="00D82CE5"/>
    <w:rsid w:val="00D83433"/>
    <w:rsid w:val="00D85416"/>
    <w:rsid w:val="00D8715A"/>
    <w:rsid w:val="00D91972"/>
    <w:rsid w:val="00D929D2"/>
    <w:rsid w:val="00D92AE4"/>
    <w:rsid w:val="00D9409C"/>
    <w:rsid w:val="00DA04A8"/>
    <w:rsid w:val="00DA1A54"/>
    <w:rsid w:val="00DA247F"/>
    <w:rsid w:val="00DA2867"/>
    <w:rsid w:val="00DA3E41"/>
    <w:rsid w:val="00DA40B9"/>
    <w:rsid w:val="00DA41EF"/>
    <w:rsid w:val="00DA5AB1"/>
    <w:rsid w:val="00DA628E"/>
    <w:rsid w:val="00DA66DC"/>
    <w:rsid w:val="00DB3E34"/>
    <w:rsid w:val="00DB47CE"/>
    <w:rsid w:val="00DC14ED"/>
    <w:rsid w:val="00DC37CA"/>
    <w:rsid w:val="00DC61AE"/>
    <w:rsid w:val="00DC62E5"/>
    <w:rsid w:val="00DD3749"/>
    <w:rsid w:val="00DD5D6D"/>
    <w:rsid w:val="00DD735D"/>
    <w:rsid w:val="00DE0165"/>
    <w:rsid w:val="00DE3119"/>
    <w:rsid w:val="00DF1911"/>
    <w:rsid w:val="00DF1D7F"/>
    <w:rsid w:val="00DF236B"/>
    <w:rsid w:val="00DF23C3"/>
    <w:rsid w:val="00DF49D0"/>
    <w:rsid w:val="00DF68EA"/>
    <w:rsid w:val="00E00354"/>
    <w:rsid w:val="00E01C96"/>
    <w:rsid w:val="00E07C89"/>
    <w:rsid w:val="00E10662"/>
    <w:rsid w:val="00E13AB8"/>
    <w:rsid w:val="00E14B7A"/>
    <w:rsid w:val="00E153BC"/>
    <w:rsid w:val="00E20D99"/>
    <w:rsid w:val="00E23B95"/>
    <w:rsid w:val="00E2472C"/>
    <w:rsid w:val="00E275B7"/>
    <w:rsid w:val="00E33B62"/>
    <w:rsid w:val="00E33D54"/>
    <w:rsid w:val="00E41962"/>
    <w:rsid w:val="00E41FFD"/>
    <w:rsid w:val="00E45D0D"/>
    <w:rsid w:val="00E46676"/>
    <w:rsid w:val="00E47C8D"/>
    <w:rsid w:val="00E50CC8"/>
    <w:rsid w:val="00E537BA"/>
    <w:rsid w:val="00E53AA3"/>
    <w:rsid w:val="00E54157"/>
    <w:rsid w:val="00E55936"/>
    <w:rsid w:val="00E57BE1"/>
    <w:rsid w:val="00E612C4"/>
    <w:rsid w:val="00E63CE1"/>
    <w:rsid w:val="00E65C4D"/>
    <w:rsid w:val="00E6688D"/>
    <w:rsid w:val="00E67FB4"/>
    <w:rsid w:val="00E70E8F"/>
    <w:rsid w:val="00E71097"/>
    <w:rsid w:val="00E719C4"/>
    <w:rsid w:val="00E72CB0"/>
    <w:rsid w:val="00E73B9B"/>
    <w:rsid w:val="00E75AA7"/>
    <w:rsid w:val="00E7650B"/>
    <w:rsid w:val="00E80D5C"/>
    <w:rsid w:val="00E8248F"/>
    <w:rsid w:val="00E839DE"/>
    <w:rsid w:val="00E92505"/>
    <w:rsid w:val="00E93B7C"/>
    <w:rsid w:val="00E96FEF"/>
    <w:rsid w:val="00E9736C"/>
    <w:rsid w:val="00EA0305"/>
    <w:rsid w:val="00EB4C32"/>
    <w:rsid w:val="00EB52F9"/>
    <w:rsid w:val="00EB56E7"/>
    <w:rsid w:val="00EB5E43"/>
    <w:rsid w:val="00EB6EED"/>
    <w:rsid w:val="00EB6FDF"/>
    <w:rsid w:val="00EB7A4F"/>
    <w:rsid w:val="00EC09DC"/>
    <w:rsid w:val="00EC6F95"/>
    <w:rsid w:val="00EC7AB6"/>
    <w:rsid w:val="00EC7ECE"/>
    <w:rsid w:val="00ED188C"/>
    <w:rsid w:val="00ED4B0B"/>
    <w:rsid w:val="00ED7016"/>
    <w:rsid w:val="00EE2950"/>
    <w:rsid w:val="00EE3756"/>
    <w:rsid w:val="00EE38D3"/>
    <w:rsid w:val="00EE3A7F"/>
    <w:rsid w:val="00EE5C04"/>
    <w:rsid w:val="00EE5E75"/>
    <w:rsid w:val="00EE61A7"/>
    <w:rsid w:val="00EE6BB2"/>
    <w:rsid w:val="00EF0642"/>
    <w:rsid w:val="00EF3464"/>
    <w:rsid w:val="00EF77D0"/>
    <w:rsid w:val="00F03F66"/>
    <w:rsid w:val="00F05587"/>
    <w:rsid w:val="00F1150C"/>
    <w:rsid w:val="00F1336F"/>
    <w:rsid w:val="00F147B5"/>
    <w:rsid w:val="00F16C24"/>
    <w:rsid w:val="00F2014E"/>
    <w:rsid w:val="00F20EE9"/>
    <w:rsid w:val="00F2125B"/>
    <w:rsid w:val="00F24959"/>
    <w:rsid w:val="00F25A7F"/>
    <w:rsid w:val="00F25FB2"/>
    <w:rsid w:val="00F35E5B"/>
    <w:rsid w:val="00F361AA"/>
    <w:rsid w:val="00F419DB"/>
    <w:rsid w:val="00F43B09"/>
    <w:rsid w:val="00F44584"/>
    <w:rsid w:val="00F455CE"/>
    <w:rsid w:val="00F46295"/>
    <w:rsid w:val="00F4748A"/>
    <w:rsid w:val="00F5169E"/>
    <w:rsid w:val="00F536F9"/>
    <w:rsid w:val="00F542C2"/>
    <w:rsid w:val="00F572FF"/>
    <w:rsid w:val="00F610DD"/>
    <w:rsid w:val="00F64F23"/>
    <w:rsid w:val="00F654D5"/>
    <w:rsid w:val="00F70B2A"/>
    <w:rsid w:val="00F84899"/>
    <w:rsid w:val="00F851BD"/>
    <w:rsid w:val="00F859F0"/>
    <w:rsid w:val="00F85BA1"/>
    <w:rsid w:val="00F90188"/>
    <w:rsid w:val="00F90EFE"/>
    <w:rsid w:val="00F90FA9"/>
    <w:rsid w:val="00F9437D"/>
    <w:rsid w:val="00F95785"/>
    <w:rsid w:val="00F957F4"/>
    <w:rsid w:val="00FA0F93"/>
    <w:rsid w:val="00FA2385"/>
    <w:rsid w:val="00FA5544"/>
    <w:rsid w:val="00FB016F"/>
    <w:rsid w:val="00FB1066"/>
    <w:rsid w:val="00FB16F4"/>
    <w:rsid w:val="00FB1A15"/>
    <w:rsid w:val="00FC08BA"/>
    <w:rsid w:val="00FC2F62"/>
    <w:rsid w:val="00FC34A0"/>
    <w:rsid w:val="00FC5FAF"/>
    <w:rsid w:val="00FC7599"/>
    <w:rsid w:val="00FD23EB"/>
    <w:rsid w:val="00FD2F3D"/>
    <w:rsid w:val="00FD5B88"/>
    <w:rsid w:val="00FD72D9"/>
    <w:rsid w:val="00FE12E4"/>
    <w:rsid w:val="00FE141E"/>
    <w:rsid w:val="00FE517A"/>
    <w:rsid w:val="00FE5A92"/>
    <w:rsid w:val="00FE5E73"/>
    <w:rsid w:val="00FE6A0D"/>
    <w:rsid w:val="00FF0E1F"/>
    <w:rsid w:val="00FF0F94"/>
    <w:rsid w:val="00FF3927"/>
    <w:rsid w:val="00FF3B12"/>
    <w:rsid w:val="00FF41F4"/>
    <w:rsid w:val="00FF764A"/>
    <w:rsid w:val="1D8946CE"/>
    <w:rsid w:val="2B4A71B1"/>
    <w:rsid w:val="307B3D81"/>
    <w:rsid w:val="30D1FDA0"/>
    <w:rsid w:val="34E4CC3D"/>
    <w:rsid w:val="3FB0ED2D"/>
    <w:rsid w:val="50BC7C2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 w:type="character" w:customStyle="1" w:styleId="Mencinsinresolver1">
    <w:name w:val="Mención sin resolver1"/>
    <w:basedOn w:val="Fuentedeprrafopredeter"/>
    <w:uiPriority w:val="99"/>
    <w:semiHidden/>
    <w:unhideWhenUsed/>
    <w:rsid w:val="00625958"/>
    <w:rPr>
      <w:color w:val="605E5C"/>
      <w:shd w:val="clear" w:color="auto" w:fill="E1DFDD"/>
    </w:rPr>
  </w:style>
  <w:style w:type="table" w:customStyle="1" w:styleId="Tablaconcuadrcula1">
    <w:name w:val="Tabla con cuadrícula1"/>
    <w:basedOn w:val="Tablanormal"/>
    <w:next w:val="Tablaconcuadrcula"/>
    <w:uiPriority w:val="59"/>
    <w:rsid w:val="00B211A2"/>
    <w:pPr>
      <w:spacing w:after="0" w:line="240" w:lineRule="auto"/>
      <w:jc w:val="both"/>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3261803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documentos/concepto_firma_y_contrato_electronico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DF2D78E-BF03-4089-8F01-9AEDC816224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8599725-ACA3-4611-AB2D-7A1890ADAA40}"/>
</file>

<file path=customXml/itemProps4.xml><?xml version="1.0" encoding="utf-8"?>
<ds:datastoreItem xmlns:ds="http://schemas.openxmlformats.org/officeDocument/2006/customXml" ds:itemID="{8875765C-EBF7-4844-BBD9-F9F45EC77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8</TotalTime>
  <Pages>11</Pages>
  <Words>4068</Words>
  <Characters>22378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David Torres</cp:lastModifiedBy>
  <cp:revision>7</cp:revision>
  <dcterms:created xsi:type="dcterms:W3CDTF">2021-06-15T21:11:00Z</dcterms:created>
  <dcterms:modified xsi:type="dcterms:W3CDTF">2021-06-17T20:02:00Z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