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4D096" w14:textId="204F8059" w:rsidR="000920F0" w:rsidRPr="009B30D4" w:rsidRDefault="000920F0" w:rsidP="009B30D4">
      <w:pPr>
        <w:spacing w:line="276" w:lineRule="auto"/>
        <w:jc w:val="right"/>
        <w:rPr>
          <w:rFonts w:ascii="Arial" w:hAnsi="Arial" w:cs="Arial"/>
          <w:bCs/>
          <w:noProof/>
          <w:sz w:val="16"/>
          <w:szCs w:val="16"/>
          <w:lang w:val="es-ES_tradnl" w:eastAsia="es-ES"/>
        </w:rPr>
      </w:pPr>
      <w:bookmarkStart w:id="0" w:name="_Hlk28946138"/>
      <w:bookmarkStart w:id="1" w:name="_Hlk29548183"/>
      <w:bookmarkStart w:id="2" w:name="_Hlk29890381"/>
      <w:r w:rsidRPr="00295D8A">
        <w:rPr>
          <w:rFonts w:ascii="Arial" w:hAnsi="Arial" w:cs="Arial"/>
          <w:b/>
          <w:noProof/>
          <w:sz w:val="21"/>
          <w:szCs w:val="21"/>
          <w:lang w:val="es-ES_tradnl" w:eastAsia="es-ES"/>
        </w:rPr>
        <w:tab/>
      </w:r>
      <w:r w:rsidRPr="00B83689">
        <w:rPr>
          <w:rFonts w:ascii="Arial" w:hAnsi="Arial" w:cs="Arial"/>
          <w:bCs/>
          <w:noProof/>
          <w:sz w:val="16"/>
          <w:szCs w:val="16"/>
          <w:lang w:val="es-ES_tradnl" w:eastAsia="es-ES"/>
        </w:rPr>
        <w:t>CCE-DES-FM-17</w:t>
      </w:r>
    </w:p>
    <w:p w14:paraId="2EFA8869" w14:textId="2C697CE0" w:rsidR="006C348D" w:rsidRPr="00D61921" w:rsidRDefault="006C348D" w:rsidP="006C348D">
      <w:pPr>
        <w:jc w:val="both"/>
        <w:rPr>
          <w:rFonts w:ascii="Arial" w:hAnsi="Arial" w:cs="Arial"/>
          <w:sz w:val="22"/>
          <w:lang w:val="es-CO"/>
        </w:rPr>
      </w:pPr>
      <w:r>
        <w:rPr>
          <w:rFonts w:ascii="Arial" w:hAnsi="Arial" w:cs="Arial"/>
          <w:b/>
          <w:sz w:val="22"/>
          <w:lang w:val="es-CO"/>
        </w:rPr>
        <w:t xml:space="preserve">LEY 2013 DE 2019 </w:t>
      </w:r>
      <w:r w:rsidRPr="00D61921">
        <w:rPr>
          <w:rFonts w:ascii="Arial" w:hAnsi="Arial" w:cs="Arial"/>
          <w:b/>
          <w:sz w:val="22"/>
          <w:lang w:val="es-CO"/>
        </w:rPr>
        <w:t xml:space="preserve">– </w:t>
      </w:r>
      <w:r>
        <w:rPr>
          <w:rFonts w:ascii="Arial" w:hAnsi="Arial" w:cs="Arial"/>
          <w:b/>
          <w:sz w:val="22"/>
          <w:lang w:val="es-CO"/>
        </w:rPr>
        <w:t xml:space="preserve">ámbito de aplicación </w:t>
      </w:r>
    </w:p>
    <w:p w14:paraId="5C4FEAF3" w14:textId="77777777" w:rsidR="006C348D" w:rsidRPr="00D61921" w:rsidRDefault="006C348D" w:rsidP="006C348D">
      <w:pPr>
        <w:jc w:val="both"/>
        <w:rPr>
          <w:rFonts w:ascii="Arial" w:hAnsi="Arial" w:cs="Arial"/>
          <w:sz w:val="20"/>
          <w:szCs w:val="20"/>
          <w:lang w:val="es-CO"/>
        </w:rPr>
      </w:pPr>
    </w:p>
    <w:p w14:paraId="00F55F12" w14:textId="77777777" w:rsidR="006C348D" w:rsidRPr="00D61921" w:rsidRDefault="006C348D" w:rsidP="006C348D">
      <w:pPr>
        <w:jc w:val="both"/>
        <w:rPr>
          <w:rFonts w:ascii="Arial" w:hAnsi="Arial" w:cs="Arial"/>
          <w:sz w:val="20"/>
          <w:szCs w:val="20"/>
          <w:lang w:val="es-CO"/>
        </w:rPr>
      </w:pPr>
      <w:r w:rsidRPr="00D61921">
        <w:rPr>
          <w:rFonts w:ascii="Arial" w:hAnsi="Arial" w:cs="Arial"/>
          <w:sz w:val="20"/>
          <w:szCs w:val="20"/>
          <w:lang w:val="es-CO"/>
        </w:rPr>
        <w:t>La Ley 2013 se expidió el 30 de diciembre de 2019, luego de tramitarse mediante el proyecto de Ley 147 de 2018 Senado y 254 de 2018 Cámara. El objeto de dicha ley consiste en dar cumplimiento a los principios de transparencia, publicidad, promoción de la participación y control social mediante la publicación y divulgación proactiva de: i) la declaración de bienes y rentas, ii) el registro de conflictos de interés, y iii) la declaración sobre la renta y complementarios ―art. 1―. // La finalidad que justificó la presentación del proyecto de ley fue incentivar la participación y el control social por parte de los colombianos, de manera que se evitara la comisión de conductas de corrupción, al propiciarse la publicidad y transparencia en la información de los patrimonios de algunos servidores públicos, particularmente aquellos con altos cargos dentro de la estructura del Estado; además, durante el trámite del proyecto se amplió paulatinamente el ámbito de aplicación de la ley, al incluirse nuevos sujetos obligados, entre ellos a algunos particulares.</w:t>
      </w:r>
    </w:p>
    <w:p w14:paraId="604CF381" w14:textId="77777777" w:rsidR="006C348D" w:rsidRPr="00D61921" w:rsidRDefault="006C348D" w:rsidP="006C348D">
      <w:pPr>
        <w:jc w:val="both"/>
        <w:rPr>
          <w:rFonts w:ascii="Arial" w:hAnsi="Arial" w:cs="Arial"/>
          <w:sz w:val="20"/>
          <w:szCs w:val="20"/>
          <w:lang w:val="es-CO"/>
        </w:rPr>
      </w:pPr>
    </w:p>
    <w:p w14:paraId="03267E06" w14:textId="1C8F23DA" w:rsidR="006C348D" w:rsidRPr="00D61921" w:rsidRDefault="006C348D" w:rsidP="006C348D">
      <w:pPr>
        <w:jc w:val="both"/>
        <w:rPr>
          <w:rFonts w:ascii="Arial" w:hAnsi="Arial" w:cs="Arial"/>
          <w:b/>
          <w:sz w:val="22"/>
          <w:lang w:val="es-CO"/>
        </w:rPr>
      </w:pPr>
      <w:r w:rsidRPr="00D61921">
        <w:rPr>
          <w:rFonts w:ascii="Arial" w:hAnsi="Arial" w:cs="Arial"/>
          <w:b/>
          <w:sz w:val="22"/>
          <w:lang w:val="es-CO"/>
        </w:rPr>
        <w:t xml:space="preserve">DECLARACIÓN DE BIENES, RENTA Y CONFLICTOS DE INTERÉS– </w:t>
      </w:r>
      <w:r w:rsidR="00E0241C">
        <w:rPr>
          <w:rFonts w:ascii="Arial" w:hAnsi="Arial" w:cs="Arial"/>
          <w:b/>
          <w:sz w:val="22"/>
          <w:lang w:val="es-CO"/>
        </w:rPr>
        <w:t>s</w:t>
      </w:r>
      <w:r w:rsidRPr="00D61921">
        <w:rPr>
          <w:rFonts w:ascii="Arial" w:hAnsi="Arial" w:cs="Arial"/>
          <w:b/>
          <w:sz w:val="22"/>
          <w:lang w:val="es-CO"/>
        </w:rPr>
        <w:t xml:space="preserve">ujetos obligados – </w:t>
      </w:r>
      <w:r w:rsidR="00E0241C">
        <w:rPr>
          <w:rFonts w:ascii="Arial" w:hAnsi="Arial" w:cs="Arial"/>
          <w:b/>
          <w:sz w:val="22"/>
          <w:lang w:val="es-CO"/>
        </w:rPr>
        <w:t>p</w:t>
      </w:r>
      <w:r w:rsidRPr="00D61921">
        <w:rPr>
          <w:rFonts w:ascii="Arial" w:hAnsi="Arial" w:cs="Arial"/>
          <w:b/>
          <w:sz w:val="22"/>
          <w:lang w:val="es-CO"/>
        </w:rPr>
        <w:t>articulares</w:t>
      </w:r>
    </w:p>
    <w:p w14:paraId="76BD692B" w14:textId="77777777" w:rsidR="006C348D" w:rsidRPr="00D61921" w:rsidRDefault="006C348D" w:rsidP="006C348D">
      <w:pPr>
        <w:jc w:val="both"/>
        <w:rPr>
          <w:rFonts w:ascii="Arial" w:hAnsi="Arial" w:cs="Arial"/>
          <w:b/>
          <w:sz w:val="22"/>
          <w:lang w:val="es-CO"/>
        </w:rPr>
      </w:pPr>
    </w:p>
    <w:p w14:paraId="5B789148" w14:textId="6857F041" w:rsidR="006C348D" w:rsidRPr="00AA4474" w:rsidRDefault="00AA4474" w:rsidP="006C348D">
      <w:pPr>
        <w:jc w:val="both"/>
        <w:rPr>
          <w:rFonts w:ascii="Arial" w:hAnsi="Arial" w:cs="Arial"/>
          <w:sz w:val="20"/>
          <w:szCs w:val="20"/>
          <w:lang w:val="es-CO"/>
        </w:rPr>
      </w:pPr>
      <w:r>
        <w:rPr>
          <w:rFonts w:ascii="Arial" w:hAnsi="Arial" w:cs="Arial"/>
          <w:sz w:val="20"/>
          <w:szCs w:val="20"/>
          <w:lang w:val="es-CO"/>
        </w:rPr>
        <w:t>L</w:t>
      </w:r>
      <w:r w:rsidRPr="00CD3436">
        <w:rPr>
          <w:rFonts w:ascii="Arial" w:hAnsi="Arial" w:cs="Arial"/>
          <w:sz w:val="20"/>
          <w:szCs w:val="20"/>
          <w:lang w:val="es-CO"/>
        </w:rPr>
        <w:t>a interpretación propuesta en el sentido de que el literal g) solo acogería a las personas naturales y jurídicas que administren bienes o recursos públicos se hace más evidente si se revisa el parágrafo primero del artículo 2, que concreta la forma como se cumple la obligación de publicar la información proactivamente. Como se indicó, la mayoría de sujetos obligados que contempla la ley son servidores públicos, de allí que cuando el parágrafo 2 prescribe: «La publicación de esta información será requisito para posesionarse, ejercer y retirarse del cargo», se está refiriendo a los servidores del Estado; mientras que tratándose de otras personas naturales y jurídicas, dentro de los cuales se encuentran particulares, dicha obligación se concreta en los siguientes términos: «A quienes no aplica el ingreso y retiro del cargo, será requisito antes, durante y al término del ejercicio de la función pública, prestación de servicios públicos o administración de bienes o recursos públicos». Obsérvese cómo el parágrafo concreta la obligación en relación con los sujetos obligados de los literales f) y g). De esta manera, interpretada la propia ley con dichos apartes, tratándose de particulares, su ámbito de aplicación incluye solo a aquellos que ejerzan función pública, presten servicios públicos ―literal f)― o administren bienes o recursos públicos ―literal g)―. En tal sentido, la norma solo es susceptible de aplicarse frente a esos tres tipos de particulares, siendo la interpretación más plausible de la disposición, pues lo que derivaría de interpretar extensivamente el literal g), sería que el parágrafo 1 contiene un vacío protuberante.</w:t>
      </w:r>
    </w:p>
    <w:p w14:paraId="3B6A4EE6" w14:textId="77777777" w:rsidR="006C348D" w:rsidRPr="00D61921" w:rsidRDefault="006C348D" w:rsidP="006C348D">
      <w:pPr>
        <w:jc w:val="both"/>
        <w:rPr>
          <w:rFonts w:ascii="Arial" w:hAnsi="Arial" w:cs="Arial"/>
          <w:b/>
          <w:sz w:val="22"/>
          <w:lang w:val="es-CO"/>
        </w:rPr>
      </w:pPr>
    </w:p>
    <w:p w14:paraId="78619BED" w14:textId="27AC7399" w:rsidR="006C348D" w:rsidRPr="00D61921" w:rsidRDefault="006C348D" w:rsidP="006C348D">
      <w:pPr>
        <w:jc w:val="both"/>
        <w:rPr>
          <w:rFonts w:ascii="Arial" w:hAnsi="Arial" w:cs="Arial"/>
          <w:b/>
          <w:bCs/>
          <w:sz w:val="22"/>
          <w:lang w:val="es-CO"/>
        </w:rPr>
      </w:pPr>
      <w:r w:rsidRPr="00D61921">
        <w:rPr>
          <w:rFonts w:ascii="Arial" w:hAnsi="Arial" w:cs="Arial"/>
          <w:b/>
          <w:sz w:val="22"/>
          <w:lang w:val="es-CO"/>
        </w:rPr>
        <w:t>DECLARACIÓN DE BIENES, RENTA Y CONFLICTOS DE INTERÉS</w:t>
      </w:r>
      <w:r w:rsidRPr="00D61921">
        <w:rPr>
          <w:rFonts w:ascii="Arial" w:hAnsi="Arial" w:cs="Arial"/>
          <w:b/>
          <w:bCs/>
          <w:sz w:val="22"/>
          <w:lang w:val="es-CO"/>
        </w:rPr>
        <w:t xml:space="preserve"> </w:t>
      </w:r>
      <w:r w:rsidRPr="00D61921">
        <w:rPr>
          <w:rFonts w:ascii="Arial" w:hAnsi="Arial" w:cs="Arial"/>
          <w:b/>
          <w:sz w:val="22"/>
          <w:lang w:val="es-CO"/>
        </w:rPr>
        <w:t>–</w:t>
      </w:r>
      <w:r>
        <w:rPr>
          <w:rFonts w:ascii="Arial" w:hAnsi="Arial" w:cs="Arial"/>
          <w:b/>
          <w:bCs/>
          <w:sz w:val="22"/>
          <w:lang w:val="es-CO"/>
        </w:rPr>
        <w:t xml:space="preserve"> </w:t>
      </w:r>
      <w:r w:rsidR="00E0241C">
        <w:rPr>
          <w:rFonts w:ascii="Arial" w:hAnsi="Arial" w:cs="Arial"/>
          <w:b/>
          <w:bCs/>
          <w:sz w:val="22"/>
          <w:lang w:val="es-CO"/>
        </w:rPr>
        <w:t>s</w:t>
      </w:r>
      <w:r>
        <w:rPr>
          <w:rFonts w:ascii="Arial" w:hAnsi="Arial" w:cs="Arial"/>
          <w:b/>
          <w:bCs/>
          <w:sz w:val="22"/>
          <w:lang w:val="es-CO"/>
        </w:rPr>
        <w:t xml:space="preserve">ujetos </w:t>
      </w:r>
      <w:r w:rsidR="00E0241C">
        <w:rPr>
          <w:rFonts w:ascii="Arial" w:hAnsi="Arial" w:cs="Arial"/>
          <w:b/>
          <w:bCs/>
          <w:sz w:val="22"/>
          <w:lang w:val="es-CO"/>
        </w:rPr>
        <w:t>o</w:t>
      </w:r>
      <w:r>
        <w:rPr>
          <w:rFonts w:ascii="Arial" w:hAnsi="Arial" w:cs="Arial"/>
          <w:b/>
          <w:bCs/>
          <w:sz w:val="22"/>
          <w:lang w:val="es-CO"/>
        </w:rPr>
        <w:t xml:space="preserve">bligados </w:t>
      </w:r>
      <w:r w:rsidRPr="00D61921">
        <w:rPr>
          <w:rFonts w:ascii="Arial" w:hAnsi="Arial" w:cs="Arial"/>
          <w:b/>
          <w:bCs/>
          <w:sz w:val="22"/>
          <w:lang w:val="es-CO"/>
        </w:rPr>
        <w:t xml:space="preserve">– </w:t>
      </w:r>
      <w:r w:rsidR="00E0241C">
        <w:rPr>
          <w:rFonts w:ascii="Arial" w:hAnsi="Arial" w:cs="Arial"/>
          <w:b/>
          <w:bCs/>
          <w:sz w:val="22"/>
          <w:lang w:val="es-CO"/>
        </w:rPr>
        <w:t>c</w:t>
      </w:r>
      <w:r w:rsidRPr="00D61921">
        <w:rPr>
          <w:rFonts w:ascii="Arial" w:hAnsi="Arial" w:cs="Arial"/>
          <w:b/>
          <w:bCs/>
          <w:sz w:val="22"/>
          <w:lang w:val="es-CO"/>
        </w:rPr>
        <w:t xml:space="preserve">ontratistas </w:t>
      </w:r>
    </w:p>
    <w:p w14:paraId="53A7D326" w14:textId="77777777" w:rsidR="006C348D" w:rsidRPr="00D61921" w:rsidRDefault="006C348D" w:rsidP="006C348D">
      <w:pPr>
        <w:jc w:val="both"/>
        <w:rPr>
          <w:rFonts w:ascii="Arial" w:hAnsi="Arial" w:cs="Arial"/>
          <w:b/>
          <w:bCs/>
          <w:sz w:val="22"/>
          <w:lang w:val="es-CO"/>
        </w:rPr>
      </w:pPr>
    </w:p>
    <w:p w14:paraId="374E8F6C" w14:textId="77777777" w:rsidR="00AA4474" w:rsidRPr="00CD3436" w:rsidRDefault="00AA4474" w:rsidP="00AA4474">
      <w:pPr>
        <w:spacing w:after="120"/>
        <w:jc w:val="both"/>
        <w:rPr>
          <w:rFonts w:ascii="Arial" w:hAnsi="Arial" w:cs="Arial"/>
          <w:sz w:val="20"/>
          <w:szCs w:val="20"/>
          <w:lang w:val="es-CO"/>
        </w:rPr>
      </w:pPr>
      <w:r>
        <w:rPr>
          <w:rFonts w:ascii="Arial" w:hAnsi="Arial" w:cs="Arial"/>
          <w:sz w:val="20"/>
          <w:szCs w:val="20"/>
          <w:lang w:val="es-CO"/>
        </w:rPr>
        <w:t>L</w:t>
      </w:r>
      <w:r w:rsidRPr="00CD3436">
        <w:rPr>
          <w:rFonts w:ascii="Arial" w:hAnsi="Arial" w:cs="Arial"/>
          <w:sz w:val="20"/>
          <w:szCs w:val="20"/>
          <w:lang w:val="es-CO"/>
        </w:rPr>
        <w:t>os contratistas del Estado que se encuentran dentro del ámbito de aplicación de la Ley 2013 de 2019 son aquellos que ejercen función pública, presenten servicios públicos o administren bienes y recursos públicos. En este sentido, solo cuando el contrato celebrado con el particular implique el ejercicio de alguna de las actividades anteriores, se considerará sujeto a las obligaciones contenidas en dicha ley, sin que la tipología contractual o el valor del contrato sea el determinante. Además, considerando que la mayoría de las veces el contratista no ejerce alguna de las referidas actividades, éstos no están sujetos a la Ley 2013 de 2019 por regla general Sin embargo, en cada contrato en particular se deberá analizar si existe la realización de alguna de las actividades indicadas, conforme a las consideraciones señaladas en este concepto, para definir la aplicación o no de la Ley 2013 de 2019.</w:t>
      </w:r>
    </w:p>
    <w:p w14:paraId="720BA186" w14:textId="78F454E2" w:rsidR="006C348D" w:rsidRDefault="006C348D" w:rsidP="00E0241C">
      <w:pPr>
        <w:rPr>
          <w:rFonts w:ascii="Arial" w:hAnsi="Arial" w:cs="Arial"/>
          <w:sz w:val="22"/>
          <w:szCs w:val="20"/>
          <w:lang w:val="es-CO"/>
        </w:rPr>
      </w:pPr>
    </w:p>
    <w:p w14:paraId="506963A7" w14:textId="77777777" w:rsidR="00AA4474" w:rsidRDefault="00AA4474" w:rsidP="00E0241C">
      <w:pPr>
        <w:rPr>
          <w:rFonts w:ascii="Arial" w:hAnsi="Arial" w:cs="Arial"/>
          <w:sz w:val="22"/>
          <w:szCs w:val="20"/>
          <w:lang w:val="es-CO"/>
        </w:rPr>
      </w:pPr>
    </w:p>
    <w:p w14:paraId="734692E5" w14:textId="7CC0B065" w:rsidR="00C90033" w:rsidRPr="00295D8A" w:rsidRDefault="00C90033" w:rsidP="00C90033">
      <w:pPr>
        <w:spacing w:line="276" w:lineRule="auto"/>
        <w:rPr>
          <w:rFonts w:ascii="Arial" w:hAnsi="Arial" w:cs="Arial"/>
          <w:b/>
          <w:sz w:val="22"/>
          <w:szCs w:val="20"/>
          <w:lang w:val="es-CO"/>
        </w:rPr>
      </w:pPr>
      <w:r w:rsidRPr="00295D8A">
        <w:rPr>
          <w:rFonts w:ascii="Arial" w:hAnsi="Arial" w:cs="Arial"/>
          <w:sz w:val="22"/>
          <w:szCs w:val="20"/>
        </w:rPr>
        <w:t xml:space="preserve">Bogotá D.C., </w:t>
      </w:r>
      <w:r w:rsidR="001E36F1">
        <w:rPr>
          <w:rFonts w:ascii="@Nï'E5˛" w:eastAsiaTheme="minorHAnsi" w:hAnsi="@Nï'E5˛" w:cs="@Nï'E5˛"/>
          <w:color w:val="4E4D4D"/>
          <w:sz w:val="22"/>
          <w:lang w:val="es-ES_tradnl"/>
        </w:rPr>
        <w:t>26 Mayo 2021</w:t>
      </w:r>
    </w:p>
    <w:p w14:paraId="06C9ADFA" w14:textId="741F7D17" w:rsidR="000920F0" w:rsidRPr="00295D8A" w:rsidRDefault="001E36F1" w:rsidP="001E36F1">
      <w:pPr>
        <w:tabs>
          <w:tab w:val="left" w:pos="3374"/>
        </w:tabs>
        <w:spacing w:line="276" w:lineRule="auto"/>
        <w:jc w:val="right"/>
        <w:rPr>
          <w:rFonts w:ascii="Arial" w:hAnsi="Arial" w:cs="Arial"/>
          <w:noProof/>
          <w:sz w:val="22"/>
          <w:lang w:val="es-ES_tradnl"/>
        </w:rPr>
      </w:pPr>
      <w:r w:rsidRPr="001E36F1">
        <w:rPr>
          <w:rFonts w:ascii="Arial" w:hAnsi="Arial" w:cs="Arial"/>
          <w:b/>
          <w:sz w:val="22"/>
          <w:szCs w:val="20"/>
        </w:rPr>
        <w:drawing>
          <wp:inline distT="0" distB="0" distL="0" distR="0" wp14:anchorId="770EDA0E" wp14:editId="0FD05149">
            <wp:extent cx="2743200" cy="7239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43200" cy="723900"/>
                    </a:xfrm>
                    <a:prstGeom prst="rect">
                      <a:avLst/>
                    </a:prstGeom>
                  </pic:spPr>
                </pic:pic>
              </a:graphicData>
            </a:graphic>
          </wp:inline>
        </w:drawing>
      </w:r>
    </w:p>
    <w:p w14:paraId="55FA24EE" w14:textId="77777777" w:rsidR="00597B94" w:rsidRPr="00295D8A" w:rsidRDefault="00597B94" w:rsidP="00F106B5">
      <w:pPr>
        <w:tabs>
          <w:tab w:val="left" w:pos="3374"/>
        </w:tabs>
        <w:spacing w:line="276" w:lineRule="auto"/>
        <w:rPr>
          <w:rFonts w:ascii="Arial" w:hAnsi="Arial" w:cs="Arial"/>
          <w:noProof/>
          <w:sz w:val="22"/>
          <w:lang w:val="es-ES_tradnl"/>
        </w:rPr>
      </w:pPr>
    </w:p>
    <w:p w14:paraId="5655AC15" w14:textId="24FB9D84" w:rsidR="00C15D32" w:rsidRPr="00295D8A" w:rsidRDefault="00C15D32" w:rsidP="00875A80">
      <w:pPr>
        <w:rPr>
          <w:rFonts w:ascii="Arial" w:hAnsi="Arial" w:cs="Arial"/>
          <w:bCs/>
          <w:noProof/>
          <w:sz w:val="22"/>
          <w:lang w:val="es-ES_tradnl"/>
        </w:rPr>
      </w:pPr>
      <w:r w:rsidRPr="00295D8A">
        <w:rPr>
          <w:rFonts w:ascii="Arial" w:hAnsi="Arial" w:cs="Arial"/>
          <w:bCs/>
          <w:noProof/>
          <w:sz w:val="22"/>
          <w:lang w:val="es-ES_tradnl"/>
        </w:rPr>
        <w:t>Señor</w:t>
      </w:r>
    </w:p>
    <w:p w14:paraId="53A242A5" w14:textId="6CA44915" w:rsidR="00A457BC" w:rsidRPr="00295D8A" w:rsidRDefault="0068004A" w:rsidP="00875A80">
      <w:pPr>
        <w:rPr>
          <w:rFonts w:ascii="Arial" w:hAnsi="Arial" w:cs="Arial"/>
          <w:b/>
          <w:noProof/>
          <w:sz w:val="22"/>
          <w:lang w:val="es-ES_tradnl"/>
        </w:rPr>
      </w:pPr>
      <w:r>
        <w:rPr>
          <w:rFonts w:ascii="Arial" w:hAnsi="Arial" w:cs="Arial"/>
          <w:b/>
          <w:noProof/>
          <w:sz w:val="22"/>
          <w:lang w:val="es-ES_tradnl"/>
        </w:rPr>
        <w:t xml:space="preserve">Fredy Rodríguez Naranjo </w:t>
      </w:r>
    </w:p>
    <w:p w14:paraId="188163AF" w14:textId="51B72AA3" w:rsidR="000920F0" w:rsidRPr="00295D8A" w:rsidRDefault="00DE6469" w:rsidP="00875A80">
      <w:pPr>
        <w:rPr>
          <w:rFonts w:ascii="Arial" w:hAnsi="Arial" w:cs="Arial"/>
          <w:noProof/>
          <w:sz w:val="22"/>
          <w:lang w:val="es-ES_tradnl"/>
        </w:rPr>
      </w:pPr>
      <w:r w:rsidRPr="00295D8A">
        <w:rPr>
          <w:rFonts w:ascii="Arial" w:hAnsi="Arial" w:cs="Arial"/>
          <w:noProof/>
          <w:sz w:val="22"/>
          <w:lang w:val="es-ES_tradnl"/>
        </w:rPr>
        <w:t>Ciudad</w:t>
      </w:r>
    </w:p>
    <w:p w14:paraId="200CDA3A" w14:textId="281CB45F" w:rsidR="00597B94" w:rsidRPr="00295D8A" w:rsidRDefault="00597B94" w:rsidP="00597B94">
      <w:pPr>
        <w:rPr>
          <w:rFonts w:ascii="Arial" w:hAnsi="Arial" w:cs="Arial"/>
          <w:noProof/>
          <w:sz w:val="22"/>
          <w:lang w:val="es-ES_tradnl"/>
        </w:rPr>
      </w:pPr>
    </w:p>
    <w:p w14:paraId="7040570F" w14:textId="77777777" w:rsidR="00597B94" w:rsidRPr="00295D8A" w:rsidRDefault="00597B94" w:rsidP="00597B94">
      <w:pPr>
        <w:rPr>
          <w:rFonts w:ascii="Arial" w:hAnsi="Arial" w:cs="Arial"/>
          <w:noProof/>
          <w:sz w:val="22"/>
          <w:lang w:val="es-ES_tradnl"/>
        </w:rPr>
      </w:pPr>
    </w:p>
    <w:p w14:paraId="36D9E2A1" w14:textId="61CF1A49" w:rsidR="000920F0" w:rsidRPr="00295D8A" w:rsidRDefault="00597B94" w:rsidP="00A33107">
      <w:pPr>
        <w:rPr>
          <w:rFonts w:ascii="Arial" w:hAnsi="Arial" w:cs="Arial"/>
          <w:b/>
          <w:noProof/>
          <w:sz w:val="22"/>
          <w:lang w:val="es-ES_tradnl"/>
        </w:rPr>
      </w:pPr>
      <w:r w:rsidRPr="00295D8A">
        <w:rPr>
          <w:rFonts w:ascii="Arial" w:hAnsi="Arial" w:cs="Arial"/>
          <w:b/>
          <w:noProof/>
          <w:sz w:val="22"/>
          <w:lang w:val="es-ES_tradnl"/>
        </w:rPr>
        <w:t xml:space="preserve">                                            </w:t>
      </w:r>
      <w:r w:rsidR="000920F0" w:rsidRPr="00295D8A">
        <w:rPr>
          <w:rFonts w:ascii="Arial" w:hAnsi="Arial" w:cs="Arial"/>
          <w:b/>
          <w:noProof/>
          <w:sz w:val="22"/>
          <w:lang w:val="es-ES_tradnl"/>
        </w:rPr>
        <w:t xml:space="preserve">Concepto C </w:t>
      </w:r>
      <w:r w:rsidR="007F6877" w:rsidRPr="00295D8A">
        <w:rPr>
          <w:rFonts w:ascii="Arial" w:hAnsi="Arial" w:cs="Arial"/>
          <w:b/>
          <w:noProof/>
          <w:sz w:val="22"/>
          <w:lang w:val="es-ES_tradnl"/>
        </w:rPr>
        <w:t>–</w:t>
      </w:r>
      <w:r w:rsidR="000920F0" w:rsidRPr="00295D8A">
        <w:rPr>
          <w:rFonts w:ascii="Arial" w:hAnsi="Arial" w:cs="Arial"/>
          <w:b/>
          <w:noProof/>
          <w:sz w:val="22"/>
          <w:lang w:val="es-ES_tradnl"/>
        </w:rPr>
        <w:t xml:space="preserve"> </w:t>
      </w:r>
      <w:r w:rsidR="00D51D6B">
        <w:rPr>
          <w:rFonts w:ascii="Arial" w:hAnsi="Arial" w:cs="Arial"/>
          <w:b/>
          <w:noProof/>
          <w:sz w:val="22"/>
          <w:lang w:val="es-ES_tradnl"/>
        </w:rPr>
        <w:t>236</w:t>
      </w:r>
      <w:r w:rsidR="00D27700" w:rsidRPr="00295D8A">
        <w:rPr>
          <w:rFonts w:ascii="Arial" w:hAnsi="Arial" w:cs="Arial"/>
          <w:b/>
          <w:noProof/>
          <w:sz w:val="22"/>
          <w:lang w:val="es-ES_tradnl"/>
        </w:rPr>
        <w:t xml:space="preserve"> </w:t>
      </w:r>
      <w:r w:rsidR="000920F0" w:rsidRPr="00295D8A">
        <w:rPr>
          <w:rFonts w:ascii="Arial" w:hAnsi="Arial" w:cs="Arial"/>
          <w:b/>
          <w:noProof/>
          <w:sz w:val="22"/>
          <w:lang w:val="es-ES_tradnl"/>
        </w:rPr>
        <w:t>de 202</w:t>
      </w:r>
      <w:r w:rsidR="009B30D4">
        <w:rPr>
          <w:rFonts w:ascii="Arial" w:hAnsi="Arial" w:cs="Arial"/>
          <w:b/>
          <w:noProof/>
          <w:sz w:val="22"/>
          <w:lang w:val="es-ES_tradnl"/>
        </w:rPr>
        <w:t>1</w:t>
      </w:r>
    </w:p>
    <w:p w14:paraId="5FD7FADA" w14:textId="77777777" w:rsidR="000920F0" w:rsidRPr="00295D8A" w:rsidRDefault="000920F0" w:rsidP="00875A80">
      <w:pPr>
        <w:rPr>
          <w:rFonts w:ascii="Arial" w:hAnsi="Arial" w:cs="Arial"/>
          <w:noProof/>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95D8A" w:rsidRPr="00295D8A" w14:paraId="16CF89C4" w14:textId="77777777" w:rsidTr="0041420E">
        <w:trPr>
          <w:trHeight w:val="591"/>
        </w:trPr>
        <w:tc>
          <w:tcPr>
            <w:tcW w:w="2689" w:type="dxa"/>
            <w:hideMark/>
          </w:tcPr>
          <w:p w14:paraId="76A5E400" w14:textId="4F5E41B5" w:rsidR="000920F0" w:rsidRPr="00295D8A" w:rsidRDefault="000920F0" w:rsidP="0041420E">
            <w:pPr>
              <w:rPr>
                <w:rFonts w:ascii="Arial" w:hAnsi="Arial" w:cs="Arial"/>
                <w:noProof/>
                <w:sz w:val="22"/>
                <w:lang w:val="es-ES_tradnl"/>
              </w:rPr>
            </w:pPr>
            <w:r w:rsidRPr="00295D8A">
              <w:rPr>
                <w:rFonts w:ascii="Arial" w:hAnsi="Arial" w:cs="Arial"/>
                <w:b/>
                <w:noProof/>
                <w:sz w:val="22"/>
                <w:lang w:val="es-ES_tradnl"/>
              </w:rPr>
              <w:t>Temas:</w:t>
            </w:r>
            <w:r w:rsidRPr="00295D8A">
              <w:rPr>
                <w:rFonts w:ascii="Arial" w:hAnsi="Arial" w:cs="Arial"/>
                <w:noProof/>
                <w:sz w:val="22"/>
                <w:lang w:val="es-ES_tradnl"/>
              </w:rPr>
              <w:t xml:space="preserve">        </w:t>
            </w:r>
          </w:p>
        </w:tc>
        <w:tc>
          <w:tcPr>
            <w:tcW w:w="6237" w:type="dxa"/>
            <w:hideMark/>
          </w:tcPr>
          <w:p w14:paraId="2D7C4916" w14:textId="3C2C9707" w:rsidR="00E0241C" w:rsidRPr="00E0241C" w:rsidRDefault="009B30D4" w:rsidP="00E0241C">
            <w:pPr>
              <w:jc w:val="both"/>
              <w:rPr>
                <w:rFonts w:ascii="Arial" w:hAnsi="Arial" w:cs="Arial"/>
                <w:sz w:val="22"/>
                <w:lang w:val="es-CO"/>
              </w:rPr>
            </w:pPr>
            <w:r w:rsidRPr="00E0241C">
              <w:rPr>
                <w:rFonts w:ascii="Arial" w:hAnsi="Arial" w:cs="Arial"/>
                <w:noProof/>
                <w:sz w:val="22"/>
                <w:lang w:val="es-ES_tradnl"/>
              </w:rPr>
              <w:t>LEY 2013 DE 2019</w:t>
            </w:r>
            <w:r w:rsidR="0050613F" w:rsidRPr="00E0241C">
              <w:rPr>
                <w:rFonts w:ascii="Arial" w:hAnsi="Arial" w:cs="Arial"/>
                <w:noProof/>
                <w:sz w:val="22"/>
                <w:lang w:val="es-ES_tradnl"/>
              </w:rPr>
              <w:t xml:space="preserve"> – ambito de aplicación</w:t>
            </w:r>
            <w:r w:rsidRPr="00E0241C">
              <w:rPr>
                <w:rFonts w:ascii="Arial" w:hAnsi="Arial" w:cs="Arial"/>
                <w:noProof/>
                <w:sz w:val="22"/>
                <w:lang w:val="es-ES_tradnl"/>
              </w:rPr>
              <w:t xml:space="preserve"> </w:t>
            </w:r>
            <w:r w:rsidR="006C04B6" w:rsidRPr="00E0241C">
              <w:rPr>
                <w:rFonts w:ascii="Arial" w:hAnsi="Arial" w:cs="Arial"/>
                <w:noProof/>
                <w:sz w:val="22"/>
                <w:lang w:val="es-ES_tradnl"/>
              </w:rPr>
              <w:t xml:space="preserve">/ </w:t>
            </w:r>
            <w:r w:rsidRPr="00E0241C">
              <w:rPr>
                <w:rFonts w:ascii="Arial" w:hAnsi="Arial" w:cs="Arial"/>
                <w:noProof/>
                <w:sz w:val="22"/>
                <w:lang w:val="es-ES_tradnl"/>
              </w:rPr>
              <w:t>DECLARACIÓN DE BIENES, RENTAS Y REGISTRO DE LOS CONFLICTOS DE INTERÉS</w:t>
            </w:r>
            <w:r w:rsidR="006C04B6" w:rsidRPr="00E0241C">
              <w:rPr>
                <w:rFonts w:ascii="Arial" w:hAnsi="Arial" w:cs="Arial"/>
                <w:noProof/>
                <w:sz w:val="22"/>
                <w:lang w:val="es-ES_tradnl"/>
              </w:rPr>
              <w:t>–</w:t>
            </w:r>
            <w:r w:rsidR="006C348D" w:rsidRPr="00E0241C">
              <w:rPr>
                <w:rFonts w:ascii="Arial" w:hAnsi="Arial" w:cs="Arial"/>
                <w:noProof/>
                <w:sz w:val="22"/>
                <w:lang w:val="es-ES_tradnl"/>
              </w:rPr>
              <w:t xml:space="preserve"> sujetos obligados – particulares </w:t>
            </w:r>
            <w:r w:rsidR="0050613F" w:rsidRPr="00E0241C">
              <w:rPr>
                <w:rFonts w:ascii="Arial" w:hAnsi="Arial" w:cs="Arial"/>
                <w:noProof/>
                <w:sz w:val="22"/>
                <w:lang w:val="es-ES_tradnl"/>
              </w:rPr>
              <w:t>contratistas del Estado obligados</w:t>
            </w:r>
            <w:r w:rsidR="006C04B6" w:rsidRPr="00E0241C">
              <w:rPr>
                <w:rFonts w:ascii="Arial" w:hAnsi="Arial" w:cs="Arial"/>
                <w:noProof/>
                <w:sz w:val="22"/>
                <w:lang w:val="es-ES_tradnl"/>
              </w:rPr>
              <w:t xml:space="preserve"> </w:t>
            </w:r>
            <w:r w:rsidR="00E0241C" w:rsidRPr="00E0241C">
              <w:rPr>
                <w:rFonts w:ascii="Arial" w:hAnsi="Arial" w:cs="Arial"/>
                <w:sz w:val="22"/>
                <w:lang w:val="es-CO"/>
              </w:rPr>
              <w:t xml:space="preserve">DECLARACIÓN DE BIENES, RENTA Y CONFLICTOS DE INTERÉS – sujetos obligados – contratistas </w:t>
            </w:r>
          </w:p>
          <w:p w14:paraId="5528BC60" w14:textId="140CA2F7" w:rsidR="000920F0" w:rsidRPr="00E0241C" w:rsidRDefault="000920F0" w:rsidP="00A33107">
            <w:pPr>
              <w:pStyle w:val="Prrafodelista"/>
              <w:spacing w:after="120"/>
              <w:ind w:left="0"/>
              <w:jc w:val="both"/>
              <w:rPr>
                <w:rFonts w:ascii="Arial" w:hAnsi="Arial" w:cs="Arial"/>
                <w:b/>
                <w:bCs/>
                <w:noProof/>
                <w:sz w:val="22"/>
                <w:highlight w:val="yellow"/>
                <w:lang w:val="es-CO"/>
              </w:rPr>
            </w:pPr>
          </w:p>
        </w:tc>
      </w:tr>
      <w:tr w:rsidR="00295D8A" w:rsidRPr="00295D8A" w14:paraId="5C0B4203" w14:textId="77777777" w:rsidTr="0041420E">
        <w:tc>
          <w:tcPr>
            <w:tcW w:w="2689" w:type="dxa"/>
          </w:tcPr>
          <w:p w14:paraId="32E4E458" w14:textId="77777777" w:rsidR="000920F0" w:rsidRPr="00295D8A" w:rsidRDefault="000920F0" w:rsidP="0041420E">
            <w:pPr>
              <w:rPr>
                <w:rFonts w:ascii="Arial" w:hAnsi="Arial" w:cs="Arial"/>
                <w:b/>
                <w:noProof/>
                <w:sz w:val="22"/>
                <w:lang w:val="es-ES_tradnl"/>
              </w:rPr>
            </w:pPr>
            <w:r w:rsidRPr="00295D8A">
              <w:rPr>
                <w:rFonts w:ascii="Arial" w:hAnsi="Arial" w:cs="Arial"/>
                <w:b/>
                <w:noProof/>
                <w:sz w:val="22"/>
                <w:lang w:val="es-ES_tradnl"/>
              </w:rPr>
              <w:t>Radicación:</w:t>
            </w:r>
            <w:r w:rsidRPr="00295D8A">
              <w:rPr>
                <w:rFonts w:ascii="Arial" w:hAnsi="Arial" w:cs="Arial"/>
                <w:noProof/>
                <w:sz w:val="22"/>
                <w:lang w:val="es-ES_tradnl"/>
              </w:rPr>
              <w:t xml:space="preserve">                              </w:t>
            </w:r>
          </w:p>
        </w:tc>
        <w:tc>
          <w:tcPr>
            <w:tcW w:w="6237" w:type="dxa"/>
          </w:tcPr>
          <w:p w14:paraId="1218CA08" w14:textId="139AC002" w:rsidR="000920F0" w:rsidRPr="00295D8A" w:rsidRDefault="000920F0" w:rsidP="0041420E">
            <w:pPr>
              <w:jc w:val="both"/>
              <w:rPr>
                <w:rFonts w:ascii="Arial" w:hAnsi="Arial" w:cs="Arial"/>
                <w:noProof/>
                <w:sz w:val="22"/>
                <w:lang w:val="es-ES_tradnl"/>
              </w:rPr>
            </w:pPr>
            <w:r w:rsidRPr="00295D8A">
              <w:rPr>
                <w:rFonts w:ascii="Arial" w:hAnsi="Arial" w:cs="Arial"/>
                <w:noProof/>
                <w:sz w:val="22"/>
                <w:lang w:val="es-ES_tradnl"/>
              </w:rPr>
              <w:t>Respuesta a consulta</w:t>
            </w:r>
            <w:r w:rsidR="00EC35C7" w:rsidRPr="00295D8A">
              <w:rPr>
                <w:rFonts w:ascii="Arial" w:hAnsi="Arial" w:cs="Arial"/>
                <w:noProof/>
                <w:sz w:val="22"/>
                <w:lang w:val="es-ES_tradnl"/>
              </w:rPr>
              <w:t xml:space="preserve"> </w:t>
            </w:r>
            <w:r w:rsidRPr="00295D8A">
              <w:rPr>
                <w:rFonts w:ascii="Arial" w:hAnsi="Arial" w:cs="Arial"/>
                <w:noProof/>
                <w:sz w:val="22"/>
                <w:lang w:val="es-ES_tradnl"/>
              </w:rPr>
              <w:t>#</w:t>
            </w:r>
            <w:r w:rsidR="009B30D4">
              <w:rPr>
                <w:rFonts w:ascii="Arial" w:hAnsi="Arial" w:cs="Arial"/>
                <w:noProof/>
                <w:sz w:val="22"/>
                <w:lang w:val="es-ES_tradnl"/>
              </w:rPr>
              <w:t xml:space="preserve"> P2021</w:t>
            </w:r>
            <w:r w:rsidR="0068004A">
              <w:rPr>
                <w:rFonts w:ascii="Arial" w:hAnsi="Arial" w:cs="Arial"/>
                <w:noProof/>
                <w:sz w:val="22"/>
                <w:lang w:val="es-ES_tradnl"/>
              </w:rPr>
              <w:t>0414003054</w:t>
            </w:r>
          </w:p>
        </w:tc>
      </w:tr>
    </w:tbl>
    <w:p w14:paraId="36F05444" w14:textId="77777777" w:rsidR="000920F0" w:rsidRPr="00295D8A" w:rsidRDefault="000920F0" w:rsidP="00875A80">
      <w:pPr>
        <w:jc w:val="both"/>
        <w:rPr>
          <w:rFonts w:ascii="Arial" w:hAnsi="Arial" w:cs="Arial"/>
          <w:noProof/>
          <w:sz w:val="22"/>
          <w:lang w:val="es-ES_tradnl"/>
        </w:rPr>
      </w:pPr>
    </w:p>
    <w:p w14:paraId="3CDD931D" w14:textId="77777777" w:rsidR="000920F0" w:rsidRPr="00295D8A" w:rsidRDefault="000920F0" w:rsidP="00875A80">
      <w:pPr>
        <w:rPr>
          <w:rFonts w:ascii="Arial" w:hAnsi="Arial" w:cs="Arial"/>
          <w:noProof/>
          <w:sz w:val="22"/>
          <w:lang w:val="es-ES_tradnl"/>
        </w:rPr>
      </w:pPr>
    </w:p>
    <w:p w14:paraId="1B619448" w14:textId="16637E3B" w:rsidR="000920F0" w:rsidRPr="00295D8A" w:rsidRDefault="00C15D32" w:rsidP="00875A80">
      <w:pPr>
        <w:rPr>
          <w:rFonts w:ascii="Arial" w:hAnsi="Arial" w:cs="Arial"/>
          <w:noProof/>
          <w:sz w:val="22"/>
          <w:lang w:val="es-ES_tradnl"/>
        </w:rPr>
      </w:pPr>
      <w:r w:rsidRPr="00295D8A">
        <w:rPr>
          <w:rFonts w:ascii="Arial" w:hAnsi="Arial" w:cs="Arial"/>
          <w:noProof/>
          <w:sz w:val="22"/>
          <w:lang w:val="es-ES_tradnl"/>
        </w:rPr>
        <w:t>Estimad</w:t>
      </w:r>
      <w:r w:rsidR="009B30D4">
        <w:rPr>
          <w:rFonts w:ascii="Arial" w:hAnsi="Arial" w:cs="Arial"/>
          <w:noProof/>
          <w:sz w:val="22"/>
          <w:lang w:val="es-ES_tradnl"/>
        </w:rPr>
        <w:t>o</w:t>
      </w:r>
      <w:r w:rsidRPr="00295D8A">
        <w:rPr>
          <w:rFonts w:ascii="Arial" w:hAnsi="Arial" w:cs="Arial"/>
          <w:noProof/>
          <w:sz w:val="22"/>
          <w:lang w:val="es-ES_tradnl"/>
        </w:rPr>
        <w:t xml:space="preserve"> </w:t>
      </w:r>
      <w:r w:rsidR="005A2B7F" w:rsidRPr="00295D8A">
        <w:rPr>
          <w:rFonts w:ascii="Arial" w:hAnsi="Arial" w:cs="Arial"/>
          <w:noProof/>
          <w:sz w:val="22"/>
          <w:lang w:val="es-ES_tradnl"/>
        </w:rPr>
        <w:t xml:space="preserve">señor </w:t>
      </w:r>
      <w:r w:rsidR="0068004A">
        <w:rPr>
          <w:rFonts w:ascii="Arial" w:hAnsi="Arial" w:cs="Arial"/>
          <w:noProof/>
          <w:sz w:val="22"/>
          <w:lang w:val="es-ES_tradnl"/>
        </w:rPr>
        <w:t>Rodríguez</w:t>
      </w:r>
      <w:r w:rsidRPr="00295D8A">
        <w:rPr>
          <w:rFonts w:ascii="Arial" w:hAnsi="Arial" w:cs="Arial"/>
          <w:noProof/>
          <w:sz w:val="22"/>
          <w:lang w:val="es-ES_tradnl"/>
        </w:rPr>
        <w:t>,</w:t>
      </w:r>
    </w:p>
    <w:p w14:paraId="09825258" w14:textId="77777777" w:rsidR="000920F0" w:rsidRPr="00295D8A" w:rsidRDefault="000920F0" w:rsidP="00F106B5">
      <w:pPr>
        <w:spacing w:line="276" w:lineRule="auto"/>
        <w:rPr>
          <w:rFonts w:ascii="Arial" w:hAnsi="Arial" w:cs="Arial"/>
          <w:noProof/>
          <w:sz w:val="22"/>
          <w:lang w:val="es-ES_tradnl"/>
        </w:rPr>
      </w:pPr>
    </w:p>
    <w:p w14:paraId="1941402D" w14:textId="3842DCC0" w:rsidR="004B7D75" w:rsidRPr="00295D8A" w:rsidRDefault="004B7D75" w:rsidP="004B7D75">
      <w:pPr>
        <w:spacing w:line="276" w:lineRule="auto"/>
        <w:jc w:val="both"/>
        <w:rPr>
          <w:rFonts w:ascii="Arial" w:hAnsi="Arial" w:cs="Arial"/>
          <w:sz w:val="22"/>
        </w:rPr>
      </w:pPr>
      <w:r w:rsidRPr="00295D8A">
        <w:rPr>
          <w:rFonts w:ascii="Arial"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68004A">
        <w:rPr>
          <w:rFonts w:ascii="Arial" w:hAnsi="Arial" w:cs="Arial"/>
          <w:sz w:val="22"/>
        </w:rPr>
        <w:t>14</w:t>
      </w:r>
      <w:r w:rsidRPr="00295D8A">
        <w:rPr>
          <w:rFonts w:ascii="Arial" w:hAnsi="Arial" w:cs="Arial"/>
          <w:sz w:val="22"/>
        </w:rPr>
        <w:t xml:space="preserve"> de </w:t>
      </w:r>
      <w:r w:rsidR="0068004A">
        <w:rPr>
          <w:rFonts w:ascii="Arial" w:hAnsi="Arial" w:cs="Arial"/>
          <w:sz w:val="22"/>
        </w:rPr>
        <w:t>abril</w:t>
      </w:r>
      <w:r w:rsidRPr="00295D8A">
        <w:rPr>
          <w:rFonts w:ascii="Arial" w:hAnsi="Arial" w:cs="Arial"/>
          <w:sz w:val="22"/>
        </w:rPr>
        <w:t xml:space="preserve"> del año 202</w:t>
      </w:r>
      <w:r w:rsidR="00996C30">
        <w:rPr>
          <w:rFonts w:ascii="Arial" w:hAnsi="Arial" w:cs="Arial"/>
          <w:sz w:val="22"/>
        </w:rPr>
        <w:t>1</w:t>
      </w:r>
      <w:r w:rsidRPr="00295D8A">
        <w:rPr>
          <w:rFonts w:ascii="Arial" w:hAnsi="Arial" w:cs="Arial"/>
          <w:sz w:val="22"/>
        </w:rPr>
        <w:t xml:space="preserve">. </w:t>
      </w:r>
    </w:p>
    <w:p w14:paraId="28C2ECB0" w14:textId="77777777" w:rsidR="000920F0" w:rsidRPr="00295D8A" w:rsidRDefault="000920F0" w:rsidP="00F106B5">
      <w:pPr>
        <w:tabs>
          <w:tab w:val="left" w:pos="426"/>
        </w:tabs>
        <w:spacing w:line="276" w:lineRule="auto"/>
        <w:jc w:val="both"/>
        <w:rPr>
          <w:rFonts w:ascii="Arial" w:hAnsi="Arial" w:cs="Arial"/>
          <w:noProof/>
          <w:sz w:val="22"/>
          <w:lang w:val="es-ES_tradnl"/>
        </w:rPr>
      </w:pPr>
    </w:p>
    <w:p w14:paraId="58FEF0FB" w14:textId="47041351" w:rsidR="000920F0" w:rsidRPr="00295D8A" w:rsidRDefault="00317242" w:rsidP="00F106B5">
      <w:pPr>
        <w:pStyle w:val="Prrafodelista"/>
        <w:tabs>
          <w:tab w:val="left" w:pos="284"/>
        </w:tabs>
        <w:spacing w:line="276" w:lineRule="auto"/>
        <w:ind w:left="0"/>
        <w:jc w:val="both"/>
        <w:rPr>
          <w:rFonts w:ascii="Arial" w:eastAsia="Calibri" w:hAnsi="Arial" w:cs="Arial"/>
          <w:b/>
          <w:noProof/>
          <w:sz w:val="22"/>
          <w:lang w:val="es-ES_tradnl"/>
        </w:rPr>
      </w:pPr>
      <w:bookmarkStart w:id="3" w:name="_Hlk50978304"/>
      <w:r w:rsidRPr="00295D8A">
        <w:rPr>
          <w:rFonts w:ascii="Arial" w:eastAsia="Calibri" w:hAnsi="Arial" w:cs="Arial"/>
          <w:b/>
          <w:noProof/>
          <w:sz w:val="22"/>
          <w:lang w:val="es-ES_tradnl"/>
        </w:rPr>
        <w:t xml:space="preserve">1. </w:t>
      </w:r>
      <w:r w:rsidR="000920F0" w:rsidRPr="00295D8A">
        <w:rPr>
          <w:rFonts w:ascii="Arial" w:eastAsia="Calibri" w:hAnsi="Arial" w:cs="Arial"/>
          <w:b/>
          <w:noProof/>
          <w:sz w:val="22"/>
          <w:lang w:val="es-ES_tradnl"/>
        </w:rPr>
        <w:t>Problema planteado</w:t>
      </w:r>
    </w:p>
    <w:p w14:paraId="476FAD3E" w14:textId="30ED6726" w:rsidR="000920F0" w:rsidRPr="00295D8A" w:rsidRDefault="000920F0" w:rsidP="00F106B5">
      <w:pPr>
        <w:tabs>
          <w:tab w:val="left" w:pos="426"/>
        </w:tabs>
        <w:spacing w:line="276" w:lineRule="auto"/>
        <w:jc w:val="both"/>
        <w:rPr>
          <w:rFonts w:ascii="Arial" w:hAnsi="Arial" w:cs="Arial"/>
          <w:b/>
          <w:noProof/>
          <w:sz w:val="22"/>
          <w:lang w:val="es-ES_tradnl"/>
        </w:rPr>
      </w:pPr>
    </w:p>
    <w:p w14:paraId="6BF59965" w14:textId="432D4E38" w:rsidR="00AF080A" w:rsidRPr="00295D8A" w:rsidRDefault="000920F0" w:rsidP="0068004A">
      <w:pPr>
        <w:tabs>
          <w:tab w:val="left" w:pos="426"/>
        </w:tabs>
        <w:spacing w:line="276" w:lineRule="auto"/>
        <w:jc w:val="both"/>
        <w:rPr>
          <w:rFonts w:ascii="Arial" w:hAnsi="Arial" w:cs="Arial"/>
          <w:noProof/>
          <w:sz w:val="22"/>
          <w:lang w:val="es-ES_tradnl"/>
        </w:rPr>
      </w:pPr>
      <w:r w:rsidRPr="00295D8A">
        <w:rPr>
          <w:rFonts w:ascii="Arial" w:hAnsi="Arial" w:cs="Arial"/>
          <w:noProof/>
          <w:sz w:val="22"/>
          <w:lang w:val="es-ES_tradnl"/>
        </w:rPr>
        <w:t xml:space="preserve">Usted </w:t>
      </w:r>
      <w:r w:rsidR="00D3720F" w:rsidRPr="00295D8A">
        <w:rPr>
          <w:rFonts w:ascii="Arial" w:hAnsi="Arial" w:cs="Arial"/>
          <w:noProof/>
          <w:sz w:val="22"/>
          <w:lang w:val="es-ES_tradnl"/>
        </w:rPr>
        <w:t>formuló</w:t>
      </w:r>
      <w:r w:rsidRPr="00295D8A">
        <w:rPr>
          <w:rFonts w:ascii="Arial" w:hAnsi="Arial" w:cs="Arial"/>
          <w:noProof/>
          <w:sz w:val="22"/>
          <w:lang w:val="es-ES_tradnl"/>
        </w:rPr>
        <w:t xml:space="preserve"> la siguiente </w:t>
      </w:r>
      <w:r w:rsidR="00EB66DA" w:rsidRPr="00295D8A">
        <w:rPr>
          <w:rFonts w:ascii="Arial" w:hAnsi="Arial" w:cs="Arial"/>
          <w:noProof/>
          <w:sz w:val="22"/>
          <w:lang w:val="es-ES_tradnl"/>
        </w:rPr>
        <w:t>pregunta</w:t>
      </w:r>
      <w:r w:rsidR="00996C30">
        <w:rPr>
          <w:rFonts w:ascii="Arial" w:hAnsi="Arial" w:cs="Arial"/>
          <w:noProof/>
          <w:sz w:val="22"/>
          <w:lang w:val="es-ES_tradnl"/>
        </w:rPr>
        <w:t xml:space="preserve"> sobre </w:t>
      </w:r>
      <w:r w:rsidR="0068004A">
        <w:rPr>
          <w:rFonts w:ascii="Arial" w:hAnsi="Arial" w:cs="Arial"/>
          <w:noProof/>
          <w:sz w:val="22"/>
          <w:lang w:val="es-ES_tradnl"/>
        </w:rPr>
        <w:t>el</w:t>
      </w:r>
      <w:r w:rsidR="00996C30">
        <w:rPr>
          <w:rFonts w:ascii="Arial" w:hAnsi="Arial" w:cs="Arial"/>
          <w:noProof/>
          <w:sz w:val="22"/>
          <w:lang w:val="es-ES_tradnl"/>
        </w:rPr>
        <w:t xml:space="preserve"> literal g) del artículo 2 de la Ley 2013 de 2019 que regula el </w:t>
      </w:r>
      <w:r w:rsidR="002002AB">
        <w:rPr>
          <w:rFonts w:ascii="Arial" w:hAnsi="Arial" w:cs="Arial"/>
          <w:noProof/>
          <w:sz w:val="22"/>
          <w:lang w:val="es-ES_tradnl"/>
        </w:rPr>
        <w:t>á</w:t>
      </w:r>
      <w:r w:rsidR="00996C30">
        <w:rPr>
          <w:rFonts w:ascii="Arial" w:hAnsi="Arial" w:cs="Arial"/>
          <w:noProof/>
          <w:sz w:val="22"/>
          <w:lang w:val="es-ES_tradnl"/>
        </w:rPr>
        <w:t>mbito de aplicación de la norma</w:t>
      </w:r>
      <w:r w:rsidRPr="00295D8A">
        <w:rPr>
          <w:rFonts w:ascii="Arial" w:hAnsi="Arial" w:cs="Arial"/>
          <w:noProof/>
          <w:sz w:val="22"/>
          <w:lang w:val="es-ES_tradnl"/>
        </w:rPr>
        <w:t xml:space="preserve">: </w:t>
      </w:r>
      <w:r w:rsidR="000D2573" w:rsidRPr="00295D8A">
        <w:rPr>
          <w:rFonts w:ascii="Arial" w:hAnsi="Arial" w:cs="Arial"/>
          <w:noProof/>
          <w:sz w:val="22"/>
          <w:lang w:val="es-ES_tradnl"/>
        </w:rPr>
        <w:t>«</w:t>
      </w:r>
      <w:r w:rsidR="0068004A" w:rsidRPr="00C95A9A">
        <w:rPr>
          <w:rFonts w:ascii="Arial" w:hAnsi="Arial" w:cs="Arial"/>
          <w:noProof/>
          <w:sz w:val="22"/>
          <w:lang w:val="es-ES_tradnl"/>
        </w:rPr>
        <w:t>¿La publicación y divulgación de la declaración de bienes y rentas, del registro de conflictos de interés y la declaración del impuesto sobre la renta y complementarios,  debe exigirse por las entidades estatales a  todas las personas naturales y jurídicas, públicas o privadas que administren, celebren contratos y ejecuten bienes o recursos públicos sin importar el tipo de contrato que se pretenda celebrar?</w:t>
      </w:r>
      <w:r w:rsidR="00996C30" w:rsidRPr="00295D8A">
        <w:rPr>
          <w:rFonts w:ascii="Arial" w:hAnsi="Arial" w:cs="Arial"/>
          <w:noProof/>
          <w:sz w:val="22"/>
          <w:lang w:val="es-ES_tradnl"/>
        </w:rPr>
        <w:t>»</w:t>
      </w:r>
      <w:r w:rsidR="00CD325B">
        <w:rPr>
          <w:rFonts w:ascii="Arial" w:hAnsi="Arial" w:cs="Arial"/>
          <w:noProof/>
          <w:sz w:val="22"/>
          <w:lang w:val="es-ES_tradnl"/>
        </w:rPr>
        <w:t>.</w:t>
      </w:r>
      <w:r w:rsidR="00996C30" w:rsidRPr="00996C30">
        <w:rPr>
          <w:rFonts w:ascii="Arial" w:hAnsi="Arial" w:cs="Arial"/>
          <w:noProof/>
          <w:sz w:val="22"/>
          <w:lang w:val="es-ES_tradnl"/>
        </w:rPr>
        <w:t xml:space="preserve"> </w:t>
      </w:r>
    </w:p>
    <w:bookmarkEnd w:id="3"/>
    <w:p w14:paraId="1E4E2AE9" w14:textId="77777777" w:rsidR="00AD5641" w:rsidRPr="00295D8A" w:rsidRDefault="00AD5641" w:rsidP="0068004A">
      <w:pPr>
        <w:tabs>
          <w:tab w:val="left" w:pos="426"/>
        </w:tabs>
        <w:spacing w:line="276" w:lineRule="auto"/>
        <w:jc w:val="both"/>
        <w:rPr>
          <w:rFonts w:ascii="Arial" w:hAnsi="Arial" w:cs="Arial"/>
          <w:noProof/>
          <w:sz w:val="22"/>
          <w:lang w:val="es-ES_tradnl"/>
        </w:rPr>
      </w:pPr>
    </w:p>
    <w:p w14:paraId="79882F8B" w14:textId="77777777" w:rsidR="000920F0" w:rsidRPr="00295D8A" w:rsidRDefault="000920F0" w:rsidP="00F106B5">
      <w:pPr>
        <w:tabs>
          <w:tab w:val="left" w:pos="426"/>
        </w:tabs>
        <w:spacing w:line="276" w:lineRule="auto"/>
        <w:jc w:val="both"/>
        <w:rPr>
          <w:rFonts w:ascii="Arial" w:hAnsi="Arial" w:cs="Arial"/>
          <w:b/>
          <w:noProof/>
          <w:sz w:val="22"/>
          <w:lang w:val="es-ES_tradnl"/>
        </w:rPr>
      </w:pPr>
      <w:r w:rsidRPr="00295D8A">
        <w:rPr>
          <w:rFonts w:ascii="Arial" w:hAnsi="Arial" w:cs="Arial"/>
          <w:b/>
          <w:noProof/>
          <w:sz w:val="22"/>
          <w:lang w:val="es-ES_tradnl"/>
        </w:rPr>
        <w:t>2. Consideraciones</w:t>
      </w:r>
    </w:p>
    <w:bookmarkEnd w:id="0"/>
    <w:bookmarkEnd w:id="1"/>
    <w:p w14:paraId="7894E838" w14:textId="77777777" w:rsidR="000920F0" w:rsidRPr="00295D8A" w:rsidRDefault="000920F0" w:rsidP="00F106B5">
      <w:pPr>
        <w:spacing w:line="276" w:lineRule="auto"/>
        <w:jc w:val="both"/>
        <w:rPr>
          <w:rFonts w:ascii="Arial" w:hAnsi="Arial" w:cs="Arial"/>
          <w:noProof/>
          <w:sz w:val="22"/>
          <w:lang w:val="es-ES_tradnl"/>
        </w:rPr>
      </w:pPr>
    </w:p>
    <w:p w14:paraId="38FF6F02" w14:textId="198534BA" w:rsidR="002002AB" w:rsidRDefault="000920F0" w:rsidP="00373E13">
      <w:pPr>
        <w:spacing w:line="276" w:lineRule="auto"/>
        <w:jc w:val="both"/>
        <w:rPr>
          <w:rFonts w:ascii="Arial" w:hAnsi="Arial" w:cs="Arial"/>
          <w:noProof/>
          <w:sz w:val="22"/>
          <w:lang w:val="es-ES_tradnl"/>
        </w:rPr>
      </w:pPr>
      <w:r w:rsidRPr="00373E13">
        <w:rPr>
          <w:rFonts w:ascii="Arial" w:hAnsi="Arial" w:cs="Arial"/>
          <w:noProof/>
          <w:sz w:val="22"/>
          <w:lang w:val="es-ES_tradnl"/>
        </w:rPr>
        <w:lastRenderedPageBreak/>
        <w:t>Para resolver esta consult</w:t>
      </w:r>
      <w:r w:rsidR="00187B6A">
        <w:rPr>
          <w:rFonts w:ascii="Arial" w:hAnsi="Arial" w:cs="Arial"/>
          <w:noProof/>
          <w:sz w:val="22"/>
          <w:lang w:val="es-ES_tradnl"/>
        </w:rPr>
        <w:t>a</w:t>
      </w:r>
      <w:r w:rsidRPr="00373E13">
        <w:rPr>
          <w:rFonts w:ascii="Arial" w:hAnsi="Arial" w:cs="Arial"/>
          <w:noProof/>
          <w:sz w:val="22"/>
          <w:lang w:val="es-ES_tradnl"/>
        </w:rPr>
        <w:t xml:space="preserve"> se an</w:t>
      </w:r>
      <w:r w:rsidR="00AE7CA2" w:rsidRPr="00373E13">
        <w:rPr>
          <w:rFonts w:ascii="Arial" w:hAnsi="Arial" w:cs="Arial"/>
          <w:noProof/>
          <w:sz w:val="22"/>
          <w:lang w:val="es-ES_tradnl"/>
        </w:rPr>
        <w:t>a</w:t>
      </w:r>
      <w:r w:rsidRPr="00373E13">
        <w:rPr>
          <w:rFonts w:ascii="Arial" w:hAnsi="Arial" w:cs="Arial"/>
          <w:noProof/>
          <w:sz w:val="22"/>
          <w:lang w:val="es-ES_tradnl"/>
        </w:rPr>
        <w:t>li</w:t>
      </w:r>
      <w:r w:rsidR="00AE7CA2" w:rsidRPr="00373E13">
        <w:rPr>
          <w:rFonts w:ascii="Arial" w:hAnsi="Arial" w:cs="Arial"/>
          <w:noProof/>
          <w:sz w:val="22"/>
          <w:lang w:val="es-ES_tradnl"/>
        </w:rPr>
        <w:t>zarán</w:t>
      </w:r>
      <w:r w:rsidRPr="00373E13">
        <w:rPr>
          <w:rFonts w:ascii="Arial" w:hAnsi="Arial" w:cs="Arial"/>
          <w:noProof/>
          <w:sz w:val="22"/>
          <w:lang w:val="es-ES_tradnl"/>
        </w:rPr>
        <w:t xml:space="preserve"> los </w:t>
      </w:r>
      <w:r w:rsidR="002002AB">
        <w:rPr>
          <w:rFonts w:ascii="Arial" w:hAnsi="Arial" w:cs="Arial"/>
          <w:noProof/>
          <w:sz w:val="22"/>
          <w:lang w:val="es-ES_tradnl"/>
        </w:rPr>
        <w:t xml:space="preserve">sujetos obligados a cumplir con las obligaciones impuestas por la Ley 2013 de 2019, en especial, quienes celebran contratos con entidades estatales. </w:t>
      </w:r>
    </w:p>
    <w:p w14:paraId="6FB7DC94" w14:textId="2DA54972" w:rsidR="004B645B" w:rsidRPr="00373E13" w:rsidRDefault="002002AB" w:rsidP="00373E13">
      <w:pPr>
        <w:spacing w:line="276" w:lineRule="auto"/>
        <w:jc w:val="both"/>
        <w:rPr>
          <w:rFonts w:ascii="Arial" w:hAnsi="Arial" w:cs="Arial"/>
          <w:noProof/>
          <w:sz w:val="22"/>
          <w:lang w:val="es-ES_tradnl"/>
        </w:rPr>
      </w:pPr>
      <w:r>
        <w:rPr>
          <w:rFonts w:ascii="Arial" w:hAnsi="Arial" w:cs="Arial"/>
          <w:noProof/>
          <w:sz w:val="22"/>
          <w:lang w:val="es-ES_tradnl"/>
        </w:rPr>
        <w:t xml:space="preserve"> </w:t>
      </w:r>
    </w:p>
    <w:p w14:paraId="6417D621" w14:textId="752E3F7C" w:rsidR="002002AB" w:rsidRPr="00993367" w:rsidRDefault="002002AB" w:rsidP="002002AB">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t xml:space="preserve">La </w:t>
      </w:r>
      <w:r w:rsidRPr="00993367">
        <w:rPr>
          <w:rFonts w:ascii="Arial" w:hAnsi="Arial" w:cs="Arial"/>
          <w:color w:val="000000" w:themeColor="text1"/>
          <w:sz w:val="22"/>
        </w:rPr>
        <w:t>Agencia Nacional de Contratación Pública ― Colombia Compra Eficiente en los conceptos C―075 del 26 de marzo de 2020</w:t>
      </w:r>
      <w:r w:rsidR="00791CE8">
        <w:rPr>
          <w:rFonts w:ascii="Arial" w:hAnsi="Arial" w:cs="Arial"/>
          <w:color w:val="000000" w:themeColor="text1"/>
          <w:sz w:val="22"/>
        </w:rPr>
        <w:t>,</w:t>
      </w:r>
      <w:r w:rsidRPr="00993367">
        <w:rPr>
          <w:rFonts w:ascii="Arial" w:hAnsi="Arial" w:cs="Arial"/>
          <w:color w:val="000000" w:themeColor="text1"/>
          <w:sz w:val="22"/>
        </w:rPr>
        <w:t xml:space="preserve"> </w:t>
      </w:r>
      <w:r w:rsidR="007A1F32">
        <w:rPr>
          <w:rFonts w:ascii="Arial" w:hAnsi="Arial" w:cs="Arial"/>
          <w:color w:val="000000" w:themeColor="text1"/>
          <w:sz w:val="22"/>
        </w:rPr>
        <w:t xml:space="preserve">C–112 del 30 de marzo de 2020, </w:t>
      </w:r>
      <w:r w:rsidRPr="00993367">
        <w:rPr>
          <w:rFonts w:ascii="Arial" w:hAnsi="Arial" w:cs="Arial"/>
          <w:color w:val="000000" w:themeColor="text1"/>
          <w:sz w:val="22"/>
        </w:rPr>
        <w:t>C―132 del 30 de marzo de 2020</w:t>
      </w:r>
      <w:r w:rsidR="00E241BA">
        <w:rPr>
          <w:rFonts w:ascii="Arial" w:hAnsi="Arial" w:cs="Arial"/>
          <w:color w:val="000000" w:themeColor="text1"/>
          <w:sz w:val="22"/>
        </w:rPr>
        <w:t>,</w:t>
      </w:r>
      <w:r>
        <w:rPr>
          <w:rFonts w:ascii="Arial" w:hAnsi="Arial" w:cs="Arial"/>
          <w:color w:val="000000" w:themeColor="text1"/>
          <w:sz w:val="22"/>
        </w:rPr>
        <w:t xml:space="preserve"> C–</w:t>
      </w:r>
      <w:r w:rsidR="007A1F32">
        <w:rPr>
          <w:rFonts w:ascii="Arial" w:hAnsi="Arial" w:cs="Arial"/>
          <w:color w:val="000000" w:themeColor="text1"/>
          <w:sz w:val="22"/>
        </w:rPr>
        <w:t>442 de</w:t>
      </w:r>
      <w:r w:rsidR="00AA4474">
        <w:rPr>
          <w:rFonts w:ascii="Arial" w:hAnsi="Arial" w:cs="Arial"/>
          <w:color w:val="000000" w:themeColor="text1"/>
          <w:sz w:val="22"/>
        </w:rPr>
        <w:t xml:space="preserve"> 30 de junio de</w:t>
      </w:r>
      <w:r>
        <w:rPr>
          <w:rFonts w:ascii="Arial" w:hAnsi="Arial" w:cs="Arial"/>
          <w:color w:val="000000" w:themeColor="text1"/>
          <w:sz w:val="22"/>
        </w:rPr>
        <w:t xml:space="preserve"> 2020</w:t>
      </w:r>
      <w:r w:rsidR="00AA4474">
        <w:rPr>
          <w:rFonts w:ascii="Arial" w:hAnsi="Arial" w:cs="Arial"/>
          <w:color w:val="000000" w:themeColor="text1"/>
          <w:sz w:val="22"/>
        </w:rPr>
        <w:t xml:space="preserve"> y C-196 de 4 de mayo 2021 </w:t>
      </w:r>
      <w:r w:rsidRPr="00993367">
        <w:rPr>
          <w:rFonts w:ascii="Arial" w:hAnsi="Arial" w:cs="Arial"/>
          <w:color w:val="000000" w:themeColor="text1"/>
          <w:sz w:val="22"/>
        </w:rPr>
        <w:t>se pronunció sobre la aplicación de la Ley 2013 de 2019 en los contratos estatales. En particular desarrolló cuáles son los sujetos obligados bajo dicha ley y en qué supuestos aplicaría frente a los contratistas del Estado, por lo que dichas consideraciones se reiteran a continuación.</w:t>
      </w:r>
    </w:p>
    <w:p w14:paraId="5F5B0B70" w14:textId="77777777" w:rsidR="00B45B98" w:rsidRPr="002002AB" w:rsidRDefault="00B45B98" w:rsidP="00373E13">
      <w:pPr>
        <w:spacing w:line="276" w:lineRule="auto"/>
        <w:jc w:val="both"/>
        <w:rPr>
          <w:rFonts w:ascii="Arial" w:hAnsi="Arial" w:cs="Arial"/>
          <w:b/>
          <w:noProof/>
          <w:sz w:val="22"/>
          <w:lang w:val="es-ES"/>
        </w:rPr>
      </w:pPr>
    </w:p>
    <w:p w14:paraId="4F5AE6AB" w14:textId="0A467E3F" w:rsidR="0050613F" w:rsidRPr="00993367" w:rsidRDefault="00C55CE9" w:rsidP="0050613F">
      <w:pPr>
        <w:contextualSpacing/>
        <w:jc w:val="both"/>
        <w:rPr>
          <w:rFonts w:ascii="Arial" w:hAnsi="Arial" w:cs="Arial"/>
          <w:b/>
          <w:bCs/>
          <w:color w:val="000000" w:themeColor="text1"/>
          <w:sz w:val="22"/>
          <w:lang w:val="es-ES"/>
        </w:rPr>
      </w:pPr>
      <w:r w:rsidRPr="00373E13">
        <w:rPr>
          <w:rFonts w:ascii="Arial" w:hAnsi="Arial" w:cs="Arial"/>
          <w:b/>
          <w:bCs/>
          <w:noProof/>
          <w:sz w:val="22"/>
          <w:lang w:val="es-ES_tradnl"/>
        </w:rPr>
        <w:t>2.1.</w:t>
      </w:r>
      <w:r w:rsidR="0050613F">
        <w:rPr>
          <w:rFonts w:ascii="Arial" w:hAnsi="Arial" w:cs="Arial"/>
          <w:b/>
          <w:bCs/>
          <w:noProof/>
          <w:sz w:val="22"/>
          <w:lang w:val="es-ES_tradnl"/>
        </w:rPr>
        <w:t xml:space="preserve"> </w:t>
      </w:r>
      <w:r w:rsidR="0050613F" w:rsidRPr="00993367">
        <w:rPr>
          <w:rFonts w:ascii="Arial" w:hAnsi="Arial" w:cs="Arial"/>
          <w:b/>
          <w:bCs/>
          <w:color w:val="000000" w:themeColor="text1"/>
          <w:sz w:val="22"/>
          <w:lang w:val="es-ES"/>
        </w:rPr>
        <w:t>Ámbito de aplicación de la Ley 2013 de 2019. Sujetos obligados</w:t>
      </w:r>
    </w:p>
    <w:p w14:paraId="6D4FFDD8" w14:textId="77777777" w:rsidR="0050613F" w:rsidRPr="00993367" w:rsidRDefault="0050613F" w:rsidP="0050613F">
      <w:pPr>
        <w:contextualSpacing/>
        <w:jc w:val="both"/>
        <w:rPr>
          <w:rFonts w:ascii="Arial" w:hAnsi="Arial" w:cs="Arial"/>
          <w:color w:val="000000" w:themeColor="text1"/>
          <w:sz w:val="22"/>
          <w:lang w:val="es-ES"/>
        </w:rPr>
      </w:pPr>
    </w:p>
    <w:p w14:paraId="7A5594CB" w14:textId="77777777" w:rsidR="00AA4474" w:rsidRPr="00993367" w:rsidRDefault="00AA4474" w:rsidP="00AA4474">
      <w:pPr>
        <w:spacing w:after="120" w:line="276" w:lineRule="auto"/>
        <w:jc w:val="both"/>
        <w:rPr>
          <w:rFonts w:ascii="Arial" w:hAnsi="Arial" w:cs="Arial"/>
          <w:color w:val="000000" w:themeColor="text1"/>
          <w:sz w:val="22"/>
          <w:lang w:val="es-ES"/>
        </w:rPr>
      </w:pPr>
      <w:r w:rsidRPr="00993367">
        <w:rPr>
          <w:rFonts w:ascii="Arial" w:hAnsi="Arial" w:cs="Arial"/>
          <w:color w:val="000000" w:themeColor="text1"/>
          <w:sz w:val="22"/>
          <w:lang w:val="es-ES"/>
        </w:rPr>
        <w:t>La Ley 2013 se expidió el 30 de diciembre de 2019, luego de tramitarse mediante el proyecto de Ley 147 de 2018 Senado y 254 de 2018 Cámara. El objeto de dicha ley consiste en dar cumplimiento a los principios de transparencia, publicidad, promoción de la participación y control social mediante la publicación y divulgación proactiva de: i) la declaración de bienes y rentas, ii) el registro de conflictos de interés, y iii) la declaración sobre la renta y complementarios ―art. 1―.</w:t>
      </w:r>
    </w:p>
    <w:p w14:paraId="403A2097" w14:textId="77777777" w:rsidR="00AA4474" w:rsidRPr="00993367" w:rsidRDefault="00AA4474" w:rsidP="00AA4474">
      <w:pPr>
        <w:spacing w:after="120" w:line="276" w:lineRule="auto"/>
        <w:jc w:val="both"/>
        <w:rPr>
          <w:rFonts w:ascii="Arial" w:hAnsi="Arial" w:cs="Arial"/>
          <w:color w:val="000000" w:themeColor="text1"/>
          <w:sz w:val="22"/>
          <w:lang w:val="es-ES"/>
        </w:rPr>
      </w:pPr>
      <w:r w:rsidRPr="00993367">
        <w:rPr>
          <w:rFonts w:ascii="Arial" w:hAnsi="Arial" w:cs="Arial"/>
          <w:color w:val="000000" w:themeColor="text1"/>
          <w:sz w:val="22"/>
          <w:lang w:val="es-ES"/>
        </w:rPr>
        <w:tab/>
        <w:t>La finalidad que justificó la presentación del proyecto de ley fue incentivar la participación y el control social por parte de los colombianos, de manera que se evitara la comisión de conductas de corrupción, al propiciarse la publicidad y transparencia en la información de los patrimonios de algunos servidores públicos, particularmente aquellos con altos cargos dentro de la estructura del Estado</w:t>
      </w:r>
      <w:r>
        <w:rPr>
          <w:rFonts w:ascii="Arial" w:hAnsi="Arial" w:cs="Arial"/>
          <w:color w:val="000000" w:themeColor="text1"/>
          <w:sz w:val="22"/>
          <w:lang w:val="es-ES"/>
        </w:rPr>
        <w:t>. De igual forma,</w:t>
      </w:r>
      <w:r w:rsidRPr="00993367">
        <w:rPr>
          <w:rFonts w:ascii="Arial" w:hAnsi="Arial" w:cs="Arial"/>
          <w:color w:val="000000" w:themeColor="text1"/>
          <w:sz w:val="22"/>
          <w:lang w:val="es-ES"/>
        </w:rPr>
        <w:t xml:space="preserve"> durante el trámite del proyecto se amplió paulatinamente el ámbito de aplicación de la ley, al incluirse nuevos sujetos obligados, entre ellos a algunos particulares.</w:t>
      </w:r>
    </w:p>
    <w:p w14:paraId="1101099D" w14:textId="77777777" w:rsidR="00AA4474" w:rsidRPr="00993367" w:rsidRDefault="00AA4474" w:rsidP="00AA4474">
      <w:pPr>
        <w:spacing w:line="276" w:lineRule="auto"/>
        <w:ind w:firstLine="709"/>
        <w:jc w:val="both"/>
        <w:rPr>
          <w:rFonts w:ascii="Arial" w:hAnsi="Arial" w:cs="Arial"/>
          <w:color w:val="000000" w:themeColor="text1"/>
          <w:sz w:val="22"/>
          <w:lang w:val="es-ES"/>
        </w:rPr>
      </w:pPr>
      <w:r w:rsidRPr="00993367">
        <w:rPr>
          <w:rFonts w:ascii="Arial" w:hAnsi="Arial" w:cs="Arial"/>
          <w:color w:val="000000" w:themeColor="text1"/>
          <w:sz w:val="22"/>
          <w:lang w:val="es-ES"/>
        </w:rPr>
        <w:t xml:space="preserve">Las obligaciones indicadas previamente, en materia de publicidad, fueron impuestas a los sujetos señalados en el artículo 2, que constituye la disposición que define el ámbito de aplicación de la propia ley. En tal sentido, dicho artículo finalmente se expidió con 11 literales, siendo la mayoría de los sujetos obligados servidores públicos, de los cuales se realizó un listado extenso; sin embargo, dicha obligación no se extendió a cualquier servidor público, sino exclusivamente a los contenidos en la lista. Dentro de este </w:t>
      </w:r>
      <w:r>
        <w:rPr>
          <w:rFonts w:ascii="Arial" w:hAnsi="Arial" w:cs="Arial"/>
          <w:color w:val="000000" w:themeColor="text1"/>
          <w:sz w:val="22"/>
          <w:lang w:val="es-ES"/>
        </w:rPr>
        <w:t xml:space="preserve">listado </w:t>
      </w:r>
      <w:r w:rsidRPr="00993367">
        <w:rPr>
          <w:rFonts w:ascii="Arial" w:hAnsi="Arial" w:cs="Arial"/>
          <w:color w:val="000000" w:themeColor="text1"/>
          <w:sz w:val="22"/>
          <w:lang w:val="es-ES"/>
        </w:rPr>
        <w:t>se destacan los literales f) y g), por ser los únicos que aplican frente a particulares:</w:t>
      </w:r>
    </w:p>
    <w:p w14:paraId="6FDA8DD2" w14:textId="77777777" w:rsidR="00AA4474" w:rsidRPr="00993367" w:rsidRDefault="00AA4474" w:rsidP="00AA4474">
      <w:pPr>
        <w:ind w:firstLine="709"/>
        <w:contextualSpacing/>
        <w:jc w:val="both"/>
        <w:rPr>
          <w:rFonts w:ascii="Arial" w:hAnsi="Arial" w:cs="Arial"/>
          <w:color w:val="000000" w:themeColor="text1"/>
          <w:sz w:val="22"/>
          <w:lang w:val="es-ES"/>
        </w:rPr>
      </w:pPr>
    </w:p>
    <w:p w14:paraId="2E7F9D90" w14:textId="77777777" w:rsidR="00AA4474" w:rsidRPr="00993367" w:rsidRDefault="00AA4474" w:rsidP="00AA4474">
      <w:pPr>
        <w:pStyle w:val="NormalWeb"/>
        <w:spacing w:before="0" w:beforeAutospacing="0" w:after="0" w:afterAutospacing="0"/>
        <w:ind w:left="709" w:right="709"/>
        <w:contextualSpacing/>
        <w:jc w:val="both"/>
        <w:rPr>
          <w:rFonts w:ascii="Arial" w:hAnsi="Arial" w:cs="Arial"/>
          <w:color w:val="000000" w:themeColor="text1"/>
          <w:sz w:val="21"/>
          <w:szCs w:val="21"/>
        </w:rPr>
      </w:pPr>
      <w:r w:rsidRPr="00D6689C">
        <w:rPr>
          <w:rFonts w:ascii="Arial" w:hAnsi="Arial" w:cs="Arial"/>
          <w:b/>
          <w:bCs/>
          <w:color w:val="000000" w:themeColor="text1"/>
          <w:sz w:val="21"/>
          <w:szCs w:val="21"/>
        </w:rPr>
        <w:t>Artículo 2</w:t>
      </w:r>
      <w:r w:rsidRPr="00D6689C">
        <w:rPr>
          <w:rFonts w:ascii="Arial" w:hAnsi="Arial" w:cs="Arial"/>
          <w:b/>
          <w:bCs/>
          <w:i/>
          <w:iCs/>
          <w:color w:val="000000" w:themeColor="text1"/>
          <w:sz w:val="21"/>
          <w:szCs w:val="21"/>
        </w:rPr>
        <w:t>º</w:t>
      </w:r>
      <w:r w:rsidRPr="00D6689C">
        <w:rPr>
          <w:rFonts w:ascii="Arial" w:hAnsi="Arial" w:cs="Arial"/>
          <w:b/>
          <w:bCs/>
          <w:color w:val="000000" w:themeColor="text1"/>
          <w:sz w:val="21"/>
          <w:szCs w:val="21"/>
        </w:rPr>
        <w:t>. </w:t>
      </w:r>
      <w:r w:rsidRPr="00D6689C">
        <w:rPr>
          <w:rFonts w:ascii="Arial" w:hAnsi="Arial" w:cs="Arial"/>
          <w:b/>
          <w:bCs/>
          <w:i/>
          <w:iCs/>
          <w:color w:val="000000" w:themeColor="text1"/>
          <w:sz w:val="21"/>
          <w:szCs w:val="21"/>
        </w:rPr>
        <w:t>Ámbito de aplicación</w:t>
      </w:r>
      <w:r w:rsidRPr="00993367">
        <w:rPr>
          <w:rFonts w:ascii="Arial" w:hAnsi="Arial" w:cs="Arial"/>
          <w:i/>
          <w:iCs/>
          <w:color w:val="000000" w:themeColor="text1"/>
          <w:sz w:val="21"/>
          <w:szCs w:val="21"/>
        </w:rPr>
        <w:t>.</w:t>
      </w:r>
      <w:r w:rsidRPr="00993367">
        <w:rPr>
          <w:rFonts w:ascii="Arial" w:hAnsi="Arial" w:cs="Arial"/>
          <w:color w:val="000000" w:themeColor="text1"/>
          <w:sz w:val="21"/>
          <w:szCs w:val="21"/>
        </w:rPr>
        <w:t> La publicación y divulgación de la declaración de bienes y rentas, del registro de conflictos de interés y la declaración del impuesto sobre la renta y complementarios, serán aplicables a las siguientes personas en calidad de sujetos obligados: </w:t>
      </w:r>
    </w:p>
    <w:p w14:paraId="70CC62EB" w14:textId="77777777" w:rsidR="00AA4474" w:rsidRPr="00993367" w:rsidRDefault="00AA4474" w:rsidP="00AA4474">
      <w:pPr>
        <w:ind w:left="709" w:right="709"/>
        <w:contextualSpacing/>
        <w:jc w:val="both"/>
        <w:rPr>
          <w:rFonts w:ascii="Arial" w:eastAsia="Times New Roman" w:hAnsi="Arial" w:cs="Arial"/>
          <w:color w:val="000000" w:themeColor="text1"/>
          <w:sz w:val="21"/>
          <w:szCs w:val="21"/>
          <w:lang w:val="es-CO" w:eastAsia="es-CO"/>
        </w:rPr>
      </w:pPr>
    </w:p>
    <w:p w14:paraId="6BFBC7C1" w14:textId="77777777" w:rsidR="00AA4474" w:rsidRPr="00993367" w:rsidRDefault="00AA4474" w:rsidP="00AA4474">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lastRenderedPageBreak/>
        <w:t>a) Los servidores públicos electos mediante voto popular; </w:t>
      </w:r>
    </w:p>
    <w:p w14:paraId="352B3704" w14:textId="77777777" w:rsidR="00AA4474" w:rsidRPr="00993367" w:rsidRDefault="00AA4474" w:rsidP="00AA4474">
      <w:pPr>
        <w:ind w:left="709" w:right="709"/>
        <w:contextualSpacing/>
        <w:jc w:val="both"/>
        <w:rPr>
          <w:rFonts w:ascii="Arial" w:eastAsia="Times New Roman" w:hAnsi="Arial" w:cs="Arial"/>
          <w:color w:val="000000" w:themeColor="text1"/>
          <w:sz w:val="21"/>
          <w:szCs w:val="21"/>
          <w:lang w:val="es-CO" w:eastAsia="es-CO"/>
        </w:rPr>
      </w:pPr>
    </w:p>
    <w:p w14:paraId="55EA70B0" w14:textId="77777777" w:rsidR="00AA4474" w:rsidRPr="00993367" w:rsidRDefault="00AA4474" w:rsidP="00AA4474">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b) Los magistrados de las Altas Cortes; Tribunales y de la Justicia Especial para la Paz, el Fiscal General de la Nación, fiscales locales, seccionales y jueces de la República; </w:t>
      </w:r>
    </w:p>
    <w:p w14:paraId="1DF200C8" w14:textId="77777777" w:rsidR="00AA4474" w:rsidRPr="00993367" w:rsidRDefault="00AA4474" w:rsidP="00AA4474">
      <w:pPr>
        <w:ind w:left="709" w:right="709"/>
        <w:contextualSpacing/>
        <w:jc w:val="both"/>
        <w:rPr>
          <w:rFonts w:ascii="Arial" w:eastAsia="Times New Roman" w:hAnsi="Arial" w:cs="Arial"/>
          <w:color w:val="000000" w:themeColor="text1"/>
          <w:sz w:val="21"/>
          <w:szCs w:val="21"/>
          <w:lang w:val="es-CO" w:eastAsia="es-CO"/>
        </w:rPr>
      </w:pPr>
    </w:p>
    <w:p w14:paraId="6814C142" w14:textId="77777777" w:rsidR="00AA4474" w:rsidRPr="00993367" w:rsidRDefault="00AA4474" w:rsidP="00AA4474">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c) Los magistrados del Consejo Nacional Electoral; </w:t>
      </w:r>
    </w:p>
    <w:p w14:paraId="7F47018D" w14:textId="77777777" w:rsidR="00AA4474" w:rsidRPr="00993367" w:rsidRDefault="00AA4474" w:rsidP="00AA4474">
      <w:pPr>
        <w:ind w:left="709" w:right="709"/>
        <w:contextualSpacing/>
        <w:jc w:val="both"/>
        <w:rPr>
          <w:rFonts w:ascii="Arial" w:eastAsia="Times New Roman" w:hAnsi="Arial" w:cs="Arial"/>
          <w:color w:val="000000" w:themeColor="text1"/>
          <w:sz w:val="21"/>
          <w:szCs w:val="21"/>
          <w:lang w:val="es-CO" w:eastAsia="es-CO"/>
        </w:rPr>
      </w:pPr>
    </w:p>
    <w:p w14:paraId="621372BC" w14:textId="77777777" w:rsidR="00AA4474" w:rsidRPr="00993367" w:rsidRDefault="00AA4474" w:rsidP="00AA4474">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d) EI Procurador General de la Nación, el Auditor General de la República, el Defensor del Pueblo, el Contralor General de la República y el Registrador Nacional del Estado Civil; </w:t>
      </w:r>
    </w:p>
    <w:p w14:paraId="1F258186" w14:textId="77777777" w:rsidR="00AA4474" w:rsidRPr="00993367" w:rsidRDefault="00AA4474" w:rsidP="00AA4474">
      <w:pPr>
        <w:ind w:left="709" w:right="709"/>
        <w:contextualSpacing/>
        <w:jc w:val="both"/>
        <w:rPr>
          <w:rFonts w:ascii="Arial" w:eastAsia="Times New Roman" w:hAnsi="Arial" w:cs="Arial"/>
          <w:color w:val="000000" w:themeColor="text1"/>
          <w:sz w:val="21"/>
          <w:szCs w:val="21"/>
          <w:lang w:val="es-CO" w:eastAsia="es-CO"/>
        </w:rPr>
      </w:pPr>
    </w:p>
    <w:p w14:paraId="7CE6A261" w14:textId="77777777" w:rsidR="00AA4474" w:rsidRPr="00993367" w:rsidRDefault="00AA4474" w:rsidP="00AA4474">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e) Los Ministros de Despacho, los Superintendentes, Directores de Departamentos Administrativos, Directores de Unidades Administrativas Especiales y, en general, quienes ejerzan cargos directivos y gerenciales en el Estado; </w:t>
      </w:r>
    </w:p>
    <w:p w14:paraId="36F065FD" w14:textId="77777777" w:rsidR="00AA4474" w:rsidRPr="00993367" w:rsidRDefault="00AA4474" w:rsidP="00AA4474">
      <w:pPr>
        <w:ind w:left="709" w:right="709"/>
        <w:contextualSpacing/>
        <w:jc w:val="both"/>
        <w:rPr>
          <w:rFonts w:ascii="Arial" w:eastAsia="Times New Roman" w:hAnsi="Arial" w:cs="Arial"/>
          <w:i/>
          <w:iCs/>
          <w:color w:val="000000" w:themeColor="text1"/>
          <w:sz w:val="21"/>
          <w:szCs w:val="21"/>
          <w:lang w:val="es-CO" w:eastAsia="es-CO"/>
        </w:rPr>
      </w:pPr>
    </w:p>
    <w:p w14:paraId="3F857367" w14:textId="77777777" w:rsidR="00AA4474" w:rsidRPr="0014067A" w:rsidRDefault="00AA4474" w:rsidP="00AA4474">
      <w:pPr>
        <w:ind w:left="709" w:right="709"/>
        <w:contextualSpacing/>
        <w:jc w:val="both"/>
        <w:rPr>
          <w:rFonts w:ascii="Arial" w:eastAsia="Times New Roman" w:hAnsi="Arial" w:cs="Arial"/>
          <w:i/>
          <w:iCs/>
          <w:color w:val="000000" w:themeColor="text1"/>
          <w:sz w:val="21"/>
          <w:szCs w:val="21"/>
          <w:lang w:val="es-CO" w:eastAsia="es-CO"/>
        </w:rPr>
      </w:pPr>
      <w:r w:rsidRPr="0014067A">
        <w:rPr>
          <w:rFonts w:ascii="Arial" w:eastAsia="Times New Roman" w:hAnsi="Arial" w:cs="Arial"/>
          <w:i/>
          <w:iCs/>
          <w:color w:val="000000" w:themeColor="text1"/>
          <w:sz w:val="21"/>
          <w:szCs w:val="21"/>
          <w:lang w:val="es-CO" w:eastAsia="es-CO"/>
        </w:rPr>
        <w:t>f) Las personas naturales y jurídicas, públicas o privadas, que presten función pública, que presten servicios públicos respecto de la información directamente relacionada con la prestación del servicio público; </w:t>
      </w:r>
    </w:p>
    <w:p w14:paraId="7DA8FDBF" w14:textId="77777777" w:rsidR="00AA4474" w:rsidRPr="0014067A" w:rsidRDefault="00AA4474" w:rsidP="00AA4474">
      <w:pPr>
        <w:ind w:left="709" w:right="709"/>
        <w:contextualSpacing/>
        <w:jc w:val="both"/>
        <w:rPr>
          <w:rFonts w:ascii="Arial" w:eastAsia="Times New Roman" w:hAnsi="Arial" w:cs="Arial"/>
          <w:i/>
          <w:iCs/>
          <w:color w:val="000000" w:themeColor="text1"/>
          <w:sz w:val="21"/>
          <w:szCs w:val="21"/>
          <w:lang w:val="es-CO" w:eastAsia="es-CO"/>
        </w:rPr>
      </w:pPr>
    </w:p>
    <w:p w14:paraId="571B8597" w14:textId="77777777" w:rsidR="00AA4474" w:rsidRPr="002E2A8A" w:rsidRDefault="00AA4474" w:rsidP="00AA4474">
      <w:pPr>
        <w:ind w:left="709" w:right="709"/>
        <w:contextualSpacing/>
        <w:jc w:val="both"/>
        <w:rPr>
          <w:rFonts w:ascii="Arial" w:eastAsia="Times New Roman" w:hAnsi="Arial" w:cs="Arial"/>
          <w:i/>
          <w:iCs/>
          <w:color w:val="000000" w:themeColor="text1"/>
          <w:sz w:val="21"/>
          <w:szCs w:val="21"/>
          <w:lang w:val="es-CO" w:eastAsia="es-CO"/>
        </w:rPr>
      </w:pPr>
      <w:r w:rsidRPr="0014067A">
        <w:rPr>
          <w:rFonts w:ascii="Arial" w:eastAsia="Times New Roman" w:hAnsi="Arial" w:cs="Arial"/>
          <w:i/>
          <w:iCs/>
          <w:color w:val="000000" w:themeColor="text1"/>
          <w:sz w:val="21"/>
          <w:szCs w:val="21"/>
          <w:lang w:val="es-CO" w:eastAsia="es-CO"/>
        </w:rPr>
        <w:t>g) Las personas naturales y jurídicas, públicas o privadas que administren, celebren contratos y ejecuten bienes o recursos públicos respecto de la información directamente relacionada con el desempeño de su función;</w:t>
      </w:r>
      <w:r w:rsidRPr="002E2A8A">
        <w:rPr>
          <w:rFonts w:ascii="Arial" w:eastAsia="Times New Roman" w:hAnsi="Arial" w:cs="Arial"/>
          <w:i/>
          <w:iCs/>
          <w:color w:val="000000" w:themeColor="text1"/>
          <w:sz w:val="21"/>
          <w:szCs w:val="21"/>
          <w:lang w:val="es-CO" w:eastAsia="es-CO"/>
        </w:rPr>
        <w:t> </w:t>
      </w:r>
    </w:p>
    <w:p w14:paraId="55E0DFC6" w14:textId="77777777" w:rsidR="00AA4474" w:rsidRPr="0014067A" w:rsidRDefault="00AA4474" w:rsidP="00AA4474">
      <w:pPr>
        <w:ind w:left="709" w:right="709"/>
        <w:contextualSpacing/>
        <w:jc w:val="both"/>
        <w:rPr>
          <w:rFonts w:ascii="Arial" w:eastAsia="Times New Roman" w:hAnsi="Arial" w:cs="Arial"/>
          <w:i/>
          <w:iCs/>
          <w:color w:val="000000" w:themeColor="text1"/>
          <w:sz w:val="21"/>
          <w:szCs w:val="21"/>
          <w:lang w:val="es-CO" w:eastAsia="es-CO"/>
        </w:rPr>
      </w:pPr>
    </w:p>
    <w:p w14:paraId="2EF59AAE" w14:textId="77777777" w:rsidR="00AA4474" w:rsidRPr="00993367" w:rsidRDefault="00AA4474" w:rsidP="00AA4474">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h) El Presidente de la República; </w:t>
      </w:r>
    </w:p>
    <w:p w14:paraId="1F3BC055" w14:textId="77777777" w:rsidR="00AA4474" w:rsidRPr="00993367" w:rsidRDefault="00AA4474" w:rsidP="00AA4474">
      <w:pPr>
        <w:ind w:left="709" w:right="709"/>
        <w:contextualSpacing/>
        <w:jc w:val="both"/>
        <w:rPr>
          <w:rFonts w:ascii="Arial" w:eastAsia="Times New Roman" w:hAnsi="Arial" w:cs="Arial"/>
          <w:color w:val="000000" w:themeColor="text1"/>
          <w:sz w:val="21"/>
          <w:szCs w:val="21"/>
          <w:lang w:val="es-CO" w:eastAsia="es-CO"/>
        </w:rPr>
      </w:pPr>
    </w:p>
    <w:p w14:paraId="524E3C6B" w14:textId="77777777" w:rsidR="00AA4474" w:rsidRPr="00993367" w:rsidRDefault="00AA4474" w:rsidP="00AA4474">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i) Al Gerente General del Banco de la República, de las CAR y los Consejos Directivos y Rectores y Directores de Universidades Públicas; </w:t>
      </w:r>
    </w:p>
    <w:p w14:paraId="1E70AFE9" w14:textId="77777777" w:rsidR="00AA4474" w:rsidRPr="00993367" w:rsidRDefault="00AA4474" w:rsidP="00AA4474">
      <w:pPr>
        <w:ind w:left="709" w:right="709"/>
        <w:contextualSpacing/>
        <w:jc w:val="both"/>
        <w:rPr>
          <w:rFonts w:ascii="Arial" w:eastAsia="Times New Roman" w:hAnsi="Arial" w:cs="Arial"/>
          <w:color w:val="000000" w:themeColor="text1"/>
          <w:sz w:val="21"/>
          <w:szCs w:val="21"/>
          <w:lang w:val="es-CO" w:eastAsia="es-CO"/>
        </w:rPr>
      </w:pPr>
    </w:p>
    <w:p w14:paraId="64194BB8" w14:textId="77777777" w:rsidR="00AA4474" w:rsidRPr="00993367" w:rsidRDefault="00AA4474" w:rsidP="00AA4474">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j) Los Directivos de las entidades adscritas o vinculadas a los Ministerios y Departamentos Administrativos, con personería jurídica; </w:t>
      </w:r>
    </w:p>
    <w:p w14:paraId="397AB606" w14:textId="77777777" w:rsidR="00AA4474" w:rsidRPr="00993367" w:rsidRDefault="00AA4474" w:rsidP="00AA4474">
      <w:pPr>
        <w:ind w:left="709" w:right="709"/>
        <w:contextualSpacing/>
        <w:jc w:val="both"/>
        <w:rPr>
          <w:rFonts w:ascii="Arial" w:eastAsia="Times New Roman" w:hAnsi="Arial" w:cs="Arial"/>
          <w:color w:val="000000" w:themeColor="text1"/>
          <w:sz w:val="21"/>
          <w:szCs w:val="21"/>
          <w:lang w:val="es-CO" w:eastAsia="es-CO"/>
        </w:rPr>
      </w:pPr>
    </w:p>
    <w:p w14:paraId="33A5D866" w14:textId="77777777" w:rsidR="00AA4474" w:rsidRPr="00993367" w:rsidRDefault="00AA4474" w:rsidP="00AA4474">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k) Embajadores y Cónsules de Colombia en el Exterior. </w:t>
      </w:r>
    </w:p>
    <w:p w14:paraId="7C6BA12F" w14:textId="77777777" w:rsidR="00AA4474" w:rsidRPr="00993367" w:rsidRDefault="00AA4474" w:rsidP="00AA4474">
      <w:pPr>
        <w:ind w:left="709" w:right="709"/>
        <w:contextualSpacing/>
        <w:jc w:val="both"/>
        <w:rPr>
          <w:rFonts w:ascii="Arial" w:eastAsia="Times New Roman" w:hAnsi="Arial" w:cs="Arial"/>
          <w:b/>
          <w:bCs/>
          <w:color w:val="000000" w:themeColor="text1"/>
          <w:sz w:val="21"/>
          <w:szCs w:val="21"/>
          <w:lang w:val="es-CO" w:eastAsia="es-CO"/>
        </w:rPr>
      </w:pPr>
    </w:p>
    <w:p w14:paraId="48138A00" w14:textId="77777777" w:rsidR="00AA4474" w:rsidRPr="00D6689C" w:rsidRDefault="00AA4474" w:rsidP="00AA4474">
      <w:pPr>
        <w:ind w:left="709" w:right="709"/>
        <w:contextualSpacing/>
        <w:jc w:val="both"/>
        <w:rPr>
          <w:rFonts w:ascii="Arial" w:eastAsia="Times New Roman" w:hAnsi="Arial" w:cs="Arial"/>
          <w:b/>
          <w:bCs/>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 xml:space="preserve">Parágrafo 1º. La publicación de esta información será requisito para posesionarse, ejercer y retirarse del cargo. </w:t>
      </w:r>
      <w:r w:rsidRPr="0014067A">
        <w:rPr>
          <w:rFonts w:ascii="Arial" w:eastAsia="Times New Roman" w:hAnsi="Arial" w:cs="Arial"/>
          <w:i/>
          <w:iCs/>
          <w:color w:val="000000" w:themeColor="text1"/>
          <w:sz w:val="21"/>
          <w:szCs w:val="21"/>
          <w:lang w:val="es-CO" w:eastAsia="es-CO"/>
        </w:rPr>
        <w:t>A quienes no aplica el ingreso y retiro del cargo, será requisito antes, durante y al término del ejercicio de la función pública, prestación de servicios públicos o administración de bienes o recursos públicos.</w:t>
      </w:r>
      <w:r w:rsidRPr="00D6689C">
        <w:rPr>
          <w:rFonts w:ascii="Arial" w:eastAsia="Times New Roman" w:hAnsi="Arial" w:cs="Arial"/>
          <w:b/>
          <w:bCs/>
          <w:color w:val="000000" w:themeColor="text1"/>
          <w:sz w:val="21"/>
          <w:szCs w:val="21"/>
          <w:lang w:val="es-CO" w:eastAsia="es-CO"/>
        </w:rPr>
        <w:t> </w:t>
      </w:r>
    </w:p>
    <w:p w14:paraId="30A1FAA4" w14:textId="77777777" w:rsidR="00AA4474" w:rsidRPr="00993367" w:rsidRDefault="00AA4474" w:rsidP="00AA4474">
      <w:pPr>
        <w:spacing w:after="120"/>
        <w:ind w:left="709" w:right="709"/>
        <w:contextualSpacing/>
        <w:jc w:val="both"/>
        <w:rPr>
          <w:rFonts w:ascii="Arial" w:eastAsia="Times New Roman" w:hAnsi="Arial" w:cs="Arial"/>
          <w:b/>
          <w:bCs/>
          <w:color w:val="000000" w:themeColor="text1"/>
          <w:sz w:val="21"/>
          <w:szCs w:val="21"/>
          <w:lang w:val="es-CO" w:eastAsia="es-CO"/>
        </w:rPr>
      </w:pPr>
    </w:p>
    <w:p w14:paraId="51193AD9" w14:textId="77777777" w:rsidR="00AA4474" w:rsidRPr="00993367" w:rsidRDefault="00AA4474" w:rsidP="00AA4474">
      <w:pPr>
        <w:spacing w:after="120"/>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Parágrafo 2º. 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 (Cursiva fuera del original)</w:t>
      </w:r>
    </w:p>
    <w:p w14:paraId="4FF3656E" w14:textId="77777777" w:rsidR="00AA4474" w:rsidRDefault="00AA4474" w:rsidP="00AA4474">
      <w:pPr>
        <w:spacing w:after="120"/>
        <w:ind w:right="709"/>
        <w:jc w:val="both"/>
        <w:rPr>
          <w:rFonts w:ascii="Arial" w:eastAsia="Times New Roman" w:hAnsi="Arial" w:cs="Arial"/>
          <w:b/>
          <w:bCs/>
          <w:color w:val="000000" w:themeColor="text1"/>
          <w:sz w:val="21"/>
          <w:szCs w:val="21"/>
          <w:lang w:val="es-CO" w:eastAsia="es-CO"/>
        </w:rPr>
      </w:pPr>
    </w:p>
    <w:p w14:paraId="47871B8E" w14:textId="77777777" w:rsidR="00AA4474" w:rsidRPr="0014067A" w:rsidRDefault="00AA4474" w:rsidP="00AA4474">
      <w:pPr>
        <w:spacing w:line="276" w:lineRule="auto"/>
        <w:ind w:firstLine="708"/>
        <w:jc w:val="both"/>
        <w:rPr>
          <w:rFonts w:ascii="Arial" w:eastAsia="Times New Roman" w:hAnsi="Arial" w:cs="Arial"/>
          <w:color w:val="000000" w:themeColor="text1"/>
          <w:sz w:val="21"/>
          <w:szCs w:val="21"/>
          <w:lang w:val="es-CO" w:eastAsia="es-CO"/>
        </w:rPr>
      </w:pPr>
      <w:r>
        <w:rPr>
          <w:rFonts w:ascii="Arial" w:eastAsia="Times New Roman" w:hAnsi="Arial" w:cs="Arial"/>
          <w:color w:val="000000" w:themeColor="text1"/>
          <w:sz w:val="21"/>
          <w:szCs w:val="21"/>
          <w:lang w:val="es-CO" w:eastAsia="es-CO"/>
        </w:rPr>
        <w:lastRenderedPageBreak/>
        <w:t>Como se advierte de la disposición citada, los literales f) y g), sobre los cuales el peticionario realiza su consulta, a diferencia de los demás, no se relacionan con servidores públicos, sino con otro tipo de sujetos, esto es, frente a ciertas personas naturales y jurídicas. Además, dichos literales deben interpretarse en armonía con el parágrafo 1, por lo que en los siguientes acápites se analizará su contenido y, particularmente, su ámbito de aplicación.</w:t>
      </w:r>
    </w:p>
    <w:p w14:paraId="22968986" w14:textId="77777777" w:rsidR="0050613F" w:rsidRPr="00993367" w:rsidRDefault="0050613F" w:rsidP="0050613F">
      <w:pPr>
        <w:spacing w:after="120"/>
        <w:ind w:right="709"/>
        <w:jc w:val="both"/>
        <w:rPr>
          <w:rFonts w:ascii="Arial" w:eastAsia="Times New Roman" w:hAnsi="Arial" w:cs="Arial"/>
          <w:b/>
          <w:bCs/>
          <w:color w:val="000000" w:themeColor="text1"/>
          <w:sz w:val="21"/>
          <w:szCs w:val="21"/>
          <w:lang w:val="es-CO" w:eastAsia="es-CO"/>
        </w:rPr>
      </w:pPr>
    </w:p>
    <w:p w14:paraId="2DD39631" w14:textId="14ECF585" w:rsidR="00C01853" w:rsidRDefault="00C01853" w:rsidP="00C01853">
      <w:pPr>
        <w:contextualSpacing/>
        <w:jc w:val="both"/>
        <w:rPr>
          <w:rFonts w:ascii="Arial" w:hAnsi="Arial" w:cs="Arial"/>
          <w:b/>
          <w:bCs/>
          <w:color w:val="000000" w:themeColor="text1"/>
          <w:sz w:val="22"/>
          <w:lang w:val="es-ES"/>
        </w:rPr>
      </w:pPr>
      <w:r w:rsidRPr="00373E13">
        <w:rPr>
          <w:rFonts w:ascii="Arial" w:hAnsi="Arial" w:cs="Arial"/>
          <w:b/>
          <w:bCs/>
          <w:noProof/>
          <w:sz w:val="22"/>
          <w:lang w:val="es-ES_tradnl"/>
        </w:rPr>
        <w:t>2.1.</w:t>
      </w:r>
      <w:r>
        <w:rPr>
          <w:rFonts w:ascii="Arial" w:hAnsi="Arial" w:cs="Arial"/>
          <w:b/>
          <w:bCs/>
          <w:noProof/>
          <w:sz w:val="22"/>
          <w:lang w:val="es-ES_tradnl"/>
        </w:rPr>
        <w:t xml:space="preserve"> Aplicación de los literales f) y g) a los Contratistas del Estado </w:t>
      </w:r>
    </w:p>
    <w:p w14:paraId="6193BBD1" w14:textId="77777777" w:rsidR="00C01853" w:rsidRPr="00C01853" w:rsidRDefault="00C01853" w:rsidP="00C01853">
      <w:pPr>
        <w:contextualSpacing/>
        <w:jc w:val="both"/>
        <w:rPr>
          <w:rFonts w:ascii="Arial" w:hAnsi="Arial" w:cs="Arial"/>
          <w:b/>
          <w:bCs/>
          <w:color w:val="000000" w:themeColor="text1"/>
          <w:sz w:val="22"/>
          <w:lang w:val="es-ES"/>
        </w:rPr>
      </w:pPr>
    </w:p>
    <w:p w14:paraId="33370D68" w14:textId="77777777" w:rsidR="00AA4474" w:rsidRPr="00993367" w:rsidRDefault="00AA4474" w:rsidP="00AA4474">
      <w:pPr>
        <w:spacing w:after="120" w:line="276" w:lineRule="auto"/>
        <w:jc w:val="both"/>
        <w:rPr>
          <w:rFonts w:ascii="Arial" w:hAnsi="Arial" w:cs="Arial"/>
          <w:color w:val="000000" w:themeColor="text1"/>
          <w:sz w:val="22"/>
          <w:lang w:val="es-ES"/>
        </w:rPr>
      </w:pPr>
      <w:r w:rsidRPr="00993367">
        <w:rPr>
          <w:rFonts w:ascii="Arial" w:hAnsi="Arial" w:cs="Arial"/>
          <w:color w:val="000000" w:themeColor="text1"/>
          <w:sz w:val="22"/>
          <w:lang w:val="es-ES"/>
        </w:rPr>
        <w:t xml:space="preserve">Teniendo en cuenta que </w:t>
      </w:r>
      <w:r>
        <w:rPr>
          <w:rFonts w:ascii="Arial" w:hAnsi="Arial" w:cs="Arial"/>
          <w:color w:val="000000" w:themeColor="text1"/>
          <w:sz w:val="22"/>
          <w:lang w:val="es-ES"/>
        </w:rPr>
        <w:t>los</w:t>
      </w:r>
      <w:r w:rsidRPr="00993367">
        <w:rPr>
          <w:rFonts w:ascii="Arial" w:hAnsi="Arial" w:cs="Arial"/>
          <w:color w:val="000000" w:themeColor="text1"/>
          <w:sz w:val="22"/>
          <w:lang w:val="es-ES"/>
        </w:rPr>
        <w:t xml:space="preserve"> interrogante</w:t>
      </w:r>
      <w:r>
        <w:rPr>
          <w:rFonts w:ascii="Arial" w:hAnsi="Arial" w:cs="Arial"/>
          <w:color w:val="000000" w:themeColor="text1"/>
          <w:sz w:val="22"/>
          <w:lang w:val="es-ES"/>
        </w:rPr>
        <w:t>s</w:t>
      </w:r>
      <w:r w:rsidRPr="00993367">
        <w:rPr>
          <w:rFonts w:ascii="Arial" w:hAnsi="Arial" w:cs="Arial"/>
          <w:color w:val="000000" w:themeColor="text1"/>
          <w:sz w:val="22"/>
          <w:lang w:val="es-ES"/>
        </w:rPr>
        <w:t xml:space="preserve"> de la </w:t>
      </w:r>
      <w:r>
        <w:rPr>
          <w:rFonts w:ascii="Arial" w:hAnsi="Arial" w:cs="Arial"/>
          <w:color w:val="000000" w:themeColor="text1"/>
          <w:sz w:val="22"/>
          <w:lang w:val="es-ES"/>
        </w:rPr>
        <w:t>consulta</w:t>
      </w:r>
      <w:r w:rsidRPr="00993367">
        <w:rPr>
          <w:rFonts w:ascii="Arial" w:hAnsi="Arial" w:cs="Arial"/>
          <w:color w:val="000000" w:themeColor="text1"/>
          <w:sz w:val="22"/>
          <w:lang w:val="es-ES"/>
        </w:rPr>
        <w:t xml:space="preserve"> </w:t>
      </w:r>
      <w:r>
        <w:rPr>
          <w:rFonts w:ascii="Arial" w:hAnsi="Arial" w:cs="Arial"/>
          <w:color w:val="000000" w:themeColor="text1"/>
          <w:sz w:val="22"/>
          <w:lang w:val="es-ES"/>
        </w:rPr>
        <w:t xml:space="preserve">se refieren a determinar qué </w:t>
      </w:r>
      <w:r w:rsidRPr="00993367">
        <w:rPr>
          <w:rFonts w:ascii="Arial" w:hAnsi="Arial" w:cs="Arial"/>
          <w:color w:val="000000" w:themeColor="text1"/>
          <w:sz w:val="22"/>
          <w:lang w:val="es-ES"/>
        </w:rPr>
        <w:t xml:space="preserve">contratistas del Estado se encuentran dentro del ámbito de aplicación de la Ley 2013 de 2019, es necesario estudiar cuáles son los particulares que se enmarcan </w:t>
      </w:r>
      <w:r>
        <w:rPr>
          <w:rFonts w:ascii="Arial" w:hAnsi="Arial" w:cs="Arial"/>
          <w:color w:val="000000" w:themeColor="text1"/>
          <w:sz w:val="22"/>
          <w:lang w:val="es-ES"/>
        </w:rPr>
        <w:t>en</w:t>
      </w:r>
      <w:r w:rsidRPr="00993367">
        <w:rPr>
          <w:rFonts w:ascii="Arial" w:hAnsi="Arial" w:cs="Arial"/>
          <w:color w:val="000000" w:themeColor="text1"/>
          <w:sz w:val="22"/>
          <w:lang w:val="es-ES"/>
        </w:rPr>
        <w:t xml:space="preserve"> los literales f) y g), particularmente en el segundo, por ser los que tendrían una relación más cercana con los contratistas del Estado, porque es evidente que no existe vínculo frente a los demás sujetos enlistados en el artículo 2.</w:t>
      </w:r>
    </w:p>
    <w:p w14:paraId="620A1417" w14:textId="77777777" w:rsidR="00AA4474" w:rsidRPr="00993367" w:rsidRDefault="00AA4474" w:rsidP="00AA4474">
      <w:pPr>
        <w:spacing w:after="120" w:line="276" w:lineRule="auto"/>
        <w:jc w:val="both"/>
        <w:rPr>
          <w:rFonts w:ascii="Arial" w:hAnsi="Arial" w:cs="Arial"/>
          <w:color w:val="000000" w:themeColor="text1"/>
          <w:sz w:val="22"/>
          <w:lang w:val="es-ES"/>
        </w:rPr>
      </w:pPr>
      <w:r w:rsidRPr="00993367">
        <w:rPr>
          <w:rFonts w:ascii="Arial" w:hAnsi="Arial" w:cs="Arial"/>
          <w:color w:val="000000" w:themeColor="text1"/>
          <w:sz w:val="22"/>
          <w:lang w:val="es-ES"/>
        </w:rPr>
        <w:tab/>
        <w:t>El literal f) es uno de los que enuncia a personas naturales y jurídicas particulares ―aunque también públicas―. Si bien no supedita la aplicación a que exista una relación contractual, se enfoca en definir algunos sujetos obligados por la ejecución de ciertas actividades, es decir, desde un criterio funcional. En este sentido, dichas actividades se podrían realizar directamente por un particular en virtud de una autorización legal u otro mecanismo, pero también podría aplicar a particulares que cumplan dichas actividades con fundamento en una relación contractual.</w:t>
      </w:r>
    </w:p>
    <w:p w14:paraId="37B190DF" w14:textId="77777777" w:rsidR="00AA4474" w:rsidRPr="00993367" w:rsidRDefault="00AA4474" w:rsidP="00AA4474">
      <w:pPr>
        <w:spacing w:line="276" w:lineRule="auto"/>
        <w:jc w:val="both"/>
        <w:rPr>
          <w:rFonts w:ascii="Arial" w:hAnsi="Arial" w:cs="Arial"/>
          <w:color w:val="000000" w:themeColor="text1"/>
          <w:sz w:val="22"/>
          <w:lang w:val="es-ES"/>
        </w:rPr>
      </w:pPr>
      <w:r w:rsidRPr="00993367">
        <w:rPr>
          <w:rFonts w:ascii="Arial" w:hAnsi="Arial" w:cs="Arial"/>
          <w:color w:val="000000" w:themeColor="text1"/>
          <w:sz w:val="22"/>
          <w:lang w:val="es-ES"/>
        </w:rPr>
        <w:tab/>
        <w:t xml:space="preserve">Ahora bien, las actividades mediante las cuales se podría vincular a un particular al ámbito de aplicación serían por la prestación de </w:t>
      </w:r>
      <w:proofErr w:type="gramStart"/>
      <w:r w:rsidRPr="00993367">
        <w:rPr>
          <w:rFonts w:ascii="Arial" w:hAnsi="Arial" w:cs="Arial"/>
          <w:color w:val="000000" w:themeColor="text1"/>
          <w:sz w:val="22"/>
          <w:lang w:val="es-ES"/>
        </w:rPr>
        <w:t>función pública o servicios públicos</w:t>
      </w:r>
      <w:proofErr w:type="gramEnd"/>
      <w:r w:rsidRPr="00993367">
        <w:rPr>
          <w:rFonts w:ascii="Arial" w:hAnsi="Arial" w:cs="Arial"/>
          <w:color w:val="000000" w:themeColor="text1"/>
          <w:sz w:val="22"/>
          <w:lang w:val="es-ES"/>
        </w:rPr>
        <w:t>. En relación con el ejercicio de funciones públicas por parte de particulares y, en específico, por los contratistas del Estado, la Corte Constitucional en sentencia C-563 de 1998 expresó que por regla general no cumplen función pública, salvo supuestos excepcionales, ya que lo normal es que con la relación contractual no se transfieren funciones públicas a los particulares, sino que se les encomienda la ejecución material de un objeto contractual</w:t>
      </w:r>
      <w:r>
        <w:rPr>
          <w:rFonts w:ascii="Arial" w:hAnsi="Arial" w:cs="Arial"/>
          <w:color w:val="000000" w:themeColor="text1"/>
          <w:sz w:val="22"/>
          <w:lang w:val="es-ES"/>
        </w:rPr>
        <w:t>.</w:t>
      </w:r>
      <w:r w:rsidRPr="00993367">
        <w:rPr>
          <w:rFonts w:ascii="Arial" w:hAnsi="Arial" w:cs="Arial"/>
          <w:color w:val="000000" w:themeColor="text1"/>
          <w:sz w:val="22"/>
          <w:lang w:val="es-ES"/>
        </w:rPr>
        <w:t xml:space="preserve"> </w:t>
      </w:r>
      <w:r>
        <w:rPr>
          <w:rFonts w:ascii="Arial" w:hAnsi="Arial" w:cs="Arial"/>
          <w:color w:val="000000" w:themeColor="text1"/>
          <w:sz w:val="22"/>
          <w:lang w:val="es-ES"/>
        </w:rPr>
        <w:t>S</w:t>
      </w:r>
      <w:r w:rsidRPr="00993367">
        <w:rPr>
          <w:rFonts w:ascii="Arial" w:hAnsi="Arial" w:cs="Arial"/>
          <w:color w:val="000000" w:themeColor="text1"/>
          <w:sz w:val="22"/>
          <w:lang w:val="es-ES"/>
        </w:rPr>
        <w:t xml:space="preserve">in embargo, </w:t>
      </w:r>
      <w:r>
        <w:rPr>
          <w:rFonts w:ascii="Arial" w:hAnsi="Arial" w:cs="Arial"/>
          <w:color w:val="000000" w:themeColor="text1"/>
          <w:sz w:val="22"/>
          <w:lang w:val="es-ES"/>
        </w:rPr>
        <w:t xml:space="preserve">en esa decisión judicial </w:t>
      </w:r>
      <w:r w:rsidRPr="00993367">
        <w:rPr>
          <w:rFonts w:ascii="Arial" w:hAnsi="Arial" w:cs="Arial"/>
          <w:color w:val="000000" w:themeColor="text1"/>
          <w:sz w:val="22"/>
          <w:lang w:val="es-ES"/>
        </w:rPr>
        <w:t>reconoce que en casos muy concretos se puede atribuir función pública mediante un contrato con un particular</w:t>
      </w:r>
      <w:r>
        <w:rPr>
          <w:rFonts w:ascii="Arial" w:hAnsi="Arial" w:cs="Arial"/>
          <w:color w:val="000000" w:themeColor="text1"/>
          <w:sz w:val="22"/>
          <w:lang w:val="es-ES"/>
        </w:rPr>
        <w:t>, en los siguientes términos</w:t>
      </w:r>
      <w:r w:rsidRPr="00993367">
        <w:rPr>
          <w:rFonts w:ascii="Arial" w:hAnsi="Arial" w:cs="Arial"/>
          <w:color w:val="000000" w:themeColor="text1"/>
          <w:sz w:val="22"/>
          <w:lang w:val="es-ES"/>
        </w:rPr>
        <w:t>:</w:t>
      </w:r>
    </w:p>
    <w:p w14:paraId="320F7EAC" w14:textId="77777777" w:rsidR="00AA4474" w:rsidRPr="00993367" w:rsidRDefault="00AA4474" w:rsidP="00AA4474">
      <w:pPr>
        <w:spacing w:line="276" w:lineRule="auto"/>
        <w:jc w:val="both"/>
        <w:rPr>
          <w:rFonts w:ascii="Arial" w:hAnsi="Arial" w:cs="Arial"/>
          <w:color w:val="000000" w:themeColor="text1"/>
          <w:sz w:val="22"/>
          <w:lang w:val="es-ES"/>
        </w:rPr>
      </w:pPr>
    </w:p>
    <w:p w14:paraId="177B6727" w14:textId="77777777" w:rsidR="00AA4474" w:rsidRPr="00993367" w:rsidRDefault="00AA4474" w:rsidP="00AA4474">
      <w:pPr>
        <w:spacing w:after="120"/>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 xml:space="preserve">Sin embargo, conviene advertir que el contrato excepcionalmente puede constituir una forma, autorizada por la ley, de atribuir funciones públicas a un particular; ello acontece cuando la labor del contratista no se traduce y se agota con la simple ejecución material de una labor o prestación específicas, sino en el desarrollo de cometidos estatales que comportan la asunción de prerrogativas propias del poder público, </w:t>
      </w:r>
      <w:r w:rsidRPr="00993367">
        <w:rPr>
          <w:rFonts w:ascii="Arial" w:eastAsia="Times New Roman" w:hAnsi="Arial" w:cs="Arial"/>
          <w:i/>
          <w:iCs/>
          <w:color w:val="000000" w:themeColor="text1"/>
          <w:sz w:val="21"/>
          <w:szCs w:val="21"/>
          <w:lang w:val="es-CO" w:eastAsia="es-CO"/>
        </w:rPr>
        <w:t xml:space="preserve">como ocurre en los casos en que adquiere el carácter de concesionario, o administrador delegado o se le encomienda la prestación </w:t>
      </w:r>
      <w:r w:rsidRPr="00993367">
        <w:rPr>
          <w:rFonts w:ascii="Arial" w:eastAsia="Times New Roman" w:hAnsi="Arial" w:cs="Arial"/>
          <w:i/>
          <w:iCs/>
          <w:color w:val="000000" w:themeColor="text1"/>
          <w:sz w:val="21"/>
          <w:szCs w:val="21"/>
          <w:lang w:val="es-CO" w:eastAsia="es-CO"/>
        </w:rPr>
        <w:lastRenderedPageBreak/>
        <w:t xml:space="preserve">de un servicio público a cargo del Estado, o el recaudo de caudales o el manejo de bienes públicos, </w:t>
      </w:r>
      <w:proofErr w:type="spellStart"/>
      <w:r w:rsidRPr="00993367">
        <w:rPr>
          <w:rFonts w:ascii="Arial" w:eastAsia="Times New Roman" w:hAnsi="Arial" w:cs="Arial"/>
          <w:i/>
          <w:iCs/>
          <w:color w:val="000000" w:themeColor="text1"/>
          <w:sz w:val="21"/>
          <w:szCs w:val="21"/>
          <w:lang w:val="es-CO" w:eastAsia="es-CO"/>
        </w:rPr>
        <w:t>etc</w:t>
      </w:r>
      <w:proofErr w:type="spellEnd"/>
      <w:r w:rsidRPr="00993367">
        <w:rPr>
          <w:rStyle w:val="Refdenotaalpie"/>
          <w:rFonts w:ascii="Arial" w:eastAsia="Times New Roman" w:hAnsi="Arial" w:cs="Arial"/>
          <w:color w:val="000000" w:themeColor="text1"/>
          <w:sz w:val="21"/>
          <w:szCs w:val="21"/>
          <w:lang w:val="es-CO" w:eastAsia="es-CO"/>
        </w:rPr>
        <w:footnoteReference w:id="2"/>
      </w:r>
      <w:r w:rsidRPr="00993367">
        <w:rPr>
          <w:rFonts w:ascii="Arial" w:eastAsia="Times New Roman" w:hAnsi="Arial" w:cs="Arial"/>
          <w:color w:val="000000" w:themeColor="text1"/>
          <w:sz w:val="21"/>
          <w:szCs w:val="21"/>
          <w:lang w:val="es-CO" w:eastAsia="es-CO"/>
        </w:rPr>
        <w:t>.</w:t>
      </w:r>
    </w:p>
    <w:p w14:paraId="7430EE66" w14:textId="77777777" w:rsidR="00AA4474" w:rsidRPr="00993367" w:rsidRDefault="00AA4474" w:rsidP="00AA4474">
      <w:pPr>
        <w:spacing w:after="120" w:line="276" w:lineRule="auto"/>
        <w:jc w:val="both"/>
        <w:rPr>
          <w:rFonts w:ascii="Arial" w:hAnsi="Arial" w:cs="Arial"/>
          <w:color w:val="000000" w:themeColor="text1"/>
          <w:sz w:val="22"/>
          <w:lang w:val="es-ES"/>
        </w:rPr>
      </w:pPr>
    </w:p>
    <w:p w14:paraId="1436B7D8" w14:textId="77777777" w:rsidR="00AA4474" w:rsidRPr="00993367" w:rsidRDefault="00AA4474" w:rsidP="00AA4474">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t>Ahora bien, se reitera que lo expresado en la cita anterior es lo excepcional, pues lo normal es que mediante los contratos que celebra el Estado no exista atribución de funciones públicas, constituyéndose el particular en un colaborador de la entidad, pero sin ser un delegatario o receptor de tales funciones</w:t>
      </w:r>
      <w:r w:rsidRPr="00993367">
        <w:rPr>
          <w:rStyle w:val="Refdenotaalpie"/>
          <w:rFonts w:ascii="Arial" w:hAnsi="Arial" w:cs="Arial"/>
          <w:color w:val="000000" w:themeColor="text1"/>
          <w:sz w:val="22"/>
          <w:lang w:val="es-ES"/>
        </w:rPr>
        <w:footnoteReference w:id="3"/>
      </w:r>
      <w:r w:rsidRPr="00993367">
        <w:rPr>
          <w:rFonts w:ascii="Arial" w:hAnsi="Arial" w:cs="Arial"/>
          <w:color w:val="000000" w:themeColor="text1"/>
          <w:sz w:val="22"/>
          <w:lang w:val="es-ES"/>
        </w:rPr>
        <w:t>. En este sentido, solo en los supuestos en que el contratista cumpla funciones públicas o preste servicios públicos, que son casos excepcionales, será un sujeto obligado en los términos de la Ley 2013 de 2019.</w:t>
      </w:r>
    </w:p>
    <w:p w14:paraId="12378574" w14:textId="77777777" w:rsidR="00AA4474" w:rsidRPr="00993367" w:rsidRDefault="00AA4474" w:rsidP="00AA4474">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t>A modo de ejemplo, frente a los contratos de prestación de servicios profesionales y de apoyo a la gestión, aspecto dudoso frente al tipo de actividades que cumplen estos contratistas, el Consejo de Estado es enfático en señalar que dichos particulares no cumplen funciones públicas, ni administrativas, sino que simplemente colaboran en su ejercicio, pero sin ejercer directamente este tipo de funciones, que se mantienen radicadas en las entidades contratantes</w:t>
      </w:r>
      <w:r w:rsidRPr="00993367">
        <w:rPr>
          <w:rStyle w:val="Refdenotaalpie"/>
          <w:rFonts w:ascii="Arial" w:hAnsi="Arial" w:cs="Arial"/>
          <w:color w:val="000000" w:themeColor="text1"/>
          <w:sz w:val="22"/>
          <w:lang w:val="es-ES"/>
        </w:rPr>
        <w:footnoteReference w:id="4"/>
      </w:r>
      <w:r w:rsidRPr="00993367">
        <w:rPr>
          <w:rFonts w:ascii="Arial" w:hAnsi="Arial" w:cs="Arial"/>
          <w:color w:val="000000" w:themeColor="text1"/>
          <w:sz w:val="22"/>
          <w:lang w:val="es-ES"/>
        </w:rPr>
        <w:t xml:space="preserve">. </w:t>
      </w:r>
    </w:p>
    <w:p w14:paraId="77077E84" w14:textId="77777777" w:rsidR="00AA4474" w:rsidRPr="00993367" w:rsidRDefault="00AA4474" w:rsidP="00AA4474">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lastRenderedPageBreak/>
        <w:t>Analizado que por regla general los contratistas del Estado no son sujetos obligados en virtud del literal f) del artículo 2, corresponde realizar el mismo estudio en relación con el literal g), que establece: «Las personas naturales y jurídicas, públicas o privadas que administren, celebren contratos y ejecuten bienes o recursos públicos respecto de la información directamente relacionada con el desempeño de su función».</w:t>
      </w:r>
    </w:p>
    <w:p w14:paraId="758D83D0" w14:textId="77777777" w:rsidR="00AA4474" w:rsidRPr="00993367" w:rsidRDefault="00AA4474" w:rsidP="00AA4474">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t xml:space="preserve">De una interpretación desprevenida de la norma se podría interpretar que cualquier contratista del Estado sería un sujeto obligado, lo que se </w:t>
      </w:r>
      <w:r>
        <w:rPr>
          <w:rFonts w:ascii="Arial" w:hAnsi="Arial" w:cs="Arial"/>
          <w:color w:val="000000" w:themeColor="text1"/>
          <w:sz w:val="22"/>
          <w:lang w:val="es-ES"/>
        </w:rPr>
        <w:t xml:space="preserve">podría </w:t>
      </w:r>
      <w:r w:rsidRPr="00993367">
        <w:rPr>
          <w:rFonts w:ascii="Arial" w:hAnsi="Arial" w:cs="Arial"/>
          <w:color w:val="000000" w:themeColor="text1"/>
          <w:sz w:val="22"/>
          <w:lang w:val="es-ES"/>
        </w:rPr>
        <w:t xml:space="preserve">derivar de una lectura aislada </w:t>
      </w:r>
      <w:r>
        <w:rPr>
          <w:rFonts w:ascii="Arial" w:hAnsi="Arial" w:cs="Arial"/>
          <w:color w:val="000000" w:themeColor="text1"/>
          <w:sz w:val="22"/>
          <w:lang w:val="es-ES"/>
        </w:rPr>
        <w:t xml:space="preserve">que haga énfasis en el </w:t>
      </w:r>
      <w:r w:rsidRPr="00993367">
        <w:rPr>
          <w:rFonts w:ascii="Arial" w:hAnsi="Arial" w:cs="Arial"/>
          <w:color w:val="000000" w:themeColor="text1"/>
          <w:sz w:val="22"/>
          <w:lang w:val="es-ES"/>
        </w:rPr>
        <w:t>siguiente</w:t>
      </w:r>
      <w:r>
        <w:rPr>
          <w:rFonts w:ascii="Arial" w:hAnsi="Arial" w:cs="Arial"/>
          <w:color w:val="000000" w:themeColor="text1"/>
          <w:sz w:val="22"/>
          <w:lang w:val="es-ES"/>
        </w:rPr>
        <w:t xml:space="preserve"> apartado normativo</w:t>
      </w:r>
      <w:r w:rsidRPr="00993367">
        <w:rPr>
          <w:rFonts w:ascii="Arial" w:hAnsi="Arial" w:cs="Arial"/>
          <w:color w:val="000000" w:themeColor="text1"/>
          <w:sz w:val="22"/>
          <w:lang w:val="es-ES"/>
        </w:rPr>
        <w:t xml:space="preserve">: «Las personas naturales y jurídicas que celebren contratos». Sin embargo, </w:t>
      </w:r>
      <w:r>
        <w:rPr>
          <w:rFonts w:ascii="Arial" w:hAnsi="Arial" w:cs="Arial"/>
          <w:color w:val="000000" w:themeColor="text1"/>
          <w:sz w:val="22"/>
          <w:lang w:val="es-ES"/>
        </w:rPr>
        <w:t xml:space="preserve">como se explicará, tal </w:t>
      </w:r>
      <w:r w:rsidRPr="00993367">
        <w:rPr>
          <w:rFonts w:ascii="Arial" w:hAnsi="Arial" w:cs="Arial"/>
          <w:color w:val="000000" w:themeColor="text1"/>
          <w:sz w:val="22"/>
          <w:lang w:val="es-ES"/>
        </w:rPr>
        <w:t xml:space="preserve">interpretación </w:t>
      </w:r>
      <w:r>
        <w:rPr>
          <w:rFonts w:ascii="Arial" w:hAnsi="Arial" w:cs="Arial"/>
          <w:color w:val="000000" w:themeColor="text1"/>
          <w:sz w:val="22"/>
          <w:lang w:val="es-ES"/>
        </w:rPr>
        <w:t>es</w:t>
      </w:r>
      <w:r w:rsidRPr="00993367">
        <w:rPr>
          <w:rFonts w:ascii="Arial" w:hAnsi="Arial" w:cs="Arial"/>
          <w:color w:val="000000" w:themeColor="text1"/>
          <w:sz w:val="22"/>
          <w:lang w:val="es-ES"/>
        </w:rPr>
        <w:t xml:space="preserve"> errada, </w:t>
      </w:r>
      <w:r>
        <w:rPr>
          <w:rFonts w:ascii="Arial" w:hAnsi="Arial" w:cs="Arial"/>
          <w:color w:val="000000" w:themeColor="text1"/>
          <w:sz w:val="22"/>
          <w:lang w:val="es-ES"/>
        </w:rPr>
        <w:t>toda vez que dicho literal debe interpretarse de forma contextualizada y armónica, teniendo en cuenta el contenido completo del literal y lo señalado en el parágrafo primero, por lo que mediante estos razonamientos se llegará a la conclusión que</w:t>
      </w:r>
      <w:r w:rsidRPr="00993367">
        <w:rPr>
          <w:rFonts w:ascii="Arial" w:hAnsi="Arial" w:cs="Arial"/>
          <w:color w:val="000000" w:themeColor="text1"/>
          <w:sz w:val="22"/>
          <w:lang w:val="es-ES"/>
        </w:rPr>
        <w:t xml:space="preserve"> los sujetos obligados por dicho literal son las personas naturales o jurídicas que administren bienes o recursos públicos. </w:t>
      </w:r>
      <w:r>
        <w:rPr>
          <w:rFonts w:ascii="Arial" w:hAnsi="Arial" w:cs="Arial"/>
          <w:color w:val="000000" w:themeColor="text1"/>
          <w:sz w:val="22"/>
          <w:lang w:val="es-ES"/>
        </w:rPr>
        <w:t>De esta manera, a</w:t>
      </w:r>
      <w:r w:rsidRPr="00993367">
        <w:rPr>
          <w:rFonts w:ascii="Arial" w:hAnsi="Arial" w:cs="Arial"/>
          <w:color w:val="000000" w:themeColor="text1"/>
          <w:sz w:val="22"/>
          <w:lang w:val="es-ES"/>
        </w:rPr>
        <w:t xml:space="preserve"> continuación, se </w:t>
      </w:r>
      <w:r>
        <w:rPr>
          <w:rFonts w:ascii="Arial" w:hAnsi="Arial" w:cs="Arial"/>
          <w:color w:val="000000" w:themeColor="text1"/>
          <w:sz w:val="22"/>
          <w:lang w:val="es-ES"/>
        </w:rPr>
        <w:t>expondrán los fundamentos</w:t>
      </w:r>
      <w:r w:rsidRPr="00993367">
        <w:rPr>
          <w:rFonts w:ascii="Arial" w:hAnsi="Arial" w:cs="Arial"/>
          <w:color w:val="000000" w:themeColor="text1"/>
          <w:sz w:val="22"/>
          <w:lang w:val="es-ES"/>
        </w:rPr>
        <w:t xml:space="preserve"> para llegar a dicha conclusión, lo que implica excluir, en términos generales, a los contratistas del Estado, para incluir </w:t>
      </w:r>
      <w:r>
        <w:rPr>
          <w:rFonts w:ascii="Arial" w:hAnsi="Arial" w:cs="Arial"/>
          <w:color w:val="000000" w:themeColor="text1"/>
          <w:sz w:val="22"/>
          <w:lang w:val="es-ES"/>
        </w:rPr>
        <w:t xml:space="preserve">como sujetos obligados solo a </w:t>
      </w:r>
      <w:r w:rsidRPr="00993367">
        <w:rPr>
          <w:rFonts w:ascii="Arial" w:hAnsi="Arial" w:cs="Arial"/>
          <w:color w:val="000000" w:themeColor="text1"/>
          <w:sz w:val="22"/>
          <w:lang w:val="es-ES"/>
        </w:rPr>
        <w:t xml:space="preserve">aquellos que administren </w:t>
      </w:r>
      <w:r>
        <w:rPr>
          <w:rFonts w:ascii="Arial" w:hAnsi="Arial" w:cs="Arial"/>
          <w:color w:val="000000" w:themeColor="text1"/>
          <w:sz w:val="22"/>
          <w:lang w:val="es-ES"/>
        </w:rPr>
        <w:t xml:space="preserve">bienes o </w:t>
      </w:r>
      <w:r w:rsidRPr="00993367">
        <w:rPr>
          <w:rFonts w:ascii="Arial" w:hAnsi="Arial" w:cs="Arial"/>
          <w:color w:val="000000" w:themeColor="text1"/>
          <w:sz w:val="22"/>
          <w:lang w:val="es-ES"/>
        </w:rPr>
        <w:t xml:space="preserve">recursos públicos. </w:t>
      </w:r>
    </w:p>
    <w:p w14:paraId="5106B820" w14:textId="77777777" w:rsidR="00AA4474" w:rsidRPr="00993367" w:rsidRDefault="00AA4474" w:rsidP="00AA4474">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t xml:space="preserve">i) </w:t>
      </w:r>
      <w:r>
        <w:rPr>
          <w:rFonts w:ascii="Arial" w:hAnsi="Arial" w:cs="Arial"/>
          <w:color w:val="000000" w:themeColor="text1"/>
          <w:sz w:val="22"/>
          <w:lang w:val="es-ES"/>
        </w:rPr>
        <w:t>De forma preliminar e introductoria, cabría en primer lugar descartar la posible interpretación desprevenida y errónea señalada en el párrafo anterior</w:t>
      </w:r>
      <w:r w:rsidRPr="00993367">
        <w:rPr>
          <w:rFonts w:ascii="Arial" w:hAnsi="Arial" w:cs="Arial"/>
          <w:color w:val="000000" w:themeColor="text1"/>
          <w:sz w:val="22"/>
          <w:lang w:val="es-ES"/>
        </w:rPr>
        <w:t>. En este sentido, si se realiza</w:t>
      </w:r>
      <w:r>
        <w:rPr>
          <w:rFonts w:ascii="Arial" w:hAnsi="Arial" w:cs="Arial"/>
          <w:color w:val="000000" w:themeColor="text1"/>
          <w:sz w:val="22"/>
          <w:lang w:val="es-ES"/>
        </w:rPr>
        <w:t>ra</w:t>
      </w:r>
      <w:r w:rsidRPr="00993367">
        <w:rPr>
          <w:rFonts w:ascii="Arial" w:hAnsi="Arial" w:cs="Arial"/>
          <w:color w:val="000000" w:themeColor="text1"/>
          <w:sz w:val="22"/>
          <w:lang w:val="es-ES"/>
        </w:rPr>
        <w:t xml:space="preserve"> una interpretación ligera y aislada del contexto de la norma, se llega</w:t>
      </w:r>
      <w:r>
        <w:rPr>
          <w:rFonts w:ascii="Arial" w:hAnsi="Arial" w:cs="Arial"/>
          <w:color w:val="000000" w:themeColor="text1"/>
          <w:sz w:val="22"/>
          <w:lang w:val="es-ES"/>
        </w:rPr>
        <w:t>ría</w:t>
      </w:r>
      <w:r w:rsidRPr="00993367">
        <w:rPr>
          <w:rFonts w:ascii="Arial" w:hAnsi="Arial" w:cs="Arial"/>
          <w:color w:val="000000" w:themeColor="text1"/>
          <w:sz w:val="22"/>
          <w:lang w:val="es-ES"/>
        </w:rPr>
        <w:t xml:space="preserve"> a la conclusión absurda de que cualquier persona natural o jurídica que «celebre contratos» sería un sujeto obligado. En efecto, esta interpretación incluiría a los particulares que celebren contratos entre sí, incluso en ausencia del Estado, mediante alguna de sus entidades, como una de las partes del contrato.</w:t>
      </w:r>
    </w:p>
    <w:p w14:paraId="09D27D51" w14:textId="77777777" w:rsidR="00AA4474" w:rsidRDefault="00AA4474" w:rsidP="00AA4474">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t>Como se observa, esta sería la conclusión de interpretar de forma aislada el aparte de la norma referido a quienes «celebren contratos». En tal sentido, se considera que la norma al referirse a aquellos sujetos que celebren contratos alude únicamente a los que en virtud de dichos negocios jurídicos administren bienes o recursos públicos, que es el contenido material en torno al cual gira el literal g).</w:t>
      </w:r>
    </w:p>
    <w:p w14:paraId="6B1E5029" w14:textId="77777777" w:rsidR="00AA4474" w:rsidRPr="00993367" w:rsidRDefault="00AA4474" w:rsidP="00AA4474">
      <w:pPr>
        <w:spacing w:after="120" w:line="276" w:lineRule="auto"/>
        <w:ind w:firstLine="708"/>
        <w:jc w:val="both"/>
        <w:rPr>
          <w:rFonts w:ascii="Arial" w:hAnsi="Arial" w:cs="Arial"/>
          <w:color w:val="000000" w:themeColor="text1"/>
          <w:sz w:val="22"/>
          <w:lang w:val="es-ES"/>
        </w:rPr>
      </w:pPr>
      <w:r>
        <w:rPr>
          <w:rFonts w:ascii="Arial" w:hAnsi="Arial" w:cs="Arial"/>
          <w:color w:val="000000" w:themeColor="text1"/>
          <w:sz w:val="22"/>
          <w:lang w:val="es-ES"/>
        </w:rPr>
        <w:t>En este sentido, descartar esta interpretación por ser excesivamente amplia y contener supuestos que evidentemente el legislador no consideraba necesario incluir, constituye un primer paso para proponer una interpretación armónica del literal estudiado, que resulte conforme con el restante contenido del literal g) y, en general, con el artículo segundo, donde resulta especialmente relevante lo prescrito en el parágrafo primero.</w:t>
      </w:r>
    </w:p>
    <w:p w14:paraId="04F61688" w14:textId="77777777" w:rsidR="00AA4474" w:rsidRPr="00993367" w:rsidRDefault="00AA4474" w:rsidP="00AA4474">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lastRenderedPageBreak/>
        <w:t xml:space="preserve">ii) </w:t>
      </w:r>
      <w:r>
        <w:rPr>
          <w:rFonts w:ascii="Arial" w:hAnsi="Arial" w:cs="Arial"/>
          <w:color w:val="000000" w:themeColor="text1"/>
          <w:sz w:val="22"/>
          <w:lang w:val="es-ES"/>
        </w:rPr>
        <w:t xml:space="preserve">En efecto, la </w:t>
      </w:r>
      <w:r w:rsidRPr="00993367">
        <w:rPr>
          <w:rFonts w:ascii="Arial" w:hAnsi="Arial" w:cs="Arial"/>
          <w:color w:val="000000" w:themeColor="text1"/>
          <w:sz w:val="22"/>
          <w:lang w:val="es-ES"/>
        </w:rPr>
        <w:t xml:space="preserve">interpretación </w:t>
      </w:r>
      <w:r>
        <w:rPr>
          <w:rFonts w:ascii="Arial" w:hAnsi="Arial" w:cs="Arial"/>
          <w:color w:val="000000" w:themeColor="text1"/>
          <w:sz w:val="22"/>
          <w:lang w:val="es-ES"/>
        </w:rPr>
        <w:t xml:space="preserve">propuesta en el sentido de que el literal g) solo acogería a las personas naturales y jurídicas que administren bienes o recursos públicos </w:t>
      </w:r>
      <w:r w:rsidRPr="00993367">
        <w:rPr>
          <w:rFonts w:ascii="Arial" w:hAnsi="Arial" w:cs="Arial"/>
          <w:color w:val="000000" w:themeColor="text1"/>
          <w:sz w:val="22"/>
          <w:lang w:val="es-ES"/>
        </w:rPr>
        <w:t xml:space="preserve">se hace más evidente si se revisa el parágrafo primero del artículo 2, que concreta la forma como se cumple la obligación de publicar la información proactivamente. Como se indicó, la mayoría de sujetos obligados que contempla la ley son servidores públicos, de allí que cuando el parágrafo 2 prescribe: «La publicación de esta información será requisito para posesionarse, ejercer y retirarse del cargo», se está refiriendo a los servidores del Estado; mientras que tratándose de </w:t>
      </w:r>
      <w:r>
        <w:rPr>
          <w:rFonts w:ascii="Arial" w:hAnsi="Arial" w:cs="Arial"/>
          <w:color w:val="000000" w:themeColor="text1"/>
          <w:sz w:val="22"/>
          <w:lang w:val="es-ES"/>
        </w:rPr>
        <w:t xml:space="preserve">otras personas naturales y jurídicas, dentro de los cuales se encuentran </w:t>
      </w:r>
      <w:r w:rsidRPr="00993367">
        <w:rPr>
          <w:rFonts w:ascii="Arial" w:hAnsi="Arial" w:cs="Arial"/>
          <w:color w:val="000000" w:themeColor="text1"/>
          <w:sz w:val="22"/>
          <w:lang w:val="es-ES"/>
        </w:rPr>
        <w:t>particulares</w:t>
      </w:r>
      <w:r>
        <w:rPr>
          <w:rFonts w:ascii="Arial" w:hAnsi="Arial" w:cs="Arial"/>
          <w:color w:val="000000" w:themeColor="text1"/>
          <w:sz w:val="22"/>
          <w:lang w:val="es-ES"/>
        </w:rPr>
        <w:t>,</w:t>
      </w:r>
      <w:r w:rsidRPr="00993367">
        <w:rPr>
          <w:rFonts w:ascii="Arial" w:hAnsi="Arial" w:cs="Arial"/>
          <w:color w:val="000000" w:themeColor="text1"/>
          <w:sz w:val="22"/>
          <w:lang w:val="es-ES"/>
        </w:rPr>
        <w:t xml:space="preserve"> dicha obligación se concreta en los siguientes términos: «A quienes no aplica el ingreso y retiro del cargo, será requisito antes, durante y al término del ejercicio de la función pública, prestación de servicios públicos o administración de bienes o recursos públicos». Obsérvese cómo el </w:t>
      </w:r>
      <w:proofErr w:type="gramStart"/>
      <w:r w:rsidRPr="00993367">
        <w:rPr>
          <w:rFonts w:ascii="Arial" w:hAnsi="Arial" w:cs="Arial"/>
          <w:color w:val="000000" w:themeColor="text1"/>
          <w:sz w:val="22"/>
          <w:lang w:val="es-ES"/>
        </w:rPr>
        <w:t>parágrafo concreta</w:t>
      </w:r>
      <w:proofErr w:type="gramEnd"/>
      <w:r w:rsidRPr="00993367">
        <w:rPr>
          <w:rFonts w:ascii="Arial" w:hAnsi="Arial" w:cs="Arial"/>
          <w:color w:val="000000" w:themeColor="text1"/>
          <w:sz w:val="22"/>
          <w:lang w:val="es-ES"/>
        </w:rPr>
        <w:t xml:space="preserve"> la obligación en relación con los sujetos obligados de los literales f) y g). </w:t>
      </w:r>
      <w:r>
        <w:rPr>
          <w:rFonts w:ascii="Arial" w:hAnsi="Arial" w:cs="Arial"/>
          <w:color w:val="000000" w:themeColor="text1"/>
          <w:sz w:val="22"/>
          <w:lang w:val="es-ES"/>
        </w:rPr>
        <w:t>De esta manera, i</w:t>
      </w:r>
      <w:r w:rsidRPr="00993367">
        <w:rPr>
          <w:rFonts w:ascii="Arial" w:hAnsi="Arial" w:cs="Arial"/>
          <w:color w:val="000000" w:themeColor="text1"/>
          <w:sz w:val="22"/>
          <w:lang w:val="es-ES"/>
        </w:rPr>
        <w:t xml:space="preserve">nterpretada la propia ley con dichos apartes, tratándose de particulares, su ámbito de aplicación incluye solo a aquellos que ejerzan función pública, presten servicios públicos ―literal </w:t>
      </w:r>
      <w:proofErr w:type="gramStart"/>
      <w:r w:rsidRPr="00993367">
        <w:rPr>
          <w:rFonts w:ascii="Arial" w:hAnsi="Arial" w:cs="Arial"/>
          <w:color w:val="000000" w:themeColor="text1"/>
          <w:sz w:val="22"/>
          <w:lang w:val="es-ES"/>
        </w:rPr>
        <w:t>f)―</w:t>
      </w:r>
      <w:proofErr w:type="gramEnd"/>
      <w:r w:rsidRPr="00993367">
        <w:rPr>
          <w:rFonts w:ascii="Arial" w:hAnsi="Arial" w:cs="Arial"/>
          <w:color w:val="000000" w:themeColor="text1"/>
          <w:sz w:val="22"/>
          <w:lang w:val="es-ES"/>
        </w:rPr>
        <w:t xml:space="preserve"> o administren bienes o recursos públicos ―literal g)―. </w:t>
      </w:r>
      <w:r>
        <w:rPr>
          <w:rFonts w:ascii="Arial" w:hAnsi="Arial" w:cs="Arial"/>
          <w:color w:val="000000" w:themeColor="text1"/>
          <w:sz w:val="22"/>
          <w:lang w:val="es-ES"/>
        </w:rPr>
        <w:t>En tal sentido,</w:t>
      </w:r>
      <w:r w:rsidRPr="00993367">
        <w:rPr>
          <w:rFonts w:ascii="Arial" w:hAnsi="Arial" w:cs="Arial"/>
          <w:color w:val="000000" w:themeColor="text1"/>
          <w:sz w:val="22"/>
          <w:lang w:val="es-ES"/>
        </w:rPr>
        <w:t xml:space="preserve"> la norma solo es susceptible de aplicarse frente a esos tres tipos de particulares, siendo la interpretación más plausible de la disposición, pues lo que derivaría de interpretar extensivamente el literal g), sería que el parágrafo 1 contiene un vacío protuberante.</w:t>
      </w:r>
    </w:p>
    <w:p w14:paraId="6FCB0697" w14:textId="77777777" w:rsidR="00AA4474" w:rsidRPr="00993367" w:rsidRDefault="00AA4474" w:rsidP="00AA4474">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t xml:space="preserve">iii) Otro argumento para considerar que el literal g) no incluye a cualquier contratista del Estado, en general, </w:t>
      </w:r>
      <w:r>
        <w:rPr>
          <w:rFonts w:ascii="Arial" w:hAnsi="Arial" w:cs="Arial"/>
          <w:color w:val="000000" w:themeColor="text1"/>
          <w:sz w:val="22"/>
          <w:lang w:val="es-ES"/>
        </w:rPr>
        <w:t xml:space="preserve">sino solo a aquellos que administren bienes o recursos públicos, </w:t>
      </w:r>
      <w:r w:rsidRPr="00993367">
        <w:rPr>
          <w:rFonts w:ascii="Arial" w:hAnsi="Arial" w:cs="Arial"/>
          <w:color w:val="000000" w:themeColor="text1"/>
          <w:sz w:val="22"/>
          <w:lang w:val="es-ES"/>
        </w:rPr>
        <w:t xml:space="preserve">consiste en que la obligación de publicación proactiva ni siquiera se estableció para todos los servidores públicos, sino </w:t>
      </w:r>
      <w:r>
        <w:rPr>
          <w:rFonts w:ascii="Arial" w:hAnsi="Arial" w:cs="Arial"/>
          <w:color w:val="000000" w:themeColor="text1"/>
          <w:sz w:val="22"/>
          <w:lang w:val="es-ES"/>
        </w:rPr>
        <w:t xml:space="preserve">exclusivamente </w:t>
      </w:r>
      <w:r w:rsidRPr="00993367">
        <w:rPr>
          <w:rFonts w:ascii="Arial" w:hAnsi="Arial" w:cs="Arial"/>
          <w:color w:val="000000" w:themeColor="text1"/>
          <w:sz w:val="22"/>
          <w:lang w:val="es-ES"/>
        </w:rPr>
        <w:t>para los relacionados en el artículo 2. Lo anterior refuerza la idea expresada en cuanto a la interpretación restrictiva propuesta del literal g), pues sería contradictorio que la finalidad de la ley fuera acoger a todos los contratistas del Estado, pero dejar por fuera de su ámbito de aplicación a los servidores públicos, para solo incluir a un grupo limitado.</w:t>
      </w:r>
    </w:p>
    <w:p w14:paraId="5AC8CEFB" w14:textId="77777777" w:rsidR="00AA4474" w:rsidRPr="00993367" w:rsidRDefault="00AA4474" w:rsidP="00AA4474">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t>Lo anterior se sustentaría, incluso, si se argumentara que el literal estudiado pretendía incluir a todos los contratistas del Estado, dado que a ellos se les paga su contraprestación con recursos públicos, pues a los servidores públicos también se les remunera con dichos recursos.</w:t>
      </w:r>
    </w:p>
    <w:p w14:paraId="64B96466" w14:textId="77777777" w:rsidR="00AA4474" w:rsidRPr="00993367" w:rsidRDefault="00AA4474" w:rsidP="00AA4474">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t>iv) Otro fundamento de la interpretación estricta del literal g) consiste en la finalidad que tuvo la norma al contemplar como sujetos obligados a aquellos que administren recursos públicos, ya que este mecanismo se contempló con el propósito de vigilar y controlar la forma como estos se gestionan por parte de sujetos a quien</w:t>
      </w:r>
      <w:r>
        <w:rPr>
          <w:rFonts w:ascii="Arial" w:hAnsi="Arial" w:cs="Arial"/>
          <w:color w:val="000000" w:themeColor="text1"/>
          <w:sz w:val="22"/>
          <w:lang w:val="es-ES"/>
        </w:rPr>
        <w:t>es</w:t>
      </w:r>
      <w:r w:rsidRPr="00993367">
        <w:rPr>
          <w:rFonts w:ascii="Arial" w:hAnsi="Arial" w:cs="Arial"/>
          <w:color w:val="000000" w:themeColor="text1"/>
          <w:sz w:val="22"/>
          <w:lang w:val="es-ES"/>
        </w:rPr>
        <w:t xml:space="preserve"> dichos recursos son ajenos, por no hacer parte de su patrimonio, de manera que no se hiciera una indebida gestión de los mismos y terminaran incrementando el patrimonio de sus administradores.</w:t>
      </w:r>
    </w:p>
    <w:p w14:paraId="374D8881" w14:textId="77777777" w:rsidR="00AA4474" w:rsidRPr="00993367" w:rsidRDefault="00AA4474" w:rsidP="00AA4474">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lastRenderedPageBreak/>
        <w:t>Esta circunstancia no ocurre con la mayoría de los contratistas del Estado, quienes, si bien reciben recursos del Estado, como contraprestación por el cumplimiento de sus obligaciones, esos recursos ingresan y se convierten en propios, pudiendo</w:t>
      </w:r>
      <w:r>
        <w:rPr>
          <w:rFonts w:ascii="Arial" w:hAnsi="Arial" w:cs="Arial"/>
          <w:color w:val="000000" w:themeColor="text1"/>
          <w:sz w:val="22"/>
          <w:lang w:val="es-ES"/>
        </w:rPr>
        <w:t xml:space="preserve"> ellos</w:t>
      </w:r>
      <w:r w:rsidRPr="00993367">
        <w:rPr>
          <w:rFonts w:ascii="Arial" w:hAnsi="Arial" w:cs="Arial"/>
          <w:color w:val="000000" w:themeColor="text1"/>
          <w:sz w:val="22"/>
          <w:lang w:val="es-ES"/>
        </w:rPr>
        <w:t xml:space="preserve"> realizar actos de disposición con libertad</w:t>
      </w:r>
      <w:r>
        <w:rPr>
          <w:rFonts w:ascii="Arial" w:hAnsi="Arial" w:cs="Arial"/>
          <w:color w:val="000000" w:themeColor="text1"/>
          <w:sz w:val="22"/>
          <w:lang w:val="es-ES"/>
        </w:rPr>
        <w:t>.</w:t>
      </w:r>
    </w:p>
    <w:p w14:paraId="347A8279" w14:textId="77777777" w:rsidR="00AA4474" w:rsidRPr="00993367" w:rsidRDefault="00AA4474" w:rsidP="00AA4474">
      <w:pPr>
        <w:pStyle w:val="Sinespaciado"/>
        <w:spacing w:before="120" w:after="120" w:line="276" w:lineRule="auto"/>
        <w:ind w:firstLine="708"/>
        <w:jc w:val="both"/>
        <w:rPr>
          <w:rFonts w:ascii="Arial" w:hAnsi="Arial" w:cs="Arial"/>
          <w:iCs/>
          <w:color w:val="000000" w:themeColor="text1"/>
          <w:sz w:val="22"/>
        </w:rPr>
      </w:pPr>
      <w:r w:rsidRPr="00993367">
        <w:rPr>
          <w:rFonts w:ascii="Arial" w:hAnsi="Arial" w:cs="Arial"/>
          <w:iCs/>
          <w:color w:val="000000" w:themeColor="text1"/>
          <w:sz w:val="22"/>
        </w:rPr>
        <w:t>v) Finalmente, si se analizan los antecedentes del proyecto de ley que culminó con la expedición de la Ley 2013 de 2019, se confirma que la finalidad del literal g) solo fue incluir a los sujetos que administraran recursos públicos. En este sentido, el proyecto de ley presentado inicialmente solo tenía servidores públicos en su ámbito de aplicación</w:t>
      </w:r>
      <w:r w:rsidRPr="00993367">
        <w:rPr>
          <w:rStyle w:val="Refdenotaalpie"/>
          <w:rFonts w:ascii="Arial" w:hAnsi="Arial" w:cs="Arial"/>
          <w:iCs/>
          <w:color w:val="000000" w:themeColor="text1"/>
          <w:sz w:val="22"/>
        </w:rPr>
        <w:footnoteReference w:id="5"/>
      </w:r>
      <w:r w:rsidRPr="00993367">
        <w:rPr>
          <w:rFonts w:ascii="Arial" w:hAnsi="Arial" w:cs="Arial"/>
          <w:iCs/>
          <w:color w:val="000000" w:themeColor="text1"/>
          <w:sz w:val="22"/>
        </w:rPr>
        <w:t>; no obstante, durante el trámite del proyecto se modificaron y ampliaron los sujetos obligados para incluir a nuevos servidores públicos y a algunos particulares en supuestos concretos. Incluso en el texto propuesto para el segundo debate de la Cámara de Representantes se sugirió eliminar el listado y dejar una noción más general de los sujetos obligados, donde se pretendía incluir a todos los servidores públicos y a algunos particulares: «[…] para todos los funcionarios y servidores públicos y para los particulares que desempeñen funciones públicas o presten servicios públicos o administren, a cualquier título, bienes o recursos públicos»</w:t>
      </w:r>
      <w:r w:rsidRPr="00993367">
        <w:rPr>
          <w:rStyle w:val="Refdenotaalpie"/>
          <w:rFonts w:ascii="Arial" w:hAnsi="Arial" w:cs="Arial"/>
          <w:iCs/>
          <w:color w:val="000000" w:themeColor="text1"/>
          <w:sz w:val="22"/>
        </w:rPr>
        <w:footnoteReference w:id="6"/>
      </w:r>
      <w:r w:rsidRPr="00993367">
        <w:rPr>
          <w:rFonts w:ascii="Arial" w:hAnsi="Arial" w:cs="Arial"/>
          <w:iCs/>
          <w:color w:val="000000" w:themeColor="text1"/>
          <w:sz w:val="22"/>
        </w:rPr>
        <w:t>.</w:t>
      </w:r>
    </w:p>
    <w:p w14:paraId="5AEC2BFB" w14:textId="77777777" w:rsidR="00AA4474" w:rsidRPr="00993367" w:rsidRDefault="00AA4474" w:rsidP="00AA4474">
      <w:pPr>
        <w:pStyle w:val="Sinespaciado"/>
        <w:spacing w:before="120" w:after="120" w:line="276" w:lineRule="auto"/>
        <w:ind w:firstLine="708"/>
        <w:jc w:val="both"/>
        <w:rPr>
          <w:rFonts w:ascii="Arial" w:hAnsi="Arial" w:cs="Arial"/>
          <w:iCs/>
          <w:color w:val="000000" w:themeColor="text1"/>
          <w:sz w:val="22"/>
        </w:rPr>
      </w:pPr>
      <w:r w:rsidRPr="00993367">
        <w:rPr>
          <w:rFonts w:ascii="Arial" w:hAnsi="Arial" w:cs="Arial"/>
          <w:iCs/>
          <w:color w:val="000000" w:themeColor="text1"/>
          <w:sz w:val="22"/>
        </w:rPr>
        <w:t xml:space="preserve">Con lo anterior se pretende demostrar que la finalidad durante todo el trámite del proyecto fue incluir </w:t>
      </w:r>
      <w:r w:rsidRPr="00C01853">
        <w:rPr>
          <w:rFonts w:ascii="Arial" w:hAnsi="Arial" w:cs="Arial"/>
          <w:i/>
          <w:color w:val="000000" w:themeColor="text1"/>
          <w:sz w:val="22"/>
        </w:rPr>
        <w:t>solo a algunos particulares, concretamente a aquellos que desempeñen funciones públicas, presten servicios públicos o administren bienes o recursos públicos</w:t>
      </w:r>
      <w:r w:rsidRPr="00993367">
        <w:rPr>
          <w:rFonts w:ascii="Arial" w:hAnsi="Arial" w:cs="Arial"/>
          <w:iCs/>
          <w:color w:val="000000" w:themeColor="text1"/>
          <w:sz w:val="22"/>
        </w:rPr>
        <w:t xml:space="preserve">. Esto se hace más evidente si se revisan los informes de conciliación de los textos definitivos en Senado y Cámara. En efecto, aunque finalmente se acogió el texto de la Cámara de Representantes en cuanto al contenido del artículo 2, el listado propuesto por el Senado de los literales f) y g), que contenía la misma finalidad y frente a los cuales no existió disputa, tenía una redacción más diáfana y menos confusa de la disposición; en particular, el literal g) proponía acoger a: «Las personas naturales y jurídicas, públicas o privadas que administren bienes o recursos públicos respecto de la información directamente relacionada con el desempeño de su función». </w:t>
      </w:r>
    </w:p>
    <w:p w14:paraId="316015B9" w14:textId="77777777" w:rsidR="00AA4474" w:rsidRPr="00993367" w:rsidRDefault="00AA4474" w:rsidP="00AA4474">
      <w:pPr>
        <w:pStyle w:val="Sinespaciado"/>
        <w:spacing w:before="120" w:line="276" w:lineRule="auto"/>
        <w:ind w:firstLine="709"/>
        <w:jc w:val="both"/>
        <w:rPr>
          <w:rFonts w:ascii="Arial" w:hAnsi="Arial" w:cs="Arial"/>
          <w:iCs/>
          <w:color w:val="000000" w:themeColor="text1"/>
          <w:sz w:val="22"/>
        </w:rPr>
      </w:pPr>
      <w:r w:rsidRPr="00993367">
        <w:rPr>
          <w:rFonts w:ascii="Arial" w:hAnsi="Arial" w:cs="Arial"/>
          <w:iCs/>
          <w:color w:val="000000" w:themeColor="text1"/>
          <w:sz w:val="22"/>
        </w:rPr>
        <w:t>Incluso, aunque finalmente se acogieron los literales f) y g) en la forma propuesta por la Cámara de Representantes, si se revisa el título de la ley que formulaba esta cámara legislativa, se llega a la conclusión indicada respecto a la interpretación del literal g), ya que el t</w:t>
      </w:r>
      <w:r>
        <w:rPr>
          <w:rFonts w:ascii="Arial" w:hAnsi="Arial" w:cs="Arial"/>
          <w:iCs/>
          <w:color w:val="000000" w:themeColor="text1"/>
          <w:sz w:val="22"/>
        </w:rPr>
        <w:t>í</w:t>
      </w:r>
      <w:r w:rsidRPr="00993367">
        <w:rPr>
          <w:rFonts w:ascii="Arial" w:hAnsi="Arial" w:cs="Arial"/>
          <w:iCs/>
          <w:color w:val="000000" w:themeColor="text1"/>
          <w:sz w:val="22"/>
        </w:rPr>
        <w:t>tulo fue</w:t>
      </w:r>
      <w:r w:rsidRPr="00993367">
        <w:rPr>
          <w:rStyle w:val="Refdenotaalpie"/>
          <w:rFonts w:ascii="Arial" w:hAnsi="Arial" w:cs="Arial"/>
          <w:iCs/>
          <w:color w:val="000000" w:themeColor="text1"/>
          <w:sz w:val="22"/>
        </w:rPr>
        <w:footnoteReference w:id="7"/>
      </w:r>
      <w:r>
        <w:rPr>
          <w:rFonts w:ascii="Arial" w:hAnsi="Arial" w:cs="Arial"/>
          <w:iCs/>
          <w:color w:val="000000" w:themeColor="text1"/>
          <w:sz w:val="22"/>
        </w:rPr>
        <w:t xml:space="preserve"> el siguiente</w:t>
      </w:r>
      <w:r w:rsidRPr="00993367">
        <w:rPr>
          <w:rFonts w:ascii="Arial" w:hAnsi="Arial" w:cs="Arial"/>
          <w:iCs/>
          <w:color w:val="000000" w:themeColor="text1"/>
          <w:sz w:val="22"/>
        </w:rPr>
        <w:t xml:space="preserve">: </w:t>
      </w:r>
    </w:p>
    <w:p w14:paraId="4E2E365E" w14:textId="77777777" w:rsidR="00AA4474" w:rsidRPr="00993367" w:rsidRDefault="00AA4474" w:rsidP="00AA4474">
      <w:pPr>
        <w:pStyle w:val="Sinespaciado"/>
        <w:spacing w:before="120"/>
        <w:ind w:firstLine="709"/>
        <w:contextualSpacing/>
        <w:jc w:val="both"/>
        <w:rPr>
          <w:rFonts w:ascii="Arial" w:hAnsi="Arial" w:cs="Arial"/>
          <w:iCs/>
          <w:color w:val="000000" w:themeColor="text1"/>
          <w:sz w:val="22"/>
        </w:rPr>
      </w:pPr>
    </w:p>
    <w:p w14:paraId="5DE89E05" w14:textId="77777777" w:rsidR="00AA4474" w:rsidRPr="00993367" w:rsidRDefault="00AA4474" w:rsidP="00AA4474">
      <w:pPr>
        <w:spacing w:after="120"/>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 xml:space="preserve">Por medio de la cual se busca garantizar el cumplimiento de los principios de transparencia, participación y control social mediante la publicación de las </w:t>
      </w:r>
      <w:r w:rsidRPr="00993367">
        <w:rPr>
          <w:rFonts w:ascii="Arial" w:eastAsia="Times New Roman" w:hAnsi="Arial" w:cs="Arial"/>
          <w:color w:val="000000" w:themeColor="text1"/>
          <w:sz w:val="21"/>
          <w:szCs w:val="21"/>
          <w:lang w:val="es-CO" w:eastAsia="es-CO"/>
        </w:rPr>
        <w:lastRenderedPageBreak/>
        <w:t xml:space="preserve">declaraciones de bienes y rentas, el registro de los conflictos de interés y la declaración del impuesto sobre la renta y complementarios de los funcionarios y servidores públicos </w:t>
      </w:r>
      <w:r w:rsidRPr="00993367">
        <w:rPr>
          <w:rFonts w:ascii="Arial" w:eastAsia="Times New Roman" w:hAnsi="Arial" w:cs="Arial"/>
          <w:i/>
          <w:iCs/>
          <w:color w:val="000000" w:themeColor="text1"/>
          <w:sz w:val="21"/>
          <w:szCs w:val="21"/>
          <w:lang w:val="es-CO" w:eastAsia="es-CO"/>
        </w:rPr>
        <w:t xml:space="preserve">y los particulares que desempeñen funciones públicas o presten servicios públicos o administren, a cualquier título, bienes o recursos públicos. </w:t>
      </w:r>
      <w:r w:rsidRPr="00993367">
        <w:rPr>
          <w:rFonts w:ascii="Arial" w:eastAsia="Times New Roman" w:hAnsi="Arial" w:cs="Arial"/>
          <w:color w:val="000000" w:themeColor="text1"/>
          <w:sz w:val="21"/>
          <w:szCs w:val="21"/>
          <w:lang w:val="es-CO" w:eastAsia="es-CO"/>
        </w:rPr>
        <w:t xml:space="preserve">(Cursiva fuera del original). </w:t>
      </w:r>
    </w:p>
    <w:p w14:paraId="400318E8" w14:textId="77777777" w:rsidR="00AA4474" w:rsidRPr="00993367" w:rsidRDefault="00AA4474" w:rsidP="00AA4474">
      <w:pPr>
        <w:pStyle w:val="Sinespaciado"/>
        <w:spacing w:before="120" w:after="120"/>
        <w:ind w:firstLine="708"/>
        <w:contextualSpacing/>
        <w:jc w:val="both"/>
        <w:rPr>
          <w:rFonts w:ascii="Arial" w:hAnsi="Arial" w:cs="Arial"/>
          <w:iCs/>
          <w:color w:val="000000" w:themeColor="text1"/>
          <w:sz w:val="22"/>
        </w:rPr>
      </w:pPr>
    </w:p>
    <w:p w14:paraId="51DF561F" w14:textId="77777777" w:rsidR="00AA4474" w:rsidRPr="00993367" w:rsidRDefault="00AA4474" w:rsidP="00AA4474">
      <w:pPr>
        <w:pStyle w:val="Sinespaciado"/>
        <w:spacing w:before="120" w:after="120" w:line="276" w:lineRule="auto"/>
        <w:ind w:firstLine="708"/>
        <w:jc w:val="both"/>
        <w:rPr>
          <w:rFonts w:ascii="Arial" w:hAnsi="Arial" w:cs="Arial"/>
          <w:iCs/>
          <w:color w:val="000000" w:themeColor="text1"/>
          <w:sz w:val="22"/>
        </w:rPr>
      </w:pPr>
      <w:r w:rsidRPr="00993367">
        <w:rPr>
          <w:rFonts w:ascii="Arial" w:hAnsi="Arial" w:cs="Arial"/>
          <w:iCs/>
          <w:color w:val="000000" w:themeColor="text1"/>
          <w:sz w:val="22"/>
        </w:rPr>
        <w:t>Como se advierte, durante el trámite del proyecto de ley, hasta la conciliación definitiva en Senado y Cámara, la finalidad siempre fue incluir solo a los particulares que desempeñaran función pública, prestaran servicios públicos o administraran bienes o recursos públicos, no a cualquier contratista del Estado.</w:t>
      </w:r>
      <w:r>
        <w:rPr>
          <w:rFonts w:ascii="Arial" w:hAnsi="Arial" w:cs="Arial"/>
          <w:iCs/>
          <w:color w:val="000000" w:themeColor="text1"/>
          <w:sz w:val="22"/>
        </w:rPr>
        <w:t xml:space="preserve"> En este sentido, si se tiene en cuenta lo anterior y lo previamente indicado en el argumento iv) de este concepto, se logra colegir la orientación que tuvo el legislador al incluir los literales f) y g), de manera que, en el fondo, la finalidad del legislador no fue incluir a cualquier contratista del Estado sino a las personas naturales o jurídicas que independientemente de su relación con el Estado </w:t>
      </w:r>
      <w:r w:rsidRPr="00993367">
        <w:rPr>
          <w:rFonts w:ascii="Arial" w:hAnsi="Arial" w:cs="Arial"/>
          <w:iCs/>
          <w:color w:val="000000" w:themeColor="text1"/>
          <w:sz w:val="22"/>
        </w:rPr>
        <w:t>desempeñaran función pública, prestaran servicios públicos o administraran bienes o recursos públicos</w:t>
      </w:r>
      <w:r>
        <w:rPr>
          <w:rFonts w:ascii="Arial" w:hAnsi="Arial" w:cs="Arial"/>
          <w:iCs/>
          <w:color w:val="000000" w:themeColor="text1"/>
          <w:sz w:val="22"/>
        </w:rPr>
        <w:t>.</w:t>
      </w:r>
    </w:p>
    <w:p w14:paraId="7FF7B4EE" w14:textId="77777777" w:rsidR="00AA4474" w:rsidRPr="00993367" w:rsidRDefault="00AA4474" w:rsidP="00AA4474">
      <w:pPr>
        <w:pStyle w:val="Sinespaciado"/>
        <w:spacing w:before="120" w:after="120" w:line="276" w:lineRule="auto"/>
        <w:ind w:firstLine="708"/>
        <w:jc w:val="both"/>
        <w:rPr>
          <w:rFonts w:ascii="Arial" w:hAnsi="Arial" w:cs="Arial"/>
          <w:iCs/>
          <w:color w:val="000000" w:themeColor="text1"/>
          <w:sz w:val="22"/>
        </w:rPr>
      </w:pPr>
      <w:r w:rsidRPr="00993367">
        <w:rPr>
          <w:rFonts w:ascii="Arial" w:hAnsi="Arial" w:cs="Arial"/>
          <w:iCs/>
          <w:color w:val="000000" w:themeColor="text1"/>
          <w:sz w:val="22"/>
        </w:rPr>
        <w:t xml:space="preserve">vi) Finalmente, expuesto el sentido y la forma en la que se debe entender el literal g), se aclara que, por regla general, los contratistas del Estado no administran recursos públicos y son excepcionales los supuestos en que lo hacen. En efecto, este aspecto ha sido estudiado en términos generales por la doctrina, para determinar si los contratistas del Estado son responsables fiscalmente, </w:t>
      </w:r>
      <w:r>
        <w:rPr>
          <w:rFonts w:ascii="Arial" w:hAnsi="Arial" w:cs="Arial"/>
          <w:iCs/>
          <w:color w:val="000000" w:themeColor="text1"/>
          <w:sz w:val="22"/>
        </w:rPr>
        <w:t xml:space="preserve">debido a </w:t>
      </w:r>
      <w:r w:rsidRPr="00993367">
        <w:rPr>
          <w:rFonts w:ascii="Arial" w:hAnsi="Arial" w:cs="Arial"/>
          <w:iCs/>
          <w:color w:val="000000" w:themeColor="text1"/>
          <w:sz w:val="22"/>
        </w:rPr>
        <w:t>que la administración de recursos públicos es uno de los supuestos que contiene la Ley 610 de 2000 para considerar que un particular es un sujeto pasivo de este tipo de responsabilidad. En efecto, los particulares son responsables fiscalmente, entre otros eventos, cuando «manejen o administren recursos o fondos públicos» ―art. 1 y 3―. En relación el tema DÁVILA VINUEZA expresa:</w:t>
      </w:r>
    </w:p>
    <w:p w14:paraId="5CE50E36" w14:textId="77777777" w:rsidR="00AA4474" w:rsidRPr="00993367" w:rsidRDefault="00AA4474" w:rsidP="00AA4474">
      <w:pPr>
        <w:pStyle w:val="Sinespaciado"/>
        <w:spacing w:line="276" w:lineRule="auto"/>
        <w:ind w:firstLine="708"/>
        <w:contextualSpacing/>
        <w:jc w:val="both"/>
        <w:rPr>
          <w:rFonts w:ascii="Arial" w:hAnsi="Arial" w:cs="Arial"/>
          <w:iCs/>
          <w:color w:val="000000" w:themeColor="text1"/>
          <w:sz w:val="22"/>
        </w:rPr>
      </w:pPr>
    </w:p>
    <w:p w14:paraId="5A5F2247" w14:textId="77777777" w:rsidR="00AA4474" w:rsidRPr="00993367" w:rsidRDefault="00AA4474" w:rsidP="00AA4474">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Cuando la ley indica que los particulares que cumplan funciones públicas o manejan recursos públicos también son susceptibles de control fiscal, se refiere en principio a las cámaras de comercio y las notarías. Sin embargo, también pueden ser cobijados los contratistas particulares que aunque no estén encargados propiamente de una función pública, sí pueden manejar recursos estatales.</w:t>
      </w:r>
    </w:p>
    <w:p w14:paraId="0EB2F6E1" w14:textId="77777777" w:rsidR="00AA4474" w:rsidRPr="00993367" w:rsidRDefault="00AA4474" w:rsidP="00AA4474">
      <w:pPr>
        <w:ind w:left="709" w:right="709"/>
        <w:contextualSpacing/>
        <w:jc w:val="both"/>
        <w:rPr>
          <w:rFonts w:ascii="Arial" w:eastAsia="Times New Roman" w:hAnsi="Arial" w:cs="Arial"/>
          <w:color w:val="000000" w:themeColor="text1"/>
          <w:sz w:val="21"/>
          <w:szCs w:val="21"/>
          <w:lang w:val="es-CO" w:eastAsia="es-CO"/>
        </w:rPr>
      </w:pPr>
    </w:p>
    <w:p w14:paraId="02B5DD99" w14:textId="77777777" w:rsidR="00AA4474" w:rsidRPr="00993367" w:rsidRDefault="00AA4474" w:rsidP="00AA4474">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 xml:space="preserve">Dado dicho presupuesto como constitutivo de la responsabilidad fiscal, </w:t>
      </w:r>
      <w:r w:rsidRPr="00993367">
        <w:rPr>
          <w:rFonts w:ascii="Arial" w:eastAsia="Times New Roman" w:hAnsi="Arial" w:cs="Arial"/>
          <w:i/>
          <w:iCs/>
          <w:color w:val="000000" w:themeColor="text1"/>
          <w:sz w:val="21"/>
          <w:szCs w:val="21"/>
          <w:lang w:val="es-CO" w:eastAsia="es-CO"/>
        </w:rPr>
        <w:t>la vinculación del contratista es excepcional en cuanto extraño es que administre recursos públicos, así ocurre, por ejemplo, cuando recibe anticipos o custodia peajes o tarifas que pagan los usuarios de la obra o servicio concesionado y que deben ser entregados, en todo o parte, a la entidad</w:t>
      </w:r>
      <w:r w:rsidRPr="00993367">
        <w:rPr>
          <w:rFonts w:ascii="Arial" w:eastAsia="Times New Roman" w:hAnsi="Arial" w:cs="Arial"/>
          <w:color w:val="000000" w:themeColor="text1"/>
          <w:sz w:val="21"/>
          <w:szCs w:val="21"/>
          <w:lang w:val="es-CO" w:eastAsia="es-CO"/>
        </w:rPr>
        <w:t>.</w:t>
      </w:r>
    </w:p>
    <w:p w14:paraId="1602F17B" w14:textId="77777777" w:rsidR="00AA4474" w:rsidRPr="00993367" w:rsidRDefault="00AA4474" w:rsidP="00AA4474">
      <w:pPr>
        <w:ind w:left="709" w:right="709"/>
        <w:contextualSpacing/>
        <w:jc w:val="both"/>
        <w:rPr>
          <w:rFonts w:ascii="Arial" w:eastAsia="Times New Roman" w:hAnsi="Arial" w:cs="Arial"/>
          <w:color w:val="000000" w:themeColor="text1"/>
          <w:sz w:val="21"/>
          <w:szCs w:val="21"/>
          <w:lang w:val="es-CO" w:eastAsia="es-CO"/>
        </w:rPr>
      </w:pPr>
    </w:p>
    <w:p w14:paraId="09F6A653" w14:textId="77777777" w:rsidR="00AA4474" w:rsidRPr="00993367" w:rsidRDefault="00AA4474" w:rsidP="00AA4474">
      <w:pPr>
        <w:ind w:left="709" w:right="709"/>
        <w:contextualSpacing/>
        <w:jc w:val="both"/>
        <w:rPr>
          <w:rFonts w:ascii="Arial" w:eastAsia="Times New Roman" w:hAnsi="Arial" w:cs="Arial"/>
          <w:color w:val="000000" w:themeColor="text1"/>
          <w:sz w:val="21"/>
          <w:szCs w:val="21"/>
          <w:lang w:val="es-CO" w:eastAsia="es-CO"/>
        </w:rPr>
      </w:pPr>
      <w:r w:rsidRPr="00FB5AC7">
        <w:rPr>
          <w:rFonts w:ascii="Arial" w:eastAsia="Times New Roman" w:hAnsi="Arial" w:cs="Arial"/>
          <w:i/>
          <w:iCs/>
          <w:color w:val="000000" w:themeColor="text1"/>
          <w:sz w:val="21"/>
          <w:szCs w:val="21"/>
          <w:lang w:val="es-CO" w:eastAsia="es-CO"/>
        </w:rPr>
        <w:t xml:space="preserve">Sobre el particular es preciso advertir que las sumas de dinero una vez salen del patrimonio estatal para ser recibidas por los contratistas como contraprestación de sus servicios o las que se le entregan a título de restablecimiento del equilibrio económico y financiero del contrato, en manera </w:t>
      </w:r>
      <w:r w:rsidRPr="00FB5AC7">
        <w:rPr>
          <w:rFonts w:ascii="Arial" w:eastAsia="Times New Roman" w:hAnsi="Arial" w:cs="Arial"/>
          <w:i/>
          <w:iCs/>
          <w:color w:val="000000" w:themeColor="text1"/>
          <w:sz w:val="21"/>
          <w:szCs w:val="21"/>
          <w:lang w:val="es-CO" w:eastAsia="es-CO"/>
        </w:rPr>
        <w:lastRenderedPageBreak/>
        <w:t>alguna encuadran dentro del concepto de manejo de recursos oficiales, lo que, en consecuencia, derivaría en la imposibilidad de perseguir fiscalmente por tales conceptos</w:t>
      </w:r>
      <w:r w:rsidRPr="00993367">
        <w:rPr>
          <w:rFonts w:ascii="Arial" w:eastAsia="Times New Roman" w:hAnsi="Arial" w:cs="Arial"/>
          <w:color w:val="000000" w:themeColor="text1"/>
          <w:sz w:val="21"/>
          <w:szCs w:val="21"/>
          <w:lang w:val="es-CO" w:eastAsia="es-CO"/>
        </w:rPr>
        <w:t xml:space="preserve"> […]</w:t>
      </w:r>
      <w:r w:rsidRPr="00993367">
        <w:rPr>
          <w:rStyle w:val="Refdenotaalpie"/>
          <w:rFonts w:ascii="Arial" w:eastAsia="Times New Roman" w:hAnsi="Arial" w:cs="Arial"/>
          <w:color w:val="000000" w:themeColor="text1"/>
          <w:sz w:val="21"/>
          <w:szCs w:val="21"/>
          <w:lang w:val="es-CO" w:eastAsia="es-CO"/>
        </w:rPr>
        <w:footnoteReference w:id="8"/>
      </w:r>
      <w:r w:rsidRPr="00993367">
        <w:rPr>
          <w:rFonts w:ascii="Arial" w:eastAsia="Times New Roman" w:hAnsi="Arial" w:cs="Arial"/>
          <w:color w:val="000000" w:themeColor="text1"/>
          <w:sz w:val="21"/>
          <w:szCs w:val="21"/>
          <w:lang w:val="es-CO" w:eastAsia="es-CO"/>
        </w:rPr>
        <w:t>.</w:t>
      </w:r>
      <w:r>
        <w:rPr>
          <w:rFonts w:ascii="Arial" w:eastAsia="Times New Roman" w:hAnsi="Arial" w:cs="Arial"/>
          <w:color w:val="000000" w:themeColor="text1"/>
          <w:sz w:val="21"/>
          <w:szCs w:val="21"/>
          <w:lang w:val="es-CO" w:eastAsia="es-CO"/>
        </w:rPr>
        <w:t xml:space="preserve"> (Cursiva fuera del original).</w:t>
      </w:r>
    </w:p>
    <w:p w14:paraId="56576FD4" w14:textId="77777777" w:rsidR="00AA4474" w:rsidRPr="00993367" w:rsidRDefault="00AA4474" w:rsidP="00AA4474">
      <w:pPr>
        <w:pStyle w:val="Sinespaciado"/>
        <w:spacing w:line="276" w:lineRule="auto"/>
        <w:contextualSpacing/>
        <w:jc w:val="both"/>
        <w:rPr>
          <w:rFonts w:ascii="Arial" w:hAnsi="Arial" w:cs="Arial"/>
          <w:iCs/>
          <w:color w:val="000000" w:themeColor="text1"/>
          <w:sz w:val="22"/>
        </w:rPr>
      </w:pPr>
    </w:p>
    <w:p w14:paraId="736A0243" w14:textId="77777777" w:rsidR="00AA4474" w:rsidRPr="00993367" w:rsidRDefault="00AA4474" w:rsidP="00AA4474">
      <w:pPr>
        <w:pStyle w:val="Sinespaciado"/>
        <w:spacing w:before="120" w:after="120" w:line="276" w:lineRule="auto"/>
        <w:ind w:firstLine="708"/>
        <w:jc w:val="both"/>
        <w:rPr>
          <w:rFonts w:ascii="Arial" w:hAnsi="Arial" w:cs="Arial"/>
          <w:iCs/>
          <w:color w:val="000000" w:themeColor="text1"/>
          <w:sz w:val="22"/>
        </w:rPr>
      </w:pPr>
      <w:r w:rsidRPr="00993367">
        <w:rPr>
          <w:rFonts w:ascii="Arial" w:hAnsi="Arial" w:cs="Arial"/>
          <w:iCs/>
          <w:color w:val="000000" w:themeColor="text1"/>
          <w:sz w:val="22"/>
        </w:rPr>
        <w:t>En efecto, en los contratos que normalmente celebra la Administración, el pago de la contraprestación, pese a que se realiza con recursos públicos, no implica que el contrato involucre la administración de dichos recursos, toda vez que el valor pagado por la Administración es la contraprestación normal por las obligaciones cumplidas por el particular en favor de aquella</w:t>
      </w:r>
      <w:r>
        <w:rPr>
          <w:rFonts w:ascii="Arial" w:hAnsi="Arial" w:cs="Arial"/>
          <w:iCs/>
          <w:color w:val="000000" w:themeColor="text1"/>
          <w:sz w:val="22"/>
        </w:rPr>
        <w:t>. Por ello,</w:t>
      </w:r>
      <w:r w:rsidRPr="00993367">
        <w:rPr>
          <w:rFonts w:ascii="Arial" w:hAnsi="Arial" w:cs="Arial"/>
          <w:iCs/>
          <w:color w:val="000000" w:themeColor="text1"/>
          <w:sz w:val="22"/>
        </w:rPr>
        <w:t xml:space="preserve"> una vez recibido el pago </w:t>
      </w:r>
      <w:r>
        <w:rPr>
          <w:rFonts w:ascii="Arial" w:hAnsi="Arial" w:cs="Arial"/>
          <w:iCs/>
          <w:color w:val="000000" w:themeColor="text1"/>
          <w:sz w:val="22"/>
        </w:rPr>
        <w:t xml:space="preserve">de </w:t>
      </w:r>
      <w:r w:rsidRPr="00993367">
        <w:rPr>
          <w:rFonts w:ascii="Arial" w:hAnsi="Arial" w:cs="Arial"/>
          <w:iCs/>
          <w:color w:val="000000" w:themeColor="text1"/>
          <w:sz w:val="22"/>
        </w:rPr>
        <w:t>dichos recursos forman parte del patrimonio del particular, por lo que dejan de ser recursos públicos y el contratista puede disponer de ellos libremente.</w:t>
      </w:r>
    </w:p>
    <w:p w14:paraId="05C54207" w14:textId="44E5B3E8" w:rsidR="0050613F" w:rsidRDefault="00AA4474" w:rsidP="00AA4474">
      <w:pPr>
        <w:spacing w:line="276" w:lineRule="auto"/>
        <w:jc w:val="both"/>
        <w:rPr>
          <w:rFonts w:ascii="Arial" w:hAnsi="Arial" w:cs="Arial"/>
          <w:b/>
          <w:bCs/>
          <w:noProof/>
          <w:sz w:val="22"/>
          <w:lang w:val="es-ES_tradnl"/>
        </w:rPr>
      </w:pPr>
      <w:r w:rsidRPr="00993367">
        <w:rPr>
          <w:rFonts w:ascii="Arial" w:hAnsi="Arial" w:cs="Arial"/>
          <w:iCs/>
          <w:color w:val="000000" w:themeColor="text1"/>
          <w:sz w:val="22"/>
        </w:rPr>
        <w:t>En conclusión, los contratistas que se encuentran dentro del ámbito de aplicación de la Ley 2013 de 2019 son los que ejercen función pública, presenten servicios públicos o administren bienes y recursos públicos. Teniendo en cuenta lo anterior, solo cuando el contrato implique el ejercicio de alguna de las actividades anteriores, se considerará vinculado a las obligaciones contenidas en dicha ley. Además, considerando que en la mayoría de los casos esto no ocurre, estos no están sujetos a la Ley 2013 de 2019; sin embargo, en cada contrato en particular se deberá analizar la realización de alguna de las actividades indicadas, conforme a las consideraciones señaladas en este concepto, para definir la aplicación o no de las obligaciones contenidas en dicha ley.</w:t>
      </w:r>
      <w:r w:rsidRPr="00373E13">
        <w:rPr>
          <w:rFonts w:ascii="Arial" w:hAnsi="Arial" w:cs="Arial"/>
          <w:b/>
          <w:bCs/>
          <w:noProof/>
          <w:sz w:val="22"/>
          <w:lang w:val="es-ES_tradnl"/>
        </w:rPr>
        <w:t xml:space="preserve"> </w:t>
      </w:r>
      <w:r w:rsidR="00C55CE9" w:rsidRPr="00373E13">
        <w:rPr>
          <w:rFonts w:ascii="Arial" w:hAnsi="Arial" w:cs="Arial"/>
          <w:b/>
          <w:bCs/>
          <w:noProof/>
          <w:sz w:val="22"/>
          <w:lang w:val="es-ES_tradnl"/>
        </w:rPr>
        <w:t xml:space="preserve"> </w:t>
      </w:r>
    </w:p>
    <w:p w14:paraId="18AD1BF6" w14:textId="77777777" w:rsidR="00E1277F" w:rsidRDefault="00E1277F" w:rsidP="00EC0A6A">
      <w:pPr>
        <w:pStyle w:val="paragraph"/>
        <w:spacing w:before="0" w:beforeAutospacing="0" w:after="0" w:afterAutospacing="0" w:line="276" w:lineRule="auto"/>
        <w:jc w:val="both"/>
        <w:textAlignment w:val="baseline"/>
        <w:rPr>
          <w:rStyle w:val="normaltextrun"/>
          <w:rFonts w:ascii="Arial" w:hAnsi="Arial" w:cs="Arial"/>
          <w:sz w:val="22"/>
          <w:szCs w:val="22"/>
        </w:rPr>
      </w:pPr>
    </w:p>
    <w:p w14:paraId="2980998C" w14:textId="05DFB515" w:rsidR="000920F0" w:rsidRDefault="000920F0" w:rsidP="00EC0A6A">
      <w:pPr>
        <w:pStyle w:val="paragraph"/>
        <w:spacing w:before="0" w:beforeAutospacing="0" w:after="0" w:afterAutospacing="0" w:line="276" w:lineRule="auto"/>
        <w:jc w:val="both"/>
        <w:textAlignment w:val="baseline"/>
        <w:rPr>
          <w:rFonts w:ascii="Arial" w:hAnsi="Arial" w:cs="Arial"/>
          <w:b/>
          <w:noProof/>
          <w:sz w:val="22"/>
          <w:lang w:val="es-ES_tradnl"/>
        </w:rPr>
      </w:pPr>
      <w:r w:rsidRPr="00295D8A">
        <w:rPr>
          <w:rFonts w:ascii="Arial" w:hAnsi="Arial" w:cs="Arial"/>
          <w:b/>
          <w:noProof/>
          <w:sz w:val="22"/>
          <w:lang w:val="es-ES_tradnl"/>
        </w:rPr>
        <w:t>3.</w:t>
      </w:r>
      <w:r w:rsidR="0049042F" w:rsidRPr="00295D8A">
        <w:rPr>
          <w:rFonts w:ascii="Arial" w:hAnsi="Arial" w:cs="Arial"/>
          <w:b/>
          <w:noProof/>
          <w:sz w:val="22"/>
          <w:lang w:val="es-ES_tradnl"/>
        </w:rPr>
        <w:t xml:space="preserve"> </w:t>
      </w:r>
      <w:r w:rsidRPr="00295D8A">
        <w:rPr>
          <w:rFonts w:ascii="Arial" w:hAnsi="Arial" w:cs="Arial"/>
          <w:b/>
          <w:noProof/>
          <w:sz w:val="22"/>
          <w:lang w:val="es-ES_tradnl"/>
        </w:rPr>
        <w:t>Respuesta</w:t>
      </w:r>
    </w:p>
    <w:p w14:paraId="7232A6B1" w14:textId="1C31B9C2" w:rsidR="00E86C3C" w:rsidRDefault="00E86C3C" w:rsidP="00EC0A6A">
      <w:pPr>
        <w:pStyle w:val="paragraph"/>
        <w:spacing w:before="0" w:beforeAutospacing="0" w:after="0" w:afterAutospacing="0" w:line="276" w:lineRule="auto"/>
        <w:jc w:val="both"/>
        <w:textAlignment w:val="baseline"/>
        <w:rPr>
          <w:rFonts w:ascii="Arial" w:hAnsi="Arial" w:cs="Arial"/>
          <w:b/>
          <w:noProof/>
          <w:sz w:val="22"/>
          <w:lang w:val="es-ES_tradnl"/>
        </w:rPr>
      </w:pPr>
    </w:p>
    <w:p w14:paraId="3AAFF8DB" w14:textId="3B8B3102" w:rsidR="00E86C3C" w:rsidRPr="00295D8A" w:rsidRDefault="00E86C3C" w:rsidP="00EC0A6A">
      <w:pPr>
        <w:pStyle w:val="paragraph"/>
        <w:spacing w:before="0" w:beforeAutospacing="0" w:after="0" w:afterAutospacing="0" w:line="276" w:lineRule="auto"/>
        <w:jc w:val="both"/>
        <w:textAlignment w:val="baseline"/>
        <w:rPr>
          <w:rFonts w:ascii="Arial" w:hAnsi="Arial" w:cs="Arial"/>
          <w:noProof/>
          <w:sz w:val="22"/>
          <w:lang w:val="es-ES_tradnl"/>
        </w:rPr>
      </w:pPr>
      <w:r>
        <w:rPr>
          <w:rFonts w:ascii="Arial" w:hAnsi="Arial" w:cs="Arial"/>
          <w:noProof/>
          <w:sz w:val="22"/>
          <w:lang w:val="es-ES_tradnl"/>
        </w:rPr>
        <w:t>La consulta sobre la aplicación de</w:t>
      </w:r>
      <w:r w:rsidR="0068004A">
        <w:rPr>
          <w:rFonts w:ascii="Arial" w:hAnsi="Arial" w:cs="Arial"/>
          <w:noProof/>
          <w:sz w:val="22"/>
          <w:lang w:val="es-ES_tradnl"/>
        </w:rPr>
        <w:t>l</w:t>
      </w:r>
      <w:r>
        <w:rPr>
          <w:rFonts w:ascii="Arial" w:hAnsi="Arial" w:cs="Arial"/>
          <w:noProof/>
          <w:sz w:val="22"/>
          <w:lang w:val="es-ES_tradnl"/>
        </w:rPr>
        <w:t xml:space="preserve"> literal g) del artículo 2 de la Ley 2013 de 2019 fue la siguiente:</w:t>
      </w:r>
    </w:p>
    <w:p w14:paraId="458F619B" w14:textId="77777777" w:rsidR="000920F0" w:rsidRPr="00295D8A" w:rsidRDefault="000920F0" w:rsidP="00EC0A6A">
      <w:pPr>
        <w:spacing w:line="276" w:lineRule="auto"/>
        <w:ind w:left="709" w:right="709"/>
        <w:jc w:val="both"/>
        <w:rPr>
          <w:rFonts w:ascii="Arial" w:hAnsi="Arial" w:cs="Arial"/>
          <w:i/>
          <w:noProof/>
          <w:sz w:val="22"/>
          <w:lang w:val="es-ES_tradnl"/>
        </w:rPr>
      </w:pPr>
    </w:p>
    <w:p w14:paraId="43B89C99" w14:textId="4AE91C55" w:rsidR="002F6312" w:rsidRPr="00E86C3C" w:rsidRDefault="00C01853" w:rsidP="00DB2F43">
      <w:pPr>
        <w:shd w:val="clear" w:color="auto" w:fill="FFFFFF"/>
        <w:ind w:left="709" w:right="709"/>
        <w:jc w:val="both"/>
        <w:rPr>
          <w:rFonts w:ascii="Arial" w:hAnsi="Arial" w:cs="Arial"/>
          <w:noProof/>
          <w:sz w:val="21"/>
          <w:szCs w:val="21"/>
          <w:lang w:val="es-ES_tradnl"/>
        </w:rPr>
      </w:pPr>
      <w:r w:rsidRPr="00E86C3C">
        <w:rPr>
          <w:rFonts w:ascii="Arial" w:hAnsi="Arial" w:cs="Arial"/>
          <w:noProof/>
          <w:sz w:val="21"/>
          <w:szCs w:val="21"/>
          <w:lang w:val="es-ES_tradnl"/>
        </w:rPr>
        <w:t>«¿</w:t>
      </w:r>
      <w:r w:rsidR="0068004A" w:rsidRPr="00C95A9A">
        <w:rPr>
          <w:rFonts w:ascii="Arial" w:hAnsi="Arial" w:cs="Arial"/>
          <w:noProof/>
          <w:sz w:val="21"/>
          <w:szCs w:val="21"/>
          <w:lang w:val="es-ES_tradnl"/>
        </w:rPr>
        <w:t>La publicación y divulgación de la declaración de bienes y rentas, del registro de conflictos de interés y la declaración del impuesto sobre la renta y complementarios, debe exigirse por las entidades estatales a todas las personas naturales y jurídicas, públicas o privadas que administren, celebren contratos y ejecuten bienes o recursos públicos sin importar el tipo de contrato que se pretenda celebrar</w:t>
      </w:r>
      <w:r w:rsidRPr="00E86C3C">
        <w:rPr>
          <w:rFonts w:ascii="Arial" w:hAnsi="Arial" w:cs="Arial"/>
          <w:noProof/>
          <w:sz w:val="21"/>
          <w:szCs w:val="21"/>
          <w:lang w:val="es-ES_tradnl"/>
        </w:rPr>
        <w:t>?»</w:t>
      </w:r>
    </w:p>
    <w:p w14:paraId="1758E1DD" w14:textId="77777777" w:rsidR="00C01853" w:rsidRDefault="00C01853" w:rsidP="00295D8A">
      <w:pPr>
        <w:spacing w:after="120" w:line="276" w:lineRule="auto"/>
        <w:jc w:val="both"/>
        <w:rPr>
          <w:rStyle w:val="normaltextrun"/>
          <w:rFonts w:ascii="Arial" w:hAnsi="Arial" w:cs="Arial"/>
          <w:sz w:val="22"/>
          <w:shd w:val="clear" w:color="auto" w:fill="FFFFFF"/>
        </w:rPr>
      </w:pPr>
    </w:p>
    <w:p w14:paraId="19AA37F1" w14:textId="6AE101EF" w:rsidR="004D6FD6" w:rsidRDefault="004D6FD6" w:rsidP="004D6FD6">
      <w:pPr>
        <w:spacing w:after="120" w:line="276" w:lineRule="auto"/>
        <w:jc w:val="both"/>
        <w:rPr>
          <w:rFonts w:ascii="Arial" w:hAnsi="Arial" w:cs="Arial"/>
          <w:iCs/>
          <w:color w:val="000000" w:themeColor="text1"/>
          <w:sz w:val="22"/>
        </w:rPr>
      </w:pPr>
      <w:r>
        <w:rPr>
          <w:rFonts w:ascii="Arial" w:hAnsi="Arial" w:cs="Arial"/>
          <w:noProof/>
          <w:sz w:val="22"/>
        </w:rPr>
        <w:t xml:space="preserve">Según las consideraciones expuestas, Colombia Compra Eficiente considera que </w:t>
      </w:r>
      <w:r>
        <w:rPr>
          <w:rFonts w:ascii="Arial" w:hAnsi="Arial" w:cs="Arial"/>
          <w:noProof/>
          <w:sz w:val="22"/>
          <w:lang w:val="es-ES_tradnl"/>
        </w:rPr>
        <w:t>l</w:t>
      </w:r>
      <w:r w:rsidR="00E86C3C">
        <w:rPr>
          <w:rFonts w:ascii="Arial" w:hAnsi="Arial" w:cs="Arial"/>
          <w:noProof/>
          <w:sz w:val="22"/>
          <w:lang w:val="es-ES_tradnl"/>
        </w:rPr>
        <w:t>os literales f) y g) de la Ley 2013 de 2019 son causales que tipifican eventos en los que particulares</w:t>
      </w:r>
      <w:r>
        <w:rPr>
          <w:rFonts w:ascii="Arial" w:hAnsi="Arial" w:cs="Arial"/>
          <w:noProof/>
          <w:sz w:val="22"/>
          <w:lang w:val="es-ES_tradnl"/>
        </w:rPr>
        <w:t xml:space="preserve"> </w:t>
      </w:r>
      <w:r w:rsidR="00E86C3C">
        <w:rPr>
          <w:rFonts w:ascii="Arial" w:hAnsi="Arial" w:cs="Arial"/>
          <w:noProof/>
          <w:sz w:val="22"/>
          <w:lang w:val="es-ES_tradnl"/>
        </w:rPr>
        <w:t>devienen en sujetos obligados a aplicar la Ley 2013 de 2019.</w:t>
      </w:r>
      <w:r>
        <w:rPr>
          <w:rFonts w:ascii="Arial" w:hAnsi="Arial" w:cs="Arial"/>
          <w:noProof/>
          <w:sz w:val="22"/>
          <w:lang w:val="es-ES_tradnl"/>
        </w:rPr>
        <w:t xml:space="preserve"> Por virtud de esas normas, los</w:t>
      </w:r>
      <w:r w:rsidRPr="00993367">
        <w:rPr>
          <w:rFonts w:ascii="Arial" w:hAnsi="Arial" w:cs="Arial"/>
          <w:iCs/>
          <w:color w:val="000000" w:themeColor="text1"/>
          <w:sz w:val="22"/>
        </w:rPr>
        <w:t xml:space="preserve"> contratistas del Estado que se encuentran dentro del ámbito de aplicación de la Ley 2013 de 2019 son aquellos que ejercen función pública, presenten servicios </w:t>
      </w:r>
      <w:r w:rsidRPr="00993367">
        <w:rPr>
          <w:rFonts w:ascii="Arial" w:hAnsi="Arial" w:cs="Arial"/>
          <w:iCs/>
          <w:color w:val="000000" w:themeColor="text1"/>
          <w:sz w:val="22"/>
        </w:rPr>
        <w:lastRenderedPageBreak/>
        <w:t>públicos o administren bienes y recursos públicos</w:t>
      </w:r>
      <w:r>
        <w:rPr>
          <w:rFonts w:ascii="Arial" w:hAnsi="Arial" w:cs="Arial"/>
          <w:iCs/>
          <w:color w:val="000000" w:themeColor="text1"/>
          <w:sz w:val="22"/>
        </w:rPr>
        <w:t xml:space="preserve">. </w:t>
      </w:r>
      <w:r w:rsidR="00AA4474">
        <w:rPr>
          <w:rFonts w:ascii="Arial" w:hAnsi="Arial" w:cs="Arial"/>
          <w:iCs/>
          <w:color w:val="000000" w:themeColor="text1"/>
          <w:sz w:val="22"/>
        </w:rPr>
        <w:t>En este sentido, s</w:t>
      </w:r>
      <w:r w:rsidRPr="00993367">
        <w:rPr>
          <w:rFonts w:ascii="Arial" w:hAnsi="Arial" w:cs="Arial"/>
          <w:iCs/>
          <w:color w:val="000000" w:themeColor="text1"/>
          <w:sz w:val="22"/>
        </w:rPr>
        <w:t>olo cuando el contrato celebrado con el particular implique el ejercicio de alguna de las actividades anteriores, se considerará sujeto a las obligaciones contenidas en dicha ley</w:t>
      </w:r>
      <w:r>
        <w:rPr>
          <w:rFonts w:ascii="Arial" w:hAnsi="Arial" w:cs="Arial"/>
          <w:iCs/>
          <w:color w:val="000000" w:themeColor="text1"/>
          <w:sz w:val="22"/>
        </w:rPr>
        <w:t xml:space="preserve">, sin que la tipología contractual o el valor del contrato </w:t>
      </w:r>
      <w:r w:rsidR="00344F84">
        <w:rPr>
          <w:rFonts w:ascii="Arial" w:hAnsi="Arial" w:cs="Arial"/>
          <w:iCs/>
          <w:color w:val="000000" w:themeColor="text1"/>
          <w:sz w:val="22"/>
        </w:rPr>
        <w:t xml:space="preserve">sea el determinante. </w:t>
      </w:r>
    </w:p>
    <w:p w14:paraId="256E7805" w14:textId="7627AE57" w:rsidR="00344F84" w:rsidRDefault="004D6FD6" w:rsidP="00B13B2D">
      <w:pPr>
        <w:spacing w:after="120" w:line="276" w:lineRule="auto"/>
        <w:ind w:firstLine="708"/>
        <w:jc w:val="both"/>
        <w:rPr>
          <w:rFonts w:ascii="Arial" w:hAnsi="Arial" w:cs="Arial"/>
          <w:iCs/>
          <w:color w:val="000000" w:themeColor="text1"/>
          <w:sz w:val="22"/>
        </w:rPr>
      </w:pPr>
      <w:r w:rsidRPr="00993367">
        <w:rPr>
          <w:rFonts w:ascii="Arial" w:hAnsi="Arial" w:cs="Arial"/>
          <w:iCs/>
          <w:color w:val="000000" w:themeColor="text1"/>
          <w:sz w:val="22"/>
        </w:rPr>
        <w:t xml:space="preserve">Además, considerando que </w:t>
      </w:r>
      <w:r w:rsidR="00344F84">
        <w:rPr>
          <w:rFonts w:ascii="Arial" w:hAnsi="Arial" w:cs="Arial"/>
          <w:iCs/>
          <w:color w:val="000000" w:themeColor="text1"/>
          <w:sz w:val="22"/>
        </w:rPr>
        <w:t xml:space="preserve">la mayoría de las veces </w:t>
      </w:r>
      <w:r>
        <w:rPr>
          <w:rFonts w:ascii="Arial" w:hAnsi="Arial" w:cs="Arial"/>
          <w:iCs/>
          <w:color w:val="000000" w:themeColor="text1"/>
          <w:sz w:val="22"/>
        </w:rPr>
        <w:t xml:space="preserve">el contratista no ejerce alguna de las referidas actividades, </w:t>
      </w:r>
      <w:r w:rsidR="00344F84">
        <w:rPr>
          <w:rFonts w:ascii="Arial" w:hAnsi="Arial" w:cs="Arial"/>
          <w:iCs/>
          <w:color w:val="000000" w:themeColor="text1"/>
          <w:sz w:val="22"/>
        </w:rPr>
        <w:t xml:space="preserve">éstos </w:t>
      </w:r>
      <w:r w:rsidRPr="00993367">
        <w:rPr>
          <w:rFonts w:ascii="Arial" w:hAnsi="Arial" w:cs="Arial"/>
          <w:iCs/>
          <w:color w:val="000000" w:themeColor="text1"/>
          <w:sz w:val="22"/>
        </w:rPr>
        <w:t>no est</w:t>
      </w:r>
      <w:r w:rsidR="007617F2">
        <w:rPr>
          <w:rFonts w:ascii="Arial" w:hAnsi="Arial" w:cs="Arial"/>
          <w:iCs/>
          <w:color w:val="000000" w:themeColor="text1"/>
          <w:sz w:val="22"/>
        </w:rPr>
        <w:t>arían</w:t>
      </w:r>
      <w:r w:rsidRPr="00993367">
        <w:rPr>
          <w:rFonts w:ascii="Arial" w:hAnsi="Arial" w:cs="Arial"/>
          <w:iCs/>
          <w:color w:val="000000" w:themeColor="text1"/>
          <w:sz w:val="22"/>
        </w:rPr>
        <w:t xml:space="preserve"> sujetos a la Ley 2013 de 2019</w:t>
      </w:r>
      <w:r w:rsidR="00344F84">
        <w:rPr>
          <w:rFonts w:ascii="Arial" w:hAnsi="Arial" w:cs="Arial"/>
          <w:iCs/>
          <w:color w:val="000000" w:themeColor="text1"/>
          <w:sz w:val="22"/>
        </w:rPr>
        <w:t xml:space="preserve"> por regla general</w:t>
      </w:r>
      <w:r w:rsidR="00AA4474">
        <w:rPr>
          <w:rFonts w:ascii="Arial" w:hAnsi="Arial" w:cs="Arial"/>
          <w:iCs/>
          <w:color w:val="000000" w:themeColor="text1"/>
          <w:sz w:val="22"/>
        </w:rPr>
        <w:t>.</w:t>
      </w:r>
      <w:r w:rsidRPr="00993367">
        <w:rPr>
          <w:rFonts w:ascii="Arial" w:hAnsi="Arial" w:cs="Arial"/>
          <w:iCs/>
          <w:color w:val="000000" w:themeColor="text1"/>
          <w:sz w:val="22"/>
        </w:rPr>
        <w:t xml:space="preserve"> </w:t>
      </w:r>
      <w:r w:rsidR="00AA4474">
        <w:rPr>
          <w:rFonts w:ascii="Arial" w:hAnsi="Arial" w:cs="Arial"/>
          <w:iCs/>
          <w:color w:val="000000" w:themeColor="text1"/>
          <w:sz w:val="22"/>
        </w:rPr>
        <w:t>S</w:t>
      </w:r>
      <w:r w:rsidRPr="00993367">
        <w:rPr>
          <w:rFonts w:ascii="Arial" w:hAnsi="Arial" w:cs="Arial"/>
          <w:iCs/>
          <w:color w:val="000000" w:themeColor="text1"/>
          <w:sz w:val="22"/>
        </w:rPr>
        <w:t xml:space="preserve">in embargo, en cada contrato en particular se deberá analizar </w:t>
      </w:r>
      <w:r w:rsidR="00344F84">
        <w:rPr>
          <w:rFonts w:ascii="Arial" w:hAnsi="Arial" w:cs="Arial"/>
          <w:iCs/>
          <w:color w:val="000000" w:themeColor="text1"/>
          <w:sz w:val="22"/>
        </w:rPr>
        <w:t xml:space="preserve">si existe </w:t>
      </w:r>
      <w:r w:rsidRPr="00993367">
        <w:rPr>
          <w:rFonts w:ascii="Arial" w:hAnsi="Arial" w:cs="Arial"/>
          <w:iCs/>
          <w:color w:val="000000" w:themeColor="text1"/>
          <w:sz w:val="22"/>
        </w:rPr>
        <w:t xml:space="preserve">la realización de alguna de las actividades indicadas, conforme a las consideraciones señaladas en este concepto, para definir la aplicación o no </w:t>
      </w:r>
      <w:r w:rsidR="00344F84">
        <w:rPr>
          <w:rFonts w:ascii="Arial" w:hAnsi="Arial" w:cs="Arial"/>
          <w:iCs/>
          <w:color w:val="000000" w:themeColor="text1"/>
          <w:sz w:val="22"/>
        </w:rPr>
        <w:t xml:space="preserve">de la Ley 2013 de 2019. </w:t>
      </w:r>
    </w:p>
    <w:p w14:paraId="2449BDD5" w14:textId="77777777" w:rsidR="00B13B2D" w:rsidRDefault="00B13B2D" w:rsidP="00A54749">
      <w:pPr>
        <w:spacing w:after="120" w:line="276" w:lineRule="auto"/>
        <w:ind w:firstLine="708"/>
        <w:jc w:val="both"/>
        <w:rPr>
          <w:rFonts w:ascii="Arial" w:hAnsi="Arial" w:cs="Arial"/>
          <w:iCs/>
          <w:color w:val="000000" w:themeColor="text1"/>
          <w:sz w:val="22"/>
        </w:rPr>
      </w:pPr>
    </w:p>
    <w:p w14:paraId="544609D3" w14:textId="1D461A5F" w:rsidR="000920F0" w:rsidRPr="004D6FD6" w:rsidRDefault="000920F0" w:rsidP="004D6FD6">
      <w:pPr>
        <w:spacing w:after="120" w:line="276" w:lineRule="auto"/>
        <w:jc w:val="both"/>
        <w:rPr>
          <w:rFonts w:ascii="Arial" w:hAnsi="Arial" w:cs="Arial"/>
          <w:iCs/>
          <w:color w:val="000000" w:themeColor="text1"/>
          <w:sz w:val="22"/>
        </w:rPr>
      </w:pPr>
      <w:r w:rsidRPr="00295D8A">
        <w:rPr>
          <w:rFonts w:ascii="Arial" w:hAnsi="Arial" w:cs="Arial"/>
          <w:noProof/>
          <w:sz w:val="22"/>
          <w:lang w:val="es-ES_tradnl"/>
        </w:rPr>
        <w:t>Este concepto tiene el alcance previsto en el artículo 28 del Código de Procedimiento Administrativo y de lo Contencioso Administrativo</w:t>
      </w:r>
      <w:r w:rsidR="00A568E5" w:rsidRPr="00295D8A">
        <w:rPr>
          <w:rFonts w:ascii="Arial" w:hAnsi="Arial" w:cs="Arial"/>
          <w:noProof/>
          <w:sz w:val="22"/>
          <w:lang w:val="es-ES_tradnl"/>
        </w:rPr>
        <w:t>.</w:t>
      </w:r>
    </w:p>
    <w:p w14:paraId="72B1ECAA" w14:textId="77777777" w:rsidR="00150A83" w:rsidRPr="00295D8A" w:rsidRDefault="00150A83" w:rsidP="00F106B5">
      <w:pPr>
        <w:spacing w:line="276" w:lineRule="auto"/>
        <w:jc w:val="both"/>
        <w:rPr>
          <w:rFonts w:ascii="Arial" w:hAnsi="Arial" w:cs="Arial"/>
          <w:noProof/>
          <w:sz w:val="22"/>
          <w:lang w:val="es-ES_tradnl"/>
        </w:rPr>
      </w:pPr>
    </w:p>
    <w:p w14:paraId="2A352265" w14:textId="77777777" w:rsidR="000920F0" w:rsidRPr="00295D8A" w:rsidRDefault="000920F0" w:rsidP="00F106B5">
      <w:pPr>
        <w:spacing w:line="276" w:lineRule="auto"/>
        <w:jc w:val="both"/>
        <w:rPr>
          <w:rFonts w:ascii="Arial" w:hAnsi="Arial" w:cs="Arial"/>
          <w:noProof/>
          <w:sz w:val="22"/>
          <w:lang w:val="es-ES_tradnl"/>
        </w:rPr>
      </w:pPr>
      <w:r w:rsidRPr="00295D8A">
        <w:rPr>
          <w:rFonts w:ascii="Arial" w:hAnsi="Arial" w:cs="Arial"/>
          <w:noProof/>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a="http://schemas.openxmlformats.org/drawingml/2006/main" xmlns:pic="http://schemas.openxmlformats.org/drawingml/2006/picture" xmlns:a14="http://schemas.microsoft.com/office/drawing/2010/main">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53B0AB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5D16A13B" w14:textId="77777777" w:rsidR="00033726" w:rsidRPr="00295D8A" w:rsidRDefault="00033726" w:rsidP="00033726">
      <w:pPr>
        <w:rPr>
          <w:rFonts w:ascii="Arial" w:eastAsia="Times New Roman" w:hAnsi="Arial" w:cs="Arial"/>
          <w:sz w:val="22"/>
          <w:lang w:val="es-CO" w:eastAsia="es-CO"/>
        </w:rPr>
      </w:pPr>
      <w:bookmarkStart w:id="4" w:name="_Hlk50986665"/>
      <w:bookmarkStart w:id="5" w:name="_Hlk55258198"/>
      <w:bookmarkEnd w:id="2"/>
      <w:r w:rsidRPr="00295D8A">
        <w:rPr>
          <w:rFonts w:ascii="Arial" w:hAnsi="Arial" w:cs="Arial"/>
          <w:sz w:val="22"/>
          <w:lang w:eastAsia="es-CO"/>
        </w:rPr>
        <w:t>Atentamente,</w:t>
      </w:r>
    </w:p>
    <w:p w14:paraId="48343DC8" w14:textId="77777777" w:rsidR="00033726" w:rsidRPr="00295D8A" w:rsidRDefault="00033726" w:rsidP="00033726">
      <w:pPr>
        <w:rPr>
          <w:rFonts w:ascii="Arial" w:hAnsi="Arial" w:cs="Arial"/>
          <w:sz w:val="22"/>
          <w:lang w:eastAsia="es-CO"/>
        </w:rPr>
      </w:pPr>
    </w:p>
    <w:p w14:paraId="17330A55" w14:textId="0CB8DA4A" w:rsidR="00033726" w:rsidRPr="00295D8A" w:rsidRDefault="001E36F1" w:rsidP="00033726">
      <w:pPr>
        <w:jc w:val="center"/>
        <w:rPr>
          <w:rFonts w:ascii="Arial" w:hAnsi="Arial" w:cs="Arial"/>
          <w:sz w:val="18"/>
          <w:szCs w:val="20"/>
          <w:lang w:eastAsia="es-CO"/>
        </w:rPr>
      </w:pPr>
      <w:r w:rsidRPr="00B25B3D">
        <w:rPr>
          <w:rFonts w:ascii="Arial" w:hAnsi="Arial" w:cs="Arial"/>
          <w:noProof/>
          <w:sz w:val="18"/>
          <w:szCs w:val="20"/>
          <w:lang w:eastAsia="es-CO"/>
        </w:rPr>
        <w:drawing>
          <wp:inline distT="0" distB="0" distL="0" distR="0" wp14:anchorId="2A9AFF6F" wp14:editId="174601CB">
            <wp:extent cx="1673225" cy="739140"/>
            <wp:effectExtent l="0" t="0" r="3175" b="0"/>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3225" cy="739140"/>
                    </a:xfrm>
                    <a:prstGeom prst="rect">
                      <a:avLst/>
                    </a:prstGeom>
                    <a:noFill/>
                    <a:ln>
                      <a:noFill/>
                    </a:ln>
                  </pic:spPr>
                </pic:pic>
              </a:graphicData>
            </a:graphic>
          </wp:inline>
        </w:drawing>
      </w:r>
    </w:p>
    <w:p w14:paraId="1C202F34" w14:textId="77777777" w:rsidR="00033726" w:rsidRPr="00295D8A" w:rsidRDefault="00033726" w:rsidP="00033726">
      <w:pPr>
        <w:jc w:val="center"/>
        <w:rPr>
          <w:rFonts w:ascii="Arial" w:hAnsi="Arial" w:cs="Arial"/>
          <w:sz w:val="18"/>
          <w:szCs w:val="20"/>
          <w:lang w:eastAsia="es-CO"/>
        </w:rPr>
      </w:pPr>
    </w:p>
    <w:p w14:paraId="19BFACF1" w14:textId="77777777" w:rsidR="00033726" w:rsidRPr="00295D8A" w:rsidRDefault="00033726" w:rsidP="00033726">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95D8A" w:rsidRPr="00295D8A" w14:paraId="6B2C663A" w14:textId="77777777" w:rsidTr="00D14CDD">
        <w:trPr>
          <w:trHeight w:val="315"/>
        </w:trPr>
        <w:tc>
          <w:tcPr>
            <w:tcW w:w="488" w:type="dxa"/>
            <w:vAlign w:val="center"/>
            <w:hideMark/>
          </w:tcPr>
          <w:p w14:paraId="695A653A"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1FE6B16E" w14:textId="56F1DBE0" w:rsidR="00033726" w:rsidRDefault="00344F84" w:rsidP="00D14CDD">
            <w:pPr>
              <w:rPr>
                <w:rFonts w:ascii="Arial" w:hAnsi="Arial" w:cs="Arial"/>
                <w:sz w:val="16"/>
                <w:szCs w:val="16"/>
                <w:lang w:eastAsia="es-ES"/>
              </w:rPr>
            </w:pPr>
            <w:r>
              <w:rPr>
                <w:rFonts w:ascii="Arial" w:hAnsi="Arial" w:cs="Arial"/>
                <w:sz w:val="16"/>
                <w:szCs w:val="16"/>
                <w:lang w:eastAsia="es-ES"/>
              </w:rPr>
              <w:t>Felipe Bastidas P</w:t>
            </w:r>
            <w:r w:rsidR="00445C08">
              <w:rPr>
                <w:rFonts w:ascii="Arial" w:hAnsi="Arial" w:cs="Arial"/>
                <w:sz w:val="16"/>
                <w:szCs w:val="16"/>
                <w:lang w:eastAsia="es-ES"/>
              </w:rPr>
              <w:t>aredes</w:t>
            </w:r>
          </w:p>
          <w:p w14:paraId="76A9CD0D" w14:textId="23E270BB" w:rsidR="00344F84" w:rsidRPr="00295D8A" w:rsidRDefault="00344F84" w:rsidP="00D14CDD">
            <w:pPr>
              <w:rPr>
                <w:rFonts w:ascii="Arial" w:hAnsi="Arial" w:cs="Arial"/>
                <w:sz w:val="16"/>
                <w:szCs w:val="16"/>
                <w:lang w:eastAsia="es-ES"/>
              </w:rPr>
            </w:pPr>
            <w:r w:rsidRPr="00295D8A">
              <w:rPr>
                <w:rFonts w:ascii="Arial" w:hAnsi="Arial" w:cs="Arial"/>
                <w:sz w:val="16"/>
                <w:szCs w:val="16"/>
                <w:lang w:eastAsia="es-ES"/>
              </w:rPr>
              <w:t>Contratista de la Subdirección de Gestión Contractual</w:t>
            </w:r>
          </w:p>
        </w:tc>
      </w:tr>
      <w:tr w:rsidR="00295D8A" w:rsidRPr="00295D8A" w14:paraId="24F7903D" w14:textId="77777777" w:rsidTr="00D14CDD">
        <w:trPr>
          <w:trHeight w:val="330"/>
        </w:trPr>
        <w:tc>
          <w:tcPr>
            <w:tcW w:w="488" w:type="dxa"/>
            <w:vAlign w:val="center"/>
            <w:hideMark/>
          </w:tcPr>
          <w:p w14:paraId="215ABEAD"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51B336" w14:textId="6F197FD8" w:rsidR="00033726" w:rsidRPr="00295D8A" w:rsidRDefault="00344F84" w:rsidP="00D14CDD">
            <w:pPr>
              <w:rPr>
                <w:rFonts w:ascii="Arial" w:hAnsi="Arial" w:cs="Arial"/>
                <w:sz w:val="16"/>
                <w:szCs w:val="16"/>
                <w:lang w:eastAsia="es-ES"/>
              </w:rPr>
            </w:pPr>
            <w:r>
              <w:rPr>
                <w:rFonts w:ascii="Arial" w:hAnsi="Arial" w:cs="Arial"/>
                <w:sz w:val="16"/>
                <w:szCs w:val="16"/>
                <w:lang w:eastAsia="es-ES"/>
              </w:rPr>
              <w:t>Sebastián Ram</w:t>
            </w:r>
            <w:r w:rsidR="007617F2">
              <w:rPr>
                <w:rFonts w:ascii="Arial" w:hAnsi="Arial" w:cs="Arial"/>
                <w:sz w:val="16"/>
                <w:szCs w:val="16"/>
                <w:lang w:eastAsia="es-ES"/>
              </w:rPr>
              <w:t>í</w:t>
            </w:r>
            <w:r>
              <w:rPr>
                <w:rFonts w:ascii="Arial" w:hAnsi="Arial" w:cs="Arial"/>
                <w:sz w:val="16"/>
                <w:szCs w:val="16"/>
                <w:lang w:eastAsia="es-ES"/>
              </w:rPr>
              <w:t>rez Grisales</w:t>
            </w:r>
          </w:p>
          <w:p w14:paraId="2654F995" w14:textId="57976972" w:rsidR="00033726" w:rsidRPr="00295D8A" w:rsidRDefault="002B3930" w:rsidP="00D14CDD">
            <w:pPr>
              <w:rPr>
                <w:rFonts w:ascii="Arial" w:hAnsi="Arial" w:cs="Arial"/>
                <w:sz w:val="16"/>
                <w:szCs w:val="16"/>
                <w:lang w:eastAsia="es-ES"/>
              </w:rPr>
            </w:pPr>
            <w:r>
              <w:rPr>
                <w:rFonts w:ascii="Arial" w:hAnsi="Arial" w:cs="Arial"/>
                <w:sz w:val="16"/>
                <w:szCs w:val="16"/>
                <w:lang w:eastAsia="es-ES"/>
              </w:rPr>
              <w:t xml:space="preserve">Gestor T1 – 15 </w:t>
            </w:r>
            <w:r w:rsidR="00033726" w:rsidRPr="00295D8A">
              <w:rPr>
                <w:rFonts w:ascii="Arial" w:hAnsi="Arial" w:cs="Arial"/>
                <w:sz w:val="16"/>
                <w:szCs w:val="16"/>
                <w:lang w:eastAsia="es-ES"/>
              </w:rPr>
              <w:t>de la Subdirección de Gestión Contractual</w:t>
            </w:r>
          </w:p>
        </w:tc>
      </w:tr>
      <w:tr w:rsidR="00295D8A" w:rsidRPr="00295D8A" w14:paraId="12FFD112" w14:textId="77777777" w:rsidTr="00D14CDD">
        <w:trPr>
          <w:trHeight w:val="300"/>
        </w:trPr>
        <w:tc>
          <w:tcPr>
            <w:tcW w:w="488" w:type="dxa"/>
            <w:vAlign w:val="center"/>
            <w:hideMark/>
          </w:tcPr>
          <w:p w14:paraId="48653619"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D930ED"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Jorge Augusto Tirado Navarro</w:t>
            </w:r>
          </w:p>
          <w:p w14:paraId="4036D7C1"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Subdirector de Gestión Contractual</w:t>
            </w:r>
          </w:p>
        </w:tc>
      </w:tr>
      <w:tr w:rsidR="00033726" w:rsidRPr="00295D8A" w14:paraId="3AD4D574" w14:textId="77777777" w:rsidTr="00D14CDD">
        <w:trPr>
          <w:trHeight w:val="300"/>
        </w:trPr>
        <w:tc>
          <w:tcPr>
            <w:tcW w:w="488" w:type="dxa"/>
            <w:vAlign w:val="center"/>
            <w:hideMark/>
          </w:tcPr>
          <w:p w14:paraId="7B045DBA"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C9FA1"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0</w:t>
            </w:r>
          </w:p>
        </w:tc>
        <w:bookmarkEnd w:id="4"/>
      </w:tr>
      <w:bookmarkEnd w:id="5"/>
    </w:tbl>
    <w:p w14:paraId="7EBF297E" w14:textId="77777777" w:rsidR="007B0854" w:rsidRPr="00295D8A" w:rsidRDefault="007B0854" w:rsidP="00914791">
      <w:pPr>
        <w:pStyle w:val="NormalWeb"/>
        <w:spacing w:before="0" w:beforeAutospacing="0" w:after="0" w:afterAutospacing="0" w:line="276" w:lineRule="auto"/>
        <w:jc w:val="both"/>
        <w:rPr>
          <w:rFonts w:ascii="Arial" w:hAnsi="Arial" w:cs="Arial"/>
          <w:noProof/>
          <w:lang w:val="es-ES_tradnl"/>
        </w:rPr>
      </w:pPr>
    </w:p>
    <w:sectPr w:rsidR="007B0854" w:rsidRPr="00295D8A" w:rsidSect="004A34D2">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A9C13" w14:textId="77777777" w:rsidR="00EE212F" w:rsidRDefault="00EE212F">
      <w:r>
        <w:separator/>
      </w:r>
    </w:p>
  </w:endnote>
  <w:endnote w:type="continuationSeparator" w:id="0">
    <w:p w14:paraId="4DA61032" w14:textId="77777777" w:rsidR="00EE212F" w:rsidRDefault="00EE212F">
      <w:r>
        <w:continuationSeparator/>
      </w:r>
    </w:p>
  </w:endnote>
  <w:endnote w:type="continuationNotice" w:id="1">
    <w:p w14:paraId="7629B1C0" w14:textId="77777777" w:rsidR="00EE212F" w:rsidRDefault="00EE2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ï'E5˛">
    <w:altName w:val="Calibri"/>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70032" w14:textId="77777777" w:rsidR="00F44916" w:rsidRDefault="00F44916" w:rsidP="00856133">
    <w:pPr>
      <w:pStyle w:val="Sinespaciado"/>
      <w:jc w:val="right"/>
      <w:rPr>
        <w:rFonts w:ascii="Arial" w:hAnsi="Arial" w:cs="Arial"/>
        <w:sz w:val="18"/>
        <w:szCs w:val="18"/>
      </w:rPr>
    </w:pPr>
  </w:p>
  <w:p w14:paraId="512F463F" w14:textId="54B3CCBC" w:rsidR="00F44916" w:rsidRPr="008217B7" w:rsidRDefault="00F44916"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1DA6AEB0" w14:textId="77777777" w:rsidR="00F44916" w:rsidRDefault="30ADF538" w:rsidP="00856133">
    <w:pPr>
      <w:pStyle w:val="Piedepgina"/>
      <w:jc w:val="center"/>
      <w:rPr>
        <w:lang w:val="es-ES"/>
      </w:rPr>
    </w:pPr>
    <w:r>
      <w:rPr>
        <w:noProof/>
      </w:rPr>
      <w:drawing>
        <wp:inline distT="0" distB="0" distL="0" distR="0" wp14:anchorId="6A1C2C0F" wp14:editId="7A150B53">
          <wp:extent cx="3700130" cy="519139"/>
          <wp:effectExtent l="0" t="0" r="0" b="0"/>
          <wp:docPr id="3613310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F44916" w:rsidRDefault="00F44916" w:rsidP="00856133">
    <w:pPr>
      <w:pStyle w:val="Piedepgina"/>
      <w:jc w:val="center"/>
      <w:rPr>
        <w:lang w:val="es-ES"/>
      </w:rPr>
    </w:pPr>
  </w:p>
  <w:p w14:paraId="70077B90" w14:textId="77777777" w:rsidR="00F44916" w:rsidRPr="007B0854" w:rsidRDefault="00F44916" w:rsidP="00856133">
    <w:pPr>
      <w:pStyle w:val="Piedepgina"/>
      <w:jc w:val="center"/>
      <w:rPr>
        <w:lang w:val="es-ES"/>
      </w:rPr>
    </w:pPr>
  </w:p>
  <w:p w14:paraId="6C0EFC49" w14:textId="77777777" w:rsidR="00F44916" w:rsidRPr="00856133" w:rsidRDefault="00F44916"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E21FA" w14:textId="77777777" w:rsidR="00EE212F" w:rsidRDefault="00EE212F">
      <w:r>
        <w:separator/>
      </w:r>
    </w:p>
  </w:footnote>
  <w:footnote w:type="continuationSeparator" w:id="0">
    <w:p w14:paraId="7B4533D9" w14:textId="77777777" w:rsidR="00EE212F" w:rsidRDefault="00EE212F">
      <w:r>
        <w:continuationSeparator/>
      </w:r>
    </w:p>
  </w:footnote>
  <w:footnote w:type="continuationNotice" w:id="1">
    <w:p w14:paraId="267487EC" w14:textId="77777777" w:rsidR="00EE212F" w:rsidRDefault="00EE212F"/>
  </w:footnote>
  <w:footnote w:id="2">
    <w:p w14:paraId="3B33B6F4" w14:textId="77777777" w:rsidR="00AA4474" w:rsidRPr="00993367" w:rsidRDefault="00AA4474" w:rsidP="00AA4474">
      <w:pPr>
        <w:pStyle w:val="Textonotapie"/>
        <w:ind w:firstLine="708"/>
        <w:jc w:val="both"/>
        <w:rPr>
          <w:rFonts w:ascii="Arial" w:hAnsi="Arial" w:cs="Arial"/>
          <w:color w:val="000000" w:themeColor="text1"/>
          <w:sz w:val="19"/>
          <w:szCs w:val="19"/>
        </w:rPr>
      </w:pPr>
      <w:r w:rsidRPr="00993367">
        <w:rPr>
          <w:rStyle w:val="Refdenotaalpie"/>
          <w:rFonts w:ascii="Arial" w:hAnsi="Arial" w:cs="Arial"/>
          <w:color w:val="000000" w:themeColor="text1"/>
          <w:sz w:val="19"/>
          <w:szCs w:val="19"/>
        </w:rPr>
        <w:footnoteRef/>
      </w:r>
      <w:r w:rsidRPr="00993367">
        <w:rPr>
          <w:rFonts w:ascii="Arial" w:hAnsi="Arial" w:cs="Arial"/>
          <w:color w:val="000000" w:themeColor="text1"/>
          <w:sz w:val="19"/>
          <w:szCs w:val="19"/>
        </w:rPr>
        <w:t xml:space="preserve"> Corte Constitucional. Sentencia C-563 de 1998. M.P. Antonio Barrera Carbonell y Carlos Gaviria Diaz.</w:t>
      </w:r>
    </w:p>
    <w:p w14:paraId="49FE8927" w14:textId="77777777" w:rsidR="00AA4474" w:rsidRPr="00993367" w:rsidRDefault="00AA4474" w:rsidP="00AA4474">
      <w:pPr>
        <w:pStyle w:val="Textonotapie"/>
        <w:ind w:firstLine="708"/>
        <w:jc w:val="both"/>
        <w:rPr>
          <w:rFonts w:ascii="Arial" w:hAnsi="Arial" w:cs="Arial"/>
          <w:color w:val="000000" w:themeColor="text1"/>
          <w:sz w:val="19"/>
          <w:szCs w:val="19"/>
          <w:lang w:val="es-CO"/>
        </w:rPr>
      </w:pPr>
    </w:p>
  </w:footnote>
  <w:footnote w:id="3">
    <w:p w14:paraId="44E08731" w14:textId="77777777" w:rsidR="00AA4474" w:rsidRPr="00993367" w:rsidRDefault="00AA4474" w:rsidP="00AA4474">
      <w:pPr>
        <w:pStyle w:val="Textonotapie"/>
        <w:ind w:firstLine="708"/>
        <w:jc w:val="both"/>
        <w:rPr>
          <w:rFonts w:ascii="Arial" w:hAnsi="Arial" w:cs="Arial"/>
          <w:color w:val="000000" w:themeColor="text1"/>
          <w:sz w:val="19"/>
          <w:szCs w:val="19"/>
        </w:rPr>
      </w:pPr>
      <w:r w:rsidRPr="00993367">
        <w:rPr>
          <w:rStyle w:val="Refdenotaalpie"/>
          <w:rFonts w:ascii="Arial" w:hAnsi="Arial" w:cs="Arial"/>
          <w:color w:val="000000" w:themeColor="text1"/>
          <w:sz w:val="19"/>
          <w:szCs w:val="19"/>
        </w:rPr>
        <w:footnoteRef/>
      </w:r>
      <w:r w:rsidRPr="00993367">
        <w:rPr>
          <w:rFonts w:ascii="Arial" w:hAnsi="Arial" w:cs="Arial"/>
          <w:color w:val="000000" w:themeColor="text1"/>
          <w:sz w:val="19"/>
          <w:szCs w:val="19"/>
        </w:rPr>
        <w:t xml:space="preserve"> La misma sentencia expresó: «Los contratistas, como sujetos particulares, no pierden su calidad de tales porque su vinculación jurídica a la entidad estatal no les confiere una investidura pública, pues si bien por el contrato reciben el encargo de realizar una actividad o prestación de interés o utilidad pública, con autonomía y cierta libertad operativa frente al organismo contratante, ello no conlleva de suyo el ejercicio de una función pública. </w:t>
      </w:r>
    </w:p>
    <w:p w14:paraId="74AF3D76" w14:textId="77777777" w:rsidR="00AA4474" w:rsidRPr="00993367" w:rsidRDefault="00AA4474" w:rsidP="00AA4474">
      <w:pPr>
        <w:pStyle w:val="Textonotapie"/>
        <w:ind w:firstLine="708"/>
        <w:jc w:val="both"/>
        <w:rPr>
          <w:rFonts w:ascii="Arial" w:hAnsi="Arial" w:cs="Arial"/>
          <w:color w:val="000000" w:themeColor="text1"/>
          <w:sz w:val="19"/>
          <w:szCs w:val="19"/>
        </w:rPr>
      </w:pPr>
      <w:r w:rsidRPr="00993367">
        <w:rPr>
          <w:rFonts w:ascii="Arial" w:hAnsi="Arial" w:cs="Arial"/>
          <w:color w:val="000000" w:themeColor="text1"/>
          <w:sz w:val="19"/>
          <w:szCs w:val="19"/>
        </w:rPr>
        <w:t xml:space="preserve">»Lo anterior es evidente, si se observa que el propósito de la entidad estatal no es el de transferir funciones públicas a los contratistas, las cuales conserva, sino la de conseguir la ejecución práctica del objeto contractual, en aras de realizar materialmente los cometidos públicos a ella asignados. Por lo tanto, por ejemplo, en el contrato de obra pública el contratista no es receptor de una función pública, su labor que es estrictamente material y no jurídica, se reduce a construir o reparar la obra pública que requiere el ente estatal para el alcanzar los fines que le son propios. Lo mismo puede predicarse, por regla general, cuando se trata de la realización de otros objetos contractuales (suministro de bienes y servicios, compraventa de bienes muebles, etc.). </w:t>
      </w:r>
    </w:p>
    <w:p w14:paraId="01D5CFD5" w14:textId="77777777" w:rsidR="00AA4474" w:rsidRPr="00993367" w:rsidRDefault="00AA4474" w:rsidP="00AA4474">
      <w:pPr>
        <w:pStyle w:val="Textonotapie"/>
        <w:ind w:firstLine="708"/>
        <w:jc w:val="both"/>
        <w:rPr>
          <w:rFonts w:ascii="Arial" w:hAnsi="Arial" w:cs="Arial"/>
          <w:color w:val="000000" w:themeColor="text1"/>
          <w:sz w:val="19"/>
          <w:szCs w:val="19"/>
        </w:rPr>
      </w:pPr>
      <w:r w:rsidRPr="00993367">
        <w:rPr>
          <w:rFonts w:ascii="Arial" w:hAnsi="Arial" w:cs="Arial"/>
          <w:color w:val="000000" w:themeColor="text1"/>
          <w:sz w:val="19"/>
          <w:szCs w:val="19"/>
        </w:rPr>
        <w:t>»En las circunstancias descritas, el contratista se constituye en un colaborador o instrumento de la entidad estatal para la realización de actividades o prestaciones que interesan a los fines públicos, pero no en un delegatario o depositario de sus funciones».</w:t>
      </w:r>
    </w:p>
    <w:p w14:paraId="0292CA84" w14:textId="77777777" w:rsidR="00AA4474" w:rsidRPr="00993367" w:rsidRDefault="00AA4474" w:rsidP="00AA4474">
      <w:pPr>
        <w:pStyle w:val="Textonotapie"/>
        <w:ind w:firstLine="708"/>
        <w:jc w:val="both"/>
        <w:rPr>
          <w:rFonts w:ascii="Arial" w:hAnsi="Arial" w:cs="Arial"/>
          <w:color w:val="000000" w:themeColor="text1"/>
          <w:sz w:val="19"/>
          <w:szCs w:val="19"/>
          <w:lang w:val="es-CO"/>
        </w:rPr>
      </w:pPr>
    </w:p>
  </w:footnote>
  <w:footnote w:id="4">
    <w:p w14:paraId="546FDCE8" w14:textId="77777777" w:rsidR="00AA4474" w:rsidRPr="00993367" w:rsidRDefault="00AA4474" w:rsidP="00AA4474">
      <w:pPr>
        <w:pStyle w:val="Textonotapie"/>
        <w:ind w:firstLine="708"/>
        <w:jc w:val="both"/>
        <w:rPr>
          <w:rFonts w:ascii="Arial" w:hAnsi="Arial" w:cs="Arial"/>
          <w:color w:val="000000" w:themeColor="text1"/>
          <w:sz w:val="19"/>
          <w:szCs w:val="19"/>
        </w:rPr>
      </w:pPr>
      <w:r w:rsidRPr="00993367">
        <w:rPr>
          <w:rStyle w:val="Refdenotaalpie"/>
          <w:rFonts w:ascii="Arial" w:hAnsi="Arial" w:cs="Arial"/>
          <w:color w:val="000000" w:themeColor="text1"/>
          <w:sz w:val="19"/>
          <w:szCs w:val="19"/>
        </w:rPr>
        <w:footnoteRef/>
      </w:r>
      <w:r w:rsidRPr="00993367">
        <w:rPr>
          <w:rFonts w:ascii="Arial" w:hAnsi="Arial" w:cs="Arial"/>
          <w:color w:val="000000" w:themeColor="text1"/>
          <w:sz w:val="19"/>
          <w:szCs w:val="19"/>
        </w:rPr>
        <w:t xml:space="preserve"> «Es precisamente este carácter excepcional y alternativo el que conduce a la Sala a afirmar que el contratista de prestación de servicios en sentido estricto (sea persona natural o jurídica) no adelanta funciones de carácter administrativo, pues las prestaciones por éste desplegadas no se traducen en el ejercicio mismo de las competencias administrativas atribuidas a la entidad por el ordenamiento jurídico sino en una colaboración o apoyo en su cumplimiento […]» (Consejo de Estado. Sala de Consulta y Servicio Civil. Concepto del 2 de diciembre de 1996. Exp. 12.748. M. P. Juan de Dios Montés Hernández). En sentido similar, en sentencia del 16 de agosto de 2012 el Consejo de Estado expresó: «La ley 80 de 1993 señala que el objeto del contrato de prestación de servicios es el adelantamiento de actividades relacionadas con el funcionamiento y administración de la entidad, de forma tal que no se trata de una suplencia de las competencias de la administración sino de labores que tienen una conexión o correspondencia con las mismas» (Consejo de Estado. Sección Tercera. Sentencia del 16 de agosto de 2012. Exp. 22.822).</w:t>
      </w:r>
    </w:p>
  </w:footnote>
  <w:footnote w:id="5">
    <w:p w14:paraId="627A8E89" w14:textId="77777777" w:rsidR="00AA4474" w:rsidRPr="00993367" w:rsidRDefault="00AA4474" w:rsidP="00AA4474">
      <w:pPr>
        <w:pStyle w:val="Textonotapie"/>
        <w:ind w:firstLine="708"/>
        <w:jc w:val="both"/>
        <w:rPr>
          <w:rFonts w:ascii="Arial" w:hAnsi="Arial" w:cs="Arial"/>
          <w:color w:val="000000" w:themeColor="text1"/>
          <w:sz w:val="19"/>
          <w:szCs w:val="19"/>
        </w:rPr>
      </w:pPr>
      <w:r w:rsidRPr="00993367">
        <w:rPr>
          <w:rStyle w:val="Refdenotaalpie"/>
          <w:rFonts w:ascii="Arial" w:hAnsi="Arial" w:cs="Arial"/>
          <w:color w:val="000000" w:themeColor="text1"/>
          <w:sz w:val="19"/>
          <w:szCs w:val="19"/>
        </w:rPr>
        <w:footnoteRef/>
      </w:r>
      <w:r w:rsidRPr="00993367">
        <w:rPr>
          <w:rFonts w:ascii="Arial" w:hAnsi="Arial" w:cs="Arial"/>
          <w:color w:val="000000" w:themeColor="text1"/>
          <w:sz w:val="19"/>
          <w:szCs w:val="19"/>
        </w:rPr>
        <w:t xml:space="preserve"> Congreso de la República. Gaceta 740 del 20 de septiembre de 2018. p. 28 y ss.</w:t>
      </w:r>
    </w:p>
    <w:p w14:paraId="12BB034D" w14:textId="77777777" w:rsidR="00AA4474" w:rsidRPr="00993367" w:rsidRDefault="00AA4474" w:rsidP="00AA4474">
      <w:pPr>
        <w:pStyle w:val="Textonotapie"/>
        <w:ind w:firstLine="708"/>
        <w:jc w:val="both"/>
        <w:rPr>
          <w:rFonts w:ascii="Arial" w:hAnsi="Arial" w:cs="Arial"/>
          <w:color w:val="000000" w:themeColor="text1"/>
          <w:sz w:val="19"/>
          <w:szCs w:val="19"/>
          <w:lang w:val="es-CO"/>
        </w:rPr>
      </w:pPr>
    </w:p>
  </w:footnote>
  <w:footnote w:id="6">
    <w:p w14:paraId="2B7A592C" w14:textId="77777777" w:rsidR="00AA4474" w:rsidRPr="00993367" w:rsidRDefault="00AA4474" w:rsidP="00AA4474">
      <w:pPr>
        <w:pStyle w:val="Textonotapie"/>
        <w:tabs>
          <w:tab w:val="left" w:pos="5245"/>
        </w:tabs>
        <w:ind w:firstLine="708"/>
        <w:jc w:val="both"/>
        <w:rPr>
          <w:rFonts w:ascii="Arial" w:hAnsi="Arial" w:cs="Arial"/>
          <w:color w:val="000000" w:themeColor="text1"/>
          <w:sz w:val="19"/>
          <w:szCs w:val="19"/>
        </w:rPr>
      </w:pPr>
      <w:r w:rsidRPr="00993367">
        <w:rPr>
          <w:rStyle w:val="Refdenotaalpie"/>
          <w:rFonts w:ascii="Arial" w:hAnsi="Arial" w:cs="Arial"/>
          <w:color w:val="000000" w:themeColor="text1"/>
          <w:sz w:val="19"/>
          <w:szCs w:val="19"/>
        </w:rPr>
        <w:footnoteRef/>
      </w:r>
      <w:r w:rsidRPr="00993367">
        <w:rPr>
          <w:rFonts w:ascii="Arial" w:hAnsi="Arial" w:cs="Arial"/>
          <w:color w:val="000000" w:themeColor="text1"/>
          <w:sz w:val="19"/>
          <w:szCs w:val="19"/>
        </w:rPr>
        <w:t xml:space="preserve"> Congreso de la República. Gaceta 1098 del 7 de diciembre de 2018. p. 24 y ss.</w:t>
      </w:r>
    </w:p>
    <w:p w14:paraId="0FBBA94E" w14:textId="77777777" w:rsidR="00AA4474" w:rsidRPr="00993367" w:rsidRDefault="00AA4474" w:rsidP="00AA4474">
      <w:pPr>
        <w:pStyle w:val="Textonotapie"/>
        <w:ind w:firstLine="708"/>
        <w:jc w:val="both"/>
        <w:rPr>
          <w:rFonts w:ascii="Arial" w:hAnsi="Arial" w:cs="Arial"/>
          <w:color w:val="000000" w:themeColor="text1"/>
          <w:sz w:val="19"/>
          <w:szCs w:val="19"/>
          <w:lang w:val="es-CO"/>
        </w:rPr>
      </w:pPr>
    </w:p>
  </w:footnote>
  <w:footnote w:id="7">
    <w:p w14:paraId="2D5AD148" w14:textId="77777777" w:rsidR="00AA4474" w:rsidRPr="00993367" w:rsidRDefault="00AA4474" w:rsidP="00AA4474">
      <w:pPr>
        <w:pStyle w:val="Textonotapie"/>
        <w:ind w:firstLine="708"/>
        <w:jc w:val="both"/>
        <w:rPr>
          <w:rFonts w:ascii="Arial" w:hAnsi="Arial" w:cs="Arial"/>
          <w:color w:val="000000" w:themeColor="text1"/>
          <w:sz w:val="19"/>
          <w:szCs w:val="19"/>
          <w:lang w:val="es-CO"/>
        </w:rPr>
      </w:pPr>
      <w:r w:rsidRPr="00993367">
        <w:rPr>
          <w:rStyle w:val="Refdenotaalpie"/>
          <w:rFonts w:ascii="Arial" w:hAnsi="Arial" w:cs="Arial"/>
          <w:color w:val="000000" w:themeColor="text1"/>
          <w:sz w:val="19"/>
          <w:szCs w:val="19"/>
        </w:rPr>
        <w:footnoteRef/>
      </w:r>
      <w:r w:rsidRPr="00993367">
        <w:rPr>
          <w:rFonts w:ascii="Arial" w:hAnsi="Arial" w:cs="Arial"/>
          <w:color w:val="000000" w:themeColor="text1"/>
          <w:sz w:val="19"/>
          <w:szCs w:val="19"/>
        </w:rPr>
        <w:t xml:space="preserve"> En todo caso se aclara que el título de la ley acogido fue el propuesto por el Senado. (Congreso de la República. Gaceta 1211 del 11 de diciembre de 2019. p. 2).</w:t>
      </w:r>
    </w:p>
  </w:footnote>
  <w:footnote w:id="8">
    <w:p w14:paraId="101B76A0" w14:textId="77777777" w:rsidR="00AA4474" w:rsidRPr="00993367" w:rsidRDefault="00AA4474" w:rsidP="00AA4474">
      <w:pPr>
        <w:pStyle w:val="Textonotapie"/>
        <w:ind w:firstLine="708"/>
        <w:jc w:val="both"/>
        <w:rPr>
          <w:rFonts w:ascii="Arial" w:hAnsi="Arial" w:cs="Arial"/>
          <w:color w:val="000000" w:themeColor="text1"/>
          <w:sz w:val="19"/>
          <w:szCs w:val="19"/>
          <w:lang w:val="es-CO"/>
        </w:rPr>
      </w:pPr>
      <w:r w:rsidRPr="00993367">
        <w:rPr>
          <w:rStyle w:val="Refdenotaalpie"/>
          <w:rFonts w:ascii="Arial" w:hAnsi="Arial" w:cs="Arial"/>
          <w:color w:val="000000" w:themeColor="text1"/>
          <w:sz w:val="19"/>
          <w:szCs w:val="19"/>
        </w:rPr>
        <w:footnoteRef/>
      </w:r>
      <w:r w:rsidRPr="00993367">
        <w:rPr>
          <w:rFonts w:ascii="Arial" w:hAnsi="Arial" w:cs="Arial"/>
          <w:color w:val="000000" w:themeColor="text1"/>
          <w:sz w:val="19"/>
          <w:szCs w:val="19"/>
        </w:rPr>
        <w:t xml:space="preserve"> DÁVILA VINUEZA. Luis Guillermo. Régimen Jurídico de la contratación estatal. Tercera edición. Bogotá: Legis, 2016. p. 786 y 787.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F44916" w:rsidRDefault="00F44916">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77DF7927"/>
    <w:multiLevelType w:val="multilevel"/>
    <w:tmpl w:val="C7C66B9A"/>
    <w:lvl w:ilvl="0">
      <w:start w:val="1"/>
      <w:numFmt w:val="decimal"/>
      <w:lvlText w:val="%1."/>
      <w:lvlJc w:val="left"/>
      <w:pPr>
        <w:ind w:left="54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60" w:hanging="380"/>
      </w:pPr>
      <w:rPr>
        <w:rFonts w:ascii="Arial" w:eastAsia="Arial" w:hAnsi="Arial" w:cs="Arial" w:hint="default"/>
        <w:b/>
        <w:bCs/>
        <w:color w:val="auto"/>
        <w:spacing w:val="-1"/>
        <w:w w:val="100"/>
        <w:sz w:val="22"/>
        <w:szCs w:val="22"/>
        <w:lang w:val="es-ES" w:eastAsia="en-US" w:bidi="ar-SA"/>
      </w:rPr>
    </w:lvl>
    <w:lvl w:ilvl="2">
      <w:numFmt w:val="bullet"/>
      <w:lvlText w:val="•"/>
      <w:lvlJc w:val="left"/>
      <w:pPr>
        <w:ind w:left="1522" w:hanging="380"/>
      </w:pPr>
      <w:rPr>
        <w:rFonts w:hint="default"/>
        <w:lang w:val="es-ES" w:eastAsia="en-US" w:bidi="ar-SA"/>
      </w:rPr>
    </w:lvl>
    <w:lvl w:ilvl="3">
      <w:numFmt w:val="bullet"/>
      <w:lvlText w:val="•"/>
      <w:lvlJc w:val="left"/>
      <w:pPr>
        <w:ind w:left="2484" w:hanging="380"/>
      </w:pPr>
      <w:rPr>
        <w:rFonts w:hint="default"/>
        <w:lang w:val="es-ES" w:eastAsia="en-US" w:bidi="ar-SA"/>
      </w:rPr>
    </w:lvl>
    <w:lvl w:ilvl="4">
      <w:numFmt w:val="bullet"/>
      <w:lvlText w:val="•"/>
      <w:lvlJc w:val="left"/>
      <w:pPr>
        <w:ind w:left="3446" w:hanging="380"/>
      </w:pPr>
      <w:rPr>
        <w:rFonts w:hint="default"/>
        <w:lang w:val="es-ES" w:eastAsia="en-US" w:bidi="ar-SA"/>
      </w:rPr>
    </w:lvl>
    <w:lvl w:ilvl="5">
      <w:numFmt w:val="bullet"/>
      <w:lvlText w:val="•"/>
      <w:lvlJc w:val="left"/>
      <w:pPr>
        <w:ind w:left="4408" w:hanging="380"/>
      </w:pPr>
      <w:rPr>
        <w:rFonts w:hint="default"/>
        <w:lang w:val="es-ES" w:eastAsia="en-US" w:bidi="ar-SA"/>
      </w:rPr>
    </w:lvl>
    <w:lvl w:ilvl="6">
      <w:numFmt w:val="bullet"/>
      <w:lvlText w:val="•"/>
      <w:lvlJc w:val="left"/>
      <w:pPr>
        <w:ind w:left="5371" w:hanging="380"/>
      </w:pPr>
      <w:rPr>
        <w:rFonts w:hint="default"/>
        <w:lang w:val="es-ES" w:eastAsia="en-US" w:bidi="ar-SA"/>
      </w:rPr>
    </w:lvl>
    <w:lvl w:ilvl="7">
      <w:numFmt w:val="bullet"/>
      <w:lvlText w:val="•"/>
      <w:lvlJc w:val="left"/>
      <w:pPr>
        <w:ind w:left="6333" w:hanging="380"/>
      </w:pPr>
      <w:rPr>
        <w:rFonts w:hint="default"/>
        <w:lang w:val="es-ES" w:eastAsia="en-US" w:bidi="ar-SA"/>
      </w:rPr>
    </w:lvl>
    <w:lvl w:ilvl="8">
      <w:numFmt w:val="bullet"/>
      <w:lvlText w:val="•"/>
      <w:lvlJc w:val="left"/>
      <w:pPr>
        <w:ind w:left="7295" w:hanging="380"/>
      </w:pPr>
      <w:rPr>
        <w:rFonts w:hint="default"/>
        <w:lang w:val="es-ES" w:eastAsia="en-US" w:bidi="ar-SA"/>
      </w:r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CO"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18D4"/>
    <w:rsid w:val="0000280E"/>
    <w:rsid w:val="00002841"/>
    <w:rsid w:val="00002B30"/>
    <w:rsid w:val="00004E4A"/>
    <w:rsid w:val="00005A24"/>
    <w:rsid w:val="00007092"/>
    <w:rsid w:val="000073AC"/>
    <w:rsid w:val="0001011E"/>
    <w:rsid w:val="00010B21"/>
    <w:rsid w:val="0001178C"/>
    <w:rsid w:val="00011C19"/>
    <w:rsid w:val="00012D3B"/>
    <w:rsid w:val="0001321B"/>
    <w:rsid w:val="000144E5"/>
    <w:rsid w:val="00014B1D"/>
    <w:rsid w:val="0001587F"/>
    <w:rsid w:val="0002058B"/>
    <w:rsid w:val="0002128D"/>
    <w:rsid w:val="00022B41"/>
    <w:rsid w:val="00022C2B"/>
    <w:rsid w:val="0002438E"/>
    <w:rsid w:val="000245BA"/>
    <w:rsid w:val="00025F0D"/>
    <w:rsid w:val="000263B0"/>
    <w:rsid w:val="00030FC5"/>
    <w:rsid w:val="00033726"/>
    <w:rsid w:val="00034AA9"/>
    <w:rsid w:val="00036094"/>
    <w:rsid w:val="000362E6"/>
    <w:rsid w:val="00037F2A"/>
    <w:rsid w:val="00040923"/>
    <w:rsid w:val="00040E6F"/>
    <w:rsid w:val="00043668"/>
    <w:rsid w:val="00043881"/>
    <w:rsid w:val="0004453E"/>
    <w:rsid w:val="00044758"/>
    <w:rsid w:val="000448CC"/>
    <w:rsid w:val="000453DC"/>
    <w:rsid w:val="00046C88"/>
    <w:rsid w:val="00047C18"/>
    <w:rsid w:val="00047DDF"/>
    <w:rsid w:val="00057438"/>
    <w:rsid w:val="00057FB3"/>
    <w:rsid w:val="00060D9A"/>
    <w:rsid w:val="00062624"/>
    <w:rsid w:val="00062FA1"/>
    <w:rsid w:val="0006305C"/>
    <w:rsid w:val="000649D4"/>
    <w:rsid w:val="000651AE"/>
    <w:rsid w:val="00065EB9"/>
    <w:rsid w:val="00066090"/>
    <w:rsid w:val="00066567"/>
    <w:rsid w:val="000678DE"/>
    <w:rsid w:val="00071C82"/>
    <w:rsid w:val="000720AC"/>
    <w:rsid w:val="000732C7"/>
    <w:rsid w:val="000765A3"/>
    <w:rsid w:val="0007666B"/>
    <w:rsid w:val="000775E4"/>
    <w:rsid w:val="00082182"/>
    <w:rsid w:val="00082186"/>
    <w:rsid w:val="000835DB"/>
    <w:rsid w:val="00083D0E"/>
    <w:rsid w:val="00084818"/>
    <w:rsid w:val="00085C37"/>
    <w:rsid w:val="00086610"/>
    <w:rsid w:val="000867ED"/>
    <w:rsid w:val="00087989"/>
    <w:rsid w:val="000920F0"/>
    <w:rsid w:val="000942EB"/>
    <w:rsid w:val="00094748"/>
    <w:rsid w:val="00097D3C"/>
    <w:rsid w:val="000A000F"/>
    <w:rsid w:val="000A0247"/>
    <w:rsid w:val="000A0343"/>
    <w:rsid w:val="000A4286"/>
    <w:rsid w:val="000A6AAF"/>
    <w:rsid w:val="000A6F0A"/>
    <w:rsid w:val="000B103F"/>
    <w:rsid w:val="000B2324"/>
    <w:rsid w:val="000B324A"/>
    <w:rsid w:val="000C14AA"/>
    <w:rsid w:val="000C23C7"/>
    <w:rsid w:val="000C397B"/>
    <w:rsid w:val="000C6CCE"/>
    <w:rsid w:val="000C786A"/>
    <w:rsid w:val="000C798F"/>
    <w:rsid w:val="000D1FBC"/>
    <w:rsid w:val="000D2573"/>
    <w:rsid w:val="000D30D4"/>
    <w:rsid w:val="000D31C7"/>
    <w:rsid w:val="000D387A"/>
    <w:rsid w:val="000D47EF"/>
    <w:rsid w:val="000D48CC"/>
    <w:rsid w:val="000D7615"/>
    <w:rsid w:val="000D7BBD"/>
    <w:rsid w:val="000E1284"/>
    <w:rsid w:val="000E1CDD"/>
    <w:rsid w:val="000E2E43"/>
    <w:rsid w:val="000E450F"/>
    <w:rsid w:val="000E7D7E"/>
    <w:rsid w:val="000F0898"/>
    <w:rsid w:val="000F14E8"/>
    <w:rsid w:val="000F19EF"/>
    <w:rsid w:val="000F1F4B"/>
    <w:rsid w:val="000F6DA0"/>
    <w:rsid w:val="00101394"/>
    <w:rsid w:val="001014F5"/>
    <w:rsid w:val="00103915"/>
    <w:rsid w:val="001078E6"/>
    <w:rsid w:val="00111960"/>
    <w:rsid w:val="001160B0"/>
    <w:rsid w:val="001162A5"/>
    <w:rsid w:val="0011780E"/>
    <w:rsid w:val="001200ED"/>
    <w:rsid w:val="0012087D"/>
    <w:rsid w:val="00120B80"/>
    <w:rsid w:val="00121D3B"/>
    <w:rsid w:val="00122B23"/>
    <w:rsid w:val="001245D4"/>
    <w:rsid w:val="00124E57"/>
    <w:rsid w:val="00135A40"/>
    <w:rsid w:val="00135DC7"/>
    <w:rsid w:val="001375C4"/>
    <w:rsid w:val="00137646"/>
    <w:rsid w:val="00137A61"/>
    <w:rsid w:val="00137FFA"/>
    <w:rsid w:val="001438ED"/>
    <w:rsid w:val="001448E6"/>
    <w:rsid w:val="00146025"/>
    <w:rsid w:val="00146856"/>
    <w:rsid w:val="00147224"/>
    <w:rsid w:val="00150A83"/>
    <w:rsid w:val="00152274"/>
    <w:rsid w:val="001522B6"/>
    <w:rsid w:val="0015343F"/>
    <w:rsid w:val="001543F8"/>
    <w:rsid w:val="00154B53"/>
    <w:rsid w:val="00155245"/>
    <w:rsid w:val="00155DAE"/>
    <w:rsid w:val="00155DD9"/>
    <w:rsid w:val="00156BE4"/>
    <w:rsid w:val="00162380"/>
    <w:rsid w:val="00165A21"/>
    <w:rsid w:val="00166C46"/>
    <w:rsid w:val="00167BF1"/>
    <w:rsid w:val="00171104"/>
    <w:rsid w:val="00171CF4"/>
    <w:rsid w:val="00175A64"/>
    <w:rsid w:val="0018017A"/>
    <w:rsid w:val="00181C2A"/>
    <w:rsid w:val="00183388"/>
    <w:rsid w:val="00184CBC"/>
    <w:rsid w:val="00186338"/>
    <w:rsid w:val="00187B6A"/>
    <w:rsid w:val="00190812"/>
    <w:rsid w:val="00192F9B"/>
    <w:rsid w:val="00195EF5"/>
    <w:rsid w:val="00196BE5"/>
    <w:rsid w:val="001975AC"/>
    <w:rsid w:val="001A00E2"/>
    <w:rsid w:val="001A153A"/>
    <w:rsid w:val="001A393A"/>
    <w:rsid w:val="001A4318"/>
    <w:rsid w:val="001A5507"/>
    <w:rsid w:val="001A680B"/>
    <w:rsid w:val="001B1847"/>
    <w:rsid w:val="001B1ECB"/>
    <w:rsid w:val="001B23CE"/>
    <w:rsid w:val="001B45E7"/>
    <w:rsid w:val="001C0A60"/>
    <w:rsid w:val="001C0AF7"/>
    <w:rsid w:val="001C16CC"/>
    <w:rsid w:val="001C39DF"/>
    <w:rsid w:val="001C4570"/>
    <w:rsid w:val="001C5E73"/>
    <w:rsid w:val="001D0260"/>
    <w:rsid w:val="001D0A63"/>
    <w:rsid w:val="001D1883"/>
    <w:rsid w:val="001D33D1"/>
    <w:rsid w:val="001D5240"/>
    <w:rsid w:val="001D60DA"/>
    <w:rsid w:val="001D7FE6"/>
    <w:rsid w:val="001E04BA"/>
    <w:rsid w:val="001E1B39"/>
    <w:rsid w:val="001E1E4A"/>
    <w:rsid w:val="001E2D6F"/>
    <w:rsid w:val="001E36F1"/>
    <w:rsid w:val="001E40C6"/>
    <w:rsid w:val="001E5ACA"/>
    <w:rsid w:val="001E6B77"/>
    <w:rsid w:val="001F083C"/>
    <w:rsid w:val="001F1672"/>
    <w:rsid w:val="001F515E"/>
    <w:rsid w:val="001F59D8"/>
    <w:rsid w:val="001F5FEF"/>
    <w:rsid w:val="002002AB"/>
    <w:rsid w:val="00200B89"/>
    <w:rsid w:val="00200C0F"/>
    <w:rsid w:val="002021C7"/>
    <w:rsid w:val="00202B7A"/>
    <w:rsid w:val="002031DB"/>
    <w:rsid w:val="002047E9"/>
    <w:rsid w:val="00205305"/>
    <w:rsid w:val="00205850"/>
    <w:rsid w:val="00206852"/>
    <w:rsid w:val="00207041"/>
    <w:rsid w:val="00211C31"/>
    <w:rsid w:val="00213804"/>
    <w:rsid w:val="0021714E"/>
    <w:rsid w:val="00220681"/>
    <w:rsid w:val="002236FF"/>
    <w:rsid w:val="00224722"/>
    <w:rsid w:val="00227E56"/>
    <w:rsid w:val="002301F1"/>
    <w:rsid w:val="002304C1"/>
    <w:rsid w:val="002315AE"/>
    <w:rsid w:val="00232ECE"/>
    <w:rsid w:val="0023384B"/>
    <w:rsid w:val="00233A64"/>
    <w:rsid w:val="002346F8"/>
    <w:rsid w:val="00234B84"/>
    <w:rsid w:val="00236F7F"/>
    <w:rsid w:val="0024212A"/>
    <w:rsid w:val="002436DD"/>
    <w:rsid w:val="002456DF"/>
    <w:rsid w:val="00250966"/>
    <w:rsid w:val="00251667"/>
    <w:rsid w:val="002518A6"/>
    <w:rsid w:val="0025429B"/>
    <w:rsid w:val="0025531C"/>
    <w:rsid w:val="00256C1D"/>
    <w:rsid w:val="00261AAE"/>
    <w:rsid w:val="0026505D"/>
    <w:rsid w:val="002654B9"/>
    <w:rsid w:val="00266568"/>
    <w:rsid w:val="002668CC"/>
    <w:rsid w:val="00270911"/>
    <w:rsid w:val="00270A17"/>
    <w:rsid w:val="00270C9A"/>
    <w:rsid w:val="00272F3C"/>
    <w:rsid w:val="00273961"/>
    <w:rsid w:val="0027401B"/>
    <w:rsid w:val="0027497E"/>
    <w:rsid w:val="00276DFC"/>
    <w:rsid w:val="002806D0"/>
    <w:rsid w:val="0028218D"/>
    <w:rsid w:val="00282A6B"/>
    <w:rsid w:val="00283535"/>
    <w:rsid w:val="0029116C"/>
    <w:rsid w:val="00292D21"/>
    <w:rsid w:val="002934B2"/>
    <w:rsid w:val="0029572E"/>
    <w:rsid w:val="00295D8A"/>
    <w:rsid w:val="002A0F0D"/>
    <w:rsid w:val="002A0F0F"/>
    <w:rsid w:val="002A19C4"/>
    <w:rsid w:val="002A294A"/>
    <w:rsid w:val="002A2CD3"/>
    <w:rsid w:val="002A7C42"/>
    <w:rsid w:val="002B03E5"/>
    <w:rsid w:val="002B17C5"/>
    <w:rsid w:val="002B3930"/>
    <w:rsid w:val="002B446C"/>
    <w:rsid w:val="002B6286"/>
    <w:rsid w:val="002B709B"/>
    <w:rsid w:val="002C1EEC"/>
    <w:rsid w:val="002C31BC"/>
    <w:rsid w:val="002C57F2"/>
    <w:rsid w:val="002C68B3"/>
    <w:rsid w:val="002D05DE"/>
    <w:rsid w:val="002D2FF2"/>
    <w:rsid w:val="002D3B38"/>
    <w:rsid w:val="002D57A3"/>
    <w:rsid w:val="002D5D61"/>
    <w:rsid w:val="002D5FFC"/>
    <w:rsid w:val="002D665A"/>
    <w:rsid w:val="002E0C71"/>
    <w:rsid w:val="002E13E0"/>
    <w:rsid w:val="002E1993"/>
    <w:rsid w:val="002E1A34"/>
    <w:rsid w:val="002E424E"/>
    <w:rsid w:val="002E479E"/>
    <w:rsid w:val="002E4EFE"/>
    <w:rsid w:val="002E6F80"/>
    <w:rsid w:val="002F1143"/>
    <w:rsid w:val="002F1FE0"/>
    <w:rsid w:val="002F231E"/>
    <w:rsid w:val="002F23C9"/>
    <w:rsid w:val="002F6312"/>
    <w:rsid w:val="002F6F49"/>
    <w:rsid w:val="0030118B"/>
    <w:rsid w:val="003033BA"/>
    <w:rsid w:val="00305329"/>
    <w:rsid w:val="003058EB"/>
    <w:rsid w:val="00306222"/>
    <w:rsid w:val="00306763"/>
    <w:rsid w:val="003074FD"/>
    <w:rsid w:val="00307E45"/>
    <w:rsid w:val="003102F2"/>
    <w:rsid w:val="00310C43"/>
    <w:rsid w:val="00311A86"/>
    <w:rsid w:val="0031275A"/>
    <w:rsid w:val="003133D1"/>
    <w:rsid w:val="00313974"/>
    <w:rsid w:val="00315651"/>
    <w:rsid w:val="00315A1D"/>
    <w:rsid w:val="00317242"/>
    <w:rsid w:val="003174A5"/>
    <w:rsid w:val="00317949"/>
    <w:rsid w:val="00317BB7"/>
    <w:rsid w:val="00321B8E"/>
    <w:rsid w:val="00325979"/>
    <w:rsid w:val="00326BEF"/>
    <w:rsid w:val="003277AE"/>
    <w:rsid w:val="00327E0D"/>
    <w:rsid w:val="00331A72"/>
    <w:rsid w:val="00331CE3"/>
    <w:rsid w:val="00333156"/>
    <w:rsid w:val="00333206"/>
    <w:rsid w:val="00333CDE"/>
    <w:rsid w:val="003342B2"/>
    <w:rsid w:val="003355DA"/>
    <w:rsid w:val="0033597E"/>
    <w:rsid w:val="003373A4"/>
    <w:rsid w:val="00340AD3"/>
    <w:rsid w:val="00340C37"/>
    <w:rsid w:val="0034119F"/>
    <w:rsid w:val="00341911"/>
    <w:rsid w:val="00341BE6"/>
    <w:rsid w:val="00343194"/>
    <w:rsid w:val="00343AB2"/>
    <w:rsid w:val="00344F84"/>
    <w:rsid w:val="003461EA"/>
    <w:rsid w:val="0034680A"/>
    <w:rsid w:val="003477C1"/>
    <w:rsid w:val="00351423"/>
    <w:rsid w:val="00352ABF"/>
    <w:rsid w:val="00352FB2"/>
    <w:rsid w:val="0035397A"/>
    <w:rsid w:val="0035419A"/>
    <w:rsid w:val="0035582B"/>
    <w:rsid w:val="00355E89"/>
    <w:rsid w:val="00356A34"/>
    <w:rsid w:val="00361348"/>
    <w:rsid w:val="0036167C"/>
    <w:rsid w:val="00362709"/>
    <w:rsid w:val="00363BC9"/>
    <w:rsid w:val="003643E8"/>
    <w:rsid w:val="00366AA6"/>
    <w:rsid w:val="0037114A"/>
    <w:rsid w:val="0037229F"/>
    <w:rsid w:val="00373E13"/>
    <w:rsid w:val="003743B6"/>
    <w:rsid w:val="00374F3E"/>
    <w:rsid w:val="003762EE"/>
    <w:rsid w:val="00376854"/>
    <w:rsid w:val="0037781B"/>
    <w:rsid w:val="003829B3"/>
    <w:rsid w:val="003839D0"/>
    <w:rsid w:val="00385978"/>
    <w:rsid w:val="00385DDF"/>
    <w:rsid w:val="00386456"/>
    <w:rsid w:val="00390BDB"/>
    <w:rsid w:val="00390F08"/>
    <w:rsid w:val="00391F77"/>
    <w:rsid w:val="00392A2E"/>
    <w:rsid w:val="0039355B"/>
    <w:rsid w:val="0039398A"/>
    <w:rsid w:val="00393DF4"/>
    <w:rsid w:val="003946F7"/>
    <w:rsid w:val="003950F3"/>
    <w:rsid w:val="00396696"/>
    <w:rsid w:val="00396ABB"/>
    <w:rsid w:val="003976AE"/>
    <w:rsid w:val="003A03E8"/>
    <w:rsid w:val="003A1A92"/>
    <w:rsid w:val="003A266D"/>
    <w:rsid w:val="003A3B32"/>
    <w:rsid w:val="003A3CF0"/>
    <w:rsid w:val="003A581E"/>
    <w:rsid w:val="003A5E4E"/>
    <w:rsid w:val="003A6BA0"/>
    <w:rsid w:val="003A6EA8"/>
    <w:rsid w:val="003A789C"/>
    <w:rsid w:val="003B03BF"/>
    <w:rsid w:val="003B0BB1"/>
    <w:rsid w:val="003B49A4"/>
    <w:rsid w:val="003B4D4F"/>
    <w:rsid w:val="003B7211"/>
    <w:rsid w:val="003B75E6"/>
    <w:rsid w:val="003C0712"/>
    <w:rsid w:val="003C3A87"/>
    <w:rsid w:val="003C3FB8"/>
    <w:rsid w:val="003C5458"/>
    <w:rsid w:val="003C564B"/>
    <w:rsid w:val="003C5A2E"/>
    <w:rsid w:val="003C77FB"/>
    <w:rsid w:val="003D1833"/>
    <w:rsid w:val="003D5FFB"/>
    <w:rsid w:val="003E1061"/>
    <w:rsid w:val="003E1853"/>
    <w:rsid w:val="003E21E7"/>
    <w:rsid w:val="003E5578"/>
    <w:rsid w:val="003F0256"/>
    <w:rsid w:val="003F2762"/>
    <w:rsid w:val="003F466C"/>
    <w:rsid w:val="003F551E"/>
    <w:rsid w:val="003F5E2E"/>
    <w:rsid w:val="003F5F01"/>
    <w:rsid w:val="003F6DB8"/>
    <w:rsid w:val="003F7100"/>
    <w:rsid w:val="004008EE"/>
    <w:rsid w:val="004026AA"/>
    <w:rsid w:val="00402FFB"/>
    <w:rsid w:val="00403195"/>
    <w:rsid w:val="0040416B"/>
    <w:rsid w:val="00405F6D"/>
    <w:rsid w:val="00412B33"/>
    <w:rsid w:val="00412C94"/>
    <w:rsid w:val="00412E29"/>
    <w:rsid w:val="0041405F"/>
    <w:rsid w:val="0041420E"/>
    <w:rsid w:val="00414B36"/>
    <w:rsid w:val="00414EE8"/>
    <w:rsid w:val="00415E4F"/>
    <w:rsid w:val="00417023"/>
    <w:rsid w:val="004206A4"/>
    <w:rsid w:val="00421CA0"/>
    <w:rsid w:val="0042704E"/>
    <w:rsid w:val="0042797D"/>
    <w:rsid w:val="00427D74"/>
    <w:rsid w:val="004301E2"/>
    <w:rsid w:val="00433063"/>
    <w:rsid w:val="004336EA"/>
    <w:rsid w:val="004345E3"/>
    <w:rsid w:val="004348A1"/>
    <w:rsid w:val="00434F99"/>
    <w:rsid w:val="00435530"/>
    <w:rsid w:val="00435E15"/>
    <w:rsid w:val="00436F07"/>
    <w:rsid w:val="00437E23"/>
    <w:rsid w:val="00440DC5"/>
    <w:rsid w:val="00440E07"/>
    <w:rsid w:val="004422D6"/>
    <w:rsid w:val="00442D02"/>
    <w:rsid w:val="00443588"/>
    <w:rsid w:val="0044423C"/>
    <w:rsid w:val="00445C08"/>
    <w:rsid w:val="004473DB"/>
    <w:rsid w:val="00450066"/>
    <w:rsid w:val="00454FD6"/>
    <w:rsid w:val="00455DB2"/>
    <w:rsid w:val="00457DF1"/>
    <w:rsid w:val="004604D5"/>
    <w:rsid w:val="00460842"/>
    <w:rsid w:val="00460ED0"/>
    <w:rsid w:val="00461501"/>
    <w:rsid w:val="00461F68"/>
    <w:rsid w:val="00462ECE"/>
    <w:rsid w:val="00464784"/>
    <w:rsid w:val="004649F4"/>
    <w:rsid w:val="00465EED"/>
    <w:rsid w:val="00467068"/>
    <w:rsid w:val="00470363"/>
    <w:rsid w:val="00474F64"/>
    <w:rsid w:val="00476602"/>
    <w:rsid w:val="00477519"/>
    <w:rsid w:val="00482AC2"/>
    <w:rsid w:val="004832BF"/>
    <w:rsid w:val="00483432"/>
    <w:rsid w:val="0048439B"/>
    <w:rsid w:val="0048447C"/>
    <w:rsid w:val="00485259"/>
    <w:rsid w:val="0049042F"/>
    <w:rsid w:val="00491763"/>
    <w:rsid w:val="004938A8"/>
    <w:rsid w:val="00494839"/>
    <w:rsid w:val="00494F71"/>
    <w:rsid w:val="004959F8"/>
    <w:rsid w:val="00495D77"/>
    <w:rsid w:val="0049660B"/>
    <w:rsid w:val="00497A1D"/>
    <w:rsid w:val="004A267D"/>
    <w:rsid w:val="004A278C"/>
    <w:rsid w:val="004A29A5"/>
    <w:rsid w:val="004A2B18"/>
    <w:rsid w:val="004A34D2"/>
    <w:rsid w:val="004A512D"/>
    <w:rsid w:val="004A611F"/>
    <w:rsid w:val="004A6646"/>
    <w:rsid w:val="004B0D78"/>
    <w:rsid w:val="004B1158"/>
    <w:rsid w:val="004B1821"/>
    <w:rsid w:val="004B3D99"/>
    <w:rsid w:val="004B445E"/>
    <w:rsid w:val="004B5235"/>
    <w:rsid w:val="004B5922"/>
    <w:rsid w:val="004B5C3C"/>
    <w:rsid w:val="004B6246"/>
    <w:rsid w:val="004B645B"/>
    <w:rsid w:val="004B794D"/>
    <w:rsid w:val="004B7B59"/>
    <w:rsid w:val="004B7D75"/>
    <w:rsid w:val="004C0279"/>
    <w:rsid w:val="004C0932"/>
    <w:rsid w:val="004C0BB2"/>
    <w:rsid w:val="004C3EDA"/>
    <w:rsid w:val="004C69A1"/>
    <w:rsid w:val="004C6C72"/>
    <w:rsid w:val="004D0CB0"/>
    <w:rsid w:val="004D11C2"/>
    <w:rsid w:val="004D3CCE"/>
    <w:rsid w:val="004D4C8F"/>
    <w:rsid w:val="004D5609"/>
    <w:rsid w:val="004D6FD6"/>
    <w:rsid w:val="004D718B"/>
    <w:rsid w:val="004D7EC4"/>
    <w:rsid w:val="004E16E5"/>
    <w:rsid w:val="004E4D0D"/>
    <w:rsid w:val="004E4E22"/>
    <w:rsid w:val="004E7149"/>
    <w:rsid w:val="004E750B"/>
    <w:rsid w:val="004F0AF3"/>
    <w:rsid w:val="004F1B23"/>
    <w:rsid w:val="004F3091"/>
    <w:rsid w:val="004F4E70"/>
    <w:rsid w:val="004F58AE"/>
    <w:rsid w:val="004F5C0B"/>
    <w:rsid w:val="00501C7C"/>
    <w:rsid w:val="005024CA"/>
    <w:rsid w:val="00502628"/>
    <w:rsid w:val="00502D15"/>
    <w:rsid w:val="005037D6"/>
    <w:rsid w:val="00504448"/>
    <w:rsid w:val="0050613F"/>
    <w:rsid w:val="00507356"/>
    <w:rsid w:val="005079BF"/>
    <w:rsid w:val="0051074C"/>
    <w:rsid w:val="00512B03"/>
    <w:rsid w:val="00513AF2"/>
    <w:rsid w:val="00516109"/>
    <w:rsid w:val="0051777B"/>
    <w:rsid w:val="00517808"/>
    <w:rsid w:val="00520772"/>
    <w:rsid w:val="00520794"/>
    <w:rsid w:val="00521AC4"/>
    <w:rsid w:val="00523448"/>
    <w:rsid w:val="0052435B"/>
    <w:rsid w:val="00525274"/>
    <w:rsid w:val="00526515"/>
    <w:rsid w:val="00527802"/>
    <w:rsid w:val="00527C35"/>
    <w:rsid w:val="00530BAB"/>
    <w:rsid w:val="005311CA"/>
    <w:rsid w:val="005313B9"/>
    <w:rsid w:val="00531C8E"/>
    <w:rsid w:val="00534450"/>
    <w:rsid w:val="00535C77"/>
    <w:rsid w:val="0054061C"/>
    <w:rsid w:val="00540BDD"/>
    <w:rsid w:val="005414AC"/>
    <w:rsid w:val="00542C19"/>
    <w:rsid w:val="00543102"/>
    <w:rsid w:val="0054413A"/>
    <w:rsid w:val="00544B92"/>
    <w:rsid w:val="00545E73"/>
    <w:rsid w:val="0054651C"/>
    <w:rsid w:val="00547F13"/>
    <w:rsid w:val="00550C02"/>
    <w:rsid w:val="00551312"/>
    <w:rsid w:val="00551653"/>
    <w:rsid w:val="00552067"/>
    <w:rsid w:val="00553B5D"/>
    <w:rsid w:val="005542DB"/>
    <w:rsid w:val="005544D0"/>
    <w:rsid w:val="0055487B"/>
    <w:rsid w:val="00555055"/>
    <w:rsid w:val="005550A3"/>
    <w:rsid w:val="005564CA"/>
    <w:rsid w:val="00560A4E"/>
    <w:rsid w:val="00562490"/>
    <w:rsid w:val="005657A2"/>
    <w:rsid w:val="00565C7E"/>
    <w:rsid w:val="00566225"/>
    <w:rsid w:val="00566E6A"/>
    <w:rsid w:val="005705F7"/>
    <w:rsid w:val="0057076F"/>
    <w:rsid w:val="005725DF"/>
    <w:rsid w:val="005731D0"/>
    <w:rsid w:val="0057359F"/>
    <w:rsid w:val="00575217"/>
    <w:rsid w:val="00575B3D"/>
    <w:rsid w:val="00576724"/>
    <w:rsid w:val="00576733"/>
    <w:rsid w:val="00577071"/>
    <w:rsid w:val="00581EBC"/>
    <w:rsid w:val="0058647D"/>
    <w:rsid w:val="00586679"/>
    <w:rsid w:val="005870DF"/>
    <w:rsid w:val="00587E9D"/>
    <w:rsid w:val="0059076C"/>
    <w:rsid w:val="00593DB1"/>
    <w:rsid w:val="00593FE9"/>
    <w:rsid w:val="00597889"/>
    <w:rsid w:val="00597B42"/>
    <w:rsid w:val="00597B94"/>
    <w:rsid w:val="005A07BD"/>
    <w:rsid w:val="005A09E8"/>
    <w:rsid w:val="005A0CC4"/>
    <w:rsid w:val="005A2022"/>
    <w:rsid w:val="005A2B7F"/>
    <w:rsid w:val="005A5DA1"/>
    <w:rsid w:val="005B01B5"/>
    <w:rsid w:val="005B26EB"/>
    <w:rsid w:val="005B338A"/>
    <w:rsid w:val="005B4444"/>
    <w:rsid w:val="005B50FB"/>
    <w:rsid w:val="005B61E8"/>
    <w:rsid w:val="005B64E3"/>
    <w:rsid w:val="005B74E2"/>
    <w:rsid w:val="005C19F3"/>
    <w:rsid w:val="005C280F"/>
    <w:rsid w:val="005C2A6C"/>
    <w:rsid w:val="005C47CD"/>
    <w:rsid w:val="005C60EB"/>
    <w:rsid w:val="005C6619"/>
    <w:rsid w:val="005C66D8"/>
    <w:rsid w:val="005C7BC1"/>
    <w:rsid w:val="005D1E83"/>
    <w:rsid w:val="005D2381"/>
    <w:rsid w:val="005D3C8F"/>
    <w:rsid w:val="005D47B2"/>
    <w:rsid w:val="005D6180"/>
    <w:rsid w:val="005D78E7"/>
    <w:rsid w:val="005E124C"/>
    <w:rsid w:val="005E1400"/>
    <w:rsid w:val="005E15AC"/>
    <w:rsid w:val="005E414D"/>
    <w:rsid w:val="005E74B0"/>
    <w:rsid w:val="005E7E46"/>
    <w:rsid w:val="005F0567"/>
    <w:rsid w:val="005F2058"/>
    <w:rsid w:val="005F2C66"/>
    <w:rsid w:val="005F51D1"/>
    <w:rsid w:val="005F5643"/>
    <w:rsid w:val="005F591C"/>
    <w:rsid w:val="005F735D"/>
    <w:rsid w:val="005F7503"/>
    <w:rsid w:val="00604F5A"/>
    <w:rsid w:val="00606144"/>
    <w:rsid w:val="006103E8"/>
    <w:rsid w:val="00612107"/>
    <w:rsid w:val="00613798"/>
    <w:rsid w:val="006137DC"/>
    <w:rsid w:val="00614030"/>
    <w:rsid w:val="00614E0B"/>
    <w:rsid w:val="006160D2"/>
    <w:rsid w:val="00616FD5"/>
    <w:rsid w:val="00620BF2"/>
    <w:rsid w:val="00623442"/>
    <w:rsid w:val="0063024C"/>
    <w:rsid w:val="00630415"/>
    <w:rsid w:val="006310DC"/>
    <w:rsid w:val="006313A5"/>
    <w:rsid w:val="006324F8"/>
    <w:rsid w:val="006326DB"/>
    <w:rsid w:val="00632865"/>
    <w:rsid w:val="00632E60"/>
    <w:rsid w:val="00633357"/>
    <w:rsid w:val="00634551"/>
    <w:rsid w:val="006359C0"/>
    <w:rsid w:val="00636DBA"/>
    <w:rsid w:val="006376C9"/>
    <w:rsid w:val="00640DDA"/>
    <w:rsid w:val="00640E32"/>
    <w:rsid w:val="006420D0"/>
    <w:rsid w:val="006423F5"/>
    <w:rsid w:val="00642EA9"/>
    <w:rsid w:val="006462AE"/>
    <w:rsid w:val="00646B5C"/>
    <w:rsid w:val="00647FE6"/>
    <w:rsid w:val="00654420"/>
    <w:rsid w:val="00654A2F"/>
    <w:rsid w:val="00654A4D"/>
    <w:rsid w:val="00655371"/>
    <w:rsid w:val="00655762"/>
    <w:rsid w:val="00656BDD"/>
    <w:rsid w:val="00656FCA"/>
    <w:rsid w:val="00660CC8"/>
    <w:rsid w:val="006616E6"/>
    <w:rsid w:val="00661EC2"/>
    <w:rsid w:val="00664B5C"/>
    <w:rsid w:val="006650DF"/>
    <w:rsid w:val="00665D69"/>
    <w:rsid w:val="006673CF"/>
    <w:rsid w:val="00667FF9"/>
    <w:rsid w:val="00671A48"/>
    <w:rsid w:val="00671E09"/>
    <w:rsid w:val="00675CDD"/>
    <w:rsid w:val="00675F48"/>
    <w:rsid w:val="00675FF8"/>
    <w:rsid w:val="006760DE"/>
    <w:rsid w:val="0067611C"/>
    <w:rsid w:val="006773B5"/>
    <w:rsid w:val="0068004A"/>
    <w:rsid w:val="00680A59"/>
    <w:rsid w:val="006815A1"/>
    <w:rsid w:val="0068257A"/>
    <w:rsid w:val="00682E0D"/>
    <w:rsid w:val="00683856"/>
    <w:rsid w:val="00685162"/>
    <w:rsid w:val="00686AA5"/>
    <w:rsid w:val="00686E3A"/>
    <w:rsid w:val="00690B55"/>
    <w:rsid w:val="006913CA"/>
    <w:rsid w:val="00691DF1"/>
    <w:rsid w:val="00696576"/>
    <w:rsid w:val="00697665"/>
    <w:rsid w:val="006977A6"/>
    <w:rsid w:val="006A06C5"/>
    <w:rsid w:val="006A22FE"/>
    <w:rsid w:val="006A25C9"/>
    <w:rsid w:val="006A3B75"/>
    <w:rsid w:val="006A5068"/>
    <w:rsid w:val="006A63E2"/>
    <w:rsid w:val="006A67F3"/>
    <w:rsid w:val="006A6B4A"/>
    <w:rsid w:val="006A7981"/>
    <w:rsid w:val="006A7FD0"/>
    <w:rsid w:val="006B0790"/>
    <w:rsid w:val="006B2A4B"/>
    <w:rsid w:val="006B2A81"/>
    <w:rsid w:val="006B3A45"/>
    <w:rsid w:val="006B4DEC"/>
    <w:rsid w:val="006B58E4"/>
    <w:rsid w:val="006B5D02"/>
    <w:rsid w:val="006B74EF"/>
    <w:rsid w:val="006C01CD"/>
    <w:rsid w:val="006C04B6"/>
    <w:rsid w:val="006C1787"/>
    <w:rsid w:val="006C2EDF"/>
    <w:rsid w:val="006C348D"/>
    <w:rsid w:val="006C45E1"/>
    <w:rsid w:val="006C4C2C"/>
    <w:rsid w:val="006C4D46"/>
    <w:rsid w:val="006D1C63"/>
    <w:rsid w:val="006D6A68"/>
    <w:rsid w:val="006D7687"/>
    <w:rsid w:val="006E0572"/>
    <w:rsid w:val="006E19F4"/>
    <w:rsid w:val="006E3D5D"/>
    <w:rsid w:val="006E5E5D"/>
    <w:rsid w:val="006E69B8"/>
    <w:rsid w:val="006E71B6"/>
    <w:rsid w:val="006E73B1"/>
    <w:rsid w:val="006F1D0A"/>
    <w:rsid w:val="006F344A"/>
    <w:rsid w:val="006F3FD3"/>
    <w:rsid w:val="006F6AE7"/>
    <w:rsid w:val="007026A8"/>
    <w:rsid w:val="007031C5"/>
    <w:rsid w:val="00703690"/>
    <w:rsid w:val="00703DDF"/>
    <w:rsid w:val="00705025"/>
    <w:rsid w:val="00705631"/>
    <w:rsid w:val="00714CC7"/>
    <w:rsid w:val="0071524A"/>
    <w:rsid w:val="007155E0"/>
    <w:rsid w:val="00716793"/>
    <w:rsid w:val="007171C0"/>
    <w:rsid w:val="007204C0"/>
    <w:rsid w:val="00720B31"/>
    <w:rsid w:val="007217EF"/>
    <w:rsid w:val="00725873"/>
    <w:rsid w:val="007265C3"/>
    <w:rsid w:val="00726AEA"/>
    <w:rsid w:val="00730FCA"/>
    <w:rsid w:val="007318D8"/>
    <w:rsid w:val="0073240F"/>
    <w:rsid w:val="007330DE"/>
    <w:rsid w:val="0073340B"/>
    <w:rsid w:val="00734381"/>
    <w:rsid w:val="00734538"/>
    <w:rsid w:val="007349F3"/>
    <w:rsid w:val="0073550A"/>
    <w:rsid w:val="00736105"/>
    <w:rsid w:val="00736292"/>
    <w:rsid w:val="007369E4"/>
    <w:rsid w:val="007379DB"/>
    <w:rsid w:val="00737AD0"/>
    <w:rsid w:val="00742AFC"/>
    <w:rsid w:val="00742B02"/>
    <w:rsid w:val="00742DD2"/>
    <w:rsid w:val="00745301"/>
    <w:rsid w:val="00746C26"/>
    <w:rsid w:val="0075277F"/>
    <w:rsid w:val="00752D13"/>
    <w:rsid w:val="0075345C"/>
    <w:rsid w:val="00754152"/>
    <w:rsid w:val="00754EC0"/>
    <w:rsid w:val="0075647A"/>
    <w:rsid w:val="00757117"/>
    <w:rsid w:val="00760C7C"/>
    <w:rsid w:val="007617F2"/>
    <w:rsid w:val="007634AD"/>
    <w:rsid w:val="00763B06"/>
    <w:rsid w:val="00763DF0"/>
    <w:rsid w:val="00766562"/>
    <w:rsid w:val="00770749"/>
    <w:rsid w:val="00770ADC"/>
    <w:rsid w:val="00771BA7"/>
    <w:rsid w:val="00773EE9"/>
    <w:rsid w:val="00773EFA"/>
    <w:rsid w:val="007751AB"/>
    <w:rsid w:val="0077581F"/>
    <w:rsid w:val="00775C7C"/>
    <w:rsid w:val="00775F71"/>
    <w:rsid w:val="00777B18"/>
    <w:rsid w:val="00780F3A"/>
    <w:rsid w:val="0078122E"/>
    <w:rsid w:val="00781432"/>
    <w:rsid w:val="0078331C"/>
    <w:rsid w:val="00786FA5"/>
    <w:rsid w:val="00790165"/>
    <w:rsid w:val="00791CE8"/>
    <w:rsid w:val="00792CCD"/>
    <w:rsid w:val="00795F60"/>
    <w:rsid w:val="007A00AB"/>
    <w:rsid w:val="007A1640"/>
    <w:rsid w:val="007A1F32"/>
    <w:rsid w:val="007A3087"/>
    <w:rsid w:val="007A3365"/>
    <w:rsid w:val="007A3575"/>
    <w:rsid w:val="007A36F7"/>
    <w:rsid w:val="007A3878"/>
    <w:rsid w:val="007A45E1"/>
    <w:rsid w:val="007A4F9B"/>
    <w:rsid w:val="007B0854"/>
    <w:rsid w:val="007B26EA"/>
    <w:rsid w:val="007B350C"/>
    <w:rsid w:val="007B5E4D"/>
    <w:rsid w:val="007C0482"/>
    <w:rsid w:val="007C2BF6"/>
    <w:rsid w:val="007C4999"/>
    <w:rsid w:val="007C5B45"/>
    <w:rsid w:val="007C67B5"/>
    <w:rsid w:val="007C6D53"/>
    <w:rsid w:val="007C745C"/>
    <w:rsid w:val="007D1800"/>
    <w:rsid w:val="007D28D9"/>
    <w:rsid w:val="007D4460"/>
    <w:rsid w:val="007D4E2C"/>
    <w:rsid w:val="007E0012"/>
    <w:rsid w:val="007E07F7"/>
    <w:rsid w:val="007E13BA"/>
    <w:rsid w:val="007E724B"/>
    <w:rsid w:val="007E7D01"/>
    <w:rsid w:val="007F21B2"/>
    <w:rsid w:val="007F306F"/>
    <w:rsid w:val="007F3261"/>
    <w:rsid w:val="007F3788"/>
    <w:rsid w:val="007F40CD"/>
    <w:rsid w:val="007F5CD2"/>
    <w:rsid w:val="007F6877"/>
    <w:rsid w:val="007F6E86"/>
    <w:rsid w:val="007F72CB"/>
    <w:rsid w:val="008020B4"/>
    <w:rsid w:val="00802410"/>
    <w:rsid w:val="008029C5"/>
    <w:rsid w:val="00802E04"/>
    <w:rsid w:val="00803C53"/>
    <w:rsid w:val="00804199"/>
    <w:rsid w:val="00810BC2"/>
    <w:rsid w:val="00810F70"/>
    <w:rsid w:val="008112AE"/>
    <w:rsid w:val="008118F4"/>
    <w:rsid w:val="00812B27"/>
    <w:rsid w:val="00813D99"/>
    <w:rsid w:val="008150DF"/>
    <w:rsid w:val="0082268C"/>
    <w:rsid w:val="0083119B"/>
    <w:rsid w:val="00834E72"/>
    <w:rsid w:val="00836AFD"/>
    <w:rsid w:val="00836C3A"/>
    <w:rsid w:val="00836EAB"/>
    <w:rsid w:val="00837248"/>
    <w:rsid w:val="00837349"/>
    <w:rsid w:val="00840D0A"/>
    <w:rsid w:val="00841B8A"/>
    <w:rsid w:val="00845BC2"/>
    <w:rsid w:val="00845C82"/>
    <w:rsid w:val="00847A9D"/>
    <w:rsid w:val="00847F78"/>
    <w:rsid w:val="0085092D"/>
    <w:rsid w:val="00852147"/>
    <w:rsid w:val="00854321"/>
    <w:rsid w:val="00854646"/>
    <w:rsid w:val="008546F7"/>
    <w:rsid w:val="00856133"/>
    <w:rsid w:val="00856268"/>
    <w:rsid w:val="008563D1"/>
    <w:rsid w:val="00860B70"/>
    <w:rsid w:val="00870D79"/>
    <w:rsid w:val="00874D84"/>
    <w:rsid w:val="00875A80"/>
    <w:rsid w:val="008765F0"/>
    <w:rsid w:val="00876A9D"/>
    <w:rsid w:val="0087751D"/>
    <w:rsid w:val="00877CD6"/>
    <w:rsid w:val="0088101C"/>
    <w:rsid w:val="0088206E"/>
    <w:rsid w:val="0088233B"/>
    <w:rsid w:val="008828E7"/>
    <w:rsid w:val="0088385C"/>
    <w:rsid w:val="00884C8B"/>
    <w:rsid w:val="0088563B"/>
    <w:rsid w:val="008856AE"/>
    <w:rsid w:val="0088659A"/>
    <w:rsid w:val="00886DDE"/>
    <w:rsid w:val="00890EC8"/>
    <w:rsid w:val="00891978"/>
    <w:rsid w:val="00892103"/>
    <w:rsid w:val="00893313"/>
    <w:rsid w:val="00893744"/>
    <w:rsid w:val="00893A01"/>
    <w:rsid w:val="00895A43"/>
    <w:rsid w:val="008A1527"/>
    <w:rsid w:val="008A1750"/>
    <w:rsid w:val="008A1B06"/>
    <w:rsid w:val="008A2636"/>
    <w:rsid w:val="008A4B60"/>
    <w:rsid w:val="008B0FF2"/>
    <w:rsid w:val="008B1E24"/>
    <w:rsid w:val="008B2021"/>
    <w:rsid w:val="008B404F"/>
    <w:rsid w:val="008B4FA2"/>
    <w:rsid w:val="008B5359"/>
    <w:rsid w:val="008B5AED"/>
    <w:rsid w:val="008B6437"/>
    <w:rsid w:val="008B7DB2"/>
    <w:rsid w:val="008C0C45"/>
    <w:rsid w:val="008C36A1"/>
    <w:rsid w:val="008C3A55"/>
    <w:rsid w:val="008C7603"/>
    <w:rsid w:val="008C7B34"/>
    <w:rsid w:val="008D082E"/>
    <w:rsid w:val="008D0D41"/>
    <w:rsid w:val="008D218F"/>
    <w:rsid w:val="008D41C2"/>
    <w:rsid w:val="008D4AE8"/>
    <w:rsid w:val="008D55EA"/>
    <w:rsid w:val="008D6B63"/>
    <w:rsid w:val="008D7FDF"/>
    <w:rsid w:val="008E07D2"/>
    <w:rsid w:val="008E12EE"/>
    <w:rsid w:val="008E1C15"/>
    <w:rsid w:val="008E2789"/>
    <w:rsid w:val="008E3D79"/>
    <w:rsid w:val="008E4385"/>
    <w:rsid w:val="008E58E3"/>
    <w:rsid w:val="008E6270"/>
    <w:rsid w:val="008E76C6"/>
    <w:rsid w:val="008F1674"/>
    <w:rsid w:val="008F180C"/>
    <w:rsid w:val="008F4F08"/>
    <w:rsid w:val="008F67B0"/>
    <w:rsid w:val="008F6974"/>
    <w:rsid w:val="00900C60"/>
    <w:rsid w:val="00900CC0"/>
    <w:rsid w:val="00901F74"/>
    <w:rsid w:val="00902980"/>
    <w:rsid w:val="00903913"/>
    <w:rsid w:val="00904433"/>
    <w:rsid w:val="009047C5"/>
    <w:rsid w:val="009049F3"/>
    <w:rsid w:val="00906117"/>
    <w:rsid w:val="00906DF7"/>
    <w:rsid w:val="00911AE7"/>
    <w:rsid w:val="00911B55"/>
    <w:rsid w:val="00914791"/>
    <w:rsid w:val="00914BEA"/>
    <w:rsid w:val="00914CA9"/>
    <w:rsid w:val="0091733A"/>
    <w:rsid w:val="00917D09"/>
    <w:rsid w:val="00920089"/>
    <w:rsid w:val="009207A6"/>
    <w:rsid w:val="00921E06"/>
    <w:rsid w:val="00921E2E"/>
    <w:rsid w:val="00922B83"/>
    <w:rsid w:val="00924B30"/>
    <w:rsid w:val="00924EBF"/>
    <w:rsid w:val="0092615F"/>
    <w:rsid w:val="00927EAE"/>
    <w:rsid w:val="00931EF5"/>
    <w:rsid w:val="009321E6"/>
    <w:rsid w:val="009329C1"/>
    <w:rsid w:val="0093326F"/>
    <w:rsid w:val="009333DD"/>
    <w:rsid w:val="00934245"/>
    <w:rsid w:val="009343E2"/>
    <w:rsid w:val="00940D6B"/>
    <w:rsid w:val="00943849"/>
    <w:rsid w:val="00943ED3"/>
    <w:rsid w:val="00943FE7"/>
    <w:rsid w:val="009456F2"/>
    <w:rsid w:val="00945B7C"/>
    <w:rsid w:val="00947C29"/>
    <w:rsid w:val="00951797"/>
    <w:rsid w:val="0095285B"/>
    <w:rsid w:val="00952EDF"/>
    <w:rsid w:val="0095385A"/>
    <w:rsid w:val="00956410"/>
    <w:rsid w:val="00961031"/>
    <w:rsid w:val="0096486A"/>
    <w:rsid w:val="00964E9B"/>
    <w:rsid w:val="00965839"/>
    <w:rsid w:val="00966C75"/>
    <w:rsid w:val="0097005F"/>
    <w:rsid w:val="009743FB"/>
    <w:rsid w:val="00975738"/>
    <w:rsid w:val="00976237"/>
    <w:rsid w:val="009768F4"/>
    <w:rsid w:val="00977307"/>
    <w:rsid w:val="009777A2"/>
    <w:rsid w:val="009823A4"/>
    <w:rsid w:val="00983F83"/>
    <w:rsid w:val="009840CC"/>
    <w:rsid w:val="00985247"/>
    <w:rsid w:val="009863F1"/>
    <w:rsid w:val="00987DD3"/>
    <w:rsid w:val="00990A5A"/>
    <w:rsid w:val="00993037"/>
    <w:rsid w:val="00994999"/>
    <w:rsid w:val="009969F2"/>
    <w:rsid w:val="00996C30"/>
    <w:rsid w:val="009973A4"/>
    <w:rsid w:val="00997EA9"/>
    <w:rsid w:val="009A0F89"/>
    <w:rsid w:val="009A1C7B"/>
    <w:rsid w:val="009A1DB3"/>
    <w:rsid w:val="009A2502"/>
    <w:rsid w:val="009A2E9B"/>
    <w:rsid w:val="009A36E4"/>
    <w:rsid w:val="009A4877"/>
    <w:rsid w:val="009A4DDF"/>
    <w:rsid w:val="009A5FB7"/>
    <w:rsid w:val="009A65FE"/>
    <w:rsid w:val="009A69D9"/>
    <w:rsid w:val="009A7DDF"/>
    <w:rsid w:val="009B223B"/>
    <w:rsid w:val="009B30D4"/>
    <w:rsid w:val="009B38BA"/>
    <w:rsid w:val="009B7BFB"/>
    <w:rsid w:val="009B7D69"/>
    <w:rsid w:val="009C1B12"/>
    <w:rsid w:val="009C1F9A"/>
    <w:rsid w:val="009C5436"/>
    <w:rsid w:val="009C5B56"/>
    <w:rsid w:val="009C68C5"/>
    <w:rsid w:val="009C6DAA"/>
    <w:rsid w:val="009D169F"/>
    <w:rsid w:val="009D17E4"/>
    <w:rsid w:val="009D1CC6"/>
    <w:rsid w:val="009D2970"/>
    <w:rsid w:val="009D4284"/>
    <w:rsid w:val="009D4A95"/>
    <w:rsid w:val="009D51AB"/>
    <w:rsid w:val="009D5694"/>
    <w:rsid w:val="009D65AE"/>
    <w:rsid w:val="009D71D6"/>
    <w:rsid w:val="009D72B1"/>
    <w:rsid w:val="009D768B"/>
    <w:rsid w:val="009E134A"/>
    <w:rsid w:val="009E2F26"/>
    <w:rsid w:val="009E3931"/>
    <w:rsid w:val="009E58DB"/>
    <w:rsid w:val="009F3049"/>
    <w:rsid w:val="009F387C"/>
    <w:rsid w:val="009F4F5C"/>
    <w:rsid w:val="009F7878"/>
    <w:rsid w:val="00A00480"/>
    <w:rsid w:val="00A009C1"/>
    <w:rsid w:val="00A018CF"/>
    <w:rsid w:val="00A0366E"/>
    <w:rsid w:val="00A037EA"/>
    <w:rsid w:val="00A03FFA"/>
    <w:rsid w:val="00A04EE6"/>
    <w:rsid w:val="00A064D1"/>
    <w:rsid w:val="00A0747C"/>
    <w:rsid w:val="00A131D8"/>
    <w:rsid w:val="00A14ED6"/>
    <w:rsid w:val="00A14FEA"/>
    <w:rsid w:val="00A15652"/>
    <w:rsid w:val="00A15E6A"/>
    <w:rsid w:val="00A17D5A"/>
    <w:rsid w:val="00A20899"/>
    <w:rsid w:val="00A24560"/>
    <w:rsid w:val="00A252F8"/>
    <w:rsid w:val="00A25924"/>
    <w:rsid w:val="00A3135A"/>
    <w:rsid w:val="00A31FAF"/>
    <w:rsid w:val="00A33107"/>
    <w:rsid w:val="00A34538"/>
    <w:rsid w:val="00A348B5"/>
    <w:rsid w:val="00A35DB0"/>
    <w:rsid w:val="00A366C0"/>
    <w:rsid w:val="00A37325"/>
    <w:rsid w:val="00A4284F"/>
    <w:rsid w:val="00A44ADA"/>
    <w:rsid w:val="00A457BC"/>
    <w:rsid w:val="00A46B58"/>
    <w:rsid w:val="00A502C3"/>
    <w:rsid w:val="00A54749"/>
    <w:rsid w:val="00A55589"/>
    <w:rsid w:val="00A55593"/>
    <w:rsid w:val="00A568E5"/>
    <w:rsid w:val="00A6031B"/>
    <w:rsid w:val="00A60F23"/>
    <w:rsid w:val="00A6135D"/>
    <w:rsid w:val="00A61BAB"/>
    <w:rsid w:val="00A63214"/>
    <w:rsid w:val="00A63550"/>
    <w:rsid w:val="00A637F0"/>
    <w:rsid w:val="00A64A3E"/>
    <w:rsid w:val="00A64D34"/>
    <w:rsid w:val="00A66B56"/>
    <w:rsid w:val="00A66CB6"/>
    <w:rsid w:val="00A67701"/>
    <w:rsid w:val="00A70D3C"/>
    <w:rsid w:val="00A7259A"/>
    <w:rsid w:val="00A7306C"/>
    <w:rsid w:val="00A74421"/>
    <w:rsid w:val="00A80531"/>
    <w:rsid w:val="00A80657"/>
    <w:rsid w:val="00A80A35"/>
    <w:rsid w:val="00A8155D"/>
    <w:rsid w:val="00A81A2A"/>
    <w:rsid w:val="00A82798"/>
    <w:rsid w:val="00A83FAF"/>
    <w:rsid w:val="00A846F0"/>
    <w:rsid w:val="00A872E4"/>
    <w:rsid w:val="00A90376"/>
    <w:rsid w:val="00A911F3"/>
    <w:rsid w:val="00A92F8F"/>
    <w:rsid w:val="00A94854"/>
    <w:rsid w:val="00A963E6"/>
    <w:rsid w:val="00A965EF"/>
    <w:rsid w:val="00A97BA9"/>
    <w:rsid w:val="00AA0108"/>
    <w:rsid w:val="00AA2FA4"/>
    <w:rsid w:val="00AA442B"/>
    <w:rsid w:val="00AA4474"/>
    <w:rsid w:val="00AA5DE7"/>
    <w:rsid w:val="00AA6443"/>
    <w:rsid w:val="00AB019E"/>
    <w:rsid w:val="00AB0CF9"/>
    <w:rsid w:val="00AB22AC"/>
    <w:rsid w:val="00AB519E"/>
    <w:rsid w:val="00AB71ED"/>
    <w:rsid w:val="00AC284A"/>
    <w:rsid w:val="00AC2F83"/>
    <w:rsid w:val="00AC4A88"/>
    <w:rsid w:val="00AC604E"/>
    <w:rsid w:val="00AC7AF0"/>
    <w:rsid w:val="00AD0301"/>
    <w:rsid w:val="00AD1BC5"/>
    <w:rsid w:val="00AD2AE0"/>
    <w:rsid w:val="00AD2F6D"/>
    <w:rsid w:val="00AD44F4"/>
    <w:rsid w:val="00AD4D7E"/>
    <w:rsid w:val="00AD5641"/>
    <w:rsid w:val="00AD73B1"/>
    <w:rsid w:val="00AD7629"/>
    <w:rsid w:val="00AD7A70"/>
    <w:rsid w:val="00AE2836"/>
    <w:rsid w:val="00AE496A"/>
    <w:rsid w:val="00AE7CA2"/>
    <w:rsid w:val="00AF0146"/>
    <w:rsid w:val="00AF080A"/>
    <w:rsid w:val="00AF13C5"/>
    <w:rsid w:val="00AF1ECB"/>
    <w:rsid w:val="00AF379D"/>
    <w:rsid w:val="00AF3B59"/>
    <w:rsid w:val="00AF3C31"/>
    <w:rsid w:val="00AF5311"/>
    <w:rsid w:val="00AF6C24"/>
    <w:rsid w:val="00B009B4"/>
    <w:rsid w:val="00B018FE"/>
    <w:rsid w:val="00B02308"/>
    <w:rsid w:val="00B03B42"/>
    <w:rsid w:val="00B050FF"/>
    <w:rsid w:val="00B061F8"/>
    <w:rsid w:val="00B07589"/>
    <w:rsid w:val="00B105C8"/>
    <w:rsid w:val="00B113BF"/>
    <w:rsid w:val="00B12934"/>
    <w:rsid w:val="00B1340D"/>
    <w:rsid w:val="00B13824"/>
    <w:rsid w:val="00B13A80"/>
    <w:rsid w:val="00B13B2D"/>
    <w:rsid w:val="00B14412"/>
    <w:rsid w:val="00B14514"/>
    <w:rsid w:val="00B1474F"/>
    <w:rsid w:val="00B14DB7"/>
    <w:rsid w:val="00B16D71"/>
    <w:rsid w:val="00B21C77"/>
    <w:rsid w:val="00B22E22"/>
    <w:rsid w:val="00B2375A"/>
    <w:rsid w:val="00B246F2"/>
    <w:rsid w:val="00B251F5"/>
    <w:rsid w:val="00B254BA"/>
    <w:rsid w:val="00B26B41"/>
    <w:rsid w:val="00B27137"/>
    <w:rsid w:val="00B308CC"/>
    <w:rsid w:val="00B30B07"/>
    <w:rsid w:val="00B34319"/>
    <w:rsid w:val="00B34437"/>
    <w:rsid w:val="00B34CA4"/>
    <w:rsid w:val="00B35A49"/>
    <w:rsid w:val="00B36042"/>
    <w:rsid w:val="00B375CA"/>
    <w:rsid w:val="00B40151"/>
    <w:rsid w:val="00B417C9"/>
    <w:rsid w:val="00B42A23"/>
    <w:rsid w:val="00B42F19"/>
    <w:rsid w:val="00B442BB"/>
    <w:rsid w:val="00B448AF"/>
    <w:rsid w:val="00B45B98"/>
    <w:rsid w:val="00B473D1"/>
    <w:rsid w:val="00B50B3D"/>
    <w:rsid w:val="00B525CB"/>
    <w:rsid w:val="00B5723A"/>
    <w:rsid w:val="00B615BB"/>
    <w:rsid w:val="00B61EAF"/>
    <w:rsid w:val="00B628C8"/>
    <w:rsid w:val="00B63CB2"/>
    <w:rsid w:val="00B64914"/>
    <w:rsid w:val="00B67830"/>
    <w:rsid w:val="00B734AF"/>
    <w:rsid w:val="00B73E50"/>
    <w:rsid w:val="00B7415E"/>
    <w:rsid w:val="00B7625C"/>
    <w:rsid w:val="00B76CDB"/>
    <w:rsid w:val="00B80A0C"/>
    <w:rsid w:val="00B81B4F"/>
    <w:rsid w:val="00B83689"/>
    <w:rsid w:val="00B83959"/>
    <w:rsid w:val="00B83E31"/>
    <w:rsid w:val="00B85CB0"/>
    <w:rsid w:val="00B86742"/>
    <w:rsid w:val="00B86E19"/>
    <w:rsid w:val="00B9214A"/>
    <w:rsid w:val="00B9228C"/>
    <w:rsid w:val="00B924AA"/>
    <w:rsid w:val="00B93C15"/>
    <w:rsid w:val="00B93EB4"/>
    <w:rsid w:val="00B94453"/>
    <w:rsid w:val="00B955E0"/>
    <w:rsid w:val="00B96EEB"/>
    <w:rsid w:val="00B972C9"/>
    <w:rsid w:val="00BA2A4A"/>
    <w:rsid w:val="00BA2D3A"/>
    <w:rsid w:val="00BA5331"/>
    <w:rsid w:val="00BA7E88"/>
    <w:rsid w:val="00BB094C"/>
    <w:rsid w:val="00BB20AF"/>
    <w:rsid w:val="00BB343D"/>
    <w:rsid w:val="00BB4442"/>
    <w:rsid w:val="00BB52CB"/>
    <w:rsid w:val="00BB6594"/>
    <w:rsid w:val="00BB6E3C"/>
    <w:rsid w:val="00BC00B1"/>
    <w:rsid w:val="00BC10B9"/>
    <w:rsid w:val="00BC2E1A"/>
    <w:rsid w:val="00BC3CF6"/>
    <w:rsid w:val="00BC4624"/>
    <w:rsid w:val="00BC4A98"/>
    <w:rsid w:val="00BC5927"/>
    <w:rsid w:val="00BD115B"/>
    <w:rsid w:val="00BD1CED"/>
    <w:rsid w:val="00BD28D5"/>
    <w:rsid w:val="00BD531D"/>
    <w:rsid w:val="00BD78FE"/>
    <w:rsid w:val="00BE020D"/>
    <w:rsid w:val="00BE051B"/>
    <w:rsid w:val="00BE0E33"/>
    <w:rsid w:val="00BE15CF"/>
    <w:rsid w:val="00BE2414"/>
    <w:rsid w:val="00BE30AE"/>
    <w:rsid w:val="00BF0AE6"/>
    <w:rsid w:val="00BF1286"/>
    <w:rsid w:val="00BF1C20"/>
    <w:rsid w:val="00BF1F2C"/>
    <w:rsid w:val="00BF3F8D"/>
    <w:rsid w:val="00BF5F64"/>
    <w:rsid w:val="00BF616F"/>
    <w:rsid w:val="00C00B13"/>
    <w:rsid w:val="00C00EE1"/>
    <w:rsid w:val="00C01853"/>
    <w:rsid w:val="00C03C90"/>
    <w:rsid w:val="00C04442"/>
    <w:rsid w:val="00C05BB1"/>
    <w:rsid w:val="00C05D8E"/>
    <w:rsid w:val="00C1022B"/>
    <w:rsid w:val="00C10447"/>
    <w:rsid w:val="00C1187E"/>
    <w:rsid w:val="00C142C8"/>
    <w:rsid w:val="00C15D32"/>
    <w:rsid w:val="00C166F7"/>
    <w:rsid w:val="00C205DB"/>
    <w:rsid w:val="00C2159E"/>
    <w:rsid w:val="00C216A9"/>
    <w:rsid w:val="00C21D03"/>
    <w:rsid w:val="00C24E53"/>
    <w:rsid w:val="00C253B9"/>
    <w:rsid w:val="00C25B27"/>
    <w:rsid w:val="00C309EC"/>
    <w:rsid w:val="00C3265D"/>
    <w:rsid w:val="00C32FA9"/>
    <w:rsid w:val="00C3420D"/>
    <w:rsid w:val="00C34CD8"/>
    <w:rsid w:val="00C34E5D"/>
    <w:rsid w:val="00C3799C"/>
    <w:rsid w:val="00C41CC9"/>
    <w:rsid w:val="00C44B05"/>
    <w:rsid w:val="00C45264"/>
    <w:rsid w:val="00C46F19"/>
    <w:rsid w:val="00C518B8"/>
    <w:rsid w:val="00C53893"/>
    <w:rsid w:val="00C539EC"/>
    <w:rsid w:val="00C53B49"/>
    <w:rsid w:val="00C55CE9"/>
    <w:rsid w:val="00C57F52"/>
    <w:rsid w:val="00C60A6C"/>
    <w:rsid w:val="00C61FA4"/>
    <w:rsid w:val="00C6215B"/>
    <w:rsid w:val="00C62DB7"/>
    <w:rsid w:val="00C63E6D"/>
    <w:rsid w:val="00C6470F"/>
    <w:rsid w:val="00C64854"/>
    <w:rsid w:val="00C660E1"/>
    <w:rsid w:val="00C66325"/>
    <w:rsid w:val="00C6742E"/>
    <w:rsid w:val="00C6749A"/>
    <w:rsid w:val="00C676B2"/>
    <w:rsid w:val="00C70828"/>
    <w:rsid w:val="00C70B6F"/>
    <w:rsid w:val="00C743E9"/>
    <w:rsid w:val="00C75CF1"/>
    <w:rsid w:val="00C76B72"/>
    <w:rsid w:val="00C84725"/>
    <w:rsid w:val="00C90033"/>
    <w:rsid w:val="00C9033A"/>
    <w:rsid w:val="00C92C93"/>
    <w:rsid w:val="00C93D81"/>
    <w:rsid w:val="00CA3AC3"/>
    <w:rsid w:val="00CA474A"/>
    <w:rsid w:val="00CA4E1C"/>
    <w:rsid w:val="00CA6A4C"/>
    <w:rsid w:val="00CA6AE8"/>
    <w:rsid w:val="00CA6D91"/>
    <w:rsid w:val="00CB0646"/>
    <w:rsid w:val="00CB2848"/>
    <w:rsid w:val="00CB4647"/>
    <w:rsid w:val="00CB48B2"/>
    <w:rsid w:val="00CB4F58"/>
    <w:rsid w:val="00CB5153"/>
    <w:rsid w:val="00CB60EC"/>
    <w:rsid w:val="00CC00CD"/>
    <w:rsid w:val="00CC1E8F"/>
    <w:rsid w:val="00CC2908"/>
    <w:rsid w:val="00CC5461"/>
    <w:rsid w:val="00CC5C83"/>
    <w:rsid w:val="00CC6744"/>
    <w:rsid w:val="00CC704B"/>
    <w:rsid w:val="00CD0EFB"/>
    <w:rsid w:val="00CD1D8A"/>
    <w:rsid w:val="00CD2FA0"/>
    <w:rsid w:val="00CD325B"/>
    <w:rsid w:val="00CD56AA"/>
    <w:rsid w:val="00CD66DC"/>
    <w:rsid w:val="00CD76F0"/>
    <w:rsid w:val="00CD7776"/>
    <w:rsid w:val="00CE1E9A"/>
    <w:rsid w:val="00CE5088"/>
    <w:rsid w:val="00CE65B0"/>
    <w:rsid w:val="00CE68C6"/>
    <w:rsid w:val="00CE762D"/>
    <w:rsid w:val="00CF29EA"/>
    <w:rsid w:val="00CF2ABC"/>
    <w:rsid w:val="00CF40C0"/>
    <w:rsid w:val="00CF478D"/>
    <w:rsid w:val="00CF6D74"/>
    <w:rsid w:val="00D0147E"/>
    <w:rsid w:val="00D01A82"/>
    <w:rsid w:val="00D035F8"/>
    <w:rsid w:val="00D05420"/>
    <w:rsid w:val="00D06915"/>
    <w:rsid w:val="00D06ADE"/>
    <w:rsid w:val="00D1574C"/>
    <w:rsid w:val="00D15B6E"/>
    <w:rsid w:val="00D16312"/>
    <w:rsid w:val="00D16E39"/>
    <w:rsid w:val="00D2246B"/>
    <w:rsid w:val="00D234DF"/>
    <w:rsid w:val="00D246C2"/>
    <w:rsid w:val="00D27700"/>
    <w:rsid w:val="00D305BD"/>
    <w:rsid w:val="00D30743"/>
    <w:rsid w:val="00D32D01"/>
    <w:rsid w:val="00D32E17"/>
    <w:rsid w:val="00D32EBE"/>
    <w:rsid w:val="00D345B5"/>
    <w:rsid w:val="00D34731"/>
    <w:rsid w:val="00D3720F"/>
    <w:rsid w:val="00D40D8E"/>
    <w:rsid w:val="00D40FAB"/>
    <w:rsid w:val="00D41158"/>
    <w:rsid w:val="00D41D66"/>
    <w:rsid w:val="00D42C78"/>
    <w:rsid w:val="00D4348E"/>
    <w:rsid w:val="00D44FB5"/>
    <w:rsid w:val="00D4574F"/>
    <w:rsid w:val="00D4699F"/>
    <w:rsid w:val="00D50075"/>
    <w:rsid w:val="00D51603"/>
    <w:rsid w:val="00D51D6B"/>
    <w:rsid w:val="00D52820"/>
    <w:rsid w:val="00D52B6D"/>
    <w:rsid w:val="00D5365B"/>
    <w:rsid w:val="00D54877"/>
    <w:rsid w:val="00D553D7"/>
    <w:rsid w:val="00D567A9"/>
    <w:rsid w:val="00D6034C"/>
    <w:rsid w:val="00D6361B"/>
    <w:rsid w:val="00D64A4A"/>
    <w:rsid w:val="00D65DDA"/>
    <w:rsid w:val="00D6689C"/>
    <w:rsid w:val="00D709EF"/>
    <w:rsid w:val="00D72E9D"/>
    <w:rsid w:val="00D73430"/>
    <w:rsid w:val="00D747D7"/>
    <w:rsid w:val="00D74C23"/>
    <w:rsid w:val="00D74C57"/>
    <w:rsid w:val="00D77187"/>
    <w:rsid w:val="00D82CE5"/>
    <w:rsid w:val="00D8507B"/>
    <w:rsid w:val="00D855EC"/>
    <w:rsid w:val="00D85B4F"/>
    <w:rsid w:val="00D914DA"/>
    <w:rsid w:val="00D91B83"/>
    <w:rsid w:val="00D91DB7"/>
    <w:rsid w:val="00D9271F"/>
    <w:rsid w:val="00D936D0"/>
    <w:rsid w:val="00D93E4B"/>
    <w:rsid w:val="00D9433E"/>
    <w:rsid w:val="00D94DAE"/>
    <w:rsid w:val="00D94FAE"/>
    <w:rsid w:val="00D95624"/>
    <w:rsid w:val="00D97469"/>
    <w:rsid w:val="00DA0439"/>
    <w:rsid w:val="00DA0775"/>
    <w:rsid w:val="00DA311A"/>
    <w:rsid w:val="00DA5AB1"/>
    <w:rsid w:val="00DA6FB5"/>
    <w:rsid w:val="00DA7425"/>
    <w:rsid w:val="00DB11B2"/>
    <w:rsid w:val="00DB1204"/>
    <w:rsid w:val="00DB2F43"/>
    <w:rsid w:val="00DB3B65"/>
    <w:rsid w:val="00DB5599"/>
    <w:rsid w:val="00DB5918"/>
    <w:rsid w:val="00DB6907"/>
    <w:rsid w:val="00DB710D"/>
    <w:rsid w:val="00DC08E1"/>
    <w:rsid w:val="00DC1AB6"/>
    <w:rsid w:val="00DC36CE"/>
    <w:rsid w:val="00DC3CF1"/>
    <w:rsid w:val="00DC3EF6"/>
    <w:rsid w:val="00DC53D7"/>
    <w:rsid w:val="00DC5DE5"/>
    <w:rsid w:val="00DC6019"/>
    <w:rsid w:val="00DC62E5"/>
    <w:rsid w:val="00DD002F"/>
    <w:rsid w:val="00DD514A"/>
    <w:rsid w:val="00DD5FCE"/>
    <w:rsid w:val="00DD6C69"/>
    <w:rsid w:val="00DD6C91"/>
    <w:rsid w:val="00DD735D"/>
    <w:rsid w:val="00DE057F"/>
    <w:rsid w:val="00DE100A"/>
    <w:rsid w:val="00DE1A24"/>
    <w:rsid w:val="00DE3119"/>
    <w:rsid w:val="00DE3771"/>
    <w:rsid w:val="00DE53B3"/>
    <w:rsid w:val="00DE540F"/>
    <w:rsid w:val="00DE63CA"/>
    <w:rsid w:val="00DE6469"/>
    <w:rsid w:val="00DF09A8"/>
    <w:rsid w:val="00DF107A"/>
    <w:rsid w:val="00DF167C"/>
    <w:rsid w:val="00DF198C"/>
    <w:rsid w:val="00DF236B"/>
    <w:rsid w:val="00DF3197"/>
    <w:rsid w:val="00DF3271"/>
    <w:rsid w:val="00DF42F1"/>
    <w:rsid w:val="00DF59D6"/>
    <w:rsid w:val="00DF7ACB"/>
    <w:rsid w:val="00E01639"/>
    <w:rsid w:val="00E01F0B"/>
    <w:rsid w:val="00E0222A"/>
    <w:rsid w:val="00E0241C"/>
    <w:rsid w:val="00E03888"/>
    <w:rsid w:val="00E05934"/>
    <w:rsid w:val="00E07BC7"/>
    <w:rsid w:val="00E10A23"/>
    <w:rsid w:val="00E1123E"/>
    <w:rsid w:val="00E1209F"/>
    <w:rsid w:val="00E126C1"/>
    <w:rsid w:val="00E1277F"/>
    <w:rsid w:val="00E129E9"/>
    <w:rsid w:val="00E13AB8"/>
    <w:rsid w:val="00E13C3F"/>
    <w:rsid w:val="00E14CEA"/>
    <w:rsid w:val="00E1511F"/>
    <w:rsid w:val="00E16BBA"/>
    <w:rsid w:val="00E173AD"/>
    <w:rsid w:val="00E17E1B"/>
    <w:rsid w:val="00E20955"/>
    <w:rsid w:val="00E214DF"/>
    <w:rsid w:val="00E241BA"/>
    <w:rsid w:val="00E242B9"/>
    <w:rsid w:val="00E25651"/>
    <w:rsid w:val="00E25D1B"/>
    <w:rsid w:val="00E267C6"/>
    <w:rsid w:val="00E2690F"/>
    <w:rsid w:val="00E26CA4"/>
    <w:rsid w:val="00E275BF"/>
    <w:rsid w:val="00E32050"/>
    <w:rsid w:val="00E32500"/>
    <w:rsid w:val="00E3337D"/>
    <w:rsid w:val="00E33B62"/>
    <w:rsid w:val="00E351A3"/>
    <w:rsid w:val="00E36BCA"/>
    <w:rsid w:val="00E36C78"/>
    <w:rsid w:val="00E3785C"/>
    <w:rsid w:val="00E429C3"/>
    <w:rsid w:val="00E42F19"/>
    <w:rsid w:val="00E437AE"/>
    <w:rsid w:val="00E476B7"/>
    <w:rsid w:val="00E5140F"/>
    <w:rsid w:val="00E51569"/>
    <w:rsid w:val="00E51ECE"/>
    <w:rsid w:val="00E53698"/>
    <w:rsid w:val="00E5448D"/>
    <w:rsid w:val="00E5489A"/>
    <w:rsid w:val="00E56F95"/>
    <w:rsid w:val="00E60ADC"/>
    <w:rsid w:val="00E63F16"/>
    <w:rsid w:val="00E64032"/>
    <w:rsid w:val="00E641C8"/>
    <w:rsid w:val="00E64347"/>
    <w:rsid w:val="00E64E54"/>
    <w:rsid w:val="00E66D8E"/>
    <w:rsid w:val="00E71BA4"/>
    <w:rsid w:val="00E72688"/>
    <w:rsid w:val="00E728F0"/>
    <w:rsid w:val="00E72932"/>
    <w:rsid w:val="00E773CD"/>
    <w:rsid w:val="00E822B0"/>
    <w:rsid w:val="00E86340"/>
    <w:rsid w:val="00E86589"/>
    <w:rsid w:val="00E86805"/>
    <w:rsid w:val="00E86C3C"/>
    <w:rsid w:val="00E932D4"/>
    <w:rsid w:val="00E932EF"/>
    <w:rsid w:val="00E93D64"/>
    <w:rsid w:val="00E93F32"/>
    <w:rsid w:val="00E9469D"/>
    <w:rsid w:val="00E97868"/>
    <w:rsid w:val="00E97974"/>
    <w:rsid w:val="00E97A9B"/>
    <w:rsid w:val="00EA0062"/>
    <w:rsid w:val="00EA1D29"/>
    <w:rsid w:val="00EA2E32"/>
    <w:rsid w:val="00EA49E7"/>
    <w:rsid w:val="00EA5627"/>
    <w:rsid w:val="00EA7FF3"/>
    <w:rsid w:val="00EB0CD1"/>
    <w:rsid w:val="00EB2207"/>
    <w:rsid w:val="00EB31E8"/>
    <w:rsid w:val="00EB39F0"/>
    <w:rsid w:val="00EB3CC9"/>
    <w:rsid w:val="00EB4517"/>
    <w:rsid w:val="00EB4E60"/>
    <w:rsid w:val="00EB61CA"/>
    <w:rsid w:val="00EB66BC"/>
    <w:rsid w:val="00EB66DA"/>
    <w:rsid w:val="00EB77D4"/>
    <w:rsid w:val="00EC0496"/>
    <w:rsid w:val="00EC0612"/>
    <w:rsid w:val="00EC0A6A"/>
    <w:rsid w:val="00EC152A"/>
    <w:rsid w:val="00EC1EEA"/>
    <w:rsid w:val="00EC35C7"/>
    <w:rsid w:val="00EC4003"/>
    <w:rsid w:val="00EC69AE"/>
    <w:rsid w:val="00ED0712"/>
    <w:rsid w:val="00ED1923"/>
    <w:rsid w:val="00ED1CBE"/>
    <w:rsid w:val="00ED23DD"/>
    <w:rsid w:val="00ED41FD"/>
    <w:rsid w:val="00ED4F9F"/>
    <w:rsid w:val="00ED520C"/>
    <w:rsid w:val="00EE212F"/>
    <w:rsid w:val="00EE21CC"/>
    <w:rsid w:val="00EE2FB0"/>
    <w:rsid w:val="00EE461A"/>
    <w:rsid w:val="00EE4899"/>
    <w:rsid w:val="00EE5B35"/>
    <w:rsid w:val="00EE5BFD"/>
    <w:rsid w:val="00EE5D34"/>
    <w:rsid w:val="00EE6725"/>
    <w:rsid w:val="00EE759C"/>
    <w:rsid w:val="00EE7F0C"/>
    <w:rsid w:val="00EF0630"/>
    <w:rsid w:val="00EF16B4"/>
    <w:rsid w:val="00EF1743"/>
    <w:rsid w:val="00EF2AB2"/>
    <w:rsid w:val="00EF2B13"/>
    <w:rsid w:val="00EF2DE9"/>
    <w:rsid w:val="00EF51AA"/>
    <w:rsid w:val="00EF74C8"/>
    <w:rsid w:val="00EF795E"/>
    <w:rsid w:val="00F0016A"/>
    <w:rsid w:val="00F00368"/>
    <w:rsid w:val="00F00C5A"/>
    <w:rsid w:val="00F043F9"/>
    <w:rsid w:val="00F069A3"/>
    <w:rsid w:val="00F06DDB"/>
    <w:rsid w:val="00F07E74"/>
    <w:rsid w:val="00F106B5"/>
    <w:rsid w:val="00F11757"/>
    <w:rsid w:val="00F118CE"/>
    <w:rsid w:val="00F125C1"/>
    <w:rsid w:val="00F12FEC"/>
    <w:rsid w:val="00F2171E"/>
    <w:rsid w:val="00F24737"/>
    <w:rsid w:val="00F26416"/>
    <w:rsid w:val="00F265D4"/>
    <w:rsid w:val="00F337D5"/>
    <w:rsid w:val="00F33ED0"/>
    <w:rsid w:val="00F35235"/>
    <w:rsid w:val="00F35EF3"/>
    <w:rsid w:val="00F369A7"/>
    <w:rsid w:val="00F37C95"/>
    <w:rsid w:val="00F40429"/>
    <w:rsid w:val="00F44108"/>
    <w:rsid w:val="00F442A2"/>
    <w:rsid w:val="00F44916"/>
    <w:rsid w:val="00F44975"/>
    <w:rsid w:val="00F44C8B"/>
    <w:rsid w:val="00F456F9"/>
    <w:rsid w:val="00F458C6"/>
    <w:rsid w:val="00F46458"/>
    <w:rsid w:val="00F4653A"/>
    <w:rsid w:val="00F46984"/>
    <w:rsid w:val="00F471A4"/>
    <w:rsid w:val="00F47476"/>
    <w:rsid w:val="00F47546"/>
    <w:rsid w:val="00F50DDA"/>
    <w:rsid w:val="00F51A49"/>
    <w:rsid w:val="00F54047"/>
    <w:rsid w:val="00F5470E"/>
    <w:rsid w:val="00F548D5"/>
    <w:rsid w:val="00F554B9"/>
    <w:rsid w:val="00F572FA"/>
    <w:rsid w:val="00F60F4D"/>
    <w:rsid w:val="00F6177E"/>
    <w:rsid w:val="00F63C52"/>
    <w:rsid w:val="00F646C8"/>
    <w:rsid w:val="00F64A14"/>
    <w:rsid w:val="00F6506D"/>
    <w:rsid w:val="00F70AE0"/>
    <w:rsid w:val="00F71F95"/>
    <w:rsid w:val="00F727D9"/>
    <w:rsid w:val="00F72FBA"/>
    <w:rsid w:val="00F740F2"/>
    <w:rsid w:val="00F74230"/>
    <w:rsid w:val="00F74474"/>
    <w:rsid w:val="00F74527"/>
    <w:rsid w:val="00F75589"/>
    <w:rsid w:val="00F755D0"/>
    <w:rsid w:val="00F768DE"/>
    <w:rsid w:val="00F77649"/>
    <w:rsid w:val="00F8136F"/>
    <w:rsid w:val="00F817A5"/>
    <w:rsid w:val="00F8234B"/>
    <w:rsid w:val="00F84899"/>
    <w:rsid w:val="00F84B03"/>
    <w:rsid w:val="00F84BB3"/>
    <w:rsid w:val="00F859F0"/>
    <w:rsid w:val="00F865F7"/>
    <w:rsid w:val="00F87C4D"/>
    <w:rsid w:val="00F92088"/>
    <w:rsid w:val="00F94599"/>
    <w:rsid w:val="00FA04B9"/>
    <w:rsid w:val="00FA09F6"/>
    <w:rsid w:val="00FA0FF5"/>
    <w:rsid w:val="00FA1BED"/>
    <w:rsid w:val="00FA2B40"/>
    <w:rsid w:val="00FA4E11"/>
    <w:rsid w:val="00FA579D"/>
    <w:rsid w:val="00FA5E74"/>
    <w:rsid w:val="00FA6021"/>
    <w:rsid w:val="00FA7233"/>
    <w:rsid w:val="00FB2446"/>
    <w:rsid w:val="00FB42D2"/>
    <w:rsid w:val="00FB6205"/>
    <w:rsid w:val="00FC0FF6"/>
    <w:rsid w:val="00FC2A12"/>
    <w:rsid w:val="00FC2A7E"/>
    <w:rsid w:val="00FC2DE9"/>
    <w:rsid w:val="00FC3402"/>
    <w:rsid w:val="00FC3C08"/>
    <w:rsid w:val="00FC7738"/>
    <w:rsid w:val="00FD1D04"/>
    <w:rsid w:val="00FD2262"/>
    <w:rsid w:val="00FD3007"/>
    <w:rsid w:val="00FD38C9"/>
    <w:rsid w:val="00FD4D51"/>
    <w:rsid w:val="00FD5AF7"/>
    <w:rsid w:val="00FD75F3"/>
    <w:rsid w:val="00FD79B7"/>
    <w:rsid w:val="00FE141E"/>
    <w:rsid w:val="00FE2AAC"/>
    <w:rsid w:val="00FE306B"/>
    <w:rsid w:val="00FE3140"/>
    <w:rsid w:val="00FE49F4"/>
    <w:rsid w:val="00FE6739"/>
    <w:rsid w:val="00FF131D"/>
    <w:rsid w:val="00FF1902"/>
    <w:rsid w:val="00FF25AA"/>
    <w:rsid w:val="00FF3F79"/>
    <w:rsid w:val="00FF4DDD"/>
    <w:rsid w:val="00FF537A"/>
    <w:rsid w:val="0DF18D41"/>
    <w:rsid w:val="15321B46"/>
    <w:rsid w:val="16634891"/>
    <w:rsid w:val="16AF01CE"/>
    <w:rsid w:val="1A3EA139"/>
    <w:rsid w:val="1D413D81"/>
    <w:rsid w:val="30ADF538"/>
    <w:rsid w:val="3EA8FA14"/>
    <w:rsid w:val="5F9EF4B8"/>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7BC"/>
    <w:pPr>
      <w:spacing w:after="0" w:line="240" w:lineRule="auto"/>
    </w:pPr>
    <w:rPr>
      <w:rFonts w:ascii="Calibri" w:eastAsia="Calibri" w:hAnsi="Calibri" w:cs="Times New Roman"/>
      <w:sz w:val="24"/>
      <w:lang w:val="es-MX"/>
    </w:rPr>
  </w:style>
  <w:style w:type="paragraph" w:styleId="Ttulo1">
    <w:name w:val="heading 1"/>
    <w:basedOn w:val="Normal"/>
    <w:link w:val="Ttulo1Car"/>
    <w:uiPriority w:val="1"/>
    <w:qFormat/>
    <w:rsid w:val="00616FD5"/>
    <w:pPr>
      <w:widowControl w:val="0"/>
      <w:autoSpaceDE w:val="0"/>
      <w:autoSpaceDN w:val="0"/>
      <w:ind w:left="540" w:hanging="361"/>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szCs w:val="24"/>
      <w:lang w:val="es-CO" w:eastAsia="es-CO"/>
    </w:rPr>
  </w:style>
  <w:style w:type="paragraph" w:styleId="Sinespaciado">
    <w:name w:val="No Spacing"/>
    <w:aliases w:val="No Indent"/>
    <w:link w:val="SinespaciadoCar"/>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customStyle="1" w:styleId="Default">
    <w:name w:val="Default"/>
    <w:rsid w:val="00C46F19"/>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A457BC"/>
  </w:style>
  <w:style w:type="paragraph" w:customStyle="1" w:styleId="paragraph">
    <w:name w:val="paragraph"/>
    <w:basedOn w:val="Normal"/>
    <w:rsid w:val="00671A48"/>
    <w:pPr>
      <w:spacing w:before="100" w:beforeAutospacing="1" w:after="100" w:afterAutospacing="1"/>
    </w:pPr>
    <w:rPr>
      <w:rFonts w:ascii="Times New Roman" w:eastAsia="Times New Roman" w:hAnsi="Times New Roman"/>
      <w:szCs w:val="24"/>
      <w:lang w:val="es-CO" w:eastAsia="es-CO"/>
    </w:rPr>
  </w:style>
  <w:style w:type="character" w:customStyle="1" w:styleId="eop">
    <w:name w:val="eop"/>
    <w:basedOn w:val="Fuentedeprrafopredeter"/>
    <w:rsid w:val="00671A48"/>
  </w:style>
  <w:style w:type="character" w:customStyle="1" w:styleId="superscript">
    <w:name w:val="superscript"/>
    <w:basedOn w:val="Fuentedeprrafopredeter"/>
    <w:rsid w:val="00671A48"/>
  </w:style>
  <w:style w:type="paragraph" w:styleId="Textonotaalfinal">
    <w:name w:val="endnote text"/>
    <w:basedOn w:val="Normal"/>
    <w:link w:val="TextonotaalfinalCar"/>
    <w:uiPriority w:val="99"/>
    <w:semiHidden/>
    <w:unhideWhenUsed/>
    <w:rsid w:val="00306222"/>
    <w:rPr>
      <w:sz w:val="20"/>
      <w:szCs w:val="20"/>
    </w:rPr>
  </w:style>
  <w:style w:type="character" w:customStyle="1" w:styleId="TextonotaalfinalCar">
    <w:name w:val="Texto nota al final Car"/>
    <w:basedOn w:val="Fuentedeprrafopredeter"/>
    <w:link w:val="Textonotaalfinal"/>
    <w:uiPriority w:val="99"/>
    <w:semiHidden/>
    <w:rsid w:val="00306222"/>
    <w:rPr>
      <w:rFonts w:ascii="Calibri" w:eastAsia="Calibri" w:hAnsi="Calibri" w:cs="Times New Roman"/>
      <w:sz w:val="20"/>
      <w:szCs w:val="20"/>
      <w:lang w:val="es-MX"/>
    </w:rPr>
  </w:style>
  <w:style w:type="character" w:styleId="Refdenotaalfinal">
    <w:name w:val="endnote reference"/>
    <w:basedOn w:val="Fuentedeprrafopredeter"/>
    <w:uiPriority w:val="99"/>
    <w:semiHidden/>
    <w:unhideWhenUsed/>
    <w:rsid w:val="00306222"/>
    <w:rPr>
      <w:vertAlign w:val="superscript"/>
    </w:rPr>
  </w:style>
  <w:style w:type="character" w:customStyle="1" w:styleId="Ttulo1Car">
    <w:name w:val="Título 1 Car"/>
    <w:basedOn w:val="Fuentedeprrafopredeter"/>
    <w:link w:val="Ttulo1"/>
    <w:uiPriority w:val="1"/>
    <w:rsid w:val="00616FD5"/>
    <w:rPr>
      <w:rFonts w:ascii="Arial" w:eastAsia="Arial" w:hAnsi="Arial" w:cs="Arial"/>
      <w:b/>
      <w:bCs/>
      <w:lang w:val="es-ES"/>
    </w:rPr>
  </w:style>
  <w:style w:type="paragraph" w:styleId="Textoindependiente">
    <w:name w:val="Body Text"/>
    <w:basedOn w:val="Normal"/>
    <w:link w:val="TextoindependienteCar"/>
    <w:uiPriority w:val="1"/>
    <w:qFormat/>
    <w:rsid w:val="00616FD5"/>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616FD5"/>
    <w:rPr>
      <w:rFonts w:ascii="Arial" w:eastAsia="Arial" w:hAnsi="Arial" w:cs="Arial"/>
      <w:lang w:val="es-ES"/>
    </w:rPr>
  </w:style>
  <w:style w:type="paragraph" w:customStyle="1" w:styleId="xxmsonormal">
    <w:name w:val="x_x_msonormal"/>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bodytext">
    <w:name w:val="x_x_xxmsobodytext"/>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normal">
    <w:name w:val="x_x_xxmsonormal"/>
    <w:basedOn w:val="Normal"/>
    <w:rsid w:val="00A64A3E"/>
    <w:pPr>
      <w:spacing w:before="100" w:beforeAutospacing="1" w:after="100" w:afterAutospacing="1"/>
    </w:pPr>
    <w:rPr>
      <w:rFonts w:ascii="Times New Roman" w:eastAsia="Times New Roman" w:hAnsi="Times New Roman"/>
      <w:szCs w:val="24"/>
      <w:lang w:val="es-CO" w:eastAsia="es-CO"/>
    </w:rPr>
  </w:style>
  <w:style w:type="character" w:customStyle="1" w:styleId="SinespaciadoCar">
    <w:name w:val="Sin espaciado Car"/>
    <w:aliases w:val="No Indent Car"/>
    <w:link w:val="Sinespaciado"/>
    <w:uiPriority w:val="1"/>
    <w:rsid w:val="0050613F"/>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5684633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29654869">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12252676">
      <w:bodyDiv w:val="1"/>
      <w:marLeft w:val="0"/>
      <w:marRight w:val="0"/>
      <w:marTop w:val="0"/>
      <w:marBottom w:val="0"/>
      <w:divBdr>
        <w:top w:val="none" w:sz="0" w:space="0" w:color="auto"/>
        <w:left w:val="none" w:sz="0" w:space="0" w:color="auto"/>
        <w:bottom w:val="none" w:sz="0" w:space="0" w:color="auto"/>
        <w:right w:val="none" w:sz="0" w:space="0" w:color="auto"/>
      </w:divBdr>
      <w:divsChild>
        <w:div w:id="1281229350">
          <w:marLeft w:val="0"/>
          <w:marRight w:val="0"/>
          <w:marTop w:val="0"/>
          <w:marBottom w:val="0"/>
          <w:divBdr>
            <w:top w:val="none" w:sz="0" w:space="0" w:color="auto"/>
            <w:left w:val="none" w:sz="0" w:space="0" w:color="auto"/>
            <w:bottom w:val="none" w:sz="0" w:space="0" w:color="auto"/>
            <w:right w:val="none" w:sz="0" w:space="0" w:color="auto"/>
          </w:divBdr>
        </w:div>
        <w:div w:id="1760786229">
          <w:marLeft w:val="0"/>
          <w:marRight w:val="0"/>
          <w:marTop w:val="0"/>
          <w:marBottom w:val="0"/>
          <w:divBdr>
            <w:top w:val="none" w:sz="0" w:space="0" w:color="auto"/>
            <w:left w:val="none" w:sz="0" w:space="0" w:color="auto"/>
            <w:bottom w:val="none" w:sz="0" w:space="0" w:color="auto"/>
            <w:right w:val="none" w:sz="0" w:space="0" w:color="auto"/>
          </w:divBdr>
        </w:div>
        <w:div w:id="1565526537">
          <w:marLeft w:val="0"/>
          <w:marRight w:val="0"/>
          <w:marTop w:val="0"/>
          <w:marBottom w:val="0"/>
          <w:divBdr>
            <w:top w:val="none" w:sz="0" w:space="0" w:color="auto"/>
            <w:left w:val="none" w:sz="0" w:space="0" w:color="auto"/>
            <w:bottom w:val="none" w:sz="0" w:space="0" w:color="auto"/>
            <w:right w:val="none" w:sz="0" w:space="0" w:color="auto"/>
          </w:divBdr>
        </w:div>
        <w:div w:id="62025465">
          <w:marLeft w:val="0"/>
          <w:marRight w:val="0"/>
          <w:marTop w:val="0"/>
          <w:marBottom w:val="0"/>
          <w:divBdr>
            <w:top w:val="none" w:sz="0" w:space="0" w:color="auto"/>
            <w:left w:val="none" w:sz="0" w:space="0" w:color="auto"/>
            <w:bottom w:val="none" w:sz="0" w:space="0" w:color="auto"/>
            <w:right w:val="none" w:sz="0" w:space="0" w:color="auto"/>
          </w:divBdr>
        </w:div>
        <w:div w:id="1991130831">
          <w:marLeft w:val="0"/>
          <w:marRight w:val="0"/>
          <w:marTop w:val="0"/>
          <w:marBottom w:val="0"/>
          <w:divBdr>
            <w:top w:val="none" w:sz="0" w:space="0" w:color="auto"/>
            <w:left w:val="none" w:sz="0" w:space="0" w:color="auto"/>
            <w:bottom w:val="none" w:sz="0" w:space="0" w:color="auto"/>
            <w:right w:val="none" w:sz="0" w:space="0" w:color="auto"/>
          </w:divBdr>
        </w:div>
        <w:div w:id="847059627">
          <w:marLeft w:val="0"/>
          <w:marRight w:val="0"/>
          <w:marTop w:val="0"/>
          <w:marBottom w:val="0"/>
          <w:divBdr>
            <w:top w:val="none" w:sz="0" w:space="0" w:color="auto"/>
            <w:left w:val="none" w:sz="0" w:space="0" w:color="auto"/>
            <w:bottom w:val="none" w:sz="0" w:space="0" w:color="auto"/>
            <w:right w:val="none" w:sz="0" w:space="0" w:color="auto"/>
          </w:divBdr>
        </w:div>
        <w:div w:id="365570852">
          <w:marLeft w:val="0"/>
          <w:marRight w:val="0"/>
          <w:marTop w:val="0"/>
          <w:marBottom w:val="0"/>
          <w:divBdr>
            <w:top w:val="none" w:sz="0" w:space="0" w:color="auto"/>
            <w:left w:val="none" w:sz="0" w:space="0" w:color="auto"/>
            <w:bottom w:val="none" w:sz="0" w:space="0" w:color="auto"/>
            <w:right w:val="none" w:sz="0" w:space="0" w:color="auto"/>
          </w:divBdr>
        </w:div>
        <w:div w:id="389959568">
          <w:marLeft w:val="0"/>
          <w:marRight w:val="0"/>
          <w:marTop w:val="0"/>
          <w:marBottom w:val="0"/>
          <w:divBdr>
            <w:top w:val="none" w:sz="0" w:space="0" w:color="auto"/>
            <w:left w:val="none" w:sz="0" w:space="0" w:color="auto"/>
            <w:bottom w:val="none" w:sz="0" w:space="0" w:color="auto"/>
            <w:right w:val="none" w:sz="0" w:space="0" w:color="auto"/>
          </w:divBdr>
        </w:div>
        <w:div w:id="1472016851">
          <w:marLeft w:val="0"/>
          <w:marRight w:val="0"/>
          <w:marTop w:val="0"/>
          <w:marBottom w:val="0"/>
          <w:divBdr>
            <w:top w:val="none" w:sz="0" w:space="0" w:color="auto"/>
            <w:left w:val="none" w:sz="0" w:space="0" w:color="auto"/>
            <w:bottom w:val="none" w:sz="0" w:space="0" w:color="auto"/>
            <w:right w:val="none" w:sz="0" w:space="0" w:color="auto"/>
          </w:divBdr>
        </w:div>
        <w:div w:id="254287878">
          <w:marLeft w:val="0"/>
          <w:marRight w:val="0"/>
          <w:marTop w:val="0"/>
          <w:marBottom w:val="0"/>
          <w:divBdr>
            <w:top w:val="none" w:sz="0" w:space="0" w:color="auto"/>
            <w:left w:val="none" w:sz="0" w:space="0" w:color="auto"/>
            <w:bottom w:val="none" w:sz="0" w:space="0" w:color="auto"/>
            <w:right w:val="none" w:sz="0" w:space="0" w:color="auto"/>
          </w:divBdr>
        </w:div>
        <w:div w:id="676082288">
          <w:marLeft w:val="0"/>
          <w:marRight w:val="0"/>
          <w:marTop w:val="0"/>
          <w:marBottom w:val="0"/>
          <w:divBdr>
            <w:top w:val="none" w:sz="0" w:space="0" w:color="auto"/>
            <w:left w:val="none" w:sz="0" w:space="0" w:color="auto"/>
            <w:bottom w:val="none" w:sz="0" w:space="0" w:color="auto"/>
            <w:right w:val="none" w:sz="0" w:space="0" w:color="auto"/>
          </w:divBdr>
        </w:div>
        <w:div w:id="2099783964">
          <w:marLeft w:val="0"/>
          <w:marRight w:val="0"/>
          <w:marTop w:val="0"/>
          <w:marBottom w:val="0"/>
          <w:divBdr>
            <w:top w:val="none" w:sz="0" w:space="0" w:color="auto"/>
            <w:left w:val="none" w:sz="0" w:space="0" w:color="auto"/>
            <w:bottom w:val="none" w:sz="0" w:space="0" w:color="auto"/>
            <w:right w:val="none" w:sz="0" w:space="0" w:color="auto"/>
          </w:divBdr>
        </w:div>
        <w:div w:id="668563821">
          <w:marLeft w:val="0"/>
          <w:marRight w:val="0"/>
          <w:marTop w:val="0"/>
          <w:marBottom w:val="0"/>
          <w:divBdr>
            <w:top w:val="none" w:sz="0" w:space="0" w:color="auto"/>
            <w:left w:val="none" w:sz="0" w:space="0" w:color="auto"/>
            <w:bottom w:val="none" w:sz="0" w:space="0" w:color="auto"/>
            <w:right w:val="none" w:sz="0" w:space="0" w:color="auto"/>
          </w:divBdr>
        </w:div>
        <w:div w:id="1874222203">
          <w:marLeft w:val="0"/>
          <w:marRight w:val="0"/>
          <w:marTop w:val="0"/>
          <w:marBottom w:val="0"/>
          <w:divBdr>
            <w:top w:val="none" w:sz="0" w:space="0" w:color="auto"/>
            <w:left w:val="none" w:sz="0" w:space="0" w:color="auto"/>
            <w:bottom w:val="none" w:sz="0" w:space="0" w:color="auto"/>
            <w:right w:val="none" w:sz="0" w:space="0" w:color="auto"/>
          </w:divBdr>
        </w:div>
        <w:div w:id="1901552411">
          <w:marLeft w:val="0"/>
          <w:marRight w:val="0"/>
          <w:marTop w:val="0"/>
          <w:marBottom w:val="0"/>
          <w:divBdr>
            <w:top w:val="none" w:sz="0" w:space="0" w:color="auto"/>
            <w:left w:val="none" w:sz="0" w:space="0" w:color="auto"/>
            <w:bottom w:val="none" w:sz="0" w:space="0" w:color="auto"/>
            <w:right w:val="none" w:sz="0" w:space="0" w:color="auto"/>
          </w:divBdr>
        </w:div>
        <w:div w:id="747338983">
          <w:marLeft w:val="0"/>
          <w:marRight w:val="0"/>
          <w:marTop w:val="0"/>
          <w:marBottom w:val="0"/>
          <w:divBdr>
            <w:top w:val="none" w:sz="0" w:space="0" w:color="auto"/>
            <w:left w:val="none" w:sz="0" w:space="0" w:color="auto"/>
            <w:bottom w:val="none" w:sz="0" w:space="0" w:color="auto"/>
            <w:right w:val="none" w:sz="0" w:space="0" w:color="auto"/>
          </w:divBdr>
        </w:div>
        <w:div w:id="1681929628">
          <w:marLeft w:val="0"/>
          <w:marRight w:val="0"/>
          <w:marTop w:val="0"/>
          <w:marBottom w:val="0"/>
          <w:divBdr>
            <w:top w:val="none" w:sz="0" w:space="0" w:color="auto"/>
            <w:left w:val="none" w:sz="0" w:space="0" w:color="auto"/>
            <w:bottom w:val="none" w:sz="0" w:space="0" w:color="auto"/>
            <w:right w:val="none" w:sz="0" w:space="0" w:color="auto"/>
          </w:divBdr>
        </w:div>
        <w:div w:id="673924336">
          <w:marLeft w:val="0"/>
          <w:marRight w:val="0"/>
          <w:marTop w:val="0"/>
          <w:marBottom w:val="0"/>
          <w:divBdr>
            <w:top w:val="none" w:sz="0" w:space="0" w:color="auto"/>
            <w:left w:val="none" w:sz="0" w:space="0" w:color="auto"/>
            <w:bottom w:val="none" w:sz="0" w:space="0" w:color="auto"/>
            <w:right w:val="none" w:sz="0" w:space="0" w:color="auto"/>
          </w:divBdr>
        </w:div>
        <w:div w:id="1502505793">
          <w:marLeft w:val="0"/>
          <w:marRight w:val="0"/>
          <w:marTop w:val="0"/>
          <w:marBottom w:val="0"/>
          <w:divBdr>
            <w:top w:val="none" w:sz="0" w:space="0" w:color="auto"/>
            <w:left w:val="none" w:sz="0" w:space="0" w:color="auto"/>
            <w:bottom w:val="none" w:sz="0" w:space="0" w:color="auto"/>
            <w:right w:val="none" w:sz="0" w:space="0" w:color="auto"/>
          </w:divBdr>
        </w:div>
        <w:div w:id="849375375">
          <w:marLeft w:val="0"/>
          <w:marRight w:val="0"/>
          <w:marTop w:val="0"/>
          <w:marBottom w:val="0"/>
          <w:divBdr>
            <w:top w:val="none" w:sz="0" w:space="0" w:color="auto"/>
            <w:left w:val="none" w:sz="0" w:space="0" w:color="auto"/>
            <w:bottom w:val="none" w:sz="0" w:space="0" w:color="auto"/>
            <w:right w:val="none" w:sz="0" w:space="0" w:color="auto"/>
          </w:divBdr>
        </w:div>
        <w:div w:id="1149394905">
          <w:marLeft w:val="0"/>
          <w:marRight w:val="0"/>
          <w:marTop w:val="0"/>
          <w:marBottom w:val="0"/>
          <w:divBdr>
            <w:top w:val="none" w:sz="0" w:space="0" w:color="auto"/>
            <w:left w:val="none" w:sz="0" w:space="0" w:color="auto"/>
            <w:bottom w:val="none" w:sz="0" w:space="0" w:color="auto"/>
            <w:right w:val="none" w:sz="0" w:space="0" w:color="auto"/>
          </w:divBdr>
        </w:div>
        <w:div w:id="576090831">
          <w:marLeft w:val="0"/>
          <w:marRight w:val="0"/>
          <w:marTop w:val="0"/>
          <w:marBottom w:val="0"/>
          <w:divBdr>
            <w:top w:val="none" w:sz="0" w:space="0" w:color="auto"/>
            <w:left w:val="none" w:sz="0" w:space="0" w:color="auto"/>
            <w:bottom w:val="none" w:sz="0" w:space="0" w:color="auto"/>
            <w:right w:val="none" w:sz="0" w:space="0" w:color="auto"/>
          </w:divBdr>
        </w:div>
      </w:divsChild>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16660526">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73130067">
      <w:bodyDiv w:val="1"/>
      <w:marLeft w:val="0"/>
      <w:marRight w:val="0"/>
      <w:marTop w:val="0"/>
      <w:marBottom w:val="0"/>
      <w:divBdr>
        <w:top w:val="none" w:sz="0" w:space="0" w:color="auto"/>
        <w:left w:val="none" w:sz="0" w:space="0" w:color="auto"/>
        <w:bottom w:val="none" w:sz="0" w:space="0" w:color="auto"/>
        <w:right w:val="none" w:sz="0" w:space="0" w:color="auto"/>
      </w:divBdr>
      <w:divsChild>
        <w:div w:id="1260412852">
          <w:marLeft w:val="0"/>
          <w:marRight w:val="0"/>
          <w:marTop w:val="0"/>
          <w:marBottom w:val="0"/>
          <w:divBdr>
            <w:top w:val="none" w:sz="0" w:space="0" w:color="auto"/>
            <w:left w:val="none" w:sz="0" w:space="0" w:color="auto"/>
            <w:bottom w:val="none" w:sz="0" w:space="0" w:color="auto"/>
            <w:right w:val="none" w:sz="0" w:space="0" w:color="auto"/>
          </w:divBdr>
          <w:divsChild>
            <w:div w:id="196508913">
              <w:marLeft w:val="0"/>
              <w:marRight w:val="0"/>
              <w:marTop w:val="0"/>
              <w:marBottom w:val="0"/>
              <w:divBdr>
                <w:top w:val="none" w:sz="0" w:space="0" w:color="auto"/>
                <w:left w:val="none" w:sz="0" w:space="0" w:color="auto"/>
                <w:bottom w:val="none" w:sz="0" w:space="0" w:color="auto"/>
                <w:right w:val="none" w:sz="0" w:space="0" w:color="auto"/>
              </w:divBdr>
              <w:divsChild>
                <w:div w:id="552547799">
                  <w:marLeft w:val="0"/>
                  <w:marRight w:val="0"/>
                  <w:marTop w:val="0"/>
                  <w:marBottom w:val="0"/>
                  <w:divBdr>
                    <w:top w:val="none" w:sz="0" w:space="0" w:color="auto"/>
                    <w:left w:val="none" w:sz="0" w:space="0" w:color="auto"/>
                    <w:bottom w:val="none" w:sz="0" w:space="0" w:color="auto"/>
                    <w:right w:val="none" w:sz="0" w:space="0" w:color="auto"/>
                  </w:divBdr>
                  <w:divsChild>
                    <w:div w:id="432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96036">
      <w:bodyDiv w:val="1"/>
      <w:marLeft w:val="0"/>
      <w:marRight w:val="0"/>
      <w:marTop w:val="0"/>
      <w:marBottom w:val="0"/>
      <w:divBdr>
        <w:top w:val="none" w:sz="0" w:space="0" w:color="auto"/>
        <w:left w:val="none" w:sz="0" w:space="0" w:color="auto"/>
        <w:bottom w:val="none" w:sz="0" w:space="0" w:color="auto"/>
        <w:right w:val="none" w:sz="0" w:space="0" w:color="auto"/>
      </w:divBdr>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164275818">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58714824">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58680677">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02705312">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35103771">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870796094">
      <w:bodyDiv w:val="1"/>
      <w:marLeft w:val="0"/>
      <w:marRight w:val="0"/>
      <w:marTop w:val="0"/>
      <w:marBottom w:val="0"/>
      <w:divBdr>
        <w:top w:val="none" w:sz="0" w:space="0" w:color="auto"/>
        <w:left w:val="none" w:sz="0" w:space="0" w:color="auto"/>
        <w:bottom w:val="none" w:sz="0" w:space="0" w:color="auto"/>
        <w:right w:val="none" w:sz="0" w:space="0" w:color="auto"/>
      </w:divBdr>
      <w:divsChild>
        <w:div w:id="1892426390">
          <w:marLeft w:val="0"/>
          <w:marRight w:val="0"/>
          <w:marTop w:val="0"/>
          <w:marBottom w:val="0"/>
          <w:divBdr>
            <w:top w:val="none" w:sz="0" w:space="0" w:color="auto"/>
            <w:left w:val="none" w:sz="0" w:space="0" w:color="auto"/>
            <w:bottom w:val="none" w:sz="0" w:space="0" w:color="auto"/>
            <w:right w:val="none" w:sz="0" w:space="0" w:color="auto"/>
          </w:divBdr>
        </w:div>
        <w:div w:id="1905334454">
          <w:marLeft w:val="0"/>
          <w:marRight w:val="0"/>
          <w:marTop w:val="0"/>
          <w:marBottom w:val="0"/>
          <w:divBdr>
            <w:top w:val="none" w:sz="0" w:space="0" w:color="auto"/>
            <w:left w:val="none" w:sz="0" w:space="0" w:color="auto"/>
            <w:bottom w:val="none" w:sz="0" w:space="0" w:color="auto"/>
            <w:right w:val="none" w:sz="0" w:space="0" w:color="auto"/>
          </w:divBdr>
        </w:div>
        <w:div w:id="1353535254">
          <w:marLeft w:val="0"/>
          <w:marRight w:val="0"/>
          <w:marTop w:val="0"/>
          <w:marBottom w:val="0"/>
          <w:divBdr>
            <w:top w:val="none" w:sz="0" w:space="0" w:color="auto"/>
            <w:left w:val="none" w:sz="0" w:space="0" w:color="auto"/>
            <w:bottom w:val="none" w:sz="0" w:space="0" w:color="auto"/>
            <w:right w:val="none" w:sz="0" w:space="0" w:color="auto"/>
          </w:divBdr>
          <w:divsChild>
            <w:div w:id="176769600">
              <w:marLeft w:val="0"/>
              <w:marRight w:val="0"/>
              <w:marTop w:val="0"/>
              <w:marBottom w:val="0"/>
              <w:divBdr>
                <w:top w:val="none" w:sz="0" w:space="0" w:color="auto"/>
                <w:left w:val="none" w:sz="0" w:space="0" w:color="auto"/>
                <w:bottom w:val="none" w:sz="0" w:space="0" w:color="auto"/>
                <w:right w:val="none" w:sz="0" w:space="0" w:color="auto"/>
              </w:divBdr>
            </w:div>
            <w:div w:id="306512801">
              <w:marLeft w:val="0"/>
              <w:marRight w:val="0"/>
              <w:marTop w:val="0"/>
              <w:marBottom w:val="0"/>
              <w:divBdr>
                <w:top w:val="none" w:sz="0" w:space="0" w:color="auto"/>
                <w:left w:val="none" w:sz="0" w:space="0" w:color="auto"/>
                <w:bottom w:val="none" w:sz="0" w:space="0" w:color="auto"/>
                <w:right w:val="none" w:sz="0" w:space="0" w:color="auto"/>
              </w:divBdr>
            </w:div>
            <w:div w:id="1090346847">
              <w:marLeft w:val="0"/>
              <w:marRight w:val="0"/>
              <w:marTop w:val="0"/>
              <w:marBottom w:val="0"/>
              <w:divBdr>
                <w:top w:val="none" w:sz="0" w:space="0" w:color="auto"/>
                <w:left w:val="none" w:sz="0" w:space="0" w:color="auto"/>
                <w:bottom w:val="none" w:sz="0" w:space="0" w:color="auto"/>
                <w:right w:val="none" w:sz="0" w:space="0" w:color="auto"/>
              </w:divBdr>
            </w:div>
            <w:div w:id="1404529556">
              <w:marLeft w:val="0"/>
              <w:marRight w:val="0"/>
              <w:marTop w:val="0"/>
              <w:marBottom w:val="0"/>
              <w:divBdr>
                <w:top w:val="none" w:sz="0" w:space="0" w:color="auto"/>
                <w:left w:val="none" w:sz="0" w:space="0" w:color="auto"/>
                <w:bottom w:val="none" w:sz="0" w:space="0" w:color="auto"/>
                <w:right w:val="none" w:sz="0" w:space="0" w:color="auto"/>
              </w:divBdr>
            </w:div>
            <w:div w:id="1868325006">
              <w:marLeft w:val="0"/>
              <w:marRight w:val="0"/>
              <w:marTop w:val="0"/>
              <w:marBottom w:val="0"/>
              <w:divBdr>
                <w:top w:val="none" w:sz="0" w:space="0" w:color="auto"/>
                <w:left w:val="none" w:sz="0" w:space="0" w:color="auto"/>
                <w:bottom w:val="none" w:sz="0" w:space="0" w:color="auto"/>
                <w:right w:val="none" w:sz="0" w:space="0" w:color="auto"/>
              </w:divBdr>
              <w:divsChild>
                <w:div w:id="1173840064">
                  <w:marLeft w:val="0"/>
                  <w:marRight w:val="0"/>
                  <w:marTop w:val="0"/>
                  <w:marBottom w:val="0"/>
                  <w:divBdr>
                    <w:top w:val="none" w:sz="0" w:space="0" w:color="auto"/>
                    <w:left w:val="none" w:sz="0" w:space="0" w:color="auto"/>
                    <w:bottom w:val="none" w:sz="0" w:space="0" w:color="auto"/>
                    <w:right w:val="none" w:sz="0" w:space="0" w:color="auto"/>
                  </w:divBdr>
                </w:div>
                <w:div w:id="1201817814">
                  <w:marLeft w:val="0"/>
                  <w:marRight w:val="0"/>
                  <w:marTop w:val="0"/>
                  <w:marBottom w:val="0"/>
                  <w:divBdr>
                    <w:top w:val="none" w:sz="0" w:space="0" w:color="auto"/>
                    <w:left w:val="none" w:sz="0" w:space="0" w:color="auto"/>
                    <w:bottom w:val="none" w:sz="0" w:space="0" w:color="auto"/>
                    <w:right w:val="none" w:sz="0" w:space="0" w:color="auto"/>
                  </w:divBdr>
                </w:div>
                <w:div w:id="12393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467">
          <w:marLeft w:val="0"/>
          <w:marRight w:val="0"/>
          <w:marTop w:val="0"/>
          <w:marBottom w:val="0"/>
          <w:divBdr>
            <w:top w:val="none" w:sz="0" w:space="0" w:color="auto"/>
            <w:left w:val="none" w:sz="0" w:space="0" w:color="auto"/>
            <w:bottom w:val="none" w:sz="0" w:space="0" w:color="auto"/>
            <w:right w:val="none" w:sz="0" w:space="0" w:color="auto"/>
          </w:divBdr>
          <w:divsChild>
            <w:div w:id="535235039">
              <w:marLeft w:val="0"/>
              <w:marRight w:val="0"/>
              <w:marTop w:val="0"/>
              <w:marBottom w:val="0"/>
              <w:divBdr>
                <w:top w:val="none" w:sz="0" w:space="0" w:color="auto"/>
                <w:left w:val="none" w:sz="0" w:space="0" w:color="auto"/>
                <w:bottom w:val="none" w:sz="0" w:space="0" w:color="auto"/>
                <w:right w:val="none" w:sz="0" w:space="0" w:color="auto"/>
              </w:divBdr>
            </w:div>
          </w:divsChild>
        </w:div>
        <w:div w:id="1774281518">
          <w:marLeft w:val="0"/>
          <w:marRight w:val="0"/>
          <w:marTop w:val="0"/>
          <w:marBottom w:val="0"/>
          <w:divBdr>
            <w:top w:val="none" w:sz="0" w:space="0" w:color="auto"/>
            <w:left w:val="none" w:sz="0" w:space="0" w:color="auto"/>
            <w:bottom w:val="none" w:sz="0" w:space="0" w:color="auto"/>
            <w:right w:val="none" w:sz="0" w:space="0" w:color="auto"/>
          </w:divBdr>
        </w:div>
      </w:divsChild>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7232">
      <w:bodyDiv w:val="1"/>
      <w:marLeft w:val="0"/>
      <w:marRight w:val="0"/>
      <w:marTop w:val="0"/>
      <w:marBottom w:val="0"/>
      <w:divBdr>
        <w:top w:val="none" w:sz="0" w:space="0" w:color="auto"/>
        <w:left w:val="none" w:sz="0" w:space="0" w:color="auto"/>
        <w:bottom w:val="none" w:sz="0" w:space="0" w:color="auto"/>
        <w:right w:val="none" w:sz="0" w:space="0" w:color="auto"/>
      </w:divBdr>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D495B80-655D-4176-A7D7-D8BBF7C62F4C}"/>
</file>

<file path=customXml/itemProps2.xml><?xml version="1.0" encoding="utf-8"?>
<ds:datastoreItem xmlns:ds="http://schemas.openxmlformats.org/officeDocument/2006/customXml" ds:itemID="{C93AA56C-E1D9-E949-9CC8-1EB26DFB44A5}">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5</TotalTime>
  <Pages>12</Pages>
  <Words>4564</Words>
  <Characters>25102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Felipe Bastidas Paredes</cp:lastModifiedBy>
  <cp:revision>3</cp:revision>
  <dcterms:created xsi:type="dcterms:W3CDTF">2021-05-25T21:13:00Z</dcterms:created>
  <dcterms:modified xsi:type="dcterms:W3CDTF">2021-05-26T18:47:00Z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