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191A69" w:rsidRDefault="009F59C2" w:rsidP="0034177C">
      <w:pPr>
        <w:jc w:val="right"/>
        <w:rPr>
          <w:rFonts w:ascii="Arial" w:hAnsi="Arial" w:cs="Arial"/>
          <w:b/>
          <w:sz w:val="16"/>
          <w:szCs w:val="16"/>
          <w:lang w:val="es-ES_tradnl" w:eastAsia="es-ES"/>
        </w:rPr>
      </w:pPr>
      <w:bookmarkStart w:id="0" w:name="_Hlk28946138"/>
      <w:bookmarkStart w:id="1" w:name="_Hlk29548183"/>
      <w:r w:rsidRPr="00191A69">
        <w:rPr>
          <w:rFonts w:ascii="Arial" w:hAnsi="Arial" w:cs="Arial"/>
          <w:b/>
          <w:sz w:val="16"/>
          <w:szCs w:val="16"/>
          <w:lang w:val="es-ES_tradnl" w:eastAsia="es-ES"/>
        </w:rPr>
        <w:tab/>
      </w:r>
      <w:r w:rsidR="0034177C" w:rsidRPr="00191A69">
        <w:rPr>
          <w:rFonts w:ascii="Arial" w:hAnsi="Arial" w:cs="Arial"/>
          <w:b/>
          <w:sz w:val="16"/>
          <w:szCs w:val="16"/>
          <w:lang w:val="es-ES_tradnl" w:eastAsia="es-ES"/>
        </w:rPr>
        <w:t>CCE-DES-FM-17</w:t>
      </w:r>
    </w:p>
    <w:p w14:paraId="33FF83A2" w14:textId="77777777" w:rsidR="0034177C" w:rsidRPr="00191A69" w:rsidRDefault="0034177C" w:rsidP="007F6B46">
      <w:pPr>
        <w:spacing w:line="276" w:lineRule="auto"/>
        <w:jc w:val="both"/>
        <w:rPr>
          <w:rFonts w:ascii="Arial" w:eastAsia="Calibri" w:hAnsi="Arial" w:cs="Arial"/>
          <w:b/>
          <w:sz w:val="16"/>
          <w:szCs w:val="16"/>
          <w:lang w:val="es-ES_tradnl"/>
        </w:rPr>
      </w:pPr>
    </w:p>
    <w:bookmarkEnd w:id="0"/>
    <w:bookmarkEnd w:id="1"/>
    <w:p w14:paraId="34EB6500" w14:textId="20DA3E9A" w:rsidR="00A13B39" w:rsidRPr="00191A69" w:rsidRDefault="002B7180" w:rsidP="00A13B39">
      <w:pPr>
        <w:jc w:val="both"/>
        <w:rPr>
          <w:rFonts w:ascii="Arial" w:eastAsia="Calibri" w:hAnsi="Arial" w:cs="Arial"/>
          <w:b/>
          <w:color w:val="000000" w:themeColor="text1"/>
          <w:sz w:val="22"/>
          <w:lang w:val="es-ES_tradnl"/>
        </w:rPr>
      </w:pPr>
      <w:r w:rsidRPr="00191A69">
        <w:rPr>
          <w:rFonts w:ascii="Arial" w:eastAsia="Calibri" w:hAnsi="Arial" w:cs="Arial"/>
          <w:b/>
          <w:color w:val="000000" w:themeColor="text1"/>
          <w:sz w:val="22"/>
          <w:lang w:val="es-ES_tradnl"/>
        </w:rPr>
        <w:t>INHABILIDADES E INCOMPATIBILIDADES</w:t>
      </w:r>
      <w:r w:rsidR="00A13B39" w:rsidRPr="00191A69">
        <w:rPr>
          <w:rFonts w:ascii="Arial" w:eastAsia="Calibri" w:hAnsi="Arial" w:cs="Arial"/>
          <w:b/>
          <w:color w:val="000000" w:themeColor="text1"/>
          <w:sz w:val="22"/>
          <w:lang w:val="es-ES_tradnl"/>
        </w:rPr>
        <w:t xml:space="preserve"> – </w:t>
      </w:r>
      <w:r w:rsidRPr="00191A69">
        <w:rPr>
          <w:rFonts w:ascii="Arial" w:eastAsia="Calibri" w:hAnsi="Arial" w:cs="Arial"/>
          <w:b/>
          <w:color w:val="000000" w:themeColor="text1"/>
          <w:sz w:val="22"/>
          <w:lang w:val="es-ES_tradnl"/>
        </w:rPr>
        <w:t>Límite – Capacidad contractual</w:t>
      </w:r>
    </w:p>
    <w:p w14:paraId="458E8572" w14:textId="77777777" w:rsidR="00A13B39" w:rsidRPr="00191A69" w:rsidRDefault="00A13B39" w:rsidP="00A13B39">
      <w:pPr>
        <w:jc w:val="both"/>
        <w:rPr>
          <w:rFonts w:ascii="Arial" w:eastAsia="Calibri" w:hAnsi="Arial" w:cs="Arial"/>
          <w:color w:val="000000" w:themeColor="text1"/>
          <w:sz w:val="20"/>
          <w:szCs w:val="20"/>
          <w:lang w:val="es-ES_tradnl"/>
        </w:rPr>
      </w:pPr>
    </w:p>
    <w:p w14:paraId="74DB828D" w14:textId="31B21079" w:rsidR="00A13B39" w:rsidRPr="00191A69" w:rsidRDefault="002B7180" w:rsidP="00A13B39">
      <w:pPr>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0"/>
          <w:szCs w:val="20"/>
          <w:lang w:val="es-ES_tradnl"/>
        </w:rPr>
        <w:t>En la contratación estatal, la capacidad también es un requisito de validez de los contratos, tanto en el régimen de las entidades sujetas al Estatuto General de Contratación de la Administración Pública  como en el de las entidades exceptuadas de aquel.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w14:paraId="427B0302" w14:textId="62702CD5" w:rsidR="00723116" w:rsidRPr="00191A69" w:rsidRDefault="00723116" w:rsidP="000046CC">
      <w:pPr>
        <w:jc w:val="both"/>
        <w:rPr>
          <w:rFonts w:ascii="Arial" w:hAnsi="Arial" w:cs="Arial"/>
          <w:noProof/>
          <w:color w:val="000000" w:themeColor="text1"/>
          <w:sz w:val="22"/>
          <w:lang w:val="es-ES_tradnl"/>
        </w:rPr>
      </w:pPr>
    </w:p>
    <w:p w14:paraId="13219999" w14:textId="52A33365" w:rsidR="004C3C6C" w:rsidRPr="00191A69" w:rsidRDefault="004C3C6C" w:rsidP="004C3C6C">
      <w:pPr>
        <w:jc w:val="both"/>
        <w:rPr>
          <w:rFonts w:ascii="Arial" w:eastAsia="Calibri" w:hAnsi="Arial" w:cs="Arial"/>
          <w:b/>
          <w:color w:val="000000" w:themeColor="text1"/>
          <w:sz w:val="22"/>
          <w:lang w:val="es-ES_tradnl"/>
        </w:rPr>
      </w:pPr>
      <w:r w:rsidRPr="00191A69">
        <w:rPr>
          <w:rFonts w:ascii="Arial" w:eastAsia="Calibri" w:hAnsi="Arial" w:cs="Arial"/>
          <w:b/>
          <w:color w:val="000000" w:themeColor="text1"/>
          <w:sz w:val="22"/>
          <w:lang w:val="es-ES_tradnl"/>
        </w:rPr>
        <w:t>DIFERENCIAS CONCEPTUALES – Inhabilidades – Incompatibilidades</w:t>
      </w:r>
    </w:p>
    <w:p w14:paraId="0474E27D" w14:textId="77777777" w:rsidR="004C3C6C" w:rsidRPr="00191A69" w:rsidRDefault="004C3C6C" w:rsidP="000046CC">
      <w:pPr>
        <w:jc w:val="both"/>
        <w:rPr>
          <w:rFonts w:ascii="Arial" w:hAnsi="Arial" w:cs="Arial"/>
          <w:noProof/>
          <w:color w:val="000000" w:themeColor="text1"/>
          <w:sz w:val="22"/>
          <w:lang w:val="es-ES_tradnl"/>
        </w:rPr>
      </w:pPr>
    </w:p>
    <w:p w14:paraId="23EF2EA0" w14:textId="72B53E25" w:rsidR="00723116" w:rsidRPr="00191A69" w:rsidRDefault="004C3C6C" w:rsidP="000046CC">
      <w:pPr>
        <w:jc w:val="both"/>
        <w:rPr>
          <w:rFonts w:ascii="Arial" w:hAnsi="Arial" w:cs="Arial"/>
          <w:noProof/>
          <w:color w:val="000000" w:themeColor="text1"/>
          <w:sz w:val="20"/>
          <w:szCs w:val="20"/>
          <w:lang w:val="es-ES_tradnl"/>
        </w:rPr>
      </w:pPr>
      <w:r w:rsidRPr="00191A69">
        <w:rPr>
          <w:rFonts w:ascii="Arial" w:hAnsi="Arial" w:cs="Arial"/>
          <w:noProof/>
          <w:color w:val="000000" w:themeColor="text1"/>
          <w:sz w:val="20"/>
          <w:szCs w:val="20"/>
          <w:lang w:val="es-ES_tradnl"/>
        </w:rPr>
        <w:t>Las inhabilidades son prohibiciones para concurrir a los procedimientos de selección y para contratar con el Estado,</w:t>
      </w:r>
      <w:r w:rsidR="00DA0436" w:rsidRPr="00191A69">
        <w:rPr>
          <w:rFonts w:ascii="Arial" w:hAnsi="Arial" w:cs="Arial"/>
          <w:noProof/>
          <w:color w:val="000000" w:themeColor="text1"/>
          <w:sz w:val="20"/>
          <w:szCs w:val="20"/>
          <w:lang w:val="es-ES_tradnl"/>
        </w:rPr>
        <w:t xml:space="preserve"> </w:t>
      </w:r>
      <w:r w:rsidRPr="00191A69">
        <w:rPr>
          <w:rFonts w:ascii="Arial" w:hAnsi="Arial" w:cs="Arial"/>
          <w:noProof/>
          <w:color w:val="000000" w:themeColor="text1"/>
          <w:sz w:val="20"/>
          <w:szCs w:val="20"/>
          <w:lang w:val="es-ES_tradnl"/>
        </w:rPr>
        <w:t>que se derivan</w:t>
      </w:r>
      <w:r w:rsidR="00DA0436" w:rsidRPr="00191A69">
        <w:rPr>
          <w:rFonts w:ascii="Arial" w:hAnsi="Arial" w:cs="Arial"/>
          <w:noProof/>
          <w:color w:val="000000" w:themeColor="text1"/>
          <w:sz w:val="20"/>
          <w:szCs w:val="20"/>
          <w:lang w:val="es-ES_tradnl"/>
        </w:rPr>
        <w:t>:</w:t>
      </w:r>
      <w:r w:rsidRPr="00191A69">
        <w:rPr>
          <w:rFonts w:ascii="Arial" w:hAnsi="Arial" w:cs="Arial"/>
          <w:noProof/>
          <w:color w:val="000000" w:themeColor="text1"/>
          <w:sz w:val="20"/>
          <w:szCs w:val="20"/>
          <w:lang w:val="es-ES_tradnl"/>
        </w:rPr>
        <w:t xml:space="preserve"> i) de la existencia de comportamientos reprochables o de sanciones anteriormente impuestas , ii) de vínculos personales relativos al parentesco o al estado civil  o iii) de una actividad u oficio que se desempeñó en el pasado</w:t>
      </w:r>
      <w:r w:rsidR="00DA0436" w:rsidRPr="00191A69">
        <w:rPr>
          <w:rFonts w:ascii="Arial" w:hAnsi="Arial" w:cs="Arial"/>
          <w:noProof/>
          <w:color w:val="000000" w:themeColor="text1"/>
          <w:sz w:val="20"/>
          <w:szCs w:val="20"/>
          <w:lang w:val="es-ES_tradnl"/>
        </w:rPr>
        <w:t xml:space="preserve">. </w:t>
      </w:r>
      <w:r w:rsidRPr="00191A69">
        <w:rPr>
          <w:rFonts w:ascii="Arial" w:hAnsi="Arial" w:cs="Arial"/>
          <w:noProof/>
          <w:color w:val="000000" w:themeColor="text1"/>
          <w:sz w:val="20"/>
          <w:szCs w:val="20"/>
          <w:lang w:val="es-ES_tradnl"/>
        </w:rPr>
        <w:t>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p>
    <w:p w14:paraId="093601FB" w14:textId="0411FF28" w:rsidR="00723116" w:rsidRPr="00191A69" w:rsidRDefault="00723116" w:rsidP="000046CC">
      <w:pPr>
        <w:jc w:val="both"/>
        <w:rPr>
          <w:rFonts w:ascii="Arial" w:hAnsi="Arial" w:cs="Arial"/>
          <w:noProof/>
          <w:color w:val="000000" w:themeColor="text1"/>
          <w:sz w:val="22"/>
          <w:lang w:val="es-ES_tradnl"/>
        </w:rPr>
      </w:pPr>
    </w:p>
    <w:p w14:paraId="585A7C32" w14:textId="23876841" w:rsidR="00DA0436" w:rsidRPr="00191A69" w:rsidRDefault="00DA0436" w:rsidP="00DA0436">
      <w:pPr>
        <w:jc w:val="both"/>
        <w:rPr>
          <w:rFonts w:ascii="Arial" w:eastAsia="Calibri" w:hAnsi="Arial" w:cs="Arial"/>
          <w:b/>
          <w:color w:val="000000" w:themeColor="text1"/>
          <w:sz w:val="22"/>
          <w:lang w:val="es-ES_tradnl"/>
        </w:rPr>
      </w:pPr>
      <w:r w:rsidRPr="00191A69">
        <w:rPr>
          <w:rFonts w:ascii="Arial" w:eastAsia="Calibri" w:hAnsi="Arial" w:cs="Arial"/>
          <w:b/>
          <w:color w:val="000000" w:themeColor="text1"/>
          <w:sz w:val="22"/>
          <w:lang w:val="es-ES_tradnl"/>
        </w:rPr>
        <w:t xml:space="preserve">CONTEXTO – Transparencia – </w:t>
      </w:r>
      <w:r w:rsidR="00434BE1" w:rsidRPr="00191A69">
        <w:rPr>
          <w:rFonts w:ascii="Arial" w:eastAsia="Calibri" w:hAnsi="Arial" w:cs="Arial"/>
          <w:b/>
          <w:color w:val="000000" w:themeColor="text1"/>
          <w:sz w:val="22"/>
          <w:lang w:val="es-ES_tradnl"/>
        </w:rPr>
        <w:t>Lucha – Corrupción</w:t>
      </w:r>
    </w:p>
    <w:p w14:paraId="297F705C" w14:textId="77777777" w:rsidR="00DA0436" w:rsidRPr="00191A69" w:rsidRDefault="00DA0436" w:rsidP="000046CC">
      <w:pPr>
        <w:jc w:val="both"/>
        <w:rPr>
          <w:rFonts w:ascii="Arial" w:hAnsi="Arial" w:cs="Arial"/>
          <w:noProof/>
          <w:color w:val="000000" w:themeColor="text1"/>
          <w:sz w:val="22"/>
          <w:lang w:val="es-ES_tradnl"/>
        </w:rPr>
      </w:pPr>
    </w:p>
    <w:p w14:paraId="4176662A" w14:textId="0DCCBD0F" w:rsidR="00DA0436" w:rsidRPr="00191A69" w:rsidRDefault="00DA0436" w:rsidP="000046CC">
      <w:pPr>
        <w:jc w:val="both"/>
        <w:rPr>
          <w:rFonts w:ascii="Arial" w:hAnsi="Arial" w:cs="Arial"/>
          <w:noProof/>
          <w:color w:val="000000" w:themeColor="text1"/>
          <w:sz w:val="20"/>
          <w:szCs w:val="20"/>
          <w:lang w:val="es-ES_tradnl"/>
        </w:rPr>
      </w:pPr>
      <w:r w:rsidRPr="00191A69">
        <w:rPr>
          <w:rFonts w:ascii="Arial" w:hAnsi="Arial" w:cs="Arial"/>
          <w:noProof/>
          <w:color w:val="000000" w:themeColor="text1"/>
          <w:sz w:val="20"/>
          <w:szCs w:val="20"/>
          <w:lang w:val="es-ES_tradnl"/>
        </w:rPr>
        <w:t>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«neopunitivo».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027D98DB" w14:textId="2ACAC6CB" w:rsidR="00434BE1" w:rsidRPr="00191A69" w:rsidRDefault="00434BE1" w:rsidP="000046CC">
      <w:pPr>
        <w:jc w:val="both"/>
        <w:rPr>
          <w:rFonts w:ascii="Arial" w:hAnsi="Arial" w:cs="Arial"/>
          <w:noProof/>
          <w:color w:val="000000" w:themeColor="text1"/>
          <w:sz w:val="22"/>
          <w:lang w:val="es-ES_tradnl"/>
        </w:rPr>
      </w:pPr>
    </w:p>
    <w:p w14:paraId="40391278" w14:textId="067EC0BF" w:rsidR="00434BE1" w:rsidRPr="00191A69" w:rsidRDefault="00434BE1" w:rsidP="000046CC">
      <w:pPr>
        <w:jc w:val="both"/>
        <w:rPr>
          <w:rFonts w:ascii="Arial" w:eastAsia="Calibri" w:hAnsi="Arial" w:cs="Arial"/>
          <w:b/>
          <w:color w:val="000000" w:themeColor="text1"/>
          <w:sz w:val="22"/>
          <w:lang w:val="es-ES_tradnl"/>
        </w:rPr>
      </w:pPr>
      <w:r w:rsidRPr="00191A69">
        <w:rPr>
          <w:rFonts w:ascii="Arial" w:eastAsia="Calibri" w:hAnsi="Arial" w:cs="Arial"/>
          <w:b/>
          <w:color w:val="000000" w:themeColor="text1"/>
          <w:sz w:val="22"/>
          <w:lang w:val="es-ES_tradnl"/>
        </w:rPr>
        <w:t>INTERPRETACIÓN – Inhabilidades – Incompatibilidades – Restrictiva</w:t>
      </w:r>
    </w:p>
    <w:p w14:paraId="41DFA5FF" w14:textId="77777777" w:rsidR="00434BE1" w:rsidRPr="00191A69" w:rsidRDefault="00434BE1" w:rsidP="000046CC">
      <w:pPr>
        <w:jc w:val="both"/>
        <w:rPr>
          <w:rFonts w:ascii="Arial" w:hAnsi="Arial" w:cs="Arial"/>
          <w:noProof/>
          <w:color w:val="000000" w:themeColor="text1"/>
          <w:sz w:val="22"/>
          <w:lang w:val="es-ES_tradnl"/>
        </w:rPr>
      </w:pPr>
    </w:p>
    <w:p w14:paraId="541DFD71" w14:textId="07796748" w:rsidR="00434BE1" w:rsidRPr="00191A69" w:rsidRDefault="00434BE1" w:rsidP="000046CC">
      <w:pPr>
        <w:jc w:val="both"/>
        <w:rPr>
          <w:rFonts w:ascii="Arial" w:hAnsi="Arial" w:cs="Arial"/>
          <w:noProof/>
          <w:color w:val="000000" w:themeColor="text1"/>
          <w:sz w:val="20"/>
          <w:szCs w:val="20"/>
          <w:lang w:val="es-ES_tradnl"/>
        </w:rPr>
      </w:pPr>
      <w:r w:rsidRPr="00191A69">
        <w:rPr>
          <w:rFonts w:ascii="Arial" w:hAnsi="Arial" w:cs="Arial"/>
          <w:noProof/>
          <w:color w:val="000000" w:themeColor="text1"/>
          <w:sz w:val="20"/>
          <w:szCs w:val="20"/>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restrictiva, pues si se admitiera una interpretación amplia, extensiva o finalista de las mismas, tales enunciados normativos podrían contemplar múltiples supuestos indeterminados, según el parecer o </w:t>
      </w:r>
      <w:r w:rsidRPr="00191A69">
        <w:rPr>
          <w:rFonts w:ascii="Arial" w:hAnsi="Arial" w:cs="Arial"/>
          <w:noProof/>
          <w:color w:val="000000" w:themeColor="text1"/>
          <w:sz w:val="20"/>
          <w:szCs w:val="20"/>
          <w:lang w:val="es-ES_tradnl"/>
        </w:rPr>
        <w:lastRenderedPageBreak/>
        <w:t>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w14:paraId="577BEAA7" w14:textId="47E5FD08" w:rsidR="00434BE1" w:rsidRPr="00191A69" w:rsidRDefault="00434BE1" w:rsidP="000046CC">
      <w:pPr>
        <w:jc w:val="both"/>
        <w:rPr>
          <w:rFonts w:ascii="Arial" w:hAnsi="Arial" w:cs="Arial"/>
          <w:noProof/>
          <w:color w:val="000000" w:themeColor="text1"/>
          <w:sz w:val="22"/>
          <w:lang w:val="es-ES_tradnl"/>
        </w:rPr>
      </w:pPr>
    </w:p>
    <w:p w14:paraId="07E9CC3E" w14:textId="63C0CD22" w:rsidR="00434BE1" w:rsidRPr="00191A69" w:rsidRDefault="00434BE1" w:rsidP="00434BE1">
      <w:pPr>
        <w:jc w:val="both"/>
        <w:rPr>
          <w:rFonts w:ascii="Arial" w:eastAsia="Calibri" w:hAnsi="Arial" w:cs="Arial"/>
          <w:b/>
          <w:color w:val="000000" w:themeColor="text1"/>
          <w:sz w:val="22"/>
          <w:lang w:val="es-ES_tradnl"/>
        </w:rPr>
      </w:pPr>
      <w:r w:rsidRPr="00191A69">
        <w:rPr>
          <w:rFonts w:ascii="Arial" w:eastAsia="Calibri" w:hAnsi="Arial" w:cs="Arial"/>
          <w:b/>
          <w:color w:val="000000" w:themeColor="text1"/>
          <w:sz w:val="22"/>
          <w:lang w:val="es-ES_tradnl"/>
        </w:rPr>
        <w:t xml:space="preserve">INTERPRETACIÓN – Inhabilidades – Incompatibilidades – </w:t>
      </w:r>
      <w:r w:rsidR="00483A91" w:rsidRPr="00191A69">
        <w:rPr>
          <w:rFonts w:ascii="Arial" w:eastAsia="Calibri" w:hAnsi="Arial" w:cs="Arial"/>
          <w:b/>
          <w:color w:val="000000" w:themeColor="text1"/>
          <w:sz w:val="22"/>
          <w:lang w:val="es-ES_tradnl"/>
        </w:rPr>
        <w:t xml:space="preserve">Pro </w:t>
      </w:r>
      <w:proofErr w:type="spellStart"/>
      <w:r w:rsidR="00483A91" w:rsidRPr="00191A69">
        <w:rPr>
          <w:rFonts w:ascii="Arial" w:eastAsia="Calibri" w:hAnsi="Arial" w:cs="Arial"/>
          <w:b/>
          <w:color w:val="000000" w:themeColor="text1"/>
          <w:sz w:val="22"/>
          <w:lang w:val="es-ES_tradnl"/>
        </w:rPr>
        <w:t>libertate</w:t>
      </w:r>
      <w:proofErr w:type="spellEnd"/>
    </w:p>
    <w:p w14:paraId="5D28F91E" w14:textId="614DEA63" w:rsidR="00434BE1" w:rsidRPr="00191A69" w:rsidRDefault="00434BE1" w:rsidP="000046CC">
      <w:pPr>
        <w:jc w:val="both"/>
        <w:rPr>
          <w:rFonts w:ascii="Arial" w:hAnsi="Arial" w:cs="Arial"/>
          <w:noProof/>
          <w:color w:val="000000" w:themeColor="text1"/>
          <w:sz w:val="22"/>
          <w:lang w:val="es-ES_tradnl"/>
        </w:rPr>
      </w:pPr>
    </w:p>
    <w:p w14:paraId="2E20F389" w14:textId="0C165983" w:rsidR="00483A91" w:rsidRPr="00191A69" w:rsidRDefault="00483A91" w:rsidP="00483A91">
      <w:pPr>
        <w:jc w:val="both"/>
        <w:rPr>
          <w:rFonts w:ascii="Arial" w:hAnsi="Arial" w:cs="Arial"/>
          <w:noProof/>
          <w:color w:val="000000" w:themeColor="text1"/>
          <w:sz w:val="20"/>
          <w:szCs w:val="20"/>
          <w:lang w:val="es-ES_tradnl"/>
        </w:rPr>
      </w:pPr>
      <w:r w:rsidRPr="00191A69">
        <w:rPr>
          <w:rFonts w:ascii="Arial" w:hAnsi="Arial" w:cs="Arial"/>
          <w:noProof/>
          <w:color w:val="000000" w:themeColor="text1"/>
          <w:sz w:val="20"/>
          <w:szCs w:val="20"/>
          <w:lang w:val="es-ES_tradnl"/>
        </w:rPr>
        <w:t>[…] la Sección Tercera ha señalado que:</w:t>
      </w:r>
    </w:p>
    <w:p w14:paraId="412B9401" w14:textId="77777777" w:rsidR="00483A91" w:rsidRPr="00191A69" w:rsidRDefault="00483A91" w:rsidP="00483A91">
      <w:pPr>
        <w:jc w:val="both"/>
        <w:rPr>
          <w:rFonts w:ascii="Arial" w:hAnsi="Arial" w:cs="Arial"/>
          <w:noProof/>
          <w:color w:val="000000" w:themeColor="text1"/>
          <w:sz w:val="20"/>
          <w:szCs w:val="20"/>
          <w:lang w:val="es-ES_tradnl"/>
        </w:rPr>
      </w:pPr>
    </w:p>
    <w:p w14:paraId="32C7BE28" w14:textId="5EBE5865" w:rsidR="00483A91" w:rsidRPr="00191A69" w:rsidRDefault="00483A91" w:rsidP="00483A91">
      <w:pPr>
        <w:jc w:val="both"/>
        <w:rPr>
          <w:rFonts w:ascii="Arial" w:hAnsi="Arial" w:cs="Arial"/>
          <w:noProof/>
          <w:color w:val="000000" w:themeColor="text1"/>
          <w:sz w:val="20"/>
          <w:szCs w:val="20"/>
          <w:lang w:val="es-ES_tradnl"/>
        </w:rPr>
      </w:pPr>
      <w:r w:rsidRPr="00191A69">
        <w:rPr>
          <w:rFonts w:ascii="Arial" w:hAnsi="Arial" w:cs="Arial"/>
          <w:noProof/>
          <w:color w:val="000000" w:themeColor="text1"/>
          <w:sz w:val="20"/>
          <w:szCs w:val="20"/>
          <w:lang w:val="es-ES_tradnl"/>
        </w:rPr>
        <w:t>[…]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p>
    <w:p w14:paraId="33D6D501" w14:textId="77777777" w:rsidR="00483A91" w:rsidRPr="00191A69" w:rsidRDefault="00483A91" w:rsidP="00483A91">
      <w:pPr>
        <w:jc w:val="both"/>
        <w:rPr>
          <w:rFonts w:ascii="Arial" w:hAnsi="Arial" w:cs="Arial"/>
          <w:noProof/>
          <w:color w:val="000000" w:themeColor="text1"/>
          <w:sz w:val="20"/>
          <w:szCs w:val="20"/>
          <w:lang w:val="es-ES_tradnl"/>
        </w:rPr>
      </w:pPr>
    </w:p>
    <w:p w14:paraId="0525C8E3" w14:textId="53B66459" w:rsidR="00483A91" w:rsidRPr="00191A69" w:rsidRDefault="00483A91" w:rsidP="00483A91">
      <w:pPr>
        <w:jc w:val="both"/>
        <w:rPr>
          <w:rFonts w:ascii="Arial" w:hAnsi="Arial" w:cs="Arial"/>
          <w:noProof/>
          <w:color w:val="000000" w:themeColor="text1"/>
          <w:sz w:val="20"/>
          <w:szCs w:val="20"/>
          <w:lang w:val="es-ES_tradnl"/>
        </w:rPr>
      </w:pPr>
      <w:r w:rsidRPr="00191A69">
        <w:rPr>
          <w:rFonts w:ascii="Arial" w:hAnsi="Arial" w:cs="Arial"/>
          <w:noProof/>
          <w:color w:val="000000" w:themeColor="text1"/>
          <w:sz w:val="20"/>
          <w:szCs w:val="20"/>
          <w:lang w:val="es-ES_tradnl"/>
        </w:rPr>
        <w:t>Como se aprecia, el principio pro libertate es el que debe dirigir la interpretación de las disposiciones normativas que consagran restricciones de derechos, como sucede con las causales de inhabilidad e incompatibilidad en la contratación estatal.</w:t>
      </w:r>
    </w:p>
    <w:p w14:paraId="4CA20761" w14:textId="77777777" w:rsidR="00723116" w:rsidRPr="00191A69" w:rsidRDefault="00723116" w:rsidP="000046CC">
      <w:pPr>
        <w:jc w:val="both"/>
        <w:rPr>
          <w:rFonts w:ascii="Arial" w:hAnsi="Arial" w:cs="Arial"/>
          <w:noProof/>
          <w:color w:val="000000" w:themeColor="text1"/>
          <w:sz w:val="22"/>
          <w:lang w:val="es-ES_tradnl"/>
        </w:rPr>
      </w:pPr>
    </w:p>
    <w:p w14:paraId="0684D90C" w14:textId="77777777" w:rsidR="00723116" w:rsidRPr="00191A69" w:rsidRDefault="00723116" w:rsidP="000046CC">
      <w:pPr>
        <w:jc w:val="both"/>
        <w:rPr>
          <w:rFonts w:ascii="Arial" w:hAnsi="Arial" w:cs="Arial"/>
          <w:noProof/>
          <w:color w:val="000000" w:themeColor="text1"/>
          <w:sz w:val="22"/>
          <w:lang w:val="es-ES_tradnl"/>
        </w:rPr>
      </w:pPr>
    </w:p>
    <w:p w14:paraId="2FFC6559" w14:textId="77777777" w:rsidR="00723116" w:rsidRPr="00191A69" w:rsidRDefault="00723116" w:rsidP="000046CC">
      <w:pPr>
        <w:jc w:val="both"/>
        <w:rPr>
          <w:rFonts w:ascii="Arial" w:hAnsi="Arial" w:cs="Arial"/>
          <w:noProof/>
          <w:color w:val="000000" w:themeColor="text1"/>
          <w:sz w:val="22"/>
          <w:lang w:val="es-ES_tradnl"/>
        </w:rPr>
      </w:pPr>
    </w:p>
    <w:p w14:paraId="31401706" w14:textId="77777777" w:rsidR="00723116" w:rsidRPr="00191A69" w:rsidRDefault="00723116" w:rsidP="000046CC">
      <w:pPr>
        <w:jc w:val="both"/>
        <w:rPr>
          <w:rFonts w:ascii="Arial" w:hAnsi="Arial" w:cs="Arial"/>
          <w:noProof/>
          <w:color w:val="000000" w:themeColor="text1"/>
          <w:sz w:val="22"/>
          <w:lang w:val="es-ES_tradnl"/>
        </w:rPr>
      </w:pPr>
    </w:p>
    <w:p w14:paraId="1FCAE121" w14:textId="77777777" w:rsidR="00723116" w:rsidRPr="00191A69" w:rsidRDefault="00723116" w:rsidP="000046CC">
      <w:pPr>
        <w:jc w:val="both"/>
        <w:rPr>
          <w:rFonts w:ascii="Arial" w:hAnsi="Arial" w:cs="Arial"/>
          <w:noProof/>
          <w:color w:val="000000" w:themeColor="text1"/>
          <w:sz w:val="22"/>
          <w:lang w:val="es-ES_tradnl"/>
        </w:rPr>
      </w:pPr>
    </w:p>
    <w:p w14:paraId="2E6B90F4" w14:textId="77777777" w:rsidR="00723116" w:rsidRPr="00191A69" w:rsidRDefault="00723116" w:rsidP="000046CC">
      <w:pPr>
        <w:jc w:val="both"/>
        <w:rPr>
          <w:rFonts w:ascii="Arial" w:hAnsi="Arial" w:cs="Arial"/>
          <w:noProof/>
          <w:color w:val="000000" w:themeColor="text1"/>
          <w:sz w:val="22"/>
          <w:lang w:val="es-ES_tradnl"/>
        </w:rPr>
      </w:pPr>
    </w:p>
    <w:p w14:paraId="18E42849" w14:textId="77777777" w:rsidR="00723116" w:rsidRPr="00191A69" w:rsidRDefault="00723116" w:rsidP="000046CC">
      <w:pPr>
        <w:jc w:val="both"/>
        <w:rPr>
          <w:rFonts w:ascii="Arial" w:hAnsi="Arial" w:cs="Arial"/>
          <w:noProof/>
          <w:color w:val="000000" w:themeColor="text1"/>
          <w:sz w:val="22"/>
          <w:lang w:val="es-ES_tradnl"/>
        </w:rPr>
      </w:pPr>
    </w:p>
    <w:p w14:paraId="4E2A3352" w14:textId="77777777" w:rsidR="00723116" w:rsidRPr="00191A69" w:rsidRDefault="00723116" w:rsidP="000046CC">
      <w:pPr>
        <w:jc w:val="both"/>
        <w:rPr>
          <w:rFonts w:ascii="Arial" w:hAnsi="Arial" w:cs="Arial"/>
          <w:noProof/>
          <w:color w:val="000000" w:themeColor="text1"/>
          <w:sz w:val="22"/>
          <w:lang w:val="es-ES_tradnl"/>
        </w:rPr>
      </w:pPr>
    </w:p>
    <w:p w14:paraId="41224118" w14:textId="77777777" w:rsidR="00723116" w:rsidRPr="00191A69" w:rsidRDefault="00723116" w:rsidP="000046CC">
      <w:pPr>
        <w:jc w:val="both"/>
        <w:rPr>
          <w:rFonts w:ascii="Arial" w:hAnsi="Arial" w:cs="Arial"/>
          <w:noProof/>
          <w:color w:val="000000" w:themeColor="text1"/>
          <w:sz w:val="22"/>
          <w:lang w:val="es-ES_tradnl"/>
        </w:rPr>
      </w:pPr>
    </w:p>
    <w:p w14:paraId="4C5D0478" w14:textId="77777777" w:rsidR="00723116" w:rsidRPr="00191A69" w:rsidRDefault="00723116" w:rsidP="000046CC">
      <w:pPr>
        <w:jc w:val="both"/>
        <w:rPr>
          <w:rFonts w:ascii="Arial" w:hAnsi="Arial" w:cs="Arial"/>
          <w:noProof/>
          <w:color w:val="000000" w:themeColor="text1"/>
          <w:sz w:val="22"/>
          <w:lang w:val="es-ES_tradnl"/>
        </w:rPr>
      </w:pPr>
    </w:p>
    <w:p w14:paraId="24D7056A" w14:textId="77777777" w:rsidR="00723116" w:rsidRPr="00191A69" w:rsidRDefault="00723116" w:rsidP="000046CC">
      <w:pPr>
        <w:jc w:val="both"/>
        <w:rPr>
          <w:rFonts w:ascii="Arial" w:hAnsi="Arial" w:cs="Arial"/>
          <w:noProof/>
          <w:color w:val="000000" w:themeColor="text1"/>
          <w:sz w:val="22"/>
          <w:lang w:val="es-ES_tradnl"/>
        </w:rPr>
      </w:pPr>
    </w:p>
    <w:p w14:paraId="1AF14F4E" w14:textId="77777777" w:rsidR="00723116" w:rsidRPr="00191A69" w:rsidRDefault="00723116" w:rsidP="000046CC">
      <w:pPr>
        <w:jc w:val="both"/>
        <w:rPr>
          <w:rFonts w:ascii="Arial" w:hAnsi="Arial" w:cs="Arial"/>
          <w:noProof/>
          <w:color w:val="000000" w:themeColor="text1"/>
          <w:sz w:val="22"/>
          <w:lang w:val="es-ES_tradnl"/>
        </w:rPr>
      </w:pPr>
    </w:p>
    <w:p w14:paraId="54135DBF" w14:textId="77777777" w:rsidR="00723116" w:rsidRPr="00191A69" w:rsidRDefault="00723116" w:rsidP="000046CC">
      <w:pPr>
        <w:jc w:val="both"/>
        <w:rPr>
          <w:rFonts w:ascii="Arial" w:hAnsi="Arial" w:cs="Arial"/>
          <w:noProof/>
          <w:color w:val="000000" w:themeColor="text1"/>
          <w:sz w:val="22"/>
          <w:lang w:val="es-ES_tradnl"/>
        </w:rPr>
      </w:pPr>
    </w:p>
    <w:p w14:paraId="55D39BE4" w14:textId="77777777" w:rsidR="00723116" w:rsidRPr="00191A69" w:rsidRDefault="00723116" w:rsidP="000046CC">
      <w:pPr>
        <w:jc w:val="both"/>
        <w:rPr>
          <w:rFonts w:ascii="Arial" w:hAnsi="Arial" w:cs="Arial"/>
          <w:noProof/>
          <w:color w:val="000000" w:themeColor="text1"/>
          <w:sz w:val="22"/>
          <w:lang w:val="es-ES_tradnl"/>
        </w:rPr>
      </w:pPr>
    </w:p>
    <w:p w14:paraId="3B716A3C" w14:textId="77777777" w:rsidR="00723116" w:rsidRPr="00191A69" w:rsidRDefault="00723116" w:rsidP="000046CC">
      <w:pPr>
        <w:jc w:val="both"/>
        <w:rPr>
          <w:rFonts w:ascii="Arial" w:hAnsi="Arial" w:cs="Arial"/>
          <w:noProof/>
          <w:color w:val="000000" w:themeColor="text1"/>
          <w:sz w:val="22"/>
          <w:lang w:val="es-ES_tradnl"/>
        </w:rPr>
      </w:pPr>
    </w:p>
    <w:p w14:paraId="55A9A207" w14:textId="77777777" w:rsidR="00A94E9C" w:rsidRPr="00191A69" w:rsidRDefault="00A94E9C" w:rsidP="000046CC">
      <w:pPr>
        <w:jc w:val="both"/>
        <w:rPr>
          <w:rFonts w:ascii="Arial" w:hAnsi="Arial" w:cs="Arial"/>
          <w:noProof/>
          <w:color w:val="000000" w:themeColor="text1"/>
          <w:sz w:val="22"/>
          <w:lang w:val="es-ES_tradnl"/>
        </w:rPr>
      </w:pPr>
    </w:p>
    <w:p w14:paraId="7B98F4F4" w14:textId="77777777" w:rsidR="00483A91" w:rsidRPr="00191A69" w:rsidRDefault="00483A91" w:rsidP="000046CC">
      <w:pPr>
        <w:jc w:val="both"/>
        <w:rPr>
          <w:rFonts w:ascii="Arial" w:hAnsi="Arial" w:cs="Arial"/>
          <w:noProof/>
          <w:color w:val="000000" w:themeColor="text1"/>
          <w:sz w:val="22"/>
          <w:lang w:val="es-ES_tradnl"/>
        </w:rPr>
      </w:pPr>
    </w:p>
    <w:p w14:paraId="632AC1AC" w14:textId="77777777" w:rsidR="00BF09AF" w:rsidRPr="00191A69" w:rsidRDefault="00BF09AF" w:rsidP="000046CC">
      <w:pPr>
        <w:jc w:val="both"/>
        <w:rPr>
          <w:rFonts w:ascii="Arial" w:hAnsi="Arial" w:cs="Arial"/>
          <w:noProof/>
          <w:color w:val="000000" w:themeColor="text1"/>
          <w:sz w:val="22"/>
          <w:lang w:val="es-ES_tradnl"/>
        </w:rPr>
      </w:pPr>
    </w:p>
    <w:p w14:paraId="22E3E8D0" w14:textId="77777777" w:rsidR="00BF09AF" w:rsidRPr="00191A69" w:rsidRDefault="00BF09AF" w:rsidP="000046CC">
      <w:pPr>
        <w:jc w:val="both"/>
        <w:rPr>
          <w:rFonts w:ascii="Arial" w:hAnsi="Arial" w:cs="Arial"/>
          <w:noProof/>
          <w:color w:val="000000" w:themeColor="text1"/>
          <w:sz w:val="22"/>
          <w:lang w:val="es-ES_tradnl"/>
        </w:rPr>
      </w:pPr>
    </w:p>
    <w:p w14:paraId="40900B6B" w14:textId="77777777" w:rsidR="00BF09AF" w:rsidRPr="00191A69" w:rsidRDefault="00BF09AF" w:rsidP="000046CC">
      <w:pPr>
        <w:jc w:val="both"/>
        <w:rPr>
          <w:rFonts w:ascii="Arial" w:hAnsi="Arial" w:cs="Arial"/>
          <w:noProof/>
          <w:color w:val="000000" w:themeColor="text1"/>
          <w:sz w:val="22"/>
          <w:lang w:val="es-ES_tradnl"/>
        </w:rPr>
      </w:pPr>
    </w:p>
    <w:p w14:paraId="7E9D3B70" w14:textId="77777777" w:rsidR="00BF09AF" w:rsidRPr="00191A69" w:rsidRDefault="00BF09AF" w:rsidP="000046CC">
      <w:pPr>
        <w:jc w:val="both"/>
        <w:rPr>
          <w:rFonts w:ascii="Arial" w:hAnsi="Arial" w:cs="Arial"/>
          <w:noProof/>
          <w:color w:val="000000" w:themeColor="text1"/>
          <w:sz w:val="22"/>
          <w:lang w:val="es-ES_tradnl"/>
        </w:rPr>
      </w:pPr>
    </w:p>
    <w:p w14:paraId="6356FBB6" w14:textId="77777777" w:rsidR="00BF09AF" w:rsidRPr="00191A69" w:rsidRDefault="00BF09AF" w:rsidP="000046CC">
      <w:pPr>
        <w:jc w:val="both"/>
        <w:rPr>
          <w:rFonts w:ascii="Arial" w:hAnsi="Arial" w:cs="Arial"/>
          <w:noProof/>
          <w:color w:val="000000" w:themeColor="text1"/>
          <w:sz w:val="22"/>
          <w:lang w:val="es-ES_tradnl"/>
        </w:rPr>
      </w:pPr>
    </w:p>
    <w:p w14:paraId="6C79B653" w14:textId="77777777" w:rsidR="00BF09AF" w:rsidRPr="00191A69" w:rsidRDefault="00BF09AF" w:rsidP="000046CC">
      <w:pPr>
        <w:jc w:val="both"/>
        <w:rPr>
          <w:rFonts w:ascii="Arial" w:hAnsi="Arial" w:cs="Arial"/>
          <w:noProof/>
          <w:color w:val="000000" w:themeColor="text1"/>
          <w:sz w:val="22"/>
          <w:lang w:val="es-ES_tradnl"/>
        </w:rPr>
      </w:pPr>
    </w:p>
    <w:p w14:paraId="07DDEDBA" w14:textId="77777777" w:rsidR="00BF09AF" w:rsidRPr="00191A69" w:rsidRDefault="00BF09AF" w:rsidP="000046CC">
      <w:pPr>
        <w:jc w:val="both"/>
        <w:rPr>
          <w:rFonts w:ascii="Arial" w:hAnsi="Arial" w:cs="Arial"/>
          <w:noProof/>
          <w:color w:val="000000" w:themeColor="text1"/>
          <w:sz w:val="22"/>
          <w:lang w:val="es-ES_tradnl"/>
        </w:rPr>
      </w:pPr>
    </w:p>
    <w:p w14:paraId="28ED1FE5" w14:textId="0B991404" w:rsidR="001811A6" w:rsidRPr="00191A69" w:rsidRDefault="001811A6" w:rsidP="000046CC">
      <w:pPr>
        <w:jc w:val="both"/>
        <w:rPr>
          <w:rFonts w:ascii="Arial" w:eastAsia="Calibri" w:hAnsi="Arial" w:cs="Arial"/>
          <w:color w:val="000000" w:themeColor="text1"/>
          <w:sz w:val="20"/>
          <w:szCs w:val="20"/>
          <w:lang w:val="es-ES_tradnl"/>
        </w:rPr>
      </w:pPr>
      <w:r w:rsidRPr="00191A69">
        <w:rPr>
          <w:rFonts w:ascii="Arial" w:hAnsi="Arial" w:cs="Arial"/>
          <w:noProof/>
          <w:color w:val="000000" w:themeColor="text1"/>
          <w:sz w:val="22"/>
          <w:lang w:val="es-ES_tradnl"/>
        </w:rPr>
        <w:lastRenderedPageBreak/>
        <w:t xml:space="preserve">Bogotá D.C., </w:t>
      </w:r>
      <w:r w:rsidR="007A6714">
        <w:rPr>
          <w:rFonts w:ascii="Arial" w:hAnsi="Arial" w:cs="Arial"/>
          <w:b/>
          <w:color w:val="000000" w:themeColor="text1"/>
          <w:sz w:val="22"/>
          <w:lang w:val="es-ES_tradnl"/>
        </w:rPr>
        <w:t>07/07/2021 15:11:05</w:t>
      </w:r>
    </w:p>
    <w:p w14:paraId="4122968E" w14:textId="7314209E" w:rsidR="007A6714" w:rsidRPr="007A6714" w:rsidRDefault="007A6714" w:rsidP="007A6714">
      <w:pPr>
        <w:jc w:val="right"/>
        <w:rPr>
          <w:rFonts w:ascii="Times New Roman" w:eastAsia="Times New Roman" w:hAnsi="Times New Roman" w:cs="Times New Roman"/>
          <w:szCs w:val="24"/>
          <w:lang w:val="es-CO" w:eastAsia="es-ES_tradnl"/>
        </w:rPr>
      </w:pPr>
      <w:r w:rsidRPr="007A6714">
        <w:rPr>
          <w:rFonts w:ascii="Times New Roman" w:eastAsia="Times New Roman" w:hAnsi="Times New Roman" w:cs="Times New Roman"/>
          <w:szCs w:val="24"/>
          <w:lang w:val="es-CO" w:eastAsia="es-ES_tradnl"/>
        </w:rPr>
        <w:fldChar w:fldCharType="begin"/>
      </w:r>
      <w:r w:rsidRPr="007A6714">
        <w:rPr>
          <w:rFonts w:ascii="Times New Roman" w:eastAsia="Times New Roman" w:hAnsi="Times New Roman" w:cs="Times New Roman"/>
          <w:szCs w:val="24"/>
          <w:lang w:val="es-CO" w:eastAsia="es-ES_tradnl"/>
        </w:rPr>
        <w:instrText xml:space="preserve"> INCLUDEPICTURE "/var/folders/5l/v1rdjm0x1x9416lmbj7_vjt40000gn/T/com.microsoft.Word/WebArchiveCopyPasteTempFiles/page1image1751200" \* MERGEFORMATINET </w:instrText>
      </w:r>
      <w:r w:rsidRPr="007A6714">
        <w:rPr>
          <w:rFonts w:ascii="Times New Roman" w:eastAsia="Times New Roman" w:hAnsi="Times New Roman" w:cs="Times New Roman"/>
          <w:szCs w:val="24"/>
          <w:lang w:val="es-CO" w:eastAsia="es-ES_tradnl"/>
        </w:rPr>
        <w:fldChar w:fldCharType="separate"/>
      </w:r>
      <w:r w:rsidRPr="007A6714">
        <w:rPr>
          <w:rFonts w:ascii="Times New Roman" w:eastAsia="Times New Roman" w:hAnsi="Times New Roman" w:cs="Times New Roman"/>
          <w:noProof/>
          <w:szCs w:val="24"/>
          <w:lang w:val="es-CO" w:eastAsia="es-ES_tradnl"/>
        </w:rPr>
        <w:drawing>
          <wp:inline distT="0" distB="0" distL="0" distR="0" wp14:anchorId="6F55942E" wp14:editId="30F64725">
            <wp:extent cx="2399665" cy="607060"/>
            <wp:effectExtent l="0" t="0" r="635" b="2540"/>
            <wp:docPr id="2" name="Imagen 2" descr="page1image175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5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665" cy="607060"/>
                    </a:xfrm>
                    <a:prstGeom prst="rect">
                      <a:avLst/>
                    </a:prstGeom>
                    <a:noFill/>
                    <a:ln>
                      <a:noFill/>
                    </a:ln>
                  </pic:spPr>
                </pic:pic>
              </a:graphicData>
            </a:graphic>
          </wp:inline>
        </w:drawing>
      </w:r>
      <w:r w:rsidRPr="007A6714">
        <w:rPr>
          <w:rFonts w:ascii="Times New Roman" w:eastAsia="Times New Roman" w:hAnsi="Times New Roman" w:cs="Times New Roman"/>
          <w:szCs w:val="24"/>
          <w:lang w:val="es-CO" w:eastAsia="es-ES_tradnl"/>
        </w:rPr>
        <w:fldChar w:fldCharType="end"/>
      </w:r>
    </w:p>
    <w:p w14:paraId="43399144" w14:textId="77777777" w:rsidR="00E669B0" w:rsidRPr="00191A69" w:rsidRDefault="00E669B0" w:rsidP="00F1108B">
      <w:pPr>
        <w:rPr>
          <w:rFonts w:ascii="Arial" w:eastAsia="Calibri" w:hAnsi="Arial" w:cs="Arial"/>
          <w:sz w:val="22"/>
          <w:szCs w:val="20"/>
          <w:lang w:val="es-ES_tradnl"/>
        </w:rPr>
      </w:pPr>
    </w:p>
    <w:p w14:paraId="1AC01C9C" w14:textId="683C1D53" w:rsidR="00F1108B" w:rsidRPr="00191A69" w:rsidRDefault="00701CE7" w:rsidP="00F1108B">
      <w:pPr>
        <w:rPr>
          <w:rFonts w:ascii="Arial" w:eastAsia="Calibri" w:hAnsi="Arial" w:cs="Arial"/>
          <w:sz w:val="22"/>
          <w:szCs w:val="20"/>
          <w:lang w:val="es-ES_tradnl"/>
        </w:rPr>
      </w:pPr>
      <w:r w:rsidRPr="00191A69">
        <w:rPr>
          <w:rFonts w:ascii="Arial" w:eastAsia="Calibri" w:hAnsi="Arial" w:cs="Arial"/>
          <w:sz w:val="22"/>
          <w:szCs w:val="20"/>
          <w:lang w:val="es-ES_tradnl"/>
        </w:rPr>
        <w:t>Señor</w:t>
      </w:r>
    </w:p>
    <w:p w14:paraId="4E8BF773" w14:textId="77777777" w:rsidR="00D12689" w:rsidRPr="00191A69" w:rsidRDefault="00D12689" w:rsidP="00F1108B">
      <w:pPr>
        <w:rPr>
          <w:rFonts w:ascii="Arial" w:eastAsia="Calibri" w:hAnsi="Arial" w:cs="Arial"/>
          <w:b/>
          <w:sz w:val="22"/>
          <w:szCs w:val="20"/>
          <w:lang w:val="es-ES_tradnl"/>
        </w:rPr>
      </w:pPr>
      <w:r w:rsidRPr="00191A69">
        <w:rPr>
          <w:rFonts w:ascii="Arial" w:eastAsia="Calibri" w:hAnsi="Arial" w:cs="Arial"/>
          <w:b/>
          <w:sz w:val="22"/>
          <w:szCs w:val="20"/>
          <w:lang w:val="es-ES_tradnl"/>
        </w:rPr>
        <w:t>Juan Pablo Bernal Moncada</w:t>
      </w:r>
    </w:p>
    <w:p w14:paraId="0C515BDA" w14:textId="0706058A" w:rsidR="00F1108B" w:rsidRPr="00191A69" w:rsidRDefault="00CD054C" w:rsidP="00F1108B">
      <w:pPr>
        <w:rPr>
          <w:rFonts w:ascii="Arial" w:eastAsia="Calibri" w:hAnsi="Arial" w:cs="Arial"/>
          <w:sz w:val="22"/>
          <w:szCs w:val="20"/>
          <w:lang w:val="es-ES_tradnl"/>
        </w:rPr>
      </w:pPr>
      <w:r w:rsidRPr="00191A69">
        <w:rPr>
          <w:rFonts w:ascii="Arial" w:eastAsia="Calibri" w:hAnsi="Arial" w:cs="Arial"/>
          <w:sz w:val="22"/>
          <w:szCs w:val="20"/>
          <w:lang w:val="es-ES_tradnl"/>
        </w:rPr>
        <w:t>Ciudad</w:t>
      </w:r>
    </w:p>
    <w:p w14:paraId="7A74EF0E" w14:textId="7303E64B" w:rsidR="001350C4" w:rsidRPr="00191A69" w:rsidRDefault="001350C4" w:rsidP="00F1108B">
      <w:pPr>
        <w:rPr>
          <w:rFonts w:ascii="Arial" w:eastAsia="Calibri" w:hAnsi="Arial" w:cs="Arial"/>
          <w:sz w:val="22"/>
          <w:szCs w:val="20"/>
          <w:lang w:val="es-ES_tradnl"/>
        </w:rPr>
      </w:pPr>
    </w:p>
    <w:p w14:paraId="77A6AEF9" w14:textId="77777777" w:rsidR="001350C4" w:rsidRPr="00191A69" w:rsidRDefault="001350C4" w:rsidP="00F1108B">
      <w:pPr>
        <w:rPr>
          <w:rFonts w:ascii="Arial" w:eastAsia="Calibri" w:hAnsi="Arial" w:cs="Arial"/>
          <w:sz w:val="22"/>
          <w:szCs w:val="20"/>
          <w:lang w:val="es-ES_tradnl"/>
        </w:rPr>
      </w:pPr>
    </w:p>
    <w:p w14:paraId="283D6043" w14:textId="47C3B570" w:rsidR="00F1108B" w:rsidRPr="00191A69" w:rsidRDefault="00B30910" w:rsidP="00950C81">
      <w:pPr>
        <w:rPr>
          <w:rFonts w:ascii="Arial" w:eastAsia="Calibri" w:hAnsi="Arial" w:cs="Arial"/>
          <w:b/>
          <w:sz w:val="22"/>
          <w:lang w:val="es-ES_tradnl"/>
        </w:rPr>
      </w:pPr>
      <w:r w:rsidRPr="00191A69">
        <w:rPr>
          <w:rFonts w:ascii="Arial" w:eastAsia="Calibri" w:hAnsi="Arial" w:cs="Arial"/>
          <w:b/>
          <w:sz w:val="22"/>
          <w:lang w:val="es-ES_tradnl"/>
        </w:rPr>
        <w:t xml:space="preserve">                                            </w:t>
      </w:r>
      <w:r w:rsidR="00F1108B" w:rsidRPr="00191A69">
        <w:rPr>
          <w:rFonts w:ascii="Arial" w:eastAsia="Calibri" w:hAnsi="Arial" w:cs="Arial"/>
          <w:b/>
          <w:sz w:val="22"/>
          <w:lang w:val="es-ES_tradnl"/>
        </w:rPr>
        <w:t xml:space="preserve">Concepto C </w:t>
      </w:r>
      <w:r w:rsidR="00E669B0" w:rsidRPr="00191A69">
        <w:rPr>
          <w:rFonts w:ascii="Arial" w:eastAsia="Calibri" w:hAnsi="Arial" w:cs="Arial"/>
          <w:b/>
          <w:sz w:val="22"/>
          <w:lang w:val="es-ES_tradnl"/>
        </w:rPr>
        <w:t>–</w:t>
      </w:r>
      <w:r w:rsidR="00F1108B" w:rsidRPr="00191A69">
        <w:rPr>
          <w:rFonts w:ascii="Arial" w:eastAsia="Calibri" w:hAnsi="Arial" w:cs="Arial"/>
          <w:b/>
          <w:sz w:val="22"/>
          <w:lang w:val="es-ES_tradnl"/>
        </w:rPr>
        <w:t xml:space="preserve"> </w:t>
      </w:r>
      <w:r w:rsidR="004C764F" w:rsidRPr="00191A69">
        <w:rPr>
          <w:rFonts w:ascii="Arial" w:eastAsia="Calibri" w:hAnsi="Arial" w:cs="Arial"/>
          <w:b/>
          <w:sz w:val="22"/>
          <w:lang w:val="es-ES_tradnl"/>
        </w:rPr>
        <w:t>410</w:t>
      </w:r>
      <w:r w:rsidR="00F1108B" w:rsidRPr="00191A69">
        <w:rPr>
          <w:rFonts w:ascii="Arial" w:eastAsia="Calibri" w:hAnsi="Arial" w:cs="Arial"/>
          <w:b/>
          <w:sz w:val="22"/>
          <w:lang w:val="es-ES_tradnl"/>
        </w:rPr>
        <w:t xml:space="preserve"> de 202</w:t>
      </w:r>
      <w:r w:rsidR="000E11AD" w:rsidRPr="00191A69">
        <w:rPr>
          <w:rFonts w:ascii="Arial" w:eastAsia="Calibri" w:hAnsi="Arial" w:cs="Arial"/>
          <w:b/>
          <w:sz w:val="22"/>
          <w:lang w:val="es-ES_tradnl"/>
        </w:rPr>
        <w:t>1</w:t>
      </w:r>
    </w:p>
    <w:p w14:paraId="55A2A84E" w14:textId="77777777" w:rsidR="00F1108B" w:rsidRPr="00191A69" w:rsidRDefault="00F1108B" w:rsidP="00F1108B">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191A69" w14:paraId="522C04FC" w14:textId="77777777" w:rsidTr="0034322C">
        <w:tc>
          <w:tcPr>
            <w:tcW w:w="2689" w:type="dxa"/>
            <w:hideMark/>
          </w:tcPr>
          <w:p w14:paraId="5C1F9A7E" w14:textId="77777777" w:rsidR="00F1108B" w:rsidRPr="00191A69" w:rsidRDefault="00F1108B" w:rsidP="0034322C">
            <w:pPr>
              <w:rPr>
                <w:rFonts w:ascii="Arial" w:eastAsia="Calibri" w:hAnsi="Arial" w:cs="Arial"/>
                <w:sz w:val="22"/>
                <w:lang w:val="es-ES_tradnl"/>
              </w:rPr>
            </w:pPr>
            <w:r w:rsidRPr="00191A69">
              <w:rPr>
                <w:rFonts w:ascii="Arial" w:eastAsia="Calibri" w:hAnsi="Arial" w:cs="Arial"/>
                <w:b/>
                <w:sz w:val="22"/>
                <w:lang w:val="es-ES_tradnl"/>
              </w:rPr>
              <w:t>Temas:</w:t>
            </w:r>
            <w:r w:rsidRPr="00191A69">
              <w:rPr>
                <w:rFonts w:ascii="Arial" w:eastAsia="Calibri" w:hAnsi="Arial" w:cs="Arial"/>
                <w:sz w:val="22"/>
                <w:lang w:val="es-ES_tradnl"/>
              </w:rPr>
              <w:t xml:space="preserve">           </w:t>
            </w:r>
          </w:p>
          <w:p w14:paraId="4376ABAA" w14:textId="77777777" w:rsidR="00F1108B" w:rsidRPr="00191A69" w:rsidRDefault="00F1108B" w:rsidP="0034322C">
            <w:pPr>
              <w:rPr>
                <w:rFonts w:ascii="Arial" w:eastAsia="Calibri" w:hAnsi="Arial" w:cs="Arial"/>
                <w:sz w:val="22"/>
                <w:lang w:val="es-ES_tradnl"/>
              </w:rPr>
            </w:pPr>
            <w:r w:rsidRPr="00191A69">
              <w:rPr>
                <w:rFonts w:ascii="Arial" w:eastAsia="Calibri" w:hAnsi="Arial" w:cs="Arial"/>
                <w:sz w:val="22"/>
                <w:lang w:val="es-ES_tradnl"/>
              </w:rPr>
              <w:t xml:space="preserve">                           </w:t>
            </w:r>
          </w:p>
        </w:tc>
        <w:tc>
          <w:tcPr>
            <w:tcW w:w="6237" w:type="dxa"/>
            <w:hideMark/>
          </w:tcPr>
          <w:p w14:paraId="3AA47512" w14:textId="157E5172" w:rsidR="00F1108B" w:rsidRPr="00191A69" w:rsidRDefault="00483A91" w:rsidP="00950C81">
            <w:pPr>
              <w:spacing w:after="120"/>
              <w:jc w:val="both"/>
              <w:rPr>
                <w:rFonts w:ascii="Arial" w:eastAsia="Calibri" w:hAnsi="Arial" w:cs="Arial"/>
                <w:sz w:val="22"/>
                <w:highlight w:val="yellow"/>
                <w:lang w:val="es-ES_tradnl"/>
              </w:rPr>
            </w:pPr>
            <w:r w:rsidRPr="00191A69">
              <w:rPr>
                <w:rFonts w:ascii="Arial" w:eastAsia="Calibri" w:hAnsi="Arial" w:cs="Arial"/>
                <w:color w:val="000000" w:themeColor="text1"/>
                <w:sz w:val="22"/>
                <w:lang w:val="es-ES_tradnl"/>
              </w:rPr>
              <w:t xml:space="preserve">INHABILIDADES E INCOMPATIBILIDADES – Límite – Capacidad contractual </w:t>
            </w:r>
            <w:r w:rsidR="009D424B" w:rsidRPr="00191A69">
              <w:rPr>
                <w:rFonts w:ascii="Arial" w:eastAsia="Calibri" w:hAnsi="Arial" w:cs="Arial"/>
                <w:color w:val="000000" w:themeColor="text1"/>
                <w:sz w:val="22"/>
                <w:lang w:val="es-ES_tradnl"/>
              </w:rPr>
              <w:t>/</w:t>
            </w:r>
            <w:r w:rsidRPr="00191A69">
              <w:rPr>
                <w:rFonts w:ascii="Arial" w:eastAsia="Calibri" w:hAnsi="Arial" w:cs="Arial"/>
                <w:color w:val="000000" w:themeColor="text1"/>
                <w:sz w:val="22"/>
                <w:lang w:val="es-ES_tradnl"/>
              </w:rPr>
              <w:t xml:space="preserve"> DIFERENCIAS CONCEPTUALES – Inhabilidades – Incompatibilidades / CONTEXTO – Transparencia – Lucha – Corrupción / INTERPRETACIÓN – Inhabilidades – Incompatibilidades – Restrictiva / INTERPRETACIÓN – Inhabilidades – Incompatibilidades – Pro </w:t>
            </w:r>
            <w:proofErr w:type="spellStart"/>
            <w:r w:rsidRPr="00191A69">
              <w:rPr>
                <w:rFonts w:ascii="Arial" w:eastAsia="Calibri" w:hAnsi="Arial" w:cs="Arial"/>
                <w:color w:val="000000" w:themeColor="text1"/>
                <w:sz w:val="22"/>
                <w:lang w:val="es-ES_tradnl"/>
              </w:rPr>
              <w:t>libertate</w:t>
            </w:r>
            <w:proofErr w:type="spellEnd"/>
            <w:r w:rsidR="009D424B" w:rsidRPr="00191A69">
              <w:rPr>
                <w:rFonts w:ascii="Arial" w:eastAsia="Calibri" w:hAnsi="Arial" w:cs="Arial"/>
                <w:color w:val="000000" w:themeColor="text1"/>
                <w:sz w:val="22"/>
                <w:lang w:val="es-ES_tradnl"/>
              </w:rPr>
              <w:t>.</w:t>
            </w:r>
          </w:p>
        </w:tc>
      </w:tr>
      <w:tr w:rsidR="00F1108B" w:rsidRPr="00191A69" w14:paraId="7D0D2FDB" w14:textId="77777777" w:rsidTr="0034322C">
        <w:tc>
          <w:tcPr>
            <w:tcW w:w="2689" w:type="dxa"/>
          </w:tcPr>
          <w:p w14:paraId="7DC82264" w14:textId="77777777" w:rsidR="00F1108B" w:rsidRPr="00191A69" w:rsidRDefault="00F1108B" w:rsidP="0034322C">
            <w:pPr>
              <w:rPr>
                <w:rFonts w:ascii="Arial" w:eastAsia="Calibri" w:hAnsi="Arial" w:cs="Arial"/>
                <w:b/>
                <w:sz w:val="22"/>
                <w:lang w:val="es-ES_tradnl"/>
              </w:rPr>
            </w:pPr>
            <w:r w:rsidRPr="00191A69">
              <w:rPr>
                <w:rFonts w:ascii="Arial" w:eastAsia="Calibri" w:hAnsi="Arial" w:cs="Arial"/>
                <w:b/>
                <w:sz w:val="22"/>
                <w:lang w:val="es-ES_tradnl"/>
              </w:rPr>
              <w:t>Radicación:</w:t>
            </w:r>
            <w:r w:rsidRPr="00191A69">
              <w:rPr>
                <w:rFonts w:ascii="Arial" w:eastAsia="Calibri" w:hAnsi="Arial" w:cs="Arial"/>
                <w:sz w:val="22"/>
                <w:lang w:val="es-ES_tradnl"/>
              </w:rPr>
              <w:t xml:space="preserve">                              </w:t>
            </w:r>
          </w:p>
        </w:tc>
        <w:tc>
          <w:tcPr>
            <w:tcW w:w="6237" w:type="dxa"/>
          </w:tcPr>
          <w:p w14:paraId="01DC5749" w14:textId="64ACD8D9" w:rsidR="00F1108B" w:rsidRPr="00191A69" w:rsidRDefault="00F1108B" w:rsidP="007F785F">
            <w:pPr>
              <w:jc w:val="both"/>
              <w:rPr>
                <w:rFonts w:ascii="Arial" w:eastAsia="Calibri" w:hAnsi="Arial" w:cs="Arial"/>
                <w:sz w:val="22"/>
                <w:lang w:val="es-ES_tradnl"/>
              </w:rPr>
            </w:pPr>
            <w:r w:rsidRPr="00191A69">
              <w:rPr>
                <w:rFonts w:ascii="Arial" w:eastAsia="Calibri" w:hAnsi="Arial" w:cs="Arial"/>
                <w:sz w:val="22"/>
                <w:lang w:val="es-ES_tradnl"/>
              </w:rPr>
              <w:t xml:space="preserve">Respuesta a consulta # </w:t>
            </w:r>
            <w:r w:rsidR="00A94E9C" w:rsidRPr="00191A69">
              <w:rPr>
                <w:rFonts w:ascii="Arial" w:eastAsia="Calibri" w:hAnsi="Arial" w:cs="Arial"/>
                <w:sz w:val="22"/>
                <w:lang w:val="es-ES_tradnl"/>
              </w:rPr>
              <w:t>P20210630005741</w:t>
            </w:r>
          </w:p>
        </w:tc>
      </w:tr>
    </w:tbl>
    <w:p w14:paraId="7DF1E86E" w14:textId="77777777" w:rsidR="00F1108B" w:rsidRPr="00191A69" w:rsidRDefault="00F1108B" w:rsidP="00F1108B">
      <w:pPr>
        <w:jc w:val="both"/>
        <w:rPr>
          <w:rFonts w:ascii="Arial" w:eastAsia="Calibri" w:hAnsi="Arial" w:cs="Arial"/>
          <w:sz w:val="22"/>
          <w:lang w:val="es-ES_tradnl"/>
        </w:rPr>
      </w:pPr>
    </w:p>
    <w:p w14:paraId="45ADAB8A" w14:textId="7B1D79E7" w:rsidR="00F1108B" w:rsidRPr="00191A69" w:rsidRDefault="00CA0EEF" w:rsidP="00DF453C">
      <w:pPr>
        <w:spacing w:before="120"/>
        <w:rPr>
          <w:rFonts w:ascii="Arial" w:eastAsia="Calibri" w:hAnsi="Arial" w:cs="Arial"/>
          <w:sz w:val="22"/>
          <w:lang w:val="es-ES_tradnl"/>
        </w:rPr>
      </w:pPr>
      <w:r w:rsidRPr="00191A69">
        <w:rPr>
          <w:rFonts w:ascii="Arial" w:eastAsia="Calibri" w:hAnsi="Arial" w:cs="Arial"/>
          <w:sz w:val="22"/>
          <w:lang w:val="es-ES_tradnl"/>
        </w:rPr>
        <w:t>Estimad</w:t>
      </w:r>
      <w:r w:rsidR="00881451" w:rsidRPr="00191A69">
        <w:rPr>
          <w:rFonts w:ascii="Arial" w:eastAsia="Calibri" w:hAnsi="Arial" w:cs="Arial"/>
          <w:sz w:val="22"/>
          <w:lang w:val="es-ES_tradnl"/>
        </w:rPr>
        <w:t>o</w:t>
      </w:r>
      <w:r w:rsidR="00F1108B" w:rsidRPr="00191A69">
        <w:rPr>
          <w:rFonts w:ascii="Arial" w:eastAsia="Calibri" w:hAnsi="Arial" w:cs="Arial"/>
          <w:sz w:val="22"/>
          <w:lang w:val="es-ES_tradnl"/>
        </w:rPr>
        <w:t xml:space="preserve"> señor </w:t>
      </w:r>
      <w:r w:rsidR="006D3752" w:rsidRPr="00191A69">
        <w:rPr>
          <w:rFonts w:ascii="Arial" w:eastAsia="Calibri" w:hAnsi="Arial" w:cs="Arial"/>
          <w:sz w:val="22"/>
          <w:lang w:val="es-ES_tradnl"/>
        </w:rPr>
        <w:t>Bernal</w:t>
      </w:r>
      <w:r w:rsidR="00B30910" w:rsidRPr="00191A69">
        <w:rPr>
          <w:rFonts w:ascii="Arial" w:eastAsia="Calibri" w:hAnsi="Arial" w:cs="Arial"/>
          <w:sz w:val="22"/>
          <w:lang w:val="es-ES_tradnl"/>
        </w:rPr>
        <w:t>:</w:t>
      </w:r>
    </w:p>
    <w:p w14:paraId="10829D8B" w14:textId="77777777" w:rsidR="00DF453C" w:rsidRPr="00191A69" w:rsidRDefault="00DF453C" w:rsidP="00DF453C">
      <w:pPr>
        <w:rPr>
          <w:rFonts w:ascii="Arial" w:eastAsia="Calibri" w:hAnsi="Arial" w:cs="Arial"/>
          <w:sz w:val="22"/>
          <w:lang w:val="es-ES_tradnl"/>
        </w:rPr>
      </w:pPr>
    </w:p>
    <w:p w14:paraId="329AA852" w14:textId="635CD72B" w:rsidR="00F1108B" w:rsidRPr="00191A69" w:rsidRDefault="00F1108B" w:rsidP="00D557A4">
      <w:pPr>
        <w:spacing w:before="120" w:line="276" w:lineRule="auto"/>
        <w:ind w:right="51"/>
        <w:jc w:val="both"/>
        <w:rPr>
          <w:rFonts w:ascii="Arial" w:hAnsi="Arial" w:cs="Arial"/>
          <w:sz w:val="22"/>
          <w:lang w:val="es-ES_tradnl"/>
        </w:rPr>
      </w:pPr>
      <w:r w:rsidRPr="00191A69">
        <w:rPr>
          <w:rFonts w:ascii="Arial" w:hAnsi="Arial" w:cs="Arial"/>
          <w:sz w:val="22"/>
          <w:lang w:val="es-ES_tradnl"/>
        </w:rPr>
        <w:t xml:space="preserve">La Agencia Nacional de Contratación Pública </w:t>
      </w:r>
      <w:r w:rsidR="00B30910" w:rsidRPr="00191A69">
        <w:rPr>
          <w:rFonts w:ascii="Arial" w:hAnsi="Arial" w:cs="Arial"/>
          <w:sz w:val="22"/>
          <w:lang w:val="es-ES_tradnl"/>
        </w:rPr>
        <w:t xml:space="preserve">– </w:t>
      </w:r>
      <w:r w:rsidRPr="00191A69">
        <w:rPr>
          <w:rFonts w:ascii="Arial" w:hAnsi="Arial" w:cs="Arial"/>
          <w:sz w:val="22"/>
          <w:lang w:val="es-ES_tradnl"/>
        </w:rPr>
        <w:t xml:space="preserve">Colombia Compra Eficiente responde su consulta del </w:t>
      </w:r>
      <w:r w:rsidR="00252B44" w:rsidRPr="00191A69">
        <w:rPr>
          <w:rFonts w:ascii="Arial" w:hAnsi="Arial" w:cs="Arial"/>
          <w:sz w:val="22"/>
          <w:lang w:val="es-ES_tradnl"/>
        </w:rPr>
        <w:t xml:space="preserve">30 de junio de 2021, en la cual se reitera </w:t>
      </w:r>
      <w:r w:rsidR="00752EFA" w:rsidRPr="00191A69">
        <w:rPr>
          <w:rFonts w:ascii="Arial" w:hAnsi="Arial" w:cs="Arial"/>
          <w:sz w:val="22"/>
          <w:lang w:val="es-ES_tradnl"/>
        </w:rPr>
        <w:t xml:space="preserve">su solicitud con radicado No. P20210528004708 del </w:t>
      </w:r>
      <w:r w:rsidR="00211BFE" w:rsidRPr="00191A69">
        <w:rPr>
          <w:rFonts w:ascii="Arial" w:hAnsi="Arial" w:cs="Arial"/>
          <w:sz w:val="22"/>
          <w:lang w:val="es-ES_tradnl"/>
        </w:rPr>
        <w:t>28</w:t>
      </w:r>
      <w:r w:rsidR="00EC0E7E" w:rsidRPr="00191A69">
        <w:rPr>
          <w:rFonts w:ascii="Arial" w:hAnsi="Arial" w:cs="Arial"/>
          <w:sz w:val="22"/>
          <w:lang w:val="es-ES_tradnl"/>
        </w:rPr>
        <w:t xml:space="preserve"> de </w:t>
      </w:r>
      <w:r w:rsidR="00211BFE" w:rsidRPr="00191A69">
        <w:rPr>
          <w:rFonts w:ascii="Arial" w:hAnsi="Arial" w:cs="Arial"/>
          <w:sz w:val="22"/>
          <w:lang w:val="es-ES_tradnl"/>
        </w:rPr>
        <w:t>mayo</w:t>
      </w:r>
      <w:r w:rsidR="00E669B0" w:rsidRPr="00191A69">
        <w:rPr>
          <w:rFonts w:ascii="Arial" w:hAnsi="Arial" w:cs="Arial"/>
          <w:sz w:val="22"/>
          <w:lang w:val="es-ES_tradnl"/>
        </w:rPr>
        <w:t xml:space="preserve"> </w:t>
      </w:r>
      <w:r w:rsidRPr="00191A69">
        <w:rPr>
          <w:rFonts w:ascii="Arial" w:hAnsi="Arial" w:cs="Arial"/>
          <w:sz w:val="22"/>
          <w:lang w:val="es-ES_tradnl"/>
        </w:rPr>
        <w:t>de 202</w:t>
      </w:r>
      <w:r w:rsidR="00E57660" w:rsidRPr="00191A69">
        <w:rPr>
          <w:rFonts w:ascii="Arial" w:hAnsi="Arial" w:cs="Arial"/>
          <w:sz w:val="22"/>
          <w:lang w:val="es-ES_tradnl"/>
        </w:rPr>
        <w:t>1</w:t>
      </w:r>
      <w:r w:rsidRPr="00191A69">
        <w:rPr>
          <w:rFonts w:ascii="Arial" w:hAnsi="Arial" w:cs="Arial"/>
          <w:sz w:val="22"/>
          <w:lang w:val="es-ES_tradnl"/>
        </w:rPr>
        <w:t>, en ejercicio de la competencia otorgada por el numeral 8 del artículo 11 y el numeral 5 del artículo 3 del Decreto Ley 4170 de 2011.</w:t>
      </w:r>
      <w:r w:rsidR="00752EFA" w:rsidRPr="00191A69">
        <w:rPr>
          <w:rFonts w:ascii="Arial" w:hAnsi="Arial" w:cs="Arial"/>
          <w:sz w:val="22"/>
          <w:lang w:val="es-ES_tradnl"/>
        </w:rPr>
        <w:t xml:space="preserve"> </w:t>
      </w:r>
      <w:r w:rsidR="00D113C2" w:rsidRPr="00191A69">
        <w:rPr>
          <w:rFonts w:ascii="Arial" w:hAnsi="Arial" w:cs="Arial"/>
          <w:sz w:val="22"/>
          <w:lang w:val="es-ES_tradnl"/>
        </w:rPr>
        <w:t>Si bien su</w:t>
      </w:r>
      <w:r w:rsidR="00211BFE" w:rsidRPr="00191A69">
        <w:rPr>
          <w:rFonts w:ascii="Arial" w:hAnsi="Arial" w:cs="Arial"/>
          <w:sz w:val="22"/>
          <w:lang w:val="es-ES_tradnl"/>
        </w:rPr>
        <w:t xml:space="preserve"> petición</w:t>
      </w:r>
      <w:r w:rsidR="00721A3E" w:rsidRPr="00191A69">
        <w:rPr>
          <w:rFonts w:ascii="Arial" w:hAnsi="Arial" w:cs="Arial"/>
          <w:sz w:val="22"/>
          <w:lang w:val="es-ES_tradnl"/>
        </w:rPr>
        <w:t xml:space="preserve"> </w:t>
      </w:r>
      <w:r w:rsidR="00752EFA" w:rsidRPr="00191A69">
        <w:rPr>
          <w:rFonts w:ascii="Arial" w:hAnsi="Arial" w:cs="Arial"/>
          <w:sz w:val="22"/>
          <w:lang w:val="es-ES_tradnl"/>
        </w:rPr>
        <w:t>del 28 de mayo de 2021</w:t>
      </w:r>
      <w:r w:rsidR="00211BFE" w:rsidRPr="00191A69">
        <w:rPr>
          <w:rFonts w:ascii="Arial" w:hAnsi="Arial" w:cs="Arial"/>
          <w:sz w:val="22"/>
          <w:lang w:val="es-ES_tradnl"/>
        </w:rPr>
        <w:t xml:space="preserve"> ya había sido respondida</w:t>
      </w:r>
      <w:r w:rsidR="00D113C2" w:rsidRPr="00191A69">
        <w:rPr>
          <w:rFonts w:ascii="Arial" w:hAnsi="Arial" w:cs="Arial"/>
          <w:sz w:val="22"/>
          <w:lang w:val="es-ES_tradnl"/>
        </w:rPr>
        <w:t xml:space="preserve"> por la Agencia,</w:t>
      </w:r>
      <w:r w:rsidR="00211BFE" w:rsidRPr="00191A69">
        <w:rPr>
          <w:rFonts w:ascii="Arial" w:hAnsi="Arial" w:cs="Arial"/>
          <w:sz w:val="22"/>
          <w:lang w:val="es-ES_tradnl"/>
        </w:rPr>
        <w:t xml:space="preserve"> mediante comunicación </w:t>
      </w:r>
      <w:r w:rsidR="00D113C2" w:rsidRPr="00191A69">
        <w:rPr>
          <w:rFonts w:ascii="Arial" w:hAnsi="Arial" w:cs="Arial"/>
          <w:sz w:val="22"/>
          <w:lang w:val="es-ES_tradnl"/>
        </w:rPr>
        <w:t xml:space="preserve">con radicado </w:t>
      </w:r>
      <w:r w:rsidR="00645B4A" w:rsidRPr="00191A69">
        <w:rPr>
          <w:rFonts w:ascii="Arial" w:hAnsi="Arial" w:cs="Arial"/>
          <w:sz w:val="22"/>
          <w:lang w:val="es-ES_tradnl"/>
        </w:rPr>
        <w:t>No. RS20210604005304</w:t>
      </w:r>
      <w:r w:rsidR="00C85A92" w:rsidRPr="00191A69">
        <w:rPr>
          <w:rFonts w:ascii="Arial" w:hAnsi="Arial" w:cs="Arial"/>
          <w:sz w:val="22"/>
          <w:lang w:val="es-ES_tradnl"/>
        </w:rPr>
        <w:t xml:space="preserve"> del 4 de junio de 2021</w:t>
      </w:r>
      <w:r w:rsidR="00645B4A" w:rsidRPr="00191A69">
        <w:rPr>
          <w:rFonts w:ascii="Arial" w:hAnsi="Arial" w:cs="Arial"/>
          <w:sz w:val="22"/>
          <w:lang w:val="es-ES_tradnl"/>
        </w:rPr>
        <w:t xml:space="preserve">, fue remitida de nuevo por parte de la </w:t>
      </w:r>
      <w:r w:rsidR="003D1CC6" w:rsidRPr="00191A69">
        <w:rPr>
          <w:rFonts w:ascii="Arial" w:hAnsi="Arial" w:cs="Arial"/>
          <w:sz w:val="22"/>
          <w:lang w:val="es-ES_tradnl"/>
        </w:rPr>
        <w:t xml:space="preserve">Procuraduría Auxiliar para Asuntos Constitucionales, mediante </w:t>
      </w:r>
      <w:r w:rsidR="009622D0" w:rsidRPr="00191A69">
        <w:rPr>
          <w:rFonts w:ascii="Arial" w:hAnsi="Arial" w:cs="Arial"/>
          <w:sz w:val="22"/>
          <w:lang w:val="es-ES_tradnl"/>
        </w:rPr>
        <w:t>correo electrónico del 30 de junio de 2021, en cumplimiento del Auto</w:t>
      </w:r>
      <w:r w:rsidR="00014B03" w:rsidRPr="00191A69">
        <w:rPr>
          <w:rFonts w:ascii="Arial" w:hAnsi="Arial" w:cs="Arial"/>
          <w:sz w:val="22"/>
          <w:lang w:val="es-ES_tradnl"/>
        </w:rPr>
        <w:t xml:space="preserve"> No. 117 del 25 de junio de 2021, expedido por dicho órgano de control. En tal sentido, sin perjuicio de las consideraciones </w:t>
      </w:r>
      <w:r w:rsidR="00C85A92" w:rsidRPr="00191A69">
        <w:rPr>
          <w:rFonts w:ascii="Arial" w:hAnsi="Arial" w:cs="Arial"/>
          <w:sz w:val="22"/>
          <w:lang w:val="es-ES_tradnl"/>
        </w:rPr>
        <w:t>contenidas</w:t>
      </w:r>
      <w:r w:rsidR="00014B03" w:rsidRPr="00191A69">
        <w:rPr>
          <w:rFonts w:ascii="Arial" w:hAnsi="Arial" w:cs="Arial"/>
          <w:sz w:val="22"/>
          <w:lang w:val="es-ES_tradnl"/>
        </w:rPr>
        <w:t xml:space="preserve"> en la respuesta</w:t>
      </w:r>
      <w:r w:rsidR="00C85A92" w:rsidRPr="00191A69">
        <w:rPr>
          <w:rFonts w:ascii="Arial" w:hAnsi="Arial" w:cs="Arial"/>
          <w:sz w:val="22"/>
          <w:lang w:val="es-ES_tradnl"/>
        </w:rPr>
        <w:t xml:space="preserve"> del 4 de junio de 2021, a continuación se </w:t>
      </w:r>
      <w:r w:rsidR="009F7555" w:rsidRPr="00191A69">
        <w:rPr>
          <w:rFonts w:ascii="Arial" w:hAnsi="Arial" w:cs="Arial"/>
          <w:sz w:val="22"/>
          <w:lang w:val="es-ES_tradnl"/>
        </w:rPr>
        <w:t>brindará</w:t>
      </w:r>
      <w:r w:rsidR="00A32435" w:rsidRPr="00191A69">
        <w:rPr>
          <w:rFonts w:ascii="Arial" w:hAnsi="Arial" w:cs="Arial"/>
          <w:sz w:val="22"/>
          <w:lang w:val="es-ES_tradnl"/>
        </w:rPr>
        <w:t xml:space="preserve"> respuesta material o de fondo</w:t>
      </w:r>
      <w:r w:rsidR="009F7555" w:rsidRPr="00191A69">
        <w:rPr>
          <w:rFonts w:ascii="Arial" w:hAnsi="Arial" w:cs="Arial"/>
          <w:sz w:val="22"/>
          <w:lang w:val="es-ES_tradnl"/>
        </w:rPr>
        <w:t xml:space="preserve"> al tema que subyace</w:t>
      </w:r>
      <w:r w:rsidR="00A32435" w:rsidRPr="00191A69">
        <w:rPr>
          <w:rFonts w:ascii="Arial" w:hAnsi="Arial" w:cs="Arial"/>
          <w:sz w:val="22"/>
          <w:lang w:val="es-ES_tradnl"/>
        </w:rPr>
        <w:t xml:space="preserve"> a su petición.</w:t>
      </w:r>
      <w:r w:rsidR="00014B03" w:rsidRPr="00191A69">
        <w:rPr>
          <w:rFonts w:ascii="Arial" w:hAnsi="Arial" w:cs="Arial"/>
          <w:sz w:val="22"/>
          <w:lang w:val="es-ES_tradnl"/>
        </w:rPr>
        <w:t xml:space="preserve"> </w:t>
      </w:r>
    </w:p>
    <w:p w14:paraId="72382DCC" w14:textId="77777777" w:rsidR="00F1108B" w:rsidRPr="00191A69" w:rsidRDefault="00F1108B" w:rsidP="00E669B0">
      <w:pPr>
        <w:pStyle w:val="Prrafodelista"/>
        <w:tabs>
          <w:tab w:val="left" w:pos="284"/>
        </w:tabs>
        <w:spacing w:line="276" w:lineRule="auto"/>
        <w:ind w:left="0"/>
        <w:jc w:val="both"/>
        <w:rPr>
          <w:rFonts w:ascii="Arial" w:hAnsi="Arial" w:cs="Arial"/>
          <w:sz w:val="22"/>
          <w:lang w:val="es-ES_tradnl"/>
        </w:rPr>
      </w:pPr>
    </w:p>
    <w:p w14:paraId="2C3DAA31" w14:textId="1F53E0F2" w:rsidR="00F1108B" w:rsidRPr="00191A69" w:rsidRDefault="00F1108B" w:rsidP="00D557A4">
      <w:pPr>
        <w:pStyle w:val="Prrafodelista"/>
        <w:tabs>
          <w:tab w:val="left" w:pos="284"/>
        </w:tabs>
        <w:spacing w:line="276" w:lineRule="auto"/>
        <w:ind w:left="0"/>
        <w:jc w:val="both"/>
        <w:rPr>
          <w:rFonts w:ascii="Arial" w:eastAsia="Calibri" w:hAnsi="Arial" w:cs="Arial"/>
          <w:b/>
          <w:sz w:val="22"/>
          <w:lang w:val="es-ES_tradnl"/>
        </w:rPr>
      </w:pPr>
      <w:r w:rsidRPr="00191A69">
        <w:rPr>
          <w:rFonts w:ascii="Arial" w:eastAsia="Calibri" w:hAnsi="Arial" w:cs="Arial"/>
          <w:b/>
          <w:sz w:val="22"/>
          <w:lang w:val="es-ES_tradnl"/>
        </w:rPr>
        <w:t>1.</w:t>
      </w:r>
      <w:r w:rsidRPr="00191A69">
        <w:rPr>
          <w:rFonts w:ascii="Arial" w:eastAsia="Calibri" w:hAnsi="Arial" w:cs="Arial"/>
          <w:sz w:val="22"/>
          <w:lang w:val="es-ES_tradnl"/>
        </w:rPr>
        <w:t xml:space="preserve"> </w:t>
      </w:r>
      <w:r w:rsidRPr="00191A69">
        <w:rPr>
          <w:rFonts w:ascii="Arial" w:eastAsia="Calibri" w:hAnsi="Arial" w:cs="Arial"/>
          <w:b/>
          <w:sz w:val="22"/>
          <w:lang w:val="es-ES_tradnl"/>
        </w:rPr>
        <w:t xml:space="preserve">Problema planteado </w:t>
      </w:r>
    </w:p>
    <w:p w14:paraId="1052CB86" w14:textId="77777777" w:rsidR="00DF453C" w:rsidRPr="00191A69" w:rsidRDefault="00DF453C" w:rsidP="00E669B0">
      <w:pPr>
        <w:pStyle w:val="Prrafodelista"/>
        <w:tabs>
          <w:tab w:val="left" w:pos="284"/>
        </w:tabs>
        <w:spacing w:line="276" w:lineRule="auto"/>
        <w:ind w:left="0"/>
        <w:jc w:val="both"/>
        <w:rPr>
          <w:rFonts w:ascii="Arial" w:eastAsia="Calibri" w:hAnsi="Arial" w:cs="Arial"/>
          <w:b/>
          <w:sz w:val="22"/>
          <w:lang w:val="es-ES_tradnl"/>
        </w:rPr>
      </w:pPr>
    </w:p>
    <w:p w14:paraId="0924F2F3" w14:textId="23FEE4FD" w:rsidR="00A854AC" w:rsidRPr="00191A69" w:rsidRDefault="00A854AC" w:rsidP="00A854AC">
      <w:pPr>
        <w:spacing w:line="276" w:lineRule="auto"/>
        <w:jc w:val="both"/>
        <w:rPr>
          <w:rFonts w:ascii="Arial" w:hAnsi="Arial" w:cs="Arial"/>
          <w:color w:val="000000" w:themeColor="text1"/>
          <w:sz w:val="22"/>
          <w:lang w:val="es-ES_tradnl"/>
        </w:rPr>
      </w:pPr>
      <w:r w:rsidRPr="00191A69">
        <w:rPr>
          <w:rFonts w:ascii="Arial" w:hAnsi="Arial" w:cs="Arial"/>
          <w:color w:val="000000" w:themeColor="text1"/>
          <w:sz w:val="22"/>
          <w:lang w:val="es-ES_tradnl"/>
        </w:rPr>
        <w:t xml:space="preserve">Usted </w:t>
      </w:r>
      <w:r w:rsidR="00F12666" w:rsidRPr="00191A69">
        <w:rPr>
          <w:rFonts w:ascii="Arial" w:hAnsi="Arial" w:cs="Arial"/>
          <w:color w:val="000000" w:themeColor="text1"/>
          <w:sz w:val="22"/>
          <w:lang w:val="es-ES_tradnl"/>
        </w:rPr>
        <w:t>realiza</w:t>
      </w:r>
      <w:r w:rsidRPr="00191A69">
        <w:rPr>
          <w:rFonts w:ascii="Arial" w:hAnsi="Arial" w:cs="Arial"/>
          <w:color w:val="000000" w:themeColor="text1"/>
          <w:sz w:val="22"/>
          <w:lang w:val="es-ES_tradnl"/>
        </w:rPr>
        <w:t xml:space="preserve"> la siguiente consulta: </w:t>
      </w:r>
    </w:p>
    <w:p w14:paraId="04A37EE1" w14:textId="0F472BBF" w:rsidR="009A1C5B" w:rsidRPr="00191A69" w:rsidRDefault="009A1C5B" w:rsidP="00A854AC">
      <w:pPr>
        <w:spacing w:line="276" w:lineRule="auto"/>
        <w:jc w:val="both"/>
        <w:rPr>
          <w:rFonts w:ascii="Arial" w:hAnsi="Arial" w:cs="Arial"/>
          <w:color w:val="000000" w:themeColor="text1"/>
          <w:sz w:val="22"/>
          <w:lang w:val="es-ES_tradnl"/>
        </w:rPr>
      </w:pPr>
    </w:p>
    <w:p w14:paraId="296DB50C" w14:textId="154F7F34" w:rsidR="009A1C5B" w:rsidRPr="00191A69" w:rsidRDefault="006A33FE"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w:t>
      </w:r>
      <w:r w:rsidR="009A1C5B" w:rsidRPr="00191A69">
        <w:rPr>
          <w:rFonts w:ascii="Arial" w:hAnsi="Arial" w:cs="Arial"/>
          <w:color w:val="000000" w:themeColor="text1"/>
          <w:sz w:val="21"/>
          <w:szCs w:val="21"/>
          <w:lang w:val="es-ES_tradnl"/>
        </w:rPr>
        <w:t>1.</w:t>
      </w:r>
      <w:r w:rsidR="003F787A" w:rsidRPr="00191A69">
        <w:rPr>
          <w:rFonts w:ascii="Arial" w:hAnsi="Arial" w:cs="Arial"/>
          <w:color w:val="000000" w:themeColor="text1"/>
          <w:sz w:val="21"/>
          <w:szCs w:val="21"/>
          <w:lang w:val="es-ES_tradnl"/>
        </w:rPr>
        <w:t xml:space="preserve"> </w:t>
      </w:r>
      <w:r w:rsidR="009A1C5B" w:rsidRPr="00191A69">
        <w:rPr>
          <w:rFonts w:ascii="Arial" w:hAnsi="Arial" w:cs="Arial"/>
          <w:color w:val="000000" w:themeColor="text1"/>
          <w:sz w:val="21"/>
          <w:szCs w:val="21"/>
          <w:lang w:val="es-ES_tradnl"/>
        </w:rPr>
        <w:t xml:space="preserve">¿En la Ley 80 de 1993 existe </w:t>
      </w:r>
      <w:r w:rsidR="00D04D11" w:rsidRPr="00191A69">
        <w:rPr>
          <w:rFonts w:ascii="Arial" w:hAnsi="Arial" w:cs="Arial"/>
          <w:color w:val="000000" w:themeColor="text1"/>
          <w:sz w:val="21"/>
          <w:szCs w:val="21"/>
          <w:lang w:val="es-ES_tradnl"/>
        </w:rPr>
        <w:t>prohibición</w:t>
      </w:r>
      <w:r w:rsidR="009A1C5B" w:rsidRPr="00191A69">
        <w:rPr>
          <w:rFonts w:ascii="Arial" w:hAnsi="Arial" w:cs="Arial"/>
          <w:color w:val="000000" w:themeColor="text1"/>
          <w:sz w:val="21"/>
          <w:szCs w:val="21"/>
          <w:lang w:val="es-ES_tradnl"/>
        </w:rPr>
        <w:t xml:space="preserve"> para que personas en 1° grado de consanguinidad emitan </w:t>
      </w:r>
      <w:r w:rsidRPr="00191A69">
        <w:rPr>
          <w:rFonts w:ascii="Arial" w:hAnsi="Arial" w:cs="Arial"/>
          <w:color w:val="000000" w:themeColor="text1"/>
          <w:sz w:val="21"/>
          <w:szCs w:val="21"/>
          <w:lang w:val="es-ES_tradnl"/>
        </w:rPr>
        <w:t>cotizaciones</w:t>
      </w:r>
      <w:r w:rsidR="009A1C5B" w:rsidRPr="00191A69">
        <w:rPr>
          <w:rFonts w:ascii="Arial" w:hAnsi="Arial" w:cs="Arial"/>
          <w:color w:val="000000" w:themeColor="text1"/>
          <w:sz w:val="21"/>
          <w:szCs w:val="21"/>
          <w:lang w:val="es-ES_tradnl"/>
        </w:rPr>
        <w:t xml:space="preserve"> en un mismo proceso de </w:t>
      </w:r>
      <w:r w:rsidR="00D04D11" w:rsidRPr="00191A69">
        <w:rPr>
          <w:rFonts w:ascii="Arial" w:hAnsi="Arial" w:cs="Arial"/>
          <w:color w:val="000000" w:themeColor="text1"/>
          <w:sz w:val="21"/>
          <w:szCs w:val="21"/>
          <w:lang w:val="es-ES_tradnl"/>
        </w:rPr>
        <w:t>contratación</w:t>
      </w:r>
      <w:r w:rsidR="009A1C5B" w:rsidRPr="00191A69">
        <w:rPr>
          <w:rFonts w:ascii="Arial" w:hAnsi="Arial" w:cs="Arial"/>
          <w:color w:val="000000" w:themeColor="text1"/>
          <w:sz w:val="21"/>
          <w:szCs w:val="21"/>
          <w:lang w:val="es-ES_tradnl"/>
        </w:rPr>
        <w:t xml:space="preserve"> o convocatoria? </w:t>
      </w:r>
    </w:p>
    <w:p w14:paraId="1FB6BB4D" w14:textId="77777777" w:rsidR="006A33FE" w:rsidRPr="00191A69" w:rsidRDefault="006A33FE" w:rsidP="00D36413">
      <w:pPr>
        <w:ind w:left="709" w:right="709"/>
        <w:jc w:val="both"/>
        <w:rPr>
          <w:rFonts w:ascii="Arial" w:hAnsi="Arial" w:cs="Arial"/>
          <w:color w:val="000000" w:themeColor="text1"/>
          <w:sz w:val="21"/>
          <w:szCs w:val="21"/>
          <w:lang w:val="es-ES_tradnl"/>
        </w:rPr>
      </w:pPr>
    </w:p>
    <w:p w14:paraId="6B276CDC" w14:textId="46FC5C22" w:rsidR="006A33FE" w:rsidRPr="00191A69" w:rsidRDefault="006A33FE"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w:t>
      </w:r>
      <w:r w:rsidR="009A1C5B" w:rsidRPr="00191A69">
        <w:rPr>
          <w:rFonts w:ascii="Arial" w:hAnsi="Arial" w:cs="Arial"/>
          <w:color w:val="000000" w:themeColor="text1"/>
          <w:sz w:val="21"/>
          <w:szCs w:val="21"/>
          <w:lang w:val="es-ES_tradnl"/>
        </w:rPr>
        <w:t>2.</w:t>
      </w:r>
      <w:r w:rsidRPr="00191A69">
        <w:rPr>
          <w:rFonts w:ascii="Arial" w:hAnsi="Arial" w:cs="Arial"/>
          <w:color w:val="000000" w:themeColor="text1"/>
          <w:sz w:val="21"/>
          <w:szCs w:val="21"/>
          <w:lang w:val="es-ES_tradnl"/>
        </w:rPr>
        <w:t xml:space="preserve"> </w:t>
      </w:r>
      <w:r w:rsidR="009A1C5B" w:rsidRPr="00191A69">
        <w:rPr>
          <w:rFonts w:ascii="Arial" w:hAnsi="Arial" w:cs="Arial"/>
          <w:color w:val="000000" w:themeColor="text1"/>
          <w:sz w:val="21"/>
          <w:szCs w:val="21"/>
          <w:lang w:val="es-ES_tradnl"/>
        </w:rPr>
        <w:t xml:space="preserve">¿En la Ley 1150 de 2007 existe </w:t>
      </w:r>
      <w:r w:rsidR="00D04D11" w:rsidRPr="00191A69">
        <w:rPr>
          <w:rFonts w:ascii="Arial" w:hAnsi="Arial" w:cs="Arial"/>
          <w:color w:val="000000" w:themeColor="text1"/>
          <w:sz w:val="21"/>
          <w:szCs w:val="21"/>
          <w:lang w:val="es-ES_tradnl"/>
        </w:rPr>
        <w:t>prohibición</w:t>
      </w:r>
      <w:r w:rsidR="009A1C5B" w:rsidRPr="00191A69">
        <w:rPr>
          <w:rFonts w:ascii="Arial" w:hAnsi="Arial" w:cs="Arial"/>
          <w:color w:val="000000" w:themeColor="text1"/>
          <w:sz w:val="21"/>
          <w:szCs w:val="21"/>
          <w:lang w:val="es-ES_tradnl"/>
        </w:rPr>
        <w:t xml:space="preserve"> para que personas en 1° grado de consanguinidad emitan </w:t>
      </w:r>
      <w:r w:rsidRPr="00191A69">
        <w:rPr>
          <w:rFonts w:ascii="Arial" w:hAnsi="Arial" w:cs="Arial"/>
          <w:color w:val="000000" w:themeColor="text1"/>
          <w:sz w:val="21"/>
          <w:szCs w:val="21"/>
          <w:lang w:val="es-ES_tradnl"/>
        </w:rPr>
        <w:t xml:space="preserve">cotizaciones </w:t>
      </w:r>
      <w:r w:rsidR="009A1C5B" w:rsidRPr="00191A69">
        <w:rPr>
          <w:rFonts w:ascii="Arial" w:hAnsi="Arial" w:cs="Arial"/>
          <w:color w:val="000000" w:themeColor="text1"/>
          <w:sz w:val="21"/>
          <w:szCs w:val="21"/>
          <w:lang w:val="es-ES_tradnl"/>
        </w:rPr>
        <w:t xml:space="preserve">en un mismo proceso de </w:t>
      </w:r>
      <w:r w:rsidR="00D04D11" w:rsidRPr="00191A69">
        <w:rPr>
          <w:rFonts w:ascii="Arial" w:hAnsi="Arial" w:cs="Arial"/>
          <w:color w:val="000000" w:themeColor="text1"/>
          <w:sz w:val="21"/>
          <w:szCs w:val="21"/>
          <w:lang w:val="es-ES_tradnl"/>
        </w:rPr>
        <w:t>contratación</w:t>
      </w:r>
      <w:r w:rsidR="009A1C5B" w:rsidRPr="00191A69">
        <w:rPr>
          <w:rFonts w:ascii="Arial" w:hAnsi="Arial" w:cs="Arial"/>
          <w:color w:val="000000" w:themeColor="text1"/>
          <w:sz w:val="21"/>
          <w:szCs w:val="21"/>
          <w:lang w:val="es-ES_tradnl"/>
        </w:rPr>
        <w:t xml:space="preserve"> o convocatoria?</w:t>
      </w:r>
    </w:p>
    <w:p w14:paraId="70C75E21" w14:textId="21BD02F6" w:rsidR="009A1C5B" w:rsidRPr="00191A69" w:rsidRDefault="009A1C5B"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 xml:space="preserve"> </w:t>
      </w:r>
    </w:p>
    <w:p w14:paraId="2B7310D9" w14:textId="03081E94" w:rsidR="009A1C5B" w:rsidRPr="00191A69" w:rsidRDefault="003F787A"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w:t>
      </w:r>
      <w:r w:rsidR="009A1C5B" w:rsidRPr="00191A69">
        <w:rPr>
          <w:rFonts w:ascii="Arial" w:hAnsi="Arial" w:cs="Arial"/>
          <w:color w:val="000000" w:themeColor="text1"/>
          <w:sz w:val="21"/>
          <w:szCs w:val="21"/>
          <w:lang w:val="es-ES_tradnl"/>
        </w:rPr>
        <w:t>3.</w:t>
      </w:r>
      <w:r w:rsidRPr="00191A69">
        <w:rPr>
          <w:rFonts w:ascii="Arial" w:hAnsi="Arial" w:cs="Arial"/>
          <w:color w:val="000000" w:themeColor="text1"/>
          <w:sz w:val="21"/>
          <w:szCs w:val="21"/>
          <w:lang w:val="es-ES_tradnl"/>
        </w:rPr>
        <w:t xml:space="preserve"> </w:t>
      </w:r>
      <w:r w:rsidR="009A1C5B" w:rsidRPr="00191A69">
        <w:rPr>
          <w:rFonts w:ascii="Arial" w:hAnsi="Arial" w:cs="Arial"/>
          <w:color w:val="000000" w:themeColor="text1"/>
          <w:sz w:val="21"/>
          <w:szCs w:val="21"/>
          <w:lang w:val="es-ES_tradnl"/>
        </w:rPr>
        <w:t xml:space="preserve">¿En la Ley 1474 de 2011 existe </w:t>
      </w:r>
      <w:r w:rsidR="00D04D11" w:rsidRPr="00191A69">
        <w:rPr>
          <w:rFonts w:ascii="Arial" w:hAnsi="Arial" w:cs="Arial"/>
          <w:color w:val="000000" w:themeColor="text1"/>
          <w:sz w:val="21"/>
          <w:szCs w:val="21"/>
          <w:lang w:val="es-ES_tradnl"/>
        </w:rPr>
        <w:t>prohibición</w:t>
      </w:r>
      <w:r w:rsidR="009A1C5B" w:rsidRPr="00191A69">
        <w:rPr>
          <w:rFonts w:ascii="Arial" w:hAnsi="Arial" w:cs="Arial"/>
          <w:color w:val="000000" w:themeColor="text1"/>
          <w:sz w:val="21"/>
          <w:szCs w:val="21"/>
          <w:lang w:val="es-ES_tradnl"/>
        </w:rPr>
        <w:t xml:space="preserve"> para que personas en 1° grado de consanguinidad emitan </w:t>
      </w:r>
      <w:r w:rsidR="006A33FE" w:rsidRPr="00191A69">
        <w:rPr>
          <w:rFonts w:ascii="Arial" w:hAnsi="Arial" w:cs="Arial"/>
          <w:color w:val="000000" w:themeColor="text1"/>
          <w:sz w:val="21"/>
          <w:szCs w:val="21"/>
          <w:lang w:val="es-ES_tradnl"/>
        </w:rPr>
        <w:t>cotizaciones</w:t>
      </w:r>
      <w:r w:rsidR="009A1C5B" w:rsidRPr="00191A69">
        <w:rPr>
          <w:rFonts w:ascii="Arial" w:hAnsi="Arial" w:cs="Arial"/>
          <w:color w:val="000000" w:themeColor="text1"/>
          <w:sz w:val="21"/>
          <w:szCs w:val="21"/>
          <w:lang w:val="es-ES_tradnl"/>
        </w:rPr>
        <w:t xml:space="preserve"> en un mismo proceso de </w:t>
      </w:r>
      <w:r w:rsidR="00D04D11" w:rsidRPr="00191A69">
        <w:rPr>
          <w:rFonts w:ascii="Arial" w:hAnsi="Arial" w:cs="Arial"/>
          <w:color w:val="000000" w:themeColor="text1"/>
          <w:sz w:val="21"/>
          <w:szCs w:val="21"/>
          <w:lang w:val="es-ES_tradnl"/>
        </w:rPr>
        <w:t>contratación</w:t>
      </w:r>
      <w:r w:rsidR="009A1C5B" w:rsidRPr="00191A69">
        <w:rPr>
          <w:rFonts w:ascii="Arial" w:hAnsi="Arial" w:cs="Arial"/>
          <w:color w:val="000000" w:themeColor="text1"/>
          <w:sz w:val="21"/>
          <w:szCs w:val="21"/>
          <w:lang w:val="es-ES_tradnl"/>
        </w:rPr>
        <w:t xml:space="preserve"> o convocatoria? </w:t>
      </w:r>
    </w:p>
    <w:p w14:paraId="32C34291" w14:textId="77777777" w:rsidR="006A33FE" w:rsidRPr="00191A69" w:rsidRDefault="006A33FE" w:rsidP="00D36413">
      <w:pPr>
        <w:ind w:left="709" w:right="709"/>
        <w:jc w:val="both"/>
        <w:rPr>
          <w:rFonts w:ascii="Arial" w:hAnsi="Arial" w:cs="Arial"/>
          <w:color w:val="000000" w:themeColor="text1"/>
          <w:sz w:val="21"/>
          <w:szCs w:val="21"/>
          <w:lang w:val="es-ES_tradnl"/>
        </w:rPr>
      </w:pPr>
    </w:p>
    <w:p w14:paraId="785A2E38" w14:textId="2F93E7BE" w:rsidR="009A1C5B" w:rsidRPr="00191A69" w:rsidRDefault="003F787A" w:rsidP="00D36413">
      <w:pPr>
        <w:ind w:left="709" w:right="709"/>
        <w:jc w:val="both"/>
        <w:rPr>
          <w:rFonts w:ascii="Arial" w:hAnsi="Arial" w:cs="Arial"/>
          <w:color w:val="000000" w:themeColor="text1"/>
          <w:sz w:val="22"/>
          <w:lang w:val="es-ES_tradnl"/>
        </w:rPr>
      </w:pPr>
      <w:r w:rsidRPr="00191A69">
        <w:rPr>
          <w:rFonts w:ascii="Arial" w:hAnsi="Arial" w:cs="Arial"/>
          <w:color w:val="000000" w:themeColor="text1"/>
          <w:sz w:val="21"/>
          <w:szCs w:val="21"/>
          <w:lang w:val="es-ES_tradnl"/>
        </w:rPr>
        <w:t>»</w:t>
      </w:r>
      <w:r w:rsidR="009A1C5B" w:rsidRPr="00191A69">
        <w:rPr>
          <w:rFonts w:ascii="Arial" w:hAnsi="Arial" w:cs="Arial"/>
          <w:color w:val="000000" w:themeColor="text1"/>
          <w:sz w:val="21"/>
          <w:szCs w:val="21"/>
          <w:lang w:val="es-ES_tradnl"/>
        </w:rPr>
        <w:t>4.</w:t>
      </w:r>
      <w:r w:rsidRPr="00191A69">
        <w:rPr>
          <w:rFonts w:ascii="Arial" w:hAnsi="Arial" w:cs="Arial"/>
          <w:color w:val="000000" w:themeColor="text1"/>
          <w:sz w:val="21"/>
          <w:szCs w:val="21"/>
          <w:lang w:val="es-ES_tradnl"/>
        </w:rPr>
        <w:t xml:space="preserve"> </w:t>
      </w:r>
      <w:r w:rsidR="009A1C5B" w:rsidRPr="00191A69">
        <w:rPr>
          <w:rFonts w:ascii="Arial" w:hAnsi="Arial" w:cs="Arial"/>
          <w:color w:val="000000" w:themeColor="text1"/>
          <w:sz w:val="21"/>
          <w:szCs w:val="21"/>
          <w:lang w:val="es-ES_tradnl"/>
        </w:rPr>
        <w:t xml:space="preserve">¿En el Decreto 1082 de 2015 existe </w:t>
      </w:r>
      <w:r w:rsidR="00D04D11" w:rsidRPr="00191A69">
        <w:rPr>
          <w:rFonts w:ascii="Arial" w:hAnsi="Arial" w:cs="Arial"/>
          <w:color w:val="000000" w:themeColor="text1"/>
          <w:sz w:val="21"/>
          <w:szCs w:val="21"/>
          <w:lang w:val="es-ES_tradnl"/>
        </w:rPr>
        <w:t>prohibición</w:t>
      </w:r>
      <w:r w:rsidR="009A1C5B" w:rsidRPr="00191A69">
        <w:rPr>
          <w:rFonts w:ascii="Arial" w:hAnsi="Arial" w:cs="Arial"/>
          <w:color w:val="000000" w:themeColor="text1"/>
          <w:sz w:val="21"/>
          <w:szCs w:val="21"/>
          <w:lang w:val="es-ES_tradnl"/>
        </w:rPr>
        <w:t xml:space="preserve"> para que personas en 1° grado de consanguinidad emitan </w:t>
      </w:r>
      <w:r w:rsidR="006A33FE" w:rsidRPr="00191A69">
        <w:rPr>
          <w:rFonts w:ascii="Arial" w:hAnsi="Arial" w:cs="Arial"/>
          <w:color w:val="000000" w:themeColor="text1"/>
          <w:sz w:val="21"/>
          <w:szCs w:val="21"/>
          <w:lang w:val="es-ES_tradnl"/>
        </w:rPr>
        <w:t xml:space="preserve">cotizaciones </w:t>
      </w:r>
      <w:r w:rsidR="009A1C5B" w:rsidRPr="00191A69">
        <w:rPr>
          <w:rFonts w:ascii="Arial" w:hAnsi="Arial" w:cs="Arial"/>
          <w:color w:val="000000" w:themeColor="text1"/>
          <w:sz w:val="21"/>
          <w:szCs w:val="21"/>
          <w:lang w:val="es-ES_tradnl"/>
        </w:rPr>
        <w:t xml:space="preserve">en un mismo proceso de </w:t>
      </w:r>
      <w:r w:rsidR="00D04D11" w:rsidRPr="00191A69">
        <w:rPr>
          <w:rFonts w:ascii="Arial" w:hAnsi="Arial" w:cs="Arial"/>
          <w:color w:val="000000" w:themeColor="text1"/>
          <w:sz w:val="21"/>
          <w:szCs w:val="21"/>
          <w:lang w:val="es-ES_tradnl"/>
        </w:rPr>
        <w:t>contratación</w:t>
      </w:r>
      <w:r w:rsidR="009A1C5B" w:rsidRPr="00191A69">
        <w:rPr>
          <w:rFonts w:ascii="Arial" w:hAnsi="Arial" w:cs="Arial"/>
          <w:color w:val="000000" w:themeColor="text1"/>
          <w:sz w:val="21"/>
          <w:szCs w:val="21"/>
          <w:lang w:val="es-ES_tradnl"/>
        </w:rPr>
        <w:t xml:space="preserve"> o convocatoria?</w:t>
      </w:r>
      <w:r w:rsidR="006A33FE" w:rsidRPr="00191A69">
        <w:rPr>
          <w:rFonts w:ascii="Arial" w:hAnsi="Arial" w:cs="Arial"/>
          <w:color w:val="000000" w:themeColor="text1"/>
          <w:sz w:val="21"/>
          <w:szCs w:val="21"/>
          <w:lang w:val="es-ES_tradnl"/>
        </w:rPr>
        <w:t>»</w:t>
      </w:r>
      <w:r w:rsidR="009A1C5B" w:rsidRPr="00191A69">
        <w:rPr>
          <w:rFonts w:ascii="Arial" w:hAnsi="Arial" w:cs="Arial"/>
          <w:color w:val="000000" w:themeColor="text1"/>
          <w:sz w:val="21"/>
          <w:szCs w:val="21"/>
          <w:lang w:val="es-ES_tradnl"/>
        </w:rPr>
        <w:t xml:space="preserve"> </w:t>
      </w:r>
    </w:p>
    <w:p w14:paraId="130E3C84" w14:textId="77777777" w:rsidR="00991BE0" w:rsidRPr="00191A69" w:rsidRDefault="00991BE0" w:rsidP="00F12666">
      <w:pPr>
        <w:tabs>
          <w:tab w:val="left" w:pos="426"/>
        </w:tabs>
        <w:ind w:right="709"/>
        <w:jc w:val="both"/>
        <w:rPr>
          <w:rFonts w:ascii="Arial" w:eastAsia="Calibri" w:hAnsi="Arial" w:cs="Arial"/>
          <w:sz w:val="22"/>
          <w:lang w:val="es-ES_tradnl"/>
        </w:rPr>
      </w:pPr>
    </w:p>
    <w:p w14:paraId="08FCE370" w14:textId="77777777" w:rsidR="00F1108B" w:rsidRPr="00191A69" w:rsidRDefault="00F1108B" w:rsidP="00E669B0">
      <w:pPr>
        <w:tabs>
          <w:tab w:val="left" w:pos="426"/>
        </w:tabs>
        <w:spacing w:line="276" w:lineRule="auto"/>
        <w:jc w:val="both"/>
        <w:rPr>
          <w:rFonts w:ascii="Arial" w:eastAsia="Calibri" w:hAnsi="Arial" w:cs="Arial"/>
          <w:b/>
          <w:sz w:val="22"/>
          <w:lang w:val="es-ES_tradnl"/>
        </w:rPr>
      </w:pPr>
      <w:r w:rsidRPr="00191A69">
        <w:rPr>
          <w:rFonts w:ascii="Arial" w:eastAsia="Calibri" w:hAnsi="Arial" w:cs="Arial"/>
          <w:b/>
          <w:sz w:val="22"/>
          <w:lang w:val="es-ES_tradnl"/>
        </w:rPr>
        <w:t>2.</w:t>
      </w:r>
      <w:r w:rsidRPr="00191A69">
        <w:rPr>
          <w:rFonts w:ascii="Arial" w:eastAsia="Calibri" w:hAnsi="Arial" w:cs="Arial"/>
          <w:sz w:val="22"/>
          <w:lang w:val="es-ES_tradnl"/>
        </w:rPr>
        <w:t xml:space="preserve"> </w:t>
      </w:r>
      <w:r w:rsidRPr="00191A69">
        <w:rPr>
          <w:rFonts w:ascii="Arial" w:eastAsia="Calibri" w:hAnsi="Arial" w:cs="Arial"/>
          <w:b/>
          <w:sz w:val="22"/>
          <w:lang w:val="es-ES_tradnl"/>
        </w:rPr>
        <w:t>Consideraciones</w:t>
      </w:r>
    </w:p>
    <w:p w14:paraId="1FA6ECBC" w14:textId="77777777" w:rsidR="00B77BF3" w:rsidRPr="00191A69" w:rsidRDefault="00B77BF3" w:rsidP="00B77BF3">
      <w:pPr>
        <w:spacing w:line="276" w:lineRule="auto"/>
        <w:jc w:val="both"/>
        <w:rPr>
          <w:rFonts w:ascii="Arial" w:hAnsi="Arial" w:cs="Arial"/>
          <w:color w:val="000000" w:themeColor="text1"/>
          <w:sz w:val="22"/>
          <w:lang w:val="es-ES_tradnl"/>
        </w:rPr>
      </w:pPr>
    </w:p>
    <w:p w14:paraId="75901F5B" w14:textId="457744CD" w:rsidR="00E0142A" w:rsidRPr="00191A69" w:rsidRDefault="00E0142A" w:rsidP="00B77BF3">
      <w:pPr>
        <w:spacing w:line="276" w:lineRule="auto"/>
        <w:jc w:val="both"/>
        <w:rPr>
          <w:rFonts w:ascii="Arial" w:hAnsi="Arial" w:cs="Arial"/>
          <w:color w:val="000000" w:themeColor="text1"/>
          <w:sz w:val="22"/>
          <w:lang w:val="es-ES_tradnl"/>
        </w:rPr>
      </w:pPr>
      <w:r w:rsidRPr="00191A69">
        <w:rPr>
          <w:rFonts w:ascii="Arial" w:hAnsi="Arial" w:cs="Arial"/>
          <w:color w:val="000000" w:themeColor="text1"/>
          <w:sz w:val="22"/>
          <w:lang w:val="es-ES_tradnl"/>
        </w:rPr>
        <w:t xml:space="preserve">La Agencia Nacional de Contratación Pública – Colombia Compra Eficiente se pronunció sobre el régimen </w:t>
      </w:r>
      <w:r w:rsidR="00B77BF3" w:rsidRPr="00191A69">
        <w:rPr>
          <w:rFonts w:ascii="Arial" w:hAnsi="Arial" w:cs="Arial"/>
          <w:color w:val="000000" w:themeColor="text1"/>
          <w:sz w:val="22"/>
          <w:lang w:val="es-ES_tradnl"/>
        </w:rPr>
        <w:t>de inhabilidades e incompatibilidades</w:t>
      </w:r>
      <w:r w:rsidR="00777693" w:rsidRPr="00191A69">
        <w:rPr>
          <w:rFonts w:ascii="Arial" w:hAnsi="Arial" w:cs="Arial"/>
          <w:color w:val="000000" w:themeColor="text1"/>
          <w:sz w:val="22"/>
          <w:lang w:val="es-ES_tradnl"/>
        </w:rPr>
        <w:t xml:space="preserve"> para contratar con el Estado</w:t>
      </w:r>
      <w:r w:rsidR="00B77BF3" w:rsidRPr="00191A69">
        <w:rPr>
          <w:rFonts w:ascii="Arial" w:hAnsi="Arial" w:cs="Arial"/>
          <w:color w:val="000000" w:themeColor="text1"/>
          <w:sz w:val="22"/>
          <w:lang w:val="es-ES_tradnl"/>
        </w:rPr>
        <w:t xml:space="preserve">, destacando la </w:t>
      </w:r>
      <w:r w:rsidR="00B77BF3" w:rsidRPr="00191A69">
        <w:rPr>
          <w:rFonts w:ascii="Arial" w:hAnsi="Arial" w:cs="Arial"/>
          <w:i/>
          <w:iCs/>
          <w:color w:val="000000" w:themeColor="text1"/>
          <w:sz w:val="22"/>
          <w:lang w:val="es-ES_tradnl"/>
        </w:rPr>
        <w:t>interpretación restrictiva</w:t>
      </w:r>
      <w:r w:rsidR="00B77BF3" w:rsidRPr="00191A69">
        <w:rPr>
          <w:rFonts w:ascii="Arial" w:hAnsi="Arial" w:cs="Arial"/>
          <w:color w:val="000000" w:themeColor="text1"/>
          <w:sz w:val="22"/>
          <w:lang w:val="es-ES_tradnl"/>
        </w:rPr>
        <w:t xml:space="preserve"> de las mismas,</w:t>
      </w:r>
      <w:r w:rsidR="00BA2F25" w:rsidRPr="00191A69">
        <w:rPr>
          <w:rFonts w:ascii="Arial" w:hAnsi="Arial" w:cs="Arial"/>
          <w:color w:val="000000" w:themeColor="text1"/>
          <w:sz w:val="22"/>
          <w:lang w:val="es-ES_tradnl"/>
        </w:rPr>
        <w:t xml:space="preserve"> </w:t>
      </w:r>
      <w:r w:rsidR="00102E6C" w:rsidRPr="00191A69">
        <w:rPr>
          <w:rFonts w:ascii="Arial" w:hAnsi="Arial" w:cs="Arial"/>
          <w:color w:val="000000" w:themeColor="text1"/>
          <w:sz w:val="22"/>
          <w:lang w:val="es-ES_tradnl"/>
        </w:rPr>
        <w:t xml:space="preserve">entre otros, </w:t>
      </w:r>
      <w:r w:rsidR="00BA2F25" w:rsidRPr="00191A69">
        <w:rPr>
          <w:rFonts w:ascii="Arial" w:hAnsi="Arial" w:cs="Arial"/>
          <w:color w:val="000000" w:themeColor="text1"/>
          <w:sz w:val="22"/>
          <w:lang w:val="es-ES_tradnl"/>
        </w:rPr>
        <w:t>en los conceptos</w:t>
      </w:r>
      <w:r w:rsidR="00410909" w:rsidRPr="00191A69">
        <w:rPr>
          <w:rFonts w:ascii="Arial" w:hAnsi="Arial" w:cs="Arial"/>
          <w:color w:val="000000" w:themeColor="text1"/>
          <w:sz w:val="22"/>
          <w:lang w:val="es-ES_tradnl"/>
        </w:rPr>
        <w:t>:</w:t>
      </w:r>
      <w:r w:rsidR="0081691D" w:rsidRPr="00191A69">
        <w:rPr>
          <w:rFonts w:ascii="Arial" w:hAnsi="Arial" w:cs="Arial"/>
          <w:color w:val="000000" w:themeColor="text1"/>
          <w:sz w:val="22"/>
          <w:lang w:val="es-ES_tradnl"/>
        </w:rPr>
        <w:t xml:space="preserve"> </w:t>
      </w:r>
      <w:r w:rsidR="00345843" w:rsidRPr="00191A69">
        <w:rPr>
          <w:rFonts w:ascii="Arial" w:hAnsi="Arial" w:cs="Arial"/>
          <w:color w:val="000000" w:themeColor="text1"/>
          <w:sz w:val="22"/>
          <w:lang w:val="es-ES_tradnl"/>
        </w:rPr>
        <w:t xml:space="preserve">C−032 de 19 de febrero de 2020, </w:t>
      </w:r>
      <w:r w:rsidR="000B1A4F" w:rsidRPr="00191A69">
        <w:rPr>
          <w:rFonts w:ascii="Arial" w:hAnsi="Arial" w:cs="Arial"/>
          <w:color w:val="000000" w:themeColor="text1"/>
          <w:sz w:val="22"/>
          <w:lang w:val="es-ES_tradnl"/>
        </w:rPr>
        <w:t>C−273 del 21</w:t>
      </w:r>
      <w:r w:rsidR="005D34A4" w:rsidRPr="00191A69">
        <w:rPr>
          <w:rFonts w:ascii="Arial" w:hAnsi="Arial" w:cs="Arial"/>
          <w:color w:val="000000" w:themeColor="text1"/>
          <w:sz w:val="22"/>
          <w:lang w:val="es-ES_tradnl"/>
        </w:rPr>
        <w:t xml:space="preserve"> de mayo de </w:t>
      </w:r>
      <w:r w:rsidR="000B1A4F" w:rsidRPr="00191A69">
        <w:rPr>
          <w:rFonts w:ascii="Arial" w:hAnsi="Arial" w:cs="Arial"/>
          <w:color w:val="000000" w:themeColor="text1"/>
          <w:sz w:val="22"/>
          <w:lang w:val="es-ES_tradnl"/>
        </w:rPr>
        <w:t xml:space="preserve">2020, </w:t>
      </w:r>
      <w:r w:rsidR="005D34A4" w:rsidRPr="00191A69">
        <w:rPr>
          <w:rFonts w:ascii="Arial" w:hAnsi="Arial" w:cs="Arial"/>
          <w:color w:val="000000" w:themeColor="text1"/>
          <w:sz w:val="22"/>
          <w:lang w:val="es-ES_tradnl"/>
        </w:rPr>
        <w:t xml:space="preserve">C−402 del 26 de junio de 2020, </w:t>
      </w:r>
      <w:r w:rsidR="003C0A1D" w:rsidRPr="00191A69">
        <w:rPr>
          <w:rFonts w:ascii="Arial" w:hAnsi="Arial" w:cs="Arial"/>
          <w:color w:val="000000" w:themeColor="text1"/>
          <w:sz w:val="22"/>
          <w:lang w:val="es-ES_tradnl"/>
        </w:rPr>
        <w:t>C−365 del 30 de junio de 2020,</w:t>
      </w:r>
      <w:r w:rsidR="006466E0" w:rsidRPr="00191A69">
        <w:rPr>
          <w:rFonts w:ascii="Arial" w:hAnsi="Arial" w:cs="Arial"/>
          <w:color w:val="000000" w:themeColor="text1"/>
          <w:sz w:val="22"/>
          <w:lang w:val="es-ES_tradnl"/>
        </w:rPr>
        <w:t xml:space="preserve"> C-585 del 14 de septiembre de 2020,</w:t>
      </w:r>
      <w:r w:rsidR="003C0A1D" w:rsidRPr="00191A69">
        <w:rPr>
          <w:rFonts w:ascii="Arial" w:hAnsi="Arial" w:cs="Arial"/>
          <w:color w:val="000000" w:themeColor="text1"/>
          <w:sz w:val="22"/>
          <w:lang w:val="es-ES_tradnl"/>
        </w:rPr>
        <w:t xml:space="preserve"> </w:t>
      </w:r>
      <w:r w:rsidR="000B1A4F" w:rsidRPr="00191A69">
        <w:rPr>
          <w:rFonts w:ascii="Arial" w:hAnsi="Arial" w:cs="Arial"/>
          <w:color w:val="000000" w:themeColor="text1"/>
          <w:sz w:val="22"/>
          <w:lang w:val="es-ES_tradnl"/>
        </w:rPr>
        <w:t xml:space="preserve">C-721 del 14 de diciembre de 2020, </w:t>
      </w:r>
      <w:r w:rsidR="00102E6C" w:rsidRPr="00191A69">
        <w:rPr>
          <w:rFonts w:ascii="Arial" w:hAnsi="Arial" w:cs="Arial"/>
          <w:color w:val="000000" w:themeColor="text1"/>
          <w:sz w:val="22"/>
          <w:lang w:val="es-ES_tradnl"/>
        </w:rPr>
        <w:t>C</w:t>
      </w:r>
      <w:r w:rsidR="0081691D" w:rsidRPr="00191A69">
        <w:rPr>
          <w:rFonts w:ascii="Arial" w:hAnsi="Arial" w:cs="Arial"/>
          <w:color w:val="000000" w:themeColor="text1"/>
          <w:sz w:val="22"/>
          <w:lang w:val="es-ES_tradnl"/>
        </w:rPr>
        <w:t>-</w:t>
      </w:r>
      <w:r w:rsidR="00102E6C" w:rsidRPr="00191A69">
        <w:rPr>
          <w:rFonts w:ascii="Arial" w:hAnsi="Arial" w:cs="Arial"/>
          <w:color w:val="000000" w:themeColor="text1"/>
          <w:sz w:val="22"/>
          <w:lang w:val="es-ES_tradnl"/>
        </w:rPr>
        <w:t>004 del 12</w:t>
      </w:r>
      <w:r w:rsidR="0081691D" w:rsidRPr="00191A69">
        <w:rPr>
          <w:rFonts w:ascii="Arial" w:hAnsi="Arial" w:cs="Arial"/>
          <w:color w:val="000000" w:themeColor="text1"/>
          <w:sz w:val="22"/>
          <w:lang w:val="es-ES_tradnl"/>
        </w:rPr>
        <w:t xml:space="preserve"> de febrero de </w:t>
      </w:r>
      <w:r w:rsidR="00102E6C" w:rsidRPr="00191A69">
        <w:rPr>
          <w:rFonts w:ascii="Arial" w:hAnsi="Arial" w:cs="Arial"/>
          <w:color w:val="000000" w:themeColor="text1"/>
          <w:sz w:val="22"/>
          <w:lang w:val="es-ES_tradnl"/>
        </w:rPr>
        <w:t>202</w:t>
      </w:r>
      <w:r w:rsidR="000B1A4F" w:rsidRPr="00191A69">
        <w:rPr>
          <w:rFonts w:ascii="Arial" w:hAnsi="Arial" w:cs="Arial"/>
          <w:color w:val="000000" w:themeColor="text1"/>
          <w:sz w:val="22"/>
          <w:lang w:val="es-ES_tradnl"/>
        </w:rPr>
        <w:t>1, C-210 del 12 de mayo de 2021</w:t>
      </w:r>
      <w:r w:rsidR="00285C4A" w:rsidRPr="00191A69">
        <w:rPr>
          <w:rFonts w:ascii="Arial" w:hAnsi="Arial" w:cs="Arial"/>
          <w:color w:val="000000" w:themeColor="text1"/>
          <w:sz w:val="22"/>
          <w:lang w:val="es-ES_tradnl"/>
        </w:rPr>
        <w:t xml:space="preserve"> y </w:t>
      </w:r>
      <w:r w:rsidR="000A6E79" w:rsidRPr="00191A69">
        <w:rPr>
          <w:rFonts w:ascii="Arial" w:hAnsi="Arial" w:cs="Arial"/>
          <w:color w:val="000000" w:themeColor="text1"/>
          <w:sz w:val="22"/>
          <w:lang w:val="es-ES_tradnl"/>
        </w:rPr>
        <w:t>C-275 del 11 de junio de 2021</w:t>
      </w:r>
      <w:r w:rsidR="00BA2F25" w:rsidRPr="00191A69">
        <w:rPr>
          <w:rFonts w:ascii="Arial" w:hAnsi="Arial" w:cs="Arial"/>
          <w:color w:val="000000" w:themeColor="text1"/>
          <w:sz w:val="22"/>
          <w:lang w:val="es-ES_tradnl"/>
        </w:rPr>
        <w:t>.</w:t>
      </w:r>
      <w:r w:rsidR="002D66CE" w:rsidRPr="00191A69">
        <w:rPr>
          <w:rFonts w:ascii="Arial" w:hAnsi="Arial" w:cs="Arial"/>
          <w:color w:val="000000" w:themeColor="text1"/>
          <w:sz w:val="22"/>
          <w:lang w:val="es-ES_tradnl"/>
        </w:rPr>
        <w:t xml:space="preserve"> Tales ideas se reiteran a continuación y se complementan con algunas consideraciones relacionadas con el</w:t>
      </w:r>
      <w:r w:rsidR="005A579F" w:rsidRPr="00191A69">
        <w:rPr>
          <w:rFonts w:ascii="Arial" w:hAnsi="Arial" w:cs="Arial"/>
          <w:color w:val="000000" w:themeColor="text1"/>
          <w:sz w:val="22"/>
          <w:lang w:val="es-ES_tradnl"/>
        </w:rPr>
        <w:t xml:space="preserve"> tema que constituye el objeto de la consulta que se resuelve en esta oportunidad.</w:t>
      </w:r>
    </w:p>
    <w:p w14:paraId="05742518" w14:textId="62678AF0" w:rsidR="00055A31" w:rsidRPr="00191A69" w:rsidRDefault="00055A31" w:rsidP="00971B2A">
      <w:pPr>
        <w:spacing w:line="276" w:lineRule="auto"/>
        <w:jc w:val="both"/>
        <w:rPr>
          <w:rFonts w:ascii="Arial" w:eastAsia="Calibri" w:hAnsi="Arial" w:cs="Arial"/>
          <w:bCs/>
          <w:color w:val="000000" w:themeColor="text1"/>
          <w:sz w:val="22"/>
          <w:lang w:val="es-ES_tradnl"/>
        </w:rPr>
      </w:pPr>
    </w:p>
    <w:p w14:paraId="6741CB17" w14:textId="5920BDFA" w:rsidR="00971B2A" w:rsidRPr="00191A69" w:rsidRDefault="00971B2A" w:rsidP="00971B2A">
      <w:pPr>
        <w:tabs>
          <w:tab w:val="left" w:pos="426"/>
        </w:tabs>
        <w:spacing w:line="276" w:lineRule="auto"/>
        <w:jc w:val="both"/>
        <w:rPr>
          <w:rFonts w:ascii="Arial" w:eastAsia="Calibri" w:hAnsi="Arial" w:cs="Arial"/>
          <w:b/>
          <w:color w:val="000000" w:themeColor="text1"/>
          <w:sz w:val="22"/>
          <w:lang w:val="es-ES_tradnl"/>
        </w:rPr>
      </w:pPr>
      <w:r w:rsidRPr="00191A69">
        <w:rPr>
          <w:rFonts w:ascii="Arial" w:eastAsia="Calibri" w:hAnsi="Arial" w:cs="Arial"/>
          <w:b/>
          <w:color w:val="000000" w:themeColor="text1"/>
          <w:sz w:val="22"/>
          <w:lang w:val="es-ES_tradnl"/>
        </w:rPr>
        <w:t>2.1. Régimen de inhabilidades e incompatibilidades en la contratación estatal: un límite a la capacidad contractual</w:t>
      </w:r>
    </w:p>
    <w:p w14:paraId="62191648" w14:textId="77777777" w:rsidR="00971B2A" w:rsidRPr="00191A69" w:rsidRDefault="00971B2A" w:rsidP="00971B2A">
      <w:pPr>
        <w:spacing w:line="276" w:lineRule="auto"/>
        <w:jc w:val="both"/>
        <w:rPr>
          <w:rFonts w:ascii="Arial" w:eastAsia="Calibri" w:hAnsi="Arial" w:cs="Arial"/>
          <w:color w:val="000000" w:themeColor="text1"/>
          <w:sz w:val="22"/>
          <w:lang w:val="es-ES_tradnl"/>
        </w:rPr>
      </w:pPr>
    </w:p>
    <w:p w14:paraId="7778BBB1" w14:textId="77777777" w:rsidR="00971B2A" w:rsidRPr="00191A69" w:rsidRDefault="00971B2A" w:rsidP="00971B2A">
      <w:pPr>
        <w:spacing w:line="276" w:lineRule="auto"/>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En la contratación estatal, la </w:t>
      </w:r>
      <w:r w:rsidRPr="00191A69">
        <w:rPr>
          <w:rFonts w:ascii="Arial" w:eastAsia="Calibri" w:hAnsi="Arial" w:cs="Arial"/>
          <w:i/>
          <w:iCs/>
          <w:color w:val="000000" w:themeColor="text1"/>
          <w:sz w:val="22"/>
          <w:lang w:val="es-ES_tradnl"/>
        </w:rPr>
        <w:t>capacidad</w:t>
      </w:r>
      <w:r w:rsidRPr="00191A69">
        <w:rPr>
          <w:rFonts w:ascii="Arial" w:eastAsia="Calibri" w:hAnsi="Arial" w:cs="Arial"/>
          <w:color w:val="000000" w:themeColor="text1"/>
          <w:sz w:val="22"/>
          <w:lang w:val="es-ES_tradnl"/>
        </w:rPr>
        <w:t xml:space="preserve"> también es un requisito de validez de los contratos, tanto en el régimen de las entidades sujetas al Estatuto General de Contratación de la </w:t>
      </w:r>
      <w:r w:rsidRPr="00191A69">
        <w:rPr>
          <w:rFonts w:ascii="Arial" w:eastAsia="Calibri" w:hAnsi="Arial" w:cs="Arial"/>
          <w:color w:val="000000" w:themeColor="text1"/>
          <w:sz w:val="22"/>
          <w:lang w:val="es-ES_tradnl"/>
        </w:rPr>
        <w:lastRenderedPageBreak/>
        <w:t>Administración Pública</w:t>
      </w:r>
      <w:r w:rsidRPr="00191A69">
        <w:rPr>
          <w:rFonts w:ascii="Arial" w:eastAsia="Calibri" w:hAnsi="Arial" w:cs="Arial"/>
          <w:color w:val="000000" w:themeColor="text1"/>
          <w:sz w:val="22"/>
          <w:vertAlign w:val="superscript"/>
          <w:lang w:val="es-ES_tradnl"/>
        </w:rPr>
        <w:footnoteReference w:id="2"/>
      </w:r>
      <w:r w:rsidRPr="00191A69">
        <w:rPr>
          <w:rFonts w:ascii="Arial" w:eastAsia="Calibri" w:hAnsi="Arial" w:cs="Arial"/>
          <w:color w:val="000000" w:themeColor="text1"/>
          <w:sz w:val="22"/>
          <w:lang w:val="es-ES_tradnl"/>
        </w:rPr>
        <w:t xml:space="preserve"> como en el de las entidades exceptuadas de aquel</w:t>
      </w:r>
      <w:r w:rsidRPr="00191A69">
        <w:rPr>
          <w:rFonts w:ascii="Arial" w:eastAsia="Calibri" w:hAnsi="Arial" w:cs="Arial"/>
          <w:color w:val="000000" w:themeColor="text1"/>
          <w:sz w:val="22"/>
          <w:vertAlign w:val="superscript"/>
          <w:lang w:val="es-ES_tradnl"/>
        </w:rPr>
        <w:footnoteReference w:id="3"/>
      </w:r>
      <w:r w:rsidRPr="00191A69">
        <w:rPr>
          <w:rFonts w:ascii="Arial" w:eastAsia="Calibri" w:hAnsi="Arial" w:cs="Arial"/>
          <w:color w:val="000000" w:themeColor="text1"/>
          <w:sz w:val="22"/>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191A69">
        <w:rPr>
          <w:rFonts w:ascii="Arial" w:eastAsia="Calibri" w:hAnsi="Arial" w:cs="Arial"/>
          <w:color w:val="000000" w:themeColor="text1"/>
          <w:sz w:val="22"/>
          <w:vertAlign w:val="superscript"/>
          <w:lang w:val="es-ES_tradnl"/>
        </w:rPr>
        <w:footnoteReference w:id="4"/>
      </w:r>
      <w:r w:rsidRPr="00191A69">
        <w:rPr>
          <w:rFonts w:ascii="Arial" w:eastAsia="Calibri" w:hAnsi="Arial" w:cs="Arial"/>
          <w:color w:val="000000" w:themeColor="text1"/>
          <w:sz w:val="22"/>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191A69">
        <w:rPr>
          <w:rFonts w:ascii="Arial" w:eastAsia="Calibri" w:hAnsi="Arial" w:cs="Arial"/>
          <w:color w:val="000000" w:themeColor="text1"/>
          <w:sz w:val="22"/>
          <w:vertAlign w:val="superscript"/>
          <w:lang w:val="es-ES_tradnl"/>
        </w:rPr>
        <w:footnoteReference w:id="5"/>
      </w:r>
      <w:r w:rsidRPr="00191A69">
        <w:rPr>
          <w:rFonts w:ascii="Arial" w:eastAsia="Calibri" w:hAnsi="Arial" w:cs="Arial"/>
          <w:color w:val="000000" w:themeColor="text1"/>
          <w:sz w:val="22"/>
          <w:lang w:val="es-ES_tradnl"/>
        </w:rPr>
        <w:t>.</w:t>
      </w:r>
    </w:p>
    <w:p w14:paraId="6DC578F3" w14:textId="4600DE7A" w:rsidR="00971B2A" w:rsidRPr="00191A69" w:rsidRDefault="00971B2A" w:rsidP="00B70F4C">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Las inhabilidades son prohibiciones para concurrir a los procedimientos de selección y para contratar con el Estado, que se derivan</w:t>
      </w:r>
      <w:r w:rsidR="004D3A55" w:rsidRPr="00191A69">
        <w:rPr>
          <w:rFonts w:ascii="Arial" w:eastAsia="Calibri" w:hAnsi="Arial" w:cs="Arial"/>
          <w:color w:val="000000" w:themeColor="text1"/>
          <w:sz w:val="22"/>
          <w:lang w:val="es-ES_tradnl"/>
        </w:rPr>
        <w:t>:</w:t>
      </w:r>
      <w:r w:rsidRPr="00191A69">
        <w:rPr>
          <w:rFonts w:ascii="Arial" w:eastAsia="Calibri" w:hAnsi="Arial" w:cs="Arial"/>
          <w:color w:val="000000" w:themeColor="text1"/>
          <w:sz w:val="22"/>
          <w:lang w:val="es-ES_tradnl"/>
        </w:rPr>
        <w:t xml:space="preserve"> i) de la existencia de comportamientos </w:t>
      </w:r>
      <w:r w:rsidRPr="00191A69">
        <w:rPr>
          <w:rFonts w:ascii="Arial" w:eastAsia="Calibri" w:hAnsi="Arial" w:cs="Arial"/>
          <w:color w:val="000000" w:themeColor="text1"/>
          <w:sz w:val="22"/>
          <w:lang w:val="es-ES_tradnl"/>
        </w:rPr>
        <w:lastRenderedPageBreak/>
        <w:t>reprochables o de sanciones anteriormente impuestas</w:t>
      </w:r>
      <w:r w:rsidRPr="00191A69">
        <w:rPr>
          <w:rFonts w:ascii="Arial" w:eastAsia="Calibri" w:hAnsi="Arial" w:cs="Arial"/>
          <w:color w:val="000000" w:themeColor="text1"/>
          <w:sz w:val="22"/>
          <w:vertAlign w:val="superscript"/>
          <w:lang w:val="es-ES_tradnl"/>
        </w:rPr>
        <w:footnoteReference w:id="6"/>
      </w:r>
      <w:r w:rsidRPr="00191A69">
        <w:rPr>
          <w:rFonts w:ascii="Arial" w:eastAsia="Calibri" w:hAnsi="Arial" w:cs="Arial"/>
          <w:color w:val="000000" w:themeColor="text1"/>
          <w:sz w:val="22"/>
          <w:lang w:val="es-ES_tradnl"/>
        </w:rPr>
        <w:t>, ii) de vínculos personales relativos al parentesco o al estado civil</w:t>
      </w:r>
      <w:r w:rsidRPr="00191A69">
        <w:rPr>
          <w:rFonts w:ascii="Arial" w:eastAsia="Calibri" w:hAnsi="Arial" w:cs="Arial"/>
          <w:color w:val="000000" w:themeColor="text1"/>
          <w:sz w:val="22"/>
          <w:vertAlign w:val="superscript"/>
          <w:lang w:val="es-ES_tradnl"/>
        </w:rPr>
        <w:footnoteReference w:id="7"/>
      </w:r>
      <w:r w:rsidRPr="00191A69">
        <w:rPr>
          <w:rFonts w:ascii="Arial" w:eastAsia="Calibri" w:hAnsi="Arial" w:cs="Arial"/>
          <w:color w:val="000000" w:themeColor="text1"/>
          <w:sz w:val="22"/>
          <w:lang w:val="es-ES_tradnl"/>
        </w:rPr>
        <w:t xml:space="preserve"> o iii) de una actividad u oficio que se desempeñó en el </w:t>
      </w:r>
      <w:r w:rsidRPr="00191A69">
        <w:rPr>
          <w:rFonts w:ascii="Arial" w:eastAsia="Calibri" w:hAnsi="Arial" w:cs="Arial"/>
          <w:color w:val="000000" w:themeColor="text1"/>
          <w:sz w:val="22"/>
          <w:lang w:val="es-ES_tradnl"/>
        </w:rPr>
        <w:lastRenderedPageBreak/>
        <w:t>pasado</w:t>
      </w:r>
      <w:r w:rsidRPr="00191A69">
        <w:rPr>
          <w:rFonts w:ascii="Arial" w:eastAsia="Calibri" w:hAnsi="Arial" w:cs="Arial"/>
          <w:color w:val="000000" w:themeColor="text1"/>
          <w:sz w:val="22"/>
          <w:vertAlign w:val="superscript"/>
          <w:lang w:val="es-ES_tradnl"/>
        </w:rPr>
        <w:footnoteReference w:id="8"/>
      </w:r>
      <w:r w:rsidRPr="00191A69">
        <w:rPr>
          <w:rFonts w:ascii="Arial" w:eastAsia="Calibri" w:hAnsi="Arial" w:cs="Arial"/>
          <w:color w:val="000000" w:themeColor="text1"/>
          <w:sz w:val="22"/>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191A69">
        <w:rPr>
          <w:rFonts w:ascii="Arial" w:eastAsia="Calibri" w:hAnsi="Arial" w:cs="Arial"/>
          <w:color w:val="000000" w:themeColor="text1"/>
          <w:sz w:val="22"/>
          <w:vertAlign w:val="superscript"/>
          <w:lang w:val="es-ES_tradnl"/>
        </w:rPr>
        <w:footnoteReference w:id="9"/>
      </w:r>
      <w:r w:rsidRPr="00191A69">
        <w:rPr>
          <w:rFonts w:ascii="Arial" w:eastAsia="Calibri" w:hAnsi="Arial" w:cs="Arial"/>
          <w:color w:val="000000" w:themeColor="text1"/>
          <w:sz w:val="22"/>
          <w:lang w:val="es-ES_tradnl"/>
        </w:rPr>
        <w:t xml:space="preserve">. </w:t>
      </w:r>
    </w:p>
    <w:p w14:paraId="4BBDE1A9" w14:textId="133F28AF" w:rsidR="00971B2A" w:rsidRPr="00191A69" w:rsidRDefault="00971B2A" w:rsidP="00B05E4E">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El régimen de inhabilidades e incompatibilidades en la contratación pública responde a la tendencia, vigente desde hace varias décadas en nuestro país, pero que se 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w:t>
      </w:r>
      <w:r w:rsidRPr="00191A69">
        <w:rPr>
          <w:rFonts w:ascii="Arial" w:eastAsia="Calibri" w:hAnsi="Arial" w:cs="Arial"/>
          <w:color w:val="000000" w:themeColor="text1"/>
          <w:sz w:val="22"/>
          <w:lang w:val="es-ES_tradnl"/>
        </w:rPr>
        <w:lastRenderedPageBreak/>
        <w:t>un cariz sancionatorio o «</w:t>
      </w:r>
      <w:proofErr w:type="spellStart"/>
      <w:r w:rsidRPr="00191A69">
        <w:rPr>
          <w:rFonts w:ascii="Arial" w:eastAsia="Calibri" w:hAnsi="Arial" w:cs="Arial"/>
          <w:color w:val="000000" w:themeColor="text1"/>
          <w:sz w:val="22"/>
          <w:lang w:val="es-ES_tradnl"/>
        </w:rPr>
        <w:t>neopunitivo</w:t>
      </w:r>
      <w:proofErr w:type="spellEnd"/>
      <w:r w:rsidRPr="00191A69">
        <w:rPr>
          <w:rFonts w:ascii="Arial" w:eastAsia="Calibri" w:hAnsi="Arial" w:cs="Arial"/>
          <w:color w:val="000000" w:themeColor="text1"/>
          <w:sz w:val="22"/>
          <w:lang w:val="es-ES_tradnl"/>
        </w:rPr>
        <w:t>»</w:t>
      </w:r>
      <w:r w:rsidRPr="00191A69">
        <w:rPr>
          <w:rFonts w:ascii="Arial" w:eastAsia="Calibri" w:hAnsi="Arial" w:cs="Arial"/>
          <w:color w:val="000000" w:themeColor="text1"/>
          <w:sz w:val="22"/>
          <w:vertAlign w:val="superscript"/>
          <w:lang w:val="es-ES_tradnl"/>
        </w:rPr>
        <w:footnoteReference w:id="10"/>
      </w:r>
      <w:r w:rsidRPr="00191A69">
        <w:rPr>
          <w:rFonts w:ascii="Arial" w:eastAsia="Calibri" w:hAnsi="Arial" w:cs="Arial"/>
          <w:color w:val="000000" w:themeColor="text1"/>
          <w:sz w:val="22"/>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79087B1E" w14:textId="55681AEB" w:rsidR="00B70F4C" w:rsidRPr="00191A69" w:rsidRDefault="00B70F4C" w:rsidP="00B70F4C">
      <w:pPr>
        <w:spacing w:line="276" w:lineRule="auto"/>
        <w:jc w:val="both"/>
        <w:rPr>
          <w:rFonts w:ascii="Arial" w:eastAsia="Calibri" w:hAnsi="Arial" w:cs="Arial"/>
          <w:color w:val="000000" w:themeColor="text1"/>
          <w:sz w:val="22"/>
          <w:lang w:val="es-ES_tradnl"/>
        </w:rPr>
      </w:pPr>
    </w:p>
    <w:p w14:paraId="15DD8E4D" w14:textId="618984E0" w:rsidR="00B70F4C" w:rsidRPr="00191A69" w:rsidRDefault="00B70F4C" w:rsidP="00B70F4C">
      <w:pPr>
        <w:spacing w:line="276" w:lineRule="auto"/>
        <w:jc w:val="both"/>
        <w:rPr>
          <w:rFonts w:ascii="Arial" w:eastAsia="Calibri" w:hAnsi="Arial" w:cs="Arial"/>
          <w:b/>
          <w:bCs/>
          <w:color w:val="000000" w:themeColor="text1"/>
          <w:sz w:val="22"/>
          <w:lang w:val="es-ES_tradnl"/>
        </w:rPr>
      </w:pPr>
      <w:r w:rsidRPr="00191A69">
        <w:rPr>
          <w:rFonts w:ascii="Arial" w:eastAsia="Calibri" w:hAnsi="Arial" w:cs="Arial"/>
          <w:b/>
          <w:bCs/>
          <w:color w:val="000000" w:themeColor="text1"/>
          <w:sz w:val="22"/>
          <w:lang w:val="es-ES_tradnl"/>
        </w:rPr>
        <w:t xml:space="preserve">2.2. Interpretación de las causales de inhabilidad e incompatibilidad. Principios de interpretación restrictiva y </w:t>
      </w:r>
      <w:r w:rsidRPr="00191A69">
        <w:rPr>
          <w:rFonts w:ascii="Arial" w:eastAsia="Calibri" w:hAnsi="Arial" w:cs="Arial"/>
          <w:b/>
          <w:bCs/>
          <w:i/>
          <w:iCs/>
          <w:color w:val="000000" w:themeColor="text1"/>
          <w:sz w:val="22"/>
          <w:lang w:val="es-ES_tradnl"/>
        </w:rPr>
        <w:t>pro-</w:t>
      </w:r>
      <w:proofErr w:type="spellStart"/>
      <w:r w:rsidRPr="00191A69">
        <w:rPr>
          <w:rFonts w:ascii="Arial" w:eastAsia="Calibri" w:hAnsi="Arial" w:cs="Arial"/>
          <w:b/>
          <w:bCs/>
          <w:i/>
          <w:iCs/>
          <w:color w:val="000000" w:themeColor="text1"/>
          <w:sz w:val="22"/>
          <w:lang w:val="es-ES_tradnl"/>
        </w:rPr>
        <w:t>libertate</w:t>
      </w:r>
      <w:proofErr w:type="spellEnd"/>
    </w:p>
    <w:p w14:paraId="3DB79903" w14:textId="77777777" w:rsidR="004B3000" w:rsidRPr="00191A69" w:rsidRDefault="004B3000" w:rsidP="004B3000">
      <w:pPr>
        <w:spacing w:line="276" w:lineRule="auto"/>
        <w:jc w:val="both"/>
        <w:rPr>
          <w:rFonts w:ascii="Arial" w:eastAsia="Calibri" w:hAnsi="Arial" w:cs="Arial"/>
          <w:color w:val="000000" w:themeColor="text1"/>
          <w:sz w:val="22"/>
          <w:lang w:val="es-ES_tradnl"/>
        </w:rPr>
      </w:pPr>
    </w:p>
    <w:p w14:paraId="4E86F313" w14:textId="7BB78255" w:rsidR="00971B2A" w:rsidRPr="00191A69" w:rsidRDefault="00F712AA" w:rsidP="004B3000">
      <w:pPr>
        <w:spacing w:line="276" w:lineRule="auto"/>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Debe señalarse </w:t>
      </w:r>
      <w:r w:rsidR="00A03195" w:rsidRPr="00191A69">
        <w:rPr>
          <w:rFonts w:ascii="Arial" w:eastAsia="Calibri" w:hAnsi="Arial" w:cs="Arial"/>
          <w:color w:val="000000" w:themeColor="text1"/>
          <w:sz w:val="22"/>
          <w:lang w:val="es-ES_tradnl"/>
        </w:rPr>
        <w:t>que</w:t>
      </w:r>
      <w:r w:rsidR="00971B2A" w:rsidRPr="00191A69">
        <w:rPr>
          <w:rFonts w:ascii="Arial" w:eastAsia="Calibri" w:hAnsi="Arial" w:cs="Arial"/>
          <w:color w:val="000000" w:themeColor="text1"/>
          <w:sz w:val="22"/>
          <w:lang w:val="es-ES_tradnl"/>
        </w:rPr>
        <w:t xml:space="preserve">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00971B2A" w:rsidRPr="00191A69">
        <w:rPr>
          <w:rFonts w:ascii="Arial" w:eastAsia="Calibri" w:hAnsi="Arial" w:cs="Arial"/>
          <w:i/>
          <w:iCs/>
          <w:color w:val="000000" w:themeColor="text1"/>
          <w:sz w:val="22"/>
          <w:lang w:val="es-ES_tradnl"/>
        </w:rPr>
        <w:t>restrictiva</w:t>
      </w:r>
      <w:r w:rsidR="00971B2A" w:rsidRPr="00191A69">
        <w:rPr>
          <w:rFonts w:ascii="Arial" w:eastAsia="Calibri" w:hAnsi="Arial" w:cs="Arial"/>
          <w:color w:val="000000" w:themeColor="text1"/>
          <w:sz w:val="22"/>
          <w:vertAlign w:val="superscript"/>
          <w:lang w:val="es-ES_tradnl"/>
        </w:rPr>
        <w:footnoteReference w:id="11"/>
      </w:r>
      <w:r w:rsidR="00971B2A" w:rsidRPr="00191A69">
        <w:rPr>
          <w:rFonts w:ascii="Arial" w:eastAsia="Calibri" w:hAnsi="Arial" w:cs="Arial"/>
          <w:color w:val="000000" w:themeColor="text1"/>
          <w:sz w:val="22"/>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w14:paraId="2A280236" w14:textId="77777777" w:rsidR="00971B2A" w:rsidRPr="00191A69" w:rsidRDefault="00971B2A" w:rsidP="004B3000">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191A69">
        <w:rPr>
          <w:rFonts w:ascii="Arial" w:eastAsia="Calibri" w:hAnsi="Arial" w:cs="Arial"/>
          <w:color w:val="000000" w:themeColor="text1"/>
          <w:sz w:val="22"/>
          <w:vertAlign w:val="superscript"/>
          <w:lang w:val="es-ES_tradnl"/>
        </w:rPr>
        <w:footnoteReference w:id="12"/>
      </w:r>
      <w:r w:rsidRPr="00191A69">
        <w:rPr>
          <w:rFonts w:ascii="Arial" w:eastAsia="Calibri" w:hAnsi="Arial" w:cs="Arial"/>
          <w:color w:val="000000" w:themeColor="text1"/>
          <w:sz w:val="22"/>
          <w:lang w:val="es-ES_tradnl"/>
        </w:rPr>
        <w:t xml:space="preserve">. Por su parte, el Consejo de Estado ha acogido también este criterio, considerando –como expresa la Sala de Consulta y Servicio Civil–, que «La interpretación restrictiva de las normas que establecen inhabilidades constituye una aplicación del </w:t>
      </w:r>
      <w:r w:rsidRPr="00191A69">
        <w:rPr>
          <w:rFonts w:ascii="Arial" w:eastAsia="Calibri" w:hAnsi="Arial" w:cs="Arial"/>
          <w:color w:val="000000" w:themeColor="text1"/>
          <w:sz w:val="22"/>
          <w:lang w:val="es-ES_tradnl"/>
        </w:rPr>
        <w:lastRenderedPageBreak/>
        <w:t>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191A69">
        <w:rPr>
          <w:rFonts w:ascii="Arial" w:eastAsia="Calibri" w:hAnsi="Arial" w:cs="Arial"/>
          <w:color w:val="000000" w:themeColor="text1"/>
          <w:sz w:val="22"/>
          <w:vertAlign w:val="superscript"/>
          <w:lang w:val="es-ES_tradnl"/>
        </w:rPr>
        <w:footnoteReference w:id="13"/>
      </w:r>
      <w:r w:rsidRPr="00191A69">
        <w:rPr>
          <w:rFonts w:ascii="Arial" w:eastAsia="Calibri" w:hAnsi="Arial" w:cs="Arial"/>
          <w:color w:val="000000" w:themeColor="text1"/>
          <w:sz w:val="22"/>
          <w:lang w:val="es-ES_tradnl"/>
        </w:rPr>
        <w:t>. En tal sentido, la Sección Tercera ha señalado que:</w:t>
      </w:r>
    </w:p>
    <w:p w14:paraId="5BE99114" w14:textId="77777777" w:rsidR="00971B2A" w:rsidRPr="00191A69" w:rsidRDefault="00971B2A" w:rsidP="00971B2A">
      <w:pPr>
        <w:spacing w:line="276" w:lineRule="auto"/>
        <w:ind w:firstLine="709"/>
        <w:jc w:val="both"/>
        <w:rPr>
          <w:rFonts w:ascii="Arial" w:eastAsia="Calibri" w:hAnsi="Arial" w:cs="Arial"/>
          <w:color w:val="000000" w:themeColor="text1"/>
          <w:sz w:val="22"/>
          <w:lang w:val="es-ES_tradnl"/>
        </w:rPr>
      </w:pPr>
    </w:p>
    <w:p w14:paraId="2A6FA6B3" w14:textId="77777777" w:rsidR="00971B2A" w:rsidRPr="00191A69" w:rsidRDefault="00971B2A" w:rsidP="00971B2A">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191A69">
        <w:rPr>
          <w:rFonts w:ascii="Arial" w:hAnsi="Arial" w:cs="Arial"/>
          <w:color w:val="000000" w:themeColor="text1"/>
          <w:sz w:val="21"/>
          <w:szCs w:val="21"/>
          <w:vertAlign w:val="superscript"/>
          <w:lang w:val="es-ES_tradnl"/>
        </w:rPr>
        <w:footnoteReference w:id="14"/>
      </w:r>
      <w:r w:rsidRPr="00191A69">
        <w:rPr>
          <w:rFonts w:ascii="Arial" w:hAnsi="Arial" w:cs="Arial"/>
          <w:color w:val="000000" w:themeColor="text1"/>
          <w:sz w:val="21"/>
          <w:szCs w:val="21"/>
          <w:lang w:val="es-ES_tradnl"/>
        </w:rPr>
        <w:t>.</w:t>
      </w:r>
    </w:p>
    <w:p w14:paraId="185AF33A" w14:textId="77777777" w:rsidR="00971B2A" w:rsidRPr="00191A69" w:rsidRDefault="00971B2A" w:rsidP="00971B2A">
      <w:pPr>
        <w:ind w:left="709" w:right="709"/>
        <w:jc w:val="both"/>
        <w:rPr>
          <w:rFonts w:ascii="Arial" w:hAnsi="Arial" w:cs="Arial"/>
          <w:bCs/>
          <w:color w:val="000000" w:themeColor="text1"/>
          <w:sz w:val="21"/>
          <w:szCs w:val="21"/>
          <w:lang w:val="es-ES_tradnl"/>
        </w:rPr>
      </w:pPr>
    </w:p>
    <w:p w14:paraId="7431B582" w14:textId="77777777" w:rsidR="00971B2A" w:rsidRPr="00191A69" w:rsidRDefault="00971B2A" w:rsidP="00971B2A">
      <w:pPr>
        <w:spacing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También ha dicho que:</w:t>
      </w:r>
    </w:p>
    <w:p w14:paraId="320D3A55" w14:textId="77777777" w:rsidR="00971B2A" w:rsidRPr="00191A69" w:rsidRDefault="00971B2A" w:rsidP="00971B2A">
      <w:pPr>
        <w:ind w:firstLine="709"/>
        <w:jc w:val="both"/>
        <w:rPr>
          <w:rFonts w:ascii="Arial" w:eastAsia="Calibri" w:hAnsi="Arial" w:cs="Arial"/>
          <w:color w:val="000000" w:themeColor="text1"/>
          <w:sz w:val="21"/>
          <w:szCs w:val="21"/>
          <w:lang w:val="es-ES_tradnl"/>
        </w:rPr>
      </w:pPr>
    </w:p>
    <w:p w14:paraId="40839D54" w14:textId="77777777" w:rsidR="00971B2A" w:rsidRPr="00191A69" w:rsidRDefault="00971B2A" w:rsidP="00971B2A">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191A69">
        <w:rPr>
          <w:rFonts w:ascii="Arial" w:hAnsi="Arial" w:cs="Arial"/>
          <w:i/>
          <w:iCs/>
          <w:color w:val="000000" w:themeColor="text1"/>
          <w:sz w:val="21"/>
          <w:szCs w:val="21"/>
          <w:lang w:val="es-ES_tradnl"/>
        </w:rPr>
        <w:t xml:space="preserve">pro </w:t>
      </w:r>
      <w:proofErr w:type="spellStart"/>
      <w:r w:rsidRPr="00191A69">
        <w:rPr>
          <w:rFonts w:ascii="Arial" w:hAnsi="Arial" w:cs="Arial"/>
          <w:i/>
          <w:iCs/>
          <w:color w:val="000000" w:themeColor="text1"/>
          <w:sz w:val="21"/>
          <w:szCs w:val="21"/>
          <w:lang w:val="es-ES_tradnl"/>
        </w:rPr>
        <w:t>libertate</w:t>
      </w:r>
      <w:proofErr w:type="spellEnd"/>
      <w:r w:rsidRPr="00191A69">
        <w:rPr>
          <w:rFonts w:ascii="Arial" w:hAnsi="Arial" w:cs="Arial"/>
          <w:color w:val="000000" w:themeColor="text1"/>
          <w:sz w:val="21"/>
          <w:szCs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w:t>
      </w:r>
      <w:proofErr w:type="spellStart"/>
      <w:r w:rsidRPr="00191A69">
        <w:rPr>
          <w:rFonts w:ascii="Arial" w:hAnsi="Arial" w:cs="Arial"/>
          <w:color w:val="000000" w:themeColor="text1"/>
          <w:sz w:val="21"/>
          <w:szCs w:val="21"/>
          <w:lang w:val="es-ES_tradnl"/>
        </w:rPr>
        <w:t>Ibid</w:t>
      </w:r>
      <w:proofErr w:type="spellEnd"/>
      <w:r w:rsidRPr="00191A69">
        <w:rPr>
          <w:rFonts w:ascii="Arial" w:hAnsi="Arial" w:cs="Arial"/>
          <w:color w:val="000000" w:themeColor="text1"/>
          <w:sz w:val="21"/>
          <w:szCs w:val="21"/>
          <w:lang w:val="es-ES_tradnl"/>
        </w:rPr>
        <w:t>.); […]</w:t>
      </w:r>
      <w:r w:rsidRPr="00191A69">
        <w:rPr>
          <w:rFonts w:ascii="Arial" w:hAnsi="Arial" w:cs="Arial"/>
          <w:color w:val="000000" w:themeColor="text1"/>
          <w:sz w:val="21"/>
          <w:szCs w:val="21"/>
          <w:vertAlign w:val="superscript"/>
          <w:lang w:val="es-ES_tradnl"/>
        </w:rPr>
        <w:footnoteReference w:id="15"/>
      </w:r>
      <w:r w:rsidRPr="00191A69">
        <w:rPr>
          <w:rFonts w:ascii="Arial" w:hAnsi="Arial" w:cs="Arial"/>
          <w:color w:val="000000" w:themeColor="text1"/>
          <w:sz w:val="21"/>
          <w:szCs w:val="21"/>
          <w:lang w:val="es-ES_tradnl"/>
        </w:rPr>
        <w:t>.</w:t>
      </w:r>
    </w:p>
    <w:p w14:paraId="1437802D" w14:textId="77777777" w:rsidR="00971B2A" w:rsidRPr="00191A69" w:rsidRDefault="00971B2A" w:rsidP="00971B2A">
      <w:pPr>
        <w:spacing w:line="276" w:lineRule="auto"/>
        <w:ind w:left="709" w:right="709"/>
        <w:jc w:val="both"/>
        <w:rPr>
          <w:rFonts w:ascii="Arial" w:hAnsi="Arial" w:cs="Arial"/>
          <w:color w:val="000000" w:themeColor="text1"/>
          <w:sz w:val="21"/>
          <w:szCs w:val="21"/>
          <w:lang w:val="es-ES_tradnl"/>
        </w:rPr>
      </w:pPr>
    </w:p>
    <w:p w14:paraId="303CFDF7" w14:textId="738233C1" w:rsidR="00971B2A" w:rsidRPr="00191A69" w:rsidRDefault="00971B2A" w:rsidP="00971B2A">
      <w:pPr>
        <w:spacing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Como se aprecia, el principio </w:t>
      </w:r>
      <w:r w:rsidRPr="00191A69">
        <w:rPr>
          <w:rFonts w:ascii="Arial" w:eastAsia="Calibri" w:hAnsi="Arial" w:cs="Arial"/>
          <w:i/>
          <w:iCs/>
          <w:color w:val="000000" w:themeColor="text1"/>
          <w:sz w:val="22"/>
          <w:lang w:val="es-ES_tradnl"/>
        </w:rPr>
        <w:t xml:space="preserve">pro </w:t>
      </w:r>
      <w:proofErr w:type="spellStart"/>
      <w:r w:rsidRPr="00191A69">
        <w:rPr>
          <w:rFonts w:ascii="Arial" w:eastAsia="Calibri" w:hAnsi="Arial" w:cs="Arial"/>
          <w:i/>
          <w:iCs/>
          <w:color w:val="000000" w:themeColor="text1"/>
          <w:sz w:val="22"/>
          <w:lang w:val="es-ES_tradnl"/>
        </w:rPr>
        <w:t>libertate</w:t>
      </w:r>
      <w:proofErr w:type="spellEnd"/>
      <w:r w:rsidRPr="00191A69">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r w:rsidR="005E03CA" w:rsidRPr="00191A69">
        <w:rPr>
          <w:rFonts w:ascii="Arial" w:eastAsia="Calibri" w:hAnsi="Arial" w:cs="Arial"/>
          <w:color w:val="000000" w:themeColor="text1"/>
          <w:sz w:val="22"/>
          <w:lang w:val="es-ES_tradnl"/>
        </w:rPr>
        <w:t xml:space="preserve"> Dicho postulado es una expresión del principio de favorabilidad, porque exige </w:t>
      </w:r>
      <w:r w:rsidR="00AF74A3" w:rsidRPr="00191A69">
        <w:rPr>
          <w:rFonts w:ascii="Arial" w:eastAsia="Calibri" w:hAnsi="Arial" w:cs="Arial"/>
          <w:color w:val="000000" w:themeColor="text1"/>
          <w:sz w:val="22"/>
          <w:lang w:val="es-ES_tradnl"/>
        </w:rPr>
        <w:t xml:space="preserve">desentrañar el sentido más beneficioso para quien se vería, eventualmente, perjudicado por el efecto consagrado en la disposición normativa. Además, desarrolla la libertad como principio del Estado de derecho. </w:t>
      </w:r>
    </w:p>
    <w:p w14:paraId="7FDFE971" w14:textId="77777777" w:rsidR="00BE2838" w:rsidRPr="00191A69" w:rsidRDefault="00BE2838" w:rsidP="006B6CA9">
      <w:pPr>
        <w:spacing w:line="276" w:lineRule="auto"/>
        <w:jc w:val="both"/>
        <w:rPr>
          <w:rFonts w:ascii="Arial" w:eastAsia="Calibri" w:hAnsi="Arial" w:cs="Arial"/>
          <w:b/>
          <w:bCs/>
          <w:color w:val="000000" w:themeColor="text1"/>
          <w:sz w:val="22"/>
          <w:lang w:val="es-ES_tradnl"/>
        </w:rPr>
      </w:pPr>
    </w:p>
    <w:p w14:paraId="54FD313A" w14:textId="7D9608E3" w:rsidR="006B6CA9" w:rsidRPr="00191A69" w:rsidRDefault="006B6CA9" w:rsidP="006B6CA9">
      <w:pPr>
        <w:spacing w:line="276" w:lineRule="auto"/>
        <w:jc w:val="both"/>
        <w:rPr>
          <w:rFonts w:ascii="Arial" w:eastAsia="Calibri" w:hAnsi="Arial" w:cs="Arial"/>
          <w:b/>
          <w:bCs/>
          <w:color w:val="000000" w:themeColor="text1"/>
          <w:sz w:val="22"/>
          <w:lang w:val="es-ES_tradnl"/>
        </w:rPr>
      </w:pPr>
      <w:r w:rsidRPr="00191A69">
        <w:rPr>
          <w:rFonts w:ascii="Arial" w:eastAsia="Calibri" w:hAnsi="Arial" w:cs="Arial"/>
          <w:b/>
          <w:bCs/>
          <w:color w:val="000000" w:themeColor="text1"/>
          <w:sz w:val="22"/>
          <w:lang w:val="es-ES_tradnl"/>
        </w:rPr>
        <w:lastRenderedPageBreak/>
        <w:t>2.3. Cotizaciones y «participación» en procedimientos de selección. Análisis del momento de vigencia de las inhabilidades e incompatibilidades</w:t>
      </w:r>
    </w:p>
    <w:p w14:paraId="707DB322" w14:textId="77777777" w:rsidR="009C79F2" w:rsidRPr="00191A69" w:rsidRDefault="009C79F2" w:rsidP="009C79F2">
      <w:pPr>
        <w:spacing w:line="276" w:lineRule="auto"/>
        <w:jc w:val="both"/>
        <w:rPr>
          <w:rFonts w:ascii="Arial" w:eastAsia="Calibri" w:hAnsi="Arial" w:cs="Arial"/>
          <w:color w:val="000000" w:themeColor="text1"/>
          <w:sz w:val="22"/>
          <w:lang w:val="es-ES_tradnl"/>
        </w:rPr>
      </w:pPr>
    </w:p>
    <w:p w14:paraId="6865728B" w14:textId="4C3D266B" w:rsidR="00D3622E" w:rsidRPr="00191A69" w:rsidRDefault="009C79F2" w:rsidP="009C79F2">
      <w:pPr>
        <w:spacing w:line="276" w:lineRule="auto"/>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E</w:t>
      </w:r>
      <w:r w:rsidR="00800174" w:rsidRPr="00191A69">
        <w:rPr>
          <w:rFonts w:ascii="Arial" w:eastAsia="Calibri" w:hAnsi="Arial" w:cs="Arial"/>
          <w:color w:val="000000" w:themeColor="text1"/>
          <w:sz w:val="22"/>
          <w:lang w:val="es-ES_tradnl"/>
        </w:rPr>
        <w:t xml:space="preserve">n cuanto a la consulta que se </w:t>
      </w:r>
      <w:r w:rsidR="00603A65" w:rsidRPr="00191A69">
        <w:rPr>
          <w:rFonts w:ascii="Arial" w:eastAsia="Calibri" w:hAnsi="Arial" w:cs="Arial"/>
          <w:color w:val="000000" w:themeColor="text1"/>
          <w:sz w:val="22"/>
          <w:lang w:val="es-ES_tradnl"/>
        </w:rPr>
        <w:t>analiza</w:t>
      </w:r>
      <w:r w:rsidR="00057458" w:rsidRPr="00191A69">
        <w:rPr>
          <w:rFonts w:ascii="Arial" w:eastAsia="Calibri" w:hAnsi="Arial" w:cs="Arial"/>
          <w:color w:val="000000" w:themeColor="text1"/>
          <w:sz w:val="22"/>
          <w:lang w:val="es-ES_tradnl"/>
        </w:rPr>
        <w:t>,</w:t>
      </w:r>
      <w:r w:rsidR="00603A65" w:rsidRPr="00191A69">
        <w:rPr>
          <w:rFonts w:ascii="Arial" w:eastAsia="Calibri" w:hAnsi="Arial" w:cs="Arial"/>
          <w:color w:val="000000" w:themeColor="text1"/>
          <w:sz w:val="22"/>
          <w:lang w:val="es-ES_tradnl"/>
        </w:rPr>
        <w:t xml:space="preserve"> es importante señalar que e</w:t>
      </w:r>
      <w:r w:rsidR="009C595F" w:rsidRPr="00191A69">
        <w:rPr>
          <w:rFonts w:ascii="Arial" w:eastAsia="Calibri" w:hAnsi="Arial" w:cs="Arial"/>
          <w:color w:val="000000" w:themeColor="text1"/>
          <w:sz w:val="22"/>
          <w:lang w:val="es-ES_tradnl"/>
        </w:rPr>
        <w:t xml:space="preserve">l artículo </w:t>
      </w:r>
      <w:r w:rsidR="00EC2B96" w:rsidRPr="00191A69">
        <w:rPr>
          <w:rFonts w:ascii="Arial" w:eastAsia="Calibri" w:hAnsi="Arial" w:cs="Arial"/>
          <w:color w:val="000000" w:themeColor="text1"/>
          <w:sz w:val="22"/>
          <w:lang w:val="es-ES_tradnl"/>
        </w:rPr>
        <w:t>28 del Código Civil establece que «Las palabras de la ley se entenderán en su sentido natural y obvio, según el uso general de las mismas palabras; pero cuando el legislador las haya definido  expresamente para ciertas materias, se les dará en éstas su significado legal».</w:t>
      </w:r>
      <w:r w:rsidR="00800174" w:rsidRPr="00191A69">
        <w:rPr>
          <w:rFonts w:ascii="Arial" w:eastAsia="Calibri" w:hAnsi="Arial" w:cs="Arial"/>
          <w:color w:val="000000" w:themeColor="text1"/>
          <w:sz w:val="22"/>
          <w:lang w:val="es-ES_tradnl"/>
        </w:rPr>
        <w:t xml:space="preserve"> Bajo esta perspectiva</w:t>
      </w:r>
      <w:r w:rsidR="00603A65" w:rsidRPr="00191A69">
        <w:rPr>
          <w:rFonts w:ascii="Arial" w:eastAsia="Calibri" w:hAnsi="Arial" w:cs="Arial"/>
          <w:color w:val="000000" w:themeColor="text1"/>
          <w:sz w:val="22"/>
          <w:lang w:val="es-ES_tradnl"/>
        </w:rPr>
        <w:t xml:space="preserve">, la palabra «cotización» no goza de una definición en el </w:t>
      </w:r>
      <w:r w:rsidR="001446C5" w:rsidRPr="00191A69">
        <w:rPr>
          <w:rFonts w:ascii="Arial" w:eastAsia="Calibri" w:hAnsi="Arial" w:cs="Arial"/>
          <w:color w:val="000000" w:themeColor="text1"/>
          <w:sz w:val="22"/>
          <w:lang w:val="es-ES_tradnl"/>
        </w:rPr>
        <w:t>Estatuto General de Contratación de la Administración Pública</w:t>
      </w:r>
      <w:r w:rsidR="007812E6" w:rsidRPr="00191A69">
        <w:rPr>
          <w:rFonts w:ascii="Arial" w:eastAsia="Calibri" w:hAnsi="Arial" w:cs="Arial"/>
          <w:color w:val="000000" w:themeColor="text1"/>
          <w:sz w:val="22"/>
          <w:lang w:val="es-ES_tradnl"/>
        </w:rPr>
        <w:t xml:space="preserve"> –leyes 80 de 1993 y 1150 de 2007–, ni en la Ley </w:t>
      </w:r>
      <w:r w:rsidR="00BF7521" w:rsidRPr="00191A69">
        <w:rPr>
          <w:rFonts w:ascii="Arial" w:eastAsia="Calibri" w:hAnsi="Arial" w:cs="Arial"/>
          <w:color w:val="000000" w:themeColor="text1"/>
          <w:sz w:val="22"/>
          <w:lang w:val="es-ES_tradnl"/>
        </w:rPr>
        <w:t>1474 de 2011, ni en el Decreto 1082 de 2015</w:t>
      </w:r>
      <w:r w:rsidR="00057458" w:rsidRPr="00191A69">
        <w:rPr>
          <w:rFonts w:ascii="Arial" w:eastAsia="Calibri" w:hAnsi="Arial" w:cs="Arial"/>
          <w:color w:val="000000" w:themeColor="text1"/>
          <w:sz w:val="22"/>
          <w:lang w:val="es-ES_tradnl"/>
        </w:rPr>
        <w:t>.</w:t>
      </w:r>
      <w:r w:rsidR="00D800BB" w:rsidRPr="00191A69">
        <w:rPr>
          <w:rFonts w:ascii="Arial" w:eastAsia="Calibri" w:hAnsi="Arial" w:cs="Arial"/>
          <w:color w:val="000000" w:themeColor="text1"/>
          <w:sz w:val="22"/>
          <w:lang w:val="es-ES_tradnl"/>
        </w:rPr>
        <w:t xml:space="preserve"> En esa medida, hay que acudir al uso general de las palabras en el </w:t>
      </w:r>
      <w:r w:rsidR="007460B6" w:rsidRPr="00191A69">
        <w:rPr>
          <w:rFonts w:ascii="Arial" w:eastAsia="Calibri" w:hAnsi="Arial" w:cs="Arial"/>
          <w:color w:val="000000" w:themeColor="text1"/>
          <w:sz w:val="22"/>
          <w:lang w:val="es-ES_tradnl"/>
        </w:rPr>
        <w:t>sector de la contratación pública.</w:t>
      </w:r>
    </w:p>
    <w:p w14:paraId="5B95479D" w14:textId="013561E6" w:rsidR="00057458" w:rsidRPr="00191A69" w:rsidRDefault="00D3622E" w:rsidP="000E4180">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Según el Diccionario </w:t>
      </w:r>
      <w:r w:rsidR="00BB3732" w:rsidRPr="00191A69">
        <w:rPr>
          <w:rFonts w:ascii="Arial" w:eastAsia="Calibri" w:hAnsi="Arial" w:cs="Arial"/>
          <w:color w:val="000000" w:themeColor="text1"/>
          <w:sz w:val="22"/>
          <w:lang w:val="es-ES_tradnl"/>
        </w:rPr>
        <w:t>de la Lengua Española, cotizar es –entre otros significados– «Poner o fijar precio a algo»</w:t>
      </w:r>
      <w:r w:rsidR="007E6398" w:rsidRPr="00191A69">
        <w:rPr>
          <w:rStyle w:val="Refdenotaalpie"/>
          <w:rFonts w:ascii="Arial" w:eastAsia="Calibri" w:hAnsi="Arial" w:cs="Arial"/>
          <w:color w:val="000000" w:themeColor="text1"/>
          <w:sz w:val="22"/>
          <w:lang w:val="es-ES_tradnl"/>
        </w:rPr>
        <w:footnoteReference w:id="16"/>
      </w:r>
      <w:r w:rsidR="00BB3732" w:rsidRPr="00191A69">
        <w:rPr>
          <w:rFonts w:ascii="Arial" w:eastAsia="Calibri" w:hAnsi="Arial" w:cs="Arial"/>
          <w:color w:val="000000" w:themeColor="text1"/>
          <w:sz w:val="22"/>
          <w:lang w:val="es-ES_tradnl"/>
        </w:rPr>
        <w:t xml:space="preserve">. Sin embargo, en el lenguaje cotidiano de la contratación estatal </w:t>
      </w:r>
      <w:r w:rsidR="001D275F" w:rsidRPr="00191A69">
        <w:rPr>
          <w:rFonts w:ascii="Arial" w:eastAsia="Calibri" w:hAnsi="Arial" w:cs="Arial"/>
          <w:color w:val="000000" w:themeColor="text1"/>
          <w:sz w:val="22"/>
          <w:lang w:val="es-ES_tradnl"/>
        </w:rPr>
        <w:t>existe</w:t>
      </w:r>
      <w:r w:rsidR="0055272D" w:rsidRPr="00191A69">
        <w:rPr>
          <w:rFonts w:ascii="Arial" w:eastAsia="Calibri" w:hAnsi="Arial" w:cs="Arial"/>
          <w:color w:val="000000" w:themeColor="text1"/>
          <w:sz w:val="22"/>
          <w:lang w:val="es-ES_tradnl"/>
        </w:rPr>
        <w:t xml:space="preserve"> un significado más preciso, pues </w:t>
      </w:r>
      <w:r w:rsidR="00BB3732" w:rsidRPr="00191A69">
        <w:rPr>
          <w:rFonts w:ascii="Arial" w:eastAsia="Calibri" w:hAnsi="Arial" w:cs="Arial"/>
          <w:color w:val="000000" w:themeColor="text1"/>
          <w:sz w:val="22"/>
          <w:lang w:val="es-ES_tradnl"/>
        </w:rPr>
        <w:t>es común que los partícipes del sistema de compras y contratación pública distingan las palabras «cotización» y «oferta»</w:t>
      </w:r>
      <w:r w:rsidR="007E6398" w:rsidRPr="00191A69">
        <w:rPr>
          <w:rFonts w:ascii="Arial" w:eastAsia="Calibri" w:hAnsi="Arial" w:cs="Arial"/>
          <w:color w:val="000000" w:themeColor="text1"/>
          <w:sz w:val="22"/>
          <w:lang w:val="es-ES_tradnl"/>
        </w:rPr>
        <w:t>.</w:t>
      </w:r>
      <w:r w:rsidR="00641641" w:rsidRPr="00191A69">
        <w:rPr>
          <w:rFonts w:ascii="Arial" w:eastAsia="Calibri" w:hAnsi="Arial" w:cs="Arial"/>
          <w:color w:val="000000" w:themeColor="text1"/>
          <w:sz w:val="22"/>
          <w:lang w:val="es-ES_tradnl"/>
        </w:rPr>
        <w:t xml:space="preserve"> Por un lado, la cotización suele ser la información que, sobre el precio de un determinado bien o servicio, </w:t>
      </w:r>
      <w:r w:rsidR="000E4180" w:rsidRPr="00191A69">
        <w:rPr>
          <w:rFonts w:ascii="Arial" w:eastAsia="Calibri" w:hAnsi="Arial" w:cs="Arial"/>
          <w:color w:val="000000" w:themeColor="text1"/>
          <w:sz w:val="22"/>
          <w:lang w:val="es-ES_tradnl"/>
        </w:rPr>
        <w:t xml:space="preserve">le </w:t>
      </w:r>
      <w:r w:rsidR="002C09AF" w:rsidRPr="00191A69">
        <w:rPr>
          <w:rFonts w:ascii="Arial" w:eastAsia="Calibri" w:hAnsi="Arial" w:cs="Arial"/>
          <w:color w:val="000000" w:themeColor="text1"/>
          <w:sz w:val="22"/>
          <w:lang w:val="es-ES_tradnl"/>
        </w:rPr>
        <w:t>brinda</w:t>
      </w:r>
      <w:r w:rsidR="000E4180" w:rsidRPr="00191A69">
        <w:rPr>
          <w:rFonts w:ascii="Arial" w:eastAsia="Calibri" w:hAnsi="Arial" w:cs="Arial"/>
          <w:color w:val="000000" w:themeColor="text1"/>
          <w:sz w:val="22"/>
          <w:lang w:val="es-ES_tradnl"/>
        </w:rPr>
        <w:t xml:space="preserve"> un actor del mercado a una entidad estatal interesada en contratar, durante el </w:t>
      </w:r>
      <w:r w:rsidR="000B7257" w:rsidRPr="00191A69">
        <w:rPr>
          <w:rFonts w:ascii="Arial" w:eastAsia="Calibri" w:hAnsi="Arial" w:cs="Arial"/>
          <w:i/>
          <w:iCs/>
          <w:color w:val="000000" w:themeColor="text1"/>
          <w:sz w:val="22"/>
          <w:lang w:val="es-ES_tradnl"/>
        </w:rPr>
        <w:t xml:space="preserve">análisis </w:t>
      </w:r>
      <w:r w:rsidR="000E4180" w:rsidRPr="00191A69">
        <w:rPr>
          <w:rFonts w:ascii="Arial" w:eastAsia="Calibri" w:hAnsi="Arial" w:cs="Arial"/>
          <w:i/>
          <w:iCs/>
          <w:color w:val="000000" w:themeColor="text1"/>
          <w:sz w:val="22"/>
          <w:lang w:val="es-ES_tradnl"/>
        </w:rPr>
        <w:t>del sector</w:t>
      </w:r>
      <w:r w:rsidR="000E4180" w:rsidRPr="00191A69">
        <w:rPr>
          <w:rFonts w:ascii="Arial" w:eastAsia="Calibri" w:hAnsi="Arial" w:cs="Arial"/>
          <w:color w:val="000000" w:themeColor="text1"/>
          <w:sz w:val="22"/>
          <w:lang w:val="es-ES_tradnl"/>
        </w:rPr>
        <w:t>, sin que dicha cotización sea vinculante, ya que –por lo que se ha indicado– tiene una finalidad eminentemente informativa.</w:t>
      </w:r>
      <w:r w:rsidR="00832FE4" w:rsidRPr="00191A69">
        <w:rPr>
          <w:rFonts w:ascii="Arial" w:eastAsia="Calibri" w:hAnsi="Arial" w:cs="Arial"/>
          <w:color w:val="000000" w:themeColor="text1"/>
          <w:sz w:val="22"/>
          <w:lang w:val="es-ES_tradnl"/>
        </w:rPr>
        <w:t xml:space="preserve"> De otra parte, la «oferta» es la propuesta formal que </w:t>
      </w:r>
      <w:r w:rsidR="009C0772" w:rsidRPr="00191A69">
        <w:rPr>
          <w:rFonts w:ascii="Arial" w:eastAsia="Calibri" w:hAnsi="Arial" w:cs="Arial"/>
          <w:color w:val="000000" w:themeColor="text1"/>
          <w:sz w:val="22"/>
          <w:lang w:val="es-ES_tradnl"/>
        </w:rPr>
        <w:t xml:space="preserve">le </w:t>
      </w:r>
      <w:r w:rsidR="00832FE4" w:rsidRPr="00191A69">
        <w:rPr>
          <w:rFonts w:ascii="Arial" w:eastAsia="Calibri" w:hAnsi="Arial" w:cs="Arial"/>
          <w:color w:val="000000" w:themeColor="text1"/>
          <w:sz w:val="22"/>
          <w:lang w:val="es-ES_tradnl"/>
        </w:rPr>
        <w:t>presenta una persona natural o jurídica</w:t>
      </w:r>
      <w:r w:rsidR="00422556" w:rsidRPr="00191A69">
        <w:rPr>
          <w:rFonts w:ascii="Arial" w:eastAsia="Calibri" w:hAnsi="Arial" w:cs="Arial"/>
          <w:color w:val="000000" w:themeColor="text1"/>
          <w:sz w:val="22"/>
          <w:lang w:val="es-ES_tradnl"/>
        </w:rPr>
        <w:t>,</w:t>
      </w:r>
      <w:r w:rsidR="009C0772" w:rsidRPr="00191A69">
        <w:rPr>
          <w:rFonts w:ascii="Arial" w:eastAsia="Calibri" w:hAnsi="Arial" w:cs="Arial"/>
          <w:color w:val="000000" w:themeColor="text1"/>
          <w:sz w:val="22"/>
          <w:lang w:val="es-ES_tradnl"/>
        </w:rPr>
        <w:t xml:space="preserve"> o un proponente plural –consorcio o unión temporal– a una entidad estatal </w:t>
      </w:r>
      <w:r w:rsidR="00C32000" w:rsidRPr="00191A69">
        <w:rPr>
          <w:rFonts w:ascii="Arial" w:eastAsia="Calibri" w:hAnsi="Arial" w:cs="Arial"/>
          <w:color w:val="000000" w:themeColor="text1"/>
          <w:sz w:val="22"/>
          <w:lang w:val="es-ES_tradnl"/>
        </w:rPr>
        <w:t>que ha abierto formalmente un procedimiento de selección contractual. La oferta es</w:t>
      </w:r>
      <w:r w:rsidR="00735508" w:rsidRPr="00191A69">
        <w:rPr>
          <w:rFonts w:ascii="Arial" w:eastAsia="Calibri" w:hAnsi="Arial" w:cs="Arial"/>
          <w:color w:val="000000" w:themeColor="text1"/>
          <w:sz w:val="22"/>
          <w:lang w:val="es-ES_tradnl"/>
        </w:rPr>
        <w:t>,</w:t>
      </w:r>
      <w:r w:rsidR="00C32000" w:rsidRPr="00191A69">
        <w:rPr>
          <w:rFonts w:ascii="Arial" w:eastAsia="Calibri" w:hAnsi="Arial" w:cs="Arial"/>
          <w:color w:val="000000" w:themeColor="text1"/>
          <w:sz w:val="22"/>
          <w:lang w:val="es-ES_tradnl"/>
        </w:rPr>
        <w:t xml:space="preserve"> </w:t>
      </w:r>
      <w:r w:rsidR="00735508" w:rsidRPr="00191A69">
        <w:rPr>
          <w:rFonts w:ascii="Arial" w:eastAsia="Calibri" w:hAnsi="Arial" w:cs="Arial"/>
          <w:color w:val="000000" w:themeColor="text1"/>
          <w:sz w:val="22"/>
          <w:lang w:val="es-ES_tradnl"/>
        </w:rPr>
        <w:t>por consiguiente,</w:t>
      </w:r>
      <w:r w:rsidR="00C32000" w:rsidRPr="00191A69">
        <w:rPr>
          <w:rFonts w:ascii="Arial" w:eastAsia="Calibri" w:hAnsi="Arial" w:cs="Arial"/>
          <w:color w:val="000000" w:themeColor="text1"/>
          <w:sz w:val="22"/>
          <w:lang w:val="es-ES_tradnl"/>
        </w:rPr>
        <w:t xml:space="preserve"> un acto jurídico </w:t>
      </w:r>
      <w:r w:rsidR="0071098F" w:rsidRPr="00191A69">
        <w:rPr>
          <w:rFonts w:ascii="Arial" w:eastAsia="Calibri" w:hAnsi="Arial" w:cs="Arial"/>
          <w:color w:val="000000" w:themeColor="text1"/>
          <w:sz w:val="22"/>
          <w:lang w:val="es-ES_tradnl"/>
        </w:rPr>
        <w:t>unilateral destinado a producir efectos jurídicos</w:t>
      </w:r>
      <w:r w:rsidR="00305700" w:rsidRPr="00191A69">
        <w:rPr>
          <w:rFonts w:ascii="Arial" w:eastAsia="Calibri" w:hAnsi="Arial" w:cs="Arial"/>
          <w:color w:val="000000" w:themeColor="text1"/>
          <w:sz w:val="22"/>
          <w:lang w:val="es-ES_tradnl"/>
        </w:rPr>
        <w:t>, pues vincula al oferente</w:t>
      </w:r>
      <w:r w:rsidR="00AE4C2A" w:rsidRPr="00191A69">
        <w:rPr>
          <w:rStyle w:val="Refdenotaalpie"/>
          <w:rFonts w:ascii="Arial" w:eastAsia="Calibri" w:hAnsi="Arial" w:cs="Arial"/>
          <w:color w:val="000000" w:themeColor="text1"/>
          <w:sz w:val="22"/>
          <w:lang w:val="es-ES_tradnl"/>
        </w:rPr>
        <w:footnoteReference w:id="17"/>
      </w:r>
      <w:r w:rsidR="00AE4C2A" w:rsidRPr="00191A69">
        <w:rPr>
          <w:rFonts w:ascii="Arial" w:eastAsia="Calibri" w:hAnsi="Arial" w:cs="Arial"/>
          <w:color w:val="000000" w:themeColor="text1"/>
          <w:sz w:val="22"/>
          <w:lang w:val="es-ES_tradnl"/>
        </w:rPr>
        <w:t>.</w:t>
      </w:r>
    </w:p>
    <w:p w14:paraId="523AD401" w14:textId="77777777" w:rsidR="00C860CF" w:rsidRPr="00191A69" w:rsidRDefault="002F4002" w:rsidP="000E4180">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Las cotizaciones </w:t>
      </w:r>
      <w:r w:rsidR="0099270A" w:rsidRPr="00191A69">
        <w:rPr>
          <w:rFonts w:ascii="Arial" w:eastAsia="Calibri" w:hAnsi="Arial" w:cs="Arial"/>
          <w:color w:val="000000" w:themeColor="text1"/>
          <w:sz w:val="22"/>
          <w:lang w:val="es-ES_tradnl"/>
        </w:rPr>
        <w:t xml:space="preserve">representan información económica valiosa en el estudio del sector y, como lo ha reconocido la Agencia Nacional de Contratación Pública – Colombia Compra Eficiente, </w:t>
      </w:r>
      <w:r w:rsidR="001E793B" w:rsidRPr="00191A69">
        <w:rPr>
          <w:rFonts w:ascii="Arial" w:eastAsia="Calibri" w:hAnsi="Arial" w:cs="Arial"/>
          <w:color w:val="000000" w:themeColor="text1"/>
          <w:sz w:val="22"/>
          <w:lang w:val="es-ES_tradnl"/>
        </w:rPr>
        <w:t xml:space="preserve">aquellas hacen parte de las herramientas que pueden tener en cuenta las entidades estatales </w:t>
      </w:r>
      <w:r w:rsidR="00645E46" w:rsidRPr="00191A69">
        <w:rPr>
          <w:rFonts w:ascii="Arial" w:eastAsia="Calibri" w:hAnsi="Arial" w:cs="Arial"/>
          <w:color w:val="000000" w:themeColor="text1"/>
          <w:sz w:val="22"/>
          <w:lang w:val="es-ES_tradnl"/>
        </w:rPr>
        <w:t>para la estimación del presupuesto oficial.</w:t>
      </w:r>
      <w:r w:rsidR="00C860CF" w:rsidRPr="00191A69">
        <w:rPr>
          <w:rFonts w:ascii="Arial" w:eastAsia="Calibri" w:hAnsi="Arial" w:cs="Arial"/>
          <w:color w:val="000000" w:themeColor="text1"/>
          <w:sz w:val="22"/>
          <w:lang w:val="es-ES_tradnl"/>
        </w:rPr>
        <w:t xml:space="preserve"> En efecto, la Guía para la Elaboración de Estudios del Sector, indica:</w:t>
      </w:r>
    </w:p>
    <w:p w14:paraId="08A183A2" w14:textId="77777777" w:rsidR="00C860CF" w:rsidRPr="00191A69" w:rsidRDefault="00C860CF" w:rsidP="00FE3B5A">
      <w:pPr>
        <w:ind w:left="709" w:right="709" w:firstLine="709"/>
        <w:jc w:val="both"/>
        <w:rPr>
          <w:rFonts w:ascii="Arial" w:eastAsia="Calibri" w:hAnsi="Arial" w:cs="Arial"/>
          <w:color w:val="000000" w:themeColor="text1"/>
          <w:sz w:val="21"/>
          <w:szCs w:val="21"/>
          <w:lang w:val="es-ES_tradnl"/>
        </w:rPr>
      </w:pPr>
    </w:p>
    <w:p w14:paraId="4B1382A5" w14:textId="21ABFEC9" w:rsidR="00C860CF" w:rsidRPr="00191A69" w:rsidRDefault="00C860CF" w:rsidP="00FE3B5A">
      <w:pPr>
        <w:ind w:left="709" w:right="709"/>
        <w:jc w:val="both"/>
        <w:rPr>
          <w:rFonts w:ascii="Arial" w:eastAsia="Times New Roman" w:hAnsi="Arial" w:cs="Arial"/>
          <w:sz w:val="21"/>
          <w:szCs w:val="21"/>
          <w:lang w:val="es-ES_tradnl" w:eastAsia="es-ES_tradnl"/>
        </w:rPr>
      </w:pPr>
      <w:r w:rsidRPr="00191A69">
        <w:rPr>
          <w:rFonts w:ascii="Arial" w:eastAsia="Times New Roman" w:hAnsi="Arial" w:cs="Arial"/>
          <w:sz w:val="21"/>
          <w:szCs w:val="21"/>
          <w:lang w:val="es-ES_tradnl" w:eastAsia="es-ES_tradnl"/>
        </w:rPr>
        <w:t xml:space="preserve">Colombia Compra Eficiente recomienda a la Entidad Estatal diseñar e implementar escenarios y procedimientos de solicitud de información a los potenciales oferentes. Esta recomendación se orienta a que la Entidad Estatal </w:t>
      </w:r>
      <w:r w:rsidRPr="00191A69">
        <w:rPr>
          <w:rFonts w:ascii="Arial" w:eastAsia="Times New Roman" w:hAnsi="Arial" w:cs="Arial"/>
          <w:sz w:val="21"/>
          <w:szCs w:val="21"/>
          <w:lang w:val="es-ES_tradnl" w:eastAsia="es-ES_tradnl"/>
        </w:rPr>
        <w:lastRenderedPageBreak/>
        <w:t xml:space="preserve">defina qué información, cuándo, por qué medio y a quién la solicitará. Esta definición debe incluir el procedimiento para hacerlo como formatos de solicitud de cotización o de información que permitan una participación uniforme del mayor número posible de interesados. Es recomendable dejar constancia de las fechas de las reuniones, los asistentes y los temas tratados con proveedores y gremios. </w:t>
      </w:r>
    </w:p>
    <w:p w14:paraId="606656D9" w14:textId="77777777" w:rsidR="00FE3B5A" w:rsidRPr="00191A69" w:rsidRDefault="00FE3B5A" w:rsidP="00FE3B5A">
      <w:pPr>
        <w:ind w:left="709" w:right="709"/>
        <w:jc w:val="both"/>
        <w:rPr>
          <w:rFonts w:ascii="Arial" w:eastAsia="Times New Roman" w:hAnsi="Arial" w:cs="Arial"/>
          <w:sz w:val="21"/>
          <w:szCs w:val="21"/>
          <w:lang w:val="es-ES_tradnl" w:eastAsia="es-ES_tradnl"/>
        </w:rPr>
      </w:pPr>
    </w:p>
    <w:p w14:paraId="6F56D384" w14:textId="795059CC" w:rsidR="00C860CF" w:rsidRPr="00191A69" w:rsidRDefault="00C860CF" w:rsidP="00FE3B5A">
      <w:pPr>
        <w:ind w:left="709" w:right="709"/>
        <w:jc w:val="both"/>
        <w:rPr>
          <w:rFonts w:ascii="Arial" w:eastAsia="Times New Roman" w:hAnsi="Arial" w:cs="Arial"/>
          <w:sz w:val="21"/>
          <w:szCs w:val="21"/>
          <w:lang w:val="es-ES_tradnl" w:eastAsia="es-ES_tradnl"/>
        </w:rPr>
      </w:pPr>
      <w:r w:rsidRPr="00191A69">
        <w:rPr>
          <w:rFonts w:ascii="Arial" w:eastAsia="Times New Roman" w:hAnsi="Arial" w:cs="Arial"/>
          <w:sz w:val="21"/>
          <w:szCs w:val="21"/>
          <w:lang w:val="es-ES_tradnl" w:eastAsia="es-ES_tradnl"/>
        </w:rPr>
        <w:t>La Entidad Estatal no tiene que buscar la información financiera de todos proponentes que ofrecen el bien, obra o servicio. Basta con un subconjunto de estos, es decir una muestra que sea representativa y permita visualizar las características del sector</w:t>
      </w:r>
      <w:r w:rsidR="00E37771" w:rsidRPr="00191A69">
        <w:rPr>
          <w:rStyle w:val="Refdenotaalpie"/>
          <w:rFonts w:ascii="Arial" w:eastAsia="Times New Roman" w:hAnsi="Arial" w:cs="Arial"/>
          <w:sz w:val="21"/>
          <w:szCs w:val="21"/>
          <w:lang w:val="es-ES_tradnl" w:eastAsia="es-ES_tradnl"/>
        </w:rPr>
        <w:footnoteReference w:id="18"/>
      </w:r>
      <w:r w:rsidRPr="00191A69">
        <w:rPr>
          <w:rFonts w:ascii="Arial" w:eastAsia="Times New Roman" w:hAnsi="Arial" w:cs="Arial"/>
          <w:sz w:val="21"/>
          <w:szCs w:val="21"/>
          <w:lang w:val="es-ES_tradnl" w:eastAsia="es-ES_tradnl"/>
        </w:rPr>
        <w:t>.</w:t>
      </w:r>
    </w:p>
    <w:p w14:paraId="2FEB6081" w14:textId="379544E5" w:rsidR="002F4002" w:rsidRPr="00191A69" w:rsidRDefault="00023EEB" w:rsidP="00FE3B5A">
      <w:pPr>
        <w:ind w:left="709" w:right="709" w:firstLine="709"/>
        <w:jc w:val="both"/>
        <w:rPr>
          <w:rFonts w:ascii="Arial" w:eastAsia="Calibri" w:hAnsi="Arial" w:cs="Arial"/>
          <w:color w:val="000000" w:themeColor="text1"/>
          <w:sz w:val="21"/>
          <w:szCs w:val="21"/>
          <w:lang w:val="es-ES_tradnl"/>
        </w:rPr>
      </w:pPr>
      <w:r w:rsidRPr="00191A69">
        <w:rPr>
          <w:rFonts w:ascii="Arial" w:eastAsia="Calibri" w:hAnsi="Arial" w:cs="Arial"/>
          <w:color w:val="000000" w:themeColor="text1"/>
          <w:sz w:val="21"/>
          <w:szCs w:val="21"/>
          <w:lang w:val="es-ES_tradnl"/>
        </w:rPr>
        <w:t xml:space="preserve"> </w:t>
      </w:r>
    </w:p>
    <w:p w14:paraId="12C3BC4B" w14:textId="1F296A09" w:rsidR="00586156" w:rsidRPr="00191A69" w:rsidRDefault="00283E9D" w:rsidP="00F343D2">
      <w:pPr>
        <w:spacing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De lo anterior se desprende que q</w:t>
      </w:r>
      <w:r w:rsidR="00F343D2" w:rsidRPr="00191A69">
        <w:rPr>
          <w:rFonts w:ascii="Arial" w:eastAsia="Calibri" w:hAnsi="Arial" w:cs="Arial"/>
          <w:color w:val="000000" w:themeColor="text1"/>
          <w:sz w:val="22"/>
          <w:lang w:val="es-ES_tradnl"/>
        </w:rPr>
        <w:t xml:space="preserve">uien </w:t>
      </w:r>
      <w:r w:rsidR="00C74F6B" w:rsidRPr="00191A69">
        <w:rPr>
          <w:rFonts w:ascii="Arial" w:eastAsia="Calibri" w:hAnsi="Arial" w:cs="Arial"/>
          <w:color w:val="000000" w:themeColor="text1"/>
          <w:sz w:val="22"/>
          <w:lang w:val="es-ES_tradnl"/>
        </w:rPr>
        <w:t>hace</w:t>
      </w:r>
      <w:r w:rsidR="00F343D2" w:rsidRPr="00191A69">
        <w:rPr>
          <w:rFonts w:ascii="Arial" w:eastAsia="Calibri" w:hAnsi="Arial" w:cs="Arial"/>
          <w:color w:val="000000" w:themeColor="text1"/>
          <w:sz w:val="22"/>
          <w:lang w:val="es-ES_tradnl"/>
        </w:rPr>
        <w:t xml:space="preserve"> cotizaciones en la fase del estudio del sector no está aún presentando una oferta dentro de un procedimiento de selección, ni mucho menos contratando con una entidad estatal. Solo está suministrando información</w:t>
      </w:r>
      <w:r w:rsidR="00C74F6B" w:rsidRPr="00191A69">
        <w:rPr>
          <w:rFonts w:ascii="Arial" w:eastAsia="Calibri" w:hAnsi="Arial" w:cs="Arial"/>
          <w:color w:val="000000" w:themeColor="text1"/>
          <w:sz w:val="22"/>
          <w:lang w:val="es-ES_tradnl"/>
        </w:rPr>
        <w:t xml:space="preserve"> no vinculante.</w:t>
      </w:r>
      <w:r w:rsidR="00F9434B" w:rsidRPr="00191A69">
        <w:rPr>
          <w:rFonts w:ascii="Arial" w:eastAsia="Calibri" w:hAnsi="Arial" w:cs="Arial"/>
          <w:color w:val="000000" w:themeColor="text1"/>
          <w:sz w:val="22"/>
          <w:lang w:val="es-ES_tradnl"/>
        </w:rPr>
        <w:t xml:space="preserve"> En ese sentido, al consultar las leyes 80 de 1993, 1150 de 2007 y 1474 de 2011, </w:t>
      </w:r>
      <w:r w:rsidR="007339F4" w:rsidRPr="00191A69">
        <w:rPr>
          <w:rFonts w:ascii="Arial" w:eastAsia="Calibri" w:hAnsi="Arial" w:cs="Arial"/>
          <w:color w:val="000000" w:themeColor="text1"/>
          <w:sz w:val="22"/>
          <w:lang w:val="es-ES_tradnl"/>
        </w:rPr>
        <w:t xml:space="preserve">se puede advertir que </w:t>
      </w:r>
      <w:r w:rsidR="00F9434B" w:rsidRPr="00191A69">
        <w:rPr>
          <w:rFonts w:ascii="Arial" w:eastAsia="Calibri" w:hAnsi="Arial" w:cs="Arial"/>
          <w:color w:val="000000" w:themeColor="text1"/>
          <w:sz w:val="22"/>
          <w:lang w:val="es-ES_tradnl"/>
        </w:rPr>
        <w:t>la actividad de remitir una cotización a una entidad pública en la fase previa al procedimiento de selección contractual</w:t>
      </w:r>
      <w:r w:rsidR="002B446B" w:rsidRPr="00191A69">
        <w:rPr>
          <w:rFonts w:ascii="Arial" w:eastAsia="Calibri" w:hAnsi="Arial" w:cs="Arial"/>
          <w:color w:val="000000" w:themeColor="text1"/>
          <w:sz w:val="22"/>
          <w:lang w:val="es-ES_tradnl"/>
        </w:rPr>
        <w:t>,</w:t>
      </w:r>
      <w:r w:rsidR="00F9434B" w:rsidRPr="00191A69">
        <w:rPr>
          <w:rFonts w:ascii="Arial" w:eastAsia="Calibri" w:hAnsi="Arial" w:cs="Arial"/>
          <w:color w:val="000000" w:themeColor="text1"/>
          <w:sz w:val="22"/>
          <w:lang w:val="es-ES_tradnl"/>
        </w:rPr>
        <w:t xml:space="preserve"> solo </w:t>
      </w:r>
      <w:r w:rsidR="002B446B" w:rsidRPr="00191A69">
        <w:rPr>
          <w:rFonts w:ascii="Arial" w:eastAsia="Calibri" w:hAnsi="Arial" w:cs="Arial"/>
          <w:color w:val="000000" w:themeColor="text1"/>
          <w:sz w:val="22"/>
          <w:lang w:val="es-ES_tradnl"/>
        </w:rPr>
        <w:t>con la finalidad</w:t>
      </w:r>
      <w:r w:rsidR="00F9434B" w:rsidRPr="00191A69">
        <w:rPr>
          <w:rFonts w:ascii="Arial" w:eastAsia="Calibri" w:hAnsi="Arial" w:cs="Arial"/>
          <w:color w:val="000000" w:themeColor="text1"/>
          <w:sz w:val="22"/>
          <w:lang w:val="es-ES_tradnl"/>
        </w:rPr>
        <w:t xml:space="preserve"> </w:t>
      </w:r>
      <w:r w:rsidR="002B446B" w:rsidRPr="00191A69">
        <w:rPr>
          <w:rFonts w:ascii="Arial" w:eastAsia="Calibri" w:hAnsi="Arial" w:cs="Arial"/>
          <w:color w:val="000000" w:themeColor="text1"/>
          <w:sz w:val="22"/>
          <w:lang w:val="es-ES_tradnl"/>
        </w:rPr>
        <w:t>de brindar</w:t>
      </w:r>
      <w:r w:rsidR="00F9434B" w:rsidRPr="00191A69">
        <w:rPr>
          <w:rFonts w:ascii="Arial" w:eastAsia="Calibri" w:hAnsi="Arial" w:cs="Arial"/>
          <w:color w:val="000000" w:themeColor="text1"/>
          <w:sz w:val="22"/>
          <w:lang w:val="es-ES_tradnl"/>
        </w:rPr>
        <w:t xml:space="preserve"> información </w:t>
      </w:r>
      <w:r w:rsidR="002B446B" w:rsidRPr="00191A69">
        <w:rPr>
          <w:rFonts w:ascii="Arial" w:eastAsia="Calibri" w:hAnsi="Arial" w:cs="Arial"/>
          <w:color w:val="000000" w:themeColor="text1"/>
          <w:sz w:val="22"/>
          <w:lang w:val="es-ES_tradnl"/>
        </w:rPr>
        <w:t>sobre</w:t>
      </w:r>
      <w:r w:rsidR="00F9434B" w:rsidRPr="00191A69">
        <w:rPr>
          <w:rFonts w:ascii="Arial" w:eastAsia="Calibri" w:hAnsi="Arial" w:cs="Arial"/>
          <w:color w:val="000000" w:themeColor="text1"/>
          <w:sz w:val="22"/>
          <w:lang w:val="es-ES_tradnl"/>
        </w:rPr>
        <w:t xml:space="preserve"> un precio en el mercado, no aparece expresamente como causal de inhabilidad </w:t>
      </w:r>
      <w:r w:rsidR="00420D2E" w:rsidRPr="00191A69">
        <w:rPr>
          <w:rFonts w:ascii="Arial" w:eastAsia="Calibri" w:hAnsi="Arial" w:cs="Arial"/>
          <w:color w:val="000000" w:themeColor="text1"/>
          <w:sz w:val="22"/>
          <w:lang w:val="es-ES_tradnl"/>
        </w:rPr>
        <w:t>o</w:t>
      </w:r>
      <w:r w:rsidR="00F9434B" w:rsidRPr="00191A69">
        <w:rPr>
          <w:rFonts w:ascii="Arial" w:eastAsia="Calibri" w:hAnsi="Arial" w:cs="Arial"/>
          <w:color w:val="000000" w:themeColor="text1"/>
          <w:sz w:val="22"/>
          <w:lang w:val="es-ES_tradnl"/>
        </w:rPr>
        <w:t xml:space="preserve"> incompatibilidad.</w:t>
      </w:r>
      <w:r w:rsidR="00586156" w:rsidRPr="00191A69">
        <w:rPr>
          <w:rFonts w:ascii="Arial" w:eastAsia="Calibri" w:hAnsi="Arial" w:cs="Arial"/>
          <w:color w:val="000000" w:themeColor="text1"/>
          <w:sz w:val="22"/>
          <w:lang w:val="es-ES_tradnl"/>
        </w:rPr>
        <w:t xml:space="preserve"> El Decreto 1082 de 2015 tampoco establece inhabilidades e incompatibilidades en este sentido, y no podría hacerlo, porque las causales que las </w:t>
      </w:r>
      <w:r w:rsidR="002E4859" w:rsidRPr="00191A69">
        <w:rPr>
          <w:rFonts w:ascii="Arial" w:eastAsia="Calibri" w:hAnsi="Arial" w:cs="Arial"/>
          <w:color w:val="000000" w:themeColor="text1"/>
          <w:sz w:val="22"/>
          <w:lang w:val="es-ES_tradnl"/>
        </w:rPr>
        <w:t>consagra</w:t>
      </w:r>
      <w:r w:rsidR="00B95724" w:rsidRPr="00191A69">
        <w:rPr>
          <w:rFonts w:ascii="Arial" w:eastAsia="Calibri" w:hAnsi="Arial" w:cs="Arial"/>
          <w:color w:val="000000" w:themeColor="text1"/>
          <w:sz w:val="22"/>
          <w:lang w:val="es-ES_tradnl"/>
        </w:rPr>
        <w:t>n</w:t>
      </w:r>
      <w:r w:rsidR="00586156" w:rsidRPr="00191A69">
        <w:rPr>
          <w:rFonts w:ascii="Arial" w:eastAsia="Calibri" w:hAnsi="Arial" w:cs="Arial"/>
          <w:color w:val="000000" w:themeColor="text1"/>
          <w:sz w:val="22"/>
          <w:lang w:val="es-ES_tradnl"/>
        </w:rPr>
        <w:t xml:space="preserve"> tienen reserva de ley, o sea que es una materia que le está vedada al reglamento.</w:t>
      </w:r>
      <w:r w:rsidR="00954B5C" w:rsidRPr="00191A69">
        <w:rPr>
          <w:rFonts w:ascii="Arial" w:eastAsia="Calibri" w:hAnsi="Arial" w:cs="Arial"/>
          <w:color w:val="000000" w:themeColor="text1"/>
          <w:sz w:val="22"/>
          <w:lang w:val="es-ES_tradnl"/>
        </w:rPr>
        <w:t xml:space="preserve"> </w:t>
      </w:r>
    </w:p>
    <w:p w14:paraId="1A28B6D6" w14:textId="292AA085" w:rsidR="00381C55" w:rsidRPr="00191A69" w:rsidRDefault="00954B5C" w:rsidP="00586156">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Los</w:t>
      </w:r>
      <w:r w:rsidR="000069E1" w:rsidRPr="00191A69">
        <w:rPr>
          <w:rFonts w:ascii="Arial" w:eastAsia="Calibri" w:hAnsi="Arial" w:cs="Arial"/>
          <w:color w:val="000000" w:themeColor="text1"/>
          <w:sz w:val="22"/>
          <w:lang w:val="es-ES_tradnl"/>
        </w:rPr>
        <w:t xml:space="preserve"> verbo</w:t>
      </w:r>
      <w:r w:rsidRPr="00191A69">
        <w:rPr>
          <w:rFonts w:ascii="Arial" w:eastAsia="Calibri" w:hAnsi="Arial" w:cs="Arial"/>
          <w:color w:val="000000" w:themeColor="text1"/>
          <w:sz w:val="22"/>
          <w:lang w:val="es-ES_tradnl"/>
        </w:rPr>
        <w:t>s</w:t>
      </w:r>
      <w:r w:rsidR="000069E1" w:rsidRPr="00191A69">
        <w:rPr>
          <w:rFonts w:ascii="Arial" w:eastAsia="Calibri" w:hAnsi="Arial" w:cs="Arial"/>
          <w:color w:val="000000" w:themeColor="text1"/>
          <w:sz w:val="22"/>
          <w:lang w:val="es-ES_tradnl"/>
        </w:rPr>
        <w:t xml:space="preserve"> rector</w:t>
      </w:r>
      <w:r w:rsidRPr="00191A69">
        <w:rPr>
          <w:rFonts w:ascii="Arial" w:eastAsia="Calibri" w:hAnsi="Arial" w:cs="Arial"/>
          <w:color w:val="000000" w:themeColor="text1"/>
          <w:sz w:val="22"/>
          <w:lang w:val="es-ES_tradnl"/>
        </w:rPr>
        <w:t>es</w:t>
      </w:r>
      <w:r w:rsidR="000069E1" w:rsidRPr="00191A69">
        <w:rPr>
          <w:rFonts w:ascii="Arial" w:eastAsia="Calibri" w:hAnsi="Arial" w:cs="Arial"/>
          <w:color w:val="000000" w:themeColor="text1"/>
          <w:sz w:val="22"/>
          <w:lang w:val="es-ES_tradnl"/>
        </w:rPr>
        <w:t xml:space="preserve"> que emplea el legislador</w:t>
      </w:r>
      <w:r w:rsidR="00D140F8" w:rsidRPr="00191A69">
        <w:rPr>
          <w:rFonts w:ascii="Arial" w:eastAsia="Calibri" w:hAnsi="Arial" w:cs="Arial"/>
          <w:color w:val="000000" w:themeColor="text1"/>
          <w:sz w:val="22"/>
          <w:lang w:val="es-ES_tradnl"/>
        </w:rPr>
        <w:t>,</w:t>
      </w:r>
      <w:r w:rsidR="00586156" w:rsidRPr="00191A69">
        <w:rPr>
          <w:rFonts w:ascii="Arial" w:eastAsia="Calibri" w:hAnsi="Arial" w:cs="Arial"/>
          <w:color w:val="000000" w:themeColor="text1"/>
          <w:sz w:val="22"/>
          <w:lang w:val="es-ES_tradnl"/>
        </w:rPr>
        <w:t xml:space="preserve"> al </w:t>
      </w:r>
      <w:r w:rsidR="00B95724" w:rsidRPr="00191A69">
        <w:rPr>
          <w:rFonts w:ascii="Arial" w:eastAsia="Calibri" w:hAnsi="Arial" w:cs="Arial"/>
          <w:color w:val="000000" w:themeColor="text1"/>
          <w:sz w:val="22"/>
          <w:lang w:val="es-ES_tradnl"/>
        </w:rPr>
        <w:t>estatuir</w:t>
      </w:r>
      <w:r w:rsidR="00586156" w:rsidRPr="00191A69">
        <w:rPr>
          <w:rFonts w:ascii="Arial" w:eastAsia="Calibri" w:hAnsi="Arial" w:cs="Arial"/>
          <w:color w:val="000000" w:themeColor="text1"/>
          <w:sz w:val="22"/>
          <w:lang w:val="es-ES_tradnl"/>
        </w:rPr>
        <w:t xml:space="preserve"> las inhabilidades e incompatibilidades en el sistema de compra</w:t>
      </w:r>
      <w:r w:rsidR="00D140F8" w:rsidRPr="00191A69">
        <w:rPr>
          <w:rFonts w:ascii="Arial" w:eastAsia="Calibri" w:hAnsi="Arial" w:cs="Arial"/>
          <w:color w:val="000000" w:themeColor="text1"/>
          <w:sz w:val="22"/>
          <w:lang w:val="es-ES_tradnl"/>
        </w:rPr>
        <w:t>s</w:t>
      </w:r>
      <w:r w:rsidR="00586156" w:rsidRPr="00191A69">
        <w:rPr>
          <w:rFonts w:ascii="Arial" w:eastAsia="Calibri" w:hAnsi="Arial" w:cs="Arial"/>
          <w:color w:val="000000" w:themeColor="text1"/>
          <w:sz w:val="22"/>
          <w:lang w:val="es-ES_tradnl"/>
        </w:rPr>
        <w:t xml:space="preserve"> y contratación pública</w:t>
      </w:r>
      <w:r w:rsidR="00D140F8" w:rsidRPr="00191A69">
        <w:rPr>
          <w:rFonts w:ascii="Arial" w:eastAsia="Calibri" w:hAnsi="Arial" w:cs="Arial"/>
          <w:color w:val="000000" w:themeColor="text1"/>
          <w:sz w:val="22"/>
          <w:lang w:val="es-ES_tradnl"/>
        </w:rPr>
        <w:t>,</w:t>
      </w:r>
      <w:r w:rsidR="00586156" w:rsidRPr="00191A69">
        <w:rPr>
          <w:rFonts w:ascii="Arial" w:eastAsia="Calibri" w:hAnsi="Arial" w:cs="Arial"/>
          <w:color w:val="000000" w:themeColor="text1"/>
          <w:sz w:val="22"/>
          <w:lang w:val="es-ES_tradnl"/>
        </w:rPr>
        <w:t xml:space="preserve"> </w:t>
      </w:r>
      <w:r w:rsidRPr="00191A69">
        <w:rPr>
          <w:rFonts w:ascii="Arial" w:eastAsia="Calibri" w:hAnsi="Arial" w:cs="Arial"/>
          <w:color w:val="000000" w:themeColor="text1"/>
          <w:sz w:val="22"/>
          <w:lang w:val="es-ES_tradnl"/>
        </w:rPr>
        <w:t>son:</w:t>
      </w:r>
      <w:r w:rsidR="000069E1" w:rsidRPr="00191A69">
        <w:rPr>
          <w:rFonts w:ascii="Arial" w:eastAsia="Calibri" w:hAnsi="Arial" w:cs="Arial"/>
          <w:color w:val="000000" w:themeColor="text1"/>
          <w:sz w:val="22"/>
          <w:lang w:val="es-ES_tradnl"/>
        </w:rPr>
        <w:t xml:space="preserve"> «participar» en procedimientos de selección</w:t>
      </w:r>
      <w:r w:rsidRPr="00191A69">
        <w:rPr>
          <w:rFonts w:ascii="Arial" w:eastAsia="Calibri" w:hAnsi="Arial" w:cs="Arial"/>
          <w:color w:val="000000" w:themeColor="text1"/>
          <w:sz w:val="22"/>
          <w:lang w:val="es-ES_tradnl"/>
        </w:rPr>
        <w:t xml:space="preserve"> y «celebrar» contratos con las entidades estatales</w:t>
      </w:r>
      <w:r w:rsidR="00CD4A45" w:rsidRPr="00191A69">
        <w:rPr>
          <w:rFonts w:ascii="Arial" w:eastAsia="Calibri" w:hAnsi="Arial" w:cs="Arial"/>
          <w:color w:val="000000" w:themeColor="text1"/>
          <w:sz w:val="22"/>
          <w:lang w:val="es-ES_tradnl"/>
        </w:rPr>
        <w:t>;</w:t>
      </w:r>
      <w:r w:rsidR="005C41EC" w:rsidRPr="00191A69">
        <w:rPr>
          <w:rFonts w:ascii="Arial" w:eastAsia="Calibri" w:hAnsi="Arial" w:cs="Arial"/>
          <w:color w:val="000000" w:themeColor="text1"/>
          <w:sz w:val="22"/>
          <w:lang w:val="es-ES_tradnl"/>
        </w:rPr>
        <w:t xml:space="preserve"> y, en sentido estricto, se participa en el procedimiento de selección cuando este se ha abierto –es decir, cuando se ha iniciado formalmente–. En la fase de los estudios previos –</w:t>
      </w:r>
      <w:r w:rsidR="00081BD1" w:rsidRPr="00191A69">
        <w:rPr>
          <w:rFonts w:ascii="Arial" w:eastAsia="Calibri" w:hAnsi="Arial" w:cs="Arial"/>
          <w:color w:val="000000" w:themeColor="text1"/>
          <w:sz w:val="22"/>
          <w:lang w:val="es-ES_tradnl"/>
        </w:rPr>
        <w:t>donde</w:t>
      </w:r>
      <w:r w:rsidR="005C41EC" w:rsidRPr="00191A69">
        <w:rPr>
          <w:rFonts w:ascii="Arial" w:eastAsia="Calibri" w:hAnsi="Arial" w:cs="Arial"/>
          <w:color w:val="000000" w:themeColor="text1"/>
          <w:sz w:val="22"/>
          <w:lang w:val="es-ES_tradnl"/>
        </w:rPr>
        <w:t xml:space="preserve"> se ubica el análisis del sector </w:t>
      </w:r>
      <w:r w:rsidR="00081BD1" w:rsidRPr="00191A69">
        <w:rPr>
          <w:rFonts w:ascii="Arial" w:eastAsia="Calibri" w:hAnsi="Arial" w:cs="Arial"/>
          <w:color w:val="000000" w:themeColor="text1"/>
          <w:sz w:val="22"/>
          <w:lang w:val="es-ES_tradnl"/>
        </w:rPr>
        <w:t xml:space="preserve">y </w:t>
      </w:r>
      <w:r w:rsidR="00621DEE" w:rsidRPr="00191A69">
        <w:rPr>
          <w:rFonts w:ascii="Arial" w:eastAsia="Calibri" w:hAnsi="Arial" w:cs="Arial"/>
          <w:color w:val="000000" w:themeColor="text1"/>
          <w:sz w:val="22"/>
          <w:lang w:val="es-ES_tradnl"/>
        </w:rPr>
        <w:t xml:space="preserve">también </w:t>
      </w:r>
      <w:r w:rsidR="00081BD1" w:rsidRPr="00191A69">
        <w:rPr>
          <w:rFonts w:ascii="Arial" w:eastAsia="Calibri" w:hAnsi="Arial" w:cs="Arial"/>
          <w:color w:val="000000" w:themeColor="text1"/>
          <w:sz w:val="22"/>
          <w:lang w:val="es-ES_tradnl"/>
        </w:rPr>
        <w:t>las eventuales cotizaciones– el procedimiento contractual no ha comenzado</w:t>
      </w:r>
      <w:r w:rsidR="00B434D8" w:rsidRPr="00191A69">
        <w:rPr>
          <w:rFonts w:ascii="Arial" w:eastAsia="Calibri" w:hAnsi="Arial" w:cs="Arial"/>
          <w:color w:val="000000" w:themeColor="text1"/>
          <w:sz w:val="22"/>
          <w:lang w:val="es-ES_tradnl"/>
        </w:rPr>
        <w:t xml:space="preserve"> y</w:t>
      </w:r>
      <w:r w:rsidR="00E72184" w:rsidRPr="00191A69">
        <w:rPr>
          <w:rFonts w:ascii="Arial" w:eastAsia="Calibri" w:hAnsi="Arial" w:cs="Arial"/>
          <w:color w:val="000000" w:themeColor="text1"/>
          <w:sz w:val="22"/>
          <w:lang w:val="es-ES_tradnl"/>
        </w:rPr>
        <w:t>,</w:t>
      </w:r>
      <w:r w:rsidR="00B434D8" w:rsidRPr="00191A69">
        <w:rPr>
          <w:rFonts w:ascii="Arial" w:eastAsia="Calibri" w:hAnsi="Arial" w:cs="Arial"/>
          <w:color w:val="000000" w:themeColor="text1"/>
          <w:sz w:val="22"/>
          <w:lang w:val="es-ES_tradnl"/>
        </w:rPr>
        <w:t xml:space="preserve"> por lo tanto</w:t>
      </w:r>
      <w:r w:rsidR="00E72184" w:rsidRPr="00191A69">
        <w:rPr>
          <w:rFonts w:ascii="Arial" w:eastAsia="Calibri" w:hAnsi="Arial" w:cs="Arial"/>
          <w:color w:val="000000" w:themeColor="text1"/>
          <w:sz w:val="22"/>
          <w:lang w:val="es-ES_tradnl"/>
        </w:rPr>
        <w:t>,</w:t>
      </w:r>
      <w:r w:rsidR="00B434D8" w:rsidRPr="00191A69">
        <w:rPr>
          <w:rFonts w:ascii="Arial" w:eastAsia="Calibri" w:hAnsi="Arial" w:cs="Arial"/>
          <w:color w:val="000000" w:themeColor="text1"/>
          <w:sz w:val="22"/>
          <w:lang w:val="es-ES_tradnl"/>
        </w:rPr>
        <w:t xml:space="preserve"> no se «participa».</w:t>
      </w:r>
      <w:r w:rsidR="00245C75" w:rsidRPr="00191A69">
        <w:rPr>
          <w:rFonts w:ascii="Arial" w:eastAsia="Calibri" w:hAnsi="Arial" w:cs="Arial"/>
          <w:color w:val="000000" w:themeColor="text1"/>
          <w:sz w:val="22"/>
          <w:lang w:val="es-ES_tradnl"/>
        </w:rPr>
        <w:t xml:space="preserve"> </w:t>
      </w:r>
      <w:r w:rsidR="002A2C23" w:rsidRPr="00191A69">
        <w:rPr>
          <w:rFonts w:ascii="Arial" w:eastAsia="Calibri" w:hAnsi="Arial" w:cs="Arial"/>
          <w:color w:val="000000" w:themeColor="text1"/>
          <w:sz w:val="22"/>
          <w:lang w:val="es-ES_tradnl"/>
        </w:rPr>
        <w:t>En apoyo a</w:t>
      </w:r>
      <w:r w:rsidR="00245C75" w:rsidRPr="00191A69">
        <w:rPr>
          <w:rFonts w:ascii="Arial" w:eastAsia="Calibri" w:hAnsi="Arial" w:cs="Arial"/>
          <w:color w:val="000000" w:themeColor="text1"/>
          <w:sz w:val="22"/>
          <w:lang w:val="es-ES_tradnl"/>
        </w:rPr>
        <w:t xml:space="preserve"> esta línea argumentativa, e</w:t>
      </w:r>
      <w:r w:rsidR="00B434D8" w:rsidRPr="00191A69">
        <w:rPr>
          <w:rFonts w:ascii="Arial" w:eastAsia="Calibri" w:hAnsi="Arial" w:cs="Arial"/>
          <w:color w:val="000000" w:themeColor="text1"/>
          <w:sz w:val="22"/>
          <w:lang w:val="es-ES_tradnl"/>
        </w:rPr>
        <w:t xml:space="preserve">l artículo </w:t>
      </w:r>
      <w:r w:rsidR="00BD001E" w:rsidRPr="00191A69">
        <w:rPr>
          <w:rFonts w:ascii="Arial" w:eastAsia="Calibri" w:hAnsi="Arial" w:cs="Arial"/>
          <w:color w:val="000000" w:themeColor="text1"/>
          <w:sz w:val="22"/>
          <w:lang w:val="es-ES_tradnl"/>
        </w:rPr>
        <w:t>2.2.1.1.1.2.1. del Decreto 1082 de 2015</w:t>
      </w:r>
      <w:r w:rsidR="002A2C23" w:rsidRPr="00191A69">
        <w:rPr>
          <w:rFonts w:ascii="Arial" w:eastAsia="Calibri" w:hAnsi="Arial" w:cs="Arial"/>
          <w:color w:val="000000" w:themeColor="text1"/>
          <w:sz w:val="22"/>
          <w:lang w:val="es-ES_tradnl"/>
        </w:rPr>
        <w:t xml:space="preserve"> </w:t>
      </w:r>
      <w:r w:rsidR="00FA5F45" w:rsidRPr="00191A69">
        <w:rPr>
          <w:rFonts w:ascii="Arial" w:eastAsia="Calibri" w:hAnsi="Arial" w:cs="Arial"/>
          <w:color w:val="000000" w:themeColor="text1"/>
          <w:sz w:val="22"/>
          <w:lang w:val="es-ES_tradnl"/>
        </w:rPr>
        <w:t xml:space="preserve">entiende como </w:t>
      </w:r>
      <w:r w:rsidR="00E72184" w:rsidRPr="00191A69">
        <w:rPr>
          <w:rFonts w:ascii="Arial" w:eastAsia="Calibri" w:hAnsi="Arial" w:cs="Arial"/>
          <w:color w:val="000000" w:themeColor="text1"/>
          <w:sz w:val="22"/>
          <w:lang w:val="es-ES_tradnl"/>
        </w:rPr>
        <w:t>«</w:t>
      </w:r>
      <w:r w:rsidR="00FA5F45" w:rsidRPr="00191A69">
        <w:rPr>
          <w:rFonts w:ascii="Arial" w:eastAsia="Calibri" w:hAnsi="Arial" w:cs="Arial"/>
          <w:color w:val="000000" w:themeColor="text1"/>
          <w:sz w:val="22"/>
          <w:lang w:val="es-ES_tradnl"/>
        </w:rPr>
        <w:t>partícipes</w:t>
      </w:r>
      <w:r w:rsidR="00E72184" w:rsidRPr="00191A69">
        <w:rPr>
          <w:rFonts w:ascii="Arial" w:eastAsia="Calibri" w:hAnsi="Arial" w:cs="Arial"/>
          <w:color w:val="000000" w:themeColor="text1"/>
          <w:sz w:val="22"/>
          <w:lang w:val="es-ES_tradnl"/>
        </w:rPr>
        <w:t>»</w:t>
      </w:r>
      <w:r w:rsidR="00FA5F45" w:rsidRPr="00191A69">
        <w:rPr>
          <w:rFonts w:ascii="Arial" w:eastAsia="Calibri" w:hAnsi="Arial" w:cs="Arial"/>
          <w:color w:val="000000" w:themeColor="text1"/>
          <w:sz w:val="22"/>
          <w:lang w:val="es-ES_tradnl"/>
        </w:rPr>
        <w:t xml:space="preserve"> a los oferentes</w:t>
      </w:r>
      <w:r w:rsidR="00E72184" w:rsidRPr="00191A69">
        <w:rPr>
          <w:rFonts w:ascii="Arial" w:eastAsia="Calibri" w:hAnsi="Arial" w:cs="Arial"/>
          <w:color w:val="000000" w:themeColor="text1"/>
          <w:sz w:val="22"/>
          <w:lang w:val="es-ES_tradnl"/>
        </w:rPr>
        <w:t xml:space="preserve">; </w:t>
      </w:r>
      <w:r w:rsidR="001C6B8C" w:rsidRPr="00191A69">
        <w:rPr>
          <w:rFonts w:ascii="Arial" w:eastAsia="Calibri" w:hAnsi="Arial" w:cs="Arial"/>
          <w:color w:val="000000" w:themeColor="text1"/>
          <w:sz w:val="22"/>
          <w:lang w:val="es-ES_tradnl"/>
        </w:rPr>
        <w:t>n</w:t>
      </w:r>
      <w:r w:rsidR="00245C75" w:rsidRPr="00191A69">
        <w:rPr>
          <w:rFonts w:ascii="Arial" w:eastAsia="Calibri" w:hAnsi="Arial" w:cs="Arial"/>
          <w:color w:val="000000" w:themeColor="text1"/>
          <w:sz w:val="22"/>
          <w:lang w:val="es-ES_tradnl"/>
        </w:rPr>
        <w:t>o</w:t>
      </w:r>
      <w:r w:rsidR="001C6B8C" w:rsidRPr="00191A69">
        <w:rPr>
          <w:rFonts w:ascii="Arial" w:eastAsia="Calibri" w:hAnsi="Arial" w:cs="Arial"/>
          <w:color w:val="000000" w:themeColor="text1"/>
          <w:sz w:val="22"/>
          <w:lang w:val="es-ES_tradnl"/>
        </w:rPr>
        <w:t xml:space="preserve"> a quienes presentan información no vinculante en el estudio previo del mercado</w:t>
      </w:r>
      <w:r w:rsidR="001C6B8C" w:rsidRPr="00191A69">
        <w:rPr>
          <w:rStyle w:val="Refdenotaalpie"/>
          <w:rFonts w:ascii="Arial" w:eastAsia="Calibri" w:hAnsi="Arial" w:cs="Arial"/>
          <w:color w:val="000000" w:themeColor="text1"/>
          <w:sz w:val="22"/>
          <w:lang w:val="es-ES_tradnl"/>
        </w:rPr>
        <w:footnoteReference w:id="19"/>
      </w:r>
      <w:r w:rsidR="001C6B8C" w:rsidRPr="00191A69">
        <w:rPr>
          <w:rFonts w:ascii="Arial" w:eastAsia="Calibri" w:hAnsi="Arial" w:cs="Arial"/>
          <w:color w:val="000000" w:themeColor="text1"/>
          <w:sz w:val="22"/>
          <w:lang w:val="es-ES_tradnl"/>
        </w:rPr>
        <w:t>.</w:t>
      </w:r>
      <w:r w:rsidR="00FA3A52" w:rsidRPr="00191A69">
        <w:rPr>
          <w:rFonts w:ascii="Arial" w:eastAsia="Calibri" w:hAnsi="Arial" w:cs="Arial"/>
          <w:color w:val="000000" w:themeColor="text1"/>
          <w:sz w:val="22"/>
          <w:lang w:val="es-ES_tradnl"/>
        </w:rPr>
        <w:t xml:space="preserve"> Esto no obsta para que los servidores públicos deban respetar las</w:t>
      </w:r>
      <w:r w:rsidR="001B1830" w:rsidRPr="00191A69">
        <w:rPr>
          <w:rFonts w:ascii="Arial" w:eastAsia="Calibri" w:hAnsi="Arial" w:cs="Arial"/>
          <w:color w:val="000000" w:themeColor="text1"/>
          <w:sz w:val="22"/>
          <w:lang w:val="es-ES_tradnl"/>
        </w:rPr>
        <w:t xml:space="preserve"> </w:t>
      </w:r>
      <w:r w:rsidR="001B1830" w:rsidRPr="00191A69">
        <w:rPr>
          <w:rFonts w:ascii="Arial" w:eastAsia="Calibri" w:hAnsi="Arial" w:cs="Arial"/>
          <w:color w:val="000000" w:themeColor="text1"/>
          <w:sz w:val="22"/>
          <w:lang w:val="es-ES_tradnl"/>
        </w:rPr>
        <w:lastRenderedPageBreak/>
        <w:t>causales de impedimento previstas en el artículo 11 de la Ley 1437 de 2011</w:t>
      </w:r>
      <w:r w:rsidR="004F2B28" w:rsidRPr="00191A69">
        <w:rPr>
          <w:rFonts w:ascii="Arial" w:eastAsia="Calibri" w:hAnsi="Arial" w:cs="Arial"/>
          <w:color w:val="000000" w:themeColor="text1"/>
          <w:sz w:val="22"/>
          <w:lang w:val="es-ES_tradnl"/>
        </w:rPr>
        <w:t>, algunas de las cuales establecen el parentesco como supuesto de hecho</w:t>
      </w:r>
      <w:r w:rsidR="004F2B28" w:rsidRPr="00191A69">
        <w:rPr>
          <w:rStyle w:val="Refdenotaalpie"/>
          <w:rFonts w:ascii="Arial" w:eastAsia="Calibri" w:hAnsi="Arial" w:cs="Arial"/>
          <w:color w:val="000000" w:themeColor="text1"/>
          <w:sz w:val="22"/>
          <w:lang w:val="es-ES_tradnl"/>
        </w:rPr>
        <w:footnoteReference w:id="20"/>
      </w:r>
      <w:r w:rsidR="004F2B28" w:rsidRPr="00191A69">
        <w:rPr>
          <w:rFonts w:ascii="Arial" w:eastAsia="Calibri" w:hAnsi="Arial" w:cs="Arial"/>
          <w:color w:val="000000" w:themeColor="text1"/>
          <w:sz w:val="22"/>
          <w:lang w:val="es-ES_tradnl"/>
        </w:rPr>
        <w:t xml:space="preserve">. </w:t>
      </w:r>
      <w:r w:rsidR="00595EFA" w:rsidRPr="00191A69">
        <w:rPr>
          <w:rFonts w:ascii="Arial" w:eastAsia="Calibri" w:hAnsi="Arial" w:cs="Arial"/>
          <w:color w:val="000000" w:themeColor="text1"/>
          <w:sz w:val="22"/>
          <w:lang w:val="es-ES_tradnl"/>
        </w:rPr>
        <w:t>Lo anterior por cuanto los servidores públicos –incluidos los ordenadores del gasto– deben actuar con imparcialidad</w:t>
      </w:r>
      <w:r w:rsidR="00403CBF" w:rsidRPr="00191A69">
        <w:rPr>
          <w:rFonts w:ascii="Arial" w:eastAsia="Calibri" w:hAnsi="Arial" w:cs="Arial"/>
          <w:color w:val="000000" w:themeColor="text1"/>
          <w:sz w:val="22"/>
          <w:lang w:val="es-ES_tradnl"/>
        </w:rPr>
        <w:t xml:space="preserve">, evitando favorecer a sus parientes, cónyuges, compañeros permanentes, amigos o allegados, </w:t>
      </w:r>
      <w:r w:rsidR="00AE32EF" w:rsidRPr="00191A69">
        <w:rPr>
          <w:rFonts w:ascii="Arial" w:eastAsia="Calibri" w:hAnsi="Arial" w:cs="Arial"/>
          <w:color w:val="000000" w:themeColor="text1"/>
          <w:sz w:val="22"/>
          <w:lang w:val="es-ES_tradnl"/>
        </w:rPr>
        <w:t xml:space="preserve"> </w:t>
      </w:r>
      <w:r w:rsidR="00A0636C" w:rsidRPr="00191A69">
        <w:rPr>
          <w:rFonts w:ascii="Arial" w:eastAsia="Calibri" w:hAnsi="Arial" w:cs="Arial"/>
          <w:color w:val="000000" w:themeColor="text1"/>
          <w:sz w:val="22"/>
          <w:lang w:val="es-ES_tradnl"/>
        </w:rPr>
        <w:t xml:space="preserve">por lo que debe concluirse que </w:t>
      </w:r>
      <w:r w:rsidR="00403CBF" w:rsidRPr="00191A69">
        <w:rPr>
          <w:rFonts w:ascii="Arial" w:eastAsia="Calibri" w:hAnsi="Arial" w:cs="Arial"/>
          <w:color w:val="000000" w:themeColor="text1"/>
          <w:sz w:val="22"/>
          <w:lang w:val="es-ES_tradnl"/>
        </w:rPr>
        <w:t xml:space="preserve">en la contratación pública también está proscrita la desviación de poder. </w:t>
      </w:r>
    </w:p>
    <w:p w14:paraId="220BFE61" w14:textId="1506B996" w:rsidR="00EF153D" w:rsidRPr="00191A69" w:rsidRDefault="004A6D44" w:rsidP="00586156">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Sin perjuicio de </w:t>
      </w:r>
      <w:r w:rsidR="0022040E" w:rsidRPr="00191A69">
        <w:rPr>
          <w:rFonts w:ascii="Arial" w:eastAsia="Calibri" w:hAnsi="Arial" w:cs="Arial"/>
          <w:color w:val="000000" w:themeColor="text1"/>
          <w:sz w:val="22"/>
          <w:lang w:val="es-ES_tradnl"/>
        </w:rPr>
        <w:t>ello</w:t>
      </w:r>
      <w:r w:rsidR="000D44BE" w:rsidRPr="00191A69">
        <w:rPr>
          <w:rFonts w:ascii="Arial" w:eastAsia="Calibri" w:hAnsi="Arial" w:cs="Arial"/>
          <w:color w:val="000000" w:themeColor="text1"/>
          <w:sz w:val="22"/>
          <w:lang w:val="es-ES_tradnl"/>
        </w:rPr>
        <w:t>, como afirma la doctrina,</w:t>
      </w:r>
      <w:r w:rsidR="000243C6" w:rsidRPr="00191A69">
        <w:rPr>
          <w:rFonts w:ascii="Arial" w:eastAsia="Calibri" w:hAnsi="Arial" w:cs="Arial"/>
          <w:color w:val="000000" w:themeColor="text1"/>
          <w:sz w:val="22"/>
          <w:lang w:val="es-ES_tradnl"/>
        </w:rPr>
        <w:t xml:space="preserve"> refiriéndose a</w:t>
      </w:r>
      <w:r w:rsidR="00251EC7" w:rsidRPr="00191A69">
        <w:rPr>
          <w:rFonts w:ascii="Arial" w:eastAsia="Calibri" w:hAnsi="Arial" w:cs="Arial"/>
          <w:color w:val="000000" w:themeColor="text1"/>
          <w:sz w:val="22"/>
          <w:lang w:val="es-ES_tradnl"/>
        </w:rPr>
        <w:t xml:space="preserve"> las etapas cubiertas por las inhabilidades y las incompatibilidades,</w:t>
      </w:r>
    </w:p>
    <w:p w14:paraId="0EC2E90B" w14:textId="77777777" w:rsidR="00BB7D21" w:rsidRPr="00191A69" w:rsidRDefault="00BB7D21" w:rsidP="00BB7D21">
      <w:pPr>
        <w:ind w:left="709" w:right="709"/>
        <w:jc w:val="both"/>
        <w:rPr>
          <w:rFonts w:ascii="Arial" w:eastAsia="Calibri" w:hAnsi="Arial" w:cs="Arial"/>
          <w:color w:val="000000" w:themeColor="text1"/>
          <w:sz w:val="21"/>
          <w:szCs w:val="21"/>
          <w:lang w:val="es-ES_tradnl"/>
        </w:rPr>
      </w:pPr>
    </w:p>
    <w:p w14:paraId="1E71F9CA" w14:textId="3E6183F1" w:rsidR="000D44BE" w:rsidRPr="00191A69" w:rsidRDefault="00436C95" w:rsidP="00BB7D21">
      <w:pPr>
        <w:ind w:left="709" w:right="709"/>
        <w:jc w:val="both"/>
        <w:rPr>
          <w:rFonts w:ascii="Arial" w:eastAsia="Calibri" w:hAnsi="Arial" w:cs="Arial"/>
          <w:color w:val="000000" w:themeColor="text1"/>
          <w:sz w:val="21"/>
          <w:szCs w:val="21"/>
          <w:lang w:val="es-ES_tradnl"/>
        </w:rPr>
      </w:pPr>
      <w:r w:rsidRPr="00191A69">
        <w:rPr>
          <w:rFonts w:ascii="Arial" w:eastAsia="Calibri" w:hAnsi="Arial" w:cs="Arial"/>
          <w:color w:val="000000" w:themeColor="text1"/>
          <w:sz w:val="21"/>
          <w:szCs w:val="21"/>
          <w:lang w:val="es-ES_tradnl"/>
        </w:rPr>
        <w:t>El sentido lógico, atendiendo por supuesto los principios tutelares de la contratación</w:t>
      </w:r>
      <w:r w:rsidR="000243C6" w:rsidRPr="00191A69">
        <w:rPr>
          <w:rFonts w:ascii="Arial" w:eastAsia="Calibri" w:hAnsi="Arial" w:cs="Arial"/>
          <w:color w:val="000000" w:themeColor="text1"/>
          <w:sz w:val="21"/>
          <w:szCs w:val="21"/>
          <w:lang w:val="es-ES_tradnl"/>
        </w:rPr>
        <w:t xml:space="preserve"> y el querer del legislador, es que las prohibiciones abarcan dos momentos</w:t>
      </w:r>
      <w:r w:rsidR="00C85D28" w:rsidRPr="00191A69">
        <w:rPr>
          <w:rFonts w:ascii="Arial" w:eastAsia="Calibri" w:hAnsi="Arial" w:cs="Arial"/>
          <w:color w:val="000000" w:themeColor="text1"/>
          <w:sz w:val="21"/>
          <w:szCs w:val="21"/>
          <w:lang w:val="es-ES_tradnl"/>
        </w:rPr>
        <w:t xml:space="preserve">: tanto la participación en </w:t>
      </w:r>
      <w:r w:rsidR="005215D7" w:rsidRPr="00191A69">
        <w:rPr>
          <w:rFonts w:ascii="Arial" w:eastAsia="Calibri" w:hAnsi="Arial" w:cs="Arial"/>
          <w:color w:val="000000" w:themeColor="text1"/>
          <w:sz w:val="21"/>
          <w:szCs w:val="21"/>
          <w:lang w:val="es-ES_tradnl"/>
        </w:rPr>
        <w:t>procesos de selección como la celebración del contrato</w:t>
      </w:r>
      <w:r w:rsidR="00671B41" w:rsidRPr="00191A69">
        <w:rPr>
          <w:rFonts w:ascii="Arial" w:eastAsia="Calibri" w:hAnsi="Arial" w:cs="Arial"/>
          <w:color w:val="000000" w:themeColor="text1"/>
          <w:sz w:val="21"/>
          <w:szCs w:val="21"/>
          <w:lang w:val="es-ES_tradnl"/>
        </w:rPr>
        <w:t xml:space="preserve">. Bajo esta órbita, en los eventos en donde se debe agotar un proceso de selección que implica pluralidad potencial de </w:t>
      </w:r>
      <w:r w:rsidR="008D2657" w:rsidRPr="00191A69">
        <w:rPr>
          <w:rFonts w:ascii="Arial" w:eastAsia="Calibri" w:hAnsi="Arial" w:cs="Arial"/>
          <w:color w:val="000000" w:themeColor="text1"/>
          <w:sz w:val="21"/>
          <w:szCs w:val="21"/>
          <w:lang w:val="es-ES_tradnl"/>
        </w:rPr>
        <w:t xml:space="preserve">varias </w:t>
      </w:r>
      <w:r w:rsidR="00671B41" w:rsidRPr="00191A69">
        <w:rPr>
          <w:rFonts w:ascii="Arial" w:eastAsia="Calibri" w:hAnsi="Arial" w:cs="Arial"/>
          <w:color w:val="000000" w:themeColor="text1"/>
          <w:sz w:val="21"/>
          <w:szCs w:val="21"/>
          <w:lang w:val="es-ES_tradnl"/>
        </w:rPr>
        <w:t>ofertas,</w:t>
      </w:r>
      <w:r w:rsidR="008D2657" w:rsidRPr="00191A69">
        <w:rPr>
          <w:rFonts w:ascii="Arial" w:eastAsia="Calibri" w:hAnsi="Arial" w:cs="Arial"/>
          <w:color w:val="000000" w:themeColor="text1"/>
          <w:sz w:val="21"/>
          <w:szCs w:val="21"/>
          <w:lang w:val="es-ES_tradnl"/>
        </w:rPr>
        <w:t xml:space="preserve"> la prohibición nace, no desde la celebración del contrato, </w:t>
      </w:r>
      <w:r w:rsidR="008D2657" w:rsidRPr="00191A69">
        <w:rPr>
          <w:rFonts w:ascii="Arial" w:eastAsia="Calibri" w:hAnsi="Arial" w:cs="Arial"/>
          <w:i/>
          <w:iCs/>
          <w:color w:val="000000" w:themeColor="text1"/>
          <w:sz w:val="21"/>
          <w:szCs w:val="21"/>
          <w:lang w:val="es-ES_tradnl"/>
        </w:rPr>
        <w:t>sino desde que se inicia el proceso de selección</w:t>
      </w:r>
      <w:r w:rsidR="00EF153D" w:rsidRPr="00191A69">
        <w:rPr>
          <w:rFonts w:ascii="Arial" w:eastAsia="Calibri" w:hAnsi="Arial" w:cs="Arial"/>
          <w:i/>
          <w:iCs/>
          <w:color w:val="000000" w:themeColor="text1"/>
          <w:sz w:val="21"/>
          <w:szCs w:val="21"/>
          <w:lang w:val="es-ES_tradnl"/>
        </w:rPr>
        <w:t>, normalmente a partir de la solicitud de ofertas</w:t>
      </w:r>
      <w:r w:rsidR="00EF153D" w:rsidRPr="00191A69">
        <w:rPr>
          <w:rFonts w:ascii="Arial" w:eastAsia="Calibri" w:hAnsi="Arial" w:cs="Arial"/>
          <w:color w:val="000000" w:themeColor="text1"/>
          <w:sz w:val="21"/>
          <w:szCs w:val="21"/>
          <w:lang w:val="es-ES_tradnl"/>
        </w:rPr>
        <w:t>, así en sentido estricto no corresponda a una licitación pública</w:t>
      </w:r>
      <w:r w:rsidR="00BB7D21" w:rsidRPr="00191A69">
        <w:rPr>
          <w:rStyle w:val="Refdenotaalpie"/>
          <w:rFonts w:ascii="Arial" w:eastAsia="Calibri" w:hAnsi="Arial" w:cs="Arial"/>
          <w:color w:val="000000" w:themeColor="text1"/>
          <w:sz w:val="21"/>
          <w:szCs w:val="21"/>
          <w:lang w:val="es-ES_tradnl"/>
        </w:rPr>
        <w:footnoteReference w:id="21"/>
      </w:r>
      <w:r w:rsidR="00A8610B" w:rsidRPr="00191A69">
        <w:rPr>
          <w:rFonts w:ascii="Arial" w:eastAsia="Calibri" w:hAnsi="Arial" w:cs="Arial"/>
          <w:color w:val="000000" w:themeColor="text1"/>
          <w:sz w:val="21"/>
          <w:szCs w:val="21"/>
          <w:lang w:val="es-ES_tradnl"/>
        </w:rPr>
        <w:t xml:space="preserve"> (énfasis fuera de texto)</w:t>
      </w:r>
      <w:r w:rsidR="00EF153D" w:rsidRPr="00191A69">
        <w:rPr>
          <w:rFonts w:ascii="Arial" w:eastAsia="Calibri" w:hAnsi="Arial" w:cs="Arial"/>
          <w:color w:val="000000" w:themeColor="text1"/>
          <w:sz w:val="21"/>
          <w:szCs w:val="21"/>
          <w:lang w:val="es-ES_tradnl"/>
        </w:rPr>
        <w:t>.</w:t>
      </w:r>
      <w:r w:rsidR="00671B41" w:rsidRPr="00191A69">
        <w:rPr>
          <w:rFonts w:ascii="Arial" w:eastAsia="Calibri" w:hAnsi="Arial" w:cs="Arial"/>
          <w:color w:val="000000" w:themeColor="text1"/>
          <w:sz w:val="21"/>
          <w:szCs w:val="21"/>
          <w:lang w:val="es-ES_tradnl"/>
        </w:rPr>
        <w:t xml:space="preserve"> </w:t>
      </w:r>
      <w:r w:rsidR="000243C6" w:rsidRPr="00191A69">
        <w:rPr>
          <w:rFonts w:ascii="Arial" w:eastAsia="Calibri" w:hAnsi="Arial" w:cs="Arial"/>
          <w:color w:val="000000" w:themeColor="text1"/>
          <w:sz w:val="21"/>
          <w:szCs w:val="21"/>
          <w:lang w:val="es-ES_tradnl"/>
        </w:rPr>
        <w:t xml:space="preserve"> </w:t>
      </w:r>
    </w:p>
    <w:p w14:paraId="495720C0" w14:textId="77777777" w:rsidR="00BB7D21" w:rsidRPr="00191A69" w:rsidRDefault="00BB7D21" w:rsidP="00BB7D21">
      <w:pPr>
        <w:spacing w:line="276" w:lineRule="auto"/>
        <w:ind w:firstLine="709"/>
        <w:jc w:val="both"/>
        <w:rPr>
          <w:rFonts w:ascii="Arial" w:eastAsia="Calibri" w:hAnsi="Arial" w:cs="Arial"/>
          <w:color w:val="000000" w:themeColor="text1"/>
          <w:sz w:val="22"/>
          <w:lang w:val="es-ES_tradnl"/>
        </w:rPr>
      </w:pPr>
    </w:p>
    <w:p w14:paraId="61AE0D59" w14:textId="7E2099C0" w:rsidR="007601DC" w:rsidRPr="00191A69" w:rsidRDefault="00B44D40" w:rsidP="00BB7D21">
      <w:pPr>
        <w:spacing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Sin </w:t>
      </w:r>
      <w:r w:rsidR="00BF2055" w:rsidRPr="00191A69">
        <w:rPr>
          <w:rFonts w:ascii="Arial" w:eastAsia="Calibri" w:hAnsi="Arial" w:cs="Arial"/>
          <w:color w:val="000000" w:themeColor="text1"/>
          <w:sz w:val="22"/>
          <w:lang w:val="es-ES_tradnl"/>
        </w:rPr>
        <w:t>e</w:t>
      </w:r>
      <w:r w:rsidRPr="00191A69">
        <w:rPr>
          <w:rFonts w:ascii="Arial" w:eastAsia="Calibri" w:hAnsi="Arial" w:cs="Arial"/>
          <w:color w:val="000000" w:themeColor="text1"/>
          <w:sz w:val="22"/>
          <w:lang w:val="es-ES_tradnl"/>
        </w:rPr>
        <w:t>mbargo</w:t>
      </w:r>
      <w:r w:rsidR="0044577C" w:rsidRPr="00191A69">
        <w:rPr>
          <w:rFonts w:ascii="Arial" w:eastAsia="Calibri" w:hAnsi="Arial" w:cs="Arial"/>
          <w:color w:val="000000" w:themeColor="text1"/>
          <w:sz w:val="22"/>
          <w:lang w:val="es-ES_tradnl"/>
        </w:rPr>
        <w:t>, s</w:t>
      </w:r>
      <w:r w:rsidR="007601DC" w:rsidRPr="00191A69">
        <w:rPr>
          <w:rFonts w:ascii="Arial" w:eastAsia="Calibri" w:hAnsi="Arial" w:cs="Arial"/>
          <w:color w:val="000000" w:themeColor="text1"/>
          <w:sz w:val="22"/>
          <w:lang w:val="es-ES_tradnl"/>
        </w:rPr>
        <w:t>i</w:t>
      </w:r>
      <w:r w:rsidR="00C217B4" w:rsidRPr="00191A69">
        <w:rPr>
          <w:rFonts w:ascii="Arial" w:eastAsia="Calibri" w:hAnsi="Arial" w:cs="Arial"/>
          <w:color w:val="000000" w:themeColor="text1"/>
          <w:sz w:val="22"/>
          <w:lang w:val="es-ES_tradnl"/>
        </w:rPr>
        <w:t>, al formular sus preguntas,</w:t>
      </w:r>
      <w:r w:rsidR="001841F8" w:rsidRPr="00191A69">
        <w:rPr>
          <w:rFonts w:ascii="Arial" w:eastAsia="Calibri" w:hAnsi="Arial" w:cs="Arial"/>
          <w:color w:val="000000" w:themeColor="text1"/>
          <w:sz w:val="22"/>
          <w:lang w:val="es-ES_tradnl"/>
        </w:rPr>
        <w:t xml:space="preserve"> el peticionario </w:t>
      </w:r>
      <w:r w:rsidR="003B5B5E" w:rsidRPr="00191A69">
        <w:rPr>
          <w:rFonts w:ascii="Arial" w:eastAsia="Calibri" w:hAnsi="Arial" w:cs="Arial"/>
          <w:color w:val="000000" w:themeColor="text1"/>
          <w:sz w:val="22"/>
          <w:lang w:val="es-ES_tradnl"/>
        </w:rPr>
        <w:t>quiso</w:t>
      </w:r>
      <w:r w:rsidR="001841F8" w:rsidRPr="00191A69">
        <w:rPr>
          <w:rFonts w:ascii="Arial" w:eastAsia="Calibri" w:hAnsi="Arial" w:cs="Arial"/>
          <w:color w:val="000000" w:themeColor="text1"/>
          <w:sz w:val="22"/>
          <w:lang w:val="es-ES_tradnl"/>
        </w:rPr>
        <w:t xml:space="preserve"> aludir</w:t>
      </w:r>
      <w:r w:rsidR="003B5B5E" w:rsidRPr="00191A69">
        <w:rPr>
          <w:rFonts w:ascii="Arial" w:eastAsia="Calibri" w:hAnsi="Arial" w:cs="Arial"/>
          <w:color w:val="000000" w:themeColor="text1"/>
          <w:sz w:val="22"/>
          <w:lang w:val="es-ES_tradnl"/>
        </w:rPr>
        <w:t>,</w:t>
      </w:r>
      <w:r w:rsidR="001841F8" w:rsidRPr="00191A69">
        <w:rPr>
          <w:rFonts w:ascii="Arial" w:eastAsia="Calibri" w:hAnsi="Arial" w:cs="Arial"/>
          <w:color w:val="000000" w:themeColor="text1"/>
          <w:sz w:val="22"/>
          <w:lang w:val="es-ES_tradnl"/>
        </w:rPr>
        <w:t xml:space="preserve"> con la palabra </w:t>
      </w:r>
      <w:r w:rsidR="0044577C" w:rsidRPr="00191A69">
        <w:rPr>
          <w:rFonts w:ascii="Arial" w:eastAsia="Calibri" w:hAnsi="Arial" w:cs="Arial"/>
          <w:color w:val="000000" w:themeColor="text1"/>
          <w:sz w:val="22"/>
          <w:lang w:val="es-ES_tradnl"/>
        </w:rPr>
        <w:t>«cotización»</w:t>
      </w:r>
      <w:r w:rsidR="003B5B5E" w:rsidRPr="00191A69">
        <w:rPr>
          <w:rFonts w:ascii="Arial" w:eastAsia="Calibri" w:hAnsi="Arial" w:cs="Arial"/>
          <w:color w:val="000000" w:themeColor="text1"/>
          <w:sz w:val="22"/>
          <w:lang w:val="es-ES_tradnl"/>
        </w:rPr>
        <w:t>,</w:t>
      </w:r>
      <w:r w:rsidR="001841F8" w:rsidRPr="00191A69">
        <w:rPr>
          <w:rFonts w:ascii="Arial" w:eastAsia="Calibri" w:hAnsi="Arial" w:cs="Arial"/>
          <w:color w:val="000000" w:themeColor="text1"/>
          <w:sz w:val="22"/>
          <w:lang w:val="es-ES_tradnl"/>
        </w:rPr>
        <w:t xml:space="preserve"> a la presentación de una oferta</w:t>
      </w:r>
      <w:r w:rsidR="00F360FA" w:rsidRPr="00191A69">
        <w:rPr>
          <w:rStyle w:val="Refdenotaalpie"/>
          <w:rFonts w:ascii="Arial" w:eastAsia="Calibri" w:hAnsi="Arial" w:cs="Arial"/>
          <w:color w:val="000000" w:themeColor="text1"/>
          <w:sz w:val="22"/>
          <w:lang w:val="es-ES_tradnl"/>
        </w:rPr>
        <w:footnoteReference w:id="22"/>
      </w:r>
      <w:r w:rsidR="001841F8" w:rsidRPr="00191A69">
        <w:rPr>
          <w:rFonts w:ascii="Arial" w:eastAsia="Calibri" w:hAnsi="Arial" w:cs="Arial"/>
          <w:color w:val="000000" w:themeColor="text1"/>
          <w:sz w:val="22"/>
          <w:lang w:val="es-ES_tradnl"/>
        </w:rPr>
        <w:t xml:space="preserve"> en un procedimiento de selección ya iniciado, </w:t>
      </w:r>
      <w:r w:rsidR="00067214" w:rsidRPr="00191A69">
        <w:rPr>
          <w:rFonts w:ascii="Arial" w:eastAsia="Calibri" w:hAnsi="Arial" w:cs="Arial"/>
          <w:color w:val="000000" w:themeColor="text1"/>
          <w:sz w:val="22"/>
          <w:lang w:val="es-ES_tradnl"/>
        </w:rPr>
        <w:lastRenderedPageBreak/>
        <w:t xml:space="preserve">en tal evento el ordenamiento jurídico sí </w:t>
      </w:r>
      <w:r w:rsidR="00C217B4" w:rsidRPr="00191A69">
        <w:rPr>
          <w:rFonts w:ascii="Arial" w:eastAsia="Calibri" w:hAnsi="Arial" w:cs="Arial"/>
          <w:color w:val="000000" w:themeColor="text1"/>
          <w:sz w:val="22"/>
          <w:lang w:val="es-ES_tradnl"/>
        </w:rPr>
        <w:t xml:space="preserve">establece causales de inhabilidad o incompatibilidad </w:t>
      </w:r>
      <w:r w:rsidR="0056420F" w:rsidRPr="00191A69">
        <w:rPr>
          <w:rFonts w:ascii="Arial" w:eastAsia="Calibri" w:hAnsi="Arial" w:cs="Arial"/>
          <w:color w:val="000000" w:themeColor="text1"/>
          <w:sz w:val="22"/>
          <w:lang w:val="es-ES_tradnl"/>
        </w:rPr>
        <w:t xml:space="preserve">originadas </w:t>
      </w:r>
      <w:r w:rsidR="00067214" w:rsidRPr="00191A69">
        <w:rPr>
          <w:rFonts w:ascii="Arial" w:eastAsia="Calibri" w:hAnsi="Arial" w:cs="Arial"/>
          <w:color w:val="000000" w:themeColor="text1"/>
          <w:sz w:val="22"/>
          <w:lang w:val="es-ES_tradnl"/>
        </w:rPr>
        <w:t>en</w:t>
      </w:r>
      <w:r w:rsidR="0056420F" w:rsidRPr="00191A69">
        <w:rPr>
          <w:rFonts w:ascii="Arial" w:eastAsia="Calibri" w:hAnsi="Arial" w:cs="Arial"/>
          <w:color w:val="000000" w:themeColor="text1"/>
          <w:sz w:val="22"/>
          <w:lang w:val="es-ES_tradnl"/>
        </w:rPr>
        <w:t xml:space="preserve"> ciertos grados de parentesco de consanguinidad. Verbigracia, las causales previstas</w:t>
      </w:r>
      <w:r w:rsidR="003666EF" w:rsidRPr="00191A69">
        <w:rPr>
          <w:rFonts w:ascii="Arial" w:eastAsia="Calibri" w:hAnsi="Arial" w:cs="Arial"/>
          <w:color w:val="000000" w:themeColor="text1"/>
          <w:sz w:val="22"/>
          <w:lang w:val="es-ES_tradnl"/>
        </w:rPr>
        <w:t xml:space="preserve"> </w:t>
      </w:r>
      <w:r w:rsidR="00D14DC8" w:rsidRPr="00191A69">
        <w:rPr>
          <w:rFonts w:ascii="Arial" w:eastAsia="Calibri" w:hAnsi="Arial" w:cs="Arial"/>
          <w:color w:val="000000" w:themeColor="text1"/>
          <w:sz w:val="22"/>
          <w:lang w:val="es-ES_tradnl"/>
        </w:rPr>
        <w:t>en el artículo 126 de la Constitución</w:t>
      </w:r>
      <w:r w:rsidR="00D40F13" w:rsidRPr="00191A69">
        <w:rPr>
          <w:rStyle w:val="Refdenotaalpie"/>
          <w:rFonts w:ascii="Arial" w:eastAsia="Calibri" w:hAnsi="Arial" w:cs="Arial"/>
          <w:color w:val="000000" w:themeColor="text1"/>
          <w:sz w:val="22"/>
          <w:lang w:val="es-ES_tradnl"/>
        </w:rPr>
        <w:footnoteReference w:id="23"/>
      </w:r>
      <w:r w:rsidR="00D40F13" w:rsidRPr="00191A69">
        <w:rPr>
          <w:rFonts w:ascii="Arial" w:eastAsia="Calibri" w:hAnsi="Arial" w:cs="Arial"/>
          <w:color w:val="000000" w:themeColor="text1"/>
          <w:sz w:val="22"/>
          <w:lang w:val="es-ES_tradnl"/>
        </w:rPr>
        <w:t xml:space="preserve">, </w:t>
      </w:r>
      <w:r w:rsidR="00D42F5D" w:rsidRPr="00191A69">
        <w:rPr>
          <w:rFonts w:ascii="Arial" w:eastAsia="Calibri" w:hAnsi="Arial" w:cs="Arial"/>
          <w:color w:val="000000" w:themeColor="text1"/>
          <w:sz w:val="22"/>
          <w:lang w:val="es-ES_tradnl"/>
        </w:rPr>
        <w:t xml:space="preserve">y </w:t>
      </w:r>
      <w:r w:rsidR="00D40F13" w:rsidRPr="00191A69">
        <w:rPr>
          <w:rFonts w:ascii="Arial" w:eastAsia="Calibri" w:hAnsi="Arial" w:cs="Arial"/>
          <w:color w:val="000000" w:themeColor="text1"/>
          <w:sz w:val="22"/>
          <w:lang w:val="es-ES_tradnl"/>
        </w:rPr>
        <w:t>en el artículo 8</w:t>
      </w:r>
      <w:r w:rsidR="00D454AF" w:rsidRPr="00191A69">
        <w:rPr>
          <w:rFonts w:ascii="Arial" w:eastAsia="Calibri" w:hAnsi="Arial" w:cs="Arial"/>
          <w:color w:val="000000" w:themeColor="text1"/>
          <w:sz w:val="22"/>
          <w:lang w:val="es-ES_tradnl"/>
        </w:rPr>
        <w:t xml:space="preserve">, </w:t>
      </w:r>
      <w:r w:rsidR="00D454AF" w:rsidRPr="00191A69">
        <w:rPr>
          <w:rFonts w:ascii="Arial" w:eastAsia="Calibri" w:hAnsi="Arial" w:cs="Arial"/>
          <w:color w:val="000000" w:themeColor="text1"/>
          <w:sz w:val="22"/>
          <w:lang w:val="es-ES_tradnl"/>
        </w:rPr>
        <w:lastRenderedPageBreak/>
        <w:t>numeral 1, literales</w:t>
      </w:r>
      <w:r w:rsidR="009D7BCD" w:rsidRPr="00191A69">
        <w:rPr>
          <w:rFonts w:ascii="Arial" w:eastAsia="Calibri" w:hAnsi="Arial" w:cs="Arial"/>
          <w:color w:val="000000" w:themeColor="text1"/>
          <w:sz w:val="22"/>
          <w:lang w:val="es-ES_tradnl"/>
        </w:rPr>
        <w:t xml:space="preserve"> g</w:t>
      </w:r>
      <w:r w:rsidR="009A43F3" w:rsidRPr="00191A69">
        <w:rPr>
          <w:rFonts w:ascii="Arial" w:eastAsia="Calibri" w:hAnsi="Arial" w:cs="Arial"/>
          <w:color w:val="000000" w:themeColor="text1"/>
          <w:sz w:val="22"/>
          <w:lang w:val="es-ES_tradnl"/>
        </w:rPr>
        <w:t>)</w:t>
      </w:r>
      <w:r w:rsidR="009D7BCD" w:rsidRPr="00191A69">
        <w:rPr>
          <w:rStyle w:val="Refdenotaalpie"/>
          <w:rFonts w:ascii="Arial" w:eastAsia="Calibri" w:hAnsi="Arial" w:cs="Arial"/>
          <w:color w:val="000000" w:themeColor="text1"/>
          <w:sz w:val="22"/>
          <w:lang w:val="es-ES_tradnl"/>
        </w:rPr>
        <w:footnoteReference w:id="24"/>
      </w:r>
      <w:r w:rsidR="009A43F3" w:rsidRPr="00191A69">
        <w:rPr>
          <w:rFonts w:ascii="Arial" w:eastAsia="Calibri" w:hAnsi="Arial" w:cs="Arial"/>
          <w:color w:val="000000" w:themeColor="text1"/>
          <w:sz w:val="22"/>
          <w:lang w:val="es-ES_tradnl"/>
        </w:rPr>
        <w:t>, h)</w:t>
      </w:r>
      <w:r w:rsidR="009A43F3" w:rsidRPr="00191A69">
        <w:rPr>
          <w:rStyle w:val="Refdenotaalpie"/>
          <w:rFonts w:ascii="Arial" w:eastAsia="Calibri" w:hAnsi="Arial" w:cs="Arial"/>
          <w:color w:val="000000" w:themeColor="text1"/>
          <w:sz w:val="22"/>
          <w:lang w:val="es-ES_tradnl"/>
        </w:rPr>
        <w:footnoteReference w:id="25"/>
      </w:r>
      <w:r w:rsidR="00F13EEA" w:rsidRPr="00191A69">
        <w:rPr>
          <w:rFonts w:ascii="Arial" w:eastAsia="Calibri" w:hAnsi="Arial" w:cs="Arial"/>
          <w:color w:val="000000" w:themeColor="text1"/>
          <w:sz w:val="22"/>
          <w:lang w:val="es-ES_tradnl"/>
        </w:rPr>
        <w:t xml:space="preserve"> </w:t>
      </w:r>
      <w:r w:rsidR="00621DEE" w:rsidRPr="00191A69">
        <w:rPr>
          <w:rFonts w:ascii="Arial" w:eastAsia="Calibri" w:hAnsi="Arial" w:cs="Arial"/>
          <w:color w:val="000000" w:themeColor="text1"/>
          <w:sz w:val="22"/>
          <w:lang w:val="es-ES_tradnl"/>
        </w:rPr>
        <w:t xml:space="preserve">y </w:t>
      </w:r>
      <w:r w:rsidR="00D74812" w:rsidRPr="00191A69">
        <w:rPr>
          <w:rFonts w:ascii="Arial" w:eastAsia="Calibri" w:hAnsi="Arial" w:cs="Arial"/>
          <w:color w:val="000000" w:themeColor="text1"/>
          <w:sz w:val="22"/>
          <w:lang w:val="es-ES_tradnl"/>
        </w:rPr>
        <w:t>k)</w:t>
      </w:r>
      <w:r w:rsidR="00D74812" w:rsidRPr="00191A69">
        <w:rPr>
          <w:rStyle w:val="Refdenotaalpie"/>
          <w:rFonts w:ascii="Arial" w:eastAsia="Calibri" w:hAnsi="Arial" w:cs="Arial"/>
          <w:color w:val="000000" w:themeColor="text1"/>
          <w:sz w:val="22"/>
          <w:lang w:val="es-ES_tradnl"/>
        </w:rPr>
        <w:footnoteReference w:id="26"/>
      </w:r>
      <w:r w:rsidR="00621DEE" w:rsidRPr="00191A69">
        <w:rPr>
          <w:rFonts w:ascii="Arial" w:eastAsia="Calibri" w:hAnsi="Arial" w:cs="Arial"/>
          <w:color w:val="000000" w:themeColor="text1"/>
          <w:sz w:val="22"/>
          <w:lang w:val="es-ES_tradnl"/>
        </w:rPr>
        <w:t xml:space="preserve">, así como </w:t>
      </w:r>
      <w:r w:rsidR="00F13EEA" w:rsidRPr="00191A69">
        <w:rPr>
          <w:rFonts w:ascii="Arial" w:eastAsia="Calibri" w:hAnsi="Arial" w:cs="Arial"/>
          <w:color w:val="000000" w:themeColor="text1"/>
          <w:sz w:val="22"/>
          <w:lang w:val="es-ES_tradnl"/>
        </w:rPr>
        <w:t xml:space="preserve">en el numeral 2, literales </w:t>
      </w:r>
      <w:r w:rsidR="006624A3" w:rsidRPr="00191A69">
        <w:rPr>
          <w:rFonts w:ascii="Arial" w:eastAsia="Calibri" w:hAnsi="Arial" w:cs="Arial"/>
          <w:color w:val="000000" w:themeColor="text1"/>
          <w:sz w:val="22"/>
          <w:lang w:val="es-ES_tradnl"/>
        </w:rPr>
        <w:t>b)</w:t>
      </w:r>
      <w:r w:rsidR="006624A3" w:rsidRPr="00191A69">
        <w:rPr>
          <w:rStyle w:val="Refdenotaalpie"/>
          <w:rFonts w:ascii="Arial" w:eastAsia="Calibri" w:hAnsi="Arial" w:cs="Arial"/>
          <w:color w:val="000000" w:themeColor="text1"/>
          <w:sz w:val="22"/>
          <w:lang w:val="es-ES_tradnl"/>
        </w:rPr>
        <w:footnoteReference w:id="27"/>
      </w:r>
      <w:r w:rsidR="00A05329" w:rsidRPr="00191A69">
        <w:rPr>
          <w:rFonts w:ascii="Arial" w:eastAsia="Calibri" w:hAnsi="Arial" w:cs="Arial"/>
          <w:color w:val="000000" w:themeColor="text1"/>
          <w:sz w:val="22"/>
          <w:lang w:val="es-ES_tradnl"/>
        </w:rPr>
        <w:t>, d)</w:t>
      </w:r>
      <w:r w:rsidR="00A05329" w:rsidRPr="00191A69">
        <w:rPr>
          <w:rStyle w:val="Refdenotaalpie"/>
          <w:rFonts w:ascii="Arial" w:eastAsia="Calibri" w:hAnsi="Arial" w:cs="Arial"/>
          <w:color w:val="000000" w:themeColor="text1"/>
          <w:sz w:val="22"/>
          <w:lang w:val="es-ES_tradnl"/>
        </w:rPr>
        <w:footnoteReference w:id="28"/>
      </w:r>
      <w:r w:rsidR="008D3172" w:rsidRPr="00191A69">
        <w:rPr>
          <w:rFonts w:ascii="Arial" w:eastAsia="Calibri" w:hAnsi="Arial" w:cs="Arial"/>
          <w:color w:val="000000" w:themeColor="text1"/>
          <w:sz w:val="22"/>
          <w:lang w:val="es-ES_tradnl"/>
        </w:rPr>
        <w:t xml:space="preserve"> y f)</w:t>
      </w:r>
      <w:r w:rsidR="00FA3A52" w:rsidRPr="00191A69">
        <w:rPr>
          <w:rStyle w:val="Refdenotaalpie"/>
          <w:rFonts w:ascii="Arial" w:eastAsia="Calibri" w:hAnsi="Arial" w:cs="Arial"/>
          <w:color w:val="000000" w:themeColor="text1"/>
          <w:sz w:val="22"/>
          <w:lang w:val="es-ES_tradnl"/>
        </w:rPr>
        <w:footnoteReference w:id="29"/>
      </w:r>
      <w:r w:rsidR="008D3172" w:rsidRPr="00191A69">
        <w:rPr>
          <w:rFonts w:ascii="Arial" w:eastAsia="Calibri" w:hAnsi="Arial" w:cs="Arial"/>
          <w:color w:val="000000" w:themeColor="text1"/>
          <w:sz w:val="22"/>
          <w:lang w:val="es-ES_tradnl"/>
        </w:rPr>
        <w:t>, de la Ley 80 de 1993, entre otras</w:t>
      </w:r>
      <w:r w:rsidR="00D42F5D" w:rsidRPr="00191A69">
        <w:rPr>
          <w:rFonts w:ascii="Arial" w:eastAsia="Calibri" w:hAnsi="Arial" w:cs="Arial"/>
          <w:color w:val="000000" w:themeColor="text1"/>
          <w:sz w:val="22"/>
          <w:lang w:val="es-ES_tradnl"/>
        </w:rPr>
        <w:t xml:space="preserve"> disposiciones</w:t>
      </w:r>
      <w:r w:rsidR="008D3172" w:rsidRPr="00191A69">
        <w:rPr>
          <w:rFonts w:ascii="Arial" w:eastAsia="Calibri" w:hAnsi="Arial" w:cs="Arial"/>
          <w:color w:val="000000" w:themeColor="text1"/>
          <w:sz w:val="22"/>
          <w:lang w:val="es-ES_tradnl"/>
        </w:rPr>
        <w:t>.</w:t>
      </w:r>
    </w:p>
    <w:p w14:paraId="1FFDF74E" w14:textId="77777777" w:rsidR="006A4D00" w:rsidRPr="00191A69" w:rsidRDefault="006A4D00" w:rsidP="001F4546">
      <w:pPr>
        <w:pStyle w:val="Prrafodelista"/>
        <w:tabs>
          <w:tab w:val="left" w:pos="284"/>
        </w:tabs>
        <w:spacing w:line="276" w:lineRule="auto"/>
        <w:ind w:left="0"/>
        <w:jc w:val="both"/>
        <w:rPr>
          <w:rFonts w:ascii="Arial" w:eastAsia="Calibri" w:hAnsi="Arial" w:cs="Arial"/>
          <w:b/>
          <w:sz w:val="22"/>
          <w:lang w:val="es-ES_tradnl"/>
        </w:rPr>
      </w:pPr>
    </w:p>
    <w:p w14:paraId="6E4BB750" w14:textId="375A5865" w:rsidR="00F1108B" w:rsidRPr="00191A69" w:rsidRDefault="00F1108B" w:rsidP="001F4546">
      <w:pPr>
        <w:pStyle w:val="Prrafodelista"/>
        <w:tabs>
          <w:tab w:val="left" w:pos="284"/>
        </w:tabs>
        <w:spacing w:line="276" w:lineRule="auto"/>
        <w:ind w:left="0"/>
        <w:jc w:val="both"/>
        <w:rPr>
          <w:rFonts w:ascii="Arial" w:eastAsia="Calibri" w:hAnsi="Arial" w:cs="Arial"/>
          <w:sz w:val="22"/>
          <w:lang w:val="es-ES_tradnl"/>
        </w:rPr>
      </w:pPr>
      <w:r w:rsidRPr="00191A69">
        <w:rPr>
          <w:rFonts w:ascii="Arial" w:eastAsia="Calibri" w:hAnsi="Arial" w:cs="Arial"/>
          <w:b/>
          <w:sz w:val="22"/>
          <w:lang w:val="es-ES_tradnl"/>
        </w:rPr>
        <w:t>3. Respuesta</w:t>
      </w:r>
    </w:p>
    <w:p w14:paraId="4760AC28" w14:textId="125C7C25" w:rsidR="00FC113C" w:rsidRPr="00191A69" w:rsidRDefault="00FC113C">
      <w:pPr>
        <w:tabs>
          <w:tab w:val="left" w:pos="426"/>
        </w:tabs>
        <w:spacing w:line="276" w:lineRule="auto"/>
        <w:ind w:right="709"/>
        <w:jc w:val="both"/>
        <w:rPr>
          <w:rFonts w:ascii="Arial" w:eastAsia="Calibri" w:hAnsi="Arial" w:cs="Arial"/>
          <w:sz w:val="22"/>
          <w:lang w:val="es-ES_tradnl"/>
        </w:rPr>
      </w:pPr>
    </w:p>
    <w:p w14:paraId="3974B6D6" w14:textId="2735940D" w:rsidR="00D36413" w:rsidRPr="00191A69" w:rsidRDefault="00D36413"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 xml:space="preserve">«1. ¿En la Ley 80 de 1993 existe </w:t>
      </w:r>
      <w:r w:rsidR="00D04D11" w:rsidRPr="00191A69">
        <w:rPr>
          <w:rFonts w:ascii="Arial" w:hAnsi="Arial" w:cs="Arial"/>
          <w:color w:val="000000" w:themeColor="text1"/>
          <w:sz w:val="21"/>
          <w:szCs w:val="21"/>
          <w:lang w:val="es-ES_tradnl"/>
        </w:rPr>
        <w:t>prohibición</w:t>
      </w:r>
      <w:r w:rsidRPr="00191A69">
        <w:rPr>
          <w:rFonts w:ascii="Arial" w:hAnsi="Arial" w:cs="Arial"/>
          <w:color w:val="000000" w:themeColor="text1"/>
          <w:sz w:val="21"/>
          <w:szCs w:val="21"/>
          <w:lang w:val="es-ES_tradnl"/>
        </w:rPr>
        <w:t xml:space="preserve"> para que personas en 1° grado de consanguinidad emitan cotizaciones en un mismo proceso de </w:t>
      </w:r>
      <w:r w:rsidR="00D04D11" w:rsidRPr="00191A69">
        <w:rPr>
          <w:rFonts w:ascii="Arial" w:hAnsi="Arial" w:cs="Arial"/>
          <w:color w:val="000000" w:themeColor="text1"/>
          <w:sz w:val="21"/>
          <w:szCs w:val="21"/>
          <w:lang w:val="es-ES_tradnl"/>
        </w:rPr>
        <w:t>contratación</w:t>
      </w:r>
      <w:r w:rsidRPr="00191A69">
        <w:rPr>
          <w:rFonts w:ascii="Arial" w:hAnsi="Arial" w:cs="Arial"/>
          <w:color w:val="000000" w:themeColor="text1"/>
          <w:sz w:val="21"/>
          <w:szCs w:val="21"/>
          <w:lang w:val="es-ES_tradnl"/>
        </w:rPr>
        <w:t xml:space="preserve"> o convocatoria? </w:t>
      </w:r>
    </w:p>
    <w:p w14:paraId="4D96F8F2" w14:textId="77777777" w:rsidR="00D36413" w:rsidRPr="00191A69" w:rsidRDefault="00D36413" w:rsidP="00D36413">
      <w:pPr>
        <w:ind w:left="709" w:right="709"/>
        <w:jc w:val="both"/>
        <w:rPr>
          <w:rFonts w:ascii="Arial" w:hAnsi="Arial" w:cs="Arial"/>
          <w:color w:val="000000" w:themeColor="text1"/>
          <w:sz w:val="21"/>
          <w:szCs w:val="21"/>
          <w:lang w:val="es-ES_tradnl"/>
        </w:rPr>
      </w:pPr>
    </w:p>
    <w:p w14:paraId="33D94783" w14:textId="0421A10D" w:rsidR="00D36413" w:rsidRPr="00191A69" w:rsidRDefault="00D36413"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lastRenderedPageBreak/>
        <w:t xml:space="preserve">»2. ¿En la Ley 1150 de 2007 existe </w:t>
      </w:r>
      <w:r w:rsidR="00D04D11" w:rsidRPr="00191A69">
        <w:rPr>
          <w:rFonts w:ascii="Arial" w:hAnsi="Arial" w:cs="Arial"/>
          <w:color w:val="000000" w:themeColor="text1"/>
          <w:sz w:val="21"/>
          <w:szCs w:val="21"/>
          <w:lang w:val="es-ES_tradnl"/>
        </w:rPr>
        <w:t>prohibición</w:t>
      </w:r>
      <w:r w:rsidRPr="00191A69">
        <w:rPr>
          <w:rFonts w:ascii="Arial" w:hAnsi="Arial" w:cs="Arial"/>
          <w:color w:val="000000" w:themeColor="text1"/>
          <w:sz w:val="21"/>
          <w:szCs w:val="21"/>
          <w:lang w:val="es-ES_tradnl"/>
        </w:rPr>
        <w:t xml:space="preserve"> para que personas en 1° grado de consanguinidad emitan cotizaciones en un mismo proceso de </w:t>
      </w:r>
      <w:r w:rsidR="00D04D11" w:rsidRPr="00191A69">
        <w:rPr>
          <w:rFonts w:ascii="Arial" w:hAnsi="Arial" w:cs="Arial"/>
          <w:color w:val="000000" w:themeColor="text1"/>
          <w:sz w:val="21"/>
          <w:szCs w:val="21"/>
          <w:lang w:val="es-ES_tradnl"/>
        </w:rPr>
        <w:t>contratación</w:t>
      </w:r>
      <w:r w:rsidRPr="00191A69">
        <w:rPr>
          <w:rFonts w:ascii="Arial" w:hAnsi="Arial" w:cs="Arial"/>
          <w:color w:val="000000" w:themeColor="text1"/>
          <w:sz w:val="21"/>
          <w:szCs w:val="21"/>
          <w:lang w:val="es-ES_tradnl"/>
        </w:rPr>
        <w:t xml:space="preserve"> o convocatoria?</w:t>
      </w:r>
    </w:p>
    <w:p w14:paraId="31994023" w14:textId="77777777" w:rsidR="00D36413" w:rsidRPr="00191A69" w:rsidRDefault="00D36413"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 xml:space="preserve"> </w:t>
      </w:r>
    </w:p>
    <w:p w14:paraId="5F3E467F" w14:textId="1CA54139" w:rsidR="00D36413" w:rsidRPr="00191A69" w:rsidRDefault="00D36413" w:rsidP="00D36413">
      <w:pPr>
        <w:ind w:left="709" w:right="709"/>
        <w:jc w:val="both"/>
        <w:rPr>
          <w:rFonts w:ascii="Arial" w:hAnsi="Arial" w:cs="Arial"/>
          <w:color w:val="000000" w:themeColor="text1"/>
          <w:sz w:val="21"/>
          <w:szCs w:val="21"/>
          <w:lang w:val="es-ES_tradnl"/>
        </w:rPr>
      </w:pPr>
      <w:r w:rsidRPr="00191A69">
        <w:rPr>
          <w:rFonts w:ascii="Arial" w:hAnsi="Arial" w:cs="Arial"/>
          <w:color w:val="000000" w:themeColor="text1"/>
          <w:sz w:val="21"/>
          <w:szCs w:val="21"/>
          <w:lang w:val="es-ES_tradnl"/>
        </w:rPr>
        <w:t xml:space="preserve">»3. ¿En la Ley 1474 de 2011 existe </w:t>
      </w:r>
      <w:r w:rsidR="00D04D11" w:rsidRPr="00191A69">
        <w:rPr>
          <w:rFonts w:ascii="Arial" w:hAnsi="Arial" w:cs="Arial"/>
          <w:color w:val="000000" w:themeColor="text1"/>
          <w:sz w:val="21"/>
          <w:szCs w:val="21"/>
          <w:lang w:val="es-ES_tradnl"/>
        </w:rPr>
        <w:t>prohibición</w:t>
      </w:r>
      <w:r w:rsidRPr="00191A69">
        <w:rPr>
          <w:rFonts w:ascii="Arial" w:hAnsi="Arial" w:cs="Arial"/>
          <w:color w:val="000000" w:themeColor="text1"/>
          <w:sz w:val="21"/>
          <w:szCs w:val="21"/>
          <w:lang w:val="es-ES_tradnl"/>
        </w:rPr>
        <w:t xml:space="preserve"> para que personas en 1° grado de consanguinidad emitan cotizaciones en un mismo proceso de </w:t>
      </w:r>
      <w:r w:rsidR="00D04D11" w:rsidRPr="00191A69">
        <w:rPr>
          <w:rFonts w:ascii="Arial" w:hAnsi="Arial" w:cs="Arial"/>
          <w:color w:val="000000" w:themeColor="text1"/>
          <w:sz w:val="21"/>
          <w:szCs w:val="21"/>
          <w:lang w:val="es-ES_tradnl"/>
        </w:rPr>
        <w:t>contratación</w:t>
      </w:r>
      <w:r w:rsidRPr="00191A69">
        <w:rPr>
          <w:rFonts w:ascii="Arial" w:hAnsi="Arial" w:cs="Arial"/>
          <w:color w:val="000000" w:themeColor="text1"/>
          <w:sz w:val="21"/>
          <w:szCs w:val="21"/>
          <w:lang w:val="es-ES_tradnl"/>
        </w:rPr>
        <w:t xml:space="preserve"> o convocatoria? </w:t>
      </w:r>
    </w:p>
    <w:p w14:paraId="7323506C" w14:textId="77777777" w:rsidR="00D36413" w:rsidRPr="00191A69" w:rsidRDefault="00D36413" w:rsidP="00D36413">
      <w:pPr>
        <w:ind w:left="709" w:right="709"/>
        <w:jc w:val="both"/>
        <w:rPr>
          <w:rFonts w:ascii="Arial" w:hAnsi="Arial" w:cs="Arial"/>
          <w:color w:val="000000" w:themeColor="text1"/>
          <w:sz w:val="21"/>
          <w:szCs w:val="21"/>
          <w:lang w:val="es-ES_tradnl"/>
        </w:rPr>
      </w:pPr>
    </w:p>
    <w:p w14:paraId="2CD13AB8" w14:textId="46B2C94A" w:rsidR="00D36413" w:rsidRPr="00191A69" w:rsidRDefault="00D36413" w:rsidP="00D36413">
      <w:pPr>
        <w:ind w:left="709" w:right="709"/>
        <w:jc w:val="both"/>
        <w:rPr>
          <w:rFonts w:ascii="Arial" w:hAnsi="Arial" w:cs="Arial"/>
          <w:color w:val="000000" w:themeColor="text1"/>
          <w:sz w:val="22"/>
          <w:lang w:val="es-ES_tradnl"/>
        </w:rPr>
      </w:pPr>
      <w:r w:rsidRPr="00191A69">
        <w:rPr>
          <w:rFonts w:ascii="Arial" w:hAnsi="Arial" w:cs="Arial"/>
          <w:color w:val="000000" w:themeColor="text1"/>
          <w:sz w:val="21"/>
          <w:szCs w:val="21"/>
          <w:lang w:val="es-ES_tradnl"/>
        </w:rPr>
        <w:t xml:space="preserve">»4. ¿En el Decreto 1082 de 2015 existe </w:t>
      </w:r>
      <w:r w:rsidR="00D04D11" w:rsidRPr="00191A69">
        <w:rPr>
          <w:rFonts w:ascii="Arial" w:hAnsi="Arial" w:cs="Arial"/>
          <w:color w:val="000000" w:themeColor="text1"/>
          <w:sz w:val="21"/>
          <w:szCs w:val="21"/>
          <w:lang w:val="es-ES_tradnl"/>
        </w:rPr>
        <w:t>prohibición</w:t>
      </w:r>
      <w:r w:rsidRPr="00191A69">
        <w:rPr>
          <w:rFonts w:ascii="Arial" w:hAnsi="Arial" w:cs="Arial"/>
          <w:color w:val="000000" w:themeColor="text1"/>
          <w:sz w:val="21"/>
          <w:szCs w:val="21"/>
          <w:lang w:val="es-ES_tradnl"/>
        </w:rPr>
        <w:t xml:space="preserve"> para que personas en 1° grado de consanguinidad emitan cotizaciones en un mismo proceso de </w:t>
      </w:r>
      <w:r w:rsidR="00D04D11" w:rsidRPr="00191A69">
        <w:rPr>
          <w:rFonts w:ascii="Arial" w:hAnsi="Arial" w:cs="Arial"/>
          <w:color w:val="000000" w:themeColor="text1"/>
          <w:sz w:val="21"/>
          <w:szCs w:val="21"/>
          <w:lang w:val="es-ES_tradnl"/>
        </w:rPr>
        <w:t>contratación</w:t>
      </w:r>
      <w:r w:rsidRPr="00191A69">
        <w:rPr>
          <w:rFonts w:ascii="Arial" w:hAnsi="Arial" w:cs="Arial"/>
          <w:color w:val="000000" w:themeColor="text1"/>
          <w:sz w:val="21"/>
          <w:szCs w:val="21"/>
          <w:lang w:val="es-ES_tradnl"/>
        </w:rPr>
        <w:t xml:space="preserve"> o convocatoria?» </w:t>
      </w:r>
    </w:p>
    <w:p w14:paraId="44112479" w14:textId="5FC59E10" w:rsidR="000E3509" w:rsidRPr="00191A69" w:rsidRDefault="000E3509" w:rsidP="001F4546">
      <w:pPr>
        <w:spacing w:line="276" w:lineRule="auto"/>
        <w:jc w:val="both"/>
        <w:rPr>
          <w:rFonts w:ascii="Arial" w:eastAsia="Calibri" w:hAnsi="Arial" w:cs="Arial"/>
          <w:sz w:val="22"/>
          <w:lang w:val="es-ES_tradnl"/>
        </w:rPr>
      </w:pPr>
    </w:p>
    <w:p w14:paraId="30DAFB2C" w14:textId="3844B9BF" w:rsidR="007E2D87" w:rsidRPr="00191A69" w:rsidRDefault="007E2D87" w:rsidP="007E2D87">
      <w:pPr>
        <w:spacing w:line="276" w:lineRule="auto"/>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Quien hace cotizaciones en la fase del estudio del sector no está aún presentando una oferta dentro de un procedimiento de selección, ni mucho menos contratando con una entidad estatal. Solo está suministrando información no vinculante. En ese sentido, al consultar las leyes 80 de 1993, 1150 de 2007 y 1474 de 2011, se puede advertir que la actividad de remitir una cotización a una entidad pública en la fase previa al procedimiento de selección contractual, solo con la finalidad de brindar información sobre un precio en el mercado, no aparece expresamente como causal de inhabilidad e incompatibilidad. El Decreto 1082 de 2015 tampoco establece inhabilidades e incompatibilidades en este sentido, y no podría hacerlo, porque las causales que las consagra</w:t>
      </w:r>
      <w:r w:rsidR="00A357B4" w:rsidRPr="00191A69">
        <w:rPr>
          <w:rFonts w:ascii="Arial" w:eastAsia="Calibri" w:hAnsi="Arial" w:cs="Arial"/>
          <w:color w:val="000000" w:themeColor="text1"/>
          <w:sz w:val="22"/>
          <w:lang w:val="es-ES_tradnl"/>
        </w:rPr>
        <w:t>n</w:t>
      </w:r>
      <w:r w:rsidRPr="00191A69">
        <w:rPr>
          <w:rFonts w:ascii="Arial" w:eastAsia="Calibri" w:hAnsi="Arial" w:cs="Arial"/>
          <w:color w:val="000000" w:themeColor="text1"/>
          <w:sz w:val="22"/>
          <w:lang w:val="es-ES_tradnl"/>
        </w:rPr>
        <w:t xml:space="preserve"> tienen reserva de ley, o sea que es una materia que le está vedada al reglamento. </w:t>
      </w:r>
    </w:p>
    <w:p w14:paraId="5BE292F6" w14:textId="1523035C" w:rsidR="007E2D87" w:rsidRPr="00191A69" w:rsidRDefault="007E2D87" w:rsidP="007E2D87">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t xml:space="preserve">Los verbos rectores que emplea el legislador, al </w:t>
      </w:r>
      <w:r w:rsidR="00A357B4" w:rsidRPr="00191A69">
        <w:rPr>
          <w:rFonts w:ascii="Arial" w:eastAsia="Calibri" w:hAnsi="Arial" w:cs="Arial"/>
          <w:color w:val="000000" w:themeColor="text1"/>
          <w:sz w:val="22"/>
          <w:lang w:val="es-ES_tradnl"/>
        </w:rPr>
        <w:t>estatuir</w:t>
      </w:r>
      <w:r w:rsidRPr="00191A69">
        <w:rPr>
          <w:rFonts w:ascii="Arial" w:eastAsia="Calibri" w:hAnsi="Arial" w:cs="Arial"/>
          <w:color w:val="000000" w:themeColor="text1"/>
          <w:sz w:val="22"/>
          <w:lang w:val="es-ES_tradnl"/>
        </w:rPr>
        <w:t xml:space="preserve"> las inhabilidades e incompatibilidades en el sistema de compras y contratación pública, son: «participar» en procedimientos de selección y «celebrar» contratos con las entidades estatales, y, en sentido estricto, se participa en el procedimiento de selección cuando este se ha abierto –es decir, cuando se ha iniciado formalmente–. En la fase de los estudios previos –donde se ubica</w:t>
      </w:r>
      <w:r w:rsidR="00E93C95" w:rsidRPr="00191A69">
        <w:rPr>
          <w:rFonts w:ascii="Arial" w:eastAsia="Calibri" w:hAnsi="Arial" w:cs="Arial"/>
          <w:color w:val="000000" w:themeColor="text1"/>
          <w:sz w:val="22"/>
          <w:lang w:val="es-ES_tradnl"/>
        </w:rPr>
        <w:t xml:space="preserve"> </w:t>
      </w:r>
      <w:r w:rsidRPr="00191A69">
        <w:rPr>
          <w:rFonts w:ascii="Arial" w:eastAsia="Calibri" w:hAnsi="Arial" w:cs="Arial"/>
          <w:color w:val="000000" w:themeColor="text1"/>
          <w:sz w:val="22"/>
          <w:lang w:val="es-ES_tradnl"/>
        </w:rPr>
        <w:t xml:space="preserve">el análisis del sector y </w:t>
      </w:r>
      <w:r w:rsidR="00E93C95" w:rsidRPr="00191A69">
        <w:rPr>
          <w:rFonts w:ascii="Arial" w:eastAsia="Calibri" w:hAnsi="Arial" w:cs="Arial"/>
          <w:color w:val="000000" w:themeColor="text1"/>
          <w:sz w:val="22"/>
          <w:lang w:val="es-ES_tradnl"/>
        </w:rPr>
        <w:t xml:space="preserve">también </w:t>
      </w:r>
      <w:r w:rsidRPr="00191A69">
        <w:rPr>
          <w:rFonts w:ascii="Arial" w:eastAsia="Calibri" w:hAnsi="Arial" w:cs="Arial"/>
          <w:color w:val="000000" w:themeColor="text1"/>
          <w:sz w:val="22"/>
          <w:lang w:val="es-ES_tradnl"/>
        </w:rPr>
        <w:t xml:space="preserve">las eventuales cotizaciones– el procedimiento contractual no ha comenzado y, por lo tanto, no se «participa». En apoyo a esta línea argumentativa, el artículo 2.2.1.1.1.2.1. del Decreto 1082 de 2015 entiende como «partícipes» a los oferentes; no a quienes presentan información no vinculante en el estudio previo del mercado. Esto no obsta para que los servidores públicos deban respetar las causales de impedimento previstas en el artículo 11 de la Ley 1437 de 2011, algunas de las cuales establecen el parentesco como supuesto de hecho. </w:t>
      </w:r>
      <w:r w:rsidR="0094627E" w:rsidRPr="00191A69">
        <w:rPr>
          <w:rFonts w:ascii="Arial" w:eastAsia="Calibri" w:hAnsi="Arial" w:cs="Arial"/>
          <w:color w:val="000000" w:themeColor="text1"/>
          <w:sz w:val="22"/>
          <w:lang w:val="es-ES_tradnl"/>
        </w:rPr>
        <w:t>Lo anterior por cuanto los servidores públicos –incluidos los ordenadores del gasto– deben actuar con imparcialidad, evitando favorecer a sus parientes, cónyuges, compañeros permanentes, amigos o allegados,</w:t>
      </w:r>
      <w:r w:rsidR="002E2E9C" w:rsidRPr="00191A69">
        <w:rPr>
          <w:rFonts w:ascii="Arial" w:eastAsia="Calibri" w:hAnsi="Arial" w:cs="Arial"/>
          <w:color w:val="000000" w:themeColor="text1"/>
          <w:sz w:val="22"/>
          <w:lang w:val="es-ES_tradnl"/>
        </w:rPr>
        <w:t xml:space="preserve"> por lo que</w:t>
      </w:r>
      <w:r w:rsidR="0094627E" w:rsidRPr="00191A69">
        <w:rPr>
          <w:rFonts w:ascii="Arial" w:eastAsia="Calibri" w:hAnsi="Arial" w:cs="Arial"/>
          <w:color w:val="000000" w:themeColor="text1"/>
          <w:sz w:val="22"/>
          <w:lang w:val="es-ES_tradnl"/>
        </w:rPr>
        <w:t xml:space="preserve"> en la contratación pública también está proscrita la desviación de poder.</w:t>
      </w:r>
    </w:p>
    <w:p w14:paraId="1E2CC840" w14:textId="7B44982A" w:rsidR="007E2D87" w:rsidRPr="00191A69" w:rsidRDefault="007E2D87" w:rsidP="007E2D87">
      <w:pPr>
        <w:spacing w:before="120" w:line="276" w:lineRule="auto"/>
        <w:ind w:firstLine="709"/>
        <w:jc w:val="both"/>
        <w:rPr>
          <w:rFonts w:ascii="Arial" w:eastAsia="Calibri" w:hAnsi="Arial" w:cs="Arial"/>
          <w:color w:val="000000" w:themeColor="text1"/>
          <w:sz w:val="22"/>
          <w:lang w:val="es-ES_tradnl"/>
        </w:rPr>
      </w:pPr>
      <w:r w:rsidRPr="00191A69">
        <w:rPr>
          <w:rFonts w:ascii="Arial" w:eastAsia="Calibri" w:hAnsi="Arial" w:cs="Arial"/>
          <w:color w:val="000000" w:themeColor="text1"/>
          <w:sz w:val="22"/>
          <w:lang w:val="es-ES_tradnl"/>
        </w:rPr>
        <w:lastRenderedPageBreak/>
        <w:t>En sentido contrario, si, al formular sus preguntas, el peticionario quiso aludir, con la palabra «cotización», a la presentación de una oferta</w:t>
      </w:r>
      <w:r w:rsidR="00D7373C" w:rsidRPr="00191A69">
        <w:rPr>
          <w:lang w:val="es-ES_tradnl"/>
        </w:rPr>
        <w:t xml:space="preserve"> </w:t>
      </w:r>
      <w:r w:rsidRPr="00191A69">
        <w:rPr>
          <w:rFonts w:ascii="Arial" w:eastAsia="Calibri" w:hAnsi="Arial" w:cs="Arial"/>
          <w:color w:val="000000" w:themeColor="text1"/>
          <w:sz w:val="22"/>
          <w:lang w:val="es-ES_tradnl"/>
        </w:rPr>
        <w:t xml:space="preserve">en un procedimiento de selección ya iniciado, en tal evento el ordenamiento jurídico sí establece causales de inhabilidad o incompatibilidad originadas en ciertos grados de parentesco de consanguinidad. Verbigracia, las causales previstas en el artículo 126 de la Constitución, </w:t>
      </w:r>
      <w:r w:rsidR="00D42F5D" w:rsidRPr="00191A69">
        <w:rPr>
          <w:rFonts w:ascii="Arial" w:eastAsia="Calibri" w:hAnsi="Arial" w:cs="Arial"/>
          <w:color w:val="000000" w:themeColor="text1"/>
          <w:sz w:val="22"/>
          <w:lang w:val="es-ES_tradnl"/>
        </w:rPr>
        <w:t xml:space="preserve">y </w:t>
      </w:r>
      <w:r w:rsidRPr="00191A69">
        <w:rPr>
          <w:rFonts w:ascii="Arial" w:eastAsia="Calibri" w:hAnsi="Arial" w:cs="Arial"/>
          <w:color w:val="000000" w:themeColor="text1"/>
          <w:sz w:val="22"/>
          <w:lang w:val="es-ES_tradnl"/>
        </w:rPr>
        <w:t>en el artículo 8, numeral 1, literales g), h)</w:t>
      </w:r>
      <w:r w:rsidR="003E7A04" w:rsidRPr="00191A69">
        <w:rPr>
          <w:lang w:val="es-ES_tradnl"/>
        </w:rPr>
        <w:t xml:space="preserve"> y </w:t>
      </w:r>
      <w:r w:rsidRPr="00191A69">
        <w:rPr>
          <w:rFonts w:ascii="Arial" w:eastAsia="Calibri" w:hAnsi="Arial" w:cs="Arial"/>
          <w:color w:val="000000" w:themeColor="text1"/>
          <w:sz w:val="22"/>
          <w:lang w:val="es-ES_tradnl"/>
        </w:rPr>
        <w:t>k)</w:t>
      </w:r>
      <w:r w:rsidR="00621DEE" w:rsidRPr="00191A69">
        <w:rPr>
          <w:rFonts w:ascii="Arial" w:eastAsia="Calibri" w:hAnsi="Arial" w:cs="Arial"/>
          <w:color w:val="000000" w:themeColor="text1"/>
          <w:sz w:val="22"/>
          <w:lang w:val="es-ES_tradnl"/>
        </w:rPr>
        <w:t xml:space="preserve">, así como </w:t>
      </w:r>
      <w:r w:rsidRPr="00191A69">
        <w:rPr>
          <w:rFonts w:ascii="Arial" w:eastAsia="Calibri" w:hAnsi="Arial" w:cs="Arial"/>
          <w:color w:val="000000" w:themeColor="text1"/>
          <w:sz w:val="22"/>
          <w:lang w:val="es-ES_tradnl"/>
        </w:rPr>
        <w:t>en el numeral 2, literales b), d) y f), de la Ley 80 de 1993, entre otras</w:t>
      </w:r>
      <w:r w:rsidR="00D42F5D" w:rsidRPr="00191A69">
        <w:rPr>
          <w:rFonts w:ascii="Arial" w:eastAsia="Calibri" w:hAnsi="Arial" w:cs="Arial"/>
          <w:color w:val="000000" w:themeColor="text1"/>
          <w:sz w:val="22"/>
          <w:lang w:val="es-ES_tradnl"/>
        </w:rPr>
        <w:t xml:space="preserve"> disposiciones</w:t>
      </w:r>
      <w:r w:rsidRPr="00191A69">
        <w:rPr>
          <w:rFonts w:ascii="Arial" w:eastAsia="Calibri" w:hAnsi="Arial" w:cs="Arial"/>
          <w:color w:val="000000" w:themeColor="text1"/>
          <w:sz w:val="22"/>
          <w:lang w:val="es-ES_tradnl"/>
        </w:rPr>
        <w:t>.</w:t>
      </w:r>
    </w:p>
    <w:p w14:paraId="3B4DC067" w14:textId="77777777" w:rsidR="007E2D87" w:rsidRPr="00191A69" w:rsidRDefault="007E2D87" w:rsidP="001F4546">
      <w:pPr>
        <w:spacing w:line="276" w:lineRule="auto"/>
        <w:jc w:val="both"/>
        <w:rPr>
          <w:rFonts w:ascii="Arial" w:eastAsia="Calibri" w:hAnsi="Arial" w:cs="Arial"/>
          <w:sz w:val="22"/>
          <w:lang w:val="es-ES_tradnl"/>
        </w:rPr>
      </w:pPr>
    </w:p>
    <w:p w14:paraId="7AE9D132" w14:textId="0673B3D5" w:rsidR="001F4546" w:rsidRPr="00191A69" w:rsidRDefault="00F1108B" w:rsidP="001F4546">
      <w:pPr>
        <w:shd w:val="clear" w:color="auto" w:fill="FFFFFF"/>
        <w:spacing w:after="120" w:line="276" w:lineRule="auto"/>
        <w:jc w:val="both"/>
        <w:rPr>
          <w:rFonts w:ascii="Arial" w:hAnsi="Arial" w:cs="Arial"/>
          <w:sz w:val="22"/>
          <w:lang w:val="es-ES_tradnl"/>
        </w:rPr>
      </w:pPr>
      <w:r w:rsidRPr="00191A69">
        <w:rPr>
          <w:rFonts w:ascii="Arial" w:eastAsia="Calibri" w:hAnsi="Arial" w:cs="Arial"/>
          <w:sz w:val="22"/>
          <w:lang w:val="es-ES_tradnl"/>
        </w:rPr>
        <w:t>Este concepto tiene el alcance previsto en el artículo 28 del Código de Procedimiento Administrativo y de lo Contencioso Administrativo.</w:t>
      </w:r>
    </w:p>
    <w:p w14:paraId="770B636C" w14:textId="2819699C" w:rsidR="001F4546" w:rsidRPr="00191A69" w:rsidRDefault="001F4546" w:rsidP="001F4546">
      <w:pPr>
        <w:pStyle w:val="NormalWeb"/>
        <w:spacing w:before="0" w:beforeAutospacing="0" w:after="0" w:afterAutospacing="0" w:line="276" w:lineRule="auto"/>
        <w:jc w:val="center"/>
        <w:rPr>
          <w:rFonts w:ascii="Arial" w:hAnsi="Arial" w:cs="Arial"/>
          <w:sz w:val="22"/>
          <w:szCs w:val="22"/>
          <w:lang w:val="es-ES_tradnl"/>
        </w:rPr>
      </w:pPr>
    </w:p>
    <w:p w14:paraId="0AF2149B" w14:textId="7A05DC8D" w:rsidR="001F4546" w:rsidRPr="00191A69" w:rsidRDefault="009E75CB" w:rsidP="001F4546">
      <w:pPr>
        <w:jc w:val="center"/>
        <w:rPr>
          <w:rFonts w:ascii="Arial" w:hAnsi="Arial" w:cs="Arial"/>
          <w:sz w:val="18"/>
          <w:szCs w:val="20"/>
          <w:lang w:val="es-ES_tradnl" w:eastAsia="es-CO"/>
        </w:rPr>
      </w:pPr>
      <w:r>
        <w:rPr>
          <w:noProof/>
        </w:rPr>
        <w:drawing>
          <wp:inline distT="0" distB="0" distL="0" distR="0" wp14:anchorId="4DEB0B07" wp14:editId="4D12E47B">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40D4738" w14:textId="77777777" w:rsidR="001F4546" w:rsidRPr="00191A69" w:rsidRDefault="001F4546" w:rsidP="001F4546">
      <w:pPr>
        <w:jc w:val="center"/>
        <w:rPr>
          <w:rFonts w:ascii="Arial" w:hAnsi="Arial" w:cs="Arial"/>
          <w:sz w:val="18"/>
          <w:szCs w:val="20"/>
          <w:lang w:val="es-ES_tradnl" w:eastAsia="es-CO"/>
        </w:rPr>
      </w:pPr>
    </w:p>
    <w:p w14:paraId="0C71D8B5" w14:textId="77777777" w:rsidR="001F4546" w:rsidRPr="00191A69"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62CF" w:rsidRPr="00191A69" w14:paraId="3A981424" w14:textId="77777777" w:rsidTr="0064799C">
        <w:trPr>
          <w:trHeight w:val="315"/>
        </w:trPr>
        <w:tc>
          <w:tcPr>
            <w:tcW w:w="812" w:type="dxa"/>
            <w:vAlign w:val="center"/>
            <w:hideMark/>
          </w:tcPr>
          <w:p w14:paraId="2BC4AD0C" w14:textId="77777777" w:rsidR="005262CF" w:rsidRPr="00191A69" w:rsidRDefault="005262CF" w:rsidP="0064799C">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2F6C8B" w14:textId="77777777" w:rsidR="005262CF" w:rsidRPr="00191A69" w:rsidRDefault="005262CF" w:rsidP="0064799C">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Cristian Andrés Díaz Díez</w:t>
            </w:r>
          </w:p>
          <w:p w14:paraId="3D63D967" w14:textId="77777777" w:rsidR="005262CF" w:rsidRPr="00191A69" w:rsidRDefault="005262CF" w:rsidP="0064799C">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Contratista de la Subdirección de Gestión Contractual</w:t>
            </w:r>
          </w:p>
        </w:tc>
      </w:tr>
      <w:tr w:rsidR="005262CF" w:rsidRPr="00191A69" w14:paraId="4525BD82" w14:textId="77777777" w:rsidTr="0064799C">
        <w:trPr>
          <w:trHeight w:val="330"/>
        </w:trPr>
        <w:tc>
          <w:tcPr>
            <w:tcW w:w="812" w:type="dxa"/>
            <w:vAlign w:val="center"/>
            <w:hideMark/>
          </w:tcPr>
          <w:p w14:paraId="77498D1B" w14:textId="77777777" w:rsidR="005262CF" w:rsidRPr="00191A69" w:rsidRDefault="005262CF" w:rsidP="0064799C">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346F49D" w14:textId="77777777" w:rsidR="00EB62C5" w:rsidRPr="00191A69" w:rsidRDefault="00EB62C5" w:rsidP="00EB62C5">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Jorge Augusto Tirado Navarro</w:t>
            </w:r>
          </w:p>
          <w:p w14:paraId="1DF117AB" w14:textId="04231703" w:rsidR="005262CF" w:rsidRPr="00191A69" w:rsidRDefault="00EB62C5" w:rsidP="00EB62C5">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Subdirector de Gestión Contractual ANCP – CCE</w:t>
            </w:r>
          </w:p>
        </w:tc>
      </w:tr>
      <w:tr w:rsidR="005262CF" w:rsidRPr="00191A69" w14:paraId="5BFED31D" w14:textId="77777777" w:rsidTr="0064799C">
        <w:trPr>
          <w:trHeight w:val="300"/>
        </w:trPr>
        <w:tc>
          <w:tcPr>
            <w:tcW w:w="812" w:type="dxa"/>
            <w:vAlign w:val="center"/>
            <w:hideMark/>
          </w:tcPr>
          <w:p w14:paraId="53E3FB84" w14:textId="77777777" w:rsidR="005262CF" w:rsidRPr="00191A69" w:rsidRDefault="005262CF" w:rsidP="0064799C">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34E83E" w14:textId="77777777" w:rsidR="005262CF" w:rsidRPr="00191A69" w:rsidRDefault="005262CF" w:rsidP="0064799C">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Jorge Augusto Tirado Navarro</w:t>
            </w:r>
          </w:p>
          <w:p w14:paraId="44BE84F0" w14:textId="77777777" w:rsidR="005262CF" w:rsidRPr="00191A69" w:rsidRDefault="005262CF" w:rsidP="0064799C">
            <w:pPr>
              <w:jc w:val="both"/>
              <w:rPr>
                <w:rFonts w:ascii="Arial" w:hAnsi="Arial" w:cs="Arial"/>
                <w:color w:val="000000" w:themeColor="text1"/>
                <w:sz w:val="16"/>
                <w:szCs w:val="16"/>
                <w:lang w:val="es-ES_tradnl" w:eastAsia="es-ES"/>
              </w:rPr>
            </w:pPr>
            <w:r w:rsidRPr="00191A69">
              <w:rPr>
                <w:rFonts w:ascii="Arial" w:hAnsi="Arial" w:cs="Arial"/>
                <w:color w:val="000000" w:themeColor="text1"/>
                <w:sz w:val="16"/>
                <w:szCs w:val="16"/>
                <w:lang w:val="es-ES_tradnl" w:eastAsia="es-ES"/>
              </w:rPr>
              <w:t>Subdirector de Gestión Contractual ANCP – CCE</w:t>
            </w:r>
          </w:p>
        </w:tc>
      </w:tr>
    </w:tbl>
    <w:p w14:paraId="1CD9CED7" w14:textId="77777777" w:rsidR="001F4546" w:rsidRPr="00191A69" w:rsidRDefault="001F4546" w:rsidP="001F4546">
      <w:pPr>
        <w:spacing w:before="120" w:line="276" w:lineRule="auto"/>
        <w:jc w:val="both"/>
        <w:rPr>
          <w:lang w:val="es-ES_tradnl"/>
        </w:rPr>
      </w:pPr>
    </w:p>
    <w:p w14:paraId="35B56F46" w14:textId="6AE0D01D" w:rsidR="00746E08" w:rsidRPr="00191A69" w:rsidRDefault="00746E08" w:rsidP="001F4546">
      <w:pPr>
        <w:spacing w:before="120" w:line="276" w:lineRule="auto"/>
        <w:jc w:val="both"/>
        <w:rPr>
          <w:rFonts w:ascii="Arial" w:eastAsia="Times New Roman" w:hAnsi="Arial" w:cs="Arial"/>
          <w:sz w:val="16"/>
          <w:szCs w:val="16"/>
          <w:lang w:val="es-ES_tradnl" w:eastAsia="es-ES"/>
        </w:rPr>
      </w:pPr>
    </w:p>
    <w:sectPr w:rsidR="00746E08" w:rsidRPr="00191A69"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92538" w14:textId="77777777" w:rsidR="0086755D" w:rsidRDefault="0086755D">
      <w:r>
        <w:separator/>
      </w:r>
    </w:p>
  </w:endnote>
  <w:endnote w:type="continuationSeparator" w:id="0">
    <w:p w14:paraId="44DA3172" w14:textId="77777777" w:rsidR="0086755D" w:rsidRDefault="0086755D">
      <w:r>
        <w:continuationSeparator/>
      </w:r>
    </w:p>
  </w:endnote>
  <w:endnote w:type="continuationNotice" w:id="1">
    <w:p w14:paraId="1869F842" w14:textId="77777777" w:rsidR="0086755D" w:rsidRDefault="00867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p w14:paraId="01E6CE61" w14:textId="77777777" w:rsidR="00183D77" w:rsidRDefault="00183D77"/>
  <w:p w14:paraId="0B5203B5" w14:textId="77777777" w:rsidR="00183D77" w:rsidRDefault="00183D77"/>
  <w:p w14:paraId="7E41A88B"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B7E40" w14:textId="77777777" w:rsidR="0086755D" w:rsidRDefault="0086755D">
      <w:r>
        <w:separator/>
      </w:r>
    </w:p>
  </w:footnote>
  <w:footnote w:type="continuationSeparator" w:id="0">
    <w:p w14:paraId="15788CBD" w14:textId="77777777" w:rsidR="0086755D" w:rsidRDefault="0086755D">
      <w:r>
        <w:continuationSeparator/>
      </w:r>
    </w:p>
  </w:footnote>
  <w:footnote w:type="continuationNotice" w:id="1">
    <w:p w14:paraId="6107118E" w14:textId="77777777" w:rsidR="0086755D" w:rsidRDefault="0086755D"/>
  </w:footnote>
  <w:footnote w:id="2">
    <w:p w14:paraId="2EE7A860"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El artículo 6 de la Ley 80 de 1993 expresa: «Pueden celebrar contratos con las entidades estatales las personas consideradas legalmente capaces en las disposiciones vigentes. También podrán celebrar contratos con las entidades estatales, los consorcios y uniones temporales.</w:t>
      </w:r>
    </w:p>
    <w:p w14:paraId="083334D5"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Fonts w:ascii="Arial" w:hAnsi="Arial" w:cs="Arial"/>
          <w:color w:val="000000" w:themeColor="text1"/>
          <w:sz w:val="19"/>
          <w:szCs w:val="19"/>
        </w:rPr>
        <w:t>»Las personas jurídicas nacionales y extranjeras deberán acreditar que su duración no será inferior a la del plazo del contrato y un año más».</w:t>
      </w:r>
    </w:p>
    <w:p w14:paraId="2F7E8D92" w14:textId="77777777" w:rsidR="00971B2A" w:rsidRPr="00661FEB" w:rsidRDefault="00971B2A" w:rsidP="00A8610B">
      <w:pPr>
        <w:pStyle w:val="Textonotapie"/>
        <w:ind w:firstLine="709"/>
        <w:jc w:val="both"/>
        <w:rPr>
          <w:rFonts w:ascii="Arial" w:hAnsi="Arial" w:cs="Arial"/>
          <w:color w:val="000000" w:themeColor="text1"/>
          <w:sz w:val="19"/>
          <w:szCs w:val="19"/>
        </w:rPr>
      </w:pPr>
    </w:p>
  </w:footnote>
  <w:footnote w:id="3">
    <w:p w14:paraId="2509EABD"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El artículo 1502 del Código Civil prevé la capacidad legal como requisito para obligarse contractualmente, en los siguientes términos: «Para que una persona se obligue a otra por un acto o declaración de voluntad, es necesario:</w:t>
      </w:r>
    </w:p>
    <w:p w14:paraId="087F2031"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Fonts w:ascii="Arial" w:hAnsi="Arial" w:cs="Arial"/>
          <w:color w:val="000000" w:themeColor="text1"/>
          <w:sz w:val="19"/>
          <w:szCs w:val="19"/>
        </w:rPr>
        <w:t>»1o.) que sea legalmente capaz.</w:t>
      </w:r>
    </w:p>
    <w:p w14:paraId="1002AEE0"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Fonts w:ascii="Arial" w:hAnsi="Arial" w:cs="Arial"/>
          <w:color w:val="000000" w:themeColor="text1"/>
          <w:sz w:val="19"/>
          <w:szCs w:val="19"/>
        </w:rPr>
        <w:t>[…]</w:t>
      </w:r>
    </w:p>
    <w:p w14:paraId="51FB8E42"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Fonts w:ascii="Arial" w:hAnsi="Arial" w:cs="Arial"/>
          <w:color w:val="000000" w:themeColor="text1"/>
          <w:sz w:val="19"/>
          <w:szCs w:val="19"/>
        </w:rPr>
        <w:t>»La capacidad legal de una persona consiste en poderse obligar por sí misma, sin el ministerio o la autorización de otra».</w:t>
      </w:r>
    </w:p>
    <w:p w14:paraId="3A8D4D5F" w14:textId="77777777" w:rsidR="00971B2A" w:rsidRPr="00661FEB" w:rsidRDefault="00971B2A" w:rsidP="00A8610B">
      <w:pPr>
        <w:pStyle w:val="Textonotapie"/>
        <w:ind w:firstLine="709"/>
        <w:jc w:val="both"/>
        <w:rPr>
          <w:rFonts w:ascii="Arial" w:hAnsi="Arial" w:cs="Arial"/>
          <w:color w:val="000000" w:themeColor="text1"/>
          <w:sz w:val="19"/>
          <w:szCs w:val="19"/>
          <w:lang w:val="es-CO"/>
        </w:rPr>
      </w:pPr>
    </w:p>
  </w:footnote>
  <w:footnote w:id="4">
    <w:p w14:paraId="59DE15B8"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Los incisos 1 y 2 de dicho artículo disponen: </w:t>
      </w:r>
      <w:r w:rsidRPr="00661FEB">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7F41660"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2A0B353F" w14:textId="77777777" w:rsidR="00971B2A" w:rsidRPr="00661FEB" w:rsidRDefault="00971B2A" w:rsidP="00A8610B">
      <w:pPr>
        <w:pStyle w:val="Textonotapie"/>
        <w:ind w:firstLine="709"/>
        <w:jc w:val="both"/>
        <w:rPr>
          <w:rFonts w:ascii="Arial" w:hAnsi="Arial" w:cs="Arial"/>
          <w:color w:val="000000" w:themeColor="text1"/>
          <w:sz w:val="19"/>
          <w:szCs w:val="19"/>
          <w:lang w:val="es-CO"/>
        </w:rPr>
      </w:pPr>
    </w:p>
  </w:footnote>
  <w:footnote w:id="5">
    <w:p w14:paraId="0B067999"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661FEB">
        <w:rPr>
          <w:rFonts w:ascii="Arial" w:hAnsi="Arial" w:cs="Arial"/>
          <w:i/>
          <w:iCs/>
          <w:color w:val="000000" w:themeColor="text1"/>
          <w:sz w:val="19"/>
          <w:szCs w:val="19"/>
          <w:lang w:val="es-ES"/>
        </w:rPr>
        <w:t>el régimen de inhabilidades e incompatibilidades</w:t>
      </w:r>
      <w:r w:rsidRPr="00661FEB">
        <w:rPr>
          <w:rFonts w:ascii="Arial" w:hAnsi="Arial" w:cs="Arial"/>
          <w:color w:val="000000" w:themeColor="text1"/>
          <w:sz w:val="19"/>
          <w:szCs w:val="19"/>
          <w:lang w:val="es-ES"/>
        </w:rPr>
        <w:t xml:space="preserve"> (1) y la obligación de ciertos proponentes de inscribirse en el </w:t>
      </w:r>
      <w:r w:rsidRPr="00661FEB">
        <w:rPr>
          <w:rFonts w:ascii="Arial" w:hAnsi="Arial" w:cs="Arial"/>
          <w:i/>
          <w:iCs/>
          <w:color w:val="000000" w:themeColor="text1"/>
          <w:sz w:val="19"/>
          <w:szCs w:val="19"/>
          <w:lang w:val="es-ES"/>
        </w:rPr>
        <w:t>registro único</w:t>
      </w:r>
      <w:r w:rsidRPr="00661FEB">
        <w:rPr>
          <w:rFonts w:ascii="Arial" w:hAnsi="Arial" w:cs="Arial"/>
          <w:color w:val="000000" w:themeColor="text1"/>
          <w:sz w:val="19"/>
          <w:szCs w:val="19"/>
          <w:lang w:val="es-ES"/>
        </w:rPr>
        <w:t xml:space="preserve"> (2)» (BENAVIDES, José Luis. El contrato estatal. Entre el Derecho público y el Derecho privado. 2ª ed. Bogotá: Universidad Externado de Colombia, 2004. p. 278). </w:t>
      </w:r>
    </w:p>
    <w:p w14:paraId="12738F8B"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p>
  </w:footnote>
  <w:footnote w:id="6">
    <w:p w14:paraId="76567A5F" w14:textId="77777777" w:rsidR="00971B2A" w:rsidRPr="00661FEB" w:rsidRDefault="00971B2A" w:rsidP="00A8610B">
      <w:pPr>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Son inhabilidades que responden a esta circunstancia, entre otras, las siguientes: «Quienes participaron en las licitaciones o celebraron los contratos de que trata el literal anterior estando inhabilitados»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b, Ley 80/93); «Quienes dieron lugar a la declaratoria de caducidad»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c), Ley 80/93); «Quienes en sentencia judicial hayan sido condenados a la pena accesoria de interdicción de derechos y funciones públicas y quienes hayan sido sancionados disciplinariamente con destitución»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d), Ley 80/93); «Quienes sin justa causa se abstengan de suscribir el contrato estatal adjudicado»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e), Ley 80/93); «i) Los socios de sociedades de personas a las cuales se haya declarado la caducidad, así como las sociedades de personas de las que aquellos formen parte con posterioridad a dicha declaratoria»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i), Ley 80/93); «Las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j), Ley 80/93);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k), Ley 80/93); «Haber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 (art. 90,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a), b) y c), Ley 1474/11, modificado por el art. 43, Ley 1955/19).</w:t>
      </w:r>
    </w:p>
    <w:p w14:paraId="6EA17529" w14:textId="77777777" w:rsidR="00971B2A" w:rsidRPr="00661FEB" w:rsidRDefault="00971B2A" w:rsidP="00A8610B">
      <w:pPr>
        <w:ind w:firstLine="709"/>
        <w:jc w:val="both"/>
        <w:rPr>
          <w:rFonts w:ascii="Arial" w:hAnsi="Arial" w:cs="Arial"/>
          <w:color w:val="000000" w:themeColor="text1"/>
          <w:sz w:val="19"/>
          <w:szCs w:val="19"/>
          <w:lang w:val="es-ES"/>
        </w:rPr>
      </w:pPr>
    </w:p>
  </w:footnote>
  <w:footnote w:id="7">
    <w:p w14:paraId="4318A067"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Por ejemplo, a título enunciativo, las siguientes: «Quienes sean cónyuges o compañeros permanentes y quienes se encuentren dentro del segundo grado de consanguinidad o segundo de afinidad con cualquier otra persona que formalmente haya presentado propuesta para una misma licitación»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g), Ley 80/93);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h), Ley 80/93);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2º,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b), Ley 80/93); «El cónyuge, compañero o compañera permanente del servidor público en los niveles directivo, asesor, ejecutivo, o de un miembro de la junta o consejo directivo, o de quien ejerza funciones de control interno o de control fiscal»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2º,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c),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2º,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d), Ley 80/93).</w:t>
      </w:r>
    </w:p>
    <w:p w14:paraId="22CE68A9" w14:textId="77777777" w:rsidR="00971B2A" w:rsidRPr="00661FEB" w:rsidRDefault="00971B2A" w:rsidP="00A8610B">
      <w:pPr>
        <w:pStyle w:val="Textonotapie"/>
        <w:ind w:firstLine="709"/>
        <w:jc w:val="both"/>
        <w:rPr>
          <w:rFonts w:ascii="Arial" w:hAnsi="Arial" w:cs="Arial"/>
          <w:color w:val="000000" w:themeColor="text1"/>
          <w:sz w:val="19"/>
          <w:szCs w:val="19"/>
          <w:lang w:val="es-CO"/>
        </w:rPr>
      </w:pPr>
    </w:p>
  </w:footnote>
  <w:footnote w:id="8">
    <w:p w14:paraId="6391DBAE"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Verbigracia, entre otras, las que se indican a continuación: «Las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k), Ley 80/93, modificado por el art. 33, Ley 1778/16); «Quienes fueron miembros de la junta o consejo directivo o servidores públicos de la entidad contratante»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2º,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a), Ley 80/93) [a pesar de que la norma la califica como una incompatibilidad, en realidad se trata de una inhabilidad, ya que en dicha causal no existe concurrencia de calidades en un sujeto];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2º,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p w14:paraId="6DA59C91" w14:textId="77777777" w:rsidR="00971B2A" w:rsidRPr="00661FEB" w:rsidRDefault="00971B2A" w:rsidP="00A8610B">
      <w:pPr>
        <w:pStyle w:val="Textonotapie"/>
        <w:ind w:firstLine="709"/>
        <w:jc w:val="both"/>
        <w:rPr>
          <w:rFonts w:ascii="Arial" w:hAnsi="Arial" w:cs="Arial"/>
          <w:color w:val="000000" w:themeColor="text1"/>
          <w:sz w:val="19"/>
          <w:szCs w:val="19"/>
          <w:lang w:val="es-CO"/>
        </w:rPr>
      </w:pPr>
      <w:r w:rsidRPr="00661FEB">
        <w:rPr>
          <w:rFonts w:ascii="Arial" w:hAnsi="Arial" w:cs="Arial"/>
          <w:color w:val="000000" w:themeColor="text1"/>
          <w:sz w:val="19"/>
          <w:szCs w:val="19"/>
          <w:lang w:val="es-ES"/>
        </w:rPr>
        <w:t xml:space="preserve">  </w:t>
      </w:r>
    </w:p>
  </w:footnote>
  <w:footnote w:id="9">
    <w:p w14:paraId="05745845" w14:textId="77777777" w:rsidR="00971B2A" w:rsidRPr="00661FEB" w:rsidRDefault="00971B2A" w:rsidP="00A8610B">
      <w:pPr>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Como las señaladas a continuación: «Los servidores públicos»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1º,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f), Ley 80/93);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2º,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d), Ley 80/93); «Los miembros de las juntas o consejos directivos. Esta incompatibilidad sólo se predica respecto de la entidad a la cual prestan sus servicios y de las del sector administrativo al que la misma esté adscrita o vinculada» (art. 8, </w:t>
      </w:r>
      <w:proofErr w:type="spellStart"/>
      <w:r w:rsidRPr="00661FEB">
        <w:rPr>
          <w:rFonts w:ascii="Arial" w:hAnsi="Arial" w:cs="Arial"/>
          <w:color w:val="000000" w:themeColor="text1"/>
          <w:sz w:val="19"/>
          <w:szCs w:val="19"/>
          <w:lang w:val="es-ES"/>
        </w:rPr>
        <w:t>num</w:t>
      </w:r>
      <w:proofErr w:type="spellEnd"/>
      <w:r w:rsidRPr="00661FEB">
        <w:rPr>
          <w:rFonts w:ascii="Arial" w:hAnsi="Arial" w:cs="Arial"/>
          <w:color w:val="000000" w:themeColor="text1"/>
          <w:sz w:val="19"/>
          <w:szCs w:val="19"/>
          <w:lang w:val="es-ES"/>
        </w:rPr>
        <w:t xml:space="preserve">. 2º, </w:t>
      </w:r>
      <w:proofErr w:type="spellStart"/>
      <w:r w:rsidRPr="00661FEB">
        <w:rPr>
          <w:rFonts w:ascii="Arial" w:hAnsi="Arial" w:cs="Arial"/>
          <w:color w:val="000000" w:themeColor="text1"/>
          <w:sz w:val="19"/>
          <w:szCs w:val="19"/>
          <w:lang w:val="es-ES"/>
        </w:rPr>
        <w:t>lit.</w:t>
      </w:r>
      <w:proofErr w:type="spellEnd"/>
      <w:r w:rsidRPr="00661FEB">
        <w:rPr>
          <w:rFonts w:ascii="Arial" w:hAnsi="Arial" w:cs="Arial"/>
          <w:color w:val="000000" w:themeColor="text1"/>
          <w:sz w:val="19"/>
          <w:szCs w:val="19"/>
          <w:lang w:val="es-ES"/>
        </w:rPr>
        <w:t xml:space="preserve"> e), Ley 80/93); «Quien haya celebrado un contrato estatal de obra pública, de concesión, suministro de medicamentos y de alimentos o su cónyuge, compañero o compañera permanente, pariente hasta el segundo grado de </w:t>
      </w:r>
      <w:proofErr w:type="spellStart"/>
      <w:r w:rsidRPr="00661FEB">
        <w:rPr>
          <w:rFonts w:ascii="Arial" w:hAnsi="Arial" w:cs="Arial"/>
          <w:color w:val="000000" w:themeColor="text1"/>
          <w:sz w:val="19"/>
          <w:szCs w:val="19"/>
          <w:lang w:val="es-ES"/>
        </w:rPr>
        <w:t>consaguinidad</w:t>
      </w:r>
      <w:proofErr w:type="spellEnd"/>
      <w:r w:rsidRPr="00661FEB">
        <w:rPr>
          <w:rFonts w:ascii="Arial" w:hAnsi="Arial" w:cs="Arial"/>
          <w:color w:val="000000" w:themeColor="text1"/>
          <w:sz w:val="19"/>
          <w:szCs w:val="19"/>
          <w:lang w:val="es-ES"/>
        </w:rPr>
        <w:t xml:space="preserve">,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 (art. 5, Ley 1474/11). </w:t>
      </w:r>
    </w:p>
    <w:p w14:paraId="5B6B10A1" w14:textId="77777777" w:rsidR="00971B2A" w:rsidRPr="00661FEB" w:rsidRDefault="00971B2A" w:rsidP="00A8610B">
      <w:pPr>
        <w:ind w:firstLine="709"/>
        <w:jc w:val="both"/>
        <w:rPr>
          <w:rFonts w:ascii="Arial" w:hAnsi="Arial" w:cs="Arial"/>
          <w:color w:val="000000" w:themeColor="text1"/>
          <w:sz w:val="19"/>
          <w:szCs w:val="19"/>
          <w:lang w:val="es-ES"/>
        </w:rPr>
      </w:pPr>
    </w:p>
  </w:footnote>
  <w:footnote w:id="10">
    <w:p w14:paraId="3569C7DB"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BARRETO ROZO, Antonio Alejandro. Inhabilidades de la contratación estatal, efectos y </w:t>
      </w:r>
      <w:proofErr w:type="spellStart"/>
      <w:r w:rsidRPr="00661FEB">
        <w:rPr>
          <w:rFonts w:ascii="Arial" w:hAnsi="Arial" w:cs="Arial"/>
          <w:color w:val="000000" w:themeColor="text1"/>
          <w:sz w:val="19"/>
          <w:szCs w:val="19"/>
          <w:lang w:val="es-ES"/>
        </w:rPr>
        <w:t>neopunitivismo</w:t>
      </w:r>
      <w:proofErr w:type="spellEnd"/>
      <w:r w:rsidRPr="00661FEB">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w14:paraId="3624EE75"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p>
  </w:footnote>
  <w:footnote w:id="11">
    <w:p w14:paraId="41DCC66F"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Ibíd., p. 69.</w:t>
      </w:r>
    </w:p>
    <w:p w14:paraId="4DB5788D"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p>
  </w:footnote>
  <w:footnote w:id="12">
    <w:p w14:paraId="45DE8619"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04CB54DD"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p>
  </w:footnote>
  <w:footnote w:id="13">
    <w:p w14:paraId="0783455B"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661FEB">
        <w:rPr>
          <w:rFonts w:ascii="Arial" w:hAnsi="Arial" w:cs="Arial"/>
          <w:color w:val="000000" w:themeColor="text1"/>
          <w:sz w:val="19"/>
          <w:szCs w:val="19"/>
          <w:lang w:val="es-ES"/>
        </w:rPr>
        <w:t>Namén</w:t>
      </w:r>
      <w:proofErr w:type="spellEnd"/>
      <w:r w:rsidRPr="00661FEB">
        <w:rPr>
          <w:rFonts w:ascii="Arial" w:hAnsi="Arial" w:cs="Arial"/>
          <w:color w:val="000000" w:themeColor="text1"/>
          <w:sz w:val="19"/>
          <w:szCs w:val="19"/>
          <w:lang w:val="es-ES"/>
        </w:rPr>
        <w:t xml:space="preserve"> Vargas.</w:t>
      </w:r>
    </w:p>
    <w:p w14:paraId="520867D5"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p>
  </w:footnote>
  <w:footnote w:id="14">
    <w:p w14:paraId="278443ED"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Consejo de Estado. Sección Tercera. Subsección A. Sentencia del 24 de junio de 2015. </w:t>
      </w:r>
      <w:r w:rsidRPr="00661FEB">
        <w:rPr>
          <w:rFonts w:ascii="Arial" w:hAnsi="Arial" w:cs="Arial"/>
          <w:color w:val="000000" w:themeColor="text1"/>
          <w:sz w:val="19"/>
          <w:szCs w:val="19"/>
        </w:rPr>
        <w:t>Exp. 40.635. Consejero Ponente: Hernán Andrade Rincón (E).</w:t>
      </w:r>
    </w:p>
    <w:p w14:paraId="182EA401"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p>
  </w:footnote>
  <w:footnote w:id="15">
    <w:p w14:paraId="50568A16" w14:textId="77777777" w:rsidR="00971B2A" w:rsidRPr="00661FEB" w:rsidRDefault="00971B2A" w:rsidP="00A8610B">
      <w:pPr>
        <w:pStyle w:val="Textonotapie"/>
        <w:ind w:firstLine="709"/>
        <w:jc w:val="both"/>
        <w:rPr>
          <w:rFonts w:ascii="Arial" w:hAnsi="Arial" w:cs="Arial"/>
          <w:color w:val="000000" w:themeColor="text1"/>
          <w:sz w:val="19"/>
          <w:szCs w:val="19"/>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rPr>
        <w:t>Consejo de Estado. Sección Tercera. Subsección C. Sentencia del 22 de mayo de 2013. Exp. 24.057. Consejera Ponente: Olga Melida Valle De De La Hoz.</w:t>
      </w:r>
    </w:p>
    <w:p w14:paraId="22FC5206" w14:textId="77777777" w:rsidR="00971B2A" w:rsidRPr="00661FEB" w:rsidRDefault="00971B2A" w:rsidP="00A8610B">
      <w:pPr>
        <w:pStyle w:val="Textonotapie"/>
        <w:ind w:firstLine="709"/>
        <w:jc w:val="both"/>
        <w:rPr>
          <w:rFonts w:ascii="Arial" w:hAnsi="Arial" w:cs="Arial"/>
          <w:color w:val="000000" w:themeColor="text1"/>
          <w:sz w:val="19"/>
          <w:szCs w:val="19"/>
          <w:lang w:val="es-ES"/>
        </w:rPr>
      </w:pPr>
    </w:p>
  </w:footnote>
  <w:footnote w:id="16">
    <w:p w14:paraId="0E7BA78E" w14:textId="1DA0EFCC" w:rsidR="007E6398" w:rsidRPr="00661FEB" w:rsidRDefault="007E6398"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En: https://dle.rae.es/cotizar</w:t>
      </w:r>
    </w:p>
  </w:footnote>
  <w:footnote w:id="17">
    <w:p w14:paraId="005A79DB" w14:textId="77777777" w:rsidR="00E578BF" w:rsidRPr="00661FEB" w:rsidRDefault="00E578BF" w:rsidP="00A8610B">
      <w:pPr>
        <w:pStyle w:val="Textonotapie"/>
        <w:ind w:firstLine="709"/>
        <w:jc w:val="both"/>
        <w:rPr>
          <w:rFonts w:ascii="Arial" w:hAnsi="Arial" w:cs="Arial"/>
          <w:color w:val="000000" w:themeColor="text1"/>
          <w:sz w:val="19"/>
          <w:szCs w:val="19"/>
        </w:rPr>
      </w:pPr>
    </w:p>
    <w:p w14:paraId="1B403025" w14:textId="01E54D5F" w:rsidR="00AE4C2A" w:rsidRPr="00661FEB" w:rsidRDefault="00AE4C2A"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 xml:space="preserve">Al respecto, puede consultarse la regulación de la oferta mercantil, en los artículos </w:t>
      </w:r>
      <w:r w:rsidR="00E578BF" w:rsidRPr="00661FEB">
        <w:rPr>
          <w:rFonts w:ascii="Arial" w:hAnsi="Arial" w:cs="Arial"/>
          <w:color w:val="000000" w:themeColor="text1"/>
          <w:sz w:val="19"/>
          <w:szCs w:val="19"/>
          <w:lang w:val="es-ES"/>
        </w:rPr>
        <w:t>845 al 863 del Código de Comercio.</w:t>
      </w:r>
    </w:p>
    <w:p w14:paraId="54D5E47E" w14:textId="77777777" w:rsidR="007E2D87" w:rsidRPr="00661FEB" w:rsidRDefault="007E2D87" w:rsidP="00A8610B">
      <w:pPr>
        <w:pStyle w:val="Textonotapie"/>
        <w:ind w:firstLine="709"/>
        <w:jc w:val="both"/>
        <w:rPr>
          <w:rFonts w:ascii="Arial" w:hAnsi="Arial" w:cs="Arial"/>
          <w:color w:val="000000" w:themeColor="text1"/>
          <w:sz w:val="19"/>
          <w:szCs w:val="19"/>
          <w:lang w:val="es-ES"/>
        </w:rPr>
      </w:pPr>
    </w:p>
  </w:footnote>
  <w:footnote w:id="18">
    <w:p w14:paraId="1A91DABA" w14:textId="50952944" w:rsidR="00E37771" w:rsidRPr="00661FEB" w:rsidRDefault="00E37771"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0040539F" w:rsidRPr="00661FEB">
        <w:rPr>
          <w:rFonts w:ascii="Arial" w:hAnsi="Arial" w:cs="Arial"/>
          <w:color w:val="000000" w:themeColor="text1"/>
          <w:sz w:val="19"/>
          <w:szCs w:val="19"/>
        </w:rPr>
        <w:t xml:space="preserve">Colombia Compra Eficiente. </w:t>
      </w:r>
      <w:r w:rsidR="0040539F" w:rsidRPr="00661FEB">
        <w:rPr>
          <w:rFonts w:ascii="Arial" w:hAnsi="Arial" w:cs="Arial"/>
          <w:color w:val="000000" w:themeColor="text1"/>
          <w:sz w:val="19"/>
          <w:szCs w:val="19"/>
          <w:lang w:val="es-ES"/>
        </w:rPr>
        <w:t>Guía para la elaboración de estudios del sector. Disponible en: https://colombiacompra.gov.co/sites/cce_public/files/cce_documents/cce_guia_elaboracion_estudios.pdf</w:t>
      </w:r>
    </w:p>
  </w:footnote>
  <w:footnote w:id="19">
    <w:p w14:paraId="4C0D8A15" w14:textId="77777777" w:rsidR="007E2D87" w:rsidRPr="00661FEB" w:rsidRDefault="007E2D87" w:rsidP="00A8610B">
      <w:pPr>
        <w:pStyle w:val="Textonotapie"/>
        <w:ind w:firstLine="709"/>
        <w:jc w:val="both"/>
        <w:rPr>
          <w:rFonts w:ascii="Arial" w:hAnsi="Arial" w:cs="Arial"/>
          <w:color w:val="000000" w:themeColor="text1"/>
          <w:sz w:val="19"/>
          <w:szCs w:val="19"/>
        </w:rPr>
      </w:pPr>
    </w:p>
    <w:p w14:paraId="55238E6D" w14:textId="2CAB8B58" w:rsidR="00704849" w:rsidRPr="00661FEB" w:rsidRDefault="001C6B8C"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00704849" w:rsidRPr="00661FEB">
        <w:rPr>
          <w:rFonts w:ascii="Arial" w:hAnsi="Arial" w:cs="Arial"/>
          <w:color w:val="000000" w:themeColor="text1"/>
          <w:sz w:val="19"/>
          <w:szCs w:val="19"/>
          <w:lang w:val="es-ES"/>
        </w:rPr>
        <w:t>«Artículo 2.2.1.1.1.2.1. Partícipes de la Contratación Pública. Los partícipes del sistema de compras y contratación pública para efectos del Decreto-Ley 4170 de 2011​, son:</w:t>
      </w:r>
    </w:p>
    <w:p w14:paraId="4AEB7396" w14:textId="62C898BC" w:rsidR="00704849"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»1. Las Entidades Estatales que adelantan Procesos de Contratación.</w:t>
      </w:r>
    </w:p>
    <w:p w14:paraId="2AA6CC7B" w14:textId="4FAD2536" w:rsidR="00704849"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»En los términos de la ley, las Entidades Estatales pueden asociarse para la adquisición conjunta de bienes, obras y servicios.</w:t>
      </w:r>
    </w:p>
    <w:p w14:paraId="6EA68706" w14:textId="7BEEBDFF" w:rsidR="00704849"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»2. Colombia Compra Eficiente.</w:t>
      </w:r>
    </w:p>
    <w:p w14:paraId="07EE2E6D" w14:textId="3F371DE0" w:rsidR="00704849"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»3. Los oferentes en los Procesos de Contratación.</w:t>
      </w:r>
    </w:p>
    <w:p w14:paraId="26D33A1F" w14:textId="2DD59104" w:rsidR="00704849"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»4. Los contratistas.</w:t>
      </w:r>
    </w:p>
    <w:p w14:paraId="39896B4E" w14:textId="7BF1D3A1" w:rsidR="00704849"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»5. Los supervisores.</w:t>
      </w:r>
    </w:p>
    <w:p w14:paraId="0AB473AC" w14:textId="25D11E9D" w:rsidR="00704849"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»6. Los interventores.</w:t>
      </w:r>
    </w:p>
    <w:p w14:paraId="6C475C3C" w14:textId="3E771CAC" w:rsidR="001C6B8C" w:rsidRPr="00661FEB" w:rsidRDefault="00704849" w:rsidP="00A8610B">
      <w:pPr>
        <w:pStyle w:val="Textonotapie"/>
        <w:ind w:firstLine="709"/>
        <w:jc w:val="both"/>
        <w:rPr>
          <w:rFonts w:ascii="Arial" w:hAnsi="Arial" w:cs="Arial"/>
          <w:color w:val="000000" w:themeColor="text1"/>
          <w:sz w:val="19"/>
          <w:szCs w:val="19"/>
          <w:lang w:val="es-ES"/>
        </w:rPr>
      </w:pPr>
      <w:r w:rsidRPr="00661FEB">
        <w:rPr>
          <w:rFonts w:ascii="Arial" w:hAnsi="Arial" w:cs="Arial"/>
          <w:color w:val="000000" w:themeColor="text1"/>
          <w:sz w:val="19"/>
          <w:szCs w:val="19"/>
          <w:lang w:val="es-ES"/>
        </w:rPr>
        <w:t>»7. Las organizaciones de la sociedad civil y los ciudadanos cuando ejercen la participación ciudadana en los términos de la Constitución Política y de la ley».</w:t>
      </w:r>
    </w:p>
    <w:p w14:paraId="7A93D28A" w14:textId="77777777" w:rsidR="007E2D87" w:rsidRPr="00661FEB" w:rsidRDefault="007E2D87" w:rsidP="00A8610B">
      <w:pPr>
        <w:pStyle w:val="Textonotapie"/>
        <w:ind w:firstLine="709"/>
        <w:jc w:val="both"/>
        <w:rPr>
          <w:rFonts w:ascii="Arial" w:hAnsi="Arial" w:cs="Arial"/>
          <w:color w:val="000000" w:themeColor="text1"/>
          <w:sz w:val="19"/>
          <w:szCs w:val="19"/>
          <w:lang w:val="es-CO"/>
        </w:rPr>
      </w:pPr>
    </w:p>
  </w:footnote>
  <w:footnote w:id="20">
    <w:p w14:paraId="712BB37F" w14:textId="59D4BB27" w:rsidR="005934D1" w:rsidRPr="00661FEB" w:rsidRDefault="004F2B28" w:rsidP="00A8610B">
      <w:pPr>
        <w:ind w:firstLine="709"/>
        <w:jc w:val="both"/>
        <w:rPr>
          <w:rFonts w:ascii="Arial" w:hAnsi="Arial" w:cs="Arial"/>
          <w:sz w:val="19"/>
          <w:szCs w:val="19"/>
          <w:lang w:val="es-ES"/>
        </w:rPr>
      </w:pPr>
      <w:r w:rsidRPr="00661FEB">
        <w:rPr>
          <w:rStyle w:val="Refdenotaalpie"/>
          <w:rFonts w:ascii="Arial" w:hAnsi="Arial" w:cs="Arial"/>
          <w:sz w:val="19"/>
          <w:szCs w:val="19"/>
        </w:rPr>
        <w:footnoteRef/>
      </w:r>
      <w:r w:rsidRPr="00661FEB">
        <w:rPr>
          <w:rFonts w:ascii="Arial" w:hAnsi="Arial" w:cs="Arial"/>
          <w:sz w:val="19"/>
          <w:szCs w:val="19"/>
        </w:rPr>
        <w:t xml:space="preserve"> </w:t>
      </w:r>
      <w:r w:rsidRPr="00661FEB">
        <w:rPr>
          <w:rFonts w:ascii="Arial" w:hAnsi="Arial" w:cs="Arial"/>
          <w:sz w:val="19"/>
          <w:szCs w:val="19"/>
          <w:lang w:val="es-ES"/>
        </w:rPr>
        <w:t xml:space="preserve">Por ejemplo, la del </w:t>
      </w:r>
      <w:r w:rsidR="005934D1" w:rsidRPr="00661FEB">
        <w:rPr>
          <w:rFonts w:ascii="Arial" w:hAnsi="Arial" w:cs="Arial"/>
          <w:sz w:val="19"/>
          <w:szCs w:val="19"/>
          <w:lang w:val="es-ES"/>
        </w:rPr>
        <w:t>numeral 1, que está redactada así: «1.</w:t>
      </w:r>
      <w:r w:rsidR="007E2D87" w:rsidRPr="00661FEB">
        <w:rPr>
          <w:rFonts w:ascii="Arial" w:hAnsi="Arial" w:cs="Arial"/>
          <w:sz w:val="19"/>
          <w:szCs w:val="19"/>
          <w:lang w:val="es-ES"/>
        </w:rPr>
        <w:t xml:space="preserve"> </w:t>
      </w:r>
      <w:r w:rsidR="005934D1" w:rsidRPr="00661FEB">
        <w:rPr>
          <w:rFonts w:ascii="Arial" w:hAnsi="Arial" w:cs="Arial"/>
          <w:sz w:val="19"/>
          <w:szCs w:val="19"/>
          <w:lang w:val="es-ES"/>
        </w:rPr>
        <w:t>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w:t>
      </w:r>
    </w:p>
    <w:p w14:paraId="58C73B75" w14:textId="3491FA96" w:rsidR="004F2B28" w:rsidRPr="00661FEB" w:rsidRDefault="004F2B28" w:rsidP="00A8610B">
      <w:pPr>
        <w:pStyle w:val="Textonotapie"/>
        <w:ind w:firstLine="709"/>
        <w:jc w:val="both"/>
        <w:rPr>
          <w:rFonts w:ascii="Arial" w:hAnsi="Arial" w:cs="Arial"/>
          <w:sz w:val="19"/>
          <w:szCs w:val="19"/>
          <w:lang w:val="es-CO"/>
        </w:rPr>
      </w:pPr>
    </w:p>
  </w:footnote>
  <w:footnote w:id="21">
    <w:p w14:paraId="727C5D60" w14:textId="4D1A7CBB" w:rsidR="00BB7D21" w:rsidRPr="00661FEB" w:rsidRDefault="00BB7D21" w:rsidP="00A8610B">
      <w:pPr>
        <w:pStyle w:val="Textonotapie"/>
        <w:ind w:firstLine="709"/>
        <w:jc w:val="both"/>
        <w:rPr>
          <w:rFonts w:ascii="Arial" w:hAnsi="Arial" w:cs="Arial"/>
          <w:sz w:val="19"/>
          <w:szCs w:val="19"/>
        </w:rPr>
      </w:pPr>
      <w:r w:rsidRPr="00661FEB">
        <w:rPr>
          <w:rStyle w:val="Refdenotaalpie"/>
          <w:rFonts w:ascii="Arial" w:hAnsi="Arial" w:cs="Arial"/>
          <w:sz w:val="19"/>
          <w:szCs w:val="19"/>
        </w:rPr>
        <w:footnoteRef/>
      </w:r>
      <w:r w:rsidRPr="00661FEB">
        <w:rPr>
          <w:rFonts w:ascii="Arial" w:hAnsi="Arial" w:cs="Arial"/>
          <w:sz w:val="19"/>
          <w:szCs w:val="19"/>
        </w:rPr>
        <w:t xml:space="preserve"> DÁVILA VINUEZA, Luis Guillermo. Régimen jurídico de la contratación estatal. </w:t>
      </w:r>
      <w:r w:rsidR="00A8610B" w:rsidRPr="00661FEB">
        <w:rPr>
          <w:rFonts w:ascii="Arial" w:hAnsi="Arial" w:cs="Arial"/>
          <w:sz w:val="19"/>
          <w:szCs w:val="19"/>
        </w:rPr>
        <w:t>3ª ed. Bogotá: Legis, 2016. p. 153.</w:t>
      </w:r>
    </w:p>
    <w:p w14:paraId="0C2FFA63" w14:textId="77777777" w:rsidR="00A8610B" w:rsidRPr="00661FEB" w:rsidRDefault="00A8610B" w:rsidP="00A8610B">
      <w:pPr>
        <w:pStyle w:val="Textonotapie"/>
        <w:ind w:firstLine="709"/>
        <w:jc w:val="both"/>
        <w:rPr>
          <w:rFonts w:ascii="Arial" w:hAnsi="Arial" w:cs="Arial"/>
          <w:sz w:val="19"/>
          <w:szCs w:val="19"/>
        </w:rPr>
      </w:pPr>
    </w:p>
  </w:footnote>
  <w:footnote w:id="22">
    <w:p w14:paraId="2BD59BDB" w14:textId="3977725A" w:rsidR="007E2D87" w:rsidRPr="00661FEB" w:rsidRDefault="00F360FA" w:rsidP="00A8610B">
      <w:pPr>
        <w:pStyle w:val="NormalWeb"/>
        <w:shd w:val="clear" w:color="auto" w:fill="FFFFFF"/>
        <w:spacing w:before="0" w:beforeAutospacing="0" w:after="0" w:afterAutospacing="0"/>
        <w:ind w:firstLine="709"/>
        <w:jc w:val="both"/>
        <w:rPr>
          <w:rFonts w:ascii="Arial" w:hAnsi="Arial" w:cs="Arial"/>
          <w:color w:val="333333"/>
          <w:sz w:val="19"/>
          <w:szCs w:val="19"/>
        </w:rPr>
      </w:pPr>
      <w:r w:rsidRPr="00661FEB">
        <w:rPr>
          <w:rStyle w:val="Refdenotaalpie"/>
          <w:rFonts w:ascii="Arial" w:hAnsi="Arial" w:cs="Arial"/>
          <w:sz w:val="19"/>
          <w:szCs w:val="19"/>
        </w:rPr>
        <w:footnoteRef/>
      </w:r>
      <w:r w:rsidRPr="00661FEB">
        <w:rPr>
          <w:rFonts w:ascii="Arial" w:hAnsi="Arial" w:cs="Arial"/>
          <w:sz w:val="19"/>
          <w:szCs w:val="19"/>
        </w:rPr>
        <w:t xml:space="preserve"> </w:t>
      </w:r>
      <w:r w:rsidRPr="00661FEB">
        <w:rPr>
          <w:rFonts w:ascii="Arial" w:hAnsi="Arial" w:cs="Arial"/>
          <w:sz w:val="19"/>
          <w:szCs w:val="19"/>
          <w:lang w:val="es-ES"/>
        </w:rPr>
        <w:t xml:space="preserve">Por ejemplo, esta es la acepción que se emplea en </w:t>
      </w:r>
      <w:r w:rsidR="007E2D87" w:rsidRPr="00661FEB">
        <w:rPr>
          <w:rFonts w:ascii="Arial" w:hAnsi="Arial" w:cs="Arial"/>
          <w:sz w:val="19"/>
          <w:szCs w:val="19"/>
          <w:lang w:val="es-ES"/>
        </w:rPr>
        <w:t xml:space="preserve">el procedimiento de adquisición en grandes superficies, pues el </w:t>
      </w:r>
      <w:r w:rsidR="007E2D87" w:rsidRPr="00661FEB">
        <w:rPr>
          <w:rStyle w:val="Textoennegrita"/>
          <w:rFonts w:ascii="Arial" w:hAnsi="Arial" w:cs="Arial"/>
          <w:b w:val="0"/>
          <w:bCs w:val="0"/>
          <w:color w:val="333333"/>
          <w:sz w:val="19"/>
          <w:szCs w:val="19"/>
        </w:rPr>
        <w:t>artículo 2.2.1.2.1.5.3. </w:t>
      </w:r>
      <w:r w:rsidR="007E2D87" w:rsidRPr="00661FEB">
        <w:rPr>
          <w:rStyle w:val="nfasis"/>
          <w:rFonts w:ascii="Arial" w:hAnsi="Arial" w:cs="Arial"/>
          <w:i w:val="0"/>
          <w:iCs w:val="0"/>
          <w:color w:val="333333"/>
          <w:sz w:val="19"/>
          <w:szCs w:val="19"/>
        </w:rPr>
        <w:t xml:space="preserve">del Decreto 1082 de 2015 dispone: </w:t>
      </w:r>
      <w:r w:rsidR="007E2D87" w:rsidRPr="00661FEB">
        <w:rPr>
          <w:rStyle w:val="nfasis"/>
          <w:rFonts w:ascii="Arial" w:hAnsi="Arial" w:cs="Arial"/>
          <w:color w:val="333333"/>
          <w:sz w:val="19"/>
          <w:szCs w:val="19"/>
        </w:rPr>
        <w:t>«</w:t>
      </w:r>
      <w:r w:rsidR="007E2D87" w:rsidRPr="00661FEB">
        <w:rPr>
          <w:rFonts w:ascii="Arial" w:hAnsi="Arial" w:cs="Arial"/>
          <w:color w:val="333333"/>
          <w:sz w:val="19"/>
          <w:szCs w:val="19"/>
        </w:rPr>
        <w:t>Las Entidades Estatales deben aplicar las siguientes reglas para adquirir bienes hasta por el monto de su mínima cuantía en Grandes Superficies:</w:t>
      </w:r>
    </w:p>
    <w:p w14:paraId="3CC8F095" w14:textId="661BCD88" w:rsidR="007E2D87" w:rsidRPr="00661FEB" w:rsidRDefault="007E2D87" w:rsidP="00A8610B">
      <w:pPr>
        <w:pStyle w:val="NormalWeb"/>
        <w:shd w:val="clear" w:color="auto" w:fill="FFFFFF"/>
        <w:spacing w:before="0" w:beforeAutospacing="0" w:after="0" w:afterAutospacing="0"/>
        <w:ind w:firstLine="709"/>
        <w:jc w:val="both"/>
        <w:rPr>
          <w:rFonts w:ascii="Arial" w:hAnsi="Arial" w:cs="Arial"/>
          <w:color w:val="333333"/>
          <w:sz w:val="19"/>
          <w:szCs w:val="19"/>
        </w:rPr>
      </w:pPr>
      <w:r w:rsidRPr="00661FEB">
        <w:rPr>
          <w:rFonts w:ascii="Arial" w:hAnsi="Arial" w:cs="Arial"/>
          <w:color w:val="333333"/>
          <w:sz w:val="19"/>
          <w:szCs w:val="19"/>
        </w:rPr>
        <w:t xml:space="preserve">»1.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w:t>
      </w:r>
      <w:r w:rsidRPr="00661FEB">
        <w:rPr>
          <w:rFonts w:ascii="Arial" w:hAnsi="Arial" w:cs="Arial"/>
          <w:color w:val="333333"/>
          <w:sz w:val="19"/>
          <w:szCs w:val="19"/>
        </w:rPr>
        <w:t>la cotización, y e) la disponibilidad presupuestal.</w:t>
      </w:r>
    </w:p>
    <w:p w14:paraId="03C25DAC" w14:textId="53A8C88D" w:rsidR="007E2D87" w:rsidRPr="00661FEB" w:rsidRDefault="007E2D87" w:rsidP="00A8610B">
      <w:pPr>
        <w:pStyle w:val="NormalWeb"/>
        <w:shd w:val="clear" w:color="auto" w:fill="FFFFFF"/>
        <w:spacing w:before="0" w:beforeAutospacing="0" w:after="0" w:afterAutospacing="0"/>
        <w:ind w:firstLine="709"/>
        <w:jc w:val="both"/>
        <w:rPr>
          <w:rFonts w:ascii="Arial" w:hAnsi="Arial" w:cs="Arial"/>
          <w:color w:val="333333"/>
          <w:sz w:val="19"/>
          <w:szCs w:val="19"/>
        </w:rPr>
      </w:pPr>
      <w:r w:rsidRPr="00661FEB">
        <w:rPr>
          <w:rFonts w:ascii="Arial" w:hAnsi="Arial" w:cs="Arial"/>
          <w:color w:val="333333"/>
          <w:sz w:val="19"/>
          <w:szCs w:val="19"/>
        </w:rPr>
        <w:t>»2. La Entidad Estatal debe evaluar las cotizaciones presentadas y seleccionar a quien, con las condiciones requeridas, ofrezca el menor precio del mercado y aceptar la mejor oferta.</w:t>
      </w:r>
    </w:p>
    <w:p w14:paraId="52904548" w14:textId="0D22AEFB" w:rsidR="007E2D87" w:rsidRPr="00661FEB" w:rsidRDefault="007E2D87" w:rsidP="00A8610B">
      <w:pPr>
        <w:pStyle w:val="NormalWeb"/>
        <w:shd w:val="clear" w:color="auto" w:fill="FFFFFF"/>
        <w:spacing w:before="0" w:beforeAutospacing="0" w:after="0" w:afterAutospacing="0"/>
        <w:ind w:firstLine="709"/>
        <w:jc w:val="both"/>
        <w:rPr>
          <w:rFonts w:ascii="Arial" w:hAnsi="Arial" w:cs="Arial"/>
          <w:color w:val="333333"/>
          <w:sz w:val="19"/>
          <w:szCs w:val="19"/>
        </w:rPr>
      </w:pPr>
      <w:r w:rsidRPr="00661FEB">
        <w:rPr>
          <w:rFonts w:ascii="Arial" w:hAnsi="Arial" w:cs="Arial"/>
          <w:color w:val="333333"/>
          <w:sz w:val="19"/>
          <w:szCs w:val="19"/>
        </w:rPr>
        <w:t>»3. En caso de empate, la Entidad Estatal aceptará la oferta que haya sido presentada primero en el tiempo.</w:t>
      </w:r>
    </w:p>
    <w:p w14:paraId="03BEC509" w14:textId="069F79ED" w:rsidR="007E2D87" w:rsidRPr="00661FEB" w:rsidRDefault="007E2D87" w:rsidP="00A8610B">
      <w:pPr>
        <w:pStyle w:val="NormalWeb"/>
        <w:shd w:val="clear" w:color="auto" w:fill="FFFFFF"/>
        <w:spacing w:before="0" w:beforeAutospacing="0" w:after="0" w:afterAutospacing="0"/>
        <w:ind w:firstLine="709"/>
        <w:jc w:val="both"/>
        <w:rPr>
          <w:rFonts w:ascii="Arial" w:hAnsi="Arial" w:cs="Arial"/>
          <w:color w:val="333333"/>
          <w:sz w:val="19"/>
          <w:szCs w:val="19"/>
        </w:rPr>
      </w:pPr>
      <w:r w:rsidRPr="00661FEB">
        <w:rPr>
          <w:rFonts w:ascii="Arial" w:hAnsi="Arial" w:cs="Arial"/>
          <w:color w:val="333333"/>
          <w:sz w:val="19"/>
          <w:szCs w:val="19"/>
        </w:rPr>
        <w:t>»4. La oferta y su aceptación constituyen el contrato».</w:t>
      </w:r>
    </w:p>
    <w:p w14:paraId="6FECCCB6" w14:textId="489990A2" w:rsidR="00F360FA" w:rsidRPr="00661FEB" w:rsidRDefault="00F360FA" w:rsidP="00A8610B">
      <w:pPr>
        <w:pStyle w:val="Textonotapie"/>
        <w:ind w:firstLine="709"/>
        <w:jc w:val="both"/>
        <w:rPr>
          <w:rFonts w:ascii="Arial" w:hAnsi="Arial" w:cs="Arial"/>
          <w:sz w:val="19"/>
          <w:szCs w:val="19"/>
          <w:lang w:val="es-CO"/>
        </w:rPr>
      </w:pPr>
    </w:p>
  </w:footnote>
  <w:footnote w:id="23">
    <w:p w14:paraId="13EF9B92" w14:textId="401981AF" w:rsidR="00D40F13" w:rsidRPr="00661FEB" w:rsidRDefault="00D40F13" w:rsidP="00A8610B">
      <w:pPr>
        <w:ind w:firstLine="709"/>
        <w:jc w:val="both"/>
        <w:rPr>
          <w:rFonts w:ascii="Arial" w:eastAsia="Times New Roman" w:hAnsi="Arial" w:cs="Arial"/>
          <w:color w:val="000000" w:themeColor="text1"/>
          <w:sz w:val="19"/>
          <w:szCs w:val="19"/>
          <w:lang w:val="es-CO" w:eastAsia="es-ES_tradnl"/>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w:t>
      </w:r>
      <w:r w:rsidRPr="00661FEB">
        <w:rPr>
          <w:rFonts w:ascii="Arial" w:eastAsia="Times New Roman" w:hAnsi="Arial" w:cs="Arial"/>
          <w:color w:val="000000" w:themeColor="text1"/>
          <w:sz w:val="19"/>
          <w:szCs w:val="19"/>
          <w:lang w:val="es-CO" w:eastAsia="es-ES_tradnl"/>
        </w:rPr>
        <w:t>Artículo 126. Los servidores públicos no podrán en ejercicio de sus funciones, nombrar, postular, ni contratar con personas con las cuales tengan parentesco hasta el cuarto grado de consanguinidad, segundo de afinidad, primero civil, o con quien estén ligados por matrimonio o unión permanente. </w:t>
      </w:r>
    </w:p>
    <w:p w14:paraId="7159764D" w14:textId="511CA26E" w:rsidR="00D40F13" w:rsidRPr="00661FEB" w:rsidRDefault="00D40F13" w:rsidP="00A8610B">
      <w:pPr>
        <w:pStyle w:val="Textonotapie"/>
        <w:ind w:firstLine="709"/>
        <w:jc w:val="both"/>
        <w:rPr>
          <w:rFonts w:ascii="Arial" w:hAnsi="Arial" w:cs="Arial"/>
          <w:color w:val="000000" w:themeColor="text1"/>
          <w:sz w:val="19"/>
          <w:szCs w:val="19"/>
          <w:lang w:val="es-CO"/>
        </w:rPr>
      </w:pPr>
      <w:r w:rsidRPr="00661FEB">
        <w:rPr>
          <w:rFonts w:ascii="Arial" w:hAnsi="Arial" w:cs="Arial"/>
          <w:color w:val="000000" w:themeColor="text1"/>
          <w:sz w:val="19"/>
          <w:szCs w:val="19"/>
          <w:lang w:val="es-CO"/>
        </w:rPr>
        <w:t>»[…]».</w:t>
      </w:r>
    </w:p>
    <w:p w14:paraId="529038F1" w14:textId="77777777" w:rsidR="007E2D87" w:rsidRPr="00661FEB" w:rsidRDefault="007E2D87" w:rsidP="00A8610B">
      <w:pPr>
        <w:pStyle w:val="Textonotapie"/>
        <w:ind w:firstLine="709"/>
        <w:jc w:val="both"/>
        <w:rPr>
          <w:rFonts w:ascii="Arial" w:hAnsi="Arial" w:cs="Arial"/>
          <w:color w:val="000000" w:themeColor="text1"/>
          <w:sz w:val="19"/>
          <w:szCs w:val="19"/>
          <w:lang w:val="es-CO"/>
        </w:rPr>
      </w:pPr>
    </w:p>
  </w:footnote>
  <w:footnote w:id="24">
    <w:p w14:paraId="0917D1A1" w14:textId="1400F318" w:rsidR="009D7BCD" w:rsidRPr="00661FEB" w:rsidRDefault="009D7BCD" w:rsidP="00A8610B">
      <w:pPr>
        <w:pStyle w:val="Textonotapie"/>
        <w:ind w:firstLine="709"/>
        <w:jc w:val="both"/>
        <w:rPr>
          <w:rFonts w:ascii="Arial" w:hAnsi="Arial" w:cs="Arial"/>
          <w:color w:val="000000" w:themeColor="text1"/>
          <w:sz w:val="19"/>
          <w:szCs w:val="19"/>
          <w:lang w:val="es-ES"/>
        </w:rPr>
      </w:pPr>
      <w:r w:rsidRPr="00661FEB">
        <w:rPr>
          <w:rStyle w:val="Refdenotaalpie"/>
          <w:rFonts w:ascii="Arial" w:hAnsi="Arial" w:cs="Arial"/>
          <w:color w:val="000000" w:themeColor="text1"/>
          <w:sz w:val="19"/>
          <w:szCs w:val="19"/>
        </w:rPr>
        <w:footnoteRef/>
      </w:r>
      <w:r w:rsidR="00FA3A52"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«Quienes sean cónyuges o compañeros permanentes y quienes se encuentren dentro del segundo grado de consanguinidad o segundo de afinidad con cualquier otra persona que formalmente haya presentado propuesta para una misma licitación».</w:t>
      </w:r>
    </w:p>
    <w:p w14:paraId="037A960C" w14:textId="77777777" w:rsidR="007E2D87" w:rsidRPr="00661FEB" w:rsidRDefault="007E2D87" w:rsidP="00A8610B">
      <w:pPr>
        <w:pStyle w:val="Textonotapie"/>
        <w:ind w:firstLine="709"/>
        <w:jc w:val="both"/>
        <w:rPr>
          <w:rFonts w:ascii="Arial" w:hAnsi="Arial" w:cs="Arial"/>
          <w:color w:val="000000" w:themeColor="text1"/>
          <w:sz w:val="19"/>
          <w:szCs w:val="19"/>
          <w:lang w:val="es-CO"/>
        </w:rPr>
      </w:pPr>
    </w:p>
  </w:footnote>
  <w:footnote w:id="25">
    <w:p w14:paraId="2C2873CE" w14:textId="10DAF1ED" w:rsidR="009A43F3" w:rsidRPr="00661FEB" w:rsidRDefault="009A43F3" w:rsidP="00A8610B">
      <w:pPr>
        <w:pStyle w:val="NormalWeb"/>
        <w:spacing w:before="0" w:beforeAutospacing="0" w:after="0" w:afterAutospacing="0"/>
        <w:ind w:firstLine="709"/>
        <w:jc w:val="both"/>
        <w:rPr>
          <w:rFonts w:ascii="Arial" w:eastAsiaTheme="minorHAnsi" w:hAnsi="Arial" w:cs="Arial"/>
          <w:color w:val="000000" w:themeColor="text1"/>
          <w:sz w:val="19"/>
          <w:szCs w:val="19"/>
          <w:lang w:val="es-ES" w:eastAsia="en-US"/>
        </w:rPr>
      </w:pPr>
      <w:r w:rsidRPr="00661FEB">
        <w:rPr>
          <w:rStyle w:val="Refdenotaalpie"/>
          <w:rFonts w:ascii="Arial" w:hAnsi="Arial" w:cs="Arial"/>
          <w:color w:val="000000" w:themeColor="text1"/>
          <w:sz w:val="19"/>
          <w:szCs w:val="19"/>
        </w:rPr>
        <w:footnoteRef/>
      </w:r>
      <w:r w:rsidR="00FA3A52"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rPr>
        <w:t xml:space="preserve">«Las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w:t>
      </w:r>
      <w:r w:rsidRPr="00661FEB">
        <w:rPr>
          <w:rFonts w:ascii="Arial" w:eastAsiaTheme="minorHAnsi" w:hAnsi="Arial" w:cs="Arial"/>
          <w:color w:val="000000" w:themeColor="text1"/>
          <w:sz w:val="19"/>
          <w:szCs w:val="19"/>
          <w:lang w:val="es-ES" w:eastAsia="en-US"/>
        </w:rPr>
        <w:t>licitación».</w:t>
      </w:r>
    </w:p>
    <w:p w14:paraId="3A7FC0FA" w14:textId="77777777" w:rsidR="007E2D87" w:rsidRPr="00661FEB" w:rsidRDefault="007E2D87" w:rsidP="00A8610B">
      <w:pPr>
        <w:pStyle w:val="NormalWeb"/>
        <w:spacing w:before="0" w:beforeAutospacing="0" w:after="0" w:afterAutospacing="0"/>
        <w:ind w:firstLine="709"/>
        <w:jc w:val="both"/>
        <w:rPr>
          <w:rFonts w:ascii="Arial" w:eastAsiaTheme="minorHAnsi" w:hAnsi="Arial" w:cs="Arial"/>
          <w:color w:val="000000" w:themeColor="text1"/>
          <w:sz w:val="19"/>
          <w:szCs w:val="19"/>
          <w:lang w:val="es-ES" w:eastAsia="en-US"/>
        </w:rPr>
      </w:pPr>
    </w:p>
  </w:footnote>
  <w:footnote w:id="26">
    <w:p w14:paraId="2D045DAC" w14:textId="30EEE0E7" w:rsidR="00E46763" w:rsidRPr="00661FEB" w:rsidRDefault="00D74812" w:rsidP="00A8610B">
      <w:pPr>
        <w:ind w:firstLine="709"/>
        <w:jc w:val="both"/>
        <w:rPr>
          <w:rFonts w:ascii="Arial" w:eastAsia="Times New Roman" w:hAnsi="Arial" w:cs="Arial"/>
          <w:color w:val="000000" w:themeColor="text1"/>
          <w:sz w:val="19"/>
          <w:szCs w:val="19"/>
          <w:lang w:val="es-CO" w:eastAsia="es-ES_tradnl"/>
        </w:rPr>
      </w:pPr>
      <w:r w:rsidRPr="00661FEB">
        <w:rPr>
          <w:rStyle w:val="Refdenotaalpie"/>
          <w:rFonts w:ascii="Arial" w:hAnsi="Arial" w:cs="Arial"/>
          <w:color w:val="000000" w:themeColor="text1"/>
          <w:sz w:val="19"/>
          <w:szCs w:val="19"/>
        </w:rPr>
        <w:footnoteRef/>
      </w:r>
      <w:r w:rsidR="00FA3A52" w:rsidRPr="00661FEB">
        <w:rPr>
          <w:rFonts w:ascii="Arial" w:hAnsi="Arial" w:cs="Arial"/>
          <w:color w:val="000000" w:themeColor="text1"/>
          <w:sz w:val="19"/>
          <w:szCs w:val="19"/>
        </w:rPr>
        <w:t xml:space="preserve"> </w:t>
      </w:r>
      <w:r w:rsidR="00E46763" w:rsidRPr="00661FEB">
        <w:rPr>
          <w:rFonts w:ascii="Arial" w:eastAsia="Times New Roman" w:hAnsi="Arial" w:cs="Arial"/>
          <w:color w:val="000000" w:themeColor="text1"/>
          <w:sz w:val="19"/>
          <w:szCs w:val="19"/>
          <w:lang w:val="es-CO" w:eastAsia="es-ES_tradnl"/>
        </w:rPr>
        <w:t>«Las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p>
    <w:p w14:paraId="12D2F10C" w14:textId="487AF3DB" w:rsidR="00E46763" w:rsidRPr="00661FEB" w:rsidRDefault="00E46763" w:rsidP="00A8610B">
      <w:pPr>
        <w:pStyle w:val="Textonotapie"/>
        <w:ind w:firstLine="709"/>
        <w:jc w:val="both"/>
        <w:rPr>
          <w:rFonts w:ascii="Arial" w:eastAsia="Times New Roman" w:hAnsi="Arial" w:cs="Arial"/>
          <w:color w:val="000000" w:themeColor="text1"/>
          <w:sz w:val="19"/>
          <w:szCs w:val="19"/>
          <w:lang w:val="es-CO" w:eastAsia="es-ES_tradnl"/>
        </w:rPr>
      </w:pPr>
      <w:r w:rsidRPr="00661FEB">
        <w:rPr>
          <w:rFonts w:ascii="Arial" w:eastAsia="Times New Roman" w:hAnsi="Arial" w:cs="Arial"/>
          <w:color w:val="000000" w:themeColor="text1"/>
          <w:sz w:val="19"/>
          <w:szCs w:val="19"/>
          <w:lang w:val="es-CO" w:eastAsia="es-ES_tradnl"/>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1E5696A6" w14:textId="521B1348" w:rsidR="00E46763" w:rsidRPr="00661FEB" w:rsidRDefault="00FA3A52" w:rsidP="00A8610B">
      <w:pPr>
        <w:pStyle w:val="Textonotapie"/>
        <w:ind w:firstLine="709"/>
        <w:jc w:val="both"/>
        <w:rPr>
          <w:rFonts w:ascii="Arial" w:eastAsia="Times New Roman" w:hAnsi="Arial" w:cs="Arial"/>
          <w:color w:val="000000" w:themeColor="text1"/>
          <w:sz w:val="19"/>
          <w:szCs w:val="19"/>
          <w:lang w:val="es-CO" w:eastAsia="es-ES_tradnl"/>
        </w:rPr>
      </w:pPr>
      <w:r w:rsidRPr="00661FEB">
        <w:rPr>
          <w:rFonts w:ascii="Arial" w:eastAsia="Times New Roman" w:hAnsi="Arial" w:cs="Arial"/>
          <w:color w:val="000000" w:themeColor="text1"/>
          <w:sz w:val="19"/>
          <w:szCs w:val="19"/>
          <w:lang w:val="es-CO" w:eastAsia="es-ES_tradnl"/>
        </w:rPr>
        <w:t>»</w:t>
      </w:r>
      <w:r w:rsidR="00E46763" w:rsidRPr="00661FEB">
        <w:rPr>
          <w:rFonts w:ascii="Arial" w:eastAsia="Times New Roman" w:hAnsi="Arial" w:cs="Arial"/>
          <w:color w:val="000000" w:themeColor="text1"/>
          <w:sz w:val="19"/>
          <w:szCs w:val="19"/>
          <w:lang w:val="es-CO" w:eastAsia="es-ES_tradnl"/>
        </w:rPr>
        <w:t>[…]»</w:t>
      </w:r>
    </w:p>
    <w:p w14:paraId="73BF908A" w14:textId="77777777" w:rsidR="007E2D87" w:rsidRPr="00661FEB" w:rsidRDefault="007E2D87" w:rsidP="00A8610B">
      <w:pPr>
        <w:pStyle w:val="Textonotapie"/>
        <w:ind w:firstLine="709"/>
        <w:jc w:val="both"/>
        <w:rPr>
          <w:rFonts w:ascii="Arial" w:hAnsi="Arial" w:cs="Arial"/>
          <w:color w:val="000000" w:themeColor="text1"/>
          <w:sz w:val="19"/>
          <w:szCs w:val="19"/>
        </w:rPr>
      </w:pPr>
    </w:p>
  </w:footnote>
  <w:footnote w:id="27">
    <w:p w14:paraId="66A56C18" w14:textId="1718E0BE" w:rsidR="006624A3" w:rsidRPr="00661FEB" w:rsidRDefault="006624A3" w:rsidP="00A8610B">
      <w:pPr>
        <w:ind w:firstLine="709"/>
        <w:jc w:val="both"/>
        <w:rPr>
          <w:rFonts w:ascii="Arial" w:eastAsia="Times New Roman" w:hAnsi="Arial" w:cs="Arial"/>
          <w:color w:val="000000" w:themeColor="text1"/>
          <w:sz w:val="19"/>
          <w:szCs w:val="19"/>
          <w:lang w:val="es-CO" w:eastAsia="es-ES_tradnl"/>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eastAsia="Times New Roman" w:hAnsi="Arial" w:cs="Arial"/>
          <w:color w:val="000000" w:themeColor="text1"/>
          <w:sz w:val="19"/>
          <w:szCs w:val="19"/>
          <w:lang w:val="es-CO" w:eastAsia="es-ES_tradnl"/>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p>
    <w:p w14:paraId="30728E00" w14:textId="77777777" w:rsidR="007E2D87" w:rsidRPr="00661FEB" w:rsidRDefault="007E2D87" w:rsidP="00A8610B">
      <w:pPr>
        <w:ind w:firstLine="709"/>
        <w:jc w:val="both"/>
        <w:rPr>
          <w:rFonts w:ascii="Arial" w:eastAsia="Times New Roman" w:hAnsi="Arial" w:cs="Arial"/>
          <w:color w:val="000000" w:themeColor="text1"/>
          <w:sz w:val="19"/>
          <w:szCs w:val="19"/>
          <w:lang w:val="es-CO" w:eastAsia="es-ES_tradnl"/>
        </w:rPr>
      </w:pPr>
    </w:p>
  </w:footnote>
  <w:footnote w:id="28">
    <w:p w14:paraId="72560239" w14:textId="35BE5996" w:rsidR="00A05329" w:rsidRPr="00661FEB" w:rsidRDefault="00A05329" w:rsidP="00A8610B">
      <w:pPr>
        <w:ind w:firstLine="709"/>
        <w:jc w:val="both"/>
        <w:rPr>
          <w:rFonts w:ascii="Arial" w:eastAsia="Times New Roman" w:hAnsi="Arial" w:cs="Arial"/>
          <w:color w:val="000000" w:themeColor="text1"/>
          <w:sz w:val="19"/>
          <w:szCs w:val="19"/>
          <w:lang w:val="es-CO" w:eastAsia="es-ES_tradnl"/>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w:t>
      </w:r>
      <w:r w:rsidRPr="00661FEB">
        <w:rPr>
          <w:rFonts w:ascii="Arial" w:eastAsia="Times New Roman" w:hAnsi="Arial" w:cs="Arial"/>
          <w:color w:val="000000" w:themeColor="text1"/>
          <w:sz w:val="19"/>
          <w:szCs w:val="19"/>
          <w:lang w:val="es-CO" w:eastAsia="es-ES_tradnl"/>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p>
    <w:p w14:paraId="627FA32F" w14:textId="77777777" w:rsidR="007E2D87" w:rsidRPr="00661FEB" w:rsidRDefault="007E2D87" w:rsidP="00A8610B">
      <w:pPr>
        <w:ind w:firstLine="709"/>
        <w:jc w:val="both"/>
        <w:rPr>
          <w:rFonts w:ascii="Arial" w:eastAsia="Times New Roman" w:hAnsi="Arial" w:cs="Arial"/>
          <w:color w:val="000000" w:themeColor="text1"/>
          <w:sz w:val="19"/>
          <w:szCs w:val="19"/>
          <w:lang w:val="es-CO" w:eastAsia="es-ES_tradnl"/>
        </w:rPr>
      </w:pPr>
    </w:p>
  </w:footnote>
  <w:footnote w:id="29">
    <w:p w14:paraId="077A763C" w14:textId="5A1D3502" w:rsidR="00FA3A52" w:rsidRPr="00661FEB" w:rsidRDefault="00FA3A52" w:rsidP="00A8610B">
      <w:pPr>
        <w:pStyle w:val="NormalWeb"/>
        <w:spacing w:before="0" w:beforeAutospacing="0" w:after="0" w:afterAutospacing="0"/>
        <w:ind w:firstLine="709"/>
        <w:jc w:val="both"/>
        <w:rPr>
          <w:rFonts w:ascii="Arial" w:hAnsi="Arial" w:cs="Arial"/>
          <w:color w:val="000000" w:themeColor="text1"/>
          <w:sz w:val="19"/>
          <w:szCs w:val="19"/>
        </w:rPr>
      </w:pPr>
      <w:r w:rsidRPr="00661FEB">
        <w:rPr>
          <w:rStyle w:val="Refdenotaalpie"/>
          <w:rFonts w:ascii="Arial" w:hAnsi="Arial" w:cs="Arial"/>
          <w:color w:val="000000" w:themeColor="text1"/>
          <w:sz w:val="19"/>
          <w:szCs w:val="19"/>
        </w:rPr>
        <w:footnoteRef/>
      </w:r>
      <w:r w:rsidRPr="00661FEB">
        <w:rPr>
          <w:rFonts w:ascii="Arial" w:hAnsi="Arial" w:cs="Arial"/>
          <w:color w:val="000000" w:themeColor="text1"/>
          <w:sz w:val="19"/>
          <w:szCs w:val="19"/>
        </w:rPr>
        <w:t xml:space="preserve"> </w:t>
      </w:r>
      <w:r w:rsidRPr="00661FEB">
        <w:rPr>
          <w:rFonts w:ascii="Arial" w:hAnsi="Arial" w:cs="Arial"/>
          <w:color w:val="000000" w:themeColor="text1"/>
          <w:sz w:val="19"/>
          <w:szCs w:val="19"/>
          <w:lang w:val="es-ES"/>
        </w:rPr>
        <w:t>«</w:t>
      </w:r>
      <w:r w:rsidRPr="00661FEB">
        <w:rPr>
          <w:rFonts w:ascii="Arial" w:hAnsi="Arial" w:cs="Arial"/>
          <w:color w:val="000000" w:themeColor="text1"/>
          <w:sz w:val="19"/>
          <w:szCs w:val="19"/>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14:paraId="00168C48" w14:textId="2D8777C0" w:rsidR="00FA3A52" w:rsidRPr="00661FEB" w:rsidRDefault="00FA3A52" w:rsidP="00A8610B">
      <w:pPr>
        <w:pStyle w:val="NormalWeb"/>
        <w:spacing w:before="0" w:beforeAutospacing="0" w:after="0" w:afterAutospacing="0"/>
        <w:ind w:firstLine="709"/>
        <w:jc w:val="both"/>
        <w:rPr>
          <w:rFonts w:ascii="Arial" w:hAnsi="Arial" w:cs="Arial"/>
          <w:color w:val="000000" w:themeColor="text1"/>
          <w:sz w:val="19"/>
          <w:szCs w:val="19"/>
        </w:rPr>
      </w:pPr>
      <w:r w:rsidRPr="00661FEB">
        <w:rPr>
          <w:rFonts w:ascii="Arial" w:hAnsi="Arial" w:cs="Arial"/>
          <w:color w:val="000000" w:themeColor="text1"/>
          <w:sz w:val="19"/>
          <w:szCs w:val="19"/>
        </w:rPr>
        <w:t>»Esta incompatibilidad también operará para las personas que se encuentren dentro del primer grado de consanguinidad, primero de afinidad, o primero civil del ex empleado público».</w:t>
      </w:r>
    </w:p>
    <w:p w14:paraId="60BE9441" w14:textId="7C104745" w:rsidR="00FA3A52" w:rsidRPr="00661FEB" w:rsidRDefault="00FA3A52" w:rsidP="00A8610B">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attachedTemplate r:id="rId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069E1"/>
    <w:rsid w:val="0001035E"/>
    <w:rsid w:val="00014B03"/>
    <w:rsid w:val="00016CFF"/>
    <w:rsid w:val="00022E15"/>
    <w:rsid w:val="00023EEB"/>
    <w:rsid w:val="000243C6"/>
    <w:rsid w:val="000279B3"/>
    <w:rsid w:val="00032912"/>
    <w:rsid w:val="00037573"/>
    <w:rsid w:val="00040DEA"/>
    <w:rsid w:val="00045246"/>
    <w:rsid w:val="000472FF"/>
    <w:rsid w:val="0004752B"/>
    <w:rsid w:val="000529A0"/>
    <w:rsid w:val="0005551F"/>
    <w:rsid w:val="00055A31"/>
    <w:rsid w:val="0005657D"/>
    <w:rsid w:val="000565DF"/>
    <w:rsid w:val="00056BD1"/>
    <w:rsid w:val="00057458"/>
    <w:rsid w:val="00057A90"/>
    <w:rsid w:val="0006537A"/>
    <w:rsid w:val="00067214"/>
    <w:rsid w:val="000744B4"/>
    <w:rsid w:val="00076A78"/>
    <w:rsid w:val="00080ACD"/>
    <w:rsid w:val="00081BD1"/>
    <w:rsid w:val="00082FC1"/>
    <w:rsid w:val="00084B97"/>
    <w:rsid w:val="0008539A"/>
    <w:rsid w:val="000942EB"/>
    <w:rsid w:val="0009676A"/>
    <w:rsid w:val="000A0158"/>
    <w:rsid w:val="000A2092"/>
    <w:rsid w:val="000A296C"/>
    <w:rsid w:val="000A3B5A"/>
    <w:rsid w:val="000A3C64"/>
    <w:rsid w:val="000A47AF"/>
    <w:rsid w:val="000A6E79"/>
    <w:rsid w:val="000A7C27"/>
    <w:rsid w:val="000B0FAB"/>
    <w:rsid w:val="000B103F"/>
    <w:rsid w:val="000B1A4F"/>
    <w:rsid w:val="000B419B"/>
    <w:rsid w:val="000B7257"/>
    <w:rsid w:val="000C122C"/>
    <w:rsid w:val="000C2392"/>
    <w:rsid w:val="000C639D"/>
    <w:rsid w:val="000C75EC"/>
    <w:rsid w:val="000D0ED2"/>
    <w:rsid w:val="000D10ED"/>
    <w:rsid w:val="000D153B"/>
    <w:rsid w:val="000D1EBE"/>
    <w:rsid w:val="000D2339"/>
    <w:rsid w:val="000D44BE"/>
    <w:rsid w:val="000D68EA"/>
    <w:rsid w:val="000D7D13"/>
    <w:rsid w:val="000E004B"/>
    <w:rsid w:val="000E11AD"/>
    <w:rsid w:val="000E2BB6"/>
    <w:rsid w:val="000E3509"/>
    <w:rsid w:val="000E4180"/>
    <w:rsid w:val="000F12E6"/>
    <w:rsid w:val="000F14E8"/>
    <w:rsid w:val="000F28F3"/>
    <w:rsid w:val="000F576E"/>
    <w:rsid w:val="000F5896"/>
    <w:rsid w:val="001019AF"/>
    <w:rsid w:val="00102E6C"/>
    <w:rsid w:val="00103915"/>
    <w:rsid w:val="001051E5"/>
    <w:rsid w:val="00106AB7"/>
    <w:rsid w:val="00107323"/>
    <w:rsid w:val="00112405"/>
    <w:rsid w:val="001124A9"/>
    <w:rsid w:val="00113705"/>
    <w:rsid w:val="00122B23"/>
    <w:rsid w:val="00123C22"/>
    <w:rsid w:val="001240D2"/>
    <w:rsid w:val="00125BED"/>
    <w:rsid w:val="00125C59"/>
    <w:rsid w:val="00125C66"/>
    <w:rsid w:val="00127AF2"/>
    <w:rsid w:val="00130016"/>
    <w:rsid w:val="001344EB"/>
    <w:rsid w:val="001350C4"/>
    <w:rsid w:val="00136BF7"/>
    <w:rsid w:val="00137E3E"/>
    <w:rsid w:val="00137FFA"/>
    <w:rsid w:val="001402C5"/>
    <w:rsid w:val="00141245"/>
    <w:rsid w:val="001418A4"/>
    <w:rsid w:val="001434A4"/>
    <w:rsid w:val="001446C5"/>
    <w:rsid w:val="001458D4"/>
    <w:rsid w:val="00145CF3"/>
    <w:rsid w:val="00146B80"/>
    <w:rsid w:val="00146DE2"/>
    <w:rsid w:val="00150F04"/>
    <w:rsid w:val="00151978"/>
    <w:rsid w:val="00160401"/>
    <w:rsid w:val="00161B15"/>
    <w:rsid w:val="00161B32"/>
    <w:rsid w:val="0016200B"/>
    <w:rsid w:val="00163A34"/>
    <w:rsid w:val="001640DB"/>
    <w:rsid w:val="00165D90"/>
    <w:rsid w:val="00170A22"/>
    <w:rsid w:val="001753F7"/>
    <w:rsid w:val="00180477"/>
    <w:rsid w:val="001811A6"/>
    <w:rsid w:val="00182E2B"/>
    <w:rsid w:val="00182F57"/>
    <w:rsid w:val="00183D77"/>
    <w:rsid w:val="001841F8"/>
    <w:rsid w:val="0018492C"/>
    <w:rsid w:val="00187333"/>
    <w:rsid w:val="00191A69"/>
    <w:rsid w:val="00195789"/>
    <w:rsid w:val="00196CBA"/>
    <w:rsid w:val="001A0E2A"/>
    <w:rsid w:val="001A0F0E"/>
    <w:rsid w:val="001A2ADE"/>
    <w:rsid w:val="001A2DD2"/>
    <w:rsid w:val="001A3EC0"/>
    <w:rsid w:val="001B0444"/>
    <w:rsid w:val="001B07AA"/>
    <w:rsid w:val="001B1830"/>
    <w:rsid w:val="001B2456"/>
    <w:rsid w:val="001B2A1D"/>
    <w:rsid w:val="001B76A8"/>
    <w:rsid w:val="001C26F2"/>
    <w:rsid w:val="001C3E5C"/>
    <w:rsid w:val="001C435C"/>
    <w:rsid w:val="001C6100"/>
    <w:rsid w:val="001C6B8C"/>
    <w:rsid w:val="001C6D2E"/>
    <w:rsid w:val="001D275F"/>
    <w:rsid w:val="001D6E9F"/>
    <w:rsid w:val="001E0BFB"/>
    <w:rsid w:val="001E793B"/>
    <w:rsid w:val="001F0E9B"/>
    <w:rsid w:val="001F115F"/>
    <w:rsid w:val="001F2356"/>
    <w:rsid w:val="001F4546"/>
    <w:rsid w:val="001F7547"/>
    <w:rsid w:val="00202A9C"/>
    <w:rsid w:val="0020632A"/>
    <w:rsid w:val="0021094E"/>
    <w:rsid w:val="002110EB"/>
    <w:rsid w:val="00211338"/>
    <w:rsid w:val="00211388"/>
    <w:rsid w:val="00211BFE"/>
    <w:rsid w:val="0021234D"/>
    <w:rsid w:val="00213052"/>
    <w:rsid w:val="00213A1F"/>
    <w:rsid w:val="002143A8"/>
    <w:rsid w:val="002157D0"/>
    <w:rsid w:val="0022040E"/>
    <w:rsid w:val="002304E7"/>
    <w:rsid w:val="00234B84"/>
    <w:rsid w:val="0024107C"/>
    <w:rsid w:val="0024506E"/>
    <w:rsid w:val="00245778"/>
    <w:rsid w:val="00245C75"/>
    <w:rsid w:val="00247712"/>
    <w:rsid w:val="00251EC7"/>
    <w:rsid w:val="00252B44"/>
    <w:rsid w:val="00253640"/>
    <w:rsid w:val="00254960"/>
    <w:rsid w:val="0025797C"/>
    <w:rsid w:val="00261CA9"/>
    <w:rsid w:val="002634F5"/>
    <w:rsid w:val="00263ECC"/>
    <w:rsid w:val="00270F5A"/>
    <w:rsid w:val="002747D6"/>
    <w:rsid w:val="00274B85"/>
    <w:rsid w:val="002765EE"/>
    <w:rsid w:val="002801FE"/>
    <w:rsid w:val="0028243F"/>
    <w:rsid w:val="00283E9D"/>
    <w:rsid w:val="00283FB7"/>
    <w:rsid w:val="0028449C"/>
    <w:rsid w:val="00285C4A"/>
    <w:rsid w:val="002928F0"/>
    <w:rsid w:val="00294800"/>
    <w:rsid w:val="00295A3E"/>
    <w:rsid w:val="002A2C23"/>
    <w:rsid w:val="002A712A"/>
    <w:rsid w:val="002B25ED"/>
    <w:rsid w:val="002B446B"/>
    <w:rsid w:val="002B6146"/>
    <w:rsid w:val="002B7180"/>
    <w:rsid w:val="002C09AF"/>
    <w:rsid w:val="002C3D17"/>
    <w:rsid w:val="002C496D"/>
    <w:rsid w:val="002C4C0C"/>
    <w:rsid w:val="002C62AD"/>
    <w:rsid w:val="002C62F3"/>
    <w:rsid w:val="002D350E"/>
    <w:rsid w:val="002D66CE"/>
    <w:rsid w:val="002D708C"/>
    <w:rsid w:val="002D7E0C"/>
    <w:rsid w:val="002E214A"/>
    <w:rsid w:val="002E2392"/>
    <w:rsid w:val="002E2E9C"/>
    <w:rsid w:val="002E4859"/>
    <w:rsid w:val="002E55ED"/>
    <w:rsid w:val="002F4002"/>
    <w:rsid w:val="002F49AB"/>
    <w:rsid w:val="003033BA"/>
    <w:rsid w:val="00304B88"/>
    <w:rsid w:val="00305700"/>
    <w:rsid w:val="00305BDF"/>
    <w:rsid w:val="00310967"/>
    <w:rsid w:val="00311B20"/>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5843"/>
    <w:rsid w:val="003464C5"/>
    <w:rsid w:val="0034680A"/>
    <w:rsid w:val="00352AB9"/>
    <w:rsid w:val="00352F08"/>
    <w:rsid w:val="00353678"/>
    <w:rsid w:val="00353DD5"/>
    <w:rsid w:val="00355189"/>
    <w:rsid w:val="00361021"/>
    <w:rsid w:val="00361D8F"/>
    <w:rsid w:val="00363B8C"/>
    <w:rsid w:val="003640A6"/>
    <w:rsid w:val="00364D04"/>
    <w:rsid w:val="003666EF"/>
    <w:rsid w:val="003713CB"/>
    <w:rsid w:val="00371889"/>
    <w:rsid w:val="00376ADC"/>
    <w:rsid w:val="003775C1"/>
    <w:rsid w:val="003779D5"/>
    <w:rsid w:val="00381C55"/>
    <w:rsid w:val="00382349"/>
    <w:rsid w:val="003856A6"/>
    <w:rsid w:val="00386456"/>
    <w:rsid w:val="00387D23"/>
    <w:rsid w:val="003953D2"/>
    <w:rsid w:val="00396DE4"/>
    <w:rsid w:val="00397FF0"/>
    <w:rsid w:val="003A0878"/>
    <w:rsid w:val="003A137E"/>
    <w:rsid w:val="003A2039"/>
    <w:rsid w:val="003A2109"/>
    <w:rsid w:val="003A5718"/>
    <w:rsid w:val="003A581E"/>
    <w:rsid w:val="003B09C2"/>
    <w:rsid w:val="003B2B10"/>
    <w:rsid w:val="003B3E7C"/>
    <w:rsid w:val="003B4C4C"/>
    <w:rsid w:val="003B5B5E"/>
    <w:rsid w:val="003B6C79"/>
    <w:rsid w:val="003C0A1D"/>
    <w:rsid w:val="003C1AF4"/>
    <w:rsid w:val="003C27D7"/>
    <w:rsid w:val="003D1CC6"/>
    <w:rsid w:val="003E0F42"/>
    <w:rsid w:val="003E2DDF"/>
    <w:rsid w:val="003E3D71"/>
    <w:rsid w:val="003E7A04"/>
    <w:rsid w:val="003F14DE"/>
    <w:rsid w:val="003F176C"/>
    <w:rsid w:val="003F1DE4"/>
    <w:rsid w:val="003F787A"/>
    <w:rsid w:val="003F78F9"/>
    <w:rsid w:val="003F79C4"/>
    <w:rsid w:val="00400E2E"/>
    <w:rsid w:val="00403CBF"/>
    <w:rsid w:val="0040539F"/>
    <w:rsid w:val="00405E73"/>
    <w:rsid w:val="004068B0"/>
    <w:rsid w:val="00407E41"/>
    <w:rsid w:val="00410909"/>
    <w:rsid w:val="00413FFA"/>
    <w:rsid w:val="004178A0"/>
    <w:rsid w:val="00420D2E"/>
    <w:rsid w:val="00422556"/>
    <w:rsid w:val="00422CE3"/>
    <w:rsid w:val="00423F9F"/>
    <w:rsid w:val="00432813"/>
    <w:rsid w:val="00434787"/>
    <w:rsid w:val="00434BE1"/>
    <w:rsid w:val="00435489"/>
    <w:rsid w:val="0043561A"/>
    <w:rsid w:val="00436C95"/>
    <w:rsid w:val="004422D6"/>
    <w:rsid w:val="00442F3F"/>
    <w:rsid w:val="0044577C"/>
    <w:rsid w:val="00447D96"/>
    <w:rsid w:val="0045255A"/>
    <w:rsid w:val="00452576"/>
    <w:rsid w:val="0045271D"/>
    <w:rsid w:val="00452803"/>
    <w:rsid w:val="00452ED2"/>
    <w:rsid w:val="00454217"/>
    <w:rsid w:val="00455354"/>
    <w:rsid w:val="0045661E"/>
    <w:rsid w:val="00456E03"/>
    <w:rsid w:val="00461B68"/>
    <w:rsid w:val="00461B96"/>
    <w:rsid w:val="00464030"/>
    <w:rsid w:val="00466520"/>
    <w:rsid w:val="0046677A"/>
    <w:rsid w:val="00474C5E"/>
    <w:rsid w:val="004753E3"/>
    <w:rsid w:val="004808DE"/>
    <w:rsid w:val="00483A91"/>
    <w:rsid w:val="004861B4"/>
    <w:rsid w:val="00486600"/>
    <w:rsid w:val="0049241A"/>
    <w:rsid w:val="00492B4A"/>
    <w:rsid w:val="00494A1C"/>
    <w:rsid w:val="00495786"/>
    <w:rsid w:val="00496C2D"/>
    <w:rsid w:val="004A08D1"/>
    <w:rsid w:val="004A34D2"/>
    <w:rsid w:val="004A357A"/>
    <w:rsid w:val="004A6D44"/>
    <w:rsid w:val="004B0CD0"/>
    <w:rsid w:val="004B3000"/>
    <w:rsid w:val="004B602F"/>
    <w:rsid w:val="004C19EE"/>
    <w:rsid w:val="004C22F7"/>
    <w:rsid w:val="004C3C6C"/>
    <w:rsid w:val="004C764F"/>
    <w:rsid w:val="004D245F"/>
    <w:rsid w:val="004D3A55"/>
    <w:rsid w:val="004D4AB4"/>
    <w:rsid w:val="004E61D5"/>
    <w:rsid w:val="004F2B28"/>
    <w:rsid w:val="004F7A73"/>
    <w:rsid w:val="00505308"/>
    <w:rsid w:val="005053B0"/>
    <w:rsid w:val="0051074C"/>
    <w:rsid w:val="00511F8C"/>
    <w:rsid w:val="00512961"/>
    <w:rsid w:val="00512C4F"/>
    <w:rsid w:val="00513AF2"/>
    <w:rsid w:val="00515801"/>
    <w:rsid w:val="005215D7"/>
    <w:rsid w:val="00522C81"/>
    <w:rsid w:val="00523559"/>
    <w:rsid w:val="005245A5"/>
    <w:rsid w:val="00525706"/>
    <w:rsid w:val="005262CF"/>
    <w:rsid w:val="00530F05"/>
    <w:rsid w:val="00530FEA"/>
    <w:rsid w:val="005312DB"/>
    <w:rsid w:val="00532762"/>
    <w:rsid w:val="00534245"/>
    <w:rsid w:val="0054311A"/>
    <w:rsid w:val="0054413A"/>
    <w:rsid w:val="005449E9"/>
    <w:rsid w:val="0054771C"/>
    <w:rsid w:val="0055272D"/>
    <w:rsid w:val="005527B3"/>
    <w:rsid w:val="00552E97"/>
    <w:rsid w:val="0055305B"/>
    <w:rsid w:val="0055362B"/>
    <w:rsid w:val="005564CA"/>
    <w:rsid w:val="005612E5"/>
    <w:rsid w:val="0056182B"/>
    <w:rsid w:val="00562315"/>
    <w:rsid w:val="00562A57"/>
    <w:rsid w:val="005634FD"/>
    <w:rsid w:val="0056420F"/>
    <w:rsid w:val="005715A2"/>
    <w:rsid w:val="00573BE5"/>
    <w:rsid w:val="005756AA"/>
    <w:rsid w:val="005813DE"/>
    <w:rsid w:val="0058223E"/>
    <w:rsid w:val="00582B0B"/>
    <w:rsid w:val="00586156"/>
    <w:rsid w:val="005868D7"/>
    <w:rsid w:val="00586DD4"/>
    <w:rsid w:val="005934D1"/>
    <w:rsid w:val="00594FFF"/>
    <w:rsid w:val="00595EFA"/>
    <w:rsid w:val="005A00D7"/>
    <w:rsid w:val="005A145F"/>
    <w:rsid w:val="005A1976"/>
    <w:rsid w:val="005A35EF"/>
    <w:rsid w:val="005A3F3E"/>
    <w:rsid w:val="005A579F"/>
    <w:rsid w:val="005A58CE"/>
    <w:rsid w:val="005A5A3D"/>
    <w:rsid w:val="005B2B61"/>
    <w:rsid w:val="005B3CF3"/>
    <w:rsid w:val="005B4004"/>
    <w:rsid w:val="005C0652"/>
    <w:rsid w:val="005C117E"/>
    <w:rsid w:val="005C3047"/>
    <w:rsid w:val="005C41EC"/>
    <w:rsid w:val="005C5C52"/>
    <w:rsid w:val="005C7F06"/>
    <w:rsid w:val="005D34A4"/>
    <w:rsid w:val="005D51FA"/>
    <w:rsid w:val="005D791B"/>
    <w:rsid w:val="005E03CA"/>
    <w:rsid w:val="005E1574"/>
    <w:rsid w:val="005E164A"/>
    <w:rsid w:val="005E5A60"/>
    <w:rsid w:val="005E66BE"/>
    <w:rsid w:val="005F2C11"/>
    <w:rsid w:val="005F3737"/>
    <w:rsid w:val="005F3969"/>
    <w:rsid w:val="005F46FD"/>
    <w:rsid w:val="005F5F8F"/>
    <w:rsid w:val="005F688C"/>
    <w:rsid w:val="006003F5"/>
    <w:rsid w:val="0060057C"/>
    <w:rsid w:val="006030A3"/>
    <w:rsid w:val="0060361A"/>
    <w:rsid w:val="00603A65"/>
    <w:rsid w:val="006043FE"/>
    <w:rsid w:val="00604CF2"/>
    <w:rsid w:val="006065A2"/>
    <w:rsid w:val="00610326"/>
    <w:rsid w:val="00614817"/>
    <w:rsid w:val="00615D36"/>
    <w:rsid w:val="006167DA"/>
    <w:rsid w:val="00620B93"/>
    <w:rsid w:val="00620DB3"/>
    <w:rsid w:val="00621056"/>
    <w:rsid w:val="00621DEE"/>
    <w:rsid w:val="00622313"/>
    <w:rsid w:val="00622EA3"/>
    <w:rsid w:val="00623AC2"/>
    <w:rsid w:val="0062633A"/>
    <w:rsid w:val="00633DBF"/>
    <w:rsid w:val="00637D8B"/>
    <w:rsid w:val="00640C1D"/>
    <w:rsid w:val="00641641"/>
    <w:rsid w:val="00645B4A"/>
    <w:rsid w:val="00645E46"/>
    <w:rsid w:val="006466E0"/>
    <w:rsid w:val="00651506"/>
    <w:rsid w:val="006516B8"/>
    <w:rsid w:val="00655371"/>
    <w:rsid w:val="006559D1"/>
    <w:rsid w:val="00661FEB"/>
    <w:rsid w:val="006624A3"/>
    <w:rsid w:val="00662BB0"/>
    <w:rsid w:val="0066493E"/>
    <w:rsid w:val="006673AF"/>
    <w:rsid w:val="00670B20"/>
    <w:rsid w:val="00671B41"/>
    <w:rsid w:val="006731B0"/>
    <w:rsid w:val="0067359B"/>
    <w:rsid w:val="006738BC"/>
    <w:rsid w:val="00676127"/>
    <w:rsid w:val="00676428"/>
    <w:rsid w:val="00681DB8"/>
    <w:rsid w:val="00684444"/>
    <w:rsid w:val="00687D97"/>
    <w:rsid w:val="006908DB"/>
    <w:rsid w:val="00691104"/>
    <w:rsid w:val="00692C8D"/>
    <w:rsid w:val="00694A15"/>
    <w:rsid w:val="00695F93"/>
    <w:rsid w:val="0069634F"/>
    <w:rsid w:val="00697665"/>
    <w:rsid w:val="00697CA8"/>
    <w:rsid w:val="006A15BD"/>
    <w:rsid w:val="006A33FE"/>
    <w:rsid w:val="006A3B6B"/>
    <w:rsid w:val="006A4D00"/>
    <w:rsid w:val="006A7CB5"/>
    <w:rsid w:val="006A7FD0"/>
    <w:rsid w:val="006B1B56"/>
    <w:rsid w:val="006B22D4"/>
    <w:rsid w:val="006B46C8"/>
    <w:rsid w:val="006B6746"/>
    <w:rsid w:val="006B6CA9"/>
    <w:rsid w:val="006B7D70"/>
    <w:rsid w:val="006C0A3F"/>
    <w:rsid w:val="006C3CDE"/>
    <w:rsid w:val="006C405D"/>
    <w:rsid w:val="006C4782"/>
    <w:rsid w:val="006D3752"/>
    <w:rsid w:val="006D7687"/>
    <w:rsid w:val="006E0572"/>
    <w:rsid w:val="006E552C"/>
    <w:rsid w:val="006F021B"/>
    <w:rsid w:val="006F1275"/>
    <w:rsid w:val="006F1872"/>
    <w:rsid w:val="00700883"/>
    <w:rsid w:val="00701CE7"/>
    <w:rsid w:val="00704849"/>
    <w:rsid w:val="00705631"/>
    <w:rsid w:val="007057EC"/>
    <w:rsid w:val="0070660C"/>
    <w:rsid w:val="0071098F"/>
    <w:rsid w:val="00715C29"/>
    <w:rsid w:val="00715EAA"/>
    <w:rsid w:val="007167B7"/>
    <w:rsid w:val="00717496"/>
    <w:rsid w:val="00721A3E"/>
    <w:rsid w:val="00722CE7"/>
    <w:rsid w:val="00723116"/>
    <w:rsid w:val="00723D9F"/>
    <w:rsid w:val="0072427F"/>
    <w:rsid w:val="00725AFD"/>
    <w:rsid w:val="00726E6A"/>
    <w:rsid w:val="007279B4"/>
    <w:rsid w:val="00727F71"/>
    <w:rsid w:val="007339F4"/>
    <w:rsid w:val="0073425D"/>
    <w:rsid w:val="00735508"/>
    <w:rsid w:val="00736278"/>
    <w:rsid w:val="00740243"/>
    <w:rsid w:val="00742DD2"/>
    <w:rsid w:val="00743BC8"/>
    <w:rsid w:val="007441A2"/>
    <w:rsid w:val="007444F8"/>
    <w:rsid w:val="00745035"/>
    <w:rsid w:val="007460B6"/>
    <w:rsid w:val="00746A83"/>
    <w:rsid w:val="00746E08"/>
    <w:rsid w:val="00747259"/>
    <w:rsid w:val="00747C96"/>
    <w:rsid w:val="0075094E"/>
    <w:rsid w:val="007522E8"/>
    <w:rsid w:val="00752EFA"/>
    <w:rsid w:val="00755064"/>
    <w:rsid w:val="0075647A"/>
    <w:rsid w:val="007601DC"/>
    <w:rsid w:val="007634AD"/>
    <w:rsid w:val="00773BC8"/>
    <w:rsid w:val="007750D6"/>
    <w:rsid w:val="007769DC"/>
    <w:rsid w:val="00776D19"/>
    <w:rsid w:val="00776DF7"/>
    <w:rsid w:val="00777693"/>
    <w:rsid w:val="00780199"/>
    <w:rsid w:val="00780F32"/>
    <w:rsid w:val="0078122E"/>
    <w:rsid w:val="007812E6"/>
    <w:rsid w:val="00781CF5"/>
    <w:rsid w:val="00785E45"/>
    <w:rsid w:val="0078715B"/>
    <w:rsid w:val="007873A0"/>
    <w:rsid w:val="00790037"/>
    <w:rsid w:val="007909AE"/>
    <w:rsid w:val="0079299F"/>
    <w:rsid w:val="0079381F"/>
    <w:rsid w:val="00795647"/>
    <w:rsid w:val="0079609D"/>
    <w:rsid w:val="007A2F81"/>
    <w:rsid w:val="007A5354"/>
    <w:rsid w:val="007A6714"/>
    <w:rsid w:val="007B0854"/>
    <w:rsid w:val="007B4DE6"/>
    <w:rsid w:val="007B6EC8"/>
    <w:rsid w:val="007C0BD2"/>
    <w:rsid w:val="007C1BE1"/>
    <w:rsid w:val="007C29FB"/>
    <w:rsid w:val="007C2EB2"/>
    <w:rsid w:val="007D66E2"/>
    <w:rsid w:val="007E2D87"/>
    <w:rsid w:val="007E4AA9"/>
    <w:rsid w:val="007E4E80"/>
    <w:rsid w:val="007E6398"/>
    <w:rsid w:val="007F067B"/>
    <w:rsid w:val="007F22A0"/>
    <w:rsid w:val="007F4CF6"/>
    <w:rsid w:val="007F6023"/>
    <w:rsid w:val="007F6B46"/>
    <w:rsid w:val="007F72CB"/>
    <w:rsid w:val="007F785F"/>
    <w:rsid w:val="00800174"/>
    <w:rsid w:val="0080431C"/>
    <w:rsid w:val="00811C61"/>
    <w:rsid w:val="00814737"/>
    <w:rsid w:val="0081678E"/>
    <w:rsid w:val="0081691D"/>
    <w:rsid w:val="0081766B"/>
    <w:rsid w:val="008217B7"/>
    <w:rsid w:val="00824088"/>
    <w:rsid w:val="00826122"/>
    <w:rsid w:val="008277D3"/>
    <w:rsid w:val="0083119B"/>
    <w:rsid w:val="00831220"/>
    <w:rsid w:val="00832937"/>
    <w:rsid w:val="00832FE4"/>
    <w:rsid w:val="00836EAB"/>
    <w:rsid w:val="0083724E"/>
    <w:rsid w:val="00844AFA"/>
    <w:rsid w:val="0085092D"/>
    <w:rsid w:val="00850F79"/>
    <w:rsid w:val="00851DFA"/>
    <w:rsid w:val="00857630"/>
    <w:rsid w:val="0086183C"/>
    <w:rsid w:val="008618BB"/>
    <w:rsid w:val="00861FAA"/>
    <w:rsid w:val="00863624"/>
    <w:rsid w:val="00863ED2"/>
    <w:rsid w:val="0086755D"/>
    <w:rsid w:val="0087039D"/>
    <w:rsid w:val="008720B5"/>
    <w:rsid w:val="00873A70"/>
    <w:rsid w:val="0087534A"/>
    <w:rsid w:val="00881451"/>
    <w:rsid w:val="00885A16"/>
    <w:rsid w:val="00886323"/>
    <w:rsid w:val="0088651C"/>
    <w:rsid w:val="0089774F"/>
    <w:rsid w:val="008978EB"/>
    <w:rsid w:val="008A1491"/>
    <w:rsid w:val="008A5007"/>
    <w:rsid w:val="008A796E"/>
    <w:rsid w:val="008B10A0"/>
    <w:rsid w:val="008C11F0"/>
    <w:rsid w:val="008C45BD"/>
    <w:rsid w:val="008C57A8"/>
    <w:rsid w:val="008C5D85"/>
    <w:rsid w:val="008D185E"/>
    <w:rsid w:val="008D2657"/>
    <w:rsid w:val="008D3172"/>
    <w:rsid w:val="008D57F7"/>
    <w:rsid w:val="008D69B1"/>
    <w:rsid w:val="008D747C"/>
    <w:rsid w:val="008E1503"/>
    <w:rsid w:val="008E1C15"/>
    <w:rsid w:val="008E7D6E"/>
    <w:rsid w:val="008F0C9B"/>
    <w:rsid w:val="008F1178"/>
    <w:rsid w:val="008F2004"/>
    <w:rsid w:val="008F47E2"/>
    <w:rsid w:val="008F4B5E"/>
    <w:rsid w:val="008F538E"/>
    <w:rsid w:val="00902E5C"/>
    <w:rsid w:val="009047C5"/>
    <w:rsid w:val="009106F5"/>
    <w:rsid w:val="009233DF"/>
    <w:rsid w:val="00926E92"/>
    <w:rsid w:val="0092758D"/>
    <w:rsid w:val="00932C29"/>
    <w:rsid w:val="00933333"/>
    <w:rsid w:val="0093417D"/>
    <w:rsid w:val="00937401"/>
    <w:rsid w:val="00942296"/>
    <w:rsid w:val="009422A0"/>
    <w:rsid w:val="0094627E"/>
    <w:rsid w:val="00950C81"/>
    <w:rsid w:val="009528B3"/>
    <w:rsid w:val="0095385A"/>
    <w:rsid w:val="0095402D"/>
    <w:rsid w:val="00954B5C"/>
    <w:rsid w:val="0095780A"/>
    <w:rsid w:val="009622D0"/>
    <w:rsid w:val="00966C46"/>
    <w:rsid w:val="009715D4"/>
    <w:rsid w:val="00971B2A"/>
    <w:rsid w:val="00973D7A"/>
    <w:rsid w:val="00974C92"/>
    <w:rsid w:val="00977951"/>
    <w:rsid w:val="009831DD"/>
    <w:rsid w:val="0098427D"/>
    <w:rsid w:val="009865D5"/>
    <w:rsid w:val="009868CC"/>
    <w:rsid w:val="00991BE0"/>
    <w:rsid w:val="0099270A"/>
    <w:rsid w:val="00992809"/>
    <w:rsid w:val="00994FE0"/>
    <w:rsid w:val="009953AD"/>
    <w:rsid w:val="009A0106"/>
    <w:rsid w:val="009A1C5B"/>
    <w:rsid w:val="009A43F3"/>
    <w:rsid w:val="009A6C94"/>
    <w:rsid w:val="009A75F1"/>
    <w:rsid w:val="009A7808"/>
    <w:rsid w:val="009B0019"/>
    <w:rsid w:val="009B026A"/>
    <w:rsid w:val="009B56EC"/>
    <w:rsid w:val="009B7B3C"/>
    <w:rsid w:val="009C0772"/>
    <w:rsid w:val="009C118E"/>
    <w:rsid w:val="009C1812"/>
    <w:rsid w:val="009C595F"/>
    <w:rsid w:val="009C79F2"/>
    <w:rsid w:val="009C7EC7"/>
    <w:rsid w:val="009D163A"/>
    <w:rsid w:val="009D424B"/>
    <w:rsid w:val="009D429E"/>
    <w:rsid w:val="009D45A0"/>
    <w:rsid w:val="009D701E"/>
    <w:rsid w:val="009D7BCD"/>
    <w:rsid w:val="009E02D8"/>
    <w:rsid w:val="009E0326"/>
    <w:rsid w:val="009E2F55"/>
    <w:rsid w:val="009E3DB3"/>
    <w:rsid w:val="009E535E"/>
    <w:rsid w:val="009E61EA"/>
    <w:rsid w:val="009E6BCF"/>
    <w:rsid w:val="009E74F4"/>
    <w:rsid w:val="009E751B"/>
    <w:rsid w:val="009E75CB"/>
    <w:rsid w:val="009F59C2"/>
    <w:rsid w:val="009F7299"/>
    <w:rsid w:val="009F7555"/>
    <w:rsid w:val="00A0188B"/>
    <w:rsid w:val="00A02186"/>
    <w:rsid w:val="00A021E2"/>
    <w:rsid w:val="00A03195"/>
    <w:rsid w:val="00A041BC"/>
    <w:rsid w:val="00A05329"/>
    <w:rsid w:val="00A0636C"/>
    <w:rsid w:val="00A06E51"/>
    <w:rsid w:val="00A127D2"/>
    <w:rsid w:val="00A13AAC"/>
    <w:rsid w:val="00A13B39"/>
    <w:rsid w:val="00A1403F"/>
    <w:rsid w:val="00A17358"/>
    <w:rsid w:val="00A20264"/>
    <w:rsid w:val="00A2270E"/>
    <w:rsid w:val="00A24560"/>
    <w:rsid w:val="00A253C3"/>
    <w:rsid w:val="00A261CA"/>
    <w:rsid w:val="00A32435"/>
    <w:rsid w:val="00A337FB"/>
    <w:rsid w:val="00A34538"/>
    <w:rsid w:val="00A357B4"/>
    <w:rsid w:val="00A37FB6"/>
    <w:rsid w:val="00A42844"/>
    <w:rsid w:val="00A431FE"/>
    <w:rsid w:val="00A45FAA"/>
    <w:rsid w:val="00A501CA"/>
    <w:rsid w:val="00A53E79"/>
    <w:rsid w:val="00A57A5B"/>
    <w:rsid w:val="00A62C77"/>
    <w:rsid w:val="00A64271"/>
    <w:rsid w:val="00A668BA"/>
    <w:rsid w:val="00A715F6"/>
    <w:rsid w:val="00A8043B"/>
    <w:rsid w:val="00A82AF0"/>
    <w:rsid w:val="00A839EF"/>
    <w:rsid w:val="00A852EB"/>
    <w:rsid w:val="00A854AC"/>
    <w:rsid w:val="00A8610B"/>
    <w:rsid w:val="00A91512"/>
    <w:rsid w:val="00A9477A"/>
    <w:rsid w:val="00A94E9C"/>
    <w:rsid w:val="00A95153"/>
    <w:rsid w:val="00A965EA"/>
    <w:rsid w:val="00AA08E7"/>
    <w:rsid w:val="00AA16A5"/>
    <w:rsid w:val="00AA442B"/>
    <w:rsid w:val="00AA669D"/>
    <w:rsid w:val="00AA68E2"/>
    <w:rsid w:val="00AA73E0"/>
    <w:rsid w:val="00AA7416"/>
    <w:rsid w:val="00AA7812"/>
    <w:rsid w:val="00AB2BA0"/>
    <w:rsid w:val="00AB6E2C"/>
    <w:rsid w:val="00AC0D43"/>
    <w:rsid w:val="00AC1E34"/>
    <w:rsid w:val="00AC24AF"/>
    <w:rsid w:val="00AC49DA"/>
    <w:rsid w:val="00AC75AB"/>
    <w:rsid w:val="00AC7739"/>
    <w:rsid w:val="00AD3E4D"/>
    <w:rsid w:val="00AE24CB"/>
    <w:rsid w:val="00AE32EF"/>
    <w:rsid w:val="00AE491A"/>
    <w:rsid w:val="00AE4C2A"/>
    <w:rsid w:val="00AF26CF"/>
    <w:rsid w:val="00AF3F88"/>
    <w:rsid w:val="00AF45AA"/>
    <w:rsid w:val="00AF74A3"/>
    <w:rsid w:val="00B01474"/>
    <w:rsid w:val="00B02849"/>
    <w:rsid w:val="00B04BA9"/>
    <w:rsid w:val="00B05A55"/>
    <w:rsid w:val="00B05E4E"/>
    <w:rsid w:val="00B06595"/>
    <w:rsid w:val="00B06D20"/>
    <w:rsid w:val="00B13EC0"/>
    <w:rsid w:val="00B142A5"/>
    <w:rsid w:val="00B142B9"/>
    <w:rsid w:val="00B1449F"/>
    <w:rsid w:val="00B15019"/>
    <w:rsid w:val="00B214ED"/>
    <w:rsid w:val="00B22E22"/>
    <w:rsid w:val="00B251C2"/>
    <w:rsid w:val="00B30910"/>
    <w:rsid w:val="00B30D48"/>
    <w:rsid w:val="00B324EA"/>
    <w:rsid w:val="00B3296D"/>
    <w:rsid w:val="00B3622A"/>
    <w:rsid w:val="00B40595"/>
    <w:rsid w:val="00B42225"/>
    <w:rsid w:val="00B42796"/>
    <w:rsid w:val="00B4347D"/>
    <w:rsid w:val="00B434D8"/>
    <w:rsid w:val="00B43F68"/>
    <w:rsid w:val="00B44D40"/>
    <w:rsid w:val="00B45DF9"/>
    <w:rsid w:val="00B46978"/>
    <w:rsid w:val="00B525CB"/>
    <w:rsid w:val="00B530AE"/>
    <w:rsid w:val="00B57782"/>
    <w:rsid w:val="00B60230"/>
    <w:rsid w:val="00B608DC"/>
    <w:rsid w:val="00B60C93"/>
    <w:rsid w:val="00B63872"/>
    <w:rsid w:val="00B63CB2"/>
    <w:rsid w:val="00B63DB8"/>
    <w:rsid w:val="00B63E7F"/>
    <w:rsid w:val="00B64EDB"/>
    <w:rsid w:val="00B656B3"/>
    <w:rsid w:val="00B70328"/>
    <w:rsid w:val="00B709C8"/>
    <w:rsid w:val="00B70F4C"/>
    <w:rsid w:val="00B7252A"/>
    <w:rsid w:val="00B7315F"/>
    <w:rsid w:val="00B74C52"/>
    <w:rsid w:val="00B7534F"/>
    <w:rsid w:val="00B77BF3"/>
    <w:rsid w:val="00B90817"/>
    <w:rsid w:val="00B91B8E"/>
    <w:rsid w:val="00B9230A"/>
    <w:rsid w:val="00B94AEB"/>
    <w:rsid w:val="00B95724"/>
    <w:rsid w:val="00B97305"/>
    <w:rsid w:val="00BA1382"/>
    <w:rsid w:val="00BA22FC"/>
    <w:rsid w:val="00BA2F25"/>
    <w:rsid w:val="00BA37F9"/>
    <w:rsid w:val="00BA4771"/>
    <w:rsid w:val="00BB3732"/>
    <w:rsid w:val="00BB6E5C"/>
    <w:rsid w:val="00BB7D21"/>
    <w:rsid w:val="00BC007C"/>
    <w:rsid w:val="00BC57E0"/>
    <w:rsid w:val="00BC6501"/>
    <w:rsid w:val="00BD001E"/>
    <w:rsid w:val="00BD15F7"/>
    <w:rsid w:val="00BD1CEE"/>
    <w:rsid w:val="00BD2327"/>
    <w:rsid w:val="00BD2B3F"/>
    <w:rsid w:val="00BD447D"/>
    <w:rsid w:val="00BD664D"/>
    <w:rsid w:val="00BD78FE"/>
    <w:rsid w:val="00BE2838"/>
    <w:rsid w:val="00BE2DB4"/>
    <w:rsid w:val="00BE3565"/>
    <w:rsid w:val="00BE4B35"/>
    <w:rsid w:val="00BF09AF"/>
    <w:rsid w:val="00BF1C81"/>
    <w:rsid w:val="00BF2055"/>
    <w:rsid w:val="00BF23A3"/>
    <w:rsid w:val="00BF5980"/>
    <w:rsid w:val="00BF7521"/>
    <w:rsid w:val="00BF7712"/>
    <w:rsid w:val="00BF7C52"/>
    <w:rsid w:val="00C15A13"/>
    <w:rsid w:val="00C165FC"/>
    <w:rsid w:val="00C2118A"/>
    <w:rsid w:val="00C217B4"/>
    <w:rsid w:val="00C229DD"/>
    <w:rsid w:val="00C258BA"/>
    <w:rsid w:val="00C273CC"/>
    <w:rsid w:val="00C27707"/>
    <w:rsid w:val="00C30123"/>
    <w:rsid w:val="00C32000"/>
    <w:rsid w:val="00C32017"/>
    <w:rsid w:val="00C3264A"/>
    <w:rsid w:val="00C35B5D"/>
    <w:rsid w:val="00C419E3"/>
    <w:rsid w:val="00C41E6A"/>
    <w:rsid w:val="00C43A3A"/>
    <w:rsid w:val="00C45E00"/>
    <w:rsid w:val="00C46EA9"/>
    <w:rsid w:val="00C47B95"/>
    <w:rsid w:val="00C50CA8"/>
    <w:rsid w:val="00C53AC7"/>
    <w:rsid w:val="00C57033"/>
    <w:rsid w:val="00C610FB"/>
    <w:rsid w:val="00C62CDD"/>
    <w:rsid w:val="00C62ECC"/>
    <w:rsid w:val="00C630F3"/>
    <w:rsid w:val="00C63E99"/>
    <w:rsid w:val="00C6581D"/>
    <w:rsid w:val="00C732A4"/>
    <w:rsid w:val="00C74F6B"/>
    <w:rsid w:val="00C768FD"/>
    <w:rsid w:val="00C76E32"/>
    <w:rsid w:val="00C811FF"/>
    <w:rsid w:val="00C85A92"/>
    <w:rsid w:val="00C85D28"/>
    <w:rsid w:val="00C860CF"/>
    <w:rsid w:val="00C90182"/>
    <w:rsid w:val="00C90AC4"/>
    <w:rsid w:val="00C913E3"/>
    <w:rsid w:val="00C91B89"/>
    <w:rsid w:val="00C91F75"/>
    <w:rsid w:val="00C934F1"/>
    <w:rsid w:val="00C93AB7"/>
    <w:rsid w:val="00C93D8C"/>
    <w:rsid w:val="00C97D94"/>
    <w:rsid w:val="00CA0EEF"/>
    <w:rsid w:val="00CA383B"/>
    <w:rsid w:val="00CA48A4"/>
    <w:rsid w:val="00CB266F"/>
    <w:rsid w:val="00CB43A0"/>
    <w:rsid w:val="00CB5F4F"/>
    <w:rsid w:val="00CB7A3E"/>
    <w:rsid w:val="00CC00CD"/>
    <w:rsid w:val="00CC11F9"/>
    <w:rsid w:val="00CC315F"/>
    <w:rsid w:val="00CD054C"/>
    <w:rsid w:val="00CD1721"/>
    <w:rsid w:val="00CD4A45"/>
    <w:rsid w:val="00CE0566"/>
    <w:rsid w:val="00CE2969"/>
    <w:rsid w:val="00CE4D2A"/>
    <w:rsid w:val="00CF550D"/>
    <w:rsid w:val="00CF7EA6"/>
    <w:rsid w:val="00D01760"/>
    <w:rsid w:val="00D0412A"/>
    <w:rsid w:val="00D046A1"/>
    <w:rsid w:val="00D04D11"/>
    <w:rsid w:val="00D056A5"/>
    <w:rsid w:val="00D10E7C"/>
    <w:rsid w:val="00D113C2"/>
    <w:rsid w:val="00D12689"/>
    <w:rsid w:val="00D13290"/>
    <w:rsid w:val="00D13FEB"/>
    <w:rsid w:val="00D140F8"/>
    <w:rsid w:val="00D14DC8"/>
    <w:rsid w:val="00D150F4"/>
    <w:rsid w:val="00D16E39"/>
    <w:rsid w:val="00D17E38"/>
    <w:rsid w:val="00D21BB5"/>
    <w:rsid w:val="00D223B6"/>
    <w:rsid w:val="00D24489"/>
    <w:rsid w:val="00D31BE6"/>
    <w:rsid w:val="00D31C6A"/>
    <w:rsid w:val="00D32256"/>
    <w:rsid w:val="00D32352"/>
    <w:rsid w:val="00D330B8"/>
    <w:rsid w:val="00D3532E"/>
    <w:rsid w:val="00D3622E"/>
    <w:rsid w:val="00D36413"/>
    <w:rsid w:val="00D36A58"/>
    <w:rsid w:val="00D40F13"/>
    <w:rsid w:val="00D41E3A"/>
    <w:rsid w:val="00D42F5D"/>
    <w:rsid w:val="00D44435"/>
    <w:rsid w:val="00D454AF"/>
    <w:rsid w:val="00D50F51"/>
    <w:rsid w:val="00D547F0"/>
    <w:rsid w:val="00D557A4"/>
    <w:rsid w:val="00D570A2"/>
    <w:rsid w:val="00D57940"/>
    <w:rsid w:val="00D60327"/>
    <w:rsid w:val="00D61290"/>
    <w:rsid w:val="00D63EFC"/>
    <w:rsid w:val="00D64E0B"/>
    <w:rsid w:val="00D72E9D"/>
    <w:rsid w:val="00D7373C"/>
    <w:rsid w:val="00D74158"/>
    <w:rsid w:val="00D74812"/>
    <w:rsid w:val="00D75E99"/>
    <w:rsid w:val="00D800BB"/>
    <w:rsid w:val="00D80493"/>
    <w:rsid w:val="00D809D7"/>
    <w:rsid w:val="00D82CE5"/>
    <w:rsid w:val="00D8342C"/>
    <w:rsid w:val="00D853BF"/>
    <w:rsid w:val="00D93726"/>
    <w:rsid w:val="00D96760"/>
    <w:rsid w:val="00D969FB"/>
    <w:rsid w:val="00D96CAD"/>
    <w:rsid w:val="00D96F24"/>
    <w:rsid w:val="00D974C8"/>
    <w:rsid w:val="00DA0436"/>
    <w:rsid w:val="00DA5AB1"/>
    <w:rsid w:val="00DA71AD"/>
    <w:rsid w:val="00DB1AFF"/>
    <w:rsid w:val="00DB7276"/>
    <w:rsid w:val="00DC1944"/>
    <w:rsid w:val="00DC430C"/>
    <w:rsid w:val="00DC518A"/>
    <w:rsid w:val="00DC62E5"/>
    <w:rsid w:val="00DD325D"/>
    <w:rsid w:val="00DD5EC6"/>
    <w:rsid w:val="00DD7115"/>
    <w:rsid w:val="00DD735D"/>
    <w:rsid w:val="00DE02B7"/>
    <w:rsid w:val="00DE2630"/>
    <w:rsid w:val="00DE3119"/>
    <w:rsid w:val="00DE52D6"/>
    <w:rsid w:val="00DE6601"/>
    <w:rsid w:val="00DE76E6"/>
    <w:rsid w:val="00DF236B"/>
    <w:rsid w:val="00DF2F4F"/>
    <w:rsid w:val="00DF4451"/>
    <w:rsid w:val="00DF453C"/>
    <w:rsid w:val="00DF6A8C"/>
    <w:rsid w:val="00E0142A"/>
    <w:rsid w:val="00E109DD"/>
    <w:rsid w:val="00E12707"/>
    <w:rsid w:val="00E13AB8"/>
    <w:rsid w:val="00E153AD"/>
    <w:rsid w:val="00E16A32"/>
    <w:rsid w:val="00E20C2F"/>
    <w:rsid w:val="00E25CB3"/>
    <w:rsid w:val="00E267B7"/>
    <w:rsid w:val="00E27359"/>
    <w:rsid w:val="00E33B62"/>
    <w:rsid w:val="00E356DF"/>
    <w:rsid w:val="00E3697D"/>
    <w:rsid w:val="00E36CEB"/>
    <w:rsid w:val="00E37771"/>
    <w:rsid w:val="00E37F96"/>
    <w:rsid w:val="00E41390"/>
    <w:rsid w:val="00E4143A"/>
    <w:rsid w:val="00E43B20"/>
    <w:rsid w:val="00E46763"/>
    <w:rsid w:val="00E53189"/>
    <w:rsid w:val="00E54EA7"/>
    <w:rsid w:val="00E558C8"/>
    <w:rsid w:val="00E56090"/>
    <w:rsid w:val="00E5641B"/>
    <w:rsid w:val="00E565B9"/>
    <w:rsid w:val="00E57660"/>
    <w:rsid w:val="00E578BF"/>
    <w:rsid w:val="00E6143E"/>
    <w:rsid w:val="00E63F11"/>
    <w:rsid w:val="00E669B0"/>
    <w:rsid w:val="00E71BD5"/>
    <w:rsid w:val="00E72184"/>
    <w:rsid w:val="00E82D14"/>
    <w:rsid w:val="00E8395B"/>
    <w:rsid w:val="00E87DD5"/>
    <w:rsid w:val="00E90220"/>
    <w:rsid w:val="00E91454"/>
    <w:rsid w:val="00E93C95"/>
    <w:rsid w:val="00E95100"/>
    <w:rsid w:val="00E9556D"/>
    <w:rsid w:val="00E961A5"/>
    <w:rsid w:val="00EA1767"/>
    <w:rsid w:val="00EA3E75"/>
    <w:rsid w:val="00EA5464"/>
    <w:rsid w:val="00EB62C5"/>
    <w:rsid w:val="00EC0E7E"/>
    <w:rsid w:val="00EC164A"/>
    <w:rsid w:val="00EC1910"/>
    <w:rsid w:val="00EC1CE7"/>
    <w:rsid w:val="00EC2B96"/>
    <w:rsid w:val="00EC3C1E"/>
    <w:rsid w:val="00EC50ED"/>
    <w:rsid w:val="00ED0ED8"/>
    <w:rsid w:val="00ED4037"/>
    <w:rsid w:val="00ED587F"/>
    <w:rsid w:val="00ED7F25"/>
    <w:rsid w:val="00EE0C5C"/>
    <w:rsid w:val="00EE55E7"/>
    <w:rsid w:val="00EE59B5"/>
    <w:rsid w:val="00EF005A"/>
    <w:rsid w:val="00EF153D"/>
    <w:rsid w:val="00EF17BF"/>
    <w:rsid w:val="00EF4D78"/>
    <w:rsid w:val="00F017F5"/>
    <w:rsid w:val="00F1108B"/>
    <w:rsid w:val="00F12666"/>
    <w:rsid w:val="00F13EEA"/>
    <w:rsid w:val="00F20F92"/>
    <w:rsid w:val="00F21C5F"/>
    <w:rsid w:val="00F23BE9"/>
    <w:rsid w:val="00F2504D"/>
    <w:rsid w:val="00F257B4"/>
    <w:rsid w:val="00F25971"/>
    <w:rsid w:val="00F30727"/>
    <w:rsid w:val="00F31A68"/>
    <w:rsid w:val="00F343D2"/>
    <w:rsid w:val="00F360FA"/>
    <w:rsid w:val="00F36681"/>
    <w:rsid w:val="00F36B35"/>
    <w:rsid w:val="00F41E63"/>
    <w:rsid w:val="00F42E49"/>
    <w:rsid w:val="00F463A8"/>
    <w:rsid w:val="00F46FE1"/>
    <w:rsid w:val="00F47F2D"/>
    <w:rsid w:val="00F50E11"/>
    <w:rsid w:val="00F55BC8"/>
    <w:rsid w:val="00F55FDD"/>
    <w:rsid w:val="00F56584"/>
    <w:rsid w:val="00F574C1"/>
    <w:rsid w:val="00F57729"/>
    <w:rsid w:val="00F57B4F"/>
    <w:rsid w:val="00F57B72"/>
    <w:rsid w:val="00F57C75"/>
    <w:rsid w:val="00F57F91"/>
    <w:rsid w:val="00F6159E"/>
    <w:rsid w:val="00F712AA"/>
    <w:rsid w:val="00F715EE"/>
    <w:rsid w:val="00F7357E"/>
    <w:rsid w:val="00F7517F"/>
    <w:rsid w:val="00F76963"/>
    <w:rsid w:val="00F7741E"/>
    <w:rsid w:val="00F84255"/>
    <w:rsid w:val="00F84899"/>
    <w:rsid w:val="00F859F0"/>
    <w:rsid w:val="00F87E29"/>
    <w:rsid w:val="00F90B96"/>
    <w:rsid w:val="00F92839"/>
    <w:rsid w:val="00F941F3"/>
    <w:rsid w:val="00F9434B"/>
    <w:rsid w:val="00F9522F"/>
    <w:rsid w:val="00F979BB"/>
    <w:rsid w:val="00FA050F"/>
    <w:rsid w:val="00FA22FF"/>
    <w:rsid w:val="00FA3A52"/>
    <w:rsid w:val="00FA3CCA"/>
    <w:rsid w:val="00FA4DCC"/>
    <w:rsid w:val="00FA5F45"/>
    <w:rsid w:val="00FB236D"/>
    <w:rsid w:val="00FB27B7"/>
    <w:rsid w:val="00FB510B"/>
    <w:rsid w:val="00FB5572"/>
    <w:rsid w:val="00FB656D"/>
    <w:rsid w:val="00FB6738"/>
    <w:rsid w:val="00FC113C"/>
    <w:rsid w:val="00FC1644"/>
    <w:rsid w:val="00FC18DC"/>
    <w:rsid w:val="00FC1D91"/>
    <w:rsid w:val="00FC32DA"/>
    <w:rsid w:val="00FC7C7B"/>
    <w:rsid w:val="00FD10FB"/>
    <w:rsid w:val="00FD2A74"/>
    <w:rsid w:val="00FE0323"/>
    <w:rsid w:val="00FE06EB"/>
    <w:rsid w:val="00FE141E"/>
    <w:rsid w:val="00FE1E7C"/>
    <w:rsid w:val="00FE2265"/>
    <w:rsid w:val="00FE3B5A"/>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character" w:customStyle="1" w:styleId="baj">
    <w:name w:val="b_aj"/>
    <w:basedOn w:val="Fuentedeprrafopredeter"/>
    <w:rsid w:val="009A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604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72943301">
      <w:bodyDiv w:val="1"/>
      <w:marLeft w:val="0"/>
      <w:marRight w:val="0"/>
      <w:marTop w:val="0"/>
      <w:marBottom w:val="0"/>
      <w:divBdr>
        <w:top w:val="none" w:sz="0" w:space="0" w:color="auto"/>
        <w:left w:val="none" w:sz="0" w:space="0" w:color="auto"/>
        <w:bottom w:val="none" w:sz="0" w:space="0" w:color="auto"/>
        <w:right w:val="none" w:sz="0" w:space="0" w:color="auto"/>
      </w:divBdr>
    </w:div>
    <w:div w:id="130753698">
      <w:bodyDiv w:val="1"/>
      <w:marLeft w:val="0"/>
      <w:marRight w:val="0"/>
      <w:marTop w:val="0"/>
      <w:marBottom w:val="0"/>
      <w:divBdr>
        <w:top w:val="none" w:sz="0" w:space="0" w:color="auto"/>
        <w:left w:val="none" w:sz="0" w:space="0" w:color="auto"/>
        <w:bottom w:val="none" w:sz="0" w:space="0" w:color="auto"/>
        <w:right w:val="none" w:sz="0" w:space="0" w:color="auto"/>
      </w:divBdr>
      <w:divsChild>
        <w:div w:id="559753109">
          <w:marLeft w:val="0"/>
          <w:marRight w:val="0"/>
          <w:marTop w:val="0"/>
          <w:marBottom w:val="0"/>
          <w:divBdr>
            <w:top w:val="none" w:sz="0" w:space="0" w:color="auto"/>
            <w:left w:val="none" w:sz="0" w:space="0" w:color="auto"/>
            <w:bottom w:val="none" w:sz="0" w:space="0" w:color="auto"/>
            <w:right w:val="none" w:sz="0" w:space="0" w:color="auto"/>
          </w:divBdr>
          <w:divsChild>
            <w:div w:id="1955594828">
              <w:marLeft w:val="0"/>
              <w:marRight w:val="0"/>
              <w:marTop w:val="0"/>
              <w:marBottom w:val="0"/>
              <w:divBdr>
                <w:top w:val="none" w:sz="0" w:space="0" w:color="auto"/>
                <w:left w:val="none" w:sz="0" w:space="0" w:color="auto"/>
                <w:bottom w:val="none" w:sz="0" w:space="0" w:color="auto"/>
                <w:right w:val="none" w:sz="0" w:space="0" w:color="auto"/>
              </w:divBdr>
              <w:divsChild>
                <w:div w:id="1315992203">
                  <w:marLeft w:val="0"/>
                  <w:marRight w:val="0"/>
                  <w:marTop w:val="0"/>
                  <w:marBottom w:val="0"/>
                  <w:divBdr>
                    <w:top w:val="none" w:sz="0" w:space="0" w:color="auto"/>
                    <w:left w:val="none" w:sz="0" w:space="0" w:color="auto"/>
                    <w:bottom w:val="none" w:sz="0" w:space="0" w:color="auto"/>
                    <w:right w:val="none" w:sz="0" w:space="0" w:color="auto"/>
                  </w:divBdr>
                  <w:divsChild>
                    <w:div w:id="11535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1734">
      <w:bodyDiv w:val="1"/>
      <w:marLeft w:val="0"/>
      <w:marRight w:val="0"/>
      <w:marTop w:val="0"/>
      <w:marBottom w:val="0"/>
      <w:divBdr>
        <w:top w:val="none" w:sz="0" w:space="0" w:color="auto"/>
        <w:left w:val="none" w:sz="0" w:space="0" w:color="auto"/>
        <w:bottom w:val="none" w:sz="0" w:space="0" w:color="auto"/>
        <w:right w:val="none" w:sz="0" w:space="0" w:color="auto"/>
      </w:divBdr>
    </w:div>
    <w:div w:id="138303833">
      <w:bodyDiv w:val="1"/>
      <w:marLeft w:val="0"/>
      <w:marRight w:val="0"/>
      <w:marTop w:val="0"/>
      <w:marBottom w:val="0"/>
      <w:divBdr>
        <w:top w:val="none" w:sz="0" w:space="0" w:color="auto"/>
        <w:left w:val="none" w:sz="0" w:space="0" w:color="auto"/>
        <w:bottom w:val="none" w:sz="0" w:space="0" w:color="auto"/>
        <w:right w:val="none" w:sz="0" w:space="0" w:color="auto"/>
      </w:divBdr>
    </w:div>
    <w:div w:id="153226625">
      <w:bodyDiv w:val="1"/>
      <w:marLeft w:val="0"/>
      <w:marRight w:val="0"/>
      <w:marTop w:val="0"/>
      <w:marBottom w:val="0"/>
      <w:divBdr>
        <w:top w:val="none" w:sz="0" w:space="0" w:color="auto"/>
        <w:left w:val="none" w:sz="0" w:space="0" w:color="auto"/>
        <w:bottom w:val="none" w:sz="0" w:space="0" w:color="auto"/>
        <w:right w:val="none" w:sz="0" w:space="0" w:color="auto"/>
      </w:divBdr>
    </w:div>
    <w:div w:id="162209716">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4831971">
      <w:bodyDiv w:val="1"/>
      <w:marLeft w:val="0"/>
      <w:marRight w:val="0"/>
      <w:marTop w:val="0"/>
      <w:marBottom w:val="0"/>
      <w:divBdr>
        <w:top w:val="none" w:sz="0" w:space="0" w:color="auto"/>
        <w:left w:val="none" w:sz="0" w:space="0" w:color="auto"/>
        <w:bottom w:val="none" w:sz="0" w:space="0" w:color="auto"/>
        <w:right w:val="none" w:sz="0" w:space="0" w:color="auto"/>
      </w:divBdr>
    </w:div>
    <w:div w:id="201983784">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436869512">
      <w:bodyDiv w:val="1"/>
      <w:marLeft w:val="0"/>
      <w:marRight w:val="0"/>
      <w:marTop w:val="0"/>
      <w:marBottom w:val="0"/>
      <w:divBdr>
        <w:top w:val="none" w:sz="0" w:space="0" w:color="auto"/>
        <w:left w:val="none" w:sz="0" w:space="0" w:color="auto"/>
        <w:bottom w:val="none" w:sz="0" w:space="0" w:color="auto"/>
        <w:right w:val="none" w:sz="0" w:space="0" w:color="auto"/>
      </w:divBdr>
    </w:div>
    <w:div w:id="552733096">
      <w:bodyDiv w:val="1"/>
      <w:marLeft w:val="0"/>
      <w:marRight w:val="0"/>
      <w:marTop w:val="0"/>
      <w:marBottom w:val="0"/>
      <w:divBdr>
        <w:top w:val="none" w:sz="0" w:space="0" w:color="auto"/>
        <w:left w:val="none" w:sz="0" w:space="0" w:color="auto"/>
        <w:bottom w:val="none" w:sz="0" w:space="0" w:color="auto"/>
        <w:right w:val="none" w:sz="0" w:space="0" w:color="auto"/>
      </w:divBdr>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16176411">
      <w:bodyDiv w:val="1"/>
      <w:marLeft w:val="0"/>
      <w:marRight w:val="0"/>
      <w:marTop w:val="0"/>
      <w:marBottom w:val="0"/>
      <w:divBdr>
        <w:top w:val="none" w:sz="0" w:space="0" w:color="auto"/>
        <w:left w:val="none" w:sz="0" w:space="0" w:color="auto"/>
        <w:bottom w:val="none" w:sz="0" w:space="0" w:color="auto"/>
        <w:right w:val="none" w:sz="0" w:space="0" w:color="auto"/>
      </w:divBdr>
      <w:divsChild>
        <w:div w:id="348263046">
          <w:marLeft w:val="0"/>
          <w:marRight w:val="0"/>
          <w:marTop w:val="0"/>
          <w:marBottom w:val="0"/>
          <w:divBdr>
            <w:top w:val="none" w:sz="0" w:space="0" w:color="auto"/>
            <w:left w:val="none" w:sz="0" w:space="0" w:color="auto"/>
            <w:bottom w:val="none" w:sz="0" w:space="0" w:color="auto"/>
            <w:right w:val="none" w:sz="0" w:space="0" w:color="auto"/>
          </w:divBdr>
        </w:div>
      </w:divsChild>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2875487">
      <w:bodyDiv w:val="1"/>
      <w:marLeft w:val="0"/>
      <w:marRight w:val="0"/>
      <w:marTop w:val="0"/>
      <w:marBottom w:val="0"/>
      <w:divBdr>
        <w:top w:val="none" w:sz="0" w:space="0" w:color="auto"/>
        <w:left w:val="none" w:sz="0" w:space="0" w:color="auto"/>
        <w:bottom w:val="none" w:sz="0" w:space="0" w:color="auto"/>
        <w:right w:val="none" w:sz="0" w:space="0" w:color="auto"/>
      </w:divBdr>
    </w:div>
    <w:div w:id="811487668">
      <w:bodyDiv w:val="1"/>
      <w:marLeft w:val="0"/>
      <w:marRight w:val="0"/>
      <w:marTop w:val="0"/>
      <w:marBottom w:val="0"/>
      <w:divBdr>
        <w:top w:val="none" w:sz="0" w:space="0" w:color="auto"/>
        <w:left w:val="none" w:sz="0" w:space="0" w:color="auto"/>
        <w:bottom w:val="none" w:sz="0" w:space="0" w:color="auto"/>
        <w:right w:val="none" w:sz="0" w:space="0" w:color="auto"/>
      </w:divBdr>
      <w:divsChild>
        <w:div w:id="961351749">
          <w:marLeft w:val="0"/>
          <w:marRight w:val="0"/>
          <w:marTop w:val="0"/>
          <w:marBottom w:val="0"/>
          <w:divBdr>
            <w:top w:val="none" w:sz="0" w:space="0" w:color="auto"/>
            <w:left w:val="none" w:sz="0" w:space="0" w:color="auto"/>
            <w:bottom w:val="none" w:sz="0" w:space="0" w:color="auto"/>
            <w:right w:val="none" w:sz="0" w:space="0" w:color="auto"/>
          </w:divBdr>
          <w:divsChild>
            <w:div w:id="583538784">
              <w:marLeft w:val="0"/>
              <w:marRight w:val="0"/>
              <w:marTop w:val="0"/>
              <w:marBottom w:val="0"/>
              <w:divBdr>
                <w:top w:val="none" w:sz="0" w:space="0" w:color="auto"/>
                <w:left w:val="none" w:sz="0" w:space="0" w:color="auto"/>
                <w:bottom w:val="none" w:sz="0" w:space="0" w:color="auto"/>
                <w:right w:val="none" w:sz="0" w:space="0" w:color="auto"/>
              </w:divBdr>
              <w:divsChild>
                <w:div w:id="7000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4526">
      <w:bodyDiv w:val="1"/>
      <w:marLeft w:val="0"/>
      <w:marRight w:val="0"/>
      <w:marTop w:val="0"/>
      <w:marBottom w:val="0"/>
      <w:divBdr>
        <w:top w:val="none" w:sz="0" w:space="0" w:color="auto"/>
        <w:left w:val="none" w:sz="0" w:space="0" w:color="auto"/>
        <w:bottom w:val="none" w:sz="0" w:space="0" w:color="auto"/>
        <w:right w:val="none" w:sz="0" w:space="0" w:color="auto"/>
      </w:divBdr>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064184568">
      <w:bodyDiv w:val="1"/>
      <w:marLeft w:val="0"/>
      <w:marRight w:val="0"/>
      <w:marTop w:val="0"/>
      <w:marBottom w:val="0"/>
      <w:divBdr>
        <w:top w:val="none" w:sz="0" w:space="0" w:color="auto"/>
        <w:left w:val="none" w:sz="0" w:space="0" w:color="auto"/>
        <w:bottom w:val="none" w:sz="0" w:space="0" w:color="auto"/>
        <w:right w:val="none" w:sz="0" w:space="0" w:color="auto"/>
      </w:divBdr>
    </w:div>
    <w:div w:id="1121193896">
      <w:bodyDiv w:val="1"/>
      <w:marLeft w:val="0"/>
      <w:marRight w:val="0"/>
      <w:marTop w:val="0"/>
      <w:marBottom w:val="0"/>
      <w:divBdr>
        <w:top w:val="none" w:sz="0" w:space="0" w:color="auto"/>
        <w:left w:val="none" w:sz="0" w:space="0" w:color="auto"/>
        <w:bottom w:val="none" w:sz="0" w:space="0" w:color="auto"/>
        <w:right w:val="none" w:sz="0" w:space="0" w:color="auto"/>
      </w:divBdr>
      <w:divsChild>
        <w:div w:id="239020710">
          <w:marLeft w:val="0"/>
          <w:marRight w:val="0"/>
          <w:marTop w:val="0"/>
          <w:marBottom w:val="0"/>
          <w:divBdr>
            <w:top w:val="none" w:sz="0" w:space="0" w:color="auto"/>
            <w:left w:val="none" w:sz="0" w:space="0" w:color="auto"/>
            <w:bottom w:val="none" w:sz="0" w:space="0" w:color="auto"/>
            <w:right w:val="none" w:sz="0" w:space="0" w:color="auto"/>
          </w:divBdr>
          <w:divsChild>
            <w:div w:id="1427996388">
              <w:marLeft w:val="0"/>
              <w:marRight w:val="0"/>
              <w:marTop w:val="0"/>
              <w:marBottom w:val="0"/>
              <w:divBdr>
                <w:top w:val="none" w:sz="0" w:space="0" w:color="auto"/>
                <w:left w:val="none" w:sz="0" w:space="0" w:color="auto"/>
                <w:bottom w:val="none" w:sz="0" w:space="0" w:color="auto"/>
                <w:right w:val="none" w:sz="0" w:space="0" w:color="auto"/>
              </w:divBdr>
              <w:divsChild>
                <w:div w:id="2932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6727">
      <w:bodyDiv w:val="1"/>
      <w:marLeft w:val="0"/>
      <w:marRight w:val="0"/>
      <w:marTop w:val="0"/>
      <w:marBottom w:val="0"/>
      <w:divBdr>
        <w:top w:val="none" w:sz="0" w:space="0" w:color="auto"/>
        <w:left w:val="none" w:sz="0" w:space="0" w:color="auto"/>
        <w:bottom w:val="none" w:sz="0" w:space="0" w:color="auto"/>
        <w:right w:val="none" w:sz="0" w:space="0" w:color="auto"/>
      </w:divBdr>
    </w:div>
    <w:div w:id="1229535200">
      <w:bodyDiv w:val="1"/>
      <w:marLeft w:val="0"/>
      <w:marRight w:val="0"/>
      <w:marTop w:val="0"/>
      <w:marBottom w:val="0"/>
      <w:divBdr>
        <w:top w:val="none" w:sz="0" w:space="0" w:color="auto"/>
        <w:left w:val="none" w:sz="0" w:space="0" w:color="auto"/>
        <w:bottom w:val="none" w:sz="0" w:space="0" w:color="auto"/>
        <w:right w:val="none" w:sz="0" w:space="0" w:color="auto"/>
      </w:divBdr>
    </w:div>
    <w:div w:id="1275753034">
      <w:bodyDiv w:val="1"/>
      <w:marLeft w:val="0"/>
      <w:marRight w:val="0"/>
      <w:marTop w:val="0"/>
      <w:marBottom w:val="0"/>
      <w:divBdr>
        <w:top w:val="none" w:sz="0" w:space="0" w:color="auto"/>
        <w:left w:val="none" w:sz="0" w:space="0" w:color="auto"/>
        <w:bottom w:val="none" w:sz="0" w:space="0" w:color="auto"/>
        <w:right w:val="none" w:sz="0" w:space="0" w:color="auto"/>
      </w:divBdr>
      <w:divsChild>
        <w:div w:id="2081555291">
          <w:marLeft w:val="0"/>
          <w:marRight w:val="0"/>
          <w:marTop w:val="0"/>
          <w:marBottom w:val="0"/>
          <w:divBdr>
            <w:top w:val="none" w:sz="0" w:space="0" w:color="auto"/>
            <w:left w:val="none" w:sz="0" w:space="0" w:color="auto"/>
            <w:bottom w:val="none" w:sz="0" w:space="0" w:color="auto"/>
            <w:right w:val="none" w:sz="0" w:space="0" w:color="auto"/>
          </w:divBdr>
          <w:divsChild>
            <w:div w:id="1531066528">
              <w:marLeft w:val="0"/>
              <w:marRight w:val="0"/>
              <w:marTop w:val="0"/>
              <w:marBottom w:val="0"/>
              <w:divBdr>
                <w:top w:val="none" w:sz="0" w:space="0" w:color="auto"/>
                <w:left w:val="none" w:sz="0" w:space="0" w:color="auto"/>
                <w:bottom w:val="none" w:sz="0" w:space="0" w:color="auto"/>
                <w:right w:val="none" w:sz="0" w:space="0" w:color="auto"/>
              </w:divBdr>
              <w:divsChild>
                <w:div w:id="516965393">
                  <w:marLeft w:val="0"/>
                  <w:marRight w:val="0"/>
                  <w:marTop w:val="0"/>
                  <w:marBottom w:val="0"/>
                  <w:divBdr>
                    <w:top w:val="none" w:sz="0" w:space="0" w:color="auto"/>
                    <w:left w:val="none" w:sz="0" w:space="0" w:color="auto"/>
                    <w:bottom w:val="none" w:sz="0" w:space="0" w:color="auto"/>
                    <w:right w:val="none" w:sz="0" w:space="0" w:color="auto"/>
                  </w:divBdr>
                  <w:divsChild>
                    <w:div w:id="19936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60812497">
      <w:bodyDiv w:val="1"/>
      <w:marLeft w:val="0"/>
      <w:marRight w:val="0"/>
      <w:marTop w:val="0"/>
      <w:marBottom w:val="0"/>
      <w:divBdr>
        <w:top w:val="none" w:sz="0" w:space="0" w:color="auto"/>
        <w:left w:val="none" w:sz="0" w:space="0" w:color="auto"/>
        <w:bottom w:val="none" w:sz="0" w:space="0" w:color="auto"/>
        <w:right w:val="none" w:sz="0" w:space="0" w:color="auto"/>
      </w:divBdr>
    </w:div>
    <w:div w:id="1380085943">
      <w:bodyDiv w:val="1"/>
      <w:marLeft w:val="0"/>
      <w:marRight w:val="0"/>
      <w:marTop w:val="0"/>
      <w:marBottom w:val="0"/>
      <w:divBdr>
        <w:top w:val="none" w:sz="0" w:space="0" w:color="auto"/>
        <w:left w:val="none" w:sz="0" w:space="0" w:color="auto"/>
        <w:bottom w:val="none" w:sz="0" w:space="0" w:color="auto"/>
        <w:right w:val="none" w:sz="0" w:space="0" w:color="auto"/>
      </w:divBdr>
      <w:divsChild>
        <w:div w:id="2025476380">
          <w:marLeft w:val="0"/>
          <w:marRight w:val="0"/>
          <w:marTop w:val="0"/>
          <w:marBottom w:val="0"/>
          <w:divBdr>
            <w:top w:val="none" w:sz="0" w:space="0" w:color="auto"/>
            <w:left w:val="none" w:sz="0" w:space="0" w:color="auto"/>
            <w:bottom w:val="none" w:sz="0" w:space="0" w:color="auto"/>
            <w:right w:val="none" w:sz="0" w:space="0" w:color="auto"/>
          </w:divBdr>
          <w:divsChild>
            <w:div w:id="1126972410">
              <w:marLeft w:val="0"/>
              <w:marRight w:val="0"/>
              <w:marTop w:val="0"/>
              <w:marBottom w:val="0"/>
              <w:divBdr>
                <w:top w:val="none" w:sz="0" w:space="0" w:color="auto"/>
                <w:left w:val="none" w:sz="0" w:space="0" w:color="auto"/>
                <w:bottom w:val="none" w:sz="0" w:space="0" w:color="auto"/>
                <w:right w:val="none" w:sz="0" w:space="0" w:color="auto"/>
              </w:divBdr>
              <w:divsChild>
                <w:div w:id="1713536951">
                  <w:marLeft w:val="0"/>
                  <w:marRight w:val="0"/>
                  <w:marTop w:val="0"/>
                  <w:marBottom w:val="0"/>
                  <w:divBdr>
                    <w:top w:val="none" w:sz="0" w:space="0" w:color="auto"/>
                    <w:left w:val="none" w:sz="0" w:space="0" w:color="auto"/>
                    <w:bottom w:val="none" w:sz="0" w:space="0" w:color="auto"/>
                    <w:right w:val="none" w:sz="0" w:space="0" w:color="auto"/>
                  </w:divBdr>
                  <w:divsChild>
                    <w:div w:id="19606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40483">
      <w:bodyDiv w:val="1"/>
      <w:marLeft w:val="0"/>
      <w:marRight w:val="0"/>
      <w:marTop w:val="0"/>
      <w:marBottom w:val="0"/>
      <w:divBdr>
        <w:top w:val="none" w:sz="0" w:space="0" w:color="auto"/>
        <w:left w:val="none" w:sz="0" w:space="0" w:color="auto"/>
        <w:bottom w:val="none" w:sz="0" w:space="0" w:color="auto"/>
        <w:right w:val="none" w:sz="0" w:space="0" w:color="auto"/>
      </w:divBdr>
    </w:div>
    <w:div w:id="1469324827">
      <w:bodyDiv w:val="1"/>
      <w:marLeft w:val="0"/>
      <w:marRight w:val="0"/>
      <w:marTop w:val="0"/>
      <w:marBottom w:val="0"/>
      <w:divBdr>
        <w:top w:val="none" w:sz="0" w:space="0" w:color="auto"/>
        <w:left w:val="none" w:sz="0" w:space="0" w:color="auto"/>
        <w:bottom w:val="none" w:sz="0" w:space="0" w:color="auto"/>
        <w:right w:val="none" w:sz="0" w:space="0" w:color="auto"/>
      </w:divBdr>
    </w:div>
    <w:div w:id="1487667532">
      <w:bodyDiv w:val="1"/>
      <w:marLeft w:val="0"/>
      <w:marRight w:val="0"/>
      <w:marTop w:val="0"/>
      <w:marBottom w:val="0"/>
      <w:divBdr>
        <w:top w:val="none" w:sz="0" w:space="0" w:color="auto"/>
        <w:left w:val="none" w:sz="0" w:space="0" w:color="auto"/>
        <w:bottom w:val="none" w:sz="0" w:space="0" w:color="auto"/>
        <w:right w:val="none" w:sz="0" w:space="0" w:color="auto"/>
      </w:divBdr>
      <w:divsChild>
        <w:div w:id="1969437222">
          <w:marLeft w:val="0"/>
          <w:marRight w:val="0"/>
          <w:marTop w:val="0"/>
          <w:marBottom w:val="0"/>
          <w:divBdr>
            <w:top w:val="none" w:sz="0" w:space="0" w:color="auto"/>
            <w:left w:val="none" w:sz="0" w:space="0" w:color="auto"/>
            <w:bottom w:val="none" w:sz="0" w:space="0" w:color="auto"/>
            <w:right w:val="none" w:sz="0" w:space="0" w:color="auto"/>
          </w:divBdr>
          <w:divsChild>
            <w:div w:id="1684085468">
              <w:marLeft w:val="0"/>
              <w:marRight w:val="0"/>
              <w:marTop w:val="0"/>
              <w:marBottom w:val="0"/>
              <w:divBdr>
                <w:top w:val="none" w:sz="0" w:space="0" w:color="auto"/>
                <w:left w:val="none" w:sz="0" w:space="0" w:color="auto"/>
                <w:bottom w:val="none" w:sz="0" w:space="0" w:color="auto"/>
                <w:right w:val="none" w:sz="0" w:space="0" w:color="auto"/>
              </w:divBdr>
              <w:divsChild>
                <w:div w:id="1812937141">
                  <w:marLeft w:val="0"/>
                  <w:marRight w:val="0"/>
                  <w:marTop w:val="0"/>
                  <w:marBottom w:val="0"/>
                  <w:divBdr>
                    <w:top w:val="none" w:sz="0" w:space="0" w:color="auto"/>
                    <w:left w:val="none" w:sz="0" w:space="0" w:color="auto"/>
                    <w:bottom w:val="none" w:sz="0" w:space="0" w:color="auto"/>
                    <w:right w:val="none" w:sz="0" w:space="0" w:color="auto"/>
                  </w:divBdr>
                  <w:divsChild>
                    <w:div w:id="2116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56165833">
      <w:bodyDiv w:val="1"/>
      <w:marLeft w:val="0"/>
      <w:marRight w:val="0"/>
      <w:marTop w:val="0"/>
      <w:marBottom w:val="0"/>
      <w:divBdr>
        <w:top w:val="none" w:sz="0" w:space="0" w:color="auto"/>
        <w:left w:val="none" w:sz="0" w:space="0" w:color="auto"/>
        <w:bottom w:val="none" w:sz="0" w:space="0" w:color="auto"/>
        <w:right w:val="none" w:sz="0" w:space="0" w:color="auto"/>
      </w:divBdr>
    </w:div>
    <w:div w:id="157138621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8883587">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47785476">
      <w:bodyDiv w:val="1"/>
      <w:marLeft w:val="0"/>
      <w:marRight w:val="0"/>
      <w:marTop w:val="0"/>
      <w:marBottom w:val="0"/>
      <w:divBdr>
        <w:top w:val="none" w:sz="0" w:space="0" w:color="auto"/>
        <w:left w:val="none" w:sz="0" w:space="0" w:color="auto"/>
        <w:bottom w:val="none" w:sz="0" w:space="0" w:color="auto"/>
        <w:right w:val="none" w:sz="0" w:space="0" w:color="auto"/>
      </w:divBdr>
    </w:div>
    <w:div w:id="1656909135">
      <w:bodyDiv w:val="1"/>
      <w:marLeft w:val="0"/>
      <w:marRight w:val="0"/>
      <w:marTop w:val="0"/>
      <w:marBottom w:val="0"/>
      <w:divBdr>
        <w:top w:val="none" w:sz="0" w:space="0" w:color="auto"/>
        <w:left w:val="none" w:sz="0" w:space="0" w:color="auto"/>
        <w:bottom w:val="none" w:sz="0" w:space="0" w:color="auto"/>
        <w:right w:val="none" w:sz="0" w:space="0" w:color="auto"/>
      </w:divBdr>
    </w:div>
    <w:div w:id="1664353913">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704944406">
      <w:bodyDiv w:val="1"/>
      <w:marLeft w:val="0"/>
      <w:marRight w:val="0"/>
      <w:marTop w:val="0"/>
      <w:marBottom w:val="0"/>
      <w:divBdr>
        <w:top w:val="none" w:sz="0" w:space="0" w:color="auto"/>
        <w:left w:val="none" w:sz="0" w:space="0" w:color="auto"/>
        <w:bottom w:val="none" w:sz="0" w:space="0" w:color="auto"/>
        <w:right w:val="none" w:sz="0" w:space="0" w:color="auto"/>
      </w:divBdr>
    </w:div>
    <w:div w:id="1732732152">
      <w:bodyDiv w:val="1"/>
      <w:marLeft w:val="0"/>
      <w:marRight w:val="0"/>
      <w:marTop w:val="0"/>
      <w:marBottom w:val="0"/>
      <w:divBdr>
        <w:top w:val="none" w:sz="0" w:space="0" w:color="auto"/>
        <w:left w:val="none" w:sz="0" w:space="0" w:color="auto"/>
        <w:bottom w:val="none" w:sz="0" w:space="0" w:color="auto"/>
        <w:right w:val="none" w:sz="0" w:space="0" w:color="auto"/>
      </w:divBdr>
    </w:div>
    <w:div w:id="1765371549">
      <w:bodyDiv w:val="1"/>
      <w:marLeft w:val="0"/>
      <w:marRight w:val="0"/>
      <w:marTop w:val="0"/>
      <w:marBottom w:val="0"/>
      <w:divBdr>
        <w:top w:val="none" w:sz="0" w:space="0" w:color="auto"/>
        <w:left w:val="none" w:sz="0" w:space="0" w:color="auto"/>
        <w:bottom w:val="none" w:sz="0" w:space="0" w:color="auto"/>
        <w:right w:val="none" w:sz="0" w:space="0" w:color="auto"/>
      </w:divBdr>
    </w:div>
    <w:div w:id="1909804437">
      <w:bodyDiv w:val="1"/>
      <w:marLeft w:val="0"/>
      <w:marRight w:val="0"/>
      <w:marTop w:val="0"/>
      <w:marBottom w:val="0"/>
      <w:divBdr>
        <w:top w:val="none" w:sz="0" w:space="0" w:color="auto"/>
        <w:left w:val="none" w:sz="0" w:space="0" w:color="auto"/>
        <w:bottom w:val="none" w:sz="0" w:space="0" w:color="auto"/>
        <w:right w:val="none" w:sz="0" w:space="0" w:color="auto"/>
      </w:divBdr>
    </w:div>
    <w:div w:id="2037274124">
      <w:bodyDiv w:val="1"/>
      <w:marLeft w:val="0"/>
      <w:marRight w:val="0"/>
      <w:marTop w:val="0"/>
      <w:marBottom w:val="0"/>
      <w:divBdr>
        <w:top w:val="none" w:sz="0" w:space="0" w:color="auto"/>
        <w:left w:val="none" w:sz="0" w:space="0" w:color="auto"/>
        <w:bottom w:val="none" w:sz="0" w:space="0" w:color="auto"/>
        <w:right w:val="none" w:sz="0" w:space="0" w:color="auto"/>
      </w:divBdr>
    </w:div>
    <w:div w:id="210372494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31</TotalTime>
  <Pages>16</Pages>
  <Words>3817</Words>
  <Characters>20996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CRISTIAN ANDRES DIAZ DIEZ</cp:lastModifiedBy>
  <cp:revision>41</cp:revision>
  <cp:lastPrinted>2020-01-30T18:05:00Z</cp:lastPrinted>
  <dcterms:created xsi:type="dcterms:W3CDTF">2021-07-07T19:11:00Z</dcterms:created>
  <dcterms:modified xsi:type="dcterms:W3CDTF">2021-07-07T20:15:00Z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