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4930D7" w:rsidRDefault="005A79FE" w:rsidP="001E053F">
      <w:pPr>
        <w:spacing w:line="276" w:lineRule="auto"/>
        <w:jc w:val="right"/>
        <w:rPr>
          <w:rFonts w:ascii="Arial" w:eastAsia="Calibri" w:hAnsi="Arial" w:cs="Arial"/>
          <w:b/>
          <w:sz w:val="18"/>
          <w:szCs w:val="18"/>
        </w:rPr>
      </w:pPr>
      <w:r w:rsidRPr="004930D7">
        <w:rPr>
          <w:rFonts w:ascii="Arial" w:hAnsi="Arial" w:cs="Arial"/>
          <w:sz w:val="18"/>
          <w:szCs w:val="18"/>
        </w:rPr>
        <w:t>CCE-DES-FM-17</w:t>
      </w:r>
    </w:p>
    <w:p w14:paraId="06760211" w14:textId="77777777" w:rsidR="00C96108" w:rsidRPr="004930D7" w:rsidRDefault="00C96108" w:rsidP="00C96108">
      <w:pPr>
        <w:jc w:val="both"/>
        <w:rPr>
          <w:rFonts w:ascii="Arial" w:eastAsia="Calibri" w:hAnsi="Arial" w:cs="Arial"/>
          <w:b/>
          <w:bCs/>
          <w:sz w:val="22"/>
        </w:rPr>
      </w:pPr>
    </w:p>
    <w:p w14:paraId="66AC47DF" w14:textId="77777777" w:rsidR="001B2A17" w:rsidRPr="001C64F9" w:rsidRDefault="001B2A17" w:rsidP="001B2A17">
      <w:pPr>
        <w:jc w:val="both"/>
        <w:rPr>
          <w:rFonts w:ascii="Arial" w:eastAsia="Calibri" w:hAnsi="Arial" w:cs="Arial"/>
          <w:b/>
          <w:sz w:val="22"/>
          <w:lang w:val="es-ES_tradnl"/>
        </w:rPr>
      </w:pP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Fundamento normativo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Ley 2022 de 2020</w:t>
      </w:r>
    </w:p>
    <w:p w14:paraId="7A4E128C" w14:textId="77777777" w:rsidR="001B2A17" w:rsidRDefault="001B2A17" w:rsidP="001B2A17">
      <w:pPr>
        <w:jc w:val="both"/>
        <w:rPr>
          <w:rFonts w:ascii="Arial" w:eastAsia="Calibri" w:hAnsi="Arial" w:cs="Arial"/>
          <w:b/>
          <w:sz w:val="22"/>
          <w:lang w:val="es-ES_tradnl"/>
        </w:rPr>
      </w:pPr>
    </w:p>
    <w:p w14:paraId="202A6B37" w14:textId="77777777" w:rsidR="001B2A17" w:rsidRPr="00AE6FCE" w:rsidRDefault="001B2A17" w:rsidP="001B2A17">
      <w:pPr>
        <w:jc w:val="both"/>
        <w:rPr>
          <w:rFonts w:ascii="Arial" w:eastAsia="Calibri" w:hAnsi="Arial" w:cs="Arial"/>
          <w:sz w:val="20"/>
          <w:szCs w:val="20"/>
          <w:lang w:val="es-ES_tradnl"/>
        </w:rPr>
      </w:pPr>
      <w:r w:rsidRPr="00AE6FCE">
        <w:rPr>
          <w:rFonts w:ascii="Arial" w:eastAsia="Calibri" w:hAnsi="Arial" w:cs="Arial"/>
          <w:sz w:val="20"/>
          <w:szCs w:val="20"/>
          <w:lang w:val="es-ES_tradnl"/>
        </w:rPr>
        <w:t xml:space="preserve">Por otra parte, debe tenerse en cuenta que la Ley 2022 de 2020 fue sancionada por el </w:t>
      </w:r>
      <w:proofErr w:type="gramStart"/>
      <w:r w:rsidRPr="00AE6FCE">
        <w:rPr>
          <w:rFonts w:ascii="Arial" w:eastAsia="Calibri" w:hAnsi="Arial" w:cs="Arial"/>
          <w:sz w:val="20"/>
          <w:szCs w:val="20"/>
          <w:lang w:val="es-ES_tradnl"/>
        </w:rPr>
        <w:t>Presidente</w:t>
      </w:r>
      <w:proofErr w:type="gramEnd"/>
      <w:r w:rsidRPr="00AE6FCE">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165FD541" w14:textId="77777777" w:rsidR="001B2A17" w:rsidRDefault="001B2A17" w:rsidP="001B2A17">
      <w:pPr>
        <w:jc w:val="both"/>
        <w:rPr>
          <w:rFonts w:ascii="Arial" w:eastAsia="Calibri" w:hAnsi="Arial" w:cs="Arial"/>
          <w:sz w:val="20"/>
          <w:szCs w:val="20"/>
          <w:lang w:val="es-ES_tradnl"/>
        </w:rPr>
      </w:pPr>
    </w:p>
    <w:p w14:paraId="7584E1E5" w14:textId="77777777" w:rsidR="001B2A17" w:rsidRDefault="001B2A17" w:rsidP="001B2A17">
      <w:pPr>
        <w:jc w:val="both"/>
        <w:rPr>
          <w:rFonts w:ascii="Arial" w:eastAsia="Calibri" w:hAnsi="Arial" w:cs="Arial"/>
          <w:sz w:val="20"/>
          <w:szCs w:val="20"/>
          <w:lang w:val="es-ES_tradnl"/>
        </w:rPr>
      </w:pPr>
      <w:r w:rsidRPr="00AE6FCE">
        <w:rPr>
          <w:rFonts w:ascii="Arial" w:eastAsia="Calibri" w:hAnsi="Arial" w:cs="Arial"/>
          <w:sz w:val="20"/>
          <w:szCs w:val="20"/>
          <w:lang w:val="es-ES_tradnl"/>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AE6FCE">
        <w:rPr>
          <w:rFonts w:ascii="Arial" w:eastAsia="Calibri" w:hAnsi="Arial" w:cs="Arial"/>
          <w:sz w:val="20"/>
          <w:szCs w:val="20"/>
          <w:lang w:val="es-ES_tradnl"/>
        </w:rPr>
        <w:t>entró en vigencia</w:t>
      </w:r>
      <w:proofErr w:type="gramEnd"/>
      <w:r w:rsidRPr="00AE6FCE">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w:t>
      </w:r>
    </w:p>
    <w:p w14:paraId="0F13BD27" w14:textId="77777777" w:rsidR="00E075D2" w:rsidRPr="001B2A17" w:rsidRDefault="00E075D2" w:rsidP="00E075D2">
      <w:pPr>
        <w:jc w:val="both"/>
        <w:rPr>
          <w:rFonts w:ascii="Arial" w:eastAsia="Calibri" w:hAnsi="Arial" w:cs="Arial"/>
          <w:sz w:val="20"/>
          <w:szCs w:val="20"/>
          <w:lang w:val="es-ES_tradnl"/>
        </w:rPr>
      </w:pPr>
    </w:p>
    <w:p w14:paraId="258EF248" w14:textId="4837C10B" w:rsidR="00C96108" w:rsidRPr="00982EEB" w:rsidRDefault="00E075D2" w:rsidP="00C96108">
      <w:pPr>
        <w:jc w:val="both"/>
        <w:rPr>
          <w:rFonts w:ascii="Arial" w:eastAsia="Calibri" w:hAnsi="Arial" w:cs="Arial"/>
          <w:b/>
          <w:bCs/>
          <w:sz w:val="22"/>
        </w:rPr>
      </w:pPr>
      <w:r w:rsidRPr="00982EEB">
        <w:rPr>
          <w:rFonts w:ascii="Arial" w:eastAsia="Calibri" w:hAnsi="Arial" w:cs="Arial"/>
          <w:b/>
          <w:bCs/>
          <w:sz w:val="22"/>
        </w:rPr>
        <w:t>MATRIZ 1 - EXPERIENCIA</w:t>
      </w:r>
      <w:r w:rsidR="00C96108" w:rsidRPr="00982EEB">
        <w:rPr>
          <w:rFonts w:ascii="Arial" w:eastAsia="Calibri" w:hAnsi="Arial" w:cs="Arial"/>
          <w:b/>
          <w:bCs/>
          <w:sz w:val="22"/>
        </w:rPr>
        <w:t xml:space="preserve"> – </w:t>
      </w:r>
      <w:r w:rsidRPr="00982EEB">
        <w:rPr>
          <w:rFonts w:ascii="Arial" w:eastAsia="Calibri" w:hAnsi="Arial" w:cs="Arial"/>
          <w:b/>
          <w:bCs/>
          <w:sz w:val="22"/>
        </w:rPr>
        <w:t xml:space="preserve">Infraestructura de transporte </w:t>
      </w:r>
      <w:r w:rsidRPr="00982EEB">
        <w:rPr>
          <w:rFonts w:ascii="Arial" w:eastAsia="Arial" w:hAnsi="Arial" w:cs="Arial"/>
          <w:b/>
          <w:bCs/>
          <w:sz w:val="22"/>
        </w:rPr>
        <w:t xml:space="preserve">– </w:t>
      </w:r>
      <w:r w:rsidR="00C55288">
        <w:rPr>
          <w:rFonts w:ascii="Arial" w:eastAsia="Calibri" w:hAnsi="Arial" w:cs="Arial"/>
          <w:b/>
          <w:bCs/>
          <w:sz w:val="22"/>
        </w:rPr>
        <w:t>Contenido y función</w:t>
      </w:r>
      <w:r w:rsidRPr="00982EEB">
        <w:rPr>
          <w:rFonts w:ascii="Arial" w:eastAsia="Calibri" w:hAnsi="Arial" w:cs="Arial"/>
          <w:b/>
          <w:bCs/>
          <w:sz w:val="22"/>
        </w:rPr>
        <w:t xml:space="preserve"> </w:t>
      </w:r>
    </w:p>
    <w:p w14:paraId="77F17557" w14:textId="77777777" w:rsidR="00C96108" w:rsidRPr="009344F6" w:rsidRDefault="00C96108" w:rsidP="00C96108">
      <w:pPr>
        <w:jc w:val="both"/>
        <w:rPr>
          <w:rFonts w:ascii="Arial" w:eastAsia="Calibri" w:hAnsi="Arial" w:cs="Arial"/>
          <w:sz w:val="20"/>
          <w:szCs w:val="20"/>
          <w:highlight w:val="yellow"/>
        </w:rPr>
      </w:pPr>
    </w:p>
    <w:p w14:paraId="19789613" w14:textId="37114DC1" w:rsidR="00C55288" w:rsidRDefault="00C55288" w:rsidP="00C55288">
      <w:pPr>
        <w:pStyle w:val="Textoindependiente"/>
        <w:ind w:right="106"/>
        <w:jc w:val="both"/>
        <w:rPr>
          <w:rFonts w:eastAsia="Calibri"/>
          <w:sz w:val="20"/>
          <w:szCs w:val="20"/>
          <w:lang w:val="es-ES_tradnl"/>
        </w:rPr>
      </w:pPr>
      <w:r w:rsidRPr="00C55288">
        <w:rPr>
          <w:rFonts w:eastAsia="Calibri"/>
          <w:sz w:val="20"/>
          <w:szCs w:val="20"/>
          <w:lang w:val="es-MX"/>
        </w:rPr>
        <w:t xml:space="preserve">Uno de los elementos comunes a los diferentes documentos tipo es la «Matriz 1 – Experiencia»–en adelante Matriz 1–. Esta consta de unas celdas en las que se describe la experiencia requerida en relación con el objeto a contratar, definiendo además qué tipo de intervenciones de infraestructura de transporte deben acogerse a los pliegos tipo. Por otro lado, encontramos el «Anexo 3 – Glosario», el cual contiene las definiciones de los términos usados en los documentos del proceso. </w:t>
      </w:r>
      <w:r w:rsidRPr="00C55288">
        <w:rPr>
          <w:rFonts w:eastAsia="Calibri"/>
          <w:sz w:val="20"/>
          <w:szCs w:val="20"/>
          <w:lang w:val="es-ES_tradnl"/>
        </w:rPr>
        <w:t xml:space="preserve">Usando estos dos documentos, la entidad estatal puede definir si el objeto a contratarse debe emplear los documentos tipo. </w:t>
      </w:r>
    </w:p>
    <w:p w14:paraId="2DE0BC7B" w14:textId="77777777" w:rsidR="00C55288" w:rsidRPr="00C55288" w:rsidRDefault="00C55288" w:rsidP="00C55288">
      <w:pPr>
        <w:pStyle w:val="Textoindependiente"/>
        <w:ind w:right="106"/>
        <w:jc w:val="both"/>
        <w:rPr>
          <w:rFonts w:eastAsia="Calibri"/>
          <w:sz w:val="20"/>
          <w:szCs w:val="20"/>
          <w:lang w:val="es-ES_tradnl"/>
        </w:rPr>
      </w:pPr>
    </w:p>
    <w:p w14:paraId="4222189D" w14:textId="21AB8C95" w:rsidR="00C55288" w:rsidRDefault="00C55288" w:rsidP="00C55288">
      <w:pPr>
        <w:pStyle w:val="Textoindependiente"/>
        <w:ind w:right="106"/>
        <w:jc w:val="both"/>
        <w:rPr>
          <w:rFonts w:eastAsia="Calibri"/>
          <w:sz w:val="20"/>
          <w:szCs w:val="20"/>
          <w:lang w:val="es-MX"/>
        </w:rPr>
      </w:pPr>
      <w:r w:rsidRPr="00C55288">
        <w:rPr>
          <w:rFonts w:eastAsia="Calibri"/>
          <w:sz w:val="20"/>
          <w:szCs w:val="20"/>
          <w:lang w:val="es-MX"/>
        </w:rPr>
        <w:t>En los documentos tipo de obra pública de infraestructura de transporte, de acuerdo con las condiciones fijadas en los «Documentos Base</w:t>
      </w:r>
      <w:r w:rsidRPr="00C55288">
        <w:rPr>
          <w:rFonts w:eastAsia="Calibri"/>
          <w:sz w:val="20"/>
          <w:szCs w:val="20"/>
          <w:lang w:val="es-MX"/>
        </w:rPr>
        <w:t xml:space="preserve"> o Pliego Tipo</w:t>
      </w:r>
      <w:r w:rsidRPr="00C55288">
        <w:rPr>
          <w:rFonts w:eastAsia="Calibri"/>
          <w:sz w:val="20"/>
          <w:szCs w:val="20"/>
          <w:lang w:val="es-MX"/>
        </w:rPr>
        <w:t>», la acreditación del requisito habilitante de experiencia se aborda desde distintos criterios. Especialmente, se destaca que los contratos presentados por los proponentes deben corresponder a la actividad o actividades de experiencia general y específica que la entidad exija en el pliego de condiciones de acuerdo con los parámetros señalados en la Matriz 1.</w:t>
      </w:r>
    </w:p>
    <w:p w14:paraId="4D3CF80F" w14:textId="77777777" w:rsidR="00C55288" w:rsidRPr="00C55288" w:rsidRDefault="00C55288" w:rsidP="00C55288">
      <w:pPr>
        <w:pStyle w:val="Textoindependiente"/>
        <w:ind w:right="106"/>
        <w:jc w:val="both"/>
        <w:rPr>
          <w:rFonts w:eastAsia="Calibri"/>
          <w:sz w:val="20"/>
          <w:szCs w:val="20"/>
          <w:lang w:val="es-MX"/>
        </w:rPr>
      </w:pPr>
    </w:p>
    <w:p w14:paraId="31172457" w14:textId="37053FAD" w:rsidR="00C55288" w:rsidRDefault="00C55288" w:rsidP="00C55288">
      <w:pPr>
        <w:pStyle w:val="Textoindependiente"/>
        <w:ind w:right="106"/>
        <w:jc w:val="both"/>
        <w:rPr>
          <w:rFonts w:eastAsia="Calibri"/>
          <w:sz w:val="20"/>
          <w:szCs w:val="20"/>
          <w:lang w:val="es-MX"/>
        </w:rPr>
      </w:pPr>
      <w:r w:rsidRPr="00C55288">
        <w:rPr>
          <w:rFonts w:eastAsia="Calibri"/>
          <w:sz w:val="20"/>
          <w:szCs w:val="20"/>
          <w:lang w:val="es-MX"/>
        </w:rPr>
        <w:t xml:space="preserve">La Matriz 1, es el documento que estandariza las condiciones de experiencia general y/o experiencia específica que deben requerir las entidades estatales de acuerdo con: i) el tipo de obra de infraestructura de transporte, ii) la actividad a contratar y iii) la cuantía del proceso de contratación. Dicha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w:t>
      </w:r>
      <w:r w:rsidRPr="00C55288">
        <w:rPr>
          <w:rFonts w:eastAsia="Calibri"/>
          <w:sz w:val="20"/>
          <w:szCs w:val="20"/>
          <w:lang w:val="es-MX"/>
        </w:rPr>
        <w:lastRenderedPageBreak/>
        <w:t>férreas, 6) obras de infraestructura vial urbana, 7) obras en puentes y 8) obras aeroportuarias. Para cada uno de estos tipos de obras o infraestructura, contempla una serie de actividades, en función de las cuales se establecen los requisitos de experiencia general y especifica que las entidades deben exigir cuando contraten objetos contractuales que impliquen el desarrollo de tales actividades.</w:t>
      </w:r>
    </w:p>
    <w:p w14:paraId="5F689CB9" w14:textId="77777777" w:rsidR="00C55288" w:rsidRPr="00C55288" w:rsidRDefault="00C55288" w:rsidP="00C55288">
      <w:pPr>
        <w:pStyle w:val="Textoindependiente"/>
        <w:ind w:right="106"/>
        <w:jc w:val="both"/>
        <w:rPr>
          <w:rFonts w:eastAsia="Calibri"/>
          <w:sz w:val="20"/>
          <w:szCs w:val="20"/>
          <w:lang w:val="es-MX"/>
        </w:rPr>
      </w:pPr>
    </w:p>
    <w:p w14:paraId="3D5C96D1" w14:textId="26631621" w:rsidR="00B226F6" w:rsidRPr="00C55288" w:rsidRDefault="00C55288" w:rsidP="00C55288">
      <w:pPr>
        <w:pStyle w:val="Textoindependiente"/>
        <w:ind w:right="106"/>
        <w:jc w:val="both"/>
        <w:rPr>
          <w:rFonts w:eastAsia="Calibri"/>
          <w:sz w:val="20"/>
          <w:szCs w:val="20"/>
          <w:lang w:val="es-MX" w:eastAsia="en-US" w:bidi="ar-SA"/>
        </w:rPr>
      </w:pPr>
      <w:r w:rsidRPr="00C55288">
        <w:rPr>
          <w:rFonts w:eastAsia="Calibri"/>
          <w:sz w:val="20"/>
          <w:szCs w:val="20"/>
          <w:lang w:val="es-MX" w:eastAsia="en-US" w:bidi="ar-SA"/>
        </w:rPr>
        <w:t>Conforme a lo anterior, la Matriz 1, en el marco de la aplicación de los documentos tipo de infraestructura de transporte, cumple una doble función. Por un lado, sirve para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w:t>
      </w:r>
    </w:p>
    <w:p w14:paraId="3DA1141B" w14:textId="678D3256" w:rsidR="00A91145" w:rsidRDefault="00A91145" w:rsidP="003C1847">
      <w:pPr>
        <w:pStyle w:val="Prrafodelista"/>
        <w:ind w:left="0"/>
        <w:jc w:val="both"/>
        <w:rPr>
          <w:rFonts w:ascii="Arial" w:eastAsia="Calibri" w:hAnsi="Arial" w:cs="Arial"/>
          <w:sz w:val="20"/>
          <w:szCs w:val="20"/>
        </w:rPr>
      </w:pPr>
    </w:p>
    <w:p w14:paraId="010E7A06" w14:textId="2848798E" w:rsidR="00982EEB" w:rsidRPr="00982EEB" w:rsidRDefault="00982EEB" w:rsidP="00982EEB">
      <w:pPr>
        <w:jc w:val="both"/>
        <w:rPr>
          <w:rFonts w:ascii="Arial" w:eastAsia="Calibri" w:hAnsi="Arial" w:cs="Arial"/>
          <w:b/>
          <w:bCs/>
          <w:sz w:val="22"/>
        </w:rPr>
      </w:pPr>
      <w:r>
        <w:rPr>
          <w:rFonts w:ascii="Arial" w:eastAsia="Calibri" w:hAnsi="Arial" w:cs="Arial"/>
          <w:b/>
          <w:bCs/>
          <w:sz w:val="22"/>
        </w:rPr>
        <w:t>OBRA PÚBLICA</w:t>
      </w:r>
      <w:r w:rsidRPr="00982EEB">
        <w:rPr>
          <w:rFonts w:ascii="Arial" w:eastAsia="Calibri" w:hAnsi="Arial" w:cs="Arial"/>
          <w:b/>
          <w:bCs/>
          <w:sz w:val="22"/>
        </w:rPr>
        <w:t xml:space="preserve"> – Infraestructura de transporte </w:t>
      </w:r>
      <w:r w:rsidRPr="00982EEB">
        <w:rPr>
          <w:rFonts w:ascii="Arial" w:eastAsia="Arial" w:hAnsi="Arial" w:cs="Arial"/>
          <w:b/>
          <w:bCs/>
          <w:sz w:val="22"/>
        </w:rPr>
        <w:t>–</w:t>
      </w:r>
      <w:r>
        <w:rPr>
          <w:rFonts w:ascii="Arial" w:eastAsia="Arial" w:hAnsi="Arial" w:cs="Arial"/>
          <w:b/>
          <w:bCs/>
          <w:sz w:val="22"/>
        </w:rPr>
        <w:t xml:space="preserve"> </w:t>
      </w:r>
      <w:r w:rsidR="001B2A17">
        <w:rPr>
          <w:rFonts w:ascii="Arial" w:eastAsia="Calibri" w:hAnsi="Arial" w:cs="Arial"/>
          <w:b/>
          <w:bCs/>
          <w:sz w:val="22"/>
        </w:rPr>
        <w:t>Puentes peatonales</w:t>
      </w:r>
      <w:r w:rsidRPr="00982EEB">
        <w:rPr>
          <w:rFonts w:ascii="Arial" w:eastAsia="Calibri" w:hAnsi="Arial" w:cs="Arial"/>
          <w:b/>
          <w:bCs/>
          <w:sz w:val="22"/>
        </w:rPr>
        <w:t xml:space="preserve"> </w:t>
      </w:r>
    </w:p>
    <w:p w14:paraId="2ED107FA" w14:textId="242BC987" w:rsidR="00A91145" w:rsidRDefault="00A91145" w:rsidP="003C1847">
      <w:pPr>
        <w:pStyle w:val="Prrafodelista"/>
        <w:ind w:left="0"/>
        <w:jc w:val="both"/>
        <w:rPr>
          <w:rFonts w:ascii="Arial" w:eastAsia="Calibri" w:hAnsi="Arial" w:cs="Arial"/>
          <w:sz w:val="20"/>
          <w:szCs w:val="20"/>
        </w:rPr>
      </w:pPr>
    </w:p>
    <w:p w14:paraId="6B023A6E" w14:textId="2A004FE8" w:rsidR="00C55288" w:rsidRPr="00C55288" w:rsidRDefault="00C55288" w:rsidP="00C55288">
      <w:pPr>
        <w:pStyle w:val="Prrafodelista"/>
        <w:ind w:left="0"/>
        <w:jc w:val="both"/>
        <w:rPr>
          <w:rFonts w:ascii="Arial" w:eastAsia="Calibri" w:hAnsi="Arial" w:cs="Arial"/>
          <w:sz w:val="20"/>
          <w:szCs w:val="20"/>
        </w:rPr>
      </w:pPr>
      <w:r>
        <w:rPr>
          <w:rFonts w:ascii="Arial" w:eastAsia="Calibri" w:hAnsi="Arial" w:cs="Arial"/>
          <w:sz w:val="20"/>
          <w:szCs w:val="20"/>
        </w:rPr>
        <w:t>[...]</w:t>
      </w:r>
      <w:r>
        <w:rPr>
          <w:rFonts w:ascii="Arial" w:eastAsia="Calibri" w:hAnsi="Arial" w:cs="Arial"/>
          <w:sz w:val="20"/>
          <w:szCs w:val="20"/>
        </w:rPr>
        <w:t xml:space="preserve"> l</w:t>
      </w:r>
      <w:r w:rsidRPr="00C55288">
        <w:rPr>
          <w:rFonts w:ascii="Arial" w:eastAsia="Calibri" w:hAnsi="Arial" w:cs="Arial"/>
          <w:sz w:val="20"/>
          <w:szCs w:val="20"/>
        </w:rPr>
        <w:t xml:space="preserve">a Matriz 1 adoptada para procesos de licitación de obra pública de infraestructura de transporte, en su versión 3–Resolución No. 240 de 2020–, contiene el tipo de infraestructura «7. OBRAS EN PUENTES», dentro de la que se contemplan diferentes actividades asociadas a la construcción de distintos tipos de puentes. En lo referente a la construcción de puentes peatonales se establece la actividad «7.7 CONSTRUCCION DE PUENTES PEATONALES EN ESTRUCTURA METÁLICA O EN CONCRETO O MIXTA». Esta misma actividad, en idénticos numerales, se contempla en las matrices 1 de los documentos tipo de selección abreviada de menor cuantía versión 2–Resolución No. 241 de 2020– y en los de mínima cuantía –Resolución No. 094 de 2020–. </w:t>
      </w:r>
    </w:p>
    <w:p w14:paraId="0F55DCD8" w14:textId="4F8887CB" w:rsidR="0090113C" w:rsidRPr="0090113C" w:rsidRDefault="00C55288" w:rsidP="00C55288">
      <w:pPr>
        <w:pStyle w:val="Prrafodelista"/>
        <w:ind w:left="0"/>
        <w:jc w:val="both"/>
        <w:rPr>
          <w:rFonts w:ascii="Arial" w:eastAsia="Calibri" w:hAnsi="Arial" w:cs="Arial"/>
          <w:sz w:val="20"/>
          <w:szCs w:val="20"/>
        </w:rPr>
      </w:pPr>
      <w:r w:rsidRPr="00C55288">
        <w:rPr>
          <w:rFonts w:ascii="Arial" w:eastAsia="Calibri" w:hAnsi="Arial" w:cs="Arial"/>
          <w:sz w:val="20"/>
          <w:szCs w:val="20"/>
        </w:rPr>
        <w:t>Lo anterior indica que la contratación de obras públicas a través de las modalidades de licitación pública, selección abreviada de menor cuantía y mínima cuantía, tendientes a la construcción de puentes peatonales, ya sea en estructura metálica, en concreto o mixta, deben contratarse aplicando documentos tipo de infraestructura de transporte.</w:t>
      </w:r>
    </w:p>
    <w:p w14:paraId="3C032910" w14:textId="77777777" w:rsidR="0090113C" w:rsidRDefault="0090113C" w:rsidP="003C1847">
      <w:pPr>
        <w:pStyle w:val="Prrafodelista"/>
        <w:ind w:left="0"/>
        <w:jc w:val="both"/>
        <w:rPr>
          <w:rFonts w:ascii="Arial" w:eastAsia="Calibri" w:hAnsi="Arial" w:cs="Arial"/>
          <w:sz w:val="20"/>
          <w:szCs w:val="20"/>
        </w:rPr>
      </w:pPr>
    </w:p>
    <w:p w14:paraId="05732F00" w14:textId="2EDED46A" w:rsidR="00A91145" w:rsidRDefault="00A91145" w:rsidP="003C1847">
      <w:pPr>
        <w:pStyle w:val="Prrafodelista"/>
        <w:ind w:left="0"/>
        <w:jc w:val="both"/>
        <w:rPr>
          <w:rFonts w:ascii="Arial" w:eastAsia="Calibri" w:hAnsi="Arial" w:cs="Arial"/>
          <w:sz w:val="20"/>
          <w:szCs w:val="20"/>
        </w:rPr>
      </w:pPr>
    </w:p>
    <w:p w14:paraId="6ED7E88C" w14:textId="6C012AEF" w:rsidR="00013FDB" w:rsidRDefault="00013FDB" w:rsidP="003C1847">
      <w:pPr>
        <w:pStyle w:val="Prrafodelista"/>
        <w:ind w:left="0"/>
        <w:jc w:val="both"/>
        <w:rPr>
          <w:rFonts w:ascii="Arial" w:eastAsia="Calibri" w:hAnsi="Arial" w:cs="Arial"/>
          <w:sz w:val="20"/>
          <w:szCs w:val="20"/>
        </w:rPr>
      </w:pPr>
    </w:p>
    <w:p w14:paraId="03D8F835" w14:textId="35B6B397" w:rsidR="00013FDB" w:rsidRDefault="00013FDB" w:rsidP="003C1847">
      <w:pPr>
        <w:pStyle w:val="Prrafodelista"/>
        <w:ind w:left="0"/>
        <w:jc w:val="both"/>
        <w:rPr>
          <w:rFonts w:ascii="Arial" w:eastAsia="Calibri" w:hAnsi="Arial" w:cs="Arial"/>
          <w:sz w:val="20"/>
          <w:szCs w:val="20"/>
        </w:rPr>
      </w:pPr>
    </w:p>
    <w:p w14:paraId="3D147362" w14:textId="549B5409" w:rsidR="00013FDB" w:rsidRDefault="00013FDB" w:rsidP="003C1847">
      <w:pPr>
        <w:pStyle w:val="Prrafodelista"/>
        <w:ind w:left="0"/>
        <w:jc w:val="both"/>
        <w:rPr>
          <w:rFonts w:ascii="Arial" w:eastAsia="Calibri" w:hAnsi="Arial" w:cs="Arial"/>
          <w:sz w:val="20"/>
          <w:szCs w:val="20"/>
        </w:rPr>
      </w:pPr>
    </w:p>
    <w:p w14:paraId="65F3CA83" w14:textId="54ACFD59" w:rsidR="00013FDB" w:rsidRDefault="00013FDB" w:rsidP="003C1847">
      <w:pPr>
        <w:pStyle w:val="Prrafodelista"/>
        <w:ind w:left="0"/>
        <w:jc w:val="both"/>
        <w:rPr>
          <w:rFonts w:ascii="Arial" w:eastAsia="Calibri" w:hAnsi="Arial" w:cs="Arial"/>
          <w:sz w:val="20"/>
          <w:szCs w:val="20"/>
        </w:rPr>
      </w:pPr>
    </w:p>
    <w:p w14:paraId="0B801F8B" w14:textId="4D46D3AA" w:rsidR="00013FDB" w:rsidRDefault="00013FDB" w:rsidP="003C1847">
      <w:pPr>
        <w:pStyle w:val="Prrafodelista"/>
        <w:ind w:left="0"/>
        <w:jc w:val="both"/>
        <w:rPr>
          <w:rFonts w:ascii="Arial" w:eastAsia="Calibri" w:hAnsi="Arial" w:cs="Arial"/>
          <w:sz w:val="20"/>
          <w:szCs w:val="20"/>
        </w:rPr>
      </w:pPr>
    </w:p>
    <w:p w14:paraId="3132F521" w14:textId="0AF2BAB3" w:rsidR="00013FDB" w:rsidRDefault="00013FDB" w:rsidP="003C1847">
      <w:pPr>
        <w:pStyle w:val="Prrafodelista"/>
        <w:ind w:left="0"/>
        <w:jc w:val="both"/>
        <w:rPr>
          <w:rFonts w:ascii="Arial" w:eastAsia="Calibri" w:hAnsi="Arial" w:cs="Arial"/>
          <w:sz w:val="20"/>
          <w:szCs w:val="20"/>
        </w:rPr>
      </w:pPr>
    </w:p>
    <w:p w14:paraId="1CF111FD" w14:textId="674BC9C9" w:rsidR="00013FDB" w:rsidRDefault="00013FDB" w:rsidP="003C1847">
      <w:pPr>
        <w:pStyle w:val="Prrafodelista"/>
        <w:ind w:left="0"/>
        <w:jc w:val="both"/>
        <w:rPr>
          <w:rFonts w:ascii="Arial" w:eastAsia="Calibri" w:hAnsi="Arial" w:cs="Arial"/>
          <w:sz w:val="20"/>
          <w:szCs w:val="20"/>
        </w:rPr>
      </w:pPr>
    </w:p>
    <w:p w14:paraId="61890AAB" w14:textId="616B3C7A" w:rsidR="00013FDB" w:rsidRDefault="00013FDB" w:rsidP="003C1847">
      <w:pPr>
        <w:pStyle w:val="Prrafodelista"/>
        <w:ind w:left="0"/>
        <w:jc w:val="both"/>
        <w:rPr>
          <w:rFonts w:ascii="Arial" w:eastAsia="Calibri" w:hAnsi="Arial" w:cs="Arial"/>
          <w:sz w:val="20"/>
          <w:szCs w:val="20"/>
        </w:rPr>
      </w:pPr>
    </w:p>
    <w:p w14:paraId="69FC05E9" w14:textId="047BA393" w:rsidR="00013FDB" w:rsidRDefault="00013FDB" w:rsidP="003C1847">
      <w:pPr>
        <w:pStyle w:val="Prrafodelista"/>
        <w:ind w:left="0"/>
        <w:jc w:val="both"/>
        <w:rPr>
          <w:rFonts w:ascii="Arial" w:eastAsia="Calibri" w:hAnsi="Arial" w:cs="Arial"/>
          <w:sz w:val="20"/>
          <w:szCs w:val="20"/>
        </w:rPr>
      </w:pPr>
    </w:p>
    <w:p w14:paraId="163EEF69" w14:textId="07733AAF" w:rsidR="00013FDB" w:rsidRDefault="00013FDB" w:rsidP="003C1847">
      <w:pPr>
        <w:pStyle w:val="Prrafodelista"/>
        <w:ind w:left="0"/>
        <w:jc w:val="both"/>
        <w:rPr>
          <w:rFonts w:ascii="Arial" w:eastAsia="Calibri" w:hAnsi="Arial" w:cs="Arial"/>
          <w:sz w:val="20"/>
          <w:szCs w:val="20"/>
        </w:rPr>
      </w:pPr>
    </w:p>
    <w:p w14:paraId="6A9EED24" w14:textId="6DFC664D" w:rsidR="00013FDB" w:rsidRDefault="00013FDB" w:rsidP="003C1847">
      <w:pPr>
        <w:pStyle w:val="Prrafodelista"/>
        <w:ind w:left="0"/>
        <w:jc w:val="both"/>
        <w:rPr>
          <w:rFonts w:ascii="Arial" w:eastAsia="Calibri" w:hAnsi="Arial" w:cs="Arial"/>
          <w:sz w:val="20"/>
          <w:szCs w:val="20"/>
        </w:rPr>
      </w:pPr>
    </w:p>
    <w:p w14:paraId="06ED8B37" w14:textId="62027E8A" w:rsidR="00013FDB" w:rsidRDefault="00013FDB" w:rsidP="003C1847">
      <w:pPr>
        <w:pStyle w:val="Prrafodelista"/>
        <w:ind w:left="0"/>
        <w:jc w:val="both"/>
        <w:rPr>
          <w:rFonts w:ascii="Arial" w:eastAsia="Calibri" w:hAnsi="Arial" w:cs="Arial"/>
          <w:sz w:val="20"/>
          <w:szCs w:val="20"/>
        </w:rPr>
      </w:pPr>
    </w:p>
    <w:p w14:paraId="14BD71DE" w14:textId="42C5FD2F" w:rsidR="00013FDB" w:rsidRDefault="00013FDB" w:rsidP="003C1847">
      <w:pPr>
        <w:pStyle w:val="Prrafodelista"/>
        <w:ind w:left="0"/>
        <w:jc w:val="both"/>
        <w:rPr>
          <w:rFonts w:ascii="Arial" w:eastAsia="Calibri" w:hAnsi="Arial" w:cs="Arial"/>
          <w:sz w:val="20"/>
          <w:szCs w:val="20"/>
        </w:rPr>
      </w:pPr>
    </w:p>
    <w:p w14:paraId="408EBC01" w14:textId="3ECF5A97" w:rsidR="00013FDB" w:rsidRDefault="00013FDB" w:rsidP="003C1847">
      <w:pPr>
        <w:pStyle w:val="Prrafodelista"/>
        <w:ind w:left="0"/>
        <w:jc w:val="both"/>
        <w:rPr>
          <w:rFonts w:ascii="Arial" w:eastAsia="Calibri" w:hAnsi="Arial" w:cs="Arial"/>
          <w:sz w:val="20"/>
          <w:szCs w:val="20"/>
        </w:rPr>
      </w:pPr>
    </w:p>
    <w:p w14:paraId="33D31FBC" w14:textId="457530B6" w:rsidR="00013FDB" w:rsidRDefault="00013FDB" w:rsidP="003C1847">
      <w:pPr>
        <w:pStyle w:val="Prrafodelista"/>
        <w:ind w:left="0"/>
        <w:jc w:val="both"/>
        <w:rPr>
          <w:rFonts w:ascii="Arial" w:eastAsia="Calibri" w:hAnsi="Arial" w:cs="Arial"/>
          <w:sz w:val="20"/>
          <w:szCs w:val="20"/>
        </w:rPr>
      </w:pPr>
    </w:p>
    <w:p w14:paraId="3BDA7F8C" w14:textId="485BF7FF" w:rsidR="00013FDB" w:rsidRDefault="00013FDB" w:rsidP="003C1847">
      <w:pPr>
        <w:pStyle w:val="Prrafodelista"/>
        <w:ind w:left="0"/>
        <w:jc w:val="both"/>
        <w:rPr>
          <w:rFonts w:ascii="Arial" w:eastAsia="Calibri" w:hAnsi="Arial" w:cs="Arial"/>
          <w:sz w:val="20"/>
          <w:szCs w:val="20"/>
        </w:rPr>
      </w:pPr>
    </w:p>
    <w:p w14:paraId="0B45DF2F" w14:textId="128FD6FC" w:rsidR="00013FDB" w:rsidRDefault="00013FDB" w:rsidP="003C1847">
      <w:pPr>
        <w:pStyle w:val="Prrafodelista"/>
        <w:ind w:left="0"/>
        <w:jc w:val="both"/>
        <w:rPr>
          <w:rFonts w:ascii="Arial" w:eastAsia="Calibri" w:hAnsi="Arial" w:cs="Arial"/>
          <w:sz w:val="20"/>
          <w:szCs w:val="20"/>
        </w:rPr>
      </w:pPr>
    </w:p>
    <w:p w14:paraId="33372AE9" w14:textId="6675EA4F" w:rsidR="00013FDB" w:rsidRDefault="00013FDB" w:rsidP="003C1847">
      <w:pPr>
        <w:pStyle w:val="Prrafodelista"/>
        <w:ind w:left="0"/>
        <w:jc w:val="both"/>
        <w:rPr>
          <w:rFonts w:ascii="Arial" w:eastAsia="Calibri" w:hAnsi="Arial" w:cs="Arial"/>
          <w:sz w:val="20"/>
          <w:szCs w:val="20"/>
        </w:rPr>
      </w:pPr>
    </w:p>
    <w:p w14:paraId="54AAC558" w14:textId="3661A958" w:rsidR="00013FDB" w:rsidRDefault="00013FDB" w:rsidP="003C1847">
      <w:pPr>
        <w:pStyle w:val="Prrafodelista"/>
        <w:ind w:left="0"/>
        <w:jc w:val="both"/>
        <w:rPr>
          <w:rFonts w:ascii="Arial" w:eastAsia="Calibri" w:hAnsi="Arial" w:cs="Arial"/>
          <w:sz w:val="20"/>
          <w:szCs w:val="20"/>
        </w:rPr>
      </w:pPr>
    </w:p>
    <w:p w14:paraId="5BAA6FC8" w14:textId="348F2B31" w:rsidR="00013FDB" w:rsidRDefault="00013FDB" w:rsidP="003C1847">
      <w:pPr>
        <w:pStyle w:val="Prrafodelista"/>
        <w:ind w:left="0"/>
        <w:jc w:val="both"/>
        <w:rPr>
          <w:rFonts w:ascii="Arial" w:eastAsia="Calibri" w:hAnsi="Arial" w:cs="Arial"/>
          <w:sz w:val="20"/>
          <w:szCs w:val="20"/>
        </w:rPr>
      </w:pPr>
    </w:p>
    <w:p w14:paraId="7378C0FA" w14:textId="7A903047" w:rsidR="00013FDB" w:rsidRDefault="00013FDB" w:rsidP="003C1847">
      <w:pPr>
        <w:pStyle w:val="Prrafodelista"/>
        <w:ind w:left="0"/>
        <w:jc w:val="both"/>
        <w:rPr>
          <w:rFonts w:ascii="Arial" w:eastAsia="Calibri" w:hAnsi="Arial" w:cs="Arial"/>
          <w:sz w:val="20"/>
          <w:szCs w:val="20"/>
        </w:rPr>
      </w:pPr>
    </w:p>
    <w:p w14:paraId="09F130E7" w14:textId="77777777" w:rsidR="00030584" w:rsidRDefault="00030584" w:rsidP="005A79FE">
      <w:pPr>
        <w:rPr>
          <w:rFonts w:ascii="Arial" w:eastAsia="Calibri" w:hAnsi="Arial" w:cs="Arial"/>
          <w:sz w:val="22"/>
        </w:rPr>
      </w:pPr>
    </w:p>
    <w:p w14:paraId="134A5190" w14:textId="31438C12" w:rsidR="00E93F1B" w:rsidRDefault="00735AAC" w:rsidP="005A79FE">
      <w:pPr>
        <w:rPr>
          <w:rFonts w:ascii="Arial" w:eastAsia="Calibri" w:hAnsi="Arial" w:cs="Arial"/>
          <w:sz w:val="22"/>
        </w:rPr>
      </w:pPr>
      <w:r>
        <w:rPr>
          <w:rFonts w:ascii="Arial" w:eastAsia="Calibri" w:hAnsi="Arial" w:cs="Arial"/>
          <w:sz w:val="22"/>
        </w:rPr>
        <w:lastRenderedPageBreak/>
        <w:t>Bogotá D.C</w:t>
      </w:r>
      <w:r w:rsidR="007950F3">
        <w:rPr>
          <w:rFonts w:ascii="Arial" w:eastAsia="Calibri" w:hAnsi="Arial" w:cs="Arial"/>
          <w:sz w:val="22"/>
        </w:rPr>
        <w:t>,</w:t>
      </w:r>
      <w:r w:rsidR="009422DD">
        <w:rPr>
          <w:rFonts w:ascii="Arial" w:eastAsia="Calibri" w:hAnsi="Arial" w:cs="Arial"/>
          <w:sz w:val="22"/>
        </w:rPr>
        <w:t xml:space="preserve"> </w:t>
      </w:r>
      <w:r w:rsidR="009422DD">
        <w:rPr>
          <w:rFonts w:ascii="@”ËŒ˛" w:hAnsi="@”ËŒ˛" w:cs="@”ËŒ˛"/>
          <w:color w:val="4E4D4D"/>
          <w:sz w:val="22"/>
          <w:lang w:val="es-ES_tradnl"/>
        </w:rPr>
        <w:t xml:space="preserve">02 Junio 2021                 </w:t>
      </w:r>
      <w:r w:rsidR="009422DD">
        <w:rPr>
          <w:rFonts w:ascii="Arial" w:hAnsi="Arial" w:cs="Arial"/>
          <w:color w:val="000000" w:themeColor="text1"/>
          <w:sz w:val="22"/>
        </w:rPr>
        <w:t xml:space="preserve">                                          </w:t>
      </w:r>
      <w:r w:rsidR="009422DD" w:rsidRPr="009422DD">
        <w:rPr>
          <w:rFonts w:ascii="Arial" w:eastAsia="Calibri" w:hAnsi="Arial" w:cs="Arial"/>
          <w:sz w:val="22"/>
        </w:rPr>
        <w:drawing>
          <wp:inline distT="0" distB="0" distL="0" distR="0" wp14:anchorId="07616B01" wp14:editId="6CA8F641">
            <wp:extent cx="1791335" cy="517237"/>
            <wp:effectExtent l="0" t="0" r="0" b="381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2"/>
                    <a:stretch>
                      <a:fillRect/>
                    </a:stretch>
                  </pic:blipFill>
                  <pic:spPr>
                    <a:xfrm>
                      <a:off x="0" y="0"/>
                      <a:ext cx="1803607" cy="520780"/>
                    </a:xfrm>
                    <a:prstGeom prst="rect">
                      <a:avLst/>
                    </a:prstGeom>
                  </pic:spPr>
                </pic:pic>
              </a:graphicData>
            </a:graphic>
          </wp:inline>
        </w:drawing>
      </w:r>
      <w:r w:rsidR="009422DD">
        <w:rPr>
          <w:rFonts w:ascii="Arial" w:hAnsi="Arial" w:cs="Arial"/>
          <w:color w:val="000000" w:themeColor="text1"/>
          <w:sz w:val="22"/>
        </w:rPr>
        <w:t xml:space="preserve">                                           </w:t>
      </w:r>
      <w:r w:rsidR="009422DD">
        <w:rPr>
          <w:rFonts w:ascii="Arial" w:eastAsia="Calibri" w:hAnsi="Arial" w:cs="Arial"/>
          <w:sz w:val="22"/>
        </w:rPr>
        <w:t xml:space="preserve">                                          </w:t>
      </w:r>
    </w:p>
    <w:p w14:paraId="000492E9" w14:textId="3702EA17" w:rsidR="00E93F1B" w:rsidRDefault="00E93F1B" w:rsidP="005A79FE">
      <w:pPr>
        <w:rPr>
          <w:rFonts w:ascii="Arial" w:eastAsia="Calibri" w:hAnsi="Arial" w:cs="Arial"/>
          <w:sz w:val="22"/>
        </w:rPr>
      </w:pPr>
    </w:p>
    <w:p w14:paraId="05DB33D3" w14:textId="083C429F" w:rsidR="00030584" w:rsidRDefault="00030584" w:rsidP="005A79FE">
      <w:pPr>
        <w:rPr>
          <w:rFonts w:ascii="Arial" w:eastAsia="Calibri" w:hAnsi="Arial" w:cs="Arial"/>
          <w:sz w:val="22"/>
        </w:rPr>
      </w:pPr>
    </w:p>
    <w:p w14:paraId="0AD48B35" w14:textId="77777777" w:rsidR="00030584" w:rsidRDefault="00030584" w:rsidP="005A79FE">
      <w:pPr>
        <w:rPr>
          <w:rFonts w:ascii="Arial" w:eastAsia="Calibri" w:hAnsi="Arial" w:cs="Arial"/>
          <w:sz w:val="22"/>
        </w:rPr>
      </w:pPr>
    </w:p>
    <w:p w14:paraId="2097EFDF" w14:textId="2527B983" w:rsidR="005A79FE" w:rsidRPr="004930D7" w:rsidRDefault="005A79FE" w:rsidP="005A79FE">
      <w:pPr>
        <w:rPr>
          <w:rFonts w:ascii="Arial" w:eastAsia="Calibri" w:hAnsi="Arial" w:cs="Arial"/>
          <w:sz w:val="22"/>
        </w:rPr>
      </w:pPr>
      <w:bookmarkStart w:id="0" w:name="_Hlk66882241"/>
      <w:r w:rsidRPr="004930D7">
        <w:rPr>
          <w:rFonts w:ascii="Arial" w:eastAsia="Calibri" w:hAnsi="Arial" w:cs="Arial"/>
          <w:sz w:val="22"/>
        </w:rPr>
        <w:t>Señor</w:t>
      </w:r>
    </w:p>
    <w:p w14:paraId="0B266ABF" w14:textId="7A1EB351" w:rsidR="00E62DE4" w:rsidRPr="004930D7" w:rsidRDefault="000E71DE" w:rsidP="005A79FE">
      <w:pPr>
        <w:rPr>
          <w:rFonts w:ascii="Arial" w:eastAsia="Calibri" w:hAnsi="Arial" w:cs="Arial"/>
          <w:b/>
          <w:sz w:val="22"/>
          <w:lang w:val="es-ES"/>
        </w:rPr>
      </w:pPr>
      <w:proofErr w:type="spellStart"/>
      <w:r>
        <w:rPr>
          <w:rFonts w:ascii="Arial" w:eastAsia="Calibri" w:hAnsi="Arial" w:cs="Arial"/>
          <w:b/>
          <w:sz w:val="22"/>
          <w:lang w:val="es-ES"/>
        </w:rPr>
        <w:t>Jhon</w:t>
      </w:r>
      <w:proofErr w:type="spellEnd"/>
      <w:r>
        <w:rPr>
          <w:rFonts w:ascii="Arial" w:eastAsia="Calibri" w:hAnsi="Arial" w:cs="Arial"/>
          <w:b/>
          <w:sz w:val="22"/>
          <w:lang w:val="es-ES"/>
        </w:rPr>
        <w:t xml:space="preserve"> Steven Patiño Ávila</w:t>
      </w:r>
    </w:p>
    <w:p w14:paraId="2111D15F" w14:textId="58105D45" w:rsidR="00937E03" w:rsidRPr="004930D7" w:rsidRDefault="000E71DE" w:rsidP="00937E03">
      <w:pPr>
        <w:rPr>
          <w:rFonts w:ascii="Arial" w:eastAsia="Calibri" w:hAnsi="Arial" w:cs="Arial"/>
          <w:sz w:val="22"/>
        </w:rPr>
      </w:pPr>
      <w:r>
        <w:rPr>
          <w:rFonts w:ascii="Arial" w:eastAsia="Calibri" w:hAnsi="Arial" w:cs="Arial"/>
          <w:sz w:val="22"/>
        </w:rPr>
        <w:t>Cúcuta</w:t>
      </w:r>
      <w:r w:rsidR="00F86A36">
        <w:rPr>
          <w:rFonts w:ascii="Arial" w:eastAsia="Calibri" w:hAnsi="Arial" w:cs="Arial"/>
          <w:sz w:val="22"/>
        </w:rPr>
        <w:t>, Norte de Santander</w:t>
      </w:r>
      <w:r w:rsidR="00937E03" w:rsidRPr="004930D7">
        <w:rPr>
          <w:rFonts w:ascii="Arial" w:eastAsia="Calibri" w:hAnsi="Arial" w:cs="Arial"/>
          <w:sz w:val="22"/>
        </w:rPr>
        <w:t xml:space="preserve">                                            </w:t>
      </w:r>
    </w:p>
    <w:p w14:paraId="056891EA" w14:textId="77777777" w:rsidR="00937E03" w:rsidRPr="004930D7" w:rsidRDefault="00937E03">
      <w:pPr>
        <w:rPr>
          <w:rFonts w:ascii="Arial" w:eastAsia="Calibri" w:hAnsi="Arial" w:cs="Arial"/>
          <w:sz w:val="22"/>
        </w:rPr>
      </w:pPr>
    </w:p>
    <w:p w14:paraId="04EF5647" w14:textId="202CE465" w:rsidR="005A79FE" w:rsidRPr="004930D7" w:rsidRDefault="00937E03" w:rsidP="001E053F">
      <w:pPr>
        <w:rPr>
          <w:rFonts w:ascii="Arial" w:eastAsia="Calibri" w:hAnsi="Arial" w:cs="Arial"/>
          <w:b/>
          <w:sz w:val="22"/>
        </w:rPr>
      </w:pPr>
      <w:r w:rsidRPr="004930D7">
        <w:rPr>
          <w:rFonts w:ascii="Arial" w:eastAsia="Calibri" w:hAnsi="Arial" w:cs="Arial"/>
          <w:b/>
          <w:sz w:val="22"/>
        </w:rPr>
        <w:t xml:space="preserve">                                            </w:t>
      </w:r>
      <w:r w:rsidR="005A79FE" w:rsidRPr="004930D7">
        <w:rPr>
          <w:rFonts w:ascii="Arial" w:eastAsia="Calibri" w:hAnsi="Arial" w:cs="Arial"/>
          <w:b/>
          <w:sz w:val="22"/>
        </w:rPr>
        <w:t xml:space="preserve">Concepto C </w:t>
      </w:r>
      <w:r w:rsidRPr="004930D7">
        <w:rPr>
          <w:rFonts w:ascii="Arial" w:eastAsia="Calibri" w:hAnsi="Arial" w:cs="Arial"/>
          <w:b/>
          <w:sz w:val="22"/>
        </w:rPr>
        <w:t>–</w:t>
      </w:r>
      <w:r w:rsidR="005A79FE" w:rsidRPr="004930D7">
        <w:rPr>
          <w:rFonts w:ascii="Arial" w:eastAsia="Calibri" w:hAnsi="Arial" w:cs="Arial"/>
          <w:b/>
          <w:sz w:val="22"/>
        </w:rPr>
        <w:t xml:space="preserve"> </w:t>
      </w:r>
      <w:r w:rsidR="000E71DE">
        <w:rPr>
          <w:rFonts w:ascii="Arial" w:eastAsia="Calibri" w:hAnsi="Arial" w:cs="Arial"/>
          <w:b/>
          <w:sz w:val="22"/>
        </w:rPr>
        <w:t>267</w:t>
      </w:r>
      <w:r w:rsidR="005A79FE" w:rsidRPr="004930D7">
        <w:rPr>
          <w:rFonts w:ascii="Arial" w:eastAsia="Calibri" w:hAnsi="Arial" w:cs="Arial"/>
          <w:b/>
          <w:sz w:val="22"/>
        </w:rPr>
        <w:t xml:space="preserve"> de 20</w:t>
      </w:r>
      <w:r w:rsidR="006F4104">
        <w:rPr>
          <w:rFonts w:ascii="Arial" w:eastAsia="Calibri" w:hAnsi="Arial" w:cs="Arial"/>
          <w:b/>
          <w:sz w:val="22"/>
        </w:rPr>
        <w:t>21</w:t>
      </w:r>
    </w:p>
    <w:p w14:paraId="6CCD98F0" w14:textId="77777777" w:rsidR="005A79FE" w:rsidRPr="004930D7"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4A28" w:rsidRPr="004930D7" w14:paraId="21699201" w14:textId="77777777" w:rsidTr="00897943">
        <w:tc>
          <w:tcPr>
            <w:tcW w:w="2689" w:type="dxa"/>
            <w:hideMark/>
          </w:tcPr>
          <w:p w14:paraId="26712367" w14:textId="77777777" w:rsidR="005A79FE" w:rsidRPr="004930D7" w:rsidRDefault="005A79FE" w:rsidP="00897943">
            <w:pPr>
              <w:rPr>
                <w:rFonts w:ascii="Arial" w:eastAsia="Calibri" w:hAnsi="Arial" w:cs="Arial"/>
                <w:sz w:val="22"/>
              </w:rPr>
            </w:pPr>
            <w:r w:rsidRPr="004930D7">
              <w:rPr>
                <w:rFonts w:ascii="Arial" w:eastAsia="Calibri" w:hAnsi="Arial" w:cs="Arial"/>
                <w:b/>
                <w:sz w:val="22"/>
              </w:rPr>
              <w:t>Temas:</w:t>
            </w:r>
            <w:r w:rsidRPr="004930D7">
              <w:rPr>
                <w:rFonts w:ascii="Arial" w:eastAsia="Calibri" w:hAnsi="Arial" w:cs="Arial"/>
                <w:sz w:val="22"/>
              </w:rPr>
              <w:t xml:space="preserve">           </w:t>
            </w:r>
          </w:p>
          <w:p w14:paraId="5D67F5C4" w14:textId="77777777" w:rsidR="005A79FE" w:rsidRPr="004930D7" w:rsidRDefault="005A79FE" w:rsidP="00897943">
            <w:pPr>
              <w:rPr>
                <w:rFonts w:ascii="Arial" w:eastAsia="Calibri" w:hAnsi="Arial" w:cs="Arial"/>
                <w:sz w:val="22"/>
              </w:rPr>
            </w:pPr>
            <w:r w:rsidRPr="004930D7">
              <w:rPr>
                <w:rFonts w:ascii="Arial" w:eastAsia="Calibri" w:hAnsi="Arial" w:cs="Arial"/>
                <w:sz w:val="22"/>
              </w:rPr>
              <w:t xml:space="preserve">                           </w:t>
            </w:r>
          </w:p>
        </w:tc>
        <w:tc>
          <w:tcPr>
            <w:tcW w:w="6237" w:type="dxa"/>
            <w:hideMark/>
          </w:tcPr>
          <w:p w14:paraId="784C47C0" w14:textId="1C5299BF" w:rsidR="005A79FE" w:rsidRPr="00C55288" w:rsidRDefault="00C55288" w:rsidP="00C55288">
            <w:pPr>
              <w:jc w:val="both"/>
              <w:rPr>
                <w:rFonts w:ascii="Arial" w:eastAsia="Calibri" w:hAnsi="Arial" w:cs="Arial"/>
                <w:bCs/>
                <w:sz w:val="22"/>
              </w:rPr>
            </w:pPr>
            <w:r w:rsidRPr="00C55288">
              <w:rPr>
                <w:rFonts w:ascii="Arial" w:hAnsi="Arial" w:cs="Arial"/>
                <w:bCs/>
                <w:sz w:val="22"/>
                <w:lang w:val="es-ES_tradnl"/>
              </w:rPr>
              <w:t>DOCUMENTOS TIPO – Fundamento normativo – Ley 2022 de 2020</w:t>
            </w:r>
            <w:r w:rsidRPr="00C55288">
              <w:rPr>
                <w:rFonts w:ascii="Arial" w:hAnsi="Arial" w:cs="Arial"/>
                <w:bCs/>
                <w:sz w:val="22"/>
                <w:lang w:val="es-ES_tradnl"/>
              </w:rPr>
              <w:t xml:space="preserve"> / </w:t>
            </w:r>
            <w:r w:rsidRPr="00C55288">
              <w:rPr>
                <w:rFonts w:ascii="Arial" w:eastAsia="Calibri" w:hAnsi="Arial" w:cs="Arial"/>
                <w:bCs/>
                <w:sz w:val="22"/>
              </w:rPr>
              <w:t xml:space="preserve">MATRIZ 1 - EXPERIENCIA – Infraestructura de transporte </w:t>
            </w:r>
            <w:r w:rsidRPr="00C55288">
              <w:rPr>
                <w:rFonts w:ascii="Arial" w:eastAsia="Arial" w:hAnsi="Arial" w:cs="Arial"/>
                <w:bCs/>
                <w:sz w:val="22"/>
              </w:rPr>
              <w:t xml:space="preserve">– </w:t>
            </w:r>
            <w:r w:rsidRPr="00C55288">
              <w:rPr>
                <w:rFonts w:ascii="Arial" w:eastAsia="Calibri" w:hAnsi="Arial" w:cs="Arial"/>
                <w:bCs/>
                <w:sz w:val="22"/>
              </w:rPr>
              <w:t>Contenido y función</w:t>
            </w:r>
            <w:r w:rsidR="008A71D7" w:rsidRPr="00C55288">
              <w:rPr>
                <w:rFonts w:ascii="Arial" w:hAnsi="Arial" w:cs="Arial"/>
                <w:bCs/>
                <w:sz w:val="22"/>
                <w:lang w:val="es-CO"/>
              </w:rPr>
              <w:t xml:space="preserve"> / </w:t>
            </w:r>
            <w:r w:rsidRPr="00C55288">
              <w:rPr>
                <w:rFonts w:ascii="Arial" w:eastAsia="Calibri" w:hAnsi="Arial" w:cs="Arial"/>
                <w:bCs/>
                <w:sz w:val="22"/>
              </w:rPr>
              <w:t xml:space="preserve">OBRA PÚBLICA – Infraestructura de transporte </w:t>
            </w:r>
            <w:r w:rsidRPr="00C55288">
              <w:rPr>
                <w:rFonts w:ascii="Arial" w:eastAsia="Arial" w:hAnsi="Arial" w:cs="Arial"/>
                <w:bCs/>
                <w:sz w:val="22"/>
              </w:rPr>
              <w:t xml:space="preserve">– </w:t>
            </w:r>
            <w:r w:rsidRPr="00C55288">
              <w:rPr>
                <w:rFonts w:ascii="Arial" w:eastAsia="Calibri" w:hAnsi="Arial" w:cs="Arial"/>
                <w:bCs/>
                <w:sz w:val="22"/>
              </w:rPr>
              <w:t>Puentes peatonales</w:t>
            </w:r>
          </w:p>
        </w:tc>
      </w:tr>
      <w:tr w:rsidR="00A945C1" w:rsidRPr="004930D7" w14:paraId="7C0A7D18" w14:textId="77777777" w:rsidTr="00897943">
        <w:tc>
          <w:tcPr>
            <w:tcW w:w="2689" w:type="dxa"/>
          </w:tcPr>
          <w:p w14:paraId="6A12F093" w14:textId="77777777" w:rsidR="005A79FE" w:rsidRPr="004930D7" w:rsidRDefault="005A79FE" w:rsidP="00897943">
            <w:pPr>
              <w:rPr>
                <w:rFonts w:ascii="Arial" w:eastAsia="Calibri" w:hAnsi="Arial" w:cs="Arial"/>
                <w:b/>
                <w:sz w:val="22"/>
              </w:rPr>
            </w:pPr>
            <w:r w:rsidRPr="004930D7">
              <w:rPr>
                <w:rFonts w:ascii="Arial" w:eastAsia="Calibri" w:hAnsi="Arial" w:cs="Arial"/>
                <w:b/>
                <w:sz w:val="22"/>
              </w:rPr>
              <w:t>Radicación:</w:t>
            </w:r>
            <w:r w:rsidRPr="004930D7">
              <w:rPr>
                <w:rFonts w:ascii="Arial" w:eastAsia="Calibri" w:hAnsi="Arial" w:cs="Arial"/>
                <w:sz w:val="22"/>
              </w:rPr>
              <w:t xml:space="preserve">                              </w:t>
            </w:r>
          </w:p>
        </w:tc>
        <w:tc>
          <w:tcPr>
            <w:tcW w:w="6237" w:type="dxa"/>
          </w:tcPr>
          <w:p w14:paraId="73A42ACA" w14:textId="2966B50B" w:rsidR="005A79FE" w:rsidRPr="004930D7" w:rsidRDefault="005A79FE" w:rsidP="00897943">
            <w:pPr>
              <w:jc w:val="both"/>
              <w:rPr>
                <w:rFonts w:ascii="Arial" w:eastAsia="Calibri" w:hAnsi="Arial" w:cs="Arial"/>
                <w:sz w:val="22"/>
              </w:rPr>
            </w:pPr>
            <w:r w:rsidRPr="004930D7">
              <w:rPr>
                <w:rFonts w:ascii="Arial" w:eastAsia="Calibri" w:hAnsi="Arial" w:cs="Arial"/>
                <w:sz w:val="22"/>
              </w:rPr>
              <w:t xml:space="preserve">Respuesta a consulta # </w:t>
            </w:r>
            <w:r w:rsidR="00584F4E" w:rsidRPr="00584F4E">
              <w:rPr>
                <w:rFonts w:ascii="Arial" w:eastAsia="Calibri" w:hAnsi="Arial" w:cs="Arial"/>
                <w:sz w:val="22"/>
              </w:rPr>
              <w:t>P20210423003409</w:t>
            </w:r>
          </w:p>
        </w:tc>
      </w:tr>
    </w:tbl>
    <w:p w14:paraId="396DE958" w14:textId="77777777" w:rsidR="005A79FE" w:rsidRPr="004930D7" w:rsidRDefault="005A79FE" w:rsidP="005A79FE">
      <w:pPr>
        <w:jc w:val="both"/>
        <w:rPr>
          <w:rFonts w:ascii="Arial" w:eastAsia="Calibri" w:hAnsi="Arial" w:cs="Arial"/>
          <w:sz w:val="22"/>
        </w:rPr>
      </w:pPr>
    </w:p>
    <w:p w14:paraId="489DB6E6" w14:textId="77777777" w:rsidR="005A79FE" w:rsidRPr="004930D7" w:rsidRDefault="005A79FE" w:rsidP="005A79FE">
      <w:pPr>
        <w:rPr>
          <w:rFonts w:ascii="Arial" w:eastAsia="Calibri" w:hAnsi="Arial" w:cs="Arial"/>
          <w:sz w:val="22"/>
        </w:rPr>
      </w:pPr>
    </w:p>
    <w:p w14:paraId="657E7EE7" w14:textId="18713708" w:rsidR="005A79FE" w:rsidRPr="004930D7" w:rsidRDefault="005A79FE" w:rsidP="005A79FE">
      <w:pPr>
        <w:rPr>
          <w:rFonts w:ascii="Arial" w:eastAsia="Calibri" w:hAnsi="Arial" w:cs="Arial"/>
          <w:sz w:val="22"/>
        </w:rPr>
      </w:pPr>
      <w:r w:rsidRPr="004930D7">
        <w:rPr>
          <w:rFonts w:ascii="Arial" w:eastAsia="Calibri" w:hAnsi="Arial" w:cs="Arial"/>
          <w:sz w:val="22"/>
        </w:rPr>
        <w:t>Estimado seño</w:t>
      </w:r>
      <w:r w:rsidR="00E62DE4" w:rsidRPr="004930D7">
        <w:rPr>
          <w:rFonts w:ascii="Arial" w:eastAsia="Calibri" w:hAnsi="Arial" w:cs="Arial"/>
          <w:sz w:val="22"/>
        </w:rPr>
        <w:t>r</w:t>
      </w:r>
      <w:r w:rsidR="003A0566" w:rsidRPr="004930D7">
        <w:rPr>
          <w:rFonts w:ascii="Arial" w:eastAsia="Calibri" w:hAnsi="Arial" w:cs="Arial"/>
          <w:sz w:val="22"/>
        </w:rPr>
        <w:t xml:space="preserve"> </w:t>
      </w:r>
      <w:r w:rsidR="00AA2832">
        <w:rPr>
          <w:rFonts w:ascii="Arial" w:eastAsia="Calibri" w:hAnsi="Arial" w:cs="Arial"/>
          <w:sz w:val="22"/>
        </w:rPr>
        <w:t>Patiño</w:t>
      </w:r>
      <w:r w:rsidRPr="004930D7">
        <w:rPr>
          <w:rFonts w:ascii="Arial" w:eastAsia="Calibri" w:hAnsi="Arial" w:cs="Arial"/>
          <w:sz w:val="22"/>
        </w:rPr>
        <w:t>,</w:t>
      </w:r>
    </w:p>
    <w:p w14:paraId="40D74C98" w14:textId="77777777" w:rsidR="005A79FE" w:rsidRPr="004930D7" w:rsidRDefault="005A79FE" w:rsidP="005A79FE">
      <w:pPr>
        <w:rPr>
          <w:rFonts w:ascii="Arial" w:eastAsia="Calibri" w:hAnsi="Arial" w:cs="Arial"/>
          <w:sz w:val="22"/>
        </w:rPr>
      </w:pPr>
    </w:p>
    <w:p w14:paraId="1412627B" w14:textId="2F67C804" w:rsidR="001D20CD" w:rsidRPr="004930D7" w:rsidRDefault="001D20CD" w:rsidP="009A69E3">
      <w:pPr>
        <w:spacing w:line="276" w:lineRule="auto"/>
        <w:jc w:val="both"/>
        <w:rPr>
          <w:rFonts w:ascii="Arial" w:eastAsia="Calibri" w:hAnsi="Arial" w:cs="Arial"/>
          <w:sz w:val="22"/>
        </w:rPr>
      </w:pPr>
      <w:r w:rsidRPr="004930D7">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0E71DE">
        <w:rPr>
          <w:rFonts w:ascii="Arial" w:eastAsia="Calibri" w:hAnsi="Arial" w:cs="Arial"/>
          <w:sz w:val="22"/>
        </w:rPr>
        <w:t>2</w:t>
      </w:r>
      <w:r w:rsidR="00CA70D1">
        <w:rPr>
          <w:rFonts w:ascii="Arial" w:eastAsia="Calibri" w:hAnsi="Arial" w:cs="Arial"/>
          <w:sz w:val="22"/>
        </w:rPr>
        <w:t>3</w:t>
      </w:r>
      <w:r w:rsidRPr="004930D7">
        <w:rPr>
          <w:rFonts w:ascii="Arial" w:eastAsia="Calibri" w:hAnsi="Arial" w:cs="Arial"/>
          <w:sz w:val="22"/>
        </w:rPr>
        <w:t xml:space="preserve"> de </w:t>
      </w:r>
      <w:r w:rsidR="000E71DE">
        <w:rPr>
          <w:rFonts w:ascii="Arial" w:eastAsia="Calibri" w:hAnsi="Arial" w:cs="Arial"/>
          <w:sz w:val="22"/>
        </w:rPr>
        <w:t>abril</w:t>
      </w:r>
      <w:r w:rsidRPr="004930D7">
        <w:rPr>
          <w:rFonts w:ascii="Arial" w:eastAsia="Calibri" w:hAnsi="Arial" w:cs="Arial"/>
          <w:sz w:val="22"/>
        </w:rPr>
        <w:t xml:space="preserve"> del 202</w:t>
      </w:r>
      <w:r w:rsidR="003A0566" w:rsidRPr="004930D7">
        <w:rPr>
          <w:rFonts w:ascii="Arial" w:eastAsia="Calibri" w:hAnsi="Arial" w:cs="Arial"/>
          <w:sz w:val="22"/>
        </w:rPr>
        <w:t>1</w:t>
      </w:r>
      <w:r w:rsidRPr="004930D7">
        <w:rPr>
          <w:rFonts w:ascii="Arial" w:eastAsia="Calibri" w:hAnsi="Arial" w:cs="Arial"/>
          <w:sz w:val="22"/>
        </w:rPr>
        <w:t>.</w:t>
      </w:r>
    </w:p>
    <w:p w14:paraId="4FA02A8B" w14:textId="77777777" w:rsidR="005A79FE" w:rsidRPr="004930D7" w:rsidRDefault="005A79FE" w:rsidP="00584F4E">
      <w:pPr>
        <w:jc w:val="both"/>
        <w:rPr>
          <w:rFonts w:ascii="Arial" w:eastAsia="Calibri" w:hAnsi="Arial" w:cs="Arial"/>
          <w:sz w:val="22"/>
        </w:rPr>
      </w:pPr>
    </w:p>
    <w:p w14:paraId="17A88694" w14:textId="78B8F8D7" w:rsidR="00A945C1" w:rsidRPr="000E71DE" w:rsidRDefault="00A945C1" w:rsidP="009A69E3">
      <w:pPr>
        <w:pStyle w:val="Prrafodelista"/>
        <w:tabs>
          <w:tab w:val="left" w:pos="284"/>
        </w:tabs>
        <w:spacing w:line="276" w:lineRule="auto"/>
        <w:ind w:left="0"/>
        <w:jc w:val="both"/>
        <w:rPr>
          <w:rFonts w:ascii="Arial" w:eastAsia="Calibri" w:hAnsi="Arial" w:cs="Arial"/>
          <w:b/>
          <w:sz w:val="22"/>
        </w:rPr>
      </w:pPr>
      <w:bookmarkStart w:id="1" w:name="_Hlk29890381"/>
      <w:r w:rsidRPr="000E71DE">
        <w:rPr>
          <w:rFonts w:ascii="Arial" w:eastAsia="Calibri" w:hAnsi="Arial" w:cs="Arial"/>
          <w:b/>
          <w:sz w:val="22"/>
        </w:rPr>
        <w:t>1. Problema</w:t>
      </w:r>
      <w:r w:rsidR="003A0566" w:rsidRPr="000E71DE">
        <w:rPr>
          <w:rFonts w:ascii="Arial" w:eastAsia="Calibri" w:hAnsi="Arial" w:cs="Arial"/>
          <w:b/>
          <w:sz w:val="22"/>
        </w:rPr>
        <w:t>s</w:t>
      </w:r>
      <w:r w:rsidRPr="000E71DE">
        <w:rPr>
          <w:rFonts w:ascii="Arial" w:eastAsia="Calibri" w:hAnsi="Arial" w:cs="Arial"/>
          <w:b/>
          <w:sz w:val="22"/>
        </w:rPr>
        <w:t xml:space="preserve"> planteado</w:t>
      </w:r>
      <w:r w:rsidR="003A0566" w:rsidRPr="000E71DE">
        <w:rPr>
          <w:rFonts w:ascii="Arial" w:eastAsia="Calibri" w:hAnsi="Arial" w:cs="Arial"/>
          <w:b/>
          <w:sz w:val="22"/>
        </w:rPr>
        <w:t>s</w:t>
      </w:r>
    </w:p>
    <w:p w14:paraId="373F8D38" w14:textId="77777777" w:rsidR="00A945C1" w:rsidRPr="000E71DE" w:rsidRDefault="00A945C1" w:rsidP="00584F4E">
      <w:pPr>
        <w:tabs>
          <w:tab w:val="left" w:pos="426"/>
        </w:tabs>
        <w:jc w:val="both"/>
        <w:rPr>
          <w:rFonts w:ascii="Arial" w:eastAsia="Calibri" w:hAnsi="Arial" w:cs="Arial"/>
          <w:b/>
          <w:sz w:val="22"/>
        </w:rPr>
      </w:pPr>
    </w:p>
    <w:p w14:paraId="700CCC17" w14:textId="36C7E3CA" w:rsidR="000E71DE" w:rsidRPr="000E71DE" w:rsidRDefault="00A945C1" w:rsidP="000E71DE">
      <w:pPr>
        <w:tabs>
          <w:tab w:val="left" w:pos="426"/>
        </w:tabs>
        <w:spacing w:line="276" w:lineRule="auto"/>
        <w:jc w:val="both"/>
        <w:rPr>
          <w:rFonts w:ascii="Arial" w:eastAsia="Calibri" w:hAnsi="Arial" w:cs="Arial"/>
          <w:sz w:val="22"/>
        </w:rPr>
      </w:pPr>
      <w:r w:rsidRPr="000E71DE">
        <w:rPr>
          <w:rFonts w:ascii="Arial" w:eastAsia="Calibri" w:hAnsi="Arial" w:cs="Arial"/>
          <w:sz w:val="22"/>
        </w:rPr>
        <w:t xml:space="preserve">Usted </w:t>
      </w:r>
      <w:r w:rsidR="00765CEB">
        <w:rPr>
          <w:rFonts w:ascii="Arial" w:eastAsia="Calibri" w:hAnsi="Arial" w:cs="Arial"/>
          <w:sz w:val="22"/>
        </w:rPr>
        <w:t xml:space="preserve">realiza </w:t>
      </w:r>
      <w:r w:rsidR="000E71DE" w:rsidRPr="000E71DE">
        <w:rPr>
          <w:rFonts w:ascii="Arial" w:eastAsia="Calibri" w:hAnsi="Arial" w:cs="Arial"/>
          <w:sz w:val="22"/>
        </w:rPr>
        <w:t>la</w:t>
      </w:r>
      <w:r w:rsidRPr="000E71DE">
        <w:rPr>
          <w:rFonts w:ascii="Arial" w:eastAsia="Calibri" w:hAnsi="Arial" w:cs="Arial"/>
          <w:sz w:val="22"/>
        </w:rPr>
        <w:t xml:space="preserve"> siguiente pregunta: </w:t>
      </w:r>
      <w:r w:rsidR="000E71DE" w:rsidRPr="000E71DE">
        <w:rPr>
          <w:rFonts w:ascii="Arial" w:eastAsia="Calibri" w:hAnsi="Arial" w:cs="Arial"/>
          <w:sz w:val="22"/>
        </w:rPr>
        <w:t>«¿El proceso contractual que debe adelantarse para la con</w:t>
      </w:r>
      <w:r w:rsidR="009B40F7">
        <w:rPr>
          <w:rFonts w:ascii="Arial" w:eastAsia="Calibri" w:hAnsi="Arial" w:cs="Arial"/>
          <w:sz w:val="22"/>
        </w:rPr>
        <w:t>s</w:t>
      </w:r>
      <w:r w:rsidR="000E71DE" w:rsidRPr="000E71DE">
        <w:rPr>
          <w:rFonts w:ascii="Arial" w:eastAsia="Calibri" w:hAnsi="Arial" w:cs="Arial"/>
          <w:sz w:val="22"/>
        </w:rPr>
        <w:t>trucción de un puente peatonal debe adelantarse a través de pliegos tipo?</w:t>
      </w:r>
      <w:r w:rsidR="000E71DE" w:rsidRPr="000E71DE">
        <w:rPr>
          <w:rFonts w:ascii="Arial" w:eastAsia="Times New Roman" w:hAnsi="Arial" w:cs="Arial"/>
          <w:color w:val="000000"/>
          <w:sz w:val="22"/>
          <w:bdr w:val="none" w:sz="0" w:space="0" w:color="auto" w:frame="1"/>
          <w:lang w:eastAsia="es-CO"/>
        </w:rPr>
        <w:t>»</w:t>
      </w:r>
      <w:r w:rsidR="00F86A36">
        <w:rPr>
          <w:rFonts w:ascii="Arial" w:eastAsia="Times New Roman" w:hAnsi="Arial" w:cs="Arial"/>
          <w:color w:val="000000"/>
          <w:sz w:val="22"/>
          <w:bdr w:val="none" w:sz="0" w:space="0" w:color="auto" w:frame="1"/>
          <w:lang w:eastAsia="es-CO"/>
        </w:rPr>
        <w:t>.</w:t>
      </w:r>
    </w:p>
    <w:p w14:paraId="48883488" w14:textId="77777777" w:rsidR="00267368" w:rsidRPr="004930D7" w:rsidRDefault="00267368" w:rsidP="009A69E3">
      <w:pPr>
        <w:tabs>
          <w:tab w:val="left" w:pos="426"/>
        </w:tabs>
        <w:ind w:left="709" w:right="709"/>
        <w:jc w:val="both"/>
        <w:rPr>
          <w:rFonts w:ascii="Arial" w:eastAsia="Calibri" w:hAnsi="Arial" w:cs="Arial"/>
          <w:sz w:val="22"/>
        </w:rPr>
      </w:pPr>
    </w:p>
    <w:p w14:paraId="31610256" w14:textId="77777777" w:rsidR="00A945C1" w:rsidRPr="004930D7" w:rsidRDefault="00A945C1" w:rsidP="009A69E3">
      <w:pPr>
        <w:tabs>
          <w:tab w:val="left" w:pos="426"/>
        </w:tabs>
        <w:spacing w:line="276" w:lineRule="auto"/>
        <w:jc w:val="both"/>
        <w:rPr>
          <w:rFonts w:ascii="Arial" w:eastAsia="Calibri" w:hAnsi="Arial" w:cs="Arial"/>
          <w:b/>
          <w:sz w:val="22"/>
        </w:rPr>
      </w:pPr>
      <w:r w:rsidRPr="004930D7">
        <w:rPr>
          <w:rFonts w:ascii="Arial" w:eastAsia="Calibri" w:hAnsi="Arial" w:cs="Arial"/>
          <w:b/>
          <w:sz w:val="22"/>
        </w:rPr>
        <w:t>2. Consideraciones</w:t>
      </w:r>
    </w:p>
    <w:p w14:paraId="71A37B59" w14:textId="77777777" w:rsidR="00A945C1" w:rsidRPr="004930D7" w:rsidRDefault="00A945C1" w:rsidP="00584F4E">
      <w:pPr>
        <w:tabs>
          <w:tab w:val="left" w:pos="426"/>
        </w:tabs>
        <w:jc w:val="both"/>
        <w:rPr>
          <w:rFonts w:ascii="Arial" w:eastAsia="Calibri" w:hAnsi="Arial" w:cs="Arial"/>
          <w:b/>
          <w:sz w:val="22"/>
        </w:rPr>
      </w:pPr>
    </w:p>
    <w:p w14:paraId="2BF97536" w14:textId="4CF77B64" w:rsidR="005A6297" w:rsidRPr="00584F4E" w:rsidRDefault="005A6297" w:rsidP="00584F4E">
      <w:pPr>
        <w:spacing w:line="276" w:lineRule="auto"/>
        <w:jc w:val="both"/>
        <w:rPr>
          <w:rFonts w:ascii="Arial" w:eastAsia="Calibri" w:hAnsi="Arial" w:cs="Arial"/>
          <w:sz w:val="22"/>
        </w:rPr>
      </w:pPr>
      <w:r w:rsidRPr="00EF5300">
        <w:rPr>
          <w:rFonts w:ascii="Arial" w:hAnsi="Arial" w:cs="Arial"/>
          <w:sz w:val="22"/>
        </w:rPr>
        <w:t xml:space="preserve">La Agencia Nacional de Contratación Pública </w:t>
      </w:r>
      <w:r w:rsidRPr="00EF5300">
        <w:rPr>
          <w:rFonts w:ascii="Arial" w:eastAsia="Calibri" w:hAnsi="Arial" w:cs="Arial"/>
          <w:sz w:val="22"/>
        </w:rPr>
        <w:t>–</w:t>
      </w:r>
      <w:r w:rsidRPr="00EF5300">
        <w:rPr>
          <w:rFonts w:ascii="Arial" w:hAnsi="Arial" w:cs="Arial"/>
          <w:sz w:val="22"/>
        </w:rPr>
        <w:t xml:space="preserve"> Colombia Compra Eficiente </w:t>
      </w:r>
      <w:r w:rsidR="004A72F1" w:rsidRPr="00EF5300">
        <w:rPr>
          <w:rFonts w:ascii="Arial" w:eastAsia="Calibri" w:hAnsi="Arial" w:cs="Arial"/>
          <w:sz w:val="22"/>
        </w:rPr>
        <w:t>ha estudiado del</w:t>
      </w:r>
      <w:r w:rsidR="00333DA4" w:rsidRPr="00EF5300">
        <w:rPr>
          <w:rFonts w:ascii="Arial" w:hAnsi="Arial" w:cs="Arial"/>
          <w:sz w:val="22"/>
        </w:rPr>
        <w:t xml:space="preserve"> ámbito de aplicación de los </w:t>
      </w:r>
      <w:r w:rsidR="00333DA4" w:rsidRPr="00584F4E">
        <w:rPr>
          <w:rFonts w:ascii="Arial" w:hAnsi="Arial" w:cs="Arial"/>
          <w:sz w:val="22"/>
        </w:rPr>
        <w:t>d</w:t>
      </w:r>
      <w:r w:rsidR="00333DA4" w:rsidRPr="00EF5300">
        <w:rPr>
          <w:rFonts w:ascii="Arial" w:hAnsi="Arial" w:cs="Arial"/>
          <w:sz w:val="22"/>
        </w:rPr>
        <w:t xml:space="preserve">ocumentos </w:t>
      </w:r>
      <w:r w:rsidR="00333DA4" w:rsidRPr="00584F4E">
        <w:rPr>
          <w:rFonts w:ascii="Arial" w:hAnsi="Arial" w:cs="Arial"/>
          <w:sz w:val="22"/>
        </w:rPr>
        <w:t>t</w:t>
      </w:r>
      <w:r w:rsidR="00333DA4" w:rsidRPr="00EF5300">
        <w:rPr>
          <w:rFonts w:ascii="Arial" w:hAnsi="Arial" w:cs="Arial"/>
          <w:sz w:val="22"/>
        </w:rPr>
        <w:t>ipo</w:t>
      </w:r>
      <w:r w:rsidR="00333DA4" w:rsidRPr="00EF5300">
        <w:rPr>
          <w:rFonts w:ascii="Arial" w:eastAsia="Calibri" w:hAnsi="Arial" w:cs="Arial"/>
          <w:sz w:val="22"/>
        </w:rPr>
        <w:t xml:space="preserve"> en los </w:t>
      </w:r>
      <w:r w:rsidR="00333DA4" w:rsidRPr="00584F4E">
        <w:rPr>
          <w:rFonts w:ascii="Arial" w:eastAsia="Calibri" w:hAnsi="Arial" w:cs="Arial"/>
          <w:sz w:val="22"/>
        </w:rPr>
        <w:t>c</w:t>
      </w:r>
      <w:r w:rsidR="00333DA4" w:rsidRPr="00EF5300">
        <w:rPr>
          <w:rFonts w:ascii="Arial" w:eastAsia="Calibri" w:hAnsi="Arial" w:cs="Arial"/>
          <w:sz w:val="22"/>
        </w:rPr>
        <w:t xml:space="preserve">onceptos </w:t>
      </w:r>
      <w:r w:rsidR="00333DA4" w:rsidRPr="00EF5300">
        <w:rPr>
          <w:rFonts w:ascii="Arial" w:hAnsi="Arial" w:cs="Arial"/>
          <w:sz w:val="22"/>
        </w:rPr>
        <w:t>C-645 del 6 de noviembre de 2020, C-673 del 11 de noviembre de 2020, C-692 del 27 de noviembre de 2020,</w:t>
      </w:r>
      <w:r w:rsidR="00333DA4" w:rsidRPr="00584F4E">
        <w:rPr>
          <w:rFonts w:ascii="Arial" w:hAnsi="Arial" w:cs="Arial"/>
          <w:sz w:val="22"/>
        </w:rPr>
        <w:t xml:space="preserve"> C-778 del 18 de enero de 2021,</w:t>
      </w:r>
      <w:r w:rsidR="00A72EA2" w:rsidRPr="00584F4E">
        <w:rPr>
          <w:rFonts w:ascii="Arial" w:eastAsia="Calibri" w:hAnsi="Arial" w:cs="Arial"/>
          <w:sz w:val="22"/>
        </w:rPr>
        <w:t xml:space="preserve"> C-021 del 22 de febrero de 2021, C-091 del 23 de marzo de 2021, C-200 del 14 de mayo de 2021, C-231 del 24 de mayo de 2021,</w:t>
      </w:r>
      <w:r w:rsidR="00333DA4" w:rsidRPr="00EF5300">
        <w:rPr>
          <w:rFonts w:ascii="Arial" w:hAnsi="Arial" w:cs="Arial"/>
          <w:sz w:val="22"/>
        </w:rPr>
        <w:t xml:space="preserve"> entre otros</w:t>
      </w:r>
      <w:r w:rsidR="00802197" w:rsidRPr="00EF5300">
        <w:rPr>
          <w:rStyle w:val="Refdenotaalpie"/>
          <w:rFonts w:ascii="Arial" w:hAnsi="Arial" w:cs="Arial"/>
          <w:sz w:val="22"/>
        </w:rPr>
        <w:footnoteReference w:id="1"/>
      </w:r>
      <w:r w:rsidR="00333DA4" w:rsidRPr="00EF5300">
        <w:rPr>
          <w:rFonts w:ascii="Arial" w:eastAsia="Calibri" w:hAnsi="Arial" w:cs="Arial"/>
          <w:sz w:val="22"/>
        </w:rPr>
        <w:t xml:space="preserve">. </w:t>
      </w:r>
      <w:r w:rsidRPr="00EF5300">
        <w:rPr>
          <w:rFonts w:ascii="Arial" w:hAnsi="Arial" w:cs="Arial"/>
          <w:sz w:val="22"/>
        </w:rPr>
        <w:t>En lo pertinente, las tesis expuestas en los conceptos mencionados se reiteran a continuación.</w:t>
      </w:r>
    </w:p>
    <w:p w14:paraId="4311DC0A" w14:textId="77777777" w:rsidR="00F86A36" w:rsidRDefault="00F86A36" w:rsidP="007950F3">
      <w:pPr>
        <w:spacing w:line="276" w:lineRule="auto"/>
        <w:jc w:val="both"/>
        <w:rPr>
          <w:rFonts w:ascii="Arial" w:eastAsia="Arial" w:hAnsi="Arial" w:cs="Arial"/>
          <w:b/>
          <w:bCs/>
          <w:color w:val="000000"/>
          <w:sz w:val="22"/>
          <w:szCs w:val="24"/>
          <w:lang w:val="es-ES_tradnl" w:eastAsia="es-ES_tradnl"/>
        </w:rPr>
      </w:pPr>
    </w:p>
    <w:p w14:paraId="6ED9A165" w14:textId="4D457907" w:rsidR="007950F3" w:rsidRDefault="007950F3" w:rsidP="007950F3">
      <w:pPr>
        <w:spacing w:line="276" w:lineRule="auto"/>
        <w:jc w:val="both"/>
        <w:rPr>
          <w:rFonts w:ascii="Arial" w:eastAsia="Arial" w:hAnsi="Arial" w:cs="Arial"/>
          <w:b/>
          <w:bCs/>
          <w:color w:val="000000"/>
          <w:sz w:val="22"/>
          <w:szCs w:val="24"/>
          <w:lang w:val="es-ES_tradnl" w:eastAsia="es-ES_tradnl"/>
        </w:rPr>
      </w:pPr>
      <w:r w:rsidRPr="007950F3">
        <w:rPr>
          <w:rFonts w:ascii="Arial" w:eastAsia="Arial" w:hAnsi="Arial" w:cs="Arial"/>
          <w:b/>
          <w:bCs/>
          <w:color w:val="000000"/>
          <w:sz w:val="22"/>
          <w:szCs w:val="24"/>
          <w:lang w:val="es-ES_tradnl" w:eastAsia="es-ES_tradnl"/>
        </w:rPr>
        <w:t xml:space="preserve">2.1. Fundamento normativo de los documentos tipo adoptados </w:t>
      </w:r>
    </w:p>
    <w:p w14:paraId="6D446384" w14:textId="77777777" w:rsidR="00030584" w:rsidRPr="007950F3" w:rsidRDefault="00030584" w:rsidP="007950F3">
      <w:pPr>
        <w:spacing w:line="276" w:lineRule="auto"/>
        <w:jc w:val="both"/>
        <w:rPr>
          <w:rFonts w:ascii="Arial" w:eastAsia="Arial" w:hAnsi="Arial" w:cs="Arial"/>
          <w:b/>
          <w:bCs/>
          <w:color w:val="000000"/>
          <w:sz w:val="22"/>
          <w:szCs w:val="24"/>
          <w:lang w:val="es-ES_tradnl" w:eastAsia="es-ES_tradnl"/>
        </w:rPr>
      </w:pPr>
    </w:p>
    <w:p w14:paraId="714D52AF" w14:textId="77777777" w:rsidR="007950F3" w:rsidRPr="007950F3" w:rsidRDefault="007950F3" w:rsidP="007950F3">
      <w:pPr>
        <w:spacing w:after="120" w:line="276" w:lineRule="auto"/>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La adopción de los documentos tipo obligatorios en el ordenamiento jurídico colombiano se incluyó por primera vez en el parágrafo 3 del artículo 2 de la Ley 1150 de 2007</w:t>
      </w:r>
      <w:r w:rsidRPr="007950F3">
        <w:rPr>
          <w:rFonts w:ascii="Arial" w:eastAsia="Calibri" w:hAnsi="Arial" w:cs="Arial"/>
          <w:color w:val="000000"/>
          <w:sz w:val="22"/>
          <w:szCs w:val="24"/>
          <w:vertAlign w:val="superscript"/>
          <w:lang w:val="es-ES_tradnl" w:eastAsia="es-ES_tradnl"/>
        </w:rPr>
        <w:footnoteReference w:id="2"/>
      </w:r>
      <w:r w:rsidRPr="007950F3">
        <w:rPr>
          <w:rFonts w:ascii="Arial" w:eastAsia="Calibri" w:hAnsi="Arial" w:cs="Arial"/>
          <w:color w:val="000000"/>
          <w:sz w:val="22"/>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E69EA60" w14:textId="77777777" w:rsidR="007950F3" w:rsidRPr="007950F3" w:rsidRDefault="007950F3" w:rsidP="007950F3">
      <w:pPr>
        <w:spacing w:line="276" w:lineRule="auto"/>
        <w:ind w:firstLine="708"/>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005146CF" w14:textId="7D40E93E" w:rsidR="007950F3" w:rsidRPr="007950F3" w:rsidRDefault="007950F3" w:rsidP="007950F3">
      <w:pPr>
        <w:spacing w:before="120" w:after="120" w:line="276" w:lineRule="auto"/>
        <w:ind w:firstLine="708"/>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 xml:space="preserve">La Ley 1882 de 2018, en el artículo 4, establecía que el </w:t>
      </w:r>
      <w:r w:rsidR="00F86A36">
        <w:rPr>
          <w:rFonts w:ascii="Arial" w:eastAsia="Calibri" w:hAnsi="Arial" w:cs="Arial"/>
          <w:color w:val="000000"/>
          <w:sz w:val="22"/>
          <w:szCs w:val="24"/>
          <w:lang w:val="es-ES_tradnl" w:eastAsia="es-ES_tradnl"/>
        </w:rPr>
        <w:t>G</w:t>
      </w:r>
      <w:r w:rsidRPr="007950F3">
        <w:rPr>
          <w:rFonts w:ascii="Arial" w:eastAsia="Calibri" w:hAnsi="Arial" w:cs="Arial"/>
          <w:color w:val="000000"/>
          <w:sz w:val="22"/>
          <w:szCs w:val="24"/>
          <w:lang w:val="es-ES_tradnl" w:eastAsia="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7950F3">
        <w:rPr>
          <w:rFonts w:ascii="Arial" w:eastAsia="Calibri" w:hAnsi="Arial" w:cs="Arial"/>
          <w:color w:val="000000"/>
          <w:sz w:val="22"/>
          <w:szCs w:val="24"/>
          <w:vertAlign w:val="superscript"/>
          <w:lang w:val="es-ES_tradnl" w:eastAsia="es-ES_tradnl"/>
        </w:rPr>
        <w:footnoteReference w:id="3"/>
      </w:r>
      <w:r w:rsidRPr="007950F3">
        <w:rPr>
          <w:rFonts w:ascii="Arial" w:eastAsia="Calibri" w:hAnsi="Arial" w:cs="Arial"/>
          <w:color w:val="000000"/>
          <w:sz w:val="22"/>
          <w:szCs w:val="24"/>
          <w:lang w:val="es-ES_tradnl" w:eastAsia="es-ES_tradnl"/>
        </w:rPr>
        <w:t>.</w:t>
      </w:r>
    </w:p>
    <w:p w14:paraId="4916362F" w14:textId="77777777" w:rsidR="007950F3" w:rsidRPr="007950F3" w:rsidRDefault="007950F3" w:rsidP="007950F3">
      <w:pPr>
        <w:spacing w:before="120" w:after="120" w:line="276" w:lineRule="auto"/>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42991BF" w14:textId="77777777" w:rsidR="007950F3" w:rsidRPr="007950F3" w:rsidRDefault="007950F3" w:rsidP="007950F3">
      <w:pPr>
        <w:spacing w:before="120" w:after="120" w:line="276" w:lineRule="auto"/>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79C95175" w14:textId="77777777" w:rsidR="007950F3" w:rsidRPr="007950F3" w:rsidRDefault="007950F3" w:rsidP="007950F3">
      <w:pPr>
        <w:spacing w:before="120" w:after="120" w:line="276" w:lineRule="auto"/>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7950F3">
        <w:rPr>
          <w:rFonts w:ascii="Arial" w:eastAsia="Calibri" w:hAnsi="Arial" w:cs="Arial"/>
          <w:color w:val="000000"/>
          <w:sz w:val="22"/>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2"/>
      <w:r w:rsidRPr="007950F3">
        <w:rPr>
          <w:rFonts w:ascii="Arial" w:eastAsia="Calibri" w:hAnsi="Arial" w:cs="Arial"/>
          <w:color w:val="000000"/>
          <w:sz w:val="22"/>
          <w:szCs w:val="24"/>
          <w:lang w:val="es-ES_tradnl" w:eastAsia="es-ES_tradnl"/>
        </w:rPr>
        <w:t>. De igual manera, se establece que esta autonomía se garantiza con la identificación autónoma de sus necesidades y la configuración de los elementos del contrato</w:t>
      </w:r>
      <w:r w:rsidRPr="007950F3">
        <w:rPr>
          <w:rFonts w:ascii="Arial" w:eastAsia="Calibri" w:hAnsi="Arial" w:cs="Arial"/>
          <w:color w:val="000000"/>
          <w:sz w:val="22"/>
          <w:szCs w:val="24"/>
          <w:vertAlign w:val="superscript"/>
          <w:lang w:val="es-ES_tradnl" w:eastAsia="es-ES_tradnl"/>
        </w:rPr>
        <w:footnoteReference w:id="4"/>
      </w:r>
      <w:r w:rsidRPr="007950F3">
        <w:rPr>
          <w:rFonts w:ascii="Arial" w:eastAsia="Calibri" w:hAnsi="Arial" w:cs="Arial"/>
          <w:color w:val="000000"/>
          <w:sz w:val="22"/>
          <w:szCs w:val="24"/>
          <w:lang w:val="es-ES_tradnl" w:eastAsia="es-ES_tradnl"/>
        </w:rPr>
        <w:t>.</w:t>
      </w:r>
    </w:p>
    <w:p w14:paraId="3B46E61F" w14:textId="77777777" w:rsidR="007950F3" w:rsidRPr="007950F3" w:rsidRDefault="007950F3" w:rsidP="007950F3">
      <w:pPr>
        <w:spacing w:before="120" w:after="120" w:line="276" w:lineRule="auto"/>
        <w:jc w:val="both"/>
        <w:rPr>
          <w:rFonts w:ascii="Arial" w:eastAsia="Calibri" w:hAnsi="Arial" w:cs="Arial"/>
          <w:color w:val="000000"/>
          <w:sz w:val="22"/>
          <w:szCs w:val="24"/>
          <w:lang w:val="es-ES_tradnl" w:eastAsia="es-ES_tradnl"/>
        </w:rPr>
      </w:pPr>
      <w:r w:rsidRPr="007950F3">
        <w:rPr>
          <w:rFonts w:ascii="Arial" w:eastAsia="Calibri" w:hAnsi="Arial" w:cs="Arial"/>
          <w:color w:val="000000"/>
          <w:sz w:val="22"/>
          <w:szCs w:val="24"/>
          <w:lang w:val="es-ES_tradnl" w:eastAsia="es-ES_tradnl"/>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9F70D67" w14:textId="77777777" w:rsidR="007950F3" w:rsidRPr="007950F3" w:rsidRDefault="007950F3" w:rsidP="007950F3">
      <w:pPr>
        <w:spacing w:before="120" w:after="120" w:line="276" w:lineRule="auto"/>
        <w:jc w:val="both"/>
        <w:rPr>
          <w:rFonts w:ascii="Arial" w:eastAsia="Calibri" w:hAnsi="Arial" w:cs="Arial"/>
          <w:sz w:val="22"/>
          <w:lang w:val="es-ES_tradnl"/>
        </w:rPr>
      </w:pPr>
      <w:r w:rsidRPr="007950F3">
        <w:rPr>
          <w:rFonts w:ascii="Arial" w:eastAsia="Calibri" w:hAnsi="Arial" w:cs="Arial"/>
          <w:color w:val="000000"/>
          <w:sz w:val="22"/>
          <w:lang w:val="es-ES_tradnl" w:eastAsia="es-ES_tradnl"/>
        </w:rPr>
        <w:tab/>
        <w:t xml:space="preserve">Explicado el proceso para adoptar los documentos tipo en virtud de la Ley 1882 de 2018 y estudiada su constitucionalidad, de acuerdo con el pronunciamiento de la Corte Constitucional, a </w:t>
      </w:r>
      <w:proofErr w:type="gramStart"/>
      <w:r w:rsidRPr="007950F3">
        <w:rPr>
          <w:rFonts w:ascii="Arial" w:eastAsia="Calibri" w:hAnsi="Arial" w:cs="Arial"/>
          <w:color w:val="000000"/>
          <w:sz w:val="22"/>
          <w:lang w:val="es-ES_tradnl" w:eastAsia="es-ES_tradnl"/>
        </w:rPr>
        <w:t>continuación</w:t>
      </w:r>
      <w:proofErr w:type="gramEnd"/>
      <w:r w:rsidRPr="007950F3">
        <w:rPr>
          <w:rFonts w:ascii="Arial" w:eastAsia="Calibri" w:hAnsi="Arial" w:cs="Arial"/>
          <w:color w:val="000000"/>
          <w:sz w:val="22"/>
          <w:lang w:val="es-ES_tradnl" w:eastAsia="es-ES_tradnl"/>
        </w:rPr>
        <w:t xml:space="preserve"> se identificarán los documentos tipo adoptados por el gobierno nacional en virtud de esta ley. </w:t>
      </w:r>
      <w:r w:rsidRPr="007950F3">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05C9EF9B" w14:textId="58B8ACAA" w:rsidR="007950F3" w:rsidRPr="007950F3" w:rsidRDefault="007950F3" w:rsidP="007950F3">
      <w:pPr>
        <w:spacing w:before="120" w:after="120" w:line="276" w:lineRule="auto"/>
        <w:ind w:firstLine="708"/>
        <w:jc w:val="both"/>
        <w:rPr>
          <w:rFonts w:ascii="Arial" w:eastAsia="Calibri" w:hAnsi="Arial" w:cs="Arial"/>
          <w:color w:val="000000"/>
          <w:sz w:val="22"/>
          <w:lang w:val="es-ES_tradnl" w:eastAsia="es-ES_tradnl"/>
        </w:rPr>
      </w:pPr>
      <w:r w:rsidRPr="007950F3">
        <w:rPr>
          <w:rFonts w:ascii="Arial" w:eastAsia="Calibri" w:hAnsi="Arial" w:cs="Arial"/>
          <w:sz w:val="22"/>
          <w:lang w:val="es-ES_tradnl"/>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7950F3" w:rsidDel="00A434AB">
        <w:rPr>
          <w:rFonts w:ascii="Arial" w:eastAsia="Calibri" w:hAnsi="Arial" w:cs="Arial"/>
          <w:sz w:val="22"/>
          <w:lang w:val="es-ES_tradnl"/>
        </w:rPr>
        <w:t xml:space="preserve"> </w:t>
      </w:r>
      <w:r w:rsidRPr="007950F3">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3" w:name="_Hlk37841850"/>
      <w:r w:rsidRPr="007950F3">
        <w:rPr>
          <w:rFonts w:ascii="Arial" w:eastAsia="Calibri" w:hAnsi="Arial" w:cs="Arial"/>
          <w:sz w:val="22"/>
          <w:lang w:val="es-ES_tradnl"/>
        </w:rPr>
        <w:t>– Colombia Compra Eficiente,</w:t>
      </w:r>
      <w:bookmarkEnd w:id="3"/>
      <w:r w:rsidR="00170F26">
        <w:rPr>
          <w:rFonts w:ascii="Arial" w:eastAsia="Calibri" w:hAnsi="Arial" w:cs="Arial"/>
          <w:sz w:val="22"/>
          <w:lang w:val="es-ES_tradnl"/>
        </w:rPr>
        <w:t xml:space="preserve"> </w:t>
      </w:r>
      <w:r w:rsidRPr="007950F3">
        <w:rPr>
          <w:rFonts w:ascii="Arial" w:eastAsia="Calibri" w:hAnsi="Arial" w:cs="Arial"/>
          <w:sz w:val="22"/>
          <w:lang w:val="es-ES_tradnl"/>
        </w:rPr>
        <w:t>medi</w:t>
      </w:r>
      <w:r w:rsidR="00170F26">
        <w:rPr>
          <w:rFonts w:ascii="Arial" w:eastAsia="Calibri" w:hAnsi="Arial" w:cs="Arial"/>
          <w:sz w:val="22"/>
          <w:lang w:val="es-ES_tradnl"/>
        </w:rPr>
        <w:t>ante</w:t>
      </w:r>
      <w:r w:rsidRPr="007950F3">
        <w:rPr>
          <w:rFonts w:ascii="Arial" w:eastAsia="Calibri" w:hAnsi="Arial" w:cs="Arial"/>
          <w:sz w:val="22"/>
          <w:lang w:val="es-ES_tradnl"/>
        </w:rPr>
        <w:t xml:space="preserve"> la Resolución 1798 de 1 de abril de 2019 –derogada por la Resolución 045 del 14 de febrero de 2020–, la Resolución 044 del 14 de febrero de 2020 y la Resolución 094 del 21 de mayo de 2020.</w:t>
      </w:r>
    </w:p>
    <w:p w14:paraId="2EF9AFDA"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color w:val="000000" w:themeColor="text1"/>
          <w:sz w:val="22"/>
          <w:lang w:val="es-ES_tradnl" w:eastAsia="es-ES"/>
        </w:rPr>
        <w:t>Por otra parte</w:t>
      </w:r>
      <w:r w:rsidRPr="007950F3">
        <w:rPr>
          <w:rFonts w:ascii="Arial" w:eastAsia="Calibri" w:hAnsi="Arial" w:cs="Arial"/>
          <w:i/>
          <w:iCs/>
          <w:color w:val="000000" w:themeColor="text1"/>
          <w:sz w:val="22"/>
          <w:lang w:val="es-ES_tradnl" w:eastAsia="es-ES"/>
        </w:rPr>
        <w:t>,</w:t>
      </w:r>
      <w:r w:rsidRPr="007950F3">
        <w:rPr>
          <w:rFonts w:ascii="Arial" w:eastAsia="Calibri" w:hAnsi="Arial" w:cs="Arial"/>
          <w:color w:val="000000" w:themeColor="text1"/>
          <w:sz w:val="22"/>
          <w:lang w:val="es-ES_tradnl" w:eastAsia="es-ES"/>
        </w:rPr>
        <w:t xml:space="preserve"> debe tenerse en cuenta que la Ley 2022 de 2020 fue sancionada por el </w:t>
      </w:r>
      <w:proofErr w:type="gramStart"/>
      <w:r w:rsidRPr="007950F3">
        <w:rPr>
          <w:rFonts w:ascii="Arial" w:eastAsia="Calibri" w:hAnsi="Arial" w:cs="Arial"/>
          <w:color w:val="000000" w:themeColor="text1"/>
          <w:sz w:val="22"/>
          <w:lang w:val="es-ES_tradnl" w:eastAsia="es-ES"/>
        </w:rPr>
        <w:t>Presidente</w:t>
      </w:r>
      <w:proofErr w:type="gramEnd"/>
      <w:r w:rsidRPr="007950F3">
        <w:rPr>
          <w:rFonts w:ascii="Arial" w:eastAsia="Calibri" w:hAnsi="Arial" w:cs="Arial"/>
          <w:color w:val="000000" w:themeColor="text1"/>
          <w:sz w:val="22"/>
          <w:lang w:val="es-ES_tradnl" w:eastAsia="es-ES"/>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3BDC0DEB"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color w:val="000000" w:themeColor="text1"/>
          <w:sz w:val="22"/>
          <w:lang w:val="es-ES_tradnl" w:eastAsia="es-ES"/>
        </w:rPr>
        <w:lastRenderedPageBreak/>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7950F3">
        <w:rPr>
          <w:rFonts w:ascii="Arial" w:eastAsia="Calibri" w:hAnsi="Arial" w:cs="Arial"/>
          <w:color w:val="000000" w:themeColor="text1"/>
          <w:sz w:val="22"/>
          <w:lang w:val="es-ES_tradnl" w:eastAsia="es-ES"/>
        </w:rPr>
        <w:t>entró en vigencia</w:t>
      </w:r>
      <w:proofErr w:type="gramEnd"/>
      <w:r w:rsidRPr="007950F3">
        <w:rPr>
          <w:rFonts w:ascii="Arial" w:eastAsia="Calibri" w:hAnsi="Arial" w:cs="Arial"/>
          <w:color w:val="000000" w:themeColor="text1"/>
          <w:sz w:val="22"/>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w:t>
      </w:r>
      <w:r w:rsidRPr="007950F3">
        <w:rPr>
          <w:rFonts w:ascii="Arial" w:eastAsia="Calibri" w:hAnsi="Arial" w:cs="Arial" w:hint="cs"/>
          <w:color w:val="000000" w:themeColor="text1"/>
          <w:sz w:val="22"/>
          <w:lang w:val="es-ES_tradnl" w:eastAsia="es-ES"/>
        </w:rPr>
        <w:t>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w:t>
      </w:r>
    </w:p>
    <w:p w14:paraId="040ED468"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 xml:space="preserve">En síntesis, hasta el momento se han expedido los siguientes documentos tipo que son obligatorios para todas las entidades sometidas al Estatuto General de Contratación de la Administración Pública: </w:t>
      </w:r>
    </w:p>
    <w:p w14:paraId="47F739B3"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726D7066"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ii) Documentos tipo para licitación de obra pública de infraestructura de transporte –versión 2–, obligatorios para los procesos cuyo aviso de convocatoria se haya publicado desde el 10 de marzo de 2020.</w:t>
      </w:r>
    </w:p>
    <w:p w14:paraId="6B7DFA3B"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iii) Documentos tipo para licitación de obra pública de infraestructura de transporte –versión 3–, obligatorios para los procesos cuyo aviso de convocatoria se haya publicado desde el 1 de enero de 2021.</w:t>
      </w:r>
    </w:p>
    <w:p w14:paraId="5AF588F7"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18945C5A"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EA79C66"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vi) Documentos tipo para procesos de mínima cuantía de infraestructura de transporte, obligatorios para los procesos cuya invitación pública se haya publicado a partir del 10 de junio de 2020.</w:t>
      </w:r>
    </w:p>
    <w:p w14:paraId="4F27B545"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4161E518"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lastRenderedPageBreak/>
        <w:t>viii) Documentos tipo para procesos de licitación pública para obras de infraestructura de agua potable y saneamiento básico, obligatorios para los procesos cuyo aviso de convocatoria se haya publicado desde el 11 de diciembre de 2020.</w:t>
      </w:r>
    </w:p>
    <w:p w14:paraId="639E9911"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66308BA" w14:textId="77777777" w:rsidR="007950F3" w:rsidRPr="007950F3" w:rsidRDefault="007950F3" w:rsidP="007950F3">
      <w:pPr>
        <w:spacing w:before="120" w:line="276" w:lineRule="auto"/>
        <w:ind w:firstLine="709"/>
        <w:jc w:val="both"/>
        <w:rPr>
          <w:rFonts w:ascii="Arial" w:eastAsia="Calibri" w:hAnsi="Arial" w:cs="Arial"/>
          <w:color w:val="000000" w:themeColor="text1"/>
          <w:sz w:val="22"/>
          <w:lang w:val="es-ES_tradnl" w:eastAsia="es-ES"/>
        </w:rPr>
      </w:pPr>
      <w:r w:rsidRPr="007950F3">
        <w:rPr>
          <w:rFonts w:ascii="Arial" w:eastAsia="Calibri" w:hAnsi="Arial" w:cs="Arial" w:hint="cs"/>
          <w:color w:val="000000" w:themeColor="text1"/>
          <w:sz w:val="22"/>
          <w:lang w:val="es-ES_tradnl" w:eastAsia="es-ES"/>
        </w:rPr>
        <w:t>x) Documentos tipo para procesos de gestión catastral con enfoque multipropósito que se celebren a través de contratos interadministrativos, a partir del 1 de febrero de 2021.</w:t>
      </w:r>
    </w:p>
    <w:p w14:paraId="18012AB4" w14:textId="65377785" w:rsidR="009D1269" w:rsidRDefault="007950F3" w:rsidP="007950F3">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Pr>
          <w:rFonts w:ascii="Arial" w:eastAsia="Calibri" w:hAnsi="Arial" w:cs="Arial"/>
          <w:color w:val="000000" w:themeColor="text1"/>
          <w:sz w:val="22"/>
          <w:lang w:val="es-CO" w:eastAsia="es-ES_tradnl"/>
        </w:rPr>
        <w:t>L</w:t>
      </w:r>
      <w:r w:rsidRPr="007950F3">
        <w:rPr>
          <w:rFonts w:ascii="Arial" w:eastAsia="Calibri" w:hAnsi="Arial" w:cs="Arial" w:hint="cs"/>
          <w:color w:val="000000" w:themeColor="text1"/>
          <w:sz w:val="22"/>
          <w:lang w:val="es-CO" w:eastAsia="es-ES_tradnl"/>
        </w:rPr>
        <w:t xml:space="preserve">a Agencia Nacional de Contratación Pública </w:t>
      </w:r>
      <w:r>
        <w:rPr>
          <w:rFonts w:ascii="Arial" w:eastAsia="Calibri" w:hAnsi="Arial" w:cs="Arial"/>
          <w:color w:val="000000" w:themeColor="text1"/>
          <w:sz w:val="22"/>
          <w:lang w:val="es-CO" w:eastAsia="es-ES_tradnl"/>
        </w:rPr>
        <w:t xml:space="preserve">continúa </w:t>
      </w:r>
      <w:r w:rsidRPr="007950F3">
        <w:rPr>
          <w:rFonts w:ascii="Arial" w:eastAsia="Calibri" w:hAnsi="Arial" w:cs="Arial" w:hint="cs"/>
          <w:color w:val="000000" w:themeColor="text1"/>
          <w:sz w:val="22"/>
          <w:lang w:val="es-CO" w:eastAsia="es-ES_tradnl"/>
        </w:rPr>
        <w:t xml:space="preserve">avanzando en la </w:t>
      </w:r>
      <w:r>
        <w:rPr>
          <w:rFonts w:ascii="Arial" w:eastAsia="Calibri" w:hAnsi="Arial" w:cs="Arial"/>
          <w:color w:val="000000" w:themeColor="text1"/>
          <w:sz w:val="22"/>
          <w:lang w:val="es-CO" w:eastAsia="es-ES_tradnl"/>
        </w:rPr>
        <w:t xml:space="preserve">construcción </w:t>
      </w:r>
      <w:r w:rsidRPr="007950F3">
        <w:rPr>
          <w:rFonts w:ascii="Arial" w:eastAsia="Calibri" w:hAnsi="Arial" w:cs="Arial" w:hint="cs"/>
          <w:color w:val="000000" w:themeColor="text1"/>
          <w:sz w:val="22"/>
          <w:lang w:val="es-CO" w:eastAsia="es-ES_tradnl"/>
        </w:rPr>
        <w:t>de nuevos documentos tipo</w:t>
      </w:r>
      <w:r>
        <w:rPr>
          <w:rFonts w:ascii="Arial" w:eastAsia="Calibri" w:hAnsi="Arial" w:cs="Arial"/>
          <w:color w:val="000000" w:themeColor="text1"/>
          <w:sz w:val="22"/>
          <w:lang w:val="es-CO" w:eastAsia="es-ES_tradnl"/>
        </w:rPr>
        <w:t xml:space="preserve"> </w:t>
      </w:r>
      <w:r w:rsidRPr="007950F3">
        <w:rPr>
          <w:rFonts w:ascii="Arial" w:eastAsia="Calibri" w:hAnsi="Arial" w:cs="Arial" w:hint="cs"/>
          <w:color w:val="000000" w:themeColor="text1"/>
          <w:sz w:val="22"/>
          <w:lang w:val="es-CO" w:eastAsia="es-ES_tradnl"/>
        </w:rPr>
        <w:t xml:space="preserve">con la finalidad de expedir </w:t>
      </w:r>
      <w:r>
        <w:rPr>
          <w:rFonts w:ascii="Arial" w:eastAsia="Calibri" w:hAnsi="Arial" w:cs="Arial"/>
          <w:color w:val="000000" w:themeColor="text1"/>
          <w:sz w:val="22"/>
          <w:lang w:val="es-CO" w:eastAsia="es-ES_tradnl"/>
        </w:rPr>
        <w:t>estos instrumentos que contribuyen a</w:t>
      </w:r>
      <w:r w:rsidRPr="007950F3">
        <w:rPr>
          <w:rFonts w:ascii="Arial" w:eastAsia="Calibri" w:hAnsi="Arial" w:cs="Arial" w:hint="cs"/>
          <w:color w:val="000000" w:themeColor="text1"/>
          <w:sz w:val="22"/>
          <w:lang w:val="es-CO" w:eastAsia="es-ES_tradnl"/>
        </w:rPr>
        <w:t xml:space="preserve"> mejores prácticas contractuales </w:t>
      </w:r>
      <w:r>
        <w:rPr>
          <w:rFonts w:ascii="Arial" w:eastAsia="Calibri" w:hAnsi="Arial" w:cs="Arial"/>
          <w:color w:val="000000" w:themeColor="text1"/>
          <w:sz w:val="22"/>
          <w:lang w:val="es-CO" w:eastAsia="es-ES_tradnl"/>
        </w:rPr>
        <w:t xml:space="preserve">en aplicación de </w:t>
      </w:r>
      <w:r w:rsidRPr="007950F3">
        <w:rPr>
          <w:rFonts w:ascii="Arial" w:eastAsia="Calibri" w:hAnsi="Arial" w:cs="Arial" w:hint="cs"/>
          <w:color w:val="000000" w:themeColor="text1"/>
          <w:sz w:val="22"/>
          <w:lang w:val="es-CO" w:eastAsia="es-ES_tradnl"/>
        </w:rPr>
        <w:t>los principios que rigen la contratación pública.</w:t>
      </w:r>
      <w:r w:rsidR="009D1269" w:rsidRPr="0043040E">
        <w:rPr>
          <w:rFonts w:ascii="Arial" w:eastAsia="Times New Roman" w:hAnsi="Arial" w:cs="Arial"/>
          <w:color w:val="0D0D0D"/>
          <w:sz w:val="22"/>
          <w:bdr w:val="none" w:sz="0" w:space="0" w:color="auto" w:frame="1"/>
          <w:lang w:val="es-CO" w:eastAsia="es-CO"/>
        </w:rPr>
        <w:t xml:space="preserve">  </w:t>
      </w:r>
    </w:p>
    <w:p w14:paraId="3D2686C5" w14:textId="0A0D08D7" w:rsidR="009344F6" w:rsidRPr="00574045" w:rsidRDefault="009344F6" w:rsidP="00BD7214">
      <w:pPr>
        <w:spacing w:line="276" w:lineRule="auto"/>
        <w:jc w:val="both"/>
        <w:rPr>
          <w:rFonts w:ascii="Arial" w:hAnsi="Arial" w:cs="Arial"/>
          <w:sz w:val="22"/>
          <w:lang w:val="es-CO"/>
        </w:rPr>
      </w:pPr>
    </w:p>
    <w:p w14:paraId="3118C858" w14:textId="0DAFB284" w:rsidR="009344F6" w:rsidRPr="009344F6" w:rsidRDefault="009344F6" w:rsidP="00BD7214">
      <w:pPr>
        <w:spacing w:line="276" w:lineRule="auto"/>
        <w:jc w:val="both"/>
        <w:rPr>
          <w:rFonts w:ascii="Arial" w:hAnsi="Arial" w:cs="Arial"/>
          <w:b/>
          <w:bCs/>
          <w:sz w:val="22"/>
        </w:rPr>
      </w:pPr>
      <w:r w:rsidRPr="009344F6">
        <w:rPr>
          <w:rFonts w:ascii="Arial" w:hAnsi="Arial" w:cs="Arial"/>
          <w:b/>
          <w:bCs/>
          <w:sz w:val="22"/>
        </w:rPr>
        <w:t>2.</w:t>
      </w:r>
      <w:r w:rsidR="003E1734">
        <w:rPr>
          <w:rFonts w:ascii="Arial" w:hAnsi="Arial" w:cs="Arial"/>
          <w:b/>
          <w:bCs/>
          <w:sz w:val="22"/>
        </w:rPr>
        <w:t>2</w:t>
      </w:r>
      <w:r w:rsidR="00EC5510">
        <w:rPr>
          <w:rFonts w:ascii="Arial" w:hAnsi="Arial" w:cs="Arial"/>
          <w:b/>
          <w:bCs/>
          <w:sz w:val="22"/>
        </w:rPr>
        <w:t>.</w:t>
      </w:r>
      <w:r w:rsidRPr="009344F6">
        <w:rPr>
          <w:rFonts w:ascii="Arial" w:hAnsi="Arial" w:cs="Arial"/>
          <w:b/>
          <w:bCs/>
          <w:sz w:val="22"/>
        </w:rPr>
        <w:t xml:space="preserve"> </w:t>
      </w:r>
      <w:r w:rsidR="00030584">
        <w:rPr>
          <w:rFonts w:ascii="Arial" w:hAnsi="Arial" w:cs="Arial"/>
          <w:b/>
          <w:bCs/>
          <w:sz w:val="22"/>
        </w:rPr>
        <w:t>Ámbito de aplicación de los documentos tipo de infraestructura de transporte: obras en puentes</w:t>
      </w:r>
    </w:p>
    <w:p w14:paraId="7C112366" w14:textId="77777777" w:rsidR="009344F6" w:rsidRDefault="009344F6" w:rsidP="001317F8">
      <w:pPr>
        <w:spacing w:line="276" w:lineRule="auto"/>
        <w:ind w:firstLine="709"/>
        <w:jc w:val="both"/>
        <w:rPr>
          <w:rFonts w:ascii="Arial" w:hAnsi="Arial" w:cs="Arial"/>
          <w:sz w:val="22"/>
        </w:rPr>
      </w:pPr>
    </w:p>
    <w:p w14:paraId="73BB57C7" w14:textId="286024FB" w:rsidR="00BF2184" w:rsidRPr="00BF2184" w:rsidRDefault="00FB69D7" w:rsidP="00584F4E">
      <w:pPr>
        <w:pStyle w:val="Textoindependiente"/>
        <w:spacing w:after="120" w:line="276" w:lineRule="auto"/>
        <w:jc w:val="both"/>
        <w:rPr>
          <w:rFonts w:eastAsiaTheme="minorHAnsi"/>
          <w:lang w:val="es-MX" w:eastAsia="en-US" w:bidi="ar-SA"/>
        </w:rPr>
      </w:pPr>
      <w:r>
        <w:rPr>
          <w:rFonts w:eastAsiaTheme="minorHAnsi"/>
          <w:lang w:val="es-MX" w:eastAsia="en-US" w:bidi="ar-SA"/>
        </w:rPr>
        <w:t xml:space="preserve">De acuerdo con lo </w:t>
      </w:r>
      <w:r w:rsidR="00710FEE">
        <w:rPr>
          <w:rFonts w:eastAsiaTheme="minorHAnsi"/>
          <w:lang w:val="es-MX" w:eastAsia="en-US" w:bidi="ar-SA"/>
        </w:rPr>
        <w:t xml:space="preserve">expuesto, los </w:t>
      </w:r>
      <w:r w:rsidR="00AF782E">
        <w:rPr>
          <w:rFonts w:eastAsiaTheme="minorHAnsi"/>
          <w:lang w:val="es-MX" w:eastAsia="en-US" w:bidi="ar-SA"/>
        </w:rPr>
        <w:t>d</w:t>
      </w:r>
      <w:r w:rsidR="00BF2184" w:rsidRPr="00BF2184">
        <w:rPr>
          <w:rFonts w:eastAsiaTheme="minorHAnsi"/>
          <w:lang w:val="es-MX" w:eastAsia="en-US" w:bidi="ar-SA"/>
        </w:rPr>
        <w:t xml:space="preserve">ocumentos </w:t>
      </w:r>
      <w:r w:rsidR="00AF782E">
        <w:rPr>
          <w:rFonts w:eastAsiaTheme="minorHAnsi"/>
          <w:lang w:val="es-MX" w:eastAsia="en-US" w:bidi="ar-SA"/>
        </w:rPr>
        <w:t>t</w:t>
      </w:r>
      <w:r w:rsidR="00BF2184" w:rsidRPr="00BF2184">
        <w:rPr>
          <w:rFonts w:eastAsiaTheme="minorHAnsi"/>
          <w:lang w:val="es-MX" w:eastAsia="en-US" w:bidi="ar-SA"/>
        </w:rPr>
        <w:t>ipo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r w:rsidR="000A31E0">
        <w:rPr>
          <w:rFonts w:eastAsiaTheme="minorHAnsi"/>
          <w:lang w:val="es-MX" w:eastAsia="en-US" w:bidi="ar-SA"/>
        </w:rPr>
        <w:t xml:space="preserve"> Estos consisten en un grupo de documentos,</w:t>
      </w:r>
      <w:r w:rsidR="004C6BFD">
        <w:rPr>
          <w:rFonts w:eastAsiaTheme="minorHAnsi"/>
          <w:lang w:val="es-MX" w:eastAsia="en-US" w:bidi="ar-SA"/>
        </w:rPr>
        <w:t xml:space="preserve"> conformados por un documento base,</w:t>
      </w:r>
      <w:r w:rsidR="00AF6CCA">
        <w:rPr>
          <w:rFonts w:eastAsiaTheme="minorHAnsi"/>
          <w:lang w:val="es-MX" w:eastAsia="en-US" w:bidi="ar-SA"/>
        </w:rPr>
        <w:t xml:space="preserve"> anexos,</w:t>
      </w:r>
      <w:r w:rsidR="000A31E0">
        <w:rPr>
          <w:rFonts w:eastAsiaTheme="minorHAnsi"/>
          <w:lang w:val="es-MX" w:eastAsia="en-US" w:bidi="ar-SA"/>
        </w:rPr>
        <w:t xml:space="preserve"> matrices, formatos</w:t>
      </w:r>
      <w:r w:rsidR="00AF6CCA">
        <w:rPr>
          <w:rFonts w:eastAsiaTheme="minorHAnsi"/>
          <w:lang w:val="es-MX" w:eastAsia="en-US" w:bidi="ar-SA"/>
        </w:rPr>
        <w:t xml:space="preserve"> y formularios, que sirven tanto a las entidades para elaborar los </w:t>
      </w:r>
      <w:r w:rsidR="00066319">
        <w:rPr>
          <w:rFonts w:eastAsiaTheme="minorHAnsi"/>
          <w:lang w:val="es-MX" w:eastAsia="en-US" w:bidi="ar-SA"/>
        </w:rPr>
        <w:t>d</w:t>
      </w:r>
      <w:r w:rsidR="00AF6CCA">
        <w:rPr>
          <w:rFonts w:eastAsiaTheme="minorHAnsi"/>
          <w:lang w:val="es-MX" w:eastAsia="en-US" w:bidi="ar-SA"/>
        </w:rPr>
        <w:t xml:space="preserve">ocumentos del </w:t>
      </w:r>
      <w:r w:rsidR="00066319">
        <w:rPr>
          <w:rFonts w:eastAsiaTheme="minorHAnsi"/>
          <w:lang w:val="es-MX" w:eastAsia="en-US" w:bidi="ar-SA"/>
        </w:rPr>
        <w:t>p</w:t>
      </w:r>
      <w:r w:rsidR="00AF6CCA">
        <w:rPr>
          <w:rFonts w:eastAsiaTheme="minorHAnsi"/>
          <w:lang w:val="es-MX" w:eastAsia="en-US" w:bidi="ar-SA"/>
        </w:rPr>
        <w:t xml:space="preserve">roceso, como a los proponentes para conformar y presentar sus ofertas. </w:t>
      </w:r>
    </w:p>
    <w:p w14:paraId="5D5682AA" w14:textId="482DB5D8" w:rsidR="001422A7" w:rsidRDefault="00603FF5" w:rsidP="00F86A36">
      <w:pPr>
        <w:pStyle w:val="Textoindependiente"/>
        <w:spacing w:after="120" w:line="276" w:lineRule="auto"/>
        <w:ind w:firstLine="607"/>
        <w:jc w:val="both"/>
      </w:pPr>
      <w:r>
        <w:rPr>
          <w:rFonts w:eastAsiaTheme="minorHAnsi"/>
          <w:lang w:val="es-MX" w:eastAsia="en-US" w:bidi="ar-SA"/>
        </w:rPr>
        <w:t>Uno</w:t>
      </w:r>
      <w:r w:rsidR="00635AD7">
        <w:rPr>
          <w:rFonts w:eastAsiaTheme="minorHAnsi"/>
          <w:lang w:val="es-MX" w:eastAsia="en-US" w:bidi="ar-SA"/>
        </w:rPr>
        <w:t xml:space="preserve"> de los elementos comunes a los diferentes </w:t>
      </w:r>
      <w:r>
        <w:rPr>
          <w:rFonts w:eastAsiaTheme="minorHAnsi"/>
          <w:lang w:val="es-MX" w:eastAsia="en-US" w:bidi="ar-SA"/>
        </w:rPr>
        <w:t>documento</w:t>
      </w:r>
      <w:r w:rsidR="00635AD7">
        <w:rPr>
          <w:rFonts w:eastAsiaTheme="minorHAnsi"/>
          <w:lang w:val="es-MX" w:eastAsia="en-US" w:bidi="ar-SA"/>
        </w:rPr>
        <w:t xml:space="preserve">s tipo </w:t>
      </w:r>
      <w:r w:rsidR="008B35B0">
        <w:rPr>
          <w:rFonts w:eastAsiaTheme="minorHAnsi"/>
          <w:lang w:val="es-MX" w:eastAsia="en-US" w:bidi="ar-SA"/>
        </w:rPr>
        <w:t>es l</w:t>
      </w:r>
      <w:r w:rsidR="00BF2184" w:rsidRPr="00BF2184">
        <w:rPr>
          <w:rFonts w:eastAsiaTheme="minorHAnsi"/>
          <w:lang w:val="es-MX" w:eastAsia="en-US" w:bidi="ar-SA"/>
        </w:rPr>
        <w:t xml:space="preserve">a </w:t>
      </w:r>
      <w:r w:rsidR="00F86A36">
        <w:rPr>
          <w:rFonts w:eastAsiaTheme="minorHAnsi"/>
          <w:lang w:val="es-MX" w:eastAsia="en-US" w:bidi="ar-SA"/>
        </w:rPr>
        <w:t>«</w:t>
      </w:r>
      <w:r w:rsidR="00BF2184" w:rsidRPr="00BF2184">
        <w:rPr>
          <w:rFonts w:eastAsiaTheme="minorHAnsi"/>
          <w:lang w:val="es-MX" w:eastAsia="en-US" w:bidi="ar-SA"/>
        </w:rPr>
        <w:t>Matriz 1 – Experiencia</w:t>
      </w:r>
      <w:r w:rsidR="00F86A36">
        <w:rPr>
          <w:rFonts w:eastAsiaTheme="minorHAnsi"/>
          <w:lang w:val="es-MX" w:eastAsia="en-US" w:bidi="ar-SA"/>
        </w:rPr>
        <w:t>»–en adelante Matriz 1–</w:t>
      </w:r>
      <w:r w:rsidR="008B35B0">
        <w:rPr>
          <w:rFonts w:eastAsiaTheme="minorHAnsi"/>
          <w:lang w:val="es-MX" w:eastAsia="en-US" w:bidi="ar-SA"/>
        </w:rPr>
        <w:t>. Esta</w:t>
      </w:r>
      <w:r w:rsidR="00BF2184" w:rsidRPr="00BF2184">
        <w:rPr>
          <w:rFonts w:eastAsiaTheme="minorHAnsi"/>
          <w:lang w:val="es-MX" w:eastAsia="en-US" w:bidi="ar-SA"/>
        </w:rPr>
        <w:t xml:space="preserve"> </w:t>
      </w:r>
      <w:r w:rsidR="008B35B0">
        <w:rPr>
          <w:rFonts w:eastAsiaTheme="minorHAnsi"/>
          <w:lang w:val="es-MX" w:eastAsia="en-US" w:bidi="ar-SA"/>
        </w:rPr>
        <w:t>consta de un</w:t>
      </w:r>
      <w:r w:rsidR="00314308">
        <w:rPr>
          <w:rFonts w:eastAsiaTheme="minorHAnsi"/>
          <w:lang w:val="es-MX" w:eastAsia="en-US" w:bidi="ar-SA"/>
        </w:rPr>
        <w:t xml:space="preserve">as </w:t>
      </w:r>
      <w:r w:rsidR="001219B2">
        <w:rPr>
          <w:rFonts w:eastAsiaTheme="minorHAnsi"/>
          <w:lang w:val="es-MX" w:eastAsia="en-US" w:bidi="ar-SA"/>
        </w:rPr>
        <w:t xml:space="preserve">celdas </w:t>
      </w:r>
      <w:r w:rsidR="00314308">
        <w:rPr>
          <w:rFonts w:eastAsiaTheme="minorHAnsi"/>
          <w:lang w:val="es-MX" w:eastAsia="en-US" w:bidi="ar-SA"/>
        </w:rPr>
        <w:t>en las que se describe</w:t>
      </w:r>
      <w:r w:rsidR="00CF211A">
        <w:rPr>
          <w:rFonts w:eastAsiaTheme="minorHAnsi"/>
          <w:lang w:val="es-MX" w:eastAsia="en-US" w:bidi="ar-SA"/>
        </w:rPr>
        <w:t xml:space="preserve"> </w:t>
      </w:r>
      <w:r w:rsidR="00BF2184" w:rsidRPr="00BF2184">
        <w:rPr>
          <w:rFonts w:eastAsiaTheme="minorHAnsi"/>
          <w:lang w:val="es-MX" w:eastAsia="en-US" w:bidi="ar-SA"/>
        </w:rPr>
        <w:t>la experiencia</w:t>
      </w:r>
      <w:r w:rsidR="00CF211A">
        <w:rPr>
          <w:rFonts w:eastAsiaTheme="minorHAnsi"/>
          <w:lang w:val="es-MX" w:eastAsia="en-US" w:bidi="ar-SA"/>
        </w:rPr>
        <w:t xml:space="preserve"> requerida</w:t>
      </w:r>
      <w:r w:rsidR="00BF2184" w:rsidRPr="00BF2184">
        <w:rPr>
          <w:rFonts w:eastAsiaTheme="minorHAnsi"/>
          <w:lang w:val="es-MX" w:eastAsia="en-US" w:bidi="ar-SA"/>
        </w:rPr>
        <w:t xml:space="preserve"> en relación con el objeto a contratar, defin</w:t>
      </w:r>
      <w:r w:rsidR="005E3C9D">
        <w:rPr>
          <w:rFonts w:eastAsiaTheme="minorHAnsi"/>
          <w:lang w:val="es-MX" w:eastAsia="en-US" w:bidi="ar-SA"/>
        </w:rPr>
        <w:t>iendo además</w:t>
      </w:r>
      <w:r w:rsidR="00BF2184" w:rsidRPr="00BF2184">
        <w:rPr>
          <w:rFonts w:eastAsiaTheme="minorHAnsi"/>
          <w:lang w:val="es-MX" w:eastAsia="en-US" w:bidi="ar-SA"/>
        </w:rPr>
        <w:t xml:space="preserve"> qué tipo de </w:t>
      </w:r>
      <w:r w:rsidR="005E3C9D">
        <w:rPr>
          <w:rFonts w:eastAsiaTheme="minorHAnsi"/>
          <w:lang w:val="es-MX" w:eastAsia="en-US" w:bidi="ar-SA"/>
        </w:rPr>
        <w:t>intervenciones de infraestructura de transporte</w:t>
      </w:r>
      <w:r w:rsidR="005E3C9D" w:rsidRPr="00BF2184">
        <w:rPr>
          <w:rFonts w:eastAsiaTheme="minorHAnsi"/>
          <w:lang w:val="es-MX" w:eastAsia="en-US" w:bidi="ar-SA"/>
        </w:rPr>
        <w:t xml:space="preserve"> </w:t>
      </w:r>
      <w:r w:rsidR="00BF2184" w:rsidRPr="00BF2184">
        <w:rPr>
          <w:rFonts w:eastAsiaTheme="minorHAnsi"/>
          <w:lang w:val="es-MX" w:eastAsia="en-US" w:bidi="ar-SA"/>
        </w:rPr>
        <w:t>deben acogerse a los pliegos tipo</w:t>
      </w:r>
      <w:r w:rsidR="00015DC4">
        <w:rPr>
          <w:rFonts w:eastAsiaTheme="minorHAnsi"/>
          <w:lang w:val="es-MX" w:eastAsia="en-US" w:bidi="ar-SA"/>
        </w:rPr>
        <w:t>.</w:t>
      </w:r>
      <w:r w:rsidR="00BF2184" w:rsidRPr="00BF2184">
        <w:rPr>
          <w:rFonts w:eastAsiaTheme="minorHAnsi"/>
          <w:lang w:val="es-MX" w:eastAsia="en-US" w:bidi="ar-SA"/>
        </w:rPr>
        <w:t xml:space="preserve"> </w:t>
      </w:r>
      <w:r w:rsidR="00015DC4">
        <w:rPr>
          <w:rFonts w:eastAsiaTheme="minorHAnsi"/>
          <w:lang w:val="es-MX" w:eastAsia="en-US" w:bidi="ar-SA"/>
        </w:rPr>
        <w:t>Por otro lado, encontramos</w:t>
      </w:r>
      <w:r w:rsidR="00BF2184" w:rsidRPr="00BF2184">
        <w:rPr>
          <w:rFonts w:eastAsiaTheme="minorHAnsi"/>
          <w:lang w:val="es-MX" w:eastAsia="en-US" w:bidi="ar-SA"/>
        </w:rPr>
        <w:t xml:space="preserve"> el </w:t>
      </w:r>
      <w:r w:rsidR="00F86A36">
        <w:rPr>
          <w:rFonts w:eastAsiaTheme="minorHAnsi"/>
          <w:lang w:val="es-MX" w:eastAsia="en-US" w:bidi="ar-SA"/>
        </w:rPr>
        <w:t>«</w:t>
      </w:r>
      <w:r w:rsidR="00BF2184" w:rsidRPr="00BF2184">
        <w:rPr>
          <w:rFonts w:eastAsiaTheme="minorHAnsi"/>
          <w:lang w:val="es-MX" w:eastAsia="en-US" w:bidi="ar-SA"/>
        </w:rPr>
        <w:t>Anexo 3 – Glosario</w:t>
      </w:r>
      <w:r w:rsidR="00F86A36">
        <w:rPr>
          <w:rFonts w:eastAsiaTheme="minorHAnsi"/>
          <w:lang w:val="es-MX" w:eastAsia="en-US" w:bidi="ar-SA"/>
        </w:rPr>
        <w:t>»</w:t>
      </w:r>
      <w:r w:rsidR="00BF2184" w:rsidRPr="00BF2184">
        <w:rPr>
          <w:rFonts w:eastAsiaTheme="minorHAnsi"/>
          <w:lang w:val="es-MX" w:eastAsia="en-US" w:bidi="ar-SA"/>
        </w:rPr>
        <w:t xml:space="preserve">, </w:t>
      </w:r>
      <w:r w:rsidR="00015DC4">
        <w:rPr>
          <w:rFonts w:eastAsiaTheme="minorHAnsi"/>
          <w:lang w:val="es-MX" w:eastAsia="en-US" w:bidi="ar-SA"/>
        </w:rPr>
        <w:t xml:space="preserve">el cual </w:t>
      </w:r>
      <w:r w:rsidR="00BF2184" w:rsidRPr="00BF2184">
        <w:rPr>
          <w:rFonts w:eastAsiaTheme="minorHAnsi"/>
          <w:lang w:val="es-MX" w:eastAsia="en-US" w:bidi="ar-SA"/>
        </w:rPr>
        <w:t xml:space="preserve">contiene las definiciones de los términos usados en los </w:t>
      </w:r>
      <w:r w:rsidR="00AF782E">
        <w:rPr>
          <w:rFonts w:eastAsiaTheme="minorHAnsi"/>
          <w:lang w:val="es-MX" w:eastAsia="en-US" w:bidi="ar-SA"/>
        </w:rPr>
        <w:t>d</w:t>
      </w:r>
      <w:r w:rsidR="00BF2184" w:rsidRPr="00BF2184">
        <w:rPr>
          <w:rFonts w:eastAsiaTheme="minorHAnsi"/>
          <w:lang w:val="es-MX" w:eastAsia="en-US" w:bidi="ar-SA"/>
        </w:rPr>
        <w:t xml:space="preserve">ocumentos del </w:t>
      </w:r>
      <w:r w:rsidR="00AF782E">
        <w:rPr>
          <w:rFonts w:eastAsiaTheme="minorHAnsi"/>
          <w:lang w:val="es-MX" w:eastAsia="en-US" w:bidi="ar-SA"/>
        </w:rPr>
        <w:t>p</w:t>
      </w:r>
      <w:r w:rsidR="00BF2184" w:rsidRPr="00BF2184">
        <w:rPr>
          <w:rFonts w:eastAsiaTheme="minorHAnsi"/>
          <w:lang w:val="es-MX" w:eastAsia="en-US" w:bidi="ar-SA"/>
        </w:rPr>
        <w:t>roceso.</w:t>
      </w:r>
      <w:r w:rsidR="00BF2184">
        <w:rPr>
          <w:rFonts w:eastAsiaTheme="minorHAnsi"/>
          <w:lang w:val="es-MX" w:eastAsia="en-US" w:bidi="ar-SA"/>
        </w:rPr>
        <w:t xml:space="preserve"> </w:t>
      </w:r>
      <w:r w:rsidR="00BF2184" w:rsidRPr="00BF2184">
        <w:t xml:space="preserve">Usando </w:t>
      </w:r>
      <w:r w:rsidR="00066319">
        <w:t>estos dos</w:t>
      </w:r>
      <w:r w:rsidR="00BF2184" w:rsidRPr="00BF2184">
        <w:t xml:space="preserve"> documentos, la entidad estatal </w:t>
      </w:r>
      <w:r w:rsidR="00066319">
        <w:t>puede</w:t>
      </w:r>
      <w:r w:rsidR="00BF2184" w:rsidRPr="00BF2184">
        <w:t xml:space="preserve"> definir si el objeto a contratar</w:t>
      </w:r>
      <w:r w:rsidR="00C62BD4">
        <w:t>se</w:t>
      </w:r>
      <w:r w:rsidR="00BF2184" w:rsidRPr="00BF2184">
        <w:t xml:space="preserve"> debe emplear los </w:t>
      </w:r>
      <w:r w:rsidR="00AF782E">
        <w:t>d</w:t>
      </w:r>
      <w:r w:rsidR="00BF2184" w:rsidRPr="00BF2184">
        <w:t xml:space="preserve">ocumentos </w:t>
      </w:r>
      <w:r w:rsidR="00AF782E">
        <w:t>t</w:t>
      </w:r>
      <w:r w:rsidR="00BF2184" w:rsidRPr="00BF2184">
        <w:t>ipo</w:t>
      </w:r>
      <w:r w:rsidR="001422A7">
        <w:t xml:space="preserve">. </w:t>
      </w:r>
    </w:p>
    <w:p w14:paraId="38E79705" w14:textId="68D53CDF" w:rsidR="001422A7" w:rsidRDefault="001422A7" w:rsidP="001422A7">
      <w:pPr>
        <w:spacing w:after="120" w:line="276" w:lineRule="auto"/>
        <w:ind w:firstLine="709"/>
        <w:jc w:val="both"/>
        <w:rPr>
          <w:rFonts w:ascii="Arial" w:hAnsi="Arial" w:cs="Arial"/>
          <w:sz w:val="22"/>
        </w:rPr>
      </w:pPr>
      <w:r w:rsidRPr="004930D7">
        <w:rPr>
          <w:rFonts w:ascii="Arial" w:hAnsi="Arial" w:cs="Arial"/>
          <w:sz w:val="22"/>
        </w:rPr>
        <w:t>En los documentos tipo de obra pública de infraestructura de transporte, de acuerdo con las condiciones fijadas en los «Documentos Base</w:t>
      </w:r>
      <w:r w:rsidR="00C62BD4">
        <w:rPr>
          <w:rFonts w:ascii="Arial" w:hAnsi="Arial" w:cs="Arial"/>
          <w:sz w:val="22"/>
        </w:rPr>
        <w:t xml:space="preserve"> o Pliego Tipo</w:t>
      </w:r>
      <w:r w:rsidRPr="004930D7">
        <w:rPr>
          <w:rFonts w:ascii="Arial" w:hAnsi="Arial" w:cs="Arial"/>
          <w:sz w:val="22"/>
        </w:rPr>
        <w:t>», la acreditación del requisito habilitante de experiencia se aborda desde distintos criterios</w:t>
      </w:r>
      <w:r>
        <w:rPr>
          <w:rFonts w:ascii="Arial" w:hAnsi="Arial" w:cs="Arial"/>
          <w:sz w:val="22"/>
        </w:rPr>
        <w:t>. Especialmente,</w:t>
      </w:r>
      <w:r w:rsidRPr="004930D7">
        <w:rPr>
          <w:rFonts w:ascii="Arial" w:hAnsi="Arial" w:cs="Arial"/>
          <w:sz w:val="22"/>
        </w:rPr>
        <w:t xml:space="preserve"> </w:t>
      </w:r>
      <w:r>
        <w:rPr>
          <w:rFonts w:ascii="Arial" w:hAnsi="Arial" w:cs="Arial"/>
          <w:sz w:val="22"/>
        </w:rPr>
        <w:t>se destaca que</w:t>
      </w:r>
      <w:r w:rsidRPr="004930D7">
        <w:rPr>
          <w:rFonts w:ascii="Arial" w:hAnsi="Arial" w:cs="Arial"/>
          <w:sz w:val="22"/>
        </w:rPr>
        <w:t xml:space="preserve"> los contratos presentados por los proponentes deben corresponder a la actividad o actividades de experiencia general y específica que la entidad exija en el pliego de condiciones de acuerdo con los parámetros señalados en la Matriz 1.</w:t>
      </w:r>
    </w:p>
    <w:p w14:paraId="5EAB595B" w14:textId="5C510942" w:rsidR="001422A7" w:rsidRPr="005C4DDA" w:rsidRDefault="00AF782E" w:rsidP="00584F4E">
      <w:pPr>
        <w:spacing w:after="120" w:line="276" w:lineRule="auto"/>
        <w:ind w:firstLine="709"/>
        <w:jc w:val="both"/>
        <w:rPr>
          <w:rFonts w:ascii="Arial" w:hAnsi="Arial" w:cs="Arial"/>
          <w:sz w:val="22"/>
        </w:rPr>
      </w:pPr>
      <w:bookmarkStart w:id="4" w:name="_Hlk63048518"/>
      <w:r>
        <w:rPr>
          <w:rFonts w:ascii="Arial" w:hAnsi="Arial" w:cs="Arial"/>
          <w:sz w:val="22"/>
        </w:rPr>
        <w:lastRenderedPageBreak/>
        <w:t>L</w:t>
      </w:r>
      <w:r w:rsidR="00C96108" w:rsidRPr="004930D7">
        <w:rPr>
          <w:rFonts w:ascii="Arial" w:hAnsi="Arial" w:cs="Arial"/>
          <w:sz w:val="22"/>
        </w:rPr>
        <w:t xml:space="preserve">a Matriz 1, </w:t>
      </w:r>
      <w:r>
        <w:rPr>
          <w:rFonts w:ascii="Arial" w:hAnsi="Arial" w:cs="Arial"/>
          <w:sz w:val="22"/>
        </w:rPr>
        <w:t xml:space="preserve">es el </w:t>
      </w:r>
      <w:r w:rsidR="00C96108" w:rsidRPr="004930D7">
        <w:rPr>
          <w:rFonts w:ascii="Arial" w:hAnsi="Arial" w:cs="Arial"/>
          <w:sz w:val="22"/>
        </w:rPr>
        <w:t>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r>
        <w:rPr>
          <w:rFonts w:ascii="Arial" w:hAnsi="Arial" w:cs="Arial"/>
          <w:sz w:val="22"/>
        </w:rPr>
        <w:t xml:space="preserve"> Dicha </w:t>
      </w:r>
      <w:r w:rsidR="00C96108" w:rsidRPr="004930D7">
        <w:rPr>
          <w:rFonts w:ascii="Arial" w:hAnsi="Arial" w:cs="Arial"/>
          <w:sz w:val="22"/>
        </w:rPr>
        <w:t xml:space="preserve">Matriz 1 está constituida por ocho (8) tipos de obras de infraestructura de transporte, identificadas con un número y su descripción, los cuales son: </w:t>
      </w:r>
      <w:bookmarkStart w:id="5" w:name="_Hlk66742751"/>
      <w:r w:rsidR="00C96108" w:rsidRPr="004930D7">
        <w:rPr>
          <w:rFonts w:ascii="Arial" w:hAnsi="Arial" w:cs="Arial"/>
          <w:sz w:val="22"/>
        </w:rPr>
        <w:t xml:space="preserve">1) obras en vías primarias o secundarias, 2) obras en vías terciarias, 3) obras marítimas y fluviales, 4) obras en vías primarias o secundarias o terciarias para atención </w:t>
      </w:r>
      <w:r w:rsidR="00C96108" w:rsidRPr="005C4DDA">
        <w:rPr>
          <w:rFonts w:ascii="Arial" w:hAnsi="Arial" w:cs="Arial"/>
          <w:sz w:val="22"/>
        </w:rPr>
        <w:t>de emergencias diferentes a contratación directa, 5) obras férreas, 6) obras de infraestructura vial urbana, 7) obras en puentes y 8) obras aeroportuarias</w:t>
      </w:r>
      <w:bookmarkEnd w:id="5"/>
      <w:r w:rsidR="00C96108" w:rsidRPr="005C4DDA">
        <w:rPr>
          <w:rFonts w:ascii="Arial" w:hAnsi="Arial" w:cs="Arial"/>
          <w:sz w:val="22"/>
        </w:rPr>
        <w:t>.</w:t>
      </w:r>
      <w:r w:rsidR="001422A7" w:rsidRPr="005C4DDA">
        <w:rPr>
          <w:rFonts w:ascii="Arial" w:hAnsi="Arial" w:cs="Arial"/>
          <w:sz w:val="22"/>
        </w:rPr>
        <w:t xml:space="preserve"> Para cada uno de estos tipos de obras o infraestructura, contempla una serie de actividades, en función de las cuales se establecen los requisitos de experiencia general y especifica que las entidades deben exigir cuando contraten objetos contractuales que impliquen el desarrollo de tales actividades.</w:t>
      </w:r>
    </w:p>
    <w:p w14:paraId="799B24D0" w14:textId="58A0F92B" w:rsidR="00AF1E65" w:rsidRPr="005C4DDA" w:rsidRDefault="001422A7" w:rsidP="001422A7">
      <w:pPr>
        <w:pStyle w:val="Textoindependiente"/>
        <w:spacing w:after="120" w:line="276" w:lineRule="auto"/>
        <w:ind w:firstLine="607"/>
        <w:jc w:val="both"/>
      </w:pPr>
      <w:r w:rsidRPr="005C4DDA">
        <w:t xml:space="preserve">Conforme a lo anterior, la Matriz 1, en el marco de la aplicación de los documentos tipo de infraestructura de transporte, cumple una doble función. Por un lado, sirve </w:t>
      </w:r>
      <w:r w:rsidR="002871E3" w:rsidRPr="00584F4E">
        <w:t>par</w:t>
      </w:r>
      <w:r w:rsidRPr="005C4DDA">
        <w:t xml:space="preserve">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 </w:t>
      </w:r>
    </w:p>
    <w:p w14:paraId="3E8F9E7E" w14:textId="3B656272" w:rsidR="001422A7" w:rsidRPr="005C4DDA" w:rsidRDefault="001422A7" w:rsidP="001422A7">
      <w:pPr>
        <w:pStyle w:val="Textoindependiente"/>
        <w:spacing w:after="120" w:line="276" w:lineRule="auto"/>
        <w:ind w:firstLine="607"/>
        <w:jc w:val="both"/>
        <w:rPr>
          <w:rFonts w:eastAsiaTheme="minorHAnsi"/>
          <w:lang w:val="es-MX" w:eastAsia="en-US" w:bidi="ar-SA"/>
        </w:rPr>
      </w:pPr>
      <w:r w:rsidRPr="005C4DDA">
        <w:t>De esta manera, para saber si una obra pública debe contratarse aplicando documentos tipo, la entidad debe verificar los que se hayan expedido para la modalidad de selección en la que debe celebrarse el proceso, subsumiendo el objeto a co</w:t>
      </w:r>
      <w:r w:rsidR="00AF1E65" w:rsidRPr="005C4DDA">
        <w:t>ntratarse en los tipos de infraestructura a contratarse. Si la obra se encuadra materialmente dentro de alguno de los tipos de obra y actividades señaladas en la Matriz 1, se tendrán que aplicar los documentos tipo, mientras que en el caso contr</w:t>
      </w:r>
      <w:r w:rsidR="001938A5" w:rsidRPr="005C4DDA">
        <w:t>ario</w:t>
      </w:r>
      <w:r w:rsidR="00AF1E65" w:rsidRPr="005C4DDA">
        <w:t xml:space="preserve"> no será forzosa su aplicación. </w:t>
      </w:r>
    </w:p>
    <w:p w14:paraId="3B41EB80" w14:textId="34E5ACED" w:rsidR="00AF1E65" w:rsidRPr="005C4DDA" w:rsidRDefault="00C96108" w:rsidP="00AF1E65">
      <w:pPr>
        <w:spacing w:line="276" w:lineRule="auto"/>
        <w:ind w:firstLine="708"/>
        <w:jc w:val="both"/>
        <w:rPr>
          <w:rFonts w:ascii="Arial" w:hAnsi="Arial" w:cs="Arial"/>
          <w:sz w:val="22"/>
        </w:rPr>
      </w:pPr>
      <w:r w:rsidRPr="005C4DDA">
        <w:rPr>
          <w:rFonts w:ascii="Arial" w:hAnsi="Arial" w:cs="Arial"/>
          <w:sz w:val="22"/>
        </w:rPr>
        <w:t xml:space="preserve"> </w:t>
      </w:r>
      <w:r w:rsidR="00AF1E65" w:rsidRPr="005C4DDA">
        <w:rPr>
          <w:rFonts w:ascii="Arial" w:hAnsi="Arial" w:cs="Arial"/>
          <w:sz w:val="22"/>
        </w:rPr>
        <w:t xml:space="preserve">En </w:t>
      </w:r>
      <w:r w:rsidR="001938A5" w:rsidRPr="005C4DDA">
        <w:rPr>
          <w:rFonts w:ascii="Arial" w:hAnsi="Arial" w:cs="Arial"/>
          <w:sz w:val="22"/>
        </w:rPr>
        <w:t xml:space="preserve">la </w:t>
      </w:r>
      <w:r w:rsidR="00AF1E65" w:rsidRPr="005C4DDA">
        <w:rPr>
          <w:rFonts w:ascii="Arial" w:hAnsi="Arial" w:cs="Arial"/>
          <w:sz w:val="22"/>
        </w:rPr>
        <w:t>consulta que se resuelve se indaga en torno a la aplicabilidad de los documentos tipo de infraestructura de transporte</w:t>
      </w:r>
      <w:r w:rsidR="009E2EDA" w:rsidRPr="005C4DDA">
        <w:rPr>
          <w:rFonts w:ascii="Arial" w:hAnsi="Arial" w:cs="Arial"/>
          <w:sz w:val="22"/>
        </w:rPr>
        <w:t xml:space="preserve"> para</w:t>
      </w:r>
      <w:r w:rsidR="00AF1E65" w:rsidRPr="005C4DDA">
        <w:rPr>
          <w:rFonts w:ascii="Arial" w:hAnsi="Arial" w:cs="Arial"/>
          <w:sz w:val="22"/>
        </w:rPr>
        <w:t xml:space="preserve"> la contratación de la actividad de construcción de puentes peatonales. Al respecto, se advierte que la Matriz 1 adoptada para procesos de licitación de obra pública de infraestructura de transporte, en su versión 3–Resolución No. 240 de 2020–, </w:t>
      </w:r>
      <w:bookmarkEnd w:id="4"/>
      <w:r w:rsidR="00AF1E65" w:rsidRPr="005C4DDA">
        <w:rPr>
          <w:rFonts w:ascii="Arial" w:hAnsi="Arial" w:cs="Arial"/>
          <w:sz w:val="22"/>
        </w:rPr>
        <w:t xml:space="preserve">contiene el </w:t>
      </w:r>
      <w:r w:rsidRPr="005C4DDA">
        <w:rPr>
          <w:rFonts w:ascii="Arial" w:hAnsi="Arial" w:cs="Arial"/>
          <w:sz w:val="22"/>
        </w:rPr>
        <w:t xml:space="preserve">tipo de infraestructura </w:t>
      </w:r>
      <w:r w:rsidR="00F86A36" w:rsidRPr="005C4DDA">
        <w:rPr>
          <w:rFonts w:ascii="Arial" w:hAnsi="Arial" w:cs="Arial"/>
          <w:sz w:val="22"/>
        </w:rPr>
        <w:t xml:space="preserve">«7. OBRAS EN PUENTES», </w:t>
      </w:r>
      <w:r w:rsidR="00AF1E65" w:rsidRPr="005C4DDA">
        <w:rPr>
          <w:rFonts w:ascii="Arial" w:hAnsi="Arial" w:cs="Arial"/>
          <w:sz w:val="22"/>
        </w:rPr>
        <w:t xml:space="preserve">dentro de la que se </w:t>
      </w:r>
      <w:r w:rsidR="00F86A36" w:rsidRPr="005C4DDA">
        <w:rPr>
          <w:rFonts w:ascii="Arial" w:hAnsi="Arial" w:cs="Arial"/>
          <w:sz w:val="22"/>
        </w:rPr>
        <w:t>contempl</w:t>
      </w:r>
      <w:r w:rsidR="00AF1E65" w:rsidRPr="005C4DDA">
        <w:rPr>
          <w:rFonts w:ascii="Arial" w:hAnsi="Arial" w:cs="Arial"/>
          <w:sz w:val="22"/>
        </w:rPr>
        <w:t>an</w:t>
      </w:r>
      <w:r w:rsidR="00F86A36" w:rsidRPr="005C4DDA">
        <w:rPr>
          <w:rFonts w:ascii="Arial" w:hAnsi="Arial" w:cs="Arial"/>
          <w:sz w:val="22"/>
        </w:rPr>
        <w:t xml:space="preserve"> </w:t>
      </w:r>
      <w:r w:rsidR="00AF1E65" w:rsidRPr="005C4DDA">
        <w:rPr>
          <w:rFonts w:ascii="Arial" w:hAnsi="Arial" w:cs="Arial"/>
          <w:sz w:val="22"/>
        </w:rPr>
        <w:t>diferentes</w:t>
      </w:r>
      <w:r w:rsidR="00F86A36" w:rsidRPr="005C4DDA">
        <w:rPr>
          <w:rFonts w:ascii="Arial" w:hAnsi="Arial" w:cs="Arial"/>
          <w:sz w:val="22"/>
        </w:rPr>
        <w:t xml:space="preserve"> actividad</w:t>
      </w:r>
      <w:r w:rsidR="00AF1E65" w:rsidRPr="005C4DDA">
        <w:rPr>
          <w:rFonts w:ascii="Arial" w:hAnsi="Arial" w:cs="Arial"/>
          <w:sz w:val="22"/>
        </w:rPr>
        <w:t xml:space="preserve">es asociadas a la construcción de distintos tipos de puentes. En lo referente a </w:t>
      </w:r>
      <w:r w:rsidR="00AD77FC" w:rsidRPr="005C4DDA">
        <w:rPr>
          <w:rFonts w:ascii="Arial" w:hAnsi="Arial" w:cs="Arial"/>
          <w:sz w:val="22"/>
        </w:rPr>
        <w:t xml:space="preserve">la construcción de </w:t>
      </w:r>
      <w:r w:rsidR="00AF1E65" w:rsidRPr="005C4DDA">
        <w:rPr>
          <w:rFonts w:ascii="Arial" w:hAnsi="Arial" w:cs="Arial"/>
          <w:sz w:val="22"/>
        </w:rPr>
        <w:t>puentes peatonales se establece la actividad «7.7 CONSTRUCCION DE PUENTES PEATONALES EN ESTRUCTURA METÁLICA O EN CONCRETO O MIXTA»</w:t>
      </w:r>
      <w:r w:rsidR="00AD77FC" w:rsidRPr="005C4DDA">
        <w:rPr>
          <w:rFonts w:ascii="Arial" w:hAnsi="Arial" w:cs="Arial"/>
          <w:sz w:val="22"/>
        </w:rPr>
        <w:t xml:space="preserve">. Esta misma actividad, en idénticos numerales, se contempla en las matrices 1 de los documentos tipo de selección abreviada de menor cuantía versión 2–Resolución No. 241 de 2020– y en los de mínima cuantía –Resolución No. 094 de 2020–. </w:t>
      </w:r>
    </w:p>
    <w:p w14:paraId="0BF29F6F" w14:textId="0C1D7FDE" w:rsidR="00F86A36" w:rsidRPr="005C4DDA" w:rsidRDefault="00872DDE" w:rsidP="00F86A36">
      <w:pPr>
        <w:spacing w:before="120" w:line="276" w:lineRule="auto"/>
        <w:ind w:firstLine="708"/>
        <w:jc w:val="both"/>
        <w:rPr>
          <w:rFonts w:ascii="Arial" w:hAnsi="Arial" w:cs="Arial"/>
          <w:sz w:val="22"/>
        </w:rPr>
      </w:pPr>
      <w:r w:rsidRPr="005C4DDA">
        <w:rPr>
          <w:rFonts w:ascii="Arial" w:hAnsi="Arial" w:cs="Arial"/>
          <w:sz w:val="22"/>
        </w:rPr>
        <w:lastRenderedPageBreak/>
        <w:t>Lo anterio</w:t>
      </w:r>
      <w:r w:rsidR="00E722C7" w:rsidRPr="005C4DDA">
        <w:rPr>
          <w:rFonts w:ascii="Arial" w:hAnsi="Arial" w:cs="Arial"/>
          <w:sz w:val="22"/>
        </w:rPr>
        <w:t>r</w:t>
      </w:r>
      <w:r w:rsidR="00BF7511" w:rsidRPr="005C4DDA">
        <w:rPr>
          <w:rFonts w:ascii="Arial" w:hAnsi="Arial" w:cs="Arial"/>
          <w:sz w:val="22"/>
        </w:rPr>
        <w:t xml:space="preserve"> indica que la contratación de obras</w:t>
      </w:r>
      <w:r w:rsidR="00AD77FC" w:rsidRPr="005C4DDA">
        <w:rPr>
          <w:rFonts w:ascii="Arial" w:hAnsi="Arial" w:cs="Arial"/>
          <w:sz w:val="22"/>
        </w:rPr>
        <w:t xml:space="preserve"> públicas</w:t>
      </w:r>
      <w:r w:rsidR="00BF7511" w:rsidRPr="005C4DDA">
        <w:rPr>
          <w:rFonts w:ascii="Arial" w:hAnsi="Arial" w:cs="Arial"/>
          <w:sz w:val="22"/>
        </w:rPr>
        <w:t xml:space="preserve"> a través de la</w:t>
      </w:r>
      <w:r w:rsidR="0071328F" w:rsidRPr="005C4DDA">
        <w:rPr>
          <w:rFonts w:ascii="Arial" w:hAnsi="Arial" w:cs="Arial"/>
          <w:sz w:val="22"/>
        </w:rPr>
        <w:t>s</w:t>
      </w:r>
      <w:r w:rsidR="00BF7511" w:rsidRPr="005C4DDA">
        <w:rPr>
          <w:rFonts w:ascii="Arial" w:hAnsi="Arial" w:cs="Arial"/>
          <w:sz w:val="22"/>
        </w:rPr>
        <w:t xml:space="preserve"> modalidad</w:t>
      </w:r>
      <w:r w:rsidR="00AD77FC" w:rsidRPr="005C4DDA">
        <w:rPr>
          <w:rFonts w:ascii="Arial" w:hAnsi="Arial" w:cs="Arial"/>
          <w:sz w:val="22"/>
        </w:rPr>
        <w:t>es</w:t>
      </w:r>
      <w:r w:rsidR="00BF7511" w:rsidRPr="005C4DDA">
        <w:rPr>
          <w:rFonts w:ascii="Arial" w:hAnsi="Arial" w:cs="Arial"/>
          <w:sz w:val="22"/>
        </w:rPr>
        <w:t xml:space="preserve"> de licitación pública,</w:t>
      </w:r>
      <w:r w:rsidR="00AD77FC" w:rsidRPr="005C4DDA">
        <w:rPr>
          <w:rFonts w:ascii="Arial" w:hAnsi="Arial" w:cs="Arial"/>
          <w:sz w:val="22"/>
        </w:rPr>
        <w:t xml:space="preserve"> selección abreviada de menor cuantía y mínima cuantía,</w:t>
      </w:r>
      <w:r w:rsidR="00BF7511" w:rsidRPr="005C4DDA">
        <w:rPr>
          <w:rFonts w:ascii="Arial" w:hAnsi="Arial" w:cs="Arial"/>
          <w:sz w:val="22"/>
        </w:rPr>
        <w:t xml:space="preserve"> tendientes a la construcción de puentes peatonales, ya sea en estructura metálica, en concreto o mixta, debe</w:t>
      </w:r>
      <w:r w:rsidR="00AD77FC" w:rsidRPr="005C4DDA">
        <w:rPr>
          <w:rFonts w:ascii="Arial" w:hAnsi="Arial" w:cs="Arial"/>
          <w:sz w:val="22"/>
        </w:rPr>
        <w:t>n</w:t>
      </w:r>
      <w:r w:rsidR="00BF7511" w:rsidRPr="005C4DDA">
        <w:rPr>
          <w:rFonts w:ascii="Arial" w:hAnsi="Arial" w:cs="Arial"/>
          <w:sz w:val="22"/>
        </w:rPr>
        <w:t xml:space="preserve"> contratarse aplicando documentos tipo de infraestructura de transporte. No obstante, debe</w:t>
      </w:r>
      <w:r w:rsidR="007C3826" w:rsidRPr="005C4DDA">
        <w:rPr>
          <w:rFonts w:ascii="Arial" w:hAnsi="Arial" w:cs="Arial"/>
          <w:sz w:val="22"/>
        </w:rPr>
        <w:t xml:space="preserve"> </w:t>
      </w:r>
      <w:r w:rsidR="00BF7511" w:rsidRPr="005C4DDA">
        <w:rPr>
          <w:rFonts w:ascii="Arial" w:hAnsi="Arial" w:cs="Arial"/>
          <w:sz w:val="22"/>
        </w:rPr>
        <w:t xml:space="preserve">advertirse que </w:t>
      </w:r>
      <w:r w:rsidR="007C3826" w:rsidRPr="005C4DDA">
        <w:rPr>
          <w:rFonts w:ascii="Arial" w:hAnsi="Arial" w:cs="Arial"/>
          <w:sz w:val="22"/>
        </w:rPr>
        <w:t xml:space="preserve">es </w:t>
      </w:r>
      <w:r w:rsidR="00BF7511" w:rsidRPr="005C4DDA">
        <w:rPr>
          <w:rFonts w:ascii="Arial" w:hAnsi="Arial" w:cs="Arial"/>
          <w:sz w:val="22"/>
        </w:rPr>
        <w:t>la entidad contratante</w:t>
      </w:r>
      <w:r w:rsidR="007C3826" w:rsidRPr="005C4DDA">
        <w:rPr>
          <w:rFonts w:ascii="Arial" w:hAnsi="Arial" w:cs="Arial"/>
          <w:sz w:val="22"/>
        </w:rPr>
        <w:t>,</w:t>
      </w:r>
      <w:r w:rsidR="00BF7511" w:rsidRPr="005C4DDA">
        <w:rPr>
          <w:rFonts w:ascii="Arial" w:hAnsi="Arial" w:cs="Arial"/>
          <w:sz w:val="22"/>
        </w:rPr>
        <w:t xml:space="preserve"> al momento de planear la contratación, quien debe determinar si de acuerdo con las particularidades del objeto contractual, este encaja o no dentro de alguna de las actividades de la Matriz 1, y si en consecuencia deben aplicarse o no los documentos tipo, sin que pueda </w:t>
      </w:r>
      <w:r w:rsidR="00D13E86" w:rsidRPr="00584F4E">
        <w:rPr>
          <w:rFonts w:ascii="Arial" w:hAnsi="Arial" w:cs="Arial"/>
          <w:sz w:val="22"/>
        </w:rPr>
        <w:t>apartarse</w:t>
      </w:r>
      <w:r w:rsidR="00CE4E7D" w:rsidRPr="00584F4E">
        <w:rPr>
          <w:rFonts w:ascii="Arial" w:hAnsi="Arial" w:cs="Arial"/>
          <w:sz w:val="22"/>
        </w:rPr>
        <w:t xml:space="preserve"> de</w:t>
      </w:r>
      <w:r w:rsidR="00BF7511" w:rsidRPr="005C4DDA">
        <w:rPr>
          <w:rFonts w:ascii="Arial" w:hAnsi="Arial" w:cs="Arial"/>
          <w:sz w:val="22"/>
        </w:rPr>
        <w:t xml:space="preserve"> su aplicación cuando materialmente el objeto a contratar </w:t>
      </w:r>
      <w:r w:rsidR="00622F76" w:rsidRPr="005C4DDA">
        <w:rPr>
          <w:rFonts w:ascii="Arial" w:hAnsi="Arial" w:cs="Arial"/>
          <w:sz w:val="22"/>
        </w:rPr>
        <w:t>corresponde con alguna actividad de contemplada en dicha matriz</w:t>
      </w:r>
      <w:r w:rsidR="00622F76" w:rsidRPr="005C4DDA">
        <w:rPr>
          <w:rStyle w:val="Refdenotaalpie"/>
          <w:rFonts w:ascii="Arial" w:hAnsi="Arial" w:cs="Arial"/>
          <w:sz w:val="22"/>
        </w:rPr>
        <w:footnoteReference w:id="5"/>
      </w:r>
      <w:r w:rsidR="00622F76" w:rsidRPr="005C4DDA">
        <w:rPr>
          <w:rFonts w:ascii="Arial" w:hAnsi="Arial" w:cs="Arial"/>
          <w:sz w:val="22"/>
        </w:rPr>
        <w:t xml:space="preserve">. </w:t>
      </w:r>
      <w:r w:rsidR="00BF7511" w:rsidRPr="005C4DDA">
        <w:rPr>
          <w:rFonts w:ascii="Arial" w:hAnsi="Arial" w:cs="Arial"/>
          <w:sz w:val="22"/>
        </w:rPr>
        <w:t xml:space="preserve"> </w:t>
      </w:r>
    </w:p>
    <w:p w14:paraId="0AC99F3A" w14:textId="77777777" w:rsidR="00D74DAF" w:rsidRPr="005C4DDA" w:rsidRDefault="00D74DAF" w:rsidP="00860CDF">
      <w:pPr>
        <w:pStyle w:val="Prrafodelista"/>
        <w:tabs>
          <w:tab w:val="left" w:pos="284"/>
        </w:tabs>
        <w:spacing w:line="276" w:lineRule="auto"/>
        <w:ind w:left="0"/>
        <w:jc w:val="both"/>
        <w:rPr>
          <w:rFonts w:ascii="Arial" w:eastAsia="Calibri" w:hAnsi="Arial" w:cs="Arial"/>
          <w:b/>
          <w:sz w:val="22"/>
        </w:rPr>
      </w:pPr>
    </w:p>
    <w:p w14:paraId="760E4337" w14:textId="4DA13DD1" w:rsidR="00A945C1" w:rsidRPr="005C4DDA" w:rsidRDefault="00A945C1" w:rsidP="00860CDF">
      <w:pPr>
        <w:pStyle w:val="Prrafodelista"/>
        <w:tabs>
          <w:tab w:val="left" w:pos="284"/>
        </w:tabs>
        <w:spacing w:line="276" w:lineRule="auto"/>
        <w:ind w:left="0"/>
        <w:jc w:val="both"/>
        <w:rPr>
          <w:rFonts w:ascii="Arial" w:eastAsia="Calibri" w:hAnsi="Arial" w:cs="Arial"/>
          <w:sz w:val="22"/>
        </w:rPr>
      </w:pPr>
      <w:r w:rsidRPr="005C4DDA">
        <w:rPr>
          <w:rFonts w:ascii="Arial" w:eastAsia="Calibri" w:hAnsi="Arial" w:cs="Arial"/>
          <w:b/>
          <w:sz w:val="22"/>
        </w:rPr>
        <w:t>3. Respuesta</w:t>
      </w:r>
    </w:p>
    <w:p w14:paraId="1E97F575" w14:textId="77777777" w:rsidR="004C492C" w:rsidRPr="005C4DDA" w:rsidRDefault="004C492C" w:rsidP="00584F4E">
      <w:pPr>
        <w:ind w:left="709" w:right="709"/>
        <w:jc w:val="both"/>
        <w:rPr>
          <w:rFonts w:ascii="Arial" w:eastAsia="Calibri" w:hAnsi="Arial" w:cs="Arial"/>
          <w:i/>
          <w:sz w:val="22"/>
        </w:rPr>
      </w:pPr>
    </w:p>
    <w:p w14:paraId="4FC302E4" w14:textId="7FD847C5" w:rsidR="0042662E" w:rsidRPr="005C4DDA" w:rsidRDefault="0042662E" w:rsidP="0042662E">
      <w:pPr>
        <w:ind w:left="709" w:right="709"/>
        <w:jc w:val="both"/>
        <w:rPr>
          <w:rFonts w:ascii="Arial" w:eastAsia="Calibri" w:hAnsi="Arial" w:cs="Arial"/>
          <w:sz w:val="21"/>
          <w:szCs w:val="21"/>
        </w:rPr>
      </w:pPr>
      <w:r w:rsidRPr="005C4DDA">
        <w:rPr>
          <w:rFonts w:ascii="Arial" w:eastAsia="Calibri" w:hAnsi="Arial" w:cs="Arial"/>
          <w:sz w:val="21"/>
          <w:szCs w:val="21"/>
        </w:rPr>
        <w:t>«</w:t>
      </w:r>
      <w:r w:rsidR="004C492C" w:rsidRPr="005C4DDA">
        <w:rPr>
          <w:rFonts w:ascii="Arial" w:eastAsia="Calibri" w:hAnsi="Arial" w:cs="Arial"/>
          <w:sz w:val="21"/>
          <w:szCs w:val="21"/>
        </w:rPr>
        <w:t>¿El proceso contractual que debe adelantarse para la construcción de un puente peatonal debe adelantarse a través de pliegos tipo?</w:t>
      </w:r>
      <w:r w:rsidR="002610FF" w:rsidRPr="005C4DDA">
        <w:rPr>
          <w:rFonts w:ascii="Arial" w:eastAsia="Calibri" w:hAnsi="Arial" w:cs="Arial"/>
          <w:sz w:val="21"/>
          <w:szCs w:val="21"/>
        </w:rPr>
        <w:t>»</w:t>
      </w:r>
    </w:p>
    <w:p w14:paraId="74F85EF9" w14:textId="77777777" w:rsidR="00487D0D" w:rsidRPr="005C4DDA" w:rsidRDefault="00487D0D" w:rsidP="0037725F">
      <w:pPr>
        <w:spacing w:line="276" w:lineRule="auto"/>
        <w:ind w:left="709" w:right="709"/>
        <w:jc w:val="both"/>
        <w:rPr>
          <w:rFonts w:ascii="Arial" w:eastAsia="Calibri" w:hAnsi="Arial" w:cs="Arial"/>
          <w:sz w:val="22"/>
        </w:rPr>
      </w:pPr>
    </w:p>
    <w:p w14:paraId="67504957" w14:textId="5C779FBE" w:rsidR="00622F76" w:rsidRPr="005C4DDA" w:rsidRDefault="00AD77FC" w:rsidP="00AD77FC">
      <w:pPr>
        <w:spacing w:after="120" w:line="276" w:lineRule="auto"/>
        <w:jc w:val="both"/>
        <w:rPr>
          <w:rFonts w:ascii="Arial" w:eastAsia="Calibri" w:hAnsi="Arial" w:cs="Arial"/>
          <w:sz w:val="22"/>
        </w:rPr>
      </w:pPr>
      <w:r w:rsidRPr="005C4DDA">
        <w:rPr>
          <w:rFonts w:ascii="Arial" w:eastAsia="Calibri" w:hAnsi="Arial" w:cs="Arial"/>
          <w:sz w:val="22"/>
        </w:rPr>
        <w:t xml:space="preserve">En virtud de lo dispuesto por el parágrafo 7 del artículo 2 de la Ley 1150 de 2007, modificado por la Ley 2022 de 2020, </w:t>
      </w:r>
      <w:r w:rsidR="00622F76" w:rsidRPr="005C4DDA">
        <w:rPr>
          <w:rFonts w:ascii="Arial" w:eastAsia="Calibri" w:hAnsi="Arial" w:cs="Arial"/>
          <w:sz w:val="22"/>
        </w:rPr>
        <w:t xml:space="preserve">los documentos tipo de </w:t>
      </w:r>
      <w:r w:rsidRPr="005C4DDA">
        <w:rPr>
          <w:rFonts w:ascii="Arial" w:eastAsia="Calibri" w:hAnsi="Arial" w:cs="Arial"/>
          <w:sz w:val="22"/>
        </w:rPr>
        <w:t xml:space="preserve">obra pública de </w:t>
      </w:r>
      <w:r w:rsidR="00622F76" w:rsidRPr="005C4DDA">
        <w:rPr>
          <w:rFonts w:ascii="Arial" w:eastAsia="Calibri" w:hAnsi="Arial" w:cs="Arial"/>
          <w:sz w:val="22"/>
        </w:rPr>
        <w:t xml:space="preserve">infraestructura de transporte expedidos por la Agencia Nacional de Contratación Pública –Colombia Compra Eficiente– son obligatorios para las entidades estatales regidas por el Estatuto de Contratación de la </w:t>
      </w:r>
      <w:r w:rsidRPr="005C4DDA">
        <w:rPr>
          <w:rFonts w:ascii="Arial" w:eastAsia="Calibri" w:hAnsi="Arial" w:cs="Arial"/>
          <w:sz w:val="22"/>
        </w:rPr>
        <w:t>Administración</w:t>
      </w:r>
      <w:r w:rsidR="00622F76" w:rsidRPr="005C4DDA">
        <w:rPr>
          <w:rFonts w:ascii="Arial" w:eastAsia="Calibri" w:hAnsi="Arial" w:cs="Arial"/>
          <w:sz w:val="22"/>
        </w:rPr>
        <w:t xml:space="preserve"> Pública.</w:t>
      </w:r>
      <w:r w:rsidRPr="005C4DDA">
        <w:rPr>
          <w:rFonts w:ascii="Arial" w:eastAsia="Calibri" w:hAnsi="Arial" w:cs="Arial"/>
          <w:sz w:val="22"/>
        </w:rPr>
        <w:t xml:space="preserve"> Conforme a lo expuesto, el ámbito de aplicación de estos documentos está determinado por lo tipos de infraestructura de </w:t>
      </w:r>
      <w:r w:rsidR="00030584" w:rsidRPr="005C4DDA">
        <w:rPr>
          <w:rFonts w:ascii="Arial" w:eastAsia="Calibri" w:hAnsi="Arial" w:cs="Arial"/>
          <w:sz w:val="22"/>
        </w:rPr>
        <w:t xml:space="preserve">transporte </w:t>
      </w:r>
      <w:r w:rsidR="005C4DDA">
        <w:rPr>
          <w:rFonts w:ascii="Arial" w:eastAsia="Calibri" w:hAnsi="Arial" w:cs="Arial"/>
          <w:sz w:val="22"/>
        </w:rPr>
        <w:t xml:space="preserve">y </w:t>
      </w:r>
      <w:r w:rsidR="00030584" w:rsidRPr="005C4DDA">
        <w:rPr>
          <w:rFonts w:ascii="Arial" w:eastAsia="Calibri" w:hAnsi="Arial" w:cs="Arial"/>
          <w:sz w:val="22"/>
        </w:rPr>
        <w:t>actividades</w:t>
      </w:r>
      <w:r w:rsidRPr="005C4DDA">
        <w:rPr>
          <w:rFonts w:ascii="Arial" w:eastAsia="Calibri" w:hAnsi="Arial" w:cs="Arial"/>
          <w:sz w:val="22"/>
        </w:rPr>
        <w:t xml:space="preserve"> contemplad</w:t>
      </w:r>
      <w:r w:rsidR="00030584" w:rsidRPr="005C4DDA">
        <w:rPr>
          <w:rFonts w:ascii="Arial" w:eastAsia="Calibri" w:hAnsi="Arial" w:cs="Arial"/>
          <w:sz w:val="22"/>
        </w:rPr>
        <w:t>o</w:t>
      </w:r>
      <w:r w:rsidRPr="005C4DDA">
        <w:rPr>
          <w:rFonts w:ascii="Arial" w:eastAsia="Calibri" w:hAnsi="Arial" w:cs="Arial"/>
          <w:sz w:val="22"/>
        </w:rPr>
        <w:t xml:space="preserve">s en la «Matriz 1 – Experiencia», de tal manera </w:t>
      </w:r>
      <w:r w:rsidR="0078412E" w:rsidRPr="005C4DDA">
        <w:rPr>
          <w:rFonts w:ascii="Arial" w:eastAsia="Calibri" w:hAnsi="Arial" w:cs="Arial"/>
          <w:sz w:val="22"/>
        </w:rPr>
        <w:t>que,</w:t>
      </w:r>
      <w:r w:rsidRPr="005C4DDA">
        <w:rPr>
          <w:rFonts w:ascii="Arial" w:eastAsia="Calibri" w:hAnsi="Arial" w:cs="Arial"/>
          <w:sz w:val="22"/>
        </w:rPr>
        <w:t xml:space="preserve"> si el objeto a contratar encaja dentro de estos, las entidades deben aplicar, forzosamente, los respectivos documentos tipo</w:t>
      </w:r>
      <w:r w:rsidR="00030584" w:rsidRPr="005C4DDA">
        <w:rPr>
          <w:rFonts w:ascii="Arial" w:eastAsia="Calibri" w:hAnsi="Arial" w:cs="Arial"/>
          <w:sz w:val="22"/>
        </w:rPr>
        <w:t>.</w:t>
      </w:r>
    </w:p>
    <w:p w14:paraId="03A219D9" w14:textId="61A0EDAC" w:rsidR="00AD77FC" w:rsidRDefault="00AD77FC" w:rsidP="00AA2832">
      <w:pPr>
        <w:spacing w:after="120" w:line="276" w:lineRule="auto"/>
        <w:jc w:val="both"/>
        <w:rPr>
          <w:rFonts w:ascii="Arial" w:eastAsia="Calibri" w:hAnsi="Arial" w:cs="Arial"/>
          <w:sz w:val="22"/>
        </w:rPr>
      </w:pPr>
      <w:r w:rsidRPr="005C4DDA">
        <w:rPr>
          <w:rFonts w:ascii="Arial" w:eastAsia="Calibri" w:hAnsi="Arial" w:cs="Arial"/>
          <w:sz w:val="22"/>
        </w:rPr>
        <w:tab/>
        <w:t>Revisadas las matrices 1 de los documentos tipo de licitación</w:t>
      </w:r>
      <w:r w:rsidR="00030584" w:rsidRPr="005C4DDA">
        <w:rPr>
          <w:rFonts w:ascii="Arial" w:eastAsia="Calibri" w:hAnsi="Arial" w:cs="Arial"/>
          <w:sz w:val="22"/>
        </w:rPr>
        <w:t>, selección abreviada de menor cuantía y mínima cuantía, expedidos por esta Agencia a través de las Resoluciones No. 240, 241 y 094</w:t>
      </w:r>
      <w:r w:rsidR="0078412E" w:rsidRPr="005C4DDA">
        <w:rPr>
          <w:rFonts w:ascii="Arial" w:eastAsia="Calibri" w:hAnsi="Arial" w:cs="Arial"/>
          <w:sz w:val="22"/>
        </w:rPr>
        <w:t xml:space="preserve"> de 2020</w:t>
      </w:r>
      <w:r w:rsidR="00030584" w:rsidRPr="005C4DDA">
        <w:rPr>
          <w:rFonts w:ascii="Arial" w:eastAsia="Calibri" w:hAnsi="Arial" w:cs="Arial"/>
          <w:sz w:val="22"/>
        </w:rPr>
        <w:t xml:space="preserve">, respectivamente, se advierte que </w:t>
      </w:r>
      <w:r w:rsidR="0078412E" w:rsidRPr="005C4DDA">
        <w:rPr>
          <w:rFonts w:ascii="Arial" w:eastAsia="Calibri" w:hAnsi="Arial" w:cs="Arial"/>
          <w:sz w:val="22"/>
        </w:rPr>
        <w:t xml:space="preserve">todas </w:t>
      </w:r>
      <w:r w:rsidR="00030584" w:rsidRPr="005C4DDA">
        <w:rPr>
          <w:rFonts w:ascii="Arial" w:eastAsia="Calibri" w:hAnsi="Arial" w:cs="Arial"/>
          <w:sz w:val="22"/>
        </w:rPr>
        <w:t xml:space="preserve">estas </w:t>
      </w:r>
      <w:r w:rsidR="00030584" w:rsidRPr="005C4DDA">
        <w:rPr>
          <w:rFonts w:ascii="Arial" w:eastAsia="Calibri" w:hAnsi="Arial" w:cs="Arial"/>
          <w:sz w:val="22"/>
        </w:rPr>
        <w:lastRenderedPageBreak/>
        <w:t xml:space="preserve">contemplan, dentro del tipo de infraestructura </w:t>
      </w:r>
      <w:r w:rsidR="0078412E" w:rsidRPr="005C4DDA">
        <w:rPr>
          <w:rFonts w:ascii="Arial" w:eastAsia="Calibri" w:hAnsi="Arial" w:cs="Arial"/>
          <w:sz w:val="22"/>
        </w:rPr>
        <w:t>«</w:t>
      </w:r>
      <w:r w:rsidR="00030584" w:rsidRPr="005C4DDA">
        <w:rPr>
          <w:rFonts w:ascii="Arial" w:hAnsi="Arial" w:cs="Arial"/>
          <w:sz w:val="22"/>
        </w:rPr>
        <w:t>7. OBRAS EN PUENTES», la actividad «7.7 CONSTRUCCION DE PUENTES PEATONALES EN ESTRUCTURA METÁLICA O EN CONCRETO O MIXTA». Esto significa que las entidades estatales regidas por el Estatuto General de Contratación de la Administración Pública obligatoriamente deben contratar la construcción de puentes peatonales aplicando los documentos tipo de la correspondiente modalidad de escogencia</w:t>
      </w:r>
      <w:r w:rsidR="00B039DA" w:rsidRPr="005C4DDA">
        <w:rPr>
          <w:rFonts w:ascii="Arial" w:hAnsi="Arial" w:cs="Arial"/>
          <w:sz w:val="22"/>
        </w:rPr>
        <w:t xml:space="preserve">, cuando el objeto a contratar </w:t>
      </w:r>
      <w:r w:rsidR="006E58A2" w:rsidRPr="005C4DDA">
        <w:rPr>
          <w:rFonts w:ascii="Arial" w:hAnsi="Arial" w:cs="Arial"/>
          <w:sz w:val="22"/>
        </w:rPr>
        <w:t>corresponda con dichos tipos de infraestructura y actividad.</w:t>
      </w:r>
      <w:r w:rsidR="00030584">
        <w:rPr>
          <w:rFonts w:ascii="Arial" w:hAnsi="Arial" w:cs="Arial"/>
          <w:sz w:val="22"/>
        </w:rPr>
        <w:t xml:space="preserve"> </w:t>
      </w:r>
    </w:p>
    <w:p w14:paraId="5ECA4799" w14:textId="77777777" w:rsidR="009C2C65" w:rsidRPr="004930D7" w:rsidRDefault="009C2C65" w:rsidP="00F374BC">
      <w:pPr>
        <w:spacing w:line="276" w:lineRule="auto"/>
        <w:jc w:val="both"/>
        <w:rPr>
          <w:rFonts w:ascii="Arial" w:eastAsia="Calibri" w:hAnsi="Arial" w:cs="Arial"/>
          <w:sz w:val="22"/>
        </w:rPr>
      </w:pPr>
    </w:p>
    <w:p w14:paraId="3C9A3F31" w14:textId="77777777" w:rsidR="00A91145" w:rsidRPr="00A91145" w:rsidRDefault="00A91145" w:rsidP="00F374BC">
      <w:pPr>
        <w:spacing w:line="276" w:lineRule="auto"/>
        <w:jc w:val="both"/>
        <w:rPr>
          <w:rFonts w:ascii="Arial" w:eastAsia="Calibri" w:hAnsi="Arial" w:cs="Arial"/>
          <w:noProof/>
          <w:sz w:val="22"/>
          <w:lang w:val="es-ES_tradnl"/>
        </w:rPr>
      </w:pPr>
      <w:bookmarkStart w:id="6" w:name="_Hlk63048178"/>
      <w:r w:rsidRPr="00A91145">
        <w:rPr>
          <w:rFonts w:ascii="Arial" w:eastAsia="Calibri" w:hAnsi="Arial" w:cs="Arial"/>
          <w:noProof/>
          <w:sz w:val="22"/>
          <w:lang w:val="es-ES_tradnl"/>
        </w:rPr>
        <w:t>Este concepto tiene el alcance previsto en el artículo 28 del Código de Procedimiento Administrativo y de lo Contencioso Administrativo.</w:t>
      </w:r>
    </w:p>
    <w:p w14:paraId="63B97347" w14:textId="39559EA6" w:rsidR="00A91145" w:rsidRPr="00A91145" w:rsidRDefault="00A91145" w:rsidP="00A91145">
      <w:pPr>
        <w:spacing w:line="276" w:lineRule="auto"/>
        <w:jc w:val="both"/>
        <w:rPr>
          <w:rFonts w:ascii="Arial" w:eastAsia="Calibri" w:hAnsi="Arial" w:cs="Arial"/>
          <w:noProof/>
          <w:sz w:val="22"/>
          <w:lang w:val="es-ES_tradnl"/>
        </w:rPr>
      </w:pPr>
      <w:r w:rsidRPr="00A91145">
        <w:rPr>
          <w:rFonts w:ascii="Calibri" w:eastAsia="Calibri" w:hAnsi="Calibri" w:cs="Times New Roman"/>
          <w:noProof/>
        </w:rPr>
        <mc:AlternateContent>
          <mc:Choice Requires="wps">
            <w:drawing>
              <wp:anchor distT="0" distB="0" distL="114300" distR="114300" simplePos="0" relativeHeight="251658752" behindDoc="0" locked="0" layoutInCell="1" allowOverlap="1" wp14:anchorId="7B1736F3" wp14:editId="24B415A8">
                <wp:simplePos x="0" y="0"/>
                <wp:positionH relativeFrom="page">
                  <wp:posOffset>1514475</wp:posOffset>
                </wp:positionH>
                <wp:positionV relativeFrom="paragraph">
                  <wp:posOffset>10160</wp:posOffset>
                </wp:positionV>
                <wp:extent cx="4686300" cy="0"/>
                <wp:effectExtent l="0" t="0" r="0" b="0"/>
                <wp:wrapNone/>
                <wp:docPr id="2"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A0CB8C" id="Conector recto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" strokecolor="#dbdbdb">
                <w10:wrap anchorx="page"/>
              </v:line>
            </w:pict>
          </mc:Fallback>
        </mc:AlternateContent>
      </w:r>
    </w:p>
    <w:p w14:paraId="5C88672C" w14:textId="659569F2" w:rsidR="00A91145" w:rsidRDefault="00A91145" w:rsidP="00A91145">
      <w:pPr>
        <w:textAlignment w:val="baseline"/>
        <w:rPr>
          <w:rFonts w:ascii="Arial" w:eastAsia="Times New Roman" w:hAnsi="Arial" w:cs="Arial"/>
          <w:sz w:val="22"/>
          <w:lang w:val="es-CO" w:eastAsia="es-CO"/>
        </w:rPr>
      </w:pPr>
      <w:r w:rsidRPr="00A91145">
        <w:rPr>
          <w:rFonts w:ascii="Arial" w:eastAsia="Times New Roman" w:hAnsi="Arial" w:cs="Arial"/>
          <w:sz w:val="22"/>
          <w:lang w:eastAsia="es-CO"/>
        </w:rPr>
        <w:t>Atentamente,</w:t>
      </w:r>
      <w:r w:rsidRPr="00A91145">
        <w:rPr>
          <w:rFonts w:ascii="Arial" w:eastAsia="Times New Roman" w:hAnsi="Arial" w:cs="Arial"/>
          <w:sz w:val="22"/>
          <w:lang w:val="es-CO" w:eastAsia="es-CO"/>
        </w:rPr>
        <w:t> </w:t>
      </w:r>
    </w:p>
    <w:p w14:paraId="300E5BEE" w14:textId="77777777" w:rsidR="009422DD" w:rsidRPr="00A91145" w:rsidRDefault="009422DD" w:rsidP="00A91145">
      <w:pPr>
        <w:textAlignment w:val="baseline"/>
        <w:rPr>
          <w:rFonts w:ascii="Segoe UI" w:eastAsia="Times New Roman" w:hAnsi="Segoe UI" w:cs="Segoe UI"/>
          <w:sz w:val="18"/>
          <w:szCs w:val="18"/>
          <w:lang w:val="es-CO" w:eastAsia="es-CO"/>
        </w:rPr>
      </w:pPr>
    </w:p>
    <w:p w14:paraId="77EAF0E7" w14:textId="7B682662" w:rsidR="00A91145" w:rsidRPr="00A91145" w:rsidRDefault="009422DD" w:rsidP="009422DD">
      <w:pPr>
        <w:jc w:val="center"/>
        <w:textAlignment w:val="baseline"/>
        <w:rPr>
          <w:rFonts w:ascii="Segoe UI" w:eastAsia="Times New Roman" w:hAnsi="Segoe UI" w:cs="Segoe UI"/>
          <w:sz w:val="18"/>
          <w:szCs w:val="18"/>
          <w:lang w:val="es-CO" w:eastAsia="es-CO"/>
        </w:rPr>
      </w:pPr>
      <w:r>
        <w:rPr>
          <w:noProof/>
        </w:rPr>
        <w:drawing>
          <wp:inline distT="0" distB="0" distL="0" distR="0" wp14:anchorId="0916323C" wp14:editId="3391E7F0">
            <wp:extent cx="2438400" cy="1076325"/>
            <wp:effectExtent l="0" t="0" r="0" b="0"/>
            <wp:docPr id="1386808044" name="Imagen 138680804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08044" name="Imagen 138680804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438400" cy="1076325"/>
                    </a:xfrm>
                    <a:prstGeom prst="rect">
                      <a:avLst/>
                    </a:prstGeom>
                  </pic:spPr>
                </pic:pic>
              </a:graphicData>
            </a:graphic>
          </wp:inline>
        </w:drawing>
      </w:r>
    </w:p>
    <w:p w14:paraId="0B28B9AB" w14:textId="17D73154" w:rsidR="00A91145" w:rsidRPr="00A91145" w:rsidRDefault="00A91145" w:rsidP="00A91145">
      <w:pPr>
        <w:jc w:val="center"/>
        <w:textAlignment w:val="baseline"/>
        <w:rPr>
          <w:rFonts w:ascii="Segoe UI" w:eastAsia="Times New Roman" w:hAnsi="Segoe UI" w:cs="Segoe UI"/>
          <w:sz w:val="18"/>
          <w:szCs w:val="18"/>
          <w:lang w:val="es-CO" w:eastAsia="es-CO"/>
        </w:rPr>
      </w:pPr>
      <w:r w:rsidRPr="00A91145">
        <w:rPr>
          <w:rFonts w:ascii="Arial" w:eastAsia="Times New Roman" w:hAnsi="Arial" w:cs="Arial"/>
          <w:sz w:val="18"/>
          <w:szCs w:val="18"/>
          <w:lang w:val="es-CO" w:eastAsia="es-CO"/>
        </w:rPr>
        <w:t> </w:t>
      </w:r>
    </w:p>
    <w:p w14:paraId="34679064" w14:textId="77777777" w:rsidR="00A91145" w:rsidRPr="00A91145" w:rsidRDefault="00A91145" w:rsidP="00A91145">
      <w:pPr>
        <w:jc w:val="center"/>
        <w:textAlignment w:val="baseline"/>
        <w:rPr>
          <w:rFonts w:ascii="Segoe UI" w:eastAsia="Times New Roman" w:hAnsi="Segoe UI" w:cs="Segoe UI"/>
          <w:sz w:val="18"/>
          <w:szCs w:val="18"/>
          <w:lang w:val="es-CO" w:eastAsia="es-CO"/>
        </w:rPr>
      </w:pPr>
      <w:r w:rsidRPr="00A91145">
        <w:rPr>
          <w:rFonts w:ascii="Arial" w:eastAsia="Times New Roman" w:hAnsi="Arial" w:cs="Arial"/>
          <w:sz w:val="18"/>
          <w:szCs w:val="18"/>
          <w:lang w:val="es-CO" w:eastAsia="es-CO"/>
        </w:rPr>
        <w:t> </w:t>
      </w:r>
    </w:p>
    <w:p w14:paraId="1C86AFA1" w14:textId="16AA716D" w:rsidR="00BA4FBE" w:rsidRDefault="00BA4FBE" w:rsidP="00BA4FBE">
      <w:pPr>
        <w:jc w:val="center"/>
        <w:textAlignment w:val="baseline"/>
        <w:rPr>
          <w:rFonts w:ascii="Arial" w:eastAsia="Times New Roman" w:hAnsi="Arial" w:cs="Arial"/>
          <w:sz w:val="18"/>
          <w:szCs w:val="18"/>
          <w:lang w:val="es-CO" w:eastAsia="es-CO"/>
        </w:rPr>
      </w:pPr>
      <w:r>
        <w:rPr>
          <w:rFonts w:ascii="Arial" w:eastAsia="Times New Roman" w:hAnsi="Arial" w:cs="Arial"/>
          <w:sz w:val="18"/>
          <w:szCs w:val="18"/>
          <w:lang w:val="es-CO" w:eastAsia="es-CO"/>
        </w:rPr>
        <w:t> </w:t>
      </w:r>
    </w:p>
    <w:p w14:paraId="48E2F2AE" w14:textId="4584E643" w:rsidR="0071328F" w:rsidRDefault="0071328F" w:rsidP="009422DD">
      <w:pPr>
        <w:textAlignment w:val="baseline"/>
        <w:rPr>
          <w:rFonts w:ascii="Segoe UI" w:eastAsia="Times New Roman" w:hAnsi="Segoe UI" w:cs="Segoe UI"/>
          <w:sz w:val="18"/>
          <w:szCs w:val="18"/>
          <w:lang w:val="es-CO" w:eastAsia="es-CO"/>
        </w:rPr>
      </w:pPr>
    </w:p>
    <w:p w14:paraId="16826525" w14:textId="236EF6E3" w:rsidR="0071328F" w:rsidRDefault="0071328F" w:rsidP="00BA4FBE">
      <w:pPr>
        <w:jc w:val="center"/>
        <w:textAlignment w:val="baseline"/>
        <w:rPr>
          <w:rFonts w:ascii="Segoe UI" w:eastAsia="Times New Roman" w:hAnsi="Segoe UI" w:cs="Segoe UI"/>
          <w:sz w:val="18"/>
          <w:szCs w:val="18"/>
          <w:lang w:val="es-CO" w:eastAsia="es-CO"/>
        </w:rPr>
      </w:pPr>
    </w:p>
    <w:p w14:paraId="73023003" w14:textId="77777777" w:rsidR="0071328F" w:rsidRDefault="0071328F" w:rsidP="00BA4FBE">
      <w:pPr>
        <w:jc w:val="center"/>
        <w:textAlignment w:val="baseline"/>
        <w:rPr>
          <w:rFonts w:ascii="Segoe UI" w:eastAsia="Times New Roman" w:hAnsi="Segoe UI" w:cs="Segoe UI"/>
          <w:sz w:val="18"/>
          <w:szCs w:val="18"/>
          <w:lang w:val="es-CO" w:eastAsia="es-CO"/>
        </w:rPr>
      </w:pPr>
    </w:p>
    <w:tbl>
      <w:tblPr>
        <w:tblW w:w="5220" w:type="dxa"/>
        <w:tblCellMar>
          <w:left w:w="0" w:type="dxa"/>
          <w:right w:w="0" w:type="dxa"/>
        </w:tblCellMar>
        <w:tblLook w:val="04A0" w:firstRow="1" w:lastRow="0" w:firstColumn="1" w:lastColumn="0" w:noHBand="0" w:noVBand="1"/>
      </w:tblPr>
      <w:tblGrid>
        <w:gridCol w:w="810"/>
        <w:gridCol w:w="4410"/>
      </w:tblGrid>
      <w:tr w:rsidR="00BA4FBE" w14:paraId="3F100552" w14:textId="77777777" w:rsidTr="00584F4E">
        <w:trPr>
          <w:trHeight w:val="315"/>
        </w:trPr>
        <w:tc>
          <w:tcPr>
            <w:tcW w:w="810" w:type="dxa"/>
            <w:vAlign w:val="center"/>
            <w:hideMark/>
          </w:tcPr>
          <w:p w14:paraId="760C726D"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Elaboró:</w:t>
            </w:r>
            <w:r>
              <w:rPr>
                <w:rFonts w:ascii="Arial" w:eastAsia="Times New Roman" w:hAnsi="Arial" w:cs="Arial"/>
                <w:sz w:val="16"/>
                <w:szCs w:val="16"/>
                <w:lang w:val="es-CO" w:eastAsia="es-CO"/>
              </w:rPr>
              <w:t> </w:t>
            </w:r>
          </w:p>
        </w:tc>
        <w:tc>
          <w:tcPr>
            <w:tcW w:w="4410" w:type="dxa"/>
            <w:vAlign w:val="center"/>
            <w:hideMark/>
          </w:tcPr>
          <w:p w14:paraId="568EAF9D" w14:textId="4D229CE4" w:rsidR="00BA4FBE" w:rsidRDefault="00FA0463">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Felipe Bastidas</w:t>
            </w:r>
          </w:p>
          <w:p w14:paraId="3AF40928" w14:textId="11DCB7F3" w:rsidR="00BA4FBE" w:rsidRDefault="00FA0463">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Contratista</w:t>
            </w:r>
            <w:r w:rsidR="00BA4FBE">
              <w:rPr>
                <w:rFonts w:ascii="Arial" w:eastAsia="Times New Roman" w:hAnsi="Arial" w:cs="Arial"/>
                <w:sz w:val="16"/>
                <w:szCs w:val="16"/>
                <w:lang w:val="es-CO" w:eastAsia="es-CO"/>
              </w:rPr>
              <w:t xml:space="preserve"> de la Subdirección de Gestión Contractual </w:t>
            </w:r>
          </w:p>
        </w:tc>
      </w:tr>
      <w:tr w:rsidR="00BA4FBE" w14:paraId="0BFF74D0" w14:textId="77777777" w:rsidTr="00584F4E">
        <w:trPr>
          <w:trHeight w:val="315"/>
        </w:trPr>
        <w:tc>
          <w:tcPr>
            <w:tcW w:w="810" w:type="dxa"/>
            <w:vAlign w:val="center"/>
            <w:hideMark/>
          </w:tcPr>
          <w:p w14:paraId="64A8E0B2"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Revisó:</w:t>
            </w:r>
            <w:r>
              <w:rPr>
                <w:rFonts w:ascii="Arial" w:eastAsia="Times New Roman" w:hAnsi="Arial" w:cs="Arial"/>
                <w:sz w:val="16"/>
                <w:szCs w:val="16"/>
                <w:lang w:val="es-CO" w:eastAsia="es-CO"/>
              </w:rPr>
              <w:t> </w:t>
            </w:r>
          </w:p>
        </w:tc>
        <w:tc>
          <w:tcPr>
            <w:tcW w:w="4410" w:type="dxa"/>
            <w:vAlign w:val="center"/>
            <w:hideMark/>
          </w:tcPr>
          <w:p w14:paraId="3DC0F890" w14:textId="0573EB7C" w:rsidR="00BA4FBE" w:rsidRDefault="00FA0463">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Alejandro Sarmiento</w:t>
            </w:r>
            <w:r w:rsidR="00030584">
              <w:rPr>
                <w:rFonts w:ascii="Arial" w:eastAsia="Times New Roman" w:hAnsi="Arial" w:cs="Arial"/>
                <w:sz w:val="16"/>
                <w:szCs w:val="16"/>
                <w:lang w:eastAsia="es-CO"/>
              </w:rPr>
              <w:t xml:space="preserve"> Cantillo</w:t>
            </w:r>
          </w:p>
          <w:p w14:paraId="2F0C755E" w14:textId="656C5391"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Gestor T1-1</w:t>
            </w:r>
            <w:r w:rsidR="005654F4">
              <w:rPr>
                <w:rFonts w:ascii="Arial" w:eastAsia="Times New Roman" w:hAnsi="Arial" w:cs="Arial"/>
                <w:sz w:val="16"/>
                <w:szCs w:val="16"/>
                <w:lang w:eastAsia="es-CO"/>
              </w:rPr>
              <w:t>1</w:t>
            </w:r>
            <w:r>
              <w:rPr>
                <w:rFonts w:ascii="Arial" w:eastAsia="Times New Roman" w:hAnsi="Arial" w:cs="Arial"/>
                <w:sz w:val="16"/>
                <w:szCs w:val="16"/>
                <w:lang w:eastAsia="es-CO"/>
              </w:rPr>
              <w:t xml:space="preserve"> </w:t>
            </w:r>
            <w:r>
              <w:rPr>
                <w:rFonts w:ascii="Arial" w:eastAsia="Times New Roman" w:hAnsi="Arial" w:cs="Arial"/>
                <w:sz w:val="16"/>
                <w:szCs w:val="16"/>
                <w:lang w:val="es-CO" w:eastAsia="es-CO"/>
              </w:rPr>
              <w:t>de la Subdirección de Gestión Contractual</w:t>
            </w:r>
          </w:p>
        </w:tc>
      </w:tr>
      <w:tr w:rsidR="00BA4FBE" w14:paraId="5A804011" w14:textId="77777777" w:rsidTr="00584F4E">
        <w:trPr>
          <w:trHeight w:val="300"/>
        </w:trPr>
        <w:tc>
          <w:tcPr>
            <w:tcW w:w="810" w:type="dxa"/>
            <w:vAlign w:val="center"/>
            <w:hideMark/>
          </w:tcPr>
          <w:p w14:paraId="623104FC"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Aprobó:</w:t>
            </w:r>
            <w:r>
              <w:rPr>
                <w:rFonts w:ascii="Arial" w:eastAsia="Times New Roman" w:hAnsi="Arial" w:cs="Arial"/>
                <w:sz w:val="16"/>
                <w:szCs w:val="16"/>
                <w:lang w:val="es-CO" w:eastAsia="es-CO"/>
              </w:rPr>
              <w:t> </w:t>
            </w:r>
          </w:p>
        </w:tc>
        <w:tc>
          <w:tcPr>
            <w:tcW w:w="4410" w:type="dxa"/>
            <w:vAlign w:val="center"/>
            <w:hideMark/>
          </w:tcPr>
          <w:p w14:paraId="0D9924F2"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Jorge Augusto Tirado Navarro</w:t>
            </w:r>
            <w:r>
              <w:rPr>
                <w:rFonts w:ascii="Arial" w:eastAsia="Times New Roman" w:hAnsi="Arial" w:cs="Arial"/>
                <w:sz w:val="16"/>
                <w:szCs w:val="16"/>
                <w:lang w:val="es-CO" w:eastAsia="es-CO"/>
              </w:rPr>
              <w:t> </w:t>
            </w:r>
          </w:p>
          <w:p w14:paraId="472B12E2" w14:textId="77777777" w:rsidR="00BA4FBE" w:rsidRDefault="00BA4FBE">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Subdirector de Gestión Contractual ANCP – CCE</w:t>
            </w:r>
            <w:r>
              <w:rPr>
                <w:rFonts w:ascii="Arial" w:eastAsia="Times New Roman" w:hAnsi="Arial" w:cs="Arial"/>
                <w:sz w:val="16"/>
                <w:szCs w:val="16"/>
                <w:lang w:val="es-CO" w:eastAsia="es-CO"/>
              </w:rPr>
              <w:t> </w:t>
            </w:r>
          </w:p>
        </w:tc>
      </w:tr>
      <w:bookmarkEnd w:id="0"/>
      <w:bookmarkEnd w:id="1"/>
      <w:bookmarkEnd w:id="6"/>
    </w:tbl>
    <w:p w14:paraId="7EBF297E" w14:textId="0FCF286E" w:rsidR="007B0854" w:rsidRPr="00FA0463" w:rsidRDefault="007B0854" w:rsidP="00FA0463">
      <w:pPr>
        <w:textAlignment w:val="baseline"/>
        <w:rPr>
          <w:rFonts w:ascii="Segoe UI" w:eastAsia="Times New Roman" w:hAnsi="Segoe UI" w:cs="Segoe UI"/>
          <w:sz w:val="18"/>
          <w:szCs w:val="18"/>
          <w:lang w:val="es-CO" w:eastAsia="es-CO"/>
        </w:rPr>
      </w:pPr>
    </w:p>
    <w:sectPr w:rsidR="007B0854" w:rsidRPr="00FA0463"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9E0BD" w14:textId="77777777" w:rsidR="00FA78F4" w:rsidRDefault="00FA78F4">
      <w:r>
        <w:separator/>
      </w:r>
    </w:p>
  </w:endnote>
  <w:endnote w:type="continuationSeparator" w:id="0">
    <w:p w14:paraId="2D74C02F" w14:textId="77777777" w:rsidR="00FA78F4" w:rsidRDefault="00FA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ËŒ˛">
    <w:altName w:val="Calibri"/>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C51730" w:rsidRDefault="00C51730" w:rsidP="007B0854">
    <w:pPr>
      <w:pStyle w:val="Sinespaciado"/>
      <w:jc w:val="center"/>
      <w:rPr>
        <w:rFonts w:ascii="Arial" w:hAnsi="Arial" w:cs="Arial"/>
        <w:sz w:val="18"/>
        <w:szCs w:val="18"/>
      </w:rPr>
    </w:pPr>
  </w:p>
  <w:p w14:paraId="312C4A14" w14:textId="1CC17C36" w:rsidR="00C51730" w:rsidRPr="005A79FE" w:rsidRDefault="00C5173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C51730" w:rsidRDefault="00C51730"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C51730" w:rsidRPr="007B0854" w:rsidRDefault="00C5173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82C66" w14:textId="77777777" w:rsidR="00FA78F4" w:rsidRDefault="00FA78F4">
      <w:r>
        <w:separator/>
      </w:r>
    </w:p>
  </w:footnote>
  <w:footnote w:type="continuationSeparator" w:id="0">
    <w:p w14:paraId="153EE4BB" w14:textId="77777777" w:rsidR="00FA78F4" w:rsidRDefault="00FA78F4">
      <w:r>
        <w:continuationSeparator/>
      </w:r>
    </w:p>
  </w:footnote>
  <w:footnote w:id="1">
    <w:p w14:paraId="66223690" w14:textId="1B71B281" w:rsidR="00802197" w:rsidRPr="00584F4E" w:rsidRDefault="00802197" w:rsidP="00584F4E">
      <w:pPr>
        <w:pStyle w:val="Textonotapie"/>
        <w:ind w:firstLine="708"/>
        <w:jc w:val="both"/>
        <w:rPr>
          <w:rFonts w:ascii="Arial" w:hAnsi="Arial" w:cs="Arial"/>
          <w:sz w:val="19"/>
          <w:szCs w:val="19"/>
        </w:rPr>
      </w:pPr>
      <w:r w:rsidRPr="00584F4E">
        <w:rPr>
          <w:rStyle w:val="Refdenotaalpie"/>
          <w:rFonts w:ascii="Arial" w:hAnsi="Arial" w:cs="Arial"/>
          <w:sz w:val="19"/>
          <w:szCs w:val="19"/>
        </w:rPr>
        <w:footnoteRef/>
      </w:r>
      <w:r w:rsidR="005957BD" w:rsidRPr="00584F4E">
        <w:rPr>
          <w:rFonts w:ascii="Arial" w:hAnsi="Arial" w:cs="Arial"/>
          <w:sz w:val="19"/>
          <w:szCs w:val="19"/>
        </w:rPr>
        <w:t xml:space="preserve"> </w:t>
      </w:r>
      <w:r w:rsidR="00407E89" w:rsidRPr="00584F4E">
        <w:rPr>
          <w:rFonts w:ascii="Arial" w:hAnsi="Arial" w:cs="Arial"/>
          <w:sz w:val="19"/>
          <w:szCs w:val="19"/>
        </w:rPr>
        <w:t xml:space="preserve">Esta Agencia </w:t>
      </w:r>
      <w:r w:rsidR="005957BD" w:rsidRPr="005957BD">
        <w:rPr>
          <w:rFonts w:ascii="Arial" w:hAnsi="Arial" w:cs="Arial"/>
          <w:sz w:val="19"/>
          <w:szCs w:val="19"/>
        </w:rPr>
        <w:t>también</w:t>
      </w:r>
      <w:r w:rsidR="00407E89" w:rsidRPr="00584F4E">
        <w:rPr>
          <w:rFonts w:ascii="Arial" w:hAnsi="Arial" w:cs="Arial"/>
          <w:sz w:val="19"/>
          <w:szCs w:val="19"/>
        </w:rPr>
        <w:t xml:space="preserve"> se refirió al </w:t>
      </w:r>
      <w:r w:rsidR="005957BD" w:rsidRPr="005957BD">
        <w:rPr>
          <w:rFonts w:ascii="Arial" w:hAnsi="Arial" w:cs="Arial"/>
          <w:sz w:val="19"/>
          <w:szCs w:val="19"/>
        </w:rPr>
        <w:t>ámbito</w:t>
      </w:r>
      <w:r w:rsidR="00407E89" w:rsidRPr="00584F4E">
        <w:rPr>
          <w:rFonts w:ascii="Arial" w:hAnsi="Arial" w:cs="Arial"/>
          <w:sz w:val="19"/>
          <w:szCs w:val="19"/>
        </w:rPr>
        <w:t xml:space="preserve"> de aplicación de los documentos tipo en los conceptos</w:t>
      </w:r>
      <w:r w:rsidRPr="00584F4E">
        <w:rPr>
          <w:rFonts w:ascii="Arial" w:hAnsi="Arial" w:cs="Arial"/>
          <w:sz w:val="19"/>
          <w:szCs w:val="19"/>
        </w:rPr>
        <w:t xml:space="preserve"> C-102 del 18 de marzo de 2020, C-163 del 31 de marzo de 2020, C-169 del 6 de abril de 2020, C-188 del 13 de abril de 2020, C-263 del 20 de mayo de 2020, C-341 del 22 de mayo de 2020, C-286 del 26 de mayo de 2020, C-332 del 26 de mayo de 2020, C-338 del 4 de junio de 2020, C-342 del 9 de junio de 2020, C-404 del 12 de junio de 2020, C-351 del 16 de junio de 2020, C-422 del 3 de junio de 2020, C-405 del 6 de julio de 2020, C-421 del 15 de julio de 2020, C-429 del 24 de julio de 2020, C-466 del 24 de julio de 2020, C-502 del 29 de julio de 2020, C-391 del 10 de agosto de 2020, C-548 del 21 de agosto de 2020, C-591 del 31 de agosto de 2020, C-597 del 14 de septiembre de 2020, C-615 del 2 de octubre de 2020, C-622 del 2 de octubre de 2020</w:t>
      </w:r>
      <w:r w:rsidR="005957BD" w:rsidRPr="00584F4E">
        <w:rPr>
          <w:rFonts w:ascii="Arial" w:hAnsi="Arial" w:cs="Arial"/>
          <w:sz w:val="19"/>
          <w:szCs w:val="19"/>
        </w:rPr>
        <w:t xml:space="preserve"> y</w:t>
      </w:r>
      <w:r w:rsidRPr="00584F4E">
        <w:rPr>
          <w:rFonts w:ascii="Arial" w:hAnsi="Arial" w:cs="Arial"/>
          <w:sz w:val="19"/>
          <w:szCs w:val="19"/>
        </w:rPr>
        <w:t xml:space="preserve"> C-640 del 2 de octubre de 2020. </w:t>
      </w:r>
    </w:p>
    <w:p w14:paraId="506F9FF5" w14:textId="77777777" w:rsidR="005957BD" w:rsidRPr="00584F4E" w:rsidRDefault="005957BD">
      <w:pPr>
        <w:pStyle w:val="Textonotapie"/>
        <w:rPr>
          <w:lang w:val="es-CO"/>
        </w:rPr>
      </w:pPr>
    </w:p>
  </w:footnote>
  <w:footnote w:id="2">
    <w:p w14:paraId="6D2F4901" w14:textId="77777777" w:rsidR="007950F3" w:rsidRPr="00F12256" w:rsidRDefault="007950F3" w:rsidP="007950F3">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4A1097C9" w14:textId="77777777" w:rsidR="007950F3" w:rsidRPr="00F12256" w:rsidRDefault="007950F3" w:rsidP="007950F3">
      <w:pPr>
        <w:pStyle w:val="Textonotapie"/>
        <w:ind w:firstLine="709"/>
        <w:jc w:val="both"/>
        <w:rPr>
          <w:rFonts w:ascii="Arial" w:hAnsi="Arial" w:cs="Arial"/>
          <w:sz w:val="19"/>
          <w:szCs w:val="19"/>
          <w:lang w:val="es-CO"/>
        </w:rPr>
      </w:pPr>
    </w:p>
  </w:footnote>
  <w:footnote w:id="3">
    <w:p w14:paraId="799BCD90" w14:textId="77777777" w:rsidR="007950F3" w:rsidRPr="00F12256" w:rsidRDefault="007950F3" w:rsidP="007950F3">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w:t>
      </w:r>
      <w:r w:rsidRPr="00F12256">
        <w:rPr>
          <w:rFonts w:ascii="Arial" w:hAnsi="Arial" w:cs="Arial"/>
          <w:sz w:val="19"/>
          <w:szCs w:val="19"/>
          <w:lang w:val="es-CO"/>
        </w:rPr>
        <w:t xml:space="preserve">Ley 1882 de 2018: «Artículo 4. </w:t>
      </w:r>
      <w:r w:rsidRPr="00F1225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929FB74" w14:textId="77777777" w:rsidR="007950F3" w:rsidRPr="00F12256" w:rsidRDefault="007950F3" w:rsidP="007950F3">
      <w:pPr>
        <w:pStyle w:val="Textonotapie"/>
        <w:ind w:firstLine="709"/>
        <w:jc w:val="both"/>
        <w:rPr>
          <w:rFonts w:ascii="Arial" w:hAnsi="Arial" w:cs="Arial"/>
          <w:sz w:val="19"/>
          <w:szCs w:val="19"/>
          <w:lang w:val="es-CO"/>
        </w:rPr>
      </w:pPr>
      <w:r w:rsidRPr="00F12256">
        <w:rPr>
          <w:rFonts w:ascii="Arial" w:hAnsi="Arial" w:cs="Arial"/>
          <w:sz w:val="19"/>
          <w:szCs w:val="19"/>
          <w:lang w:val="es-CO"/>
        </w:rPr>
        <w:t>»La facultad de adoptar documentos tipo la tendrá el Gobierno nacional, cuando lo considere necesario, en relación con otros contratos o procesos de selección.</w:t>
      </w:r>
    </w:p>
    <w:p w14:paraId="0AA091F2" w14:textId="77777777" w:rsidR="007950F3" w:rsidRPr="00F12256" w:rsidRDefault="007950F3" w:rsidP="007950F3">
      <w:pPr>
        <w:pStyle w:val="Textonotapie"/>
        <w:ind w:firstLine="709"/>
        <w:jc w:val="both"/>
        <w:rPr>
          <w:rFonts w:ascii="Arial" w:hAnsi="Arial" w:cs="Arial"/>
          <w:sz w:val="19"/>
          <w:szCs w:val="19"/>
          <w:lang w:val="es-CO"/>
        </w:rPr>
      </w:pPr>
      <w:r w:rsidRPr="00F12256">
        <w:rPr>
          <w:rFonts w:ascii="Arial" w:hAnsi="Arial" w:cs="Arial"/>
          <w:sz w:val="19"/>
          <w:szCs w:val="19"/>
          <w:lang w:val="es-CO"/>
        </w:rPr>
        <w:t>»Los pliegos tipo se adoptarán por categorías de acuerdo con la cuantía de la contratación, según la reglamentación que expida el Gobierno nacional».</w:t>
      </w:r>
    </w:p>
    <w:p w14:paraId="4D0BAD9B" w14:textId="77777777" w:rsidR="007950F3" w:rsidRPr="00F12256" w:rsidRDefault="007950F3" w:rsidP="007950F3">
      <w:pPr>
        <w:pStyle w:val="Textonotapie"/>
        <w:ind w:firstLine="709"/>
        <w:jc w:val="both"/>
        <w:rPr>
          <w:rFonts w:ascii="Arial" w:hAnsi="Arial" w:cs="Arial"/>
          <w:sz w:val="19"/>
          <w:szCs w:val="19"/>
          <w:lang w:val="es-CO"/>
        </w:rPr>
      </w:pPr>
    </w:p>
  </w:footnote>
  <w:footnote w:id="4">
    <w:p w14:paraId="540FF218" w14:textId="12EF4289" w:rsidR="007950F3" w:rsidRPr="00F12256" w:rsidRDefault="007950F3" w:rsidP="007950F3">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w:t>
      </w:r>
      <w:r w:rsidRPr="00F12256">
        <w:rPr>
          <w:rFonts w:ascii="Arial" w:hAnsi="Arial" w:cs="Arial"/>
          <w:sz w:val="19"/>
          <w:szCs w:val="19"/>
        </w:rPr>
        <w:t>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2C753F2" w14:textId="77777777" w:rsidR="007950F3" w:rsidRPr="00F12256" w:rsidRDefault="007950F3" w:rsidP="007950F3">
      <w:pPr>
        <w:pStyle w:val="Textonotapie"/>
        <w:ind w:firstLine="709"/>
        <w:jc w:val="both"/>
        <w:rPr>
          <w:rFonts w:ascii="Arial" w:hAnsi="Arial" w:cs="Arial"/>
          <w:sz w:val="19"/>
          <w:szCs w:val="19"/>
        </w:rPr>
      </w:pPr>
    </w:p>
  </w:footnote>
  <w:footnote w:id="5">
    <w:p w14:paraId="16021FC7" w14:textId="6A89D6DA" w:rsidR="00622F76" w:rsidRDefault="00622F76" w:rsidP="00584F4E">
      <w:pPr>
        <w:pStyle w:val="Textonotapie"/>
        <w:spacing w:after="120"/>
        <w:ind w:firstLine="709"/>
        <w:jc w:val="both"/>
        <w:rPr>
          <w:rFonts w:ascii="Arial" w:hAnsi="Arial" w:cs="Arial"/>
          <w:sz w:val="19"/>
          <w:szCs w:val="19"/>
        </w:rPr>
      </w:pPr>
      <w:r w:rsidRPr="00584F4E">
        <w:rPr>
          <w:rStyle w:val="Refdenotaalpie"/>
          <w:rFonts w:ascii="Arial" w:hAnsi="Arial" w:cs="Arial"/>
          <w:sz w:val="19"/>
          <w:szCs w:val="19"/>
        </w:rPr>
        <w:footnoteRef/>
      </w:r>
      <w:r w:rsidRPr="00584F4E">
        <w:rPr>
          <w:rFonts w:ascii="Arial" w:hAnsi="Arial" w:cs="Arial"/>
          <w:sz w:val="19"/>
          <w:szCs w:val="19"/>
        </w:rPr>
        <w:t xml:space="preserve"> </w:t>
      </w:r>
      <w:r w:rsidRPr="00584F4E">
        <w:rPr>
          <w:rFonts w:ascii="Arial" w:hAnsi="Arial" w:cs="Arial"/>
          <w:sz w:val="19"/>
          <w:szCs w:val="19"/>
        </w:rPr>
        <w:t xml:space="preserve">Para determinar si el bien inmueble que se va intervenir constituye infraestructura de transporte, o si este encaja con lo señalado en la Matriz 1, son importantes las nociones establecidas en el «Anexo 3 – Glosario» y la Ley 1682 de 2013. </w:t>
      </w:r>
    </w:p>
    <w:p w14:paraId="52D0E31B" w14:textId="29D2C5FC" w:rsidR="00622F76" w:rsidRPr="00584F4E" w:rsidRDefault="00622F76" w:rsidP="00584F4E">
      <w:pPr>
        <w:pStyle w:val="Textonotapie"/>
        <w:ind w:firstLine="708"/>
        <w:jc w:val="both"/>
        <w:rPr>
          <w:rFonts w:ascii="Arial" w:hAnsi="Arial" w:cs="Arial"/>
          <w:sz w:val="19"/>
          <w:szCs w:val="19"/>
        </w:rPr>
      </w:pPr>
      <w:r w:rsidRPr="00584F4E">
        <w:rPr>
          <w:rFonts w:ascii="Arial" w:hAnsi="Arial" w:cs="Arial"/>
          <w:sz w:val="19"/>
          <w:szCs w:val="19"/>
        </w:rPr>
        <w:t>Dicha ley, en su artículo 4 establece que «La infraestructura de transporte está integrada, entre otros por: 1. La red vial de transporte terrestre automotor con sus zonas de exclusión o fajas de retiro obligatorio, instalaciones operativas como estaciones de pesaje, centros de control de operaciones, estaciones de peaje, áreas de servicio y atención, facilidades y su señalización, entre otras.2. Los puentes construidos sobre los accesos viales en Zonas de Frontera; 3. Los viaductos, túneles, puentes y accesos de las vías terrestres y a terminales portuarios y aeroportuarios;  [...] 10. La infraestructura urbana que soporta sistemas de transporte público, sistemas integrados de transporte masivo, sistemas estratégicos de transporte público y sistemas integrados de transporte público; el espacio público que lo conforman andenes, separadores, zonas verdes, áreas de control ambiental, áreas de parqueo ocasional, así como ciclorrutas, paraderos, terminales, estaciones y plataformas tecnológicas».</w:t>
      </w:r>
    </w:p>
    <w:p w14:paraId="22E1F24A" w14:textId="77777777" w:rsidR="00622F76" w:rsidRPr="00584F4E" w:rsidRDefault="00622F76" w:rsidP="00584F4E">
      <w:pPr>
        <w:pStyle w:val="Textonotapie"/>
        <w:ind w:firstLine="7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C51730" w:rsidRDefault="00C51730">
    <w:pPr>
      <w:pStyle w:val="Encabezado"/>
    </w:pPr>
  </w:p>
  <w:p w14:paraId="6A4C7F2C" w14:textId="7D093DBB" w:rsidR="00C51730" w:rsidRDefault="00C51730">
    <w:pPr>
      <w:pStyle w:val="Encabezado"/>
    </w:pPr>
  </w:p>
  <w:p w14:paraId="055F2E1F" w14:textId="0B935ADD" w:rsidR="00C51730" w:rsidRDefault="00C51730">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C51730" w:rsidRDefault="00C51730">
    <w:pPr>
      <w:pStyle w:val="Encabezado"/>
    </w:pPr>
  </w:p>
  <w:p w14:paraId="3D323BDB" w14:textId="04AF0DE6" w:rsidR="00C51730" w:rsidRDefault="00C51730">
    <w:pPr>
      <w:pStyle w:val="Encabezado"/>
    </w:pPr>
  </w:p>
  <w:p w14:paraId="6520770B" w14:textId="18EB07B5" w:rsidR="00C51730" w:rsidRDefault="00C517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1B3E61EF"/>
    <w:multiLevelType w:val="hybridMultilevel"/>
    <w:tmpl w:val="ACF26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7AC"/>
    <w:rsid w:val="000078AA"/>
    <w:rsid w:val="00007D5B"/>
    <w:rsid w:val="00010979"/>
    <w:rsid w:val="00013D7D"/>
    <w:rsid w:val="00013FDB"/>
    <w:rsid w:val="00015DC4"/>
    <w:rsid w:val="000231D8"/>
    <w:rsid w:val="00027ABA"/>
    <w:rsid w:val="00030584"/>
    <w:rsid w:val="00030E31"/>
    <w:rsid w:val="0003179A"/>
    <w:rsid w:val="00035D12"/>
    <w:rsid w:val="00035FBD"/>
    <w:rsid w:val="00041ECC"/>
    <w:rsid w:val="0004309E"/>
    <w:rsid w:val="00044324"/>
    <w:rsid w:val="00046EC0"/>
    <w:rsid w:val="00051242"/>
    <w:rsid w:val="0005679A"/>
    <w:rsid w:val="00066319"/>
    <w:rsid w:val="000733BC"/>
    <w:rsid w:val="00076D9B"/>
    <w:rsid w:val="00084247"/>
    <w:rsid w:val="00085E28"/>
    <w:rsid w:val="00087142"/>
    <w:rsid w:val="00087C0E"/>
    <w:rsid w:val="000907B8"/>
    <w:rsid w:val="00093F20"/>
    <w:rsid w:val="000942EB"/>
    <w:rsid w:val="00095DCC"/>
    <w:rsid w:val="000A17AF"/>
    <w:rsid w:val="000A31E0"/>
    <w:rsid w:val="000B103F"/>
    <w:rsid w:val="000D0DB2"/>
    <w:rsid w:val="000D27C4"/>
    <w:rsid w:val="000D7ACA"/>
    <w:rsid w:val="000E0CC8"/>
    <w:rsid w:val="000E1447"/>
    <w:rsid w:val="000E4342"/>
    <w:rsid w:val="000E71DE"/>
    <w:rsid w:val="000F1236"/>
    <w:rsid w:val="000F14E8"/>
    <w:rsid w:val="000F27E6"/>
    <w:rsid w:val="00103915"/>
    <w:rsid w:val="0010586E"/>
    <w:rsid w:val="0011606F"/>
    <w:rsid w:val="001219B2"/>
    <w:rsid w:val="00121C2D"/>
    <w:rsid w:val="00122B23"/>
    <w:rsid w:val="00122D9B"/>
    <w:rsid w:val="00123B36"/>
    <w:rsid w:val="00124FC1"/>
    <w:rsid w:val="00125630"/>
    <w:rsid w:val="001317F8"/>
    <w:rsid w:val="00131F8A"/>
    <w:rsid w:val="00133A52"/>
    <w:rsid w:val="001371EA"/>
    <w:rsid w:val="00137FFA"/>
    <w:rsid w:val="00142106"/>
    <w:rsid w:val="001422A7"/>
    <w:rsid w:val="0014338F"/>
    <w:rsid w:val="00145E82"/>
    <w:rsid w:val="0014613F"/>
    <w:rsid w:val="0014732B"/>
    <w:rsid w:val="00147429"/>
    <w:rsid w:val="0014743E"/>
    <w:rsid w:val="00147608"/>
    <w:rsid w:val="00161FFA"/>
    <w:rsid w:val="00163756"/>
    <w:rsid w:val="00170F26"/>
    <w:rsid w:val="0017348D"/>
    <w:rsid w:val="001746D4"/>
    <w:rsid w:val="00174A59"/>
    <w:rsid w:val="0018250E"/>
    <w:rsid w:val="001848CD"/>
    <w:rsid w:val="00191D2F"/>
    <w:rsid w:val="001938A5"/>
    <w:rsid w:val="00194300"/>
    <w:rsid w:val="001947DF"/>
    <w:rsid w:val="00197327"/>
    <w:rsid w:val="0019793F"/>
    <w:rsid w:val="00197ADD"/>
    <w:rsid w:val="001A1007"/>
    <w:rsid w:val="001A44B2"/>
    <w:rsid w:val="001B1B5B"/>
    <w:rsid w:val="001B2A17"/>
    <w:rsid w:val="001B7014"/>
    <w:rsid w:val="001D1DCA"/>
    <w:rsid w:val="001D20CD"/>
    <w:rsid w:val="001D3005"/>
    <w:rsid w:val="001D3F46"/>
    <w:rsid w:val="001D6FBE"/>
    <w:rsid w:val="001E053F"/>
    <w:rsid w:val="001E14BE"/>
    <w:rsid w:val="001F0CBE"/>
    <w:rsid w:val="001F49CD"/>
    <w:rsid w:val="00201212"/>
    <w:rsid w:val="00211D02"/>
    <w:rsid w:val="00224412"/>
    <w:rsid w:val="00234B84"/>
    <w:rsid w:val="002351A0"/>
    <w:rsid w:val="00235269"/>
    <w:rsid w:val="00240505"/>
    <w:rsid w:val="0024086E"/>
    <w:rsid w:val="0024778E"/>
    <w:rsid w:val="00251074"/>
    <w:rsid w:val="002515BF"/>
    <w:rsid w:val="0025225C"/>
    <w:rsid w:val="00256ABA"/>
    <w:rsid w:val="00257BF2"/>
    <w:rsid w:val="002610FF"/>
    <w:rsid w:val="002638A9"/>
    <w:rsid w:val="00264B5C"/>
    <w:rsid w:val="00267368"/>
    <w:rsid w:val="0027135A"/>
    <w:rsid w:val="00275CEE"/>
    <w:rsid w:val="002761E5"/>
    <w:rsid w:val="002811A1"/>
    <w:rsid w:val="002826C0"/>
    <w:rsid w:val="00283F45"/>
    <w:rsid w:val="00284F97"/>
    <w:rsid w:val="00285AF6"/>
    <w:rsid w:val="002871E3"/>
    <w:rsid w:val="002909A5"/>
    <w:rsid w:val="002922FF"/>
    <w:rsid w:val="002A171C"/>
    <w:rsid w:val="002A2334"/>
    <w:rsid w:val="002B637D"/>
    <w:rsid w:val="002C05C4"/>
    <w:rsid w:val="002C4AE0"/>
    <w:rsid w:val="002C7489"/>
    <w:rsid w:val="002C7883"/>
    <w:rsid w:val="002D331F"/>
    <w:rsid w:val="002E1D5C"/>
    <w:rsid w:val="002F3515"/>
    <w:rsid w:val="002F3F34"/>
    <w:rsid w:val="003033BA"/>
    <w:rsid w:val="003132A3"/>
    <w:rsid w:val="00314308"/>
    <w:rsid w:val="00331AF7"/>
    <w:rsid w:val="00333C69"/>
    <w:rsid w:val="00333DA4"/>
    <w:rsid w:val="00337794"/>
    <w:rsid w:val="003408FE"/>
    <w:rsid w:val="00342174"/>
    <w:rsid w:val="0034412E"/>
    <w:rsid w:val="00345843"/>
    <w:rsid w:val="00346338"/>
    <w:rsid w:val="0034680A"/>
    <w:rsid w:val="003525F0"/>
    <w:rsid w:val="00352662"/>
    <w:rsid w:val="00354B90"/>
    <w:rsid w:val="003616B8"/>
    <w:rsid w:val="003620E1"/>
    <w:rsid w:val="00370953"/>
    <w:rsid w:val="003766A6"/>
    <w:rsid w:val="00376712"/>
    <w:rsid w:val="0037725F"/>
    <w:rsid w:val="00386456"/>
    <w:rsid w:val="00387C67"/>
    <w:rsid w:val="00391309"/>
    <w:rsid w:val="003927AA"/>
    <w:rsid w:val="003A0566"/>
    <w:rsid w:val="003A4C3D"/>
    <w:rsid w:val="003A581E"/>
    <w:rsid w:val="003B1A82"/>
    <w:rsid w:val="003B40C9"/>
    <w:rsid w:val="003B708F"/>
    <w:rsid w:val="003C1847"/>
    <w:rsid w:val="003C2D98"/>
    <w:rsid w:val="003D30D3"/>
    <w:rsid w:val="003D5E96"/>
    <w:rsid w:val="003E0AB0"/>
    <w:rsid w:val="003E1734"/>
    <w:rsid w:val="003E77AE"/>
    <w:rsid w:val="003F5217"/>
    <w:rsid w:val="004015A7"/>
    <w:rsid w:val="004060D3"/>
    <w:rsid w:val="004071F5"/>
    <w:rsid w:val="00407E89"/>
    <w:rsid w:val="0041235E"/>
    <w:rsid w:val="004213E6"/>
    <w:rsid w:val="00421516"/>
    <w:rsid w:val="004259FB"/>
    <w:rsid w:val="0042662E"/>
    <w:rsid w:val="00430B4D"/>
    <w:rsid w:val="00433951"/>
    <w:rsid w:val="00436D70"/>
    <w:rsid w:val="004422D6"/>
    <w:rsid w:val="00444581"/>
    <w:rsid w:val="00451CB4"/>
    <w:rsid w:val="0045221B"/>
    <w:rsid w:val="004554BC"/>
    <w:rsid w:val="00460876"/>
    <w:rsid w:val="00464F10"/>
    <w:rsid w:val="00465C4A"/>
    <w:rsid w:val="00466FE8"/>
    <w:rsid w:val="004800F0"/>
    <w:rsid w:val="00487CDF"/>
    <w:rsid w:val="00487D0D"/>
    <w:rsid w:val="004930D7"/>
    <w:rsid w:val="00494D08"/>
    <w:rsid w:val="004A34D2"/>
    <w:rsid w:val="004A4B43"/>
    <w:rsid w:val="004A56EC"/>
    <w:rsid w:val="004A5B4D"/>
    <w:rsid w:val="004A72F1"/>
    <w:rsid w:val="004B13B0"/>
    <w:rsid w:val="004C492C"/>
    <w:rsid w:val="004C6BFD"/>
    <w:rsid w:val="004C7B74"/>
    <w:rsid w:val="004D5D69"/>
    <w:rsid w:val="004F0B27"/>
    <w:rsid w:val="004F0E02"/>
    <w:rsid w:val="00505631"/>
    <w:rsid w:val="00506910"/>
    <w:rsid w:val="0051074C"/>
    <w:rsid w:val="00511F0A"/>
    <w:rsid w:val="005135B2"/>
    <w:rsid w:val="00513AF2"/>
    <w:rsid w:val="00515142"/>
    <w:rsid w:val="00516A11"/>
    <w:rsid w:val="00523D5F"/>
    <w:rsid w:val="0053204A"/>
    <w:rsid w:val="005342CA"/>
    <w:rsid w:val="00534EBC"/>
    <w:rsid w:val="00541CA3"/>
    <w:rsid w:val="0054413A"/>
    <w:rsid w:val="0054642B"/>
    <w:rsid w:val="00546D7B"/>
    <w:rsid w:val="00547FF4"/>
    <w:rsid w:val="005564CA"/>
    <w:rsid w:val="00561679"/>
    <w:rsid w:val="00561988"/>
    <w:rsid w:val="00562817"/>
    <w:rsid w:val="00564BBB"/>
    <w:rsid w:val="005654F4"/>
    <w:rsid w:val="00566472"/>
    <w:rsid w:val="00567074"/>
    <w:rsid w:val="00574045"/>
    <w:rsid w:val="00577621"/>
    <w:rsid w:val="00581D70"/>
    <w:rsid w:val="00582551"/>
    <w:rsid w:val="00582BFA"/>
    <w:rsid w:val="00583B97"/>
    <w:rsid w:val="00584F4E"/>
    <w:rsid w:val="00590AF3"/>
    <w:rsid w:val="005957BD"/>
    <w:rsid w:val="005A0E92"/>
    <w:rsid w:val="005A2638"/>
    <w:rsid w:val="005A6297"/>
    <w:rsid w:val="005A79FE"/>
    <w:rsid w:val="005B3F1E"/>
    <w:rsid w:val="005C154B"/>
    <w:rsid w:val="005C1EA6"/>
    <w:rsid w:val="005C4DDA"/>
    <w:rsid w:val="005C52A9"/>
    <w:rsid w:val="005C59C8"/>
    <w:rsid w:val="005D46AC"/>
    <w:rsid w:val="005E1B99"/>
    <w:rsid w:val="005E3C9D"/>
    <w:rsid w:val="005E520A"/>
    <w:rsid w:val="005E6732"/>
    <w:rsid w:val="005F11D1"/>
    <w:rsid w:val="005F1448"/>
    <w:rsid w:val="005F39A2"/>
    <w:rsid w:val="005F7DF1"/>
    <w:rsid w:val="00601044"/>
    <w:rsid w:val="00603FF5"/>
    <w:rsid w:val="006131E1"/>
    <w:rsid w:val="00613218"/>
    <w:rsid w:val="00622F76"/>
    <w:rsid w:val="00627FA4"/>
    <w:rsid w:val="00635AD7"/>
    <w:rsid w:val="00636846"/>
    <w:rsid w:val="006374D2"/>
    <w:rsid w:val="00643AD2"/>
    <w:rsid w:val="006441DA"/>
    <w:rsid w:val="00644D10"/>
    <w:rsid w:val="006507DA"/>
    <w:rsid w:val="00654542"/>
    <w:rsid w:val="00655371"/>
    <w:rsid w:val="006624FB"/>
    <w:rsid w:val="00664A94"/>
    <w:rsid w:val="006838BB"/>
    <w:rsid w:val="0069051D"/>
    <w:rsid w:val="006908F4"/>
    <w:rsid w:val="00691333"/>
    <w:rsid w:val="006918B3"/>
    <w:rsid w:val="00696FAD"/>
    <w:rsid w:val="00697665"/>
    <w:rsid w:val="006A00F7"/>
    <w:rsid w:val="006A1E97"/>
    <w:rsid w:val="006A2FAE"/>
    <w:rsid w:val="006A7FD0"/>
    <w:rsid w:val="006B0E9A"/>
    <w:rsid w:val="006B3BB5"/>
    <w:rsid w:val="006B6FCB"/>
    <w:rsid w:val="006B744B"/>
    <w:rsid w:val="006C678D"/>
    <w:rsid w:val="006C73E7"/>
    <w:rsid w:val="006C78B4"/>
    <w:rsid w:val="006D0B81"/>
    <w:rsid w:val="006D0E0E"/>
    <w:rsid w:val="006D3138"/>
    <w:rsid w:val="006D7687"/>
    <w:rsid w:val="006E0572"/>
    <w:rsid w:val="006E1ACE"/>
    <w:rsid w:val="006E58A2"/>
    <w:rsid w:val="006F4104"/>
    <w:rsid w:val="006F48D3"/>
    <w:rsid w:val="006F6EB9"/>
    <w:rsid w:val="00700A24"/>
    <w:rsid w:val="00700A94"/>
    <w:rsid w:val="00705631"/>
    <w:rsid w:val="00706DB7"/>
    <w:rsid w:val="00707240"/>
    <w:rsid w:val="007106DA"/>
    <w:rsid w:val="00710FEE"/>
    <w:rsid w:val="00712060"/>
    <w:rsid w:val="0071328F"/>
    <w:rsid w:val="007168CF"/>
    <w:rsid w:val="00724FA3"/>
    <w:rsid w:val="00725ECD"/>
    <w:rsid w:val="00727B05"/>
    <w:rsid w:val="00732FF5"/>
    <w:rsid w:val="007333D0"/>
    <w:rsid w:val="00735AAC"/>
    <w:rsid w:val="00742DD2"/>
    <w:rsid w:val="00743116"/>
    <w:rsid w:val="0074434B"/>
    <w:rsid w:val="00752701"/>
    <w:rsid w:val="0075647A"/>
    <w:rsid w:val="007634AD"/>
    <w:rsid w:val="007647C7"/>
    <w:rsid w:val="00765CEB"/>
    <w:rsid w:val="0077157E"/>
    <w:rsid w:val="00776C38"/>
    <w:rsid w:val="00777245"/>
    <w:rsid w:val="0078122E"/>
    <w:rsid w:val="0078412E"/>
    <w:rsid w:val="007865C2"/>
    <w:rsid w:val="00787D11"/>
    <w:rsid w:val="00794B1F"/>
    <w:rsid w:val="007950F3"/>
    <w:rsid w:val="007976FB"/>
    <w:rsid w:val="007A1EA2"/>
    <w:rsid w:val="007A2272"/>
    <w:rsid w:val="007A2421"/>
    <w:rsid w:val="007B0854"/>
    <w:rsid w:val="007B6449"/>
    <w:rsid w:val="007C1187"/>
    <w:rsid w:val="007C147D"/>
    <w:rsid w:val="007C2674"/>
    <w:rsid w:val="007C3826"/>
    <w:rsid w:val="007C7A5C"/>
    <w:rsid w:val="007D65CC"/>
    <w:rsid w:val="007E2F42"/>
    <w:rsid w:val="007E5045"/>
    <w:rsid w:val="007E689F"/>
    <w:rsid w:val="007E75DE"/>
    <w:rsid w:val="007F1DD3"/>
    <w:rsid w:val="007F390C"/>
    <w:rsid w:val="007F3DF3"/>
    <w:rsid w:val="007F6890"/>
    <w:rsid w:val="007F72CB"/>
    <w:rsid w:val="007F77A2"/>
    <w:rsid w:val="00802197"/>
    <w:rsid w:val="00802CF8"/>
    <w:rsid w:val="00803BE6"/>
    <w:rsid w:val="0080625A"/>
    <w:rsid w:val="008071A1"/>
    <w:rsid w:val="0080776D"/>
    <w:rsid w:val="00810265"/>
    <w:rsid w:val="00817029"/>
    <w:rsid w:val="00822915"/>
    <w:rsid w:val="008243F2"/>
    <w:rsid w:val="00830EF9"/>
    <w:rsid w:val="0083119B"/>
    <w:rsid w:val="008359B9"/>
    <w:rsid w:val="00836EAB"/>
    <w:rsid w:val="00837CC4"/>
    <w:rsid w:val="00841FF1"/>
    <w:rsid w:val="00845C26"/>
    <w:rsid w:val="0085092D"/>
    <w:rsid w:val="008526AF"/>
    <w:rsid w:val="00860CDF"/>
    <w:rsid w:val="008678DF"/>
    <w:rsid w:val="00872DDE"/>
    <w:rsid w:val="0088474C"/>
    <w:rsid w:val="00891B47"/>
    <w:rsid w:val="008920F3"/>
    <w:rsid w:val="0089276E"/>
    <w:rsid w:val="0089404F"/>
    <w:rsid w:val="00896317"/>
    <w:rsid w:val="008966DF"/>
    <w:rsid w:val="00897943"/>
    <w:rsid w:val="008A71D7"/>
    <w:rsid w:val="008A7501"/>
    <w:rsid w:val="008A768C"/>
    <w:rsid w:val="008B1D94"/>
    <w:rsid w:val="008B35B0"/>
    <w:rsid w:val="008D193F"/>
    <w:rsid w:val="008D3E76"/>
    <w:rsid w:val="008D4672"/>
    <w:rsid w:val="008D7194"/>
    <w:rsid w:val="008E1C15"/>
    <w:rsid w:val="008E2994"/>
    <w:rsid w:val="008E5456"/>
    <w:rsid w:val="0090113C"/>
    <w:rsid w:val="00901EC2"/>
    <w:rsid w:val="009047C5"/>
    <w:rsid w:val="00905E2D"/>
    <w:rsid w:val="0090615F"/>
    <w:rsid w:val="0090648B"/>
    <w:rsid w:val="00910FF1"/>
    <w:rsid w:val="00916D64"/>
    <w:rsid w:val="009307A1"/>
    <w:rsid w:val="0093385A"/>
    <w:rsid w:val="009344F6"/>
    <w:rsid w:val="00937957"/>
    <w:rsid w:val="00937E03"/>
    <w:rsid w:val="009403BC"/>
    <w:rsid w:val="009419BB"/>
    <w:rsid w:val="00941B4B"/>
    <w:rsid w:val="009420E2"/>
    <w:rsid w:val="0094226B"/>
    <w:rsid w:val="009422DD"/>
    <w:rsid w:val="009461B4"/>
    <w:rsid w:val="00950379"/>
    <w:rsid w:val="0095385A"/>
    <w:rsid w:val="00960E34"/>
    <w:rsid w:val="00963569"/>
    <w:rsid w:val="00963784"/>
    <w:rsid w:val="0096657E"/>
    <w:rsid w:val="00967AFB"/>
    <w:rsid w:val="00970E87"/>
    <w:rsid w:val="00977F75"/>
    <w:rsid w:val="009808CC"/>
    <w:rsid w:val="00980ECE"/>
    <w:rsid w:val="00982EEB"/>
    <w:rsid w:val="00983578"/>
    <w:rsid w:val="00987845"/>
    <w:rsid w:val="0099273E"/>
    <w:rsid w:val="009962F4"/>
    <w:rsid w:val="009A247F"/>
    <w:rsid w:val="009A42A4"/>
    <w:rsid w:val="009A4A28"/>
    <w:rsid w:val="009A69E3"/>
    <w:rsid w:val="009B2D00"/>
    <w:rsid w:val="009B40F7"/>
    <w:rsid w:val="009B41C9"/>
    <w:rsid w:val="009B62DB"/>
    <w:rsid w:val="009C2458"/>
    <w:rsid w:val="009C2C65"/>
    <w:rsid w:val="009C4AC7"/>
    <w:rsid w:val="009D0C84"/>
    <w:rsid w:val="009D0D75"/>
    <w:rsid w:val="009D1269"/>
    <w:rsid w:val="009E2EDA"/>
    <w:rsid w:val="009F6C5D"/>
    <w:rsid w:val="00A154D8"/>
    <w:rsid w:val="00A23980"/>
    <w:rsid w:val="00A24560"/>
    <w:rsid w:val="00A325FD"/>
    <w:rsid w:val="00A34538"/>
    <w:rsid w:val="00A3490D"/>
    <w:rsid w:val="00A34C26"/>
    <w:rsid w:val="00A34DFB"/>
    <w:rsid w:val="00A429B5"/>
    <w:rsid w:val="00A43BAE"/>
    <w:rsid w:val="00A44C2C"/>
    <w:rsid w:val="00A5176C"/>
    <w:rsid w:val="00A54E9D"/>
    <w:rsid w:val="00A55DD5"/>
    <w:rsid w:val="00A56C47"/>
    <w:rsid w:val="00A634AE"/>
    <w:rsid w:val="00A6721F"/>
    <w:rsid w:val="00A72EA2"/>
    <w:rsid w:val="00A75945"/>
    <w:rsid w:val="00A84A49"/>
    <w:rsid w:val="00A90664"/>
    <w:rsid w:val="00A91145"/>
    <w:rsid w:val="00A928E9"/>
    <w:rsid w:val="00A945C1"/>
    <w:rsid w:val="00AA2832"/>
    <w:rsid w:val="00AA442B"/>
    <w:rsid w:val="00AB1806"/>
    <w:rsid w:val="00AB19AD"/>
    <w:rsid w:val="00AB1D39"/>
    <w:rsid w:val="00AB1D78"/>
    <w:rsid w:val="00AB3489"/>
    <w:rsid w:val="00AB3BFA"/>
    <w:rsid w:val="00AB7956"/>
    <w:rsid w:val="00AC3FB0"/>
    <w:rsid w:val="00AC6173"/>
    <w:rsid w:val="00AD3AF2"/>
    <w:rsid w:val="00AD77FC"/>
    <w:rsid w:val="00AE1CC5"/>
    <w:rsid w:val="00AE2508"/>
    <w:rsid w:val="00AF1E65"/>
    <w:rsid w:val="00AF6CCA"/>
    <w:rsid w:val="00AF782E"/>
    <w:rsid w:val="00B0080A"/>
    <w:rsid w:val="00B039DA"/>
    <w:rsid w:val="00B07907"/>
    <w:rsid w:val="00B2019B"/>
    <w:rsid w:val="00B226F6"/>
    <w:rsid w:val="00B22E22"/>
    <w:rsid w:val="00B3048B"/>
    <w:rsid w:val="00B32A95"/>
    <w:rsid w:val="00B44720"/>
    <w:rsid w:val="00B525CB"/>
    <w:rsid w:val="00B539C1"/>
    <w:rsid w:val="00B53F15"/>
    <w:rsid w:val="00B549A7"/>
    <w:rsid w:val="00B54C1F"/>
    <w:rsid w:val="00B55CA4"/>
    <w:rsid w:val="00B63C03"/>
    <w:rsid w:val="00B63CB2"/>
    <w:rsid w:val="00B67F34"/>
    <w:rsid w:val="00B94685"/>
    <w:rsid w:val="00B95151"/>
    <w:rsid w:val="00B9749B"/>
    <w:rsid w:val="00BA1889"/>
    <w:rsid w:val="00BA4FBE"/>
    <w:rsid w:val="00BA6278"/>
    <w:rsid w:val="00BC6417"/>
    <w:rsid w:val="00BD2054"/>
    <w:rsid w:val="00BD7214"/>
    <w:rsid w:val="00BD78FE"/>
    <w:rsid w:val="00BE0980"/>
    <w:rsid w:val="00BE4067"/>
    <w:rsid w:val="00BF0128"/>
    <w:rsid w:val="00BF1C6E"/>
    <w:rsid w:val="00BF215D"/>
    <w:rsid w:val="00BF2184"/>
    <w:rsid w:val="00BF7511"/>
    <w:rsid w:val="00C00B91"/>
    <w:rsid w:val="00C03751"/>
    <w:rsid w:val="00C11860"/>
    <w:rsid w:val="00C13F7D"/>
    <w:rsid w:val="00C1420D"/>
    <w:rsid w:val="00C145F3"/>
    <w:rsid w:val="00C163A4"/>
    <w:rsid w:val="00C25002"/>
    <w:rsid w:val="00C2751B"/>
    <w:rsid w:val="00C3439C"/>
    <w:rsid w:val="00C34429"/>
    <w:rsid w:val="00C35089"/>
    <w:rsid w:val="00C36036"/>
    <w:rsid w:val="00C43635"/>
    <w:rsid w:val="00C44FE6"/>
    <w:rsid w:val="00C50586"/>
    <w:rsid w:val="00C51730"/>
    <w:rsid w:val="00C55288"/>
    <w:rsid w:val="00C55D02"/>
    <w:rsid w:val="00C57BDD"/>
    <w:rsid w:val="00C62BD4"/>
    <w:rsid w:val="00C647D9"/>
    <w:rsid w:val="00C6620F"/>
    <w:rsid w:val="00C74B91"/>
    <w:rsid w:val="00C8140C"/>
    <w:rsid w:val="00C85ABE"/>
    <w:rsid w:val="00C9016E"/>
    <w:rsid w:val="00C96108"/>
    <w:rsid w:val="00C9667D"/>
    <w:rsid w:val="00CA287E"/>
    <w:rsid w:val="00CA70D1"/>
    <w:rsid w:val="00CB00C5"/>
    <w:rsid w:val="00CB067D"/>
    <w:rsid w:val="00CB7A48"/>
    <w:rsid w:val="00CC00CD"/>
    <w:rsid w:val="00CD75EC"/>
    <w:rsid w:val="00CE4E7D"/>
    <w:rsid w:val="00CF211A"/>
    <w:rsid w:val="00CF23AE"/>
    <w:rsid w:val="00CF3CEB"/>
    <w:rsid w:val="00CF3F84"/>
    <w:rsid w:val="00CF7B1D"/>
    <w:rsid w:val="00D03173"/>
    <w:rsid w:val="00D07BAC"/>
    <w:rsid w:val="00D101E9"/>
    <w:rsid w:val="00D11B8B"/>
    <w:rsid w:val="00D13E86"/>
    <w:rsid w:val="00D15514"/>
    <w:rsid w:val="00D16E39"/>
    <w:rsid w:val="00D16ECC"/>
    <w:rsid w:val="00D2315E"/>
    <w:rsid w:val="00D26985"/>
    <w:rsid w:val="00D42560"/>
    <w:rsid w:val="00D43475"/>
    <w:rsid w:val="00D44F8C"/>
    <w:rsid w:val="00D52944"/>
    <w:rsid w:val="00D558D5"/>
    <w:rsid w:val="00D60E6A"/>
    <w:rsid w:val="00D623A5"/>
    <w:rsid w:val="00D675F4"/>
    <w:rsid w:val="00D72E9D"/>
    <w:rsid w:val="00D73FD3"/>
    <w:rsid w:val="00D74556"/>
    <w:rsid w:val="00D74DAF"/>
    <w:rsid w:val="00D766B8"/>
    <w:rsid w:val="00D80503"/>
    <w:rsid w:val="00D80630"/>
    <w:rsid w:val="00D82CE5"/>
    <w:rsid w:val="00D83705"/>
    <w:rsid w:val="00DA1ACF"/>
    <w:rsid w:val="00DA260B"/>
    <w:rsid w:val="00DA5271"/>
    <w:rsid w:val="00DA5AB1"/>
    <w:rsid w:val="00DA6592"/>
    <w:rsid w:val="00DB6039"/>
    <w:rsid w:val="00DC62E5"/>
    <w:rsid w:val="00DC6A38"/>
    <w:rsid w:val="00DD46B3"/>
    <w:rsid w:val="00DD735D"/>
    <w:rsid w:val="00DE008A"/>
    <w:rsid w:val="00DE262E"/>
    <w:rsid w:val="00DE29D3"/>
    <w:rsid w:val="00DE3119"/>
    <w:rsid w:val="00DE73B4"/>
    <w:rsid w:val="00DF0AA7"/>
    <w:rsid w:val="00DF236B"/>
    <w:rsid w:val="00DF5F44"/>
    <w:rsid w:val="00E038E1"/>
    <w:rsid w:val="00E075D2"/>
    <w:rsid w:val="00E12483"/>
    <w:rsid w:val="00E13AB8"/>
    <w:rsid w:val="00E25414"/>
    <w:rsid w:val="00E325A7"/>
    <w:rsid w:val="00E32F4A"/>
    <w:rsid w:val="00E33B62"/>
    <w:rsid w:val="00E36426"/>
    <w:rsid w:val="00E368D8"/>
    <w:rsid w:val="00E47408"/>
    <w:rsid w:val="00E50BCA"/>
    <w:rsid w:val="00E51E69"/>
    <w:rsid w:val="00E60329"/>
    <w:rsid w:val="00E62AED"/>
    <w:rsid w:val="00E62DE4"/>
    <w:rsid w:val="00E644DC"/>
    <w:rsid w:val="00E717F8"/>
    <w:rsid w:val="00E71D04"/>
    <w:rsid w:val="00E722C7"/>
    <w:rsid w:val="00E76DDD"/>
    <w:rsid w:val="00E84881"/>
    <w:rsid w:val="00E86F09"/>
    <w:rsid w:val="00E873C4"/>
    <w:rsid w:val="00E91677"/>
    <w:rsid w:val="00E93F1B"/>
    <w:rsid w:val="00E951F4"/>
    <w:rsid w:val="00E953AC"/>
    <w:rsid w:val="00E953C5"/>
    <w:rsid w:val="00EA1123"/>
    <w:rsid w:val="00EA201D"/>
    <w:rsid w:val="00EA7835"/>
    <w:rsid w:val="00EA78F8"/>
    <w:rsid w:val="00EB2EDC"/>
    <w:rsid w:val="00EB643A"/>
    <w:rsid w:val="00EB6547"/>
    <w:rsid w:val="00EC3DFE"/>
    <w:rsid w:val="00EC5510"/>
    <w:rsid w:val="00ED41BA"/>
    <w:rsid w:val="00ED5AB4"/>
    <w:rsid w:val="00ED7ECF"/>
    <w:rsid w:val="00EE35BD"/>
    <w:rsid w:val="00EF4809"/>
    <w:rsid w:val="00EF5300"/>
    <w:rsid w:val="00EF7D76"/>
    <w:rsid w:val="00F071F7"/>
    <w:rsid w:val="00F0743E"/>
    <w:rsid w:val="00F10CC6"/>
    <w:rsid w:val="00F11F68"/>
    <w:rsid w:val="00F21C47"/>
    <w:rsid w:val="00F21E26"/>
    <w:rsid w:val="00F2543D"/>
    <w:rsid w:val="00F374BC"/>
    <w:rsid w:val="00F410C7"/>
    <w:rsid w:val="00F42BD4"/>
    <w:rsid w:val="00F43169"/>
    <w:rsid w:val="00F45D9C"/>
    <w:rsid w:val="00F5043C"/>
    <w:rsid w:val="00F517F6"/>
    <w:rsid w:val="00F54D7D"/>
    <w:rsid w:val="00F57C51"/>
    <w:rsid w:val="00F60480"/>
    <w:rsid w:val="00F643A2"/>
    <w:rsid w:val="00F72665"/>
    <w:rsid w:val="00F82838"/>
    <w:rsid w:val="00F84899"/>
    <w:rsid w:val="00F859F0"/>
    <w:rsid w:val="00F86A36"/>
    <w:rsid w:val="00F9101B"/>
    <w:rsid w:val="00F91722"/>
    <w:rsid w:val="00F9354D"/>
    <w:rsid w:val="00F97EA8"/>
    <w:rsid w:val="00FA0463"/>
    <w:rsid w:val="00FA0C7C"/>
    <w:rsid w:val="00FA1DA9"/>
    <w:rsid w:val="00FA5084"/>
    <w:rsid w:val="00FA5450"/>
    <w:rsid w:val="00FA78F4"/>
    <w:rsid w:val="00FB4C1C"/>
    <w:rsid w:val="00FB69D7"/>
    <w:rsid w:val="00FC11D1"/>
    <w:rsid w:val="00FC269D"/>
    <w:rsid w:val="00FC2F33"/>
    <w:rsid w:val="00FC37E0"/>
    <w:rsid w:val="00FD1802"/>
    <w:rsid w:val="00FD7E53"/>
    <w:rsid w:val="00FE141E"/>
    <w:rsid w:val="00FF0BEB"/>
    <w:rsid w:val="00FF0C59"/>
    <w:rsid w:val="00FF4F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FB"/>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styleId="Textoindependiente">
    <w:name w:val="Body Text"/>
    <w:basedOn w:val="Normal"/>
    <w:link w:val="TextoindependienteCar"/>
    <w:uiPriority w:val="1"/>
    <w:qFormat/>
    <w:rsid w:val="00A945C1"/>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945C1"/>
    <w:rPr>
      <w:rFonts w:ascii="Arial" w:eastAsia="Arial" w:hAnsi="Arial" w:cs="Arial"/>
      <w:lang w:val="es-ES" w:eastAsia="es-ES" w:bidi="es-ES"/>
    </w:rPr>
  </w:style>
  <w:style w:type="character" w:styleId="Textoennegrita">
    <w:name w:val="Strong"/>
    <w:basedOn w:val="Fuentedeprrafopredeter"/>
    <w:uiPriority w:val="22"/>
    <w:qFormat/>
    <w:rsid w:val="005D46AC"/>
    <w:rPr>
      <w:b/>
      <w:bCs/>
    </w:rPr>
  </w:style>
  <w:style w:type="paragraph" w:customStyle="1" w:styleId="Default">
    <w:name w:val="Default"/>
    <w:rsid w:val="006131E1"/>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C96108"/>
    <w:pPr>
      <w:spacing w:after="160" w:line="240" w:lineRule="exact"/>
    </w:pPr>
    <w:rPr>
      <w:sz w:val="22"/>
      <w:vertAlign w:val="superscript"/>
      <w:lang w:val="es-CO"/>
    </w:rPr>
  </w:style>
  <w:style w:type="character" w:customStyle="1" w:styleId="normaltextrun">
    <w:name w:val="normaltextrun"/>
    <w:basedOn w:val="Fuentedeprrafopredeter"/>
    <w:rsid w:val="00C96108"/>
  </w:style>
  <w:style w:type="character" w:styleId="Mencinsinresolver">
    <w:name w:val="Unresolved Mention"/>
    <w:basedOn w:val="Fuentedeprrafopredeter"/>
    <w:uiPriority w:val="99"/>
    <w:semiHidden/>
    <w:unhideWhenUsed/>
    <w:rsid w:val="008E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4635455">
      <w:bodyDiv w:val="1"/>
      <w:marLeft w:val="0"/>
      <w:marRight w:val="0"/>
      <w:marTop w:val="0"/>
      <w:marBottom w:val="0"/>
      <w:divBdr>
        <w:top w:val="none" w:sz="0" w:space="0" w:color="auto"/>
        <w:left w:val="none" w:sz="0" w:space="0" w:color="auto"/>
        <w:bottom w:val="none" w:sz="0" w:space="0" w:color="auto"/>
        <w:right w:val="none" w:sz="0" w:space="0" w:color="auto"/>
      </w:divBdr>
    </w:div>
    <w:div w:id="123350579">
      <w:bodyDiv w:val="1"/>
      <w:marLeft w:val="0"/>
      <w:marRight w:val="0"/>
      <w:marTop w:val="0"/>
      <w:marBottom w:val="0"/>
      <w:divBdr>
        <w:top w:val="none" w:sz="0" w:space="0" w:color="auto"/>
        <w:left w:val="none" w:sz="0" w:space="0" w:color="auto"/>
        <w:bottom w:val="none" w:sz="0" w:space="0" w:color="auto"/>
        <w:right w:val="none" w:sz="0" w:space="0" w:color="auto"/>
      </w:divBdr>
    </w:div>
    <w:div w:id="182211795">
      <w:bodyDiv w:val="1"/>
      <w:marLeft w:val="0"/>
      <w:marRight w:val="0"/>
      <w:marTop w:val="0"/>
      <w:marBottom w:val="0"/>
      <w:divBdr>
        <w:top w:val="none" w:sz="0" w:space="0" w:color="auto"/>
        <w:left w:val="none" w:sz="0" w:space="0" w:color="auto"/>
        <w:bottom w:val="none" w:sz="0" w:space="0" w:color="auto"/>
        <w:right w:val="none" w:sz="0" w:space="0" w:color="auto"/>
      </w:divBdr>
    </w:div>
    <w:div w:id="22970394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17140535">
      <w:bodyDiv w:val="1"/>
      <w:marLeft w:val="0"/>
      <w:marRight w:val="0"/>
      <w:marTop w:val="0"/>
      <w:marBottom w:val="0"/>
      <w:divBdr>
        <w:top w:val="none" w:sz="0" w:space="0" w:color="auto"/>
        <w:left w:val="none" w:sz="0" w:space="0" w:color="auto"/>
        <w:bottom w:val="none" w:sz="0" w:space="0" w:color="auto"/>
        <w:right w:val="none" w:sz="0" w:space="0" w:color="auto"/>
      </w:divBdr>
    </w:div>
    <w:div w:id="506287570">
      <w:bodyDiv w:val="1"/>
      <w:marLeft w:val="0"/>
      <w:marRight w:val="0"/>
      <w:marTop w:val="0"/>
      <w:marBottom w:val="0"/>
      <w:divBdr>
        <w:top w:val="none" w:sz="0" w:space="0" w:color="auto"/>
        <w:left w:val="none" w:sz="0" w:space="0" w:color="auto"/>
        <w:bottom w:val="none" w:sz="0" w:space="0" w:color="auto"/>
        <w:right w:val="none" w:sz="0" w:space="0" w:color="auto"/>
      </w:divBdr>
    </w:div>
    <w:div w:id="747847743">
      <w:bodyDiv w:val="1"/>
      <w:marLeft w:val="0"/>
      <w:marRight w:val="0"/>
      <w:marTop w:val="0"/>
      <w:marBottom w:val="0"/>
      <w:divBdr>
        <w:top w:val="none" w:sz="0" w:space="0" w:color="auto"/>
        <w:left w:val="none" w:sz="0" w:space="0" w:color="auto"/>
        <w:bottom w:val="none" w:sz="0" w:space="0" w:color="auto"/>
        <w:right w:val="none" w:sz="0" w:space="0" w:color="auto"/>
      </w:divBdr>
    </w:div>
    <w:div w:id="766121223">
      <w:bodyDiv w:val="1"/>
      <w:marLeft w:val="0"/>
      <w:marRight w:val="0"/>
      <w:marTop w:val="0"/>
      <w:marBottom w:val="0"/>
      <w:divBdr>
        <w:top w:val="none" w:sz="0" w:space="0" w:color="auto"/>
        <w:left w:val="none" w:sz="0" w:space="0" w:color="auto"/>
        <w:bottom w:val="none" w:sz="0" w:space="0" w:color="auto"/>
        <w:right w:val="none" w:sz="0" w:space="0" w:color="auto"/>
      </w:divBdr>
    </w:div>
    <w:div w:id="958730667">
      <w:bodyDiv w:val="1"/>
      <w:marLeft w:val="0"/>
      <w:marRight w:val="0"/>
      <w:marTop w:val="0"/>
      <w:marBottom w:val="0"/>
      <w:divBdr>
        <w:top w:val="none" w:sz="0" w:space="0" w:color="auto"/>
        <w:left w:val="none" w:sz="0" w:space="0" w:color="auto"/>
        <w:bottom w:val="none" w:sz="0" w:space="0" w:color="auto"/>
        <w:right w:val="none" w:sz="0" w:space="0" w:color="auto"/>
      </w:divBdr>
    </w:div>
    <w:div w:id="992370829">
      <w:bodyDiv w:val="1"/>
      <w:marLeft w:val="0"/>
      <w:marRight w:val="0"/>
      <w:marTop w:val="0"/>
      <w:marBottom w:val="0"/>
      <w:divBdr>
        <w:top w:val="none" w:sz="0" w:space="0" w:color="auto"/>
        <w:left w:val="none" w:sz="0" w:space="0" w:color="auto"/>
        <w:bottom w:val="none" w:sz="0" w:space="0" w:color="auto"/>
        <w:right w:val="none" w:sz="0" w:space="0" w:color="auto"/>
      </w:divBdr>
    </w:div>
    <w:div w:id="996878845">
      <w:bodyDiv w:val="1"/>
      <w:marLeft w:val="0"/>
      <w:marRight w:val="0"/>
      <w:marTop w:val="0"/>
      <w:marBottom w:val="0"/>
      <w:divBdr>
        <w:top w:val="none" w:sz="0" w:space="0" w:color="auto"/>
        <w:left w:val="none" w:sz="0" w:space="0" w:color="auto"/>
        <w:bottom w:val="none" w:sz="0" w:space="0" w:color="auto"/>
        <w:right w:val="none" w:sz="0" w:space="0" w:color="auto"/>
      </w:divBdr>
    </w:div>
    <w:div w:id="1024290106">
      <w:bodyDiv w:val="1"/>
      <w:marLeft w:val="0"/>
      <w:marRight w:val="0"/>
      <w:marTop w:val="0"/>
      <w:marBottom w:val="0"/>
      <w:divBdr>
        <w:top w:val="none" w:sz="0" w:space="0" w:color="auto"/>
        <w:left w:val="none" w:sz="0" w:space="0" w:color="auto"/>
        <w:bottom w:val="none" w:sz="0" w:space="0" w:color="auto"/>
        <w:right w:val="none" w:sz="0" w:space="0" w:color="auto"/>
      </w:divBdr>
    </w:div>
    <w:div w:id="1065684760">
      <w:bodyDiv w:val="1"/>
      <w:marLeft w:val="0"/>
      <w:marRight w:val="0"/>
      <w:marTop w:val="0"/>
      <w:marBottom w:val="0"/>
      <w:divBdr>
        <w:top w:val="none" w:sz="0" w:space="0" w:color="auto"/>
        <w:left w:val="none" w:sz="0" w:space="0" w:color="auto"/>
        <w:bottom w:val="none" w:sz="0" w:space="0" w:color="auto"/>
        <w:right w:val="none" w:sz="0" w:space="0" w:color="auto"/>
      </w:divBdr>
    </w:div>
    <w:div w:id="1069765558">
      <w:bodyDiv w:val="1"/>
      <w:marLeft w:val="0"/>
      <w:marRight w:val="0"/>
      <w:marTop w:val="0"/>
      <w:marBottom w:val="0"/>
      <w:divBdr>
        <w:top w:val="none" w:sz="0" w:space="0" w:color="auto"/>
        <w:left w:val="none" w:sz="0" w:space="0" w:color="auto"/>
        <w:bottom w:val="none" w:sz="0" w:space="0" w:color="auto"/>
        <w:right w:val="none" w:sz="0" w:space="0" w:color="auto"/>
      </w:divBdr>
    </w:div>
    <w:div w:id="1130516447">
      <w:bodyDiv w:val="1"/>
      <w:marLeft w:val="0"/>
      <w:marRight w:val="0"/>
      <w:marTop w:val="0"/>
      <w:marBottom w:val="0"/>
      <w:divBdr>
        <w:top w:val="none" w:sz="0" w:space="0" w:color="auto"/>
        <w:left w:val="none" w:sz="0" w:space="0" w:color="auto"/>
        <w:bottom w:val="none" w:sz="0" w:space="0" w:color="auto"/>
        <w:right w:val="none" w:sz="0" w:space="0" w:color="auto"/>
      </w:divBdr>
    </w:div>
    <w:div w:id="1151604653">
      <w:bodyDiv w:val="1"/>
      <w:marLeft w:val="0"/>
      <w:marRight w:val="0"/>
      <w:marTop w:val="0"/>
      <w:marBottom w:val="0"/>
      <w:divBdr>
        <w:top w:val="none" w:sz="0" w:space="0" w:color="auto"/>
        <w:left w:val="none" w:sz="0" w:space="0" w:color="auto"/>
        <w:bottom w:val="none" w:sz="0" w:space="0" w:color="auto"/>
        <w:right w:val="none" w:sz="0" w:space="0" w:color="auto"/>
      </w:divBdr>
    </w:div>
    <w:div w:id="1451630930">
      <w:bodyDiv w:val="1"/>
      <w:marLeft w:val="0"/>
      <w:marRight w:val="0"/>
      <w:marTop w:val="0"/>
      <w:marBottom w:val="0"/>
      <w:divBdr>
        <w:top w:val="none" w:sz="0" w:space="0" w:color="auto"/>
        <w:left w:val="none" w:sz="0" w:space="0" w:color="auto"/>
        <w:bottom w:val="none" w:sz="0" w:space="0" w:color="auto"/>
        <w:right w:val="none" w:sz="0" w:space="0" w:color="auto"/>
      </w:divBdr>
    </w:div>
    <w:div w:id="1553614092">
      <w:bodyDiv w:val="1"/>
      <w:marLeft w:val="0"/>
      <w:marRight w:val="0"/>
      <w:marTop w:val="0"/>
      <w:marBottom w:val="0"/>
      <w:divBdr>
        <w:top w:val="none" w:sz="0" w:space="0" w:color="auto"/>
        <w:left w:val="none" w:sz="0" w:space="0" w:color="auto"/>
        <w:bottom w:val="none" w:sz="0" w:space="0" w:color="auto"/>
        <w:right w:val="none" w:sz="0" w:space="0" w:color="auto"/>
      </w:divBdr>
    </w:div>
    <w:div w:id="1776291222">
      <w:bodyDiv w:val="1"/>
      <w:marLeft w:val="0"/>
      <w:marRight w:val="0"/>
      <w:marTop w:val="0"/>
      <w:marBottom w:val="0"/>
      <w:divBdr>
        <w:top w:val="none" w:sz="0" w:space="0" w:color="auto"/>
        <w:left w:val="none" w:sz="0" w:space="0" w:color="auto"/>
        <w:bottom w:val="none" w:sz="0" w:space="0" w:color="auto"/>
        <w:right w:val="none" w:sz="0" w:space="0" w:color="auto"/>
      </w:divBdr>
    </w:div>
    <w:div w:id="1823622227">
      <w:bodyDiv w:val="1"/>
      <w:marLeft w:val="0"/>
      <w:marRight w:val="0"/>
      <w:marTop w:val="0"/>
      <w:marBottom w:val="0"/>
      <w:divBdr>
        <w:top w:val="none" w:sz="0" w:space="0" w:color="auto"/>
        <w:left w:val="none" w:sz="0" w:space="0" w:color="auto"/>
        <w:bottom w:val="none" w:sz="0" w:space="0" w:color="auto"/>
        <w:right w:val="none" w:sz="0" w:space="0" w:color="auto"/>
      </w:divBdr>
    </w:div>
    <w:div w:id="20062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BE4CF79-5098-40B8-8BCE-2BF3FFF90C82}"/>
</file>

<file path=customXml/itemProps4.xml><?xml version="1.0" encoding="utf-8"?>
<ds:datastoreItem xmlns:ds="http://schemas.openxmlformats.org/officeDocument/2006/customXml" ds:itemID="{F30001C0-4754-4E1D-8D9E-3BBD02C30D5E}">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56A52FBF-D02A-4D84-9B39-4C89ADB8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13</TotalTime>
  <Pages>11</Pages>
  <Words>4050</Words>
  <Characters>22277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4</cp:revision>
  <dcterms:created xsi:type="dcterms:W3CDTF">2021-06-02T23:29:00Z</dcterms:created>
  <dcterms:modified xsi:type="dcterms:W3CDTF">2021-06-03T00:28:00Z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