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4602D" w:rsidR="00D44C1E" w:rsidP="0054602D" w:rsidRDefault="00214878" w14:paraId="5A31D16A" w14:textId="1232A7E9">
      <w:pPr>
        <w:jc w:val="right"/>
        <w:rPr>
          <w:rFonts w:ascii="Arial" w:hAnsi="Arial" w:cs="Arial"/>
          <w:b/>
          <w:sz w:val="16"/>
          <w:szCs w:val="16"/>
          <w:lang w:eastAsia="es-ES"/>
        </w:rPr>
      </w:pPr>
      <w:bookmarkStart w:name="_Hlk28946138" w:id="0"/>
      <w:bookmarkStart w:name="_Hlk29548183" w:id="1"/>
      <w:bookmarkStart w:name="_Hlk31875101" w:id="2"/>
      <w:bookmarkStart w:name="_Hlk29890381" w:id="3"/>
      <w:r w:rsidRPr="00737DB6">
        <w:rPr>
          <w:rFonts w:ascii="Arial" w:hAnsi="Arial" w:cs="Arial"/>
          <w:b/>
          <w:sz w:val="16"/>
          <w:szCs w:val="16"/>
          <w:lang w:eastAsia="es-ES"/>
        </w:rPr>
        <w:tab/>
      </w:r>
      <w:r w:rsidR="001D5178">
        <w:rPr>
          <w:rFonts w:ascii="Arial" w:hAnsi="Arial" w:cs="Arial"/>
          <w:b/>
          <w:sz w:val="16"/>
          <w:szCs w:val="16"/>
          <w:lang w:eastAsia="es-ES"/>
        </w:rPr>
        <w:t xml:space="preserve">                                                                                                                                                                                                                                                                                 </w:t>
      </w:r>
      <w:r w:rsidRPr="00746C4F">
        <w:rPr>
          <w:rFonts w:ascii="Arial" w:hAnsi="Arial" w:cs="Arial"/>
          <w:b/>
          <w:sz w:val="16"/>
          <w:szCs w:val="16"/>
          <w:lang w:eastAsia="es-ES"/>
        </w:rPr>
        <w:t>CCE-DES-FM-17</w:t>
      </w:r>
      <w:bookmarkEnd w:id="0"/>
      <w:bookmarkEnd w:id="1"/>
    </w:p>
    <w:p w:rsidR="0054602D" w:rsidP="00D44C1E" w:rsidRDefault="0054602D" w14:paraId="3CE23002" w14:textId="77777777">
      <w:pPr>
        <w:jc w:val="both"/>
        <w:rPr>
          <w:rFonts w:ascii="Arial" w:hAnsi="Arial" w:eastAsia="Calibri" w:cs="Arial"/>
          <w:b/>
          <w:sz w:val="22"/>
        </w:rPr>
      </w:pPr>
    </w:p>
    <w:p w:rsidRPr="0027657C" w:rsidR="00306C9D" w:rsidP="37958612" w:rsidRDefault="00A54C72" w14:paraId="0B3AF206" w14:textId="4A0C977F" w14:noSpellErr="1">
      <w:pPr>
        <w:shd w:val="clear" w:color="auto" w:fill="FFFFFF" w:themeFill="accent2"/>
        <w:spacing w:before="0" w:beforeAutospacing="off" w:line="276" w:lineRule="auto"/>
        <w:jc w:val="both"/>
        <w:rPr>
          <w:rFonts w:ascii="Arial" w:hAnsi="Arial" w:eastAsia="Calibri" w:cs="Arial"/>
          <w:b w:val="1"/>
          <w:bCs w:val="1"/>
          <w:sz w:val="22"/>
          <w:szCs w:val="22"/>
          <w:lang w:val="es-ES"/>
        </w:rPr>
      </w:pPr>
      <w:r w:rsidRPr="37958612" w:rsidR="00A54C72">
        <w:rPr>
          <w:rFonts w:ascii="Arial" w:hAnsi="Arial" w:eastAsia="Calibri" w:cs="Arial"/>
          <w:b w:val="1"/>
          <w:bCs w:val="1"/>
          <w:sz w:val="22"/>
          <w:szCs w:val="22"/>
          <w:lang w:val="es-ES"/>
        </w:rPr>
        <w:t xml:space="preserve">DOCUMENTOS TIPO </w:t>
      </w:r>
      <w:r w:rsidRPr="37958612" w:rsidR="00A54C72">
        <w:rPr>
          <w:rFonts w:ascii="Arial" w:hAnsi="Arial" w:eastAsia="Calibri" w:cs="Arial"/>
          <w:b w:val="1"/>
          <w:bCs w:val="1"/>
          <w:color w:val="000000" w:themeColor="text1" w:themeTint="FF" w:themeShade="FF"/>
          <w:sz w:val="22"/>
          <w:szCs w:val="22"/>
          <w:lang w:val="es-ES"/>
        </w:rPr>
        <w:t>–</w:t>
      </w:r>
      <w:r w:rsidRPr="37958612" w:rsidR="00A54C72">
        <w:rPr>
          <w:rFonts w:ascii="Arial" w:hAnsi="Arial" w:eastAsia="Calibri" w:cs="Arial"/>
          <w:b w:val="1"/>
          <w:bCs w:val="1"/>
          <w:sz w:val="22"/>
          <w:szCs w:val="22"/>
          <w:lang w:val="es-ES"/>
        </w:rPr>
        <w:t xml:space="preserve"> Fundamento normativo </w:t>
      </w:r>
    </w:p>
    <w:p w:rsidR="37958612" w:rsidP="37958612" w:rsidRDefault="37958612" w14:paraId="6A4CDF89" w14:textId="42DD27C9">
      <w:pPr>
        <w:pStyle w:val="Normal"/>
        <w:shd w:val="clear" w:color="auto" w:fill="FFFFFF" w:themeFill="accent2"/>
        <w:spacing w:before="0" w:beforeAutospacing="off" w:line="276" w:lineRule="auto"/>
        <w:jc w:val="both"/>
        <w:rPr>
          <w:rFonts w:ascii="Arial" w:hAnsi="Arial" w:eastAsia="Calibri" w:cs="Arial"/>
          <w:b w:val="1"/>
          <w:bCs w:val="1"/>
          <w:sz w:val="24"/>
          <w:szCs w:val="24"/>
          <w:lang w:val="es-ES"/>
        </w:rPr>
      </w:pPr>
    </w:p>
    <w:p w:rsidRPr="005B7953" w:rsidR="005B7953" w:rsidP="37958612" w:rsidRDefault="005B7953" w14:paraId="74C68BD4" w14:textId="61D4B791" w14:noSpellErr="1">
      <w:pPr>
        <w:shd w:val="clear" w:color="auto" w:fill="FFFFFF" w:themeFill="accent2"/>
        <w:spacing w:before="0" w:beforeAutospacing="off"/>
        <w:jc w:val="both"/>
        <w:rPr>
          <w:rFonts w:ascii="Arial" w:hAnsi="Arial" w:eastAsia="Calibri" w:cs="Arial"/>
          <w:sz w:val="20"/>
          <w:szCs w:val="20"/>
          <w:lang w:val="es-ES"/>
        </w:rPr>
      </w:pPr>
      <w:r w:rsidRPr="37958612" w:rsidR="005B7953">
        <w:rPr>
          <w:rFonts w:ascii="Arial" w:hAnsi="Arial" w:eastAsia="Calibri" w:cs="Arial"/>
          <w:sz w:val="20"/>
          <w:szCs w:val="20"/>
          <w:lang w:val="es-ES"/>
        </w:rPr>
        <w:t xml:space="preserve">[…] </w:t>
      </w:r>
      <w:r w:rsidRPr="37958612" w:rsidR="005B7953">
        <w:rPr>
          <w:rFonts w:ascii="Arial" w:hAnsi="Arial" w:eastAsia="Calibri" w:cs="Arial"/>
          <w:sz w:val="20"/>
          <w:szCs w:val="20"/>
          <w:lang w:val="es-ES"/>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rsidRPr="005B7953" w:rsidR="005B7953" w:rsidP="37958612" w:rsidRDefault="005B7953" w14:paraId="7FEF494F" w14:textId="77777777" w14:noSpellErr="1">
      <w:pPr>
        <w:shd w:val="clear" w:color="auto" w:fill="FFFFFF" w:themeFill="accent2"/>
        <w:spacing w:before="0" w:beforeAutospacing="off"/>
        <w:jc w:val="both"/>
        <w:rPr>
          <w:rFonts w:ascii="Arial" w:hAnsi="Arial" w:eastAsia="Calibri" w:cs="Arial"/>
          <w:sz w:val="20"/>
          <w:szCs w:val="20"/>
          <w:lang w:val="es-ES"/>
        </w:rPr>
      </w:pPr>
      <w:r w:rsidRPr="37958612" w:rsidR="005B7953">
        <w:rPr>
          <w:rFonts w:ascii="Arial" w:hAnsi="Arial" w:eastAsia="Calibri" w:cs="Arial"/>
          <w:sz w:val="20"/>
          <w:szCs w:val="20"/>
          <w:lang w:val="es-ES"/>
        </w:rPr>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Colombia Compra Eficiente expide las Resoluciones No. 240 y 241 del 27 de noviembre 2020 a través de las cuales se adoptan los documentos tipo de licitación de obra pública – versión 3 y de selección abreviada de menor cuantía – versión 2 de infraestructura de transporte, lo cuales son obligatorios a partir del 1º de enero de 2021.  </w:t>
      </w:r>
    </w:p>
    <w:p w:rsidRPr="005B7953" w:rsidR="005B7953" w:rsidP="00A54C72" w:rsidRDefault="005B7953" w14:paraId="4A40C267" w14:textId="77777777">
      <w:pPr>
        <w:jc w:val="both"/>
        <w:rPr>
          <w:rFonts w:ascii="Arial" w:hAnsi="Arial" w:eastAsia="Calibri" w:cs="Arial"/>
          <w:sz w:val="20"/>
          <w:szCs w:val="20"/>
          <w:lang w:val="es-CO"/>
        </w:rPr>
      </w:pPr>
    </w:p>
    <w:p w:rsidRPr="001C64F9" w:rsidR="00A54C72" w:rsidP="00A54C72" w:rsidRDefault="004B25D9" w14:paraId="3CB6C32A" w14:textId="260948F5">
      <w:pPr>
        <w:jc w:val="both"/>
        <w:rPr>
          <w:rFonts w:ascii="Arial" w:hAnsi="Arial" w:eastAsia="Calibri" w:cs="Arial"/>
          <w:b/>
          <w:sz w:val="22"/>
          <w:lang w:val="es-ES_tradnl"/>
        </w:rPr>
      </w:pPr>
      <w:r>
        <w:rPr>
          <w:rFonts w:ascii="Arial" w:hAnsi="Arial" w:eastAsia="Calibri" w:cs="Arial"/>
          <w:b/>
          <w:sz w:val="22"/>
          <w:lang w:val="es-ES_tradnl"/>
        </w:rPr>
        <w:t xml:space="preserve">DOCUMENTOS TIPO – Regla de Inalterabilidad </w:t>
      </w:r>
      <w:r w:rsidRPr="009547BE" w:rsidR="00A54C72">
        <w:rPr>
          <w:rFonts w:ascii="Arial" w:hAnsi="Arial" w:eastAsia="Calibri" w:cs="Arial"/>
          <w:b/>
          <w:color w:val="000000" w:themeColor="text1"/>
          <w:sz w:val="22"/>
          <w:lang w:val="es-ES_tradnl"/>
        </w:rPr>
        <w:t xml:space="preserve">– </w:t>
      </w:r>
      <w:r w:rsidR="00B148FC">
        <w:rPr>
          <w:rFonts w:ascii="Arial" w:hAnsi="Arial" w:eastAsia="Calibri" w:cs="Arial"/>
          <w:b/>
          <w:sz w:val="22"/>
          <w:lang w:val="es-ES_tradnl"/>
        </w:rPr>
        <w:t xml:space="preserve">Alcance </w:t>
      </w:r>
    </w:p>
    <w:p w:rsidR="00A54C72" w:rsidP="00A54C72" w:rsidRDefault="00A54C72" w14:paraId="4A6A0277" w14:textId="77777777">
      <w:pPr>
        <w:jc w:val="both"/>
        <w:rPr>
          <w:rFonts w:ascii="Arial" w:hAnsi="Arial" w:eastAsia="Calibri" w:cs="Arial"/>
          <w:sz w:val="20"/>
          <w:szCs w:val="20"/>
          <w:lang w:val="es-ES_tradnl"/>
        </w:rPr>
      </w:pPr>
    </w:p>
    <w:p w:rsidRPr="00B148FC" w:rsidR="00B148FC" w:rsidP="37958612" w:rsidRDefault="00B148FC" w14:paraId="2C36F40D" w14:textId="10557201" w14:noSpellErr="1">
      <w:pPr>
        <w:shd w:val="clear" w:color="auto" w:fill="FFFFFF" w:themeFill="accent2"/>
        <w:spacing w:before="0" w:beforeAutospacing="off"/>
        <w:jc w:val="both"/>
        <w:textAlignment w:val="baseline"/>
        <w:rPr>
          <w:rFonts w:ascii="Arial" w:hAnsi="Arial" w:eastAsia="Calibri" w:cs="Arial"/>
          <w:sz w:val="20"/>
          <w:szCs w:val="20"/>
          <w:lang w:val="es-ES"/>
        </w:rPr>
      </w:pPr>
      <w:r w:rsidRPr="37958612" w:rsidR="00B148FC">
        <w:rPr>
          <w:rFonts w:ascii="Arial" w:hAnsi="Arial" w:eastAsia="Calibri" w:cs="Arial"/>
          <w:sz w:val="20"/>
          <w:szCs w:val="20"/>
          <w:lang w:val="es-ES"/>
        </w:rPr>
        <w:t xml:space="preserve">El artículo 2.2.1.2.6.1.4 del Decreto 1082 de 2015 establece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1 de la Ley 2022 de 2020, como se dijo en el numeral anterior, son de obligatorio cumplimiento para las entidades sometidas al Estatuto General de Contratación de la Administración pública que adelanten procesos que deban regirse por su contenido y no pueden variarse los requisitos que en ellos sean fijados. </w:t>
      </w:r>
    </w:p>
    <w:p w:rsidRPr="00B148FC" w:rsidR="00B148FC" w:rsidP="37958612" w:rsidRDefault="00B148FC" w14:paraId="533D720F" w14:textId="77777777" w14:noSpellErr="1">
      <w:pPr>
        <w:spacing w:before="0" w:beforeAutospacing="off"/>
        <w:jc w:val="both"/>
        <w:rPr>
          <w:rFonts w:ascii="Arial" w:hAnsi="Arial" w:eastAsia="Calibri" w:cs="Arial"/>
          <w:sz w:val="20"/>
          <w:szCs w:val="20"/>
          <w:lang w:val="es-ES"/>
        </w:rPr>
      </w:pPr>
      <w:r w:rsidRPr="37958612" w:rsidR="00B148FC">
        <w:rPr>
          <w:rFonts w:ascii="Arial" w:hAnsi="Arial" w:eastAsia="Calibri" w:cs="Arial"/>
          <w:sz w:val="20"/>
          <w:szCs w:val="20"/>
          <w:lang w:val="es-ES"/>
        </w:rPr>
        <w:t xml:space="preserve">Esta prohibición la ratifica el artículo 3 de la Resolución No. 240 de 2020, por medio de las que se implementan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rsidR="00A54C72" w:rsidP="00A54C72" w:rsidRDefault="00A54C72" w14:paraId="2050B07A" w14:textId="0D7916C2">
      <w:pPr>
        <w:jc w:val="both"/>
        <w:rPr>
          <w:rFonts w:ascii="Arial" w:hAnsi="Arial" w:eastAsia="Calibri" w:cs="Arial"/>
          <w:sz w:val="20"/>
          <w:szCs w:val="20"/>
          <w:lang w:val="es-ES_tradnl"/>
        </w:rPr>
      </w:pPr>
    </w:p>
    <w:p w:rsidR="00361BB8" w:rsidP="00A54C72" w:rsidRDefault="00361BB8" w14:paraId="796AC958" w14:textId="3BBE02C9">
      <w:pPr>
        <w:jc w:val="both"/>
        <w:rPr>
          <w:rFonts w:ascii="Arial" w:hAnsi="Arial" w:eastAsia="Calibri" w:cs="Arial"/>
          <w:sz w:val="20"/>
          <w:szCs w:val="20"/>
          <w:lang w:val="es-ES_tradnl"/>
        </w:rPr>
      </w:pPr>
    </w:p>
    <w:p w:rsidRPr="002B5F38" w:rsidR="00361BB8" w:rsidP="00361BB8" w:rsidRDefault="00361BB8" w14:paraId="632B61E5" w14:textId="77777777">
      <w:pPr>
        <w:pStyle w:val="Textoindependiente"/>
        <w:ind w:left="284" w:right="184"/>
        <w:jc w:val="both"/>
      </w:pPr>
    </w:p>
    <w:p w:rsidRPr="00361BB8" w:rsidR="00361BB8" w:rsidP="00A54C72" w:rsidRDefault="00361BB8" w14:paraId="506FDD6C" w14:textId="77777777">
      <w:pPr>
        <w:jc w:val="both"/>
        <w:rPr>
          <w:rFonts w:ascii="Arial" w:hAnsi="Arial" w:eastAsia="Calibri" w:cs="Arial"/>
          <w:sz w:val="20"/>
          <w:szCs w:val="20"/>
          <w:lang w:val="es-ES"/>
        </w:rPr>
      </w:pPr>
    </w:p>
    <w:p w:rsidRPr="00A54C72" w:rsidR="0054602D" w:rsidP="003D7759" w:rsidRDefault="0054602D" w14:paraId="28FE1B1C" w14:textId="1792A76E">
      <w:pPr>
        <w:rPr>
          <w:rFonts w:ascii="Arial" w:hAnsi="Arial" w:eastAsia="Calibri" w:cs="Arial"/>
          <w:color w:val="000000" w:themeColor="text1"/>
          <w:sz w:val="22"/>
          <w:lang w:val="es-ES_tradnl"/>
        </w:rPr>
      </w:pPr>
    </w:p>
    <w:p w:rsidR="0054602D" w:rsidP="003D7759" w:rsidRDefault="0054602D" w14:paraId="702DD2A4" w14:textId="30E2B3B4">
      <w:pPr>
        <w:rPr>
          <w:rFonts w:ascii="Arial" w:hAnsi="Arial" w:eastAsia="Calibri" w:cs="Arial"/>
          <w:color w:val="000000" w:themeColor="text1"/>
          <w:sz w:val="22"/>
        </w:rPr>
      </w:pPr>
    </w:p>
    <w:p w:rsidR="00306C9D" w:rsidP="003D7759" w:rsidRDefault="00306C9D" w14:paraId="2229B965" w14:textId="77777777">
      <w:pPr>
        <w:rPr>
          <w:rFonts w:ascii="Arial" w:hAnsi="Arial" w:eastAsia="Calibri" w:cs="Arial"/>
          <w:color w:val="000000" w:themeColor="text1"/>
          <w:sz w:val="22"/>
        </w:rPr>
      </w:pPr>
    </w:p>
    <w:p w:rsidR="00306C9D" w:rsidP="003D7759" w:rsidRDefault="00306C9D" w14:paraId="79171BB4" w14:textId="77777777">
      <w:pPr>
        <w:rPr>
          <w:rFonts w:ascii="Arial" w:hAnsi="Arial" w:eastAsia="Calibri" w:cs="Arial"/>
          <w:color w:val="000000" w:themeColor="text1"/>
          <w:sz w:val="22"/>
        </w:rPr>
      </w:pPr>
    </w:p>
    <w:p w:rsidR="00306C9D" w:rsidP="003D7759" w:rsidRDefault="00306C9D" w14:paraId="542A7018" w14:textId="77777777">
      <w:pPr>
        <w:rPr>
          <w:rFonts w:ascii="Arial" w:hAnsi="Arial" w:eastAsia="Calibri" w:cs="Arial"/>
          <w:color w:val="000000" w:themeColor="text1"/>
          <w:sz w:val="22"/>
        </w:rPr>
      </w:pPr>
    </w:p>
    <w:p w:rsidR="00306C9D" w:rsidP="003D7759" w:rsidRDefault="00306C9D" w14:paraId="59D39C30" w14:textId="77777777">
      <w:pPr>
        <w:rPr>
          <w:rFonts w:ascii="Arial" w:hAnsi="Arial" w:eastAsia="Calibri" w:cs="Arial"/>
          <w:color w:val="000000" w:themeColor="text1"/>
          <w:sz w:val="22"/>
        </w:rPr>
      </w:pPr>
    </w:p>
    <w:p w:rsidR="00306C9D" w:rsidP="003D7759" w:rsidRDefault="00306C9D" w14:paraId="132296D3" w14:textId="77777777">
      <w:pPr>
        <w:rPr>
          <w:rFonts w:ascii="Arial" w:hAnsi="Arial" w:eastAsia="Calibri" w:cs="Arial"/>
          <w:color w:val="000000" w:themeColor="text1"/>
          <w:sz w:val="22"/>
        </w:rPr>
      </w:pPr>
    </w:p>
    <w:p w:rsidR="00306C9D" w:rsidP="003D7759" w:rsidRDefault="00306C9D" w14:paraId="39F685B4" w14:textId="77777777">
      <w:pPr>
        <w:rPr>
          <w:rFonts w:ascii="Arial" w:hAnsi="Arial" w:eastAsia="Calibri" w:cs="Arial"/>
          <w:color w:val="000000" w:themeColor="text1"/>
          <w:sz w:val="22"/>
        </w:rPr>
      </w:pPr>
    </w:p>
    <w:p w:rsidR="00306C9D" w:rsidP="003D7759" w:rsidRDefault="00306C9D" w14:paraId="558C3410" w14:textId="77777777">
      <w:pPr>
        <w:rPr>
          <w:rFonts w:ascii="Arial" w:hAnsi="Arial" w:eastAsia="Calibri" w:cs="Arial"/>
          <w:color w:val="000000" w:themeColor="text1"/>
          <w:sz w:val="22"/>
        </w:rPr>
      </w:pPr>
    </w:p>
    <w:p w:rsidR="00306C9D" w:rsidP="003D7759" w:rsidRDefault="00306C9D" w14:paraId="768669AF" w14:textId="0678EE6B">
      <w:pPr>
        <w:rPr>
          <w:rFonts w:ascii="Arial" w:hAnsi="Arial" w:eastAsia="Calibri" w:cs="Arial"/>
          <w:color w:val="000000" w:themeColor="text1"/>
          <w:sz w:val="22"/>
        </w:rPr>
      </w:pPr>
    </w:p>
    <w:p w:rsidR="00E12977" w:rsidP="003D7759" w:rsidRDefault="00E12977" w14:paraId="685F2130" w14:textId="73D83DFE">
      <w:pPr>
        <w:rPr>
          <w:rFonts w:ascii="Arial" w:hAnsi="Arial" w:eastAsia="Calibri" w:cs="Arial"/>
          <w:color w:val="000000" w:themeColor="text1"/>
          <w:sz w:val="22"/>
        </w:rPr>
      </w:pPr>
    </w:p>
    <w:p w:rsidR="00E12977" w:rsidP="00E12977" w:rsidRDefault="00E12977" w14:paraId="49CF3907" w14:textId="5E5CB9BE">
      <w:pPr>
        <w:jc w:val="right"/>
        <w:rPr>
          <w:rFonts w:ascii="Arial" w:hAnsi="Arial" w:eastAsia="Calibri" w:cs="Arial"/>
          <w:color w:val="000000" w:themeColor="text1"/>
          <w:sz w:val="22"/>
        </w:rPr>
      </w:pPr>
      <w:r w:rsidRPr="00E12977">
        <w:rPr>
          <w:rFonts w:ascii="Arial" w:hAnsi="Arial" w:eastAsia="Calibri" w:cs="Arial"/>
          <w:noProof/>
          <w:color w:val="000000" w:themeColor="text1"/>
          <w:sz w:val="22"/>
          <w:lang w:val="en-US"/>
        </w:rPr>
        <w:drawing>
          <wp:inline distT="0" distB="0" distL="0" distR="0" wp14:anchorId="0F18820A" wp14:editId="7EB311AF">
            <wp:extent cx="3249295" cy="74295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9295" cy="747523"/>
                    </a:xfrm>
                    <a:prstGeom prst="rect">
                      <a:avLst/>
                    </a:prstGeom>
                    <a:noFill/>
                    <a:ln>
                      <a:noFill/>
                    </a:ln>
                  </pic:spPr>
                </pic:pic>
              </a:graphicData>
            </a:graphic>
          </wp:inline>
        </w:drawing>
      </w:r>
    </w:p>
    <w:p w:rsidR="00306C9D" w:rsidP="003D7759" w:rsidRDefault="00306C9D" w14:paraId="675E6886" w14:textId="371D3137">
      <w:pPr>
        <w:rPr>
          <w:rFonts w:ascii="Arial" w:hAnsi="Arial" w:eastAsia="Calibri" w:cs="Arial"/>
          <w:color w:val="000000" w:themeColor="text1"/>
          <w:sz w:val="22"/>
        </w:rPr>
      </w:pPr>
    </w:p>
    <w:p w:rsidR="00E12977" w:rsidP="003D7759" w:rsidRDefault="00E12977" w14:paraId="32CBAF74" w14:textId="77777777">
      <w:pPr>
        <w:rPr>
          <w:rFonts w:ascii="Arial" w:hAnsi="Arial" w:eastAsia="Calibri" w:cs="Arial"/>
          <w:sz w:val="22"/>
        </w:rPr>
      </w:pPr>
    </w:p>
    <w:p w:rsidR="00E12977" w:rsidP="003D7759" w:rsidRDefault="00E12977" w14:paraId="38567493" w14:textId="0B991889">
      <w:pPr>
        <w:rPr>
          <w:rFonts w:ascii="Arial" w:hAnsi="Arial" w:eastAsia="Calibri" w:cs="Arial"/>
          <w:sz w:val="22"/>
        </w:rPr>
      </w:pPr>
      <w:r w:rsidRPr="00E12977">
        <w:rPr>
          <w:rFonts w:ascii="Arial" w:hAnsi="Arial" w:eastAsia="Calibri" w:cs="Arial"/>
          <w:sz w:val="22"/>
        </w:rPr>
        <w:t xml:space="preserve">Bogotá, 03 </w:t>
      </w:r>
      <w:proofErr w:type="spellStart"/>
      <w:proofErr w:type="gramStart"/>
      <w:r w:rsidRPr="00E12977">
        <w:rPr>
          <w:rFonts w:ascii="Arial" w:hAnsi="Arial" w:eastAsia="Calibri" w:cs="Arial"/>
          <w:sz w:val="22"/>
        </w:rPr>
        <w:t>Junio</w:t>
      </w:r>
      <w:proofErr w:type="spellEnd"/>
      <w:proofErr w:type="gramEnd"/>
      <w:r w:rsidRPr="00E12977">
        <w:rPr>
          <w:rFonts w:ascii="Arial" w:hAnsi="Arial" w:eastAsia="Calibri" w:cs="Arial"/>
          <w:sz w:val="22"/>
        </w:rPr>
        <w:t xml:space="preserve"> 2021</w:t>
      </w:r>
    </w:p>
    <w:p w:rsidR="00E12977" w:rsidP="003D7759" w:rsidRDefault="00E12977" w14:paraId="3B879B4C" w14:textId="3A38B9F6">
      <w:pPr>
        <w:rPr>
          <w:rFonts w:ascii="Arial" w:hAnsi="Arial" w:eastAsia="Calibri" w:cs="Arial"/>
          <w:sz w:val="22"/>
        </w:rPr>
      </w:pPr>
    </w:p>
    <w:p w:rsidR="00AF1718" w:rsidP="003D7759" w:rsidRDefault="00A54C72" w14:paraId="1F3E67BB" w14:textId="516F727A">
      <w:pPr>
        <w:rPr>
          <w:rFonts w:ascii="Arial" w:hAnsi="Arial" w:eastAsia="Calibri" w:cs="Arial"/>
          <w:sz w:val="22"/>
        </w:rPr>
      </w:pPr>
      <w:r>
        <w:rPr>
          <w:rFonts w:ascii="Arial" w:hAnsi="Arial" w:eastAsia="Calibri" w:cs="Arial"/>
          <w:sz w:val="22"/>
        </w:rPr>
        <w:t xml:space="preserve">Señor </w:t>
      </w:r>
    </w:p>
    <w:p w:rsidRPr="00A54C72" w:rsidR="00A54C72" w:rsidP="003D7759" w:rsidRDefault="00A54C72" w14:paraId="23C4740B" w14:textId="0C8CFF9C">
      <w:pPr>
        <w:rPr>
          <w:rFonts w:ascii="Arial" w:hAnsi="Arial" w:eastAsia="Calibri" w:cs="Arial"/>
          <w:b/>
          <w:sz w:val="22"/>
        </w:rPr>
      </w:pPr>
      <w:r>
        <w:rPr>
          <w:rFonts w:ascii="Arial" w:hAnsi="Arial" w:eastAsia="Calibri" w:cs="Arial"/>
          <w:b/>
          <w:sz w:val="22"/>
        </w:rPr>
        <w:t xml:space="preserve">Didier Mauricio Zuluaga Rojas </w:t>
      </w:r>
    </w:p>
    <w:p w:rsidRPr="00FB4058" w:rsidR="00AF1718" w:rsidP="003D7759" w:rsidRDefault="00060153" w14:paraId="0C4BCB54" w14:textId="7D4B7E89">
      <w:pPr>
        <w:rPr>
          <w:rFonts w:ascii="Arial" w:hAnsi="Arial" w:eastAsia="Calibri" w:cs="Arial"/>
          <w:bCs/>
          <w:sz w:val="22"/>
        </w:rPr>
      </w:pPr>
      <w:r w:rsidRPr="00FB4058">
        <w:rPr>
          <w:rFonts w:ascii="Arial" w:hAnsi="Arial" w:eastAsia="Calibri" w:cs="Arial"/>
          <w:bCs/>
          <w:sz w:val="22"/>
          <w:lang w:val="es-ES"/>
        </w:rPr>
        <w:t>Honda, Tolima</w:t>
      </w:r>
    </w:p>
    <w:p w:rsidRPr="003F6F8C" w:rsidR="00AF1718" w:rsidP="003D7759" w:rsidRDefault="00AF1718" w14:paraId="52C41654" w14:textId="2182974A">
      <w:pPr>
        <w:rPr>
          <w:rFonts w:ascii="Arial" w:hAnsi="Arial" w:eastAsia="Calibri" w:cs="Arial"/>
          <w:sz w:val="22"/>
        </w:rPr>
      </w:pPr>
    </w:p>
    <w:p w:rsidRPr="003F6F8C" w:rsidR="00AF1718" w:rsidP="003D7759" w:rsidRDefault="00AF1718" w14:paraId="479972ED" w14:textId="77777777">
      <w:pPr>
        <w:rPr>
          <w:rFonts w:ascii="Arial" w:hAnsi="Arial" w:eastAsia="Calibri" w:cs="Arial"/>
          <w:sz w:val="22"/>
        </w:rPr>
      </w:pPr>
    </w:p>
    <w:p w:rsidRPr="003F6F8C" w:rsidR="00AF1718" w:rsidP="00AD64EA" w:rsidRDefault="00A54C72" w14:paraId="64DAC2D7" w14:textId="284422BD">
      <w:pPr>
        <w:ind w:left="2694"/>
        <w:rPr>
          <w:rFonts w:ascii="Arial" w:hAnsi="Arial" w:eastAsia="Calibri" w:cs="Arial"/>
          <w:b/>
          <w:sz w:val="22"/>
        </w:rPr>
      </w:pPr>
      <w:r>
        <w:rPr>
          <w:rFonts w:ascii="Arial" w:hAnsi="Arial" w:eastAsia="Calibri" w:cs="Arial"/>
          <w:b/>
          <w:sz w:val="22"/>
        </w:rPr>
        <w:t>Concepto C</w:t>
      </w:r>
      <w:r w:rsidR="00014637">
        <w:rPr>
          <w:rFonts w:ascii="Arial" w:hAnsi="Arial" w:eastAsia="Calibri" w:cs="Arial"/>
          <w:b/>
          <w:sz w:val="22"/>
        </w:rPr>
        <w:t xml:space="preserve"> –</w:t>
      </w:r>
      <w:r>
        <w:rPr>
          <w:rFonts w:ascii="Arial" w:hAnsi="Arial" w:eastAsia="Calibri" w:cs="Arial"/>
          <w:b/>
          <w:sz w:val="22"/>
        </w:rPr>
        <w:t xml:space="preserve"> 266 </w:t>
      </w:r>
      <w:r w:rsidRPr="003F6F8C" w:rsidR="00AF1718">
        <w:rPr>
          <w:rFonts w:ascii="Arial" w:hAnsi="Arial" w:eastAsia="Calibri" w:cs="Arial"/>
          <w:b/>
          <w:sz w:val="22"/>
        </w:rPr>
        <w:t>de 2021</w:t>
      </w:r>
    </w:p>
    <w:p w:rsidRPr="003F6F8C" w:rsidR="00AF1718" w:rsidP="003D7759" w:rsidRDefault="00AF1718" w14:paraId="37719CA8"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F6F8C" w:rsidR="00AF1718" w:rsidTr="00AF1718" w14:paraId="00B1888F" w14:textId="77777777">
        <w:tc>
          <w:tcPr>
            <w:tcW w:w="2689" w:type="dxa"/>
            <w:hideMark/>
          </w:tcPr>
          <w:p w:rsidRPr="003F6F8C" w:rsidR="00AF1718" w:rsidP="003D7759" w:rsidRDefault="00AF1718" w14:paraId="1C9397C0" w14:textId="45775F74">
            <w:pPr>
              <w:rPr>
                <w:rFonts w:ascii="Arial" w:hAnsi="Arial" w:eastAsia="Calibri" w:cs="Arial"/>
                <w:sz w:val="22"/>
              </w:rPr>
            </w:pPr>
            <w:r w:rsidRPr="003F6F8C">
              <w:rPr>
                <w:rFonts w:ascii="Arial" w:hAnsi="Arial" w:eastAsia="Calibri" w:cs="Arial"/>
                <w:b/>
                <w:sz w:val="22"/>
              </w:rPr>
              <w:t>Temas:</w:t>
            </w:r>
            <w:r w:rsidRPr="003F6F8C">
              <w:rPr>
                <w:rFonts w:ascii="Arial" w:hAnsi="Arial" w:eastAsia="Calibri" w:cs="Arial"/>
                <w:sz w:val="22"/>
              </w:rPr>
              <w:t xml:space="preserve"> </w:t>
            </w:r>
          </w:p>
          <w:p w:rsidRPr="003F6F8C" w:rsidR="00AF1718" w:rsidP="003D7759" w:rsidRDefault="00AF1718" w14:paraId="6531557F" w14:textId="61BDB28B">
            <w:pPr>
              <w:rPr>
                <w:rFonts w:ascii="Arial" w:hAnsi="Arial" w:eastAsia="Calibri" w:cs="Arial"/>
                <w:sz w:val="22"/>
              </w:rPr>
            </w:pPr>
          </w:p>
        </w:tc>
        <w:tc>
          <w:tcPr>
            <w:tcW w:w="6237" w:type="dxa"/>
            <w:hideMark/>
          </w:tcPr>
          <w:p w:rsidRPr="00FD4DE7" w:rsidR="00AF1718" w:rsidP="00F40004" w:rsidRDefault="00306C9D" w14:paraId="152A85B9" w14:textId="1D1D888A">
            <w:pPr>
              <w:spacing w:line="276" w:lineRule="auto"/>
              <w:jc w:val="both"/>
              <w:rPr>
                <w:rFonts w:ascii="Arial" w:hAnsi="Arial" w:eastAsia="Calibri" w:cs="Arial"/>
                <w:b/>
                <w:sz w:val="22"/>
              </w:rPr>
            </w:pPr>
            <w:r>
              <w:rPr>
                <w:rFonts w:ascii="Arial" w:hAnsi="Arial" w:eastAsia="Calibri" w:cs="Arial"/>
                <w:sz w:val="22"/>
              </w:rPr>
              <w:t xml:space="preserve">DOCUMENTO </w:t>
            </w:r>
            <w:r w:rsidR="00A54C72">
              <w:rPr>
                <w:rFonts w:ascii="Arial" w:hAnsi="Arial" w:eastAsia="Calibri" w:cs="Arial"/>
                <w:sz w:val="22"/>
              </w:rPr>
              <w:t>TIPO</w:t>
            </w:r>
            <w:r>
              <w:rPr>
                <w:rFonts w:ascii="Arial" w:hAnsi="Arial" w:eastAsia="Calibri" w:cs="Arial"/>
                <w:sz w:val="22"/>
              </w:rPr>
              <w:t xml:space="preserve"> </w:t>
            </w:r>
            <w:r w:rsidR="00F40004">
              <w:rPr>
                <w:rFonts w:ascii="Arial" w:hAnsi="Arial" w:eastAsia="Calibri" w:cs="Arial"/>
                <w:sz w:val="22"/>
              </w:rPr>
              <w:t xml:space="preserve">– </w:t>
            </w:r>
            <w:r w:rsidR="00A54C72">
              <w:rPr>
                <w:rFonts w:ascii="Arial" w:hAnsi="Arial" w:eastAsia="Calibri" w:cs="Arial"/>
                <w:sz w:val="22"/>
              </w:rPr>
              <w:t>Fund</w:t>
            </w:r>
            <w:r w:rsidR="004B25D9">
              <w:rPr>
                <w:rFonts w:ascii="Arial" w:hAnsi="Arial" w:eastAsia="Calibri" w:cs="Arial"/>
                <w:sz w:val="22"/>
              </w:rPr>
              <w:t>amento normativo / DOCUMENTO TIPO</w:t>
            </w:r>
            <w:r w:rsidR="00A54C72">
              <w:rPr>
                <w:rFonts w:ascii="Arial" w:hAnsi="Arial" w:eastAsia="Calibri" w:cs="Arial"/>
                <w:sz w:val="22"/>
              </w:rPr>
              <w:t xml:space="preserve"> – </w:t>
            </w:r>
            <w:r w:rsidR="004B25D9">
              <w:rPr>
                <w:rFonts w:ascii="Arial" w:hAnsi="Arial" w:eastAsia="Calibri" w:cs="Arial"/>
                <w:sz w:val="22"/>
              </w:rPr>
              <w:t>Regla de Inalterabilidad</w:t>
            </w:r>
            <w:r w:rsidR="00A54C72">
              <w:rPr>
                <w:rFonts w:ascii="Arial" w:hAnsi="Arial" w:eastAsia="Calibri" w:cs="Arial"/>
                <w:sz w:val="22"/>
              </w:rPr>
              <w:t xml:space="preserve"> – </w:t>
            </w:r>
            <w:r w:rsidR="00F40004">
              <w:rPr>
                <w:rFonts w:ascii="Arial" w:hAnsi="Arial" w:eastAsia="Calibri" w:cs="Arial"/>
                <w:sz w:val="22"/>
              </w:rPr>
              <w:t xml:space="preserve">Alcance </w:t>
            </w:r>
          </w:p>
          <w:p w:rsidRPr="00FD4DE7" w:rsidR="00AF1718" w:rsidP="00F40004" w:rsidRDefault="00AF1718" w14:paraId="30A9E48B" w14:textId="505B0885">
            <w:pPr>
              <w:spacing w:line="276" w:lineRule="auto"/>
              <w:jc w:val="both"/>
              <w:rPr>
                <w:rFonts w:ascii="Arial" w:hAnsi="Arial" w:eastAsia="Calibri" w:cs="Arial"/>
                <w:sz w:val="22"/>
              </w:rPr>
            </w:pPr>
          </w:p>
        </w:tc>
      </w:tr>
      <w:tr w:rsidRPr="009A4A28" w:rsidR="00AF1718" w:rsidTr="00AF1718" w14:paraId="0E180394" w14:textId="77777777">
        <w:tc>
          <w:tcPr>
            <w:tcW w:w="2689" w:type="dxa"/>
          </w:tcPr>
          <w:p w:rsidRPr="00906FED" w:rsidR="00AF1718" w:rsidP="003D7759" w:rsidRDefault="00AF1718" w14:paraId="35D0842E" w14:textId="5833E558">
            <w:pPr>
              <w:rPr>
                <w:rFonts w:ascii="Arial" w:hAnsi="Arial" w:eastAsia="Calibri" w:cs="Arial"/>
                <w:sz w:val="22"/>
              </w:rPr>
            </w:pPr>
            <w:r w:rsidRPr="00906FED">
              <w:rPr>
                <w:rFonts w:ascii="Arial" w:hAnsi="Arial" w:eastAsia="Calibri" w:cs="Arial"/>
                <w:sz w:val="22"/>
              </w:rPr>
              <w:t>Radicación:</w:t>
            </w:r>
          </w:p>
        </w:tc>
        <w:tc>
          <w:tcPr>
            <w:tcW w:w="6237" w:type="dxa"/>
          </w:tcPr>
          <w:p w:rsidRPr="00AF1718" w:rsidR="00AF1718" w:rsidP="00FB4058" w:rsidRDefault="00FF6BBB" w14:paraId="1B6BB553" w14:textId="43257219">
            <w:pPr>
              <w:spacing w:line="276" w:lineRule="auto"/>
              <w:jc w:val="both"/>
              <w:rPr>
                <w:rFonts w:ascii="Arial" w:hAnsi="Arial" w:eastAsia="Calibri" w:cs="Arial"/>
                <w:sz w:val="22"/>
              </w:rPr>
            </w:pPr>
            <w:r w:rsidRPr="00906FED">
              <w:rPr>
                <w:rFonts w:ascii="Arial" w:hAnsi="Arial" w:eastAsia="Calibri" w:cs="Arial"/>
                <w:sz w:val="22"/>
              </w:rPr>
              <w:t>Respuesta a consulta</w:t>
            </w:r>
            <w:r w:rsidRPr="00906FED" w:rsidR="00AF1718">
              <w:rPr>
                <w:rFonts w:ascii="Arial" w:hAnsi="Arial" w:eastAsia="Calibri" w:cs="Arial"/>
                <w:sz w:val="22"/>
              </w:rPr>
              <w:t xml:space="preserve"> # </w:t>
            </w:r>
            <w:r w:rsidR="00A54C72">
              <w:rPr>
                <w:rFonts w:ascii="Arial" w:hAnsi="Arial" w:eastAsia="Calibri" w:cs="Arial"/>
                <w:sz w:val="22"/>
              </w:rPr>
              <w:t>P20210422003374 y P2021042300343</w:t>
            </w:r>
            <w:r w:rsidR="00060153">
              <w:rPr>
                <w:rFonts w:ascii="Arial" w:hAnsi="Arial" w:eastAsia="Calibri" w:cs="Arial"/>
                <w:sz w:val="22"/>
              </w:rPr>
              <w:t>2 (acumulados)</w:t>
            </w:r>
          </w:p>
        </w:tc>
      </w:tr>
    </w:tbl>
    <w:p w:rsidRPr="009A4A28" w:rsidR="00AF1718" w:rsidP="003D7759" w:rsidRDefault="00AF1718" w14:paraId="2B19C121" w14:textId="56364948">
      <w:pPr>
        <w:rPr>
          <w:rFonts w:ascii="Arial" w:hAnsi="Arial" w:eastAsia="Calibri" w:cs="Arial"/>
        </w:rPr>
      </w:pPr>
    </w:p>
    <w:p w:rsidR="00E658C9" w:rsidP="003D7759" w:rsidRDefault="00E658C9" w14:paraId="5032701F" w14:textId="77777777">
      <w:pPr>
        <w:rPr>
          <w:rFonts w:ascii="Arial" w:hAnsi="Arial" w:eastAsia="Calibri" w:cs="Arial"/>
          <w:sz w:val="22"/>
        </w:rPr>
      </w:pPr>
    </w:p>
    <w:p w:rsidRPr="00AF1718" w:rsidR="00AF1718" w:rsidP="00AD64EA" w:rsidRDefault="00AF1718" w14:paraId="1612DE7D" w14:textId="765DC946">
      <w:pPr>
        <w:spacing w:line="276" w:lineRule="auto"/>
        <w:rPr>
          <w:rFonts w:ascii="Arial" w:hAnsi="Arial" w:eastAsia="Calibri" w:cs="Arial"/>
          <w:sz w:val="22"/>
        </w:rPr>
      </w:pPr>
      <w:r w:rsidRPr="00AF1718">
        <w:rPr>
          <w:rFonts w:ascii="Arial" w:hAnsi="Arial" w:eastAsia="Calibri" w:cs="Arial"/>
          <w:sz w:val="22"/>
        </w:rPr>
        <w:t xml:space="preserve">Estimado </w:t>
      </w:r>
      <w:r w:rsidR="00A54C72">
        <w:rPr>
          <w:rFonts w:ascii="Arial" w:hAnsi="Arial" w:eastAsia="Calibri" w:cs="Arial"/>
          <w:sz w:val="22"/>
        </w:rPr>
        <w:t>señor Zuluaga</w:t>
      </w:r>
      <w:r w:rsidRPr="00AF1718">
        <w:rPr>
          <w:rFonts w:ascii="Arial" w:hAnsi="Arial" w:eastAsia="Calibri" w:cs="Arial"/>
          <w:sz w:val="22"/>
        </w:rPr>
        <w:t>,</w:t>
      </w:r>
    </w:p>
    <w:p w:rsidRPr="00AF1718" w:rsidR="00AF1718" w:rsidP="00AD64EA" w:rsidRDefault="00AF1718" w14:paraId="6CEE3088" w14:textId="77777777">
      <w:pPr>
        <w:spacing w:line="276" w:lineRule="auto"/>
        <w:rPr>
          <w:rFonts w:ascii="Arial" w:hAnsi="Arial" w:eastAsia="Calibri" w:cs="Arial"/>
          <w:sz w:val="22"/>
        </w:rPr>
      </w:pPr>
    </w:p>
    <w:p w:rsidRPr="00AF1718" w:rsidR="00AF1718" w:rsidP="00AD64EA" w:rsidRDefault="00AF1718" w14:paraId="08C8CA6B" w14:textId="06A11121">
      <w:pPr>
        <w:spacing w:line="276" w:lineRule="auto"/>
        <w:jc w:val="both"/>
        <w:rPr>
          <w:rFonts w:ascii="Arial" w:hAnsi="Arial" w:eastAsia="Calibri" w:cs="Arial"/>
          <w:sz w:val="22"/>
        </w:rPr>
      </w:pPr>
      <w:r w:rsidRPr="00AF1718">
        <w:rPr>
          <w:rFonts w:ascii="Arial" w:hAnsi="Arial" w:eastAsia="Calibri" w:cs="Arial"/>
          <w:sz w:val="22"/>
        </w:rPr>
        <w:t>En ejercicio de la competencia otorgada por el numeral 8 del artículo 11 y el numeral 5 del artículo 3 del Decreto Ley 4170 de 2011, la Agencia Nacional de Contratación Pública – Colombia Compra Eficien</w:t>
      </w:r>
      <w:r w:rsidR="004F2FA6">
        <w:rPr>
          <w:rFonts w:ascii="Arial" w:hAnsi="Arial" w:eastAsia="Calibri" w:cs="Arial"/>
          <w:sz w:val="22"/>
        </w:rPr>
        <w:t>te responde sus consultas del 22</w:t>
      </w:r>
      <w:r w:rsidRPr="00AF1718">
        <w:rPr>
          <w:rFonts w:ascii="Arial" w:hAnsi="Arial" w:eastAsia="Calibri" w:cs="Arial"/>
          <w:sz w:val="22"/>
        </w:rPr>
        <w:t xml:space="preserve"> de abril de 2021.</w:t>
      </w:r>
    </w:p>
    <w:p w:rsidRPr="009A4A28" w:rsidR="00AF1718" w:rsidP="00AD64EA" w:rsidRDefault="00AF1718" w14:paraId="1A0A2BD6" w14:textId="77777777">
      <w:pPr>
        <w:spacing w:line="276" w:lineRule="auto"/>
        <w:jc w:val="both"/>
        <w:rPr>
          <w:rFonts w:ascii="Arial" w:hAnsi="Arial" w:eastAsia="Calibri" w:cs="Arial"/>
        </w:rPr>
      </w:pPr>
    </w:p>
    <w:p w:rsidRPr="003F6F8C" w:rsidR="00AF1718" w:rsidP="00AD64EA" w:rsidRDefault="00AF1718" w14:paraId="134076BA" w14:textId="77777777">
      <w:pPr>
        <w:pStyle w:val="Prrafodelista"/>
        <w:tabs>
          <w:tab w:val="left" w:pos="284"/>
        </w:tabs>
        <w:spacing w:line="276" w:lineRule="auto"/>
        <w:ind w:left="0"/>
        <w:jc w:val="both"/>
        <w:rPr>
          <w:rFonts w:ascii="Arial" w:hAnsi="Arial" w:eastAsia="Calibri" w:cs="Arial"/>
          <w:b/>
          <w:sz w:val="22"/>
        </w:rPr>
      </w:pPr>
      <w:r w:rsidRPr="003F6F8C">
        <w:rPr>
          <w:rFonts w:ascii="Arial" w:hAnsi="Arial" w:eastAsia="Calibri" w:cs="Arial"/>
          <w:b/>
          <w:sz w:val="22"/>
        </w:rPr>
        <w:t>1. Problema planteado</w:t>
      </w:r>
    </w:p>
    <w:p w:rsidRPr="003F6F8C" w:rsidR="00AF1718" w:rsidP="00AD64EA" w:rsidRDefault="00AF1718" w14:paraId="2B178A13" w14:textId="77777777">
      <w:pPr>
        <w:tabs>
          <w:tab w:val="left" w:pos="426"/>
        </w:tabs>
        <w:spacing w:line="276" w:lineRule="auto"/>
        <w:jc w:val="both"/>
        <w:rPr>
          <w:rFonts w:ascii="Arial" w:hAnsi="Arial" w:eastAsia="Calibri" w:cs="Arial"/>
          <w:b/>
          <w:sz w:val="22"/>
        </w:rPr>
      </w:pPr>
    </w:p>
    <w:p w:rsidR="00847C80" w:rsidP="00AD64EA" w:rsidRDefault="00CC1FBB" w14:paraId="7B60108F" w14:textId="73972DAD">
      <w:pPr>
        <w:tabs>
          <w:tab w:val="left" w:pos="426"/>
        </w:tabs>
        <w:spacing w:line="276" w:lineRule="auto"/>
        <w:jc w:val="both"/>
        <w:rPr>
          <w:rFonts w:ascii="Arial" w:hAnsi="Arial" w:eastAsia="Calibri" w:cs="Arial"/>
          <w:sz w:val="22"/>
        </w:rPr>
      </w:pPr>
      <w:bookmarkStart w:name="_Hlk68679800" w:id="4"/>
      <w:r>
        <w:rPr>
          <w:rFonts w:ascii="Arial" w:hAnsi="Arial" w:eastAsia="Calibri" w:cs="Arial"/>
          <w:sz w:val="22"/>
        </w:rPr>
        <w:t>U</w:t>
      </w:r>
      <w:r w:rsidRPr="003F6F8C" w:rsidR="00AF1718">
        <w:rPr>
          <w:rFonts w:ascii="Arial" w:hAnsi="Arial" w:eastAsia="Calibri" w:cs="Arial"/>
          <w:sz w:val="22"/>
        </w:rPr>
        <w:t>sted realiza la siguiente pregunta: «</w:t>
      </w:r>
      <w:r w:rsidR="00A54C72">
        <w:rPr>
          <w:rFonts w:ascii="Arial" w:hAnsi="Arial" w:eastAsia="Calibri" w:cs="Arial"/>
          <w:sz w:val="22"/>
        </w:rPr>
        <w:t>En virtud a la aplicación de los Pliegos tipo, nos permitimos solicitar que se emita concepto sobre la procedencia que tienen las Entidades para poder modificar el pliego tipo versión 3, que se encuentra publicado en la página de Colombia Compra Eficiente</w:t>
      </w:r>
      <w:r w:rsidRPr="003F6F8C" w:rsidR="00AF1718">
        <w:rPr>
          <w:rFonts w:ascii="Arial" w:hAnsi="Arial" w:eastAsia="Calibri" w:cs="Arial"/>
          <w:sz w:val="22"/>
        </w:rPr>
        <w:t>»</w:t>
      </w:r>
      <w:bookmarkEnd w:id="4"/>
      <w:r w:rsidRPr="003F6F8C" w:rsidR="00AF1718">
        <w:rPr>
          <w:rFonts w:ascii="Arial" w:hAnsi="Arial" w:eastAsia="Calibri" w:cs="Arial"/>
          <w:sz w:val="22"/>
        </w:rPr>
        <w:t>.</w:t>
      </w:r>
    </w:p>
    <w:p w:rsidRPr="00737DB6" w:rsidR="00847C80" w:rsidP="00AD64EA" w:rsidRDefault="00847C80" w14:paraId="5735A187" w14:textId="208A6019">
      <w:pPr>
        <w:tabs>
          <w:tab w:val="left" w:pos="426"/>
        </w:tabs>
        <w:spacing w:line="276" w:lineRule="auto"/>
        <w:jc w:val="both"/>
        <w:rPr>
          <w:rFonts w:ascii="Arial" w:hAnsi="Arial" w:eastAsia="Calibri" w:cs="Arial"/>
          <w:sz w:val="22"/>
        </w:rPr>
      </w:pPr>
    </w:p>
    <w:p w:rsidRPr="00737DB6" w:rsidR="00E7138C" w:rsidP="00AD64EA" w:rsidRDefault="00E7138C" w14:paraId="00944466" w14:textId="77777777">
      <w:pPr>
        <w:tabs>
          <w:tab w:val="left" w:pos="426"/>
        </w:tabs>
        <w:spacing w:line="276" w:lineRule="auto"/>
        <w:jc w:val="both"/>
        <w:rPr>
          <w:rFonts w:ascii="Arial" w:hAnsi="Arial" w:eastAsia="Calibri" w:cs="Arial"/>
          <w:b/>
          <w:sz w:val="22"/>
        </w:rPr>
      </w:pPr>
      <w:r w:rsidRPr="00737DB6">
        <w:rPr>
          <w:rFonts w:ascii="Arial" w:hAnsi="Arial" w:eastAsia="Calibri" w:cs="Arial"/>
          <w:b/>
          <w:sz w:val="22"/>
        </w:rPr>
        <w:t>2. Consideraciones</w:t>
      </w:r>
    </w:p>
    <w:p w:rsidR="00AD64EA" w:rsidP="00FD4DE7" w:rsidRDefault="00AD64EA" w14:paraId="7C087CB7" w14:textId="37694E10">
      <w:pPr>
        <w:tabs>
          <w:tab w:val="left" w:pos="426"/>
        </w:tabs>
        <w:spacing w:line="276" w:lineRule="auto"/>
        <w:jc w:val="both"/>
        <w:rPr>
          <w:rFonts w:ascii="Arial" w:hAnsi="Arial" w:cs="Arial"/>
          <w:sz w:val="22"/>
          <w:lang w:val="es-ES_tradnl"/>
        </w:rPr>
      </w:pPr>
    </w:p>
    <w:p w:rsidR="00DE1060" w:rsidP="00E12977" w:rsidRDefault="00D31956" w14:paraId="7DA7A80D" w14:textId="23B7B3E1">
      <w:pPr>
        <w:tabs>
          <w:tab w:val="left" w:pos="426"/>
        </w:tabs>
        <w:spacing w:line="276" w:lineRule="auto"/>
        <w:jc w:val="both"/>
        <w:rPr>
          <w:rFonts w:ascii="Arial" w:hAnsi="Arial" w:eastAsia="Calibri" w:cs="Arial"/>
          <w:sz w:val="22"/>
          <w:lang w:val="es-ES"/>
        </w:rPr>
      </w:pPr>
      <w:r w:rsidRPr="00D31956">
        <w:rPr>
          <w:rFonts w:ascii="Arial" w:hAnsi="Arial" w:cs="Arial"/>
          <w:noProof/>
          <w:color w:val="000000" w:themeColor="text1"/>
          <w:sz w:val="22"/>
          <w:lang w:val="es-ES_tradnl"/>
        </w:rPr>
        <w:t xml:space="preserve">La Agencia Nacional de Contratación Pública – Colombia Compra Eficiente se pronunció sobre </w:t>
      </w:r>
      <w:r w:rsidR="00C3521A">
        <w:rPr>
          <w:rFonts w:ascii="Arial" w:hAnsi="Arial" w:eastAsia="Arial" w:cs="Arial"/>
          <w:color w:val="000000"/>
          <w:sz w:val="22"/>
          <w:lang w:val="es-ES_tradnl"/>
        </w:rPr>
        <w:t>los documentos</w:t>
      </w:r>
      <w:r w:rsidRPr="00D31956">
        <w:rPr>
          <w:rFonts w:ascii="Arial" w:hAnsi="Arial" w:eastAsia="Arial" w:cs="Arial"/>
          <w:color w:val="000000"/>
          <w:sz w:val="22"/>
          <w:lang w:val="es-ES_tradnl"/>
        </w:rPr>
        <w:t xml:space="preserve"> tipo en la contratación estatal, así como su inalterabilidad, entre otr</w:t>
      </w:r>
      <w:r w:rsidR="00F3057D">
        <w:rPr>
          <w:rFonts w:ascii="Arial" w:hAnsi="Arial" w:eastAsia="Arial" w:cs="Arial"/>
          <w:color w:val="000000"/>
          <w:sz w:val="22"/>
          <w:lang w:val="es-ES_tradnl"/>
        </w:rPr>
        <w:t xml:space="preserve">os, en los siguientes conceptos </w:t>
      </w:r>
      <w:r w:rsidRPr="001624C6" w:rsidR="00F3057D">
        <w:rPr>
          <w:rFonts w:ascii="Arial" w:hAnsi="Arial" w:eastAsia="Calibri" w:cs="Arial"/>
          <w:sz w:val="22"/>
        </w:rPr>
        <w:t>con radicado</w:t>
      </w:r>
      <w:r w:rsidR="001C4BC2">
        <w:rPr>
          <w:rFonts w:ascii="Arial" w:hAnsi="Arial" w:eastAsia="Calibri" w:cs="Arial"/>
          <w:sz w:val="22"/>
        </w:rPr>
        <w:t>s</w:t>
      </w:r>
      <w:r w:rsidRPr="001624C6" w:rsidR="00F3057D">
        <w:rPr>
          <w:rFonts w:ascii="Arial" w:hAnsi="Arial" w:eastAsia="Calibri" w:cs="Arial"/>
          <w:sz w:val="22"/>
        </w:rPr>
        <w:t xml:space="preserve"> No</w:t>
      </w:r>
      <w:r w:rsidR="00F3057D">
        <w:rPr>
          <w:rFonts w:ascii="Arial" w:hAnsi="Arial" w:eastAsia="Calibri" w:cs="Arial"/>
          <w:sz w:val="22"/>
        </w:rPr>
        <w:t xml:space="preserve">. 2201913000009607 del </w:t>
      </w:r>
      <w:r w:rsidR="00C3521A">
        <w:rPr>
          <w:rFonts w:ascii="Arial" w:hAnsi="Arial" w:eastAsia="Calibri" w:cs="Arial"/>
          <w:sz w:val="22"/>
        </w:rPr>
        <w:t xml:space="preserve">26 de </w:t>
      </w:r>
      <w:r w:rsidR="00C3521A">
        <w:rPr>
          <w:rFonts w:ascii="Arial" w:hAnsi="Arial" w:eastAsia="Calibri" w:cs="Arial"/>
          <w:sz w:val="22"/>
        </w:rPr>
        <w:lastRenderedPageBreak/>
        <w:t>diciembre de 2019,</w:t>
      </w:r>
      <w:r w:rsidRPr="00D31956">
        <w:rPr>
          <w:rFonts w:ascii="Arial" w:hAnsi="Arial" w:eastAsia="Arial" w:cs="Arial"/>
          <w:color w:val="000000"/>
          <w:sz w:val="22"/>
          <w:lang w:val="es-ES_tradnl"/>
        </w:rPr>
        <w:t xml:space="preserve"> </w:t>
      </w:r>
      <w:r w:rsidRPr="00D31956">
        <w:rPr>
          <w:rFonts w:ascii="Arial" w:hAnsi="Arial" w:eastAsia="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w:t>
      </w:r>
      <w:r w:rsidR="005B2CF7">
        <w:rPr>
          <w:rFonts w:ascii="Arial" w:hAnsi="Arial" w:eastAsia="Arial" w:cs="Arial"/>
          <w:sz w:val="22"/>
          <w:lang w:val="es-ES_tradnl"/>
        </w:rPr>
        <w:t xml:space="preserve"> C-789 del 19 de enero de 2021,</w:t>
      </w:r>
      <w:r w:rsidRPr="00D31956">
        <w:rPr>
          <w:rFonts w:ascii="Arial" w:hAnsi="Arial" w:eastAsia="Arial" w:cs="Arial"/>
          <w:sz w:val="22"/>
          <w:lang w:val="es-ES_tradnl"/>
        </w:rPr>
        <w:t xml:space="preserve"> C-031 del 1 de febrero de 2021</w:t>
      </w:r>
      <w:r w:rsidR="005B2CF7">
        <w:rPr>
          <w:rFonts w:ascii="Arial" w:hAnsi="Arial" w:eastAsia="Arial" w:cs="Arial"/>
          <w:sz w:val="22"/>
          <w:lang w:val="es-ES_tradnl"/>
        </w:rPr>
        <w:t xml:space="preserve"> y C-157 del 13 de abril de 2021</w:t>
      </w:r>
      <w:r w:rsidRPr="00D31956">
        <w:rPr>
          <w:rFonts w:ascii="Arial" w:hAnsi="Arial" w:eastAsia="Arial" w:cs="Arial"/>
          <w:sz w:val="22"/>
          <w:lang w:val="es-ES_tradnl"/>
        </w:rPr>
        <w:t>.</w:t>
      </w:r>
      <w:r w:rsidRPr="00054A7B" w:rsidR="00054A7B">
        <w:rPr>
          <w:rFonts w:ascii="Arial" w:hAnsi="Arial" w:eastAsia="Calibri" w:cs="Arial"/>
          <w:sz w:val="22"/>
          <w:lang w:val="es-ES"/>
        </w:rPr>
        <w:t xml:space="preserve"> La tesis desarrollada se expone a continuación</w:t>
      </w:r>
      <w:r w:rsidRPr="00182EE4" w:rsidR="00054A7B">
        <w:rPr>
          <w:rFonts w:ascii="Arial" w:hAnsi="Arial" w:eastAsia="Calibri" w:cs="Arial"/>
          <w:sz w:val="22"/>
          <w:lang w:val="es-ES"/>
        </w:rPr>
        <w:t>.</w:t>
      </w:r>
    </w:p>
    <w:p w:rsidRPr="00E12977" w:rsidR="00E12977" w:rsidP="00E12977" w:rsidRDefault="00E12977" w14:paraId="597C902F" w14:textId="77777777">
      <w:pPr>
        <w:tabs>
          <w:tab w:val="left" w:pos="426"/>
        </w:tabs>
        <w:spacing w:line="276" w:lineRule="auto"/>
        <w:jc w:val="both"/>
        <w:rPr>
          <w:rFonts w:ascii="Arial" w:hAnsi="Arial" w:eastAsia="Calibri" w:cs="Arial"/>
          <w:sz w:val="22"/>
          <w:lang w:val="es-ES"/>
        </w:rPr>
      </w:pPr>
    </w:p>
    <w:p w:rsidRPr="008918A2" w:rsidR="00DD38D8" w:rsidP="00DD38D8" w:rsidRDefault="00DD38D8" w14:paraId="5D44864E" w14:textId="6896D649">
      <w:pPr>
        <w:spacing w:line="276" w:lineRule="auto"/>
        <w:jc w:val="both"/>
        <w:rPr>
          <w:rFonts w:ascii="Arial" w:hAnsi="Arial" w:eastAsia="Arial" w:cs="Arial"/>
          <w:b/>
          <w:bCs/>
          <w:color w:val="000000"/>
          <w:sz w:val="22"/>
          <w:lang w:val="es-ES_tradnl"/>
        </w:rPr>
      </w:pPr>
      <w:r w:rsidRPr="009547BE">
        <w:rPr>
          <w:rFonts w:ascii="Arial" w:hAnsi="Arial" w:eastAsia="Arial" w:cs="Arial"/>
          <w:b/>
          <w:bCs/>
          <w:color w:val="000000"/>
          <w:sz w:val="22"/>
          <w:lang w:val="es-ES_tradnl"/>
        </w:rPr>
        <w:t xml:space="preserve">2.1. Fundamento normativo de los documentos tipo </w:t>
      </w:r>
    </w:p>
    <w:p w:rsidRPr="008918A2" w:rsidR="00DD38D8" w:rsidP="00FB4058" w:rsidRDefault="00DD38D8" w14:paraId="28E13BA0" w14:textId="77777777">
      <w:pPr>
        <w:jc w:val="both"/>
        <w:rPr>
          <w:rFonts w:ascii="Arial" w:hAnsi="Arial" w:eastAsia="Arial" w:cs="Arial"/>
          <w:b/>
          <w:bCs/>
          <w:color w:val="000000"/>
          <w:sz w:val="22"/>
          <w:lang w:val="es-ES_tradnl"/>
        </w:rPr>
      </w:pPr>
    </w:p>
    <w:p w:rsidRPr="0043040E" w:rsidR="00C41D21" w:rsidP="00C41D21" w:rsidRDefault="00C41D21" w14:paraId="6CD16076" w14:textId="77777777">
      <w:pPr>
        <w:shd w:val="clear" w:color="auto" w:fill="FFFFFF"/>
        <w:spacing w:line="276" w:lineRule="auto"/>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Los llamados pliegos tipo aparecieron en nuestro ordenamiento jurídico en el 2007, cuando el legislador facultó al Gobierno Nacional para adoptarlos en la compra o suministro de bienes de características técnicas uniformes</w:t>
      </w:r>
      <w:r w:rsidRPr="00CA5C6B">
        <w:rPr>
          <w:rStyle w:val="Refdenotaalpie"/>
          <w:rFonts w:ascii="Arial" w:hAnsi="Arial" w:eastAsia="Times New Roman" w:cs="Arial"/>
          <w:color w:val="0D0D0D"/>
          <w:sz w:val="22"/>
          <w:bdr w:val="none" w:color="auto" w:sz="0" w:space="0" w:frame="1"/>
          <w:lang w:val="es-CO" w:eastAsia="es-CO"/>
        </w:rPr>
        <w:footnoteReference w:id="1"/>
      </w:r>
      <w:r w:rsidRPr="0043040E">
        <w:rPr>
          <w:rFonts w:ascii="Arial" w:hAnsi="Arial" w:eastAsia="Times New Roman" w:cs="Arial"/>
          <w:color w:val="0D0D0D"/>
          <w:sz w:val="22"/>
          <w:bdr w:val="none" w:color="auto" w:sz="0" w:space="0" w:frame="1"/>
          <w:lang w:val="es-CO"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eastAsia="Times New Roman" w:cs="Arial"/>
          <w:color w:val="0D0D0D"/>
          <w:sz w:val="22"/>
          <w:bdr w:val="none" w:color="auto" w:sz="0" w:space="0" w:frame="1"/>
          <w:lang w:val="es-CO" w:eastAsia="es-CO"/>
        </w:rPr>
        <w:footnoteReference w:id="2"/>
      </w:r>
      <w:r w:rsidRPr="0043040E">
        <w:rPr>
          <w:rFonts w:ascii="Arial" w:hAnsi="Arial" w:eastAsia="Times New Roman" w:cs="Arial"/>
          <w:color w:val="0D0D0D"/>
          <w:sz w:val="22"/>
          <w:bdr w:val="none" w:color="auto" w:sz="0" w:space="0" w:frame="1"/>
          <w:lang w:val="es-CO" w:eastAsia="es-CO"/>
        </w:rPr>
        <w:t>. </w:t>
      </w:r>
    </w:p>
    <w:p w:rsidRPr="0043040E" w:rsidR="00C41D21" w:rsidP="00C41D21" w:rsidRDefault="00C41D21" w14:paraId="376E8E65" w14:textId="77777777">
      <w:pPr>
        <w:shd w:val="clear" w:color="auto" w:fill="FFFFFF"/>
        <w:spacing w:before="120" w:line="276" w:lineRule="auto"/>
        <w:ind w:firstLine="708"/>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eastAsia="Times New Roman" w:cs="Arial"/>
          <w:color w:val="0D0D0D"/>
          <w:sz w:val="22"/>
          <w:bdr w:val="none" w:color="auto" w:sz="0" w:space="0" w:frame="1"/>
          <w:lang w:val="es-CO" w:eastAsia="es-CO"/>
        </w:rPr>
        <w:t xml:space="preserve"> </w:t>
      </w:r>
      <w:r w:rsidRPr="0043040E">
        <w:rPr>
          <w:rFonts w:ascii="Arial" w:hAnsi="Arial" w:eastAsia="Times New Roman" w:cs="Arial"/>
          <w:color w:val="0D0D0D"/>
          <w:sz w:val="22"/>
          <w:bdr w:val="none" w:color="auto" w:sz="0" w:space="0" w:frame="1"/>
          <w:lang w:val="es-CO"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eastAsia="Times New Roman" w:cs="Arial"/>
          <w:color w:val="0D0D0D"/>
          <w:sz w:val="22"/>
          <w:bdr w:val="none" w:color="auto" w:sz="0" w:space="0" w:frame="1"/>
          <w:lang w:val="es-CO" w:eastAsia="es-CO"/>
        </w:rPr>
        <w:footnoteReference w:id="3"/>
      </w:r>
      <w:r w:rsidRPr="0043040E">
        <w:rPr>
          <w:rFonts w:ascii="Arial" w:hAnsi="Arial" w:eastAsia="Times New Roman" w:cs="Arial"/>
          <w:color w:val="0D0D0D"/>
          <w:sz w:val="22"/>
          <w:bdr w:val="none" w:color="auto" w:sz="0" w:space="0" w:frame="1"/>
          <w:lang w:val="es-CO" w:eastAsia="es-CO"/>
        </w:rPr>
        <w:t>. Sin embargo, en el texto aprobado, los pliegos tipo se limitaron a la adquisición o suministro de bienes de características técnicas uniformes</w:t>
      </w:r>
      <w:r w:rsidRPr="00CA5C6B">
        <w:rPr>
          <w:rStyle w:val="Refdenotaalpie"/>
          <w:rFonts w:ascii="Arial" w:hAnsi="Arial" w:eastAsia="Times New Roman" w:cs="Arial"/>
          <w:color w:val="0D0D0D"/>
          <w:sz w:val="22"/>
          <w:bdr w:val="none" w:color="auto" w:sz="0" w:space="0" w:frame="1"/>
          <w:lang w:val="es-CO" w:eastAsia="es-CO"/>
        </w:rPr>
        <w:footnoteReference w:id="4"/>
      </w:r>
      <w:r w:rsidRPr="0043040E">
        <w:rPr>
          <w:rFonts w:ascii="Arial" w:hAnsi="Arial" w:eastAsia="Times New Roman" w:cs="Arial"/>
          <w:color w:val="0D0D0D"/>
          <w:sz w:val="22"/>
          <w:bdr w:val="none" w:color="auto" w:sz="0" w:space="0" w:frame="1"/>
          <w:lang w:val="es-CO" w:eastAsia="es-CO"/>
        </w:rPr>
        <w:t>. </w:t>
      </w:r>
    </w:p>
    <w:p w:rsidR="00C41D21" w:rsidP="00C41D21" w:rsidRDefault="00C41D21" w14:paraId="27599887" w14:textId="77777777">
      <w:pPr>
        <w:shd w:val="clear" w:color="auto" w:fill="FFFFFF"/>
        <w:spacing w:before="120" w:line="276" w:lineRule="auto"/>
        <w:ind w:firstLine="709"/>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Posteriormente, el artículo 2, parágrafo 7º, de la Ley 1150 de 2007, adicionado por el artículo 4 de la Ley 1882 de 2018, establece la obligatoriedad de la adopción de documentos tipo para algunos contratos, en los siguientes términos: </w:t>
      </w:r>
    </w:p>
    <w:p w:rsidRPr="0043040E" w:rsidR="00C41D21" w:rsidP="00C41D21" w:rsidRDefault="00C41D21" w14:paraId="333D32BC" w14:textId="77777777">
      <w:pPr>
        <w:shd w:val="clear" w:color="auto" w:fill="FFFFFF"/>
        <w:spacing w:line="276" w:lineRule="auto"/>
        <w:ind w:firstLine="709"/>
        <w:jc w:val="both"/>
        <w:rPr>
          <w:rFonts w:ascii="Arial" w:hAnsi="Arial" w:eastAsia="Times New Roman" w:cs="Arial"/>
          <w:color w:val="000000"/>
          <w:sz w:val="22"/>
          <w:lang w:val="es-CO" w:eastAsia="es-CO"/>
        </w:rPr>
      </w:pPr>
    </w:p>
    <w:p w:rsidR="00C41D21" w:rsidP="00C41D21" w:rsidRDefault="00C41D21" w14:paraId="4DD018E8" w14:textId="77777777">
      <w:pPr>
        <w:shd w:val="clear" w:color="auto" w:fill="FFFFFF"/>
        <w:ind w:left="709" w:right="709"/>
        <w:jc w:val="both"/>
        <w:rPr>
          <w:rFonts w:ascii="Arial" w:hAnsi="Arial" w:eastAsia="Times New Roman" w:cs="Arial"/>
          <w:color w:val="0D0D0D"/>
          <w:sz w:val="21"/>
          <w:szCs w:val="21"/>
          <w:bdr w:val="none" w:color="auto" w:sz="0" w:space="0" w:frame="1"/>
          <w:lang w:val="es-CO" w:eastAsia="es-CO"/>
        </w:rPr>
      </w:pPr>
      <w:r w:rsidRPr="0043040E">
        <w:rPr>
          <w:rFonts w:ascii="Arial" w:hAnsi="Arial" w:eastAsia="Times New Roman" w:cs="Arial"/>
          <w:color w:val="0D0D0D"/>
          <w:sz w:val="21"/>
          <w:szCs w:val="21"/>
          <w:bdr w:val="none" w:color="auto" w:sz="0" w:space="0" w:frame="1"/>
          <w:lang w:val="es-CO" w:eastAsia="es-CO"/>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w:t>
      </w:r>
      <w:r w:rsidRPr="0043040E">
        <w:rPr>
          <w:rFonts w:ascii="Arial" w:hAnsi="Arial" w:eastAsia="Times New Roman" w:cs="Arial"/>
          <w:color w:val="0D0D0D"/>
          <w:sz w:val="21"/>
          <w:szCs w:val="21"/>
          <w:bdr w:val="none" w:color="auto" w:sz="0" w:space="0" w:frame="1"/>
          <w:lang w:val="es-CO" w:eastAsia="es-CO"/>
        </w:rPr>
        <w:lastRenderedPageBreak/>
        <w:t>Contratación de la Administración Pública en los procesos de selección que adelanten. </w:t>
      </w:r>
      <w:r w:rsidRPr="0043040E">
        <w:rPr>
          <w:rFonts w:ascii="Arial" w:hAnsi="Arial" w:eastAsia="Times New Roman" w:cs="Arial"/>
          <w:i/>
          <w:iCs/>
          <w:color w:val="0D0D0D"/>
          <w:sz w:val="21"/>
          <w:szCs w:val="21"/>
          <w:bdr w:val="none" w:color="auto" w:sz="0" w:space="0" w:frame="1"/>
          <w:lang w:val="es-CO"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eastAsia="Times New Roman" w:cs="Arial"/>
          <w:color w:val="0D0D0D"/>
          <w:sz w:val="21"/>
          <w:szCs w:val="21"/>
          <w:bdr w:val="none" w:color="auto" w:sz="0" w:space="0" w:frame="1"/>
          <w:lang w:val="es-CO" w:eastAsia="es-CO"/>
        </w:rPr>
        <w:t> […] </w:t>
      </w:r>
      <w:r w:rsidRPr="0043040E">
        <w:rPr>
          <w:rFonts w:ascii="Arial" w:hAnsi="Arial" w:eastAsia="Times New Roman" w:cs="Arial"/>
          <w:i/>
          <w:iCs/>
          <w:color w:val="0D0D0D"/>
          <w:sz w:val="21"/>
          <w:szCs w:val="21"/>
          <w:bdr w:val="none" w:color="auto" w:sz="0" w:space="0" w:frame="1"/>
          <w:lang w:val="es-CO" w:eastAsia="es-CO"/>
        </w:rPr>
        <w:t>teniendo en cuenta la naturaleza y cuantía de los contratos</w:t>
      </w:r>
      <w:r w:rsidRPr="0043040E">
        <w:rPr>
          <w:rFonts w:ascii="Arial" w:hAnsi="Arial" w:eastAsia="Times New Roman" w:cs="Arial"/>
          <w:color w:val="0D0D0D"/>
          <w:sz w:val="21"/>
          <w:szCs w:val="21"/>
          <w:bdr w:val="none" w:color="auto" w:sz="0" w:space="0" w:frame="1"/>
          <w:lang w:val="es-CO" w:eastAsia="es-CO"/>
        </w:rPr>
        <w:t> […]. (Énfasis fuera de texto) </w:t>
      </w:r>
    </w:p>
    <w:p w:rsidRPr="00346E84" w:rsidR="00C41D21" w:rsidP="00C41D21" w:rsidRDefault="00C41D21" w14:paraId="4358687A" w14:textId="77777777">
      <w:pPr>
        <w:shd w:val="clear" w:color="auto" w:fill="FFFFFF"/>
        <w:spacing w:line="276" w:lineRule="auto"/>
        <w:ind w:left="709" w:right="709"/>
        <w:jc w:val="both"/>
        <w:rPr>
          <w:rFonts w:ascii="Arial" w:hAnsi="Arial" w:eastAsia="Times New Roman" w:cs="Arial"/>
          <w:color w:val="000000"/>
          <w:sz w:val="22"/>
          <w:lang w:val="es-CO" w:eastAsia="es-CO"/>
        </w:rPr>
      </w:pPr>
    </w:p>
    <w:p w:rsidRPr="0043040E" w:rsidR="00C41D21" w:rsidP="00C41D21" w:rsidRDefault="00C41D21" w14:paraId="31ACF540" w14:textId="1637094E">
      <w:pPr>
        <w:shd w:val="clear" w:color="auto" w:fill="FFFFFF"/>
        <w:spacing w:line="276" w:lineRule="auto"/>
        <w:ind w:firstLine="708"/>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Sin embargo, el 22 de julio de 2020, el Gobierno Nacional sancionó la Ley 2022, llamada la «</w:t>
      </w:r>
      <w:r w:rsidR="008D6F76">
        <w:rPr>
          <w:rFonts w:ascii="Arial" w:hAnsi="Arial" w:eastAsia="Times New Roman" w:cs="Arial"/>
          <w:color w:val="0D0D0D"/>
          <w:sz w:val="22"/>
          <w:bdr w:val="none" w:color="auto" w:sz="0" w:space="0" w:frame="1"/>
          <w:lang w:val="es-CO" w:eastAsia="es-CO"/>
        </w:rPr>
        <w:t>L</w:t>
      </w:r>
      <w:r w:rsidRPr="0043040E">
        <w:rPr>
          <w:rFonts w:ascii="Arial" w:hAnsi="Arial" w:eastAsia="Times New Roman" w:cs="Arial"/>
          <w:color w:val="0D0D0D"/>
          <w:sz w:val="22"/>
          <w:bdr w:val="none" w:color="auto" w:sz="0" w:space="0" w:frame="1"/>
          <w:lang w:val="es-CO" w:eastAsia="es-CO"/>
        </w:rPr>
        <w:t>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CA5C6B">
        <w:rPr>
          <w:rStyle w:val="Refdenotaalpie"/>
          <w:rFonts w:ascii="Arial" w:hAnsi="Arial" w:eastAsia="Times New Roman" w:cs="Arial"/>
          <w:color w:val="0D0D0D"/>
          <w:sz w:val="22"/>
          <w:bdr w:val="none" w:color="auto" w:sz="0" w:space="0" w:frame="1"/>
          <w:lang w:val="es-CO" w:eastAsia="es-CO"/>
        </w:rPr>
        <w:footnoteReference w:id="5"/>
      </w:r>
      <w:r w:rsidRPr="0043040E">
        <w:rPr>
          <w:rFonts w:ascii="Arial" w:hAnsi="Arial" w:eastAsia="Times New Roman" w:cs="Arial"/>
          <w:color w:val="0D0D0D"/>
          <w:sz w:val="22"/>
          <w:bdr w:val="none" w:color="auto" w:sz="0" w:space="0" w:frame="1"/>
          <w:lang w:val="es-CO" w:eastAsia="es-CO"/>
        </w:rPr>
        <w:t>.  </w:t>
      </w:r>
    </w:p>
    <w:p w:rsidRPr="0043040E" w:rsidR="00C41D21" w:rsidP="00C41D21" w:rsidRDefault="00C41D21" w14:paraId="5349656D" w14:textId="77777777">
      <w:pPr>
        <w:shd w:val="clear" w:color="auto" w:fill="FFFFFF"/>
        <w:spacing w:before="120" w:line="276" w:lineRule="auto"/>
        <w:ind w:firstLine="703"/>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 xml:space="preserve">Sin perjuicio de lo anterior, la exposición de motivos del proyecto que se convirtió en la Ley 1882 de 2018 se refirió a la necesidad de utilizar documentos tipo, pues reducen el </w:t>
      </w:r>
      <w:r w:rsidRPr="0043040E">
        <w:rPr>
          <w:rFonts w:ascii="Arial" w:hAnsi="Arial" w:eastAsia="Times New Roman" w:cs="Arial"/>
          <w:color w:val="0D0D0D"/>
          <w:sz w:val="22"/>
          <w:bdr w:val="none" w:color="auto" w:sz="0" w:space="0" w:frame="1"/>
          <w:lang w:val="es-CO" w:eastAsia="es-CO"/>
        </w:rPr>
        <w:lastRenderedPageBreak/>
        <w:t>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rsidRPr="0043040E" w:rsidR="00C41D21" w:rsidP="00C41D21" w:rsidRDefault="00C41D21" w14:paraId="41C4E3E2" w14:textId="77777777">
      <w:pPr>
        <w:shd w:val="clear" w:color="auto" w:fill="FFFFFF"/>
        <w:spacing w:before="120" w:line="276" w:lineRule="auto"/>
        <w:ind w:firstLine="705"/>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rsidRPr="0043040E" w:rsidR="00C41D21" w:rsidP="00C41D21" w:rsidRDefault="00C41D21" w14:paraId="39673469" w14:textId="77777777">
      <w:pPr>
        <w:shd w:val="clear" w:color="auto" w:fill="FFFFFF"/>
        <w:spacing w:before="120" w:line="276" w:lineRule="auto"/>
        <w:ind w:firstLine="705"/>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rsidRPr="0043040E" w:rsidR="00C41D21" w:rsidP="00C41D21" w:rsidRDefault="00C41D21" w14:paraId="47527BC8" w14:textId="77777777">
      <w:pPr>
        <w:shd w:val="clear" w:color="auto" w:fill="FFFFFF"/>
        <w:spacing w:before="120" w:line="276" w:lineRule="auto"/>
        <w:ind w:firstLine="705"/>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rsidRPr="0043040E" w:rsidR="00C41D21" w:rsidP="00714A94" w:rsidRDefault="00C41D21" w14:paraId="4263871D" w14:textId="3902E7B5">
      <w:pPr>
        <w:shd w:val="clear" w:color="auto" w:fill="FFFFFF"/>
        <w:spacing w:before="120" w:line="276" w:lineRule="auto"/>
        <w:ind w:firstLine="709"/>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rsidRPr="0043040E" w:rsidR="00C41D21" w:rsidP="00C41D21" w:rsidRDefault="00C41D21" w14:paraId="7F434D1B" w14:textId="77777777">
      <w:pPr>
        <w:shd w:val="clear" w:color="auto" w:fill="FFFFFF"/>
        <w:spacing w:before="120" w:line="276" w:lineRule="auto"/>
        <w:ind w:firstLine="708"/>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 xml:space="preserve">El Gobierno Nacional ejerció nuevamente la competencia prevista en el citado artículo 4 de la Ley 1882 de 2018, expidiendo el Decreto 2096 de 2019. A través de él se autorizaron los documentos tipo para procesos de contratación de obra pública de infraestructura de transporte adelantados en la modalidad de selección abreviada de menor </w:t>
      </w:r>
      <w:r w:rsidRPr="0043040E">
        <w:rPr>
          <w:rFonts w:ascii="Arial" w:hAnsi="Arial" w:eastAsia="Times New Roman" w:cs="Arial"/>
          <w:color w:val="0D0D0D"/>
          <w:sz w:val="22"/>
          <w:bdr w:val="none" w:color="auto" w:sz="0" w:space="0" w:frame="1"/>
          <w:lang w:val="es-CO" w:eastAsia="es-CO"/>
        </w:rPr>
        <w:lastRenderedPageBreak/>
        <w:t>cuantía. Este reglamento adicionó la Subsección 2 a la Sección 6 del Capítulo 2 del Título 1 de la parte 2 del Libro 2 del Decreto 1082 de 2015. </w:t>
      </w:r>
    </w:p>
    <w:p w:rsidRPr="0043040E" w:rsidR="00C41D21" w:rsidP="00714A94" w:rsidRDefault="00C41D21" w14:paraId="53F20263" w14:textId="35F6A408">
      <w:pPr>
        <w:shd w:val="clear" w:color="auto" w:fill="FFFFFF"/>
        <w:spacing w:before="120" w:line="276" w:lineRule="auto"/>
        <w:ind w:firstLine="709"/>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El artículo 2.2.1.2.6.2.2 del Decreto 1082 de 2015 contiene el listado de los documentos tipo aplicables a los procesos de selección abreviada de menor cuantía para la contratación de obra pública de infraestructura de transporte. Además, el 2.2.1.2.6.2.3 </w:t>
      </w:r>
      <w:proofErr w:type="spellStart"/>
      <w:r w:rsidRPr="0043040E">
        <w:rPr>
          <w:rFonts w:ascii="Arial" w:hAnsi="Arial" w:eastAsia="Times New Roman" w:cs="Arial"/>
          <w:i/>
          <w:iCs/>
          <w:color w:val="0D0D0D"/>
          <w:sz w:val="22"/>
          <w:bdr w:val="none" w:color="auto" w:sz="0" w:space="0" w:frame="1"/>
          <w:lang w:val="es-CO" w:eastAsia="es-CO"/>
        </w:rPr>
        <w:t>ibidem</w:t>
      </w:r>
      <w:proofErr w:type="spellEnd"/>
      <w:r w:rsidRPr="0043040E">
        <w:rPr>
          <w:rFonts w:ascii="Arial" w:hAnsi="Arial" w:eastAsia="Times New Roman" w:cs="Arial"/>
          <w:color w:val="0D0D0D"/>
          <w:sz w:val="22"/>
          <w:bdr w:val="none" w:color="auto" w:sz="0" w:space="0" w:frame="1"/>
          <w:lang w:val="es-CO"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rsidRPr="0043040E" w:rsidR="00C41D21" w:rsidP="00C41D21" w:rsidRDefault="00C41D21" w14:paraId="06527A4B" w14:textId="77777777">
      <w:pPr>
        <w:shd w:val="clear" w:color="auto" w:fill="FFFFFF"/>
        <w:spacing w:before="120" w:line="276" w:lineRule="auto"/>
        <w:ind w:firstLine="708"/>
        <w:jc w:val="both"/>
        <w:rPr>
          <w:rFonts w:ascii="Arial" w:hAnsi="Arial" w:eastAsia="Times New Roman" w:cs="Arial"/>
          <w:color w:val="0D0D0D"/>
          <w:sz w:val="22"/>
          <w:bdr w:val="none" w:color="auto" w:sz="0" w:space="0" w:frame="1"/>
          <w:lang w:val="es-CO" w:eastAsia="es-CO"/>
        </w:rPr>
      </w:pPr>
      <w:r w:rsidRPr="0043040E">
        <w:rPr>
          <w:rFonts w:ascii="Arial" w:hAnsi="Arial" w:eastAsia="Times New Roman" w:cs="Arial"/>
          <w:color w:val="0D0D0D"/>
          <w:sz w:val="22"/>
          <w:bdr w:val="none" w:color="auto" w:sz="0" w:space="0" w:frame="1"/>
          <w:lang w:val="es-CO"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rsidRPr="005B7953" w:rsidR="00C41D21" w:rsidP="00C41D21" w:rsidRDefault="00C41D21" w14:paraId="252A390F" w14:textId="316AF3A0">
      <w:pPr>
        <w:shd w:val="clear" w:color="auto" w:fill="FFFFFF"/>
        <w:spacing w:before="120" w:line="276" w:lineRule="auto"/>
        <w:ind w:firstLine="708"/>
        <w:jc w:val="both"/>
        <w:rPr>
          <w:rFonts w:ascii="Arial" w:hAnsi="Arial" w:eastAsia="Times New Roman" w:cs="Arial"/>
          <w:color w:val="0D0D0D"/>
          <w:sz w:val="22"/>
          <w:bdr w:val="none" w:color="auto" w:sz="0" w:space="0" w:frame="1"/>
          <w:lang w:val="es-CO" w:eastAsia="es-CO"/>
        </w:rPr>
      </w:pPr>
      <w:r w:rsidRPr="005B7953">
        <w:rPr>
          <w:rFonts w:ascii="Arial" w:hAnsi="Arial" w:eastAsia="Times New Roman" w:cs="Arial"/>
          <w:color w:val="0D0D0D"/>
          <w:sz w:val="22"/>
          <w:bdr w:val="none" w:color="auto" w:sz="0" w:space="0" w:frame="1"/>
          <w:lang w:val="es-CO" w:eastAsia="es-CO"/>
        </w:rPr>
        <w:t>El artículo 2.2.1.2.6.3.2 del Decreto 1082 de 2015 contiene el listado de los documentos tipo aplicables a los procesos de mínima cuantía para la contratación de obra pública de infraestructura de transporte, mientras que el</w:t>
      </w:r>
      <w:r w:rsidRPr="005B7953" w:rsidR="00714A94">
        <w:rPr>
          <w:rFonts w:ascii="Arial" w:hAnsi="Arial" w:eastAsia="Times New Roman" w:cs="Arial"/>
          <w:color w:val="0D0D0D"/>
          <w:sz w:val="22"/>
          <w:bdr w:val="none" w:color="auto" w:sz="0" w:space="0" w:frame="1"/>
          <w:lang w:val="es-CO" w:eastAsia="es-CO"/>
        </w:rPr>
        <w:t xml:space="preserve"> </w:t>
      </w:r>
      <w:r w:rsidRPr="005B7953">
        <w:rPr>
          <w:rFonts w:ascii="Arial" w:hAnsi="Arial" w:eastAsia="Times New Roman" w:cs="Arial"/>
          <w:color w:val="0D0D0D"/>
          <w:sz w:val="22"/>
          <w:bdr w:val="none" w:color="auto" w:sz="0" w:space="0" w:frame="1"/>
          <w:lang w:val="es-CO" w:eastAsia="es-CO"/>
        </w:rPr>
        <w:t>2.2.1.2.6.3.3</w:t>
      </w:r>
      <w:r w:rsidRPr="005B7953" w:rsidR="00714A94">
        <w:rPr>
          <w:rFonts w:ascii="Arial" w:hAnsi="Arial" w:eastAsia="Times New Roman" w:cs="Arial"/>
          <w:color w:val="0D0D0D"/>
          <w:sz w:val="22"/>
          <w:bdr w:val="none" w:color="auto" w:sz="0" w:space="0" w:frame="1"/>
          <w:lang w:val="es-CO" w:eastAsia="es-CO"/>
        </w:rPr>
        <w:t xml:space="preserve"> </w:t>
      </w:r>
      <w:r w:rsidRPr="005B7953">
        <w:rPr>
          <w:rFonts w:ascii="Arial" w:hAnsi="Arial" w:eastAsia="Times New Roman" w:cs="Arial"/>
          <w:color w:val="0D0D0D"/>
          <w:sz w:val="22"/>
          <w:bdr w:val="none" w:color="auto" w:sz="0" w:space="0" w:frame="1"/>
          <w:lang w:val="es-CO" w:eastAsia="es-CO"/>
        </w:rPr>
        <w:t>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rsidR="00C41D21" w:rsidP="00C41D21" w:rsidRDefault="00C41D21" w14:paraId="5FDBB58F" w14:textId="77777777">
      <w:pPr>
        <w:shd w:val="clear" w:color="auto" w:fill="FFFFFF"/>
        <w:spacing w:before="120" w:line="276" w:lineRule="auto"/>
        <w:ind w:firstLine="708"/>
        <w:jc w:val="both"/>
        <w:rPr>
          <w:rFonts w:ascii="Arial" w:hAnsi="Arial" w:eastAsia="Times New Roman" w:cs="Arial"/>
          <w:color w:val="000000"/>
          <w:sz w:val="22"/>
          <w:lang w:val="es-CO" w:eastAsia="es-CO"/>
        </w:rPr>
      </w:pPr>
      <w:r w:rsidRPr="005B7953">
        <w:rPr>
          <w:rFonts w:ascii="Arial" w:hAnsi="Arial" w:eastAsia="Times New Roman" w:cs="Arial"/>
          <w:color w:val="0D0D0D"/>
          <w:sz w:val="22"/>
          <w:bdr w:val="none" w:color="auto" w:sz="0" w:space="0" w:frame="1"/>
          <w:lang w:val="es-CO" w:eastAsia="es-CO"/>
        </w:rPr>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Colombia Compra Eficiente expide las Resoluciones No. 240 y 241 del 27 de noviembre 2020 a través de las cuales se adoptan los documentos tipo de licitación de obra pública – versión 3 y de selección abreviada de menor cuantía – versión 2 de infraestructura de transporte, lo cuales son obligatorios a partir del 1º de enero de 2021.</w:t>
      </w:r>
      <w:r w:rsidRPr="0043040E">
        <w:rPr>
          <w:rFonts w:ascii="Arial" w:hAnsi="Arial" w:eastAsia="Times New Roman" w:cs="Arial"/>
          <w:color w:val="0D0D0D"/>
          <w:sz w:val="22"/>
          <w:bdr w:val="none" w:color="auto" w:sz="0" w:space="0" w:frame="1"/>
          <w:lang w:val="es-CO" w:eastAsia="es-CO"/>
        </w:rPr>
        <w:t xml:space="preserve">  </w:t>
      </w:r>
    </w:p>
    <w:p w:rsidRPr="008918A2" w:rsidR="00DD38D8" w:rsidP="00FB4058" w:rsidRDefault="00DD38D8" w14:paraId="1AA3549A" w14:textId="77777777">
      <w:pPr>
        <w:tabs>
          <w:tab w:val="left" w:pos="0"/>
        </w:tabs>
        <w:jc w:val="both"/>
        <w:rPr>
          <w:rFonts w:ascii="Arial" w:hAnsi="Arial" w:eastAsia="Calibri" w:cs="Arial"/>
          <w:b/>
          <w:color w:val="000000" w:themeColor="text1"/>
          <w:sz w:val="22"/>
          <w:lang w:val="es-ES_tradnl"/>
        </w:rPr>
      </w:pPr>
    </w:p>
    <w:p w:rsidR="00DD38D8" w:rsidP="00DD38D8" w:rsidRDefault="00DD38D8" w14:paraId="06F147C1" w14:textId="21C23EF1">
      <w:pPr>
        <w:spacing w:line="276" w:lineRule="auto"/>
        <w:jc w:val="both"/>
        <w:rPr>
          <w:rFonts w:ascii="Arial" w:hAnsi="Arial" w:eastAsia="Arial" w:cs="Arial"/>
          <w:b/>
          <w:bCs/>
          <w:color w:val="000000"/>
          <w:sz w:val="22"/>
          <w:lang w:val="es-ES_tradnl"/>
        </w:rPr>
      </w:pPr>
      <w:r w:rsidRPr="00536637">
        <w:rPr>
          <w:rFonts w:ascii="Arial" w:hAnsi="Arial" w:eastAsia="Arial" w:cs="Arial"/>
          <w:b/>
          <w:bCs/>
          <w:color w:val="000000"/>
          <w:sz w:val="22"/>
          <w:lang w:val="es-ES_tradnl"/>
        </w:rPr>
        <w:t xml:space="preserve">2.2. Alcance de la regla </w:t>
      </w:r>
      <w:r w:rsidR="00C41D21">
        <w:rPr>
          <w:rFonts w:ascii="Arial" w:hAnsi="Arial" w:eastAsia="Times New Roman" w:cs="Arial"/>
          <w:b/>
          <w:bCs/>
          <w:color w:val="000000"/>
          <w:sz w:val="22"/>
          <w:lang w:val="es-CO" w:eastAsia="es-CO"/>
        </w:rPr>
        <w:t>i</w:t>
      </w:r>
      <w:r w:rsidRPr="00CA5C6B" w:rsidR="00C41D21">
        <w:rPr>
          <w:rFonts w:ascii="Arial" w:hAnsi="Arial" w:eastAsia="Times New Roman" w:cs="Arial"/>
          <w:b/>
          <w:bCs/>
          <w:color w:val="000000"/>
          <w:sz w:val="22"/>
          <w:lang w:val="es-CO" w:eastAsia="es-CO"/>
        </w:rPr>
        <w:t xml:space="preserve">nalterabilidad de los </w:t>
      </w:r>
      <w:r w:rsidR="00C41D21">
        <w:rPr>
          <w:rFonts w:ascii="Arial" w:hAnsi="Arial" w:eastAsia="Times New Roman" w:cs="Arial"/>
          <w:b/>
          <w:bCs/>
          <w:color w:val="000000"/>
          <w:sz w:val="22"/>
          <w:lang w:val="es-CO" w:eastAsia="es-CO"/>
        </w:rPr>
        <w:t>«D</w:t>
      </w:r>
      <w:r w:rsidRPr="00CA5C6B" w:rsidR="00C41D21">
        <w:rPr>
          <w:rFonts w:ascii="Arial" w:hAnsi="Arial" w:eastAsia="Times New Roman" w:cs="Arial"/>
          <w:b/>
          <w:bCs/>
          <w:color w:val="000000"/>
          <w:sz w:val="22"/>
          <w:lang w:val="es-CO" w:eastAsia="es-CO"/>
        </w:rPr>
        <w:t xml:space="preserve">ocumentos </w:t>
      </w:r>
      <w:r w:rsidR="00C41D21">
        <w:rPr>
          <w:rFonts w:ascii="Arial" w:hAnsi="Arial" w:eastAsia="Times New Roman" w:cs="Arial"/>
          <w:b/>
          <w:bCs/>
          <w:color w:val="000000"/>
          <w:sz w:val="22"/>
          <w:lang w:val="es-CO" w:eastAsia="es-CO"/>
        </w:rPr>
        <w:t>T</w:t>
      </w:r>
      <w:r w:rsidRPr="00CA5C6B" w:rsidR="00C41D21">
        <w:rPr>
          <w:rFonts w:ascii="Arial" w:hAnsi="Arial" w:eastAsia="Times New Roman" w:cs="Arial"/>
          <w:b/>
          <w:bCs/>
          <w:color w:val="000000"/>
          <w:sz w:val="22"/>
          <w:lang w:val="es-CO" w:eastAsia="es-CO"/>
        </w:rPr>
        <w:t>ipo</w:t>
      </w:r>
      <w:r w:rsidR="00C41D21">
        <w:rPr>
          <w:rFonts w:ascii="Arial" w:hAnsi="Arial" w:eastAsia="Times New Roman" w:cs="Arial"/>
          <w:b/>
          <w:bCs/>
          <w:color w:val="000000"/>
          <w:sz w:val="22"/>
          <w:lang w:val="es-CO" w:eastAsia="es-CO"/>
        </w:rPr>
        <w:t xml:space="preserve"> – Versión 3» de licitación para obra pública de infraestructura de transporte</w:t>
      </w:r>
      <w:r w:rsidRPr="00CA5C6B" w:rsidR="00C41D21">
        <w:rPr>
          <w:rFonts w:ascii="Arial" w:hAnsi="Arial" w:eastAsia="Times New Roman" w:cs="Arial"/>
          <w:b/>
          <w:bCs/>
          <w:color w:val="000000"/>
          <w:sz w:val="22"/>
          <w:lang w:val="es-CO" w:eastAsia="es-CO"/>
        </w:rPr>
        <w:t xml:space="preserve"> y sus excepciones</w:t>
      </w:r>
    </w:p>
    <w:p w:rsidR="00C41D21" w:rsidP="00FB4058" w:rsidRDefault="00C41D21" w14:paraId="113CD913" w14:textId="77777777">
      <w:pPr>
        <w:jc w:val="both"/>
        <w:rPr>
          <w:rFonts w:ascii="Arial" w:hAnsi="Arial" w:eastAsia="Arial" w:cs="Arial"/>
          <w:bCs/>
          <w:color w:val="000000"/>
          <w:sz w:val="22"/>
          <w:lang w:val="es-ES_tradnl"/>
        </w:rPr>
      </w:pPr>
    </w:p>
    <w:p w:rsidRPr="00F476B4" w:rsidR="00C41D21" w:rsidP="00C41D21" w:rsidRDefault="00C41D21" w14:paraId="05B93A4C" w14:textId="77777777">
      <w:pPr>
        <w:shd w:val="clear" w:color="auto" w:fill="FFFFFF"/>
        <w:spacing w:line="276" w:lineRule="auto"/>
        <w:jc w:val="both"/>
        <w:textAlignment w:val="baseline"/>
        <w:rPr>
          <w:rFonts w:ascii="Arial" w:hAnsi="Arial" w:eastAsia="Times New Roman" w:cs="Arial"/>
          <w:b/>
          <w:bCs/>
          <w:color w:val="000000"/>
          <w:sz w:val="22"/>
          <w:lang w:val="es-CO" w:eastAsia="es-CO"/>
        </w:rPr>
      </w:pPr>
      <w:r>
        <w:rPr>
          <w:rFonts w:ascii="Arial" w:hAnsi="Arial" w:eastAsia="Calibri" w:cs="Arial"/>
          <w:bCs/>
          <w:sz w:val="22"/>
          <w:lang w:val="es-ES_tradnl"/>
        </w:rPr>
        <w:t>El</w:t>
      </w:r>
      <w:r w:rsidRPr="00CA5C6B">
        <w:rPr>
          <w:rFonts w:ascii="Arial" w:hAnsi="Arial" w:eastAsia="Calibri" w:cs="Arial"/>
          <w:bCs/>
          <w:sz w:val="22"/>
          <w:lang w:val="es-ES_tradnl"/>
        </w:rPr>
        <w:t xml:space="preserve"> artículo 2.2.1.2.6.1.4</w:t>
      </w:r>
      <w:r>
        <w:rPr>
          <w:rFonts w:ascii="Arial" w:hAnsi="Arial" w:eastAsia="Calibri" w:cs="Arial"/>
          <w:bCs/>
          <w:sz w:val="22"/>
          <w:lang w:val="es-ES_tradnl"/>
        </w:rPr>
        <w:t xml:space="preserve"> del Decreto 1082 de 2015 establece</w:t>
      </w:r>
      <w:r w:rsidRPr="00CA5C6B">
        <w:rPr>
          <w:rFonts w:ascii="Arial" w:hAnsi="Arial" w:eastAsia="Calibri" w:cs="Arial"/>
          <w:bCs/>
          <w:sz w:val="22"/>
          <w:lang w:val="es-ES_tradnl"/>
        </w:rPr>
        <w:t xml:space="preserve"> la inalterabilidad de los documentos tipo para la modalidad de licitación pública, que consiste en que las entidades estatales no pueden incluir o modificar en los documentos del proceso las condiciones </w:t>
      </w:r>
      <w:r w:rsidRPr="00CA5C6B">
        <w:rPr>
          <w:rFonts w:ascii="Arial" w:hAnsi="Arial" w:eastAsia="Calibri" w:cs="Arial"/>
          <w:bCs/>
          <w:sz w:val="22"/>
          <w:lang w:val="es-ES_tradnl"/>
        </w:rPr>
        <w:lastRenderedPageBreak/>
        <w:t>habilitantes, los factores técnicos y económicos de escogencia y los sistemas de ponderación distintos a los señalados en los documentos tipo</w:t>
      </w:r>
      <w:r w:rsidRPr="00CA5C6B">
        <w:rPr>
          <w:rStyle w:val="Refdenotaalpie"/>
          <w:rFonts w:ascii="Arial" w:hAnsi="Arial" w:eastAsia="Calibri" w:cs="Arial"/>
          <w:bCs/>
          <w:sz w:val="22"/>
          <w:lang w:val="es-ES_tradnl"/>
        </w:rPr>
        <w:footnoteReference w:id="6"/>
      </w:r>
      <w:r w:rsidRPr="00CA5C6B">
        <w:rPr>
          <w:rFonts w:ascii="Arial" w:hAnsi="Arial" w:eastAsia="Calibri" w:cs="Arial"/>
          <w:bCs/>
          <w:sz w:val="22"/>
          <w:lang w:val="es-ES_tradnl"/>
        </w:rPr>
        <w:t>. En consecuencia</w:t>
      </w:r>
      <w:bookmarkStart w:name="_Hlk64290904" w:id="5"/>
      <w:r w:rsidRPr="00CA5C6B">
        <w:rPr>
          <w:rFonts w:ascii="Arial" w:hAnsi="Arial" w:eastAsia="Calibri" w:cs="Arial"/>
          <w:bCs/>
          <w:sz w:val="22"/>
          <w:lang w:val="es-ES_tradnl"/>
        </w:rPr>
        <w:t>, las condiciones que sean establecidas en los documentos que adopte el Gobierno Nacional, en ejercicio del mandato establecido en el artículo 1 de la Ley 2022 de 2020, como se dijo en el numeral anterior, son de obligatorio cumplimiento para las entidades sometidas al Estatuto General de Contratación de la Administración pública que adelanten procesos que deban regirse por su contenido y no pueden variarse los requisitos que en ellos sean fijados.</w:t>
      </w:r>
      <w:bookmarkEnd w:id="5"/>
      <w:r w:rsidRPr="00CA5C6B">
        <w:rPr>
          <w:rFonts w:ascii="Arial" w:hAnsi="Arial" w:eastAsia="Calibri" w:cs="Arial"/>
          <w:bCs/>
          <w:sz w:val="22"/>
          <w:lang w:val="es-ES_tradnl"/>
        </w:rPr>
        <w:t xml:space="preserve"> </w:t>
      </w:r>
    </w:p>
    <w:p w:rsidRPr="00CA5C6B" w:rsidR="00C41D21" w:rsidP="00C41D21" w:rsidRDefault="00C41D21" w14:paraId="2DFE37BB" w14:textId="77777777">
      <w:pPr>
        <w:spacing w:before="120" w:line="276" w:lineRule="auto"/>
        <w:ind w:firstLine="709"/>
        <w:jc w:val="both"/>
        <w:rPr>
          <w:rFonts w:ascii="Arial" w:hAnsi="Arial" w:eastAsia="Calibri" w:cs="Arial"/>
          <w:bCs/>
          <w:sz w:val="22"/>
          <w:lang w:val="es-ES_tradnl"/>
        </w:rPr>
      </w:pPr>
      <w:r w:rsidRPr="00CA5C6B">
        <w:rPr>
          <w:rFonts w:ascii="Arial" w:hAnsi="Arial" w:eastAsia="Calibri" w:cs="Arial"/>
          <w:bCs/>
          <w:sz w:val="22"/>
          <w:lang w:val="es-ES_tradnl"/>
        </w:rPr>
        <w:t xml:space="preserve">Esta prohibición la ratifica el artículo 3 de la </w:t>
      </w:r>
      <w:r>
        <w:rPr>
          <w:rFonts w:ascii="Arial" w:hAnsi="Arial" w:eastAsia="Calibri" w:cs="Arial"/>
          <w:bCs/>
          <w:sz w:val="22"/>
          <w:lang w:val="es-ES_tradnl"/>
        </w:rPr>
        <w:t>R</w:t>
      </w:r>
      <w:r w:rsidRPr="00CA5C6B">
        <w:rPr>
          <w:rFonts w:ascii="Arial" w:hAnsi="Arial" w:eastAsia="Calibri" w:cs="Arial"/>
          <w:bCs/>
          <w:sz w:val="22"/>
          <w:lang w:val="es-ES_tradnl"/>
        </w:rPr>
        <w:t>esoluci</w:t>
      </w:r>
      <w:r>
        <w:rPr>
          <w:rFonts w:ascii="Arial" w:hAnsi="Arial" w:eastAsia="Calibri" w:cs="Arial"/>
          <w:bCs/>
          <w:sz w:val="22"/>
          <w:lang w:val="es-ES_tradnl"/>
        </w:rPr>
        <w:t>ón</w:t>
      </w:r>
      <w:r w:rsidRPr="00CA5C6B">
        <w:rPr>
          <w:rFonts w:ascii="Arial" w:hAnsi="Arial" w:eastAsia="Calibri" w:cs="Arial"/>
          <w:bCs/>
          <w:sz w:val="22"/>
          <w:lang w:val="es-ES_tradnl"/>
        </w:rPr>
        <w:t xml:space="preserve"> No. 240 de 2020, por medio de las que se </w:t>
      </w:r>
      <w:r>
        <w:rPr>
          <w:rFonts w:ascii="Arial" w:hAnsi="Arial" w:eastAsia="Calibri" w:cs="Arial"/>
          <w:bCs/>
          <w:sz w:val="22"/>
          <w:lang w:val="es-ES_tradnl"/>
        </w:rPr>
        <w:t>implementan</w:t>
      </w:r>
      <w:r w:rsidRPr="00CA5C6B">
        <w:rPr>
          <w:rFonts w:ascii="Arial" w:hAnsi="Arial" w:eastAsia="Calibri" w:cs="Arial"/>
          <w:bCs/>
          <w:sz w:val="22"/>
          <w:lang w:val="es-ES_tradnl"/>
        </w:rPr>
        <w:t xml:space="preserve"> los documentos tipo para </w:t>
      </w:r>
      <w:r>
        <w:rPr>
          <w:rFonts w:ascii="Arial" w:hAnsi="Arial" w:eastAsia="Calibri" w:cs="Arial"/>
          <w:bCs/>
          <w:sz w:val="22"/>
          <w:lang w:val="es-ES_tradnl"/>
        </w:rPr>
        <w:t>esta</w:t>
      </w:r>
      <w:r w:rsidRPr="00CA5C6B">
        <w:rPr>
          <w:rFonts w:ascii="Arial" w:hAnsi="Arial" w:eastAsia="Calibri" w:cs="Arial"/>
          <w:bCs/>
          <w:sz w:val="22"/>
          <w:lang w:val="es-ES_tradnl"/>
        </w:rPr>
        <w:t xml:space="preserve">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rsidRPr="00CA5C6B" w:rsidR="00C41D21" w:rsidP="00C41D21" w:rsidRDefault="00C41D21" w14:paraId="0CACCB64" w14:textId="77777777">
      <w:pPr>
        <w:spacing w:before="120" w:line="276" w:lineRule="auto"/>
        <w:ind w:firstLine="708"/>
        <w:jc w:val="both"/>
        <w:rPr>
          <w:rFonts w:ascii="Arial" w:hAnsi="Arial" w:eastAsia="Calibri" w:cs="Arial"/>
          <w:bCs/>
          <w:sz w:val="22"/>
          <w:lang w:val="es-ES_tradnl"/>
        </w:rPr>
      </w:pPr>
      <w:r w:rsidRPr="00CA5C6B">
        <w:rPr>
          <w:rFonts w:ascii="Arial" w:hAnsi="Arial" w:eastAsia="Calibri" w:cs="Arial"/>
          <w:bCs/>
          <w:sz w:val="22"/>
          <w:lang w:val="es-ES_tradnl"/>
        </w:rPr>
        <w:t xml:space="preserve">Además, las entidades estatales deben garantizar el </w:t>
      </w:r>
      <w:r w:rsidRPr="00CA5C6B">
        <w:rPr>
          <w:rFonts w:ascii="Arial" w:hAnsi="Arial" w:eastAsia="Calibri" w:cs="Arial"/>
          <w:bCs/>
          <w:i/>
          <w:iCs/>
          <w:sz w:val="22"/>
          <w:lang w:val="es-ES_tradnl"/>
        </w:rPr>
        <w:t>principio de economía</w:t>
      </w:r>
      <w:r w:rsidRPr="00CA5C6B">
        <w:rPr>
          <w:rFonts w:ascii="Arial" w:hAnsi="Arial" w:eastAsia="Calibri" w:cs="Arial"/>
          <w:bCs/>
          <w:sz w:val="22"/>
          <w:lang w:val="es-ES_tradnl"/>
        </w:rPr>
        <w:t>, del cual se desprende que no pueden exigir documentos o requisitos más allá de los que permitan la Constitución, la ley y los reglamentos. Este postulado ha encontrado eco no solo en la contratación estatal</w:t>
      </w:r>
      <w:r w:rsidRPr="00CA5C6B">
        <w:rPr>
          <w:rStyle w:val="Refdenotaalpie"/>
          <w:rFonts w:ascii="Arial" w:hAnsi="Arial" w:eastAsia="Calibri" w:cs="Arial"/>
          <w:bCs/>
          <w:sz w:val="22"/>
          <w:lang w:val="es-ES_tradnl"/>
        </w:rPr>
        <w:footnoteReference w:id="7"/>
      </w:r>
      <w:r w:rsidRPr="00CA5C6B">
        <w:rPr>
          <w:rFonts w:ascii="Arial" w:hAnsi="Arial" w:eastAsia="Calibri" w:cs="Arial"/>
          <w:bCs/>
          <w:sz w:val="22"/>
          <w:lang w:val="es-ES_tradnl"/>
        </w:rPr>
        <w:t xml:space="preserve"> sino además en la normativa </w:t>
      </w:r>
      <w:proofErr w:type="spellStart"/>
      <w:r w:rsidRPr="00CA5C6B">
        <w:rPr>
          <w:rFonts w:ascii="Arial" w:hAnsi="Arial" w:eastAsia="Calibri" w:cs="Arial"/>
          <w:bCs/>
          <w:sz w:val="22"/>
          <w:lang w:val="es-ES_tradnl"/>
        </w:rPr>
        <w:t>antitrámites</w:t>
      </w:r>
      <w:proofErr w:type="spellEnd"/>
      <w:r w:rsidRPr="00CA5C6B">
        <w:rPr>
          <w:rStyle w:val="Refdenotaalpie"/>
          <w:rFonts w:ascii="Arial" w:hAnsi="Arial" w:eastAsia="Calibri" w:cs="Arial"/>
          <w:bCs/>
          <w:sz w:val="22"/>
          <w:lang w:val="es-ES_tradnl"/>
        </w:rPr>
        <w:footnoteReference w:id="8"/>
      </w:r>
      <w:r w:rsidRPr="00CA5C6B">
        <w:rPr>
          <w:rFonts w:ascii="Arial" w:hAnsi="Arial" w:eastAsia="Calibri" w:cs="Arial"/>
          <w:bCs/>
          <w:sz w:val="22"/>
          <w:lang w:val="es-ES_tradnl"/>
        </w:rPr>
        <w:t>; pues se inscribe dentro de la tendencia de simplificación y racionalización de los procedimientos administrativos. De ahí que cuando las autoridades solicitan la entrega de documentación innecesaria, menoscaban el principio de economía.</w:t>
      </w:r>
    </w:p>
    <w:p w:rsidR="00C41D21" w:rsidP="00C41D21" w:rsidRDefault="00C41D21" w14:paraId="5C038428" w14:textId="77777777">
      <w:pPr>
        <w:spacing w:before="120" w:line="276" w:lineRule="auto"/>
        <w:ind w:firstLine="709"/>
        <w:jc w:val="both"/>
        <w:rPr>
          <w:rFonts w:ascii="Arial" w:hAnsi="Arial" w:eastAsia="Calibri" w:cs="Arial"/>
          <w:sz w:val="22"/>
        </w:rPr>
      </w:pPr>
      <w:r w:rsidRPr="00CA5C6B">
        <w:rPr>
          <w:rFonts w:ascii="Arial" w:hAnsi="Arial" w:eastAsia="Calibri" w:cs="Arial"/>
          <w:sz w:val="22"/>
        </w:rPr>
        <w:t xml:space="preserve">Por su parte, la parte introductoria de los documentos tipo </w:t>
      </w:r>
      <w:r>
        <w:rPr>
          <w:rFonts w:ascii="Arial" w:hAnsi="Arial" w:eastAsia="Calibri" w:cs="Arial"/>
          <w:sz w:val="22"/>
        </w:rPr>
        <w:t>dispone</w:t>
      </w:r>
      <w:r w:rsidRPr="00CA5C6B">
        <w:rPr>
          <w:rFonts w:ascii="Arial" w:hAnsi="Arial" w:eastAsia="Calibri" w:cs="Arial"/>
          <w:sz w:val="22"/>
        </w:rPr>
        <w:t xml:space="preserve"> que los aspectos incluidos en corchetes y resaltado gris</w:t>
      </w:r>
      <w:r>
        <w:rPr>
          <w:rFonts w:ascii="Arial" w:hAnsi="Arial" w:eastAsia="Calibri" w:cs="Arial"/>
          <w:sz w:val="22"/>
        </w:rPr>
        <w:t xml:space="preserve"> –</w:t>
      </w:r>
      <w:r w:rsidRPr="00BD57F2">
        <w:rPr>
          <w:rFonts w:ascii="Arial" w:hAnsi="Arial" w:eastAsia="Calibri" w:cs="Arial"/>
          <w:sz w:val="22"/>
          <w:highlight w:val="lightGray"/>
        </w:rPr>
        <w:t>[texto de ejemplo]</w:t>
      </w:r>
      <w:r>
        <w:rPr>
          <w:rFonts w:ascii="Arial" w:hAnsi="Arial" w:eastAsia="Calibri" w:cs="Arial"/>
          <w:sz w:val="22"/>
        </w:rPr>
        <w:t>–</w:t>
      </w:r>
      <w:r w:rsidRPr="00CA5C6B">
        <w:rPr>
          <w:rFonts w:ascii="Arial" w:hAnsi="Arial" w:eastAsia="Calibri" w:cs="Arial"/>
          <w:sz w:val="22"/>
        </w:rPr>
        <w:t xml:space="preserve"> deben ser diligenciados por la entidad. Excepcionalmente le corresponde al proponente consignar la información incluida </w:t>
      </w:r>
      <w:r w:rsidRPr="00CA5C6B">
        <w:rPr>
          <w:rFonts w:ascii="Arial" w:hAnsi="Arial" w:eastAsia="Calibri" w:cs="Arial"/>
          <w:sz w:val="22"/>
        </w:rPr>
        <w:lastRenderedPageBreak/>
        <w:t xml:space="preserve">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que precise el Pliego. </w:t>
      </w:r>
    </w:p>
    <w:p w:rsidRPr="005F293F" w:rsidR="00C41D21" w:rsidP="00C41D21" w:rsidRDefault="00C41D21" w14:paraId="0DF1E1A7" w14:textId="0950ED28">
      <w:pPr>
        <w:spacing w:before="120" w:line="276" w:lineRule="auto"/>
        <w:ind w:firstLine="709"/>
        <w:jc w:val="both"/>
        <w:rPr>
          <w:rFonts w:ascii="Arial" w:hAnsi="Arial" w:eastAsia="Calibri" w:cs="Arial"/>
          <w:bCs/>
          <w:sz w:val="22"/>
        </w:rPr>
      </w:pPr>
      <w:r>
        <w:rPr>
          <w:rFonts w:ascii="Arial" w:hAnsi="Arial" w:eastAsia="Calibri" w:cs="Arial"/>
          <w:bCs/>
          <w:sz w:val="22"/>
        </w:rPr>
        <w:t xml:space="preserve">Es de precisar que, </w:t>
      </w:r>
      <w:r w:rsidRPr="00BE6266">
        <w:rPr>
          <w:rFonts w:ascii="Arial" w:hAnsi="Arial" w:eastAsia="Calibri" w:cs="Arial"/>
          <w:bCs/>
          <w:sz w:val="22"/>
        </w:rPr>
        <w:t>la entidad durante la etapa de planeación</w:t>
      </w:r>
      <w:r w:rsidR="00CF41E1">
        <w:rPr>
          <w:rFonts w:ascii="Arial" w:hAnsi="Arial" w:eastAsia="Calibri" w:cs="Arial"/>
          <w:bCs/>
          <w:sz w:val="22"/>
        </w:rPr>
        <w:t>.</w:t>
      </w:r>
      <w:r w:rsidRPr="00BE6266">
        <w:rPr>
          <w:rFonts w:ascii="Arial" w:hAnsi="Arial" w:eastAsia="Calibri" w:cs="Arial"/>
          <w:bCs/>
          <w:sz w:val="22"/>
        </w:rPr>
        <w:t xml:space="preserve">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rsidRPr="00CA5C6B" w:rsidR="00C41D21" w:rsidP="00C41D21" w:rsidRDefault="00C41D21" w14:paraId="136A8575" w14:textId="77777777">
      <w:pPr>
        <w:spacing w:before="120" w:line="276" w:lineRule="auto"/>
        <w:ind w:firstLine="709"/>
        <w:jc w:val="both"/>
        <w:rPr>
          <w:rFonts w:ascii="Arial" w:hAnsi="Arial" w:eastAsia="Calibri" w:cs="Arial"/>
          <w:sz w:val="22"/>
        </w:rPr>
      </w:pPr>
      <w:r w:rsidRPr="00CA5C6B">
        <w:rPr>
          <w:rFonts w:ascii="Arial" w:hAnsi="Arial" w:eastAsia="Calibri" w:cs="Arial"/>
          <w:sz w:val="22"/>
        </w:rPr>
        <w:t>Asimismo, el artículo 2.2.1.2.6.1.5 del Decreto 1082 de 2015</w:t>
      </w:r>
      <w:r w:rsidRPr="00CA5C6B">
        <w:rPr>
          <w:rStyle w:val="Refdenotaalpie"/>
          <w:rFonts w:ascii="Arial" w:hAnsi="Arial" w:cs="Arial"/>
          <w:sz w:val="22"/>
        </w:rPr>
        <w:footnoteReference w:id="9"/>
      </w:r>
      <w:r w:rsidRPr="00CA5C6B">
        <w:rPr>
          <w:rFonts w:ascii="Arial" w:hAnsi="Arial" w:eastAsia="Calibri" w:cs="Arial"/>
          <w:sz w:val="22"/>
        </w:rPr>
        <w:t xml:space="preserve">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w:t>
      </w:r>
      <w:r w:rsidRPr="00F2200B">
        <w:rPr>
          <w:rFonts w:ascii="Arial" w:hAnsi="Arial" w:eastAsia="Calibri" w:cs="Arial"/>
          <w:sz w:val="22"/>
        </w:rPr>
        <w:t>de tal manera que la experiencia adicional que se exija para tales bienes o servicios procure la pluralidad de oferentes, y no limite la concurrencia de proponentes al proceso de contratación</w:t>
      </w:r>
      <w:r w:rsidRPr="00CA5C6B">
        <w:rPr>
          <w:rFonts w:ascii="Arial" w:hAnsi="Arial" w:eastAsia="Calibri" w:cs="Arial"/>
          <w:sz w:val="22"/>
        </w:rPr>
        <w:t xml:space="preserve">,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w:t>
      </w:r>
      <w:r w:rsidRPr="00CA5C6B">
        <w:rPr>
          <w:rFonts w:ascii="Arial" w:hAnsi="Arial" w:eastAsia="Calibri" w:cs="Arial"/>
          <w:sz w:val="22"/>
        </w:rPr>
        <w:lastRenderedPageBreak/>
        <w:t xml:space="preserve">incluir exclusivamente los códigos que estén relacionados directamente con el objeto a contratar. </w:t>
      </w:r>
    </w:p>
    <w:p w:rsidRPr="00CA5C6B" w:rsidR="00C41D21" w:rsidP="00C41D21" w:rsidRDefault="00C41D21" w14:paraId="788E9F69" w14:textId="77777777">
      <w:pPr>
        <w:spacing w:before="120" w:line="276" w:lineRule="auto"/>
        <w:ind w:firstLine="709"/>
        <w:jc w:val="both"/>
        <w:rPr>
          <w:rFonts w:ascii="Arial" w:hAnsi="Arial" w:eastAsia="Calibri" w:cs="Arial"/>
          <w:bCs/>
          <w:sz w:val="22"/>
        </w:rPr>
      </w:pPr>
      <w:r w:rsidRPr="00CA5C6B">
        <w:rPr>
          <w:rFonts w:ascii="Arial" w:hAnsi="Arial" w:eastAsia="Calibri" w:cs="Arial"/>
          <w:bCs/>
          <w:sz w:val="22"/>
        </w:rPr>
        <w:t>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w:t>
      </w:r>
      <w:r>
        <w:rPr>
          <w:rFonts w:ascii="Arial" w:hAnsi="Arial" w:eastAsia="Calibri" w:cs="Arial"/>
          <w:bCs/>
          <w:sz w:val="22"/>
        </w:rPr>
        <w:t>. Lo anterior, salvo que</w:t>
      </w:r>
      <w:r w:rsidRPr="00CA5C6B">
        <w:rPr>
          <w:rFonts w:ascii="Arial" w:hAnsi="Arial" w:eastAsia="Calibri" w:cs="Arial"/>
          <w:bCs/>
          <w:sz w:val="22"/>
        </w:rPr>
        <w:t xml:space="preserve"> el objeto contractual incluy</w:t>
      </w:r>
      <w:r>
        <w:rPr>
          <w:rFonts w:ascii="Arial" w:hAnsi="Arial" w:eastAsia="Calibri" w:cs="Arial"/>
          <w:bCs/>
          <w:sz w:val="22"/>
        </w:rPr>
        <w:t>a</w:t>
      </w:r>
      <w:r w:rsidRPr="00CA5C6B">
        <w:rPr>
          <w:rFonts w:ascii="Arial" w:hAnsi="Arial" w:eastAsia="Calibri" w:cs="Arial"/>
          <w:bCs/>
          <w:sz w:val="22"/>
        </w:rPr>
        <w:t xml:space="preserve"> bienes o servicios ajenos a la obra pública de infraestructura de transporte, caso en el que se podrá incluir experiencia adicional</w:t>
      </w:r>
      <w:r>
        <w:rPr>
          <w:rFonts w:ascii="Arial" w:hAnsi="Arial" w:eastAsia="Calibri" w:cs="Arial"/>
          <w:bCs/>
          <w:sz w:val="22"/>
        </w:rPr>
        <w:t xml:space="preserve"> de manera excepcional</w:t>
      </w:r>
      <w:r w:rsidRPr="00CA5C6B">
        <w:rPr>
          <w:rFonts w:ascii="Arial" w:hAnsi="Arial" w:eastAsia="Calibri" w:cs="Arial"/>
          <w:bCs/>
          <w:sz w:val="22"/>
        </w:rPr>
        <w:t xml:space="preserve">; y, además, cuando el pliego tipo de forma expresa lo </w:t>
      </w:r>
      <w:r>
        <w:rPr>
          <w:rFonts w:ascii="Arial" w:hAnsi="Arial" w:eastAsia="Calibri" w:cs="Arial"/>
          <w:bCs/>
          <w:sz w:val="22"/>
        </w:rPr>
        <w:t>permita</w:t>
      </w:r>
      <w:r w:rsidRPr="00CA5C6B">
        <w:rPr>
          <w:rFonts w:ascii="Arial" w:hAnsi="Arial" w:eastAsia="Calibri" w:cs="Arial"/>
          <w:bCs/>
          <w:sz w:val="22"/>
        </w:rPr>
        <w:t>, es decir, en los aspectos incluidos en corchetes y resaltados en gris.</w:t>
      </w:r>
      <w:r>
        <w:rPr>
          <w:rFonts w:ascii="Arial" w:hAnsi="Arial" w:eastAsia="Calibri" w:cs="Arial"/>
          <w:bCs/>
          <w:sz w:val="22"/>
        </w:rPr>
        <w:t xml:space="preserve"> </w:t>
      </w:r>
    </w:p>
    <w:p w:rsidRPr="00CA5C6B" w:rsidR="00C41D21" w:rsidP="00C41D21" w:rsidRDefault="00C41D21" w14:paraId="12866B0B" w14:textId="77777777">
      <w:pPr>
        <w:spacing w:before="120" w:line="276" w:lineRule="auto"/>
        <w:ind w:firstLine="709"/>
        <w:jc w:val="both"/>
        <w:rPr>
          <w:rFonts w:ascii="Arial" w:hAnsi="Arial" w:eastAsia="Calibri" w:cs="Arial"/>
          <w:bCs/>
          <w:sz w:val="22"/>
        </w:rPr>
      </w:pPr>
      <w:r w:rsidRPr="00CA5C6B">
        <w:rPr>
          <w:rFonts w:ascii="Arial" w:hAnsi="Arial" w:eastAsia="Calibri" w:cs="Arial"/>
          <w:bCs/>
          <w:sz w:val="22"/>
        </w:rPr>
        <w:t xml:space="preserve">Este principio de inalterabilidad también es aplicable a los formatos y anexos implementados junto con el «Documento Base», los cuales deben ser usados para desarrollar el procedimiento de contratación y que los proponentes acrediten los diferentes requisitos establecidos para participar en él. Estos, al igual que el «Documento Base», contienen apartes entre corchetes y resaltados en gris, los cuales deben ser diligenciados por la entidad, al igual que otros aspectos relativos a información que debe ser completada por los oferentes al hacer uso del formato. </w:t>
      </w:r>
    </w:p>
    <w:p w:rsidR="00C41D21" w:rsidP="00C41D21" w:rsidRDefault="00C41D21" w14:paraId="49C54E0D" w14:textId="77777777">
      <w:pPr>
        <w:spacing w:before="120" w:line="276" w:lineRule="auto"/>
        <w:ind w:firstLine="709"/>
        <w:jc w:val="both"/>
        <w:rPr>
          <w:rFonts w:ascii="Arial" w:hAnsi="Arial" w:cs="Arial"/>
          <w:sz w:val="22"/>
        </w:rPr>
      </w:pPr>
      <w:r w:rsidRPr="00CA5C6B">
        <w:rPr>
          <w:rFonts w:ascii="Arial" w:hAnsi="Arial" w:cs="Arial"/>
          <w:sz w:val="22"/>
        </w:rPr>
        <w:t>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w:t>
      </w:r>
      <w:r w:rsidRPr="002D66D2">
        <w:rPr>
          <w:rFonts w:ascii="Arial" w:hAnsi="Arial" w:cs="Arial"/>
          <w:sz w:val="22"/>
        </w:rPr>
        <w:t xml:space="preserve">. </w:t>
      </w:r>
    </w:p>
    <w:p w:rsidRPr="00B41612" w:rsidR="00C41D21" w:rsidP="00C41D21" w:rsidRDefault="00C41D21" w14:paraId="31502662" w14:textId="77777777">
      <w:pPr>
        <w:spacing w:before="120" w:line="276" w:lineRule="auto"/>
        <w:ind w:firstLine="709"/>
        <w:jc w:val="both"/>
        <w:rPr>
          <w:rFonts w:ascii="Arial" w:hAnsi="Arial" w:cs="Arial"/>
          <w:sz w:val="22"/>
          <w:lang w:val="es-CO"/>
        </w:rPr>
      </w:pPr>
      <w:r w:rsidRPr="00B41612">
        <w:rPr>
          <w:rFonts w:ascii="Arial" w:hAnsi="Arial" w:cs="Arial"/>
          <w:sz w:val="22"/>
        </w:rPr>
        <w:t xml:space="preserve">En relación con el principio constitucional </w:t>
      </w:r>
      <w:r w:rsidRPr="00B41612">
        <w:rPr>
          <w:rFonts w:ascii="Arial" w:hAnsi="Arial" w:cs="Arial"/>
          <w:i/>
          <w:iCs/>
          <w:sz w:val="22"/>
        </w:rPr>
        <w:t>sub examine</w:t>
      </w:r>
      <w:r w:rsidRPr="00B41612">
        <w:rPr>
          <w:rFonts w:ascii="Arial" w:hAnsi="Arial" w:cs="Arial"/>
          <w:sz w:val="22"/>
          <w:lang w:val="es-CO"/>
        </w:rPr>
        <w:t xml:space="preserve">, la Corte Constitucional </w:t>
      </w:r>
      <w:r>
        <w:rPr>
          <w:rFonts w:ascii="Arial" w:hAnsi="Arial" w:cs="Arial"/>
          <w:sz w:val="22"/>
          <w:lang w:val="es-CO"/>
        </w:rPr>
        <w:t>explica</w:t>
      </w:r>
      <w:r w:rsidRPr="00B41612">
        <w:rPr>
          <w:rFonts w:ascii="Arial" w:hAnsi="Arial" w:cs="Arial"/>
          <w:sz w:val="22"/>
          <w:lang w:val="es-CO"/>
        </w:rPr>
        <w:t xml:space="preserve">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B41612">
        <w:rPr>
          <w:rStyle w:val="Refdenotaalpie"/>
          <w:rFonts w:ascii="Arial" w:hAnsi="Arial" w:cs="Arial"/>
          <w:sz w:val="22"/>
          <w:lang w:val="es-CO"/>
        </w:rPr>
        <w:footnoteReference w:id="10"/>
      </w:r>
      <w:r w:rsidRPr="00B41612">
        <w:rPr>
          <w:rFonts w:ascii="Arial" w:hAnsi="Arial" w:cs="Arial"/>
          <w:sz w:val="22"/>
          <w:lang w:val="es-CO"/>
        </w:rPr>
        <w:t xml:space="preserve">. </w:t>
      </w:r>
    </w:p>
    <w:p w:rsidR="00C41D21" w:rsidP="00C41D21" w:rsidRDefault="00C41D21" w14:paraId="6ADD5963" w14:textId="7824EF73">
      <w:pPr>
        <w:spacing w:before="120" w:line="276" w:lineRule="auto"/>
        <w:ind w:firstLine="709"/>
        <w:jc w:val="both"/>
        <w:rPr>
          <w:rFonts w:ascii="Arial" w:hAnsi="Arial" w:cs="Arial"/>
          <w:sz w:val="22"/>
        </w:rPr>
      </w:pPr>
      <w:r>
        <w:rPr>
          <w:rFonts w:ascii="Arial" w:hAnsi="Arial" w:cs="Arial"/>
          <w:sz w:val="22"/>
        </w:rPr>
        <w:t>De acuerdo con lo anterior, e</w:t>
      </w:r>
      <w:r w:rsidRPr="00B41612">
        <w:rPr>
          <w:rFonts w:ascii="Arial" w:hAnsi="Arial" w:cs="Arial"/>
          <w:sz w:val="22"/>
        </w:rPr>
        <w:t xml:space="preserve">l carácter inalterable de los </w:t>
      </w:r>
      <w:r w:rsidR="00182B0F">
        <w:rPr>
          <w:rFonts w:ascii="Arial" w:hAnsi="Arial" w:cs="Arial"/>
          <w:sz w:val="22"/>
        </w:rPr>
        <w:t>d</w:t>
      </w:r>
      <w:r w:rsidRPr="00B41612">
        <w:rPr>
          <w:rFonts w:ascii="Arial" w:hAnsi="Arial" w:cs="Arial"/>
          <w:sz w:val="22"/>
        </w:rPr>
        <w:t xml:space="preserve">ocumentos </w:t>
      </w:r>
      <w:r w:rsidR="00EB1A8A">
        <w:rPr>
          <w:rFonts w:ascii="Arial" w:hAnsi="Arial" w:cs="Arial"/>
          <w:sz w:val="22"/>
        </w:rPr>
        <w:t>ti</w:t>
      </w:r>
      <w:r w:rsidRPr="00B41612">
        <w:rPr>
          <w:rFonts w:ascii="Arial" w:hAnsi="Arial" w:cs="Arial"/>
          <w:sz w:val="22"/>
        </w:rPr>
        <w:t>po no puede</w:t>
      </w:r>
      <w:r>
        <w:rPr>
          <w:rFonts w:ascii="Arial" w:hAnsi="Arial" w:cs="Arial"/>
          <w:sz w:val="22"/>
        </w:rPr>
        <w:t xml:space="preserve"> </w:t>
      </w:r>
      <w:r w:rsidRPr="00B41612">
        <w:rPr>
          <w:rFonts w:ascii="Arial" w:hAnsi="Arial" w:cs="Arial"/>
          <w:sz w:val="22"/>
        </w:rPr>
        <w:t xml:space="preserve">hacerse extensivo a los aspectos </w:t>
      </w:r>
      <w:r>
        <w:rPr>
          <w:rFonts w:ascii="Arial" w:hAnsi="Arial" w:cs="Arial"/>
          <w:sz w:val="22"/>
        </w:rPr>
        <w:t>simplemente formales</w:t>
      </w:r>
      <w:r w:rsidRPr="00B41612">
        <w:rPr>
          <w:rFonts w:ascii="Arial" w:hAnsi="Arial" w:cs="Arial"/>
          <w:sz w:val="22"/>
        </w:rPr>
        <w:t xml:space="preserve"> de tales documentos, esto es, el tamaño y tipo de letra, las márgenes o las expresiones que pretenden hacer más comprensible el documento, como es el caso de aquellas que informan que una expresión larga será referida con otra similar pero más corta. </w:t>
      </w:r>
      <w:r>
        <w:rPr>
          <w:rFonts w:ascii="Arial" w:hAnsi="Arial" w:cs="Arial"/>
          <w:sz w:val="22"/>
        </w:rPr>
        <w:t>Lo anterior teniendo en cuenta que</w:t>
      </w:r>
      <w:r w:rsidRPr="00B41612">
        <w:rPr>
          <w:rFonts w:ascii="Arial" w:hAnsi="Arial" w:cs="Arial"/>
          <w:sz w:val="22"/>
        </w:rPr>
        <w:t xml:space="preserve"> estos aspectos en nada afectan la aplicación y alcance de los documentos tipo</w:t>
      </w:r>
      <w:r>
        <w:rPr>
          <w:rFonts w:ascii="Arial" w:hAnsi="Arial" w:cs="Arial"/>
          <w:sz w:val="22"/>
        </w:rPr>
        <w:t xml:space="preserve">, esto es, </w:t>
      </w:r>
      <w:r w:rsidRPr="00B41612">
        <w:rPr>
          <w:rFonts w:ascii="Arial" w:hAnsi="Arial" w:cs="Arial"/>
          <w:sz w:val="22"/>
        </w:rPr>
        <w:t xml:space="preserve">no </w:t>
      </w:r>
      <w:r w:rsidRPr="00B41612">
        <w:rPr>
          <w:rFonts w:ascii="Arial" w:hAnsi="Arial" w:cs="Arial"/>
          <w:sz w:val="22"/>
        </w:rPr>
        <w:lastRenderedPageBreak/>
        <w:t>afectan su contenido esencial y, mucho menos, las obligaciones, deberes y derechos que se derivan para las partes contratantes.</w:t>
      </w:r>
    </w:p>
    <w:p w:rsidRPr="007327B2" w:rsidR="00C41D21" w:rsidP="00FB4058" w:rsidRDefault="00C41D21" w14:paraId="5A1CE70B" w14:textId="77777777">
      <w:pPr>
        <w:spacing w:line="276" w:lineRule="auto"/>
        <w:ind w:firstLine="709"/>
        <w:jc w:val="both"/>
        <w:rPr>
          <w:rFonts w:ascii="Arial" w:hAnsi="Arial" w:cs="Arial"/>
          <w:sz w:val="22"/>
        </w:rPr>
      </w:pPr>
    </w:p>
    <w:p w:rsidR="00835C7D" w:rsidP="0050434E" w:rsidRDefault="00305947" w14:paraId="2A4926C2" w14:textId="3CC1F472">
      <w:pPr>
        <w:spacing w:line="276" w:lineRule="auto"/>
        <w:jc w:val="both"/>
        <w:rPr>
          <w:rFonts w:ascii="Arial" w:hAnsi="Arial" w:eastAsia="Calibri" w:cs="Arial"/>
          <w:b/>
          <w:sz w:val="22"/>
        </w:rPr>
      </w:pPr>
      <w:r w:rsidRPr="00737DB6">
        <w:rPr>
          <w:rFonts w:ascii="Arial" w:hAnsi="Arial" w:eastAsia="Calibri" w:cs="Arial"/>
          <w:b/>
          <w:sz w:val="22"/>
        </w:rPr>
        <w:t>3. Respuesta</w:t>
      </w:r>
    </w:p>
    <w:p w:rsidR="00407293" w:rsidRDefault="00407293" w14:paraId="11CC1ACB" w14:textId="0AF563DF">
      <w:pPr>
        <w:tabs>
          <w:tab w:val="left" w:pos="426"/>
        </w:tabs>
        <w:ind w:right="709"/>
        <w:jc w:val="both"/>
        <w:rPr>
          <w:rFonts w:ascii="Arial" w:hAnsi="Arial" w:eastAsia="Calibri" w:cs="Arial"/>
          <w:sz w:val="21"/>
          <w:szCs w:val="21"/>
        </w:rPr>
      </w:pPr>
      <w:bookmarkStart w:name="_Hlk40881604" w:id="6"/>
    </w:p>
    <w:p w:rsidRPr="00407293" w:rsidR="00407293" w:rsidP="00407293" w:rsidRDefault="00407293" w14:paraId="36CD9A9F" w14:textId="77777777">
      <w:pPr>
        <w:tabs>
          <w:tab w:val="left" w:pos="426"/>
        </w:tabs>
        <w:ind w:left="709" w:right="709"/>
        <w:jc w:val="both"/>
        <w:rPr>
          <w:rFonts w:ascii="Arial" w:hAnsi="Arial" w:eastAsia="Calibri" w:cs="Arial"/>
          <w:sz w:val="21"/>
          <w:szCs w:val="21"/>
        </w:rPr>
      </w:pPr>
      <w:r w:rsidRPr="00407293">
        <w:rPr>
          <w:rFonts w:ascii="Arial" w:hAnsi="Arial" w:eastAsia="Calibri" w:cs="Arial"/>
          <w:sz w:val="21"/>
          <w:szCs w:val="21"/>
        </w:rPr>
        <w:t>«En virtud a la aplicación de los Pliegos tipo, nos permitimos solicitar que se emita concepto sobre la procedencia que tienen las Entidades para poder modificar el pliego tipo versión 3, que se encuentra publicado en la página de Colombia Compra Eficiente».</w:t>
      </w:r>
    </w:p>
    <w:p w:rsidRPr="001A36B8" w:rsidR="00407293" w:rsidP="00407293" w:rsidRDefault="00407293" w14:paraId="7F13D3F4" w14:textId="77777777">
      <w:pPr>
        <w:tabs>
          <w:tab w:val="left" w:pos="426"/>
        </w:tabs>
        <w:ind w:right="709"/>
        <w:jc w:val="both"/>
        <w:rPr>
          <w:rFonts w:ascii="Arial" w:hAnsi="Arial" w:eastAsia="Calibri" w:cs="Arial"/>
          <w:sz w:val="21"/>
          <w:szCs w:val="21"/>
        </w:rPr>
      </w:pPr>
    </w:p>
    <w:bookmarkEnd w:id="6"/>
    <w:p w:rsidRPr="00991BE6" w:rsidR="00C41D21" w:rsidP="00C41D21" w:rsidRDefault="00C41D21" w14:paraId="7FD6FC45" w14:textId="5CD45BD2">
      <w:pPr>
        <w:spacing w:after="120" w:line="276" w:lineRule="auto"/>
        <w:jc w:val="both"/>
        <w:rPr>
          <w:rFonts w:ascii="Arial" w:hAnsi="Arial" w:cs="Arial"/>
          <w:sz w:val="22"/>
        </w:rPr>
      </w:pPr>
      <w:r w:rsidRPr="00991BE6">
        <w:rPr>
          <w:rFonts w:ascii="Arial" w:hAnsi="Arial" w:cs="Arial"/>
          <w:sz w:val="22"/>
        </w:rPr>
        <w:t xml:space="preserve">Los documentos tipo, dentro de los que se encuentran los formatos, formularios, matrices y anexos, en virtud del principio de inalterabilidad establecido en </w:t>
      </w:r>
      <w:r>
        <w:rPr>
          <w:rFonts w:ascii="Arial" w:hAnsi="Arial" w:cs="Arial"/>
          <w:sz w:val="22"/>
        </w:rPr>
        <w:t>e</w:t>
      </w:r>
      <w:r w:rsidRPr="00991BE6">
        <w:rPr>
          <w:rFonts w:ascii="Arial" w:hAnsi="Arial" w:cs="Arial"/>
          <w:sz w:val="22"/>
        </w:rPr>
        <w:t>l artículo 2.2.1.2.6.1.4, del Decreto 1082 de 2015, desarrollado en el artículo 3 de las Resoluci</w:t>
      </w:r>
      <w:r>
        <w:rPr>
          <w:rFonts w:ascii="Arial" w:hAnsi="Arial" w:cs="Arial"/>
          <w:sz w:val="22"/>
        </w:rPr>
        <w:t>ó</w:t>
      </w:r>
      <w:r w:rsidRPr="00991BE6">
        <w:rPr>
          <w:rFonts w:ascii="Arial" w:hAnsi="Arial" w:cs="Arial"/>
          <w:sz w:val="22"/>
        </w:rPr>
        <w:t>n No. 240 de 2020, no pueden ser alterados por la entidad pública y, menos, por los oferentes, salvo en los apartados incluidos entre corchetes y resaltados en gris. Estos documentos, de conformidad con el parágrafo 7° del artículo 2 de la Ley 1150 de 2007, son de obligatoria aplicación para entidades estatales sometidas al Estatuto General de Contratación de la Administración Pública, para adelantar procesos de contratación de obra pública para infraestructura de transporte en la modalidad de licitación pública.</w:t>
      </w:r>
    </w:p>
    <w:p w:rsidRPr="00991BE6" w:rsidR="00C41D21" w:rsidP="00C41D21" w:rsidRDefault="00C41D21" w14:paraId="7598D0FC" w14:textId="23B2523E">
      <w:pPr>
        <w:spacing w:line="276" w:lineRule="auto"/>
        <w:ind w:firstLine="708"/>
        <w:jc w:val="both"/>
        <w:rPr>
          <w:rFonts w:ascii="Arial" w:hAnsi="Arial" w:cs="Arial"/>
          <w:sz w:val="22"/>
        </w:rPr>
      </w:pPr>
      <w:r w:rsidRPr="00991BE6">
        <w:rPr>
          <w:rFonts w:ascii="Arial" w:hAnsi="Arial" w:cs="Arial"/>
          <w:sz w:val="22"/>
        </w:rPr>
        <w:t>Sin embargo, conforme al principio constitucional de prevalencia del derecho sustancial, la inalterabilidad de los documentos tipo no se extiende a los aspectos formales, esto es, al tamaño y tipo de letra, las márgenes o cualquier otro asunto relacionado con la forma del documento, así como tampoco a las expresiones que pretenden hacerlo más comprensible, siempre que no afecten el contenido esencial de los documentos tipo y mucho menos, las obligaciones, deberes y derechos que se derivan para las partes contratantes.</w:t>
      </w:r>
    </w:p>
    <w:p w:rsidR="008201C7" w:rsidP="00FB4058" w:rsidRDefault="008201C7" w14:paraId="684CBE07" w14:textId="77777777">
      <w:pPr>
        <w:jc w:val="both"/>
        <w:rPr>
          <w:rFonts w:ascii="Arial" w:hAnsi="Arial" w:eastAsia="Calibri" w:cs="Arial"/>
          <w:sz w:val="22"/>
        </w:rPr>
      </w:pPr>
    </w:p>
    <w:p w:rsidRPr="00737DB6" w:rsidR="00214878" w:rsidP="0050434E" w:rsidRDefault="00214878" w14:paraId="426B5DCA" w14:textId="483D2620">
      <w:pPr>
        <w:spacing w:line="276" w:lineRule="auto"/>
        <w:jc w:val="both"/>
        <w:rPr>
          <w:rFonts w:ascii="Arial" w:hAnsi="Arial" w:eastAsia="Calibri" w:cs="Arial"/>
          <w:sz w:val="22"/>
        </w:rPr>
      </w:pPr>
      <w:r w:rsidRPr="00737DB6">
        <w:rPr>
          <w:rFonts w:ascii="Arial" w:hAnsi="Arial" w:eastAsia="Calibri" w:cs="Arial"/>
          <w:sz w:val="22"/>
        </w:rPr>
        <w:t>Este concepto tiene el alcance previsto en el artículo 28 del Código de Procedimiento Administrativo y de lo Contencioso Administrativo.</w:t>
      </w:r>
    </w:p>
    <w:p w:rsidRPr="00737DB6" w:rsidR="00214878" w:rsidP="0050434E" w:rsidRDefault="00214878" w14:paraId="2D31E5AC" w14:textId="3896BF42">
      <w:pPr>
        <w:spacing w:line="276" w:lineRule="auto"/>
        <w:jc w:val="both"/>
        <w:rPr>
          <w:rFonts w:ascii="Arial" w:hAnsi="Arial" w:eastAsia="Calibri" w:cs="Arial"/>
          <w:sz w:val="22"/>
        </w:rPr>
      </w:pPr>
      <w:r w:rsidRPr="00737DB6">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0A3409F7">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5CF2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00014637" w:rsidP="00E12977" w:rsidRDefault="00214878" w14:paraId="19166EB5" w14:textId="31A32A78">
      <w:pPr>
        <w:spacing w:line="276" w:lineRule="auto"/>
        <w:rPr>
          <w:rFonts w:ascii="Arial" w:hAnsi="Arial" w:eastAsia="Times New Roman" w:cs="Arial"/>
          <w:sz w:val="22"/>
          <w:lang w:eastAsia="es-CO"/>
        </w:rPr>
      </w:pPr>
      <w:r w:rsidRPr="39D2D54E">
        <w:rPr>
          <w:rFonts w:ascii="Arial" w:hAnsi="Arial" w:eastAsia="Times New Roman" w:cs="Arial"/>
          <w:sz w:val="22"/>
          <w:lang w:eastAsia="es-CO"/>
        </w:rPr>
        <w:t>Atentamente,</w:t>
      </w:r>
    </w:p>
    <w:p w:rsidR="00014637" w:rsidP="0054602D" w:rsidRDefault="00E12977" w14:paraId="3A0FDBCC" w14:textId="20D3EBD4">
      <w:pPr>
        <w:spacing w:line="276" w:lineRule="auto"/>
        <w:jc w:val="center"/>
        <w:rPr>
          <w:rFonts w:ascii="Arial" w:hAnsi="Arial" w:eastAsia="Times New Roman" w:cs="Arial"/>
          <w:sz w:val="22"/>
          <w:lang w:eastAsia="es-CO"/>
        </w:rPr>
      </w:pPr>
      <w:r>
        <w:rPr>
          <w:rFonts w:ascii="Arial" w:hAnsi="Arial" w:eastAsia="Times New Roman" w:cs="Arial"/>
          <w:noProof/>
          <w:sz w:val="22"/>
          <w:lang w:val="en-US"/>
        </w:rPr>
        <w:drawing>
          <wp:inline distT="0" distB="0" distL="0" distR="0" wp14:anchorId="7D0AE9FF" wp14:editId="26BFCE81">
            <wp:extent cx="2514600" cy="952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952500"/>
                    </a:xfrm>
                    <a:prstGeom prst="rect">
                      <a:avLst/>
                    </a:prstGeom>
                  </pic:spPr>
                </pic:pic>
              </a:graphicData>
            </a:graphic>
          </wp:inline>
        </w:drawing>
      </w:r>
      <w:bookmarkStart w:name="_GoBack" w:id="7"/>
      <w:bookmarkEnd w:id="7"/>
    </w:p>
    <w:p w:rsidRPr="0054602D" w:rsidR="0054602D" w:rsidP="00E12977" w:rsidRDefault="0054602D" w14:paraId="1E60E1C2" w14:textId="7EF34658">
      <w:pPr>
        <w:spacing w:line="276" w:lineRule="auto"/>
        <w:rPr>
          <w:rFonts w:ascii="Arial" w:hAnsi="Arial" w:eastAsia="Times New Roman" w:cs="Arial"/>
          <w:sz w:val="22"/>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014637" w:rsidR="00CA7FEF" w:rsidTr="00C968EC" w14:paraId="2E979D08" w14:textId="77777777">
        <w:trPr>
          <w:trHeight w:val="315"/>
        </w:trPr>
        <w:tc>
          <w:tcPr>
            <w:tcW w:w="812" w:type="dxa"/>
            <w:vAlign w:val="center"/>
          </w:tcPr>
          <w:p w:rsidRPr="00FB4058" w:rsidR="00214878" w:rsidP="00AF2440" w:rsidRDefault="00214878" w14:paraId="1606F074" w14:textId="77777777">
            <w:pPr>
              <w:rPr>
                <w:rFonts w:ascii="Arial" w:hAnsi="Arial" w:eastAsia="Times New Roman" w:cs="Arial"/>
                <w:sz w:val="14"/>
                <w:szCs w:val="14"/>
                <w:lang w:eastAsia="es-ES"/>
              </w:rPr>
            </w:pPr>
            <w:r w:rsidRPr="00FB4058">
              <w:rPr>
                <w:rFonts w:ascii="Arial" w:hAnsi="Arial" w:eastAsia="Times New Roman" w:cs="Arial"/>
                <w:sz w:val="14"/>
                <w:szCs w:val="14"/>
                <w:lang w:eastAsia="es-ES"/>
              </w:rPr>
              <w:t>Elaboró:</w:t>
            </w:r>
          </w:p>
        </w:tc>
        <w:tc>
          <w:tcPr>
            <w:tcW w:w="4413" w:type="dxa"/>
            <w:tcBorders>
              <w:bottom w:val="dotted" w:color="7F7F7F" w:themeColor="text1" w:themeTint="80" w:sz="4" w:space="0"/>
            </w:tcBorders>
            <w:vAlign w:val="center"/>
          </w:tcPr>
          <w:p w:rsidRPr="00FB4058" w:rsidR="00214878" w:rsidP="00AF2440" w:rsidRDefault="008D7064" w14:paraId="2343580D" w14:textId="7D6B0B75">
            <w:pPr>
              <w:rPr>
                <w:rFonts w:ascii="Arial" w:hAnsi="Arial" w:eastAsia="Times New Roman" w:cs="Arial"/>
                <w:sz w:val="14"/>
                <w:szCs w:val="14"/>
                <w:lang w:eastAsia="es-ES"/>
              </w:rPr>
            </w:pPr>
            <w:r w:rsidRPr="00FB4058">
              <w:rPr>
                <w:rFonts w:ascii="Arial" w:hAnsi="Arial" w:eastAsia="Times New Roman" w:cs="Arial"/>
                <w:sz w:val="14"/>
                <w:szCs w:val="14"/>
                <w:lang w:eastAsia="es-ES"/>
              </w:rPr>
              <w:t xml:space="preserve">Jorge Alberto García Calume </w:t>
            </w:r>
            <w:r w:rsidRPr="00FB4058" w:rsidR="00A60725">
              <w:rPr>
                <w:rFonts w:ascii="Arial" w:hAnsi="Arial" w:eastAsia="Times New Roman" w:cs="Arial"/>
                <w:sz w:val="14"/>
                <w:szCs w:val="14"/>
                <w:lang w:eastAsia="es-ES"/>
              </w:rPr>
              <w:t xml:space="preserve"> </w:t>
            </w:r>
          </w:p>
          <w:p w:rsidRPr="00FB4058" w:rsidR="00214878" w:rsidP="00AF2440" w:rsidRDefault="00A60725" w14:paraId="6995B041" w14:textId="22218889">
            <w:pPr>
              <w:rPr>
                <w:rFonts w:ascii="Arial" w:hAnsi="Arial" w:eastAsia="Times New Roman" w:cs="Arial"/>
                <w:sz w:val="14"/>
                <w:szCs w:val="14"/>
                <w:lang w:eastAsia="es-ES"/>
              </w:rPr>
            </w:pPr>
            <w:r w:rsidRPr="00FB4058">
              <w:rPr>
                <w:rFonts w:ascii="Arial" w:hAnsi="Arial" w:eastAsia="Times New Roman" w:cs="Arial"/>
                <w:sz w:val="14"/>
                <w:szCs w:val="14"/>
                <w:lang w:eastAsia="es-ES"/>
              </w:rPr>
              <w:t>Contratista</w:t>
            </w:r>
            <w:r w:rsidRPr="00FB4058" w:rsidR="008865C0">
              <w:rPr>
                <w:rFonts w:ascii="Arial" w:hAnsi="Arial" w:eastAsia="Times New Roman" w:cs="Arial"/>
                <w:sz w:val="14"/>
                <w:szCs w:val="14"/>
                <w:lang w:eastAsia="es-ES"/>
              </w:rPr>
              <w:t xml:space="preserve"> </w:t>
            </w:r>
            <w:r w:rsidRPr="00FB4058" w:rsidR="00014637">
              <w:rPr>
                <w:rFonts w:ascii="Arial" w:hAnsi="Arial" w:cs="Arial"/>
                <w:sz w:val="14"/>
                <w:szCs w:val="14"/>
                <w:lang w:eastAsia="es-ES"/>
              </w:rPr>
              <w:t>de la Subdirección de Gestión Contractual</w:t>
            </w:r>
            <w:r w:rsidRPr="00FB4058" w:rsidR="008D7064">
              <w:rPr>
                <w:rFonts w:ascii="Arial" w:hAnsi="Arial" w:eastAsia="Times New Roman" w:cs="Arial"/>
                <w:sz w:val="14"/>
                <w:szCs w:val="14"/>
                <w:lang w:eastAsia="es-ES"/>
              </w:rPr>
              <w:t xml:space="preserve"> </w:t>
            </w:r>
            <w:r w:rsidRPr="00FB4058">
              <w:rPr>
                <w:rFonts w:ascii="Arial" w:hAnsi="Arial" w:eastAsia="Times New Roman" w:cs="Arial"/>
                <w:sz w:val="14"/>
                <w:szCs w:val="14"/>
                <w:lang w:eastAsia="es-ES"/>
              </w:rPr>
              <w:t xml:space="preserve"> </w:t>
            </w:r>
          </w:p>
        </w:tc>
      </w:tr>
      <w:tr w:rsidRPr="00014637" w:rsidR="00CA7FEF" w:rsidTr="00C968EC" w14:paraId="1EFBDAAD" w14:textId="77777777">
        <w:trPr>
          <w:trHeight w:val="330"/>
        </w:trPr>
        <w:tc>
          <w:tcPr>
            <w:tcW w:w="812" w:type="dxa"/>
            <w:vAlign w:val="center"/>
          </w:tcPr>
          <w:p w:rsidRPr="00FB4058" w:rsidR="00214878" w:rsidP="00AF2440" w:rsidRDefault="00214878" w14:paraId="09701992" w14:textId="77777777">
            <w:pPr>
              <w:rPr>
                <w:rFonts w:ascii="Arial" w:hAnsi="Arial" w:eastAsia="Times New Roman" w:cs="Arial"/>
                <w:sz w:val="14"/>
                <w:szCs w:val="14"/>
                <w:lang w:eastAsia="es-ES"/>
              </w:rPr>
            </w:pPr>
            <w:r w:rsidRPr="00FB4058">
              <w:rPr>
                <w:rFonts w:ascii="Arial" w:hAnsi="Arial" w:eastAsia="Times New Roman" w:cs="Arial"/>
                <w:sz w:val="14"/>
                <w:szCs w:val="14"/>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FB4058" w:rsidR="00E263C3" w:rsidP="00E263C3" w:rsidRDefault="0024213C" w14:paraId="72C985EC" w14:textId="56B94E8C">
            <w:pPr>
              <w:rPr>
                <w:rFonts w:ascii="Arial" w:hAnsi="Arial" w:cs="Arial"/>
                <w:sz w:val="14"/>
                <w:szCs w:val="14"/>
                <w:lang w:eastAsia="es-ES"/>
              </w:rPr>
            </w:pPr>
            <w:r w:rsidRPr="00FB4058">
              <w:rPr>
                <w:rFonts w:ascii="Arial" w:hAnsi="Arial" w:cs="Arial"/>
                <w:sz w:val="14"/>
                <w:szCs w:val="14"/>
                <w:lang w:eastAsia="es-ES"/>
              </w:rPr>
              <w:t xml:space="preserve">Alejandro Sarmiento </w:t>
            </w:r>
            <w:r w:rsidRPr="00FB4058" w:rsidR="00C41D21">
              <w:rPr>
                <w:rFonts w:ascii="Arial" w:hAnsi="Arial" w:cs="Arial"/>
                <w:sz w:val="14"/>
                <w:szCs w:val="14"/>
                <w:lang w:eastAsia="es-ES"/>
              </w:rPr>
              <w:t>Cantillo</w:t>
            </w:r>
          </w:p>
          <w:p w:rsidRPr="00FB4058" w:rsidR="00214878" w:rsidP="00AF2440" w:rsidRDefault="00E263C3" w14:paraId="6B6BBB43" w14:textId="4E0374A5">
            <w:pPr>
              <w:rPr>
                <w:rFonts w:ascii="Arial" w:hAnsi="Arial" w:eastAsia="Times New Roman" w:cs="Arial"/>
                <w:sz w:val="14"/>
                <w:szCs w:val="14"/>
                <w:lang w:eastAsia="es-ES"/>
              </w:rPr>
            </w:pPr>
            <w:r w:rsidRPr="00FB4058">
              <w:rPr>
                <w:rFonts w:ascii="Arial" w:hAnsi="Arial" w:cs="Arial"/>
                <w:sz w:val="14"/>
                <w:szCs w:val="14"/>
                <w:lang w:eastAsia="es-ES"/>
              </w:rPr>
              <w:t>Gestor T1-1</w:t>
            </w:r>
            <w:r w:rsidRPr="00FB4058" w:rsidR="00C41D21">
              <w:rPr>
                <w:rFonts w:ascii="Arial" w:hAnsi="Arial" w:cs="Arial"/>
                <w:sz w:val="14"/>
                <w:szCs w:val="14"/>
                <w:lang w:eastAsia="es-ES"/>
              </w:rPr>
              <w:t>1</w:t>
            </w:r>
            <w:r w:rsidRPr="00FB4058">
              <w:rPr>
                <w:rFonts w:ascii="Arial" w:hAnsi="Arial" w:cs="Arial"/>
                <w:sz w:val="14"/>
                <w:szCs w:val="14"/>
                <w:lang w:eastAsia="es-ES"/>
              </w:rPr>
              <w:t xml:space="preserve"> de la Subdirección de Gestión Contractual</w:t>
            </w:r>
          </w:p>
        </w:tc>
      </w:tr>
      <w:tr w:rsidRPr="00014637" w:rsidR="00CA7FEF" w:rsidTr="00C968EC" w14:paraId="24C3AA5B" w14:textId="77777777">
        <w:trPr>
          <w:trHeight w:val="300"/>
        </w:trPr>
        <w:tc>
          <w:tcPr>
            <w:tcW w:w="812" w:type="dxa"/>
            <w:vAlign w:val="center"/>
          </w:tcPr>
          <w:p w:rsidRPr="00FB4058" w:rsidR="00214878" w:rsidP="00AF2440" w:rsidRDefault="00214878" w14:paraId="3F00D087" w14:textId="77777777">
            <w:pPr>
              <w:rPr>
                <w:rFonts w:ascii="Arial" w:hAnsi="Arial" w:eastAsia="Times New Roman" w:cs="Arial"/>
                <w:sz w:val="14"/>
                <w:szCs w:val="14"/>
                <w:lang w:eastAsia="es-ES"/>
              </w:rPr>
            </w:pPr>
            <w:r w:rsidRPr="00FB4058">
              <w:rPr>
                <w:rFonts w:ascii="Arial" w:hAnsi="Arial" w:eastAsia="Times New Roman" w:cs="Arial"/>
                <w:sz w:val="14"/>
                <w:szCs w:val="14"/>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FB4058" w:rsidR="00E263C3" w:rsidP="00E263C3" w:rsidRDefault="00E263C3" w14:paraId="66AE1539" w14:textId="77777777">
            <w:pPr>
              <w:rPr>
                <w:rFonts w:ascii="Arial" w:hAnsi="Arial" w:cs="Arial"/>
                <w:sz w:val="14"/>
                <w:szCs w:val="14"/>
                <w:lang w:eastAsia="es-ES"/>
              </w:rPr>
            </w:pPr>
            <w:r w:rsidRPr="00FB4058">
              <w:rPr>
                <w:rFonts w:ascii="Arial" w:hAnsi="Arial" w:cs="Arial"/>
                <w:sz w:val="14"/>
                <w:szCs w:val="14"/>
                <w:lang w:eastAsia="es-ES"/>
              </w:rPr>
              <w:t>Jorge Augusto Tirado Navarro</w:t>
            </w:r>
          </w:p>
          <w:p w:rsidRPr="00FB4058" w:rsidR="00214878" w:rsidP="00AF2440" w:rsidRDefault="00E263C3" w14:paraId="1D1409AB" w14:textId="5F14B4EB">
            <w:pPr>
              <w:rPr>
                <w:rFonts w:ascii="Arial" w:hAnsi="Arial" w:eastAsia="Times New Roman" w:cs="Arial"/>
                <w:sz w:val="14"/>
                <w:szCs w:val="14"/>
                <w:lang w:eastAsia="es-ES"/>
              </w:rPr>
            </w:pPr>
            <w:r w:rsidRPr="00FB4058">
              <w:rPr>
                <w:rFonts w:ascii="Arial" w:hAnsi="Arial" w:cs="Arial"/>
                <w:sz w:val="14"/>
                <w:szCs w:val="14"/>
                <w:lang w:eastAsia="es-ES"/>
              </w:rPr>
              <w:t>Subdirector de Gestión Contractual ANCP – CCE</w:t>
            </w:r>
          </w:p>
        </w:tc>
      </w:tr>
      <w:bookmarkEnd w:id="2"/>
      <w:bookmarkEnd w:id="3"/>
    </w:tbl>
    <w:p w:rsidRPr="00737DB6" w:rsidR="00737DB6" w:rsidP="00E12977" w:rsidRDefault="00737DB6" w14:paraId="0EEB665C" w14:textId="77777777">
      <w:pPr>
        <w:spacing w:before="120" w:after="120" w:line="276" w:lineRule="auto"/>
        <w:rPr>
          <w:rFonts w:ascii="Arial" w:hAnsi="Arial" w:cs="Arial"/>
        </w:rPr>
      </w:pPr>
    </w:p>
    <w:sectPr w:rsidRPr="00737DB6" w:rsidR="00737DB6" w:rsidSect="00FB4058">
      <w:headerReference w:type="default" r:id="rId13"/>
      <w:footerReference w:type="default" r:id="rId14"/>
      <w:pgSz w:w="12240" w:h="15840" w:orient="portrait"/>
      <w:pgMar w:top="1928"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9D" w:rsidRDefault="00D0429D" w14:paraId="43B241FB" w14:textId="77777777">
      <w:r>
        <w:separator/>
      </w:r>
    </w:p>
  </w:endnote>
  <w:endnote w:type="continuationSeparator" w:id="0">
    <w:p w:rsidR="00D0429D" w:rsidRDefault="00D0429D" w14:paraId="39E51D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8217B7" w:rsidR="003644CA" w:rsidP="00214878" w:rsidRDefault="003644CA" w14:paraId="7E76759C" w14:textId="2FE0625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12977">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12977">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3644CA" w:rsidP="00214878" w:rsidRDefault="7065A23A" w14:paraId="218ACE78" w14:textId="77777777">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3644CA" w:rsidP="00214878" w:rsidRDefault="003644CA" w14:paraId="651FA18A" w14:textId="77777777">
    <w:pPr>
      <w:pStyle w:val="Piedepgina"/>
      <w:jc w:val="center"/>
      <w:rPr>
        <w:lang w:val="es-ES"/>
      </w:rPr>
    </w:pPr>
  </w:p>
  <w:p w:rsidRPr="00214878" w:rsidR="003644CA" w:rsidP="00214878" w:rsidRDefault="003644CA" w14:paraId="6C0EFC49"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9D" w:rsidRDefault="00D0429D" w14:paraId="39267CB1" w14:textId="77777777">
      <w:r>
        <w:separator/>
      </w:r>
    </w:p>
  </w:footnote>
  <w:footnote w:type="continuationSeparator" w:id="0">
    <w:p w:rsidR="00D0429D" w:rsidRDefault="00D0429D" w14:paraId="1B442B32" w14:textId="77777777">
      <w:r>
        <w:continuationSeparator/>
      </w:r>
    </w:p>
  </w:footnote>
  <w:footnote w:id="1">
    <w:p w:rsidRPr="00014637" w:rsidR="00C41D21" w:rsidP="00C41D21" w:rsidRDefault="00C41D21" w14:paraId="0AD1293C" w14:textId="77777777">
      <w:pPr>
        <w:pStyle w:val="Textonotapie"/>
        <w:ind w:firstLine="709"/>
        <w:jc w:val="both"/>
        <w:rPr>
          <w:rFonts w:ascii="Arial" w:hAnsi="Arial" w:eastAsia="Times New Roman" w:cs="Arial"/>
          <w:color w:val="000000"/>
          <w:sz w:val="19"/>
          <w:szCs w:val="19"/>
          <w:bdr w:val="none" w:color="auto" w:sz="0" w:space="0" w:frame="1"/>
          <w:lang w:eastAsia="es-CO"/>
        </w:rPr>
      </w:pPr>
      <w:r w:rsidRPr="00FB4058">
        <w:rPr>
          <w:rStyle w:val="Refdenotaalpie"/>
          <w:rFonts w:ascii="Arial" w:hAnsi="Arial" w:cs="Arial"/>
          <w:sz w:val="19"/>
          <w:szCs w:val="19"/>
        </w:rPr>
        <w:footnoteRef/>
      </w:r>
      <w:r w:rsidRPr="00FB4058">
        <w:rPr>
          <w:rFonts w:ascii="Arial" w:hAnsi="Arial" w:cs="Arial"/>
          <w:sz w:val="19"/>
          <w:szCs w:val="19"/>
        </w:rPr>
        <w:t xml:space="preserve"> </w:t>
      </w:r>
      <w:r w:rsidRPr="00014637">
        <w:rPr>
          <w:rFonts w:ascii="Arial" w:hAnsi="Arial" w:eastAsia="Times New Roman" w:cs="Arial"/>
          <w:color w:val="000000"/>
          <w:sz w:val="19"/>
          <w:szCs w:val="19"/>
          <w:bdr w:val="none" w:color="auto" w:sz="0" w:space="0"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rsidRPr="00FB4058" w:rsidR="00C41D21" w:rsidP="00C41D21" w:rsidRDefault="00C41D21" w14:paraId="1527A70F" w14:textId="77777777">
      <w:pPr>
        <w:pStyle w:val="Textonotapie"/>
        <w:ind w:firstLine="709"/>
        <w:rPr>
          <w:rFonts w:ascii="Arial" w:hAnsi="Arial" w:cs="Arial"/>
          <w:sz w:val="19"/>
          <w:szCs w:val="19"/>
        </w:rPr>
      </w:pPr>
    </w:p>
  </w:footnote>
  <w:footnote w:id="2">
    <w:p w:rsidRPr="00714A94" w:rsidR="00C41D21" w:rsidP="00714A94" w:rsidRDefault="00C41D21" w14:paraId="25B1DF58" w14:textId="25244A67">
      <w:pPr>
        <w:pStyle w:val="Textonotapie"/>
        <w:ind w:firstLine="709"/>
        <w:rPr>
          <w:rFonts w:ascii="Arial" w:hAnsi="Arial" w:eastAsia="Times New Roman" w:cs="Arial"/>
          <w:color w:val="000000"/>
          <w:sz w:val="19"/>
          <w:szCs w:val="19"/>
          <w:bdr w:val="none" w:color="auto" w:sz="0" w:space="0" w:frame="1"/>
          <w:lang w:eastAsia="es-CO"/>
        </w:rPr>
      </w:pPr>
      <w:r w:rsidRPr="00FB4058">
        <w:rPr>
          <w:rStyle w:val="Refdenotaalpie"/>
          <w:rFonts w:ascii="Arial" w:hAnsi="Arial" w:cs="Arial"/>
          <w:sz w:val="19"/>
          <w:szCs w:val="19"/>
        </w:rPr>
        <w:footnoteRef/>
      </w:r>
      <w:r w:rsidRPr="00FB4058">
        <w:rPr>
          <w:rFonts w:ascii="Arial" w:hAnsi="Arial" w:cs="Arial"/>
          <w:sz w:val="19"/>
          <w:szCs w:val="19"/>
        </w:rPr>
        <w:t xml:space="preserve"> </w:t>
      </w:r>
      <w:r w:rsidRPr="00014637">
        <w:rPr>
          <w:rFonts w:ascii="Arial" w:hAnsi="Arial" w:eastAsia="Times New Roman" w:cs="Arial"/>
          <w:color w:val="000000"/>
          <w:sz w:val="19"/>
          <w:szCs w:val="19"/>
          <w:bdr w:val="none" w:color="auto" w:sz="0" w:space="0" w:frame="1"/>
          <w:lang w:eastAsia="es-CO"/>
        </w:rPr>
        <w:t>Diario Oficial. Gaceta del Congreso 458 de 2005.  </w:t>
      </w:r>
    </w:p>
  </w:footnote>
  <w:footnote w:id="3">
    <w:p w:rsidRPr="00FB4058" w:rsidR="00C41D21" w:rsidP="00714A94" w:rsidRDefault="00C41D21" w14:paraId="1B989A81" w14:textId="7C47063D">
      <w:pPr>
        <w:pStyle w:val="Textonotapie"/>
        <w:ind w:firstLine="709"/>
        <w:rPr>
          <w:rFonts w:ascii="Arial" w:hAnsi="Arial" w:cs="Arial"/>
          <w:sz w:val="19"/>
          <w:szCs w:val="19"/>
        </w:rPr>
      </w:pPr>
      <w:r w:rsidRPr="00FB4058">
        <w:rPr>
          <w:rStyle w:val="Refdenotaalpie"/>
          <w:rFonts w:ascii="Arial" w:hAnsi="Arial" w:cs="Arial"/>
          <w:sz w:val="19"/>
          <w:szCs w:val="19"/>
        </w:rPr>
        <w:footnoteRef/>
      </w:r>
      <w:r w:rsidRPr="00FB4058">
        <w:rPr>
          <w:rFonts w:ascii="Arial" w:hAnsi="Arial" w:cs="Arial"/>
          <w:sz w:val="19"/>
          <w:szCs w:val="19"/>
        </w:rPr>
        <w:t xml:space="preserve"> </w:t>
      </w:r>
      <w:r w:rsidRPr="00014637">
        <w:rPr>
          <w:rFonts w:ascii="Arial" w:hAnsi="Arial" w:cs="Arial"/>
          <w:sz w:val="19"/>
          <w:szCs w:val="19"/>
        </w:rPr>
        <w:t>Ibídem.</w:t>
      </w:r>
      <w:r w:rsidRPr="00FB4058">
        <w:rPr>
          <w:rFonts w:ascii="Arial" w:hAnsi="Arial" w:cs="Arial"/>
          <w:sz w:val="19"/>
          <w:szCs w:val="19"/>
        </w:rPr>
        <w:t xml:space="preserve">  </w:t>
      </w:r>
    </w:p>
  </w:footnote>
  <w:footnote w:id="4">
    <w:p w:rsidRPr="00714A94" w:rsidR="00C41D21" w:rsidP="00714A94" w:rsidRDefault="00C41D21" w14:paraId="734FB7AD" w14:textId="4BC75489">
      <w:pPr>
        <w:shd w:val="clear" w:color="auto" w:fill="FFFFFF"/>
        <w:ind w:firstLine="709"/>
        <w:jc w:val="both"/>
        <w:textAlignment w:val="baseline"/>
        <w:rPr>
          <w:rFonts w:ascii="Arial" w:hAnsi="Arial" w:eastAsia="Times New Roman" w:cs="Arial"/>
          <w:color w:val="000000"/>
          <w:sz w:val="19"/>
          <w:szCs w:val="19"/>
          <w:bdr w:val="none" w:color="auto" w:sz="0" w:space="0" w:frame="1"/>
          <w:lang w:val="es-CO" w:eastAsia="es-CO"/>
        </w:rPr>
      </w:pPr>
      <w:r w:rsidRPr="00FB4058">
        <w:rPr>
          <w:rStyle w:val="Refdenotaalpie"/>
          <w:rFonts w:ascii="Arial" w:hAnsi="Arial" w:cs="Arial"/>
          <w:sz w:val="19"/>
          <w:szCs w:val="19"/>
        </w:rPr>
        <w:footnoteRef/>
      </w:r>
      <w:r w:rsidRPr="00FB4058">
        <w:rPr>
          <w:rFonts w:ascii="Arial" w:hAnsi="Arial" w:cs="Arial"/>
          <w:sz w:val="19"/>
          <w:szCs w:val="19"/>
        </w:rPr>
        <w:t xml:space="preserve"> </w:t>
      </w:r>
      <w:r w:rsidRPr="00014637">
        <w:rPr>
          <w:rFonts w:ascii="Arial" w:hAnsi="Arial" w:eastAsia="Times New Roman" w:cs="Arial"/>
          <w:color w:val="000000"/>
          <w:sz w:val="19"/>
          <w:szCs w:val="19"/>
          <w:bdr w:val="none" w:color="auto" w:sz="0" w:space="0" w:frame="1"/>
          <w:lang w:val="es-CO" w:eastAsia="es-CO"/>
        </w:rPr>
        <w:t>Diario Oficial. Gaceta del Congreso 416 de 2007, Informe de Conciliación Senado. </w:t>
      </w:r>
    </w:p>
  </w:footnote>
  <w:footnote w:id="5">
    <w:p w:rsidRPr="00FB4058" w:rsidR="00C41D21" w:rsidP="00C41D21" w:rsidRDefault="00C41D21" w14:paraId="544669EC" w14:textId="77777777">
      <w:pPr>
        <w:shd w:val="clear" w:color="auto" w:fill="FFFFFF"/>
        <w:ind w:firstLine="709"/>
        <w:jc w:val="both"/>
        <w:textAlignment w:val="baseline"/>
        <w:rPr>
          <w:rFonts w:ascii="Arial" w:hAnsi="Arial" w:eastAsia="Times New Roman" w:cs="Arial"/>
          <w:color w:val="000000"/>
          <w:sz w:val="19"/>
          <w:szCs w:val="19"/>
          <w:lang w:val="es-CO" w:eastAsia="es-CO"/>
        </w:rPr>
      </w:pPr>
      <w:r w:rsidRPr="00FB4058">
        <w:rPr>
          <w:rStyle w:val="Refdenotaalpie"/>
          <w:rFonts w:ascii="Arial" w:hAnsi="Arial" w:cs="Arial"/>
          <w:sz w:val="19"/>
          <w:szCs w:val="19"/>
        </w:rPr>
        <w:footnoteRef/>
      </w:r>
      <w:r w:rsidRPr="00FB4058">
        <w:rPr>
          <w:rFonts w:ascii="Arial" w:hAnsi="Arial" w:cs="Arial"/>
          <w:sz w:val="19"/>
          <w:szCs w:val="19"/>
        </w:rPr>
        <w:t xml:space="preserve"> </w:t>
      </w:r>
      <w:r w:rsidRPr="00014637">
        <w:rPr>
          <w:rFonts w:ascii="Arial" w:hAnsi="Arial" w:eastAsia="Times New Roman" w:cs="Arial"/>
          <w:color w:val="000000"/>
          <w:sz w:val="19"/>
          <w:szCs w:val="19"/>
          <w:bdr w:val="none" w:color="auto" w:sz="0" w:space="0"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Pr="00FB4058" w:rsidR="00C41D21" w:rsidP="00C41D21" w:rsidRDefault="00C41D21" w14:paraId="2C5A692A" w14:textId="77777777">
      <w:pPr>
        <w:shd w:val="clear" w:color="auto" w:fill="FFFFFF"/>
        <w:ind w:firstLine="709"/>
        <w:jc w:val="both"/>
        <w:textAlignment w:val="baseline"/>
        <w:rPr>
          <w:rFonts w:ascii="Arial" w:hAnsi="Arial" w:eastAsia="Times New Roman" w:cs="Arial"/>
          <w:color w:val="000000"/>
          <w:sz w:val="19"/>
          <w:szCs w:val="19"/>
          <w:lang w:val="es-CO" w:eastAsia="es-CO"/>
        </w:rPr>
      </w:pPr>
      <w:proofErr w:type="gramStart"/>
      <w:r w:rsidRPr="00014637">
        <w:rPr>
          <w:rFonts w:ascii="Arial" w:hAnsi="Arial" w:eastAsia="Times New Roman" w:cs="Arial"/>
          <w:color w:val="000000"/>
          <w:sz w:val="19"/>
          <w:szCs w:val="19"/>
          <w:bdr w:val="none" w:color="auto" w:sz="0" w:space="0" w:frame="1"/>
          <w:lang w:eastAsia="es-CO"/>
        </w:rPr>
        <w:t>»Dentro</w:t>
      </w:r>
      <w:proofErr w:type="gramEnd"/>
      <w:r w:rsidRPr="00014637">
        <w:rPr>
          <w:rFonts w:ascii="Arial" w:hAnsi="Arial" w:eastAsia="Times New Roman" w:cs="Arial"/>
          <w:color w:val="000000"/>
          <w:sz w:val="19"/>
          <w:szCs w:val="19"/>
          <w:bdr w:val="none" w:color="auto" w:sz="0" w:space="0"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Pr="00FB4058" w:rsidR="00C41D21" w:rsidP="00C41D21" w:rsidRDefault="00C41D21" w14:paraId="23812F59" w14:textId="77777777">
      <w:pPr>
        <w:shd w:val="clear" w:color="auto" w:fill="FFFFFF"/>
        <w:ind w:firstLine="709"/>
        <w:jc w:val="both"/>
        <w:textAlignment w:val="baseline"/>
        <w:rPr>
          <w:rFonts w:ascii="Arial" w:hAnsi="Arial" w:eastAsia="Times New Roman" w:cs="Arial"/>
          <w:color w:val="000000"/>
          <w:sz w:val="19"/>
          <w:szCs w:val="19"/>
          <w:lang w:val="es-CO" w:eastAsia="es-CO"/>
        </w:rPr>
      </w:pPr>
      <w:proofErr w:type="gramStart"/>
      <w:r w:rsidRPr="00014637">
        <w:rPr>
          <w:rFonts w:ascii="Arial" w:hAnsi="Arial" w:eastAsia="Times New Roman" w:cs="Arial"/>
          <w:color w:val="000000"/>
          <w:sz w:val="19"/>
          <w:szCs w:val="19"/>
          <w:bdr w:val="none" w:color="auto" w:sz="0" w:space="0" w:frame="1"/>
          <w:lang w:eastAsia="es-CO"/>
        </w:rPr>
        <w:t>»Con</w:t>
      </w:r>
      <w:proofErr w:type="gramEnd"/>
      <w:r w:rsidRPr="00014637">
        <w:rPr>
          <w:rFonts w:ascii="Arial" w:hAnsi="Arial" w:eastAsia="Times New Roman" w:cs="Arial"/>
          <w:color w:val="000000"/>
          <w:sz w:val="19"/>
          <w:szCs w:val="19"/>
          <w:bdr w:val="none" w:color="auto" w:sz="0" w:space="0"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rsidRPr="00FB4058" w:rsidR="00C41D21" w:rsidP="00C41D21" w:rsidRDefault="00C41D21" w14:paraId="2E0240ED" w14:textId="77777777">
      <w:pPr>
        <w:shd w:val="clear" w:color="auto" w:fill="FFFFFF"/>
        <w:ind w:firstLine="709"/>
        <w:jc w:val="both"/>
        <w:textAlignment w:val="baseline"/>
        <w:rPr>
          <w:rFonts w:ascii="Arial" w:hAnsi="Arial" w:eastAsia="Times New Roman" w:cs="Arial"/>
          <w:color w:val="000000"/>
          <w:sz w:val="19"/>
          <w:szCs w:val="19"/>
          <w:lang w:val="es-CO" w:eastAsia="es-CO"/>
        </w:rPr>
      </w:pPr>
      <w:r w:rsidRPr="00014637">
        <w:rPr>
          <w:rFonts w:ascii="Arial" w:hAnsi="Arial" w:eastAsia="Times New Roman" w:cs="Arial"/>
          <w:color w:val="000000"/>
          <w:sz w:val="19"/>
          <w:szCs w:val="19"/>
          <w:bdr w:val="none" w:color="auto" w:sz="0" w:space="0"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rsidRPr="00FB4058" w:rsidR="00C41D21" w:rsidP="00FB4058" w:rsidRDefault="00C41D21" w14:paraId="2EC65DB4" w14:textId="5DA953A5">
      <w:pPr>
        <w:shd w:val="clear" w:color="auto" w:fill="FFFFFF"/>
        <w:ind w:firstLine="708"/>
        <w:jc w:val="both"/>
        <w:textAlignment w:val="baseline"/>
        <w:rPr>
          <w:rFonts w:ascii="Arial" w:hAnsi="Arial" w:cs="Arial"/>
          <w:sz w:val="19"/>
          <w:szCs w:val="19"/>
        </w:rPr>
      </w:pPr>
      <w:proofErr w:type="gramStart"/>
      <w:r w:rsidRPr="00014637">
        <w:rPr>
          <w:rFonts w:ascii="Arial" w:hAnsi="Arial" w:eastAsia="Times New Roman" w:cs="Arial"/>
          <w:color w:val="000000"/>
          <w:sz w:val="19"/>
          <w:szCs w:val="19"/>
          <w:bdr w:val="none" w:color="auto" w:sz="0" w:space="0" w:frame="1"/>
          <w:lang w:eastAsia="es-CO"/>
        </w:rPr>
        <w:t>»En</w:t>
      </w:r>
      <w:proofErr w:type="gramEnd"/>
      <w:r w:rsidRPr="00014637">
        <w:rPr>
          <w:rFonts w:ascii="Arial" w:hAnsi="Arial" w:eastAsia="Times New Roman" w:cs="Arial"/>
          <w:color w:val="000000"/>
          <w:sz w:val="19"/>
          <w:szCs w:val="19"/>
          <w:bdr w:val="none" w:color="auto" w:sz="0" w:space="0"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 w:id="6">
    <w:p w:rsidRPr="00014637" w:rsidR="00C41D21" w:rsidP="00C41D21" w:rsidRDefault="00C41D21" w14:paraId="48BB185C" w14:textId="77777777">
      <w:pPr>
        <w:pStyle w:val="Textonotapie"/>
        <w:ind w:firstLine="708"/>
        <w:jc w:val="both"/>
        <w:rPr>
          <w:rFonts w:ascii="Arial" w:hAnsi="Arial" w:cs="Arial"/>
          <w:sz w:val="19"/>
          <w:szCs w:val="19"/>
        </w:rPr>
      </w:pPr>
      <w:r w:rsidRPr="00FB4058">
        <w:rPr>
          <w:rStyle w:val="Refdenotaalpie"/>
          <w:rFonts w:ascii="Arial" w:hAnsi="Arial" w:cs="Arial"/>
          <w:sz w:val="19"/>
          <w:szCs w:val="19"/>
        </w:rPr>
        <w:footnoteRef/>
      </w:r>
      <w:r w:rsidRPr="00FB4058">
        <w:rPr>
          <w:rFonts w:ascii="Arial" w:hAnsi="Arial" w:cs="Arial"/>
          <w:sz w:val="19"/>
          <w:szCs w:val="19"/>
        </w:rPr>
        <w:t xml:space="preserve"> </w:t>
      </w:r>
      <w:r w:rsidRPr="00014637">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rsidRPr="00014637" w:rsidR="00C41D21" w:rsidP="00C41D21" w:rsidRDefault="00C41D21" w14:paraId="4CA262C1" w14:textId="77777777">
      <w:pPr>
        <w:pStyle w:val="Textonotapie"/>
        <w:ind w:firstLine="708"/>
        <w:rPr>
          <w:rFonts w:ascii="Arial" w:hAnsi="Arial" w:cs="Arial"/>
          <w:sz w:val="19"/>
          <w:szCs w:val="19"/>
          <w:lang w:val="es-CO"/>
        </w:rPr>
      </w:pPr>
      <w:r w:rsidRPr="00014637">
        <w:rPr>
          <w:rFonts w:ascii="Arial" w:hAnsi="Arial" w:cs="Arial"/>
          <w:sz w:val="19"/>
          <w:szCs w:val="19"/>
        </w:rPr>
        <w:t xml:space="preserve"> </w:t>
      </w:r>
    </w:p>
  </w:footnote>
  <w:footnote w:id="7">
    <w:p w:rsidRPr="00014637" w:rsidR="00C41D21" w:rsidP="00714A94" w:rsidRDefault="00C41D21" w14:paraId="582D088B" w14:textId="6F11120C">
      <w:pPr>
        <w:pStyle w:val="Textonotapie"/>
        <w:ind w:firstLine="709"/>
        <w:jc w:val="both"/>
        <w:rPr>
          <w:rFonts w:ascii="Arial" w:hAnsi="Arial" w:cs="Arial"/>
          <w:color w:val="000000" w:themeColor="text1"/>
          <w:sz w:val="19"/>
          <w:szCs w:val="19"/>
        </w:rPr>
      </w:pPr>
      <w:r w:rsidRPr="00014637">
        <w:rPr>
          <w:rStyle w:val="Refdenotaalpie"/>
          <w:rFonts w:ascii="Arial" w:hAnsi="Arial" w:cs="Arial"/>
          <w:color w:val="000000" w:themeColor="text1"/>
          <w:sz w:val="19"/>
          <w:szCs w:val="19"/>
        </w:rPr>
        <w:footnoteRef/>
      </w:r>
      <w:r w:rsidRPr="00014637">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w:t>
      </w:r>
      <w:proofErr w:type="spellStart"/>
      <w:r w:rsidRPr="00014637">
        <w:rPr>
          <w:rFonts w:ascii="Arial" w:hAnsi="Arial" w:cs="Arial"/>
          <w:color w:val="000000" w:themeColor="text1"/>
          <w:sz w:val="19"/>
          <w:szCs w:val="19"/>
        </w:rPr>
        <w:t>preclusivos</w:t>
      </w:r>
      <w:proofErr w:type="spellEnd"/>
      <w:r w:rsidRPr="00014637">
        <w:rPr>
          <w:rFonts w:ascii="Arial" w:hAnsi="Arial" w:cs="Arial"/>
          <w:color w:val="000000" w:themeColor="text1"/>
          <w:sz w:val="19"/>
          <w:szCs w:val="19"/>
        </w:rPr>
        <w:t xml:space="preserve"> y perentorios para las diferentes etapas de la selección y las autoridades darán impulso oficioso a las actuaciones».</w:t>
      </w:r>
    </w:p>
  </w:footnote>
  <w:footnote w:id="8">
    <w:p w:rsidRPr="00014637" w:rsidR="00C41D21" w:rsidP="00C41D21" w:rsidRDefault="00C41D21" w14:paraId="52ADB02F" w14:textId="77777777">
      <w:pPr>
        <w:ind w:firstLine="709"/>
        <w:jc w:val="both"/>
        <w:rPr>
          <w:rFonts w:ascii="Arial" w:hAnsi="Arial" w:cs="Arial"/>
          <w:color w:val="000000" w:themeColor="text1"/>
          <w:sz w:val="19"/>
          <w:szCs w:val="19"/>
          <w:lang w:val="es-ES"/>
        </w:rPr>
      </w:pPr>
      <w:r w:rsidRPr="00014637">
        <w:rPr>
          <w:rStyle w:val="Refdenotaalpie"/>
          <w:rFonts w:ascii="Arial" w:hAnsi="Arial" w:cs="Arial"/>
          <w:color w:val="000000" w:themeColor="text1"/>
          <w:sz w:val="19"/>
          <w:szCs w:val="19"/>
        </w:rPr>
        <w:footnoteRef/>
      </w:r>
      <w:r w:rsidRPr="00014637">
        <w:rPr>
          <w:rFonts w:ascii="Arial" w:hAnsi="Arial" w:cs="Arial"/>
          <w:color w:val="000000" w:themeColor="text1"/>
          <w:sz w:val="19"/>
          <w:szCs w:val="19"/>
        </w:rPr>
        <w:t xml:space="preserve"> </w:t>
      </w:r>
      <w:r w:rsidRPr="00014637">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rsidRPr="00014637" w:rsidR="00C41D21" w:rsidP="00C41D21" w:rsidRDefault="00C41D21" w14:paraId="6C4CE64B" w14:textId="77777777">
      <w:pPr>
        <w:ind w:firstLine="709"/>
        <w:jc w:val="both"/>
        <w:rPr>
          <w:rFonts w:ascii="Arial" w:hAnsi="Arial" w:cs="Arial"/>
          <w:color w:val="000000" w:themeColor="text1"/>
          <w:sz w:val="19"/>
          <w:szCs w:val="19"/>
          <w:lang w:val="es-ES"/>
        </w:rPr>
      </w:pPr>
    </w:p>
  </w:footnote>
  <w:footnote w:id="9">
    <w:p w:rsidRPr="00014637" w:rsidR="00C41D21" w:rsidP="00C41D21" w:rsidRDefault="00C41D21" w14:paraId="5D2BC8AD" w14:textId="77777777">
      <w:pPr>
        <w:pStyle w:val="Textonotapie"/>
        <w:ind w:firstLine="708"/>
        <w:jc w:val="both"/>
        <w:rPr>
          <w:rFonts w:ascii="Arial" w:hAnsi="Arial" w:cs="Arial"/>
          <w:sz w:val="19"/>
          <w:szCs w:val="19"/>
        </w:rPr>
      </w:pPr>
      <w:r w:rsidRPr="00014637">
        <w:rPr>
          <w:rStyle w:val="Refdenotaalpie"/>
          <w:rFonts w:ascii="Arial" w:hAnsi="Arial" w:cs="Arial"/>
          <w:sz w:val="19"/>
          <w:szCs w:val="19"/>
        </w:rPr>
        <w:footnoteRef/>
      </w:r>
      <w:r w:rsidRPr="00014637">
        <w:rPr>
          <w:rFonts w:ascii="Arial" w:hAnsi="Arial" w:cs="Arial"/>
          <w:sz w:val="19"/>
          <w:szCs w:val="19"/>
        </w:rPr>
        <w:t xml:space="preserve"> Este artículo también es aplicable a los procedimientos de selección abreviada de menor cuantía, adelantados con documentos tipo, de conformidad con el artículo 2.2.1.2.6.2.3 del Decreto 1082 de 2015. Para los procesos con documentos tipo, adelantado en modalidad de mínima cuantía, el Decreto 594 de 2020, al adicionar el Decreto 594 de 2020 introdujo una regla especial para regular esta situación, la cual dispone</w:t>
      </w:r>
      <w:r w:rsidRPr="00014637">
        <w:rPr>
          <w:rFonts w:ascii="Arial" w:hAnsi="Arial" w:cs="Arial"/>
          <w:sz w:val="19"/>
          <w:szCs w:val="19"/>
          <w:lang w:val="es-CO"/>
        </w:rPr>
        <w:t>:</w:t>
      </w:r>
      <w:r w:rsidRPr="00014637">
        <w:rPr>
          <w:rFonts w:ascii="Arial" w:hAnsi="Arial" w:cs="Arial"/>
          <w:sz w:val="19"/>
          <w:szCs w:val="19"/>
        </w:rPr>
        <w:t xml:space="preserve"> </w:t>
      </w:r>
    </w:p>
    <w:p w:rsidRPr="00014637" w:rsidR="00C41D21" w:rsidP="00C41D21" w:rsidRDefault="00C41D21" w14:paraId="73BE7162" w14:textId="77777777">
      <w:pPr>
        <w:pStyle w:val="Textonotapie"/>
        <w:ind w:firstLine="708"/>
        <w:jc w:val="both"/>
        <w:rPr>
          <w:rFonts w:ascii="Arial" w:hAnsi="Arial" w:cs="Arial"/>
          <w:sz w:val="19"/>
          <w:szCs w:val="19"/>
        </w:rPr>
      </w:pPr>
      <w:r w:rsidRPr="00014637">
        <w:rPr>
          <w:rFonts w:ascii="Arial" w:hAnsi="Arial" w:cs="Arial"/>
          <w:sz w:val="19"/>
          <w:szCs w:val="19"/>
        </w:rPr>
        <w:t xml:space="preserve">«2.2.1.2.6.3.5.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rsidRPr="00014637" w:rsidR="00C41D21" w:rsidP="00C41D21" w:rsidRDefault="00C41D21" w14:paraId="6C10A2F4" w14:textId="77777777">
      <w:pPr>
        <w:pStyle w:val="Textonotapie"/>
        <w:ind w:firstLine="708"/>
        <w:jc w:val="both"/>
        <w:rPr>
          <w:rFonts w:ascii="Arial" w:hAnsi="Arial" w:cs="Arial"/>
          <w:sz w:val="19"/>
          <w:szCs w:val="19"/>
        </w:rPr>
      </w:pPr>
      <w:r w:rsidRPr="00014637">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rsidRPr="00014637" w:rsidR="00C41D21" w:rsidP="00C41D21" w:rsidRDefault="00C41D21" w14:paraId="55484946" w14:textId="77777777">
      <w:pPr>
        <w:pStyle w:val="Textonotapie"/>
        <w:ind w:firstLine="708"/>
        <w:jc w:val="both"/>
        <w:rPr>
          <w:rFonts w:ascii="Arial" w:hAnsi="Arial" w:cs="Arial"/>
          <w:sz w:val="19"/>
          <w:szCs w:val="19"/>
        </w:rPr>
      </w:pPr>
      <w:r w:rsidRPr="00014637">
        <w:rPr>
          <w:rFonts w:ascii="Arial" w:hAnsi="Arial" w:cs="Arial"/>
          <w:sz w:val="19"/>
          <w:szCs w:val="19"/>
        </w:rPr>
        <w:t xml:space="preserve">»2. Conservar los requisitos exigidos en los Documentos Tipo.  </w:t>
      </w:r>
    </w:p>
    <w:p w:rsidRPr="00FB4058" w:rsidR="00C41D21" w:rsidP="00C41D21" w:rsidRDefault="00C41D21" w14:paraId="512FEC27" w14:textId="77777777">
      <w:pPr>
        <w:pStyle w:val="Textonotapie"/>
        <w:ind w:firstLine="708"/>
        <w:jc w:val="both"/>
        <w:rPr>
          <w:rFonts w:ascii="Arial" w:hAnsi="Arial" w:cs="Arial"/>
          <w:sz w:val="19"/>
          <w:szCs w:val="19"/>
          <w:lang w:val="es-CO"/>
        </w:rPr>
      </w:pPr>
      <w:r w:rsidRPr="00014637">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r w:rsidRPr="00FB4058">
        <w:rPr>
          <w:rFonts w:ascii="Arial" w:hAnsi="Arial" w:cs="Arial"/>
          <w:sz w:val="19"/>
          <w:szCs w:val="19"/>
        </w:rPr>
        <w:t xml:space="preserve">  </w:t>
      </w:r>
    </w:p>
  </w:footnote>
  <w:footnote w:id="10">
    <w:p w:rsidRPr="00014637" w:rsidR="00C41D21" w:rsidP="00714A94" w:rsidRDefault="00C41D21" w14:paraId="6CD220DE" w14:textId="59B8DAE4">
      <w:pPr>
        <w:ind w:firstLine="708"/>
        <w:jc w:val="both"/>
        <w:rPr>
          <w:rFonts w:ascii="Arial" w:hAnsi="Arial" w:cs="Arial"/>
          <w:color w:val="000000" w:themeColor="text1"/>
          <w:sz w:val="19"/>
          <w:szCs w:val="19"/>
        </w:rPr>
      </w:pPr>
      <w:r w:rsidRPr="00014637">
        <w:rPr>
          <w:rStyle w:val="Refdenotaalpie"/>
          <w:rFonts w:ascii="Arial" w:hAnsi="Arial" w:cs="Arial"/>
          <w:color w:val="000000" w:themeColor="text1"/>
          <w:sz w:val="19"/>
          <w:szCs w:val="19"/>
        </w:rPr>
        <w:footnoteRef/>
      </w:r>
      <w:r w:rsidRPr="00014637">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644CA" w:rsidP="00214878" w:rsidRDefault="003644CA" w14:paraId="25140902" w14:textId="77777777">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214878" w:rsidR="003644CA" w:rsidP="00214878" w:rsidRDefault="003644CA" w14:paraId="6520770B" w14:textId="06FFF98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A64038"/>
    <w:multiLevelType w:val="multilevel"/>
    <w:tmpl w:val="B95A5F7E"/>
    <w:lvl w:ilvl="0">
      <w:start w:val="1"/>
      <w:numFmt w:val="decimal"/>
      <w:lvlText w:val="%1."/>
      <w:lvlJc w:val="left"/>
      <w:pPr>
        <w:ind w:left="66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8"/>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10"/>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7845"/>
    <w:rsid w:val="00014637"/>
    <w:rsid w:val="00015DF9"/>
    <w:rsid w:val="00022430"/>
    <w:rsid w:val="00023BE4"/>
    <w:rsid w:val="00023C87"/>
    <w:rsid w:val="0002551F"/>
    <w:rsid w:val="00031FC6"/>
    <w:rsid w:val="00033B21"/>
    <w:rsid w:val="00035210"/>
    <w:rsid w:val="00036204"/>
    <w:rsid w:val="00043688"/>
    <w:rsid w:val="0004523D"/>
    <w:rsid w:val="00054A7B"/>
    <w:rsid w:val="00056788"/>
    <w:rsid w:val="00060153"/>
    <w:rsid w:val="00060398"/>
    <w:rsid w:val="00064E2F"/>
    <w:rsid w:val="000709B9"/>
    <w:rsid w:val="00074108"/>
    <w:rsid w:val="00086C1E"/>
    <w:rsid w:val="00091F03"/>
    <w:rsid w:val="0009351A"/>
    <w:rsid w:val="000942EB"/>
    <w:rsid w:val="000950AA"/>
    <w:rsid w:val="000A3D48"/>
    <w:rsid w:val="000A4AA5"/>
    <w:rsid w:val="000A785D"/>
    <w:rsid w:val="000B103F"/>
    <w:rsid w:val="000B2127"/>
    <w:rsid w:val="000B6AB4"/>
    <w:rsid w:val="000C0959"/>
    <w:rsid w:val="000C19E1"/>
    <w:rsid w:val="000C7696"/>
    <w:rsid w:val="000D02B3"/>
    <w:rsid w:val="000D3A92"/>
    <w:rsid w:val="000D4A92"/>
    <w:rsid w:val="000E1BF2"/>
    <w:rsid w:val="000E4B5C"/>
    <w:rsid w:val="000E699E"/>
    <w:rsid w:val="000E730C"/>
    <w:rsid w:val="000F14E8"/>
    <w:rsid w:val="000F18A6"/>
    <w:rsid w:val="00103915"/>
    <w:rsid w:val="00110320"/>
    <w:rsid w:val="001103A2"/>
    <w:rsid w:val="00113958"/>
    <w:rsid w:val="00121CD3"/>
    <w:rsid w:val="00122B23"/>
    <w:rsid w:val="00123889"/>
    <w:rsid w:val="00125924"/>
    <w:rsid w:val="001353DC"/>
    <w:rsid w:val="0013568D"/>
    <w:rsid w:val="0013799F"/>
    <w:rsid w:val="00137FFA"/>
    <w:rsid w:val="00141FAC"/>
    <w:rsid w:val="001428A2"/>
    <w:rsid w:val="00161B7E"/>
    <w:rsid w:val="00166B32"/>
    <w:rsid w:val="00175FDC"/>
    <w:rsid w:val="0018007B"/>
    <w:rsid w:val="001821C5"/>
    <w:rsid w:val="00182B0F"/>
    <w:rsid w:val="00193DFB"/>
    <w:rsid w:val="00193EFC"/>
    <w:rsid w:val="001A36B8"/>
    <w:rsid w:val="001A695E"/>
    <w:rsid w:val="001A7009"/>
    <w:rsid w:val="001B493A"/>
    <w:rsid w:val="001C01AC"/>
    <w:rsid w:val="001C4BC2"/>
    <w:rsid w:val="001C6B55"/>
    <w:rsid w:val="001D5178"/>
    <w:rsid w:val="001E0B25"/>
    <w:rsid w:val="001E62AF"/>
    <w:rsid w:val="001F2A9C"/>
    <w:rsid w:val="002002A3"/>
    <w:rsid w:val="00201FEE"/>
    <w:rsid w:val="00202F2E"/>
    <w:rsid w:val="0021312A"/>
    <w:rsid w:val="0021354E"/>
    <w:rsid w:val="00213765"/>
    <w:rsid w:val="00214878"/>
    <w:rsid w:val="00224AFF"/>
    <w:rsid w:val="002346FC"/>
    <w:rsid w:val="00234B84"/>
    <w:rsid w:val="00237377"/>
    <w:rsid w:val="002411E9"/>
    <w:rsid w:val="0024213C"/>
    <w:rsid w:val="00242ED7"/>
    <w:rsid w:val="0024480D"/>
    <w:rsid w:val="002451C1"/>
    <w:rsid w:val="002454B3"/>
    <w:rsid w:val="00250EB5"/>
    <w:rsid w:val="0026156A"/>
    <w:rsid w:val="0026186C"/>
    <w:rsid w:val="00261A2E"/>
    <w:rsid w:val="002630D9"/>
    <w:rsid w:val="00263252"/>
    <w:rsid w:val="002706B4"/>
    <w:rsid w:val="0027657C"/>
    <w:rsid w:val="00280E65"/>
    <w:rsid w:val="00287A42"/>
    <w:rsid w:val="002918F7"/>
    <w:rsid w:val="00294025"/>
    <w:rsid w:val="00294A08"/>
    <w:rsid w:val="002A36A9"/>
    <w:rsid w:val="002A4D54"/>
    <w:rsid w:val="002B3D4E"/>
    <w:rsid w:val="002B68FE"/>
    <w:rsid w:val="002C71CA"/>
    <w:rsid w:val="002C7E55"/>
    <w:rsid w:val="002C7E5B"/>
    <w:rsid w:val="002D1AA6"/>
    <w:rsid w:val="002D7A0C"/>
    <w:rsid w:val="002E1753"/>
    <w:rsid w:val="002E7375"/>
    <w:rsid w:val="002E79A9"/>
    <w:rsid w:val="002F2195"/>
    <w:rsid w:val="002F33C3"/>
    <w:rsid w:val="003011A3"/>
    <w:rsid w:val="00303001"/>
    <w:rsid w:val="003033BA"/>
    <w:rsid w:val="00305947"/>
    <w:rsid w:val="00306259"/>
    <w:rsid w:val="003067C4"/>
    <w:rsid w:val="00306C9D"/>
    <w:rsid w:val="00313908"/>
    <w:rsid w:val="003159B5"/>
    <w:rsid w:val="00315C98"/>
    <w:rsid w:val="00323084"/>
    <w:rsid w:val="0033352A"/>
    <w:rsid w:val="00333DBC"/>
    <w:rsid w:val="0034680A"/>
    <w:rsid w:val="003471F9"/>
    <w:rsid w:val="00352311"/>
    <w:rsid w:val="00356E6F"/>
    <w:rsid w:val="00361BB8"/>
    <w:rsid w:val="003644CA"/>
    <w:rsid w:val="003657FD"/>
    <w:rsid w:val="003751BE"/>
    <w:rsid w:val="00377821"/>
    <w:rsid w:val="00386456"/>
    <w:rsid w:val="00387590"/>
    <w:rsid w:val="003925E0"/>
    <w:rsid w:val="00392F03"/>
    <w:rsid w:val="003945B8"/>
    <w:rsid w:val="003A1AAE"/>
    <w:rsid w:val="003A581E"/>
    <w:rsid w:val="003B0B5A"/>
    <w:rsid w:val="003B2D22"/>
    <w:rsid w:val="003B4F39"/>
    <w:rsid w:val="003D14E8"/>
    <w:rsid w:val="003D7759"/>
    <w:rsid w:val="003F2F99"/>
    <w:rsid w:val="003F6F8C"/>
    <w:rsid w:val="004001C9"/>
    <w:rsid w:val="00400DDE"/>
    <w:rsid w:val="00405662"/>
    <w:rsid w:val="00407293"/>
    <w:rsid w:val="00410870"/>
    <w:rsid w:val="00414A77"/>
    <w:rsid w:val="00415395"/>
    <w:rsid w:val="00416B88"/>
    <w:rsid w:val="00417402"/>
    <w:rsid w:val="0043152C"/>
    <w:rsid w:val="00432163"/>
    <w:rsid w:val="00434BC9"/>
    <w:rsid w:val="004422D6"/>
    <w:rsid w:val="00443F10"/>
    <w:rsid w:val="00445F18"/>
    <w:rsid w:val="004513E8"/>
    <w:rsid w:val="004619B2"/>
    <w:rsid w:val="00462527"/>
    <w:rsid w:val="00467950"/>
    <w:rsid w:val="00477B6D"/>
    <w:rsid w:val="004823BF"/>
    <w:rsid w:val="00483490"/>
    <w:rsid w:val="00487048"/>
    <w:rsid w:val="0048775B"/>
    <w:rsid w:val="00490869"/>
    <w:rsid w:val="0049197E"/>
    <w:rsid w:val="004A214E"/>
    <w:rsid w:val="004A34D2"/>
    <w:rsid w:val="004A51B7"/>
    <w:rsid w:val="004B25D9"/>
    <w:rsid w:val="004B6213"/>
    <w:rsid w:val="004B62BE"/>
    <w:rsid w:val="004C35C3"/>
    <w:rsid w:val="004C56C4"/>
    <w:rsid w:val="004C64DF"/>
    <w:rsid w:val="004D021E"/>
    <w:rsid w:val="004D2202"/>
    <w:rsid w:val="004D2FE0"/>
    <w:rsid w:val="004E2DEA"/>
    <w:rsid w:val="004E420A"/>
    <w:rsid w:val="004E6117"/>
    <w:rsid w:val="004F1A74"/>
    <w:rsid w:val="004F2FA6"/>
    <w:rsid w:val="004F3CEB"/>
    <w:rsid w:val="004F3E22"/>
    <w:rsid w:val="0050193D"/>
    <w:rsid w:val="00501AD2"/>
    <w:rsid w:val="00502A6F"/>
    <w:rsid w:val="0050434E"/>
    <w:rsid w:val="00504B90"/>
    <w:rsid w:val="0051074C"/>
    <w:rsid w:val="00512714"/>
    <w:rsid w:val="00513AF2"/>
    <w:rsid w:val="0051416A"/>
    <w:rsid w:val="00517832"/>
    <w:rsid w:val="00525C51"/>
    <w:rsid w:val="005356EA"/>
    <w:rsid w:val="00536637"/>
    <w:rsid w:val="0053681E"/>
    <w:rsid w:val="00541DD0"/>
    <w:rsid w:val="0054229C"/>
    <w:rsid w:val="005427CF"/>
    <w:rsid w:val="00543CC9"/>
    <w:rsid w:val="0054413A"/>
    <w:rsid w:val="0054602D"/>
    <w:rsid w:val="00546AA4"/>
    <w:rsid w:val="00546CA7"/>
    <w:rsid w:val="00550FD8"/>
    <w:rsid w:val="00553EAD"/>
    <w:rsid w:val="005564CA"/>
    <w:rsid w:val="00557C64"/>
    <w:rsid w:val="005637B5"/>
    <w:rsid w:val="00572EF9"/>
    <w:rsid w:val="00577104"/>
    <w:rsid w:val="00577185"/>
    <w:rsid w:val="005909E4"/>
    <w:rsid w:val="005A3893"/>
    <w:rsid w:val="005A4AEC"/>
    <w:rsid w:val="005A7711"/>
    <w:rsid w:val="005B0CD4"/>
    <w:rsid w:val="005B11C6"/>
    <w:rsid w:val="005B2CF7"/>
    <w:rsid w:val="005B57CE"/>
    <w:rsid w:val="005B7953"/>
    <w:rsid w:val="005C50CF"/>
    <w:rsid w:val="005C7CDD"/>
    <w:rsid w:val="005D1B45"/>
    <w:rsid w:val="005D25BD"/>
    <w:rsid w:val="005E3FDC"/>
    <w:rsid w:val="005E5AD9"/>
    <w:rsid w:val="00600AC5"/>
    <w:rsid w:val="00604F33"/>
    <w:rsid w:val="00615A40"/>
    <w:rsid w:val="0062065E"/>
    <w:rsid w:val="0062127A"/>
    <w:rsid w:val="00621E35"/>
    <w:rsid w:val="0062303B"/>
    <w:rsid w:val="00636072"/>
    <w:rsid w:val="00644299"/>
    <w:rsid w:val="00645D51"/>
    <w:rsid w:val="006535D1"/>
    <w:rsid w:val="00654AA6"/>
    <w:rsid w:val="00655371"/>
    <w:rsid w:val="00656629"/>
    <w:rsid w:val="00662A05"/>
    <w:rsid w:val="006735A6"/>
    <w:rsid w:val="006754C6"/>
    <w:rsid w:val="00676EE8"/>
    <w:rsid w:val="00685F97"/>
    <w:rsid w:val="00687EC0"/>
    <w:rsid w:val="00690936"/>
    <w:rsid w:val="00697665"/>
    <w:rsid w:val="006A3CAD"/>
    <w:rsid w:val="006A5A2E"/>
    <w:rsid w:val="006A7FD0"/>
    <w:rsid w:val="006B6ED7"/>
    <w:rsid w:val="006C1231"/>
    <w:rsid w:val="006C68E6"/>
    <w:rsid w:val="006D1878"/>
    <w:rsid w:val="006D32A2"/>
    <w:rsid w:val="006D7687"/>
    <w:rsid w:val="006D79C0"/>
    <w:rsid w:val="006E0572"/>
    <w:rsid w:val="006F5CF0"/>
    <w:rsid w:val="00700D9E"/>
    <w:rsid w:val="00704381"/>
    <w:rsid w:val="00704B0B"/>
    <w:rsid w:val="00705631"/>
    <w:rsid w:val="00710F03"/>
    <w:rsid w:val="00714A94"/>
    <w:rsid w:val="0071707F"/>
    <w:rsid w:val="00727C3C"/>
    <w:rsid w:val="00734B73"/>
    <w:rsid w:val="00737DB6"/>
    <w:rsid w:val="007424A8"/>
    <w:rsid w:val="00742DD2"/>
    <w:rsid w:val="00744529"/>
    <w:rsid w:val="007452CF"/>
    <w:rsid w:val="00746C4F"/>
    <w:rsid w:val="0075010E"/>
    <w:rsid w:val="0075647A"/>
    <w:rsid w:val="00756B38"/>
    <w:rsid w:val="007575ED"/>
    <w:rsid w:val="007609E9"/>
    <w:rsid w:val="007618B2"/>
    <w:rsid w:val="007634AD"/>
    <w:rsid w:val="00764F47"/>
    <w:rsid w:val="0078122E"/>
    <w:rsid w:val="00781AA8"/>
    <w:rsid w:val="0078365A"/>
    <w:rsid w:val="0079134A"/>
    <w:rsid w:val="00795113"/>
    <w:rsid w:val="007A6A34"/>
    <w:rsid w:val="007B0854"/>
    <w:rsid w:val="007D3323"/>
    <w:rsid w:val="007D4021"/>
    <w:rsid w:val="007E193F"/>
    <w:rsid w:val="007E24A0"/>
    <w:rsid w:val="007E331A"/>
    <w:rsid w:val="007E6D71"/>
    <w:rsid w:val="007F593B"/>
    <w:rsid w:val="007F7255"/>
    <w:rsid w:val="007F72CB"/>
    <w:rsid w:val="00801F73"/>
    <w:rsid w:val="00802FF0"/>
    <w:rsid w:val="008065A8"/>
    <w:rsid w:val="00811EDD"/>
    <w:rsid w:val="00816B40"/>
    <w:rsid w:val="008201C7"/>
    <w:rsid w:val="008229F3"/>
    <w:rsid w:val="00824A6D"/>
    <w:rsid w:val="0083119B"/>
    <w:rsid w:val="00835C7D"/>
    <w:rsid w:val="00836EAB"/>
    <w:rsid w:val="00837C23"/>
    <w:rsid w:val="00847C80"/>
    <w:rsid w:val="0085092D"/>
    <w:rsid w:val="00854B8E"/>
    <w:rsid w:val="008615FD"/>
    <w:rsid w:val="00862405"/>
    <w:rsid w:val="008659FF"/>
    <w:rsid w:val="008662E2"/>
    <w:rsid w:val="00871A33"/>
    <w:rsid w:val="00874B3D"/>
    <w:rsid w:val="00884F75"/>
    <w:rsid w:val="008865C0"/>
    <w:rsid w:val="0088776A"/>
    <w:rsid w:val="008903AE"/>
    <w:rsid w:val="008941DC"/>
    <w:rsid w:val="00894712"/>
    <w:rsid w:val="00896CE7"/>
    <w:rsid w:val="008A56B5"/>
    <w:rsid w:val="008A7BB3"/>
    <w:rsid w:val="008B79E0"/>
    <w:rsid w:val="008C449B"/>
    <w:rsid w:val="008C5FE5"/>
    <w:rsid w:val="008D4970"/>
    <w:rsid w:val="008D5921"/>
    <w:rsid w:val="008D6F76"/>
    <w:rsid w:val="008D7064"/>
    <w:rsid w:val="008E1C15"/>
    <w:rsid w:val="008F53F4"/>
    <w:rsid w:val="00901339"/>
    <w:rsid w:val="00902872"/>
    <w:rsid w:val="009047C5"/>
    <w:rsid w:val="00906FED"/>
    <w:rsid w:val="009101AA"/>
    <w:rsid w:val="00911BF7"/>
    <w:rsid w:val="00913B77"/>
    <w:rsid w:val="00916DB5"/>
    <w:rsid w:val="00921955"/>
    <w:rsid w:val="009272AE"/>
    <w:rsid w:val="009329A4"/>
    <w:rsid w:val="00941B45"/>
    <w:rsid w:val="00947945"/>
    <w:rsid w:val="009513A9"/>
    <w:rsid w:val="00951524"/>
    <w:rsid w:val="0095340A"/>
    <w:rsid w:val="0095385A"/>
    <w:rsid w:val="009547BE"/>
    <w:rsid w:val="00954AC6"/>
    <w:rsid w:val="00965006"/>
    <w:rsid w:val="00966595"/>
    <w:rsid w:val="00967E4F"/>
    <w:rsid w:val="00971321"/>
    <w:rsid w:val="00981254"/>
    <w:rsid w:val="009859D4"/>
    <w:rsid w:val="0098629E"/>
    <w:rsid w:val="00990443"/>
    <w:rsid w:val="009A0487"/>
    <w:rsid w:val="009A7EAF"/>
    <w:rsid w:val="009C50D0"/>
    <w:rsid w:val="009E1FEB"/>
    <w:rsid w:val="009E4AF0"/>
    <w:rsid w:val="009F12D8"/>
    <w:rsid w:val="00A04D63"/>
    <w:rsid w:val="00A06772"/>
    <w:rsid w:val="00A074BF"/>
    <w:rsid w:val="00A0798E"/>
    <w:rsid w:val="00A12E39"/>
    <w:rsid w:val="00A1500F"/>
    <w:rsid w:val="00A17103"/>
    <w:rsid w:val="00A23EDF"/>
    <w:rsid w:val="00A241AD"/>
    <w:rsid w:val="00A24322"/>
    <w:rsid w:val="00A24560"/>
    <w:rsid w:val="00A24FCF"/>
    <w:rsid w:val="00A34538"/>
    <w:rsid w:val="00A50EA1"/>
    <w:rsid w:val="00A54843"/>
    <w:rsid w:val="00A54C72"/>
    <w:rsid w:val="00A54FA1"/>
    <w:rsid w:val="00A60725"/>
    <w:rsid w:val="00A620C8"/>
    <w:rsid w:val="00A64ADC"/>
    <w:rsid w:val="00A72528"/>
    <w:rsid w:val="00A737CD"/>
    <w:rsid w:val="00A8084F"/>
    <w:rsid w:val="00A8663D"/>
    <w:rsid w:val="00A95A3C"/>
    <w:rsid w:val="00A95E66"/>
    <w:rsid w:val="00AA442B"/>
    <w:rsid w:val="00AA6D04"/>
    <w:rsid w:val="00AA707B"/>
    <w:rsid w:val="00AB31E7"/>
    <w:rsid w:val="00AB7B09"/>
    <w:rsid w:val="00AC54C6"/>
    <w:rsid w:val="00AD017C"/>
    <w:rsid w:val="00AD0BB9"/>
    <w:rsid w:val="00AD0EDA"/>
    <w:rsid w:val="00AD64EA"/>
    <w:rsid w:val="00AE3229"/>
    <w:rsid w:val="00AE3C7C"/>
    <w:rsid w:val="00AF02E3"/>
    <w:rsid w:val="00AF1718"/>
    <w:rsid w:val="00AF2440"/>
    <w:rsid w:val="00AF798A"/>
    <w:rsid w:val="00B11CB1"/>
    <w:rsid w:val="00B148FC"/>
    <w:rsid w:val="00B2165B"/>
    <w:rsid w:val="00B22E22"/>
    <w:rsid w:val="00B333CE"/>
    <w:rsid w:val="00B36C98"/>
    <w:rsid w:val="00B525CB"/>
    <w:rsid w:val="00B53388"/>
    <w:rsid w:val="00B54C59"/>
    <w:rsid w:val="00B56418"/>
    <w:rsid w:val="00B61BDD"/>
    <w:rsid w:val="00B61FD8"/>
    <w:rsid w:val="00B6341B"/>
    <w:rsid w:val="00B63CB2"/>
    <w:rsid w:val="00B74072"/>
    <w:rsid w:val="00B851DC"/>
    <w:rsid w:val="00BB2C01"/>
    <w:rsid w:val="00BC1B41"/>
    <w:rsid w:val="00BD0D6C"/>
    <w:rsid w:val="00BD1EF0"/>
    <w:rsid w:val="00BD367E"/>
    <w:rsid w:val="00BD422F"/>
    <w:rsid w:val="00BD78FE"/>
    <w:rsid w:val="00BE0EDB"/>
    <w:rsid w:val="00BF1906"/>
    <w:rsid w:val="00BF46F6"/>
    <w:rsid w:val="00BF624E"/>
    <w:rsid w:val="00C03DC6"/>
    <w:rsid w:val="00C07C55"/>
    <w:rsid w:val="00C17D54"/>
    <w:rsid w:val="00C22B69"/>
    <w:rsid w:val="00C343AD"/>
    <w:rsid w:val="00C3521A"/>
    <w:rsid w:val="00C35F7C"/>
    <w:rsid w:val="00C371A6"/>
    <w:rsid w:val="00C41D21"/>
    <w:rsid w:val="00C5124A"/>
    <w:rsid w:val="00C5128E"/>
    <w:rsid w:val="00C523AA"/>
    <w:rsid w:val="00C67FE4"/>
    <w:rsid w:val="00C7160E"/>
    <w:rsid w:val="00C8494B"/>
    <w:rsid w:val="00C875F7"/>
    <w:rsid w:val="00C914CD"/>
    <w:rsid w:val="00C93A8A"/>
    <w:rsid w:val="00C968EC"/>
    <w:rsid w:val="00C96A34"/>
    <w:rsid w:val="00CA3F2F"/>
    <w:rsid w:val="00CA6816"/>
    <w:rsid w:val="00CA7FEF"/>
    <w:rsid w:val="00CC00CD"/>
    <w:rsid w:val="00CC1FBB"/>
    <w:rsid w:val="00CC7FF4"/>
    <w:rsid w:val="00CD3ACB"/>
    <w:rsid w:val="00CD5C88"/>
    <w:rsid w:val="00CE14B9"/>
    <w:rsid w:val="00CE1F6E"/>
    <w:rsid w:val="00CE352A"/>
    <w:rsid w:val="00CE675D"/>
    <w:rsid w:val="00CF10C1"/>
    <w:rsid w:val="00CF2489"/>
    <w:rsid w:val="00CF2BDE"/>
    <w:rsid w:val="00CF2E86"/>
    <w:rsid w:val="00CF415E"/>
    <w:rsid w:val="00CF41E1"/>
    <w:rsid w:val="00D0429D"/>
    <w:rsid w:val="00D07B07"/>
    <w:rsid w:val="00D10740"/>
    <w:rsid w:val="00D10E69"/>
    <w:rsid w:val="00D117C5"/>
    <w:rsid w:val="00D143FE"/>
    <w:rsid w:val="00D1627F"/>
    <w:rsid w:val="00D16E39"/>
    <w:rsid w:val="00D2531F"/>
    <w:rsid w:val="00D25C34"/>
    <w:rsid w:val="00D309A0"/>
    <w:rsid w:val="00D31956"/>
    <w:rsid w:val="00D41357"/>
    <w:rsid w:val="00D433FD"/>
    <w:rsid w:val="00D44C1E"/>
    <w:rsid w:val="00D51773"/>
    <w:rsid w:val="00D52F10"/>
    <w:rsid w:val="00D72E9D"/>
    <w:rsid w:val="00D73D97"/>
    <w:rsid w:val="00D74CDA"/>
    <w:rsid w:val="00D74EA4"/>
    <w:rsid w:val="00D76F4F"/>
    <w:rsid w:val="00D77683"/>
    <w:rsid w:val="00D802C1"/>
    <w:rsid w:val="00D81907"/>
    <w:rsid w:val="00D82CE5"/>
    <w:rsid w:val="00D92575"/>
    <w:rsid w:val="00DA5AB1"/>
    <w:rsid w:val="00DB36AB"/>
    <w:rsid w:val="00DC5121"/>
    <w:rsid w:val="00DC62E5"/>
    <w:rsid w:val="00DD07F7"/>
    <w:rsid w:val="00DD20BA"/>
    <w:rsid w:val="00DD38D8"/>
    <w:rsid w:val="00DD735D"/>
    <w:rsid w:val="00DE1060"/>
    <w:rsid w:val="00DE3119"/>
    <w:rsid w:val="00DF02DC"/>
    <w:rsid w:val="00DF236B"/>
    <w:rsid w:val="00DF248A"/>
    <w:rsid w:val="00DF2D13"/>
    <w:rsid w:val="00E12977"/>
    <w:rsid w:val="00E13AB8"/>
    <w:rsid w:val="00E263C3"/>
    <w:rsid w:val="00E27C85"/>
    <w:rsid w:val="00E318E0"/>
    <w:rsid w:val="00E33B62"/>
    <w:rsid w:val="00E357DC"/>
    <w:rsid w:val="00E429C9"/>
    <w:rsid w:val="00E44E00"/>
    <w:rsid w:val="00E461F1"/>
    <w:rsid w:val="00E53964"/>
    <w:rsid w:val="00E57323"/>
    <w:rsid w:val="00E57B05"/>
    <w:rsid w:val="00E602F2"/>
    <w:rsid w:val="00E63AED"/>
    <w:rsid w:val="00E658C9"/>
    <w:rsid w:val="00E65F49"/>
    <w:rsid w:val="00E6610F"/>
    <w:rsid w:val="00E7138C"/>
    <w:rsid w:val="00E7595D"/>
    <w:rsid w:val="00E80C82"/>
    <w:rsid w:val="00EA4E7D"/>
    <w:rsid w:val="00EA76D7"/>
    <w:rsid w:val="00EB1A8A"/>
    <w:rsid w:val="00EB5347"/>
    <w:rsid w:val="00ED305A"/>
    <w:rsid w:val="00ED718F"/>
    <w:rsid w:val="00ED7FE6"/>
    <w:rsid w:val="00F05293"/>
    <w:rsid w:val="00F070FE"/>
    <w:rsid w:val="00F13A3B"/>
    <w:rsid w:val="00F22044"/>
    <w:rsid w:val="00F3057D"/>
    <w:rsid w:val="00F36A58"/>
    <w:rsid w:val="00F40004"/>
    <w:rsid w:val="00F4285A"/>
    <w:rsid w:val="00F444A4"/>
    <w:rsid w:val="00F45FE4"/>
    <w:rsid w:val="00F4706A"/>
    <w:rsid w:val="00F57426"/>
    <w:rsid w:val="00F617C8"/>
    <w:rsid w:val="00F64252"/>
    <w:rsid w:val="00F70C89"/>
    <w:rsid w:val="00F74D1D"/>
    <w:rsid w:val="00F75297"/>
    <w:rsid w:val="00F80272"/>
    <w:rsid w:val="00F83681"/>
    <w:rsid w:val="00F8436F"/>
    <w:rsid w:val="00F84899"/>
    <w:rsid w:val="00F859F0"/>
    <w:rsid w:val="00F9050C"/>
    <w:rsid w:val="00F913B5"/>
    <w:rsid w:val="00F96760"/>
    <w:rsid w:val="00F974BA"/>
    <w:rsid w:val="00FA4D0C"/>
    <w:rsid w:val="00FA7208"/>
    <w:rsid w:val="00FA7689"/>
    <w:rsid w:val="00FA7D4C"/>
    <w:rsid w:val="00FB289E"/>
    <w:rsid w:val="00FB4058"/>
    <w:rsid w:val="00FB46F8"/>
    <w:rsid w:val="00FC180A"/>
    <w:rsid w:val="00FD4DE7"/>
    <w:rsid w:val="00FD6A06"/>
    <w:rsid w:val="00FE141E"/>
    <w:rsid w:val="00FE6C03"/>
    <w:rsid w:val="00FF4936"/>
    <w:rsid w:val="00FF4BB8"/>
    <w:rsid w:val="00FF51FE"/>
    <w:rsid w:val="00FF6BBB"/>
    <w:rsid w:val="00FF767D"/>
    <w:rsid w:val="1126E876"/>
    <w:rsid w:val="27CBFCDF"/>
    <w:rsid w:val="2FDB9056"/>
    <w:rsid w:val="37958612"/>
    <w:rsid w:val="38839815"/>
    <w:rsid w:val="39D2D54E"/>
    <w:rsid w:val="3B6D47B7"/>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styleId="baj" w:customStyle="1">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styleId="Mencinsinresolver1" w:customStyle="1">
    <w:name w:val="Mención sin resolver1"/>
    <w:basedOn w:val="Fuentedeprrafopredeter"/>
    <w:uiPriority w:val="99"/>
    <w:semiHidden/>
    <w:unhideWhenUsed/>
    <w:rsid w:val="00654AA6"/>
    <w:rPr>
      <w:color w:val="605E5C"/>
      <w:shd w:val="clear" w:color="auto" w:fill="E1DFDD"/>
    </w:rPr>
  </w:style>
  <w:style w:type="paragraph" w:styleId="Default" w:customStyle="1">
    <w:name w:val="Default"/>
    <w:rsid w:val="00AE3C7C"/>
    <w:pPr>
      <w:autoSpaceDE w:val="0"/>
      <w:autoSpaceDN w:val="0"/>
      <w:adjustRightInd w:val="0"/>
      <w:spacing w:after="0" w:line="240" w:lineRule="auto"/>
    </w:pPr>
    <w:rPr>
      <w:rFonts w:ascii="Arial" w:hAnsi="Arial" w:cs="Arial"/>
      <w:color w:val="000000"/>
      <w:sz w:val="24"/>
      <w:szCs w:val="24"/>
    </w:rPr>
  </w:style>
  <w:style w:type="paragraph" w:styleId="Appelnotedebasde" w:customStyle="1">
    <w:name w:val="Appel note de bas de..."/>
    <w:basedOn w:val="Normal"/>
    <w:link w:val="Refdenotaalpie"/>
    <w:uiPriority w:val="99"/>
    <w:rsid w:val="003159B5"/>
    <w:pPr>
      <w:spacing w:after="160" w:line="240" w:lineRule="exact"/>
    </w:pPr>
    <w:rPr>
      <w:sz w:val="22"/>
      <w:vertAlign w:val="superscript"/>
      <w:lang w:val="es-CO"/>
    </w:rPr>
  </w:style>
  <w:style w:type="character" w:styleId="NormalWebCar" w:customStyle="1">
    <w:name w:val="Normal (Web) Car"/>
    <w:link w:val="NormalWeb"/>
    <w:uiPriority w:val="99"/>
    <w:rsid w:val="003159B5"/>
    <w:rPr>
      <w:rFonts w:ascii="Times New Roman" w:hAnsi="Times New Roman" w:eastAsia="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hAnsi="Arial" w:eastAsia="Arial" w:cs="Arial"/>
      <w:sz w:val="20"/>
      <w:szCs w:val="20"/>
      <w:lang w:val="es-ES" w:eastAsia="es-ES" w:bidi="es-ES"/>
    </w:rPr>
  </w:style>
  <w:style w:type="character" w:styleId="TextoindependienteCar" w:customStyle="1">
    <w:name w:val="Texto independiente Car"/>
    <w:basedOn w:val="Fuentedeprrafopredeter"/>
    <w:link w:val="Textoindependiente"/>
    <w:uiPriority w:val="1"/>
    <w:rsid w:val="00541DD0"/>
    <w:rPr>
      <w:rFonts w:ascii="Arial" w:hAnsi="Arial" w:eastAsia="Arial" w:cs="Arial"/>
      <w:sz w:val="20"/>
      <w:szCs w:val="20"/>
      <w:lang w:val="es-ES" w:eastAsia="es-ES" w:bidi="es-ES"/>
    </w:rPr>
  </w:style>
  <w:style w:type="paragraph" w:styleId="Normal11pt" w:customStyle="1">
    <w:name w:val="Normal + 11 pt"/>
    <w:aliases w:val="Negro,Justificado,Izquierda:  -0,95 cm,Derecha:  0,04 cm"/>
    <w:basedOn w:val="Normal"/>
    <w:uiPriority w:val="99"/>
    <w:rsid w:val="00DD38D8"/>
    <w:pPr>
      <w:ind w:left="-540"/>
      <w:jc w:val="both"/>
    </w:pPr>
    <w:rPr>
      <w:rFonts w:ascii="Arial" w:hAnsi="Arial" w:eastAsia="Times New Roman" w:cs="Arial"/>
      <w:color w:val="000000"/>
      <w:sz w:val="22"/>
      <w:lang w:val="es-ES_tradnl" w:eastAsia="es-ES"/>
    </w:rPr>
  </w:style>
  <w:style w:type="character" w:styleId="Ttulo1Car" w:customStyle="1">
    <w:name w:val="Título 1 Car"/>
    <w:basedOn w:val="Fuentedeprrafopredeter"/>
    <w:link w:val="Ttulo1"/>
    <w:uiPriority w:val="9"/>
    <w:rsid w:val="00361BB8"/>
    <w:rPr>
      <w:rFonts w:ascii="Arial" w:hAnsi="Arial" w:eastAsia="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13D411A-599C-46D2-A8D6-12C2A77ACD7E}"/>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7AE131D-6D74-4831-AE11-C59CA3254F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dc:description/>
  <lastModifiedBy>Nasly Yeana Mosquera Rivas</lastModifiedBy>
  <revision>6</revision>
  <dcterms:created xsi:type="dcterms:W3CDTF">2021-06-03T17:48:00.0000000Z</dcterms:created>
  <dcterms:modified xsi:type="dcterms:W3CDTF">2021-07-30T19:10:51.7322425Z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