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4602D" w:rsidR="00D44C1E" w:rsidP="2A857201" w:rsidRDefault="00214878" w14:paraId="5A31D16A" w14:textId="1232A7E9">
      <w:pPr>
        <w:ind w:firstLine="0"/>
        <w:jc w:val="right"/>
        <w:rPr>
          <w:rFonts w:ascii="Arial" w:hAnsi="Arial" w:cs="Arial"/>
          <w:b w:val="1"/>
          <w:bCs w:val="1"/>
          <w:sz w:val="16"/>
          <w:szCs w:val="16"/>
          <w:lang w:eastAsia="es-ES"/>
        </w:rPr>
      </w:pPr>
      <w:bookmarkStart w:name="_Hlk28946138" w:id="0"/>
      <w:bookmarkStart w:name="_Hlk29548183" w:id="1"/>
      <w:bookmarkStart w:name="_Hlk31875101" w:id="2"/>
      <w:bookmarkStart w:name="_Hlk29890381" w:id="3"/>
      <w:r w:rsidRPr="2A857201" w:rsidR="001D5178">
        <w:rPr>
          <w:rFonts w:ascii="Arial" w:hAnsi="Arial" w:cs="Arial"/>
          <w:b w:val="1"/>
          <w:bCs w:val="1"/>
          <w:sz w:val="16"/>
          <w:szCs w:val="16"/>
          <w:lang w:eastAsia="es-ES"/>
        </w:rPr>
        <w:t xml:space="preserve">                                                                                                                                                                                                                                                                                 </w:t>
      </w:r>
      <w:r w:rsidRPr="2A857201" w:rsidR="00214878">
        <w:rPr>
          <w:rFonts w:ascii="Arial" w:hAnsi="Arial" w:cs="Arial"/>
          <w:b w:val="1"/>
          <w:bCs w:val="1"/>
          <w:sz w:val="16"/>
          <w:szCs w:val="16"/>
          <w:lang w:eastAsia="es-ES"/>
        </w:rPr>
        <w:t>CCE-DES-FM-17</w:t>
      </w:r>
      <w:bookmarkEnd w:id="0"/>
      <w:bookmarkEnd w:id="1"/>
    </w:p>
    <w:p w:rsidR="00521AA0" w:rsidP="2A857201" w:rsidRDefault="00521AA0" w14:paraId="3270CE28" w14:textId="2E900CB8">
      <w:pPr>
        <w:pStyle w:val="Normal"/>
        <w:spacing w:after="120"/>
        <w:jc w:val="both"/>
        <w:rPr>
          <w:rFonts w:ascii="Arial" w:hAnsi="Arial" w:eastAsia="Calibri" w:cs="Arial"/>
          <w:b w:val="1"/>
          <w:bCs w:val="1"/>
          <w:sz w:val="24"/>
          <w:szCs w:val="24"/>
        </w:rPr>
      </w:pPr>
    </w:p>
    <w:p w:rsidR="1F0E568D" w:rsidP="7F1C7AE0" w:rsidRDefault="1F0E568D" w14:paraId="52AB43F5" w14:textId="6026FCD6">
      <w:pPr>
        <w:spacing w:line="276" w:lineRule="auto"/>
        <w:jc w:val="both"/>
      </w:pPr>
      <w:r w:rsidRPr="7F1C7AE0" w:rsidR="1F0E568D">
        <w:rPr>
          <w:rFonts w:ascii="Arial" w:hAnsi="Arial" w:eastAsia="Arial" w:cs="Arial"/>
          <w:b w:val="1"/>
          <w:bCs w:val="1"/>
          <w:noProof w:val="0"/>
          <w:sz w:val="22"/>
          <w:szCs w:val="22"/>
          <w:lang w:val="es-MX"/>
        </w:rPr>
        <w:t>DOCUMENTOS TIPO –</w:t>
      </w:r>
      <w:r w:rsidRPr="7F1C7AE0" w:rsidR="1F0E568D">
        <w:rPr>
          <w:rFonts w:ascii="Arial" w:hAnsi="Arial" w:eastAsia="Arial" w:cs="Arial"/>
          <w:b w:val="1"/>
          <w:bCs w:val="1"/>
          <w:noProof w:val="0"/>
          <w:color w:val="000000" w:themeColor="text1" w:themeTint="FF" w:themeShade="FF"/>
          <w:sz w:val="22"/>
          <w:szCs w:val="22"/>
          <w:lang w:val="es-MX"/>
        </w:rPr>
        <w:t xml:space="preserve"> Obra de infraestructura – Agua potable – Saneamiento básico</w:t>
      </w:r>
    </w:p>
    <w:p w:rsidR="1F0E568D" w:rsidP="7F1C7AE0" w:rsidRDefault="1F0E568D" w14:paraId="3E852C87" w14:textId="7B45DB33">
      <w:pPr>
        <w:spacing w:line="276" w:lineRule="auto"/>
        <w:jc w:val="both"/>
      </w:pPr>
      <w:r w:rsidRPr="7F1C7AE0" w:rsidR="1F0E568D">
        <w:rPr>
          <w:rFonts w:ascii="Arial" w:hAnsi="Arial" w:eastAsia="Arial" w:cs="Arial"/>
          <w:b w:val="1"/>
          <w:bCs w:val="1"/>
          <w:noProof w:val="0"/>
          <w:color w:val="000000" w:themeColor="text1" w:themeTint="FF" w:themeShade="FF"/>
          <w:sz w:val="22"/>
          <w:szCs w:val="22"/>
          <w:lang w:val="es-MX"/>
        </w:rPr>
        <w:t xml:space="preserve"> </w:t>
      </w:r>
    </w:p>
    <w:p w:rsidR="1F0E568D" w:rsidP="7F1C7AE0" w:rsidRDefault="1F0E568D" w14:paraId="4FB522AD" w14:textId="5FA4C2F5">
      <w:pPr>
        <w:jc w:val="both"/>
      </w:pPr>
      <w:r w:rsidRPr="2A857201" w:rsidR="1F0E568D">
        <w:rPr>
          <w:rFonts w:ascii="Arial" w:hAnsi="Arial" w:eastAsia="Arial" w:cs="Arial"/>
          <w:noProof w:val="0"/>
          <w:color w:val="000000" w:themeColor="text1" w:themeTint="FF" w:themeShade="FF"/>
          <w:sz w:val="20"/>
          <w:szCs w:val="20"/>
          <w:lang w:val="es"/>
        </w:rPr>
        <w:t xml:space="preserve">[…] en desarrollo de la Ley 2022 de 2020, la Agencia Nacional de Contratación Pública expidió las Resoluciones No.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Conforme al artículo 6 </w:t>
      </w:r>
      <w:proofErr w:type="spellStart"/>
      <w:r w:rsidRPr="2A857201" w:rsidR="1F0E568D">
        <w:rPr>
          <w:rFonts w:ascii="Arial" w:hAnsi="Arial" w:eastAsia="Arial" w:cs="Arial"/>
          <w:noProof w:val="0"/>
          <w:color w:val="000000" w:themeColor="text1" w:themeTint="FF" w:themeShade="FF"/>
          <w:sz w:val="20"/>
          <w:szCs w:val="20"/>
          <w:lang w:val="es"/>
        </w:rPr>
        <w:t>ibídem</w:t>
      </w:r>
      <w:proofErr w:type="spellEnd"/>
      <w:r w:rsidRPr="2A857201" w:rsidR="1F0E568D">
        <w:rPr>
          <w:rFonts w:ascii="Arial" w:hAnsi="Arial" w:eastAsia="Arial" w:cs="Arial"/>
          <w:noProof w:val="0"/>
          <w:color w:val="000000" w:themeColor="text1" w:themeTint="FF" w:themeShade="FF"/>
          <w:sz w:val="20"/>
          <w:szCs w:val="20"/>
          <w:lang w:val="es"/>
        </w:rPr>
        <w:t>, la implementación de estos documentos es obligatoria en los procedimientos de selección de licitación pública cuyo aviso de convocatoria se publique a partir del 11 de diciembre de 2020.</w:t>
      </w:r>
    </w:p>
    <w:p w:rsidR="1F0E568D" w:rsidP="7F1C7AE0" w:rsidRDefault="1F0E568D" w14:paraId="63E5FA5F" w14:textId="178C03DD">
      <w:pPr>
        <w:jc w:val="both"/>
      </w:pPr>
      <w:r w:rsidRPr="7F1C7AE0" w:rsidR="1F0E568D">
        <w:rPr>
          <w:rFonts w:ascii="Arial" w:hAnsi="Arial" w:eastAsia="Arial" w:cs="Arial"/>
          <w:noProof w:val="0"/>
          <w:color w:val="000000" w:themeColor="text1" w:themeTint="FF" w:themeShade="FF"/>
          <w:sz w:val="20"/>
          <w:szCs w:val="20"/>
          <w:lang w:val="es"/>
        </w:rPr>
        <w:t>En relación con los documentos tipo propiamente dichos, el artículo 2 de las resoluciones señaladas, contempló el documento base con los correspondientes anexos, formatos, matrices y formularios para los procesos que se realicen por la modalidad de licitación pública. Según esta norma, los documentos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p>
    <w:p w:rsidR="1F0E568D" w:rsidP="7F1C7AE0" w:rsidRDefault="1F0E568D" w14:paraId="64320DF0" w14:textId="2CEDC377">
      <w:pPr>
        <w:jc w:val="both"/>
      </w:pPr>
      <w:r w:rsidRPr="7F1C7AE0" w:rsidR="1F0E568D">
        <w:rPr>
          <w:rFonts w:ascii="Arial" w:hAnsi="Arial" w:eastAsia="Arial" w:cs="Arial"/>
          <w:noProof w:val="0"/>
          <w:color w:val="000000" w:themeColor="text1" w:themeTint="FF" w:themeShade="FF"/>
          <w:sz w:val="20"/>
          <w:szCs w:val="20"/>
          <w:lang w:val="es"/>
        </w:rPr>
        <w:t xml:space="preserve"> </w:t>
      </w:r>
    </w:p>
    <w:p w:rsidR="1F0E568D" w:rsidP="7F1C7AE0" w:rsidRDefault="1F0E568D" w14:paraId="03C4EBCE" w14:textId="0225CB3E">
      <w:pPr>
        <w:jc w:val="both"/>
      </w:pPr>
      <w:r w:rsidRPr="7F1C7AE0" w:rsidR="1F0E568D">
        <w:rPr>
          <w:rFonts w:ascii="Arial" w:hAnsi="Arial" w:eastAsia="Arial" w:cs="Arial"/>
          <w:b w:val="1"/>
          <w:bCs w:val="1"/>
          <w:noProof w:val="0"/>
          <w:sz w:val="22"/>
          <w:szCs w:val="22"/>
          <w:lang w:val="es-MX"/>
        </w:rPr>
        <w:t>DOCUMENTOS TIPO – Aplicación de la «matriz 1 - experiencia» - Proyectos de agua potable y saneamiento básico</w:t>
      </w:r>
      <w:r w:rsidRPr="7F1C7AE0" w:rsidR="1F0E568D">
        <w:rPr>
          <w:rFonts w:ascii="Arial" w:hAnsi="Arial" w:eastAsia="Arial" w:cs="Arial"/>
          <w:b w:val="1"/>
          <w:bCs w:val="1"/>
          <w:noProof w:val="0"/>
          <w:color w:val="000000" w:themeColor="text1" w:themeTint="FF" w:themeShade="FF"/>
          <w:sz w:val="22"/>
          <w:szCs w:val="22"/>
          <w:lang w:val="es-MX"/>
        </w:rPr>
        <w:t xml:space="preserve"> </w:t>
      </w:r>
    </w:p>
    <w:p w:rsidR="1F0E568D" w:rsidP="7F1C7AE0" w:rsidRDefault="1F0E568D" w14:paraId="596244D8" w14:textId="5F785805">
      <w:pPr>
        <w:jc w:val="both"/>
      </w:pPr>
      <w:r w:rsidRPr="7F1C7AE0" w:rsidR="1F0E568D">
        <w:rPr>
          <w:rFonts w:ascii="Arial" w:hAnsi="Arial" w:eastAsia="Arial" w:cs="Arial"/>
          <w:b w:val="1"/>
          <w:bCs w:val="1"/>
          <w:noProof w:val="0"/>
          <w:color w:val="000000" w:themeColor="text1" w:themeTint="FF" w:themeShade="FF"/>
          <w:sz w:val="22"/>
          <w:szCs w:val="22"/>
          <w:lang w:val="es-MX"/>
        </w:rPr>
        <w:t xml:space="preserve"> </w:t>
      </w:r>
    </w:p>
    <w:p w:rsidR="1F0E568D" w:rsidP="7F1C7AE0" w:rsidRDefault="1F0E568D" w14:paraId="580E3570" w14:textId="7BF91478">
      <w:pPr>
        <w:jc w:val="both"/>
      </w:pPr>
      <w:r w:rsidRPr="7F1C7AE0" w:rsidR="1F0E568D">
        <w:rPr>
          <w:rFonts w:ascii="Arial" w:hAnsi="Arial" w:eastAsia="Arial" w:cs="Arial"/>
          <w:noProof w:val="0"/>
          <w:color w:val="000000" w:themeColor="text1" w:themeTint="FF" w:themeShade="FF"/>
          <w:sz w:val="20"/>
          <w:szCs w:val="20"/>
          <w:lang w:val="es"/>
        </w:rPr>
        <w:t xml:space="preserve">[…], para determinar el ámbito de aplicación de los documentos tipo de infraestructura para agua potable y saneamiento básico debe acudirse a la «Matriz 1 – Experiencia». Esta matriz contempla cinco (5) clases de obras de infraestructura,  identificadas con un número y su descripción que corresponden a i) obras de acueductos y/o alcantarillados, ii) obras de aseo y/o manejo de residuos, iii) obras para PTAP –planta de tratamiento de agua potable– y/o PTAR –planta de tratamiento de aguas residuales–, iv) estudios y diseños –en el caso de proyectos que requieran labores de estudios, diseños y construcción bajo la modalidad de llave en mano– y v) unidades sanitarias para vivienda rural dispersa. </w:t>
      </w:r>
    </w:p>
    <w:p w:rsidR="1F0E568D" w:rsidP="7F1C7AE0" w:rsidRDefault="1F0E568D" w14:paraId="461BC231" w14:textId="244E4CF1">
      <w:pPr>
        <w:jc w:val="both"/>
      </w:pPr>
      <w:r w:rsidRPr="7F1C7AE0" w:rsidR="1F0E568D">
        <w:rPr>
          <w:rFonts w:ascii="Arial" w:hAnsi="Arial" w:eastAsia="Arial" w:cs="Arial"/>
          <w:noProof w:val="0"/>
          <w:color w:val="000000" w:themeColor="text1" w:themeTint="FF" w:themeShade="FF"/>
          <w:sz w:val="20"/>
          <w:szCs w:val="20"/>
          <w:lang w:val="es"/>
        </w:rPr>
        <w:t>En relación con cada tipo de infraestructura se encuentran los siguientes componentes: i) cuantías del proceso de contratación, que contiene los rangos dentro de los cuales se debe identificar el presupuesto del proceso de contratación y sirve de referencia para definir la experiencia exigible y  ii) actividad a contratar, donde la entidad estatal debe identificar en cuál de las actividades a contratar se ubica el objeto contractual, y conforme a ellas exigir la experiencia definida en la «Matriz 1 – Experiencia».</w:t>
      </w:r>
    </w:p>
    <w:p w:rsidR="1F0E568D" w:rsidP="7F1C7AE0" w:rsidRDefault="1F0E568D" w14:paraId="3985125B" w14:textId="595BCFE3">
      <w:pPr>
        <w:jc w:val="both"/>
      </w:pPr>
      <w:r w:rsidRPr="7F1C7AE0" w:rsidR="1F0E568D">
        <w:rPr>
          <w:rFonts w:ascii="Arial" w:hAnsi="Arial" w:eastAsia="Arial" w:cs="Arial"/>
          <w:noProof w:val="0"/>
          <w:sz w:val="22"/>
          <w:szCs w:val="22"/>
          <w:lang w:val="es-MX"/>
        </w:rPr>
        <w:t xml:space="preserve"> </w:t>
      </w:r>
    </w:p>
    <w:p w:rsidR="1F0E568D" w:rsidP="7F1C7AE0" w:rsidRDefault="1F0E568D" w14:paraId="5FCB5359" w14:textId="3E997FF4">
      <w:pPr>
        <w:jc w:val="both"/>
      </w:pPr>
      <w:r w:rsidRPr="7F1C7AE0" w:rsidR="1F0E568D">
        <w:rPr>
          <w:rFonts w:ascii="Arial" w:hAnsi="Arial" w:eastAsia="Arial" w:cs="Arial"/>
          <w:b w:val="1"/>
          <w:bCs w:val="1"/>
          <w:noProof w:val="0"/>
          <w:sz w:val="22"/>
          <w:szCs w:val="22"/>
          <w:lang w:val="es-MX"/>
        </w:rPr>
        <w:t>DOCUMENTOS TIPO – «Matriz 1 - experiencia» – Proyectos de agua potable y saneamiento básico – Acreditación de la experiencia</w:t>
      </w:r>
    </w:p>
    <w:p w:rsidR="1F0E568D" w:rsidP="7F1C7AE0" w:rsidRDefault="1F0E568D" w14:paraId="37BFBDFE" w14:textId="0FF410D6">
      <w:pPr>
        <w:jc w:val="both"/>
      </w:pPr>
      <w:r w:rsidRPr="7F1C7AE0" w:rsidR="1F0E568D">
        <w:rPr>
          <w:rFonts w:ascii="Arial" w:hAnsi="Arial" w:eastAsia="Arial" w:cs="Arial"/>
          <w:noProof w:val="0"/>
          <w:sz w:val="22"/>
          <w:szCs w:val="22"/>
          <w:lang w:val="es-MX"/>
        </w:rPr>
        <w:t xml:space="preserve"> </w:t>
      </w:r>
    </w:p>
    <w:p w:rsidR="1F0E568D" w:rsidP="7F1C7AE0" w:rsidRDefault="1F0E568D" w14:paraId="62FE3EC6" w14:textId="27773B7B">
      <w:pPr>
        <w:jc w:val="both"/>
      </w:pPr>
      <w:r w:rsidRPr="7F1C7AE0" w:rsidR="1F0E568D">
        <w:rPr>
          <w:rFonts w:ascii="Arial" w:hAnsi="Arial" w:eastAsia="Arial" w:cs="Arial"/>
          <w:noProof w:val="0"/>
          <w:color w:val="000000" w:themeColor="text1" w:themeTint="FF" w:themeShade="FF"/>
          <w:sz w:val="20"/>
          <w:szCs w:val="20"/>
          <w:lang w:val="es"/>
        </w:rPr>
        <w:t>Respecto al objeto de la consulta, se observa que las obras públicas relacionadas con «baterías sanitarias en instituciones educativas» no hacen parte de las actividades contractuales de la matriz de experiencia. Si bien el objeto puede involucrar ítems de obra pública en los términos del artículo 32.1 de la Ley 80 de 1993, no se confunde con el del numeral 5 de la «Matriz 1 – Experiencia» de los documentos tipo adoptados mediante las Resoluciones Nos. 248 y 249 de 2020, referido a los contratos de obra relacionados con «unidades sanitarias para vivienda rural dispersa».</w:t>
      </w:r>
    </w:p>
    <w:p w:rsidR="1F0E568D" w:rsidP="7F1C7AE0" w:rsidRDefault="1F0E568D" w14:paraId="2A0D0B6A" w14:textId="74E0CC5D">
      <w:pPr>
        <w:jc w:val="both"/>
      </w:pPr>
      <w:r w:rsidRPr="7F1C7AE0" w:rsidR="1F0E568D">
        <w:rPr>
          <w:rFonts w:ascii="Arial" w:hAnsi="Arial" w:eastAsia="Arial" w:cs="Arial"/>
          <w:noProof w:val="0"/>
          <w:color w:val="000000" w:themeColor="text1" w:themeTint="FF" w:themeShade="FF"/>
          <w:sz w:val="20"/>
          <w:szCs w:val="20"/>
          <w:lang w:val="es"/>
        </w:rPr>
        <w:t xml:space="preserve">Aunque la experiencia general de la actividad 5.1 puede acreditarse con «proyectos que hayan contemplado actividades de: construcción y/o instalación de redes hidrosanitarias o baterías sanitarias o unidades sanitarias», esto no implica que la actividad objeto de consulta esté dentro la matriz. En efecto, si bien esta permite probar la experiencia general con contratos ejecutados en instituciones educativas, carcelarias, hospitalarias, etc., es necesario tener en cuenta que su acreditación es para «proyectos de construcción de unidades sanitarias para vivienda rural dispersa». Por ello, los contratos válidos para certificar la experiencia no amplían o restringen el alcance de la «actividad a contratar».  </w:t>
      </w:r>
    </w:p>
    <w:p w:rsidR="7F1C7AE0" w:rsidP="7F1C7AE0" w:rsidRDefault="7F1C7AE0" w14:paraId="58ACBC1B" w14:textId="5B3D7721">
      <w:pPr>
        <w:jc w:val="both"/>
        <w:rPr>
          <w:rFonts w:ascii="Arial" w:hAnsi="Arial" w:eastAsia="Arial" w:cs="Arial"/>
          <w:noProof w:val="0"/>
          <w:sz w:val="22"/>
          <w:szCs w:val="22"/>
          <w:lang w:val="es-MX"/>
        </w:rPr>
      </w:pPr>
    </w:p>
    <w:p w:rsidR="7F1C7AE0" w:rsidP="7F1C7AE0" w:rsidRDefault="7F1C7AE0" w14:paraId="46C8CA3F" w14:textId="47C51326">
      <w:pPr>
        <w:pStyle w:val="Normal"/>
        <w:spacing w:after="120"/>
        <w:jc w:val="both"/>
        <w:rPr>
          <w:rFonts w:ascii="Arial" w:hAnsi="Arial" w:eastAsia="Calibri" w:cs="Arial"/>
          <w:color w:val="000000" w:themeColor="text1" w:themeTint="FF" w:themeShade="FF"/>
          <w:sz w:val="24"/>
          <w:szCs w:val="24"/>
          <w:lang w:val="es-ES"/>
        </w:rPr>
      </w:pPr>
    </w:p>
    <w:p w:rsidR="00361BB8" w:rsidP="003D7759" w:rsidRDefault="00361BB8" w14:paraId="6E9637C1" w14:textId="1561C91D">
      <w:pPr>
        <w:rPr>
          <w:rFonts w:ascii="Arial" w:hAnsi="Arial" w:eastAsia="Calibri" w:cs="Arial"/>
          <w:sz w:val="22"/>
        </w:rPr>
      </w:pPr>
    </w:p>
    <w:p w:rsidR="00361BB8" w:rsidP="003D7759" w:rsidRDefault="00361BB8" w14:paraId="636D1B20" w14:textId="00FF57DD">
      <w:pPr>
        <w:rPr>
          <w:rFonts w:ascii="Arial" w:hAnsi="Arial" w:eastAsia="Calibri" w:cs="Arial"/>
          <w:sz w:val="22"/>
        </w:rPr>
      </w:pPr>
    </w:p>
    <w:p w:rsidR="00361BB8" w:rsidP="003D7759" w:rsidRDefault="00361BB8" w14:paraId="5EDA69C3" w14:textId="00D5DCA1">
      <w:pPr>
        <w:rPr>
          <w:rFonts w:ascii="Arial" w:hAnsi="Arial" w:eastAsia="Calibri" w:cs="Arial"/>
          <w:sz w:val="22"/>
        </w:rPr>
      </w:pPr>
    </w:p>
    <w:p w:rsidR="00361BB8" w:rsidP="003D7759" w:rsidRDefault="00361BB8" w14:paraId="277DCC8E" w14:textId="18C647FF">
      <w:pPr>
        <w:rPr>
          <w:rFonts w:ascii="Arial" w:hAnsi="Arial" w:eastAsia="Calibri" w:cs="Arial"/>
          <w:sz w:val="22"/>
        </w:rPr>
      </w:pPr>
    </w:p>
    <w:p w:rsidR="006A0CA9" w:rsidP="003D7759" w:rsidRDefault="006A0CA9" w14:paraId="09C4C66D" w14:textId="27D03901">
      <w:pPr>
        <w:rPr>
          <w:rFonts w:ascii="Arial" w:hAnsi="Arial" w:eastAsia="Calibri" w:cs="Arial"/>
          <w:sz w:val="22"/>
        </w:rPr>
      </w:pPr>
    </w:p>
    <w:p w:rsidR="006A0CA9" w:rsidP="003D7759" w:rsidRDefault="006A0CA9" w14:paraId="7A27AF34" w14:textId="7B534A77">
      <w:pPr>
        <w:rPr>
          <w:rFonts w:ascii="Arial" w:hAnsi="Arial" w:eastAsia="Calibri" w:cs="Arial"/>
          <w:sz w:val="22"/>
        </w:rPr>
      </w:pPr>
    </w:p>
    <w:p w:rsidR="006A0CA9" w:rsidP="003D7759" w:rsidRDefault="006A0CA9" w14:paraId="455CB2DD" w14:textId="77777777">
      <w:pPr>
        <w:rPr>
          <w:rFonts w:ascii="Arial" w:hAnsi="Arial" w:eastAsia="Calibri" w:cs="Arial"/>
          <w:sz w:val="22"/>
        </w:rPr>
      </w:pPr>
    </w:p>
    <w:p w:rsidR="00361BB8" w:rsidP="003D7759" w:rsidRDefault="00361BB8" w14:paraId="2600FFA1" w14:textId="1CD3552B">
      <w:pPr>
        <w:rPr>
          <w:rFonts w:ascii="Arial" w:hAnsi="Arial" w:eastAsia="Calibri" w:cs="Arial"/>
          <w:sz w:val="22"/>
        </w:rPr>
      </w:pPr>
    </w:p>
    <w:p w:rsidR="00361BB8" w:rsidP="003D7759" w:rsidRDefault="00361BB8" w14:paraId="72771E98" w14:textId="1E7F4F1A">
      <w:pPr>
        <w:rPr>
          <w:rFonts w:ascii="Arial" w:hAnsi="Arial" w:eastAsia="Calibri" w:cs="Arial"/>
          <w:sz w:val="22"/>
        </w:rPr>
      </w:pPr>
    </w:p>
    <w:p w:rsidR="00361BB8" w:rsidP="003D7759" w:rsidRDefault="00361BB8" w14:paraId="150A52D1" w14:textId="44CADFA7">
      <w:pPr>
        <w:rPr>
          <w:rFonts w:ascii="Arial" w:hAnsi="Arial" w:eastAsia="Calibri" w:cs="Arial"/>
          <w:sz w:val="22"/>
        </w:rPr>
      </w:pPr>
    </w:p>
    <w:p w:rsidR="00C60F20" w:rsidP="003D7759" w:rsidRDefault="00C60F20" w14:paraId="6F8FD932" w14:textId="77777777">
      <w:pPr>
        <w:rPr>
          <w:rFonts w:ascii="Arial" w:hAnsi="Arial" w:eastAsia="Calibri" w:cs="Arial"/>
          <w:sz w:val="22"/>
        </w:rPr>
      </w:pPr>
    </w:p>
    <w:p w:rsidR="006A0CA9" w:rsidP="003D7759" w:rsidRDefault="006A0CA9" w14:paraId="2570536A" w14:textId="03C88484">
      <w:pPr>
        <w:rPr>
          <w:rFonts w:ascii="Arial" w:hAnsi="Arial" w:eastAsia="Calibri" w:cs="Arial"/>
          <w:sz w:val="22"/>
        </w:rPr>
      </w:pPr>
    </w:p>
    <w:p w:rsidR="000E202D" w:rsidP="003D7759" w:rsidRDefault="000E202D" w14:paraId="3E906085" w14:textId="77777777">
      <w:pPr>
        <w:rPr>
          <w:rFonts w:ascii="Arial" w:hAnsi="Arial" w:eastAsia="Calibri" w:cs="Arial"/>
          <w:sz w:val="22"/>
        </w:rPr>
      </w:pPr>
    </w:p>
    <w:p w:rsidR="006A0CA9" w:rsidP="003D7759" w:rsidRDefault="006A0CA9" w14:paraId="39ACADFA" w14:textId="77777777">
      <w:pPr>
        <w:rPr>
          <w:rFonts w:ascii="Arial" w:hAnsi="Arial" w:eastAsia="Calibri" w:cs="Arial"/>
          <w:sz w:val="22"/>
        </w:rPr>
      </w:pPr>
    </w:p>
    <w:p w:rsidR="006A0CA9" w:rsidP="003D7759" w:rsidRDefault="006A0CA9" w14:paraId="457ACD8B" w14:textId="557CCF09">
      <w:pPr>
        <w:rPr>
          <w:rFonts w:ascii="Arial" w:hAnsi="Arial" w:eastAsia="Calibri" w:cs="Arial"/>
          <w:sz w:val="22"/>
        </w:rPr>
      </w:pPr>
    </w:p>
    <w:p w:rsidR="00521AA0" w:rsidP="003D7759" w:rsidRDefault="00521AA0" w14:paraId="301F82A8" w14:textId="77777777">
      <w:pPr>
        <w:rPr>
          <w:rFonts w:ascii="Arial" w:hAnsi="Arial" w:eastAsia="Calibri" w:cs="Arial"/>
          <w:sz w:val="22"/>
        </w:rPr>
      </w:pPr>
    </w:p>
    <w:p w:rsidR="006A0CA9" w:rsidP="003D7759" w:rsidRDefault="006A0CA9" w14:paraId="3C664E9D" w14:textId="77777777">
      <w:pPr>
        <w:rPr>
          <w:rFonts w:ascii="Arial" w:hAnsi="Arial" w:eastAsia="Calibri" w:cs="Arial"/>
          <w:sz w:val="22"/>
        </w:rPr>
      </w:pPr>
    </w:p>
    <w:p w:rsidR="004B2E72" w:rsidP="003D7759" w:rsidRDefault="004B2E72" w14:paraId="2EBE95B1" w14:textId="10BE67CE">
      <w:pPr>
        <w:rPr>
          <w:rFonts w:ascii="Arial" w:hAnsi="Arial" w:eastAsia="Calibri" w:cs="Arial"/>
          <w:sz w:val="22"/>
        </w:rPr>
      </w:pPr>
    </w:p>
    <w:p w:rsidR="00074B5B" w:rsidP="003D7759" w:rsidRDefault="00074B5B" w14:paraId="73A11356" w14:textId="61219D5C">
      <w:pPr>
        <w:rPr>
          <w:rFonts w:ascii="Arial" w:hAnsi="Arial" w:eastAsia="Calibri" w:cs="Arial"/>
          <w:sz w:val="22"/>
        </w:rPr>
      </w:pPr>
    </w:p>
    <w:p w:rsidR="00074B5B" w:rsidP="003D7759" w:rsidRDefault="00074B5B" w14:paraId="619EB0D4" w14:textId="731FF1DD">
      <w:pPr>
        <w:rPr>
          <w:rFonts w:ascii="Arial" w:hAnsi="Arial" w:eastAsia="Calibri" w:cs="Arial"/>
          <w:sz w:val="22"/>
        </w:rPr>
      </w:pPr>
    </w:p>
    <w:p w:rsidR="00074B5B" w:rsidP="003D7759" w:rsidRDefault="00074B5B" w14:paraId="2B8E9D67" w14:textId="3196B5BD">
      <w:pPr>
        <w:rPr>
          <w:rFonts w:ascii="Arial" w:hAnsi="Arial" w:eastAsia="Calibri" w:cs="Arial"/>
          <w:sz w:val="22"/>
        </w:rPr>
      </w:pPr>
    </w:p>
    <w:p w:rsidR="00074B5B" w:rsidP="003D7759" w:rsidRDefault="00074B5B" w14:paraId="7DC6F237" w14:textId="56051158">
      <w:pPr>
        <w:rPr>
          <w:rFonts w:ascii="Arial" w:hAnsi="Arial" w:eastAsia="Calibri" w:cs="Arial"/>
          <w:sz w:val="22"/>
        </w:rPr>
      </w:pPr>
    </w:p>
    <w:p w:rsidR="00074B5B" w:rsidP="003D7759" w:rsidRDefault="00074B5B" w14:paraId="1B773A42" w14:textId="35AC3D3C">
      <w:pPr>
        <w:rPr>
          <w:rFonts w:ascii="Arial" w:hAnsi="Arial" w:eastAsia="Calibri" w:cs="Arial"/>
          <w:sz w:val="22"/>
        </w:rPr>
      </w:pPr>
    </w:p>
    <w:p w:rsidR="00074B5B" w:rsidP="003D7759" w:rsidRDefault="00074B5B" w14:paraId="2BB5E43D" w14:textId="02064713">
      <w:pPr>
        <w:rPr>
          <w:rFonts w:ascii="Arial" w:hAnsi="Arial" w:eastAsia="Calibri" w:cs="Arial"/>
          <w:sz w:val="22"/>
        </w:rPr>
      </w:pPr>
    </w:p>
    <w:p w:rsidR="00074B5B" w:rsidP="003D7759" w:rsidRDefault="00074B5B" w14:paraId="45E15FEB" w14:textId="31784691">
      <w:pPr>
        <w:rPr>
          <w:rFonts w:ascii="Arial" w:hAnsi="Arial" w:eastAsia="Calibri" w:cs="Arial"/>
          <w:sz w:val="22"/>
        </w:rPr>
      </w:pPr>
    </w:p>
    <w:p w:rsidR="00074B5B" w:rsidP="003D7759" w:rsidRDefault="00074B5B" w14:paraId="6E37F939" w14:textId="606CDD19">
      <w:pPr>
        <w:rPr>
          <w:rFonts w:ascii="Arial" w:hAnsi="Arial" w:eastAsia="Calibri" w:cs="Arial"/>
          <w:sz w:val="22"/>
        </w:rPr>
      </w:pPr>
    </w:p>
    <w:p w:rsidR="00074B5B" w:rsidP="003D7759" w:rsidRDefault="00074B5B" w14:paraId="4B6B049D" w14:textId="2A43734A">
      <w:pPr>
        <w:rPr>
          <w:rFonts w:ascii="Arial" w:hAnsi="Arial" w:eastAsia="Calibri" w:cs="Arial"/>
          <w:sz w:val="22"/>
        </w:rPr>
      </w:pPr>
    </w:p>
    <w:p w:rsidR="00074B5B" w:rsidP="003D7759" w:rsidRDefault="00074B5B" w14:paraId="78AABA1E" w14:textId="017926AF">
      <w:pPr>
        <w:rPr>
          <w:rFonts w:ascii="Arial" w:hAnsi="Arial" w:eastAsia="Calibri" w:cs="Arial"/>
          <w:sz w:val="22"/>
        </w:rPr>
      </w:pPr>
    </w:p>
    <w:p w:rsidR="00074B5B" w:rsidP="003D7759" w:rsidRDefault="00074B5B" w14:paraId="1FCDAB3E" w14:textId="380A105A">
      <w:pPr>
        <w:rPr>
          <w:rFonts w:ascii="Arial" w:hAnsi="Arial" w:eastAsia="Calibri" w:cs="Arial"/>
          <w:sz w:val="22"/>
        </w:rPr>
      </w:pPr>
    </w:p>
    <w:p w:rsidR="00074B5B" w:rsidP="003D7759" w:rsidRDefault="00074B5B" w14:paraId="752216F2" w14:textId="69B44E40">
      <w:pPr>
        <w:rPr>
          <w:rFonts w:ascii="Arial" w:hAnsi="Arial" w:eastAsia="Calibri" w:cs="Arial"/>
          <w:sz w:val="22"/>
        </w:rPr>
      </w:pPr>
    </w:p>
    <w:p w:rsidR="00074B5B" w:rsidP="003D7759" w:rsidRDefault="00074B5B" w14:paraId="452AD52D" w14:textId="427E7F3D">
      <w:pPr>
        <w:rPr>
          <w:rFonts w:ascii="Arial" w:hAnsi="Arial" w:eastAsia="Calibri" w:cs="Arial"/>
          <w:sz w:val="22"/>
        </w:rPr>
      </w:pPr>
    </w:p>
    <w:p w:rsidR="00074B5B" w:rsidP="003D7759" w:rsidRDefault="00074B5B" w14:paraId="09E41949" w14:textId="72FD45C0">
      <w:pPr>
        <w:rPr>
          <w:rFonts w:ascii="Arial" w:hAnsi="Arial" w:eastAsia="Calibri" w:cs="Arial"/>
          <w:sz w:val="22"/>
        </w:rPr>
      </w:pPr>
    </w:p>
    <w:p w:rsidR="00074B5B" w:rsidP="003D7759" w:rsidRDefault="00074B5B" w14:paraId="7969DD78" w14:textId="159A6AFE">
      <w:pPr>
        <w:rPr>
          <w:rFonts w:ascii="Arial" w:hAnsi="Arial" w:eastAsia="Calibri" w:cs="Arial"/>
          <w:sz w:val="22"/>
        </w:rPr>
      </w:pPr>
    </w:p>
    <w:p w:rsidR="00074B5B" w:rsidP="003D7759" w:rsidRDefault="00074B5B" w14:paraId="60075E66" w14:textId="2D5DEEDE">
      <w:pPr>
        <w:rPr>
          <w:rFonts w:ascii="Arial" w:hAnsi="Arial" w:eastAsia="Calibri" w:cs="Arial"/>
          <w:sz w:val="22"/>
        </w:rPr>
      </w:pPr>
    </w:p>
    <w:p w:rsidR="00074B5B" w:rsidP="003D7759" w:rsidRDefault="00074B5B" w14:paraId="07A18F79" w14:textId="5503699A">
      <w:pPr>
        <w:rPr>
          <w:rFonts w:ascii="Arial" w:hAnsi="Arial" w:eastAsia="Calibri" w:cs="Arial"/>
          <w:sz w:val="22"/>
        </w:rPr>
      </w:pPr>
    </w:p>
    <w:p w:rsidR="00074B5B" w:rsidP="003D7759" w:rsidRDefault="00074B5B" w14:paraId="7EF7225E" w14:textId="54DE6CC9">
      <w:pPr>
        <w:rPr>
          <w:rFonts w:ascii="Arial" w:hAnsi="Arial" w:eastAsia="Calibri" w:cs="Arial"/>
          <w:sz w:val="22"/>
        </w:rPr>
      </w:pPr>
    </w:p>
    <w:p w:rsidR="00074B5B" w:rsidP="003D7759" w:rsidRDefault="00074B5B" w14:paraId="74004D6F" w14:textId="1D910BF9">
      <w:pPr>
        <w:rPr>
          <w:rFonts w:ascii="Arial" w:hAnsi="Arial" w:eastAsia="Calibri" w:cs="Arial"/>
          <w:sz w:val="22"/>
        </w:rPr>
      </w:pPr>
    </w:p>
    <w:p w:rsidR="00074B5B" w:rsidP="003D7759" w:rsidRDefault="00074B5B" w14:paraId="608508ED" w14:textId="400E532F">
      <w:pPr>
        <w:rPr>
          <w:rFonts w:ascii="Arial" w:hAnsi="Arial" w:eastAsia="Calibri" w:cs="Arial"/>
          <w:sz w:val="22"/>
        </w:rPr>
      </w:pPr>
    </w:p>
    <w:p w:rsidR="000D3E44" w:rsidP="003D7759" w:rsidRDefault="000D3E44" w14:paraId="009A14D5" w14:textId="6576BB77">
      <w:pPr>
        <w:rPr>
          <w:rFonts w:ascii="Arial" w:hAnsi="Arial" w:eastAsia="Calibri" w:cs="Arial"/>
          <w:sz w:val="22"/>
        </w:rPr>
      </w:pPr>
    </w:p>
    <w:p w:rsidR="000D3E44" w:rsidP="000D3E44" w:rsidRDefault="000D3E44" w14:paraId="1702AF3B" w14:textId="5D4B3DE6">
      <w:pPr>
        <w:jc w:val="right"/>
        <w:rPr>
          <w:rFonts w:ascii="Arial" w:hAnsi="Arial" w:eastAsia="Calibri" w:cs="Arial"/>
          <w:sz w:val="22"/>
        </w:rPr>
      </w:pPr>
      <w:r w:rsidRPr="000D3E44">
        <w:rPr>
          <w:rFonts w:ascii="Arial" w:hAnsi="Arial" w:eastAsia="Calibri" w:cs="Arial"/>
          <w:noProof/>
          <w:sz w:val="22"/>
          <w:lang w:val="en-US"/>
        </w:rPr>
        <w:drawing>
          <wp:inline distT="0" distB="0" distL="0" distR="0" wp14:anchorId="240EE125" wp14:editId="17D6F12F">
            <wp:extent cx="3211195" cy="8001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724" cy="805215"/>
                    </a:xfrm>
                    <a:prstGeom prst="rect">
                      <a:avLst/>
                    </a:prstGeom>
                    <a:noFill/>
                    <a:ln>
                      <a:noFill/>
                    </a:ln>
                  </pic:spPr>
                </pic:pic>
              </a:graphicData>
            </a:graphic>
          </wp:inline>
        </w:drawing>
      </w:r>
    </w:p>
    <w:p w:rsidR="00A102D1" w:rsidP="003D7759" w:rsidRDefault="00A102D1" w14:paraId="41B19126" w14:textId="77777777">
      <w:pPr>
        <w:rPr>
          <w:rFonts w:ascii="Arial" w:hAnsi="Arial" w:eastAsia="Calibri" w:cs="Arial"/>
          <w:sz w:val="22"/>
        </w:rPr>
      </w:pPr>
    </w:p>
    <w:p w:rsidR="004B2E72" w:rsidP="003D7759" w:rsidRDefault="000D3E44" w14:paraId="58AE5CDE" w14:textId="1A34E749">
      <w:pPr>
        <w:rPr>
          <w:rFonts w:ascii="Arial" w:hAnsi="Arial" w:eastAsia="Calibri" w:cs="Arial"/>
          <w:sz w:val="22"/>
        </w:rPr>
      </w:pPr>
      <w:r w:rsidRPr="000D3E44">
        <w:rPr>
          <w:rFonts w:ascii="Arial" w:hAnsi="Arial" w:eastAsia="Calibri" w:cs="Arial"/>
          <w:sz w:val="22"/>
        </w:rPr>
        <w:t>Bogot</w:t>
      </w:r>
      <w:r w:rsidRPr="000D3E44">
        <w:rPr>
          <w:rFonts w:hint="eastAsia" w:ascii="Arial" w:hAnsi="Arial" w:eastAsia="Calibri" w:cs="Arial"/>
          <w:sz w:val="22"/>
        </w:rPr>
        <w:t>á</w:t>
      </w:r>
      <w:r w:rsidRPr="000D3E44">
        <w:rPr>
          <w:rFonts w:ascii="Arial" w:hAnsi="Arial" w:eastAsia="Calibri" w:cs="Arial"/>
          <w:sz w:val="22"/>
        </w:rPr>
        <w:t>, 21 Junio 2021</w:t>
      </w:r>
    </w:p>
    <w:p w:rsidR="000D3E44" w:rsidP="003D7759" w:rsidRDefault="000D3E44" w14:paraId="7A998C85" w14:textId="77777777">
      <w:pPr>
        <w:rPr>
          <w:rFonts w:ascii="Arial" w:hAnsi="Arial" w:eastAsia="Calibri" w:cs="Arial"/>
          <w:sz w:val="22"/>
        </w:rPr>
      </w:pPr>
    </w:p>
    <w:p w:rsidR="00AF1718" w:rsidP="003D7759" w:rsidRDefault="00A54C72" w14:paraId="1F3E67BB" w14:textId="2D595F6B">
      <w:pPr>
        <w:rPr>
          <w:rFonts w:ascii="Arial" w:hAnsi="Arial" w:eastAsia="Calibri" w:cs="Arial"/>
          <w:sz w:val="22"/>
        </w:rPr>
      </w:pPr>
      <w:r>
        <w:rPr>
          <w:rFonts w:ascii="Arial" w:hAnsi="Arial" w:eastAsia="Calibri" w:cs="Arial"/>
          <w:sz w:val="22"/>
        </w:rPr>
        <w:t xml:space="preserve">Señor </w:t>
      </w:r>
    </w:p>
    <w:p w:rsidRPr="003F6F8C" w:rsidR="00AF1718" w:rsidP="003D7759" w:rsidRDefault="004E51E3" w14:paraId="7A9ADCF5" w14:textId="1E951E26">
      <w:pPr>
        <w:rPr>
          <w:rFonts w:ascii="Arial" w:hAnsi="Arial" w:eastAsia="Calibri" w:cs="Arial"/>
          <w:b/>
          <w:sz w:val="22"/>
          <w:lang w:val="es-ES"/>
        </w:rPr>
      </w:pPr>
      <w:r>
        <w:rPr>
          <w:rFonts w:ascii="Arial" w:hAnsi="Arial" w:eastAsia="Calibri" w:cs="Arial"/>
          <w:b/>
          <w:sz w:val="22"/>
        </w:rPr>
        <w:t xml:space="preserve">José David Bolaño Martínez </w:t>
      </w:r>
    </w:p>
    <w:p w:rsidRPr="003F6F8C" w:rsidR="00AF1718" w:rsidP="003D7759" w:rsidRDefault="009659BC" w14:paraId="0C4BCB54" w14:textId="2B5A1F40">
      <w:pPr>
        <w:rPr>
          <w:rFonts w:ascii="Arial" w:hAnsi="Arial" w:eastAsia="Calibri" w:cs="Arial"/>
          <w:sz w:val="22"/>
        </w:rPr>
      </w:pPr>
      <w:r>
        <w:rPr>
          <w:rFonts w:ascii="Arial" w:hAnsi="Arial" w:eastAsia="Calibri" w:cs="Arial"/>
          <w:sz w:val="22"/>
        </w:rPr>
        <w:t>Sincelejo, Sucre</w:t>
      </w:r>
    </w:p>
    <w:p w:rsidRPr="003F6F8C" w:rsidR="00AF1718" w:rsidP="003D7759" w:rsidRDefault="00AF1718" w14:paraId="52C41654" w14:textId="2182974A">
      <w:pPr>
        <w:rPr>
          <w:rFonts w:ascii="Arial" w:hAnsi="Arial" w:eastAsia="Calibri" w:cs="Arial"/>
          <w:sz w:val="22"/>
        </w:rPr>
      </w:pPr>
    </w:p>
    <w:p w:rsidRPr="003F6F8C" w:rsidR="00AF1718" w:rsidP="003D7759" w:rsidRDefault="00AF1718" w14:paraId="479972ED" w14:textId="77777777">
      <w:pPr>
        <w:rPr>
          <w:rFonts w:ascii="Arial" w:hAnsi="Arial" w:eastAsia="Calibri" w:cs="Arial"/>
          <w:sz w:val="22"/>
        </w:rPr>
      </w:pPr>
    </w:p>
    <w:p w:rsidR="00AF1718" w:rsidP="00AD64EA" w:rsidRDefault="004E51E3" w14:paraId="64DAC2D7" w14:textId="1F7BA3C2">
      <w:pPr>
        <w:ind w:left="2694"/>
        <w:rPr>
          <w:rFonts w:ascii="Arial" w:hAnsi="Arial" w:eastAsia="Calibri" w:cs="Arial"/>
          <w:b/>
          <w:sz w:val="22"/>
        </w:rPr>
      </w:pPr>
      <w:r>
        <w:rPr>
          <w:rFonts w:ascii="Arial" w:hAnsi="Arial" w:eastAsia="Calibri" w:cs="Arial"/>
          <w:b/>
          <w:sz w:val="22"/>
        </w:rPr>
        <w:t>Concepto C</w:t>
      </w:r>
      <w:r w:rsidR="005A1178">
        <w:rPr>
          <w:rFonts w:ascii="Arial" w:hAnsi="Arial" w:eastAsia="Calibri" w:cs="Arial"/>
          <w:b/>
          <w:sz w:val="22"/>
        </w:rPr>
        <w:t xml:space="preserve"> –</w:t>
      </w:r>
      <w:r>
        <w:rPr>
          <w:rFonts w:ascii="Arial" w:hAnsi="Arial" w:eastAsia="Calibri" w:cs="Arial"/>
          <w:b/>
          <w:sz w:val="22"/>
        </w:rPr>
        <w:t xml:space="preserve"> 292</w:t>
      </w:r>
      <w:r w:rsidR="00A54C72">
        <w:rPr>
          <w:rFonts w:ascii="Arial" w:hAnsi="Arial" w:eastAsia="Calibri" w:cs="Arial"/>
          <w:b/>
          <w:sz w:val="22"/>
        </w:rPr>
        <w:t xml:space="preserve"> </w:t>
      </w:r>
      <w:r w:rsidRPr="003F6F8C" w:rsidR="00AF1718">
        <w:rPr>
          <w:rFonts w:ascii="Arial" w:hAnsi="Arial" w:eastAsia="Calibri" w:cs="Arial"/>
          <w:b/>
          <w:sz w:val="22"/>
        </w:rPr>
        <w:t>de 2021</w:t>
      </w:r>
    </w:p>
    <w:p w:rsidRPr="003F6F8C" w:rsidR="00E141FC" w:rsidP="00AD64EA" w:rsidRDefault="00E141FC" w14:paraId="65460F02" w14:textId="77777777">
      <w:pPr>
        <w:ind w:left="2694"/>
        <w:rPr>
          <w:rFonts w:ascii="Arial" w:hAnsi="Arial" w:eastAsia="Calibri" w:cs="Arial"/>
          <w:b/>
          <w:sz w:val="22"/>
        </w:rPr>
      </w:pPr>
    </w:p>
    <w:p w:rsidRPr="003F6F8C" w:rsidR="00AF1718" w:rsidP="003D7759" w:rsidRDefault="00AF1718" w14:paraId="37719CA8"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F8C" w:rsidR="00AF1718" w:rsidTr="004E51E3" w14:paraId="00B1888F" w14:textId="77777777">
        <w:tc>
          <w:tcPr>
            <w:tcW w:w="2689" w:type="dxa"/>
            <w:hideMark/>
          </w:tcPr>
          <w:p w:rsidRPr="003F6F8C" w:rsidR="00AF1718" w:rsidP="003D7759" w:rsidRDefault="00AF1718" w14:paraId="1C9397C0" w14:textId="45775F74">
            <w:pPr>
              <w:rPr>
                <w:rFonts w:ascii="Arial" w:hAnsi="Arial" w:eastAsia="Calibri" w:cs="Arial"/>
                <w:sz w:val="22"/>
              </w:rPr>
            </w:pPr>
            <w:r w:rsidRPr="003F6F8C">
              <w:rPr>
                <w:rFonts w:ascii="Arial" w:hAnsi="Arial" w:eastAsia="Calibri" w:cs="Arial"/>
                <w:b/>
                <w:sz w:val="22"/>
              </w:rPr>
              <w:t>Temas:</w:t>
            </w:r>
            <w:r w:rsidRPr="003F6F8C">
              <w:rPr>
                <w:rFonts w:ascii="Arial" w:hAnsi="Arial" w:eastAsia="Calibri" w:cs="Arial"/>
                <w:sz w:val="22"/>
              </w:rPr>
              <w:t xml:space="preserve"> </w:t>
            </w:r>
          </w:p>
          <w:p w:rsidRPr="003F6F8C" w:rsidR="00AF1718" w:rsidP="003D7759" w:rsidRDefault="00AF1718" w14:paraId="6531557F" w14:textId="61BDB28B">
            <w:pPr>
              <w:rPr>
                <w:rFonts w:ascii="Arial" w:hAnsi="Arial" w:eastAsia="Calibri" w:cs="Arial"/>
                <w:sz w:val="22"/>
              </w:rPr>
            </w:pPr>
          </w:p>
        </w:tc>
        <w:tc>
          <w:tcPr>
            <w:tcW w:w="6237" w:type="dxa"/>
            <w:hideMark/>
          </w:tcPr>
          <w:p w:rsidRPr="00E141FC" w:rsidR="00AF1718" w:rsidP="00E261AD" w:rsidRDefault="00A54C72" w14:paraId="30A9E48B" w14:textId="11AC2A76">
            <w:pPr>
              <w:spacing w:line="276" w:lineRule="auto"/>
              <w:jc w:val="both"/>
              <w:rPr>
                <w:rFonts w:ascii="Arial" w:hAnsi="Arial" w:eastAsia="Calibri" w:cs="Arial"/>
                <w:bCs/>
                <w:color w:val="000000"/>
                <w:sz w:val="22"/>
                <w:lang w:eastAsia="en-GB"/>
              </w:rPr>
            </w:pPr>
            <w:r w:rsidRPr="00E141FC">
              <w:rPr>
                <w:rFonts w:ascii="Arial" w:hAnsi="Arial" w:eastAsia="Calibri" w:cs="Arial"/>
                <w:sz w:val="22"/>
              </w:rPr>
              <w:t>DOCUMENTO TIPO</w:t>
            </w:r>
            <w:r w:rsidRPr="00E141FC" w:rsidR="004E51E3">
              <w:rPr>
                <w:rFonts w:ascii="Arial" w:hAnsi="Arial" w:eastAsia="Calibri" w:cs="Arial"/>
                <w:sz w:val="22"/>
              </w:rPr>
              <w:t xml:space="preserve"> </w:t>
            </w:r>
            <w:r w:rsidRPr="00E141FC">
              <w:rPr>
                <w:rFonts w:ascii="Arial" w:hAnsi="Arial" w:eastAsia="Calibri" w:cs="Arial"/>
                <w:sz w:val="22"/>
              </w:rPr>
              <w:t xml:space="preserve">- </w:t>
            </w:r>
            <w:r w:rsidRPr="00E141FC" w:rsidR="00E261AD">
              <w:rPr>
                <w:rFonts w:ascii="Arial" w:hAnsi="Arial" w:eastAsia="Calibri" w:cs="Arial"/>
                <w:bCs/>
                <w:color w:val="000000"/>
                <w:sz w:val="22"/>
                <w:lang w:eastAsia="en-GB"/>
              </w:rPr>
              <w:t>Obra de infraestructura de agua potable y saneamiento básico.</w:t>
            </w:r>
            <w:r w:rsidRPr="00E141FC" w:rsidR="007E275A">
              <w:rPr>
                <w:rFonts w:ascii="Arial" w:hAnsi="Arial" w:eastAsia="Calibri" w:cs="Arial"/>
                <w:sz w:val="22"/>
              </w:rPr>
              <w:t xml:space="preserve"> </w:t>
            </w:r>
            <w:r w:rsidRPr="00E141FC" w:rsidR="004E51E3">
              <w:rPr>
                <w:rFonts w:ascii="Arial" w:hAnsi="Arial" w:eastAsia="Calibri" w:cs="Arial"/>
                <w:sz w:val="22"/>
              </w:rPr>
              <w:t xml:space="preserve">/ </w:t>
            </w:r>
            <w:r w:rsidRPr="00E141FC" w:rsidR="00833A0B">
              <w:rPr>
                <w:rFonts w:ascii="Arial" w:hAnsi="Arial" w:eastAsia="Calibri" w:cs="Arial"/>
                <w:sz w:val="22"/>
              </w:rPr>
              <w:t xml:space="preserve">DOCUMENTOS TIPO – </w:t>
            </w:r>
            <w:r w:rsidRPr="00E141FC" w:rsidR="00E141FC">
              <w:rPr>
                <w:rFonts w:ascii="Arial" w:hAnsi="Arial" w:eastAsia="Calibri" w:cs="Arial"/>
                <w:bCs/>
                <w:sz w:val="22"/>
              </w:rPr>
              <w:t xml:space="preserve">Aplicación de la «Matriz 1 – Experiencia» a los proyectos de agua potable y saneamiento básico / </w:t>
            </w:r>
            <w:r w:rsidRPr="00E141FC" w:rsidR="00E141FC">
              <w:rPr>
                <w:rFonts w:ascii="Arial" w:hAnsi="Arial" w:eastAsia="Calibri" w:cs="Arial"/>
                <w:sz w:val="22"/>
              </w:rPr>
              <w:t>DOCUMENTOS TIPO –</w:t>
            </w:r>
            <w:r w:rsidR="00E141FC">
              <w:rPr>
                <w:rFonts w:ascii="Arial" w:hAnsi="Arial" w:eastAsia="Calibri" w:cs="Arial"/>
                <w:sz w:val="22"/>
              </w:rPr>
              <w:t xml:space="preserve"> </w:t>
            </w:r>
            <w:r w:rsidRPr="00E141FC" w:rsidR="00E141FC">
              <w:rPr>
                <w:rFonts w:ascii="Arial" w:hAnsi="Arial" w:eastAsia="Calibri" w:cs="Arial"/>
                <w:bCs/>
                <w:sz w:val="22"/>
              </w:rPr>
              <w:t>«</w:t>
            </w:r>
            <w:r w:rsidR="00E141FC">
              <w:rPr>
                <w:rFonts w:ascii="Arial" w:hAnsi="Arial" w:eastAsia="Calibri" w:cs="Arial"/>
                <w:bCs/>
                <w:sz w:val="22"/>
              </w:rPr>
              <w:t xml:space="preserve"> Matriz 1 – Experiencia</w:t>
            </w:r>
            <w:r w:rsidRPr="00E141FC" w:rsidR="00E141FC">
              <w:rPr>
                <w:rFonts w:ascii="Arial" w:hAnsi="Arial" w:eastAsia="Calibri" w:cs="Arial"/>
                <w:bCs/>
                <w:sz w:val="22"/>
              </w:rPr>
              <w:t>»</w:t>
            </w:r>
            <w:r w:rsidR="00E141FC">
              <w:rPr>
                <w:rFonts w:ascii="Arial" w:hAnsi="Arial" w:eastAsia="Calibri" w:cs="Arial"/>
                <w:bCs/>
                <w:sz w:val="22"/>
              </w:rPr>
              <w:t xml:space="preserve"> proyectos de agua potable y saneamiento básico </w:t>
            </w:r>
            <w:r w:rsidRPr="00E141FC" w:rsidR="00E141FC">
              <w:rPr>
                <w:rFonts w:ascii="Arial" w:hAnsi="Arial" w:eastAsia="Calibri" w:cs="Arial"/>
                <w:sz w:val="22"/>
              </w:rPr>
              <w:t>–</w:t>
            </w:r>
            <w:r w:rsidR="00E141FC">
              <w:rPr>
                <w:rFonts w:ascii="Arial" w:hAnsi="Arial" w:eastAsia="Calibri" w:cs="Arial"/>
                <w:bCs/>
                <w:sz w:val="22"/>
              </w:rPr>
              <w:t xml:space="preserve">  </w:t>
            </w:r>
          </w:p>
        </w:tc>
      </w:tr>
      <w:tr w:rsidRPr="009A4A28" w:rsidR="00AF1718" w:rsidTr="004E51E3" w14:paraId="0E180394" w14:textId="77777777">
        <w:tc>
          <w:tcPr>
            <w:tcW w:w="2689" w:type="dxa"/>
          </w:tcPr>
          <w:p w:rsidR="00E141FC" w:rsidP="003D7759" w:rsidRDefault="00E141FC" w14:paraId="3D473856" w14:textId="77777777">
            <w:pPr>
              <w:rPr>
                <w:rFonts w:ascii="Arial" w:hAnsi="Arial" w:eastAsia="Calibri" w:cs="Arial"/>
                <w:sz w:val="22"/>
              </w:rPr>
            </w:pPr>
          </w:p>
          <w:p w:rsidR="00E141FC" w:rsidP="003D7759" w:rsidRDefault="00E141FC" w14:paraId="00FD1A33" w14:textId="77777777">
            <w:pPr>
              <w:rPr>
                <w:rFonts w:ascii="Arial" w:hAnsi="Arial" w:eastAsia="Calibri" w:cs="Arial"/>
                <w:sz w:val="22"/>
              </w:rPr>
            </w:pPr>
          </w:p>
          <w:p w:rsidR="00E141FC" w:rsidP="003D7759" w:rsidRDefault="00E141FC" w14:paraId="4C8BE998" w14:textId="77777777">
            <w:pPr>
              <w:rPr>
                <w:rFonts w:ascii="Arial" w:hAnsi="Arial" w:eastAsia="Calibri" w:cs="Arial"/>
                <w:sz w:val="22"/>
              </w:rPr>
            </w:pPr>
          </w:p>
          <w:p w:rsidR="00E141FC" w:rsidP="003D7759" w:rsidRDefault="00E141FC" w14:paraId="4CEC0206" w14:textId="77777777">
            <w:pPr>
              <w:rPr>
                <w:rFonts w:ascii="Arial" w:hAnsi="Arial" w:eastAsia="Calibri" w:cs="Arial"/>
                <w:sz w:val="22"/>
              </w:rPr>
            </w:pPr>
          </w:p>
          <w:p w:rsidRPr="00906FED" w:rsidR="00AF1718" w:rsidP="003D7759" w:rsidRDefault="00AF1718" w14:paraId="35D0842E" w14:textId="53E680E7">
            <w:pPr>
              <w:rPr>
                <w:rFonts w:ascii="Arial" w:hAnsi="Arial" w:eastAsia="Calibri" w:cs="Arial"/>
                <w:sz w:val="22"/>
              </w:rPr>
            </w:pPr>
            <w:r w:rsidRPr="00906FED">
              <w:rPr>
                <w:rFonts w:ascii="Arial" w:hAnsi="Arial" w:eastAsia="Calibri" w:cs="Arial"/>
                <w:sz w:val="22"/>
              </w:rPr>
              <w:t>Radicación:</w:t>
            </w:r>
          </w:p>
        </w:tc>
        <w:tc>
          <w:tcPr>
            <w:tcW w:w="6237" w:type="dxa"/>
          </w:tcPr>
          <w:p w:rsidRPr="00E141FC" w:rsidR="00E141FC" w:rsidP="00E141FC" w:rsidRDefault="00E141FC" w14:paraId="39342B53" w14:textId="2602E94C">
            <w:pPr>
              <w:jc w:val="both"/>
              <w:rPr>
                <w:rFonts w:ascii="Arial" w:hAnsi="Arial" w:eastAsia="Calibri" w:cs="Arial"/>
                <w:sz w:val="22"/>
              </w:rPr>
            </w:pPr>
            <w:r>
              <w:rPr>
                <w:rFonts w:ascii="Arial" w:hAnsi="Arial" w:eastAsia="Calibri" w:cs="Arial"/>
                <w:bCs/>
                <w:sz w:val="22"/>
              </w:rPr>
              <w:t>Acreditación de la experiencia.</w:t>
            </w:r>
            <w:r w:rsidRPr="00E141FC">
              <w:rPr>
                <w:rFonts w:ascii="Arial" w:hAnsi="Arial" w:eastAsia="Calibri" w:cs="Arial"/>
                <w:sz w:val="22"/>
              </w:rPr>
              <w:t xml:space="preserve">  </w:t>
            </w:r>
          </w:p>
          <w:p w:rsidRPr="00E141FC" w:rsidR="00E141FC" w:rsidP="00526D46" w:rsidRDefault="00E141FC" w14:paraId="64BAF822" w14:textId="77777777">
            <w:pPr>
              <w:jc w:val="both"/>
              <w:rPr>
                <w:rFonts w:ascii="Arial" w:hAnsi="Arial" w:eastAsia="Calibri" w:cs="Arial"/>
                <w:sz w:val="22"/>
              </w:rPr>
            </w:pPr>
          </w:p>
          <w:p w:rsidRPr="00E141FC" w:rsidR="00E141FC" w:rsidP="00526D46" w:rsidRDefault="00E141FC" w14:paraId="6D14EB0A" w14:textId="77777777">
            <w:pPr>
              <w:jc w:val="both"/>
              <w:rPr>
                <w:rFonts w:ascii="Arial" w:hAnsi="Arial" w:eastAsia="Calibri" w:cs="Arial"/>
                <w:sz w:val="22"/>
              </w:rPr>
            </w:pPr>
          </w:p>
          <w:p w:rsidR="00E141FC" w:rsidP="00526D46" w:rsidRDefault="00E141FC" w14:paraId="40B19FCD" w14:textId="77777777">
            <w:pPr>
              <w:jc w:val="both"/>
              <w:rPr>
                <w:rFonts w:ascii="Arial" w:hAnsi="Arial" w:eastAsia="Calibri" w:cs="Arial"/>
                <w:sz w:val="22"/>
              </w:rPr>
            </w:pPr>
          </w:p>
          <w:p w:rsidRPr="00E141FC" w:rsidR="00AF1718" w:rsidP="00526D46" w:rsidRDefault="00FF6BBB" w14:paraId="1B6BB553" w14:textId="6CC0EF85">
            <w:pPr>
              <w:jc w:val="both"/>
              <w:rPr>
                <w:rFonts w:ascii="Arial" w:hAnsi="Arial" w:eastAsia="Calibri" w:cs="Arial"/>
                <w:sz w:val="22"/>
              </w:rPr>
            </w:pPr>
            <w:r w:rsidRPr="00E141FC">
              <w:rPr>
                <w:rFonts w:ascii="Arial" w:hAnsi="Arial" w:eastAsia="Calibri" w:cs="Arial"/>
                <w:sz w:val="22"/>
              </w:rPr>
              <w:t>Respuesta a consulta</w:t>
            </w:r>
            <w:r w:rsidRPr="00E141FC" w:rsidR="00AF1718">
              <w:rPr>
                <w:rFonts w:ascii="Arial" w:hAnsi="Arial" w:eastAsia="Calibri" w:cs="Arial"/>
                <w:sz w:val="22"/>
              </w:rPr>
              <w:t xml:space="preserve"> </w:t>
            </w:r>
            <w:r w:rsidRPr="00E141FC" w:rsidR="00526D46">
              <w:rPr>
                <w:rFonts w:ascii="Arial" w:hAnsi="Arial" w:eastAsia="Calibri" w:cs="Arial"/>
                <w:sz w:val="22"/>
              </w:rPr>
              <w:t>P20210505003858</w:t>
            </w:r>
          </w:p>
        </w:tc>
      </w:tr>
    </w:tbl>
    <w:p w:rsidRPr="009A4A28" w:rsidR="00AF1718" w:rsidP="003D7759" w:rsidRDefault="00AF1718" w14:paraId="2B19C121" w14:textId="4FEB1B97">
      <w:pPr>
        <w:rPr>
          <w:rFonts w:ascii="Arial" w:hAnsi="Arial" w:eastAsia="Calibri" w:cs="Arial"/>
        </w:rPr>
      </w:pPr>
    </w:p>
    <w:p w:rsidR="00E658C9" w:rsidP="003D7759" w:rsidRDefault="00E658C9" w14:paraId="5032701F" w14:textId="77777777">
      <w:pPr>
        <w:rPr>
          <w:rFonts w:ascii="Arial" w:hAnsi="Arial" w:eastAsia="Calibri" w:cs="Arial"/>
          <w:sz w:val="22"/>
        </w:rPr>
      </w:pPr>
    </w:p>
    <w:p w:rsidRPr="00AF1718" w:rsidR="00AF1718" w:rsidP="00AD64EA" w:rsidRDefault="00AF1718" w14:paraId="1612DE7D" w14:textId="2DCD22CE">
      <w:pPr>
        <w:spacing w:line="276" w:lineRule="auto"/>
        <w:rPr>
          <w:rFonts w:ascii="Arial" w:hAnsi="Arial" w:eastAsia="Calibri" w:cs="Arial"/>
          <w:sz w:val="22"/>
        </w:rPr>
      </w:pPr>
      <w:r w:rsidRPr="00AF1718">
        <w:rPr>
          <w:rFonts w:ascii="Arial" w:hAnsi="Arial" w:eastAsia="Calibri" w:cs="Arial"/>
          <w:sz w:val="22"/>
        </w:rPr>
        <w:t xml:space="preserve">Estimado </w:t>
      </w:r>
      <w:r w:rsidR="00526D46">
        <w:rPr>
          <w:rFonts w:ascii="Arial" w:hAnsi="Arial" w:eastAsia="Calibri" w:cs="Arial"/>
          <w:sz w:val="22"/>
        </w:rPr>
        <w:t>señor Bolaño</w:t>
      </w:r>
      <w:r w:rsidR="005A1178">
        <w:rPr>
          <w:rFonts w:ascii="Arial" w:hAnsi="Arial" w:eastAsia="Calibri" w:cs="Arial"/>
          <w:sz w:val="22"/>
        </w:rPr>
        <w:t>:</w:t>
      </w:r>
    </w:p>
    <w:p w:rsidRPr="00AF1718" w:rsidR="00AF1718" w:rsidP="00AD64EA" w:rsidRDefault="00AF1718" w14:paraId="6CEE3088" w14:textId="77777777">
      <w:pPr>
        <w:spacing w:line="276" w:lineRule="auto"/>
        <w:rPr>
          <w:rFonts w:ascii="Arial" w:hAnsi="Arial" w:eastAsia="Calibri" w:cs="Arial"/>
          <w:sz w:val="22"/>
        </w:rPr>
      </w:pPr>
    </w:p>
    <w:p w:rsidR="00AF1718" w:rsidP="00AD64EA" w:rsidRDefault="00AF1718" w14:paraId="1A0A2BD6" w14:textId="1606963F">
      <w:pPr>
        <w:spacing w:line="276" w:lineRule="auto"/>
        <w:jc w:val="both"/>
        <w:rPr>
          <w:rFonts w:ascii="Arial" w:hAnsi="Arial" w:eastAsia="Calibri" w:cs="Arial"/>
          <w:sz w:val="22"/>
        </w:rPr>
      </w:pPr>
      <w:r w:rsidRPr="00AF1718">
        <w:rPr>
          <w:rFonts w:ascii="Arial" w:hAnsi="Arial" w:eastAsia="Calibri"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hAnsi="Arial" w:eastAsia="Calibri" w:cs="Arial"/>
          <w:sz w:val="22"/>
        </w:rPr>
        <w:t xml:space="preserve">te responde su consulta del </w:t>
      </w:r>
      <w:r w:rsidR="006D089E">
        <w:rPr>
          <w:rFonts w:ascii="Arial" w:hAnsi="Arial" w:eastAsia="Calibri" w:cs="Arial"/>
          <w:sz w:val="22"/>
        </w:rPr>
        <w:t>5 de mayo de 2021</w:t>
      </w:r>
      <w:r w:rsidRPr="00AF1718">
        <w:rPr>
          <w:rFonts w:ascii="Arial" w:hAnsi="Arial" w:eastAsia="Calibri" w:cs="Arial"/>
          <w:sz w:val="22"/>
        </w:rPr>
        <w:t>.</w:t>
      </w:r>
    </w:p>
    <w:p w:rsidRPr="004B2E72" w:rsidR="004B2E72" w:rsidP="00AD64EA" w:rsidRDefault="004B2E72" w14:paraId="5A0F3845" w14:textId="77777777">
      <w:pPr>
        <w:spacing w:line="276" w:lineRule="auto"/>
        <w:jc w:val="both"/>
        <w:rPr>
          <w:rFonts w:ascii="Arial" w:hAnsi="Arial" w:eastAsia="Calibri" w:cs="Arial"/>
          <w:sz w:val="22"/>
        </w:rPr>
      </w:pPr>
    </w:p>
    <w:p w:rsidR="00AF1718" w:rsidP="004B2E72" w:rsidRDefault="00AF1718" w14:paraId="2B178A13" w14:textId="74A94A54">
      <w:pPr>
        <w:pStyle w:val="Prrafodelista"/>
        <w:numPr>
          <w:ilvl w:val="0"/>
          <w:numId w:val="16"/>
        </w:numPr>
        <w:tabs>
          <w:tab w:val="left" w:pos="284"/>
        </w:tabs>
        <w:spacing w:line="276" w:lineRule="auto"/>
        <w:ind w:left="360"/>
        <w:jc w:val="both"/>
        <w:rPr>
          <w:rFonts w:ascii="Arial" w:hAnsi="Arial" w:eastAsia="Calibri" w:cs="Arial"/>
          <w:b/>
          <w:sz w:val="22"/>
        </w:rPr>
      </w:pPr>
      <w:r w:rsidRPr="003F6F8C">
        <w:rPr>
          <w:rFonts w:ascii="Arial" w:hAnsi="Arial" w:eastAsia="Calibri" w:cs="Arial"/>
          <w:b/>
          <w:sz w:val="22"/>
        </w:rPr>
        <w:t>Problema planteado</w:t>
      </w:r>
    </w:p>
    <w:p w:rsidRPr="004B2E72" w:rsidR="004B2E72" w:rsidP="004B2E72" w:rsidRDefault="004B2E72" w14:paraId="12581017" w14:textId="77777777">
      <w:pPr>
        <w:tabs>
          <w:tab w:val="left" w:pos="284"/>
        </w:tabs>
        <w:spacing w:line="276" w:lineRule="auto"/>
        <w:jc w:val="both"/>
        <w:rPr>
          <w:rFonts w:ascii="Arial" w:hAnsi="Arial" w:eastAsia="Calibri" w:cs="Arial"/>
          <w:b/>
          <w:sz w:val="22"/>
        </w:rPr>
      </w:pPr>
    </w:p>
    <w:p w:rsidR="00847C80" w:rsidP="00AD64EA" w:rsidRDefault="00CC1FBB" w14:paraId="7B60108F" w14:textId="1FA60B44">
      <w:pPr>
        <w:tabs>
          <w:tab w:val="left" w:pos="426"/>
        </w:tabs>
        <w:spacing w:line="276" w:lineRule="auto"/>
        <w:jc w:val="both"/>
        <w:rPr>
          <w:rFonts w:ascii="Arial" w:hAnsi="Arial" w:eastAsia="Calibri" w:cs="Arial"/>
          <w:sz w:val="22"/>
        </w:rPr>
      </w:pPr>
      <w:bookmarkStart w:name="_Hlk68679800" w:id="4"/>
      <w:r>
        <w:rPr>
          <w:rFonts w:ascii="Arial" w:hAnsi="Arial" w:eastAsia="Calibri" w:cs="Arial"/>
          <w:sz w:val="22"/>
        </w:rPr>
        <w:t>U</w:t>
      </w:r>
      <w:r w:rsidRPr="003F6F8C" w:rsidR="00AF1718">
        <w:rPr>
          <w:rFonts w:ascii="Arial" w:hAnsi="Arial" w:eastAsia="Calibri" w:cs="Arial"/>
          <w:sz w:val="22"/>
        </w:rPr>
        <w:t>sted realiza la siguiente pregunta: «</w:t>
      </w:r>
      <w:bookmarkStart w:name="_Hlk75105761" w:id="5"/>
      <w:r w:rsidR="00526D46">
        <w:rPr>
          <w:rFonts w:ascii="Arial" w:hAnsi="Arial" w:eastAsia="Calibri" w:cs="Arial"/>
          <w:sz w:val="22"/>
        </w:rPr>
        <w:t xml:space="preserve">Atendiendo la Resolución 248 de 2020, </w:t>
      </w:r>
      <w:r w:rsidR="00856E09">
        <w:rPr>
          <w:rFonts w:ascii="Arial" w:hAnsi="Arial" w:eastAsia="Calibri" w:cs="Arial"/>
          <w:sz w:val="22"/>
        </w:rPr>
        <w:t>“</w:t>
      </w:r>
      <w:r w:rsidR="00526D46">
        <w:rPr>
          <w:rFonts w:ascii="Arial" w:hAnsi="Arial" w:eastAsia="Calibri" w:cs="Arial"/>
          <w:sz w:val="22"/>
        </w:rPr>
        <w:t>por la cual se adoptan los documentos tipo para los procesos de licitación pública para obras de infraestructura de agua potable y saneamiento básico</w:t>
      </w:r>
      <w:r w:rsidR="00EE79B1">
        <w:rPr>
          <w:rFonts w:ascii="Arial" w:hAnsi="Arial" w:eastAsia="Calibri" w:cs="Arial"/>
          <w:sz w:val="22"/>
        </w:rPr>
        <w:t>”,</w:t>
      </w:r>
      <w:r w:rsidR="00526D46">
        <w:rPr>
          <w:rFonts w:ascii="Arial" w:hAnsi="Arial" w:eastAsia="Calibri" w:cs="Arial"/>
          <w:sz w:val="22"/>
        </w:rPr>
        <w:t xml:space="preserve"> y la matriz de experiencia</w:t>
      </w:r>
      <w:r w:rsidR="00856E09">
        <w:rPr>
          <w:rFonts w:ascii="Arial" w:hAnsi="Arial" w:eastAsia="Calibri" w:cs="Arial"/>
          <w:sz w:val="22"/>
        </w:rPr>
        <w:t>,</w:t>
      </w:r>
      <w:r w:rsidR="00526D46">
        <w:rPr>
          <w:rFonts w:ascii="Arial" w:hAnsi="Arial" w:eastAsia="Calibri" w:cs="Arial"/>
          <w:sz w:val="22"/>
        </w:rPr>
        <w:t xml:space="preserve"> </w:t>
      </w:r>
      <w:r w:rsidR="006442AE">
        <w:rPr>
          <w:rFonts w:ascii="Arial" w:hAnsi="Arial" w:eastAsia="Calibri" w:cs="Arial"/>
          <w:sz w:val="22"/>
        </w:rPr>
        <w:t>¿Los pliegos tipo se aplican a selección de contratistas de obras públicas cuyo alcance es baterías sanitarias en instituciones educativas?</w:t>
      </w:r>
      <w:bookmarkEnd w:id="5"/>
      <w:r w:rsidRPr="003F6F8C" w:rsidR="00AF1718">
        <w:rPr>
          <w:rFonts w:ascii="Arial" w:hAnsi="Arial" w:eastAsia="Calibri" w:cs="Arial"/>
          <w:sz w:val="22"/>
        </w:rPr>
        <w:t>»</w:t>
      </w:r>
      <w:bookmarkEnd w:id="4"/>
      <w:r w:rsidR="00EE79B1">
        <w:rPr>
          <w:rFonts w:ascii="Arial" w:hAnsi="Arial" w:eastAsia="Calibri" w:cs="Arial"/>
          <w:sz w:val="22"/>
        </w:rPr>
        <w:t>.</w:t>
      </w:r>
    </w:p>
    <w:p w:rsidRPr="00737DB6" w:rsidR="00847C80" w:rsidP="00AD64EA" w:rsidRDefault="00847C80" w14:paraId="5735A187" w14:textId="208A6019">
      <w:pPr>
        <w:tabs>
          <w:tab w:val="left" w:pos="426"/>
        </w:tabs>
        <w:spacing w:line="276" w:lineRule="auto"/>
        <w:jc w:val="both"/>
        <w:rPr>
          <w:rFonts w:ascii="Arial" w:hAnsi="Arial" w:eastAsia="Calibri" w:cs="Arial"/>
          <w:sz w:val="22"/>
        </w:rPr>
      </w:pPr>
    </w:p>
    <w:p w:rsidRPr="004B2E72" w:rsidR="00AD64EA" w:rsidP="004B2E72" w:rsidRDefault="00E7138C" w14:paraId="7C087CB7" w14:textId="0CD2BF7F">
      <w:pPr>
        <w:pStyle w:val="Prrafodelista"/>
        <w:numPr>
          <w:ilvl w:val="0"/>
          <w:numId w:val="16"/>
        </w:numPr>
        <w:tabs>
          <w:tab w:val="left" w:pos="426"/>
        </w:tabs>
        <w:spacing w:line="276" w:lineRule="auto"/>
        <w:ind w:left="360"/>
        <w:jc w:val="both"/>
        <w:rPr>
          <w:rFonts w:ascii="Arial" w:hAnsi="Arial" w:eastAsia="Calibri" w:cs="Arial"/>
          <w:b/>
          <w:sz w:val="22"/>
        </w:rPr>
      </w:pPr>
      <w:r w:rsidRPr="004B2E72">
        <w:rPr>
          <w:rFonts w:ascii="Arial" w:hAnsi="Arial" w:eastAsia="Calibri" w:cs="Arial"/>
          <w:b/>
          <w:sz w:val="22"/>
        </w:rPr>
        <w:lastRenderedPageBreak/>
        <w:t>Consideraciones</w:t>
      </w:r>
    </w:p>
    <w:p w:rsidRPr="004B2E72" w:rsidR="004B2E72" w:rsidP="004B2E72" w:rsidRDefault="004B2E72" w14:paraId="7AEF2ACC" w14:textId="77777777">
      <w:pPr>
        <w:pStyle w:val="Prrafodelista"/>
        <w:tabs>
          <w:tab w:val="left" w:pos="426"/>
        </w:tabs>
        <w:spacing w:line="276" w:lineRule="auto"/>
        <w:jc w:val="both"/>
        <w:rPr>
          <w:rFonts w:ascii="Arial" w:hAnsi="Arial" w:eastAsia="Calibri" w:cs="Arial"/>
          <w:b/>
          <w:sz w:val="22"/>
        </w:rPr>
      </w:pPr>
    </w:p>
    <w:p w:rsidR="00821A24" w:rsidP="002052BB" w:rsidRDefault="00821A24" w14:paraId="1CC2B44B" w14:textId="7324E73E">
      <w:pPr>
        <w:spacing w:after="120" w:line="276" w:lineRule="auto"/>
        <w:jc w:val="both"/>
        <w:rPr>
          <w:rFonts w:ascii="Arial" w:hAnsi="Arial" w:eastAsia="Calibri" w:cs="Arial"/>
          <w:sz w:val="22"/>
        </w:rPr>
      </w:pPr>
      <w:bookmarkStart w:name="_Hlk63843962" w:id="6"/>
      <w:r>
        <w:rPr>
          <w:rFonts w:ascii="Arial" w:hAnsi="Arial" w:eastAsia="Calibri" w:cs="Arial"/>
          <w:sz w:val="22"/>
        </w:rPr>
        <w:t>Para resolver la consulta,</w:t>
      </w:r>
      <w:r w:rsidRPr="00821A24">
        <w:rPr>
          <w:rFonts w:ascii="Arial" w:hAnsi="Arial" w:eastAsia="Calibri" w:cs="Arial"/>
          <w:sz w:val="22"/>
        </w:rPr>
        <w:t xml:space="preserve"> se analizarán los siguientes temas: i) </w:t>
      </w:r>
      <w:r w:rsidR="00CD208F">
        <w:rPr>
          <w:rFonts w:ascii="Arial" w:hAnsi="Arial" w:eastAsia="Calibri" w:cs="Arial"/>
          <w:sz w:val="22"/>
        </w:rPr>
        <w:t xml:space="preserve">contexto normativo de los </w:t>
      </w:r>
      <w:r w:rsidRPr="00821A24">
        <w:rPr>
          <w:rFonts w:ascii="Arial" w:hAnsi="Arial" w:eastAsia="Calibri" w:cs="Arial"/>
          <w:sz w:val="22"/>
        </w:rPr>
        <w:t>documentos tipo de licitación pública para obra de infraestructura de agua potable y saneamiento básico y ii) aplicación de la «Matriz 1 – Experiencia» para proyectos de agua potable y saneamiento básico.</w:t>
      </w:r>
    </w:p>
    <w:p w:rsidR="00F22827" w:rsidP="002052BB" w:rsidRDefault="006442AE" w14:paraId="2FB49870" w14:textId="00625DFF">
      <w:pPr>
        <w:spacing w:line="276" w:lineRule="auto"/>
        <w:ind w:firstLine="708"/>
        <w:jc w:val="both"/>
        <w:rPr>
          <w:rFonts w:ascii="Arial" w:hAnsi="Arial" w:eastAsia="Calibri" w:cs="Arial"/>
          <w:sz w:val="22"/>
        </w:rPr>
      </w:pPr>
      <w:r w:rsidRPr="006442AE">
        <w:rPr>
          <w:rFonts w:ascii="Arial" w:hAnsi="Arial" w:eastAsia="Calibri" w:cs="Arial"/>
          <w:sz w:val="22"/>
        </w:rPr>
        <w:t xml:space="preserve">La Agencia </w:t>
      </w:r>
      <w:r w:rsidRPr="006442AE">
        <w:rPr>
          <w:rFonts w:ascii="Arial" w:hAnsi="Arial" w:eastAsia="Calibri" w:cs="Arial"/>
          <w:bCs/>
          <w:sz w:val="22"/>
        </w:rPr>
        <w:t>Nacional de Contratación Pública – Colombia Compra Eficiente</w:t>
      </w:r>
      <w:r w:rsidRPr="00521AA0" w:rsidR="00521AA0">
        <w:rPr>
          <w:rFonts w:ascii="Arial" w:hAnsi="Arial" w:eastAsia="Calibri" w:cs="Arial"/>
          <w:color w:val="000000" w:themeColor="text1"/>
          <w:sz w:val="22"/>
        </w:rPr>
        <w:t xml:space="preserve"> </w:t>
      </w:r>
      <w:r w:rsidRPr="00DF683D" w:rsidR="00DF683D">
        <w:rPr>
          <w:rFonts w:ascii="Arial" w:hAnsi="Arial" w:eastAsia="Calibri" w:cs="Arial"/>
          <w:color w:val="000000" w:themeColor="text1"/>
          <w:sz w:val="22"/>
        </w:rPr>
        <w:t>se pronunció sobre la definición y el alcance de los documentos tipo en los Conceptos C-144 del 2 de marzo de 2020, C-143 del 18 de marzo de 2020, C-286 del 26 de mayo de 2020, C-450 del 3 de agosto de 2020, C-643 del 26 de octubre de 2020, C-773 del 14 de enero de 2021, C-789 del 19 de enero de 2021, C-064 del 8 de marzo de 2021, C-157 del 13 de abril del 2021</w:t>
      </w:r>
      <w:r w:rsidR="00DF683D">
        <w:rPr>
          <w:rFonts w:ascii="Arial" w:hAnsi="Arial" w:eastAsia="Calibri" w:cs="Arial"/>
          <w:color w:val="000000" w:themeColor="text1"/>
          <w:sz w:val="22"/>
        </w:rPr>
        <w:t xml:space="preserve">, </w:t>
      </w:r>
      <w:r w:rsidRPr="00DF683D" w:rsidR="00DF683D">
        <w:rPr>
          <w:rFonts w:ascii="Arial" w:hAnsi="Arial" w:eastAsia="Calibri" w:cs="Arial"/>
          <w:color w:val="000000" w:themeColor="text1"/>
          <w:sz w:val="22"/>
        </w:rPr>
        <w:t>C-244 del 4 de mayo de 2021</w:t>
      </w:r>
      <w:r w:rsidR="00DF683D">
        <w:rPr>
          <w:rFonts w:ascii="Arial" w:hAnsi="Arial" w:eastAsia="Calibri" w:cs="Arial"/>
          <w:color w:val="000000" w:themeColor="text1"/>
          <w:sz w:val="22"/>
        </w:rPr>
        <w:t xml:space="preserve"> y C-</w:t>
      </w:r>
      <w:r w:rsidR="00297C37">
        <w:rPr>
          <w:rFonts w:ascii="Arial" w:hAnsi="Arial" w:eastAsia="Calibri" w:cs="Arial"/>
          <w:color w:val="000000" w:themeColor="text1"/>
          <w:sz w:val="22"/>
        </w:rPr>
        <w:t>273 del 11 de junio de 2021</w:t>
      </w:r>
      <w:r w:rsidRPr="007E275A">
        <w:rPr>
          <w:rFonts w:ascii="Arial" w:hAnsi="Arial" w:eastAsia="Calibri" w:cs="Arial"/>
          <w:sz w:val="22"/>
        </w:rPr>
        <w:t xml:space="preserve">. </w:t>
      </w:r>
      <w:r w:rsidRPr="00B966BD" w:rsidR="00B966BD">
        <w:rPr>
          <w:rFonts w:ascii="Arial" w:hAnsi="Arial" w:eastAsia="Calibri" w:cs="Arial"/>
          <w:sz w:val="22"/>
        </w:rPr>
        <w:t>Las tesis desarrolladas en estos conceptos se reiteran a continuación y se complementa en lo pertinente</w:t>
      </w:r>
      <w:r w:rsidR="00B966BD">
        <w:rPr>
          <w:rFonts w:ascii="Arial" w:hAnsi="Arial" w:eastAsia="Calibri" w:cs="Arial"/>
          <w:sz w:val="22"/>
        </w:rPr>
        <w:t>:</w:t>
      </w:r>
      <w:r w:rsidRPr="00B966BD" w:rsidDel="00B966BD" w:rsidR="00B966BD">
        <w:rPr>
          <w:rFonts w:ascii="Arial" w:hAnsi="Arial" w:eastAsia="Calibri" w:cs="Arial"/>
          <w:sz w:val="22"/>
        </w:rPr>
        <w:t xml:space="preserve"> </w:t>
      </w:r>
      <w:bookmarkEnd w:id="6"/>
    </w:p>
    <w:p w:rsidR="00903584" w:rsidP="00903584" w:rsidRDefault="00903584" w14:paraId="77137C19" w14:textId="77777777">
      <w:pPr>
        <w:spacing w:line="276" w:lineRule="auto"/>
        <w:jc w:val="both"/>
        <w:rPr>
          <w:rFonts w:ascii="Arial" w:hAnsi="Arial" w:eastAsia="Calibri" w:cs="Arial"/>
          <w:sz w:val="22"/>
        </w:rPr>
      </w:pPr>
    </w:p>
    <w:p w:rsidR="00C93CC4" w:rsidP="004B2E72" w:rsidRDefault="00EA1C4C" w14:paraId="0262E652" w14:textId="77777777">
      <w:pPr>
        <w:spacing w:line="276" w:lineRule="auto"/>
        <w:jc w:val="both"/>
        <w:rPr>
          <w:rFonts w:ascii="Arial" w:hAnsi="Arial" w:eastAsia="Calibri" w:cs="Arial"/>
          <w:b/>
          <w:bCs/>
          <w:color w:val="000000"/>
          <w:sz w:val="22"/>
          <w:lang w:eastAsia="en-GB"/>
        </w:rPr>
      </w:pPr>
      <w:r>
        <w:rPr>
          <w:rFonts w:ascii="Arial" w:hAnsi="Arial" w:eastAsia="Calibri" w:cs="Arial"/>
          <w:b/>
          <w:bCs/>
          <w:color w:val="000000"/>
          <w:sz w:val="22"/>
          <w:lang w:eastAsia="en-GB"/>
        </w:rPr>
        <w:t xml:space="preserve">2.1 </w:t>
      </w:r>
      <w:r w:rsidRPr="00FF4961">
        <w:rPr>
          <w:rFonts w:ascii="Arial" w:hAnsi="Arial" w:eastAsia="Calibri" w:cs="Arial"/>
          <w:b/>
          <w:bCs/>
          <w:color w:val="000000"/>
          <w:sz w:val="22"/>
          <w:lang w:eastAsia="en-GB"/>
        </w:rPr>
        <w:t xml:space="preserve">Documentos tipo de licitación </w:t>
      </w:r>
      <w:r>
        <w:rPr>
          <w:rFonts w:ascii="Arial" w:hAnsi="Arial" w:eastAsia="Calibri" w:cs="Arial"/>
          <w:b/>
          <w:bCs/>
          <w:color w:val="000000"/>
          <w:sz w:val="22"/>
          <w:lang w:eastAsia="en-GB"/>
        </w:rPr>
        <w:t>pública para</w:t>
      </w:r>
      <w:r w:rsidRPr="00FF4961">
        <w:rPr>
          <w:rFonts w:ascii="Arial" w:hAnsi="Arial" w:eastAsia="Calibri" w:cs="Arial"/>
          <w:b/>
          <w:bCs/>
          <w:color w:val="000000"/>
          <w:sz w:val="22"/>
          <w:lang w:eastAsia="en-GB"/>
        </w:rPr>
        <w:t xml:space="preserve"> obra de</w:t>
      </w:r>
      <w:r>
        <w:rPr>
          <w:rFonts w:ascii="Arial" w:hAnsi="Arial" w:eastAsia="Calibri" w:cs="Arial"/>
          <w:b/>
          <w:bCs/>
          <w:color w:val="000000"/>
          <w:sz w:val="22"/>
          <w:lang w:eastAsia="en-GB"/>
        </w:rPr>
        <w:t xml:space="preserve"> infraestructura de</w:t>
      </w:r>
      <w:r w:rsidRPr="00FF4961">
        <w:rPr>
          <w:rFonts w:ascii="Arial" w:hAnsi="Arial" w:eastAsia="Calibri" w:cs="Arial"/>
          <w:b/>
          <w:bCs/>
          <w:color w:val="000000"/>
          <w:sz w:val="22"/>
          <w:lang w:eastAsia="en-GB"/>
        </w:rPr>
        <w:t xml:space="preserve"> agua potable y saneamiento básico</w:t>
      </w:r>
    </w:p>
    <w:p w:rsidRPr="005373DA" w:rsidR="00EA1C4C" w:rsidP="004B2E72" w:rsidRDefault="000B5754" w14:paraId="6CAD280A" w14:textId="33CACD07">
      <w:pPr>
        <w:spacing w:line="276" w:lineRule="auto"/>
        <w:jc w:val="both"/>
        <w:rPr>
          <w:rFonts w:ascii="Arial" w:hAnsi="Arial" w:eastAsia="Calibri" w:cs="Arial"/>
          <w:b/>
          <w:bCs/>
          <w:color w:val="000000"/>
          <w:sz w:val="22"/>
          <w:lang w:eastAsia="en-GB"/>
        </w:rPr>
      </w:pPr>
      <w:r>
        <w:rPr>
          <w:rFonts w:ascii="Arial" w:hAnsi="Arial" w:eastAsia="Calibri" w:cs="Arial"/>
          <w:b/>
          <w:bCs/>
          <w:color w:val="000000"/>
          <w:sz w:val="22"/>
          <w:lang w:eastAsia="en-GB"/>
        </w:rPr>
        <w:t xml:space="preserve"> </w:t>
      </w:r>
    </w:p>
    <w:p w:rsidRPr="00D459FB" w:rsidR="00354041" w:rsidP="00354041" w:rsidRDefault="00354041" w14:paraId="3B4D5673" w14:textId="3B8136C5">
      <w:pPr>
        <w:spacing w:line="276" w:lineRule="auto"/>
        <w:jc w:val="both"/>
        <w:rPr>
          <w:color w:val="0D0D0D" w:themeColor="text1" w:themeTint="F2"/>
        </w:rPr>
      </w:pPr>
      <w:r>
        <w:rPr>
          <w:rFonts w:ascii="Arial" w:hAnsi="Arial" w:eastAsia="Calibri"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1"/>
      </w:r>
      <w:r>
        <w:rPr>
          <w:rFonts w:ascii="Arial" w:hAnsi="Arial" w:cs="Arial"/>
          <w:color w:val="0D0D0D" w:themeColor="text1" w:themeTint="F2"/>
          <w:sz w:val="22"/>
          <w:lang w:val="es-ES"/>
        </w:rPr>
        <w:t xml:space="preserve">. </w:t>
      </w:r>
      <w:r w:rsidRPr="00D459FB">
        <w:rPr>
          <w:rFonts w:ascii="Arial" w:hAnsi="Arial" w:cs="Arial"/>
          <w:color w:val="0D0D0D" w:themeColor="text1" w:themeTint="F2"/>
          <w:sz w:val="22"/>
          <w:lang w:val="es-ES"/>
        </w:rPr>
        <w:t>La orientación inicial del proyecto que se convirtió en la Ley 1150 de 2007 era facultar al Gobierno Nacional para adoptar los pliegos tipo en todos los contratos estatales, pues disponía que «El Gobierno Nacional tendrá la facultad de estandarizar los pliegos de condiciones o términos de referencia y los contratos de las entidades estatales»</w:t>
      </w:r>
      <w:r w:rsidRPr="00D459FB">
        <w:rPr>
          <w:rFonts w:ascii="Arial" w:hAnsi="Arial" w:cs="Arial"/>
          <w:color w:val="0D0D0D" w:themeColor="text1" w:themeTint="F2"/>
          <w:sz w:val="22"/>
          <w:vertAlign w:val="superscript"/>
          <w:lang w:val="es-ES"/>
        </w:rPr>
        <w:footnoteReference w:id="2"/>
      </w:r>
      <w:r w:rsidRPr="00D459FB">
        <w:rPr>
          <w:rFonts w:ascii="Arial" w:hAnsi="Arial" w:cs="Arial"/>
          <w:color w:val="0D0D0D" w:themeColor="text1" w:themeTint="F2"/>
          <w:sz w:val="22"/>
          <w:lang w:val="es-ES"/>
        </w:rPr>
        <w:t>.</w:t>
      </w:r>
    </w:p>
    <w:p w:rsidR="00354041" w:rsidP="00354041" w:rsidRDefault="00354041" w14:paraId="20FA4083" w14:textId="77777777">
      <w:pPr>
        <w:spacing w:before="120" w:line="276" w:lineRule="auto"/>
        <w:jc w:val="both"/>
        <w:rPr>
          <w:rFonts w:ascii="Arial" w:hAnsi="Arial" w:cs="Arial"/>
          <w:color w:val="0D0D0D" w:themeColor="text1" w:themeTint="F2"/>
          <w:sz w:val="21"/>
          <w:szCs w:val="21"/>
          <w:lang w:val="es-ES"/>
        </w:rPr>
      </w:pPr>
      <w:r w:rsidRPr="00D459FB">
        <w:rPr>
          <w:color w:val="0D0D0D" w:themeColor="text1" w:themeTint="F2"/>
        </w:rPr>
        <w:tab/>
      </w:r>
      <w:r w:rsidRPr="00D459FB">
        <w:rPr>
          <w:rFonts w:ascii="Arial" w:hAnsi="Arial" w:cs="Arial"/>
          <w:color w:val="0D0D0D" w:themeColor="text1" w:themeTint="F2"/>
          <w:sz w:val="22"/>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459FB">
        <w:rPr>
          <w:rFonts w:ascii="Arial" w:hAnsi="Arial" w:cs="Arial"/>
          <w:color w:val="0D0D0D" w:themeColor="text1" w:themeTint="F2"/>
          <w:sz w:val="22"/>
          <w:vertAlign w:val="superscript"/>
          <w:lang w:val="es-ES"/>
        </w:rPr>
        <w:footnoteReference w:id="3"/>
      </w:r>
      <w:r w:rsidRPr="00D459FB">
        <w:rPr>
          <w:rFonts w:ascii="Arial" w:hAnsi="Arial" w:cs="Arial"/>
          <w:color w:val="0D0D0D" w:themeColor="text1" w:themeTint="F2"/>
          <w:sz w:val="22"/>
          <w:vertAlign w:val="superscript"/>
          <w:lang w:val="es-ES"/>
        </w:rPr>
        <w:t xml:space="preserve"> </w:t>
      </w:r>
      <w:r w:rsidRPr="00D459FB">
        <w:rPr>
          <w:rFonts w:ascii="Arial" w:hAnsi="Arial" w:cs="Arial"/>
          <w:color w:val="0D0D0D" w:themeColor="text1" w:themeTint="F2"/>
          <w:sz w:val="22"/>
          <w:lang w:val="es-ES"/>
        </w:rPr>
        <w:t xml:space="preserve">. Sin embargo, en el texto </w:t>
      </w:r>
      <w:r w:rsidRPr="00D459FB">
        <w:rPr>
          <w:rFonts w:ascii="Arial" w:hAnsi="Arial" w:cs="Arial"/>
          <w:color w:val="0D0D0D" w:themeColor="text1" w:themeTint="F2"/>
          <w:sz w:val="22"/>
          <w:lang w:val="es-ES"/>
        </w:rPr>
        <w:lastRenderedPageBreak/>
        <w:t>aprobado, los pliegos tipo se limitaron a la adquisición o suministro de bienes de características técnicas uniformes</w:t>
      </w:r>
      <w:r w:rsidRPr="00D459FB">
        <w:rPr>
          <w:rFonts w:ascii="Arial" w:hAnsi="Arial" w:cs="Arial"/>
          <w:color w:val="0D0D0D" w:themeColor="text1" w:themeTint="F2"/>
          <w:sz w:val="21"/>
          <w:szCs w:val="21"/>
          <w:vertAlign w:val="superscript"/>
          <w:lang w:val="es-ES"/>
        </w:rPr>
        <w:footnoteReference w:id="4"/>
      </w:r>
      <w:r w:rsidRPr="00D459FB">
        <w:rPr>
          <w:rFonts w:ascii="Arial" w:hAnsi="Arial" w:cs="Arial"/>
          <w:color w:val="0D0D0D" w:themeColor="text1" w:themeTint="F2"/>
          <w:sz w:val="21"/>
          <w:szCs w:val="21"/>
          <w:lang w:val="es-ES"/>
        </w:rPr>
        <w:t>.</w:t>
      </w:r>
    </w:p>
    <w:p w:rsidRPr="002052BB" w:rsidR="00354041" w:rsidP="002052BB" w:rsidRDefault="00354041" w14:paraId="2ADA5FD0" w14:textId="6CCF4494">
      <w:pPr>
        <w:spacing w:before="120" w:line="276" w:lineRule="auto"/>
        <w:ind w:firstLine="709"/>
        <w:jc w:val="both"/>
        <w:rPr>
          <w:rFonts w:ascii="Arial" w:hAnsi="Arial" w:eastAsia="Calibri" w:cs="Arial"/>
          <w:color w:val="000000"/>
          <w:sz w:val="22"/>
        </w:rPr>
      </w:pPr>
      <w:r>
        <w:rPr>
          <w:rFonts w:ascii="Arial" w:hAnsi="Arial" w:eastAsia="Calibri" w:cs="Arial"/>
          <w:color w:val="000000"/>
          <w:sz w:val="22"/>
        </w:rPr>
        <w:t>Posteriormente, a partir del artículo 4 de la Ley 1882 de 2018</w:t>
      </w:r>
      <w:r w:rsidR="00E91843">
        <w:rPr>
          <w:rFonts w:ascii="Arial" w:hAnsi="Arial" w:eastAsia="Calibri" w:cs="Arial"/>
          <w:color w:val="000000"/>
          <w:sz w:val="22"/>
        </w:rPr>
        <w:t>,</w:t>
      </w:r>
      <w:r>
        <w:rPr>
          <w:rFonts w:ascii="Arial" w:hAnsi="Arial" w:eastAsia="Calibri" w:cs="Arial"/>
          <w:color w:val="000000"/>
          <w:sz w:val="22"/>
        </w:rPr>
        <w:t xml:space="preserve"> se</w:t>
      </w:r>
      <w:r w:rsidR="00D5794A">
        <w:rPr>
          <w:rFonts w:ascii="Arial" w:hAnsi="Arial" w:eastAsia="Calibri" w:cs="Arial"/>
          <w:color w:val="000000"/>
          <w:sz w:val="22"/>
        </w:rPr>
        <w:t xml:space="preserve"> dispuso</w:t>
      </w:r>
      <w:r>
        <w:rPr>
          <w:rFonts w:ascii="Arial" w:hAnsi="Arial" w:eastAsia="Calibri" w:cs="Arial"/>
          <w:color w:val="000000"/>
          <w:sz w:val="22"/>
        </w:rPr>
        <w:t xml:space="preserve"> la obligatoriedad por parte de todas las entidades públicas sometidas al Estatuto General de Contratación Pública de aplicar los documentos tipo. </w:t>
      </w:r>
      <w:r w:rsidR="00435833">
        <w:rPr>
          <w:rFonts w:ascii="Arial" w:hAnsi="Arial" w:eastAsia="Calibri" w:cs="Arial"/>
          <w:color w:val="000000"/>
          <w:sz w:val="22"/>
        </w:rPr>
        <w:t>La norma citada prescribía</w:t>
      </w:r>
      <w:r>
        <w:rPr>
          <w:rFonts w:ascii="Arial" w:hAnsi="Arial" w:eastAsia="Calibri" w:cs="Arial"/>
          <w:color w:val="000000"/>
          <w:sz w:val="22"/>
        </w:rPr>
        <w:t xml:space="preserve"> que el Gobierno nacional adoptaría los documentos tipo para los pliegos de condiciones de los procesos de selección de obras públicas, interventoría para las obras públicas, interventoría para consultoría de estudios y diseños para obras públicas, consultoría en </w:t>
      </w:r>
      <w:r w:rsidR="00E91843">
        <w:rPr>
          <w:rFonts w:ascii="Arial" w:hAnsi="Arial" w:eastAsia="Calibri" w:cs="Arial"/>
          <w:color w:val="000000"/>
          <w:sz w:val="22"/>
        </w:rPr>
        <w:t>ingeniería para</w:t>
      </w:r>
      <w:r>
        <w:rPr>
          <w:rFonts w:ascii="Arial" w:hAnsi="Arial" w:eastAsia="Calibri" w:cs="Arial"/>
          <w:color w:val="000000"/>
          <w:sz w:val="22"/>
        </w:rPr>
        <w:t xml:space="preserve"> obras, los cuales debían </w:t>
      </w:r>
      <w:r w:rsidR="00E91843">
        <w:rPr>
          <w:rFonts w:ascii="Arial" w:hAnsi="Arial" w:eastAsia="Calibri" w:cs="Arial"/>
          <w:color w:val="000000"/>
          <w:sz w:val="22"/>
        </w:rPr>
        <w:t>aplicarse</w:t>
      </w:r>
      <w:r>
        <w:rPr>
          <w:rFonts w:ascii="Arial" w:hAnsi="Arial" w:eastAsia="Calibri" w:cs="Arial"/>
          <w:color w:val="000000"/>
          <w:sz w:val="22"/>
        </w:rPr>
        <w:t xml:space="preserve"> por todas las entidades sometidas al Estatuto General de la Contratación de la Administración Pública en los procesos de selección que adelantaran</w:t>
      </w:r>
      <w:r>
        <w:rPr>
          <w:rStyle w:val="Refdenotaalpie"/>
          <w:rFonts w:ascii="Arial" w:hAnsi="Arial" w:eastAsia="Calibri" w:cs="Arial"/>
          <w:color w:val="000000"/>
          <w:sz w:val="22"/>
        </w:rPr>
        <w:footnoteReference w:id="5"/>
      </w:r>
      <w:r>
        <w:rPr>
          <w:rFonts w:ascii="Arial" w:hAnsi="Arial" w:eastAsia="Calibri" w:cs="Arial"/>
          <w:color w:val="000000"/>
          <w:sz w:val="22"/>
        </w:rPr>
        <w:t>.</w:t>
      </w:r>
      <w:r w:rsidRPr="00290253">
        <w:rPr>
          <w:rFonts w:ascii="Arial" w:hAnsi="Arial" w:cs="Arial"/>
          <w:color w:val="0D0D0D" w:themeColor="text1" w:themeTint="F2"/>
          <w:sz w:val="22"/>
        </w:rPr>
        <w:t xml:space="preserve"> </w:t>
      </w:r>
    </w:p>
    <w:p w:rsidR="00354041" w:rsidP="00354041" w:rsidRDefault="00354041" w14:paraId="169A69FC" w14:textId="77777777">
      <w:pPr>
        <w:spacing w:before="120"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Mas tarde</w:t>
      </w:r>
      <w:r w:rsidRPr="00290253">
        <w:rPr>
          <w:rFonts w:ascii="Arial" w:hAnsi="Arial" w:cs="Arial"/>
          <w:color w:val="0D0D0D" w:themeColor="text1" w:themeTint="F2"/>
          <w:sz w:val="22"/>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w:t>
      </w:r>
      <w:r w:rsidRPr="00290253">
        <w:rPr>
          <w:rFonts w:ascii="Arial" w:hAnsi="Arial" w:cs="Arial"/>
          <w:color w:val="0D0D0D" w:themeColor="text1" w:themeTint="F2"/>
          <w:sz w:val="22"/>
        </w:rPr>
        <w:lastRenderedPageBreak/>
        <w:t>entidades especializadas, recepción de comentarios de los interesados y revisión de los documentos tipo expedidos</w:t>
      </w:r>
      <w:r w:rsidRPr="00290253">
        <w:rPr>
          <w:rFonts w:ascii="Arial" w:hAnsi="Arial" w:cs="Arial"/>
          <w:color w:val="0D0D0D" w:themeColor="text1" w:themeTint="F2"/>
          <w:sz w:val="22"/>
          <w:vertAlign w:val="superscript"/>
        </w:rPr>
        <w:footnoteReference w:id="6"/>
      </w:r>
      <w:r w:rsidRPr="00290253">
        <w:rPr>
          <w:rFonts w:ascii="Arial" w:hAnsi="Arial" w:cs="Arial"/>
          <w:color w:val="0D0D0D" w:themeColor="text1" w:themeTint="F2"/>
          <w:sz w:val="22"/>
        </w:rPr>
        <w:t xml:space="preserve">. </w:t>
      </w:r>
    </w:p>
    <w:p w:rsidRPr="00665597" w:rsidR="00354041" w:rsidP="00354041" w:rsidRDefault="00354041" w14:paraId="3CE09D99" w14:textId="77777777">
      <w:pPr>
        <w:spacing w:before="120" w:line="276" w:lineRule="auto"/>
        <w:ind w:firstLine="708"/>
        <w:jc w:val="both"/>
        <w:rPr>
          <w:rFonts w:ascii="Arial" w:hAnsi="Arial" w:eastAsia="Calibri" w:cs="Arial"/>
          <w:sz w:val="22"/>
        </w:rPr>
      </w:pPr>
      <w:r>
        <w:rPr>
          <w:rFonts w:ascii="Arial" w:hAnsi="Arial" w:eastAsia="Calibri" w:cs="Arial"/>
          <w:sz w:val="22"/>
        </w:rPr>
        <w:t>En este sentido, p</w:t>
      </w:r>
      <w:r w:rsidRPr="00665597">
        <w:rPr>
          <w:rFonts w:ascii="Arial" w:hAnsi="Arial" w:eastAsia="Calibri" w:cs="Arial"/>
          <w:sz w:val="22"/>
        </w:rPr>
        <w:t xml:space="preserve">or disposición expresa de la Ley 2022 de 2020, </w:t>
      </w:r>
      <w:r>
        <w:rPr>
          <w:rFonts w:ascii="Arial" w:hAnsi="Arial" w:eastAsia="Calibri" w:cs="Arial"/>
          <w:sz w:val="22"/>
        </w:rPr>
        <w:t xml:space="preserve">se </w:t>
      </w:r>
      <w:r w:rsidRPr="009C48FC">
        <w:rPr>
          <w:rFonts w:ascii="Arial" w:hAnsi="Arial" w:eastAsia="Calibri" w:cs="Arial"/>
          <w:sz w:val="22"/>
        </w:rPr>
        <w:t>otorgó a la Agencia Nacional de Contratación Pública – Colombia Compra Eficiente la competencia para adoptar los documentos tipo</w:t>
      </w:r>
      <w:r>
        <w:rPr>
          <w:rFonts w:ascii="Arial" w:hAnsi="Arial" w:eastAsia="Calibri" w:cs="Arial"/>
          <w:sz w:val="22"/>
        </w:rPr>
        <w:t>. Además, reiteró la obligatoriedad de los</w:t>
      </w:r>
      <w:r w:rsidRPr="00665597">
        <w:rPr>
          <w:rFonts w:ascii="Arial" w:hAnsi="Arial" w:eastAsia="Calibri" w:cs="Arial"/>
          <w:sz w:val="22"/>
        </w:rPr>
        <w:t xml:space="preserve"> «Documentos tipo»</w:t>
      </w:r>
      <w:r>
        <w:rPr>
          <w:rFonts w:ascii="Arial" w:hAnsi="Arial" w:eastAsia="Calibri" w:cs="Arial"/>
          <w:sz w:val="22"/>
        </w:rPr>
        <w:t xml:space="preserve"> que se adopten,</w:t>
      </w:r>
      <w:r w:rsidRPr="00665597">
        <w:rPr>
          <w:rFonts w:ascii="Arial" w:hAnsi="Arial" w:eastAsia="Calibri" w:cs="Arial"/>
          <w:sz w:val="22"/>
        </w:rPr>
        <w:t xml:space="preserve"> p</w:t>
      </w:r>
      <w:r>
        <w:rPr>
          <w:rFonts w:ascii="Arial" w:hAnsi="Arial" w:eastAsia="Calibri" w:cs="Arial"/>
          <w:sz w:val="22"/>
        </w:rPr>
        <w:t>ara</w:t>
      </w:r>
      <w:r w:rsidRPr="00665597">
        <w:rPr>
          <w:rFonts w:ascii="Arial" w:hAnsi="Arial" w:eastAsia="Calibri" w:cs="Arial"/>
          <w:sz w:val="22"/>
        </w:rPr>
        <w:t xml:space="preserve"> todas las entidades públicas cuyo régimen de contratación está sometida al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rsidRPr="00CF623E" w:rsidR="00354041" w:rsidP="00354041" w:rsidRDefault="00354041" w14:paraId="100AC124" w14:textId="77777777">
      <w:pPr>
        <w:spacing w:before="120" w:line="276" w:lineRule="auto"/>
        <w:ind w:firstLine="709"/>
        <w:jc w:val="both"/>
        <w:rPr>
          <w:rFonts w:ascii="Arial" w:hAnsi="Arial" w:eastAsia="Calibri" w:cs="Arial"/>
          <w:sz w:val="22"/>
        </w:rPr>
      </w:pPr>
      <w:r>
        <w:rPr>
          <w:rFonts w:ascii="Arial" w:hAnsi="Arial" w:eastAsia="Calibri" w:cs="Arial"/>
          <w:sz w:val="22"/>
        </w:rPr>
        <w:t xml:space="preserve">Así, </w:t>
      </w:r>
      <w:r w:rsidRPr="00CF623E">
        <w:rPr>
          <w:rFonts w:ascii="Arial" w:hAnsi="Arial" w:eastAsia="Calibri" w:cs="Arial"/>
          <w:sz w:val="22"/>
        </w:rPr>
        <w:t xml:space="preserve">en desarrollo de la Ley 2022 de 2020, la Agencia Nacional de Contratación Pública expidió las Resoluciones No.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Conforme al artículo 6 </w:t>
      </w:r>
      <w:r w:rsidRPr="00CF623E">
        <w:rPr>
          <w:rFonts w:ascii="Arial" w:hAnsi="Arial" w:eastAsia="Calibri" w:cs="Arial"/>
          <w:i/>
          <w:iCs/>
          <w:sz w:val="22"/>
        </w:rPr>
        <w:t>ibídem</w:t>
      </w:r>
      <w:r w:rsidRPr="00CF623E">
        <w:rPr>
          <w:rFonts w:ascii="Arial" w:hAnsi="Arial" w:eastAsia="Calibri" w:cs="Arial"/>
          <w:sz w:val="22"/>
        </w:rPr>
        <w:t xml:space="preserve">, la implementación de estos documentos es obligatoria en los procedimientos de selección </w:t>
      </w:r>
      <w:r>
        <w:rPr>
          <w:rFonts w:ascii="Arial" w:hAnsi="Arial" w:eastAsia="Calibri" w:cs="Arial"/>
          <w:sz w:val="22"/>
        </w:rPr>
        <w:t xml:space="preserve">de licitación pública </w:t>
      </w:r>
      <w:r w:rsidRPr="00CF623E">
        <w:rPr>
          <w:rFonts w:ascii="Arial" w:hAnsi="Arial" w:eastAsia="Calibri" w:cs="Arial"/>
          <w:sz w:val="22"/>
        </w:rPr>
        <w:t>cuyo aviso de convocatoria se publique a partir del 11 de diciembre de 2020.</w:t>
      </w:r>
    </w:p>
    <w:p w:rsidR="00354041" w:rsidP="002052BB" w:rsidRDefault="00354041" w14:paraId="07A02B4B" w14:textId="77777777">
      <w:pPr>
        <w:pStyle w:val="xmsonospacing"/>
        <w:spacing w:before="120" w:beforeAutospacing="0" w:after="120" w:afterAutospacing="0" w:line="276" w:lineRule="auto"/>
        <w:ind w:firstLine="709"/>
        <w:jc w:val="both"/>
        <w:rPr>
          <w:rFonts w:ascii="Arial" w:hAnsi="Arial" w:cs="Arial"/>
          <w:color w:val="000000"/>
          <w:sz w:val="22"/>
          <w:szCs w:val="22"/>
          <w:bdr w:val="none" w:color="auto" w:sz="0" w:space="0" w:frame="1"/>
        </w:rPr>
      </w:pPr>
      <w:r>
        <w:rPr>
          <w:rFonts w:ascii="Arial" w:hAnsi="Arial" w:eastAsia="Calibri" w:cs="Arial"/>
          <w:sz w:val="22"/>
        </w:rPr>
        <w:lastRenderedPageBreak/>
        <w:t xml:space="preserve">En relación con </w:t>
      </w:r>
      <w:r w:rsidRPr="009C48FC">
        <w:rPr>
          <w:rFonts w:ascii="Arial" w:hAnsi="Arial" w:eastAsia="Calibri" w:cs="Arial"/>
          <w:sz w:val="22"/>
        </w:rPr>
        <w:t>los documentos tipo propiamente dichos, el artículo 2 de</w:t>
      </w:r>
      <w:r>
        <w:rPr>
          <w:rFonts w:ascii="Arial" w:hAnsi="Arial" w:eastAsia="Calibri" w:cs="Arial"/>
          <w:sz w:val="22"/>
        </w:rPr>
        <w:t xml:space="preserve"> las resoluciones señaladas,</w:t>
      </w:r>
      <w:r w:rsidRPr="009C48FC">
        <w:rPr>
          <w:rFonts w:ascii="Arial" w:hAnsi="Arial" w:eastAsia="Calibri" w:cs="Arial"/>
          <w:sz w:val="22"/>
        </w:rPr>
        <w:t xml:space="preserve"> contempló el documento base con los correspondientes anexos, formatos, matrices y formularios</w:t>
      </w:r>
      <w:r>
        <w:rPr>
          <w:rFonts w:ascii="Arial" w:hAnsi="Arial" w:eastAsia="Calibri" w:cs="Arial"/>
          <w:sz w:val="22"/>
        </w:rPr>
        <w:t xml:space="preserve"> para los procesos que se realicen por la modalidad de licitación pública</w:t>
      </w:r>
      <w:r w:rsidRPr="009C48FC">
        <w:rPr>
          <w:rFonts w:ascii="Arial" w:hAnsi="Arial" w:eastAsia="Calibri" w:cs="Arial"/>
          <w:sz w:val="22"/>
        </w:rPr>
        <w:t>.</w:t>
      </w:r>
      <w:r>
        <w:rPr>
          <w:rFonts w:ascii="Arial" w:hAnsi="Arial" w:eastAsia="Calibri" w:cs="Arial"/>
          <w:sz w:val="22"/>
        </w:rPr>
        <w:t xml:space="preserve"> Según esta norma, </w:t>
      </w:r>
      <w:r>
        <w:rPr>
          <w:rFonts w:ascii="Arial" w:hAnsi="Arial" w:cs="Arial"/>
          <w:color w:val="000000"/>
          <w:sz w:val="22"/>
          <w:szCs w:val="22"/>
          <w:bdr w:val="none" w:color="auto" w:sz="0" w:space="0" w:frame="1"/>
        </w:rPr>
        <w:t>los</w:t>
      </w:r>
      <w:r w:rsidRPr="00D77CBA">
        <w:rPr>
          <w:rFonts w:ascii="Arial" w:hAnsi="Arial" w:cs="Arial"/>
          <w:color w:val="000000"/>
          <w:sz w:val="22"/>
          <w:szCs w:val="22"/>
          <w:bdr w:val="none" w:color="auto" w:sz="0" w:space="0" w:frame="1"/>
        </w:rPr>
        <w:t xml:space="preserve"> documentos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Pr>
          <w:rFonts w:ascii="Arial" w:hAnsi="Arial" w:eastAsia="Calibri" w:cs="Arial"/>
          <w:sz w:val="22"/>
          <w:szCs w:val="22"/>
          <w:lang w:val="es-MX" w:eastAsia="en-US"/>
        </w:rPr>
        <w:t xml:space="preserve">. </w:t>
      </w:r>
    </w:p>
    <w:p w:rsidR="009E49CC" w:rsidP="005373DA" w:rsidRDefault="00354041" w14:paraId="2BB764A7" w14:textId="05E7B4F6">
      <w:pPr>
        <w:spacing w:line="276" w:lineRule="auto"/>
        <w:ind w:firstLine="708"/>
        <w:jc w:val="both"/>
        <w:rPr>
          <w:rFonts w:ascii="Arial" w:hAnsi="Arial" w:eastAsia="Calibri" w:cs="Arial"/>
          <w:sz w:val="22"/>
        </w:rPr>
      </w:pPr>
      <w:r>
        <w:rPr>
          <w:rFonts w:ascii="Arial" w:hAnsi="Arial" w:eastAsia="Calibri" w:cs="Arial"/>
          <w:sz w:val="22"/>
        </w:rPr>
        <w:t xml:space="preserve">Así las cosas, precisada la obligatoriedad de los documentos tipo, a continuación, se explicará la forma en la que aplica la </w:t>
      </w:r>
      <w:r w:rsidRPr="00665597">
        <w:rPr>
          <w:rFonts w:ascii="Arial" w:hAnsi="Arial" w:eastAsia="Calibri" w:cs="Arial"/>
          <w:sz w:val="22"/>
        </w:rPr>
        <w:t>«</w:t>
      </w:r>
      <w:r w:rsidRPr="00D96CA2">
        <w:rPr>
          <w:rFonts w:ascii="Arial" w:hAnsi="Arial" w:eastAsia="Calibri" w:cs="Arial"/>
          <w:sz w:val="22"/>
        </w:rPr>
        <w:t>Matriz 1 – Experiencia</w:t>
      </w:r>
      <w:r w:rsidRPr="00665597">
        <w:rPr>
          <w:rFonts w:ascii="Arial" w:hAnsi="Arial" w:eastAsia="Calibri" w:cs="Arial"/>
          <w:sz w:val="22"/>
        </w:rPr>
        <w:t>»</w:t>
      </w:r>
      <w:r>
        <w:rPr>
          <w:rFonts w:ascii="Arial" w:hAnsi="Arial" w:eastAsia="Calibri" w:cs="Arial"/>
          <w:sz w:val="22"/>
        </w:rPr>
        <w:t xml:space="preserve"> en los proyectos </w:t>
      </w:r>
      <w:r w:rsidRPr="00665597">
        <w:rPr>
          <w:rFonts w:ascii="Arial" w:hAnsi="Arial" w:eastAsia="Calibri" w:cs="Arial"/>
          <w:sz w:val="22"/>
        </w:rPr>
        <w:t>de infraestructura de agua potable y saneamiento básico</w:t>
      </w:r>
      <w:r w:rsidR="00321A36">
        <w:rPr>
          <w:rFonts w:ascii="Arial" w:hAnsi="Arial" w:eastAsia="Calibri" w:cs="Arial"/>
          <w:sz w:val="22"/>
        </w:rPr>
        <w:t>. Lo anterior</w:t>
      </w:r>
      <w:r>
        <w:rPr>
          <w:rFonts w:ascii="Arial" w:hAnsi="Arial" w:eastAsia="Calibri" w:cs="Arial"/>
          <w:sz w:val="22"/>
        </w:rPr>
        <w:t xml:space="preserve"> con el fin de</w:t>
      </w:r>
      <w:r w:rsidR="00321A36">
        <w:rPr>
          <w:rFonts w:ascii="Arial" w:hAnsi="Arial" w:eastAsia="Calibri" w:cs="Arial"/>
          <w:sz w:val="22"/>
        </w:rPr>
        <w:t xml:space="preserve"> </w:t>
      </w:r>
      <w:r>
        <w:rPr>
          <w:rFonts w:ascii="Arial" w:hAnsi="Arial" w:eastAsia="Calibri" w:cs="Arial"/>
          <w:sz w:val="22"/>
        </w:rPr>
        <w:t>resp</w:t>
      </w:r>
      <w:r w:rsidR="00321A36">
        <w:rPr>
          <w:rFonts w:ascii="Arial" w:hAnsi="Arial" w:eastAsia="Calibri" w:cs="Arial"/>
          <w:sz w:val="22"/>
        </w:rPr>
        <w:t>onder</w:t>
      </w:r>
      <w:r>
        <w:rPr>
          <w:rFonts w:ascii="Arial" w:hAnsi="Arial" w:eastAsia="Calibri" w:cs="Arial"/>
          <w:sz w:val="22"/>
        </w:rPr>
        <w:t xml:space="preserve"> </w:t>
      </w:r>
      <w:r w:rsidR="00321A36">
        <w:rPr>
          <w:rFonts w:ascii="Arial" w:hAnsi="Arial" w:eastAsia="Calibri" w:cs="Arial"/>
          <w:sz w:val="22"/>
        </w:rPr>
        <w:t>e</w:t>
      </w:r>
      <w:r>
        <w:rPr>
          <w:rFonts w:ascii="Arial" w:hAnsi="Arial" w:eastAsia="Calibri" w:cs="Arial"/>
          <w:sz w:val="22"/>
        </w:rPr>
        <w:t>l objeto de la consulta</w:t>
      </w:r>
      <w:r w:rsidRPr="00C60F20" w:rsidR="00C60F20">
        <w:rPr>
          <w:rFonts w:ascii="Arial" w:hAnsi="Arial" w:eastAsia="Calibri" w:cs="Arial"/>
          <w:sz w:val="22"/>
        </w:rPr>
        <w:t>.</w:t>
      </w:r>
    </w:p>
    <w:p w:rsidR="005373DA" w:rsidP="005373DA" w:rsidRDefault="005373DA" w14:paraId="3CD11E1A" w14:textId="77777777">
      <w:pPr>
        <w:spacing w:line="276" w:lineRule="auto"/>
        <w:ind w:firstLine="708"/>
        <w:jc w:val="both"/>
        <w:rPr>
          <w:rFonts w:ascii="Arial" w:hAnsi="Arial" w:eastAsia="Calibri" w:cs="Arial"/>
          <w:sz w:val="22"/>
        </w:rPr>
      </w:pPr>
    </w:p>
    <w:p w:rsidR="000B5754" w:rsidP="004B2E72" w:rsidRDefault="005C6BD0" w14:paraId="1E310123" w14:textId="5974E9AB">
      <w:pPr>
        <w:tabs>
          <w:tab w:val="left" w:pos="0"/>
        </w:tabs>
        <w:jc w:val="both"/>
        <w:rPr>
          <w:rFonts w:ascii="Arial" w:hAnsi="Arial" w:eastAsia="Calibri" w:cs="Arial"/>
          <w:b/>
          <w:bCs/>
          <w:color w:val="000000"/>
          <w:sz w:val="22"/>
          <w:lang w:eastAsia="en-GB"/>
        </w:rPr>
      </w:pPr>
      <w:r>
        <w:rPr>
          <w:rFonts w:ascii="Arial" w:hAnsi="Arial" w:eastAsia="Calibri" w:cs="Arial"/>
          <w:b/>
          <w:bCs/>
          <w:color w:val="000000"/>
          <w:sz w:val="22"/>
          <w:lang w:eastAsia="en-GB"/>
        </w:rPr>
        <w:t>2.</w:t>
      </w:r>
      <w:r w:rsidR="006371AC">
        <w:rPr>
          <w:rFonts w:ascii="Arial" w:hAnsi="Arial" w:eastAsia="Calibri" w:cs="Arial"/>
          <w:b/>
          <w:bCs/>
          <w:color w:val="000000"/>
          <w:sz w:val="22"/>
          <w:lang w:eastAsia="en-GB"/>
        </w:rPr>
        <w:t>2</w:t>
      </w:r>
      <w:r w:rsidRPr="002D7EDD" w:rsidR="000B5754">
        <w:rPr>
          <w:rFonts w:ascii="Arial" w:hAnsi="Arial" w:eastAsia="Calibri" w:cs="Arial"/>
          <w:b/>
          <w:bCs/>
          <w:color w:val="000000"/>
          <w:sz w:val="22"/>
          <w:lang w:eastAsia="en-GB"/>
        </w:rPr>
        <w:t>.</w:t>
      </w:r>
      <w:r w:rsidRPr="00CE7A77" w:rsidR="000B5754">
        <w:t xml:space="preserve"> </w:t>
      </w:r>
      <w:r w:rsidR="00321A36">
        <w:rPr>
          <w:rFonts w:ascii="Arial" w:hAnsi="Arial" w:eastAsia="Calibri" w:cs="Arial"/>
          <w:b/>
          <w:bCs/>
          <w:sz w:val="22"/>
        </w:rPr>
        <w:t>Aplicación de la «</w:t>
      </w:r>
      <w:r w:rsidRPr="002A40E2" w:rsidR="00321A36">
        <w:rPr>
          <w:rFonts w:ascii="Arial" w:hAnsi="Arial" w:eastAsia="Calibri" w:cs="Arial"/>
          <w:b/>
          <w:bCs/>
          <w:sz w:val="22"/>
        </w:rPr>
        <w:t>Matriz 1 – Experiencia</w:t>
      </w:r>
      <w:r w:rsidR="00321A36">
        <w:rPr>
          <w:rFonts w:ascii="Arial" w:hAnsi="Arial" w:eastAsia="Calibri" w:cs="Arial"/>
          <w:b/>
          <w:bCs/>
          <w:sz w:val="22"/>
        </w:rPr>
        <w:t>»</w:t>
      </w:r>
      <w:r w:rsidRPr="002A40E2" w:rsidR="00321A36">
        <w:rPr>
          <w:rFonts w:ascii="Arial" w:hAnsi="Arial" w:eastAsia="Calibri" w:cs="Arial"/>
          <w:b/>
          <w:bCs/>
          <w:sz w:val="22"/>
        </w:rPr>
        <w:t xml:space="preserve"> a </w:t>
      </w:r>
      <w:r w:rsidR="00DF7006">
        <w:rPr>
          <w:rFonts w:ascii="Arial" w:hAnsi="Arial" w:eastAsia="Calibri" w:cs="Arial"/>
          <w:b/>
          <w:bCs/>
          <w:sz w:val="22"/>
        </w:rPr>
        <w:t xml:space="preserve">los </w:t>
      </w:r>
      <w:r w:rsidRPr="002A40E2" w:rsidR="00321A36">
        <w:rPr>
          <w:rFonts w:ascii="Arial" w:hAnsi="Arial" w:eastAsia="Calibri" w:cs="Arial"/>
          <w:b/>
          <w:bCs/>
          <w:sz w:val="22"/>
        </w:rPr>
        <w:t xml:space="preserve">proyectos </w:t>
      </w:r>
      <w:r w:rsidR="00DF7006">
        <w:rPr>
          <w:rFonts w:ascii="Arial" w:hAnsi="Arial" w:eastAsia="Calibri" w:cs="Arial"/>
          <w:b/>
          <w:bCs/>
          <w:sz w:val="22"/>
        </w:rPr>
        <w:t xml:space="preserve">de </w:t>
      </w:r>
      <w:r w:rsidRPr="002A40E2" w:rsidR="00321A36">
        <w:rPr>
          <w:rFonts w:ascii="Arial" w:hAnsi="Arial" w:eastAsia="Calibri" w:cs="Arial"/>
          <w:b/>
          <w:bCs/>
          <w:sz w:val="22"/>
        </w:rPr>
        <w:t>agua potable y saneamiento básico</w:t>
      </w:r>
      <w:r w:rsidDel="00321A36" w:rsidR="00321A36">
        <w:rPr>
          <w:rFonts w:ascii="Arial" w:hAnsi="Arial" w:eastAsia="Calibri" w:cs="Arial"/>
          <w:b/>
          <w:bCs/>
          <w:color w:val="000000"/>
          <w:sz w:val="22"/>
          <w:lang w:eastAsia="en-GB"/>
        </w:rPr>
        <w:t xml:space="preserve"> </w:t>
      </w:r>
    </w:p>
    <w:p w:rsidRPr="00521AA0" w:rsidR="004B2E72" w:rsidP="004B2E72" w:rsidRDefault="004B2E72" w14:paraId="50B8CF97" w14:textId="77777777">
      <w:pPr>
        <w:tabs>
          <w:tab w:val="left" w:pos="0"/>
        </w:tabs>
        <w:jc w:val="both"/>
        <w:rPr>
          <w:rFonts w:ascii="Arial" w:hAnsi="Arial" w:eastAsia="Calibri" w:cs="Arial"/>
          <w:b/>
          <w:bCs/>
          <w:color w:val="000000"/>
          <w:sz w:val="22"/>
          <w:lang w:eastAsia="en-GB"/>
        </w:rPr>
      </w:pPr>
    </w:p>
    <w:p w:rsidRPr="005A397C" w:rsidR="00372C35" w:rsidP="00372C35" w:rsidRDefault="00372C35" w14:paraId="4B7686BB" w14:textId="77777777">
      <w:pPr>
        <w:spacing w:line="276" w:lineRule="auto"/>
        <w:jc w:val="both"/>
        <w:rPr>
          <w:rFonts w:ascii="Arial" w:hAnsi="Arial" w:eastAsia="Calibri" w:cs="Arial"/>
          <w:sz w:val="22"/>
        </w:rPr>
      </w:pPr>
      <w:r w:rsidRPr="005A397C">
        <w:rPr>
          <w:rFonts w:ascii="Arial" w:hAnsi="Arial" w:eastAsia="Calibri" w:cs="Arial"/>
          <w:sz w:val="22"/>
        </w:rPr>
        <w:t>La parte introductoria del pliego dispone que los documentos tipo se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«Matriz 1 – Experiencia</w:t>
      </w:r>
      <w:bookmarkStart w:name="_Hlk68008512" w:id="7"/>
      <w:r w:rsidRPr="005A397C">
        <w:rPr>
          <w:rFonts w:ascii="Arial" w:hAnsi="Arial" w:eastAsia="Calibri" w:cs="Arial"/>
          <w:sz w:val="22"/>
        </w:rPr>
        <w:t>»</w:t>
      </w:r>
      <w:bookmarkEnd w:id="7"/>
      <w:r w:rsidRPr="005A397C">
        <w:rPr>
          <w:rFonts w:ascii="Arial" w:hAnsi="Arial" w:eastAsia="Calibri" w:cs="Arial"/>
          <w:sz w:val="22"/>
        </w:rPr>
        <w:t>, no tienen que aplicar los documentos tipo, sin perjuicio de lo previsto en el artículo 4 de las Resoluciones Nos. 248 y 249 de 2020 para la obras o servicios adicionales</w:t>
      </w:r>
      <w:r>
        <w:rPr>
          <w:rStyle w:val="Refdenotaalpie"/>
          <w:rFonts w:ascii="Arial" w:hAnsi="Arial" w:cs="Arial"/>
          <w:color w:val="0D0D0D" w:themeColor="text1" w:themeTint="F2"/>
          <w:sz w:val="22"/>
        </w:rPr>
        <w:footnoteReference w:id="7"/>
      </w:r>
      <w:r>
        <w:rPr>
          <w:rFonts w:ascii="Arial" w:hAnsi="Arial" w:eastAsia="Calibri" w:cs="Arial"/>
          <w:sz w:val="22"/>
        </w:rPr>
        <w:t>.</w:t>
      </w:r>
    </w:p>
    <w:p w:rsidRPr="00361F8E" w:rsidR="00372C35" w:rsidP="00372C35" w:rsidRDefault="00372C35" w14:paraId="1D1B9977" w14:textId="517352D9">
      <w:pPr>
        <w:spacing w:before="120"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En este contexto, p</w:t>
      </w:r>
      <w:r w:rsidRPr="00361F8E">
        <w:rPr>
          <w:rFonts w:ascii="Arial" w:hAnsi="Arial" w:cs="Arial"/>
          <w:color w:val="0D0D0D" w:themeColor="text1" w:themeTint="F2"/>
          <w:sz w:val="22"/>
        </w:rPr>
        <w:t>ara determinar el ámbito de aplicación de los documentos tipo de infraestructura para agua potable y saneamiento básico debe acudirse a la «Matriz 1 – Experiencia». Esta matriz</w:t>
      </w:r>
      <w:r w:rsidRPr="00361F8E">
        <w:rPr>
          <w:rFonts w:ascii="Arial" w:hAnsi="Arial" w:eastAsia="Calibri" w:cs="Arial"/>
          <w:sz w:val="22"/>
        </w:rPr>
        <w:t xml:space="preserve"> contempla cinco (5) clases de obras de infraestructura, </w:t>
      </w:r>
      <w:r w:rsidRPr="00361F8E">
        <w:rPr>
          <w:rFonts w:ascii="Arial" w:hAnsi="Arial" w:cs="Arial"/>
          <w:color w:val="0D0D0D" w:themeColor="text1" w:themeTint="F2"/>
          <w:sz w:val="22"/>
        </w:rPr>
        <w:t xml:space="preserve"> identificadas con un número y su descripción</w:t>
      </w:r>
      <w:r w:rsidRPr="00361F8E">
        <w:rPr>
          <w:rFonts w:ascii="Arial" w:hAnsi="Arial" w:eastAsia="Calibri" w:cs="Arial"/>
          <w:sz w:val="22"/>
        </w:rPr>
        <w:t xml:space="preserve"> que corresponden a </w:t>
      </w:r>
      <w:r w:rsidR="00A34A79">
        <w:rPr>
          <w:rFonts w:ascii="Arial" w:hAnsi="Arial" w:eastAsia="Calibri" w:cs="Arial"/>
          <w:sz w:val="22"/>
        </w:rPr>
        <w:t>i</w:t>
      </w:r>
      <w:r w:rsidRPr="00361F8E">
        <w:rPr>
          <w:rFonts w:ascii="Arial" w:hAnsi="Arial" w:eastAsia="Calibri" w:cs="Arial"/>
          <w:sz w:val="22"/>
        </w:rPr>
        <w:t xml:space="preserve">) obras de acueductos </w:t>
      </w:r>
      <w:r w:rsidRPr="00361F8E">
        <w:rPr>
          <w:rFonts w:ascii="Arial" w:hAnsi="Arial" w:eastAsia="Calibri" w:cs="Arial"/>
          <w:sz w:val="22"/>
        </w:rPr>
        <w:lastRenderedPageBreak/>
        <w:t xml:space="preserve">y/o alcantarillados, </w:t>
      </w:r>
      <w:r w:rsidR="00A34A79">
        <w:rPr>
          <w:rFonts w:ascii="Arial" w:hAnsi="Arial" w:eastAsia="Calibri" w:cs="Arial"/>
          <w:sz w:val="22"/>
        </w:rPr>
        <w:t>ii</w:t>
      </w:r>
      <w:r w:rsidRPr="00361F8E">
        <w:rPr>
          <w:rFonts w:ascii="Arial" w:hAnsi="Arial" w:eastAsia="Calibri" w:cs="Arial"/>
          <w:sz w:val="22"/>
        </w:rPr>
        <w:t xml:space="preserve">) obras de aseo y/o manejo de residuos, </w:t>
      </w:r>
      <w:r w:rsidR="00A34A79">
        <w:rPr>
          <w:rFonts w:ascii="Arial" w:hAnsi="Arial" w:eastAsia="Calibri" w:cs="Arial"/>
          <w:sz w:val="22"/>
        </w:rPr>
        <w:t>iii</w:t>
      </w:r>
      <w:r w:rsidRPr="00361F8E">
        <w:rPr>
          <w:rFonts w:ascii="Arial" w:hAnsi="Arial" w:eastAsia="Calibri" w:cs="Arial"/>
          <w:sz w:val="22"/>
        </w:rPr>
        <w:t xml:space="preserve">) obras para PTAP –planta de tratamiento de agua potable– y/o PTAR –planta de tratamiento de aguas residuales–, </w:t>
      </w:r>
      <w:r w:rsidR="00A34A79">
        <w:rPr>
          <w:rFonts w:ascii="Arial" w:hAnsi="Arial" w:eastAsia="Calibri" w:cs="Arial"/>
          <w:sz w:val="22"/>
        </w:rPr>
        <w:t>iv</w:t>
      </w:r>
      <w:r w:rsidRPr="00361F8E">
        <w:rPr>
          <w:rFonts w:ascii="Arial" w:hAnsi="Arial" w:eastAsia="Calibri" w:cs="Arial"/>
          <w:sz w:val="22"/>
        </w:rPr>
        <w:t xml:space="preserve">) estudios y diseños –en el caso de proyectos que requieran labores de estudios, diseños y construcción bajo la modalidad de llave en mano– y </w:t>
      </w:r>
      <w:r w:rsidR="00A34A79">
        <w:rPr>
          <w:rFonts w:ascii="Arial" w:hAnsi="Arial" w:eastAsia="Calibri" w:cs="Arial"/>
          <w:sz w:val="22"/>
        </w:rPr>
        <w:t>v</w:t>
      </w:r>
      <w:r w:rsidRPr="00361F8E">
        <w:rPr>
          <w:rFonts w:ascii="Arial" w:hAnsi="Arial" w:eastAsia="Calibri" w:cs="Arial"/>
          <w:sz w:val="22"/>
        </w:rPr>
        <w:t xml:space="preserve">) unidades sanitarias para vivienda rural dispersa. </w:t>
      </w:r>
    </w:p>
    <w:p w:rsidR="00372C35" w:rsidP="00372C35" w:rsidRDefault="00372C35" w14:paraId="46DB226D" w14:textId="77777777">
      <w:pPr>
        <w:spacing w:before="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En relación con</w:t>
      </w:r>
      <w:r w:rsidRPr="00C55F66">
        <w:rPr>
          <w:rFonts w:ascii="Arial" w:hAnsi="Arial" w:cs="Arial"/>
          <w:color w:val="0D0D0D" w:themeColor="text1" w:themeTint="F2"/>
          <w:sz w:val="22"/>
        </w:rPr>
        <w:t xml:space="preserve"> cada tipo de infraestructura se encuent</w:t>
      </w:r>
      <w:r>
        <w:rPr>
          <w:rFonts w:ascii="Arial" w:hAnsi="Arial" w:cs="Arial"/>
          <w:color w:val="0D0D0D" w:themeColor="text1" w:themeTint="F2"/>
          <w:sz w:val="22"/>
        </w:rPr>
        <w:t>ran los siguientes componentes:</w:t>
      </w:r>
      <w:r w:rsidRPr="00361F8E">
        <w:rPr>
          <w:rFonts w:ascii="Arial" w:hAnsi="Arial" w:cs="Arial"/>
          <w:color w:val="0D0D0D" w:themeColor="text1" w:themeTint="F2"/>
          <w:sz w:val="22"/>
        </w:rPr>
        <w:t xml:space="preserve"> i) cuantías del proceso de contratación</w:t>
      </w:r>
      <w:r>
        <w:rPr>
          <w:rFonts w:ascii="Arial" w:hAnsi="Arial" w:cs="Arial"/>
          <w:color w:val="0D0D0D" w:themeColor="text1" w:themeTint="F2"/>
          <w:sz w:val="22"/>
        </w:rPr>
        <w:t>, que</w:t>
      </w:r>
      <w:r w:rsidRPr="00361F8E">
        <w:rPr>
          <w:rFonts w:ascii="Arial" w:hAnsi="Arial" w:cs="Arial"/>
          <w:color w:val="0D0D0D" w:themeColor="text1" w:themeTint="F2"/>
          <w:sz w:val="22"/>
        </w:rPr>
        <w:t xml:space="preserve"> contiene los rangos dentro de los cuales se debe identificar el presupuesto del proceso de contratación y sirve de referencia para definir la experiencia exigible y  ii) actividad a contratar, donde la entidad estatal debe identificar en cuál de las actividades a contratar se ubica el objeto contractual, y conforme a ellas exigir la experiencia definida en la </w:t>
      </w:r>
      <w:r w:rsidRPr="002A40E2">
        <w:rPr>
          <w:rFonts w:ascii="Arial" w:hAnsi="Arial" w:eastAsia="Calibri" w:cs="Arial"/>
          <w:sz w:val="22"/>
        </w:rPr>
        <w:t>«</w:t>
      </w:r>
      <w:r w:rsidRPr="00361F8E">
        <w:rPr>
          <w:rFonts w:ascii="Arial" w:hAnsi="Arial" w:cs="Arial"/>
          <w:color w:val="0D0D0D" w:themeColor="text1" w:themeTint="F2"/>
          <w:sz w:val="22"/>
        </w:rPr>
        <w:t>Matriz 1 – Experiencia».</w:t>
      </w:r>
    </w:p>
    <w:p w:rsidRPr="0022267B" w:rsidR="00372C35" w:rsidP="00372C35" w:rsidRDefault="00372C35" w14:paraId="5FC49247" w14:textId="62213F9D">
      <w:pPr>
        <w:spacing w:before="120" w:line="276" w:lineRule="auto"/>
        <w:ind w:firstLine="703"/>
        <w:jc w:val="both"/>
        <w:textAlignment w:val="baseline"/>
        <w:rPr>
          <w:rFonts w:ascii="Segoe UI" w:hAnsi="Segoe UI" w:cs="Segoe UI"/>
          <w:sz w:val="18"/>
          <w:szCs w:val="18"/>
          <w:lang w:val="es-ES" w:eastAsia="es-ES"/>
        </w:rPr>
      </w:pPr>
      <w:r w:rsidRPr="0022267B">
        <w:rPr>
          <w:rFonts w:ascii="Arial" w:hAnsi="Arial" w:cs="Arial"/>
          <w:sz w:val="22"/>
          <w:lang w:val="es-ES" w:eastAsia="es-ES"/>
        </w:rPr>
        <w:t xml:space="preserve">En esta medida, existen tres (3) criterios para determinar si procede de forma obligatoria la contratación de una actividad mediante los documentos tipo: i) que se trate de una obra pública de infraestructura de </w:t>
      </w:r>
      <w:r w:rsidRPr="0022267B">
        <w:rPr>
          <w:rFonts w:ascii="Arial" w:hAnsi="Arial" w:eastAsia="Calibri" w:cs="Arial"/>
          <w:sz w:val="22"/>
          <w:lang w:val="es-ES" w:eastAsia="es-ES"/>
        </w:rPr>
        <w:t>agua potable y saneamiento básico</w:t>
      </w:r>
      <w:r>
        <w:rPr>
          <w:rFonts w:ascii="Arial" w:hAnsi="Arial" w:eastAsia="Calibri" w:cs="Arial"/>
          <w:sz w:val="22"/>
          <w:lang w:val="es-ES" w:eastAsia="es-ES"/>
        </w:rPr>
        <w:t>, cuyo proceso de contratación se adelante en la modalidad de licitación pública</w:t>
      </w:r>
      <w:r w:rsidRPr="0022267B">
        <w:rPr>
          <w:rFonts w:ascii="Arial" w:hAnsi="Arial" w:cs="Arial"/>
          <w:sz w:val="22"/>
          <w:lang w:val="es-ES" w:eastAsia="es-ES"/>
        </w:rPr>
        <w:t xml:space="preserve">; ii) que el contratante sea una entidad sometida al Estatuto General de Contratación de la Administración Pública; y iii) que el objeto a contratar esté asociado a alguno de los tipos de obra y actividades </w:t>
      </w:r>
      <w:r w:rsidR="00CE44DD">
        <w:rPr>
          <w:rFonts w:ascii="Arial" w:hAnsi="Arial" w:cs="Arial"/>
          <w:sz w:val="22"/>
          <w:lang w:val="es-ES" w:eastAsia="es-ES"/>
        </w:rPr>
        <w:t>prevista</w:t>
      </w:r>
      <w:r w:rsidRPr="0022267B" w:rsidR="00CE44DD">
        <w:rPr>
          <w:rFonts w:ascii="Arial" w:hAnsi="Arial" w:cs="Arial"/>
          <w:sz w:val="22"/>
          <w:lang w:val="es-ES" w:eastAsia="es-ES"/>
        </w:rPr>
        <w:t xml:space="preserve">s </w:t>
      </w:r>
      <w:r w:rsidRPr="0022267B">
        <w:rPr>
          <w:rFonts w:ascii="Arial" w:hAnsi="Arial" w:cs="Arial"/>
          <w:sz w:val="22"/>
          <w:lang w:val="es-ES" w:eastAsia="es-ES"/>
        </w:rPr>
        <w:t xml:space="preserve">en la </w:t>
      </w:r>
      <w:r w:rsidR="00CE44DD">
        <w:rPr>
          <w:rFonts w:ascii="Arial" w:hAnsi="Arial" w:cs="Arial"/>
          <w:sz w:val="22"/>
          <w:lang w:val="es-ES" w:eastAsia="es-ES"/>
        </w:rPr>
        <w:t>m</w:t>
      </w:r>
      <w:r w:rsidRPr="0022267B">
        <w:rPr>
          <w:rFonts w:ascii="Arial" w:hAnsi="Arial" w:cs="Arial"/>
          <w:sz w:val="22"/>
          <w:lang w:val="es-ES" w:eastAsia="es-ES"/>
        </w:rPr>
        <w:t>atriz 1. La coexistencia de tales condiciones hace obligatoria la aplicación de los documentos tipo.  </w:t>
      </w:r>
    </w:p>
    <w:p w:rsidR="00221EF1" w:rsidP="004B2E72" w:rsidRDefault="00A51D52" w14:paraId="4AE61425" w14:textId="7A55BC64">
      <w:pPr>
        <w:spacing w:before="120" w:after="120" w:line="276" w:lineRule="auto"/>
        <w:ind w:firstLine="709"/>
        <w:jc w:val="both"/>
        <w:textAlignment w:val="baseline"/>
        <w:rPr>
          <w:rFonts w:ascii="Arial" w:hAnsi="Arial" w:cs="Arial"/>
          <w:sz w:val="22"/>
          <w:lang w:val="es-ES" w:eastAsia="es-ES"/>
        </w:rPr>
      </w:pPr>
      <w:r>
        <w:rPr>
          <w:rFonts w:ascii="Arial" w:hAnsi="Arial" w:cs="Arial"/>
          <w:sz w:val="22"/>
          <w:lang w:val="es-ES" w:eastAsia="es-ES"/>
        </w:rPr>
        <w:t>E</w:t>
      </w:r>
      <w:r w:rsidRPr="00EB6D84">
        <w:rPr>
          <w:rFonts w:ascii="Arial" w:hAnsi="Arial" w:cs="Arial"/>
          <w:sz w:val="22"/>
          <w:lang w:val="es-ES" w:eastAsia="es-ES"/>
        </w:rPr>
        <w:t>n la etapa de planeación</w:t>
      </w:r>
      <w:r>
        <w:rPr>
          <w:rFonts w:ascii="Arial" w:hAnsi="Arial" w:cs="Arial"/>
          <w:sz w:val="22"/>
          <w:lang w:val="es-ES" w:eastAsia="es-ES"/>
        </w:rPr>
        <w:t>, l</w:t>
      </w:r>
      <w:r w:rsidRPr="00EB6D84" w:rsidR="000B5754">
        <w:rPr>
          <w:rFonts w:ascii="Arial" w:hAnsi="Arial" w:cs="Arial"/>
          <w:sz w:val="22"/>
          <w:lang w:val="es-ES" w:eastAsia="es-ES"/>
        </w:rPr>
        <w:t xml:space="preserve">a entidad estatal debe identificar el tipo de obra de infraestructura y las actividades definidas en la </w:t>
      </w:r>
      <w:bookmarkStart w:name="_Hlk70320697" w:id="8"/>
      <w:r w:rsidRPr="00EB6D84" w:rsidR="000B5754">
        <w:rPr>
          <w:rFonts w:ascii="Arial" w:hAnsi="Arial" w:cs="Arial"/>
          <w:sz w:val="22"/>
          <w:lang w:val="es-ES" w:eastAsia="es-ES"/>
        </w:rPr>
        <w:t>«</w:t>
      </w:r>
      <w:bookmarkEnd w:id="8"/>
      <w:r w:rsidRPr="00EB6D84" w:rsidR="000B5754">
        <w:rPr>
          <w:rFonts w:ascii="Arial" w:hAnsi="Arial" w:cs="Arial"/>
          <w:sz w:val="22"/>
          <w:lang w:val="es-ES" w:eastAsia="es-ES"/>
        </w:rPr>
        <w:t>Matriz 1 – Experiencia» de acuerdo con el alcance del objeto a contratar. De esta manera, si la entidad determina que el contrato a ejecutar contempla alguno de los tipos de obra de infraestructura de la «Matriz 1 – Experiencia» y cumple con los parámetros expuestos, deberá aplica</w:t>
      </w:r>
      <w:r w:rsidR="00196BA1">
        <w:rPr>
          <w:rFonts w:ascii="Arial" w:hAnsi="Arial" w:cs="Arial"/>
          <w:sz w:val="22"/>
          <w:lang w:val="es-ES" w:eastAsia="es-ES"/>
        </w:rPr>
        <w:t>r</w:t>
      </w:r>
      <w:r w:rsidRPr="00EB6D84" w:rsidR="000B5754">
        <w:rPr>
          <w:rFonts w:ascii="Arial" w:hAnsi="Arial" w:cs="Arial"/>
          <w:sz w:val="22"/>
          <w:lang w:val="es-ES" w:eastAsia="es-ES"/>
        </w:rPr>
        <w:t xml:space="preserve"> estos documentos tipo. En este sentido, la «experiencia general» y la «experiencia específica» se exigirán de acuerdo con la actividad a contratar y con la cuantía del procedimiento según lo establece dicha matriz.</w:t>
      </w:r>
    </w:p>
    <w:p w:rsidR="00611E64" w:rsidP="0088346D" w:rsidRDefault="00942666" w14:paraId="4F315ADE" w14:textId="30BD21F3">
      <w:pPr>
        <w:spacing w:after="120" w:line="276" w:lineRule="auto"/>
        <w:ind w:firstLine="708"/>
        <w:jc w:val="both"/>
        <w:rPr>
          <w:rFonts w:ascii="Arial" w:hAnsi="Arial" w:eastAsia="Calibri" w:cs="Arial"/>
          <w:sz w:val="22"/>
        </w:rPr>
      </w:pPr>
      <w:r>
        <w:rPr>
          <w:rFonts w:ascii="Arial" w:hAnsi="Arial" w:eastAsia="Calibri" w:cs="Arial"/>
          <w:sz w:val="22"/>
        </w:rPr>
        <w:t xml:space="preserve">Respecto al objeto de la consulta, se observa que las obras públicas </w:t>
      </w:r>
      <w:r w:rsidR="00B574F2">
        <w:rPr>
          <w:rFonts w:ascii="Arial" w:hAnsi="Arial" w:eastAsia="Calibri" w:cs="Arial"/>
          <w:sz w:val="22"/>
        </w:rPr>
        <w:t>relacionadas con</w:t>
      </w:r>
      <w:r>
        <w:rPr>
          <w:rFonts w:ascii="Arial" w:hAnsi="Arial" w:eastAsia="Calibri" w:cs="Arial"/>
          <w:sz w:val="22"/>
        </w:rPr>
        <w:t xml:space="preserve"> </w:t>
      </w:r>
      <w:r w:rsidR="00B574F2">
        <w:rPr>
          <w:rFonts w:ascii="Arial" w:hAnsi="Arial" w:eastAsia="Calibri" w:cs="Arial"/>
          <w:sz w:val="22"/>
        </w:rPr>
        <w:t>«</w:t>
      </w:r>
      <w:r w:rsidRPr="002052BB">
        <w:rPr>
          <w:rFonts w:ascii="Arial" w:hAnsi="Arial" w:eastAsia="Calibri" w:cs="Arial"/>
          <w:i/>
          <w:iCs/>
          <w:sz w:val="22"/>
        </w:rPr>
        <w:t>baterías sanitarias en instituciones educativas</w:t>
      </w:r>
      <w:r w:rsidR="00B574F2">
        <w:rPr>
          <w:rFonts w:ascii="Arial" w:hAnsi="Arial" w:eastAsia="Calibri" w:cs="Arial"/>
          <w:sz w:val="22"/>
        </w:rPr>
        <w:t>» no hacen parte de las actividades contractuales de la matriz de experiencia</w:t>
      </w:r>
      <w:r w:rsidR="00156684">
        <w:rPr>
          <w:rFonts w:ascii="Arial" w:hAnsi="Arial" w:eastAsia="Calibri" w:cs="Arial"/>
          <w:sz w:val="22"/>
        </w:rPr>
        <w:t xml:space="preserve">. Si bien el objeto puede involucrar </w:t>
      </w:r>
      <w:r w:rsidR="00DA2D04">
        <w:rPr>
          <w:rFonts w:ascii="Arial" w:hAnsi="Arial" w:eastAsia="Calibri" w:cs="Arial"/>
          <w:sz w:val="22"/>
        </w:rPr>
        <w:t>ítems</w:t>
      </w:r>
      <w:r w:rsidR="00156684">
        <w:rPr>
          <w:rFonts w:ascii="Arial" w:hAnsi="Arial" w:eastAsia="Calibri" w:cs="Arial"/>
          <w:sz w:val="22"/>
        </w:rPr>
        <w:t xml:space="preserve"> </w:t>
      </w:r>
      <w:r w:rsidR="00734FDA">
        <w:rPr>
          <w:rFonts w:ascii="Arial" w:hAnsi="Arial" w:eastAsia="Calibri" w:cs="Arial"/>
          <w:sz w:val="22"/>
        </w:rPr>
        <w:t>de obra pública en los términos del artículo 32.1 de la Ley 80 de 1993, no se confunde</w:t>
      </w:r>
      <w:r>
        <w:rPr>
          <w:rFonts w:ascii="Arial" w:hAnsi="Arial" w:eastAsia="Calibri" w:cs="Arial"/>
          <w:sz w:val="22"/>
        </w:rPr>
        <w:t xml:space="preserve"> </w:t>
      </w:r>
      <w:r w:rsidR="00FD6038">
        <w:rPr>
          <w:rFonts w:ascii="Arial" w:hAnsi="Arial" w:eastAsia="Calibri" w:cs="Arial"/>
          <w:sz w:val="22"/>
        </w:rPr>
        <w:t>con el del numeral 5 de</w:t>
      </w:r>
      <w:r w:rsidR="00AB267F">
        <w:rPr>
          <w:rFonts w:ascii="Arial" w:hAnsi="Arial" w:eastAsia="Calibri" w:cs="Arial"/>
          <w:sz w:val="22"/>
        </w:rPr>
        <w:t xml:space="preserve"> la «Matriz 1 – Experiencia» de los documentos tipo adoptados mediante la</w:t>
      </w:r>
      <w:r w:rsidR="00FE719C">
        <w:rPr>
          <w:rFonts w:ascii="Arial" w:hAnsi="Arial" w:eastAsia="Calibri" w:cs="Arial"/>
          <w:sz w:val="22"/>
        </w:rPr>
        <w:t xml:space="preserve">s </w:t>
      </w:r>
      <w:r w:rsidRPr="005A397C" w:rsidR="00FE719C">
        <w:rPr>
          <w:rFonts w:ascii="Arial" w:hAnsi="Arial" w:eastAsia="Calibri" w:cs="Arial"/>
          <w:sz w:val="22"/>
        </w:rPr>
        <w:t>Resoluciones Nos. 248 y 249 de 2020</w:t>
      </w:r>
      <w:r w:rsidR="00626FD6">
        <w:rPr>
          <w:rFonts w:ascii="Arial" w:hAnsi="Arial" w:eastAsia="Calibri" w:cs="Arial"/>
          <w:sz w:val="22"/>
        </w:rPr>
        <w:t xml:space="preserve">, referido a los contratos de obra </w:t>
      </w:r>
      <w:r w:rsidR="00611E64">
        <w:rPr>
          <w:rFonts w:ascii="Arial" w:hAnsi="Arial" w:eastAsia="Calibri" w:cs="Arial"/>
          <w:sz w:val="22"/>
        </w:rPr>
        <w:t>relacionados con</w:t>
      </w:r>
      <w:r w:rsidR="00626FD6">
        <w:rPr>
          <w:rFonts w:ascii="Arial" w:hAnsi="Arial" w:eastAsia="Calibri" w:cs="Arial"/>
          <w:sz w:val="22"/>
        </w:rPr>
        <w:t xml:space="preserve"> «</w:t>
      </w:r>
      <w:r w:rsidRPr="002052BB" w:rsidR="00626FD6">
        <w:rPr>
          <w:rFonts w:ascii="Arial" w:hAnsi="Arial" w:eastAsia="Calibri" w:cs="Arial"/>
          <w:i/>
          <w:iCs/>
          <w:sz w:val="22"/>
        </w:rPr>
        <w:t>unidades sanitarias para vivienda rural dispersa</w:t>
      </w:r>
      <w:r w:rsidR="0088346D">
        <w:rPr>
          <w:rFonts w:ascii="Arial" w:hAnsi="Arial" w:eastAsia="Calibri" w:cs="Arial"/>
          <w:sz w:val="22"/>
        </w:rPr>
        <w:t>».</w:t>
      </w:r>
    </w:p>
    <w:p w:rsidR="00AD6CCF" w:rsidP="0088346D" w:rsidRDefault="00611E64" w14:paraId="5F4C2FD6" w14:textId="1D9506C4">
      <w:pPr>
        <w:spacing w:after="120" w:line="276" w:lineRule="auto"/>
        <w:ind w:firstLine="708"/>
        <w:jc w:val="both"/>
        <w:rPr>
          <w:rFonts w:ascii="Arial" w:hAnsi="Arial" w:eastAsia="Calibri" w:cs="Arial"/>
          <w:sz w:val="22"/>
        </w:rPr>
      </w:pPr>
      <w:r>
        <w:rPr>
          <w:rFonts w:ascii="Arial" w:hAnsi="Arial" w:eastAsia="Calibri" w:cs="Arial"/>
          <w:sz w:val="22"/>
        </w:rPr>
        <w:t xml:space="preserve">Aunque la experiencia general </w:t>
      </w:r>
      <w:r w:rsidR="001F39CB">
        <w:rPr>
          <w:rFonts w:ascii="Arial" w:hAnsi="Arial" w:eastAsia="Calibri" w:cs="Arial"/>
          <w:sz w:val="22"/>
        </w:rPr>
        <w:t>de la actividad 5.1 puede acreditar</w:t>
      </w:r>
      <w:r w:rsidR="001E4F8E">
        <w:rPr>
          <w:rFonts w:ascii="Arial" w:hAnsi="Arial" w:eastAsia="Calibri" w:cs="Arial"/>
          <w:sz w:val="22"/>
        </w:rPr>
        <w:t>se</w:t>
      </w:r>
      <w:r w:rsidR="001F39CB">
        <w:rPr>
          <w:rFonts w:ascii="Arial" w:hAnsi="Arial" w:eastAsia="Calibri" w:cs="Arial"/>
          <w:sz w:val="22"/>
        </w:rPr>
        <w:t xml:space="preserve"> con «</w:t>
      </w:r>
      <w:r w:rsidRPr="001F39CB" w:rsidR="002B4327">
        <w:rPr>
          <w:rFonts w:ascii="Arial" w:hAnsi="Arial" w:eastAsia="Calibri" w:cs="Arial"/>
          <w:sz w:val="22"/>
        </w:rPr>
        <w:t>proyectos que hayan contemplado actividades de: construcción y/o instalación de redes hidrosanitarias o baterías sanitarias o unidades sanitarias</w:t>
      </w:r>
      <w:r w:rsidR="002B4327">
        <w:rPr>
          <w:rFonts w:ascii="Arial" w:hAnsi="Arial" w:eastAsia="Calibri" w:cs="Arial"/>
          <w:sz w:val="22"/>
        </w:rPr>
        <w:t>», esto no implica que la actividad objeto de consulta esté dentro la matriz</w:t>
      </w:r>
      <w:r w:rsidR="00B65B8E">
        <w:rPr>
          <w:rFonts w:ascii="Arial" w:hAnsi="Arial" w:eastAsia="Calibri" w:cs="Arial"/>
          <w:sz w:val="22"/>
        </w:rPr>
        <w:t xml:space="preserve">. En efecto, si bien </w:t>
      </w:r>
      <w:r w:rsidR="00EE5B9B">
        <w:rPr>
          <w:rFonts w:ascii="Arial" w:hAnsi="Arial" w:eastAsia="Calibri" w:cs="Arial"/>
          <w:sz w:val="22"/>
        </w:rPr>
        <w:t>esta</w:t>
      </w:r>
      <w:r w:rsidR="00B65B8E">
        <w:rPr>
          <w:rFonts w:ascii="Arial" w:hAnsi="Arial" w:eastAsia="Calibri" w:cs="Arial"/>
          <w:sz w:val="22"/>
        </w:rPr>
        <w:t xml:space="preserve"> permite </w:t>
      </w:r>
      <w:r w:rsidR="0076489D">
        <w:rPr>
          <w:rFonts w:ascii="Arial" w:hAnsi="Arial" w:eastAsia="Calibri" w:cs="Arial"/>
          <w:sz w:val="22"/>
        </w:rPr>
        <w:t>probar</w:t>
      </w:r>
      <w:r w:rsidR="00B65B8E">
        <w:rPr>
          <w:rFonts w:ascii="Arial" w:hAnsi="Arial" w:eastAsia="Calibri" w:cs="Arial"/>
          <w:sz w:val="22"/>
        </w:rPr>
        <w:t xml:space="preserve"> la experiencia general</w:t>
      </w:r>
      <w:r w:rsidR="00EE5B9B">
        <w:rPr>
          <w:rFonts w:ascii="Arial" w:hAnsi="Arial" w:eastAsia="Calibri" w:cs="Arial"/>
          <w:sz w:val="22"/>
        </w:rPr>
        <w:t xml:space="preserve"> con contratos ejecutados en instituciones educativas</w:t>
      </w:r>
      <w:r w:rsidR="00D61C0F">
        <w:rPr>
          <w:rFonts w:ascii="Arial" w:hAnsi="Arial" w:eastAsia="Calibri" w:cs="Arial"/>
          <w:sz w:val="22"/>
        </w:rPr>
        <w:t>, carcelarias, hospita</w:t>
      </w:r>
      <w:r w:rsidR="006E0046">
        <w:rPr>
          <w:rFonts w:ascii="Arial" w:hAnsi="Arial" w:eastAsia="Calibri" w:cs="Arial"/>
          <w:sz w:val="22"/>
        </w:rPr>
        <w:t xml:space="preserve">larias, </w:t>
      </w:r>
      <w:r w:rsidR="006E0046">
        <w:rPr>
          <w:rFonts w:ascii="Arial" w:hAnsi="Arial" w:eastAsia="Calibri" w:cs="Arial"/>
          <w:sz w:val="22"/>
        </w:rPr>
        <w:lastRenderedPageBreak/>
        <w:t>etc.</w:t>
      </w:r>
      <w:r w:rsidR="00F646F5">
        <w:rPr>
          <w:rFonts w:ascii="Arial" w:hAnsi="Arial" w:eastAsia="Calibri" w:cs="Arial"/>
          <w:sz w:val="22"/>
        </w:rPr>
        <w:t xml:space="preserve">, </w:t>
      </w:r>
      <w:r w:rsidR="004B4CD7">
        <w:rPr>
          <w:rFonts w:ascii="Arial" w:hAnsi="Arial" w:eastAsia="Calibri" w:cs="Arial"/>
          <w:sz w:val="22"/>
        </w:rPr>
        <w:t>es necesario tener en cuenta que su acreditación</w:t>
      </w:r>
      <w:r w:rsidR="00F646F5">
        <w:rPr>
          <w:rFonts w:ascii="Arial" w:hAnsi="Arial" w:eastAsia="Calibri" w:cs="Arial"/>
          <w:sz w:val="22"/>
        </w:rPr>
        <w:t xml:space="preserve"> es para «</w:t>
      </w:r>
      <w:r w:rsidRPr="00F646F5" w:rsidR="004B4CD7">
        <w:rPr>
          <w:rFonts w:ascii="Arial" w:hAnsi="Arial" w:eastAsia="Calibri" w:cs="Arial"/>
          <w:sz w:val="22"/>
        </w:rPr>
        <w:t>proyectos de construcción de unidades sanitarias para vivienda rural dispersa</w:t>
      </w:r>
      <w:r w:rsidR="004B4CD7">
        <w:rPr>
          <w:rFonts w:ascii="Arial" w:hAnsi="Arial" w:eastAsia="Calibri" w:cs="Arial"/>
          <w:sz w:val="22"/>
        </w:rPr>
        <w:t>»</w:t>
      </w:r>
      <w:r w:rsidR="006E0046">
        <w:rPr>
          <w:rFonts w:ascii="Arial" w:hAnsi="Arial" w:eastAsia="Calibri" w:cs="Arial"/>
          <w:sz w:val="22"/>
        </w:rPr>
        <w:t xml:space="preserve">. </w:t>
      </w:r>
      <w:r w:rsidR="000E1D97">
        <w:rPr>
          <w:rFonts w:ascii="Arial" w:hAnsi="Arial" w:eastAsia="Calibri" w:cs="Arial"/>
          <w:sz w:val="22"/>
        </w:rPr>
        <w:t>Por ello</w:t>
      </w:r>
      <w:r w:rsidR="006E0046">
        <w:rPr>
          <w:rFonts w:ascii="Arial" w:hAnsi="Arial" w:eastAsia="Calibri" w:cs="Arial"/>
          <w:sz w:val="22"/>
        </w:rPr>
        <w:t xml:space="preserve">, </w:t>
      </w:r>
      <w:r w:rsidR="007F2298">
        <w:rPr>
          <w:rFonts w:ascii="Arial" w:hAnsi="Arial" w:eastAsia="Calibri" w:cs="Arial"/>
          <w:sz w:val="22"/>
        </w:rPr>
        <w:t>los contratos válidos para certificar la experiencia no</w:t>
      </w:r>
      <w:r w:rsidR="001E4F8E">
        <w:rPr>
          <w:rFonts w:ascii="Arial" w:hAnsi="Arial" w:eastAsia="Calibri" w:cs="Arial"/>
          <w:sz w:val="22"/>
        </w:rPr>
        <w:t xml:space="preserve"> amplían o restringen el alcance de </w:t>
      </w:r>
      <w:r w:rsidR="004024A2">
        <w:rPr>
          <w:rFonts w:ascii="Arial" w:hAnsi="Arial" w:eastAsia="Calibri" w:cs="Arial"/>
          <w:sz w:val="22"/>
        </w:rPr>
        <w:t>la «actividad a contratar»</w:t>
      </w:r>
      <w:r w:rsidR="001E4F8E">
        <w:rPr>
          <w:rFonts w:ascii="Arial" w:hAnsi="Arial" w:eastAsia="Calibri" w:cs="Arial"/>
          <w:sz w:val="22"/>
        </w:rPr>
        <w:t xml:space="preserve">. </w:t>
      </w:r>
      <w:r w:rsidR="007F2298">
        <w:rPr>
          <w:rFonts w:ascii="Arial" w:hAnsi="Arial" w:eastAsia="Calibri" w:cs="Arial"/>
          <w:sz w:val="22"/>
        </w:rPr>
        <w:t xml:space="preserve"> </w:t>
      </w:r>
    </w:p>
    <w:p w:rsidR="00611E64" w:rsidP="00D4492F" w:rsidRDefault="00AD6CCF" w14:paraId="199C9985" w14:textId="627625E5">
      <w:pPr>
        <w:spacing w:after="120" w:line="276" w:lineRule="auto"/>
        <w:ind w:firstLine="708"/>
        <w:jc w:val="both"/>
        <w:rPr>
          <w:rFonts w:ascii="Arial" w:hAnsi="Arial" w:eastAsia="Calibri" w:cs="Arial"/>
          <w:sz w:val="22"/>
        </w:rPr>
      </w:pPr>
      <w:r>
        <w:rPr>
          <w:rFonts w:ascii="Arial" w:hAnsi="Arial" w:eastAsia="Calibri" w:cs="Arial"/>
          <w:sz w:val="22"/>
        </w:rPr>
        <w:t>El mismo criterio del párrafo precedente aplica</w:t>
      </w:r>
      <w:r w:rsidR="007F2298">
        <w:rPr>
          <w:rFonts w:ascii="Arial" w:hAnsi="Arial" w:eastAsia="Calibri" w:cs="Arial"/>
          <w:sz w:val="22"/>
        </w:rPr>
        <w:t xml:space="preserve"> </w:t>
      </w:r>
      <w:r w:rsidRPr="002052BB" w:rsidR="007F2298">
        <w:rPr>
          <w:rFonts w:ascii="Arial" w:hAnsi="Arial" w:eastAsia="Calibri" w:cs="Arial"/>
          <w:i/>
          <w:iCs/>
          <w:sz w:val="22"/>
        </w:rPr>
        <w:t>mutatis mutandis</w:t>
      </w:r>
      <w:r>
        <w:rPr>
          <w:rFonts w:ascii="Arial" w:hAnsi="Arial" w:eastAsia="Calibri" w:cs="Arial"/>
          <w:sz w:val="22"/>
        </w:rPr>
        <w:t xml:space="preserve"> a la experiencia general </w:t>
      </w:r>
      <w:r w:rsidR="006E13E5">
        <w:rPr>
          <w:rFonts w:ascii="Arial" w:hAnsi="Arial" w:eastAsia="Calibri" w:cs="Arial"/>
          <w:sz w:val="22"/>
        </w:rPr>
        <w:t>de la actividad 5.2. En este sentido, pese a que pueda acreditarse con «</w:t>
      </w:r>
      <w:r w:rsidRPr="006E13E5" w:rsidR="006E13E5">
        <w:rPr>
          <w:rFonts w:ascii="Arial" w:hAnsi="Arial" w:eastAsia="Calibri" w:cs="Arial"/>
          <w:sz w:val="22"/>
        </w:rPr>
        <w:t xml:space="preserve">proyectos que hayan contemplado actividades de: construcción y/o instalación y/o optimización y/o mejoramiento y/o adecuación y/o reforzamiento y/o rehabilitación y/o mantenimiento y/o ampliación de redes hidrosanitarias o </w:t>
      </w:r>
      <w:r w:rsidRPr="006E13E5" w:rsidR="00C8618D">
        <w:rPr>
          <w:rFonts w:ascii="Arial" w:hAnsi="Arial" w:eastAsia="Calibri" w:cs="Arial"/>
          <w:sz w:val="22"/>
        </w:rPr>
        <w:t>baterías</w:t>
      </w:r>
      <w:r w:rsidRPr="006E13E5" w:rsidR="006E13E5">
        <w:rPr>
          <w:rFonts w:ascii="Arial" w:hAnsi="Arial" w:eastAsia="Calibri" w:cs="Arial"/>
          <w:sz w:val="22"/>
        </w:rPr>
        <w:t xml:space="preserve"> sanitarias o unidades sanitarias</w:t>
      </w:r>
      <w:r w:rsidR="00DE7FCC">
        <w:rPr>
          <w:rFonts w:ascii="Arial" w:hAnsi="Arial" w:eastAsia="Calibri" w:cs="Arial"/>
          <w:sz w:val="22"/>
        </w:rPr>
        <w:t>», la actividad contractual</w:t>
      </w:r>
      <w:r w:rsidR="00D61C0F">
        <w:rPr>
          <w:rFonts w:ascii="Arial" w:hAnsi="Arial" w:eastAsia="Calibri" w:cs="Arial"/>
          <w:sz w:val="22"/>
        </w:rPr>
        <w:t xml:space="preserve"> en la que</w:t>
      </w:r>
      <w:r w:rsidR="00DE7FCC">
        <w:rPr>
          <w:rFonts w:ascii="Arial" w:hAnsi="Arial" w:eastAsia="Calibri" w:cs="Arial"/>
          <w:sz w:val="22"/>
        </w:rPr>
        <w:t xml:space="preserve"> es obligatoria la aplicación del documento tipo está relacionada con «</w:t>
      </w:r>
      <w:r w:rsidRPr="00DE7FCC" w:rsidR="00957003">
        <w:rPr>
          <w:rFonts w:ascii="Arial" w:hAnsi="Arial" w:eastAsia="Calibri" w:cs="Arial"/>
          <w:sz w:val="22"/>
        </w:rPr>
        <w:t>proyectos de optimización y/o mejoramiento y/o adecuación y/o ampliación y/o reforzamiento y/o rehabilitación y/o mantenimiento de unidades sanitarias</w:t>
      </w:r>
      <w:r w:rsidR="00DE7FCC">
        <w:rPr>
          <w:rFonts w:ascii="Arial" w:hAnsi="Arial" w:eastAsia="Calibri" w:cs="Arial"/>
          <w:sz w:val="22"/>
        </w:rPr>
        <w:t>»</w:t>
      </w:r>
      <w:r w:rsidR="00C8618D">
        <w:rPr>
          <w:rFonts w:ascii="Arial" w:hAnsi="Arial" w:eastAsia="Calibri" w:cs="Arial"/>
          <w:sz w:val="22"/>
        </w:rPr>
        <w:t xml:space="preserve">. En este </w:t>
      </w:r>
      <w:r w:rsidR="007B373B">
        <w:rPr>
          <w:rFonts w:ascii="Arial" w:hAnsi="Arial" w:eastAsia="Calibri" w:cs="Arial"/>
          <w:sz w:val="22"/>
        </w:rPr>
        <w:t xml:space="preserve">último caso, </w:t>
      </w:r>
      <w:r w:rsidR="003B1DBE">
        <w:rPr>
          <w:rFonts w:ascii="Arial" w:hAnsi="Arial" w:eastAsia="Calibri" w:cs="Arial"/>
          <w:sz w:val="22"/>
        </w:rPr>
        <w:t xml:space="preserve">pese a que </w:t>
      </w:r>
      <w:r w:rsidR="007B373B">
        <w:rPr>
          <w:rFonts w:ascii="Arial" w:hAnsi="Arial" w:eastAsia="Calibri" w:cs="Arial"/>
          <w:sz w:val="22"/>
        </w:rPr>
        <w:t xml:space="preserve">la actividad 5.2 </w:t>
      </w:r>
      <w:r w:rsidR="000A18D7">
        <w:rPr>
          <w:rFonts w:ascii="Arial" w:hAnsi="Arial" w:eastAsia="Calibri" w:cs="Arial"/>
          <w:sz w:val="22"/>
        </w:rPr>
        <w:t>no indica</w:t>
      </w:r>
      <w:r w:rsidR="00423A1A">
        <w:rPr>
          <w:rFonts w:ascii="Arial" w:hAnsi="Arial" w:eastAsia="Calibri" w:cs="Arial"/>
          <w:sz w:val="22"/>
        </w:rPr>
        <w:t xml:space="preserve"> que estos proyectos </w:t>
      </w:r>
      <w:r w:rsidR="009A64DE">
        <w:rPr>
          <w:rFonts w:ascii="Arial" w:hAnsi="Arial" w:eastAsia="Calibri" w:cs="Arial"/>
          <w:sz w:val="22"/>
        </w:rPr>
        <w:t>deban ejecutarse para vivienda rural dispersa</w:t>
      </w:r>
      <w:r w:rsidR="00DC77CA">
        <w:rPr>
          <w:rFonts w:ascii="Arial" w:hAnsi="Arial" w:eastAsia="Calibri" w:cs="Arial"/>
          <w:sz w:val="22"/>
        </w:rPr>
        <w:t>, esta hace parte del numeral 5</w:t>
      </w:r>
      <w:r w:rsidR="00376DB7">
        <w:rPr>
          <w:rFonts w:ascii="Arial" w:hAnsi="Arial" w:eastAsia="Calibri" w:cs="Arial"/>
          <w:sz w:val="22"/>
        </w:rPr>
        <w:t xml:space="preserve"> </w:t>
      </w:r>
      <w:r w:rsidR="00B349A2">
        <w:rPr>
          <w:rFonts w:ascii="Arial" w:hAnsi="Arial" w:eastAsia="Calibri" w:cs="Arial"/>
          <w:sz w:val="22"/>
        </w:rPr>
        <w:t>y restringe su alcance</w:t>
      </w:r>
      <w:r w:rsidR="00F21071">
        <w:rPr>
          <w:rFonts w:ascii="Arial" w:hAnsi="Arial" w:eastAsia="Calibri" w:cs="Arial"/>
          <w:sz w:val="22"/>
        </w:rPr>
        <w:t xml:space="preserve">. Por tanto, aunque </w:t>
      </w:r>
      <w:r w:rsidR="007868AA">
        <w:rPr>
          <w:rFonts w:ascii="Arial" w:hAnsi="Arial" w:eastAsia="Calibri" w:cs="Arial"/>
          <w:sz w:val="22"/>
        </w:rPr>
        <w:t xml:space="preserve">la actividad </w:t>
      </w:r>
      <w:r w:rsidR="00F21071">
        <w:rPr>
          <w:rFonts w:ascii="Arial" w:hAnsi="Arial" w:eastAsia="Calibri" w:cs="Arial"/>
          <w:sz w:val="22"/>
        </w:rPr>
        <w:t xml:space="preserve">5.2 </w:t>
      </w:r>
      <w:r w:rsidR="000A18D7">
        <w:rPr>
          <w:rFonts w:ascii="Arial" w:hAnsi="Arial" w:eastAsia="Calibri" w:cs="Arial"/>
          <w:sz w:val="22"/>
        </w:rPr>
        <w:t>sea aparentemente</w:t>
      </w:r>
      <w:r w:rsidR="00C327E8">
        <w:rPr>
          <w:rFonts w:ascii="Arial" w:hAnsi="Arial" w:eastAsia="Calibri" w:cs="Arial"/>
          <w:sz w:val="22"/>
        </w:rPr>
        <w:t xml:space="preserve"> </w:t>
      </w:r>
      <w:r w:rsidR="0001410E">
        <w:rPr>
          <w:rFonts w:ascii="Arial" w:hAnsi="Arial" w:eastAsia="Calibri" w:cs="Arial"/>
          <w:sz w:val="22"/>
        </w:rPr>
        <w:t>más</w:t>
      </w:r>
      <w:r w:rsidR="00C327E8">
        <w:rPr>
          <w:rFonts w:ascii="Arial" w:hAnsi="Arial" w:eastAsia="Calibri" w:cs="Arial"/>
          <w:sz w:val="22"/>
        </w:rPr>
        <w:t xml:space="preserve"> omnicomprensiva</w:t>
      </w:r>
      <w:r w:rsidR="00B57CEB">
        <w:rPr>
          <w:rFonts w:ascii="Arial" w:hAnsi="Arial" w:eastAsia="Calibri" w:cs="Arial"/>
          <w:sz w:val="22"/>
        </w:rPr>
        <w:t xml:space="preserve">, su </w:t>
      </w:r>
      <w:r w:rsidR="00BA17A3">
        <w:rPr>
          <w:rFonts w:ascii="Arial" w:hAnsi="Arial" w:eastAsia="Calibri" w:cs="Arial"/>
          <w:sz w:val="22"/>
        </w:rPr>
        <w:t>contenido</w:t>
      </w:r>
      <w:r w:rsidR="00B57CEB">
        <w:rPr>
          <w:rFonts w:ascii="Arial" w:hAnsi="Arial" w:eastAsia="Calibri" w:cs="Arial"/>
          <w:sz w:val="22"/>
        </w:rPr>
        <w:t xml:space="preserve"> está condicionado por el título del numeral 5</w:t>
      </w:r>
      <w:r w:rsidR="007868AA">
        <w:rPr>
          <w:rFonts w:ascii="Arial" w:hAnsi="Arial" w:eastAsia="Calibri" w:cs="Arial"/>
          <w:sz w:val="22"/>
        </w:rPr>
        <w:t xml:space="preserve">, según el cual todas las actividades </w:t>
      </w:r>
      <w:r w:rsidR="007A0F6A">
        <w:rPr>
          <w:rFonts w:ascii="Arial" w:hAnsi="Arial" w:eastAsia="Calibri" w:cs="Arial"/>
          <w:sz w:val="22"/>
        </w:rPr>
        <w:t>previstas en</w:t>
      </w:r>
      <w:r w:rsidR="00B11C69">
        <w:rPr>
          <w:rFonts w:ascii="Arial" w:hAnsi="Arial" w:eastAsia="Calibri" w:cs="Arial"/>
          <w:sz w:val="22"/>
        </w:rPr>
        <w:t xml:space="preserve"> este último </w:t>
      </w:r>
      <w:r w:rsidR="007A0F6A">
        <w:rPr>
          <w:rFonts w:ascii="Arial" w:hAnsi="Arial" w:eastAsia="Calibri" w:cs="Arial"/>
          <w:sz w:val="22"/>
        </w:rPr>
        <w:t>corresponden a contratos de obra pública relacionados con «</w:t>
      </w:r>
      <w:r w:rsidRPr="007A0F6A" w:rsidR="00957003">
        <w:rPr>
          <w:rFonts w:ascii="Arial" w:hAnsi="Arial" w:eastAsia="Calibri" w:cs="Arial"/>
          <w:sz w:val="22"/>
        </w:rPr>
        <w:t>unidades sanitarias para vivienda rural dispersa</w:t>
      </w:r>
      <w:r w:rsidR="00957003">
        <w:rPr>
          <w:rFonts w:ascii="Arial" w:hAnsi="Arial" w:eastAsia="Calibri" w:cs="Arial"/>
          <w:sz w:val="22"/>
        </w:rPr>
        <w:t>».</w:t>
      </w:r>
      <w:r w:rsidR="007868AA">
        <w:rPr>
          <w:rFonts w:ascii="Arial" w:hAnsi="Arial" w:eastAsia="Calibri" w:cs="Arial"/>
          <w:sz w:val="22"/>
        </w:rPr>
        <w:t xml:space="preserve"> </w:t>
      </w:r>
      <w:r w:rsidR="00B57CEB">
        <w:rPr>
          <w:rFonts w:ascii="Arial" w:hAnsi="Arial" w:eastAsia="Calibri" w:cs="Arial"/>
          <w:sz w:val="22"/>
        </w:rPr>
        <w:t xml:space="preserve"> </w:t>
      </w:r>
    </w:p>
    <w:p w:rsidRPr="002052BB" w:rsidR="00942666" w:rsidP="002052BB" w:rsidRDefault="001B010C" w14:paraId="03B8E603" w14:textId="31C9B0C7">
      <w:pPr>
        <w:spacing w:line="276" w:lineRule="auto"/>
        <w:ind w:firstLine="708"/>
        <w:jc w:val="both"/>
        <w:rPr>
          <w:rFonts w:ascii="Arial" w:hAnsi="Arial" w:eastAsia="Calibri" w:cs="Arial"/>
          <w:sz w:val="22"/>
          <w:lang w:val="es-ES_tradnl"/>
        </w:rPr>
      </w:pPr>
      <w:r>
        <w:rPr>
          <w:rFonts w:ascii="Arial" w:hAnsi="Arial" w:eastAsia="Calibri" w:cs="Arial"/>
          <w:sz w:val="22"/>
          <w:lang w:val="es-ES_tradnl"/>
        </w:rPr>
        <w:t xml:space="preserve">Siempre que el objeto esté relacionado con alguna de las actividades mencionadas en la matriz 1 de experiencia, los documentos tipo adoptados mediante </w:t>
      </w:r>
      <w:r w:rsidR="001900F9">
        <w:rPr>
          <w:rFonts w:ascii="Arial" w:hAnsi="Arial" w:eastAsia="Calibri" w:cs="Arial"/>
          <w:sz w:val="22"/>
        </w:rPr>
        <w:t xml:space="preserve">las </w:t>
      </w:r>
      <w:r w:rsidRPr="005A397C" w:rsidR="001900F9">
        <w:rPr>
          <w:rFonts w:ascii="Arial" w:hAnsi="Arial" w:eastAsia="Calibri" w:cs="Arial"/>
          <w:sz w:val="22"/>
        </w:rPr>
        <w:t>Resoluciones Nos. 248 y 249 de 2020</w:t>
      </w:r>
      <w:r>
        <w:rPr>
          <w:rFonts w:ascii="Arial" w:hAnsi="Arial" w:cs="Arial"/>
          <w:color w:val="0D0D0D"/>
          <w:sz w:val="22"/>
          <w:bdr w:val="none" w:color="auto" w:sz="0" w:space="0" w:frame="1"/>
          <w:lang w:eastAsia="es-CO"/>
        </w:rPr>
        <w:t xml:space="preserve"> son</w:t>
      </w:r>
      <w:r>
        <w:rPr>
          <w:rFonts w:ascii="Arial" w:hAnsi="Arial" w:eastAsia="Calibri" w:cs="Arial"/>
          <w:sz w:val="22"/>
          <w:lang w:val="es-ES_tradnl"/>
        </w:rPr>
        <w:t xml:space="preserve"> obligatorios para las entidades sometidas a la Ley 80 de 1993 que contraten la </w:t>
      </w:r>
      <w:r w:rsidR="001900F9">
        <w:rPr>
          <w:rFonts w:ascii="Arial" w:hAnsi="Arial" w:eastAsia="Calibri" w:cs="Arial"/>
          <w:sz w:val="22"/>
          <w:lang w:val="es-ES_tradnl"/>
        </w:rPr>
        <w:t>ejecución</w:t>
      </w:r>
      <w:r>
        <w:rPr>
          <w:rFonts w:ascii="Arial" w:hAnsi="Arial" w:eastAsia="Calibri" w:cs="Arial"/>
          <w:sz w:val="22"/>
          <w:lang w:val="es-ES_tradnl"/>
        </w:rPr>
        <w:t xml:space="preserve"> de obras públicas de infraestructura de </w:t>
      </w:r>
      <w:r w:rsidR="001900F9">
        <w:rPr>
          <w:rFonts w:ascii="Arial" w:hAnsi="Arial" w:eastAsia="Calibri" w:cs="Arial"/>
          <w:sz w:val="22"/>
          <w:lang w:val="es-ES_tradnl"/>
        </w:rPr>
        <w:t>agua potable y saneamiento básico</w:t>
      </w:r>
      <w:r>
        <w:rPr>
          <w:rFonts w:ascii="Arial" w:hAnsi="Arial" w:eastAsia="Calibri" w:cs="Arial"/>
          <w:sz w:val="22"/>
          <w:lang w:val="es-ES_tradnl"/>
        </w:rPr>
        <w:t xml:space="preserve"> a través de </w:t>
      </w:r>
      <w:r w:rsidR="001900F9">
        <w:rPr>
          <w:rFonts w:ascii="Arial" w:hAnsi="Arial" w:eastAsia="Calibri" w:cs="Arial"/>
          <w:sz w:val="22"/>
          <w:lang w:val="es-ES_tradnl"/>
        </w:rPr>
        <w:t>la modalidad de licitación pública</w:t>
      </w:r>
      <w:r>
        <w:rPr>
          <w:rFonts w:ascii="Arial" w:hAnsi="Arial" w:eastAsia="Calibri" w:cs="Arial"/>
          <w:sz w:val="22"/>
          <w:lang w:val="es-ES_tradnl"/>
        </w:rPr>
        <w:t xml:space="preserve">. Por lo tanto, para la </w:t>
      </w:r>
      <w:r w:rsidR="00CE44DD">
        <w:rPr>
          <w:rFonts w:ascii="Arial" w:hAnsi="Arial" w:eastAsia="Calibri" w:cs="Arial"/>
          <w:sz w:val="22"/>
          <w:lang w:val="es-ES_tradnl"/>
        </w:rPr>
        <w:t>ejecución de obras no previstas en la matriz citada</w:t>
      </w:r>
      <w:r>
        <w:rPr>
          <w:rFonts w:ascii="Arial" w:hAnsi="Arial" w:eastAsia="Calibri" w:cs="Arial"/>
          <w:sz w:val="22"/>
          <w:lang w:val="es-ES_tradnl"/>
        </w:rPr>
        <w:t xml:space="preserve"> no existe obligación de aplicar los documentos tipo mencionados</w:t>
      </w:r>
      <w:r w:rsidR="005A1BFB">
        <w:rPr>
          <w:rFonts w:ascii="Arial" w:hAnsi="Arial" w:eastAsia="Calibri" w:cs="Arial"/>
          <w:sz w:val="22"/>
          <w:lang w:val="es-ES_tradnl"/>
        </w:rPr>
        <w:t>. Lo anterior</w:t>
      </w:r>
      <w:r>
        <w:rPr>
          <w:rFonts w:ascii="Arial" w:hAnsi="Arial" w:eastAsia="Calibri" w:cs="Arial"/>
          <w:sz w:val="22"/>
          <w:lang w:val="es-ES_tradnl"/>
        </w:rPr>
        <w:t xml:space="preserve"> sin perjuicio de que</w:t>
      </w:r>
      <w:r w:rsidR="005A1BFB">
        <w:rPr>
          <w:rFonts w:ascii="Arial" w:hAnsi="Arial" w:eastAsia="Calibri" w:cs="Arial"/>
          <w:sz w:val="22"/>
          <w:lang w:val="es-ES_tradnl"/>
        </w:rPr>
        <w:t xml:space="preserve"> </w:t>
      </w:r>
      <w:r w:rsidR="00F877B9">
        <w:rPr>
          <w:rFonts w:ascii="Arial" w:hAnsi="Arial" w:eastAsia="Calibri" w:cs="Arial"/>
          <w:sz w:val="22"/>
          <w:lang w:val="es-ES_tradnl"/>
        </w:rPr>
        <w:t>–</w:t>
      </w:r>
      <w:r w:rsidR="005A1BFB">
        <w:rPr>
          <w:rFonts w:ascii="Arial" w:hAnsi="Arial" w:eastAsia="Calibri" w:cs="Arial"/>
          <w:sz w:val="22"/>
          <w:lang w:val="es-ES_tradnl"/>
        </w:rPr>
        <w:t>conforme a la Directiva Presidencial</w:t>
      </w:r>
      <w:r w:rsidR="008F3A73">
        <w:rPr>
          <w:rFonts w:ascii="Arial" w:hAnsi="Arial" w:eastAsia="Calibri" w:cs="Arial"/>
          <w:sz w:val="22"/>
          <w:lang w:val="es-ES_tradnl"/>
        </w:rPr>
        <w:t xml:space="preserve"> 0</w:t>
      </w:r>
      <w:r w:rsidR="008F3A73">
        <w:rPr>
          <w:rFonts w:ascii="Arial" w:hAnsi="Arial" w:cs="Arial"/>
          <w:sz w:val="22"/>
          <w:shd w:val="clear" w:color="auto" w:fill="FFFFFF"/>
          <w:lang w:val="es-ES_tradnl"/>
        </w:rPr>
        <w:t>01 del 3 de marzo de 2021</w:t>
      </w:r>
      <w:r w:rsidR="00F877B9">
        <w:rPr>
          <w:rFonts w:ascii="Arial" w:hAnsi="Arial" w:cs="Arial"/>
          <w:sz w:val="22"/>
          <w:shd w:val="clear" w:color="auto" w:fill="FFFFFF"/>
          <w:lang w:val="es-ES_tradnl"/>
        </w:rPr>
        <w:t>–</w:t>
      </w:r>
      <w:r>
        <w:rPr>
          <w:rFonts w:ascii="Arial" w:hAnsi="Arial" w:eastAsia="Calibri" w:cs="Arial"/>
          <w:sz w:val="22"/>
          <w:lang w:val="es-ES_tradnl"/>
        </w:rPr>
        <w:t xml:space="preserve"> puedan utilizarse como un parámetro de buena práctica contractual en el sistema de compras públicas. </w:t>
      </w:r>
    </w:p>
    <w:p w:rsidR="005F05AC" w:rsidP="0050434E" w:rsidRDefault="005F05AC" w14:paraId="15199A44" w14:textId="77777777">
      <w:pPr>
        <w:spacing w:line="276" w:lineRule="auto"/>
        <w:jc w:val="both"/>
        <w:rPr>
          <w:rFonts w:ascii="Arial" w:hAnsi="Arial" w:eastAsia="Calibri" w:cs="Arial"/>
          <w:b/>
          <w:sz w:val="22"/>
        </w:rPr>
      </w:pPr>
    </w:p>
    <w:p w:rsidR="00407293" w:rsidP="004B2E72" w:rsidRDefault="00305947" w14:paraId="11CC1ACB" w14:textId="6C3F7216">
      <w:pPr>
        <w:spacing w:line="276" w:lineRule="auto"/>
        <w:jc w:val="both"/>
        <w:rPr>
          <w:rFonts w:ascii="Arial" w:hAnsi="Arial" w:eastAsia="Calibri" w:cs="Arial"/>
          <w:b/>
          <w:sz w:val="22"/>
        </w:rPr>
      </w:pPr>
      <w:r w:rsidRPr="00737DB6">
        <w:rPr>
          <w:rFonts w:ascii="Arial" w:hAnsi="Arial" w:eastAsia="Calibri" w:cs="Arial"/>
          <w:b/>
          <w:sz w:val="22"/>
        </w:rPr>
        <w:t>3. Respuesta</w:t>
      </w:r>
      <w:bookmarkStart w:name="_Hlk40881604" w:id="9"/>
    </w:p>
    <w:p w:rsidRPr="005373DA" w:rsidR="004B2E72" w:rsidP="004B2E72" w:rsidRDefault="004B2E72" w14:paraId="59089F7D" w14:textId="77777777">
      <w:pPr>
        <w:spacing w:line="276" w:lineRule="auto"/>
        <w:jc w:val="both"/>
        <w:rPr>
          <w:rFonts w:ascii="Arial" w:hAnsi="Arial" w:eastAsia="Calibri" w:cs="Arial"/>
          <w:b/>
          <w:sz w:val="22"/>
        </w:rPr>
      </w:pPr>
    </w:p>
    <w:p w:rsidRPr="00407293" w:rsidR="005F05AC" w:rsidP="00407293" w:rsidRDefault="00407293" w14:paraId="46869B69" w14:textId="320F93C4">
      <w:pPr>
        <w:tabs>
          <w:tab w:val="left" w:pos="426"/>
        </w:tabs>
        <w:ind w:left="709" w:right="709"/>
        <w:jc w:val="both"/>
        <w:rPr>
          <w:rFonts w:ascii="Arial" w:hAnsi="Arial" w:eastAsia="Calibri" w:cs="Arial"/>
          <w:sz w:val="21"/>
          <w:szCs w:val="21"/>
        </w:rPr>
      </w:pPr>
      <w:r w:rsidRPr="00407293">
        <w:rPr>
          <w:rFonts w:ascii="Arial" w:hAnsi="Arial" w:eastAsia="Calibri" w:cs="Arial"/>
          <w:sz w:val="21"/>
          <w:szCs w:val="21"/>
        </w:rPr>
        <w:t>«</w:t>
      </w:r>
      <w:r w:rsidRPr="0001410E" w:rsidR="0001410E">
        <w:rPr>
          <w:rFonts w:ascii="Arial" w:hAnsi="Arial" w:eastAsia="Calibri" w:cs="Arial"/>
          <w:sz w:val="21"/>
          <w:szCs w:val="21"/>
        </w:rPr>
        <w:t>Atendiendo la Resolución 248 de 2020, “por la cual se adoptan los documentos tipo para los procesos de licitación pública para obras de infraestructura de agua potable y saneamiento básico”, y la matriz de experiencia, ¿Los pliegos tipo se aplican a selección de contratistas de obras públicas cuyo alcance es baterías sanitarias en instituciones educativas?</w:t>
      </w:r>
      <w:r w:rsidRPr="005F05AC" w:rsidR="005F05AC">
        <w:rPr>
          <w:rFonts w:ascii="Arial" w:hAnsi="Arial" w:eastAsia="Calibri" w:cs="Arial"/>
          <w:sz w:val="21"/>
          <w:szCs w:val="21"/>
        </w:rPr>
        <w:t>».</w:t>
      </w:r>
    </w:p>
    <w:p w:rsidRPr="002052BB" w:rsidR="00407293" w:rsidP="002052BB" w:rsidRDefault="00407293" w14:paraId="7F13D3F4" w14:textId="77777777">
      <w:pPr>
        <w:tabs>
          <w:tab w:val="left" w:pos="426"/>
        </w:tabs>
        <w:spacing w:line="276" w:lineRule="auto"/>
        <w:ind w:right="709"/>
        <w:jc w:val="both"/>
        <w:rPr>
          <w:rFonts w:ascii="Arial" w:hAnsi="Arial" w:eastAsia="Calibri" w:cs="Arial"/>
          <w:sz w:val="22"/>
        </w:rPr>
      </w:pPr>
    </w:p>
    <w:bookmarkEnd w:id="9"/>
    <w:p w:rsidR="00CD4212" w:rsidP="002052BB" w:rsidRDefault="00CD4212" w14:paraId="59A6AE5B" w14:textId="7038589D">
      <w:pPr>
        <w:spacing w:after="120" w:line="276" w:lineRule="auto"/>
        <w:jc w:val="both"/>
        <w:textAlignment w:val="baseline"/>
        <w:rPr>
          <w:rFonts w:ascii="Arial" w:hAnsi="Arial" w:cs="Arial"/>
          <w:sz w:val="22"/>
          <w:lang w:val="es-ES" w:eastAsia="es-ES"/>
        </w:rPr>
      </w:pPr>
      <w:r>
        <w:rPr>
          <w:rFonts w:ascii="Arial" w:hAnsi="Arial" w:eastAsia="Calibri" w:cs="Arial"/>
          <w:sz w:val="22"/>
        </w:rPr>
        <w:t xml:space="preserve">Conforme a lo explicado en el presente concepto, </w:t>
      </w:r>
      <w:r w:rsidRPr="0022267B">
        <w:rPr>
          <w:rFonts w:ascii="Arial" w:hAnsi="Arial" w:cs="Arial"/>
          <w:sz w:val="22"/>
          <w:lang w:val="es-ES" w:eastAsia="es-ES"/>
        </w:rPr>
        <w:t xml:space="preserve">existen tres (3) criterios para determinar si procede de forma obligatoria la contratación de una actividad mediante los documentos tipo: i) que se trate de una obra pública de infraestructura de </w:t>
      </w:r>
      <w:r w:rsidRPr="0022267B">
        <w:rPr>
          <w:rFonts w:ascii="Arial" w:hAnsi="Arial" w:eastAsia="Calibri" w:cs="Arial"/>
          <w:sz w:val="22"/>
          <w:lang w:val="es-ES" w:eastAsia="es-ES"/>
        </w:rPr>
        <w:t>agua potable y saneamiento básico</w:t>
      </w:r>
      <w:r>
        <w:rPr>
          <w:rFonts w:ascii="Arial" w:hAnsi="Arial" w:eastAsia="Calibri" w:cs="Arial"/>
          <w:sz w:val="22"/>
          <w:lang w:val="es-ES" w:eastAsia="es-ES"/>
        </w:rPr>
        <w:t>, cuyo proceso de contratación se adelante en la modalidad de licitación pública</w:t>
      </w:r>
      <w:r w:rsidRPr="0022267B">
        <w:rPr>
          <w:rFonts w:ascii="Arial" w:hAnsi="Arial" w:cs="Arial"/>
          <w:sz w:val="22"/>
          <w:lang w:val="es-ES" w:eastAsia="es-ES"/>
        </w:rPr>
        <w:t xml:space="preserve">; ii) que el contratante sea una entidad sometida al Estatuto General de Contratación de la Administración Pública; y iii) que el objeto a contratar esté asociado a alguno de los tipos </w:t>
      </w:r>
      <w:r w:rsidRPr="0022267B">
        <w:rPr>
          <w:rFonts w:ascii="Arial" w:hAnsi="Arial" w:cs="Arial"/>
          <w:sz w:val="22"/>
          <w:lang w:val="es-ES" w:eastAsia="es-ES"/>
        </w:rPr>
        <w:lastRenderedPageBreak/>
        <w:t xml:space="preserve">de obra y actividades </w:t>
      </w:r>
      <w:r>
        <w:rPr>
          <w:rFonts w:ascii="Arial" w:hAnsi="Arial" w:cs="Arial"/>
          <w:sz w:val="22"/>
          <w:lang w:val="es-ES" w:eastAsia="es-ES"/>
        </w:rPr>
        <w:t>prevista</w:t>
      </w:r>
      <w:r w:rsidRPr="0022267B">
        <w:rPr>
          <w:rFonts w:ascii="Arial" w:hAnsi="Arial" w:cs="Arial"/>
          <w:sz w:val="22"/>
          <w:lang w:val="es-ES" w:eastAsia="es-ES"/>
        </w:rPr>
        <w:t xml:space="preserve">s en la </w:t>
      </w:r>
      <w:r>
        <w:rPr>
          <w:rFonts w:ascii="Arial" w:hAnsi="Arial" w:cs="Arial"/>
          <w:sz w:val="22"/>
          <w:lang w:val="es-ES" w:eastAsia="es-ES"/>
        </w:rPr>
        <w:t>m</w:t>
      </w:r>
      <w:r w:rsidRPr="0022267B">
        <w:rPr>
          <w:rFonts w:ascii="Arial" w:hAnsi="Arial" w:cs="Arial"/>
          <w:sz w:val="22"/>
          <w:lang w:val="es-ES" w:eastAsia="es-ES"/>
        </w:rPr>
        <w:t>atriz 1. La coexistencia de tales condiciones hace obligatoria la aplicación de los documentos tipo. </w:t>
      </w:r>
    </w:p>
    <w:p w:rsidRPr="002052BB" w:rsidR="0024213C" w:rsidP="002052BB" w:rsidRDefault="0005527C" w14:paraId="6B9F1533" w14:textId="5E4A0F7F">
      <w:pPr>
        <w:spacing w:after="120" w:line="276" w:lineRule="auto"/>
        <w:ind w:firstLine="708"/>
        <w:jc w:val="both"/>
        <w:rPr>
          <w:rFonts w:ascii="Arial" w:hAnsi="Arial" w:eastAsia="Calibri" w:cs="Arial"/>
          <w:sz w:val="22"/>
        </w:rPr>
      </w:pPr>
      <w:r>
        <w:rPr>
          <w:rFonts w:ascii="Arial" w:hAnsi="Arial" w:eastAsia="Calibri" w:cs="Arial"/>
          <w:sz w:val="22"/>
        </w:rPr>
        <w:t>Respecto al objeto de la consulta, se observa que las obras públicas relacionadas con «</w:t>
      </w:r>
      <w:r w:rsidRPr="00CD1FE4">
        <w:rPr>
          <w:rFonts w:ascii="Arial" w:hAnsi="Arial" w:eastAsia="Calibri" w:cs="Arial"/>
          <w:i/>
          <w:iCs/>
          <w:sz w:val="22"/>
        </w:rPr>
        <w:t>baterías sanitarias en instituciones educativas</w:t>
      </w:r>
      <w:r>
        <w:rPr>
          <w:rFonts w:ascii="Arial" w:hAnsi="Arial" w:eastAsia="Calibri" w:cs="Arial"/>
          <w:sz w:val="22"/>
        </w:rPr>
        <w:t xml:space="preserve">» no hacen parte de las actividades contractuales de la matriz de experiencia. Si bien el objeto puede involucrar ítems de obra pública en los términos del artículo 32.1 de la Ley 80 de 1993, no se confunde con el del numeral 5 de la «Matriz 1 – Experiencia» de los documentos tipo adoptados mediante las </w:t>
      </w:r>
      <w:r w:rsidRPr="005A397C">
        <w:rPr>
          <w:rFonts w:ascii="Arial" w:hAnsi="Arial" w:eastAsia="Calibri" w:cs="Arial"/>
          <w:sz w:val="22"/>
        </w:rPr>
        <w:t>Resoluciones Nos. 248 y 249 de 2020</w:t>
      </w:r>
      <w:r>
        <w:rPr>
          <w:rFonts w:ascii="Arial" w:hAnsi="Arial" w:eastAsia="Calibri" w:cs="Arial"/>
          <w:sz w:val="22"/>
        </w:rPr>
        <w:t>, referido a los contratos de obra relacionados con «</w:t>
      </w:r>
      <w:r w:rsidRPr="00CD1FE4">
        <w:rPr>
          <w:rFonts w:ascii="Arial" w:hAnsi="Arial" w:eastAsia="Calibri" w:cs="Arial"/>
          <w:i/>
          <w:iCs/>
          <w:sz w:val="22"/>
        </w:rPr>
        <w:t>unidades sanitarias para vivienda rural dispersa</w:t>
      </w:r>
      <w:r>
        <w:rPr>
          <w:rFonts w:ascii="Arial" w:hAnsi="Arial" w:eastAsia="Calibri" w:cs="Arial"/>
          <w:sz w:val="22"/>
        </w:rPr>
        <w:t>».</w:t>
      </w:r>
      <w:r w:rsidR="003C7942">
        <w:rPr>
          <w:rFonts w:ascii="Arial" w:hAnsi="Arial" w:eastAsia="Calibri" w:cs="Arial"/>
          <w:sz w:val="22"/>
        </w:rPr>
        <w:t xml:space="preserve"> </w:t>
      </w:r>
      <w:r w:rsidR="00532717">
        <w:rPr>
          <w:rFonts w:ascii="Arial" w:hAnsi="Arial" w:eastAsia="Calibri" w:cs="Arial"/>
          <w:sz w:val="22"/>
          <w:lang w:val="es-ES_tradnl"/>
        </w:rPr>
        <w:t>Por lo tanto, para la ejecución de obras no previstas en la matriz citada no existe obligación de aplicar los documentos tipo mencionados. Lo anterior sin perjuicio de que –conforme a la Directiva Presidencial 0</w:t>
      </w:r>
      <w:r w:rsidR="00532717">
        <w:rPr>
          <w:rFonts w:ascii="Arial" w:hAnsi="Arial" w:cs="Arial"/>
          <w:sz w:val="22"/>
          <w:shd w:val="clear" w:color="auto" w:fill="FFFFFF"/>
          <w:lang w:val="es-ES_tradnl"/>
        </w:rPr>
        <w:t>01 del 3 de marzo de 2021–</w:t>
      </w:r>
      <w:r w:rsidR="00532717">
        <w:rPr>
          <w:rFonts w:ascii="Arial" w:hAnsi="Arial" w:eastAsia="Calibri" w:cs="Arial"/>
          <w:sz w:val="22"/>
          <w:lang w:val="es-ES_tradnl"/>
        </w:rPr>
        <w:t xml:space="preserve"> puedan utilizarse como un parámetro de buena práctica contractual en el sistema de compras públicas.</w:t>
      </w:r>
    </w:p>
    <w:p w:rsidRPr="004B2E72" w:rsidR="008201C7" w:rsidP="0050434E" w:rsidRDefault="008201C7" w14:paraId="684CBE07" w14:textId="77777777">
      <w:pPr>
        <w:spacing w:line="276" w:lineRule="auto"/>
        <w:jc w:val="both"/>
        <w:rPr>
          <w:rFonts w:ascii="Arial" w:hAnsi="Arial" w:eastAsia="Calibri" w:cs="Arial"/>
          <w:sz w:val="22"/>
          <w:lang w:val="es-ES_tradnl"/>
        </w:rPr>
      </w:pPr>
    </w:p>
    <w:p w:rsidRPr="00737DB6" w:rsidR="00214878" w:rsidP="0050434E" w:rsidRDefault="00214878" w14:paraId="426B5DCA" w14:textId="7118CFF5">
      <w:pPr>
        <w:spacing w:line="276" w:lineRule="auto"/>
        <w:jc w:val="both"/>
        <w:rPr>
          <w:rFonts w:ascii="Arial" w:hAnsi="Arial" w:eastAsia="Calibri" w:cs="Arial"/>
          <w:sz w:val="22"/>
        </w:rPr>
      </w:pPr>
      <w:r w:rsidRPr="00737DB6">
        <w:rPr>
          <w:rFonts w:ascii="Arial" w:hAnsi="Arial" w:eastAsia="Calibri" w:cs="Arial"/>
          <w:sz w:val="22"/>
        </w:rPr>
        <w:t>Este concepto tiene el alcance previsto en el artículo 28 del Código de Procedimiento Administrativo y de lo Contencioso Administrativo.</w:t>
      </w:r>
    </w:p>
    <w:p w:rsidRPr="00737DB6" w:rsidR="0002551F" w:rsidP="0050434E" w:rsidRDefault="0002551F" w14:paraId="2FEDC4ED" w14:textId="77777777">
      <w:pPr>
        <w:spacing w:line="276" w:lineRule="auto"/>
        <w:jc w:val="both"/>
        <w:rPr>
          <w:rFonts w:ascii="Arial" w:hAnsi="Arial" w:eastAsia="Calibri" w:cs="Arial"/>
          <w:sz w:val="22"/>
        </w:rPr>
      </w:pPr>
    </w:p>
    <w:p w:rsidRPr="00737DB6" w:rsidR="00214878" w:rsidP="0050434E" w:rsidRDefault="00214878" w14:paraId="2D31E5AC" w14:textId="5CAE9096">
      <w:pPr>
        <w:spacing w:line="276" w:lineRule="auto"/>
        <w:jc w:val="both"/>
        <w:rPr>
          <w:rFonts w:ascii="Arial" w:hAnsi="Arial" w:eastAsia="Calibri"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E002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00847C80" w:rsidP="0050434E" w:rsidRDefault="00214878" w14:paraId="7DDC6849" w14:textId="53149CFE">
      <w:pPr>
        <w:spacing w:line="276" w:lineRule="auto"/>
        <w:rPr>
          <w:rFonts w:ascii="Arial" w:hAnsi="Arial" w:eastAsia="Times New Roman" w:cs="Arial"/>
          <w:sz w:val="22"/>
          <w:lang w:eastAsia="es-CO"/>
        </w:rPr>
      </w:pPr>
      <w:r w:rsidRPr="39D2D54E">
        <w:rPr>
          <w:rFonts w:ascii="Arial" w:hAnsi="Arial" w:eastAsia="Times New Roman" w:cs="Arial"/>
          <w:sz w:val="22"/>
          <w:lang w:eastAsia="es-CO"/>
        </w:rPr>
        <w:t>Atentamente,</w:t>
      </w:r>
    </w:p>
    <w:p w:rsidR="008D7064" w:rsidP="0054602D" w:rsidRDefault="000D3E44" w14:paraId="56DC2BE6" w14:textId="19C3D617">
      <w:pPr>
        <w:spacing w:line="276" w:lineRule="auto"/>
        <w:jc w:val="center"/>
        <w:rPr>
          <w:rFonts w:ascii="Arial" w:hAnsi="Arial" w:eastAsia="Times New Roman" w:cs="Arial"/>
          <w:sz w:val="22"/>
          <w:lang w:eastAsia="es-CO"/>
        </w:rPr>
      </w:pPr>
      <w:r w:rsidR="000D3E44">
        <w:drawing>
          <wp:inline wp14:editId="317C05A8" wp14:anchorId="08F8FF8F">
            <wp:extent cx="2514600" cy="1114425"/>
            <wp:effectExtent l="0" t="0" r="0" b="9525"/>
            <wp:docPr id="5" name="Imagen 5" title=""/>
            <wp:cNvGraphicFramePr>
              <a:graphicFrameLocks noChangeAspect="1"/>
            </wp:cNvGraphicFramePr>
            <a:graphic>
              <a:graphicData uri="http://schemas.openxmlformats.org/drawingml/2006/picture">
                <pic:pic>
                  <pic:nvPicPr>
                    <pic:cNvPr id="0" name="Imagen 5"/>
                    <pic:cNvPicPr/>
                  </pic:nvPicPr>
                  <pic:blipFill>
                    <a:blip r:embed="Rd75081aeef24478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4600" cy="1114425"/>
                    </a:xfrm>
                    <a:prstGeom prst="rect">
                      <a:avLst/>
                    </a:prstGeom>
                  </pic:spPr>
                </pic:pic>
              </a:graphicData>
            </a:graphic>
          </wp:inline>
        </w:drawing>
      </w:r>
    </w:p>
    <w:p w:rsidRPr="0054602D" w:rsidR="0054602D" w:rsidP="0054602D" w:rsidRDefault="0054602D" w14:paraId="1E60E1C2" w14:textId="77777777">
      <w:pPr>
        <w:spacing w:line="276" w:lineRule="auto"/>
        <w:jc w:val="center"/>
        <w:rPr>
          <w:rFonts w:ascii="Arial" w:hAnsi="Arial" w:eastAsia="Times New Roman" w:cs="Arial"/>
          <w:sz w:val="22"/>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E01B3" w:rsidR="00CA7FEF" w:rsidTr="00C968EC" w14:paraId="2E979D08" w14:textId="77777777">
        <w:trPr>
          <w:trHeight w:val="315"/>
        </w:trPr>
        <w:tc>
          <w:tcPr>
            <w:tcW w:w="812" w:type="dxa"/>
            <w:vAlign w:val="center"/>
          </w:tcPr>
          <w:p w:rsidRPr="002E01B3" w:rsidR="00214878" w:rsidP="00AF2440" w:rsidRDefault="00214878" w14:paraId="1606F074" w14:textId="77777777">
            <w:pPr>
              <w:rPr>
                <w:rFonts w:ascii="Arial" w:hAnsi="Arial" w:eastAsia="Times New Roman" w:cs="Arial"/>
                <w:sz w:val="14"/>
                <w:szCs w:val="14"/>
                <w:lang w:eastAsia="es-ES"/>
              </w:rPr>
            </w:pPr>
            <w:r w:rsidRPr="002E01B3">
              <w:rPr>
                <w:rFonts w:ascii="Arial" w:hAnsi="Arial" w:eastAsia="Times New Roman" w:cs="Arial"/>
                <w:sz w:val="14"/>
                <w:szCs w:val="14"/>
                <w:lang w:eastAsia="es-ES"/>
              </w:rPr>
              <w:t>Elaboró:</w:t>
            </w:r>
          </w:p>
        </w:tc>
        <w:tc>
          <w:tcPr>
            <w:tcW w:w="4413" w:type="dxa"/>
            <w:tcBorders>
              <w:bottom w:val="dotted" w:color="7F7F7F" w:themeColor="text1" w:themeTint="80" w:sz="4" w:space="0"/>
            </w:tcBorders>
            <w:vAlign w:val="center"/>
          </w:tcPr>
          <w:p w:rsidRPr="002E01B3" w:rsidR="00214878" w:rsidP="00AF2440" w:rsidRDefault="008D7064" w14:paraId="2343580D" w14:textId="7D6B0B75">
            <w:pPr>
              <w:rPr>
                <w:rFonts w:ascii="Arial" w:hAnsi="Arial" w:eastAsia="Times New Roman" w:cs="Arial"/>
                <w:sz w:val="14"/>
                <w:szCs w:val="14"/>
                <w:lang w:eastAsia="es-ES"/>
              </w:rPr>
            </w:pPr>
            <w:r w:rsidRPr="002E01B3">
              <w:rPr>
                <w:rFonts w:ascii="Arial" w:hAnsi="Arial" w:eastAsia="Times New Roman" w:cs="Arial"/>
                <w:sz w:val="14"/>
                <w:szCs w:val="14"/>
                <w:lang w:eastAsia="es-ES"/>
              </w:rPr>
              <w:t xml:space="preserve">Jorge Alberto García Calume </w:t>
            </w:r>
            <w:r w:rsidRPr="002E01B3" w:rsidR="00A60725">
              <w:rPr>
                <w:rFonts w:ascii="Arial" w:hAnsi="Arial" w:eastAsia="Times New Roman" w:cs="Arial"/>
                <w:sz w:val="14"/>
                <w:szCs w:val="14"/>
                <w:lang w:eastAsia="es-ES"/>
              </w:rPr>
              <w:t xml:space="preserve"> </w:t>
            </w:r>
          </w:p>
          <w:p w:rsidRPr="002E01B3" w:rsidR="00214878" w:rsidP="00AF2440" w:rsidRDefault="00A60725" w14:paraId="6995B041" w14:textId="2B5FB8DA">
            <w:pPr>
              <w:rPr>
                <w:rFonts w:ascii="Arial" w:hAnsi="Arial" w:eastAsia="Times New Roman" w:cs="Arial"/>
                <w:sz w:val="14"/>
                <w:szCs w:val="14"/>
                <w:lang w:eastAsia="es-ES"/>
              </w:rPr>
            </w:pPr>
            <w:r w:rsidRPr="002E01B3">
              <w:rPr>
                <w:rFonts w:ascii="Arial" w:hAnsi="Arial" w:eastAsia="Times New Roman" w:cs="Arial"/>
                <w:sz w:val="14"/>
                <w:szCs w:val="14"/>
                <w:lang w:eastAsia="es-ES"/>
              </w:rPr>
              <w:t>Contratista</w:t>
            </w:r>
            <w:r w:rsidRPr="002E01B3" w:rsidR="000133EA">
              <w:rPr>
                <w:rFonts w:ascii="Arial" w:hAnsi="Arial" w:eastAsia="Times New Roman" w:cs="Arial"/>
                <w:sz w:val="14"/>
                <w:szCs w:val="14"/>
                <w:lang w:eastAsia="es-ES"/>
              </w:rPr>
              <w:t xml:space="preserve"> de la Subdirección de Gestión Contractual </w:t>
            </w:r>
          </w:p>
        </w:tc>
      </w:tr>
      <w:tr w:rsidRPr="002E01B3" w:rsidR="00CA7FEF" w:rsidTr="00C968EC" w14:paraId="1EFBDAAD" w14:textId="77777777">
        <w:trPr>
          <w:trHeight w:val="330"/>
        </w:trPr>
        <w:tc>
          <w:tcPr>
            <w:tcW w:w="812" w:type="dxa"/>
            <w:vAlign w:val="center"/>
          </w:tcPr>
          <w:p w:rsidRPr="002E01B3" w:rsidR="00214878" w:rsidP="00AF2440" w:rsidRDefault="00214878" w14:paraId="09701992" w14:textId="77777777">
            <w:pPr>
              <w:rPr>
                <w:rFonts w:ascii="Arial" w:hAnsi="Arial" w:eastAsia="Times New Roman" w:cs="Arial"/>
                <w:sz w:val="14"/>
                <w:szCs w:val="14"/>
                <w:lang w:eastAsia="es-ES"/>
              </w:rPr>
            </w:pPr>
            <w:r w:rsidRPr="002E01B3">
              <w:rPr>
                <w:rFonts w:ascii="Arial" w:hAnsi="Arial" w:eastAsia="Times New Roman" w:cs="Arial"/>
                <w:sz w:val="14"/>
                <w:szCs w:val="14"/>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2E01B3" w:rsidR="00E263C3" w:rsidP="00E263C3" w:rsidRDefault="002F3127" w14:paraId="72C985EC" w14:textId="54949285">
            <w:pPr>
              <w:rPr>
                <w:rFonts w:ascii="Arial" w:hAnsi="Arial" w:cs="Arial"/>
                <w:sz w:val="14"/>
                <w:szCs w:val="14"/>
                <w:lang w:eastAsia="es-ES"/>
              </w:rPr>
            </w:pPr>
            <w:r w:rsidRPr="002E01B3">
              <w:rPr>
                <w:rFonts w:ascii="Arial" w:hAnsi="Arial" w:cs="Arial"/>
                <w:sz w:val="14"/>
                <w:szCs w:val="14"/>
                <w:lang w:eastAsia="es-ES"/>
              </w:rPr>
              <w:t xml:space="preserve">Juan David Montoya </w:t>
            </w:r>
            <w:r w:rsidRPr="002E01B3" w:rsidR="000133EA">
              <w:rPr>
                <w:rFonts w:ascii="Arial" w:hAnsi="Arial" w:cs="Arial"/>
                <w:sz w:val="14"/>
                <w:szCs w:val="14"/>
                <w:lang w:eastAsia="es-ES"/>
              </w:rPr>
              <w:t>Penagos</w:t>
            </w:r>
          </w:p>
          <w:p w:rsidR="00214878" w:rsidP="00AF2440" w:rsidRDefault="00E263C3" w14:paraId="54CDE057" w14:textId="77777777">
            <w:pPr>
              <w:rPr>
                <w:rFonts w:ascii="Arial" w:hAnsi="Arial" w:cs="Arial"/>
                <w:sz w:val="14"/>
                <w:szCs w:val="14"/>
                <w:lang w:eastAsia="es-ES"/>
              </w:rPr>
            </w:pPr>
            <w:r w:rsidRPr="002E01B3">
              <w:rPr>
                <w:rFonts w:ascii="Arial" w:hAnsi="Arial" w:cs="Arial"/>
                <w:sz w:val="14"/>
                <w:szCs w:val="14"/>
                <w:lang w:eastAsia="es-ES"/>
              </w:rPr>
              <w:t>Gestor T1-15 de la Subdirección de Gestión Contractual</w:t>
            </w:r>
          </w:p>
          <w:p w:rsidR="00EB26B0" w:rsidP="00AF2440" w:rsidRDefault="00EB26B0" w14:paraId="26B9653E" w14:textId="77777777">
            <w:pPr>
              <w:rPr>
                <w:rFonts w:ascii="Arial" w:hAnsi="Arial" w:eastAsia="Times New Roman" w:cs="Arial"/>
                <w:sz w:val="14"/>
                <w:szCs w:val="14"/>
                <w:lang w:eastAsia="es-ES"/>
              </w:rPr>
            </w:pPr>
            <w:r>
              <w:rPr>
                <w:rFonts w:ascii="Arial" w:hAnsi="Arial" w:eastAsia="Times New Roman" w:cs="Arial"/>
                <w:sz w:val="14"/>
                <w:szCs w:val="14"/>
                <w:lang w:eastAsia="es-ES"/>
              </w:rPr>
              <w:t>Karlo Fernández Cala</w:t>
            </w:r>
          </w:p>
          <w:p w:rsidRPr="002E01B3" w:rsidR="00EB26B0" w:rsidP="00AF2440" w:rsidRDefault="00EB26B0" w14:paraId="6B6BBB43" w14:textId="498DB8E4">
            <w:pPr>
              <w:rPr>
                <w:rFonts w:ascii="Arial" w:hAnsi="Arial" w:eastAsia="Times New Roman" w:cs="Arial"/>
                <w:sz w:val="14"/>
                <w:szCs w:val="14"/>
                <w:lang w:eastAsia="es-ES"/>
              </w:rPr>
            </w:pPr>
            <w:r>
              <w:rPr>
                <w:rFonts w:ascii="Arial" w:hAnsi="Arial" w:eastAsia="Times New Roman" w:cs="Arial"/>
                <w:sz w:val="14"/>
                <w:szCs w:val="14"/>
                <w:lang w:eastAsia="es-ES"/>
              </w:rPr>
              <w:t>Gestor T1-15 de la Dirección General</w:t>
            </w:r>
          </w:p>
        </w:tc>
      </w:tr>
      <w:tr w:rsidRPr="002E01B3" w:rsidR="00CA7FEF" w:rsidTr="00C968EC" w14:paraId="24C3AA5B" w14:textId="77777777">
        <w:trPr>
          <w:trHeight w:val="300"/>
        </w:trPr>
        <w:tc>
          <w:tcPr>
            <w:tcW w:w="812" w:type="dxa"/>
            <w:vAlign w:val="center"/>
          </w:tcPr>
          <w:p w:rsidRPr="002E01B3" w:rsidR="00214878" w:rsidP="00AF2440" w:rsidRDefault="00214878" w14:paraId="3F00D087" w14:textId="77777777">
            <w:pPr>
              <w:rPr>
                <w:rFonts w:ascii="Arial" w:hAnsi="Arial" w:eastAsia="Times New Roman" w:cs="Arial"/>
                <w:sz w:val="14"/>
                <w:szCs w:val="14"/>
                <w:lang w:eastAsia="es-ES"/>
              </w:rPr>
            </w:pPr>
            <w:r w:rsidRPr="002E01B3">
              <w:rPr>
                <w:rFonts w:ascii="Arial" w:hAnsi="Arial" w:eastAsia="Times New Roman" w:cs="Arial"/>
                <w:sz w:val="14"/>
                <w:szCs w:val="14"/>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2E01B3" w:rsidR="00E263C3" w:rsidP="00E263C3" w:rsidRDefault="00E263C3" w14:paraId="66AE1539" w14:textId="77777777">
            <w:pPr>
              <w:rPr>
                <w:rFonts w:ascii="Arial" w:hAnsi="Arial" w:cs="Arial"/>
                <w:sz w:val="14"/>
                <w:szCs w:val="14"/>
                <w:lang w:eastAsia="es-ES"/>
              </w:rPr>
            </w:pPr>
            <w:r w:rsidRPr="002E01B3">
              <w:rPr>
                <w:rFonts w:ascii="Arial" w:hAnsi="Arial" w:cs="Arial"/>
                <w:sz w:val="14"/>
                <w:szCs w:val="14"/>
                <w:lang w:eastAsia="es-ES"/>
              </w:rPr>
              <w:t>Jorge Augusto Tirado Navarro</w:t>
            </w:r>
          </w:p>
          <w:p w:rsidRPr="002E01B3" w:rsidR="00214878" w:rsidP="00AF2440" w:rsidRDefault="00E263C3" w14:paraId="1D1409AB" w14:textId="5F14B4EB">
            <w:pPr>
              <w:rPr>
                <w:rFonts w:ascii="Arial" w:hAnsi="Arial" w:eastAsia="Times New Roman" w:cs="Arial"/>
                <w:sz w:val="14"/>
                <w:szCs w:val="14"/>
                <w:lang w:eastAsia="es-ES"/>
              </w:rPr>
            </w:pPr>
            <w:r w:rsidRPr="002E01B3">
              <w:rPr>
                <w:rFonts w:ascii="Arial" w:hAnsi="Arial" w:cs="Arial"/>
                <w:sz w:val="14"/>
                <w:szCs w:val="14"/>
                <w:lang w:eastAsia="es-ES"/>
              </w:rPr>
              <w:t>Subdirector de Gestión Contractual ANCP – CCE</w:t>
            </w:r>
          </w:p>
        </w:tc>
      </w:tr>
      <w:bookmarkEnd w:id="2"/>
      <w:bookmarkEnd w:id="3"/>
    </w:tbl>
    <w:p w:rsidRPr="002E01B3" w:rsidR="00737DB6" w:rsidP="004A214E" w:rsidRDefault="00737DB6" w14:paraId="0EEB665C" w14:textId="77777777">
      <w:pPr>
        <w:spacing w:before="120" w:after="120" w:line="276" w:lineRule="auto"/>
        <w:rPr>
          <w:rFonts w:ascii="Arial" w:hAnsi="Arial" w:cs="Arial"/>
          <w:sz w:val="14"/>
          <w:szCs w:val="14"/>
        </w:rPr>
      </w:pPr>
    </w:p>
    <w:sectPr w:rsidRPr="002E01B3" w:rsidR="00737DB6" w:rsidSect="00214878">
      <w:headerReference w:type="default" r:id="rId13"/>
      <w:footerReference w:type="default" r:id="rId14"/>
      <w:pgSz w:w="12240" w:h="15840" w:orient="portrait"/>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7FA" w:rsidRDefault="00E317FA" w14:paraId="70C76871" w14:textId="77777777">
      <w:r>
        <w:separator/>
      </w:r>
    </w:p>
  </w:endnote>
  <w:endnote w:type="continuationSeparator" w:id="0">
    <w:p w:rsidR="00E317FA" w:rsidRDefault="00E317FA" w14:paraId="40B262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526D46" w:rsidP="00214878" w:rsidRDefault="00526D46" w14:paraId="7E76759C" w14:textId="5BAD260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D3E44">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D3E4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526D46" w:rsidP="00214878" w:rsidRDefault="00526D46" w14:paraId="218ACE78" w14:textId="77777777">
    <w:pPr>
      <w:pStyle w:val="Piedepgina"/>
      <w:jc w:val="center"/>
      <w:rPr>
        <w:lang w:val="es-ES"/>
      </w:rPr>
    </w:pPr>
    <w:r w:rsidR="7F1C7AE0">
      <w:drawing>
        <wp:inline wp14:editId="51F9E0A2" wp14:anchorId="53C58075">
          <wp:extent cx="3700130" cy="519139"/>
          <wp:effectExtent l="0" t="0" r="0" b="0"/>
          <wp:docPr id="1552769480" name="Imagen 3" title=""/>
          <wp:cNvGraphicFramePr>
            <a:graphicFrameLocks noChangeAspect="1"/>
          </wp:cNvGraphicFramePr>
          <a:graphic>
            <a:graphicData uri="http://schemas.openxmlformats.org/drawingml/2006/picture">
              <pic:pic>
                <pic:nvPicPr>
                  <pic:cNvPr id="0" name="Imagen 3"/>
                  <pic:cNvPicPr/>
                </pic:nvPicPr>
                <pic:blipFill>
                  <a:blip r:embed="Rc8f545f8b01244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526D46" w:rsidP="00214878" w:rsidRDefault="00526D46" w14:paraId="651FA18A" w14:textId="77777777">
    <w:pPr>
      <w:pStyle w:val="Piedepgina"/>
      <w:jc w:val="center"/>
      <w:rPr>
        <w:lang w:val="es-ES"/>
      </w:rPr>
    </w:pPr>
  </w:p>
  <w:p w:rsidRPr="00214878" w:rsidR="00526D46" w:rsidP="00214878" w:rsidRDefault="00526D46"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7FA" w:rsidRDefault="00E317FA" w14:paraId="0469593F" w14:textId="77777777">
      <w:r>
        <w:separator/>
      </w:r>
    </w:p>
  </w:footnote>
  <w:footnote w:type="continuationSeparator" w:id="0">
    <w:p w:rsidR="00E317FA" w:rsidRDefault="00E317FA" w14:paraId="5D96B13A" w14:textId="77777777">
      <w:r>
        <w:continuationSeparator/>
      </w:r>
    </w:p>
  </w:footnote>
  <w:footnote w:id="1">
    <w:p w:rsidR="00354041" w:rsidP="00354041" w:rsidRDefault="00354041" w14:paraId="516BC458" w14:textId="77777777">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rsidRPr="00BC1ADF" w:rsidR="00354041" w:rsidP="00354041" w:rsidRDefault="00354041" w14:paraId="2E584B99" w14:textId="77777777">
      <w:pPr>
        <w:pStyle w:val="Textonotapie"/>
        <w:jc w:val="both"/>
        <w:rPr>
          <w:rFonts w:ascii="Arial" w:hAnsi="Arial" w:cs="Arial"/>
          <w:sz w:val="19"/>
          <w:szCs w:val="19"/>
        </w:rPr>
      </w:pPr>
    </w:p>
  </w:footnote>
  <w:footnote w:id="2">
    <w:p w:rsidR="00354041" w:rsidP="00354041" w:rsidRDefault="00354041" w14:paraId="0C58E814" w14:textId="77777777">
      <w:pPr>
        <w:pStyle w:val="Textonotapie"/>
        <w:ind w:firstLine="708"/>
        <w:jc w:val="both"/>
        <w:rPr>
          <w:rFonts w:ascii="Arial" w:hAnsi="Arial" w:eastAsia="Calibri"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hAnsi="Arial" w:eastAsia="Calibri" w:cs="Arial"/>
          <w:sz w:val="19"/>
          <w:szCs w:val="19"/>
        </w:rPr>
        <w:t xml:space="preserve">Diario Oficial. Gaceta del Congreso 458 de 2005. </w:t>
      </w:r>
    </w:p>
    <w:p w:rsidRPr="00146D26" w:rsidR="00354041" w:rsidP="00354041" w:rsidRDefault="00354041" w14:paraId="49CC0348" w14:textId="77777777">
      <w:pPr>
        <w:pStyle w:val="Textonotapie"/>
        <w:ind w:firstLine="708"/>
        <w:jc w:val="both"/>
        <w:rPr>
          <w:rFonts w:ascii="Arial" w:hAnsi="Arial" w:eastAsia="Calibri" w:cs="Arial"/>
          <w:sz w:val="19"/>
          <w:szCs w:val="19"/>
        </w:rPr>
      </w:pPr>
    </w:p>
  </w:footnote>
  <w:footnote w:id="3">
    <w:p w:rsidRPr="00735B49" w:rsidR="00354041" w:rsidP="00354041" w:rsidRDefault="00354041" w14:paraId="32A6CDF4" w14:textId="77777777">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735B49">
        <w:rPr>
          <w:rFonts w:ascii="Arial" w:hAnsi="Arial" w:cs="Arial"/>
          <w:sz w:val="19"/>
          <w:szCs w:val="19"/>
          <w:lang w:val="es-ES"/>
        </w:rPr>
        <w:t xml:space="preserve">Ibídem. </w:t>
      </w:r>
    </w:p>
    <w:p w:rsidRPr="0016135D" w:rsidR="00354041" w:rsidP="00354041" w:rsidRDefault="00354041" w14:paraId="4437D997" w14:textId="77777777">
      <w:pPr>
        <w:pStyle w:val="Textonotapie"/>
        <w:ind w:left="708"/>
        <w:jc w:val="both"/>
        <w:rPr>
          <w:rFonts w:ascii="Arial" w:hAnsi="Arial" w:cs="Arial"/>
          <w:sz w:val="19"/>
          <w:szCs w:val="19"/>
          <w:lang w:val="es-ES"/>
        </w:rPr>
      </w:pPr>
    </w:p>
  </w:footnote>
  <w:footnote w:id="4">
    <w:p w:rsidR="00354041" w:rsidP="00354041" w:rsidRDefault="00354041" w14:paraId="2DA3486E" w14:textId="77777777">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rsidRPr="0016135D" w:rsidR="00354041" w:rsidP="00354041" w:rsidRDefault="00354041" w14:paraId="6C1E5DE1" w14:textId="77777777">
      <w:pPr>
        <w:pStyle w:val="Textonotapie"/>
        <w:ind w:firstLine="708"/>
        <w:jc w:val="both"/>
        <w:rPr>
          <w:rFonts w:ascii="Arial" w:hAnsi="Arial" w:cs="Arial"/>
          <w:sz w:val="19"/>
          <w:szCs w:val="19"/>
          <w:lang w:val="es-ES"/>
        </w:rPr>
      </w:pPr>
    </w:p>
  </w:footnote>
  <w:footnote w:id="5">
    <w:p w:rsidRPr="0082639E" w:rsidR="00354041" w:rsidP="00354041" w:rsidRDefault="00354041" w14:paraId="64046A3C" w14:textId="77777777">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82639E" w:rsidR="00354041" w:rsidP="00354041" w:rsidRDefault="00354041" w14:paraId="186C7669" w14:textId="77777777">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rsidRPr="0082639E" w:rsidR="00354041" w:rsidP="00354041" w:rsidRDefault="00354041" w14:paraId="1407623B" w14:textId="77777777">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rsidRPr="0082639E" w:rsidR="00354041" w:rsidP="00354041" w:rsidRDefault="00354041" w14:paraId="7A501ADE" w14:textId="77777777">
      <w:pPr>
        <w:pStyle w:val="Textonotapie"/>
        <w:jc w:val="both"/>
        <w:rPr>
          <w:sz w:val="19"/>
          <w:szCs w:val="19"/>
          <w:lang w:val="es-CO"/>
        </w:rPr>
      </w:pPr>
    </w:p>
  </w:footnote>
  <w:footnote w:id="6">
    <w:p w:rsidRPr="00270009" w:rsidR="00354041" w:rsidP="00354041" w:rsidRDefault="00354041" w14:paraId="6E23A1A5" w14:textId="77777777">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70009" w:rsidR="00354041" w:rsidP="00354041" w:rsidRDefault="00354041" w14:paraId="67FD1F77"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70009" w:rsidR="00354041" w:rsidP="00354041" w:rsidRDefault="00354041" w14:paraId="74AD010D"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70009" w:rsidR="00354041" w:rsidP="00354041" w:rsidRDefault="00354041" w14:paraId="2C0E5459"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146D26" w:rsidR="00354041" w:rsidP="00354041" w:rsidRDefault="00354041" w14:paraId="3CC6A14A" w14:textId="77777777">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7">
    <w:p w:rsidRPr="00CD7EFC" w:rsidR="00372C35" w:rsidP="00372C35" w:rsidRDefault="00372C35" w14:paraId="132C901A" w14:textId="77777777">
      <w:pPr>
        <w:ind w:firstLine="708"/>
        <w:jc w:val="both"/>
        <w:rPr>
          <w:rFonts w:ascii="Arial" w:hAnsi="Arial" w:cs="Arial"/>
          <w:sz w:val="19"/>
          <w:szCs w:val="19"/>
        </w:rPr>
      </w:pPr>
      <w:r w:rsidRPr="00A51D52">
        <w:rPr>
          <w:rStyle w:val="Refdenotaalpie"/>
        </w:rPr>
        <w:footnoteRef/>
      </w:r>
      <w:r>
        <w:t xml:space="preserve"> </w:t>
      </w:r>
      <w:r w:rsidRPr="00CD7EFC">
        <w:rPr>
          <w:rFonts w:ascii="Arial" w:hAnsi="Arial" w:cs="Arial"/>
          <w:sz w:val="19"/>
          <w:szCs w:val="19"/>
        </w:rPr>
        <w:t>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rsidRPr="00CD7EFC" w:rsidR="00372C35" w:rsidP="00372C35" w:rsidRDefault="00372C35" w14:paraId="2FA0F4E9" w14:textId="77777777">
      <w:pPr>
        <w:ind w:firstLine="708"/>
        <w:jc w:val="both"/>
        <w:rPr>
          <w:rFonts w:ascii="Arial" w:hAnsi="Arial" w:cs="Arial"/>
          <w:sz w:val="19"/>
          <w:szCs w:val="19"/>
        </w:rPr>
      </w:pPr>
      <w:r w:rsidRPr="00CD7EFC">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CD7EFC" w:rsidR="00372C35" w:rsidP="00372C35" w:rsidRDefault="00372C35" w14:paraId="4CE062B7" w14:textId="77777777">
      <w:pPr>
        <w:ind w:firstLine="708"/>
        <w:jc w:val="both"/>
        <w:rPr>
          <w:rFonts w:ascii="Arial" w:hAnsi="Arial" w:cs="Arial"/>
          <w:sz w:val="19"/>
          <w:szCs w:val="19"/>
        </w:rPr>
      </w:pPr>
      <w:r w:rsidRPr="00CD7EFC">
        <w:rPr>
          <w:rFonts w:ascii="Arial" w:hAnsi="Arial" w:cs="Arial"/>
          <w:sz w:val="19"/>
          <w:szCs w:val="19"/>
        </w:rPr>
        <w:t xml:space="preserve">»2. Conservar los requisitos exigidos en los Documentos Tipo. </w:t>
      </w:r>
    </w:p>
    <w:p w:rsidRPr="00CD7EFC" w:rsidR="00372C35" w:rsidP="00372C35" w:rsidRDefault="00372C35" w14:paraId="5737D8AD" w14:textId="77777777">
      <w:pPr>
        <w:ind w:firstLine="708"/>
        <w:jc w:val="both"/>
        <w:rPr>
          <w:rFonts w:ascii="Arial" w:hAnsi="Arial" w:cs="Arial"/>
          <w:sz w:val="19"/>
          <w:szCs w:val="19"/>
        </w:rPr>
      </w:pPr>
      <w:r w:rsidRPr="00CD7EFC">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rsidRPr="00CD7EFC" w:rsidR="00372C35" w:rsidP="00372C35" w:rsidRDefault="00372C35" w14:paraId="148048A8" w14:textId="77777777">
      <w:pPr>
        <w:ind w:firstLine="708"/>
        <w:jc w:val="both"/>
        <w:rPr>
          <w:rFonts w:ascii="Arial" w:hAnsi="Arial" w:cs="Arial"/>
          <w:sz w:val="19"/>
          <w:szCs w:val="19"/>
        </w:rPr>
      </w:pPr>
      <w:r w:rsidRPr="00CD7EFC">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rsidRPr="00ED455D" w:rsidR="00372C35" w:rsidP="00372C35" w:rsidRDefault="00372C35" w14:paraId="18700669" w14:textId="77777777">
      <w:pPr>
        <w:pStyle w:val="Textonotapie"/>
        <w:ind w:firstLine="709"/>
        <w:jc w:val="both"/>
        <w:rPr>
          <w:lang w:val="es-CO"/>
        </w:rPr>
      </w:pPr>
      <w:r w:rsidRPr="00A11FBD">
        <w:rPr>
          <w:rFonts w:ascii="Arial" w:hAnsi="Arial" w:eastAsia="Times New Roman" w:cs="Arial"/>
          <w:sz w:val="19"/>
          <w:szCs w:val="19"/>
          <w:lang w:val="es-CO" w:eastAsia="es-ES_tradnl"/>
        </w:rPr>
        <w:t>»Parágrafo: En los casos que el objeto contractual incluya actividades de infraestructura de transporte aplicará la regla prevista en el numeral 3.5.1 del Documento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D46" w:rsidP="00214878" w:rsidRDefault="00526D46" w14:paraId="25140902" w14:textId="77777777">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4878" w:rsidR="00526D46" w:rsidP="00214878" w:rsidRDefault="00526D46" w14:paraId="6520770B" w14:textId="06FFF9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950975"/>
    <w:multiLevelType w:val="hybridMultilevel"/>
    <w:tmpl w:val="87FA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A64038"/>
    <w:multiLevelType w:val="multilevel"/>
    <w:tmpl w:val="B95A5F7E"/>
    <w:lvl w:ilvl="0">
      <w:start w:val="1"/>
      <w:numFmt w:val="decimal"/>
      <w:lvlText w:val="%1."/>
      <w:lvlJc w:val="left"/>
      <w:pPr>
        <w:ind w:left="6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11"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4"/>
  </w:num>
  <w:num w:numId="10">
    <w:abstractNumId w:val="10"/>
  </w:num>
  <w:num w:numId="11">
    <w:abstractNumId w:val="7"/>
  </w:num>
  <w:num w:numId="12">
    <w:abstractNumId w:val="1"/>
  </w:num>
  <w:num w:numId="13">
    <w:abstractNumId w:val="8"/>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845"/>
    <w:rsid w:val="000133EA"/>
    <w:rsid w:val="0001410E"/>
    <w:rsid w:val="00015DF9"/>
    <w:rsid w:val="00021D65"/>
    <w:rsid w:val="00022430"/>
    <w:rsid w:val="00023BE4"/>
    <w:rsid w:val="00023C87"/>
    <w:rsid w:val="0002551F"/>
    <w:rsid w:val="000268D8"/>
    <w:rsid w:val="00031FC6"/>
    <w:rsid w:val="00033B21"/>
    <w:rsid w:val="00035210"/>
    <w:rsid w:val="00036204"/>
    <w:rsid w:val="00043688"/>
    <w:rsid w:val="0004523D"/>
    <w:rsid w:val="00054A7B"/>
    <w:rsid w:val="0005527C"/>
    <w:rsid w:val="00056788"/>
    <w:rsid w:val="00060398"/>
    <w:rsid w:val="00064E2F"/>
    <w:rsid w:val="000709B9"/>
    <w:rsid w:val="00074108"/>
    <w:rsid w:val="00074B5B"/>
    <w:rsid w:val="000821B3"/>
    <w:rsid w:val="00085C91"/>
    <w:rsid w:val="00086C1E"/>
    <w:rsid w:val="00091F03"/>
    <w:rsid w:val="0009351A"/>
    <w:rsid w:val="000942EB"/>
    <w:rsid w:val="000950AA"/>
    <w:rsid w:val="000A18D7"/>
    <w:rsid w:val="000A3D48"/>
    <w:rsid w:val="000A4AA5"/>
    <w:rsid w:val="000A785D"/>
    <w:rsid w:val="000B103F"/>
    <w:rsid w:val="000B2127"/>
    <w:rsid w:val="000B5754"/>
    <w:rsid w:val="000B6AB4"/>
    <w:rsid w:val="000C0959"/>
    <w:rsid w:val="000C19E1"/>
    <w:rsid w:val="000C7696"/>
    <w:rsid w:val="000D02B3"/>
    <w:rsid w:val="000D3A92"/>
    <w:rsid w:val="000D3E44"/>
    <w:rsid w:val="000D4A92"/>
    <w:rsid w:val="000D5FFC"/>
    <w:rsid w:val="000E1BF2"/>
    <w:rsid w:val="000E1D97"/>
    <w:rsid w:val="000E202D"/>
    <w:rsid w:val="000E4B5C"/>
    <w:rsid w:val="000E699E"/>
    <w:rsid w:val="000E730C"/>
    <w:rsid w:val="000F14E8"/>
    <w:rsid w:val="000F18A6"/>
    <w:rsid w:val="00103604"/>
    <w:rsid w:val="00103915"/>
    <w:rsid w:val="00110320"/>
    <w:rsid w:val="001103A2"/>
    <w:rsid w:val="00113958"/>
    <w:rsid w:val="00121CD3"/>
    <w:rsid w:val="00122B23"/>
    <w:rsid w:val="00123889"/>
    <w:rsid w:val="00125924"/>
    <w:rsid w:val="00133E35"/>
    <w:rsid w:val="001353DC"/>
    <w:rsid w:val="0013568D"/>
    <w:rsid w:val="0013799F"/>
    <w:rsid w:val="00137FFA"/>
    <w:rsid w:val="00141FAC"/>
    <w:rsid w:val="001428A2"/>
    <w:rsid w:val="00147A9E"/>
    <w:rsid w:val="001550A3"/>
    <w:rsid w:val="00156684"/>
    <w:rsid w:val="00161B7E"/>
    <w:rsid w:val="00166B32"/>
    <w:rsid w:val="00175FDC"/>
    <w:rsid w:val="0018007B"/>
    <w:rsid w:val="001821C5"/>
    <w:rsid w:val="001900F9"/>
    <w:rsid w:val="00193DFB"/>
    <w:rsid w:val="00193EFC"/>
    <w:rsid w:val="00196BA1"/>
    <w:rsid w:val="001A31E2"/>
    <w:rsid w:val="001A36B8"/>
    <w:rsid w:val="001A695E"/>
    <w:rsid w:val="001A7009"/>
    <w:rsid w:val="001B010C"/>
    <w:rsid w:val="001B493A"/>
    <w:rsid w:val="001B6613"/>
    <w:rsid w:val="001C01AC"/>
    <w:rsid w:val="001C3106"/>
    <w:rsid w:val="001C4DE3"/>
    <w:rsid w:val="001C6B55"/>
    <w:rsid w:val="001D175D"/>
    <w:rsid w:val="001D5178"/>
    <w:rsid w:val="001E0B25"/>
    <w:rsid w:val="001E4F8E"/>
    <w:rsid w:val="001E62AF"/>
    <w:rsid w:val="001F2A9C"/>
    <w:rsid w:val="001F39CB"/>
    <w:rsid w:val="002002A3"/>
    <w:rsid w:val="00202F2E"/>
    <w:rsid w:val="002052BB"/>
    <w:rsid w:val="0021312A"/>
    <w:rsid w:val="0021354E"/>
    <w:rsid w:val="00213765"/>
    <w:rsid w:val="00214878"/>
    <w:rsid w:val="00221EF1"/>
    <w:rsid w:val="00224AFF"/>
    <w:rsid w:val="002346FC"/>
    <w:rsid w:val="00234B84"/>
    <w:rsid w:val="00237377"/>
    <w:rsid w:val="002411E9"/>
    <w:rsid w:val="0024213C"/>
    <w:rsid w:val="00242ED7"/>
    <w:rsid w:val="0024480D"/>
    <w:rsid w:val="002451C1"/>
    <w:rsid w:val="002454B3"/>
    <w:rsid w:val="00250EB5"/>
    <w:rsid w:val="0026156A"/>
    <w:rsid w:val="0026186C"/>
    <w:rsid w:val="00261A2E"/>
    <w:rsid w:val="002630D9"/>
    <w:rsid w:val="00263252"/>
    <w:rsid w:val="002653B4"/>
    <w:rsid w:val="00265500"/>
    <w:rsid w:val="002706B4"/>
    <w:rsid w:val="00280E65"/>
    <w:rsid w:val="002840FC"/>
    <w:rsid w:val="00284F69"/>
    <w:rsid w:val="00287A42"/>
    <w:rsid w:val="002918F7"/>
    <w:rsid w:val="00294025"/>
    <w:rsid w:val="00294A08"/>
    <w:rsid w:val="002963C2"/>
    <w:rsid w:val="00297C37"/>
    <w:rsid w:val="002A36A9"/>
    <w:rsid w:val="002A4D54"/>
    <w:rsid w:val="002B3D4E"/>
    <w:rsid w:val="002B4327"/>
    <w:rsid w:val="002C71CA"/>
    <w:rsid w:val="002C7E55"/>
    <w:rsid w:val="002C7E5B"/>
    <w:rsid w:val="002D1AA6"/>
    <w:rsid w:val="002D4C22"/>
    <w:rsid w:val="002D7A0C"/>
    <w:rsid w:val="002E01B3"/>
    <w:rsid w:val="002E1753"/>
    <w:rsid w:val="002E7375"/>
    <w:rsid w:val="002E79A9"/>
    <w:rsid w:val="002F2195"/>
    <w:rsid w:val="002F3127"/>
    <w:rsid w:val="002F33C3"/>
    <w:rsid w:val="002F7407"/>
    <w:rsid w:val="003011A3"/>
    <w:rsid w:val="00303001"/>
    <w:rsid w:val="003033BA"/>
    <w:rsid w:val="00305947"/>
    <w:rsid w:val="00306259"/>
    <w:rsid w:val="003067C4"/>
    <w:rsid w:val="00313908"/>
    <w:rsid w:val="003159B5"/>
    <w:rsid w:val="00315C98"/>
    <w:rsid w:val="00321A36"/>
    <w:rsid w:val="00323084"/>
    <w:rsid w:val="0033352A"/>
    <w:rsid w:val="00333DBC"/>
    <w:rsid w:val="0034680A"/>
    <w:rsid w:val="003471F9"/>
    <w:rsid w:val="00352311"/>
    <w:rsid w:val="00354041"/>
    <w:rsid w:val="0035408A"/>
    <w:rsid w:val="00356E6F"/>
    <w:rsid w:val="00361BB8"/>
    <w:rsid w:val="003644CA"/>
    <w:rsid w:val="003657FD"/>
    <w:rsid w:val="00372C35"/>
    <w:rsid w:val="003751BE"/>
    <w:rsid w:val="00376DB7"/>
    <w:rsid w:val="00386456"/>
    <w:rsid w:val="00387590"/>
    <w:rsid w:val="003925E0"/>
    <w:rsid w:val="00392F03"/>
    <w:rsid w:val="003945B8"/>
    <w:rsid w:val="003A1AAE"/>
    <w:rsid w:val="003A581E"/>
    <w:rsid w:val="003B0B5A"/>
    <w:rsid w:val="003B1DBE"/>
    <w:rsid w:val="003B2D22"/>
    <w:rsid w:val="003B4F39"/>
    <w:rsid w:val="003C35CA"/>
    <w:rsid w:val="003C5076"/>
    <w:rsid w:val="003C7942"/>
    <w:rsid w:val="003D14E8"/>
    <w:rsid w:val="003D7759"/>
    <w:rsid w:val="003F2F99"/>
    <w:rsid w:val="003F6F8C"/>
    <w:rsid w:val="00400DDE"/>
    <w:rsid w:val="004024A2"/>
    <w:rsid w:val="00405662"/>
    <w:rsid w:val="00407293"/>
    <w:rsid w:val="00410870"/>
    <w:rsid w:val="00414A77"/>
    <w:rsid w:val="00415395"/>
    <w:rsid w:val="00416B2E"/>
    <w:rsid w:val="00416B88"/>
    <w:rsid w:val="00417402"/>
    <w:rsid w:val="00423A1A"/>
    <w:rsid w:val="00424C2F"/>
    <w:rsid w:val="0043152C"/>
    <w:rsid w:val="00432163"/>
    <w:rsid w:val="00434BC9"/>
    <w:rsid w:val="00435833"/>
    <w:rsid w:val="004422D6"/>
    <w:rsid w:val="00443F10"/>
    <w:rsid w:val="00444865"/>
    <w:rsid w:val="00445F18"/>
    <w:rsid w:val="004513E8"/>
    <w:rsid w:val="004535C7"/>
    <w:rsid w:val="004537E9"/>
    <w:rsid w:val="004619B2"/>
    <w:rsid w:val="00462527"/>
    <w:rsid w:val="00464B57"/>
    <w:rsid w:val="00467950"/>
    <w:rsid w:val="00475159"/>
    <w:rsid w:val="00477B6D"/>
    <w:rsid w:val="004823BF"/>
    <w:rsid w:val="00483490"/>
    <w:rsid w:val="00487048"/>
    <w:rsid w:val="0048775B"/>
    <w:rsid w:val="00490869"/>
    <w:rsid w:val="0049197E"/>
    <w:rsid w:val="004A214E"/>
    <w:rsid w:val="004A34D2"/>
    <w:rsid w:val="004A51B7"/>
    <w:rsid w:val="004B2E72"/>
    <w:rsid w:val="004B4CD7"/>
    <w:rsid w:val="004B6213"/>
    <w:rsid w:val="004B62BE"/>
    <w:rsid w:val="004C35C3"/>
    <w:rsid w:val="004C4233"/>
    <w:rsid w:val="004C56C4"/>
    <w:rsid w:val="004C64DF"/>
    <w:rsid w:val="004D021E"/>
    <w:rsid w:val="004D2202"/>
    <w:rsid w:val="004D2FE0"/>
    <w:rsid w:val="004E2DEA"/>
    <w:rsid w:val="004E420A"/>
    <w:rsid w:val="004E51E3"/>
    <w:rsid w:val="004E6117"/>
    <w:rsid w:val="004F1A74"/>
    <w:rsid w:val="004F2FA6"/>
    <w:rsid w:val="004F3CEB"/>
    <w:rsid w:val="004F3E22"/>
    <w:rsid w:val="0050193D"/>
    <w:rsid w:val="00501AD2"/>
    <w:rsid w:val="00502A6F"/>
    <w:rsid w:val="0050434E"/>
    <w:rsid w:val="00504B90"/>
    <w:rsid w:val="0051074C"/>
    <w:rsid w:val="00510EAF"/>
    <w:rsid w:val="00512714"/>
    <w:rsid w:val="00513AF2"/>
    <w:rsid w:val="0051416A"/>
    <w:rsid w:val="00516526"/>
    <w:rsid w:val="00517832"/>
    <w:rsid w:val="00521AA0"/>
    <w:rsid w:val="00524EC7"/>
    <w:rsid w:val="00525C51"/>
    <w:rsid w:val="00526D46"/>
    <w:rsid w:val="00531345"/>
    <w:rsid w:val="0053262B"/>
    <w:rsid w:val="00532717"/>
    <w:rsid w:val="005356EA"/>
    <w:rsid w:val="00536637"/>
    <w:rsid w:val="0053681E"/>
    <w:rsid w:val="005373DA"/>
    <w:rsid w:val="00537683"/>
    <w:rsid w:val="00541DD0"/>
    <w:rsid w:val="0054229C"/>
    <w:rsid w:val="005427CF"/>
    <w:rsid w:val="00543CC9"/>
    <w:rsid w:val="0054413A"/>
    <w:rsid w:val="0054602D"/>
    <w:rsid w:val="00546CA7"/>
    <w:rsid w:val="00550FD8"/>
    <w:rsid w:val="00551282"/>
    <w:rsid w:val="00553EAD"/>
    <w:rsid w:val="005564CA"/>
    <w:rsid w:val="00557C64"/>
    <w:rsid w:val="0056300F"/>
    <w:rsid w:val="005637B5"/>
    <w:rsid w:val="00572EF9"/>
    <w:rsid w:val="00573C9A"/>
    <w:rsid w:val="00576A4A"/>
    <w:rsid w:val="00577104"/>
    <w:rsid w:val="00577185"/>
    <w:rsid w:val="005826C5"/>
    <w:rsid w:val="005909E4"/>
    <w:rsid w:val="00592702"/>
    <w:rsid w:val="005A1178"/>
    <w:rsid w:val="005A1BFB"/>
    <w:rsid w:val="005A1E1D"/>
    <w:rsid w:val="005A3893"/>
    <w:rsid w:val="005A4AEC"/>
    <w:rsid w:val="005A7711"/>
    <w:rsid w:val="005B0CD4"/>
    <w:rsid w:val="005B11C6"/>
    <w:rsid w:val="005B2CF7"/>
    <w:rsid w:val="005B2F7D"/>
    <w:rsid w:val="005B57CE"/>
    <w:rsid w:val="005C50CF"/>
    <w:rsid w:val="005C6BD0"/>
    <w:rsid w:val="005C7CDD"/>
    <w:rsid w:val="005D1B45"/>
    <w:rsid w:val="005D25BD"/>
    <w:rsid w:val="005E3FDC"/>
    <w:rsid w:val="005E5AD9"/>
    <w:rsid w:val="005F05AC"/>
    <w:rsid w:val="00600AC5"/>
    <w:rsid w:val="0060362D"/>
    <w:rsid w:val="00604F33"/>
    <w:rsid w:val="00606422"/>
    <w:rsid w:val="00611E64"/>
    <w:rsid w:val="00615A40"/>
    <w:rsid w:val="0062065E"/>
    <w:rsid w:val="0062127A"/>
    <w:rsid w:val="00621E35"/>
    <w:rsid w:val="0062303B"/>
    <w:rsid w:val="00626FD6"/>
    <w:rsid w:val="00636072"/>
    <w:rsid w:val="006371AC"/>
    <w:rsid w:val="00644299"/>
    <w:rsid w:val="006442AE"/>
    <w:rsid w:val="00645D51"/>
    <w:rsid w:val="006535D1"/>
    <w:rsid w:val="00654AA6"/>
    <w:rsid w:val="00655371"/>
    <w:rsid w:val="00656629"/>
    <w:rsid w:val="00662A05"/>
    <w:rsid w:val="006735A6"/>
    <w:rsid w:val="006754C6"/>
    <w:rsid w:val="00676EE8"/>
    <w:rsid w:val="00685F97"/>
    <w:rsid w:val="00687EC0"/>
    <w:rsid w:val="00690936"/>
    <w:rsid w:val="00697665"/>
    <w:rsid w:val="006A0CA9"/>
    <w:rsid w:val="006A5A2E"/>
    <w:rsid w:val="006A7FD0"/>
    <w:rsid w:val="006B6ED7"/>
    <w:rsid w:val="006C1038"/>
    <w:rsid w:val="006C1231"/>
    <w:rsid w:val="006C68E6"/>
    <w:rsid w:val="006D089E"/>
    <w:rsid w:val="006D1878"/>
    <w:rsid w:val="006D32A2"/>
    <w:rsid w:val="006D7687"/>
    <w:rsid w:val="006D79C0"/>
    <w:rsid w:val="006E0046"/>
    <w:rsid w:val="006E0572"/>
    <w:rsid w:val="006E13E5"/>
    <w:rsid w:val="006F5CF0"/>
    <w:rsid w:val="00700D9E"/>
    <w:rsid w:val="00704381"/>
    <w:rsid w:val="00704B0B"/>
    <w:rsid w:val="00705631"/>
    <w:rsid w:val="00710F03"/>
    <w:rsid w:val="00711795"/>
    <w:rsid w:val="0071707F"/>
    <w:rsid w:val="00717C9F"/>
    <w:rsid w:val="00727C3C"/>
    <w:rsid w:val="0073255C"/>
    <w:rsid w:val="00734B73"/>
    <w:rsid w:val="00734FDA"/>
    <w:rsid w:val="00737DB6"/>
    <w:rsid w:val="007424A8"/>
    <w:rsid w:val="00742DD2"/>
    <w:rsid w:val="00744529"/>
    <w:rsid w:val="007452CF"/>
    <w:rsid w:val="00746C4F"/>
    <w:rsid w:val="00746D5B"/>
    <w:rsid w:val="0075010E"/>
    <w:rsid w:val="0075647A"/>
    <w:rsid w:val="00756B38"/>
    <w:rsid w:val="007575ED"/>
    <w:rsid w:val="007609E9"/>
    <w:rsid w:val="007618B2"/>
    <w:rsid w:val="007634AD"/>
    <w:rsid w:val="0076489D"/>
    <w:rsid w:val="00764F47"/>
    <w:rsid w:val="00775A82"/>
    <w:rsid w:val="0078122E"/>
    <w:rsid w:val="00781AA8"/>
    <w:rsid w:val="0078365A"/>
    <w:rsid w:val="007868AA"/>
    <w:rsid w:val="0079134A"/>
    <w:rsid w:val="0079377E"/>
    <w:rsid w:val="00795113"/>
    <w:rsid w:val="007A0F6A"/>
    <w:rsid w:val="007A69F5"/>
    <w:rsid w:val="007A6A34"/>
    <w:rsid w:val="007B0854"/>
    <w:rsid w:val="007B373B"/>
    <w:rsid w:val="007D3323"/>
    <w:rsid w:val="007D4021"/>
    <w:rsid w:val="007D5D8F"/>
    <w:rsid w:val="007E0637"/>
    <w:rsid w:val="007E193F"/>
    <w:rsid w:val="007E24A0"/>
    <w:rsid w:val="007E275A"/>
    <w:rsid w:val="007E331A"/>
    <w:rsid w:val="007E6D71"/>
    <w:rsid w:val="007F2298"/>
    <w:rsid w:val="007F7255"/>
    <w:rsid w:val="007F72CB"/>
    <w:rsid w:val="00801F73"/>
    <w:rsid w:val="00802FF0"/>
    <w:rsid w:val="008065A8"/>
    <w:rsid w:val="00811EDD"/>
    <w:rsid w:val="00816B40"/>
    <w:rsid w:val="008201C7"/>
    <w:rsid w:val="00821A24"/>
    <w:rsid w:val="008229F3"/>
    <w:rsid w:val="00824A6D"/>
    <w:rsid w:val="00826687"/>
    <w:rsid w:val="0083119B"/>
    <w:rsid w:val="00833920"/>
    <w:rsid w:val="00833A0B"/>
    <w:rsid w:val="00835C7D"/>
    <w:rsid w:val="00836EAB"/>
    <w:rsid w:val="00837C23"/>
    <w:rsid w:val="00847C80"/>
    <w:rsid w:val="0085092D"/>
    <w:rsid w:val="00854B8E"/>
    <w:rsid w:val="00856E09"/>
    <w:rsid w:val="008615FD"/>
    <w:rsid w:val="00862405"/>
    <w:rsid w:val="00863B6D"/>
    <w:rsid w:val="008659FF"/>
    <w:rsid w:val="008662E2"/>
    <w:rsid w:val="0087040E"/>
    <w:rsid w:val="00871A33"/>
    <w:rsid w:val="0087201C"/>
    <w:rsid w:val="008735F6"/>
    <w:rsid w:val="008743F6"/>
    <w:rsid w:val="00874B3D"/>
    <w:rsid w:val="0088346D"/>
    <w:rsid w:val="00884F75"/>
    <w:rsid w:val="00885576"/>
    <w:rsid w:val="008865C0"/>
    <w:rsid w:val="0088776A"/>
    <w:rsid w:val="008903AE"/>
    <w:rsid w:val="008941DC"/>
    <w:rsid w:val="00894712"/>
    <w:rsid w:val="00896CE7"/>
    <w:rsid w:val="008A56B5"/>
    <w:rsid w:val="008A7BB3"/>
    <w:rsid w:val="008B58DD"/>
    <w:rsid w:val="008B79E0"/>
    <w:rsid w:val="008C449B"/>
    <w:rsid w:val="008C5FE5"/>
    <w:rsid w:val="008C788B"/>
    <w:rsid w:val="008D5921"/>
    <w:rsid w:val="008D7064"/>
    <w:rsid w:val="008E1785"/>
    <w:rsid w:val="008E1C15"/>
    <w:rsid w:val="008F3A73"/>
    <w:rsid w:val="008F53F4"/>
    <w:rsid w:val="00901339"/>
    <w:rsid w:val="00902872"/>
    <w:rsid w:val="00903183"/>
    <w:rsid w:val="00903584"/>
    <w:rsid w:val="009047C5"/>
    <w:rsid w:val="00906FED"/>
    <w:rsid w:val="009101AA"/>
    <w:rsid w:val="00911BF7"/>
    <w:rsid w:val="00913B77"/>
    <w:rsid w:val="00916DB5"/>
    <w:rsid w:val="00921955"/>
    <w:rsid w:val="009272AE"/>
    <w:rsid w:val="009329A4"/>
    <w:rsid w:val="00941B45"/>
    <w:rsid w:val="00942666"/>
    <w:rsid w:val="00947945"/>
    <w:rsid w:val="00950AE6"/>
    <w:rsid w:val="009513A9"/>
    <w:rsid w:val="00951524"/>
    <w:rsid w:val="0095340A"/>
    <w:rsid w:val="0095385A"/>
    <w:rsid w:val="00954AC6"/>
    <w:rsid w:val="00957003"/>
    <w:rsid w:val="00965006"/>
    <w:rsid w:val="009659BC"/>
    <w:rsid w:val="00966595"/>
    <w:rsid w:val="00971321"/>
    <w:rsid w:val="00981254"/>
    <w:rsid w:val="009853D5"/>
    <w:rsid w:val="009859D4"/>
    <w:rsid w:val="0098629E"/>
    <w:rsid w:val="00990443"/>
    <w:rsid w:val="009A0487"/>
    <w:rsid w:val="009A45AB"/>
    <w:rsid w:val="009A64DE"/>
    <w:rsid w:val="009A7EAF"/>
    <w:rsid w:val="009C29FD"/>
    <w:rsid w:val="009C50D0"/>
    <w:rsid w:val="009C7373"/>
    <w:rsid w:val="009E1FEB"/>
    <w:rsid w:val="009E49CC"/>
    <w:rsid w:val="009E4AF0"/>
    <w:rsid w:val="009F12D8"/>
    <w:rsid w:val="00A06772"/>
    <w:rsid w:val="00A07323"/>
    <w:rsid w:val="00A074BF"/>
    <w:rsid w:val="00A0798E"/>
    <w:rsid w:val="00A102D1"/>
    <w:rsid w:val="00A12E39"/>
    <w:rsid w:val="00A1500F"/>
    <w:rsid w:val="00A17103"/>
    <w:rsid w:val="00A23EDF"/>
    <w:rsid w:val="00A241AD"/>
    <w:rsid w:val="00A24322"/>
    <w:rsid w:val="00A24560"/>
    <w:rsid w:val="00A24780"/>
    <w:rsid w:val="00A24FCF"/>
    <w:rsid w:val="00A34538"/>
    <w:rsid w:val="00A34A79"/>
    <w:rsid w:val="00A408C7"/>
    <w:rsid w:val="00A45663"/>
    <w:rsid w:val="00A50EA1"/>
    <w:rsid w:val="00A51D52"/>
    <w:rsid w:val="00A54843"/>
    <w:rsid w:val="00A54C72"/>
    <w:rsid w:val="00A54FA1"/>
    <w:rsid w:val="00A60725"/>
    <w:rsid w:val="00A620C8"/>
    <w:rsid w:val="00A64ADC"/>
    <w:rsid w:val="00A72528"/>
    <w:rsid w:val="00A737CD"/>
    <w:rsid w:val="00A75AA3"/>
    <w:rsid w:val="00A75B3A"/>
    <w:rsid w:val="00A76494"/>
    <w:rsid w:val="00A8084F"/>
    <w:rsid w:val="00A8663D"/>
    <w:rsid w:val="00A95459"/>
    <w:rsid w:val="00A95A3C"/>
    <w:rsid w:val="00A95E66"/>
    <w:rsid w:val="00AA442B"/>
    <w:rsid w:val="00AA6D04"/>
    <w:rsid w:val="00AA707B"/>
    <w:rsid w:val="00AB267F"/>
    <w:rsid w:val="00AB31E7"/>
    <w:rsid w:val="00AB55A6"/>
    <w:rsid w:val="00AB7B09"/>
    <w:rsid w:val="00AC54C6"/>
    <w:rsid w:val="00AD017C"/>
    <w:rsid w:val="00AD0BB9"/>
    <w:rsid w:val="00AD0EDA"/>
    <w:rsid w:val="00AD64EA"/>
    <w:rsid w:val="00AD6CCF"/>
    <w:rsid w:val="00AE0726"/>
    <w:rsid w:val="00AE3229"/>
    <w:rsid w:val="00AE3C7C"/>
    <w:rsid w:val="00AF02E3"/>
    <w:rsid w:val="00AF1718"/>
    <w:rsid w:val="00AF2440"/>
    <w:rsid w:val="00AF798A"/>
    <w:rsid w:val="00B10490"/>
    <w:rsid w:val="00B11C69"/>
    <w:rsid w:val="00B11CB1"/>
    <w:rsid w:val="00B2165B"/>
    <w:rsid w:val="00B22E22"/>
    <w:rsid w:val="00B333CE"/>
    <w:rsid w:val="00B349A2"/>
    <w:rsid w:val="00B36C98"/>
    <w:rsid w:val="00B525CB"/>
    <w:rsid w:val="00B53388"/>
    <w:rsid w:val="00B54C59"/>
    <w:rsid w:val="00B56418"/>
    <w:rsid w:val="00B574F2"/>
    <w:rsid w:val="00B57CEB"/>
    <w:rsid w:val="00B61BDD"/>
    <w:rsid w:val="00B61FD8"/>
    <w:rsid w:val="00B6341B"/>
    <w:rsid w:val="00B63CB2"/>
    <w:rsid w:val="00B65B8E"/>
    <w:rsid w:val="00B74072"/>
    <w:rsid w:val="00B82EEA"/>
    <w:rsid w:val="00B851DC"/>
    <w:rsid w:val="00B966BD"/>
    <w:rsid w:val="00BA17A3"/>
    <w:rsid w:val="00BB2C01"/>
    <w:rsid w:val="00BC1B41"/>
    <w:rsid w:val="00BD0D6C"/>
    <w:rsid w:val="00BD1EF0"/>
    <w:rsid w:val="00BD367E"/>
    <w:rsid w:val="00BD422F"/>
    <w:rsid w:val="00BD78FE"/>
    <w:rsid w:val="00BE0EDB"/>
    <w:rsid w:val="00BF1906"/>
    <w:rsid w:val="00BF46F6"/>
    <w:rsid w:val="00BF624E"/>
    <w:rsid w:val="00C03DC6"/>
    <w:rsid w:val="00C07C55"/>
    <w:rsid w:val="00C17D54"/>
    <w:rsid w:val="00C22B69"/>
    <w:rsid w:val="00C327E8"/>
    <w:rsid w:val="00C343AD"/>
    <w:rsid w:val="00C3521A"/>
    <w:rsid w:val="00C35F7C"/>
    <w:rsid w:val="00C371A6"/>
    <w:rsid w:val="00C46419"/>
    <w:rsid w:val="00C5124A"/>
    <w:rsid w:val="00C5128E"/>
    <w:rsid w:val="00C523AA"/>
    <w:rsid w:val="00C60F20"/>
    <w:rsid w:val="00C669D8"/>
    <w:rsid w:val="00C67FE4"/>
    <w:rsid w:val="00C7160E"/>
    <w:rsid w:val="00C8618D"/>
    <w:rsid w:val="00C914CD"/>
    <w:rsid w:val="00C93A8A"/>
    <w:rsid w:val="00C93CC4"/>
    <w:rsid w:val="00C968EC"/>
    <w:rsid w:val="00CA3F2F"/>
    <w:rsid w:val="00CA6816"/>
    <w:rsid w:val="00CA69F4"/>
    <w:rsid w:val="00CA7FEF"/>
    <w:rsid w:val="00CC00CD"/>
    <w:rsid w:val="00CC1FBB"/>
    <w:rsid w:val="00CC7FF4"/>
    <w:rsid w:val="00CD208F"/>
    <w:rsid w:val="00CD2924"/>
    <w:rsid w:val="00CD3ACB"/>
    <w:rsid w:val="00CD4212"/>
    <w:rsid w:val="00CD5C88"/>
    <w:rsid w:val="00CE14B9"/>
    <w:rsid w:val="00CE1F6E"/>
    <w:rsid w:val="00CE352A"/>
    <w:rsid w:val="00CE44DD"/>
    <w:rsid w:val="00CE675D"/>
    <w:rsid w:val="00CF10C1"/>
    <w:rsid w:val="00CF2489"/>
    <w:rsid w:val="00CF2BDE"/>
    <w:rsid w:val="00CF2E86"/>
    <w:rsid w:val="00CF415E"/>
    <w:rsid w:val="00CF4890"/>
    <w:rsid w:val="00D00015"/>
    <w:rsid w:val="00D10740"/>
    <w:rsid w:val="00D10E69"/>
    <w:rsid w:val="00D117C5"/>
    <w:rsid w:val="00D1426A"/>
    <w:rsid w:val="00D1627F"/>
    <w:rsid w:val="00D16E39"/>
    <w:rsid w:val="00D2531F"/>
    <w:rsid w:val="00D25C34"/>
    <w:rsid w:val="00D309A0"/>
    <w:rsid w:val="00D31956"/>
    <w:rsid w:val="00D41357"/>
    <w:rsid w:val="00D433FD"/>
    <w:rsid w:val="00D4492F"/>
    <w:rsid w:val="00D44C1E"/>
    <w:rsid w:val="00D51773"/>
    <w:rsid w:val="00D52F10"/>
    <w:rsid w:val="00D5794A"/>
    <w:rsid w:val="00D61C0F"/>
    <w:rsid w:val="00D72E9D"/>
    <w:rsid w:val="00D73D97"/>
    <w:rsid w:val="00D74CDA"/>
    <w:rsid w:val="00D76F4F"/>
    <w:rsid w:val="00D77683"/>
    <w:rsid w:val="00D802C1"/>
    <w:rsid w:val="00D81907"/>
    <w:rsid w:val="00D82CE5"/>
    <w:rsid w:val="00D92575"/>
    <w:rsid w:val="00D92D61"/>
    <w:rsid w:val="00DA2D04"/>
    <w:rsid w:val="00DA5AB1"/>
    <w:rsid w:val="00DB36AB"/>
    <w:rsid w:val="00DC33CA"/>
    <w:rsid w:val="00DC5121"/>
    <w:rsid w:val="00DC62E5"/>
    <w:rsid w:val="00DC77CA"/>
    <w:rsid w:val="00DD07F7"/>
    <w:rsid w:val="00DD20BA"/>
    <w:rsid w:val="00DD38D8"/>
    <w:rsid w:val="00DD735D"/>
    <w:rsid w:val="00DE20FF"/>
    <w:rsid w:val="00DE3119"/>
    <w:rsid w:val="00DE3C80"/>
    <w:rsid w:val="00DE7FCC"/>
    <w:rsid w:val="00DF02DC"/>
    <w:rsid w:val="00DF236B"/>
    <w:rsid w:val="00DF248A"/>
    <w:rsid w:val="00DF2D13"/>
    <w:rsid w:val="00DF683D"/>
    <w:rsid w:val="00DF7006"/>
    <w:rsid w:val="00E10515"/>
    <w:rsid w:val="00E13AB8"/>
    <w:rsid w:val="00E141FC"/>
    <w:rsid w:val="00E261AD"/>
    <w:rsid w:val="00E263C3"/>
    <w:rsid w:val="00E27716"/>
    <w:rsid w:val="00E27C85"/>
    <w:rsid w:val="00E317FA"/>
    <w:rsid w:val="00E318E0"/>
    <w:rsid w:val="00E33B62"/>
    <w:rsid w:val="00E357DC"/>
    <w:rsid w:val="00E429C9"/>
    <w:rsid w:val="00E44E00"/>
    <w:rsid w:val="00E461F1"/>
    <w:rsid w:val="00E53964"/>
    <w:rsid w:val="00E57323"/>
    <w:rsid w:val="00E57B05"/>
    <w:rsid w:val="00E602F2"/>
    <w:rsid w:val="00E63AED"/>
    <w:rsid w:val="00E658C9"/>
    <w:rsid w:val="00E65F49"/>
    <w:rsid w:val="00E6610F"/>
    <w:rsid w:val="00E7138C"/>
    <w:rsid w:val="00E7595D"/>
    <w:rsid w:val="00E7608A"/>
    <w:rsid w:val="00E80C82"/>
    <w:rsid w:val="00E91843"/>
    <w:rsid w:val="00E95B00"/>
    <w:rsid w:val="00EA1C4C"/>
    <w:rsid w:val="00EA4E7D"/>
    <w:rsid w:val="00EA51C8"/>
    <w:rsid w:val="00EA76D7"/>
    <w:rsid w:val="00EB26B0"/>
    <w:rsid w:val="00EB6D84"/>
    <w:rsid w:val="00ED305A"/>
    <w:rsid w:val="00ED7003"/>
    <w:rsid w:val="00ED718F"/>
    <w:rsid w:val="00ED7FE6"/>
    <w:rsid w:val="00EE5B9B"/>
    <w:rsid w:val="00EE79B1"/>
    <w:rsid w:val="00F05293"/>
    <w:rsid w:val="00F070FE"/>
    <w:rsid w:val="00F13A3B"/>
    <w:rsid w:val="00F21071"/>
    <w:rsid w:val="00F22044"/>
    <w:rsid w:val="00F22827"/>
    <w:rsid w:val="00F3057D"/>
    <w:rsid w:val="00F36A58"/>
    <w:rsid w:val="00F4285A"/>
    <w:rsid w:val="00F444A4"/>
    <w:rsid w:val="00F45FE4"/>
    <w:rsid w:val="00F57426"/>
    <w:rsid w:val="00F6121F"/>
    <w:rsid w:val="00F617C8"/>
    <w:rsid w:val="00F64252"/>
    <w:rsid w:val="00F646F5"/>
    <w:rsid w:val="00F67D6E"/>
    <w:rsid w:val="00F70C89"/>
    <w:rsid w:val="00F74D1D"/>
    <w:rsid w:val="00F75297"/>
    <w:rsid w:val="00F77F51"/>
    <w:rsid w:val="00F80272"/>
    <w:rsid w:val="00F83681"/>
    <w:rsid w:val="00F8436F"/>
    <w:rsid w:val="00F84899"/>
    <w:rsid w:val="00F859F0"/>
    <w:rsid w:val="00F877B9"/>
    <w:rsid w:val="00F9050C"/>
    <w:rsid w:val="00F913B5"/>
    <w:rsid w:val="00F96760"/>
    <w:rsid w:val="00F974BA"/>
    <w:rsid w:val="00FA4D0C"/>
    <w:rsid w:val="00FA7208"/>
    <w:rsid w:val="00FA7689"/>
    <w:rsid w:val="00FA7D4C"/>
    <w:rsid w:val="00FB289E"/>
    <w:rsid w:val="00FB46F8"/>
    <w:rsid w:val="00FC180A"/>
    <w:rsid w:val="00FD4DE7"/>
    <w:rsid w:val="00FD6038"/>
    <w:rsid w:val="00FE141E"/>
    <w:rsid w:val="00FE1991"/>
    <w:rsid w:val="00FE30CB"/>
    <w:rsid w:val="00FE6583"/>
    <w:rsid w:val="00FE6C03"/>
    <w:rsid w:val="00FE719C"/>
    <w:rsid w:val="00FF4936"/>
    <w:rsid w:val="00FF4BB8"/>
    <w:rsid w:val="00FF51FE"/>
    <w:rsid w:val="00FF6BBB"/>
    <w:rsid w:val="00FF767D"/>
    <w:rsid w:val="1126E876"/>
    <w:rsid w:val="1F0E568D"/>
    <w:rsid w:val="27CBFCDF"/>
    <w:rsid w:val="2A857201"/>
    <w:rsid w:val="2FDB9056"/>
    <w:rsid w:val="38839815"/>
    <w:rsid w:val="39D2D54E"/>
    <w:rsid w:val="3FBCC6C3"/>
    <w:rsid w:val="4394C28D"/>
    <w:rsid w:val="7065A23A"/>
    <w:rsid w:val="712165EB"/>
    <w:rsid w:val="7F1C7A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styleId="Mencinsinresolver1" w:customStyle="1">
    <w:name w:val="Mención sin resolver1"/>
    <w:basedOn w:val="Fuentedeprrafopredeter"/>
    <w:uiPriority w:val="99"/>
    <w:semiHidden/>
    <w:unhideWhenUsed/>
    <w:rsid w:val="00654AA6"/>
    <w:rPr>
      <w:color w:val="605E5C"/>
      <w:shd w:val="clear" w:color="auto" w:fill="E1DFDD"/>
    </w:rPr>
  </w:style>
  <w:style w:type="paragraph" w:styleId="Default" w:customStyle="1">
    <w:name w:val="Default"/>
    <w:rsid w:val="00AE3C7C"/>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3159B5"/>
    <w:pPr>
      <w:spacing w:after="160" w:line="240" w:lineRule="exact"/>
    </w:pPr>
    <w:rPr>
      <w:sz w:val="22"/>
      <w:vertAlign w:val="superscript"/>
      <w:lang w:val="es-CO"/>
    </w:rPr>
  </w:style>
  <w:style w:type="character" w:styleId="NormalWebCar" w:customStyle="1">
    <w:name w:val="Normal (Web) Car"/>
    <w:link w:val="NormalWeb"/>
    <w:uiPriority w:val="99"/>
    <w:rsid w:val="003159B5"/>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541DD0"/>
    <w:rPr>
      <w:rFonts w:ascii="Arial" w:hAnsi="Arial" w:eastAsia="Arial" w:cs="Arial"/>
      <w:sz w:val="20"/>
      <w:szCs w:val="20"/>
      <w:lang w:val="es-ES" w:eastAsia="es-ES" w:bidi="es-ES"/>
    </w:rPr>
  </w:style>
  <w:style w:type="paragraph" w:styleId="Normal11pt" w:customStyle="1">
    <w:name w:val="Normal + 11 pt"/>
    <w:aliases w:val="Negro,Justificado,Izquierda:  -0,95 cm,Derecha:  0,04 cm"/>
    <w:basedOn w:val="Normal"/>
    <w:uiPriority w:val="99"/>
    <w:rsid w:val="00DD38D8"/>
    <w:pPr>
      <w:ind w:left="-540"/>
      <w:jc w:val="both"/>
    </w:pPr>
    <w:rPr>
      <w:rFonts w:ascii="Arial" w:hAnsi="Arial" w:eastAsia="Times New Roman" w:cs="Arial"/>
      <w:color w:val="000000"/>
      <w:sz w:val="22"/>
      <w:lang w:val="es-ES_tradnl" w:eastAsia="es-ES"/>
    </w:rPr>
  </w:style>
  <w:style w:type="character" w:styleId="Ttulo1Car" w:customStyle="1">
    <w:name w:val="Título 1 Car"/>
    <w:basedOn w:val="Fuentedeprrafopredeter"/>
    <w:link w:val="Ttulo1"/>
    <w:uiPriority w:val="9"/>
    <w:rsid w:val="00361BB8"/>
    <w:rPr>
      <w:rFonts w:ascii="Arial" w:hAnsi="Arial" w:eastAsia="Arial" w:cs="Arial"/>
      <w:b/>
      <w:bCs/>
      <w:lang w:val="es-ES"/>
    </w:rPr>
  </w:style>
  <w:style w:type="character" w:styleId="normaltextrun" w:customStyle="1">
    <w:name w:val="normaltextrun"/>
    <w:basedOn w:val="Fuentedeprrafopredeter"/>
    <w:rsid w:val="000B5754"/>
  </w:style>
  <w:style w:type="paragraph" w:styleId="xmsonospacing" w:customStyle="1">
    <w:name w:val="x_msonospacing"/>
    <w:basedOn w:val="Normal"/>
    <w:rsid w:val="00354041"/>
    <w:pPr>
      <w:spacing w:before="100" w:beforeAutospacing="1" w:after="100" w:afterAutospacing="1"/>
    </w:pPr>
    <w:rPr>
      <w:rFonts w:ascii="Times New Roman" w:hAnsi="Times New Roman" w:eastAsia="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9424278">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916791989">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d75081aeef244783" /></Relationships>
</file>

<file path=word/_rels/footer1.xml.rels>&#65279;<?xml version="1.0" encoding="utf-8"?><Relationships xmlns="http://schemas.openxmlformats.org/package/2006/relationships"><Relationship Type="http://schemas.openxmlformats.org/officeDocument/2006/relationships/image" Target="/media/image3.png" Id="Rc8f545f8b01244a3"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580DB-7903-4A21-A06F-21CE741B3204}">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documentManagement/types"/>
    <ds:schemaRef ds:uri="http://purl.org/dc/terms/"/>
    <ds:schemaRef ds:uri="http://schemas.microsoft.com/office/infopath/2007/PartnerControls"/>
    <ds:schemaRef ds:uri="a6cb9e4b-f1d1-4245-83ec-6cad768d538a"/>
    <ds:schemaRef ds:uri="http://schemas.microsoft.com/office/2006/metadata/properties"/>
    <ds:schemaRef ds:uri="9d85dbaf-23eb-4e57-a637-93dcacc8b1a1"/>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2356509-BE4B-4A28-B0B7-BD32396B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Nasly Yeana Mosquera Rivas</lastModifiedBy>
  <revision>28</revision>
  <dcterms:created xsi:type="dcterms:W3CDTF">2021-06-21T13:22:00.0000000Z</dcterms:created>
  <dcterms:modified xsi:type="dcterms:W3CDTF">2021-07-30T19:12:43.1142814Z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