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0608A" w:rsidR="00E0608A" w:rsidP="00E0608A" w:rsidRDefault="00E0608A" w14:paraId="0EA5C447" w14:textId="5A38E577">
      <w:pPr>
        <w:ind w:firstLine="0"/>
        <w:rPr>
          <w:rFonts w:ascii="Arial" w:hAnsi="Arial" w:eastAsia="Calibri" w:cs="Arial"/>
          <w:b/>
          <w:bCs/>
          <w:sz w:val="22"/>
          <w:lang w:val="es-CO"/>
        </w:rPr>
      </w:pPr>
      <w:r w:rsidRPr="00E0608A">
        <w:rPr>
          <w:rFonts w:ascii="Arial" w:hAnsi="Arial" w:eastAsia="Calibri" w:cs="Arial"/>
          <w:b/>
          <w:bCs/>
          <w:sz w:val="22"/>
          <w:lang w:val="es-CO"/>
        </w:rPr>
        <w:t xml:space="preserve">PLIEGOS TIPO – Naturaleza </w:t>
      </w:r>
    </w:p>
    <w:p w:rsidRPr="00E0608A" w:rsidR="00E0608A" w:rsidP="00E0608A" w:rsidRDefault="00E0608A" w14:paraId="0867934A" w14:textId="77777777">
      <w:pPr>
        <w:ind w:firstLine="0"/>
        <w:rPr>
          <w:rFonts w:ascii="Arial" w:hAnsi="Arial" w:eastAsia="Calibri" w:cs="Arial"/>
          <w:b/>
          <w:bCs/>
          <w:sz w:val="22"/>
          <w:lang w:val="es-CO"/>
        </w:rPr>
      </w:pPr>
    </w:p>
    <w:p w:rsidRPr="00991BD2" w:rsidR="00E0608A" w:rsidP="79C14BED" w:rsidRDefault="00E0608A" w14:paraId="39DC195A" w14:textId="5B8629CF">
      <w:pPr>
        <w:ind w:firstLine="0"/>
        <w:rPr>
          <w:rFonts w:ascii="Arial" w:hAnsi="Arial" w:eastAsia="Calibri" w:cs="Arial"/>
          <w:sz w:val="20"/>
          <w:szCs w:val="20"/>
          <w:lang w:val="es-ES"/>
        </w:rPr>
      </w:pPr>
      <w:r w:rsidRPr="79C14BED" w:rsidR="00E0608A">
        <w:rPr>
          <w:rFonts w:ascii="Arial" w:hAnsi="Arial" w:eastAsia="Calibri" w:cs="Arial"/>
          <w:sz w:val="20"/>
          <w:szCs w:val="20"/>
          <w:lang w:val="es-ES"/>
        </w:rPr>
        <w:t>Los pliegos tipo aparecieron en nuestro ordenamiento jurídico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rsidRPr="00991BD2" w:rsidR="00E0608A" w:rsidP="00E0608A" w:rsidRDefault="00E0608A" w14:paraId="4BC561A5" w14:textId="77777777">
      <w:pPr>
        <w:ind w:firstLine="0"/>
        <w:rPr>
          <w:rFonts w:ascii="Arial" w:hAnsi="Arial" w:eastAsia="Calibri" w:cs="Arial"/>
          <w:sz w:val="20"/>
          <w:szCs w:val="20"/>
          <w:lang w:val="es-ES"/>
        </w:rPr>
      </w:pPr>
      <w:r w:rsidRPr="1A0869A5">
        <w:rPr>
          <w:rFonts w:ascii="Arial" w:hAnsi="Arial" w:eastAsia="Calibri" w:cs="Arial"/>
          <w:sz w:val="20"/>
          <w:szCs w:val="20"/>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Sin embargo, en el texto aprobado, los pliegos tipo se limitaron a la adquisición o suministro de bienes de características técnicas uniformes.</w:t>
      </w:r>
    </w:p>
    <w:p w:rsidRPr="00E0608A" w:rsidR="00E0608A" w:rsidP="00E0608A" w:rsidRDefault="00E0608A" w14:paraId="6E3FC983" w14:textId="77777777">
      <w:pPr>
        <w:ind w:firstLine="0"/>
        <w:rPr>
          <w:rFonts w:ascii="Arial" w:hAnsi="Arial" w:eastAsia="Calibri" w:cs="Arial"/>
          <w:sz w:val="22"/>
          <w:lang w:val="es-CO"/>
        </w:rPr>
      </w:pPr>
    </w:p>
    <w:p w:rsidRPr="00E0608A" w:rsidR="00E0608A" w:rsidP="00E0608A" w:rsidRDefault="00E0608A" w14:paraId="202286E0" w14:textId="77777777">
      <w:pPr>
        <w:ind w:firstLine="0"/>
        <w:rPr>
          <w:rFonts w:ascii="Arial" w:hAnsi="Arial" w:eastAsia="Calibri" w:cs="Arial"/>
          <w:b/>
          <w:bCs/>
          <w:sz w:val="22"/>
          <w:lang w:val="es-CO"/>
        </w:rPr>
      </w:pPr>
      <w:r w:rsidRPr="00E0608A">
        <w:rPr>
          <w:rFonts w:ascii="Arial" w:hAnsi="Arial" w:eastAsia="Calibri" w:cs="Arial"/>
          <w:b/>
          <w:bCs/>
          <w:sz w:val="22"/>
          <w:lang w:val="es-CO"/>
        </w:rPr>
        <w:t>PLIEGO TIPO</w:t>
      </w:r>
      <w:bookmarkStart w:name="_Hlk73002718" w:id="0"/>
      <w:r w:rsidRPr="00E0608A">
        <w:rPr>
          <w:rFonts w:ascii="Arial" w:hAnsi="Arial" w:eastAsia="Calibri" w:cs="Arial"/>
          <w:b/>
          <w:bCs/>
          <w:sz w:val="22"/>
          <w:lang w:val="es-CO"/>
        </w:rPr>
        <w:t xml:space="preserve"> </w:t>
      </w:r>
      <w:bookmarkStart w:name="_Hlk73006316" w:id="1"/>
      <w:r w:rsidRPr="00E0608A">
        <w:rPr>
          <w:rFonts w:ascii="Arial" w:hAnsi="Arial" w:eastAsia="Calibri" w:cs="Arial"/>
          <w:b/>
          <w:bCs/>
          <w:sz w:val="22"/>
          <w:lang w:val="es-CO"/>
        </w:rPr>
        <w:t xml:space="preserve">– </w:t>
      </w:r>
      <w:bookmarkEnd w:id="0"/>
      <w:bookmarkEnd w:id="1"/>
      <w:r w:rsidRPr="00E0608A">
        <w:rPr>
          <w:rFonts w:ascii="Arial" w:hAnsi="Arial" w:eastAsia="Calibri" w:cs="Arial"/>
          <w:b/>
          <w:bCs/>
          <w:sz w:val="22"/>
          <w:lang w:val="es-CO"/>
        </w:rPr>
        <w:t xml:space="preserve">Obligatoriedad </w:t>
      </w:r>
    </w:p>
    <w:p w:rsidRPr="00E0608A" w:rsidR="00E0608A" w:rsidP="00E0608A" w:rsidRDefault="00E0608A" w14:paraId="679D0295" w14:textId="77777777">
      <w:pPr>
        <w:ind w:firstLine="0"/>
        <w:rPr>
          <w:rFonts w:ascii="Arial" w:hAnsi="Arial" w:eastAsia="Calibri" w:cs="Arial"/>
          <w:b/>
          <w:bCs/>
          <w:sz w:val="22"/>
          <w:lang w:val="es-CO"/>
        </w:rPr>
      </w:pPr>
    </w:p>
    <w:p w:rsidRPr="00991BD2" w:rsidR="00E0608A" w:rsidP="00E0608A" w:rsidRDefault="00E0608A" w14:paraId="0D790BB6" w14:textId="77777777">
      <w:pPr>
        <w:ind w:firstLine="0"/>
        <w:rPr>
          <w:rFonts w:ascii="Arial" w:hAnsi="Arial" w:eastAsia="Calibri" w:cs="Arial"/>
          <w:sz w:val="20"/>
          <w:szCs w:val="20"/>
          <w:lang w:val="es-ES"/>
        </w:rPr>
      </w:pPr>
      <w:r w:rsidRPr="1A0869A5">
        <w:rPr>
          <w:rFonts w:ascii="Arial" w:hAnsi="Arial" w:eastAsia="Calibri" w:cs="Arial"/>
          <w:sz w:val="20"/>
          <w:szCs w:val="20"/>
          <w:lang w:val="es-CO"/>
        </w:rPr>
        <w:t xml:space="preserve">Dicha ley, publicada el 22 de julio de 2020, entró a regir a partir de su publicación y permite que esta Agencia implemente documentos tipo para diferentes objetos contractuales, conforme indiquen los cronogramas que se definan en coordinación con las diferentes entidades técnicas y especializadas para implementar de manera gradual los documentos tipo, con el fin de incorporarlos al sistema de compra pública. </w:t>
      </w:r>
      <w:r w:rsidRPr="1A0869A5">
        <w:rPr>
          <w:rFonts w:ascii="Arial" w:hAnsi="Arial" w:eastAsia="Calibri" w:cs="Arial"/>
          <w:sz w:val="20"/>
          <w:szCs w:val="20"/>
          <w:lang w:val="es-ES"/>
        </w:rPr>
        <w:t>Quedando hoy en día vigente la obligatoriedad de que todas las entidades que se encuentren sometidas al Estatuto General de Contratación de la Administración Pública deban cumplir con los documentos tipos elaborados por esta Agencia, con la finalidad de estandarizar los procesos de contratación que cada Entidad lleva a cabo.  </w:t>
      </w:r>
    </w:p>
    <w:p w:rsidRPr="00E0608A" w:rsidR="00E0608A" w:rsidP="00E0608A" w:rsidRDefault="00E0608A" w14:paraId="77C30913" w14:textId="77777777">
      <w:pPr>
        <w:ind w:firstLine="0"/>
        <w:rPr>
          <w:rFonts w:ascii="Arial" w:hAnsi="Arial" w:eastAsia="Calibri" w:cs="Arial"/>
          <w:sz w:val="22"/>
          <w:lang w:val="es-ES"/>
        </w:rPr>
      </w:pPr>
    </w:p>
    <w:p w:rsidRPr="00E0608A" w:rsidR="00E0608A" w:rsidP="00E0608A" w:rsidRDefault="00E0608A" w14:paraId="10401471" w14:textId="1AB93D9F">
      <w:pPr>
        <w:ind w:firstLine="0"/>
        <w:rPr>
          <w:rFonts w:ascii="Arial" w:hAnsi="Arial" w:eastAsia="Calibri" w:cs="Arial"/>
          <w:b/>
          <w:sz w:val="22"/>
          <w:lang w:val="es-ES_tradnl"/>
        </w:rPr>
      </w:pPr>
      <w:r w:rsidRPr="00E0608A">
        <w:rPr>
          <w:rFonts w:ascii="Arial" w:hAnsi="Arial" w:eastAsia="Calibri" w:cs="Arial"/>
          <w:b/>
          <w:sz w:val="22"/>
          <w:lang w:val="es-ES_tradnl"/>
        </w:rPr>
        <w:t xml:space="preserve">PLIEGO TIPO </w:t>
      </w:r>
      <w:r w:rsidRPr="00E0608A">
        <w:rPr>
          <w:rFonts w:ascii="Arial" w:hAnsi="Arial" w:eastAsia="Calibri" w:cs="Arial"/>
          <w:b/>
          <w:bCs/>
          <w:sz w:val="22"/>
          <w:lang w:val="es-CO"/>
        </w:rPr>
        <w:t xml:space="preserve">– </w:t>
      </w:r>
      <w:r w:rsidRPr="00E0608A">
        <w:rPr>
          <w:rFonts w:ascii="Arial" w:hAnsi="Arial" w:eastAsia="Calibri" w:cs="Arial"/>
          <w:b/>
          <w:sz w:val="22"/>
          <w:lang w:val="es-ES_tradnl"/>
        </w:rPr>
        <w:t xml:space="preserve">Inalterabilidad </w:t>
      </w:r>
      <w:r w:rsidRPr="00E0608A">
        <w:rPr>
          <w:rFonts w:ascii="Arial" w:hAnsi="Arial" w:eastAsia="Calibri" w:cs="Arial"/>
          <w:b/>
          <w:bCs/>
          <w:sz w:val="22"/>
          <w:lang w:val="es-CO"/>
        </w:rPr>
        <w:t xml:space="preserve">– Regla </w:t>
      </w:r>
      <w:r w:rsidR="008B7814">
        <w:rPr>
          <w:rFonts w:ascii="Arial" w:hAnsi="Arial" w:eastAsia="Calibri" w:cs="Arial"/>
          <w:b/>
          <w:bCs/>
          <w:sz w:val="22"/>
          <w:lang w:val="es-CO"/>
        </w:rPr>
        <w:t>v</w:t>
      </w:r>
      <w:r w:rsidRPr="00E0608A">
        <w:rPr>
          <w:rFonts w:ascii="Arial" w:hAnsi="Arial" w:eastAsia="Calibri" w:cs="Arial"/>
          <w:b/>
          <w:bCs/>
          <w:sz w:val="22"/>
          <w:lang w:val="es-CO"/>
        </w:rPr>
        <w:t>igente – Contenido</w:t>
      </w:r>
    </w:p>
    <w:p w:rsidRPr="00E0608A" w:rsidR="00E0608A" w:rsidP="00E0608A" w:rsidRDefault="00E0608A" w14:paraId="055CF451" w14:textId="77777777">
      <w:pPr>
        <w:ind w:firstLine="0"/>
        <w:rPr>
          <w:rFonts w:ascii="Arial" w:hAnsi="Arial" w:eastAsia="Calibri" w:cs="Arial"/>
          <w:sz w:val="22"/>
          <w:lang w:val="es-ES_tradnl"/>
        </w:rPr>
      </w:pPr>
    </w:p>
    <w:p w:rsidRPr="006713E3" w:rsidR="00E0608A" w:rsidP="00E0608A" w:rsidRDefault="00E0608A" w14:paraId="064C53C1" w14:textId="434D7E6B">
      <w:pPr>
        <w:ind w:firstLine="0"/>
        <w:rPr>
          <w:rFonts w:ascii="Arial" w:hAnsi="Arial" w:eastAsia="Calibri" w:cs="Arial"/>
          <w:sz w:val="20"/>
          <w:szCs w:val="20"/>
          <w:lang w:val="es-ES"/>
        </w:rPr>
      </w:pPr>
      <w:r w:rsidRPr="79C14BED" w:rsidR="00E0608A">
        <w:rPr>
          <w:rFonts w:ascii="Arial" w:hAnsi="Arial" w:eastAsia="Calibri" w:cs="Arial"/>
          <w:sz w:val="20"/>
          <w:szCs w:val="20"/>
          <w:lang w:val="es-ES"/>
        </w:rPr>
        <w:t>Todas las resoluciones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6713E3" w:rsidR="00E0608A" w:rsidP="00E0608A" w:rsidRDefault="00E0608A" w14:paraId="3935D98C" w14:textId="77777777">
      <w:pPr>
        <w:ind w:firstLine="0"/>
        <w:rPr>
          <w:rFonts w:ascii="Arial" w:hAnsi="Arial" w:eastAsia="Calibri" w:cs="Arial"/>
          <w:sz w:val="20"/>
          <w:szCs w:val="20"/>
          <w:lang w:val="es-ES"/>
        </w:rPr>
      </w:pPr>
      <w:r w:rsidRPr="1A0869A5">
        <w:rPr>
          <w:rFonts w:ascii="Arial" w:hAnsi="Arial" w:eastAsia="Calibri" w:cs="Arial"/>
          <w:sz w:val="20"/>
          <w:szCs w:val="20"/>
          <w:lang w:val="es-ES"/>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rsidRPr="006713E3" w:rsidR="00E0608A" w:rsidP="00E0608A" w:rsidRDefault="00E0608A" w14:paraId="61E79FCE" w14:textId="77777777">
      <w:pPr>
        <w:ind w:firstLine="0"/>
        <w:rPr>
          <w:rFonts w:ascii="Arial" w:hAnsi="Arial" w:eastAsia="Calibri" w:cs="Arial"/>
          <w:b/>
          <w:bCs/>
          <w:sz w:val="20"/>
          <w:szCs w:val="20"/>
          <w:lang w:val="es-CO"/>
        </w:rPr>
      </w:pPr>
      <w:r w:rsidRPr="1A0869A5">
        <w:rPr>
          <w:rFonts w:ascii="Arial" w:hAnsi="Arial" w:eastAsia="Calibri" w:cs="Arial"/>
          <w:sz w:val="20"/>
          <w:szCs w:val="20"/>
          <w:lang w:val="es-ES"/>
        </w:rPr>
        <w:t> </w:t>
      </w:r>
    </w:p>
    <w:p w:rsidRPr="00E0608A" w:rsidR="00E0608A" w:rsidP="00E0608A" w:rsidRDefault="00E0608A" w14:paraId="0DEA9AC6" w14:textId="77777777">
      <w:pPr>
        <w:ind w:firstLine="0"/>
        <w:rPr>
          <w:rFonts w:ascii="Arial" w:hAnsi="Arial" w:eastAsia="Calibri" w:cs="Arial"/>
          <w:b/>
          <w:bCs/>
          <w:sz w:val="22"/>
          <w:lang w:val="es-CO"/>
        </w:rPr>
      </w:pPr>
      <w:r w:rsidRPr="00E0608A">
        <w:rPr>
          <w:rFonts w:ascii="Arial" w:hAnsi="Arial" w:eastAsia="Calibri" w:cs="Arial"/>
          <w:b/>
          <w:bCs/>
          <w:sz w:val="22"/>
          <w:lang w:val="es-CO"/>
        </w:rPr>
        <w:t xml:space="preserve">EXPERIENCIA – Requisito habilitante </w:t>
      </w:r>
    </w:p>
    <w:p w:rsidRPr="00E0608A" w:rsidR="00E0608A" w:rsidP="00E0608A" w:rsidRDefault="00E0608A" w14:paraId="7C4057D9" w14:textId="77777777">
      <w:pPr>
        <w:ind w:firstLine="0"/>
        <w:rPr>
          <w:rFonts w:ascii="Arial" w:hAnsi="Arial" w:eastAsia="Calibri" w:cs="Arial"/>
          <w:b/>
          <w:bCs/>
          <w:sz w:val="22"/>
          <w:lang w:val="es-CO"/>
        </w:rPr>
      </w:pPr>
    </w:p>
    <w:p w:rsidRPr="00E831DA" w:rsidR="00E0608A" w:rsidP="00E0608A" w:rsidRDefault="00E0608A" w14:paraId="4B770955" w14:textId="77777777">
      <w:pPr>
        <w:ind w:firstLine="0"/>
        <w:rPr>
          <w:rFonts w:ascii="Arial" w:hAnsi="Arial" w:eastAsia="Calibri" w:cs="Arial"/>
          <w:sz w:val="20"/>
          <w:szCs w:val="20"/>
          <w:lang w:val="es-CO"/>
        </w:rPr>
      </w:pPr>
      <w:r w:rsidRPr="00E831DA">
        <w:rPr>
          <w:rFonts w:ascii="Arial" w:hAnsi="Arial" w:eastAsia="Calibri" w:cs="Arial"/>
          <w:sz w:val="20"/>
          <w:szCs w:val="20"/>
          <w:lang w:val="es-CO"/>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rsidRPr="00E0608A" w:rsidR="00E0608A" w:rsidP="00E0608A" w:rsidRDefault="00E0608A" w14:paraId="30ADD221" w14:textId="77777777">
      <w:pPr>
        <w:ind w:firstLine="0"/>
        <w:rPr>
          <w:rFonts w:ascii="Arial" w:hAnsi="Arial" w:eastAsia="Calibri" w:cs="Arial"/>
          <w:b/>
          <w:bCs/>
          <w:sz w:val="22"/>
          <w:lang w:val="es-CO"/>
        </w:rPr>
      </w:pPr>
    </w:p>
    <w:p w:rsidRPr="00E0608A" w:rsidR="00E0608A" w:rsidP="00E0608A" w:rsidRDefault="00E0608A" w14:paraId="17630412" w14:textId="77777777">
      <w:pPr>
        <w:ind w:firstLine="0"/>
        <w:rPr>
          <w:rFonts w:ascii="Arial" w:hAnsi="Arial" w:eastAsia="Calibri" w:cs="Arial"/>
          <w:b/>
          <w:bCs/>
          <w:sz w:val="22"/>
          <w:lang w:val="es-CO"/>
        </w:rPr>
      </w:pPr>
      <w:r w:rsidRPr="00E0608A">
        <w:rPr>
          <w:rFonts w:ascii="Arial" w:hAnsi="Arial" w:eastAsia="Calibri" w:cs="Arial"/>
          <w:b/>
          <w:bCs/>
          <w:sz w:val="22"/>
          <w:lang w:val="es-CO"/>
        </w:rPr>
        <w:t xml:space="preserve">PRUEBA DE LA EXPERIENCIA – Requisito habilitante </w:t>
      </w:r>
    </w:p>
    <w:p w:rsidRPr="00E0608A" w:rsidR="00E0608A" w:rsidP="00E0608A" w:rsidRDefault="00E0608A" w14:paraId="4C9FF656" w14:textId="77777777">
      <w:pPr>
        <w:ind w:firstLine="0"/>
        <w:rPr>
          <w:rFonts w:ascii="Arial" w:hAnsi="Arial" w:eastAsia="Calibri" w:cs="Arial"/>
          <w:b/>
          <w:bCs/>
          <w:sz w:val="22"/>
          <w:lang w:val="es-CO"/>
        </w:rPr>
      </w:pPr>
    </w:p>
    <w:p w:rsidRPr="00E831DA" w:rsidR="00E0608A" w:rsidP="00E0608A" w:rsidRDefault="00E0608A" w14:paraId="2FBA2C3E" w14:textId="77777777">
      <w:pPr>
        <w:ind w:firstLine="0"/>
        <w:rPr>
          <w:rFonts w:ascii="Arial" w:hAnsi="Arial" w:eastAsia="Calibri" w:cs="Arial"/>
          <w:sz w:val="20"/>
          <w:szCs w:val="20"/>
          <w:lang w:val="es-CO"/>
        </w:rPr>
      </w:pPr>
      <w:r w:rsidRPr="00E831DA">
        <w:rPr>
          <w:rFonts w:ascii="Arial" w:hAnsi="Arial" w:eastAsia="Calibri" w:cs="Arial"/>
          <w:sz w:val="20"/>
          <w:szCs w:val="20"/>
          <w:lang w:val="es-CO"/>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rsidRPr="00E0608A" w:rsidR="00E0608A" w:rsidP="00E0608A" w:rsidRDefault="00E0608A" w14:paraId="144008B0" w14:textId="77777777">
      <w:pPr>
        <w:ind w:firstLine="0"/>
        <w:rPr>
          <w:rFonts w:ascii="Arial" w:hAnsi="Arial" w:eastAsia="Calibri" w:cs="Arial"/>
          <w:sz w:val="22"/>
          <w:lang w:val="es-CO"/>
        </w:rPr>
      </w:pPr>
    </w:p>
    <w:p w:rsidRPr="00E0608A" w:rsidR="00E0608A" w:rsidP="00E0608A" w:rsidRDefault="00E0608A" w14:paraId="779A0A52" w14:textId="77777777">
      <w:pPr>
        <w:ind w:firstLine="0"/>
        <w:rPr>
          <w:rFonts w:ascii="Arial" w:hAnsi="Arial" w:eastAsia="Calibri" w:cs="Arial"/>
          <w:b/>
          <w:bCs/>
          <w:sz w:val="22"/>
          <w:lang w:val="es-CO"/>
        </w:rPr>
      </w:pPr>
      <w:r w:rsidRPr="00E0608A">
        <w:rPr>
          <w:rFonts w:ascii="Arial" w:hAnsi="Arial" w:eastAsia="Calibri" w:cs="Arial"/>
          <w:b/>
          <w:bCs/>
          <w:sz w:val="22"/>
          <w:lang w:val="es-CO"/>
        </w:rPr>
        <w:t>DOCUMENTOS TIPO – Experiencia – Proponentes plurales – Porcentaje mínimos – litara d), numeral 3.5.3</w:t>
      </w:r>
    </w:p>
    <w:p w:rsidRPr="00E0608A" w:rsidR="00E0608A" w:rsidP="00E0608A" w:rsidRDefault="00E0608A" w14:paraId="6B8AE971" w14:textId="77777777">
      <w:pPr>
        <w:ind w:firstLine="0"/>
        <w:rPr>
          <w:rFonts w:ascii="Arial" w:hAnsi="Arial" w:eastAsia="Calibri" w:cs="Arial"/>
          <w:b/>
          <w:bCs/>
          <w:sz w:val="22"/>
          <w:lang w:val="es-CO"/>
        </w:rPr>
      </w:pPr>
    </w:p>
    <w:p w:rsidRPr="00E831DA" w:rsidR="00E0608A" w:rsidP="00E0608A" w:rsidRDefault="00E0608A" w14:paraId="4B2A856B" w14:textId="77777777">
      <w:pPr>
        <w:ind w:firstLine="0"/>
        <w:rPr>
          <w:rFonts w:ascii="Arial" w:hAnsi="Arial" w:eastAsia="Calibri" w:cs="Arial"/>
          <w:b/>
          <w:bCs/>
          <w:sz w:val="20"/>
          <w:szCs w:val="20"/>
          <w:lang w:val="es-CO"/>
        </w:rPr>
      </w:pPr>
      <w:r w:rsidRPr="00E831DA">
        <w:rPr>
          <w:rFonts w:ascii="Arial" w:hAnsi="Arial" w:eastAsia="Calibri" w:cs="Arial"/>
          <w:sz w:val="20"/>
          <w:szCs w:val="20"/>
          <w:lang w:val="es-ES_tradnl"/>
        </w:rPr>
        <w:t xml:space="preserve">Como se observa la regulación de este aspecto en el documento fue bastante precisa. En este sentido, del aparte transcrito se infiere lo siguiente: i) uno de los integrantes debe acreditar mínimo el cincuenta por ciento (50%) de la experiencia exigida en el proceso, </w:t>
      </w:r>
      <w:proofErr w:type="spellStart"/>
      <w:r w:rsidRPr="00E831DA">
        <w:rPr>
          <w:rFonts w:ascii="Arial" w:hAnsi="Arial" w:eastAsia="Calibri" w:cs="Arial"/>
          <w:sz w:val="20"/>
          <w:szCs w:val="20"/>
          <w:lang w:val="es-ES_tradnl"/>
        </w:rPr>
        <w:t>ii</w:t>
      </w:r>
      <w:proofErr w:type="spellEnd"/>
      <w:r w:rsidRPr="00E831DA">
        <w:rPr>
          <w:rFonts w:ascii="Arial" w:hAnsi="Arial" w:eastAsia="Calibri" w:cs="Arial"/>
          <w:sz w:val="20"/>
          <w:szCs w:val="20"/>
          <w:lang w:val="es-ES_tradnl"/>
        </w:rPr>
        <w:t xml:space="preserve">) los demás integrantes deben acreditar al menos el cinco por ciento (5%) de la experiencia y, </w:t>
      </w:r>
      <w:proofErr w:type="spellStart"/>
      <w:r w:rsidRPr="00E831DA">
        <w:rPr>
          <w:rFonts w:ascii="Arial" w:hAnsi="Arial" w:eastAsia="Calibri" w:cs="Arial"/>
          <w:sz w:val="20"/>
          <w:szCs w:val="20"/>
          <w:lang w:val="es-ES_tradnl"/>
        </w:rPr>
        <w:t>iii</w:t>
      </w:r>
      <w:proofErr w:type="spellEnd"/>
      <w:r w:rsidRPr="00E831DA">
        <w:rPr>
          <w:rFonts w:ascii="Arial" w:hAnsi="Arial" w:eastAsia="Calibri" w:cs="Arial"/>
          <w:sz w:val="20"/>
          <w:szCs w:val="20"/>
          <w:lang w:val="es-ES_tradnl"/>
        </w:rPr>
        <w:t xml:space="preserve">) sin perjuicio de la exigencia anterior, </w:t>
      </w:r>
      <w:r w:rsidRPr="00E831DA">
        <w:rPr>
          <w:rFonts w:ascii="Arial" w:hAnsi="Arial" w:eastAsia="Calibri" w:cs="Arial"/>
          <w:i/>
          <w:iCs/>
          <w:sz w:val="20"/>
          <w:szCs w:val="20"/>
          <w:lang w:val="es-ES_tradnl"/>
        </w:rPr>
        <w:t xml:space="preserve">solo uno </w:t>
      </w:r>
      <w:r w:rsidRPr="00E831DA">
        <w:rPr>
          <w:rFonts w:ascii="Arial" w:hAnsi="Arial" w:eastAsia="Calibri" w:cs="Arial"/>
          <w:sz w:val="20"/>
          <w:szCs w:val="20"/>
          <w:lang w:val="es-ES_tradnl"/>
        </w:rPr>
        <w:t>de los integrantes, si así lo considera pertinente, podrá no aportar ninguna experiencia. Esto quiere decir que, a partir de la adopción de los documentos tipo de licitación de obra pública de infraestructura de transporte – Versión 3, en principio se exige que todos los integrantes acrediten experiencia, y solo de manera excepcional se permite que uno de ellos no aporte ninguna.</w:t>
      </w:r>
    </w:p>
    <w:p w:rsidRPr="00E831DA" w:rsidR="00E0608A" w:rsidP="003F6F00" w:rsidRDefault="00E0608A" w14:paraId="6826E84F" w14:textId="77777777">
      <w:pPr>
        <w:ind w:firstLine="0"/>
        <w:rPr>
          <w:rFonts w:ascii="Arial" w:hAnsi="Arial" w:eastAsia="Calibri" w:cs="Arial"/>
          <w:sz w:val="20"/>
          <w:szCs w:val="20"/>
        </w:rPr>
      </w:pPr>
    </w:p>
    <w:p w:rsidR="00E0608A" w:rsidP="00E0608A" w:rsidRDefault="00E0608A" w14:paraId="1B2FAFFA" w14:textId="77777777">
      <w:pPr>
        <w:autoSpaceDE w:val="0"/>
        <w:autoSpaceDN w:val="0"/>
        <w:adjustRightInd w:val="0"/>
        <w:spacing w:line="240" w:lineRule="auto"/>
        <w:ind w:right="0" w:firstLine="0"/>
        <w:rPr>
          <w:rFonts w:ascii="Arial-BoldMT" w:hAnsi="Arial-BoldMT" w:cs="Arial-BoldMT"/>
          <w:b/>
          <w:bCs/>
          <w:color w:val="595959"/>
          <w:sz w:val="18"/>
          <w:szCs w:val="18"/>
          <w:lang w:val="es-CO"/>
        </w:rPr>
      </w:pPr>
    </w:p>
    <w:p w:rsidR="00E0608A" w:rsidP="00E0608A" w:rsidRDefault="00E0608A" w14:paraId="10444F57" w14:textId="799ACB40">
      <w:pPr>
        <w:autoSpaceDE w:val="0"/>
        <w:autoSpaceDN w:val="0"/>
        <w:adjustRightInd w:val="0"/>
        <w:spacing w:line="240" w:lineRule="auto"/>
        <w:ind w:right="0" w:firstLine="0"/>
        <w:jc w:val="right"/>
        <w:rPr>
          <w:rFonts w:ascii="Arial-BoldMT" w:hAnsi="Arial-BoldMT" w:cs="Arial-BoldMT"/>
          <w:b/>
          <w:bCs/>
          <w:color w:val="595959"/>
          <w:sz w:val="18"/>
          <w:szCs w:val="18"/>
          <w:lang w:val="es-CO"/>
        </w:rPr>
      </w:pPr>
      <w:r w:rsidRPr="00E0608A">
        <w:rPr>
          <w:rFonts w:ascii="Arial-BoldMT" w:hAnsi="Arial-BoldMT" w:cs="Arial-BoldMT"/>
          <w:b/>
          <w:bCs/>
          <w:noProof/>
          <w:color w:val="595959"/>
          <w:sz w:val="18"/>
          <w:szCs w:val="18"/>
          <w:lang w:val="es-CO"/>
        </w:rPr>
        <w:drawing>
          <wp:inline distT="0" distB="0" distL="0" distR="0" wp14:anchorId="32CD7AA8" wp14:editId="67750554">
            <wp:extent cx="2563175" cy="6348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772" cy="645151"/>
                    </a:xfrm>
                    <a:prstGeom prst="rect">
                      <a:avLst/>
                    </a:prstGeom>
                    <a:noFill/>
                    <a:ln>
                      <a:noFill/>
                    </a:ln>
                  </pic:spPr>
                </pic:pic>
              </a:graphicData>
            </a:graphic>
          </wp:inline>
        </w:drawing>
      </w:r>
    </w:p>
    <w:p w:rsidR="00E0608A" w:rsidP="00E0608A" w:rsidRDefault="00E0608A" w14:paraId="6A6407B0" w14:textId="77777777">
      <w:pPr>
        <w:autoSpaceDE w:val="0"/>
        <w:autoSpaceDN w:val="0"/>
        <w:adjustRightInd w:val="0"/>
        <w:spacing w:line="240" w:lineRule="auto"/>
        <w:ind w:right="0" w:firstLine="0"/>
        <w:jc w:val="right"/>
        <w:rPr>
          <w:rFonts w:ascii="Arial-BoldMT" w:hAnsi="Arial-BoldMT" w:cs="Arial-BoldMT"/>
          <w:b/>
          <w:bCs/>
          <w:color w:val="595959"/>
          <w:sz w:val="18"/>
          <w:szCs w:val="18"/>
          <w:lang w:val="es-CO"/>
        </w:rPr>
      </w:pPr>
    </w:p>
    <w:p w:rsidR="00E0608A" w:rsidP="00E0608A" w:rsidRDefault="00E0608A" w14:paraId="675DE366" w14:textId="77777777">
      <w:pPr>
        <w:autoSpaceDE w:val="0"/>
        <w:autoSpaceDN w:val="0"/>
        <w:adjustRightInd w:val="0"/>
        <w:spacing w:line="240" w:lineRule="auto"/>
        <w:ind w:right="0" w:firstLine="0"/>
        <w:jc w:val="right"/>
        <w:rPr>
          <w:rFonts w:ascii="Arial-BoldMT" w:hAnsi="Arial-BoldMT" w:cs="Arial-BoldMT"/>
          <w:b/>
          <w:bCs/>
          <w:color w:val="595959"/>
          <w:sz w:val="18"/>
          <w:szCs w:val="18"/>
          <w:lang w:val="es-CO"/>
        </w:rPr>
      </w:pPr>
    </w:p>
    <w:p w:rsidR="00E0608A" w:rsidP="00E0608A" w:rsidRDefault="00E0608A" w14:paraId="3F47B5A2" w14:textId="433A5D77">
      <w:pPr>
        <w:autoSpaceDE w:val="0"/>
        <w:autoSpaceDN w:val="0"/>
        <w:adjustRightInd w:val="0"/>
        <w:spacing w:line="240" w:lineRule="auto"/>
        <w:ind w:right="0" w:firstLine="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rsidR="00E0608A" w:rsidP="00E0608A" w:rsidRDefault="00E0608A" w14:paraId="31207646" w14:textId="45661F51">
      <w:pPr>
        <w:autoSpaceDE w:val="0"/>
        <w:autoSpaceDN w:val="0"/>
        <w:adjustRightInd w:val="0"/>
        <w:spacing w:line="240" w:lineRule="auto"/>
        <w:ind w:right="0" w:firstLine="0"/>
        <w:jc w:val="right"/>
        <w:rPr>
          <w:rFonts w:ascii="Arial-BoldMT" w:hAnsi="Arial-BoldMT" w:cs="Arial-BoldMT"/>
          <w:b/>
          <w:bCs/>
          <w:color w:val="595959"/>
          <w:sz w:val="18"/>
          <w:szCs w:val="18"/>
          <w:lang w:val="es-CO"/>
        </w:rPr>
      </w:pPr>
    </w:p>
    <w:p w:rsidR="00E0608A" w:rsidP="00E0608A" w:rsidRDefault="00E0608A" w14:paraId="79CC2FA1" w14:textId="77777777">
      <w:pPr>
        <w:autoSpaceDE w:val="0"/>
        <w:autoSpaceDN w:val="0"/>
        <w:adjustRightInd w:val="0"/>
        <w:spacing w:line="240" w:lineRule="auto"/>
        <w:ind w:right="0" w:firstLine="0"/>
        <w:jc w:val="right"/>
        <w:rPr>
          <w:rFonts w:ascii="Arial-BoldMT" w:hAnsi="Arial-BoldMT" w:cs="Arial-BoldMT"/>
          <w:b/>
          <w:bCs/>
          <w:color w:val="595959"/>
          <w:sz w:val="18"/>
          <w:szCs w:val="18"/>
          <w:lang w:val="es-CO"/>
        </w:rPr>
      </w:pPr>
    </w:p>
    <w:p w:rsidR="00E0608A" w:rsidP="00E0608A" w:rsidRDefault="00E0608A" w14:paraId="30C2EAE5" w14:textId="0BECE8D1">
      <w:pPr>
        <w:ind w:firstLine="0"/>
        <w:rPr>
          <w:rFonts w:ascii="ArialMT" w:hAnsi="Arial-BoldMT" w:eastAsia="ArialMT" w:cs="ArialMT"/>
          <w:color w:val="4E4D4D"/>
          <w:sz w:val="22"/>
          <w:lang w:val="es-CO"/>
        </w:rPr>
      </w:pPr>
      <w:r>
        <w:rPr>
          <w:rFonts w:ascii="ArialMT" w:hAnsi="Arial-BoldMT" w:eastAsia="ArialMT" w:cs="ArialMT"/>
          <w:color w:val="4E4D4D"/>
          <w:sz w:val="22"/>
          <w:lang w:val="es-CO"/>
        </w:rPr>
        <w:t>Bogot</w:t>
      </w:r>
      <w:r>
        <w:rPr>
          <w:rFonts w:hint="eastAsia" w:ascii="ArialMT" w:hAnsi="Arial-BoldMT" w:eastAsia="ArialMT" w:cs="ArialMT"/>
          <w:color w:val="4E4D4D"/>
          <w:sz w:val="22"/>
          <w:lang w:val="es-CO"/>
        </w:rPr>
        <w:t>á</w:t>
      </w:r>
      <w:r>
        <w:rPr>
          <w:rFonts w:ascii="ArialMT" w:hAnsi="Arial-BoldMT" w:eastAsia="ArialMT" w:cs="ArialMT"/>
          <w:color w:val="4E4D4D"/>
          <w:sz w:val="22"/>
          <w:lang w:val="es-CO"/>
        </w:rPr>
        <w:t xml:space="preserve">, 29 </w:t>
      </w:r>
      <w:proofErr w:type="gramStart"/>
      <w:r>
        <w:rPr>
          <w:rFonts w:ascii="ArialMT" w:hAnsi="Arial-BoldMT" w:eastAsia="ArialMT" w:cs="ArialMT"/>
          <w:color w:val="4E4D4D"/>
          <w:sz w:val="22"/>
          <w:lang w:val="es-CO"/>
        </w:rPr>
        <w:t>Junio</w:t>
      </w:r>
      <w:proofErr w:type="gramEnd"/>
      <w:r>
        <w:rPr>
          <w:rFonts w:ascii="ArialMT" w:hAnsi="Arial-BoldMT" w:eastAsia="ArialMT" w:cs="ArialMT"/>
          <w:color w:val="4E4D4D"/>
          <w:sz w:val="22"/>
          <w:lang w:val="es-CO"/>
        </w:rPr>
        <w:t xml:space="preserve"> 2021</w:t>
      </w:r>
    </w:p>
    <w:p w:rsidR="00E0608A" w:rsidP="00E0608A" w:rsidRDefault="00E0608A" w14:paraId="1AAC514D" w14:textId="77777777">
      <w:pPr>
        <w:ind w:firstLine="0"/>
        <w:rPr>
          <w:rFonts w:ascii="Arial" w:hAnsi="Arial" w:eastAsia="Calibri" w:cs="Arial"/>
          <w:sz w:val="22"/>
        </w:rPr>
      </w:pPr>
    </w:p>
    <w:p w:rsidR="00410548" w:rsidP="003F6F00" w:rsidRDefault="00410548" w14:paraId="4BA04FCC" w14:textId="67A7F084">
      <w:pPr>
        <w:ind w:firstLine="0"/>
        <w:rPr>
          <w:rFonts w:ascii="Arial" w:hAnsi="Arial" w:eastAsia="Calibri" w:cs="Arial"/>
          <w:sz w:val="22"/>
        </w:rPr>
      </w:pPr>
      <w:r w:rsidRPr="000D0EC1">
        <w:rPr>
          <w:rFonts w:ascii="Arial" w:hAnsi="Arial" w:eastAsia="Calibri" w:cs="Arial"/>
          <w:sz w:val="22"/>
        </w:rPr>
        <w:t>Señor</w:t>
      </w:r>
      <w:r w:rsidR="000410EB">
        <w:rPr>
          <w:rFonts w:ascii="Arial" w:hAnsi="Arial" w:eastAsia="Calibri" w:cs="Arial"/>
          <w:sz w:val="22"/>
        </w:rPr>
        <w:t>a</w:t>
      </w:r>
    </w:p>
    <w:p w:rsidRPr="000410EB" w:rsidR="000410EB" w:rsidP="003F6F00" w:rsidRDefault="000410EB" w14:paraId="212DFC00" w14:textId="62BE08BE">
      <w:pPr>
        <w:ind w:firstLine="0"/>
        <w:rPr>
          <w:rFonts w:ascii="Arial" w:hAnsi="Arial" w:eastAsia="Calibri" w:cs="Arial"/>
          <w:b/>
          <w:bCs/>
          <w:sz w:val="22"/>
        </w:rPr>
      </w:pPr>
      <w:r>
        <w:rPr>
          <w:rFonts w:ascii="Arial" w:hAnsi="Arial" w:eastAsia="Calibri" w:cs="Arial"/>
          <w:b/>
          <w:bCs/>
          <w:sz w:val="22"/>
        </w:rPr>
        <w:t>América Rodríguez</w:t>
      </w:r>
    </w:p>
    <w:p w:rsidRPr="000D0EC1" w:rsidR="00410548" w:rsidP="003F6F00" w:rsidRDefault="000410EB" w14:paraId="18CD9928" w14:textId="0AF1240A">
      <w:pPr>
        <w:ind w:firstLine="0"/>
        <w:rPr>
          <w:rFonts w:ascii="Arial" w:hAnsi="Arial" w:eastAsia="Calibri" w:cs="Arial"/>
          <w:sz w:val="22"/>
        </w:rPr>
      </w:pPr>
      <w:r>
        <w:rPr>
          <w:rFonts w:ascii="Arial" w:hAnsi="Arial" w:eastAsia="Calibri" w:cs="Arial"/>
          <w:sz w:val="22"/>
        </w:rPr>
        <w:t xml:space="preserve">Bogotá </w:t>
      </w:r>
    </w:p>
    <w:p w:rsidR="004A5528" w:rsidP="00410548" w:rsidRDefault="004A5528" w14:paraId="172F31B9" w14:textId="77777777">
      <w:pPr>
        <w:jc w:val="center"/>
        <w:rPr>
          <w:rFonts w:ascii="Arial" w:hAnsi="Arial" w:eastAsia="Calibri" w:cs="Arial"/>
          <w:b/>
          <w:sz w:val="22"/>
        </w:rPr>
      </w:pPr>
    </w:p>
    <w:p w:rsidRPr="000D0EC1" w:rsidR="000410EB" w:rsidP="00410548" w:rsidRDefault="000410EB" w14:paraId="6E225FFE" w14:textId="77777777">
      <w:pPr>
        <w:rPr>
          <w:rFonts w:ascii="Arial" w:hAnsi="Arial" w:eastAsia="Calibri" w:cs="Arial"/>
          <w:sz w:val="22"/>
        </w:rPr>
      </w:pPr>
    </w:p>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D0EC1" w:rsidR="000D0EC1" w:rsidTr="000B6B53" w14:paraId="55C54D80" w14:textId="77777777">
        <w:trPr>
          <w:trHeight w:val="1651"/>
        </w:trPr>
        <w:tc>
          <w:tcPr>
            <w:tcW w:w="2689" w:type="dxa"/>
            <w:hideMark/>
          </w:tcPr>
          <w:p w:rsidRPr="000D0EC1" w:rsidR="00410548" w:rsidP="003F6F00" w:rsidRDefault="00410548" w14:paraId="393C8D2D" w14:textId="77777777">
            <w:pPr>
              <w:ind w:firstLine="0"/>
              <w:rPr>
                <w:rFonts w:ascii="Arial" w:hAnsi="Arial" w:eastAsia="Calibri" w:cs="Arial"/>
                <w:sz w:val="22"/>
              </w:rPr>
            </w:pPr>
            <w:r w:rsidRPr="000D0EC1">
              <w:rPr>
                <w:rFonts w:ascii="Arial" w:hAnsi="Arial" w:eastAsia="Calibri" w:cs="Arial"/>
                <w:b/>
                <w:sz w:val="22"/>
              </w:rPr>
              <w:t>Temas:</w:t>
            </w:r>
            <w:r w:rsidRPr="000D0EC1">
              <w:rPr>
                <w:rFonts w:ascii="Arial" w:hAnsi="Arial" w:eastAsia="Calibri" w:cs="Arial"/>
                <w:sz w:val="22"/>
              </w:rPr>
              <w:t xml:space="preserve">           </w:t>
            </w:r>
          </w:p>
          <w:p w:rsidRPr="000D0EC1" w:rsidR="00410548" w:rsidP="000B6B53" w:rsidRDefault="00410548" w14:paraId="6300D59B" w14:textId="77777777">
            <w:pPr>
              <w:rPr>
                <w:rFonts w:ascii="Arial" w:hAnsi="Arial" w:eastAsia="Calibri" w:cs="Arial"/>
                <w:sz w:val="22"/>
              </w:rPr>
            </w:pPr>
            <w:r w:rsidRPr="000D0EC1">
              <w:rPr>
                <w:rFonts w:ascii="Arial" w:hAnsi="Arial" w:eastAsia="Calibri" w:cs="Arial"/>
                <w:sz w:val="22"/>
              </w:rPr>
              <w:t xml:space="preserve">                           </w:t>
            </w:r>
          </w:p>
        </w:tc>
        <w:tc>
          <w:tcPr>
            <w:tcW w:w="6237" w:type="dxa"/>
            <w:hideMark/>
          </w:tcPr>
          <w:p w:rsidRPr="009C6498" w:rsidR="009C6498" w:rsidP="009C6498" w:rsidRDefault="009C6498" w14:paraId="4BCBF9E8" w14:textId="7C0DBBB3">
            <w:pPr>
              <w:shd w:val="clear" w:color="auto" w:fill="FFFFFF"/>
              <w:ind w:right="0" w:firstLine="0"/>
              <w:textAlignment w:val="baseline"/>
              <w:rPr>
                <w:rFonts w:ascii="Arial" w:hAnsi="Arial" w:eastAsia="Times New Roman" w:cs="Arial"/>
                <w:color w:val="000000"/>
                <w:sz w:val="22"/>
                <w:lang w:val="es-CO" w:eastAsia="es-MX"/>
              </w:rPr>
            </w:pPr>
            <w:r w:rsidRPr="009C6498">
              <w:rPr>
                <w:rFonts w:ascii="Arial" w:hAnsi="Arial" w:eastAsia="Times New Roman" w:cs="Arial"/>
                <w:color w:val="000000"/>
                <w:sz w:val="22"/>
                <w:lang w:val="es-CO" w:eastAsia="es-MX"/>
              </w:rPr>
              <w:t xml:space="preserve">PLIEGOS TIPO – Naturaleza / </w:t>
            </w:r>
            <w:r w:rsidRPr="009C6498">
              <w:rPr>
                <w:rFonts w:ascii="Arial" w:hAnsi="Arial" w:eastAsia="Times New Roman" w:cs="Arial"/>
                <w:color w:val="0D0D0D" w:themeColor="text1" w:themeTint="F2"/>
                <w:sz w:val="22"/>
                <w:lang w:val="es-CO" w:eastAsia="es-MX"/>
              </w:rPr>
              <w:t xml:space="preserve">PLIEGO TIPO – Obligatoriedad/ PLIEGO TIPO </w:t>
            </w:r>
            <w:r w:rsidRPr="009C6498">
              <w:rPr>
                <w:rFonts w:ascii="Arial" w:hAnsi="Arial" w:eastAsia="Times New Roman" w:cs="Arial"/>
                <w:color w:val="000000"/>
                <w:sz w:val="22"/>
                <w:lang w:val="es-CO" w:eastAsia="es-MX"/>
              </w:rPr>
              <w:t>– Inalterabilidad</w:t>
            </w:r>
            <w:r w:rsidR="00564349">
              <w:rPr>
                <w:rFonts w:ascii="Arial" w:hAnsi="Arial" w:eastAsia="Times New Roman" w:cs="Arial"/>
                <w:color w:val="000000"/>
                <w:sz w:val="22"/>
                <w:lang w:val="es-CO" w:eastAsia="es-MX"/>
              </w:rPr>
              <w:t xml:space="preserve"> – Regla vigente - Contenido</w:t>
            </w:r>
            <w:r w:rsidRPr="009C6498">
              <w:rPr>
                <w:rFonts w:ascii="Arial" w:hAnsi="Arial" w:eastAsia="Times New Roman" w:cs="Arial"/>
                <w:color w:val="000000"/>
                <w:sz w:val="22"/>
                <w:lang w:val="es-CO" w:eastAsia="es-MX"/>
              </w:rPr>
              <w:t>/ EXPERIENCIA – Requisito habilitante / PRUEBA DE LA EXPERIENCIA – Requisito habilitante / DOCUMENTOS TIPO – Experiencia – Proponentes plurales – Porcentaje mínimos – literal d), numeral 3.5.3</w:t>
            </w:r>
          </w:p>
          <w:p w:rsidRPr="009C6498" w:rsidR="00904CB3" w:rsidP="008C2292" w:rsidRDefault="00904CB3" w14:paraId="18F3A31D" w14:textId="19B29184">
            <w:pPr>
              <w:ind w:firstLine="0"/>
              <w:rPr>
                <w:rFonts w:ascii="Arial" w:hAnsi="Arial" w:eastAsia="Calibri" w:cs="Arial"/>
                <w:b/>
                <w:sz w:val="22"/>
              </w:rPr>
            </w:pPr>
          </w:p>
        </w:tc>
      </w:tr>
      <w:tr w:rsidRPr="000D0EC1" w:rsidR="00410548" w:rsidTr="000B6B53" w14:paraId="4C96BF0C" w14:textId="77777777">
        <w:trPr>
          <w:trHeight w:val="465"/>
        </w:trPr>
        <w:tc>
          <w:tcPr>
            <w:tcW w:w="2689" w:type="dxa"/>
            <w:hideMark/>
          </w:tcPr>
          <w:p w:rsidRPr="000D0EC1" w:rsidR="00410548" w:rsidP="003F6F00" w:rsidRDefault="00410548" w14:paraId="0D3B09A9" w14:textId="77777777">
            <w:pPr>
              <w:ind w:firstLine="0"/>
              <w:rPr>
                <w:rFonts w:ascii="Arial" w:hAnsi="Arial" w:eastAsia="Calibri" w:cs="Arial"/>
                <w:b/>
                <w:sz w:val="22"/>
              </w:rPr>
            </w:pPr>
            <w:r w:rsidRPr="000D0EC1">
              <w:rPr>
                <w:rFonts w:ascii="Arial" w:hAnsi="Arial" w:eastAsia="Calibri" w:cs="Arial"/>
                <w:b/>
                <w:sz w:val="22"/>
              </w:rPr>
              <w:t>Radicación:</w:t>
            </w:r>
            <w:r w:rsidRPr="000D0EC1">
              <w:rPr>
                <w:rFonts w:ascii="Arial" w:hAnsi="Arial" w:eastAsia="Calibri" w:cs="Arial"/>
                <w:sz w:val="22"/>
              </w:rPr>
              <w:t xml:space="preserve">                              </w:t>
            </w:r>
          </w:p>
        </w:tc>
        <w:tc>
          <w:tcPr>
            <w:tcW w:w="6237" w:type="dxa"/>
            <w:hideMark/>
          </w:tcPr>
          <w:p w:rsidRPr="000D0EC1" w:rsidR="00410548" w:rsidP="00015772" w:rsidRDefault="00410548" w14:paraId="2CEE49EC" w14:textId="488293C1">
            <w:pPr>
              <w:ind w:firstLine="0"/>
              <w:rPr>
                <w:rFonts w:ascii="Arial" w:hAnsi="Arial" w:eastAsia="Calibri" w:cs="Arial"/>
                <w:sz w:val="22"/>
              </w:rPr>
            </w:pPr>
            <w:r w:rsidRPr="000D0EC1">
              <w:rPr>
                <w:rFonts w:ascii="Arial" w:hAnsi="Arial" w:eastAsia="Calibri" w:cs="Arial"/>
                <w:sz w:val="22"/>
              </w:rPr>
              <w:t xml:space="preserve">Respuesta a </w:t>
            </w:r>
            <w:r w:rsidR="006600DF">
              <w:rPr>
                <w:rFonts w:ascii="Arial" w:hAnsi="Arial" w:eastAsia="Calibri" w:cs="Arial"/>
                <w:sz w:val="22"/>
              </w:rPr>
              <w:t xml:space="preserve">consulta </w:t>
            </w:r>
            <w:r w:rsidRPr="000D0EC1">
              <w:rPr>
                <w:rFonts w:ascii="Arial" w:hAnsi="Arial" w:eastAsia="Calibri" w:cs="Arial"/>
                <w:sz w:val="22"/>
              </w:rPr>
              <w:t xml:space="preserve">No </w:t>
            </w:r>
            <w:r w:rsidRPr="000410EB" w:rsidR="000410EB">
              <w:rPr>
                <w:rFonts w:ascii="Arial" w:hAnsi="Arial" w:eastAsia="Calibri" w:cs="Arial"/>
                <w:sz w:val="22"/>
              </w:rPr>
              <w:t>P20210514004189</w:t>
            </w:r>
          </w:p>
        </w:tc>
      </w:tr>
    </w:tbl>
    <w:p w:rsidRPr="000D0EC1" w:rsidR="00410548" w:rsidP="00410548" w:rsidRDefault="00410548" w14:paraId="4E2C00CE" w14:textId="77777777">
      <w:pPr>
        <w:rPr>
          <w:rFonts w:ascii="Arial" w:hAnsi="Arial" w:eastAsia="Calibri" w:cs="Arial"/>
          <w:sz w:val="22"/>
        </w:rPr>
      </w:pPr>
    </w:p>
    <w:p w:rsidRPr="000D0EC1" w:rsidR="00410548" w:rsidP="00410548" w:rsidRDefault="00410548" w14:paraId="0927C9B0" w14:textId="77777777">
      <w:pPr>
        <w:rPr>
          <w:rFonts w:ascii="Arial" w:hAnsi="Arial" w:eastAsia="Calibri" w:cs="Arial"/>
          <w:sz w:val="22"/>
        </w:rPr>
      </w:pPr>
    </w:p>
    <w:p w:rsidRPr="000D0EC1" w:rsidR="00410548" w:rsidP="00AE02CF" w:rsidRDefault="00410548" w14:paraId="56711929" w14:textId="08CFB816">
      <w:pPr>
        <w:ind w:firstLine="0"/>
        <w:rPr>
          <w:rFonts w:ascii="Arial" w:hAnsi="Arial" w:eastAsia="Calibri" w:cs="Arial"/>
          <w:sz w:val="22"/>
        </w:rPr>
      </w:pPr>
      <w:r w:rsidRPr="000D0EC1">
        <w:rPr>
          <w:rFonts w:ascii="Arial" w:hAnsi="Arial" w:eastAsia="Calibri" w:cs="Arial"/>
          <w:sz w:val="22"/>
        </w:rPr>
        <w:t>Estimad</w:t>
      </w:r>
      <w:r w:rsidR="000410EB">
        <w:rPr>
          <w:rFonts w:ascii="Arial" w:hAnsi="Arial" w:eastAsia="Calibri" w:cs="Arial"/>
          <w:sz w:val="22"/>
        </w:rPr>
        <w:t>a señora Rodríguez</w:t>
      </w:r>
      <w:r w:rsidR="009C6498">
        <w:rPr>
          <w:rFonts w:ascii="Arial" w:hAnsi="Arial" w:eastAsia="Calibri" w:cs="Arial"/>
          <w:sz w:val="22"/>
        </w:rPr>
        <w:t>:</w:t>
      </w:r>
      <w:r w:rsidR="000410EB">
        <w:rPr>
          <w:rFonts w:ascii="Arial" w:hAnsi="Arial" w:eastAsia="Calibri" w:cs="Arial"/>
          <w:sz w:val="22"/>
        </w:rPr>
        <w:t xml:space="preserve"> </w:t>
      </w:r>
    </w:p>
    <w:p w:rsidRPr="000D0EC1" w:rsidR="00410548" w:rsidP="00410548" w:rsidRDefault="00410548" w14:paraId="4BDF2AE3" w14:textId="77777777">
      <w:pPr>
        <w:rPr>
          <w:rFonts w:ascii="Arial" w:hAnsi="Arial" w:eastAsia="Calibri" w:cs="Arial"/>
          <w:sz w:val="22"/>
        </w:rPr>
      </w:pPr>
    </w:p>
    <w:p w:rsidRPr="000D0EC1" w:rsidR="00410548" w:rsidP="00015772" w:rsidRDefault="00410548" w14:paraId="4B7D1D02" w14:textId="51E68E69">
      <w:pPr>
        <w:ind w:firstLine="0"/>
        <w:rPr>
          <w:rFonts w:ascii="Arial" w:hAnsi="Arial" w:eastAsia="Calibri" w:cs="Arial"/>
          <w:sz w:val="22"/>
        </w:rPr>
      </w:pPr>
      <w:r w:rsidRPr="000D0EC1">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015772">
        <w:rPr>
          <w:rFonts w:ascii="Arial" w:hAnsi="Arial" w:eastAsia="Calibri" w:cs="Arial"/>
          <w:sz w:val="22"/>
        </w:rPr>
        <w:t>6 de mayo</w:t>
      </w:r>
      <w:r w:rsidR="004A5528">
        <w:rPr>
          <w:rFonts w:ascii="Arial" w:hAnsi="Arial" w:eastAsia="Calibri" w:cs="Arial"/>
          <w:sz w:val="22"/>
        </w:rPr>
        <w:t xml:space="preserve"> de 2021.</w:t>
      </w:r>
      <w:r w:rsidRPr="000D0EC1">
        <w:rPr>
          <w:rFonts w:ascii="Arial" w:hAnsi="Arial" w:eastAsia="Calibri" w:cs="Arial"/>
          <w:sz w:val="22"/>
        </w:rPr>
        <w:t xml:space="preserve"> </w:t>
      </w:r>
    </w:p>
    <w:p w:rsidRPr="000D0EC1" w:rsidR="00410548" w:rsidP="00410548" w:rsidRDefault="00410548" w14:paraId="19CEA7B3" w14:textId="77777777">
      <w:pPr>
        <w:rPr>
          <w:rFonts w:ascii="Arial" w:hAnsi="Arial" w:eastAsia="Calibri" w:cs="Arial"/>
          <w:sz w:val="22"/>
        </w:rPr>
      </w:pPr>
    </w:p>
    <w:p w:rsidR="007B63C4" w:rsidP="007B63C4" w:rsidRDefault="00410548" w14:paraId="003C4A18" w14:textId="32032905">
      <w:pPr>
        <w:pStyle w:val="ListParagraph"/>
        <w:numPr>
          <w:ilvl w:val="0"/>
          <w:numId w:val="1"/>
        </w:numPr>
        <w:tabs>
          <w:tab w:val="left" w:pos="284"/>
        </w:tabs>
        <w:ind w:left="0" w:firstLine="0"/>
        <w:rPr>
          <w:rFonts w:ascii="Arial" w:hAnsi="Arial" w:eastAsia="Calibri" w:cs="Arial"/>
          <w:b/>
          <w:sz w:val="22"/>
        </w:rPr>
      </w:pPr>
      <w:r w:rsidRPr="000D0EC1">
        <w:rPr>
          <w:rFonts w:ascii="Arial" w:hAnsi="Arial" w:eastAsia="Calibri" w:cs="Arial"/>
          <w:b/>
          <w:sz w:val="22"/>
        </w:rPr>
        <w:t xml:space="preserve">Problemas planteados </w:t>
      </w:r>
    </w:p>
    <w:p w:rsidRPr="007B63C4" w:rsidR="007B63C4" w:rsidP="007B63C4" w:rsidRDefault="007B63C4" w14:paraId="3E496601" w14:textId="77777777">
      <w:pPr>
        <w:pStyle w:val="ListParagraph"/>
        <w:tabs>
          <w:tab w:val="left" w:pos="284"/>
        </w:tabs>
        <w:ind w:left="0" w:firstLine="0"/>
        <w:rPr>
          <w:rFonts w:ascii="Arial" w:hAnsi="Arial" w:eastAsia="Calibri" w:cs="Arial"/>
          <w:b/>
          <w:sz w:val="22"/>
        </w:rPr>
      </w:pPr>
    </w:p>
    <w:p w:rsidRPr="000A29E2" w:rsidR="00015772" w:rsidP="000A29E2" w:rsidRDefault="00CF5296" w14:paraId="3B2C229D" w14:textId="5444AAA7">
      <w:pPr>
        <w:ind w:firstLine="0"/>
        <w:rPr>
          <w:rFonts w:eastAsia="Calibri"/>
          <w:sz w:val="22"/>
        </w:rPr>
      </w:pPr>
      <w:r>
        <w:rPr>
          <w:rFonts w:ascii="Arial" w:hAnsi="Arial" w:eastAsia="Calibri" w:cs="Arial"/>
          <w:sz w:val="22"/>
        </w:rPr>
        <w:t>La</w:t>
      </w:r>
      <w:r w:rsidRPr="000A29E2" w:rsidR="000410EB">
        <w:rPr>
          <w:rFonts w:ascii="Arial" w:hAnsi="Arial" w:eastAsia="Calibri" w:cs="Arial"/>
          <w:sz w:val="22"/>
        </w:rPr>
        <w:t xml:space="preserve"> peticionari</w:t>
      </w:r>
      <w:r>
        <w:rPr>
          <w:rFonts w:ascii="Arial" w:hAnsi="Arial" w:eastAsia="Calibri" w:cs="Arial"/>
          <w:sz w:val="22"/>
        </w:rPr>
        <w:t>a</w:t>
      </w:r>
      <w:r w:rsidRPr="000A29E2" w:rsidR="000410EB">
        <w:rPr>
          <w:rFonts w:ascii="Arial" w:hAnsi="Arial" w:eastAsia="Calibri" w:cs="Arial"/>
          <w:sz w:val="22"/>
        </w:rPr>
        <w:t xml:space="preserve"> realiza la siguiente pregunta:</w:t>
      </w:r>
      <w:r w:rsidRPr="000A29E2">
        <w:rPr>
          <w:rFonts w:ascii="Arial" w:hAnsi="Arial" w:eastAsia="Calibri" w:cs="Arial"/>
          <w:sz w:val="22"/>
        </w:rPr>
        <w:t xml:space="preserve"> </w:t>
      </w:r>
      <w:bookmarkStart w:name="_Hlk73006642" w:id="2"/>
      <w:r w:rsidRPr="000A29E2" w:rsidR="003F2B0D">
        <w:rPr>
          <w:rFonts w:ascii="Arial" w:hAnsi="Arial" w:eastAsia="Calibri" w:cs="Arial"/>
          <w:sz w:val="22"/>
        </w:rPr>
        <w:t>«[</w:t>
      </w:r>
      <w:r w:rsidRPr="000A29E2" w:rsidR="000410EB">
        <w:rPr>
          <w:rFonts w:ascii="Arial" w:hAnsi="Arial" w:eastAsia="Calibri" w:cs="Arial"/>
          <w:sz w:val="22"/>
        </w:rPr>
        <w:t>…]</w:t>
      </w:r>
      <w:r w:rsidRPr="000A29E2" w:rsidR="00FC2A57">
        <w:rPr>
          <w:rFonts w:ascii="Arial" w:hAnsi="Arial" w:eastAsia="Calibri" w:cs="Arial"/>
          <w:sz w:val="22"/>
        </w:rPr>
        <w:t xml:space="preserve"> </w:t>
      </w:r>
      <w:r w:rsidRPr="000A29E2" w:rsidR="008C2292">
        <w:rPr>
          <w:rFonts w:ascii="Arial" w:hAnsi="Arial" w:eastAsia="Calibri" w:cs="Arial"/>
          <w:sz w:val="22"/>
        </w:rPr>
        <w:t xml:space="preserve">En la presentación de la oferta para licitación pública (infraestructura vial) - Pliego Tipo versión 3. </w:t>
      </w:r>
      <w:r w:rsidRPr="000A29E2" w:rsidR="000410EB">
        <w:rPr>
          <w:rFonts w:ascii="Arial" w:hAnsi="Arial" w:eastAsia="Calibri" w:cs="Arial"/>
          <w:sz w:val="22"/>
        </w:rPr>
        <w:t xml:space="preserve">En caso de un proponente plural de dos integrantes, donde uno tenga más del 90% y el otro menos del 5% de participación dentro la figura </w:t>
      </w:r>
      <w:r w:rsidRPr="000A29E2" w:rsidR="003F2B0D">
        <w:rPr>
          <w:rFonts w:ascii="Arial" w:hAnsi="Arial" w:eastAsia="Calibri" w:cs="Arial"/>
          <w:sz w:val="22"/>
        </w:rPr>
        <w:t>¿la experiencia del que tenga menos del 5% de participación no será tenida en cuenta?»</w:t>
      </w:r>
    </w:p>
    <w:bookmarkEnd w:id="2"/>
    <w:p w:rsidRPr="00B90E6D" w:rsidR="003F2B0D" w:rsidP="000A29E2" w:rsidRDefault="003F2B0D" w14:paraId="507FA1D8" w14:textId="77777777">
      <w:pPr>
        <w:pStyle w:val="Default"/>
        <w:spacing w:line="276" w:lineRule="auto"/>
        <w:ind w:left="709" w:right="758" w:firstLine="0"/>
        <w:rPr>
          <w:rFonts w:eastAsia="Calibri"/>
          <w:color w:val="auto"/>
          <w:sz w:val="22"/>
          <w:szCs w:val="22"/>
        </w:rPr>
      </w:pPr>
    </w:p>
    <w:p w:rsidR="00410548" w:rsidP="000A29E2" w:rsidRDefault="003F6F00" w14:paraId="7E3F8937" w14:textId="303CDECD">
      <w:pPr>
        <w:pStyle w:val="Default"/>
        <w:spacing w:line="276" w:lineRule="auto"/>
        <w:ind w:firstLine="0"/>
        <w:rPr>
          <w:rFonts w:eastAsia="Calibri"/>
          <w:b/>
          <w:sz w:val="22"/>
        </w:rPr>
      </w:pPr>
      <w:r>
        <w:rPr>
          <w:rFonts w:eastAsia="Calibri"/>
          <w:b/>
          <w:sz w:val="22"/>
        </w:rPr>
        <w:t xml:space="preserve">2. </w:t>
      </w:r>
      <w:r w:rsidRPr="000D0EC1" w:rsidR="00410548">
        <w:rPr>
          <w:rFonts w:eastAsia="Calibri"/>
          <w:b/>
          <w:sz w:val="22"/>
        </w:rPr>
        <w:t>Consideraciones</w:t>
      </w:r>
    </w:p>
    <w:p w:rsidR="00CF5296" w:rsidP="000A29E2" w:rsidRDefault="00CF5296" w14:paraId="2A3C311F" w14:textId="77777777">
      <w:pPr>
        <w:pStyle w:val="Default"/>
        <w:spacing w:line="276" w:lineRule="auto"/>
        <w:ind w:firstLine="0"/>
        <w:rPr>
          <w:rFonts w:eastAsia="Calibri"/>
          <w:b/>
          <w:sz w:val="22"/>
        </w:rPr>
      </w:pPr>
    </w:p>
    <w:p w:rsidRPr="001E0B39" w:rsidR="003F2B0D" w:rsidP="000A29E2" w:rsidRDefault="003F2B0D" w14:paraId="288E18D7" w14:textId="5C6730F4">
      <w:pPr>
        <w:spacing w:after="120"/>
        <w:ind w:firstLine="0"/>
        <w:rPr>
          <w:rFonts w:ascii="Arial" w:hAnsi="Arial" w:cs="Arial"/>
          <w:sz w:val="22"/>
          <w:lang w:val="es-ES_tradnl"/>
        </w:rPr>
      </w:pPr>
      <w:r w:rsidRPr="001E0B39">
        <w:rPr>
          <w:rFonts w:ascii="Arial" w:hAnsi="Arial" w:cs="Arial"/>
          <w:sz w:val="22"/>
          <w:lang w:val="es-ES_tradnl"/>
        </w:rPr>
        <w:t xml:space="preserve">Para resolver esta consulta relacionada con los documentos tipo de licitación de obra pública de infraestructura de transporte – versión 3, en primer lugar, se explicará </w:t>
      </w:r>
      <w:r w:rsidR="003F75E7">
        <w:rPr>
          <w:rFonts w:ascii="Arial" w:hAnsi="Arial" w:cs="Arial"/>
          <w:sz w:val="22"/>
          <w:lang w:val="es-ES_tradnl"/>
        </w:rPr>
        <w:t xml:space="preserve">la naturaleza jurídica, la obligatoriedad y </w:t>
      </w:r>
      <w:r w:rsidRPr="00E045BE">
        <w:rPr>
          <w:rFonts w:ascii="Arial" w:hAnsi="Arial" w:eastAsia="Arial" w:cs="Arial"/>
          <w:color w:val="000000"/>
          <w:sz w:val="22"/>
          <w:lang w:val="es-ES_tradnl"/>
        </w:rPr>
        <w:t>el alcance de la regla de la inalterabilidad de los documentos tipo</w:t>
      </w:r>
      <w:r w:rsidRPr="001E0B39">
        <w:rPr>
          <w:rFonts w:ascii="Arial" w:hAnsi="Arial" w:cs="Arial"/>
          <w:sz w:val="22"/>
          <w:lang w:val="es-ES_tradnl"/>
        </w:rPr>
        <w:t>. En segundo lugar, se analizará</w:t>
      </w:r>
      <w:r w:rsidR="00564349">
        <w:rPr>
          <w:rFonts w:ascii="Arial" w:hAnsi="Arial" w:cs="Arial"/>
          <w:sz w:val="22"/>
          <w:lang w:val="es-ES_tradnl"/>
        </w:rPr>
        <w:t xml:space="preserve"> la experiencia como requisito habilitante y</w:t>
      </w:r>
      <w:r w:rsidRPr="001E0B39">
        <w:rPr>
          <w:rFonts w:ascii="Arial" w:hAnsi="Arial" w:cs="Arial"/>
          <w:sz w:val="22"/>
          <w:lang w:val="es-ES_tradnl"/>
        </w:rPr>
        <w:t xml:space="preserve"> el cambio realizado en los documentos tipo,</w:t>
      </w:r>
      <w:r w:rsidR="003F75E7">
        <w:rPr>
          <w:rFonts w:ascii="Arial" w:hAnsi="Arial" w:cs="Arial"/>
          <w:sz w:val="22"/>
          <w:lang w:val="es-ES_tradnl"/>
        </w:rPr>
        <w:t xml:space="preserve"> referente a</w:t>
      </w:r>
      <w:r w:rsidRPr="001E0B39">
        <w:rPr>
          <w:rFonts w:ascii="Arial" w:hAnsi="Arial" w:cs="Arial"/>
          <w:sz w:val="22"/>
          <w:lang w:val="es-ES_tradnl"/>
        </w:rPr>
        <w:t xml:space="preserve"> la acreditación de la experiencia por parte de los proponentes plurales,</w:t>
      </w:r>
      <w:r>
        <w:rPr>
          <w:rFonts w:ascii="Arial" w:hAnsi="Arial" w:cs="Arial"/>
          <w:sz w:val="22"/>
          <w:lang w:val="es-ES_tradnl"/>
        </w:rPr>
        <w:t xml:space="preserve"> específicamente, el literal D del numeral 3.5.3.</w:t>
      </w:r>
    </w:p>
    <w:p w:rsidR="00311D2A" w:rsidP="00311D2A" w:rsidRDefault="00EF59F3" w14:paraId="218FA7DA" w14:textId="69539B16">
      <w:pPr>
        <w:ind w:right="0" w:firstLine="708"/>
        <w:textAlignment w:val="baseline"/>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 xml:space="preserve">La Agencia Nacional de Contratación Pública </w:t>
      </w:r>
      <w:r w:rsidRPr="00EF59F3">
        <w:rPr>
          <w:rFonts w:ascii="Arial" w:hAnsi="Arial" w:eastAsia="Calibri" w:cs="Arial"/>
          <w:sz w:val="22"/>
          <w:szCs w:val="24"/>
          <w:lang w:val="es-CO" w:eastAsia="es-MX"/>
        </w:rPr>
        <w:t>–</w:t>
      </w:r>
      <w:r w:rsidRPr="00EF59F3">
        <w:rPr>
          <w:rFonts w:ascii="Arial" w:hAnsi="Arial" w:eastAsia="Times New Roman" w:cs="Arial"/>
          <w:sz w:val="22"/>
          <w:szCs w:val="24"/>
          <w:lang w:val="es-CO" w:eastAsia="es-MX"/>
        </w:rPr>
        <w:t xml:space="preserve"> Colombia Compra Eficiente</w:t>
      </w:r>
      <w:r w:rsidRPr="001E12E6" w:rsidR="001E12E6">
        <w:rPr>
          <w:rFonts w:ascii="Arial" w:hAnsi="Arial" w:eastAsia="Times New Roman" w:cs="Arial"/>
          <w:sz w:val="22"/>
          <w:szCs w:val="24"/>
          <w:lang w:val="es-CO" w:eastAsia="es-MX"/>
        </w:rPr>
        <w:t xml:space="preserve"> </w:t>
      </w:r>
      <w:r w:rsidRPr="00EF59F3" w:rsidR="001E12E6">
        <w:rPr>
          <w:rFonts w:ascii="Arial" w:hAnsi="Arial" w:eastAsia="Times New Roman" w:cs="Arial"/>
          <w:sz w:val="22"/>
          <w:szCs w:val="24"/>
          <w:lang w:val="es-CO" w:eastAsia="es-MX"/>
        </w:rPr>
        <w:t>se ha pronunciado en diferentes conceptos sobre la forma de establecer y acreditar la experiencia exigible en procesos de contratación adelantados con documentos tipo</w:t>
      </w:r>
      <w:r w:rsidR="001E12E6">
        <w:rPr>
          <w:rFonts w:ascii="Arial" w:hAnsi="Arial" w:eastAsia="Times New Roman" w:cs="Arial"/>
          <w:sz w:val="22"/>
          <w:szCs w:val="24"/>
          <w:lang w:val="es-CO" w:eastAsia="es-MX"/>
        </w:rPr>
        <w:t>, en los conceptos</w:t>
      </w:r>
      <w:r w:rsidRPr="00EF59F3">
        <w:rPr>
          <w:rFonts w:ascii="Arial" w:hAnsi="Arial" w:eastAsia="Times New Roman" w:cs="Arial"/>
          <w:sz w:val="22"/>
          <w:szCs w:val="24"/>
          <w:lang w:val="es-CO" w:eastAsia="es-MX"/>
        </w:rPr>
        <w:t xml:space="preserve">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y C-697 del 2 de diciembre de 2020</w:t>
      </w:r>
      <w:r w:rsidR="001E12E6">
        <w:rPr>
          <w:rFonts w:ascii="Arial" w:hAnsi="Arial" w:eastAsia="Times New Roman" w:cs="Arial"/>
          <w:sz w:val="22"/>
          <w:szCs w:val="24"/>
          <w:lang w:val="es-CO" w:eastAsia="es-MX"/>
        </w:rPr>
        <w:t xml:space="preserve"> </w:t>
      </w:r>
      <w:r w:rsidRPr="001E12E6" w:rsidR="001E12E6">
        <w:rPr>
          <w:rFonts w:ascii="Arial" w:hAnsi="Arial" w:eastAsia="Times New Roman" w:cs="Arial"/>
          <w:sz w:val="22"/>
          <w:szCs w:val="24"/>
          <w:lang w:val="es-ES_tradnl" w:eastAsia="es-MX"/>
        </w:rPr>
        <w:t xml:space="preserve">y sobre el literal D del numeral 3.5.3. del documento base de los pliegos tipo de infraestructura de transporte versión 3 en los Conceptos </w:t>
      </w:r>
      <w:r w:rsidR="00311D2A">
        <w:rPr>
          <w:rFonts w:ascii="Arial" w:hAnsi="Arial" w:eastAsia="Times New Roman" w:cs="Arial"/>
          <w:sz w:val="22"/>
          <w:szCs w:val="24"/>
          <w:lang w:val="es-ES_tradnl" w:eastAsia="es-MX"/>
        </w:rPr>
        <w:t>C-</w:t>
      </w:r>
      <w:r w:rsidRPr="001E12E6" w:rsidR="001E12E6">
        <w:rPr>
          <w:rFonts w:ascii="Arial" w:hAnsi="Arial" w:eastAsia="Times New Roman" w:cs="Arial"/>
          <w:sz w:val="22"/>
          <w:szCs w:val="24"/>
          <w:lang w:val="es-ES_tradnl" w:eastAsia="es-MX"/>
        </w:rPr>
        <w:t>018</w:t>
      </w:r>
      <w:r w:rsidR="00311D2A">
        <w:rPr>
          <w:rFonts w:ascii="Arial" w:hAnsi="Arial" w:eastAsia="Times New Roman" w:cs="Arial"/>
          <w:sz w:val="22"/>
          <w:szCs w:val="24"/>
          <w:lang w:val="es-ES_tradnl" w:eastAsia="es-MX"/>
        </w:rPr>
        <w:t xml:space="preserve"> del 23 de febrero de 2021,</w:t>
      </w:r>
      <w:r w:rsidRPr="001E12E6" w:rsidR="001E12E6">
        <w:rPr>
          <w:rFonts w:ascii="Arial" w:hAnsi="Arial" w:eastAsia="Times New Roman" w:cs="Arial"/>
          <w:sz w:val="22"/>
          <w:szCs w:val="24"/>
          <w:lang w:val="es-ES_tradnl" w:eastAsia="es-MX"/>
        </w:rPr>
        <w:t xml:space="preserve"> </w:t>
      </w:r>
      <w:r w:rsidR="00311D2A">
        <w:rPr>
          <w:rFonts w:ascii="Arial" w:hAnsi="Arial" w:eastAsia="Times New Roman" w:cs="Arial"/>
          <w:sz w:val="22"/>
          <w:szCs w:val="24"/>
          <w:lang w:val="es-ES_tradnl" w:eastAsia="es-MX"/>
        </w:rPr>
        <w:t>C-</w:t>
      </w:r>
      <w:r w:rsidRPr="001E12E6" w:rsidR="001E12E6">
        <w:rPr>
          <w:rFonts w:ascii="Arial" w:hAnsi="Arial" w:eastAsia="Times New Roman" w:cs="Arial"/>
          <w:sz w:val="22"/>
          <w:szCs w:val="24"/>
          <w:lang w:val="es-ES_tradnl" w:eastAsia="es-MX"/>
        </w:rPr>
        <w:t>042 de</w:t>
      </w:r>
      <w:r w:rsidR="00311D2A">
        <w:rPr>
          <w:rFonts w:ascii="Arial" w:hAnsi="Arial" w:eastAsia="Times New Roman" w:cs="Arial"/>
          <w:sz w:val="22"/>
          <w:szCs w:val="24"/>
          <w:lang w:val="es-ES_tradnl" w:eastAsia="es-MX"/>
        </w:rPr>
        <w:t>l 3 de marzo de</w:t>
      </w:r>
      <w:r w:rsidRPr="001E12E6" w:rsidR="001E12E6">
        <w:rPr>
          <w:rFonts w:ascii="Arial" w:hAnsi="Arial" w:eastAsia="Times New Roman" w:cs="Arial"/>
          <w:sz w:val="22"/>
          <w:szCs w:val="24"/>
          <w:lang w:val="es-ES_tradnl" w:eastAsia="es-MX"/>
        </w:rPr>
        <w:t xml:space="preserve"> 2021</w:t>
      </w:r>
      <w:r w:rsidR="00311D2A">
        <w:rPr>
          <w:rFonts w:ascii="Arial" w:hAnsi="Arial" w:eastAsia="Times New Roman" w:cs="Arial"/>
          <w:sz w:val="22"/>
          <w:szCs w:val="24"/>
          <w:lang w:val="es-ES_tradnl" w:eastAsia="es-MX"/>
        </w:rPr>
        <w:t>, C-153 y C-156 del 20 de abril de 2021.</w:t>
      </w:r>
      <w:r w:rsidRPr="00311D2A" w:rsidR="00311D2A">
        <w:rPr>
          <w:rFonts w:ascii="Arial" w:hAnsi="Arial" w:eastAsia="Calibri" w:cs="Arial"/>
          <w:sz w:val="22"/>
        </w:rPr>
        <w:t xml:space="preserve"> </w:t>
      </w:r>
      <w:r w:rsidRPr="00311D2A" w:rsidR="00311D2A">
        <w:rPr>
          <w:rFonts w:ascii="Arial" w:hAnsi="Arial" w:eastAsia="Times New Roman" w:cs="Arial"/>
          <w:sz w:val="22"/>
          <w:szCs w:val="24"/>
          <w:lang w:eastAsia="es-MX"/>
        </w:rPr>
        <w:t>Las tesis desarrolladas en estos conceptos se reiteran a continuación.</w:t>
      </w:r>
    </w:p>
    <w:p w:rsidRPr="00EF59F3" w:rsidR="00EF59F3" w:rsidP="00311D2A" w:rsidRDefault="00EF59F3" w14:paraId="553F46D3" w14:textId="46AF850F">
      <w:pPr>
        <w:ind w:right="0" w:firstLine="0"/>
        <w:textAlignment w:val="baseline"/>
        <w:rPr>
          <w:rFonts w:ascii="Arial" w:hAnsi="Arial" w:eastAsia="Times New Roman" w:cs="Arial"/>
          <w:sz w:val="22"/>
          <w:lang w:val="es-CO" w:eastAsia="es-MX"/>
        </w:rPr>
      </w:pPr>
    </w:p>
    <w:p w:rsidRPr="00EF59F3" w:rsidR="00EF59F3" w:rsidP="00EF59F3" w:rsidRDefault="00EF59F3" w14:paraId="778CFEC4" w14:textId="77777777">
      <w:pPr>
        <w:ind w:right="0" w:firstLine="0"/>
        <w:textAlignment w:val="baseline"/>
        <w:rPr>
          <w:rFonts w:ascii="Arial" w:hAnsi="Arial" w:eastAsia="Times New Roman" w:cs="Arial"/>
          <w:color w:val="201F1E"/>
          <w:sz w:val="22"/>
          <w:lang w:val="es-CO" w:eastAsia="es-MX"/>
        </w:rPr>
      </w:pPr>
      <w:r w:rsidRPr="00EF59F3">
        <w:rPr>
          <w:rFonts w:ascii="Arial" w:hAnsi="Arial" w:eastAsia="Times New Roman" w:cs="Arial"/>
          <w:b/>
          <w:bCs/>
          <w:sz w:val="22"/>
          <w:lang w:val="es-CO" w:eastAsia="es-MX"/>
        </w:rPr>
        <w:t xml:space="preserve">2.1. </w:t>
      </w:r>
      <w:r w:rsidRPr="00EF59F3">
        <w:rPr>
          <w:rFonts w:ascii="Arial" w:hAnsi="Arial" w:eastAsia="Times New Roman" w:cs="Arial"/>
          <w:b/>
          <w:bCs/>
          <w:color w:val="000000"/>
          <w:sz w:val="22"/>
          <w:bdr w:val="none" w:color="auto" w:sz="0" w:space="0" w:frame="1"/>
          <w:lang w:val="es-ES" w:eastAsia="es-MX"/>
        </w:rPr>
        <w:t>Naturaleza jurídica de los documentos tipo o pliegos tipo   </w:t>
      </w:r>
    </w:p>
    <w:p w:rsidRPr="00EF59F3" w:rsidR="00EF59F3" w:rsidP="00EF59F3" w:rsidRDefault="00EF59F3" w14:paraId="7716978A" w14:textId="77777777">
      <w:pPr>
        <w:ind w:right="0" w:firstLine="0"/>
        <w:rPr>
          <w:rFonts w:ascii="Arial" w:hAnsi="Arial" w:eastAsia="Times New Roman" w:cs="Arial"/>
          <w:sz w:val="22"/>
          <w:szCs w:val="24"/>
          <w:lang w:val="es-CO" w:eastAsia="es-MX"/>
        </w:rPr>
      </w:pPr>
    </w:p>
    <w:p w:rsidRPr="00EF59F3" w:rsidR="00EF59F3" w:rsidP="00EF59F3" w:rsidRDefault="00EF59F3" w14:paraId="38C09087" w14:textId="77777777">
      <w:pPr>
        <w:ind w:right="0" w:firstLine="0"/>
        <w:rPr>
          <w:rFonts w:ascii="Times New Roman" w:hAnsi="Times New Roman" w:eastAsia="Times New Roman" w:cs="Times New Roman"/>
          <w:color w:val="0D0D0D" w:themeColor="text1" w:themeTint="F2"/>
          <w:szCs w:val="24"/>
          <w:lang w:val="es-CO" w:eastAsia="es-MX"/>
        </w:rPr>
      </w:pPr>
      <w:bookmarkStart w:name="_Hlk40098008" w:id="3"/>
      <w:r w:rsidRPr="00EF59F3">
        <w:rPr>
          <w:rFonts w:ascii="Arial" w:hAnsi="Arial" w:eastAsia="Times New Roman" w:cs="Arial"/>
          <w:color w:val="0D0D0D" w:themeColor="text1" w:themeTint="F2"/>
          <w:sz w:val="22"/>
          <w:szCs w:val="24"/>
          <w:lang w:val="es-ES" w:eastAsia="es-MX"/>
        </w:rPr>
        <w:t>Los pliegos tipo aparecieron en nuestro ordenamiento jurídico en el 2007, cuando el legislador facultó al Gobierno Nacional para adoptarlos en la compra o suministro de bienes de características técnicas uniformes</w:t>
      </w:r>
      <w:r w:rsidRPr="00EF59F3">
        <w:rPr>
          <w:rFonts w:ascii="Arial" w:hAnsi="Arial" w:eastAsia="Times New Roman" w:cs="Arial"/>
          <w:color w:val="0D0D0D" w:themeColor="text1" w:themeTint="F2"/>
          <w:sz w:val="22"/>
          <w:szCs w:val="24"/>
          <w:vertAlign w:val="superscript"/>
          <w:lang w:val="es-ES" w:eastAsia="es-MX"/>
        </w:rPr>
        <w:footnoteReference w:id="2"/>
      </w:r>
      <w:r w:rsidRPr="00EF59F3">
        <w:rPr>
          <w:rFonts w:ascii="Arial" w:hAnsi="Arial" w:eastAsia="Times New Roman" w:cs="Arial"/>
          <w:color w:val="0D0D0D" w:themeColor="text1" w:themeTint="F2"/>
          <w:sz w:val="22"/>
          <w:szCs w:val="24"/>
          <w:lang w:val="es-ES" w:eastAsia="es-MX"/>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EF59F3">
        <w:rPr>
          <w:rFonts w:ascii="Arial" w:hAnsi="Arial" w:eastAsia="Times New Roman" w:cs="Arial"/>
          <w:color w:val="0D0D0D" w:themeColor="text1" w:themeTint="F2"/>
          <w:sz w:val="22"/>
          <w:szCs w:val="24"/>
          <w:vertAlign w:val="superscript"/>
          <w:lang w:val="es-ES" w:eastAsia="es-MX"/>
        </w:rPr>
        <w:footnoteReference w:id="3"/>
      </w:r>
      <w:r w:rsidRPr="00EF59F3">
        <w:rPr>
          <w:rFonts w:ascii="Arial" w:hAnsi="Arial" w:eastAsia="Times New Roman" w:cs="Arial"/>
          <w:color w:val="0D0D0D" w:themeColor="text1" w:themeTint="F2"/>
          <w:sz w:val="22"/>
          <w:szCs w:val="24"/>
          <w:lang w:val="es-ES" w:eastAsia="es-MX"/>
        </w:rPr>
        <w:t>.</w:t>
      </w:r>
    </w:p>
    <w:p w:rsidRPr="00EF59F3" w:rsidR="00EF59F3" w:rsidP="00EF59F3" w:rsidRDefault="00EF59F3" w14:paraId="4E756D93" w14:textId="77777777">
      <w:pPr>
        <w:spacing w:before="120"/>
        <w:ind w:right="0" w:firstLine="0"/>
        <w:rPr>
          <w:rFonts w:ascii="Arial" w:hAnsi="Arial" w:eastAsia="Times New Roman" w:cs="Arial"/>
          <w:color w:val="0D0D0D" w:themeColor="text1" w:themeTint="F2"/>
          <w:sz w:val="22"/>
          <w:szCs w:val="24"/>
          <w:lang w:val="es-ES" w:eastAsia="es-MX"/>
        </w:rPr>
      </w:pPr>
      <w:r w:rsidRPr="00EF59F3">
        <w:rPr>
          <w:rFonts w:ascii="Times New Roman" w:hAnsi="Times New Roman" w:eastAsia="Times New Roman" w:cs="Times New Roman"/>
          <w:color w:val="0D0D0D" w:themeColor="text1" w:themeTint="F2"/>
          <w:szCs w:val="24"/>
          <w:lang w:val="es-CO" w:eastAsia="es-MX"/>
        </w:rPr>
        <w:tab/>
      </w:r>
      <w:r w:rsidRPr="00EF59F3">
        <w:rPr>
          <w:rFonts w:ascii="Arial" w:hAnsi="Arial" w:eastAsia="Times New Roman" w:cs="Arial"/>
          <w:color w:val="0D0D0D" w:themeColor="text1" w:themeTint="F2"/>
          <w:sz w:val="22"/>
          <w:szCs w:val="24"/>
          <w:lang w:val="es-ES" w:eastAsia="es-MX"/>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EF59F3">
        <w:rPr>
          <w:rFonts w:ascii="Arial" w:hAnsi="Arial" w:eastAsia="Times New Roman" w:cs="Arial"/>
          <w:color w:val="0D0D0D" w:themeColor="text1" w:themeTint="F2"/>
          <w:sz w:val="22"/>
          <w:szCs w:val="24"/>
          <w:vertAlign w:val="superscript"/>
          <w:lang w:val="es-ES" w:eastAsia="es-MX"/>
        </w:rPr>
        <w:footnoteReference w:id="4"/>
      </w:r>
      <w:r w:rsidRPr="00EF59F3">
        <w:rPr>
          <w:rFonts w:ascii="Arial" w:hAnsi="Arial" w:eastAsia="Times New Roman" w:cs="Arial"/>
          <w:color w:val="0D0D0D" w:themeColor="text1" w:themeTint="F2"/>
          <w:sz w:val="22"/>
          <w:szCs w:val="24"/>
          <w:vertAlign w:val="superscript"/>
          <w:lang w:val="es-ES" w:eastAsia="es-MX"/>
        </w:rPr>
        <w:t>.</w:t>
      </w:r>
      <w:r w:rsidRPr="00EF59F3">
        <w:rPr>
          <w:rFonts w:ascii="Arial" w:hAnsi="Arial" w:eastAsia="Times New Roman" w:cs="Arial"/>
          <w:color w:val="0D0D0D" w:themeColor="text1" w:themeTint="F2"/>
          <w:sz w:val="22"/>
          <w:szCs w:val="24"/>
          <w:lang w:val="es-ES" w:eastAsia="es-MX"/>
        </w:rPr>
        <w:t>. Sin embargo, en el texto aprobado, los pliegos tipo se limitaron a la adquisición o suministro de bienes de características técnicas uniformes</w:t>
      </w:r>
      <w:r w:rsidRPr="00EF59F3">
        <w:rPr>
          <w:rFonts w:ascii="Arial" w:hAnsi="Arial" w:eastAsia="Times New Roman" w:cs="Arial"/>
          <w:color w:val="0D0D0D" w:themeColor="text1" w:themeTint="F2"/>
          <w:sz w:val="21"/>
          <w:szCs w:val="21"/>
          <w:vertAlign w:val="superscript"/>
          <w:lang w:val="es-ES" w:eastAsia="es-MX"/>
        </w:rPr>
        <w:footnoteReference w:id="5"/>
      </w:r>
      <w:r w:rsidRPr="00EF59F3">
        <w:rPr>
          <w:rFonts w:ascii="Arial" w:hAnsi="Arial" w:eastAsia="Times New Roman" w:cs="Arial"/>
          <w:color w:val="0D0D0D" w:themeColor="text1" w:themeTint="F2"/>
          <w:sz w:val="21"/>
          <w:szCs w:val="21"/>
          <w:lang w:val="es-ES" w:eastAsia="es-MX"/>
        </w:rPr>
        <w:t>.</w:t>
      </w:r>
      <w:bookmarkEnd w:id="3"/>
    </w:p>
    <w:p w:rsidRPr="00EF59F3" w:rsidR="00EF59F3" w:rsidP="00EF59F3" w:rsidRDefault="00EF59F3" w14:paraId="09F974C6" w14:textId="77777777">
      <w:pPr>
        <w:spacing w:before="120"/>
        <w:ind w:right="0" w:firstLine="709"/>
        <w:rPr>
          <w:rFonts w:ascii="Arial" w:hAnsi="Arial" w:eastAsia="Times New Roman" w:cs="Arial"/>
          <w:color w:val="0D0D0D" w:themeColor="text1" w:themeTint="F2"/>
          <w:sz w:val="22"/>
          <w:szCs w:val="24"/>
          <w:lang w:val="es-CO" w:eastAsia="es-MX"/>
        </w:rPr>
      </w:pPr>
      <w:r w:rsidRPr="00EF59F3">
        <w:rPr>
          <w:rFonts w:ascii="Arial" w:hAnsi="Arial" w:eastAsia="Times New Roman" w:cs="Arial"/>
          <w:color w:val="0D0D0D" w:themeColor="text1" w:themeTint="F2"/>
          <w:sz w:val="22"/>
          <w:szCs w:val="24"/>
          <w:lang w:val="es-CO" w:eastAsia="es-MX"/>
        </w:rPr>
        <w:t xml:space="preserve">Posteriormente, el artículo 2, parágrafo 7º, de la Ley 1150 de 2007, adicionado por el artículo 4 de la Ley 1882 de 2018, establece la obligatoriedad de la adopción de documentos tipo para algunos contratos, en los siguientes términos: </w:t>
      </w:r>
    </w:p>
    <w:p w:rsidRPr="00EF59F3" w:rsidR="00EF59F3" w:rsidP="00EF59F3" w:rsidRDefault="00EF59F3" w14:paraId="420197A3" w14:textId="77777777">
      <w:pPr>
        <w:spacing w:line="240" w:lineRule="auto"/>
        <w:ind w:right="0" w:firstLine="709"/>
        <w:rPr>
          <w:rFonts w:ascii="Arial" w:hAnsi="Arial" w:eastAsia="Times New Roman" w:cs="Arial"/>
          <w:color w:val="0D0D0D" w:themeColor="text1" w:themeTint="F2"/>
          <w:sz w:val="22"/>
          <w:szCs w:val="24"/>
          <w:lang w:val="es-CO" w:eastAsia="es-MX"/>
        </w:rPr>
      </w:pPr>
    </w:p>
    <w:p w:rsidRPr="00EF59F3" w:rsidR="00EF59F3" w:rsidP="00EF59F3" w:rsidRDefault="00EF59F3" w14:paraId="52231B89" w14:textId="77777777">
      <w:pPr>
        <w:spacing w:line="240" w:lineRule="auto"/>
        <w:ind w:left="709" w:right="709" w:firstLine="0"/>
        <w:rPr>
          <w:rFonts w:ascii="Arial" w:hAnsi="Arial" w:eastAsia="Times New Roman" w:cs="Arial"/>
          <w:color w:val="0D0D0D" w:themeColor="text1" w:themeTint="F2"/>
          <w:sz w:val="21"/>
          <w:szCs w:val="21"/>
          <w:lang w:val="es-CO" w:eastAsia="es-MX"/>
        </w:rPr>
      </w:pPr>
      <w:r w:rsidRPr="00EF59F3">
        <w:rPr>
          <w:rFonts w:ascii="Arial" w:hAnsi="Arial" w:eastAsia="Times New Roman" w:cs="Arial"/>
          <w:color w:val="0D0D0D" w:themeColor="text1" w:themeTint="F2"/>
          <w:sz w:val="21"/>
          <w:szCs w:val="21"/>
          <w:lang w:val="es-CO" w:eastAsia="es-MX"/>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F59F3">
        <w:rPr>
          <w:rFonts w:ascii="Arial" w:hAnsi="Arial" w:eastAsia="Times New Roman" w:cs="Arial"/>
          <w:i/>
          <w:iCs/>
          <w:color w:val="0D0D0D" w:themeColor="text1" w:themeTint="F2"/>
          <w:sz w:val="21"/>
          <w:szCs w:val="21"/>
          <w:lang w:val="es-CO" w:eastAsia="es-MX"/>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EF59F3">
        <w:rPr>
          <w:rFonts w:ascii="Arial" w:hAnsi="Arial" w:eastAsia="Times New Roman" w:cs="Arial"/>
          <w:color w:val="0D0D0D" w:themeColor="text1" w:themeTint="F2"/>
          <w:sz w:val="21"/>
          <w:szCs w:val="21"/>
          <w:lang w:val="es-CO" w:eastAsia="es-MX"/>
        </w:rPr>
        <w:t xml:space="preserve"> […] </w:t>
      </w:r>
      <w:r w:rsidRPr="00EF59F3">
        <w:rPr>
          <w:rFonts w:ascii="Arial" w:hAnsi="Arial" w:eastAsia="Times New Roman" w:cs="Arial"/>
          <w:i/>
          <w:iCs/>
          <w:color w:val="0D0D0D" w:themeColor="text1" w:themeTint="F2"/>
          <w:sz w:val="21"/>
          <w:szCs w:val="21"/>
          <w:lang w:val="es-CO" w:eastAsia="es-MX"/>
        </w:rPr>
        <w:t>teniendo en cuenta la naturaleza y cuantía de los contratos</w:t>
      </w:r>
      <w:r w:rsidRPr="00EF59F3">
        <w:rPr>
          <w:rFonts w:ascii="Arial" w:hAnsi="Arial" w:eastAsia="Times New Roman" w:cs="Arial"/>
          <w:color w:val="0D0D0D" w:themeColor="text1" w:themeTint="F2"/>
          <w:sz w:val="21"/>
          <w:szCs w:val="21"/>
          <w:lang w:val="es-CO" w:eastAsia="es-MX"/>
        </w:rPr>
        <w:t xml:space="preserve"> […]. (Énfasis fuera de texto)</w:t>
      </w:r>
    </w:p>
    <w:p w:rsidRPr="00EF59F3" w:rsidR="00EF59F3" w:rsidP="00EF59F3" w:rsidRDefault="00EF59F3" w14:paraId="27E43003" w14:textId="77777777">
      <w:pPr>
        <w:ind w:right="0" w:firstLine="0"/>
        <w:rPr>
          <w:rFonts w:ascii="Arial" w:hAnsi="Arial" w:eastAsia="Times New Roman" w:cs="Arial"/>
          <w:color w:val="0D0D0D" w:themeColor="text1" w:themeTint="F2"/>
          <w:sz w:val="22"/>
          <w:szCs w:val="24"/>
          <w:lang w:val="es-CO" w:eastAsia="es-MX"/>
        </w:rPr>
      </w:pPr>
    </w:p>
    <w:p w:rsidRPr="00EF59F3" w:rsidR="00EF59F3" w:rsidP="00EF59F3" w:rsidRDefault="00EF59F3" w14:paraId="7812A360" w14:textId="77777777">
      <w:pPr>
        <w:ind w:right="0" w:firstLine="708"/>
        <w:rPr>
          <w:rFonts w:ascii="Arial" w:hAnsi="Arial" w:eastAsia="Times New Roman" w:cs="Arial"/>
          <w:color w:val="0D0D0D" w:themeColor="text1" w:themeTint="F2"/>
          <w:sz w:val="22"/>
          <w:szCs w:val="24"/>
          <w:lang w:val="es-CO" w:eastAsia="es-MX"/>
        </w:rPr>
      </w:pPr>
      <w:r w:rsidRPr="00EF59F3">
        <w:rPr>
          <w:rFonts w:ascii="Arial" w:hAnsi="Arial" w:eastAsia="Times New Roman" w:cs="Arial"/>
          <w:color w:val="0D0D0D" w:themeColor="text1" w:themeTint="F2"/>
          <w:sz w:val="22"/>
          <w:szCs w:val="24"/>
          <w:lang w:val="es-CO" w:eastAsia="es-MX"/>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EF59F3">
        <w:rPr>
          <w:rFonts w:ascii="Arial" w:hAnsi="Arial" w:eastAsia="Times New Roman" w:cs="Arial"/>
          <w:color w:val="0D0D0D" w:themeColor="text1" w:themeTint="F2"/>
          <w:sz w:val="22"/>
          <w:szCs w:val="24"/>
          <w:lang w:val="es-CO" w:eastAsia="es-MX"/>
        </w:rPr>
        <w:t>ii</w:t>
      </w:r>
      <w:proofErr w:type="spellEnd"/>
      <w:r w:rsidRPr="00EF59F3">
        <w:rPr>
          <w:rFonts w:ascii="Arial" w:hAnsi="Arial" w:eastAsia="Times New Roman" w:cs="Arial"/>
          <w:color w:val="0D0D0D" w:themeColor="text1" w:themeTint="F2"/>
          <w:sz w:val="22"/>
          <w:szCs w:val="24"/>
          <w:lang w:val="es-CO" w:eastAsia="es-MX"/>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EF59F3">
        <w:rPr>
          <w:rFonts w:ascii="Arial" w:hAnsi="Arial" w:eastAsia="Times New Roman" w:cs="Arial"/>
          <w:color w:val="0D0D0D" w:themeColor="text1" w:themeTint="F2"/>
          <w:sz w:val="22"/>
          <w:szCs w:val="24"/>
          <w:lang w:val="es-CO" w:eastAsia="es-MX"/>
        </w:rPr>
        <w:t>iii</w:t>
      </w:r>
      <w:proofErr w:type="spellEnd"/>
      <w:r w:rsidRPr="00EF59F3">
        <w:rPr>
          <w:rFonts w:ascii="Arial" w:hAnsi="Arial" w:eastAsia="Times New Roman" w:cs="Arial"/>
          <w:color w:val="0D0D0D" w:themeColor="text1" w:themeTint="F2"/>
          <w:sz w:val="22"/>
          <w:szCs w:val="24"/>
          <w:lang w:val="es-CO" w:eastAsia="es-MX"/>
        </w:rPr>
        <w:t xml:space="preserve">) la implementación de procesos de capacitación en los municipios para la utilización de los documentos tipo buscando el desarrollo de la economía local; y </w:t>
      </w:r>
      <w:proofErr w:type="spellStart"/>
      <w:r w:rsidRPr="00EF59F3">
        <w:rPr>
          <w:rFonts w:ascii="Arial" w:hAnsi="Arial" w:eastAsia="Times New Roman" w:cs="Arial"/>
          <w:color w:val="0D0D0D" w:themeColor="text1" w:themeTint="F2"/>
          <w:sz w:val="22"/>
          <w:szCs w:val="24"/>
          <w:lang w:val="es-CO" w:eastAsia="es-MX"/>
        </w:rPr>
        <w:t>iv</w:t>
      </w:r>
      <w:proofErr w:type="spellEnd"/>
      <w:r w:rsidRPr="00EF59F3">
        <w:rPr>
          <w:rFonts w:ascii="Arial" w:hAnsi="Arial" w:eastAsia="Times New Roman" w:cs="Arial"/>
          <w:color w:val="0D0D0D" w:themeColor="text1" w:themeTint="F2"/>
          <w:sz w:val="22"/>
          <w:szCs w:val="24"/>
          <w:lang w:val="es-CO" w:eastAsia="es-MX"/>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EF59F3">
        <w:rPr>
          <w:rFonts w:ascii="Arial" w:hAnsi="Arial" w:eastAsia="Times New Roman" w:cs="Arial"/>
          <w:color w:val="0D0D0D" w:themeColor="text1" w:themeTint="F2"/>
          <w:sz w:val="22"/>
          <w:szCs w:val="24"/>
          <w:vertAlign w:val="superscript"/>
          <w:lang w:val="es-CO" w:eastAsia="es-MX"/>
        </w:rPr>
        <w:footnoteReference w:id="6"/>
      </w:r>
      <w:r w:rsidRPr="00EF59F3">
        <w:rPr>
          <w:rFonts w:ascii="Arial" w:hAnsi="Arial" w:eastAsia="Times New Roman" w:cs="Arial"/>
          <w:color w:val="0D0D0D" w:themeColor="text1" w:themeTint="F2"/>
          <w:sz w:val="22"/>
          <w:szCs w:val="24"/>
          <w:lang w:val="es-CO" w:eastAsia="es-MX"/>
        </w:rPr>
        <w:t xml:space="preserve">. </w:t>
      </w:r>
    </w:p>
    <w:p w:rsidRPr="00EF59F3" w:rsidR="00EF59F3" w:rsidP="00EF59F3" w:rsidRDefault="00EF59F3" w14:paraId="7E12943B" w14:textId="477193B4">
      <w:pPr>
        <w:spacing w:before="120" w:after="120"/>
        <w:ind w:right="0" w:firstLine="703"/>
        <w:rPr>
          <w:rFonts w:ascii="Arial" w:hAnsi="Arial" w:eastAsia="Times New Roman" w:cs="Arial"/>
          <w:color w:val="000000"/>
          <w:sz w:val="22"/>
          <w:bdr w:val="none" w:color="auto" w:sz="0" w:space="0" w:frame="1"/>
          <w:lang w:val="es-ES" w:eastAsia="es-MX"/>
        </w:rPr>
      </w:pPr>
      <w:r w:rsidRPr="00EF59F3">
        <w:rPr>
          <w:rFonts w:ascii="Arial" w:hAnsi="Arial" w:eastAsia="Times New Roman" w:cs="Arial"/>
          <w:sz w:val="22"/>
          <w:szCs w:val="24"/>
          <w:lang w:val="es-CO" w:eastAsia="es-MX"/>
        </w:rPr>
        <w:t xml:space="preserve">Dicha ley, publicada el 22 de julio de 2020, entró a regir a partir de su publicación y permite que esta Agencia implemente documentos tipo para diferentes objetos contractuales, conforme indiquen los cronogramas que se definan en coordinación con las diferentes entidades técnicas y especializadas para implementar de manera gradual los documentos tipo, con el fin de incorporarlos al sistema de compra pública. Dicha Ley también establece </w:t>
      </w:r>
      <w:r w:rsidRPr="00EF59F3">
        <w:rPr>
          <w:rFonts w:ascii="Arial" w:hAnsi="Arial" w:eastAsia="Times New Roman" w:cs="Arial"/>
          <w:color w:val="000000"/>
          <w:sz w:val="22"/>
          <w:bdr w:val="none" w:color="auto" w:sz="0" w:space="0" w:frame="1"/>
          <w:lang w:val="es-ES" w:eastAsia="es-MX"/>
        </w:rPr>
        <w:t xml:space="preserve">la obligatoriedad de que todas las entidades que se encuentren sometidas al Estatuto General de Contratación de la Administración Pública deban cumplir con los documentos tipos </w:t>
      </w:r>
      <w:r w:rsidR="00F40DC9">
        <w:rPr>
          <w:rFonts w:ascii="Arial" w:hAnsi="Arial" w:eastAsia="Times New Roman" w:cs="Arial"/>
          <w:color w:val="000000"/>
          <w:sz w:val="22"/>
          <w:bdr w:val="none" w:color="auto" w:sz="0" w:space="0" w:frame="1"/>
          <w:lang w:val="es-ES" w:eastAsia="es-MX"/>
        </w:rPr>
        <w:t>elabor</w:t>
      </w:r>
      <w:r w:rsidRPr="00EF59F3">
        <w:rPr>
          <w:rFonts w:ascii="Arial" w:hAnsi="Arial" w:eastAsia="Times New Roman" w:cs="Arial"/>
          <w:color w:val="000000"/>
          <w:sz w:val="22"/>
          <w:bdr w:val="none" w:color="auto" w:sz="0" w:space="0" w:frame="1"/>
          <w:lang w:val="es-ES" w:eastAsia="es-MX"/>
        </w:rPr>
        <w:t>ados por esta Agencia, con la finalidad de estandarizar los procesos de contratación que realiza cada entidad.</w:t>
      </w:r>
    </w:p>
    <w:p w:rsidRPr="00EF59F3" w:rsidR="00EF59F3" w:rsidP="00EF59F3" w:rsidRDefault="00EF59F3" w14:paraId="29CD8D1A" w14:textId="6B3C2BC4">
      <w:pPr>
        <w:ind w:right="0" w:firstLine="703"/>
        <w:rPr>
          <w:rFonts w:ascii="Arial" w:hAnsi="Arial" w:eastAsia="Times New Roman" w:cs="Arial"/>
          <w:sz w:val="22"/>
          <w:szCs w:val="24"/>
          <w:lang w:val="es-CO" w:eastAsia="es-MX"/>
        </w:rPr>
      </w:pPr>
      <w:r w:rsidRPr="00EF59F3">
        <w:rPr>
          <w:rFonts w:ascii="Arial" w:hAnsi="Arial" w:eastAsia="Times New Roman" w:cs="Arial"/>
          <w:color w:val="000000"/>
          <w:sz w:val="22"/>
          <w:bdr w:val="none" w:color="auto" w:sz="0" w:space="0" w:frame="1"/>
          <w:lang w:val="es-ES" w:eastAsia="es-MX"/>
        </w:rPr>
        <w:t>Tal como lo referencia en su consulta, dentro de los parámetros y reglas contenidos en la versión 3 de los documentos tipo para el sector de infraestructura de transporte, expedidos por la Agencia, se encuentran previsiones relativas a las condiciones de validez de la experiencia que se pretende hacer valer en el procedimiento de selección. Dentro de ellas, a su vez, existen reglas en relación con requisitos particulares de experiencia en caso de proponentes plurales, las cuales se analizan a continuación</w:t>
      </w:r>
      <w:r w:rsidR="00CF5296">
        <w:rPr>
          <w:rFonts w:ascii="Arial" w:hAnsi="Arial" w:eastAsia="Times New Roman" w:cs="Arial"/>
          <w:color w:val="000000"/>
          <w:sz w:val="22"/>
          <w:bdr w:val="none" w:color="auto" w:sz="0" w:space="0" w:frame="1"/>
          <w:lang w:val="es-ES" w:eastAsia="es-MX"/>
        </w:rPr>
        <w:t>, previo a reiterar la regla de la inalterabilidad de los documentos tipo.</w:t>
      </w:r>
      <w:r w:rsidRPr="00EF59F3">
        <w:rPr>
          <w:rFonts w:ascii="Arial" w:hAnsi="Arial" w:eastAsia="Times New Roman" w:cs="Arial"/>
          <w:color w:val="000000"/>
          <w:sz w:val="22"/>
          <w:bdr w:val="none" w:color="auto" w:sz="0" w:space="0" w:frame="1"/>
          <w:lang w:val="es-ES" w:eastAsia="es-MX"/>
        </w:rPr>
        <w:t xml:space="preserve"> </w:t>
      </w:r>
    </w:p>
    <w:p w:rsidR="00311D2A" w:rsidP="00311D2A" w:rsidRDefault="00311D2A" w14:paraId="572DD667" w14:textId="77777777">
      <w:pPr>
        <w:ind w:firstLine="0"/>
        <w:rPr>
          <w:rFonts w:ascii="Arial" w:hAnsi="Arial" w:eastAsia="Times New Roman" w:cs="Arial"/>
          <w:color w:val="201F1E"/>
          <w:sz w:val="22"/>
          <w:lang w:val="es-CO" w:eastAsia="es-MX"/>
        </w:rPr>
      </w:pPr>
    </w:p>
    <w:p w:rsidR="00311D2A" w:rsidP="00311D2A" w:rsidRDefault="00EF59F3" w14:paraId="594805F6" w14:textId="6D275E4D">
      <w:pPr>
        <w:ind w:firstLine="0"/>
        <w:rPr>
          <w:rFonts w:ascii="Arial" w:hAnsi="Arial" w:eastAsia="Times New Roman" w:cs="Arial"/>
          <w:b/>
          <w:bCs/>
          <w:color w:val="000000"/>
          <w:sz w:val="22"/>
          <w:bdr w:val="none" w:color="auto" w:sz="0" w:space="0" w:frame="1"/>
          <w:lang w:val="es-ES" w:eastAsia="es-MX"/>
        </w:rPr>
      </w:pPr>
      <w:r w:rsidRPr="00EF59F3">
        <w:rPr>
          <w:rFonts w:ascii="Arial" w:hAnsi="Arial" w:eastAsia="Times New Roman" w:cs="Arial"/>
          <w:b/>
          <w:bCs/>
          <w:color w:val="000000"/>
          <w:sz w:val="22"/>
          <w:bdr w:val="none" w:color="auto" w:sz="0" w:space="0" w:frame="1"/>
          <w:lang w:val="es-ES" w:eastAsia="es-MX"/>
        </w:rPr>
        <w:t xml:space="preserve">2.2. </w:t>
      </w:r>
      <w:r w:rsidRPr="00311D2A" w:rsidR="00311D2A">
        <w:rPr>
          <w:rFonts w:ascii="Arial" w:hAnsi="Arial" w:eastAsia="Times New Roman" w:cs="Arial"/>
          <w:b/>
          <w:bCs/>
          <w:color w:val="000000"/>
          <w:sz w:val="22"/>
          <w:bdr w:val="none" w:color="auto" w:sz="0" w:space="0" w:frame="1"/>
          <w:lang w:val="es-ES_tradnl" w:eastAsia="es-MX"/>
        </w:rPr>
        <w:t>Alcance de la regla de la inalterabilidad de los documentos tipo</w:t>
      </w:r>
    </w:p>
    <w:p w:rsidR="00311D2A" w:rsidP="00311D2A" w:rsidRDefault="00311D2A" w14:paraId="5FDB5048" w14:textId="77777777">
      <w:pPr>
        <w:ind w:firstLine="0"/>
        <w:rPr>
          <w:rFonts w:ascii="Arial" w:hAnsi="Arial" w:eastAsia="Times New Roman" w:cs="Arial"/>
          <w:b/>
          <w:bCs/>
          <w:color w:val="000000"/>
          <w:sz w:val="22"/>
          <w:bdr w:val="none" w:color="auto" w:sz="0" w:space="0" w:frame="1"/>
          <w:lang w:val="es-ES" w:eastAsia="es-MX"/>
        </w:rPr>
      </w:pPr>
    </w:p>
    <w:p w:rsidRPr="00311D2A" w:rsidR="00311D2A" w:rsidP="00311D2A" w:rsidRDefault="00311D2A" w14:paraId="408C5ABA" w14:textId="3B1997A4">
      <w:pPr>
        <w:ind w:firstLine="0"/>
        <w:rPr>
          <w:rFonts w:ascii="Arial" w:hAnsi="Arial" w:eastAsia="Calibri" w:cs="Arial"/>
          <w:sz w:val="22"/>
          <w:shd w:val="clear" w:color="auto" w:fill="FFFFFF"/>
          <w:lang w:val="es-ES_tradnl"/>
        </w:rPr>
      </w:pPr>
      <w:r w:rsidRPr="00311D2A">
        <w:rPr>
          <w:rFonts w:ascii="Arial" w:hAnsi="Arial" w:eastAsia="Calibri" w:cs="Arial"/>
          <w:sz w:val="22"/>
          <w:shd w:val="clear" w:color="auto" w:fill="FFFFFF"/>
          <w:lang w:val="es-ES_tradnl"/>
        </w:rPr>
        <w:t>Todas las resoluciones expedidas por la Agencia Nacional de Contratación Pública – Colombia Compra Eficiente, mediante las cuales se han adoptado los documentos tipo, consagran la regla de la inalterabilidad</w:t>
      </w:r>
      <w:r w:rsidRPr="00311D2A">
        <w:rPr>
          <w:rFonts w:ascii="Arial" w:hAnsi="Arial" w:eastAsia="Calibri" w:cs="Arial"/>
          <w:sz w:val="22"/>
          <w:shd w:val="clear" w:color="auto" w:fill="FFFFFF"/>
          <w:vertAlign w:val="superscript"/>
          <w:lang w:val="es-ES_tradnl"/>
        </w:rPr>
        <w:footnoteReference w:id="7"/>
      </w:r>
      <w:r w:rsidRPr="00311D2A">
        <w:rPr>
          <w:rFonts w:ascii="Arial" w:hAnsi="Arial" w:eastAsia="Calibri" w:cs="Arial"/>
          <w:sz w:val="22"/>
          <w:shd w:val="clear" w:color="auto" w:fill="FFFFFF"/>
          <w:lang w:val="es-ES_tradnl"/>
        </w:rPr>
        <w:t xml:space="preserve">. Esta prohibición consiste en que las entidades estatales no pueden incluir o modificar en los </w:t>
      </w:r>
      <w:r w:rsidRPr="00311D2A">
        <w:rPr>
          <w:rFonts w:ascii="Arial" w:hAnsi="Arial" w:eastAsia="Calibri" w:cs="Arial"/>
          <w:i/>
          <w:iCs/>
          <w:sz w:val="22"/>
          <w:shd w:val="clear" w:color="auto" w:fill="FFFFFF"/>
          <w:lang w:val="es-ES_tradnl"/>
        </w:rPr>
        <w:t>Documentos del Proceso</w:t>
      </w:r>
      <w:r w:rsidRPr="00311D2A">
        <w:rPr>
          <w:rFonts w:ascii="Arial" w:hAnsi="Arial" w:eastAsia="Calibri"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311D2A" w:rsidR="00311D2A" w:rsidP="000A29E2" w:rsidRDefault="00311D2A" w14:paraId="63817B38" w14:textId="77777777">
      <w:pPr>
        <w:spacing w:before="120" w:after="120"/>
        <w:ind w:right="0" w:firstLine="709"/>
        <w:rPr>
          <w:rFonts w:ascii="Arial" w:hAnsi="Arial" w:eastAsia="Calibri" w:cs="Arial"/>
          <w:sz w:val="22"/>
          <w:shd w:val="clear" w:color="auto" w:fill="FFFFFF"/>
          <w:lang w:val="es-ES_tradnl"/>
        </w:rPr>
      </w:pPr>
      <w:r w:rsidRPr="00311D2A">
        <w:rPr>
          <w:rFonts w:ascii="Arial" w:hAnsi="Arial" w:eastAsia="Calibri" w:cs="Arial"/>
          <w:sz w:val="22"/>
          <w:shd w:val="clear" w:color="auto" w:fill="FFFFFF"/>
          <w:lang w:val="es-ES_tradnl"/>
        </w:rPr>
        <w:t>El fundamento legal vigente de la regla de la inalterabilidad se encuentra en el artículo 1 de la Ley 2022 de 2020, según el cual «</w:t>
      </w:r>
      <w:r w:rsidRPr="00311D2A">
        <w:rPr>
          <w:rFonts w:ascii="Arial" w:hAnsi="Arial" w:eastAsia="Calibri" w:cs="Arial"/>
          <w:sz w:val="22"/>
          <w:lang w:val="es-ES_tradnl"/>
        </w:rPr>
        <w:t xml:space="preserve">[…] </w:t>
      </w:r>
      <w:r w:rsidRPr="00311D2A">
        <w:rPr>
          <w:rFonts w:ascii="Arial" w:hAnsi="Arial" w:eastAsia="Calibri" w:cs="Arial"/>
          <w:sz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rsidR="00311D2A" w:rsidP="000A29E2" w:rsidRDefault="006D05CF" w14:paraId="7F8F7B9D" w14:textId="7E67F410">
      <w:pPr>
        <w:ind w:right="0" w:firstLine="708"/>
        <w:rPr>
          <w:rFonts w:ascii="Arial" w:hAnsi="Arial" w:eastAsia="Times New Roman" w:cs="Arial"/>
          <w:b/>
          <w:bCs/>
          <w:color w:val="000000"/>
          <w:sz w:val="22"/>
          <w:bdr w:val="none" w:color="auto" w:sz="0" w:space="0" w:frame="1"/>
          <w:lang w:val="es-ES" w:eastAsia="es-MX"/>
        </w:rPr>
      </w:pPr>
      <w:r>
        <w:rPr>
          <w:rFonts w:ascii="Arial" w:hAnsi="Arial" w:eastAsia="Calibri" w:cs="Arial"/>
          <w:sz w:val="22"/>
          <w:shd w:val="clear" w:color="auto" w:fill="FFFFFF"/>
          <w:lang w:val="es-ES_tradnl"/>
        </w:rPr>
        <w:t>Por tanto</w:t>
      </w:r>
      <w:r w:rsidRPr="00311D2A" w:rsidR="00311D2A">
        <w:rPr>
          <w:rFonts w:ascii="Arial" w:hAnsi="Arial" w:eastAsia="Calibri" w:cs="Arial"/>
          <w:sz w:val="22"/>
          <w:shd w:val="clear" w:color="auto" w:fill="FFFFFF"/>
          <w:lang w:val="es-ES_tradnl"/>
        </w:rPr>
        <w:t>, no cabe duda de que está vigente la regla de la inalterabilidad de los documentos tipo. Lo anterior por cuanto las diferentes disposiciones normativas que se han expedido ratifican esta regla, como ha sucedido con el artículo 1 de la Ley 2022 de 2020 y con las resoluciones expedidas por la Agencia Nacional de Contratación Pública – Colombia Compra Eficiente</w:t>
      </w:r>
      <w:r w:rsidR="008D4450">
        <w:rPr>
          <w:rFonts w:ascii="Arial" w:hAnsi="Arial" w:eastAsia="Calibri" w:cs="Arial"/>
          <w:sz w:val="22"/>
          <w:shd w:val="clear" w:color="auto" w:fill="FFFFFF"/>
          <w:lang w:val="es-ES_tradnl"/>
        </w:rPr>
        <w:t>.</w:t>
      </w:r>
    </w:p>
    <w:p w:rsidR="00311D2A" w:rsidP="00EF59F3" w:rsidRDefault="00311D2A" w14:paraId="3DD0146D" w14:textId="77777777">
      <w:pPr>
        <w:ind w:right="0" w:firstLine="0"/>
        <w:rPr>
          <w:rFonts w:ascii="Arial" w:hAnsi="Arial" w:eastAsia="Times New Roman" w:cs="Arial"/>
          <w:b/>
          <w:bCs/>
          <w:color w:val="000000"/>
          <w:sz w:val="22"/>
          <w:bdr w:val="none" w:color="auto" w:sz="0" w:space="0" w:frame="1"/>
          <w:lang w:val="es-ES" w:eastAsia="es-MX"/>
        </w:rPr>
      </w:pPr>
    </w:p>
    <w:p w:rsidRPr="00EF59F3" w:rsidR="00EF59F3" w:rsidP="00EF59F3" w:rsidRDefault="00564349" w14:paraId="306EB7F0" w14:textId="249CD244">
      <w:pPr>
        <w:ind w:right="0" w:firstLine="0"/>
        <w:rPr>
          <w:rFonts w:ascii="Arial" w:hAnsi="Arial" w:eastAsia="Times New Roman" w:cs="Arial"/>
          <w:b/>
          <w:bCs/>
          <w:color w:val="000000"/>
          <w:sz w:val="22"/>
          <w:bdr w:val="none" w:color="auto" w:sz="0" w:space="0" w:frame="1"/>
          <w:lang w:val="es-ES" w:eastAsia="es-MX"/>
        </w:rPr>
      </w:pPr>
      <w:r>
        <w:rPr>
          <w:rFonts w:ascii="Arial" w:hAnsi="Arial" w:eastAsia="Times New Roman" w:cs="Arial"/>
          <w:b/>
          <w:bCs/>
          <w:color w:val="000000"/>
          <w:sz w:val="22"/>
          <w:bdr w:val="none" w:color="auto" w:sz="0" w:space="0" w:frame="1"/>
          <w:lang w:val="es-ES" w:eastAsia="es-MX"/>
        </w:rPr>
        <w:t xml:space="preserve">2.3 </w:t>
      </w:r>
      <w:r w:rsidRPr="00EF59F3" w:rsidR="00EF59F3">
        <w:rPr>
          <w:rFonts w:ascii="Arial" w:hAnsi="Arial" w:eastAsia="Times New Roman" w:cs="Arial"/>
          <w:b/>
          <w:bCs/>
          <w:color w:val="000000"/>
          <w:sz w:val="22"/>
          <w:bdr w:val="none" w:color="auto" w:sz="0" w:space="0" w:frame="1"/>
          <w:lang w:val="es-ES" w:eastAsia="es-MX"/>
        </w:rPr>
        <w:t>Experiencia como requisito habilitante en los procesos de contratación estatal </w:t>
      </w:r>
    </w:p>
    <w:p w:rsidRPr="00EF59F3" w:rsidR="00EF59F3" w:rsidP="00EF59F3" w:rsidRDefault="00EF59F3" w14:paraId="22934057" w14:textId="77777777">
      <w:pPr>
        <w:ind w:right="0" w:firstLine="0"/>
        <w:rPr>
          <w:rFonts w:ascii="Arial" w:hAnsi="Arial" w:eastAsia="Times New Roman" w:cs="Arial"/>
          <w:b/>
          <w:bCs/>
          <w:color w:val="000000"/>
          <w:sz w:val="22"/>
          <w:bdr w:val="none" w:color="auto" w:sz="0" w:space="0" w:frame="1"/>
          <w:lang w:val="es-ES" w:eastAsia="es-MX"/>
        </w:rPr>
      </w:pPr>
    </w:p>
    <w:p w:rsidRPr="00EF59F3" w:rsidR="00EF59F3" w:rsidP="00EF59F3" w:rsidRDefault="00EF59F3" w14:paraId="06180E65" w14:textId="77777777">
      <w:pPr>
        <w:spacing w:after="120"/>
        <w:ind w:right="0" w:firstLine="0"/>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rsidRPr="00EF59F3" w:rsidR="00EF59F3" w:rsidP="00EF59F3" w:rsidRDefault="00EF59F3" w14:paraId="63ECE26D"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rsidRPr="00EF59F3" w:rsidR="00EF59F3" w:rsidP="00EF59F3" w:rsidRDefault="00EF59F3" w14:paraId="11B7501C"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EF59F3">
        <w:rPr>
          <w:rFonts w:ascii="Arial" w:hAnsi="Arial" w:eastAsia="Times New Roman" w:cs="Arial"/>
          <w:sz w:val="22"/>
          <w:szCs w:val="24"/>
          <w:vertAlign w:val="superscript"/>
          <w:lang w:val="es-CO" w:eastAsia="es-MX"/>
        </w:rPr>
        <w:footnoteReference w:id="8"/>
      </w:r>
      <w:r w:rsidRPr="00EF59F3">
        <w:rPr>
          <w:rFonts w:ascii="Arial" w:hAnsi="Arial" w:eastAsia="Times New Roman" w:cs="Arial"/>
          <w:sz w:val="22"/>
          <w:szCs w:val="24"/>
          <w:lang w:val="es-CO" w:eastAsia="es-MX"/>
        </w:rPr>
        <w:t xml:space="preserve">.  </w:t>
      </w:r>
    </w:p>
    <w:p w:rsidRPr="00EF59F3" w:rsidR="00EF59F3" w:rsidP="00EF59F3" w:rsidRDefault="00EF59F3" w14:paraId="4088F3DA"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El numeral 2.5</w:t>
      </w:r>
      <w:r w:rsidRPr="00EF59F3">
        <w:rPr>
          <w:rFonts w:ascii="Arial" w:hAnsi="Arial" w:eastAsia="Times New Roman" w:cs="Arial"/>
          <w:sz w:val="22"/>
          <w:szCs w:val="24"/>
          <w:vertAlign w:val="superscript"/>
          <w:lang w:val="es-CO" w:eastAsia="es-MX"/>
        </w:rPr>
        <w:footnoteReference w:id="9"/>
      </w:r>
      <w:r w:rsidRPr="00EF59F3">
        <w:rPr>
          <w:rFonts w:ascii="Arial" w:hAnsi="Arial" w:eastAsia="Times New Roman" w:cs="Arial"/>
          <w:sz w:val="22"/>
          <w:szCs w:val="24"/>
          <w:lang w:val="es-CO" w:eastAsia="es-MX"/>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rsidRPr="00EF59F3" w:rsidR="00EF59F3" w:rsidP="00EF59F3" w:rsidRDefault="00EF59F3" w14:paraId="60FFB614"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Por ello,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rsidRPr="00EF59F3" w:rsidR="00EF59F3" w:rsidP="00EF59F3" w:rsidRDefault="00EF59F3" w14:paraId="4CF90CD5"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EF59F3">
        <w:rPr>
          <w:rFonts w:ascii="Arial" w:hAnsi="Arial" w:eastAsia="Calibri" w:cs="Arial"/>
          <w:sz w:val="22"/>
          <w:szCs w:val="24"/>
          <w:lang w:val="es-CO" w:eastAsia="es-MX"/>
        </w:rPr>
        <w:t>─</w:t>
      </w:r>
      <w:r w:rsidRPr="00EF59F3">
        <w:rPr>
          <w:rFonts w:ascii="Arial" w:hAnsi="Arial" w:eastAsia="Times New Roman" w:cs="Arial"/>
          <w:sz w:val="22"/>
          <w:szCs w:val="24"/>
          <w:lang w:val="es-CO" w:eastAsia="es-MX"/>
        </w:rPr>
        <w:t>con menos de 3 años de constitución</w:t>
      </w:r>
      <w:r w:rsidRPr="00EF59F3">
        <w:rPr>
          <w:rFonts w:ascii="Arial" w:hAnsi="Arial" w:eastAsia="Calibri" w:cs="Arial"/>
          <w:sz w:val="22"/>
          <w:szCs w:val="24"/>
          <w:lang w:val="es-CO" w:eastAsia="es-MX"/>
        </w:rPr>
        <w:t>─</w:t>
      </w:r>
      <w:r w:rsidRPr="00EF59F3">
        <w:rPr>
          <w:rFonts w:ascii="Arial" w:hAnsi="Arial" w:eastAsia="Times New Roman" w:cs="Arial"/>
          <w:sz w:val="22"/>
          <w:szCs w:val="24"/>
          <w:lang w:val="es-CO" w:eastAsia="es-MX"/>
        </w:rPr>
        <w:t xml:space="preserve"> puedan acreditar como experiencia en el RUP la de sus accionistas, socios o constituyentes. </w:t>
      </w:r>
    </w:p>
    <w:p w:rsidRPr="00EF59F3" w:rsidR="00EF59F3" w:rsidP="00EF59F3" w:rsidRDefault="00EF59F3" w14:paraId="096E32FB"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EF59F3" w:rsidR="00EF59F3" w:rsidP="00EF59F3" w:rsidRDefault="00EF59F3" w14:paraId="63A6745D" w14:textId="77777777">
      <w:pPr>
        <w:spacing w:before="120" w:after="120"/>
        <w:ind w:right="0" w:firstLine="708"/>
        <w:rPr>
          <w:rFonts w:ascii="Arial" w:hAnsi="Arial" w:eastAsia="Times New Roman" w:cs="Arial"/>
          <w:sz w:val="22"/>
          <w:szCs w:val="24"/>
          <w:lang w:val="es-CO" w:eastAsia="es-MX"/>
        </w:rPr>
      </w:pPr>
      <w:r w:rsidRPr="00EF59F3">
        <w:rPr>
          <w:rFonts w:ascii="Arial" w:hAnsi="Arial" w:eastAsia="Times New Roman" w:cs="Arial"/>
          <w:sz w:val="22"/>
          <w:szCs w:val="24"/>
          <w:lang w:val="es-CO" w:eastAsia="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EF59F3" w:rsidR="00EF59F3" w:rsidP="00EF59F3" w:rsidRDefault="00EF59F3" w14:paraId="03CB01EF" w14:textId="77777777">
      <w:pPr>
        <w:ind w:right="0" w:firstLine="708"/>
        <w:rPr>
          <w:rFonts w:ascii="Arial" w:hAnsi="Arial" w:eastAsia="Times New Roman" w:cs="Arial"/>
          <w:color w:val="201F1E"/>
          <w:sz w:val="22"/>
          <w:lang w:val="es-CO" w:eastAsia="es-MX"/>
        </w:rPr>
      </w:pPr>
      <w:r w:rsidRPr="00EF59F3">
        <w:rPr>
          <w:rFonts w:ascii="Arial" w:hAnsi="Arial" w:eastAsia="Times New Roman" w:cs="Arial"/>
          <w:color w:val="000000"/>
          <w:sz w:val="22"/>
          <w:bdr w:val="none" w:color="auto" w:sz="0" w:space="0" w:frame="1"/>
          <w:lang w:val="es-CO" w:eastAsia="es-MX"/>
        </w:rPr>
        <w:t>La Agencia Nacional de Contratación Pública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Colombia Compra Eficiente puso a disposición de los interesados del</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sistema de</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compra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pública el</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manual para determinar y verificar requisitos habilitantes en los procesos de contratación, donde se establecen las definiciones de cada requisito habilitante y se dan lineamientos orientadores sobre lo que las entidades pueden hacer para establecerlos. En relación con</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la experiencia,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como requisito habilitante señalado en su consulta, el</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manual menciona que la experiencia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se adquiere</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en razón 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la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participación, con anterioridad, en actividades que le permitieron conocer y adquirir, precisamente, experiencia en relación con la ejecución del objeto contractual que la entidad pretende satisfacer</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con su proceso de contratación.  </w:t>
      </w:r>
    </w:p>
    <w:p w:rsidRPr="00EF59F3" w:rsidR="00EF59F3" w:rsidP="00EF59F3" w:rsidRDefault="00EF59F3" w14:paraId="1E15E1C0" w14:textId="77777777">
      <w:pPr>
        <w:spacing w:before="120"/>
        <w:ind w:right="0" w:firstLine="708"/>
        <w:rPr>
          <w:rFonts w:ascii="Arial" w:hAnsi="Arial" w:eastAsia="Times New Roman" w:cs="Arial"/>
          <w:color w:val="000000"/>
          <w:sz w:val="22"/>
          <w:bdr w:val="none" w:color="auto" w:sz="0" w:space="0" w:frame="1"/>
          <w:lang w:val="es-CO" w:eastAsia="es-MX"/>
        </w:rPr>
      </w:pPr>
      <w:r w:rsidRPr="00EF59F3">
        <w:rPr>
          <w:rFonts w:ascii="Arial" w:hAnsi="Arial" w:eastAsia="Times New Roman" w:cs="Arial"/>
          <w:color w:val="000000"/>
          <w:sz w:val="22"/>
          <w:bdr w:val="none" w:color="auto" w:sz="0" w:space="0" w:frame="1"/>
          <w:lang w:val="es-CO" w:eastAsia="es-MX"/>
        </w:rPr>
        <w:t>Lo anterior es</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determinante</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porque no es posible acreditar experiencia si en la práctica no se ha ejercido lo que se ofrece 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las entidades contratantes. Precisamente de la experiencia se deriva el conocimiento</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del proponente y, para la contratación estatal, es importante pues garantiza que no</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habrá</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improvisación</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ni</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mayores costos por errores o dificultades originadas en realizar una actividad por primera vez. Adicionalmente, el Manual</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explica</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que la experiencia puede obtenerse</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directamente o por participar asociado con otra persona, como es el caso de los proponentes plurales, en</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cuyo evento la experiencia no deja de ser personal,</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sino que es proporcional a la participación como miembro de un consorcio o unión temporal, donde por</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tratarse de</w:t>
      </w:r>
      <w:r w:rsidRPr="00EF59F3">
        <w:rPr>
          <w:rFonts w:ascii="Arial" w:hAnsi="Arial" w:eastAsia="Times New Roman" w:cs="Arial"/>
          <w:color w:val="000000"/>
          <w:sz w:val="22"/>
          <w:bdr w:val="none" w:color="auto" w:sz="0" w:space="0" w:frame="1"/>
          <w:lang w:eastAsia="es-MX"/>
        </w:rPr>
        <w:t> </w:t>
      </w:r>
      <w:r w:rsidRPr="00EF59F3">
        <w:rPr>
          <w:rFonts w:ascii="Arial" w:hAnsi="Arial" w:eastAsia="Times New Roman" w:cs="Arial"/>
          <w:color w:val="000000"/>
          <w:sz w:val="22"/>
          <w:bdr w:val="none" w:color="auto" w:sz="0" w:space="0" w:frame="1"/>
          <w:lang w:val="es-CO" w:eastAsia="es-MX"/>
        </w:rPr>
        <w:t>esquemas asociativos la experiencia es compartida.   </w:t>
      </w:r>
    </w:p>
    <w:p w:rsidRPr="00EF59F3" w:rsidR="00EF59F3" w:rsidP="00EF59F3" w:rsidRDefault="00EF59F3" w14:paraId="488257DE" w14:textId="77777777">
      <w:pPr>
        <w:spacing w:before="120"/>
        <w:ind w:right="0" w:firstLine="708"/>
        <w:rPr>
          <w:rFonts w:ascii="Arial" w:hAnsi="Arial" w:eastAsia="Times New Roman" w:cs="Arial"/>
          <w:color w:val="201F1E"/>
          <w:sz w:val="22"/>
          <w:lang w:val="es-CO" w:eastAsia="es-MX"/>
        </w:rPr>
      </w:pPr>
    </w:p>
    <w:p w:rsidRPr="00EF59F3" w:rsidR="00EF59F3" w:rsidP="00EF59F3" w:rsidRDefault="00EF59F3" w14:paraId="4B71C6AD" w14:textId="0FA906E2">
      <w:pPr>
        <w:ind w:right="0" w:firstLine="0"/>
        <w:rPr>
          <w:rFonts w:ascii="Arial" w:hAnsi="Arial" w:eastAsia="Times New Roman" w:cs="Arial"/>
          <w:color w:val="000000"/>
          <w:sz w:val="22"/>
          <w:bdr w:val="none" w:color="auto" w:sz="0" w:space="0" w:frame="1"/>
          <w:lang w:val="es-CO" w:eastAsia="es-MX"/>
        </w:rPr>
      </w:pPr>
      <w:r w:rsidRPr="00EF59F3">
        <w:rPr>
          <w:rFonts w:ascii="Arial" w:hAnsi="Arial" w:eastAsia="Times New Roman" w:cs="Arial"/>
          <w:b/>
          <w:bCs/>
          <w:sz w:val="22"/>
          <w:szCs w:val="24"/>
          <w:lang w:val="es-ES_tradnl" w:eastAsia="es-MX"/>
        </w:rPr>
        <w:t>2.</w:t>
      </w:r>
      <w:r w:rsidR="00564349">
        <w:rPr>
          <w:rFonts w:ascii="Arial" w:hAnsi="Arial" w:eastAsia="Times New Roman" w:cs="Arial"/>
          <w:b/>
          <w:bCs/>
          <w:sz w:val="22"/>
          <w:szCs w:val="24"/>
          <w:lang w:val="es-ES_tradnl" w:eastAsia="es-MX"/>
        </w:rPr>
        <w:t>4</w:t>
      </w:r>
      <w:r w:rsidRPr="00EF59F3">
        <w:rPr>
          <w:rFonts w:ascii="Arial" w:hAnsi="Arial" w:eastAsia="Times New Roman" w:cs="Arial"/>
          <w:b/>
          <w:bCs/>
          <w:sz w:val="22"/>
          <w:szCs w:val="24"/>
          <w:lang w:val="es-ES_tradnl" w:eastAsia="es-MX"/>
        </w:rPr>
        <w:t xml:space="preserve">. </w:t>
      </w:r>
      <w:r w:rsidRPr="00EF59F3">
        <w:rPr>
          <w:rFonts w:ascii="Arial" w:hAnsi="Arial" w:cs="Arial"/>
          <w:b/>
          <w:bCs/>
          <w:sz w:val="22"/>
          <w:lang w:val="es-ES_tradnl"/>
        </w:rPr>
        <w:t>Acreditación de experiencia por parte de proponentes plurales.</w:t>
      </w:r>
      <w:r w:rsidRPr="00EF59F3">
        <w:rPr>
          <w:rFonts w:ascii="Arial" w:hAnsi="Arial" w:eastAsia="Times New Roman" w:cs="Arial"/>
          <w:b/>
          <w:bCs/>
          <w:sz w:val="22"/>
          <w:szCs w:val="24"/>
          <w:lang w:val="es-ES_tradnl" w:eastAsia="es-MX"/>
        </w:rPr>
        <w:t xml:space="preserve"> Numeral 3.5.3, literal D, del documento tipo de licitación de obra de infraestructura de transporte – Versión 3</w:t>
      </w:r>
      <w:r w:rsidRPr="00EF59F3" w:rsidDel="004358E3">
        <w:rPr>
          <w:rFonts w:ascii="Arial" w:hAnsi="Arial" w:eastAsia="Times New Roman" w:cs="Arial"/>
          <w:color w:val="000000"/>
          <w:sz w:val="22"/>
          <w:bdr w:val="none" w:color="auto" w:sz="0" w:space="0" w:frame="1"/>
          <w:lang w:val="es-CO" w:eastAsia="es-MX"/>
        </w:rPr>
        <w:t xml:space="preserve"> </w:t>
      </w:r>
    </w:p>
    <w:p w:rsidRPr="00EF59F3" w:rsidR="00EF59F3" w:rsidP="00EF59F3" w:rsidRDefault="00EF59F3" w14:paraId="66DFAB52" w14:textId="77777777">
      <w:pPr>
        <w:ind w:right="0" w:firstLine="0"/>
        <w:rPr>
          <w:rFonts w:ascii="Arial" w:hAnsi="Arial" w:eastAsia="Times New Roman" w:cs="Arial"/>
          <w:color w:val="000000"/>
          <w:sz w:val="22"/>
          <w:bdr w:val="none" w:color="auto" w:sz="0" w:space="0" w:frame="1"/>
          <w:lang w:val="es-CO" w:eastAsia="es-MX"/>
        </w:rPr>
      </w:pPr>
    </w:p>
    <w:p w:rsidRPr="00EF59F3" w:rsidR="00EF59F3" w:rsidP="00EF59F3" w:rsidRDefault="00EF59F3" w14:paraId="2DBC45C7" w14:textId="77777777">
      <w:pPr>
        <w:ind w:firstLine="0"/>
        <w:rPr>
          <w:rFonts w:ascii="Arial" w:hAnsi="Arial" w:eastAsia="Calibri" w:cs="Arial"/>
          <w:sz w:val="22"/>
          <w:lang w:val="es-ES_tradnl"/>
        </w:rPr>
      </w:pPr>
      <w:r w:rsidRPr="00EF59F3">
        <w:rPr>
          <w:rFonts w:ascii="Arial" w:hAnsi="Arial" w:eastAsia="Calibri" w:cs="Arial"/>
          <w:sz w:val="22"/>
          <w:lang w:val="es-ES_tradnl"/>
        </w:rPr>
        <w:t xml:space="preserve">Uno de los ajustes relevantes realizados a los documentos tipo de licitación de obra pública de infraestructura de transporte – versión 3 es la forma como se acredita la experiencia por parte de los proponentes plurales. Es así, como en el numeral «3.5.3 Consideraciones para la validez de la experiencia requerida», literal D, establece la regla de que todos los integrantes del proponente plural deben acreditar experiencia para la ejecución del proyecto en determinados porcentajes, sin perjuicio de que solo </w:t>
      </w:r>
      <w:r w:rsidRPr="00EF59F3">
        <w:rPr>
          <w:rFonts w:ascii="Arial" w:hAnsi="Arial" w:eastAsia="Calibri" w:cs="Arial"/>
          <w:i/>
          <w:iCs/>
          <w:sz w:val="22"/>
          <w:lang w:val="es-ES_tradnl"/>
        </w:rPr>
        <w:t>uno</w:t>
      </w:r>
      <w:r w:rsidRPr="00EF59F3">
        <w:rPr>
          <w:rFonts w:ascii="Arial" w:hAnsi="Arial" w:eastAsia="Calibri" w:cs="Arial"/>
          <w:sz w:val="22"/>
          <w:lang w:val="es-ES_tradnl"/>
        </w:rPr>
        <w:t xml:space="preserve"> de ellos podría no acreditarla, siempre y cuando su participación no supere el cinco por ciento (5%) en la estructura plural. En efecto, en ese numeral se estableció: </w:t>
      </w:r>
    </w:p>
    <w:p w:rsidRPr="00EF59F3" w:rsidR="00EF59F3" w:rsidP="00EF59F3" w:rsidRDefault="00EF59F3" w14:paraId="2ACDA6BB" w14:textId="77777777">
      <w:pPr>
        <w:ind w:firstLine="0"/>
        <w:rPr>
          <w:rFonts w:ascii="Arial" w:hAnsi="Arial" w:eastAsia="Calibri" w:cs="Arial"/>
          <w:sz w:val="22"/>
          <w:lang w:val="es-ES_tradnl"/>
        </w:rPr>
      </w:pPr>
    </w:p>
    <w:p w:rsidRPr="00EF59F3" w:rsidR="00EF59F3" w:rsidP="00EF59F3" w:rsidRDefault="00EF59F3" w14:paraId="2E8219B1" w14:textId="77777777">
      <w:pPr>
        <w:tabs>
          <w:tab w:val="left" w:pos="993"/>
        </w:tabs>
        <w:spacing w:line="240" w:lineRule="auto"/>
        <w:ind w:left="720" w:right="758" w:firstLine="0"/>
        <w:rPr>
          <w:rFonts w:ascii="Arial" w:hAnsi="Arial" w:eastAsia="Calibri" w:cs="Arial"/>
          <w:sz w:val="21"/>
          <w:szCs w:val="21"/>
          <w:lang w:val="es-ES_tradnl"/>
        </w:rPr>
      </w:pPr>
      <w:r w:rsidRPr="00EF59F3">
        <w:rPr>
          <w:rFonts w:ascii="Arial" w:hAnsi="Arial" w:eastAsia="Calibri" w:cs="Arial"/>
          <w:sz w:val="21"/>
          <w:szCs w:val="21"/>
          <w:lang w:val="es-ES_tradnl"/>
        </w:rPr>
        <w:t xml:space="preserve">D. Tratándose de proponentes plurales se tendrá en cuenta lo siguiente: i) uno de los integrantes debe aportar como mínimo el cincuenta por ciento (50%) de la experiencia exigida; </w:t>
      </w:r>
      <w:proofErr w:type="spellStart"/>
      <w:r w:rsidRPr="00EF59F3">
        <w:rPr>
          <w:rFonts w:ascii="Arial" w:hAnsi="Arial" w:eastAsia="Calibri" w:cs="Arial"/>
          <w:sz w:val="21"/>
          <w:szCs w:val="21"/>
          <w:lang w:val="es-ES_tradnl"/>
        </w:rPr>
        <w:t>ii</w:t>
      </w:r>
      <w:proofErr w:type="spellEnd"/>
      <w:r w:rsidRPr="00EF59F3">
        <w:rPr>
          <w:rFonts w:ascii="Arial" w:hAnsi="Arial" w:eastAsia="Calibri" w:cs="Arial"/>
          <w:sz w:val="21"/>
          <w:szCs w:val="21"/>
          <w:lang w:val="es-ES_tradnl"/>
        </w:rPr>
        <w:t xml:space="preserve">) los demás integrantes deben acreditar al menos el cinco por ciento (5%) de la experiencia requerida; y </w:t>
      </w:r>
      <w:proofErr w:type="spellStart"/>
      <w:r w:rsidRPr="00EF59F3">
        <w:rPr>
          <w:rFonts w:ascii="Arial" w:hAnsi="Arial" w:eastAsia="Calibri" w:cs="Arial"/>
          <w:sz w:val="21"/>
          <w:szCs w:val="21"/>
          <w:lang w:val="es-ES_tradnl"/>
        </w:rPr>
        <w:t>iii</w:t>
      </w:r>
      <w:proofErr w:type="spellEnd"/>
      <w:r w:rsidRPr="00EF59F3">
        <w:rPr>
          <w:rFonts w:ascii="Arial" w:hAnsi="Arial" w:eastAsia="Calibri" w:cs="Arial"/>
          <w:sz w:val="21"/>
          <w:szCs w:val="21"/>
          <w:lang w:val="es-ES_tradnl"/>
        </w:rPr>
        <w:t xml:space="preserve">)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rsidRPr="00EF59F3" w:rsidR="00EF59F3" w:rsidP="00EF59F3" w:rsidRDefault="00EF59F3" w14:paraId="50207943" w14:textId="77777777">
      <w:pPr>
        <w:tabs>
          <w:tab w:val="left" w:pos="2891"/>
        </w:tabs>
        <w:ind w:firstLine="0"/>
        <w:rPr>
          <w:rFonts w:ascii="Arial" w:hAnsi="Arial" w:eastAsia="Calibri" w:cs="Arial"/>
          <w:sz w:val="22"/>
          <w:lang w:val="es-ES_tradnl"/>
        </w:rPr>
      </w:pPr>
      <w:r w:rsidRPr="00EF59F3">
        <w:rPr>
          <w:rFonts w:ascii="Arial" w:hAnsi="Arial" w:eastAsia="Calibri" w:cs="Arial"/>
          <w:sz w:val="22"/>
          <w:lang w:val="es-ES_tradnl"/>
        </w:rPr>
        <w:tab/>
      </w:r>
    </w:p>
    <w:p w:rsidRPr="00EF59F3" w:rsidR="00EF59F3" w:rsidP="00EF59F3" w:rsidRDefault="00EF59F3" w14:paraId="08D8D0A4" w14:textId="501ADBAA">
      <w:pPr>
        <w:spacing w:after="120"/>
        <w:ind w:firstLine="708"/>
        <w:rPr>
          <w:rFonts w:ascii="Arial" w:hAnsi="Arial" w:eastAsia="Calibri" w:cs="Arial"/>
          <w:sz w:val="22"/>
          <w:lang w:val="es-ES_tradnl"/>
        </w:rPr>
      </w:pPr>
      <w:r w:rsidRPr="00EF59F3">
        <w:rPr>
          <w:rFonts w:ascii="Arial" w:hAnsi="Arial" w:eastAsia="Calibri" w:cs="Arial"/>
          <w:sz w:val="22"/>
          <w:lang w:val="es-ES_tradnl"/>
        </w:rPr>
        <w:t>Como se observa</w:t>
      </w:r>
      <w:r w:rsidR="00443012">
        <w:rPr>
          <w:rFonts w:ascii="Arial" w:hAnsi="Arial" w:eastAsia="Calibri" w:cs="Arial"/>
          <w:sz w:val="22"/>
          <w:lang w:val="es-ES_tradnl"/>
        </w:rPr>
        <w:t>,</w:t>
      </w:r>
      <w:r w:rsidRPr="00EF59F3">
        <w:rPr>
          <w:rFonts w:ascii="Arial" w:hAnsi="Arial" w:eastAsia="Calibri" w:cs="Arial"/>
          <w:sz w:val="22"/>
          <w:lang w:val="es-ES_tradnl"/>
        </w:rPr>
        <w:t xml:space="preserve"> la regulación de este aspecto en el documento fue bastante precisa. En este sentido, del aparte transcrito se infiere lo siguiente: i) uno de los integrantes debe acreditar mínimo el cincuenta por ciento (50%) de la experiencia exigida en el proceso, </w:t>
      </w:r>
      <w:proofErr w:type="spellStart"/>
      <w:r w:rsidRPr="00EF59F3">
        <w:rPr>
          <w:rFonts w:ascii="Arial" w:hAnsi="Arial" w:eastAsia="Calibri" w:cs="Arial"/>
          <w:sz w:val="22"/>
          <w:lang w:val="es-ES_tradnl"/>
        </w:rPr>
        <w:t>ii</w:t>
      </w:r>
      <w:proofErr w:type="spellEnd"/>
      <w:r w:rsidRPr="00EF59F3">
        <w:rPr>
          <w:rFonts w:ascii="Arial" w:hAnsi="Arial" w:eastAsia="Calibri" w:cs="Arial"/>
          <w:sz w:val="22"/>
          <w:lang w:val="es-ES_tradnl"/>
        </w:rPr>
        <w:t xml:space="preserve">) los demás integrantes deben acreditar al menos el cinco por ciento (5%) de la experiencia y, </w:t>
      </w:r>
      <w:proofErr w:type="spellStart"/>
      <w:r w:rsidRPr="00EF59F3">
        <w:rPr>
          <w:rFonts w:ascii="Arial" w:hAnsi="Arial" w:eastAsia="Calibri" w:cs="Arial"/>
          <w:sz w:val="22"/>
          <w:lang w:val="es-ES_tradnl"/>
        </w:rPr>
        <w:t>iii</w:t>
      </w:r>
      <w:proofErr w:type="spellEnd"/>
      <w:r w:rsidRPr="00EF59F3">
        <w:rPr>
          <w:rFonts w:ascii="Arial" w:hAnsi="Arial" w:eastAsia="Calibri" w:cs="Arial"/>
          <w:sz w:val="22"/>
          <w:lang w:val="es-ES_tradnl"/>
        </w:rPr>
        <w:t xml:space="preserve">) sin perjuicio de la exigencia anterior, </w:t>
      </w:r>
      <w:r w:rsidRPr="00EF59F3">
        <w:rPr>
          <w:rFonts w:ascii="Arial" w:hAnsi="Arial" w:eastAsia="Calibri" w:cs="Arial"/>
          <w:i/>
          <w:iCs/>
          <w:sz w:val="22"/>
          <w:lang w:val="es-ES_tradnl"/>
        </w:rPr>
        <w:t xml:space="preserve">solo uno </w:t>
      </w:r>
      <w:r w:rsidRPr="00EF59F3">
        <w:rPr>
          <w:rFonts w:ascii="Arial" w:hAnsi="Arial" w:eastAsia="Calibri" w:cs="Arial"/>
          <w:sz w:val="22"/>
          <w:lang w:val="es-ES_tradnl"/>
        </w:rPr>
        <w:t xml:space="preserve">de los integrantes, si así lo considera pertinente, podrá no aportar ninguna experiencia. Esto quiere decir que, a partir de la adopción de los documentos tipo de licitación de obra pública de infraestructura de transporte – Versión 3, en principio se exige que todos los integrantes acrediten experiencia, y solo de manera excepcional se permite que uno de ellos no aporte ninguna. </w:t>
      </w:r>
    </w:p>
    <w:p w:rsidRPr="00EF59F3" w:rsidR="00EF59F3" w:rsidP="00EF59F3" w:rsidRDefault="00EF59F3" w14:paraId="00C8DA21" w14:textId="77777777">
      <w:pPr>
        <w:spacing w:before="120" w:after="120"/>
        <w:ind w:firstLine="0"/>
        <w:rPr>
          <w:rFonts w:ascii="Arial" w:hAnsi="Arial" w:eastAsia="Calibri" w:cs="Arial"/>
          <w:sz w:val="22"/>
          <w:lang w:val="es-ES_tradnl"/>
        </w:rPr>
      </w:pPr>
      <w:r w:rsidRPr="00EF59F3">
        <w:rPr>
          <w:rFonts w:ascii="Arial" w:hAnsi="Arial" w:eastAsia="Calibri" w:cs="Arial"/>
          <w:sz w:val="22"/>
          <w:lang w:val="es-ES_tradnl"/>
        </w:rPr>
        <w:tab/>
      </w:r>
      <w:r w:rsidRPr="00EF59F3">
        <w:rPr>
          <w:rFonts w:ascii="Arial" w:hAnsi="Arial" w:eastAsia="Calibri" w:cs="Arial"/>
          <w:sz w:val="22"/>
          <w:lang w:val="es-ES_tradnl"/>
        </w:rPr>
        <w:t xml:space="preserve">La regulación anterior suscita el siguiente interrogante: ¿por qué en principio todos los integrantes deben concurrir a acreditar la experiencia requerida y por qué excepcionalmente permitir que no aporten experiencia? Sin duda, este es un ajuste a los documentos dirigido a garantizar la idoneidad de los contratistas del Estado y particularmente de los integrantes de la estructura plural que ejecutan el proyecto. En este sentido,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en todo caso, exigiendo que en este último supuesto dicho integrante solo pueda tener máximo el 5% de participación en la estructura plural. </w:t>
      </w:r>
    </w:p>
    <w:p w:rsidRPr="00EF59F3" w:rsidR="00EF59F3" w:rsidP="00EF59F3" w:rsidRDefault="00EF59F3" w14:paraId="3464E075" w14:textId="77777777">
      <w:pPr>
        <w:spacing w:before="120" w:after="120"/>
        <w:ind w:firstLine="708"/>
        <w:rPr>
          <w:rFonts w:ascii="Arial" w:hAnsi="Arial" w:eastAsia="Calibri" w:cs="Arial"/>
          <w:sz w:val="22"/>
          <w:lang w:val="es-ES_tradnl"/>
        </w:rPr>
      </w:pPr>
      <w:r w:rsidRPr="00EF59F3">
        <w:rPr>
          <w:rFonts w:ascii="Arial" w:hAnsi="Arial" w:eastAsia="Calibri" w:cs="Arial"/>
          <w:sz w:val="22"/>
          <w:lang w:val="es-ES_tradnl"/>
        </w:rPr>
        <w:t xml:space="preserve">En este sentido, la medida adoptada por la Agencia tiene dos propósitos: i) garantizar la idoneidad de todos los integrantes de los proponentes plurales para la ejecución del proyecto y </w:t>
      </w:r>
      <w:proofErr w:type="spellStart"/>
      <w:r w:rsidRPr="00EF59F3">
        <w:rPr>
          <w:rFonts w:ascii="Arial" w:hAnsi="Arial" w:eastAsia="Calibri" w:cs="Arial"/>
          <w:sz w:val="22"/>
          <w:lang w:val="es-ES_tradnl"/>
        </w:rPr>
        <w:t>ii</w:t>
      </w:r>
      <w:proofErr w:type="spellEnd"/>
      <w:r w:rsidRPr="00EF59F3">
        <w:rPr>
          <w:rFonts w:ascii="Arial" w:hAnsi="Arial" w:eastAsia="Calibri" w:cs="Arial"/>
          <w:sz w:val="22"/>
          <w:lang w:val="es-ES_tradnl"/>
        </w:rPr>
        <w:t xml:space="preserve">) permitir que al menos uno de los integrantes que no tiene experiencia participe en el proceso de contratación, y de este modo, permitirle adquirir experiencia con el Estado al ser integrante del proponente plural. </w:t>
      </w:r>
    </w:p>
    <w:p w:rsidRPr="00EF59F3" w:rsidR="00EF59F3" w:rsidP="00EF59F3" w:rsidRDefault="00EF59F3" w14:paraId="1D03B263" w14:textId="15579EF2">
      <w:pPr>
        <w:spacing w:before="120"/>
        <w:ind w:firstLine="709"/>
        <w:rPr>
          <w:rFonts w:ascii="Arial" w:hAnsi="Arial" w:eastAsia="Times New Roman" w:cs="Arial"/>
          <w:color w:val="000000"/>
          <w:sz w:val="22"/>
          <w:bdr w:val="none" w:color="auto" w:sz="0" w:space="0" w:frame="1"/>
          <w:lang w:val="es-CO" w:eastAsia="es-MX"/>
        </w:rPr>
      </w:pPr>
      <w:r w:rsidRPr="00EF59F3">
        <w:rPr>
          <w:rFonts w:ascii="Arial" w:hAnsi="Arial" w:eastAsia="Calibri" w:cs="Arial"/>
          <w:sz w:val="22"/>
          <w:lang w:val="es-ES_tradnl"/>
        </w:rPr>
        <w:t xml:space="preserve">Finalmente, </w:t>
      </w:r>
      <w:r w:rsidR="00F24FC1">
        <w:rPr>
          <w:rFonts w:ascii="Arial" w:hAnsi="Arial" w:eastAsia="Calibri" w:cs="Arial"/>
          <w:sz w:val="22"/>
          <w:lang w:val="es-ES_tradnl"/>
        </w:rPr>
        <w:t>es pertinente aclarar</w:t>
      </w:r>
      <w:r w:rsidRPr="00EF59F3">
        <w:rPr>
          <w:rFonts w:ascii="Arial" w:hAnsi="Arial" w:eastAsia="Calibri" w:cs="Arial"/>
          <w:sz w:val="22"/>
          <w:lang w:val="es-ES_tradnl"/>
        </w:rPr>
        <w:t xml:space="preserve"> que la regla establecida en el documento tipo y estudiada en este último apartado aplica frente a cualquier proponente plural, esto es, con independencia de la cantidad de personas que lo integren. </w:t>
      </w:r>
      <w:r w:rsidRPr="00EF59F3">
        <w:rPr>
          <w:rFonts w:ascii="Arial" w:hAnsi="Arial" w:eastAsia="Times New Roman" w:cs="Arial"/>
          <w:color w:val="000000"/>
          <w:sz w:val="22"/>
          <w:bdr w:val="none" w:color="auto" w:sz="0" w:space="0" w:frame="1"/>
          <w:lang w:val="es-CO" w:eastAsia="es-MX"/>
        </w:rPr>
        <w:t xml:space="preserve">En este sentido, se puede concluir que en relación con el cálculo de la experiencia en los casos en que el proponente sea plural, es decir, conformado por mínimo dos personas –naturales o jurídicas– y para </w:t>
      </w:r>
      <w:bookmarkStart w:name="_Hlk73009979" w:id="4"/>
      <w:r w:rsidRPr="00EF59F3">
        <w:rPr>
          <w:rFonts w:ascii="Arial" w:hAnsi="Arial" w:eastAsia="Times New Roman" w:cs="Arial"/>
          <w:color w:val="000000"/>
          <w:sz w:val="22"/>
          <w:bdr w:val="none" w:color="auto" w:sz="0" w:space="0" w:frame="1"/>
          <w:lang w:val="es-CO" w:eastAsia="es-MX"/>
        </w:rPr>
        <w:t xml:space="preserve">el caso en que uno de los integrantes del consorcio o unión temporal no cuente o aporte experiencia al proponente plural, éste solo podrá tener el 5% de participación en la unión temporal o el consorcio respectivo, como se establece en el </w:t>
      </w:r>
      <w:proofErr w:type="spellStart"/>
      <w:r w:rsidRPr="00EF59F3">
        <w:rPr>
          <w:rFonts w:ascii="Arial" w:hAnsi="Arial" w:eastAsia="Times New Roman" w:cs="Arial"/>
          <w:color w:val="000000"/>
          <w:sz w:val="22"/>
          <w:bdr w:val="none" w:color="auto" w:sz="0" w:space="0" w:frame="1"/>
          <w:lang w:val="es-CO" w:eastAsia="es-MX"/>
        </w:rPr>
        <w:t>subnumeral</w:t>
      </w:r>
      <w:proofErr w:type="spellEnd"/>
      <w:r w:rsidRPr="00EF59F3">
        <w:rPr>
          <w:rFonts w:ascii="Arial" w:hAnsi="Arial" w:eastAsia="Times New Roman" w:cs="Arial"/>
          <w:color w:val="000000"/>
          <w:sz w:val="22"/>
          <w:bdr w:val="none" w:color="auto" w:sz="0" w:space="0" w:frame="1"/>
          <w:lang w:val="es-CO" w:eastAsia="es-MX"/>
        </w:rPr>
        <w:t xml:space="preserve"> </w:t>
      </w:r>
      <w:proofErr w:type="spellStart"/>
      <w:r w:rsidRPr="00EF59F3">
        <w:rPr>
          <w:rFonts w:ascii="Arial" w:hAnsi="Arial" w:eastAsia="Times New Roman" w:cs="Arial"/>
          <w:color w:val="000000"/>
          <w:sz w:val="22"/>
          <w:bdr w:val="none" w:color="auto" w:sz="0" w:space="0" w:frame="1"/>
          <w:lang w:val="es-CO" w:eastAsia="es-MX"/>
        </w:rPr>
        <w:t>iii</w:t>
      </w:r>
      <w:proofErr w:type="spellEnd"/>
      <w:r w:rsidRPr="00EF59F3">
        <w:rPr>
          <w:rFonts w:ascii="Arial" w:hAnsi="Arial" w:eastAsia="Times New Roman" w:cs="Arial"/>
          <w:color w:val="000000"/>
          <w:sz w:val="22"/>
          <w:bdr w:val="none" w:color="auto" w:sz="0" w:space="0" w:frame="1"/>
          <w:lang w:val="es-CO" w:eastAsia="es-MX"/>
        </w:rPr>
        <w:t>), del literal d), del numeral 3.5.3.</w:t>
      </w:r>
    </w:p>
    <w:bookmarkEnd w:id="4"/>
    <w:p w:rsidRPr="00EF59F3" w:rsidR="00EF59F3" w:rsidP="00EF59F3" w:rsidRDefault="00EF59F3" w14:paraId="31DF42B1" w14:textId="77777777">
      <w:pPr>
        <w:ind w:right="0" w:firstLine="709"/>
        <w:rPr>
          <w:rFonts w:ascii="Arial" w:hAnsi="Arial" w:eastAsia="Times New Roman" w:cs="Arial"/>
          <w:color w:val="201F1E"/>
          <w:sz w:val="22"/>
          <w:lang w:val="es-CO" w:eastAsia="es-MX"/>
        </w:rPr>
      </w:pPr>
    </w:p>
    <w:p w:rsidRPr="00EF59F3" w:rsidR="00EF59F3" w:rsidP="000A29E2" w:rsidRDefault="00B81868" w14:paraId="5D0E3D67" w14:textId="615C7D26">
      <w:pPr>
        <w:spacing w:line="240" w:lineRule="auto"/>
        <w:ind w:right="0" w:firstLine="0"/>
        <w:contextualSpacing/>
        <w:jc w:val="left"/>
        <w:rPr>
          <w:rFonts w:ascii="Arial" w:hAnsi="Arial" w:cs="Arial"/>
          <w:color w:val="201F1E"/>
          <w:sz w:val="22"/>
        </w:rPr>
      </w:pPr>
      <w:r>
        <w:rPr>
          <w:rFonts w:ascii="Arial" w:hAnsi="Arial" w:cs="Arial"/>
          <w:b/>
          <w:bCs/>
          <w:color w:val="000000"/>
          <w:sz w:val="22"/>
          <w:bdr w:val="none" w:color="auto" w:sz="0" w:space="0" w:frame="1"/>
        </w:rPr>
        <w:t xml:space="preserve">3. </w:t>
      </w:r>
      <w:r w:rsidRPr="00EF59F3" w:rsidR="00EF59F3">
        <w:rPr>
          <w:rFonts w:ascii="Arial" w:hAnsi="Arial" w:cs="Arial"/>
          <w:b/>
          <w:bCs/>
          <w:color w:val="000000"/>
          <w:sz w:val="22"/>
          <w:bdr w:val="none" w:color="auto" w:sz="0" w:space="0" w:frame="1"/>
        </w:rPr>
        <w:t>Respuesta:  </w:t>
      </w:r>
    </w:p>
    <w:p w:rsidR="00EF59F3" w:rsidP="00EF59F3" w:rsidRDefault="00EF59F3" w14:paraId="06568A5A" w14:textId="2E2D7D43">
      <w:pPr>
        <w:ind w:right="0" w:firstLine="0"/>
        <w:rPr>
          <w:rFonts w:ascii="Arial" w:hAnsi="Arial" w:eastAsia="Times New Roman" w:cs="Arial"/>
          <w:color w:val="201F1E"/>
          <w:sz w:val="22"/>
          <w:szCs w:val="24"/>
          <w:lang w:val="es-CO" w:eastAsia="es-MX"/>
        </w:rPr>
      </w:pPr>
    </w:p>
    <w:p w:rsidR="00F36AD5" w:rsidP="00F36AD5" w:rsidRDefault="00564349" w14:paraId="35131805" w14:textId="0851E6CF">
      <w:pPr>
        <w:pStyle w:val="Default"/>
        <w:spacing w:before="120" w:after="120"/>
        <w:ind w:left="709" w:right="758" w:firstLine="0"/>
        <w:rPr>
          <w:rFonts w:eastAsia="Arial"/>
          <w:sz w:val="21"/>
          <w:szCs w:val="21"/>
          <w:lang w:eastAsia="es-CO"/>
        </w:rPr>
      </w:pPr>
      <w:r w:rsidRPr="00564349">
        <w:rPr>
          <w:rFonts w:eastAsia="Arial"/>
          <w:sz w:val="21"/>
          <w:szCs w:val="21"/>
          <w:lang w:eastAsia="es-CO"/>
        </w:rPr>
        <w:t>«</w:t>
      </w:r>
      <w:r w:rsidRPr="00564349">
        <w:rPr>
          <w:rFonts w:eastAsia="Calibri"/>
          <w:color w:val="auto"/>
          <w:sz w:val="21"/>
          <w:szCs w:val="21"/>
        </w:rPr>
        <w:t>[…] En la presentación de la oferta para licitación pública (infraestructura vial) - Pliego Tipo versión 3. En caso de un proponente plural de dos integrantes, donde uno tenga más del 90% y el otro menos del 5% de participación dentro la figura ¿la experiencia del que tenga menos del 5% de participación no será tenida en cuenta?</w:t>
      </w:r>
      <w:r w:rsidRPr="00564349">
        <w:rPr>
          <w:rFonts w:eastAsia="Arial"/>
          <w:sz w:val="21"/>
          <w:szCs w:val="21"/>
          <w:lang w:eastAsia="es-CO"/>
        </w:rPr>
        <w:t>»</w:t>
      </w:r>
    </w:p>
    <w:p w:rsidR="00F36AD5" w:rsidP="00F36AD5" w:rsidRDefault="00F36AD5" w14:paraId="3CA6ABD3" w14:textId="77777777">
      <w:pPr>
        <w:spacing w:line="240" w:lineRule="auto"/>
        <w:ind w:firstLine="0"/>
        <w:rPr>
          <w:rFonts w:ascii="Arial" w:hAnsi="Arial" w:eastAsia="Times New Roman" w:cs="Arial"/>
          <w:sz w:val="22"/>
          <w:lang w:val="es-ES_tradnl" w:eastAsia="es-CO"/>
        </w:rPr>
      </w:pPr>
    </w:p>
    <w:p w:rsidRPr="00C92F0C" w:rsidR="001D0C49" w:rsidP="00C92F0C" w:rsidRDefault="00F36AD5" w14:paraId="5B30D328" w14:textId="750AFF5F">
      <w:pPr>
        <w:ind w:firstLine="0"/>
        <w:rPr>
          <w:rFonts w:ascii="Arial" w:hAnsi="Arial" w:eastAsia="Times New Roman" w:cs="Arial"/>
          <w:sz w:val="22"/>
          <w:lang w:val="es-ES_tradnl" w:eastAsia="es-CO"/>
        </w:rPr>
      </w:pPr>
      <w:r>
        <w:rPr>
          <w:rFonts w:ascii="Arial" w:hAnsi="Arial" w:eastAsia="Times New Roman" w:cs="Arial"/>
          <w:sz w:val="22"/>
          <w:lang w:val="es-ES_tradnl" w:eastAsia="es-CO"/>
        </w:rPr>
        <w:t>Según lo explicado</w:t>
      </w:r>
      <w:r w:rsidRPr="00F24FC1" w:rsidR="00F24FC1">
        <w:rPr>
          <w:rFonts w:ascii="Arial" w:hAnsi="Arial" w:eastAsia="Times New Roman" w:cs="Arial"/>
          <w:sz w:val="22"/>
          <w:lang w:val="es-ES_tradnl" w:eastAsia="es-CO"/>
        </w:rPr>
        <w:t xml:space="preserve">, </w:t>
      </w:r>
      <w:r w:rsidRPr="00F24FC1" w:rsidR="00F24FC1">
        <w:rPr>
          <w:rFonts w:ascii="Arial" w:hAnsi="Arial" w:eastAsia="Calibri" w:cs="Arial"/>
          <w:sz w:val="22"/>
          <w:lang w:val="es-ES_tradnl"/>
        </w:rPr>
        <w:t xml:space="preserve">en virtud de lo dispuesto por el numeral «3.5.3 Consideraciones para la validez de la experiencia requerida», literal D, </w:t>
      </w:r>
      <w:r w:rsidRPr="00F24FC1" w:rsidR="00F24FC1">
        <w:rPr>
          <w:rFonts w:ascii="Arial" w:hAnsi="Arial" w:eastAsia="Times New Roman" w:cs="Arial"/>
          <w:sz w:val="22"/>
          <w:lang w:val="es-ES_tradnl" w:eastAsia="es-CO"/>
        </w:rPr>
        <w:t>se tiene que</w:t>
      </w:r>
      <w:r w:rsidR="000A4D64">
        <w:rPr>
          <w:rFonts w:ascii="Arial" w:hAnsi="Arial" w:eastAsia="Times New Roman" w:cs="Arial"/>
          <w:sz w:val="22"/>
          <w:lang w:val="es-ES_tradnl" w:eastAsia="es-CO"/>
        </w:rPr>
        <w:t xml:space="preserve"> tratándose de proponentes plurales</w:t>
      </w:r>
      <w:r w:rsidR="00443012">
        <w:rPr>
          <w:rFonts w:ascii="Arial" w:hAnsi="Arial" w:eastAsia="Times New Roman" w:cs="Arial"/>
          <w:sz w:val="22"/>
          <w:lang w:val="es-ES_tradnl" w:eastAsia="es-CO"/>
        </w:rPr>
        <w:t>:</w:t>
      </w:r>
      <w:r w:rsidRPr="00F24FC1" w:rsidR="00F24FC1">
        <w:rPr>
          <w:rFonts w:ascii="Arial" w:hAnsi="Arial" w:eastAsia="Calibri" w:cs="Arial"/>
          <w:sz w:val="22"/>
          <w:lang w:val="es-ES_tradnl"/>
        </w:rPr>
        <w:t xml:space="preserve"> i) uno de los integrantes debe acreditar mínimo el cincuenta por ciento (50%) de la experiencia exigida, </w:t>
      </w:r>
      <w:proofErr w:type="spellStart"/>
      <w:r w:rsidRPr="00F24FC1" w:rsidR="00F24FC1">
        <w:rPr>
          <w:rFonts w:ascii="Arial" w:hAnsi="Arial" w:eastAsia="Calibri" w:cs="Arial"/>
          <w:sz w:val="22"/>
          <w:lang w:val="es-ES_tradnl"/>
        </w:rPr>
        <w:t>ii</w:t>
      </w:r>
      <w:proofErr w:type="spellEnd"/>
      <w:r w:rsidRPr="00F24FC1" w:rsidR="00F24FC1">
        <w:rPr>
          <w:rFonts w:ascii="Arial" w:hAnsi="Arial" w:eastAsia="Calibri" w:cs="Arial"/>
          <w:sz w:val="22"/>
          <w:lang w:val="es-ES_tradnl"/>
        </w:rPr>
        <w:t xml:space="preserve">) los demás integrantes deben acreditar al menos el cinco por ciento (5%) y, </w:t>
      </w:r>
      <w:proofErr w:type="spellStart"/>
      <w:r w:rsidRPr="00F24FC1" w:rsidR="00F24FC1">
        <w:rPr>
          <w:rFonts w:ascii="Arial" w:hAnsi="Arial" w:eastAsia="Calibri" w:cs="Arial"/>
          <w:sz w:val="22"/>
          <w:lang w:val="es-ES_tradnl"/>
        </w:rPr>
        <w:t>iii</w:t>
      </w:r>
      <w:proofErr w:type="spellEnd"/>
      <w:r w:rsidRPr="00F24FC1" w:rsidR="00F24FC1">
        <w:rPr>
          <w:rFonts w:ascii="Arial" w:hAnsi="Arial" w:eastAsia="Calibri" w:cs="Arial"/>
          <w:sz w:val="22"/>
          <w:lang w:val="es-ES_tradnl"/>
        </w:rPr>
        <w:t>) sin perjuicio de la exigencia anterior, solo uno de los integrantes, si así lo considera pertinente, podrá no aportar experiencia</w:t>
      </w:r>
      <w:r w:rsidR="00443012">
        <w:rPr>
          <w:rFonts w:ascii="Arial" w:hAnsi="Arial" w:eastAsia="Calibri" w:cs="Arial"/>
          <w:sz w:val="22"/>
          <w:lang w:val="es-ES_tradnl"/>
        </w:rPr>
        <w:t>,</w:t>
      </w:r>
      <w:r w:rsidRPr="00F24FC1" w:rsidR="00F24FC1">
        <w:rPr>
          <w:rFonts w:ascii="Times New Roman" w:hAnsi="Times New Roman" w:eastAsia="Times New Roman" w:cs="Times New Roman"/>
          <w:sz w:val="22"/>
          <w:lang w:val="es-CO" w:eastAsia="es-CO"/>
        </w:rPr>
        <w:t xml:space="preserve"> </w:t>
      </w:r>
      <w:r w:rsidRPr="00F24FC1" w:rsidR="00F24FC1">
        <w:rPr>
          <w:rFonts w:ascii="Arial" w:hAnsi="Arial" w:eastAsia="Times New Roman" w:cs="Arial"/>
          <w:sz w:val="22"/>
          <w:lang w:val="es-ES" w:eastAsia="es-CO"/>
        </w:rPr>
        <w:t>pero ello implicaría que no podría tener más del 5% de participación en la estructura plural</w:t>
      </w:r>
      <w:r w:rsidRPr="00F24FC1" w:rsidR="00F24FC1">
        <w:rPr>
          <w:rFonts w:ascii="Arial" w:hAnsi="Arial" w:eastAsia="Calibri" w:cs="Arial"/>
          <w:sz w:val="22"/>
          <w:lang w:val="es-ES_tradnl"/>
        </w:rPr>
        <w:t>. Esto quiere decir que, a partir de la adopción de los documentos tipo de licitación de obra pública de infraestructura de transporte – versión 3, en principio se exige que todos los integrantes acrediten experiencia, y solo de manera excepcional se permite que uno de los integrantes no aporte ninguna experiencia</w:t>
      </w:r>
      <w:r w:rsidR="001D0C49">
        <w:rPr>
          <w:rFonts w:ascii="Arial" w:hAnsi="Arial" w:eastAsia="Calibri" w:cs="Arial"/>
          <w:sz w:val="22"/>
          <w:lang w:val="es-ES_tradnl"/>
        </w:rPr>
        <w:t>.</w:t>
      </w:r>
    </w:p>
    <w:p w:rsidRPr="00F24FC1" w:rsidR="00EE3366" w:rsidP="00C92F0C" w:rsidRDefault="00F36AD5" w14:paraId="3CF73018" w14:textId="480F842C">
      <w:pPr>
        <w:pStyle w:val="Default"/>
        <w:spacing w:before="120" w:after="120" w:line="276" w:lineRule="auto"/>
        <w:ind w:right="49" w:firstLine="709"/>
        <w:rPr>
          <w:rFonts w:eastAsia="Calibri"/>
          <w:sz w:val="22"/>
          <w:lang w:val="es-ES_tradnl"/>
        </w:rPr>
      </w:pPr>
      <w:r>
        <w:rPr>
          <w:rFonts w:eastAsia="Calibri"/>
          <w:sz w:val="22"/>
          <w:lang w:val="es-ES_tradnl"/>
        </w:rPr>
        <w:t>De conformidad con lo anterior,</w:t>
      </w:r>
      <w:r w:rsidR="00EE3366">
        <w:rPr>
          <w:rFonts w:eastAsia="Calibri"/>
          <w:sz w:val="22"/>
          <w:lang w:val="es-ES_tradnl"/>
        </w:rPr>
        <w:t xml:space="preserve"> se </w:t>
      </w:r>
      <w:r w:rsidR="00C92F0C">
        <w:rPr>
          <w:rFonts w:eastAsia="Calibri"/>
          <w:sz w:val="22"/>
          <w:lang w:val="es-ES_tradnl"/>
        </w:rPr>
        <w:t>precisa</w:t>
      </w:r>
      <w:r w:rsidR="00B81868">
        <w:rPr>
          <w:rFonts w:eastAsia="Calibri"/>
          <w:sz w:val="22"/>
          <w:lang w:val="es-ES_tradnl"/>
        </w:rPr>
        <w:t xml:space="preserve"> </w:t>
      </w:r>
      <w:r w:rsidR="00C92F0C">
        <w:rPr>
          <w:rFonts w:eastAsia="Calibri"/>
          <w:sz w:val="22"/>
          <w:lang w:val="es-ES_tradnl"/>
        </w:rPr>
        <w:t>que</w:t>
      </w:r>
      <w:r w:rsidR="00EE3366">
        <w:rPr>
          <w:rFonts w:eastAsia="Calibri"/>
          <w:sz w:val="22"/>
          <w:lang w:val="es-ES_tradnl"/>
        </w:rPr>
        <w:t xml:space="preserve"> si bien</w:t>
      </w:r>
      <w:r w:rsidR="00C92F0C">
        <w:rPr>
          <w:rFonts w:eastAsia="Calibri"/>
          <w:sz w:val="22"/>
          <w:lang w:val="es-ES_tradnl"/>
        </w:rPr>
        <w:t xml:space="preserve"> </w:t>
      </w:r>
      <w:r w:rsidR="00EE3366">
        <w:rPr>
          <w:rFonts w:eastAsia="Calibri"/>
          <w:sz w:val="22"/>
          <w:lang w:val="es-ES_tradnl"/>
        </w:rPr>
        <w:t xml:space="preserve">se permite que solo uno de los integrantes del proponente plural no </w:t>
      </w:r>
      <w:r>
        <w:rPr>
          <w:rFonts w:eastAsia="Calibri"/>
          <w:sz w:val="22"/>
          <w:lang w:val="es-ES_tradnl"/>
        </w:rPr>
        <w:t>acredite o</w:t>
      </w:r>
      <w:r w:rsidR="00C92F0C">
        <w:rPr>
          <w:rFonts w:eastAsia="Calibri"/>
          <w:sz w:val="22"/>
          <w:lang w:val="es-ES_tradnl"/>
        </w:rPr>
        <w:t xml:space="preserve"> no</w:t>
      </w:r>
      <w:r>
        <w:rPr>
          <w:rFonts w:eastAsia="Calibri"/>
          <w:sz w:val="22"/>
          <w:lang w:val="es-ES_tradnl"/>
        </w:rPr>
        <w:t xml:space="preserve"> aporte experiencia</w:t>
      </w:r>
      <w:r w:rsidR="00C92F0C">
        <w:rPr>
          <w:rFonts w:eastAsia="Calibri"/>
          <w:sz w:val="22"/>
          <w:lang w:val="es-ES_tradnl"/>
        </w:rPr>
        <w:t xml:space="preserve"> en el proceso de contratación, </w:t>
      </w:r>
      <w:r w:rsidR="00B81868">
        <w:rPr>
          <w:rFonts w:eastAsia="Calibri"/>
          <w:sz w:val="22"/>
          <w:lang w:val="es-ES_tradnl"/>
        </w:rPr>
        <w:t>activándose la restricción consistente que</w:t>
      </w:r>
      <w:r w:rsidR="00C92F0C">
        <w:rPr>
          <w:rFonts w:eastAsia="Calibri"/>
          <w:sz w:val="22"/>
          <w:lang w:val="es-ES_tradnl"/>
        </w:rPr>
        <w:t xml:space="preserve"> únicamente </w:t>
      </w:r>
      <w:r w:rsidR="00B81868">
        <w:rPr>
          <w:rFonts w:eastAsia="Calibri"/>
          <w:sz w:val="22"/>
          <w:lang w:val="es-ES_tradnl"/>
        </w:rPr>
        <w:t>podrá tener hasta el</w:t>
      </w:r>
      <w:r>
        <w:rPr>
          <w:rFonts w:eastAsia="Calibri"/>
          <w:sz w:val="22"/>
          <w:lang w:val="es-ES_tradnl"/>
        </w:rPr>
        <w:t xml:space="preserve"> 5% de participación en la unión temporal o consorcio, lo cierto es que</w:t>
      </w:r>
      <w:r w:rsidR="00C92F0C">
        <w:rPr>
          <w:rFonts w:eastAsia="Calibri"/>
          <w:sz w:val="22"/>
          <w:lang w:val="es-ES_tradnl"/>
        </w:rPr>
        <w:t xml:space="preserve">, </w:t>
      </w:r>
      <w:r>
        <w:rPr>
          <w:rFonts w:eastAsia="Calibri"/>
          <w:sz w:val="22"/>
          <w:lang w:val="es-ES_tradnl"/>
        </w:rPr>
        <w:t xml:space="preserve">en caso de </w:t>
      </w:r>
      <w:r w:rsidR="00B81868">
        <w:rPr>
          <w:rFonts w:eastAsia="Calibri"/>
          <w:sz w:val="22"/>
          <w:lang w:val="es-ES_tradnl"/>
        </w:rPr>
        <w:t xml:space="preserve">que </w:t>
      </w:r>
      <w:r>
        <w:rPr>
          <w:rFonts w:eastAsia="Calibri"/>
          <w:sz w:val="22"/>
          <w:lang w:val="es-ES_tradnl"/>
        </w:rPr>
        <w:t>aquél considere pertinente acreditar</w:t>
      </w:r>
      <w:r w:rsidR="00C92F0C">
        <w:rPr>
          <w:rFonts w:eastAsia="Calibri"/>
          <w:sz w:val="22"/>
          <w:lang w:val="es-ES_tradnl"/>
        </w:rPr>
        <w:t xml:space="preserve"> o aportar</w:t>
      </w:r>
      <w:r>
        <w:rPr>
          <w:rFonts w:eastAsia="Calibri"/>
          <w:sz w:val="22"/>
          <w:lang w:val="es-ES_tradnl"/>
        </w:rPr>
        <w:t xml:space="preserve"> su experiencia</w:t>
      </w:r>
      <w:r w:rsidR="00C92F0C">
        <w:rPr>
          <w:rFonts w:eastAsia="Calibri"/>
          <w:sz w:val="22"/>
          <w:lang w:val="es-ES_tradnl"/>
        </w:rPr>
        <w:t xml:space="preserve"> en el proceso</w:t>
      </w:r>
      <w:r w:rsidR="000E5BC3">
        <w:rPr>
          <w:rFonts w:eastAsia="Calibri"/>
          <w:sz w:val="22"/>
          <w:lang w:val="es-ES_tradnl"/>
        </w:rPr>
        <w:t>,</w:t>
      </w:r>
      <w:r w:rsidR="00C92F0C">
        <w:rPr>
          <w:rFonts w:eastAsia="Calibri"/>
          <w:sz w:val="22"/>
          <w:lang w:val="es-ES_tradnl"/>
        </w:rPr>
        <w:t xml:space="preserve"> la misma</w:t>
      </w:r>
      <w:r>
        <w:rPr>
          <w:rFonts w:eastAsia="Calibri"/>
          <w:sz w:val="22"/>
          <w:lang w:val="es-ES_tradnl"/>
        </w:rPr>
        <w:t xml:space="preserve"> </w:t>
      </w:r>
      <w:r w:rsidR="00443012">
        <w:rPr>
          <w:rFonts w:eastAsia="Calibri"/>
          <w:sz w:val="22"/>
          <w:lang w:val="es-ES_tradnl"/>
        </w:rPr>
        <w:t xml:space="preserve">deberá </w:t>
      </w:r>
      <w:r>
        <w:rPr>
          <w:rFonts w:eastAsia="Calibri"/>
          <w:sz w:val="22"/>
          <w:lang w:val="es-ES_tradnl"/>
        </w:rPr>
        <w:t xml:space="preserve">ser tenida en cuenta </w:t>
      </w:r>
      <w:r w:rsidR="000E5BC3">
        <w:rPr>
          <w:rFonts w:eastAsia="Calibri"/>
          <w:sz w:val="22"/>
          <w:lang w:val="es-ES_tradnl"/>
        </w:rPr>
        <w:t xml:space="preserve">y </w:t>
      </w:r>
      <w:r w:rsidR="00443012">
        <w:rPr>
          <w:rFonts w:eastAsia="Calibri"/>
          <w:sz w:val="22"/>
          <w:lang w:val="es-ES_tradnl"/>
        </w:rPr>
        <w:t xml:space="preserve">evaluada </w:t>
      </w:r>
      <w:r>
        <w:rPr>
          <w:rFonts w:eastAsia="Calibri"/>
          <w:sz w:val="22"/>
          <w:lang w:val="es-ES_tradnl"/>
        </w:rPr>
        <w:t>por la entidad estatal</w:t>
      </w:r>
      <w:r w:rsidR="00B81868">
        <w:rPr>
          <w:rFonts w:eastAsia="Calibri"/>
          <w:sz w:val="22"/>
          <w:lang w:val="es-ES_tradnl"/>
        </w:rPr>
        <w:t xml:space="preserve">, teniéndose en cuenta dichos contratos para todos los efectos, por ejemplo, para determinar </w:t>
      </w:r>
      <w:r w:rsidR="00840D1A">
        <w:rPr>
          <w:rFonts w:eastAsia="Calibri"/>
          <w:sz w:val="22"/>
          <w:lang w:val="es-ES_tradnl"/>
        </w:rPr>
        <w:t xml:space="preserve">el número de contratos mediante los cuales el proponente pretende acreditar su experiencia. Es decir, el hecho de que un integrante del proponente plural tenga menos del 5% de participación en la estructura plural no implica que este no pueda aportar experiencia, por lo que podría aportarla en las mismas condiciones que cualquier otro integrante. </w:t>
      </w:r>
    </w:p>
    <w:p w:rsidRPr="000E5BC3" w:rsidR="00443012" w:rsidP="000E5BC3" w:rsidRDefault="00443012" w14:paraId="418D7B7F" w14:textId="24C985E1">
      <w:pPr>
        <w:pStyle w:val="Default"/>
        <w:spacing w:before="120" w:after="120" w:line="276" w:lineRule="auto"/>
        <w:ind w:right="49" w:firstLine="709"/>
        <w:rPr>
          <w:rFonts w:eastAsia="Calibri"/>
          <w:sz w:val="22"/>
          <w:lang w:val="es-ES_tradnl"/>
        </w:rPr>
      </w:pPr>
    </w:p>
    <w:p w:rsidRPr="00EF59F3" w:rsidR="00EF59F3" w:rsidP="00EF59F3" w:rsidRDefault="00EF59F3" w14:paraId="0FF4BE66" w14:textId="77777777">
      <w:pPr>
        <w:ind w:right="0" w:firstLine="0"/>
        <w:rPr>
          <w:rFonts w:ascii="Arial" w:hAnsi="Arial" w:eastAsia="Calibri" w:cs="Arial"/>
          <w:color w:val="000000" w:themeColor="text1"/>
          <w:sz w:val="22"/>
          <w:lang w:val="es-CO" w:eastAsia="es-MX"/>
        </w:rPr>
      </w:pPr>
      <w:r w:rsidRPr="00EF59F3">
        <w:rPr>
          <w:rFonts w:ascii="Arial" w:hAnsi="Arial" w:eastAsia="Calibri" w:cs="Arial"/>
          <w:color w:val="000000" w:themeColor="text1"/>
          <w:sz w:val="22"/>
          <w:lang w:val="es-CO" w:eastAsia="es-MX"/>
        </w:rPr>
        <w:t>Este concepto tiene el alcance previsto en el artículo 28 del Código de Procedimiento Administrativo y de lo Contencioso Administrativo.</w:t>
      </w:r>
    </w:p>
    <w:p w:rsidRPr="00EF59F3" w:rsidR="00EF59F3" w:rsidP="00EF59F3" w:rsidRDefault="00EF59F3" w14:paraId="3B390CA6" w14:textId="77777777">
      <w:pPr>
        <w:spacing w:line="240" w:lineRule="auto"/>
        <w:ind w:right="0" w:firstLine="709"/>
        <w:rPr>
          <w:rFonts w:ascii="Arial" w:hAnsi="Arial" w:eastAsia="Calibri" w:cs="Arial"/>
          <w:color w:val="000000" w:themeColor="text1"/>
          <w:sz w:val="22"/>
          <w:szCs w:val="24"/>
          <w:lang w:val="es-CO" w:eastAsia="es-MX"/>
        </w:rPr>
      </w:pPr>
    </w:p>
    <w:p w:rsidR="00EF59F3" w:rsidP="00EF59F3" w:rsidRDefault="00EF59F3" w14:paraId="16A70720" w14:textId="0A5C3DA8">
      <w:pPr>
        <w:spacing w:line="240" w:lineRule="auto"/>
        <w:ind w:right="0" w:firstLine="0"/>
        <w:rPr>
          <w:rFonts w:ascii="Arial" w:hAnsi="Arial" w:eastAsia="Times New Roman" w:cs="Arial"/>
          <w:color w:val="000000" w:themeColor="text1"/>
          <w:sz w:val="22"/>
          <w:lang w:val="es-CO" w:eastAsia="es-CO"/>
        </w:rPr>
      </w:pPr>
      <w:r w:rsidRPr="1A0869A5">
        <w:rPr>
          <w:rFonts w:ascii="Arial" w:hAnsi="Arial" w:eastAsia="Times New Roman" w:cs="Arial"/>
          <w:color w:val="000000" w:themeColor="text1"/>
          <w:sz w:val="22"/>
          <w:lang w:val="es-CO" w:eastAsia="es-CO"/>
        </w:rPr>
        <w:t>Atentamente,</w:t>
      </w:r>
    </w:p>
    <w:p w:rsidR="00E04A86" w:rsidP="00EF59F3" w:rsidRDefault="00E04A86" w14:paraId="0FB608E9" w14:textId="558092EF">
      <w:pPr>
        <w:spacing w:line="240" w:lineRule="auto"/>
        <w:ind w:right="0" w:firstLine="0"/>
        <w:rPr>
          <w:rFonts w:ascii="Arial" w:hAnsi="Arial" w:eastAsia="Times New Roman" w:cs="Arial"/>
          <w:color w:val="000000" w:themeColor="text1"/>
          <w:sz w:val="22"/>
          <w:lang w:val="es-CO" w:eastAsia="es-CO"/>
        </w:rPr>
      </w:pPr>
    </w:p>
    <w:p w:rsidRPr="00EF59F3" w:rsidR="00EF59F3" w:rsidP="00EF59F3" w:rsidRDefault="00E04A86" w14:paraId="4091AED2" w14:textId="2FEC7985">
      <w:pPr>
        <w:spacing w:line="240" w:lineRule="auto"/>
        <w:ind w:right="0" w:firstLine="0"/>
        <w:jc w:val="center"/>
        <w:rPr>
          <w:rFonts w:ascii="Arial" w:hAnsi="Arial" w:eastAsia="Times New Roman" w:cs="Arial"/>
          <w:color w:val="000000" w:themeColor="text1"/>
          <w:sz w:val="22"/>
          <w:lang w:val="es-CO" w:eastAsia="es-CO"/>
        </w:rPr>
      </w:pPr>
      <w:r>
        <w:rPr>
          <w:noProof/>
        </w:rPr>
        <w:drawing>
          <wp:inline distT="0" distB="0" distL="0" distR="0" wp14:anchorId="3FCDCCB1" wp14:editId="2EF9EC18">
            <wp:extent cx="2514600" cy="1114425"/>
            <wp:effectExtent l="0" t="0" r="0" b="952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rsidRPr="00EF59F3" w:rsidR="00EF59F3" w:rsidP="00EF59F3" w:rsidRDefault="00EF59F3" w14:paraId="5AD4C1C8" w14:textId="6CE757DD">
      <w:pPr>
        <w:spacing w:line="240" w:lineRule="auto"/>
        <w:ind w:right="0" w:firstLine="0"/>
        <w:jc w:val="center"/>
        <w:rPr>
          <w:szCs w:val="24"/>
          <w:lang w:val="es-CO" w:eastAsia="es-CO"/>
        </w:rPr>
      </w:pPr>
    </w:p>
    <w:p w:rsidRPr="00EF59F3" w:rsidR="00EF59F3" w:rsidP="00EF59F3" w:rsidRDefault="00EF59F3" w14:paraId="2F1AF69D" w14:textId="77777777">
      <w:pPr>
        <w:spacing w:line="240" w:lineRule="auto"/>
        <w:ind w:right="0" w:firstLine="0"/>
        <w:jc w:val="center"/>
        <w:rPr>
          <w:rFonts w:ascii="Arial" w:hAnsi="Arial" w:eastAsia="Times New Roman" w:cs="Arial"/>
          <w:color w:val="000000" w:themeColor="text1"/>
          <w:sz w:val="18"/>
          <w:szCs w:val="20"/>
          <w:lang w:val="es-CO" w:eastAsia="es-CO"/>
        </w:rPr>
      </w:pP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F59F3" w:rsidR="00EF59F3" w:rsidTr="00815E3C" w14:paraId="78BDDA6F" w14:textId="77777777">
        <w:trPr>
          <w:trHeight w:val="315"/>
        </w:trPr>
        <w:tc>
          <w:tcPr>
            <w:tcW w:w="812" w:type="dxa"/>
            <w:vAlign w:val="center"/>
            <w:hideMark/>
          </w:tcPr>
          <w:p w:rsidRPr="00EF59F3" w:rsidR="00EF59F3" w:rsidP="00EF59F3" w:rsidRDefault="00EF59F3" w14:paraId="3873C086"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Elaboró:</w:t>
            </w:r>
          </w:p>
        </w:tc>
        <w:tc>
          <w:tcPr>
            <w:tcW w:w="4413" w:type="dxa"/>
            <w:tcBorders>
              <w:top w:val="nil"/>
              <w:left w:val="nil"/>
              <w:bottom w:val="dotted" w:color="7F7F7F" w:themeColor="text1" w:themeTint="80" w:sz="4" w:space="0"/>
              <w:right w:val="nil"/>
            </w:tcBorders>
            <w:vAlign w:val="center"/>
            <w:hideMark/>
          </w:tcPr>
          <w:p w:rsidR="00EF59F3" w:rsidP="00EF59F3" w:rsidRDefault="00C92F0C" w14:paraId="4A398A69" w14:textId="77777777">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Melissa Fernández Reinoso</w:t>
            </w:r>
            <w:r w:rsidRPr="00EF59F3" w:rsidR="00EF59F3">
              <w:rPr>
                <w:rFonts w:ascii="Arial" w:hAnsi="Arial" w:eastAsia="Times New Roman" w:cs="Arial"/>
                <w:color w:val="000000" w:themeColor="text1"/>
                <w:sz w:val="16"/>
                <w:szCs w:val="16"/>
                <w:lang w:val="es-CO" w:eastAsia="es-ES"/>
              </w:rPr>
              <w:t xml:space="preserve"> </w:t>
            </w:r>
          </w:p>
          <w:p w:rsidRPr="00EF59F3" w:rsidR="00C92F0C" w:rsidP="00EF59F3" w:rsidRDefault="00C92F0C" w14:paraId="5FCDE458" w14:textId="144A62B9">
            <w:pPr>
              <w:rPr>
                <w:rFonts w:ascii="Arial" w:hAnsi="Arial" w:eastAsia="Times New Roman" w:cs="Arial"/>
                <w:color w:val="000000" w:themeColor="text1"/>
                <w:sz w:val="16"/>
                <w:szCs w:val="16"/>
                <w:lang w:val="es-CO" w:eastAsia="es-ES"/>
              </w:rPr>
            </w:pPr>
            <w:r>
              <w:rPr>
                <w:rFonts w:ascii="Arial" w:hAnsi="Arial" w:eastAsia="Times New Roman" w:cs="Arial"/>
                <w:color w:val="000000" w:themeColor="text1"/>
                <w:sz w:val="16"/>
                <w:szCs w:val="16"/>
                <w:lang w:val="es-CO" w:eastAsia="es-ES"/>
              </w:rPr>
              <w:t>Analista T2-2</w:t>
            </w:r>
            <w:r w:rsidR="00051921">
              <w:rPr>
                <w:rFonts w:ascii="Arial" w:hAnsi="Arial" w:eastAsia="Times New Roman" w:cs="Arial"/>
                <w:color w:val="000000" w:themeColor="text1"/>
                <w:sz w:val="16"/>
                <w:szCs w:val="16"/>
                <w:lang w:val="es-CO" w:eastAsia="es-ES"/>
              </w:rPr>
              <w:t xml:space="preserve"> </w:t>
            </w:r>
            <w:r w:rsidRPr="00EF59F3" w:rsidR="00051921">
              <w:rPr>
                <w:rFonts w:ascii="Arial" w:hAnsi="Arial" w:eastAsia="Times New Roman" w:cs="Arial"/>
                <w:color w:val="000000" w:themeColor="text1"/>
                <w:sz w:val="16"/>
                <w:szCs w:val="16"/>
                <w:lang w:val="es-CO" w:eastAsia="es-ES"/>
              </w:rPr>
              <w:t>de la Subdirección de Gestión Contractual</w:t>
            </w:r>
          </w:p>
        </w:tc>
      </w:tr>
      <w:tr w:rsidRPr="00EF59F3" w:rsidR="00EF59F3" w:rsidTr="00815E3C" w14:paraId="64F53BFA" w14:textId="77777777">
        <w:trPr>
          <w:trHeight w:val="330"/>
        </w:trPr>
        <w:tc>
          <w:tcPr>
            <w:tcW w:w="812" w:type="dxa"/>
            <w:vAlign w:val="center"/>
            <w:hideMark/>
          </w:tcPr>
          <w:p w:rsidRPr="00EF59F3" w:rsidR="00EF59F3" w:rsidP="00EF59F3" w:rsidRDefault="00EF59F3" w14:paraId="2671C5B1"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F59F3" w:rsidR="00EF59F3" w:rsidP="00EF59F3" w:rsidRDefault="00EF59F3" w14:paraId="75B9EA65"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Sebastián Ramírez Grisales</w:t>
            </w:r>
          </w:p>
          <w:p w:rsidRPr="00EF59F3" w:rsidR="00EF59F3" w:rsidP="00EF59F3" w:rsidRDefault="00EF59F3" w14:paraId="78620F63"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Gestor T1-15 de la Subdirección de Gestión Contractual</w:t>
            </w:r>
          </w:p>
        </w:tc>
      </w:tr>
      <w:tr w:rsidRPr="00EF59F3" w:rsidR="00EF59F3" w:rsidTr="00815E3C" w14:paraId="749D970F" w14:textId="77777777">
        <w:trPr>
          <w:trHeight w:val="300"/>
        </w:trPr>
        <w:tc>
          <w:tcPr>
            <w:tcW w:w="812" w:type="dxa"/>
            <w:vAlign w:val="center"/>
            <w:hideMark/>
          </w:tcPr>
          <w:p w:rsidRPr="00EF59F3" w:rsidR="00EF59F3" w:rsidP="00EF59F3" w:rsidRDefault="00EF59F3" w14:paraId="2F0ADF21"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F59F3" w:rsidR="00EF59F3" w:rsidP="00EF59F3" w:rsidRDefault="00EF59F3" w14:paraId="4F1ED1C0"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Jorge Augusto Tirado Navarro</w:t>
            </w:r>
          </w:p>
          <w:p w:rsidRPr="00EF59F3" w:rsidR="00EF59F3" w:rsidP="00EF59F3" w:rsidRDefault="00EF59F3" w14:paraId="6C6187A4" w14:textId="77777777">
            <w:pPr>
              <w:rPr>
                <w:rFonts w:ascii="Arial" w:hAnsi="Arial" w:eastAsia="Times New Roman" w:cs="Arial"/>
                <w:color w:val="000000" w:themeColor="text1"/>
                <w:sz w:val="16"/>
                <w:szCs w:val="16"/>
                <w:lang w:val="es-CO" w:eastAsia="es-ES"/>
              </w:rPr>
            </w:pPr>
            <w:r w:rsidRPr="00EF59F3">
              <w:rPr>
                <w:rFonts w:ascii="Arial" w:hAnsi="Arial" w:eastAsia="Times New Roman" w:cs="Arial"/>
                <w:color w:val="000000" w:themeColor="text1"/>
                <w:sz w:val="16"/>
                <w:szCs w:val="16"/>
                <w:lang w:val="es-CO" w:eastAsia="es-ES"/>
              </w:rPr>
              <w:t>Subdirector de Gestión Contractual ANCP – CCE</w:t>
            </w:r>
          </w:p>
        </w:tc>
      </w:tr>
    </w:tbl>
    <w:p w:rsidRPr="00EF59F3" w:rsidR="00EF59F3" w:rsidP="00EF59F3" w:rsidRDefault="00EF59F3" w14:paraId="5CB91DA6" w14:textId="77777777">
      <w:pPr>
        <w:spacing w:line="240" w:lineRule="auto"/>
        <w:ind w:right="0" w:firstLine="0"/>
        <w:jc w:val="left"/>
        <w:rPr>
          <w:rFonts w:ascii="Times New Roman" w:hAnsi="Times New Roman" w:eastAsia="Times New Roman" w:cs="Times New Roman"/>
          <w:szCs w:val="24"/>
          <w:lang w:val="es-CO" w:eastAsia="es-MX"/>
        </w:rPr>
      </w:pPr>
    </w:p>
    <w:p w:rsidRPr="000D0EC1" w:rsidR="00EF59F3" w:rsidRDefault="00EF59F3" w14:paraId="74B9BC7B" w14:textId="77777777">
      <w:pPr>
        <w:tabs>
          <w:tab w:val="left" w:pos="7938"/>
          <w:tab w:val="left" w:pos="8080"/>
        </w:tabs>
        <w:ind w:right="900"/>
        <w:rPr>
          <w:rFonts w:ascii="Arial" w:hAnsi="Arial" w:cs="Arial"/>
          <w:sz w:val="22"/>
        </w:rPr>
      </w:pPr>
    </w:p>
    <w:sectPr w:rsidRPr="000D0EC1" w:rsidR="00EF59F3" w:rsidSect="000D0EC1">
      <w:pgSz w:w="12240" w:h="15840" w:orient="portrait"/>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5E3C" w:rsidP="00410548" w:rsidRDefault="00815E3C" w14:paraId="656F5013" w14:textId="77777777">
      <w:r>
        <w:separator/>
      </w:r>
    </w:p>
  </w:endnote>
  <w:endnote w:type="continuationSeparator" w:id="0">
    <w:p w:rsidR="00815E3C" w:rsidP="00410548" w:rsidRDefault="00815E3C" w14:paraId="4B6A8EE5" w14:textId="77777777">
      <w:r>
        <w:continuationSeparator/>
      </w:r>
    </w:p>
  </w:endnote>
  <w:endnote w:type="continuationNotice" w:id="1">
    <w:p w:rsidR="00815E3C" w:rsidRDefault="00815E3C" w14:paraId="0200558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5E3C" w:rsidP="00410548" w:rsidRDefault="00815E3C" w14:paraId="636B082D" w14:textId="77777777">
      <w:r>
        <w:separator/>
      </w:r>
    </w:p>
  </w:footnote>
  <w:footnote w:type="continuationSeparator" w:id="0">
    <w:p w:rsidR="00815E3C" w:rsidP="00410548" w:rsidRDefault="00815E3C" w14:paraId="6A53CDD3" w14:textId="77777777">
      <w:r>
        <w:continuationSeparator/>
      </w:r>
    </w:p>
  </w:footnote>
  <w:footnote w:type="continuationNotice" w:id="1">
    <w:p w:rsidR="00815E3C" w:rsidRDefault="00815E3C" w14:paraId="30EC5CB8" w14:textId="77777777">
      <w:pPr>
        <w:spacing w:line="240" w:lineRule="auto"/>
      </w:pPr>
    </w:p>
  </w:footnote>
  <w:footnote w:id="2">
    <w:p w:rsidR="00EF59F3" w:rsidP="000A29E2" w:rsidRDefault="00EF59F3" w14:paraId="00752ADE" w14:textId="77777777">
      <w:pPr>
        <w:pStyle w:val="FootnoteText"/>
        <w:spacing w:line="240" w:lineRule="auto"/>
        <w:ind w:right="0" w:firstLine="708"/>
        <w:rPr>
          <w:rFonts w:ascii="Arial" w:hAnsi="Arial" w:cs="Arial"/>
          <w:sz w:val="19"/>
          <w:szCs w:val="19"/>
        </w:rPr>
      </w:pPr>
      <w:r w:rsidRPr="00BC1ADF">
        <w:rPr>
          <w:rStyle w:val="FootnoteReferenc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rsidRPr="00BC1ADF" w:rsidR="00EF59F3" w:rsidP="000A29E2" w:rsidRDefault="00EF59F3" w14:paraId="29FA3900" w14:textId="77777777">
      <w:pPr>
        <w:pStyle w:val="FootnoteText"/>
        <w:spacing w:line="240" w:lineRule="auto"/>
        <w:ind w:right="0" w:firstLine="708"/>
        <w:rPr>
          <w:rFonts w:ascii="Arial" w:hAnsi="Arial" w:cs="Arial"/>
          <w:sz w:val="19"/>
          <w:szCs w:val="19"/>
        </w:rPr>
      </w:pPr>
    </w:p>
  </w:footnote>
  <w:footnote w:id="3">
    <w:p w:rsidR="00EF59F3" w:rsidP="000A29E2" w:rsidRDefault="00EF59F3" w14:paraId="7F69913C" w14:textId="77777777">
      <w:pPr>
        <w:pStyle w:val="FootnoteText"/>
        <w:spacing w:line="240" w:lineRule="auto"/>
        <w:ind w:right="0" w:firstLine="708"/>
        <w:rPr>
          <w:rFonts w:ascii="Arial" w:hAnsi="Arial" w:eastAsia="Calibri" w:cs="Arial"/>
          <w:sz w:val="19"/>
          <w:szCs w:val="19"/>
        </w:rPr>
      </w:pPr>
      <w:r w:rsidRPr="0016135D">
        <w:rPr>
          <w:rStyle w:val="FootnoteReference"/>
          <w:rFonts w:ascii="Arial" w:hAnsi="Arial" w:cs="Arial"/>
          <w:sz w:val="19"/>
          <w:szCs w:val="19"/>
        </w:rPr>
        <w:footnoteRef/>
      </w:r>
      <w:r w:rsidRPr="0016135D">
        <w:rPr>
          <w:rFonts w:ascii="Arial" w:hAnsi="Arial" w:cs="Arial"/>
          <w:sz w:val="19"/>
          <w:szCs w:val="19"/>
        </w:rPr>
        <w:t xml:space="preserve"> </w:t>
      </w:r>
      <w:r w:rsidRPr="0016135D">
        <w:rPr>
          <w:rFonts w:ascii="Arial" w:hAnsi="Arial" w:eastAsia="Calibri" w:cs="Arial"/>
          <w:sz w:val="19"/>
          <w:szCs w:val="19"/>
        </w:rPr>
        <w:t xml:space="preserve">Diario Oficial. Gaceta del Congreso 458 de 2005. </w:t>
      </w:r>
    </w:p>
    <w:p w:rsidRPr="00146D26" w:rsidR="00EF59F3" w:rsidP="000A29E2" w:rsidRDefault="00EF59F3" w14:paraId="0FF5A725" w14:textId="77777777">
      <w:pPr>
        <w:pStyle w:val="FootnoteText"/>
        <w:spacing w:line="240" w:lineRule="auto"/>
        <w:ind w:right="0" w:firstLine="708"/>
        <w:rPr>
          <w:rFonts w:ascii="Arial" w:hAnsi="Arial" w:eastAsia="Calibri" w:cs="Arial"/>
          <w:sz w:val="19"/>
          <w:szCs w:val="19"/>
        </w:rPr>
      </w:pPr>
    </w:p>
  </w:footnote>
  <w:footnote w:id="4">
    <w:p w:rsidR="00EF59F3" w:rsidP="000A29E2" w:rsidRDefault="00EF59F3" w14:paraId="5E19E75E" w14:textId="77777777">
      <w:pPr>
        <w:pStyle w:val="FootnoteText"/>
        <w:spacing w:line="240" w:lineRule="auto"/>
        <w:ind w:right="0"/>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rsidRPr="0016135D" w:rsidR="00EF59F3" w:rsidP="000A29E2" w:rsidRDefault="00EF59F3" w14:paraId="22CDF271" w14:textId="77777777">
      <w:pPr>
        <w:pStyle w:val="FootnoteText"/>
        <w:spacing w:line="240" w:lineRule="auto"/>
        <w:ind w:right="0"/>
        <w:rPr>
          <w:rFonts w:ascii="Arial" w:hAnsi="Arial" w:cs="Arial"/>
          <w:sz w:val="19"/>
          <w:szCs w:val="19"/>
          <w:lang w:val="es-ES"/>
        </w:rPr>
      </w:pPr>
    </w:p>
  </w:footnote>
  <w:footnote w:id="5">
    <w:p w:rsidRPr="0016135D" w:rsidR="00EF59F3" w:rsidP="000A29E2" w:rsidRDefault="00EF59F3" w14:paraId="51DAA51A" w14:textId="77777777">
      <w:pPr>
        <w:pStyle w:val="FootnoteText"/>
        <w:spacing w:line="240" w:lineRule="auto"/>
        <w:ind w:right="0" w:firstLine="708"/>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6">
    <w:p w:rsidR="00EF59F3" w:rsidP="000A29E2" w:rsidRDefault="00EF59F3" w14:paraId="4BFCBE4C" w14:textId="77777777">
      <w:pPr>
        <w:pStyle w:val="FootnoteText"/>
        <w:spacing w:line="240" w:lineRule="auto"/>
        <w:ind w:right="0" w:firstLine="709"/>
        <w:rPr>
          <w:rFonts w:ascii="Arial" w:hAnsi="Arial" w:cs="Arial"/>
          <w:sz w:val="19"/>
          <w:szCs w:val="19"/>
        </w:rPr>
      </w:pPr>
    </w:p>
    <w:p w:rsidRPr="00270009" w:rsidR="00EF59F3" w:rsidP="000A29E2" w:rsidRDefault="00EF59F3" w14:paraId="3A1D3A02" w14:textId="77777777">
      <w:pPr>
        <w:pStyle w:val="FootnoteText"/>
        <w:spacing w:line="240" w:lineRule="auto"/>
        <w:ind w:right="0" w:firstLine="709"/>
        <w:rPr>
          <w:rFonts w:ascii="Arial" w:hAnsi="Arial" w:cs="Arial"/>
          <w:sz w:val="19"/>
          <w:szCs w:val="19"/>
        </w:rPr>
      </w:pPr>
      <w:r w:rsidRPr="00270009">
        <w:rPr>
          <w:rStyle w:val="FootnoteReferenc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70009" w:rsidR="00EF59F3" w:rsidP="000A29E2" w:rsidRDefault="00EF59F3" w14:paraId="0E4734BF" w14:textId="77777777">
      <w:pPr>
        <w:pStyle w:val="FootnoteText"/>
        <w:spacing w:line="240" w:lineRule="auto"/>
        <w:ind w:right="0" w:firstLine="709"/>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70009" w:rsidR="00EF59F3" w:rsidP="000A29E2" w:rsidRDefault="00EF59F3" w14:paraId="5CBF4AF1" w14:textId="77777777">
      <w:pPr>
        <w:pStyle w:val="FootnoteText"/>
        <w:spacing w:line="240" w:lineRule="auto"/>
        <w:ind w:right="0" w:firstLine="709"/>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70009" w:rsidR="00EF59F3" w:rsidP="000A29E2" w:rsidRDefault="00EF59F3" w14:paraId="31AAEB4D" w14:textId="77777777">
      <w:pPr>
        <w:pStyle w:val="FootnoteText"/>
        <w:spacing w:line="240" w:lineRule="auto"/>
        <w:ind w:right="0" w:firstLine="709"/>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146D26" w:rsidR="00EF59F3" w:rsidP="000A29E2" w:rsidRDefault="00EF59F3" w14:paraId="0511A418" w14:textId="77777777">
      <w:pPr>
        <w:pStyle w:val="FootnoteText"/>
        <w:spacing w:line="240" w:lineRule="auto"/>
        <w:ind w:right="0" w:firstLine="708"/>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7">
    <w:p w:rsidRPr="00F12256" w:rsidR="00311D2A" w:rsidP="000A29E2" w:rsidRDefault="00311D2A" w14:paraId="171EAE3F" w14:textId="77777777">
      <w:pPr>
        <w:pStyle w:val="FootnoteText"/>
        <w:spacing w:line="240" w:lineRule="auto"/>
        <w:ind w:right="0" w:firstLine="709"/>
        <w:rPr>
          <w:rFonts w:ascii="Arial" w:hAnsi="Arial" w:cs="Arial"/>
          <w:sz w:val="19"/>
          <w:szCs w:val="19"/>
        </w:rPr>
      </w:pPr>
      <w:r w:rsidRPr="00F12256">
        <w:rPr>
          <w:rStyle w:val="FootnoteReference"/>
          <w:rFonts w:ascii="Arial" w:hAnsi="Arial" w:cs="Arial"/>
          <w:sz w:val="19"/>
          <w:szCs w:val="19"/>
        </w:rPr>
        <w:footnoteRef/>
      </w:r>
      <w:r w:rsidRPr="00F12256">
        <w:rPr>
          <w:rFonts w:ascii="Arial" w:hAnsi="Arial" w:cs="Arial"/>
          <w:sz w:val="19"/>
          <w:szCs w:val="19"/>
        </w:rPr>
        <w:t xml:space="preserve"> En cuanto a las resoluciones vigentes, dicha regla se observa en el artículo 3 de las Resoluciones 240, 241, 248, 249, 256 y 269 de 2020, así como en el artículo 2 de la Resolución 094 de 2020.</w:t>
      </w:r>
    </w:p>
  </w:footnote>
  <w:footnote w:id="8">
    <w:p w:rsidRPr="004F3C32" w:rsidR="00EF59F3" w:rsidP="000A29E2" w:rsidRDefault="00EF59F3" w14:paraId="10D0EC43" w14:textId="77777777">
      <w:pPr>
        <w:pStyle w:val="FootnoteText"/>
        <w:spacing w:line="240" w:lineRule="auto"/>
        <w:ind w:right="0" w:firstLine="708"/>
        <w:rPr>
          <w:rFonts w:ascii="Arial" w:hAnsi="Arial" w:cs="Arial"/>
          <w:sz w:val="19"/>
          <w:szCs w:val="19"/>
        </w:rPr>
      </w:pPr>
      <w:r w:rsidRPr="004F3C32">
        <w:rPr>
          <w:rStyle w:val="FootnoteReferenc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4F3C32" w:rsidR="00EF59F3" w:rsidP="000A29E2" w:rsidRDefault="00EF59F3" w14:paraId="3A047B04" w14:textId="77777777">
      <w:pPr>
        <w:pStyle w:val="FootnoteText"/>
        <w:spacing w:line="240" w:lineRule="auto"/>
        <w:ind w:right="0" w:firstLine="708"/>
        <w:rPr>
          <w:rFonts w:ascii="Arial" w:hAnsi="Arial" w:cs="Arial"/>
          <w:sz w:val="19"/>
          <w:szCs w:val="19"/>
        </w:rPr>
      </w:pPr>
      <w:r w:rsidRPr="004F3C32">
        <w:rPr>
          <w:rFonts w:ascii="Arial" w:hAnsi="Arial" w:cs="Arial"/>
          <w:sz w:val="19"/>
          <w:szCs w:val="19"/>
        </w:rPr>
        <w:t>[…]</w:t>
      </w:r>
    </w:p>
    <w:p w:rsidRPr="001E7492" w:rsidR="00EF59F3" w:rsidP="000A29E2" w:rsidRDefault="00EF59F3" w14:paraId="58F01687" w14:textId="77777777">
      <w:pPr>
        <w:pStyle w:val="FootnoteText"/>
        <w:spacing w:line="240" w:lineRule="auto"/>
        <w:ind w:right="0" w:firstLine="708"/>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rsidRPr="004F3C32" w:rsidR="00EF59F3" w:rsidP="000A29E2" w:rsidRDefault="00EF59F3" w14:paraId="0D9D1D3A" w14:textId="77777777">
      <w:pPr>
        <w:pStyle w:val="FootnoteText"/>
        <w:spacing w:line="240" w:lineRule="auto"/>
        <w:ind w:right="0" w:firstLine="708"/>
        <w:rPr>
          <w:rFonts w:ascii="Arial" w:hAnsi="Arial" w:cs="Arial"/>
          <w:sz w:val="19"/>
          <w:szCs w:val="19"/>
          <w:lang w:val="es-CO"/>
        </w:rPr>
      </w:pPr>
    </w:p>
  </w:footnote>
  <w:footnote w:id="9">
    <w:p w:rsidRPr="004F3C32" w:rsidR="00EF59F3" w:rsidP="000A29E2" w:rsidRDefault="00EF59F3" w14:paraId="5F76E7ED" w14:textId="77777777">
      <w:pPr>
        <w:pStyle w:val="FootnoteText"/>
        <w:spacing w:line="240" w:lineRule="auto"/>
        <w:ind w:right="0" w:firstLine="708"/>
        <w:rPr>
          <w:rFonts w:ascii="Arial" w:hAnsi="Arial" w:cs="Arial"/>
          <w:sz w:val="19"/>
          <w:szCs w:val="19"/>
        </w:rPr>
      </w:pPr>
      <w:r w:rsidRPr="004F3C32">
        <w:rPr>
          <w:rStyle w:val="FootnoteReferenc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4F3C32" w:rsidR="00EF59F3" w:rsidP="000A29E2" w:rsidRDefault="00EF59F3" w14:paraId="6FAC4F3A" w14:textId="77777777">
      <w:pPr>
        <w:pStyle w:val="FootnoteText"/>
        <w:spacing w:line="240" w:lineRule="auto"/>
        <w:ind w:right="0" w:firstLine="708"/>
        <w:rPr>
          <w:rFonts w:ascii="Arial" w:hAnsi="Arial" w:cs="Arial"/>
          <w:sz w:val="19"/>
          <w:szCs w:val="19"/>
        </w:rPr>
      </w:pPr>
      <w:r w:rsidRPr="004F3C32">
        <w:rPr>
          <w:rFonts w:ascii="Arial" w:hAnsi="Arial" w:cs="Arial"/>
          <w:sz w:val="19"/>
          <w:szCs w:val="19"/>
        </w:rPr>
        <w:t>[…]</w:t>
      </w:r>
    </w:p>
    <w:p w:rsidRPr="004F3C32" w:rsidR="00EF59F3" w:rsidP="000A29E2" w:rsidRDefault="00EF59F3" w14:paraId="406865FF" w14:textId="77777777">
      <w:pPr>
        <w:pStyle w:val="FootnoteText"/>
        <w:spacing w:line="240" w:lineRule="auto"/>
        <w:ind w:right="0" w:firstLine="708"/>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6"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trackRevisions w:val="false"/>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763"/>
    <w:rsid w:val="0000081D"/>
    <w:rsid w:val="00002FC6"/>
    <w:rsid w:val="00011D84"/>
    <w:rsid w:val="000127CE"/>
    <w:rsid w:val="00015772"/>
    <w:rsid w:val="00020023"/>
    <w:rsid w:val="00022230"/>
    <w:rsid w:val="0002268A"/>
    <w:rsid w:val="0002672C"/>
    <w:rsid w:val="00026955"/>
    <w:rsid w:val="00033E56"/>
    <w:rsid w:val="000410EB"/>
    <w:rsid w:val="00042F47"/>
    <w:rsid w:val="00047028"/>
    <w:rsid w:val="00051921"/>
    <w:rsid w:val="000530F6"/>
    <w:rsid w:val="000565F6"/>
    <w:rsid w:val="000641D9"/>
    <w:rsid w:val="00065825"/>
    <w:rsid w:val="000747D8"/>
    <w:rsid w:val="00081F6E"/>
    <w:rsid w:val="00085EB2"/>
    <w:rsid w:val="0009174B"/>
    <w:rsid w:val="0009323D"/>
    <w:rsid w:val="000A29E2"/>
    <w:rsid w:val="000A4D64"/>
    <w:rsid w:val="000A4EEA"/>
    <w:rsid w:val="000A52B1"/>
    <w:rsid w:val="000A55A6"/>
    <w:rsid w:val="000A55B7"/>
    <w:rsid w:val="000A62CA"/>
    <w:rsid w:val="000B6073"/>
    <w:rsid w:val="000B65BC"/>
    <w:rsid w:val="000B6B53"/>
    <w:rsid w:val="000C043E"/>
    <w:rsid w:val="000D0EC1"/>
    <w:rsid w:val="000D6CAB"/>
    <w:rsid w:val="000E3A95"/>
    <w:rsid w:val="000E3E20"/>
    <w:rsid w:val="000E5798"/>
    <w:rsid w:val="000E5886"/>
    <w:rsid w:val="000E5BC3"/>
    <w:rsid w:val="000F01F1"/>
    <w:rsid w:val="000F27BD"/>
    <w:rsid w:val="000F29FC"/>
    <w:rsid w:val="000F4BFE"/>
    <w:rsid w:val="000F5C45"/>
    <w:rsid w:val="000F6CC2"/>
    <w:rsid w:val="001049F0"/>
    <w:rsid w:val="0011000B"/>
    <w:rsid w:val="00112645"/>
    <w:rsid w:val="001140ED"/>
    <w:rsid w:val="00120E3E"/>
    <w:rsid w:val="001232A6"/>
    <w:rsid w:val="0012477B"/>
    <w:rsid w:val="001305DB"/>
    <w:rsid w:val="001402E0"/>
    <w:rsid w:val="0014664B"/>
    <w:rsid w:val="00146996"/>
    <w:rsid w:val="00150F53"/>
    <w:rsid w:val="001527BD"/>
    <w:rsid w:val="00155917"/>
    <w:rsid w:val="0015721C"/>
    <w:rsid w:val="001605D3"/>
    <w:rsid w:val="00161B65"/>
    <w:rsid w:val="001644DA"/>
    <w:rsid w:val="00165F1E"/>
    <w:rsid w:val="0016628A"/>
    <w:rsid w:val="00171A04"/>
    <w:rsid w:val="001776A5"/>
    <w:rsid w:val="00181BE9"/>
    <w:rsid w:val="00186971"/>
    <w:rsid w:val="00190407"/>
    <w:rsid w:val="001927C2"/>
    <w:rsid w:val="00193678"/>
    <w:rsid w:val="0019554C"/>
    <w:rsid w:val="00196E72"/>
    <w:rsid w:val="001A170A"/>
    <w:rsid w:val="001A1F6B"/>
    <w:rsid w:val="001B0C26"/>
    <w:rsid w:val="001B1DE6"/>
    <w:rsid w:val="001B3C13"/>
    <w:rsid w:val="001C2CD8"/>
    <w:rsid w:val="001C6033"/>
    <w:rsid w:val="001D0C49"/>
    <w:rsid w:val="001D1139"/>
    <w:rsid w:val="001D4DB6"/>
    <w:rsid w:val="001D5B2E"/>
    <w:rsid w:val="001E12E6"/>
    <w:rsid w:val="001E39C4"/>
    <w:rsid w:val="001F219A"/>
    <w:rsid w:val="001F6929"/>
    <w:rsid w:val="001F7285"/>
    <w:rsid w:val="00200FE1"/>
    <w:rsid w:val="00201616"/>
    <w:rsid w:val="002103E2"/>
    <w:rsid w:val="00214F1F"/>
    <w:rsid w:val="002159DA"/>
    <w:rsid w:val="00216748"/>
    <w:rsid w:val="00227078"/>
    <w:rsid w:val="00232A00"/>
    <w:rsid w:val="00234DC1"/>
    <w:rsid w:val="0023617A"/>
    <w:rsid w:val="00244BE7"/>
    <w:rsid w:val="0025162F"/>
    <w:rsid w:val="002641D6"/>
    <w:rsid w:val="00265D8F"/>
    <w:rsid w:val="0027380E"/>
    <w:rsid w:val="00296B10"/>
    <w:rsid w:val="00297846"/>
    <w:rsid w:val="002A03FA"/>
    <w:rsid w:val="002A0D9B"/>
    <w:rsid w:val="002A2F32"/>
    <w:rsid w:val="002B325B"/>
    <w:rsid w:val="002B6BBE"/>
    <w:rsid w:val="002B7512"/>
    <w:rsid w:val="002B7C10"/>
    <w:rsid w:val="002C12DF"/>
    <w:rsid w:val="002E2051"/>
    <w:rsid w:val="002E5161"/>
    <w:rsid w:val="002E65DE"/>
    <w:rsid w:val="002F6640"/>
    <w:rsid w:val="003011AF"/>
    <w:rsid w:val="003025AD"/>
    <w:rsid w:val="00311D2A"/>
    <w:rsid w:val="003143C1"/>
    <w:rsid w:val="003151A7"/>
    <w:rsid w:val="0032443C"/>
    <w:rsid w:val="003313A9"/>
    <w:rsid w:val="00333613"/>
    <w:rsid w:val="00342544"/>
    <w:rsid w:val="00344A1C"/>
    <w:rsid w:val="00345D94"/>
    <w:rsid w:val="00345F3B"/>
    <w:rsid w:val="00346F23"/>
    <w:rsid w:val="00347F01"/>
    <w:rsid w:val="00356250"/>
    <w:rsid w:val="003603B2"/>
    <w:rsid w:val="00371D41"/>
    <w:rsid w:val="0038089B"/>
    <w:rsid w:val="00380F36"/>
    <w:rsid w:val="0038503A"/>
    <w:rsid w:val="00387503"/>
    <w:rsid w:val="003876F0"/>
    <w:rsid w:val="003A65D2"/>
    <w:rsid w:val="003B2F11"/>
    <w:rsid w:val="003B6BBE"/>
    <w:rsid w:val="003C260C"/>
    <w:rsid w:val="003C549C"/>
    <w:rsid w:val="003C7269"/>
    <w:rsid w:val="003D389E"/>
    <w:rsid w:val="003D780D"/>
    <w:rsid w:val="003E0052"/>
    <w:rsid w:val="003E07E4"/>
    <w:rsid w:val="003E12DF"/>
    <w:rsid w:val="003E148B"/>
    <w:rsid w:val="003F2B0D"/>
    <w:rsid w:val="003F5935"/>
    <w:rsid w:val="003F6F00"/>
    <w:rsid w:val="003F75E7"/>
    <w:rsid w:val="0040149B"/>
    <w:rsid w:val="00404EB3"/>
    <w:rsid w:val="004072CC"/>
    <w:rsid w:val="00410548"/>
    <w:rsid w:val="0041258C"/>
    <w:rsid w:val="00415CA0"/>
    <w:rsid w:val="00416B9D"/>
    <w:rsid w:val="004171A4"/>
    <w:rsid w:val="004220A8"/>
    <w:rsid w:val="00422495"/>
    <w:rsid w:val="00422637"/>
    <w:rsid w:val="00441348"/>
    <w:rsid w:val="00443012"/>
    <w:rsid w:val="00451A10"/>
    <w:rsid w:val="004549A2"/>
    <w:rsid w:val="004549E4"/>
    <w:rsid w:val="00454D8E"/>
    <w:rsid w:val="00455DD2"/>
    <w:rsid w:val="004609C3"/>
    <w:rsid w:val="004626D4"/>
    <w:rsid w:val="004666A0"/>
    <w:rsid w:val="00466922"/>
    <w:rsid w:val="004731A1"/>
    <w:rsid w:val="004742A9"/>
    <w:rsid w:val="0047473C"/>
    <w:rsid w:val="00476762"/>
    <w:rsid w:val="004807D6"/>
    <w:rsid w:val="00486222"/>
    <w:rsid w:val="00486942"/>
    <w:rsid w:val="004869EA"/>
    <w:rsid w:val="00487E09"/>
    <w:rsid w:val="00491724"/>
    <w:rsid w:val="00493AAD"/>
    <w:rsid w:val="004A183E"/>
    <w:rsid w:val="004A5528"/>
    <w:rsid w:val="004B0B56"/>
    <w:rsid w:val="004B2CD0"/>
    <w:rsid w:val="004B49DA"/>
    <w:rsid w:val="004B5419"/>
    <w:rsid w:val="004C1BE9"/>
    <w:rsid w:val="004D1E82"/>
    <w:rsid w:val="004E2C8B"/>
    <w:rsid w:val="004E2D43"/>
    <w:rsid w:val="004E3492"/>
    <w:rsid w:val="004E6DE6"/>
    <w:rsid w:val="004E6F3B"/>
    <w:rsid w:val="004F09A2"/>
    <w:rsid w:val="004F1520"/>
    <w:rsid w:val="004F6B17"/>
    <w:rsid w:val="004F7C93"/>
    <w:rsid w:val="00504959"/>
    <w:rsid w:val="00505D1D"/>
    <w:rsid w:val="005152A5"/>
    <w:rsid w:val="0052117A"/>
    <w:rsid w:val="0052416F"/>
    <w:rsid w:val="00540859"/>
    <w:rsid w:val="00543859"/>
    <w:rsid w:val="00544CA9"/>
    <w:rsid w:val="00552161"/>
    <w:rsid w:val="00557E40"/>
    <w:rsid w:val="0056315E"/>
    <w:rsid w:val="00563AE3"/>
    <w:rsid w:val="00564349"/>
    <w:rsid w:val="00564CA8"/>
    <w:rsid w:val="00564DF9"/>
    <w:rsid w:val="005916EB"/>
    <w:rsid w:val="00592931"/>
    <w:rsid w:val="005934A5"/>
    <w:rsid w:val="005A03BA"/>
    <w:rsid w:val="005A095C"/>
    <w:rsid w:val="005A1B4C"/>
    <w:rsid w:val="005A6E4F"/>
    <w:rsid w:val="005A737F"/>
    <w:rsid w:val="005B024B"/>
    <w:rsid w:val="005B0E00"/>
    <w:rsid w:val="005B3394"/>
    <w:rsid w:val="005B4625"/>
    <w:rsid w:val="005C056B"/>
    <w:rsid w:val="005C3176"/>
    <w:rsid w:val="005D170F"/>
    <w:rsid w:val="005D2581"/>
    <w:rsid w:val="005D30CF"/>
    <w:rsid w:val="005D44D8"/>
    <w:rsid w:val="005D4987"/>
    <w:rsid w:val="005D62AD"/>
    <w:rsid w:val="005E21F0"/>
    <w:rsid w:val="005E28EA"/>
    <w:rsid w:val="005E409D"/>
    <w:rsid w:val="005E42EB"/>
    <w:rsid w:val="005E4F05"/>
    <w:rsid w:val="005E66F9"/>
    <w:rsid w:val="005F2B43"/>
    <w:rsid w:val="005F43FA"/>
    <w:rsid w:val="005F581E"/>
    <w:rsid w:val="005F6FF4"/>
    <w:rsid w:val="00605AB9"/>
    <w:rsid w:val="00605ABE"/>
    <w:rsid w:val="00612BFD"/>
    <w:rsid w:val="0064206D"/>
    <w:rsid w:val="00653E73"/>
    <w:rsid w:val="006600DF"/>
    <w:rsid w:val="00661BDB"/>
    <w:rsid w:val="0066563F"/>
    <w:rsid w:val="006669E9"/>
    <w:rsid w:val="00666E21"/>
    <w:rsid w:val="00670E88"/>
    <w:rsid w:val="006713E3"/>
    <w:rsid w:val="00677E27"/>
    <w:rsid w:val="00687BA9"/>
    <w:rsid w:val="00687EAF"/>
    <w:rsid w:val="00692A58"/>
    <w:rsid w:val="00695738"/>
    <w:rsid w:val="006B4707"/>
    <w:rsid w:val="006B5AE8"/>
    <w:rsid w:val="006B6D5D"/>
    <w:rsid w:val="006D05CF"/>
    <w:rsid w:val="006E08C6"/>
    <w:rsid w:val="006E366F"/>
    <w:rsid w:val="006E4915"/>
    <w:rsid w:val="006E5DF1"/>
    <w:rsid w:val="006E626A"/>
    <w:rsid w:val="006F24BC"/>
    <w:rsid w:val="006F7E0A"/>
    <w:rsid w:val="00705038"/>
    <w:rsid w:val="00716AFE"/>
    <w:rsid w:val="007241ED"/>
    <w:rsid w:val="00730CFE"/>
    <w:rsid w:val="00734F96"/>
    <w:rsid w:val="00742CD5"/>
    <w:rsid w:val="00750F05"/>
    <w:rsid w:val="00754A0D"/>
    <w:rsid w:val="007573CC"/>
    <w:rsid w:val="00760A6E"/>
    <w:rsid w:val="007619D2"/>
    <w:rsid w:val="007647DC"/>
    <w:rsid w:val="00765466"/>
    <w:rsid w:val="00766336"/>
    <w:rsid w:val="00770A54"/>
    <w:rsid w:val="0077538D"/>
    <w:rsid w:val="00775CC1"/>
    <w:rsid w:val="00777641"/>
    <w:rsid w:val="00782377"/>
    <w:rsid w:val="00784A37"/>
    <w:rsid w:val="00785B05"/>
    <w:rsid w:val="0078650D"/>
    <w:rsid w:val="007870E3"/>
    <w:rsid w:val="00787564"/>
    <w:rsid w:val="0078790D"/>
    <w:rsid w:val="0079057E"/>
    <w:rsid w:val="00795776"/>
    <w:rsid w:val="007A1CB5"/>
    <w:rsid w:val="007A3E03"/>
    <w:rsid w:val="007A5087"/>
    <w:rsid w:val="007A58A5"/>
    <w:rsid w:val="007A5C34"/>
    <w:rsid w:val="007A65AD"/>
    <w:rsid w:val="007A7C13"/>
    <w:rsid w:val="007B08E1"/>
    <w:rsid w:val="007B1772"/>
    <w:rsid w:val="007B34D3"/>
    <w:rsid w:val="007B63C4"/>
    <w:rsid w:val="007B69F3"/>
    <w:rsid w:val="007B7722"/>
    <w:rsid w:val="007D25EB"/>
    <w:rsid w:val="007D4E8C"/>
    <w:rsid w:val="007E138A"/>
    <w:rsid w:val="007E35E5"/>
    <w:rsid w:val="007E38CC"/>
    <w:rsid w:val="007E4B23"/>
    <w:rsid w:val="007E5433"/>
    <w:rsid w:val="007E55FB"/>
    <w:rsid w:val="007E6329"/>
    <w:rsid w:val="007F093F"/>
    <w:rsid w:val="007F478E"/>
    <w:rsid w:val="007F4888"/>
    <w:rsid w:val="008007F0"/>
    <w:rsid w:val="00804567"/>
    <w:rsid w:val="008066CA"/>
    <w:rsid w:val="00810A4D"/>
    <w:rsid w:val="00815E3C"/>
    <w:rsid w:val="00820175"/>
    <w:rsid w:val="0082074F"/>
    <w:rsid w:val="00825498"/>
    <w:rsid w:val="008333C9"/>
    <w:rsid w:val="00837CCC"/>
    <w:rsid w:val="00840D1A"/>
    <w:rsid w:val="008452A7"/>
    <w:rsid w:val="00847743"/>
    <w:rsid w:val="00847B11"/>
    <w:rsid w:val="00857F2F"/>
    <w:rsid w:val="00866A31"/>
    <w:rsid w:val="00872597"/>
    <w:rsid w:val="008728EF"/>
    <w:rsid w:val="0087596D"/>
    <w:rsid w:val="00884C3E"/>
    <w:rsid w:val="00890BF8"/>
    <w:rsid w:val="008A1BB9"/>
    <w:rsid w:val="008A3FE0"/>
    <w:rsid w:val="008B0510"/>
    <w:rsid w:val="008B3563"/>
    <w:rsid w:val="008B4245"/>
    <w:rsid w:val="008B7814"/>
    <w:rsid w:val="008C0075"/>
    <w:rsid w:val="008C00F1"/>
    <w:rsid w:val="008C2292"/>
    <w:rsid w:val="008C2D00"/>
    <w:rsid w:val="008C395F"/>
    <w:rsid w:val="008C4443"/>
    <w:rsid w:val="008C68C2"/>
    <w:rsid w:val="008D088A"/>
    <w:rsid w:val="008D2297"/>
    <w:rsid w:val="008D2EBF"/>
    <w:rsid w:val="008D4450"/>
    <w:rsid w:val="008D542F"/>
    <w:rsid w:val="008D7440"/>
    <w:rsid w:val="008E1CD0"/>
    <w:rsid w:val="008E283A"/>
    <w:rsid w:val="008E3FC4"/>
    <w:rsid w:val="008F049C"/>
    <w:rsid w:val="008F2748"/>
    <w:rsid w:val="008F31F9"/>
    <w:rsid w:val="00903CAC"/>
    <w:rsid w:val="00904CB3"/>
    <w:rsid w:val="0093440A"/>
    <w:rsid w:val="00937CDE"/>
    <w:rsid w:val="00940E67"/>
    <w:rsid w:val="009414EF"/>
    <w:rsid w:val="00941D5D"/>
    <w:rsid w:val="0094363D"/>
    <w:rsid w:val="00943E9F"/>
    <w:rsid w:val="00944030"/>
    <w:rsid w:val="0094476E"/>
    <w:rsid w:val="00945B70"/>
    <w:rsid w:val="009479CF"/>
    <w:rsid w:val="00950D32"/>
    <w:rsid w:val="00951AC6"/>
    <w:rsid w:val="009576C1"/>
    <w:rsid w:val="00957F44"/>
    <w:rsid w:val="00961B44"/>
    <w:rsid w:val="00961D9E"/>
    <w:rsid w:val="00967DC1"/>
    <w:rsid w:val="00981703"/>
    <w:rsid w:val="00983E4C"/>
    <w:rsid w:val="00991BD2"/>
    <w:rsid w:val="00993B59"/>
    <w:rsid w:val="009A0FD4"/>
    <w:rsid w:val="009A11D7"/>
    <w:rsid w:val="009A326C"/>
    <w:rsid w:val="009A7D4E"/>
    <w:rsid w:val="009B3972"/>
    <w:rsid w:val="009B76E3"/>
    <w:rsid w:val="009C0948"/>
    <w:rsid w:val="009C4EE9"/>
    <w:rsid w:val="009C639C"/>
    <w:rsid w:val="009C6498"/>
    <w:rsid w:val="009D2C76"/>
    <w:rsid w:val="009D2DF4"/>
    <w:rsid w:val="009E62B9"/>
    <w:rsid w:val="009E6DD3"/>
    <w:rsid w:val="009F0116"/>
    <w:rsid w:val="009F2D33"/>
    <w:rsid w:val="009F5559"/>
    <w:rsid w:val="009F77CB"/>
    <w:rsid w:val="00A14880"/>
    <w:rsid w:val="00A165DA"/>
    <w:rsid w:val="00A21E37"/>
    <w:rsid w:val="00A24EE3"/>
    <w:rsid w:val="00A26E7F"/>
    <w:rsid w:val="00A32007"/>
    <w:rsid w:val="00A325F9"/>
    <w:rsid w:val="00A35A44"/>
    <w:rsid w:val="00A4359A"/>
    <w:rsid w:val="00A439EC"/>
    <w:rsid w:val="00A43B46"/>
    <w:rsid w:val="00A57770"/>
    <w:rsid w:val="00A60864"/>
    <w:rsid w:val="00A621BA"/>
    <w:rsid w:val="00A62ED2"/>
    <w:rsid w:val="00A63061"/>
    <w:rsid w:val="00A63CE7"/>
    <w:rsid w:val="00A70ABD"/>
    <w:rsid w:val="00A72F28"/>
    <w:rsid w:val="00A772CD"/>
    <w:rsid w:val="00A8377F"/>
    <w:rsid w:val="00A913C0"/>
    <w:rsid w:val="00AA2AB4"/>
    <w:rsid w:val="00AA6041"/>
    <w:rsid w:val="00AB7996"/>
    <w:rsid w:val="00AC02B2"/>
    <w:rsid w:val="00AC418D"/>
    <w:rsid w:val="00AC68DE"/>
    <w:rsid w:val="00AD04F0"/>
    <w:rsid w:val="00AD08CE"/>
    <w:rsid w:val="00AD3712"/>
    <w:rsid w:val="00AD3C75"/>
    <w:rsid w:val="00AD6603"/>
    <w:rsid w:val="00AE02CF"/>
    <w:rsid w:val="00AE05A6"/>
    <w:rsid w:val="00AE61AB"/>
    <w:rsid w:val="00AE6BB4"/>
    <w:rsid w:val="00AE7EF8"/>
    <w:rsid w:val="00B01631"/>
    <w:rsid w:val="00B021D0"/>
    <w:rsid w:val="00B0433E"/>
    <w:rsid w:val="00B07C03"/>
    <w:rsid w:val="00B13704"/>
    <w:rsid w:val="00B241B4"/>
    <w:rsid w:val="00B24A73"/>
    <w:rsid w:val="00B260C1"/>
    <w:rsid w:val="00B34FD1"/>
    <w:rsid w:val="00B35F6D"/>
    <w:rsid w:val="00B36949"/>
    <w:rsid w:val="00B3778C"/>
    <w:rsid w:val="00B40044"/>
    <w:rsid w:val="00B449CD"/>
    <w:rsid w:val="00B44F2F"/>
    <w:rsid w:val="00B4603D"/>
    <w:rsid w:val="00B534CB"/>
    <w:rsid w:val="00B54117"/>
    <w:rsid w:val="00B548E4"/>
    <w:rsid w:val="00B55622"/>
    <w:rsid w:val="00B57B28"/>
    <w:rsid w:val="00B6194B"/>
    <w:rsid w:val="00B67718"/>
    <w:rsid w:val="00B707E8"/>
    <w:rsid w:val="00B712F3"/>
    <w:rsid w:val="00B7137E"/>
    <w:rsid w:val="00B75FEC"/>
    <w:rsid w:val="00B76933"/>
    <w:rsid w:val="00B80FDC"/>
    <w:rsid w:val="00B81868"/>
    <w:rsid w:val="00B82072"/>
    <w:rsid w:val="00B86A5C"/>
    <w:rsid w:val="00B90DA7"/>
    <w:rsid w:val="00B90E6D"/>
    <w:rsid w:val="00BA115A"/>
    <w:rsid w:val="00BA1507"/>
    <w:rsid w:val="00BA1FE1"/>
    <w:rsid w:val="00BA23C3"/>
    <w:rsid w:val="00BB070D"/>
    <w:rsid w:val="00BB62BC"/>
    <w:rsid w:val="00BB7310"/>
    <w:rsid w:val="00BC0216"/>
    <w:rsid w:val="00BC268F"/>
    <w:rsid w:val="00BD20A5"/>
    <w:rsid w:val="00BD50B2"/>
    <w:rsid w:val="00BE1B4F"/>
    <w:rsid w:val="00BE1F59"/>
    <w:rsid w:val="00BE1F8F"/>
    <w:rsid w:val="00BE5AC2"/>
    <w:rsid w:val="00BE74DB"/>
    <w:rsid w:val="00BF284B"/>
    <w:rsid w:val="00BF5ADE"/>
    <w:rsid w:val="00C0061A"/>
    <w:rsid w:val="00C019F3"/>
    <w:rsid w:val="00C01E7E"/>
    <w:rsid w:val="00C01F18"/>
    <w:rsid w:val="00C107D7"/>
    <w:rsid w:val="00C10D77"/>
    <w:rsid w:val="00C14015"/>
    <w:rsid w:val="00C15636"/>
    <w:rsid w:val="00C24767"/>
    <w:rsid w:val="00C308F3"/>
    <w:rsid w:val="00C319EE"/>
    <w:rsid w:val="00C35046"/>
    <w:rsid w:val="00C45CB7"/>
    <w:rsid w:val="00C53388"/>
    <w:rsid w:val="00C55926"/>
    <w:rsid w:val="00C7086F"/>
    <w:rsid w:val="00C72BB5"/>
    <w:rsid w:val="00C751F1"/>
    <w:rsid w:val="00C8004C"/>
    <w:rsid w:val="00C8097E"/>
    <w:rsid w:val="00C82C7D"/>
    <w:rsid w:val="00C8563D"/>
    <w:rsid w:val="00C8663B"/>
    <w:rsid w:val="00C929CB"/>
    <w:rsid w:val="00C92F0C"/>
    <w:rsid w:val="00C964DC"/>
    <w:rsid w:val="00CA3093"/>
    <w:rsid w:val="00CA49BC"/>
    <w:rsid w:val="00CB49D7"/>
    <w:rsid w:val="00CB4C17"/>
    <w:rsid w:val="00CB537A"/>
    <w:rsid w:val="00CC2A4D"/>
    <w:rsid w:val="00CC304C"/>
    <w:rsid w:val="00CD02C5"/>
    <w:rsid w:val="00CD0353"/>
    <w:rsid w:val="00CD0DF5"/>
    <w:rsid w:val="00CD1D0A"/>
    <w:rsid w:val="00CD1F2A"/>
    <w:rsid w:val="00CD6A2A"/>
    <w:rsid w:val="00CE0DA9"/>
    <w:rsid w:val="00CE42FC"/>
    <w:rsid w:val="00CE433E"/>
    <w:rsid w:val="00CE6868"/>
    <w:rsid w:val="00CE7EFF"/>
    <w:rsid w:val="00CF5296"/>
    <w:rsid w:val="00CF6C3D"/>
    <w:rsid w:val="00CF72FE"/>
    <w:rsid w:val="00D04670"/>
    <w:rsid w:val="00D06519"/>
    <w:rsid w:val="00D23672"/>
    <w:rsid w:val="00D2433E"/>
    <w:rsid w:val="00D26761"/>
    <w:rsid w:val="00D33DDA"/>
    <w:rsid w:val="00D35266"/>
    <w:rsid w:val="00D354A6"/>
    <w:rsid w:val="00D36975"/>
    <w:rsid w:val="00D40E07"/>
    <w:rsid w:val="00D4243C"/>
    <w:rsid w:val="00D43CA3"/>
    <w:rsid w:val="00D44AC0"/>
    <w:rsid w:val="00D44AF6"/>
    <w:rsid w:val="00D45E48"/>
    <w:rsid w:val="00D46216"/>
    <w:rsid w:val="00D4727D"/>
    <w:rsid w:val="00D51540"/>
    <w:rsid w:val="00D540D1"/>
    <w:rsid w:val="00D600E5"/>
    <w:rsid w:val="00D604AD"/>
    <w:rsid w:val="00D72228"/>
    <w:rsid w:val="00D73F9E"/>
    <w:rsid w:val="00D749B5"/>
    <w:rsid w:val="00D754DD"/>
    <w:rsid w:val="00D76E15"/>
    <w:rsid w:val="00D77F49"/>
    <w:rsid w:val="00D817D4"/>
    <w:rsid w:val="00D83536"/>
    <w:rsid w:val="00D9154D"/>
    <w:rsid w:val="00D93EDF"/>
    <w:rsid w:val="00D95D12"/>
    <w:rsid w:val="00DA09D6"/>
    <w:rsid w:val="00DB21A4"/>
    <w:rsid w:val="00DB579A"/>
    <w:rsid w:val="00DB7908"/>
    <w:rsid w:val="00DC2881"/>
    <w:rsid w:val="00DC7FA5"/>
    <w:rsid w:val="00DD0F60"/>
    <w:rsid w:val="00DD179C"/>
    <w:rsid w:val="00DD1F0A"/>
    <w:rsid w:val="00DD279D"/>
    <w:rsid w:val="00DE5F2F"/>
    <w:rsid w:val="00DE7C70"/>
    <w:rsid w:val="00DF2638"/>
    <w:rsid w:val="00DF510B"/>
    <w:rsid w:val="00DF6D09"/>
    <w:rsid w:val="00E03081"/>
    <w:rsid w:val="00E03CD5"/>
    <w:rsid w:val="00E04A86"/>
    <w:rsid w:val="00E0608A"/>
    <w:rsid w:val="00E0686C"/>
    <w:rsid w:val="00E068D5"/>
    <w:rsid w:val="00E162E0"/>
    <w:rsid w:val="00E2228C"/>
    <w:rsid w:val="00E30D59"/>
    <w:rsid w:val="00E3775E"/>
    <w:rsid w:val="00E37DB1"/>
    <w:rsid w:val="00E452BF"/>
    <w:rsid w:val="00E5222D"/>
    <w:rsid w:val="00E6443F"/>
    <w:rsid w:val="00E656E4"/>
    <w:rsid w:val="00E66ED3"/>
    <w:rsid w:val="00E7289A"/>
    <w:rsid w:val="00E74568"/>
    <w:rsid w:val="00E831DA"/>
    <w:rsid w:val="00E85125"/>
    <w:rsid w:val="00E913AE"/>
    <w:rsid w:val="00E931D4"/>
    <w:rsid w:val="00E96256"/>
    <w:rsid w:val="00EA4CB3"/>
    <w:rsid w:val="00EA7224"/>
    <w:rsid w:val="00EB5FB1"/>
    <w:rsid w:val="00EB61D2"/>
    <w:rsid w:val="00EB61DC"/>
    <w:rsid w:val="00EB7FF8"/>
    <w:rsid w:val="00EC3A03"/>
    <w:rsid w:val="00ED7BDB"/>
    <w:rsid w:val="00EE3366"/>
    <w:rsid w:val="00EF1EC9"/>
    <w:rsid w:val="00EF59F3"/>
    <w:rsid w:val="00EF6628"/>
    <w:rsid w:val="00EF684B"/>
    <w:rsid w:val="00F03EF6"/>
    <w:rsid w:val="00F053D4"/>
    <w:rsid w:val="00F1028A"/>
    <w:rsid w:val="00F16794"/>
    <w:rsid w:val="00F17BD0"/>
    <w:rsid w:val="00F24FC1"/>
    <w:rsid w:val="00F26E83"/>
    <w:rsid w:val="00F27F61"/>
    <w:rsid w:val="00F3446C"/>
    <w:rsid w:val="00F352AC"/>
    <w:rsid w:val="00F35ACA"/>
    <w:rsid w:val="00F3687E"/>
    <w:rsid w:val="00F36AD5"/>
    <w:rsid w:val="00F40DC9"/>
    <w:rsid w:val="00F40EF7"/>
    <w:rsid w:val="00F46640"/>
    <w:rsid w:val="00F54547"/>
    <w:rsid w:val="00F6069D"/>
    <w:rsid w:val="00F62626"/>
    <w:rsid w:val="00F6331E"/>
    <w:rsid w:val="00F637E5"/>
    <w:rsid w:val="00F67B39"/>
    <w:rsid w:val="00F7376A"/>
    <w:rsid w:val="00F74CD4"/>
    <w:rsid w:val="00F8626C"/>
    <w:rsid w:val="00F94CEA"/>
    <w:rsid w:val="00FA1BE7"/>
    <w:rsid w:val="00FA3786"/>
    <w:rsid w:val="00FA41C3"/>
    <w:rsid w:val="00FA66B1"/>
    <w:rsid w:val="00FB52F3"/>
    <w:rsid w:val="00FB5687"/>
    <w:rsid w:val="00FB6483"/>
    <w:rsid w:val="00FC10A9"/>
    <w:rsid w:val="00FC1D32"/>
    <w:rsid w:val="00FC2A57"/>
    <w:rsid w:val="00FD2D36"/>
    <w:rsid w:val="00FD49BB"/>
    <w:rsid w:val="00FE0EE0"/>
    <w:rsid w:val="00FE2740"/>
    <w:rsid w:val="00FF11A0"/>
    <w:rsid w:val="1A0869A5"/>
    <w:rsid w:val="2D5E1BB7"/>
    <w:rsid w:val="36EBD5A0"/>
    <w:rsid w:val="6793620C"/>
    <w:rsid w:val="79C14B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chartTrackingRefBased/>
  <w15:docId w15:val="{EA6E3E64-88FF-4077-AE99-56290D732C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line="276" w:lineRule="auto"/>
        <w:ind w:right="51"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3366"/>
    <w:rPr>
      <w:sz w:val="24"/>
      <w:lang w:val="es-MX"/>
    </w:rPr>
  </w:style>
  <w:style w:type="paragraph" w:styleId="Heading2">
    <w:name w:val="heading 2"/>
    <w:basedOn w:val="Normal"/>
    <w:next w:val="Normal"/>
    <w:link w:val="Heading2Char"/>
    <w:uiPriority w:val="9"/>
    <w:unhideWhenUsed/>
    <w:qFormat/>
    <w:rsid w:val="0052117A"/>
    <w:pPr>
      <w:keepNext/>
      <w:keepLines/>
      <w:numPr>
        <w:ilvl w:val="1"/>
        <w:numId w:val="3"/>
      </w:numPr>
      <w:spacing w:before="40" w:after="120" w:line="259" w:lineRule="auto"/>
      <w:ind w:left="357" w:hanging="357"/>
      <w:outlineLvl w:val="1"/>
    </w:pPr>
    <w:rPr>
      <w:rFonts w:ascii="Arial" w:hAnsi="Arial" w:eastAsiaTheme="majorEastAsia" w:cstheme="majorBidi"/>
      <w:b/>
      <w:caps/>
      <w:color w:val="000000" w:themeColor="text1"/>
      <w:sz w:val="20"/>
      <w:szCs w:val="26"/>
    </w:rPr>
  </w:style>
  <w:style w:type="paragraph" w:styleId="Heading3">
    <w:name w:val="heading 3"/>
    <w:basedOn w:val="Normal"/>
    <w:next w:val="Normal"/>
    <w:link w:val="Heading3Char"/>
    <w:uiPriority w:val="9"/>
    <w:unhideWhenUsed/>
    <w:qFormat/>
    <w:rsid w:val="0052117A"/>
    <w:pPr>
      <w:keepNext/>
      <w:keepLines/>
      <w:numPr>
        <w:ilvl w:val="2"/>
        <w:numId w:val="3"/>
      </w:numPr>
      <w:spacing w:before="40" w:after="120" w:line="259" w:lineRule="auto"/>
      <w:outlineLvl w:val="2"/>
    </w:pPr>
    <w:rPr>
      <w:rFonts w:ascii="Arial" w:hAnsi="Arial" w:eastAsiaTheme="majorEastAsia" w:cstheme="majorBidi"/>
      <w:b/>
      <w:caps/>
      <w:color w:val="000000" w:themeColor="text1"/>
      <w:sz w:val="20"/>
      <w:szCs w:val="24"/>
      <w:lang w:val="es-C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105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ListParagraphChar"/>
    <w:uiPriority w:val="34"/>
    <w:qFormat/>
    <w:rsid w:val="00410548"/>
    <w:pPr>
      <w:ind w:left="720"/>
      <w:contextualSpacing/>
    </w:pPr>
  </w:style>
  <w:style w:type="paragraph" w:styleId="NormalWeb">
    <w:name w:val="Normal (Web)"/>
    <w:basedOn w:val="Normal"/>
    <w:link w:val="NormalWebChar"/>
    <w:uiPriority w:val="99"/>
    <w:unhideWhenUsed/>
    <w:rsid w:val="00410548"/>
    <w:pPr>
      <w:spacing w:before="100" w:beforeAutospacing="1" w:after="100" w:afterAutospacing="1"/>
    </w:pPr>
    <w:rPr>
      <w:rFonts w:ascii="Times New Roman" w:hAnsi="Times New Roman" w:eastAsia="Times New Roman" w:cs="Times New Roman"/>
      <w:szCs w:val="24"/>
      <w:lang w:val="es-CO" w:eastAsia="es-CO"/>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41054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FootnoteTextChar"/>
    <w:uiPriority w:val="99"/>
    <w:unhideWhenUsed/>
    <w:qFormat/>
    <w:rsid w:val="00410548"/>
    <w:rPr>
      <w:sz w:val="20"/>
      <w:szCs w:val="20"/>
    </w:rPr>
  </w:style>
  <w:style w:type="character" w:styleId="TextonotapieCar1" w:customStyle="1">
    <w:name w:val="Texto nota pie Car1"/>
    <w:basedOn w:val="DefaultParagraphFont"/>
    <w:uiPriority w:val="99"/>
    <w:semiHidden/>
    <w:rsid w:val="00410548"/>
    <w:rPr>
      <w:sz w:val="20"/>
      <w:szCs w:val="20"/>
      <w:lang w:val="es-MX"/>
    </w:rPr>
  </w:style>
  <w:style w:type="character" w:styleId="ListParagraphChar" w:customStyle="1">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410548"/>
    <w:rPr>
      <w:sz w:val="24"/>
      <w:lang w:val="es-MX"/>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R"/>
    <w:basedOn w:val="DefaultParagraphFont"/>
    <w:link w:val="Appelnotedebasde"/>
    <w:uiPriority w:val="99"/>
    <w:unhideWhenUsed/>
    <w:qFormat/>
    <w:rsid w:val="00410548"/>
    <w:rPr>
      <w:vertAlign w:val="superscript"/>
    </w:rPr>
  </w:style>
  <w:style w:type="paragraph" w:styleId="Default" w:customStyle="1">
    <w:name w:val="Default"/>
    <w:rsid w:val="00410548"/>
    <w:pPr>
      <w:autoSpaceDE w:val="0"/>
      <w:autoSpaceDN w:val="0"/>
      <w:adjustRightInd w:val="0"/>
      <w:spacing w:line="240" w:lineRule="auto"/>
    </w:pPr>
    <w:rPr>
      <w:rFonts w:ascii="Arial" w:hAnsi="Arial" w:cs="Arial"/>
      <w:color w:val="000000"/>
      <w:sz w:val="24"/>
      <w:szCs w:val="24"/>
    </w:rPr>
  </w:style>
  <w:style w:type="character" w:styleId="NormalWebChar" w:customStyle="1">
    <w:name w:val="Normal (Web) Char"/>
    <w:link w:val="NormalWeb"/>
    <w:uiPriority w:val="99"/>
    <w:rsid w:val="00410548"/>
    <w:rPr>
      <w:rFonts w:ascii="Times New Roman" w:hAnsi="Times New Roman" w:eastAsia="Times New Roman" w:cs="Times New Roman"/>
      <w:sz w:val="24"/>
      <w:szCs w:val="24"/>
      <w:lang w:eastAsia="es-CO"/>
    </w:rPr>
  </w:style>
  <w:style w:type="character" w:styleId="normaltextrun" w:customStyle="1">
    <w:name w:val="normaltextrun"/>
    <w:basedOn w:val="DefaultParagraphFont"/>
    <w:rsid w:val="00A26E7F"/>
  </w:style>
  <w:style w:type="character" w:styleId="CommentReference">
    <w:name w:val="annotation reference"/>
    <w:basedOn w:val="DefaultParagraphFont"/>
    <w:uiPriority w:val="99"/>
    <w:semiHidden/>
    <w:unhideWhenUsed/>
    <w:rsid w:val="008E283A"/>
    <w:rPr>
      <w:sz w:val="16"/>
      <w:szCs w:val="16"/>
    </w:rPr>
  </w:style>
  <w:style w:type="paragraph" w:styleId="CommentText">
    <w:name w:val="annotation text"/>
    <w:basedOn w:val="Normal"/>
    <w:link w:val="CommentTextChar"/>
    <w:uiPriority w:val="99"/>
    <w:unhideWhenUsed/>
    <w:rsid w:val="008E283A"/>
    <w:rPr>
      <w:sz w:val="20"/>
      <w:szCs w:val="20"/>
    </w:rPr>
  </w:style>
  <w:style w:type="character" w:styleId="CommentTextChar" w:customStyle="1">
    <w:name w:val="Comment Text Char"/>
    <w:basedOn w:val="DefaultParagraphFont"/>
    <w:link w:val="CommentText"/>
    <w:uiPriority w:val="99"/>
    <w:rsid w:val="008E283A"/>
    <w:rPr>
      <w:sz w:val="20"/>
      <w:szCs w:val="20"/>
      <w:lang w:val="es-MX"/>
    </w:rPr>
  </w:style>
  <w:style w:type="paragraph" w:styleId="CommentSubject">
    <w:name w:val="annotation subject"/>
    <w:basedOn w:val="CommentText"/>
    <w:next w:val="CommentText"/>
    <w:link w:val="CommentSubjectChar"/>
    <w:uiPriority w:val="99"/>
    <w:semiHidden/>
    <w:unhideWhenUsed/>
    <w:rsid w:val="008E283A"/>
    <w:rPr>
      <w:b/>
      <w:bCs/>
    </w:rPr>
  </w:style>
  <w:style w:type="character" w:styleId="CommentSubjectChar" w:customStyle="1">
    <w:name w:val="Comment Subject Char"/>
    <w:basedOn w:val="CommentTextChar"/>
    <w:link w:val="CommentSubject"/>
    <w:uiPriority w:val="99"/>
    <w:semiHidden/>
    <w:rsid w:val="008E283A"/>
    <w:rPr>
      <w:b/>
      <w:bCs/>
      <w:sz w:val="20"/>
      <w:szCs w:val="20"/>
      <w:lang w:val="es-MX"/>
    </w:rPr>
  </w:style>
  <w:style w:type="character" w:styleId="Heading2Char" w:customStyle="1">
    <w:name w:val="Heading 2 Char"/>
    <w:basedOn w:val="DefaultParagraphFont"/>
    <w:link w:val="Heading2"/>
    <w:uiPriority w:val="9"/>
    <w:rsid w:val="0052117A"/>
    <w:rPr>
      <w:rFonts w:ascii="Arial" w:hAnsi="Arial" w:eastAsiaTheme="majorEastAsia" w:cstheme="majorBidi"/>
      <w:b/>
      <w:caps/>
      <w:color w:val="000000" w:themeColor="text1"/>
      <w:sz w:val="20"/>
      <w:szCs w:val="26"/>
      <w:lang w:val="es-MX"/>
    </w:rPr>
  </w:style>
  <w:style w:type="character" w:styleId="Heading3Char" w:customStyle="1">
    <w:name w:val="Heading 3 Char"/>
    <w:basedOn w:val="DefaultParagraphFont"/>
    <w:link w:val="Heading3"/>
    <w:uiPriority w:val="9"/>
    <w:rsid w:val="0052117A"/>
    <w:rPr>
      <w:rFonts w:ascii="Arial" w:hAnsi="Arial" w:eastAsiaTheme="majorEastAsia" w:cstheme="majorBidi"/>
      <w:b/>
      <w:caps/>
      <w:color w:val="000000" w:themeColor="text1"/>
      <w:sz w:val="20"/>
      <w:szCs w:val="24"/>
    </w:rPr>
  </w:style>
  <w:style w:type="table" w:styleId="Tablaconcuadrcula1" w:customStyle="1">
    <w:name w:val="Tabla con cuadrícula1"/>
    <w:basedOn w:val="TableNormal"/>
    <w:next w:val="TableGrid"/>
    <w:uiPriority w:val="59"/>
    <w:rsid w:val="00DF263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AE02CF"/>
    <w:pPr>
      <w:widowControl w:val="0"/>
      <w:autoSpaceDE w:val="0"/>
      <w:autoSpaceDN w:val="0"/>
    </w:pPr>
    <w:rPr>
      <w:rFonts w:ascii="Arial" w:hAnsi="Arial" w:eastAsia="Arial" w:cs="Arial"/>
      <w:sz w:val="22"/>
      <w:lang w:val="es-ES"/>
    </w:rPr>
  </w:style>
  <w:style w:type="character" w:styleId="BodyTextChar" w:customStyle="1">
    <w:name w:val="Body Text Char"/>
    <w:basedOn w:val="DefaultParagraphFont"/>
    <w:link w:val="BodyText"/>
    <w:uiPriority w:val="1"/>
    <w:rsid w:val="00AE02CF"/>
    <w:rPr>
      <w:rFonts w:ascii="Arial" w:hAnsi="Arial" w:eastAsia="Arial" w:cs="Arial"/>
      <w:lang w:val="es-ES"/>
    </w:rPr>
  </w:style>
  <w:style w:type="table" w:styleId="Tablaconcuadrcula11" w:customStyle="1">
    <w:name w:val="Tabla con cuadrícula11"/>
    <w:basedOn w:val="TableNormal"/>
    <w:next w:val="TableGrid"/>
    <w:uiPriority w:val="59"/>
    <w:rsid w:val="00015772"/>
    <w:pPr>
      <w:spacing w:line="240" w:lineRule="auto"/>
      <w:ind w:right="0" w:firstLin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A03FA"/>
    <w:rPr>
      <w:color w:val="808080"/>
    </w:rPr>
  </w:style>
  <w:style w:type="table" w:styleId="Tablaconcuadrcula2" w:customStyle="1">
    <w:name w:val="Tabla con cuadrícula2"/>
    <w:basedOn w:val="TableNormal"/>
    <w:next w:val="TableGrid"/>
    <w:uiPriority w:val="39"/>
    <w:qFormat/>
    <w:rsid w:val="00EF59F3"/>
    <w:pPr>
      <w:spacing w:line="240" w:lineRule="auto"/>
      <w:ind w:right="0" w:firstLine="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FootnoteReference"/>
    <w:uiPriority w:val="99"/>
    <w:rsid w:val="00EF59F3"/>
    <w:pPr>
      <w:spacing w:after="160" w:line="240" w:lineRule="exact"/>
      <w:ind w:right="0" w:firstLine="0"/>
      <w:jc w:val="left"/>
    </w:pPr>
    <w:rPr>
      <w:sz w:val="22"/>
      <w:vertAlign w:val="superscript"/>
      <w:lang w:val="es-CO"/>
    </w:rPr>
  </w:style>
  <w:style w:type="paragraph" w:styleId="Header">
    <w:name w:val="header"/>
    <w:basedOn w:val="Normal"/>
    <w:link w:val="HeaderChar"/>
    <w:uiPriority w:val="99"/>
    <w:semiHidden/>
    <w:unhideWhenUsed/>
    <w:rsid w:val="00165F1E"/>
    <w:pPr>
      <w:tabs>
        <w:tab w:val="center" w:pos="4419"/>
        <w:tab w:val="right" w:pos="8838"/>
      </w:tabs>
      <w:spacing w:line="240" w:lineRule="auto"/>
    </w:pPr>
  </w:style>
  <w:style w:type="character" w:styleId="HeaderChar" w:customStyle="1">
    <w:name w:val="Header Char"/>
    <w:basedOn w:val="DefaultParagraphFont"/>
    <w:link w:val="Header"/>
    <w:uiPriority w:val="99"/>
    <w:semiHidden/>
    <w:rsid w:val="00165F1E"/>
    <w:rPr>
      <w:sz w:val="24"/>
      <w:lang w:val="es-MX"/>
    </w:rPr>
  </w:style>
  <w:style w:type="paragraph" w:styleId="Footer">
    <w:name w:val="footer"/>
    <w:basedOn w:val="Normal"/>
    <w:link w:val="FooterChar"/>
    <w:uiPriority w:val="99"/>
    <w:semiHidden/>
    <w:unhideWhenUsed/>
    <w:rsid w:val="00165F1E"/>
    <w:pPr>
      <w:tabs>
        <w:tab w:val="center" w:pos="4419"/>
        <w:tab w:val="right" w:pos="8838"/>
      </w:tabs>
      <w:spacing w:line="240" w:lineRule="auto"/>
    </w:pPr>
  </w:style>
  <w:style w:type="character" w:styleId="FooterChar" w:customStyle="1">
    <w:name w:val="Footer Char"/>
    <w:basedOn w:val="DefaultParagraphFont"/>
    <w:link w:val="Footer"/>
    <w:uiPriority w:val="99"/>
    <w:semiHidden/>
    <w:rsid w:val="00165F1E"/>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customXml/itemProps2.xml><?xml version="1.0" encoding="utf-8"?>
<ds:datastoreItem xmlns:ds="http://schemas.openxmlformats.org/officeDocument/2006/customXml" ds:itemID="{9DD99433-3557-49E8-8715-14952B3A6A0B}">
  <ds:schemaRefs>
    <ds:schemaRef ds:uri="http://schemas.microsoft.com/sharepoint/v3/contenttype/forms"/>
  </ds:schemaRefs>
</ds:datastoreItem>
</file>

<file path=customXml/itemProps3.xml><?xml version="1.0" encoding="utf-8"?>
<ds:datastoreItem xmlns:ds="http://schemas.openxmlformats.org/officeDocument/2006/customXml" ds:itemID="{D682BD41-48F2-4B10-AFCE-64521C8F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F2490-0EE0-484D-995A-9418C8F0268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Sarmiento</dc:creator>
  <keywords/>
  <dc:description/>
  <lastModifiedBy>Nasly Yeana Mosquera Rivas</lastModifiedBy>
  <revision>11</revision>
  <dcterms:created xsi:type="dcterms:W3CDTF">2021-06-29T23:09:00.0000000Z</dcterms:created>
  <dcterms:modified xsi:type="dcterms:W3CDTF">2021-07-30T19:28:56.9528196Z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