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A7D5F" w:rsidP="004A7D5F" w:rsidRDefault="004A7D5F" w14:paraId="6437DD85" w14:textId="52AA4700">
      <w:pPr>
        <w:jc w:val="both"/>
        <w:rPr>
          <w:rFonts w:ascii="Arial" w:hAnsi="Arial" w:eastAsia="Calibri" w:cs="Arial"/>
          <w:b/>
          <w:color w:val="000000" w:themeColor="text1"/>
          <w:sz w:val="22"/>
        </w:rPr>
      </w:pPr>
    </w:p>
    <w:p w:rsidR="008D7B6B" w:rsidP="001454FD" w:rsidRDefault="001454FD" w14:paraId="6972B89E" w14:textId="09995D7F">
      <w:pPr>
        <w:jc w:val="both"/>
        <w:rPr>
          <w:rFonts w:ascii="Arial" w:hAnsi="Arial" w:eastAsia="Calibri" w:cs="Arial"/>
          <w:b/>
          <w:color w:val="000000" w:themeColor="text1"/>
          <w:sz w:val="22"/>
        </w:rPr>
      </w:pPr>
      <w:r w:rsidRPr="001454FD">
        <w:rPr>
          <w:rFonts w:ascii="Arial" w:hAnsi="Arial" w:eastAsia="Calibri" w:cs="Arial"/>
          <w:b/>
          <w:color w:val="000000" w:themeColor="text1"/>
          <w:sz w:val="22"/>
        </w:rPr>
        <w:t xml:space="preserve">DOCUMENTO TIPO DE GESTIÓN CATASTRAL – Objeto de contratación – Actividad de conservación catastral – </w:t>
      </w:r>
      <w:r w:rsidR="001322B1">
        <w:rPr>
          <w:rFonts w:ascii="Arial" w:hAnsi="Arial" w:eastAsia="Calibri" w:cs="Arial"/>
          <w:b/>
          <w:color w:val="000000" w:themeColor="text1"/>
          <w:sz w:val="22"/>
        </w:rPr>
        <w:t>Contratación</w:t>
      </w:r>
      <w:r w:rsidRPr="001454FD">
        <w:rPr>
          <w:rFonts w:ascii="Arial" w:hAnsi="Arial" w:eastAsia="Calibri" w:cs="Arial"/>
          <w:b/>
          <w:color w:val="000000" w:themeColor="text1"/>
          <w:sz w:val="22"/>
        </w:rPr>
        <w:t xml:space="preserve"> </w:t>
      </w:r>
      <w:r w:rsidR="001322B1">
        <w:rPr>
          <w:rFonts w:ascii="Arial" w:hAnsi="Arial" w:eastAsia="Calibri" w:cs="Arial"/>
          <w:b/>
          <w:color w:val="000000" w:themeColor="text1"/>
          <w:sz w:val="22"/>
        </w:rPr>
        <w:t>independiente</w:t>
      </w:r>
    </w:p>
    <w:p w:rsidR="001454FD" w:rsidP="001454FD" w:rsidRDefault="001454FD" w14:paraId="3E1A66E5" w14:textId="15EA2507">
      <w:pPr>
        <w:jc w:val="both"/>
        <w:rPr>
          <w:rFonts w:ascii="Arial" w:hAnsi="Arial" w:eastAsia="Calibri" w:cs="Arial"/>
          <w:b/>
          <w:color w:val="000000" w:themeColor="text1"/>
          <w:sz w:val="22"/>
        </w:rPr>
      </w:pPr>
    </w:p>
    <w:p w:rsidRPr="00915EBC" w:rsidR="00F24C40" w:rsidP="1089D011" w:rsidRDefault="00F24C40" w14:textId="692E7692" w14:paraId="2C90E7D2">
      <w:pPr>
        <w:jc w:val="both"/>
        <w:rPr>
          <w:rStyle w:val="Textoennegrita"/>
          <w:rFonts w:ascii="Arial" w:hAnsi="Arial" w:cs="Arial"/>
          <w:b w:val="0"/>
          <w:bCs w:val="0"/>
          <w:sz w:val="20"/>
          <w:szCs w:val="20"/>
        </w:rPr>
      </w:pPr>
      <w:r w:rsidR="00F24C40">
        <w:rPr>
          <w:rStyle w:val="Textoennegrita"/>
          <w:rFonts w:ascii="Arial" w:hAnsi="Arial" w:cs="Arial"/>
          <w:b w:val="0"/>
          <w:bCs w:val="0"/>
          <w:sz w:val="20"/>
          <w:szCs w:val="20"/>
          <w:shd w:val="clear" w:color="auto" w:fill="FFFFFF"/>
        </w:rPr>
        <w:t xml:space="preserve">[…] </w:t>
      </w:r>
      <w:r w:rsidRPr="00F24C40" w:rsidR="00F24C40">
        <w:rPr>
          <w:rStyle w:val="Textoennegrita"/>
          <w:rFonts w:ascii="Arial" w:hAnsi="Arial" w:cs="Arial"/>
          <w:b w:val="0"/>
          <w:bCs w:val="0"/>
          <w:sz w:val="20"/>
          <w:szCs w:val="20"/>
          <w:shd w:val="clear" w:color="auto" w:fill="FFFFFF"/>
        </w:rPr>
        <w:t>el documento tipo establece de manera concreta y clara que las entidades lo aplicarán cuando la contratación del servicio de gestión catastral sea integral, es decir, cuando se contrate la formación o actualización catastral junto con la conservación y difusión catastral. En otras palabras, si el municipio contratara aisladamente alguna de estas actividades no aplicaría esta minuta tipo. Lo anterior, sin perjuicio de que las entidades deban aplicar la normativa vigente en la materia.</w:t>
      </w:r>
      <w:r w:rsidRPr="00284D4D" w:rsidDel="00F24C40" w:rsidR="00F24C40">
        <w:rPr>
          <w:rStyle w:val="Textoennegrita"/>
          <w:rFonts w:ascii="Arial" w:hAnsi="Arial" w:cs="Arial"/>
          <w:b w:val="0"/>
          <w:bCs w:val="0"/>
          <w:sz w:val="20"/>
          <w:szCs w:val="20"/>
          <w:shd w:val="clear" w:color="auto" w:fill="FFFFFF"/>
        </w:rPr>
        <w:t xml:space="preserve"> </w:t>
      </w:r>
    </w:p>
    <w:p w:rsidR="005F7734" w:rsidP="00F24C40" w:rsidRDefault="00E9052D" w14:paraId="117552AF" w14:textId="50903741">
      <w:pPr>
        <w:jc w:val="both"/>
        <w:rPr>
          <w:rFonts w:ascii="Arial" w:hAnsi="Arial" w:cs="Arial"/>
          <w:sz w:val="22"/>
        </w:rPr>
      </w:pPr>
      <w:r w:rsidRPr="00915EBC">
        <w:rPr>
          <w:rFonts w:ascii="Arial" w:hAnsi="Arial" w:eastAsia="Calibri" w:cs="Arial"/>
          <w:bCs/>
          <w:color w:val="000000" w:themeColor="text1"/>
          <w:sz w:val="20"/>
          <w:szCs w:val="20"/>
        </w:rPr>
        <w:t xml:space="preserve">[…] </w:t>
      </w:r>
      <w:r w:rsidRPr="00F24C40" w:rsidR="00F24C40">
        <w:rPr>
          <w:rFonts w:ascii="Arial" w:hAnsi="Arial" w:eastAsia="Calibri" w:cs="Arial"/>
          <w:bCs/>
          <w:color w:val="000000" w:themeColor="text1"/>
          <w:sz w:val="20"/>
          <w:szCs w:val="20"/>
        </w:rPr>
        <w:t>En este sentido, atendiendo los lineamientos del Instituto Geográfico Agustín Codazzi, sí es posible contratar de manera aislada la conservación catastral. Ahora bien, como se indicó previamente, en los casos en que las entidades territoriales lo contraten aisladamente no deberán aplicar los documentos tipo para los procesos de gestión catastral con enfoque multipropósito, puesto que la minuta no aplica cuando se contrata aisladamente la conservación catastral. Lo anterior, sin perjuicio de que facultativamente se tomen ciertos contenidos de la minuta tipo, por considerarse buenas prácticas contractuales.</w:t>
      </w:r>
    </w:p>
    <w:p w:rsidR="002330F7" w:rsidRDefault="002330F7" w14:paraId="66329F61" w14:textId="77777777">
      <w:pPr>
        <w:spacing w:after="160" w:line="259" w:lineRule="auto"/>
        <w:rPr>
          <w:rFonts w:ascii="Arial" w:hAnsi="Arial" w:cs="Arial"/>
          <w:sz w:val="22"/>
        </w:rPr>
      </w:pPr>
      <w:r>
        <w:rPr>
          <w:rFonts w:ascii="Arial" w:hAnsi="Arial" w:cs="Arial"/>
          <w:sz w:val="22"/>
        </w:rPr>
        <w:br w:type="page"/>
      </w:r>
    </w:p>
    <w:p w:rsidR="00F24C40" w:rsidP="00933A33" w:rsidRDefault="00933A33" w14:paraId="254EE916" w14:textId="456EB71C">
      <w:pPr>
        <w:jc w:val="right"/>
        <w:rPr>
          <w:rFonts w:ascii="Arial" w:hAnsi="Arial" w:cs="Arial"/>
          <w:sz w:val="22"/>
        </w:rPr>
      </w:pPr>
      <w:r>
        <w:rPr>
          <w:noProof/>
        </w:rPr>
        <w:lastRenderedPageBreak/>
        <w:drawing>
          <wp:inline distT="0" distB="0" distL="0" distR="0" wp14:anchorId="437374BA" wp14:editId="2C08619D">
            <wp:extent cx="2486025" cy="1104900"/>
            <wp:effectExtent l="0" t="0" r="9525" b="0"/>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11"/>
                    <a:stretch>
                      <a:fillRect/>
                    </a:stretch>
                  </pic:blipFill>
                  <pic:spPr>
                    <a:xfrm>
                      <a:off x="0" y="0"/>
                      <a:ext cx="2486025" cy="1104900"/>
                    </a:xfrm>
                    <a:prstGeom prst="rect">
                      <a:avLst/>
                    </a:prstGeom>
                  </pic:spPr>
                </pic:pic>
              </a:graphicData>
            </a:graphic>
          </wp:inline>
        </w:drawing>
      </w:r>
    </w:p>
    <w:p w:rsidR="00F24C40" w:rsidP="004A7D5F" w:rsidRDefault="00F24C40" w14:paraId="36F2BC8A" w14:textId="77777777">
      <w:pPr>
        <w:rPr>
          <w:rFonts w:ascii="Arial" w:hAnsi="Arial" w:cs="Arial"/>
          <w:sz w:val="22"/>
        </w:rPr>
      </w:pPr>
    </w:p>
    <w:p w:rsidR="00F24C40" w:rsidP="004A7D5F" w:rsidRDefault="00933A33" w14:paraId="0ACF2B88" w14:textId="73BAA86C">
      <w:pPr>
        <w:rPr>
          <w:rFonts w:ascii="Arial" w:hAnsi="Arial" w:cs="Arial"/>
          <w:sz w:val="22"/>
        </w:rPr>
      </w:pPr>
      <w:r>
        <w:rPr>
          <w:rFonts w:ascii="Arial" w:hAnsi="Arial" w:cs="Arial"/>
          <w:sz w:val="22"/>
        </w:rPr>
        <w:t xml:space="preserve">Bogotá, 20 de mayo </w:t>
      </w:r>
      <w:r w:rsidR="00BF071B">
        <w:rPr>
          <w:rFonts w:ascii="Arial" w:hAnsi="Arial" w:cs="Arial"/>
          <w:sz w:val="22"/>
        </w:rPr>
        <w:t>de 2021</w:t>
      </w:r>
    </w:p>
    <w:p w:rsidR="00933A33" w:rsidP="004A7D5F" w:rsidRDefault="00933A33" w14:paraId="2E578ECD" w14:textId="15B4533E">
      <w:pPr>
        <w:rPr>
          <w:rFonts w:ascii="Arial" w:hAnsi="Arial" w:cs="Arial"/>
          <w:sz w:val="22"/>
        </w:rPr>
      </w:pPr>
    </w:p>
    <w:p w:rsidR="00933A33" w:rsidP="004A7D5F" w:rsidRDefault="00933A33" w14:paraId="6ABFF023" w14:textId="77777777">
      <w:pPr>
        <w:rPr>
          <w:rFonts w:ascii="Arial" w:hAnsi="Arial" w:cs="Arial"/>
          <w:sz w:val="22"/>
        </w:rPr>
      </w:pPr>
    </w:p>
    <w:p w:rsidR="004A7D5F" w:rsidP="004A7D5F" w:rsidRDefault="004A7D5F" w14:paraId="4E3A2B4E" w14:textId="700E2C21">
      <w:pPr>
        <w:rPr>
          <w:rFonts w:ascii="Arial" w:hAnsi="Arial" w:cs="Arial"/>
          <w:sz w:val="22"/>
        </w:rPr>
      </w:pPr>
      <w:r w:rsidRPr="003D1995">
        <w:rPr>
          <w:rFonts w:ascii="Arial" w:hAnsi="Arial" w:cs="Arial"/>
          <w:sz w:val="22"/>
        </w:rPr>
        <w:t>Señor</w:t>
      </w:r>
    </w:p>
    <w:p w:rsidRPr="001554CA" w:rsidR="004A7D5F" w:rsidP="004A7D5F" w:rsidRDefault="004A7D5F" w14:paraId="289C3012" w14:textId="77777777">
      <w:pPr>
        <w:rPr>
          <w:rFonts w:ascii="Arial" w:hAnsi="Arial" w:cs="Arial"/>
          <w:b/>
          <w:bCs/>
          <w:sz w:val="22"/>
        </w:rPr>
      </w:pPr>
      <w:r w:rsidRPr="001554CA">
        <w:rPr>
          <w:rFonts w:ascii="Arial" w:hAnsi="Arial" w:cs="Arial"/>
          <w:b/>
          <w:bCs/>
          <w:sz w:val="22"/>
        </w:rPr>
        <w:t>Giovanni Yanquen</w:t>
      </w:r>
    </w:p>
    <w:p w:rsidR="004A7D5F" w:rsidP="004A7D5F" w:rsidRDefault="004A7D5F" w14:paraId="0AECE920" w14:textId="77777777">
      <w:pPr>
        <w:rPr>
          <w:rFonts w:ascii="Arial" w:hAnsi="Arial" w:eastAsia="Calibri" w:cs="Arial"/>
          <w:sz w:val="22"/>
        </w:rPr>
      </w:pPr>
      <w:r>
        <w:rPr>
          <w:rFonts w:ascii="Arial" w:hAnsi="Arial" w:cs="Arial"/>
          <w:sz w:val="22"/>
        </w:rPr>
        <w:t>Bogotá D.C.</w:t>
      </w:r>
    </w:p>
    <w:p w:rsidR="004A7D5F" w:rsidP="004A7D5F" w:rsidRDefault="004A7D5F" w14:paraId="3DB82826" w14:textId="77777777">
      <w:pPr>
        <w:rPr>
          <w:rFonts w:ascii="Arial" w:hAnsi="Arial" w:eastAsia="Calibri" w:cs="Arial"/>
          <w:sz w:val="22"/>
        </w:rPr>
      </w:pPr>
    </w:p>
    <w:p w:rsidRPr="00AC2EB0" w:rsidR="004A7D5F" w:rsidP="004A7D5F" w:rsidRDefault="004A7D5F" w14:paraId="5CE90422" w14:textId="77777777">
      <w:pPr>
        <w:rPr>
          <w:rFonts w:ascii="Arial" w:hAnsi="Arial" w:eastAsia="Calibri" w:cs="Arial"/>
          <w:sz w:val="22"/>
        </w:rPr>
      </w:pPr>
    </w:p>
    <w:p w:rsidR="004A7D5F" w:rsidP="004A7D5F" w:rsidRDefault="004A7D5F" w14:paraId="72506D62" w14:textId="3210422C">
      <w:pPr>
        <w:rPr>
          <w:rFonts w:ascii="Arial" w:hAnsi="Arial" w:eastAsia="Calibri" w:cs="Arial"/>
          <w:b/>
          <w:sz w:val="22"/>
        </w:rPr>
      </w:pPr>
      <w:r w:rsidRPr="00AC2EB0">
        <w:rPr>
          <w:rFonts w:ascii="Arial" w:hAnsi="Arial" w:eastAsia="Calibri" w:cs="Arial"/>
          <w:b/>
          <w:sz w:val="22"/>
        </w:rPr>
        <w:t xml:space="preserve">                                            </w:t>
      </w:r>
      <w:r>
        <w:rPr>
          <w:rFonts w:ascii="Arial" w:hAnsi="Arial" w:eastAsia="Calibri" w:cs="Arial"/>
          <w:b/>
          <w:sz w:val="22"/>
        </w:rPr>
        <w:t xml:space="preserve">   </w:t>
      </w:r>
      <w:r w:rsidRPr="00AC2EB0">
        <w:rPr>
          <w:rFonts w:ascii="Arial" w:hAnsi="Arial" w:eastAsia="Calibri" w:cs="Arial"/>
          <w:b/>
          <w:sz w:val="22"/>
        </w:rPr>
        <w:t>Concepto C</w:t>
      </w:r>
      <w:r>
        <w:rPr>
          <w:rFonts w:ascii="Arial" w:hAnsi="Arial" w:eastAsia="Calibri" w:cs="Arial"/>
          <w:b/>
          <w:sz w:val="22"/>
        </w:rPr>
        <w:t>−</w:t>
      </w:r>
      <w:r w:rsidR="008E76BD">
        <w:rPr>
          <w:rFonts w:ascii="Arial" w:hAnsi="Arial" w:eastAsia="Calibri" w:cs="Arial"/>
          <w:b/>
          <w:sz w:val="22"/>
        </w:rPr>
        <w:t>159</w:t>
      </w:r>
      <w:r>
        <w:rPr>
          <w:rFonts w:ascii="Arial" w:hAnsi="Arial" w:eastAsia="Calibri" w:cs="Arial"/>
          <w:b/>
          <w:sz w:val="22"/>
        </w:rPr>
        <w:t xml:space="preserve"> </w:t>
      </w:r>
      <w:r w:rsidRPr="00AC2EB0">
        <w:rPr>
          <w:rFonts w:ascii="Arial" w:hAnsi="Arial" w:eastAsia="Calibri" w:cs="Arial"/>
          <w:b/>
          <w:sz w:val="22"/>
        </w:rPr>
        <w:t>de 202</w:t>
      </w:r>
      <w:r>
        <w:rPr>
          <w:rFonts w:ascii="Arial" w:hAnsi="Arial" w:eastAsia="Calibri" w:cs="Arial"/>
          <w:b/>
          <w:sz w:val="22"/>
        </w:rPr>
        <w:t>1</w:t>
      </w:r>
    </w:p>
    <w:p w:rsidR="004A7D5F" w:rsidP="004A7D5F" w:rsidRDefault="004A7D5F" w14:paraId="12812B0F" w14:textId="77777777">
      <w:pPr>
        <w:rPr>
          <w:rFonts w:ascii="Arial" w:hAnsi="Arial" w:eastAsia="Calibri" w:cs="Arial"/>
          <w:b/>
          <w:sz w:val="22"/>
        </w:rPr>
      </w:pPr>
    </w:p>
    <w:tbl>
      <w:tblPr>
        <w:tblStyle w:val="Tablaconcuadrcula"/>
        <w:tblW w:w="9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869"/>
        <w:gridCol w:w="6655"/>
      </w:tblGrid>
      <w:tr w:rsidRPr="00AC2EB0" w:rsidR="004A7D5F" w:rsidTr="00786DCD" w14:paraId="5016522D" w14:textId="77777777">
        <w:trPr>
          <w:trHeight w:val="1040"/>
        </w:trPr>
        <w:tc>
          <w:tcPr>
            <w:tcW w:w="2869" w:type="dxa"/>
          </w:tcPr>
          <w:p w:rsidRPr="00AC2EB0" w:rsidR="004A7D5F" w:rsidP="008B20FB" w:rsidRDefault="004A7D5F" w14:paraId="005DAC01" w14:textId="77777777">
            <w:pPr>
              <w:rPr>
                <w:rFonts w:ascii="Arial" w:hAnsi="Arial" w:eastAsia="Calibri" w:cs="Arial"/>
              </w:rPr>
            </w:pPr>
            <w:r w:rsidRPr="00AC2EB0">
              <w:rPr>
                <w:rFonts w:ascii="Arial" w:hAnsi="Arial" w:eastAsia="Calibri" w:cs="Arial"/>
                <w:b/>
              </w:rPr>
              <w:t>Temas:</w:t>
            </w:r>
            <w:r w:rsidRPr="00AC2EB0">
              <w:rPr>
                <w:rFonts w:ascii="Arial" w:hAnsi="Arial" w:eastAsia="Calibri" w:cs="Arial"/>
              </w:rPr>
              <w:t xml:space="preserve">           </w:t>
            </w:r>
          </w:p>
          <w:p w:rsidRPr="00AC2EB0" w:rsidR="004A7D5F" w:rsidP="008B20FB" w:rsidRDefault="004A7D5F" w14:paraId="249C55C4" w14:textId="190AE971">
            <w:pPr>
              <w:rPr>
                <w:rFonts w:ascii="Arial" w:hAnsi="Arial" w:eastAsia="Calibri" w:cs="Arial"/>
              </w:rPr>
            </w:pPr>
          </w:p>
        </w:tc>
        <w:tc>
          <w:tcPr>
            <w:tcW w:w="6655" w:type="dxa"/>
          </w:tcPr>
          <w:p w:rsidRPr="008B20FB" w:rsidR="004A7D5F" w:rsidP="008B20FB" w:rsidRDefault="001322B1" w14:paraId="1C930AE9" w14:textId="779BF28B">
            <w:pPr>
              <w:jc w:val="both"/>
              <w:rPr>
                <w:rFonts w:ascii="Arial" w:hAnsi="Arial" w:cs="Arial"/>
              </w:rPr>
            </w:pPr>
            <w:r w:rsidRPr="001322B1">
              <w:rPr>
                <w:rFonts w:ascii="Arial" w:hAnsi="Arial" w:cs="Arial"/>
              </w:rPr>
              <w:t>DOCUMENTO TIPO DE GESTIÓN CATASTRAL – Objeto de contratación – Actividad de conservación catastral – Contratación independiente</w:t>
            </w:r>
          </w:p>
        </w:tc>
      </w:tr>
      <w:tr w:rsidRPr="00AC2EB0" w:rsidR="004A7D5F" w:rsidTr="00786DCD" w14:paraId="31193513" w14:textId="77777777">
        <w:trPr>
          <w:trHeight w:val="370"/>
        </w:trPr>
        <w:tc>
          <w:tcPr>
            <w:tcW w:w="2869" w:type="dxa"/>
          </w:tcPr>
          <w:p w:rsidRPr="003D6F18" w:rsidR="004A7D5F" w:rsidP="008B20FB" w:rsidRDefault="004A7D5F" w14:paraId="035B77C5" w14:textId="77777777">
            <w:pPr>
              <w:rPr>
                <w:rFonts w:ascii="Arial" w:hAnsi="Arial" w:eastAsia="Calibri" w:cs="Arial"/>
                <w:b/>
              </w:rPr>
            </w:pPr>
            <w:r w:rsidRPr="003D6F18">
              <w:rPr>
                <w:rFonts w:ascii="Arial" w:hAnsi="Arial" w:eastAsia="Calibri" w:cs="Arial"/>
                <w:b/>
              </w:rPr>
              <w:t>Radicación:</w:t>
            </w:r>
            <w:r w:rsidRPr="003D6F18">
              <w:rPr>
                <w:rFonts w:ascii="Arial" w:hAnsi="Arial" w:eastAsia="Calibri" w:cs="Arial"/>
              </w:rPr>
              <w:t xml:space="preserve">                              </w:t>
            </w:r>
          </w:p>
        </w:tc>
        <w:tc>
          <w:tcPr>
            <w:tcW w:w="6655" w:type="dxa"/>
          </w:tcPr>
          <w:p w:rsidRPr="00A47FA3" w:rsidR="004A7D5F" w:rsidP="008B20FB" w:rsidRDefault="004A7D5F" w14:paraId="670E77DD" w14:textId="3ACB01A5">
            <w:pPr>
              <w:jc w:val="both"/>
              <w:rPr>
                <w:rFonts w:ascii="Arial" w:hAnsi="Arial" w:eastAsia="Calibri" w:cs="Arial"/>
                <w:sz w:val="20"/>
                <w:szCs w:val="20"/>
              </w:rPr>
            </w:pPr>
            <w:r w:rsidRPr="003D6F18">
              <w:rPr>
                <w:rFonts w:ascii="Arial" w:hAnsi="Arial" w:eastAsia="Calibri" w:cs="Arial"/>
              </w:rPr>
              <w:t xml:space="preserve">Respuesta a consulta # </w:t>
            </w:r>
            <w:r w:rsidRPr="008D7B6B" w:rsidR="008D7B6B">
              <w:rPr>
                <w:rFonts w:ascii="Arial" w:hAnsi="Arial" w:eastAsia="Calibri" w:cs="Arial"/>
              </w:rPr>
              <w:t>P20210408002802</w:t>
            </w:r>
          </w:p>
        </w:tc>
      </w:tr>
    </w:tbl>
    <w:p w:rsidR="004A7D5F" w:rsidP="004A7D5F" w:rsidRDefault="004A7D5F" w14:paraId="2F15E0F0" w14:textId="77777777">
      <w:pPr>
        <w:rPr>
          <w:rFonts w:ascii="Arial" w:hAnsi="Arial" w:eastAsia="Calibri" w:cs="Arial"/>
          <w:sz w:val="22"/>
        </w:rPr>
      </w:pPr>
    </w:p>
    <w:p w:rsidRPr="00AC2EB0" w:rsidR="004A7D5F" w:rsidP="004A7D5F" w:rsidRDefault="004A7D5F" w14:paraId="75631227" w14:textId="77777777">
      <w:pPr>
        <w:rPr>
          <w:rFonts w:ascii="Arial" w:hAnsi="Arial" w:eastAsia="Calibri" w:cs="Arial"/>
          <w:sz w:val="22"/>
        </w:rPr>
      </w:pPr>
      <w:r w:rsidRPr="00AC2EB0">
        <w:rPr>
          <w:rFonts w:ascii="Arial" w:hAnsi="Arial" w:eastAsia="Calibri" w:cs="Arial"/>
          <w:sz w:val="22"/>
        </w:rPr>
        <w:t>Estimad</w:t>
      </w:r>
      <w:r>
        <w:rPr>
          <w:rFonts w:ascii="Arial" w:hAnsi="Arial" w:eastAsia="Calibri" w:cs="Arial"/>
          <w:sz w:val="22"/>
        </w:rPr>
        <w:t xml:space="preserve">o señor </w:t>
      </w:r>
      <w:r w:rsidRPr="001554CA">
        <w:rPr>
          <w:rFonts w:ascii="Arial" w:hAnsi="Arial" w:cs="Arial"/>
          <w:sz w:val="22"/>
        </w:rPr>
        <w:t>Yanquen</w:t>
      </w:r>
      <w:r w:rsidRPr="001554CA">
        <w:rPr>
          <w:rFonts w:ascii="Arial" w:hAnsi="Arial" w:eastAsia="Calibri" w:cs="Arial"/>
          <w:sz w:val="22"/>
        </w:rPr>
        <w:t>;</w:t>
      </w:r>
    </w:p>
    <w:p w:rsidRPr="00AC2EB0" w:rsidR="004A7D5F" w:rsidP="004A7D5F" w:rsidRDefault="004A7D5F" w14:paraId="74BC607F" w14:textId="77777777">
      <w:pPr>
        <w:spacing w:line="276" w:lineRule="auto"/>
        <w:rPr>
          <w:rFonts w:ascii="Arial" w:hAnsi="Arial" w:eastAsia="Calibri" w:cs="Arial"/>
          <w:sz w:val="22"/>
        </w:rPr>
      </w:pPr>
    </w:p>
    <w:p w:rsidRPr="00AC2EB0" w:rsidR="004A7D5F" w:rsidP="004A7D5F" w:rsidRDefault="004A7D5F" w14:paraId="79CECB90" w14:textId="63B73DE3">
      <w:pPr>
        <w:spacing w:line="276" w:lineRule="auto"/>
        <w:jc w:val="both"/>
        <w:rPr>
          <w:rFonts w:ascii="Arial" w:hAnsi="Arial" w:eastAsia="Calibri" w:cs="Arial"/>
          <w:sz w:val="22"/>
        </w:rPr>
      </w:pPr>
      <w:bookmarkStart w:name="_Hlk44427398" w:id="0"/>
      <w:r w:rsidRPr="00AC2EB0">
        <w:rPr>
          <w:rFonts w:ascii="Arial" w:hAnsi="Arial" w:eastAsia="Calibri" w:cs="Arial"/>
          <w:sz w:val="22"/>
        </w:rPr>
        <w:t xml:space="preserve">La Agencia Nacional de Contratación Pública </w:t>
      </w:r>
      <w:r>
        <w:rPr>
          <w:rFonts w:ascii="Arial" w:hAnsi="Arial" w:eastAsia="Calibri" w:cs="Arial"/>
          <w:sz w:val="22"/>
        </w:rPr>
        <w:t xml:space="preserve">– </w:t>
      </w:r>
      <w:r w:rsidRPr="00AC2EB0">
        <w:rPr>
          <w:rFonts w:ascii="Arial" w:hAnsi="Arial" w:eastAsia="Calibri" w:cs="Arial"/>
          <w:sz w:val="22"/>
        </w:rPr>
        <w:t>Colombia Compra Eficiente responde su consulta del</w:t>
      </w:r>
      <w:r>
        <w:rPr>
          <w:rFonts w:ascii="Arial" w:hAnsi="Arial" w:eastAsia="Calibri" w:cs="Arial"/>
          <w:sz w:val="22"/>
        </w:rPr>
        <w:t xml:space="preserve"> 8 de </w:t>
      </w:r>
      <w:r w:rsidR="008D7B6B">
        <w:rPr>
          <w:rFonts w:ascii="Arial" w:hAnsi="Arial" w:eastAsia="Calibri" w:cs="Arial"/>
          <w:sz w:val="22"/>
        </w:rPr>
        <w:t xml:space="preserve">abril </w:t>
      </w:r>
      <w:r>
        <w:rPr>
          <w:rFonts w:ascii="Arial" w:hAnsi="Arial" w:eastAsia="Calibri" w:cs="Arial"/>
          <w:sz w:val="22"/>
        </w:rPr>
        <w:t>de 2021</w:t>
      </w:r>
      <w:r w:rsidRPr="00AC2EB0">
        <w:rPr>
          <w:rFonts w:ascii="Arial" w:hAnsi="Arial" w:eastAsia="Calibri" w:cs="Arial"/>
          <w:sz w:val="22"/>
        </w:rPr>
        <w:t xml:space="preserve">, en ejercicio de la competencia otorgada por el numeral 8 del artículo 11 y el numeral 5 del artículo 3 del Decreto Ley 4170 de 2011. </w:t>
      </w:r>
    </w:p>
    <w:p w:rsidRPr="00AC2EB0" w:rsidR="004A7D5F" w:rsidP="004A7D5F" w:rsidRDefault="004A7D5F" w14:paraId="0D645504" w14:textId="77777777">
      <w:pPr>
        <w:pStyle w:val="Prrafodelista"/>
        <w:tabs>
          <w:tab w:val="left" w:pos="284"/>
        </w:tabs>
        <w:spacing w:line="276" w:lineRule="auto"/>
        <w:ind w:left="0"/>
        <w:contextualSpacing w:val="0"/>
        <w:jc w:val="both"/>
        <w:rPr>
          <w:rFonts w:ascii="Arial" w:hAnsi="Arial" w:eastAsia="Calibri" w:cs="Arial"/>
          <w:b/>
          <w:sz w:val="22"/>
        </w:rPr>
      </w:pPr>
    </w:p>
    <w:bookmarkEnd w:id="0"/>
    <w:p w:rsidR="004A7D5F" w:rsidP="004A7D5F" w:rsidRDefault="004A7D5F" w14:paraId="5D1E3E1D" w14:textId="178F6D9B">
      <w:pPr>
        <w:pStyle w:val="Prrafodelista"/>
        <w:numPr>
          <w:ilvl w:val="0"/>
          <w:numId w:val="1"/>
        </w:numPr>
        <w:tabs>
          <w:tab w:val="left" w:pos="284"/>
        </w:tabs>
        <w:spacing w:line="276" w:lineRule="auto"/>
        <w:ind w:left="0" w:firstLine="0"/>
        <w:contextualSpacing w:val="0"/>
        <w:jc w:val="both"/>
        <w:rPr>
          <w:rFonts w:ascii="Arial" w:hAnsi="Arial" w:eastAsia="Calibri" w:cs="Arial"/>
          <w:b/>
          <w:sz w:val="22"/>
        </w:rPr>
      </w:pPr>
      <w:r w:rsidRPr="00AC2EB0">
        <w:rPr>
          <w:rFonts w:ascii="Arial" w:hAnsi="Arial" w:eastAsia="Calibri" w:cs="Arial"/>
          <w:b/>
          <w:sz w:val="22"/>
        </w:rPr>
        <w:t xml:space="preserve">Problemas planteados </w:t>
      </w:r>
    </w:p>
    <w:p w:rsidR="00210754" w:rsidP="00210754" w:rsidRDefault="00210754" w14:paraId="746C9684" w14:textId="512903F2">
      <w:pPr>
        <w:tabs>
          <w:tab w:val="left" w:pos="284"/>
        </w:tabs>
        <w:spacing w:line="276" w:lineRule="auto"/>
        <w:jc w:val="both"/>
        <w:rPr>
          <w:rFonts w:ascii="Arial" w:hAnsi="Arial" w:eastAsia="Calibri" w:cs="Arial"/>
          <w:sz w:val="22"/>
        </w:rPr>
      </w:pPr>
    </w:p>
    <w:p w:rsidRPr="00A83E63" w:rsidR="007E4B62" w:rsidP="009C3E53" w:rsidRDefault="007E4B62" w14:paraId="2D894A2F" w14:textId="45FB9532">
      <w:pPr>
        <w:tabs>
          <w:tab w:val="left" w:pos="284"/>
        </w:tabs>
        <w:spacing w:line="276" w:lineRule="auto"/>
        <w:jc w:val="both"/>
        <w:rPr>
          <w:rStyle w:val="Textoennegrita"/>
          <w:b w:val="0"/>
          <w:bCs w:val="0"/>
          <w:shd w:val="clear" w:color="auto" w:fill="FFFFFF"/>
        </w:rPr>
      </w:pPr>
      <w:r w:rsidRPr="001554CA">
        <w:rPr>
          <w:rFonts w:ascii="Arial" w:hAnsi="Arial" w:eastAsia="Calibri" w:cs="Arial"/>
          <w:bCs/>
          <w:sz w:val="22"/>
        </w:rPr>
        <w:t xml:space="preserve">En relación </w:t>
      </w:r>
      <w:r>
        <w:rPr>
          <w:rFonts w:ascii="Arial" w:hAnsi="Arial" w:eastAsia="Calibri" w:cs="Arial"/>
          <w:bCs/>
          <w:sz w:val="22"/>
        </w:rPr>
        <w:t>con</w:t>
      </w:r>
      <w:r w:rsidRPr="001554CA">
        <w:rPr>
          <w:rFonts w:ascii="Arial" w:hAnsi="Arial" w:eastAsia="Calibri" w:cs="Arial"/>
          <w:bCs/>
          <w:sz w:val="22"/>
        </w:rPr>
        <w:t xml:space="preserve"> la </w:t>
      </w:r>
      <w:r w:rsidRPr="007E4B62">
        <w:rPr>
          <w:rStyle w:val="Textoennegrita"/>
          <w:rFonts w:ascii="Arial" w:hAnsi="Arial" w:cs="Arial"/>
          <w:b w:val="0"/>
          <w:bCs w:val="0"/>
          <w:sz w:val="22"/>
          <w:shd w:val="clear" w:color="auto" w:fill="FFFFFF"/>
        </w:rPr>
        <w:t>Resolución 269 de 2020</w:t>
      </w:r>
      <w:r>
        <w:rPr>
          <w:rFonts w:ascii="Arial" w:hAnsi="Arial" w:cs="Arial"/>
          <w:bCs/>
          <w:sz w:val="22"/>
          <w:shd w:val="clear" w:color="auto" w:fill="FFFFFF"/>
        </w:rPr>
        <w:t>, «</w:t>
      </w:r>
      <w:r w:rsidRPr="00CE04BD">
        <w:rPr>
          <w:rStyle w:val="nfasis"/>
          <w:rFonts w:ascii="Arial" w:hAnsi="Arial" w:cs="Arial"/>
          <w:bCs/>
          <w:sz w:val="22"/>
          <w:shd w:val="clear" w:color="auto" w:fill="FFFFFF"/>
        </w:rPr>
        <w:t>Por la cual se adopta el documento tipo para los procesos de gestión catastral con enfoque multipropósito que se celebren a través de contratos interadministrativos</w:t>
      </w:r>
      <w:r>
        <w:rPr>
          <w:rFonts w:ascii="Arial" w:hAnsi="Arial" w:cs="Arial"/>
          <w:bCs/>
          <w:sz w:val="22"/>
          <w:shd w:val="clear" w:color="auto" w:fill="FFFFFF"/>
        </w:rPr>
        <w:t>»,</w:t>
      </w:r>
      <w:r w:rsidRPr="001554CA">
        <w:rPr>
          <w:rFonts w:ascii="Arial" w:hAnsi="Arial" w:cs="Arial"/>
          <w:bCs/>
          <w:sz w:val="22"/>
          <w:shd w:val="clear" w:color="auto" w:fill="FFFFFF"/>
        </w:rPr>
        <w:t xml:space="preserve"> usted pregunta</w:t>
      </w:r>
      <w:r>
        <w:rPr>
          <w:rFonts w:ascii="Arial" w:hAnsi="Arial" w:cs="Arial"/>
          <w:bCs/>
          <w:sz w:val="22"/>
          <w:shd w:val="clear" w:color="auto" w:fill="FFFFFF"/>
        </w:rPr>
        <w:t xml:space="preserve">: i) </w:t>
      </w:r>
      <w:r w:rsidR="009C3E53">
        <w:rPr>
          <w:rFonts w:ascii="Arial" w:hAnsi="Arial" w:cs="Arial"/>
          <w:bCs/>
          <w:sz w:val="22"/>
          <w:shd w:val="clear" w:color="auto" w:fill="FFFFFF"/>
        </w:rPr>
        <w:t>«</w:t>
      </w:r>
      <w:r w:rsidRPr="009C3E53" w:rsidR="009C3E53">
        <w:rPr>
          <w:rFonts w:ascii="Arial" w:hAnsi="Arial" w:cs="Arial"/>
          <w:bCs/>
          <w:sz w:val="22"/>
          <w:shd w:val="clear" w:color="auto" w:fill="FFFFFF"/>
        </w:rPr>
        <w:t xml:space="preserve">¿Es posible celebrar un contrato Interadministrativo entre el IGAC y el municipio de </w:t>
      </w:r>
      <w:r w:rsidRPr="009C3E53" w:rsidR="001576E4">
        <w:rPr>
          <w:rFonts w:ascii="Arial" w:hAnsi="Arial" w:cs="Arial"/>
          <w:bCs/>
          <w:sz w:val="22"/>
          <w:shd w:val="clear" w:color="auto" w:fill="FFFFFF"/>
        </w:rPr>
        <w:t>Chin</w:t>
      </w:r>
      <w:r w:rsidR="001576E4">
        <w:rPr>
          <w:rFonts w:ascii="Arial" w:hAnsi="Arial" w:cs="Arial"/>
          <w:bCs/>
          <w:sz w:val="22"/>
          <w:shd w:val="clear" w:color="auto" w:fill="FFFFFF"/>
        </w:rPr>
        <w:t>á</w:t>
      </w:r>
      <w:r w:rsidRPr="009C3E53" w:rsidR="001576E4">
        <w:rPr>
          <w:rFonts w:ascii="Arial" w:hAnsi="Arial" w:cs="Arial"/>
          <w:bCs/>
          <w:sz w:val="22"/>
          <w:shd w:val="clear" w:color="auto" w:fill="FFFFFF"/>
        </w:rPr>
        <w:t>cot</w:t>
      </w:r>
      <w:r w:rsidR="001576E4">
        <w:rPr>
          <w:rFonts w:ascii="Arial" w:hAnsi="Arial" w:cs="Arial"/>
          <w:bCs/>
          <w:sz w:val="22"/>
          <w:shd w:val="clear" w:color="auto" w:fill="FFFFFF"/>
        </w:rPr>
        <w:t>a</w:t>
      </w:r>
      <w:r w:rsidRPr="009C3E53" w:rsidR="009C3E53">
        <w:rPr>
          <w:rFonts w:ascii="Arial" w:hAnsi="Arial" w:cs="Arial"/>
          <w:bCs/>
          <w:sz w:val="22"/>
          <w:shd w:val="clear" w:color="auto" w:fill="FFFFFF"/>
        </w:rPr>
        <w:t>, cuyo objeto verse EXCLUSIVAMENTE en la conservación catastral, sin que la misma incluya actualización catastral?</w:t>
      </w:r>
      <w:r w:rsidR="009C3E53">
        <w:rPr>
          <w:rFonts w:ascii="Arial" w:hAnsi="Arial" w:cs="Arial"/>
          <w:bCs/>
          <w:sz w:val="22"/>
          <w:shd w:val="clear" w:color="auto" w:fill="FFFFFF"/>
        </w:rPr>
        <w:t xml:space="preserve">» y ii) </w:t>
      </w:r>
      <w:r w:rsidR="00A83E63">
        <w:rPr>
          <w:rFonts w:ascii="Arial" w:hAnsi="Arial" w:cs="Arial"/>
          <w:bCs/>
          <w:sz w:val="22"/>
          <w:shd w:val="clear" w:color="auto" w:fill="FFFFFF"/>
        </w:rPr>
        <w:t>«</w:t>
      </w:r>
      <w:r w:rsidRPr="00A83E63" w:rsidR="009C3E53">
        <w:t>¿</w:t>
      </w:r>
      <w:r w:rsidRPr="00A83E63" w:rsidR="009C3E53">
        <w:rPr>
          <w:rStyle w:val="Textoennegrita"/>
          <w:rFonts w:ascii="Arial" w:hAnsi="Arial" w:cs="Arial"/>
          <w:b w:val="0"/>
          <w:bCs w:val="0"/>
          <w:sz w:val="22"/>
          <w:shd w:val="clear" w:color="auto" w:fill="FFFFFF"/>
        </w:rPr>
        <w:t>dicho contrato interadministrativo a suscribirse debe regirse por Pliego Tipo de Catastro multipropósito reglamentado por la ANCCE?:</w:t>
      </w:r>
      <w:r w:rsidR="00A83E63">
        <w:rPr>
          <w:rStyle w:val="Textoennegrita"/>
          <w:rFonts w:ascii="Arial" w:hAnsi="Arial" w:cs="Arial"/>
          <w:b w:val="0"/>
          <w:bCs w:val="0"/>
          <w:sz w:val="22"/>
          <w:shd w:val="clear" w:color="auto" w:fill="FFFFFF"/>
        </w:rPr>
        <w:t>».</w:t>
      </w:r>
    </w:p>
    <w:p w:rsidRPr="00A83E63" w:rsidR="007E4B62" w:rsidP="00E1449C" w:rsidRDefault="007E4B62" w14:paraId="362AC224" w14:textId="77777777">
      <w:pPr>
        <w:tabs>
          <w:tab w:val="left" w:pos="284"/>
        </w:tabs>
        <w:spacing w:line="276" w:lineRule="auto"/>
        <w:jc w:val="both"/>
        <w:rPr>
          <w:rStyle w:val="Textoennegrita"/>
          <w:b w:val="0"/>
          <w:bCs w:val="0"/>
          <w:shd w:val="clear" w:color="auto" w:fill="FFFFFF"/>
        </w:rPr>
      </w:pPr>
    </w:p>
    <w:p w:rsidR="00210754" w:rsidP="00E1449C" w:rsidRDefault="0027320B" w14:paraId="0CCB1CC0" w14:textId="73BA3C5D">
      <w:pPr>
        <w:pStyle w:val="Prrafodelista"/>
        <w:numPr>
          <w:ilvl w:val="0"/>
          <w:numId w:val="1"/>
        </w:numPr>
        <w:tabs>
          <w:tab w:val="left" w:pos="0"/>
        </w:tabs>
        <w:spacing w:line="276" w:lineRule="auto"/>
        <w:ind w:left="284" w:hanging="284"/>
        <w:jc w:val="both"/>
        <w:rPr>
          <w:rFonts w:ascii="Arial" w:hAnsi="Arial" w:eastAsia="Calibri" w:cs="Arial"/>
          <w:b/>
          <w:sz w:val="22"/>
        </w:rPr>
      </w:pPr>
      <w:r w:rsidRPr="0027320B">
        <w:rPr>
          <w:rFonts w:ascii="Arial" w:hAnsi="Arial" w:eastAsia="Calibri" w:cs="Arial"/>
          <w:b/>
          <w:sz w:val="22"/>
        </w:rPr>
        <w:t>Consideraciones</w:t>
      </w:r>
    </w:p>
    <w:p w:rsidR="0027320B" w:rsidP="00E1449C" w:rsidRDefault="0027320B" w14:paraId="4AAABA44" w14:textId="66D0B066">
      <w:pPr>
        <w:tabs>
          <w:tab w:val="left" w:pos="0"/>
        </w:tabs>
        <w:spacing w:line="276" w:lineRule="auto"/>
        <w:jc w:val="both"/>
        <w:rPr>
          <w:rFonts w:ascii="Arial" w:hAnsi="Arial" w:eastAsia="Calibri" w:cs="Arial"/>
          <w:b/>
          <w:sz w:val="22"/>
        </w:rPr>
      </w:pPr>
    </w:p>
    <w:p w:rsidR="00F5032B" w:rsidP="00E1449C" w:rsidRDefault="004A2482" w14:paraId="7064E12A" w14:textId="7A0404BF">
      <w:pPr>
        <w:spacing w:line="276" w:lineRule="auto"/>
        <w:jc w:val="both"/>
        <w:rPr>
          <w:rFonts w:ascii="Arial" w:hAnsi="Arial" w:eastAsia="Calibri" w:cs="Arial"/>
          <w:bCs/>
          <w:sz w:val="22"/>
        </w:rPr>
      </w:pPr>
      <w:r>
        <w:rPr>
          <w:rFonts w:ascii="Arial" w:hAnsi="Arial" w:eastAsia="Calibri" w:cs="Arial"/>
          <w:bCs/>
          <w:sz w:val="22"/>
        </w:rPr>
        <w:t xml:space="preserve">Para </w:t>
      </w:r>
      <w:r w:rsidR="00087921">
        <w:rPr>
          <w:rFonts w:ascii="Arial" w:hAnsi="Arial" w:eastAsia="Calibri" w:cs="Arial"/>
          <w:bCs/>
          <w:sz w:val="22"/>
        </w:rPr>
        <w:t>resolver su inquietud, es importante señalar, que</w:t>
      </w:r>
      <w:r w:rsidR="0045543A">
        <w:rPr>
          <w:rFonts w:ascii="Arial" w:hAnsi="Arial" w:eastAsia="Calibri" w:cs="Arial"/>
          <w:bCs/>
          <w:sz w:val="22"/>
        </w:rPr>
        <w:t xml:space="preserve"> la Agencia Nacional de Contratación Pública – Colombia Compra Eficiente, </w:t>
      </w:r>
      <w:r w:rsidR="00087921">
        <w:rPr>
          <w:rFonts w:ascii="Arial" w:hAnsi="Arial" w:eastAsia="Calibri" w:cs="Arial"/>
          <w:bCs/>
          <w:sz w:val="22"/>
        </w:rPr>
        <w:t xml:space="preserve">en el Radicado No. </w:t>
      </w:r>
      <w:r w:rsidR="00E31654">
        <w:rPr>
          <w:rFonts w:ascii="Arial" w:hAnsi="Arial" w:eastAsia="Calibri" w:cs="Arial"/>
          <w:bCs/>
          <w:sz w:val="22"/>
        </w:rPr>
        <w:t xml:space="preserve">RS20210415003032 del 15 de abril </w:t>
      </w:r>
      <w:r w:rsidR="005D6302">
        <w:rPr>
          <w:rFonts w:ascii="Arial" w:hAnsi="Arial" w:eastAsia="Calibri" w:cs="Arial"/>
          <w:bCs/>
          <w:sz w:val="22"/>
        </w:rPr>
        <w:t>de 2021</w:t>
      </w:r>
      <w:r w:rsidR="00156200">
        <w:rPr>
          <w:rFonts w:ascii="Arial" w:hAnsi="Arial" w:eastAsia="Calibri" w:cs="Arial"/>
          <w:bCs/>
          <w:sz w:val="22"/>
        </w:rPr>
        <w:t>,</w:t>
      </w:r>
      <w:r w:rsidR="005D6302">
        <w:rPr>
          <w:rFonts w:ascii="Arial" w:hAnsi="Arial" w:eastAsia="Calibri" w:cs="Arial"/>
          <w:bCs/>
          <w:sz w:val="22"/>
        </w:rPr>
        <w:t xml:space="preserve"> </w:t>
      </w:r>
      <w:r w:rsidR="00E31654">
        <w:rPr>
          <w:rFonts w:ascii="Arial" w:hAnsi="Arial" w:eastAsia="Calibri" w:cs="Arial"/>
          <w:bCs/>
          <w:sz w:val="22"/>
        </w:rPr>
        <w:t>respond</w:t>
      </w:r>
      <w:r w:rsidR="00C162BC">
        <w:rPr>
          <w:rFonts w:ascii="Arial" w:hAnsi="Arial" w:eastAsia="Calibri" w:cs="Arial"/>
          <w:bCs/>
          <w:sz w:val="22"/>
        </w:rPr>
        <w:t>ió</w:t>
      </w:r>
      <w:r w:rsidR="00E31654">
        <w:rPr>
          <w:rFonts w:ascii="Arial" w:hAnsi="Arial" w:eastAsia="Calibri" w:cs="Arial"/>
          <w:bCs/>
          <w:sz w:val="22"/>
        </w:rPr>
        <w:t xml:space="preserve"> parcialmente su consulta</w:t>
      </w:r>
      <w:r w:rsidR="0045543A">
        <w:rPr>
          <w:rFonts w:ascii="Arial" w:hAnsi="Arial" w:eastAsia="Calibri" w:cs="Arial"/>
          <w:bCs/>
          <w:sz w:val="22"/>
        </w:rPr>
        <w:t>, particularmente</w:t>
      </w:r>
      <w:r w:rsidR="00B500E0">
        <w:rPr>
          <w:rFonts w:ascii="Arial" w:hAnsi="Arial" w:eastAsia="Calibri" w:cs="Arial"/>
          <w:bCs/>
          <w:sz w:val="22"/>
        </w:rPr>
        <w:t>,</w:t>
      </w:r>
      <w:r w:rsidR="0045543A">
        <w:rPr>
          <w:rFonts w:ascii="Arial" w:hAnsi="Arial" w:eastAsia="Calibri" w:cs="Arial"/>
          <w:bCs/>
          <w:sz w:val="22"/>
        </w:rPr>
        <w:t xml:space="preserve"> frente a la </w:t>
      </w:r>
      <w:r w:rsidR="004C03AE">
        <w:rPr>
          <w:rFonts w:ascii="Arial" w:hAnsi="Arial" w:eastAsia="Calibri" w:cs="Arial"/>
          <w:bCs/>
          <w:sz w:val="22"/>
        </w:rPr>
        <w:t xml:space="preserve">primera </w:t>
      </w:r>
      <w:r w:rsidR="004C03AE">
        <w:rPr>
          <w:rFonts w:ascii="Arial" w:hAnsi="Arial" w:eastAsia="Calibri" w:cs="Arial"/>
          <w:bCs/>
          <w:sz w:val="22"/>
        </w:rPr>
        <w:lastRenderedPageBreak/>
        <w:t xml:space="preserve">inquietud, esto es, ¿si es posible celebrar un contrato interadministrativo entre el IGAC y el municipio de Chinácota, cuyo objeto verse </w:t>
      </w:r>
      <w:r w:rsidR="00734998">
        <w:rPr>
          <w:rFonts w:ascii="Arial" w:hAnsi="Arial" w:eastAsia="Calibri" w:cs="Arial"/>
          <w:bCs/>
          <w:sz w:val="22"/>
        </w:rPr>
        <w:t>exclusivamente</w:t>
      </w:r>
      <w:r w:rsidR="004C03AE">
        <w:rPr>
          <w:rFonts w:ascii="Arial" w:hAnsi="Arial" w:eastAsia="Calibri" w:cs="Arial"/>
          <w:bCs/>
          <w:sz w:val="22"/>
        </w:rPr>
        <w:t xml:space="preserve"> en la conservación catastra</w:t>
      </w:r>
      <w:r w:rsidR="008E7B4C">
        <w:rPr>
          <w:rFonts w:ascii="Arial" w:hAnsi="Arial" w:eastAsia="Calibri" w:cs="Arial"/>
          <w:bCs/>
          <w:sz w:val="22"/>
        </w:rPr>
        <w:t>l</w:t>
      </w:r>
      <w:r w:rsidR="004C03AE">
        <w:rPr>
          <w:rFonts w:ascii="Arial" w:hAnsi="Arial" w:eastAsia="Calibri" w:cs="Arial"/>
          <w:bCs/>
          <w:sz w:val="22"/>
        </w:rPr>
        <w:t xml:space="preserve">, </w:t>
      </w:r>
      <w:r w:rsidR="005D6302">
        <w:rPr>
          <w:rFonts w:ascii="Arial" w:hAnsi="Arial" w:eastAsia="Calibri" w:cs="Arial"/>
          <w:bCs/>
          <w:sz w:val="22"/>
        </w:rPr>
        <w:t>sin que la misma incluya actualización catastral?</w:t>
      </w:r>
    </w:p>
    <w:p w:rsidR="00C42666" w:rsidP="001454FD" w:rsidRDefault="00C42666" w14:paraId="7B904C1F" w14:textId="1C5907BB">
      <w:pPr>
        <w:spacing w:before="120" w:after="120" w:line="276" w:lineRule="auto"/>
        <w:jc w:val="both"/>
        <w:rPr>
          <w:rFonts w:ascii="Arial" w:hAnsi="Arial" w:eastAsia="Calibri" w:cs="Arial"/>
          <w:bCs/>
          <w:sz w:val="22"/>
        </w:rPr>
      </w:pPr>
      <w:r>
        <w:rPr>
          <w:rFonts w:ascii="Arial" w:hAnsi="Arial" w:eastAsia="Calibri" w:cs="Arial"/>
          <w:bCs/>
          <w:sz w:val="22"/>
        </w:rPr>
        <w:tab/>
      </w:r>
      <w:r>
        <w:rPr>
          <w:rFonts w:ascii="Arial" w:hAnsi="Arial" w:eastAsia="Calibri" w:cs="Arial"/>
          <w:bCs/>
          <w:sz w:val="22"/>
        </w:rPr>
        <w:t xml:space="preserve">Al respecto, se </w:t>
      </w:r>
      <w:r w:rsidR="00B47001">
        <w:rPr>
          <w:rFonts w:ascii="Arial" w:hAnsi="Arial" w:eastAsia="Calibri" w:cs="Arial"/>
          <w:bCs/>
          <w:sz w:val="22"/>
        </w:rPr>
        <w:t>indic</w:t>
      </w:r>
      <w:r w:rsidR="001322B1">
        <w:rPr>
          <w:rFonts w:ascii="Arial" w:hAnsi="Arial" w:eastAsia="Calibri" w:cs="Arial"/>
          <w:bCs/>
          <w:sz w:val="22"/>
        </w:rPr>
        <w:t>ó</w:t>
      </w:r>
      <w:r w:rsidR="00B47001">
        <w:rPr>
          <w:rFonts w:ascii="Arial" w:hAnsi="Arial" w:eastAsia="Calibri" w:cs="Arial"/>
          <w:bCs/>
          <w:sz w:val="22"/>
        </w:rPr>
        <w:t xml:space="preserve"> </w:t>
      </w:r>
      <w:r>
        <w:rPr>
          <w:rFonts w:ascii="Arial" w:hAnsi="Arial" w:eastAsia="Calibri" w:cs="Arial"/>
          <w:bCs/>
          <w:sz w:val="22"/>
        </w:rPr>
        <w:t>que no pod</w:t>
      </w:r>
      <w:r w:rsidR="001322B1">
        <w:rPr>
          <w:rFonts w:ascii="Arial" w:hAnsi="Arial" w:eastAsia="Calibri" w:cs="Arial"/>
          <w:bCs/>
          <w:sz w:val="22"/>
        </w:rPr>
        <w:t>íamos</w:t>
      </w:r>
      <w:r>
        <w:rPr>
          <w:rFonts w:ascii="Arial" w:hAnsi="Arial" w:eastAsia="Calibri" w:cs="Arial"/>
          <w:bCs/>
          <w:sz w:val="22"/>
        </w:rPr>
        <w:t xml:space="preserve"> </w:t>
      </w:r>
      <w:r w:rsidR="006602F2">
        <w:rPr>
          <w:rFonts w:ascii="Arial" w:hAnsi="Arial" w:eastAsia="Calibri" w:cs="Arial"/>
          <w:bCs/>
          <w:sz w:val="22"/>
        </w:rPr>
        <w:t>responder su solicitud, pues no se ref</w:t>
      </w:r>
      <w:r w:rsidR="001322B1">
        <w:rPr>
          <w:rFonts w:ascii="Arial" w:hAnsi="Arial" w:eastAsia="Calibri" w:cs="Arial"/>
          <w:bCs/>
          <w:sz w:val="22"/>
        </w:rPr>
        <w:t>ería</w:t>
      </w:r>
      <w:r w:rsidR="006602F2">
        <w:rPr>
          <w:rFonts w:ascii="Arial" w:hAnsi="Arial" w:eastAsia="Calibri" w:cs="Arial"/>
          <w:bCs/>
          <w:sz w:val="22"/>
        </w:rPr>
        <w:t xml:space="preserve"> al alcance de la alguna norma que rija la contratación de las entidades públicas, sino a la resolución de una problemática particular y concreta. </w:t>
      </w:r>
      <w:r w:rsidR="001322B1">
        <w:rPr>
          <w:rFonts w:ascii="Arial" w:hAnsi="Arial" w:eastAsia="Calibri" w:cs="Arial"/>
          <w:bCs/>
          <w:sz w:val="22"/>
        </w:rPr>
        <w:t>En tal sentido, se indicó que</w:t>
      </w:r>
      <w:r w:rsidR="000E189F">
        <w:rPr>
          <w:rFonts w:ascii="Arial" w:hAnsi="Arial" w:eastAsia="Calibri" w:cs="Arial"/>
          <w:bCs/>
          <w:sz w:val="22"/>
        </w:rPr>
        <w:t xml:space="preserve"> </w:t>
      </w:r>
      <w:r w:rsidR="00343759">
        <w:rPr>
          <w:rFonts w:ascii="Arial" w:hAnsi="Arial" w:eastAsia="Calibri" w:cs="Arial"/>
          <w:bCs/>
          <w:sz w:val="22"/>
        </w:rPr>
        <w:t xml:space="preserve">la Agencia Nacional de Contratación Pública no cuenta </w:t>
      </w:r>
      <w:r w:rsidR="007340EF">
        <w:rPr>
          <w:rFonts w:ascii="Arial" w:hAnsi="Arial" w:eastAsia="Calibri" w:cs="Arial"/>
          <w:bCs/>
          <w:sz w:val="22"/>
        </w:rPr>
        <w:t>con funciones de asesoría particular. Por ello</w:t>
      </w:r>
      <w:r w:rsidR="00576E01">
        <w:rPr>
          <w:rFonts w:ascii="Arial" w:hAnsi="Arial" w:eastAsia="Calibri" w:cs="Arial"/>
          <w:bCs/>
          <w:sz w:val="22"/>
        </w:rPr>
        <w:t xml:space="preserve">, no puede determinar si es viable, jurídicamente, que las entidades territoriales suscriban o no </w:t>
      </w:r>
      <w:r w:rsidR="001322B1">
        <w:rPr>
          <w:rFonts w:ascii="Arial" w:hAnsi="Arial" w:eastAsia="Calibri" w:cs="Arial"/>
          <w:bCs/>
          <w:sz w:val="22"/>
        </w:rPr>
        <w:t xml:space="preserve">algún </w:t>
      </w:r>
      <w:r w:rsidR="00576E01">
        <w:rPr>
          <w:rFonts w:ascii="Arial" w:hAnsi="Arial" w:eastAsia="Calibri" w:cs="Arial"/>
          <w:bCs/>
          <w:sz w:val="22"/>
        </w:rPr>
        <w:t>negocio jurídico</w:t>
      </w:r>
      <w:r w:rsidR="001322B1">
        <w:rPr>
          <w:rFonts w:ascii="Arial" w:hAnsi="Arial" w:eastAsia="Calibri" w:cs="Arial"/>
          <w:bCs/>
          <w:sz w:val="22"/>
        </w:rPr>
        <w:t xml:space="preserve"> en particular</w:t>
      </w:r>
      <w:r w:rsidR="00576E01">
        <w:rPr>
          <w:rFonts w:ascii="Arial" w:hAnsi="Arial" w:eastAsia="Calibri" w:cs="Arial"/>
          <w:bCs/>
          <w:sz w:val="22"/>
        </w:rPr>
        <w:t xml:space="preserve">. </w:t>
      </w:r>
      <w:r w:rsidR="001322B1">
        <w:rPr>
          <w:rFonts w:ascii="Arial" w:hAnsi="Arial" w:eastAsia="Calibri" w:cs="Arial"/>
          <w:bCs/>
          <w:sz w:val="22"/>
        </w:rPr>
        <w:t>En igual sentido, tampoco podemos</w:t>
      </w:r>
      <w:r w:rsidR="00C304D8">
        <w:rPr>
          <w:rFonts w:ascii="Arial" w:hAnsi="Arial" w:eastAsia="Calibri" w:cs="Arial"/>
          <w:bCs/>
          <w:sz w:val="22"/>
        </w:rPr>
        <w:t xml:space="preserve"> determinar cuál es el objeto respecto del cual pueden o deben versar los contratos que celebren ni las obligaciones que pueden establecerse en estos. Pronunciarse sobre la pregunta objeto de la solicitud, implicaría realizar un juicio de valor que condicionaría las decisiones que deben adoptar o las actuaciones que deben adelantar en el desarrollo de los procesos de contratación estatal a su cargo. </w:t>
      </w:r>
    </w:p>
    <w:p w:rsidR="00576E01" w:rsidP="006602F2" w:rsidRDefault="00EF088A" w14:paraId="644B8651" w14:textId="1E8A4875">
      <w:pPr>
        <w:spacing w:before="120" w:after="120" w:line="276" w:lineRule="auto"/>
        <w:jc w:val="both"/>
        <w:rPr>
          <w:rFonts w:ascii="Arial" w:hAnsi="Arial" w:eastAsia="Calibri" w:cs="Arial"/>
          <w:bCs/>
          <w:sz w:val="22"/>
        </w:rPr>
      </w:pPr>
      <w:r>
        <w:rPr>
          <w:rFonts w:ascii="Arial" w:hAnsi="Arial" w:eastAsia="Calibri" w:cs="Arial"/>
          <w:bCs/>
          <w:sz w:val="22"/>
        </w:rPr>
        <w:tab/>
      </w:r>
      <w:r w:rsidR="001322B1">
        <w:rPr>
          <w:rFonts w:ascii="Arial" w:hAnsi="Arial" w:eastAsia="Calibri" w:cs="Arial"/>
          <w:bCs/>
          <w:sz w:val="22"/>
        </w:rPr>
        <w:t>T</w:t>
      </w:r>
      <w:r>
        <w:rPr>
          <w:rFonts w:ascii="Arial" w:hAnsi="Arial" w:eastAsia="Calibri" w:cs="Arial"/>
          <w:bCs/>
          <w:sz w:val="22"/>
        </w:rPr>
        <w:t>eniendo en cuenta que la consulta tiene como propósito la atribución al IGAC, de forma excepcional de la actividad de gestión catastral que corresponde a una entidad territorial,</w:t>
      </w:r>
      <w:r w:rsidR="00697BBA">
        <w:rPr>
          <w:rFonts w:ascii="Arial" w:hAnsi="Arial" w:eastAsia="Calibri" w:cs="Arial"/>
          <w:bCs/>
          <w:sz w:val="22"/>
        </w:rPr>
        <w:t xml:space="preserve"> esta consulta fue remitida al Instituto Geográfico </w:t>
      </w:r>
      <w:r w:rsidR="001C4FD1">
        <w:rPr>
          <w:rFonts w:ascii="Arial" w:hAnsi="Arial" w:eastAsia="Calibri" w:cs="Arial"/>
          <w:bCs/>
          <w:sz w:val="22"/>
        </w:rPr>
        <w:t>Agustín</w:t>
      </w:r>
      <w:r w:rsidR="00697BBA">
        <w:rPr>
          <w:rFonts w:ascii="Arial" w:hAnsi="Arial" w:eastAsia="Calibri" w:cs="Arial"/>
          <w:bCs/>
          <w:sz w:val="22"/>
        </w:rPr>
        <w:t xml:space="preserve"> Codazzi</w:t>
      </w:r>
      <w:r w:rsidR="001C4FD1">
        <w:rPr>
          <w:rFonts w:ascii="Arial" w:hAnsi="Arial" w:eastAsia="Calibri" w:cs="Arial"/>
          <w:bCs/>
          <w:sz w:val="22"/>
        </w:rPr>
        <w:t xml:space="preserve"> mediante radicado No. </w:t>
      </w:r>
      <w:r w:rsidR="008C558C">
        <w:rPr>
          <w:rFonts w:ascii="Arial" w:hAnsi="Arial" w:eastAsia="Calibri" w:cs="Arial"/>
          <w:bCs/>
          <w:sz w:val="22"/>
        </w:rPr>
        <w:t xml:space="preserve">RS20210415003031 el 15 de abril de 2021. </w:t>
      </w:r>
    </w:p>
    <w:p w:rsidR="008C4C4E" w:rsidP="00915EBC" w:rsidRDefault="008C558C" w14:paraId="4402C3BF" w14:textId="58815118">
      <w:pPr>
        <w:spacing w:line="276" w:lineRule="auto"/>
        <w:jc w:val="both"/>
        <w:rPr>
          <w:rStyle w:val="nfasis"/>
          <w:rFonts w:ascii="Arial" w:hAnsi="Arial" w:cs="Arial"/>
          <w:bCs/>
          <w:i w:val="0"/>
          <w:iCs w:val="0"/>
          <w:sz w:val="22"/>
          <w:shd w:val="clear" w:color="auto" w:fill="FFFFFF"/>
        </w:rPr>
      </w:pPr>
      <w:r>
        <w:rPr>
          <w:rFonts w:ascii="Arial" w:hAnsi="Arial" w:eastAsia="Calibri" w:cs="Arial"/>
          <w:bCs/>
          <w:sz w:val="22"/>
        </w:rPr>
        <w:tab/>
      </w:r>
      <w:r w:rsidR="00EA5384">
        <w:rPr>
          <w:rFonts w:ascii="Arial" w:hAnsi="Arial" w:eastAsia="Calibri" w:cs="Arial"/>
          <w:bCs/>
          <w:sz w:val="22"/>
        </w:rPr>
        <w:t xml:space="preserve">Por su parte, la Agencia Nacional de Contratación Pública responderá la segunda inquietud planteada, es decir, </w:t>
      </w:r>
      <w:r w:rsidR="00EA5384">
        <w:rPr>
          <w:rFonts w:ascii="Arial" w:hAnsi="Arial" w:cs="Arial"/>
          <w:bCs/>
          <w:sz w:val="22"/>
          <w:shd w:val="clear" w:color="auto" w:fill="FFFFFF"/>
        </w:rPr>
        <w:t xml:space="preserve">si en los casos en que únicamente se contrate la conservación catastral aplica el documento tipo </w:t>
      </w:r>
      <w:r w:rsidRPr="008C4C4E" w:rsidR="00791844">
        <w:rPr>
          <w:rStyle w:val="nfasis"/>
          <w:rFonts w:ascii="Arial" w:hAnsi="Arial" w:cs="Arial"/>
          <w:bCs/>
          <w:i w:val="0"/>
          <w:iCs w:val="0"/>
          <w:sz w:val="22"/>
          <w:shd w:val="clear" w:color="auto" w:fill="FFFFFF"/>
        </w:rPr>
        <w:t>para los procesos de gestión catastral con enfoque multipropósito</w:t>
      </w:r>
      <w:r w:rsidRPr="008C4C4E" w:rsidR="008C4C4E">
        <w:rPr>
          <w:rStyle w:val="nfasis"/>
          <w:rFonts w:ascii="Arial" w:hAnsi="Arial" w:cs="Arial"/>
          <w:bCs/>
          <w:sz w:val="22"/>
          <w:shd w:val="clear" w:color="auto" w:fill="FFFFFF"/>
        </w:rPr>
        <w:t>.</w:t>
      </w:r>
      <w:r w:rsidR="0004126E">
        <w:rPr>
          <w:rStyle w:val="nfasis"/>
          <w:rFonts w:ascii="Arial" w:hAnsi="Arial" w:cs="Arial"/>
          <w:bCs/>
          <w:sz w:val="22"/>
          <w:shd w:val="clear" w:color="auto" w:fill="FFFFFF"/>
        </w:rPr>
        <w:t xml:space="preserve"> </w:t>
      </w:r>
      <w:r w:rsidR="0004126E">
        <w:rPr>
          <w:rStyle w:val="nfasis"/>
          <w:rFonts w:ascii="Arial" w:hAnsi="Arial" w:cs="Arial"/>
          <w:bCs/>
          <w:i w:val="0"/>
          <w:iCs w:val="0"/>
          <w:sz w:val="22"/>
          <w:shd w:val="clear" w:color="auto" w:fill="FFFFFF"/>
        </w:rPr>
        <w:t>Para tal efecto, se explicará el alcance de los documentos tipo adoptados mediante la «Resolución 269 de 2020»</w:t>
      </w:r>
      <w:r w:rsidR="00022ADB">
        <w:rPr>
          <w:rStyle w:val="nfasis"/>
          <w:rFonts w:ascii="Arial" w:hAnsi="Arial" w:cs="Arial"/>
          <w:bCs/>
          <w:i w:val="0"/>
          <w:iCs w:val="0"/>
          <w:sz w:val="22"/>
          <w:shd w:val="clear" w:color="auto" w:fill="FFFFFF"/>
        </w:rPr>
        <w:t xml:space="preserve"> </w:t>
      </w:r>
      <w:r w:rsidR="004D1D7B">
        <w:rPr>
          <w:rStyle w:val="nfasis"/>
          <w:rFonts w:ascii="Arial" w:hAnsi="Arial" w:cs="Arial"/>
          <w:bCs/>
          <w:i w:val="0"/>
          <w:iCs w:val="0"/>
          <w:sz w:val="22"/>
          <w:shd w:val="clear" w:color="auto" w:fill="FFFFFF"/>
        </w:rPr>
        <w:t xml:space="preserve">y los supuestos fácticos para que apliquen estos documentos tipo. </w:t>
      </w:r>
    </w:p>
    <w:p w:rsidRPr="0004126E" w:rsidR="001322B1" w:rsidP="00915EBC" w:rsidRDefault="001322B1" w14:paraId="7410EF11" w14:textId="77777777">
      <w:pPr>
        <w:spacing w:line="276" w:lineRule="auto"/>
        <w:jc w:val="both"/>
        <w:rPr>
          <w:rStyle w:val="nfasis"/>
          <w:rFonts w:ascii="Arial" w:hAnsi="Arial" w:cs="Arial"/>
          <w:bCs/>
          <w:i w:val="0"/>
          <w:iCs w:val="0"/>
          <w:sz w:val="22"/>
          <w:shd w:val="clear" w:color="auto" w:fill="FFFFFF"/>
        </w:rPr>
      </w:pPr>
    </w:p>
    <w:p w:rsidR="007C7AF5" w:rsidP="00915EBC" w:rsidRDefault="00DC252A" w14:paraId="16C8E2AC" w14:textId="48B047DA">
      <w:pPr>
        <w:jc w:val="highKashida"/>
        <w:rPr>
          <w:rFonts w:ascii="Arial" w:hAnsi="Arial" w:cs="Arial"/>
          <w:b/>
          <w:bCs/>
          <w:sz w:val="22"/>
          <w:shd w:val="clear" w:color="auto" w:fill="FFFFFF"/>
        </w:rPr>
      </w:pPr>
      <w:r w:rsidRPr="008310BF">
        <w:rPr>
          <w:rFonts w:ascii="Arial" w:hAnsi="Arial" w:cs="Arial"/>
          <w:b/>
          <w:sz w:val="22"/>
          <w:szCs w:val="20"/>
        </w:rPr>
        <w:t>2.1</w:t>
      </w:r>
      <w:r w:rsidRPr="008310BF">
        <w:rPr>
          <w:rStyle w:val="nfasis"/>
          <w:rFonts w:ascii="Arial" w:hAnsi="Arial" w:cs="Arial"/>
          <w:bCs/>
          <w:i w:val="0"/>
          <w:iCs w:val="0"/>
          <w:sz w:val="20"/>
          <w:szCs w:val="20"/>
          <w:shd w:val="clear" w:color="auto" w:fill="FFFFFF"/>
        </w:rPr>
        <w:t xml:space="preserve"> </w:t>
      </w:r>
      <w:r w:rsidRPr="007C7AF5" w:rsidR="007C7AF5">
        <w:rPr>
          <w:rFonts w:ascii="Arial" w:hAnsi="Arial" w:cs="Arial"/>
          <w:b/>
          <w:bCs/>
          <w:sz w:val="22"/>
          <w:shd w:val="clear" w:color="auto" w:fill="FFFFFF"/>
        </w:rPr>
        <w:t xml:space="preserve">Contrato o convenio interadministrativo aplicable para contratar la prestación del servicio público de gestión catastral. </w:t>
      </w:r>
    </w:p>
    <w:p w:rsidRPr="007C7AF5" w:rsidR="001322B1" w:rsidP="00915EBC" w:rsidRDefault="001322B1" w14:paraId="2DC14698" w14:textId="77777777">
      <w:pPr>
        <w:jc w:val="highKashida"/>
        <w:rPr>
          <w:rFonts w:ascii="Arial" w:hAnsi="Arial" w:cs="Arial"/>
          <w:b/>
          <w:bCs/>
          <w:sz w:val="22"/>
          <w:shd w:val="clear" w:color="auto" w:fill="FFFFFF"/>
        </w:rPr>
      </w:pPr>
    </w:p>
    <w:p w:rsidRPr="00DC252A" w:rsidR="00DC252A" w:rsidP="00494608" w:rsidRDefault="00DC252A" w14:paraId="3BAE974C" w14:textId="77777777">
      <w:pPr>
        <w:spacing w:before="120" w:after="120" w:line="276" w:lineRule="auto"/>
        <w:jc w:val="both"/>
        <w:rPr>
          <w:rFonts w:ascii="Arial" w:hAnsi="Arial" w:cs="Arial"/>
          <w:sz w:val="22"/>
        </w:rPr>
      </w:pPr>
      <w:r w:rsidRPr="00DC252A">
        <w:rPr>
          <w:rFonts w:ascii="Arial" w:hAnsi="Arial" w:cs="Arial"/>
          <w:sz w:val="22"/>
        </w:rPr>
        <w:t xml:space="preserve">El artículo 1 de la Ley 2022 de 2020, por la cual se modifica el artículo 4 de la Ley 1882 de 2018, otorgó a la Agencia Nacional de Contratación Pública – Colombia Compra Eficiente Ia competencia para adoptar documentos tipo que serán de obligatorio cumplimiento en la actividad contractual de todas las entidades sometidas al Estatuto General de Contratación de la Administración Pública. </w:t>
      </w:r>
    </w:p>
    <w:p w:rsidR="00BA1DA8" w:rsidP="00BA1DA8" w:rsidRDefault="00DC252A" w14:paraId="3C93FCCE" w14:textId="74F68499">
      <w:pPr>
        <w:spacing w:after="120" w:line="276" w:lineRule="auto"/>
        <w:ind w:firstLine="708"/>
        <w:jc w:val="both"/>
        <w:rPr>
          <w:rFonts w:ascii="Arial" w:hAnsi="Arial" w:cs="Arial"/>
          <w:sz w:val="22"/>
        </w:rPr>
      </w:pPr>
      <w:r w:rsidRPr="00DC252A">
        <w:rPr>
          <w:rFonts w:ascii="Arial" w:hAnsi="Arial" w:cs="Arial"/>
          <w:sz w:val="22"/>
        </w:rPr>
        <w:t>Por lo anterior, con el fin de Iograr la formación y actualización catastral de todo el país,</w:t>
      </w:r>
      <w:r w:rsidR="00494608">
        <w:rPr>
          <w:rFonts w:ascii="Arial" w:hAnsi="Arial" w:cs="Arial"/>
          <w:sz w:val="22"/>
        </w:rPr>
        <w:t xml:space="preserve"> </w:t>
      </w:r>
      <w:r w:rsidRPr="00DC252A">
        <w:rPr>
          <w:rFonts w:ascii="Arial" w:hAnsi="Arial" w:cs="Arial"/>
          <w:sz w:val="22"/>
        </w:rPr>
        <w:t xml:space="preserve">era prioritario estructurar e implementar </w:t>
      </w:r>
      <w:r w:rsidR="001322B1">
        <w:rPr>
          <w:rFonts w:ascii="Arial" w:hAnsi="Arial" w:cs="Arial"/>
          <w:sz w:val="22"/>
        </w:rPr>
        <w:t>el</w:t>
      </w:r>
      <w:r w:rsidRPr="00DC252A" w:rsidR="001322B1">
        <w:rPr>
          <w:rFonts w:ascii="Arial" w:hAnsi="Arial" w:cs="Arial"/>
          <w:sz w:val="22"/>
        </w:rPr>
        <w:t xml:space="preserve"> </w:t>
      </w:r>
      <w:r w:rsidRPr="00DC252A">
        <w:rPr>
          <w:rFonts w:ascii="Arial" w:hAnsi="Arial" w:cs="Arial"/>
          <w:sz w:val="22"/>
        </w:rPr>
        <w:t>documento tipo</w:t>
      </w:r>
      <w:r w:rsidR="001322B1">
        <w:rPr>
          <w:rFonts w:ascii="Arial" w:hAnsi="Arial" w:cs="Arial"/>
          <w:sz w:val="22"/>
        </w:rPr>
        <w:t xml:space="preserve"> –minuta tipo–</w:t>
      </w:r>
      <w:r w:rsidRPr="00DC252A">
        <w:rPr>
          <w:rFonts w:ascii="Arial" w:hAnsi="Arial" w:cs="Arial"/>
          <w:sz w:val="22"/>
        </w:rPr>
        <w:t xml:space="preserve"> de catastro multipropósito celebrados a través de contratos interadministrativos, que celebren los municipios con los gestores catastrales habilitados. Además, con el propósito de unificar y facilitar la contratación de la gestión catastral de las entidades estatales y, también, cumplir la línea de acción No.13 definida en el CONPES 3958 de 2019, </w:t>
      </w:r>
      <w:r w:rsidR="001322B1">
        <w:rPr>
          <w:rFonts w:ascii="Arial" w:hAnsi="Arial" w:cs="Arial"/>
          <w:sz w:val="22"/>
        </w:rPr>
        <w:t>se consideró conveniente</w:t>
      </w:r>
      <w:r w:rsidRPr="00DC252A">
        <w:rPr>
          <w:rFonts w:ascii="Arial" w:hAnsi="Arial" w:cs="Arial"/>
          <w:sz w:val="22"/>
        </w:rPr>
        <w:t xml:space="preserve"> adoptar los documentos tipo de catastro multipropósito, por lo que se expidió la Resolución </w:t>
      </w:r>
      <w:r w:rsidRPr="00DC252A">
        <w:rPr>
          <w:rFonts w:ascii="Arial" w:hAnsi="Arial" w:cs="Arial"/>
          <w:sz w:val="22"/>
        </w:rPr>
        <w:lastRenderedPageBreak/>
        <w:t xml:space="preserve">269 del 16 de diciembre de 2020, «Por la cual se adopta el documento tipo para los procesos de gestión catastral con enfoque multipropósito que se celebren a través de contratos interadministrativos». </w:t>
      </w:r>
    </w:p>
    <w:p w:rsidR="00F24C40" w:rsidP="00F24C40" w:rsidRDefault="00F24C40" w14:paraId="3BC3CABD" w14:textId="77777777">
      <w:pPr>
        <w:pStyle w:val="Textoindependiente"/>
        <w:spacing w:after="120" w:line="276" w:lineRule="auto"/>
        <w:ind w:firstLine="703"/>
        <w:jc w:val="both"/>
      </w:pPr>
      <w:r>
        <w:t>Ahora bien, el argumento principal que fundamenta el enfoque regulatorio adoptado por la Agencia para la adopción de dicho documento tipo, se fundamenta en una sujeción estricta al principio de legalidad, de manera que se apoya</w:t>
      </w:r>
      <w:r>
        <w:rPr>
          <w:spacing w:val="-11"/>
        </w:rPr>
        <w:t xml:space="preserve"> </w:t>
      </w:r>
      <w:r>
        <w:t>en</w:t>
      </w:r>
      <w:r>
        <w:rPr>
          <w:spacing w:val="-11"/>
        </w:rPr>
        <w:t xml:space="preserve"> </w:t>
      </w:r>
      <w:r>
        <w:t>la</w:t>
      </w:r>
      <w:r>
        <w:rPr>
          <w:spacing w:val="-11"/>
        </w:rPr>
        <w:t xml:space="preserve"> </w:t>
      </w:r>
      <w:r>
        <w:t>normativa</w:t>
      </w:r>
      <w:r>
        <w:rPr>
          <w:spacing w:val="-10"/>
        </w:rPr>
        <w:t xml:space="preserve"> </w:t>
      </w:r>
      <w:r>
        <w:t>legal</w:t>
      </w:r>
      <w:r>
        <w:rPr>
          <w:spacing w:val="-10"/>
        </w:rPr>
        <w:t xml:space="preserve"> </w:t>
      </w:r>
      <w:r>
        <w:t>y</w:t>
      </w:r>
      <w:r>
        <w:rPr>
          <w:spacing w:val="-10"/>
        </w:rPr>
        <w:t xml:space="preserve"> </w:t>
      </w:r>
      <w:r>
        <w:t>reglamentaria</w:t>
      </w:r>
      <w:r>
        <w:rPr>
          <w:spacing w:val="-11"/>
        </w:rPr>
        <w:t xml:space="preserve"> </w:t>
      </w:r>
      <w:r>
        <w:t>que</w:t>
      </w:r>
      <w:r>
        <w:rPr>
          <w:spacing w:val="-11"/>
        </w:rPr>
        <w:t xml:space="preserve"> </w:t>
      </w:r>
      <w:r>
        <w:t>regula</w:t>
      </w:r>
      <w:r>
        <w:rPr>
          <w:spacing w:val="-11"/>
        </w:rPr>
        <w:t xml:space="preserve"> </w:t>
      </w:r>
      <w:r>
        <w:t>la</w:t>
      </w:r>
      <w:r>
        <w:rPr>
          <w:spacing w:val="-10"/>
        </w:rPr>
        <w:t xml:space="preserve"> </w:t>
      </w:r>
      <w:r>
        <w:t>prestación</w:t>
      </w:r>
      <w:r>
        <w:rPr>
          <w:spacing w:val="-10"/>
        </w:rPr>
        <w:t xml:space="preserve"> </w:t>
      </w:r>
      <w:r>
        <w:t>del</w:t>
      </w:r>
      <w:r>
        <w:rPr>
          <w:spacing w:val="-11"/>
        </w:rPr>
        <w:t xml:space="preserve"> </w:t>
      </w:r>
      <w:r>
        <w:t>servicio</w:t>
      </w:r>
      <w:r>
        <w:rPr>
          <w:spacing w:val="-11"/>
        </w:rPr>
        <w:t xml:space="preserve"> </w:t>
      </w:r>
      <w:r>
        <w:t>público de gestión catastral, cuando se acude a celebrar un contrato para el desarrollo de esta actividad.</w:t>
      </w:r>
    </w:p>
    <w:p w:rsidR="00F24C40" w:rsidP="00F24C40" w:rsidRDefault="00F24C40" w14:paraId="614583B5" w14:textId="77777777">
      <w:pPr>
        <w:pStyle w:val="Textoindependiente"/>
        <w:spacing w:before="120" w:line="276" w:lineRule="auto"/>
        <w:ind w:firstLine="703"/>
        <w:jc w:val="both"/>
      </w:pPr>
      <w:r>
        <w:t>En particular, el artículo 2.2.2.5.6 del Decreto 1983 de 2019, normativa que regula la habilitación de los gestores catastrales y los requisitos de idoneidad de los operadores catastrales, dispone que las entidades territoriales que no estén habilitadas</w:t>
      </w:r>
      <w:r>
        <w:rPr>
          <w:spacing w:val="-8"/>
        </w:rPr>
        <w:t xml:space="preserve"> </w:t>
      </w:r>
      <w:r>
        <w:t>podrán</w:t>
      </w:r>
      <w:r>
        <w:rPr>
          <w:spacing w:val="-8"/>
        </w:rPr>
        <w:t xml:space="preserve"> </w:t>
      </w:r>
      <w:r>
        <w:t>contratar</w:t>
      </w:r>
      <w:r>
        <w:rPr>
          <w:spacing w:val="-8"/>
        </w:rPr>
        <w:t xml:space="preserve"> </w:t>
      </w:r>
      <w:r>
        <w:t>a</w:t>
      </w:r>
      <w:r>
        <w:rPr>
          <w:spacing w:val="-9"/>
        </w:rPr>
        <w:t xml:space="preserve"> </w:t>
      </w:r>
      <w:r>
        <w:t>un</w:t>
      </w:r>
      <w:r>
        <w:rPr>
          <w:spacing w:val="-8"/>
        </w:rPr>
        <w:t xml:space="preserve"> </w:t>
      </w:r>
      <w:r>
        <w:t>gestor</w:t>
      </w:r>
      <w:r>
        <w:rPr>
          <w:spacing w:val="-8"/>
        </w:rPr>
        <w:t xml:space="preserve"> </w:t>
      </w:r>
      <w:r>
        <w:t>catastral</w:t>
      </w:r>
      <w:r>
        <w:rPr>
          <w:spacing w:val="-9"/>
        </w:rPr>
        <w:t xml:space="preserve"> </w:t>
      </w:r>
      <w:r>
        <w:t>en</w:t>
      </w:r>
      <w:r>
        <w:rPr>
          <w:spacing w:val="-8"/>
        </w:rPr>
        <w:t xml:space="preserve"> </w:t>
      </w:r>
      <w:r>
        <w:t>los</w:t>
      </w:r>
      <w:r>
        <w:rPr>
          <w:spacing w:val="-8"/>
        </w:rPr>
        <w:t xml:space="preserve"> </w:t>
      </w:r>
      <w:r>
        <w:t>términos</w:t>
      </w:r>
      <w:r>
        <w:rPr>
          <w:spacing w:val="-7"/>
        </w:rPr>
        <w:t xml:space="preserve"> </w:t>
      </w:r>
      <w:r>
        <w:t>de</w:t>
      </w:r>
      <w:r>
        <w:rPr>
          <w:spacing w:val="-9"/>
        </w:rPr>
        <w:t xml:space="preserve"> </w:t>
      </w:r>
      <w:r>
        <w:t>dicho</w:t>
      </w:r>
      <w:r>
        <w:rPr>
          <w:spacing w:val="-8"/>
        </w:rPr>
        <w:t xml:space="preserve"> </w:t>
      </w:r>
      <w:r>
        <w:t>Decreto</w:t>
      </w:r>
      <w:r>
        <w:rPr>
          <w:spacing w:val="-8"/>
        </w:rPr>
        <w:t xml:space="preserve"> </w:t>
      </w:r>
      <w:r>
        <w:t>para la</w:t>
      </w:r>
      <w:r>
        <w:rPr>
          <w:spacing w:val="-10"/>
        </w:rPr>
        <w:t xml:space="preserve"> </w:t>
      </w:r>
      <w:r>
        <w:t>prestación</w:t>
      </w:r>
      <w:r>
        <w:rPr>
          <w:spacing w:val="-10"/>
        </w:rPr>
        <w:t xml:space="preserve"> </w:t>
      </w:r>
      <w:r>
        <w:t>del</w:t>
      </w:r>
      <w:r>
        <w:rPr>
          <w:spacing w:val="-9"/>
        </w:rPr>
        <w:t xml:space="preserve"> </w:t>
      </w:r>
      <w:r>
        <w:t>servicio</w:t>
      </w:r>
      <w:r>
        <w:rPr>
          <w:spacing w:val="-10"/>
        </w:rPr>
        <w:t xml:space="preserve"> </w:t>
      </w:r>
      <w:r>
        <w:t>público</w:t>
      </w:r>
      <w:r>
        <w:rPr>
          <w:spacing w:val="-9"/>
        </w:rPr>
        <w:t xml:space="preserve"> </w:t>
      </w:r>
      <w:r>
        <w:t>en</w:t>
      </w:r>
      <w:r>
        <w:rPr>
          <w:spacing w:val="-10"/>
        </w:rPr>
        <w:t xml:space="preserve"> </w:t>
      </w:r>
      <w:r>
        <w:t>su</w:t>
      </w:r>
      <w:r>
        <w:rPr>
          <w:spacing w:val="-9"/>
        </w:rPr>
        <w:t xml:space="preserve"> </w:t>
      </w:r>
      <w:r>
        <w:t>territorio.</w:t>
      </w:r>
      <w:r>
        <w:rPr>
          <w:spacing w:val="-8"/>
        </w:rPr>
        <w:t xml:space="preserve"> </w:t>
      </w:r>
      <w:r>
        <w:t>Además,</w:t>
      </w:r>
      <w:r>
        <w:rPr>
          <w:spacing w:val="-9"/>
        </w:rPr>
        <w:t xml:space="preserve"> </w:t>
      </w:r>
      <w:r>
        <w:t>el</w:t>
      </w:r>
      <w:r>
        <w:rPr>
          <w:spacing w:val="-9"/>
        </w:rPr>
        <w:t xml:space="preserve"> </w:t>
      </w:r>
      <w:r>
        <w:t>artículo</w:t>
      </w:r>
      <w:r>
        <w:rPr>
          <w:spacing w:val="-10"/>
        </w:rPr>
        <w:t xml:space="preserve"> </w:t>
      </w:r>
      <w:r>
        <w:t>2.2.2.5.7</w:t>
      </w:r>
      <w:r>
        <w:rPr>
          <w:spacing w:val="-9"/>
        </w:rPr>
        <w:t xml:space="preserve"> </w:t>
      </w:r>
      <w:r>
        <w:t>establece que</w:t>
      </w:r>
      <w:r>
        <w:rPr>
          <w:spacing w:val="-10"/>
        </w:rPr>
        <w:t xml:space="preserve"> </w:t>
      </w:r>
      <w:r>
        <w:t>la</w:t>
      </w:r>
      <w:r>
        <w:rPr>
          <w:spacing w:val="-10"/>
        </w:rPr>
        <w:t xml:space="preserve"> </w:t>
      </w:r>
      <w:r>
        <w:t>contratación</w:t>
      </w:r>
      <w:r>
        <w:rPr>
          <w:spacing w:val="-10"/>
        </w:rPr>
        <w:t xml:space="preserve"> </w:t>
      </w:r>
      <w:r>
        <w:t>del</w:t>
      </w:r>
      <w:r>
        <w:rPr>
          <w:spacing w:val="-10"/>
        </w:rPr>
        <w:t xml:space="preserve"> </w:t>
      </w:r>
      <w:r>
        <w:t>gestor</w:t>
      </w:r>
      <w:r>
        <w:rPr>
          <w:spacing w:val="-10"/>
        </w:rPr>
        <w:t xml:space="preserve"> </w:t>
      </w:r>
      <w:r>
        <w:t>catastral</w:t>
      </w:r>
      <w:r>
        <w:rPr>
          <w:spacing w:val="-10"/>
        </w:rPr>
        <w:t xml:space="preserve"> </w:t>
      </w:r>
      <w:r>
        <w:t>se</w:t>
      </w:r>
      <w:r>
        <w:rPr>
          <w:spacing w:val="-10"/>
        </w:rPr>
        <w:t xml:space="preserve"> </w:t>
      </w:r>
      <w:r>
        <w:t>sujetará</w:t>
      </w:r>
      <w:r>
        <w:rPr>
          <w:spacing w:val="-10"/>
        </w:rPr>
        <w:t xml:space="preserve"> </w:t>
      </w:r>
      <w:r>
        <w:t>a</w:t>
      </w:r>
      <w:r>
        <w:rPr>
          <w:spacing w:val="-10"/>
        </w:rPr>
        <w:t xml:space="preserve"> </w:t>
      </w:r>
      <w:r>
        <w:t>las</w:t>
      </w:r>
      <w:r>
        <w:rPr>
          <w:spacing w:val="-10"/>
        </w:rPr>
        <w:t xml:space="preserve"> </w:t>
      </w:r>
      <w:r>
        <w:t>siguientes</w:t>
      </w:r>
      <w:r>
        <w:rPr>
          <w:spacing w:val="-10"/>
        </w:rPr>
        <w:t xml:space="preserve"> </w:t>
      </w:r>
      <w:r>
        <w:t>reglas,</w:t>
      </w:r>
      <w:r>
        <w:rPr>
          <w:spacing w:val="-10"/>
        </w:rPr>
        <w:t xml:space="preserve"> </w:t>
      </w:r>
      <w:r>
        <w:t xml:space="preserve">prescribiendo explícitamente que se realizará mediante </w:t>
      </w:r>
      <w:r>
        <w:rPr>
          <w:i/>
        </w:rPr>
        <w:t>contrato</w:t>
      </w:r>
      <w:r>
        <w:rPr>
          <w:i/>
          <w:spacing w:val="-10"/>
        </w:rPr>
        <w:t xml:space="preserve"> </w:t>
      </w:r>
      <w:r>
        <w:rPr>
          <w:i/>
        </w:rPr>
        <w:t>interadministrativo</w:t>
      </w:r>
      <w:r>
        <w:t>:</w:t>
      </w:r>
    </w:p>
    <w:p w:rsidR="00F24C40" w:rsidP="00F24C40" w:rsidRDefault="00F24C40" w14:paraId="42DAA8CB" w14:textId="77777777">
      <w:pPr>
        <w:pStyle w:val="Textoindependiente"/>
        <w:spacing w:before="11"/>
        <w:rPr>
          <w:sz w:val="20"/>
        </w:rPr>
      </w:pPr>
    </w:p>
    <w:p w:rsidRPr="00AF4643" w:rsidR="00F24C40" w:rsidP="00F24C40" w:rsidRDefault="00F24C40" w14:paraId="598A5F1E" w14:textId="77777777">
      <w:pPr>
        <w:spacing w:after="120"/>
        <w:ind w:left="709" w:right="709"/>
        <w:jc w:val="both"/>
        <w:rPr>
          <w:rFonts w:ascii="Arial" w:hAnsi="Arial" w:cs="Arial"/>
          <w:sz w:val="21"/>
          <w:szCs w:val="21"/>
        </w:rPr>
      </w:pPr>
      <w:r w:rsidRPr="00AF4643">
        <w:rPr>
          <w:rFonts w:ascii="Arial" w:hAnsi="Arial" w:cs="Arial"/>
          <w:sz w:val="21"/>
          <w:szCs w:val="21"/>
        </w:rPr>
        <w:t>Artículo</w:t>
      </w:r>
      <w:r w:rsidRPr="00AF4643">
        <w:rPr>
          <w:rFonts w:ascii="Arial" w:hAnsi="Arial" w:cs="Arial"/>
          <w:spacing w:val="-10"/>
          <w:sz w:val="21"/>
          <w:szCs w:val="21"/>
        </w:rPr>
        <w:t xml:space="preserve"> </w:t>
      </w:r>
      <w:r w:rsidRPr="00AF4643">
        <w:rPr>
          <w:rFonts w:ascii="Arial" w:hAnsi="Arial" w:cs="Arial"/>
          <w:sz w:val="21"/>
          <w:szCs w:val="21"/>
        </w:rPr>
        <w:t>2.2.2.5.7.</w:t>
      </w:r>
      <w:r w:rsidRPr="00AF4643">
        <w:rPr>
          <w:rFonts w:ascii="Arial" w:hAnsi="Arial" w:cs="Arial"/>
          <w:spacing w:val="-11"/>
          <w:sz w:val="21"/>
          <w:szCs w:val="21"/>
        </w:rPr>
        <w:t xml:space="preserve"> </w:t>
      </w:r>
      <w:r w:rsidRPr="00AF4643">
        <w:rPr>
          <w:rFonts w:ascii="Arial" w:hAnsi="Arial" w:cs="Arial"/>
          <w:sz w:val="21"/>
          <w:szCs w:val="21"/>
        </w:rPr>
        <w:t>Condiciones</w:t>
      </w:r>
      <w:r w:rsidRPr="00AF4643">
        <w:rPr>
          <w:rFonts w:ascii="Arial" w:hAnsi="Arial" w:cs="Arial"/>
          <w:spacing w:val="-11"/>
          <w:sz w:val="21"/>
          <w:szCs w:val="21"/>
        </w:rPr>
        <w:t xml:space="preserve"> </w:t>
      </w:r>
      <w:r w:rsidRPr="00AF4643">
        <w:rPr>
          <w:rFonts w:ascii="Arial" w:hAnsi="Arial" w:cs="Arial"/>
          <w:sz w:val="21"/>
          <w:szCs w:val="21"/>
        </w:rPr>
        <w:t>de</w:t>
      </w:r>
      <w:r w:rsidRPr="00AF4643">
        <w:rPr>
          <w:rFonts w:ascii="Arial" w:hAnsi="Arial" w:cs="Arial"/>
          <w:spacing w:val="-12"/>
          <w:sz w:val="21"/>
          <w:szCs w:val="21"/>
        </w:rPr>
        <w:t xml:space="preserve"> </w:t>
      </w:r>
      <w:r w:rsidRPr="00AF4643">
        <w:rPr>
          <w:rFonts w:ascii="Arial" w:hAnsi="Arial" w:cs="Arial"/>
          <w:sz w:val="21"/>
          <w:szCs w:val="21"/>
        </w:rPr>
        <w:t>la</w:t>
      </w:r>
      <w:r w:rsidRPr="00AF4643">
        <w:rPr>
          <w:rFonts w:ascii="Arial" w:hAnsi="Arial" w:cs="Arial"/>
          <w:spacing w:val="-12"/>
          <w:sz w:val="21"/>
          <w:szCs w:val="21"/>
        </w:rPr>
        <w:t xml:space="preserve"> </w:t>
      </w:r>
      <w:r w:rsidRPr="00AF4643">
        <w:rPr>
          <w:rFonts w:ascii="Arial" w:hAnsi="Arial" w:cs="Arial"/>
          <w:sz w:val="21"/>
          <w:szCs w:val="21"/>
        </w:rPr>
        <w:t>contratación</w:t>
      </w:r>
      <w:r w:rsidRPr="00AF4643">
        <w:rPr>
          <w:rFonts w:ascii="Arial" w:hAnsi="Arial" w:cs="Arial"/>
          <w:spacing w:val="-12"/>
          <w:sz w:val="21"/>
          <w:szCs w:val="21"/>
        </w:rPr>
        <w:t xml:space="preserve"> </w:t>
      </w:r>
      <w:r w:rsidRPr="00AF4643">
        <w:rPr>
          <w:rFonts w:ascii="Arial" w:hAnsi="Arial" w:cs="Arial"/>
          <w:sz w:val="21"/>
          <w:szCs w:val="21"/>
        </w:rPr>
        <w:t>de</w:t>
      </w:r>
      <w:r w:rsidRPr="00AF4643">
        <w:rPr>
          <w:rFonts w:ascii="Arial" w:hAnsi="Arial" w:cs="Arial"/>
          <w:spacing w:val="-12"/>
          <w:sz w:val="21"/>
          <w:szCs w:val="21"/>
        </w:rPr>
        <w:t xml:space="preserve"> </w:t>
      </w:r>
      <w:r w:rsidRPr="00AF4643">
        <w:rPr>
          <w:rFonts w:ascii="Arial" w:hAnsi="Arial" w:cs="Arial"/>
          <w:sz w:val="21"/>
          <w:szCs w:val="21"/>
        </w:rPr>
        <w:t>gestores</w:t>
      </w:r>
      <w:r w:rsidRPr="00AF4643">
        <w:rPr>
          <w:rFonts w:ascii="Arial" w:hAnsi="Arial" w:cs="Arial"/>
          <w:spacing w:val="-10"/>
          <w:sz w:val="21"/>
          <w:szCs w:val="21"/>
        </w:rPr>
        <w:t xml:space="preserve"> </w:t>
      </w:r>
      <w:r w:rsidRPr="00AF4643">
        <w:rPr>
          <w:rFonts w:ascii="Arial" w:hAnsi="Arial" w:cs="Arial"/>
          <w:sz w:val="21"/>
          <w:szCs w:val="21"/>
        </w:rPr>
        <w:t>catastrales.</w:t>
      </w:r>
      <w:r w:rsidRPr="00AF4643">
        <w:rPr>
          <w:rFonts w:ascii="Arial" w:hAnsi="Arial" w:cs="Arial"/>
          <w:spacing w:val="-12"/>
          <w:sz w:val="21"/>
          <w:szCs w:val="21"/>
        </w:rPr>
        <w:t xml:space="preserve"> </w:t>
      </w:r>
      <w:r w:rsidRPr="00AF4643">
        <w:rPr>
          <w:rFonts w:ascii="Arial" w:hAnsi="Arial" w:cs="Arial"/>
          <w:sz w:val="21"/>
          <w:szCs w:val="21"/>
        </w:rPr>
        <w:t>La contratación de que habla el artículo anterior deberá sujetarse a las siguientes</w:t>
      </w:r>
      <w:r w:rsidRPr="00AF4643">
        <w:rPr>
          <w:rFonts w:ascii="Arial" w:hAnsi="Arial" w:cs="Arial"/>
          <w:spacing w:val="-1"/>
          <w:sz w:val="21"/>
          <w:szCs w:val="21"/>
        </w:rPr>
        <w:t xml:space="preserve"> </w:t>
      </w:r>
      <w:r w:rsidRPr="00AF4643">
        <w:rPr>
          <w:rFonts w:ascii="Arial" w:hAnsi="Arial" w:cs="Arial"/>
          <w:sz w:val="21"/>
          <w:szCs w:val="21"/>
        </w:rPr>
        <w:t>condiciones:</w:t>
      </w:r>
    </w:p>
    <w:p w:rsidRPr="00AF4643" w:rsidR="00F24C40" w:rsidP="00F24C40" w:rsidRDefault="00F24C40" w14:paraId="2C6FE6E7" w14:textId="77777777">
      <w:pPr>
        <w:pStyle w:val="Prrafodelista"/>
        <w:widowControl w:val="0"/>
        <w:numPr>
          <w:ilvl w:val="1"/>
          <w:numId w:val="3"/>
        </w:numPr>
        <w:tabs>
          <w:tab w:val="left" w:pos="1069"/>
        </w:tabs>
        <w:autoSpaceDE w:val="0"/>
        <w:autoSpaceDN w:val="0"/>
        <w:spacing w:after="120"/>
        <w:ind w:left="709" w:right="709" w:firstLine="0"/>
        <w:contextualSpacing w:val="0"/>
        <w:jc w:val="both"/>
        <w:rPr>
          <w:rFonts w:ascii="Arial" w:hAnsi="Arial" w:cs="Arial"/>
          <w:sz w:val="21"/>
          <w:szCs w:val="21"/>
        </w:rPr>
      </w:pPr>
      <w:r w:rsidRPr="00AF4643">
        <w:rPr>
          <w:rFonts w:ascii="Arial" w:hAnsi="Arial" w:cs="Arial"/>
          <w:sz w:val="21"/>
          <w:szCs w:val="21"/>
        </w:rPr>
        <w:t>El gestor catastral contratado debe contar con una habilitación vigente para prestar el servicio público de gestión</w:t>
      </w:r>
      <w:r w:rsidRPr="00AF4643">
        <w:rPr>
          <w:rFonts w:ascii="Arial" w:hAnsi="Arial" w:cs="Arial"/>
          <w:spacing w:val="-11"/>
          <w:sz w:val="21"/>
          <w:szCs w:val="21"/>
        </w:rPr>
        <w:t xml:space="preserve"> </w:t>
      </w:r>
      <w:r w:rsidRPr="00AF4643">
        <w:rPr>
          <w:rFonts w:ascii="Arial" w:hAnsi="Arial" w:cs="Arial"/>
          <w:sz w:val="21"/>
          <w:szCs w:val="21"/>
        </w:rPr>
        <w:t>catastral.</w:t>
      </w:r>
    </w:p>
    <w:p w:rsidRPr="00AF4643" w:rsidR="00F24C40" w:rsidP="00F24C40" w:rsidRDefault="00F24C40" w14:paraId="5BFA0010" w14:textId="77777777">
      <w:pPr>
        <w:pStyle w:val="Prrafodelista"/>
        <w:widowControl w:val="0"/>
        <w:numPr>
          <w:ilvl w:val="1"/>
          <w:numId w:val="3"/>
        </w:numPr>
        <w:tabs>
          <w:tab w:val="left" w:pos="1030"/>
        </w:tabs>
        <w:autoSpaceDE w:val="0"/>
        <w:autoSpaceDN w:val="0"/>
        <w:ind w:left="709" w:right="709" w:firstLine="0"/>
        <w:contextualSpacing w:val="0"/>
        <w:jc w:val="both"/>
        <w:rPr>
          <w:rFonts w:ascii="Arial" w:hAnsi="Arial" w:cs="Arial"/>
          <w:sz w:val="21"/>
          <w:szCs w:val="21"/>
        </w:rPr>
      </w:pPr>
      <w:r w:rsidRPr="00AF4643">
        <w:rPr>
          <w:rFonts w:ascii="Arial" w:hAnsi="Arial" w:cs="Arial"/>
          <w:sz w:val="21"/>
          <w:szCs w:val="21"/>
        </w:rPr>
        <w:t>Teniendo</w:t>
      </w:r>
      <w:r w:rsidRPr="00AF4643">
        <w:rPr>
          <w:rFonts w:ascii="Arial" w:hAnsi="Arial" w:cs="Arial"/>
          <w:spacing w:val="-11"/>
          <w:sz w:val="21"/>
          <w:szCs w:val="21"/>
        </w:rPr>
        <w:t xml:space="preserve"> </w:t>
      </w:r>
      <w:r w:rsidRPr="00AF4643">
        <w:rPr>
          <w:rFonts w:ascii="Arial" w:hAnsi="Arial" w:cs="Arial"/>
          <w:sz w:val="21"/>
          <w:szCs w:val="21"/>
        </w:rPr>
        <w:t>en</w:t>
      </w:r>
      <w:r w:rsidRPr="00AF4643">
        <w:rPr>
          <w:rFonts w:ascii="Arial" w:hAnsi="Arial" w:cs="Arial"/>
          <w:spacing w:val="-12"/>
          <w:sz w:val="21"/>
          <w:szCs w:val="21"/>
        </w:rPr>
        <w:t xml:space="preserve"> </w:t>
      </w:r>
      <w:r w:rsidRPr="00AF4643">
        <w:rPr>
          <w:rFonts w:ascii="Arial" w:hAnsi="Arial" w:cs="Arial"/>
          <w:sz w:val="21"/>
          <w:szCs w:val="21"/>
        </w:rPr>
        <w:t>cuenta</w:t>
      </w:r>
      <w:r w:rsidRPr="00AF4643">
        <w:rPr>
          <w:rFonts w:ascii="Arial" w:hAnsi="Arial" w:cs="Arial"/>
          <w:spacing w:val="-11"/>
          <w:sz w:val="21"/>
          <w:szCs w:val="21"/>
        </w:rPr>
        <w:t xml:space="preserve"> </w:t>
      </w:r>
      <w:r w:rsidRPr="00AF4643">
        <w:rPr>
          <w:rFonts w:ascii="Arial" w:hAnsi="Arial" w:cs="Arial"/>
          <w:sz w:val="21"/>
          <w:szCs w:val="21"/>
        </w:rPr>
        <w:t>la</w:t>
      </w:r>
      <w:r w:rsidRPr="00AF4643">
        <w:rPr>
          <w:rFonts w:ascii="Arial" w:hAnsi="Arial" w:cs="Arial"/>
          <w:spacing w:val="-12"/>
          <w:sz w:val="21"/>
          <w:szCs w:val="21"/>
        </w:rPr>
        <w:t xml:space="preserve"> </w:t>
      </w:r>
      <w:r w:rsidRPr="00AF4643">
        <w:rPr>
          <w:rFonts w:ascii="Arial" w:hAnsi="Arial" w:cs="Arial"/>
          <w:sz w:val="21"/>
          <w:szCs w:val="21"/>
        </w:rPr>
        <w:t>naturaleza</w:t>
      </w:r>
      <w:r w:rsidRPr="00AF4643">
        <w:rPr>
          <w:rFonts w:ascii="Arial" w:hAnsi="Arial" w:cs="Arial"/>
          <w:spacing w:val="-10"/>
          <w:sz w:val="21"/>
          <w:szCs w:val="21"/>
        </w:rPr>
        <w:t xml:space="preserve"> </w:t>
      </w:r>
      <w:r w:rsidRPr="00AF4643">
        <w:rPr>
          <w:rFonts w:ascii="Arial" w:hAnsi="Arial" w:cs="Arial"/>
          <w:sz w:val="21"/>
          <w:szCs w:val="21"/>
        </w:rPr>
        <w:t>de</w:t>
      </w:r>
      <w:r w:rsidRPr="00AF4643">
        <w:rPr>
          <w:rFonts w:ascii="Arial" w:hAnsi="Arial" w:cs="Arial"/>
          <w:spacing w:val="-12"/>
          <w:sz w:val="21"/>
          <w:szCs w:val="21"/>
        </w:rPr>
        <w:t xml:space="preserve"> </w:t>
      </w:r>
      <w:r w:rsidRPr="00AF4643">
        <w:rPr>
          <w:rFonts w:ascii="Arial" w:hAnsi="Arial" w:cs="Arial"/>
          <w:sz w:val="21"/>
          <w:szCs w:val="21"/>
        </w:rPr>
        <w:t>las</w:t>
      </w:r>
      <w:r w:rsidRPr="00AF4643">
        <w:rPr>
          <w:rFonts w:ascii="Arial" w:hAnsi="Arial" w:cs="Arial"/>
          <w:spacing w:val="-11"/>
          <w:sz w:val="21"/>
          <w:szCs w:val="21"/>
        </w:rPr>
        <w:t xml:space="preserve"> </w:t>
      </w:r>
      <w:r w:rsidRPr="00AF4643">
        <w:rPr>
          <w:rFonts w:ascii="Arial" w:hAnsi="Arial" w:cs="Arial"/>
          <w:sz w:val="21"/>
          <w:szCs w:val="21"/>
        </w:rPr>
        <w:t>partes,</w:t>
      </w:r>
      <w:r w:rsidRPr="00AF4643">
        <w:rPr>
          <w:rFonts w:ascii="Arial" w:hAnsi="Arial" w:cs="Arial"/>
          <w:spacing w:val="-12"/>
          <w:sz w:val="21"/>
          <w:szCs w:val="21"/>
        </w:rPr>
        <w:t xml:space="preserve"> </w:t>
      </w:r>
      <w:r w:rsidRPr="00AF4643">
        <w:rPr>
          <w:rFonts w:ascii="Arial" w:hAnsi="Arial" w:cs="Arial"/>
          <w:sz w:val="21"/>
          <w:szCs w:val="21"/>
        </w:rPr>
        <w:t>la</w:t>
      </w:r>
      <w:r w:rsidRPr="00AF4643">
        <w:rPr>
          <w:rFonts w:ascii="Arial" w:hAnsi="Arial" w:cs="Arial"/>
          <w:spacing w:val="-11"/>
          <w:sz w:val="21"/>
          <w:szCs w:val="21"/>
        </w:rPr>
        <w:t xml:space="preserve"> </w:t>
      </w:r>
      <w:r w:rsidRPr="00AF4643">
        <w:rPr>
          <w:rFonts w:ascii="Arial" w:hAnsi="Arial" w:cs="Arial"/>
          <w:sz w:val="21"/>
          <w:szCs w:val="21"/>
        </w:rPr>
        <w:t>selección</w:t>
      </w:r>
      <w:r w:rsidRPr="00AF4643">
        <w:rPr>
          <w:rFonts w:ascii="Arial" w:hAnsi="Arial" w:cs="Arial"/>
          <w:spacing w:val="-12"/>
          <w:sz w:val="21"/>
          <w:szCs w:val="21"/>
        </w:rPr>
        <w:t xml:space="preserve"> </w:t>
      </w:r>
      <w:r w:rsidRPr="00AF4643">
        <w:rPr>
          <w:rFonts w:ascii="Arial" w:hAnsi="Arial" w:cs="Arial"/>
          <w:sz w:val="21"/>
          <w:szCs w:val="21"/>
        </w:rPr>
        <w:t>del</w:t>
      </w:r>
      <w:r w:rsidRPr="00AF4643">
        <w:rPr>
          <w:rFonts w:ascii="Arial" w:hAnsi="Arial" w:cs="Arial"/>
          <w:spacing w:val="-12"/>
          <w:sz w:val="21"/>
          <w:szCs w:val="21"/>
        </w:rPr>
        <w:t xml:space="preserve"> </w:t>
      </w:r>
      <w:r w:rsidRPr="00AF4643">
        <w:rPr>
          <w:rFonts w:ascii="Arial" w:hAnsi="Arial" w:cs="Arial"/>
          <w:sz w:val="21"/>
          <w:szCs w:val="21"/>
        </w:rPr>
        <w:t xml:space="preserve">contratista para la prestación del servicio público catastral podrá realizarse a través de contratación directa, observando los principios de selección objetiva y transparencia, </w:t>
      </w:r>
      <w:r w:rsidRPr="00AF4643">
        <w:rPr>
          <w:rFonts w:ascii="Arial" w:hAnsi="Arial" w:cs="Arial"/>
          <w:i/>
          <w:sz w:val="21"/>
          <w:szCs w:val="21"/>
        </w:rPr>
        <w:t>por tratarse de un contrato</w:t>
      </w:r>
      <w:r w:rsidRPr="00AF4643">
        <w:rPr>
          <w:rFonts w:ascii="Arial" w:hAnsi="Arial" w:cs="Arial"/>
          <w:i/>
          <w:spacing w:val="-9"/>
          <w:sz w:val="21"/>
          <w:szCs w:val="21"/>
        </w:rPr>
        <w:t xml:space="preserve"> </w:t>
      </w:r>
      <w:r w:rsidRPr="00AF4643">
        <w:rPr>
          <w:rFonts w:ascii="Arial" w:hAnsi="Arial" w:cs="Arial"/>
          <w:i/>
          <w:sz w:val="21"/>
          <w:szCs w:val="21"/>
        </w:rPr>
        <w:t>interadministrativo</w:t>
      </w:r>
      <w:r w:rsidRPr="00AF4643">
        <w:rPr>
          <w:rFonts w:ascii="Arial" w:hAnsi="Arial" w:cs="Arial"/>
          <w:sz w:val="21"/>
          <w:szCs w:val="21"/>
        </w:rPr>
        <w:t>.</w:t>
      </w:r>
    </w:p>
    <w:p w:rsidRPr="00AF4643" w:rsidR="00F24C40" w:rsidP="00F24C40" w:rsidRDefault="00F24C40" w14:paraId="20E13EFB" w14:textId="77777777">
      <w:pPr>
        <w:ind w:left="709" w:right="709"/>
        <w:rPr>
          <w:rFonts w:ascii="Arial" w:hAnsi="Arial" w:cs="Arial"/>
          <w:sz w:val="21"/>
          <w:szCs w:val="21"/>
        </w:rPr>
      </w:pPr>
      <w:r w:rsidRPr="00AF4643">
        <w:rPr>
          <w:rFonts w:ascii="Arial" w:hAnsi="Arial" w:cs="Arial"/>
          <w:sz w:val="21"/>
          <w:szCs w:val="21"/>
        </w:rPr>
        <w:t>[…]</w:t>
      </w:r>
    </w:p>
    <w:p w:rsidRPr="00B1231C" w:rsidR="00F24C40" w:rsidP="00F24C40" w:rsidRDefault="00F24C40" w14:paraId="7C39DC80" w14:textId="77777777">
      <w:pPr>
        <w:pStyle w:val="Textoindependiente"/>
      </w:pPr>
    </w:p>
    <w:p w:rsidR="00F24C40" w:rsidP="00F24C40" w:rsidRDefault="00F24C40" w14:paraId="52CD18FA" w14:textId="77777777">
      <w:pPr>
        <w:pStyle w:val="Textoindependiente"/>
        <w:spacing w:after="120" w:line="276" w:lineRule="auto"/>
        <w:ind w:firstLine="703"/>
        <w:jc w:val="both"/>
      </w:pPr>
      <w:r>
        <w:t>De conformidad con lo anterior, resulta claro que el Decreto 1983 de 2019 – artículos 2.2.2.5.6 y 2.2.2.5.7– establece que el esquema para contratar la prestación del</w:t>
      </w:r>
      <w:r>
        <w:rPr>
          <w:spacing w:val="-17"/>
        </w:rPr>
        <w:t xml:space="preserve"> </w:t>
      </w:r>
      <w:r>
        <w:t>servicio</w:t>
      </w:r>
      <w:r>
        <w:rPr>
          <w:spacing w:val="-17"/>
        </w:rPr>
        <w:t xml:space="preserve"> </w:t>
      </w:r>
      <w:r>
        <w:t>público</w:t>
      </w:r>
      <w:r>
        <w:rPr>
          <w:spacing w:val="-17"/>
        </w:rPr>
        <w:t xml:space="preserve"> </w:t>
      </w:r>
      <w:r>
        <w:t>de</w:t>
      </w:r>
      <w:r>
        <w:rPr>
          <w:spacing w:val="-17"/>
        </w:rPr>
        <w:t xml:space="preserve"> </w:t>
      </w:r>
      <w:r>
        <w:t>gestión</w:t>
      </w:r>
      <w:r>
        <w:rPr>
          <w:spacing w:val="-17"/>
        </w:rPr>
        <w:t xml:space="preserve"> </w:t>
      </w:r>
      <w:r>
        <w:t>catastral,</w:t>
      </w:r>
      <w:r>
        <w:rPr>
          <w:spacing w:val="-17"/>
        </w:rPr>
        <w:t xml:space="preserve"> </w:t>
      </w:r>
      <w:r>
        <w:t>a</w:t>
      </w:r>
      <w:r>
        <w:rPr>
          <w:spacing w:val="-17"/>
        </w:rPr>
        <w:t xml:space="preserve"> </w:t>
      </w:r>
      <w:r>
        <w:t>través</w:t>
      </w:r>
      <w:r>
        <w:rPr>
          <w:spacing w:val="-16"/>
        </w:rPr>
        <w:t xml:space="preserve"> </w:t>
      </w:r>
      <w:r>
        <w:t>de</w:t>
      </w:r>
      <w:r>
        <w:rPr>
          <w:spacing w:val="-17"/>
        </w:rPr>
        <w:t xml:space="preserve"> </w:t>
      </w:r>
      <w:r>
        <w:t>la</w:t>
      </w:r>
      <w:r>
        <w:rPr>
          <w:spacing w:val="-17"/>
        </w:rPr>
        <w:t xml:space="preserve"> </w:t>
      </w:r>
      <w:r>
        <w:t>contratación</w:t>
      </w:r>
      <w:r>
        <w:rPr>
          <w:spacing w:val="-17"/>
        </w:rPr>
        <w:t xml:space="preserve"> </w:t>
      </w:r>
      <w:r>
        <w:t>de</w:t>
      </w:r>
      <w:r>
        <w:rPr>
          <w:spacing w:val="-17"/>
        </w:rPr>
        <w:t xml:space="preserve"> </w:t>
      </w:r>
      <w:r>
        <w:t>un</w:t>
      </w:r>
      <w:r>
        <w:rPr>
          <w:spacing w:val="-17"/>
        </w:rPr>
        <w:t xml:space="preserve"> </w:t>
      </w:r>
      <w:r>
        <w:t>gestor</w:t>
      </w:r>
      <w:r>
        <w:rPr>
          <w:spacing w:val="-17"/>
        </w:rPr>
        <w:t xml:space="preserve"> </w:t>
      </w:r>
      <w:r>
        <w:t>catastral debidamente habilitado, se debe realizar mediante la celebración de un contrato interadministrativo.</w:t>
      </w:r>
    </w:p>
    <w:p w:rsidRPr="00915EBC" w:rsidR="00F24C40" w:rsidP="00F24C40" w:rsidRDefault="00F24C40" w14:paraId="6BFF49EC" w14:textId="66599EE9">
      <w:pPr>
        <w:spacing w:after="120" w:line="276" w:lineRule="auto"/>
        <w:ind w:firstLine="708"/>
        <w:jc w:val="both"/>
        <w:rPr>
          <w:rFonts w:ascii="Arial" w:hAnsi="Arial" w:eastAsia="Arial" w:cs="Arial"/>
          <w:sz w:val="22"/>
          <w:lang w:val="es-ES" w:eastAsia="es-ES" w:bidi="es-ES"/>
        </w:rPr>
      </w:pPr>
      <w:r w:rsidRPr="00915EBC">
        <w:rPr>
          <w:rFonts w:ascii="Arial" w:hAnsi="Arial" w:eastAsia="Arial" w:cs="Arial"/>
          <w:sz w:val="22"/>
          <w:lang w:val="es-ES" w:eastAsia="es-ES" w:bidi="es-ES"/>
        </w:rPr>
        <w:t>De este modo, se reitera, el Decreto adoptado por el presidente de la República, en ejercicio de la potestad reglamentaria, define que la forma adecuada para contratar la prestación del servicio público de gestión catastral es por medio de contratos interadministrativos. En ese sentido, la Agencia Nacional de Contratación Pública – Colombia Compra Eficiente, acogiendo los lineamientos y el esquema definido en el Decreto 1983 de 2019, que reglamenta los artículos 79 a 82 de la Ley 1955 de 2019, consideró procedente expedir la Resolución 269 de 2020, por medio de la cual se adopta el documento tipo que regula la contratación del servicio público de gestión catastral, mediante la celebración de un contrato interadministrativo. Ahora bien, explicado el fundamento legal para adoptar la «Minuta tipo» como contrato interadministrativo, a continuación</w:t>
      </w:r>
      <w:r>
        <w:rPr>
          <w:rFonts w:ascii="Arial" w:hAnsi="Arial" w:eastAsia="Arial" w:cs="Arial"/>
          <w:sz w:val="22"/>
          <w:lang w:val="es-ES" w:eastAsia="es-ES" w:bidi="es-ES"/>
        </w:rPr>
        <w:t xml:space="preserve">, se analizará en qué supuestos fácticos aplica. </w:t>
      </w:r>
    </w:p>
    <w:p w:rsidR="00DC252A" w:rsidP="00BA1DA8" w:rsidRDefault="00F24C40" w14:paraId="74423FB3" w14:textId="2BD96EB6">
      <w:pPr>
        <w:widowControl w:val="0"/>
        <w:autoSpaceDE w:val="0"/>
        <w:autoSpaceDN w:val="0"/>
        <w:spacing w:after="120" w:line="276" w:lineRule="auto"/>
        <w:ind w:firstLine="703"/>
        <w:jc w:val="both"/>
        <w:rPr>
          <w:rFonts w:ascii="Arial" w:hAnsi="Arial" w:eastAsia="Arial" w:cs="Arial"/>
          <w:sz w:val="22"/>
          <w:lang w:val="es-ES" w:eastAsia="es-ES" w:bidi="es-ES"/>
        </w:rPr>
      </w:pPr>
      <w:r>
        <w:rPr>
          <w:rFonts w:ascii="Arial" w:hAnsi="Arial" w:eastAsia="Arial" w:cs="Arial"/>
          <w:sz w:val="22"/>
          <w:lang w:val="es-ES" w:eastAsia="es-ES" w:bidi="es-ES"/>
        </w:rPr>
        <w:lastRenderedPageBreak/>
        <w:t>En</w:t>
      </w:r>
      <w:r w:rsidR="00BA1DA8">
        <w:rPr>
          <w:rFonts w:ascii="Arial" w:hAnsi="Arial" w:eastAsia="Arial" w:cs="Arial"/>
          <w:sz w:val="22"/>
          <w:lang w:val="es-ES" w:eastAsia="es-ES" w:bidi="es-ES"/>
        </w:rPr>
        <w:t xml:space="preserve"> la «Introducción» del documento tipo para los procesos de gestión catastra</w:t>
      </w:r>
      <w:r w:rsidR="00120AB2">
        <w:rPr>
          <w:rFonts w:ascii="Arial" w:hAnsi="Arial" w:eastAsia="Arial" w:cs="Arial"/>
          <w:sz w:val="22"/>
          <w:lang w:val="es-ES" w:eastAsia="es-ES" w:bidi="es-ES"/>
        </w:rPr>
        <w:t xml:space="preserve">l se indica que </w:t>
      </w:r>
      <w:r w:rsidR="003467C4">
        <w:rPr>
          <w:rFonts w:ascii="Arial" w:hAnsi="Arial" w:eastAsia="Arial" w:cs="Arial"/>
          <w:sz w:val="22"/>
          <w:lang w:val="es-ES" w:eastAsia="es-ES" w:bidi="es-ES"/>
        </w:rPr>
        <w:t>este documento contiene las condiciones para ser incorporadas por el Municipio en las minutas para contratos interadministrativos de formación o actualización y conservación catastr</w:t>
      </w:r>
      <w:r w:rsidR="00D92BF7">
        <w:rPr>
          <w:rFonts w:ascii="Arial" w:hAnsi="Arial" w:eastAsia="Arial" w:cs="Arial"/>
          <w:sz w:val="22"/>
          <w:lang w:val="es-ES" w:eastAsia="es-ES" w:bidi="es-ES"/>
        </w:rPr>
        <w:t>al, que celebre con cualquier gestor catastral habilitado o con el Instituto Geográfico Agustín Codazzi</w:t>
      </w:r>
      <w:r w:rsidR="001322B1">
        <w:rPr>
          <w:rFonts w:ascii="Arial" w:hAnsi="Arial" w:eastAsia="Arial" w:cs="Arial"/>
          <w:sz w:val="22"/>
          <w:lang w:val="es-ES" w:eastAsia="es-ES" w:bidi="es-ES"/>
        </w:rPr>
        <w:t>, como prestador por excepción.</w:t>
      </w:r>
    </w:p>
    <w:p w:rsidR="004C0E69" w:rsidP="00BA1DA8" w:rsidRDefault="004C0E69" w14:paraId="7832B576" w14:textId="5CDC0E37">
      <w:pPr>
        <w:widowControl w:val="0"/>
        <w:autoSpaceDE w:val="0"/>
        <w:autoSpaceDN w:val="0"/>
        <w:spacing w:after="120" w:line="276" w:lineRule="auto"/>
        <w:ind w:firstLine="703"/>
        <w:jc w:val="both"/>
        <w:rPr>
          <w:rFonts w:ascii="Arial" w:hAnsi="Arial" w:eastAsia="Arial" w:cs="Arial"/>
          <w:sz w:val="22"/>
          <w:lang w:val="es-ES" w:eastAsia="es-ES" w:bidi="es-ES"/>
        </w:rPr>
      </w:pPr>
      <w:r>
        <w:rPr>
          <w:rFonts w:ascii="Arial" w:hAnsi="Arial" w:eastAsia="Arial" w:cs="Arial"/>
          <w:sz w:val="22"/>
          <w:lang w:val="es-ES" w:eastAsia="es-ES" w:bidi="es-ES"/>
        </w:rPr>
        <w:tab/>
      </w:r>
      <w:r>
        <w:rPr>
          <w:rFonts w:ascii="Arial" w:hAnsi="Arial" w:eastAsia="Arial" w:cs="Arial"/>
          <w:sz w:val="22"/>
          <w:lang w:val="es-ES" w:eastAsia="es-ES" w:bidi="es-ES"/>
        </w:rPr>
        <w:t xml:space="preserve">En </w:t>
      </w:r>
      <w:r w:rsidR="0078719D">
        <w:rPr>
          <w:rFonts w:ascii="Arial" w:hAnsi="Arial" w:eastAsia="Arial" w:cs="Arial"/>
          <w:sz w:val="22"/>
          <w:lang w:val="es-ES" w:eastAsia="es-ES" w:bidi="es-ES"/>
        </w:rPr>
        <w:t xml:space="preserve">este sentido, </w:t>
      </w:r>
      <w:r w:rsidR="004D1D7B">
        <w:rPr>
          <w:rFonts w:ascii="Arial" w:hAnsi="Arial" w:eastAsia="Arial" w:cs="Arial"/>
          <w:sz w:val="22"/>
          <w:lang w:val="es-ES" w:eastAsia="es-ES" w:bidi="es-ES"/>
        </w:rPr>
        <w:t xml:space="preserve">el documento tipo </w:t>
      </w:r>
      <w:r w:rsidR="005F3C31">
        <w:rPr>
          <w:rFonts w:ascii="Arial" w:hAnsi="Arial" w:eastAsia="Arial" w:cs="Arial"/>
          <w:sz w:val="22"/>
          <w:lang w:val="es-ES" w:eastAsia="es-ES" w:bidi="es-ES"/>
        </w:rPr>
        <w:t xml:space="preserve">prevé las condiciones generales </w:t>
      </w:r>
      <w:r w:rsidR="009419E4">
        <w:rPr>
          <w:rFonts w:ascii="Arial" w:hAnsi="Arial" w:eastAsia="Arial" w:cs="Arial"/>
          <w:sz w:val="22"/>
          <w:lang w:val="es-ES" w:eastAsia="es-ES" w:bidi="es-ES"/>
        </w:rPr>
        <w:t xml:space="preserve">para contratar el servicio </w:t>
      </w:r>
      <w:r w:rsidR="00F37745">
        <w:rPr>
          <w:rFonts w:ascii="Arial" w:hAnsi="Arial" w:eastAsia="Arial" w:cs="Arial"/>
          <w:sz w:val="22"/>
          <w:lang w:val="es-ES" w:eastAsia="es-ES" w:bidi="es-ES"/>
        </w:rPr>
        <w:t>público de gestión catastral para realizar la formación</w:t>
      </w:r>
      <w:r w:rsidR="001322B1">
        <w:rPr>
          <w:rFonts w:ascii="Arial" w:hAnsi="Arial" w:eastAsia="Arial" w:cs="Arial"/>
          <w:sz w:val="22"/>
          <w:lang w:val="es-ES" w:eastAsia="es-ES" w:bidi="es-ES"/>
        </w:rPr>
        <w:t xml:space="preserve"> o</w:t>
      </w:r>
      <w:r w:rsidR="00F37745">
        <w:rPr>
          <w:rFonts w:ascii="Arial" w:hAnsi="Arial" w:eastAsia="Arial" w:cs="Arial"/>
          <w:sz w:val="22"/>
          <w:lang w:val="es-ES" w:eastAsia="es-ES" w:bidi="es-ES"/>
        </w:rPr>
        <w:t xml:space="preserve"> </w:t>
      </w:r>
      <w:r w:rsidR="00CB41D3">
        <w:rPr>
          <w:rFonts w:ascii="Arial" w:hAnsi="Arial" w:eastAsia="Arial" w:cs="Arial"/>
          <w:sz w:val="22"/>
          <w:lang w:val="es-ES" w:eastAsia="es-ES" w:bidi="es-ES"/>
        </w:rPr>
        <w:t xml:space="preserve">la </w:t>
      </w:r>
      <w:r w:rsidR="00F37745">
        <w:rPr>
          <w:rFonts w:ascii="Arial" w:hAnsi="Arial" w:eastAsia="Arial" w:cs="Arial"/>
          <w:sz w:val="22"/>
          <w:lang w:val="es-ES" w:eastAsia="es-ES" w:bidi="es-ES"/>
        </w:rPr>
        <w:t>actualización</w:t>
      </w:r>
      <w:r w:rsidR="001322B1">
        <w:rPr>
          <w:rFonts w:ascii="Arial" w:hAnsi="Arial" w:eastAsia="Arial" w:cs="Arial"/>
          <w:sz w:val="22"/>
          <w:lang w:val="es-ES" w:eastAsia="es-ES" w:bidi="es-ES"/>
        </w:rPr>
        <w:t>, y</w:t>
      </w:r>
      <w:r w:rsidR="00F37745">
        <w:rPr>
          <w:rFonts w:ascii="Arial" w:hAnsi="Arial" w:eastAsia="Arial" w:cs="Arial"/>
          <w:sz w:val="22"/>
          <w:lang w:val="es-ES" w:eastAsia="es-ES" w:bidi="es-ES"/>
        </w:rPr>
        <w:t xml:space="preserve"> </w:t>
      </w:r>
      <w:r w:rsidR="00CB41D3">
        <w:rPr>
          <w:rFonts w:ascii="Arial" w:hAnsi="Arial" w:eastAsia="Arial" w:cs="Arial"/>
          <w:sz w:val="22"/>
          <w:lang w:val="es-ES" w:eastAsia="es-ES" w:bidi="es-ES"/>
        </w:rPr>
        <w:t xml:space="preserve">la </w:t>
      </w:r>
      <w:r w:rsidR="00F37745">
        <w:rPr>
          <w:rFonts w:ascii="Arial" w:hAnsi="Arial" w:eastAsia="Arial" w:cs="Arial"/>
          <w:sz w:val="22"/>
          <w:lang w:val="es-ES" w:eastAsia="es-ES" w:bidi="es-ES"/>
        </w:rPr>
        <w:t>conservación y</w:t>
      </w:r>
      <w:r w:rsidR="00CB41D3">
        <w:rPr>
          <w:rFonts w:ascii="Arial" w:hAnsi="Arial" w:eastAsia="Arial" w:cs="Arial"/>
          <w:sz w:val="22"/>
          <w:lang w:val="es-ES" w:eastAsia="es-ES" w:bidi="es-ES"/>
        </w:rPr>
        <w:t xml:space="preserve"> la</w:t>
      </w:r>
      <w:r w:rsidR="00F37745">
        <w:rPr>
          <w:rFonts w:ascii="Arial" w:hAnsi="Arial" w:eastAsia="Arial" w:cs="Arial"/>
          <w:sz w:val="22"/>
          <w:lang w:val="es-ES" w:eastAsia="es-ES" w:bidi="es-ES"/>
        </w:rPr>
        <w:t xml:space="preserve"> difusión catastral. Es así, como se </w:t>
      </w:r>
      <w:r w:rsidR="001322B1">
        <w:rPr>
          <w:rFonts w:ascii="Arial" w:hAnsi="Arial" w:eastAsia="Arial" w:cs="Arial"/>
          <w:sz w:val="22"/>
          <w:lang w:val="es-ES" w:eastAsia="es-ES" w:bidi="es-ES"/>
        </w:rPr>
        <w:t>establecen, entre otras cosas</w:t>
      </w:r>
      <w:r w:rsidR="00385367">
        <w:rPr>
          <w:rFonts w:ascii="Arial" w:hAnsi="Arial" w:eastAsia="Arial" w:cs="Arial"/>
          <w:sz w:val="22"/>
          <w:lang w:val="es-ES" w:eastAsia="es-ES" w:bidi="es-ES"/>
        </w:rPr>
        <w:t>:</w:t>
      </w:r>
      <w:r w:rsidR="00F37745">
        <w:rPr>
          <w:rFonts w:ascii="Arial" w:hAnsi="Arial" w:eastAsia="Arial" w:cs="Arial"/>
          <w:sz w:val="22"/>
          <w:lang w:val="es-ES" w:eastAsia="es-ES" w:bidi="es-ES"/>
        </w:rPr>
        <w:t xml:space="preserve"> </w:t>
      </w:r>
      <w:r w:rsidR="00385367">
        <w:rPr>
          <w:rFonts w:ascii="Arial" w:hAnsi="Arial" w:eastAsia="Arial" w:cs="Arial"/>
          <w:sz w:val="22"/>
          <w:lang w:val="es-ES" w:eastAsia="es-ES" w:bidi="es-ES"/>
        </w:rPr>
        <w:t xml:space="preserve">i) </w:t>
      </w:r>
      <w:r w:rsidR="00F37745">
        <w:rPr>
          <w:rFonts w:ascii="Arial" w:hAnsi="Arial" w:eastAsia="Arial" w:cs="Arial"/>
          <w:sz w:val="22"/>
          <w:lang w:val="es-ES" w:eastAsia="es-ES" w:bidi="es-ES"/>
        </w:rPr>
        <w:t>las obligaciones del municipio</w:t>
      </w:r>
      <w:r w:rsidR="00385367">
        <w:rPr>
          <w:rFonts w:ascii="Arial" w:hAnsi="Arial" w:eastAsia="Arial" w:cs="Arial"/>
          <w:sz w:val="22"/>
          <w:lang w:val="es-ES" w:eastAsia="es-ES" w:bidi="es-ES"/>
        </w:rPr>
        <w:t xml:space="preserve">, ii) las obligaciones generales </w:t>
      </w:r>
      <w:r w:rsidR="007638AA">
        <w:rPr>
          <w:rFonts w:ascii="Arial" w:hAnsi="Arial" w:eastAsia="Arial" w:cs="Arial"/>
          <w:sz w:val="22"/>
          <w:lang w:val="es-ES" w:eastAsia="es-ES" w:bidi="es-ES"/>
        </w:rPr>
        <w:t xml:space="preserve">y específicas </w:t>
      </w:r>
      <w:r w:rsidR="00385367">
        <w:rPr>
          <w:rFonts w:ascii="Arial" w:hAnsi="Arial" w:eastAsia="Arial" w:cs="Arial"/>
          <w:sz w:val="22"/>
          <w:lang w:val="es-ES" w:eastAsia="es-ES" w:bidi="es-ES"/>
        </w:rPr>
        <w:t>del gestor catastral, i</w:t>
      </w:r>
      <w:r w:rsidR="007638AA">
        <w:rPr>
          <w:rFonts w:ascii="Arial" w:hAnsi="Arial" w:eastAsia="Arial" w:cs="Arial"/>
          <w:sz w:val="22"/>
          <w:lang w:val="es-ES" w:eastAsia="es-ES" w:bidi="es-ES"/>
        </w:rPr>
        <w:t>ii</w:t>
      </w:r>
      <w:r w:rsidR="00385367">
        <w:rPr>
          <w:rFonts w:ascii="Arial" w:hAnsi="Arial" w:eastAsia="Arial" w:cs="Arial"/>
          <w:sz w:val="22"/>
          <w:lang w:val="es-ES" w:eastAsia="es-ES" w:bidi="es-ES"/>
        </w:rPr>
        <w:t xml:space="preserve">) la </w:t>
      </w:r>
      <w:r w:rsidR="002C242C">
        <w:rPr>
          <w:rFonts w:ascii="Arial" w:hAnsi="Arial" w:eastAsia="Arial" w:cs="Arial"/>
          <w:sz w:val="22"/>
          <w:lang w:val="es-ES" w:eastAsia="es-ES" w:bidi="es-ES"/>
        </w:rPr>
        <w:t xml:space="preserve">forma </w:t>
      </w:r>
      <w:r w:rsidR="00385367">
        <w:rPr>
          <w:rFonts w:ascii="Arial" w:hAnsi="Arial" w:eastAsia="Arial" w:cs="Arial"/>
          <w:sz w:val="22"/>
          <w:lang w:val="es-ES" w:eastAsia="es-ES" w:bidi="es-ES"/>
        </w:rPr>
        <w:t xml:space="preserve">para contratar a los operadores catastrales, </w:t>
      </w:r>
      <w:r w:rsidR="0070047C">
        <w:rPr>
          <w:rFonts w:ascii="Arial" w:hAnsi="Arial" w:eastAsia="Arial" w:cs="Arial"/>
          <w:sz w:val="22"/>
          <w:lang w:val="es-ES" w:eastAsia="es-ES" w:bidi="es-ES"/>
        </w:rPr>
        <w:t>i</w:t>
      </w:r>
      <w:r w:rsidR="00385367">
        <w:rPr>
          <w:rFonts w:ascii="Arial" w:hAnsi="Arial" w:eastAsia="Arial" w:cs="Arial"/>
          <w:sz w:val="22"/>
          <w:lang w:val="es-ES" w:eastAsia="es-ES" w:bidi="es-ES"/>
        </w:rPr>
        <w:t>v) el valor del contrato, v)</w:t>
      </w:r>
      <w:r w:rsidR="0070047C">
        <w:rPr>
          <w:rFonts w:ascii="Arial" w:hAnsi="Arial" w:eastAsia="Arial" w:cs="Arial"/>
          <w:sz w:val="22"/>
          <w:lang w:val="es-ES" w:eastAsia="es-ES" w:bidi="es-ES"/>
        </w:rPr>
        <w:t xml:space="preserve"> </w:t>
      </w:r>
      <w:r w:rsidR="003E50F7">
        <w:rPr>
          <w:rFonts w:ascii="Arial" w:hAnsi="Arial" w:eastAsia="Arial" w:cs="Arial"/>
          <w:sz w:val="22"/>
          <w:lang w:val="es-ES" w:eastAsia="es-ES" w:bidi="es-ES"/>
        </w:rPr>
        <w:t xml:space="preserve">su </w:t>
      </w:r>
      <w:r w:rsidR="0070047C">
        <w:rPr>
          <w:rFonts w:ascii="Arial" w:hAnsi="Arial" w:eastAsia="Arial" w:cs="Arial"/>
          <w:sz w:val="22"/>
          <w:lang w:val="es-ES" w:eastAsia="es-ES" w:bidi="es-ES"/>
        </w:rPr>
        <w:t>forma de pag</w:t>
      </w:r>
      <w:r w:rsidR="003E50F7">
        <w:rPr>
          <w:rFonts w:ascii="Arial" w:hAnsi="Arial" w:eastAsia="Arial" w:cs="Arial"/>
          <w:sz w:val="22"/>
          <w:lang w:val="es-ES" w:eastAsia="es-ES" w:bidi="es-ES"/>
        </w:rPr>
        <w:t>o</w:t>
      </w:r>
      <w:r w:rsidR="0070047C">
        <w:rPr>
          <w:rFonts w:ascii="Arial" w:hAnsi="Arial" w:eastAsia="Arial" w:cs="Arial"/>
          <w:sz w:val="22"/>
          <w:lang w:val="es-ES" w:eastAsia="es-ES" w:bidi="es-ES"/>
        </w:rPr>
        <w:t>,</w:t>
      </w:r>
      <w:r w:rsidR="003E50F7">
        <w:rPr>
          <w:rFonts w:ascii="Arial" w:hAnsi="Arial" w:eastAsia="Arial" w:cs="Arial"/>
          <w:sz w:val="22"/>
          <w:lang w:val="es-ES" w:eastAsia="es-ES" w:bidi="es-ES"/>
        </w:rPr>
        <w:t xml:space="preserve"> entre otras cl</w:t>
      </w:r>
      <w:r w:rsidR="001322B1">
        <w:rPr>
          <w:rFonts w:ascii="Arial" w:hAnsi="Arial" w:eastAsia="Arial" w:cs="Arial"/>
          <w:sz w:val="22"/>
          <w:lang w:val="es-ES" w:eastAsia="es-ES" w:bidi="es-ES"/>
        </w:rPr>
        <w:t>á</w:t>
      </w:r>
      <w:r w:rsidR="003E50F7">
        <w:rPr>
          <w:rFonts w:ascii="Arial" w:hAnsi="Arial" w:eastAsia="Arial" w:cs="Arial"/>
          <w:sz w:val="22"/>
          <w:lang w:val="es-ES" w:eastAsia="es-ES" w:bidi="es-ES"/>
        </w:rPr>
        <w:t>usulas mínimas que definan la forma de contratar este servicio.</w:t>
      </w:r>
    </w:p>
    <w:p w:rsidR="00402626" w:rsidP="00BA1DA8" w:rsidRDefault="003E50F7" w14:paraId="65524531" w14:textId="49CBA991">
      <w:pPr>
        <w:widowControl w:val="0"/>
        <w:autoSpaceDE w:val="0"/>
        <w:autoSpaceDN w:val="0"/>
        <w:spacing w:after="120" w:line="276" w:lineRule="auto"/>
        <w:ind w:firstLine="703"/>
        <w:jc w:val="both"/>
        <w:rPr>
          <w:rFonts w:ascii="Arial" w:hAnsi="Arial" w:eastAsia="Arial" w:cs="Arial"/>
          <w:sz w:val="22"/>
          <w:lang w:val="es-ES" w:eastAsia="es-ES" w:bidi="es-ES"/>
        </w:rPr>
      </w:pPr>
      <w:r>
        <w:rPr>
          <w:rFonts w:ascii="Arial" w:hAnsi="Arial" w:eastAsia="Arial" w:cs="Arial"/>
          <w:sz w:val="22"/>
          <w:lang w:val="es-ES" w:eastAsia="es-ES" w:bidi="es-ES"/>
        </w:rPr>
        <w:t>Al respecto, es importante señalar que</w:t>
      </w:r>
      <w:r w:rsidR="00402626">
        <w:rPr>
          <w:rFonts w:ascii="Arial" w:hAnsi="Arial" w:eastAsia="Arial" w:cs="Arial"/>
          <w:sz w:val="22"/>
          <w:lang w:val="es-ES" w:eastAsia="es-ES" w:bidi="es-ES"/>
        </w:rPr>
        <w:t xml:space="preserve"> el artículo 2.2.2.5.6 del Decreto 1983 de 2019 indica que</w:t>
      </w:r>
      <w:r w:rsidR="00BA5FDB">
        <w:rPr>
          <w:rFonts w:ascii="Arial" w:hAnsi="Arial" w:eastAsia="Arial" w:cs="Arial"/>
          <w:sz w:val="22"/>
          <w:lang w:val="es-ES" w:eastAsia="es-ES" w:bidi="es-ES"/>
        </w:rPr>
        <w:t xml:space="preserve"> las entidades territoriales que no estén habilitadas</w:t>
      </w:r>
      <w:r w:rsidR="001322B1">
        <w:rPr>
          <w:rFonts w:ascii="Arial" w:hAnsi="Arial" w:eastAsia="Arial" w:cs="Arial"/>
          <w:sz w:val="22"/>
          <w:lang w:val="es-ES" w:eastAsia="es-ES" w:bidi="es-ES"/>
        </w:rPr>
        <w:t xml:space="preserve"> como gestores catastrales</w:t>
      </w:r>
      <w:r w:rsidR="00AC1C6D">
        <w:rPr>
          <w:rFonts w:ascii="Arial" w:hAnsi="Arial" w:eastAsia="Arial" w:cs="Arial"/>
          <w:sz w:val="22"/>
          <w:lang w:val="es-ES" w:eastAsia="es-ES" w:bidi="es-ES"/>
        </w:rPr>
        <w:t xml:space="preserve"> podrán </w:t>
      </w:r>
      <w:r w:rsidR="00BA5FDB">
        <w:rPr>
          <w:rFonts w:ascii="Arial" w:hAnsi="Arial" w:eastAsia="Arial" w:cs="Arial"/>
          <w:sz w:val="22"/>
          <w:lang w:val="es-ES" w:eastAsia="es-ES" w:bidi="es-ES"/>
        </w:rPr>
        <w:t>contratar a un gestor catastral</w:t>
      </w:r>
      <w:r w:rsidR="00017012">
        <w:rPr>
          <w:rFonts w:ascii="Arial" w:hAnsi="Arial" w:eastAsia="Arial" w:cs="Arial"/>
          <w:sz w:val="22"/>
          <w:lang w:val="es-ES" w:eastAsia="es-ES" w:bidi="es-ES"/>
        </w:rPr>
        <w:t xml:space="preserve"> </w:t>
      </w:r>
      <w:r w:rsidR="000B5C0D">
        <w:rPr>
          <w:rFonts w:ascii="Arial" w:hAnsi="Arial" w:eastAsia="Arial" w:cs="Arial"/>
          <w:sz w:val="22"/>
          <w:lang w:val="es-ES" w:eastAsia="es-ES" w:bidi="es-ES"/>
        </w:rPr>
        <w:t xml:space="preserve">en los términos </w:t>
      </w:r>
      <w:r w:rsidR="001322B1">
        <w:rPr>
          <w:rFonts w:ascii="Arial" w:hAnsi="Arial" w:eastAsia="Arial" w:cs="Arial"/>
          <w:sz w:val="22"/>
          <w:lang w:val="es-ES" w:eastAsia="es-ES" w:bidi="es-ES"/>
        </w:rPr>
        <w:t>de dicho</w:t>
      </w:r>
      <w:r w:rsidR="000B5C0D">
        <w:rPr>
          <w:rFonts w:ascii="Arial" w:hAnsi="Arial" w:eastAsia="Arial" w:cs="Arial"/>
          <w:sz w:val="22"/>
          <w:lang w:val="es-ES" w:eastAsia="es-ES" w:bidi="es-ES"/>
        </w:rPr>
        <w:t xml:space="preserve"> Decreto para la prestación del servicio público en su territorio. </w:t>
      </w:r>
      <w:r w:rsidR="001322B1">
        <w:rPr>
          <w:rFonts w:ascii="Arial" w:hAnsi="Arial" w:eastAsia="Arial" w:cs="Arial"/>
          <w:sz w:val="22"/>
          <w:lang w:val="es-ES" w:eastAsia="es-ES" w:bidi="es-ES"/>
        </w:rPr>
        <w:t>Además, establece que l</w:t>
      </w:r>
      <w:r w:rsidR="00E529F8">
        <w:rPr>
          <w:rFonts w:ascii="Arial" w:hAnsi="Arial" w:eastAsia="Arial" w:cs="Arial"/>
          <w:sz w:val="22"/>
          <w:lang w:val="es-ES" w:eastAsia="es-ES" w:bidi="es-ES"/>
        </w:rPr>
        <w:t xml:space="preserve">os contratos tendrán un periodo de ejecución no menor a dos (2) años y el gestor catastral contratado deberá asegurar la prestación integral del servicio, es decir, </w:t>
      </w:r>
      <w:r w:rsidR="00AC1C6D">
        <w:rPr>
          <w:rFonts w:ascii="Arial" w:hAnsi="Arial" w:eastAsia="Arial" w:cs="Arial"/>
          <w:sz w:val="22"/>
          <w:lang w:val="es-ES" w:eastAsia="es-ES" w:bidi="es-ES"/>
        </w:rPr>
        <w:t>incluyendo las actividades de</w:t>
      </w:r>
      <w:r w:rsidR="004C656F">
        <w:rPr>
          <w:rFonts w:ascii="Arial" w:hAnsi="Arial" w:eastAsia="Arial" w:cs="Arial"/>
          <w:sz w:val="22"/>
          <w:lang w:val="es-ES" w:eastAsia="es-ES" w:bidi="es-ES"/>
        </w:rPr>
        <w:t xml:space="preserve"> formación, actualización y conservación</w:t>
      </w:r>
      <w:r w:rsidR="004C656F">
        <w:rPr>
          <w:rStyle w:val="Refdenotaalpie"/>
          <w:rFonts w:ascii="Arial" w:hAnsi="Arial" w:eastAsia="Arial" w:cs="Arial"/>
          <w:sz w:val="22"/>
          <w:lang w:val="es-ES" w:eastAsia="es-ES" w:bidi="es-ES"/>
        </w:rPr>
        <w:footnoteReference w:id="1"/>
      </w:r>
      <w:r w:rsidR="004C656F">
        <w:rPr>
          <w:rFonts w:ascii="Arial" w:hAnsi="Arial" w:eastAsia="Arial" w:cs="Arial"/>
          <w:sz w:val="22"/>
          <w:lang w:val="es-ES" w:eastAsia="es-ES" w:bidi="es-ES"/>
        </w:rPr>
        <w:t>.</w:t>
      </w:r>
    </w:p>
    <w:p w:rsidR="003E50F7" w:rsidP="00BB515E" w:rsidRDefault="00ED25FB" w14:paraId="0BCB04C7" w14:textId="7253C2CA">
      <w:pPr>
        <w:widowControl w:val="0"/>
        <w:autoSpaceDE w:val="0"/>
        <w:autoSpaceDN w:val="0"/>
        <w:spacing w:after="120" w:line="276" w:lineRule="auto"/>
        <w:ind w:firstLine="703"/>
        <w:jc w:val="both"/>
        <w:rPr>
          <w:rFonts w:ascii="Arial" w:hAnsi="Arial" w:eastAsia="Arial" w:cs="Arial"/>
          <w:sz w:val="22"/>
          <w:lang w:val="es-ES" w:eastAsia="es-ES" w:bidi="es-ES"/>
        </w:rPr>
      </w:pPr>
      <w:r>
        <w:rPr>
          <w:rFonts w:ascii="Arial" w:hAnsi="Arial" w:eastAsia="Arial" w:cs="Arial"/>
          <w:sz w:val="22"/>
          <w:lang w:val="es-ES" w:eastAsia="es-ES" w:bidi="es-ES"/>
        </w:rPr>
        <w:t>Teniendo en cuenta la normativa anterior, en la «Introdu</w:t>
      </w:r>
      <w:r w:rsidR="00ED1858">
        <w:rPr>
          <w:rFonts w:ascii="Arial" w:hAnsi="Arial" w:eastAsia="Arial" w:cs="Arial"/>
          <w:sz w:val="22"/>
          <w:lang w:val="es-ES" w:eastAsia="es-ES" w:bidi="es-ES"/>
        </w:rPr>
        <w:t>cción» del documento tipo para contratar la gestión catastral se establece que</w:t>
      </w:r>
      <w:r w:rsidR="00BB515E">
        <w:rPr>
          <w:rFonts w:ascii="Arial" w:hAnsi="Arial" w:eastAsia="Arial" w:cs="Arial"/>
          <w:sz w:val="22"/>
          <w:lang w:val="es-ES" w:eastAsia="es-ES" w:bidi="es-ES"/>
        </w:rPr>
        <w:t xml:space="preserve"> debido a que </w:t>
      </w:r>
      <w:r w:rsidR="003E50F7">
        <w:rPr>
          <w:rFonts w:ascii="Arial" w:hAnsi="Arial" w:eastAsia="Arial" w:cs="Arial"/>
          <w:sz w:val="22"/>
          <w:lang w:val="es-ES" w:eastAsia="es-ES" w:bidi="es-ES"/>
        </w:rPr>
        <w:t xml:space="preserve">la prestación del servicio es integral, en los términos del artículo 2.2.2.5.6 del Decreto 1983 de 2019, se contratará la actividad de formación o actualización catastral junto con su conservación. Es </w:t>
      </w:r>
      <w:r w:rsidR="006A0E2B">
        <w:rPr>
          <w:rFonts w:ascii="Arial" w:hAnsi="Arial" w:eastAsia="Arial" w:cs="Arial"/>
          <w:sz w:val="22"/>
          <w:lang w:val="es-ES" w:eastAsia="es-ES" w:bidi="es-ES"/>
        </w:rPr>
        <w:t xml:space="preserve">decir, no será posible contratar de forma aislada, con fundamento </w:t>
      </w:r>
      <w:r w:rsidR="001322B1">
        <w:rPr>
          <w:rFonts w:ascii="Arial" w:hAnsi="Arial" w:eastAsia="Arial" w:cs="Arial"/>
          <w:sz w:val="22"/>
          <w:lang w:val="es-ES" w:eastAsia="es-ES" w:bidi="es-ES"/>
        </w:rPr>
        <w:t>en el documento o minuta tipo estandarizada por Colombia Compra Eficiente</w:t>
      </w:r>
      <w:r w:rsidR="006A0E2B">
        <w:rPr>
          <w:rFonts w:ascii="Arial" w:hAnsi="Arial" w:eastAsia="Arial" w:cs="Arial"/>
          <w:sz w:val="22"/>
          <w:lang w:val="es-ES" w:eastAsia="es-ES" w:bidi="es-ES"/>
        </w:rPr>
        <w:t xml:space="preserve"> las actividades de formación, actualización o conservación catastral</w:t>
      </w:r>
      <w:r w:rsidR="001322B1">
        <w:rPr>
          <w:rFonts w:ascii="Arial" w:hAnsi="Arial" w:eastAsia="Arial" w:cs="Arial"/>
          <w:sz w:val="22"/>
          <w:lang w:val="es-ES" w:eastAsia="es-ES" w:bidi="es-ES"/>
        </w:rPr>
        <w:t xml:space="preserve"> por separado.</w:t>
      </w:r>
      <w:r w:rsidR="006A0E2B">
        <w:rPr>
          <w:rFonts w:ascii="Arial" w:hAnsi="Arial" w:eastAsia="Arial" w:cs="Arial"/>
          <w:sz w:val="22"/>
          <w:lang w:val="es-ES" w:eastAsia="es-ES" w:bidi="es-ES"/>
        </w:rPr>
        <w:t xml:space="preserve"> </w:t>
      </w:r>
    </w:p>
    <w:p w:rsidR="001454FD" w:rsidP="00915EBC" w:rsidRDefault="001322B1" w14:paraId="3E9D855F" w14:textId="4BE066C6">
      <w:pPr>
        <w:widowControl w:val="0"/>
        <w:autoSpaceDE w:val="0"/>
        <w:autoSpaceDN w:val="0"/>
        <w:spacing w:line="276" w:lineRule="auto"/>
        <w:ind w:firstLine="703"/>
        <w:jc w:val="both"/>
        <w:rPr>
          <w:rFonts w:ascii="Arial" w:hAnsi="Arial" w:eastAsia="Arial" w:cs="Arial"/>
          <w:sz w:val="22"/>
          <w:lang w:val="es-ES" w:eastAsia="es-ES" w:bidi="es-ES"/>
        </w:rPr>
      </w:pPr>
      <w:r>
        <w:rPr>
          <w:rFonts w:ascii="Arial" w:hAnsi="Arial" w:eastAsia="Arial" w:cs="Arial"/>
          <w:sz w:val="22"/>
          <w:lang w:val="es-ES" w:eastAsia="es-ES" w:bidi="es-ES"/>
        </w:rPr>
        <w:t>En armonía con lo anterior,</w:t>
      </w:r>
      <w:r w:rsidR="00DC10A3">
        <w:rPr>
          <w:rFonts w:ascii="Arial" w:hAnsi="Arial" w:eastAsia="Arial" w:cs="Arial"/>
          <w:sz w:val="22"/>
          <w:lang w:val="es-ES" w:eastAsia="es-ES" w:bidi="es-ES"/>
        </w:rPr>
        <w:t xml:space="preserve"> </w:t>
      </w:r>
      <w:r w:rsidR="00617F75">
        <w:rPr>
          <w:rFonts w:ascii="Arial" w:hAnsi="Arial" w:eastAsia="Arial" w:cs="Arial"/>
          <w:sz w:val="22"/>
          <w:lang w:val="es-ES" w:eastAsia="es-ES" w:bidi="es-ES"/>
        </w:rPr>
        <w:t xml:space="preserve">la cláusula primera de la minuta </w:t>
      </w:r>
      <w:r w:rsidR="00CB41D3">
        <w:rPr>
          <w:rFonts w:ascii="Arial" w:hAnsi="Arial" w:eastAsia="Arial" w:cs="Arial"/>
          <w:sz w:val="22"/>
          <w:lang w:val="es-ES" w:eastAsia="es-ES" w:bidi="es-ES"/>
        </w:rPr>
        <w:t>reitera el alcance de</w:t>
      </w:r>
      <w:r w:rsidR="00617F75">
        <w:rPr>
          <w:rFonts w:ascii="Arial" w:hAnsi="Arial" w:eastAsia="Arial" w:cs="Arial"/>
          <w:sz w:val="22"/>
          <w:lang w:val="es-ES" w:eastAsia="es-ES" w:bidi="es-ES"/>
        </w:rPr>
        <w:t>l</w:t>
      </w:r>
      <w:r w:rsidR="00FA095F">
        <w:rPr>
          <w:rFonts w:ascii="Arial" w:hAnsi="Arial" w:eastAsia="Arial" w:cs="Arial"/>
          <w:sz w:val="22"/>
          <w:lang w:val="es-ES" w:eastAsia="es-ES" w:bidi="es-ES"/>
        </w:rPr>
        <w:t xml:space="preserve"> </w:t>
      </w:r>
      <w:r w:rsidR="00040991">
        <w:rPr>
          <w:rFonts w:ascii="Arial" w:hAnsi="Arial" w:eastAsia="Arial" w:cs="Arial"/>
          <w:sz w:val="22"/>
          <w:lang w:val="es-ES" w:eastAsia="es-ES" w:bidi="es-ES"/>
        </w:rPr>
        <w:t>documento tipo</w:t>
      </w:r>
      <w:r w:rsidR="00CB41D3">
        <w:rPr>
          <w:rFonts w:ascii="Arial" w:hAnsi="Arial" w:eastAsia="Arial" w:cs="Arial"/>
          <w:sz w:val="22"/>
          <w:lang w:val="es-ES" w:eastAsia="es-ES" w:bidi="es-ES"/>
        </w:rPr>
        <w:t xml:space="preserve"> señalando que </w:t>
      </w:r>
      <w:r w:rsidR="00561499">
        <w:rPr>
          <w:rFonts w:ascii="Arial" w:hAnsi="Arial" w:eastAsia="Arial" w:cs="Arial"/>
          <w:sz w:val="22"/>
          <w:lang w:val="es-ES" w:eastAsia="es-ES" w:bidi="es-ES"/>
        </w:rPr>
        <w:t xml:space="preserve">el </w:t>
      </w:r>
      <w:r w:rsidR="00040991">
        <w:rPr>
          <w:rFonts w:ascii="Arial" w:hAnsi="Arial" w:eastAsia="Arial" w:cs="Arial"/>
          <w:sz w:val="22"/>
          <w:lang w:val="es-ES" w:eastAsia="es-ES" w:bidi="es-ES"/>
        </w:rPr>
        <w:t>objeto</w:t>
      </w:r>
      <w:r w:rsidR="00561499">
        <w:rPr>
          <w:rFonts w:ascii="Arial" w:hAnsi="Arial" w:eastAsia="Arial" w:cs="Arial"/>
          <w:sz w:val="22"/>
          <w:lang w:val="es-ES" w:eastAsia="es-ES" w:bidi="es-ES"/>
        </w:rPr>
        <w:t xml:space="preserve"> </w:t>
      </w:r>
      <w:r w:rsidR="00617F75">
        <w:rPr>
          <w:rFonts w:ascii="Arial" w:hAnsi="Arial" w:eastAsia="Arial" w:cs="Arial"/>
          <w:sz w:val="22"/>
          <w:lang w:val="es-ES" w:eastAsia="es-ES" w:bidi="es-ES"/>
        </w:rPr>
        <w:t>contractual debe consistir en</w:t>
      </w:r>
      <w:r w:rsidR="009B204A">
        <w:rPr>
          <w:rFonts w:ascii="Arial" w:hAnsi="Arial" w:eastAsia="Arial" w:cs="Arial"/>
          <w:sz w:val="22"/>
          <w:lang w:val="es-ES" w:eastAsia="es-ES" w:bidi="es-ES"/>
        </w:rPr>
        <w:t xml:space="preserve"> prestar el servicio de gestión ca</w:t>
      </w:r>
      <w:r w:rsidR="002930C9">
        <w:rPr>
          <w:rFonts w:ascii="Arial" w:hAnsi="Arial" w:eastAsia="Arial" w:cs="Arial"/>
          <w:sz w:val="22"/>
          <w:lang w:val="es-ES" w:eastAsia="es-ES" w:bidi="es-ES"/>
        </w:rPr>
        <w:t xml:space="preserve">tastral </w:t>
      </w:r>
      <w:r w:rsidR="005A5030">
        <w:rPr>
          <w:rFonts w:ascii="Arial" w:hAnsi="Arial" w:eastAsia="Arial" w:cs="Arial"/>
          <w:sz w:val="22"/>
          <w:lang w:val="es-ES" w:eastAsia="es-ES" w:bidi="es-ES"/>
        </w:rPr>
        <w:t>integral, es decir, contratando ya sea la formación o actualización catastral y junto a estas actividades la conservación y difusión catastral</w:t>
      </w:r>
      <w:r w:rsidR="002930C9">
        <w:rPr>
          <w:rFonts w:ascii="Arial" w:hAnsi="Arial" w:eastAsia="Arial" w:cs="Arial"/>
          <w:sz w:val="22"/>
          <w:lang w:val="es-ES" w:eastAsia="es-ES" w:bidi="es-ES"/>
        </w:rPr>
        <w:t>. Así</w:t>
      </w:r>
      <w:r w:rsidR="005A5030">
        <w:rPr>
          <w:rFonts w:ascii="Arial" w:hAnsi="Arial" w:eastAsia="Arial" w:cs="Arial"/>
          <w:sz w:val="22"/>
          <w:lang w:val="es-ES" w:eastAsia="es-ES" w:bidi="es-ES"/>
        </w:rPr>
        <w:t xml:space="preserve"> se estableció en los siguientes términos: </w:t>
      </w:r>
    </w:p>
    <w:p w:rsidRPr="005F7734" w:rsidR="00617F75" w:rsidP="00915EBC" w:rsidRDefault="00617F75" w14:paraId="7CA3A9CD" w14:textId="77777777">
      <w:pPr>
        <w:widowControl w:val="0"/>
        <w:autoSpaceDE w:val="0"/>
        <w:autoSpaceDN w:val="0"/>
        <w:spacing w:line="276" w:lineRule="auto"/>
        <w:ind w:firstLine="703"/>
        <w:jc w:val="both"/>
        <w:rPr>
          <w:rFonts w:ascii="Arial" w:hAnsi="Arial" w:eastAsia="Arial" w:cs="Arial"/>
          <w:sz w:val="22"/>
          <w:lang w:val="es-ES" w:eastAsia="es-ES" w:bidi="es-ES"/>
        </w:rPr>
      </w:pPr>
    </w:p>
    <w:p w:rsidR="009B204A" w:rsidP="00915EBC" w:rsidRDefault="009B204A" w14:paraId="3DA8FF15" w14:textId="2DB6186E">
      <w:pPr>
        <w:widowControl w:val="0"/>
        <w:numPr>
          <w:ilvl w:val="0"/>
          <w:numId w:val="6"/>
        </w:numPr>
        <w:autoSpaceDE w:val="0"/>
        <w:autoSpaceDN w:val="0"/>
        <w:ind w:left="709" w:right="758" w:firstLine="0"/>
        <w:jc w:val="both"/>
        <w:rPr>
          <w:rFonts w:ascii="Arial" w:hAnsi="Arial" w:eastAsia="Arial" w:cs="Arial"/>
          <w:sz w:val="20"/>
          <w:szCs w:val="20"/>
          <w:lang w:val="es-CO" w:eastAsia="es-ES" w:bidi="es-ES"/>
        </w:rPr>
      </w:pPr>
      <w:r w:rsidRPr="009B204A">
        <w:rPr>
          <w:rFonts w:ascii="Arial" w:hAnsi="Arial" w:eastAsia="Arial" w:cs="Arial"/>
          <w:sz w:val="20"/>
          <w:szCs w:val="20"/>
          <w:lang w:val="es-CO" w:eastAsia="es-ES" w:bidi="es-ES"/>
        </w:rPr>
        <w:t xml:space="preserve">Prestar el servicio público de gestión catastral para realizar la </w:t>
      </w:r>
      <w:r w:rsidRPr="009B204A">
        <w:rPr>
          <w:rFonts w:ascii="Arial" w:hAnsi="Arial" w:eastAsia="Arial" w:cs="Arial"/>
          <w:sz w:val="20"/>
          <w:szCs w:val="20"/>
          <w:highlight w:val="lightGray"/>
          <w:lang w:val="es-CO" w:eastAsia="es-ES" w:bidi="es-ES"/>
        </w:rPr>
        <w:t>[formación/actualización (seleccionar según corresponda)]</w:t>
      </w:r>
      <w:r w:rsidRPr="009B204A">
        <w:rPr>
          <w:rFonts w:ascii="Arial" w:hAnsi="Arial" w:eastAsia="Arial" w:cs="Arial"/>
          <w:sz w:val="20"/>
          <w:szCs w:val="20"/>
          <w:lang w:val="es-CO" w:eastAsia="es-ES" w:bidi="es-ES"/>
        </w:rPr>
        <w:t>, conservación y difusión catastral [</w:t>
      </w:r>
      <w:r w:rsidRPr="009B204A">
        <w:rPr>
          <w:rFonts w:ascii="Arial" w:hAnsi="Arial" w:eastAsia="Arial" w:cs="Arial"/>
          <w:sz w:val="20"/>
          <w:szCs w:val="20"/>
          <w:highlight w:val="lightGray"/>
          <w:lang w:val="es-CO" w:eastAsia="es-ES" w:bidi="es-ES"/>
        </w:rPr>
        <w:t>de las zonas rural/urbana o sectores ______ (seleccionar según corresponda) o eliminar este aparte en gris cuando se trate de la gestión catastral en todo el municipio</w:t>
      </w:r>
      <w:r w:rsidRPr="009B204A">
        <w:rPr>
          <w:rFonts w:ascii="Arial" w:hAnsi="Arial" w:eastAsia="Arial" w:cs="Arial"/>
          <w:sz w:val="20"/>
          <w:szCs w:val="20"/>
          <w:lang w:val="es-CO" w:eastAsia="es-ES" w:bidi="es-ES"/>
        </w:rPr>
        <w:t xml:space="preserve">] del municipio de </w:t>
      </w:r>
      <w:r w:rsidRPr="009B204A">
        <w:rPr>
          <w:rFonts w:ascii="Arial" w:hAnsi="Arial" w:eastAsia="Arial" w:cs="Arial"/>
          <w:sz w:val="20"/>
          <w:szCs w:val="20"/>
          <w:highlight w:val="lightGray"/>
          <w:lang w:val="es-CO" w:eastAsia="es-ES" w:bidi="es-ES"/>
        </w:rPr>
        <w:t>[incluir el nombre del municipio]</w:t>
      </w:r>
      <w:r w:rsidRPr="009B204A">
        <w:rPr>
          <w:rFonts w:ascii="Arial" w:hAnsi="Arial" w:eastAsia="Arial" w:cs="Arial"/>
          <w:sz w:val="20"/>
          <w:szCs w:val="20"/>
          <w:lang w:val="es-CO" w:eastAsia="es-ES" w:bidi="es-ES"/>
        </w:rPr>
        <w:t>.</w:t>
      </w:r>
    </w:p>
    <w:p w:rsidRPr="009B204A" w:rsidR="00617F75" w:rsidP="00915EBC" w:rsidRDefault="00617F75" w14:paraId="3DD410A6" w14:textId="77777777">
      <w:pPr>
        <w:widowControl w:val="0"/>
        <w:autoSpaceDE w:val="0"/>
        <w:autoSpaceDN w:val="0"/>
        <w:spacing w:after="120"/>
        <w:ind w:left="709" w:right="758"/>
        <w:jc w:val="both"/>
        <w:rPr>
          <w:rFonts w:ascii="Arial" w:hAnsi="Arial" w:eastAsia="Arial" w:cs="Arial"/>
          <w:sz w:val="20"/>
          <w:szCs w:val="20"/>
          <w:lang w:val="es-CO" w:eastAsia="es-ES" w:bidi="es-ES"/>
        </w:rPr>
      </w:pPr>
    </w:p>
    <w:p w:rsidR="0063380C" w:rsidP="005A5030" w:rsidRDefault="005E51B1" w14:paraId="2D2EB388" w14:textId="45F3C9F3">
      <w:pPr>
        <w:widowControl w:val="0"/>
        <w:autoSpaceDE w:val="0"/>
        <w:autoSpaceDN w:val="0"/>
        <w:spacing w:after="120" w:line="276" w:lineRule="auto"/>
        <w:ind w:firstLine="703"/>
        <w:jc w:val="both"/>
        <w:rPr>
          <w:rFonts w:ascii="Arial" w:hAnsi="Arial" w:eastAsia="Arial" w:cs="Arial"/>
          <w:sz w:val="22"/>
          <w:lang w:val="es-ES" w:eastAsia="es-ES" w:bidi="es-ES"/>
        </w:rPr>
      </w:pPr>
      <w:r>
        <w:rPr>
          <w:rFonts w:ascii="Arial" w:hAnsi="Arial" w:eastAsia="Arial" w:cs="Arial"/>
          <w:sz w:val="22"/>
          <w:lang w:val="es-ES" w:eastAsia="es-ES" w:bidi="es-ES"/>
        </w:rPr>
        <w:t xml:space="preserve">En este sentido, </w:t>
      </w:r>
      <w:bookmarkStart w:name="_Hlk71906461" w:id="1"/>
      <w:r>
        <w:rPr>
          <w:rFonts w:ascii="Arial" w:hAnsi="Arial" w:eastAsia="Arial" w:cs="Arial"/>
          <w:sz w:val="22"/>
          <w:lang w:val="es-ES" w:eastAsia="es-ES" w:bidi="es-ES"/>
        </w:rPr>
        <w:t xml:space="preserve">el documento tipo establece de manera concreta y clara que </w:t>
      </w:r>
      <w:r w:rsidR="00567185">
        <w:rPr>
          <w:rFonts w:ascii="Arial" w:hAnsi="Arial" w:eastAsia="Arial" w:cs="Arial"/>
          <w:sz w:val="22"/>
          <w:lang w:val="es-ES" w:eastAsia="es-ES" w:bidi="es-ES"/>
        </w:rPr>
        <w:t xml:space="preserve">las entidades lo aplicarán cuando la contratación del servicio de gestión catastral </w:t>
      </w:r>
      <w:r w:rsidR="00617F75">
        <w:rPr>
          <w:rFonts w:ascii="Arial" w:hAnsi="Arial" w:eastAsia="Arial" w:cs="Arial"/>
          <w:sz w:val="22"/>
          <w:lang w:val="es-ES" w:eastAsia="es-ES" w:bidi="es-ES"/>
        </w:rPr>
        <w:t xml:space="preserve">sea </w:t>
      </w:r>
      <w:r w:rsidR="00567185">
        <w:rPr>
          <w:rFonts w:ascii="Arial" w:hAnsi="Arial" w:eastAsia="Arial" w:cs="Arial"/>
          <w:sz w:val="22"/>
          <w:lang w:val="es-ES" w:eastAsia="es-ES" w:bidi="es-ES"/>
        </w:rPr>
        <w:t xml:space="preserve">integral, </w:t>
      </w:r>
      <w:r w:rsidR="009B0518">
        <w:rPr>
          <w:rFonts w:ascii="Arial" w:hAnsi="Arial" w:eastAsia="Arial" w:cs="Arial"/>
          <w:sz w:val="22"/>
          <w:lang w:val="es-ES" w:eastAsia="es-ES" w:bidi="es-ES"/>
        </w:rPr>
        <w:t xml:space="preserve">es decir, cuando </w:t>
      </w:r>
      <w:r w:rsidR="0063380C">
        <w:rPr>
          <w:rFonts w:ascii="Arial" w:hAnsi="Arial" w:eastAsia="Arial" w:cs="Arial"/>
          <w:sz w:val="22"/>
          <w:lang w:val="es-ES" w:eastAsia="es-ES" w:bidi="es-ES"/>
        </w:rPr>
        <w:t xml:space="preserve">se contrate la formación o actualización catastral junto </w:t>
      </w:r>
      <w:r w:rsidR="0001395B">
        <w:rPr>
          <w:rFonts w:ascii="Arial" w:hAnsi="Arial" w:eastAsia="Arial" w:cs="Arial"/>
          <w:sz w:val="22"/>
          <w:lang w:val="es-ES" w:eastAsia="es-ES" w:bidi="es-ES"/>
        </w:rPr>
        <w:t>con la conservación</w:t>
      </w:r>
      <w:r w:rsidR="00DC3597">
        <w:rPr>
          <w:rFonts w:ascii="Arial" w:hAnsi="Arial" w:eastAsia="Arial" w:cs="Arial"/>
          <w:sz w:val="22"/>
          <w:lang w:val="es-ES" w:eastAsia="es-ES" w:bidi="es-ES"/>
        </w:rPr>
        <w:t xml:space="preserve"> y difusión catastral</w:t>
      </w:r>
      <w:r w:rsidR="0001395B">
        <w:rPr>
          <w:rFonts w:ascii="Arial" w:hAnsi="Arial" w:eastAsia="Arial" w:cs="Arial"/>
          <w:sz w:val="22"/>
          <w:lang w:val="es-ES" w:eastAsia="es-ES" w:bidi="es-ES"/>
        </w:rPr>
        <w:t xml:space="preserve">. En otras palabras, </w:t>
      </w:r>
      <w:r w:rsidR="00F86E93">
        <w:rPr>
          <w:rFonts w:ascii="Arial" w:hAnsi="Arial" w:eastAsia="Arial" w:cs="Arial"/>
          <w:sz w:val="22"/>
          <w:lang w:val="es-ES" w:eastAsia="es-ES" w:bidi="es-ES"/>
        </w:rPr>
        <w:t>si el municipio contrata</w:t>
      </w:r>
      <w:r w:rsidR="00617F75">
        <w:rPr>
          <w:rFonts w:ascii="Arial" w:hAnsi="Arial" w:eastAsia="Arial" w:cs="Arial"/>
          <w:sz w:val="22"/>
          <w:lang w:val="es-ES" w:eastAsia="es-ES" w:bidi="es-ES"/>
        </w:rPr>
        <w:t>ra</w:t>
      </w:r>
      <w:r w:rsidR="00F86E93">
        <w:rPr>
          <w:rFonts w:ascii="Arial" w:hAnsi="Arial" w:eastAsia="Arial" w:cs="Arial"/>
          <w:sz w:val="22"/>
          <w:lang w:val="es-ES" w:eastAsia="es-ES" w:bidi="es-ES"/>
        </w:rPr>
        <w:t xml:space="preserve"> aisladamente </w:t>
      </w:r>
      <w:r w:rsidR="00C41329">
        <w:rPr>
          <w:rFonts w:ascii="Arial" w:hAnsi="Arial" w:eastAsia="Arial" w:cs="Arial"/>
          <w:sz w:val="22"/>
          <w:lang w:val="es-ES" w:eastAsia="es-ES" w:bidi="es-ES"/>
        </w:rPr>
        <w:t xml:space="preserve">alguna de estas actividades no </w:t>
      </w:r>
      <w:r w:rsidR="00617F75">
        <w:rPr>
          <w:rFonts w:ascii="Arial" w:hAnsi="Arial" w:eastAsia="Arial" w:cs="Arial"/>
          <w:sz w:val="22"/>
          <w:lang w:val="es-ES" w:eastAsia="es-ES" w:bidi="es-ES"/>
        </w:rPr>
        <w:t>aplicaría</w:t>
      </w:r>
      <w:r w:rsidR="00C41329">
        <w:rPr>
          <w:rFonts w:ascii="Arial" w:hAnsi="Arial" w:eastAsia="Arial" w:cs="Arial"/>
          <w:sz w:val="22"/>
          <w:lang w:val="es-ES" w:eastAsia="es-ES" w:bidi="es-ES"/>
        </w:rPr>
        <w:t xml:space="preserve"> esta minuta tipo</w:t>
      </w:r>
      <w:r w:rsidR="00B83A18">
        <w:rPr>
          <w:rFonts w:ascii="Arial" w:hAnsi="Arial" w:eastAsia="Arial" w:cs="Arial"/>
          <w:sz w:val="22"/>
          <w:lang w:val="es-ES" w:eastAsia="es-ES" w:bidi="es-ES"/>
        </w:rPr>
        <w:t>. Lo anterior, sin perjuicio de que las entidades deban aplicar la normativa vigente en la materia.</w:t>
      </w:r>
    </w:p>
    <w:bookmarkEnd w:id="1"/>
    <w:p w:rsidR="00F033AC" w:rsidP="00803270" w:rsidRDefault="00176F3C" w14:paraId="35F8D023" w14:textId="0E588EA9">
      <w:pPr>
        <w:widowControl w:val="0"/>
        <w:autoSpaceDE w:val="0"/>
        <w:autoSpaceDN w:val="0"/>
        <w:spacing w:after="120" w:line="276" w:lineRule="auto"/>
        <w:ind w:firstLine="703"/>
        <w:jc w:val="both"/>
        <w:rPr>
          <w:rFonts w:ascii="Arial" w:hAnsi="Arial" w:eastAsia="Arial" w:cs="Arial"/>
          <w:sz w:val="22"/>
          <w:lang w:val="es-ES" w:eastAsia="es-ES" w:bidi="es-ES"/>
        </w:rPr>
      </w:pPr>
      <w:r>
        <w:rPr>
          <w:rFonts w:ascii="Arial" w:hAnsi="Arial" w:eastAsia="Arial" w:cs="Arial"/>
          <w:sz w:val="22"/>
          <w:lang w:val="es-ES" w:eastAsia="es-ES" w:bidi="es-ES"/>
        </w:rPr>
        <w:t xml:space="preserve">Ahora bien, frente a la posibilidad que tienen las entidades de contratar aisladamente </w:t>
      </w:r>
      <w:r w:rsidR="00F821D8">
        <w:rPr>
          <w:rFonts w:ascii="Arial" w:hAnsi="Arial" w:eastAsia="Arial" w:cs="Arial"/>
          <w:sz w:val="22"/>
          <w:lang w:val="es-ES" w:eastAsia="es-ES" w:bidi="es-ES"/>
        </w:rPr>
        <w:t>la conservación catastral</w:t>
      </w:r>
      <w:r w:rsidR="008A3142">
        <w:rPr>
          <w:rFonts w:ascii="Arial" w:hAnsi="Arial" w:eastAsia="Arial" w:cs="Arial"/>
          <w:sz w:val="22"/>
          <w:lang w:val="es-ES" w:eastAsia="es-ES" w:bidi="es-ES"/>
        </w:rPr>
        <w:t>,</w:t>
      </w:r>
      <w:r w:rsidR="00F821D8">
        <w:rPr>
          <w:rFonts w:ascii="Arial" w:hAnsi="Arial" w:eastAsia="Arial" w:cs="Arial"/>
          <w:sz w:val="22"/>
          <w:lang w:val="es-ES" w:eastAsia="es-ES" w:bidi="es-ES"/>
        </w:rPr>
        <w:t xml:space="preserve"> </w:t>
      </w:r>
      <w:r w:rsidR="008A3142">
        <w:rPr>
          <w:rFonts w:ascii="Arial" w:hAnsi="Arial" w:eastAsia="Arial" w:cs="Arial"/>
          <w:sz w:val="22"/>
          <w:lang w:val="es-ES" w:eastAsia="es-ES" w:bidi="es-ES"/>
        </w:rPr>
        <w:t>e</w:t>
      </w:r>
      <w:r w:rsidR="00F821D8">
        <w:rPr>
          <w:rFonts w:ascii="Arial" w:hAnsi="Arial" w:eastAsia="Arial" w:cs="Arial"/>
          <w:sz w:val="22"/>
          <w:lang w:val="es-ES" w:eastAsia="es-ES" w:bidi="es-ES"/>
        </w:rPr>
        <w:t xml:space="preserve">s importante </w:t>
      </w:r>
      <w:r w:rsidR="007117D5">
        <w:rPr>
          <w:rFonts w:ascii="Arial" w:hAnsi="Arial" w:eastAsia="Arial" w:cs="Arial"/>
          <w:sz w:val="22"/>
          <w:lang w:val="es-ES" w:eastAsia="es-ES" w:bidi="es-ES"/>
        </w:rPr>
        <w:t xml:space="preserve">indicar </w:t>
      </w:r>
      <w:r w:rsidR="00F821D8">
        <w:rPr>
          <w:rFonts w:ascii="Arial" w:hAnsi="Arial" w:eastAsia="Arial" w:cs="Arial"/>
          <w:sz w:val="22"/>
          <w:lang w:val="es-ES" w:eastAsia="es-ES" w:bidi="es-ES"/>
        </w:rPr>
        <w:t>que el Instituto Geográfico Agustín Codazzi</w:t>
      </w:r>
      <w:r w:rsidR="00D36876">
        <w:rPr>
          <w:rFonts w:ascii="Arial" w:hAnsi="Arial" w:eastAsia="Arial" w:cs="Arial"/>
          <w:sz w:val="22"/>
          <w:lang w:val="es-ES" w:eastAsia="es-ES" w:bidi="es-ES"/>
        </w:rPr>
        <w:t xml:space="preserve"> -IGAC</w:t>
      </w:r>
      <w:r w:rsidR="0011450C">
        <w:rPr>
          <w:rFonts w:ascii="Arial" w:hAnsi="Arial" w:eastAsia="Arial" w:cs="Arial"/>
          <w:sz w:val="22"/>
          <w:lang w:val="es-ES" w:eastAsia="es-ES" w:bidi="es-ES"/>
        </w:rPr>
        <w:t xml:space="preserve"> </w:t>
      </w:r>
      <w:r w:rsidR="007117D5">
        <w:rPr>
          <w:rFonts w:ascii="Arial" w:hAnsi="Arial" w:eastAsia="Arial" w:cs="Arial"/>
          <w:sz w:val="22"/>
          <w:lang w:val="es-ES" w:eastAsia="es-ES" w:bidi="es-ES"/>
        </w:rPr>
        <w:t xml:space="preserve">es </w:t>
      </w:r>
      <w:r w:rsidR="0011450C">
        <w:rPr>
          <w:rFonts w:ascii="Arial" w:hAnsi="Arial" w:eastAsia="Arial" w:cs="Arial"/>
          <w:sz w:val="22"/>
          <w:lang w:val="es-ES" w:eastAsia="es-ES" w:bidi="es-ES"/>
        </w:rPr>
        <w:t xml:space="preserve">la </w:t>
      </w:r>
      <w:r w:rsidR="00236184">
        <w:rPr>
          <w:rFonts w:ascii="Arial" w:hAnsi="Arial" w:eastAsia="Arial" w:cs="Arial"/>
          <w:sz w:val="22"/>
          <w:lang w:val="es-ES" w:eastAsia="es-ES" w:bidi="es-ES"/>
        </w:rPr>
        <w:t xml:space="preserve">autoridad máxima </w:t>
      </w:r>
      <w:r w:rsidR="00F033AC">
        <w:rPr>
          <w:rFonts w:ascii="Arial" w:hAnsi="Arial" w:eastAsia="Arial" w:cs="Arial"/>
          <w:sz w:val="22"/>
          <w:lang w:val="es-ES" w:eastAsia="es-ES" w:bidi="es-ES"/>
        </w:rPr>
        <w:t>catastral del país</w:t>
      </w:r>
      <w:r w:rsidR="007117D5">
        <w:rPr>
          <w:rFonts w:ascii="Arial" w:hAnsi="Arial" w:eastAsia="Arial" w:cs="Arial"/>
          <w:sz w:val="22"/>
          <w:lang w:val="es-ES" w:eastAsia="es-ES" w:bidi="es-ES"/>
        </w:rPr>
        <w:t>, y</w:t>
      </w:r>
      <w:r w:rsidR="00B93FD2">
        <w:rPr>
          <w:rFonts w:ascii="Arial" w:hAnsi="Arial" w:eastAsia="Arial" w:cs="Arial"/>
          <w:sz w:val="22"/>
          <w:lang w:val="es-ES" w:eastAsia="es-ES" w:bidi="es-ES"/>
        </w:rPr>
        <w:t>,</w:t>
      </w:r>
      <w:r w:rsidR="007117D5">
        <w:rPr>
          <w:rFonts w:ascii="Arial" w:hAnsi="Arial" w:eastAsia="Arial" w:cs="Arial"/>
          <w:sz w:val="22"/>
          <w:lang w:val="es-ES" w:eastAsia="es-ES" w:bidi="es-ES"/>
        </w:rPr>
        <w:t xml:space="preserve"> en consecuencia, es </w:t>
      </w:r>
      <w:r w:rsidR="00F033AC">
        <w:rPr>
          <w:rFonts w:ascii="Arial" w:hAnsi="Arial" w:eastAsia="Arial" w:cs="Arial"/>
          <w:sz w:val="22"/>
          <w:lang w:val="es-ES" w:eastAsia="es-ES" w:bidi="es-ES"/>
        </w:rPr>
        <w:t xml:space="preserve">la que tiene la competencia </w:t>
      </w:r>
      <w:r w:rsidR="009237D6">
        <w:rPr>
          <w:rFonts w:ascii="Arial" w:hAnsi="Arial" w:eastAsia="Arial" w:cs="Arial"/>
          <w:sz w:val="22"/>
          <w:lang w:val="es-ES" w:eastAsia="es-ES" w:bidi="es-ES"/>
        </w:rPr>
        <w:t xml:space="preserve">de definir </w:t>
      </w:r>
      <w:r w:rsidR="00F033AC">
        <w:rPr>
          <w:rFonts w:ascii="Arial" w:hAnsi="Arial" w:eastAsia="Arial" w:cs="Arial"/>
          <w:sz w:val="22"/>
          <w:lang w:val="es-ES" w:eastAsia="es-ES" w:bidi="es-ES"/>
        </w:rPr>
        <w:t xml:space="preserve">si es posible contratar estas actividades de manera independiente. </w:t>
      </w:r>
      <w:r w:rsidR="008A3142">
        <w:rPr>
          <w:rFonts w:ascii="Arial" w:hAnsi="Arial" w:eastAsia="Arial" w:cs="Arial"/>
          <w:sz w:val="22"/>
          <w:lang w:val="es-ES" w:eastAsia="es-ES" w:bidi="es-ES"/>
        </w:rPr>
        <w:t>En efecto, el</w:t>
      </w:r>
      <w:r w:rsidR="00F033AC">
        <w:rPr>
          <w:rFonts w:ascii="Arial" w:hAnsi="Arial" w:eastAsia="Arial" w:cs="Arial"/>
          <w:sz w:val="22"/>
          <w:lang w:val="es-ES" w:eastAsia="es-ES" w:bidi="es-ES"/>
        </w:rPr>
        <w:t xml:space="preserve"> Decreto </w:t>
      </w:r>
      <w:r w:rsidR="00563FDC">
        <w:rPr>
          <w:rFonts w:ascii="Arial" w:hAnsi="Arial" w:eastAsia="Arial" w:cs="Arial"/>
          <w:sz w:val="22"/>
          <w:lang w:val="es-ES" w:eastAsia="es-ES" w:bidi="es-ES"/>
        </w:rPr>
        <w:t>208 del 2004 «Por la cual se modifica la estructura del Instituto Geográfico Agustín Codazzi y se dictan otras disposiciones»</w:t>
      </w:r>
      <w:r w:rsidR="00CF5E6A">
        <w:rPr>
          <w:rFonts w:ascii="Arial" w:hAnsi="Arial" w:eastAsia="Arial" w:cs="Arial"/>
          <w:sz w:val="22"/>
          <w:lang w:val="es-ES" w:eastAsia="es-ES" w:bidi="es-ES"/>
        </w:rPr>
        <w:t xml:space="preserve">, </w:t>
      </w:r>
      <w:r w:rsidR="008A3142">
        <w:rPr>
          <w:rFonts w:ascii="Arial" w:hAnsi="Arial" w:eastAsia="Arial" w:cs="Arial"/>
          <w:sz w:val="22"/>
          <w:lang w:val="es-ES" w:eastAsia="es-ES" w:bidi="es-ES"/>
        </w:rPr>
        <w:t xml:space="preserve">establece en </w:t>
      </w:r>
      <w:r w:rsidR="00CF5E6A">
        <w:rPr>
          <w:rFonts w:ascii="Arial" w:hAnsi="Arial" w:eastAsia="Arial" w:cs="Arial"/>
          <w:sz w:val="22"/>
          <w:lang w:val="es-ES" w:eastAsia="es-ES" w:bidi="es-ES"/>
        </w:rPr>
        <w:t>el numeral 8</w:t>
      </w:r>
      <w:r w:rsidR="008A3142">
        <w:rPr>
          <w:rFonts w:ascii="Arial" w:hAnsi="Arial" w:eastAsia="Arial" w:cs="Arial"/>
          <w:sz w:val="22"/>
          <w:lang w:val="es-ES" w:eastAsia="es-ES" w:bidi="es-ES"/>
        </w:rPr>
        <w:t xml:space="preserve"> del</w:t>
      </w:r>
      <w:r w:rsidR="00CF5E6A">
        <w:rPr>
          <w:rFonts w:ascii="Arial" w:hAnsi="Arial" w:eastAsia="Arial" w:cs="Arial"/>
          <w:sz w:val="22"/>
          <w:lang w:val="es-ES" w:eastAsia="es-ES" w:bidi="es-ES"/>
        </w:rPr>
        <w:t xml:space="preserve"> artículo 25 </w:t>
      </w:r>
      <w:r w:rsidR="00500DC6">
        <w:rPr>
          <w:rFonts w:ascii="Arial" w:hAnsi="Arial" w:eastAsia="Arial" w:cs="Arial"/>
          <w:sz w:val="22"/>
          <w:lang w:val="es-ES" w:eastAsia="es-ES" w:bidi="es-ES"/>
        </w:rPr>
        <w:t>que una de</w:t>
      </w:r>
      <w:r w:rsidR="007117D5">
        <w:rPr>
          <w:rFonts w:ascii="Arial" w:hAnsi="Arial" w:eastAsia="Arial" w:cs="Arial"/>
          <w:sz w:val="22"/>
          <w:lang w:val="es-ES" w:eastAsia="es-ES" w:bidi="es-ES"/>
        </w:rPr>
        <w:t xml:space="preserve"> sus</w:t>
      </w:r>
      <w:r w:rsidR="00500DC6">
        <w:rPr>
          <w:rFonts w:ascii="Arial" w:hAnsi="Arial" w:eastAsia="Arial" w:cs="Arial"/>
          <w:sz w:val="22"/>
          <w:lang w:val="es-ES" w:eastAsia="es-ES" w:bidi="es-ES"/>
        </w:rPr>
        <w:t xml:space="preserve"> principales funciones </w:t>
      </w:r>
      <w:r w:rsidR="0085211E">
        <w:rPr>
          <w:rFonts w:ascii="Arial" w:hAnsi="Arial" w:eastAsia="Arial" w:cs="Arial"/>
          <w:sz w:val="22"/>
          <w:lang w:val="es-ES" w:eastAsia="es-ES" w:bidi="es-ES"/>
        </w:rPr>
        <w:t xml:space="preserve">es </w:t>
      </w:r>
      <w:r w:rsidR="00FB2A86">
        <w:rPr>
          <w:rFonts w:ascii="Arial" w:hAnsi="Arial" w:eastAsia="Arial" w:cs="Arial"/>
          <w:sz w:val="22"/>
          <w:lang w:val="es-ES" w:eastAsia="es-ES" w:bidi="es-ES"/>
        </w:rPr>
        <w:t xml:space="preserve">prestar asesoría técnica a los catastros descentralizados en la </w:t>
      </w:r>
      <w:r w:rsidR="00373FBC">
        <w:rPr>
          <w:rFonts w:ascii="Arial" w:hAnsi="Arial" w:eastAsia="Arial" w:cs="Arial"/>
          <w:sz w:val="22"/>
          <w:lang w:val="es-ES" w:eastAsia="es-ES" w:bidi="es-ES"/>
        </w:rPr>
        <w:t>aplicación de las normas vigentes para la formación, actualización y conservación catastral, en su calidad de máxima autoridad catastral en el país</w:t>
      </w:r>
      <w:r w:rsidR="00212F01">
        <w:rPr>
          <w:rStyle w:val="Refdenotaalpie"/>
          <w:rFonts w:ascii="Arial" w:hAnsi="Arial" w:eastAsia="Arial" w:cs="Arial"/>
          <w:sz w:val="22"/>
          <w:lang w:val="es-ES" w:eastAsia="es-ES" w:bidi="es-ES"/>
        </w:rPr>
        <w:footnoteReference w:id="2"/>
      </w:r>
      <w:r w:rsidR="00373FBC">
        <w:rPr>
          <w:rFonts w:ascii="Arial" w:hAnsi="Arial" w:eastAsia="Arial" w:cs="Arial"/>
          <w:sz w:val="22"/>
          <w:lang w:val="es-ES" w:eastAsia="es-ES" w:bidi="es-ES"/>
        </w:rPr>
        <w:t xml:space="preserve">. </w:t>
      </w:r>
    </w:p>
    <w:p w:rsidR="00576E01" w:rsidP="00A35A09" w:rsidRDefault="008A3142" w14:paraId="2842EFB7" w14:textId="7E3E4037">
      <w:pPr>
        <w:spacing w:before="120" w:after="120" w:line="276" w:lineRule="auto"/>
        <w:ind w:firstLine="703"/>
        <w:jc w:val="both"/>
        <w:rPr>
          <w:rFonts w:ascii="Arial" w:hAnsi="Arial" w:eastAsia="Arial" w:cs="Arial"/>
          <w:sz w:val="22"/>
          <w:lang w:val="es-ES" w:eastAsia="es-ES" w:bidi="es-ES"/>
        </w:rPr>
      </w:pPr>
      <w:r>
        <w:rPr>
          <w:rFonts w:ascii="Arial" w:hAnsi="Arial" w:eastAsia="Arial" w:cs="Arial"/>
          <w:sz w:val="22"/>
          <w:lang w:val="es-ES" w:eastAsia="es-ES" w:bidi="es-ES"/>
        </w:rPr>
        <w:t xml:space="preserve">En relación con lo anterior, cabe destacar que el </w:t>
      </w:r>
      <w:r w:rsidR="003314EA">
        <w:rPr>
          <w:rFonts w:ascii="Arial" w:hAnsi="Arial" w:eastAsia="Arial" w:cs="Arial"/>
          <w:sz w:val="22"/>
          <w:lang w:val="es-ES" w:eastAsia="es-ES" w:bidi="es-ES"/>
        </w:rPr>
        <w:t xml:space="preserve">Instituto Geográfico Agustín Codazzi </w:t>
      </w:r>
      <w:r>
        <w:rPr>
          <w:rFonts w:ascii="Arial" w:hAnsi="Arial" w:eastAsia="Arial" w:cs="Arial"/>
          <w:sz w:val="22"/>
          <w:lang w:val="es-ES" w:eastAsia="es-ES" w:bidi="es-ES"/>
        </w:rPr>
        <w:t>ya se pronunció frente a la</w:t>
      </w:r>
      <w:r w:rsidR="003314EA">
        <w:rPr>
          <w:rFonts w:ascii="Arial" w:hAnsi="Arial" w:eastAsia="Arial" w:cs="Arial"/>
          <w:sz w:val="22"/>
          <w:lang w:val="es-ES" w:eastAsia="es-ES" w:bidi="es-ES"/>
        </w:rPr>
        <w:t xml:space="preserve"> posibilidad de contratar la conservación </w:t>
      </w:r>
      <w:r>
        <w:rPr>
          <w:rFonts w:ascii="Arial" w:hAnsi="Arial" w:eastAsia="Arial" w:cs="Arial"/>
          <w:sz w:val="22"/>
          <w:lang w:val="es-ES" w:eastAsia="es-ES" w:bidi="es-ES"/>
        </w:rPr>
        <w:t xml:space="preserve">catastral </w:t>
      </w:r>
      <w:r w:rsidR="003314EA">
        <w:rPr>
          <w:rFonts w:ascii="Arial" w:hAnsi="Arial" w:eastAsia="Arial" w:cs="Arial"/>
          <w:sz w:val="22"/>
          <w:lang w:val="es-ES" w:eastAsia="es-ES" w:bidi="es-ES"/>
        </w:rPr>
        <w:t xml:space="preserve">de manera aislada. </w:t>
      </w:r>
      <w:r>
        <w:rPr>
          <w:rFonts w:ascii="Arial" w:hAnsi="Arial" w:eastAsia="Arial" w:cs="Arial"/>
          <w:sz w:val="22"/>
          <w:lang w:val="es-ES" w:eastAsia="es-ES" w:bidi="es-ES"/>
        </w:rPr>
        <w:t>En este sentido,</w:t>
      </w:r>
      <w:r w:rsidR="002D4EED">
        <w:rPr>
          <w:rFonts w:ascii="Arial" w:hAnsi="Arial" w:eastAsia="Arial" w:cs="Arial"/>
          <w:sz w:val="22"/>
          <w:lang w:val="es-ES" w:eastAsia="es-ES" w:bidi="es-ES"/>
        </w:rPr>
        <w:t xml:space="preserve"> en el documento adjunto a esta petición se evidencia </w:t>
      </w:r>
      <w:r w:rsidR="00164B11">
        <w:rPr>
          <w:rFonts w:ascii="Arial" w:hAnsi="Arial" w:eastAsia="Arial" w:cs="Arial"/>
          <w:sz w:val="22"/>
          <w:lang w:val="es-ES" w:eastAsia="es-ES" w:bidi="es-ES"/>
        </w:rPr>
        <w:t xml:space="preserve">que esta entidad </w:t>
      </w:r>
      <w:r w:rsidR="0011450C">
        <w:rPr>
          <w:rFonts w:ascii="Arial" w:hAnsi="Arial" w:eastAsia="Arial" w:cs="Arial"/>
          <w:sz w:val="22"/>
          <w:lang w:val="es-ES" w:eastAsia="es-ES" w:bidi="es-ES"/>
        </w:rPr>
        <w:t xml:space="preserve">establece </w:t>
      </w:r>
      <w:r w:rsidR="00C40B9C">
        <w:rPr>
          <w:rFonts w:ascii="Arial" w:hAnsi="Arial" w:eastAsia="Arial" w:cs="Arial"/>
          <w:sz w:val="22"/>
          <w:lang w:val="es-ES" w:eastAsia="es-ES" w:bidi="es-ES"/>
        </w:rPr>
        <w:t xml:space="preserve">que </w:t>
      </w:r>
      <w:r w:rsidR="00164B11">
        <w:rPr>
          <w:rFonts w:ascii="Arial" w:hAnsi="Arial" w:eastAsia="Arial" w:cs="Arial"/>
          <w:sz w:val="22"/>
          <w:lang w:val="es-ES" w:eastAsia="es-ES" w:bidi="es-ES"/>
        </w:rPr>
        <w:t>de conformidad con la normatividad vigente es procedente la celebración de un contrato interadministrativo únicamente para</w:t>
      </w:r>
      <w:r w:rsidR="00DC3597">
        <w:rPr>
          <w:rFonts w:ascii="Arial" w:hAnsi="Arial" w:eastAsia="Arial" w:cs="Arial"/>
          <w:sz w:val="22"/>
          <w:lang w:val="es-ES" w:eastAsia="es-ES" w:bidi="es-ES"/>
        </w:rPr>
        <w:t xml:space="preserve"> la</w:t>
      </w:r>
      <w:r w:rsidR="00164B11">
        <w:rPr>
          <w:rFonts w:ascii="Arial" w:hAnsi="Arial" w:eastAsia="Arial" w:cs="Arial"/>
          <w:sz w:val="22"/>
          <w:lang w:val="es-ES" w:eastAsia="es-ES" w:bidi="es-ES"/>
        </w:rPr>
        <w:t xml:space="preserve"> conservación catastral</w:t>
      </w:r>
      <w:r w:rsidR="00164B11">
        <w:rPr>
          <w:rStyle w:val="Refdenotaalpie"/>
          <w:rFonts w:ascii="Arial" w:hAnsi="Arial" w:eastAsia="Arial" w:cs="Arial"/>
          <w:sz w:val="22"/>
          <w:lang w:val="es-ES" w:eastAsia="es-ES" w:bidi="es-ES"/>
        </w:rPr>
        <w:footnoteReference w:id="3"/>
      </w:r>
      <w:r w:rsidR="00164B11">
        <w:rPr>
          <w:rFonts w:ascii="Arial" w:hAnsi="Arial" w:eastAsia="Arial" w:cs="Arial"/>
          <w:sz w:val="22"/>
          <w:lang w:val="es-ES" w:eastAsia="es-ES" w:bidi="es-ES"/>
        </w:rPr>
        <w:t xml:space="preserve">. </w:t>
      </w:r>
    </w:p>
    <w:p w:rsidR="0011450C" w:rsidP="009C6EF8" w:rsidRDefault="000C7402" w14:paraId="63B1970C" w14:textId="55C6D03B">
      <w:pPr>
        <w:spacing w:line="276" w:lineRule="auto"/>
        <w:ind w:firstLine="703"/>
        <w:jc w:val="both"/>
        <w:rPr>
          <w:rFonts w:ascii="Arial" w:hAnsi="Arial" w:eastAsia="Arial" w:cs="Arial"/>
          <w:sz w:val="22"/>
          <w:lang w:val="es-ES" w:eastAsia="es-ES" w:bidi="es-ES"/>
        </w:rPr>
      </w:pPr>
      <w:r>
        <w:rPr>
          <w:rFonts w:ascii="Arial" w:hAnsi="Arial" w:eastAsia="Arial" w:cs="Arial"/>
          <w:sz w:val="22"/>
          <w:lang w:val="es-ES" w:eastAsia="es-ES" w:bidi="es-ES"/>
        </w:rPr>
        <w:t>En este sentido, atendiendo los lineamientos del Instituto Geográfico Agustín Codazzi</w:t>
      </w:r>
      <w:r w:rsidR="008A3142">
        <w:rPr>
          <w:rFonts w:ascii="Arial" w:hAnsi="Arial" w:eastAsia="Arial" w:cs="Arial"/>
          <w:sz w:val="22"/>
          <w:lang w:val="es-ES" w:eastAsia="es-ES" w:bidi="es-ES"/>
        </w:rPr>
        <w:t xml:space="preserve">, </w:t>
      </w:r>
      <w:r>
        <w:rPr>
          <w:rFonts w:ascii="Arial" w:hAnsi="Arial" w:eastAsia="Arial" w:cs="Arial"/>
          <w:sz w:val="22"/>
          <w:lang w:val="es-ES" w:eastAsia="es-ES" w:bidi="es-ES"/>
        </w:rPr>
        <w:t xml:space="preserve">sí es posible contratar de manera aislada la conservación catastral. </w:t>
      </w:r>
      <w:r w:rsidR="008A3142">
        <w:rPr>
          <w:rFonts w:ascii="Arial" w:hAnsi="Arial" w:eastAsia="Arial" w:cs="Arial"/>
          <w:sz w:val="22"/>
          <w:lang w:val="es-ES" w:eastAsia="es-ES" w:bidi="es-ES"/>
        </w:rPr>
        <w:t>Ahora bien, como se indicó previamente, e</w:t>
      </w:r>
      <w:r>
        <w:rPr>
          <w:rFonts w:ascii="Arial" w:hAnsi="Arial" w:eastAsia="Arial" w:cs="Arial"/>
          <w:sz w:val="22"/>
          <w:lang w:val="es-ES" w:eastAsia="es-ES" w:bidi="es-ES"/>
        </w:rPr>
        <w:t xml:space="preserve">n </w:t>
      </w:r>
      <w:r w:rsidR="00B83A18">
        <w:rPr>
          <w:rFonts w:ascii="Arial" w:hAnsi="Arial" w:eastAsia="Arial" w:cs="Arial"/>
          <w:sz w:val="22"/>
          <w:lang w:val="es-ES" w:eastAsia="es-ES" w:bidi="es-ES"/>
        </w:rPr>
        <w:t xml:space="preserve">los </w:t>
      </w:r>
      <w:r w:rsidR="008F40AC">
        <w:rPr>
          <w:rFonts w:ascii="Arial" w:hAnsi="Arial" w:eastAsia="Arial" w:cs="Arial"/>
          <w:sz w:val="22"/>
          <w:lang w:val="es-ES" w:eastAsia="es-ES" w:bidi="es-ES"/>
        </w:rPr>
        <w:t xml:space="preserve">casos </w:t>
      </w:r>
      <w:r w:rsidR="008A3142">
        <w:rPr>
          <w:rFonts w:ascii="Arial" w:hAnsi="Arial" w:eastAsia="Arial" w:cs="Arial"/>
          <w:sz w:val="22"/>
          <w:lang w:val="es-ES" w:eastAsia="es-ES" w:bidi="es-ES"/>
        </w:rPr>
        <w:t xml:space="preserve">en </w:t>
      </w:r>
      <w:r w:rsidR="00984475">
        <w:rPr>
          <w:rFonts w:ascii="Arial" w:hAnsi="Arial" w:eastAsia="Arial" w:cs="Arial"/>
          <w:sz w:val="22"/>
          <w:lang w:val="es-ES" w:eastAsia="es-ES" w:bidi="es-ES"/>
        </w:rPr>
        <w:t xml:space="preserve">que las entidades </w:t>
      </w:r>
      <w:r w:rsidR="00DC3597">
        <w:rPr>
          <w:rFonts w:ascii="Arial" w:hAnsi="Arial" w:eastAsia="Arial" w:cs="Arial"/>
          <w:sz w:val="22"/>
          <w:lang w:val="es-ES" w:eastAsia="es-ES" w:bidi="es-ES"/>
        </w:rPr>
        <w:t xml:space="preserve">territoriales </w:t>
      </w:r>
      <w:r w:rsidR="000E259A">
        <w:rPr>
          <w:rFonts w:ascii="Arial" w:hAnsi="Arial" w:eastAsia="Arial" w:cs="Arial"/>
          <w:sz w:val="22"/>
          <w:lang w:val="es-ES" w:eastAsia="es-ES" w:bidi="es-ES"/>
        </w:rPr>
        <w:t xml:space="preserve">lo </w:t>
      </w:r>
      <w:r w:rsidR="00984475">
        <w:rPr>
          <w:rFonts w:ascii="Arial" w:hAnsi="Arial" w:eastAsia="Arial" w:cs="Arial"/>
          <w:sz w:val="22"/>
          <w:lang w:val="es-ES" w:eastAsia="es-ES" w:bidi="es-ES"/>
        </w:rPr>
        <w:t xml:space="preserve">contraten aisladamente </w:t>
      </w:r>
      <w:r w:rsidR="006E447F">
        <w:rPr>
          <w:rFonts w:ascii="Arial" w:hAnsi="Arial" w:eastAsia="Arial" w:cs="Arial"/>
          <w:sz w:val="22"/>
          <w:lang w:val="es-ES" w:eastAsia="es-ES" w:bidi="es-ES"/>
        </w:rPr>
        <w:t xml:space="preserve">no </w:t>
      </w:r>
      <w:r w:rsidR="008A3142">
        <w:rPr>
          <w:rFonts w:ascii="Arial" w:hAnsi="Arial" w:eastAsia="Arial" w:cs="Arial"/>
          <w:sz w:val="22"/>
          <w:lang w:val="es-ES" w:eastAsia="es-ES" w:bidi="es-ES"/>
        </w:rPr>
        <w:t>deberán aplicar</w:t>
      </w:r>
      <w:r w:rsidR="000E259A">
        <w:rPr>
          <w:rFonts w:ascii="Arial" w:hAnsi="Arial" w:eastAsia="Arial" w:cs="Arial"/>
          <w:sz w:val="22"/>
          <w:lang w:val="es-ES" w:eastAsia="es-ES" w:bidi="es-ES"/>
        </w:rPr>
        <w:t xml:space="preserve"> </w:t>
      </w:r>
      <w:r w:rsidR="00DB223A">
        <w:rPr>
          <w:rFonts w:ascii="Arial" w:hAnsi="Arial" w:eastAsia="Arial" w:cs="Arial"/>
          <w:sz w:val="22"/>
          <w:lang w:val="es-ES" w:eastAsia="es-ES" w:bidi="es-ES"/>
        </w:rPr>
        <w:t>los documento</w:t>
      </w:r>
      <w:r w:rsidR="009C6EF8">
        <w:rPr>
          <w:rFonts w:ascii="Arial" w:hAnsi="Arial" w:eastAsia="Arial" w:cs="Arial"/>
          <w:sz w:val="22"/>
          <w:lang w:val="es-ES" w:eastAsia="es-ES" w:bidi="es-ES"/>
        </w:rPr>
        <w:t>s</w:t>
      </w:r>
      <w:r w:rsidR="00DB223A">
        <w:rPr>
          <w:rFonts w:ascii="Arial" w:hAnsi="Arial" w:eastAsia="Arial" w:cs="Arial"/>
          <w:sz w:val="22"/>
          <w:lang w:val="es-ES" w:eastAsia="es-ES" w:bidi="es-ES"/>
        </w:rPr>
        <w:t xml:space="preserve"> tipo para los procesos de gestión catastral </w:t>
      </w:r>
      <w:r w:rsidR="009C6EF8">
        <w:rPr>
          <w:rFonts w:ascii="Arial" w:hAnsi="Arial" w:eastAsia="Arial" w:cs="Arial"/>
          <w:sz w:val="22"/>
          <w:lang w:val="es-ES" w:eastAsia="es-ES" w:bidi="es-ES"/>
        </w:rPr>
        <w:t>con enfoque multipropósito</w:t>
      </w:r>
      <w:r w:rsidR="000E259A">
        <w:rPr>
          <w:rFonts w:ascii="Arial" w:hAnsi="Arial" w:eastAsia="Arial" w:cs="Arial"/>
          <w:sz w:val="22"/>
          <w:lang w:val="es-ES" w:eastAsia="es-ES" w:bidi="es-ES"/>
        </w:rPr>
        <w:t>, puesto que</w:t>
      </w:r>
      <w:r w:rsidR="00DC3597">
        <w:rPr>
          <w:rFonts w:ascii="Arial" w:hAnsi="Arial" w:eastAsia="Arial" w:cs="Arial"/>
          <w:sz w:val="22"/>
          <w:lang w:val="es-ES" w:eastAsia="es-ES" w:bidi="es-ES"/>
        </w:rPr>
        <w:t xml:space="preserve"> la minuta no aplica cuando se contrata </w:t>
      </w:r>
      <w:r w:rsidR="00DC3597">
        <w:rPr>
          <w:rFonts w:ascii="Arial" w:hAnsi="Arial" w:eastAsia="Arial" w:cs="Arial"/>
          <w:sz w:val="22"/>
          <w:lang w:val="es-ES" w:eastAsia="es-ES" w:bidi="es-ES"/>
        </w:rPr>
        <w:lastRenderedPageBreak/>
        <w:t xml:space="preserve">aisladamente </w:t>
      </w:r>
      <w:r w:rsidR="008A3142">
        <w:rPr>
          <w:rFonts w:ascii="Arial" w:hAnsi="Arial" w:eastAsia="Arial" w:cs="Arial"/>
          <w:sz w:val="22"/>
          <w:lang w:val="es-ES" w:eastAsia="es-ES" w:bidi="es-ES"/>
        </w:rPr>
        <w:t>la conservación catastral</w:t>
      </w:r>
      <w:r w:rsidR="00DC3597">
        <w:rPr>
          <w:rFonts w:ascii="Arial" w:hAnsi="Arial" w:eastAsia="Arial" w:cs="Arial"/>
          <w:sz w:val="22"/>
          <w:lang w:val="es-ES" w:eastAsia="es-ES" w:bidi="es-ES"/>
        </w:rPr>
        <w:t xml:space="preserve">. </w:t>
      </w:r>
      <w:r w:rsidR="008A3142">
        <w:rPr>
          <w:rFonts w:ascii="Arial" w:hAnsi="Arial" w:eastAsia="Arial" w:cs="Arial"/>
          <w:sz w:val="22"/>
          <w:lang w:val="es-ES" w:eastAsia="es-ES" w:bidi="es-ES"/>
        </w:rPr>
        <w:t>Lo anterior, sin perjuicio de que facultativamente se tomen ciertos contenidos de la minuta tipo, por considerarse buenas prácticas contractuales.</w:t>
      </w:r>
    </w:p>
    <w:p w:rsidR="00314A8B" w:rsidP="009C6EF8" w:rsidRDefault="00314A8B" w14:paraId="1168A4FE" w14:textId="77777777">
      <w:pPr>
        <w:spacing w:line="276" w:lineRule="auto"/>
        <w:jc w:val="both"/>
        <w:rPr>
          <w:rFonts w:ascii="Arial" w:hAnsi="Arial" w:eastAsia="Arial" w:cs="Arial"/>
          <w:sz w:val="22"/>
          <w:lang w:val="es-ES" w:eastAsia="es-ES" w:bidi="es-ES"/>
        </w:rPr>
      </w:pPr>
    </w:p>
    <w:p w:rsidR="009C6EF8" w:rsidP="009C6EF8" w:rsidRDefault="009C6EF8" w14:paraId="7F529ACA" w14:textId="6F58E931">
      <w:pPr>
        <w:pStyle w:val="Prrafodelista"/>
        <w:numPr>
          <w:ilvl w:val="0"/>
          <w:numId w:val="1"/>
        </w:numPr>
        <w:tabs>
          <w:tab w:val="left" w:pos="0"/>
        </w:tabs>
        <w:spacing w:line="276" w:lineRule="auto"/>
        <w:ind w:left="284" w:hanging="284"/>
        <w:jc w:val="both"/>
        <w:rPr>
          <w:rFonts w:ascii="Arial" w:hAnsi="Arial" w:cs="Arial"/>
          <w:b/>
          <w:bCs/>
          <w:sz w:val="22"/>
          <w:shd w:val="clear" w:color="auto" w:fill="FFFFFF"/>
        </w:rPr>
      </w:pPr>
      <w:r w:rsidRPr="009C6EF8">
        <w:rPr>
          <w:rFonts w:ascii="Arial" w:hAnsi="Arial" w:cs="Arial"/>
          <w:b/>
          <w:bCs/>
          <w:sz w:val="22"/>
          <w:shd w:val="clear" w:color="auto" w:fill="FFFFFF"/>
        </w:rPr>
        <w:t>Respuestas</w:t>
      </w:r>
    </w:p>
    <w:p w:rsidR="009C6EF8" w:rsidP="009C6EF8" w:rsidRDefault="009C6EF8" w14:paraId="40F6F07E" w14:textId="70B6ECA1">
      <w:pPr>
        <w:tabs>
          <w:tab w:val="left" w:pos="0"/>
        </w:tabs>
        <w:spacing w:line="276" w:lineRule="auto"/>
        <w:jc w:val="both"/>
        <w:rPr>
          <w:rFonts w:ascii="Arial" w:hAnsi="Arial" w:cs="Arial"/>
          <w:b/>
          <w:bCs/>
          <w:sz w:val="22"/>
          <w:shd w:val="clear" w:color="auto" w:fill="FFFFFF"/>
        </w:rPr>
      </w:pPr>
    </w:p>
    <w:p w:rsidR="009C6EF8" w:rsidP="00541F3C" w:rsidRDefault="00284D4D" w14:paraId="34A0D786" w14:textId="35F41CB2">
      <w:pPr>
        <w:pStyle w:val="Prrafodelista"/>
        <w:numPr>
          <w:ilvl w:val="0"/>
          <w:numId w:val="5"/>
        </w:numPr>
        <w:tabs>
          <w:tab w:val="left" w:pos="284"/>
          <w:tab w:val="left" w:pos="709"/>
          <w:tab w:val="left" w:pos="851"/>
        </w:tabs>
        <w:spacing w:line="276" w:lineRule="auto"/>
        <w:ind w:left="709" w:right="758" w:firstLine="0"/>
        <w:jc w:val="both"/>
        <w:rPr>
          <w:rFonts w:ascii="Arial" w:hAnsi="Arial" w:eastAsia="Arial" w:cs="Arial"/>
          <w:sz w:val="22"/>
          <w:lang w:val="es-ES" w:eastAsia="es-ES" w:bidi="es-ES"/>
        </w:rPr>
      </w:pPr>
      <w:r>
        <w:rPr>
          <w:rFonts w:ascii="Arial" w:hAnsi="Arial" w:eastAsia="Arial" w:cs="Arial"/>
          <w:sz w:val="22"/>
          <w:lang w:val="es-ES" w:eastAsia="es-ES" w:bidi="es-ES"/>
        </w:rPr>
        <w:t xml:space="preserve"> </w:t>
      </w:r>
      <w:r w:rsidR="00541F3C">
        <w:rPr>
          <w:rFonts w:ascii="Arial" w:hAnsi="Arial" w:eastAsia="Arial" w:cs="Arial"/>
          <w:sz w:val="22"/>
          <w:lang w:val="es-ES" w:eastAsia="es-ES" w:bidi="es-ES"/>
        </w:rPr>
        <w:t>¿D</w:t>
      </w:r>
      <w:r w:rsidRPr="00541F3C" w:rsidR="009C6EF8">
        <w:rPr>
          <w:rFonts w:ascii="Arial" w:hAnsi="Arial" w:eastAsia="Arial" w:cs="Arial"/>
          <w:sz w:val="22"/>
          <w:lang w:val="es-ES" w:eastAsia="es-ES" w:bidi="es-ES"/>
        </w:rPr>
        <w:t>icho contrato interadministrativo a suscribirse debe regirse por Pliego Tipo de Catastro multipropósito reglamentado por la ANCCE?</w:t>
      </w:r>
    </w:p>
    <w:p w:rsidR="00541F3C" w:rsidP="00541F3C" w:rsidRDefault="00541F3C" w14:paraId="57EC6440" w14:textId="22CECCCF">
      <w:pPr>
        <w:pStyle w:val="Prrafodelista"/>
        <w:tabs>
          <w:tab w:val="left" w:pos="0"/>
          <w:tab w:val="left" w:pos="284"/>
        </w:tabs>
        <w:spacing w:line="276" w:lineRule="auto"/>
        <w:ind w:left="0"/>
        <w:jc w:val="both"/>
        <w:rPr>
          <w:rFonts w:ascii="Arial" w:hAnsi="Arial" w:eastAsia="Arial" w:cs="Arial"/>
          <w:sz w:val="22"/>
          <w:lang w:val="es-ES" w:eastAsia="es-ES" w:bidi="es-ES"/>
        </w:rPr>
      </w:pPr>
    </w:p>
    <w:p w:rsidR="00DC3597" w:rsidP="00915EBC" w:rsidRDefault="000E259A" w14:paraId="38AF7A92" w14:textId="3224EE13">
      <w:pPr>
        <w:pStyle w:val="Prrafodelista"/>
        <w:tabs>
          <w:tab w:val="left" w:pos="0"/>
          <w:tab w:val="left" w:pos="284"/>
        </w:tabs>
        <w:spacing w:after="120" w:line="276" w:lineRule="auto"/>
        <w:ind w:left="0"/>
        <w:contextualSpacing w:val="0"/>
        <w:jc w:val="both"/>
        <w:rPr>
          <w:rFonts w:ascii="Arial" w:hAnsi="Arial" w:eastAsia="Arial" w:cs="Arial"/>
          <w:sz w:val="22"/>
          <w:lang w:val="es-ES" w:eastAsia="es-ES" w:bidi="es-ES"/>
        </w:rPr>
      </w:pPr>
      <w:r>
        <w:rPr>
          <w:rFonts w:ascii="Arial" w:hAnsi="Arial" w:eastAsia="Arial" w:cs="Arial"/>
          <w:sz w:val="22"/>
          <w:lang w:val="es-ES" w:eastAsia="es-ES" w:bidi="es-ES"/>
        </w:rPr>
        <w:t>De acuerdo con lo previsto en l</w:t>
      </w:r>
      <w:r w:rsidR="00394423">
        <w:rPr>
          <w:rFonts w:ascii="Arial" w:hAnsi="Arial" w:eastAsia="Arial" w:cs="Arial"/>
          <w:sz w:val="22"/>
          <w:lang w:val="es-ES" w:eastAsia="es-ES" w:bidi="es-ES"/>
        </w:rPr>
        <w:t>os documentos tipo para procesos de gestión catas</w:t>
      </w:r>
      <w:r w:rsidR="006A26C6">
        <w:rPr>
          <w:rFonts w:ascii="Arial" w:hAnsi="Arial" w:eastAsia="Arial" w:cs="Arial"/>
          <w:sz w:val="22"/>
          <w:lang w:val="es-ES" w:eastAsia="es-ES" w:bidi="es-ES"/>
        </w:rPr>
        <w:t>tral</w:t>
      </w:r>
      <w:r w:rsidR="00A8613E">
        <w:rPr>
          <w:rFonts w:ascii="Arial" w:hAnsi="Arial" w:eastAsia="Arial" w:cs="Arial"/>
          <w:sz w:val="22"/>
          <w:lang w:val="es-ES" w:eastAsia="es-ES" w:bidi="es-ES"/>
        </w:rPr>
        <w:t xml:space="preserve"> con enfoque multipropósito, la minuta tipo aplica</w:t>
      </w:r>
      <w:r w:rsidR="00DE6A0A">
        <w:rPr>
          <w:rFonts w:ascii="Arial" w:hAnsi="Arial" w:eastAsia="Arial" w:cs="Arial"/>
          <w:sz w:val="22"/>
          <w:lang w:val="es-ES" w:eastAsia="es-ES" w:bidi="es-ES"/>
        </w:rPr>
        <w:t xml:space="preserve"> cuando las entidades </w:t>
      </w:r>
      <w:r w:rsidR="004F6DBD">
        <w:rPr>
          <w:rFonts w:ascii="Arial" w:hAnsi="Arial" w:eastAsia="Arial" w:cs="Arial"/>
          <w:sz w:val="22"/>
          <w:lang w:val="es-ES" w:eastAsia="es-ES" w:bidi="es-ES"/>
        </w:rPr>
        <w:t xml:space="preserve">estatales celebren contratos cuyo objeto consista en la </w:t>
      </w:r>
      <w:r w:rsidR="00C84E05">
        <w:rPr>
          <w:rFonts w:ascii="Arial" w:hAnsi="Arial" w:eastAsia="Arial" w:cs="Arial"/>
          <w:sz w:val="22"/>
          <w:lang w:val="es-ES" w:eastAsia="es-ES" w:bidi="es-ES"/>
        </w:rPr>
        <w:t>formación o actualización</w:t>
      </w:r>
      <w:r w:rsidR="004F6DBD">
        <w:rPr>
          <w:rFonts w:ascii="Arial" w:hAnsi="Arial" w:eastAsia="Arial" w:cs="Arial"/>
          <w:sz w:val="22"/>
          <w:lang w:val="es-ES" w:eastAsia="es-ES" w:bidi="es-ES"/>
        </w:rPr>
        <w:t xml:space="preserve"> catastral, que lleva ínsita la</w:t>
      </w:r>
      <w:r w:rsidR="00C84E05">
        <w:rPr>
          <w:rFonts w:ascii="Arial" w:hAnsi="Arial" w:eastAsia="Arial" w:cs="Arial"/>
          <w:sz w:val="22"/>
          <w:lang w:val="es-ES" w:eastAsia="es-ES" w:bidi="es-ES"/>
        </w:rPr>
        <w:t xml:space="preserve"> </w:t>
      </w:r>
      <w:r w:rsidR="00AE18FA">
        <w:rPr>
          <w:rFonts w:ascii="Arial" w:hAnsi="Arial" w:eastAsia="Arial" w:cs="Arial"/>
          <w:sz w:val="22"/>
          <w:lang w:val="es-ES" w:eastAsia="es-ES" w:bidi="es-ES"/>
        </w:rPr>
        <w:t>conservación y difusión catastral</w:t>
      </w:r>
      <w:r w:rsidR="004F6DBD">
        <w:rPr>
          <w:rFonts w:ascii="Arial" w:hAnsi="Arial" w:eastAsia="Arial" w:cs="Arial"/>
          <w:sz w:val="22"/>
          <w:lang w:val="es-ES" w:eastAsia="es-ES" w:bidi="es-ES"/>
        </w:rPr>
        <w:t>, esto es, cuando se realiza la prestación integral del servicio.</w:t>
      </w:r>
    </w:p>
    <w:p w:rsidR="00541F3C" w:rsidP="00DC3597" w:rsidRDefault="004F6DBD" w14:paraId="7293E7B4" w14:textId="7D8236F8">
      <w:pPr>
        <w:pStyle w:val="Prrafodelista"/>
        <w:tabs>
          <w:tab w:val="left" w:pos="0"/>
          <w:tab w:val="left" w:pos="284"/>
        </w:tabs>
        <w:spacing w:before="120" w:after="120" w:line="276" w:lineRule="auto"/>
        <w:ind w:left="0"/>
        <w:jc w:val="both"/>
        <w:rPr>
          <w:rFonts w:ascii="Arial" w:hAnsi="Arial" w:eastAsia="Arial" w:cs="Arial"/>
          <w:sz w:val="22"/>
          <w:lang w:val="es-ES" w:eastAsia="es-ES" w:bidi="es-ES"/>
        </w:rPr>
      </w:pPr>
      <w:r>
        <w:rPr>
          <w:rFonts w:ascii="Arial" w:hAnsi="Arial" w:eastAsia="Arial" w:cs="Arial"/>
          <w:sz w:val="22"/>
          <w:lang w:val="es-ES" w:eastAsia="es-ES" w:bidi="es-ES"/>
        </w:rPr>
        <w:tab/>
      </w:r>
      <w:r>
        <w:rPr>
          <w:rFonts w:ascii="Arial" w:hAnsi="Arial" w:eastAsia="Arial" w:cs="Arial"/>
          <w:sz w:val="22"/>
          <w:lang w:val="es-ES" w:eastAsia="es-ES" w:bidi="es-ES"/>
        </w:rPr>
        <w:tab/>
      </w:r>
      <w:r w:rsidR="00AE18FA">
        <w:rPr>
          <w:rFonts w:ascii="Arial" w:hAnsi="Arial" w:eastAsia="Arial" w:cs="Arial"/>
          <w:sz w:val="22"/>
          <w:lang w:val="es-ES" w:eastAsia="es-ES" w:bidi="es-ES"/>
        </w:rPr>
        <w:t>En el evento que las entidades territoriales contraten aisladamente la conservación catastral</w:t>
      </w:r>
      <w:r>
        <w:rPr>
          <w:rFonts w:ascii="Arial" w:hAnsi="Arial" w:eastAsia="Arial" w:cs="Arial"/>
          <w:sz w:val="22"/>
          <w:lang w:val="es-ES" w:eastAsia="es-ES" w:bidi="es-ES"/>
        </w:rPr>
        <w:t>,</w:t>
      </w:r>
      <w:r w:rsidR="00AE18FA">
        <w:rPr>
          <w:rFonts w:ascii="Arial" w:hAnsi="Arial" w:eastAsia="Arial" w:cs="Arial"/>
          <w:sz w:val="22"/>
          <w:lang w:val="es-ES" w:eastAsia="es-ES" w:bidi="es-ES"/>
        </w:rPr>
        <w:t xml:space="preserve"> no </w:t>
      </w:r>
      <w:r>
        <w:rPr>
          <w:rFonts w:ascii="Arial" w:hAnsi="Arial" w:eastAsia="Arial" w:cs="Arial"/>
          <w:sz w:val="22"/>
          <w:lang w:val="es-ES" w:eastAsia="es-ES" w:bidi="es-ES"/>
        </w:rPr>
        <w:t xml:space="preserve">será obligatorio </w:t>
      </w:r>
      <w:r w:rsidR="00AE18FA">
        <w:rPr>
          <w:rFonts w:ascii="Arial" w:hAnsi="Arial" w:eastAsia="Arial" w:cs="Arial"/>
          <w:sz w:val="22"/>
          <w:lang w:val="es-ES" w:eastAsia="es-ES" w:bidi="es-ES"/>
        </w:rPr>
        <w:t xml:space="preserve">aplicar este documento tipo y, por tanto, quedará bajo su autonomía definir </w:t>
      </w:r>
      <w:r>
        <w:rPr>
          <w:rFonts w:ascii="Arial" w:hAnsi="Arial" w:eastAsia="Arial" w:cs="Arial"/>
          <w:sz w:val="22"/>
          <w:lang w:val="es-ES" w:eastAsia="es-ES" w:bidi="es-ES"/>
        </w:rPr>
        <w:t>el contenido de su</w:t>
      </w:r>
      <w:r w:rsidR="00C26157">
        <w:rPr>
          <w:rFonts w:ascii="Arial" w:hAnsi="Arial" w:eastAsia="Arial" w:cs="Arial"/>
          <w:sz w:val="22"/>
          <w:lang w:val="es-ES" w:eastAsia="es-ES" w:bidi="es-ES"/>
        </w:rPr>
        <w:t>s</w:t>
      </w:r>
      <w:r>
        <w:rPr>
          <w:rFonts w:ascii="Arial" w:hAnsi="Arial" w:eastAsia="Arial" w:cs="Arial"/>
          <w:sz w:val="22"/>
          <w:lang w:val="es-ES" w:eastAsia="es-ES" w:bidi="es-ES"/>
        </w:rPr>
        <w:t xml:space="preserve"> contrato</w:t>
      </w:r>
      <w:r w:rsidR="00C26157">
        <w:rPr>
          <w:rFonts w:ascii="Arial" w:hAnsi="Arial" w:eastAsia="Arial" w:cs="Arial"/>
          <w:sz w:val="22"/>
          <w:lang w:val="es-ES" w:eastAsia="es-ES" w:bidi="es-ES"/>
        </w:rPr>
        <w:t>s</w:t>
      </w:r>
      <w:r>
        <w:rPr>
          <w:rFonts w:ascii="Arial" w:hAnsi="Arial" w:eastAsia="Arial" w:cs="Arial"/>
          <w:sz w:val="22"/>
          <w:lang w:val="es-ES" w:eastAsia="es-ES" w:bidi="es-ES"/>
        </w:rPr>
        <w:t>. Lo anterior, sin perjuicio de que facultativamente decidan adoptar algunos contenidos de la minuta tipo, por considerarlos una buena práctica contractual; pero aclarando que en tales casos no sería obligatoria la minuta tipo, por exceder su ámbito de aplicación, tal como se detalló en las consideraciones.</w:t>
      </w:r>
    </w:p>
    <w:p w:rsidR="00D333E8" w:rsidP="00DC3597" w:rsidRDefault="00D333E8" w14:paraId="162234C5" w14:textId="394F1AC2">
      <w:pPr>
        <w:pStyle w:val="Prrafodelista"/>
        <w:tabs>
          <w:tab w:val="left" w:pos="0"/>
          <w:tab w:val="left" w:pos="284"/>
        </w:tabs>
        <w:spacing w:before="120" w:after="120" w:line="276" w:lineRule="auto"/>
        <w:ind w:left="0"/>
        <w:jc w:val="both"/>
        <w:rPr>
          <w:rFonts w:ascii="Arial" w:hAnsi="Arial" w:eastAsia="Arial" w:cs="Arial"/>
          <w:sz w:val="22"/>
          <w:lang w:val="es-ES" w:eastAsia="es-ES" w:bidi="es-ES"/>
        </w:rPr>
      </w:pPr>
    </w:p>
    <w:p w:rsidRPr="00F53A20" w:rsidR="00F53A20" w:rsidP="00F53A20" w:rsidRDefault="00F53A20" w14:paraId="59A98B10" w14:textId="21CD9C1D">
      <w:pPr>
        <w:tabs>
          <w:tab w:val="left" w:pos="0"/>
          <w:tab w:val="left" w:pos="284"/>
        </w:tabs>
        <w:jc w:val="both"/>
        <w:rPr>
          <w:rFonts w:ascii="Arial" w:hAnsi="Arial" w:eastAsia="Arial" w:cs="Arial"/>
          <w:sz w:val="22"/>
          <w:lang w:eastAsia="es-ES" w:bidi="es-ES"/>
        </w:rPr>
      </w:pPr>
      <w:r w:rsidRPr="00F53A20">
        <w:rPr>
          <w:rFonts w:ascii="Arial" w:hAnsi="Arial" w:eastAsia="Arial" w:cs="Arial"/>
          <w:sz w:val="22"/>
          <w:lang w:eastAsia="es-ES" w:bidi="es-ES"/>
        </w:rPr>
        <w:t>Este concepto tiene el alcance previsto en el artículo 28 del Código de Procedimiento Administrativo y de lo Contencioso Administrativo.</w:t>
      </w:r>
    </w:p>
    <w:p w:rsidR="00D333E8" w:rsidP="00541F3C" w:rsidRDefault="00D333E8" w14:paraId="2AC2549D" w14:textId="416675EB">
      <w:pPr>
        <w:pStyle w:val="Prrafodelista"/>
        <w:tabs>
          <w:tab w:val="left" w:pos="0"/>
          <w:tab w:val="left" w:pos="284"/>
        </w:tabs>
        <w:spacing w:line="276" w:lineRule="auto"/>
        <w:ind w:left="0"/>
        <w:jc w:val="both"/>
        <w:rPr>
          <w:rFonts w:ascii="Arial" w:hAnsi="Arial" w:eastAsia="Arial" w:cs="Arial"/>
          <w:sz w:val="22"/>
          <w:lang w:eastAsia="es-ES" w:bidi="es-ES"/>
        </w:rPr>
      </w:pPr>
    </w:p>
    <w:p w:rsidR="00C558CF" w:rsidP="00541F3C" w:rsidRDefault="00C558CF" w14:paraId="12C6907D" w14:textId="66A1D643">
      <w:pPr>
        <w:pStyle w:val="Prrafodelista"/>
        <w:tabs>
          <w:tab w:val="left" w:pos="0"/>
          <w:tab w:val="left" w:pos="284"/>
        </w:tabs>
        <w:spacing w:line="276" w:lineRule="auto"/>
        <w:ind w:left="0"/>
        <w:jc w:val="both"/>
        <w:rPr>
          <w:rFonts w:ascii="Arial" w:hAnsi="Arial" w:eastAsia="Arial" w:cs="Arial"/>
          <w:sz w:val="22"/>
          <w:lang w:eastAsia="es-ES" w:bidi="es-ES"/>
        </w:rPr>
      </w:pPr>
    </w:p>
    <w:p w:rsidRPr="00AC2EB0" w:rsidR="003C1968" w:rsidP="00C558CF" w:rsidRDefault="00C558CF" w14:paraId="262B710B" w14:textId="3652A5A0">
      <w:pPr>
        <w:spacing w:line="276" w:lineRule="auto"/>
        <w:rPr>
          <w:rFonts w:ascii="Arial" w:hAnsi="Arial" w:eastAsia="Times New Roman" w:cs="Arial"/>
          <w:sz w:val="22"/>
          <w:lang w:eastAsia="es-CO"/>
        </w:rPr>
      </w:pPr>
      <w:r w:rsidRPr="00AC2EB0">
        <w:rPr>
          <w:rFonts w:ascii="Arial" w:hAnsi="Arial" w:eastAsia="Times New Roman" w:cs="Arial"/>
          <w:sz w:val="22"/>
          <w:lang w:eastAsia="es-CO"/>
        </w:rPr>
        <w:t>Atentamente,</w:t>
      </w:r>
    </w:p>
    <w:p w:rsidR="00C558CF" w:rsidP="003C1968" w:rsidRDefault="001070C1" w14:paraId="69A5B3C9" w14:textId="3F8F2EEF">
      <w:pPr>
        <w:pStyle w:val="Prrafodelista"/>
        <w:tabs>
          <w:tab w:val="left" w:pos="0"/>
          <w:tab w:val="left" w:pos="284"/>
        </w:tabs>
        <w:spacing w:line="276" w:lineRule="auto"/>
        <w:ind w:left="0"/>
        <w:jc w:val="center"/>
        <w:rPr>
          <w:rFonts w:ascii="Arial" w:hAnsi="Arial" w:eastAsia="Arial" w:cs="Arial"/>
          <w:sz w:val="22"/>
          <w:lang w:eastAsia="es-ES" w:bidi="es-ES"/>
        </w:rPr>
      </w:pPr>
      <w:r>
        <w:rPr>
          <w:noProof/>
        </w:rPr>
        <w:drawing>
          <wp:inline distT="0" distB="0" distL="0" distR="0" wp14:anchorId="34F0F812" wp14:editId="1B699A91">
            <wp:extent cx="2514600" cy="1114425"/>
            <wp:effectExtent l="0" t="0" r="0" b="0"/>
            <wp:docPr id="1469252213" name="Imagen 146925221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52213" name="Imagen 1469252213"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rsidR="00D920B1" w:rsidP="003C1968" w:rsidRDefault="00D920B1" w14:paraId="4A5C74E9" w14:textId="57FDED47">
      <w:pPr>
        <w:pStyle w:val="Prrafodelista"/>
        <w:tabs>
          <w:tab w:val="left" w:pos="0"/>
          <w:tab w:val="left" w:pos="284"/>
        </w:tabs>
        <w:spacing w:line="276" w:lineRule="auto"/>
        <w:ind w:left="0"/>
        <w:jc w:val="center"/>
        <w:rPr>
          <w:rFonts w:ascii="Arial" w:hAnsi="Arial" w:eastAsia="Arial" w:cs="Arial"/>
          <w:sz w:val="22"/>
          <w:lang w:eastAsia="es-ES" w:bidi="es-ES"/>
        </w:rPr>
      </w:pPr>
    </w:p>
    <w:p w:rsidRPr="00912E28" w:rsidR="00D920B1" w:rsidP="00D920B1" w:rsidRDefault="00D920B1" w14:paraId="52F21B3C" w14:textId="77777777">
      <w:pPr>
        <w:rPr>
          <w:rFonts w:ascii="Arial" w:hAnsi="Arial" w:eastAsia="Times New Roman" w:cs="Arial"/>
          <w:color w:val="4E4D4D"/>
          <w:sz w:val="16"/>
          <w:szCs w:val="16"/>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21"/>
        <w:gridCol w:w="4575"/>
      </w:tblGrid>
      <w:tr w:rsidRPr="005F7734" w:rsidR="00D920B1" w:rsidTr="00DC5792" w14:paraId="6E1F863D" w14:textId="77777777">
        <w:trPr>
          <w:trHeight w:val="315"/>
        </w:trPr>
        <w:tc>
          <w:tcPr>
            <w:tcW w:w="821" w:type="dxa"/>
            <w:vAlign w:val="center"/>
            <w:hideMark/>
          </w:tcPr>
          <w:p w:rsidRPr="005F7734" w:rsidR="00D920B1" w:rsidP="00786DCD" w:rsidRDefault="00D920B1" w14:paraId="2D0BB300" w14:textId="77777777">
            <w:pPr>
              <w:rPr>
                <w:rFonts w:ascii="Arial" w:hAnsi="Arial" w:eastAsia="Times New Roman" w:cs="Arial"/>
                <w:sz w:val="14"/>
                <w:szCs w:val="14"/>
                <w:lang w:eastAsia="es-ES"/>
              </w:rPr>
            </w:pPr>
            <w:r w:rsidRPr="005F7734">
              <w:rPr>
                <w:rFonts w:ascii="Arial" w:hAnsi="Arial" w:eastAsia="Times New Roman" w:cs="Arial"/>
                <w:sz w:val="14"/>
                <w:szCs w:val="14"/>
                <w:lang w:eastAsia="es-ES"/>
              </w:rPr>
              <w:t>Elaboró:</w:t>
            </w:r>
          </w:p>
        </w:tc>
        <w:tc>
          <w:tcPr>
            <w:tcW w:w="4575" w:type="dxa"/>
            <w:tcBorders>
              <w:top w:val="nil"/>
              <w:left w:val="nil"/>
              <w:bottom w:val="dotted" w:color="7F7F7F" w:themeColor="text1" w:themeTint="80" w:sz="4" w:space="0"/>
              <w:right w:val="nil"/>
            </w:tcBorders>
            <w:vAlign w:val="center"/>
            <w:hideMark/>
          </w:tcPr>
          <w:p w:rsidRPr="005F7734" w:rsidR="00D920B1" w:rsidP="00D920B1" w:rsidRDefault="00D920B1" w14:paraId="6B41DA80" w14:textId="77777777">
            <w:pPr>
              <w:rPr>
                <w:rFonts w:ascii="Arial" w:hAnsi="Arial" w:eastAsia="Times New Roman" w:cs="Arial"/>
                <w:sz w:val="14"/>
                <w:szCs w:val="14"/>
                <w:lang w:eastAsia="es-ES"/>
              </w:rPr>
            </w:pPr>
            <w:r w:rsidRPr="005F7734">
              <w:rPr>
                <w:rFonts w:ascii="Arial" w:hAnsi="Arial" w:eastAsia="Times New Roman" w:cs="Arial"/>
                <w:sz w:val="14"/>
                <w:szCs w:val="14"/>
                <w:lang w:eastAsia="es-ES"/>
              </w:rPr>
              <w:t>Sara Milena Núñez Aldana</w:t>
            </w:r>
          </w:p>
          <w:p w:rsidRPr="005F7734" w:rsidR="00D920B1" w:rsidP="00D920B1" w:rsidRDefault="00D920B1" w14:paraId="63FFF9D0" w14:textId="586851B7">
            <w:pPr>
              <w:rPr>
                <w:rFonts w:ascii="Arial" w:hAnsi="Arial" w:eastAsia="Times New Roman" w:cs="Arial"/>
                <w:sz w:val="14"/>
                <w:szCs w:val="14"/>
                <w:lang w:eastAsia="es-ES"/>
              </w:rPr>
            </w:pPr>
            <w:r w:rsidRPr="005F7734">
              <w:rPr>
                <w:rFonts w:ascii="Arial" w:hAnsi="Arial" w:eastAsia="Times New Roman" w:cs="Arial"/>
                <w:sz w:val="14"/>
                <w:szCs w:val="14"/>
                <w:lang w:eastAsia="es-ES"/>
              </w:rPr>
              <w:t>Gestor T1 – Grado 15 Subdirección de Gestión Contractual</w:t>
            </w:r>
          </w:p>
        </w:tc>
      </w:tr>
      <w:tr w:rsidRPr="005F7734" w:rsidR="00D920B1" w:rsidTr="00DC5792" w14:paraId="71EB9A3C" w14:textId="77777777">
        <w:trPr>
          <w:trHeight w:val="330"/>
        </w:trPr>
        <w:tc>
          <w:tcPr>
            <w:tcW w:w="821" w:type="dxa"/>
            <w:vAlign w:val="center"/>
            <w:hideMark/>
          </w:tcPr>
          <w:p w:rsidRPr="005F7734" w:rsidR="00D920B1" w:rsidP="00786DCD" w:rsidRDefault="00D920B1" w14:paraId="4A6DBEA8" w14:textId="77777777">
            <w:pPr>
              <w:rPr>
                <w:rFonts w:ascii="Arial" w:hAnsi="Arial" w:eastAsia="Times New Roman" w:cs="Arial"/>
                <w:sz w:val="14"/>
                <w:szCs w:val="14"/>
                <w:lang w:eastAsia="es-ES"/>
              </w:rPr>
            </w:pPr>
            <w:r w:rsidRPr="005F7734">
              <w:rPr>
                <w:rFonts w:ascii="Arial" w:hAnsi="Arial" w:eastAsia="Times New Roman" w:cs="Arial"/>
                <w:sz w:val="14"/>
                <w:szCs w:val="14"/>
                <w:lang w:eastAsia="es-ES"/>
              </w:rPr>
              <w:t>Revisó:</w:t>
            </w:r>
          </w:p>
        </w:tc>
        <w:tc>
          <w:tcPr>
            <w:tcW w:w="4575" w:type="dxa"/>
            <w:tcBorders>
              <w:top w:val="dotted" w:color="7F7F7F" w:themeColor="text1" w:themeTint="80" w:sz="4" w:space="0"/>
              <w:left w:val="nil"/>
              <w:bottom w:val="dotted" w:color="7F7F7F" w:themeColor="text1" w:themeTint="80" w:sz="4" w:space="0"/>
              <w:right w:val="nil"/>
            </w:tcBorders>
            <w:vAlign w:val="center"/>
            <w:hideMark/>
          </w:tcPr>
          <w:p w:rsidRPr="005F7734" w:rsidR="00D920B1" w:rsidP="00786DCD" w:rsidRDefault="00DC5792" w14:paraId="6F380D78" w14:textId="0783B9B0">
            <w:pPr>
              <w:rPr>
                <w:rFonts w:ascii="Arial" w:hAnsi="Arial" w:eastAsia="Times New Roman" w:cs="Arial"/>
                <w:sz w:val="14"/>
                <w:szCs w:val="14"/>
                <w:lang w:eastAsia="es-ES"/>
              </w:rPr>
            </w:pPr>
            <w:r w:rsidRPr="005F7734">
              <w:rPr>
                <w:rFonts w:ascii="Arial" w:hAnsi="Arial" w:eastAsia="Times New Roman" w:cs="Arial"/>
                <w:sz w:val="14"/>
                <w:szCs w:val="14"/>
                <w:lang w:eastAsia="es-ES"/>
              </w:rPr>
              <w:t>Sebastián Ram</w:t>
            </w:r>
            <w:r w:rsidR="00B83A18">
              <w:rPr>
                <w:rFonts w:ascii="Arial" w:hAnsi="Arial" w:eastAsia="Times New Roman" w:cs="Arial"/>
                <w:sz w:val="14"/>
                <w:szCs w:val="14"/>
                <w:lang w:eastAsia="es-ES"/>
              </w:rPr>
              <w:t>í</w:t>
            </w:r>
            <w:r w:rsidRPr="005F7734">
              <w:rPr>
                <w:rFonts w:ascii="Arial" w:hAnsi="Arial" w:eastAsia="Times New Roman" w:cs="Arial"/>
                <w:sz w:val="14"/>
                <w:szCs w:val="14"/>
                <w:lang w:eastAsia="es-ES"/>
              </w:rPr>
              <w:t xml:space="preserve">rez Grisales </w:t>
            </w:r>
          </w:p>
          <w:p w:rsidRPr="005F7734" w:rsidR="00D920B1" w:rsidP="00786DCD" w:rsidRDefault="00D920B1" w14:paraId="546997A6" w14:textId="77777777">
            <w:pPr>
              <w:rPr>
                <w:rFonts w:ascii="Arial" w:hAnsi="Arial" w:eastAsia="Times New Roman" w:cs="Arial"/>
                <w:sz w:val="14"/>
                <w:szCs w:val="14"/>
                <w:lang w:eastAsia="es-ES"/>
              </w:rPr>
            </w:pPr>
            <w:r w:rsidRPr="005F7734">
              <w:rPr>
                <w:rFonts w:ascii="Arial" w:hAnsi="Arial" w:eastAsia="Times New Roman" w:cs="Arial"/>
                <w:sz w:val="14"/>
                <w:szCs w:val="14"/>
                <w:lang w:eastAsia="es-ES"/>
              </w:rPr>
              <w:t>Gestor T1 – Grado 15 Subdirección de Gestión Contractual</w:t>
            </w:r>
          </w:p>
        </w:tc>
      </w:tr>
      <w:tr w:rsidRPr="005F7734" w:rsidR="00D920B1" w:rsidTr="00DC5792" w14:paraId="3913DDB9" w14:textId="77777777">
        <w:trPr>
          <w:trHeight w:val="330"/>
        </w:trPr>
        <w:tc>
          <w:tcPr>
            <w:tcW w:w="821" w:type="dxa"/>
            <w:vAlign w:val="center"/>
          </w:tcPr>
          <w:p w:rsidRPr="005F7734" w:rsidR="00D920B1" w:rsidP="00786DCD" w:rsidRDefault="00D920B1" w14:paraId="7688F551" w14:textId="77777777">
            <w:pPr>
              <w:rPr>
                <w:rFonts w:ascii="Arial" w:hAnsi="Arial" w:eastAsia="Times New Roman" w:cs="Arial"/>
                <w:sz w:val="14"/>
                <w:szCs w:val="14"/>
                <w:lang w:eastAsia="es-ES"/>
              </w:rPr>
            </w:pPr>
            <w:r w:rsidRPr="005F7734">
              <w:rPr>
                <w:rFonts w:ascii="Arial" w:hAnsi="Arial" w:eastAsia="Times New Roman" w:cs="Arial"/>
                <w:sz w:val="14"/>
                <w:szCs w:val="14"/>
                <w:lang w:eastAsia="es-CO"/>
              </w:rPr>
              <w:t>Aprobó: </w:t>
            </w:r>
          </w:p>
        </w:tc>
        <w:tc>
          <w:tcPr>
            <w:tcW w:w="4575" w:type="dxa"/>
            <w:tcBorders>
              <w:top w:val="dotted" w:color="7F7F7F" w:themeColor="text1" w:themeTint="80" w:sz="4" w:space="0"/>
              <w:left w:val="nil"/>
              <w:bottom w:val="dotted" w:color="7F7F7F" w:themeColor="text1" w:themeTint="80" w:sz="4" w:space="0"/>
              <w:right w:val="nil"/>
            </w:tcBorders>
            <w:vAlign w:val="center"/>
          </w:tcPr>
          <w:p w:rsidRPr="005F7734" w:rsidR="00D920B1" w:rsidP="00786DCD" w:rsidRDefault="00DC5792" w14:paraId="7F3818A3" w14:textId="1C8729A5">
            <w:pPr>
              <w:rPr>
                <w:rFonts w:ascii="Arial" w:hAnsi="Arial" w:eastAsia="Times New Roman" w:cs="Arial"/>
                <w:sz w:val="14"/>
                <w:szCs w:val="14"/>
                <w:lang w:eastAsia="es-ES"/>
              </w:rPr>
            </w:pPr>
            <w:r w:rsidRPr="005F7734">
              <w:rPr>
                <w:rFonts w:ascii="Arial" w:hAnsi="Arial" w:eastAsia="Times New Roman" w:cs="Arial"/>
                <w:sz w:val="14"/>
                <w:szCs w:val="14"/>
                <w:lang w:eastAsia="es-ES"/>
              </w:rPr>
              <w:t>Jorge Augusto Tirado Navarro</w:t>
            </w:r>
          </w:p>
          <w:p w:rsidRPr="005F7734" w:rsidR="00D920B1" w:rsidP="00786DCD" w:rsidRDefault="00D920B1" w14:paraId="26161AEE" w14:textId="743E43DD">
            <w:pPr>
              <w:rPr>
                <w:rFonts w:ascii="Arial" w:hAnsi="Arial" w:eastAsia="Times New Roman" w:cs="Arial"/>
                <w:sz w:val="14"/>
                <w:szCs w:val="14"/>
                <w:lang w:eastAsia="es-ES"/>
              </w:rPr>
            </w:pPr>
            <w:r w:rsidRPr="005F7734">
              <w:rPr>
                <w:rFonts w:ascii="Arial" w:hAnsi="Arial" w:eastAsia="Times New Roman" w:cs="Arial"/>
                <w:sz w:val="14"/>
                <w:szCs w:val="14"/>
                <w:lang w:eastAsia="es-ES"/>
              </w:rPr>
              <w:t>Subdirec</w:t>
            </w:r>
            <w:r w:rsidR="00B83A18">
              <w:rPr>
                <w:rFonts w:ascii="Arial" w:hAnsi="Arial" w:eastAsia="Times New Roman" w:cs="Arial"/>
                <w:sz w:val="14"/>
                <w:szCs w:val="14"/>
                <w:lang w:eastAsia="es-ES"/>
              </w:rPr>
              <w:t>tor</w:t>
            </w:r>
            <w:r w:rsidRPr="005F7734">
              <w:rPr>
                <w:rFonts w:ascii="Arial" w:hAnsi="Arial" w:eastAsia="Times New Roman" w:cs="Arial"/>
                <w:sz w:val="14"/>
                <w:szCs w:val="14"/>
                <w:lang w:eastAsia="es-ES"/>
              </w:rPr>
              <w:t xml:space="preserve"> de Gestión Contractual</w:t>
            </w:r>
            <w:r w:rsidR="00780ECB">
              <w:rPr>
                <w:rFonts w:ascii="Arial" w:hAnsi="Arial" w:eastAsia="Times New Roman" w:cs="Arial"/>
                <w:sz w:val="14"/>
                <w:szCs w:val="14"/>
                <w:lang w:eastAsia="es-ES"/>
              </w:rPr>
              <w:t xml:space="preserve"> ANCP – CC</w:t>
            </w:r>
          </w:p>
        </w:tc>
      </w:tr>
    </w:tbl>
    <w:p w:rsidRPr="00F53A20" w:rsidR="00D920B1" w:rsidP="005F7734" w:rsidRDefault="00D920B1" w14:paraId="4384A671" w14:textId="77777777">
      <w:pPr>
        <w:pStyle w:val="Prrafodelista"/>
        <w:tabs>
          <w:tab w:val="left" w:pos="0"/>
          <w:tab w:val="left" w:pos="284"/>
        </w:tabs>
        <w:spacing w:line="276" w:lineRule="auto"/>
        <w:ind w:left="0"/>
        <w:rPr>
          <w:rFonts w:ascii="Arial" w:hAnsi="Arial" w:eastAsia="Arial" w:cs="Arial"/>
          <w:sz w:val="22"/>
          <w:lang w:eastAsia="es-ES" w:bidi="es-ES"/>
        </w:rPr>
      </w:pPr>
    </w:p>
    <w:sectPr w:rsidRPr="00F53A20" w:rsidR="00D920B1">
      <w:headerReference w:type="default" r:id="rId13"/>
      <w:footerReference w:type="default" r:id="rId14"/>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5E91" w:rsidP="00A96512" w:rsidRDefault="00EE5E91" w14:paraId="0299154F" w14:textId="77777777">
      <w:r>
        <w:separator/>
      </w:r>
    </w:p>
  </w:endnote>
  <w:endnote w:type="continuationSeparator" w:id="0">
    <w:p w:rsidR="00EE5E91" w:rsidP="00A96512" w:rsidRDefault="00EE5E91" w14:paraId="4EED54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14A8B" w:rsidP="00314A8B" w:rsidRDefault="00C47B71" w14:paraId="43B7BDDE" w14:textId="77777777">
    <w:pPr>
      <w:pStyle w:val="Piedepgina"/>
      <w:jc w:val="center"/>
      <w:rPr>
        <w:rFonts w:ascii="Arial" w:hAnsi="Arial" w:cs="Arial"/>
        <w:bCs/>
        <w:color w:val="7F7F7F" w:themeColor="text1" w:themeTint="80"/>
        <w:sz w:val="16"/>
        <w:szCs w:val="16"/>
      </w:rPr>
    </w:pPr>
    <w:r>
      <w:rPr>
        <w:noProof/>
      </w:rPr>
      <w:drawing>
        <wp:inline distT="0" distB="0" distL="0" distR="0" wp14:anchorId="28C4405F" wp14:editId="0BE65528">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Pr="008217B7" w:rsidR="00314A8B" w:rsidP="00314A8B" w:rsidRDefault="00314A8B" w14:paraId="7AFBCE9A"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14</w:t>
    </w:r>
    <w:r w:rsidRPr="00084B97">
      <w:rPr>
        <w:rFonts w:ascii="Arial" w:hAnsi="Arial" w:cs="Arial"/>
        <w:b/>
        <w:bCs/>
        <w:color w:val="7F7F7F" w:themeColor="text1" w:themeTint="80"/>
        <w:sz w:val="16"/>
        <w:szCs w:val="16"/>
      </w:rPr>
      <w:fldChar w:fldCharType="end"/>
    </w:r>
  </w:p>
  <w:p w:rsidR="00A96512" w:rsidRDefault="00A96512" w14:paraId="3DDBC82A" w14:textId="2931EB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5E91" w:rsidP="00A96512" w:rsidRDefault="00EE5E91" w14:paraId="254A75CA" w14:textId="77777777">
      <w:r>
        <w:separator/>
      </w:r>
    </w:p>
  </w:footnote>
  <w:footnote w:type="continuationSeparator" w:id="0">
    <w:p w:rsidR="00EE5E91" w:rsidP="00A96512" w:rsidRDefault="00EE5E91" w14:paraId="6A560635" w14:textId="77777777">
      <w:r>
        <w:continuationSeparator/>
      </w:r>
    </w:p>
  </w:footnote>
  <w:footnote w:id="1">
    <w:p w:rsidRPr="00BB515E" w:rsidR="00532576" w:rsidP="00BB515E" w:rsidRDefault="004C656F" w14:paraId="2F148646" w14:textId="17A6FC60">
      <w:pPr>
        <w:pStyle w:val="NormalWeb"/>
        <w:shd w:val="clear" w:color="auto" w:fill="FFFFFF"/>
        <w:spacing w:before="0" w:beforeAutospacing="0"/>
        <w:ind w:firstLine="708"/>
        <w:jc w:val="both"/>
        <w:rPr>
          <w:rFonts w:ascii="Arial" w:hAnsi="Arial" w:cs="Arial"/>
          <w:color w:val="333333"/>
          <w:sz w:val="19"/>
          <w:szCs w:val="19"/>
        </w:rPr>
      </w:pPr>
      <w:r w:rsidRPr="00BB515E">
        <w:rPr>
          <w:rStyle w:val="Refdenotaalpie"/>
          <w:rFonts w:ascii="Arial" w:hAnsi="Arial" w:cs="Arial"/>
          <w:sz w:val="16"/>
          <w:szCs w:val="16"/>
        </w:rPr>
        <w:footnoteRef/>
      </w:r>
      <w:r w:rsidRPr="00BB515E">
        <w:rPr>
          <w:rFonts w:ascii="Arial" w:hAnsi="Arial" w:cs="Arial"/>
        </w:rPr>
        <w:t xml:space="preserve"> </w:t>
      </w:r>
      <w:r w:rsidRPr="00BB515E">
        <w:rPr>
          <w:rFonts w:ascii="Arial" w:hAnsi="Arial" w:cs="Arial"/>
          <w:sz w:val="19"/>
          <w:szCs w:val="19"/>
        </w:rPr>
        <w:t>Decreto 1983 de 2019</w:t>
      </w:r>
      <w:r w:rsidRPr="00BB515E" w:rsidR="00532576">
        <w:rPr>
          <w:rFonts w:ascii="Arial" w:hAnsi="Arial" w:cs="Arial"/>
          <w:sz w:val="19"/>
          <w:szCs w:val="19"/>
        </w:rPr>
        <w:t xml:space="preserve">. </w:t>
      </w:r>
      <w:r w:rsidR="001322B1">
        <w:rPr>
          <w:rFonts w:ascii="Arial" w:hAnsi="Arial" w:cs="Arial"/>
          <w:sz w:val="19"/>
          <w:szCs w:val="19"/>
        </w:rPr>
        <w:t>«</w:t>
      </w:r>
      <w:r w:rsidRPr="006E1668" w:rsidR="00532576">
        <w:rPr>
          <w:rFonts w:ascii="Arial" w:hAnsi="Arial" w:cs="Arial"/>
          <w:sz w:val="19"/>
          <w:szCs w:val="19"/>
        </w:rPr>
        <w:t>A</w:t>
      </w:r>
      <w:r w:rsidR="006E1668">
        <w:rPr>
          <w:rFonts w:ascii="Arial" w:hAnsi="Arial" w:cs="Arial"/>
          <w:sz w:val="19"/>
          <w:szCs w:val="19"/>
        </w:rPr>
        <w:t>rtículo</w:t>
      </w:r>
      <w:r w:rsidRPr="006E1668" w:rsidR="00532576">
        <w:rPr>
          <w:rFonts w:ascii="Arial" w:hAnsi="Arial" w:cs="Arial"/>
          <w:sz w:val="19"/>
          <w:szCs w:val="19"/>
        </w:rPr>
        <w:t xml:space="preserve"> 2.2.2.5.6. Contratación de gestores catastrales</w:t>
      </w:r>
      <w:r w:rsidRPr="00BB515E" w:rsidR="00532576">
        <w:rPr>
          <w:rFonts w:ascii="Arial" w:hAnsi="Arial" w:cs="Arial"/>
          <w:b/>
          <w:bCs/>
          <w:sz w:val="19"/>
          <w:szCs w:val="19"/>
        </w:rPr>
        <w:t>.</w:t>
      </w:r>
      <w:r w:rsidRPr="00BB515E" w:rsidR="00532576">
        <w:rPr>
          <w:rFonts w:ascii="Arial" w:hAnsi="Arial" w:cs="Arial"/>
          <w:sz w:val="19"/>
          <w:szCs w:val="19"/>
        </w:rPr>
        <w:t> Las entidades territoriales que no estén habilitadas podrán contratar a un gestor catastral en los términos del presente Decreto para la prestación del servicio público en su territorio. Los contratos tendrán un periodo de ejecución no menor a dos (2) años y el gestor catastral contratado deberá asegurar la prestación integral del servicio, es decir, incluyendo las actividades de formación, actualización y conservación, así como los procedimientos del enfoque catastral multipropósito que sean adoptados, de conformidad con la regulación que para el efecto expida el Gobierno Nacional. Para la ejecución del contrato, el IGAC o quien tenga la información catastral, deberá realizar el empalme y la entrega de esta información al gestor catastral contratado en un período máximo de tres (3) meses contados a partir de la fecha del inicio del contrato, so pena de responsabilidad disciplinaria y contractual, si a ello hubiere lugar</w:t>
      </w:r>
      <w:r w:rsidR="001322B1">
        <w:rPr>
          <w:rFonts w:ascii="Arial" w:hAnsi="Arial" w:cs="Arial"/>
          <w:sz w:val="19"/>
          <w:szCs w:val="19"/>
        </w:rPr>
        <w:t>»</w:t>
      </w:r>
      <w:r w:rsidRPr="00BB515E" w:rsidR="00BB515E">
        <w:rPr>
          <w:rFonts w:ascii="Arial" w:hAnsi="Arial" w:cs="Arial"/>
          <w:sz w:val="19"/>
          <w:szCs w:val="19"/>
        </w:rPr>
        <w:t>.</w:t>
      </w:r>
    </w:p>
    <w:p w:rsidRPr="00532576" w:rsidR="004C656F" w:rsidRDefault="004C656F" w14:paraId="14D30DD1" w14:textId="4170099D">
      <w:pPr>
        <w:pStyle w:val="Textonotapie"/>
        <w:rPr>
          <w:lang w:val="es-CO"/>
        </w:rPr>
      </w:pPr>
    </w:p>
  </w:footnote>
  <w:footnote w:id="2">
    <w:p w:rsidR="00212F01" w:rsidP="00164B11" w:rsidRDefault="00212F01" w14:paraId="6084F24F" w14:textId="3DB59C0D">
      <w:pPr>
        <w:pStyle w:val="Textonotapie"/>
        <w:ind w:firstLine="708"/>
        <w:jc w:val="both"/>
        <w:rPr>
          <w:rFonts w:ascii="Arial" w:hAnsi="Arial" w:eastAsia="Times New Roman" w:cs="Arial"/>
          <w:sz w:val="19"/>
          <w:szCs w:val="19"/>
          <w:lang w:val="es-CO" w:eastAsia="es-CO"/>
        </w:rPr>
      </w:pPr>
      <w:r w:rsidRPr="0064032E">
        <w:rPr>
          <w:rStyle w:val="Refdenotaalpie"/>
          <w:sz w:val="16"/>
          <w:szCs w:val="16"/>
          <w:lang w:val="es-CO" w:eastAsia="es-CO"/>
        </w:rPr>
        <w:footnoteRef/>
      </w:r>
      <w:r w:rsidRPr="0064032E">
        <w:rPr>
          <w:rStyle w:val="Refdenotaalpie"/>
          <w:sz w:val="16"/>
          <w:szCs w:val="16"/>
          <w:lang w:val="es-CO" w:eastAsia="es-CO"/>
        </w:rPr>
        <w:t xml:space="preserve"> </w:t>
      </w:r>
      <w:r w:rsidRPr="0064032E" w:rsidR="00664D43">
        <w:rPr>
          <w:rFonts w:ascii="Arial" w:hAnsi="Arial" w:eastAsia="Times New Roman" w:cs="Arial"/>
          <w:sz w:val="19"/>
          <w:szCs w:val="19"/>
          <w:lang w:val="es-CO" w:eastAsia="es-CO"/>
        </w:rPr>
        <w:t>Decre</w:t>
      </w:r>
      <w:r w:rsidRPr="0064032E" w:rsidR="00185EA9">
        <w:rPr>
          <w:rFonts w:ascii="Arial" w:hAnsi="Arial" w:eastAsia="Times New Roman" w:cs="Arial"/>
          <w:sz w:val="19"/>
          <w:szCs w:val="19"/>
          <w:lang w:val="es-CO" w:eastAsia="es-CO"/>
        </w:rPr>
        <w:t>to 208 de 2004</w:t>
      </w:r>
      <w:r w:rsidRPr="0064032E" w:rsidR="0064032E">
        <w:rPr>
          <w:rFonts w:ascii="Arial" w:hAnsi="Arial" w:eastAsia="Times New Roman" w:cs="Arial"/>
          <w:sz w:val="19"/>
          <w:szCs w:val="19"/>
          <w:lang w:val="es-CO" w:eastAsia="es-CO"/>
        </w:rPr>
        <w:t>. Artículo 25</w:t>
      </w:r>
      <w:r w:rsidR="009237D6">
        <w:rPr>
          <w:rFonts w:ascii="Arial" w:hAnsi="Arial" w:eastAsia="Times New Roman" w:cs="Arial"/>
          <w:sz w:val="19"/>
          <w:szCs w:val="19"/>
          <w:lang w:val="es-CO" w:eastAsia="es-CO"/>
        </w:rPr>
        <w:t>.</w:t>
      </w:r>
      <w:r w:rsidRPr="0064032E" w:rsidR="0064032E">
        <w:rPr>
          <w:rFonts w:ascii="Arial" w:hAnsi="Arial" w:eastAsia="Times New Roman" w:cs="Arial"/>
          <w:sz w:val="19"/>
          <w:szCs w:val="19"/>
          <w:lang w:val="es-CO" w:eastAsia="es-CO"/>
        </w:rPr>
        <w:t xml:space="preserve"> </w:t>
      </w:r>
      <w:r w:rsidR="00164B11">
        <w:rPr>
          <w:rFonts w:ascii="Arial" w:hAnsi="Arial" w:eastAsia="Times New Roman" w:cs="Arial"/>
          <w:sz w:val="19"/>
          <w:szCs w:val="19"/>
          <w:lang w:val="es-CO" w:eastAsia="es-CO"/>
        </w:rPr>
        <w:t>«</w:t>
      </w:r>
      <w:r w:rsidRPr="0064032E" w:rsidR="0064032E">
        <w:rPr>
          <w:rFonts w:ascii="Arial" w:hAnsi="Arial" w:eastAsia="Times New Roman" w:cs="Arial"/>
          <w:sz w:val="19"/>
          <w:szCs w:val="19"/>
          <w:lang w:val="es-CO" w:eastAsia="es-CO"/>
        </w:rPr>
        <w:t>No. 8</w:t>
      </w:r>
      <w:r w:rsidR="00813422">
        <w:rPr>
          <w:rFonts w:ascii="Arial" w:hAnsi="Arial" w:eastAsia="Times New Roman" w:cs="Arial"/>
          <w:sz w:val="19"/>
          <w:szCs w:val="19"/>
          <w:lang w:val="es-CO" w:eastAsia="es-CO"/>
        </w:rPr>
        <w:t xml:space="preserve">. </w:t>
      </w:r>
      <w:r w:rsidRPr="00164B11" w:rsidR="009237D6">
        <w:rPr>
          <w:rFonts w:ascii="Arial" w:hAnsi="Arial" w:eastAsia="Times New Roman" w:cs="Arial"/>
          <w:sz w:val="19"/>
          <w:szCs w:val="19"/>
          <w:lang w:val="es-CO" w:eastAsia="es-CO"/>
        </w:rPr>
        <w:t>Prestar asesoría técnica a los catastros descentralizados en la aplicación de las normas vigentes para la formación, actualización y conservación catastral, en su calidad de máxima autoridad catastral en el paí</w:t>
      </w:r>
      <w:r w:rsidR="00164B11">
        <w:rPr>
          <w:rFonts w:ascii="Arial" w:hAnsi="Arial" w:eastAsia="Times New Roman" w:cs="Arial"/>
          <w:sz w:val="19"/>
          <w:szCs w:val="19"/>
          <w:lang w:val="es-CO" w:eastAsia="es-CO"/>
        </w:rPr>
        <w:t>s».</w:t>
      </w:r>
    </w:p>
    <w:p w:rsidRPr="00164B11" w:rsidR="006B7CBD" w:rsidP="00164B11" w:rsidRDefault="006B7CBD" w14:paraId="375A11A0" w14:textId="77777777">
      <w:pPr>
        <w:pStyle w:val="Textonotapie"/>
        <w:ind w:firstLine="708"/>
        <w:jc w:val="both"/>
        <w:rPr>
          <w:rFonts w:ascii="Arial" w:hAnsi="Arial" w:eastAsia="Times New Roman" w:cs="Arial"/>
          <w:sz w:val="19"/>
          <w:szCs w:val="19"/>
          <w:lang w:val="es-CO" w:eastAsia="es-CO"/>
        </w:rPr>
      </w:pPr>
    </w:p>
  </w:footnote>
  <w:footnote w:id="3">
    <w:p w:rsidR="00164B11" w:rsidP="004362F6" w:rsidRDefault="00164B11" w14:paraId="08EF6A9C" w14:textId="4755A92D">
      <w:pPr>
        <w:pStyle w:val="Textonotapie"/>
        <w:ind w:firstLine="708"/>
        <w:jc w:val="both"/>
        <w:rPr>
          <w:rFonts w:ascii="Arial" w:hAnsi="Arial" w:eastAsia="Times New Roman" w:cs="Arial"/>
          <w:sz w:val="19"/>
          <w:szCs w:val="19"/>
          <w:lang w:val="es-CO" w:eastAsia="es-CO"/>
        </w:rPr>
      </w:pPr>
      <w:r>
        <w:rPr>
          <w:rStyle w:val="Refdenotaalpie"/>
        </w:rPr>
        <w:footnoteRef/>
      </w:r>
      <w:r>
        <w:t xml:space="preserve"> </w:t>
      </w:r>
      <w:r w:rsidRPr="004362F6">
        <w:rPr>
          <w:rFonts w:ascii="Arial" w:hAnsi="Arial" w:eastAsia="Times New Roman" w:cs="Arial"/>
          <w:sz w:val="19"/>
          <w:szCs w:val="19"/>
          <w:lang w:val="es-CO" w:eastAsia="es-CO"/>
        </w:rPr>
        <w:t xml:space="preserve">Correo electrónico del 06 de abril de 2021- Instituto Geográfico Agustín Codazzi. </w:t>
      </w:r>
      <w:r w:rsidR="004362F6">
        <w:rPr>
          <w:rFonts w:ascii="Arial" w:hAnsi="Arial" w:eastAsia="Times New Roman" w:cs="Arial"/>
          <w:sz w:val="19"/>
          <w:szCs w:val="19"/>
          <w:lang w:val="es-CO" w:eastAsia="es-CO"/>
        </w:rPr>
        <w:t>«</w:t>
      </w:r>
      <w:r w:rsidRPr="004362F6">
        <w:rPr>
          <w:rFonts w:ascii="Arial" w:hAnsi="Arial" w:eastAsia="Times New Roman" w:cs="Arial"/>
          <w:sz w:val="19"/>
          <w:szCs w:val="19"/>
          <w:lang w:val="es-CO" w:eastAsia="es-CO"/>
        </w:rPr>
        <w:t>Interrogante 1</w:t>
      </w:r>
      <w:r w:rsidR="0088059E">
        <w:rPr>
          <w:rFonts w:ascii="Arial" w:hAnsi="Arial" w:eastAsia="Times New Roman" w:cs="Arial"/>
          <w:sz w:val="19"/>
          <w:szCs w:val="19"/>
          <w:lang w:val="es-CO" w:eastAsia="es-CO"/>
        </w:rPr>
        <w:t xml:space="preserve">. </w:t>
      </w:r>
      <w:r w:rsidRPr="004362F6" w:rsidR="004362F6">
        <w:rPr>
          <w:rFonts w:ascii="Arial" w:hAnsi="Arial" w:eastAsia="Times New Roman" w:cs="Arial"/>
          <w:sz w:val="19"/>
          <w:szCs w:val="19"/>
          <w:lang w:val="es-CO" w:eastAsia="es-CO"/>
        </w:rPr>
        <w:t xml:space="preserve">Bajo la luz de toda la nueva norma actividad aplicable, </w:t>
      </w:r>
      <w:r w:rsidR="006B7CBD">
        <w:rPr>
          <w:rFonts w:ascii="Arial" w:hAnsi="Arial" w:eastAsia="Times New Roman" w:cs="Arial"/>
          <w:sz w:val="19"/>
          <w:szCs w:val="19"/>
          <w:lang w:val="es-CO" w:eastAsia="es-CO"/>
        </w:rPr>
        <w:t>¿s</w:t>
      </w:r>
      <w:r w:rsidRPr="004362F6" w:rsidR="004362F6">
        <w:rPr>
          <w:rFonts w:ascii="Arial" w:hAnsi="Arial" w:eastAsia="Times New Roman" w:cs="Arial"/>
          <w:sz w:val="19"/>
          <w:szCs w:val="19"/>
          <w:lang w:val="es-CO" w:eastAsia="es-CO"/>
        </w:rPr>
        <w:t>í</w:t>
      </w:r>
      <w:r w:rsidR="006B7CBD">
        <w:rPr>
          <w:rFonts w:ascii="Arial" w:hAnsi="Arial" w:eastAsia="Times New Roman" w:cs="Arial"/>
          <w:sz w:val="19"/>
          <w:szCs w:val="19"/>
          <w:lang w:val="es-CO" w:eastAsia="es-CO"/>
        </w:rPr>
        <w:t xml:space="preserve"> (sic) </w:t>
      </w:r>
      <w:r w:rsidRPr="004362F6" w:rsidR="004362F6">
        <w:rPr>
          <w:rFonts w:ascii="Arial" w:hAnsi="Arial" w:eastAsia="Times New Roman" w:cs="Arial"/>
          <w:sz w:val="19"/>
          <w:szCs w:val="19"/>
          <w:lang w:val="es-CO" w:eastAsia="es-CO"/>
        </w:rPr>
        <w:t>es factible celebrar un contrato Interadministrativo meramente de conservación catastral, sin que se incluya actualización.</w:t>
      </w:r>
      <w:r w:rsidR="0088059E">
        <w:rPr>
          <w:rFonts w:ascii="Arial" w:hAnsi="Arial" w:eastAsia="Times New Roman" w:cs="Arial"/>
          <w:sz w:val="19"/>
          <w:szCs w:val="19"/>
          <w:lang w:val="es-CO" w:eastAsia="es-CO"/>
        </w:rPr>
        <w:t xml:space="preserve"> […]»</w:t>
      </w:r>
    </w:p>
    <w:p w:rsidRPr="004362F6" w:rsidR="0088059E" w:rsidP="004362F6" w:rsidRDefault="0088059E" w14:paraId="7A98F5D9" w14:textId="01E5EF2B">
      <w:pPr>
        <w:pStyle w:val="Textonotapie"/>
        <w:ind w:firstLine="708"/>
        <w:jc w:val="both"/>
        <w:rPr>
          <w:rFonts w:ascii="Arial" w:hAnsi="Arial" w:eastAsia="Times New Roman" w:cs="Arial"/>
          <w:sz w:val="19"/>
          <w:szCs w:val="19"/>
          <w:lang w:val="es-CO" w:eastAsia="es-CO"/>
        </w:rPr>
      </w:pPr>
      <w:r w:rsidRPr="0088059E">
        <w:rPr>
          <w:rFonts w:ascii="Arial" w:hAnsi="Arial" w:eastAsia="Times New Roman" w:cs="Arial"/>
          <w:sz w:val="19"/>
          <w:szCs w:val="19"/>
          <w:lang w:val="es-CO" w:eastAsia="es-CO"/>
        </w:rPr>
        <w:t>»Respuesta: El documento tipo adoptado por Colombia Compra Eficiente contiene las condiciones para contratos interadministrativos de formación y conservación catastral o actualización y conservación catastral. Por lo tanto, no es procedente utilizar el documento tipo de gestión catastral con enfoque multipropósito para la contratación del servicio de conservación catastral.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96512" w:rsidP="00A96512" w:rsidRDefault="00A96512" w14:paraId="422D4665" w14:textId="2628C396">
    <w:pPr>
      <w:pStyle w:val="Encabezado"/>
      <w:jc w:val="right"/>
    </w:pPr>
    <w:r>
      <w:rPr>
        <w:noProof/>
      </w:rPr>
      <w:drawing>
        <wp:inline distT="0" distB="0" distL="0" distR="0" wp14:anchorId="04E41AB3" wp14:editId="3DE10A43">
          <wp:extent cx="1257300" cy="516255"/>
          <wp:effectExtent l="0" t="0" r="0" b="0"/>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7E664B6"/>
    <w:multiLevelType w:val="hybridMultilevel"/>
    <w:tmpl w:val="B638328C"/>
    <w:lvl w:ilvl="0" w:tplc="A97A614A">
      <w:start w:val="1"/>
      <w:numFmt w:val="decimal"/>
      <w:lvlText w:val="%1."/>
      <w:lvlJc w:val="left"/>
      <w:pPr>
        <w:ind w:left="101" w:hanging="240"/>
      </w:pPr>
      <w:rPr>
        <w:rFonts w:hint="default" w:ascii="Arial" w:hAnsi="Arial" w:eastAsia="Arial" w:cs="Arial"/>
        <w:b/>
        <w:bCs/>
        <w:spacing w:val="-1"/>
        <w:w w:val="100"/>
        <w:sz w:val="22"/>
        <w:szCs w:val="22"/>
        <w:lang w:val="es-ES" w:eastAsia="en-US" w:bidi="ar-SA"/>
      </w:rPr>
    </w:lvl>
    <w:lvl w:ilvl="1" w:tplc="D8E0AEE8">
      <w:start w:val="1"/>
      <w:numFmt w:val="decimal"/>
      <w:lvlText w:val="%2."/>
      <w:lvlJc w:val="left"/>
      <w:pPr>
        <w:ind w:left="804" w:hanging="265"/>
      </w:pPr>
      <w:rPr>
        <w:rFonts w:hint="default" w:ascii="Arial" w:hAnsi="Arial" w:eastAsia="Arial" w:cs="Arial"/>
        <w:spacing w:val="-28"/>
        <w:w w:val="100"/>
        <w:sz w:val="21"/>
        <w:szCs w:val="21"/>
        <w:lang w:val="es-ES" w:eastAsia="en-US" w:bidi="ar-SA"/>
      </w:rPr>
    </w:lvl>
    <w:lvl w:ilvl="2" w:tplc="90B0554A">
      <w:numFmt w:val="bullet"/>
      <w:lvlText w:val="•"/>
      <w:lvlJc w:val="left"/>
      <w:pPr>
        <w:ind w:left="1702" w:hanging="265"/>
      </w:pPr>
      <w:rPr>
        <w:rFonts w:hint="default"/>
        <w:lang w:val="es-ES" w:eastAsia="en-US" w:bidi="ar-SA"/>
      </w:rPr>
    </w:lvl>
    <w:lvl w:ilvl="3" w:tplc="68BEB01A">
      <w:numFmt w:val="bullet"/>
      <w:lvlText w:val="•"/>
      <w:lvlJc w:val="left"/>
      <w:pPr>
        <w:ind w:left="2604" w:hanging="265"/>
      </w:pPr>
      <w:rPr>
        <w:rFonts w:hint="default"/>
        <w:lang w:val="es-ES" w:eastAsia="en-US" w:bidi="ar-SA"/>
      </w:rPr>
    </w:lvl>
    <w:lvl w:ilvl="4" w:tplc="4E50C6B0">
      <w:numFmt w:val="bullet"/>
      <w:lvlText w:val="•"/>
      <w:lvlJc w:val="left"/>
      <w:pPr>
        <w:ind w:left="3506" w:hanging="265"/>
      </w:pPr>
      <w:rPr>
        <w:rFonts w:hint="default"/>
        <w:lang w:val="es-ES" w:eastAsia="en-US" w:bidi="ar-SA"/>
      </w:rPr>
    </w:lvl>
    <w:lvl w:ilvl="5" w:tplc="ED5A2474">
      <w:numFmt w:val="bullet"/>
      <w:lvlText w:val="•"/>
      <w:lvlJc w:val="left"/>
      <w:pPr>
        <w:ind w:left="4408" w:hanging="265"/>
      </w:pPr>
      <w:rPr>
        <w:rFonts w:hint="default"/>
        <w:lang w:val="es-ES" w:eastAsia="en-US" w:bidi="ar-SA"/>
      </w:rPr>
    </w:lvl>
    <w:lvl w:ilvl="6" w:tplc="CEE23FA4">
      <w:numFmt w:val="bullet"/>
      <w:lvlText w:val="•"/>
      <w:lvlJc w:val="left"/>
      <w:pPr>
        <w:ind w:left="5311" w:hanging="265"/>
      </w:pPr>
      <w:rPr>
        <w:rFonts w:hint="default"/>
        <w:lang w:val="es-ES" w:eastAsia="en-US" w:bidi="ar-SA"/>
      </w:rPr>
    </w:lvl>
    <w:lvl w:ilvl="7" w:tplc="DCD21A82">
      <w:numFmt w:val="bullet"/>
      <w:lvlText w:val="•"/>
      <w:lvlJc w:val="left"/>
      <w:pPr>
        <w:ind w:left="6213" w:hanging="265"/>
      </w:pPr>
      <w:rPr>
        <w:rFonts w:hint="default"/>
        <w:lang w:val="es-ES" w:eastAsia="en-US" w:bidi="ar-SA"/>
      </w:rPr>
    </w:lvl>
    <w:lvl w:ilvl="8" w:tplc="6830701A">
      <w:numFmt w:val="bullet"/>
      <w:lvlText w:val="•"/>
      <w:lvlJc w:val="left"/>
      <w:pPr>
        <w:ind w:left="7115" w:hanging="265"/>
      </w:pPr>
      <w:rPr>
        <w:rFonts w:hint="default"/>
        <w:lang w:val="es-ES" w:eastAsia="en-US" w:bidi="ar-SA"/>
      </w:rPr>
    </w:lvl>
  </w:abstractNum>
  <w:abstractNum w:abstractNumId="2" w15:restartNumberingAfterBreak="0">
    <w:nsid w:val="2E28708B"/>
    <w:multiLevelType w:val="hybridMultilevel"/>
    <w:tmpl w:val="59D84C86"/>
    <w:lvl w:ilvl="0" w:tplc="ED78DCD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3E12CC"/>
    <w:multiLevelType w:val="hybridMultilevel"/>
    <w:tmpl w:val="FD44AD9E"/>
    <w:lvl w:ilvl="0" w:tplc="CC4E49A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CF33F71"/>
    <w:multiLevelType w:val="hybridMultilevel"/>
    <w:tmpl w:val="9D14ACCC"/>
    <w:lvl w:ilvl="0" w:tplc="945E6F70">
      <w:start w:val="1"/>
      <w:numFmt w:val="decimal"/>
      <w:lvlText w:val="CLÁUSULA %1."/>
      <w:lvlJc w:val="left"/>
      <w:pPr>
        <w:ind w:left="1766" w:hanging="360"/>
      </w:pPr>
      <w:rPr>
        <w:rFonts w:hint="default" w:ascii="Arial" w:hAnsi="Arial" w:cs="Arial"/>
        <w:b/>
        <w:i w:val="0"/>
        <w:color w:val="000000"/>
        <w:sz w:val="20"/>
        <w:szCs w:val="20"/>
      </w:rPr>
    </w:lvl>
    <w:lvl w:ilvl="1" w:tplc="240A0019" w:tentative="1">
      <w:start w:val="1"/>
      <w:numFmt w:val="lowerLetter"/>
      <w:lvlText w:val="%2."/>
      <w:lvlJc w:val="left"/>
      <w:pPr>
        <w:ind w:left="2486" w:hanging="360"/>
      </w:pPr>
    </w:lvl>
    <w:lvl w:ilvl="2" w:tplc="240A001B" w:tentative="1">
      <w:start w:val="1"/>
      <w:numFmt w:val="lowerRoman"/>
      <w:lvlText w:val="%3."/>
      <w:lvlJc w:val="right"/>
      <w:pPr>
        <w:ind w:left="3206" w:hanging="180"/>
      </w:pPr>
    </w:lvl>
    <w:lvl w:ilvl="3" w:tplc="240A000F" w:tentative="1">
      <w:start w:val="1"/>
      <w:numFmt w:val="decimal"/>
      <w:lvlText w:val="%4."/>
      <w:lvlJc w:val="left"/>
      <w:pPr>
        <w:ind w:left="3926" w:hanging="360"/>
      </w:pPr>
    </w:lvl>
    <w:lvl w:ilvl="4" w:tplc="240A0019" w:tentative="1">
      <w:start w:val="1"/>
      <w:numFmt w:val="lowerLetter"/>
      <w:lvlText w:val="%5."/>
      <w:lvlJc w:val="left"/>
      <w:pPr>
        <w:ind w:left="4646" w:hanging="360"/>
      </w:pPr>
    </w:lvl>
    <w:lvl w:ilvl="5" w:tplc="240A001B" w:tentative="1">
      <w:start w:val="1"/>
      <w:numFmt w:val="lowerRoman"/>
      <w:lvlText w:val="%6."/>
      <w:lvlJc w:val="right"/>
      <w:pPr>
        <w:ind w:left="5366" w:hanging="180"/>
      </w:pPr>
    </w:lvl>
    <w:lvl w:ilvl="6" w:tplc="240A000F" w:tentative="1">
      <w:start w:val="1"/>
      <w:numFmt w:val="decimal"/>
      <w:lvlText w:val="%7."/>
      <w:lvlJc w:val="left"/>
      <w:pPr>
        <w:ind w:left="6086" w:hanging="360"/>
      </w:pPr>
    </w:lvl>
    <w:lvl w:ilvl="7" w:tplc="240A0019" w:tentative="1">
      <w:start w:val="1"/>
      <w:numFmt w:val="lowerLetter"/>
      <w:lvlText w:val="%8."/>
      <w:lvlJc w:val="left"/>
      <w:pPr>
        <w:ind w:left="6806" w:hanging="360"/>
      </w:pPr>
    </w:lvl>
    <w:lvl w:ilvl="8" w:tplc="240A001B" w:tentative="1">
      <w:start w:val="1"/>
      <w:numFmt w:val="lowerRoman"/>
      <w:lvlText w:val="%9."/>
      <w:lvlJc w:val="right"/>
      <w:pPr>
        <w:ind w:left="7526" w:hanging="180"/>
      </w:pPr>
    </w:lvl>
  </w:abstractNum>
  <w:abstractNum w:abstractNumId="5" w15:restartNumberingAfterBreak="0">
    <w:nsid w:val="522922A4"/>
    <w:multiLevelType w:val="hybridMultilevel"/>
    <w:tmpl w:val="5B5684D4"/>
    <w:lvl w:ilvl="0" w:tplc="489E5982">
      <w:start w:val="1"/>
      <w:numFmt w:val="lowerRoman"/>
      <w:lvlText w:val="%1."/>
      <w:lvlJc w:val="right"/>
      <w:pPr>
        <w:ind w:left="360" w:hanging="360"/>
      </w:pPr>
      <w:rPr>
        <w:b w:val="0"/>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12"/>
    <w:rsid w:val="0001395B"/>
    <w:rsid w:val="00017012"/>
    <w:rsid w:val="00022ADB"/>
    <w:rsid w:val="0002376F"/>
    <w:rsid w:val="00040991"/>
    <w:rsid w:val="0004126E"/>
    <w:rsid w:val="00087921"/>
    <w:rsid w:val="000B5C0D"/>
    <w:rsid w:val="000C7402"/>
    <w:rsid w:val="000D429F"/>
    <w:rsid w:val="000E189F"/>
    <w:rsid w:val="000E259A"/>
    <w:rsid w:val="00102723"/>
    <w:rsid w:val="001070C1"/>
    <w:rsid w:val="0011450C"/>
    <w:rsid w:val="00120AB2"/>
    <w:rsid w:val="001322B1"/>
    <w:rsid w:val="001454FD"/>
    <w:rsid w:val="00156200"/>
    <w:rsid w:val="001576E4"/>
    <w:rsid w:val="00164B11"/>
    <w:rsid w:val="001656A7"/>
    <w:rsid w:val="00176F3C"/>
    <w:rsid w:val="00185EA9"/>
    <w:rsid w:val="001C4FD1"/>
    <w:rsid w:val="001D0B61"/>
    <w:rsid w:val="001E3943"/>
    <w:rsid w:val="001E5FAA"/>
    <w:rsid w:val="001F2A4D"/>
    <w:rsid w:val="00210754"/>
    <w:rsid w:val="00212F01"/>
    <w:rsid w:val="002330F7"/>
    <w:rsid w:val="00236184"/>
    <w:rsid w:val="002513E2"/>
    <w:rsid w:val="0027235F"/>
    <w:rsid w:val="0027320B"/>
    <w:rsid w:val="002752BF"/>
    <w:rsid w:val="002838F8"/>
    <w:rsid w:val="00284D4D"/>
    <w:rsid w:val="002930C9"/>
    <w:rsid w:val="002A47CF"/>
    <w:rsid w:val="002B36F0"/>
    <w:rsid w:val="002B6057"/>
    <w:rsid w:val="002C242C"/>
    <w:rsid w:val="002D347D"/>
    <w:rsid w:val="002D4EED"/>
    <w:rsid w:val="002E39D0"/>
    <w:rsid w:val="002F26A2"/>
    <w:rsid w:val="00305DEF"/>
    <w:rsid w:val="00314A8B"/>
    <w:rsid w:val="003249C2"/>
    <w:rsid w:val="00331493"/>
    <w:rsid w:val="003314EA"/>
    <w:rsid w:val="00343759"/>
    <w:rsid w:val="003467C4"/>
    <w:rsid w:val="003605BA"/>
    <w:rsid w:val="00365897"/>
    <w:rsid w:val="00373FBC"/>
    <w:rsid w:val="00385367"/>
    <w:rsid w:val="00394423"/>
    <w:rsid w:val="003A2FEF"/>
    <w:rsid w:val="003C1968"/>
    <w:rsid w:val="003E167F"/>
    <w:rsid w:val="003E50F7"/>
    <w:rsid w:val="003F1A1D"/>
    <w:rsid w:val="00402626"/>
    <w:rsid w:val="0041739E"/>
    <w:rsid w:val="00423C92"/>
    <w:rsid w:val="00423E96"/>
    <w:rsid w:val="00424EE9"/>
    <w:rsid w:val="004362F6"/>
    <w:rsid w:val="0045543A"/>
    <w:rsid w:val="00494608"/>
    <w:rsid w:val="004A2482"/>
    <w:rsid w:val="004A45D0"/>
    <w:rsid w:val="004A7D5F"/>
    <w:rsid w:val="004C03AE"/>
    <w:rsid w:val="004C0E69"/>
    <w:rsid w:val="004C656F"/>
    <w:rsid w:val="004D1D7B"/>
    <w:rsid w:val="004F6DBD"/>
    <w:rsid w:val="00500DC6"/>
    <w:rsid w:val="00532576"/>
    <w:rsid w:val="00541F3C"/>
    <w:rsid w:val="00561499"/>
    <w:rsid w:val="00563FDC"/>
    <w:rsid w:val="00567185"/>
    <w:rsid w:val="00567C57"/>
    <w:rsid w:val="005707AE"/>
    <w:rsid w:val="00576E01"/>
    <w:rsid w:val="00591D29"/>
    <w:rsid w:val="005A5030"/>
    <w:rsid w:val="005B1B78"/>
    <w:rsid w:val="005D6302"/>
    <w:rsid w:val="005E51B1"/>
    <w:rsid w:val="005F3C31"/>
    <w:rsid w:val="005F7734"/>
    <w:rsid w:val="00617F75"/>
    <w:rsid w:val="0063380C"/>
    <w:rsid w:val="0064032E"/>
    <w:rsid w:val="006602F2"/>
    <w:rsid w:val="00664D43"/>
    <w:rsid w:val="00692772"/>
    <w:rsid w:val="00697BBA"/>
    <w:rsid w:val="006A0E2B"/>
    <w:rsid w:val="006A26C6"/>
    <w:rsid w:val="006B11A0"/>
    <w:rsid w:val="006B7CBD"/>
    <w:rsid w:val="006E1668"/>
    <w:rsid w:val="006E447F"/>
    <w:rsid w:val="0070047C"/>
    <w:rsid w:val="00706E84"/>
    <w:rsid w:val="007117D5"/>
    <w:rsid w:val="00717927"/>
    <w:rsid w:val="007340EF"/>
    <w:rsid w:val="00734998"/>
    <w:rsid w:val="007638AA"/>
    <w:rsid w:val="00780ECB"/>
    <w:rsid w:val="0078719D"/>
    <w:rsid w:val="00791844"/>
    <w:rsid w:val="007C7AF5"/>
    <w:rsid w:val="007D1F3B"/>
    <w:rsid w:val="007E4B62"/>
    <w:rsid w:val="00803270"/>
    <w:rsid w:val="00813422"/>
    <w:rsid w:val="008310BF"/>
    <w:rsid w:val="00836EE7"/>
    <w:rsid w:val="0085211E"/>
    <w:rsid w:val="00853582"/>
    <w:rsid w:val="00874646"/>
    <w:rsid w:val="0088059E"/>
    <w:rsid w:val="008A3142"/>
    <w:rsid w:val="008B20FB"/>
    <w:rsid w:val="008C0ED4"/>
    <w:rsid w:val="008C4C4E"/>
    <w:rsid w:val="008C558C"/>
    <w:rsid w:val="008D7B6B"/>
    <w:rsid w:val="008E76BD"/>
    <w:rsid w:val="008E7B4C"/>
    <w:rsid w:val="008F40AC"/>
    <w:rsid w:val="00913D43"/>
    <w:rsid w:val="00915EBC"/>
    <w:rsid w:val="009237D6"/>
    <w:rsid w:val="00933A33"/>
    <w:rsid w:val="009419E4"/>
    <w:rsid w:val="00972E0E"/>
    <w:rsid w:val="00984475"/>
    <w:rsid w:val="009B0518"/>
    <w:rsid w:val="009B204A"/>
    <w:rsid w:val="009C3E53"/>
    <w:rsid w:val="009C6188"/>
    <w:rsid w:val="009C6EF8"/>
    <w:rsid w:val="00A3403A"/>
    <w:rsid w:val="00A35A09"/>
    <w:rsid w:val="00A606A7"/>
    <w:rsid w:val="00A83E63"/>
    <w:rsid w:val="00A8613E"/>
    <w:rsid w:val="00A96512"/>
    <w:rsid w:val="00AB30BB"/>
    <w:rsid w:val="00AC1C6D"/>
    <w:rsid w:val="00AE18FA"/>
    <w:rsid w:val="00AF26CE"/>
    <w:rsid w:val="00B20A85"/>
    <w:rsid w:val="00B23C76"/>
    <w:rsid w:val="00B47001"/>
    <w:rsid w:val="00B500E0"/>
    <w:rsid w:val="00B534DC"/>
    <w:rsid w:val="00B83A18"/>
    <w:rsid w:val="00B92658"/>
    <w:rsid w:val="00B93FD2"/>
    <w:rsid w:val="00BA1DA8"/>
    <w:rsid w:val="00BA2782"/>
    <w:rsid w:val="00BA5FDB"/>
    <w:rsid w:val="00BB2AFC"/>
    <w:rsid w:val="00BB515E"/>
    <w:rsid w:val="00BF071B"/>
    <w:rsid w:val="00C07D91"/>
    <w:rsid w:val="00C162BC"/>
    <w:rsid w:val="00C26157"/>
    <w:rsid w:val="00C304D8"/>
    <w:rsid w:val="00C40B9C"/>
    <w:rsid w:val="00C41329"/>
    <w:rsid w:val="00C42666"/>
    <w:rsid w:val="00C47B71"/>
    <w:rsid w:val="00C537A3"/>
    <w:rsid w:val="00C558CF"/>
    <w:rsid w:val="00C84E05"/>
    <w:rsid w:val="00CA577C"/>
    <w:rsid w:val="00CB41D3"/>
    <w:rsid w:val="00CD375A"/>
    <w:rsid w:val="00CE7EF8"/>
    <w:rsid w:val="00CF5E6A"/>
    <w:rsid w:val="00D06978"/>
    <w:rsid w:val="00D12754"/>
    <w:rsid w:val="00D12C55"/>
    <w:rsid w:val="00D333E8"/>
    <w:rsid w:val="00D36876"/>
    <w:rsid w:val="00D706CC"/>
    <w:rsid w:val="00D920B1"/>
    <w:rsid w:val="00D92BF7"/>
    <w:rsid w:val="00DB223A"/>
    <w:rsid w:val="00DC10A3"/>
    <w:rsid w:val="00DC252A"/>
    <w:rsid w:val="00DC3597"/>
    <w:rsid w:val="00DC5792"/>
    <w:rsid w:val="00DE6A0A"/>
    <w:rsid w:val="00E1449C"/>
    <w:rsid w:val="00E31654"/>
    <w:rsid w:val="00E529F8"/>
    <w:rsid w:val="00E9052D"/>
    <w:rsid w:val="00EA5384"/>
    <w:rsid w:val="00ED1858"/>
    <w:rsid w:val="00ED25FB"/>
    <w:rsid w:val="00EE48B9"/>
    <w:rsid w:val="00EE5E91"/>
    <w:rsid w:val="00EF088A"/>
    <w:rsid w:val="00F033AC"/>
    <w:rsid w:val="00F24C40"/>
    <w:rsid w:val="00F37745"/>
    <w:rsid w:val="00F5032B"/>
    <w:rsid w:val="00F53A20"/>
    <w:rsid w:val="00F548A6"/>
    <w:rsid w:val="00F665D4"/>
    <w:rsid w:val="00F821D8"/>
    <w:rsid w:val="00F86E93"/>
    <w:rsid w:val="00FA095F"/>
    <w:rsid w:val="00FB2A86"/>
    <w:rsid w:val="1089D01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A09D"/>
  <w15:docId w15:val="{48B359C4-7081-4295-BF52-CD0049FBB7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7D5F"/>
    <w:pPr>
      <w:spacing w:after="0" w:line="240" w:lineRule="auto"/>
    </w:pPr>
    <w:rPr>
      <w:sz w:val="24"/>
      <w:lang w:val="es-MX"/>
    </w:rPr>
  </w:style>
  <w:style w:type="paragraph" w:styleId="Ttulo1">
    <w:name w:val="heading 1"/>
    <w:basedOn w:val="Normal"/>
    <w:next w:val="Normal"/>
    <w:link w:val="Ttulo1Car"/>
    <w:uiPriority w:val="9"/>
    <w:qFormat/>
    <w:rsid w:val="007C7AF5"/>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A96512"/>
    <w:pPr>
      <w:tabs>
        <w:tab w:val="center" w:pos="4419"/>
        <w:tab w:val="right" w:pos="8838"/>
      </w:tabs>
    </w:pPr>
  </w:style>
  <w:style w:type="character" w:styleId="EncabezadoCar" w:customStyle="1">
    <w:name w:val="Encabezado Car"/>
    <w:basedOn w:val="Fuentedeprrafopredeter"/>
    <w:link w:val="Encabezado"/>
    <w:uiPriority w:val="99"/>
    <w:rsid w:val="00A96512"/>
  </w:style>
  <w:style w:type="paragraph" w:styleId="Piedepgina">
    <w:name w:val="footer"/>
    <w:basedOn w:val="Normal"/>
    <w:link w:val="PiedepginaCar"/>
    <w:uiPriority w:val="99"/>
    <w:unhideWhenUsed/>
    <w:rsid w:val="00A96512"/>
    <w:pPr>
      <w:tabs>
        <w:tab w:val="center" w:pos="4419"/>
        <w:tab w:val="right" w:pos="8838"/>
      </w:tabs>
    </w:pPr>
  </w:style>
  <w:style w:type="character" w:styleId="PiedepginaCar" w:customStyle="1">
    <w:name w:val="Pie de página Car"/>
    <w:basedOn w:val="Fuentedeprrafopredeter"/>
    <w:link w:val="Piedepgina"/>
    <w:uiPriority w:val="99"/>
    <w:rsid w:val="00A96512"/>
  </w:style>
  <w:style w:type="table" w:styleId="Tablaconcuadrcula">
    <w:name w:val="Table Grid"/>
    <w:basedOn w:val="Tablanormal"/>
    <w:uiPriority w:val="39"/>
    <w:qFormat/>
    <w:rsid w:val="004A7D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4A7D5F"/>
    <w:pPr>
      <w:ind w:left="720"/>
      <w:contextualSpacing/>
    </w:p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4A7D5F"/>
    <w:rPr>
      <w:sz w:val="24"/>
      <w:lang w:val="es-MX"/>
    </w:rPr>
  </w:style>
  <w:style w:type="character" w:styleId="Textoennegrita">
    <w:name w:val="Strong"/>
    <w:basedOn w:val="Fuentedeprrafopredeter"/>
    <w:uiPriority w:val="22"/>
    <w:qFormat/>
    <w:rsid w:val="007E4B62"/>
    <w:rPr>
      <w:b/>
      <w:bCs/>
    </w:rPr>
  </w:style>
  <w:style w:type="character" w:styleId="nfasis">
    <w:name w:val="Emphasis"/>
    <w:basedOn w:val="Fuentedeprrafopredeter"/>
    <w:uiPriority w:val="20"/>
    <w:qFormat/>
    <w:rsid w:val="007E4B62"/>
    <w:rPr>
      <w:i/>
      <w:iCs/>
    </w:rPr>
  </w:style>
  <w:style w:type="character" w:styleId="Ttulo1Car" w:customStyle="1">
    <w:name w:val="Título 1 Car"/>
    <w:basedOn w:val="Fuentedeprrafopredeter"/>
    <w:link w:val="Ttulo1"/>
    <w:uiPriority w:val="9"/>
    <w:rsid w:val="007C7AF5"/>
    <w:rPr>
      <w:rFonts w:asciiTheme="majorHAnsi" w:hAnsiTheme="majorHAnsi" w:eastAsiaTheme="majorEastAsia" w:cstheme="majorBidi"/>
      <w:color w:val="2F5496" w:themeColor="accent1" w:themeShade="BF"/>
      <w:sz w:val="32"/>
      <w:szCs w:val="3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DC252A"/>
    <w:rPr>
      <w:vertAlign w:val="superscript"/>
    </w:rPr>
  </w:style>
  <w:style w:type="paragraph" w:styleId="Textonotapie">
    <w:name w:val="footnote text"/>
    <w:basedOn w:val="Normal"/>
    <w:link w:val="TextonotapieCar"/>
    <w:uiPriority w:val="99"/>
    <w:semiHidden/>
    <w:unhideWhenUsed/>
    <w:rsid w:val="004C656F"/>
    <w:rPr>
      <w:sz w:val="20"/>
      <w:szCs w:val="20"/>
    </w:rPr>
  </w:style>
  <w:style w:type="character" w:styleId="TextonotapieCar" w:customStyle="1">
    <w:name w:val="Texto nota pie Car"/>
    <w:basedOn w:val="Fuentedeprrafopredeter"/>
    <w:link w:val="Textonotapie"/>
    <w:uiPriority w:val="99"/>
    <w:semiHidden/>
    <w:rsid w:val="004C656F"/>
    <w:rPr>
      <w:sz w:val="20"/>
      <w:szCs w:val="20"/>
      <w:lang w:val="es-MX"/>
    </w:rPr>
  </w:style>
  <w:style w:type="paragraph" w:styleId="NormalWeb">
    <w:name w:val="Normal (Web)"/>
    <w:basedOn w:val="Normal"/>
    <w:uiPriority w:val="99"/>
    <w:semiHidden/>
    <w:unhideWhenUsed/>
    <w:rsid w:val="00532576"/>
    <w:pPr>
      <w:spacing w:before="100" w:beforeAutospacing="1" w:after="100" w:afterAutospacing="1"/>
    </w:pPr>
    <w:rPr>
      <w:rFonts w:ascii="Times New Roman" w:hAnsi="Times New Roman" w:eastAsia="Times New Roman" w:cs="Times New Roman"/>
      <w:szCs w:val="24"/>
      <w:lang w:val="es-CO" w:eastAsia="es-CO"/>
    </w:rPr>
  </w:style>
  <w:style w:type="character" w:styleId="Refdecomentario">
    <w:name w:val="annotation reference"/>
    <w:basedOn w:val="Fuentedeprrafopredeter"/>
    <w:uiPriority w:val="99"/>
    <w:semiHidden/>
    <w:unhideWhenUsed/>
    <w:rsid w:val="00102723"/>
    <w:rPr>
      <w:sz w:val="16"/>
      <w:szCs w:val="16"/>
    </w:rPr>
  </w:style>
  <w:style w:type="paragraph" w:styleId="Textocomentario">
    <w:name w:val="annotation text"/>
    <w:basedOn w:val="Normal"/>
    <w:link w:val="TextocomentarioCar"/>
    <w:uiPriority w:val="99"/>
    <w:unhideWhenUsed/>
    <w:rsid w:val="00102723"/>
    <w:rPr>
      <w:sz w:val="20"/>
      <w:szCs w:val="20"/>
    </w:rPr>
  </w:style>
  <w:style w:type="character" w:styleId="TextocomentarioCar" w:customStyle="1">
    <w:name w:val="Texto comentario Car"/>
    <w:basedOn w:val="Fuentedeprrafopredeter"/>
    <w:link w:val="Textocomentario"/>
    <w:uiPriority w:val="99"/>
    <w:rsid w:val="00102723"/>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02723"/>
    <w:rPr>
      <w:b/>
      <w:bCs/>
    </w:rPr>
  </w:style>
  <w:style w:type="character" w:styleId="AsuntodelcomentarioCar" w:customStyle="1">
    <w:name w:val="Asunto del comentario Car"/>
    <w:basedOn w:val="TextocomentarioCar"/>
    <w:link w:val="Asuntodelcomentario"/>
    <w:uiPriority w:val="99"/>
    <w:semiHidden/>
    <w:rsid w:val="00102723"/>
    <w:rPr>
      <w:b/>
      <w:bCs/>
      <w:sz w:val="20"/>
      <w:szCs w:val="20"/>
      <w:lang w:val="es-MX"/>
    </w:rPr>
  </w:style>
  <w:style w:type="paragraph" w:styleId="Textoindependiente">
    <w:name w:val="Body Text"/>
    <w:basedOn w:val="Normal"/>
    <w:link w:val="TextoindependienteCar"/>
    <w:uiPriority w:val="1"/>
    <w:qFormat/>
    <w:rsid w:val="00F24C40"/>
    <w:pPr>
      <w:widowControl w:val="0"/>
      <w:autoSpaceDE w:val="0"/>
      <w:autoSpaceDN w:val="0"/>
    </w:pPr>
    <w:rPr>
      <w:rFonts w:ascii="Arial" w:hAnsi="Arial" w:eastAsia="Arial" w:cs="Arial"/>
      <w:sz w:val="22"/>
      <w:lang w:val="es-ES" w:eastAsia="es-ES" w:bidi="es-ES"/>
    </w:rPr>
  </w:style>
  <w:style w:type="character" w:styleId="TextoindependienteCar" w:customStyle="1">
    <w:name w:val="Texto independiente Car"/>
    <w:basedOn w:val="Fuentedeprrafopredeter"/>
    <w:link w:val="Textoindependiente"/>
    <w:uiPriority w:val="1"/>
    <w:rsid w:val="00F24C40"/>
    <w:rPr>
      <w:rFonts w:ascii="Arial" w:hAnsi="Arial" w:eastAsia="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85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6DF0016-CA1A-4C7D-8960-B4B554DA9230}">
  <ds:schemaRefs>
    <ds:schemaRef ds:uri="http://schemas.microsoft.com/sharepoint/v3/contenttype/forms"/>
  </ds:schemaRefs>
</ds:datastoreItem>
</file>

<file path=customXml/itemProps2.xml><?xml version="1.0" encoding="utf-8"?>
<ds:datastoreItem xmlns:ds="http://schemas.openxmlformats.org/officeDocument/2006/customXml" ds:itemID="{375B53F2-B69A-48A4-9A16-274737B5F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50DC8-C497-4DC0-B32E-E34522A5BCC4}">
  <ds:schemaRefs>
    <ds:schemaRef ds:uri="http://schemas.openxmlformats.org/officeDocument/2006/bibliography"/>
  </ds:schemaRefs>
</ds:datastoreItem>
</file>

<file path=customXml/itemProps4.xml><?xml version="1.0" encoding="utf-8"?>
<ds:datastoreItem xmlns:ds="http://schemas.openxmlformats.org/officeDocument/2006/customXml" ds:itemID="{AB2C3732-A925-4060-8241-41EBEEC75C68}">
  <ds:schemaRefs>
    <ds:schemaRef ds:uri="a6cb9e4b-f1d1-4245-83ec-6cad768d538a"/>
    <ds:schemaRef ds:uri="http://purl.org/dc/dcmitype/"/>
    <ds:schemaRef ds:uri="http://schemas.microsoft.com/office/infopath/2007/PartnerControls"/>
    <ds:schemaRef ds:uri="http://purl.org/dc/terms/"/>
    <ds:schemaRef ds:uri="9d85dbaf-23eb-4e57-a637-93dcacc8b1a1"/>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Milena Núñez Aldana</dc:creator>
  <keywords/>
  <dc:description/>
  <lastModifiedBy>Nasly Yeana Mosquera Rivas</lastModifiedBy>
  <revision>10</revision>
  <dcterms:created xsi:type="dcterms:W3CDTF">2021-05-20T16:56:00.0000000Z</dcterms:created>
  <dcterms:modified xsi:type="dcterms:W3CDTF">2021-07-30T19:30:54.1141222Z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