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0130EF4" w:rsidP="005C6805" w:rsidRDefault="00130EF4" w14:paraId="00E15061" w14:textId="77777777">
      <w:pPr>
        <w:jc w:val="both"/>
        <w:rPr>
          <w:rFonts w:ascii="Arial" w:hAnsi="Arial" w:eastAsia="Calibri" w:cs="Arial"/>
          <w:b/>
          <w:color w:val="000000" w:themeColor="text1"/>
          <w:sz w:val="22"/>
        </w:rPr>
      </w:pPr>
      <w:bookmarkStart w:name="_Hlk31875101" w:id="0"/>
      <w:bookmarkStart w:name="_Hlk29890381" w:id="1"/>
    </w:p>
    <w:p w:rsidR="008E5B2B" w:rsidP="008E5B2B" w:rsidRDefault="00130EF4" w14:paraId="1E119877" w14:textId="324D554C">
      <w:pPr>
        <w:jc w:val="both"/>
        <w:rPr>
          <w:rFonts w:ascii="Arial" w:hAnsi="Arial" w:eastAsia="Calibri" w:cs="Arial"/>
          <w:b/>
          <w:color w:val="000000" w:themeColor="text1"/>
          <w:sz w:val="22"/>
        </w:rPr>
      </w:pPr>
      <w:r w:rsidRPr="007447E6">
        <w:rPr>
          <w:rFonts w:ascii="Arial" w:hAnsi="Arial" w:eastAsia="Calibri" w:cs="Arial"/>
          <w:b/>
          <w:color w:val="000000" w:themeColor="text1"/>
          <w:sz w:val="22"/>
        </w:rPr>
        <w:t>DOCUMENTOS</w:t>
      </w:r>
      <w:r w:rsidRPr="007447E6" w:rsidR="005C6805">
        <w:rPr>
          <w:rFonts w:ascii="Arial" w:hAnsi="Arial" w:eastAsia="Calibri" w:cs="Arial"/>
          <w:b/>
          <w:color w:val="000000" w:themeColor="text1"/>
          <w:sz w:val="22"/>
        </w:rPr>
        <w:t xml:space="preserve"> TIPO – </w:t>
      </w:r>
      <w:r w:rsidRPr="007447E6" w:rsidR="006408C7">
        <w:rPr>
          <w:rFonts w:ascii="Arial" w:hAnsi="Arial" w:eastAsia="Calibri" w:cs="Arial"/>
          <w:b/>
          <w:color w:val="000000" w:themeColor="text1"/>
          <w:sz w:val="22"/>
        </w:rPr>
        <w:t xml:space="preserve">Obras de infraestructura de </w:t>
      </w:r>
      <w:r w:rsidR="004E4ADC">
        <w:rPr>
          <w:rFonts w:ascii="Arial" w:hAnsi="Arial" w:eastAsia="Calibri" w:cs="Arial"/>
          <w:b/>
          <w:color w:val="000000" w:themeColor="text1"/>
          <w:sz w:val="22"/>
        </w:rPr>
        <w:t>a</w:t>
      </w:r>
      <w:r w:rsidRPr="007447E6" w:rsidR="006408C7">
        <w:rPr>
          <w:rFonts w:ascii="Arial" w:hAnsi="Arial" w:eastAsia="Calibri" w:cs="Arial"/>
          <w:b/>
          <w:color w:val="000000" w:themeColor="text1"/>
          <w:sz w:val="22"/>
        </w:rPr>
        <w:t xml:space="preserve">gua </w:t>
      </w:r>
      <w:r w:rsidR="004E4ADC">
        <w:rPr>
          <w:rFonts w:ascii="Arial" w:hAnsi="Arial" w:eastAsia="Calibri" w:cs="Arial"/>
          <w:b/>
          <w:color w:val="000000" w:themeColor="text1"/>
          <w:sz w:val="22"/>
        </w:rPr>
        <w:t>p</w:t>
      </w:r>
      <w:r w:rsidRPr="007447E6" w:rsidR="006408C7">
        <w:rPr>
          <w:rFonts w:ascii="Arial" w:hAnsi="Arial" w:eastAsia="Calibri" w:cs="Arial"/>
          <w:b/>
          <w:color w:val="000000" w:themeColor="text1"/>
          <w:sz w:val="22"/>
        </w:rPr>
        <w:t xml:space="preserve">otable y </w:t>
      </w:r>
      <w:r w:rsidR="004E4ADC">
        <w:rPr>
          <w:rFonts w:ascii="Arial" w:hAnsi="Arial" w:eastAsia="Calibri" w:cs="Arial"/>
          <w:b/>
          <w:color w:val="000000" w:themeColor="text1"/>
          <w:sz w:val="22"/>
        </w:rPr>
        <w:t>s</w:t>
      </w:r>
      <w:r w:rsidRPr="007447E6" w:rsidR="006408C7">
        <w:rPr>
          <w:rFonts w:ascii="Arial" w:hAnsi="Arial" w:eastAsia="Calibri" w:cs="Arial"/>
          <w:b/>
          <w:color w:val="000000" w:themeColor="text1"/>
          <w:sz w:val="22"/>
        </w:rPr>
        <w:t xml:space="preserve">aneamiento </w:t>
      </w:r>
      <w:r w:rsidR="004E4ADC">
        <w:rPr>
          <w:rFonts w:ascii="Arial" w:hAnsi="Arial" w:eastAsia="Calibri" w:cs="Arial"/>
          <w:b/>
          <w:color w:val="000000" w:themeColor="text1"/>
          <w:sz w:val="22"/>
        </w:rPr>
        <w:t>b</w:t>
      </w:r>
      <w:r w:rsidR="00B873FE">
        <w:rPr>
          <w:rFonts w:ascii="Arial" w:hAnsi="Arial" w:eastAsia="Calibri" w:cs="Arial"/>
          <w:b/>
          <w:color w:val="000000" w:themeColor="text1"/>
          <w:sz w:val="22"/>
        </w:rPr>
        <w:t>ásico</w:t>
      </w:r>
    </w:p>
    <w:p w:rsidR="008E5B2B" w:rsidP="008E5B2B" w:rsidRDefault="008E5B2B" w14:paraId="54D7C8D6" w14:textId="77777777">
      <w:pPr>
        <w:jc w:val="both"/>
        <w:rPr>
          <w:rFonts w:ascii="Arial" w:hAnsi="Arial" w:eastAsia="Calibri" w:cs="Arial"/>
          <w:b/>
          <w:color w:val="000000" w:themeColor="text1"/>
          <w:sz w:val="22"/>
        </w:rPr>
      </w:pPr>
    </w:p>
    <w:p w:rsidRPr="00DD7632" w:rsidR="00DD7632" w:rsidP="63C78718" w:rsidRDefault="00DD7632" w14:paraId="795ABAC0" w14:textId="77777777">
      <w:pPr>
        <w:spacing w:before="0" w:beforeAutospacing="off" w:after="0" w:afterAutospacing="off"/>
        <w:jc w:val="both"/>
        <w:rPr>
          <w:rFonts w:ascii="Arial" w:hAnsi="Arial" w:eastAsia="Calibri" w:cs="Arial"/>
          <w:b w:val="1"/>
          <w:bCs w:val="1"/>
          <w:color w:val="000000"/>
          <w:sz w:val="20"/>
          <w:szCs w:val="20"/>
          <w:lang w:eastAsia="en-GB"/>
        </w:rPr>
      </w:pPr>
      <w:r w:rsidRPr="63C78718" w:rsidR="00DD7632">
        <w:rPr>
          <w:rFonts w:ascii="Arial" w:hAnsi="Arial" w:eastAsia="Calibri" w:cs="Arial"/>
          <w:sz w:val="20"/>
          <w:szCs w:val="20"/>
        </w:rPr>
        <w:t xml:space="preserve">En desarrollo de la Ley 2022 de 2020, la Agencia Nacional de Contratación Pública expidió las Resoluciones Nos. 248 y 249 del 1° de diciembre de 2020. Mediante dichos actos administrativos se adoptaron los documentos tipo para licitación de obras públicas de infraestructura de agua potable y saneamiento básico y los documentos tipo para licitación de obras públicas de infraestructura de agua potable y saneamiento básico en modalidad llave en mano, respectivamente. </w:t>
      </w:r>
    </w:p>
    <w:p w:rsidRPr="00DD7632" w:rsidR="00DD7632" w:rsidP="63C78718" w:rsidRDefault="00DD7632" w14:paraId="28BB5542" w14:textId="77777777">
      <w:pPr>
        <w:spacing w:before="0" w:beforeAutospacing="off" w:after="0" w:afterAutospacing="off"/>
        <w:jc w:val="both"/>
        <w:rPr>
          <w:rFonts w:ascii="Arial" w:hAnsi="Arial" w:eastAsia="Calibri" w:cs="Arial"/>
          <w:sz w:val="20"/>
          <w:szCs w:val="20"/>
        </w:rPr>
      </w:pPr>
      <w:r w:rsidRPr="63C78718" w:rsidR="00DD7632">
        <w:rPr>
          <w:rFonts w:ascii="Arial" w:hAnsi="Arial" w:eastAsia="Calibri" w:cs="Arial"/>
          <w:sz w:val="20"/>
          <w:szCs w:val="20"/>
        </w:rPr>
        <w:t xml:space="preserve">Conforme lo establece la parte considerativa de dichas resoluciones, la adopción de estos proyectos se efectuó, entre otras, con el propósito de promover la pluralidad de oferentes y adoptar buenas prácticas contractuales que garanticen el adecuado manejo de los recursos públicos destinados a las obras de agua potable y saneamiento básico. De igual manera, se busca desarrollar medidas de fortalecimiento, eficiencia y transparencia que permitan realizar y aprovechar las grandes inversiones en materia de infraestructura de agua potable y saneamiento básico que se realizarán en el país. En este sentido, estos documentos tipo se aplican a una tipología contractual específica: la obra pública para los proyectos de infraestructura de agua potable y saneamiento básico bajo la modalidad de licitación pública. </w:t>
      </w:r>
    </w:p>
    <w:p w:rsidRPr="007447E6" w:rsidR="007839FB" w:rsidP="007839FB" w:rsidRDefault="007839FB" w14:paraId="472C6CB9" w14:textId="77777777">
      <w:pPr>
        <w:spacing w:before="120"/>
        <w:jc w:val="both"/>
        <w:rPr>
          <w:rFonts w:ascii="Arial" w:hAnsi="Arial" w:eastAsia="Calibri" w:cs="Arial"/>
          <w:color w:val="000000" w:themeColor="text1"/>
          <w:sz w:val="20"/>
          <w:szCs w:val="20"/>
        </w:rPr>
      </w:pPr>
    </w:p>
    <w:p w:rsidR="009A7840" w:rsidP="008E5B2B" w:rsidRDefault="007447E6" w14:paraId="597D1589" w14:textId="7B779AFC">
      <w:pPr>
        <w:jc w:val="both"/>
        <w:rPr>
          <w:rFonts w:ascii="Arial" w:hAnsi="Arial" w:eastAsia="Calibri" w:cs="Arial"/>
          <w:b/>
          <w:color w:val="000000" w:themeColor="text1"/>
          <w:sz w:val="22"/>
        </w:rPr>
      </w:pPr>
      <w:r w:rsidRPr="007447E6">
        <w:rPr>
          <w:rFonts w:ascii="Arial" w:hAnsi="Arial" w:eastAsia="Calibri" w:cs="Arial"/>
          <w:b/>
          <w:color w:val="000000" w:themeColor="text1"/>
          <w:sz w:val="22"/>
        </w:rPr>
        <w:t xml:space="preserve">DOCUMENTOS TIPO – </w:t>
      </w:r>
      <w:r w:rsidR="00E26918">
        <w:rPr>
          <w:rFonts w:ascii="Arial" w:hAnsi="Arial" w:eastAsia="Calibri" w:cs="Arial"/>
          <w:b/>
          <w:color w:val="000000" w:themeColor="text1"/>
          <w:sz w:val="22"/>
        </w:rPr>
        <w:t>«</w:t>
      </w:r>
      <w:r w:rsidRPr="007447E6">
        <w:rPr>
          <w:rFonts w:ascii="Arial" w:hAnsi="Arial" w:eastAsia="Calibri" w:cs="Arial"/>
          <w:b/>
          <w:color w:val="000000" w:themeColor="text1"/>
          <w:sz w:val="22"/>
        </w:rPr>
        <w:t>Matriz 1 de experiencia</w:t>
      </w:r>
      <w:r w:rsidR="00E26918">
        <w:rPr>
          <w:rFonts w:ascii="Arial" w:hAnsi="Arial" w:eastAsia="Calibri" w:cs="Arial"/>
          <w:b/>
          <w:color w:val="000000" w:themeColor="text1"/>
          <w:sz w:val="22"/>
        </w:rPr>
        <w:t>»</w:t>
      </w:r>
      <w:r w:rsidRPr="007447E6">
        <w:rPr>
          <w:rFonts w:ascii="Arial" w:hAnsi="Arial" w:eastAsia="Calibri" w:cs="Arial"/>
          <w:b/>
          <w:color w:val="000000" w:themeColor="text1"/>
          <w:sz w:val="22"/>
        </w:rPr>
        <w:t xml:space="preserve"> – </w:t>
      </w:r>
      <w:r w:rsidRPr="007447E6" w:rsidR="00DD7632">
        <w:rPr>
          <w:rFonts w:ascii="Arial" w:hAnsi="Arial" w:eastAsia="Calibri" w:cs="Arial"/>
          <w:b/>
          <w:color w:val="000000" w:themeColor="text1"/>
          <w:sz w:val="22"/>
        </w:rPr>
        <w:t xml:space="preserve">Obras de infraestructura de </w:t>
      </w:r>
      <w:r w:rsidR="00DD7632">
        <w:rPr>
          <w:rFonts w:ascii="Arial" w:hAnsi="Arial" w:eastAsia="Calibri" w:cs="Arial"/>
          <w:b/>
          <w:color w:val="000000" w:themeColor="text1"/>
          <w:sz w:val="22"/>
        </w:rPr>
        <w:t>a</w:t>
      </w:r>
      <w:r w:rsidRPr="007447E6" w:rsidR="00DD7632">
        <w:rPr>
          <w:rFonts w:ascii="Arial" w:hAnsi="Arial" w:eastAsia="Calibri" w:cs="Arial"/>
          <w:b/>
          <w:color w:val="000000" w:themeColor="text1"/>
          <w:sz w:val="22"/>
        </w:rPr>
        <w:t xml:space="preserve">gua </w:t>
      </w:r>
      <w:r w:rsidR="00DD7632">
        <w:rPr>
          <w:rFonts w:ascii="Arial" w:hAnsi="Arial" w:eastAsia="Calibri" w:cs="Arial"/>
          <w:b/>
          <w:color w:val="000000" w:themeColor="text1"/>
          <w:sz w:val="22"/>
        </w:rPr>
        <w:t>p</w:t>
      </w:r>
      <w:r w:rsidRPr="007447E6" w:rsidR="00DD7632">
        <w:rPr>
          <w:rFonts w:ascii="Arial" w:hAnsi="Arial" w:eastAsia="Calibri" w:cs="Arial"/>
          <w:b/>
          <w:color w:val="000000" w:themeColor="text1"/>
          <w:sz w:val="22"/>
        </w:rPr>
        <w:t xml:space="preserve">otable y </w:t>
      </w:r>
      <w:r w:rsidR="00DD7632">
        <w:rPr>
          <w:rFonts w:ascii="Arial" w:hAnsi="Arial" w:eastAsia="Calibri" w:cs="Arial"/>
          <w:b/>
          <w:color w:val="000000" w:themeColor="text1"/>
          <w:sz w:val="22"/>
        </w:rPr>
        <w:t>s</w:t>
      </w:r>
      <w:r w:rsidRPr="007447E6" w:rsidR="00DD7632">
        <w:rPr>
          <w:rFonts w:ascii="Arial" w:hAnsi="Arial" w:eastAsia="Calibri" w:cs="Arial"/>
          <w:b/>
          <w:color w:val="000000" w:themeColor="text1"/>
          <w:sz w:val="22"/>
        </w:rPr>
        <w:t xml:space="preserve">aneamiento </w:t>
      </w:r>
      <w:r w:rsidR="00B873FE">
        <w:rPr>
          <w:rFonts w:ascii="Arial" w:hAnsi="Arial" w:eastAsia="Calibri" w:cs="Arial"/>
          <w:b/>
          <w:color w:val="000000" w:themeColor="text1"/>
          <w:sz w:val="22"/>
        </w:rPr>
        <w:t>básico</w:t>
      </w:r>
    </w:p>
    <w:p w:rsidR="00DD7632" w:rsidP="008E5B2B" w:rsidRDefault="00DD7632" w14:paraId="5EB17607" w14:textId="21C78A40">
      <w:pPr>
        <w:jc w:val="both"/>
        <w:rPr>
          <w:rFonts w:ascii="Arial" w:hAnsi="Arial" w:eastAsia="Calibri" w:cs="Arial"/>
          <w:b/>
          <w:color w:val="000000" w:themeColor="text1"/>
          <w:sz w:val="22"/>
        </w:rPr>
      </w:pPr>
    </w:p>
    <w:p w:rsidRPr="00DD7632" w:rsidR="008E5B2B" w:rsidP="63C78718" w:rsidRDefault="00DD7632" w14:paraId="75782AA2" w14:textId="1C97FAAA">
      <w:pPr>
        <w:spacing w:after="0" w:afterAutospacing="off"/>
        <w:jc w:val="both"/>
        <w:rPr>
          <w:rFonts w:ascii="Arial" w:hAnsi="Arial" w:eastAsia="Calibri" w:cs="Arial"/>
          <w:color w:val="000000" w:themeColor="text1"/>
          <w:sz w:val="22"/>
          <w:szCs w:val="22"/>
        </w:rPr>
      </w:pPr>
      <w:r w:rsidRPr="63C78718" w:rsidR="00DD7632">
        <w:rPr>
          <w:rFonts w:ascii="Arial" w:hAnsi="Arial" w:eastAsia="Calibri" w:cs="Arial"/>
          <w:color w:val="000000" w:themeColor="text1" w:themeTint="FF" w:themeShade="FF"/>
          <w:sz w:val="22"/>
          <w:szCs w:val="22"/>
        </w:rPr>
        <w:t>[…]</w:t>
      </w:r>
    </w:p>
    <w:p w:rsidRPr="00DD7632" w:rsidR="00DD7632" w:rsidP="63C78718" w:rsidRDefault="00DD7632" w14:paraId="2C17D5BE" w14:textId="77777777">
      <w:pPr>
        <w:spacing w:after="0" w:afterAutospacing="off"/>
        <w:jc w:val="both"/>
        <w:rPr>
          <w:rFonts w:ascii="Arial" w:hAnsi="Arial" w:eastAsia="Calibri" w:cs="Arial"/>
          <w:sz w:val="20"/>
          <w:szCs w:val="20"/>
        </w:rPr>
      </w:pPr>
      <w:r w:rsidRPr="63C78718" w:rsidR="00DD7632">
        <w:rPr>
          <w:rFonts w:ascii="Arial" w:hAnsi="Arial" w:eastAsia="Calibri" w:cs="Arial"/>
          <w:sz w:val="20"/>
          <w:szCs w:val="20"/>
        </w:rPr>
        <w:t>La experiencia específica de la actividad 1.2 indica que, de los contratos válidos que se aporten como experiencia, debe corresponder mínimo al 70% de las cantidades de la obra más representativa que corresponde a «Actividades de intervención o instalación de: redes hidrosanitarias; y/o acueductos y/o alcantarillados, según sea el caso».</w:t>
      </w:r>
    </w:p>
    <w:p w:rsidRPr="00DD7632" w:rsidR="00DD7632" w:rsidP="63C78718" w:rsidRDefault="00DD7632" w14:paraId="296FAE3F" w14:textId="77777777">
      <w:pPr>
        <w:spacing w:after="0" w:afterAutospacing="off"/>
        <w:jc w:val="both"/>
        <w:rPr>
          <w:rFonts w:ascii="Arial" w:hAnsi="Arial" w:eastAsia="Calibri" w:cs="Arial"/>
          <w:sz w:val="20"/>
          <w:szCs w:val="20"/>
        </w:rPr>
      </w:pPr>
      <w:r w:rsidRPr="63C78718" w:rsidR="00DD7632">
        <w:rPr>
          <w:rFonts w:ascii="Arial" w:hAnsi="Arial" w:eastAsia="Calibri" w:cs="Arial"/>
          <w:sz w:val="20"/>
          <w:szCs w:val="20"/>
        </w:rPr>
        <w:t>Por ende, la entidad debe señalar, de esas actividades listadas, cuál es la actividad principal, para que el proponente acredite la experiencia frente a esta. Como se observa en la Matriz 1 – Experiencia, la actividad principal de la experiencia específica del numeral 1.2, no está determinada por ningún criterio en particular, solo indica que se debe elegir mínimo una actividad principal que sea la más representativa pero no se señalan aspectos a tener en cuenta para definirla, a diferencia del numeral 1.1 que señala una longitud, y, donde en ese caso, la entidad, discrecionalmente, debe determinar mínimo una actividad principal de las allí enlistadas, pudiendo seleccionar más de una.</w:t>
      </w:r>
    </w:p>
    <w:p w:rsidRPr="00DD7632" w:rsidR="00DD7632" w:rsidP="63C78718" w:rsidRDefault="00DD7632" w14:paraId="3C7C60A8" w14:textId="77777777">
      <w:pPr>
        <w:spacing w:after="0" w:afterAutospacing="off"/>
        <w:jc w:val="both"/>
        <w:rPr>
          <w:rFonts w:ascii="Arial" w:hAnsi="Arial" w:eastAsia="Calibri" w:cs="Arial"/>
          <w:sz w:val="20"/>
          <w:szCs w:val="20"/>
        </w:rPr>
      </w:pPr>
      <w:r w:rsidRPr="63C78718" w:rsidR="00DD7632">
        <w:rPr>
          <w:rFonts w:ascii="Arial" w:hAnsi="Arial" w:eastAsia="Calibri" w:cs="Arial"/>
          <w:sz w:val="20"/>
          <w:szCs w:val="20"/>
        </w:rPr>
        <w:t xml:space="preserve">Además del aspecto señalado anteriormente, no existen otros espacios o notas que permitan su modificación. De esta manera, no es posible que la entidad solicite otros aspectos, ya que la matriz no lo incluyó y la misma se rige por el principio de inalterabilidad. Adicional a esto, la entidad como conocedora del proyecto que se planea materializar y producto de su etapa de planeación deberá realizar la verificación de las condiciones técnicas aplicables al mismo, basado en las nociones generales y técnicas propias del desarrollo de obras públicas propias de la ingeniería. </w:t>
      </w:r>
    </w:p>
    <w:p w:rsidRPr="00DD7632" w:rsidR="009A0124" w:rsidP="63C78718" w:rsidRDefault="009A0124" w14:paraId="25C2C68A" w14:textId="77777777">
      <w:pPr>
        <w:spacing w:after="0" w:afterAutospacing="off"/>
        <w:jc w:val="both"/>
        <w:rPr>
          <w:rFonts w:ascii="Arial" w:hAnsi="Arial" w:eastAsia="Calibri" w:cs="Arial"/>
          <w:color w:val="000000" w:themeColor="text1"/>
          <w:sz w:val="20"/>
          <w:szCs w:val="20"/>
          <w:lang w:val="es-ES"/>
        </w:rPr>
      </w:pPr>
    </w:p>
    <w:p w:rsidR="0008060F" w:rsidP="63C78718" w:rsidRDefault="00B873FE" w14:paraId="5F2ABB4A" w14:textId="32A2A3E3">
      <w:pPr>
        <w:pStyle w:val="Normal"/>
        <w:spacing w:after="0" w:afterAutospacing="off"/>
        <w:jc w:val="both"/>
        <w:rPr>
          <w:rFonts w:ascii="Arial" w:hAnsi="Arial" w:eastAsia="Calibri" w:cs="Arial"/>
          <w:b w:val="1"/>
          <w:bCs w:val="1"/>
          <w:sz w:val="22"/>
          <w:szCs w:val="22"/>
          <w:lang w:val="es-ES" w:eastAsia="es-ES"/>
        </w:rPr>
      </w:pPr>
      <w:r w:rsidRPr="63C78718" w:rsidR="0008060F">
        <w:rPr>
          <w:rFonts w:ascii="Arial" w:hAnsi="Arial" w:eastAsia="Calibri" w:cs="Arial"/>
          <w:b w:val="1"/>
          <w:bCs w:val="1"/>
          <w:sz w:val="22"/>
          <w:szCs w:val="22"/>
          <w:lang w:val="es-ES" w:eastAsia="es-ES"/>
        </w:rPr>
        <w:t>REGISTRO NACIONAL DE OBRAS CIVILES INCONCLUSAS – Deber de verificación</w:t>
      </w:r>
      <w:r w:rsidRPr="63C78718" w:rsidR="00B873FE">
        <w:rPr>
          <w:rFonts w:ascii="Arial" w:hAnsi="Arial" w:eastAsia="Calibri" w:cs="Arial"/>
          <w:b w:val="1"/>
          <w:bCs w:val="1"/>
          <w:sz w:val="22"/>
          <w:szCs w:val="22"/>
          <w:lang w:val="es-ES" w:eastAsia="es-ES"/>
        </w:rPr>
        <w:t xml:space="preserve"> </w:t>
      </w:r>
      <w:r w:rsidRPr="63C78718" w:rsidR="27CCAC65">
        <w:rPr>
          <w:rFonts w:ascii="Arial" w:hAnsi="Arial" w:eastAsia="Calibri" w:cs="Arial"/>
          <w:b w:val="1"/>
          <w:bCs w:val="1"/>
          <w:sz w:val="22"/>
          <w:szCs w:val="22"/>
          <w:lang w:val="es-ES" w:eastAsia="es-ES"/>
        </w:rPr>
        <w:t>–</w:t>
      </w:r>
      <w:r w:rsidRPr="63C78718" w:rsidR="00B873FE">
        <w:rPr>
          <w:rFonts w:ascii="Arial" w:hAnsi="Arial" w:eastAsia="Calibri" w:cs="Arial"/>
          <w:b w:val="1"/>
          <w:bCs w:val="1"/>
          <w:sz w:val="22"/>
          <w:szCs w:val="22"/>
          <w:lang w:val="es-ES" w:eastAsia="es-ES"/>
        </w:rPr>
        <w:t>E</w:t>
      </w:r>
      <w:r w:rsidRPr="63C78718" w:rsidR="00DD7632">
        <w:rPr>
          <w:rFonts w:ascii="Arial" w:hAnsi="Arial" w:eastAsia="Calibri" w:cs="Arial"/>
          <w:b w:val="1"/>
          <w:bCs w:val="1"/>
          <w:sz w:val="22"/>
          <w:szCs w:val="22"/>
          <w:lang w:val="es-ES" w:eastAsia="es-ES"/>
        </w:rPr>
        <w:t xml:space="preserve">valuación de factores de calidad </w:t>
      </w:r>
      <w:r w:rsidRPr="63C78718" w:rsidR="00B873FE">
        <w:rPr>
          <w:rFonts w:ascii="Arial" w:hAnsi="Arial" w:eastAsia="Calibri" w:cs="Arial"/>
          <w:b w:val="1"/>
          <w:bCs w:val="1"/>
          <w:sz w:val="22"/>
          <w:szCs w:val="22"/>
          <w:lang w:val="es-ES" w:eastAsia="es-ES"/>
        </w:rPr>
        <w:t>– S</w:t>
      </w:r>
      <w:r w:rsidRPr="63C78718" w:rsidR="00DD7632">
        <w:rPr>
          <w:rFonts w:ascii="Arial" w:hAnsi="Arial" w:eastAsia="Calibri" w:cs="Arial"/>
          <w:b w:val="1"/>
          <w:bCs w:val="1"/>
          <w:sz w:val="22"/>
          <w:szCs w:val="22"/>
          <w:lang w:val="es-ES" w:eastAsia="es-ES"/>
        </w:rPr>
        <w:t>elección de contr</w:t>
      </w:r>
      <w:r w:rsidRPr="63C78718" w:rsidR="00B873FE">
        <w:rPr>
          <w:rFonts w:ascii="Arial" w:hAnsi="Arial" w:eastAsia="Calibri" w:cs="Arial"/>
          <w:b w:val="1"/>
          <w:bCs w:val="1"/>
          <w:sz w:val="22"/>
          <w:szCs w:val="22"/>
          <w:lang w:val="es-ES" w:eastAsia="es-ES"/>
        </w:rPr>
        <w:t>atistas de obra o interventores</w:t>
      </w:r>
      <w:r w:rsidRPr="63C78718" w:rsidR="00DD7632">
        <w:rPr>
          <w:rFonts w:ascii="Arial" w:hAnsi="Arial" w:eastAsia="Calibri" w:cs="Arial"/>
          <w:b w:val="1"/>
          <w:bCs w:val="1"/>
          <w:sz w:val="22"/>
          <w:szCs w:val="22"/>
          <w:lang w:val="es-ES" w:eastAsia="es-ES"/>
        </w:rPr>
        <w:t xml:space="preserve"> </w:t>
      </w:r>
    </w:p>
    <w:p w:rsidRPr="009A0124" w:rsidR="009A0124" w:rsidP="63C78718" w:rsidRDefault="009A0124" w14:paraId="6A5ABD6F" w14:textId="77777777">
      <w:pPr>
        <w:spacing w:after="0" w:afterAutospacing="off"/>
        <w:jc w:val="both"/>
        <w:rPr>
          <w:rFonts w:ascii="Arial" w:hAnsi="Arial" w:eastAsia="Calibri" w:cs="Arial"/>
          <w:b w:val="1"/>
          <w:bCs w:val="1"/>
          <w:sz w:val="22"/>
          <w:szCs w:val="22"/>
          <w:lang w:val="es-ES" w:eastAsia="es-ES"/>
        </w:rPr>
      </w:pPr>
    </w:p>
    <w:p w:rsidRPr="0022358F" w:rsidR="0022358F" w:rsidP="63C78718" w:rsidRDefault="0022358F" w14:paraId="6F949BD0" w14:textId="2B514352">
      <w:pPr>
        <w:spacing w:after="0" w:afterAutospacing="off"/>
        <w:jc w:val="both"/>
        <w:rPr>
          <w:rFonts w:ascii="Arial" w:hAnsi="Arial" w:eastAsia="Calibri" w:cs="Arial"/>
          <w:sz w:val="20"/>
          <w:szCs w:val="20"/>
        </w:rPr>
      </w:pPr>
      <w:r w:rsidRPr="63C78718" w:rsidR="0022358F">
        <w:rPr>
          <w:rFonts w:ascii="Arial" w:hAnsi="Arial" w:eastAsia="Calibri" w:cs="Arial"/>
          <w:sz w:val="20"/>
          <w:szCs w:val="20"/>
        </w:rPr>
        <w:t xml:space="preserve">Así las cosas, para interpretar el apartado del artículo 6 de la Ley 2020 de 2020 –referido a la evaluación de los factores de ponderación de calidad, previo análisis de las anotaciones del Registro Nacional de Obras Civiles Inconclusas–, debe resaltarse que el artículo 5 de la Ley 1150 de 2007 no </w:t>
      </w:r>
      <w:r w:rsidRPr="63C78718" w:rsidR="0022358F">
        <w:rPr>
          <w:rFonts w:ascii="Arial" w:hAnsi="Arial" w:eastAsia="Calibri" w:cs="Arial"/>
          <w:sz w:val="20"/>
          <w:szCs w:val="20"/>
        </w:rPr>
        <w:t>los define, sino que se limita a mencionarlos de manera genérica. En efecto, el literal a) de dicho artículo está precedido por un inciso que establece: «En los procesos de selección en los que se tenga en cuenta los factores técnicos y económicos, la oferta más ventajosa será la que resulte de aplicar alguna de las siguientes alternativas»; y, a renglón seguido, dentro de las «alternativas», el legislador incorpora la siguiente: «a) La ponderación de los elementos de calidad y precio soportados en puntajes o fórmulas señaladas en el pliego de condiciones».</w:t>
      </w:r>
    </w:p>
    <w:p w:rsidRPr="0022358F" w:rsidR="0022358F" w:rsidP="63C78718" w:rsidRDefault="0022358F" w14:paraId="32D4B17D" w14:textId="77777777">
      <w:pPr>
        <w:spacing w:after="0" w:afterAutospacing="off"/>
        <w:jc w:val="both"/>
        <w:rPr>
          <w:rFonts w:ascii="Arial" w:hAnsi="Arial" w:eastAsia="Calibri" w:cs="Arial"/>
          <w:sz w:val="20"/>
          <w:szCs w:val="20"/>
        </w:rPr>
      </w:pPr>
      <w:r w:rsidRPr="63C78718" w:rsidR="0022358F">
        <w:rPr>
          <w:rFonts w:ascii="Arial" w:hAnsi="Arial" w:eastAsia="Calibri" w:cs="Arial"/>
          <w:sz w:val="20"/>
          <w:szCs w:val="20"/>
        </w:rPr>
        <w:t>Como puede apreciarse, el Congreso de la República optó por conceder a las entidades estatales un margen de discrecionalidad administrativa para determinar en los procedimientos de selección que realicen cuáles serán los elementos de calidad y precio que tendrán en cuenta en la calificación o ponderación. De igual forma, el legislador no estableció una fórmula o metodología específica para realizar esta ponderación, sino que también la dejó a la apreciación de las entidades públicas interesadas en contratar. Sin embargo, esta debe ser adecuada y proporcional a la naturaleza y valor del contrato.</w:t>
      </w:r>
    </w:p>
    <w:p w:rsidRPr="0022358F" w:rsidR="007E2255" w:rsidP="009A0124" w:rsidRDefault="0022358F" w14:paraId="73F26F0C" w14:textId="4782F483">
      <w:pPr>
        <w:tabs>
          <w:tab w:val="left" w:pos="0"/>
        </w:tabs>
        <w:jc w:val="both"/>
        <w:rPr>
          <w:rFonts w:ascii="Arial" w:hAnsi="Arial" w:eastAsia="Calibri" w:cs="Arial"/>
          <w:color w:val="000000" w:themeColor="text1"/>
          <w:sz w:val="20"/>
          <w:szCs w:val="20"/>
        </w:rPr>
      </w:pPr>
      <w:r>
        <w:rPr>
          <w:rFonts w:ascii="Arial" w:hAnsi="Arial" w:eastAsia="Calibri" w:cs="Arial"/>
          <w:color w:val="000000" w:themeColor="text1"/>
          <w:sz w:val="20"/>
          <w:szCs w:val="20"/>
        </w:rPr>
        <w:t>.</w:t>
      </w:r>
    </w:p>
    <w:p w:rsidR="00FF3289" w:rsidP="008E5B2B" w:rsidRDefault="0008060F" w14:paraId="1EF6BD2A" w14:textId="5F6EE6F0">
      <w:pPr>
        <w:tabs>
          <w:tab w:val="left" w:pos="1073"/>
        </w:tabs>
        <w:spacing w:line="276" w:lineRule="auto"/>
        <w:jc w:val="both"/>
        <w:rPr>
          <w:rFonts w:ascii="Arial" w:hAnsi="Arial" w:eastAsia="Calibri" w:cs="Arial"/>
          <w:b/>
          <w:color w:val="000000" w:themeColor="text1"/>
          <w:sz w:val="22"/>
          <w:lang w:val="es-ES_tradnl"/>
        </w:rPr>
      </w:pPr>
      <w:r w:rsidRPr="007447E6">
        <w:rPr>
          <w:rFonts w:ascii="Arial" w:hAnsi="Arial" w:eastAsia="Calibri" w:cs="Arial"/>
          <w:b/>
          <w:color w:val="000000" w:themeColor="text1"/>
          <w:sz w:val="22"/>
          <w:lang w:val="es-ES_tradnl"/>
        </w:rPr>
        <w:t>REGISTRO NACIONAL DE OBRAS INCONCLUSAS –</w:t>
      </w:r>
      <w:r w:rsidR="0022358F">
        <w:rPr>
          <w:rFonts w:ascii="Arial" w:hAnsi="Arial" w:eastAsia="Calibri" w:cs="Arial"/>
          <w:b/>
          <w:color w:val="000000" w:themeColor="text1"/>
          <w:sz w:val="22"/>
          <w:lang w:val="es-ES_tradnl"/>
        </w:rPr>
        <w:t xml:space="preserve"> Documentos tipo</w:t>
      </w:r>
      <w:r w:rsidR="00FA41D6">
        <w:rPr>
          <w:rFonts w:ascii="Arial" w:hAnsi="Arial" w:eastAsia="Calibri" w:cs="Arial"/>
          <w:b/>
          <w:color w:val="000000" w:themeColor="text1"/>
          <w:sz w:val="22"/>
          <w:lang w:val="es-ES_tradnl"/>
        </w:rPr>
        <w:t xml:space="preserve"> –</w:t>
      </w:r>
      <w:r w:rsidRPr="007447E6">
        <w:rPr>
          <w:rFonts w:ascii="Arial" w:hAnsi="Arial" w:eastAsia="Calibri" w:cs="Arial"/>
          <w:b/>
          <w:color w:val="000000" w:themeColor="text1"/>
          <w:sz w:val="22"/>
          <w:lang w:val="es-ES_tradnl"/>
        </w:rPr>
        <w:t xml:space="preserve"> </w:t>
      </w:r>
      <w:r w:rsidR="004374A8">
        <w:rPr>
          <w:rFonts w:ascii="Arial" w:hAnsi="Arial" w:eastAsia="Calibri" w:cs="Arial"/>
          <w:b/>
          <w:color w:val="000000" w:themeColor="text1"/>
          <w:sz w:val="22"/>
          <w:lang w:val="es-ES_tradnl"/>
        </w:rPr>
        <w:t>Anotaciones</w:t>
      </w:r>
    </w:p>
    <w:p w:rsidRPr="007447E6" w:rsidR="00AD7A83" w:rsidP="008E5B2B" w:rsidRDefault="0022358F" w14:paraId="47460E62" w14:textId="5FECEAC0">
      <w:pPr>
        <w:tabs>
          <w:tab w:val="left" w:pos="1073"/>
        </w:tabs>
        <w:spacing w:line="276" w:lineRule="auto"/>
        <w:jc w:val="both"/>
        <w:rPr>
          <w:rFonts w:ascii="Arial" w:hAnsi="Arial" w:eastAsia="Calibri" w:cs="Arial"/>
          <w:b/>
          <w:color w:val="000000" w:themeColor="text1"/>
          <w:sz w:val="22"/>
          <w:lang w:val="es-ES_tradnl"/>
        </w:rPr>
      </w:pPr>
      <w:r>
        <w:rPr>
          <w:rFonts w:ascii="Arial" w:hAnsi="Arial" w:eastAsia="Calibri" w:cs="Arial"/>
          <w:b/>
          <w:color w:val="000000" w:themeColor="text1"/>
          <w:sz w:val="22"/>
          <w:lang w:val="es-ES_tradnl"/>
        </w:rPr>
        <w:t xml:space="preserve"> </w:t>
      </w:r>
    </w:p>
    <w:p w:rsidRPr="0022358F" w:rsidR="0022358F" w:rsidP="63C78718" w:rsidRDefault="0022358F" w14:paraId="0AF6DA22" w14:textId="29E27B2C">
      <w:pPr>
        <w:spacing w:before="0" w:beforeAutospacing="off" w:after="0" w:afterAutospacing="off"/>
        <w:jc w:val="both"/>
        <w:rPr>
          <w:rFonts w:ascii="Arial" w:hAnsi="Arial" w:eastAsia="Calibri" w:cs="Arial"/>
          <w:sz w:val="20"/>
          <w:szCs w:val="20"/>
        </w:rPr>
      </w:pPr>
      <w:r w:rsidRPr="63C78718" w:rsidR="0022358F">
        <w:rPr>
          <w:rFonts w:ascii="Arial" w:hAnsi="Arial" w:eastAsia="Calibri" w:cs="Arial"/>
          <w:sz w:val="20"/>
          <w:szCs w:val="20"/>
        </w:rPr>
        <w:t xml:space="preserve">[…] es preciso aclarar que el artículo 6 de la Ley 2020 de 2020 hace referencia al deber de consultar las anotaciones vigentes que presenten las personas naturales o jurídicas, nacionales o extranjeras domiciliadas o con sucursal en Colombia. Está disposición no alude a la posibilidad de afectar la evaluación de un proponente en atención a las anotaciones de sus accionistas o socios. El inciso segundo del artículo 6, tampoco regula la posibilidad de afectar la ponderación por las anotaciones de los socios de la persona jurídica que participa en calidad de proponente. </w:t>
      </w:r>
    </w:p>
    <w:p w:rsidRPr="0022358F" w:rsidR="0022358F" w:rsidP="63C78718" w:rsidRDefault="0022358F" w14:paraId="3B1B09BE" w14:textId="6AC38556">
      <w:pPr>
        <w:spacing w:before="0" w:beforeAutospacing="off" w:after="0" w:afterAutospacing="off"/>
        <w:jc w:val="both"/>
        <w:rPr>
          <w:rFonts w:ascii="Arial" w:hAnsi="Arial" w:eastAsia="Calibri" w:cs="Arial"/>
          <w:sz w:val="20"/>
          <w:szCs w:val="20"/>
        </w:rPr>
      </w:pPr>
      <w:r w:rsidRPr="63C78718" w:rsidR="0022358F">
        <w:rPr>
          <w:rFonts w:ascii="Arial" w:hAnsi="Arial" w:eastAsia="Calibri" w:cs="Arial"/>
          <w:sz w:val="20"/>
          <w:szCs w:val="20"/>
        </w:rPr>
        <w:t>La posibilidad de restar puntaje por anotaciones vigentes respecto de los socios de una persona jurídica tampoco se desprende del numeral 4.2 del documento base citado ut supra, que parece solo hacer referencia a la posibilidad de restar puntaje cuando la anot</w:t>
      </w:r>
      <w:bookmarkStart w:name="_GoBack" w:id="2"/>
      <w:bookmarkEnd w:id="2"/>
      <w:r w:rsidRPr="63C78718" w:rsidR="0022358F">
        <w:rPr>
          <w:rFonts w:ascii="Arial" w:hAnsi="Arial" w:eastAsia="Calibri" w:cs="Arial"/>
          <w:sz w:val="20"/>
          <w:szCs w:val="20"/>
        </w:rPr>
        <w:t xml:space="preserve">ación está vigente respecto de la persona natural o jurídica, o de alguno de los miembros del proponente plural.  En ese sentido, en principio, considerando que «donde la norma no distingue, no le está dado al interprete hacerlo», no resultaría valido extender los efectos de una anotación hecha en el mencionado registro a una persona natural, a las sociedades de las cuales esta fuera socio, máxime cuando la sociedad constituye una persona jurídica distinta de sus socios, y que estos no necesariamente participan de la gestión de la sociedad o de la ejecución del objeto social de la misma.  </w:t>
      </w:r>
    </w:p>
    <w:p w:rsidRPr="0022358F" w:rsidR="00AD7A83" w:rsidP="00AD7A83" w:rsidRDefault="00AD7A83" w14:paraId="56AB9254" w14:textId="77777777">
      <w:pPr>
        <w:tabs>
          <w:tab w:val="left" w:pos="0"/>
        </w:tabs>
        <w:jc w:val="both"/>
        <w:rPr>
          <w:rFonts w:ascii="Arial" w:hAnsi="Arial" w:eastAsia="Calibri" w:cs="Arial"/>
          <w:sz w:val="20"/>
          <w:szCs w:val="20"/>
        </w:rPr>
      </w:pPr>
    </w:p>
    <w:p w:rsidRPr="00AD7A83" w:rsidR="00AD7A83" w:rsidP="00AD7A83" w:rsidRDefault="00AD7A83" w14:paraId="2376362A" w14:textId="77777777">
      <w:pPr>
        <w:tabs>
          <w:tab w:val="left" w:pos="0"/>
        </w:tabs>
        <w:jc w:val="both"/>
        <w:rPr>
          <w:rFonts w:ascii="Arial" w:hAnsi="Arial" w:eastAsia="Calibri" w:cs="Arial"/>
          <w:color w:val="000000" w:themeColor="text1"/>
          <w:sz w:val="20"/>
          <w:szCs w:val="20"/>
        </w:rPr>
      </w:pPr>
    </w:p>
    <w:p w:rsidR="006B06BF" w:rsidP="00B67F3A" w:rsidRDefault="006B06BF" w14:paraId="7E50F6A0" w14:textId="7ABE5F0E">
      <w:pPr>
        <w:spacing w:line="276" w:lineRule="auto"/>
        <w:rPr>
          <w:rFonts w:ascii="Arial" w:hAnsi="Arial" w:eastAsia="Calibri" w:cs="Arial"/>
          <w:sz w:val="22"/>
        </w:rPr>
      </w:pPr>
    </w:p>
    <w:p w:rsidR="0008060F" w:rsidP="00B67F3A" w:rsidRDefault="0008060F" w14:paraId="269780C4" w14:textId="2D112DE6">
      <w:pPr>
        <w:spacing w:line="276" w:lineRule="auto"/>
        <w:rPr>
          <w:rFonts w:ascii="Arial" w:hAnsi="Arial" w:eastAsia="Calibri" w:cs="Arial"/>
          <w:sz w:val="22"/>
        </w:rPr>
      </w:pPr>
    </w:p>
    <w:p w:rsidR="00AD7A83" w:rsidP="00B67F3A" w:rsidRDefault="00AD7A83" w14:paraId="071A915F" w14:textId="5191CA94">
      <w:pPr>
        <w:spacing w:line="276" w:lineRule="auto"/>
        <w:rPr>
          <w:rFonts w:ascii="Arial" w:hAnsi="Arial" w:eastAsia="Calibri" w:cs="Arial"/>
          <w:sz w:val="22"/>
        </w:rPr>
      </w:pPr>
    </w:p>
    <w:p w:rsidR="00AD7A83" w:rsidP="00B67F3A" w:rsidRDefault="00AD7A83" w14:paraId="61156F13" w14:textId="793DF326">
      <w:pPr>
        <w:spacing w:line="276" w:lineRule="auto"/>
        <w:rPr>
          <w:rFonts w:ascii="Arial" w:hAnsi="Arial" w:eastAsia="Calibri" w:cs="Arial"/>
          <w:sz w:val="22"/>
        </w:rPr>
      </w:pPr>
    </w:p>
    <w:p w:rsidR="00AD7A83" w:rsidP="00B67F3A" w:rsidRDefault="00AD7A83" w14:paraId="58A5F3E9" w14:textId="2E810B6D">
      <w:pPr>
        <w:spacing w:line="276" w:lineRule="auto"/>
        <w:rPr>
          <w:rFonts w:ascii="Arial" w:hAnsi="Arial" w:eastAsia="Calibri" w:cs="Arial"/>
          <w:sz w:val="22"/>
        </w:rPr>
      </w:pPr>
    </w:p>
    <w:p w:rsidR="00AD7A83" w:rsidP="00B67F3A" w:rsidRDefault="00AD7A83" w14:paraId="27A015A3" w14:textId="7C71AEAC">
      <w:pPr>
        <w:spacing w:line="276" w:lineRule="auto"/>
        <w:rPr>
          <w:rFonts w:ascii="Arial" w:hAnsi="Arial" w:eastAsia="Calibri" w:cs="Arial"/>
          <w:sz w:val="22"/>
        </w:rPr>
      </w:pPr>
    </w:p>
    <w:p w:rsidR="00AD7A83" w:rsidP="00B67F3A" w:rsidRDefault="00AD7A83" w14:paraId="3046E95B" w14:textId="1FE4FB6F">
      <w:pPr>
        <w:spacing w:line="276" w:lineRule="auto"/>
        <w:rPr>
          <w:rFonts w:ascii="Arial" w:hAnsi="Arial" w:eastAsia="Calibri" w:cs="Arial"/>
          <w:sz w:val="22"/>
        </w:rPr>
      </w:pPr>
    </w:p>
    <w:p w:rsidR="00AD7A83" w:rsidP="00B67F3A" w:rsidRDefault="00AD7A83" w14:paraId="2E8E9297" w14:textId="549ACA7D">
      <w:pPr>
        <w:spacing w:line="276" w:lineRule="auto"/>
        <w:rPr>
          <w:rFonts w:ascii="Arial" w:hAnsi="Arial" w:eastAsia="Calibri" w:cs="Arial"/>
          <w:sz w:val="22"/>
        </w:rPr>
      </w:pPr>
    </w:p>
    <w:p w:rsidR="00AD7A83" w:rsidP="00B67F3A" w:rsidRDefault="00AD7A83" w14:paraId="5156F60D" w14:textId="7F098A75">
      <w:pPr>
        <w:spacing w:line="276" w:lineRule="auto"/>
        <w:rPr>
          <w:rFonts w:ascii="Arial" w:hAnsi="Arial" w:eastAsia="Calibri" w:cs="Arial"/>
          <w:sz w:val="22"/>
        </w:rPr>
      </w:pPr>
    </w:p>
    <w:p w:rsidR="00AD7A83" w:rsidP="00B67F3A" w:rsidRDefault="00AD7A83" w14:paraId="2C11A6BD" w14:textId="30F3053A">
      <w:pPr>
        <w:spacing w:line="276" w:lineRule="auto"/>
        <w:rPr>
          <w:rFonts w:ascii="Arial" w:hAnsi="Arial" w:eastAsia="Calibri" w:cs="Arial"/>
          <w:sz w:val="22"/>
        </w:rPr>
      </w:pPr>
    </w:p>
    <w:p w:rsidR="00AD7A83" w:rsidP="00B67F3A" w:rsidRDefault="00AD7A83" w14:paraId="761C5AC8" w14:textId="58B72BD7">
      <w:pPr>
        <w:spacing w:line="276" w:lineRule="auto"/>
        <w:rPr>
          <w:rFonts w:ascii="Arial" w:hAnsi="Arial" w:eastAsia="Calibri" w:cs="Arial"/>
          <w:sz w:val="22"/>
        </w:rPr>
      </w:pPr>
    </w:p>
    <w:p w:rsidR="00AD7A83" w:rsidP="00B67F3A" w:rsidRDefault="00AD7A83" w14:paraId="0619AF60" w14:textId="4CF2D2C0">
      <w:pPr>
        <w:spacing w:line="276" w:lineRule="auto"/>
        <w:rPr>
          <w:rFonts w:ascii="Arial" w:hAnsi="Arial" w:eastAsia="Calibri" w:cs="Arial"/>
          <w:sz w:val="22"/>
        </w:rPr>
      </w:pPr>
    </w:p>
    <w:p w:rsidR="00AD7A83" w:rsidP="00B67F3A" w:rsidRDefault="00AD7A83" w14:paraId="1A8BF4C2" w14:textId="0EC0FBD2">
      <w:pPr>
        <w:spacing w:line="276" w:lineRule="auto"/>
        <w:rPr>
          <w:rFonts w:ascii="Arial" w:hAnsi="Arial" w:eastAsia="Calibri" w:cs="Arial"/>
          <w:sz w:val="22"/>
        </w:rPr>
      </w:pPr>
    </w:p>
    <w:p w:rsidR="00AD7A83" w:rsidP="00B67F3A" w:rsidRDefault="00AD7A83" w14:paraId="403A9CF1" w14:textId="6FA129AF">
      <w:pPr>
        <w:spacing w:line="276" w:lineRule="auto"/>
        <w:rPr>
          <w:rFonts w:ascii="Arial" w:hAnsi="Arial" w:eastAsia="Calibri" w:cs="Arial"/>
          <w:sz w:val="22"/>
        </w:rPr>
      </w:pPr>
    </w:p>
    <w:p w:rsidR="0022358F" w:rsidP="00B67F3A" w:rsidRDefault="0022358F" w14:paraId="14C90887" w14:textId="77777777">
      <w:pPr>
        <w:spacing w:line="276" w:lineRule="auto"/>
        <w:rPr>
          <w:rFonts w:ascii="Arial" w:hAnsi="Arial" w:eastAsia="Calibri" w:cs="Arial"/>
          <w:sz w:val="22"/>
        </w:rPr>
      </w:pPr>
    </w:p>
    <w:p w:rsidR="00AD7A83" w:rsidP="0087187A" w:rsidRDefault="0087187A" w14:paraId="5508A1C2" w14:textId="5A278852">
      <w:pPr>
        <w:spacing w:line="276" w:lineRule="auto"/>
        <w:jc w:val="right"/>
        <w:rPr>
          <w:rFonts w:ascii="Arial" w:hAnsi="Arial" w:eastAsia="Calibri" w:cs="Arial"/>
          <w:sz w:val="22"/>
        </w:rPr>
      </w:pPr>
      <w:r w:rsidRPr="0087187A">
        <w:rPr>
          <w:rFonts w:ascii="Arial" w:hAnsi="Arial" w:eastAsia="Calibri" w:cs="Arial"/>
          <w:noProof/>
          <w:sz w:val="22"/>
          <w:lang w:eastAsia="es-CO"/>
        </w:rPr>
        <w:drawing>
          <wp:inline distT="0" distB="0" distL="0" distR="0" wp14:anchorId="4098E306" wp14:editId="2C2FF195">
            <wp:extent cx="3220720" cy="7905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4919" cy="796515"/>
                    </a:xfrm>
                    <a:prstGeom prst="rect">
                      <a:avLst/>
                    </a:prstGeom>
                    <a:noFill/>
                    <a:ln>
                      <a:noFill/>
                    </a:ln>
                  </pic:spPr>
                </pic:pic>
              </a:graphicData>
            </a:graphic>
          </wp:inline>
        </w:drawing>
      </w:r>
    </w:p>
    <w:p w:rsidR="00AD7A83" w:rsidP="00B67F3A" w:rsidRDefault="00AD7A83" w14:paraId="3E8E06F9" w14:textId="77777777">
      <w:pPr>
        <w:spacing w:line="276" w:lineRule="auto"/>
        <w:rPr>
          <w:rFonts w:ascii="Arial" w:hAnsi="Arial" w:eastAsia="Calibri" w:cs="Arial"/>
          <w:sz w:val="22"/>
        </w:rPr>
      </w:pPr>
    </w:p>
    <w:p w:rsidRPr="009713AA" w:rsidR="0087187A" w:rsidP="00B67F3A" w:rsidRDefault="0087187A" w14:paraId="73F1C019" w14:textId="39A8B214">
      <w:pPr>
        <w:spacing w:line="276" w:lineRule="auto"/>
        <w:rPr>
          <w:rFonts w:ascii="Arial" w:hAnsi="Arial" w:eastAsia="Calibri" w:cs="Arial"/>
          <w:sz w:val="22"/>
          <w:szCs w:val="22"/>
        </w:rPr>
      </w:pPr>
      <w:r w:rsidRPr="009713AA">
        <w:rPr>
          <w:rFonts w:ascii="Arial" w:hAnsi="Arial" w:cs="Arial" w:eastAsiaTheme="minorHAnsi"/>
          <w:sz w:val="22"/>
          <w:szCs w:val="22"/>
          <w:lang w:val="en-US" w:eastAsia="en-US"/>
        </w:rPr>
        <w:t>Bogotá, 12 Julio 2021</w:t>
      </w:r>
    </w:p>
    <w:p w:rsidR="0087187A" w:rsidP="00B67F3A" w:rsidRDefault="0087187A" w14:paraId="5DF7A372" w14:textId="77777777">
      <w:pPr>
        <w:spacing w:line="276" w:lineRule="auto"/>
        <w:rPr>
          <w:rFonts w:ascii="Arial" w:hAnsi="Arial" w:eastAsia="Calibri" w:cs="Arial"/>
          <w:sz w:val="22"/>
        </w:rPr>
      </w:pPr>
    </w:p>
    <w:p w:rsidR="00AF1718" w:rsidP="00B67F3A" w:rsidRDefault="00A54C72" w14:paraId="1F3E67BB" w14:textId="7B85FAE8">
      <w:pPr>
        <w:spacing w:line="276" w:lineRule="auto"/>
        <w:rPr>
          <w:rFonts w:ascii="Arial" w:hAnsi="Arial" w:eastAsia="Calibri" w:cs="Arial"/>
          <w:sz w:val="22"/>
        </w:rPr>
      </w:pPr>
      <w:r>
        <w:rPr>
          <w:rFonts w:ascii="Arial" w:hAnsi="Arial" w:eastAsia="Calibri" w:cs="Arial"/>
          <w:sz w:val="22"/>
        </w:rPr>
        <w:t xml:space="preserve">Señor </w:t>
      </w:r>
    </w:p>
    <w:p w:rsidRPr="003F6F8C" w:rsidR="00AF1718" w:rsidP="00B67F3A" w:rsidRDefault="00C71C51" w14:paraId="7A9ADCF5" w14:textId="45EA3509">
      <w:pPr>
        <w:spacing w:line="276" w:lineRule="auto"/>
        <w:rPr>
          <w:rFonts w:ascii="Arial" w:hAnsi="Arial" w:eastAsia="Calibri" w:cs="Arial"/>
          <w:b/>
          <w:sz w:val="22"/>
          <w:lang w:val="es-ES"/>
        </w:rPr>
      </w:pPr>
      <w:r>
        <w:rPr>
          <w:rFonts w:ascii="Arial" w:hAnsi="Arial" w:eastAsia="Calibri" w:cs="Arial"/>
          <w:b/>
          <w:sz w:val="22"/>
        </w:rPr>
        <w:t xml:space="preserve">Santiago A. Sánchez Mantilla </w:t>
      </w:r>
    </w:p>
    <w:p w:rsidRPr="003F6F8C" w:rsidR="00AF1718" w:rsidP="00B67F3A" w:rsidRDefault="00195745" w14:paraId="0C4BCB54" w14:textId="4229B53E">
      <w:pPr>
        <w:spacing w:line="276" w:lineRule="auto"/>
        <w:rPr>
          <w:rFonts w:ascii="Arial" w:hAnsi="Arial" w:eastAsia="Calibri" w:cs="Arial"/>
          <w:sz w:val="22"/>
        </w:rPr>
      </w:pPr>
      <w:r>
        <w:rPr>
          <w:rFonts w:ascii="Arial" w:hAnsi="Arial" w:eastAsia="Calibri" w:cs="Arial"/>
          <w:sz w:val="22"/>
        </w:rPr>
        <w:t xml:space="preserve">Bogotá D.C </w:t>
      </w:r>
    </w:p>
    <w:p w:rsidRPr="003F6F8C" w:rsidR="00AF1718" w:rsidP="00B67F3A" w:rsidRDefault="00AF1718" w14:paraId="52C41654" w14:textId="2182974A">
      <w:pPr>
        <w:spacing w:line="276" w:lineRule="auto"/>
        <w:rPr>
          <w:rFonts w:ascii="Arial" w:hAnsi="Arial" w:eastAsia="Calibri" w:cs="Arial"/>
          <w:sz w:val="22"/>
        </w:rPr>
      </w:pPr>
    </w:p>
    <w:p w:rsidRPr="003F6F8C" w:rsidR="00AF1718" w:rsidP="00B67F3A" w:rsidRDefault="00AF1718" w14:paraId="479972ED" w14:textId="77777777">
      <w:pPr>
        <w:spacing w:line="276" w:lineRule="auto"/>
        <w:rPr>
          <w:rFonts w:ascii="Arial" w:hAnsi="Arial" w:eastAsia="Calibri" w:cs="Arial"/>
          <w:sz w:val="22"/>
        </w:rPr>
      </w:pPr>
    </w:p>
    <w:p w:rsidRPr="003F6F8C" w:rsidR="00DF5076" w:rsidP="002F723E" w:rsidRDefault="00980D5C" w14:paraId="5D5D21AD" w14:textId="16AB0CAE">
      <w:pPr>
        <w:spacing w:line="276" w:lineRule="auto"/>
        <w:ind w:left="2694"/>
        <w:rPr>
          <w:rFonts w:ascii="Arial" w:hAnsi="Arial" w:eastAsia="Calibri" w:cs="Arial"/>
          <w:b/>
          <w:sz w:val="22"/>
        </w:rPr>
      </w:pPr>
      <w:r>
        <w:rPr>
          <w:rFonts w:ascii="Arial" w:hAnsi="Arial" w:eastAsia="Calibri" w:cs="Arial"/>
          <w:b/>
          <w:sz w:val="22"/>
        </w:rPr>
        <w:t>Concepto C- 333</w:t>
      </w:r>
      <w:r w:rsidR="00C71C51">
        <w:rPr>
          <w:rFonts w:ascii="Arial" w:hAnsi="Arial" w:eastAsia="Calibri" w:cs="Arial"/>
          <w:b/>
          <w:sz w:val="22"/>
        </w:rPr>
        <w:t xml:space="preserve"> </w:t>
      </w:r>
      <w:r w:rsidRPr="003F6F8C" w:rsidR="00AF1718">
        <w:rPr>
          <w:rFonts w:ascii="Arial" w:hAnsi="Arial" w:eastAsia="Calibri" w:cs="Arial"/>
          <w:b/>
          <w:sz w:val="22"/>
        </w:rPr>
        <w:t>de 2021</w:t>
      </w:r>
    </w:p>
    <w:p w:rsidRPr="003F6F8C" w:rsidR="00AF1718" w:rsidP="00B67F3A" w:rsidRDefault="00AF1718" w14:paraId="37719CA8" w14:textId="77777777">
      <w:pPr>
        <w:spacing w:line="276" w:lineRule="auto"/>
        <w:rPr>
          <w:rFonts w:ascii="Arial" w:hAnsi="Arial" w:eastAsia="Calibri" w:cs="Arial"/>
          <w:sz w:val="22"/>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3F6F8C" w:rsidR="00AF1718" w:rsidTr="004E51E3" w14:paraId="00B1888F" w14:textId="77777777">
        <w:tc>
          <w:tcPr>
            <w:tcW w:w="2689" w:type="dxa"/>
            <w:hideMark/>
          </w:tcPr>
          <w:p w:rsidRPr="003F6F8C" w:rsidR="00AF1718" w:rsidP="00B67F3A" w:rsidRDefault="00AF1718" w14:paraId="6531557F" w14:textId="1160258F">
            <w:pPr>
              <w:spacing w:line="276" w:lineRule="auto"/>
              <w:rPr>
                <w:rFonts w:ascii="Arial" w:hAnsi="Arial" w:eastAsia="Calibri" w:cs="Arial"/>
                <w:sz w:val="22"/>
              </w:rPr>
            </w:pPr>
            <w:r w:rsidRPr="003F6F8C">
              <w:rPr>
                <w:rFonts w:ascii="Arial" w:hAnsi="Arial" w:eastAsia="Calibri" w:cs="Arial"/>
                <w:b/>
                <w:sz w:val="22"/>
              </w:rPr>
              <w:t>Temas:</w:t>
            </w:r>
            <w:r w:rsidRPr="003F6F8C">
              <w:rPr>
                <w:rFonts w:ascii="Arial" w:hAnsi="Arial" w:eastAsia="Calibri" w:cs="Arial"/>
                <w:sz w:val="22"/>
              </w:rPr>
              <w:t xml:space="preserve"> </w:t>
            </w:r>
          </w:p>
        </w:tc>
        <w:tc>
          <w:tcPr>
            <w:tcW w:w="6237" w:type="dxa"/>
            <w:hideMark/>
          </w:tcPr>
          <w:p w:rsidRPr="00E26918" w:rsidR="00DF5076" w:rsidP="00341979" w:rsidRDefault="00DF5076" w14:paraId="01E269F0" w14:textId="27AD4BE3">
            <w:pPr>
              <w:jc w:val="both"/>
              <w:rPr>
                <w:rFonts w:ascii="Arial" w:hAnsi="Arial" w:eastAsia="Calibri" w:cs="Arial"/>
                <w:sz w:val="22"/>
                <w:lang w:val="es-ES_tradnl" w:eastAsia="es-ES_tradnl"/>
              </w:rPr>
            </w:pPr>
            <w:r w:rsidRPr="00E26918">
              <w:rPr>
                <w:rFonts w:ascii="Arial" w:hAnsi="Arial" w:eastAsia="Calibri" w:cs="Arial"/>
                <w:sz w:val="22"/>
              </w:rPr>
              <w:t>D</w:t>
            </w:r>
            <w:r w:rsidRPr="00E26918" w:rsidR="009A7840">
              <w:rPr>
                <w:rFonts w:ascii="Arial" w:hAnsi="Arial" w:eastAsia="Calibri" w:cs="Arial"/>
                <w:sz w:val="22"/>
              </w:rPr>
              <w:t>O</w:t>
            </w:r>
            <w:r w:rsidRPr="00E26918">
              <w:rPr>
                <w:rFonts w:ascii="Arial" w:hAnsi="Arial" w:eastAsia="Calibri" w:cs="Arial"/>
                <w:sz w:val="22"/>
              </w:rPr>
              <w:t>CUMENTO</w:t>
            </w:r>
            <w:r w:rsidRPr="00E26918" w:rsidR="001069A9">
              <w:rPr>
                <w:rFonts w:ascii="Arial" w:hAnsi="Arial" w:eastAsia="Calibri" w:cs="Arial"/>
                <w:sz w:val="22"/>
              </w:rPr>
              <w:t>S</w:t>
            </w:r>
            <w:r w:rsidRPr="00E26918">
              <w:rPr>
                <w:rFonts w:ascii="Arial" w:hAnsi="Arial" w:eastAsia="Calibri" w:cs="Arial"/>
                <w:sz w:val="22"/>
              </w:rPr>
              <w:t xml:space="preserve"> TIPO </w:t>
            </w:r>
            <w:r w:rsidRPr="00E26918" w:rsidR="007447E6">
              <w:rPr>
                <w:rFonts w:ascii="Arial" w:hAnsi="Arial" w:eastAsia="Calibri" w:cs="Arial"/>
                <w:sz w:val="22"/>
              </w:rPr>
              <w:t>–</w:t>
            </w:r>
            <w:r w:rsidRPr="00E26918">
              <w:rPr>
                <w:rFonts w:ascii="Arial" w:hAnsi="Arial" w:eastAsia="Calibri" w:cs="Arial"/>
                <w:sz w:val="22"/>
              </w:rPr>
              <w:t xml:space="preserve"> </w:t>
            </w:r>
            <w:r w:rsidRPr="00E26918" w:rsidR="007447E6">
              <w:rPr>
                <w:rFonts w:ascii="Arial" w:hAnsi="Arial" w:eastAsia="Calibri" w:cs="Arial"/>
                <w:sz w:val="22"/>
              </w:rPr>
              <w:t xml:space="preserve">Obras de </w:t>
            </w:r>
            <w:r w:rsidRPr="00E26918" w:rsidR="004E4ADC">
              <w:rPr>
                <w:rFonts w:ascii="Arial" w:hAnsi="Arial" w:eastAsia="Calibri" w:cs="Arial"/>
                <w:sz w:val="22"/>
              </w:rPr>
              <w:t>i</w:t>
            </w:r>
            <w:r w:rsidRPr="00E26918" w:rsidR="007447E6">
              <w:rPr>
                <w:rFonts w:ascii="Arial" w:hAnsi="Arial" w:eastAsia="Calibri" w:cs="Arial"/>
                <w:sz w:val="22"/>
              </w:rPr>
              <w:t xml:space="preserve">nfraestructura de agua potable y saneamiento básico / DOCUMENTOS TIPO </w:t>
            </w:r>
            <w:r w:rsidRPr="00E26918" w:rsidR="007447E6">
              <w:rPr>
                <w:rFonts w:ascii="Arial" w:hAnsi="Arial" w:eastAsia="Calibri" w:cs="Arial"/>
                <w:color w:val="000000" w:themeColor="text1"/>
                <w:sz w:val="22"/>
              </w:rPr>
              <w:t>–</w:t>
            </w:r>
            <w:r w:rsidRPr="00E26918" w:rsidR="007447E6">
              <w:rPr>
                <w:rFonts w:ascii="Arial" w:hAnsi="Arial" w:eastAsia="Calibri" w:cs="Arial"/>
                <w:sz w:val="22"/>
              </w:rPr>
              <w:t xml:space="preserve"> </w:t>
            </w:r>
            <w:r w:rsidRPr="00E26918" w:rsidR="00E26918">
              <w:rPr>
                <w:rFonts w:ascii="Arial" w:hAnsi="Arial" w:eastAsia="Calibri" w:cs="Arial"/>
                <w:color w:val="000000" w:themeColor="text1"/>
                <w:sz w:val="22"/>
              </w:rPr>
              <w:t>«Matriz 1 de experiencia» – Obras de infraestructura de agua potable y saneamiento básico</w:t>
            </w:r>
            <w:r w:rsidRPr="00E26918" w:rsidR="001B2FB1">
              <w:rPr>
                <w:rFonts w:ascii="Arial" w:hAnsi="Arial" w:eastAsia="Calibri" w:cs="Arial"/>
                <w:color w:val="000000" w:themeColor="text1"/>
                <w:sz w:val="22"/>
              </w:rPr>
              <w:t xml:space="preserve"> /</w:t>
            </w:r>
            <w:r w:rsidRPr="00E26918" w:rsidR="009A7840">
              <w:rPr>
                <w:rFonts w:ascii="Arial" w:hAnsi="Arial" w:cs="Arial"/>
                <w:bCs/>
                <w:sz w:val="22"/>
              </w:rPr>
              <w:t xml:space="preserve"> </w:t>
            </w:r>
            <w:r w:rsidRPr="00E26918" w:rsidR="0008060F">
              <w:rPr>
                <w:rFonts w:ascii="Arial" w:hAnsi="Arial" w:eastAsia="Calibri" w:cs="Arial"/>
                <w:sz w:val="22"/>
              </w:rPr>
              <w:t xml:space="preserve">REGISTRO NACIONAL DE OBRAS INCONCLUSAS </w:t>
            </w:r>
            <w:r w:rsidRPr="00E26918" w:rsidR="0008060F">
              <w:rPr>
                <w:rFonts w:ascii="Arial" w:hAnsi="Arial" w:cs="Arial"/>
                <w:bCs/>
                <w:sz w:val="22"/>
              </w:rPr>
              <w:t>–</w:t>
            </w:r>
            <w:r w:rsidRPr="00E26918" w:rsidR="0008060F">
              <w:rPr>
                <w:rFonts w:ascii="Arial" w:hAnsi="Arial" w:eastAsia="Calibri" w:cs="Arial"/>
                <w:sz w:val="22"/>
              </w:rPr>
              <w:t xml:space="preserve">- </w:t>
            </w:r>
            <w:r w:rsidRPr="00E26918" w:rsidR="00E26918">
              <w:rPr>
                <w:rFonts w:ascii="Arial" w:hAnsi="Arial" w:eastAsia="Calibri" w:cs="Arial"/>
                <w:sz w:val="22"/>
                <w:lang w:val="es-ES_tradnl" w:eastAsia="es-ES_tradnl"/>
              </w:rPr>
              <w:t xml:space="preserve">Deber de verificación en la evaluación de factores de calidad para la selección de contratistas de obra o interventores </w:t>
            </w:r>
            <w:r w:rsidRPr="00E26918" w:rsidR="00DC46CE">
              <w:rPr>
                <w:rFonts w:ascii="Arial" w:hAnsi="Arial" w:eastAsia="Calibri" w:cs="Arial"/>
                <w:sz w:val="22"/>
              </w:rPr>
              <w:t>/</w:t>
            </w:r>
            <w:r w:rsidRPr="00E26918" w:rsidR="0008060F">
              <w:rPr>
                <w:rFonts w:ascii="Arial" w:hAnsi="Arial" w:eastAsia="Calibri" w:cs="Arial"/>
                <w:sz w:val="22"/>
              </w:rPr>
              <w:t xml:space="preserve"> REGISTRO NACIONAL DE OBRAS INCONCLUSAS </w:t>
            </w:r>
            <w:r w:rsidRPr="00E26918" w:rsidR="0008060F">
              <w:rPr>
                <w:rFonts w:ascii="Arial" w:hAnsi="Arial" w:cs="Arial"/>
                <w:bCs/>
                <w:sz w:val="22"/>
              </w:rPr>
              <w:t xml:space="preserve">– </w:t>
            </w:r>
            <w:r w:rsidRPr="00E26918" w:rsidR="00E26918">
              <w:rPr>
                <w:rFonts w:ascii="Arial" w:hAnsi="Arial" w:eastAsia="Calibri" w:cs="Arial"/>
                <w:color w:val="000000" w:themeColor="text1"/>
                <w:sz w:val="22"/>
                <w:lang w:val="es-ES_tradnl"/>
              </w:rPr>
              <w:t>Documentos tipo – Anotaciones</w:t>
            </w:r>
            <w:r w:rsidRPr="00E26918" w:rsidR="00341979">
              <w:rPr>
                <w:rFonts w:ascii="Arial" w:hAnsi="Arial" w:cs="Arial"/>
                <w:bCs/>
                <w:sz w:val="22"/>
              </w:rPr>
              <w:t xml:space="preserve">. </w:t>
            </w:r>
            <w:r w:rsidRPr="00E26918" w:rsidR="001069A9">
              <w:rPr>
                <w:rFonts w:ascii="Arial" w:hAnsi="Arial" w:eastAsia="Calibri" w:cs="Arial"/>
                <w:bCs/>
                <w:color w:val="000000" w:themeColor="text1"/>
                <w:sz w:val="22"/>
                <w:lang w:val="es-ES"/>
              </w:rPr>
              <w:t xml:space="preserve"> </w:t>
            </w:r>
          </w:p>
          <w:p w:rsidRPr="0008060F" w:rsidR="002F723E" w:rsidP="002F723E" w:rsidRDefault="002F723E" w14:paraId="30A9E48B" w14:textId="48ABCCF3">
            <w:pPr>
              <w:spacing w:after="120"/>
              <w:jc w:val="both"/>
              <w:rPr>
                <w:rFonts w:ascii="Arial" w:hAnsi="Arial" w:eastAsia="Calibri" w:cs="Arial"/>
                <w:sz w:val="22"/>
                <w:lang w:val="es-ES"/>
              </w:rPr>
            </w:pPr>
          </w:p>
        </w:tc>
      </w:tr>
      <w:tr w:rsidRPr="009A4A28" w:rsidR="00AF1718" w:rsidTr="004E51E3" w14:paraId="0E180394" w14:textId="77777777">
        <w:tc>
          <w:tcPr>
            <w:tcW w:w="2689" w:type="dxa"/>
          </w:tcPr>
          <w:p w:rsidRPr="00906FED" w:rsidR="00AF1718" w:rsidP="00B67F3A" w:rsidRDefault="00AF1718" w14:paraId="35D0842E" w14:textId="5833E558">
            <w:pPr>
              <w:spacing w:line="276" w:lineRule="auto"/>
              <w:rPr>
                <w:rFonts w:ascii="Arial" w:hAnsi="Arial" w:eastAsia="Calibri" w:cs="Arial"/>
                <w:sz w:val="22"/>
              </w:rPr>
            </w:pPr>
            <w:r w:rsidRPr="00906FED">
              <w:rPr>
                <w:rFonts w:ascii="Arial" w:hAnsi="Arial" w:eastAsia="Calibri" w:cs="Arial"/>
                <w:sz w:val="22"/>
              </w:rPr>
              <w:t>Radicación:</w:t>
            </w:r>
          </w:p>
        </w:tc>
        <w:tc>
          <w:tcPr>
            <w:tcW w:w="6237" w:type="dxa"/>
          </w:tcPr>
          <w:p w:rsidRPr="00AF1718" w:rsidR="00AF1718" w:rsidP="00980D5C" w:rsidRDefault="00FF6BBB" w14:paraId="1B6BB553" w14:textId="34845CB8">
            <w:pPr>
              <w:spacing w:line="276" w:lineRule="auto"/>
              <w:jc w:val="both"/>
              <w:rPr>
                <w:rFonts w:ascii="Arial" w:hAnsi="Arial" w:eastAsia="Calibri" w:cs="Arial"/>
                <w:sz w:val="22"/>
              </w:rPr>
            </w:pPr>
            <w:r w:rsidRPr="00906FED">
              <w:rPr>
                <w:rFonts w:ascii="Arial" w:hAnsi="Arial" w:eastAsia="Calibri" w:cs="Arial"/>
                <w:sz w:val="22"/>
              </w:rPr>
              <w:t>Respuesta a consulta</w:t>
            </w:r>
            <w:r w:rsidRPr="00906FED" w:rsidR="00AF1718">
              <w:rPr>
                <w:rFonts w:ascii="Arial" w:hAnsi="Arial" w:eastAsia="Calibri" w:cs="Arial"/>
                <w:sz w:val="22"/>
              </w:rPr>
              <w:t xml:space="preserve"> # </w:t>
            </w:r>
            <w:r w:rsidR="00C71C51">
              <w:rPr>
                <w:rFonts w:ascii="Arial" w:hAnsi="Arial" w:eastAsia="Calibri" w:cs="Arial"/>
                <w:sz w:val="22"/>
              </w:rPr>
              <w:t>P2021</w:t>
            </w:r>
            <w:r w:rsidR="00980D5C">
              <w:rPr>
                <w:rFonts w:ascii="Arial" w:hAnsi="Arial" w:eastAsia="Calibri" w:cs="Arial"/>
                <w:sz w:val="22"/>
              </w:rPr>
              <w:t>0525004551</w:t>
            </w:r>
          </w:p>
        </w:tc>
      </w:tr>
    </w:tbl>
    <w:p w:rsidR="00E658C9" w:rsidP="00B67F3A" w:rsidRDefault="00E658C9" w14:paraId="5032701F" w14:textId="548DDDB5">
      <w:pPr>
        <w:spacing w:line="276" w:lineRule="auto"/>
        <w:rPr>
          <w:rFonts w:ascii="Arial" w:hAnsi="Arial" w:eastAsia="Calibri" w:cs="Arial"/>
          <w:sz w:val="22"/>
        </w:rPr>
      </w:pPr>
    </w:p>
    <w:p w:rsidR="00AF1718" w:rsidP="00B67F3A" w:rsidRDefault="00AF1718" w14:paraId="6CEE3088" w14:textId="78DAC4DE">
      <w:pPr>
        <w:spacing w:line="276" w:lineRule="auto"/>
        <w:rPr>
          <w:rFonts w:ascii="Arial" w:hAnsi="Arial" w:eastAsia="Calibri" w:cs="Arial"/>
          <w:sz w:val="22"/>
        </w:rPr>
      </w:pPr>
      <w:r w:rsidRPr="00AF1718">
        <w:rPr>
          <w:rFonts w:ascii="Arial" w:hAnsi="Arial" w:eastAsia="Calibri" w:cs="Arial"/>
          <w:sz w:val="22"/>
        </w:rPr>
        <w:t xml:space="preserve">Estimado </w:t>
      </w:r>
      <w:r w:rsidR="00C71C51">
        <w:rPr>
          <w:rFonts w:ascii="Arial" w:hAnsi="Arial" w:eastAsia="Calibri" w:cs="Arial"/>
          <w:sz w:val="22"/>
        </w:rPr>
        <w:t xml:space="preserve">señor </w:t>
      </w:r>
      <w:r w:rsidR="00DF5076">
        <w:rPr>
          <w:rFonts w:ascii="Arial" w:hAnsi="Arial" w:eastAsia="Calibri" w:cs="Arial"/>
          <w:sz w:val="22"/>
        </w:rPr>
        <w:t>Sánchez</w:t>
      </w:r>
      <w:r w:rsidRPr="00AF1718">
        <w:rPr>
          <w:rFonts w:ascii="Arial" w:hAnsi="Arial" w:eastAsia="Calibri" w:cs="Arial"/>
          <w:sz w:val="22"/>
        </w:rPr>
        <w:t>,</w:t>
      </w:r>
    </w:p>
    <w:p w:rsidRPr="00AF1718" w:rsidR="002F723E" w:rsidP="00B67F3A" w:rsidRDefault="002F723E" w14:paraId="7BBF61D8" w14:textId="77777777">
      <w:pPr>
        <w:spacing w:line="276" w:lineRule="auto"/>
        <w:rPr>
          <w:rFonts w:ascii="Arial" w:hAnsi="Arial" w:eastAsia="Calibri" w:cs="Arial"/>
          <w:sz w:val="22"/>
        </w:rPr>
      </w:pPr>
    </w:p>
    <w:p w:rsidRPr="00AF1718" w:rsidR="00AF1718" w:rsidP="00B67F3A" w:rsidRDefault="00AF1718" w14:paraId="08C8CA6B" w14:textId="5F31A232">
      <w:pPr>
        <w:spacing w:line="276" w:lineRule="auto"/>
        <w:jc w:val="both"/>
        <w:rPr>
          <w:rFonts w:ascii="Arial" w:hAnsi="Arial" w:eastAsia="Calibri" w:cs="Arial"/>
          <w:sz w:val="22"/>
        </w:rPr>
      </w:pPr>
      <w:r w:rsidRPr="00AF1718">
        <w:rPr>
          <w:rFonts w:ascii="Arial" w:hAnsi="Arial" w:eastAsia="Calibri" w:cs="Arial"/>
          <w:sz w:val="22"/>
        </w:rPr>
        <w:t>En ejercicio de la competencia otorgada por el numeral 8 del artículo 11 y el numeral 5 del artículo 3 del Decreto Ley 4170 de 2011, la Agencia Nacional de Contratación Pública – Colombia Compra Eficien</w:t>
      </w:r>
      <w:r w:rsidR="00341979">
        <w:rPr>
          <w:rFonts w:ascii="Arial" w:hAnsi="Arial" w:eastAsia="Calibri" w:cs="Arial"/>
          <w:sz w:val="22"/>
        </w:rPr>
        <w:t>te responde su consulta del 26 de mayo</w:t>
      </w:r>
      <w:r w:rsidRPr="00AF1718">
        <w:rPr>
          <w:rFonts w:ascii="Arial" w:hAnsi="Arial" w:eastAsia="Calibri" w:cs="Arial"/>
          <w:sz w:val="22"/>
        </w:rPr>
        <w:t xml:space="preserve"> de 2021.</w:t>
      </w:r>
    </w:p>
    <w:p w:rsidRPr="009A4A28" w:rsidR="00AF1718" w:rsidP="00B67F3A" w:rsidRDefault="00AF1718" w14:paraId="1A0A2BD6" w14:textId="77777777">
      <w:pPr>
        <w:spacing w:line="276" w:lineRule="auto"/>
        <w:jc w:val="both"/>
        <w:rPr>
          <w:rFonts w:ascii="Arial" w:hAnsi="Arial" w:eastAsia="Calibri" w:cs="Arial"/>
        </w:rPr>
      </w:pPr>
    </w:p>
    <w:p w:rsidR="00722C4F" w:rsidP="008E5B2B" w:rsidRDefault="00AF1718" w14:paraId="269B720F" w14:textId="79018BAB">
      <w:pPr>
        <w:pStyle w:val="Prrafodelista"/>
        <w:numPr>
          <w:ilvl w:val="0"/>
          <w:numId w:val="25"/>
        </w:numPr>
        <w:tabs>
          <w:tab w:val="left" w:pos="284"/>
        </w:tabs>
        <w:spacing w:line="276" w:lineRule="auto"/>
        <w:ind w:left="360"/>
        <w:jc w:val="both"/>
        <w:rPr>
          <w:rFonts w:ascii="Arial" w:hAnsi="Arial" w:eastAsia="Calibri" w:cs="Arial"/>
          <w:b/>
          <w:sz w:val="22"/>
        </w:rPr>
      </w:pPr>
      <w:r w:rsidRPr="003F6F8C">
        <w:rPr>
          <w:rFonts w:ascii="Arial" w:hAnsi="Arial" w:eastAsia="Calibri" w:cs="Arial"/>
          <w:b/>
          <w:sz w:val="22"/>
        </w:rPr>
        <w:t>Problema planteado</w:t>
      </w:r>
      <w:bookmarkStart w:name="_Hlk68679800" w:id="3"/>
    </w:p>
    <w:p w:rsidRPr="002F723E" w:rsidR="008E5B2B" w:rsidP="008E5B2B" w:rsidRDefault="008E5B2B" w14:paraId="3712B562" w14:textId="77777777">
      <w:pPr>
        <w:pStyle w:val="Prrafodelista"/>
        <w:tabs>
          <w:tab w:val="left" w:pos="284"/>
        </w:tabs>
        <w:spacing w:line="276" w:lineRule="auto"/>
        <w:jc w:val="both"/>
        <w:rPr>
          <w:rFonts w:ascii="Arial" w:hAnsi="Arial" w:eastAsia="Calibri" w:cs="Arial"/>
          <w:b/>
          <w:sz w:val="22"/>
        </w:rPr>
      </w:pPr>
    </w:p>
    <w:p w:rsidRPr="00725CC8" w:rsidR="00725CC8" w:rsidP="008E5B2B" w:rsidRDefault="00725CC8" w14:paraId="1EBD0DA1" w14:textId="77777777">
      <w:pPr>
        <w:spacing w:line="276" w:lineRule="auto"/>
        <w:jc w:val="both"/>
        <w:rPr>
          <w:rFonts w:ascii="Arial" w:hAnsi="Arial" w:eastAsia="Calibri" w:cs="Arial"/>
          <w:sz w:val="22"/>
        </w:rPr>
      </w:pPr>
      <w:r w:rsidRPr="00725CC8">
        <w:rPr>
          <w:rFonts w:ascii="Arial" w:hAnsi="Arial" w:eastAsia="Calibri" w:cs="Arial"/>
          <w:sz w:val="22"/>
        </w:rPr>
        <w:t xml:space="preserve">En relación a los documentos tipo de infraestructura de agua potable y saneamiento básico, usted realiza la siguiente pregunta: </w:t>
      </w:r>
    </w:p>
    <w:p w:rsidR="0047578E" w:rsidP="008E5B2B" w:rsidRDefault="0047578E" w14:paraId="20E05B40" w14:textId="0DD5D18C">
      <w:pPr>
        <w:spacing w:line="276" w:lineRule="auto"/>
        <w:jc w:val="both"/>
        <w:rPr>
          <w:rFonts w:ascii="Arial" w:hAnsi="Arial" w:eastAsia="Calibri" w:cs="Arial"/>
          <w:sz w:val="22"/>
        </w:rPr>
      </w:pPr>
    </w:p>
    <w:p w:rsidR="000C6A21" w:rsidP="0047578E" w:rsidRDefault="00AF1718" w14:paraId="18E13D51" w14:textId="2AC1BBF0">
      <w:pPr>
        <w:spacing w:after="120" w:line="276" w:lineRule="auto"/>
        <w:ind w:left="709" w:right="709"/>
        <w:jc w:val="both"/>
        <w:rPr>
          <w:rFonts w:ascii="Arial" w:hAnsi="Arial" w:eastAsia="Calibri" w:cs="Arial"/>
          <w:sz w:val="21"/>
          <w:szCs w:val="21"/>
        </w:rPr>
      </w:pPr>
      <w:r w:rsidRPr="003F6F8C">
        <w:rPr>
          <w:rFonts w:ascii="Arial" w:hAnsi="Arial" w:eastAsia="Calibri" w:cs="Arial"/>
          <w:sz w:val="22"/>
        </w:rPr>
        <w:t>«</w:t>
      </w:r>
      <w:r w:rsidRPr="000C6A21" w:rsidR="00980D5C">
        <w:rPr>
          <w:rFonts w:ascii="Arial" w:hAnsi="Arial" w:eastAsia="Calibri" w:cs="Arial"/>
          <w:sz w:val="21"/>
          <w:szCs w:val="21"/>
        </w:rPr>
        <w:t xml:space="preserve">Referente a la matriz de Experiencia, de forma </w:t>
      </w:r>
      <w:r w:rsidRPr="000C6A21" w:rsidR="000C6A21">
        <w:rPr>
          <w:rFonts w:ascii="Arial" w:hAnsi="Arial" w:eastAsia="Calibri" w:cs="Arial"/>
          <w:sz w:val="21"/>
          <w:szCs w:val="21"/>
        </w:rPr>
        <w:t>específica</w:t>
      </w:r>
      <w:r w:rsidRPr="000C6A21" w:rsidR="00980D5C">
        <w:rPr>
          <w:rFonts w:ascii="Arial" w:hAnsi="Arial" w:eastAsia="Calibri" w:cs="Arial"/>
          <w:sz w:val="21"/>
          <w:szCs w:val="21"/>
        </w:rPr>
        <w:t xml:space="preserve"> en su numeral 1.2, las entidades deberán requerir </w:t>
      </w:r>
      <w:r w:rsidRPr="000C6A21" w:rsidR="000C6A21">
        <w:rPr>
          <w:rFonts w:ascii="Arial" w:hAnsi="Arial" w:eastAsia="Calibri" w:cs="Arial"/>
          <w:sz w:val="21"/>
          <w:szCs w:val="21"/>
        </w:rPr>
        <w:t xml:space="preserve">que en un solo contrato se demuestre el 70% de las actividades representativas del proceso a contratar. Respecto de esa situación solicitamos se aclare si la entidad podrá exigir las actividades representativas de forma idéntica en sus condiciones técnicas o serán válidas también estas actividades representativas en condiciones técnicas similares. A modo de ejemplo, si la actividad principal de una obra es la instalación de una válvula mariposa de 2”, la entidad requiere a modo de experiencia especifica acreditar en un contrato el 70% de esta actividad. </w:t>
      </w:r>
      <w:r w:rsidR="0047578E">
        <w:rPr>
          <w:rFonts w:ascii="Arial" w:hAnsi="Arial" w:eastAsia="Calibri" w:cs="Arial"/>
          <w:sz w:val="21"/>
          <w:szCs w:val="21"/>
        </w:rPr>
        <w:t>¿</w:t>
      </w:r>
      <w:r w:rsidRPr="000C6A21" w:rsidR="000C6A21">
        <w:rPr>
          <w:rFonts w:ascii="Arial" w:hAnsi="Arial" w:eastAsia="Calibri" w:cs="Arial"/>
          <w:sz w:val="21"/>
          <w:szCs w:val="21"/>
        </w:rPr>
        <w:t>Puede un oferente presentar válvulas mariposa de mayo</w:t>
      </w:r>
      <w:r w:rsidR="004E4ADC">
        <w:rPr>
          <w:rFonts w:ascii="Arial" w:hAnsi="Arial" w:eastAsia="Calibri" w:cs="Arial"/>
          <w:sz w:val="21"/>
          <w:szCs w:val="21"/>
        </w:rPr>
        <w:t>r</w:t>
      </w:r>
      <w:r w:rsidRPr="000C6A21" w:rsidR="000C6A21">
        <w:rPr>
          <w:rFonts w:ascii="Arial" w:hAnsi="Arial" w:eastAsia="Calibri" w:cs="Arial"/>
          <w:sz w:val="21"/>
          <w:szCs w:val="21"/>
        </w:rPr>
        <w:t xml:space="preserve"> diámetro o en materiales diferentes al solicitado, o por el contrario solo será válido la experiencia que demuestre esta actividad idéntica</w:t>
      </w:r>
      <w:r w:rsidR="0047578E">
        <w:rPr>
          <w:rFonts w:ascii="Arial" w:hAnsi="Arial" w:eastAsia="Calibri" w:cs="Arial"/>
          <w:sz w:val="21"/>
          <w:szCs w:val="21"/>
        </w:rPr>
        <w:t>?</w:t>
      </w:r>
      <w:r w:rsidRPr="000C6A21" w:rsidR="000C6A21">
        <w:rPr>
          <w:rFonts w:ascii="Arial" w:hAnsi="Arial" w:eastAsia="Calibri" w:cs="Arial"/>
          <w:sz w:val="21"/>
          <w:szCs w:val="21"/>
        </w:rPr>
        <w:t xml:space="preserve"> </w:t>
      </w:r>
    </w:p>
    <w:p w:rsidR="0047578E" w:rsidP="008E5B2B" w:rsidRDefault="0047578E" w14:paraId="30B0F452" w14:textId="32979262">
      <w:pPr>
        <w:spacing w:line="276" w:lineRule="auto"/>
        <w:jc w:val="both"/>
        <w:rPr>
          <w:rFonts w:ascii="Arial" w:hAnsi="Arial" w:eastAsia="Calibri" w:cs="Arial"/>
          <w:sz w:val="22"/>
        </w:rPr>
      </w:pPr>
      <w:r>
        <w:rPr>
          <w:rFonts w:ascii="Arial" w:hAnsi="Arial" w:eastAsia="Calibri" w:cs="Arial"/>
          <w:sz w:val="22"/>
        </w:rPr>
        <w:t xml:space="preserve">En el mismo radicado de la petición usted formula otra consulta sobre el tema del Registro Nacional de Obras Inconclusas, realizando la siguiente </w:t>
      </w:r>
      <w:r w:rsidR="007F2C80">
        <w:rPr>
          <w:rFonts w:ascii="Arial" w:hAnsi="Arial" w:eastAsia="Calibri" w:cs="Arial"/>
          <w:sz w:val="22"/>
        </w:rPr>
        <w:t>pregunta</w:t>
      </w:r>
      <w:r>
        <w:rPr>
          <w:rFonts w:ascii="Arial" w:hAnsi="Arial" w:eastAsia="Calibri" w:cs="Arial"/>
          <w:sz w:val="22"/>
        </w:rPr>
        <w:t xml:space="preserve">: </w:t>
      </w:r>
    </w:p>
    <w:p w:rsidRPr="0047578E" w:rsidR="008E5B2B" w:rsidP="008E5B2B" w:rsidRDefault="008E5B2B" w14:paraId="7BD79277" w14:textId="77777777">
      <w:pPr>
        <w:spacing w:line="276" w:lineRule="auto"/>
        <w:jc w:val="both"/>
        <w:rPr>
          <w:rFonts w:ascii="Arial" w:hAnsi="Arial" w:eastAsia="Calibri" w:cs="Arial"/>
          <w:sz w:val="22"/>
        </w:rPr>
      </w:pPr>
    </w:p>
    <w:p w:rsidR="0047578E" w:rsidP="00C40AEE" w:rsidRDefault="0047578E" w14:paraId="6BCB212E" w14:textId="38A26D40">
      <w:pPr>
        <w:spacing w:line="276" w:lineRule="auto"/>
        <w:ind w:left="709" w:right="709"/>
        <w:jc w:val="both"/>
        <w:rPr>
          <w:rFonts w:ascii="Arial" w:hAnsi="Arial" w:eastAsia="Calibri" w:cs="Arial"/>
          <w:sz w:val="21"/>
          <w:szCs w:val="21"/>
        </w:rPr>
      </w:pPr>
      <w:r w:rsidRPr="003F6F8C">
        <w:rPr>
          <w:rFonts w:ascii="Arial" w:hAnsi="Arial" w:eastAsia="Calibri" w:cs="Arial"/>
          <w:sz w:val="22"/>
        </w:rPr>
        <w:t>«</w:t>
      </w:r>
      <w:r w:rsidRPr="000C6A21" w:rsidR="000C6A21">
        <w:rPr>
          <w:rFonts w:ascii="Arial" w:hAnsi="Arial" w:eastAsia="Calibri" w:cs="Arial"/>
          <w:sz w:val="21"/>
          <w:szCs w:val="21"/>
        </w:rPr>
        <w:t>Referente al descuento del punto por registro de obras inconclusas, que sucede si en una sociedad de capital como lo son las sociedades por acciones simplificadas, uno de los socios de estas sociedades está registrado en el registro de obras inconclusas. ¿Puede la entidad retirar el puntaje aquí establecido</w:t>
      </w:r>
      <w:r w:rsidR="000C6A21">
        <w:rPr>
          <w:rFonts w:ascii="Arial" w:hAnsi="Arial" w:eastAsia="Calibri" w:cs="Arial"/>
          <w:sz w:val="22"/>
        </w:rPr>
        <w:t>?</w:t>
      </w:r>
      <w:r w:rsidRPr="0057006A" w:rsidR="00AF1718">
        <w:rPr>
          <w:rFonts w:ascii="Arial" w:hAnsi="Arial" w:eastAsia="Calibri" w:cs="Arial"/>
          <w:sz w:val="21"/>
          <w:szCs w:val="21"/>
        </w:rPr>
        <w:t>»</w:t>
      </w:r>
      <w:bookmarkEnd w:id="3"/>
      <w:r w:rsidRPr="0057006A" w:rsidR="00AF1718">
        <w:rPr>
          <w:rFonts w:ascii="Arial" w:hAnsi="Arial" w:eastAsia="Calibri" w:cs="Arial"/>
          <w:sz w:val="21"/>
          <w:szCs w:val="21"/>
        </w:rPr>
        <w:t>.</w:t>
      </w:r>
    </w:p>
    <w:p w:rsidRPr="00591A47" w:rsidR="00C40AEE" w:rsidP="00C40AEE" w:rsidRDefault="00C40AEE" w14:paraId="4A46031F" w14:textId="77777777">
      <w:pPr>
        <w:spacing w:line="276" w:lineRule="auto"/>
        <w:ind w:left="709" w:right="709"/>
        <w:jc w:val="both"/>
        <w:rPr>
          <w:rFonts w:ascii="Arial" w:hAnsi="Arial" w:eastAsia="Calibri" w:cs="Arial"/>
          <w:sz w:val="21"/>
          <w:szCs w:val="21"/>
        </w:rPr>
      </w:pPr>
    </w:p>
    <w:p w:rsidR="003D4535" w:rsidP="008E5B2B" w:rsidRDefault="00817EA3" w14:paraId="49A7B8CF" w14:textId="644A7701">
      <w:pPr>
        <w:pStyle w:val="Prrafodelista"/>
        <w:numPr>
          <w:ilvl w:val="0"/>
          <w:numId w:val="25"/>
        </w:numPr>
        <w:spacing w:line="276" w:lineRule="auto"/>
        <w:ind w:left="360"/>
        <w:jc w:val="both"/>
        <w:rPr>
          <w:rFonts w:ascii="Arial" w:hAnsi="Arial" w:eastAsia="Calibri" w:cs="Arial"/>
          <w:b/>
          <w:sz w:val="22"/>
        </w:rPr>
      </w:pPr>
      <w:r w:rsidRPr="008E5B2B">
        <w:rPr>
          <w:rFonts w:ascii="Arial" w:hAnsi="Arial" w:eastAsia="Calibri" w:cs="Arial"/>
          <w:b/>
          <w:sz w:val="22"/>
        </w:rPr>
        <w:t>C</w:t>
      </w:r>
      <w:r w:rsidRPr="008E5B2B" w:rsidR="00E7138C">
        <w:rPr>
          <w:rFonts w:ascii="Arial" w:hAnsi="Arial" w:eastAsia="Calibri" w:cs="Arial"/>
          <w:b/>
          <w:sz w:val="22"/>
        </w:rPr>
        <w:t>onsideraciones</w:t>
      </w:r>
    </w:p>
    <w:p w:rsidR="007839FB" w:rsidP="007839FB" w:rsidRDefault="007839FB" w14:paraId="17C452BC" w14:textId="35FCA4B5">
      <w:pPr>
        <w:spacing w:line="276" w:lineRule="auto"/>
        <w:jc w:val="both"/>
        <w:rPr>
          <w:rFonts w:ascii="Arial" w:hAnsi="Arial" w:eastAsia="Calibri" w:cs="Arial"/>
          <w:b/>
          <w:sz w:val="22"/>
        </w:rPr>
      </w:pPr>
    </w:p>
    <w:p w:rsidRPr="008E5B2B" w:rsidR="008E5B2B" w:rsidP="007839FB" w:rsidRDefault="007839FB" w14:paraId="1E5421A9" w14:textId="026BA47F">
      <w:pPr>
        <w:spacing w:after="120" w:line="276" w:lineRule="auto"/>
        <w:jc w:val="both"/>
        <w:rPr>
          <w:rFonts w:ascii="Arial" w:hAnsi="Arial" w:eastAsia="Calibri" w:cs="Arial"/>
          <w:b/>
          <w:sz w:val="22"/>
        </w:rPr>
      </w:pPr>
      <w:r w:rsidRPr="00E013AA">
        <w:rPr>
          <w:rFonts w:ascii="Arial" w:hAnsi="Arial" w:eastAsia="Calibri" w:cs="Arial"/>
          <w:sz w:val="22"/>
        </w:rPr>
        <w:t>De conformidad con la competencia consultiva otorgada por el numeral 5 del artículo 3 y el numeral 8 del artículo 11 del Decreto 4170 de 2011, la Agencia Nacional de Contratación Pública está facultada para atender solicitudes relacionadas con temas contractuales, pero solo para «absolver consultas sobre la aplicación de normas de carácter general».</w:t>
      </w:r>
      <w:r w:rsidR="00742C37">
        <w:rPr>
          <w:rFonts w:ascii="Arial" w:hAnsi="Arial" w:eastAsia="Calibri" w:cs="Arial"/>
          <w:sz w:val="22"/>
        </w:rPr>
        <w:t xml:space="preserve"> De lo anterior se desprende que</w:t>
      </w:r>
      <w:r w:rsidRPr="00E013AA">
        <w:rPr>
          <w:rFonts w:ascii="Arial" w:hAnsi="Arial" w:eastAsia="Calibri" w:cs="Arial"/>
          <w:sz w:val="22"/>
        </w:rPr>
        <w:t xml:space="preserve"> la Agencia </w:t>
      </w:r>
      <w:r>
        <w:rPr>
          <w:rFonts w:ascii="Arial" w:hAnsi="Arial" w:eastAsia="Calibri" w:cs="Arial"/>
          <w:sz w:val="22"/>
        </w:rPr>
        <w:t>carece de</w:t>
      </w:r>
      <w:r w:rsidRPr="00E013AA">
        <w:rPr>
          <w:rFonts w:ascii="Arial" w:hAnsi="Arial" w:eastAsia="Calibri" w:cs="Arial"/>
          <w:sz w:val="22"/>
        </w:rPr>
        <w:t xml:space="preserve"> atribuciones para resolver casos particulares o situaciones específicas. En tales términos, se </w:t>
      </w:r>
      <w:r>
        <w:rPr>
          <w:rFonts w:ascii="Arial" w:hAnsi="Arial" w:eastAsia="Calibri" w:cs="Arial"/>
          <w:sz w:val="22"/>
        </w:rPr>
        <w:t>resolverá la</w:t>
      </w:r>
      <w:r w:rsidRPr="00E013AA">
        <w:rPr>
          <w:rFonts w:ascii="Arial" w:hAnsi="Arial" w:eastAsia="Calibri" w:cs="Arial"/>
          <w:sz w:val="22"/>
        </w:rPr>
        <w:t xml:space="preserve"> consulta explicando la forma en la que deben interpretarse las normas </w:t>
      </w:r>
      <w:r>
        <w:rPr>
          <w:rFonts w:ascii="Arial" w:hAnsi="Arial" w:eastAsia="Calibri" w:cs="Arial"/>
          <w:sz w:val="22"/>
        </w:rPr>
        <w:t>y documentos</w:t>
      </w:r>
      <w:r w:rsidRPr="00E013AA">
        <w:rPr>
          <w:rFonts w:ascii="Arial" w:hAnsi="Arial" w:eastAsia="Calibri" w:cs="Arial"/>
          <w:sz w:val="22"/>
        </w:rPr>
        <w:t>, de acuerdo con la posición hermenéutica de esta Agencia, con el alcance señalado por el artículo 28 del Código de Procedimiento Administrativo y d</w:t>
      </w:r>
      <w:r>
        <w:rPr>
          <w:rFonts w:ascii="Arial" w:hAnsi="Arial" w:eastAsia="Calibri" w:cs="Arial"/>
          <w:sz w:val="22"/>
        </w:rPr>
        <w:t>e lo Contencioso Administrativo.</w:t>
      </w:r>
    </w:p>
    <w:p w:rsidR="007F2C80" w:rsidP="00182369" w:rsidRDefault="00EA6D0A" w14:paraId="1A951473" w14:textId="0E285423">
      <w:pPr>
        <w:spacing w:line="276" w:lineRule="auto"/>
        <w:ind w:firstLine="708"/>
        <w:jc w:val="both"/>
        <w:rPr>
          <w:rFonts w:ascii="Arial" w:hAnsi="Arial" w:cs="Arial"/>
          <w:bCs/>
          <w:color w:val="000000" w:themeColor="text1"/>
          <w:sz w:val="22"/>
        </w:rPr>
      </w:pPr>
      <w:r w:rsidRPr="00B60E43">
        <w:rPr>
          <w:rFonts w:ascii="Arial" w:hAnsi="Arial" w:cs="Arial"/>
          <w:sz w:val="22"/>
          <w:lang w:val="es-ES_tradnl"/>
        </w:rPr>
        <w:t xml:space="preserve">La Agencia Nacional de Contratación Pública – Colombia Compra Eficiente </w:t>
      </w:r>
      <w:r w:rsidRPr="00964916" w:rsidR="005E6A47">
        <w:rPr>
          <w:rFonts w:ascii="Arial" w:hAnsi="Arial" w:eastAsia="Calibri" w:cs="Arial"/>
          <w:color w:val="000000" w:themeColor="text1"/>
          <w:sz w:val="22"/>
        </w:rPr>
        <w:t>a</w:t>
      </w:r>
      <w:r w:rsidRPr="002109B6" w:rsidR="005E6A47">
        <w:rPr>
          <w:rFonts w:ascii="Arial" w:hAnsi="Arial" w:eastAsia="Calibri" w:cs="Arial"/>
          <w:color w:val="000000" w:themeColor="text1"/>
          <w:sz w:val="22"/>
        </w:rPr>
        <w:t>nalizó el alcance de la experiencia exigida en la Matriz 1 de los Documentos Tipo</w:t>
      </w:r>
      <w:r w:rsidR="005E6A47">
        <w:rPr>
          <w:rFonts w:ascii="Arial" w:hAnsi="Arial" w:eastAsia="Calibri" w:cs="Arial"/>
          <w:color w:val="000000" w:themeColor="text1"/>
          <w:sz w:val="22"/>
        </w:rPr>
        <w:t xml:space="preserve"> en los</w:t>
      </w:r>
      <w:r w:rsidR="003476BD">
        <w:rPr>
          <w:rFonts w:ascii="Arial" w:hAnsi="Arial" w:eastAsia="Calibri" w:cs="Arial"/>
          <w:color w:val="000000" w:themeColor="text1"/>
          <w:sz w:val="22"/>
        </w:rPr>
        <w:t xml:space="preserve"> siguientes</w:t>
      </w:r>
      <w:r w:rsidR="005E6A47">
        <w:rPr>
          <w:rFonts w:ascii="Arial" w:hAnsi="Arial" w:eastAsia="Calibri" w:cs="Arial"/>
          <w:color w:val="000000" w:themeColor="text1"/>
          <w:sz w:val="22"/>
        </w:rPr>
        <w:t xml:space="preserve"> conceptos: </w:t>
      </w:r>
      <w:r w:rsidRPr="006442AE" w:rsidR="005E6A47">
        <w:rPr>
          <w:rFonts w:ascii="Arial" w:hAnsi="Arial" w:eastAsia="Calibri" w:cs="Arial"/>
          <w:bCs/>
          <w:sz w:val="22"/>
        </w:rPr>
        <w:t xml:space="preserve"> No</w:t>
      </w:r>
      <w:r w:rsidR="005E6A47">
        <w:rPr>
          <w:rFonts w:ascii="Arial" w:hAnsi="Arial" w:eastAsia="Calibri" w:cs="Arial"/>
          <w:bCs/>
          <w:sz w:val="22"/>
        </w:rPr>
        <w:t>s</w:t>
      </w:r>
      <w:r w:rsidRPr="006442AE" w:rsidR="005E6A47">
        <w:rPr>
          <w:rFonts w:ascii="Arial" w:hAnsi="Arial" w:eastAsia="Calibri" w:cs="Arial"/>
          <w:bCs/>
          <w:sz w:val="22"/>
        </w:rPr>
        <w:t>.</w:t>
      </w:r>
      <w:r w:rsidR="005E6A47">
        <w:rPr>
          <w:rFonts w:ascii="Arial" w:hAnsi="Arial" w:eastAsia="Calibri" w:cs="Arial"/>
          <w:sz w:val="22"/>
        </w:rPr>
        <w:t xml:space="preserve"> </w:t>
      </w:r>
      <w:r w:rsidRPr="008743F6" w:rsidR="005E6A47">
        <w:rPr>
          <w:rFonts w:ascii="Arial" w:hAnsi="Arial" w:eastAsia="Calibri" w:cs="Arial"/>
          <w:bCs/>
          <w:sz w:val="22"/>
        </w:rPr>
        <w:t>4201912000006724</w:t>
      </w:r>
      <w:r w:rsidR="005E6A47">
        <w:rPr>
          <w:color w:val="000000" w:themeColor="text1"/>
        </w:rPr>
        <w:t xml:space="preserve"> </w:t>
      </w:r>
      <w:r w:rsidRPr="008743F6" w:rsidR="005E6A47">
        <w:rPr>
          <w:rFonts w:ascii="Arial" w:hAnsi="Arial" w:eastAsia="Calibri" w:cs="Arial"/>
          <w:bCs/>
          <w:sz w:val="22"/>
        </w:rPr>
        <w:t>del 14 de noviembre de 2019,</w:t>
      </w:r>
      <w:r w:rsidR="005E6A47">
        <w:rPr>
          <w:color w:val="000000" w:themeColor="text1"/>
        </w:rPr>
        <w:t xml:space="preserve"> </w:t>
      </w:r>
      <w:r w:rsidR="005E6A47">
        <w:rPr>
          <w:rFonts w:ascii="Arial" w:hAnsi="Arial" w:eastAsia="Calibri" w:cs="Arial"/>
          <w:sz w:val="22"/>
        </w:rPr>
        <w:t xml:space="preserve">C-697 del 02 de diciembre de 2020, </w:t>
      </w:r>
      <w:r w:rsidRPr="006442AE" w:rsidR="005E6A47">
        <w:rPr>
          <w:rFonts w:ascii="Arial" w:hAnsi="Arial" w:eastAsia="Calibri" w:cs="Arial"/>
          <w:sz w:val="22"/>
        </w:rPr>
        <w:t>C-</w:t>
      </w:r>
      <w:r w:rsidR="005E6A47">
        <w:rPr>
          <w:rFonts w:ascii="Arial" w:hAnsi="Arial" w:eastAsia="Calibri" w:cs="Arial"/>
          <w:sz w:val="22"/>
        </w:rPr>
        <w:t xml:space="preserve">744 del 22 de diciembre de 2020, C-053 del 09 de marzo de 2021, </w:t>
      </w:r>
      <w:r w:rsidR="00C01F1D">
        <w:rPr>
          <w:rFonts w:ascii="Arial" w:hAnsi="Arial" w:eastAsia="Calibri" w:cs="Arial"/>
          <w:sz w:val="22"/>
        </w:rPr>
        <w:t xml:space="preserve">C-111 del 29 de marzo de 2021 </w:t>
      </w:r>
      <w:r w:rsidR="005E6A47">
        <w:rPr>
          <w:rFonts w:ascii="Arial" w:hAnsi="Arial" w:eastAsia="Calibri" w:cs="Arial"/>
          <w:sz w:val="22"/>
        </w:rPr>
        <w:t>y C-244 del 04 de mayo de 2021</w:t>
      </w:r>
      <w:r>
        <w:rPr>
          <w:rFonts w:ascii="Arial" w:hAnsi="Arial" w:cs="Arial"/>
          <w:color w:val="000000"/>
          <w:sz w:val="22"/>
          <w:shd w:val="clear" w:color="auto" w:fill="FFFFFF"/>
        </w:rPr>
        <w:t xml:space="preserve">. </w:t>
      </w:r>
      <w:r w:rsidRPr="00EA6CBF" w:rsidR="005E6A47">
        <w:rPr>
          <w:rFonts w:ascii="Arial" w:hAnsi="Arial" w:eastAsia="Calibri" w:cs="Arial"/>
          <w:sz w:val="22"/>
        </w:rPr>
        <w:t xml:space="preserve">También por medio de los conceptos </w:t>
      </w:r>
      <w:r w:rsidR="005E6A47">
        <w:rPr>
          <w:rFonts w:ascii="Arial" w:hAnsi="Arial" w:cs="Arial"/>
          <w:color w:val="000000" w:themeColor="text1"/>
          <w:sz w:val="22"/>
          <w:lang w:val="es-ES_tradnl"/>
        </w:rPr>
        <w:t xml:space="preserve">C-712 del 28 de diciembre de 2020, C-088 del 17 de marzo de 2021 y C-110 del 29 de marzo de 2021, esta Agencia </w:t>
      </w:r>
      <w:r w:rsidR="00D43086">
        <w:rPr>
          <w:rFonts w:ascii="Arial" w:hAnsi="Arial" w:cs="Arial"/>
          <w:color w:val="000000" w:themeColor="text1"/>
          <w:sz w:val="22"/>
          <w:lang w:val="es-ES_tradnl"/>
        </w:rPr>
        <w:t xml:space="preserve">se </w:t>
      </w:r>
      <w:r w:rsidRPr="00222BE8" w:rsidR="00D43086">
        <w:rPr>
          <w:rFonts w:ascii="Arial" w:hAnsi="Arial" w:cs="Arial"/>
          <w:color w:val="000000" w:themeColor="text1"/>
          <w:sz w:val="22"/>
          <w:lang w:val="es-ES_tradnl"/>
        </w:rPr>
        <w:t>pronunció</w:t>
      </w:r>
      <w:r w:rsidRPr="00222BE8" w:rsidR="005E6A47">
        <w:rPr>
          <w:rFonts w:ascii="Arial" w:hAnsi="Arial" w:cs="Arial"/>
          <w:color w:val="000000" w:themeColor="text1"/>
          <w:sz w:val="22"/>
          <w:lang w:val="es-ES_tradnl"/>
        </w:rPr>
        <w:t xml:space="preserve"> sobre</w:t>
      </w:r>
      <w:r w:rsidR="005E6A47">
        <w:rPr>
          <w:rFonts w:ascii="Arial" w:hAnsi="Arial" w:cs="Arial"/>
          <w:color w:val="000000" w:themeColor="text1"/>
          <w:sz w:val="22"/>
          <w:lang w:val="es-ES_tradnl"/>
        </w:rPr>
        <w:t xml:space="preserve"> el Reg</w:t>
      </w:r>
      <w:r w:rsidR="00400B1D">
        <w:rPr>
          <w:rFonts w:ascii="Arial" w:hAnsi="Arial" w:cs="Arial"/>
          <w:color w:val="000000" w:themeColor="text1"/>
          <w:sz w:val="22"/>
          <w:lang w:val="es-ES_tradnl"/>
        </w:rPr>
        <w:t xml:space="preserve">istro Nacional de Obras </w:t>
      </w:r>
      <w:r w:rsidR="00545C2F">
        <w:rPr>
          <w:rFonts w:ascii="Arial" w:hAnsi="Arial" w:cs="Arial"/>
          <w:color w:val="000000" w:themeColor="text1"/>
          <w:sz w:val="22"/>
          <w:lang w:val="es-ES_tradnl"/>
        </w:rPr>
        <w:t xml:space="preserve">Civiles </w:t>
      </w:r>
      <w:r w:rsidR="00C40AEE">
        <w:rPr>
          <w:rFonts w:ascii="Arial" w:hAnsi="Arial" w:cs="Arial"/>
          <w:color w:val="000000" w:themeColor="text1"/>
          <w:sz w:val="22"/>
          <w:lang w:val="es-ES_tradnl"/>
        </w:rPr>
        <w:t>Inconclusas</w:t>
      </w:r>
      <w:r w:rsidR="00400B1D">
        <w:rPr>
          <w:rFonts w:ascii="Arial" w:hAnsi="Arial" w:cs="Arial"/>
          <w:color w:val="000000" w:themeColor="text1"/>
          <w:sz w:val="22"/>
          <w:lang w:val="es-ES_tradnl"/>
        </w:rPr>
        <w:t xml:space="preserve">. </w:t>
      </w:r>
      <w:r w:rsidRPr="0016149E" w:rsidR="00C01F1D">
        <w:rPr>
          <w:rFonts w:ascii="Arial" w:hAnsi="Arial" w:eastAsia="Calibri" w:cs="Arial"/>
          <w:sz w:val="22"/>
        </w:rPr>
        <w:t xml:space="preserve">Las tesis desarrolladas en estos conceptos se </w:t>
      </w:r>
      <w:r w:rsidR="00C01F1D">
        <w:rPr>
          <w:rFonts w:ascii="Arial" w:hAnsi="Arial" w:eastAsia="Calibri" w:cs="Arial"/>
          <w:sz w:val="22"/>
        </w:rPr>
        <w:t>reitera</w:t>
      </w:r>
      <w:r w:rsidRPr="0016149E" w:rsidR="00C01F1D">
        <w:rPr>
          <w:rFonts w:ascii="Arial" w:hAnsi="Arial" w:eastAsia="Calibri" w:cs="Arial"/>
          <w:sz w:val="22"/>
        </w:rPr>
        <w:t>n a continuación</w:t>
      </w:r>
      <w:r w:rsidR="00884BCF">
        <w:rPr>
          <w:rFonts w:ascii="Arial" w:hAnsi="Arial" w:cs="Arial"/>
          <w:bCs/>
          <w:color w:val="000000" w:themeColor="text1"/>
          <w:sz w:val="22"/>
        </w:rPr>
        <w:t>.</w:t>
      </w:r>
    </w:p>
    <w:p w:rsidR="00C40AEE" w:rsidP="00C40AEE" w:rsidRDefault="00C40AEE" w14:paraId="380AA8B5" w14:textId="77777777">
      <w:pPr>
        <w:spacing w:line="276" w:lineRule="auto"/>
        <w:jc w:val="both"/>
        <w:rPr>
          <w:rFonts w:ascii="Arial" w:hAnsi="Arial" w:cs="Arial"/>
          <w:bCs/>
          <w:color w:val="000000" w:themeColor="text1"/>
          <w:sz w:val="22"/>
        </w:rPr>
      </w:pPr>
    </w:p>
    <w:p w:rsidR="008E5B2B" w:rsidP="008E5B2B" w:rsidRDefault="00985B1F" w14:paraId="1CAB8A0A" w14:textId="3C30772A">
      <w:pPr>
        <w:spacing w:line="276" w:lineRule="auto"/>
        <w:jc w:val="both"/>
        <w:rPr>
          <w:rFonts w:ascii="Arial" w:hAnsi="Arial" w:eastAsia="Calibri" w:cs="Arial"/>
          <w:b/>
          <w:bCs/>
          <w:color w:val="000000"/>
          <w:sz w:val="22"/>
          <w:lang w:eastAsia="en-GB"/>
        </w:rPr>
      </w:pPr>
      <w:r w:rsidRPr="002D7EDD">
        <w:rPr>
          <w:rFonts w:ascii="Arial" w:hAnsi="Arial" w:eastAsia="Calibri" w:cs="Arial"/>
          <w:b/>
          <w:bCs/>
          <w:color w:val="000000"/>
          <w:sz w:val="22"/>
          <w:lang w:eastAsia="en-GB"/>
        </w:rPr>
        <w:t xml:space="preserve">2.1. </w:t>
      </w:r>
      <w:r w:rsidRPr="00FF4961">
        <w:rPr>
          <w:rFonts w:ascii="Arial" w:hAnsi="Arial" w:eastAsia="Calibri" w:cs="Arial"/>
          <w:b/>
          <w:bCs/>
          <w:color w:val="000000"/>
          <w:sz w:val="22"/>
          <w:lang w:eastAsia="en-GB"/>
        </w:rPr>
        <w:t xml:space="preserve">Documentos tipo de licitación </w:t>
      </w:r>
      <w:r>
        <w:rPr>
          <w:rFonts w:ascii="Arial" w:hAnsi="Arial" w:eastAsia="Calibri" w:cs="Arial"/>
          <w:b/>
          <w:bCs/>
          <w:color w:val="000000"/>
          <w:sz w:val="22"/>
          <w:lang w:eastAsia="en-GB"/>
        </w:rPr>
        <w:t>pública para</w:t>
      </w:r>
      <w:r w:rsidRPr="00FF4961">
        <w:rPr>
          <w:rFonts w:ascii="Arial" w:hAnsi="Arial" w:eastAsia="Calibri" w:cs="Arial"/>
          <w:b/>
          <w:bCs/>
          <w:color w:val="000000"/>
          <w:sz w:val="22"/>
          <w:lang w:eastAsia="en-GB"/>
        </w:rPr>
        <w:t xml:space="preserve"> obra de</w:t>
      </w:r>
      <w:r>
        <w:rPr>
          <w:rFonts w:ascii="Arial" w:hAnsi="Arial" w:eastAsia="Calibri" w:cs="Arial"/>
          <w:b/>
          <w:bCs/>
          <w:color w:val="000000"/>
          <w:sz w:val="22"/>
          <w:lang w:eastAsia="en-GB"/>
        </w:rPr>
        <w:t xml:space="preserve"> infraestructura de</w:t>
      </w:r>
      <w:r w:rsidRPr="00FF4961">
        <w:rPr>
          <w:rFonts w:ascii="Arial" w:hAnsi="Arial" w:eastAsia="Calibri" w:cs="Arial"/>
          <w:b/>
          <w:bCs/>
          <w:color w:val="000000"/>
          <w:sz w:val="22"/>
          <w:lang w:eastAsia="en-GB"/>
        </w:rPr>
        <w:t xml:space="preserve"> agua potable y saneamiento básico</w:t>
      </w:r>
      <w:r w:rsidR="00591A47">
        <w:rPr>
          <w:rFonts w:ascii="Arial" w:hAnsi="Arial" w:eastAsia="Calibri" w:cs="Arial"/>
          <w:b/>
          <w:bCs/>
          <w:color w:val="000000"/>
          <w:sz w:val="22"/>
          <w:lang w:eastAsia="en-GB"/>
        </w:rPr>
        <w:t xml:space="preserve"> </w:t>
      </w:r>
    </w:p>
    <w:p w:rsidR="008E5B2B" w:rsidP="008E5B2B" w:rsidRDefault="008E5B2B" w14:paraId="5379366C" w14:textId="77777777">
      <w:pPr>
        <w:spacing w:line="276" w:lineRule="auto"/>
        <w:jc w:val="both"/>
        <w:rPr>
          <w:rFonts w:ascii="Arial" w:hAnsi="Arial" w:eastAsia="Calibri" w:cs="Arial"/>
          <w:sz w:val="22"/>
        </w:rPr>
      </w:pPr>
    </w:p>
    <w:p w:rsidRPr="001B2FB1" w:rsidR="00985B1F" w:rsidP="008E5B2B" w:rsidRDefault="00BA28AC" w14:paraId="0C0B7A5D" w14:textId="6F02A4CD">
      <w:pPr>
        <w:spacing w:after="120" w:line="276" w:lineRule="auto"/>
        <w:jc w:val="both"/>
        <w:rPr>
          <w:rFonts w:ascii="Arial" w:hAnsi="Arial" w:eastAsia="Calibri" w:cs="Arial"/>
          <w:b/>
          <w:bCs/>
          <w:color w:val="000000"/>
          <w:sz w:val="22"/>
          <w:lang w:eastAsia="en-GB"/>
        </w:rPr>
      </w:pPr>
      <w:r w:rsidRPr="001B2FB1">
        <w:rPr>
          <w:rFonts w:ascii="Arial" w:hAnsi="Arial" w:eastAsia="Calibri" w:cs="Arial"/>
          <w:sz w:val="22"/>
        </w:rPr>
        <w:t>E</w:t>
      </w:r>
      <w:r w:rsidRPr="001B2FB1" w:rsidR="00985B1F">
        <w:rPr>
          <w:rFonts w:ascii="Arial" w:hAnsi="Arial" w:eastAsia="Calibri" w:cs="Arial"/>
          <w:sz w:val="22"/>
        </w:rPr>
        <w:t xml:space="preserve">n desarrollo de la Ley 2022 de 2020, la Agencia Nacional de Contratación Pública expidió las Resoluciones Nos. 248 y 249 del 1° de diciembre de 2020. Mediante dichos actos administrativos se adoptaron los documentos tipo para licitación de obras públicas de infraestructura de agua potable y saneamiento básico y los documentos tipo para licitación de obras públicas de infraestructura de agua potable y saneamiento básico en modalidad llave en mano, respectivamente. </w:t>
      </w:r>
    </w:p>
    <w:p w:rsidRPr="001B2FB1" w:rsidR="00985B1F" w:rsidP="00985B1F" w:rsidRDefault="00985B1F" w14:paraId="2F620260" w14:textId="20007AF6">
      <w:pPr>
        <w:spacing w:before="120" w:after="120" w:line="276" w:lineRule="auto"/>
        <w:ind w:firstLine="709"/>
        <w:jc w:val="both"/>
        <w:rPr>
          <w:rFonts w:ascii="Arial" w:hAnsi="Arial" w:eastAsia="Calibri" w:cs="Arial"/>
          <w:sz w:val="22"/>
        </w:rPr>
      </w:pPr>
      <w:r w:rsidRPr="001B2FB1">
        <w:rPr>
          <w:rFonts w:ascii="Arial" w:hAnsi="Arial" w:eastAsia="Calibri" w:cs="Arial"/>
          <w:sz w:val="22"/>
        </w:rPr>
        <w:t xml:space="preserve">Conforme lo establece la parte considerativa de dichas resoluciones, la adopción de estos proyectos se efectuó, entre otras, con el propósito de promover la pluralidad de oferentes y adoptar buenas prácticas contractuales que garanticen el adecuado manejo de los recursos públicos destinados a las obras de agua potable y saneamiento básico. De igual manera, se busca desarrollar medidas de fortalecimiento, eficiencia y transparencia que permitan realizar y aprovechar las grandes inversiones en materia de infraestructura de agua potable y saneamiento básico que se realizarán en el país. En este sentido, estos documentos tipo </w:t>
      </w:r>
      <w:r w:rsidR="00F160D1">
        <w:rPr>
          <w:rFonts w:ascii="Arial" w:hAnsi="Arial" w:eastAsia="Calibri" w:cs="Arial"/>
          <w:sz w:val="22"/>
        </w:rPr>
        <w:t xml:space="preserve">se aplican a </w:t>
      </w:r>
      <w:r w:rsidRPr="001B2FB1">
        <w:rPr>
          <w:rFonts w:ascii="Arial" w:hAnsi="Arial" w:eastAsia="Calibri" w:cs="Arial"/>
          <w:sz w:val="22"/>
        </w:rPr>
        <w:t xml:space="preserve">una tipología contractual específica: la obra pública para los proyectos de infraestructura de agua potable y saneamiento básico bajo la modalidad de licitación pública. </w:t>
      </w:r>
    </w:p>
    <w:p w:rsidRPr="001B2FB1" w:rsidR="00985B1F" w:rsidP="00182369" w:rsidRDefault="00985B1F" w14:paraId="09EFF859" w14:textId="1C45E6ED">
      <w:pPr>
        <w:spacing w:after="120" w:line="276" w:lineRule="auto"/>
        <w:ind w:firstLine="708"/>
        <w:jc w:val="both"/>
        <w:rPr>
          <w:rFonts w:ascii="Arial" w:hAnsi="Arial" w:cs="Arial"/>
          <w:color w:val="000000"/>
          <w:sz w:val="22"/>
          <w:szCs w:val="22"/>
          <w:bdr w:val="none" w:color="auto" w:sz="0" w:space="0" w:frame="1"/>
        </w:rPr>
      </w:pPr>
      <w:r w:rsidRPr="001B2FB1">
        <w:rPr>
          <w:rFonts w:ascii="Arial" w:hAnsi="Arial" w:cs="Arial"/>
          <w:color w:val="000000"/>
          <w:sz w:val="22"/>
          <w:szCs w:val="22"/>
          <w:bdr w:val="none" w:color="auto" w:sz="0" w:space="0" w:frame="1"/>
        </w:rPr>
        <w:t xml:space="preserve">Para tales efectos, </w:t>
      </w:r>
      <w:r w:rsidR="00F160D1">
        <w:rPr>
          <w:rFonts w:ascii="Arial" w:hAnsi="Arial" w:cs="Arial"/>
          <w:color w:val="000000"/>
          <w:sz w:val="22"/>
          <w:szCs w:val="22"/>
          <w:bdr w:val="none" w:color="auto" w:sz="0" w:space="0" w:frame="1"/>
        </w:rPr>
        <w:t xml:space="preserve">el numeral 1º del artículo 32 de la Ley 80 define el contrato de obra como aquellos </w:t>
      </w:r>
      <w:r w:rsidRPr="001B2FB1" w:rsidR="00F160D1">
        <w:rPr>
          <w:rFonts w:ascii="Arial" w:hAnsi="Arial" w:cs="Arial"/>
          <w:color w:val="000000"/>
          <w:sz w:val="22"/>
          <w:szCs w:val="22"/>
          <w:bdr w:val="none" w:color="auto" w:sz="0" w:space="0" w:frame="1"/>
        </w:rPr>
        <w:t xml:space="preserve">que </w:t>
      </w:r>
      <w:r w:rsidRPr="003F6F8C" w:rsidR="007839FB">
        <w:rPr>
          <w:rFonts w:ascii="Arial" w:hAnsi="Arial" w:eastAsia="Calibri" w:cs="Arial"/>
          <w:sz w:val="22"/>
        </w:rPr>
        <w:t>«</w:t>
      </w:r>
      <w:r w:rsidRPr="007839FB" w:rsidR="00F160D1">
        <w:rPr>
          <w:rFonts w:ascii="Arial" w:hAnsi="Arial" w:cs="Arial"/>
          <w:iCs/>
          <w:color w:val="000000"/>
          <w:sz w:val="21"/>
          <w:szCs w:val="21"/>
          <w:bdr w:val="none" w:color="auto" w:sz="0" w:space="0" w:frame="1"/>
        </w:rPr>
        <w:t>celebren las entidades estatales para la construcción, mantenimiento, instalación y, en general, para la realización de cualquier otro trabajo material sobre bienes inmuebles, cualquiera que sea la modalidad de ejecución y pago</w:t>
      </w:r>
      <w:r w:rsidRPr="0057006A" w:rsidR="007839FB">
        <w:rPr>
          <w:rFonts w:ascii="Arial" w:hAnsi="Arial" w:eastAsia="Calibri" w:cs="Arial"/>
          <w:sz w:val="21"/>
          <w:szCs w:val="21"/>
        </w:rPr>
        <w:t>»</w:t>
      </w:r>
      <w:r w:rsidR="005B2645">
        <w:rPr>
          <w:rFonts w:ascii="Arial" w:hAnsi="Arial" w:eastAsia="Calibri" w:cs="Arial"/>
          <w:sz w:val="21"/>
          <w:szCs w:val="21"/>
        </w:rPr>
        <w:t>.</w:t>
      </w:r>
      <w:r w:rsidR="00BA347B">
        <w:rPr>
          <w:rFonts w:ascii="Arial" w:hAnsi="Arial" w:cs="Arial"/>
          <w:color w:val="000000"/>
          <w:sz w:val="22"/>
          <w:szCs w:val="22"/>
          <w:bdr w:val="none" w:color="auto" w:sz="0" w:space="0" w:frame="1"/>
        </w:rPr>
        <w:t xml:space="preserve"> </w:t>
      </w:r>
      <w:r w:rsidRPr="001B2FB1">
        <w:rPr>
          <w:rFonts w:ascii="Arial" w:hAnsi="Arial" w:cs="Arial"/>
          <w:color w:val="000000"/>
          <w:sz w:val="22"/>
          <w:szCs w:val="22"/>
          <w:bdr w:val="none" w:color="auto" w:sz="0" w:space="0" w:frame="1"/>
        </w:rPr>
        <w:t>Por tal motivo, según lo establece el artículo 2 de las Resoluciones Nos. 248 y 249 de 2020, los documentos tipo contienen parámetros obligatorios para las entidades estatales sometidas al Estatuto General de Contratación de la Administración Pública que adelanten contratos de obra de infraestructura de agua potable y saneamiento básico, que se realicen por la modalidad de licitación pública. </w:t>
      </w:r>
    </w:p>
    <w:p w:rsidRPr="001B2FB1" w:rsidR="00985B1F" w:rsidP="00985B1F" w:rsidRDefault="00985B1F" w14:paraId="56173164" w14:textId="3424662A">
      <w:pPr>
        <w:pStyle w:val="xmsonospacing"/>
        <w:spacing w:before="120" w:beforeAutospacing="0" w:after="120" w:afterAutospacing="0" w:line="276" w:lineRule="auto"/>
        <w:ind w:firstLine="708"/>
        <w:jc w:val="both"/>
        <w:rPr>
          <w:rFonts w:ascii="Arial" w:hAnsi="Arial" w:eastAsia="Calibri" w:cs="Arial"/>
          <w:sz w:val="22"/>
          <w:szCs w:val="22"/>
          <w:lang w:val="es-MX" w:eastAsia="en-US"/>
        </w:rPr>
      </w:pPr>
      <w:r w:rsidRPr="001B2FB1">
        <w:rPr>
          <w:rFonts w:ascii="Arial" w:hAnsi="Arial" w:cs="Arial"/>
          <w:color w:val="000000"/>
          <w:sz w:val="22"/>
          <w:szCs w:val="22"/>
          <w:bdr w:val="none" w:color="auto" w:sz="0" w:space="0" w:frame="1"/>
        </w:rPr>
        <w:t>Además, de conformidad con el artículo 3,</w:t>
      </w:r>
      <w:r w:rsidR="00BA347B">
        <w:rPr>
          <w:rFonts w:ascii="Arial" w:hAnsi="Arial" w:cs="Arial"/>
          <w:color w:val="000000"/>
          <w:sz w:val="22"/>
          <w:szCs w:val="22"/>
          <w:bdr w:val="none" w:color="auto" w:sz="0" w:space="0" w:frame="1"/>
        </w:rPr>
        <w:t xml:space="preserve"> común con </w:t>
      </w:r>
      <w:r w:rsidR="00A06475">
        <w:rPr>
          <w:rFonts w:ascii="Arial" w:hAnsi="Arial" w:cs="Arial"/>
          <w:color w:val="000000"/>
          <w:sz w:val="22"/>
          <w:szCs w:val="22"/>
          <w:bdr w:val="none" w:color="auto" w:sz="0" w:space="0" w:frame="1"/>
        </w:rPr>
        <w:t>en las resoluciones mencionadas,</w:t>
      </w:r>
      <w:r w:rsidRPr="001B2FB1">
        <w:rPr>
          <w:rFonts w:ascii="Arial" w:hAnsi="Arial" w:cs="Arial"/>
          <w:color w:val="000000"/>
          <w:sz w:val="22"/>
          <w:szCs w:val="22"/>
          <w:bdr w:val="none" w:color="auto" w:sz="0" w:space="0" w:frame="1"/>
        </w:rPr>
        <w:t xml:space="preserve"> los documentos tipo son inalterables por parte de las autoridades administrativas, salvo en aquellos aspectos en los que está permitido su diligenciamiento. En esta medida, las entidades estatales no pueden incluir o modificar en los documentos del proceso las condiciones habilitantes, los factores técnicos y económicos de escogencia y los sistemas de ponderación distintos a los señalados en los documentos tipo.</w:t>
      </w:r>
      <w:r w:rsidRPr="001B2FB1">
        <w:rPr>
          <w:rFonts w:ascii="Arial" w:hAnsi="Arial" w:eastAsia="Calibri" w:cs="Arial"/>
          <w:sz w:val="22"/>
          <w:szCs w:val="22"/>
          <w:lang w:val="es-MX" w:eastAsia="en-US"/>
        </w:rPr>
        <w:t xml:space="preserve"> </w:t>
      </w:r>
    </w:p>
    <w:p w:rsidR="007839FB" w:rsidP="007839FB" w:rsidRDefault="00985B1F" w14:paraId="2579DE0F" w14:textId="77777777">
      <w:pPr>
        <w:spacing w:before="120" w:line="276" w:lineRule="auto"/>
        <w:ind w:firstLine="709"/>
        <w:jc w:val="both"/>
        <w:rPr>
          <w:rFonts w:ascii="Arial" w:hAnsi="Arial" w:eastAsia="Calibri" w:cs="Arial"/>
          <w:sz w:val="22"/>
        </w:rPr>
      </w:pPr>
      <w:r w:rsidRPr="001B2FB1">
        <w:rPr>
          <w:rFonts w:ascii="Arial" w:hAnsi="Arial" w:eastAsia="Calibri" w:cs="Arial"/>
          <w:sz w:val="22"/>
        </w:rPr>
        <w:t>Precisada la obligatoriedad de los documentos tipo, a continuación, se explicará la forma en que se aplica la «Matriz 1 – Experiencia» en los proyectos de infraestructura de agua potable y saneamiento básico, con el fin de responder la consulta presentada, máxime si se tiene en cuenta que dicha matriz delimita el ámbito de aplicación de estos documentos tipo.</w:t>
      </w:r>
    </w:p>
    <w:p w:rsidRPr="00985B1F" w:rsidR="00985B1F" w:rsidP="00182369" w:rsidRDefault="00985B1F" w14:paraId="5CD52AB3" w14:textId="478A7366">
      <w:pPr>
        <w:spacing w:line="276" w:lineRule="auto"/>
        <w:ind w:firstLine="709"/>
        <w:jc w:val="both"/>
        <w:rPr>
          <w:rFonts w:ascii="Arial" w:hAnsi="Arial" w:eastAsia="Calibri" w:cs="Arial"/>
          <w:sz w:val="22"/>
        </w:rPr>
      </w:pPr>
      <w:r>
        <w:rPr>
          <w:rFonts w:ascii="Arial" w:hAnsi="Arial" w:eastAsia="Calibri" w:cs="Arial"/>
          <w:sz w:val="22"/>
        </w:rPr>
        <w:t xml:space="preserve"> </w:t>
      </w:r>
    </w:p>
    <w:p w:rsidRPr="00713D09" w:rsidR="00EA6D0A" w:rsidP="00182369" w:rsidRDefault="00EA6D0A" w14:paraId="1B055380" w14:textId="2E2AA943">
      <w:pPr>
        <w:pStyle w:val="Prrafodelista"/>
        <w:numPr>
          <w:ilvl w:val="1"/>
          <w:numId w:val="26"/>
        </w:numPr>
        <w:tabs>
          <w:tab w:val="left" w:pos="0"/>
        </w:tabs>
        <w:ind w:left="0" w:hanging="11"/>
        <w:jc w:val="both"/>
        <w:rPr>
          <w:rFonts w:ascii="Arial" w:hAnsi="Arial" w:eastAsia="Calibri" w:cs="Arial"/>
          <w:b/>
          <w:bCs/>
          <w:color w:val="000000"/>
          <w:sz w:val="22"/>
          <w:lang w:eastAsia="en-GB"/>
        </w:rPr>
      </w:pPr>
      <w:r w:rsidRPr="00713D09">
        <w:rPr>
          <w:rFonts w:ascii="Arial" w:hAnsi="Arial" w:eastAsia="Calibri" w:cs="Arial"/>
          <w:b/>
          <w:bCs/>
          <w:color w:val="000000"/>
          <w:sz w:val="22"/>
          <w:lang w:eastAsia="en-GB"/>
        </w:rPr>
        <w:t xml:space="preserve">La </w:t>
      </w:r>
      <w:r w:rsidR="00A06475">
        <w:rPr>
          <w:rFonts w:ascii="Arial" w:hAnsi="Arial" w:eastAsia="Calibri" w:cs="Arial"/>
          <w:b/>
          <w:bCs/>
          <w:color w:val="000000"/>
          <w:sz w:val="22"/>
          <w:lang w:eastAsia="en-GB"/>
        </w:rPr>
        <w:t>«</w:t>
      </w:r>
      <w:r w:rsidRPr="00713D09">
        <w:rPr>
          <w:rFonts w:ascii="Arial" w:hAnsi="Arial" w:eastAsia="Calibri" w:cs="Arial"/>
          <w:b/>
          <w:bCs/>
          <w:color w:val="000000"/>
          <w:sz w:val="22"/>
          <w:lang w:eastAsia="en-GB"/>
        </w:rPr>
        <w:t>Matriz 1 – Experiencia</w:t>
      </w:r>
      <w:r w:rsidR="00A06475">
        <w:rPr>
          <w:rFonts w:ascii="Arial" w:hAnsi="Arial" w:eastAsia="Calibri" w:cs="Arial"/>
          <w:b/>
          <w:bCs/>
          <w:color w:val="000000"/>
          <w:sz w:val="22"/>
          <w:lang w:eastAsia="en-GB"/>
        </w:rPr>
        <w:t>»</w:t>
      </w:r>
      <w:r w:rsidRPr="00713D09">
        <w:rPr>
          <w:rFonts w:ascii="Arial" w:hAnsi="Arial" w:eastAsia="Calibri" w:cs="Arial"/>
          <w:b/>
          <w:bCs/>
          <w:color w:val="000000"/>
          <w:sz w:val="22"/>
          <w:lang w:eastAsia="en-GB"/>
        </w:rPr>
        <w:t xml:space="preserve"> de los documentos tipo de agua potable y saneamiento básico</w:t>
      </w:r>
      <w:r w:rsidR="00725CC8">
        <w:rPr>
          <w:rFonts w:ascii="Arial" w:hAnsi="Arial" w:eastAsia="Calibri" w:cs="Arial"/>
          <w:b/>
          <w:bCs/>
          <w:color w:val="000000"/>
          <w:sz w:val="22"/>
          <w:lang w:eastAsia="en-GB"/>
        </w:rPr>
        <w:t xml:space="preserve"> </w:t>
      </w:r>
    </w:p>
    <w:p w:rsidRPr="008E5B2B" w:rsidR="008E5B2B" w:rsidP="008E5B2B" w:rsidRDefault="008E5B2B" w14:paraId="10B7A6CC" w14:textId="77777777">
      <w:pPr>
        <w:tabs>
          <w:tab w:val="left" w:pos="0"/>
        </w:tabs>
        <w:jc w:val="both"/>
        <w:rPr>
          <w:rFonts w:ascii="Arial" w:hAnsi="Arial" w:eastAsia="Calibri" w:cs="Arial"/>
          <w:b/>
          <w:bCs/>
          <w:color w:val="000000"/>
          <w:sz w:val="22"/>
          <w:lang w:eastAsia="en-GB"/>
        </w:rPr>
      </w:pPr>
    </w:p>
    <w:p w:rsidR="009F28B6" w:rsidP="009F28B6" w:rsidRDefault="009F28B6" w14:paraId="0BDF16A0" w14:textId="77777777">
      <w:pPr>
        <w:spacing w:after="120" w:line="276" w:lineRule="auto"/>
        <w:jc w:val="both"/>
        <w:rPr>
          <w:rFonts w:ascii="Arial" w:hAnsi="Arial" w:cs="Arial"/>
          <w:color w:val="0D0D0D" w:themeColor="text1" w:themeTint="F2"/>
          <w:sz w:val="22"/>
        </w:rPr>
      </w:pPr>
      <w:r>
        <w:rPr>
          <w:rFonts w:ascii="Arial" w:hAnsi="Arial" w:cs="Arial"/>
          <w:color w:val="0D0D0D" w:themeColor="text1" w:themeTint="F2"/>
          <w:sz w:val="22"/>
        </w:rPr>
        <w:t>L</w:t>
      </w:r>
      <w:r w:rsidRPr="005D5A26">
        <w:rPr>
          <w:rFonts w:ascii="Arial" w:hAnsi="Arial" w:cs="Arial"/>
          <w:color w:val="0D0D0D" w:themeColor="text1" w:themeTint="F2"/>
          <w:sz w:val="22"/>
        </w:rPr>
        <w:t xml:space="preserve">a parte introductoria de los </w:t>
      </w:r>
      <w:r>
        <w:rPr>
          <w:rFonts w:ascii="Arial" w:hAnsi="Arial" w:cs="Arial"/>
          <w:color w:val="0D0D0D" w:themeColor="text1" w:themeTint="F2"/>
          <w:sz w:val="22"/>
        </w:rPr>
        <w:t>«</w:t>
      </w:r>
      <w:r w:rsidRPr="005D5A26">
        <w:rPr>
          <w:rFonts w:ascii="Arial" w:hAnsi="Arial" w:cs="Arial"/>
          <w:color w:val="0D0D0D" w:themeColor="text1" w:themeTint="F2"/>
          <w:sz w:val="22"/>
        </w:rPr>
        <w:t>documentos base</w:t>
      </w:r>
      <w:r>
        <w:rPr>
          <w:rFonts w:ascii="Arial" w:hAnsi="Arial" w:cs="Arial"/>
          <w:color w:val="0D0D0D" w:themeColor="text1" w:themeTint="F2"/>
          <w:sz w:val="22"/>
        </w:rPr>
        <w:t>»</w:t>
      </w:r>
      <w:r w:rsidRPr="005D5A26">
        <w:rPr>
          <w:rFonts w:ascii="Arial" w:hAnsi="Arial" w:cs="Arial"/>
          <w:color w:val="0D0D0D" w:themeColor="text1" w:themeTint="F2"/>
          <w:sz w:val="22"/>
        </w:rPr>
        <w:t xml:space="preserve"> </w:t>
      </w:r>
      <w:r>
        <w:rPr>
          <w:rFonts w:ascii="Arial" w:hAnsi="Arial" w:cs="Arial"/>
          <w:color w:val="0D0D0D" w:themeColor="text1" w:themeTint="F2"/>
          <w:sz w:val="22"/>
        </w:rPr>
        <w:t xml:space="preserve">de los documentos tipo analizados </w:t>
      </w:r>
      <w:r w:rsidRPr="005D5A26">
        <w:rPr>
          <w:rFonts w:ascii="Arial" w:hAnsi="Arial" w:cs="Arial"/>
          <w:color w:val="0D0D0D" w:themeColor="text1" w:themeTint="F2"/>
          <w:sz w:val="22"/>
        </w:rPr>
        <w:t xml:space="preserve">dispone que </w:t>
      </w:r>
      <w:r>
        <w:rPr>
          <w:rFonts w:ascii="Arial" w:hAnsi="Arial" w:cs="Arial"/>
          <w:color w:val="0D0D0D" w:themeColor="text1" w:themeTint="F2"/>
          <w:sz w:val="22"/>
        </w:rPr>
        <w:t>estos</w:t>
      </w:r>
      <w:r w:rsidRPr="005D5A26">
        <w:rPr>
          <w:rFonts w:ascii="Arial" w:hAnsi="Arial" w:cs="Arial"/>
          <w:color w:val="0D0D0D" w:themeColor="text1" w:themeTint="F2"/>
          <w:sz w:val="22"/>
        </w:rPr>
        <w:t xml:space="preserve"> se aplican a los procedimientos de selección de licitación </w:t>
      </w:r>
      <w:r>
        <w:rPr>
          <w:rFonts w:ascii="Arial" w:hAnsi="Arial" w:cs="Arial"/>
          <w:color w:val="0D0D0D" w:themeColor="text1" w:themeTint="F2"/>
          <w:sz w:val="22"/>
        </w:rPr>
        <w:t>para obra de</w:t>
      </w:r>
      <w:r w:rsidRPr="005D5A26">
        <w:rPr>
          <w:rFonts w:ascii="Arial" w:hAnsi="Arial" w:cs="Arial"/>
          <w:color w:val="0D0D0D" w:themeColor="text1" w:themeTint="F2"/>
          <w:sz w:val="22"/>
        </w:rPr>
        <w:t xml:space="preserve"> infraestructura </w:t>
      </w:r>
      <w:r>
        <w:rPr>
          <w:rFonts w:ascii="Arial" w:hAnsi="Arial" w:cs="Arial"/>
          <w:color w:val="0D0D0D" w:themeColor="text1" w:themeTint="F2"/>
          <w:sz w:val="22"/>
        </w:rPr>
        <w:t>de</w:t>
      </w:r>
      <w:r w:rsidRPr="005D5A26">
        <w:rPr>
          <w:rFonts w:ascii="Arial" w:hAnsi="Arial" w:cs="Arial"/>
          <w:color w:val="0D0D0D" w:themeColor="text1" w:themeTint="F2"/>
          <w:sz w:val="22"/>
        </w:rPr>
        <w:t xml:space="preserve"> agua potable y saneamiento básico, que correspondan a las actividades definidas en la </w:t>
      </w:r>
      <w:r w:rsidRPr="005D5A26">
        <w:rPr>
          <w:rFonts w:ascii="Arial" w:hAnsi="Arial" w:cs="Arial"/>
          <w:color w:val="0D0D0D" w:themeColor="text1" w:themeTint="F2"/>
        </w:rPr>
        <w:t>«</w:t>
      </w:r>
      <w:r w:rsidRPr="005D5A26">
        <w:rPr>
          <w:rFonts w:ascii="Arial" w:hAnsi="Arial" w:cs="Arial"/>
          <w:color w:val="0D0D0D" w:themeColor="text1" w:themeTint="F2"/>
          <w:sz w:val="22"/>
        </w:rPr>
        <w:t>Matriz 1 – Experiencia</w:t>
      </w:r>
      <w:r w:rsidRPr="005D5A26">
        <w:rPr>
          <w:rFonts w:ascii="Arial" w:hAnsi="Arial" w:cs="Arial"/>
          <w:color w:val="0D0D0D" w:themeColor="text1" w:themeTint="F2"/>
        </w:rPr>
        <w:t>»</w:t>
      </w:r>
      <w:r w:rsidRPr="005D5A26">
        <w:rPr>
          <w:rFonts w:ascii="Arial" w:hAnsi="Arial" w:cs="Arial"/>
          <w:color w:val="0D0D0D" w:themeColor="text1" w:themeTint="F2"/>
          <w:sz w:val="22"/>
        </w:rPr>
        <w:t xml:space="preserve">. En consecuencia, los proyectos de agua potable y saneamiento básico no contemplados en la </w:t>
      </w:r>
      <w:r w:rsidRPr="005D5A26">
        <w:rPr>
          <w:rFonts w:ascii="Arial" w:hAnsi="Arial" w:cs="Arial"/>
          <w:color w:val="0D0D0D" w:themeColor="text1" w:themeTint="F2"/>
        </w:rPr>
        <w:t>«</w:t>
      </w:r>
      <w:r w:rsidRPr="005D5A26">
        <w:rPr>
          <w:rFonts w:ascii="Arial" w:hAnsi="Arial" w:cs="Arial"/>
          <w:color w:val="0D0D0D" w:themeColor="text1" w:themeTint="F2"/>
          <w:sz w:val="22"/>
        </w:rPr>
        <w:t>Matriz 1 – Experiencia</w:t>
      </w:r>
      <w:r w:rsidRPr="005D5A26">
        <w:rPr>
          <w:rFonts w:ascii="Arial" w:hAnsi="Arial" w:cs="Arial"/>
          <w:color w:val="0D0D0D" w:themeColor="text1" w:themeTint="F2"/>
        </w:rPr>
        <w:t>»</w:t>
      </w:r>
      <w:r w:rsidRPr="005D5A26">
        <w:rPr>
          <w:rFonts w:ascii="Arial" w:hAnsi="Arial" w:cs="Arial"/>
          <w:color w:val="0D0D0D" w:themeColor="text1" w:themeTint="F2"/>
          <w:sz w:val="22"/>
        </w:rPr>
        <w:t xml:space="preserve">, no tienen que aplicar los </w:t>
      </w:r>
      <w:r>
        <w:rPr>
          <w:rFonts w:ascii="Arial" w:hAnsi="Arial" w:cs="Arial"/>
          <w:color w:val="0D0D0D" w:themeColor="text1" w:themeTint="F2"/>
          <w:sz w:val="22"/>
        </w:rPr>
        <w:t>d</w:t>
      </w:r>
      <w:r w:rsidRPr="005D5A26">
        <w:rPr>
          <w:rFonts w:ascii="Arial" w:hAnsi="Arial" w:cs="Arial"/>
          <w:color w:val="0D0D0D" w:themeColor="text1" w:themeTint="F2"/>
          <w:sz w:val="22"/>
        </w:rPr>
        <w:t xml:space="preserve">ocumentos </w:t>
      </w:r>
      <w:r>
        <w:rPr>
          <w:rFonts w:ascii="Arial" w:hAnsi="Arial" w:cs="Arial"/>
          <w:color w:val="0D0D0D" w:themeColor="text1" w:themeTint="F2"/>
          <w:sz w:val="22"/>
        </w:rPr>
        <w:t>t</w:t>
      </w:r>
      <w:r w:rsidRPr="005D5A26">
        <w:rPr>
          <w:rFonts w:ascii="Arial" w:hAnsi="Arial" w:cs="Arial"/>
          <w:color w:val="0D0D0D" w:themeColor="text1" w:themeTint="F2"/>
          <w:sz w:val="22"/>
        </w:rPr>
        <w:t>ipo; sin perjuicio de lo previsto en el artículo 4 de la Resolución 248 de 2020</w:t>
      </w:r>
      <w:r>
        <w:rPr>
          <w:rFonts w:ascii="Arial" w:hAnsi="Arial" w:cs="Arial"/>
          <w:color w:val="0D0D0D" w:themeColor="text1" w:themeTint="F2"/>
          <w:sz w:val="22"/>
        </w:rPr>
        <w:t>, relacionado con la posibilidad de exigir experiencia adicional en determinados supuestos.</w:t>
      </w:r>
    </w:p>
    <w:p w:rsidRPr="005D5A26" w:rsidR="009F28B6" w:rsidP="009F28B6" w:rsidRDefault="009F28B6" w14:paraId="0873A130" w14:textId="77777777">
      <w:pPr>
        <w:spacing w:after="120" w:line="276" w:lineRule="auto"/>
        <w:ind w:firstLine="708"/>
        <w:jc w:val="both"/>
        <w:rPr>
          <w:rFonts w:ascii="Arial" w:hAnsi="Arial" w:cs="Arial"/>
          <w:color w:val="0D0D0D" w:themeColor="text1" w:themeTint="F2"/>
          <w:sz w:val="22"/>
        </w:rPr>
      </w:pPr>
      <w:r w:rsidRPr="005D5A26">
        <w:rPr>
          <w:rFonts w:ascii="Arial" w:hAnsi="Arial" w:cs="Arial"/>
          <w:color w:val="0D0D0D" w:themeColor="text1" w:themeTint="F2"/>
          <w:sz w:val="22"/>
        </w:rPr>
        <w:t>Concretamente, para determinar el ámbito de aplicación de los documentos tipo debe acudirse a la «Matriz 1 – Experiencia». Esta matriz</w:t>
      </w:r>
      <w:r w:rsidRPr="005D5A26">
        <w:rPr>
          <w:rFonts w:ascii="Arial" w:hAnsi="Arial" w:eastAsia="Calibri" w:cs="Arial"/>
          <w:sz w:val="22"/>
        </w:rPr>
        <w:t xml:space="preserve"> contempla cinco (5) clases de obras de infraestructura, </w:t>
      </w:r>
      <w:r w:rsidRPr="005D5A26">
        <w:rPr>
          <w:rFonts w:ascii="Arial" w:hAnsi="Arial" w:cs="Arial"/>
          <w:color w:val="0D0D0D" w:themeColor="text1" w:themeTint="F2"/>
          <w:sz w:val="22"/>
        </w:rPr>
        <w:t>identificadas con un número y su descripción</w:t>
      </w:r>
      <w:r w:rsidRPr="005D5A26">
        <w:rPr>
          <w:rFonts w:ascii="Arial" w:hAnsi="Arial" w:eastAsia="Calibri" w:cs="Arial"/>
          <w:sz w:val="22"/>
        </w:rPr>
        <w:t xml:space="preserve"> que corresponden a: 1) obras de acueductos y/o alcantarillados, 2) obras de aseo y/o manejo de residuos, 3) obras para PTAP –planta de tratamiento de agua potable– y/o PTAR –planta de tratamiento de aguas residuales–, 4) estudios y diseños –en el caso de proyectos que requieran labores de estudios, diseños y construcción bajo la modalidad de llave en mano– y 5) unidades sanitarias para vivienda rural dispersa. </w:t>
      </w:r>
    </w:p>
    <w:p w:rsidR="009F28B6" w:rsidP="009F28B6" w:rsidRDefault="009F28B6" w14:paraId="56FB7698" w14:textId="77777777">
      <w:pPr>
        <w:spacing w:before="120" w:after="120" w:line="276" w:lineRule="auto"/>
        <w:ind w:firstLine="708"/>
        <w:jc w:val="both"/>
        <w:rPr>
          <w:rFonts w:ascii="Arial" w:hAnsi="Arial" w:cs="Arial"/>
          <w:color w:val="0D0D0D" w:themeColor="text1" w:themeTint="F2"/>
          <w:sz w:val="22"/>
        </w:rPr>
      </w:pPr>
      <w:r w:rsidRPr="005D5A26">
        <w:rPr>
          <w:rFonts w:ascii="Arial" w:hAnsi="Arial" w:cs="Arial"/>
          <w:color w:val="0D0D0D" w:themeColor="text1" w:themeTint="F2"/>
          <w:sz w:val="22"/>
        </w:rPr>
        <w:t>En relación con cada tipo de infraestructura se encuentran los siguientes componentes: i) cuantías del proceso de contratación, la cual contiene los rangos dentro de los cuales se debe identificar el presupuesto del proceso de contratación y sirve de referencia para definir la experiencia exigible y ii) la actividad a contratar, que corresponde a la columna identificada como «actividad a contratar», donde la entidad estatal debe identificar en cuál de las actividades a contratar se ubica el objeto contractual</w:t>
      </w:r>
      <w:r>
        <w:rPr>
          <w:rFonts w:ascii="Arial" w:hAnsi="Arial" w:cs="Arial"/>
          <w:color w:val="0D0D0D" w:themeColor="text1" w:themeTint="F2"/>
          <w:sz w:val="22"/>
        </w:rPr>
        <w:t xml:space="preserve"> a ejecutar</w:t>
      </w:r>
      <w:r w:rsidRPr="005D5A26">
        <w:rPr>
          <w:rFonts w:ascii="Arial" w:hAnsi="Arial" w:cs="Arial"/>
          <w:color w:val="0D0D0D" w:themeColor="text1" w:themeTint="F2"/>
          <w:sz w:val="22"/>
        </w:rPr>
        <w:t xml:space="preserve">, y conforme a ellas exigir la experiencia definida en la </w:t>
      </w:r>
      <w:r>
        <w:rPr>
          <w:rFonts w:ascii="Arial" w:hAnsi="Arial" w:eastAsia="Calibri" w:cs="Arial"/>
          <w:sz w:val="22"/>
        </w:rPr>
        <w:t>«</w:t>
      </w:r>
      <w:r>
        <w:rPr>
          <w:rFonts w:ascii="Arial" w:hAnsi="Arial" w:cs="Arial"/>
          <w:sz w:val="22"/>
          <w:lang w:val="es-ES" w:eastAsia="es-ES"/>
        </w:rPr>
        <w:t>Matriz 1 – Experiencia</w:t>
      </w:r>
      <w:r w:rsidRPr="007B54FE">
        <w:rPr>
          <w:rFonts w:ascii="Arial" w:hAnsi="Arial" w:eastAsia="Calibri" w:cs="Arial"/>
          <w:sz w:val="22"/>
        </w:rPr>
        <w:t>»</w:t>
      </w:r>
      <w:r w:rsidRPr="005D5A26">
        <w:rPr>
          <w:rFonts w:ascii="Arial" w:hAnsi="Arial" w:cs="Arial"/>
          <w:sz w:val="22"/>
          <w:lang w:val="es-ES" w:eastAsia="es-ES"/>
        </w:rPr>
        <w:t>.</w:t>
      </w:r>
    </w:p>
    <w:p w:rsidRPr="005373DA" w:rsidR="009F28B6" w:rsidP="009F28B6" w:rsidRDefault="009F28B6" w14:paraId="08017BFD" w14:textId="77777777">
      <w:pPr>
        <w:spacing w:before="120" w:after="120" w:line="276" w:lineRule="auto"/>
        <w:ind w:firstLine="708"/>
        <w:jc w:val="both"/>
        <w:rPr>
          <w:rFonts w:ascii="Arial" w:hAnsi="Arial" w:cs="Arial"/>
          <w:color w:val="0D0D0D" w:themeColor="text1" w:themeTint="F2"/>
          <w:sz w:val="22"/>
        </w:rPr>
      </w:pPr>
      <w:r w:rsidRPr="005D5A26">
        <w:rPr>
          <w:rFonts w:ascii="Arial" w:hAnsi="Arial" w:cs="Arial"/>
          <w:sz w:val="22"/>
          <w:lang w:val="es-ES" w:eastAsia="es-ES"/>
        </w:rPr>
        <w:t xml:space="preserve">En esta medida, existen </w:t>
      </w:r>
      <w:r>
        <w:rPr>
          <w:rFonts w:ascii="Arial" w:hAnsi="Arial" w:cs="Arial"/>
          <w:sz w:val="22"/>
          <w:lang w:val="es-ES" w:eastAsia="es-ES"/>
        </w:rPr>
        <w:t xml:space="preserve">varios </w:t>
      </w:r>
      <w:r w:rsidRPr="005D5A26">
        <w:rPr>
          <w:rFonts w:ascii="Arial" w:hAnsi="Arial" w:cs="Arial"/>
          <w:sz w:val="22"/>
          <w:lang w:val="es-ES" w:eastAsia="es-ES"/>
        </w:rPr>
        <w:t>criterios para determinar si procede de forma obligatoria la contratación de una actividad mediante los documentos tipo</w:t>
      </w:r>
      <w:r>
        <w:rPr>
          <w:rFonts w:ascii="Arial" w:hAnsi="Arial" w:cs="Arial"/>
          <w:sz w:val="22"/>
          <w:lang w:val="es-ES" w:eastAsia="es-ES"/>
        </w:rPr>
        <w:t>, a saber</w:t>
      </w:r>
      <w:r w:rsidRPr="005D5A26">
        <w:rPr>
          <w:rFonts w:ascii="Arial" w:hAnsi="Arial" w:cs="Arial"/>
          <w:sz w:val="22"/>
          <w:lang w:val="es-ES" w:eastAsia="es-ES"/>
        </w:rPr>
        <w:t xml:space="preserve">: i) que se trate de una obra pública de infraestructura de </w:t>
      </w:r>
      <w:r w:rsidRPr="005D5A26">
        <w:rPr>
          <w:rFonts w:ascii="Arial" w:hAnsi="Arial" w:eastAsia="Calibri" w:cs="Arial"/>
          <w:sz w:val="22"/>
          <w:lang w:val="es-ES" w:eastAsia="es-ES"/>
        </w:rPr>
        <w:t>agua potable y saneamiento básico</w:t>
      </w:r>
      <w:r>
        <w:rPr>
          <w:rFonts w:ascii="Arial" w:hAnsi="Arial" w:eastAsia="Calibri" w:cs="Arial"/>
          <w:sz w:val="22"/>
          <w:lang w:val="es-ES" w:eastAsia="es-ES"/>
        </w:rPr>
        <w:t>, cuyo proceso de selección se adelantará en la modalidad de licitación pública</w:t>
      </w:r>
      <w:r w:rsidRPr="005D5A26">
        <w:rPr>
          <w:rFonts w:ascii="Arial" w:hAnsi="Arial" w:cs="Arial"/>
          <w:sz w:val="22"/>
          <w:lang w:val="es-ES" w:eastAsia="es-ES"/>
        </w:rPr>
        <w:t xml:space="preserve">; ii) que el </w:t>
      </w:r>
      <w:r>
        <w:rPr>
          <w:rFonts w:ascii="Arial" w:hAnsi="Arial" w:cs="Arial"/>
          <w:sz w:val="22"/>
          <w:lang w:val="es-ES" w:eastAsia="es-ES"/>
        </w:rPr>
        <w:t>contrato se rija por el</w:t>
      </w:r>
      <w:r w:rsidRPr="005D5A26">
        <w:rPr>
          <w:rFonts w:ascii="Arial" w:hAnsi="Arial" w:cs="Arial"/>
          <w:sz w:val="22"/>
          <w:lang w:val="es-ES" w:eastAsia="es-ES"/>
        </w:rPr>
        <w:t xml:space="preserve"> Estatuto General de Contratación de la Administración Pública; y iii) que el objeto a contratar esté asociado a alguno de los tipos de obra y actividades señaladas en la </w:t>
      </w:r>
      <w:r>
        <w:rPr>
          <w:rFonts w:ascii="Arial" w:hAnsi="Arial" w:eastAsia="Calibri" w:cs="Arial"/>
          <w:sz w:val="22"/>
        </w:rPr>
        <w:t>«</w:t>
      </w:r>
      <w:r>
        <w:rPr>
          <w:rFonts w:ascii="Arial" w:hAnsi="Arial" w:cs="Arial"/>
          <w:sz w:val="22"/>
          <w:lang w:val="es-ES" w:eastAsia="es-ES"/>
        </w:rPr>
        <w:t>Matriz 1 – Experiencia</w:t>
      </w:r>
      <w:r w:rsidRPr="007B54FE">
        <w:rPr>
          <w:rFonts w:ascii="Arial" w:hAnsi="Arial" w:eastAsia="Calibri" w:cs="Arial"/>
          <w:sz w:val="22"/>
        </w:rPr>
        <w:t>»</w:t>
      </w:r>
      <w:r w:rsidRPr="005D5A26">
        <w:rPr>
          <w:rFonts w:ascii="Arial" w:hAnsi="Arial" w:cs="Arial"/>
          <w:sz w:val="22"/>
          <w:lang w:val="es-ES" w:eastAsia="es-ES"/>
        </w:rPr>
        <w:t>. La coexistencia de tales condiciones hace obligatoria la aplicación de los documentos tipo.  </w:t>
      </w:r>
    </w:p>
    <w:p w:rsidR="009F28B6" w:rsidP="008E5B2B" w:rsidRDefault="00320885" w14:paraId="3BFE596D" w14:textId="476D8E00">
      <w:pPr>
        <w:spacing w:before="120" w:line="276" w:lineRule="auto"/>
        <w:ind w:firstLine="709"/>
        <w:jc w:val="both"/>
        <w:textAlignment w:val="baseline"/>
        <w:rPr>
          <w:rFonts w:ascii="Arial" w:hAnsi="Arial" w:eastAsia="Calibri" w:cs="Arial"/>
          <w:sz w:val="22"/>
        </w:rPr>
      </w:pPr>
      <w:r>
        <w:rPr>
          <w:rFonts w:ascii="Arial" w:hAnsi="Arial" w:eastAsia="Calibri" w:cs="Arial"/>
          <w:sz w:val="22"/>
        </w:rPr>
        <w:t>Por tanto</w:t>
      </w:r>
      <w:r w:rsidR="009F28B6">
        <w:rPr>
          <w:rFonts w:ascii="Arial" w:hAnsi="Arial" w:eastAsia="Calibri" w:cs="Arial"/>
          <w:sz w:val="22"/>
        </w:rPr>
        <w:t xml:space="preserve">, la entidad estatal –en la etapa de planeación– debe identificar el tipo de obra de infraestructura y las actividades definidas en la </w:t>
      </w:r>
      <w:bookmarkStart w:name="_Hlk70320697" w:id="4"/>
      <w:r w:rsidR="009F28B6">
        <w:rPr>
          <w:rFonts w:ascii="Arial" w:hAnsi="Arial" w:eastAsia="Calibri" w:cs="Arial"/>
          <w:sz w:val="22"/>
        </w:rPr>
        <w:t>«</w:t>
      </w:r>
      <w:bookmarkEnd w:id="4"/>
      <w:r w:rsidR="009F28B6">
        <w:rPr>
          <w:rFonts w:ascii="Arial" w:hAnsi="Arial" w:eastAsia="Calibri" w:cs="Arial"/>
          <w:sz w:val="22"/>
        </w:rPr>
        <w:t>Matriz 1 – Experiencia» de acuerdo con el alcance del objeto a contratar. De esta manera, si la entidad determina que el contrato a ejecutar contempla alguno de los tipos de obra de infraestructura de la «</w:t>
      </w:r>
      <w:r w:rsidRPr="007B54FE" w:rsidR="009F28B6">
        <w:rPr>
          <w:rFonts w:ascii="Arial" w:hAnsi="Arial" w:eastAsia="Calibri" w:cs="Arial"/>
          <w:sz w:val="22"/>
        </w:rPr>
        <w:t>Matriz 1 – Experiencia»</w:t>
      </w:r>
      <w:r w:rsidR="009F28B6">
        <w:rPr>
          <w:rFonts w:ascii="Arial" w:hAnsi="Arial" w:eastAsia="Calibri" w:cs="Arial"/>
          <w:sz w:val="22"/>
        </w:rPr>
        <w:t>, y cumple con los parámetros expuestos,</w:t>
      </w:r>
      <w:r w:rsidRPr="007B54FE" w:rsidR="009F28B6">
        <w:rPr>
          <w:rFonts w:ascii="Arial" w:hAnsi="Arial" w:eastAsia="Calibri" w:cs="Arial"/>
          <w:sz w:val="22"/>
        </w:rPr>
        <w:t xml:space="preserve"> deberá dar aplicación a estos documentos tipo. En este sentido, la «experiencia general» y la «experiencia específica» se exigirán de acuerdo con la actividad a contratar y con la cuantía del procedimiento según l</w:t>
      </w:r>
      <w:r w:rsidR="009F28B6">
        <w:rPr>
          <w:rFonts w:ascii="Arial" w:hAnsi="Arial" w:eastAsia="Calibri" w:cs="Arial"/>
          <w:sz w:val="22"/>
        </w:rPr>
        <w:t xml:space="preserve">o establece dicha </w:t>
      </w:r>
      <w:r w:rsidRPr="007B54FE" w:rsidR="009F28B6">
        <w:rPr>
          <w:rFonts w:ascii="Arial" w:hAnsi="Arial" w:eastAsia="Calibri" w:cs="Arial"/>
          <w:sz w:val="22"/>
        </w:rPr>
        <w:t>matriz.</w:t>
      </w:r>
    </w:p>
    <w:p w:rsidR="009F28B6" w:rsidP="008E5B2B" w:rsidRDefault="009F28B6" w14:paraId="27B96D23" w14:textId="1AC0A016">
      <w:pPr>
        <w:spacing w:before="120" w:after="120" w:line="276" w:lineRule="auto"/>
        <w:ind w:firstLine="709"/>
        <w:jc w:val="both"/>
        <w:textAlignment w:val="baseline"/>
        <w:rPr>
          <w:rFonts w:ascii="Arial" w:hAnsi="Arial" w:cs="Arial"/>
          <w:sz w:val="22"/>
          <w:lang w:val="es-ES" w:eastAsia="es-ES"/>
        </w:rPr>
      </w:pPr>
      <w:r>
        <w:rPr>
          <w:rFonts w:ascii="Arial" w:hAnsi="Arial" w:eastAsia="Calibri" w:cs="Arial"/>
          <w:color w:val="000000"/>
          <w:sz w:val="22"/>
        </w:rPr>
        <w:t>En consecuencia, e</w:t>
      </w:r>
      <w:r>
        <w:rPr>
          <w:rFonts w:ascii="Arial" w:hAnsi="Arial" w:eastAsia="Calibri" w:cs="Arial"/>
          <w:bCs/>
          <w:color w:val="000000"/>
          <w:sz w:val="22"/>
          <w:lang w:val="es-ES_tradnl"/>
        </w:rPr>
        <w:t>s deber de la entidad identificar si la obra a ejecutar se enmarca en alguno de los tipos de infraestructura señaladas, teniendo en cuenta las actividades que se desarrollarán en el marco de dicho contrato. Así,</w:t>
      </w:r>
      <w:r w:rsidRPr="00A848FC">
        <w:rPr>
          <w:rFonts w:ascii="Arial" w:hAnsi="Arial" w:eastAsia="Calibri" w:cs="Arial"/>
          <w:bCs/>
          <w:color w:val="000000"/>
          <w:sz w:val="22"/>
          <w:lang w:val="es-ES_tradnl"/>
        </w:rPr>
        <w:t xml:space="preserve"> si la actividad a desarrollar por la entidad en sus proyectos involucra aspectos de obra pública de construcción de acueductos y/o alcantarillados (urbanos y/o rurales), con sus obras complementarias,</w:t>
      </w:r>
      <w:r>
        <w:rPr>
          <w:rFonts w:ascii="Arial" w:hAnsi="Arial" w:eastAsia="Calibri" w:cs="Arial"/>
          <w:bCs/>
          <w:color w:val="000000"/>
          <w:sz w:val="22"/>
          <w:lang w:val="es-ES_tradnl"/>
        </w:rPr>
        <w:t xml:space="preserve"> se aplicará el documento tipo y lo dispuesto en el numeral 1.1. de la </w:t>
      </w:r>
      <w:r>
        <w:rPr>
          <w:rFonts w:ascii="Arial" w:hAnsi="Arial" w:eastAsia="Calibri" w:cs="Arial"/>
          <w:sz w:val="22"/>
        </w:rPr>
        <w:t>«</w:t>
      </w:r>
      <w:r>
        <w:rPr>
          <w:rFonts w:ascii="Arial" w:hAnsi="Arial" w:cs="Arial"/>
          <w:sz w:val="22"/>
          <w:lang w:val="es-ES" w:eastAsia="es-ES"/>
        </w:rPr>
        <w:t>Matriz 1 – Experiencia</w:t>
      </w:r>
      <w:r w:rsidRPr="007B54FE">
        <w:rPr>
          <w:rFonts w:ascii="Arial" w:hAnsi="Arial" w:eastAsia="Calibri" w:cs="Arial"/>
          <w:sz w:val="22"/>
        </w:rPr>
        <w:t>»</w:t>
      </w:r>
      <w:r w:rsidRPr="005D5A26">
        <w:rPr>
          <w:rFonts w:ascii="Arial" w:hAnsi="Arial" w:cs="Arial"/>
          <w:sz w:val="22"/>
          <w:lang w:val="es-ES" w:eastAsia="es-ES"/>
        </w:rPr>
        <w:t>.</w:t>
      </w:r>
      <w:r>
        <w:rPr>
          <w:rFonts w:ascii="Arial" w:hAnsi="Arial" w:eastAsia="Calibri" w:cs="Arial"/>
          <w:color w:val="000000"/>
          <w:sz w:val="22"/>
          <w:lang w:val="es-ES_tradnl"/>
        </w:rPr>
        <w:t xml:space="preserve"> Por su parte, si determina que el objeto de la obra está referido a </w:t>
      </w:r>
      <w:r w:rsidRPr="00A848FC">
        <w:rPr>
          <w:rFonts w:ascii="Arial" w:hAnsi="Arial" w:eastAsia="Calibri" w:cs="Arial"/>
          <w:bCs/>
          <w:color w:val="000000"/>
          <w:sz w:val="22"/>
          <w:lang w:val="es-ES_tradnl"/>
        </w:rPr>
        <w:t>la optimización y/o mejoramiento y/o rehabilitación y/o reforzamiento y/o reconstrucción y/o reposición de acueductos y/o redes de acueducto y/o alcantarillados y/o redes de alcantarillado (urbanos y/o rurales,</w:t>
      </w:r>
      <w:r>
        <w:rPr>
          <w:rFonts w:ascii="Arial" w:hAnsi="Arial" w:eastAsia="Calibri" w:cs="Arial"/>
          <w:bCs/>
          <w:color w:val="000000"/>
          <w:sz w:val="22"/>
          <w:lang w:val="es-ES_tradnl"/>
        </w:rPr>
        <w:t>)</w:t>
      </w:r>
      <w:r w:rsidRPr="00A848FC">
        <w:rPr>
          <w:rFonts w:ascii="Arial" w:hAnsi="Arial" w:eastAsia="Calibri" w:cs="Arial"/>
          <w:bCs/>
          <w:color w:val="000000"/>
          <w:sz w:val="22"/>
          <w:lang w:val="es-ES_tradnl"/>
        </w:rPr>
        <w:t xml:space="preserve"> la entidad deberá</w:t>
      </w:r>
      <w:r>
        <w:rPr>
          <w:rFonts w:ascii="Arial" w:hAnsi="Arial" w:eastAsia="Calibri" w:cs="Arial"/>
          <w:bCs/>
          <w:color w:val="000000"/>
          <w:sz w:val="22"/>
          <w:lang w:val="es-ES_tradnl"/>
        </w:rPr>
        <w:t xml:space="preserve"> aplicar el documento tipo y fijar la experiencia general y especifica de acuerdo con lo establecido en el numeral 1.2. de la </w:t>
      </w:r>
      <w:r>
        <w:rPr>
          <w:rFonts w:ascii="Arial" w:hAnsi="Arial" w:eastAsia="Calibri" w:cs="Arial"/>
          <w:sz w:val="22"/>
        </w:rPr>
        <w:t>«</w:t>
      </w:r>
      <w:r>
        <w:rPr>
          <w:rFonts w:ascii="Arial" w:hAnsi="Arial" w:cs="Arial"/>
          <w:sz w:val="22"/>
          <w:lang w:val="es-ES" w:eastAsia="es-ES"/>
        </w:rPr>
        <w:t>Matriz 1 – Experiencia</w:t>
      </w:r>
      <w:r w:rsidRPr="007B54FE">
        <w:rPr>
          <w:rFonts w:ascii="Arial" w:hAnsi="Arial" w:eastAsia="Calibri" w:cs="Arial"/>
          <w:sz w:val="22"/>
        </w:rPr>
        <w:t>»</w:t>
      </w:r>
      <w:r>
        <w:rPr>
          <w:rFonts w:ascii="Arial" w:hAnsi="Arial" w:cs="Arial"/>
          <w:sz w:val="22"/>
          <w:lang w:val="es-ES" w:eastAsia="es-ES"/>
        </w:rPr>
        <w:t xml:space="preserve"> y así sucesivamente según lo que deba contratar de acuerdo a la necesidad.</w:t>
      </w:r>
    </w:p>
    <w:p w:rsidRPr="00324B9B" w:rsidR="00324B9B" w:rsidP="00324B9B" w:rsidRDefault="00324B9B" w14:paraId="11BA92B4" w14:textId="72537FEC">
      <w:pPr>
        <w:spacing w:line="276" w:lineRule="auto"/>
        <w:ind w:firstLine="708"/>
        <w:jc w:val="both"/>
        <w:rPr>
          <w:rFonts w:ascii="Arial" w:hAnsi="Arial" w:eastAsia="Calibri" w:cs="Arial"/>
          <w:bCs/>
          <w:color w:val="000000"/>
          <w:sz w:val="22"/>
          <w:lang w:val="es-ES_tradnl"/>
        </w:rPr>
      </w:pPr>
      <w:r w:rsidRPr="00324B9B">
        <w:rPr>
          <w:rFonts w:ascii="Arial" w:hAnsi="Arial" w:eastAsia="Calibri" w:cs="Arial"/>
          <w:bCs/>
          <w:color w:val="000000"/>
          <w:sz w:val="22"/>
          <w:lang w:val="es-ES_tradnl"/>
        </w:rPr>
        <w:t>Ahora bien</w:t>
      </w:r>
      <w:r>
        <w:rPr>
          <w:rFonts w:ascii="Arial" w:hAnsi="Arial" w:eastAsia="Calibri" w:cs="Arial"/>
          <w:bCs/>
          <w:color w:val="000000"/>
          <w:sz w:val="22"/>
          <w:lang w:val="es-ES_tradnl"/>
        </w:rPr>
        <w:t>,</w:t>
      </w:r>
      <w:r w:rsidRPr="00324B9B">
        <w:rPr>
          <w:rFonts w:ascii="Arial" w:hAnsi="Arial" w:eastAsia="Calibri" w:cs="Arial"/>
          <w:bCs/>
          <w:color w:val="000000"/>
          <w:sz w:val="22"/>
          <w:lang w:val="es-ES_tradnl"/>
        </w:rPr>
        <w:t xml:space="preserve"> </w:t>
      </w:r>
      <w:r w:rsidR="00B910E6">
        <w:rPr>
          <w:rFonts w:ascii="Arial" w:hAnsi="Arial" w:eastAsia="Calibri" w:cs="Arial"/>
          <w:bCs/>
          <w:color w:val="000000"/>
          <w:sz w:val="22"/>
          <w:lang w:val="es-ES_tradnl"/>
        </w:rPr>
        <w:t xml:space="preserve">en </w:t>
      </w:r>
      <w:r w:rsidRPr="00324B9B">
        <w:rPr>
          <w:rFonts w:ascii="Arial" w:hAnsi="Arial" w:eastAsia="Calibri" w:cs="Arial"/>
          <w:bCs/>
          <w:color w:val="000000"/>
          <w:sz w:val="22"/>
          <w:lang w:val="es-ES_tradnl"/>
        </w:rPr>
        <w:t>la «Matriz 1 – Experiencia» de los documentos tipo de agua potable y saneamiento básico, se aclara que las «obras de acueductos y/o alcantarillados» contienen dos (2) actividades a contratar: 1.1 Proyectos de construcción de acueductos y/o alcantarillados (urbanos y/o rurales) y/u obras complementarias, y  1.2 Proyectos de optimización y/o mejoramiento y/o rehabilitación y/o reforzamiento y/o reconstrucción y/o reposición de acueductos y/o redes de acueducto y/o alcantarillados y/o redes de alcantarillado (urbanos y/o rurales). Para estas actividades, la matriz señala la experiencia específica. Particularmente, para la actividad 1.2 dispone que:</w:t>
      </w:r>
    </w:p>
    <w:p w:rsidRPr="00324B9B" w:rsidR="00324B9B" w:rsidP="00324B9B" w:rsidRDefault="00324B9B" w14:paraId="3D9ABD41" w14:textId="77777777">
      <w:pPr>
        <w:spacing w:line="276" w:lineRule="auto"/>
        <w:ind w:firstLine="708"/>
        <w:jc w:val="both"/>
        <w:rPr>
          <w:rFonts w:ascii="Arial" w:hAnsi="Arial" w:eastAsia="Calibri" w:cs="Arial"/>
          <w:bCs/>
          <w:color w:val="000000"/>
          <w:sz w:val="22"/>
          <w:lang w:val="es-ES_tradnl"/>
        </w:rPr>
      </w:pPr>
    </w:p>
    <w:p w:rsidRPr="00324B9B" w:rsidR="00324B9B" w:rsidP="00324B9B" w:rsidRDefault="00324B9B" w14:paraId="6B76D74D" w14:textId="1EC25630">
      <w:pPr>
        <w:spacing w:after="120"/>
        <w:ind w:left="709" w:right="709"/>
        <w:jc w:val="both"/>
        <w:rPr>
          <w:rFonts w:ascii="Arial" w:hAnsi="Arial" w:eastAsia="Calibri" w:cs="Arial"/>
          <w:bCs/>
          <w:color w:val="000000"/>
          <w:sz w:val="21"/>
          <w:szCs w:val="21"/>
          <w:lang w:val="es-ES_tradnl"/>
        </w:rPr>
      </w:pPr>
      <w:r w:rsidRPr="00324B9B">
        <w:rPr>
          <w:rFonts w:ascii="Arial" w:hAnsi="Arial" w:eastAsia="Calibri" w:cs="Arial"/>
          <w:bCs/>
          <w:color w:val="000000"/>
          <w:sz w:val="21"/>
          <w:szCs w:val="21"/>
          <w:lang w:val="es-ES_tradnl"/>
        </w:rPr>
        <w:t xml:space="preserve">Por lo menos uno (1) de los contratos válidos aportados como experiencia general debe corresponder mínimo al 70% en las cantidades de obra más representativa a las referidas en el presente proceso de contratación, las cuales corresponden a: </w:t>
      </w:r>
    </w:p>
    <w:p w:rsidRPr="00324B9B" w:rsidR="00324B9B" w:rsidP="00324B9B" w:rsidRDefault="00324B9B" w14:paraId="1CE28857" w14:textId="24CF1D6C">
      <w:pPr>
        <w:spacing w:after="120"/>
        <w:ind w:left="709" w:right="709"/>
        <w:jc w:val="both"/>
        <w:rPr>
          <w:rFonts w:ascii="Arial" w:hAnsi="Arial" w:eastAsia="Calibri" w:cs="Arial"/>
          <w:bCs/>
          <w:color w:val="000000"/>
          <w:sz w:val="21"/>
          <w:szCs w:val="21"/>
          <w:lang w:val="es-ES_tradnl"/>
        </w:rPr>
      </w:pPr>
      <w:r w:rsidRPr="00324B9B">
        <w:rPr>
          <w:rFonts w:ascii="Arial" w:hAnsi="Arial" w:eastAsia="Calibri" w:cs="Arial"/>
          <w:bCs/>
          <w:color w:val="000000"/>
          <w:sz w:val="21"/>
          <w:szCs w:val="21"/>
          <w:lang w:val="es-ES_tradnl"/>
        </w:rPr>
        <w:t>Actividades de intervención o instalación de: redes hidrosanitarias; y/o acueductos y/o alcantarillados, según sea el caso.</w:t>
      </w:r>
    </w:p>
    <w:p w:rsidRPr="00324B9B" w:rsidR="00324B9B" w:rsidP="00324B9B" w:rsidRDefault="00324B9B" w14:paraId="39952C33" w14:textId="77777777">
      <w:pPr>
        <w:ind w:left="709" w:right="709"/>
        <w:jc w:val="both"/>
        <w:rPr>
          <w:rFonts w:ascii="Arial" w:hAnsi="Arial" w:eastAsia="Calibri" w:cs="Arial"/>
          <w:bCs/>
          <w:color w:val="000000"/>
          <w:sz w:val="21"/>
          <w:szCs w:val="21"/>
          <w:lang w:val="es-ES_tradnl"/>
        </w:rPr>
      </w:pPr>
      <w:r w:rsidRPr="00324B9B">
        <w:rPr>
          <w:rFonts w:ascii="Arial" w:hAnsi="Arial" w:eastAsia="Calibri" w:cs="Arial"/>
          <w:bCs/>
          <w:color w:val="000000"/>
          <w:sz w:val="21"/>
          <w:szCs w:val="21"/>
          <w:lang w:val="es-ES_tradnl"/>
        </w:rPr>
        <w:t>[La entidad deberá indicar a los interesados en el proceso de contratación cuales son las cantidades que corresponden a la actividad más representativa del listado anterior, identificando mínimo una (1) actividad como principal.]</w:t>
      </w:r>
    </w:p>
    <w:p w:rsidRPr="00324B9B" w:rsidR="00324B9B" w:rsidP="00324B9B" w:rsidRDefault="00324B9B" w14:paraId="2ACD7C04" w14:textId="77777777">
      <w:pPr>
        <w:spacing w:line="276" w:lineRule="auto"/>
        <w:ind w:left="709" w:right="709"/>
        <w:jc w:val="both"/>
        <w:rPr>
          <w:rFonts w:ascii="Arial" w:hAnsi="Arial" w:eastAsia="Calibri" w:cs="Arial"/>
          <w:bCs/>
          <w:color w:val="000000"/>
          <w:sz w:val="22"/>
          <w:lang w:val="es-ES_tradnl"/>
        </w:rPr>
      </w:pPr>
    </w:p>
    <w:p w:rsidRPr="00324B9B" w:rsidR="00324B9B" w:rsidP="00324B9B" w:rsidRDefault="00324B9B" w14:paraId="0F82F094" w14:textId="40B8E532">
      <w:pPr>
        <w:spacing w:after="120" w:line="276" w:lineRule="auto"/>
        <w:ind w:firstLine="708"/>
        <w:jc w:val="both"/>
        <w:rPr>
          <w:rFonts w:ascii="Arial" w:hAnsi="Arial" w:eastAsia="Calibri" w:cs="Arial"/>
          <w:bCs/>
          <w:color w:val="000000"/>
          <w:sz w:val="22"/>
          <w:lang w:val="es-ES_tradnl"/>
        </w:rPr>
      </w:pPr>
      <w:r w:rsidRPr="00324B9B">
        <w:rPr>
          <w:rFonts w:ascii="Arial" w:hAnsi="Arial" w:eastAsia="Calibri" w:cs="Arial"/>
          <w:bCs/>
          <w:color w:val="000000"/>
          <w:sz w:val="22"/>
          <w:lang w:val="es-ES_tradnl"/>
        </w:rPr>
        <w:t>Salvo los espacios resaltados en corchetes, de acuerdo con el principio de inalterabilidad, la matriz no puede modificarse puesto que allí se estandarizan las condiciones de experiencia general y específica para cada actividad a contratar. Por tanto, la entidad únicamente puede diligenciar un (1) aspecto en la experiencia específica de la actividad 1.2</w:t>
      </w:r>
      <w:r w:rsidR="00D1525B">
        <w:rPr>
          <w:rFonts w:ascii="Arial" w:hAnsi="Arial" w:eastAsia="Calibri" w:cs="Arial"/>
          <w:bCs/>
          <w:color w:val="000000"/>
          <w:sz w:val="22"/>
          <w:lang w:val="es-ES_tradnl"/>
        </w:rPr>
        <w:t xml:space="preserve"> incluyendo</w:t>
      </w:r>
      <w:r w:rsidRPr="00324B9B">
        <w:rPr>
          <w:rFonts w:ascii="Arial" w:hAnsi="Arial" w:eastAsia="Calibri" w:cs="Arial"/>
          <w:bCs/>
          <w:color w:val="000000"/>
          <w:sz w:val="22"/>
          <w:lang w:val="es-ES_tradnl"/>
        </w:rPr>
        <w:t xml:space="preserve"> mínimo una actividad principal</w:t>
      </w:r>
      <w:r w:rsidR="0025403B">
        <w:rPr>
          <w:rFonts w:ascii="Arial" w:hAnsi="Arial" w:eastAsia="Calibri" w:cs="Arial"/>
          <w:bCs/>
          <w:color w:val="000000"/>
          <w:sz w:val="22"/>
          <w:lang w:val="es-ES_tradnl"/>
        </w:rPr>
        <w:t xml:space="preserve"> de las listadas en la misma</w:t>
      </w:r>
      <w:r w:rsidRPr="00324B9B">
        <w:rPr>
          <w:rFonts w:ascii="Arial" w:hAnsi="Arial" w:eastAsia="Calibri" w:cs="Arial"/>
          <w:bCs/>
          <w:color w:val="000000"/>
          <w:sz w:val="22"/>
          <w:lang w:val="es-ES_tradnl"/>
        </w:rPr>
        <w:t>.</w:t>
      </w:r>
    </w:p>
    <w:p w:rsidRPr="00324B9B" w:rsidR="00324B9B" w:rsidP="00324B9B" w:rsidRDefault="00324B9B" w14:paraId="40B02046" w14:textId="1E06175F">
      <w:pPr>
        <w:spacing w:after="120" w:line="276" w:lineRule="auto"/>
        <w:ind w:firstLine="708"/>
        <w:jc w:val="both"/>
        <w:rPr>
          <w:rFonts w:ascii="Arial" w:hAnsi="Arial" w:eastAsia="Calibri" w:cs="Arial"/>
          <w:bCs/>
          <w:color w:val="000000"/>
          <w:sz w:val="22"/>
          <w:lang w:val="es-ES_tradnl"/>
        </w:rPr>
      </w:pPr>
      <w:r w:rsidRPr="00324B9B">
        <w:rPr>
          <w:rFonts w:ascii="Arial" w:hAnsi="Arial" w:eastAsia="Calibri" w:cs="Arial"/>
          <w:bCs/>
          <w:color w:val="000000"/>
          <w:sz w:val="22"/>
          <w:lang w:val="es-ES_tradnl"/>
        </w:rPr>
        <w:t>La experiencia específica de la actividad 1.2 indica que, de los contratos válidos que se aporten como experiencia, debe corresponder mínimo al 70% de las cantidades de la obra más representativa que corresponde a «Actividades de intervención o instalación de: redes hidrosanitarias; y/o acueductos y/o alcantarillados, según sea el caso».</w:t>
      </w:r>
    </w:p>
    <w:p w:rsidRPr="00324B9B" w:rsidR="00324B9B" w:rsidP="00324B9B" w:rsidRDefault="00324B9B" w14:paraId="3FD2F3E6" w14:textId="7090ACB9">
      <w:pPr>
        <w:spacing w:after="120" w:line="276" w:lineRule="auto"/>
        <w:ind w:firstLine="709"/>
        <w:jc w:val="both"/>
        <w:rPr>
          <w:rFonts w:ascii="Arial" w:hAnsi="Arial" w:eastAsia="Calibri" w:cs="Arial"/>
          <w:bCs/>
          <w:color w:val="000000"/>
          <w:sz w:val="22"/>
          <w:lang w:val="es-ES_tradnl"/>
        </w:rPr>
      </w:pPr>
      <w:r w:rsidRPr="00324B9B">
        <w:rPr>
          <w:rFonts w:ascii="Arial" w:hAnsi="Arial" w:eastAsia="Calibri" w:cs="Arial"/>
          <w:bCs/>
          <w:color w:val="000000"/>
          <w:sz w:val="22"/>
          <w:lang w:val="es-ES_tradnl"/>
        </w:rPr>
        <w:t>Por ende, la entidad debe señalar, de esas actividades</w:t>
      </w:r>
      <w:r w:rsidR="00186402">
        <w:rPr>
          <w:rFonts w:ascii="Arial" w:hAnsi="Arial" w:eastAsia="Calibri" w:cs="Arial"/>
          <w:bCs/>
          <w:color w:val="000000"/>
          <w:sz w:val="22"/>
          <w:lang w:val="es-ES_tradnl"/>
        </w:rPr>
        <w:t xml:space="preserve"> listadas</w:t>
      </w:r>
      <w:r w:rsidRPr="00324B9B">
        <w:rPr>
          <w:rFonts w:ascii="Arial" w:hAnsi="Arial" w:eastAsia="Calibri" w:cs="Arial"/>
          <w:bCs/>
          <w:color w:val="000000"/>
          <w:sz w:val="22"/>
          <w:lang w:val="es-ES_tradnl"/>
        </w:rPr>
        <w:t xml:space="preserve">, cuál es la actividad principal, para que el proponente acredite la experiencia frente a esta. Como se observa en la Matriz 1 – Experiencia, la actividad principal de la experiencia específica del numeral 1.2, no está determinada por ningún criterio en particular, solo indica que se debe elegir mínimo una actividad principal que sea la más representativa pero no se señalan aspectos a tener en cuenta para definirla, a diferencia del numeral 1.1 que </w:t>
      </w:r>
      <w:r w:rsidR="006D0C12">
        <w:rPr>
          <w:rFonts w:ascii="Arial" w:hAnsi="Arial" w:eastAsia="Calibri" w:cs="Arial"/>
          <w:bCs/>
          <w:color w:val="000000"/>
          <w:sz w:val="22"/>
          <w:lang w:val="es-ES_tradnl"/>
        </w:rPr>
        <w:t>señala una longitud, y, donde en ese caso</w:t>
      </w:r>
      <w:r w:rsidRPr="00324B9B">
        <w:rPr>
          <w:rFonts w:ascii="Arial" w:hAnsi="Arial" w:eastAsia="Calibri" w:cs="Arial"/>
          <w:bCs/>
          <w:color w:val="000000"/>
          <w:sz w:val="22"/>
          <w:lang w:val="es-ES_tradnl"/>
        </w:rPr>
        <w:t>, la entidad, discrecionalmente, debe determinar mínimo una actividad principal de las allí enlistadas, pudiendo seleccionar más de una.</w:t>
      </w:r>
    </w:p>
    <w:p w:rsidRPr="00324B9B" w:rsidR="00324B9B" w:rsidP="00324B9B" w:rsidRDefault="00324B9B" w14:paraId="1AE3898F" w14:textId="6ABB6237">
      <w:pPr>
        <w:spacing w:line="276" w:lineRule="auto"/>
        <w:ind w:firstLine="708"/>
        <w:jc w:val="both"/>
        <w:rPr>
          <w:rFonts w:ascii="Arial" w:hAnsi="Arial" w:eastAsia="Calibri" w:cs="Arial"/>
          <w:bCs/>
          <w:color w:val="000000"/>
          <w:sz w:val="22"/>
          <w:lang w:val="es-ES_tradnl"/>
        </w:rPr>
      </w:pPr>
      <w:r w:rsidRPr="00324B9B">
        <w:rPr>
          <w:rFonts w:ascii="Arial" w:hAnsi="Arial" w:eastAsia="Calibri" w:cs="Arial"/>
          <w:bCs/>
          <w:color w:val="000000"/>
          <w:sz w:val="22"/>
          <w:lang w:val="es-ES_tradnl"/>
        </w:rPr>
        <w:t>Además del aspecto señalado anteriormente, no existen otros espacios o notas que permitan su modificación. De esta manera, no es posible que la entidad solicite otros aspectos, ya que la matriz no lo incluyó y la misma se rige por el principio de inalterabilidad</w:t>
      </w:r>
      <w:r w:rsidR="00FF7DE5">
        <w:rPr>
          <w:rFonts w:ascii="Arial" w:hAnsi="Arial" w:eastAsia="Calibri" w:cs="Arial"/>
          <w:bCs/>
          <w:color w:val="000000"/>
          <w:sz w:val="22"/>
          <w:lang w:val="es-ES_tradnl"/>
        </w:rPr>
        <w:t xml:space="preserve">. Adicional a esto, la entidad como conocedora del proyecto que se planea materializar y producto de su etapa de planeación </w:t>
      </w:r>
      <w:r w:rsidR="00F774F4">
        <w:rPr>
          <w:rFonts w:ascii="Arial" w:hAnsi="Arial" w:eastAsia="Calibri" w:cs="Arial"/>
          <w:bCs/>
          <w:color w:val="000000"/>
          <w:sz w:val="22"/>
          <w:lang w:val="es-ES_tradnl"/>
        </w:rPr>
        <w:t xml:space="preserve">deberá realizar la verificación de las condiciones técnicas aplicables al mismo, basado en las nociones generales y técnicas propias del desarrollo de obras públicas propias de la ingeniería. </w:t>
      </w:r>
    </w:p>
    <w:p w:rsidRPr="00833A0B" w:rsidR="00324B9B" w:rsidP="00182369" w:rsidRDefault="00324B9B" w14:paraId="4DF12BA6" w14:textId="77777777">
      <w:pPr>
        <w:spacing w:line="276" w:lineRule="auto"/>
        <w:jc w:val="both"/>
        <w:textAlignment w:val="baseline"/>
        <w:rPr>
          <w:rFonts w:ascii="Arial" w:hAnsi="Arial" w:eastAsia="Calibri" w:cs="Arial"/>
          <w:sz w:val="22"/>
        </w:rPr>
      </w:pPr>
    </w:p>
    <w:p w:rsidRPr="008E5B2B" w:rsidR="008E5B2B" w:rsidP="00182369" w:rsidRDefault="00ED2827" w14:paraId="17FA2083" w14:textId="103D7380">
      <w:pPr>
        <w:pStyle w:val="Prrafodelista"/>
        <w:numPr>
          <w:ilvl w:val="1"/>
          <w:numId w:val="26"/>
        </w:numPr>
        <w:tabs>
          <w:tab w:val="left" w:pos="0"/>
        </w:tabs>
        <w:spacing w:line="276" w:lineRule="auto"/>
        <w:ind w:left="0" w:hanging="11"/>
        <w:jc w:val="both"/>
        <w:rPr>
          <w:rFonts w:ascii="Arial" w:hAnsi="Arial" w:eastAsia="Calibri" w:cs="Arial"/>
          <w:b/>
          <w:bCs/>
          <w:color w:val="000000"/>
          <w:sz w:val="22"/>
          <w:lang w:val="es-ES_tradnl" w:eastAsia="en-GB"/>
        </w:rPr>
      </w:pPr>
      <w:r w:rsidRPr="008E5B2B">
        <w:rPr>
          <w:rFonts w:ascii="Arial" w:hAnsi="Arial" w:eastAsia="Calibri" w:cs="Arial"/>
          <w:b/>
          <w:bCs/>
          <w:color w:val="000000"/>
          <w:sz w:val="22"/>
          <w:lang w:val="es-ES_tradnl" w:eastAsia="en-GB"/>
        </w:rPr>
        <w:t>Deber de verificación del Registro Nacional de Obras Civiles Inconclusas en la evaluación de factores de calidad para la selección de contratistas de obra o interventores</w:t>
      </w:r>
    </w:p>
    <w:p w:rsidRPr="008E5B2B" w:rsidR="00ED2827" w:rsidP="008E5B2B" w:rsidRDefault="00ED2827" w14:paraId="2926C9FB" w14:textId="4E751A1D">
      <w:pPr>
        <w:tabs>
          <w:tab w:val="left" w:pos="0"/>
        </w:tabs>
        <w:spacing w:line="276" w:lineRule="auto"/>
        <w:ind w:left="360"/>
        <w:jc w:val="both"/>
        <w:rPr>
          <w:rFonts w:ascii="Arial" w:hAnsi="Arial" w:eastAsia="Calibri" w:cs="Arial"/>
          <w:b/>
          <w:bCs/>
          <w:color w:val="000000"/>
          <w:sz w:val="22"/>
          <w:lang w:val="es-ES_tradnl" w:eastAsia="en-GB"/>
        </w:rPr>
      </w:pPr>
    </w:p>
    <w:p w:rsidR="00ED2827" w:rsidP="007839FB" w:rsidRDefault="00ED2827" w14:paraId="5E4E18BF" w14:textId="6CDBF208">
      <w:pPr>
        <w:tabs>
          <w:tab w:val="left" w:pos="0"/>
        </w:tabs>
        <w:spacing w:line="276" w:lineRule="auto"/>
        <w:jc w:val="both"/>
        <w:rPr>
          <w:rFonts w:ascii="Arial" w:hAnsi="Arial" w:eastAsia="Calibri" w:cs="Arial"/>
          <w:color w:val="000000"/>
          <w:sz w:val="22"/>
          <w:lang w:val="es-ES_tradnl" w:eastAsia="en-GB"/>
        </w:rPr>
      </w:pPr>
      <w:r w:rsidRPr="00E23980">
        <w:rPr>
          <w:rFonts w:ascii="Arial" w:hAnsi="Arial" w:eastAsia="Calibri" w:cs="Arial"/>
          <w:color w:val="000000"/>
          <w:sz w:val="22"/>
          <w:lang w:val="es-ES_tradnl" w:eastAsia="en-GB"/>
        </w:rPr>
        <w:t xml:space="preserve">El artículo 6 de la Ley 2020 de 2020 </w:t>
      </w:r>
      <w:r w:rsidR="00272A2A">
        <w:rPr>
          <w:rFonts w:ascii="Arial" w:hAnsi="Arial" w:eastAsia="Calibri" w:cs="Arial"/>
          <w:color w:val="000000"/>
          <w:sz w:val="22"/>
          <w:lang w:val="es-ES_tradnl" w:eastAsia="en-GB"/>
        </w:rPr>
        <w:t xml:space="preserve">le impone </w:t>
      </w:r>
      <w:r w:rsidRPr="00E23980">
        <w:rPr>
          <w:rFonts w:ascii="Arial" w:hAnsi="Arial" w:eastAsia="Calibri" w:cs="Arial"/>
          <w:color w:val="000000"/>
          <w:sz w:val="22"/>
          <w:lang w:val="es-ES_tradnl" w:eastAsia="en-GB"/>
        </w:rPr>
        <w:t>a las entidades estatales</w:t>
      </w:r>
      <w:r w:rsidR="00272A2A">
        <w:rPr>
          <w:rFonts w:ascii="Arial" w:hAnsi="Arial" w:eastAsia="Calibri" w:cs="Arial"/>
          <w:color w:val="000000"/>
          <w:sz w:val="22"/>
          <w:lang w:val="es-ES_tradnl" w:eastAsia="en-GB"/>
        </w:rPr>
        <w:t>,</w:t>
      </w:r>
      <w:r w:rsidRPr="00E23980">
        <w:rPr>
          <w:rFonts w:ascii="Arial" w:hAnsi="Arial" w:eastAsia="Calibri" w:cs="Arial"/>
          <w:color w:val="000000"/>
          <w:sz w:val="22"/>
          <w:lang w:val="es-ES_tradnl" w:eastAsia="en-GB"/>
        </w:rPr>
        <w:t xml:space="preserve"> dentro de los procedimientos que adelanten para la contratación de obras públicas</w:t>
      </w:r>
      <w:r w:rsidR="00272A2A">
        <w:rPr>
          <w:rFonts w:ascii="Arial" w:hAnsi="Arial" w:eastAsia="Calibri" w:cs="Arial"/>
          <w:color w:val="000000"/>
          <w:sz w:val="22"/>
          <w:lang w:val="es-ES_tradnl" w:eastAsia="en-GB"/>
        </w:rPr>
        <w:t xml:space="preserve">, </w:t>
      </w:r>
      <w:r w:rsidRPr="00E23980">
        <w:rPr>
          <w:rFonts w:ascii="Arial" w:hAnsi="Arial" w:eastAsia="Calibri" w:cs="Arial"/>
          <w:color w:val="000000"/>
          <w:sz w:val="22"/>
          <w:lang w:val="es-ES_tradnl" w:eastAsia="en-GB"/>
        </w:rPr>
        <w:t xml:space="preserve">la obligación de </w:t>
      </w:r>
      <w:r w:rsidRPr="0081325C">
        <w:rPr>
          <w:rFonts w:ascii="Arial" w:hAnsi="Arial" w:eastAsia="Calibri" w:cs="Arial"/>
          <w:i/>
          <w:iCs/>
          <w:color w:val="000000"/>
          <w:sz w:val="22"/>
          <w:lang w:val="es-ES_tradnl" w:eastAsia="en-GB"/>
        </w:rPr>
        <w:t>consultar</w:t>
      </w:r>
      <w:r w:rsidRPr="00E23980">
        <w:rPr>
          <w:rFonts w:ascii="Arial" w:hAnsi="Arial" w:eastAsia="Calibri" w:cs="Arial"/>
          <w:color w:val="000000"/>
          <w:sz w:val="22"/>
          <w:lang w:val="es-ES_tradnl" w:eastAsia="en-GB"/>
        </w:rPr>
        <w:t xml:space="preserve"> y </w:t>
      </w:r>
      <w:r w:rsidRPr="0081325C">
        <w:rPr>
          <w:rFonts w:ascii="Arial" w:hAnsi="Arial" w:eastAsia="Calibri" w:cs="Arial"/>
          <w:i/>
          <w:iCs/>
          <w:color w:val="000000"/>
          <w:sz w:val="22"/>
          <w:lang w:val="es-ES_tradnl" w:eastAsia="en-GB"/>
        </w:rPr>
        <w:t>analizar</w:t>
      </w:r>
      <w:r w:rsidRPr="00E23980">
        <w:rPr>
          <w:rFonts w:ascii="Arial" w:hAnsi="Arial" w:eastAsia="Calibri" w:cs="Arial"/>
          <w:color w:val="000000"/>
          <w:sz w:val="22"/>
          <w:lang w:val="es-ES_tradnl" w:eastAsia="en-GB"/>
        </w:rPr>
        <w:t xml:space="preserve"> la información contenida en el Registro Nacional de Obras Civiles Inconclusas. Además, </w:t>
      </w:r>
      <w:r>
        <w:rPr>
          <w:rFonts w:ascii="Arial" w:hAnsi="Arial" w:eastAsia="Calibri" w:cs="Arial"/>
          <w:color w:val="000000"/>
          <w:sz w:val="22"/>
          <w:lang w:val="es-ES_tradnl" w:eastAsia="en-GB"/>
        </w:rPr>
        <w:t>dispone</w:t>
      </w:r>
      <w:r w:rsidRPr="00E23980">
        <w:rPr>
          <w:rFonts w:ascii="Arial" w:hAnsi="Arial" w:eastAsia="Calibri" w:cs="Arial"/>
          <w:color w:val="000000"/>
          <w:sz w:val="22"/>
          <w:lang w:val="es-ES_tradnl" w:eastAsia="en-GB"/>
        </w:rPr>
        <w:t xml:space="preserve"> que en los procesos de selección </w:t>
      </w:r>
      <w:r>
        <w:rPr>
          <w:rFonts w:ascii="Arial" w:hAnsi="Arial" w:eastAsia="Calibri" w:cs="Arial"/>
          <w:color w:val="000000"/>
          <w:sz w:val="22"/>
          <w:lang w:val="es-ES_tradnl" w:eastAsia="en-GB"/>
        </w:rPr>
        <w:t>d</w:t>
      </w:r>
      <w:r w:rsidRPr="00E23980">
        <w:rPr>
          <w:rFonts w:ascii="Arial" w:hAnsi="Arial" w:eastAsia="Calibri" w:cs="Arial"/>
          <w:color w:val="000000"/>
          <w:sz w:val="22"/>
          <w:lang w:val="es-ES_tradnl" w:eastAsia="en-GB"/>
        </w:rPr>
        <w:t>e contratistas de obra e interventores han de considerarse las anotaciones de</w:t>
      </w:r>
      <w:r>
        <w:rPr>
          <w:rFonts w:ascii="Arial" w:hAnsi="Arial" w:eastAsia="Calibri" w:cs="Arial"/>
          <w:color w:val="000000"/>
          <w:sz w:val="22"/>
          <w:lang w:val="es-ES_tradnl" w:eastAsia="en-GB"/>
        </w:rPr>
        <w:t>l</w:t>
      </w:r>
      <w:r w:rsidRPr="00E23980">
        <w:rPr>
          <w:rFonts w:ascii="Arial" w:hAnsi="Arial" w:eastAsia="Calibri" w:cs="Arial"/>
          <w:color w:val="000000"/>
          <w:sz w:val="22"/>
          <w:lang w:val="es-ES_tradnl" w:eastAsia="en-GB"/>
        </w:rPr>
        <w:t xml:space="preserve"> registro en la evaluación de los factores de calidad. </w:t>
      </w:r>
      <w:r>
        <w:rPr>
          <w:rFonts w:ascii="Arial" w:hAnsi="Arial" w:eastAsia="Calibri" w:cs="Arial"/>
          <w:color w:val="000000"/>
          <w:sz w:val="22"/>
          <w:lang w:val="es-ES_tradnl" w:eastAsia="en-GB"/>
        </w:rPr>
        <w:t>La norma prescribe lo siguiente</w:t>
      </w:r>
      <w:r w:rsidRPr="00E23980">
        <w:rPr>
          <w:rFonts w:ascii="Arial" w:hAnsi="Arial" w:eastAsia="Calibri" w:cs="Arial"/>
          <w:color w:val="000000"/>
          <w:sz w:val="22"/>
          <w:lang w:val="es-ES_tradnl" w:eastAsia="en-GB"/>
        </w:rPr>
        <w:t>:</w:t>
      </w:r>
    </w:p>
    <w:p w:rsidRPr="00BA28AC" w:rsidR="007839FB" w:rsidP="007839FB" w:rsidRDefault="007839FB" w14:paraId="4CE1146B" w14:textId="77777777">
      <w:pPr>
        <w:tabs>
          <w:tab w:val="left" w:pos="0"/>
        </w:tabs>
        <w:spacing w:line="276" w:lineRule="auto"/>
        <w:jc w:val="both"/>
        <w:rPr>
          <w:rFonts w:ascii="Arial" w:hAnsi="Arial" w:eastAsia="Calibri" w:cs="Arial"/>
          <w:color w:val="000000"/>
          <w:sz w:val="22"/>
          <w:lang w:val="es-ES_tradnl" w:eastAsia="en-GB"/>
        </w:rPr>
      </w:pPr>
    </w:p>
    <w:p w:rsidRPr="00E23980" w:rsidR="00ED2827" w:rsidP="00ED2827" w:rsidRDefault="00B9019D" w14:paraId="75182E4D" w14:textId="64B854E6">
      <w:pPr>
        <w:tabs>
          <w:tab w:val="left" w:pos="0"/>
        </w:tabs>
        <w:spacing w:after="120"/>
        <w:ind w:left="709" w:right="709"/>
        <w:jc w:val="both"/>
        <w:rPr>
          <w:rFonts w:ascii="Arial" w:hAnsi="Arial" w:eastAsia="Calibri" w:cs="Arial"/>
          <w:color w:val="000000"/>
          <w:sz w:val="21"/>
          <w:szCs w:val="21"/>
          <w:lang w:val="es-ES_tradnl" w:eastAsia="en-GB"/>
        </w:rPr>
      </w:pPr>
      <w:r>
        <w:rPr>
          <w:rFonts w:ascii="Arial" w:hAnsi="Arial" w:eastAsia="Calibri" w:cs="Arial"/>
          <w:color w:val="000000"/>
          <w:sz w:val="22"/>
          <w:lang w:val="es-ES_tradnl" w:eastAsia="en-GB"/>
        </w:rPr>
        <w:t>»</w:t>
      </w:r>
      <w:r w:rsidRPr="00E23980" w:rsidR="00ED2827">
        <w:rPr>
          <w:rFonts w:ascii="Arial" w:hAnsi="Arial" w:eastAsia="Calibri" w:cs="Arial"/>
          <w:color w:val="000000"/>
          <w:sz w:val="21"/>
          <w:szCs w:val="21"/>
          <w:lang w:val="es-ES_tradnl" w:eastAsia="en-GB"/>
        </w:rPr>
        <w:t>En los procesos de contratación de obras públicas que adelanten las entidades estatales contratantes, sin importar la cuantía, deberán consultar y analizar las anotaciones vigentes que presenten las personas naturales o jurídicas, nacionales o extranjeras domiciliadas o con sucursal en Colombia, en el Registro Nacional de Obras Civiles Inconclusas.</w:t>
      </w:r>
    </w:p>
    <w:p w:rsidRPr="00E23980" w:rsidR="00ED2827" w:rsidP="00ED2827" w:rsidRDefault="00ED2827" w14:paraId="3BB534C9" w14:textId="742E6E6C">
      <w:pPr>
        <w:tabs>
          <w:tab w:val="left" w:pos="0"/>
        </w:tabs>
        <w:spacing w:after="120"/>
        <w:ind w:left="709" w:right="709"/>
        <w:jc w:val="both"/>
        <w:rPr>
          <w:rFonts w:ascii="Arial" w:hAnsi="Arial" w:eastAsia="Calibri" w:cs="Arial"/>
          <w:color w:val="000000"/>
          <w:sz w:val="21"/>
          <w:szCs w:val="21"/>
          <w:lang w:val="es-ES_tradnl" w:eastAsia="en-GB"/>
        </w:rPr>
      </w:pPr>
      <w:r w:rsidRPr="00E23980">
        <w:rPr>
          <w:rFonts w:ascii="Arial" w:hAnsi="Arial" w:eastAsia="Calibri" w:cs="Arial"/>
          <w:color w:val="000000"/>
          <w:sz w:val="21"/>
          <w:szCs w:val="21"/>
          <w:lang w:val="es-ES_tradnl" w:eastAsia="en-GB"/>
        </w:rPr>
        <w:t>Durante los procesos de selección objetiva para contratistas de obra o interventores, se tendrán en cuenta las anotaciones vigentes en el Registro Nacional de Obras Civiles Inconclusas al momento de evaluar los factores de ponderación de calidad, establecidos en el literal a) del artículo 5</w:t>
      </w:r>
      <w:r w:rsidR="00272A2A">
        <w:rPr>
          <w:rFonts w:ascii="Arial" w:hAnsi="Arial" w:eastAsia="Calibri" w:cs="Arial"/>
          <w:color w:val="000000"/>
          <w:sz w:val="21"/>
          <w:szCs w:val="21"/>
          <w:lang w:val="es-ES_tradnl" w:eastAsia="en-GB"/>
        </w:rPr>
        <w:t>º</w:t>
      </w:r>
      <w:r w:rsidRPr="00E23980">
        <w:rPr>
          <w:rFonts w:ascii="Arial" w:hAnsi="Arial" w:eastAsia="Calibri" w:cs="Arial"/>
          <w:color w:val="000000"/>
          <w:sz w:val="21"/>
          <w:szCs w:val="21"/>
          <w:lang w:val="es-ES_tradnl" w:eastAsia="en-GB"/>
        </w:rPr>
        <w:t xml:space="preserve"> de la Ley 1150 de 2007 o la norma que la modifique.</w:t>
      </w:r>
    </w:p>
    <w:p w:rsidR="00490D6F" w:rsidP="007839FB" w:rsidRDefault="00ED2827" w14:paraId="3207E4E2" w14:textId="1A2F447A">
      <w:pPr>
        <w:tabs>
          <w:tab w:val="left" w:pos="0"/>
        </w:tabs>
        <w:ind w:left="709" w:right="709"/>
        <w:jc w:val="both"/>
        <w:rPr>
          <w:rFonts w:ascii="Arial" w:hAnsi="Arial" w:eastAsia="Calibri" w:cs="Arial"/>
          <w:color w:val="000000"/>
          <w:sz w:val="21"/>
          <w:szCs w:val="21"/>
          <w:lang w:val="es-ES_tradnl" w:eastAsia="en-GB"/>
        </w:rPr>
      </w:pPr>
      <w:r w:rsidRPr="00E23980">
        <w:rPr>
          <w:rFonts w:ascii="Arial" w:hAnsi="Arial" w:eastAsia="Calibri" w:cs="Arial"/>
          <w:color w:val="000000"/>
          <w:sz w:val="21"/>
          <w:szCs w:val="21"/>
          <w:lang w:val="es-ES_tradnl" w:eastAsia="en-GB"/>
        </w:rPr>
        <w:t xml:space="preserve">Cualquier controversia o solicitud que surja en relación con los reportes </w:t>
      </w:r>
      <w:r w:rsidR="00272A2A">
        <w:rPr>
          <w:rFonts w:ascii="Arial" w:hAnsi="Arial" w:eastAsia="Calibri" w:cs="Arial"/>
          <w:color w:val="000000"/>
          <w:sz w:val="21"/>
          <w:szCs w:val="21"/>
          <w:lang w:val="es-ES_tradnl" w:eastAsia="en-GB"/>
        </w:rPr>
        <w:t>d</w:t>
      </w:r>
      <w:r w:rsidRPr="00E23980">
        <w:rPr>
          <w:rFonts w:ascii="Arial" w:hAnsi="Arial" w:eastAsia="Calibri" w:cs="Arial"/>
          <w:color w:val="000000"/>
          <w:sz w:val="21"/>
          <w:szCs w:val="21"/>
          <w:lang w:val="es-ES_tradnl" w:eastAsia="en-GB"/>
        </w:rPr>
        <w:t>e información que suministre la entidad contratante, serán resueltos por esta, atendiendo los principios y disposiciones establecidos en la normatividad vigente</w:t>
      </w:r>
      <w:r w:rsidR="00B9019D">
        <w:rPr>
          <w:rFonts w:ascii="Arial" w:hAnsi="Arial" w:eastAsia="Calibri" w:cs="Arial"/>
          <w:color w:val="000000"/>
          <w:sz w:val="22"/>
          <w:lang w:val="es-ES_tradnl" w:eastAsia="en-GB"/>
        </w:rPr>
        <w:t>»</w:t>
      </w:r>
      <w:r w:rsidRPr="00E23980">
        <w:rPr>
          <w:rFonts w:ascii="Arial" w:hAnsi="Arial" w:eastAsia="Calibri" w:cs="Arial"/>
          <w:color w:val="000000"/>
          <w:sz w:val="21"/>
          <w:szCs w:val="21"/>
          <w:lang w:val="es-ES_tradnl" w:eastAsia="en-GB"/>
        </w:rPr>
        <w:t>.</w:t>
      </w:r>
    </w:p>
    <w:p w:rsidRPr="007839FB" w:rsidR="007839FB" w:rsidP="007839FB" w:rsidRDefault="007839FB" w14:paraId="5154D6E0" w14:textId="77777777">
      <w:pPr>
        <w:tabs>
          <w:tab w:val="left" w:pos="0"/>
        </w:tabs>
        <w:ind w:left="709" w:right="709"/>
        <w:jc w:val="both"/>
        <w:rPr>
          <w:rFonts w:ascii="Arial" w:hAnsi="Arial" w:eastAsia="Calibri" w:cs="Arial"/>
          <w:color w:val="000000"/>
          <w:sz w:val="21"/>
          <w:szCs w:val="21"/>
          <w:lang w:val="es-ES_tradnl" w:eastAsia="en-GB"/>
        </w:rPr>
      </w:pPr>
    </w:p>
    <w:p w:rsidR="00ED2827" w:rsidP="007839FB" w:rsidRDefault="00ED2827" w14:paraId="340C3E8D" w14:textId="5EA6B0D1">
      <w:pPr>
        <w:tabs>
          <w:tab w:val="left" w:pos="0"/>
        </w:tabs>
        <w:spacing w:line="276" w:lineRule="auto"/>
        <w:ind w:firstLine="709"/>
        <w:jc w:val="both"/>
        <w:rPr>
          <w:rFonts w:ascii="Arial" w:hAnsi="Arial" w:eastAsia="Calibri" w:cs="Arial"/>
          <w:color w:val="000000"/>
          <w:sz w:val="22"/>
          <w:lang w:val="es-ES_tradnl" w:eastAsia="en-GB"/>
        </w:rPr>
      </w:pPr>
      <w:r>
        <w:rPr>
          <w:rFonts w:ascii="Arial" w:hAnsi="Arial" w:eastAsia="Calibri" w:cs="Arial"/>
          <w:color w:val="000000"/>
          <w:sz w:val="22"/>
          <w:lang w:val="es-ES_tradnl" w:eastAsia="en-GB"/>
        </w:rPr>
        <w:t xml:space="preserve">Teniendo en cuenta que </w:t>
      </w:r>
      <w:r w:rsidR="005617D4">
        <w:rPr>
          <w:rFonts w:ascii="Arial" w:hAnsi="Arial" w:eastAsia="Calibri" w:cs="Arial"/>
          <w:color w:val="000000"/>
          <w:sz w:val="22"/>
          <w:lang w:val="es-ES_tradnl" w:eastAsia="en-GB"/>
        </w:rPr>
        <w:t xml:space="preserve">la norma transcrita </w:t>
      </w:r>
      <w:r>
        <w:rPr>
          <w:rFonts w:ascii="Arial" w:hAnsi="Arial" w:eastAsia="Calibri" w:cs="Arial"/>
          <w:color w:val="000000"/>
          <w:sz w:val="22"/>
          <w:lang w:val="es-ES_tradnl" w:eastAsia="en-GB"/>
        </w:rPr>
        <w:t xml:space="preserve">remite al literal a) del artículo 5 de la Ley 1150 de 2007, conviene recordar lo </w:t>
      </w:r>
      <w:r w:rsidR="00B612E5">
        <w:rPr>
          <w:rFonts w:ascii="Arial" w:hAnsi="Arial" w:eastAsia="Calibri" w:cs="Arial"/>
          <w:color w:val="000000"/>
          <w:sz w:val="22"/>
          <w:lang w:val="es-ES_tradnl" w:eastAsia="en-GB"/>
        </w:rPr>
        <w:t xml:space="preserve">establecido </w:t>
      </w:r>
      <w:r w:rsidR="005617D4">
        <w:rPr>
          <w:rFonts w:ascii="Arial" w:hAnsi="Arial" w:eastAsia="Calibri" w:cs="Arial"/>
          <w:color w:val="000000"/>
          <w:sz w:val="22"/>
          <w:lang w:val="es-ES_tradnl" w:eastAsia="en-GB"/>
        </w:rPr>
        <w:t xml:space="preserve">por esta, al </w:t>
      </w:r>
      <w:r>
        <w:rPr>
          <w:rFonts w:ascii="Arial" w:hAnsi="Arial" w:eastAsia="Calibri" w:cs="Arial"/>
          <w:color w:val="000000"/>
          <w:sz w:val="22"/>
          <w:lang w:val="es-ES_tradnl" w:eastAsia="en-GB"/>
        </w:rPr>
        <w:t>consagra</w:t>
      </w:r>
      <w:r w:rsidR="005617D4">
        <w:rPr>
          <w:rFonts w:ascii="Arial" w:hAnsi="Arial" w:eastAsia="Calibri" w:cs="Arial"/>
          <w:color w:val="000000"/>
          <w:sz w:val="22"/>
          <w:lang w:val="es-ES_tradnl" w:eastAsia="en-GB"/>
        </w:rPr>
        <w:t>r</w:t>
      </w:r>
      <w:r>
        <w:rPr>
          <w:rFonts w:ascii="Arial" w:hAnsi="Arial" w:eastAsia="Calibri" w:cs="Arial"/>
          <w:color w:val="000000"/>
          <w:sz w:val="22"/>
          <w:lang w:val="es-ES_tradnl" w:eastAsia="en-GB"/>
        </w:rPr>
        <w:t xml:space="preserve"> los criterios para garantizar </w:t>
      </w:r>
      <w:r w:rsidRPr="005617D4">
        <w:rPr>
          <w:rFonts w:ascii="Arial" w:hAnsi="Arial" w:eastAsia="Calibri" w:cs="Arial"/>
          <w:color w:val="000000"/>
          <w:sz w:val="22"/>
          <w:lang w:val="es-ES_tradnl" w:eastAsia="en-GB"/>
        </w:rPr>
        <w:t>la selección objetiva en</w:t>
      </w:r>
      <w:r>
        <w:rPr>
          <w:rFonts w:ascii="Arial" w:hAnsi="Arial" w:eastAsia="Calibri" w:cs="Arial"/>
          <w:color w:val="000000"/>
          <w:sz w:val="22"/>
          <w:lang w:val="es-ES_tradnl" w:eastAsia="en-GB"/>
        </w:rPr>
        <w:t xml:space="preserve"> los procedimientos contractuales,</w:t>
      </w:r>
      <w:r w:rsidR="00B612E5">
        <w:rPr>
          <w:rFonts w:ascii="Arial" w:hAnsi="Arial" w:eastAsia="Calibri" w:cs="Arial"/>
          <w:color w:val="000000"/>
          <w:sz w:val="22"/>
          <w:lang w:val="es-ES_tradnl" w:eastAsia="en-GB"/>
        </w:rPr>
        <w:t xml:space="preserve"> al disponer</w:t>
      </w:r>
      <w:r>
        <w:rPr>
          <w:rFonts w:ascii="Arial" w:hAnsi="Arial" w:eastAsia="Calibri" w:cs="Arial"/>
          <w:color w:val="000000"/>
          <w:sz w:val="22"/>
          <w:lang w:val="es-ES_tradnl" w:eastAsia="en-GB"/>
        </w:rPr>
        <w:t>:</w:t>
      </w:r>
    </w:p>
    <w:p w:rsidRPr="00BA28AC" w:rsidR="007839FB" w:rsidP="007839FB" w:rsidRDefault="007839FB" w14:paraId="3BDA1C84" w14:textId="77777777">
      <w:pPr>
        <w:tabs>
          <w:tab w:val="left" w:pos="0"/>
        </w:tabs>
        <w:spacing w:line="276" w:lineRule="auto"/>
        <w:ind w:firstLine="709"/>
        <w:jc w:val="both"/>
        <w:rPr>
          <w:rFonts w:ascii="Arial" w:hAnsi="Arial" w:eastAsia="Calibri" w:cs="Arial"/>
          <w:color w:val="000000"/>
          <w:sz w:val="22"/>
          <w:lang w:val="es-ES_tradnl" w:eastAsia="en-GB"/>
        </w:rPr>
      </w:pPr>
    </w:p>
    <w:p w:rsidRPr="00B92751" w:rsidR="00ED2827" w:rsidP="00ED2827" w:rsidRDefault="00ED2827" w14:paraId="54C88841" w14:textId="77777777">
      <w:pPr>
        <w:tabs>
          <w:tab w:val="left" w:pos="0"/>
        </w:tabs>
        <w:spacing w:after="120"/>
        <w:ind w:left="709" w:right="709"/>
        <w:jc w:val="both"/>
        <w:rPr>
          <w:rFonts w:ascii="Arial" w:hAnsi="Arial" w:eastAsia="Calibri" w:cs="Arial"/>
          <w:color w:val="000000"/>
          <w:sz w:val="21"/>
          <w:szCs w:val="21"/>
          <w:lang w:val="es-ES_tradnl" w:eastAsia="en-GB"/>
        </w:rPr>
      </w:pPr>
      <w:r>
        <w:rPr>
          <w:rFonts w:ascii="Arial" w:hAnsi="Arial" w:eastAsia="Calibri" w:cs="Arial"/>
          <w:color w:val="000000"/>
          <w:sz w:val="21"/>
          <w:szCs w:val="21"/>
          <w:lang w:val="es-ES_tradnl" w:eastAsia="en-GB"/>
        </w:rPr>
        <w:t xml:space="preserve">[…] </w:t>
      </w:r>
      <w:r w:rsidRPr="00B92751">
        <w:rPr>
          <w:rFonts w:ascii="Arial" w:hAnsi="Arial" w:eastAsia="Calibri" w:cs="Arial"/>
          <w:color w:val="000000"/>
          <w:sz w:val="21"/>
          <w:szCs w:val="21"/>
          <w:lang w:val="es-ES_tradnl" w:eastAsia="en-GB"/>
        </w:rPr>
        <w:t>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w:t>
      </w:r>
    </w:p>
    <w:p w:rsidRPr="00B92751" w:rsidR="00ED2827" w:rsidP="00ED2827" w:rsidRDefault="00ED2827" w14:paraId="2C200812" w14:textId="77777777">
      <w:pPr>
        <w:tabs>
          <w:tab w:val="left" w:pos="0"/>
        </w:tabs>
        <w:spacing w:after="120"/>
        <w:ind w:left="709" w:right="709"/>
        <w:jc w:val="both"/>
        <w:rPr>
          <w:rFonts w:ascii="Arial" w:hAnsi="Arial" w:eastAsia="Calibri" w:cs="Arial"/>
          <w:color w:val="000000"/>
          <w:sz w:val="21"/>
          <w:szCs w:val="21"/>
          <w:lang w:val="es-ES_tradnl" w:eastAsia="en-GB"/>
        </w:rPr>
      </w:pPr>
      <w:r w:rsidRPr="00B92751">
        <w:rPr>
          <w:rFonts w:ascii="Arial" w:hAnsi="Arial" w:eastAsia="Calibri" w:cs="Arial"/>
          <w:color w:val="000000"/>
          <w:sz w:val="21"/>
          <w:szCs w:val="21"/>
          <w:lang w:val="es-ES_tradnl" w:eastAsia="en-GB"/>
        </w:rPr>
        <w:t>En los procesos de selección en los que se tenga en cuenta los factores técnicos y económicos, la oferta más ventajosa será la que resulte de aplicar alguna de las siguientes alternativas:</w:t>
      </w:r>
    </w:p>
    <w:p w:rsidRPr="00DE39BB" w:rsidR="00ED2827" w:rsidP="00ED2827" w:rsidRDefault="00ED2827" w14:paraId="63E267F0" w14:textId="77777777">
      <w:pPr>
        <w:tabs>
          <w:tab w:val="left" w:pos="0"/>
        </w:tabs>
        <w:spacing w:after="120"/>
        <w:ind w:left="709" w:right="709"/>
        <w:jc w:val="both"/>
        <w:rPr>
          <w:rFonts w:ascii="Arial" w:hAnsi="Arial" w:eastAsia="Calibri" w:cs="Arial"/>
          <w:color w:val="000000"/>
          <w:sz w:val="21"/>
          <w:szCs w:val="21"/>
          <w:lang w:val="es-ES_tradnl" w:eastAsia="en-GB"/>
        </w:rPr>
      </w:pPr>
      <w:r w:rsidRPr="00DE39BB">
        <w:rPr>
          <w:rFonts w:ascii="Arial" w:hAnsi="Arial" w:eastAsia="Calibri" w:cs="Arial"/>
          <w:color w:val="000000"/>
          <w:sz w:val="21"/>
          <w:szCs w:val="21"/>
          <w:lang w:val="es-ES_tradnl" w:eastAsia="en-GB"/>
        </w:rPr>
        <w:t>a) La ponderación de los elementos de calidad y precio soportados en puntajes o fórmulas señaladas en el pliego de condiciones; o</w:t>
      </w:r>
    </w:p>
    <w:p w:rsidR="00957D80" w:rsidP="000A0B9B" w:rsidRDefault="00ED2827" w14:paraId="5A678FDC" w14:textId="3A981817">
      <w:pPr>
        <w:tabs>
          <w:tab w:val="left" w:pos="0"/>
        </w:tabs>
        <w:ind w:left="709" w:right="709"/>
        <w:jc w:val="both"/>
        <w:rPr>
          <w:rFonts w:ascii="Arial" w:hAnsi="Arial" w:eastAsia="Calibri" w:cs="Arial"/>
          <w:color w:val="000000"/>
          <w:sz w:val="21"/>
          <w:szCs w:val="21"/>
          <w:lang w:val="es-ES_tradnl" w:eastAsia="en-GB"/>
        </w:rPr>
      </w:pPr>
      <w:r w:rsidRPr="00B92751">
        <w:rPr>
          <w:rFonts w:ascii="Arial" w:hAnsi="Arial" w:eastAsia="Calibri" w:cs="Arial"/>
          <w:color w:val="000000"/>
          <w:sz w:val="21"/>
          <w:szCs w:val="21"/>
          <w:lang w:val="es-ES_tradnl" w:eastAsia="en-GB"/>
        </w:rPr>
        <w:t>b) La ponderación de los elementos de calidad y precio que representen la mejor relación de costo-beneficio para la entidad</w:t>
      </w:r>
      <w:r>
        <w:rPr>
          <w:rFonts w:ascii="Arial" w:hAnsi="Arial" w:eastAsia="Calibri" w:cs="Arial"/>
          <w:color w:val="000000"/>
          <w:sz w:val="21"/>
          <w:szCs w:val="21"/>
          <w:lang w:val="es-ES_tradnl" w:eastAsia="en-GB"/>
        </w:rPr>
        <w:t>.</w:t>
      </w:r>
    </w:p>
    <w:p w:rsidR="000A0B9B" w:rsidP="000A0B9B" w:rsidRDefault="000A0B9B" w14:paraId="693E4BD8" w14:textId="77777777">
      <w:pPr>
        <w:tabs>
          <w:tab w:val="left" w:pos="0"/>
        </w:tabs>
        <w:ind w:left="709" w:right="709"/>
        <w:jc w:val="both"/>
        <w:rPr>
          <w:rFonts w:ascii="Arial" w:hAnsi="Arial" w:eastAsia="Calibri" w:cs="Arial"/>
          <w:color w:val="000000"/>
          <w:sz w:val="21"/>
          <w:szCs w:val="21"/>
          <w:lang w:val="es-ES_tradnl" w:eastAsia="en-GB"/>
        </w:rPr>
      </w:pPr>
    </w:p>
    <w:p w:rsidR="00ED2827" w:rsidP="00884BCF" w:rsidRDefault="00ED2827" w14:paraId="08FC47EA" w14:textId="77777777">
      <w:pPr>
        <w:tabs>
          <w:tab w:val="left" w:pos="0"/>
        </w:tabs>
        <w:spacing w:before="120" w:after="120" w:line="276" w:lineRule="auto"/>
        <w:ind w:firstLine="709"/>
        <w:jc w:val="both"/>
        <w:rPr>
          <w:rFonts w:ascii="Arial" w:hAnsi="Arial" w:eastAsia="Calibri" w:cs="Arial"/>
          <w:color w:val="000000"/>
          <w:sz w:val="22"/>
          <w:lang w:val="es-ES_tradnl" w:eastAsia="en-GB"/>
        </w:rPr>
      </w:pPr>
      <w:r w:rsidRPr="00490D6F">
        <w:rPr>
          <w:rFonts w:ascii="Arial" w:hAnsi="Arial" w:eastAsia="Calibri" w:cs="Arial"/>
          <w:color w:val="000000"/>
          <w:sz w:val="22"/>
          <w:lang w:val="es-ES_tradnl" w:eastAsia="en-GB"/>
        </w:rPr>
        <w:t xml:space="preserve">Así las cosas, para interpretar el apartado del artículo 6 de la Ley 2020 de 2020 –referido a la evaluación de los factores de ponderación de calidad, previo análisis de las anotaciones del Registro Nacional de Obras Civiles Inconclusas–, debe resaltarse que el artículo 5 de la Ley 1150 de 2007 </w:t>
      </w:r>
      <w:r w:rsidRPr="00490D6F">
        <w:rPr>
          <w:rFonts w:ascii="Arial" w:hAnsi="Arial" w:eastAsia="Calibri" w:cs="Arial"/>
          <w:iCs/>
          <w:color w:val="000000"/>
          <w:sz w:val="22"/>
          <w:lang w:val="es-ES_tradnl" w:eastAsia="en-GB"/>
        </w:rPr>
        <w:t>no</w:t>
      </w:r>
      <w:r w:rsidRPr="00490D6F">
        <w:rPr>
          <w:rFonts w:ascii="Arial" w:hAnsi="Arial" w:eastAsia="Calibri" w:cs="Arial"/>
          <w:color w:val="000000"/>
          <w:sz w:val="22"/>
          <w:lang w:val="es-ES_tradnl" w:eastAsia="en-GB"/>
        </w:rPr>
        <w:t xml:space="preserve"> los define, sino que se limita a mencionarlos de manera genérica. En efecto, el literal a) de dicho artículo está precedido por un inciso que establece: «En los procesos de selección en los que se tenga en cuenta los factores técnicos y económicos, la oferta más ventajosa será la que resulte de aplicar alguna de las siguientes alternativas»; y, a renglón seguido, dentro de las «alternativas», el legislador incorpora la siguiente: «a) La ponderación de los elementos de calidad y precio soportados en puntajes o fórmulas señaladas en el pliego de condiciones».</w:t>
      </w:r>
    </w:p>
    <w:p w:rsidRPr="00490D6F" w:rsidR="00ED2827" w:rsidP="00884BCF" w:rsidRDefault="00ED2827" w14:paraId="515F9182" w14:textId="25228073">
      <w:pPr>
        <w:tabs>
          <w:tab w:val="left" w:pos="0"/>
        </w:tabs>
        <w:spacing w:before="120" w:after="120" w:line="276" w:lineRule="auto"/>
        <w:ind w:firstLine="709"/>
        <w:jc w:val="both"/>
        <w:rPr>
          <w:rFonts w:ascii="Arial" w:hAnsi="Arial" w:eastAsia="Calibri" w:cs="Arial"/>
          <w:color w:val="000000"/>
          <w:sz w:val="22"/>
          <w:lang w:val="es-ES_tradnl" w:eastAsia="en-GB"/>
        </w:rPr>
      </w:pPr>
      <w:r w:rsidRPr="00490D6F">
        <w:rPr>
          <w:rFonts w:ascii="Arial" w:hAnsi="Arial" w:eastAsia="Calibri" w:cs="Arial"/>
          <w:color w:val="000000"/>
          <w:sz w:val="22"/>
          <w:lang w:val="es-ES_tradnl" w:eastAsia="en-GB"/>
        </w:rPr>
        <w:t>Como puede apreciarse, el</w:t>
      </w:r>
      <w:r w:rsidRPr="00490D6F" w:rsidR="00490D6F">
        <w:rPr>
          <w:rFonts w:ascii="Arial" w:hAnsi="Arial" w:eastAsia="Calibri" w:cs="Arial"/>
          <w:color w:val="000000"/>
          <w:sz w:val="22"/>
          <w:lang w:val="es-ES_tradnl" w:eastAsia="en-GB"/>
        </w:rPr>
        <w:t xml:space="preserve"> </w:t>
      </w:r>
      <w:r w:rsidRPr="00490D6F">
        <w:rPr>
          <w:rFonts w:ascii="Arial" w:hAnsi="Arial" w:eastAsia="Calibri" w:cs="Arial"/>
          <w:color w:val="000000"/>
          <w:sz w:val="22"/>
          <w:lang w:val="es-ES_tradnl" w:eastAsia="en-GB"/>
        </w:rPr>
        <w:t>Congreso de la República optó por conceder a las entidades estatales un margen de discrecionalidad administrativa para determinar en los procedimientos de selección que realicen cuáles serán los elementos de calidad y precio que tendrán en cuenta en la calificación o ponderación</w:t>
      </w:r>
      <w:r w:rsidRPr="00490D6F">
        <w:rPr>
          <w:rFonts w:ascii="Arial" w:hAnsi="Arial" w:eastAsia="Calibri" w:cs="Arial"/>
          <w:color w:val="FF0000"/>
          <w:sz w:val="22"/>
          <w:lang w:val="es-ES_tradnl" w:eastAsia="en-GB"/>
        </w:rPr>
        <w:t xml:space="preserve">. </w:t>
      </w:r>
      <w:r w:rsidRPr="00490D6F">
        <w:rPr>
          <w:rFonts w:ascii="Arial" w:hAnsi="Arial" w:eastAsia="Calibri" w:cs="Arial"/>
          <w:color w:val="000000"/>
          <w:sz w:val="22"/>
          <w:lang w:val="es-ES_tradnl" w:eastAsia="en-GB"/>
        </w:rPr>
        <w:t xml:space="preserve">De igual forma, el legislador no estableció una fórmula o metodología específica para realizar esta ponderación, sino que también la </w:t>
      </w:r>
      <w:r w:rsidRPr="00490D6F" w:rsidR="00AB5D5C">
        <w:rPr>
          <w:rFonts w:ascii="Arial" w:hAnsi="Arial" w:eastAsia="Calibri" w:cs="Arial"/>
          <w:color w:val="000000"/>
          <w:sz w:val="22"/>
          <w:lang w:val="es-ES_tradnl" w:eastAsia="en-GB"/>
        </w:rPr>
        <w:t xml:space="preserve">dejó a </w:t>
      </w:r>
      <w:r w:rsidR="00AB5D5C">
        <w:rPr>
          <w:rFonts w:ascii="Arial" w:hAnsi="Arial" w:eastAsia="Calibri" w:cs="Arial"/>
          <w:color w:val="000000"/>
          <w:sz w:val="22"/>
          <w:lang w:val="es-ES_tradnl" w:eastAsia="en-GB"/>
        </w:rPr>
        <w:t xml:space="preserve">la </w:t>
      </w:r>
      <w:r w:rsidRPr="00490D6F">
        <w:rPr>
          <w:rFonts w:ascii="Arial" w:hAnsi="Arial" w:eastAsia="Calibri" w:cs="Arial"/>
          <w:color w:val="000000"/>
          <w:sz w:val="22"/>
          <w:lang w:val="es-ES_tradnl" w:eastAsia="en-GB"/>
        </w:rPr>
        <w:t>apreciación de las entidades públicas interesadas en contratar.</w:t>
      </w:r>
      <w:r w:rsidR="00AB5D5C">
        <w:rPr>
          <w:rFonts w:ascii="Arial" w:hAnsi="Arial" w:eastAsia="Calibri" w:cs="Arial"/>
          <w:color w:val="000000"/>
          <w:sz w:val="22"/>
          <w:lang w:val="es-ES_tradnl" w:eastAsia="en-GB"/>
        </w:rPr>
        <w:t xml:space="preserve"> Sin embargo, esta debe ser adecuada y proporcional a la naturaleza y valor del contrato.</w:t>
      </w:r>
    </w:p>
    <w:p w:rsidRPr="00490D6F" w:rsidR="00ED2827" w:rsidP="00884BCF" w:rsidRDefault="00ED2827" w14:paraId="5A5DF63A" w14:textId="12BFC312">
      <w:pPr>
        <w:tabs>
          <w:tab w:val="left" w:pos="0"/>
        </w:tabs>
        <w:spacing w:before="120" w:after="120" w:line="276" w:lineRule="auto"/>
        <w:ind w:firstLine="709"/>
        <w:jc w:val="both"/>
        <w:rPr>
          <w:rFonts w:ascii="Arial" w:hAnsi="Arial" w:cs="Arial"/>
          <w:color w:val="000000" w:themeColor="text1"/>
          <w:sz w:val="22"/>
        </w:rPr>
      </w:pPr>
      <w:r w:rsidRPr="00490D6F">
        <w:rPr>
          <w:rFonts w:ascii="Arial" w:hAnsi="Arial" w:eastAsia="Calibri" w:cs="Arial"/>
          <w:color w:val="000000"/>
          <w:sz w:val="22"/>
          <w:lang w:val="es-ES_tradnl" w:eastAsia="en-GB"/>
        </w:rPr>
        <w:t xml:space="preserve">Esta Subdirección se ha pronunciado sobre el reconocimiento de la discrecionalidad administrativa como modelo de asignación de potestades en la contratación estatal. Por ejemplo, en el Concepto C-120 del 3 de marzo de 2020 recordó que si bien la discrecionalidad implica un espacio de libertad para las entidades estales, en todo caso, al hacer uso de ella, deben observar el artículo 44 de la Ley 1437 de 2011, según el cual </w:t>
      </w:r>
      <w:r w:rsidRPr="00490D6F">
        <w:rPr>
          <w:rFonts w:ascii="Arial" w:hAnsi="Arial" w:cs="Arial"/>
          <w:color w:val="000000" w:themeColor="text1"/>
          <w:sz w:val="22"/>
        </w:rPr>
        <w:t>la decisión debe ser adecuada y proporcional al trámite y a los hechos que lo motivaron</w:t>
      </w:r>
      <w:r w:rsidRPr="00490D6F">
        <w:rPr>
          <w:rStyle w:val="Refdenotaalpie"/>
          <w:rFonts w:ascii="Arial" w:hAnsi="Arial" w:cs="Arial"/>
          <w:color w:val="000000" w:themeColor="text1"/>
          <w:sz w:val="22"/>
        </w:rPr>
        <w:footnoteReference w:id="1"/>
      </w:r>
      <w:r w:rsidRPr="00490D6F">
        <w:rPr>
          <w:rFonts w:ascii="Arial" w:hAnsi="Arial" w:cs="Arial"/>
          <w:color w:val="000000" w:themeColor="text1"/>
          <w:sz w:val="22"/>
        </w:rPr>
        <w:t>. Este también ha sido el entendimiento de la doctrina, que ha considerado que el ejercicio de la discrecionalidad administrativa debe respetar el principio de proporcionalidad</w:t>
      </w:r>
      <w:r w:rsidRPr="00490D6F">
        <w:rPr>
          <w:rStyle w:val="Refdenotaalpie"/>
          <w:rFonts w:ascii="Arial" w:hAnsi="Arial" w:cs="Arial"/>
          <w:color w:val="000000" w:themeColor="text1"/>
          <w:sz w:val="22"/>
        </w:rPr>
        <w:footnoteReference w:id="2"/>
      </w:r>
      <w:r w:rsidRPr="00490D6F">
        <w:rPr>
          <w:rFonts w:ascii="Arial" w:hAnsi="Arial" w:cs="Arial"/>
          <w:color w:val="000000" w:themeColor="text1"/>
          <w:sz w:val="22"/>
        </w:rPr>
        <w:t>.</w:t>
      </w:r>
    </w:p>
    <w:p w:rsidR="007839FB" w:rsidP="002D5268" w:rsidRDefault="00ED2827" w14:paraId="417F660E" w14:textId="6CC6E7AE">
      <w:pPr>
        <w:tabs>
          <w:tab w:val="left" w:pos="0"/>
        </w:tabs>
        <w:spacing w:before="120" w:line="276" w:lineRule="auto"/>
        <w:ind w:firstLine="709"/>
        <w:jc w:val="both"/>
        <w:rPr>
          <w:rFonts w:ascii="Arial" w:hAnsi="Arial" w:cs="Arial"/>
          <w:color w:val="000000" w:themeColor="text1"/>
          <w:sz w:val="22"/>
        </w:rPr>
      </w:pPr>
      <w:r w:rsidRPr="00490D6F">
        <w:rPr>
          <w:rFonts w:ascii="Arial" w:hAnsi="Arial" w:cs="Arial"/>
          <w:color w:val="000000" w:themeColor="text1"/>
          <w:sz w:val="22"/>
        </w:rPr>
        <w:t>Esta discrecionalidad también se encuentra presente al momento de elaborar el pliego de condiciones y específicamente, al definir los criterios de calificación con puntos. Dentro de estos criterios se encuentran los elementos de calidad y precio indicados en el artículo 5, numeral 2, literal a), de la Ley 1150 de 2007. Por ello</w:t>
      </w:r>
      <w:r w:rsidR="00746651">
        <w:rPr>
          <w:rFonts w:ascii="Arial" w:hAnsi="Arial" w:cs="Arial"/>
          <w:color w:val="000000" w:themeColor="text1"/>
          <w:sz w:val="22"/>
        </w:rPr>
        <w:t>,</w:t>
      </w:r>
      <w:r w:rsidRPr="00490D6F">
        <w:rPr>
          <w:rFonts w:ascii="Arial" w:hAnsi="Arial" w:cs="Arial"/>
          <w:color w:val="000000" w:themeColor="text1"/>
          <w:sz w:val="22"/>
        </w:rPr>
        <w:t xml:space="preserve"> la Sección Tercera del Consejo de Estado considera que:</w:t>
      </w:r>
    </w:p>
    <w:p w:rsidRPr="00490D6F" w:rsidR="002D5268" w:rsidP="00182369" w:rsidRDefault="002D5268" w14:paraId="5EB729ED" w14:textId="77777777">
      <w:pPr>
        <w:tabs>
          <w:tab w:val="left" w:pos="0"/>
        </w:tabs>
        <w:spacing w:line="276" w:lineRule="auto"/>
        <w:ind w:firstLine="709"/>
        <w:jc w:val="both"/>
        <w:rPr>
          <w:rFonts w:ascii="Arial" w:hAnsi="Arial" w:cs="Arial"/>
          <w:color w:val="000000" w:themeColor="text1"/>
          <w:sz w:val="22"/>
        </w:rPr>
      </w:pPr>
    </w:p>
    <w:p w:rsidR="00ED2827" w:rsidP="000A0B9B" w:rsidRDefault="00ED2827" w14:paraId="0543E948" w14:textId="16B5E40C">
      <w:pPr>
        <w:tabs>
          <w:tab w:val="left" w:pos="0"/>
        </w:tabs>
        <w:ind w:left="709" w:right="709"/>
        <w:jc w:val="both"/>
        <w:rPr>
          <w:rFonts w:ascii="Arial" w:hAnsi="Arial" w:eastAsia="Calibri" w:cs="Arial"/>
          <w:color w:val="000000"/>
          <w:sz w:val="21"/>
          <w:szCs w:val="21"/>
          <w:lang w:val="es-ES_tradnl" w:eastAsia="en-GB"/>
        </w:rPr>
      </w:pPr>
      <w:r w:rsidRPr="00490D6F">
        <w:rPr>
          <w:rFonts w:ascii="Arial" w:hAnsi="Arial" w:eastAsia="Calibri" w:cs="Arial"/>
          <w:color w:val="000000"/>
          <w:sz w:val="21"/>
          <w:szCs w:val="21"/>
          <w:lang w:val="es-ES_tradnl" w:eastAsia="en-GB"/>
        </w:rPr>
        <w:t>Bajo esta premisa debe entenderse el deber de selección objetiva consagrado en el artículo 5 de la Ley 1150 de 2007, disposición que otorga discrecionalidad a las diversas entidades estatales para que establezcan en los pliegos de condiciones los diferentes factores de escogencia y calificación. Por ende, es cierto, como se desprende del libelo de la demanda, que el legislador otorgó a la Administración una libertad de elección de los distintos criterios de ponderación para asegurar que se contratará con la mejor oferta, esto es, aquella que se ajuste mejor a las finalidades de interés general</w:t>
      </w:r>
      <w:r w:rsidRPr="00490D6F">
        <w:rPr>
          <w:rStyle w:val="Refdenotaalpie"/>
          <w:rFonts w:ascii="Arial" w:hAnsi="Arial" w:eastAsia="Calibri" w:cs="Arial"/>
          <w:color w:val="000000"/>
          <w:sz w:val="21"/>
          <w:szCs w:val="21"/>
          <w:lang w:val="es-ES_tradnl" w:eastAsia="en-GB"/>
        </w:rPr>
        <w:footnoteReference w:id="3"/>
      </w:r>
      <w:r w:rsidRPr="00490D6F">
        <w:rPr>
          <w:rFonts w:ascii="Arial" w:hAnsi="Arial" w:eastAsia="Calibri" w:cs="Arial"/>
          <w:color w:val="000000"/>
          <w:sz w:val="21"/>
          <w:szCs w:val="21"/>
          <w:lang w:val="es-ES_tradnl" w:eastAsia="en-GB"/>
        </w:rPr>
        <w:t>.</w:t>
      </w:r>
    </w:p>
    <w:p w:rsidRPr="006B0B49" w:rsidR="000A0B9B" w:rsidP="000A0B9B" w:rsidRDefault="000A0B9B" w14:paraId="5AFA5987" w14:textId="77777777">
      <w:pPr>
        <w:tabs>
          <w:tab w:val="left" w:pos="0"/>
        </w:tabs>
        <w:ind w:left="709" w:right="709"/>
        <w:jc w:val="both"/>
        <w:rPr>
          <w:rFonts w:ascii="Arial" w:hAnsi="Arial" w:eastAsia="Calibri" w:cs="Arial"/>
          <w:color w:val="000000"/>
          <w:sz w:val="21"/>
          <w:szCs w:val="21"/>
          <w:lang w:val="es-ES_tradnl" w:eastAsia="en-GB"/>
        </w:rPr>
      </w:pPr>
    </w:p>
    <w:p w:rsidRPr="00AB5D5C" w:rsidR="00ED2827" w:rsidP="00884BCF" w:rsidRDefault="00ED2827" w14:paraId="19591B07" w14:textId="7A06ABDB">
      <w:pPr>
        <w:spacing w:after="120" w:line="276" w:lineRule="auto"/>
        <w:ind w:firstLine="709"/>
        <w:jc w:val="both"/>
        <w:rPr>
          <w:rFonts w:ascii="Arial" w:hAnsi="Arial" w:cs="Arial"/>
          <w:color w:val="000000" w:themeColor="text1"/>
          <w:sz w:val="22"/>
        </w:rPr>
      </w:pPr>
      <w:r>
        <w:rPr>
          <w:rFonts w:ascii="Arial" w:hAnsi="Arial" w:cs="Arial"/>
          <w:color w:val="000000" w:themeColor="text1"/>
          <w:sz w:val="22"/>
        </w:rPr>
        <w:t>Por lo tanto, cuando el artículo 6 de la Ley 2020 de 2020 establece que «</w:t>
      </w:r>
      <w:r w:rsidRPr="00DB3165">
        <w:rPr>
          <w:rFonts w:ascii="Arial" w:hAnsi="Arial" w:cs="Arial"/>
          <w:color w:val="000000" w:themeColor="text1"/>
          <w:sz w:val="22"/>
        </w:rPr>
        <w:t>Durante los procesos de selección objetiva para contratistas de obra o interventores, se tendrán en cuenta las anotaciones vigentes en el Registro Nacional de Obras Civiles Inconclusas al momento de evaluar los factores de ponderación de calidad, establecidos en el literal a) del artículo 5</w:t>
      </w:r>
      <w:r w:rsidR="007E35D8">
        <w:rPr>
          <w:rFonts w:ascii="Arial" w:hAnsi="Arial" w:cs="Arial"/>
          <w:color w:val="000000" w:themeColor="text1"/>
          <w:sz w:val="22"/>
        </w:rPr>
        <w:t>º</w:t>
      </w:r>
      <w:r w:rsidRPr="00DB3165">
        <w:rPr>
          <w:rFonts w:ascii="Arial" w:hAnsi="Arial" w:cs="Arial"/>
          <w:color w:val="000000" w:themeColor="text1"/>
          <w:sz w:val="22"/>
        </w:rPr>
        <w:t xml:space="preserve"> de la Ley 1150 de 2007 o la norma que la modifique</w:t>
      </w:r>
      <w:r>
        <w:rPr>
          <w:rFonts w:ascii="Arial" w:hAnsi="Arial" w:cs="Arial"/>
          <w:color w:val="000000" w:themeColor="text1"/>
          <w:sz w:val="22"/>
        </w:rPr>
        <w:t xml:space="preserve">», significa que al aplicar dichos criterios de calificación con puntos dentro del procedimiento contractual, las </w:t>
      </w:r>
      <w:r w:rsidRPr="00AB5D5C">
        <w:rPr>
          <w:rFonts w:ascii="Arial" w:hAnsi="Arial" w:cs="Arial"/>
          <w:color w:val="000000" w:themeColor="text1"/>
          <w:sz w:val="22"/>
        </w:rPr>
        <w:t xml:space="preserve">entidades estatales deben servirse de la información contenida en el Registro. </w:t>
      </w:r>
    </w:p>
    <w:p w:rsidR="00FF532B" w:rsidP="002D5268" w:rsidRDefault="00ED2827" w14:paraId="4B35068C" w14:textId="3C6BB78B">
      <w:pPr>
        <w:spacing w:before="120" w:after="120" w:line="276" w:lineRule="auto"/>
        <w:ind w:firstLine="709"/>
        <w:jc w:val="both"/>
        <w:rPr>
          <w:rFonts w:ascii="Arial" w:hAnsi="Arial" w:cs="Arial"/>
          <w:color w:val="000000" w:themeColor="text1"/>
          <w:sz w:val="22"/>
        </w:rPr>
      </w:pPr>
      <w:r w:rsidRPr="00AB5D5C">
        <w:rPr>
          <w:rFonts w:ascii="Arial" w:hAnsi="Arial" w:cs="Arial"/>
          <w:color w:val="000000" w:themeColor="text1"/>
          <w:sz w:val="22"/>
        </w:rPr>
        <w:t>No obstante, como las entidades estatales cuentan con discrecionalidad para determinar los criterios de calificación, corresponde a las entidades contratantes definir un listado de factores de ponderación de calidad en este concepto</w:t>
      </w:r>
      <w:r w:rsidR="00FF532B">
        <w:rPr>
          <w:rFonts w:ascii="Arial" w:hAnsi="Arial" w:cs="Arial"/>
          <w:color w:val="000000" w:themeColor="text1"/>
          <w:sz w:val="22"/>
        </w:rPr>
        <w:t>, adecuados y proporcionales a la naturaleza y valor del contrato</w:t>
      </w:r>
      <w:r w:rsidRPr="00AB5D5C">
        <w:rPr>
          <w:rFonts w:ascii="Arial" w:hAnsi="Arial" w:cs="Arial"/>
          <w:color w:val="000000" w:themeColor="text1"/>
          <w:sz w:val="22"/>
        </w:rPr>
        <w:t xml:space="preserve">. </w:t>
      </w:r>
    </w:p>
    <w:p w:rsidR="00ED2827" w:rsidP="00A96E67" w:rsidRDefault="00ED2827" w14:paraId="129DF05F" w14:textId="6D21F807">
      <w:pPr>
        <w:spacing w:before="120" w:line="276" w:lineRule="auto"/>
        <w:ind w:firstLine="709"/>
        <w:jc w:val="both"/>
        <w:rPr>
          <w:rFonts w:ascii="Arial" w:hAnsi="Arial" w:cs="Arial"/>
          <w:color w:val="000000" w:themeColor="text1"/>
          <w:sz w:val="22"/>
        </w:rPr>
      </w:pPr>
      <w:r w:rsidRPr="00AB5D5C">
        <w:rPr>
          <w:rFonts w:ascii="Arial" w:hAnsi="Arial" w:cs="Arial"/>
          <w:color w:val="000000" w:themeColor="text1"/>
          <w:sz w:val="22"/>
        </w:rPr>
        <w:t>Situación distinta se presenta</w:t>
      </w:r>
      <w:r>
        <w:rPr>
          <w:rFonts w:ascii="Arial" w:hAnsi="Arial" w:cs="Arial"/>
          <w:color w:val="000000" w:themeColor="text1"/>
          <w:sz w:val="22"/>
        </w:rPr>
        <w:t xml:space="preserve"> en el ejercicio de la competencia de la Agencia Nacional de Contratación Pública – Colombia Compra Eficiente para la elaboración de los pliegos de condiciones tipo, pues el artículo 1 de la Ley 2022 de 2020 le permite establecer dentro de tales documentos «[…] </w:t>
      </w:r>
      <w:r w:rsidRPr="007A5947">
        <w:rPr>
          <w:rFonts w:ascii="Arial" w:hAnsi="Arial" w:cs="Arial"/>
          <w:color w:val="000000" w:themeColor="text1"/>
          <w:sz w:val="22"/>
        </w:rPr>
        <w:t>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r>
        <w:rPr>
          <w:rFonts w:ascii="Arial" w:hAnsi="Arial" w:cs="Arial"/>
          <w:color w:val="000000" w:themeColor="text1"/>
          <w:sz w:val="22"/>
        </w:rPr>
        <w:t>»</w:t>
      </w:r>
      <w:r>
        <w:rPr>
          <w:rStyle w:val="Refdenotaalpie"/>
          <w:rFonts w:ascii="Arial" w:hAnsi="Arial" w:cs="Arial"/>
          <w:color w:val="000000" w:themeColor="text1"/>
          <w:sz w:val="22"/>
        </w:rPr>
        <w:footnoteReference w:id="4"/>
      </w:r>
      <w:r>
        <w:rPr>
          <w:rFonts w:ascii="Arial" w:hAnsi="Arial" w:cs="Arial"/>
          <w:color w:val="000000" w:themeColor="text1"/>
          <w:sz w:val="22"/>
        </w:rPr>
        <w:t xml:space="preserve">. </w:t>
      </w:r>
    </w:p>
    <w:p w:rsidR="00A96E67" w:rsidP="00182369" w:rsidRDefault="00A96E67" w14:paraId="017F188F" w14:textId="77777777">
      <w:pPr>
        <w:spacing w:line="276" w:lineRule="auto"/>
        <w:ind w:firstLine="709"/>
        <w:jc w:val="both"/>
        <w:rPr>
          <w:rFonts w:ascii="Arial" w:hAnsi="Arial" w:cs="Arial"/>
          <w:color w:val="000000" w:themeColor="text1"/>
          <w:sz w:val="22"/>
        </w:rPr>
      </w:pPr>
    </w:p>
    <w:p w:rsidRPr="00182369" w:rsidR="00ED2827" w:rsidP="00182369" w:rsidRDefault="00646CDD" w14:paraId="2D8DCAE2" w14:textId="7BABA832">
      <w:pPr>
        <w:spacing w:line="276" w:lineRule="auto"/>
        <w:jc w:val="both"/>
        <w:rPr>
          <w:rFonts w:ascii="Arial" w:hAnsi="Arial" w:cs="Arial"/>
          <w:b/>
          <w:color w:val="000000" w:themeColor="text1"/>
          <w:sz w:val="22"/>
        </w:rPr>
      </w:pPr>
      <w:r>
        <w:rPr>
          <w:rFonts w:ascii="Arial" w:hAnsi="Arial" w:cs="Arial"/>
          <w:b/>
          <w:color w:val="000000" w:themeColor="text1"/>
          <w:sz w:val="22"/>
        </w:rPr>
        <w:t xml:space="preserve">2.3.1. </w:t>
      </w:r>
      <w:r w:rsidRPr="00182369" w:rsidR="00ED2827">
        <w:rPr>
          <w:rFonts w:ascii="Arial" w:hAnsi="Arial" w:cs="Arial"/>
          <w:b/>
          <w:color w:val="000000" w:themeColor="text1"/>
          <w:sz w:val="22"/>
        </w:rPr>
        <w:t>Análisis de las anotaciones del Registro Nacional de Obras Civiles Inc</w:t>
      </w:r>
      <w:r w:rsidRPr="00182369" w:rsidR="007839FB">
        <w:rPr>
          <w:rFonts w:ascii="Arial" w:hAnsi="Arial" w:cs="Arial"/>
          <w:b/>
          <w:color w:val="000000" w:themeColor="text1"/>
          <w:sz w:val="22"/>
        </w:rPr>
        <w:t>onclusas en los documentos tipo.</w:t>
      </w:r>
    </w:p>
    <w:p w:rsidRPr="000A0B9B" w:rsidR="000A0B9B" w:rsidP="000A0B9B" w:rsidRDefault="000A0B9B" w14:paraId="5C617F60" w14:textId="77777777">
      <w:pPr>
        <w:spacing w:line="276" w:lineRule="auto"/>
        <w:jc w:val="both"/>
        <w:rPr>
          <w:rFonts w:ascii="Arial" w:hAnsi="Arial" w:cs="Arial"/>
          <w:b/>
          <w:color w:val="000000" w:themeColor="text1"/>
          <w:sz w:val="22"/>
        </w:rPr>
      </w:pPr>
    </w:p>
    <w:p w:rsidRPr="00D35C93" w:rsidR="00ED2827" w:rsidP="00A96E67" w:rsidRDefault="00ED2827" w14:paraId="33AD0CAE" w14:textId="12424383">
      <w:pPr>
        <w:spacing w:after="120" w:line="276" w:lineRule="auto"/>
        <w:jc w:val="both"/>
        <w:rPr>
          <w:rFonts w:ascii="Arial" w:hAnsi="Arial" w:cs="Arial"/>
          <w:sz w:val="22"/>
        </w:rPr>
      </w:pPr>
      <w:r w:rsidRPr="00B437F8">
        <w:rPr>
          <w:rFonts w:ascii="Arial" w:hAnsi="Arial" w:cs="Arial"/>
          <w:sz w:val="22"/>
        </w:rPr>
        <w:t>El artículo 4 de la Ley 1882 de 2018, modificado por la</w:t>
      </w:r>
      <w:r>
        <w:rPr>
          <w:rFonts w:ascii="Arial" w:hAnsi="Arial" w:cs="Arial"/>
          <w:sz w:val="22"/>
        </w:rPr>
        <w:t xml:space="preserve"> Ley 2022 de 2020, dispone que</w:t>
      </w:r>
      <w:r w:rsidRPr="00B437F8">
        <w:rPr>
          <w:rFonts w:ascii="Arial" w:hAnsi="Arial" w:cs="Arial"/>
          <w:sz w:val="22"/>
        </w:rPr>
        <w:t xml:space="preserve"> la Agencia Nacional de Contratación Pública le corresponde adoptar los «</w:t>
      </w:r>
      <w:bookmarkStart w:name="ver_30223091" w:id="5"/>
      <w:r w:rsidRPr="00B437F8">
        <w:rPr>
          <w:rFonts w:ascii="Arial" w:hAnsi="Arial" w:cs="Arial"/>
          <w:sz w:val="22"/>
        </w:rPr>
        <w:t>documentos tipo que serán de obligatorio cumplimiento en la actividad contractual de todas las entidades sometidas al Estatuto General de Contratación de la Administración Pública».</w:t>
      </w:r>
      <w:r>
        <w:rPr>
          <w:rFonts w:ascii="Arial" w:hAnsi="Arial" w:cs="Arial"/>
          <w:sz w:val="22"/>
        </w:rPr>
        <w:t xml:space="preserve"> </w:t>
      </w:r>
      <w:r w:rsidRPr="00066821">
        <w:rPr>
          <w:rFonts w:ascii="Arial" w:hAnsi="Arial" w:cs="Arial"/>
          <w:sz w:val="22"/>
        </w:rPr>
        <w:t>Adicionalmente señala, frente a su contenido, que «Dentro de estos documentos tipo, se establecerán los requisitos habilitantes, factores técnicos, económicos y otros factores de escogencia, así como aquellos r</w:t>
      </w:r>
      <w:r w:rsidR="00A96E67">
        <w:rPr>
          <w:rFonts w:ascii="Arial" w:hAnsi="Arial" w:cs="Arial"/>
          <w:sz w:val="22"/>
        </w:rPr>
        <w:t>equis</w:t>
      </w:r>
      <w:r w:rsidRPr="00066821">
        <w:rPr>
          <w:rFonts w:ascii="Arial" w:hAnsi="Arial" w:cs="Arial"/>
          <w:sz w:val="22"/>
        </w:rPr>
        <w:t>itos que, previa justificación, representen buenas prácticas contractuales que procuren el adecuado desarrollo de los principios que rigen la contratación pública».</w:t>
      </w:r>
    </w:p>
    <w:p w:rsidR="007E35D8" w:rsidP="00884BCF" w:rsidRDefault="00ED2827" w14:paraId="34F61C3A" w14:textId="2084C227">
      <w:pPr>
        <w:spacing w:before="120" w:after="120" w:line="276" w:lineRule="auto"/>
        <w:ind w:firstLine="709"/>
        <w:jc w:val="both"/>
        <w:rPr>
          <w:rFonts w:ascii="Arial" w:hAnsi="Arial" w:cs="Arial"/>
          <w:sz w:val="22"/>
        </w:rPr>
      </w:pPr>
      <w:r>
        <w:rPr>
          <w:rFonts w:ascii="Arial" w:hAnsi="Arial" w:cs="Arial"/>
          <w:sz w:val="22"/>
        </w:rPr>
        <w:t>De conformidad con las competencias funcionales asignadas,</w:t>
      </w:r>
      <w:r w:rsidRPr="004A4E65">
        <w:rPr>
          <w:rFonts w:ascii="Arial" w:hAnsi="Arial" w:cs="Arial"/>
          <w:sz w:val="22"/>
          <w:shd w:val="clear" w:color="auto" w:fill="FFFFFF"/>
        </w:rPr>
        <w:t xml:space="preserve"> </w:t>
      </w:r>
      <w:r w:rsidRPr="00066821">
        <w:rPr>
          <w:rFonts w:ascii="Arial" w:hAnsi="Arial" w:cs="Arial"/>
          <w:sz w:val="22"/>
          <w:shd w:val="clear" w:color="auto" w:fill="FFFFFF"/>
        </w:rPr>
        <w:t xml:space="preserve">la Agencia Nacional de Contratación Pública – Colombia Compra Eficiente </w:t>
      </w:r>
      <w:r>
        <w:rPr>
          <w:rFonts w:ascii="Arial" w:hAnsi="Arial" w:cs="Arial"/>
          <w:sz w:val="22"/>
          <w:shd w:val="clear" w:color="auto" w:fill="FFFFFF"/>
        </w:rPr>
        <w:t xml:space="preserve">ha expedido </w:t>
      </w:r>
      <w:r w:rsidRPr="00066821">
        <w:rPr>
          <w:rFonts w:ascii="Arial" w:hAnsi="Arial" w:cs="Arial"/>
          <w:sz w:val="22"/>
          <w:shd w:val="clear" w:color="auto" w:fill="FFFFFF"/>
        </w:rPr>
        <w:t>la</w:t>
      </w:r>
      <w:r>
        <w:rPr>
          <w:rFonts w:ascii="Arial" w:hAnsi="Arial" w:cs="Arial"/>
          <w:sz w:val="22"/>
          <w:shd w:val="clear" w:color="auto" w:fill="FFFFFF"/>
        </w:rPr>
        <w:t>s</w:t>
      </w:r>
      <w:r w:rsidRPr="00066821">
        <w:rPr>
          <w:rFonts w:ascii="Arial" w:hAnsi="Arial" w:cs="Arial"/>
          <w:sz w:val="22"/>
        </w:rPr>
        <w:t xml:space="preserve"> Resoluci</w:t>
      </w:r>
      <w:r>
        <w:rPr>
          <w:rFonts w:ascii="Arial" w:hAnsi="Arial" w:cs="Arial"/>
          <w:sz w:val="22"/>
        </w:rPr>
        <w:t>o</w:t>
      </w:r>
      <w:r w:rsidRPr="00066821">
        <w:rPr>
          <w:rFonts w:ascii="Arial" w:hAnsi="Arial" w:cs="Arial"/>
          <w:sz w:val="22"/>
        </w:rPr>
        <w:t>n</w:t>
      </w:r>
      <w:r>
        <w:rPr>
          <w:rFonts w:ascii="Arial" w:hAnsi="Arial" w:cs="Arial"/>
          <w:sz w:val="22"/>
        </w:rPr>
        <w:t xml:space="preserve">es respectivas, </w:t>
      </w:r>
      <w:r w:rsidRPr="00066821">
        <w:rPr>
          <w:rFonts w:ascii="Arial" w:hAnsi="Arial" w:cs="Arial"/>
          <w:sz w:val="22"/>
        </w:rPr>
        <w:t>mediante la</w:t>
      </w:r>
      <w:r>
        <w:rPr>
          <w:rFonts w:ascii="Arial" w:hAnsi="Arial" w:cs="Arial"/>
          <w:sz w:val="22"/>
        </w:rPr>
        <w:t>s</w:t>
      </w:r>
      <w:r w:rsidRPr="00066821">
        <w:rPr>
          <w:rFonts w:ascii="Arial" w:hAnsi="Arial" w:cs="Arial"/>
          <w:sz w:val="22"/>
        </w:rPr>
        <w:t xml:space="preserve"> cual</w:t>
      </w:r>
      <w:r>
        <w:rPr>
          <w:rFonts w:ascii="Arial" w:hAnsi="Arial" w:cs="Arial"/>
          <w:sz w:val="22"/>
        </w:rPr>
        <w:t>es</w:t>
      </w:r>
      <w:r w:rsidRPr="00066821">
        <w:rPr>
          <w:rFonts w:ascii="Arial" w:hAnsi="Arial" w:cs="Arial"/>
          <w:sz w:val="22"/>
        </w:rPr>
        <w:t xml:space="preserve"> </w:t>
      </w:r>
      <w:r>
        <w:rPr>
          <w:rFonts w:ascii="Arial" w:hAnsi="Arial" w:cs="Arial"/>
          <w:sz w:val="22"/>
        </w:rPr>
        <w:t>implementa y desarrolla</w:t>
      </w:r>
      <w:r w:rsidRPr="00066821">
        <w:rPr>
          <w:rFonts w:ascii="Arial" w:hAnsi="Arial" w:cs="Arial"/>
          <w:sz w:val="22"/>
        </w:rPr>
        <w:t xml:space="preserve"> los Documentos Tipo aplicables a los procesos </w:t>
      </w:r>
      <w:r>
        <w:rPr>
          <w:rFonts w:ascii="Arial" w:hAnsi="Arial" w:cs="Arial"/>
          <w:sz w:val="22"/>
        </w:rPr>
        <w:t xml:space="preserve">de </w:t>
      </w:r>
      <w:r w:rsidRPr="00066821">
        <w:rPr>
          <w:rFonts w:ascii="Arial" w:hAnsi="Arial" w:cs="Arial"/>
          <w:sz w:val="22"/>
        </w:rPr>
        <w:t>obra pública de infraestructura de transporte,</w:t>
      </w:r>
      <w:r>
        <w:rPr>
          <w:rFonts w:ascii="Arial" w:hAnsi="Arial" w:cs="Arial"/>
          <w:sz w:val="22"/>
        </w:rPr>
        <w:t xml:space="preserve"> en las modalidades de licitación pública, selección abreviada de menor cuantía, mínima cuantía e interventoría, así como</w:t>
      </w:r>
      <w:r w:rsidRPr="004A4E65">
        <w:rPr>
          <w:rFonts w:ascii="Arial" w:hAnsi="Arial" w:cs="Arial"/>
          <w:sz w:val="22"/>
        </w:rPr>
        <w:t xml:space="preserve"> </w:t>
      </w:r>
      <w:r w:rsidRPr="00066821">
        <w:rPr>
          <w:rFonts w:ascii="Arial" w:hAnsi="Arial" w:cs="Arial"/>
          <w:sz w:val="22"/>
        </w:rPr>
        <w:t xml:space="preserve">los </w:t>
      </w:r>
      <w:r>
        <w:rPr>
          <w:rFonts w:ascii="Arial" w:hAnsi="Arial" w:cs="Arial"/>
          <w:sz w:val="22"/>
        </w:rPr>
        <w:t xml:space="preserve">Documentos tipo para los procesos de licitación de </w:t>
      </w:r>
      <w:r w:rsidRPr="00066821">
        <w:rPr>
          <w:rFonts w:ascii="Arial" w:hAnsi="Arial" w:cs="Arial"/>
          <w:sz w:val="22"/>
        </w:rPr>
        <w:t>obra pública de</w:t>
      </w:r>
      <w:r>
        <w:rPr>
          <w:rFonts w:ascii="Arial" w:hAnsi="Arial" w:cs="Arial"/>
          <w:sz w:val="22"/>
        </w:rPr>
        <w:t xml:space="preserve"> infraestructura de agua potable y saneamiento básico</w:t>
      </w:r>
      <w:r>
        <w:rPr>
          <w:rStyle w:val="Refdenotaalpie"/>
          <w:rFonts w:ascii="Arial" w:hAnsi="Arial" w:cs="Arial"/>
          <w:sz w:val="22"/>
        </w:rPr>
        <w:footnoteReference w:id="5"/>
      </w:r>
      <w:r>
        <w:rPr>
          <w:rFonts w:ascii="Arial" w:hAnsi="Arial" w:cs="Arial"/>
          <w:sz w:val="22"/>
        </w:rPr>
        <w:t xml:space="preserve">. </w:t>
      </w:r>
    </w:p>
    <w:p w:rsidR="007839FB" w:rsidP="007839FB" w:rsidRDefault="007E35D8" w14:paraId="59177FF7" w14:textId="77777777">
      <w:pPr>
        <w:spacing w:before="120" w:line="276" w:lineRule="auto"/>
        <w:ind w:firstLine="709"/>
        <w:jc w:val="both"/>
        <w:rPr>
          <w:rFonts w:ascii="Arial" w:hAnsi="Arial" w:cs="Arial"/>
          <w:sz w:val="22"/>
        </w:rPr>
      </w:pPr>
      <w:r>
        <w:rPr>
          <w:rFonts w:ascii="Arial" w:hAnsi="Arial" w:cs="Arial"/>
          <w:sz w:val="22"/>
        </w:rPr>
        <w:t>E</w:t>
      </w:r>
      <w:r w:rsidR="00ED2827">
        <w:rPr>
          <w:rFonts w:ascii="Arial" w:hAnsi="Arial" w:cs="Arial"/>
          <w:sz w:val="22"/>
        </w:rPr>
        <w:t>l</w:t>
      </w:r>
      <w:r w:rsidRPr="00066821" w:rsidR="00ED2827">
        <w:rPr>
          <w:rFonts w:ascii="Arial" w:hAnsi="Arial" w:cs="Arial"/>
          <w:sz w:val="22"/>
        </w:rPr>
        <w:t xml:space="preserve"> «Documento Base»</w:t>
      </w:r>
      <w:r w:rsidR="00ED2827">
        <w:rPr>
          <w:rFonts w:ascii="Arial" w:hAnsi="Arial" w:cs="Arial"/>
          <w:sz w:val="22"/>
        </w:rPr>
        <w:t xml:space="preserve"> de dichos procesos, con excepción de la mínima cuantía, en el </w:t>
      </w:r>
      <w:r w:rsidRPr="00734414" w:rsidR="00ED2827">
        <w:rPr>
          <w:rFonts w:ascii="Arial" w:hAnsi="Arial" w:cs="Arial"/>
          <w:sz w:val="22"/>
        </w:rPr>
        <w:t>Capítulo IV</w:t>
      </w:r>
      <w:r w:rsidR="00ED2827">
        <w:rPr>
          <w:rFonts w:ascii="Arial" w:hAnsi="Arial" w:cs="Arial"/>
          <w:sz w:val="22"/>
        </w:rPr>
        <w:t xml:space="preserve"> </w:t>
      </w:r>
      <w:r w:rsidRPr="00066821" w:rsidR="00ED2827">
        <w:rPr>
          <w:rFonts w:ascii="Arial" w:hAnsi="Arial" w:cs="Arial"/>
          <w:sz w:val="22"/>
        </w:rPr>
        <w:t>«</w:t>
      </w:r>
      <w:r w:rsidR="00ED2827">
        <w:rPr>
          <w:rFonts w:ascii="Arial" w:hAnsi="Arial" w:cs="Arial"/>
          <w:sz w:val="22"/>
        </w:rPr>
        <w:t>Criterios de Evaluación, Asignación de Puntaje y Criterios d</w:t>
      </w:r>
      <w:r w:rsidRPr="00734414" w:rsidR="00ED2827">
        <w:rPr>
          <w:rFonts w:ascii="Arial" w:hAnsi="Arial" w:cs="Arial"/>
          <w:sz w:val="22"/>
        </w:rPr>
        <w:t>e Desempate</w:t>
      </w:r>
      <w:r w:rsidRPr="00066821" w:rsidR="00ED2827">
        <w:rPr>
          <w:rFonts w:ascii="Arial" w:hAnsi="Arial" w:cs="Arial"/>
          <w:sz w:val="22"/>
        </w:rPr>
        <w:t>»</w:t>
      </w:r>
      <w:r w:rsidR="00ED2827">
        <w:rPr>
          <w:rFonts w:ascii="Arial" w:hAnsi="Arial" w:cs="Arial"/>
          <w:sz w:val="22"/>
        </w:rPr>
        <w:t xml:space="preserve">, numeral 4.2 </w:t>
      </w:r>
      <w:r w:rsidRPr="00066821" w:rsidR="00ED2827">
        <w:rPr>
          <w:rFonts w:ascii="Arial" w:hAnsi="Arial" w:cs="Arial"/>
          <w:sz w:val="22"/>
        </w:rPr>
        <w:t>«</w:t>
      </w:r>
      <w:r w:rsidR="00ED2827">
        <w:rPr>
          <w:rFonts w:ascii="Arial" w:hAnsi="Arial" w:cs="Arial"/>
          <w:sz w:val="22"/>
        </w:rPr>
        <w:t>Factor de Calidad</w:t>
      </w:r>
      <w:r w:rsidRPr="00066821" w:rsidR="00ED2827">
        <w:rPr>
          <w:rFonts w:ascii="Arial" w:hAnsi="Arial" w:cs="Arial"/>
          <w:sz w:val="22"/>
        </w:rPr>
        <w:t>»</w:t>
      </w:r>
      <w:r w:rsidR="00ED2827">
        <w:rPr>
          <w:rFonts w:ascii="Arial" w:hAnsi="Arial" w:cs="Arial"/>
          <w:sz w:val="22"/>
        </w:rPr>
        <w:t>, contempló:</w:t>
      </w:r>
    </w:p>
    <w:p w:rsidR="00ED2827" w:rsidP="00182369" w:rsidRDefault="00ED2827" w14:paraId="0604A174" w14:textId="42192118">
      <w:pPr>
        <w:ind w:firstLine="709"/>
        <w:jc w:val="both"/>
        <w:rPr>
          <w:rFonts w:ascii="Arial" w:hAnsi="Arial" w:cs="Arial"/>
          <w:sz w:val="22"/>
        </w:rPr>
      </w:pPr>
      <w:r>
        <w:rPr>
          <w:rFonts w:ascii="Arial" w:hAnsi="Arial" w:cs="Arial"/>
          <w:sz w:val="22"/>
        </w:rPr>
        <w:t xml:space="preserve"> </w:t>
      </w:r>
    </w:p>
    <w:p w:rsidR="007839FB" w:rsidP="007839FB" w:rsidRDefault="00ED2827" w14:paraId="329C6F75" w14:textId="77777777">
      <w:pPr>
        <w:tabs>
          <w:tab w:val="left" w:pos="0"/>
        </w:tabs>
        <w:ind w:left="709" w:right="709"/>
        <w:jc w:val="both"/>
        <w:rPr>
          <w:rFonts w:ascii="Arial" w:hAnsi="Arial" w:cs="Arial"/>
          <w:sz w:val="21"/>
          <w:szCs w:val="22"/>
        </w:rPr>
      </w:pPr>
      <w:r w:rsidRPr="00433ACB">
        <w:rPr>
          <w:rFonts w:ascii="Arial" w:hAnsi="Arial" w:eastAsia="Calibri" w:cs="Arial"/>
          <w:color w:val="000000"/>
          <w:sz w:val="21"/>
          <w:szCs w:val="21"/>
          <w:lang w:val="es-ES_tradnl" w:eastAsia="en-GB"/>
        </w:rPr>
        <w:t xml:space="preserve">Las entidades estatales deben </w:t>
      </w:r>
      <w:r w:rsidRPr="0081325C">
        <w:rPr>
          <w:rFonts w:ascii="Arial" w:hAnsi="Arial" w:eastAsia="Calibri" w:cs="Arial"/>
          <w:bCs/>
          <w:i/>
          <w:iCs/>
          <w:color w:val="000000"/>
          <w:sz w:val="21"/>
          <w:szCs w:val="21"/>
          <w:lang w:val="es-ES_tradnl" w:eastAsia="en-GB"/>
        </w:rPr>
        <w:t>consultar</w:t>
      </w:r>
      <w:r w:rsidRPr="0081325C">
        <w:rPr>
          <w:rFonts w:ascii="Arial" w:hAnsi="Arial" w:eastAsia="Calibri" w:cs="Arial"/>
          <w:bCs/>
          <w:color w:val="000000"/>
          <w:sz w:val="21"/>
          <w:szCs w:val="21"/>
          <w:lang w:val="es-ES_tradnl" w:eastAsia="en-GB"/>
        </w:rPr>
        <w:t xml:space="preserve"> y </w:t>
      </w:r>
      <w:r w:rsidRPr="0081325C">
        <w:rPr>
          <w:rFonts w:ascii="Arial" w:hAnsi="Arial" w:eastAsia="Calibri" w:cs="Arial"/>
          <w:bCs/>
          <w:i/>
          <w:iCs/>
          <w:color w:val="000000"/>
          <w:sz w:val="21"/>
          <w:szCs w:val="21"/>
          <w:lang w:val="es-ES_tradnl" w:eastAsia="en-GB"/>
        </w:rPr>
        <w:t>analizar</w:t>
      </w:r>
      <w:r w:rsidRPr="00CA2E65">
        <w:rPr>
          <w:rFonts w:ascii="Arial" w:hAnsi="Arial" w:eastAsia="Calibri" w:cs="Arial"/>
          <w:b/>
          <w:color w:val="000000"/>
          <w:sz w:val="21"/>
          <w:szCs w:val="21"/>
          <w:lang w:val="es-ES_tradnl" w:eastAsia="en-GB"/>
        </w:rPr>
        <w:t xml:space="preserve"> </w:t>
      </w:r>
      <w:r w:rsidRPr="00433ACB">
        <w:rPr>
          <w:rFonts w:ascii="Arial" w:hAnsi="Arial" w:eastAsia="Calibri" w:cs="Arial"/>
          <w:color w:val="000000"/>
          <w:sz w:val="21"/>
          <w:szCs w:val="21"/>
          <w:lang w:val="es-ES_tradnl" w:eastAsia="en-GB"/>
        </w:rPr>
        <w:t xml:space="preserve">las anotaciones vigentes que reposen en el Registro Nacional de Obras Civiles Inconclusas, de que trata la Ley 2020 de 2020. En el evento que las personas naturales o jurídicas, nacionales o extranjeras domiciliadas o con sucursal en Colombia, o integrantes de proponentes plurales, </w:t>
      </w:r>
      <w:r w:rsidRPr="007E35D8">
        <w:rPr>
          <w:rFonts w:ascii="Arial" w:hAnsi="Arial" w:eastAsia="Calibri" w:cs="Arial"/>
          <w:b/>
          <w:bCs/>
          <w:color w:val="000000"/>
          <w:sz w:val="21"/>
          <w:szCs w:val="21"/>
          <w:lang w:val="es-ES_tradnl" w:eastAsia="en-GB"/>
        </w:rPr>
        <w:t>cuenten con alguna anotación vigente de obra civil inconclusa, en el mencionado registro, se descontará un (1) punto de la sumatoria obtenida en relación con el factor de calidad</w:t>
      </w:r>
      <w:r w:rsidRPr="00433ACB">
        <w:rPr>
          <w:rFonts w:ascii="Arial" w:hAnsi="Arial" w:eastAsia="Calibri" w:cs="Arial"/>
          <w:color w:val="000000"/>
          <w:sz w:val="21"/>
          <w:szCs w:val="21"/>
          <w:lang w:val="es-ES_tradnl" w:eastAsia="en-GB"/>
        </w:rPr>
        <w:t>.</w:t>
      </w:r>
      <w:r w:rsidRPr="007E35D8">
        <w:rPr>
          <w:rFonts w:ascii="Arial" w:hAnsi="Arial" w:cs="Arial"/>
          <w:sz w:val="22"/>
        </w:rPr>
        <w:t xml:space="preserve"> </w:t>
      </w:r>
      <w:r w:rsidRPr="007E35D8">
        <w:rPr>
          <w:rFonts w:ascii="Arial" w:hAnsi="Arial" w:cs="Arial"/>
          <w:sz w:val="21"/>
          <w:szCs w:val="22"/>
        </w:rPr>
        <w:t>(Énfasis fuera de texto)</w:t>
      </w:r>
    </w:p>
    <w:p w:rsidR="007839FB" w:rsidP="007839FB" w:rsidRDefault="007839FB" w14:paraId="199076D7" w14:textId="77777777">
      <w:pPr>
        <w:tabs>
          <w:tab w:val="left" w:pos="0"/>
        </w:tabs>
        <w:jc w:val="both"/>
        <w:rPr>
          <w:rFonts w:ascii="Arial" w:hAnsi="Arial" w:cs="Arial"/>
          <w:sz w:val="21"/>
          <w:szCs w:val="22"/>
        </w:rPr>
      </w:pPr>
    </w:p>
    <w:p w:rsidRPr="007839FB" w:rsidR="00ED2827" w:rsidP="007839FB" w:rsidRDefault="007839FB" w14:paraId="17C3B2D5" w14:textId="3F05512C">
      <w:pPr>
        <w:tabs>
          <w:tab w:val="left" w:pos="0"/>
        </w:tabs>
        <w:jc w:val="both"/>
        <w:rPr>
          <w:rFonts w:ascii="Arial" w:hAnsi="Arial" w:cs="Arial"/>
          <w:sz w:val="21"/>
          <w:szCs w:val="22"/>
        </w:rPr>
      </w:pPr>
      <w:r>
        <w:rPr>
          <w:rFonts w:ascii="Arial" w:hAnsi="Arial" w:cs="Arial"/>
          <w:sz w:val="21"/>
          <w:szCs w:val="22"/>
        </w:rPr>
        <w:tab/>
      </w:r>
      <w:r w:rsidRPr="00F4518D" w:rsidR="00ED2827">
        <w:rPr>
          <w:rFonts w:ascii="Arial" w:hAnsi="Arial" w:cs="Arial"/>
          <w:sz w:val="22"/>
        </w:rPr>
        <w:t>Para comprender íntegramente la forma de aplicación de</w:t>
      </w:r>
      <w:r w:rsidR="00ED2827">
        <w:rPr>
          <w:rFonts w:ascii="Arial" w:hAnsi="Arial" w:cs="Arial"/>
          <w:sz w:val="22"/>
        </w:rPr>
        <w:t>l numeral citado</w:t>
      </w:r>
      <w:r w:rsidRPr="00F4518D" w:rsidR="00ED2827">
        <w:rPr>
          <w:rFonts w:ascii="Arial" w:hAnsi="Arial" w:cs="Arial"/>
          <w:sz w:val="22"/>
        </w:rPr>
        <w:t xml:space="preserve">, se revisarán dos temas que a nuestro juicio son esenciales i) el alcance de los vocablos </w:t>
      </w:r>
      <w:r w:rsidRPr="00066821" w:rsidR="00ED2827">
        <w:rPr>
          <w:rFonts w:ascii="Arial" w:hAnsi="Arial" w:cs="Arial"/>
          <w:sz w:val="22"/>
        </w:rPr>
        <w:t>«</w:t>
      </w:r>
      <w:r w:rsidRPr="00F4518D" w:rsidR="00ED2827">
        <w:rPr>
          <w:rFonts w:ascii="Arial" w:hAnsi="Arial" w:eastAsia="Calibri" w:cs="Arial"/>
          <w:color w:val="000000"/>
          <w:sz w:val="22"/>
          <w:lang w:val="es-ES_tradnl" w:eastAsia="en-GB"/>
        </w:rPr>
        <w:t>consultar y analizar</w:t>
      </w:r>
      <w:r w:rsidRPr="00066821" w:rsidR="00ED2827">
        <w:rPr>
          <w:rFonts w:ascii="Arial" w:hAnsi="Arial" w:cs="Arial"/>
          <w:sz w:val="22"/>
        </w:rPr>
        <w:t>»</w:t>
      </w:r>
      <w:r w:rsidRPr="00F4518D" w:rsidR="00ED2827">
        <w:rPr>
          <w:rFonts w:ascii="Arial" w:hAnsi="Arial" w:eastAsia="Calibri" w:cs="Arial"/>
          <w:color w:val="000000"/>
          <w:sz w:val="22"/>
          <w:lang w:val="es-ES_tradnl" w:eastAsia="en-GB"/>
        </w:rPr>
        <w:t xml:space="preserve"> y ii) </w:t>
      </w:r>
      <w:r w:rsidR="00ED2827">
        <w:rPr>
          <w:rFonts w:ascii="Arial" w:hAnsi="Arial" w:eastAsia="Calibri" w:cs="Arial"/>
          <w:color w:val="000000"/>
          <w:sz w:val="22"/>
          <w:lang w:val="es-ES_tradnl" w:eastAsia="en-GB"/>
        </w:rPr>
        <w:t xml:space="preserve">las anotaciones en el Registro Nacional de Obras Civiles Inconclusas. </w:t>
      </w:r>
    </w:p>
    <w:p w:rsidR="00ED2827" w:rsidP="00884BCF" w:rsidRDefault="00ED2827" w14:paraId="49B0452F" w14:textId="66CF118D">
      <w:pPr>
        <w:spacing w:before="120" w:after="120" w:line="276" w:lineRule="auto"/>
        <w:ind w:firstLine="709"/>
        <w:jc w:val="both"/>
        <w:rPr>
          <w:rFonts w:ascii="Arial" w:hAnsi="Arial" w:cs="Arial"/>
          <w:sz w:val="22"/>
        </w:rPr>
      </w:pPr>
      <w:r>
        <w:rPr>
          <w:rFonts w:ascii="Arial" w:hAnsi="Arial" w:cs="Arial"/>
          <w:sz w:val="22"/>
        </w:rPr>
        <w:t xml:space="preserve">Como punto de partida, es preciso señalar que el inicio del párrafo del documento base, prescribe el deber de las entidades estatales de consultar y analizar las anotaciones vigentes que reposan en el Registro Nacional de Obras Civiles Inconclusas. Lo anterior guarda coherencia con el </w:t>
      </w:r>
      <w:r w:rsidR="00602CA3">
        <w:rPr>
          <w:rFonts w:ascii="Arial" w:hAnsi="Arial" w:cs="Arial"/>
          <w:sz w:val="22"/>
        </w:rPr>
        <w:t xml:space="preserve">inciso 1º del </w:t>
      </w:r>
      <w:r>
        <w:rPr>
          <w:rFonts w:ascii="Arial" w:hAnsi="Arial" w:cs="Arial"/>
          <w:sz w:val="22"/>
        </w:rPr>
        <w:t>artículo 6 de la Ley 2020 de 2020</w:t>
      </w:r>
      <w:r w:rsidR="00602CA3">
        <w:rPr>
          <w:rFonts w:ascii="Arial" w:hAnsi="Arial" w:cs="Arial"/>
          <w:sz w:val="22"/>
        </w:rPr>
        <w:t>,</w:t>
      </w:r>
      <w:r>
        <w:rPr>
          <w:rFonts w:ascii="Arial" w:hAnsi="Arial" w:cs="Arial"/>
          <w:sz w:val="22"/>
        </w:rPr>
        <w:t xml:space="preserve"> el cual dispone que </w:t>
      </w:r>
      <w:r w:rsidRPr="00066821">
        <w:rPr>
          <w:rFonts w:ascii="Arial" w:hAnsi="Arial" w:cs="Arial"/>
          <w:sz w:val="22"/>
        </w:rPr>
        <w:t>«</w:t>
      </w:r>
      <w:r w:rsidRPr="004F034D">
        <w:rPr>
          <w:rFonts w:ascii="Arial" w:hAnsi="Arial" w:cs="Arial"/>
          <w:sz w:val="22"/>
        </w:rPr>
        <w:t>En los procesos de contratación de obras públicas que adelanten las entidades estatales contratantes, sin importar la cuantía, deberán</w:t>
      </w:r>
      <w:r w:rsidRPr="007F665F">
        <w:rPr>
          <w:rFonts w:ascii="Arial" w:hAnsi="Arial" w:cs="Arial"/>
          <w:b/>
          <w:sz w:val="22"/>
        </w:rPr>
        <w:t xml:space="preserve"> </w:t>
      </w:r>
      <w:r w:rsidRPr="00A413AD">
        <w:rPr>
          <w:rFonts w:ascii="Arial" w:hAnsi="Arial" w:cs="Arial"/>
          <w:sz w:val="22"/>
        </w:rPr>
        <w:t>consultar y analizar</w:t>
      </w:r>
      <w:r w:rsidRPr="004F034D">
        <w:rPr>
          <w:rFonts w:ascii="Arial" w:hAnsi="Arial" w:cs="Arial"/>
          <w:sz w:val="22"/>
        </w:rPr>
        <w:t xml:space="preserve"> las anotaciones vigentes que presenten las personas naturales o jurídicas, nacionales o extranjeras domiciliadas o con sucursal en Colombia, en el Registro Nacional de Obras Civiles Inconclusas</w:t>
      </w:r>
      <w:r w:rsidRPr="00066821">
        <w:rPr>
          <w:rFonts w:ascii="Arial" w:hAnsi="Arial" w:cs="Arial"/>
          <w:sz w:val="22"/>
        </w:rPr>
        <w:t>»</w:t>
      </w:r>
      <w:r>
        <w:rPr>
          <w:rFonts w:ascii="Arial" w:hAnsi="Arial" w:cs="Arial"/>
          <w:sz w:val="22"/>
        </w:rPr>
        <w:t xml:space="preserve">. </w:t>
      </w:r>
    </w:p>
    <w:p w:rsidR="00ED2827" w:rsidP="00884BCF" w:rsidRDefault="00ED2827" w14:paraId="0A5AF192" w14:textId="77777777">
      <w:pPr>
        <w:spacing w:before="120" w:after="120" w:line="276" w:lineRule="auto"/>
        <w:ind w:firstLine="709"/>
        <w:jc w:val="both"/>
        <w:rPr>
          <w:rFonts w:ascii="Arial" w:hAnsi="Arial" w:cs="Arial"/>
          <w:sz w:val="22"/>
        </w:rPr>
      </w:pPr>
      <w:r>
        <w:rPr>
          <w:rFonts w:ascii="Arial" w:hAnsi="Arial" w:cs="Arial"/>
          <w:sz w:val="22"/>
        </w:rPr>
        <w:t xml:space="preserve">Según su significado literal, consultar es </w:t>
      </w:r>
      <w:r w:rsidRPr="00066821">
        <w:rPr>
          <w:rFonts w:ascii="Arial" w:hAnsi="Arial" w:cs="Arial"/>
          <w:sz w:val="22"/>
        </w:rPr>
        <w:t>«</w:t>
      </w:r>
      <w:r>
        <w:rPr>
          <w:rFonts w:ascii="Arial" w:hAnsi="Arial" w:cs="Arial"/>
          <w:sz w:val="22"/>
        </w:rPr>
        <w:t>b</w:t>
      </w:r>
      <w:r w:rsidRPr="00D65DFE">
        <w:rPr>
          <w:rFonts w:ascii="Arial" w:hAnsi="Arial" w:cs="Arial"/>
          <w:sz w:val="22"/>
        </w:rPr>
        <w:t xml:space="preserve">uscar documentación o datos sobre algún asunto o </w:t>
      </w:r>
      <w:r>
        <w:rPr>
          <w:rFonts w:ascii="Arial" w:hAnsi="Arial" w:cs="Arial"/>
          <w:sz w:val="22"/>
        </w:rPr>
        <w:t>materia</w:t>
      </w:r>
      <w:r w:rsidRPr="00066821">
        <w:rPr>
          <w:rFonts w:ascii="Arial" w:hAnsi="Arial" w:cs="Arial"/>
          <w:sz w:val="22"/>
        </w:rPr>
        <w:t>»</w:t>
      </w:r>
      <w:r>
        <w:rPr>
          <w:rStyle w:val="Refdenotaalpie"/>
          <w:rFonts w:ascii="Arial" w:hAnsi="Arial" w:cs="Arial"/>
          <w:sz w:val="22"/>
        </w:rPr>
        <w:footnoteReference w:id="6"/>
      </w:r>
      <w:r>
        <w:rPr>
          <w:rFonts w:ascii="Arial" w:hAnsi="Arial" w:cs="Arial"/>
          <w:sz w:val="22"/>
        </w:rPr>
        <w:t xml:space="preserve"> y analizar se refiere al </w:t>
      </w:r>
      <w:r w:rsidRPr="00066821">
        <w:rPr>
          <w:rFonts w:ascii="Arial" w:hAnsi="Arial" w:cs="Arial"/>
          <w:sz w:val="22"/>
        </w:rPr>
        <w:t>«</w:t>
      </w:r>
      <w:r>
        <w:rPr>
          <w:rFonts w:ascii="Arial" w:hAnsi="Arial" w:cs="Arial"/>
          <w:sz w:val="22"/>
        </w:rPr>
        <w:t>e</w:t>
      </w:r>
      <w:r w:rsidRPr="00D65DFE">
        <w:rPr>
          <w:rFonts w:ascii="Arial" w:hAnsi="Arial" w:cs="Arial"/>
          <w:sz w:val="22"/>
        </w:rPr>
        <w:t>xamen que se hace de una obra, de un escrito o de cualquier realidad susceptible de estudio intelectual</w:t>
      </w:r>
      <w:r w:rsidRPr="00066821">
        <w:rPr>
          <w:rFonts w:ascii="Arial" w:hAnsi="Arial" w:cs="Arial"/>
          <w:sz w:val="22"/>
        </w:rPr>
        <w:t>»</w:t>
      </w:r>
      <w:r>
        <w:rPr>
          <w:rStyle w:val="Refdenotaalpie"/>
          <w:rFonts w:ascii="Arial" w:hAnsi="Arial" w:cs="Arial"/>
          <w:sz w:val="22"/>
        </w:rPr>
        <w:footnoteReference w:id="7"/>
      </w:r>
      <w:r w:rsidRPr="00D65DFE">
        <w:rPr>
          <w:rFonts w:ascii="Arial" w:hAnsi="Arial" w:cs="Arial"/>
          <w:sz w:val="22"/>
        </w:rPr>
        <w:t>.</w:t>
      </w:r>
      <w:r>
        <w:rPr>
          <w:rFonts w:ascii="Arial" w:hAnsi="Arial" w:cs="Arial"/>
          <w:sz w:val="22"/>
        </w:rPr>
        <w:t xml:space="preserve"> El propósito de estas expresiones, entonces, es el de realizar un examen minucioso de un asunto, para conocer sus características, factores, naturaleza y demás condiciones necesarias para entender el sentido del objeto de estudio. </w:t>
      </w:r>
    </w:p>
    <w:p w:rsidR="00ED2827" w:rsidP="00884BCF" w:rsidRDefault="00ED2827" w14:paraId="5DF22B2E" w14:textId="2019250A">
      <w:pPr>
        <w:spacing w:before="120" w:after="120" w:line="276" w:lineRule="auto"/>
        <w:ind w:firstLine="709"/>
        <w:jc w:val="both"/>
        <w:rPr>
          <w:rFonts w:ascii="Arial" w:hAnsi="Arial" w:cs="Arial"/>
          <w:sz w:val="22"/>
        </w:rPr>
      </w:pPr>
      <w:r>
        <w:rPr>
          <w:rFonts w:ascii="Arial" w:hAnsi="Arial" w:cs="Arial"/>
          <w:sz w:val="22"/>
        </w:rPr>
        <w:t xml:space="preserve">Estos vocablos revisten especial importancia en este estudio, puesto que, con base en ese análisis, la entidad estatal descontará un punto de la sumatoria obtenida en relación con el factor calidad. En otras palabras, en el evento en que </w:t>
      </w:r>
      <w:r w:rsidRPr="009246C4">
        <w:rPr>
          <w:rFonts w:ascii="Arial" w:hAnsi="Arial" w:cs="Arial"/>
          <w:sz w:val="22"/>
        </w:rPr>
        <w:t>las personas naturales o jurídicas, nacionales o extranjeras domiciliadas o con sucursal en Colombia, o integrantes de proponentes plurales</w:t>
      </w:r>
      <w:r>
        <w:rPr>
          <w:rFonts w:ascii="Arial" w:hAnsi="Arial" w:cs="Arial"/>
          <w:sz w:val="22"/>
        </w:rPr>
        <w:t xml:space="preserve">, cuenten con una anotación en dicho registro, le corresponde a la entidad examinar la particularidad de la anotación y determinar si la misma es suficiente para descontar el punto de la sumatoria total </w:t>
      </w:r>
      <w:r w:rsidRPr="005D749F">
        <w:rPr>
          <w:rFonts w:ascii="Arial" w:hAnsi="Arial" w:cs="Arial"/>
          <w:sz w:val="22"/>
        </w:rPr>
        <w:t>en relación con el factor de calidad.</w:t>
      </w:r>
      <w:r>
        <w:rPr>
          <w:rFonts w:ascii="Arial" w:hAnsi="Arial" w:cs="Arial"/>
          <w:sz w:val="22"/>
        </w:rPr>
        <w:t xml:space="preserve"> </w:t>
      </w:r>
    </w:p>
    <w:p w:rsidR="00ED2827" w:rsidP="00884BCF" w:rsidRDefault="00ED2827" w14:paraId="2E6F65F1" w14:textId="5CEE7D4E">
      <w:pPr>
        <w:spacing w:before="120" w:after="120" w:line="276" w:lineRule="auto"/>
        <w:ind w:firstLine="709"/>
        <w:jc w:val="both"/>
        <w:rPr>
          <w:rFonts w:ascii="Arial" w:hAnsi="Arial" w:cs="Arial"/>
          <w:sz w:val="22"/>
        </w:rPr>
      </w:pPr>
      <w:r>
        <w:rPr>
          <w:rFonts w:ascii="Arial" w:hAnsi="Arial" w:cs="Arial"/>
          <w:sz w:val="22"/>
        </w:rPr>
        <w:t xml:space="preserve">De esta manera, la connotación de las palabras </w:t>
      </w:r>
      <w:r w:rsidRPr="00066821">
        <w:rPr>
          <w:rFonts w:ascii="Arial" w:hAnsi="Arial" w:cs="Arial"/>
          <w:sz w:val="22"/>
        </w:rPr>
        <w:t>«</w:t>
      </w:r>
      <w:r>
        <w:rPr>
          <w:rFonts w:ascii="Arial" w:hAnsi="Arial" w:cs="Arial"/>
          <w:sz w:val="22"/>
        </w:rPr>
        <w:t>consultar y analizar</w:t>
      </w:r>
      <w:r w:rsidRPr="00066821">
        <w:rPr>
          <w:rFonts w:ascii="Arial" w:hAnsi="Arial" w:cs="Arial"/>
          <w:sz w:val="22"/>
        </w:rPr>
        <w:t>»</w:t>
      </w:r>
      <w:r>
        <w:rPr>
          <w:rFonts w:ascii="Arial" w:hAnsi="Arial" w:cs="Arial"/>
          <w:sz w:val="22"/>
        </w:rPr>
        <w:t xml:space="preserve"> constituyen el marco respecto del cual se circunscribe el deber de la entidad de tener en cuenta las anotaciones en el Registro Nacional de Obras Civiles Inconclusas, para efectos de la evaluación de los factores de ponderación de calidad. En otras palabras, las expresiones </w:t>
      </w:r>
      <w:r w:rsidRPr="00066821">
        <w:rPr>
          <w:rFonts w:ascii="Arial" w:hAnsi="Arial" w:cs="Arial"/>
          <w:sz w:val="22"/>
        </w:rPr>
        <w:t>«</w:t>
      </w:r>
      <w:r>
        <w:rPr>
          <w:rFonts w:ascii="Arial" w:hAnsi="Arial" w:cs="Arial"/>
          <w:sz w:val="22"/>
        </w:rPr>
        <w:t>consultar y analizar</w:t>
      </w:r>
      <w:r w:rsidRPr="00066821">
        <w:rPr>
          <w:rFonts w:ascii="Arial" w:hAnsi="Arial" w:cs="Arial"/>
          <w:sz w:val="22"/>
        </w:rPr>
        <w:t>»</w:t>
      </w:r>
      <w:r>
        <w:rPr>
          <w:rFonts w:ascii="Arial" w:hAnsi="Arial" w:cs="Arial"/>
          <w:sz w:val="22"/>
        </w:rPr>
        <w:t xml:space="preserve">, determinan el alcance de la interpretación tanto del contenido del artículo 6 de la Ley 2020 de 2020, como en el texto establecido en los Documentos Base, sobre el Registro Nacional de Obras Civiles Inconclusas. En consecuencia, el primer aparte del párrafo del Documento Base determina el alcance que debe darse al texto, mientras que el segundo fragmento dispone la consecuencia jurídica. Así, este último no puede desligarse del otro y su interpretación debe realizarse en contexto. </w:t>
      </w:r>
    </w:p>
    <w:p w:rsidR="00F76AF2" w:rsidP="00884BCF" w:rsidRDefault="00ED2827" w14:paraId="134AEF72" w14:textId="77777777">
      <w:pPr>
        <w:spacing w:before="120" w:after="120" w:line="276" w:lineRule="auto"/>
        <w:ind w:firstLine="709"/>
        <w:jc w:val="both"/>
        <w:rPr>
          <w:rFonts w:ascii="Arial" w:hAnsi="Arial" w:cs="Arial"/>
          <w:sz w:val="22"/>
        </w:rPr>
      </w:pPr>
      <w:r>
        <w:rPr>
          <w:rFonts w:ascii="Arial" w:hAnsi="Arial" w:cs="Arial"/>
          <w:sz w:val="22"/>
        </w:rPr>
        <w:t xml:space="preserve">Bajo estas consideraciones, la interpretación adecuada para lo dispuesto en el Documento Base, es que para descontar el punto de la sumatoria obtenida en relación con el factor de calidad la entidad deberá consultar y analizar las anotaciones vigentes en el Registro Nacional de Obras Civiles Inconclusas. Con este panorama, la pregunta que surge a continuación es ¿cómo analizar las anotaciones para descontar el punto del factor de calidad? Consideramos adecuado, por ejemplo, que en este análisis la entidad verifique si existen anotaciones relacionadas con el incumplimiento del contratista, que permita determinar que la obra no concluyó como consecuencia de este, en cuyo caso, descontará el punto. </w:t>
      </w:r>
    </w:p>
    <w:p w:rsidRPr="0087187A" w:rsidR="00ED2827" w:rsidP="00884BCF" w:rsidRDefault="00F76AF2" w14:paraId="1168B273" w14:textId="1CAB4B09">
      <w:pPr>
        <w:spacing w:before="120" w:after="120" w:line="276" w:lineRule="auto"/>
        <w:ind w:firstLine="709"/>
        <w:jc w:val="both"/>
        <w:rPr>
          <w:rFonts w:ascii="Arial" w:hAnsi="Arial" w:eastAsia="Calibri" w:cs="Arial"/>
          <w:color w:val="000000"/>
          <w:sz w:val="22"/>
          <w:lang w:eastAsia="en-GB"/>
        </w:rPr>
      </w:pPr>
      <w:r w:rsidRPr="0087187A">
        <w:rPr>
          <w:rFonts w:ascii="Arial" w:hAnsi="Arial" w:eastAsia="Calibri" w:cs="Arial"/>
          <w:color w:val="000000"/>
          <w:sz w:val="22"/>
          <w:lang w:eastAsia="en-GB"/>
        </w:rPr>
        <w:t xml:space="preserve">Se </w:t>
      </w:r>
      <w:r w:rsidRPr="0087187A" w:rsidR="00123BC3">
        <w:rPr>
          <w:rFonts w:ascii="Arial" w:hAnsi="Arial" w:eastAsia="Calibri" w:cs="Arial"/>
          <w:color w:val="000000"/>
          <w:sz w:val="22"/>
          <w:lang w:eastAsia="en-GB"/>
        </w:rPr>
        <w:t>encuentra</w:t>
      </w:r>
      <w:r w:rsidRPr="0087187A">
        <w:rPr>
          <w:rFonts w:ascii="Arial" w:hAnsi="Arial" w:eastAsia="Calibri" w:cs="Arial"/>
          <w:color w:val="000000"/>
          <w:sz w:val="22"/>
          <w:lang w:eastAsia="en-GB"/>
        </w:rPr>
        <w:t xml:space="preserve"> entonces que a partir del artículo 6° de la Ley 2020 de 2020 debe tener</w:t>
      </w:r>
      <w:r w:rsidRPr="0087187A" w:rsidR="00123BC3">
        <w:rPr>
          <w:rFonts w:ascii="Arial" w:hAnsi="Arial" w:eastAsia="Calibri" w:cs="Arial"/>
          <w:color w:val="000000"/>
          <w:sz w:val="22"/>
          <w:lang w:eastAsia="en-GB"/>
        </w:rPr>
        <w:t>se</w:t>
      </w:r>
      <w:r w:rsidRPr="0087187A">
        <w:rPr>
          <w:rFonts w:ascii="Arial" w:hAnsi="Arial" w:eastAsia="Calibri" w:cs="Arial"/>
          <w:color w:val="000000"/>
          <w:sz w:val="22"/>
          <w:lang w:eastAsia="en-GB"/>
        </w:rPr>
        <w:t xml:space="preserve"> en cuenta lo siguiente: </w:t>
      </w:r>
      <w:r w:rsidRPr="0087187A" w:rsidR="00ED2827">
        <w:rPr>
          <w:rFonts w:ascii="Arial" w:hAnsi="Arial" w:eastAsia="Calibri" w:cs="Arial"/>
          <w:color w:val="000000"/>
          <w:sz w:val="22"/>
          <w:lang w:eastAsia="en-GB"/>
        </w:rPr>
        <w:t>i) p</w:t>
      </w:r>
      <w:r w:rsidRPr="0087187A">
        <w:rPr>
          <w:rFonts w:ascii="Arial" w:hAnsi="Arial" w:eastAsia="Calibri" w:cs="Arial"/>
          <w:color w:val="000000"/>
          <w:sz w:val="22"/>
          <w:lang w:eastAsia="en-GB"/>
        </w:rPr>
        <w:t xml:space="preserve">ara el legislador es claro que </w:t>
      </w:r>
      <w:r w:rsidRPr="0087187A" w:rsidR="00ED2827">
        <w:rPr>
          <w:rFonts w:ascii="Arial" w:hAnsi="Arial" w:eastAsia="Calibri" w:cs="Arial"/>
          <w:color w:val="000000"/>
          <w:sz w:val="22"/>
          <w:lang w:eastAsia="en-GB"/>
        </w:rPr>
        <w:t>no toda anotación en el Registro Nacional de Obras Civiles Inconclusa</w:t>
      </w:r>
      <w:r w:rsidRPr="0087187A" w:rsidR="00123BC3">
        <w:rPr>
          <w:rFonts w:ascii="Arial" w:hAnsi="Arial" w:eastAsia="Calibri" w:cs="Arial"/>
          <w:color w:val="000000"/>
          <w:sz w:val="22"/>
          <w:lang w:eastAsia="en-GB"/>
        </w:rPr>
        <w:t>s</w:t>
      </w:r>
      <w:r w:rsidRPr="0087187A" w:rsidR="00ED2827">
        <w:rPr>
          <w:rFonts w:ascii="Arial" w:hAnsi="Arial" w:eastAsia="Calibri" w:cs="Arial"/>
          <w:color w:val="000000"/>
          <w:sz w:val="22"/>
          <w:lang w:eastAsia="en-GB"/>
        </w:rPr>
        <w:t xml:space="preserve"> corresponde a una causa atribuible al contratista; ii) en los procesos de contratación de obras públicas que adelanten las entidades contratantes, las anotaciones en el registro deberán consultarse y analizarse; y iii) cuando en la anotación se evidencie una causa atribuible</w:t>
      </w:r>
      <w:r w:rsidRPr="0087187A" w:rsidR="00123BC3">
        <w:rPr>
          <w:rFonts w:ascii="Arial" w:hAnsi="Arial" w:eastAsia="Calibri" w:cs="Arial"/>
          <w:color w:val="000000"/>
          <w:sz w:val="22"/>
          <w:lang w:eastAsia="en-GB"/>
        </w:rPr>
        <w:t>,</w:t>
      </w:r>
      <w:r w:rsidRPr="0087187A" w:rsidR="00ED2827">
        <w:rPr>
          <w:rFonts w:ascii="Arial" w:hAnsi="Arial" w:eastAsia="Calibri" w:cs="Arial"/>
          <w:color w:val="000000"/>
          <w:sz w:val="22"/>
          <w:lang w:eastAsia="en-GB"/>
        </w:rPr>
        <w:t xml:space="preserve"> al contratista se descontará un porcentaje de los puntos en los factores de ponderación de calidad. </w:t>
      </w:r>
    </w:p>
    <w:p w:rsidRPr="0087187A" w:rsidR="00ED2827" w:rsidP="000A0B9B" w:rsidRDefault="001262A0" w14:paraId="2B47A1B3" w14:textId="465975FE">
      <w:pPr>
        <w:spacing w:before="120" w:after="120" w:line="276" w:lineRule="auto"/>
        <w:ind w:firstLine="709"/>
        <w:jc w:val="both"/>
        <w:rPr>
          <w:rFonts w:ascii="Arial" w:hAnsi="Arial" w:cs="Arial"/>
          <w:sz w:val="22"/>
        </w:rPr>
      </w:pPr>
      <w:r w:rsidRPr="0087187A">
        <w:rPr>
          <w:rFonts w:ascii="Arial" w:hAnsi="Arial" w:eastAsia="Calibri" w:cs="Arial"/>
          <w:color w:val="000000"/>
          <w:sz w:val="22"/>
          <w:lang w:val="es-ES_tradnl" w:eastAsia="en-GB"/>
        </w:rPr>
        <w:t>De lo anterior se desprende</w:t>
      </w:r>
      <w:r w:rsidRPr="0087187A" w:rsidR="00ED2827">
        <w:rPr>
          <w:rFonts w:ascii="Arial" w:hAnsi="Arial" w:eastAsia="Calibri" w:cs="Arial"/>
          <w:color w:val="000000"/>
          <w:sz w:val="22"/>
          <w:lang w:val="es-ES_tradnl" w:eastAsia="en-GB"/>
        </w:rPr>
        <w:t xml:space="preserve"> que el descuento del punto de la sumatoria obtenida en relación con el factor de calidad, del que trata el texto de los documentos base adoptados por la Agencia Nacional de Contratación Pública – Colombia Compra Eficiente, deberá efectuarse una vez la entidad realice la consulta y el análisis de las anotaciones en el Registro Nacional de Obras Civiles Inconclusas</w:t>
      </w:r>
      <w:r w:rsidRPr="0087187A" w:rsidR="002743AA">
        <w:rPr>
          <w:rFonts w:ascii="Arial" w:hAnsi="Arial" w:eastAsia="Calibri" w:cs="Arial"/>
          <w:color w:val="000000"/>
          <w:sz w:val="22"/>
          <w:lang w:val="es-ES_tradnl" w:eastAsia="en-GB"/>
        </w:rPr>
        <w:t xml:space="preserve"> conclu</w:t>
      </w:r>
      <w:r w:rsidRPr="0087187A" w:rsidR="00123BC3">
        <w:rPr>
          <w:rFonts w:ascii="Arial" w:hAnsi="Arial" w:eastAsia="Calibri" w:cs="Arial"/>
          <w:color w:val="000000"/>
          <w:sz w:val="22"/>
          <w:lang w:val="es-ES_tradnl" w:eastAsia="en-GB"/>
        </w:rPr>
        <w:t>ya</w:t>
      </w:r>
      <w:r w:rsidRPr="0087187A" w:rsidR="00D725EE">
        <w:rPr>
          <w:rFonts w:ascii="Arial" w:hAnsi="Arial" w:cs="Arial"/>
          <w:sz w:val="22"/>
        </w:rPr>
        <w:t xml:space="preserve"> que</w:t>
      </w:r>
      <w:r w:rsidRPr="0087187A" w:rsidR="00ED2827">
        <w:rPr>
          <w:rFonts w:ascii="Arial" w:hAnsi="Arial" w:cs="Arial"/>
          <w:sz w:val="22"/>
        </w:rPr>
        <w:t xml:space="preserve"> esa anotación se dio </w:t>
      </w:r>
      <w:r w:rsidRPr="0087187A" w:rsidR="00D725EE">
        <w:rPr>
          <w:rFonts w:ascii="Arial" w:hAnsi="Arial" w:cs="Arial"/>
          <w:sz w:val="22"/>
        </w:rPr>
        <w:t xml:space="preserve">efectivamente </w:t>
      </w:r>
      <w:r w:rsidRPr="0087187A" w:rsidR="00ED2827">
        <w:rPr>
          <w:rFonts w:ascii="Arial" w:hAnsi="Arial" w:cs="Arial"/>
          <w:sz w:val="22"/>
        </w:rPr>
        <w:t xml:space="preserve">por un incumplimiento del contratista. De esta manera, dependiendo del supuesto la entidad descontará el punto. </w:t>
      </w:r>
    </w:p>
    <w:p w:rsidRPr="0087187A" w:rsidR="00ED2827" w:rsidP="00884BCF" w:rsidRDefault="00ED2827" w14:paraId="761323DE" w14:textId="77777777">
      <w:pPr>
        <w:spacing w:before="120" w:after="120" w:line="276" w:lineRule="auto"/>
        <w:ind w:firstLine="709"/>
        <w:jc w:val="both"/>
        <w:rPr>
          <w:rFonts w:ascii="Arial" w:hAnsi="Arial" w:cs="Arial"/>
          <w:sz w:val="22"/>
        </w:rPr>
      </w:pPr>
      <w:r w:rsidRPr="0087187A">
        <w:rPr>
          <w:rFonts w:ascii="Arial" w:hAnsi="Arial" w:cs="Arial"/>
          <w:sz w:val="22"/>
        </w:rPr>
        <w:t xml:space="preserve">En este escenario, es pertinente aclarar que el simple hecho de encontrarse incluido en el Registro Nacional de Obras Civiles Inconclusas no da lugar a descontar el punto señalado. En otras palabras, la anotación en el registro no genera automáticamente el descuento del punto. Ello es así, por cuanto los efectos de encontrarse en dicho registro no pueden ser considerados objetivos. </w:t>
      </w:r>
    </w:p>
    <w:p w:rsidRPr="0087187A" w:rsidR="00ED2827" w:rsidP="00884BCF" w:rsidRDefault="00ED2827" w14:paraId="575405AA" w14:textId="7FAEC66C">
      <w:pPr>
        <w:spacing w:before="120" w:after="120" w:line="276" w:lineRule="auto"/>
        <w:ind w:firstLine="709"/>
        <w:jc w:val="both"/>
        <w:rPr>
          <w:rFonts w:ascii="Arial" w:hAnsi="Arial" w:eastAsia="Calibri" w:cs="Arial"/>
          <w:color w:val="000000"/>
          <w:sz w:val="22"/>
          <w:lang w:val="es-ES_tradnl" w:eastAsia="en-GB"/>
        </w:rPr>
      </w:pPr>
      <w:r w:rsidRPr="0087187A">
        <w:rPr>
          <w:rFonts w:ascii="Arial" w:hAnsi="Arial" w:cs="Arial"/>
          <w:sz w:val="22"/>
        </w:rPr>
        <w:t xml:space="preserve">Como se explicó, las anotaciones incluidas en el Registro Nacional de Obras Civiles </w:t>
      </w:r>
      <w:r w:rsidRPr="0087187A" w:rsidR="00123BC3">
        <w:rPr>
          <w:rFonts w:ascii="Arial" w:hAnsi="Arial" w:cs="Arial"/>
          <w:sz w:val="22"/>
        </w:rPr>
        <w:t>I</w:t>
      </w:r>
      <w:r w:rsidRPr="0087187A">
        <w:rPr>
          <w:rFonts w:ascii="Arial" w:hAnsi="Arial" w:cs="Arial"/>
          <w:sz w:val="22"/>
        </w:rPr>
        <w:t xml:space="preserve">nconclusas deben ser consultadas y analizadas, pues no toda anotación necesariamente genera un incumplimiento del </w:t>
      </w:r>
      <w:r w:rsidRPr="0087187A" w:rsidR="003361DF">
        <w:rPr>
          <w:rFonts w:ascii="Arial" w:hAnsi="Arial" w:cs="Arial"/>
          <w:sz w:val="22"/>
        </w:rPr>
        <w:t xml:space="preserve">contratista. Conforme se expuso, </w:t>
      </w:r>
      <w:r w:rsidRPr="0087187A">
        <w:rPr>
          <w:rFonts w:ascii="Arial" w:hAnsi="Arial" w:cs="Arial"/>
          <w:sz w:val="22"/>
        </w:rPr>
        <w:t xml:space="preserve">la información que reposa en dicho Registro contiene las obras que </w:t>
      </w:r>
      <w:r w:rsidRPr="0087187A">
        <w:rPr>
          <w:rFonts w:ascii="Arial" w:hAnsi="Arial" w:eastAsia="Calibri" w:cs="Arial"/>
          <w:color w:val="000000"/>
          <w:sz w:val="22"/>
          <w:lang w:val="es-ES_tradnl" w:eastAsia="en-GB"/>
        </w:rPr>
        <w:t xml:space="preserve">no hayan concluido de manera satisfactoria para el interés general o el definido por la entidad estatal contratante, así como aquellas que no estén prestando el servicio para la cual fue contratada. Este evento, en principio, no implica </w:t>
      </w:r>
      <w:r w:rsidRPr="0087187A">
        <w:rPr>
          <w:rFonts w:ascii="Arial" w:hAnsi="Arial" w:eastAsia="Calibri" w:cs="Arial"/>
          <w:i/>
          <w:color w:val="000000"/>
          <w:sz w:val="22"/>
          <w:lang w:val="es-ES_tradnl" w:eastAsia="en-GB"/>
        </w:rPr>
        <w:t xml:space="preserve">per se </w:t>
      </w:r>
      <w:r w:rsidRPr="0087187A">
        <w:rPr>
          <w:rFonts w:ascii="Arial" w:hAnsi="Arial" w:eastAsia="Calibri" w:cs="Arial"/>
          <w:color w:val="000000"/>
          <w:sz w:val="22"/>
          <w:lang w:val="es-ES_tradnl" w:eastAsia="en-GB"/>
        </w:rPr>
        <w:t xml:space="preserve">un incumplimiento del contratista. Las razones por las cuales la obra no esté prestando el servicio pueden ir desde defectos en el diseño, calidad de la obra, hasta falta de presupuesto para funcionamiento, razón por la cual es importante analizar los datos consignados en el registro. </w:t>
      </w:r>
    </w:p>
    <w:p w:rsidRPr="0087187A" w:rsidR="00ED2827" w:rsidP="00884BCF" w:rsidRDefault="00ED2827" w14:paraId="4D6A3B13" w14:textId="6EFF1C9C">
      <w:pPr>
        <w:spacing w:before="120" w:after="120" w:line="276" w:lineRule="auto"/>
        <w:ind w:firstLine="709"/>
        <w:jc w:val="both"/>
        <w:rPr>
          <w:rFonts w:ascii="Arial" w:hAnsi="Arial" w:eastAsia="Calibri" w:cs="Arial"/>
          <w:color w:val="000000"/>
          <w:sz w:val="22"/>
          <w:lang w:val="es-ES_tradnl" w:eastAsia="en-GB"/>
        </w:rPr>
      </w:pPr>
      <w:r w:rsidRPr="0087187A">
        <w:rPr>
          <w:rFonts w:ascii="Arial" w:hAnsi="Arial" w:eastAsia="Calibri" w:cs="Arial"/>
          <w:color w:val="000000"/>
          <w:sz w:val="22"/>
          <w:lang w:val="es-ES_tradnl" w:eastAsia="en-GB"/>
        </w:rPr>
        <w:t xml:space="preserve">Además, debe agregarse que la entidad reportará en el Registro solo la información que posea en relación con la </w:t>
      </w:r>
      <w:r w:rsidRPr="0087187A" w:rsidR="00123BC3">
        <w:rPr>
          <w:rFonts w:ascii="Arial" w:hAnsi="Arial" w:eastAsia="Calibri" w:cs="Arial"/>
          <w:color w:val="000000"/>
          <w:sz w:val="22"/>
          <w:lang w:val="es-ES_tradnl" w:eastAsia="en-GB"/>
        </w:rPr>
        <w:t>obra civil inconclusa</w:t>
      </w:r>
      <w:r w:rsidRPr="0087187A">
        <w:rPr>
          <w:rFonts w:ascii="Arial" w:hAnsi="Arial" w:eastAsia="Calibri" w:cs="Arial"/>
          <w:color w:val="000000"/>
          <w:sz w:val="22"/>
          <w:lang w:val="es-ES_tradnl" w:eastAsia="en-GB"/>
        </w:rPr>
        <w:t xml:space="preserve">. En efecto, aunque el artículo 4 de la Ley 2020 de 2020 </w:t>
      </w:r>
      <w:r w:rsidRPr="0087187A" w:rsidR="00123BC3">
        <w:rPr>
          <w:rFonts w:ascii="Arial" w:hAnsi="Arial" w:eastAsia="Calibri" w:cs="Arial"/>
          <w:color w:val="000000"/>
          <w:sz w:val="22"/>
          <w:lang w:val="es-ES_tradnl" w:eastAsia="en-GB"/>
        </w:rPr>
        <w:t>dispone</w:t>
      </w:r>
      <w:r w:rsidRPr="0087187A">
        <w:rPr>
          <w:rFonts w:ascii="Arial" w:hAnsi="Arial" w:eastAsia="Calibri" w:cs="Arial"/>
          <w:color w:val="000000"/>
          <w:sz w:val="22"/>
          <w:lang w:val="es-ES_tradnl" w:eastAsia="en-GB"/>
        </w:rPr>
        <w:t xml:space="preserve"> el contenido mínimo de información que debe incorporar</w:t>
      </w:r>
      <w:r w:rsidRPr="0087187A" w:rsidR="00123BC3">
        <w:rPr>
          <w:rFonts w:ascii="Arial" w:hAnsi="Arial" w:eastAsia="Calibri" w:cs="Arial"/>
          <w:color w:val="000000"/>
          <w:sz w:val="22"/>
          <w:lang w:val="es-ES_tradnl" w:eastAsia="en-GB"/>
        </w:rPr>
        <w:t>se</w:t>
      </w:r>
      <w:r w:rsidRPr="0087187A">
        <w:rPr>
          <w:rFonts w:ascii="Arial" w:hAnsi="Arial" w:eastAsia="Calibri" w:cs="Arial"/>
          <w:color w:val="000000"/>
          <w:sz w:val="22"/>
          <w:lang w:val="es-ES_tradnl" w:eastAsia="en-GB"/>
        </w:rPr>
        <w:t xml:space="preserve"> en el Registro Nacional de Obras Civiles Inconclusas, puede suceder que la entidad no cuente con toda la información requerida y por ende, no podría efectuar el registro de la información señalada en dicho artículo. Para esta situación, la Dirección de Información, Análisis y Reacción Inmediata de la Contraloría General de la República, en las capacitaciones impartidas, ha indicado que </w:t>
      </w:r>
      <w:r w:rsidRPr="0087187A">
        <w:rPr>
          <w:rFonts w:ascii="Arial" w:hAnsi="Arial" w:cs="Arial"/>
          <w:sz w:val="22"/>
        </w:rPr>
        <w:t>«</w:t>
      </w:r>
      <w:r w:rsidRPr="0087187A">
        <w:rPr>
          <w:rFonts w:ascii="Arial" w:hAnsi="Arial" w:eastAsia="Calibri" w:cs="Arial"/>
          <w:color w:val="000000"/>
          <w:sz w:val="22"/>
          <w:lang w:val="es-ES_tradnl" w:eastAsia="en-GB"/>
        </w:rPr>
        <w:t>si se trata de un campo numérico y no se tenga información que reportar se coloca 0 y cuando sea un campo alfanumérico se coloca no aplica</w:t>
      </w:r>
      <w:r w:rsidRPr="0087187A">
        <w:rPr>
          <w:rFonts w:ascii="Arial" w:hAnsi="Arial" w:cs="Arial"/>
          <w:sz w:val="22"/>
        </w:rPr>
        <w:t>»</w:t>
      </w:r>
      <w:r w:rsidRPr="0087187A">
        <w:rPr>
          <w:rStyle w:val="Refdenotaalpie"/>
          <w:rFonts w:ascii="Arial" w:hAnsi="Arial" w:eastAsia="Calibri" w:cs="Arial"/>
          <w:color w:val="000000"/>
          <w:sz w:val="22"/>
          <w:lang w:val="es-ES_tradnl" w:eastAsia="en-GB"/>
        </w:rPr>
        <w:footnoteReference w:id="8"/>
      </w:r>
      <w:r w:rsidRPr="0087187A">
        <w:rPr>
          <w:rFonts w:ascii="Arial" w:hAnsi="Arial" w:eastAsia="Calibri" w:cs="Arial"/>
          <w:color w:val="000000"/>
          <w:sz w:val="22"/>
          <w:lang w:val="es-ES_tradnl" w:eastAsia="en-GB"/>
        </w:rPr>
        <w:t xml:space="preserve">. Esta ilustración nos muestra que en el Registro Nacional de Obras Civiles Inconclusas no necesariamente se encontrará toda la información que dé cuenta del cumplimiento o el incumplimiento del contratista. </w:t>
      </w:r>
    </w:p>
    <w:p w:rsidRPr="0087187A" w:rsidR="000A0B9B" w:rsidP="007839FB" w:rsidRDefault="00ED2827" w14:paraId="0ABFE4D2" w14:textId="67132B48">
      <w:pPr>
        <w:spacing w:before="120" w:line="276" w:lineRule="auto"/>
        <w:ind w:firstLine="709"/>
        <w:jc w:val="both"/>
        <w:rPr>
          <w:rFonts w:ascii="Arial" w:hAnsi="Arial" w:cs="Arial"/>
          <w:sz w:val="22"/>
        </w:rPr>
      </w:pPr>
      <w:r w:rsidRPr="0087187A">
        <w:rPr>
          <w:rFonts w:ascii="Arial" w:hAnsi="Arial" w:eastAsia="Calibri" w:cs="Arial"/>
          <w:color w:val="000000"/>
          <w:sz w:val="22"/>
          <w:lang w:val="es-ES_tradnl" w:eastAsia="en-GB"/>
        </w:rPr>
        <w:t xml:space="preserve">Por tanto, la sola inclusión en el Registro Nacional de Obras Civiles Inconclusas no puede entenderse suficiente para descontar el punto de la sumatoria obtenida de los factores de calidad. </w:t>
      </w:r>
      <w:r w:rsidRPr="0087187A">
        <w:rPr>
          <w:rFonts w:ascii="Arial" w:hAnsi="Arial" w:cs="Arial"/>
          <w:sz w:val="22"/>
        </w:rPr>
        <w:t xml:space="preserve">De todas formas, si en el informe de evaluación que realiza la entidad se produce la reducción del punto del factor de calidad bajo el único argumento de encontrarse en dicho Registro, sin efectuar un análisis previo de las anotaciones, el proponente, con fundamento en la interpretación de las normas, podrá formular la observación respectiva. En caso de que se presente alguna inconformidad en relación con la información reportada en el Registro por la entidad contratante, el artículo 6 de la Ley 2020 de 2020 dispuso que tal controversia o solicitud será resuelta por la entidad contratante que suministró dicha información. </w:t>
      </w:r>
      <w:bookmarkEnd w:id="5"/>
    </w:p>
    <w:p w:rsidRPr="0087187A" w:rsidR="008D6676" w:rsidP="00FE2C86" w:rsidRDefault="006F48D1" w14:paraId="34F2C4B2" w14:textId="20F49474">
      <w:pPr>
        <w:spacing w:before="120" w:line="276" w:lineRule="auto"/>
        <w:ind w:firstLine="709"/>
        <w:jc w:val="both"/>
        <w:rPr>
          <w:rFonts w:ascii="Arial" w:hAnsi="Arial" w:cs="Arial"/>
          <w:sz w:val="22"/>
        </w:rPr>
      </w:pPr>
      <w:r w:rsidRPr="0087187A">
        <w:rPr>
          <w:rFonts w:ascii="Arial" w:hAnsi="Arial" w:cs="Arial"/>
          <w:sz w:val="22"/>
        </w:rPr>
        <w:t>Ahora bien</w:t>
      </w:r>
      <w:r w:rsidRPr="0087187A" w:rsidR="00EE53DD">
        <w:rPr>
          <w:rFonts w:ascii="Arial" w:hAnsi="Arial" w:cs="Arial"/>
          <w:sz w:val="22"/>
        </w:rPr>
        <w:t>, en relación con el supuesto de la</w:t>
      </w:r>
      <w:r w:rsidRPr="0087187A" w:rsidR="004A15DE">
        <w:rPr>
          <w:rFonts w:ascii="Arial" w:hAnsi="Arial" w:cs="Arial"/>
          <w:sz w:val="22"/>
        </w:rPr>
        <w:t xml:space="preserve"> segunda</w:t>
      </w:r>
      <w:r w:rsidRPr="0087187A" w:rsidR="00EE53DD">
        <w:rPr>
          <w:rFonts w:ascii="Arial" w:hAnsi="Arial" w:cs="Arial"/>
          <w:sz w:val="22"/>
        </w:rPr>
        <w:t xml:space="preserve"> consulta, es preciso aclarar que </w:t>
      </w:r>
      <w:r w:rsidRPr="0087187A" w:rsidR="00AD14D7">
        <w:rPr>
          <w:rFonts w:ascii="Arial" w:hAnsi="Arial" w:cs="Arial"/>
          <w:sz w:val="22"/>
        </w:rPr>
        <w:t xml:space="preserve">el </w:t>
      </w:r>
      <w:r w:rsidRPr="0087187A" w:rsidR="00EE53DD">
        <w:rPr>
          <w:rFonts w:ascii="Arial" w:hAnsi="Arial" w:cs="Arial"/>
          <w:sz w:val="22"/>
        </w:rPr>
        <w:t>artículo 6 de la Ley 2020 de 2020</w:t>
      </w:r>
      <w:r w:rsidRPr="0087187A" w:rsidR="001742D5">
        <w:rPr>
          <w:rFonts w:ascii="Arial" w:hAnsi="Arial" w:cs="Arial"/>
          <w:sz w:val="22"/>
        </w:rPr>
        <w:t xml:space="preserve"> hace referencia </w:t>
      </w:r>
      <w:r w:rsidRPr="0087187A" w:rsidR="00AD14D7">
        <w:rPr>
          <w:rFonts w:ascii="Arial" w:hAnsi="Arial" w:cs="Arial"/>
          <w:sz w:val="22"/>
        </w:rPr>
        <w:t xml:space="preserve">al </w:t>
      </w:r>
      <w:r w:rsidRPr="0087187A" w:rsidR="001742D5">
        <w:rPr>
          <w:rFonts w:ascii="Arial" w:hAnsi="Arial" w:cs="Arial"/>
          <w:sz w:val="22"/>
        </w:rPr>
        <w:t>deber de consultar las anotaciones vigentes que presenten las personas naturales o jurídicas, nacionales o extranjeras domiciliadas o con sucursal en Colombia</w:t>
      </w:r>
      <w:r w:rsidRPr="0087187A" w:rsidR="0028090F">
        <w:rPr>
          <w:rFonts w:ascii="Arial" w:hAnsi="Arial" w:cs="Arial"/>
          <w:sz w:val="22"/>
        </w:rPr>
        <w:t xml:space="preserve">. </w:t>
      </w:r>
      <w:r w:rsidRPr="0087187A" w:rsidR="00B609D7">
        <w:rPr>
          <w:rFonts w:ascii="Arial" w:hAnsi="Arial" w:cs="Arial"/>
          <w:sz w:val="22"/>
        </w:rPr>
        <w:t>E</w:t>
      </w:r>
      <w:r w:rsidRPr="0087187A" w:rsidR="0028090F">
        <w:rPr>
          <w:rFonts w:ascii="Arial" w:hAnsi="Arial" w:cs="Arial"/>
          <w:sz w:val="22"/>
        </w:rPr>
        <w:t>st</w:t>
      </w:r>
      <w:r w:rsidRPr="0087187A" w:rsidR="009D6542">
        <w:rPr>
          <w:rFonts w:ascii="Arial" w:hAnsi="Arial" w:cs="Arial"/>
          <w:sz w:val="22"/>
        </w:rPr>
        <w:t>á disposici</w:t>
      </w:r>
      <w:r w:rsidRPr="0087187A" w:rsidR="00B609D7">
        <w:rPr>
          <w:rFonts w:ascii="Arial" w:hAnsi="Arial" w:cs="Arial"/>
          <w:sz w:val="22"/>
        </w:rPr>
        <w:t xml:space="preserve">ón no </w:t>
      </w:r>
      <w:r w:rsidRPr="0087187A" w:rsidR="009D6542">
        <w:rPr>
          <w:rFonts w:ascii="Arial" w:hAnsi="Arial" w:cs="Arial"/>
          <w:sz w:val="22"/>
        </w:rPr>
        <w:t xml:space="preserve">alude a la posibilidad de </w:t>
      </w:r>
      <w:r w:rsidRPr="0087187A" w:rsidR="00B4093F">
        <w:rPr>
          <w:rFonts w:ascii="Arial" w:hAnsi="Arial" w:cs="Arial"/>
          <w:sz w:val="22"/>
        </w:rPr>
        <w:t xml:space="preserve">afectar la evaluación </w:t>
      </w:r>
      <w:r w:rsidRPr="0087187A" w:rsidR="00FE2C86">
        <w:rPr>
          <w:rFonts w:ascii="Arial" w:hAnsi="Arial" w:cs="Arial"/>
          <w:sz w:val="22"/>
        </w:rPr>
        <w:t xml:space="preserve">de un proponente en atención a las anotaciones </w:t>
      </w:r>
      <w:r w:rsidRPr="0087187A" w:rsidR="00B4093F">
        <w:rPr>
          <w:rFonts w:ascii="Arial" w:hAnsi="Arial" w:cs="Arial"/>
          <w:sz w:val="22"/>
        </w:rPr>
        <w:t xml:space="preserve">de </w:t>
      </w:r>
      <w:r w:rsidRPr="0087187A" w:rsidR="00FE2C86">
        <w:rPr>
          <w:rFonts w:ascii="Arial" w:hAnsi="Arial" w:cs="Arial"/>
          <w:sz w:val="22"/>
        </w:rPr>
        <w:t>sus</w:t>
      </w:r>
      <w:r w:rsidRPr="0087187A" w:rsidR="00B4093F">
        <w:rPr>
          <w:rFonts w:ascii="Arial" w:hAnsi="Arial" w:cs="Arial"/>
          <w:sz w:val="22"/>
        </w:rPr>
        <w:t xml:space="preserve"> accionistas o socios</w:t>
      </w:r>
      <w:r w:rsidRPr="0087187A" w:rsidR="002A758B">
        <w:rPr>
          <w:rFonts w:ascii="Arial" w:hAnsi="Arial" w:cs="Arial"/>
          <w:sz w:val="22"/>
        </w:rPr>
        <w:t>.</w:t>
      </w:r>
      <w:r w:rsidRPr="0087187A" w:rsidR="00722D63">
        <w:rPr>
          <w:rFonts w:ascii="Arial" w:hAnsi="Arial" w:cs="Arial"/>
          <w:sz w:val="22"/>
        </w:rPr>
        <w:t xml:space="preserve"> </w:t>
      </w:r>
      <w:r w:rsidRPr="0087187A" w:rsidR="002A758B">
        <w:rPr>
          <w:rFonts w:ascii="Arial" w:hAnsi="Arial" w:cs="Arial"/>
          <w:sz w:val="22"/>
        </w:rPr>
        <w:t>E</w:t>
      </w:r>
      <w:r w:rsidRPr="0087187A" w:rsidR="00722D63">
        <w:rPr>
          <w:rFonts w:ascii="Arial" w:hAnsi="Arial" w:cs="Arial"/>
          <w:sz w:val="22"/>
        </w:rPr>
        <w:t xml:space="preserve">l inciso segundo del artículo 6, </w:t>
      </w:r>
      <w:r w:rsidRPr="0087187A" w:rsidR="002A758B">
        <w:rPr>
          <w:rFonts w:ascii="Arial" w:hAnsi="Arial" w:cs="Arial"/>
          <w:sz w:val="22"/>
        </w:rPr>
        <w:t xml:space="preserve">tampoco </w:t>
      </w:r>
      <w:r w:rsidRPr="0087187A" w:rsidR="00123BC3">
        <w:rPr>
          <w:rFonts w:ascii="Arial" w:hAnsi="Arial" w:cs="Arial"/>
          <w:sz w:val="22"/>
        </w:rPr>
        <w:t>regula</w:t>
      </w:r>
      <w:r w:rsidRPr="0087187A" w:rsidR="002A758B">
        <w:rPr>
          <w:rFonts w:ascii="Arial" w:hAnsi="Arial" w:cs="Arial"/>
          <w:sz w:val="22"/>
        </w:rPr>
        <w:t xml:space="preserve"> </w:t>
      </w:r>
      <w:r w:rsidRPr="0087187A" w:rsidR="00722D63">
        <w:rPr>
          <w:rFonts w:ascii="Arial" w:hAnsi="Arial" w:cs="Arial"/>
          <w:sz w:val="22"/>
        </w:rPr>
        <w:t xml:space="preserve">la posibilidad de afectar la ponderación </w:t>
      </w:r>
      <w:r w:rsidRPr="0087187A" w:rsidR="002A758B">
        <w:rPr>
          <w:rFonts w:ascii="Arial" w:hAnsi="Arial" w:cs="Arial"/>
          <w:sz w:val="22"/>
        </w:rPr>
        <w:t xml:space="preserve">por las anotaciones de los socios de la persona jurídica que </w:t>
      </w:r>
      <w:r w:rsidRPr="0087187A" w:rsidR="00123BC3">
        <w:rPr>
          <w:rFonts w:ascii="Arial" w:hAnsi="Arial" w:cs="Arial"/>
          <w:sz w:val="22"/>
        </w:rPr>
        <w:t>participa en calidad de</w:t>
      </w:r>
      <w:r w:rsidRPr="0087187A" w:rsidR="002A758B">
        <w:rPr>
          <w:rFonts w:ascii="Arial" w:hAnsi="Arial" w:cs="Arial"/>
          <w:sz w:val="22"/>
        </w:rPr>
        <w:t xml:space="preserve"> proponente</w:t>
      </w:r>
      <w:r w:rsidRPr="0087187A" w:rsidR="000B199F">
        <w:rPr>
          <w:rFonts w:ascii="Arial" w:hAnsi="Arial" w:cs="Arial"/>
          <w:sz w:val="22"/>
        </w:rPr>
        <w:t>.</w:t>
      </w:r>
      <w:r w:rsidRPr="0087187A" w:rsidR="002A758B">
        <w:rPr>
          <w:rFonts w:ascii="Arial" w:hAnsi="Arial" w:cs="Arial"/>
          <w:sz w:val="22"/>
        </w:rPr>
        <w:t xml:space="preserve"> </w:t>
      </w:r>
    </w:p>
    <w:p w:rsidRPr="0087187A" w:rsidR="0000503C" w:rsidRDefault="00611F98" w14:paraId="0189ADAC" w14:textId="6E0E640C">
      <w:pPr>
        <w:spacing w:before="120" w:line="276" w:lineRule="auto"/>
        <w:ind w:firstLine="709"/>
        <w:jc w:val="both"/>
        <w:rPr>
          <w:rFonts w:ascii="Arial" w:hAnsi="Arial" w:cs="Arial"/>
          <w:sz w:val="22"/>
        </w:rPr>
      </w:pPr>
      <w:r w:rsidRPr="0087187A">
        <w:rPr>
          <w:rFonts w:ascii="Arial" w:hAnsi="Arial" w:cs="Arial"/>
          <w:sz w:val="22"/>
        </w:rPr>
        <w:t>La</w:t>
      </w:r>
      <w:r w:rsidRPr="0087187A" w:rsidR="00C47F38">
        <w:rPr>
          <w:rFonts w:ascii="Arial" w:hAnsi="Arial" w:cs="Arial"/>
          <w:sz w:val="22"/>
        </w:rPr>
        <w:t xml:space="preserve"> posibilidad </w:t>
      </w:r>
      <w:r w:rsidRPr="0087187A">
        <w:rPr>
          <w:rFonts w:ascii="Arial" w:hAnsi="Arial" w:cs="Arial"/>
          <w:sz w:val="22"/>
        </w:rPr>
        <w:t>de restar puntaje por anotaciones vigente</w:t>
      </w:r>
      <w:r w:rsidRPr="0087187A" w:rsidR="00F34CED">
        <w:rPr>
          <w:rFonts w:ascii="Arial" w:hAnsi="Arial" w:cs="Arial"/>
          <w:sz w:val="22"/>
        </w:rPr>
        <w:t>s</w:t>
      </w:r>
      <w:r w:rsidRPr="0087187A">
        <w:rPr>
          <w:rFonts w:ascii="Arial" w:hAnsi="Arial" w:cs="Arial"/>
          <w:sz w:val="22"/>
        </w:rPr>
        <w:t xml:space="preserve"> respecto de los socios</w:t>
      </w:r>
      <w:r w:rsidRPr="0087187A" w:rsidR="00F34CED">
        <w:rPr>
          <w:rFonts w:ascii="Arial" w:hAnsi="Arial" w:cs="Arial"/>
          <w:sz w:val="22"/>
        </w:rPr>
        <w:t xml:space="preserve"> de una persona jurídica </w:t>
      </w:r>
      <w:r w:rsidRPr="0087187A" w:rsidR="00C47F38">
        <w:rPr>
          <w:rFonts w:ascii="Arial" w:hAnsi="Arial" w:cs="Arial"/>
          <w:sz w:val="22"/>
        </w:rPr>
        <w:t>tampoco se desprende del numeral 4.2 del documento base</w:t>
      </w:r>
      <w:r w:rsidRPr="0087187A" w:rsidR="00395367">
        <w:rPr>
          <w:rFonts w:ascii="Arial" w:hAnsi="Arial" w:cs="Arial"/>
          <w:sz w:val="22"/>
        </w:rPr>
        <w:t xml:space="preserve"> citado </w:t>
      </w:r>
      <w:r w:rsidRPr="0087187A" w:rsidR="004D0CE5">
        <w:rPr>
          <w:rFonts w:ascii="Arial" w:hAnsi="Arial" w:cs="Arial"/>
          <w:i/>
          <w:iCs/>
          <w:sz w:val="22"/>
        </w:rPr>
        <w:t>ut supra</w:t>
      </w:r>
      <w:r w:rsidRPr="0087187A" w:rsidR="00C47F38">
        <w:rPr>
          <w:rFonts w:ascii="Arial" w:hAnsi="Arial" w:cs="Arial"/>
          <w:sz w:val="22"/>
        </w:rPr>
        <w:t xml:space="preserve">, que parece solo </w:t>
      </w:r>
      <w:r w:rsidRPr="0087187A">
        <w:rPr>
          <w:rFonts w:ascii="Arial" w:hAnsi="Arial" w:cs="Arial"/>
          <w:sz w:val="22"/>
        </w:rPr>
        <w:t xml:space="preserve">hacer referencia </w:t>
      </w:r>
      <w:r w:rsidRPr="0087187A" w:rsidR="00F34CED">
        <w:rPr>
          <w:rFonts w:ascii="Arial" w:hAnsi="Arial" w:cs="Arial"/>
          <w:sz w:val="22"/>
        </w:rPr>
        <w:t xml:space="preserve">a la posibilidad de restar puntaje cuando </w:t>
      </w:r>
      <w:r w:rsidRPr="0087187A" w:rsidR="00C06FCD">
        <w:rPr>
          <w:rFonts w:ascii="Arial" w:hAnsi="Arial" w:cs="Arial"/>
          <w:sz w:val="22"/>
        </w:rPr>
        <w:t xml:space="preserve">la anotación está vigente respecto de la persona natural o jurídica, o de alguno de los miembros del proponente plural. </w:t>
      </w:r>
      <w:r w:rsidRPr="0087187A" w:rsidR="00753D7A">
        <w:rPr>
          <w:rFonts w:ascii="Arial" w:hAnsi="Arial" w:cs="Arial"/>
          <w:sz w:val="22"/>
        </w:rPr>
        <w:t xml:space="preserve"> En ese sentido,</w:t>
      </w:r>
      <w:r w:rsidRPr="0087187A" w:rsidR="00B54DEF">
        <w:rPr>
          <w:rFonts w:ascii="Arial" w:hAnsi="Arial" w:cs="Arial"/>
          <w:sz w:val="22"/>
        </w:rPr>
        <w:t xml:space="preserve"> en principio,</w:t>
      </w:r>
      <w:r w:rsidRPr="0087187A" w:rsidR="00753D7A">
        <w:rPr>
          <w:rFonts w:ascii="Arial" w:hAnsi="Arial" w:cs="Arial"/>
          <w:sz w:val="22"/>
        </w:rPr>
        <w:t xml:space="preserve"> </w:t>
      </w:r>
      <w:r w:rsidRPr="0087187A" w:rsidR="004D0CE5">
        <w:rPr>
          <w:rFonts w:ascii="Arial" w:hAnsi="Arial" w:cs="Arial"/>
          <w:sz w:val="22"/>
        </w:rPr>
        <w:t>considerando que</w:t>
      </w:r>
      <w:r w:rsidRPr="0087187A" w:rsidR="00753D7A">
        <w:rPr>
          <w:rFonts w:ascii="Arial" w:hAnsi="Arial" w:cs="Arial"/>
          <w:sz w:val="22"/>
        </w:rPr>
        <w:t xml:space="preserve"> </w:t>
      </w:r>
      <w:r w:rsidRPr="0087187A" w:rsidR="004D0CE5">
        <w:rPr>
          <w:rFonts w:ascii="Arial" w:hAnsi="Arial" w:cs="Arial"/>
          <w:sz w:val="22"/>
        </w:rPr>
        <w:t>«</w:t>
      </w:r>
      <w:r w:rsidRPr="0087187A" w:rsidR="00753D7A">
        <w:rPr>
          <w:rFonts w:ascii="Arial" w:hAnsi="Arial" w:cs="Arial"/>
          <w:sz w:val="22"/>
        </w:rPr>
        <w:t xml:space="preserve">donde la norma no distingue, no le </w:t>
      </w:r>
      <w:r w:rsidRPr="0087187A" w:rsidR="004D0CE5">
        <w:rPr>
          <w:rFonts w:ascii="Arial" w:hAnsi="Arial" w:cs="Arial"/>
          <w:sz w:val="22"/>
        </w:rPr>
        <w:t>está</w:t>
      </w:r>
      <w:r w:rsidRPr="0087187A" w:rsidR="00753D7A">
        <w:rPr>
          <w:rFonts w:ascii="Arial" w:hAnsi="Arial" w:cs="Arial"/>
          <w:sz w:val="22"/>
        </w:rPr>
        <w:t xml:space="preserve"> dado al </w:t>
      </w:r>
      <w:r w:rsidRPr="0087187A" w:rsidR="00B85967">
        <w:rPr>
          <w:rFonts w:ascii="Arial" w:hAnsi="Arial" w:cs="Arial"/>
          <w:sz w:val="22"/>
        </w:rPr>
        <w:t>interprete</w:t>
      </w:r>
      <w:r w:rsidRPr="0087187A" w:rsidR="00753D7A">
        <w:rPr>
          <w:rFonts w:ascii="Arial" w:hAnsi="Arial" w:cs="Arial"/>
          <w:sz w:val="22"/>
        </w:rPr>
        <w:t xml:space="preserve"> hacerlo</w:t>
      </w:r>
      <w:r w:rsidRPr="0087187A" w:rsidR="004D0CE5">
        <w:rPr>
          <w:rFonts w:ascii="Arial" w:hAnsi="Arial" w:cs="Arial"/>
          <w:sz w:val="22"/>
        </w:rPr>
        <w:t>»</w:t>
      </w:r>
      <w:r w:rsidRPr="0087187A" w:rsidR="00B85967">
        <w:rPr>
          <w:rFonts w:ascii="Arial" w:hAnsi="Arial" w:cs="Arial"/>
          <w:sz w:val="22"/>
        </w:rPr>
        <w:t>, no resultaría valido e</w:t>
      </w:r>
      <w:r w:rsidRPr="0087187A" w:rsidR="004E14D2">
        <w:rPr>
          <w:rFonts w:ascii="Arial" w:hAnsi="Arial" w:cs="Arial"/>
          <w:sz w:val="22"/>
        </w:rPr>
        <w:t>xtender los efectos de una anotación hecha en el mencionado registro a una persona natural</w:t>
      </w:r>
      <w:r w:rsidRPr="0087187A" w:rsidR="0075631C">
        <w:rPr>
          <w:rFonts w:ascii="Arial" w:hAnsi="Arial" w:cs="Arial"/>
          <w:sz w:val="22"/>
        </w:rPr>
        <w:t xml:space="preserve">, a las sociedades de las cuales esta fuera socio, máxime </w:t>
      </w:r>
      <w:r w:rsidRPr="0087187A" w:rsidR="004D0CE5">
        <w:rPr>
          <w:rFonts w:ascii="Arial" w:hAnsi="Arial" w:cs="Arial"/>
          <w:sz w:val="22"/>
        </w:rPr>
        <w:t>cuando</w:t>
      </w:r>
      <w:r w:rsidRPr="0087187A" w:rsidR="0075631C">
        <w:rPr>
          <w:rFonts w:ascii="Arial" w:hAnsi="Arial" w:cs="Arial"/>
          <w:sz w:val="22"/>
        </w:rPr>
        <w:t xml:space="preserve"> </w:t>
      </w:r>
      <w:r w:rsidRPr="0087187A" w:rsidR="00031284">
        <w:rPr>
          <w:rFonts w:ascii="Arial" w:hAnsi="Arial" w:cs="Arial"/>
          <w:sz w:val="22"/>
        </w:rPr>
        <w:t>la sociedad constituye una persona jurídica distinta de sus socios</w:t>
      </w:r>
      <w:r w:rsidRPr="0087187A" w:rsidR="0010121B">
        <w:rPr>
          <w:rStyle w:val="Refdenotaalpie"/>
          <w:rFonts w:ascii="Arial" w:hAnsi="Arial" w:cs="Arial"/>
          <w:sz w:val="22"/>
        </w:rPr>
        <w:footnoteReference w:id="9"/>
      </w:r>
      <w:r w:rsidRPr="0087187A" w:rsidR="0010121B">
        <w:rPr>
          <w:rFonts w:ascii="Arial" w:hAnsi="Arial" w:cs="Arial"/>
          <w:sz w:val="22"/>
        </w:rPr>
        <w:t>, y que estos no necesariamente participan de la gestión de la sociedad o de la ejecución del objeto social de la misma</w:t>
      </w:r>
      <w:r w:rsidRPr="0087187A" w:rsidR="00C47E5B">
        <w:rPr>
          <w:rFonts w:ascii="Arial" w:hAnsi="Arial" w:cs="Arial"/>
          <w:sz w:val="22"/>
        </w:rPr>
        <w:t xml:space="preserve">. </w:t>
      </w:r>
      <w:r w:rsidRPr="0087187A" w:rsidR="00D77113">
        <w:rPr>
          <w:rFonts w:ascii="Arial" w:hAnsi="Arial" w:cs="Arial"/>
          <w:sz w:val="22"/>
        </w:rPr>
        <w:t xml:space="preserve"> </w:t>
      </w:r>
    </w:p>
    <w:p w:rsidRPr="0087187A" w:rsidR="007839FB" w:rsidP="00182369" w:rsidRDefault="007839FB" w14:paraId="16AE71DB" w14:textId="61EFF9AF">
      <w:pPr>
        <w:ind w:firstLine="709"/>
        <w:jc w:val="both"/>
        <w:rPr>
          <w:rFonts w:ascii="Arial" w:hAnsi="Arial" w:cs="Arial"/>
          <w:sz w:val="22"/>
        </w:rPr>
      </w:pPr>
    </w:p>
    <w:p w:rsidRPr="0087187A" w:rsidR="000A0B9B" w:rsidP="00713D09" w:rsidRDefault="00305947" w14:paraId="1412A4A9" w14:textId="1C3A3271">
      <w:pPr>
        <w:pStyle w:val="Prrafodelista"/>
        <w:numPr>
          <w:ilvl w:val="0"/>
          <w:numId w:val="26"/>
        </w:numPr>
        <w:spacing w:line="276" w:lineRule="auto"/>
        <w:jc w:val="both"/>
        <w:rPr>
          <w:rFonts w:ascii="Arial" w:hAnsi="Arial" w:eastAsia="Calibri" w:cs="Arial"/>
          <w:b/>
          <w:sz w:val="22"/>
        </w:rPr>
      </w:pPr>
      <w:r w:rsidRPr="0087187A">
        <w:rPr>
          <w:rFonts w:ascii="Arial" w:hAnsi="Arial" w:eastAsia="Calibri" w:cs="Arial"/>
          <w:b/>
          <w:sz w:val="22"/>
        </w:rPr>
        <w:t>Respuesta</w:t>
      </w:r>
    </w:p>
    <w:p w:rsidRPr="0087187A" w:rsidR="00B228BD" w:rsidRDefault="00B228BD" w14:paraId="18658839" w14:textId="453EB2EA">
      <w:pPr>
        <w:ind w:right="709"/>
        <w:jc w:val="both"/>
        <w:rPr>
          <w:rFonts w:ascii="Arial" w:hAnsi="Arial" w:eastAsia="Calibri" w:cs="Arial"/>
          <w:sz w:val="21"/>
          <w:szCs w:val="21"/>
        </w:rPr>
      </w:pPr>
    </w:p>
    <w:p w:rsidRPr="0087187A" w:rsidR="000A0B9B" w:rsidP="00ED6E18" w:rsidRDefault="00B228BD" w14:paraId="73C21807" w14:textId="19326CA7">
      <w:pPr>
        <w:tabs>
          <w:tab w:val="left" w:pos="426"/>
        </w:tabs>
        <w:ind w:left="709" w:right="709"/>
        <w:jc w:val="both"/>
        <w:rPr>
          <w:rFonts w:ascii="Arial" w:hAnsi="Arial" w:eastAsia="Calibri" w:cs="Arial"/>
          <w:sz w:val="21"/>
          <w:szCs w:val="21"/>
        </w:rPr>
      </w:pPr>
      <w:r w:rsidRPr="0087187A">
        <w:rPr>
          <w:rFonts w:ascii="Arial" w:hAnsi="Arial" w:eastAsia="Calibri" w:cs="Arial"/>
          <w:sz w:val="21"/>
          <w:szCs w:val="21"/>
        </w:rPr>
        <w:t>«</w:t>
      </w:r>
      <w:r w:rsidRPr="0087187A" w:rsidR="0096389D">
        <w:rPr>
          <w:rFonts w:ascii="Arial" w:hAnsi="Arial" w:eastAsia="Calibri" w:cs="Arial"/>
          <w:sz w:val="21"/>
          <w:szCs w:val="21"/>
        </w:rPr>
        <w:t>Respecto de esa situación solicitamos se aclare si la entidad podrá exigir las actividades representativas de forma idéntica en sus condiciones técnicas o serán válidas también estas actividades representativas en condiciones técnicas similares. A modo de ejemplo, si la actividad principal de una obra es la instalación de una válvula mariposa de 2”, la entidad requiere a modo de experiencia especifica acreditar en un contrato el 70% de esta actividad. ¿Puede un oferente presentar válvulas mariposa de mayor diámetro o en materiales diferentes al solicitado, o por el contrario solo será válido la experiencia que demuestre esta actividad idéntica?»</w:t>
      </w:r>
    </w:p>
    <w:p w:rsidRPr="0087187A" w:rsidR="00ED6E18" w:rsidP="00182369" w:rsidRDefault="00ED6E18" w14:paraId="2D7E1502" w14:textId="77777777">
      <w:pPr>
        <w:tabs>
          <w:tab w:val="left" w:pos="426"/>
        </w:tabs>
        <w:ind w:left="709" w:right="709"/>
        <w:jc w:val="both"/>
        <w:rPr>
          <w:rFonts w:ascii="Arial" w:hAnsi="Arial" w:eastAsia="Calibri" w:cs="Arial"/>
          <w:sz w:val="21"/>
          <w:szCs w:val="21"/>
        </w:rPr>
      </w:pPr>
    </w:p>
    <w:p w:rsidRPr="0087187A" w:rsidR="00CD623D" w:rsidP="00182369" w:rsidRDefault="00456570" w14:paraId="5A9DF92A" w14:textId="4C1B1A5C">
      <w:pPr>
        <w:spacing w:after="120" w:line="276" w:lineRule="auto"/>
        <w:ind w:right="51"/>
        <w:jc w:val="both"/>
        <w:rPr>
          <w:rFonts w:ascii="Arial" w:hAnsi="Arial" w:eastAsia="Calibri" w:cs="Arial"/>
          <w:sz w:val="22"/>
          <w:szCs w:val="22"/>
          <w:lang w:val="es-MX"/>
        </w:rPr>
      </w:pPr>
      <w:r w:rsidRPr="0087187A">
        <w:rPr>
          <w:rFonts w:ascii="Arial" w:hAnsi="Arial" w:eastAsia="Calibri" w:cs="Arial"/>
          <w:sz w:val="22"/>
        </w:rPr>
        <w:tab/>
      </w:r>
      <w:r w:rsidRPr="0087187A" w:rsidR="00CD623D">
        <w:rPr>
          <w:rFonts w:ascii="Arial" w:hAnsi="Arial" w:eastAsia="Calibri" w:cs="Arial"/>
          <w:sz w:val="22"/>
          <w:szCs w:val="22"/>
          <w:lang w:val="es-MX"/>
        </w:rPr>
        <w:t>Es importante señalar que en la «Matriz 1 – Experiencia» prevé que el oferente acreditará como experiencia específica que: «Por lo menos uno (1) de los contratos válidos aportados como experiencia general debe corresponder mínimo al 70% en las cantidades de obra más representativa a las referidas en el presente proceso de contratación […]», las cuales corresponden a: «Actividades de intervención o instalación de: redes hidrosanitarias; y/o acueductos y/o alcantarillados, según sea el caso».</w:t>
      </w:r>
    </w:p>
    <w:p w:rsidRPr="0087187A" w:rsidR="00C6457F" w:rsidP="00AA6CBB" w:rsidRDefault="00CD623D" w14:paraId="4EA88B85" w14:textId="49C2EBFB">
      <w:pPr>
        <w:spacing w:before="120" w:after="120" w:line="276" w:lineRule="auto"/>
        <w:ind w:right="51"/>
        <w:jc w:val="both"/>
        <w:rPr>
          <w:rFonts w:ascii="Arial" w:hAnsi="Arial" w:eastAsia="Calibri" w:cs="Arial"/>
          <w:sz w:val="22"/>
          <w:szCs w:val="22"/>
          <w:lang w:val="es-ES"/>
        </w:rPr>
      </w:pPr>
      <w:r w:rsidRPr="0087187A">
        <w:rPr>
          <w:rFonts w:ascii="Arial" w:hAnsi="Arial" w:eastAsia="Calibri" w:cs="Arial"/>
          <w:sz w:val="22"/>
          <w:szCs w:val="22"/>
          <w:lang w:val="es-MX"/>
        </w:rPr>
        <w:tab/>
      </w:r>
      <w:r w:rsidRPr="0087187A">
        <w:rPr>
          <w:rFonts w:ascii="Arial" w:hAnsi="Arial" w:eastAsia="Calibri" w:cs="Arial"/>
          <w:sz w:val="22"/>
          <w:szCs w:val="22"/>
        </w:rPr>
        <w:t>De este modo, las entidades definirán las actividades representativas de acuerdo con el listado definido en la «Matriz 1 – Experiencia», estas son: i) las actividades de intervención o instalación de redes hidrosanitarias, ii) actividades de intervención o instalación de acueductos o, iii) actividades de intervención o instalación de alcantarillado</w:t>
      </w:r>
      <w:r w:rsidRPr="0087187A" w:rsidR="00ED6E18">
        <w:rPr>
          <w:rFonts w:ascii="Arial" w:hAnsi="Arial" w:eastAsia="Calibri" w:cs="Arial"/>
          <w:sz w:val="22"/>
          <w:szCs w:val="22"/>
        </w:rPr>
        <w:t>.</w:t>
      </w:r>
      <w:r w:rsidRPr="0087187A">
        <w:rPr>
          <w:rFonts w:ascii="Arial" w:hAnsi="Arial" w:eastAsia="Calibri" w:cs="Arial"/>
          <w:sz w:val="22"/>
          <w:szCs w:val="22"/>
        </w:rPr>
        <w:t xml:space="preserve"> </w:t>
      </w:r>
      <w:r w:rsidRPr="0087187A" w:rsidR="00ED6E18">
        <w:rPr>
          <w:rFonts w:ascii="Arial" w:hAnsi="Arial" w:eastAsia="Calibri" w:cs="Arial"/>
          <w:sz w:val="22"/>
          <w:szCs w:val="22"/>
        </w:rPr>
        <w:t>L</w:t>
      </w:r>
      <w:r w:rsidRPr="0087187A" w:rsidR="00242488">
        <w:rPr>
          <w:rFonts w:ascii="Arial" w:hAnsi="Arial" w:eastAsia="Calibri" w:cs="Arial"/>
          <w:sz w:val="22"/>
          <w:szCs w:val="22"/>
        </w:rPr>
        <w:t>a entidad diligenciará únicamente el espacio en</w:t>
      </w:r>
      <w:r w:rsidRPr="0087187A" w:rsidR="00ED6E18">
        <w:rPr>
          <w:rFonts w:ascii="Arial" w:hAnsi="Arial" w:eastAsia="Calibri" w:cs="Arial"/>
          <w:sz w:val="22"/>
          <w:szCs w:val="22"/>
        </w:rPr>
        <w:t>tre</w:t>
      </w:r>
      <w:r w:rsidRPr="0087187A" w:rsidR="00242488">
        <w:rPr>
          <w:rFonts w:ascii="Arial" w:hAnsi="Arial" w:eastAsia="Calibri" w:cs="Arial"/>
          <w:sz w:val="22"/>
          <w:szCs w:val="22"/>
        </w:rPr>
        <w:t xml:space="preserve"> corchetes, </w:t>
      </w:r>
      <w:r w:rsidRPr="0087187A" w:rsidR="00016223">
        <w:rPr>
          <w:rFonts w:ascii="Arial" w:hAnsi="Arial" w:eastAsia="Calibri" w:cs="Arial"/>
          <w:sz w:val="22"/>
          <w:szCs w:val="22"/>
        </w:rPr>
        <w:t>indicando</w:t>
      </w:r>
      <w:r w:rsidRPr="0087187A" w:rsidR="00242488">
        <w:rPr>
          <w:rFonts w:ascii="Arial" w:hAnsi="Arial" w:eastAsia="Calibri" w:cs="Arial"/>
          <w:sz w:val="22"/>
          <w:szCs w:val="22"/>
        </w:rPr>
        <w:t xml:space="preserve"> </w:t>
      </w:r>
      <w:r w:rsidRPr="0087187A" w:rsidR="00420FC0">
        <w:rPr>
          <w:rFonts w:ascii="Arial" w:hAnsi="Arial" w:eastAsia="Calibri" w:cs="Arial"/>
          <w:sz w:val="22"/>
          <w:szCs w:val="22"/>
        </w:rPr>
        <w:t>cuál</w:t>
      </w:r>
      <w:r w:rsidRPr="0087187A" w:rsidR="00242488">
        <w:rPr>
          <w:rFonts w:ascii="Arial" w:hAnsi="Arial" w:eastAsia="Calibri" w:cs="Arial"/>
          <w:sz w:val="22"/>
          <w:szCs w:val="22"/>
        </w:rPr>
        <w:t xml:space="preserve"> o </w:t>
      </w:r>
      <w:r w:rsidRPr="0087187A" w:rsidR="00D53EB9">
        <w:rPr>
          <w:rFonts w:ascii="Arial" w:hAnsi="Arial" w:eastAsia="Calibri" w:cs="Arial"/>
          <w:sz w:val="22"/>
          <w:szCs w:val="22"/>
        </w:rPr>
        <w:t>cuáles</w:t>
      </w:r>
      <w:r w:rsidRPr="0087187A" w:rsidR="00242488">
        <w:rPr>
          <w:rFonts w:ascii="Arial" w:hAnsi="Arial" w:eastAsia="Calibri" w:cs="Arial"/>
          <w:sz w:val="22"/>
          <w:szCs w:val="22"/>
        </w:rPr>
        <w:t xml:space="preserve"> será</w:t>
      </w:r>
      <w:r w:rsidRPr="0087187A" w:rsidR="00D53EB9">
        <w:rPr>
          <w:rFonts w:ascii="Arial" w:hAnsi="Arial" w:eastAsia="Calibri" w:cs="Arial"/>
          <w:sz w:val="22"/>
          <w:szCs w:val="22"/>
        </w:rPr>
        <w:t>n las actividades principales tenidas en cuenta para efect</w:t>
      </w:r>
      <w:r w:rsidRPr="0087187A" w:rsidR="00016223">
        <w:rPr>
          <w:rFonts w:ascii="Arial" w:hAnsi="Arial" w:eastAsia="Calibri" w:cs="Arial"/>
          <w:sz w:val="22"/>
          <w:szCs w:val="22"/>
        </w:rPr>
        <w:t xml:space="preserve">os de acreditar la experiencia, </w:t>
      </w:r>
      <w:r w:rsidRPr="0087187A" w:rsidR="00925E33">
        <w:rPr>
          <w:rFonts w:ascii="Arial" w:hAnsi="Arial" w:eastAsia="Calibri" w:cs="Arial"/>
          <w:sz w:val="22"/>
          <w:szCs w:val="22"/>
        </w:rPr>
        <w:t xml:space="preserve">luego </w:t>
      </w:r>
      <w:r w:rsidRPr="0087187A" w:rsidR="00D53EB9">
        <w:rPr>
          <w:rFonts w:ascii="Arial" w:hAnsi="Arial" w:eastAsia="Calibri" w:cs="Arial"/>
          <w:sz w:val="22"/>
          <w:szCs w:val="22"/>
        </w:rPr>
        <w:t>no será posible que la entidad solicite</w:t>
      </w:r>
      <w:r w:rsidRPr="0087187A" w:rsidR="001D7AA9">
        <w:rPr>
          <w:rFonts w:ascii="Arial" w:hAnsi="Arial" w:eastAsia="Calibri" w:cs="Arial"/>
          <w:sz w:val="22"/>
          <w:szCs w:val="22"/>
        </w:rPr>
        <w:t xml:space="preserve"> al proponente que acredite como experiencia espec</w:t>
      </w:r>
      <w:r w:rsidRPr="0087187A" w:rsidR="00F836D7">
        <w:rPr>
          <w:rFonts w:ascii="Arial" w:hAnsi="Arial" w:eastAsia="Calibri" w:cs="Arial"/>
          <w:sz w:val="22"/>
          <w:szCs w:val="22"/>
        </w:rPr>
        <w:t>í</w:t>
      </w:r>
      <w:r w:rsidRPr="0087187A" w:rsidR="001D7AA9">
        <w:rPr>
          <w:rFonts w:ascii="Arial" w:hAnsi="Arial" w:eastAsia="Calibri" w:cs="Arial"/>
          <w:sz w:val="22"/>
          <w:szCs w:val="22"/>
        </w:rPr>
        <w:t>f</w:t>
      </w:r>
      <w:r w:rsidRPr="0087187A" w:rsidR="00420FC0">
        <w:rPr>
          <w:rFonts w:ascii="Arial" w:hAnsi="Arial" w:eastAsia="Calibri" w:cs="Arial"/>
          <w:sz w:val="22"/>
          <w:szCs w:val="22"/>
        </w:rPr>
        <w:t>ica otro</w:t>
      </w:r>
      <w:r w:rsidRPr="0087187A" w:rsidR="001D7AA9">
        <w:rPr>
          <w:rFonts w:ascii="Arial" w:hAnsi="Arial" w:eastAsia="Calibri" w:cs="Arial"/>
          <w:sz w:val="22"/>
          <w:szCs w:val="22"/>
        </w:rPr>
        <w:t xml:space="preserve">s </w:t>
      </w:r>
      <w:r w:rsidRPr="0087187A" w:rsidR="00420FC0">
        <w:rPr>
          <w:rFonts w:ascii="Arial" w:hAnsi="Arial" w:eastAsia="Calibri" w:cs="Arial"/>
          <w:sz w:val="22"/>
          <w:szCs w:val="22"/>
        </w:rPr>
        <w:t>aspectos diferentes a los establecido</w:t>
      </w:r>
      <w:r w:rsidRPr="0087187A" w:rsidR="001D7AA9">
        <w:rPr>
          <w:rFonts w:ascii="Arial" w:hAnsi="Arial" w:eastAsia="Calibri" w:cs="Arial"/>
          <w:sz w:val="22"/>
          <w:szCs w:val="22"/>
        </w:rPr>
        <w:t xml:space="preserve">s dentro del marco definido en la </w:t>
      </w:r>
      <w:r w:rsidRPr="0087187A" w:rsidR="00420FC0">
        <w:rPr>
          <w:rFonts w:ascii="Arial" w:hAnsi="Arial" w:eastAsia="Calibri" w:cs="Arial"/>
          <w:sz w:val="22"/>
          <w:szCs w:val="22"/>
        </w:rPr>
        <w:t xml:space="preserve">matriz, esto en virtud del principio de inalterabilidad que rige los documentos tipo. </w:t>
      </w:r>
    </w:p>
    <w:p w:rsidRPr="0087187A" w:rsidR="00DE57B5" w:rsidP="00AA6CBB" w:rsidRDefault="00C6457F" w14:paraId="092EFD9E" w14:textId="4E4A9CB8">
      <w:pPr>
        <w:tabs>
          <w:tab w:val="left" w:pos="426"/>
        </w:tabs>
        <w:spacing w:line="276" w:lineRule="auto"/>
        <w:jc w:val="both"/>
        <w:rPr>
          <w:rFonts w:ascii="Arial" w:hAnsi="Arial" w:eastAsia="Calibri" w:cs="Arial"/>
          <w:sz w:val="22"/>
        </w:rPr>
      </w:pPr>
      <w:r w:rsidRPr="0087187A">
        <w:rPr>
          <w:rFonts w:ascii="Arial" w:hAnsi="Arial" w:eastAsia="Calibri" w:cs="Arial"/>
          <w:sz w:val="22"/>
        </w:rPr>
        <w:tab/>
      </w:r>
      <w:r w:rsidRPr="0087187A" w:rsidR="00D24904">
        <w:rPr>
          <w:rFonts w:ascii="Arial" w:hAnsi="Arial" w:eastAsia="Calibri" w:cs="Arial"/>
          <w:sz w:val="22"/>
        </w:rPr>
        <w:tab/>
      </w:r>
      <w:r w:rsidRPr="0087187A" w:rsidR="00420FC0">
        <w:rPr>
          <w:rFonts w:ascii="Arial" w:hAnsi="Arial" w:eastAsia="Calibri" w:cs="Arial"/>
          <w:sz w:val="22"/>
        </w:rPr>
        <w:t>En consecuencia, la actividad principal definida en la experiencia especifica no cuenta con componentes particularmente definidos, como quiera que la entidad dentro del marco de la discrecionalidad que le otorga el documento tipo, puede establecer la actividad o actividades representativas que de acuerdo a su criterio considere convenientes</w:t>
      </w:r>
      <w:r w:rsidRPr="0087187A" w:rsidR="00C21383">
        <w:rPr>
          <w:rFonts w:ascii="Arial" w:hAnsi="Arial" w:eastAsia="Calibri" w:cs="Arial"/>
          <w:sz w:val="22"/>
        </w:rPr>
        <w:t xml:space="preserve"> de las actividades enlistadas</w:t>
      </w:r>
      <w:r w:rsidRPr="0087187A" w:rsidR="00420FC0">
        <w:rPr>
          <w:rFonts w:ascii="Arial" w:hAnsi="Arial" w:eastAsia="Calibri" w:cs="Arial"/>
          <w:sz w:val="22"/>
        </w:rPr>
        <w:t xml:space="preserve">. </w:t>
      </w:r>
      <w:r w:rsidRPr="0087187A" w:rsidR="00E81BA4">
        <w:rPr>
          <w:rFonts w:ascii="Arial" w:hAnsi="Arial" w:eastAsia="Calibri" w:cs="Arial"/>
          <w:sz w:val="22"/>
        </w:rPr>
        <w:t>No obstante, en la medida en que el requisito de experiencia especifica establecido para la activ</w:t>
      </w:r>
      <w:r w:rsidRPr="0087187A" w:rsidR="00614C6D">
        <w:rPr>
          <w:rFonts w:ascii="Arial" w:hAnsi="Arial" w:eastAsia="Calibri" w:cs="Arial"/>
          <w:sz w:val="22"/>
        </w:rPr>
        <w:t>idad 1.2 no contempla aspectos relacionados al diámetro</w:t>
      </w:r>
      <w:r w:rsidRPr="0087187A" w:rsidR="00714936">
        <w:rPr>
          <w:rFonts w:ascii="Arial" w:hAnsi="Arial" w:eastAsia="Calibri" w:cs="Arial"/>
          <w:sz w:val="22"/>
        </w:rPr>
        <w:t xml:space="preserve">, no hay lugar a tal consideración en el marco de la evaluación de experiencia, la cual tendrá que evaluarse de acuerdo con las cantidades de obra de la actividad representativa establecida por la entidad. </w:t>
      </w:r>
    </w:p>
    <w:p w:rsidRPr="0087187A" w:rsidR="00B05C3C" w:rsidP="00AA6CBB" w:rsidRDefault="00B05C3C" w14:paraId="4FA8BA6B" w14:textId="77777777">
      <w:pPr>
        <w:tabs>
          <w:tab w:val="left" w:pos="426"/>
        </w:tabs>
        <w:jc w:val="both"/>
        <w:rPr>
          <w:rFonts w:ascii="Arial" w:hAnsi="Arial" w:eastAsia="Calibri" w:cs="Arial"/>
          <w:sz w:val="22"/>
        </w:rPr>
      </w:pPr>
    </w:p>
    <w:p w:rsidRPr="0087187A" w:rsidR="00D60217" w:rsidP="00AA6CBB" w:rsidRDefault="00D60217" w14:paraId="0A8F88FE" w14:textId="58D3F998">
      <w:pPr>
        <w:ind w:left="709" w:right="709"/>
        <w:jc w:val="both"/>
        <w:rPr>
          <w:rFonts w:ascii="Arial" w:hAnsi="Arial" w:eastAsia="Calibri" w:cs="Arial"/>
          <w:sz w:val="21"/>
          <w:szCs w:val="21"/>
        </w:rPr>
      </w:pPr>
      <w:r w:rsidRPr="0087187A">
        <w:rPr>
          <w:rFonts w:ascii="Arial" w:hAnsi="Arial" w:eastAsia="Calibri" w:cs="Arial"/>
          <w:sz w:val="22"/>
        </w:rPr>
        <w:t>«</w:t>
      </w:r>
      <w:r w:rsidRPr="0087187A">
        <w:rPr>
          <w:rFonts w:ascii="Arial" w:hAnsi="Arial" w:eastAsia="Calibri" w:cs="Arial"/>
          <w:sz w:val="21"/>
          <w:szCs w:val="21"/>
        </w:rPr>
        <w:t>Referente al descuento del punto por registro de obras inconclusas, qu</w:t>
      </w:r>
      <w:r w:rsidRPr="0087187A" w:rsidR="00A20719">
        <w:rPr>
          <w:rFonts w:ascii="Arial" w:hAnsi="Arial" w:eastAsia="Calibri" w:cs="Arial"/>
          <w:sz w:val="21"/>
          <w:szCs w:val="21"/>
        </w:rPr>
        <w:t>é</w:t>
      </w:r>
      <w:r w:rsidRPr="0087187A">
        <w:rPr>
          <w:rFonts w:ascii="Arial" w:hAnsi="Arial" w:eastAsia="Calibri" w:cs="Arial"/>
          <w:sz w:val="21"/>
          <w:szCs w:val="21"/>
        </w:rPr>
        <w:t xml:space="preserve"> sucede si en una sociedad de capital como lo son las sociedades por acciones simplificadas, uno de los socios de estas sociedades está registrado en el registro de obras inconclusas. ¿Puede la entidad retirar el puntaje aquí establecido</w:t>
      </w:r>
      <w:r w:rsidRPr="0087187A">
        <w:rPr>
          <w:rFonts w:ascii="Arial" w:hAnsi="Arial" w:eastAsia="Calibri" w:cs="Arial"/>
          <w:sz w:val="22"/>
        </w:rPr>
        <w:t>?</w:t>
      </w:r>
      <w:r w:rsidRPr="0087187A">
        <w:rPr>
          <w:rFonts w:ascii="Arial" w:hAnsi="Arial" w:eastAsia="Calibri" w:cs="Arial"/>
          <w:sz w:val="21"/>
          <w:szCs w:val="21"/>
        </w:rPr>
        <w:t>».</w:t>
      </w:r>
    </w:p>
    <w:p w:rsidRPr="0087187A" w:rsidR="002D5268" w:rsidP="00AA6CBB" w:rsidRDefault="002D5268" w14:paraId="571B2425" w14:textId="0481A4BD">
      <w:pPr>
        <w:ind w:left="709" w:right="709"/>
        <w:jc w:val="both"/>
        <w:rPr>
          <w:rFonts w:ascii="Arial" w:hAnsi="Arial" w:eastAsia="Calibri" w:cs="Arial"/>
          <w:sz w:val="21"/>
          <w:szCs w:val="21"/>
        </w:rPr>
      </w:pPr>
    </w:p>
    <w:p w:rsidRPr="0087187A" w:rsidR="004F29EE" w:rsidP="00AA6CBB" w:rsidRDefault="004F29EE" w14:paraId="3A415E0B" w14:textId="77777777">
      <w:pPr>
        <w:spacing w:after="120" w:line="276" w:lineRule="auto"/>
        <w:ind w:firstLine="708"/>
        <w:jc w:val="both"/>
        <w:rPr>
          <w:rFonts w:ascii="Arial" w:hAnsi="Arial" w:cs="Arial"/>
          <w:color w:val="000000" w:themeColor="text1"/>
          <w:sz w:val="22"/>
        </w:rPr>
      </w:pPr>
      <w:r w:rsidRPr="0087187A">
        <w:rPr>
          <w:rFonts w:ascii="Arial" w:hAnsi="Arial" w:cs="Arial"/>
          <w:color w:val="000000" w:themeColor="text1"/>
          <w:sz w:val="22"/>
        </w:rPr>
        <w:t>Conforme al numeral 4.2 «Factor de Calidad» del documento base, las entidades estatales deben consultar y analizar las anotaciones vigentes que reposen en el registro de que trata la Ley 2020 de 2020. Lo anterior significa, que en el evento en que las personas naturales o jurídicas, nacionales o extranjeras domiciliadas o con sucursal en Colombia, o integrantes de proponentes plurales, cuenten con una anotación en dicho registro, le corresponde a la entidad examinar la anotación y determinar si esta se refiere a un incumplimiento del contratista. En tal sentido, dependiendo del supuesto la entidad descontará el punto.</w:t>
      </w:r>
    </w:p>
    <w:p w:rsidRPr="0087187A" w:rsidR="004F29EE" w:rsidP="00AA6CBB" w:rsidRDefault="004F29EE" w14:paraId="7C9989CC" w14:textId="11CBC67D">
      <w:pPr>
        <w:spacing w:after="120" w:line="276" w:lineRule="auto"/>
        <w:ind w:right="51" w:firstLine="709"/>
        <w:jc w:val="both"/>
        <w:rPr>
          <w:rFonts w:ascii="Arial" w:hAnsi="Arial" w:eastAsia="Calibri" w:cs="Arial"/>
          <w:sz w:val="21"/>
          <w:szCs w:val="21"/>
        </w:rPr>
      </w:pPr>
      <w:r w:rsidRPr="0087187A">
        <w:rPr>
          <w:rFonts w:ascii="Arial" w:hAnsi="Arial" w:cs="Arial"/>
          <w:color w:val="000000" w:themeColor="text1"/>
          <w:sz w:val="22"/>
        </w:rPr>
        <w:t>Así, la sola inclusión en el Registro Nacional de Obras Civiles Inconclusas no puede entenderse suficiente para descontar el punto de la sumatoria obtenida de los factores de calidad. En otras palabras, la anotación en el registro no genera automáticamente el descuento del punto, por cuanto la entidad está en la obligación de consultar y analizar la anotación. De todas formas, si en el informe de evaluación que realiza la entidad se produce la reducción del punto del factor de calidad bajo el único argumento de encontrarse en dicho registro, sin efectuar un análisis previo de las anotaciones, el proponente, con fundamento en la interpretación de las normas, podrá formular la observación respectiva</w:t>
      </w:r>
      <w:r w:rsidRPr="0087187A" w:rsidR="006922AA">
        <w:rPr>
          <w:rFonts w:ascii="Arial" w:hAnsi="Arial" w:cs="Arial"/>
          <w:color w:val="000000" w:themeColor="text1"/>
          <w:sz w:val="22"/>
        </w:rPr>
        <w:t>.</w:t>
      </w:r>
    </w:p>
    <w:p w:rsidRPr="0087187A" w:rsidR="00D043F6" w:rsidP="002D5268" w:rsidRDefault="00E36C7F" w14:paraId="76E1408D" w14:textId="0BDCDD91">
      <w:pPr>
        <w:tabs>
          <w:tab w:val="left" w:pos="426"/>
        </w:tabs>
        <w:spacing w:line="276" w:lineRule="auto"/>
        <w:ind w:firstLine="709"/>
        <w:jc w:val="both"/>
        <w:rPr>
          <w:rFonts w:ascii="Arial" w:hAnsi="Arial" w:eastAsia="Calibri" w:cs="Arial"/>
          <w:sz w:val="22"/>
          <w:lang w:val="es-ES"/>
        </w:rPr>
      </w:pPr>
      <w:r w:rsidRPr="0087187A">
        <w:rPr>
          <w:rFonts w:ascii="Arial" w:hAnsi="Arial" w:eastAsia="Calibri" w:cs="Arial"/>
          <w:sz w:val="22"/>
          <w:lang w:val="es-ES"/>
        </w:rPr>
        <w:t>Ahora, como</w:t>
      </w:r>
      <w:r w:rsidRPr="0087187A" w:rsidR="000B199F">
        <w:rPr>
          <w:rFonts w:ascii="Arial" w:hAnsi="Arial" w:eastAsia="Calibri" w:cs="Arial"/>
          <w:sz w:val="22"/>
          <w:lang w:val="es-ES"/>
        </w:rPr>
        <w:t>q</w:t>
      </w:r>
      <w:r w:rsidRPr="0087187A">
        <w:rPr>
          <w:rFonts w:ascii="Arial" w:hAnsi="Arial" w:eastAsia="Calibri" w:cs="Arial"/>
          <w:sz w:val="22"/>
          <w:lang w:val="es-ES"/>
        </w:rPr>
        <w:t xml:space="preserve">uiera que </w:t>
      </w:r>
      <w:r w:rsidRPr="0087187A" w:rsidR="00360FFA">
        <w:rPr>
          <w:rFonts w:ascii="Arial" w:hAnsi="Arial" w:eastAsia="Calibri" w:cs="Arial"/>
          <w:sz w:val="22"/>
          <w:lang w:val="es-ES"/>
        </w:rPr>
        <w:t xml:space="preserve">entre la sociedad </w:t>
      </w:r>
      <w:r w:rsidRPr="0087187A" w:rsidR="00977FDE">
        <w:rPr>
          <w:rFonts w:ascii="Arial" w:hAnsi="Arial" w:eastAsia="Calibri" w:cs="Arial"/>
          <w:sz w:val="22"/>
          <w:lang w:val="es-ES"/>
        </w:rPr>
        <w:t xml:space="preserve">legalmente constituida </w:t>
      </w:r>
      <w:r w:rsidRPr="0087187A" w:rsidR="004D1187">
        <w:rPr>
          <w:rFonts w:ascii="Arial" w:hAnsi="Arial" w:eastAsia="Calibri" w:cs="Arial"/>
          <w:sz w:val="22"/>
          <w:lang w:val="es-ES"/>
        </w:rPr>
        <w:t xml:space="preserve">y </w:t>
      </w:r>
      <w:r w:rsidRPr="0087187A">
        <w:rPr>
          <w:rFonts w:ascii="Arial" w:hAnsi="Arial" w:eastAsia="Calibri" w:cs="Arial"/>
          <w:sz w:val="22"/>
          <w:lang w:val="es-ES"/>
        </w:rPr>
        <w:t xml:space="preserve">los socios </w:t>
      </w:r>
      <w:r w:rsidRPr="0087187A" w:rsidR="00360FFA">
        <w:rPr>
          <w:rFonts w:ascii="Arial" w:hAnsi="Arial" w:eastAsia="Calibri" w:cs="Arial"/>
          <w:sz w:val="22"/>
          <w:lang w:val="es-ES"/>
        </w:rPr>
        <w:t>que la integran existe una separación patrimonial</w:t>
      </w:r>
      <w:r w:rsidRPr="0087187A">
        <w:rPr>
          <w:rFonts w:ascii="Arial" w:hAnsi="Arial" w:eastAsia="Calibri" w:cs="Arial"/>
          <w:sz w:val="22"/>
          <w:lang w:val="es-ES"/>
        </w:rPr>
        <w:t>,</w:t>
      </w:r>
      <w:r w:rsidRPr="0087187A" w:rsidR="00360FFA">
        <w:rPr>
          <w:rFonts w:ascii="Arial" w:hAnsi="Arial" w:eastAsia="Calibri" w:cs="Arial"/>
          <w:sz w:val="22"/>
          <w:lang w:val="es-ES"/>
        </w:rPr>
        <w:t xml:space="preserve"> con personalidad jurídica </w:t>
      </w:r>
      <w:r w:rsidRPr="0087187A">
        <w:rPr>
          <w:rFonts w:ascii="Arial" w:hAnsi="Arial" w:eastAsia="Calibri" w:cs="Arial"/>
          <w:sz w:val="22"/>
          <w:lang w:val="es-ES"/>
        </w:rPr>
        <w:t xml:space="preserve">diferente y con responsabilidades distintas, </w:t>
      </w:r>
      <w:r w:rsidRPr="0087187A" w:rsidR="00A86EB3">
        <w:rPr>
          <w:rFonts w:ascii="Arial" w:hAnsi="Arial" w:eastAsia="Calibri" w:cs="Arial"/>
          <w:sz w:val="22"/>
          <w:lang w:val="es-ES"/>
        </w:rPr>
        <w:t>en principio, no es</w:t>
      </w:r>
      <w:r w:rsidRPr="0087187A">
        <w:rPr>
          <w:rFonts w:ascii="Arial" w:hAnsi="Arial" w:eastAsia="Calibri" w:cs="Arial"/>
          <w:sz w:val="22"/>
          <w:lang w:val="es-ES"/>
        </w:rPr>
        <w:t xml:space="preserve"> viable que la entidad estatal retire puntaje a la sociedad oferente, por </w:t>
      </w:r>
      <w:r w:rsidRPr="0087187A" w:rsidR="00A86EB3">
        <w:rPr>
          <w:rFonts w:ascii="Arial" w:hAnsi="Arial" w:eastAsia="Calibri" w:cs="Arial"/>
          <w:sz w:val="22"/>
          <w:lang w:val="es-ES"/>
        </w:rPr>
        <w:t xml:space="preserve">el mero hecho de tener </w:t>
      </w:r>
      <w:r w:rsidRPr="0087187A">
        <w:rPr>
          <w:rFonts w:ascii="Arial" w:hAnsi="Arial" w:eastAsia="Calibri" w:cs="Arial"/>
          <w:sz w:val="22"/>
          <w:lang w:val="es-ES"/>
        </w:rPr>
        <w:t xml:space="preserve">uno de sus socios con una anotación vigente </w:t>
      </w:r>
      <w:r w:rsidRPr="0087187A" w:rsidR="00A93626">
        <w:rPr>
          <w:rFonts w:ascii="Arial" w:hAnsi="Arial" w:eastAsia="Calibri" w:cs="Arial"/>
          <w:sz w:val="22"/>
          <w:lang w:val="es-ES"/>
        </w:rPr>
        <w:t xml:space="preserve">en el Registro Nacional </w:t>
      </w:r>
      <w:r w:rsidRPr="0087187A" w:rsidR="00A93626">
        <w:rPr>
          <w:rFonts w:ascii="Arial" w:hAnsi="Arial" w:eastAsia="Calibri" w:cs="Arial"/>
          <w:color w:val="000000"/>
          <w:sz w:val="22"/>
          <w:szCs w:val="22"/>
          <w:lang w:val="es-ES_tradnl" w:eastAsia="en-GB"/>
        </w:rPr>
        <w:t>de Obra Civil Inconclusa</w:t>
      </w:r>
      <w:r w:rsidRPr="0087187A" w:rsidR="00C0317E">
        <w:rPr>
          <w:rFonts w:ascii="Arial" w:hAnsi="Arial" w:eastAsia="Calibri" w:cs="Arial"/>
          <w:sz w:val="22"/>
          <w:lang w:val="es-ES"/>
        </w:rPr>
        <w:t>.</w:t>
      </w:r>
      <w:r w:rsidRPr="0087187A" w:rsidR="00A86EB3">
        <w:rPr>
          <w:rFonts w:ascii="Arial" w:hAnsi="Arial" w:eastAsia="Calibri" w:cs="Arial"/>
          <w:sz w:val="22"/>
          <w:lang w:val="es-ES"/>
        </w:rPr>
        <w:t xml:space="preserve"> </w:t>
      </w:r>
    </w:p>
    <w:p w:rsidRPr="0087187A" w:rsidR="008F1A13" w:rsidP="008F1A13" w:rsidRDefault="008F1A13" w14:paraId="2E1D9197" w14:textId="77777777">
      <w:pPr>
        <w:tabs>
          <w:tab w:val="left" w:pos="426"/>
        </w:tabs>
        <w:spacing w:line="276" w:lineRule="auto"/>
        <w:jc w:val="both"/>
        <w:rPr>
          <w:rFonts w:ascii="Arial" w:hAnsi="Arial" w:eastAsia="Calibri" w:cs="Arial"/>
          <w:sz w:val="22"/>
          <w:lang w:val="es-ES"/>
        </w:rPr>
      </w:pPr>
    </w:p>
    <w:p w:rsidRPr="0087187A" w:rsidR="00214878" w:rsidP="00AA6CBB" w:rsidRDefault="00CF62EA" w14:paraId="426B5DCA" w14:textId="1DB28A21">
      <w:pPr>
        <w:spacing w:line="276" w:lineRule="auto"/>
        <w:jc w:val="both"/>
        <w:rPr>
          <w:rFonts w:ascii="Arial" w:hAnsi="Arial" w:eastAsia="Calibri" w:cs="Arial"/>
          <w:sz w:val="22"/>
        </w:rPr>
      </w:pPr>
      <w:r w:rsidRPr="0087187A">
        <w:rPr>
          <w:rFonts w:ascii="Arial" w:hAnsi="Arial" w:eastAsia="Calibri" w:cs="Arial"/>
          <w:sz w:val="22"/>
        </w:rPr>
        <w:t>E</w:t>
      </w:r>
      <w:r w:rsidRPr="0087187A" w:rsidR="00214878">
        <w:rPr>
          <w:rFonts w:ascii="Arial" w:hAnsi="Arial" w:eastAsia="Calibri" w:cs="Arial"/>
          <w:sz w:val="22"/>
        </w:rPr>
        <w:t>ste concepto tiene el alcance previsto en el artículo 28 del Código de Procedimiento Administrativo y de lo Contencioso Administrativo.</w:t>
      </w:r>
    </w:p>
    <w:p w:rsidRPr="0087187A" w:rsidR="00214878" w:rsidP="008B11C1" w:rsidRDefault="00214878" w14:paraId="2D31E5AC" w14:textId="13DB1A75">
      <w:pPr>
        <w:spacing w:line="276" w:lineRule="auto"/>
        <w:jc w:val="both"/>
        <w:rPr>
          <w:rFonts w:ascii="Arial" w:hAnsi="Arial" w:eastAsia="Calibri" w:cs="Arial"/>
          <w:sz w:val="22"/>
        </w:rPr>
      </w:pPr>
      <w:r w:rsidRPr="0087187A">
        <w:rPr>
          <w:rFonts w:ascii="Arial" w:hAnsi="Arial" w:cs="Arial"/>
          <w:noProof/>
          <w:lang w:eastAsia="es-CO"/>
        </w:rPr>
        <mc:AlternateContent>
          <mc:Choice Requires="wps">
            <w:drawing>
              <wp:anchor distT="0" distB="0" distL="114300" distR="114300" simplePos="0" relativeHeight="251659264" behindDoc="0" locked="0" layoutInCell="1" allowOverlap="1" wp14:anchorId="09675A18" wp14:editId="5792C0A3">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http://schemas.microsoft.com/office/drawing/2014/chartex">
            <w:pict>
              <v:line id="Conector recto 1"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3EB3C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rsidRPr="0087187A" w:rsidR="008D7064" w:rsidP="009713AA" w:rsidRDefault="00214878" w14:paraId="56DC2BE6" w14:textId="034BE858">
      <w:pPr>
        <w:spacing w:line="276" w:lineRule="auto"/>
        <w:rPr>
          <w:rFonts w:ascii="Arial" w:hAnsi="Arial" w:cs="Arial"/>
          <w:sz w:val="22"/>
          <w:lang w:eastAsia="es-CO"/>
        </w:rPr>
      </w:pPr>
      <w:r w:rsidRPr="0087187A">
        <w:rPr>
          <w:rFonts w:ascii="Arial" w:hAnsi="Arial" w:cs="Arial"/>
          <w:sz w:val="22"/>
          <w:lang w:eastAsia="es-CO"/>
        </w:rPr>
        <w:t>Atentamente,</w:t>
      </w:r>
    </w:p>
    <w:p w:rsidRPr="0087187A" w:rsidR="0054602D" w:rsidP="0054602D" w:rsidRDefault="0054602D" w14:paraId="1E60E1C2" w14:textId="61C3B145">
      <w:pPr>
        <w:spacing w:line="276" w:lineRule="auto"/>
        <w:jc w:val="center"/>
        <w:rPr>
          <w:rFonts w:ascii="Arial" w:hAnsi="Arial" w:cs="Arial"/>
          <w:sz w:val="22"/>
          <w:lang w:eastAsia="es-CO"/>
        </w:rPr>
      </w:pPr>
    </w:p>
    <w:p w:rsidRPr="0087187A" w:rsidR="00756905" w:rsidP="0054602D" w:rsidRDefault="009713AA" w14:paraId="2B7485ED" w14:textId="36590F23">
      <w:pPr>
        <w:spacing w:line="276" w:lineRule="auto"/>
        <w:jc w:val="center"/>
        <w:rPr>
          <w:rFonts w:ascii="Arial" w:hAnsi="Arial" w:cs="Arial"/>
          <w:sz w:val="22"/>
          <w:lang w:eastAsia="es-CO"/>
        </w:rPr>
      </w:pPr>
      <w:r>
        <w:rPr>
          <w:rFonts w:ascii="Arial" w:hAnsi="Arial" w:cs="Arial"/>
          <w:noProof/>
          <w:sz w:val="22"/>
          <w:lang w:eastAsia="es-CO"/>
        </w:rPr>
        <w:drawing>
          <wp:inline distT="0" distB="0" distL="0" distR="0" wp14:anchorId="11A68F01" wp14:editId="397213BA">
            <wp:extent cx="2574000" cy="1080000"/>
            <wp:effectExtent l="0" t="0" r="0"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RMA REPOSITORIO.jpg"/>
                    <pic:cNvPicPr/>
                  </pic:nvPicPr>
                  <pic:blipFill>
                    <a:blip r:embed="rId12">
                      <a:extLst>
                        <a:ext uri="{28A0092B-C50C-407E-A947-70E740481C1C}">
                          <a14:useLocalDpi xmlns:a14="http://schemas.microsoft.com/office/drawing/2010/main" val="0"/>
                        </a:ext>
                      </a:extLst>
                    </a:blip>
                    <a:stretch>
                      <a:fillRect/>
                    </a:stretch>
                  </pic:blipFill>
                  <pic:spPr>
                    <a:xfrm>
                      <a:off x="0" y="0"/>
                      <a:ext cx="2574000" cy="1080000"/>
                    </a:xfrm>
                    <a:prstGeom prst="rect">
                      <a:avLst/>
                    </a:prstGeom>
                  </pic:spPr>
                </pic:pic>
              </a:graphicData>
            </a:graphic>
          </wp:inline>
        </w:drawing>
      </w:r>
    </w:p>
    <w:p w:rsidRPr="0087187A" w:rsidR="00756905" w:rsidP="0054602D" w:rsidRDefault="00756905" w14:paraId="6318DBC6" w14:textId="4BB4246E">
      <w:pPr>
        <w:spacing w:line="276" w:lineRule="auto"/>
        <w:jc w:val="center"/>
        <w:rPr>
          <w:rFonts w:ascii="Arial" w:hAnsi="Arial" w:cs="Arial"/>
          <w:sz w:val="22"/>
          <w:lang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87187A" w:rsidR="00CA7FEF" w:rsidTr="00C968EC" w14:paraId="2E979D08" w14:textId="77777777">
        <w:trPr>
          <w:trHeight w:val="315"/>
        </w:trPr>
        <w:tc>
          <w:tcPr>
            <w:tcW w:w="812" w:type="dxa"/>
            <w:vAlign w:val="center"/>
          </w:tcPr>
          <w:p w:rsidRPr="0087187A" w:rsidR="00214878" w:rsidP="00AF2440" w:rsidRDefault="00214878" w14:paraId="1606F074" w14:textId="77777777">
            <w:pPr>
              <w:rPr>
                <w:rFonts w:ascii="Arial" w:hAnsi="Arial" w:cs="Arial"/>
                <w:sz w:val="16"/>
                <w:szCs w:val="16"/>
                <w:lang w:eastAsia="es-ES"/>
              </w:rPr>
            </w:pPr>
            <w:r w:rsidRPr="0087187A">
              <w:rPr>
                <w:rFonts w:ascii="Arial" w:hAnsi="Arial" w:cs="Arial"/>
                <w:sz w:val="16"/>
                <w:szCs w:val="16"/>
                <w:lang w:eastAsia="es-ES"/>
              </w:rPr>
              <w:t>Elaboró:</w:t>
            </w:r>
          </w:p>
        </w:tc>
        <w:tc>
          <w:tcPr>
            <w:tcW w:w="4413" w:type="dxa"/>
            <w:tcBorders>
              <w:bottom w:val="dotted" w:color="7F7F7F" w:themeColor="text1" w:themeTint="80" w:sz="4" w:space="0"/>
            </w:tcBorders>
            <w:vAlign w:val="center"/>
          </w:tcPr>
          <w:p w:rsidRPr="0087187A" w:rsidR="00214878" w:rsidP="00AF2440" w:rsidRDefault="008D7064" w14:paraId="2343580D" w14:textId="7D6B0B75">
            <w:pPr>
              <w:rPr>
                <w:rFonts w:ascii="Arial" w:hAnsi="Arial" w:cs="Arial"/>
                <w:sz w:val="16"/>
                <w:szCs w:val="16"/>
                <w:lang w:eastAsia="es-ES"/>
              </w:rPr>
            </w:pPr>
            <w:r w:rsidRPr="0087187A">
              <w:rPr>
                <w:rFonts w:ascii="Arial" w:hAnsi="Arial" w:cs="Arial"/>
                <w:sz w:val="16"/>
                <w:szCs w:val="16"/>
                <w:lang w:eastAsia="es-ES"/>
              </w:rPr>
              <w:t xml:space="preserve">Jorge Alberto García Calume </w:t>
            </w:r>
            <w:r w:rsidRPr="0087187A" w:rsidR="00A60725">
              <w:rPr>
                <w:rFonts w:ascii="Arial" w:hAnsi="Arial" w:cs="Arial"/>
                <w:sz w:val="16"/>
                <w:szCs w:val="16"/>
                <w:lang w:eastAsia="es-ES"/>
              </w:rPr>
              <w:t xml:space="preserve"> </w:t>
            </w:r>
          </w:p>
          <w:p w:rsidRPr="0087187A" w:rsidR="00214878" w:rsidP="00AF2440" w:rsidRDefault="00A60725" w14:paraId="6995B041" w14:textId="54245B7D">
            <w:pPr>
              <w:rPr>
                <w:rFonts w:ascii="Arial" w:hAnsi="Arial" w:cs="Arial"/>
                <w:sz w:val="16"/>
                <w:szCs w:val="16"/>
                <w:lang w:eastAsia="es-ES"/>
              </w:rPr>
            </w:pPr>
            <w:r w:rsidRPr="0087187A">
              <w:rPr>
                <w:rFonts w:ascii="Arial" w:hAnsi="Arial" w:cs="Arial"/>
                <w:sz w:val="16"/>
                <w:szCs w:val="16"/>
                <w:lang w:eastAsia="es-ES"/>
              </w:rPr>
              <w:t>Contratista</w:t>
            </w:r>
            <w:r w:rsidRPr="0087187A" w:rsidR="00C6457F">
              <w:rPr>
                <w:rFonts w:ascii="Arial" w:hAnsi="Arial" w:cs="Arial"/>
                <w:sz w:val="16"/>
                <w:szCs w:val="16"/>
                <w:lang w:eastAsia="es-ES"/>
              </w:rPr>
              <w:t xml:space="preserve"> de la Subdirección de Gestión Contractual </w:t>
            </w:r>
          </w:p>
        </w:tc>
      </w:tr>
      <w:tr w:rsidRPr="0087187A" w:rsidR="00CA7FEF" w:rsidTr="00C968EC" w14:paraId="1EFBDAAD" w14:textId="77777777">
        <w:trPr>
          <w:trHeight w:val="330"/>
        </w:trPr>
        <w:tc>
          <w:tcPr>
            <w:tcW w:w="812" w:type="dxa"/>
            <w:vAlign w:val="center"/>
          </w:tcPr>
          <w:p w:rsidRPr="0087187A" w:rsidR="00214878" w:rsidP="00AF2440" w:rsidRDefault="00214878" w14:paraId="09701992" w14:textId="77777777">
            <w:pPr>
              <w:rPr>
                <w:rFonts w:ascii="Arial" w:hAnsi="Arial" w:cs="Arial"/>
                <w:sz w:val="16"/>
                <w:szCs w:val="16"/>
                <w:lang w:eastAsia="es-ES"/>
              </w:rPr>
            </w:pPr>
            <w:r w:rsidRPr="0087187A">
              <w:rPr>
                <w:rFonts w:ascii="Arial" w:hAnsi="Arial" w:cs="Arial"/>
                <w:sz w:val="16"/>
                <w:szCs w:val="16"/>
                <w:lang w:eastAsia="es-ES"/>
              </w:rPr>
              <w:t>Revisó:</w:t>
            </w:r>
          </w:p>
        </w:tc>
        <w:tc>
          <w:tcPr>
            <w:tcW w:w="4413" w:type="dxa"/>
            <w:tcBorders>
              <w:top w:val="dotted" w:color="7F7F7F" w:themeColor="text1" w:themeTint="80" w:sz="4" w:space="0"/>
              <w:bottom w:val="dotted" w:color="7F7F7F" w:themeColor="text1" w:themeTint="80" w:sz="4" w:space="0"/>
            </w:tcBorders>
            <w:vAlign w:val="center"/>
          </w:tcPr>
          <w:p w:rsidRPr="0087187A" w:rsidR="00E263C3" w:rsidP="00E263C3" w:rsidRDefault="00CF62EA" w14:paraId="72C985EC" w14:textId="62BEBC86">
            <w:pPr>
              <w:rPr>
                <w:rFonts w:ascii="Arial" w:hAnsi="Arial" w:cs="Arial"/>
                <w:sz w:val="16"/>
                <w:szCs w:val="16"/>
                <w:lang w:eastAsia="es-ES"/>
              </w:rPr>
            </w:pPr>
            <w:r w:rsidRPr="0087187A">
              <w:rPr>
                <w:rFonts w:ascii="Arial" w:hAnsi="Arial" w:cs="Arial"/>
                <w:sz w:val="16"/>
                <w:szCs w:val="16"/>
                <w:lang w:eastAsia="es-ES"/>
              </w:rPr>
              <w:t xml:space="preserve">Alejandro Sarmiento </w:t>
            </w:r>
            <w:r w:rsidRPr="0087187A" w:rsidR="002A2CEC">
              <w:rPr>
                <w:rFonts w:ascii="Arial" w:hAnsi="Arial" w:cs="Arial"/>
                <w:sz w:val="16"/>
                <w:szCs w:val="16"/>
                <w:lang w:eastAsia="es-ES"/>
              </w:rPr>
              <w:t xml:space="preserve">Cantillo </w:t>
            </w:r>
            <w:r w:rsidRPr="0087187A" w:rsidR="002F3127">
              <w:rPr>
                <w:rFonts w:ascii="Arial" w:hAnsi="Arial" w:cs="Arial"/>
                <w:sz w:val="16"/>
                <w:szCs w:val="16"/>
                <w:lang w:eastAsia="es-ES"/>
              </w:rPr>
              <w:t xml:space="preserve"> </w:t>
            </w:r>
          </w:p>
          <w:p w:rsidRPr="0087187A" w:rsidR="00214878" w:rsidP="00AF2440" w:rsidRDefault="00E263C3" w14:paraId="6B6BBB43" w14:textId="7F1DFEBA">
            <w:pPr>
              <w:rPr>
                <w:rFonts w:ascii="Arial" w:hAnsi="Arial" w:cs="Arial"/>
                <w:sz w:val="16"/>
                <w:szCs w:val="16"/>
                <w:lang w:eastAsia="es-ES"/>
              </w:rPr>
            </w:pPr>
            <w:r w:rsidRPr="0087187A">
              <w:rPr>
                <w:rFonts w:ascii="Arial" w:hAnsi="Arial" w:cs="Arial"/>
                <w:sz w:val="16"/>
                <w:szCs w:val="16"/>
                <w:lang w:eastAsia="es-ES"/>
              </w:rPr>
              <w:t>Gestor T1-1</w:t>
            </w:r>
            <w:r w:rsidRPr="0087187A" w:rsidR="00756905">
              <w:rPr>
                <w:rFonts w:ascii="Arial" w:hAnsi="Arial" w:cs="Arial"/>
                <w:sz w:val="16"/>
                <w:szCs w:val="16"/>
                <w:lang w:eastAsia="es-ES"/>
              </w:rPr>
              <w:t>1</w:t>
            </w:r>
            <w:r w:rsidRPr="0087187A">
              <w:rPr>
                <w:rFonts w:ascii="Arial" w:hAnsi="Arial" w:cs="Arial"/>
                <w:sz w:val="16"/>
                <w:szCs w:val="16"/>
                <w:lang w:eastAsia="es-ES"/>
              </w:rPr>
              <w:t xml:space="preserve"> de la Subdirección de Gestión Contractual</w:t>
            </w:r>
          </w:p>
        </w:tc>
      </w:tr>
      <w:tr w:rsidRPr="0087187A" w:rsidR="00C6457F" w:rsidTr="00C968EC" w14:paraId="2E9EBB96" w14:textId="77777777">
        <w:trPr>
          <w:trHeight w:val="330"/>
        </w:trPr>
        <w:tc>
          <w:tcPr>
            <w:tcW w:w="812" w:type="dxa"/>
            <w:vAlign w:val="center"/>
          </w:tcPr>
          <w:p w:rsidRPr="0087187A" w:rsidR="00C6457F" w:rsidP="00C6457F" w:rsidRDefault="00C6457F" w14:paraId="2D29747A" w14:textId="77777777">
            <w:pPr>
              <w:rPr>
                <w:rFonts w:ascii="Arial" w:hAnsi="Arial" w:cs="Arial"/>
                <w:sz w:val="16"/>
                <w:szCs w:val="16"/>
                <w:lang w:eastAsia="es-ES"/>
              </w:rPr>
            </w:pPr>
          </w:p>
        </w:tc>
        <w:tc>
          <w:tcPr>
            <w:tcW w:w="4413" w:type="dxa"/>
            <w:tcBorders>
              <w:top w:val="dotted" w:color="7F7F7F" w:themeColor="text1" w:themeTint="80" w:sz="4" w:space="0"/>
              <w:bottom w:val="dotted" w:color="7F7F7F" w:themeColor="text1" w:themeTint="80" w:sz="4" w:space="0"/>
            </w:tcBorders>
            <w:vAlign w:val="center"/>
          </w:tcPr>
          <w:p w:rsidRPr="0087187A" w:rsidR="00C6457F" w:rsidP="00C6457F" w:rsidRDefault="00C6457F" w14:paraId="0E05AD2C" w14:textId="77777777">
            <w:pPr>
              <w:rPr>
                <w:rFonts w:ascii="Arial" w:hAnsi="Arial" w:cs="Arial"/>
                <w:sz w:val="16"/>
                <w:szCs w:val="16"/>
                <w:lang w:eastAsia="es-ES"/>
              </w:rPr>
            </w:pPr>
            <w:r w:rsidRPr="0087187A">
              <w:rPr>
                <w:rFonts w:ascii="Arial" w:hAnsi="Arial" w:cs="Arial"/>
                <w:sz w:val="16"/>
                <w:szCs w:val="16"/>
                <w:lang w:eastAsia="es-ES"/>
              </w:rPr>
              <w:t>Karlo Fernández Cala</w:t>
            </w:r>
          </w:p>
          <w:p w:rsidRPr="0087187A" w:rsidR="00C6457F" w:rsidP="00C6457F" w:rsidRDefault="00C6457F" w14:paraId="2A6638D3" w14:textId="0AD129C9">
            <w:pPr>
              <w:rPr>
                <w:rFonts w:ascii="Arial" w:hAnsi="Arial" w:cs="Arial"/>
                <w:sz w:val="16"/>
                <w:szCs w:val="16"/>
                <w:lang w:eastAsia="es-ES"/>
              </w:rPr>
            </w:pPr>
            <w:r w:rsidRPr="0087187A">
              <w:rPr>
                <w:rFonts w:ascii="Arial" w:hAnsi="Arial" w:cs="Arial"/>
                <w:sz w:val="16"/>
                <w:szCs w:val="16"/>
                <w:lang w:eastAsia="es-ES"/>
              </w:rPr>
              <w:t>Gestor T1-15 de la Dirección General</w:t>
            </w:r>
          </w:p>
        </w:tc>
      </w:tr>
      <w:tr w:rsidRPr="00737DB6" w:rsidR="00C6457F" w:rsidTr="00C968EC" w14:paraId="24C3AA5B" w14:textId="77777777">
        <w:trPr>
          <w:trHeight w:val="300"/>
        </w:trPr>
        <w:tc>
          <w:tcPr>
            <w:tcW w:w="812" w:type="dxa"/>
            <w:vAlign w:val="center"/>
          </w:tcPr>
          <w:p w:rsidRPr="0087187A" w:rsidR="00C6457F" w:rsidP="00C6457F" w:rsidRDefault="00C6457F" w14:paraId="3F00D087" w14:textId="77777777">
            <w:pPr>
              <w:rPr>
                <w:rFonts w:ascii="Arial" w:hAnsi="Arial" w:cs="Arial"/>
                <w:sz w:val="16"/>
                <w:szCs w:val="16"/>
                <w:lang w:eastAsia="es-ES"/>
              </w:rPr>
            </w:pPr>
            <w:r w:rsidRPr="0087187A">
              <w:rPr>
                <w:rFonts w:ascii="Arial" w:hAnsi="Arial" w:cs="Arial"/>
                <w:sz w:val="16"/>
                <w:szCs w:val="16"/>
                <w:lang w:eastAsia="es-ES"/>
              </w:rPr>
              <w:t>Aprobó:</w:t>
            </w:r>
          </w:p>
        </w:tc>
        <w:tc>
          <w:tcPr>
            <w:tcW w:w="4413" w:type="dxa"/>
            <w:tcBorders>
              <w:top w:val="dotted" w:color="7F7F7F" w:themeColor="text1" w:themeTint="80" w:sz="4" w:space="0"/>
              <w:bottom w:val="dotted" w:color="7F7F7F" w:themeColor="text1" w:themeTint="80" w:sz="4" w:space="0"/>
            </w:tcBorders>
            <w:vAlign w:val="center"/>
          </w:tcPr>
          <w:p w:rsidRPr="0087187A" w:rsidR="00C6457F" w:rsidP="00C6457F" w:rsidRDefault="00C6457F" w14:paraId="66AE1539" w14:textId="77777777">
            <w:pPr>
              <w:rPr>
                <w:rFonts w:ascii="Arial" w:hAnsi="Arial" w:cs="Arial"/>
                <w:sz w:val="16"/>
                <w:szCs w:val="16"/>
                <w:lang w:eastAsia="es-ES"/>
              </w:rPr>
            </w:pPr>
            <w:r w:rsidRPr="0087187A">
              <w:rPr>
                <w:rFonts w:ascii="Arial" w:hAnsi="Arial" w:cs="Arial"/>
                <w:sz w:val="16"/>
                <w:szCs w:val="16"/>
                <w:lang w:eastAsia="es-ES"/>
              </w:rPr>
              <w:t>Jorge Augusto Tirado Navarro</w:t>
            </w:r>
          </w:p>
          <w:p w:rsidRPr="00737DB6" w:rsidR="00C6457F" w:rsidP="00C6457F" w:rsidRDefault="00C6457F" w14:paraId="1D1409AB" w14:textId="5F14B4EB">
            <w:pPr>
              <w:rPr>
                <w:rFonts w:ascii="Arial" w:hAnsi="Arial" w:cs="Arial"/>
                <w:sz w:val="16"/>
                <w:szCs w:val="16"/>
                <w:lang w:eastAsia="es-ES"/>
              </w:rPr>
            </w:pPr>
            <w:r w:rsidRPr="0087187A">
              <w:rPr>
                <w:rFonts w:ascii="Arial" w:hAnsi="Arial" w:cs="Arial"/>
                <w:sz w:val="16"/>
                <w:szCs w:val="16"/>
                <w:lang w:eastAsia="es-ES"/>
              </w:rPr>
              <w:t>Subdirector de Gestión Contractual ANCP – CCE</w:t>
            </w:r>
          </w:p>
        </w:tc>
      </w:tr>
      <w:bookmarkEnd w:id="0"/>
      <w:bookmarkEnd w:id="1"/>
    </w:tbl>
    <w:p w:rsidRPr="00737DB6" w:rsidR="00737DB6" w:rsidP="004A214E" w:rsidRDefault="00737DB6" w14:paraId="0EEB665C" w14:textId="77777777">
      <w:pPr>
        <w:spacing w:before="120" w:after="120" w:line="276" w:lineRule="auto"/>
        <w:rPr>
          <w:rFonts w:ascii="Arial" w:hAnsi="Arial" w:cs="Arial"/>
        </w:rPr>
      </w:pPr>
    </w:p>
    <w:sectPr w:rsidRPr="00737DB6" w:rsidR="00737DB6" w:rsidSect="00214878">
      <w:headerReference w:type="default" r:id="rId13"/>
      <w:footerReference w:type="default" r:id="rId14"/>
      <w:pgSz w:w="12240" w:h="15840" w:orient="portrait"/>
      <w:pgMar w:top="1985" w:right="1701" w:bottom="1418" w:left="1701" w:header="340" w:footer="22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C8F82" w16cex:dateUtc="2021-06-22T21:34:00Z"/>
  <w16cex:commentExtensible w16cex:durableId="2492A151" w16cex:dateUtc="2021-07-09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E62618" w16cid:durableId="247C8F82"/>
  <w16cid:commentId w16cid:paraId="44A127F1" w16cid:durableId="2492A1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ADB" w:rsidRDefault="00F00ADB" w14:paraId="4F863851" w14:textId="77777777">
      <w:r>
        <w:separator/>
      </w:r>
    </w:p>
  </w:endnote>
  <w:endnote w:type="continuationSeparator" w:id="0">
    <w:p w:rsidR="00F00ADB" w:rsidRDefault="00F00ADB" w14:paraId="785EC44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Pr="008217B7" w:rsidR="00526D46" w:rsidP="00214878" w:rsidRDefault="00526D46" w14:paraId="7E76759C" w14:textId="0C452A81">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4374A8">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4374A8">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rsidR="00526D46" w:rsidP="00214878" w:rsidRDefault="00526D46" w14:paraId="218ACE78" w14:textId="77777777">
    <w:pPr>
      <w:pStyle w:val="Piedepgina"/>
      <w:jc w:val="center"/>
      <w:rPr>
        <w:lang w:val="es-ES"/>
      </w:rPr>
    </w:pPr>
    <w:r>
      <w:rPr>
        <w:noProof/>
        <w:lang w:eastAsia="es-CO"/>
      </w:rPr>
      <w:drawing>
        <wp:inline distT="0" distB="0" distL="0" distR="0" wp14:anchorId="53C58075" wp14:editId="1308803E">
          <wp:extent cx="3700130" cy="519139"/>
          <wp:effectExtent l="0" t="0" r="0" b="0"/>
          <wp:docPr id="155276948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rsidR="00526D46" w:rsidP="00214878" w:rsidRDefault="00526D46" w14:paraId="651FA18A" w14:textId="77777777">
    <w:pPr>
      <w:pStyle w:val="Piedepgina"/>
      <w:jc w:val="center"/>
      <w:rPr>
        <w:lang w:val="es-ES"/>
      </w:rPr>
    </w:pPr>
  </w:p>
  <w:p w:rsidRPr="00214878" w:rsidR="00526D46" w:rsidP="00214878" w:rsidRDefault="00526D46" w14:paraId="6C0EFC49"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ADB" w:rsidRDefault="00F00ADB" w14:paraId="1FACDC78" w14:textId="77777777">
      <w:r>
        <w:separator/>
      </w:r>
    </w:p>
  </w:footnote>
  <w:footnote w:type="continuationSeparator" w:id="0">
    <w:p w:rsidR="00F00ADB" w:rsidRDefault="00F00ADB" w14:paraId="290DFCC4" w14:textId="77777777">
      <w:r>
        <w:continuationSeparator/>
      </w:r>
    </w:p>
  </w:footnote>
  <w:footnote w:id="1">
    <w:p w:rsidRPr="007839FB" w:rsidR="007839FB" w:rsidP="007839FB" w:rsidRDefault="00ED2827" w14:paraId="45E5A422" w14:textId="1BE2FDEA">
      <w:pPr>
        <w:pStyle w:val="Textonotapie"/>
        <w:ind w:firstLine="709"/>
        <w:jc w:val="both"/>
        <w:rPr>
          <w:rFonts w:ascii="Arial" w:hAnsi="Arial" w:cs="Arial"/>
          <w:color w:val="000000" w:themeColor="text1"/>
          <w:sz w:val="19"/>
          <w:szCs w:val="19"/>
        </w:rPr>
      </w:pPr>
      <w:r w:rsidRPr="00AB3BAD">
        <w:rPr>
          <w:rStyle w:val="Refdenotaalpie"/>
          <w:rFonts w:ascii="Arial" w:hAnsi="Arial" w:cs="Arial"/>
          <w:sz w:val="19"/>
          <w:szCs w:val="19"/>
        </w:rPr>
        <w:footnoteRef/>
      </w:r>
      <w:r w:rsidRPr="00AB3BAD">
        <w:rPr>
          <w:rFonts w:ascii="Arial" w:hAnsi="Arial" w:cs="Arial"/>
          <w:sz w:val="19"/>
          <w:szCs w:val="19"/>
        </w:rPr>
        <w:t xml:space="preserve"> </w:t>
      </w:r>
      <w:r w:rsidRPr="007839FB">
        <w:rPr>
          <w:rFonts w:ascii="Arial" w:hAnsi="Arial" w:cs="Arial"/>
          <w:color w:val="000000" w:themeColor="text1"/>
          <w:sz w:val="19"/>
          <w:szCs w:val="19"/>
          <w:lang w:eastAsia="es-CO"/>
        </w:rPr>
        <w:t>Ley 1437 de 2011:</w:t>
      </w:r>
      <w:r w:rsidRPr="007839FB">
        <w:rPr>
          <w:rFonts w:ascii="Arial" w:hAnsi="Arial" w:cs="Arial"/>
          <w:color w:val="000000" w:themeColor="text1"/>
          <w:sz w:val="19"/>
          <w:szCs w:val="19"/>
        </w:rPr>
        <w:t xml:space="preserve"> «Artículo 44. Decisiones discrecionales. En la medida en que el contenido de una decisión de carácter general o particular sea discrecional, debe ser adecuada a los fines de la norma que la autoriza, y proporcional a los hechos que le sirven de causa</w:t>
      </w:r>
      <w:r w:rsidRPr="007839FB">
        <w:rPr>
          <w:rFonts w:ascii="Arial" w:hAnsi="Arial" w:cs="Arial"/>
          <w:color w:val="000000" w:themeColor="text1"/>
          <w:sz w:val="19"/>
          <w:szCs w:val="19"/>
          <w:lang w:eastAsia="es-CO"/>
        </w:rPr>
        <w:t>»</w:t>
      </w:r>
      <w:r w:rsidRPr="007839FB">
        <w:rPr>
          <w:rFonts w:ascii="Arial" w:hAnsi="Arial" w:cs="Arial"/>
          <w:color w:val="000000" w:themeColor="text1"/>
          <w:sz w:val="19"/>
          <w:szCs w:val="19"/>
        </w:rPr>
        <w:t>.</w:t>
      </w:r>
    </w:p>
  </w:footnote>
  <w:footnote w:id="2">
    <w:p w:rsidR="00ED2827" w:rsidP="00AA11F2" w:rsidRDefault="00ED2827" w14:paraId="7A9B1002" w14:textId="5F10424A">
      <w:pPr>
        <w:pStyle w:val="Textonotapie"/>
        <w:ind w:firstLine="709"/>
        <w:jc w:val="both"/>
        <w:rPr>
          <w:rFonts w:ascii="Arial" w:hAnsi="Arial" w:cs="Arial"/>
          <w:color w:val="000000" w:themeColor="text1"/>
          <w:sz w:val="19"/>
          <w:szCs w:val="19"/>
          <w:lang w:val="es-ES"/>
        </w:rPr>
      </w:pPr>
      <w:r w:rsidRPr="007839FB">
        <w:rPr>
          <w:rStyle w:val="Refdenotaalpie"/>
          <w:rFonts w:ascii="Arial" w:hAnsi="Arial" w:cs="Arial"/>
          <w:color w:val="000000" w:themeColor="text1"/>
          <w:sz w:val="19"/>
          <w:szCs w:val="19"/>
        </w:rPr>
        <w:footnoteRef/>
      </w:r>
      <w:r w:rsidRPr="007839FB">
        <w:rPr>
          <w:rFonts w:ascii="Arial" w:hAnsi="Arial" w:cs="Arial"/>
          <w:color w:val="000000" w:themeColor="text1"/>
          <w:sz w:val="19"/>
          <w:szCs w:val="19"/>
        </w:rPr>
        <w:t xml:space="preserve"> </w:t>
      </w:r>
      <w:r w:rsidRPr="007839FB">
        <w:rPr>
          <w:rFonts w:ascii="Arial" w:hAnsi="Arial" w:cs="Arial"/>
          <w:color w:val="000000" w:themeColor="text1"/>
          <w:sz w:val="19"/>
          <w:szCs w:val="19"/>
          <w:lang w:val="es-ES"/>
        </w:rPr>
        <w:t xml:space="preserve">Principio que se compone a su vez de «tres subprincipios, etapas o mandatos parciales: el </w:t>
      </w:r>
      <w:r w:rsidRPr="007839FB">
        <w:rPr>
          <w:rFonts w:ascii="Arial" w:hAnsi="Arial" w:cs="Arial"/>
          <w:i/>
          <w:iCs/>
          <w:color w:val="000000" w:themeColor="text1"/>
          <w:sz w:val="19"/>
          <w:szCs w:val="19"/>
          <w:lang w:val="es-ES"/>
        </w:rPr>
        <w:t>subprincipio o mandato de adecuación, de idoneidad o de congruencia</w:t>
      </w:r>
      <w:r w:rsidRPr="007839FB">
        <w:rPr>
          <w:rFonts w:ascii="Arial" w:hAnsi="Arial" w:cs="Arial"/>
          <w:color w:val="000000" w:themeColor="text1"/>
          <w:sz w:val="19"/>
          <w:szCs w:val="19"/>
          <w:lang w:val="es-ES"/>
        </w:rPr>
        <w:t xml:space="preserve">, por virtud del cual la medida limitadora de los derechos o intereses del administrado debe ser útil, apropiada o idónea para obtener el fin buscado, esto es, que el abanico de posibles medidas que ha de adoptar la Administración se limita a las que resulten congruentes con el entramado fáctico del caso y aptas para la consecución del cometido fijado por el ordenamiento jurídico al atribuir la potestad correspondiente a la Administración; el </w:t>
      </w:r>
      <w:r w:rsidRPr="007839FB">
        <w:rPr>
          <w:rFonts w:ascii="Arial" w:hAnsi="Arial" w:cs="Arial"/>
          <w:i/>
          <w:iCs/>
          <w:color w:val="000000" w:themeColor="text1"/>
          <w:sz w:val="19"/>
          <w:szCs w:val="19"/>
          <w:lang w:val="es-ES"/>
        </w:rPr>
        <w:t>subprincipio o mandato de necesidad, intervención mínima o menor lesividad</w:t>
      </w:r>
      <w:r w:rsidRPr="007839FB">
        <w:rPr>
          <w:rFonts w:ascii="Arial" w:hAnsi="Arial" w:cs="Arial"/>
          <w:color w:val="000000" w:themeColor="text1"/>
          <w:sz w:val="19"/>
          <w:szCs w:val="19"/>
          <w:lang w:val="es-ES"/>
        </w:rPr>
        <w:t xml:space="preserve">, de acuerdo con el cual la adopción de la medida elegida debe ser indispensable, dada la inexistencia de una alternativa distinta que sea tan eficaz para satisfacer el fin de interés público al cual apunta, pero menos limitativa del otro u otros principios, derechos o intereses en tensión; y en tercer lugar, </w:t>
      </w:r>
      <w:r w:rsidRPr="007839FB">
        <w:rPr>
          <w:rFonts w:ascii="Arial" w:hAnsi="Arial" w:cs="Arial"/>
          <w:i/>
          <w:iCs/>
          <w:color w:val="000000" w:themeColor="text1"/>
          <w:sz w:val="19"/>
          <w:szCs w:val="19"/>
          <w:lang w:val="es-ES"/>
        </w:rPr>
        <w:t>el subprincipio o mandato de proporcionalidad en sentido estricto</w:t>
      </w:r>
      <w:r w:rsidRPr="007839FB">
        <w:rPr>
          <w:rFonts w:ascii="Arial" w:hAnsi="Arial" w:cs="Arial"/>
          <w:color w:val="000000" w:themeColor="text1"/>
          <w:sz w:val="19"/>
          <w:szCs w:val="19"/>
          <w:lang w:val="es-ES"/>
        </w:rPr>
        <w:t>, de acuerdo con el cual debe producirse un equilibrio entre el perjuicio irrogado al derecho o interés que se limita y el beneficio que de ello se deriva para el bien jurídico que la medida prohíja» (MARÍN HERNÁNDEZ, Hugo Alberto. El principio de proporcionalidad en el derecho administrativo colombiano. Bogotá: Universidad Externado de Colombia, 2018. p. 34).</w:t>
      </w:r>
    </w:p>
    <w:p w:rsidRPr="007839FB" w:rsidR="00534449" w:rsidP="00AA11F2" w:rsidRDefault="00534449" w14:paraId="0DCBF118" w14:textId="77777777">
      <w:pPr>
        <w:pStyle w:val="Textonotapie"/>
        <w:ind w:firstLine="709"/>
        <w:jc w:val="both"/>
        <w:rPr>
          <w:rFonts w:ascii="Arial" w:hAnsi="Arial" w:cs="Arial"/>
          <w:color w:val="000000" w:themeColor="text1"/>
          <w:sz w:val="19"/>
          <w:szCs w:val="19"/>
          <w:lang w:val="es-ES"/>
        </w:rPr>
      </w:pPr>
    </w:p>
  </w:footnote>
  <w:footnote w:id="3">
    <w:p w:rsidRPr="00AB3BAD" w:rsidR="00ED2827" w:rsidP="00884BCF" w:rsidRDefault="00ED2827" w14:paraId="15CB946C" w14:textId="3BD38357">
      <w:pPr>
        <w:ind w:firstLine="709"/>
        <w:jc w:val="both"/>
        <w:rPr>
          <w:rFonts w:ascii="Arial" w:hAnsi="Arial" w:cs="Arial"/>
          <w:sz w:val="19"/>
          <w:szCs w:val="19"/>
          <w:lang w:val="es-ES"/>
        </w:rPr>
      </w:pPr>
      <w:r w:rsidRPr="00AB3BAD">
        <w:rPr>
          <w:rStyle w:val="Refdenotaalpie"/>
          <w:rFonts w:ascii="Arial" w:hAnsi="Arial" w:cs="Arial"/>
          <w:sz w:val="19"/>
          <w:szCs w:val="19"/>
        </w:rPr>
        <w:footnoteRef/>
      </w:r>
      <w:r w:rsidRPr="00AB3BAD">
        <w:rPr>
          <w:rFonts w:ascii="Arial" w:hAnsi="Arial" w:cs="Arial"/>
          <w:sz w:val="19"/>
          <w:szCs w:val="19"/>
        </w:rPr>
        <w:t xml:space="preserve"> </w:t>
      </w:r>
      <w:r w:rsidRPr="00AB3BAD">
        <w:rPr>
          <w:rFonts w:ascii="Arial" w:hAnsi="Arial" w:cs="Arial"/>
          <w:sz w:val="19"/>
          <w:szCs w:val="19"/>
          <w:lang w:val="es-ES"/>
        </w:rPr>
        <w:t>Consejo de Estado. Sección Tercera. Sentencia del 14 de abril de 2010. Consejero Ponente: Enrique Gil Botero. Radicación número: 11001-03-26-000-2008-00101-00</w:t>
      </w:r>
      <w:r w:rsidR="00AB5D5C">
        <w:rPr>
          <w:rFonts w:ascii="Arial" w:hAnsi="Arial" w:cs="Arial"/>
          <w:sz w:val="19"/>
          <w:szCs w:val="19"/>
          <w:lang w:val="es-ES"/>
        </w:rPr>
        <w:t xml:space="preserve"> </w:t>
      </w:r>
      <w:r w:rsidRPr="00AB3BAD">
        <w:rPr>
          <w:rFonts w:ascii="Arial" w:hAnsi="Arial" w:cs="Arial"/>
          <w:sz w:val="19"/>
          <w:szCs w:val="19"/>
          <w:lang w:val="es-ES"/>
        </w:rPr>
        <w:t>(36054)</w:t>
      </w:r>
      <w:r w:rsidR="007839FB">
        <w:rPr>
          <w:rFonts w:ascii="Arial" w:hAnsi="Arial" w:cs="Arial"/>
          <w:sz w:val="19"/>
          <w:szCs w:val="19"/>
          <w:lang w:val="es-ES"/>
        </w:rPr>
        <w:t xml:space="preserve"> </w:t>
      </w:r>
      <w:r w:rsidRPr="00AB3BAD">
        <w:rPr>
          <w:rFonts w:ascii="Arial" w:hAnsi="Arial" w:cs="Arial"/>
          <w:sz w:val="19"/>
          <w:szCs w:val="19"/>
          <w:lang w:val="es-ES"/>
        </w:rPr>
        <w:t>B.</w:t>
      </w:r>
    </w:p>
  </w:footnote>
  <w:footnote w:id="4">
    <w:p w:rsidRPr="00AB3BAD" w:rsidR="00ED2827" w:rsidP="00ED2827" w:rsidRDefault="00ED2827" w14:paraId="3E09AE21" w14:textId="77777777">
      <w:pPr>
        <w:pStyle w:val="Textonotapie"/>
        <w:ind w:firstLine="709"/>
        <w:jc w:val="both"/>
        <w:rPr>
          <w:rFonts w:ascii="Arial" w:hAnsi="Arial" w:cs="Arial"/>
          <w:sz w:val="19"/>
          <w:szCs w:val="19"/>
        </w:rPr>
      </w:pPr>
      <w:r w:rsidRPr="00AB3BAD">
        <w:rPr>
          <w:rStyle w:val="Refdenotaalpie"/>
          <w:rFonts w:ascii="Arial" w:hAnsi="Arial" w:cs="Arial"/>
          <w:sz w:val="19"/>
          <w:szCs w:val="19"/>
        </w:rPr>
        <w:footnoteRef/>
      </w:r>
      <w:r w:rsidRPr="00AB3BAD">
        <w:rPr>
          <w:rFonts w:ascii="Arial" w:hAnsi="Arial" w:cs="Arial"/>
          <w:sz w:val="19"/>
          <w:szCs w:val="19"/>
        </w:rPr>
        <w:t xml:space="preserve"> «ARTÍCULO 1o. Modifíquese el artículo 4o de la Ley 1882 de 2018, el cual quedará así:</w:t>
      </w:r>
    </w:p>
    <w:p w:rsidRPr="00AB3BAD" w:rsidR="00ED2827" w:rsidP="00ED2827" w:rsidRDefault="007F2C80" w14:paraId="1469F8FD" w14:textId="6CF4AD25">
      <w:pPr>
        <w:pStyle w:val="Textonotapie"/>
        <w:ind w:firstLine="709"/>
        <w:jc w:val="both"/>
        <w:rPr>
          <w:rFonts w:ascii="Arial" w:hAnsi="Arial" w:cs="Arial"/>
          <w:sz w:val="19"/>
          <w:szCs w:val="19"/>
        </w:rPr>
      </w:pPr>
      <w:r w:rsidRPr="00AB3BAD">
        <w:rPr>
          <w:rFonts w:ascii="Arial" w:hAnsi="Arial" w:cs="Arial"/>
          <w:sz w:val="19"/>
          <w:szCs w:val="19"/>
        </w:rPr>
        <w:t>» Artículo</w:t>
      </w:r>
      <w:r w:rsidRPr="00AB3BAD" w:rsidR="00ED2827">
        <w:rPr>
          <w:rFonts w:ascii="Arial" w:hAnsi="Arial" w:cs="Arial"/>
          <w:sz w:val="19"/>
          <w:szCs w:val="19"/>
        </w:rPr>
        <w:t xml:space="preserve"> 4o. Adiciónese el siguiente parágrafo al artículo 2o de la Ley 1150 de 2007.</w:t>
      </w:r>
    </w:p>
    <w:p w:rsidRPr="00AB3BAD" w:rsidR="00ED2827" w:rsidP="00ED2827" w:rsidRDefault="007F2C80" w14:paraId="4081C2F3" w14:textId="1D09DC81">
      <w:pPr>
        <w:pStyle w:val="Textonotapie"/>
        <w:ind w:firstLine="709"/>
        <w:jc w:val="both"/>
        <w:rPr>
          <w:rFonts w:ascii="Arial" w:hAnsi="Arial" w:cs="Arial"/>
          <w:sz w:val="19"/>
          <w:szCs w:val="19"/>
        </w:rPr>
      </w:pPr>
      <w:r w:rsidRPr="00AB3BAD">
        <w:rPr>
          <w:rFonts w:ascii="Arial" w:hAnsi="Arial" w:cs="Arial"/>
          <w:sz w:val="19"/>
          <w:szCs w:val="19"/>
        </w:rPr>
        <w:t>» PARÁGRAFO</w:t>
      </w:r>
      <w:r w:rsidRPr="00AB3BAD" w:rsidR="00ED2827">
        <w:rPr>
          <w:rFonts w:ascii="Arial" w:hAnsi="Arial" w:cs="Arial"/>
          <w:sz w:val="19"/>
          <w:szCs w:val="19"/>
        </w:rPr>
        <w:t xml:space="preserve">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rsidRPr="00AB3BAD" w:rsidR="00ED2827" w:rsidP="00ED2827" w:rsidRDefault="007F2C80" w14:paraId="4D20B13A" w14:textId="5761FE5D">
      <w:pPr>
        <w:pStyle w:val="Textonotapie"/>
        <w:ind w:firstLine="709"/>
        <w:jc w:val="both"/>
        <w:rPr>
          <w:rFonts w:ascii="Arial" w:hAnsi="Arial" w:cs="Arial"/>
          <w:sz w:val="19"/>
          <w:szCs w:val="19"/>
        </w:rPr>
      </w:pPr>
      <w:r w:rsidRPr="00AB3BAD">
        <w:rPr>
          <w:rFonts w:ascii="Arial" w:hAnsi="Arial" w:cs="Arial"/>
          <w:sz w:val="19"/>
          <w:szCs w:val="19"/>
        </w:rPr>
        <w:t>» Dentro</w:t>
      </w:r>
      <w:r w:rsidRPr="00AB3BAD" w:rsidR="00ED2827">
        <w:rPr>
          <w:rFonts w:ascii="Arial" w:hAnsi="Arial" w:cs="Arial"/>
          <w:sz w:val="19"/>
          <w:szCs w:val="19"/>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rsidRPr="00AB3BAD" w:rsidR="00ED2827" w:rsidP="00ED2827" w:rsidRDefault="007F2C80" w14:paraId="7A3BECD0" w14:textId="0F0D7E71">
      <w:pPr>
        <w:pStyle w:val="Textonotapie"/>
        <w:ind w:firstLine="709"/>
        <w:jc w:val="both"/>
        <w:rPr>
          <w:rFonts w:ascii="Arial" w:hAnsi="Arial" w:cs="Arial"/>
          <w:sz w:val="19"/>
          <w:szCs w:val="19"/>
        </w:rPr>
      </w:pPr>
      <w:r w:rsidRPr="00AB3BAD">
        <w:rPr>
          <w:rFonts w:ascii="Arial" w:hAnsi="Arial" w:cs="Arial"/>
          <w:sz w:val="19"/>
          <w:szCs w:val="19"/>
        </w:rPr>
        <w:t>» Con</w:t>
      </w:r>
      <w:r w:rsidRPr="00AB3BAD" w:rsidR="00ED2827">
        <w:rPr>
          <w:rFonts w:ascii="Arial" w:hAnsi="Arial" w:cs="Arial"/>
          <w:sz w:val="19"/>
          <w:szCs w:val="19"/>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rsidRPr="00AB3BAD" w:rsidR="00ED2827" w:rsidP="00ED2827" w:rsidRDefault="00ED2827" w14:paraId="67F8D33B" w14:textId="77777777">
      <w:pPr>
        <w:pStyle w:val="Textonotapie"/>
        <w:ind w:firstLine="709"/>
        <w:jc w:val="both"/>
        <w:rPr>
          <w:rFonts w:ascii="Arial" w:hAnsi="Arial" w:cs="Arial"/>
          <w:sz w:val="19"/>
          <w:szCs w:val="19"/>
        </w:rPr>
      </w:pPr>
      <w:r w:rsidRPr="00AB3BAD">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rsidRPr="00AB3BAD" w:rsidR="00ED2827" w:rsidP="00ED2827" w:rsidRDefault="00ED2827" w14:paraId="4FCC7F62" w14:textId="77777777">
      <w:pPr>
        <w:pStyle w:val="Textonotapie"/>
        <w:ind w:firstLine="709"/>
        <w:jc w:val="both"/>
        <w:rPr>
          <w:rFonts w:ascii="Arial" w:hAnsi="Arial" w:cs="Arial"/>
          <w:sz w:val="19"/>
          <w:szCs w:val="19"/>
        </w:rPr>
      </w:pPr>
      <w:r w:rsidRPr="00AB3BAD">
        <w:rPr>
          <w:rFonts w:ascii="Arial" w:hAnsi="Arial" w:cs="Arial"/>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5">
    <w:p w:rsidR="00ED2827" w:rsidP="00AA11F2" w:rsidRDefault="00ED2827" w14:paraId="703F74C2" w14:textId="5A075423">
      <w:pPr>
        <w:pStyle w:val="Textonotapie"/>
        <w:ind w:firstLine="709"/>
        <w:jc w:val="both"/>
        <w:rPr>
          <w:rFonts w:ascii="Arial" w:hAnsi="Arial" w:cs="Arial"/>
          <w:sz w:val="19"/>
          <w:szCs w:val="19"/>
        </w:rPr>
      </w:pPr>
      <w:r>
        <w:rPr>
          <w:rStyle w:val="Refdenotaalpie"/>
        </w:rPr>
        <w:footnoteRef/>
      </w:r>
      <w:r>
        <w:t xml:space="preserve"> </w:t>
      </w:r>
      <w:r w:rsidRPr="00B40B47">
        <w:rPr>
          <w:rFonts w:ascii="Arial" w:hAnsi="Arial" w:cs="Arial"/>
          <w:sz w:val="19"/>
          <w:szCs w:val="19"/>
        </w:rPr>
        <w:t xml:space="preserve">Para el efecto, se puede consultar el siguiente enlace en el cual </w:t>
      </w:r>
      <w:r>
        <w:rPr>
          <w:rFonts w:ascii="Arial" w:hAnsi="Arial" w:cs="Arial"/>
          <w:sz w:val="19"/>
          <w:szCs w:val="19"/>
        </w:rPr>
        <w:t>se encuentran</w:t>
      </w:r>
      <w:r w:rsidRPr="00B40B47">
        <w:rPr>
          <w:rFonts w:ascii="Arial" w:hAnsi="Arial" w:cs="Arial"/>
          <w:sz w:val="19"/>
          <w:szCs w:val="19"/>
        </w:rPr>
        <w:t xml:space="preserve"> todos los documentos</w:t>
      </w:r>
      <w:r>
        <w:rPr>
          <w:rFonts w:ascii="Arial" w:hAnsi="Arial" w:cs="Arial"/>
          <w:sz w:val="19"/>
          <w:szCs w:val="19"/>
        </w:rPr>
        <w:t xml:space="preserve"> tipo actualmente implementados por Colombia Compra Eficiente </w:t>
      </w:r>
      <w:hyperlink w:history="1" r:id="rId1">
        <w:r w:rsidRPr="00B40B47">
          <w:rPr>
            <w:rFonts w:ascii="Arial" w:hAnsi="Arial" w:cs="Arial"/>
            <w:sz w:val="19"/>
            <w:szCs w:val="19"/>
          </w:rPr>
          <w:t>https://www.colombiacompra.gov.co/documentos-tipo/documentos-tipo</w:t>
        </w:r>
      </w:hyperlink>
    </w:p>
    <w:p w:rsidRPr="00AA11F2" w:rsidR="00646CDD" w:rsidP="00AA11F2" w:rsidRDefault="00646CDD" w14:paraId="6633B37B" w14:textId="77777777">
      <w:pPr>
        <w:pStyle w:val="Textonotapie"/>
        <w:ind w:firstLine="709"/>
        <w:jc w:val="both"/>
        <w:rPr>
          <w:color w:val="000000" w:themeColor="text1"/>
        </w:rPr>
      </w:pPr>
    </w:p>
  </w:footnote>
  <w:footnote w:id="6">
    <w:p w:rsidRPr="00D65DFE" w:rsidR="00ED2827" w:rsidP="00884BCF" w:rsidRDefault="00ED2827" w14:paraId="3D669068" w14:textId="38D7272F">
      <w:pPr>
        <w:pStyle w:val="Textonotapie"/>
        <w:ind w:firstLine="709"/>
        <w:rPr>
          <w:rFonts w:ascii="Arial" w:hAnsi="Arial" w:cs="Arial"/>
          <w:sz w:val="19"/>
          <w:szCs w:val="19"/>
        </w:rPr>
      </w:pPr>
      <w:r w:rsidRPr="00D65DFE">
        <w:rPr>
          <w:rStyle w:val="Refdenotaalpie"/>
          <w:rFonts w:ascii="Arial" w:hAnsi="Arial" w:cs="Arial"/>
          <w:sz w:val="19"/>
          <w:szCs w:val="19"/>
        </w:rPr>
        <w:footnoteRef/>
      </w:r>
      <w:r w:rsidRPr="00D65DFE">
        <w:rPr>
          <w:rFonts w:ascii="Arial" w:hAnsi="Arial" w:cs="Arial"/>
          <w:sz w:val="19"/>
          <w:szCs w:val="19"/>
        </w:rPr>
        <w:t xml:space="preserve"> Definición Rae</w:t>
      </w:r>
      <w:r>
        <w:rPr>
          <w:rFonts w:ascii="Arial" w:hAnsi="Arial" w:cs="Arial"/>
          <w:sz w:val="19"/>
          <w:szCs w:val="19"/>
        </w:rPr>
        <w:t>. Disponible en</w:t>
      </w:r>
      <w:r w:rsidRPr="00873863">
        <w:rPr>
          <w:rFonts w:ascii="Arial" w:hAnsi="Arial" w:cs="Arial"/>
          <w:color w:val="000000" w:themeColor="text1"/>
          <w:sz w:val="19"/>
          <w:szCs w:val="19"/>
        </w:rPr>
        <w:t xml:space="preserve"> </w:t>
      </w:r>
      <w:hyperlink w:history="1" r:id="rId2">
        <w:r w:rsidRPr="00873863">
          <w:rPr>
            <w:rStyle w:val="Hipervnculo"/>
            <w:rFonts w:ascii="Arial" w:hAnsi="Arial" w:cs="Arial"/>
            <w:color w:val="000000" w:themeColor="text1"/>
            <w:sz w:val="19"/>
            <w:szCs w:val="19"/>
            <w:u w:val="none"/>
          </w:rPr>
          <w:t>https://dle.rae.es/consultar</w:t>
        </w:r>
      </w:hyperlink>
      <w:r>
        <w:rPr>
          <w:rStyle w:val="Hipervnculo"/>
          <w:rFonts w:ascii="Arial" w:hAnsi="Arial" w:cs="Arial"/>
          <w:color w:val="000000" w:themeColor="text1"/>
          <w:sz w:val="19"/>
          <w:szCs w:val="19"/>
          <w:u w:val="none"/>
        </w:rPr>
        <w:t xml:space="preserve"> </w:t>
      </w:r>
    </w:p>
  </w:footnote>
  <w:footnote w:id="7">
    <w:p w:rsidR="00646CDD" w:rsidP="00ED2827" w:rsidRDefault="00646CDD" w14:paraId="130BE0E9" w14:textId="77777777">
      <w:pPr>
        <w:pStyle w:val="Textonotapie"/>
        <w:ind w:firstLine="709"/>
      </w:pPr>
    </w:p>
    <w:p w:rsidRPr="00D65DFE" w:rsidR="00ED2827" w:rsidP="00ED2827" w:rsidRDefault="00ED2827" w14:paraId="22BECCBC" w14:textId="68795DAF">
      <w:pPr>
        <w:pStyle w:val="Textonotapie"/>
        <w:ind w:firstLine="709"/>
      </w:pPr>
      <w:r>
        <w:rPr>
          <w:rStyle w:val="Refdenotaalpie"/>
        </w:rPr>
        <w:footnoteRef/>
      </w:r>
      <w:r>
        <w:t xml:space="preserve"> </w:t>
      </w:r>
      <w:r w:rsidRPr="00D65DFE">
        <w:rPr>
          <w:rFonts w:ascii="Arial" w:hAnsi="Arial" w:cs="Arial"/>
          <w:sz w:val="19"/>
          <w:szCs w:val="19"/>
        </w:rPr>
        <w:t>Ibídem. Disponible en</w:t>
      </w:r>
      <w:r>
        <w:rPr>
          <w:rFonts w:ascii="Arial" w:hAnsi="Arial" w:cs="Arial"/>
          <w:sz w:val="19"/>
          <w:szCs w:val="19"/>
        </w:rPr>
        <w:t>:</w:t>
      </w:r>
      <w:r w:rsidRPr="00D65DFE">
        <w:rPr>
          <w:rFonts w:ascii="Arial" w:hAnsi="Arial" w:cs="Arial"/>
          <w:sz w:val="19"/>
          <w:szCs w:val="19"/>
        </w:rPr>
        <w:t xml:space="preserve"> https://www.rae.es/drae2001/an%C3%A1lisis</w:t>
      </w:r>
    </w:p>
  </w:footnote>
  <w:footnote w:id="8">
    <w:p w:rsidRPr="00AC6886" w:rsidR="00ED2827" w:rsidP="00ED2827" w:rsidRDefault="00ED2827" w14:paraId="2F882C67" w14:textId="77777777">
      <w:pPr>
        <w:pStyle w:val="Textonotapie"/>
        <w:ind w:firstLine="709"/>
        <w:rPr>
          <w:rFonts w:ascii="Arial" w:hAnsi="Arial" w:cs="Arial"/>
        </w:rPr>
      </w:pPr>
      <w:r w:rsidRPr="00AC6886">
        <w:rPr>
          <w:rStyle w:val="Refdenotaalpie"/>
          <w:rFonts w:ascii="Arial" w:hAnsi="Arial" w:cs="Arial"/>
        </w:rPr>
        <w:footnoteRef/>
      </w:r>
      <w:r w:rsidRPr="00AC6886">
        <w:rPr>
          <w:rFonts w:ascii="Arial" w:hAnsi="Arial" w:cs="Arial"/>
        </w:rPr>
        <w:t xml:space="preserve"> </w:t>
      </w:r>
      <w:r w:rsidRPr="00AC6886">
        <w:rPr>
          <w:rFonts w:ascii="Arial" w:hAnsi="Arial" w:cs="Arial"/>
          <w:sz w:val="19"/>
          <w:szCs w:val="19"/>
        </w:rPr>
        <w:t>Disponible en https://www.contraloria.gov.co/web/registro-de-obras-inconclusas</w:t>
      </w:r>
    </w:p>
  </w:footnote>
  <w:footnote w:id="9">
    <w:p w:rsidRPr="0009349F" w:rsidR="0010121B" w:rsidP="0010121B" w:rsidRDefault="0010121B" w14:paraId="6A743280" w14:textId="77777777">
      <w:pPr>
        <w:pStyle w:val="Textonotapie"/>
        <w:ind w:firstLine="708"/>
        <w:jc w:val="both"/>
        <w:rPr>
          <w:rFonts w:ascii="Arial" w:hAnsi="Arial" w:cs="Arial"/>
          <w:sz w:val="19"/>
          <w:szCs w:val="19"/>
        </w:rPr>
      </w:pPr>
      <w:r w:rsidRPr="0009349F">
        <w:rPr>
          <w:rStyle w:val="Refdenotaalpie"/>
          <w:rFonts w:ascii="Arial" w:hAnsi="Arial" w:cs="Arial"/>
          <w:sz w:val="19"/>
          <w:szCs w:val="19"/>
        </w:rPr>
        <w:footnoteRef/>
      </w:r>
      <w:r w:rsidRPr="0009349F">
        <w:rPr>
          <w:rFonts w:ascii="Arial" w:hAnsi="Arial" w:cs="Arial"/>
          <w:sz w:val="19"/>
          <w:szCs w:val="19"/>
        </w:rPr>
        <w:t xml:space="preserve"> Código de Comercio: «Artículo 98. Contrato de sociedad. Por el contrato de sociedad dos o más personas se obligan a hacer un aporte en dinero, en trabajo o en otros bienes apreciables en dinero, con el fin de repartirse entre sí las utilidades obtenidas en la empresa o actividad social. </w:t>
      </w:r>
    </w:p>
    <w:p w:rsidR="0010121B" w:rsidP="0010121B" w:rsidRDefault="0010121B" w14:paraId="06C255A2" w14:textId="77777777">
      <w:pPr>
        <w:pStyle w:val="Textonotapie"/>
        <w:ind w:firstLine="708"/>
        <w:jc w:val="both"/>
      </w:pPr>
      <w:r w:rsidRPr="0009349F">
        <w:rPr>
          <w:rFonts w:ascii="Arial" w:hAnsi="Arial" w:cs="Arial"/>
          <w:sz w:val="19"/>
          <w:szCs w:val="19"/>
        </w:rPr>
        <w:t>»La sociedad, una vez constituida legalmente, forma una persona jurídica distinta de los socios individualmente considerados».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526D46" w:rsidP="00214878" w:rsidRDefault="00526D46" w14:paraId="25140902" w14:textId="77777777">
    <w:pPr>
      <w:pStyle w:val="Encabezado"/>
    </w:pPr>
    <w:r>
      <w:rPr>
        <w:noProof/>
        <w:lang w:eastAsia="es-CO"/>
      </w:rPr>
      <w:drawing>
        <wp:anchor distT="0" distB="0" distL="114300" distR="114300" simplePos="0" relativeHeight="251679232" behindDoc="1" locked="0" layoutInCell="1" allowOverlap="1" wp14:anchorId="0CAA5338" wp14:editId="7D47356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214878" w:rsidR="00526D46" w:rsidP="00214878" w:rsidRDefault="00526D46" w14:paraId="6520770B" w14:textId="06FFF98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3F53BF"/>
    <w:multiLevelType w:val="multilevel"/>
    <w:tmpl w:val="24309AA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831F6D"/>
    <w:multiLevelType w:val="multilevel"/>
    <w:tmpl w:val="C680A8D8"/>
    <w:lvl w:ilvl="0">
      <w:start w:val="2"/>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2FE566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5" w15:restartNumberingAfterBreak="0">
    <w:nsid w:val="28FC776C"/>
    <w:multiLevelType w:val="multilevel"/>
    <w:tmpl w:val="DD4C4ACE"/>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0624A63"/>
    <w:multiLevelType w:val="hybridMultilevel"/>
    <w:tmpl w:val="15C81798"/>
    <w:lvl w:ilvl="0" w:tplc="556CA23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9"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F93209B"/>
    <w:multiLevelType w:val="multilevel"/>
    <w:tmpl w:val="6124202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6C5409E"/>
    <w:multiLevelType w:val="hybridMultilevel"/>
    <w:tmpl w:val="8242A65E"/>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3" w15:restartNumberingAfterBreak="0">
    <w:nsid w:val="49AC1A1A"/>
    <w:multiLevelType w:val="multilevel"/>
    <w:tmpl w:val="0546864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B570BEA"/>
    <w:multiLevelType w:val="multilevel"/>
    <w:tmpl w:val="D834E9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B98467D"/>
    <w:multiLevelType w:val="hybridMultilevel"/>
    <w:tmpl w:val="BA944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6C438C"/>
    <w:multiLevelType w:val="multilevel"/>
    <w:tmpl w:val="05BA12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0A64038"/>
    <w:multiLevelType w:val="multilevel"/>
    <w:tmpl w:val="B95A5F7E"/>
    <w:lvl w:ilvl="0">
      <w:start w:val="1"/>
      <w:numFmt w:val="decimal"/>
      <w:lvlText w:val="%1."/>
      <w:lvlJc w:val="left"/>
      <w:pPr>
        <w:ind w:left="660" w:hanging="360"/>
      </w:pPr>
      <w:rPr>
        <w:rFonts w:hint="default" w:ascii="Arial" w:hAnsi="Arial" w:eastAsia="Arial" w:cs="Arial"/>
        <w:b/>
        <w:bCs/>
        <w:color w:val="4E4D4D"/>
        <w:spacing w:val="-8"/>
        <w:w w:val="100"/>
        <w:sz w:val="22"/>
        <w:szCs w:val="22"/>
        <w:lang w:val="es-ES" w:eastAsia="en-US" w:bidi="ar-SA"/>
      </w:rPr>
    </w:lvl>
    <w:lvl w:ilvl="1">
      <w:start w:val="1"/>
      <w:numFmt w:val="decimal"/>
      <w:lvlText w:val="%1.%2"/>
      <w:lvlJc w:val="left"/>
      <w:pPr>
        <w:ind w:left="665" w:hanging="365"/>
      </w:pPr>
      <w:rPr>
        <w:rFonts w:hint="default"/>
        <w:b/>
        <w:bCs/>
        <w:spacing w:val="-1"/>
        <w:w w:val="100"/>
        <w:lang w:val="es-ES" w:eastAsia="en-US" w:bidi="ar-SA"/>
      </w:rPr>
    </w:lvl>
    <w:lvl w:ilvl="2">
      <w:numFmt w:val="bullet"/>
      <w:lvlText w:val="•"/>
      <w:lvlJc w:val="left"/>
      <w:pPr>
        <w:ind w:left="2436" w:hanging="365"/>
      </w:pPr>
      <w:rPr>
        <w:rFonts w:hint="default"/>
        <w:lang w:val="es-ES" w:eastAsia="en-US" w:bidi="ar-SA"/>
      </w:rPr>
    </w:lvl>
    <w:lvl w:ilvl="3">
      <w:numFmt w:val="bullet"/>
      <w:lvlText w:val="•"/>
      <w:lvlJc w:val="left"/>
      <w:pPr>
        <w:ind w:left="3324" w:hanging="365"/>
      </w:pPr>
      <w:rPr>
        <w:rFonts w:hint="default"/>
        <w:lang w:val="es-ES" w:eastAsia="en-US" w:bidi="ar-SA"/>
      </w:rPr>
    </w:lvl>
    <w:lvl w:ilvl="4">
      <w:numFmt w:val="bullet"/>
      <w:lvlText w:val="•"/>
      <w:lvlJc w:val="left"/>
      <w:pPr>
        <w:ind w:left="4212" w:hanging="365"/>
      </w:pPr>
      <w:rPr>
        <w:rFonts w:hint="default"/>
        <w:lang w:val="es-ES" w:eastAsia="en-US" w:bidi="ar-SA"/>
      </w:rPr>
    </w:lvl>
    <w:lvl w:ilvl="5">
      <w:numFmt w:val="bullet"/>
      <w:lvlText w:val="•"/>
      <w:lvlJc w:val="left"/>
      <w:pPr>
        <w:ind w:left="5100" w:hanging="365"/>
      </w:pPr>
      <w:rPr>
        <w:rFonts w:hint="default"/>
        <w:lang w:val="es-ES" w:eastAsia="en-US" w:bidi="ar-SA"/>
      </w:rPr>
    </w:lvl>
    <w:lvl w:ilvl="6">
      <w:numFmt w:val="bullet"/>
      <w:lvlText w:val="•"/>
      <w:lvlJc w:val="left"/>
      <w:pPr>
        <w:ind w:left="5988" w:hanging="365"/>
      </w:pPr>
      <w:rPr>
        <w:rFonts w:hint="default"/>
        <w:lang w:val="es-ES" w:eastAsia="en-US" w:bidi="ar-SA"/>
      </w:rPr>
    </w:lvl>
    <w:lvl w:ilvl="7">
      <w:numFmt w:val="bullet"/>
      <w:lvlText w:val="•"/>
      <w:lvlJc w:val="left"/>
      <w:pPr>
        <w:ind w:left="6876" w:hanging="365"/>
      </w:pPr>
      <w:rPr>
        <w:rFonts w:hint="default"/>
        <w:lang w:val="es-ES" w:eastAsia="en-US" w:bidi="ar-SA"/>
      </w:rPr>
    </w:lvl>
    <w:lvl w:ilvl="8">
      <w:numFmt w:val="bullet"/>
      <w:lvlText w:val="•"/>
      <w:lvlJc w:val="left"/>
      <w:pPr>
        <w:ind w:left="7764" w:hanging="365"/>
      </w:pPr>
      <w:rPr>
        <w:rFonts w:hint="default"/>
        <w:lang w:val="es-ES" w:eastAsia="en-US" w:bidi="ar-SA"/>
      </w:rPr>
    </w:lvl>
  </w:abstractNum>
  <w:abstractNum w:abstractNumId="18" w15:restartNumberingAfterBreak="0">
    <w:nsid w:val="54B563F4"/>
    <w:multiLevelType w:val="multilevel"/>
    <w:tmpl w:val="942A7EE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5A5700A7"/>
    <w:multiLevelType w:val="hybridMultilevel"/>
    <w:tmpl w:val="622A6754"/>
    <w:lvl w:ilvl="0" w:tplc="F8243C5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1" w15:restartNumberingAfterBreak="0">
    <w:nsid w:val="5DC52852"/>
    <w:multiLevelType w:val="multilevel"/>
    <w:tmpl w:val="10667D14"/>
    <w:lvl w:ilvl="0">
      <w:start w:val="1"/>
      <w:numFmt w:val="decimal"/>
      <w:lvlText w:val="%1."/>
      <w:lvlJc w:val="left"/>
      <w:pPr>
        <w:ind w:left="644" w:hanging="360"/>
      </w:pPr>
      <w:rPr>
        <w:rFonts w:hint="default"/>
        <w:color w:val="auto"/>
        <w:sz w:val="20"/>
        <w:szCs w:val="20"/>
      </w:rPr>
    </w:lvl>
    <w:lvl w:ilvl="1">
      <w:start w:val="1"/>
      <w:numFmt w:val="decimal"/>
      <w:lvlText w:val="3.%2."/>
      <w:lvlJc w:val="left"/>
      <w:pPr>
        <w:ind w:left="1288" w:hanging="720"/>
      </w:pPr>
      <w:rPr>
        <w:rFonts w:hint="default"/>
        <w:b/>
        <w:i w:val="0"/>
        <w:color w:val="000000"/>
      </w:rPr>
    </w:lvl>
    <w:lvl w:ilvl="2">
      <w:start w:val="1"/>
      <w:numFmt w:val="decimal"/>
      <w:lvlText w:val="3.5.%3."/>
      <w:lvlJc w:val="left"/>
      <w:pPr>
        <w:ind w:left="1248" w:hanging="624"/>
      </w:pPr>
      <w:rPr>
        <w:rFonts w:hint="default"/>
        <w:b w:val="0"/>
        <w:bCs/>
        <w:i w:val="0"/>
      </w:rPr>
    </w:lvl>
    <w:lvl w:ilvl="3">
      <w:start w:val="1"/>
      <w:numFmt w:val="decimal"/>
      <w:lvlText w:val="%1.%2.%3.%4."/>
      <w:lvlJc w:val="left"/>
      <w:pPr>
        <w:ind w:left="1364" w:hanging="1080"/>
      </w:pPr>
      <w:rPr>
        <w:rFonts w:hint="default"/>
        <w:b/>
      </w:rPr>
    </w:lvl>
    <w:lvl w:ilvl="4">
      <w:start w:val="1"/>
      <w:numFmt w:val="decimal"/>
      <w:lvlText w:val="%1.%2.%3.%4.%5."/>
      <w:lvlJc w:val="left"/>
      <w:pPr>
        <w:ind w:left="1364" w:hanging="1080"/>
      </w:pPr>
      <w:rPr>
        <w:rFonts w:hint="default"/>
      </w:rPr>
    </w:lvl>
    <w:lvl w:ilvl="5">
      <w:start w:val="1"/>
      <w:numFmt w:val="decimal"/>
      <w:lvlText w:val="%1.%2.%3.%4.%5.%6."/>
      <w:lvlJc w:val="left"/>
      <w:pPr>
        <w:ind w:left="1724" w:hanging="144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2084" w:hanging="1800"/>
      </w:pPr>
      <w:rPr>
        <w:rFonts w:hint="default"/>
      </w:rPr>
    </w:lvl>
    <w:lvl w:ilvl="8">
      <w:start w:val="1"/>
      <w:numFmt w:val="decimal"/>
      <w:lvlText w:val="%1.%2.%3.%4.%5.%6.%7.%8.%9."/>
      <w:lvlJc w:val="left"/>
      <w:pPr>
        <w:ind w:left="2084" w:hanging="1800"/>
      </w:pPr>
      <w:rPr>
        <w:rFonts w:hint="default"/>
      </w:rPr>
    </w:lvl>
  </w:abstractNum>
  <w:abstractNum w:abstractNumId="22" w15:restartNumberingAfterBreak="0">
    <w:nsid w:val="6A4B052F"/>
    <w:multiLevelType w:val="hybridMultilevel"/>
    <w:tmpl w:val="5D40EA1C"/>
    <w:lvl w:ilvl="0" w:tplc="54F469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25" w15:restartNumberingAfterBreak="0">
    <w:nsid w:val="716D1FFB"/>
    <w:multiLevelType w:val="multilevel"/>
    <w:tmpl w:val="399A4B3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asciiTheme="minorHAnsi" w:hAnsiTheme="minorHAnsi" w:cstheme="minorHAnsi"/>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7"/>
  </w:num>
  <w:num w:numId="3">
    <w:abstractNumId w:val="12"/>
  </w:num>
  <w:num w:numId="4">
    <w:abstractNumId w:val="19"/>
  </w:num>
  <w:num w:numId="5">
    <w:abstractNumId w:val="23"/>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3"/>
  </w:num>
  <w:num w:numId="9">
    <w:abstractNumId w:val="22"/>
  </w:num>
  <w:num w:numId="10">
    <w:abstractNumId w:val="17"/>
  </w:num>
  <w:num w:numId="11">
    <w:abstractNumId w:val="13"/>
  </w:num>
  <w:num w:numId="12">
    <w:abstractNumId w:val="1"/>
  </w:num>
  <w:num w:numId="13">
    <w:abstractNumId w:val="15"/>
  </w:num>
  <w:num w:numId="14">
    <w:abstractNumId w:val="18"/>
  </w:num>
  <w:num w:numId="15">
    <w:abstractNumId w:val="1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6"/>
  </w:num>
  <w:num w:numId="24">
    <w:abstractNumId w:val="25"/>
  </w:num>
  <w:num w:numId="25">
    <w:abstractNumId w:val="14"/>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trackRevisions w:val="fals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503C"/>
    <w:rsid w:val="00007845"/>
    <w:rsid w:val="00015DF9"/>
    <w:rsid w:val="00016223"/>
    <w:rsid w:val="00022430"/>
    <w:rsid w:val="00023BE4"/>
    <w:rsid w:val="00023C87"/>
    <w:rsid w:val="0002551F"/>
    <w:rsid w:val="000268D8"/>
    <w:rsid w:val="00031284"/>
    <w:rsid w:val="00031FC6"/>
    <w:rsid w:val="00033B21"/>
    <w:rsid w:val="00035210"/>
    <w:rsid w:val="00036204"/>
    <w:rsid w:val="00043688"/>
    <w:rsid w:val="0004523D"/>
    <w:rsid w:val="00051B4F"/>
    <w:rsid w:val="00054A7B"/>
    <w:rsid w:val="00056788"/>
    <w:rsid w:val="00060398"/>
    <w:rsid w:val="00060721"/>
    <w:rsid w:val="00064E2F"/>
    <w:rsid w:val="000700C2"/>
    <w:rsid w:val="000709B9"/>
    <w:rsid w:val="00074108"/>
    <w:rsid w:val="00075235"/>
    <w:rsid w:val="0008060F"/>
    <w:rsid w:val="000821B3"/>
    <w:rsid w:val="00082C65"/>
    <w:rsid w:val="00084AF1"/>
    <w:rsid w:val="00086C1E"/>
    <w:rsid w:val="00091F03"/>
    <w:rsid w:val="0009351A"/>
    <w:rsid w:val="000942EB"/>
    <w:rsid w:val="000950AA"/>
    <w:rsid w:val="000A0B9B"/>
    <w:rsid w:val="000A3D48"/>
    <w:rsid w:val="000A4AA5"/>
    <w:rsid w:val="000A617B"/>
    <w:rsid w:val="000A785D"/>
    <w:rsid w:val="000B103F"/>
    <w:rsid w:val="000B199F"/>
    <w:rsid w:val="000B2127"/>
    <w:rsid w:val="000B3997"/>
    <w:rsid w:val="000B5754"/>
    <w:rsid w:val="000B6AB4"/>
    <w:rsid w:val="000C0959"/>
    <w:rsid w:val="000C19E1"/>
    <w:rsid w:val="000C6A21"/>
    <w:rsid w:val="000C7696"/>
    <w:rsid w:val="000C77F0"/>
    <w:rsid w:val="000D02B3"/>
    <w:rsid w:val="000D3A92"/>
    <w:rsid w:val="000D4A92"/>
    <w:rsid w:val="000E0550"/>
    <w:rsid w:val="000E1BF2"/>
    <w:rsid w:val="000E1FCB"/>
    <w:rsid w:val="000E4B5C"/>
    <w:rsid w:val="000E699E"/>
    <w:rsid w:val="000E730C"/>
    <w:rsid w:val="000E7F0F"/>
    <w:rsid w:val="000F14E8"/>
    <w:rsid w:val="000F18A6"/>
    <w:rsid w:val="000F4EAF"/>
    <w:rsid w:val="0010121B"/>
    <w:rsid w:val="00103915"/>
    <w:rsid w:val="001069A9"/>
    <w:rsid w:val="001077FC"/>
    <w:rsid w:val="00110320"/>
    <w:rsid w:val="001103A2"/>
    <w:rsid w:val="00110893"/>
    <w:rsid w:val="001137BD"/>
    <w:rsid w:val="00113958"/>
    <w:rsid w:val="00121CD3"/>
    <w:rsid w:val="00122B23"/>
    <w:rsid w:val="00123889"/>
    <w:rsid w:val="00123BC3"/>
    <w:rsid w:val="00125924"/>
    <w:rsid w:val="00125C5F"/>
    <w:rsid w:val="001262A0"/>
    <w:rsid w:val="00130EF4"/>
    <w:rsid w:val="001353DC"/>
    <w:rsid w:val="0013568D"/>
    <w:rsid w:val="0013799F"/>
    <w:rsid w:val="00137FFA"/>
    <w:rsid w:val="001407F6"/>
    <w:rsid w:val="00140A32"/>
    <w:rsid w:val="00141FAC"/>
    <w:rsid w:val="001428A2"/>
    <w:rsid w:val="00151923"/>
    <w:rsid w:val="001550A3"/>
    <w:rsid w:val="00161B7E"/>
    <w:rsid w:val="00163902"/>
    <w:rsid w:val="00165A81"/>
    <w:rsid w:val="0016608C"/>
    <w:rsid w:val="00166B32"/>
    <w:rsid w:val="001742D5"/>
    <w:rsid w:val="00175FDC"/>
    <w:rsid w:val="0018007B"/>
    <w:rsid w:val="001821C5"/>
    <w:rsid w:val="00182369"/>
    <w:rsid w:val="00185443"/>
    <w:rsid w:val="00186402"/>
    <w:rsid w:val="001929F9"/>
    <w:rsid w:val="00193DFB"/>
    <w:rsid w:val="00193EFC"/>
    <w:rsid w:val="00195745"/>
    <w:rsid w:val="00197767"/>
    <w:rsid w:val="001A2276"/>
    <w:rsid w:val="001A36B8"/>
    <w:rsid w:val="001A695E"/>
    <w:rsid w:val="001A7009"/>
    <w:rsid w:val="001B2FB1"/>
    <w:rsid w:val="001B493A"/>
    <w:rsid w:val="001B4BB7"/>
    <w:rsid w:val="001B6613"/>
    <w:rsid w:val="001C01AC"/>
    <w:rsid w:val="001C195E"/>
    <w:rsid w:val="001C6B55"/>
    <w:rsid w:val="001D088A"/>
    <w:rsid w:val="001D175D"/>
    <w:rsid w:val="001D5178"/>
    <w:rsid w:val="001D7AA9"/>
    <w:rsid w:val="001E0B25"/>
    <w:rsid w:val="001E62AF"/>
    <w:rsid w:val="001F2A9C"/>
    <w:rsid w:val="001F3D56"/>
    <w:rsid w:val="001F6D03"/>
    <w:rsid w:val="001F7686"/>
    <w:rsid w:val="002002A3"/>
    <w:rsid w:val="00202F2E"/>
    <w:rsid w:val="002109B6"/>
    <w:rsid w:val="0021312A"/>
    <w:rsid w:val="0021354E"/>
    <w:rsid w:val="00213765"/>
    <w:rsid w:val="00214878"/>
    <w:rsid w:val="0022174A"/>
    <w:rsid w:val="0022358F"/>
    <w:rsid w:val="00224AFF"/>
    <w:rsid w:val="00233154"/>
    <w:rsid w:val="002346FC"/>
    <w:rsid w:val="00234B84"/>
    <w:rsid w:val="00237377"/>
    <w:rsid w:val="002411E9"/>
    <w:rsid w:val="0024158B"/>
    <w:rsid w:val="0024213C"/>
    <w:rsid w:val="00242488"/>
    <w:rsid w:val="00242ED7"/>
    <w:rsid w:val="0024480D"/>
    <w:rsid w:val="002451C1"/>
    <w:rsid w:val="002454B3"/>
    <w:rsid w:val="00245807"/>
    <w:rsid w:val="0024669C"/>
    <w:rsid w:val="00247519"/>
    <w:rsid w:val="00250179"/>
    <w:rsid w:val="00250EB5"/>
    <w:rsid w:val="0025403B"/>
    <w:rsid w:val="0026156A"/>
    <w:rsid w:val="0026186C"/>
    <w:rsid w:val="00261A2E"/>
    <w:rsid w:val="002630D9"/>
    <w:rsid w:val="00263252"/>
    <w:rsid w:val="00270578"/>
    <w:rsid w:val="002706B4"/>
    <w:rsid w:val="00272A2A"/>
    <w:rsid w:val="002743AA"/>
    <w:rsid w:val="0027647E"/>
    <w:rsid w:val="00277E34"/>
    <w:rsid w:val="0028090F"/>
    <w:rsid w:val="00280E65"/>
    <w:rsid w:val="00287A42"/>
    <w:rsid w:val="00291854"/>
    <w:rsid w:val="002918F7"/>
    <w:rsid w:val="00294025"/>
    <w:rsid w:val="00294A08"/>
    <w:rsid w:val="002A2CEC"/>
    <w:rsid w:val="002A31F8"/>
    <w:rsid w:val="002A36A9"/>
    <w:rsid w:val="002A4D54"/>
    <w:rsid w:val="002A62A8"/>
    <w:rsid w:val="002A758B"/>
    <w:rsid w:val="002B3D4E"/>
    <w:rsid w:val="002C71CA"/>
    <w:rsid w:val="002C7E55"/>
    <w:rsid w:val="002C7E5B"/>
    <w:rsid w:val="002D1AA6"/>
    <w:rsid w:val="002D5268"/>
    <w:rsid w:val="002D7A0C"/>
    <w:rsid w:val="002E1753"/>
    <w:rsid w:val="002E7375"/>
    <w:rsid w:val="002E79A9"/>
    <w:rsid w:val="002F2195"/>
    <w:rsid w:val="002F2AA2"/>
    <w:rsid w:val="002F3127"/>
    <w:rsid w:val="002F33C3"/>
    <w:rsid w:val="002F723E"/>
    <w:rsid w:val="00300384"/>
    <w:rsid w:val="003011A3"/>
    <w:rsid w:val="00302E0A"/>
    <w:rsid w:val="00303001"/>
    <w:rsid w:val="003033BA"/>
    <w:rsid w:val="00305947"/>
    <w:rsid w:val="00306259"/>
    <w:rsid w:val="003067C4"/>
    <w:rsid w:val="00310229"/>
    <w:rsid w:val="00313908"/>
    <w:rsid w:val="003159B5"/>
    <w:rsid w:val="00315C98"/>
    <w:rsid w:val="003177B8"/>
    <w:rsid w:val="00320885"/>
    <w:rsid w:val="00321084"/>
    <w:rsid w:val="00323084"/>
    <w:rsid w:val="00324B9B"/>
    <w:rsid w:val="00330E9B"/>
    <w:rsid w:val="0033352A"/>
    <w:rsid w:val="00333DA4"/>
    <w:rsid w:val="00333DBC"/>
    <w:rsid w:val="003361DF"/>
    <w:rsid w:val="00341979"/>
    <w:rsid w:val="0034680A"/>
    <w:rsid w:val="003471F9"/>
    <w:rsid w:val="003476BD"/>
    <w:rsid w:val="00352311"/>
    <w:rsid w:val="0035408A"/>
    <w:rsid w:val="00356E6F"/>
    <w:rsid w:val="00356FAB"/>
    <w:rsid w:val="00360FFA"/>
    <w:rsid w:val="00361BB8"/>
    <w:rsid w:val="003644CA"/>
    <w:rsid w:val="003657FD"/>
    <w:rsid w:val="0037000E"/>
    <w:rsid w:val="00373129"/>
    <w:rsid w:val="003751BE"/>
    <w:rsid w:val="00386456"/>
    <w:rsid w:val="00387590"/>
    <w:rsid w:val="003925E0"/>
    <w:rsid w:val="00392F03"/>
    <w:rsid w:val="003945B8"/>
    <w:rsid w:val="00395367"/>
    <w:rsid w:val="003A1AAE"/>
    <w:rsid w:val="003A299C"/>
    <w:rsid w:val="003A581E"/>
    <w:rsid w:val="003B0B5A"/>
    <w:rsid w:val="003B2D22"/>
    <w:rsid w:val="003B4F39"/>
    <w:rsid w:val="003B743E"/>
    <w:rsid w:val="003C07D6"/>
    <w:rsid w:val="003C3A75"/>
    <w:rsid w:val="003C7FEF"/>
    <w:rsid w:val="003D0285"/>
    <w:rsid w:val="003D14E8"/>
    <w:rsid w:val="003D4535"/>
    <w:rsid w:val="003D7759"/>
    <w:rsid w:val="003E4D4D"/>
    <w:rsid w:val="003F2796"/>
    <w:rsid w:val="003F2F99"/>
    <w:rsid w:val="003F6F8C"/>
    <w:rsid w:val="00400B1D"/>
    <w:rsid w:val="00400DDE"/>
    <w:rsid w:val="00405662"/>
    <w:rsid w:val="00406008"/>
    <w:rsid w:val="00407293"/>
    <w:rsid w:val="00410870"/>
    <w:rsid w:val="00411418"/>
    <w:rsid w:val="00414A77"/>
    <w:rsid w:val="00415395"/>
    <w:rsid w:val="00416AC0"/>
    <w:rsid w:val="00416B88"/>
    <w:rsid w:val="00417402"/>
    <w:rsid w:val="00420FC0"/>
    <w:rsid w:val="0042114E"/>
    <w:rsid w:val="00425C7A"/>
    <w:rsid w:val="004268A3"/>
    <w:rsid w:val="0043152C"/>
    <w:rsid w:val="00432163"/>
    <w:rsid w:val="00434829"/>
    <w:rsid w:val="004348F9"/>
    <w:rsid w:val="00434BC9"/>
    <w:rsid w:val="004374A8"/>
    <w:rsid w:val="00437E10"/>
    <w:rsid w:val="0044200A"/>
    <w:rsid w:val="004422D6"/>
    <w:rsid w:val="00443F10"/>
    <w:rsid w:val="00444865"/>
    <w:rsid w:val="00445F18"/>
    <w:rsid w:val="004513E8"/>
    <w:rsid w:val="0045159C"/>
    <w:rsid w:val="004537E9"/>
    <w:rsid w:val="00454947"/>
    <w:rsid w:val="00456570"/>
    <w:rsid w:val="00457177"/>
    <w:rsid w:val="004619B2"/>
    <w:rsid w:val="00462527"/>
    <w:rsid w:val="00467950"/>
    <w:rsid w:val="00475159"/>
    <w:rsid w:val="0047578E"/>
    <w:rsid w:val="00477B6D"/>
    <w:rsid w:val="00477DEE"/>
    <w:rsid w:val="004823BF"/>
    <w:rsid w:val="00483490"/>
    <w:rsid w:val="00485AE3"/>
    <w:rsid w:val="00487048"/>
    <w:rsid w:val="0048775B"/>
    <w:rsid w:val="00490869"/>
    <w:rsid w:val="00490D6F"/>
    <w:rsid w:val="0049197E"/>
    <w:rsid w:val="00494E3C"/>
    <w:rsid w:val="004A15DE"/>
    <w:rsid w:val="004A214E"/>
    <w:rsid w:val="004A31FC"/>
    <w:rsid w:val="004A34D2"/>
    <w:rsid w:val="004A51B7"/>
    <w:rsid w:val="004B6213"/>
    <w:rsid w:val="004B62BE"/>
    <w:rsid w:val="004C035A"/>
    <w:rsid w:val="004C35C3"/>
    <w:rsid w:val="004C395F"/>
    <w:rsid w:val="004C56C4"/>
    <w:rsid w:val="004C64DF"/>
    <w:rsid w:val="004C6B9C"/>
    <w:rsid w:val="004C6BD2"/>
    <w:rsid w:val="004D021E"/>
    <w:rsid w:val="004D0CE5"/>
    <w:rsid w:val="004D1187"/>
    <w:rsid w:val="004D2202"/>
    <w:rsid w:val="004D2FE0"/>
    <w:rsid w:val="004D7988"/>
    <w:rsid w:val="004E14D2"/>
    <w:rsid w:val="004E2DEA"/>
    <w:rsid w:val="004E420A"/>
    <w:rsid w:val="004E4ADC"/>
    <w:rsid w:val="004E51E3"/>
    <w:rsid w:val="004E5900"/>
    <w:rsid w:val="004E6117"/>
    <w:rsid w:val="004F1298"/>
    <w:rsid w:val="004F1A74"/>
    <w:rsid w:val="004F29EE"/>
    <w:rsid w:val="004F2FA6"/>
    <w:rsid w:val="004F3CEB"/>
    <w:rsid w:val="004F3E22"/>
    <w:rsid w:val="0050193D"/>
    <w:rsid w:val="00501AD2"/>
    <w:rsid w:val="00502A6F"/>
    <w:rsid w:val="00502A9D"/>
    <w:rsid w:val="0050434E"/>
    <w:rsid w:val="00504B90"/>
    <w:rsid w:val="0051074C"/>
    <w:rsid w:val="00510EAF"/>
    <w:rsid w:val="00512714"/>
    <w:rsid w:val="00513AF2"/>
    <w:rsid w:val="0051416A"/>
    <w:rsid w:val="00517425"/>
    <w:rsid w:val="005174F9"/>
    <w:rsid w:val="00517832"/>
    <w:rsid w:val="00525238"/>
    <w:rsid w:val="00525C51"/>
    <w:rsid w:val="00526D46"/>
    <w:rsid w:val="00531345"/>
    <w:rsid w:val="00534449"/>
    <w:rsid w:val="005356EA"/>
    <w:rsid w:val="00536637"/>
    <w:rsid w:val="0053681E"/>
    <w:rsid w:val="00537683"/>
    <w:rsid w:val="00540783"/>
    <w:rsid w:val="00541DD0"/>
    <w:rsid w:val="0054229C"/>
    <w:rsid w:val="005427CF"/>
    <w:rsid w:val="00543CC9"/>
    <w:rsid w:val="0054413A"/>
    <w:rsid w:val="00545C2F"/>
    <w:rsid w:val="0054602D"/>
    <w:rsid w:val="00546CA7"/>
    <w:rsid w:val="00550BD9"/>
    <w:rsid w:val="00550FD8"/>
    <w:rsid w:val="00551489"/>
    <w:rsid w:val="00551777"/>
    <w:rsid w:val="00553EAD"/>
    <w:rsid w:val="005561F6"/>
    <w:rsid w:val="005564CA"/>
    <w:rsid w:val="00557C64"/>
    <w:rsid w:val="005617D4"/>
    <w:rsid w:val="005637B5"/>
    <w:rsid w:val="0057006A"/>
    <w:rsid w:val="00570241"/>
    <w:rsid w:val="00572EF9"/>
    <w:rsid w:val="00576A4A"/>
    <w:rsid w:val="00577104"/>
    <w:rsid w:val="00577185"/>
    <w:rsid w:val="00581EEC"/>
    <w:rsid w:val="005909E4"/>
    <w:rsid w:val="00590CFC"/>
    <w:rsid w:val="00591A47"/>
    <w:rsid w:val="00592702"/>
    <w:rsid w:val="005927D6"/>
    <w:rsid w:val="00592E79"/>
    <w:rsid w:val="005A1E1D"/>
    <w:rsid w:val="005A3893"/>
    <w:rsid w:val="005A4AEC"/>
    <w:rsid w:val="005A7711"/>
    <w:rsid w:val="005B0CD4"/>
    <w:rsid w:val="005B11C6"/>
    <w:rsid w:val="005B20E7"/>
    <w:rsid w:val="005B2645"/>
    <w:rsid w:val="005B27C3"/>
    <w:rsid w:val="005B2CF7"/>
    <w:rsid w:val="005B2F7D"/>
    <w:rsid w:val="005B57CE"/>
    <w:rsid w:val="005C1FC3"/>
    <w:rsid w:val="005C3EA1"/>
    <w:rsid w:val="005C50CF"/>
    <w:rsid w:val="005C6805"/>
    <w:rsid w:val="005C6BD0"/>
    <w:rsid w:val="005C7CDD"/>
    <w:rsid w:val="005D1B45"/>
    <w:rsid w:val="005D25BD"/>
    <w:rsid w:val="005D2E6E"/>
    <w:rsid w:val="005E3FDC"/>
    <w:rsid w:val="005E5AD9"/>
    <w:rsid w:val="005E6A47"/>
    <w:rsid w:val="005F05AC"/>
    <w:rsid w:val="00600AC5"/>
    <w:rsid w:val="00602CA3"/>
    <w:rsid w:val="00603487"/>
    <w:rsid w:val="00604F33"/>
    <w:rsid w:val="00611F98"/>
    <w:rsid w:val="00614C6D"/>
    <w:rsid w:val="00615A40"/>
    <w:rsid w:val="0062065E"/>
    <w:rsid w:val="0062127A"/>
    <w:rsid w:val="00621E35"/>
    <w:rsid w:val="0062303B"/>
    <w:rsid w:val="00630230"/>
    <w:rsid w:val="00636072"/>
    <w:rsid w:val="00636F11"/>
    <w:rsid w:val="00640226"/>
    <w:rsid w:val="006408C7"/>
    <w:rsid w:val="00641764"/>
    <w:rsid w:val="00644299"/>
    <w:rsid w:val="006442AE"/>
    <w:rsid w:val="00645D51"/>
    <w:rsid w:val="00646CDD"/>
    <w:rsid w:val="00647C5F"/>
    <w:rsid w:val="00653063"/>
    <w:rsid w:val="006535D1"/>
    <w:rsid w:val="00654AA6"/>
    <w:rsid w:val="006551DC"/>
    <w:rsid w:val="00655371"/>
    <w:rsid w:val="00656629"/>
    <w:rsid w:val="0066034E"/>
    <w:rsid w:val="00662A05"/>
    <w:rsid w:val="00667B66"/>
    <w:rsid w:val="006735A6"/>
    <w:rsid w:val="006754C6"/>
    <w:rsid w:val="00676EE8"/>
    <w:rsid w:val="00680BF1"/>
    <w:rsid w:val="00685F97"/>
    <w:rsid w:val="00687EC0"/>
    <w:rsid w:val="00690936"/>
    <w:rsid w:val="006922AA"/>
    <w:rsid w:val="00695958"/>
    <w:rsid w:val="00697665"/>
    <w:rsid w:val="006A5A2E"/>
    <w:rsid w:val="006A61EC"/>
    <w:rsid w:val="006A7104"/>
    <w:rsid w:val="006A7FD0"/>
    <w:rsid w:val="006B06BF"/>
    <w:rsid w:val="006B0B49"/>
    <w:rsid w:val="006B200D"/>
    <w:rsid w:val="006B6ED7"/>
    <w:rsid w:val="006C1038"/>
    <w:rsid w:val="006C1231"/>
    <w:rsid w:val="006C4039"/>
    <w:rsid w:val="006C68E6"/>
    <w:rsid w:val="006C731D"/>
    <w:rsid w:val="006D0C12"/>
    <w:rsid w:val="006D1878"/>
    <w:rsid w:val="006D32A2"/>
    <w:rsid w:val="006D7687"/>
    <w:rsid w:val="006D79C0"/>
    <w:rsid w:val="006E0572"/>
    <w:rsid w:val="006E1DE0"/>
    <w:rsid w:val="006F1DEF"/>
    <w:rsid w:val="006F35B9"/>
    <w:rsid w:val="006F42B8"/>
    <w:rsid w:val="006F48D1"/>
    <w:rsid w:val="006F5CF0"/>
    <w:rsid w:val="006F7E30"/>
    <w:rsid w:val="00700421"/>
    <w:rsid w:val="00700D9E"/>
    <w:rsid w:val="00702595"/>
    <w:rsid w:val="00703BE1"/>
    <w:rsid w:val="00704381"/>
    <w:rsid w:val="00704921"/>
    <w:rsid w:val="00704B0B"/>
    <w:rsid w:val="00705631"/>
    <w:rsid w:val="00710F03"/>
    <w:rsid w:val="00713D09"/>
    <w:rsid w:val="00714936"/>
    <w:rsid w:val="0071707F"/>
    <w:rsid w:val="00722293"/>
    <w:rsid w:val="00722B21"/>
    <w:rsid w:val="00722C4F"/>
    <w:rsid w:val="00722D63"/>
    <w:rsid w:val="00724C38"/>
    <w:rsid w:val="00725CC8"/>
    <w:rsid w:val="00727C3C"/>
    <w:rsid w:val="00734B73"/>
    <w:rsid w:val="00735C1A"/>
    <w:rsid w:val="00737DB6"/>
    <w:rsid w:val="007403F4"/>
    <w:rsid w:val="007424A8"/>
    <w:rsid w:val="00742C37"/>
    <w:rsid w:val="00742DD2"/>
    <w:rsid w:val="00744529"/>
    <w:rsid w:val="007447E6"/>
    <w:rsid w:val="00744CB8"/>
    <w:rsid w:val="007452CF"/>
    <w:rsid w:val="00746651"/>
    <w:rsid w:val="00746C4F"/>
    <w:rsid w:val="00746D5B"/>
    <w:rsid w:val="0075010E"/>
    <w:rsid w:val="00751CDD"/>
    <w:rsid w:val="00753D7A"/>
    <w:rsid w:val="0075631C"/>
    <w:rsid w:val="0075647A"/>
    <w:rsid w:val="00756905"/>
    <w:rsid w:val="00756B38"/>
    <w:rsid w:val="007575ED"/>
    <w:rsid w:val="007609E9"/>
    <w:rsid w:val="007618B2"/>
    <w:rsid w:val="007634AD"/>
    <w:rsid w:val="00764F47"/>
    <w:rsid w:val="00771882"/>
    <w:rsid w:val="0078122E"/>
    <w:rsid w:val="00781AA8"/>
    <w:rsid w:val="0078365A"/>
    <w:rsid w:val="007839FB"/>
    <w:rsid w:val="00783D11"/>
    <w:rsid w:val="0079134A"/>
    <w:rsid w:val="0079377E"/>
    <w:rsid w:val="00795113"/>
    <w:rsid w:val="007A6A34"/>
    <w:rsid w:val="007A765E"/>
    <w:rsid w:val="007B0854"/>
    <w:rsid w:val="007B304E"/>
    <w:rsid w:val="007C0CCA"/>
    <w:rsid w:val="007C1971"/>
    <w:rsid w:val="007C7CE4"/>
    <w:rsid w:val="007D1B79"/>
    <w:rsid w:val="007D3323"/>
    <w:rsid w:val="007D4021"/>
    <w:rsid w:val="007E193F"/>
    <w:rsid w:val="007E2255"/>
    <w:rsid w:val="007E24A0"/>
    <w:rsid w:val="007E331A"/>
    <w:rsid w:val="007E35D8"/>
    <w:rsid w:val="007E6D71"/>
    <w:rsid w:val="007F2C80"/>
    <w:rsid w:val="007F7255"/>
    <w:rsid w:val="007F72CB"/>
    <w:rsid w:val="00801F73"/>
    <w:rsid w:val="00802FF0"/>
    <w:rsid w:val="008065A8"/>
    <w:rsid w:val="00811EDD"/>
    <w:rsid w:val="00816B40"/>
    <w:rsid w:val="00817EA3"/>
    <w:rsid w:val="008201C7"/>
    <w:rsid w:val="008229F3"/>
    <w:rsid w:val="00824A6D"/>
    <w:rsid w:val="0083119B"/>
    <w:rsid w:val="00833336"/>
    <w:rsid w:val="00833A0B"/>
    <w:rsid w:val="00835C7D"/>
    <w:rsid w:val="00836EAB"/>
    <w:rsid w:val="00837C23"/>
    <w:rsid w:val="00847C80"/>
    <w:rsid w:val="0085092D"/>
    <w:rsid w:val="00854B8E"/>
    <w:rsid w:val="00854F1A"/>
    <w:rsid w:val="008615FD"/>
    <w:rsid w:val="00862405"/>
    <w:rsid w:val="008659FF"/>
    <w:rsid w:val="008662E2"/>
    <w:rsid w:val="0087187A"/>
    <w:rsid w:val="00871A33"/>
    <w:rsid w:val="00871BC2"/>
    <w:rsid w:val="0087201C"/>
    <w:rsid w:val="008735F6"/>
    <w:rsid w:val="00874B3D"/>
    <w:rsid w:val="00884BCF"/>
    <w:rsid w:val="00884F75"/>
    <w:rsid w:val="008865C0"/>
    <w:rsid w:val="00887324"/>
    <w:rsid w:val="0088776A"/>
    <w:rsid w:val="008903AE"/>
    <w:rsid w:val="0089135E"/>
    <w:rsid w:val="008938F5"/>
    <w:rsid w:val="008941DC"/>
    <w:rsid w:val="00894712"/>
    <w:rsid w:val="00896CE7"/>
    <w:rsid w:val="008A56B5"/>
    <w:rsid w:val="008A7BB3"/>
    <w:rsid w:val="008B11C1"/>
    <w:rsid w:val="008B4265"/>
    <w:rsid w:val="008B48B6"/>
    <w:rsid w:val="008B58DD"/>
    <w:rsid w:val="008B79E0"/>
    <w:rsid w:val="008C449B"/>
    <w:rsid w:val="008C5872"/>
    <w:rsid w:val="008C5FE5"/>
    <w:rsid w:val="008D1C27"/>
    <w:rsid w:val="008D5921"/>
    <w:rsid w:val="008D6676"/>
    <w:rsid w:val="008D7064"/>
    <w:rsid w:val="008E021A"/>
    <w:rsid w:val="008E1C15"/>
    <w:rsid w:val="008E5B2B"/>
    <w:rsid w:val="008E5BCB"/>
    <w:rsid w:val="008F1A13"/>
    <w:rsid w:val="008F53F4"/>
    <w:rsid w:val="00901339"/>
    <w:rsid w:val="00902872"/>
    <w:rsid w:val="00902AC5"/>
    <w:rsid w:val="009047C5"/>
    <w:rsid w:val="00906FED"/>
    <w:rsid w:val="009101AA"/>
    <w:rsid w:val="00911BF7"/>
    <w:rsid w:val="009123E9"/>
    <w:rsid w:val="009125D0"/>
    <w:rsid w:val="00913B77"/>
    <w:rsid w:val="00915107"/>
    <w:rsid w:val="00916DB5"/>
    <w:rsid w:val="00921955"/>
    <w:rsid w:val="00921D40"/>
    <w:rsid w:val="00923669"/>
    <w:rsid w:val="00923BCA"/>
    <w:rsid w:val="00925E33"/>
    <w:rsid w:val="00926613"/>
    <w:rsid w:val="009272AE"/>
    <w:rsid w:val="009329A4"/>
    <w:rsid w:val="009344B3"/>
    <w:rsid w:val="00934B9D"/>
    <w:rsid w:val="00941B45"/>
    <w:rsid w:val="00945A85"/>
    <w:rsid w:val="00947945"/>
    <w:rsid w:val="00950AE6"/>
    <w:rsid w:val="00950B9B"/>
    <w:rsid w:val="009513A9"/>
    <w:rsid w:val="00951524"/>
    <w:rsid w:val="0095340A"/>
    <w:rsid w:val="0095385A"/>
    <w:rsid w:val="00954AC6"/>
    <w:rsid w:val="00955E58"/>
    <w:rsid w:val="00957D80"/>
    <w:rsid w:val="0096389D"/>
    <w:rsid w:val="00965006"/>
    <w:rsid w:val="00966595"/>
    <w:rsid w:val="00971321"/>
    <w:rsid w:val="009713AA"/>
    <w:rsid w:val="0097455B"/>
    <w:rsid w:val="00977FDE"/>
    <w:rsid w:val="00980D5C"/>
    <w:rsid w:val="00981254"/>
    <w:rsid w:val="00982F90"/>
    <w:rsid w:val="009853D5"/>
    <w:rsid w:val="009859D4"/>
    <w:rsid w:val="00985B1F"/>
    <w:rsid w:val="0098629E"/>
    <w:rsid w:val="00990443"/>
    <w:rsid w:val="009A0124"/>
    <w:rsid w:val="009A035F"/>
    <w:rsid w:val="009A0487"/>
    <w:rsid w:val="009A54A3"/>
    <w:rsid w:val="009A57DE"/>
    <w:rsid w:val="009A7840"/>
    <w:rsid w:val="009A7EAF"/>
    <w:rsid w:val="009B2CCB"/>
    <w:rsid w:val="009B70D0"/>
    <w:rsid w:val="009C50D0"/>
    <w:rsid w:val="009C7373"/>
    <w:rsid w:val="009D02F9"/>
    <w:rsid w:val="009D6542"/>
    <w:rsid w:val="009E1FEB"/>
    <w:rsid w:val="009E49CC"/>
    <w:rsid w:val="009E4AF0"/>
    <w:rsid w:val="009E61D3"/>
    <w:rsid w:val="009E6CE8"/>
    <w:rsid w:val="009F12D8"/>
    <w:rsid w:val="009F28B6"/>
    <w:rsid w:val="00A06475"/>
    <w:rsid w:val="00A06772"/>
    <w:rsid w:val="00A074BF"/>
    <w:rsid w:val="00A0798E"/>
    <w:rsid w:val="00A12E39"/>
    <w:rsid w:val="00A1500F"/>
    <w:rsid w:val="00A17103"/>
    <w:rsid w:val="00A20719"/>
    <w:rsid w:val="00A23EDF"/>
    <w:rsid w:val="00A241AD"/>
    <w:rsid w:val="00A24322"/>
    <w:rsid w:val="00A24560"/>
    <w:rsid w:val="00A24780"/>
    <w:rsid w:val="00A24FCF"/>
    <w:rsid w:val="00A27CB3"/>
    <w:rsid w:val="00A337D9"/>
    <w:rsid w:val="00A34538"/>
    <w:rsid w:val="00A348FB"/>
    <w:rsid w:val="00A408C7"/>
    <w:rsid w:val="00A50EA1"/>
    <w:rsid w:val="00A54843"/>
    <w:rsid w:val="00A54C72"/>
    <w:rsid w:val="00A54FA1"/>
    <w:rsid w:val="00A60725"/>
    <w:rsid w:val="00A620C8"/>
    <w:rsid w:val="00A64ADC"/>
    <w:rsid w:val="00A654C1"/>
    <w:rsid w:val="00A72528"/>
    <w:rsid w:val="00A737CD"/>
    <w:rsid w:val="00A76494"/>
    <w:rsid w:val="00A8084F"/>
    <w:rsid w:val="00A8663D"/>
    <w:rsid w:val="00A86EB3"/>
    <w:rsid w:val="00A93626"/>
    <w:rsid w:val="00A9550C"/>
    <w:rsid w:val="00A95A3C"/>
    <w:rsid w:val="00A95E66"/>
    <w:rsid w:val="00A96E67"/>
    <w:rsid w:val="00AA11F2"/>
    <w:rsid w:val="00AA442B"/>
    <w:rsid w:val="00AA6CBB"/>
    <w:rsid w:val="00AA6D04"/>
    <w:rsid w:val="00AA707B"/>
    <w:rsid w:val="00AB31E7"/>
    <w:rsid w:val="00AB55A6"/>
    <w:rsid w:val="00AB5D5C"/>
    <w:rsid w:val="00AB7B09"/>
    <w:rsid w:val="00AC54C6"/>
    <w:rsid w:val="00AC7B70"/>
    <w:rsid w:val="00AD017C"/>
    <w:rsid w:val="00AD0BB9"/>
    <w:rsid w:val="00AD0C27"/>
    <w:rsid w:val="00AD0EDA"/>
    <w:rsid w:val="00AD14D7"/>
    <w:rsid w:val="00AD64EA"/>
    <w:rsid w:val="00AD7A83"/>
    <w:rsid w:val="00AE3229"/>
    <w:rsid w:val="00AE3C7C"/>
    <w:rsid w:val="00AE62C3"/>
    <w:rsid w:val="00AF02E3"/>
    <w:rsid w:val="00AF1718"/>
    <w:rsid w:val="00AF2440"/>
    <w:rsid w:val="00AF4CF9"/>
    <w:rsid w:val="00AF5464"/>
    <w:rsid w:val="00AF798A"/>
    <w:rsid w:val="00B04223"/>
    <w:rsid w:val="00B04B60"/>
    <w:rsid w:val="00B05C3C"/>
    <w:rsid w:val="00B073B3"/>
    <w:rsid w:val="00B11CB1"/>
    <w:rsid w:val="00B12EFB"/>
    <w:rsid w:val="00B174B9"/>
    <w:rsid w:val="00B2165B"/>
    <w:rsid w:val="00B228BD"/>
    <w:rsid w:val="00B22E22"/>
    <w:rsid w:val="00B333CE"/>
    <w:rsid w:val="00B35AA5"/>
    <w:rsid w:val="00B36C98"/>
    <w:rsid w:val="00B37181"/>
    <w:rsid w:val="00B37256"/>
    <w:rsid w:val="00B4093F"/>
    <w:rsid w:val="00B525CB"/>
    <w:rsid w:val="00B53388"/>
    <w:rsid w:val="00B54C59"/>
    <w:rsid w:val="00B54DEF"/>
    <w:rsid w:val="00B56418"/>
    <w:rsid w:val="00B609D7"/>
    <w:rsid w:val="00B612E5"/>
    <w:rsid w:val="00B61BDD"/>
    <w:rsid w:val="00B61FD8"/>
    <w:rsid w:val="00B6341B"/>
    <w:rsid w:val="00B63CB2"/>
    <w:rsid w:val="00B65AD7"/>
    <w:rsid w:val="00B67F3A"/>
    <w:rsid w:val="00B71BE4"/>
    <w:rsid w:val="00B74072"/>
    <w:rsid w:val="00B74196"/>
    <w:rsid w:val="00B775E8"/>
    <w:rsid w:val="00B7773A"/>
    <w:rsid w:val="00B81BD8"/>
    <w:rsid w:val="00B851DC"/>
    <w:rsid w:val="00B85967"/>
    <w:rsid w:val="00B873FE"/>
    <w:rsid w:val="00B9019D"/>
    <w:rsid w:val="00B910E6"/>
    <w:rsid w:val="00B9502A"/>
    <w:rsid w:val="00BA28AC"/>
    <w:rsid w:val="00BA347B"/>
    <w:rsid w:val="00BB2C01"/>
    <w:rsid w:val="00BC1B41"/>
    <w:rsid w:val="00BD0D6C"/>
    <w:rsid w:val="00BD0FDC"/>
    <w:rsid w:val="00BD1EF0"/>
    <w:rsid w:val="00BD367E"/>
    <w:rsid w:val="00BD422F"/>
    <w:rsid w:val="00BD6ED0"/>
    <w:rsid w:val="00BD78FE"/>
    <w:rsid w:val="00BE0EDB"/>
    <w:rsid w:val="00BE58C2"/>
    <w:rsid w:val="00BF1906"/>
    <w:rsid w:val="00BF46F6"/>
    <w:rsid w:val="00BF624E"/>
    <w:rsid w:val="00C01F1D"/>
    <w:rsid w:val="00C0317E"/>
    <w:rsid w:val="00C03DC6"/>
    <w:rsid w:val="00C057C1"/>
    <w:rsid w:val="00C0689F"/>
    <w:rsid w:val="00C06FCD"/>
    <w:rsid w:val="00C07C55"/>
    <w:rsid w:val="00C17D54"/>
    <w:rsid w:val="00C21383"/>
    <w:rsid w:val="00C217DB"/>
    <w:rsid w:val="00C22B69"/>
    <w:rsid w:val="00C27FCA"/>
    <w:rsid w:val="00C343AD"/>
    <w:rsid w:val="00C3521A"/>
    <w:rsid w:val="00C35F7C"/>
    <w:rsid w:val="00C371A6"/>
    <w:rsid w:val="00C40AEE"/>
    <w:rsid w:val="00C474AC"/>
    <w:rsid w:val="00C47E5B"/>
    <w:rsid w:val="00C47F38"/>
    <w:rsid w:val="00C5124A"/>
    <w:rsid w:val="00C5128E"/>
    <w:rsid w:val="00C523AA"/>
    <w:rsid w:val="00C60F20"/>
    <w:rsid w:val="00C6457F"/>
    <w:rsid w:val="00C6768A"/>
    <w:rsid w:val="00C67FE4"/>
    <w:rsid w:val="00C7160E"/>
    <w:rsid w:val="00C71C51"/>
    <w:rsid w:val="00C743D8"/>
    <w:rsid w:val="00C77A9F"/>
    <w:rsid w:val="00C82793"/>
    <w:rsid w:val="00C914CD"/>
    <w:rsid w:val="00C91996"/>
    <w:rsid w:val="00C93A8A"/>
    <w:rsid w:val="00C93E70"/>
    <w:rsid w:val="00C968EC"/>
    <w:rsid w:val="00CA3F2F"/>
    <w:rsid w:val="00CA6816"/>
    <w:rsid w:val="00CA7FEF"/>
    <w:rsid w:val="00CB06FD"/>
    <w:rsid w:val="00CC00CD"/>
    <w:rsid w:val="00CC1FBB"/>
    <w:rsid w:val="00CC22E3"/>
    <w:rsid w:val="00CC7FF4"/>
    <w:rsid w:val="00CD3ACB"/>
    <w:rsid w:val="00CD5C88"/>
    <w:rsid w:val="00CD623D"/>
    <w:rsid w:val="00CD7EE7"/>
    <w:rsid w:val="00CE11B1"/>
    <w:rsid w:val="00CE14B9"/>
    <w:rsid w:val="00CE1F6E"/>
    <w:rsid w:val="00CE352A"/>
    <w:rsid w:val="00CE3995"/>
    <w:rsid w:val="00CE675D"/>
    <w:rsid w:val="00CF10C1"/>
    <w:rsid w:val="00CF2489"/>
    <w:rsid w:val="00CF2BDE"/>
    <w:rsid w:val="00CF2E86"/>
    <w:rsid w:val="00CF415E"/>
    <w:rsid w:val="00CF4890"/>
    <w:rsid w:val="00CF62EA"/>
    <w:rsid w:val="00D00015"/>
    <w:rsid w:val="00D043F6"/>
    <w:rsid w:val="00D10740"/>
    <w:rsid w:val="00D10E69"/>
    <w:rsid w:val="00D117C5"/>
    <w:rsid w:val="00D1525B"/>
    <w:rsid w:val="00D1627F"/>
    <w:rsid w:val="00D16E39"/>
    <w:rsid w:val="00D22239"/>
    <w:rsid w:val="00D24904"/>
    <w:rsid w:val="00D2531F"/>
    <w:rsid w:val="00D25C34"/>
    <w:rsid w:val="00D309A0"/>
    <w:rsid w:val="00D31956"/>
    <w:rsid w:val="00D32AF5"/>
    <w:rsid w:val="00D41357"/>
    <w:rsid w:val="00D43086"/>
    <w:rsid w:val="00D433FD"/>
    <w:rsid w:val="00D44C1E"/>
    <w:rsid w:val="00D50CDE"/>
    <w:rsid w:val="00D51773"/>
    <w:rsid w:val="00D52F10"/>
    <w:rsid w:val="00D53EB9"/>
    <w:rsid w:val="00D60217"/>
    <w:rsid w:val="00D721FE"/>
    <w:rsid w:val="00D725EE"/>
    <w:rsid w:val="00D72E9D"/>
    <w:rsid w:val="00D73D97"/>
    <w:rsid w:val="00D74018"/>
    <w:rsid w:val="00D74CDA"/>
    <w:rsid w:val="00D76F4F"/>
    <w:rsid w:val="00D77113"/>
    <w:rsid w:val="00D77683"/>
    <w:rsid w:val="00D80294"/>
    <w:rsid w:val="00D802C1"/>
    <w:rsid w:val="00D81907"/>
    <w:rsid w:val="00D82CE5"/>
    <w:rsid w:val="00D92575"/>
    <w:rsid w:val="00DA5AB1"/>
    <w:rsid w:val="00DB36AB"/>
    <w:rsid w:val="00DB4972"/>
    <w:rsid w:val="00DB5657"/>
    <w:rsid w:val="00DC0652"/>
    <w:rsid w:val="00DC09FD"/>
    <w:rsid w:val="00DC46CE"/>
    <w:rsid w:val="00DC5121"/>
    <w:rsid w:val="00DC5FAA"/>
    <w:rsid w:val="00DC62E5"/>
    <w:rsid w:val="00DD07F7"/>
    <w:rsid w:val="00DD20BA"/>
    <w:rsid w:val="00DD38D8"/>
    <w:rsid w:val="00DD735D"/>
    <w:rsid w:val="00DD7632"/>
    <w:rsid w:val="00DE3119"/>
    <w:rsid w:val="00DE39BB"/>
    <w:rsid w:val="00DE57B5"/>
    <w:rsid w:val="00DF02DC"/>
    <w:rsid w:val="00DF236B"/>
    <w:rsid w:val="00DF248A"/>
    <w:rsid w:val="00DF2D13"/>
    <w:rsid w:val="00DF5076"/>
    <w:rsid w:val="00E032AE"/>
    <w:rsid w:val="00E06410"/>
    <w:rsid w:val="00E13AB8"/>
    <w:rsid w:val="00E203DD"/>
    <w:rsid w:val="00E263C3"/>
    <w:rsid w:val="00E26918"/>
    <w:rsid w:val="00E27716"/>
    <w:rsid w:val="00E27C85"/>
    <w:rsid w:val="00E318E0"/>
    <w:rsid w:val="00E33B62"/>
    <w:rsid w:val="00E357DC"/>
    <w:rsid w:val="00E36C7F"/>
    <w:rsid w:val="00E429C9"/>
    <w:rsid w:val="00E44E00"/>
    <w:rsid w:val="00E461F1"/>
    <w:rsid w:val="00E53964"/>
    <w:rsid w:val="00E57323"/>
    <w:rsid w:val="00E57B05"/>
    <w:rsid w:val="00E602F2"/>
    <w:rsid w:val="00E60916"/>
    <w:rsid w:val="00E63AED"/>
    <w:rsid w:val="00E658C9"/>
    <w:rsid w:val="00E65F49"/>
    <w:rsid w:val="00E6610F"/>
    <w:rsid w:val="00E7138C"/>
    <w:rsid w:val="00E71757"/>
    <w:rsid w:val="00E7329B"/>
    <w:rsid w:val="00E73815"/>
    <w:rsid w:val="00E7595D"/>
    <w:rsid w:val="00E77706"/>
    <w:rsid w:val="00E80C82"/>
    <w:rsid w:val="00E81BA4"/>
    <w:rsid w:val="00E855D9"/>
    <w:rsid w:val="00E903AB"/>
    <w:rsid w:val="00E95B00"/>
    <w:rsid w:val="00E96857"/>
    <w:rsid w:val="00EA1C4C"/>
    <w:rsid w:val="00EA4E7D"/>
    <w:rsid w:val="00EA6CBF"/>
    <w:rsid w:val="00EA6D0A"/>
    <w:rsid w:val="00EA728D"/>
    <w:rsid w:val="00EA76D7"/>
    <w:rsid w:val="00EB2B39"/>
    <w:rsid w:val="00EC016E"/>
    <w:rsid w:val="00EC7366"/>
    <w:rsid w:val="00ED2827"/>
    <w:rsid w:val="00ED305A"/>
    <w:rsid w:val="00ED6E18"/>
    <w:rsid w:val="00ED718F"/>
    <w:rsid w:val="00ED7FE6"/>
    <w:rsid w:val="00EE1664"/>
    <w:rsid w:val="00EE53DD"/>
    <w:rsid w:val="00EF1C91"/>
    <w:rsid w:val="00F00ADB"/>
    <w:rsid w:val="00F05293"/>
    <w:rsid w:val="00F070FE"/>
    <w:rsid w:val="00F13A3B"/>
    <w:rsid w:val="00F14031"/>
    <w:rsid w:val="00F157F7"/>
    <w:rsid w:val="00F160D1"/>
    <w:rsid w:val="00F22044"/>
    <w:rsid w:val="00F22827"/>
    <w:rsid w:val="00F3057D"/>
    <w:rsid w:val="00F34CED"/>
    <w:rsid w:val="00F36A58"/>
    <w:rsid w:val="00F4285A"/>
    <w:rsid w:val="00F433FE"/>
    <w:rsid w:val="00F444A4"/>
    <w:rsid w:val="00F45327"/>
    <w:rsid w:val="00F45FE4"/>
    <w:rsid w:val="00F519F7"/>
    <w:rsid w:val="00F56E4F"/>
    <w:rsid w:val="00F57426"/>
    <w:rsid w:val="00F6121F"/>
    <w:rsid w:val="00F61462"/>
    <w:rsid w:val="00F617C8"/>
    <w:rsid w:val="00F64252"/>
    <w:rsid w:val="00F67D6E"/>
    <w:rsid w:val="00F70C89"/>
    <w:rsid w:val="00F74D1D"/>
    <w:rsid w:val="00F74D7B"/>
    <w:rsid w:val="00F75297"/>
    <w:rsid w:val="00F76AF2"/>
    <w:rsid w:val="00F774F4"/>
    <w:rsid w:val="00F80272"/>
    <w:rsid w:val="00F82C52"/>
    <w:rsid w:val="00F83681"/>
    <w:rsid w:val="00F836D7"/>
    <w:rsid w:val="00F8436F"/>
    <w:rsid w:val="00F84899"/>
    <w:rsid w:val="00F859F0"/>
    <w:rsid w:val="00F9050C"/>
    <w:rsid w:val="00F913B5"/>
    <w:rsid w:val="00F96760"/>
    <w:rsid w:val="00F97396"/>
    <w:rsid w:val="00F974BA"/>
    <w:rsid w:val="00FA13B5"/>
    <w:rsid w:val="00FA2D26"/>
    <w:rsid w:val="00FA41D6"/>
    <w:rsid w:val="00FA4AE4"/>
    <w:rsid w:val="00FA4D0C"/>
    <w:rsid w:val="00FA6E00"/>
    <w:rsid w:val="00FA7208"/>
    <w:rsid w:val="00FA7689"/>
    <w:rsid w:val="00FA7D4C"/>
    <w:rsid w:val="00FB289E"/>
    <w:rsid w:val="00FB46F8"/>
    <w:rsid w:val="00FB4DBF"/>
    <w:rsid w:val="00FB52A0"/>
    <w:rsid w:val="00FC180A"/>
    <w:rsid w:val="00FD4DE7"/>
    <w:rsid w:val="00FD6AF5"/>
    <w:rsid w:val="00FE141E"/>
    <w:rsid w:val="00FE1991"/>
    <w:rsid w:val="00FE2C86"/>
    <w:rsid w:val="00FE2DB9"/>
    <w:rsid w:val="00FE3C6F"/>
    <w:rsid w:val="00FE5042"/>
    <w:rsid w:val="00FE6583"/>
    <w:rsid w:val="00FE6C03"/>
    <w:rsid w:val="00FF2EE8"/>
    <w:rsid w:val="00FF3289"/>
    <w:rsid w:val="00FF4936"/>
    <w:rsid w:val="00FF4BB8"/>
    <w:rsid w:val="00FF4FDD"/>
    <w:rsid w:val="00FF51FE"/>
    <w:rsid w:val="00FF532B"/>
    <w:rsid w:val="00FF6BBB"/>
    <w:rsid w:val="00FF767D"/>
    <w:rsid w:val="00FF7DE5"/>
    <w:rsid w:val="1126E876"/>
    <w:rsid w:val="22AB26DC"/>
    <w:rsid w:val="23B8122C"/>
    <w:rsid w:val="27CBFCDF"/>
    <w:rsid w:val="27CCAC65"/>
    <w:rsid w:val="2FDB9056"/>
    <w:rsid w:val="38839815"/>
    <w:rsid w:val="38DB8954"/>
    <w:rsid w:val="39D2D54E"/>
    <w:rsid w:val="3FBCC6C3"/>
    <w:rsid w:val="63C78718"/>
    <w:rsid w:val="7065A23A"/>
    <w:rsid w:val="712165E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AF4849F8-D709-445D-B9CD-B2835FC3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160D1"/>
    <w:pPr>
      <w:spacing w:after="0" w:line="240" w:lineRule="auto"/>
    </w:pPr>
    <w:rPr>
      <w:rFonts w:ascii="Times New Roman" w:hAnsi="Times New Roman" w:eastAsia="Times New Roman" w:cs="Times New Roman"/>
      <w:sz w:val="24"/>
      <w:szCs w:val="24"/>
      <w:lang w:eastAsia="es-MX"/>
    </w:rPr>
  </w:style>
  <w:style w:type="paragraph" w:styleId="Ttulo1">
    <w:name w:val="heading 1"/>
    <w:basedOn w:val="Normal"/>
    <w:link w:val="Ttulo1Car"/>
    <w:uiPriority w:val="9"/>
    <w:qFormat/>
    <w:rsid w:val="00361BB8"/>
    <w:pPr>
      <w:widowControl w:val="0"/>
      <w:autoSpaceDE w:val="0"/>
      <w:autoSpaceDN w:val="0"/>
      <w:ind w:left="300"/>
      <w:outlineLvl w:val="0"/>
    </w:pPr>
    <w:rPr>
      <w:rFonts w:ascii="Arial" w:hAnsi="Arial" w:eastAsia="Arial" w:cs="Arial"/>
      <w:b/>
      <w:bCs/>
      <w:sz w:val="22"/>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styleId="TextocomentarioCar" w:customStyle="1">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F,R"/>
    <w:basedOn w:val="Fuentedeprrafopredeter"/>
    <w:link w:val="Appelnotedebasde"/>
    <w:uiPriority w:val="99"/>
    <w:unhideWhenUsed/>
    <w:qFormat/>
    <w:rsid w:val="007B0854"/>
    <w:rPr>
      <w:vertAlign w:val="superscript"/>
    </w:rPr>
  </w:style>
  <w:style w:type="character" w:styleId="baj" w:customStyle="1">
    <w:name w:val="b_aj"/>
    <w:basedOn w:val="Fuentedeprrafopredeter"/>
    <w:rsid w:val="008A7BB3"/>
  </w:style>
  <w:style w:type="character" w:styleId="Textoennegrita">
    <w:name w:val="Strong"/>
    <w:basedOn w:val="Fuentedeprrafopredeter"/>
    <w:uiPriority w:val="22"/>
    <w:qFormat/>
    <w:rsid w:val="001103A2"/>
    <w:rPr>
      <w:b/>
      <w:bCs/>
    </w:rPr>
  </w:style>
  <w:style w:type="character" w:styleId="nfasis">
    <w:name w:val="Emphasis"/>
    <w:basedOn w:val="Fuentedeprrafopredeter"/>
    <w:uiPriority w:val="20"/>
    <w:qFormat/>
    <w:rsid w:val="001103A2"/>
    <w:rPr>
      <w:i/>
      <w:iCs/>
    </w:rPr>
  </w:style>
  <w:style w:type="paragraph" w:styleId="Revisin">
    <w:name w:val="Revision"/>
    <w:hidden/>
    <w:uiPriority w:val="99"/>
    <w:semiHidden/>
    <w:rsid w:val="00D117C5"/>
    <w:pPr>
      <w:spacing w:after="0" w:line="240" w:lineRule="auto"/>
    </w:pPr>
    <w:rPr>
      <w:sz w:val="24"/>
      <w:lang w:val="es-MX"/>
    </w:rPr>
  </w:style>
  <w:style w:type="character" w:styleId="Mencinsinresolver1" w:customStyle="1">
    <w:name w:val="Mención sin resolver1"/>
    <w:basedOn w:val="Fuentedeprrafopredeter"/>
    <w:uiPriority w:val="99"/>
    <w:semiHidden/>
    <w:unhideWhenUsed/>
    <w:rsid w:val="00654AA6"/>
    <w:rPr>
      <w:color w:val="605E5C"/>
      <w:shd w:val="clear" w:color="auto" w:fill="E1DFDD"/>
    </w:rPr>
  </w:style>
  <w:style w:type="paragraph" w:styleId="Default" w:customStyle="1">
    <w:name w:val="Default"/>
    <w:rsid w:val="00AE3C7C"/>
    <w:pPr>
      <w:autoSpaceDE w:val="0"/>
      <w:autoSpaceDN w:val="0"/>
      <w:adjustRightInd w:val="0"/>
      <w:spacing w:after="0" w:line="240" w:lineRule="auto"/>
    </w:pPr>
    <w:rPr>
      <w:rFonts w:ascii="Arial" w:hAnsi="Arial" w:cs="Arial"/>
      <w:color w:val="000000"/>
      <w:sz w:val="24"/>
      <w:szCs w:val="24"/>
    </w:rPr>
  </w:style>
  <w:style w:type="paragraph" w:styleId="Appelnotedebasde" w:customStyle="1">
    <w:name w:val="Appel note de bas de..."/>
    <w:basedOn w:val="Normal"/>
    <w:link w:val="Refdenotaalpie"/>
    <w:uiPriority w:val="99"/>
    <w:rsid w:val="003159B5"/>
    <w:pPr>
      <w:spacing w:after="160" w:line="240" w:lineRule="exact"/>
    </w:pPr>
    <w:rPr>
      <w:sz w:val="22"/>
      <w:vertAlign w:val="superscript"/>
    </w:rPr>
  </w:style>
  <w:style w:type="character" w:styleId="NormalWebCar" w:customStyle="1">
    <w:name w:val="Normal (Web) Car"/>
    <w:link w:val="NormalWeb"/>
    <w:uiPriority w:val="99"/>
    <w:rsid w:val="003159B5"/>
    <w:rPr>
      <w:rFonts w:ascii="Times New Roman" w:hAnsi="Times New Roman" w:eastAsia="Times New Roman" w:cs="Times New Roman"/>
      <w:sz w:val="24"/>
      <w:szCs w:val="24"/>
      <w:lang w:eastAsia="es-CO"/>
    </w:rPr>
  </w:style>
  <w:style w:type="paragraph" w:styleId="Textoindependiente">
    <w:name w:val="Body Text"/>
    <w:basedOn w:val="Normal"/>
    <w:link w:val="TextoindependienteCar"/>
    <w:uiPriority w:val="1"/>
    <w:qFormat/>
    <w:rsid w:val="00541DD0"/>
    <w:pPr>
      <w:widowControl w:val="0"/>
      <w:autoSpaceDE w:val="0"/>
      <w:autoSpaceDN w:val="0"/>
    </w:pPr>
    <w:rPr>
      <w:rFonts w:ascii="Arial" w:hAnsi="Arial" w:eastAsia="Arial" w:cs="Arial"/>
      <w:sz w:val="20"/>
      <w:szCs w:val="20"/>
      <w:lang w:val="es-ES" w:eastAsia="es-ES" w:bidi="es-ES"/>
    </w:rPr>
  </w:style>
  <w:style w:type="character" w:styleId="TextoindependienteCar" w:customStyle="1">
    <w:name w:val="Texto independiente Car"/>
    <w:basedOn w:val="Fuentedeprrafopredeter"/>
    <w:link w:val="Textoindependiente"/>
    <w:uiPriority w:val="1"/>
    <w:rsid w:val="00541DD0"/>
    <w:rPr>
      <w:rFonts w:ascii="Arial" w:hAnsi="Arial" w:eastAsia="Arial" w:cs="Arial"/>
      <w:sz w:val="20"/>
      <w:szCs w:val="20"/>
      <w:lang w:val="es-ES" w:eastAsia="es-ES" w:bidi="es-ES"/>
    </w:rPr>
  </w:style>
  <w:style w:type="paragraph" w:styleId="Normal11pt" w:customStyle="1">
    <w:name w:val="Normal + 11 pt"/>
    <w:aliases w:val="Negro,Justificado,Izquierda:  -0,95 cm,Derecha:  0,04 cm"/>
    <w:basedOn w:val="Normal"/>
    <w:uiPriority w:val="99"/>
    <w:rsid w:val="00DD38D8"/>
    <w:pPr>
      <w:ind w:left="-540"/>
      <w:jc w:val="both"/>
    </w:pPr>
    <w:rPr>
      <w:rFonts w:ascii="Arial" w:hAnsi="Arial" w:cs="Arial"/>
      <w:color w:val="000000"/>
      <w:sz w:val="22"/>
      <w:lang w:val="es-ES_tradnl" w:eastAsia="es-ES"/>
    </w:rPr>
  </w:style>
  <w:style w:type="character" w:styleId="Ttulo1Car" w:customStyle="1">
    <w:name w:val="Título 1 Car"/>
    <w:basedOn w:val="Fuentedeprrafopredeter"/>
    <w:link w:val="Ttulo1"/>
    <w:uiPriority w:val="9"/>
    <w:rsid w:val="00361BB8"/>
    <w:rPr>
      <w:rFonts w:ascii="Arial" w:hAnsi="Arial" w:eastAsia="Arial" w:cs="Arial"/>
      <w:b/>
      <w:bCs/>
      <w:lang w:val="es-ES"/>
    </w:rPr>
  </w:style>
  <w:style w:type="character" w:styleId="normaltextrun" w:customStyle="1">
    <w:name w:val="normaltextrun"/>
    <w:basedOn w:val="Fuentedeprrafopredeter"/>
    <w:rsid w:val="000B5754"/>
  </w:style>
  <w:style w:type="paragraph" w:styleId="InviasNormal" w:customStyle="1">
    <w:name w:val="Invias Normal"/>
    <w:basedOn w:val="Normal"/>
    <w:link w:val="InviasNormalCar"/>
    <w:qFormat/>
    <w:rsid w:val="00DF5076"/>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styleId="InviasNormalCar" w:customStyle="1">
    <w:name w:val="Invias Normal Car"/>
    <w:link w:val="InviasNormal"/>
    <w:locked/>
    <w:rsid w:val="00DF5076"/>
    <w:rPr>
      <w:rFonts w:ascii="Arial Narrow" w:hAnsi="Arial Narrow" w:eastAsia="Times New Roman" w:cs="Times New Roman"/>
      <w:color w:val="3C3C3C" w:themeColor="background2" w:themeShade="40"/>
      <w:sz w:val="24"/>
      <w:szCs w:val="24"/>
      <w:lang w:val="x-none" w:eastAsia="es-ES"/>
    </w:rPr>
  </w:style>
  <w:style w:type="paragraph" w:styleId="Invias-VietaNumerada" w:customStyle="1">
    <w:name w:val="Invias-Viñeta Numerada"/>
    <w:next w:val="Normal"/>
    <w:link w:val="Invias-VietaNumeradaCar"/>
    <w:uiPriority w:val="99"/>
    <w:qFormat/>
    <w:rsid w:val="00F97396"/>
    <w:pPr>
      <w:spacing w:before="240" w:after="120" w:line="240" w:lineRule="auto"/>
      <w:jc w:val="both"/>
    </w:pPr>
    <w:rPr>
      <w:rFonts w:ascii="Arial Narrow" w:hAnsi="Arial Narrow" w:eastAsia="Times New Roman" w:cs="Times New Roman"/>
      <w:sz w:val="24"/>
      <w:szCs w:val="24"/>
      <w:lang w:val="en-US" w:eastAsia="es-ES"/>
    </w:rPr>
  </w:style>
  <w:style w:type="character" w:styleId="Invias-VietaNumeradaCar" w:customStyle="1">
    <w:name w:val="Invias-Viñeta Numerada Car"/>
    <w:link w:val="Invias-VietaNumerada"/>
    <w:uiPriority w:val="99"/>
    <w:locked/>
    <w:rsid w:val="00F97396"/>
    <w:rPr>
      <w:rFonts w:ascii="Arial Narrow" w:hAnsi="Arial Narrow" w:eastAsia="Times New Roman" w:cs="Times New Roman"/>
      <w:sz w:val="24"/>
      <w:szCs w:val="24"/>
      <w:lang w:val="en-US" w:eastAsia="es-ES"/>
    </w:rPr>
  </w:style>
  <w:style w:type="paragraph" w:styleId="xmsonospacing" w:customStyle="1">
    <w:name w:val="x_msonospacing"/>
    <w:basedOn w:val="Normal"/>
    <w:rsid w:val="00EA6D0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43202272">
      <w:bodyDiv w:val="1"/>
      <w:marLeft w:val="0"/>
      <w:marRight w:val="0"/>
      <w:marTop w:val="0"/>
      <w:marBottom w:val="0"/>
      <w:divBdr>
        <w:top w:val="none" w:sz="0" w:space="0" w:color="auto"/>
        <w:left w:val="none" w:sz="0" w:space="0" w:color="auto"/>
        <w:bottom w:val="none" w:sz="0" w:space="0" w:color="auto"/>
        <w:right w:val="none" w:sz="0" w:space="0" w:color="auto"/>
      </w:divBdr>
    </w:div>
    <w:div w:id="854880032">
      <w:bodyDiv w:val="1"/>
      <w:marLeft w:val="0"/>
      <w:marRight w:val="0"/>
      <w:marTop w:val="0"/>
      <w:marBottom w:val="0"/>
      <w:divBdr>
        <w:top w:val="none" w:sz="0" w:space="0" w:color="auto"/>
        <w:left w:val="none" w:sz="0" w:space="0" w:color="auto"/>
        <w:bottom w:val="none" w:sz="0" w:space="0" w:color="auto"/>
        <w:right w:val="none" w:sz="0" w:space="0" w:color="auto"/>
      </w:divBdr>
    </w:div>
    <w:div w:id="1244535879">
      <w:bodyDiv w:val="1"/>
      <w:marLeft w:val="0"/>
      <w:marRight w:val="0"/>
      <w:marTop w:val="0"/>
      <w:marBottom w:val="0"/>
      <w:divBdr>
        <w:top w:val="none" w:sz="0" w:space="0" w:color="auto"/>
        <w:left w:val="none" w:sz="0" w:space="0" w:color="auto"/>
        <w:bottom w:val="none" w:sz="0" w:space="0" w:color="auto"/>
        <w:right w:val="none" w:sz="0" w:space="0" w:color="auto"/>
      </w:divBdr>
    </w:div>
    <w:div w:id="1959678231">
      <w:bodyDiv w:val="1"/>
      <w:marLeft w:val="0"/>
      <w:marRight w:val="0"/>
      <w:marTop w:val="0"/>
      <w:marBottom w:val="0"/>
      <w:divBdr>
        <w:top w:val="none" w:sz="0" w:space="0" w:color="auto"/>
        <w:left w:val="none" w:sz="0" w:space="0" w:color="auto"/>
        <w:bottom w:val="none" w:sz="0" w:space="0" w:color="auto"/>
        <w:right w:val="none" w:sz="0" w:space="0" w:color="auto"/>
      </w:divBdr>
    </w:div>
    <w:div w:id="201880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microsoft.com/office/2016/09/relationships/commentsIds" Target="commentsIds.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g" Id="rId12" /><Relationship Type="http://schemas.microsoft.com/office/2018/08/relationships/commentsExtensible" Target="commentsExtensible.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dle.rae.es/consultar" TargetMode="External"/><Relationship Id="rId1" Type="http://schemas.openxmlformats.org/officeDocument/2006/relationships/hyperlink" Target="https://www.colombiacompra.gov.co/documentos-tipo/documentos-tip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8E3A6-77E7-4328-9AEA-266054033C2E}">
  <ds:schemaRefs>
    <ds:schemaRef ds:uri="a6cb9e4b-f1d1-4245-83ec-6cad768d538a"/>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 ds:uri="http://schemas.microsoft.com/office/2006/metadata/properties"/>
    <ds:schemaRef ds:uri="http://schemas.openxmlformats.org/package/2006/metadata/core-properties"/>
    <ds:schemaRef ds:uri="9d85dbaf-23eb-4e57-a637-93dcacc8b1a1"/>
    <ds:schemaRef ds:uri="http://purl.org/dc/dcmitype/"/>
  </ds:schemaRefs>
</ds:datastoreItem>
</file>

<file path=customXml/itemProps2.xml><?xml version="1.0" encoding="utf-8"?>
<ds:datastoreItem xmlns:ds="http://schemas.openxmlformats.org/officeDocument/2006/customXml" ds:itemID="{343F3D44-99E1-42BB-8318-306192697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CE5BA6E1-BCD7-4AEB-8C39-6E11D0079F6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subject/>
  <dc:creator>Ximena Alejandra Cabezas Valencia</dc:creator>
  <keywords/>
  <dc:description/>
  <lastModifiedBy>Nasly Yeana Mosquera Rivas</lastModifiedBy>
  <revision>12</revision>
  <dcterms:created xsi:type="dcterms:W3CDTF">2021-07-09T19:24:00.0000000Z</dcterms:created>
  <dcterms:modified xsi:type="dcterms:W3CDTF">2021-07-30T19:36:42.2455629Z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