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F4EEA" w14:textId="77777777" w:rsidR="00214878" w:rsidRPr="0014392D" w:rsidRDefault="00214878" w:rsidP="003D2AA2">
      <w:pPr>
        <w:spacing w:before="120" w:after="160"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r w:rsidRPr="00D35139">
        <w:rPr>
          <w:rFonts w:ascii="Arial" w:hAnsi="Arial" w:cs="Arial"/>
          <w:b/>
          <w:sz w:val="16"/>
          <w:szCs w:val="16"/>
          <w:lang w:eastAsia="es-ES"/>
        </w:rPr>
        <w:t>CCE-DES-FM-17</w:t>
      </w:r>
    </w:p>
    <w:bookmarkEnd w:id="0"/>
    <w:bookmarkEnd w:id="1"/>
    <w:p w14:paraId="7D5D4F02" w14:textId="77777777" w:rsidR="00A67F5B" w:rsidRDefault="00A67F5B" w:rsidP="00A67F5B">
      <w:pPr>
        <w:pStyle w:val="Default"/>
        <w:spacing w:line="276" w:lineRule="auto"/>
        <w:rPr>
          <w:b/>
          <w:sz w:val="22"/>
          <w:szCs w:val="22"/>
        </w:rPr>
      </w:pPr>
    </w:p>
    <w:p w14:paraId="52A71586" w14:textId="3FBFA33B" w:rsidR="00DA4E96" w:rsidRDefault="00A67F5B" w:rsidP="6F019916">
      <w:pPr>
        <w:pStyle w:val="Default"/>
        <w:spacing w:line="276" w:lineRule="auto"/>
        <w:rPr>
          <w:rFonts w:eastAsia="Calibri"/>
          <w:b/>
          <w:bCs/>
          <w:color w:val="000000" w:themeColor="text1"/>
          <w:sz w:val="22"/>
          <w:szCs w:val="22"/>
        </w:rPr>
      </w:pPr>
      <w:r w:rsidRPr="6F019916">
        <w:rPr>
          <w:b/>
          <w:bCs/>
          <w:sz w:val="22"/>
          <w:szCs w:val="22"/>
        </w:rPr>
        <w:t xml:space="preserve">PLAN ANUAL DE ADQUISIONES </w:t>
      </w:r>
      <w:r w:rsidRPr="6F019916">
        <w:rPr>
          <w:rFonts w:eastAsia="Arial"/>
          <w:b/>
          <w:bCs/>
          <w:sz w:val="22"/>
          <w:szCs w:val="22"/>
        </w:rPr>
        <w:t xml:space="preserve">– </w:t>
      </w:r>
      <w:r w:rsidRPr="6F019916">
        <w:rPr>
          <w:rFonts w:eastAsia="Calibri"/>
          <w:b/>
          <w:bCs/>
          <w:color w:val="000000" w:themeColor="text1"/>
          <w:sz w:val="22"/>
          <w:szCs w:val="22"/>
        </w:rPr>
        <w:t xml:space="preserve">Expedición, publicación y actualización </w:t>
      </w:r>
    </w:p>
    <w:p w14:paraId="40B3D327" w14:textId="77777777" w:rsidR="005B1CFC" w:rsidRDefault="005B1CFC" w:rsidP="00A67F5B">
      <w:pPr>
        <w:pStyle w:val="Default"/>
        <w:spacing w:line="276" w:lineRule="auto"/>
        <w:rPr>
          <w:rFonts w:eastAsia="Calibri"/>
          <w:b/>
          <w:bCs/>
          <w:color w:val="000000" w:themeColor="text1"/>
          <w:sz w:val="22"/>
        </w:rPr>
      </w:pPr>
    </w:p>
    <w:p w14:paraId="46443590" w14:textId="7B6FBC76" w:rsidR="6F019916" w:rsidRPr="00DD5F79" w:rsidRDefault="00A67F5B" w:rsidP="6F019916">
      <w:pPr>
        <w:jc w:val="both"/>
        <w:rPr>
          <w:rFonts w:ascii="Arial" w:eastAsia="Calibri" w:hAnsi="Arial" w:cs="Arial"/>
          <w:color w:val="000000" w:themeColor="text1"/>
          <w:sz w:val="20"/>
          <w:szCs w:val="20"/>
        </w:rPr>
      </w:pPr>
      <w:r w:rsidRPr="6F019916">
        <w:rPr>
          <w:sz w:val="20"/>
          <w:szCs w:val="20"/>
        </w:rPr>
        <w:t xml:space="preserve">[…] </w:t>
      </w:r>
      <w:r w:rsidR="005B1CFC" w:rsidRPr="6F019916">
        <w:rPr>
          <w:rFonts w:ascii="Arial" w:eastAsia="Calibri" w:hAnsi="Arial" w:cs="Arial"/>
          <w:color w:val="000000" w:themeColor="text1"/>
          <w:sz w:val="20"/>
          <w:szCs w:val="20"/>
        </w:rPr>
        <w:t>el artículo 2.2.1.1.1.4.3 del Decreto 1082 de 2015–</w:t>
      </w:r>
      <w:r w:rsidR="005B1CFC" w:rsidRPr="6F019916">
        <w:rPr>
          <w:rFonts w:ascii="Arial" w:eastAsia="Calibri" w:hAnsi="Arial" w:cs="Arial"/>
          <w:b/>
          <w:bCs/>
          <w:color w:val="000000" w:themeColor="text1"/>
          <w:sz w:val="20"/>
          <w:szCs w:val="20"/>
        </w:rPr>
        <w:t xml:space="preserve"> </w:t>
      </w:r>
      <w:r w:rsidR="005B1CFC" w:rsidRPr="6F019916">
        <w:rPr>
          <w:rFonts w:ascii="Arial" w:eastAsia="Calibri" w:hAnsi="Arial" w:cs="Arial"/>
          <w:color w:val="000000" w:themeColor="text1"/>
          <w:sz w:val="20"/>
          <w:szCs w:val="20"/>
        </w:rPr>
        <w:t xml:space="preserve">establece el deber de las entidades públicas de dar publicidad al Plan Anual de Adquisiciones, en sus páginas web y en el SECOP II, con la información mínima señalada en el artículo 2.2.1.1.1.4.1. del Decreto 1082 de 2015. </w:t>
      </w:r>
    </w:p>
    <w:p w14:paraId="49014780" w14:textId="77777777" w:rsidR="005B1CFC" w:rsidRPr="005B1CFC" w:rsidRDefault="005B1CFC" w:rsidP="6F019916">
      <w:pPr>
        <w:jc w:val="both"/>
        <w:rPr>
          <w:rFonts w:ascii="Arial" w:eastAsia="Calibri" w:hAnsi="Arial" w:cs="Arial"/>
          <w:color w:val="000000" w:themeColor="text1"/>
          <w:sz w:val="20"/>
          <w:szCs w:val="20"/>
        </w:rPr>
      </w:pPr>
      <w:r w:rsidRPr="6F019916">
        <w:rPr>
          <w:rFonts w:ascii="Arial" w:eastAsia="Calibri" w:hAnsi="Arial" w:cs="Arial"/>
          <w:color w:val="000000" w:themeColor="text1"/>
          <w:sz w:val="20"/>
          <w:szCs w:val="20"/>
        </w:rPr>
        <w:t xml:space="preserve">La norma impone a las entidades el deber de publicar las actualizaciones que realicen al plan anual de adquisiciones. De esta manera, la norma faculta a la Administración para realizar cambios y modificaciones a este documento, por lo que no es un documento rígido que vincule la contratación; sino que, por el contrario, se trata de un instrumento de planificación que orienta y da un referente a la entidad de las necesidades de bienes, obras y servicio que debe contratar para la respectiva anualidad, que además puede actualizarse. </w:t>
      </w:r>
    </w:p>
    <w:p w14:paraId="3F0ABF33" w14:textId="77777777" w:rsidR="005B1CFC" w:rsidRDefault="005B1CFC" w:rsidP="00101D47">
      <w:pPr>
        <w:jc w:val="both"/>
        <w:rPr>
          <w:rFonts w:ascii="Arial" w:eastAsia="Calibri" w:hAnsi="Arial" w:cs="Arial"/>
          <w:color w:val="000000" w:themeColor="text1"/>
          <w:sz w:val="20"/>
          <w:szCs w:val="20"/>
        </w:rPr>
      </w:pPr>
    </w:p>
    <w:p w14:paraId="6CC6E771" w14:textId="4C8EFA5C" w:rsidR="005B1CFC" w:rsidRDefault="00A67F5B" w:rsidP="6F019916">
      <w:pPr>
        <w:rPr>
          <w:rFonts w:ascii="Arial" w:eastAsia="Calibri" w:hAnsi="Arial" w:cs="Arial"/>
          <w:b/>
          <w:bCs/>
          <w:color w:val="000000" w:themeColor="text1"/>
          <w:szCs w:val="24"/>
          <w:lang w:val="es-ES"/>
        </w:rPr>
      </w:pPr>
      <w:r w:rsidRPr="6F019916">
        <w:rPr>
          <w:rFonts w:ascii="Arial" w:hAnsi="Arial" w:cs="Arial"/>
          <w:b/>
          <w:bCs/>
          <w:sz w:val="22"/>
        </w:rPr>
        <w:t>PLAN ANUAL DE ADQUISIONES</w:t>
      </w:r>
      <w:r w:rsidR="33C0A758" w:rsidRPr="6F019916">
        <w:rPr>
          <w:rFonts w:ascii="Arial" w:hAnsi="Arial" w:cs="Arial"/>
          <w:b/>
          <w:bCs/>
          <w:sz w:val="22"/>
        </w:rPr>
        <w:t xml:space="preserve"> </w:t>
      </w:r>
      <w:r w:rsidR="4B9C75D0" w:rsidRPr="6F019916">
        <w:rPr>
          <w:rFonts w:ascii="Arial" w:eastAsia="Calibri" w:hAnsi="Arial" w:cs="Arial"/>
          <w:b/>
          <w:bCs/>
          <w:color w:val="000000" w:themeColor="text1"/>
          <w:sz w:val="22"/>
          <w:lang w:val="es-ES"/>
        </w:rPr>
        <w:t xml:space="preserve"> </w:t>
      </w:r>
      <w:r w:rsidR="4B9C75D0" w:rsidRPr="6F019916">
        <w:rPr>
          <w:rFonts w:ascii="Arial" w:eastAsia="Arial" w:hAnsi="Arial" w:cs="Arial"/>
          <w:b/>
          <w:bCs/>
          <w:sz w:val="22"/>
        </w:rPr>
        <w:t>– Publicación</w:t>
      </w:r>
    </w:p>
    <w:p w14:paraId="022191C3" w14:textId="55851015" w:rsidR="00101D47" w:rsidRPr="00101D47" w:rsidRDefault="00101D47" w:rsidP="00101D47">
      <w:pPr>
        <w:jc w:val="both"/>
        <w:rPr>
          <w:rFonts w:ascii="Arial" w:eastAsia="Calibri" w:hAnsi="Arial" w:cs="Arial"/>
          <w:b/>
          <w:color w:val="000000" w:themeColor="text1"/>
          <w:sz w:val="22"/>
          <w:lang w:val="es-ES"/>
        </w:rPr>
      </w:pPr>
    </w:p>
    <w:p w14:paraId="49983EA6" w14:textId="089DE3EC" w:rsidR="6F019916" w:rsidRPr="00DD5F79" w:rsidRDefault="005B1CFC" w:rsidP="6F019916">
      <w:pPr>
        <w:jc w:val="both"/>
        <w:rPr>
          <w:rFonts w:ascii="Arial" w:eastAsia="Calibri" w:hAnsi="Arial" w:cs="Arial"/>
          <w:sz w:val="20"/>
          <w:szCs w:val="20"/>
          <w:lang w:val="es-ES"/>
        </w:rPr>
      </w:pPr>
      <w:r w:rsidRPr="6F019916">
        <w:rPr>
          <w:rFonts w:ascii="Arial" w:eastAsia="Calibri" w:hAnsi="Arial" w:cs="Arial"/>
          <w:sz w:val="20"/>
          <w:szCs w:val="20"/>
          <w:lang w:val="es-ES"/>
        </w:rPr>
        <w:t xml:space="preserve">[…] </w:t>
      </w:r>
    </w:p>
    <w:p w14:paraId="4198FF38" w14:textId="5B540EF4" w:rsidR="005B1CFC" w:rsidRPr="005B1CFC" w:rsidRDefault="005B1CFC" w:rsidP="6F019916">
      <w:pPr>
        <w:jc w:val="both"/>
        <w:rPr>
          <w:rFonts w:ascii="Arial" w:eastAsia="Calibri" w:hAnsi="Arial" w:cs="Arial"/>
          <w:sz w:val="20"/>
          <w:szCs w:val="20"/>
          <w:lang w:val="es-ES"/>
        </w:rPr>
      </w:pPr>
      <w:r w:rsidRPr="6F019916">
        <w:rPr>
          <w:rFonts w:ascii="Arial" w:eastAsia="Calibri" w:hAnsi="Arial" w:cs="Arial"/>
          <w:sz w:val="20"/>
          <w:szCs w:val="20"/>
          <w:lang w:val="es-ES"/>
        </w:rPr>
        <w:t xml:space="preserve">En tales términos, la publicación del Plan Anual de Adquisiciones no solo es una obligación de las entidades regidas por el Estatuto General de Contratación de la Administración Pública, sino también de los obligados en el marco de la Ley 1712 de 2014, que contraten con cargo a recursos públicos. Dichas normas, no prevén una consecuencia jurídica directa de la no publicación del plan, ni atribuyen a alguna autoridad en concreto el deber de hacer un seguimiento. No obstante, ello no desvirtúa el carácter de deber legal en el que consiste la obligación de publicar del plan, por lo que su desatención, eventualmente, podría ser considerada como un hecho relevante en el marco del régimen disciplinario y/o de responsabilidad fiscal, acarreando posibles sanciones para el servidor público responsable, que no son objeto de estudio del presente concepto por ser un asunto ajeno a la competencia consultiva de esta Agencia. </w:t>
      </w:r>
    </w:p>
    <w:p w14:paraId="4211EB62" w14:textId="77777777" w:rsidR="00B524EA" w:rsidRDefault="00B524EA" w:rsidP="00B524EA">
      <w:pPr>
        <w:pStyle w:val="Default"/>
        <w:jc w:val="both"/>
        <w:rPr>
          <w:sz w:val="20"/>
          <w:szCs w:val="20"/>
          <w:lang w:val="es-ES"/>
        </w:rPr>
      </w:pPr>
    </w:p>
    <w:p w14:paraId="0B619737" w14:textId="2359E70F" w:rsidR="0042489D" w:rsidRPr="00754FD8" w:rsidRDefault="00A67F5B" w:rsidP="6F019916">
      <w:pPr>
        <w:spacing w:line="276" w:lineRule="auto"/>
        <w:jc w:val="both"/>
        <w:rPr>
          <w:rFonts w:ascii="Arial" w:eastAsia="Calibri" w:hAnsi="Arial" w:cs="Arial"/>
          <w:b/>
          <w:bCs/>
          <w:noProof/>
          <w:color w:val="000000" w:themeColor="text1"/>
          <w:sz w:val="22"/>
          <w:lang w:val="es-ES"/>
        </w:rPr>
      </w:pPr>
      <w:r w:rsidRPr="6F019916">
        <w:rPr>
          <w:rFonts w:ascii="Arial" w:eastAsia="Calibri" w:hAnsi="Arial" w:cs="Arial"/>
          <w:b/>
          <w:bCs/>
          <w:noProof/>
          <w:color w:val="000000" w:themeColor="text1"/>
          <w:sz w:val="22"/>
          <w:lang w:val="es-ES"/>
        </w:rPr>
        <w:t>COVID</w:t>
      </w:r>
      <w:r w:rsidR="23057375" w:rsidRPr="6F019916">
        <w:rPr>
          <w:rFonts w:ascii="Arial" w:eastAsia="Calibri" w:hAnsi="Arial" w:cs="Arial"/>
          <w:b/>
          <w:bCs/>
          <w:noProof/>
          <w:color w:val="000000" w:themeColor="text1"/>
          <w:sz w:val="22"/>
          <w:lang w:val="es-ES"/>
        </w:rPr>
        <w:t xml:space="preserve"> </w:t>
      </w:r>
      <w:r w:rsidRPr="6F019916">
        <w:rPr>
          <w:rFonts w:ascii="Arial" w:eastAsia="Calibri" w:hAnsi="Arial" w:cs="Arial"/>
          <w:b/>
          <w:bCs/>
          <w:noProof/>
          <w:color w:val="000000" w:themeColor="text1"/>
          <w:sz w:val="22"/>
          <w:lang w:val="es-ES"/>
        </w:rPr>
        <w:t xml:space="preserve">19 </w:t>
      </w:r>
      <w:r w:rsidRPr="6F019916">
        <w:rPr>
          <w:rFonts w:ascii="Arial" w:eastAsia="Arial" w:hAnsi="Arial" w:cs="Arial"/>
          <w:b/>
          <w:bCs/>
          <w:sz w:val="22"/>
        </w:rPr>
        <w:t>–</w:t>
      </w:r>
      <w:r w:rsidRPr="6F019916">
        <w:rPr>
          <w:rFonts w:eastAsia="Arial"/>
          <w:b/>
          <w:bCs/>
          <w:sz w:val="22"/>
        </w:rPr>
        <w:t xml:space="preserve"> </w:t>
      </w:r>
      <w:r w:rsidR="00F00113" w:rsidRPr="6F019916">
        <w:rPr>
          <w:rFonts w:ascii="Arial" w:eastAsia="Calibri" w:hAnsi="Arial" w:cs="Arial"/>
          <w:b/>
          <w:bCs/>
          <w:noProof/>
          <w:color w:val="000000" w:themeColor="text1"/>
          <w:sz w:val="22"/>
          <w:lang w:val="es-ES"/>
        </w:rPr>
        <w:t xml:space="preserve">Disposiciones </w:t>
      </w:r>
      <w:r w:rsidR="13904A2A" w:rsidRPr="6F019916">
        <w:rPr>
          <w:rFonts w:ascii="Arial" w:eastAsia="Arial" w:hAnsi="Arial" w:cs="Arial"/>
          <w:b/>
          <w:bCs/>
          <w:sz w:val="22"/>
        </w:rPr>
        <w:t>–</w:t>
      </w:r>
      <w:r w:rsidR="00F00113" w:rsidRPr="6F019916">
        <w:rPr>
          <w:rFonts w:ascii="Arial" w:eastAsia="Calibri" w:hAnsi="Arial" w:cs="Arial"/>
          <w:b/>
          <w:bCs/>
          <w:noProof/>
          <w:color w:val="000000" w:themeColor="text1"/>
          <w:sz w:val="22"/>
          <w:lang w:val="es-ES"/>
        </w:rPr>
        <w:t xml:space="preserve"> </w:t>
      </w:r>
      <w:r w:rsidR="31F59312" w:rsidRPr="6F019916">
        <w:rPr>
          <w:rFonts w:ascii="Arial" w:eastAsia="Calibri" w:hAnsi="Arial" w:cs="Arial"/>
          <w:b/>
          <w:bCs/>
          <w:noProof/>
          <w:color w:val="000000" w:themeColor="text1"/>
          <w:sz w:val="22"/>
          <w:lang w:val="es-ES"/>
        </w:rPr>
        <w:t>M</w:t>
      </w:r>
      <w:r w:rsidR="00F00113" w:rsidRPr="6F019916">
        <w:rPr>
          <w:rFonts w:ascii="Arial" w:eastAsia="Calibri" w:hAnsi="Arial" w:cs="Arial"/>
          <w:b/>
          <w:bCs/>
          <w:noProof/>
          <w:color w:val="000000" w:themeColor="text1"/>
          <w:sz w:val="22"/>
          <w:lang w:val="es-ES"/>
        </w:rPr>
        <w:t>itigar efectos de la pandemia</w:t>
      </w:r>
      <w:r w:rsidR="70A988E9" w:rsidRPr="6F019916">
        <w:rPr>
          <w:rFonts w:ascii="Arial" w:eastAsia="Calibri" w:hAnsi="Arial" w:cs="Arial"/>
          <w:b/>
          <w:bCs/>
          <w:noProof/>
          <w:color w:val="000000" w:themeColor="text1"/>
          <w:sz w:val="22"/>
          <w:lang w:val="es-ES"/>
        </w:rPr>
        <w:t xml:space="preserve"> </w:t>
      </w:r>
      <w:r w:rsidR="70A988E9" w:rsidRPr="6F019916">
        <w:rPr>
          <w:rFonts w:ascii="Arial" w:eastAsia="Arial" w:hAnsi="Arial" w:cs="Arial"/>
          <w:b/>
          <w:bCs/>
          <w:sz w:val="22"/>
        </w:rPr>
        <w:t>– E</w:t>
      </w:r>
      <w:r w:rsidR="00F00113" w:rsidRPr="6F019916">
        <w:rPr>
          <w:rFonts w:ascii="Arial" w:eastAsia="Calibri" w:hAnsi="Arial" w:cs="Arial"/>
          <w:b/>
          <w:bCs/>
          <w:noProof/>
          <w:color w:val="000000" w:themeColor="text1"/>
          <w:sz w:val="22"/>
          <w:lang w:val="es-ES"/>
        </w:rPr>
        <w:t>mergencia económica</w:t>
      </w:r>
      <w:r w:rsidR="0CC03F29" w:rsidRPr="6F019916">
        <w:rPr>
          <w:rFonts w:ascii="Arial" w:eastAsia="Calibri" w:hAnsi="Arial" w:cs="Arial"/>
          <w:b/>
          <w:bCs/>
          <w:noProof/>
          <w:color w:val="000000" w:themeColor="text1"/>
          <w:sz w:val="22"/>
          <w:lang w:val="es-ES"/>
        </w:rPr>
        <w:t>,</w:t>
      </w:r>
      <w:r w:rsidR="00F00113" w:rsidRPr="6F019916">
        <w:rPr>
          <w:rFonts w:ascii="Arial" w:eastAsia="Calibri" w:hAnsi="Arial" w:cs="Arial"/>
          <w:b/>
          <w:bCs/>
          <w:noProof/>
          <w:color w:val="000000" w:themeColor="text1"/>
          <w:sz w:val="22"/>
          <w:lang w:val="es-ES"/>
        </w:rPr>
        <w:t xml:space="preserve"> social y ecológica </w:t>
      </w:r>
      <w:r w:rsidR="0E1CAE92" w:rsidRPr="6F019916">
        <w:rPr>
          <w:rFonts w:ascii="Arial" w:eastAsia="Arial" w:hAnsi="Arial" w:cs="Arial"/>
          <w:b/>
          <w:bCs/>
          <w:sz w:val="22"/>
        </w:rPr>
        <w:t>–</w:t>
      </w:r>
      <w:r w:rsidR="00F00113" w:rsidRPr="6F019916">
        <w:rPr>
          <w:rFonts w:ascii="Arial" w:eastAsia="Calibri" w:hAnsi="Arial" w:cs="Arial"/>
          <w:b/>
          <w:bCs/>
          <w:noProof/>
          <w:color w:val="000000" w:themeColor="text1"/>
          <w:sz w:val="22"/>
          <w:lang w:val="es-ES"/>
        </w:rPr>
        <w:t xml:space="preserve"> </w:t>
      </w:r>
      <w:r w:rsidR="53E6BFCD" w:rsidRPr="6F019916">
        <w:rPr>
          <w:rFonts w:ascii="Arial" w:eastAsia="Calibri" w:hAnsi="Arial" w:cs="Arial"/>
          <w:b/>
          <w:bCs/>
          <w:noProof/>
          <w:color w:val="000000" w:themeColor="text1"/>
          <w:sz w:val="22"/>
          <w:lang w:val="es-ES"/>
        </w:rPr>
        <w:t>E</w:t>
      </w:r>
      <w:r w:rsidR="00F00113" w:rsidRPr="6F019916">
        <w:rPr>
          <w:rFonts w:ascii="Arial" w:eastAsia="Calibri" w:hAnsi="Arial" w:cs="Arial"/>
          <w:b/>
          <w:bCs/>
          <w:noProof/>
          <w:color w:val="000000" w:themeColor="text1"/>
          <w:sz w:val="22"/>
          <w:lang w:val="es-ES"/>
        </w:rPr>
        <w:t xml:space="preserve">mergencia sanitaria </w:t>
      </w:r>
    </w:p>
    <w:p w14:paraId="4F0CAF7C" w14:textId="34C67D3F" w:rsidR="6F019916" w:rsidRDefault="6F019916" w:rsidP="6F019916">
      <w:pPr>
        <w:spacing w:line="276" w:lineRule="auto"/>
        <w:jc w:val="both"/>
        <w:rPr>
          <w:rFonts w:ascii="Arial" w:eastAsia="Calibri" w:hAnsi="Arial" w:cs="Arial"/>
          <w:b/>
          <w:bCs/>
          <w:noProof/>
          <w:color w:val="000000" w:themeColor="text1"/>
          <w:szCs w:val="24"/>
          <w:lang w:val="es-ES"/>
        </w:rPr>
      </w:pPr>
      <w:bookmarkStart w:id="4" w:name="_GoBack"/>
      <w:bookmarkEnd w:id="4"/>
    </w:p>
    <w:p w14:paraId="03BC7065" w14:textId="3982910B" w:rsidR="00101D47" w:rsidRPr="0042489D" w:rsidRDefault="00101D47" w:rsidP="6F019916">
      <w:pPr>
        <w:pStyle w:val="Default"/>
        <w:jc w:val="both"/>
        <w:rPr>
          <w:rFonts w:eastAsia="Calibri"/>
          <w:sz w:val="20"/>
          <w:szCs w:val="20"/>
          <w:lang w:val="es-ES"/>
        </w:rPr>
      </w:pPr>
      <w:r w:rsidRPr="6F019916">
        <w:rPr>
          <w:rFonts w:eastAsia="Calibri"/>
          <w:sz w:val="20"/>
          <w:szCs w:val="20"/>
          <w:lang w:val="es-ES"/>
        </w:rPr>
        <w:t xml:space="preserve">[…] </w:t>
      </w:r>
      <w:r w:rsidR="0042489D" w:rsidRPr="6F019916">
        <w:rPr>
          <w:noProof/>
          <w:color w:val="000000" w:themeColor="text1"/>
          <w:sz w:val="20"/>
          <w:szCs w:val="20"/>
          <w:lang w:val="es-ES"/>
        </w:rPr>
        <w:t xml:space="preserve">no se puede confundir el </w:t>
      </w:r>
      <w:r w:rsidR="0042489D" w:rsidRPr="6F019916">
        <w:rPr>
          <w:i/>
          <w:iCs/>
          <w:noProof/>
          <w:color w:val="000000" w:themeColor="text1"/>
          <w:sz w:val="20"/>
          <w:szCs w:val="20"/>
          <w:lang w:val="es-ES"/>
        </w:rPr>
        <w:t>estado de emergencia económica, social y ecológica</w:t>
      </w:r>
      <w:r w:rsidR="0042489D" w:rsidRPr="6F019916">
        <w:rPr>
          <w:noProof/>
          <w:color w:val="000000" w:themeColor="text1"/>
          <w:sz w:val="20"/>
          <w:szCs w:val="20"/>
          <w:lang w:val="es-ES"/>
        </w:rPr>
        <w:t xml:space="preserve"> que rigió por dos períodos que ya finalizaron en el año 2020, con el </w:t>
      </w:r>
      <w:r w:rsidR="0042489D" w:rsidRPr="6F019916">
        <w:rPr>
          <w:i/>
          <w:iCs/>
          <w:noProof/>
          <w:color w:val="000000" w:themeColor="text1"/>
          <w:sz w:val="20"/>
          <w:szCs w:val="20"/>
          <w:lang w:val="es-ES"/>
        </w:rPr>
        <w:t>estado de emergencia sanitaria</w:t>
      </w:r>
      <w:r w:rsidR="0042489D" w:rsidRPr="6F019916">
        <w:rPr>
          <w:noProof/>
          <w:color w:val="000000" w:themeColor="text1"/>
          <w:sz w:val="20"/>
          <w:szCs w:val="20"/>
          <w:lang w:val="es-ES"/>
        </w:rPr>
        <w:t xml:space="preserve"> que aún continúa. En efecto, la emergencia sanitaria –que no es un estado de excepción–, sino una medida administrativa para mitigar y atender una situación sanitaria, fue declarada inicialmente en la Resolución 385 del 2020, expedida por el Ministerio de Salud, para regir entre el 12 de marzo y el 30 de mayo de 2020 –obsérvese que esta emergencia sanitaria se declaró antes de que se decretara el estado de excepción–. Dicha emergencia sanitaria se ha venido prorrogando mediante la expedición de otros actos administrativos: la Resolución 844 del 2020 la mantuvo vigente hasta el 31 de agosto de 2020, la Resolución 1462 hasta el 30 de noviembre de 2020, la Resolución 2230 de 2020 hasta el 28 de febrero de 2021, la Resolución 222 de hasta el 31 de mayo de 2021 y la Resolución 738 de 2021 la prorrogó hasta el 31 de agosto de 2021. Esto quiere decir que actualmente nos encontramos ante un estado de emergencia sanitaria, pero no ante un estado de emergencia económica, social y ecológica.</w:t>
      </w:r>
    </w:p>
    <w:p w14:paraId="6D1240F1" w14:textId="7394B80A" w:rsidR="00EF7DB4" w:rsidRPr="00101D47" w:rsidRDefault="00EF7DB4" w:rsidP="00DF0F8E">
      <w:pPr>
        <w:pStyle w:val="Default"/>
        <w:spacing w:before="120" w:after="160" w:line="276" w:lineRule="auto"/>
        <w:rPr>
          <w:sz w:val="20"/>
          <w:szCs w:val="20"/>
          <w:lang w:val="es-ES_tradnl"/>
        </w:rPr>
      </w:pPr>
    </w:p>
    <w:p w14:paraId="6C43263D" w14:textId="77777777" w:rsidR="00F10FF4" w:rsidRDefault="00F10FF4" w:rsidP="00F10FF4">
      <w:pPr>
        <w:pStyle w:val="Default"/>
        <w:spacing w:before="120" w:after="160" w:line="276" w:lineRule="auto"/>
        <w:jc w:val="right"/>
        <w:rPr>
          <w:noProof/>
          <w:sz w:val="20"/>
          <w:szCs w:val="20"/>
          <w:lang w:val="en-US"/>
        </w:rPr>
      </w:pPr>
    </w:p>
    <w:p w14:paraId="2FC27AE0" w14:textId="4C0B6589" w:rsidR="00083231" w:rsidRPr="0014392D" w:rsidRDefault="00F10FF4" w:rsidP="00F10FF4">
      <w:pPr>
        <w:pStyle w:val="Default"/>
        <w:spacing w:before="120" w:after="160" w:line="276" w:lineRule="auto"/>
        <w:jc w:val="right"/>
        <w:rPr>
          <w:sz w:val="20"/>
          <w:szCs w:val="20"/>
        </w:rPr>
      </w:pPr>
      <w:r w:rsidRPr="00F10FF4">
        <w:rPr>
          <w:noProof/>
          <w:sz w:val="20"/>
          <w:szCs w:val="20"/>
          <w:lang w:eastAsia="es-CO"/>
        </w:rPr>
        <w:lastRenderedPageBreak/>
        <w:drawing>
          <wp:inline distT="0" distB="0" distL="0" distR="0" wp14:anchorId="64CADF9C" wp14:editId="46A86B4C">
            <wp:extent cx="3144520" cy="800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977" cy="807086"/>
                    </a:xfrm>
                    <a:prstGeom prst="rect">
                      <a:avLst/>
                    </a:prstGeom>
                    <a:noFill/>
                    <a:ln>
                      <a:noFill/>
                    </a:ln>
                  </pic:spPr>
                </pic:pic>
              </a:graphicData>
            </a:graphic>
          </wp:inline>
        </w:drawing>
      </w:r>
    </w:p>
    <w:p w14:paraId="42235DE5" w14:textId="77777777" w:rsidR="00F10FF4" w:rsidRDefault="00F10FF4" w:rsidP="00DF0F8E">
      <w:pPr>
        <w:rPr>
          <w:rFonts w:ascii="Arial" w:eastAsia="Calibri" w:hAnsi="Arial" w:cs="Arial"/>
          <w:sz w:val="22"/>
          <w:lang w:val="es-ES"/>
        </w:rPr>
      </w:pPr>
    </w:p>
    <w:p w14:paraId="3AEC996E" w14:textId="25A83C70" w:rsidR="001437AF" w:rsidRPr="00F10FF4" w:rsidRDefault="00F10FF4" w:rsidP="00DF0F8E">
      <w:pPr>
        <w:rPr>
          <w:rFonts w:ascii="Arial" w:eastAsia="Calibri" w:hAnsi="Arial" w:cs="Arial"/>
          <w:sz w:val="22"/>
          <w:lang w:val="es-ES"/>
        </w:rPr>
      </w:pPr>
      <w:r w:rsidRPr="00F10FF4">
        <w:rPr>
          <w:rFonts w:ascii="Arial" w:eastAsia="Calibri" w:hAnsi="Arial" w:cs="Arial"/>
          <w:sz w:val="22"/>
          <w:lang w:val="es-ES"/>
        </w:rPr>
        <w:t>Bogot</w:t>
      </w:r>
      <w:r w:rsidRPr="00F10FF4">
        <w:rPr>
          <w:rFonts w:ascii="Arial" w:eastAsia="Calibri" w:hAnsi="Arial" w:cs="Arial" w:hint="eastAsia"/>
          <w:sz w:val="22"/>
          <w:lang w:val="es-ES"/>
        </w:rPr>
        <w:t>á</w:t>
      </w:r>
      <w:r w:rsidRPr="00F10FF4">
        <w:rPr>
          <w:rFonts w:ascii="Arial" w:eastAsia="Calibri" w:hAnsi="Arial" w:cs="Arial"/>
          <w:sz w:val="22"/>
          <w:lang w:val="es-ES"/>
        </w:rPr>
        <w:t>, 13 Julio 2021</w:t>
      </w:r>
    </w:p>
    <w:p w14:paraId="20B3A75D" w14:textId="77777777" w:rsidR="00F10FF4" w:rsidRDefault="00F10FF4" w:rsidP="00DF0F8E">
      <w:pPr>
        <w:rPr>
          <w:rFonts w:ascii="Arial" w:eastAsia="Calibri" w:hAnsi="Arial" w:cs="Arial"/>
          <w:sz w:val="22"/>
        </w:rPr>
      </w:pPr>
    </w:p>
    <w:p w14:paraId="1F3E67BB" w14:textId="51A0CBB4" w:rsidR="00AF1718" w:rsidRPr="009242C9" w:rsidRDefault="00AF1718" w:rsidP="00DF0F8E">
      <w:pPr>
        <w:rPr>
          <w:rFonts w:ascii="Arial" w:eastAsia="Calibri" w:hAnsi="Arial" w:cs="Arial"/>
          <w:sz w:val="22"/>
        </w:rPr>
      </w:pPr>
      <w:r w:rsidRPr="009242C9">
        <w:rPr>
          <w:rFonts w:ascii="Arial" w:eastAsia="Calibri" w:hAnsi="Arial" w:cs="Arial"/>
          <w:sz w:val="22"/>
        </w:rPr>
        <w:t>Señor</w:t>
      </w:r>
    </w:p>
    <w:p w14:paraId="479972ED" w14:textId="62DFA4DB" w:rsidR="00AF1718" w:rsidRPr="0027103D" w:rsidRDefault="002330A3" w:rsidP="00DF0F8E">
      <w:pPr>
        <w:rPr>
          <w:rFonts w:ascii="Arial" w:eastAsia="Calibri" w:hAnsi="Arial" w:cs="Arial"/>
          <w:sz w:val="22"/>
          <w:lang w:val="es-ES"/>
        </w:rPr>
      </w:pPr>
      <w:r w:rsidRPr="0027103D">
        <w:rPr>
          <w:rFonts w:ascii="Arial" w:eastAsia="Calibri" w:hAnsi="Arial" w:cs="Arial"/>
          <w:sz w:val="22"/>
          <w:lang w:val="es-ES"/>
        </w:rPr>
        <w:t xml:space="preserve">Jimmy Oswaldo Tapiero Guavativa </w:t>
      </w:r>
    </w:p>
    <w:p w14:paraId="38C44013" w14:textId="234FCEAB" w:rsidR="002330A3" w:rsidRPr="0027103D" w:rsidRDefault="002330A3" w:rsidP="00DF0F8E">
      <w:pPr>
        <w:rPr>
          <w:rFonts w:ascii="Arial" w:eastAsia="Calibri" w:hAnsi="Arial" w:cs="Arial"/>
          <w:bCs/>
          <w:sz w:val="22"/>
          <w:lang w:val="es-ES"/>
        </w:rPr>
      </w:pPr>
      <w:r w:rsidRPr="0027103D">
        <w:rPr>
          <w:rFonts w:ascii="Arial" w:eastAsia="Calibri" w:hAnsi="Arial" w:cs="Arial"/>
          <w:bCs/>
          <w:sz w:val="22"/>
          <w:lang w:val="es-ES"/>
        </w:rPr>
        <w:t>Villavicencio</w:t>
      </w:r>
      <w:r w:rsidR="001E0660" w:rsidRPr="0027103D">
        <w:rPr>
          <w:rFonts w:ascii="Arial" w:eastAsia="Calibri" w:hAnsi="Arial" w:cs="Arial"/>
          <w:bCs/>
          <w:sz w:val="22"/>
          <w:lang w:val="es-ES"/>
        </w:rPr>
        <w:t>, Meta</w:t>
      </w:r>
      <w:r w:rsidRPr="0027103D">
        <w:rPr>
          <w:rFonts w:ascii="Arial" w:eastAsia="Calibri" w:hAnsi="Arial" w:cs="Arial"/>
          <w:bCs/>
          <w:sz w:val="22"/>
          <w:lang w:val="es-ES"/>
        </w:rPr>
        <w:t xml:space="preserve"> </w:t>
      </w:r>
    </w:p>
    <w:p w14:paraId="050026FD" w14:textId="77777777" w:rsidR="004D6F1F" w:rsidRPr="009242C9" w:rsidRDefault="004D6F1F" w:rsidP="00DF0F8E">
      <w:pPr>
        <w:rPr>
          <w:rFonts w:ascii="Arial" w:eastAsia="Calibri" w:hAnsi="Arial" w:cs="Arial"/>
          <w:b/>
          <w:sz w:val="22"/>
          <w:lang w:val="es-ES"/>
        </w:rPr>
      </w:pPr>
    </w:p>
    <w:p w14:paraId="4E74460C" w14:textId="77777777" w:rsidR="002330A3" w:rsidRPr="009242C9" w:rsidRDefault="002330A3" w:rsidP="00DF0F8E">
      <w:pPr>
        <w:rPr>
          <w:rFonts w:ascii="Arial" w:eastAsia="Calibri" w:hAnsi="Arial" w:cs="Arial"/>
          <w:sz w:val="22"/>
        </w:rPr>
      </w:pPr>
    </w:p>
    <w:p w14:paraId="25167302" w14:textId="77777777" w:rsidR="00A60A14" w:rsidRPr="00D25BEF" w:rsidRDefault="00A60A14" w:rsidP="00DF0F8E">
      <w:pPr>
        <w:rPr>
          <w:rFonts w:ascii="Arial" w:eastAsia="Calibri" w:hAnsi="Arial" w:cs="Arial"/>
          <w:sz w:val="22"/>
          <w:highlight w:val="magenta"/>
        </w:rPr>
      </w:pPr>
    </w:p>
    <w:p w14:paraId="64DAC2D7" w14:textId="409A00FE" w:rsidR="00AF1718" w:rsidRDefault="002330A3" w:rsidP="00DF0F8E">
      <w:pPr>
        <w:ind w:left="2124" w:firstLine="570"/>
        <w:rPr>
          <w:rFonts w:ascii="Arial" w:eastAsia="Calibri" w:hAnsi="Arial" w:cs="Arial"/>
          <w:b/>
          <w:sz w:val="22"/>
        </w:rPr>
      </w:pPr>
      <w:r w:rsidRPr="009242C9">
        <w:rPr>
          <w:rFonts w:ascii="Arial" w:eastAsia="Calibri" w:hAnsi="Arial" w:cs="Arial"/>
          <w:b/>
          <w:sz w:val="22"/>
        </w:rPr>
        <w:t>Concepto C</w:t>
      </w:r>
      <w:r w:rsidR="001A5B93">
        <w:rPr>
          <w:rFonts w:ascii="Arial" w:eastAsia="Calibri" w:hAnsi="Arial" w:cs="Arial"/>
          <w:b/>
          <w:sz w:val="22"/>
        </w:rPr>
        <w:t>–</w:t>
      </w:r>
      <w:r w:rsidRPr="009242C9">
        <w:rPr>
          <w:rFonts w:ascii="Arial" w:eastAsia="Calibri" w:hAnsi="Arial" w:cs="Arial"/>
          <w:b/>
          <w:sz w:val="22"/>
        </w:rPr>
        <w:t>345</w:t>
      </w:r>
      <w:r w:rsidR="00AF1718" w:rsidRPr="009242C9">
        <w:rPr>
          <w:rFonts w:ascii="Arial" w:eastAsia="Calibri" w:hAnsi="Arial" w:cs="Arial"/>
          <w:b/>
          <w:sz w:val="22"/>
        </w:rPr>
        <w:t xml:space="preserve"> de 2021</w:t>
      </w:r>
    </w:p>
    <w:p w14:paraId="6F24F101" w14:textId="77777777" w:rsidR="005D6C98" w:rsidRPr="009242C9" w:rsidRDefault="005D6C98" w:rsidP="00DF0F8E">
      <w:pPr>
        <w:ind w:left="2124" w:firstLine="570"/>
        <w:rPr>
          <w:rFonts w:ascii="Arial" w:eastAsia="Calibri" w:hAnsi="Arial" w:cs="Arial"/>
          <w:b/>
          <w:sz w:val="22"/>
        </w:rPr>
      </w:pPr>
    </w:p>
    <w:p w14:paraId="37719CA8" w14:textId="77777777" w:rsidR="00AF1718" w:rsidRPr="00D25BEF" w:rsidRDefault="00AF1718" w:rsidP="00DF0F8E">
      <w:pPr>
        <w:rPr>
          <w:rFonts w:ascii="Arial" w:eastAsia="Calibri" w:hAnsi="Arial" w:cs="Arial"/>
          <w:sz w:val="22"/>
          <w:highlight w:val="magenta"/>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D25BEF" w14:paraId="00B1888F" w14:textId="77777777" w:rsidTr="00A60A14">
        <w:tc>
          <w:tcPr>
            <w:tcW w:w="2689" w:type="dxa"/>
            <w:hideMark/>
          </w:tcPr>
          <w:p w14:paraId="1C9397C0" w14:textId="5CD0567D" w:rsidR="00AF1718" w:rsidRPr="009242C9" w:rsidRDefault="00AF1718" w:rsidP="00DF0F8E">
            <w:pPr>
              <w:rPr>
                <w:rFonts w:ascii="Arial" w:eastAsia="Calibri" w:hAnsi="Arial" w:cs="Arial"/>
                <w:sz w:val="22"/>
              </w:rPr>
            </w:pPr>
            <w:r w:rsidRPr="009242C9">
              <w:rPr>
                <w:rFonts w:ascii="Arial" w:eastAsia="Calibri" w:hAnsi="Arial" w:cs="Arial"/>
                <w:b/>
                <w:sz w:val="22"/>
              </w:rPr>
              <w:t>Temas:</w:t>
            </w:r>
            <w:r w:rsidRPr="009242C9">
              <w:rPr>
                <w:rFonts w:ascii="Arial" w:eastAsia="Calibri" w:hAnsi="Arial" w:cs="Arial"/>
                <w:sz w:val="22"/>
              </w:rPr>
              <w:t xml:space="preserve">  </w:t>
            </w:r>
          </w:p>
          <w:p w14:paraId="6531557F" w14:textId="3F92F245" w:rsidR="00AF1718" w:rsidRPr="00D25BEF" w:rsidRDefault="00AF1718" w:rsidP="00DF0F8E">
            <w:pPr>
              <w:rPr>
                <w:rFonts w:ascii="Arial" w:eastAsia="Calibri" w:hAnsi="Arial" w:cs="Arial"/>
                <w:sz w:val="22"/>
                <w:highlight w:val="magenta"/>
              </w:rPr>
            </w:pPr>
            <w:r w:rsidRPr="00D25BEF">
              <w:rPr>
                <w:rFonts w:ascii="Arial" w:eastAsia="Calibri" w:hAnsi="Arial" w:cs="Arial"/>
                <w:sz w:val="22"/>
                <w:highlight w:val="magenta"/>
              </w:rPr>
              <w:t xml:space="preserve"> </w:t>
            </w:r>
          </w:p>
        </w:tc>
        <w:tc>
          <w:tcPr>
            <w:tcW w:w="6237" w:type="dxa"/>
            <w:hideMark/>
          </w:tcPr>
          <w:p w14:paraId="4A055690" w14:textId="72840909" w:rsidR="00AF1718" w:rsidRPr="005D6C98" w:rsidRDefault="00AF1718" w:rsidP="004D6F1F">
            <w:pPr>
              <w:jc w:val="both"/>
              <w:rPr>
                <w:rFonts w:ascii="Arial" w:eastAsia="Calibri" w:hAnsi="Arial" w:cs="Arial"/>
                <w:bCs/>
                <w:sz w:val="22"/>
                <w:highlight w:val="magenta"/>
                <w:lang w:val="es-ES_tradnl"/>
              </w:rPr>
            </w:pPr>
            <w:r w:rsidRPr="005D6C98">
              <w:rPr>
                <w:rFonts w:ascii="Arial" w:eastAsia="Arial" w:hAnsi="Arial" w:cs="Arial"/>
                <w:bCs/>
                <w:sz w:val="22"/>
              </w:rPr>
              <w:t>PLAN ANUAL DE ADQUISICIONES</w:t>
            </w:r>
            <w:r w:rsidR="00363113" w:rsidRPr="005D6C98">
              <w:rPr>
                <w:rFonts w:ascii="Arial" w:eastAsia="Arial" w:hAnsi="Arial" w:cs="Arial"/>
                <w:bCs/>
                <w:sz w:val="22"/>
              </w:rPr>
              <w:t xml:space="preserve"> – </w:t>
            </w:r>
            <w:r w:rsidR="00F03745" w:rsidRPr="005D6C98">
              <w:rPr>
                <w:rFonts w:ascii="Arial" w:eastAsia="Calibri" w:hAnsi="Arial" w:cs="Arial"/>
                <w:bCs/>
                <w:color w:val="000000" w:themeColor="text1"/>
                <w:sz w:val="22"/>
              </w:rPr>
              <w:t>Expedición, publicación y actualización</w:t>
            </w:r>
            <w:r w:rsidR="00F03745" w:rsidRPr="005D6C98">
              <w:rPr>
                <w:rFonts w:eastAsia="Calibri"/>
                <w:bCs/>
                <w:color w:val="000000" w:themeColor="text1"/>
                <w:sz w:val="22"/>
              </w:rPr>
              <w:t xml:space="preserve">. </w:t>
            </w:r>
            <w:r w:rsidR="00363113" w:rsidRPr="005D6C98">
              <w:rPr>
                <w:rFonts w:ascii="Arial" w:eastAsia="Arial" w:hAnsi="Arial" w:cs="Arial"/>
                <w:bCs/>
                <w:sz w:val="22"/>
              </w:rPr>
              <w:t xml:space="preserve"> / PLAN ANUAL DE ADQUISICIONES</w:t>
            </w:r>
            <w:r w:rsidRPr="005D6C98">
              <w:rPr>
                <w:rFonts w:ascii="Arial" w:eastAsia="Arial" w:hAnsi="Arial" w:cs="Arial"/>
                <w:bCs/>
                <w:sz w:val="22"/>
              </w:rPr>
              <w:t xml:space="preserve"> – </w:t>
            </w:r>
            <w:r w:rsidR="005D6C98" w:rsidRPr="005D6C98">
              <w:rPr>
                <w:rFonts w:ascii="Arial" w:eastAsia="Calibri" w:hAnsi="Arial" w:cs="Arial"/>
                <w:color w:val="000000" w:themeColor="text1"/>
                <w:sz w:val="22"/>
                <w:lang w:val="es-ES"/>
              </w:rPr>
              <w:t xml:space="preserve">El deber de publicar el Plan Anual de Adquisiciones. </w:t>
            </w:r>
            <w:r w:rsidR="004D6F1F" w:rsidRPr="005D6C98">
              <w:rPr>
                <w:rFonts w:ascii="Arial" w:eastAsia="Calibri" w:hAnsi="Arial" w:cs="Arial"/>
                <w:color w:val="000000" w:themeColor="text1"/>
                <w:sz w:val="22"/>
                <w:lang w:val="es-ES"/>
              </w:rPr>
              <w:t>/</w:t>
            </w:r>
            <w:r w:rsidRPr="005D6C98">
              <w:rPr>
                <w:rFonts w:ascii="Arial" w:eastAsia="Calibri" w:hAnsi="Arial" w:cs="Arial"/>
                <w:bCs/>
                <w:sz w:val="22"/>
              </w:rPr>
              <w:t xml:space="preserve"> </w:t>
            </w:r>
            <w:r w:rsidR="00F03745" w:rsidRPr="005D6C98">
              <w:rPr>
                <w:rFonts w:ascii="Arial" w:eastAsia="Calibri" w:hAnsi="Arial" w:cs="Arial"/>
                <w:noProof/>
                <w:color w:val="000000" w:themeColor="text1"/>
                <w:sz w:val="22"/>
                <w:lang w:val="es-ES_tradnl"/>
              </w:rPr>
              <w:t>COVID-19</w:t>
            </w:r>
            <w:r w:rsidR="00F03745" w:rsidRPr="005D6C98">
              <w:rPr>
                <w:rFonts w:eastAsia="Calibri"/>
                <w:noProof/>
                <w:color w:val="000000" w:themeColor="text1"/>
                <w:sz w:val="22"/>
                <w:lang w:val="es-ES_tradnl"/>
              </w:rPr>
              <w:t xml:space="preserve"> </w:t>
            </w:r>
            <w:r w:rsidR="00F03745" w:rsidRPr="005D6C98">
              <w:rPr>
                <w:rFonts w:ascii="Arial" w:eastAsia="Arial" w:hAnsi="Arial" w:cs="Arial"/>
                <w:bCs/>
                <w:sz w:val="22"/>
              </w:rPr>
              <w:t>–</w:t>
            </w:r>
            <w:r w:rsidR="00F03745" w:rsidRPr="005D6C98">
              <w:rPr>
                <w:rFonts w:eastAsia="Arial"/>
                <w:bCs/>
                <w:sz w:val="22"/>
              </w:rPr>
              <w:t xml:space="preserve"> </w:t>
            </w:r>
            <w:r w:rsidR="005D6C98" w:rsidRPr="005D6C98">
              <w:rPr>
                <w:rFonts w:ascii="Arial" w:eastAsia="Calibri" w:hAnsi="Arial" w:cs="Arial"/>
                <w:noProof/>
                <w:color w:val="000000" w:themeColor="text1"/>
                <w:sz w:val="22"/>
                <w:lang w:val="es-ES_tradnl"/>
              </w:rPr>
              <w:t xml:space="preserve">Disposiciones expedidas para mitigar los efectos de la pandemia en el marco de la «emergencia económica social y ecológica» y de la «emergencia sanitaria» ocasionadas por el COVID-19. </w:t>
            </w:r>
          </w:p>
          <w:p w14:paraId="30A9E48B" w14:textId="56E3E386" w:rsidR="00AF1718" w:rsidRPr="00D25BEF" w:rsidRDefault="00AF1718" w:rsidP="003D2AA2">
            <w:pPr>
              <w:spacing w:after="120"/>
              <w:jc w:val="both"/>
              <w:rPr>
                <w:rFonts w:ascii="Arial" w:eastAsia="Calibri" w:hAnsi="Arial" w:cs="Arial"/>
                <w:sz w:val="22"/>
                <w:highlight w:val="magenta"/>
              </w:rPr>
            </w:pPr>
          </w:p>
        </w:tc>
      </w:tr>
      <w:tr w:rsidR="00AF1718" w:rsidRPr="00D25BEF" w14:paraId="0E180394" w14:textId="77777777" w:rsidTr="00A60A14">
        <w:tc>
          <w:tcPr>
            <w:tcW w:w="2689" w:type="dxa"/>
          </w:tcPr>
          <w:p w14:paraId="35D0842E" w14:textId="46837F9C" w:rsidR="00AF1718" w:rsidRPr="009242C9" w:rsidRDefault="00AF1718" w:rsidP="00DF0F8E">
            <w:pPr>
              <w:rPr>
                <w:rFonts w:ascii="Arial" w:eastAsia="Calibri" w:hAnsi="Arial" w:cs="Arial"/>
                <w:b/>
                <w:sz w:val="22"/>
              </w:rPr>
            </w:pPr>
            <w:r w:rsidRPr="009242C9">
              <w:rPr>
                <w:rFonts w:ascii="Arial" w:eastAsia="Calibri" w:hAnsi="Arial" w:cs="Arial"/>
                <w:b/>
                <w:sz w:val="22"/>
              </w:rPr>
              <w:t>Radicación:</w:t>
            </w:r>
            <w:r w:rsidRPr="009242C9">
              <w:rPr>
                <w:rFonts w:ascii="Arial" w:eastAsia="Calibri" w:hAnsi="Arial" w:cs="Arial"/>
                <w:sz w:val="22"/>
              </w:rPr>
              <w:t xml:space="preserve"> </w:t>
            </w:r>
          </w:p>
        </w:tc>
        <w:tc>
          <w:tcPr>
            <w:tcW w:w="6237" w:type="dxa"/>
          </w:tcPr>
          <w:p w14:paraId="1B6BB553" w14:textId="273AF791" w:rsidR="00AF1718" w:rsidRPr="009242C9" w:rsidRDefault="00FF6BBB" w:rsidP="00143A66">
            <w:pPr>
              <w:jc w:val="both"/>
              <w:rPr>
                <w:rFonts w:ascii="Arial" w:eastAsia="Calibri" w:hAnsi="Arial" w:cs="Arial"/>
                <w:sz w:val="22"/>
              </w:rPr>
            </w:pPr>
            <w:r w:rsidRPr="009242C9">
              <w:rPr>
                <w:rFonts w:ascii="Arial" w:eastAsia="Calibri" w:hAnsi="Arial" w:cs="Arial"/>
                <w:sz w:val="22"/>
              </w:rPr>
              <w:t>Respuesta a consulta</w:t>
            </w:r>
            <w:r w:rsidR="001E3A55" w:rsidRPr="009242C9">
              <w:rPr>
                <w:rFonts w:ascii="Arial" w:eastAsia="Calibri" w:hAnsi="Arial" w:cs="Arial"/>
                <w:sz w:val="22"/>
              </w:rPr>
              <w:t xml:space="preserve"> P20210529004722</w:t>
            </w:r>
            <w:r w:rsidR="002330A3" w:rsidRPr="009242C9">
              <w:rPr>
                <w:rFonts w:ascii="Arial" w:eastAsia="Calibri" w:hAnsi="Arial" w:cs="Arial"/>
                <w:sz w:val="22"/>
              </w:rPr>
              <w:t xml:space="preserve">. </w:t>
            </w:r>
          </w:p>
        </w:tc>
      </w:tr>
    </w:tbl>
    <w:p w14:paraId="4A4DF0C0" w14:textId="77777777" w:rsidR="00AF1718" w:rsidRPr="00D25BEF" w:rsidRDefault="00AF1718" w:rsidP="00DF0F8E">
      <w:pPr>
        <w:jc w:val="both"/>
        <w:rPr>
          <w:rFonts w:ascii="Arial" w:eastAsia="Calibri" w:hAnsi="Arial" w:cs="Arial"/>
          <w:sz w:val="22"/>
          <w:highlight w:val="magenta"/>
        </w:rPr>
      </w:pPr>
    </w:p>
    <w:p w14:paraId="2B19C121" w14:textId="77777777" w:rsidR="00AF1718" w:rsidRPr="00D25BEF" w:rsidRDefault="00AF1718" w:rsidP="00DF0F8E">
      <w:pPr>
        <w:rPr>
          <w:rFonts w:ascii="Arial" w:eastAsia="Calibri" w:hAnsi="Arial" w:cs="Arial"/>
          <w:sz w:val="22"/>
          <w:highlight w:val="magenta"/>
        </w:rPr>
      </w:pPr>
    </w:p>
    <w:p w14:paraId="1612DE7D" w14:textId="7D61197F" w:rsidR="00AF1718" w:rsidRPr="009242C9" w:rsidRDefault="001E3A55" w:rsidP="008B1764">
      <w:pPr>
        <w:spacing w:line="276" w:lineRule="auto"/>
        <w:rPr>
          <w:rFonts w:ascii="Arial" w:eastAsia="Calibri" w:hAnsi="Arial" w:cs="Arial"/>
          <w:sz w:val="22"/>
        </w:rPr>
      </w:pPr>
      <w:r w:rsidRPr="009242C9">
        <w:rPr>
          <w:rFonts w:ascii="Arial" w:eastAsia="Calibri" w:hAnsi="Arial" w:cs="Arial"/>
          <w:sz w:val="22"/>
        </w:rPr>
        <w:t>Estimado señor Tapiero</w:t>
      </w:r>
      <w:r w:rsidR="00AF1718" w:rsidRPr="009242C9">
        <w:rPr>
          <w:rFonts w:ascii="Arial" w:eastAsia="Calibri" w:hAnsi="Arial" w:cs="Arial"/>
          <w:sz w:val="22"/>
        </w:rPr>
        <w:t>,</w:t>
      </w:r>
    </w:p>
    <w:p w14:paraId="6CEE3088" w14:textId="77777777" w:rsidR="00AF1718" w:rsidRPr="009242C9" w:rsidRDefault="00AF1718" w:rsidP="008B1764">
      <w:pPr>
        <w:spacing w:line="276" w:lineRule="auto"/>
        <w:rPr>
          <w:rFonts w:ascii="Arial" w:eastAsia="Calibri" w:hAnsi="Arial" w:cs="Arial"/>
          <w:sz w:val="22"/>
        </w:rPr>
      </w:pPr>
    </w:p>
    <w:p w14:paraId="1A0A2BD6" w14:textId="2F5F9B9F" w:rsidR="00AF1718" w:rsidRPr="009242C9" w:rsidRDefault="00AF1718" w:rsidP="008B1764">
      <w:pPr>
        <w:spacing w:line="276" w:lineRule="auto"/>
        <w:jc w:val="both"/>
        <w:rPr>
          <w:rFonts w:ascii="Arial" w:eastAsia="Calibri" w:hAnsi="Arial" w:cs="Arial"/>
          <w:sz w:val="22"/>
        </w:rPr>
      </w:pPr>
      <w:r w:rsidRPr="009242C9">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w:t>
      </w:r>
      <w:r w:rsidR="00D25BEF" w:rsidRPr="009242C9">
        <w:rPr>
          <w:rFonts w:ascii="Arial" w:eastAsia="Calibri" w:hAnsi="Arial" w:cs="Arial"/>
          <w:sz w:val="22"/>
        </w:rPr>
        <w:t>te responde su consulta</w:t>
      </w:r>
      <w:r w:rsidR="001E3A55" w:rsidRPr="009242C9">
        <w:rPr>
          <w:rFonts w:ascii="Arial" w:eastAsia="Calibri" w:hAnsi="Arial" w:cs="Arial"/>
          <w:sz w:val="22"/>
        </w:rPr>
        <w:t xml:space="preserve"> del 29 de mayo</w:t>
      </w:r>
      <w:r w:rsidRPr="009242C9">
        <w:rPr>
          <w:rFonts w:ascii="Arial" w:eastAsia="Calibri" w:hAnsi="Arial" w:cs="Arial"/>
          <w:sz w:val="22"/>
        </w:rPr>
        <w:t xml:space="preserve"> de 2021.</w:t>
      </w:r>
    </w:p>
    <w:p w14:paraId="0423D3E8" w14:textId="77777777" w:rsidR="00735EB6" w:rsidRPr="00D25BEF" w:rsidRDefault="00735EB6" w:rsidP="008B1764">
      <w:pPr>
        <w:spacing w:line="276" w:lineRule="auto"/>
        <w:jc w:val="both"/>
        <w:rPr>
          <w:rFonts w:ascii="Arial" w:eastAsia="Calibri" w:hAnsi="Arial" w:cs="Arial"/>
          <w:sz w:val="22"/>
          <w:highlight w:val="magenta"/>
        </w:rPr>
      </w:pPr>
    </w:p>
    <w:p w14:paraId="2B178A13" w14:textId="523A24C1" w:rsidR="00AF1718" w:rsidRPr="005D0519" w:rsidRDefault="00AF1718" w:rsidP="008B1764">
      <w:pPr>
        <w:pStyle w:val="Prrafodelista"/>
        <w:tabs>
          <w:tab w:val="left" w:pos="284"/>
        </w:tabs>
        <w:spacing w:line="276" w:lineRule="auto"/>
        <w:ind w:left="0"/>
        <w:jc w:val="both"/>
        <w:rPr>
          <w:rFonts w:ascii="Arial" w:eastAsia="Calibri" w:hAnsi="Arial" w:cs="Arial"/>
          <w:b/>
          <w:sz w:val="22"/>
        </w:rPr>
      </w:pPr>
      <w:r w:rsidRPr="005D0519">
        <w:rPr>
          <w:rFonts w:ascii="Arial" w:eastAsia="Calibri" w:hAnsi="Arial" w:cs="Arial"/>
          <w:b/>
          <w:sz w:val="22"/>
        </w:rPr>
        <w:t>1. Problema planteado</w:t>
      </w:r>
      <w:r w:rsidR="00B524EA">
        <w:rPr>
          <w:rFonts w:ascii="Arial" w:eastAsia="Calibri" w:hAnsi="Arial" w:cs="Arial"/>
          <w:b/>
          <w:sz w:val="22"/>
        </w:rPr>
        <w:t>.</w:t>
      </w:r>
    </w:p>
    <w:p w14:paraId="26CBCC38" w14:textId="77777777" w:rsidR="00735EB6" w:rsidRPr="00D25BEF" w:rsidRDefault="00735EB6" w:rsidP="0027103D">
      <w:pPr>
        <w:tabs>
          <w:tab w:val="left" w:pos="426"/>
        </w:tabs>
        <w:jc w:val="both"/>
        <w:rPr>
          <w:rFonts w:ascii="Arial" w:eastAsia="Calibri" w:hAnsi="Arial" w:cs="Arial"/>
          <w:sz w:val="22"/>
          <w:highlight w:val="magenta"/>
        </w:rPr>
      </w:pPr>
      <w:bookmarkStart w:id="5" w:name="_Hlk68679800"/>
    </w:p>
    <w:p w14:paraId="6D8452C6" w14:textId="108EDFEC" w:rsidR="00AF1718" w:rsidRDefault="00AF1718" w:rsidP="008B1764">
      <w:pPr>
        <w:tabs>
          <w:tab w:val="left" w:pos="426"/>
        </w:tabs>
        <w:spacing w:line="276" w:lineRule="auto"/>
        <w:jc w:val="both"/>
        <w:rPr>
          <w:rFonts w:ascii="Arial" w:eastAsia="Calibri" w:hAnsi="Arial" w:cs="Arial"/>
          <w:sz w:val="22"/>
        </w:rPr>
      </w:pPr>
      <w:r w:rsidRPr="00D25BEF">
        <w:rPr>
          <w:rFonts w:ascii="Arial" w:eastAsia="Calibri" w:hAnsi="Arial" w:cs="Arial"/>
          <w:sz w:val="22"/>
        </w:rPr>
        <w:t>En relación al Plan Anual de Adquisiciones, usted realiza la siguiente pregunta: «</w:t>
      </w:r>
      <w:r w:rsidR="001E3A55" w:rsidRPr="00D25BEF">
        <w:rPr>
          <w:rFonts w:ascii="Arial" w:eastAsia="Calibri" w:hAnsi="Arial" w:cs="Arial"/>
          <w:sz w:val="22"/>
        </w:rPr>
        <w:t>Por la emergencia sanitaria, la normatividad de los planes anuales de adquisiciones cambi</w:t>
      </w:r>
      <w:r w:rsidR="0003000D">
        <w:rPr>
          <w:rFonts w:ascii="Arial" w:eastAsia="Calibri" w:hAnsi="Arial" w:cs="Arial"/>
          <w:sz w:val="22"/>
        </w:rPr>
        <w:t>ó</w:t>
      </w:r>
      <w:r w:rsidR="001E3A55" w:rsidRPr="00D25BEF">
        <w:rPr>
          <w:rFonts w:ascii="Arial" w:eastAsia="Calibri" w:hAnsi="Arial" w:cs="Arial"/>
          <w:sz w:val="22"/>
        </w:rPr>
        <w:t xml:space="preserve"> o contin</w:t>
      </w:r>
      <w:r w:rsidR="0003000D">
        <w:rPr>
          <w:rFonts w:ascii="Arial" w:eastAsia="Calibri" w:hAnsi="Arial" w:cs="Arial"/>
          <w:sz w:val="22"/>
        </w:rPr>
        <w:t>ú</w:t>
      </w:r>
      <w:r w:rsidR="001E3A55" w:rsidRPr="00D25BEF">
        <w:rPr>
          <w:rFonts w:ascii="Arial" w:eastAsia="Calibri" w:hAnsi="Arial" w:cs="Arial"/>
          <w:sz w:val="22"/>
        </w:rPr>
        <w:t>a la obligación de publicarlos. ¿Quién controla y cuál sería la consecuencia de no hacerlo?</w:t>
      </w:r>
      <w:r w:rsidRPr="00D25BEF">
        <w:rPr>
          <w:rFonts w:ascii="Arial" w:eastAsia="Calibri" w:hAnsi="Arial" w:cs="Arial"/>
          <w:sz w:val="22"/>
        </w:rPr>
        <w:t>»</w:t>
      </w:r>
      <w:bookmarkEnd w:id="5"/>
      <w:r w:rsidRPr="00D25BEF">
        <w:rPr>
          <w:rFonts w:ascii="Arial" w:eastAsia="Calibri" w:hAnsi="Arial" w:cs="Arial"/>
          <w:sz w:val="22"/>
        </w:rPr>
        <w:t>.</w:t>
      </w:r>
    </w:p>
    <w:p w14:paraId="36F521E3" w14:textId="5D5872F0" w:rsidR="00735EB6" w:rsidRPr="0014392D" w:rsidRDefault="00735EB6" w:rsidP="008B1764">
      <w:pPr>
        <w:tabs>
          <w:tab w:val="left" w:pos="426"/>
        </w:tabs>
        <w:spacing w:line="276" w:lineRule="auto"/>
        <w:jc w:val="both"/>
        <w:rPr>
          <w:rFonts w:ascii="Arial" w:eastAsia="Calibri" w:hAnsi="Arial" w:cs="Arial"/>
          <w:sz w:val="22"/>
        </w:rPr>
      </w:pPr>
    </w:p>
    <w:p w14:paraId="788532E3" w14:textId="2FCE898C" w:rsidR="0071707F" w:rsidRDefault="00E7138C" w:rsidP="008B1764">
      <w:pPr>
        <w:tabs>
          <w:tab w:val="left" w:pos="426"/>
        </w:tabs>
        <w:spacing w:line="276" w:lineRule="auto"/>
        <w:jc w:val="both"/>
        <w:rPr>
          <w:rFonts w:ascii="Arial" w:eastAsia="Calibri" w:hAnsi="Arial" w:cs="Arial"/>
          <w:b/>
          <w:sz w:val="22"/>
        </w:rPr>
      </w:pPr>
      <w:r w:rsidRPr="005D0519">
        <w:rPr>
          <w:rFonts w:ascii="Arial" w:eastAsia="Calibri" w:hAnsi="Arial" w:cs="Arial"/>
          <w:b/>
          <w:sz w:val="22"/>
        </w:rPr>
        <w:t>2. Consideraciones</w:t>
      </w:r>
      <w:r w:rsidR="005D0519">
        <w:rPr>
          <w:rFonts w:ascii="Arial" w:eastAsia="Calibri" w:hAnsi="Arial" w:cs="Arial"/>
          <w:b/>
          <w:sz w:val="22"/>
        </w:rPr>
        <w:t xml:space="preserve">. </w:t>
      </w:r>
    </w:p>
    <w:p w14:paraId="5ED3373F" w14:textId="77777777" w:rsidR="005E55D7" w:rsidRPr="00DF0F8E" w:rsidRDefault="005E55D7" w:rsidP="008B1764">
      <w:pPr>
        <w:tabs>
          <w:tab w:val="left" w:pos="426"/>
        </w:tabs>
        <w:spacing w:line="276" w:lineRule="auto"/>
        <w:jc w:val="both"/>
        <w:rPr>
          <w:rFonts w:ascii="Arial" w:eastAsia="Calibri" w:hAnsi="Arial" w:cs="Arial"/>
          <w:b/>
          <w:sz w:val="22"/>
        </w:rPr>
      </w:pPr>
    </w:p>
    <w:p w14:paraId="0DF5BEC3" w14:textId="02032841" w:rsidR="006D1878" w:rsidRDefault="003F6F8C" w:rsidP="0027103D">
      <w:pPr>
        <w:spacing w:line="276" w:lineRule="auto"/>
        <w:jc w:val="both"/>
        <w:rPr>
          <w:rFonts w:ascii="Arial" w:eastAsia="Calibri" w:hAnsi="Arial" w:cs="Arial"/>
          <w:sz w:val="22"/>
          <w:lang w:val="es-ES_tradnl"/>
        </w:rPr>
      </w:pPr>
      <w:r w:rsidRPr="0014392D">
        <w:rPr>
          <w:rFonts w:ascii="Arial" w:hAnsi="Arial" w:cs="Arial"/>
          <w:sz w:val="22"/>
          <w:lang w:val="es-ES_tradnl"/>
        </w:rPr>
        <w:t xml:space="preserve">La Agencia Nacional de Contratación Pública – Colombia Compra Eficiente emitió el Concepto Unificado CU-348 del 3 de julio de 2020, sobre la naturaleza del plan anual de </w:t>
      </w:r>
      <w:r w:rsidRPr="0014392D">
        <w:rPr>
          <w:rFonts w:ascii="Arial" w:hAnsi="Arial" w:cs="Arial"/>
          <w:sz w:val="22"/>
          <w:lang w:val="es-ES_tradnl"/>
        </w:rPr>
        <w:lastRenderedPageBreak/>
        <w:t xml:space="preserve">adquisiciones. Así mismo, se destacan como precedentes los conceptos </w:t>
      </w:r>
      <w:r w:rsidRPr="0014392D">
        <w:rPr>
          <w:rFonts w:ascii="Arial" w:eastAsia="Calibri" w:hAnsi="Arial" w:cs="Arial"/>
          <w:sz w:val="22"/>
          <w:lang w:val="es-ES_tradnl"/>
        </w:rPr>
        <w:t>con radicado</w:t>
      </w:r>
      <w:r w:rsidR="00395C94" w:rsidRPr="0014392D">
        <w:rPr>
          <w:rFonts w:ascii="Arial" w:eastAsia="Calibri" w:hAnsi="Arial" w:cs="Arial"/>
          <w:sz w:val="22"/>
          <w:lang w:val="es-ES_tradnl"/>
        </w:rPr>
        <w:t>s</w:t>
      </w:r>
      <w:r w:rsidRPr="0014392D">
        <w:rPr>
          <w:rFonts w:ascii="Arial" w:eastAsia="Calibri" w:hAnsi="Arial" w:cs="Arial"/>
          <w:sz w:val="22"/>
          <w:lang w:val="es-ES_tradnl"/>
        </w:rPr>
        <w:t xml:space="preserve"> No</w:t>
      </w:r>
      <w:r w:rsidR="00395C94" w:rsidRPr="0014392D">
        <w:rPr>
          <w:rFonts w:ascii="Arial" w:eastAsia="Calibri" w:hAnsi="Arial" w:cs="Arial"/>
          <w:sz w:val="22"/>
          <w:lang w:val="es-ES_tradnl"/>
        </w:rPr>
        <w:t>s</w:t>
      </w:r>
      <w:r w:rsidRPr="0014392D">
        <w:rPr>
          <w:rFonts w:ascii="Arial" w:eastAsia="Calibri" w:hAnsi="Arial" w:cs="Arial"/>
          <w:sz w:val="22"/>
          <w:lang w:val="es-ES_tradnl"/>
        </w:rPr>
        <w:t>. 4201913000006571 del 8 de noviembre de 2019, reiterado y desarrollado en los conceptos 4201912000007258 del 4 de diciembre de 2019, C-048 del 13 de enero de 2020, C</w:t>
      </w:r>
      <w:r w:rsidRPr="0014392D">
        <w:rPr>
          <w:rFonts w:ascii="Arial" w:eastAsia="Calibri" w:hAnsi="Arial" w:cs="Arial"/>
          <w:bCs/>
          <w:sz w:val="22"/>
          <w:lang w:val="es-ES_tradnl"/>
        </w:rPr>
        <w:t>-</w:t>
      </w:r>
      <w:r w:rsidRPr="0014392D">
        <w:rPr>
          <w:rFonts w:ascii="Arial" w:eastAsia="Calibri" w:hAnsi="Arial" w:cs="Arial"/>
          <w:sz w:val="22"/>
          <w:lang w:val="es-ES_tradnl"/>
        </w:rPr>
        <w:t xml:space="preserve">106 del 20 de marzo de 2020, C-109 del 25 de marzo de 2020, </w:t>
      </w:r>
      <w:r w:rsidR="00A24322" w:rsidRPr="0014392D">
        <w:rPr>
          <w:rFonts w:ascii="Arial" w:eastAsia="Calibri" w:hAnsi="Arial" w:cs="Arial"/>
          <w:sz w:val="22"/>
          <w:lang w:val="es-ES_tradnl"/>
        </w:rPr>
        <w:t xml:space="preserve">C-177 del 31 de marzo de 2020, </w:t>
      </w:r>
      <w:r w:rsidRPr="0014392D">
        <w:rPr>
          <w:rFonts w:ascii="Arial" w:eastAsia="Calibri" w:hAnsi="Arial" w:cs="Arial"/>
          <w:sz w:val="22"/>
          <w:lang w:val="es-ES_tradnl"/>
        </w:rPr>
        <w:t xml:space="preserve">C-237 del 27 de abril de 2020, </w:t>
      </w:r>
      <w:r w:rsidR="00A24322" w:rsidRPr="0014392D">
        <w:rPr>
          <w:rFonts w:ascii="Arial" w:eastAsia="Calibri" w:hAnsi="Arial" w:cs="Arial"/>
          <w:sz w:val="22"/>
          <w:lang w:val="es-ES_tradnl"/>
        </w:rPr>
        <w:t xml:space="preserve">C-266 del 21 de mayo de 2020, C-390 del 23 de junio de 2020, </w:t>
      </w:r>
      <w:r w:rsidRPr="0014392D">
        <w:rPr>
          <w:rFonts w:ascii="Arial" w:eastAsia="Calibri" w:hAnsi="Arial" w:cs="Arial"/>
          <w:sz w:val="22"/>
          <w:lang w:val="es-ES_tradnl"/>
        </w:rPr>
        <w:t xml:space="preserve">C-331 del 25 de junio de 2020, </w:t>
      </w:r>
      <w:r w:rsidR="00D309A0" w:rsidRPr="0014392D">
        <w:rPr>
          <w:rFonts w:ascii="Arial" w:eastAsia="Calibri" w:hAnsi="Arial" w:cs="Arial"/>
          <w:sz w:val="22"/>
          <w:lang w:val="es-ES_tradnl"/>
        </w:rPr>
        <w:t xml:space="preserve">C-428 del 07 de julio de 2020, </w:t>
      </w:r>
      <w:r w:rsidRPr="0014392D">
        <w:rPr>
          <w:rFonts w:ascii="Arial" w:eastAsia="Calibri" w:hAnsi="Arial" w:cs="Arial"/>
          <w:sz w:val="22"/>
          <w:lang w:val="es-ES_tradnl"/>
        </w:rPr>
        <w:t>C-467 del 31 de julio de 2020, C-</w:t>
      </w:r>
      <w:r w:rsidR="00D309A0" w:rsidRPr="0014392D">
        <w:rPr>
          <w:rFonts w:ascii="Arial" w:eastAsia="Calibri" w:hAnsi="Arial" w:cs="Arial"/>
          <w:sz w:val="22"/>
          <w:lang w:val="es-ES_tradnl"/>
        </w:rPr>
        <w:t>638 del 14 de octubre de 2020, C-648 del 25 de octubre de 2020 y C-686 del 01 de diciembre de 2020</w:t>
      </w:r>
      <w:r w:rsidR="00905611">
        <w:rPr>
          <w:rFonts w:ascii="Arial" w:eastAsia="Calibri" w:hAnsi="Arial" w:cs="Arial"/>
          <w:sz w:val="22"/>
          <w:lang w:val="es-ES_tradnl"/>
        </w:rPr>
        <w:t>, C-084 del 28 abril de 2021 y C-258 del 03 de junio de 2021</w:t>
      </w:r>
      <w:r w:rsidR="00D309A0" w:rsidRPr="0014392D">
        <w:rPr>
          <w:rFonts w:ascii="Arial" w:eastAsia="Calibri" w:hAnsi="Arial" w:cs="Arial"/>
          <w:sz w:val="22"/>
          <w:lang w:val="es-ES_tradnl"/>
        </w:rPr>
        <w:t xml:space="preserve">, </w:t>
      </w:r>
      <w:r w:rsidRPr="0014392D">
        <w:rPr>
          <w:rFonts w:ascii="Arial" w:eastAsia="Calibri" w:hAnsi="Arial" w:cs="Arial"/>
          <w:sz w:val="22"/>
          <w:lang w:val="es-ES_tradnl"/>
        </w:rPr>
        <w:t xml:space="preserve">en los que se analizó el plan anual de </w:t>
      </w:r>
      <w:r w:rsidRPr="0014392D">
        <w:rPr>
          <w:rFonts w:ascii="Arial" w:hAnsi="Arial" w:cs="Arial"/>
          <w:bCs/>
          <w:sz w:val="22"/>
          <w:lang w:val="es-ES_tradnl"/>
        </w:rPr>
        <w:t>adquisiciones</w:t>
      </w:r>
      <w:r w:rsidRPr="0014392D">
        <w:rPr>
          <w:rFonts w:ascii="Arial" w:eastAsia="Calibri" w:hAnsi="Arial" w:cs="Arial"/>
          <w:sz w:val="22"/>
          <w:lang w:val="es-ES_tradnl"/>
        </w:rPr>
        <w:t xml:space="preserve">. </w:t>
      </w:r>
      <w:r w:rsidR="0056302E" w:rsidRPr="00EA6CBF">
        <w:rPr>
          <w:rFonts w:ascii="Arial" w:eastAsia="Calibri" w:hAnsi="Arial" w:cs="Arial"/>
          <w:sz w:val="22"/>
        </w:rPr>
        <w:t xml:space="preserve">También por medio de los conceptos </w:t>
      </w:r>
      <w:r w:rsidR="00137BCE" w:rsidRPr="00754FD8">
        <w:rPr>
          <w:rFonts w:ascii="Arial" w:hAnsi="Arial" w:cs="Arial"/>
          <w:noProof/>
          <w:color w:val="000000" w:themeColor="text1"/>
          <w:sz w:val="22"/>
          <w:lang w:val="es-ES_tradnl"/>
        </w:rPr>
        <w:t>C-138, C-005, C-006 y C-018 del 11 de mayo de 2020; C-175, C-320, C-053, C-255, C-282, C-293 del 12 de mayo de 2020, C-345 del 13 de mayo de 2020, C-495 del 30 de julio de 2020, C-493 del 31 de julio de 2020</w:t>
      </w:r>
      <w:r w:rsidR="00137BCE">
        <w:rPr>
          <w:rFonts w:ascii="Arial" w:hAnsi="Arial" w:cs="Arial"/>
          <w:noProof/>
          <w:color w:val="000000" w:themeColor="text1"/>
          <w:sz w:val="22"/>
          <w:lang w:val="es-ES_tradnl"/>
        </w:rPr>
        <w:t xml:space="preserve">, </w:t>
      </w:r>
      <w:r w:rsidR="00137BCE" w:rsidRPr="00754FD8">
        <w:rPr>
          <w:rFonts w:ascii="Arial" w:hAnsi="Arial" w:cs="Arial"/>
          <w:noProof/>
          <w:color w:val="000000" w:themeColor="text1"/>
          <w:sz w:val="22"/>
          <w:lang w:val="es-ES_tradnl"/>
        </w:rPr>
        <w:t>C-526 del 11 de agosto de 2020</w:t>
      </w:r>
      <w:r w:rsidR="00137BCE">
        <w:rPr>
          <w:rFonts w:ascii="Arial" w:hAnsi="Arial" w:cs="Arial"/>
          <w:noProof/>
          <w:color w:val="000000" w:themeColor="text1"/>
          <w:sz w:val="22"/>
          <w:lang w:val="es-ES_tradnl"/>
        </w:rPr>
        <w:t>, C-027 del 01 de marzo de 2021 y C-063 del 10 de marzo de 2021, esta Agencia se pronunci</w:t>
      </w:r>
      <w:r w:rsidR="0003000D">
        <w:rPr>
          <w:rFonts w:ascii="Arial" w:hAnsi="Arial" w:cs="Arial"/>
          <w:noProof/>
          <w:color w:val="000000" w:themeColor="text1"/>
          <w:sz w:val="22"/>
          <w:lang w:val="es-ES_tradnl"/>
        </w:rPr>
        <w:t>ó</w:t>
      </w:r>
      <w:r w:rsidR="00137BCE">
        <w:rPr>
          <w:rFonts w:ascii="Arial" w:hAnsi="Arial" w:cs="Arial"/>
          <w:noProof/>
          <w:color w:val="000000" w:themeColor="text1"/>
          <w:sz w:val="22"/>
          <w:lang w:val="es-ES_tradnl"/>
        </w:rPr>
        <w:t xml:space="preserve"> sobre las disposiciones expedidas para mitigar los efectos de la pandemia del COVID - 19, especialmente en el ambito de la contrataci</w:t>
      </w:r>
      <w:r w:rsidR="0003000D">
        <w:rPr>
          <w:rFonts w:ascii="Arial" w:hAnsi="Arial" w:cs="Arial"/>
          <w:noProof/>
          <w:color w:val="000000" w:themeColor="text1"/>
          <w:sz w:val="22"/>
          <w:lang w:val="es-ES_tradnl"/>
        </w:rPr>
        <w:t>ó</w:t>
      </w:r>
      <w:r w:rsidR="00137BCE">
        <w:rPr>
          <w:rFonts w:ascii="Arial" w:hAnsi="Arial" w:cs="Arial"/>
          <w:noProof/>
          <w:color w:val="000000" w:themeColor="text1"/>
          <w:sz w:val="22"/>
          <w:lang w:val="es-ES_tradnl"/>
        </w:rPr>
        <w:t xml:space="preserve">n estatal. </w:t>
      </w:r>
      <w:r w:rsidRPr="0014392D">
        <w:rPr>
          <w:rFonts w:ascii="Arial" w:eastAsia="Calibri" w:hAnsi="Arial" w:cs="Arial"/>
          <w:sz w:val="22"/>
          <w:lang w:val="es-ES_tradnl"/>
        </w:rPr>
        <w:t xml:space="preserve">La tesis propuesta en estos conceptos se reitera a continuación: </w:t>
      </w:r>
    </w:p>
    <w:p w14:paraId="2057E18E" w14:textId="77777777" w:rsidR="00137BCE" w:rsidRDefault="00137BCE" w:rsidP="001E3A55">
      <w:pPr>
        <w:jc w:val="both"/>
        <w:rPr>
          <w:rFonts w:ascii="Arial" w:eastAsia="Calibri" w:hAnsi="Arial" w:cs="Arial"/>
          <w:sz w:val="22"/>
          <w:lang w:val="es-ES_tradnl"/>
        </w:rPr>
      </w:pPr>
    </w:p>
    <w:p w14:paraId="5ECDC043" w14:textId="535E923D" w:rsidR="00EF7DB4" w:rsidRDefault="00137BCE" w:rsidP="00EF7DB4">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2.1</w:t>
      </w:r>
      <w:r w:rsidR="00EF7DB4" w:rsidRPr="00ED3F7E">
        <w:rPr>
          <w:rFonts w:ascii="Arial" w:eastAsia="Calibri" w:hAnsi="Arial" w:cs="Arial"/>
          <w:b/>
          <w:bCs/>
          <w:color w:val="000000" w:themeColor="text1"/>
          <w:sz w:val="22"/>
        </w:rPr>
        <w:t xml:space="preserve">. </w:t>
      </w:r>
      <w:r w:rsidR="00EF7DB4">
        <w:rPr>
          <w:rFonts w:ascii="Arial" w:eastAsia="Calibri" w:hAnsi="Arial" w:cs="Arial"/>
          <w:b/>
          <w:bCs/>
          <w:color w:val="000000" w:themeColor="text1"/>
          <w:sz w:val="22"/>
        </w:rPr>
        <w:t xml:space="preserve">Expedición, publicación y actualización del plan anual de adquisiciones.    </w:t>
      </w:r>
    </w:p>
    <w:p w14:paraId="1655B6C4" w14:textId="77777777" w:rsidR="00EF7DB4" w:rsidRDefault="00EF7DB4" w:rsidP="00EF7DB4">
      <w:pPr>
        <w:spacing w:line="276" w:lineRule="auto"/>
        <w:jc w:val="both"/>
        <w:rPr>
          <w:rFonts w:ascii="Arial" w:eastAsia="Calibri" w:hAnsi="Arial" w:cs="Arial"/>
          <w:b/>
          <w:bCs/>
          <w:color w:val="000000" w:themeColor="text1"/>
          <w:sz w:val="22"/>
        </w:rPr>
      </w:pPr>
    </w:p>
    <w:p w14:paraId="322985A0" w14:textId="74968A79" w:rsidR="005D0519" w:rsidRDefault="00EF7DB4" w:rsidP="005D0519">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Estudiar el régimen de expedición, publicación y actualización del plan anual de adquisiciones</w:t>
      </w:r>
      <w:r w:rsidRPr="00A830DF">
        <w:rPr>
          <w:rFonts w:ascii="Arial" w:eastAsia="Calibri" w:hAnsi="Arial" w:cs="Arial"/>
          <w:color w:val="000000" w:themeColor="text1"/>
          <w:sz w:val="22"/>
        </w:rPr>
        <w:t xml:space="preserve"> supone an</w:t>
      </w:r>
      <w:r>
        <w:rPr>
          <w:rFonts w:ascii="Arial" w:eastAsia="Calibri" w:hAnsi="Arial" w:cs="Arial"/>
          <w:color w:val="000000" w:themeColor="text1"/>
          <w:sz w:val="22"/>
        </w:rPr>
        <w:t>a</w:t>
      </w:r>
      <w:r w:rsidRPr="00A830DF">
        <w:rPr>
          <w:rFonts w:ascii="Arial" w:eastAsia="Calibri" w:hAnsi="Arial" w:cs="Arial"/>
          <w:color w:val="000000" w:themeColor="text1"/>
          <w:sz w:val="22"/>
        </w:rPr>
        <w:t>li</w:t>
      </w:r>
      <w:r>
        <w:rPr>
          <w:rFonts w:ascii="Arial" w:eastAsia="Calibri" w:hAnsi="Arial" w:cs="Arial"/>
          <w:color w:val="000000" w:themeColor="text1"/>
          <w:sz w:val="22"/>
        </w:rPr>
        <w:t>zar</w:t>
      </w:r>
      <w:r w:rsidRPr="00A830DF">
        <w:rPr>
          <w:rFonts w:ascii="Arial" w:eastAsia="Calibri" w:hAnsi="Arial" w:cs="Arial"/>
          <w:color w:val="000000" w:themeColor="text1"/>
          <w:sz w:val="22"/>
        </w:rPr>
        <w:t xml:space="preserve"> lo dispuesto en los artículos 2.2.1.1.1.4.1, 2.2.1.1.1.4</w:t>
      </w:r>
      <w:r w:rsidRPr="00DD312A">
        <w:rPr>
          <w:rFonts w:ascii="Arial" w:eastAsia="Calibri" w:hAnsi="Arial" w:cs="Arial"/>
          <w:color w:val="000000" w:themeColor="text1"/>
          <w:sz w:val="22"/>
        </w:rPr>
        <w:t>.3</w:t>
      </w:r>
      <w:r w:rsidRPr="00A830DF">
        <w:rPr>
          <w:rFonts w:ascii="Arial" w:eastAsia="Calibri" w:hAnsi="Arial" w:cs="Arial"/>
          <w:color w:val="000000" w:themeColor="text1"/>
          <w:sz w:val="22"/>
        </w:rPr>
        <w:t xml:space="preserve"> y 2.2.1.1.1.4.4 del Decreto 1082 de 2015. El primer </w:t>
      </w:r>
      <w:r w:rsidR="00AA3584">
        <w:rPr>
          <w:rFonts w:ascii="Arial" w:eastAsia="Calibri" w:hAnsi="Arial" w:cs="Arial"/>
          <w:color w:val="000000" w:themeColor="text1"/>
          <w:sz w:val="22"/>
        </w:rPr>
        <w:t xml:space="preserve">de estos </w:t>
      </w:r>
      <w:r w:rsidRPr="00A830DF">
        <w:rPr>
          <w:rFonts w:ascii="Arial" w:eastAsia="Calibri" w:hAnsi="Arial" w:cs="Arial"/>
          <w:color w:val="000000" w:themeColor="text1"/>
          <w:sz w:val="22"/>
        </w:rPr>
        <w:t>artículo</w:t>
      </w:r>
      <w:r w:rsidR="00AA3584">
        <w:rPr>
          <w:rFonts w:ascii="Arial" w:eastAsia="Calibri" w:hAnsi="Arial" w:cs="Arial"/>
          <w:color w:val="000000" w:themeColor="text1"/>
          <w:sz w:val="22"/>
        </w:rPr>
        <w:t>s</w:t>
      </w:r>
      <w:r w:rsidRPr="00A830DF">
        <w:rPr>
          <w:rFonts w:ascii="Arial" w:eastAsia="Calibri" w:hAnsi="Arial" w:cs="Arial"/>
          <w:color w:val="000000" w:themeColor="text1"/>
          <w:sz w:val="22"/>
        </w:rPr>
        <w:t xml:space="preserve"> establece el deber de las entidades de «elaborar el plan anual de adquisiciones, el cual debe contener la lista de bienes, obras y servicios que pretenden adquirir durante el año». </w:t>
      </w:r>
      <w:r>
        <w:rPr>
          <w:rFonts w:ascii="Arial" w:eastAsia="Calibri" w:hAnsi="Arial" w:cs="Arial"/>
          <w:color w:val="000000" w:themeColor="text1"/>
          <w:sz w:val="22"/>
        </w:rPr>
        <w:t>E</w:t>
      </w:r>
      <w:r w:rsidRPr="00A830DF">
        <w:rPr>
          <w:rFonts w:ascii="Arial" w:eastAsia="Calibri" w:hAnsi="Arial" w:cs="Arial"/>
          <w:color w:val="000000" w:themeColor="text1"/>
          <w:sz w:val="22"/>
        </w:rPr>
        <w:t xml:space="preserve">l aparte trascrito </w:t>
      </w:r>
      <w:r>
        <w:rPr>
          <w:rFonts w:ascii="Arial" w:eastAsia="Calibri" w:hAnsi="Arial" w:cs="Arial"/>
          <w:color w:val="000000" w:themeColor="text1"/>
          <w:sz w:val="22"/>
        </w:rPr>
        <w:t>permite inferir</w:t>
      </w:r>
      <w:r w:rsidRPr="00A830DF">
        <w:rPr>
          <w:rFonts w:ascii="Arial" w:eastAsia="Calibri" w:hAnsi="Arial" w:cs="Arial"/>
          <w:color w:val="000000" w:themeColor="text1"/>
          <w:sz w:val="22"/>
        </w:rPr>
        <w:t xml:space="preserve"> que se trata de un documento estimativo, pues contiene un listado de bienes, obras o servicios que, producto del ejercicio de planeación de la entidad, esta pretende adquirir dentro de la vigencia correspondiente. </w:t>
      </w:r>
      <w:r>
        <w:rPr>
          <w:rFonts w:ascii="Arial" w:eastAsia="Calibri" w:hAnsi="Arial" w:cs="Arial"/>
          <w:color w:val="000000" w:themeColor="text1"/>
          <w:sz w:val="22"/>
        </w:rPr>
        <w:t>Esta</w:t>
      </w:r>
      <w:r w:rsidRPr="00A830DF">
        <w:rPr>
          <w:rFonts w:ascii="Arial" w:eastAsia="Calibri" w:hAnsi="Arial" w:cs="Arial"/>
          <w:color w:val="000000" w:themeColor="text1"/>
          <w:sz w:val="22"/>
        </w:rPr>
        <w:t xml:space="preserve"> redacción advierte la naturaleza estimativa de</w:t>
      </w:r>
      <w:r>
        <w:rPr>
          <w:rFonts w:ascii="Arial" w:eastAsia="Calibri" w:hAnsi="Arial" w:cs="Arial"/>
          <w:color w:val="000000" w:themeColor="text1"/>
          <w:sz w:val="22"/>
        </w:rPr>
        <w:t>l</w:t>
      </w:r>
      <w:r w:rsidRPr="00A830DF">
        <w:rPr>
          <w:rFonts w:ascii="Arial" w:eastAsia="Calibri" w:hAnsi="Arial" w:cs="Arial"/>
          <w:color w:val="000000" w:themeColor="text1"/>
          <w:sz w:val="22"/>
        </w:rPr>
        <w:t xml:space="preserve"> documento, pues </w:t>
      </w:r>
      <w:r w:rsidR="00AA3584">
        <w:rPr>
          <w:rFonts w:ascii="Arial" w:eastAsia="Calibri" w:hAnsi="Arial" w:cs="Arial"/>
          <w:color w:val="000000" w:themeColor="text1"/>
          <w:sz w:val="22"/>
        </w:rPr>
        <w:t>alude a</w:t>
      </w:r>
      <w:r>
        <w:rPr>
          <w:rFonts w:ascii="Arial" w:eastAsia="Calibri" w:hAnsi="Arial" w:cs="Arial"/>
          <w:color w:val="000000" w:themeColor="text1"/>
          <w:sz w:val="22"/>
        </w:rPr>
        <w:t xml:space="preserve"> los siguientes aspectos</w:t>
      </w:r>
      <w:r w:rsidRPr="00A830DF">
        <w:rPr>
          <w:rFonts w:ascii="Arial" w:eastAsia="Calibri" w:hAnsi="Arial" w:cs="Arial"/>
          <w:color w:val="000000" w:themeColor="text1"/>
          <w:sz w:val="22"/>
        </w:rPr>
        <w:t>: i) la necesidad</w:t>
      </w:r>
      <w:r>
        <w:rPr>
          <w:rFonts w:ascii="Arial" w:eastAsia="Calibri" w:hAnsi="Arial" w:cs="Arial"/>
          <w:color w:val="000000" w:themeColor="text1"/>
          <w:sz w:val="22"/>
        </w:rPr>
        <w:t>;</w:t>
      </w:r>
      <w:r w:rsidRPr="00A830DF">
        <w:rPr>
          <w:rFonts w:ascii="Arial" w:eastAsia="Calibri" w:hAnsi="Arial" w:cs="Arial"/>
          <w:color w:val="000000" w:themeColor="text1"/>
          <w:sz w:val="22"/>
        </w:rPr>
        <w:t xml:space="preserve"> ii) </w:t>
      </w:r>
      <w:r>
        <w:rPr>
          <w:rFonts w:ascii="Arial" w:eastAsia="Calibri" w:hAnsi="Arial" w:cs="Arial"/>
          <w:color w:val="000000" w:themeColor="text1"/>
          <w:sz w:val="22"/>
        </w:rPr>
        <w:t xml:space="preserve">la identificación en el clasificador si la entidad conoce </w:t>
      </w:r>
      <w:r w:rsidRPr="00A830DF">
        <w:rPr>
          <w:rFonts w:ascii="Arial" w:eastAsia="Calibri" w:hAnsi="Arial" w:cs="Arial"/>
          <w:color w:val="000000" w:themeColor="text1"/>
          <w:sz w:val="22"/>
        </w:rPr>
        <w:t>el bien, obra o servicio que satisface la necesidad</w:t>
      </w:r>
      <w:r>
        <w:rPr>
          <w:rFonts w:ascii="Arial" w:eastAsia="Calibri" w:hAnsi="Arial" w:cs="Arial"/>
          <w:color w:val="000000" w:themeColor="text1"/>
          <w:sz w:val="22"/>
        </w:rPr>
        <w:t>;</w:t>
      </w:r>
      <w:r w:rsidRPr="00A830DF">
        <w:rPr>
          <w:rFonts w:ascii="Arial" w:eastAsia="Calibri" w:hAnsi="Arial" w:cs="Arial"/>
          <w:color w:val="000000" w:themeColor="text1"/>
          <w:sz w:val="22"/>
        </w:rPr>
        <w:t xml:space="preserve"> iii) el valor estimado del contrato; iv) el tipo de recursos con cargo a los cuales la </w:t>
      </w:r>
      <w:r>
        <w:rPr>
          <w:rFonts w:ascii="Arial" w:eastAsia="Calibri" w:hAnsi="Arial" w:cs="Arial"/>
          <w:color w:val="000000" w:themeColor="text1"/>
          <w:sz w:val="22"/>
        </w:rPr>
        <w:t>e</w:t>
      </w:r>
      <w:r w:rsidRPr="00A830DF">
        <w:rPr>
          <w:rFonts w:ascii="Arial" w:eastAsia="Calibri" w:hAnsi="Arial" w:cs="Arial"/>
          <w:color w:val="000000" w:themeColor="text1"/>
          <w:sz w:val="22"/>
        </w:rPr>
        <w:t xml:space="preserve">ntidad pagará el bien, obra o servicio; v) la modalidad de selección del contratista y vi) la fecha aproximada en la cual la </w:t>
      </w:r>
      <w:r>
        <w:rPr>
          <w:rFonts w:ascii="Arial" w:eastAsia="Calibri" w:hAnsi="Arial" w:cs="Arial"/>
          <w:color w:val="000000" w:themeColor="text1"/>
          <w:sz w:val="22"/>
        </w:rPr>
        <w:t>e</w:t>
      </w:r>
      <w:r w:rsidRPr="00A830DF">
        <w:rPr>
          <w:rFonts w:ascii="Arial" w:eastAsia="Calibri" w:hAnsi="Arial" w:cs="Arial"/>
          <w:color w:val="000000" w:themeColor="text1"/>
          <w:sz w:val="22"/>
        </w:rPr>
        <w:t xml:space="preserve">ntidad </w:t>
      </w:r>
      <w:r>
        <w:rPr>
          <w:rFonts w:ascii="Arial" w:eastAsia="Calibri" w:hAnsi="Arial" w:cs="Arial"/>
          <w:color w:val="000000" w:themeColor="text1"/>
          <w:sz w:val="22"/>
        </w:rPr>
        <w:t>iniciará</w:t>
      </w:r>
      <w:r w:rsidRPr="00A830DF">
        <w:rPr>
          <w:rFonts w:ascii="Arial" w:eastAsia="Calibri" w:hAnsi="Arial" w:cs="Arial"/>
          <w:color w:val="000000" w:themeColor="text1"/>
          <w:sz w:val="22"/>
        </w:rPr>
        <w:t xml:space="preserve"> el </w:t>
      </w:r>
      <w:r>
        <w:rPr>
          <w:rFonts w:ascii="Arial" w:eastAsia="Calibri" w:hAnsi="Arial" w:cs="Arial"/>
          <w:color w:val="000000" w:themeColor="text1"/>
          <w:sz w:val="22"/>
        </w:rPr>
        <w:t>procedimiento de selección</w:t>
      </w:r>
      <w:r w:rsidRPr="00A830DF">
        <w:rPr>
          <w:rFonts w:ascii="Arial" w:eastAsia="Calibri" w:hAnsi="Arial" w:cs="Arial"/>
          <w:color w:val="000000" w:themeColor="text1"/>
          <w:sz w:val="22"/>
        </w:rPr>
        <w:t xml:space="preserve">. </w:t>
      </w:r>
    </w:p>
    <w:p w14:paraId="51D0FFE0" w14:textId="3CB1A9CF" w:rsidR="00EF7DB4" w:rsidRPr="00A830DF" w:rsidRDefault="00EF7DB4" w:rsidP="005D0519">
      <w:pPr>
        <w:spacing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Nótese cómo la norma referida establece la obligación de enunciar la información de manera indicativa, </w:t>
      </w:r>
      <w:r w:rsidR="00AA3584">
        <w:rPr>
          <w:rFonts w:ascii="Arial" w:eastAsia="Calibri" w:hAnsi="Arial" w:cs="Arial"/>
          <w:color w:val="000000" w:themeColor="text1"/>
          <w:sz w:val="22"/>
        </w:rPr>
        <w:t>mas</w:t>
      </w:r>
      <w:r w:rsidR="00AA3584" w:rsidRPr="00A830DF">
        <w:rPr>
          <w:rFonts w:ascii="Arial" w:eastAsia="Calibri" w:hAnsi="Arial" w:cs="Arial"/>
          <w:color w:val="000000" w:themeColor="text1"/>
          <w:sz w:val="22"/>
        </w:rPr>
        <w:t xml:space="preserve"> </w:t>
      </w:r>
      <w:r w:rsidRPr="00A830DF">
        <w:rPr>
          <w:rFonts w:ascii="Arial" w:eastAsia="Calibri" w:hAnsi="Arial" w:cs="Arial"/>
          <w:color w:val="000000" w:themeColor="text1"/>
          <w:sz w:val="22"/>
        </w:rPr>
        <w:t xml:space="preserve">no impone determinar valores precisos, tiempos, bienes, obras o servicios de manera exacta; todo lo contrario, permite realizar un pronóstico indicativo de las necesidades que </w:t>
      </w:r>
      <w:r>
        <w:rPr>
          <w:rFonts w:ascii="Arial" w:eastAsia="Calibri" w:hAnsi="Arial" w:cs="Arial"/>
          <w:color w:val="000000" w:themeColor="text1"/>
          <w:sz w:val="22"/>
        </w:rPr>
        <w:t>va a</w:t>
      </w:r>
      <w:r w:rsidRPr="00A830DF">
        <w:rPr>
          <w:rFonts w:ascii="Arial" w:eastAsia="Calibri" w:hAnsi="Arial" w:cs="Arial"/>
          <w:color w:val="000000" w:themeColor="text1"/>
          <w:sz w:val="22"/>
        </w:rPr>
        <w:t xml:space="preserve"> contratar.</w:t>
      </w:r>
      <w:r>
        <w:rPr>
          <w:rFonts w:ascii="Arial" w:eastAsia="Calibri" w:hAnsi="Arial" w:cs="Arial"/>
          <w:color w:val="000000" w:themeColor="text1"/>
          <w:sz w:val="22"/>
        </w:rPr>
        <w:t xml:space="preserve"> </w:t>
      </w:r>
      <w:r w:rsidRPr="00A830DF">
        <w:rPr>
          <w:rFonts w:ascii="Arial" w:eastAsia="Calibri" w:hAnsi="Arial" w:cs="Arial"/>
          <w:color w:val="000000" w:themeColor="text1"/>
          <w:sz w:val="22"/>
        </w:rPr>
        <w:t xml:space="preserve">Este carácter estimativo del </w:t>
      </w:r>
      <w:r>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anual de adquisiciones fue reconocido por la Agencia Nacional de Contratación Pública </w:t>
      </w:r>
      <w:r w:rsidRPr="00A830DF">
        <w:rPr>
          <w:rFonts w:ascii="Arial" w:eastAsia="Calibri" w:hAnsi="Arial" w:cs="Arial"/>
          <w:bCs/>
          <w:color w:val="000000" w:themeColor="text1"/>
          <w:sz w:val="22"/>
        </w:rPr>
        <w:t>―</w:t>
      </w:r>
      <w:r w:rsidRPr="00A830DF">
        <w:rPr>
          <w:rFonts w:ascii="Arial" w:eastAsia="Calibri" w:hAnsi="Arial" w:cs="Arial"/>
          <w:b/>
          <w:color w:val="000000" w:themeColor="text1"/>
          <w:sz w:val="22"/>
        </w:rPr>
        <w:t xml:space="preserve"> </w:t>
      </w:r>
      <w:r w:rsidRPr="00A830DF">
        <w:rPr>
          <w:rFonts w:ascii="Arial" w:eastAsia="Calibri" w:hAnsi="Arial" w:cs="Arial"/>
          <w:color w:val="000000" w:themeColor="text1"/>
          <w:sz w:val="22"/>
        </w:rPr>
        <w:t xml:space="preserve">Colombia Compra Eficiente, en la </w:t>
      </w:r>
      <w:r>
        <w:rPr>
          <w:rFonts w:ascii="Arial" w:eastAsia="Calibri" w:hAnsi="Arial" w:cs="Arial"/>
          <w:color w:val="000000" w:themeColor="text1"/>
          <w:sz w:val="22"/>
        </w:rPr>
        <w:t>g</w:t>
      </w:r>
      <w:r w:rsidRPr="00A830DF">
        <w:rPr>
          <w:rFonts w:ascii="Arial" w:eastAsia="Calibri" w:hAnsi="Arial" w:cs="Arial"/>
          <w:color w:val="000000" w:themeColor="text1"/>
          <w:sz w:val="22"/>
        </w:rPr>
        <w:t xml:space="preserve">uía para elaborar el plan anual de adquisiciones, donde precisó, como uno de sus usos, «servir como referente inicial para evaluar la ejecución de presupuesto y </w:t>
      </w:r>
      <w:r w:rsidRPr="00A830DF">
        <w:rPr>
          <w:rFonts w:ascii="Arial" w:eastAsia="Calibri" w:hAnsi="Arial" w:cs="Arial"/>
          <w:color w:val="000000" w:themeColor="text1"/>
          <w:sz w:val="22"/>
        </w:rPr>
        <w:lastRenderedPageBreak/>
        <w:t>pronosticar la demanda de bienes y servicios de la entidad durante el año referido del plan»</w:t>
      </w:r>
      <w:r w:rsidRPr="00A830DF">
        <w:rPr>
          <w:rStyle w:val="Refdenotaalpie"/>
          <w:rFonts w:ascii="Arial" w:eastAsia="Calibri" w:hAnsi="Arial" w:cs="Arial"/>
          <w:color w:val="000000" w:themeColor="text1"/>
          <w:sz w:val="22"/>
        </w:rPr>
        <w:footnoteReference w:id="1"/>
      </w:r>
      <w:r w:rsidRPr="00A830DF">
        <w:rPr>
          <w:rFonts w:ascii="Arial" w:eastAsia="Calibri" w:hAnsi="Arial" w:cs="Arial"/>
          <w:color w:val="000000" w:themeColor="text1"/>
          <w:sz w:val="22"/>
        </w:rPr>
        <w:t xml:space="preserve">. </w:t>
      </w:r>
    </w:p>
    <w:p w14:paraId="59F512DC" w14:textId="3AD9D010" w:rsidR="00EF7DB4" w:rsidRDefault="00EF7DB4" w:rsidP="005D0519">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La segunda disposición relevante </w:t>
      </w:r>
      <w:r>
        <w:rPr>
          <w:rFonts w:ascii="Arial" w:eastAsia="Calibri" w:hAnsi="Arial" w:cs="Arial"/>
          <w:bCs/>
          <w:color w:val="000000" w:themeColor="text1"/>
          <w:sz w:val="22"/>
        </w:rPr>
        <w:t>–</w:t>
      </w:r>
      <w:r w:rsidRPr="00A830DF">
        <w:rPr>
          <w:rFonts w:ascii="Arial" w:eastAsia="Calibri" w:hAnsi="Arial" w:cs="Arial"/>
          <w:bCs/>
          <w:color w:val="000000" w:themeColor="text1"/>
          <w:sz w:val="22"/>
        </w:rPr>
        <w:t xml:space="preserve">esto es, el artículo </w:t>
      </w:r>
      <w:r w:rsidRPr="00A830DF">
        <w:rPr>
          <w:rFonts w:ascii="Arial" w:eastAsia="Calibri" w:hAnsi="Arial" w:cs="Arial"/>
          <w:color w:val="000000" w:themeColor="text1"/>
          <w:sz w:val="22"/>
        </w:rPr>
        <w:t>2.2.1.1.1.4.3 del Decreto 1082 de 2015</w:t>
      </w:r>
      <w:r>
        <w:rPr>
          <w:rFonts w:ascii="Arial" w:eastAsia="Calibri" w:hAnsi="Arial" w:cs="Arial"/>
          <w:bCs/>
          <w:color w:val="000000" w:themeColor="text1"/>
          <w:sz w:val="22"/>
        </w:rPr>
        <w:t>–</w:t>
      </w:r>
      <w:r w:rsidRPr="00A830DF">
        <w:rPr>
          <w:rFonts w:ascii="Arial" w:eastAsia="Calibri" w:hAnsi="Arial" w:cs="Arial"/>
          <w:b/>
          <w:color w:val="000000" w:themeColor="text1"/>
          <w:sz w:val="22"/>
        </w:rPr>
        <w:t xml:space="preserve"> </w:t>
      </w:r>
      <w:r w:rsidRPr="00A830DF">
        <w:rPr>
          <w:rFonts w:ascii="Arial" w:eastAsia="Calibri" w:hAnsi="Arial" w:cs="Arial"/>
          <w:color w:val="000000" w:themeColor="text1"/>
          <w:sz w:val="22"/>
        </w:rPr>
        <w:t xml:space="preserve">establece el deber de las entidades públicas </w:t>
      </w:r>
      <w:r>
        <w:rPr>
          <w:rFonts w:ascii="Arial" w:eastAsia="Calibri" w:hAnsi="Arial" w:cs="Arial"/>
          <w:color w:val="000000" w:themeColor="text1"/>
          <w:sz w:val="22"/>
        </w:rPr>
        <w:t>de dar publicidad a</w:t>
      </w:r>
      <w:r w:rsidRPr="00A830DF">
        <w:rPr>
          <w:rFonts w:ascii="Arial" w:eastAsia="Calibri" w:hAnsi="Arial" w:cs="Arial"/>
          <w:color w:val="000000" w:themeColor="text1"/>
          <w:sz w:val="22"/>
        </w:rPr>
        <w:t xml:space="preserve">l </w:t>
      </w:r>
      <w:r w:rsidR="00AA3584">
        <w:rPr>
          <w:rFonts w:ascii="Arial" w:eastAsia="Calibri" w:hAnsi="Arial" w:cs="Arial"/>
          <w:color w:val="000000" w:themeColor="text1"/>
          <w:sz w:val="22"/>
        </w:rPr>
        <w:t>Pl</w:t>
      </w:r>
      <w:r w:rsidRPr="00A830DF">
        <w:rPr>
          <w:rFonts w:ascii="Arial" w:eastAsia="Calibri" w:hAnsi="Arial" w:cs="Arial"/>
          <w:color w:val="000000" w:themeColor="text1"/>
          <w:sz w:val="22"/>
        </w:rPr>
        <w:t xml:space="preserve">an </w:t>
      </w:r>
      <w:r w:rsidR="00AA3584">
        <w:rPr>
          <w:rFonts w:ascii="Arial" w:eastAsia="Calibri" w:hAnsi="Arial" w:cs="Arial"/>
          <w:color w:val="000000" w:themeColor="text1"/>
          <w:sz w:val="22"/>
        </w:rPr>
        <w:t>A</w:t>
      </w:r>
      <w:r w:rsidRPr="00A830DF">
        <w:rPr>
          <w:rFonts w:ascii="Arial" w:eastAsia="Calibri" w:hAnsi="Arial" w:cs="Arial"/>
          <w:color w:val="000000" w:themeColor="text1"/>
          <w:sz w:val="22"/>
        </w:rPr>
        <w:t xml:space="preserve">nual de </w:t>
      </w:r>
      <w:r w:rsidR="00AA3584">
        <w:rPr>
          <w:rFonts w:ascii="Arial" w:eastAsia="Calibri" w:hAnsi="Arial" w:cs="Arial"/>
          <w:color w:val="000000" w:themeColor="text1"/>
          <w:sz w:val="22"/>
        </w:rPr>
        <w:t>A</w:t>
      </w:r>
      <w:r w:rsidRPr="00A830DF">
        <w:rPr>
          <w:rFonts w:ascii="Arial" w:eastAsia="Calibri" w:hAnsi="Arial" w:cs="Arial"/>
          <w:color w:val="000000" w:themeColor="text1"/>
          <w:sz w:val="22"/>
        </w:rPr>
        <w:t xml:space="preserve">dquisiciones, en sus páginas web y en el SECOP II, con la información mínima señalada en el artículo 2.2.1.1.1.4.1. del Decreto 1082 de 2015. </w:t>
      </w:r>
    </w:p>
    <w:p w14:paraId="29E15DA3" w14:textId="5125CE3A" w:rsidR="00EF7DB4" w:rsidRPr="00A830DF" w:rsidRDefault="00EF7DB4" w:rsidP="005D0519">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La norma impone a las entidades </w:t>
      </w:r>
      <w:r>
        <w:rPr>
          <w:rFonts w:ascii="Arial" w:eastAsia="Calibri" w:hAnsi="Arial" w:cs="Arial"/>
          <w:color w:val="000000" w:themeColor="text1"/>
          <w:sz w:val="22"/>
        </w:rPr>
        <w:t xml:space="preserve">el deber de </w:t>
      </w:r>
      <w:r w:rsidRPr="00A830DF">
        <w:rPr>
          <w:rFonts w:ascii="Arial" w:eastAsia="Calibri" w:hAnsi="Arial" w:cs="Arial"/>
          <w:color w:val="000000" w:themeColor="text1"/>
          <w:sz w:val="22"/>
        </w:rPr>
        <w:t xml:space="preserve">publicar las actualizaciones que realicen al </w:t>
      </w:r>
      <w:r>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anual de adquisiciones. </w:t>
      </w:r>
      <w:r>
        <w:rPr>
          <w:rFonts w:ascii="Arial" w:eastAsia="Calibri" w:hAnsi="Arial" w:cs="Arial"/>
          <w:color w:val="000000" w:themeColor="text1"/>
          <w:sz w:val="22"/>
        </w:rPr>
        <w:t>De esta manera,</w:t>
      </w:r>
      <w:r w:rsidRPr="00A830DF">
        <w:rPr>
          <w:rFonts w:ascii="Arial" w:eastAsia="Calibri" w:hAnsi="Arial" w:cs="Arial"/>
          <w:color w:val="000000" w:themeColor="text1"/>
          <w:sz w:val="22"/>
        </w:rPr>
        <w:t xml:space="preserve"> la norma faculta a la Administración para realizar cambios y modificaciones a este documento, </w:t>
      </w:r>
      <w:r>
        <w:rPr>
          <w:rFonts w:ascii="Arial" w:eastAsia="Calibri" w:hAnsi="Arial" w:cs="Arial"/>
          <w:color w:val="000000" w:themeColor="text1"/>
          <w:sz w:val="22"/>
        </w:rPr>
        <w:t>por lo que</w:t>
      </w:r>
      <w:r w:rsidRPr="00A830DF">
        <w:rPr>
          <w:rFonts w:ascii="Arial" w:eastAsia="Calibri" w:hAnsi="Arial" w:cs="Arial"/>
          <w:color w:val="000000" w:themeColor="text1"/>
          <w:sz w:val="22"/>
        </w:rPr>
        <w:t xml:space="preserve"> no es un documento rígido que vincule la contratación</w:t>
      </w:r>
      <w:r>
        <w:rPr>
          <w:rFonts w:ascii="Arial" w:eastAsia="Calibri" w:hAnsi="Arial" w:cs="Arial"/>
          <w:color w:val="000000" w:themeColor="text1"/>
          <w:sz w:val="22"/>
        </w:rPr>
        <w:t>;</w:t>
      </w:r>
      <w:r w:rsidRPr="00A830DF">
        <w:rPr>
          <w:rFonts w:ascii="Arial" w:eastAsia="Calibri" w:hAnsi="Arial" w:cs="Arial"/>
          <w:color w:val="000000" w:themeColor="text1"/>
          <w:sz w:val="22"/>
        </w:rPr>
        <w:t xml:space="preserve"> sino que, por el contrario, se trata de un instrumento de planificación que orienta y da un referente a la entidad de las necesidades de bienes, obras y servicio que debe contratar para la respectiva anualidad, que además puede actualiza</w:t>
      </w:r>
      <w:r>
        <w:rPr>
          <w:rFonts w:ascii="Arial" w:eastAsia="Calibri" w:hAnsi="Arial" w:cs="Arial"/>
          <w:color w:val="000000" w:themeColor="text1"/>
          <w:sz w:val="22"/>
        </w:rPr>
        <w:t>rse</w:t>
      </w:r>
      <w:r w:rsidRPr="00A830DF">
        <w:rPr>
          <w:rFonts w:ascii="Arial" w:eastAsia="Calibri" w:hAnsi="Arial" w:cs="Arial"/>
          <w:color w:val="000000" w:themeColor="text1"/>
          <w:sz w:val="22"/>
        </w:rPr>
        <w:t xml:space="preserve">. </w:t>
      </w:r>
    </w:p>
    <w:p w14:paraId="45D1F647" w14:textId="43153B6B" w:rsidR="00EF7DB4" w:rsidRPr="00A830DF" w:rsidRDefault="00EF7DB4" w:rsidP="005D0519">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 </w:t>
      </w:r>
      <w:r w:rsidR="00AA3584">
        <w:rPr>
          <w:rFonts w:ascii="Arial" w:eastAsia="Calibri" w:hAnsi="Arial" w:cs="Arial"/>
          <w:color w:val="000000" w:themeColor="text1"/>
          <w:sz w:val="22"/>
        </w:rPr>
        <w:t>L</w:t>
      </w:r>
      <w:r w:rsidRPr="00A830DF">
        <w:rPr>
          <w:rFonts w:ascii="Arial" w:eastAsia="Calibri" w:hAnsi="Arial" w:cs="Arial"/>
          <w:color w:val="000000" w:themeColor="text1"/>
          <w:sz w:val="22"/>
        </w:rPr>
        <w:t xml:space="preserve">a tercera norma mencionada, el artículo 2.2.1.1.1.4.4. del Decreto 1082 de 2015, en el inciso </w:t>
      </w:r>
      <w:r w:rsidR="00AA3584">
        <w:rPr>
          <w:rFonts w:ascii="Arial" w:eastAsia="Calibri" w:hAnsi="Arial" w:cs="Arial"/>
          <w:color w:val="000000" w:themeColor="text1"/>
          <w:sz w:val="22"/>
        </w:rPr>
        <w:t>primero</w:t>
      </w:r>
      <w:r w:rsidRPr="00A830DF">
        <w:rPr>
          <w:rFonts w:ascii="Arial" w:eastAsia="Calibri" w:hAnsi="Arial" w:cs="Arial"/>
          <w:color w:val="000000" w:themeColor="text1"/>
          <w:sz w:val="22"/>
        </w:rPr>
        <w:t xml:space="preserve">, fijó, en criterio de esta Subdirección, el alcance de la facultad otorgada a las entidades para actualizar el </w:t>
      </w:r>
      <w:r w:rsidR="00AA3584">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w:t>
      </w:r>
      <w:r w:rsidR="00AA3584">
        <w:rPr>
          <w:rFonts w:ascii="Arial" w:eastAsia="Calibri" w:hAnsi="Arial" w:cs="Arial"/>
          <w:color w:val="000000" w:themeColor="text1"/>
          <w:sz w:val="22"/>
        </w:rPr>
        <w:t>A</w:t>
      </w:r>
      <w:r w:rsidRPr="00A830DF">
        <w:rPr>
          <w:rFonts w:ascii="Arial" w:eastAsia="Calibri" w:hAnsi="Arial" w:cs="Arial"/>
          <w:color w:val="000000" w:themeColor="text1"/>
          <w:sz w:val="22"/>
        </w:rPr>
        <w:t xml:space="preserve">nual de </w:t>
      </w:r>
      <w:r w:rsidR="00AA3584">
        <w:rPr>
          <w:rFonts w:ascii="Arial" w:eastAsia="Calibri" w:hAnsi="Arial" w:cs="Arial"/>
          <w:color w:val="000000" w:themeColor="text1"/>
          <w:sz w:val="22"/>
        </w:rPr>
        <w:t>A</w:t>
      </w:r>
      <w:r w:rsidRPr="00A830DF">
        <w:rPr>
          <w:rFonts w:ascii="Arial" w:eastAsia="Calibri" w:hAnsi="Arial" w:cs="Arial"/>
          <w:color w:val="000000" w:themeColor="text1"/>
          <w:sz w:val="22"/>
        </w:rPr>
        <w:t xml:space="preserve">dquisiciones. Por ello es pertinente consultar el significado natural del verbo rector de la disposición y luego establecer los límites establecidos en la norma. </w:t>
      </w:r>
    </w:p>
    <w:p w14:paraId="22E1E73F" w14:textId="221CAA0C" w:rsidR="00EF7DB4" w:rsidRPr="00A830DF" w:rsidRDefault="00EF7DB4" w:rsidP="00EF7DB4">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w:t>
      </w:r>
      <w:r w:rsidR="00AA3584">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w:t>
      </w:r>
      <w:r w:rsidR="00AA3584">
        <w:rPr>
          <w:rFonts w:ascii="Arial" w:eastAsia="Calibri" w:hAnsi="Arial" w:cs="Arial"/>
          <w:color w:val="000000" w:themeColor="text1"/>
          <w:sz w:val="22"/>
        </w:rPr>
        <w:t>A</w:t>
      </w:r>
      <w:r w:rsidRPr="00A830DF">
        <w:rPr>
          <w:rFonts w:ascii="Arial" w:eastAsia="Calibri" w:hAnsi="Arial" w:cs="Arial"/>
          <w:color w:val="000000" w:themeColor="text1"/>
          <w:sz w:val="22"/>
        </w:rPr>
        <w:t xml:space="preserve">nual de </w:t>
      </w:r>
      <w:r w:rsidR="00AA3584">
        <w:rPr>
          <w:rFonts w:ascii="Arial" w:eastAsia="Calibri" w:hAnsi="Arial" w:cs="Arial"/>
          <w:color w:val="000000" w:themeColor="text1"/>
          <w:sz w:val="22"/>
        </w:rPr>
        <w:t>A</w:t>
      </w:r>
      <w:r w:rsidRPr="00A830DF">
        <w:rPr>
          <w:rFonts w:ascii="Arial" w:eastAsia="Calibri" w:hAnsi="Arial" w:cs="Arial"/>
          <w:color w:val="000000" w:themeColor="text1"/>
          <w:sz w:val="22"/>
        </w:rPr>
        <w:t>dquisiciones.</w:t>
      </w:r>
    </w:p>
    <w:p w14:paraId="4F71337A" w14:textId="77777777" w:rsidR="00EF7DB4" w:rsidRPr="00A830DF" w:rsidRDefault="00EF7DB4" w:rsidP="00EF7DB4">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w:t>
      </w:r>
      <w:r>
        <w:rPr>
          <w:rFonts w:ascii="Arial" w:eastAsia="Calibri" w:hAnsi="Arial" w:cs="Arial"/>
          <w:color w:val="000000" w:themeColor="text1"/>
          <w:sz w:val="22"/>
        </w:rPr>
        <w:t>; lo que, a su vez, impulsa el deber de planeación de las entidades estatales al enfrentarlas a dicha obligación, pues deberán considerar si su planificación se mantiene y qué modificaciones deben realizar.</w:t>
      </w:r>
    </w:p>
    <w:p w14:paraId="44D0B61F" w14:textId="77777777" w:rsidR="00EF7DB4" w:rsidRPr="00A830DF" w:rsidRDefault="00EF7DB4" w:rsidP="00EF7DB4">
      <w:pPr>
        <w:spacing w:before="120" w:after="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El inciso 2 del artículo </w:t>
      </w:r>
      <w:r>
        <w:rPr>
          <w:rFonts w:ascii="Arial" w:eastAsia="Calibri" w:hAnsi="Arial" w:cs="Arial"/>
          <w:color w:val="000000" w:themeColor="text1"/>
          <w:sz w:val="22"/>
        </w:rPr>
        <w:t>citado</w:t>
      </w:r>
      <w:r w:rsidRPr="00A830DF">
        <w:rPr>
          <w:rFonts w:ascii="Arial" w:eastAsia="Calibri" w:hAnsi="Arial" w:cs="Arial"/>
          <w:color w:val="000000" w:themeColor="text1"/>
          <w:sz w:val="22"/>
        </w:rPr>
        <w:t xml:space="preserve"> estableció</w:t>
      </w:r>
      <w:r>
        <w:rPr>
          <w:rFonts w:ascii="Arial" w:eastAsia="Calibri" w:hAnsi="Arial" w:cs="Arial"/>
          <w:color w:val="000000" w:themeColor="text1"/>
          <w:sz w:val="22"/>
        </w:rPr>
        <w:t xml:space="preserve"> cuatro</w:t>
      </w:r>
      <w:r w:rsidRPr="00A830DF">
        <w:rPr>
          <w:rFonts w:ascii="Arial" w:eastAsia="Calibri" w:hAnsi="Arial" w:cs="Arial"/>
          <w:color w:val="000000" w:themeColor="text1"/>
          <w:sz w:val="22"/>
        </w:rPr>
        <w:t xml:space="preserve"> </w:t>
      </w:r>
      <w:r>
        <w:rPr>
          <w:rFonts w:ascii="Arial" w:eastAsia="Calibri" w:hAnsi="Arial" w:cs="Arial"/>
          <w:color w:val="000000" w:themeColor="text1"/>
          <w:sz w:val="22"/>
        </w:rPr>
        <w:t>(</w:t>
      </w:r>
      <w:r w:rsidRPr="00A830DF">
        <w:rPr>
          <w:rFonts w:ascii="Arial" w:eastAsia="Calibri" w:hAnsi="Arial" w:cs="Arial"/>
          <w:color w:val="000000" w:themeColor="text1"/>
          <w:sz w:val="22"/>
        </w:rPr>
        <w:t>4</w:t>
      </w:r>
      <w:r>
        <w:rPr>
          <w:rFonts w:ascii="Arial" w:eastAsia="Calibri" w:hAnsi="Arial" w:cs="Arial"/>
          <w:color w:val="000000" w:themeColor="text1"/>
          <w:sz w:val="22"/>
        </w:rPr>
        <w:t>)</w:t>
      </w:r>
      <w:r w:rsidRPr="00A830DF">
        <w:rPr>
          <w:rFonts w:ascii="Arial" w:eastAsia="Calibri" w:hAnsi="Arial" w:cs="Arial"/>
          <w:color w:val="000000" w:themeColor="text1"/>
          <w:sz w:val="22"/>
        </w:rPr>
        <w:t xml:space="preserve"> eventos en los que procede la actualización del </w:t>
      </w:r>
      <w:r>
        <w:rPr>
          <w:rFonts w:ascii="Arial" w:eastAsia="Calibri" w:hAnsi="Arial" w:cs="Arial"/>
          <w:color w:val="000000" w:themeColor="text1"/>
          <w:sz w:val="22"/>
        </w:rPr>
        <w:t>p</w:t>
      </w:r>
      <w:r w:rsidRPr="00A830DF">
        <w:rPr>
          <w:rFonts w:ascii="Arial" w:eastAsia="Calibri" w:hAnsi="Arial" w:cs="Arial"/>
          <w:color w:val="000000" w:themeColor="text1"/>
          <w:sz w:val="22"/>
        </w:rPr>
        <w:t xml:space="preserve">lan anual de adquisiciones: i) ajustes en los cronogramas de adquisición, valores, modalidad de selección, origen de los recursos; ii) para incluir nuevas obras, bienes y/o servicios; iii) excluir obras, bienes y/o servicios; y iv) modificar el presupuesto anual de </w:t>
      </w:r>
      <w:r w:rsidRPr="00A830DF">
        <w:rPr>
          <w:rFonts w:ascii="Arial" w:eastAsia="Calibri" w:hAnsi="Arial" w:cs="Arial"/>
          <w:color w:val="000000" w:themeColor="text1"/>
          <w:sz w:val="22"/>
        </w:rPr>
        <w:lastRenderedPageBreak/>
        <w:t xml:space="preserve">adquisiciones. </w:t>
      </w:r>
      <w:r>
        <w:rPr>
          <w:rFonts w:ascii="Arial" w:eastAsia="Calibri" w:hAnsi="Arial" w:cs="Arial"/>
          <w:color w:val="000000" w:themeColor="text1"/>
          <w:sz w:val="22"/>
        </w:rPr>
        <w:t>El inciso citado</w:t>
      </w:r>
      <w:r w:rsidRPr="00A830DF">
        <w:rPr>
          <w:rFonts w:ascii="Arial" w:eastAsia="Calibri" w:hAnsi="Arial" w:cs="Arial"/>
          <w:color w:val="000000" w:themeColor="text1"/>
          <w:sz w:val="22"/>
        </w:rPr>
        <w:t xml:space="preserve"> solo estableció los eventos en los que debe actualizarse, sin limitar la modificación a ciertos topes, como, por ejemplo, aumentar o disminuir valores. La norma no enfatizó en este punto, por lo cual, en principio, </w:t>
      </w:r>
      <w:r>
        <w:rPr>
          <w:rFonts w:ascii="Arial" w:eastAsia="Calibri" w:hAnsi="Arial" w:cs="Arial"/>
          <w:color w:val="000000" w:themeColor="text1"/>
          <w:sz w:val="22"/>
        </w:rPr>
        <w:t>puede</w:t>
      </w:r>
      <w:r w:rsidRPr="00A830DF">
        <w:rPr>
          <w:rFonts w:ascii="Arial" w:eastAsia="Calibri" w:hAnsi="Arial" w:cs="Arial"/>
          <w:color w:val="000000" w:themeColor="text1"/>
          <w:sz w:val="22"/>
        </w:rPr>
        <w:t xml:space="preserve"> modificarse. </w:t>
      </w:r>
    </w:p>
    <w:p w14:paraId="15E7A532" w14:textId="5C7E23F6" w:rsidR="00EF7DB4" w:rsidRPr="00A830DF" w:rsidRDefault="00625D9A">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De acuerdo a lo anterior</w:t>
      </w:r>
      <w:r w:rsidR="00EF7DB4" w:rsidRPr="00A830DF">
        <w:rPr>
          <w:rFonts w:ascii="Arial" w:eastAsia="Calibri" w:hAnsi="Arial" w:cs="Arial"/>
          <w:color w:val="000000" w:themeColor="text1"/>
          <w:sz w:val="22"/>
        </w:rPr>
        <w:t xml:space="preserve">, la Subdirección de Gestión Contractual considera que el </w:t>
      </w:r>
      <w:r>
        <w:rPr>
          <w:rFonts w:ascii="Arial" w:eastAsia="Calibri" w:hAnsi="Arial" w:cs="Arial"/>
          <w:color w:val="000000" w:themeColor="text1"/>
          <w:sz w:val="22"/>
        </w:rPr>
        <w:t>P</w:t>
      </w:r>
      <w:r w:rsidR="00EF7DB4" w:rsidRPr="00A830DF">
        <w:rPr>
          <w:rFonts w:ascii="Arial" w:eastAsia="Calibri" w:hAnsi="Arial" w:cs="Arial"/>
          <w:color w:val="000000" w:themeColor="text1"/>
          <w:sz w:val="22"/>
        </w:rPr>
        <w:t xml:space="preserve">lan </w:t>
      </w:r>
      <w:r>
        <w:rPr>
          <w:rFonts w:ascii="Arial" w:eastAsia="Calibri" w:hAnsi="Arial" w:cs="Arial"/>
          <w:color w:val="000000" w:themeColor="text1"/>
          <w:sz w:val="22"/>
        </w:rPr>
        <w:t>A</w:t>
      </w:r>
      <w:r w:rsidR="00EF7DB4" w:rsidRPr="00A830DF">
        <w:rPr>
          <w:rFonts w:ascii="Arial" w:eastAsia="Calibri" w:hAnsi="Arial" w:cs="Arial"/>
          <w:color w:val="000000" w:themeColor="text1"/>
          <w:sz w:val="22"/>
        </w:rPr>
        <w:t xml:space="preserve">nual de </w:t>
      </w:r>
      <w:r>
        <w:rPr>
          <w:rFonts w:ascii="Arial" w:eastAsia="Calibri" w:hAnsi="Arial" w:cs="Arial"/>
          <w:color w:val="000000" w:themeColor="text1"/>
          <w:sz w:val="22"/>
        </w:rPr>
        <w:t>A</w:t>
      </w:r>
      <w:r w:rsidR="00EF7DB4" w:rsidRPr="00A830DF">
        <w:rPr>
          <w:rFonts w:ascii="Arial" w:eastAsia="Calibri" w:hAnsi="Arial" w:cs="Arial"/>
          <w:color w:val="000000" w:themeColor="text1"/>
          <w:sz w:val="22"/>
        </w:rPr>
        <w:t xml:space="preserve">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62F58135" w14:textId="77777777" w:rsidR="005D0519" w:rsidRDefault="00EF7DB4" w:rsidP="005D0519">
      <w:pPr>
        <w:spacing w:before="120" w:line="276" w:lineRule="auto"/>
        <w:ind w:firstLine="709"/>
        <w:jc w:val="both"/>
        <w:rPr>
          <w:rFonts w:ascii="Arial" w:eastAsia="Calibri" w:hAnsi="Arial" w:cs="Arial"/>
          <w:color w:val="000000" w:themeColor="text1"/>
          <w:sz w:val="22"/>
        </w:rPr>
      </w:pPr>
      <w:r w:rsidRPr="00A830DF">
        <w:rPr>
          <w:rFonts w:ascii="Arial" w:eastAsia="Calibri" w:hAnsi="Arial" w:cs="Arial"/>
          <w:color w:val="000000" w:themeColor="text1"/>
          <w:sz w:val="22"/>
        </w:rPr>
        <w:t xml:space="preserve">Las normas citadas permiten concluir que el objetivo del </w:t>
      </w:r>
      <w:r>
        <w:rPr>
          <w:rFonts w:ascii="Arial" w:eastAsia="Calibri" w:hAnsi="Arial" w:cs="Arial"/>
          <w:color w:val="000000" w:themeColor="text1"/>
          <w:sz w:val="22"/>
        </w:rPr>
        <w:t>p</w:t>
      </w:r>
      <w:r w:rsidRPr="00A830DF">
        <w:rPr>
          <w:rFonts w:ascii="Arial" w:eastAsia="Calibri" w:hAnsi="Arial" w:cs="Arial"/>
          <w:color w:val="000000" w:themeColor="text1"/>
          <w:sz w:val="22"/>
        </w:rPr>
        <w:t>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 con que la entidad</w:t>
      </w:r>
      <w:r>
        <w:rPr>
          <w:rFonts w:ascii="Arial" w:eastAsia="Calibri" w:hAnsi="Arial" w:cs="Arial"/>
          <w:color w:val="000000" w:themeColor="text1"/>
          <w:sz w:val="22"/>
        </w:rPr>
        <w:t xml:space="preserve"> identifique</w:t>
      </w:r>
      <w:r w:rsidRPr="00A830DF">
        <w:rPr>
          <w:rFonts w:ascii="Arial" w:eastAsia="Calibri" w:hAnsi="Arial" w:cs="Arial"/>
          <w:color w:val="000000" w:themeColor="text1"/>
          <w:sz w:val="22"/>
        </w:rPr>
        <w:t xml:space="preserve"> la necesidad contractual para que incluirlo en el listado.</w:t>
      </w:r>
    </w:p>
    <w:p w14:paraId="7B4BC90E" w14:textId="515FD3AE" w:rsidR="00B004FA" w:rsidRDefault="00B004FA" w:rsidP="0027103D">
      <w:pPr>
        <w:spacing w:line="276" w:lineRule="auto"/>
        <w:jc w:val="both"/>
        <w:rPr>
          <w:rFonts w:ascii="Arial" w:eastAsia="Calibri" w:hAnsi="Arial" w:cs="Arial"/>
          <w:color w:val="000000" w:themeColor="text1"/>
          <w:sz w:val="22"/>
        </w:rPr>
      </w:pPr>
    </w:p>
    <w:p w14:paraId="4A4AFF6D" w14:textId="78CF83A4" w:rsidR="00B004FA" w:rsidRDefault="00B004FA" w:rsidP="00B004FA">
      <w:pPr>
        <w:rPr>
          <w:rFonts w:ascii="Arial" w:eastAsia="Calibri" w:hAnsi="Arial" w:cs="Arial"/>
          <w:b/>
          <w:color w:val="000000" w:themeColor="text1"/>
          <w:sz w:val="22"/>
          <w:lang w:val="es-ES"/>
        </w:rPr>
      </w:pPr>
      <w:r w:rsidRPr="006A262A">
        <w:rPr>
          <w:rFonts w:ascii="Arial" w:eastAsia="Calibri" w:hAnsi="Arial" w:cs="Arial"/>
          <w:b/>
          <w:color w:val="000000" w:themeColor="text1"/>
          <w:sz w:val="22"/>
          <w:lang w:val="es-ES"/>
        </w:rPr>
        <w:t>2.</w:t>
      </w:r>
      <w:r w:rsidR="00137BCE">
        <w:rPr>
          <w:rFonts w:ascii="Arial" w:eastAsia="Calibri" w:hAnsi="Arial" w:cs="Arial"/>
          <w:b/>
          <w:color w:val="000000" w:themeColor="text1"/>
          <w:sz w:val="22"/>
          <w:lang w:val="es-ES"/>
        </w:rPr>
        <w:t>2</w:t>
      </w:r>
      <w:r w:rsidRPr="006A262A">
        <w:rPr>
          <w:rFonts w:ascii="Arial" w:eastAsia="Calibri" w:hAnsi="Arial" w:cs="Arial"/>
          <w:b/>
          <w:color w:val="000000" w:themeColor="text1"/>
          <w:sz w:val="22"/>
          <w:lang w:val="es-ES"/>
        </w:rPr>
        <w:t>.</w:t>
      </w:r>
      <w:r>
        <w:rPr>
          <w:rFonts w:ascii="Arial" w:eastAsia="Calibri" w:hAnsi="Arial" w:cs="Arial"/>
          <w:b/>
          <w:color w:val="000000" w:themeColor="text1"/>
          <w:sz w:val="22"/>
          <w:lang w:val="es-ES"/>
        </w:rPr>
        <w:t xml:space="preserve"> </w:t>
      </w:r>
      <w:r w:rsidR="00625D9A">
        <w:rPr>
          <w:rFonts w:ascii="Arial" w:eastAsia="Calibri" w:hAnsi="Arial" w:cs="Arial"/>
          <w:b/>
          <w:color w:val="000000" w:themeColor="text1"/>
          <w:sz w:val="22"/>
          <w:lang w:val="es-ES"/>
        </w:rPr>
        <w:t>El deber</w:t>
      </w:r>
      <w:r w:rsidR="001E0660">
        <w:rPr>
          <w:rFonts w:ascii="Arial" w:eastAsia="Calibri" w:hAnsi="Arial" w:cs="Arial"/>
          <w:b/>
          <w:color w:val="000000" w:themeColor="text1"/>
          <w:sz w:val="22"/>
          <w:lang w:val="es-ES"/>
        </w:rPr>
        <w:t xml:space="preserve"> de publicar</w:t>
      </w:r>
      <w:r>
        <w:rPr>
          <w:rFonts w:ascii="Arial" w:eastAsia="Calibri" w:hAnsi="Arial" w:cs="Arial"/>
          <w:b/>
          <w:color w:val="000000" w:themeColor="text1"/>
          <w:sz w:val="22"/>
          <w:lang w:val="es-ES"/>
        </w:rPr>
        <w:t xml:space="preserve"> el </w:t>
      </w:r>
      <w:r w:rsidR="00625D9A">
        <w:rPr>
          <w:rFonts w:ascii="Arial" w:eastAsia="Calibri" w:hAnsi="Arial" w:cs="Arial"/>
          <w:b/>
          <w:color w:val="000000" w:themeColor="text1"/>
          <w:sz w:val="22"/>
          <w:lang w:val="es-ES"/>
        </w:rPr>
        <w:t>P</w:t>
      </w:r>
      <w:r>
        <w:rPr>
          <w:rFonts w:ascii="Arial" w:eastAsia="Calibri" w:hAnsi="Arial" w:cs="Arial"/>
          <w:b/>
          <w:color w:val="000000" w:themeColor="text1"/>
          <w:sz w:val="22"/>
          <w:lang w:val="es-ES"/>
        </w:rPr>
        <w:t xml:space="preserve">lan </w:t>
      </w:r>
      <w:r w:rsidR="00625D9A">
        <w:rPr>
          <w:rFonts w:ascii="Arial" w:eastAsia="Calibri" w:hAnsi="Arial" w:cs="Arial"/>
          <w:b/>
          <w:color w:val="000000" w:themeColor="text1"/>
          <w:sz w:val="22"/>
          <w:lang w:val="es-ES"/>
        </w:rPr>
        <w:t>A</w:t>
      </w:r>
      <w:r>
        <w:rPr>
          <w:rFonts w:ascii="Arial" w:eastAsia="Calibri" w:hAnsi="Arial" w:cs="Arial"/>
          <w:b/>
          <w:color w:val="000000" w:themeColor="text1"/>
          <w:sz w:val="22"/>
          <w:lang w:val="es-ES"/>
        </w:rPr>
        <w:t xml:space="preserve">nual de </w:t>
      </w:r>
      <w:r w:rsidR="00625D9A">
        <w:rPr>
          <w:rFonts w:ascii="Arial" w:eastAsia="Calibri" w:hAnsi="Arial" w:cs="Arial"/>
          <w:b/>
          <w:color w:val="000000" w:themeColor="text1"/>
          <w:sz w:val="22"/>
          <w:lang w:val="es-ES"/>
        </w:rPr>
        <w:t>A</w:t>
      </w:r>
      <w:r>
        <w:rPr>
          <w:rFonts w:ascii="Arial" w:eastAsia="Calibri" w:hAnsi="Arial" w:cs="Arial"/>
          <w:b/>
          <w:color w:val="000000" w:themeColor="text1"/>
          <w:sz w:val="22"/>
          <w:lang w:val="es-ES"/>
        </w:rPr>
        <w:t>dquisiciones</w:t>
      </w:r>
      <w:r w:rsidR="005D0519">
        <w:rPr>
          <w:rFonts w:ascii="Arial" w:eastAsia="Calibri" w:hAnsi="Arial" w:cs="Arial"/>
          <w:b/>
          <w:color w:val="000000" w:themeColor="text1"/>
          <w:sz w:val="22"/>
          <w:lang w:val="es-ES"/>
        </w:rPr>
        <w:t>.</w:t>
      </w:r>
    </w:p>
    <w:p w14:paraId="3A35E04D" w14:textId="77777777" w:rsidR="00B004FA" w:rsidRPr="00695B70" w:rsidRDefault="00B004FA" w:rsidP="00B004FA">
      <w:pPr>
        <w:rPr>
          <w:rFonts w:ascii="Arial" w:eastAsia="Calibri" w:hAnsi="Arial" w:cs="Arial"/>
          <w:b/>
          <w:color w:val="000000" w:themeColor="text1"/>
          <w:sz w:val="22"/>
          <w:lang w:val="es-ES"/>
        </w:rPr>
      </w:pPr>
    </w:p>
    <w:p w14:paraId="3FEAAC6F" w14:textId="6C8BC871" w:rsidR="00B004FA" w:rsidRDefault="00B004FA" w:rsidP="00B004FA">
      <w:pPr>
        <w:tabs>
          <w:tab w:val="left" w:pos="426"/>
          <w:tab w:val="left" w:pos="8505"/>
        </w:tabs>
        <w:spacing w:after="120" w:line="276" w:lineRule="auto"/>
        <w:ind w:right="51"/>
        <w:jc w:val="both"/>
        <w:rPr>
          <w:rFonts w:ascii="Arial" w:eastAsia="Calibri" w:hAnsi="Arial" w:cs="Arial"/>
          <w:sz w:val="22"/>
          <w:lang w:val="es-ES"/>
        </w:rPr>
      </w:pPr>
      <w:r>
        <w:rPr>
          <w:rFonts w:ascii="Arial" w:eastAsia="Calibri" w:hAnsi="Arial" w:cs="Arial"/>
          <w:sz w:val="22"/>
          <w:lang w:val="es-ES"/>
        </w:rPr>
        <w:t>El artículo 74 de la Ley 1474</w:t>
      </w:r>
      <w:r>
        <w:rPr>
          <w:rStyle w:val="Refdenotaalpie"/>
          <w:rFonts w:ascii="Arial" w:eastAsia="Calibri" w:hAnsi="Arial" w:cs="Arial"/>
          <w:sz w:val="22"/>
          <w:lang w:val="es-ES"/>
        </w:rPr>
        <w:footnoteReference w:id="2"/>
      </w:r>
      <w:r>
        <w:rPr>
          <w:rFonts w:ascii="Arial" w:eastAsia="Calibri" w:hAnsi="Arial" w:cs="Arial"/>
          <w:sz w:val="22"/>
          <w:lang w:val="es-ES"/>
        </w:rPr>
        <w:t xml:space="preserve"> establece, que «todas las entidades del Estado» deben publicar, a más tardar el 31 de enero de cada año, en su respectiva página web, el plan de acción, en el cual se incluye el plan general de compras.</w:t>
      </w:r>
      <w:r w:rsidRPr="00406E40">
        <w:rPr>
          <w:rFonts w:ascii="Arial" w:eastAsia="Calibri" w:hAnsi="Arial" w:cs="Arial"/>
          <w:sz w:val="22"/>
          <w:lang w:val="es-ES"/>
        </w:rPr>
        <w:t xml:space="preserve"> </w:t>
      </w:r>
      <w:r>
        <w:rPr>
          <w:rFonts w:ascii="Arial" w:eastAsia="Calibri" w:hAnsi="Arial" w:cs="Arial"/>
          <w:sz w:val="22"/>
          <w:lang w:val="es-ES"/>
        </w:rPr>
        <w:t>E</w:t>
      </w:r>
      <w:r w:rsidRPr="00406E40">
        <w:rPr>
          <w:rFonts w:ascii="Arial" w:eastAsia="Calibri" w:hAnsi="Arial" w:cs="Arial"/>
          <w:sz w:val="22"/>
          <w:lang w:val="es-ES"/>
        </w:rPr>
        <w:t xml:space="preserve">l plan general de compras para el ordenamiento vigente corresponde con el concepto de </w:t>
      </w:r>
      <w:r>
        <w:rPr>
          <w:rFonts w:ascii="Arial" w:eastAsia="Calibri" w:hAnsi="Arial" w:cs="Arial"/>
          <w:sz w:val="22"/>
          <w:lang w:val="es-ES"/>
        </w:rPr>
        <w:t>plan anual de adquisiciones</w:t>
      </w:r>
      <w:r w:rsidRPr="00406E40">
        <w:rPr>
          <w:rFonts w:ascii="Arial" w:eastAsia="Calibri" w:hAnsi="Arial" w:cs="Arial"/>
          <w:sz w:val="22"/>
          <w:lang w:val="es-ES"/>
        </w:rPr>
        <w:t xml:space="preserve"> como lo establece el artículo 2.2.1.1.1.3.1. del Decreto 1082 de 2015</w:t>
      </w:r>
      <w:r w:rsidRPr="00406E40">
        <w:rPr>
          <w:rStyle w:val="Refdenotaalpie"/>
          <w:rFonts w:ascii="Arial" w:eastAsia="Calibri" w:hAnsi="Arial" w:cs="Arial"/>
          <w:sz w:val="22"/>
          <w:lang w:val="es-ES"/>
        </w:rPr>
        <w:footnoteReference w:id="3"/>
      </w:r>
      <w:r w:rsidRPr="00406E40">
        <w:rPr>
          <w:rFonts w:ascii="Arial" w:eastAsia="Calibri" w:hAnsi="Arial" w:cs="Arial"/>
          <w:sz w:val="22"/>
          <w:lang w:val="es-ES"/>
        </w:rPr>
        <w:t xml:space="preserve">. </w:t>
      </w:r>
      <w:r>
        <w:rPr>
          <w:rFonts w:ascii="Arial" w:eastAsia="Calibri" w:hAnsi="Arial" w:cs="Arial"/>
          <w:sz w:val="22"/>
          <w:lang w:val="es-ES"/>
        </w:rPr>
        <w:t xml:space="preserve"> </w:t>
      </w:r>
    </w:p>
    <w:p w14:paraId="5E5DAA32" w14:textId="5555C508" w:rsidR="000242AA" w:rsidRPr="00AD2CDF" w:rsidRDefault="00D11A67" w:rsidP="0027103D">
      <w:pPr>
        <w:tabs>
          <w:tab w:val="left" w:pos="426"/>
          <w:tab w:val="left" w:pos="8505"/>
        </w:tabs>
        <w:spacing w:after="120" w:line="276" w:lineRule="auto"/>
        <w:ind w:right="51" w:firstLine="709"/>
        <w:jc w:val="both"/>
        <w:rPr>
          <w:rFonts w:ascii="Arial" w:eastAsia="Calibri" w:hAnsi="Arial" w:cs="Arial"/>
          <w:sz w:val="22"/>
          <w:lang w:val="es-ES"/>
        </w:rPr>
      </w:pPr>
      <w:r>
        <w:rPr>
          <w:rFonts w:ascii="Arial" w:eastAsia="Calibri" w:hAnsi="Arial" w:cs="Arial"/>
          <w:sz w:val="22"/>
          <w:lang w:val="es-ES"/>
        </w:rPr>
        <w:lastRenderedPageBreak/>
        <w:t>El fundamento reglamentario de la</w:t>
      </w:r>
      <w:r w:rsidR="005E27F2" w:rsidRPr="00AD2CDF">
        <w:rPr>
          <w:rFonts w:ascii="Arial" w:eastAsia="Calibri" w:hAnsi="Arial" w:cs="Arial"/>
          <w:sz w:val="22"/>
          <w:lang w:val="es-ES"/>
        </w:rPr>
        <w:t xml:space="preserve"> obligación de publicar el Plan anual de Adquisicione</w:t>
      </w:r>
      <w:r w:rsidR="00302E69">
        <w:rPr>
          <w:rFonts w:ascii="Arial" w:eastAsia="Calibri" w:hAnsi="Arial" w:cs="Arial"/>
          <w:sz w:val="22"/>
          <w:lang w:val="es-ES"/>
        </w:rPr>
        <w:t>s,</w:t>
      </w:r>
      <w:r>
        <w:rPr>
          <w:rFonts w:ascii="Arial" w:eastAsia="Calibri" w:hAnsi="Arial" w:cs="Arial"/>
          <w:sz w:val="22"/>
          <w:lang w:val="es-ES"/>
        </w:rPr>
        <w:t xml:space="preserve"> de las entidades regidas por el Estatuto General de Contratación de la Administración Pública</w:t>
      </w:r>
      <w:r w:rsidR="00302E69">
        <w:rPr>
          <w:rFonts w:ascii="Arial" w:eastAsia="Calibri" w:hAnsi="Arial" w:cs="Arial"/>
          <w:sz w:val="22"/>
          <w:lang w:val="es-ES"/>
        </w:rPr>
        <w:t>,</w:t>
      </w:r>
      <w:r w:rsidR="005E27F2" w:rsidRPr="00AD2CDF">
        <w:rPr>
          <w:rFonts w:ascii="Arial" w:eastAsia="Calibri" w:hAnsi="Arial" w:cs="Arial"/>
          <w:sz w:val="22"/>
          <w:lang w:val="es-ES"/>
        </w:rPr>
        <w:t xml:space="preserve"> </w:t>
      </w:r>
      <w:r w:rsidR="005E27F2" w:rsidRPr="0027103D">
        <w:rPr>
          <w:rStyle w:val="Textoennegrita"/>
          <w:rFonts w:ascii="Arial" w:hAnsi="Arial" w:cs="Arial"/>
          <w:b w:val="0"/>
          <w:bCs w:val="0"/>
          <w:color w:val="000000"/>
          <w:sz w:val="22"/>
        </w:rPr>
        <w:t xml:space="preserve">se encuentra </w:t>
      </w:r>
      <w:r w:rsidR="00280995" w:rsidRPr="0027103D">
        <w:rPr>
          <w:rStyle w:val="Textoennegrita"/>
          <w:rFonts w:ascii="Arial" w:hAnsi="Arial" w:cs="Arial"/>
          <w:b w:val="0"/>
          <w:bCs w:val="0"/>
          <w:color w:val="000000"/>
          <w:sz w:val="22"/>
        </w:rPr>
        <w:t xml:space="preserve">en el artículo </w:t>
      </w:r>
      <w:r w:rsidR="005E27F2" w:rsidRPr="0027103D">
        <w:rPr>
          <w:rStyle w:val="Textoennegrita"/>
          <w:rFonts w:ascii="Arial" w:hAnsi="Arial" w:cs="Arial"/>
          <w:b w:val="0"/>
          <w:bCs w:val="0"/>
          <w:color w:val="000000"/>
          <w:sz w:val="22"/>
        </w:rPr>
        <w:t>2.2.1.1.1.4.3</w:t>
      </w:r>
      <w:r w:rsidR="00280995" w:rsidRPr="0027103D">
        <w:rPr>
          <w:rStyle w:val="Textoennegrita"/>
          <w:rFonts w:ascii="Arial" w:hAnsi="Arial" w:cs="Arial"/>
          <w:b w:val="0"/>
          <w:bCs w:val="0"/>
          <w:color w:val="000000"/>
          <w:sz w:val="22"/>
        </w:rPr>
        <w:t xml:space="preserve"> del Decreto 1082 de 2015</w:t>
      </w:r>
      <w:r w:rsidR="008E2530" w:rsidRPr="0027103D">
        <w:rPr>
          <w:rStyle w:val="nfasis"/>
          <w:rFonts w:ascii="Arial" w:hAnsi="Arial" w:cs="Arial"/>
          <w:color w:val="000000"/>
          <w:sz w:val="22"/>
        </w:rPr>
        <w:t xml:space="preserve">, </w:t>
      </w:r>
      <w:r w:rsidR="008E2530" w:rsidRPr="0027103D">
        <w:rPr>
          <w:rStyle w:val="nfasis"/>
          <w:rFonts w:ascii="Arial" w:hAnsi="Arial" w:cs="Arial"/>
          <w:i w:val="0"/>
          <w:iCs w:val="0"/>
          <w:color w:val="000000"/>
          <w:sz w:val="22"/>
        </w:rPr>
        <w:t>el cual establece que:</w:t>
      </w:r>
      <w:r w:rsidR="008E2530" w:rsidRPr="0027103D">
        <w:rPr>
          <w:rFonts w:ascii="Arial" w:hAnsi="Arial" w:cs="Arial"/>
          <w:color w:val="000000"/>
          <w:sz w:val="22"/>
        </w:rPr>
        <w:t xml:space="preserve"> «</w:t>
      </w:r>
      <w:r w:rsidR="005E27F2" w:rsidRPr="0027103D">
        <w:rPr>
          <w:rFonts w:ascii="Arial" w:hAnsi="Arial" w:cs="Arial"/>
          <w:color w:val="000000"/>
          <w:sz w:val="22"/>
        </w:rPr>
        <w:t>La Entidad Estatal debe publicar su Plan Anual de Adquisiciones y las actualizaciones del mismo en su página web y en el SECOP, en la forma que para el efecto disponga Colombia Compra Eficiente</w:t>
      </w:r>
      <w:r w:rsidR="008E2530" w:rsidRPr="0027103D">
        <w:rPr>
          <w:rFonts w:ascii="Arial" w:hAnsi="Arial" w:cs="Arial"/>
          <w:color w:val="000000"/>
          <w:sz w:val="22"/>
        </w:rPr>
        <w:t>»</w:t>
      </w:r>
      <w:r w:rsidR="005E27F2" w:rsidRPr="0027103D">
        <w:rPr>
          <w:rFonts w:ascii="Arial" w:hAnsi="Arial" w:cs="Arial"/>
          <w:color w:val="000000"/>
          <w:sz w:val="22"/>
        </w:rPr>
        <w:t>. </w:t>
      </w:r>
      <w:r w:rsidR="00A5472B" w:rsidRPr="0027103D">
        <w:rPr>
          <w:rFonts w:ascii="Arial" w:hAnsi="Arial" w:cs="Arial"/>
          <w:color w:val="000000"/>
          <w:sz w:val="22"/>
        </w:rPr>
        <w:t>A tales efectos, la Agencia Nacional de Contratación Pública expidió</w:t>
      </w:r>
      <w:r w:rsidR="00AD2CDF" w:rsidRPr="0027103D">
        <w:rPr>
          <w:rFonts w:ascii="Arial" w:hAnsi="Arial" w:cs="Arial"/>
          <w:color w:val="000000"/>
          <w:sz w:val="22"/>
        </w:rPr>
        <w:t xml:space="preserve"> la </w:t>
      </w:r>
      <w:r w:rsidR="00625D9A">
        <w:rPr>
          <w:rFonts w:ascii="Arial" w:hAnsi="Arial" w:cs="Arial"/>
          <w:color w:val="000000"/>
          <w:sz w:val="22"/>
        </w:rPr>
        <w:t>«</w:t>
      </w:r>
      <w:r w:rsidR="00AD2CDF" w:rsidRPr="0027103D">
        <w:rPr>
          <w:rFonts w:ascii="Arial" w:hAnsi="Arial" w:cs="Arial"/>
          <w:i/>
          <w:iCs/>
          <w:color w:val="000000"/>
          <w:sz w:val="22"/>
        </w:rPr>
        <w:t>Guía para elaborar el Plan Anual de Adquisiciones</w:t>
      </w:r>
      <w:r w:rsidR="00625D9A">
        <w:rPr>
          <w:rFonts w:ascii="Arial" w:hAnsi="Arial" w:cs="Arial"/>
          <w:i/>
          <w:iCs/>
          <w:color w:val="000000"/>
          <w:sz w:val="22"/>
        </w:rPr>
        <w:t>»</w:t>
      </w:r>
      <w:r w:rsidR="00AD2CDF" w:rsidRPr="0027103D">
        <w:rPr>
          <w:rFonts w:ascii="Arial" w:hAnsi="Arial" w:cs="Arial"/>
          <w:i/>
          <w:iCs/>
          <w:color w:val="000000"/>
          <w:sz w:val="22"/>
        </w:rPr>
        <w:t>,</w:t>
      </w:r>
      <w:r w:rsidR="00AD2CDF" w:rsidRPr="0027103D">
        <w:rPr>
          <w:rFonts w:ascii="Arial" w:hAnsi="Arial" w:cs="Arial"/>
          <w:color w:val="000000"/>
          <w:sz w:val="22"/>
        </w:rPr>
        <w:t xml:space="preserve"> en la que respecto de la publicación del Plan Anual de Adquisiciones se establece que: «</w:t>
      </w:r>
      <w:r w:rsidR="000242AA" w:rsidRPr="0027103D">
        <w:rPr>
          <w:rFonts w:ascii="Arial" w:hAnsi="Arial" w:cs="Arial"/>
          <w:sz w:val="22"/>
        </w:rPr>
        <w:t>El Plan Anual de Adquisiciones debe publicarse antes del 31 de enero de cada año y actualizarse por lo menos una vez al año</w:t>
      </w:r>
      <w:r w:rsidR="00AD2CDF" w:rsidRPr="0027103D">
        <w:rPr>
          <w:rFonts w:ascii="Arial" w:hAnsi="Arial" w:cs="Arial"/>
          <w:sz w:val="22"/>
        </w:rPr>
        <w:t>»</w:t>
      </w:r>
      <w:r w:rsidR="000242AA" w:rsidRPr="0027103D">
        <w:rPr>
          <w:rFonts w:ascii="Arial" w:hAnsi="Arial" w:cs="Arial"/>
          <w:sz w:val="22"/>
        </w:rPr>
        <w:t xml:space="preserve">. </w:t>
      </w:r>
    </w:p>
    <w:p w14:paraId="4AE4AD24" w14:textId="4E5B643B" w:rsidR="00B004FA" w:rsidRPr="006C2B00" w:rsidRDefault="00A17228" w:rsidP="0027103D">
      <w:pPr>
        <w:tabs>
          <w:tab w:val="left" w:pos="426"/>
          <w:tab w:val="left" w:pos="709"/>
        </w:tabs>
        <w:spacing w:after="120" w:line="276" w:lineRule="auto"/>
        <w:ind w:right="51" w:firstLine="709"/>
        <w:jc w:val="both"/>
        <w:rPr>
          <w:rFonts w:ascii="Arial" w:eastAsia="Calibri" w:hAnsi="Arial" w:cs="Arial"/>
          <w:color w:val="000000" w:themeColor="text1"/>
          <w:sz w:val="21"/>
          <w:szCs w:val="21"/>
          <w:lang w:val="es-ES"/>
        </w:rPr>
      </w:pPr>
      <w:r>
        <w:rPr>
          <w:rFonts w:ascii="Arial" w:eastAsia="Calibri" w:hAnsi="Arial" w:cs="Arial"/>
          <w:sz w:val="22"/>
          <w:lang w:val="es-ES"/>
        </w:rPr>
        <w:t xml:space="preserve">El régimen de la transparencia y acceso a la información </w:t>
      </w:r>
      <w:r w:rsidR="005B0500">
        <w:rPr>
          <w:rFonts w:ascii="Arial" w:eastAsia="Calibri" w:hAnsi="Arial" w:cs="Arial"/>
          <w:sz w:val="22"/>
          <w:lang w:val="es-ES"/>
        </w:rPr>
        <w:t>también contiene disposiciones relevantes para el deber de publicidad del Plan Anual de Adquisiciones.</w:t>
      </w:r>
      <w:r w:rsidR="00B004FA" w:rsidRPr="00406E40">
        <w:rPr>
          <w:rFonts w:ascii="Arial" w:eastAsia="Calibri" w:hAnsi="Arial" w:cs="Arial"/>
          <w:sz w:val="22"/>
          <w:lang w:val="es-ES"/>
        </w:rPr>
        <w:t xml:space="preserve"> </w:t>
      </w:r>
      <w:r w:rsidR="005B0500">
        <w:rPr>
          <w:rFonts w:ascii="Arial" w:eastAsia="Calibri" w:hAnsi="Arial" w:cs="Arial"/>
          <w:sz w:val="22"/>
          <w:lang w:val="es-ES"/>
        </w:rPr>
        <w:t xml:space="preserve">Al respecto, la Ley 1712 de 2014, en su </w:t>
      </w:r>
      <w:r w:rsidR="00B004FA" w:rsidRPr="00406E40">
        <w:rPr>
          <w:rFonts w:ascii="Arial" w:eastAsia="Calibri" w:hAnsi="Arial" w:cs="Arial"/>
          <w:sz w:val="22"/>
          <w:lang w:val="es-ES"/>
        </w:rPr>
        <w:t xml:space="preserve"> artículo 9</w:t>
      </w:r>
      <w:r w:rsidR="00B004FA">
        <w:rPr>
          <w:rFonts w:ascii="Arial" w:eastAsia="Calibri" w:hAnsi="Arial" w:cs="Arial"/>
          <w:sz w:val="22"/>
          <w:lang w:val="es-ES"/>
        </w:rPr>
        <w:t>, literal e),</w:t>
      </w:r>
      <w:r w:rsidR="00B004FA" w:rsidRPr="00406E40">
        <w:rPr>
          <w:rFonts w:ascii="Arial" w:eastAsia="Calibri" w:hAnsi="Arial" w:cs="Arial"/>
          <w:sz w:val="22"/>
          <w:lang w:val="es-ES"/>
        </w:rPr>
        <w:t xml:space="preserve"> prescribe</w:t>
      </w:r>
      <w:r w:rsidR="00B004FA">
        <w:rPr>
          <w:rFonts w:ascii="Arial" w:eastAsia="Calibri" w:hAnsi="Arial" w:cs="Arial"/>
          <w:sz w:val="22"/>
          <w:lang w:val="es-ES"/>
        </w:rPr>
        <w:t xml:space="preserve"> que </w:t>
      </w:r>
      <w:r w:rsidR="00B004FA" w:rsidRPr="00C32E6E">
        <w:rPr>
          <w:rFonts w:ascii="Arial" w:eastAsia="Calibri" w:hAnsi="Arial" w:cs="Arial"/>
          <w:sz w:val="22"/>
          <w:lang w:val="es-ES"/>
        </w:rPr>
        <w:t>todo sujeto obligado deberá publicar</w:t>
      </w:r>
      <w:r w:rsidR="00B004FA">
        <w:rPr>
          <w:rFonts w:ascii="Arial" w:eastAsia="Calibri" w:hAnsi="Arial" w:cs="Arial"/>
          <w:sz w:val="22"/>
          <w:lang w:val="es-ES"/>
        </w:rPr>
        <w:t>,</w:t>
      </w:r>
      <w:r w:rsidR="00B004FA" w:rsidRPr="00C32E6E">
        <w:rPr>
          <w:rFonts w:ascii="Arial" w:eastAsia="Calibri" w:hAnsi="Arial" w:cs="Arial"/>
          <w:sz w:val="22"/>
          <w:lang w:val="es-ES"/>
        </w:rPr>
        <w:t xml:space="preserve"> en los sistemas de información del Estado o herramientas que lo sustituyan</w:t>
      </w:r>
      <w:r w:rsidR="00B004FA">
        <w:rPr>
          <w:rFonts w:ascii="Arial" w:eastAsia="Calibri" w:hAnsi="Arial" w:cs="Arial"/>
          <w:sz w:val="22"/>
          <w:lang w:val="es-ES"/>
        </w:rPr>
        <w:t>,</w:t>
      </w:r>
      <w:r w:rsidR="00B004FA" w:rsidRPr="00C32E6E">
        <w:rPr>
          <w:rFonts w:ascii="Arial" w:eastAsia="Calibri" w:hAnsi="Arial" w:cs="Arial"/>
          <w:sz w:val="22"/>
          <w:lang w:val="es-ES"/>
        </w:rPr>
        <w:t xml:space="preserve"> su respectivo plan de compras anual</w:t>
      </w:r>
      <w:r w:rsidR="00B004FA">
        <w:rPr>
          <w:rStyle w:val="Refdenotaalpie"/>
          <w:rFonts w:ascii="Arial" w:eastAsia="Calibri" w:hAnsi="Arial" w:cs="Arial"/>
          <w:sz w:val="22"/>
          <w:lang w:val="es-ES"/>
        </w:rPr>
        <w:footnoteReference w:id="4"/>
      </w:r>
      <w:r w:rsidR="00B004FA">
        <w:rPr>
          <w:rFonts w:ascii="Arial" w:eastAsia="Calibri" w:hAnsi="Arial" w:cs="Arial"/>
          <w:sz w:val="22"/>
          <w:lang w:val="es-ES"/>
        </w:rPr>
        <w:t>.</w:t>
      </w:r>
      <w:r w:rsidR="00B004FA" w:rsidRPr="00C32E6E">
        <w:rPr>
          <w:rFonts w:ascii="Arial" w:eastAsia="Calibri" w:hAnsi="Arial" w:cs="Arial"/>
          <w:sz w:val="22"/>
          <w:lang w:val="es-ES"/>
        </w:rPr>
        <w:t xml:space="preserve"> </w:t>
      </w:r>
      <w:r w:rsidR="00B004FA">
        <w:rPr>
          <w:rFonts w:ascii="Arial" w:eastAsia="Calibri" w:hAnsi="Arial" w:cs="Arial"/>
          <w:sz w:val="22"/>
          <w:lang w:val="es-ES"/>
        </w:rPr>
        <w:t>P</w:t>
      </w:r>
      <w:r w:rsidR="00B004FA" w:rsidRPr="00C32E6E">
        <w:rPr>
          <w:rFonts w:ascii="Arial" w:eastAsia="Calibri" w:hAnsi="Arial" w:cs="Arial"/>
          <w:sz w:val="22"/>
          <w:lang w:val="es-ES"/>
        </w:rPr>
        <w:t xml:space="preserve">ara determinar </w:t>
      </w:r>
      <w:r w:rsidR="00625D9A">
        <w:rPr>
          <w:rFonts w:ascii="Arial" w:eastAsia="Calibri" w:hAnsi="Arial" w:cs="Arial"/>
          <w:sz w:val="22"/>
          <w:lang w:val="es-ES"/>
        </w:rPr>
        <w:t xml:space="preserve">quienes tienen la calidad de </w:t>
      </w:r>
      <w:r w:rsidR="00B004FA">
        <w:rPr>
          <w:rFonts w:ascii="Arial" w:eastAsia="Calibri" w:hAnsi="Arial" w:cs="Arial"/>
          <w:sz w:val="22"/>
          <w:lang w:val="es-ES"/>
        </w:rPr>
        <w:t>sujetos obligados</w:t>
      </w:r>
      <w:r w:rsidR="00625D9A">
        <w:rPr>
          <w:rFonts w:ascii="Arial" w:eastAsia="Calibri" w:hAnsi="Arial" w:cs="Arial"/>
          <w:sz w:val="22"/>
          <w:lang w:val="es-ES"/>
        </w:rPr>
        <w:t>, y en consecuencia la obligación de publicar el Plan Anual de Adquisiciones,</w:t>
      </w:r>
      <w:r w:rsidR="00B004FA">
        <w:rPr>
          <w:rFonts w:ascii="Arial" w:eastAsia="Calibri" w:hAnsi="Arial" w:cs="Arial"/>
          <w:sz w:val="22"/>
          <w:lang w:val="es-ES"/>
        </w:rPr>
        <w:t xml:space="preserve"> </w:t>
      </w:r>
      <w:r w:rsidR="00B004FA" w:rsidRPr="00C32E6E">
        <w:rPr>
          <w:rFonts w:ascii="Arial" w:eastAsia="Calibri" w:hAnsi="Arial" w:cs="Arial"/>
          <w:sz w:val="22"/>
          <w:lang w:val="es-ES"/>
        </w:rPr>
        <w:t xml:space="preserve">es necesario </w:t>
      </w:r>
      <w:r w:rsidR="00B004FA">
        <w:rPr>
          <w:rFonts w:ascii="Arial" w:eastAsia="Calibri" w:hAnsi="Arial" w:cs="Arial"/>
          <w:sz w:val="22"/>
          <w:lang w:val="es-ES"/>
        </w:rPr>
        <w:t>remitirse al artículo 5 de la Ley 1712 de 2014</w:t>
      </w:r>
      <w:r w:rsidR="00625D9A">
        <w:rPr>
          <w:rStyle w:val="Refdenotaalpie"/>
          <w:rFonts w:ascii="Arial" w:eastAsia="Calibri" w:hAnsi="Arial" w:cs="Arial"/>
          <w:sz w:val="22"/>
          <w:lang w:val="es-ES"/>
        </w:rPr>
        <w:footnoteReference w:id="5"/>
      </w:r>
      <w:r w:rsidR="00625D9A">
        <w:rPr>
          <w:rFonts w:ascii="Arial" w:eastAsia="Calibri" w:hAnsi="Arial" w:cs="Arial"/>
          <w:color w:val="000000" w:themeColor="text1"/>
          <w:sz w:val="21"/>
          <w:szCs w:val="21"/>
          <w:lang w:val="es-ES"/>
        </w:rPr>
        <w:t>.</w:t>
      </w:r>
    </w:p>
    <w:p w14:paraId="591B919F" w14:textId="0FED524E" w:rsidR="00B004FA" w:rsidRDefault="00625D9A" w:rsidP="00B004FA">
      <w:pPr>
        <w:spacing w:line="276" w:lineRule="auto"/>
        <w:ind w:firstLine="709"/>
        <w:jc w:val="both"/>
        <w:rPr>
          <w:rFonts w:ascii="Arial" w:eastAsia="Calibri" w:hAnsi="Arial" w:cs="Arial"/>
          <w:sz w:val="22"/>
          <w:lang w:val="es-ES"/>
        </w:rPr>
      </w:pPr>
      <w:r>
        <w:rPr>
          <w:rFonts w:ascii="Arial" w:eastAsia="Calibri" w:hAnsi="Arial" w:cs="Arial"/>
          <w:sz w:val="22"/>
          <w:lang w:val="es-ES"/>
        </w:rPr>
        <w:lastRenderedPageBreak/>
        <w:t xml:space="preserve">Dicha </w:t>
      </w:r>
      <w:r w:rsidR="00B004FA">
        <w:rPr>
          <w:rFonts w:ascii="Arial" w:eastAsia="Calibri" w:hAnsi="Arial" w:cs="Arial"/>
          <w:sz w:val="22"/>
          <w:lang w:val="es-ES"/>
        </w:rPr>
        <w:t>norma contiene un lista</w:t>
      </w:r>
      <w:r>
        <w:rPr>
          <w:rFonts w:ascii="Arial" w:eastAsia="Calibri" w:hAnsi="Arial" w:cs="Arial"/>
          <w:sz w:val="22"/>
          <w:lang w:val="es-ES"/>
        </w:rPr>
        <w:t>do</w:t>
      </w:r>
      <w:r w:rsidR="00B004FA">
        <w:rPr>
          <w:rFonts w:ascii="Arial" w:eastAsia="Calibri" w:hAnsi="Arial" w:cs="Arial"/>
          <w:sz w:val="22"/>
          <w:lang w:val="es-ES"/>
        </w:rPr>
        <w:t xml:space="preserve"> </w:t>
      </w:r>
      <w:r>
        <w:rPr>
          <w:rFonts w:ascii="Arial" w:eastAsia="Calibri" w:hAnsi="Arial" w:cs="Arial"/>
          <w:sz w:val="22"/>
          <w:lang w:val="es-ES"/>
        </w:rPr>
        <w:t>que abarca determinadas circunstancias en función de las cuales se determina quien es un sujeto obligado,</w:t>
      </w:r>
      <w:r w:rsidR="00B004FA">
        <w:rPr>
          <w:rFonts w:ascii="Arial" w:eastAsia="Calibri" w:hAnsi="Arial" w:cs="Arial"/>
          <w:sz w:val="22"/>
          <w:lang w:val="es-ES"/>
        </w:rPr>
        <w:t xml:space="preserve"> es</w:t>
      </w:r>
      <w:r>
        <w:rPr>
          <w:rFonts w:ascii="Arial" w:eastAsia="Calibri" w:hAnsi="Arial" w:cs="Arial"/>
          <w:sz w:val="22"/>
          <w:lang w:val="es-ES"/>
        </w:rPr>
        <w:t>tas</w:t>
      </w:r>
      <w:r w:rsidR="00B004FA">
        <w:rPr>
          <w:rFonts w:ascii="Arial" w:eastAsia="Calibri" w:hAnsi="Arial" w:cs="Arial"/>
          <w:sz w:val="22"/>
          <w:lang w:val="es-ES"/>
        </w:rPr>
        <w:t xml:space="preserve"> </w:t>
      </w:r>
      <w:r>
        <w:rPr>
          <w:rFonts w:ascii="Arial" w:eastAsia="Calibri" w:hAnsi="Arial" w:cs="Arial"/>
          <w:sz w:val="22"/>
          <w:lang w:val="es-ES"/>
        </w:rPr>
        <w:t>son predicables</w:t>
      </w:r>
      <w:r w:rsidR="00B004FA">
        <w:rPr>
          <w:rFonts w:ascii="Arial" w:eastAsia="Calibri" w:hAnsi="Arial" w:cs="Arial"/>
          <w:sz w:val="22"/>
          <w:lang w:val="es-ES"/>
        </w:rPr>
        <w:t xml:space="preserve"> </w:t>
      </w:r>
      <w:r>
        <w:rPr>
          <w:rFonts w:ascii="Arial" w:eastAsia="Calibri" w:hAnsi="Arial" w:cs="Arial"/>
          <w:sz w:val="22"/>
          <w:lang w:val="es-ES"/>
        </w:rPr>
        <w:t>de</w:t>
      </w:r>
      <w:r w:rsidR="00B004FA">
        <w:rPr>
          <w:rFonts w:ascii="Arial" w:eastAsia="Calibri" w:hAnsi="Arial" w:cs="Arial"/>
          <w:sz w:val="22"/>
          <w:lang w:val="es-ES"/>
        </w:rPr>
        <w:t xml:space="preserve"> cualquier entidad, órgano, organismo, o persona natural que desempeñe funciones públicas o administre recursos públicos. De hecho, esta Agencia ha aclarado, en relación con el </w:t>
      </w:r>
      <w:r w:rsidR="005B0500">
        <w:rPr>
          <w:rFonts w:ascii="Arial" w:eastAsia="Calibri" w:hAnsi="Arial" w:cs="Arial"/>
          <w:sz w:val="22"/>
          <w:lang w:val="es-ES"/>
        </w:rPr>
        <w:t>P</w:t>
      </w:r>
      <w:r w:rsidR="00B004FA">
        <w:rPr>
          <w:rFonts w:ascii="Arial" w:eastAsia="Calibri" w:hAnsi="Arial" w:cs="Arial"/>
          <w:sz w:val="22"/>
          <w:lang w:val="es-ES"/>
        </w:rPr>
        <w:t xml:space="preserve">lan </w:t>
      </w:r>
      <w:r w:rsidR="005B0500">
        <w:rPr>
          <w:rFonts w:ascii="Arial" w:eastAsia="Calibri" w:hAnsi="Arial" w:cs="Arial"/>
          <w:sz w:val="22"/>
          <w:lang w:val="es-ES"/>
        </w:rPr>
        <w:t>A</w:t>
      </w:r>
      <w:r w:rsidR="00B004FA">
        <w:rPr>
          <w:rFonts w:ascii="Arial" w:eastAsia="Calibri" w:hAnsi="Arial" w:cs="Arial"/>
          <w:sz w:val="22"/>
          <w:lang w:val="es-ES"/>
        </w:rPr>
        <w:t xml:space="preserve">nual de </w:t>
      </w:r>
      <w:r w:rsidR="005B0500">
        <w:rPr>
          <w:rFonts w:ascii="Arial" w:eastAsia="Calibri" w:hAnsi="Arial" w:cs="Arial"/>
          <w:sz w:val="22"/>
          <w:lang w:val="es-ES"/>
        </w:rPr>
        <w:t>A</w:t>
      </w:r>
      <w:r w:rsidR="00B004FA">
        <w:rPr>
          <w:rFonts w:ascii="Arial" w:eastAsia="Calibri" w:hAnsi="Arial" w:cs="Arial"/>
          <w:sz w:val="22"/>
          <w:lang w:val="es-ES"/>
        </w:rPr>
        <w:t>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también</w:t>
      </w:r>
      <w:r>
        <w:rPr>
          <w:rFonts w:ascii="Arial" w:eastAsia="Calibri" w:hAnsi="Arial" w:cs="Arial"/>
          <w:sz w:val="22"/>
          <w:lang w:val="es-ES"/>
        </w:rPr>
        <w:t xml:space="preserve"> se</w:t>
      </w:r>
      <w:r w:rsidR="00B004FA">
        <w:rPr>
          <w:rFonts w:ascii="Arial" w:eastAsia="Calibri" w:hAnsi="Arial" w:cs="Arial"/>
          <w:sz w:val="22"/>
          <w:lang w:val="es-ES"/>
        </w:rPr>
        <w:t xml:space="preserve"> ha aclarado que son sujetos obligados las empresas públicas, las empresas del Estado y las sociedades en las que el Estado tenga participación, sin que importe su monto. Esta </w:t>
      </w:r>
      <w:r w:rsidR="00B004FA" w:rsidRPr="00406E40">
        <w:rPr>
          <w:rFonts w:ascii="Arial" w:eastAsia="Calibri" w:hAnsi="Arial" w:cs="Arial"/>
          <w:sz w:val="22"/>
          <w:lang w:val="es-ES"/>
        </w:rPr>
        <w:t>obligación de origen legal</w:t>
      </w:r>
      <w:r w:rsidR="00B004FA">
        <w:rPr>
          <w:rFonts w:ascii="Arial" w:eastAsia="Calibri" w:hAnsi="Arial" w:cs="Arial"/>
          <w:sz w:val="22"/>
          <w:lang w:val="es-ES"/>
        </w:rPr>
        <w:t xml:space="preserve"> tiene</w:t>
      </w:r>
      <w:r w:rsidR="00B004FA" w:rsidRPr="00406E40">
        <w:rPr>
          <w:rFonts w:ascii="Arial" w:eastAsia="Calibri" w:hAnsi="Arial" w:cs="Arial"/>
          <w:sz w:val="22"/>
          <w:lang w:val="es-ES"/>
        </w:rPr>
        <w:t xml:space="preserve"> desarrollo reglamentario en el </w:t>
      </w:r>
      <w:r w:rsidR="00B004FA" w:rsidRPr="00B02774">
        <w:rPr>
          <w:rFonts w:ascii="Arial" w:eastAsia="Calibri" w:hAnsi="Arial" w:cs="Arial"/>
          <w:sz w:val="22"/>
          <w:lang w:val="es-ES"/>
        </w:rPr>
        <w:t>Decreto 103 de 2015</w:t>
      </w:r>
      <w:r w:rsidR="00B004FA" w:rsidRPr="00406E40">
        <w:rPr>
          <w:rFonts w:ascii="Arial" w:eastAsia="Calibri" w:hAnsi="Arial" w:cs="Arial"/>
          <w:sz w:val="22"/>
          <w:lang w:val="es-ES"/>
        </w:rPr>
        <w:t>, compilado por el Decreto 1081 de 2015</w:t>
      </w:r>
      <w:r w:rsidR="00425163">
        <w:rPr>
          <w:rFonts w:ascii="Arial" w:eastAsia="Calibri" w:hAnsi="Arial" w:cs="Arial"/>
          <w:sz w:val="22"/>
          <w:lang w:val="es-ES"/>
        </w:rPr>
        <w:t>, cuyo</w:t>
      </w:r>
      <w:r w:rsidR="00B004FA" w:rsidRPr="00406E40">
        <w:rPr>
          <w:rFonts w:ascii="Arial" w:eastAsia="Calibri" w:hAnsi="Arial" w:cs="Arial"/>
          <w:sz w:val="22"/>
          <w:lang w:val="es-ES"/>
        </w:rPr>
        <w:t xml:space="preserve"> </w:t>
      </w:r>
      <w:r w:rsidR="00B004FA">
        <w:rPr>
          <w:rFonts w:ascii="Arial" w:eastAsia="Calibri" w:hAnsi="Arial" w:cs="Arial"/>
          <w:sz w:val="22"/>
          <w:lang w:val="es-ES"/>
        </w:rPr>
        <w:t xml:space="preserve">artículo 2.1.1.2.1.10 prescribe: </w:t>
      </w:r>
    </w:p>
    <w:p w14:paraId="11AE64DE" w14:textId="77777777" w:rsidR="00B004FA" w:rsidRPr="00406E40" w:rsidRDefault="00B004FA" w:rsidP="00B004FA">
      <w:pPr>
        <w:ind w:firstLine="709"/>
        <w:rPr>
          <w:rFonts w:ascii="Arial" w:eastAsia="Calibri" w:hAnsi="Arial" w:cs="Arial"/>
          <w:sz w:val="22"/>
          <w:lang w:val="es-ES"/>
        </w:rPr>
      </w:pPr>
    </w:p>
    <w:p w14:paraId="6A6065E6" w14:textId="77777777" w:rsidR="00B004FA" w:rsidRPr="00345705" w:rsidRDefault="00B004FA" w:rsidP="00B004FA">
      <w:pPr>
        <w:tabs>
          <w:tab w:val="left" w:pos="426"/>
        </w:tabs>
        <w:spacing w:after="120"/>
        <w:ind w:left="709" w:right="709"/>
        <w:jc w:val="both"/>
        <w:rPr>
          <w:rFonts w:ascii="Arial" w:eastAsia="Calibri" w:hAnsi="Arial" w:cs="Arial"/>
          <w:color w:val="000000" w:themeColor="text1"/>
          <w:sz w:val="21"/>
          <w:szCs w:val="21"/>
          <w:lang w:val="es-ES"/>
        </w:rPr>
      </w:pPr>
      <w:r w:rsidRPr="008C30C7">
        <w:rPr>
          <w:rFonts w:ascii="Arial" w:eastAsia="Calibri" w:hAnsi="Arial" w:cs="Arial"/>
          <w:color w:val="000000" w:themeColor="text1"/>
          <w:sz w:val="21"/>
          <w:szCs w:val="21"/>
          <w:lang w:val="es-ES"/>
        </w:rPr>
        <w:t>Artículo 2.1.1.2.1.10. Publicación del Plan Anual de Adquisiciones.</w:t>
      </w:r>
      <w:r>
        <w:rPr>
          <w:rFonts w:ascii="Arial" w:eastAsia="Calibri" w:hAnsi="Arial" w:cs="Arial"/>
          <w:color w:val="000000" w:themeColor="text1"/>
          <w:sz w:val="21"/>
          <w:szCs w:val="21"/>
          <w:lang w:val="es-ES"/>
        </w:rPr>
        <w:t xml:space="preserve"> </w:t>
      </w:r>
      <w:r w:rsidRPr="00416308">
        <w:rPr>
          <w:rFonts w:ascii="Arial" w:eastAsia="Calibri" w:hAnsi="Arial" w:cs="Arial"/>
          <w:color w:val="000000" w:themeColor="text1"/>
          <w:sz w:val="21"/>
          <w:szCs w:val="21"/>
          <w:lang w:val="es-ES"/>
        </w:rPr>
        <w:t xml:space="preserve">Los sujetos obligados que contratan con cargo a recursos públicos deben publicar </w:t>
      </w:r>
      <w:r w:rsidRPr="00345705">
        <w:rPr>
          <w:rFonts w:ascii="Arial" w:eastAsia="Calibri" w:hAnsi="Arial" w:cs="Arial"/>
          <w:color w:val="000000" w:themeColor="text1"/>
          <w:sz w:val="21"/>
          <w:szCs w:val="21"/>
          <w:lang w:val="es-ES"/>
        </w:rPr>
        <w:t xml:space="preserve">en su página web y en el Secop el Plan Anual de Adquisiciones, </w:t>
      </w:r>
      <w:r w:rsidRPr="00416308">
        <w:rPr>
          <w:rFonts w:ascii="Arial" w:eastAsia="Calibri" w:hAnsi="Arial" w:cs="Arial"/>
          <w:color w:val="000000" w:themeColor="text1"/>
          <w:sz w:val="21"/>
          <w:szCs w:val="21"/>
          <w:lang w:val="es-ES"/>
        </w:rPr>
        <w:t>de acuerdo con lo previsto</w:t>
      </w:r>
      <w:r w:rsidRPr="00345705">
        <w:rPr>
          <w:rFonts w:ascii="Arial" w:eastAsia="Calibri" w:hAnsi="Arial" w:cs="Arial"/>
          <w:color w:val="000000" w:themeColor="text1"/>
          <w:sz w:val="21"/>
          <w:szCs w:val="21"/>
          <w:lang w:val="es-ES"/>
        </w:rPr>
        <w:t xml:space="preserve"> en el artículo 74 de la Ley 1474 de 2011, el literal e) del artículo 9° de la Ley 1712 de 2014 y </w:t>
      </w:r>
      <w:r w:rsidRPr="00416308">
        <w:rPr>
          <w:rFonts w:ascii="Arial" w:eastAsia="Calibri" w:hAnsi="Arial" w:cs="Arial"/>
          <w:color w:val="000000" w:themeColor="text1"/>
          <w:sz w:val="21"/>
          <w:szCs w:val="21"/>
          <w:lang w:val="es-ES"/>
        </w:rPr>
        <w:t>el Decreto 1510 de 2013</w:t>
      </w:r>
      <w:r w:rsidRPr="00345705">
        <w:rPr>
          <w:rFonts w:ascii="Arial" w:eastAsia="Calibri" w:hAnsi="Arial" w:cs="Arial"/>
          <w:color w:val="000000" w:themeColor="text1"/>
          <w:sz w:val="21"/>
          <w:szCs w:val="21"/>
          <w:lang w:val="es-ES"/>
        </w:rPr>
        <w:t>, o el que lo modifique, sustituya o adicione.</w:t>
      </w:r>
    </w:p>
    <w:p w14:paraId="0F320CD0" w14:textId="77777777" w:rsidR="00B004FA" w:rsidRPr="00345705" w:rsidRDefault="00B004FA" w:rsidP="00B004FA">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0E223C64" w14:textId="77777777" w:rsidR="00B004FA" w:rsidRPr="00345705" w:rsidRDefault="00B004FA" w:rsidP="00B004FA">
      <w:pPr>
        <w:tabs>
          <w:tab w:val="left" w:pos="426"/>
        </w:tabs>
        <w:spacing w:after="120"/>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Los sujetos obligados que contratan con cargo a recursos públicos y recursos privados, deben publicar en su página web y en el Secop el Plan Anual de Adquisiciones para los recursos de carácter público que ejecutarán en el año. </w:t>
      </w:r>
    </w:p>
    <w:p w14:paraId="52737DFA" w14:textId="77777777" w:rsidR="00B004FA" w:rsidRPr="00345705" w:rsidRDefault="00B004FA" w:rsidP="00B004FA">
      <w:pPr>
        <w:tabs>
          <w:tab w:val="left" w:pos="426"/>
        </w:tabs>
        <w:ind w:left="709" w:right="709"/>
        <w:jc w:val="both"/>
        <w:rPr>
          <w:rFonts w:ascii="Arial" w:eastAsia="Calibri" w:hAnsi="Arial" w:cs="Arial"/>
          <w:color w:val="000000" w:themeColor="text1"/>
          <w:sz w:val="21"/>
          <w:szCs w:val="21"/>
          <w:lang w:val="es-ES"/>
        </w:rPr>
      </w:pPr>
      <w:r w:rsidRPr="00345705">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33B4BBC2" w14:textId="77777777" w:rsidR="00B004FA" w:rsidRPr="00406E40" w:rsidRDefault="00B004FA" w:rsidP="00B004FA">
      <w:pPr>
        <w:tabs>
          <w:tab w:val="left" w:pos="8505"/>
        </w:tabs>
        <w:ind w:rightChars="709" w:right="1702"/>
        <w:rPr>
          <w:rFonts w:ascii="Arial" w:eastAsia="Calibri" w:hAnsi="Arial" w:cs="Arial"/>
          <w:sz w:val="22"/>
          <w:lang w:val="es-ES"/>
        </w:rPr>
      </w:pPr>
    </w:p>
    <w:p w14:paraId="3793D672" w14:textId="26C7FB85" w:rsidR="00B004FA" w:rsidRDefault="00B004FA" w:rsidP="0027103D">
      <w:pPr>
        <w:spacing w:after="120" w:line="276" w:lineRule="auto"/>
        <w:ind w:firstLine="709"/>
        <w:jc w:val="both"/>
        <w:rPr>
          <w:rFonts w:ascii="Arial" w:eastAsia="Calibri" w:hAnsi="Arial" w:cs="Arial"/>
          <w:sz w:val="22"/>
          <w:lang w:val="es-ES"/>
        </w:rPr>
      </w:pPr>
      <w:r w:rsidRPr="00FC5A6B">
        <w:rPr>
          <w:rFonts w:ascii="Arial" w:eastAsia="Calibri" w:hAnsi="Arial" w:cs="Arial"/>
          <w:sz w:val="22"/>
          <w:lang w:val="es-ES"/>
        </w:rPr>
        <w:t xml:space="preserve">El artículo </w:t>
      </w:r>
      <w:r>
        <w:rPr>
          <w:rFonts w:ascii="Arial" w:eastAsia="Calibri" w:hAnsi="Arial" w:cs="Arial"/>
          <w:sz w:val="22"/>
          <w:lang w:val="es-ES"/>
        </w:rPr>
        <w:t xml:space="preserve">citado dispone </w:t>
      </w:r>
      <w:r w:rsidRPr="00FC5A6B">
        <w:rPr>
          <w:rFonts w:ascii="Arial" w:eastAsia="Calibri" w:hAnsi="Arial" w:cs="Arial"/>
          <w:sz w:val="22"/>
          <w:lang w:val="es-ES"/>
        </w:rPr>
        <w:t>que los sujetos obligados que contraten con cargo a rec</w:t>
      </w:r>
      <w:r>
        <w:rPr>
          <w:rFonts w:ascii="Arial" w:eastAsia="Calibri" w:hAnsi="Arial" w:cs="Arial"/>
          <w:sz w:val="22"/>
          <w:lang w:val="es-ES"/>
        </w:rPr>
        <w:t>u</w:t>
      </w:r>
      <w:r w:rsidRPr="00FC5A6B">
        <w:rPr>
          <w:rFonts w:ascii="Arial" w:eastAsia="Calibri" w:hAnsi="Arial" w:cs="Arial"/>
          <w:sz w:val="22"/>
          <w:lang w:val="es-ES"/>
        </w:rPr>
        <w:t xml:space="preserve">rsos públicos tienen la obligación de publicar el </w:t>
      </w:r>
      <w:r>
        <w:rPr>
          <w:rFonts w:ascii="Arial" w:eastAsia="Calibri" w:hAnsi="Arial" w:cs="Arial"/>
          <w:sz w:val="22"/>
          <w:lang w:val="es-ES"/>
        </w:rPr>
        <w:t>plan anual de adquisiciones</w:t>
      </w:r>
      <w:r w:rsidRPr="00FC5A6B">
        <w:rPr>
          <w:rFonts w:ascii="Arial" w:eastAsia="Calibri" w:hAnsi="Arial" w:cs="Arial"/>
          <w:sz w:val="22"/>
          <w:lang w:val="es-ES"/>
        </w:rPr>
        <w:t xml:space="preserve"> en e</w:t>
      </w:r>
      <w:r>
        <w:rPr>
          <w:rFonts w:ascii="Arial" w:eastAsia="Calibri" w:hAnsi="Arial" w:cs="Arial"/>
          <w:sz w:val="22"/>
          <w:lang w:val="es-ES"/>
        </w:rPr>
        <w:t>l</w:t>
      </w:r>
      <w:r w:rsidRPr="00FC5A6B">
        <w:rPr>
          <w:rFonts w:ascii="Arial" w:eastAsia="Calibri" w:hAnsi="Arial" w:cs="Arial"/>
          <w:sz w:val="22"/>
          <w:lang w:val="es-ES"/>
        </w:rPr>
        <w:t xml:space="preserve"> SECO</w:t>
      </w:r>
      <w:r>
        <w:rPr>
          <w:rFonts w:ascii="Arial" w:eastAsia="Calibri" w:hAnsi="Arial" w:cs="Arial"/>
          <w:sz w:val="22"/>
          <w:lang w:val="es-ES"/>
        </w:rPr>
        <w:t xml:space="preserve">P. Los sujetos que no contratan con cargo a recursos públicos no están obligados a publicarlo, mientras que aquellos que contratan tanto con cargo a recursos públicos como recursos que no tienen esta naturaleza, solamente están obligados a publicar el plan anual </w:t>
      </w:r>
      <w:r>
        <w:rPr>
          <w:rFonts w:ascii="Arial" w:eastAsia="Calibri" w:hAnsi="Arial" w:cs="Arial"/>
          <w:sz w:val="22"/>
          <w:lang w:val="es-ES"/>
        </w:rPr>
        <w:lastRenderedPageBreak/>
        <w:t xml:space="preserve">de adquisiciones para los recursos de carácter público que se ejecutarán durante la vigencia fiscal. </w:t>
      </w:r>
    </w:p>
    <w:p w14:paraId="56F2DA80" w14:textId="1E7B4471" w:rsidR="0056302E" w:rsidRDefault="005B0500" w:rsidP="0056302E">
      <w:pPr>
        <w:spacing w:line="276" w:lineRule="auto"/>
        <w:jc w:val="both"/>
        <w:rPr>
          <w:rFonts w:ascii="Arial" w:eastAsia="Calibri" w:hAnsi="Arial" w:cs="Arial"/>
          <w:sz w:val="22"/>
          <w:lang w:val="es-ES"/>
        </w:rPr>
      </w:pPr>
      <w:r>
        <w:rPr>
          <w:rFonts w:ascii="Arial" w:eastAsia="Calibri" w:hAnsi="Arial" w:cs="Arial"/>
          <w:sz w:val="22"/>
          <w:lang w:val="es-ES"/>
        </w:rPr>
        <w:t>En tales términos</w:t>
      </w:r>
      <w:r w:rsidR="00F01AB0">
        <w:rPr>
          <w:rFonts w:ascii="Arial" w:eastAsia="Calibri" w:hAnsi="Arial" w:cs="Arial"/>
          <w:sz w:val="22"/>
          <w:lang w:val="es-ES"/>
        </w:rPr>
        <w:t>,</w:t>
      </w:r>
      <w:r>
        <w:rPr>
          <w:rFonts w:ascii="Arial" w:eastAsia="Calibri" w:hAnsi="Arial" w:cs="Arial"/>
          <w:sz w:val="22"/>
          <w:lang w:val="es-ES"/>
        </w:rPr>
        <w:t xml:space="preserve"> la publicación del Plan Anual de Adquisiciones no solo es una obligación </w:t>
      </w:r>
      <w:r w:rsidR="003321AC">
        <w:rPr>
          <w:rFonts w:ascii="Arial" w:eastAsia="Calibri" w:hAnsi="Arial" w:cs="Arial"/>
          <w:sz w:val="22"/>
          <w:lang w:val="es-ES"/>
        </w:rPr>
        <w:t xml:space="preserve">de las entidades regidas por el Estatuto General de Contratación </w:t>
      </w:r>
      <w:r w:rsidR="002A008E">
        <w:rPr>
          <w:rFonts w:ascii="Arial" w:eastAsia="Calibri" w:hAnsi="Arial" w:cs="Arial"/>
          <w:sz w:val="22"/>
          <w:lang w:val="es-ES"/>
        </w:rPr>
        <w:t>de la Administración Pública</w:t>
      </w:r>
      <w:r w:rsidR="00CC1C7B">
        <w:rPr>
          <w:rFonts w:ascii="Arial" w:eastAsia="Calibri" w:hAnsi="Arial" w:cs="Arial"/>
          <w:sz w:val="22"/>
          <w:lang w:val="es-ES"/>
        </w:rPr>
        <w:t xml:space="preserve">, sino también de los obligados en el marco de la Ley 1712 de 2014, que contraten con cargo a recursos públicos. Dichas normas, </w:t>
      </w:r>
      <w:r w:rsidR="00743288">
        <w:rPr>
          <w:rFonts w:ascii="Arial" w:eastAsia="Calibri" w:hAnsi="Arial" w:cs="Arial"/>
          <w:sz w:val="22"/>
          <w:lang w:val="es-ES"/>
        </w:rPr>
        <w:t xml:space="preserve">no </w:t>
      </w:r>
      <w:r w:rsidR="00002773">
        <w:rPr>
          <w:rFonts w:ascii="Arial" w:eastAsia="Calibri" w:hAnsi="Arial" w:cs="Arial"/>
          <w:sz w:val="22"/>
          <w:lang w:val="es-ES"/>
        </w:rPr>
        <w:t>prevén</w:t>
      </w:r>
      <w:r w:rsidR="00743288">
        <w:rPr>
          <w:rFonts w:ascii="Arial" w:eastAsia="Calibri" w:hAnsi="Arial" w:cs="Arial"/>
          <w:sz w:val="22"/>
          <w:lang w:val="es-ES"/>
        </w:rPr>
        <w:t xml:space="preserve"> un</w:t>
      </w:r>
      <w:r w:rsidR="001154E8">
        <w:rPr>
          <w:rFonts w:ascii="Arial" w:eastAsia="Calibri" w:hAnsi="Arial" w:cs="Arial"/>
          <w:sz w:val="22"/>
          <w:lang w:val="es-ES"/>
        </w:rPr>
        <w:t>a</w:t>
      </w:r>
      <w:r w:rsidR="00743288">
        <w:rPr>
          <w:rFonts w:ascii="Arial" w:eastAsia="Calibri" w:hAnsi="Arial" w:cs="Arial"/>
          <w:sz w:val="22"/>
          <w:lang w:val="es-ES"/>
        </w:rPr>
        <w:t xml:space="preserve"> consecuencia jurídica directa de la no publicaci</w:t>
      </w:r>
      <w:r w:rsidR="00002773">
        <w:rPr>
          <w:rFonts w:ascii="Arial" w:eastAsia="Calibri" w:hAnsi="Arial" w:cs="Arial"/>
          <w:sz w:val="22"/>
          <w:lang w:val="es-ES"/>
        </w:rPr>
        <w:t xml:space="preserve">ón del plan, ni atribuyen a alguna autoridad en concreto el deber de hacer un seguimiento. No obstante, </w:t>
      </w:r>
      <w:r w:rsidR="001154E8">
        <w:rPr>
          <w:rFonts w:ascii="Arial" w:eastAsia="Calibri" w:hAnsi="Arial" w:cs="Arial"/>
          <w:sz w:val="22"/>
          <w:lang w:val="es-ES"/>
        </w:rPr>
        <w:t xml:space="preserve">ello no desvirtúa el carácter de deber legal en el que consiste la </w:t>
      </w:r>
      <w:r w:rsidR="00C91F0D">
        <w:rPr>
          <w:rFonts w:ascii="Arial" w:eastAsia="Calibri" w:hAnsi="Arial" w:cs="Arial"/>
          <w:sz w:val="22"/>
          <w:lang w:val="es-ES"/>
        </w:rPr>
        <w:t xml:space="preserve">obligación de </w:t>
      </w:r>
      <w:r w:rsidR="001154E8">
        <w:rPr>
          <w:rFonts w:ascii="Arial" w:eastAsia="Calibri" w:hAnsi="Arial" w:cs="Arial"/>
          <w:sz w:val="22"/>
          <w:lang w:val="es-ES"/>
        </w:rPr>
        <w:t>publica</w:t>
      </w:r>
      <w:r w:rsidR="00C91F0D">
        <w:rPr>
          <w:rFonts w:ascii="Arial" w:eastAsia="Calibri" w:hAnsi="Arial" w:cs="Arial"/>
          <w:sz w:val="22"/>
          <w:lang w:val="es-ES"/>
        </w:rPr>
        <w:t>r</w:t>
      </w:r>
      <w:r w:rsidR="001154E8">
        <w:rPr>
          <w:rFonts w:ascii="Arial" w:eastAsia="Calibri" w:hAnsi="Arial" w:cs="Arial"/>
          <w:sz w:val="22"/>
          <w:lang w:val="es-ES"/>
        </w:rPr>
        <w:t xml:space="preserve"> de</w:t>
      </w:r>
      <w:r w:rsidR="00E96901">
        <w:rPr>
          <w:rFonts w:ascii="Arial" w:eastAsia="Calibri" w:hAnsi="Arial" w:cs="Arial"/>
          <w:sz w:val="22"/>
          <w:lang w:val="es-ES"/>
        </w:rPr>
        <w:t>l plan</w:t>
      </w:r>
      <w:r w:rsidR="007262E7">
        <w:rPr>
          <w:rFonts w:ascii="Arial" w:eastAsia="Calibri" w:hAnsi="Arial" w:cs="Arial"/>
          <w:sz w:val="22"/>
          <w:lang w:val="es-ES"/>
        </w:rPr>
        <w:t>,</w:t>
      </w:r>
      <w:r w:rsidR="00EF7874">
        <w:rPr>
          <w:rFonts w:ascii="Arial" w:eastAsia="Calibri" w:hAnsi="Arial" w:cs="Arial"/>
          <w:sz w:val="22"/>
          <w:lang w:val="es-ES"/>
        </w:rPr>
        <w:t xml:space="preserve"> </w:t>
      </w:r>
      <w:r w:rsidR="00DB5578">
        <w:rPr>
          <w:rFonts w:ascii="Arial" w:eastAsia="Calibri" w:hAnsi="Arial" w:cs="Arial"/>
          <w:sz w:val="22"/>
          <w:lang w:val="es-ES"/>
        </w:rPr>
        <w:t>por lo que su desatención,</w:t>
      </w:r>
      <w:r w:rsidR="00900697">
        <w:rPr>
          <w:rFonts w:ascii="Arial" w:eastAsia="Calibri" w:hAnsi="Arial" w:cs="Arial"/>
          <w:sz w:val="22"/>
          <w:lang w:val="es-ES"/>
        </w:rPr>
        <w:t xml:space="preserve"> eventualmente</w:t>
      </w:r>
      <w:r w:rsidR="00DB5578">
        <w:rPr>
          <w:rFonts w:ascii="Arial" w:eastAsia="Calibri" w:hAnsi="Arial" w:cs="Arial"/>
          <w:sz w:val="22"/>
          <w:lang w:val="es-ES"/>
        </w:rPr>
        <w:t>,</w:t>
      </w:r>
      <w:r w:rsidR="00900697">
        <w:rPr>
          <w:rFonts w:ascii="Arial" w:eastAsia="Calibri" w:hAnsi="Arial" w:cs="Arial"/>
          <w:sz w:val="22"/>
          <w:lang w:val="es-ES"/>
        </w:rPr>
        <w:t xml:space="preserve"> podría ser considerad</w:t>
      </w:r>
      <w:r w:rsidR="00DB5578">
        <w:rPr>
          <w:rFonts w:ascii="Arial" w:eastAsia="Calibri" w:hAnsi="Arial" w:cs="Arial"/>
          <w:sz w:val="22"/>
          <w:lang w:val="es-ES"/>
        </w:rPr>
        <w:t>a</w:t>
      </w:r>
      <w:r w:rsidR="00900697">
        <w:rPr>
          <w:rFonts w:ascii="Arial" w:eastAsia="Calibri" w:hAnsi="Arial" w:cs="Arial"/>
          <w:sz w:val="22"/>
          <w:lang w:val="es-ES"/>
        </w:rPr>
        <w:t xml:space="preserve"> como un hecho </w:t>
      </w:r>
      <w:r w:rsidR="00C8545A">
        <w:rPr>
          <w:rFonts w:ascii="Arial" w:eastAsia="Calibri" w:hAnsi="Arial" w:cs="Arial"/>
          <w:sz w:val="22"/>
          <w:lang w:val="es-ES"/>
        </w:rPr>
        <w:t>relevante en el marco del régimen disciplinario</w:t>
      </w:r>
      <w:r w:rsidR="00056886">
        <w:rPr>
          <w:rFonts w:ascii="Arial" w:eastAsia="Calibri" w:hAnsi="Arial" w:cs="Arial"/>
          <w:sz w:val="22"/>
          <w:lang w:val="es-ES"/>
        </w:rPr>
        <w:t xml:space="preserve"> y</w:t>
      </w:r>
      <w:r w:rsidR="00F01AB0">
        <w:rPr>
          <w:rFonts w:ascii="Arial" w:eastAsia="Calibri" w:hAnsi="Arial" w:cs="Arial"/>
          <w:sz w:val="22"/>
          <w:lang w:val="es-ES"/>
        </w:rPr>
        <w:t>/o</w:t>
      </w:r>
      <w:r w:rsidR="00056886">
        <w:rPr>
          <w:rFonts w:ascii="Arial" w:eastAsia="Calibri" w:hAnsi="Arial" w:cs="Arial"/>
          <w:sz w:val="22"/>
          <w:lang w:val="es-ES"/>
        </w:rPr>
        <w:t xml:space="preserve"> de responsabilidad fiscal</w:t>
      </w:r>
      <w:r w:rsidR="007A5A1D">
        <w:rPr>
          <w:rFonts w:ascii="Arial" w:eastAsia="Calibri" w:hAnsi="Arial" w:cs="Arial"/>
          <w:sz w:val="22"/>
          <w:lang w:val="es-ES"/>
        </w:rPr>
        <w:t xml:space="preserve">, acarreando posibles sanciones para el servidor público responsable, que no son objeto de estudio del presente concepto por ser </w:t>
      </w:r>
      <w:r w:rsidR="009C2375">
        <w:rPr>
          <w:rFonts w:ascii="Arial" w:eastAsia="Calibri" w:hAnsi="Arial" w:cs="Arial"/>
          <w:sz w:val="22"/>
          <w:lang w:val="es-ES"/>
        </w:rPr>
        <w:t xml:space="preserve">un asunto ajeno a la competencia consultiva de esta Agencia. </w:t>
      </w:r>
    </w:p>
    <w:p w14:paraId="124E298D" w14:textId="77777777" w:rsidR="005B0500" w:rsidRDefault="005B0500" w:rsidP="0027103D">
      <w:pPr>
        <w:jc w:val="both"/>
        <w:rPr>
          <w:rFonts w:ascii="Arial" w:eastAsia="Calibri" w:hAnsi="Arial" w:cs="Arial"/>
          <w:sz w:val="22"/>
          <w:lang w:val="es-ES"/>
        </w:rPr>
      </w:pPr>
    </w:p>
    <w:p w14:paraId="368A5975" w14:textId="6E0067A8" w:rsidR="0056302E" w:rsidRPr="00754FD8" w:rsidRDefault="00137BCE" w:rsidP="0056302E">
      <w:pPr>
        <w:spacing w:line="276" w:lineRule="auto"/>
        <w:jc w:val="both"/>
        <w:rPr>
          <w:rFonts w:ascii="Arial" w:eastAsia="Calibri" w:hAnsi="Arial" w:cs="Arial"/>
          <w:noProof/>
          <w:color w:val="000000" w:themeColor="text1"/>
          <w:sz w:val="22"/>
          <w:lang w:val="es-ES_tradnl"/>
        </w:rPr>
      </w:pPr>
      <w:r>
        <w:rPr>
          <w:rFonts w:ascii="Arial" w:eastAsia="Calibri" w:hAnsi="Arial" w:cs="Arial"/>
          <w:b/>
          <w:noProof/>
          <w:color w:val="000000" w:themeColor="text1"/>
          <w:sz w:val="22"/>
          <w:lang w:val="es-ES_tradnl"/>
        </w:rPr>
        <w:t>2.3</w:t>
      </w:r>
      <w:r w:rsidR="0056302E" w:rsidRPr="00754FD8">
        <w:rPr>
          <w:rFonts w:ascii="Arial" w:eastAsia="Calibri" w:hAnsi="Arial" w:cs="Arial"/>
          <w:b/>
          <w:noProof/>
          <w:color w:val="000000" w:themeColor="text1"/>
          <w:sz w:val="22"/>
          <w:lang w:val="es-ES_tradnl"/>
        </w:rPr>
        <w:t>. Disposiciones expedidas para mitigar los efectos de la pandemia en el marco de la «emergencia económica social y ecológica» y de la «emergencia sanitaria» ocasionadas por el COVID-19</w:t>
      </w:r>
      <w:r w:rsidR="00E93373">
        <w:rPr>
          <w:rFonts w:ascii="Arial" w:eastAsia="Calibri" w:hAnsi="Arial" w:cs="Arial"/>
          <w:b/>
          <w:noProof/>
          <w:color w:val="000000" w:themeColor="text1"/>
          <w:sz w:val="22"/>
          <w:lang w:val="es-ES_tradnl"/>
        </w:rPr>
        <w:t xml:space="preserve">. </w:t>
      </w:r>
    </w:p>
    <w:p w14:paraId="7496B1F2" w14:textId="77777777" w:rsidR="0056302E" w:rsidRPr="00754FD8" w:rsidRDefault="0056302E" w:rsidP="0027103D">
      <w:pPr>
        <w:pStyle w:val="Prrafodelista"/>
        <w:ind w:left="0"/>
        <w:jc w:val="both"/>
        <w:rPr>
          <w:rFonts w:ascii="Arial" w:hAnsi="Arial" w:cs="Arial"/>
          <w:noProof/>
          <w:color w:val="000000" w:themeColor="text1"/>
          <w:sz w:val="22"/>
          <w:lang w:val="es-ES_tradnl"/>
        </w:rPr>
      </w:pPr>
    </w:p>
    <w:p w14:paraId="543585F3" w14:textId="77777777" w:rsidR="0056302E" w:rsidRPr="00754FD8" w:rsidRDefault="0056302E" w:rsidP="0056302E">
      <w:pPr>
        <w:pStyle w:val="Prrafodelista"/>
        <w:spacing w:after="120" w:line="276" w:lineRule="auto"/>
        <w:ind w:left="0"/>
        <w:jc w:val="both"/>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t>El mundo –y particularmente Colombia– atraviesa una situación delicada en materia de salud, causada por la pandemia del virus COVID-19, declarada así por la Organización Mundial de la Salud (OMS) el 11 de marzo de 2020</w:t>
      </w:r>
      <w:r w:rsidRPr="00754FD8">
        <w:rPr>
          <w:rStyle w:val="Refdenotaalpie"/>
          <w:rFonts w:ascii="Arial" w:hAnsi="Arial" w:cs="Arial"/>
          <w:noProof/>
          <w:color w:val="000000" w:themeColor="text1"/>
          <w:sz w:val="22"/>
          <w:lang w:val="es-ES_tradnl"/>
        </w:rPr>
        <w:footnoteReference w:id="6"/>
      </w:r>
      <w:r w:rsidRPr="00754FD8">
        <w:rPr>
          <w:rFonts w:ascii="Arial" w:hAnsi="Arial" w:cs="Arial"/>
          <w:noProof/>
          <w:color w:val="000000" w:themeColor="text1"/>
          <w:sz w:val="22"/>
          <w:lang w:val="es-ES_tradnl"/>
        </w:rPr>
        <w:t>.</w:t>
      </w:r>
    </w:p>
    <w:p w14:paraId="2460B0FE" w14:textId="1DB7FEE3" w:rsidR="0056302E" w:rsidRPr="00754FD8" w:rsidRDefault="0056302E" w:rsidP="0056302E">
      <w:pPr>
        <w:spacing w:before="120" w:after="120" w:line="276" w:lineRule="auto"/>
        <w:ind w:firstLine="709"/>
        <w:jc w:val="both"/>
        <w:rPr>
          <w:rFonts w:ascii="Arial" w:hAnsi="Arial" w:cs="Arial"/>
          <w:noProof/>
          <w:color w:val="000000" w:themeColor="text1"/>
          <w:sz w:val="22"/>
          <w:lang w:val="es-ES_tradnl"/>
        </w:rPr>
      </w:pPr>
      <w:r w:rsidRPr="00754FD8">
        <w:rPr>
          <w:rFonts w:ascii="Arial" w:eastAsia="Calibri" w:hAnsi="Arial" w:cs="Arial"/>
          <w:noProof/>
          <w:color w:val="000000" w:themeColor="text1"/>
          <w:sz w:val="22"/>
          <w:lang w:val="es-ES_tradnl"/>
        </w:rPr>
        <w:t>Desde</w:t>
      </w:r>
      <w:r w:rsidRPr="00754FD8">
        <w:rPr>
          <w:rFonts w:ascii="Arial" w:hAnsi="Arial" w:cs="Arial"/>
          <w:noProof/>
          <w:color w:val="000000" w:themeColor="text1"/>
          <w:sz w:val="22"/>
          <w:lang w:val="es-ES_tradnl"/>
        </w:rPr>
        <w:t xml:space="preserve"> que se conoció la posibilidad de que el virus llegara al país, el </w:t>
      </w:r>
      <w:r w:rsidR="00F01AB0">
        <w:rPr>
          <w:rFonts w:ascii="Arial" w:hAnsi="Arial" w:cs="Arial"/>
          <w:noProof/>
          <w:color w:val="000000" w:themeColor="text1"/>
          <w:sz w:val="22"/>
          <w:lang w:val="es-ES_tradnl"/>
        </w:rPr>
        <w:t>G</w:t>
      </w:r>
      <w:r w:rsidRPr="00754FD8">
        <w:rPr>
          <w:rFonts w:ascii="Arial" w:hAnsi="Arial" w:cs="Arial"/>
          <w:noProof/>
          <w:color w:val="000000" w:themeColor="text1"/>
          <w:sz w:val="22"/>
          <w:lang w:val="es-ES_tradnl"/>
        </w:rPr>
        <w:t>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754FD8">
        <w:rPr>
          <w:rStyle w:val="Refdenotaalpie"/>
          <w:rFonts w:ascii="Arial" w:hAnsi="Arial" w:cs="Arial"/>
          <w:noProof/>
          <w:color w:val="000000" w:themeColor="text1"/>
          <w:sz w:val="22"/>
          <w:lang w:val="es-ES_tradnl"/>
        </w:rPr>
        <w:footnoteReference w:id="7"/>
      </w:r>
      <w:r w:rsidRPr="00754FD8">
        <w:rPr>
          <w:rFonts w:ascii="Arial" w:hAnsi="Arial" w:cs="Arial"/>
          <w:noProof/>
          <w:color w:val="000000" w:themeColor="text1"/>
          <w:sz w:val="22"/>
          <w:lang w:val="es-ES_tradnl"/>
        </w:rPr>
        <w:t xml:space="preserve">. A partir de esa fecha, el Ministerio, y otras autoridades, han expedido un sinnúmero de actos administrativos que establecen directrices para las autoridades y los particulares, orientados a prevenir el contagio o, por lo menos, a disminuir la velocidad y el incremento del brote. </w:t>
      </w:r>
    </w:p>
    <w:p w14:paraId="2C72C176" w14:textId="77777777" w:rsidR="0056302E" w:rsidRPr="00754FD8" w:rsidRDefault="0056302E" w:rsidP="0056302E">
      <w:pPr>
        <w:spacing w:before="120" w:after="120" w:line="276" w:lineRule="auto"/>
        <w:ind w:firstLine="709"/>
        <w:jc w:val="both"/>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t>El 17 de marzo de 2020, el presidente de la república decretó el Estado de emergencia económica, social y ecológica mediante el Decreto Legislativo 417 de 2020, con fundamento en el artículo 215 de la Constitución</w:t>
      </w:r>
      <w:r w:rsidRPr="00754FD8">
        <w:rPr>
          <w:rStyle w:val="Refdenotaalpie"/>
          <w:rFonts w:ascii="Arial" w:hAnsi="Arial" w:cs="Arial"/>
          <w:noProof/>
          <w:color w:val="000000" w:themeColor="text1"/>
          <w:sz w:val="22"/>
          <w:lang w:val="es-ES_tradnl"/>
        </w:rPr>
        <w:footnoteReference w:id="8"/>
      </w:r>
      <w:r w:rsidRPr="00754FD8">
        <w:rPr>
          <w:rFonts w:ascii="Arial" w:hAnsi="Arial" w:cs="Arial"/>
          <w:noProof/>
          <w:color w:val="000000" w:themeColor="text1"/>
          <w:sz w:val="22"/>
          <w:lang w:val="es-ES_tradnl"/>
        </w:rPr>
        <w:t xml:space="preserve">. Este primer estado de excepción </w:t>
      </w:r>
      <w:r w:rsidRPr="00754FD8">
        <w:rPr>
          <w:rFonts w:ascii="Arial" w:hAnsi="Arial" w:cs="Arial"/>
          <w:noProof/>
          <w:color w:val="000000" w:themeColor="text1"/>
          <w:sz w:val="22"/>
          <w:lang w:val="es-ES_tradnl"/>
        </w:rPr>
        <w:lastRenderedPageBreak/>
        <w:t>estuvo vigente por treinta (30) días calendario. Posteriormente se ordenó un segundo estado de emergencia económica, social y ecológica, a través del Decreto Legislativo 637 del 6 de mayo de 2020, el cual rigió por otros treinta (30) días calendario. Esto nos permite concluir que el estado de excepción mencionado tuvo vigencia hasta el 4 de junio de 2020.</w:t>
      </w:r>
    </w:p>
    <w:p w14:paraId="58A3CBBD" w14:textId="44C26D70" w:rsidR="00231C01" w:rsidRPr="00231C01" w:rsidRDefault="0056302E" w:rsidP="00231C01">
      <w:pPr>
        <w:spacing w:before="120" w:after="120" w:line="276" w:lineRule="auto"/>
        <w:ind w:firstLine="709"/>
        <w:jc w:val="both"/>
        <w:rPr>
          <w:rFonts w:ascii="Arial" w:hAnsi="Arial" w:cs="Arial"/>
          <w:bCs/>
          <w:noProof/>
          <w:color w:val="000000" w:themeColor="text1"/>
          <w:sz w:val="22"/>
          <w:lang w:val="es-ES_tradnl"/>
        </w:rPr>
      </w:pPr>
      <w:r w:rsidRPr="00754FD8">
        <w:rPr>
          <w:rFonts w:ascii="Arial" w:hAnsi="Arial" w:cs="Arial"/>
          <w:noProof/>
          <w:color w:val="000000" w:themeColor="text1"/>
          <w:sz w:val="22"/>
          <w:lang w:val="es-ES_tradnl"/>
        </w:rPr>
        <w:t xml:space="preserve">Ahora bien, no se puede confundir el </w:t>
      </w:r>
      <w:r w:rsidRPr="00754FD8">
        <w:rPr>
          <w:rFonts w:ascii="Arial" w:hAnsi="Arial" w:cs="Arial"/>
          <w:i/>
          <w:iCs/>
          <w:noProof/>
          <w:color w:val="000000" w:themeColor="text1"/>
          <w:sz w:val="22"/>
          <w:lang w:val="es-ES_tradnl"/>
        </w:rPr>
        <w:t>estado de emergencia económica, social y ecológica</w:t>
      </w:r>
      <w:r w:rsidRPr="00754FD8">
        <w:rPr>
          <w:rFonts w:ascii="Arial" w:hAnsi="Arial" w:cs="Arial"/>
          <w:noProof/>
          <w:color w:val="000000" w:themeColor="text1"/>
          <w:sz w:val="22"/>
          <w:lang w:val="es-ES_tradnl"/>
        </w:rPr>
        <w:t xml:space="preserve"> que rigió por dos períodos que ya finalizaron en el año 2020, con el </w:t>
      </w:r>
      <w:r w:rsidRPr="00754FD8">
        <w:rPr>
          <w:rFonts w:ascii="Arial" w:hAnsi="Arial" w:cs="Arial"/>
          <w:i/>
          <w:iCs/>
          <w:noProof/>
          <w:color w:val="000000" w:themeColor="text1"/>
          <w:sz w:val="22"/>
          <w:lang w:val="es-ES_tradnl"/>
        </w:rPr>
        <w:t>estado de emergencia sanitaria</w:t>
      </w:r>
      <w:r w:rsidRPr="00754FD8">
        <w:rPr>
          <w:rFonts w:ascii="Arial" w:hAnsi="Arial" w:cs="Arial"/>
          <w:noProof/>
          <w:color w:val="000000" w:themeColor="text1"/>
          <w:sz w:val="22"/>
          <w:lang w:val="es-ES_tradnl"/>
        </w:rPr>
        <w:t xml:space="preserve"> que aún continúa. En efecto, la emergencia sanitaria –que no es un estado de excepción–, sino una medida administrativa para mitigar y atender una situación sanitaria, fue </w:t>
      </w:r>
      <w:r w:rsidRPr="00754FD8">
        <w:rPr>
          <w:rFonts w:ascii="Arial" w:hAnsi="Arial" w:cs="Arial"/>
          <w:bCs/>
          <w:noProof/>
          <w:color w:val="000000" w:themeColor="text1"/>
          <w:sz w:val="22"/>
          <w:lang w:val="es-ES_tradnl"/>
        </w:rPr>
        <w:t xml:space="preserve">declarada </w:t>
      </w:r>
      <w:r w:rsidR="00A94F84">
        <w:rPr>
          <w:rFonts w:ascii="Arial" w:hAnsi="Arial" w:cs="Arial"/>
          <w:bCs/>
          <w:noProof/>
          <w:color w:val="000000" w:themeColor="text1"/>
          <w:sz w:val="22"/>
          <w:lang w:val="es-ES_tradnl"/>
        </w:rPr>
        <w:t xml:space="preserve">inicialmente </w:t>
      </w:r>
      <w:r w:rsidRPr="00754FD8">
        <w:rPr>
          <w:rFonts w:ascii="Arial" w:hAnsi="Arial" w:cs="Arial"/>
          <w:bCs/>
          <w:noProof/>
          <w:color w:val="000000" w:themeColor="text1"/>
          <w:sz w:val="22"/>
          <w:lang w:val="es-ES_tradnl"/>
        </w:rPr>
        <w:t xml:space="preserve">en la Resolución 385 del 2020, expedida por el Ministerio de Salud, para regir entre el 12 de marzo y el 30 de mayo de 2020 –obsérvese que esta emergencia sanitaria se declaró antes de que se decretara el estado de excepción–. Dicha emergencia sanitaria se ha venido prorrogando mediante la expedición de otros actos administrativos: la Resolución 844 del 2020 la mantuvo vigente hasta el 31 de agosto de 2020, la Resolución 1462 hasta el 30 de noviembre de </w:t>
      </w:r>
      <w:r w:rsidR="00231C01">
        <w:rPr>
          <w:rFonts w:ascii="Arial" w:hAnsi="Arial" w:cs="Arial"/>
          <w:bCs/>
          <w:noProof/>
          <w:color w:val="000000" w:themeColor="text1"/>
          <w:sz w:val="22"/>
          <w:lang w:val="es-ES_tradnl"/>
        </w:rPr>
        <w:t>2020, la Resolución 2230 de 2020</w:t>
      </w:r>
      <w:r w:rsidRPr="00754FD8">
        <w:rPr>
          <w:rFonts w:ascii="Arial" w:hAnsi="Arial" w:cs="Arial"/>
          <w:bCs/>
          <w:noProof/>
          <w:color w:val="000000" w:themeColor="text1"/>
          <w:sz w:val="22"/>
          <w:lang w:val="es-ES_tradnl"/>
        </w:rPr>
        <w:t xml:space="preserve"> </w:t>
      </w:r>
      <w:r w:rsidR="00231C01">
        <w:rPr>
          <w:rFonts w:ascii="Arial" w:hAnsi="Arial" w:cs="Arial"/>
          <w:bCs/>
          <w:noProof/>
          <w:color w:val="000000" w:themeColor="text1"/>
          <w:sz w:val="22"/>
          <w:lang w:val="es-ES_tradnl"/>
        </w:rPr>
        <w:t>hasta el 28 de febrero de 2021,</w:t>
      </w:r>
      <w:r w:rsidRPr="00754FD8">
        <w:rPr>
          <w:rFonts w:ascii="Arial" w:hAnsi="Arial" w:cs="Arial"/>
          <w:bCs/>
          <w:noProof/>
          <w:color w:val="000000" w:themeColor="text1"/>
          <w:sz w:val="22"/>
          <w:lang w:val="es-ES_tradnl"/>
        </w:rPr>
        <w:t xml:space="preserve"> la Re</w:t>
      </w:r>
      <w:r w:rsidR="00231C01">
        <w:rPr>
          <w:rFonts w:ascii="Arial" w:hAnsi="Arial" w:cs="Arial"/>
          <w:bCs/>
          <w:noProof/>
          <w:color w:val="000000" w:themeColor="text1"/>
          <w:sz w:val="22"/>
          <w:lang w:val="es-ES_tradnl"/>
        </w:rPr>
        <w:t>solución 222 de</w:t>
      </w:r>
      <w:r w:rsidRPr="00754FD8">
        <w:rPr>
          <w:rFonts w:ascii="Arial" w:hAnsi="Arial" w:cs="Arial"/>
          <w:bCs/>
          <w:noProof/>
          <w:color w:val="000000" w:themeColor="text1"/>
          <w:sz w:val="22"/>
          <w:lang w:val="es-ES_tradnl"/>
        </w:rPr>
        <w:t xml:space="preserve"> hasta el 31 de mayo de 2021</w:t>
      </w:r>
      <w:r w:rsidR="00231C01">
        <w:rPr>
          <w:rFonts w:ascii="Arial" w:hAnsi="Arial" w:cs="Arial"/>
          <w:bCs/>
          <w:noProof/>
          <w:color w:val="000000" w:themeColor="text1"/>
          <w:sz w:val="22"/>
          <w:lang w:val="es-ES_tradnl"/>
        </w:rPr>
        <w:t xml:space="preserve"> y la R</w:t>
      </w:r>
      <w:r w:rsidR="00E93373">
        <w:rPr>
          <w:rFonts w:ascii="Arial" w:hAnsi="Arial" w:cs="Arial"/>
          <w:bCs/>
          <w:noProof/>
          <w:color w:val="000000" w:themeColor="text1"/>
          <w:sz w:val="22"/>
          <w:lang w:val="es-ES_tradnl"/>
        </w:rPr>
        <w:t>esolució</w:t>
      </w:r>
      <w:r w:rsidR="00231C01">
        <w:rPr>
          <w:rFonts w:ascii="Arial" w:hAnsi="Arial" w:cs="Arial"/>
          <w:bCs/>
          <w:noProof/>
          <w:color w:val="000000" w:themeColor="text1"/>
          <w:sz w:val="22"/>
          <w:lang w:val="es-ES_tradnl"/>
        </w:rPr>
        <w:t>n 738 de 2021 la prorrog</w:t>
      </w:r>
      <w:r w:rsidR="00A94F84">
        <w:rPr>
          <w:rFonts w:ascii="Arial" w:hAnsi="Arial" w:cs="Arial"/>
          <w:bCs/>
          <w:noProof/>
          <w:color w:val="000000" w:themeColor="text1"/>
          <w:sz w:val="22"/>
          <w:lang w:val="es-ES_tradnl"/>
        </w:rPr>
        <w:t>ó</w:t>
      </w:r>
      <w:r w:rsidR="00231C01">
        <w:rPr>
          <w:rFonts w:ascii="Arial" w:hAnsi="Arial" w:cs="Arial"/>
          <w:bCs/>
          <w:noProof/>
          <w:color w:val="000000" w:themeColor="text1"/>
          <w:sz w:val="22"/>
          <w:lang w:val="es-ES_tradnl"/>
        </w:rPr>
        <w:t xml:space="preserve"> hasta el 31 de agosto de 2021</w:t>
      </w:r>
      <w:r w:rsidRPr="00754FD8">
        <w:rPr>
          <w:rFonts w:ascii="Arial" w:hAnsi="Arial" w:cs="Arial"/>
          <w:bCs/>
          <w:noProof/>
          <w:color w:val="000000" w:themeColor="text1"/>
          <w:sz w:val="22"/>
          <w:lang w:val="es-ES_tradnl"/>
        </w:rPr>
        <w:t xml:space="preserve">. Esto quiere decir que actualmente nos encontramos ante un estado de emergencia sanitaria, pero no ante un estado de emergencia económica, social y ecológica. </w:t>
      </w:r>
    </w:p>
    <w:p w14:paraId="3AA61386" w14:textId="79FD6F2D" w:rsidR="00EC6330" w:rsidRDefault="0056302E" w:rsidP="00E93373">
      <w:pPr>
        <w:spacing w:before="120" w:line="276" w:lineRule="auto"/>
        <w:ind w:firstLine="709"/>
        <w:jc w:val="both"/>
        <w:rPr>
          <w:rFonts w:ascii="Arial" w:hAnsi="Arial" w:cs="Arial"/>
          <w:noProof/>
          <w:color w:val="000000" w:themeColor="text1"/>
          <w:sz w:val="22"/>
          <w:lang w:val="es-ES_tradnl"/>
        </w:rPr>
      </w:pPr>
      <w:r w:rsidRPr="00754FD8">
        <w:rPr>
          <w:rFonts w:ascii="Arial" w:hAnsi="Arial" w:cs="Arial"/>
          <w:noProof/>
          <w:color w:val="000000" w:themeColor="text1"/>
          <w:sz w:val="22"/>
          <w:lang w:val="es-ES_tradnl"/>
        </w:rPr>
        <w:t>Adicionalmente, de las disposiciones que se han expedido durante la pandemia, y que han incidido en la contratación pública, hay que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 El gobierno nacional también expidió el Decreto 499 del 31 de marzo de 2020, reiterado en el Decreto 544 del 13 de abril de 2020, por los cuales se adoptan medidas en materia de contratación estatal para la adquisición en el mercado internacional de dispositivos médicos y elementos de protección personal. Finalmente, en este recuento normativo conviene hacer referencia al Decreto 491 del 28 de marzo de 2020, que incluyó algunas disposiciones adicionales relevantes para la contratación estatal</w:t>
      </w:r>
      <w:r w:rsidR="00EC6330">
        <w:rPr>
          <w:rFonts w:ascii="Arial" w:hAnsi="Arial" w:cs="Arial"/>
          <w:noProof/>
          <w:color w:val="000000" w:themeColor="text1"/>
          <w:sz w:val="22"/>
          <w:lang w:val="es-ES_tradnl"/>
        </w:rPr>
        <w:t>.</w:t>
      </w:r>
    </w:p>
    <w:p w14:paraId="4C516681" w14:textId="576CDA00" w:rsidR="00B004FA" w:rsidRPr="00B004FA" w:rsidRDefault="00E67ED7" w:rsidP="00E93373">
      <w:pPr>
        <w:spacing w:before="120" w:line="276" w:lineRule="auto"/>
        <w:ind w:firstLine="709"/>
        <w:jc w:val="both"/>
        <w:rPr>
          <w:rFonts w:ascii="Arial" w:eastAsia="Calibri" w:hAnsi="Arial" w:cs="Arial"/>
          <w:color w:val="000000" w:themeColor="text1"/>
          <w:sz w:val="22"/>
          <w:lang w:val="es-ES"/>
        </w:rPr>
      </w:pPr>
      <w:r>
        <w:rPr>
          <w:rFonts w:ascii="Arial" w:hAnsi="Arial" w:cs="Arial"/>
          <w:noProof/>
          <w:color w:val="000000" w:themeColor="text1"/>
          <w:sz w:val="22"/>
          <w:lang w:val="es-ES_tradnl"/>
        </w:rPr>
        <w:t xml:space="preserve"> </w:t>
      </w:r>
      <w:r w:rsidR="00EC6330">
        <w:rPr>
          <w:rFonts w:ascii="Arial" w:hAnsi="Arial" w:cs="Arial"/>
          <w:noProof/>
          <w:color w:val="000000" w:themeColor="text1"/>
          <w:sz w:val="22"/>
          <w:lang w:val="es-ES_tradnl"/>
        </w:rPr>
        <w:t>Revisad</w:t>
      </w:r>
      <w:r w:rsidR="00611EDE">
        <w:rPr>
          <w:rFonts w:ascii="Arial" w:hAnsi="Arial" w:cs="Arial"/>
          <w:noProof/>
          <w:color w:val="000000" w:themeColor="text1"/>
          <w:sz w:val="22"/>
          <w:lang w:val="es-ES_tradnl"/>
        </w:rPr>
        <w:t>a</w:t>
      </w:r>
      <w:r w:rsidR="00EC6330">
        <w:rPr>
          <w:rFonts w:ascii="Arial" w:hAnsi="Arial" w:cs="Arial"/>
          <w:noProof/>
          <w:color w:val="000000" w:themeColor="text1"/>
          <w:sz w:val="22"/>
          <w:lang w:val="es-ES_tradnl"/>
        </w:rPr>
        <w:t xml:space="preserve">s las normas aludidas se adqvierte que, </w:t>
      </w:r>
      <w:r>
        <w:rPr>
          <w:rFonts w:ascii="Arial" w:hAnsi="Arial" w:cs="Arial"/>
          <w:noProof/>
          <w:color w:val="000000" w:themeColor="text1"/>
          <w:sz w:val="22"/>
          <w:lang w:val="es-ES_tradnl"/>
        </w:rPr>
        <w:t>en lo concerniente al deber de las entidades p</w:t>
      </w:r>
      <w:r w:rsidR="00A94F84">
        <w:rPr>
          <w:rFonts w:ascii="Arial" w:hAnsi="Arial" w:cs="Arial"/>
          <w:noProof/>
          <w:color w:val="000000" w:themeColor="text1"/>
          <w:sz w:val="22"/>
          <w:lang w:val="es-ES_tradnl"/>
        </w:rPr>
        <w:t>ú</w:t>
      </w:r>
      <w:r>
        <w:rPr>
          <w:rFonts w:ascii="Arial" w:hAnsi="Arial" w:cs="Arial"/>
          <w:noProof/>
          <w:color w:val="000000" w:themeColor="text1"/>
          <w:sz w:val="22"/>
          <w:lang w:val="es-ES_tradnl"/>
        </w:rPr>
        <w:t>blicas de elaborar y publicar el plan anual de adquisiones</w:t>
      </w:r>
      <w:r w:rsidR="00E93373">
        <w:rPr>
          <w:rFonts w:ascii="Arial" w:hAnsi="Arial" w:cs="Arial"/>
          <w:noProof/>
          <w:color w:val="000000" w:themeColor="text1"/>
          <w:sz w:val="22"/>
          <w:lang w:val="es-ES_tradnl"/>
        </w:rPr>
        <w:t>,</w:t>
      </w:r>
      <w:r>
        <w:rPr>
          <w:rFonts w:ascii="Arial" w:hAnsi="Arial" w:cs="Arial"/>
          <w:noProof/>
          <w:color w:val="000000" w:themeColor="text1"/>
          <w:sz w:val="22"/>
          <w:lang w:val="es-ES_tradnl"/>
        </w:rPr>
        <w:t xml:space="preserve"> no se </w:t>
      </w:r>
      <w:r w:rsidR="00EC6330">
        <w:rPr>
          <w:rFonts w:ascii="Arial" w:hAnsi="Arial" w:cs="Arial"/>
          <w:noProof/>
          <w:color w:val="000000" w:themeColor="text1"/>
          <w:sz w:val="22"/>
          <w:lang w:val="es-ES_tradnl"/>
        </w:rPr>
        <w:t>introduj</w:t>
      </w:r>
      <w:r w:rsidR="00A94F84">
        <w:rPr>
          <w:rFonts w:ascii="Arial" w:hAnsi="Arial" w:cs="Arial"/>
          <w:noProof/>
          <w:color w:val="000000" w:themeColor="text1"/>
          <w:sz w:val="22"/>
          <w:lang w:val="es-ES_tradnl"/>
        </w:rPr>
        <w:t>ó</w:t>
      </w:r>
      <w:r>
        <w:rPr>
          <w:rFonts w:ascii="Arial" w:hAnsi="Arial" w:cs="Arial"/>
          <w:noProof/>
          <w:color w:val="000000" w:themeColor="text1"/>
          <w:sz w:val="22"/>
          <w:lang w:val="es-ES_tradnl"/>
        </w:rPr>
        <w:t xml:space="preserve"> ning</w:t>
      </w:r>
      <w:r w:rsidR="00A94F84">
        <w:rPr>
          <w:rFonts w:ascii="Arial" w:hAnsi="Arial" w:cs="Arial"/>
          <w:noProof/>
          <w:color w:val="000000" w:themeColor="text1"/>
          <w:sz w:val="22"/>
          <w:lang w:val="es-ES_tradnl"/>
        </w:rPr>
        <w:t>ú</w:t>
      </w:r>
      <w:r w:rsidR="00E93373">
        <w:rPr>
          <w:rFonts w:ascii="Arial" w:hAnsi="Arial" w:cs="Arial"/>
          <w:noProof/>
          <w:color w:val="000000" w:themeColor="text1"/>
          <w:sz w:val="22"/>
          <w:lang w:val="es-ES_tradnl"/>
        </w:rPr>
        <w:t>n</w:t>
      </w:r>
      <w:r w:rsidR="008F06D2">
        <w:rPr>
          <w:rFonts w:ascii="Arial" w:hAnsi="Arial" w:cs="Arial"/>
          <w:noProof/>
          <w:color w:val="000000" w:themeColor="text1"/>
          <w:sz w:val="22"/>
          <w:lang w:val="es-ES_tradnl"/>
        </w:rPr>
        <w:t xml:space="preserve">a modificación </w:t>
      </w:r>
      <w:r>
        <w:rPr>
          <w:rFonts w:ascii="Arial" w:hAnsi="Arial" w:cs="Arial"/>
          <w:noProof/>
          <w:color w:val="000000" w:themeColor="text1"/>
          <w:sz w:val="22"/>
          <w:lang w:val="es-ES_tradnl"/>
        </w:rPr>
        <w:t xml:space="preserve">que </w:t>
      </w:r>
      <w:r w:rsidR="008F06D2">
        <w:rPr>
          <w:rFonts w:ascii="Arial" w:hAnsi="Arial" w:cs="Arial"/>
          <w:noProof/>
          <w:color w:val="000000" w:themeColor="text1"/>
          <w:sz w:val="22"/>
          <w:lang w:val="es-ES_tradnl"/>
        </w:rPr>
        <w:t xml:space="preserve">afecte </w:t>
      </w:r>
      <w:r w:rsidR="00EC6330">
        <w:rPr>
          <w:rFonts w:ascii="Arial" w:hAnsi="Arial" w:cs="Arial"/>
          <w:noProof/>
          <w:color w:val="000000" w:themeColor="text1"/>
          <w:sz w:val="22"/>
          <w:lang w:val="es-ES_tradnl"/>
        </w:rPr>
        <w:t xml:space="preserve">los términos </w:t>
      </w:r>
      <w:r w:rsidR="008F06D2">
        <w:rPr>
          <w:rFonts w:ascii="Arial" w:hAnsi="Arial" w:cs="Arial"/>
          <w:noProof/>
          <w:color w:val="000000" w:themeColor="text1"/>
          <w:sz w:val="22"/>
          <w:lang w:val="es-ES_tradnl"/>
        </w:rPr>
        <w:t>en los que debe cumplirse</w:t>
      </w:r>
      <w:r w:rsidR="00EC6330">
        <w:rPr>
          <w:rFonts w:ascii="Arial" w:hAnsi="Arial" w:cs="Arial"/>
          <w:noProof/>
          <w:color w:val="000000" w:themeColor="text1"/>
          <w:sz w:val="22"/>
          <w:lang w:val="es-ES_tradnl"/>
        </w:rPr>
        <w:t xml:space="preserve"> dicha obligación</w:t>
      </w:r>
      <w:r w:rsidR="008F06D2">
        <w:rPr>
          <w:rFonts w:ascii="Arial" w:hAnsi="Arial" w:cs="Arial"/>
          <w:noProof/>
          <w:color w:val="000000" w:themeColor="text1"/>
          <w:sz w:val="22"/>
          <w:lang w:val="es-ES_tradnl"/>
        </w:rPr>
        <w:t>,</w:t>
      </w:r>
      <w:r w:rsidR="00EC6330">
        <w:rPr>
          <w:rFonts w:ascii="Arial" w:hAnsi="Arial" w:cs="Arial"/>
          <w:noProof/>
          <w:color w:val="000000" w:themeColor="text1"/>
          <w:sz w:val="22"/>
          <w:lang w:val="es-ES_tradnl"/>
        </w:rPr>
        <w:t xml:space="preserve"> por alguna ra</w:t>
      </w:r>
      <w:r w:rsidR="005B1CFC">
        <w:rPr>
          <w:rFonts w:ascii="Arial" w:hAnsi="Arial" w:cs="Arial"/>
          <w:noProof/>
          <w:color w:val="000000" w:themeColor="text1"/>
          <w:sz w:val="22"/>
          <w:lang w:val="es-ES_tradnl"/>
        </w:rPr>
        <w:t>z</w:t>
      </w:r>
      <w:r w:rsidR="00EC6330">
        <w:rPr>
          <w:rFonts w:ascii="Arial" w:hAnsi="Arial" w:cs="Arial"/>
          <w:noProof/>
          <w:color w:val="000000" w:themeColor="text1"/>
          <w:sz w:val="22"/>
          <w:lang w:val="es-ES_tradnl"/>
        </w:rPr>
        <w:t>ón relacionada con</w:t>
      </w:r>
      <w:r>
        <w:rPr>
          <w:rFonts w:ascii="Arial" w:hAnsi="Arial" w:cs="Arial"/>
          <w:noProof/>
          <w:color w:val="000000" w:themeColor="text1"/>
          <w:sz w:val="22"/>
          <w:lang w:val="es-ES_tradnl"/>
        </w:rPr>
        <w:t xml:space="preserve"> la emergencia sanitaria</w:t>
      </w:r>
      <w:r w:rsidR="00EC6330">
        <w:rPr>
          <w:rFonts w:ascii="Arial" w:hAnsi="Arial" w:cs="Arial"/>
          <w:noProof/>
          <w:color w:val="000000" w:themeColor="text1"/>
          <w:sz w:val="22"/>
          <w:lang w:val="es-ES_tradnl"/>
        </w:rPr>
        <w:t xml:space="preserve">. Por tanto, el deber de publicidad del </w:t>
      </w:r>
      <w:r w:rsidR="008F06D2">
        <w:rPr>
          <w:rFonts w:ascii="Arial" w:hAnsi="Arial" w:cs="Arial"/>
          <w:noProof/>
          <w:color w:val="000000" w:themeColor="text1"/>
          <w:sz w:val="22"/>
          <w:lang w:val="es-ES_tradnl"/>
        </w:rPr>
        <w:t>P</w:t>
      </w:r>
      <w:r w:rsidR="00EC6330">
        <w:rPr>
          <w:rFonts w:ascii="Arial" w:hAnsi="Arial" w:cs="Arial"/>
          <w:noProof/>
          <w:color w:val="000000" w:themeColor="text1"/>
          <w:sz w:val="22"/>
          <w:lang w:val="es-ES_tradnl"/>
        </w:rPr>
        <w:t xml:space="preserve">lan </w:t>
      </w:r>
      <w:r w:rsidR="008F06D2">
        <w:rPr>
          <w:rFonts w:ascii="Arial" w:hAnsi="Arial" w:cs="Arial"/>
          <w:noProof/>
          <w:color w:val="000000" w:themeColor="text1"/>
          <w:sz w:val="22"/>
          <w:lang w:val="es-ES_tradnl"/>
        </w:rPr>
        <w:t>A</w:t>
      </w:r>
      <w:r w:rsidR="00EC6330">
        <w:rPr>
          <w:rFonts w:ascii="Arial" w:hAnsi="Arial" w:cs="Arial"/>
          <w:noProof/>
          <w:color w:val="000000" w:themeColor="text1"/>
          <w:sz w:val="22"/>
          <w:lang w:val="es-ES_tradnl"/>
        </w:rPr>
        <w:t xml:space="preserve">nual de </w:t>
      </w:r>
      <w:r w:rsidR="008F06D2">
        <w:rPr>
          <w:rFonts w:ascii="Arial" w:hAnsi="Arial" w:cs="Arial"/>
          <w:noProof/>
          <w:color w:val="000000" w:themeColor="text1"/>
          <w:sz w:val="22"/>
          <w:lang w:val="es-ES_tradnl"/>
        </w:rPr>
        <w:t>A</w:t>
      </w:r>
      <w:r w:rsidR="00EC6330">
        <w:rPr>
          <w:rFonts w:ascii="Arial" w:hAnsi="Arial" w:cs="Arial"/>
          <w:noProof/>
          <w:color w:val="000000" w:themeColor="text1"/>
          <w:sz w:val="22"/>
          <w:lang w:val="es-ES_tradnl"/>
        </w:rPr>
        <w:t>dqiuisiciones</w:t>
      </w:r>
      <w:r>
        <w:rPr>
          <w:rFonts w:ascii="Arial" w:hAnsi="Arial" w:cs="Arial"/>
          <w:noProof/>
          <w:color w:val="000000" w:themeColor="text1"/>
          <w:sz w:val="22"/>
          <w:lang w:val="es-ES_tradnl"/>
        </w:rPr>
        <w:t xml:space="preserve"> </w:t>
      </w:r>
      <w:r w:rsidR="00EC6330">
        <w:rPr>
          <w:rFonts w:ascii="Arial" w:hAnsi="Arial" w:cs="Arial"/>
          <w:noProof/>
          <w:color w:val="000000" w:themeColor="text1"/>
          <w:sz w:val="22"/>
          <w:lang w:val="es-ES_tradnl"/>
        </w:rPr>
        <w:t>se mantiene regid</w:t>
      </w:r>
      <w:r w:rsidR="0024357A">
        <w:rPr>
          <w:rFonts w:ascii="Arial" w:hAnsi="Arial" w:cs="Arial"/>
          <w:noProof/>
          <w:color w:val="000000" w:themeColor="text1"/>
          <w:sz w:val="22"/>
          <w:lang w:val="es-ES_tradnl"/>
        </w:rPr>
        <w:t xml:space="preserve">o por lo dispuesto en el artículo </w:t>
      </w:r>
      <w:r w:rsidR="0024357A" w:rsidRPr="0024357A">
        <w:rPr>
          <w:rFonts w:ascii="Arial" w:hAnsi="Arial" w:cs="Arial"/>
          <w:noProof/>
          <w:color w:val="000000" w:themeColor="text1"/>
          <w:sz w:val="22"/>
          <w:lang w:val="es-ES_tradnl"/>
        </w:rPr>
        <w:t>2.2.1.1.1.4.3</w:t>
      </w:r>
      <w:r w:rsidR="0024357A">
        <w:rPr>
          <w:rFonts w:ascii="Arial" w:hAnsi="Arial" w:cs="Arial"/>
          <w:noProof/>
          <w:color w:val="000000" w:themeColor="text1"/>
          <w:sz w:val="22"/>
          <w:lang w:val="es-ES_tradnl"/>
        </w:rPr>
        <w:t xml:space="preserve"> del Decreto 1082 de 2015.  </w:t>
      </w:r>
    </w:p>
    <w:p w14:paraId="32C2EEED" w14:textId="629B7DB2" w:rsidR="00735EB6" w:rsidRPr="00DF0F8E" w:rsidRDefault="00735EB6" w:rsidP="00B004FA">
      <w:pPr>
        <w:spacing w:line="276" w:lineRule="auto"/>
        <w:jc w:val="both"/>
        <w:rPr>
          <w:rFonts w:ascii="Arial" w:eastAsia="Calibri" w:hAnsi="Arial" w:cs="Arial"/>
          <w:sz w:val="22"/>
          <w:lang w:val="es-ES_tradnl"/>
        </w:rPr>
      </w:pPr>
    </w:p>
    <w:p w14:paraId="50ACAD28" w14:textId="5B7066F4" w:rsidR="00305947" w:rsidRPr="0014392D" w:rsidRDefault="00305947" w:rsidP="00E71381">
      <w:pPr>
        <w:spacing w:line="276" w:lineRule="auto"/>
        <w:jc w:val="both"/>
        <w:rPr>
          <w:rFonts w:ascii="Arial" w:eastAsia="Calibri" w:hAnsi="Arial" w:cs="Arial"/>
          <w:b/>
          <w:sz w:val="22"/>
        </w:rPr>
      </w:pPr>
      <w:r w:rsidRPr="0014392D">
        <w:rPr>
          <w:rFonts w:ascii="Arial" w:eastAsia="Calibri" w:hAnsi="Arial" w:cs="Arial"/>
          <w:b/>
          <w:sz w:val="22"/>
        </w:rPr>
        <w:lastRenderedPageBreak/>
        <w:t>3. Respuesta</w:t>
      </w:r>
    </w:p>
    <w:p w14:paraId="552F3E2D" w14:textId="77777777" w:rsidR="00AB177F" w:rsidRDefault="00AB177F" w:rsidP="005B1CFC">
      <w:pPr>
        <w:tabs>
          <w:tab w:val="left" w:pos="426"/>
        </w:tabs>
        <w:jc w:val="both"/>
        <w:rPr>
          <w:rFonts w:ascii="Arial" w:eastAsia="Calibri" w:hAnsi="Arial" w:cs="Arial"/>
          <w:sz w:val="22"/>
        </w:rPr>
      </w:pPr>
    </w:p>
    <w:p w14:paraId="05A69512" w14:textId="771AAB6C" w:rsidR="00AB177F" w:rsidRPr="00AB177F" w:rsidRDefault="00AB177F" w:rsidP="005B1CFC">
      <w:pPr>
        <w:tabs>
          <w:tab w:val="left" w:pos="426"/>
        </w:tabs>
        <w:ind w:left="709" w:right="709"/>
        <w:jc w:val="both"/>
        <w:rPr>
          <w:rFonts w:ascii="Arial" w:eastAsia="Calibri" w:hAnsi="Arial" w:cs="Arial"/>
          <w:sz w:val="21"/>
          <w:szCs w:val="21"/>
        </w:rPr>
      </w:pPr>
      <w:r w:rsidRPr="00AB177F">
        <w:rPr>
          <w:rFonts w:ascii="Arial" w:eastAsia="Calibri" w:hAnsi="Arial" w:cs="Arial"/>
          <w:sz w:val="21"/>
          <w:szCs w:val="21"/>
        </w:rPr>
        <w:t>«Por la emergencia sanitaria, la normatividad de los planes anuales de adquisiciones cambio o continua la obligación de publicarlos. ¿Quién controla y cuál sería la consecuencia de no hacerlo?».</w:t>
      </w:r>
    </w:p>
    <w:p w14:paraId="4E7CC015" w14:textId="3EB63A1E" w:rsidR="00B04EDB" w:rsidRDefault="00B04EDB" w:rsidP="00E71381">
      <w:pPr>
        <w:pStyle w:val="Prrafodelista"/>
        <w:tabs>
          <w:tab w:val="left" w:pos="426"/>
        </w:tabs>
        <w:spacing w:line="276" w:lineRule="auto"/>
        <w:ind w:left="0" w:right="709"/>
        <w:jc w:val="both"/>
        <w:rPr>
          <w:rFonts w:ascii="Arial" w:eastAsia="Calibri" w:hAnsi="Arial" w:cs="Arial"/>
          <w:sz w:val="22"/>
        </w:rPr>
      </w:pPr>
    </w:p>
    <w:p w14:paraId="08F99729" w14:textId="3BA9924F" w:rsidR="006D66A7" w:rsidRDefault="00611EDE" w:rsidP="0071115F">
      <w:pPr>
        <w:pStyle w:val="Prrafodelista"/>
        <w:tabs>
          <w:tab w:val="left" w:pos="426"/>
        </w:tabs>
        <w:spacing w:after="120" w:line="276" w:lineRule="auto"/>
        <w:ind w:left="0"/>
        <w:contextualSpacing w:val="0"/>
        <w:jc w:val="both"/>
        <w:rPr>
          <w:rFonts w:ascii="Arial" w:eastAsia="Calibri" w:hAnsi="Arial" w:cs="Arial"/>
          <w:color w:val="000000" w:themeColor="text1"/>
          <w:sz w:val="22"/>
        </w:rPr>
      </w:pPr>
      <w:r>
        <w:rPr>
          <w:rFonts w:ascii="Arial" w:eastAsia="Calibri" w:hAnsi="Arial" w:cs="Arial"/>
          <w:sz w:val="22"/>
        </w:rPr>
        <w:tab/>
      </w:r>
      <w:r w:rsidR="00083231">
        <w:rPr>
          <w:rFonts w:ascii="Arial" w:eastAsia="Calibri" w:hAnsi="Arial" w:cs="Arial"/>
          <w:sz w:val="22"/>
        </w:rPr>
        <w:tab/>
      </w:r>
      <w:r w:rsidR="005E55D7">
        <w:rPr>
          <w:rFonts w:ascii="Arial" w:eastAsia="Calibri" w:hAnsi="Arial" w:cs="Arial"/>
          <w:sz w:val="22"/>
        </w:rPr>
        <w:t xml:space="preserve">Conforme a </w:t>
      </w:r>
      <w:r w:rsidR="004F34C0">
        <w:rPr>
          <w:rFonts w:ascii="Arial" w:eastAsia="Calibri" w:hAnsi="Arial" w:cs="Arial"/>
          <w:sz w:val="22"/>
        </w:rPr>
        <w:t>lo expuesto,</w:t>
      </w:r>
      <w:r w:rsidR="00606730">
        <w:rPr>
          <w:rFonts w:ascii="Arial" w:eastAsia="Calibri" w:hAnsi="Arial" w:cs="Arial"/>
          <w:sz w:val="22"/>
        </w:rPr>
        <w:t xml:space="preserve"> </w:t>
      </w:r>
      <w:r w:rsidR="00D11A85">
        <w:rPr>
          <w:rFonts w:ascii="Arial" w:eastAsia="Calibri" w:hAnsi="Arial" w:cs="Arial"/>
          <w:sz w:val="22"/>
        </w:rPr>
        <w:t>l</w:t>
      </w:r>
      <w:r w:rsidR="00606730">
        <w:rPr>
          <w:rFonts w:ascii="Arial" w:eastAsia="Calibri" w:hAnsi="Arial" w:cs="Arial"/>
          <w:sz w:val="22"/>
        </w:rPr>
        <w:t>os</w:t>
      </w:r>
      <w:r w:rsidR="00621149">
        <w:rPr>
          <w:rFonts w:ascii="Arial" w:eastAsia="Calibri" w:hAnsi="Arial" w:cs="Arial"/>
          <w:sz w:val="22"/>
        </w:rPr>
        <w:t xml:space="preserve"> artículo</w:t>
      </w:r>
      <w:r w:rsidR="00606730">
        <w:rPr>
          <w:rFonts w:ascii="Arial" w:eastAsia="Calibri" w:hAnsi="Arial" w:cs="Arial"/>
          <w:sz w:val="22"/>
        </w:rPr>
        <w:t xml:space="preserve">s </w:t>
      </w:r>
      <w:r w:rsidR="00606730" w:rsidRPr="00A830DF">
        <w:rPr>
          <w:rFonts w:ascii="Arial" w:eastAsia="Calibri" w:hAnsi="Arial" w:cs="Arial"/>
          <w:color w:val="000000" w:themeColor="text1"/>
          <w:sz w:val="22"/>
        </w:rPr>
        <w:t>2.2.1.1.1.4.1, 2.2.1.1.1.4.3 y 2.2.1.1.1.4.4</w:t>
      </w:r>
      <w:r w:rsidR="00606730">
        <w:rPr>
          <w:rFonts w:ascii="Arial" w:eastAsia="Calibri" w:hAnsi="Arial" w:cs="Arial"/>
          <w:color w:val="000000" w:themeColor="text1"/>
          <w:sz w:val="22"/>
        </w:rPr>
        <w:t xml:space="preserve"> del Decreto 1082 de 2015, establecen las condiciones de expedición, publicación y actualización </w:t>
      </w:r>
      <w:r w:rsidR="006B3A0D">
        <w:rPr>
          <w:rFonts w:ascii="Arial" w:eastAsia="Calibri" w:hAnsi="Arial" w:cs="Arial"/>
          <w:color w:val="000000" w:themeColor="text1"/>
          <w:sz w:val="22"/>
        </w:rPr>
        <w:t>d</w:t>
      </w:r>
      <w:r w:rsidR="00606730">
        <w:rPr>
          <w:rFonts w:ascii="Arial" w:eastAsia="Calibri" w:hAnsi="Arial" w:cs="Arial"/>
          <w:color w:val="000000" w:themeColor="text1"/>
          <w:sz w:val="22"/>
        </w:rPr>
        <w:t xml:space="preserve">el </w:t>
      </w:r>
      <w:r w:rsidR="001C560B">
        <w:rPr>
          <w:rFonts w:ascii="Arial" w:eastAsia="Calibri" w:hAnsi="Arial" w:cs="Arial"/>
          <w:color w:val="000000" w:themeColor="text1"/>
          <w:sz w:val="22"/>
        </w:rPr>
        <w:t>P</w:t>
      </w:r>
      <w:r w:rsidR="00606730">
        <w:rPr>
          <w:rFonts w:ascii="Arial" w:eastAsia="Calibri" w:hAnsi="Arial" w:cs="Arial"/>
          <w:color w:val="000000" w:themeColor="text1"/>
          <w:sz w:val="22"/>
        </w:rPr>
        <w:t xml:space="preserve">lan </w:t>
      </w:r>
      <w:r w:rsidR="001C560B">
        <w:rPr>
          <w:rFonts w:ascii="Arial" w:eastAsia="Calibri" w:hAnsi="Arial" w:cs="Arial"/>
          <w:color w:val="000000" w:themeColor="text1"/>
          <w:sz w:val="22"/>
        </w:rPr>
        <w:t>A</w:t>
      </w:r>
      <w:r w:rsidR="00606730">
        <w:rPr>
          <w:rFonts w:ascii="Arial" w:eastAsia="Calibri" w:hAnsi="Arial" w:cs="Arial"/>
          <w:color w:val="000000" w:themeColor="text1"/>
          <w:sz w:val="22"/>
        </w:rPr>
        <w:t xml:space="preserve">nual de </w:t>
      </w:r>
      <w:r w:rsidR="001C560B">
        <w:rPr>
          <w:rFonts w:ascii="Arial" w:eastAsia="Calibri" w:hAnsi="Arial" w:cs="Arial"/>
          <w:color w:val="000000" w:themeColor="text1"/>
          <w:sz w:val="22"/>
        </w:rPr>
        <w:t>A</w:t>
      </w:r>
      <w:r w:rsidR="00606730">
        <w:rPr>
          <w:rFonts w:ascii="Arial" w:eastAsia="Calibri" w:hAnsi="Arial" w:cs="Arial"/>
          <w:color w:val="000000" w:themeColor="text1"/>
          <w:sz w:val="22"/>
        </w:rPr>
        <w:t>dquisiciones</w:t>
      </w:r>
      <w:r w:rsidR="006D66A7">
        <w:rPr>
          <w:rFonts w:ascii="Arial" w:eastAsia="Calibri" w:hAnsi="Arial" w:cs="Arial"/>
          <w:color w:val="000000" w:themeColor="text1"/>
          <w:sz w:val="22"/>
        </w:rPr>
        <w:t xml:space="preserve">. Particularmente, </w:t>
      </w:r>
      <w:r w:rsidR="006D66A7">
        <w:rPr>
          <w:rFonts w:ascii="Arial" w:eastAsia="Calibri" w:hAnsi="Arial" w:cs="Arial"/>
          <w:sz w:val="22"/>
        </w:rPr>
        <w:t xml:space="preserve">el artículo </w:t>
      </w:r>
      <w:r w:rsidR="006D66A7" w:rsidRPr="00EF3687">
        <w:rPr>
          <w:rFonts w:ascii="Arial" w:eastAsia="Calibri" w:hAnsi="Arial" w:cs="Arial"/>
          <w:sz w:val="22"/>
        </w:rPr>
        <w:t>2.2.1.1.1.4.3</w:t>
      </w:r>
      <w:r w:rsidR="006D66A7">
        <w:rPr>
          <w:rFonts w:ascii="Arial" w:eastAsia="Calibri" w:hAnsi="Arial" w:cs="Arial"/>
          <w:color w:val="000000" w:themeColor="text1"/>
          <w:sz w:val="22"/>
        </w:rPr>
        <w:t xml:space="preserve"> del Decreto 1082 de 2015 establece el deber de las entidades estatales de publicar el Plan Anual de Adquisiciones en</w:t>
      </w:r>
      <w:r w:rsidR="006D66A7" w:rsidRPr="005C27D6">
        <w:rPr>
          <w:rFonts w:ascii="Arial" w:eastAsia="Calibri" w:hAnsi="Arial" w:cs="Arial"/>
          <w:color w:val="000000" w:themeColor="text1"/>
          <w:sz w:val="22"/>
        </w:rPr>
        <w:t xml:space="preserve"> su página web y en el SECOP</w:t>
      </w:r>
      <w:r w:rsidR="009660C9">
        <w:rPr>
          <w:rFonts w:ascii="Arial" w:eastAsia="Calibri" w:hAnsi="Arial" w:cs="Arial"/>
          <w:color w:val="000000" w:themeColor="text1"/>
          <w:sz w:val="22"/>
        </w:rPr>
        <w:t xml:space="preserve">. </w:t>
      </w:r>
    </w:p>
    <w:p w14:paraId="345F6D3D" w14:textId="1DE4A3A5" w:rsidR="006D66A7" w:rsidRDefault="000F0BAE" w:rsidP="0071115F">
      <w:pPr>
        <w:pStyle w:val="Prrafodelista"/>
        <w:tabs>
          <w:tab w:val="left" w:pos="426"/>
        </w:tabs>
        <w:spacing w:after="120" w:line="276" w:lineRule="auto"/>
        <w:ind w:left="0"/>
        <w:contextualSpacing w:val="0"/>
        <w:jc w:val="both"/>
        <w:rPr>
          <w:rFonts w:ascii="Arial" w:eastAsia="Calibri" w:hAnsi="Arial" w:cs="Arial"/>
          <w:color w:val="000000" w:themeColor="text1"/>
          <w:sz w:val="22"/>
        </w:rPr>
      </w:pPr>
      <w:r>
        <w:rPr>
          <w:rFonts w:ascii="Arial" w:eastAsia="Calibri" w:hAnsi="Arial" w:cs="Arial"/>
          <w:color w:val="000000" w:themeColor="text1"/>
          <w:sz w:val="22"/>
        </w:rPr>
        <w:tab/>
      </w:r>
      <w:r>
        <w:rPr>
          <w:rFonts w:ascii="Arial" w:eastAsia="Calibri" w:hAnsi="Arial" w:cs="Arial"/>
          <w:color w:val="000000" w:themeColor="text1"/>
          <w:sz w:val="22"/>
        </w:rPr>
        <w:tab/>
      </w:r>
      <w:r w:rsidR="000942A0">
        <w:rPr>
          <w:rFonts w:ascii="Arial" w:eastAsia="Calibri" w:hAnsi="Arial" w:cs="Arial"/>
          <w:color w:val="000000" w:themeColor="text1"/>
          <w:sz w:val="22"/>
        </w:rPr>
        <w:t>Las disposiciones normativas relativas la contratación pública no atribuyen</w:t>
      </w:r>
      <w:r>
        <w:rPr>
          <w:rFonts w:ascii="Arial" w:eastAsia="Calibri" w:hAnsi="Arial" w:cs="Arial"/>
          <w:color w:val="000000" w:themeColor="text1"/>
          <w:sz w:val="22"/>
        </w:rPr>
        <w:t xml:space="preserve"> control </w:t>
      </w:r>
      <w:r w:rsidR="000942A0">
        <w:rPr>
          <w:rFonts w:ascii="Arial" w:eastAsia="Calibri" w:hAnsi="Arial" w:cs="Arial"/>
          <w:color w:val="000000" w:themeColor="text1"/>
          <w:sz w:val="22"/>
        </w:rPr>
        <w:t>de</w:t>
      </w:r>
      <w:r>
        <w:rPr>
          <w:rFonts w:ascii="Arial" w:eastAsia="Calibri" w:hAnsi="Arial" w:cs="Arial"/>
          <w:color w:val="000000" w:themeColor="text1"/>
          <w:sz w:val="22"/>
        </w:rPr>
        <w:t xml:space="preserve">l cumplimiento de esta obligación a </w:t>
      </w:r>
      <w:r w:rsidR="000942A0">
        <w:rPr>
          <w:rFonts w:ascii="Arial" w:eastAsia="Calibri" w:hAnsi="Arial" w:cs="Arial"/>
          <w:color w:val="000000" w:themeColor="text1"/>
          <w:sz w:val="22"/>
        </w:rPr>
        <w:t>una</w:t>
      </w:r>
      <w:r>
        <w:rPr>
          <w:rFonts w:ascii="Arial" w:eastAsia="Calibri" w:hAnsi="Arial" w:cs="Arial"/>
          <w:color w:val="000000" w:themeColor="text1"/>
          <w:sz w:val="22"/>
        </w:rPr>
        <w:t xml:space="preserve"> autoridad en </w:t>
      </w:r>
      <w:r w:rsidR="000942A0">
        <w:rPr>
          <w:rFonts w:ascii="Arial" w:eastAsia="Calibri" w:hAnsi="Arial" w:cs="Arial"/>
          <w:color w:val="000000" w:themeColor="text1"/>
          <w:sz w:val="22"/>
        </w:rPr>
        <w:t>específico, ni prevén una consecuencia directa de su incumplimiento. No obstante, ello no</w:t>
      </w:r>
      <w:r w:rsidR="00B817A1">
        <w:rPr>
          <w:rFonts w:ascii="Arial" w:eastAsia="Calibri" w:hAnsi="Arial" w:cs="Arial"/>
          <w:color w:val="000000" w:themeColor="text1"/>
          <w:sz w:val="22"/>
        </w:rPr>
        <w:t xml:space="preserve"> desvirtúa el carácter de deber legal de dicha obligación</w:t>
      </w:r>
      <w:r w:rsidR="00213E60">
        <w:rPr>
          <w:rFonts w:ascii="Arial" w:eastAsia="Calibri" w:hAnsi="Arial" w:cs="Arial"/>
          <w:color w:val="000000" w:themeColor="text1"/>
          <w:sz w:val="22"/>
        </w:rPr>
        <w:t>,</w:t>
      </w:r>
      <w:r w:rsidR="009B343E">
        <w:rPr>
          <w:rFonts w:ascii="Arial" w:eastAsia="Calibri" w:hAnsi="Arial" w:cs="Arial"/>
          <w:color w:val="000000" w:themeColor="text1"/>
          <w:sz w:val="22"/>
        </w:rPr>
        <w:t xml:space="preserve"> que podría acarrear para el servidor público responsable de tal publicación </w:t>
      </w:r>
      <w:r w:rsidR="00090BDF">
        <w:rPr>
          <w:rFonts w:ascii="Arial" w:eastAsia="Calibri" w:hAnsi="Arial" w:cs="Arial"/>
          <w:color w:val="000000" w:themeColor="text1"/>
          <w:sz w:val="22"/>
        </w:rPr>
        <w:t xml:space="preserve">las sanciones en sede disciplinaria o de responsabilidad fiscal, cuando las autoridades competentes en dichas materias consideren que hay lugar </w:t>
      </w:r>
      <w:r w:rsidR="00C77958">
        <w:rPr>
          <w:rFonts w:ascii="Arial" w:eastAsia="Calibri" w:hAnsi="Arial" w:cs="Arial"/>
          <w:color w:val="000000" w:themeColor="text1"/>
          <w:sz w:val="22"/>
        </w:rPr>
        <w:t>a ello.</w:t>
      </w:r>
      <w:r w:rsidR="00B817A1">
        <w:rPr>
          <w:rFonts w:ascii="Arial" w:eastAsia="Calibri" w:hAnsi="Arial" w:cs="Arial"/>
          <w:color w:val="000000" w:themeColor="text1"/>
          <w:sz w:val="22"/>
        </w:rPr>
        <w:t xml:space="preserve"> </w:t>
      </w:r>
    </w:p>
    <w:p w14:paraId="44DE6FEF" w14:textId="2F6C70B9" w:rsidR="006B3A0D" w:rsidRDefault="00C77958">
      <w:pPr>
        <w:pStyle w:val="Prrafodelista"/>
        <w:tabs>
          <w:tab w:val="left" w:pos="426"/>
        </w:tabs>
        <w:spacing w:after="120" w:line="276" w:lineRule="auto"/>
        <w:ind w:left="0"/>
        <w:jc w:val="both"/>
        <w:rPr>
          <w:rFonts w:ascii="Arial" w:eastAsia="Calibri" w:hAnsi="Arial" w:cs="Arial"/>
          <w:color w:val="000000" w:themeColor="text1"/>
          <w:sz w:val="22"/>
        </w:rPr>
      </w:pPr>
      <w:r>
        <w:rPr>
          <w:rFonts w:ascii="Arial" w:eastAsia="Calibri" w:hAnsi="Arial" w:cs="Arial"/>
          <w:color w:val="000000" w:themeColor="text1"/>
          <w:sz w:val="22"/>
        </w:rPr>
        <w:tab/>
      </w:r>
      <w:r w:rsidR="00606730">
        <w:rPr>
          <w:rFonts w:ascii="Arial" w:eastAsia="Calibri" w:hAnsi="Arial" w:cs="Arial"/>
          <w:color w:val="000000" w:themeColor="text1"/>
          <w:sz w:val="22"/>
        </w:rPr>
        <w:t xml:space="preserve"> </w:t>
      </w:r>
      <w:r w:rsidR="00644D3C">
        <w:rPr>
          <w:rFonts w:ascii="Arial" w:eastAsia="Calibri" w:hAnsi="Arial" w:cs="Arial"/>
          <w:color w:val="000000" w:themeColor="text1"/>
          <w:sz w:val="22"/>
        </w:rPr>
        <w:tab/>
      </w:r>
      <w:r>
        <w:rPr>
          <w:rFonts w:ascii="Arial" w:eastAsia="Calibri" w:hAnsi="Arial" w:cs="Arial"/>
          <w:color w:val="000000" w:themeColor="text1"/>
          <w:sz w:val="22"/>
        </w:rPr>
        <w:t xml:space="preserve">De otra parte, revisados los distintos decretos expedidos </w:t>
      </w:r>
      <w:r w:rsidR="00606730">
        <w:rPr>
          <w:rFonts w:ascii="Arial" w:eastAsia="Calibri" w:hAnsi="Arial" w:cs="Arial"/>
          <w:color w:val="000000" w:themeColor="text1"/>
          <w:sz w:val="22"/>
        </w:rPr>
        <w:t>con ocasión de la emergencia sanitaria decretada por el Gobierno Nacional,</w:t>
      </w:r>
      <w:r>
        <w:rPr>
          <w:rFonts w:ascii="Arial" w:eastAsia="Calibri" w:hAnsi="Arial" w:cs="Arial"/>
          <w:color w:val="000000" w:themeColor="text1"/>
          <w:sz w:val="22"/>
        </w:rPr>
        <w:t xml:space="preserve"> se advierte que</w:t>
      </w:r>
      <w:r w:rsidR="00606730">
        <w:rPr>
          <w:rFonts w:ascii="Arial" w:eastAsia="Calibri" w:hAnsi="Arial" w:cs="Arial"/>
          <w:color w:val="000000" w:themeColor="text1"/>
          <w:sz w:val="22"/>
        </w:rPr>
        <w:t xml:space="preserve"> la normatividad aplicable a</w:t>
      </w:r>
      <w:r>
        <w:rPr>
          <w:rFonts w:ascii="Arial" w:eastAsia="Calibri" w:hAnsi="Arial" w:cs="Arial"/>
          <w:color w:val="000000" w:themeColor="text1"/>
          <w:sz w:val="22"/>
        </w:rPr>
        <w:t xml:space="preserve"> </w:t>
      </w:r>
      <w:r w:rsidR="00606730">
        <w:rPr>
          <w:rFonts w:ascii="Arial" w:eastAsia="Calibri" w:hAnsi="Arial" w:cs="Arial"/>
          <w:color w:val="000000" w:themeColor="text1"/>
          <w:sz w:val="22"/>
        </w:rPr>
        <w:t>l</w:t>
      </w:r>
      <w:r>
        <w:rPr>
          <w:rFonts w:ascii="Arial" w:eastAsia="Calibri" w:hAnsi="Arial" w:cs="Arial"/>
          <w:color w:val="000000" w:themeColor="text1"/>
          <w:sz w:val="22"/>
        </w:rPr>
        <w:t>a publicidad</w:t>
      </w:r>
      <w:r w:rsidR="00606730">
        <w:rPr>
          <w:rFonts w:ascii="Arial" w:eastAsia="Calibri" w:hAnsi="Arial" w:cs="Arial"/>
          <w:color w:val="000000" w:themeColor="text1"/>
          <w:sz w:val="22"/>
        </w:rPr>
        <w:t xml:space="preserve"> </w:t>
      </w:r>
      <w:r>
        <w:rPr>
          <w:rFonts w:ascii="Arial" w:eastAsia="Calibri" w:hAnsi="Arial" w:cs="Arial"/>
          <w:color w:val="000000" w:themeColor="text1"/>
          <w:sz w:val="22"/>
        </w:rPr>
        <w:t>del P</w:t>
      </w:r>
      <w:r w:rsidR="00606730">
        <w:rPr>
          <w:rFonts w:ascii="Arial" w:eastAsia="Calibri" w:hAnsi="Arial" w:cs="Arial"/>
          <w:color w:val="000000" w:themeColor="text1"/>
          <w:sz w:val="22"/>
        </w:rPr>
        <w:t xml:space="preserve">lan </w:t>
      </w:r>
      <w:r>
        <w:rPr>
          <w:rFonts w:ascii="Arial" w:eastAsia="Calibri" w:hAnsi="Arial" w:cs="Arial"/>
          <w:color w:val="000000" w:themeColor="text1"/>
          <w:sz w:val="22"/>
        </w:rPr>
        <w:t>A</w:t>
      </w:r>
      <w:r w:rsidR="00606730">
        <w:rPr>
          <w:rFonts w:ascii="Arial" w:eastAsia="Calibri" w:hAnsi="Arial" w:cs="Arial"/>
          <w:color w:val="000000" w:themeColor="text1"/>
          <w:sz w:val="22"/>
        </w:rPr>
        <w:t xml:space="preserve">nual de </w:t>
      </w:r>
      <w:r>
        <w:rPr>
          <w:rFonts w:ascii="Arial" w:eastAsia="Calibri" w:hAnsi="Arial" w:cs="Arial"/>
          <w:color w:val="000000" w:themeColor="text1"/>
          <w:sz w:val="22"/>
        </w:rPr>
        <w:t>A</w:t>
      </w:r>
      <w:r w:rsidR="00606730">
        <w:rPr>
          <w:rFonts w:ascii="Arial" w:eastAsia="Calibri" w:hAnsi="Arial" w:cs="Arial"/>
          <w:color w:val="000000" w:themeColor="text1"/>
          <w:sz w:val="22"/>
        </w:rPr>
        <w:t xml:space="preserve">dquisiciones no ha sido modificada. En consecuencia, las entidades estatales tienen el deber legal de elaborar y publicar </w:t>
      </w:r>
      <w:r w:rsidR="006B3A0D">
        <w:rPr>
          <w:rFonts w:ascii="Arial" w:eastAsia="Calibri" w:hAnsi="Arial" w:cs="Arial"/>
          <w:color w:val="000000" w:themeColor="text1"/>
          <w:sz w:val="22"/>
        </w:rPr>
        <w:t>dicho instrumento</w:t>
      </w:r>
      <w:r w:rsidR="00606730">
        <w:rPr>
          <w:rFonts w:ascii="Arial" w:eastAsia="Calibri" w:hAnsi="Arial" w:cs="Arial"/>
          <w:color w:val="000000" w:themeColor="text1"/>
          <w:sz w:val="22"/>
        </w:rPr>
        <w:t xml:space="preserve"> en los términos</w:t>
      </w:r>
      <w:r>
        <w:rPr>
          <w:rFonts w:ascii="Arial" w:eastAsia="Calibri" w:hAnsi="Arial" w:cs="Arial"/>
          <w:color w:val="000000" w:themeColor="text1"/>
          <w:sz w:val="22"/>
        </w:rPr>
        <w:t xml:space="preserve"> de las normas </w:t>
      </w:r>
      <w:r w:rsidR="00AC345B">
        <w:rPr>
          <w:rFonts w:ascii="Arial" w:eastAsia="Calibri" w:hAnsi="Arial" w:cs="Arial"/>
          <w:color w:val="000000" w:themeColor="text1"/>
          <w:sz w:val="22"/>
        </w:rPr>
        <w:t>antes mencionadas.</w:t>
      </w:r>
    </w:p>
    <w:p w14:paraId="7D4AC302" w14:textId="6D076362" w:rsidR="00A60A14" w:rsidRPr="0014392D" w:rsidRDefault="00A60A14" w:rsidP="004B2EF6">
      <w:pPr>
        <w:spacing w:line="276" w:lineRule="auto"/>
        <w:jc w:val="both"/>
        <w:rPr>
          <w:rFonts w:ascii="Arial" w:eastAsia="Calibri" w:hAnsi="Arial" w:cs="Arial"/>
          <w:sz w:val="22"/>
        </w:rPr>
      </w:pPr>
    </w:p>
    <w:p w14:paraId="426B5DCA" w14:textId="3B5623DB" w:rsidR="00214878" w:rsidRPr="0014392D" w:rsidRDefault="00214878" w:rsidP="004B2EF6">
      <w:pPr>
        <w:spacing w:line="276" w:lineRule="auto"/>
        <w:jc w:val="both"/>
        <w:rPr>
          <w:rFonts w:ascii="Arial" w:eastAsia="Calibri" w:hAnsi="Arial" w:cs="Arial"/>
          <w:sz w:val="22"/>
        </w:rPr>
      </w:pPr>
      <w:r w:rsidRPr="0014392D">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14392D" w:rsidRDefault="0002551F" w:rsidP="00E71381">
      <w:pPr>
        <w:spacing w:line="276" w:lineRule="auto"/>
        <w:jc w:val="both"/>
        <w:rPr>
          <w:rFonts w:ascii="Arial" w:eastAsia="Calibri" w:hAnsi="Arial" w:cs="Arial"/>
          <w:sz w:val="22"/>
        </w:rPr>
      </w:pPr>
    </w:p>
    <w:p w14:paraId="2D31E5AC" w14:textId="5789D982" w:rsidR="00214878" w:rsidRPr="0014392D" w:rsidRDefault="00214878" w:rsidP="00E71381">
      <w:pPr>
        <w:spacing w:line="276" w:lineRule="auto"/>
        <w:jc w:val="both"/>
        <w:rPr>
          <w:rFonts w:ascii="Arial" w:eastAsia="Calibri" w:hAnsi="Arial" w:cs="Arial"/>
          <w:sz w:val="22"/>
        </w:rPr>
      </w:pPr>
      <w:r w:rsidRPr="0014392D">
        <w:rPr>
          <w:rFonts w:ascii="Arial" w:hAnsi="Arial" w:cs="Arial"/>
          <w:noProof/>
          <w:sz w:val="22"/>
          <w:lang w:val="es-CO" w:eastAsia="es-CO"/>
        </w:rPr>
        <mc:AlternateContent>
          <mc:Choice Requires="wps">
            <w:drawing>
              <wp:anchor distT="0" distB="0" distL="114300" distR="114300" simplePos="0" relativeHeight="251659264" behindDoc="0" locked="0" layoutInCell="1" allowOverlap="1" wp14:anchorId="09675A18" wp14:editId="5E6A3E3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cx="http://schemas.microsoft.com/office/drawing/2014/chartex">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E265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E44D3B8" w14:textId="220F4930" w:rsidR="00214878" w:rsidRPr="0014392D" w:rsidRDefault="00214878" w:rsidP="00E71381">
      <w:pPr>
        <w:spacing w:line="276" w:lineRule="auto"/>
        <w:rPr>
          <w:rFonts w:ascii="Arial" w:eastAsia="Times New Roman" w:hAnsi="Arial" w:cs="Arial"/>
          <w:sz w:val="22"/>
          <w:lang w:eastAsia="es-CO"/>
        </w:rPr>
      </w:pPr>
      <w:r w:rsidRPr="0014392D">
        <w:rPr>
          <w:rFonts w:ascii="Arial" w:eastAsia="Times New Roman" w:hAnsi="Arial" w:cs="Arial"/>
          <w:sz w:val="22"/>
          <w:lang w:eastAsia="es-CO"/>
        </w:rPr>
        <w:t>Atentamente,</w:t>
      </w:r>
    </w:p>
    <w:p w14:paraId="57FC6667" w14:textId="470124CE" w:rsidR="009C0366" w:rsidRDefault="009C0366" w:rsidP="00D35139">
      <w:pPr>
        <w:spacing w:line="276" w:lineRule="auto"/>
        <w:jc w:val="center"/>
        <w:rPr>
          <w:rFonts w:ascii="Arial" w:hAnsi="Arial" w:cs="Arial"/>
          <w:noProof/>
          <w:lang w:val="en-US"/>
        </w:rPr>
      </w:pPr>
    </w:p>
    <w:p w14:paraId="11EDD957" w14:textId="7525F009" w:rsidR="00083231" w:rsidRDefault="00083231" w:rsidP="00D35139">
      <w:pPr>
        <w:spacing w:line="276" w:lineRule="auto"/>
        <w:jc w:val="center"/>
        <w:rPr>
          <w:rFonts w:ascii="Arial" w:hAnsi="Arial" w:cs="Arial"/>
          <w:noProof/>
          <w:lang w:val="en-US"/>
        </w:rPr>
      </w:pPr>
    </w:p>
    <w:p w14:paraId="4B767C49" w14:textId="1B8ACF78" w:rsidR="00083231" w:rsidRDefault="00083231" w:rsidP="00D35139">
      <w:pPr>
        <w:spacing w:line="276" w:lineRule="auto"/>
        <w:jc w:val="center"/>
        <w:rPr>
          <w:rFonts w:ascii="Arial" w:hAnsi="Arial" w:cs="Arial"/>
          <w:noProof/>
          <w:lang w:val="en-US"/>
        </w:rPr>
      </w:pPr>
    </w:p>
    <w:p w14:paraId="3745E4FE" w14:textId="70D973F5" w:rsidR="00083231" w:rsidRDefault="00F10FF4" w:rsidP="00D35139">
      <w:pPr>
        <w:spacing w:line="276" w:lineRule="auto"/>
        <w:jc w:val="center"/>
        <w:rPr>
          <w:rFonts w:ascii="Arial" w:hAnsi="Arial" w:cs="Arial"/>
          <w:noProof/>
          <w:lang w:val="en-US"/>
        </w:rPr>
      </w:pPr>
      <w:r>
        <w:rPr>
          <w:rFonts w:ascii="Arial" w:hAnsi="Arial" w:cs="Arial"/>
          <w:noProof/>
          <w:lang w:val="es-CO" w:eastAsia="es-CO"/>
        </w:rPr>
        <w:drawing>
          <wp:inline distT="0" distB="0" distL="0" distR="0" wp14:anchorId="61426255" wp14:editId="530FC154">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REPOSITORIO.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25C278BF" w14:textId="309EEDDC" w:rsidR="00083231" w:rsidRDefault="00083231" w:rsidP="00D35139">
      <w:pPr>
        <w:spacing w:line="276" w:lineRule="auto"/>
        <w:jc w:val="center"/>
        <w:rPr>
          <w:rFonts w:ascii="Arial" w:hAnsi="Arial" w:cs="Arial"/>
          <w:noProof/>
          <w:lang w:val="en-US"/>
        </w:rPr>
      </w:pPr>
    </w:p>
    <w:p w14:paraId="5C17ECC8" w14:textId="1CE3A906" w:rsidR="00083231" w:rsidRDefault="00083231" w:rsidP="00D35139">
      <w:pPr>
        <w:spacing w:line="276" w:lineRule="auto"/>
        <w:jc w:val="center"/>
        <w:rPr>
          <w:rFonts w:ascii="Arial" w:hAnsi="Arial" w:cs="Arial"/>
          <w:noProof/>
          <w:lang w:val="en-US"/>
        </w:rPr>
      </w:pPr>
    </w:p>
    <w:p w14:paraId="64D80206" w14:textId="77777777" w:rsidR="00083231" w:rsidRPr="00D35139" w:rsidRDefault="00083231" w:rsidP="00D35139">
      <w:pPr>
        <w:spacing w:line="276" w:lineRule="auto"/>
        <w:jc w:val="center"/>
        <w:rPr>
          <w:rFonts w:ascii="Arial" w:hAnsi="Arial" w:cs="Arial"/>
          <w:noProof/>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6E54A1" w14:paraId="2E979D08" w14:textId="77777777" w:rsidTr="00C968EC">
        <w:trPr>
          <w:trHeight w:val="315"/>
        </w:trPr>
        <w:tc>
          <w:tcPr>
            <w:tcW w:w="812" w:type="dxa"/>
            <w:vAlign w:val="center"/>
          </w:tcPr>
          <w:p w14:paraId="1606F074"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lastRenderedPageBreak/>
              <w:t>Elaboró:</w:t>
            </w:r>
          </w:p>
        </w:tc>
        <w:tc>
          <w:tcPr>
            <w:tcW w:w="4413" w:type="dxa"/>
            <w:tcBorders>
              <w:bottom w:val="dotted" w:sz="4" w:space="0" w:color="7F7F7F" w:themeColor="text1" w:themeTint="80"/>
            </w:tcBorders>
            <w:vAlign w:val="center"/>
          </w:tcPr>
          <w:p w14:paraId="2343580D" w14:textId="7D6B0B75" w:rsidR="00214878" w:rsidRPr="006E54A1" w:rsidRDefault="008D7064"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 xml:space="preserve">Jorge Alberto García Calume </w:t>
            </w:r>
            <w:r w:rsidR="00A60725" w:rsidRPr="006E54A1">
              <w:rPr>
                <w:rFonts w:ascii="Arial" w:eastAsia="Times New Roman" w:hAnsi="Arial" w:cs="Arial"/>
                <w:sz w:val="14"/>
                <w:szCs w:val="14"/>
                <w:lang w:eastAsia="es-ES"/>
              </w:rPr>
              <w:t xml:space="preserve"> </w:t>
            </w:r>
          </w:p>
          <w:p w14:paraId="6995B041" w14:textId="5DBB425B" w:rsidR="00214878" w:rsidRPr="006E54A1" w:rsidRDefault="00A60725" w:rsidP="004B2EF6">
            <w:pPr>
              <w:rPr>
                <w:rFonts w:ascii="Arial" w:eastAsia="Times New Roman" w:hAnsi="Arial" w:cs="Arial"/>
                <w:sz w:val="14"/>
                <w:szCs w:val="14"/>
                <w:lang w:eastAsia="es-ES"/>
              </w:rPr>
            </w:pPr>
            <w:r w:rsidRPr="006E54A1">
              <w:rPr>
                <w:rFonts w:ascii="Arial" w:eastAsia="Times New Roman" w:hAnsi="Arial" w:cs="Arial"/>
                <w:sz w:val="14"/>
                <w:szCs w:val="14"/>
                <w:lang w:eastAsia="es-ES"/>
              </w:rPr>
              <w:t>Contratista</w:t>
            </w:r>
            <w:r w:rsidR="004B2EF6" w:rsidRPr="006E54A1">
              <w:rPr>
                <w:rFonts w:ascii="Arial" w:eastAsia="Times New Roman" w:hAnsi="Arial" w:cs="Arial"/>
                <w:sz w:val="14"/>
                <w:szCs w:val="14"/>
                <w:lang w:eastAsia="es-ES"/>
              </w:rPr>
              <w:t xml:space="preserve"> de la Subdirección de Gestión Contractual </w:t>
            </w:r>
            <w:r w:rsidRPr="006E54A1">
              <w:rPr>
                <w:rFonts w:ascii="Arial" w:eastAsia="Times New Roman" w:hAnsi="Arial" w:cs="Arial"/>
                <w:sz w:val="14"/>
                <w:szCs w:val="14"/>
                <w:lang w:eastAsia="es-ES"/>
              </w:rPr>
              <w:t xml:space="preserve"> </w:t>
            </w:r>
          </w:p>
        </w:tc>
      </w:tr>
      <w:tr w:rsidR="00CA7FEF" w:rsidRPr="006E54A1" w14:paraId="1EFBDAAD" w14:textId="77777777" w:rsidTr="00C968EC">
        <w:trPr>
          <w:trHeight w:val="330"/>
        </w:trPr>
        <w:tc>
          <w:tcPr>
            <w:tcW w:w="812" w:type="dxa"/>
            <w:vAlign w:val="center"/>
          </w:tcPr>
          <w:p w14:paraId="09701992"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766E9A54" w14:textId="580926E6" w:rsidR="0014392D" w:rsidRPr="006E54A1" w:rsidRDefault="004B2EF6" w:rsidP="00DF0F8E">
            <w:pPr>
              <w:rPr>
                <w:rFonts w:ascii="Arial" w:hAnsi="Arial" w:cs="Arial"/>
                <w:sz w:val="14"/>
                <w:szCs w:val="14"/>
                <w:lang w:eastAsia="es-ES"/>
              </w:rPr>
            </w:pPr>
            <w:r w:rsidRPr="006E54A1">
              <w:rPr>
                <w:rFonts w:ascii="Arial" w:hAnsi="Arial" w:cs="Arial"/>
                <w:sz w:val="14"/>
                <w:szCs w:val="14"/>
                <w:lang w:eastAsia="es-ES"/>
              </w:rPr>
              <w:t xml:space="preserve">Alejandro Sarmiento </w:t>
            </w:r>
            <w:r w:rsidR="006E54A1" w:rsidRPr="006E54A1">
              <w:rPr>
                <w:rFonts w:ascii="Arial" w:hAnsi="Arial" w:cs="Arial"/>
                <w:sz w:val="14"/>
                <w:szCs w:val="14"/>
                <w:lang w:eastAsia="es-ES"/>
              </w:rPr>
              <w:t xml:space="preserve">Cantillo </w:t>
            </w:r>
          </w:p>
          <w:p w14:paraId="6B6BBB43" w14:textId="0283B2E3"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Gestor T1-15 de la Subdirección de Gestión Contractual</w:t>
            </w:r>
          </w:p>
        </w:tc>
      </w:tr>
      <w:tr w:rsidR="00CA7FEF" w:rsidRPr="006E54A1" w14:paraId="24C3AA5B" w14:textId="77777777" w:rsidTr="00C968EC">
        <w:trPr>
          <w:trHeight w:val="300"/>
        </w:trPr>
        <w:tc>
          <w:tcPr>
            <w:tcW w:w="812" w:type="dxa"/>
            <w:vAlign w:val="center"/>
          </w:tcPr>
          <w:p w14:paraId="3F00D087" w14:textId="77777777" w:rsidR="00214878" w:rsidRPr="006E54A1" w:rsidRDefault="00214878" w:rsidP="00DF0F8E">
            <w:pPr>
              <w:rPr>
                <w:rFonts w:ascii="Arial" w:eastAsia="Times New Roman" w:hAnsi="Arial" w:cs="Arial"/>
                <w:sz w:val="14"/>
                <w:szCs w:val="14"/>
                <w:lang w:eastAsia="es-ES"/>
              </w:rPr>
            </w:pPr>
            <w:r w:rsidRPr="006E54A1">
              <w:rPr>
                <w:rFonts w:ascii="Arial" w:eastAsia="Times New Roman" w:hAnsi="Arial" w:cs="Arial"/>
                <w:sz w:val="14"/>
                <w:szCs w:val="14"/>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6E54A1" w:rsidRDefault="0014392D" w:rsidP="00DF0F8E">
            <w:pPr>
              <w:rPr>
                <w:rFonts w:ascii="Arial" w:hAnsi="Arial" w:cs="Arial"/>
                <w:sz w:val="14"/>
                <w:szCs w:val="14"/>
                <w:lang w:eastAsia="es-ES"/>
              </w:rPr>
            </w:pPr>
            <w:r w:rsidRPr="006E54A1">
              <w:rPr>
                <w:rFonts w:ascii="Arial" w:hAnsi="Arial" w:cs="Arial"/>
                <w:sz w:val="14"/>
                <w:szCs w:val="14"/>
                <w:lang w:eastAsia="es-ES"/>
              </w:rPr>
              <w:t>Jorge Augusto Tirado Navarro</w:t>
            </w:r>
          </w:p>
          <w:p w14:paraId="1D1409AB" w14:textId="1851530B" w:rsidR="00214878" w:rsidRPr="006E54A1" w:rsidRDefault="0014392D" w:rsidP="00DF0F8E">
            <w:pPr>
              <w:rPr>
                <w:rFonts w:ascii="Arial" w:eastAsia="Times New Roman" w:hAnsi="Arial" w:cs="Arial"/>
                <w:sz w:val="14"/>
                <w:szCs w:val="14"/>
                <w:lang w:eastAsia="es-ES"/>
              </w:rPr>
            </w:pPr>
            <w:r w:rsidRPr="006E54A1">
              <w:rPr>
                <w:rFonts w:ascii="Arial" w:hAnsi="Arial" w:cs="Arial"/>
                <w:sz w:val="14"/>
                <w:szCs w:val="14"/>
                <w:lang w:eastAsia="es-ES"/>
              </w:rPr>
              <w:t>Subdirector de Gestión Contractual ANCP – CCE</w:t>
            </w:r>
          </w:p>
        </w:tc>
      </w:tr>
      <w:bookmarkEnd w:id="2"/>
      <w:bookmarkEnd w:id="3"/>
    </w:tbl>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3"/>
      <w:footerReference w:type="default" r:id="rId14"/>
      <w:pgSz w:w="12240" w:h="15840"/>
      <w:pgMar w:top="1985" w:right="1701" w:bottom="1418" w:left="1701" w:header="340"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B009" w16cex:dateUtc="2021-07-12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6465AC" w16cid:durableId="2496B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B9DEF" w14:textId="77777777" w:rsidR="000D2859" w:rsidRDefault="000D2859">
      <w:r>
        <w:separator/>
      </w:r>
    </w:p>
  </w:endnote>
  <w:endnote w:type="continuationSeparator" w:id="0">
    <w:p w14:paraId="1BEC8724" w14:textId="77777777" w:rsidR="000D2859" w:rsidRDefault="000D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759C" w14:textId="2CF24069"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D5F7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D5F79">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s-CO" w:eastAsia="es-CO"/>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E1AF5" w14:textId="77777777" w:rsidR="000D2859" w:rsidRDefault="000D2859">
      <w:r>
        <w:separator/>
      </w:r>
    </w:p>
  </w:footnote>
  <w:footnote w:type="continuationSeparator" w:id="0">
    <w:p w14:paraId="32069929" w14:textId="77777777" w:rsidR="000D2859" w:rsidRDefault="000D2859">
      <w:r>
        <w:continuationSeparator/>
      </w:r>
    </w:p>
  </w:footnote>
  <w:footnote w:id="1">
    <w:p w14:paraId="76F9E553" w14:textId="32DA60D2" w:rsidR="00EF7DB4" w:rsidRPr="004845D7" w:rsidRDefault="00EF7DB4" w:rsidP="00A94F84">
      <w:pPr>
        <w:pStyle w:val="Textonotapie"/>
        <w:ind w:firstLine="708"/>
        <w:jc w:val="both"/>
        <w:rPr>
          <w:rFonts w:ascii="Arial" w:hAnsi="Arial" w:cs="Arial"/>
          <w:sz w:val="19"/>
          <w:szCs w:val="19"/>
          <w:lang w:val="es-CO"/>
        </w:rPr>
      </w:pPr>
      <w:r w:rsidRPr="004845D7">
        <w:rPr>
          <w:rStyle w:val="Refdenotaalpie"/>
          <w:rFonts w:ascii="Arial" w:hAnsi="Arial" w:cs="Arial"/>
          <w:sz w:val="19"/>
          <w:szCs w:val="19"/>
        </w:rPr>
        <w:footnoteRef/>
      </w:r>
      <w:r w:rsidRPr="004845D7">
        <w:rPr>
          <w:rFonts w:ascii="Arial" w:eastAsia="Calibri" w:hAnsi="Arial" w:cs="Arial"/>
          <w:sz w:val="19"/>
          <w:szCs w:val="19"/>
        </w:rPr>
        <w:t xml:space="preserve"> Agencia Nacional de Contratación Pública </w:t>
      </w:r>
      <w:r w:rsidRPr="004845D7">
        <w:rPr>
          <w:rFonts w:ascii="Arial" w:eastAsia="Calibri" w:hAnsi="Arial" w:cs="Arial"/>
          <w:b/>
          <w:sz w:val="19"/>
          <w:szCs w:val="19"/>
        </w:rPr>
        <w:t>―</w:t>
      </w:r>
      <w:r w:rsidRPr="004845D7">
        <w:rPr>
          <w:rFonts w:ascii="Arial" w:eastAsia="Calibri" w:hAnsi="Arial" w:cs="Arial"/>
          <w:sz w:val="19"/>
          <w:szCs w:val="19"/>
        </w:rPr>
        <w:t>Colombia Compra Eficiente</w:t>
      </w:r>
      <w:r w:rsidRPr="004845D7">
        <w:rPr>
          <w:rFonts w:ascii="Arial" w:hAnsi="Arial" w:cs="Arial"/>
          <w:sz w:val="19"/>
          <w:szCs w:val="19"/>
          <w:lang w:val="es-CO"/>
        </w:rPr>
        <w:t xml:space="preserve"> Guía para elaborar el plan anual de adquisiciones. Página 3. </w:t>
      </w:r>
    </w:p>
  </w:footnote>
  <w:footnote w:id="2">
    <w:p w14:paraId="5864A994" w14:textId="77777777" w:rsidR="00B004FA" w:rsidRPr="004D7944" w:rsidRDefault="00B004FA" w:rsidP="00A45F5D">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28CA6F01" w14:textId="41E61CD2" w:rsidR="00B004FA" w:rsidRPr="004D7944" w:rsidRDefault="004B635E" w:rsidP="00A45F5D">
      <w:pPr>
        <w:pStyle w:val="Textonotapie"/>
        <w:ind w:firstLine="708"/>
        <w:jc w:val="both"/>
        <w:rPr>
          <w:rFonts w:ascii="Arial" w:hAnsi="Arial" w:cs="Arial"/>
          <w:sz w:val="19"/>
          <w:szCs w:val="19"/>
          <w:lang w:val="es-ES"/>
        </w:rPr>
      </w:pPr>
      <w:r w:rsidRPr="004D7944">
        <w:rPr>
          <w:rFonts w:ascii="Arial" w:hAnsi="Arial" w:cs="Arial"/>
          <w:sz w:val="19"/>
          <w:szCs w:val="19"/>
          <w:lang w:val="es-ES"/>
        </w:rPr>
        <w:t>» A</w:t>
      </w:r>
      <w:r w:rsidR="00B004FA" w:rsidRPr="004D7944">
        <w:rPr>
          <w:rFonts w:ascii="Arial" w:hAnsi="Arial" w:cs="Arial"/>
          <w:sz w:val="19"/>
          <w:szCs w:val="19"/>
          <w:lang w:val="es-ES"/>
        </w:rPr>
        <w:t xml:space="preserve"> partir del año siguiente, el Plan de Acción deberá estar acompañado del informe de gestión del año inmediatamente anterior.</w:t>
      </w:r>
    </w:p>
    <w:p w14:paraId="791143D7" w14:textId="7EB0EBA2" w:rsidR="00B004FA" w:rsidRPr="004D7944" w:rsidRDefault="004B635E" w:rsidP="00A45F5D">
      <w:pPr>
        <w:pStyle w:val="Textonotapie"/>
        <w:ind w:firstLine="708"/>
        <w:jc w:val="both"/>
        <w:rPr>
          <w:rFonts w:ascii="Arial" w:hAnsi="Arial" w:cs="Arial"/>
          <w:sz w:val="19"/>
          <w:szCs w:val="19"/>
          <w:lang w:val="es-ES"/>
        </w:rPr>
      </w:pPr>
      <w:r w:rsidRPr="004D7944">
        <w:rPr>
          <w:rFonts w:ascii="Arial" w:hAnsi="Arial" w:cs="Arial"/>
          <w:sz w:val="19"/>
          <w:szCs w:val="19"/>
          <w:lang w:val="es-ES"/>
        </w:rPr>
        <w:t>» Igualmente</w:t>
      </w:r>
      <w:r w:rsidR="00B004FA" w:rsidRPr="004D7944">
        <w:rPr>
          <w:rFonts w:ascii="Arial" w:hAnsi="Arial" w:cs="Arial"/>
          <w:sz w:val="19"/>
          <w:szCs w:val="19"/>
          <w:lang w:val="es-ES"/>
        </w:rPr>
        <w:t xml:space="preserve"> publicarán por dicho medio su presupuesto debidamente desagregado, así como las modificaciones a este o a su desagregación.</w:t>
      </w:r>
      <w:r w:rsidR="00B004FA" w:rsidRPr="004D7944">
        <w:rPr>
          <w:rFonts w:ascii="Arial" w:hAnsi="Arial" w:cs="Arial"/>
          <w:sz w:val="19"/>
          <w:szCs w:val="19"/>
          <w:lang w:val="es-ES"/>
        </w:rPr>
        <w:tab/>
      </w:r>
    </w:p>
    <w:p w14:paraId="26647E13" w14:textId="53F5D639" w:rsidR="00B004FA" w:rsidRPr="004D7944" w:rsidRDefault="004B635E" w:rsidP="00A45F5D">
      <w:pPr>
        <w:pStyle w:val="Textonotapie"/>
        <w:ind w:firstLine="708"/>
        <w:jc w:val="both"/>
        <w:rPr>
          <w:rFonts w:ascii="Arial" w:hAnsi="Arial" w:cs="Arial"/>
          <w:sz w:val="19"/>
          <w:szCs w:val="19"/>
          <w:lang w:val="es-ES"/>
        </w:rPr>
      </w:pPr>
      <w:r w:rsidRPr="00416308">
        <w:rPr>
          <w:rFonts w:ascii="Arial" w:hAnsi="Arial" w:cs="Arial"/>
          <w:sz w:val="19"/>
          <w:szCs w:val="19"/>
          <w:lang w:val="es-ES"/>
        </w:rPr>
        <w:t>» Parágrafo</w:t>
      </w:r>
      <w:r w:rsidR="00B004FA" w:rsidRPr="00416308">
        <w:rPr>
          <w:rFonts w:ascii="Arial" w:hAnsi="Arial" w:cs="Arial"/>
          <w:sz w:val="19"/>
          <w:szCs w:val="19"/>
          <w:lang w:val="es-ES"/>
        </w:rPr>
        <w:t>.</w:t>
      </w:r>
      <w:r w:rsidR="00B004FA"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78457930" w14:textId="77777777" w:rsidR="00B004FA" w:rsidRPr="004D7944" w:rsidRDefault="00B004FA" w:rsidP="00A45F5D">
      <w:pPr>
        <w:pStyle w:val="Textonotapie"/>
        <w:ind w:firstLine="708"/>
        <w:jc w:val="both"/>
        <w:rPr>
          <w:rFonts w:ascii="Arial" w:hAnsi="Arial" w:cs="Arial"/>
          <w:sz w:val="19"/>
          <w:szCs w:val="19"/>
          <w:lang w:val="es-ES"/>
        </w:rPr>
      </w:pPr>
      <w:r w:rsidRPr="004D7944">
        <w:rPr>
          <w:rFonts w:ascii="Arial" w:hAnsi="Arial" w:cs="Arial"/>
          <w:sz w:val="19"/>
          <w:szCs w:val="19"/>
          <w:lang w:val="es-ES"/>
        </w:rPr>
        <w:t xml:space="preserve"> </w:t>
      </w:r>
    </w:p>
  </w:footnote>
  <w:footnote w:id="3">
    <w:p w14:paraId="1C4721EC" w14:textId="77777777" w:rsidR="00B004FA" w:rsidRPr="004D7944" w:rsidRDefault="00B004FA" w:rsidP="00E93373">
      <w:pPr>
        <w:pStyle w:val="Textonotapie"/>
        <w:ind w:firstLine="709"/>
        <w:jc w:val="both"/>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27103D">
        <w:rPr>
          <w:rStyle w:val="Textoennegrita"/>
          <w:rFonts w:ascii="Arial" w:hAnsi="Arial" w:cs="Arial"/>
          <w:b w:val="0"/>
          <w:bCs w:val="0"/>
          <w:color w:val="000000" w:themeColor="text1"/>
          <w:sz w:val="19"/>
          <w:szCs w:val="19"/>
          <w:shd w:val="clear" w:color="auto" w:fill="FFFFFF"/>
        </w:rPr>
        <w:t>Artículo 2.2.1.1.1.3.1.</w:t>
      </w:r>
      <w:r w:rsidRPr="00416308">
        <w:rPr>
          <w:rStyle w:val="Textoennegrita"/>
          <w:rFonts w:ascii="Arial" w:hAnsi="Arial" w:cs="Arial"/>
          <w:color w:val="000000" w:themeColor="text1"/>
          <w:sz w:val="19"/>
          <w:szCs w:val="19"/>
          <w:shd w:val="clear" w:color="auto" w:fill="FFFFFF"/>
        </w:rPr>
        <w:t> </w:t>
      </w:r>
      <w:r w:rsidRPr="00416308">
        <w:rPr>
          <w:rStyle w:val="nfasis"/>
          <w:rFonts w:ascii="Arial" w:hAnsi="Arial" w:cs="Arial"/>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6FED1B65" w14:textId="77777777" w:rsidR="00B004FA" w:rsidRPr="004D7944" w:rsidRDefault="00B004FA" w:rsidP="00E93373">
      <w:pPr>
        <w:pStyle w:val="Textonotapie"/>
        <w:ind w:firstLine="709"/>
        <w:jc w:val="both"/>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3325602E" w14:textId="6448A9ED" w:rsidR="00B004FA" w:rsidRPr="004D7944" w:rsidRDefault="00B004FA" w:rsidP="00A94F84">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416308">
        <w:rPr>
          <w:rStyle w:val="nfasis"/>
          <w:rFonts w:ascii="Arial" w:hAnsi="Arial" w:cs="Arial"/>
          <w:color w:val="000000" w:themeColor="text1"/>
          <w:sz w:val="19"/>
          <w:szCs w:val="19"/>
        </w:rPr>
        <w:t>»Plan Anual de Adquisiciones: </w:t>
      </w:r>
      <w:r w:rsidRPr="004D7944">
        <w:rPr>
          <w:rFonts w:ascii="Arial" w:hAnsi="Arial" w:cs="Arial"/>
          <w:color w:val="000000" w:themeColor="text1"/>
          <w:sz w:val="19"/>
          <w:szCs w:val="19"/>
        </w:rPr>
        <w:t>Plan general de compras al que se refiere el </w:t>
      </w:r>
      <w:hyperlink r:id="rId1" w:history="1">
        <w:r w:rsidRPr="004D7944">
          <w:rPr>
            <w:rStyle w:val="Hipervnculo"/>
            <w:rFonts w:ascii="Arial" w:hAnsi="Arial" w:cs="Arial"/>
            <w:color w:val="000000" w:themeColor="text1"/>
            <w:sz w:val="19"/>
            <w:szCs w:val="19"/>
            <w:u w:val="none"/>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footnote>
  <w:footnote w:id="4">
    <w:p w14:paraId="3BE79629" w14:textId="77777777" w:rsidR="00B004FA" w:rsidRPr="00205753" w:rsidRDefault="00B004FA" w:rsidP="00E93373">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3E786761" w14:textId="77777777" w:rsidR="00B004FA" w:rsidRPr="00205753" w:rsidRDefault="00B004FA" w:rsidP="00E93373">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p>
    <w:p w14:paraId="2C22CED4" w14:textId="77777777" w:rsidR="00B004FA" w:rsidRPr="00205753" w:rsidRDefault="00B004FA" w:rsidP="00E93373">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color w:val="000000" w:themeColor="text1"/>
          <w:sz w:val="19"/>
          <w:szCs w:val="19"/>
        </w:rPr>
        <w:t>.</w:t>
      </w:r>
    </w:p>
  </w:footnote>
  <w:footnote w:id="5">
    <w:p w14:paraId="2F2D3130" w14:textId="77777777" w:rsidR="00625D9A" w:rsidRDefault="00625D9A" w:rsidP="00625D9A">
      <w:pPr>
        <w:pStyle w:val="Textonotapie"/>
        <w:ind w:firstLine="708"/>
      </w:pPr>
    </w:p>
    <w:p w14:paraId="0E71D467" w14:textId="7D9CFCEB" w:rsidR="00625D9A" w:rsidRPr="0027103D" w:rsidRDefault="00625D9A" w:rsidP="0027103D">
      <w:pPr>
        <w:pStyle w:val="Textonotapie"/>
        <w:ind w:firstLine="708"/>
        <w:jc w:val="both"/>
        <w:rPr>
          <w:rFonts w:ascii="Arial" w:hAnsi="Arial" w:cs="Arial"/>
          <w:sz w:val="19"/>
          <w:szCs w:val="19"/>
        </w:rPr>
      </w:pPr>
      <w:r w:rsidRPr="0027103D">
        <w:rPr>
          <w:rStyle w:val="Refdenotaalpie"/>
          <w:rFonts w:ascii="Arial" w:hAnsi="Arial" w:cs="Arial"/>
          <w:sz w:val="19"/>
          <w:szCs w:val="19"/>
        </w:rPr>
        <w:footnoteRef/>
      </w:r>
      <w:r w:rsidRPr="0027103D">
        <w:rPr>
          <w:rFonts w:ascii="Arial" w:hAnsi="Arial" w:cs="Arial"/>
          <w:sz w:val="19"/>
          <w:szCs w:val="19"/>
        </w:rPr>
        <w:t xml:space="preserve"> Ley 1712 de 2014: «Artículo 5. Las disposiciones de esta ley serán aplicables a las siguientes personas en calidad de sujetos obligados:</w:t>
      </w:r>
    </w:p>
    <w:p w14:paraId="3FEE295E" w14:textId="0A9FB484" w:rsidR="00625D9A" w:rsidRPr="0027103D" w:rsidRDefault="00625D9A" w:rsidP="0027103D">
      <w:pPr>
        <w:pStyle w:val="Textonotapie"/>
        <w:ind w:firstLine="708"/>
        <w:jc w:val="both"/>
        <w:rPr>
          <w:rFonts w:ascii="Arial" w:hAnsi="Arial" w:cs="Arial"/>
          <w:sz w:val="19"/>
          <w:szCs w:val="19"/>
        </w:rPr>
      </w:pPr>
      <w:r w:rsidRPr="0027103D">
        <w:rPr>
          <w:rFonts w:ascii="Arial" w:hAnsi="Arial"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2EB5CC99" w14:textId="2BDCEA38" w:rsidR="00625D9A" w:rsidRPr="0027103D" w:rsidRDefault="00625D9A" w:rsidP="0027103D">
      <w:pPr>
        <w:pStyle w:val="Textonotapie"/>
        <w:ind w:firstLine="708"/>
        <w:jc w:val="both"/>
        <w:rPr>
          <w:rFonts w:ascii="Arial" w:hAnsi="Arial" w:cs="Arial"/>
          <w:sz w:val="19"/>
          <w:szCs w:val="19"/>
        </w:rPr>
      </w:pPr>
      <w:r w:rsidRPr="0027103D">
        <w:rPr>
          <w:rFonts w:ascii="Arial" w:hAnsi="Arial" w:cs="Arial"/>
          <w:sz w:val="19"/>
          <w:szCs w:val="19"/>
        </w:rPr>
        <w:t>»b) Los órganos, organismos y entidades estatales independientes o autónomos y de control.</w:t>
      </w:r>
    </w:p>
    <w:p w14:paraId="0F76CE12" w14:textId="55123E02" w:rsidR="00625D9A" w:rsidRPr="0027103D" w:rsidRDefault="00625D9A" w:rsidP="0027103D">
      <w:pPr>
        <w:pStyle w:val="Textonotapie"/>
        <w:ind w:firstLine="708"/>
        <w:jc w:val="both"/>
        <w:rPr>
          <w:rFonts w:ascii="Arial" w:hAnsi="Arial" w:cs="Arial"/>
          <w:sz w:val="19"/>
          <w:szCs w:val="19"/>
        </w:rPr>
      </w:pPr>
      <w:r w:rsidRPr="0027103D">
        <w:rPr>
          <w:rFonts w:ascii="Arial" w:hAnsi="Arial" w:cs="Arial"/>
          <w:sz w:val="19"/>
          <w:szCs w:val="19"/>
        </w:rPr>
        <w:t>»c) Las personas naturales y jurídicas, públicas o privadas, que presten función pública, que presten servicios públicos respecto de la información directamente relacionada con la prestación del servicio público.</w:t>
      </w:r>
    </w:p>
    <w:p w14:paraId="5BCC3CC3" w14:textId="37E1C07F" w:rsidR="00625D9A" w:rsidRPr="0027103D" w:rsidRDefault="00625D9A" w:rsidP="0027103D">
      <w:pPr>
        <w:pStyle w:val="Textonotapie"/>
        <w:ind w:firstLine="708"/>
        <w:jc w:val="both"/>
        <w:rPr>
          <w:rFonts w:ascii="Arial" w:hAnsi="Arial" w:cs="Arial"/>
          <w:sz w:val="19"/>
          <w:szCs w:val="19"/>
        </w:rPr>
      </w:pPr>
      <w:r w:rsidRPr="0027103D">
        <w:rPr>
          <w:rFonts w:ascii="Arial" w:hAnsi="Arial" w:cs="Arial"/>
          <w:sz w:val="19"/>
          <w:szCs w:val="19"/>
        </w:rPr>
        <w:t>»d) Cualquier persona natural, jurídica o dependencia de persona jurídica que desempeñe función pública o de autoridad pública, respecto de la información directamente relacionada con el desempeño de su función</w:t>
      </w:r>
    </w:p>
    <w:p w14:paraId="4543F5D5" w14:textId="6AA2A5F2" w:rsidR="00625D9A" w:rsidRPr="0027103D" w:rsidRDefault="00625D9A" w:rsidP="0027103D">
      <w:pPr>
        <w:pStyle w:val="Textonotapie"/>
        <w:ind w:firstLine="708"/>
        <w:jc w:val="both"/>
        <w:rPr>
          <w:rFonts w:ascii="Arial" w:hAnsi="Arial" w:cs="Arial"/>
          <w:sz w:val="19"/>
          <w:szCs w:val="19"/>
        </w:rPr>
      </w:pPr>
      <w:r w:rsidRPr="0027103D">
        <w:rPr>
          <w:rFonts w:ascii="Arial" w:hAnsi="Arial" w:cs="Arial"/>
          <w:sz w:val="19"/>
          <w:szCs w:val="19"/>
        </w:rPr>
        <w:t>»e)  Las empresas públicas creadas por ley, las empresas del Estado y sociedades en que este tenga participación.</w:t>
      </w:r>
    </w:p>
    <w:p w14:paraId="5B3AC2EB" w14:textId="7CC51EA2" w:rsidR="00625D9A" w:rsidRPr="0027103D" w:rsidRDefault="00625D9A" w:rsidP="0027103D">
      <w:pPr>
        <w:pStyle w:val="Textonotapie"/>
        <w:ind w:firstLine="708"/>
        <w:jc w:val="both"/>
        <w:rPr>
          <w:rFonts w:ascii="Arial" w:hAnsi="Arial" w:cs="Arial"/>
          <w:sz w:val="19"/>
          <w:szCs w:val="19"/>
        </w:rPr>
      </w:pPr>
      <w:r w:rsidRPr="0027103D">
        <w:rPr>
          <w:rFonts w:ascii="Arial" w:hAnsi="Arial" w:cs="Arial"/>
          <w:sz w:val="19"/>
          <w:szCs w:val="19"/>
        </w:rPr>
        <w:t>»f) Los partidos o movimientos políticos y los grupos significativos de ciudadanos.</w:t>
      </w:r>
    </w:p>
    <w:p w14:paraId="7854A9B4" w14:textId="3135385F" w:rsidR="00625D9A" w:rsidRPr="0027103D" w:rsidRDefault="00625D9A" w:rsidP="0027103D">
      <w:pPr>
        <w:pStyle w:val="Textonotapie"/>
        <w:ind w:firstLine="708"/>
        <w:jc w:val="both"/>
        <w:rPr>
          <w:rFonts w:ascii="Arial" w:hAnsi="Arial" w:cs="Arial"/>
          <w:sz w:val="19"/>
          <w:szCs w:val="19"/>
        </w:rPr>
      </w:pPr>
      <w:r w:rsidRPr="0027103D">
        <w:rPr>
          <w:rFonts w:ascii="Arial" w:hAnsi="Arial" w:cs="Arial"/>
          <w:sz w:val="19"/>
          <w:szCs w:val="19"/>
        </w:rPr>
        <w:t>»g) Las entidades que administren instituciones parafiscales, fondos o recursos de naturaleza u origen público.</w:t>
      </w:r>
    </w:p>
    <w:p w14:paraId="62FF53A7" w14:textId="61C05061" w:rsidR="00625D9A" w:rsidRPr="0027103D" w:rsidRDefault="00625D9A" w:rsidP="0027103D">
      <w:pPr>
        <w:pStyle w:val="Textonotapie"/>
        <w:ind w:firstLine="708"/>
        <w:jc w:val="both"/>
        <w:rPr>
          <w:rFonts w:ascii="Arial" w:hAnsi="Arial" w:cs="Arial"/>
          <w:sz w:val="19"/>
          <w:szCs w:val="19"/>
        </w:rPr>
      </w:pPr>
      <w:r w:rsidRPr="0027103D">
        <w:rPr>
          <w:rFonts w:ascii="Arial" w:hAnsi="Arial" w:cs="Arial"/>
          <w:sz w:val="19"/>
          <w:szCs w:val="19"/>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63B4DD62" w14:textId="5DFC8531" w:rsidR="00625D9A" w:rsidRPr="0027103D" w:rsidRDefault="00625D9A" w:rsidP="0027103D">
      <w:pPr>
        <w:pStyle w:val="Textonotapie"/>
        <w:ind w:firstLine="708"/>
        <w:jc w:val="both"/>
        <w:rPr>
          <w:rFonts w:ascii="Arial" w:hAnsi="Arial" w:cs="Arial"/>
          <w:sz w:val="19"/>
          <w:szCs w:val="19"/>
        </w:rPr>
      </w:pPr>
      <w:r w:rsidRPr="0027103D">
        <w:rPr>
          <w:rFonts w:ascii="Arial" w:hAnsi="Arial" w:cs="Arial"/>
          <w:sz w:val="19"/>
          <w:szCs w:val="19"/>
        </w:rPr>
        <w:t>»</w:t>
      </w:r>
      <w:r w:rsidRPr="00625D9A">
        <w:rPr>
          <w:rFonts w:ascii="Arial" w:hAnsi="Arial" w:cs="Arial"/>
          <w:sz w:val="19"/>
          <w:szCs w:val="19"/>
        </w:rPr>
        <w:t xml:space="preserve">Parágrafo </w:t>
      </w:r>
      <w:r w:rsidRPr="0027103D">
        <w:rPr>
          <w:rFonts w:ascii="Arial" w:hAnsi="Arial" w:cs="Arial"/>
          <w:sz w:val="19"/>
          <w:szCs w:val="19"/>
        </w:rPr>
        <w:t>1o. No serán sujetos obligados aquellas personas naturales o jurídicas de carácter privado que sean usuarios de información pública».</w:t>
      </w:r>
    </w:p>
    <w:p w14:paraId="67C41893" w14:textId="68EFABBF" w:rsidR="00625D9A" w:rsidRDefault="00625D9A" w:rsidP="00625D9A">
      <w:pPr>
        <w:pStyle w:val="Textonotapie"/>
        <w:ind w:firstLine="708"/>
      </w:pPr>
    </w:p>
    <w:p w14:paraId="4D9CB140" w14:textId="77777777" w:rsidR="00625D9A" w:rsidRPr="0027103D" w:rsidRDefault="00625D9A" w:rsidP="005B1CFC">
      <w:pPr>
        <w:pStyle w:val="Textonotapie"/>
        <w:ind w:firstLine="708"/>
        <w:rPr>
          <w:vanish/>
          <w:lang w:val="es-CO"/>
          <w:specVanish/>
        </w:rPr>
      </w:pPr>
    </w:p>
  </w:footnote>
  <w:footnote w:id="6">
    <w:p w14:paraId="13A7F244" w14:textId="0BCF4188" w:rsidR="0056302E" w:rsidRDefault="00625D9A" w:rsidP="00A94F84">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t xml:space="preserve"> </w:t>
      </w:r>
      <w:r w:rsidR="0056302E" w:rsidRPr="001A2DDF">
        <w:rPr>
          <w:rStyle w:val="Refdenotaalpie"/>
          <w:rFonts w:ascii="Arial" w:hAnsi="Arial" w:cs="Arial"/>
          <w:color w:val="000000" w:themeColor="text1"/>
          <w:sz w:val="19"/>
          <w:szCs w:val="19"/>
        </w:rPr>
        <w:footnoteRef/>
      </w:r>
      <w:r w:rsidR="0056302E" w:rsidRPr="001A2DDF">
        <w:rPr>
          <w:rFonts w:ascii="Arial" w:hAnsi="Arial" w:cs="Arial"/>
          <w:color w:val="000000" w:themeColor="text1"/>
          <w:sz w:val="19"/>
          <w:szCs w:val="19"/>
        </w:rPr>
        <w:t xml:space="preserve"> En sitio web: </w:t>
      </w:r>
      <w:r w:rsidR="000455B5" w:rsidRPr="0008130D">
        <w:rPr>
          <w:rFonts w:ascii="Arial" w:hAnsi="Arial" w:cs="Arial"/>
          <w:color w:val="0E63A8" w:themeColor="text2"/>
          <w:sz w:val="19"/>
          <w:szCs w:val="19"/>
        </w:rPr>
        <w:t>https://www.who.int/es/news-room/detail/16-03-2020-icc-who-joint-statement-an-unprecedented-private-sector-call-to-action-to-tackle-covid-19</w:t>
      </w:r>
      <w:r w:rsidR="00C95BB1">
        <w:rPr>
          <w:rFonts w:ascii="Arial" w:hAnsi="Arial" w:cs="Arial"/>
          <w:color w:val="0E63A8" w:themeColor="text2"/>
          <w:sz w:val="19"/>
          <w:szCs w:val="19"/>
        </w:rPr>
        <w:t>.</w:t>
      </w:r>
    </w:p>
    <w:p w14:paraId="6EDB1B64" w14:textId="77777777" w:rsidR="000455B5" w:rsidRPr="00A94F84" w:rsidRDefault="000455B5" w:rsidP="00A94F84">
      <w:pPr>
        <w:pStyle w:val="Textonotapie"/>
        <w:ind w:firstLine="709"/>
        <w:jc w:val="both"/>
        <w:rPr>
          <w:rFonts w:ascii="Arial" w:hAnsi="Arial" w:cs="Arial"/>
          <w:color w:val="000000" w:themeColor="text1"/>
          <w:sz w:val="19"/>
          <w:szCs w:val="19"/>
        </w:rPr>
      </w:pPr>
    </w:p>
  </w:footnote>
  <w:footnote w:id="7">
    <w:p w14:paraId="2D05C916" w14:textId="04CB3217" w:rsidR="0056302E" w:rsidRPr="0027103D" w:rsidRDefault="0056302E" w:rsidP="0056302E">
      <w:pPr>
        <w:pStyle w:val="Textonotapie"/>
        <w:ind w:firstLine="709"/>
        <w:jc w:val="both"/>
        <w:rPr>
          <w:rFonts w:ascii="Arial" w:hAnsi="Arial" w:cs="Arial"/>
          <w:color w:val="0E63A8" w:themeColor="text2"/>
          <w:sz w:val="19"/>
          <w:szCs w:val="19"/>
          <w:lang w:val="es-ES"/>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w:t>
      </w:r>
      <w:r w:rsidRPr="001A2DDF">
        <w:rPr>
          <w:rFonts w:ascii="Arial" w:hAnsi="Arial" w:cs="Arial"/>
          <w:color w:val="000000" w:themeColor="text1"/>
          <w:sz w:val="19"/>
          <w:szCs w:val="19"/>
          <w:lang w:val="es-ES"/>
        </w:rPr>
        <w:t xml:space="preserve">En sitio web: </w:t>
      </w:r>
      <w:hyperlink r:id="rId2" w:history="1">
        <w:r w:rsidR="00611EDE" w:rsidRPr="0027103D">
          <w:rPr>
            <w:rStyle w:val="Hipervnculo"/>
            <w:rFonts w:ascii="Arial" w:hAnsi="Arial" w:cs="Arial"/>
            <w:color w:val="0E63A8" w:themeColor="text2"/>
            <w:sz w:val="19"/>
            <w:szCs w:val="19"/>
            <w:lang w:val="es-ES"/>
          </w:rPr>
          <w:t>https://www.minsalud.gov.co/Paginas/Colombia-confirma-su-primer-caso-de-COVID-19.aspx</w:t>
        </w:r>
      </w:hyperlink>
      <w:r w:rsidRPr="0027103D">
        <w:rPr>
          <w:rFonts w:ascii="Arial" w:hAnsi="Arial" w:cs="Arial"/>
          <w:color w:val="0E63A8" w:themeColor="text2"/>
          <w:sz w:val="19"/>
          <w:szCs w:val="19"/>
          <w:lang w:val="es-ES"/>
        </w:rPr>
        <w:t>.</w:t>
      </w:r>
    </w:p>
    <w:p w14:paraId="440B9739" w14:textId="77777777" w:rsidR="00611EDE" w:rsidRPr="001A2DDF" w:rsidRDefault="00611EDE" w:rsidP="0056302E">
      <w:pPr>
        <w:pStyle w:val="Textonotapie"/>
        <w:ind w:firstLine="709"/>
        <w:jc w:val="both"/>
        <w:rPr>
          <w:rFonts w:ascii="Arial" w:hAnsi="Arial" w:cs="Arial"/>
          <w:color w:val="000000" w:themeColor="text1"/>
          <w:sz w:val="19"/>
          <w:szCs w:val="19"/>
          <w:lang w:val="es-ES"/>
        </w:rPr>
      </w:pPr>
    </w:p>
  </w:footnote>
  <w:footnote w:id="8">
    <w:p w14:paraId="6839446C" w14:textId="77777777" w:rsidR="0056302E" w:rsidRPr="001A2DDF" w:rsidRDefault="0056302E" w:rsidP="0056302E">
      <w:pPr>
        <w:pStyle w:val="Textonotapie"/>
        <w:ind w:firstLine="709"/>
        <w:jc w:val="both"/>
        <w:rPr>
          <w:rFonts w:ascii="Arial" w:hAnsi="Arial" w:cs="Arial"/>
          <w:color w:val="000000" w:themeColor="text1"/>
          <w:sz w:val="19"/>
          <w:szCs w:val="19"/>
        </w:rPr>
      </w:pPr>
      <w:r w:rsidRPr="001A2DDF">
        <w:rPr>
          <w:rStyle w:val="Refdenotaalpie"/>
          <w:rFonts w:ascii="Arial" w:hAnsi="Arial" w:cs="Arial"/>
          <w:color w:val="000000" w:themeColor="text1"/>
          <w:sz w:val="19"/>
          <w:szCs w:val="19"/>
        </w:rPr>
        <w:footnoteRef/>
      </w:r>
      <w:r w:rsidRPr="001A2DDF">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7802E4B5" w14:textId="77777777" w:rsidR="0056302E" w:rsidRPr="001A2DDF" w:rsidRDefault="0056302E" w:rsidP="0056302E">
      <w:pPr>
        <w:pStyle w:val="Textonotapie"/>
        <w:ind w:firstLine="709"/>
        <w:jc w:val="both"/>
        <w:rPr>
          <w:rFonts w:ascii="Arial" w:hAnsi="Arial" w:cs="Arial"/>
          <w:color w:val="000000" w:themeColor="text1"/>
          <w:sz w:val="19"/>
          <w:szCs w:val="19"/>
        </w:rPr>
      </w:pPr>
      <w:r w:rsidRPr="001A2DDF">
        <w:rPr>
          <w:rFonts w:ascii="Arial" w:hAnsi="Arial" w:cs="Arial"/>
          <w:color w:val="000000" w:themeColor="text1"/>
          <w:sz w:val="19"/>
          <w:szCs w:val="19"/>
        </w:rPr>
        <w:t>[…]».</w:t>
      </w:r>
    </w:p>
    <w:p w14:paraId="220CEF2A" w14:textId="77777777" w:rsidR="0056302E" w:rsidRPr="001A2DDF" w:rsidRDefault="0056302E" w:rsidP="0056302E">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40902" w14:textId="77777777" w:rsidR="003644CA" w:rsidRDefault="003644CA" w:rsidP="00214878">
    <w:pPr>
      <w:pStyle w:val="Encabezado"/>
    </w:pPr>
    <w:r>
      <w:rPr>
        <w:noProof/>
        <w:lang w:val="es-CO" w:eastAsia="es-CO"/>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2773"/>
    <w:rsid w:val="0000537F"/>
    <w:rsid w:val="00007845"/>
    <w:rsid w:val="00015DF9"/>
    <w:rsid w:val="000162C3"/>
    <w:rsid w:val="00016DCE"/>
    <w:rsid w:val="00023000"/>
    <w:rsid w:val="00023BE4"/>
    <w:rsid w:val="00023C87"/>
    <w:rsid w:val="000242AA"/>
    <w:rsid w:val="0002551F"/>
    <w:rsid w:val="0003000D"/>
    <w:rsid w:val="00031FC6"/>
    <w:rsid w:val="00033B21"/>
    <w:rsid w:val="00035210"/>
    <w:rsid w:val="00036204"/>
    <w:rsid w:val="00043688"/>
    <w:rsid w:val="0004523D"/>
    <w:rsid w:val="000455B5"/>
    <w:rsid w:val="00056788"/>
    <w:rsid w:val="00056886"/>
    <w:rsid w:val="00060398"/>
    <w:rsid w:val="00064E2F"/>
    <w:rsid w:val="00065BD4"/>
    <w:rsid w:val="000709B9"/>
    <w:rsid w:val="00074108"/>
    <w:rsid w:val="0008130D"/>
    <w:rsid w:val="00083231"/>
    <w:rsid w:val="00086C1E"/>
    <w:rsid w:val="00090BDF"/>
    <w:rsid w:val="00091F03"/>
    <w:rsid w:val="0009351A"/>
    <w:rsid w:val="000942A0"/>
    <w:rsid w:val="000942EB"/>
    <w:rsid w:val="000950AA"/>
    <w:rsid w:val="000A3D48"/>
    <w:rsid w:val="000A711E"/>
    <w:rsid w:val="000A785D"/>
    <w:rsid w:val="000B103F"/>
    <w:rsid w:val="000B2127"/>
    <w:rsid w:val="000B6AB4"/>
    <w:rsid w:val="000C0959"/>
    <w:rsid w:val="000C19E1"/>
    <w:rsid w:val="000D02B3"/>
    <w:rsid w:val="000D0CE3"/>
    <w:rsid w:val="000D2859"/>
    <w:rsid w:val="000D3A92"/>
    <w:rsid w:val="000D4A92"/>
    <w:rsid w:val="000E1BF2"/>
    <w:rsid w:val="000E4B5C"/>
    <w:rsid w:val="000E699E"/>
    <w:rsid w:val="000E730C"/>
    <w:rsid w:val="000F0BAE"/>
    <w:rsid w:val="000F14E8"/>
    <w:rsid w:val="000F18A6"/>
    <w:rsid w:val="000F5FEF"/>
    <w:rsid w:val="00101D47"/>
    <w:rsid w:val="00103915"/>
    <w:rsid w:val="00110320"/>
    <w:rsid w:val="001103A2"/>
    <w:rsid w:val="00113958"/>
    <w:rsid w:val="001154E8"/>
    <w:rsid w:val="00121CD3"/>
    <w:rsid w:val="00122B23"/>
    <w:rsid w:val="00123889"/>
    <w:rsid w:val="00125924"/>
    <w:rsid w:val="001353DC"/>
    <w:rsid w:val="0013568D"/>
    <w:rsid w:val="0013799F"/>
    <w:rsid w:val="00137BCE"/>
    <w:rsid w:val="00137FFA"/>
    <w:rsid w:val="00141FAC"/>
    <w:rsid w:val="001428A2"/>
    <w:rsid w:val="001434BC"/>
    <w:rsid w:val="001437AF"/>
    <w:rsid w:val="0014392D"/>
    <w:rsid w:val="00143A66"/>
    <w:rsid w:val="00161B7E"/>
    <w:rsid w:val="00166B32"/>
    <w:rsid w:val="00175FDC"/>
    <w:rsid w:val="0018007B"/>
    <w:rsid w:val="001821C5"/>
    <w:rsid w:val="00193EFC"/>
    <w:rsid w:val="001A5B93"/>
    <w:rsid w:val="001A695E"/>
    <w:rsid w:val="001A7009"/>
    <w:rsid w:val="001B493A"/>
    <w:rsid w:val="001C01AC"/>
    <w:rsid w:val="001C47C6"/>
    <w:rsid w:val="001C560B"/>
    <w:rsid w:val="001C67D0"/>
    <w:rsid w:val="001C6B55"/>
    <w:rsid w:val="001E0660"/>
    <w:rsid w:val="001E0B25"/>
    <w:rsid w:val="001E3A55"/>
    <w:rsid w:val="001E62AF"/>
    <w:rsid w:val="001F2A9C"/>
    <w:rsid w:val="001F5CA2"/>
    <w:rsid w:val="002002A3"/>
    <w:rsid w:val="00202F2E"/>
    <w:rsid w:val="0021312A"/>
    <w:rsid w:val="00213765"/>
    <w:rsid w:val="00213E60"/>
    <w:rsid w:val="00214878"/>
    <w:rsid w:val="00220DCB"/>
    <w:rsid w:val="00224AFF"/>
    <w:rsid w:val="00230492"/>
    <w:rsid w:val="00231C01"/>
    <w:rsid w:val="002330A3"/>
    <w:rsid w:val="002346FC"/>
    <w:rsid w:val="00234B84"/>
    <w:rsid w:val="00237377"/>
    <w:rsid w:val="002411E9"/>
    <w:rsid w:val="00242ED7"/>
    <w:rsid w:val="0024357A"/>
    <w:rsid w:val="0024480D"/>
    <w:rsid w:val="002454B3"/>
    <w:rsid w:val="00250EB5"/>
    <w:rsid w:val="00255AFA"/>
    <w:rsid w:val="0026156A"/>
    <w:rsid w:val="0026186C"/>
    <w:rsid w:val="00261A2E"/>
    <w:rsid w:val="002630D9"/>
    <w:rsid w:val="002706B4"/>
    <w:rsid w:val="0027103D"/>
    <w:rsid w:val="0027359F"/>
    <w:rsid w:val="00280995"/>
    <w:rsid w:val="00280E65"/>
    <w:rsid w:val="00286DB6"/>
    <w:rsid w:val="00287A42"/>
    <w:rsid w:val="002918F7"/>
    <w:rsid w:val="002932EB"/>
    <w:rsid w:val="00293C69"/>
    <w:rsid w:val="00294025"/>
    <w:rsid w:val="00294A08"/>
    <w:rsid w:val="002A008E"/>
    <w:rsid w:val="002A36A9"/>
    <w:rsid w:val="002A4D54"/>
    <w:rsid w:val="002B3D4E"/>
    <w:rsid w:val="002C3D5A"/>
    <w:rsid w:val="002C71CA"/>
    <w:rsid w:val="002C7E55"/>
    <w:rsid w:val="002C7E5B"/>
    <w:rsid w:val="002D1AA6"/>
    <w:rsid w:val="002D7A0C"/>
    <w:rsid w:val="002E1753"/>
    <w:rsid w:val="002E6F9C"/>
    <w:rsid w:val="002E7375"/>
    <w:rsid w:val="002E79A9"/>
    <w:rsid w:val="002F2195"/>
    <w:rsid w:val="002F33C3"/>
    <w:rsid w:val="003011A3"/>
    <w:rsid w:val="00302E69"/>
    <w:rsid w:val="00303001"/>
    <w:rsid w:val="003033BA"/>
    <w:rsid w:val="00305947"/>
    <w:rsid w:val="00306259"/>
    <w:rsid w:val="003067C4"/>
    <w:rsid w:val="00313908"/>
    <w:rsid w:val="003159B5"/>
    <w:rsid w:val="00315C98"/>
    <w:rsid w:val="00323084"/>
    <w:rsid w:val="00323E51"/>
    <w:rsid w:val="003321AC"/>
    <w:rsid w:val="0033352A"/>
    <w:rsid w:val="00333DBC"/>
    <w:rsid w:val="00341A74"/>
    <w:rsid w:val="0034680A"/>
    <w:rsid w:val="003471F9"/>
    <w:rsid w:val="00352311"/>
    <w:rsid w:val="0035441E"/>
    <w:rsid w:val="003544BB"/>
    <w:rsid w:val="00356E6F"/>
    <w:rsid w:val="003600DB"/>
    <w:rsid w:val="00363113"/>
    <w:rsid w:val="003644CA"/>
    <w:rsid w:val="003657FD"/>
    <w:rsid w:val="00372B16"/>
    <w:rsid w:val="003751BE"/>
    <w:rsid w:val="00376566"/>
    <w:rsid w:val="00386456"/>
    <w:rsid w:val="00387590"/>
    <w:rsid w:val="00392F03"/>
    <w:rsid w:val="003945B8"/>
    <w:rsid w:val="00395355"/>
    <w:rsid w:val="00395C94"/>
    <w:rsid w:val="003A1AAE"/>
    <w:rsid w:val="003A581E"/>
    <w:rsid w:val="003B0B5A"/>
    <w:rsid w:val="003B4F39"/>
    <w:rsid w:val="003C0C02"/>
    <w:rsid w:val="003C43B0"/>
    <w:rsid w:val="003D14E8"/>
    <w:rsid w:val="003D2AA2"/>
    <w:rsid w:val="003D4BB2"/>
    <w:rsid w:val="003D7DB6"/>
    <w:rsid w:val="003E4ED2"/>
    <w:rsid w:val="003F2F99"/>
    <w:rsid w:val="003F6F8C"/>
    <w:rsid w:val="00400DDE"/>
    <w:rsid w:val="00405662"/>
    <w:rsid w:val="00410870"/>
    <w:rsid w:val="004110F1"/>
    <w:rsid w:val="00414A77"/>
    <w:rsid w:val="00416B88"/>
    <w:rsid w:val="00417402"/>
    <w:rsid w:val="0042489D"/>
    <w:rsid w:val="00425163"/>
    <w:rsid w:val="0043152C"/>
    <w:rsid w:val="00432163"/>
    <w:rsid w:val="00434BC9"/>
    <w:rsid w:val="004422D6"/>
    <w:rsid w:val="00443F10"/>
    <w:rsid w:val="00445F18"/>
    <w:rsid w:val="004513E8"/>
    <w:rsid w:val="00462527"/>
    <w:rsid w:val="00467950"/>
    <w:rsid w:val="00477B6D"/>
    <w:rsid w:val="00483490"/>
    <w:rsid w:val="00487048"/>
    <w:rsid w:val="0048706D"/>
    <w:rsid w:val="00490869"/>
    <w:rsid w:val="0049197E"/>
    <w:rsid w:val="004A34D2"/>
    <w:rsid w:val="004A51B7"/>
    <w:rsid w:val="004B2EF6"/>
    <w:rsid w:val="004B6213"/>
    <w:rsid w:val="004B62BE"/>
    <w:rsid w:val="004B635E"/>
    <w:rsid w:val="004C35C3"/>
    <w:rsid w:val="004C56C4"/>
    <w:rsid w:val="004C64DF"/>
    <w:rsid w:val="004D021E"/>
    <w:rsid w:val="004D2202"/>
    <w:rsid w:val="004D2FE0"/>
    <w:rsid w:val="004D6F1F"/>
    <w:rsid w:val="004E2DEA"/>
    <w:rsid w:val="004E420A"/>
    <w:rsid w:val="004E6117"/>
    <w:rsid w:val="004F1A74"/>
    <w:rsid w:val="004F34C0"/>
    <w:rsid w:val="004F3CEB"/>
    <w:rsid w:val="004F3E22"/>
    <w:rsid w:val="004F4C0F"/>
    <w:rsid w:val="0050193D"/>
    <w:rsid w:val="00501AD2"/>
    <w:rsid w:val="00504B90"/>
    <w:rsid w:val="00507B55"/>
    <w:rsid w:val="0051074C"/>
    <w:rsid w:val="00512714"/>
    <w:rsid w:val="00513AF2"/>
    <w:rsid w:val="0051416A"/>
    <w:rsid w:val="00517832"/>
    <w:rsid w:val="00525AC7"/>
    <w:rsid w:val="00525C51"/>
    <w:rsid w:val="005356EA"/>
    <w:rsid w:val="0053681E"/>
    <w:rsid w:val="0054229C"/>
    <w:rsid w:val="005427CF"/>
    <w:rsid w:val="0054413A"/>
    <w:rsid w:val="00546CA7"/>
    <w:rsid w:val="00550FD8"/>
    <w:rsid w:val="00553EAD"/>
    <w:rsid w:val="005564CA"/>
    <w:rsid w:val="00557C64"/>
    <w:rsid w:val="0056302E"/>
    <w:rsid w:val="005637B5"/>
    <w:rsid w:val="00572EF9"/>
    <w:rsid w:val="005774F2"/>
    <w:rsid w:val="005776D4"/>
    <w:rsid w:val="005909E4"/>
    <w:rsid w:val="005A3893"/>
    <w:rsid w:val="005A4AEC"/>
    <w:rsid w:val="005A7711"/>
    <w:rsid w:val="005B0500"/>
    <w:rsid w:val="005B0CD4"/>
    <w:rsid w:val="005B11C6"/>
    <w:rsid w:val="005B1CFC"/>
    <w:rsid w:val="005B57CE"/>
    <w:rsid w:val="005C27D6"/>
    <w:rsid w:val="005C50CF"/>
    <w:rsid w:val="005C7CDD"/>
    <w:rsid w:val="005D0519"/>
    <w:rsid w:val="005D18A0"/>
    <w:rsid w:val="005D1B45"/>
    <w:rsid w:val="005D25BD"/>
    <w:rsid w:val="005D69B0"/>
    <w:rsid w:val="005D6C98"/>
    <w:rsid w:val="005E27F2"/>
    <w:rsid w:val="005E3FDC"/>
    <w:rsid w:val="005E46CB"/>
    <w:rsid w:val="005E55D7"/>
    <w:rsid w:val="005E5AD9"/>
    <w:rsid w:val="00600AC5"/>
    <w:rsid w:val="006042B9"/>
    <w:rsid w:val="00604F33"/>
    <w:rsid w:val="00606730"/>
    <w:rsid w:val="00611EDE"/>
    <w:rsid w:val="00615A40"/>
    <w:rsid w:val="0062065E"/>
    <w:rsid w:val="00621149"/>
    <w:rsid w:val="0062127A"/>
    <w:rsid w:val="00621E35"/>
    <w:rsid w:val="0062303B"/>
    <w:rsid w:val="00625D9A"/>
    <w:rsid w:val="00636072"/>
    <w:rsid w:val="00642B0D"/>
    <w:rsid w:val="00644299"/>
    <w:rsid w:val="00644D3C"/>
    <w:rsid w:val="00645D51"/>
    <w:rsid w:val="006535D1"/>
    <w:rsid w:val="00654AA6"/>
    <w:rsid w:val="00655371"/>
    <w:rsid w:val="00656629"/>
    <w:rsid w:val="00662A05"/>
    <w:rsid w:val="006735A6"/>
    <w:rsid w:val="006754C6"/>
    <w:rsid w:val="00676EE8"/>
    <w:rsid w:val="00684673"/>
    <w:rsid w:val="00685F97"/>
    <w:rsid w:val="00687EC0"/>
    <w:rsid w:val="00690936"/>
    <w:rsid w:val="00697665"/>
    <w:rsid w:val="006A7FD0"/>
    <w:rsid w:val="006B0278"/>
    <w:rsid w:val="006B3A0D"/>
    <w:rsid w:val="006B6ED7"/>
    <w:rsid w:val="006C0BAA"/>
    <w:rsid w:val="006C1231"/>
    <w:rsid w:val="006C1A51"/>
    <w:rsid w:val="006C68E6"/>
    <w:rsid w:val="006D1878"/>
    <w:rsid w:val="006D32A2"/>
    <w:rsid w:val="006D66A7"/>
    <w:rsid w:val="006D7687"/>
    <w:rsid w:val="006D79C0"/>
    <w:rsid w:val="006E0572"/>
    <w:rsid w:val="006E3A29"/>
    <w:rsid w:val="006E54A1"/>
    <w:rsid w:val="00700D9E"/>
    <w:rsid w:val="00704381"/>
    <w:rsid w:val="00705631"/>
    <w:rsid w:val="0071115F"/>
    <w:rsid w:val="0071707F"/>
    <w:rsid w:val="007262E7"/>
    <w:rsid w:val="00727C3C"/>
    <w:rsid w:val="00734B73"/>
    <w:rsid w:val="00735EB6"/>
    <w:rsid w:val="00735F4B"/>
    <w:rsid w:val="00737DB6"/>
    <w:rsid w:val="007424A8"/>
    <w:rsid w:val="00742DD2"/>
    <w:rsid w:val="00743288"/>
    <w:rsid w:val="00744529"/>
    <w:rsid w:val="007452CF"/>
    <w:rsid w:val="0075010E"/>
    <w:rsid w:val="00751379"/>
    <w:rsid w:val="0075647A"/>
    <w:rsid w:val="00756B38"/>
    <w:rsid w:val="007575ED"/>
    <w:rsid w:val="007609E9"/>
    <w:rsid w:val="007618B2"/>
    <w:rsid w:val="007634AD"/>
    <w:rsid w:val="00764F47"/>
    <w:rsid w:val="00771390"/>
    <w:rsid w:val="0078122E"/>
    <w:rsid w:val="00781AA8"/>
    <w:rsid w:val="0078365A"/>
    <w:rsid w:val="0079134A"/>
    <w:rsid w:val="00795113"/>
    <w:rsid w:val="007A5A1D"/>
    <w:rsid w:val="007A6A34"/>
    <w:rsid w:val="007B0854"/>
    <w:rsid w:val="007D3323"/>
    <w:rsid w:val="007E193F"/>
    <w:rsid w:val="007E24A0"/>
    <w:rsid w:val="007E331A"/>
    <w:rsid w:val="007E5FB3"/>
    <w:rsid w:val="007E6D71"/>
    <w:rsid w:val="007F1C74"/>
    <w:rsid w:val="007F5937"/>
    <w:rsid w:val="007F7255"/>
    <w:rsid w:val="007F72CB"/>
    <w:rsid w:val="00801F73"/>
    <w:rsid w:val="00801F90"/>
    <w:rsid w:val="00802FF0"/>
    <w:rsid w:val="008065A8"/>
    <w:rsid w:val="00810875"/>
    <w:rsid w:val="00811EDD"/>
    <w:rsid w:val="00816B40"/>
    <w:rsid w:val="008229F3"/>
    <w:rsid w:val="00824A6D"/>
    <w:rsid w:val="0083119B"/>
    <w:rsid w:val="00835C7D"/>
    <w:rsid w:val="00836EAB"/>
    <w:rsid w:val="00837C23"/>
    <w:rsid w:val="0085092D"/>
    <w:rsid w:val="00854B8E"/>
    <w:rsid w:val="008615FD"/>
    <w:rsid w:val="00862405"/>
    <w:rsid w:val="00863745"/>
    <w:rsid w:val="008662E2"/>
    <w:rsid w:val="00871A33"/>
    <w:rsid w:val="00874B3D"/>
    <w:rsid w:val="00884F75"/>
    <w:rsid w:val="008865C0"/>
    <w:rsid w:val="0088776A"/>
    <w:rsid w:val="008903AE"/>
    <w:rsid w:val="008941DC"/>
    <w:rsid w:val="00894712"/>
    <w:rsid w:val="00896CE7"/>
    <w:rsid w:val="008A29B2"/>
    <w:rsid w:val="008A56B5"/>
    <w:rsid w:val="008A7BB3"/>
    <w:rsid w:val="008B1764"/>
    <w:rsid w:val="008B79E0"/>
    <w:rsid w:val="008C449B"/>
    <w:rsid w:val="008C5FE5"/>
    <w:rsid w:val="008D170E"/>
    <w:rsid w:val="008D7064"/>
    <w:rsid w:val="008E1C15"/>
    <w:rsid w:val="008E2530"/>
    <w:rsid w:val="008E3555"/>
    <w:rsid w:val="008F06D2"/>
    <w:rsid w:val="008F53F4"/>
    <w:rsid w:val="00900697"/>
    <w:rsid w:val="00901339"/>
    <w:rsid w:val="00902872"/>
    <w:rsid w:val="009047C5"/>
    <w:rsid w:val="00905611"/>
    <w:rsid w:val="009101AA"/>
    <w:rsid w:val="00911BF7"/>
    <w:rsid w:val="00913B77"/>
    <w:rsid w:val="00916DB5"/>
    <w:rsid w:val="00921955"/>
    <w:rsid w:val="009242C9"/>
    <w:rsid w:val="00932ABE"/>
    <w:rsid w:val="00933AF7"/>
    <w:rsid w:val="00935D4A"/>
    <w:rsid w:val="00941B45"/>
    <w:rsid w:val="00941BB1"/>
    <w:rsid w:val="00947945"/>
    <w:rsid w:val="00951524"/>
    <w:rsid w:val="0095385A"/>
    <w:rsid w:val="00954AC6"/>
    <w:rsid w:val="00965006"/>
    <w:rsid w:val="009660C9"/>
    <w:rsid w:val="00966595"/>
    <w:rsid w:val="00971321"/>
    <w:rsid w:val="009769F6"/>
    <w:rsid w:val="00981254"/>
    <w:rsid w:val="009859D4"/>
    <w:rsid w:val="0098629E"/>
    <w:rsid w:val="009A7EAF"/>
    <w:rsid w:val="009B343E"/>
    <w:rsid w:val="009B3E7E"/>
    <w:rsid w:val="009B42A9"/>
    <w:rsid w:val="009C0366"/>
    <w:rsid w:val="009C2375"/>
    <w:rsid w:val="009C50D0"/>
    <w:rsid w:val="009F12D8"/>
    <w:rsid w:val="00A06772"/>
    <w:rsid w:val="00A074BF"/>
    <w:rsid w:val="00A0798E"/>
    <w:rsid w:val="00A12E39"/>
    <w:rsid w:val="00A1500F"/>
    <w:rsid w:val="00A17103"/>
    <w:rsid w:val="00A17228"/>
    <w:rsid w:val="00A23EDF"/>
    <w:rsid w:val="00A241AD"/>
    <w:rsid w:val="00A24322"/>
    <w:rsid w:val="00A24560"/>
    <w:rsid w:val="00A24FCF"/>
    <w:rsid w:val="00A31BC6"/>
    <w:rsid w:val="00A34538"/>
    <w:rsid w:val="00A45F5D"/>
    <w:rsid w:val="00A50EA1"/>
    <w:rsid w:val="00A5472B"/>
    <w:rsid w:val="00A54843"/>
    <w:rsid w:val="00A54FA1"/>
    <w:rsid w:val="00A562DC"/>
    <w:rsid w:val="00A60725"/>
    <w:rsid w:val="00A60A14"/>
    <w:rsid w:val="00A620C8"/>
    <w:rsid w:val="00A64ADC"/>
    <w:rsid w:val="00A67F5B"/>
    <w:rsid w:val="00A737CD"/>
    <w:rsid w:val="00A8084F"/>
    <w:rsid w:val="00A8663D"/>
    <w:rsid w:val="00A94F84"/>
    <w:rsid w:val="00A95A3C"/>
    <w:rsid w:val="00A95E66"/>
    <w:rsid w:val="00AA3584"/>
    <w:rsid w:val="00AA442B"/>
    <w:rsid w:val="00AA6D04"/>
    <w:rsid w:val="00AA707B"/>
    <w:rsid w:val="00AB177F"/>
    <w:rsid w:val="00AB31E7"/>
    <w:rsid w:val="00AB7B09"/>
    <w:rsid w:val="00AC345B"/>
    <w:rsid w:val="00AD0EDA"/>
    <w:rsid w:val="00AD2CDF"/>
    <w:rsid w:val="00AD2E3C"/>
    <w:rsid w:val="00AE3C7C"/>
    <w:rsid w:val="00AF1718"/>
    <w:rsid w:val="00AF2440"/>
    <w:rsid w:val="00AF798A"/>
    <w:rsid w:val="00B004FA"/>
    <w:rsid w:val="00B04EDB"/>
    <w:rsid w:val="00B11CB1"/>
    <w:rsid w:val="00B159A0"/>
    <w:rsid w:val="00B2165B"/>
    <w:rsid w:val="00B22E22"/>
    <w:rsid w:val="00B26B8B"/>
    <w:rsid w:val="00B333CE"/>
    <w:rsid w:val="00B36C98"/>
    <w:rsid w:val="00B524EA"/>
    <w:rsid w:val="00B525CB"/>
    <w:rsid w:val="00B53388"/>
    <w:rsid w:val="00B54897"/>
    <w:rsid w:val="00B56418"/>
    <w:rsid w:val="00B61BDD"/>
    <w:rsid w:val="00B61FD8"/>
    <w:rsid w:val="00B6341B"/>
    <w:rsid w:val="00B63CB2"/>
    <w:rsid w:val="00B65ABA"/>
    <w:rsid w:val="00B74072"/>
    <w:rsid w:val="00B817A1"/>
    <w:rsid w:val="00B851DC"/>
    <w:rsid w:val="00B92E37"/>
    <w:rsid w:val="00B93513"/>
    <w:rsid w:val="00BB2C01"/>
    <w:rsid w:val="00BC1B41"/>
    <w:rsid w:val="00BD0D6C"/>
    <w:rsid w:val="00BD1EF0"/>
    <w:rsid w:val="00BD422F"/>
    <w:rsid w:val="00BD5D8F"/>
    <w:rsid w:val="00BD78FE"/>
    <w:rsid w:val="00BE0EDB"/>
    <w:rsid w:val="00BF1906"/>
    <w:rsid w:val="00BF46F6"/>
    <w:rsid w:val="00BF624E"/>
    <w:rsid w:val="00C00988"/>
    <w:rsid w:val="00C03DC6"/>
    <w:rsid w:val="00C07C55"/>
    <w:rsid w:val="00C17D54"/>
    <w:rsid w:val="00C22B69"/>
    <w:rsid w:val="00C343AD"/>
    <w:rsid w:val="00C34B22"/>
    <w:rsid w:val="00C35F7C"/>
    <w:rsid w:val="00C371A6"/>
    <w:rsid w:val="00C5124A"/>
    <w:rsid w:val="00C5128E"/>
    <w:rsid w:val="00C523AA"/>
    <w:rsid w:val="00C67FE4"/>
    <w:rsid w:val="00C7160E"/>
    <w:rsid w:val="00C762CE"/>
    <w:rsid w:val="00C77958"/>
    <w:rsid w:val="00C8545A"/>
    <w:rsid w:val="00C913C9"/>
    <w:rsid w:val="00C914CD"/>
    <w:rsid w:val="00C91F0D"/>
    <w:rsid w:val="00C93A8A"/>
    <w:rsid w:val="00C93EB1"/>
    <w:rsid w:val="00C95BB1"/>
    <w:rsid w:val="00C968EC"/>
    <w:rsid w:val="00CA3F2F"/>
    <w:rsid w:val="00CA6816"/>
    <w:rsid w:val="00CA7FEF"/>
    <w:rsid w:val="00CB345A"/>
    <w:rsid w:val="00CC00CD"/>
    <w:rsid w:val="00CC1660"/>
    <w:rsid w:val="00CC1C7B"/>
    <w:rsid w:val="00CC7BB6"/>
    <w:rsid w:val="00CC7FF4"/>
    <w:rsid w:val="00CD3ACB"/>
    <w:rsid w:val="00CD5C88"/>
    <w:rsid w:val="00CE14B9"/>
    <w:rsid w:val="00CE1F6E"/>
    <w:rsid w:val="00CE20F7"/>
    <w:rsid w:val="00CE352A"/>
    <w:rsid w:val="00CE675D"/>
    <w:rsid w:val="00CF10C1"/>
    <w:rsid w:val="00CF2489"/>
    <w:rsid w:val="00CF2BDE"/>
    <w:rsid w:val="00CF2E86"/>
    <w:rsid w:val="00CF415E"/>
    <w:rsid w:val="00D10740"/>
    <w:rsid w:val="00D10E69"/>
    <w:rsid w:val="00D117C5"/>
    <w:rsid w:val="00D11A67"/>
    <w:rsid w:val="00D11A85"/>
    <w:rsid w:val="00D1627F"/>
    <w:rsid w:val="00D16E39"/>
    <w:rsid w:val="00D24D78"/>
    <w:rsid w:val="00D2531F"/>
    <w:rsid w:val="00D25BEF"/>
    <w:rsid w:val="00D25C34"/>
    <w:rsid w:val="00D309A0"/>
    <w:rsid w:val="00D35139"/>
    <w:rsid w:val="00D41357"/>
    <w:rsid w:val="00D433FD"/>
    <w:rsid w:val="00D51773"/>
    <w:rsid w:val="00D52F10"/>
    <w:rsid w:val="00D5689F"/>
    <w:rsid w:val="00D72E9D"/>
    <w:rsid w:val="00D73D97"/>
    <w:rsid w:val="00D74CDA"/>
    <w:rsid w:val="00D77683"/>
    <w:rsid w:val="00D802C1"/>
    <w:rsid w:val="00D81907"/>
    <w:rsid w:val="00D82CE5"/>
    <w:rsid w:val="00D84EE3"/>
    <w:rsid w:val="00D8586C"/>
    <w:rsid w:val="00D85C49"/>
    <w:rsid w:val="00DA3351"/>
    <w:rsid w:val="00DA4E96"/>
    <w:rsid w:val="00DA5AB1"/>
    <w:rsid w:val="00DB36AB"/>
    <w:rsid w:val="00DB5578"/>
    <w:rsid w:val="00DC5121"/>
    <w:rsid w:val="00DC62E5"/>
    <w:rsid w:val="00DD07F7"/>
    <w:rsid w:val="00DD20BA"/>
    <w:rsid w:val="00DD312A"/>
    <w:rsid w:val="00DD5F79"/>
    <w:rsid w:val="00DD735D"/>
    <w:rsid w:val="00DE3119"/>
    <w:rsid w:val="00DF02DC"/>
    <w:rsid w:val="00DF0F8E"/>
    <w:rsid w:val="00DF236B"/>
    <w:rsid w:val="00DF248A"/>
    <w:rsid w:val="00DF2D13"/>
    <w:rsid w:val="00E13AB8"/>
    <w:rsid w:val="00E144B9"/>
    <w:rsid w:val="00E16729"/>
    <w:rsid w:val="00E27C85"/>
    <w:rsid w:val="00E33B62"/>
    <w:rsid w:val="00E357DC"/>
    <w:rsid w:val="00E429C9"/>
    <w:rsid w:val="00E44E00"/>
    <w:rsid w:val="00E53964"/>
    <w:rsid w:val="00E57323"/>
    <w:rsid w:val="00E57B05"/>
    <w:rsid w:val="00E602F2"/>
    <w:rsid w:val="00E63AED"/>
    <w:rsid w:val="00E65F49"/>
    <w:rsid w:val="00E6610F"/>
    <w:rsid w:val="00E67ED7"/>
    <w:rsid w:val="00E71381"/>
    <w:rsid w:val="00E7138C"/>
    <w:rsid w:val="00E7595D"/>
    <w:rsid w:val="00E80C82"/>
    <w:rsid w:val="00E93373"/>
    <w:rsid w:val="00E96901"/>
    <w:rsid w:val="00EA4E7D"/>
    <w:rsid w:val="00EA76D7"/>
    <w:rsid w:val="00EC6330"/>
    <w:rsid w:val="00ED3998"/>
    <w:rsid w:val="00ED7FE6"/>
    <w:rsid w:val="00EF3687"/>
    <w:rsid w:val="00EF50AD"/>
    <w:rsid w:val="00EF7874"/>
    <w:rsid w:val="00EF7D7B"/>
    <w:rsid w:val="00EF7DB4"/>
    <w:rsid w:val="00F00113"/>
    <w:rsid w:val="00F01AB0"/>
    <w:rsid w:val="00F01D75"/>
    <w:rsid w:val="00F03745"/>
    <w:rsid w:val="00F03964"/>
    <w:rsid w:val="00F05293"/>
    <w:rsid w:val="00F05E4F"/>
    <w:rsid w:val="00F10FF4"/>
    <w:rsid w:val="00F13A3B"/>
    <w:rsid w:val="00F22044"/>
    <w:rsid w:val="00F25F34"/>
    <w:rsid w:val="00F36A58"/>
    <w:rsid w:val="00F4285A"/>
    <w:rsid w:val="00F444A4"/>
    <w:rsid w:val="00F45FE4"/>
    <w:rsid w:val="00F57426"/>
    <w:rsid w:val="00F617C8"/>
    <w:rsid w:val="00F63E8C"/>
    <w:rsid w:val="00F64252"/>
    <w:rsid w:val="00F70C89"/>
    <w:rsid w:val="00F7402A"/>
    <w:rsid w:val="00F74D1D"/>
    <w:rsid w:val="00F75297"/>
    <w:rsid w:val="00F77524"/>
    <w:rsid w:val="00F82CE2"/>
    <w:rsid w:val="00F83681"/>
    <w:rsid w:val="00F8436F"/>
    <w:rsid w:val="00F84899"/>
    <w:rsid w:val="00F859F0"/>
    <w:rsid w:val="00F9050C"/>
    <w:rsid w:val="00F910A1"/>
    <w:rsid w:val="00F974BA"/>
    <w:rsid w:val="00FA0C11"/>
    <w:rsid w:val="00FA7689"/>
    <w:rsid w:val="00FA7D4C"/>
    <w:rsid w:val="00FB2622"/>
    <w:rsid w:val="00FB289E"/>
    <w:rsid w:val="00FB46F8"/>
    <w:rsid w:val="00FB7733"/>
    <w:rsid w:val="00FC180A"/>
    <w:rsid w:val="00FE141E"/>
    <w:rsid w:val="00FE3005"/>
    <w:rsid w:val="00FF4936"/>
    <w:rsid w:val="00FF4BB8"/>
    <w:rsid w:val="00FF51FE"/>
    <w:rsid w:val="00FF6BBB"/>
    <w:rsid w:val="00FF767D"/>
    <w:rsid w:val="0450ACFB"/>
    <w:rsid w:val="0CC03F29"/>
    <w:rsid w:val="0E1CAE92"/>
    <w:rsid w:val="1126E876"/>
    <w:rsid w:val="13904A2A"/>
    <w:rsid w:val="173A2C18"/>
    <w:rsid w:val="18790C1D"/>
    <w:rsid w:val="1892347A"/>
    <w:rsid w:val="1A0C6CDB"/>
    <w:rsid w:val="1DFC7834"/>
    <w:rsid w:val="23057375"/>
    <w:rsid w:val="27CBFCDF"/>
    <w:rsid w:val="2FDB9056"/>
    <w:rsid w:val="31F59312"/>
    <w:rsid w:val="33C0A758"/>
    <w:rsid w:val="38839815"/>
    <w:rsid w:val="39D2D54E"/>
    <w:rsid w:val="3A203BD3"/>
    <w:rsid w:val="3FBCC6C3"/>
    <w:rsid w:val="48022F36"/>
    <w:rsid w:val="4B9C75D0"/>
    <w:rsid w:val="53E6BFCD"/>
    <w:rsid w:val="69091160"/>
    <w:rsid w:val="6F019916"/>
    <w:rsid w:val="7065A23A"/>
    <w:rsid w:val="70A988E9"/>
    <w:rsid w:val="712165EB"/>
    <w:rsid w:val="753F86FA"/>
    <w:rsid w:val="7ECD40E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611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minsalud.gov.co/Paginas/Colombia-confirma-su-primer-caso-de-COVID-19.aspx" TargetMode="External"/><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3CDC1-22B1-4747-8F2F-27E88C19B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1DEBEB2-C9F4-47DF-A083-1B5269A2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11</Pages>
  <Words>3603</Words>
  <Characters>19820</Characters>
  <Application>Microsoft Office Word</Application>
  <DocSecurity>0</DocSecurity>
  <Lines>165</Lines>
  <Paragraphs>46</Paragraphs>
  <ScaleCrop>false</ScaleCrop>
  <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Cuenta Microsoft</cp:lastModifiedBy>
  <cp:revision>13</cp:revision>
  <dcterms:created xsi:type="dcterms:W3CDTF">2021-07-13T14:01:00Z</dcterms:created>
  <dcterms:modified xsi:type="dcterms:W3CDTF">2021-07-30T20:07:00Z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