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E4C3" w14:textId="072A9CE0" w:rsidR="00DA4E96" w:rsidRDefault="00214878" w:rsidP="002106C7">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08D0F62D" w14:textId="02E324D1" w:rsidR="002106C7" w:rsidRDefault="002106C7" w:rsidP="004B5A38">
      <w:pPr>
        <w:rPr>
          <w:rFonts w:ascii="Arial" w:hAnsi="Arial" w:cs="Arial"/>
          <w:b/>
          <w:sz w:val="22"/>
          <w:lang w:eastAsia="es-ES"/>
        </w:rPr>
      </w:pPr>
      <w:r>
        <w:rPr>
          <w:rFonts w:ascii="Arial" w:hAnsi="Arial" w:cs="Arial"/>
          <w:b/>
          <w:sz w:val="22"/>
          <w:lang w:eastAsia="es-ES"/>
        </w:rPr>
        <w:t xml:space="preserve">CONTRATOS Y/O CONVENIOS INTERADMINISTRATIVOS </w:t>
      </w:r>
      <w:r w:rsidR="004B5A38">
        <w:rPr>
          <w:rFonts w:ascii="Arial" w:hAnsi="Arial" w:cs="Arial"/>
          <w:b/>
          <w:sz w:val="22"/>
          <w:lang w:eastAsia="es-ES"/>
        </w:rPr>
        <w:t>– Definición – Naturaleza jurídica</w:t>
      </w:r>
    </w:p>
    <w:p w14:paraId="1C002A39" w14:textId="015849F8" w:rsidR="004B5A38" w:rsidRDefault="004B5A38" w:rsidP="004B5A38">
      <w:pPr>
        <w:rPr>
          <w:rFonts w:ascii="Arial" w:hAnsi="Arial" w:cs="Arial"/>
          <w:b/>
          <w:sz w:val="22"/>
          <w:lang w:eastAsia="es-ES"/>
        </w:rPr>
      </w:pPr>
    </w:p>
    <w:p w14:paraId="774DDBA0" w14:textId="03EE977A" w:rsidR="443F4D73" w:rsidRPr="007D6C9E" w:rsidRDefault="004B5A38" w:rsidP="443F4D73">
      <w:pPr>
        <w:pStyle w:val="Textoindependiente"/>
        <w:spacing w:after="0" w:line="240" w:lineRule="auto"/>
        <w:rPr>
          <w:sz w:val="20"/>
          <w:szCs w:val="20"/>
        </w:rPr>
      </w:pPr>
      <w:r w:rsidRPr="443F4D73">
        <w:rPr>
          <w:sz w:val="20"/>
          <w:szCs w:val="20"/>
        </w:rPr>
        <w:t xml:space="preserve">[...] </w:t>
      </w:r>
      <w:r w:rsidR="00DA740E" w:rsidRPr="443F4D73">
        <w:rPr>
          <w:sz w:val="20"/>
          <w:szCs w:val="20"/>
        </w:rPr>
        <w:t>el contrato o convenio interadministrativo es aquel acuerdo en el que concurre la voluntad de dos o más personas jurídicas de derecho público con el objetivo de cumplir, en el marco de sus objetivos misionales y sus competencias, con los fines del Estado. Es decir, los contratos o convenios interadministrativos a los que hace referencia la Ley 80 de 1993 deben ser identificados a partir de un criterio orgánico, en el que lo relevante es que los extremos de la relación contractual sean entidades estatales.</w:t>
      </w:r>
    </w:p>
    <w:p w14:paraId="5212C025" w14:textId="358D88FB" w:rsidR="004B5A38" w:rsidRDefault="00DA740E" w:rsidP="443F4D73">
      <w:pPr>
        <w:pStyle w:val="Textoindependiente"/>
        <w:spacing w:after="0" w:line="240" w:lineRule="auto"/>
        <w:rPr>
          <w:sz w:val="20"/>
          <w:szCs w:val="20"/>
        </w:rPr>
      </w:pPr>
      <w:r w:rsidRPr="00DA740E">
        <w:rPr>
          <w:sz w:val="20"/>
          <w:szCs w:val="20"/>
        </w:rPr>
        <w:t>Por ello, si bien los contratos o convenios interadministrativos tienen desarrollo en el Estatuto General de Contratación de la Administración Pública, no quiere decir que solo puedan celebrarse entre entidades estatales que apliquen el régimen de contratación allí previsto, pues bien puede una entidad estatal regida por la Ley 80 de 1993 celebrar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w:t>
      </w:r>
      <w:r w:rsidRPr="00DA740E">
        <w:rPr>
          <w:spacing w:val="-11"/>
          <w:sz w:val="20"/>
          <w:szCs w:val="20"/>
        </w:rPr>
        <w:t xml:space="preserve"> </w:t>
      </w:r>
      <w:r w:rsidRPr="00DA740E">
        <w:rPr>
          <w:sz w:val="20"/>
          <w:szCs w:val="20"/>
        </w:rPr>
        <w:t>privado</w:t>
      </w:r>
      <w:r>
        <w:rPr>
          <w:sz w:val="20"/>
          <w:szCs w:val="20"/>
        </w:rPr>
        <w:t xml:space="preserve">. </w:t>
      </w:r>
    </w:p>
    <w:p w14:paraId="11CCC507" w14:textId="77777777" w:rsidR="00DA740E" w:rsidRPr="00DA740E" w:rsidRDefault="00DA740E" w:rsidP="00DA740E">
      <w:pPr>
        <w:pStyle w:val="Textoindependiente"/>
        <w:spacing w:after="0" w:line="240" w:lineRule="auto"/>
        <w:rPr>
          <w:b/>
          <w:sz w:val="20"/>
          <w:szCs w:val="20"/>
        </w:rPr>
      </w:pPr>
    </w:p>
    <w:p w14:paraId="29ABB64B" w14:textId="387CCC84" w:rsidR="00866AEB" w:rsidRDefault="004B5A38" w:rsidP="443F4D73">
      <w:pPr>
        <w:pStyle w:val="Default"/>
        <w:spacing w:line="276" w:lineRule="auto"/>
        <w:jc w:val="both"/>
        <w:rPr>
          <w:b/>
          <w:bCs/>
          <w:sz w:val="22"/>
          <w:szCs w:val="22"/>
        </w:rPr>
      </w:pPr>
      <w:r w:rsidRPr="443F4D73">
        <w:rPr>
          <w:b/>
          <w:bCs/>
          <w:sz w:val="22"/>
          <w:szCs w:val="22"/>
        </w:rPr>
        <w:t>LEY DE GARANT</w:t>
      </w:r>
      <w:r w:rsidR="1F708C90" w:rsidRPr="443F4D73">
        <w:rPr>
          <w:b/>
          <w:bCs/>
          <w:sz w:val="22"/>
          <w:szCs w:val="22"/>
        </w:rPr>
        <w:t>Í</w:t>
      </w:r>
      <w:r w:rsidRPr="443F4D73">
        <w:rPr>
          <w:b/>
          <w:bCs/>
          <w:sz w:val="22"/>
          <w:szCs w:val="22"/>
        </w:rPr>
        <w:t>AS ELECTORALES – Definición – Finalidad</w:t>
      </w:r>
    </w:p>
    <w:p w14:paraId="5556BE32" w14:textId="77777777" w:rsidR="00AB3864" w:rsidRPr="004B5A38" w:rsidRDefault="00AB3864" w:rsidP="00AB3864">
      <w:pPr>
        <w:pStyle w:val="Default"/>
        <w:spacing w:line="276" w:lineRule="auto"/>
        <w:jc w:val="both"/>
        <w:rPr>
          <w:b/>
          <w:sz w:val="22"/>
          <w:szCs w:val="22"/>
        </w:rPr>
      </w:pPr>
    </w:p>
    <w:p w14:paraId="20E5D2D0" w14:textId="49728C66" w:rsidR="00866AEB" w:rsidRPr="00DA740E" w:rsidRDefault="004B5A38" w:rsidP="00DA740E">
      <w:pPr>
        <w:pStyle w:val="Default"/>
        <w:jc w:val="both"/>
        <w:rPr>
          <w:color w:val="auto"/>
          <w:sz w:val="20"/>
          <w:szCs w:val="20"/>
          <w:lang w:val="es-MX"/>
        </w:rPr>
      </w:pPr>
      <w:r>
        <w:rPr>
          <w:color w:val="auto"/>
          <w:sz w:val="20"/>
          <w:szCs w:val="20"/>
          <w:lang w:val="es-MX"/>
        </w:rPr>
        <w:t xml:space="preserve">[…] </w:t>
      </w:r>
      <w:r w:rsidR="00DA740E" w:rsidRPr="00DA740E">
        <w:rPr>
          <w:rFonts w:eastAsia="Times New Roman"/>
          <w:bCs/>
          <w:sz w:val="20"/>
          <w:szCs w:val="20"/>
          <w:lang w:eastAsia="es-CO"/>
        </w:rPr>
        <w:t>la Ley 996 de 2005 se suma al andamiaje de orden constitucional y legal que se ocupado de evitar la injerencia inadecuada de intereses particulares en el ejercicio de la función pública. Respecto a la finalidad de esta ley, en la Gaceta del Congreso de la República No. 71 del 2005 se observa que tuvo como propósito evitar cualquier tipo de arbitrariedad, de ventaja injustificada, de uso irregular de los recursos del Estado en las campañas o falta de garantías en la elección presidencial, introduciendo en el ordenamiento jurídico limitaciones, bajo ciertos requisitos, para realizar nombramientos, postulaciones, contrataciones o cualquier otro tipo de actividad que implique destinación de recursos públicos bajo el devenir propio de las entidades estatales.</w:t>
      </w:r>
    </w:p>
    <w:p w14:paraId="0F8E356D" w14:textId="77777777" w:rsidR="00AB3864" w:rsidRDefault="00AB3864" w:rsidP="00AB3864">
      <w:pPr>
        <w:pStyle w:val="Default"/>
        <w:jc w:val="both"/>
        <w:rPr>
          <w:color w:val="auto"/>
          <w:sz w:val="20"/>
          <w:szCs w:val="20"/>
          <w:lang w:val="es-MX"/>
        </w:rPr>
      </w:pPr>
    </w:p>
    <w:p w14:paraId="36FCDE80" w14:textId="1827CA5C" w:rsidR="00754451" w:rsidRDefault="00754451" w:rsidP="443F4D73">
      <w:pPr>
        <w:pStyle w:val="Default"/>
        <w:spacing w:line="276" w:lineRule="auto"/>
        <w:jc w:val="both"/>
        <w:rPr>
          <w:b/>
          <w:bCs/>
          <w:sz w:val="22"/>
          <w:szCs w:val="22"/>
        </w:rPr>
      </w:pPr>
      <w:r w:rsidRPr="443F4D73">
        <w:rPr>
          <w:b/>
          <w:bCs/>
          <w:color w:val="auto"/>
          <w:sz w:val="22"/>
          <w:szCs w:val="22"/>
          <w:lang w:val="es-MX"/>
        </w:rPr>
        <w:t>LEY DE GARANT</w:t>
      </w:r>
      <w:r w:rsidR="0D452DA8" w:rsidRPr="443F4D73">
        <w:rPr>
          <w:b/>
          <w:bCs/>
          <w:color w:val="auto"/>
          <w:sz w:val="22"/>
          <w:szCs w:val="22"/>
          <w:lang w:val="es-MX"/>
        </w:rPr>
        <w:t>Í</w:t>
      </w:r>
      <w:r w:rsidRPr="443F4D73">
        <w:rPr>
          <w:b/>
          <w:bCs/>
          <w:color w:val="auto"/>
          <w:sz w:val="22"/>
          <w:szCs w:val="22"/>
          <w:lang w:val="es-MX"/>
        </w:rPr>
        <w:t xml:space="preserve">AS ELECTORALES </w:t>
      </w:r>
      <w:r w:rsidR="00523611">
        <w:rPr>
          <w:b/>
          <w:bCs/>
          <w:color w:val="auto"/>
          <w:sz w:val="22"/>
          <w:szCs w:val="22"/>
          <w:lang w:val="es-MX"/>
        </w:rPr>
        <w:t>– Ley 996</w:t>
      </w:r>
      <w:r w:rsidR="008369AB" w:rsidRPr="443F4D73">
        <w:rPr>
          <w:b/>
          <w:bCs/>
          <w:color w:val="auto"/>
          <w:sz w:val="22"/>
          <w:szCs w:val="22"/>
          <w:lang w:val="es-MX"/>
        </w:rPr>
        <w:t xml:space="preserve"> de 2005 – </w:t>
      </w:r>
      <w:r w:rsidR="001C7CB3">
        <w:rPr>
          <w:b/>
          <w:bCs/>
          <w:color w:val="auto"/>
          <w:sz w:val="22"/>
          <w:szCs w:val="22"/>
          <w:lang w:val="es-MX"/>
        </w:rPr>
        <w:t>Parágrafo a</w:t>
      </w:r>
      <w:proofErr w:type="spellStart"/>
      <w:r w:rsidRPr="443F4D73">
        <w:rPr>
          <w:b/>
          <w:bCs/>
          <w:sz w:val="22"/>
          <w:szCs w:val="22"/>
        </w:rPr>
        <w:t>rtículo</w:t>
      </w:r>
      <w:proofErr w:type="spellEnd"/>
      <w:r w:rsidRPr="443F4D73">
        <w:rPr>
          <w:b/>
          <w:bCs/>
          <w:sz w:val="22"/>
          <w:szCs w:val="22"/>
        </w:rPr>
        <w:t xml:space="preserve"> 38 </w:t>
      </w:r>
      <w:r w:rsidR="008369AB" w:rsidRPr="443F4D73">
        <w:rPr>
          <w:b/>
          <w:bCs/>
          <w:sz w:val="22"/>
          <w:szCs w:val="22"/>
        </w:rPr>
        <w:t xml:space="preserve">– </w:t>
      </w:r>
      <w:r w:rsidR="086946E7" w:rsidRPr="443F4D73">
        <w:rPr>
          <w:b/>
          <w:bCs/>
          <w:sz w:val="22"/>
          <w:szCs w:val="22"/>
        </w:rPr>
        <w:t>P</w:t>
      </w:r>
      <w:r w:rsidR="008369AB" w:rsidRPr="443F4D73">
        <w:rPr>
          <w:b/>
          <w:bCs/>
          <w:sz w:val="22"/>
          <w:szCs w:val="22"/>
        </w:rPr>
        <w:t>rohibición</w:t>
      </w:r>
    </w:p>
    <w:p w14:paraId="24B0567A" w14:textId="77777777" w:rsidR="00AB3864" w:rsidRPr="00754451" w:rsidRDefault="00AB3864" w:rsidP="00AB3864">
      <w:pPr>
        <w:pStyle w:val="Default"/>
        <w:spacing w:line="276" w:lineRule="auto"/>
        <w:jc w:val="both"/>
        <w:rPr>
          <w:b/>
          <w:color w:val="auto"/>
          <w:sz w:val="22"/>
          <w:szCs w:val="22"/>
          <w:lang w:val="es-MX"/>
        </w:rPr>
      </w:pPr>
    </w:p>
    <w:p w14:paraId="10CE7D16" w14:textId="4472B629" w:rsidR="00A37819" w:rsidRPr="00A37819" w:rsidRDefault="005C275C" w:rsidP="007D6C9E">
      <w:pPr>
        <w:pStyle w:val="Textoindependiente"/>
        <w:spacing w:after="0" w:line="240" w:lineRule="auto"/>
        <w:rPr>
          <w:sz w:val="20"/>
          <w:szCs w:val="20"/>
        </w:rPr>
      </w:pPr>
      <w:r w:rsidRPr="00A37819">
        <w:rPr>
          <w:sz w:val="20"/>
          <w:szCs w:val="20"/>
          <w:lang w:val="es-MX"/>
        </w:rPr>
        <w:t xml:space="preserve">[…] </w:t>
      </w:r>
      <w:r w:rsidR="00A37819" w:rsidRPr="00A37819">
        <w:rPr>
          <w:sz w:val="20"/>
          <w:szCs w:val="20"/>
        </w:rPr>
        <w:t xml:space="preserve">lo dispuesto por los artículos 32 y 33 de la Ley 996 de 2005 es aplicable exclusivamente para el período de 4 meses anteriores a las elecciones presidenciales, mientras que lo dispuesto por el artículo 38 es aplicable a todo tipo de elecciones – incluyendo las presidenciales–. En otras palabras, por ejemplo, para las elecciones territoriales, esto es, las que se celebran para elegir autoridades </w:t>
      </w:r>
      <w:bookmarkStart w:id="4" w:name="_GoBack"/>
      <w:r w:rsidR="00A37819" w:rsidRPr="00A37819">
        <w:rPr>
          <w:sz w:val="20"/>
          <w:szCs w:val="20"/>
        </w:rPr>
        <w:t>locales: alcaldes, gobernadores, diputados, concejales y miembros de las juntas administradoras locales, la prohibición en cuanto a la contratación pública aplicable es la contenida en el parágrafo del artículo 38 y no las de los artículos 32 y 33 de la Ley de Garantías Electorales.</w:t>
      </w:r>
    </w:p>
    <w:p w14:paraId="5CA17115" w14:textId="77777777" w:rsidR="00A37819" w:rsidRPr="00A37819" w:rsidRDefault="00A37819" w:rsidP="007D6C9E">
      <w:pPr>
        <w:pStyle w:val="Textoindependiente"/>
        <w:spacing w:after="0" w:line="240" w:lineRule="auto"/>
        <w:rPr>
          <w:sz w:val="20"/>
          <w:szCs w:val="20"/>
        </w:rPr>
      </w:pPr>
      <w:r w:rsidRPr="00A37819">
        <w:rPr>
          <w:sz w:val="20"/>
          <w:szCs w:val="20"/>
        </w:rPr>
        <w:t xml:space="preserve">De manera que, en el período previo a los comicios electorales del año 2022, también aplica la prohibición en materia de contratación pública establecida en el parágrafo del artículo 38 respecto a la celebración </w:t>
      </w:r>
      <w:bookmarkEnd w:id="4"/>
      <w:r w:rsidRPr="00A37819">
        <w:rPr>
          <w:sz w:val="20"/>
          <w:szCs w:val="20"/>
        </w:rPr>
        <w:t>de convenios o contratos interadministrativos para la ejecución de recursos públicos, por parte de los Departamentos,</w:t>
      </w:r>
      <w:r w:rsidRPr="00A37819">
        <w:rPr>
          <w:spacing w:val="11"/>
          <w:sz w:val="20"/>
          <w:szCs w:val="20"/>
        </w:rPr>
        <w:t xml:space="preserve"> </w:t>
      </w:r>
      <w:r w:rsidRPr="00A37819">
        <w:rPr>
          <w:sz w:val="20"/>
          <w:szCs w:val="20"/>
        </w:rPr>
        <w:t>los</w:t>
      </w:r>
      <w:r w:rsidRPr="00A37819">
        <w:rPr>
          <w:spacing w:val="13"/>
          <w:sz w:val="20"/>
          <w:szCs w:val="20"/>
        </w:rPr>
        <w:t xml:space="preserve"> </w:t>
      </w:r>
      <w:r w:rsidRPr="00A37819">
        <w:rPr>
          <w:sz w:val="20"/>
          <w:szCs w:val="20"/>
        </w:rPr>
        <w:t>Municipios</w:t>
      </w:r>
      <w:r w:rsidRPr="00A37819">
        <w:rPr>
          <w:spacing w:val="13"/>
          <w:sz w:val="20"/>
          <w:szCs w:val="20"/>
        </w:rPr>
        <w:t xml:space="preserve"> </w:t>
      </w:r>
      <w:r w:rsidRPr="00A37819">
        <w:rPr>
          <w:sz w:val="20"/>
          <w:szCs w:val="20"/>
        </w:rPr>
        <w:t>y</w:t>
      </w:r>
      <w:r w:rsidRPr="00A37819">
        <w:rPr>
          <w:spacing w:val="11"/>
          <w:sz w:val="20"/>
          <w:szCs w:val="20"/>
        </w:rPr>
        <w:t xml:space="preserve"> </w:t>
      </w:r>
      <w:r w:rsidRPr="00A37819">
        <w:rPr>
          <w:sz w:val="20"/>
          <w:szCs w:val="20"/>
        </w:rPr>
        <w:t>las</w:t>
      </w:r>
      <w:r w:rsidRPr="00A37819">
        <w:rPr>
          <w:spacing w:val="13"/>
          <w:sz w:val="20"/>
          <w:szCs w:val="20"/>
        </w:rPr>
        <w:t xml:space="preserve"> </w:t>
      </w:r>
      <w:r w:rsidRPr="00A37819">
        <w:rPr>
          <w:sz w:val="20"/>
          <w:szCs w:val="20"/>
        </w:rPr>
        <w:t>entidades</w:t>
      </w:r>
      <w:r w:rsidRPr="00A37819">
        <w:rPr>
          <w:spacing w:val="12"/>
          <w:sz w:val="20"/>
          <w:szCs w:val="20"/>
        </w:rPr>
        <w:t xml:space="preserve"> </w:t>
      </w:r>
      <w:r w:rsidRPr="00A37819">
        <w:rPr>
          <w:sz w:val="20"/>
          <w:szCs w:val="20"/>
        </w:rPr>
        <w:t>descentralizadas</w:t>
      </w:r>
      <w:r w:rsidRPr="00A37819">
        <w:rPr>
          <w:spacing w:val="14"/>
          <w:sz w:val="20"/>
          <w:szCs w:val="20"/>
        </w:rPr>
        <w:t xml:space="preserve"> </w:t>
      </w:r>
      <w:r w:rsidRPr="00A37819">
        <w:rPr>
          <w:sz w:val="20"/>
          <w:szCs w:val="20"/>
        </w:rPr>
        <w:t>del</w:t>
      </w:r>
      <w:r w:rsidRPr="00A37819">
        <w:rPr>
          <w:spacing w:val="15"/>
          <w:sz w:val="20"/>
          <w:szCs w:val="20"/>
        </w:rPr>
        <w:t xml:space="preserve"> </w:t>
      </w:r>
      <w:r w:rsidRPr="00A37819">
        <w:rPr>
          <w:sz w:val="20"/>
          <w:szCs w:val="20"/>
        </w:rPr>
        <w:t>orden</w:t>
      </w:r>
      <w:r w:rsidRPr="00A37819">
        <w:rPr>
          <w:spacing w:val="15"/>
          <w:sz w:val="20"/>
          <w:szCs w:val="20"/>
        </w:rPr>
        <w:t xml:space="preserve"> </w:t>
      </w:r>
      <w:r w:rsidRPr="00A37819">
        <w:rPr>
          <w:sz w:val="20"/>
          <w:szCs w:val="20"/>
        </w:rPr>
        <w:t>departamental, municipal o distrital, categoría dentro de la cual se incluyen, como ya se indicó, las Empresas Sociales del Estado, del orden Departamental, Municipal o Distrital.</w:t>
      </w:r>
    </w:p>
    <w:p w14:paraId="387C2665" w14:textId="77777777" w:rsidR="00A37819" w:rsidRPr="00A37819" w:rsidRDefault="00A37819" w:rsidP="00A37819">
      <w:pPr>
        <w:jc w:val="both"/>
        <w:rPr>
          <w:rFonts w:ascii="Arial" w:eastAsia="Calibri" w:hAnsi="Arial" w:cs="Arial"/>
          <w:sz w:val="20"/>
          <w:szCs w:val="20"/>
          <w:lang w:val="es-ES_tradnl"/>
        </w:rPr>
      </w:pPr>
    </w:p>
    <w:p w14:paraId="14E31D6B" w14:textId="346E9171" w:rsidR="00866AEB" w:rsidRPr="00A37819" w:rsidRDefault="00866AEB" w:rsidP="00A37819">
      <w:pPr>
        <w:pStyle w:val="Default"/>
        <w:jc w:val="both"/>
        <w:rPr>
          <w:b/>
          <w:sz w:val="22"/>
          <w:szCs w:val="22"/>
          <w:lang w:val="es-ES_tradnl"/>
        </w:rPr>
      </w:pPr>
    </w:p>
    <w:p w14:paraId="5401F32D" w14:textId="54369EE5" w:rsidR="00AE3C7C" w:rsidRDefault="00AE3C7C" w:rsidP="00DF0F8E">
      <w:pPr>
        <w:rPr>
          <w:rFonts w:ascii="Arial" w:hAnsi="Arial" w:cs="Arial"/>
          <w:b/>
          <w:color w:val="000000"/>
          <w:sz w:val="22"/>
          <w:lang w:val="es-CO"/>
        </w:rPr>
      </w:pPr>
    </w:p>
    <w:p w14:paraId="4E7A97B3" w14:textId="0BAD42C9" w:rsidR="005C275C" w:rsidRDefault="005C275C" w:rsidP="00DF0F8E">
      <w:pPr>
        <w:rPr>
          <w:rFonts w:ascii="Arial" w:hAnsi="Arial" w:cs="Arial"/>
          <w:b/>
          <w:bCs/>
          <w:sz w:val="22"/>
        </w:rPr>
      </w:pPr>
    </w:p>
    <w:p w14:paraId="10E7C874" w14:textId="4977F1A0" w:rsidR="005C275C" w:rsidRDefault="004804BD" w:rsidP="004804BD">
      <w:pPr>
        <w:jc w:val="right"/>
        <w:rPr>
          <w:rFonts w:ascii="Arial" w:hAnsi="Arial" w:cs="Arial"/>
          <w:b/>
          <w:bCs/>
          <w:sz w:val="22"/>
        </w:rPr>
      </w:pPr>
      <w:r w:rsidRPr="004804BD">
        <w:rPr>
          <w:rFonts w:ascii="Arial" w:hAnsi="Arial" w:cs="Arial"/>
          <w:b/>
          <w:bCs/>
          <w:noProof/>
          <w:sz w:val="22"/>
          <w:lang w:val="es-CO" w:eastAsia="es-CO"/>
        </w:rPr>
        <w:lastRenderedPageBreak/>
        <w:drawing>
          <wp:inline distT="0" distB="0" distL="0" distR="0" wp14:anchorId="7DBCD434" wp14:editId="492E711C">
            <wp:extent cx="2896870" cy="8286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057" cy="832733"/>
                    </a:xfrm>
                    <a:prstGeom prst="rect">
                      <a:avLst/>
                    </a:prstGeom>
                    <a:noFill/>
                    <a:ln>
                      <a:noFill/>
                    </a:ln>
                  </pic:spPr>
                </pic:pic>
              </a:graphicData>
            </a:graphic>
          </wp:inline>
        </w:drawing>
      </w:r>
    </w:p>
    <w:p w14:paraId="597249BC" w14:textId="1CB22A15" w:rsidR="005C275C" w:rsidRDefault="005C275C" w:rsidP="00DF0F8E">
      <w:pPr>
        <w:rPr>
          <w:rFonts w:ascii="Arial" w:eastAsia="Calibri" w:hAnsi="Arial" w:cs="Arial"/>
          <w:sz w:val="22"/>
        </w:rPr>
      </w:pPr>
    </w:p>
    <w:p w14:paraId="60007FFF" w14:textId="1CCBB3BF" w:rsidR="004804BD" w:rsidRDefault="004804BD" w:rsidP="00DF0F8E">
      <w:pPr>
        <w:rPr>
          <w:rFonts w:ascii="Arial" w:eastAsia="Calibri" w:hAnsi="Arial" w:cs="Arial"/>
          <w:sz w:val="22"/>
        </w:rPr>
      </w:pPr>
      <w:r w:rsidRPr="004804BD">
        <w:rPr>
          <w:rFonts w:ascii="Arial" w:eastAsia="Calibri" w:hAnsi="Arial" w:cs="Arial"/>
          <w:sz w:val="22"/>
        </w:rPr>
        <w:t>Bogot</w:t>
      </w:r>
      <w:r w:rsidRPr="004804BD">
        <w:rPr>
          <w:rFonts w:ascii="Arial" w:eastAsia="Calibri" w:hAnsi="Arial" w:cs="Arial" w:hint="eastAsia"/>
          <w:sz w:val="22"/>
        </w:rPr>
        <w:t>á</w:t>
      </w:r>
      <w:r w:rsidRPr="004804BD">
        <w:rPr>
          <w:rFonts w:ascii="Arial" w:eastAsia="Calibri" w:hAnsi="Arial" w:cs="Arial"/>
          <w:sz w:val="22"/>
        </w:rPr>
        <w:t>, 16 Julio 2021</w:t>
      </w:r>
    </w:p>
    <w:p w14:paraId="731BA4A2" w14:textId="77777777" w:rsidR="004804BD" w:rsidRDefault="004804BD" w:rsidP="00DF0F8E">
      <w:pPr>
        <w:rPr>
          <w:rFonts w:ascii="Arial" w:eastAsia="Calibri" w:hAnsi="Arial" w:cs="Arial"/>
          <w:sz w:val="22"/>
        </w:rPr>
      </w:pPr>
    </w:p>
    <w:p w14:paraId="1F3E67BB" w14:textId="46D4F72F" w:rsidR="00AF1718" w:rsidRPr="00E91076" w:rsidRDefault="00AF1718" w:rsidP="00DF0F8E">
      <w:pPr>
        <w:rPr>
          <w:rFonts w:ascii="Arial" w:eastAsia="Calibri" w:hAnsi="Arial" w:cs="Arial"/>
          <w:sz w:val="22"/>
        </w:rPr>
      </w:pPr>
      <w:r w:rsidRPr="00E91076">
        <w:rPr>
          <w:rFonts w:ascii="Arial" w:eastAsia="Calibri" w:hAnsi="Arial" w:cs="Arial"/>
          <w:sz w:val="22"/>
        </w:rPr>
        <w:t>Señor</w:t>
      </w:r>
    </w:p>
    <w:p w14:paraId="479972ED" w14:textId="2F7EFA93" w:rsidR="00AF1718" w:rsidRPr="00E91076" w:rsidRDefault="00866AEB" w:rsidP="00DF0F8E">
      <w:pPr>
        <w:rPr>
          <w:rFonts w:ascii="Arial" w:eastAsia="Calibri" w:hAnsi="Arial" w:cs="Arial"/>
          <w:sz w:val="22"/>
          <w:lang w:val="es-ES"/>
        </w:rPr>
      </w:pPr>
      <w:r w:rsidRPr="00E91076">
        <w:rPr>
          <w:rFonts w:ascii="Arial" w:eastAsia="Calibri" w:hAnsi="Arial" w:cs="Arial"/>
          <w:sz w:val="22"/>
          <w:lang w:val="es-ES"/>
        </w:rPr>
        <w:t xml:space="preserve">Juan Esteban Arboleda Jiménez </w:t>
      </w:r>
    </w:p>
    <w:p w14:paraId="49A4DDE9" w14:textId="6F5C42EC" w:rsidR="00866AEB" w:rsidRPr="00E91076" w:rsidRDefault="00866AEB" w:rsidP="00DF0F8E">
      <w:pPr>
        <w:rPr>
          <w:rFonts w:ascii="Arial" w:eastAsia="Calibri" w:hAnsi="Arial" w:cs="Arial"/>
          <w:sz w:val="22"/>
          <w:lang w:val="es-ES"/>
        </w:rPr>
      </w:pPr>
      <w:r w:rsidRPr="00E91076">
        <w:rPr>
          <w:rFonts w:ascii="Arial" w:eastAsia="Calibri" w:hAnsi="Arial" w:cs="Arial"/>
          <w:sz w:val="22"/>
          <w:lang w:val="es-ES"/>
        </w:rPr>
        <w:t xml:space="preserve">Medellín, Antioquia </w:t>
      </w:r>
    </w:p>
    <w:p w14:paraId="38C44013" w14:textId="1320B27D" w:rsidR="002330A3" w:rsidRPr="00E91076" w:rsidRDefault="002330A3" w:rsidP="00DF0F8E">
      <w:pPr>
        <w:rPr>
          <w:rFonts w:ascii="Arial" w:eastAsia="Calibri" w:hAnsi="Arial" w:cs="Arial"/>
          <w:sz w:val="22"/>
          <w:lang w:val="es-ES"/>
        </w:rPr>
      </w:pPr>
    </w:p>
    <w:p w14:paraId="050026FD" w14:textId="77777777" w:rsidR="004D6F1F" w:rsidRPr="00E91076" w:rsidRDefault="004D6F1F" w:rsidP="00DF0F8E">
      <w:pPr>
        <w:rPr>
          <w:rFonts w:ascii="Arial" w:eastAsia="Calibri" w:hAnsi="Arial" w:cs="Arial"/>
          <w:b/>
          <w:sz w:val="22"/>
          <w:lang w:val="es-ES"/>
        </w:rPr>
      </w:pPr>
    </w:p>
    <w:p w14:paraId="4E74460C" w14:textId="77777777" w:rsidR="002330A3" w:rsidRPr="00E91076" w:rsidRDefault="002330A3" w:rsidP="00DF0F8E">
      <w:pPr>
        <w:rPr>
          <w:rFonts w:ascii="Arial" w:eastAsia="Calibri" w:hAnsi="Arial" w:cs="Arial"/>
          <w:sz w:val="22"/>
        </w:rPr>
      </w:pPr>
    </w:p>
    <w:p w14:paraId="25167302" w14:textId="77777777" w:rsidR="00A60A14" w:rsidRPr="00E91076" w:rsidRDefault="00A60A14" w:rsidP="00DF0F8E">
      <w:pPr>
        <w:rPr>
          <w:rFonts w:ascii="Arial" w:eastAsia="Calibri" w:hAnsi="Arial" w:cs="Arial"/>
          <w:sz w:val="22"/>
        </w:rPr>
      </w:pPr>
    </w:p>
    <w:p w14:paraId="64DAC2D7" w14:textId="1857388A" w:rsidR="00AF1718" w:rsidRPr="00E91076" w:rsidRDefault="00866AEB" w:rsidP="00DF0F8E">
      <w:pPr>
        <w:ind w:left="2124" w:firstLine="570"/>
        <w:rPr>
          <w:rFonts w:ascii="Arial" w:eastAsia="Calibri" w:hAnsi="Arial" w:cs="Arial"/>
          <w:b/>
          <w:sz w:val="22"/>
        </w:rPr>
      </w:pPr>
      <w:r w:rsidRPr="00E91076">
        <w:rPr>
          <w:rFonts w:ascii="Arial" w:eastAsia="Calibri" w:hAnsi="Arial" w:cs="Arial"/>
          <w:b/>
          <w:sz w:val="22"/>
        </w:rPr>
        <w:t>Concepto C- 350</w:t>
      </w:r>
      <w:r w:rsidR="00AF1718" w:rsidRPr="00E91076">
        <w:rPr>
          <w:rFonts w:ascii="Arial" w:eastAsia="Calibri" w:hAnsi="Arial" w:cs="Arial"/>
          <w:b/>
          <w:sz w:val="22"/>
        </w:rPr>
        <w:t xml:space="preserve"> de 2021</w:t>
      </w:r>
    </w:p>
    <w:p w14:paraId="37719CA8" w14:textId="77777777" w:rsidR="00AF1718" w:rsidRPr="00E91076"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4A055690" w14:textId="1ED90257" w:rsidR="00AF1718" w:rsidRPr="00E91076" w:rsidRDefault="00C528E6" w:rsidP="004D6F1F">
            <w:pPr>
              <w:jc w:val="both"/>
              <w:rPr>
                <w:rFonts w:ascii="Arial" w:eastAsia="Calibri" w:hAnsi="Arial" w:cs="Arial"/>
                <w:bCs/>
                <w:sz w:val="22"/>
                <w:lang w:val="es-ES_tradnl"/>
              </w:rPr>
            </w:pPr>
            <w:r w:rsidRPr="00E91076">
              <w:rPr>
                <w:rFonts w:ascii="Arial" w:eastAsia="Arial" w:hAnsi="Arial" w:cs="Arial"/>
                <w:bCs/>
                <w:sz w:val="22"/>
              </w:rPr>
              <w:t xml:space="preserve">CONTRATOS Y/O CONVENIOS INTERADMINISTRATIVOS </w:t>
            </w:r>
            <w:r w:rsidR="00363113" w:rsidRPr="00E91076">
              <w:rPr>
                <w:rFonts w:ascii="Arial" w:eastAsia="Arial" w:hAnsi="Arial" w:cs="Arial"/>
                <w:bCs/>
                <w:sz w:val="22"/>
              </w:rPr>
              <w:t xml:space="preserve">– </w:t>
            </w:r>
            <w:r w:rsidR="00362FC9" w:rsidRPr="00E91076">
              <w:rPr>
                <w:rFonts w:ascii="Arial" w:hAnsi="Arial" w:cs="Arial"/>
                <w:sz w:val="22"/>
                <w:lang w:eastAsia="es-ES"/>
              </w:rPr>
              <w:t xml:space="preserve">Definición – Naturaleza jurídica </w:t>
            </w:r>
            <w:r w:rsidR="00363113" w:rsidRPr="00E91076">
              <w:rPr>
                <w:rFonts w:ascii="Arial" w:eastAsia="Arial" w:hAnsi="Arial" w:cs="Arial"/>
                <w:bCs/>
                <w:sz w:val="22"/>
              </w:rPr>
              <w:t xml:space="preserve">/ </w:t>
            </w:r>
            <w:r w:rsidR="00362FC9" w:rsidRPr="00E91076">
              <w:rPr>
                <w:rFonts w:ascii="Arial" w:eastAsia="Arial" w:hAnsi="Arial" w:cs="Arial"/>
                <w:bCs/>
                <w:sz w:val="22"/>
              </w:rPr>
              <w:t>LEY DE GARANTIAS ELECTORALES</w:t>
            </w:r>
            <w:r w:rsidR="00AF1718" w:rsidRPr="00E91076">
              <w:rPr>
                <w:rFonts w:ascii="Arial" w:eastAsia="Arial" w:hAnsi="Arial" w:cs="Arial"/>
                <w:bCs/>
                <w:sz w:val="22"/>
              </w:rPr>
              <w:t xml:space="preserve"> – </w:t>
            </w:r>
            <w:r w:rsidR="00362FC9" w:rsidRPr="00E91076">
              <w:rPr>
                <w:rFonts w:ascii="Arial" w:hAnsi="Arial" w:cs="Arial"/>
                <w:sz w:val="22"/>
                <w:lang w:eastAsia="es-ES"/>
              </w:rPr>
              <w:t>Definición – Finalidad</w:t>
            </w:r>
            <w:r w:rsidR="004D6F1F" w:rsidRPr="00E91076">
              <w:rPr>
                <w:rFonts w:ascii="Arial" w:eastAsia="Calibri" w:hAnsi="Arial" w:cs="Arial"/>
                <w:color w:val="000000" w:themeColor="text1"/>
                <w:sz w:val="22"/>
                <w:lang w:val="es-ES"/>
              </w:rPr>
              <w:t xml:space="preserve"> /</w:t>
            </w:r>
            <w:r w:rsidR="00AF1718" w:rsidRPr="00E91076">
              <w:rPr>
                <w:rFonts w:ascii="Arial" w:eastAsia="Calibri" w:hAnsi="Arial" w:cs="Arial"/>
                <w:bCs/>
                <w:sz w:val="22"/>
              </w:rPr>
              <w:t xml:space="preserve"> </w:t>
            </w:r>
            <w:r w:rsidR="001233CA" w:rsidRPr="00E91076">
              <w:rPr>
                <w:rFonts w:ascii="Arial" w:eastAsia="Calibri" w:hAnsi="Arial" w:cs="Arial"/>
                <w:bCs/>
                <w:sz w:val="22"/>
              </w:rPr>
              <w:t>LEY DE GARANTIAS ELECTORALES – Ley 995 de 2005 – parágrafo del artículo 38 – prohibición</w:t>
            </w:r>
            <w:r w:rsidR="00A37819" w:rsidRPr="00E91076">
              <w:rPr>
                <w:rFonts w:ascii="Arial" w:eastAsia="Calibri" w:hAnsi="Arial" w:cs="Arial"/>
                <w:bCs/>
                <w:sz w:val="22"/>
              </w:rPr>
              <w:t xml:space="preserve">. </w:t>
            </w:r>
          </w:p>
          <w:p w14:paraId="30A9E48B" w14:textId="695C4B23" w:rsidR="00362FC9" w:rsidRPr="00E91076" w:rsidRDefault="00362FC9" w:rsidP="003D2AA2">
            <w:pPr>
              <w:spacing w:after="120"/>
              <w:jc w:val="both"/>
              <w:rPr>
                <w:rFonts w:ascii="Arial" w:eastAsia="Calibri" w:hAnsi="Arial" w:cs="Arial"/>
                <w:sz w:val="22"/>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288E44ED"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866AEB" w:rsidRPr="00E91076">
              <w:rPr>
                <w:rFonts w:ascii="Arial" w:eastAsia="Calibri" w:hAnsi="Arial" w:cs="Arial"/>
                <w:sz w:val="22"/>
              </w:rPr>
              <w:t xml:space="preserve"> P20210601004812</w:t>
            </w:r>
            <w:r w:rsidR="002330A3" w:rsidRPr="00E91076">
              <w:rPr>
                <w:rFonts w:ascii="Arial" w:eastAsia="Calibri" w:hAnsi="Arial" w:cs="Arial"/>
                <w:sz w:val="22"/>
              </w:rPr>
              <w:t xml:space="preserve">. </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73A3F9D5" w:rsidR="00AF1718" w:rsidRPr="00E91076" w:rsidRDefault="00866AEB" w:rsidP="008B1764">
      <w:pPr>
        <w:spacing w:line="276" w:lineRule="auto"/>
        <w:rPr>
          <w:rFonts w:ascii="Arial" w:eastAsia="Calibri" w:hAnsi="Arial" w:cs="Arial"/>
          <w:sz w:val="22"/>
        </w:rPr>
      </w:pPr>
      <w:r w:rsidRPr="00E91076">
        <w:rPr>
          <w:rFonts w:ascii="Arial" w:eastAsia="Calibri" w:hAnsi="Arial" w:cs="Arial"/>
          <w:sz w:val="22"/>
        </w:rPr>
        <w:t>Estimado señor Arboleda</w:t>
      </w:r>
      <w:r w:rsidR="00AF1718" w:rsidRPr="00E91076">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23D53736"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866AEB" w:rsidRPr="00E91076">
        <w:rPr>
          <w:rFonts w:ascii="Arial" w:eastAsia="Calibri" w:hAnsi="Arial" w:cs="Arial"/>
          <w:sz w:val="22"/>
        </w:rPr>
        <w:t xml:space="preserve"> del 1 de junio</w:t>
      </w:r>
      <w:r w:rsidRPr="00E91076">
        <w:rPr>
          <w:rFonts w:ascii="Arial" w:eastAsia="Calibri" w:hAnsi="Arial" w:cs="Arial"/>
          <w:sz w:val="22"/>
        </w:rPr>
        <w:t xml:space="preserve"> de 2021.</w:t>
      </w:r>
    </w:p>
    <w:p w14:paraId="0423D3E8" w14:textId="77777777" w:rsidR="00735EB6" w:rsidRPr="00E91076" w:rsidRDefault="00735EB6" w:rsidP="008B1764">
      <w:pPr>
        <w:spacing w:line="276" w:lineRule="auto"/>
        <w:jc w:val="both"/>
        <w:rPr>
          <w:rFonts w:ascii="Arial" w:eastAsia="Calibri" w:hAnsi="Arial" w:cs="Arial"/>
          <w:sz w:val="22"/>
        </w:rPr>
      </w:pPr>
    </w:p>
    <w:p w14:paraId="2B178A13" w14:textId="536B6F6C" w:rsidR="00AF1718" w:rsidRPr="00E91076" w:rsidRDefault="00AF1718" w:rsidP="008B1764">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r w:rsidR="00566674" w:rsidRPr="00E91076">
        <w:rPr>
          <w:rFonts w:ascii="Arial" w:eastAsia="Calibri" w:hAnsi="Arial" w:cs="Arial"/>
          <w:b/>
          <w:sz w:val="22"/>
        </w:rPr>
        <w:t>.</w:t>
      </w:r>
    </w:p>
    <w:p w14:paraId="26CBCC38" w14:textId="77777777" w:rsidR="00735EB6" w:rsidRPr="00E91076" w:rsidRDefault="00735EB6" w:rsidP="008B1764">
      <w:pPr>
        <w:tabs>
          <w:tab w:val="left" w:pos="426"/>
        </w:tabs>
        <w:spacing w:line="276" w:lineRule="auto"/>
        <w:jc w:val="both"/>
        <w:rPr>
          <w:rFonts w:ascii="Arial" w:eastAsia="Calibri" w:hAnsi="Arial" w:cs="Arial"/>
          <w:sz w:val="22"/>
        </w:rPr>
      </w:pPr>
      <w:bookmarkStart w:id="5" w:name="_Hlk68679800"/>
    </w:p>
    <w:p w14:paraId="0B17B321" w14:textId="11209A13" w:rsidR="009604E6" w:rsidRPr="00E91076" w:rsidRDefault="00AF1718" w:rsidP="008B1764">
      <w:pPr>
        <w:tabs>
          <w:tab w:val="left" w:pos="426"/>
        </w:tabs>
        <w:spacing w:line="276" w:lineRule="auto"/>
        <w:jc w:val="both"/>
        <w:rPr>
          <w:rFonts w:ascii="Arial" w:eastAsia="Calibri" w:hAnsi="Arial" w:cs="Arial"/>
          <w:sz w:val="22"/>
        </w:rPr>
      </w:pPr>
      <w:r w:rsidRPr="00E91076">
        <w:rPr>
          <w:rFonts w:ascii="Arial" w:eastAsia="Calibri" w:hAnsi="Arial" w:cs="Arial"/>
          <w:sz w:val="22"/>
        </w:rPr>
        <w:t xml:space="preserve">En relación </w:t>
      </w:r>
      <w:r w:rsidR="00896EE0" w:rsidRPr="00E91076">
        <w:rPr>
          <w:rFonts w:ascii="Arial" w:eastAsia="Calibri" w:hAnsi="Arial" w:cs="Arial"/>
          <w:sz w:val="22"/>
        </w:rPr>
        <w:t>con</w:t>
      </w:r>
      <w:r w:rsidR="00866AEB" w:rsidRPr="00E91076">
        <w:rPr>
          <w:rFonts w:ascii="Arial" w:eastAsia="Calibri" w:hAnsi="Arial" w:cs="Arial"/>
          <w:sz w:val="22"/>
        </w:rPr>
        <w:t xml:space="preserve"> </w:t>
      </w:r>
      <w:r w:rsidRPr="00E91076">
        <w:rPr>
          <w:rFonts w:ascii="Arial" w:eastAsia="Calibri" w:hAnsi="Arial" w:cs="Arial"/>
          <w:sz w:val="22"/>
        </w:rPr>
        <w:t>l</w:t>
      </w:r>
      <w:r w:rsidR="00866AEB" w:rsidRPr="00E91076">
        <w:rPr>
          <w:rFonts w:ascii="Arial" w:eastAsia="Calibri" w:hAnsi="Arial" w:cs="Arial"/>
          <w:sz w:val="22"/>
        </w:rPr>
        <w:t xml:space="preserve">a Ley de </w:t>
      </w:r>
      <w:r w:rsidR="00896EE0" w:rsidRPr="00E91076">
        <w:rPr>
          <w:rFonts w:ascii="Arial" w:eastAsia="Calibri" w:hAnsi="Arial" w:cs="Arial"/>
          <w:sz w:val="22"/>
        </w:rPr>
        <w:t>G</w:t>
      </w:r>
      <w:r w:rsidR="00866AEB" w:rsidRPr="00E91076">
        <w:rPr>
          <w:rFonts w:ascii="Arial" w:eastAsia="Calibri" w:hAnsi="Arial" w:cs="Arial"/>
          <w:sz w:val="22"/>
        </w:rPr>
        <w:t xml:space="preserve">arantías </w:t>
      </w:r>
      <w:r w:rsidR="00896EE0" w:rsidRPr="00E91076">
        <w:rPr>
          <w:rFonts w:ascii="Arial" w:eastAsia="Calibri" w:hAnsi="Arial" w:cs="Arial"/>
          <w:sz w:val="22"/>
        </w:rPr>
        <w:t>E</w:t>
      </w:r>
      <w:r w:rsidR="00866AEB" w:rsidRPr="00E91076">
        <w:rPr>
          <w:rFonts w:ascii="Arial" w:eastAsia="Calibri" w:hAnsi="Arial" w:cs="Arial"/>
          <w:sz w:val="22"/>
        </w:rPr>
        <w:t>lectorales</w:t>
      </w:r>
      <w:r w:rsidRPr="00E91076">
        <w:rPr>
          <w:rFonts w:ascii="Arial" w:eastAsia="Calibri" w:hAnsi="Arial" w:cs="Arial"/>
          <w:sz w:val="22"/>
        </w:rPr>
        <w:t xml:space="preserve">, usted realiza la siguiente pregunta: </w:t>
      </w:r>
    </w:p>
    <w:p w14:paraId="17B6C4CE" w14:textId="77777777" w:rsidR="009604E6" w:rsidRPr="00E91076" w:rsidRDefault="009604E6" w:rsidP="008B1764">
      <w:pPr>
        <w:tabs>
          <w:tab w:val="left" w:pos="426"/>
        </w:tabs>
        <w:spacing w:line="276" w:lineRule="auto"/>
        <w:jc w:val="both"/>
        <w:rPr>
          <w:rFonts w:ascii="Arial" w:eastAsia="Calibri" w:hAnsi="Arial" w:cs="Arial"/>
          <w:sz w:val="22"/>
        </w:rPr>
      </w:pPr>
    </w:p>
    <w:p w14:paraId="352E859F" w14:textId="5F07BAFE" w:rsidR="00566674" w:rsidRPr="00E91076" w:rsidRDefault="00AF1718" w:rsidP="00CC3E1F">
      <w:pPr>
        <w:tabs>
          <w:tab w:val="left" w:pos="426"/>
        </w:tabs>
        <w:spacing w:after="120"/>
        <w:ind w:left="709" w:right="709"/>
        <w:jc w:val="both"/>
        <w:rPr>
          <w:rFonts w:ascii="Arial" w:eastAsia="Calibri" w:hAnsi="Arial" w:cs="Arial"/>
          <w:sz w:val="21"/>
          <w:szCs w:val="21"/>
        </w:rPr>
      </w:pPr>
      <w:r w:rsidRPr="00E91076">
        <w:rPr>
          <w:rFonts w:ascii="Arial" w:eastAsia="Calibri" w:hAnsi="Arial" w:cs="Arial"/>
          <w:sz w:val="21"/>
          <w:szCs w:val="21"/>
        </w:rPr>
        <w:t>«</w:t>
      </w:r>
      <w:r w:rsidR="00866AEB" w:rsidRPr="00E91076">
        <w:rPr>
          <w:rFonts w:ascii="Arial" w:eastAsia="Calibri" w:hAnsi="Arial" w:cs="Arial"/>
          <w:sz w:val="21"/>
          <w:szCs w:val="21"/>
        </w:rPr>
        <w:t>Actualmente la Secretar</w:t>
      </w:r>
      <w:r w:rsidR="00BA62F5" w:rsidRPr="00E91076">
        <w:rPr>
          <w:rFonts w:ascii="Arial" w:eastAsia="Calibri" w:hAnsi="Arial" w:cs="Arial"/>
          <w:sz w:val="21"/>
          <w:szCs w:val="21"/>
        </w:rPr>
        <w:t>í</w:t>
      </w:r>
      <w:r w:rsidR="00866AEB" w:rsidRPr="00E91076">
        <w:rPr>
          <w:rFonts w:ascii="Arial" w:eastAsia="Calibri" w:hAnsi="Arial" w:cs="Arial"/>
          <w:sz w:val="21"/>
          <w:szCs w:val="21"/>
        </w:rPr>
        <w:t xml:space="preserve">a Seccional de Salud y </w:t>
      </w:r>
      <w:r w:rsidR="009604E6" w:rsidRPr="00E91076">
        <w:rPr>
          <w:rFonts w:ascii="Arial" w:eastAsia="Calibri" w:hAnsi="Arial" w:cs="Arial"/>
          <w:sz w:val="21"/>
          <w:szCs w:val="21"/>
        </w:rPr>
        <w:t>Protección</w:t>
      </w:r>
      <w:r w:rsidR="00866AEB" w:rsidRPr="00E91076">
        <w:rPr>
          <w:rFonts w:ascii="Arial" w:eastAsia="Calibri" w:hAnsi="Arial" w:cs="Arial"/>
          <w:sz w:val="21"/>
          <w:szCs w:val="21"/>
        </w:rPr>
        <w:t xml:space="preserve"> Social de Antioquia en el marco de sus funciones legales y constitucionales suscribe contratos interadministrativos con diferentes Empresas Sociales del Estado y Hospitales </w:t>
      </w:r>
      <w:r w:rsidR="009604E6" w:rsidRPr="00E91076">
        <w:rPr>
          <w:rFonts w:ascii="Arial" w:eastAsia="Calibri" w:hAnsi="Arial" w:cs="Arial"/>
          <w:sz w:val="21"/>
          <w:szCs w:val="21"/>
        </w:rPr>
        <w:t>Públicos</w:t>
      </w:r>
      <w:r w:rsidR="00866AEB" w:rsidRPr="00E91076">
        <w:rPr>
          <w:rFonts w:ascii="Arial" w:eastAsia="Calibri" w:hAnsi="Arial" w:cs="Arial"/>
          <w:sz w:val="21"/>
          <w:szCs w:val="21"/>
        </w:rPr>
        <w:t xml:space="preserve"> del Departamento, con el objeto de garantizar la prestación de servicios de salud de mediana y alta complejidad en las diferentes regiones del departamento de Antioquia, dirigidos a la población no afiliada al SGSSS de Antioquia y a la población migrante sin afiliación al Sistema General de Seguridad Social en Salud: </w:t>
      </w:r>
    </w:p>
    <w:p w14:paraId="03E50911" w14:textId="5EDAC460" w:rsidR="00566674" w:rsidRPr="00E91076" w:rsidRDefault="00866AEB" w:rsidP="00CC3E1F">
      <w:pPr>
        <w:tabs>
          <w:tab w:val="left" w:pos="426"/>
        </w:tabs>
        <w:spacing w:after="120"/>
        <w:ind w:left="709" w:right="709"/>
        <w:jc w:val="both"/>
        <w:rPr>
          <w:rFonts w:ascii="Arial" w:eastAsia="Calibri" w:hAnsi="Arial" w:cs="Arial"/>
          <w:sz w:val="21"/>
          <w:szCs w:val="21"/>
        </w:rPr>
      </w:pPr>
      <w:r w:rsidRPr="00E91076">
        <w:rPr>
          <w:rFonts w:ascii="Arial" w:eastAsia="Calibri" w:hAnsi="Arial" w:cs="Arial"/>
          <w:sz w:val="21"/>
          <w:szCs w:val="21"/>
        </w:rPr>
        <w:lastRenderedPageBreak/>
        <w:t xml:space="preserve">Teniendo en cuenta lo anterior y dado que el mes de noviembre del presente año inician las restricciones estipuladas en la Ley 996 de 2005 (Ley de garantías electorales) que establece la prohibición de suscribir contratos y convenios interadministrativos en los cuatro (4) meses anteriores a las elecciones </w:t>
      </w:r>
      <w:r w:rsidR="009604E6" w:rsidRPr="00E91076">
        <w:rPr>
          <w:rFonts w:ascii="Arial" w:eastAsia="Calibri" w:hAnsi="Arial" w:cs="Arial"/>
          <w:sz w:val="21"/>
          <w:szCs w:val="21"/>
        </w:rPr>
        <w:t>del C</w:t>
      </w:r>
      <w:r w:rsidRPr="00E91076">
        <w:rPr>
          <w:rFonts w:ascii="Arial" w:eastAsia="Calibri" w:hAnsi="Arial" w:cs="Arial"/>
          <w:sz w:val="21"/>
          <w:szCs w:val="21"/>
        </w:rPr>
        <w:t xml:space="preserve">ongreso de la </w:t>
      </w:r>
      <w:r w:rsidR="009604E6" w:rsidRPr="00E91076">
        <w:rPr>
          <w:rFonts w:ascii="Arial" w:eastAsia="Calibri" w:hAnsi="Arial" w:cs="Arial"/>
          <w:sz w:val="21"/>
          <w:szCs w:val="21"/>
        </w:rPr>
        <w:t>República</w:t>
      </w:r>
      <w:r w:rsidRPr="00E91076">
        <w:rPr>
          <w:rFonts w:ascii="Arial" w:eastAsia="Calibri" w:hAnsi="Arial" w:cs="Arial"/>
          <w:sz w:val="21"/>
          <w:szCs w:val="21"/>
        </w:rPr>
        <w:t>, y que adicionalmente a esto</w:t>
      </w:r>
      <w:r w:rsidR="008C2A2A" w:rsidRPr="00E91076">
        <w:rPr>
          <w:rFonts w:ascii="Arial" w:eastAsia="Calibri" w:hAnsi="Arial" w:cs="Arial"/>
          <w:sz w:val="21"/>
          <w:szCs w:val="21"/>
        </w:rPr>
        <w:t>,</w:t>
      </w:r>
      <w:r w:rsidRPr="00E91076">
        <w:rPr>
          <w:rFonts w:ascii="Arial" w:eastAsia="Calibri" w:hAnsi="Arial" w:cs="Arial"/>
          <w:sz w:val="21"/>
          <w:szCs w:val="21"/>
        </w:rPr>
        <w:t xml:space="preserve"> la norma mencionada determina algunas excepciones dentro de la prohibición mencionada, para el presente caso dicta la siguiente “… y los que deban realizar las entidades sanitarias y hospitalarias”, la Entidad debe buscar la forma indicada para seguir cumpliendo con sus funciones. </w:t>
      </w:r>
    </w:p>
    <w:p w14:paraId="6D8452C6" w14:textId="5361C600" w:rsidR="00AF1718" w:rsidRPr="00E91076" w:rsidRDefault="00866AEB" w:rsidP="00CC3E1F">
      <w:pPr>
        <w:tabs>
          <w:tab w:val="left" w:pos="426"/>
        </w:tabs>
        <w:ind w:left="709" w:right="709"/>
        <w:jc w:val="both"/>
        <w:rPr>
          <w:rFonts w:ascii="Arial" w:eastAsia="Calibri" w:hAnsi="Arial" w:cs="Arial"/>
          <w:sz w:val="21"/>
          <w:szCs w:val="21"/>
        </w:rPr>
      </w:pPr>
      <w:r w:rsidRPr="00E91076">
        <w:rPr>
          <w:rFonts w:ascii="Arial" w:eastAsia="Calibri" w:hAnsi="Arial" w:cs="Arial"/>
          <w:sz w:val="21"/>
          <w:szCs w:val="21"/>
        </w:rPr>
        <w:t xml:space="preserve">Por lo anteriormente expuesto la Secretaria Seccional de Salud y </w:t>
      </w:r>
      <w:r w:rsidR="009604E6" w:rsidRPr="00E91076">
        <w:rPr>
          <w:rFonts w:ascii="Arial" w:eastAsia="Calibri" w:hAnsi="Arial" w:cs="Arial"/>
          <w:sz w:val="21"/>
          <w:szCs w:val="21"/>
        </w:rPr>
        <w:t>Protección</w:t>
      </w:r>
      <w:r w:rsidRPr="00E91076">
        <w:rPr>
          <w:rFonts w:ascii="Arial" w:eastAsia="Calibri" w:hAnsi="Arial" w:cs="Arial"/>
          <w:sz w:val="21"/>
          <w:szCs w:val="21"/>
        </w:rPr>
        <w:t xml:space="preserve"> Social de Antioquia desea elevar la consulta a la Agencia Nacional de </w:t>
      </w:r>
      <w:r w:rsidR="009604E6" w:rsidRPr="00E91076">
        <w:rPr>
          <w:rFonts w:ascii="Arial" w:eastAsia="Calibri" w:hAnsi="Arial" w:cs="Arial"/>
          <w:sz w:val="21"/>
          <w:szCs w:val="21"/>
        </w:rPr>
        <w:t>Contratación</w:t>
      </w:r>
      <w:r w:rsidRPr="00E91076">
        <w:rPr>
          <w:rFonts w:ascii="Arial" w:eastAsia="Calibri" w:hAnsi="Arial" w:cs="Arial"/>
          <w:sz w:val="21"/>
          <w:szCs w:val="21"/>
        </w:rPr>
        <w:t xml:space="preserve"> P</w:t>
      </w:r>
      <w:r w:rsidR="00BA62F5" w:rsidRPr="00E91076">
        <w:rPr>
          <w:rFonts w:ascii="Arial" w:eastAsia="Calibri" w:hAnsi="Arial" w:cs="Arial"/>
          <w:sz w:val="21"/>
          <w:szCs w:val="21"/>
        </w:rPr>
        <w:t>ú</w:t>
      </w:r>
      <w:r w:rsidRPr="00E91076">
        <w:rPr>
          <w:rFonts w:ascii="Arial" w:eastAsia="Calibri" w:hAnsi="Arial" w:cs="Arial"/>
          <w:sz w:val="21"/>
          <w:szCs w:val="21"/>
        </w:rPr>
        <w:t>blica – Colombia Compra Eficiente sobre la posibilidad de suscribir dichos contratos en el per</w:t>
      </w:r>
      <w:r w:rsidR="00BA62F5" w:rsidRPr="00E91076">
        <w:rPr>
          <w:rFonts w:ascii="Arial" w:eastAsia="Calibri" w:hAnsi="Arial" w:cs="Arial"/>
          <w:sz w:val="21"/>
          <w:szCs w:val="21"/>
        </w:rPr>
        <w:t>í</w:t>
      </w:r>
      <w:r w:rsidRPr="00E91076">
        <w:rPr>
          <w:rFonts w:ascii="Arial" w:eastAsia="Calibri" w:hAnsi="Arial" w:cs="Arial"/>
          <w:sz w:val="21"/>
          <w:szCs w:val="21"/>
        </w:rPr>
        <w:t xml:space="preserve">odo de Ley de </w:t>
      </w:r>
      <w:r w:rsidR="009604E6" w:rsidRPr="00E91076">
        <w:rPr>
          <w:rFonts w:ascii="Arial" w:eastAsia="Calibri" w:hAnsi="Arial" w:cs="Arial"/>
          <w:sz w:val="21"/>
          <w:szCs w:val="21"/>
        </w:rPr>
        <w:t>Garantías</w:t>
      </w:r>
      <w:r w:rsidRPr="00E91076">
        <w:rPr>
          <w:rFonts w:ascii="Arial" w:eastAsia="Calibri" w:hAnsi="Arial" w:cs="Arial"/>
          <w:sz w:val="21"/>
          <w:szCs w:val="21"/>
        </w:rPr>
        <w:t xml:space="preserve"> o en su defecto que la Agencia pueda brindar una claridad sobre el que hacer de la Entidad en este caso particular</w:t>
      </w:r>
      <w:r w:rsidR="00AF1718" w:rsidRPr="00E91076">
        <w:rPr>
          <w:rFonts w:ascii="Arial" w:eastAsia="Calibri" w:hAnsi="Arial" w:cs="Arial"/>
          <w:sz w:val="21"/>
          <w:szCs w:val="21"/>
        </w:rPr>
        <w:t>»</w:t>
      </w:r>
      <w:bookmarkEnd w:id="5"/>
      <w:r w:rsidR="00AF1718" w:rsidRPr="00E91076">
        <w:rPr>
          <w:rFonts w:ascii="Arial" w:eastAsia="Calibri" w:hAnsi="Arial" w:cs="Arial"/>
          <w:sz w:val="21"/>
          <w:szCs w:val="21"/>
        </w:rPr>
        <w:t>.</w:t>
      </w:r>
    </w:p>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788532E3" w14:textId="2FCE898C" w:rsidR="0071707F" w:rsidRPr="00E91076" w:rsidRDefault="00E7138C" w:rsidP="008B1764">
      <w:pPr>
        <w:tabs>
          <w:tab w:val="left" w:pos="426"/>
        </w:tabs>
        <w:spacing w:line="276" w:lineRule="auto"/>
        <w:jc w:val="both"/>
        <w:rPr>
          <w:rFonts w:ascii="Arial" w:eastAsia="Calibri" w:hAnsi="Arial" w:cs="Arial"/>
          <w:b/>
          <w:sz w:val="22"/>
        </w:rPr>
      </w:pPr>
      <w:r w:rsidRPr="00E91076">
        <w:rPr>
          <w:rFonts w:ascii="Arial" w:eastAsia="Calibri" w:hAnsi="Arial" w:cs="Arial"/>
          <w:b/>
          <w:sz w:val="22"/>
        </w:rPr>
        <w:t>2. Consideraciones</w:t>
      </w:r>
      <w:r w:rsidR="005D0519" w:rsidRPr="00E91076">
        <w:rPr>
          <w:rFonts w:ascii="Arial" w:eastAsia="Calibri" w:hAnsi="Arial" w:cs="Arial"/>
          <w:b/>
          <w:sz w:val="22"/>
        </w:rPr>
        <w:t xml:space="preserve">. </w:t>
      </w:r>
    </w:p>
    <w:p w14:paraId="5ED3373F" w14:textId="77777777" w:rsidR="005E55D7" w:rsidRPr="00E91076" w:rsidRDefault="005E55D7" w:rsidP="008B1764">
      <w:pPr>
        <w:tabs>
          <w:tab w:val="left" w:pos="426"/>
        </w:tabs>
        <w:spacing w:line="276" w:lineRule="auto"/>
        <w:jc w:val="both"/>
        <w:rPr>
          <w:rFonts w:ascii="Arial" w:eastAsia="Calibri" w:hAnsi="Arial" w:cs="Arial"/>
          <w:b/>
          <w:sz w:val="22"/>
        </w:rPr>
      </w:pPr>
    </w:p>
    <w:p w14:paraId="210340E7" w14:textId="1A0B3298" w:rsidR="0003324A" w:rsidRPr="00E91076" w:rsidRDefault="009604E6" w:rsidP="00CC3E1F">
      <w:pPr>
        <w:spacing w:line="276" w:lineRule="auto"/>
        <w:jc w:val="both"/>
        <w:rPr>
          <w:rFonts w:ascii="Arial" w:hAnsi="Arial" w:cs="Arial"/>
          <w:color w:val="000000" w:themeColor="text1"/>
          <w:sz w:val="22"/>
          <w:lang w:val="es-ES_tradnl"/>
        </w:rPr>
      </w:pPr>
      <w:r w:rsidRPr="00E91076">
        <w:rPr>
          <w:rFonts w:ascii="Arial" w:hAnsi="Arial" w:cs="Arial"/>
          <w:color w:val="000000" w:themeColor="text1"/>
          <w:sz w:val="22"/>
          <w:lang w:val="es-ES_tradnl"/>
        </w:rPr>
        <w:t xml:space="preserve">La Agencia Nacional de Contratación Pública ― Colombia Compra Eficiente ha impartido lineamientos sobre la aplicación de la Ley 996 de 2005 y también se ha pronunciado al respecto en los conceptos con radicados: 4201912000004632 del 6 de agosto de 2019, 2201913000005655 del 8 de agosto de 2019, 2201913000006283 del 27 de agosto de 2019, 2201913000006521 del 3 de septiembre de 2019, 2201913000006634 del 6 de septiembre de 2019, </w:t>
      </w:r>
      <w:r w:rsidR="006D0AAC" w:rsidRPr="00E91076">
        <w:rPr>
          <w:rFonts w:ascii="Arial" w:hAnsi="Arial" w:cs="Arial"/>
          <w:color w:val="000000" w:themeColor="text1"/>
          <w:sz w:val="22"/>
          <w:lang w:val="es-ES_tradnl"/>
        </w:rPr>
        <w:t xml:space="preserve">2201913000007127 del 25 de septiembre de 2019, </w:t>
      </w:r>
      <w:r w:rsidRPr="00E91076">
        <w:rPr>
          <w:rFonts w:ascii="Arial" w:hAnsi="Arial" w:cs="Arial"/>
          <w:color w:val="000000" w:themeColor="text1"/>
          <w:sz w:val="22"/>
          <w:lang w:val="es-ES_tradnl"/>
        </w:rPr>
        <w:t>2201913000006639 del 9 de septiembre de 2019, 2201913000007430 del 7 de octubre de 2019, 2201913000007565 del 10 de octubre de 2019, 2201913000008259 del 6 de noviembre de 2019</w:t>
      </w:r>
      <w:r w:rsidR="007D2317" w:rsidRPr="00E91076">
        <w:rPr>
          <w:rFonts w:ascii="Arial" w:hAnsi="Arial" w:cs="Arial"/>
          <w:color w:val="000000" w:themeColor="text1"/>
          <w:sz w:val="22"/>
          <w:lang w:val="es-ES_tradnl"/>
        </w:rPr>
        <w:t xml:space="preserve"> y C</w:t>
      </w:r>
      <w:r w:rsidR="00896EE0" w:rsidRPr="00E91076">
        <w:rPr>
          <w:rFonts w:ascii="Arial" w:hAnsi="Arial" w:cs="Arial"/>
          <w:color w:val="000000" w:themeColor="text1"/>
          <w:sz w:val="22"/>
          <w:lang w:val="es-ES_tradnl"/>
        </w:rPr>
        <w:t>–</w:t>
      </w:r>
      <w:r w:rsidR="007D2317" w:rsidRPr="00E91076">
        <w:rPr>
          <w:rFonts w:ascii="Arial" w:hAnsi="Arial" w:cs="Arial"/>
          <w:color w:val="000000" w:themeColor="text1"/>
          <w:sz w:val="22"/>
          <w:lang w:val="es-ES_tradnl"/>
        </w:rPr>
        <w:t>227 del 24 de mayo de 2021</w:t>
      </w:r>
      <w:r w:rsidRPr="00E91076">
        <w:rPr>
          <w:rFonts w:ascii="Arial" w:hAnsi="Arial" w:cs="Arial"/>
          <w:color w:val="000000" w:themeColor="text1"/>
          <w:sz w:val="22"/>
          <w:lang w:val="es-ES_tradnl"/>
        </w:rPr>
        <w:t xml:space="preserve">. </w:t>
      </w:r>
      <w:r w:rsidR="0003324A" w:rsidRPr="00E91076">
        <w:rPr>
          <w:rFonts w:ascii="Arial" w:hAnsi="Arial" w:cs="Arial"/>
          <w:color w:val="000000" w:themeColor="text1"/>
          <w:sz w:val="22"/>
          <w:lang w:val="es-ES_tradnl"/>
        </w:rPr>
        <w:t>La tesis propuesta en estos conceptos se reitera a continuación</w:t>
      </w:r>
      <w:r w:rsidR="00C65DCF" w:rsidRPr="00E91076">
        <w:rPr>
          <w:rFonts w:ascii="Arial" w:hAnsi="Arial" w:cs="Arial"/>
          <w:color w:val="000000" w:themeColor="text1"/>
          <w:sz w:val="22"/>
          <w:lang w:val="es-ES_tradnl"/>
        </w:rPr>
        <w:t>.</w:t>
      </w:r>
    </w:p>
    <w:p w14:paraId="29CE44B1" w14:textId="77777777" w:rsidR="006D0AAC" w:rsidRPr="00E91076" w:rsidRDefault="006D0AAC" w:rsidP="006D0AAC">
      <w:pPr>
        <w:rPr>
          <w:rFonts w:ascii="Arial" w:eastAsia="Calibri" w:hAnsi="Arial" w:cs="Arial"/>
          <w:sz w:val="22"/>
          <w:lang w:val="es-ES_tradnl"/>
        </w:rPr>
      </w:pPr>
    </w:p>
    <w:p w14:paraId="2EA384E8" w14:textId="50BA1285" w:rsidR="00E522C5" w:rsidRPr="00E91076" w:rsidRDefault="00E522C5" w:rsidP="006D0AAC">
      <w:pPr>
        <w:rPr>
          <w:rFonts w:ascii="Arial" w:hAnsi="Arial" w:cs="Arial"/>
          <w:b/>
          <w:color w:val="000000" w:themeColor="text1"/>
          <w:sz w:val="22"/>
          <w:lang w:val="es-ES_tradnl"/>
        </w:rPr>
      </w:pPr>
      <w:r w:rsidRPr="00E91076">
        <w:rPr>
          <w:rFonts w:ascii="Arial" w:hAnsi="Arial" w:cs="Arial"/>
          <w:b/>
          <w:color w:val="000000" w:themeColor="text1"/>
          <w:sz w:val="22"/>
          <w:lang w:val="es-ES_tradnl"/>
        </w:rPr>
        <w:t>2.1. Los convenios o contratos interadministrativos</w:t>
      </w:r>
      <w:r w:rsidR="00DA740E" w:rsidRPr="00E91076">
        <w:rPr>
          <w:rFonts w:ascii="Arial" w:hAnsi="Arial" w:cs="Arial"/>
          <w:b/>
          <w:color w:val="000000" w:themeColor="text1"/>
          <w:sz w:val="22"/>
          <w:lang w:val="es-ES_tradnl"/>
        </w:rPr>
        <w:t xml:space="preserve">. </w:t>
      </w:r>
    </w:p>
    <w:p w14:paraId="16380F60" w14:textId="77777777" w:rsidR="00E522C5" w:rsidRPr="00E91076" w:rsidRDefault="00E522C5" w:rsidP="006D0AAC">
      <w:pPr>
        <w:rPr>
          <w:rFonts w:ascii="Arial" w:hAnsi="Arial" w:cs="Arial"/>
          <w:color w:val="000000" w:themeColor="text1"/>
          <w:sz w:val="22"/>
          <w:lang w:val="es-ES_tradnl"/>
        </w:rPr>
      </w:pPr>
    </w:p>
    <w:p w14:paraId="7AA262EB" w14:textId="2F1C6901" w:rsidR="00EE4614" w:rsidRPr="00E91076" w:rsidRDefault="00E522C5" w:rsidP="00CC3E1F">
      <w:pPr>
        <w:pStyle w:val="Textoindependiente"/>
        <w:spacing w:after="120"/>
        <w:rPr>
          <w:sz w:val="21"/>
          <w:szCs w:val="21"/>
        </w:rPr>
      </w:pPr>
      <w:r w:rsidRPr="00E91076">
        <w:rPr>
          <w:color w:val="000000" w:themeColor="text1"/>
          <w:lang w:val="es-ES_tradnl"/>
        </w:rPr>
        <w:t xml:space="preserve">El contrato o el convenio interadministrativo </w:t>
      </w:r>
      <w:proofErr w:type="gramStart"/>
      <w:r w:rsidRPr="00E91076">
        <w:rPr>
          <w:color w:val="000000" w:themeColor="text1"/>
          <w:lang w:val="es-ES_tradnl"/>
        </w:rPr>
        <w:t>fue</w:t>
      </w:r>
      <w:proofErr w:type="gramEnd"/>
      <w:r w:rsidRPr="00E91076">
        <w:rPr>
          <w:color w:val="000000" w:themeColor="text1"/>
          <w:lang w:val="es-ES_tradnl"/>
        </w:rPr>
        <w:t xml:space="preserve"> creado por la Ley 80 de 1993 y aunque no lo definió ni lo desarrolló, el Decreto 1082 de 2015, </w:t>
      </w:r>
      <w:r w:rsidR="0017007F" w:rsidRPr="00E91076">
        <w:rPr>
          <w:color w:val="000000" w:themeColor="text1"/>
          <w:lang w:val="es-ES_tradnl"/>
        </w:rPr>
        <w:t>«</w:t>
      </w:r>
      <w:r w:rsidRPr="00E91076">
        <w:rPr>
          <w:color w:val="000000" w:themeColor="text1"/>
          <w:lang w:val="es-ES_tradnl"/>
        </w:rPr>
        <w:t>por medio del cual se expide el Decreto único reglamentario del sector administrativo de planeación nacional</w:t>
      </w:r>
      <w:r w:rsidR="0017007F" w:rsidRPr="00E91076">
        <w:rPr>
          <w:color w:val="000000" w:themeColor="text1"/>
          <w:lang w:val="es-ES_tradnl"/>
        </w:rPr>
        <w:t xml:space="preserve">», </w:t>
      </w:r>
      <w:r w:rsidRPr="00E91076">
        <w:rPr>
          <w:color w:val="000000" w:themeColor="text1"/>
          <w:lang w:val="es-ES_tradnl"/>
        </w:rPr>
        <w:t>los califica como aquellos contratos celebrados entre entidades estatales</w:t>
      </w:r>
      <w:r w:rsidRPr="00E91076">
        <w:rPr>
          <w:color w:val="000000" w:themeColor="text1"/>
          <w:sz w:val="16"/>
          <w:szCs w:val="16"/>
          <w:lang w:val="es-ES_tradnl"/>
        </w:rPr>
        <w:t>.</w:t>
      </w:r>
      <w:r w:rsidRPr="00E91076">
        <w:rPr>
          <w:color w:val="000000" w:themeColor="text1"/>
          <w:lang w:val="es-ES_tradnl"/>
        </w:rPr>
        <w:t xml:space="preserve"> </w:t>
      </w:r>
    </w:p>
    <w:p w14:paraId="77AFCC19" w14:textId="5575D1FD" w:rsidR="00542E18" w:rsidRPr="00E91076" w:rsidRDefault="00E522C5" w:rsidP="00542E18">
      <w:pPr>
        <w:pStyle w:val="Textoindependiente"/>
        <w:spacing w:after="120"/>
        <w:ind w:firstLine="709"/>
      </w:pPr>
      <w:r w:rsidRPr="00E91076">
        <w:t xml:space="preserve">De acuerdo con lo anterior, el contrato o convenio interadministrativo es aquel acuerdo en el que concurre la voluntad de dos o más personas jurídicas de derecho público con </w:t>
      </w:r>
      <w:r w:rsidR="009C56E5" w:rsidRPr="00E91076">
        <w:t>el objetivo</w:t>
      </w:r>
      <w:r w:rsidRPr="00E91076">
        <w:t xml:space="preserve"> de cumplir, en el marco de sus objetivos misionales y sus competencias, con los fines del Estado. Es decir, los contratos o convenios interadministrativos a los que hace referencia la Ley 80 de 1993 deben ser identificados a partir de un criterio orgánico, en el que lo relevante es que los extremos de la relación contractual sean entidades estatales.</w:t>
      </w:r>
    </w:p>
    <w:p w14:paraId="1C25B7CD" w14:textId="75D96E95" w:rsidR="00E522C5" w:rsidRPr="00E91076" w:rsidRDefault="009C56E5" w:rsidP="00542E18">
      <w:pPr>
        <w:pStyle w:val="Textoindependiente"/>
        <w:spacing w:after="120"/>
        <w:ind w:firstLine="709"/>
      </w:pPr>
      <w:r w:rsidRPr="00E91076">
        <w:t>Por ello</w:t>
      </w:r>
      <w:r w:rsidR="002706C7" w:rsidRPr="00E91076">
        <w:t>, s</w:t>
      </w:r>
      <w:r w:rsidR="00E522C5" w:rsidRPr="00E91076">
        <w:t xml:space="preserve">i bien los contratos o convenios interadministrativos </w:t>
      </w:r>
      <w:r w:rsidR="002706C7" w:rsidRPr="00E91076">
        <w:t>tienen desarrollo en el Estatuto General de Contratación de la Administración Pública</w:t>
      </w:r>
      <w:r w:rsidR="00E522C5" w:rsidRPr="00E91076">
        <w:t xml:space="preserve">, no quiere decir que solo </w:t>
      </w:r>
      <w:r w:rsidR="00E522C5" w:rsidRPr="00E91076">
        <w:lastRenderedPageBreak/>
        <w:t>puedan celebrarse entre entidades estatales que apliquen el régimen de contratación allí previsto, pues bien puede una entidad estatal regida por la Ley 80 de 1993 celebrar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w:t>
      </w:r>
      <w:r w:rsidR="00E522C5" w:rsidRPr="00E91076">
        <w:rPr>
          <w:spacing w:val="-11"/>
        </w:rPr>
        <w:t xml:space="preserve"> </w:t>
      </w:r>
      <w:r w:rsidR="00E522C5" w:rsidRPr="00E91076">
        <w:t>privado</w:t>
      </w:r>
      <w:r w:rsidR="00E522C5" w:rsidRPr="00E91076">
        <w:rPr>
          <w:rStyle w:val="Refdenotaalpie"/>
        </w:rPr>
        <w:footnoteReference w:id="1"/>
      </w:r>
      <w:r w:rsidR="00E522C5" w:rsidRPr="00E91076">
        <w:t>.</w:t>
      </w:r>
    </w:p>
    <w:p w14:paraId="66BEC7E1" w14:textId="7F70FB61" w:rsidR="00E522C5" w:rsidRPr="00E91076" w:rsidRDefault="00E522C5" w:rsidP="00542E18">
      <w:pPr>
        <w:pStyle w:val="Textoindependiente"/>
        <w:spacing w:after="120"/>
        <w:ind w:firstLine="709"/>
      </w:pPr>
      <w:r w:rsidRPr="00E91076">
        <w:t>La calidad de un contrato o convenio interadministrativo no está determinada por la modalidad de selección utilizada para celebrar el respectivo acuerdo de voluntades entr</w:t>
      </w:r>
      <w:r w:rsidR="004F39DB" w:rsidRPr="00E91076">
        <w:t xml:space="preserve">e entidades de derecho público. </w:t>
      </w:r>
      <w:r w:rsidRPr="00E91076">
        <w:t>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r w:rsidRPr="00E91076">
        <w:rPr>
          <w:rStyle w:val="Refdenotaalpie"/>
        </w:rPr>
        <w:footnoteReference w:id="2"/>
      </w:r>
      <w:r w:rsidRPr="00E91076">
        <w:t>. Nótese que, en este caso, lo que cambia es la modalidad de selección y no la naturaleza de contrato</w:t>
      </w:r>
      <w:r w:rsidRPr="00E91076">
        <w:rPr>
          <w:spacing w:val="-20"/>
        </w:rPr>
        <w:t xml:space="preserve"> </w:t>
      </w:r>
      <w:r w:rsidRPr="00E91076">
        <w:t>interadministrativo.</w:t>
      </w:r>
    </w:p>
    <w:p w14:paraId="63DB5954" w14:textId="07DD1A40" w:rsidR="00E522C5" w:rsidRPr="00E91076" w:rsidRDefault="00E522C5" w:rsidP="00A27285">
      <w:pPr>
        <w:pStyle w:val="Textoindependiente"/>
        <w:spacing w:after="0"/>
        <w:ind w:firstLine="709"/>
      </w:pPr>
      <w:r w:rsidRPr="00E91076">
        <w:t>Con miras a ilustrar las características fundamentales de los contratos o convenios interadministrativos, se estima conveniente la caracterización que de los mismos realizó el Consejo de Estado:</w:t>
      </w:r>
    </w:p>
    <w:p w14:paraId="4844D0BB" w14:textId="77777777" w:rsidR="00A27285" w:rsidRPr="00E91076" w:rsidRDefault="00A27285" w:rsidP="00A27285">
      <w:pPr>
        <w:pStyle w:val="Textoindependiente"/>
        <w:spacing w:after="0"/>
      </w:pPr>
    </w:p>
    <w:p w14:paraId="64C85DE6" w14:textId="6486BBC7" w:rsidR="0017007F" w:rsidRPr="00E91076" w:rsidRDefault="00E522C5" w:rsidP="00CC3E1F">
      <w:pPr>
        <w:pStyle w:val="Textoindependiente"/>
        <w:spacing w:after="0" w:line="240" w:lineRule="auto"/>
        <w:ind w:left="709" w:right="709"/>
        <w:rPr>
          <w:sz w:val="21"/>
          <w:szCs w:val="21"/>
        </w:rPr>
      </w:pPr>
      <w:r w:rsidRPr="00E91076">
        <w:rPr>
          <w:sz w:val="21"/>
          <w:szCs w:val="21"/>
        </w:rPr>
        <w:t>En atención a lo anterior y en relación específicamente con lo que interesa para el caso concreto,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w:t>
      </w:r>
      <w:r w:rsidRPr="00E91076">
        <w:rPr>
          <w:rStyle w:val="Refdenotaalpie"/>
          <w:sz w:val="21"/>
          <w:szCs w:val="21"/>
        </w:rPr>
        <w:footnoteReference w:id="3"/>
      </w:r>
      <w:r w:rsidRPr="00E91076">
        <w:rPr>
          <w:sz w:val="21"/>
          <w:szCs w:val="21"/>
          <w:vertAlign w:val="superscript"/>
        </w:rPr>
        <w:t>;</w:t>
      </w:r>
      <w:r w:rsidRPr="00E91076">
        <w:rPr>
          <w:sz w:val="21"/>
          <w:szCs w:val="21"/>
        </w:rPr>
        <w:t xml:space="preserve"> (iv) son contratos atípicos desde la perspectiva legal dado que se advierte la ausencia de unas normas que de manera detallada los disciplinen, los expliquen y los desarrollen, como sí las tienen los contratos típicos, por ejemplo compra venta, arrendamiento, mandato, etc. (v) </w:t>
      </w:r>
      <w:r w:rsidRPr="00E91076">
        <w:rPr>
          <w:bCs/>
          <w:sz w:val="21"/>
          <w:szCs w:val="21"/>
        </w:rPr>
        <w:t xml:space="preserve">la </w:t>
      </w:r>
      <w:r w:rsidRPr="00E91076">
        <w:rPr>
          <w:bCs/>
          <w:sz w:val="21"/>
          <w:szCs w:val="21"/>
        </w:rPr>
        <w:lastRenderedPageBreak/>
        <w:t xml:space="preserve">normatividad a la cual se encuentran sujetos en principio es la del Estatuto General de Contratación, en atención a que las partes que los celebran son entidades estatales y, por </w:t>
      </w:r>
      <w:r w:rsidRPr="00E91076">
        <w:rPr>
          <w:sz w:val="21"/>
          <w:szCs w:val="21"/>
        </w:rPr>
        <w:t>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E91076">
        <w:rPr>
          <w:rStyle w:val="Refdenotaalpie"/>
          <w:sz w:val="21"/>
          <w:szCs w:val="21"/>
        </w:rPr>
        <w:footnoteReference w:id="4"/>
      </w:r>
      <w:r w:rsidR="0017007F" w:rsidRPr="00E91076">
        <w:rPr>
          <w:sz w:val="21"/>
          <w:szCs w:val="21"/>
        </w:rPr>
        <w:t>.</w:t>
      </w:r>
    </w:p>
    <w:p w14:paraId="4B3F3DB7" w14:textId="77777777" w:rsidR="0017007F" w:rsidRPr="00E91076" w:rsidRDefault="0017007F" w:rsidP="0017007F">
      <w:pPr>
        <w:pStyle w:val="Textoindependiente"/>
        <w:spacing w:after="0"/>
        <w:ind w:left="709" w:right="709"/>
        <w:rPr>
          <w:sz w:val="21"/>
          <w:szCs w:val="21"/>
        </w:rPr>
      </w:pPr>
    </w:p>
    <w:p w14:paraId="35496EC2" w14:textId="33980705" w:rsidR="00A27285" w:rsidRPr="00E91076" w:rsidRDefault="00E522C5" w:rsidP="0017007F">
      <w:pPr>
        <w:pStyle w:val="Textoindependiente"/>
        <w:spacing w:after="0"/>
        <w:ind w:firstLine="709"/>
      </w:pPr>
      <w:r w:rsidRPr="00E91076">
        <w:t xml:space="preserve">En resumen, a partir de lo expuesto y para efectos de la consulta planteada, </w:t>
      </w:r>
      <w:r w:rsidR="002B1F1E" w:rsidRPr="00E91076">
        <w:t xml:space="preserve">se reitera que </w:t>
      </w:r>
      <w:r w:rsidRPr="00E91076">
        <w:t>los contratos o convenios interadministrativos son aquellos celebrados entre dos o más entidades estatales</w:t>
      </w:r>
      <w:r w:rsidR="00256635" w:rsidRPr="00E91076">
        <w:t>, ya que, como se expondrá, es sobre este tipo de negocios jurídicos frente a los que aplican algunas de las restricciones establecidas en la Ley de Garantías Electorales.</w:t>
      </w:r>
    </w:p>
    <w:p w14:paraId="038684CE" w14:textId="77777777" w:rsidR="00B44CCE" w:rsidRPr="00E91076" w:rsidRDefault="00B44CCE" w:rsidP="00B44CCE">
      <w:pPr>
        <w:pStyle w:val="Textoindependiente"/>
        <w:spacing w:after="0"/>
      </w:pPr>
    </w:p>
    <w:p w14:paraId="28F854D9" w14:textId="410604E3" w:rsidR="0003324A" w:rsidRPr="00E91076" w:rsidRDefault="00E522C5" w:rsidP="0003324A">
      <w:pPr>
        <w:tabs>
          <w:tab w:val="left" w:pos="426"/>
        </w:tabs>
        <w:rPr>
          <w:rFonts w:ascii="Arial" w:eastAsia="Calibri" w:hAnsi="Arial" w:cs="Arial"/>
          <w:b/>
          <w:bCs/>
          <w:sz w:val="22"/>
          <w:lang w:val="es-CO"/>
        </w:rPr>
      </w:pPr>
      <w:r w:rsidRPr="00E91076">
        <w:rPr>
          <w:rFonts w:ascii="Arial" w:eastAsia="Calibri" w:hAnsi="Arial" w:cs="Arial"/>
          <w:b/>
          <w:bCs/>
          <w:sz w:val="22"/>
          <w:lang w:val="es-CO"/>
        </w:rPr>
        <w:t xml:space="preserve">2.2. </w:t>
      </w:r>
      <w:r w:rsidR="0003324A" w:rsidRPr="00E91076">
        <w:rPr>
          <w:rFonts w:ascii="Arial" w:eastAsia="Calibri" w:hAnsi="Arial" w:cs="Arial"/>
          <w:b/>
          <w:bCs/>
          <w:sz w:val="22"/>
          <w:lang w:val="es-CO"/>
        </w:rPr>
        <w:t>Definición y finalidad de la Ley de Garantías Electorales</w:t>
      </w:r>
      <w:r w:rsidR="00B44CCE" w:rsidRPr="00E91076">
        <w:rPr>
          <w:rFonts w:ascii="Arial" w:eastAsia="Calibri" w:hAnsi="Arial" w:cs="Arial"/>
          <w:b/>
          <w:bCs/>
          <w:sz w:val="22"/>
          <w:lang w:val="es-CO"/>
        </w:rPr>
        <w:t xml:space="preserve"> </w:t>
      </w:r>
    </w:p>
    <w:p w14:paraId="4704F7B3" w14:textId="77777777" w:rsidR="0003324A" w:rsidRPr="00E91076" w:rsidRDefault="0003324A" w:rsidP="0003324A">
      <w:pPr>
        <w:tabs>
          <w:tab w:val="left" w:pos="426"/>
        </w:tabs>
        <w:rPr>
          <w:rFonts w:ascii="Arial" w:eastAsia="Calibri" w:hAnsi="Arial" w:cs="Arial"/>
          <w:b/>
          <w:bCs/>
          <w:sz w:val="22"/>
          <w:lang w:val="es-CO"/>
        </w:rPr>
      </w:pPr>
    </w:p>
    <w:p w14:paraId="59DBD662" w14:textId="778B8FC2" w:rsidR="0003324A" w:rsidRPr="00E91076" w:rsidRDefault="0003324A" w:rsidP="0003324A">
      <w:pPr>
        <w:tabs>
          <w:tab w:val="left" w:pos="426"/>
        </w:tabs>
        <w:spacing w:after="120" w:line="276" w:lineRule="auto"/>
        <w:jc w:val="both"/>
        <w:rPr>
          <w:rFonts w:ascii="Arial" w:eastAsia="Calibri" w:hAnsi="Arial" w:cs="Arial"/>
          <w:bCs/>
          <w:sz w:val="22"/>
          <w:lang w:val="es-CO"/>
        </w:rPr>
      </w:pPr>
      <w:r w:rsidRPr="00E91076">
        <w:rPr>
          <w:rFonts w:ascii="Arial" w:eastAsia="Calibri" w:hAnsi="Arial" w:cs="Arial"/>
          <w:bCs/>
          <w:sz w:val="22"/>
          <w:lang w:val="es-CO"/>
        </w:rPr>
        <w:t xml:space="preserve">El ordenamiento jurídico colombiano contempla </w:t>
      </w:r>
      <w:r w:rsidR="009C56E5" w:rsidRPr="00E91076">
        <w:rPr>
          <w:rFonts w:ascii="Arial" w:eastAsia="Calibri" w:hAnsi="Arial" w:cs="Arial"/>
          <w:bCs/>
          <w:sz w:val="22"/>
          <w:lang w:val="es-CO"/>
        </w:rPr>
        <w:t>normas que buscan</w:t>
      </w:r>
      <w:r w:rsidRPr="00E91076">
        <w:rPr>
          <w:rFonts w:ascii="Arial" w:eastAsia="Calibri" w:hAnsi="Arial" w:cs="Arial"/>
          <w:bCs/>
          <w:sz w:val="22"/>
          <w:lang w:val="es-CO"/>
        </w:rPr>
        <w:t xml:space="preserve"> evitar la obtención de beneficios personales en asuntos propios de la </w:t>
      </w:r>
      <w:r w:rsidR="001C5F61" w:rsidRPr="00E91076">
        <w:rPr>
          <w:rFonts w:ascii="Arial" w:eastAsia="Calibri" w:hAnsi="Arial" w:cs="Arial"/>
          <w:bCs/>
          <w:sz w:val="22"/>
          <w:lang w:val="es-CO"/>
        </w:rPr>
        <w:t>A</w:t>
      </w:r>
      <w:r w:rsidRPr="00E91076">
        <w:rPr>
          <w:rFonts w:ascii="Arial" w:eastAsia="Calibri" w:hAnsi="Arial" w:cs="Arial"/>
          <w:bCs/>
          <w:sz w:val="22"/>
          <w:lang w:val="es-CO"/>
        </w:rPr>
        <w:t>dministración pública</w:t>
      </w:r>
      <w:r w:rsidR="002A3B51" w:rsidRPr="00E91076">
        <w:rPr>
          <w:rFonts w:ascii="Arial" w:eastAsia="Calibri" w:hAnsi="Arial" w:cs="Arial"/>
          <w:bCs/>
          <w:sz w:val="22"/>
          <w:lang w:val="es-CO"/>
        </w:rPr>
        <w:t>.</w:t>
      </w:r>
      <w:r w:rsidRPr="00E91076">
        <w:rPr>
          <w:rFonts w:ascii="Arial" w:eastAsia="Calibri" w:hAnsi="Arial" w:cs="Arial"/>
          <w:bCs/>
          <w:sz w:val="22"/>
          <w:lang w:val="es-CO"/>
        </w:rPr>
        <w:t xml:space="preserve"> </w:t>
      </w:r>
      <w:r w:rsidR="002A3B51" w:rsidRPr="00E91076">
        <w:rPr>
          <w:rFonts w:ascii="Arial" w:eastAsia="Calibri" w:hAnsi="Arial" w:cs="Arial"/>
          <w:bCs/>
          <w:i/>
          <w:iCs/>
          <w:sz w:val="22"/>
          <w:lang w:val="es-CO"/>
        </w:rPr>
        <w:t>V</w:t>
      </w:r>
      <w:r w:rsidRPr="00E91076">
        <w:rPr>
          <w:rFonts w:ascii="Arial" w:eastAsia="Calibri" w:hAnsi="Arial" w:cs="Arial"/>
          <w:bCs/>
          <w:i/>
          <w:iCs/>
          <w:sz w:val="22"/>
          <w:lang w:val="es-CO"/>
        </w:rPr>
        <w:t>erbi gracia</w:t>
      </w:r>
      <w:r w:rsidRPr="00E91076">
        <w:rPr>
          <w:rFonts w:ascii="Arial" w:eastAsia="Calibri" w:hAnsi="Arial" w:cs="Arial"/>
          <w:bCs/>
          <w:sz w:val="22"/>
          <w:lang w:val="es-CO"/>
        </w:rPr>
        <w:t xml:space="preserve">, el artículo 127 de la Constitución Política establece una prohibición </w:t>
      </w:r>
      <w:r w:rsidR="002A3B51" w:rsidRPr="00E91076">
        <w:rPr>
          <w:rFonts w:ascii="Arial" w:eastAsia="Calibri" w:hAnsi="Arial" w:cs="Arial"/>
          <w:bCs/>
          <w:sz w:val="22"/>
          <w:lang w:val="es-CO"/>
        </w:rPr>
        <w:t>para que los servidores públicos celebren ciertos contratos estatales con entidades públicas o personas privadas que manejen o administren recursos públicos</w:t>
      </w:r>
      <w:r w:rsidR="001C5F61" w:rsidRPr="00E91076">
        <w:rPr>
          <w:rFonts w:ascii="Arial" w:eastAsia="Calibri" w:hAnsi="Arial" w:cs="Arial"/>
          <w:bCs/>
          <w:sz w:val="22"/>
          <w:lang w:val="es-CO"/>
        </w:rPr>
        <w:t>,</w:t>
      </w:r>
      <w:r w:rsidRPr="00E91076">
        <w:rPr>
          <w:rFonts w:ascii="Arial" w:eastAsia="Calibri" w:hAnsi="Arial" w:cs="Arial"/>
          <w:bCs/>
          <w:sz w:val="22"/>
          <w:lang w:val="es-CO"/>
        </w:rPr>
        <w:t xml:space="preserve"> y en cuanto a </w:t>
      </w:r>
      <w:r w:rsidR="002A3B51" w:rsidRPr="00E91076">
        <w:rPr>
          <w:rFonts w:ascii="Arial" w:eastAsia="Calibri" w:hAnsi="Arial" w:cs="Arial"/>
          <w:bCs/>
          <w:sz w:val="22"/>
          <w:lang w:val="es-CO"/>
        </w:rPr>
        <w:t>la posibilidad de que ciertos empleados del Estado participen en determinadas actividades políticas</w:t>
      </w:r>
      <w:r w:rsidRPr="00E91076">
        <w:rPr>
          <w:rFonts w:ascii="Arial" w:eastAsia="Calibri" w:hAnsi="Arial" w:cs="Arial"/>
          <w:bCs/>
          <w:sz w:val="22"/>
          <w:lang w:val="es-CO"/>
        </w:rPr>
        <w:t>, incluso en época no electoral</w:t>
      </w:r>
      <w:r w:rsidRPr="00E91076">
        <w:rPr>
          <w:rStyle w:val="Refdenotaalpie"/>
          <w:rFonts w:ascii="Arial" w:eastAsia="Calibri" w:hAnsi="Arial" w:cs="Arial"/>
          <w:bCs/>
          <w:sz w:val="22"/>
          <w:lang w:val="es-CO"/>
        </w:rPr>
        <w:footnoteReference w:id="5"/>
      </w:r>
      <w:r w:rsidRPr="00E91076">
        <w:rPr>
          <w:rFonts w:ascii="Arial" w:eastAsia="Calibri" w:hAnsi="Arial" w:cs="Arial"/>
          <w:bCs/>
          <w:sz w:val="22"/>
          <w:lang w:val="es-CO"/>
        </w:rPr>
        <w:t xml:space="preserve">. </w:t>
      </w:r>
    </w:p>
    <w:p w14:paraId="0F0AABDB" w14:textId="69B2182A" w:rsidR="0003324A" w:rsidRPr="00E91076" w:rsidRDefault="001C5F61" w:rsidP="00B44CCE">
      <w:pPr>
        <w:tabs>
          <w:tab w:val="left" w:pos="426"/>
        </w:tabs>
        <w:spacing w:line="276" w:lineRule="auto"/>
        <w:ind w:firstLine="709"/>
        <w:jc w:val="both"/>
        <w:rPr>
          <w:rFonts w:ascii="Arial" w:eastAsia="Times New Roman" w:hAnsi="Arial" w:cs="Arial"/>
          <w:bCs/>
          <w:color w:val="000000"/>
          <w:sz w:val="22"/>
          <w:lang w:eastAsia="es-CO"/>
        </w:rPr>
      </w:pPr>
      <w:r w:rsidRPr="00E91076">
        <w:rPr>
          <w:rFonts w:ascii="Arial" w:eastAsia="Times New Roman" w:hAnsi="Arial" w:cs="Arial"/>
          <w:bCs/>
          <w:color w:val="000000"/>
          <w:sz w:val="22"/>
          <w:lang w:val="es-CO" w:eastAsia="es-CO"/>
        </w:rPr>
        <w:t>De forma similar</w:t>
      </w:r>
      <w:r w:rsidR="0003324A" w:rsidRPr="00E91076">
        <w:rPr>
          <w:rFonts w:ascii="Arial" w:eastAsia="Times New Roman" w:hAnsi="Arial" w:cs="Arial"/>
          <w:bCs/>
          <w:color w:val="000000"/>
          <w:sz w:val="22"/>
          <w:lang w:eastAsia="es-CO"/>
        </w:rPr>
        <w:t>, la Ley 996 de 2005 se suma al andamiaje de orden constitucional y legal que se ocupado de evitar la injerencia inadecuada de intereses particulares en el ejercicio de la función pública</w:t>
      </w:r>
      <w:r w:rsidRPr="00E91076">
        <w:rPr>
          <w:rFonts w:ascii="Arial" w:eastAsia="Times New Roman" w:hAnsi="Arial" w:cs="Arial"/>
          <w:bCs/>
          <w:color w:val="000000"/>
          <w:sz w:val="22"/>
          <w:lang w:eastAsia="es-CO"/>
        </w:rPr>
        <w:t>.</w:t>
      </w:r>
      <w:r w:rsidR="0003324A" w:rsidRPr="00E91076">
        <w:rPr>
          <w:rFonts w:ascii="Arial" w:eastAsia="Times New Roman" w:hAnsi="Arial" w:cs="Arial"/>
          <w:bCs/>
          <w:color w:val="000000"/>
          <w:sz w:val="22"/>
          <w:lang w:eastAsia="es-CO"/>
        </w:rPr>
        <w:t xml:space="preserve"> </w:t>
      </w:r>
      <w:r w:rsidRPr="00E91076">
        <w:rPr>
          <w:rFonts w:ascii="Arial" w:eastAsia="Times New Roman" w:hAnsi="Arial" w:cs="Arial"/>
          <w:bCs/>
          <w:color w:val="000000"/>
          <w:sz w:val="22"/>
          <w:lang w:eastAsia="es-CO"/>
        </w:rPr>
        <w:t>R</w:t>
      </w:r>
      <w:r w:rsidR="0003324A" w:rsidRPr="00E91076">
        <w:rPr>
          <w:rFonts w:ascii="Arial" w:eastAsia="Times New Roman" w:hAnsi="Arial" w:cs="Arial"/>
          <w:bCs/>
          <w:color w:val="000000"/>
          <w:sz w:val="22"/>
          <w:lang w:eastAsia="es-CO"/>
        </w:rPr>
        <w:t xml:space="preserve">especto a </w:t>
      </w:r>
      <w:r w:rsidRPr="00E91076">
        <w:rPr>
          <w:rFonts w:ascii="Arial" w:eastAsia="Times New Roman" w:hAnsi="Arial" w:cs="Arial"/>
          <w:bCs/>
          <w:color w:val="000000"/>
          <w:sz w:val="22"/>
          <w:lang w:eastAsia="es-CO"/>
        </w:rPr>
        <w:t xml:space="preserve">la </w:t>
      </w:r>
      <w:r w:rsidR="0003324A" w:rsidRPr="00E91076">
        <w:rPr>
          <w:rFonts w:ascii="Arial" w:eastAsia="Times New Roman" w:hAnsi="Arial" w:cs="Arial"/>
          <w:bCs/>
          <w:color w:val="000000"/>
          <w:sz w:val="22"/>
          <w:lang w:eastAsia="es-CO"/>
        </w:rPr>
        <w:t>finalidad</w:t>
      </w:r>
      <w:r w:rsidRPr="00E91076">
        <w:rPr>
          <w:rFonts w:ascii="Arial" w:eastAsia="Times New Roman" w:hAnsi="Arial" w:cs="Arial"/>
          <w:bCs/>
          <w:color w:val="000000"/>
          <w:sz w:val="22"/>
          <w:lang w:eastAsia="es-CO"/>
        </w:rPr>
        <w:t xml:space="preserve"> de esta ley</w:t>
      </w:r>
      <w:r w:rsidR="0003324A" w:rsidRPr="00E91076">
        <w:rPr>
          <w:rFonts w:ascii="Arial" w:eastAsia="Times New Roman" w:hAnsi="Arial" w:cs="Arial"/>
          <w:bCs/>
          <w:color w:val="000000"/>
          <w:sz w:val="22"/>
          <w:lang w:eastAsia="es-CO"/>
        </w:rPr>
        <w:t xml:space="preserve">, en la Gaceta del Congreso de la República No. 71 del 2005 se observa que </w:t>
      </w:r>
      <w:r w:rsidRPr="00E91076">
        <w:rPr>
          <w:rFonts w:ascii="Arial" w:eastAsia="Times New Roman" w:hAnsi="Arial" w:cs="Arial"/>
          <w:bCs/>
          <w:color w:val="000000"/>
          <w:sz w:val="22"/>
          <w:lang w:eastAsia="es-CO"/>
        </w:rPr>
        <w:t xml:space="preserve">tuvo </w:t>
      </w:r>
      <w:r w:rsidR="0003324A" w:rsidRPr="00E91076">
        <w:rPr>
          <w:rFonts w:ascii="Arial" w:eastAsia="Times New Roman" w:hAnsi="Arial" w:cs="Arial"/>
          <w:bCs/>
          <w:color w:val="000000"/>
          <w:sz w:val="22"/>
          <w:lang w:eastAsia="es-CO"/>
        </w:rPr>
        <w:t>como propósito evitar cualquier tipo de arbitrariedad, de ventaja injustificada, de uso irregular de los recursos del Estado en las campañas o falta de garantías en la elección presidencial, introduciendo en el ordenamiento jurídico limitaciones</w:t>
      </w:r>
      <w:r w:rsidR="006D7AF0" w:rsidRPr="00E91076">
        <w:rPr>
          <w:rFonts w:ascii="Arial" w:eastAsia="Times New Roman" w:hAnsi="Arial" w:cs="Arial"/>
          <w:bCs/>
          <w:color w:val="000000"/>
          <w:sz w:val="22"/>
          <w:lang w:eastAsia="es-CO"/>
        </w:rPr>
        <w:t>, bajo ciertos requisitos,</w:t>
      </w:r>
      <w:r w:rsidR="0003324A" w:rsidRPr="00E91076">
        <w:rPr>
          <w:rFonts w:ascii="Arial" w:eastAsia="Times New Roman" w:hAnsi="Arial" w:cs="Arial"/>
          <w:bCs/>
          <w:color w:val="000000"/>
          <w:sz w:val="22"/>
          <w:lang w:eastAsia="es-CO"/>
        </w:rPr>
        <w:t xml:space="preserve"> para realizar nombramientos, </w:t>
      </w:r>
      <w:r w:rsidR="0003324A" w:rsidRPr="00E91076">
        <w:rPr>
          <w:rFonts w:ascii="Arial" w:eastAsia="Times New Roman" w:hAnsi="Arial" w:cs="Arial"/>
          <w:bCs/>
          <w:color w:val="000000"/>
          <w:sz w:val="22"/>
          <w:lang w:eastAsia="es-CO"/>
        </w:rPr>
        <w:lastRenderedPageBreak/>
        <w:t>postulaciones, contrataciones o cualquier otro tipo de actividad que implique destinación de recursos públicos bajo el devenir propio de las entidades estatales.</w:t>
      </w:r>
      <w:r w:rsidR="0003324A" w:rsidRPr="00E91076">
        <w:rPr>
          <w:rFonts w:ascii="Arial" w:eastAsia="Calibri" w:hAnsi="Arial" w:cs="Arial"/>
          <w:noProof/>
          <w:sz w:val="22"/>
          <w:lang w:val="es-ES_tradnl"/>
        </w:rPr>
        <w:t xml:space="preserve"> </w:t>
      </w:r>
      <w:r w:rsidR="0003324A" w:rsidRPr="00E91076">
        <w:rPr>
          <w:rFonts w:ascii="Arial" w:eastAsia="Times New Roman" w:hAnsi="Arial" w:cs="Arial"/>
          <w:bCs/>
          <w:color w:val="000000"/>
          <w:sz w:val="22"/>
          <w:lang w:eastAsia="es-CO"/>
        </w:rPr>
        <w:t>En armonía con lo anterior, la Corte Constitucional ha señalado los propósitos de una ley de garantías, así:</w:t>
      </w:r>
    </w:p>
    <w:p w14:paraId="7BD69023" w14:textId="77777777" w:rsidR="00B44CCE" w:rsidRPr="00E91076" w:rsidRDefault="00B44CCE" w:rsidP="00B44CCE">
      <w:pPr>
        <w:tabs>
          <w:tab w:val="left" w:pos="426"/>
        </w:tabs>
        <w:spacing w:line="276" w:lineRule="auto"/>
        <w:jc w:val="both"/>
        <w:rPr>
          <w:rFonts w:ascii="Arial" w:eastAsia="Times New Roman" w:hAnsi="Arial" w:cs="Arial"/>
          <w:bCs/>
          <w:color w:val="000000"/>
          <w:sz w:val="22"/>
          <w:lang w:eastAsia="es-CO"/>
        </w:rPr>
      </w:pPr>
    </w:p>
    <w:p w14:paraId="276FA7B5" w14:textId="77777777" w:rsidR="0003324A" w:rsidRPr="00E91076" w:rsidRDefault="0003324A" w:rsidP="00CC3E1F">
      <w:pPr>
        <w:spacing w:after="120"/>
        <w:ind w:left="709" w:right="709"/>
        <w:jc w:val="both"/>
        <w:rPr>
          <w:rFonts w:ascii="Arial" w:eastAsia="Times New Roman" w:hAnsi="Arial" w:cs="Arial"/>
          <w:bCs/>
          <w:color w:val="000000"/>
          <w:sz w:val="21"/>
          <w:szCs w:val="21"/>
          <w:lang w:eastAsia="es-CO"/>
        </w:rPr>
      </w:pPr>
      <w:r w:rsidRPr="00E91076">
        <w:rPr>
          <w:rFonts w:ascii="Arial" w:eastAsia="Times New Roman" w:hAnsi="Arial" w:cs="Arial"/>
          <w:sz w:val="21"/>
          <w:szCs w:val="21"/>
          <w:lang w:val="es-ES" w:eastAsia="es-CO"/>
        </w:rPr>
        <w:t xml:space="preserve">[…] </w:t>
      </w:r>
      <w:r w:rsidRPr="00E91076">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0181989C" w14:textId="77777777" w:rsidR="0003324A" w:rsidRPr="00E91076" w:rsidRDefault="0003324A" w:rsidP="00CC3E1F">
      <w:pPr>
        <w:spacing w:after="120"/>
        <w:ind w:left="709" w:right="709"/>
        <w:jc w:val="both"/>
        <w:rPr>
          <w:rFonts w:ascii="Arial" w:eastAsia="Times New Roman" w:hAnsi="Arial" w:cs="Arial"/>
          <w:bCs/>
          <w:color w:val="000000"/>
          <w:sz w:val="21"/>
          <w:szCs w:val="21"/>
          <w:lang w:eastAsia="es-CO"/>
        </w:rPr>
      </w:pPr>
      <w:r w:rsidRPr="00E91076">
        <w:rPr>
          <w:rFonts w:ascii="Arial" w:eastAsia="Times New Roman" w:hAnsi="Arial" w:cs="Arial"/>
          <w:bCs/>
          <w:color w:val="000000"/>
          <w:sz w:val="21"/>
          <w:szCs w:val="21"/>
          <w:lang w:eastAsia="es-CO"/>
        </w:rPr>
        <w:t xml:space="preserve">[…] </w:t>
      </w:r>
    </w:p>
    <w:p w14:paraId="63C84195" w14:textId="6B9FA62E" w:rsidR="0003324A" w:rsidRPr="00E91076" w:rsidRDefault="0003324A" w:rsidP="00CC3E1F">
      <w:pPr>
        <w:ind w:left="709" w:right="709"/>
        <w:jc w:val="both"/>
        <w:rPr>
          <w:rFonts w:ascii="Arial" w:eastAsia="Times New Roman" w:hAnsi="Arial" w:cs="Arial"/>
          <w:bCs/>
          <w:color w:val="000000"/>
          <w:sz w:val="21"/>
          <w:szCs w:val="21"/>
          <w:lang w:eastAsia="es-CO"/>
        </w:rPr>
      </w:pPr>
      <w:r w:rsidRPr="00E91076">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1488D1B7" w14:textId="77777777" w:rsidR="0003324A" w:rsidRPr="00E91076" w:rsidRDefault="0003324A" w:rsidP="0003324A">
      <w:pPr>
        <w:spacing w:line="276" w:lineRule="auto"/>
        <w:ind w:left="709" w:right="709"/>
        <w:jc w:val="both"/>
        <w:rPr>
          <w:rFonts w:ascii="Arial" w:eastAsia="Times New Roman" w:hAnsi="Arial" w:cs="Arial"/>
          <w:bCs/>
          <w:color w:val="000000"/>
          <w:sz w:val="21"/>
          <w:szCs w:val="21"/>
          <w:lang w:eastAsia="es-CO"/>
        </w:rPr>
      </w:pPr>
    </w:p>
    <w:p w14:paraId="5FE21D97" w14:textId="77777777" w:rsidR="0003324A" w:rsidRPr="00E91076" w:rsidRDefault="0003324A" w:rsidP="00D44475">
      <w:pPr>
        <w:spacing w:after="120" w:line="276" w:lineRule="auto"/>
        <w:ind w:firstLine="709"/>
        <w:jc w:val="both"/>
        <w:rPr>
          <w:rFonts w:ascii="Arial" w:eastAsia="Times New Roman" w:hAnsi="Arial" w:cs="Arial"/>
          <w:bCs/>
          <w:color w:val="000000"/>
          <w:sz w:val="22"/>
          <w:lang w:eastAsia="es-CO"/>
        </w:rPr>
      </w:pPr>
      <w:r w:rsidRPr="00E91076">
        <w:rPr>
          <w:rFonts w:ascii="Arial" w:eastAsia="Times New Roman" w:hAnsi="Arial" w:cs="Arial"/>
          <w:bCs/>
          <w:color w:val="000000"/>
          <w:sz w:val="22"/>
          <w:lang w:eastAsia="es-CO"/>
        </w:rPr>
        <w:t>Siguiendo el mencionado derrotero,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16BC6DF8" w14:textId="49E4066B" w:rsidR="0003324A" w:rsidRPr="00E91076" w:rsidRDefault="0003324A" w:rsidP="00B77832">
      <w:pPr>
        <w:spacing w:line="276" w:lineRule="auto"/>
        <w:ind w:firstLine="709"/>
        <w:jc w:val="both"/>
        <w:rPr>
          <w:rFonts w:ascii="Arial" w:eastAsia="Times New Roman" w:hAnsi="Arial" w:cs="Arial"/>
          <w:bCs/>
          <w:color w:val="000000"/>
          <w:sz w:val="22"/>
          <w:lang w:eastAsia="es-CO"/>
        </w:rPr>
      </w:pPr>
      <w:r w:rsidRPr="00E91076">
        <w:rPr>
          <w:rFonts w:ascii="Arial" w:eastAsia="Times New Roman" w:hAnsi="Arial" w:cs="Arial"/>
          <w:bCs/>
          <w:color w:val="000000"/>
          <w:sz w:val="22"/>
          <w:lang w:eastAsia="es-CO"/>
        </w:rPr>
        <w:t>De otra parte, varias de las disposiciones de la Ley 996 de 2005, al contener normas prohibitivas, no admiten una interpretación amplia, sino que deben interpretarse restrictivamente. En efecto, lo anterior fue indicado por la Sala de Consulta y Servicio Civil del Consejo de Estado al analizar la referida ley, precisando lo siguiente:</w:t>
      </w:r>
    </w:p>
    <w:p w14:paraId="4BD71BA6" w14:textId="77777777" w:rsidR="00B77832" w:rsidRPr="00E91076" w:rsidRDefault="00B77832" w:rsidP="00B77832">
      <w:pPr>
        <w:spacing w:line="276" w:lineRule="auto"/>
        <w:ind w:firstLine="709"/>
        <w:jc w:val="both"/>
        <w:rPr>
          <w:rFonts w:ascii="Arial" w:eastAsia="Times New Roman" w:hAnsi="Arial" w:cs="Arial"/>
          <w:bCs/>
          <w:color w:val="000000"/>
          <w:sz w:val="22"/>
          <w:lang w:eastAsia="es-CO"/>
        </w:rPr>
      </w:pPr>
    </w:p>
    <w:p w14:paraId="2BB24523" w14:textId="395EE614" w:rsidR="0003324A" w:rsidRPr="00E91076" w:rsidRDefault="0003324A" w:rsidP="00CC3E1F">
      <w:pPr>
        <w:spacing w:after="120"/>
        <w:ind w:left="709" w:right="709"/>
        <w:jc w:val="both"/>
        <w:rPr>
          <w:rFonts w:ascii="Arial" w:eastAsia="Times New Roman" w:hAnsi="Arial" w:cs="Arial"/>
          <w:bCs/>
          <w:color w:val="000000"/>
          <w:sz w:val="21"/>
          <w:szCs w:val="21"/>
          <w:lang w:eastAsia="es-CO"/>
        </w:rPr>
      </w:pPr>
      <w:r w:rsidRPr="00E91076">
        <w:rPr>
          <w:rFonts w:ascii="Arial" w:eastAsia="Times New Roman" w:hAnsi="Arial" w:cs="Arial"/>
          <w:bCs/>
          <w:color w:val="000000"/>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91076">
        <w:rPr>
          <w:rFonts w:ascii="Arial" w:eastAsia="Times New Roman" w:hAnsi="Arial" w:cs="Arial"/>
          <w:bCs/>
          <w:color w:val="000000"/>
          <w:sz w:val="21"/>
          <w:szCs w:val="21"/>
          <w:lang w:eastAsia="es-CO"/>
        </w:rPr>
        <w:t>legis</w:t>
      </w:r>
      <w:proofErr w:type="spellEnd"/>
      <w:r w:rsidRPr="00E91076">
        <w:rPr>
          <w:rFonts w:ascii="Arial" w:eastAsia="Times New Roman" w:hAnsi="Arial" w:cs="Arial"/>
          <w:bCs/>
          <w:color w:val="000000"/>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113213C" w14:textId="77777777" w:rsidR="0003324A" w:rsidRPr="00E91076" w:rsidRDefault="0003324A" w:rsidP="00CC3E1F">
      <w:pPr>
        <w:ind w:left="709" w:right="709"/>
        <w:jc w:val="both"/>
        <w:rPr>
          <w:rFonts w:ascii="Arial" w:eastAsia="Times New Roman" w:hAnsi="Arial" w:cs="Arial"/>
          <w:bCs/>
          <w:color w:val="000000"/>
          <w:sz w:val="21"/>
          <w:szCs w:val="21"/>
          <w:lang w:eastAsia="es-CO"/>
        </w:rPr>
      </w:pPr>
      <w:r w:rsidRPr="00E91076">
        <w:rPr>
          <w:rFonts w:ascii="Arial" w:eastAsia="Times New Roman" w:hAnsi="Arial" w:cs="Arial"/>
          <w:bCs/>
          <w:color w:val="000000"/>
          <w:sz w:val="21"/>
          <w:szCs w:val="21"/>
          <w:lang w:eastAsia="es-CO"/>
        </w:rPr>
        <w:lastRenderedPageBreak/>
        <w:t>La jurisprudencia de la Corte Constitucional</w:t>
      </w:r>
      <w:r w:rsidRPr="00E91076">
        <w:rPr>
          <w:rStyle w:val="Refdenotaalpie"/>
          <w:rFonts w:ascii="Arial" w:eastAsia="Times New Roman" w:hAnsi="Arial" w:cs="Arial"/>
          <w:bCs/>
          <w:color w:val="000000"/>
          <w:sz w:val="21"/>
          <w:szCs w:val="21"/>
          <w:lang w:eastAsia="es-CO"/>
        </w:rPr>
        <w:footnoteReference w:id="6"/>
      </w:r>
      <w:r w:rsidRPr="00E91076">
        <w:rPr>
          <w:rFonts w:ascii="Arial" w:eastAsia="Times New Roman" w:hAnsi="Arial" w:cs="Arial"/>
          <w:bCs/>
          <w:color w:val="000000"/>
          <w:sz w:val="21"/>
          <w:szCs w:val="21"/>
          <w:lang w:eastAsia="es-CO"/>
        </w:rPr>
        <w:t> y del Consejo de Estado</w:t>
      </w:r>
      <w:r w:rsidRPr="00E91076">
        <w:rPr>
          <w:rStyle w:val="Refdenotaalpie"/>
          <w:rFonts w:ascii="Arial" w:eastAsia="Times New Roman" w:hAnsi="Arial" w:cs="Arial"/>
          <w:bCs/>
          <w:color w:val="000000"/>
          <w:sz w:val="21"/>
          <w:szCs w:val="21"/>
          <w:lang w:eastAsia="es-CO"/>
        </w:rPr>
        <w:footnoteReference w:id="7"/>
      </w:r>
      <w:r w:rsidRPr="00E91076">
        <w:rPr>
          <w:rFonts w:ascii="Arial" w:eastAsia="Times New Roman" w:hAnsi="Arial"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91076">
        <w:rPr>
          <w:rStyle w:val="Refdenotaalpie"/>
          <w:rFonts w:ascii="Arial" w:eastAsia="Times New Roman" w:hAnsi="Arial" w:cs="Arial"/>
          <w:bCs/>
          <w:color w:val="000000"/>
          <w:sz w:val="22"/>
          <w:lang w:eastAsia="es-CO"/>
        </w:rPr>
        <w:footnoteReference w:id="8"/>
      </w:r>
      <w:r w:rsidRPr="00E91076">
        <w:rPr>
          <w:rFonts w:ascii="Arial" w:eastAsia="Times New Roman" w:hAnsi="Arial" w:cs="Arial"/>
          <w:bCs/>
          <w:color w:val="000000"/>
          <w:sz w:val="21"/>
          <w:szCs w:val="21"/>
          <w:lang w:eastAsia="es-CO"/>
        </w:rPr>
        <w:t>.</w:t>
      </w:r>
    </w:p>
    <w:p w14:paraId="05EEEC9E" w14:textId="77777777" w:rsidR="0003324A" w:rsidRPr="00E91076" w:rsidRDefault="0003324A" w:rsidP="0003324A">
      <w:pPr>
        <w:spacing w:line="276" w:lineRule="auto"/>
        <w:ind w:right="709"/>
        <w:jc w:val="both"/>
        <w:rPr>
          <w:rFonts w:ascii="Arial" w:eastAsia="Times New Roman" w:hAnsi="Arial" w:cs="Arial"/>
          <w:bCs/>
          <w:color w:val="000000"/>
          <w:sz w:val="21"/>
          <w:szCs w:val="21"/>
          <w:lang w:eastAsia="es-CO"/>
        </w:rPr>
      </w:pPr>
    </w:p>
    <w:p w14:paraId="39F81994" w14:textId="5BBAC1C4" w:rsidR="0003324A" w:rsidRPr="00E91076" w:rsidRDefault="0003324A" w:rsidP="00B77832">
      <w:pPr>
        <w:spacing w:line="276" w:lineRule="auto"/>
        <w:ind w:firstLine="709"/>
        <w:jc w:val="both"/>
        <w:rPr>
          <w:rFonts w:ascii="Arial" w:eastAsia="Times New Roman" w:hAnsi="Arial" w:cs="Arial"/>
          <w:bCs/>
          <w:color w:val="000000"/>
          <w:sz w:val="22"/>
          <w:lang w:eastAsia="es-CO"/>
        </w:rPr>
      </w:pPr>
      <w:r w:rsidRPr="00E91076">
        <w:rPr>
          <w:rFonts w:ascii="Arial" w:eastAsia="Times New Roman" w:hAnsi="Arial" w:cs="Arial"/>
          <w:bCs/>
          <w:color w:val="000000"/>
          <w:sz w:val="22"/>
          <w:lang w:eastAsia="es-CO"/>
        </w:rPr>
        <w:t xml:space="preserve">En tal sentido, las restricciones a la libertad contractual establecidas en la Ley 996 de 2005 deben interpretarse de forma restrictiva, conforme al pronunciamiento anterior que se apoya en jurisprudencia de la Corte Constitucional y del Consejo de Estado. </w:t>
      </w:r>
      <w:r w:rsidR="003D78B1" w:rsidRPr="00E91076">
        <w:rPr>
          <w:rFonts w:ascii="Arial" w:eastAsia="Times New Roman" w:hAnsi="Arial" w:cs="Arial"/>
          <w:bCs/>
          <w:color w:val="000000"/>
          <w:sz w:val="22"/>
          <w:lang w:eastAsia="es-CO"/>
        </w:rPr>
        <w:t xml:space="preserve">De esta manera, habiendo analizado la finalidad y algunos contenidos generales de la Ley de Garantías Electorales, ahora se analizarán las prohibiciones en materia contractual establecidas en dicha ley, haciendo énfasis en la establecida en el parágrafo del artículo 38, por relacionarse con la pregunta </w:t>
      </w:r>
      <w:r w:rsidR="00471F8D" w:rsidRPr="00E91076">
        <w:rPr>
          <w:rFonts w:ascii="Arial" w:eastAsia="Times New Roman" w:hAnsi="Arial" w:cs="Arial"/>
          <w:bCs/>
          <w:color w:val="000000"/>
          <w:sz w:val="22"/>
          <w:lang w:eastAsia="es-CO"/>
        </w:rPr>
        <w:t>d</w:t>
      </w:r>
      <w:r w:rsidR="003D78B1" w:rsidRPr="00E91076">
        <w:rPr>
          <w:rFonts w:ascii="Arial" w:eastAsia="Times New Roman" w:hAnsi="Arial" w:cs="Arial"/>
          <w:bCs/>
          <w:color w:val="000000"/>
          <w:sz w:val="22"/>
          <w:lang w:eastAsia="es-CO"/>
        </w:rPr>
        <w:t>el peticionario.</w:t>
      </w:r>
    </w:p>
    <w:p w14:paraId="7DFA14BC" w14:textId="77777777" w:rsidR="0003324A" w:rsidRPr="00E91076" w:rsidRDefault="0003324A" w:rsidP="0003324A">
      <w:pPr>
        <w:spacing w:line="276" w:lineRule="auto"/>
        <w:jc w:val="both"/>
        <w:rPr>
          <w:rFonts w:ascii="Arial" w:eastAsia="Calibri" w:hAnsi="Arial" w:cs="Arial"/>
          <w:b/>
          <w:bCs/>
          <w:sz w:val="22"/>
          <w:lang w:val="es-CO"/>
        </w:rPr>
      </w:pPr>
    </w:p>
    <w:p w14:paraId="05BCDE32" w14:textId="7055E064" w:rsidR="00431C82" w:rsidRPr="00E91076" w:rsidRDefault="0003324A" w:rsidP="00B77832">
      <w:pPr>
        <w:rPr>
          <w:rFonts w:ascii="Arial" w:eastAsia="Calibri" w:hAnsi="Arial" w:cs="Arial"/>
          <w:b/>
          <w:bCs/>
          <w:sz w:val="22"/>
          <w:lang w:val="es-CO"/>
        </w:rPr>
      </w:pPr>
      <w:r w:rsidRPr="00E91076">
        <w:rPr>
          <w:rFonts w:ascii="Arial" w:eastAsia="Calibri" w:hAnsi="Arial" w:cs="Arial"/>
          <w:b/>
          <w:sz w:val="22"/>
          <w:lang w:val="es-CO"/>
        </w:rPr>
        <w:t>2.</w:t>
      </w:r>
      <w:r w:rsidR="00E522C5" w:rsidRPr="00E91076">
        <w:rPr>
          <w:rFonts w:ascii="Arial" w:eastAsia="Calibri" w:hAnsi="Arial" w:cs="Arial"/>
          <w:b/>
          <w:sz w:val="22"/>
          <w:lang w:val="es-CO"/>
        </w:rPr>
        <w:t>3.</w:t>
      </w:r>
      <w:r w:rsidR="00431C82" w:rsidRPr="00E91076">
        <w:rPr>
          <w:rFonts w:ascii="Arial" w:eastAsia="Calibri" w:hAnsi="Arial" w:cs="Arial"/>
          <w:b/>
          <w:sz w:val="22"/>
          <w:lang w:val="es-CO"/>
        </w:rPr>
        <w:t xml:space="preserve"> </w:t>
      </w:r>
      <w:r w:rsidR="003D78B1" w:rsidRPr="00E91076">
        <w:rPr>
          <w:rFonts w:ascii="Arial" w:eastAsia="Calibri" w:hAnsi="Arial" w:cs="Arial"/>
          <w:b/>
          <w:sz w:val="22"/>
          <w:lang w:val="es-CO"/>
        </w:rPr>
        <w:t>Las prohibiciones en materia contractual establecidas en la Ley 996 de 2005</w:t>
      </w:r>
      <w:r w:rsidR="009C50DA" w:rsidRPr="00E91076">
        <w:rPr>
          <w:rFonts w:ascii="Arial" w:eastAsia="Calibri" w:hAnsi="Arial" w:cs="Arial"/>
          <w:b/>
          <w:sz w:val="22"/>
          <w:lang w:val="es-CO"/>
        </w:rPr>
        <w:t>:</w:t>
      </w:r>
      <w:r w:rsidR="003D78B1" w:rsidRPr="00E91076">
        <w:rPr>
          <w:rFonts w:ascii="Arial" w:eastAsia="Calibri" w:hAnsi="Arial" w:cs="Arial"/>
          <w:b/>
          <w:sz w:val="22"/>
          <w:lang w:val="es-CO"/>
        </w:rPr>
        <w:t xml:space="preserve"> </w:t>
      </w:r>
      <w:r w:rsidR="009C50DA" w:rsidRPr="00E91076">
        <w:rPr>
          <w:rFonts w:ascii="Arial" w:eastAsia="Calibri" w:hAnsi="Arial" w:cs="Arial"/>
          <w:b/>
          <w:sz w:val="22"/>
          <w:lang w:val="es-CO"/>
        </w:rPr>
        <w:t>e</w:t>
      </w:r>
      <w:r w:rsidR="003D78B1" w:rsidRPr="00E91076">
        <w:rPr>
          <w:rFonts w:ascii="Arial" w:eastAsia="Calibri" w:hAnsi="Arial" w:cs="Arial"/>
          <w:b/>
          <w:sz w:val="22"/>
          <w:lang w:val="es-CO"/>
        </w:rPr>
        <w:t xml:space="preserve">n particular la </w:t>
      </w:r>
      <w:r w:rsidR="00337968" w:rsidRPr="00E91076">
        <w:rPr>
          <w:rFonts w:ascii="Arial" w:eastAsia="Calibri" w:hAnsi="Arial" w:cs="Arial"/>
          <w:b/>
          <w:sz w:val="22"/>
          <w:lang w:val="es-CO"/>
        </w:rPr>
        <w:t>d</w:t>
      </w:r>
      <w:r w:rsidR="003D78B1" w:rsidRPr="00E91076">
        <w:rPr>
          <w:rFonts w:ascii="Arial" w:eastAsia="Calibri" w:hAnsi="Arial" w:cs="Arial"/>
          <w:b/>
          <w:sz w:val="22"/>
          <w:lang w:val="es-CO"/>
        </w:rPr>
        <w:t xml:space="preserve">el </w:t>
      </w:r>
      <w:r w:rsidR="00431C82" w:rsidRPr="00E91076">
        <w:rPr>
          <w:rFonts w:ascii="Arial" w:hAnsi="Arial" w:cs="Arial"/>
          <w:b/>
          <w:sz w:val="22"/>
        </w:rPr>
        <w:t>parágrafo del artículo 38 de la Ley 996 de</w:t>
      </w:r>
      <w:r w:rsidR="00431C82" w:rsidRPr="00E91076">
        <w:rPr>
          <w:rFonts w:ascii="Arial" w:hAnsi="Arial" w:cs="Arial"/>
          <w:b/>
          <w:spacing w:val="-18"/>
          <w:sz w:val="22"/>
        </w:rPr>
        <w:t xml:space="preserve"> </w:t>
      </w:r>
      <w:r w:rsidR="00431C82" w:rsidRPr="00E91076">
        <w:rPr>
          <w:rFonts w:ascii="Arial" w:hAnsi="Arial" w:cs="Arial"/>
          <w:b/>
          <w:sz w:val="22"/>
        </w:rPr>
        <w:t>2005</w:t>
      </w:r>
    </w:p>
    <w:p w14:paraId="068673CA" w14:textId="77777777" w:rsidR="00431C82" w:rsidRPr="00E91076" w:rsidRDefault="00431C82" w:rsidP="00B77832"/>
    <w:p w14:paraId="03C15A6C" w14:textId="206CEA9B" w:rsidR="00431C82" w:rsidRPr="00E91076" w:rsidRDefault="00431C82" w:rsidP="00CC3E1F">
      <w:pPr>
        <w:pStyle w:val="Textoindependiente"/>
        <w:spacing w:after="0"/>
      </w:pPr>
      <w:r w:rsidRPr="00E91076">
        <w:t>La Ley 996 de 2005 o Ley de Garantías Electorales es, en palabras de la Corte Constitucional, “</w:t>
      </w:r>
      <w:r w:rsidRPr="00E91076">
        <w:rPr>
          <w:i/>
        </w:rPr>
        <w:t>una guía para el ejercicio equitativo y transparente de la democracia representativa</w:t>
      </w:r>
      <w:r w:rsidRPr="00E91076">
        <w:t>”</w:t>
      </w:r>
      <w:r w:rsidRPr="00E91076">
        <w:rPr>
          <w:rStyle w:val="Refdenotaalpie"/>
        </w:rPr>
        <w:footnoteReference w:id="9"/>
      </w:r>
      <w:r w:rsidRPr="00E91076">
        <w:t>. En similar sentido, se ha pronunciado la Sala de Consulta y Servicio Civil del Consejo de Estado, quien se ha referido a esta ley como un instrumento adoptado por el ordenamiento jurídico para garantizar igualdad y equidad en la contienda</w:t>
      </w:r>
      <w:r w:rsidRPr="00E91076">
        <w:rPr>
          <w:spacing w:val="-34"/>
        </w:rPr>
        <w:t xml:space="preserve"> </w:t>
      </w:r>
      <w:r w:rsidRPr="00E91076">
        <w:t>electoral:</w:t>
      </w:r>
    </w:p>
    <w:p w14:paraId="0D70F961" w14:textId="77777777" w:rsidR="006D7AF0" w:rsidRPr="00E91076" w:rsidRDefault="006D7AF0" w:rsidP="00CC3E1F">
      <w:pPr>
        <w:pStyle w:val="Textoindependiente"/>
        <w:spacing w:after="0"/>
      </w:pPr>
    </w:p>
    <w:p w14:paraId="13CA9A71" w14:textId="1B1264D0" w:rsidR="00431C82" w:rsidRPr="00E91076" w:rsidRDefault="00431C82" w:rsidP="00CC3E1F">
      <w:pPr>
        <w:pStyle w:val="Textoindependiente"/>
        <w:spacing w:after="0" w:line="240" w:lineRule="auto"/>
        <w:ind w:left="709" w:right="709"/>
        <w:rPr>
          <w:sz w:val="21"/>
          <w:szCs w:val="21"/>
          <w:vertAlign w:val="superscript"/>
        </w:rPr>
      </w:pPr>
      <w:r w:rsidRPr="00E91076">
        <w:rPr>
          <w:sz w:val="21"/>
          <w:szCs w:val="21"/>
        </w:rPr>
        <w:t xml:space="preserve">Así las cosas, la ley 996 de 2005 es el instrumento jurídico garantizador de las condiciones de igualdad y equidad entre los candidatos y en razón de ello, procede su aplicación en todos los procesos electorales para cargos de elección </w:t>
      </w:r>
      <w:r w:rsidRPr="00E91076">
        <w:rPr>
          <w:sz w:val="21"/>
          <w:szCs w:val="21"/>
        </w:rPr>
        <w:lastRenderedPageBreak/>
        <w:t>popular, advirtiendo que contiene regulaciones y prohibiciones sobre dos tipos de campañas electorales: la presidencial y las que se adelanten para la provisión de los demás cargos de elección popular nacionales y territoriales; que igualmente adopta disposiciones especiales de aplicación en las elecciones presidenciales cuando participen como candidatos</w:t>
      </w:r>
      <w:r w:rsidRPr="00E91076">
        <w:rPr>
          <w:spacing w:val="22"/>
          <w:sz w:val="21"/>
          <w:szCs w:val="21"/>
        </w:rPr>
        <w:t xml:space="preserve"> </w:t>
      </w:r>
      <w:r w:rsidRPr="00E91076">
        <w:rPr>
          <w:sz w:val="21"/>
          <w:szCs w:val="21"/>
        </w:rPr>
        <w:t>quienes</w:t>
      </w:r>
      <w:r w:rsidRPr="00E91076">
        <w:rPr>
          <w:spacing w:val="23"/>
          <w:sz w:val="21"/>
          <w:szCs w:val="21"/>
        </w:rPr>
        <w:t xml:space="preserve"> </w:t>
      </w:r>
      <w:r w:rsidRPr="00E91076">
        <w:rPr>
          <w:sz w:val="21"/>
          <w:szCs w:val="21"/>
        </w:rPr>
        <w:t>estén</w:t>
      </w:r>
      <w:r w:rsidRPr="00E91076">
        <w:rPr>
          <w:spacing w:val="22"/>
          <w:sz w:val="21"/>
          <w:szCs w:val="21"/>
        </w:rPr>
        <w:t xml:space="preserve"> </w:t>
      </w:r>
      <w:r w:rsidRPr="00E91076">
        <w:rPr>
          <w:sz w:val="21"/>
          <w:szCs w:val="21"/>
        </w:rPr>
        <w:t>en</w:t>
      </w:r>
      <w:r w:rsidRPr="00E91076">
        <w:rPr>
          <w:spacing w:val="23"/>
          <w:sz w:val="21"/>
          <w:szCs w:val="21"/>
        </w:rPr>
        <w:t xml:space="preserve"> </w:t>
      </w:r>
      <w:r w:rsidRPr="00E91076">
        <w:rPr>
          <w:sz w:val="21"/>
          <w:szCs w:val="21"/>
        </w:rPr>
        <w:t>ejercicio</w:t>
      </w:r>
      <w:r w:rsidRPr="00E91076">
        <w:rPr>
          <w:spacing w:val="22"/>
          <w:sz w:val="21"/>
          <w:szCs w:val="21"/>
        </w:rPr>
        <w:t xml:space="preserve"> </w:t>
      </w:r>
      <w:r w:rsidRPr="00E91076">
        <w:rPr>
          <w:sz w:val="21"/>
          <w:szCs w:val="21"/>
        </w:rPr>
        <w:t>de</w:t>
      </w:r>
      <w:r w:rsidRPr="00E91076">
        <w:rPr>
          <w:spacing w:val="23"/>
          <w:sz w:val="21"/>
          <w:szCs w:val="21"/>
        </w:rPr>
        <w:t xml:space="preserve"> </w:t>
      </w:r>
      <w:r w:rsidRPr="00E91076">
        <w:rPr>
          <w:sz w:val="21"/>
          <w:szCs w:val="21"/>
        </w:rPr>
        <w:t>los</w:t>
      </w:r>
      <w:r w:rsidRPr="00E91076">
        <w:rPr>
          <w:spacing w:val="22"/>
          <w:sz w:val="21"/>
          <w:szCs w:val="21"/>
        </w:rPr>
        <w:t xml:space="preserve"> </w:t>
      </w:r>
      <w:r w:rsidRPr="00E91076">
        <w:rPr>
          <w:sz w:val="21"/>
          <w:szCs w:val="21"/>
        </w:rPr>
        <w:t>cargos</w:t>
      </w:r>
      <w:r w:rsidRPr="00E91076">
        <w:rPr>
          <w:spacing w:val="22"/>
          <w:sz w:val="21"/>
          <w:szCs w:val="21"/>
        </w:rPr>
        <w:t xml:space="preserve"> </w:t>
      </w:r>
      <w:r w:rsidRPr="00E91076">
        <w:rPr>
          <w:sz w:val="21"/>
          <w:szCs w:val="21"/>
        </w:rPr>
        <w:t>de</w:t>
      </w:r>
      <w:r w:rsidRPr="00E91076">
        <w:rPr>
          <w:spacing w:val="23"/>
          <w:sz w:val="21"/>
          <w:szCs w:val="21"/>
        </w:rPr>
        <w:t xml:space="preserve"> </w:t>
      </w:r>
      <w:r w:rsidRPr="00E91076">
        <w:rPr>
          <w:sz w:val="21"/>
          <w:szCs w:val="21"/>
        </w:rPr>
        <w:t>Presidente</w:t>
      </w:r>
      <w:r w:rsidRPr="00E91076">
        <w:rPr>
          <w:spacing w:val="21"/>
          <w:sz w:val="21"/>
          <w:szCs w:val="21"/>
        </w:rPr>
        <w:t xml:space="preserve"> </w:t>
      </w:r>
      <w:r w:rsidRPr="00E91076">
        <w:rPr>
          <w:sz w:val="21"/>
          <w:szCs w:val="21"/>
        </w:rPr>
        <w:t>o Vicepresidente de la República; y también se ocupa de la participación en polít</w:t>
      </w:r>
      <w:r w:rsidR="00B77832" w:rsidRPr="00E91076">
        <w:rPr>
          <w:sz w:val="21"/>
          <w:szCs w:val="21"/>
        </w:rPr>
        <w:t>ica de los servidores públicos</w:t>
      </w:r>
      <w:r w:rsidRPr="00E91076">
        <w:rPr>
          <w:rStyle w:val="Refdenotaalpie"/>
          <w:sz w:val="21"/>
          <w:szCs w:val="21"/>
        </w:rPr>
        <w:footnoteReference w:id="10"/>
      </w:r>
      <w:r w:rsidRPr="00E91076">
        <w:rPr>
          <w:sz w:val="21"/>
          <w:szCs w:val="21"/>
          <w:vertAlign w:val="superscript"/>
        </w:rPr>
        <w:t>.</w:t>
      </w:r>
    </w:p>
    <w:p w14:paraId="08A1646D" w14:textId="77777777" w:rsidR="00B77832" w:rsidRPr="00E91076" w:rsidRDefault="00B77832" w:rsidP="00B77832">
      <w:pPr>
        <w:pStyle w:val="Textoindependiente"/>
        <w:spacing w:after="0"/>
        <w:ind w:left="709" w:right="709"/>
        <w:rPr>
          <w:sz w:val="21"/>
          <w:szCs w:val="21"/>
        </w:rPr>
      </w:pPr>
    </w:p>
    <w:p w14:paraId="61481319" w14:textId="298E5411" w:rsidR="00431C82" w:rsidRPr="00E91076" w:rsidRDefault="00431C82" w:rsidP="00B77832">
      <w:pPr>
        <w:pStyle w:val="Textoindependiente"/>
        <w:spacing w:after="120"/>
        <w:ind w:firstLine="709"/>
      </w:pPr>
      <w:r w:rsidRPr="00E91076">
        <w:t xml:space="preserve">De conformidad con lo anterior, es claro que la Ley de Garantías Electorales, para el cumplimiento de los objetivos que dieron lugar a su expedición, fijó una serie de regulaciones y prohibiciones dirigidas a los servidores públicos. No obstante, es </w:t>
      </w:r>
      <w:r w:rsidR="007810C3" w:rsidRPr="00E91076">
        <w:t>necesario</w:t>
      </w:r>
      <w:r w:rsidRPr="00E91076">
        <w:t xml:space="preserve"> tener claro que estas disposiciones se dirigen a dos tipos de campañas electorales claramente diferenciadas: las presidenciales y las demás que se adelanten para la elección de los demás cargos de elección popular, tanto a nivel nacional como a nivel territorial</w:t>
      </w:r>
      <w:r w:rsidR="00337968" w:rsidRPr="00E91076">
        <w:t>, lo que resulta bastante relevante para resolver la pregunta del peticionario.</w:t>
      </w:r>
    </w:p>
    <w:p w14:paraId="2DA158AC" w14:textId="250C05E0" w:rsidR="00431C82" w:rsidRPr="00E91076" w:rsidRDefault="00431C82" w:rsidP="00B77832">
      <w:pPr>
        <w:pStyle w:val="Textoindependiente"/>
        <w:spacing w:after="0"/>
        <w:ind w:firstLine="709"/>
      </w:pPr>
      <w:r w:rsidRPr="00E91076">
        <w:t xml:space="preserve">La Sala de Consulta y Servicio Civil del Consejo de Estado ha aclarado la distinción en la aplicación de las prohibiciones de la Ley 996 de 2005, dependiendo del tipo de elección que se trate, así: </w:t>
      </w:r>
    </w:p>
    <w:p w14:paraId="594A1686" w14:textId="77777777" w:rsidR="00B77832" w:rsidRPr="00E91076" w:rsidRDefault="00B77832" w:rsidP="00B77832">
      <w:pPr>
        <w:pStyle w:val="Textoindependiente"/>
        <w:spacing w:after="0"/>
        <w:ind w:firstLine="709"/>
      </w:pPr>
    </w:p>
    <w:p w14:paraId="4B4B738F" w14:textId="28FB98CA" w:rsidR="00431C82" w:rsidRPr="00E91076" w:rsidRDefault="00431C82" w:rsidP="00CC3E1F">
      <w:pPr>
        <w:pStyle w:val="Textoindependiente"/>
        <w:spacing w:after="0" w:line="240" w:lineRule="auto"/>
        <w:ind w:left="709" w:right="709"/>
        <w:rPr>
          <w:sz w:val="21"/>
          <w:szCs w:val="21"/>
        </w:rPr>
      </w:pPr>
      <w:r w:rsidRPr="00E91076">
        <w:rPr>
          <w:sz w:val="21"/>
          <w:szCs w:val="21"/>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E91076">
        <w:rPr>
          <w:b/>
          <w:sz w:val="21"/>
          <w:szCs w:val="21"/>
        </w:rPr>
        <w:t>En cambio, para elecciones en general, excluyendo las correspondientes a Presidente de la República, a las autoridades territoriales allí mencionadas sólo se aplican las restricciones contenidas en el parágrafo del artículo 38</w:t>
      </w:r>
      <w:r w:rsidR="00337968" w:rsidRPr="00E91076">
        <w:rPr>
          <w:bCs/>
          <w:sz w:val="21"/>
          <w:szCs w:val="21"/>
        </w:rPr>
        <w:t>»</w:t>
      </w:r>
      <w:r w:rsidRPr="00E91076">
        <w:rPr>
          <w:rStyle w:val="Refdenotaalpie"/>
          <w:sz w:val="21"/>
          <w:szCs w:val="21"/>
        </w:rPr>
        <w:footnoteReference w:id="11"/>
      </w:r>
      <w:r w:rsidR="00337968" w:rsidRPr="00E91076">
        <w:rPr>
          <w:sz w:val="21"/>
          <w:szCs w:val="21"/>
        </w:rPr>
        <w:t>.</w:t>
      </w:r>
    </w:p>
    <w:p w14:paraId="48FAD1A9" w14:textId="77777777" w:rsidR="001D0521" w:rsidRPr="00E91076" w:rsidRDefault="001D0521" w:rsidP="001D0521">
      <w:pPr>
        <w:pStyle w:val="Textoindependiente"/>
        <w:spacing w:after="0" w:line="242" w:lineRule="auto"/>
        <w:ind w:left="709" w:right="709"/>
        <w:rPr>
          <w:sz w:val="21"/>
          <w:szCs w:val="21"/>
        </w:rPr>
      </w:pPr>
    </w:p>
    <w:p w14:paraId="2E66B4DF" w14:textId="7EA3D12B" w:rsidR="00431C82" w:rsidRPr="00E91076" w:rsidRDefault="00504976" w:rsidP="001D0521">
      <w:pPr>
        <w:pStyle w:val="Textoindependiente"/>
        <w:spacing w:after="0"/>
        <w:ind w:firstLine="709"/>
      </w:pPr>
      <w:r w:rsidRPr="00E91076">
        <w:t xml:space="preserve">Habiendo aclarado a partir del pronunciamiento anterior que las prohibiciones establecidas en los artículos 32 y 33 solo aplican frente a las elecciones presidenciales y que la establecida en el parágrafo del artículo 38 aplica frente a las elecciones «para cualquier cargo de elección popular» –incluyendo también las elecciones presidenciales–, </w:t>
      </w:r>
      <w:r w:rsidRPr="00E91076">
        <w:lastRenderedPageBreak/>
        <w:t>se profundizará en el contenido de la última prohibición. En este sentido</w:t>
      </w:r>
      <w:r w:rsidR="00431C82" w:rsidRPr="00E91076">
        <w:t>, el parágrafo del artículo 38 de la Ley 996 de 2005, consagra una prohibición para gobernadores, alcaldes, secretarios, gerentes y directores de entidades del orden municipal, departamental o distrital, para celebrar convenios o contratos interadministrativos para la ejecución de recursos públicos dentro de los cuatro (4) meses anteriores a cualquier elección, en los siguientes términos:</w:t>
      </w:r>
    </w:p>
    <w:p w14:paraId="06D8D789" w14:textId="77777777" w:rsidR="001D0521" w:rsidRPr="00E91076" w:rsidRDefault="001D0521" w:rsidP="001D0521">
      <w:pPr>
        <w:pStyle w:val="Textoindependiente"/>
        <w:spacing w:after="0"/>
        <w:ind w:firstLine="709"/>
        <w:rPr>
          <w:sz w:val="20"/>
        </w:rPr>
      </w:pPr>
    </w:p>
    <w:p w14:paraId="3535A508" w14:textId="77777777" w:rsidR="00431C82" w:rsidRPr="00E91076" w:rsidRDefault="00431C82" w:rsidP="00CC3E1F">
      <w:pPr>
        <w:pStyle w:val="Textoindependiente"/>
        <w:spacing w:after="120" w:line="240" w:lineRule="auto"/>
        <w:ind w:left="709" w:right="709"/>
        <w:rPr>
          <w:sz w:val="21"/>
          <w:szCs w:val="21"/>
        </w:rPr>
      </w:pPr>
      <w:r w:rsidRPr="00E91076">
        <w:rPr>
          <w:sz w:val="21"/>
          <w:szCs w:val="21"/>
        </w:rPr>
        <w:t>Artículo 38. Prohibiciones para los servidores públicos. A los empleados del Estado les está prohibido:</w:t>
      </w:r>
    </w:p>
    <w:p w14:paraId="7F3DF99C" w14:textId="1A74FA65" w:rsidR="00431C82" w:rsidRPr="00E91076" w:rsidRDefault="00431C82" w:rsidP="00CC3E1F">
      <w:pPr>
        <w:pStyle w:val="Textoindependiente"/>
        <w:spacing w:after="120" w:line="240" w:lineRule="auto"/>
        <w:ind w:left="709" w:right="709"/>
        <w:rPr>
          <w:sz w:val="21"/>
          <w:szCs w:val="21"/>
        </w:rPr>
      </w:pPr>
      <w:r w:rsidRPr="00E91076">
        <w:rPr>
          <w:sz w:val="21"/>
          <w:szCs w:val="21"/>
        </w:rPr>
        <w:t>(…)</w:t>
      </w:r>
    </w:p>
    <w:p w14:paraId="4E47F6EE" w14:textId="39883EEE" w:rsidR="00431C82" w:rsidRPr="00E91076" w:rsidRDefault="00431C82" w:rsidP="00CC3E1F">
      <w:pPr>
        <w:pStyle w:val="Textoindependiente"/>
        <w:spacing w:after="0" w:line="240" w:lineRule="auto"/>
        <w:ind w:left="709" w:right="709"/>
        <w:rPr>
          <w:sz w:val="21"/>
          <w:szCs w:val="21"/>
        </w:rPr>
      </w:pPr>
      <w:r w:rsidRPr="00E91076">
        <w:rPr>
          <w:sz w:val="21"/>
          <w:szCs w:val="21"/>
        </w:rPr>
        <w:t xml:space="preserve">Parágrafo. Los Gobernadores, Alcaldes Municipales y/o Distritales, Secretarios, Gerentes y </w:t>
      </w:r>
      <w:r w:rsidRPr="00E91076">
        <w:rPr>
          <w:bCs/>
          <w:i/>
          <w:iCs/>
          <w:sz w:val="21"/>
          <w:szCs w:val="21"/>
        </w:rPr>
        <w:t>directores de Entidades Descentralizadas del orden Municipal, Departamental o Distrital</w:t>
      </w:r>
      <w:r w:rsidRPr="00E91076">
        <w:rPr>
          <w:sz w:val="21"/>
          <w:szCs w:val="21"/>
        </w:rPr>
        <w:t>,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 (</w:t>
      </w:r>
      <w:r w:rsidR="006D7AF0" w:rsidRPr="00E91076">
        <w:rPr>
          <w:sz w:val="21"/>
          <w:szCs w:val="21"/>
        </w:rPr>
        <w:t xml:space="preserve">Cursivas </w:t>
      </w:r>
      <w:r w:rsidRPr="00E91076">
        <w:rPr>
          <w:sz w:val="21"/>
          <w:szCs w:val="21"/>
        </w:rPr>
        <w:t>fuera de</w:t>
      </w:r>
      <w:r w:rsidRPr="00E91076">
        <w:rPr>
          <w:spacing w:val="-13"/>
          <w:sz w:val="21"/>
          <w:szCs w:val="21"/>
        </w:rPr>
        <w:t xml:space="preserve"> </w:t>
      </w:r>
      <w:r w:rsidRPr="00E91076">
        <w:rPr>
          <w:sz w:val="21"/>
          <w:szCs w:val="21"/>
        </w:rPr>
        <w:t>texto).</w:t>
      </w:r>
    </w:p>
    <w:p w14:paraId="399999E1" w14:textId="77777777" w:rsidR="001D0521" w:rsidRPr="00E91076" w:rsidRDefault="001D0521" w:rsidP="001D0521">
      <w:pPr>
        <w:pStyle w:val="Textoindependiente"/>
        <w:spacing w:after="0"/>
        <w:ind w:left="709" w:right="709"/>
        <w:rPr>
          <w:sz w:val="21"/>
          <w:szCs w:val="21"/>
        </w:rPr>
      </w:pPr>
    </w:p>
    <w:p w14:paraId="51A7C78C" w14:textId="3D2669BC" w:rsidR="00431C82" w:rsidRPr="00E91076" w:rsidRDefault="00431C82" w:rsidP="001D0521">
      <w:pPr>
        <w:pStyle w:val="Textoindependiente"/>
        <w:spacing w:after="120"/>
        <w:ind w:firstLine="709"/>
      </w:pPr>
      <w:r w:rsidRPr="00E91076">
        <w:t>Lo anterior quiere decir que los gobernadores, alcaldes distritales y municipales, secretarios de despacho, gerentes y directores de entidades descentralizadas del orden municipal,</w:t>
      </w:r>
      <w:r w:rsidRPr="00E91076">
        <w:rPr>
          <w:spacing w:val="7"/>
        </w:rPr>
        <w:t xml:space="preserve"> </w:t>
      </w:r>
      <w:r w:rsidRPr="00E91076">
        <w:t>departamental</w:t>
      </w:r>
      <w:r w:rsidRPr="00E91076">
        <w:rPr>
          <w:spacing w:val="6"/>
        </w:rPr>
        <w:t xml:space="preserve"> </w:t>
      </w:r>
      <w:r w:rsidRPr="00E91076">
        <w:t>o</w:t>
      </w:r>
      <w:r w:rsidRPr="00E91076">
        <w:rPr>
          <w:spacing w:val="8"/>
        </w:rPr>
        <w:t xml:space="preserve"> </w:t>
      </w:r>
      <w:r w:rsidRPr="00E91076">
        <w:t>distrital,</w:t>
      </w:r>
      <w:r w:rsidRPr="00E91076">
        <w:rPr>
          <w:spacing w:val="7"/>
        </w:rPr>
        <w:t xml:space="preserve"> </w:t>
      </w:r>
      <w:r w:rsidRPr="00E91076">
        <w:t>tienen</w:t>
      </w:r>
      <w:r w:rsidRPr="00E91076">
        <w:rPr>
          <w:spacing w:val="8"/>
        </w:rPr>
        <w:t xml:space="preserve"> </w:t>
      </w:r>
      <w:r w:rsidRPr="00E91076">
        <w:t>prohibido,</w:t>
      </w:r>
      <w:r w:rsidRPr="00E91076">
        <w:rPr>
          <w:spacing w:val="7"/>
        </w:rPr>
        <w:t xml:space="preserve"> </w:t>
      </w:r>
      <w:r w:rsidRPr="00E91076">
        <w:t>a</w:t>
      </w:r>
      <w:r w:rsidRPr="00E91076">
        <w:rPr>
          <w:spacing w:val="8"/>
        </w:rPr>
        <w:t xml:space="preserve"> </w:t>
      </w:r>
      <w:r w:rsidR="001D0521" w:rsidRPr="00E91076">
        <w:t xml:space="preserve">partir del mes de noviembre de </w:t>
      </w:r>
      <w:r w:rsidRPr="00E91076">
        <w:t>la actual vigencia fiscal, celebrar convenios o contratos interadministrativos para la ejecución de recursos públicos.</w:t>
      </w:r>
    </w:p>
    <w:p w14:paraId="712AF534" w14:textId="3706A33C" w:rsidR="00431C82" w:rsidRPr="00E91076" w:rsidRDefault="00431C82" w:rsidP="001D0521">
      <w:pPr>
        <w:pStyle w:val="Textoindependiente"/>
        <w:spacing w:after="120"/>
        <w:ind w:firstLine="709"/>
      </w:pPr>
      <w:r w:rsidRPr="00E91076">
        <w:t>Así pues, lo dispuesto por los artículos 32</w:t>
      </w:r>
      <w:r w:rsidRPr="00E91076">
        <w:rPr>
          <w:rStyle w:val="Refdenotaalpie"/>
        </w:rPr>
        <w:footnoteReference w:id="12"/>
      </w:r>
      <w:r w:rsidRPr="00E91076">
        <w:t xml:space="preserve"> y 33</w:t>
      </w:r>
      <w:r w:rsidR="00362481" w:rsidRPr="00E91076">
        <w:rPr>
          <w:rStyle w:val="Refdenotaalpie"/>
        </w:rPr>
        <w:footnoteReference w:id="13"/>
      </w:r>
      <w:r w:rsidRPr="00E91076">
        <w:t xml:space="preserve"> de la Ley 996 de 2005 es aplicable exclusivamente para el período de 4 meses anteriores a las elecciones presidenciales, mientras que lo dispuesto por el artículo 38 es aplicable a todo tipo de elecciones</w:t>
      </w:r>
      <w:r w:rsidR="006D7AF0" w:rsidRPr="00E91076">
        <w:t xml:space="preserve"> – incluyendo las presidenciales–</w:t>
      </w:r>
      <w:r w:rsidRPr="00E91076">
        <w:t xml:space="preserve">. En otras palabras, </w:t>
      </w:r>
      <w:r w:rsidR="00504976" w:rsidRPr="00E91076">
        <w:t xml:space="preserve">por ejemplo, </w:t>
      </w:r>
      <w:r w:rsidRPr="00E91076">
        <w:t xml:space="preserve">para las elecciones territoriales, esto es, las que se celebran para elegir autoridades locales: alcaldes, gobernadores, diputados, concejales y miembros de las juntas administradoras locales, la prohibición en cuanto a la contratación pública aplicable es la contenida en el parágrafo del </w:t>
      </w:r>
      <w:r w:rsidRPr="00E91076">
        <w:lastRenderedPageBreak/>
        <w:t>artículo 38 y no las de los artículos 32 y 33 de la Ley de Garantías Electorales.</w:t>
      </w:r>
    </w:p>
    <w:p w14:paraId="09C5387E" w14:textId="4D7607D3" w:rsidR="0003324A" w:rsidRPr="00E91076" w:rsidRDefault="00431C82" w:rsidP="001D0521">
      <w:pPr>
        <w:pStyle w:val="Textoindependiente"/>
        <w:spacing w:after="0"/>
        <w:ind w:firstLine="709"/>
      </w:pPr>
      <w:r w:rsidRPr="00E91076">
        <w:t xml:space="preserve">De manera </w:t>
      </w:r>
      <w:r w:rsidR="005C275C" w:rsidRPr="00E91076">
        <w:t>que,</w:t>
      </w:r>
      <w:r w:rsidRPr="00E91076">
        <w:t xml:space="preserve"> en el período </w:t>
      </w:r>
      <w:r w:rsidR="005C275C" w:rsidRPr="00E91076">
        <w:t>previo a los comicios electorales del año 2022</w:t>
      </w:r>
      <w:r w:rsidRPr="00E91076">
        <w:t xml:space="preserve">, </w:t>
      </w:r>
      <w:r w:rsidR="006D7AF0" w:rsidRPr="00E91076">
        <w:t>también aplica la prohibición</w:t>
      </w:r>
      <w:r w:rsidRPr="00E91076">
        <w:t xml:space="preserve"> en materia de contratación pública </w:t>
      </w:r>
      <w:r w:rsidR="00504976" w:rsidRPr="00E91076">
        <w:t>establecida en el par</w:t>
      </w:r>
      <w:r w:rsidR="000E40FE" w:rsidRPr="00E91076">
        <w:t>á</w:t>
      </w:r>
      <w:r w:rsidR="00504976" w:rsidRPr="00E91076">
        <w:t xml:space="preserve">grafo del artículo 38 </w:t>
      </w:r>
      <w:r w:rsidR="006D7AF0" w:rsidRPr="00E91076">
        <w:t xml:space="preserve">respecto a </w:t>
      </w:r>
      <w:r w:rsidRPr="00E91076">
        <w:t>la celebración de convenios o contratos interadministrativos para la ejecución de recursos públicos, por parte de los Departamentos,</w:t>
      </w:r>
      <w:r w:rsidRPr="00E91076">
        <w:rPr>
          <w:spacing w:val="11"/>
        </w:rPr>
        <w:t xml:space="preserve"> </w:t>
      </w:r>
      <w:r w:rsidRPr="00E91076">
        <w:t>los</w:t>
      </w:r>
      <w:r w:rsidRPr="00E91076">
        <w:rPr>
          <w:spacing w:val="13"/>
        </w:rPr>
        <w:t xml:space="preserve"> </w:t>
      </w:r>
      <w:r w:rsidRPr="00E91076">
        <w:t>Municipios</w:t>
      </w:r>
      <w:r w:rsidRPr="00E91076">
        <w:rPr>
          <w:spacing w:val="13"/>
        </w:rPr>
        <w:t xml:space="preserve"> </w:t>
      </w:r>
      <w:r w:rsidRPr="00E91076">
        <w:t>y</w:t>
      </w:r>
      <w:r w:rsidRPr="00E91076">
        <w:rPr>
          <w:spacing w:val="11"/>
        </w:rPr>
        <w:t xml:space="preserve"> </w:t>
      </w:r>
      <w:r w:rsidRPr="00E91076">
        <w:t>las</w:t>
      </w:r>
      <w:r w:rsidRPr="00E91076">
        <w:rPr>
          <w:spacing w:val="13"/>
        </w:rPr>
        <w:t xml:space="preserve"> </w:t>
      </w:r>
      <w:r w:rsidRPr="00E91076">
        <w:t>entidades</w:t>
      </w:r>
      <w:r w:rsidRPr="00E91076">
        <w:rPr>
          <w:spacing w:val="12"/>
        </w:rPr>
        <w:t xml:space="preserve"> </w:t>
      </w:r>
      <w:r w:rsidRPr="00E91076">
        <w:t>descentralizadas</w:t>
      </w:r>
      <w:r w:rsidRPr="00E91076">
        <w:rPr>
          <w:spacing w:val="14"/>
        </w:rPr>
        <w:t xml:space="preserve"> </w:t>
      </w:r>
      <w:r w:rsidRPr="00E91076">
        <w:t>del</w:t>
      </w:r>
      <w:r w:rsidRPr="00E91076">
        <w:rPr>
          <w:spacing w:val="15"/>
        </w:rPr>
        <w:t xml:space="preserve"> </w:t>
      </w:r>
      <w:r w:rsidRPr="00E91076">
        <w:t>orden</w:t>
      </w:r>
      <w:r w:rsidRPr="00E91076">
        <w:rPr>
          <w:spacing w:val="15"/>
        </w:rPr>
        <w:t xml:space="preserve"> </w:t>
      </w:r>
      <w:r w:rsidRPr="00E91076">
        <w:t>departamental, municipal o distrital, categoría dentro de la cual se incluyen, como ya se indicó, las Empresas Sociales del Estado, del orden Departamental, Municipal o Distrital.</w:t>
      </w:r>
    </w:p>
    <w:p w14:paraId="32C2EEED" w14:textId="79B124FF" w:rsidR="00735EB6" w:rsidRPr="00E91076" w:rsidRDefault="00735EB6" w:rsidP="00B004FA">
      <w:pPr>
        <w:spacing w:line="276" w:lineRule="auto"/>
        <w:jc w:val="both"/>
        <w:rPr>
          <w:rFonts w:ascii="Arial" w:eastAsia="Calibri" w:hAnsi="Arial" w:cs="Arial"/>
          <w:sz w:val="22"/>
          <w:lang w:val="es-ES_tradnl"/>
        </w:rPr>
      </w:pPr>
    </w:p>
    <w:p w14:paraId="50ACAD28" w14:textId="5BAFCD2C" w:rsidR="00305947" w:rsidRPr="00E91076" w:rsidRDefault="00305947" w:rsidP="00E71381">
      <w:pPr>
        <w:spacing w:line="276" w:lineRule="auto"/>
        <w:jc w:val="both"/>
        <w:rPr>
          <w:rFonts w:ascii="Arial" w:eastAsia="Calibri" w:hAnsi="Arial" w:cs="Arial"/>
          <w:b/>
          <w:sz w:val="22"/>
        </w:rPr>
      </w:pPr>
      <w:r w:rsidRPr="00E91076">
        <w:rPr>
          <w:rFonts w:ascii="Arial" w:eastAsia="Calibri" w:hAnsi="Arial" w:cs="Arial"/>
          <w:b/>
          <w:sz w:val="22"/>
        </w:rPr>
        <w:t>3. Respuesta</w:t>
      </w:r>
      <w:r w:rsidR="001D0521" w:rsidRPr="00E91076">
        <w:rPr>
          <w:rFonts w:ascii="Arial" w:eastAsia="Calibri" w:hAnsi="Arial" w:cs="Arial"/>
          <w:b/>
          <w:sz w:val="22"/>
        </w:rPr>
        <w:t xml:space="preserve">. </w:t>
      </w:r>
    </w:p>
    <w:p w14:paraId="552F3E2D" w14:textId="77777777" w:rsidR="00AB177F" w:rsidRPr="00E91076" w:rsidRDefault="00AB177F" w:rsidP="00AB177F">
      <w:pPr>
        <w:tabs>
          <w:tab w:val="left" w:pos="426"/>
        </w:tabs>
        <w:spacing w:line="276" w:lineRule="auto"/>
        <w:jc w:val="both"/>
        <w:rPr>
          <w:rFonts w:ascii="Arial" w:eastAsia="Calibri" w:hAnsi="Arial" w:cs="Arial"/>
          <w:sz w:val="22"/>
        </w:rPr>
      </w:pPr>
    </w:p>
    <w:p w14:paraId="6BA62A6D" w14:textId="3DC700BF" w:rsidR="00BA753C" w:rsidRPr="00E91076" w:rsidRDefault="00BA753C" w:rsidP="00CC3E1F">
      <w:pPr>
        <w:tabs>
          <w:tab w:val="left" w:pos="426"/>
        </w:tabs>
        <w:spacing w:after="120"/>
        <w:ind w:left="709" w:right="709"/>
        <w:jc w:val="both"/>
        <w:rPr>
          <w:rFonts w:ascii="Arial" w:eastAsia="Calibri" w:hAnsi="Arial" w:cs="Arial"/>
          <w:sz w:val="21"/>
          <w:szCs w:val="21"/>
        </w:rPr>
      </w:pPr>
      <w:r w:rsidRPr="00E91076">
        <w:rPr>
          <w:rFonts w:ascii="Arial" w:eastAsia="Calibri" w:hAnsi="Arial" w:cs="Arial"/>
          <w:sz w:val="21"/>
          <w:szCs w:val="21"/>
        </w:rPr>
        <w:t>«Actualmente la Secretaria Seccional de Salud y Protección Social de Antioquia en el marco de sus funciones legales y constitucionales suscribe contratos interadministrativos con diferentes Empresas Sociales del Estado y Hospitales Públicos del Departamento, con el objeto de garantizar la prestación de servicios de salud de mediana y alta complejidad en las diferentes regiones del departamento de Antioquia, dirigidos a la población no afiliada al SGSSS de Antioquia y a la población migrante sin afiliación al Sistema General de Seguridad Social en Salud:</w:t>
      </w:r>
    </w:p>
    <w:p w14:paraId="60B699BF" w14:textId="77777777" w:rsidR="00BA753C" w:rsidRPr="00E91076" w:rsidRDefault="00BA753C" w:rsidP="00CC3E1F">
      <w:pPr>
        <w:tabs>
          <w:tab w:val="left" w:pos="426"/>
        </w:tabs>
        <w:spacing w:after="120"/>
        <w:ind w:left="709" w:right="709"/>
        <w:jc w:val="both"/>
        <w:rPr>
          <w:rFonts w:ascii="Arial" w:eastAsia="Calibri" w:hAnsi="Arial" w:cs="Arial"/>
          <w:sz w:val="21"/>
          <w:szCs w:val="21"/>
        </w:rPr>
      </w:pPr>
      <w:r w:rsidRPr="00E91076">
        <w:rPr>
          <w:rFonts w:ascii="Arial" w:eastAsia="Calibri" w:hAnsi="Arial" w:cs="Arial"/>
          <w:sz w:val="21"/>
          <w:szCs w:val="21"/>
        </w:rPr>
        <w:t xml:space="preserve">Teniendo en cuenta lo anterior y dado que el mes de noviembre del presente año inician las restricciones estipuladas en la Ley 996 de 2005 (Ley de garantías electorales) que establece la prohibición de suscribir contratos y convenios interadministrativos en los cuatro (4) meses anteriores a las elecciones del Congreso de la República, y que adicionalmente a esto, la norma mencionada determina algunas excepciones dentro de la prohibición mencionada, para el presente caso dicta la siguiente “… y los que deban realizar las entidades sanitarias y hospitalarias”, la Entidad debe buscar la forma indicada para seguir cumpliendo con sus funciones. </w:t>
      </w:r>
    </w:p>
    <w:p w14:paraId="583521DB" w14:textId="543BCDD7" w:rsidR="00BA753C" w:rsidRPr="00E91076" w:rsidRDefault="00BA753C" w:rsidP="00CC3E1F">
      <w:pPr>
        <w:tabs>
          <w:tab w:val="left" w:pos="426"/>
        </w:tabs>
        <w:ind w:left="709" w:right="709"/>
        <w:jc w:val="both"/>
        <w:rPr>
          <w:rFonts w:ascii="Arial" w:eastAsia="Calibri" w:hAnsi="Arial" w:cs="Arial"/>
          <w:sz w:val="21"/>
          <w:szCs w:val="21"/>
        </w:rPr>
      </w:pPr>
      <w:r w:rsidRPr="00E91076">
        <w:rPr>
          <w:rFonts w:ascii="Arial" w:eastAsia="Calibri" w:hAnsi="Arial" w:cs="Arial"/>
          <w:sz w:val="21"/>
          <w:szCs w:val="21"/>
        </w:rPr>
        <w:t>Por lo anteriormente expuesto la Secretaria Seccional de Salud y Protección Social de Antioquia desea elevar la consulta a la Agencia Nacional de Contratación Pública – Colombia Compra Eficiente sobre la posibilidad de suscribir dichos contratos en el periodo de Ley de Garantías o en su defecto que la Agencia pueda brindar una claridad sobre el que hacer de la Entidad en este caso particular».</w:t>
      </w:r>
    </w:p>
    <w:p w14:paraId="4E7CC015" w14:textId="3EB63A1E" w:rsidR="00B04EDB" w:rsidRPr="00E91076" w:rsidRDefault="00B04EDB" w:rsidP="00E71381">
      <w:pPr>
        <w:pStyle w:val="Prrafodelista"/>
        <w:tabs>
          <w:tab w:val="left" w:pos="426"/>
        </w:tabs>
        <w:spacing w:line="276" w:lineRule="auto"/>
        <w:ind w:left="0" w:right="709"/>
        <w:jc w:val="both"/>
        <w:rPr>
          <w:rFonts w:ascii="Arial" w:eastAsia="Calibri" w:hAnsi="Arial" w:cs="Arial"/>
          <w:sz w:val="22"/>
        </w:rPr>
      </w:pPr>
    </w:p>
    <w:p w14:paraId="6376D7E0" w14:textId="41709F85" w:rsidR="00806F37" w:rsidRPr="00E91076" w:rsidRDefault="005E55D7" w:rsidP="00CE3521">
      <w:pPr>
        <w:pStyle w:val="Textoindependiente"/>
        <w:spacing w:after="120"/>
      </w:pPr>
      <w:r w:rsidRPr="00E91076">
        <w:t>Conforme a las consideraci</w:t>
      </w:r>
      <w:r w:rsidR="00621149" w:rsidRPr="00E91076">
        <w:t>one</w:t>
      </w:r>
      <w:r w:rsidR="00606730" w:rsidRPr="00E91076">
        <w:t>s an</w:t>
      </w:r>
      <w:r w:rsidR="00424964" w:rsidRPr="00E91076">
        <w:t xml:space="preserve">tes indicadas y al </w:t>
      </w:r>
      <w:r w:rsidR="00493EF0" w:rsidRPr="00E91076">
        <w:t>teno</w:t>
      </w:r>
      <w:r w:rsidR="00424964" w:rsidRPr="00E91076">
        <w:t>r del art</w:t>
      </w:r>
      <w:r w:rsidR="00493EF0" w:rsidRPr="00E91076">
        <w:t>í</w:t>
      </w:r>
      <w:r w:rsidR="00424964" w:rsidRPr="00E91076">
        <w:t>culo 33 y el parágrafo del artículo 38 de la Ley 966 de 2005</w:t>
      </w:r>
      <w:r w:rsidR="00606730" w:rsidRPr="00E91076">
        <w:t xml:space="preserve">, que establecen las </w:t>
      </w:r>
      <w:r w:rsidR="00424964" w:rsidRPr="00E91076">
        <w:t xml:space="preserve">restricciones y prohibiciones para </w:t>
      </w:r>
      <w:r w:rsidR="001E0106" w:rsidRPr="00E91076">
        <w:t xml:space="preserve">las entidades estatales y </w:t>
      </w:r>
      <w:r w:rsidR="00424964" w:rsidRPr="00E91076">
        <w:t xml:space="preserve">los servidores públicos </w:t>
      </w:r>
      <w:r w:rsidR="001E0106" w:rsidRPr="00E91076">
        <w:t xml:space="preserve">de realizar </w:t>
      </w:r>
      <w:r w:rsidR="00FB0241" w:rsidRPr="00E91076">
        <w:t xml:space="preserve">ciertas </w:t>
      </w:r>
      <w:r w:rsidR="001E0106" w:rsidRPr="00E91076">
        <w:t>contrataciones, previas</w:t>
      </w:r>
      <w:r w:rsidR="00424964" w:rsidRPr="00E91076">
        <w:t xml:space="preserve"> a los comicios electorales, es preciso realizar las siguientes aclaraciones:</w:t>
      </w:r>
    </w:p>
    <w:p w14:paraId="0C9711E2" w14:textId="203EB6B1" w:rsidR="00AF16AE" w:rsidRPr="00E91076" w:rsidRDefault="00424964" w:rsidP="00CE3521">
      <w:pPr>
        <w:pStyle w:val="Textoindependiente"/>
        <w:spacing w:after="120"/>
        <w:ind w:firstLine="709"/>
      </w:pPr>
      <w:r w:rsidRPr="00E91076">
        <w:t xml:space="preserve">En primer lugar, el artículo 33 de la mencionada </w:t>
      </w:r>
      <w:r w:rsidR="008E121D" w:rsidRPr="00E91076">
        <w:t>ley ha</w:t>
      </w:r>
      <w:r w:rsidRPr="00E91076">
        <w:t xml:space="preserve"> señalado que existe la prohibición </w:t>
      </w:r>
      <w:r w:rsidR="008E121D" w:rsidRPr="00E91076">
        <w:t xml:space="preserve">para las entidades estatales </w:t>
      </w:r>
      <w:r w:rsidRPr="00E91076">
        <w:t xml:space="preserve">de realizar contrataciones directas durante los 4 meses anteriores a las elecciones presidenciales, sin embargo, estableció ciertas excepciones, entre las </w:t>
      </w:r>
      <w:r w:rsidR="00806F37" w:rsidRPr="00E91076">
        <w:t>que</w:t>
      </w:r>
      <w:r w:rsidRPr="00E91076">
        <w:t xml:space="preserve"> se </w:t>
      </w:r>
      <w:r w:rsidR="008E121D" w:rsidRPr="00E91076">
        <w:t>encuentran las contrataciones que se</w:t>
      </w:r>
      <w:r w:rsidRPr="00E91076">
        <w:t xml:space="preserve"> deban realizar con </w:t>
      </w:r>
      <w:r w:rsidRPr="00E91076">
        <w:lastRenderedPageBreak/>
        <w:t xml:space="preserve">entidades sanitarias y hospitalarias. </w:t>
      </w:r>
    </w:p>
    <w:p w14:paraId="39A18236" w14:textId="774D384F" w:rsidR="00AF16AE" w:rsidRPr="00E91076" w:rsidRDefault="00C14C9E" w:rsidP="00CE3521">
      <w:pPr>
        <w:pStyle w:val="Textoindependiente"/>
        <w:spacing w:after="120"/>
        <w:ind w:firstLine="709"/>
      </w:pPr>
      <w:r w:rsidRPr="00E91076">
        <w:t>En segundo lugar</w:t>
      </w:r>
      <w:r w:rsidR="008E121D" w:rsidRPr="00E91076">
        <w:t>,</w:t>
      </w:r>
      <w:r w:rsidR="00424964" w:rsidRPr="00E91076">
        <w:t xml:space="preserve"> el parágrafo del </w:t>
      </w:r>
      <w:r w:rsidR="008E121D" w:rsidRPr="00E91076">
        <w:t>artículo</w:t>
      </w:r>
      <w:r w:rsidR="00424964" w:rsidRPr="00E91076">
        <w:t xml:space="preserve"> 38 </w:t>
      </w:r>
      <w:r w:rsidRPr="00E91076">
        <w:t xml:space="preserve">del mismo cuerpo normativo, </w:t>
      </w:r>
      <w:r w:rsidR="00424964" w:rsidRPr="00E91076">
        <w:t>establece la prohibición a los servidores públicos de celebrar convenios o</w:t>
      </w:r>
      <w:r w:rsidR="00E5678C" w:rsidRPr="00E91076">
        <w:t xml:space="preserve"> contratos interadministrativos dentro de los 4 meses anteriores a las elecciones, sin que especificara a </w:t>
      </w:r>
      <w:r w:rsidR="008E121D" w:rsidRPr="00E91076">
        <w:t>cuáles</w:t>
      </w:r>
      <w:r w:rsidR="00E5678C" w:rsidRPr="00E91076">
        <w:t xml:space="preserve"> hace referencia, </w:t>
      </w:r>
      <w:r w:rsidR="00C30E82" w:rsidRPr="00E91076">
        <w:t>entendiéndose</w:t>
      </w:r>
      <w:r w:rsidR="008E121D" w:rsidRPr="00E91076">
        <w:t xml:space="preserve"> que la prohibición</w:t>
      </w:r>
      <w:r w:rsidR="00E5678C" w:rsidRPr="00E91076">
        <w:t xml:space="preserve"> </w:t>
      </w:r>
      <w:r w:rsidR="008E121D" w:rsidRPr="00E91076">
        <w:t>es aplicable a todo tipo de elecciones.</w:t>
      </w:r>
    </w:p>
    <w:p w14:paraId="2F569DC3" w14:textId="38CAC744" w:rsidR="006B3A0D" w:rsidRPr="00E91076" w:rsidRDefault="00E5678C" w:rsidP="00CC3E1F">
      <w:pPr>
        <w:pStyle w:val="Textoindependiente"/>
        <w:spacing w:after="120"/>
        <w:ind w:firstLine="709"/>
      </w:pPr>
      <w:r w:rsidRPr="00E91076">
        <w:t>En consecuencia</w:t>
      </w:r>
      <w:r w:rsidR="000E40FE" w:rsidRPr="00E91076">
        <w:t>,</w:t>
      </w:r>
      <w:r w:rsidRPr="00E91076">
        <w:t xml:space="preserve"> para responder a su pregunta</w:t>
      </w:r>
      <w:r w:rsidR="000E40FE" w:rsidRPr="00E91076">
        <w:t>,</w:t>
      </w:r>
      <w:r w:rsidRPr="00E91076">
        <w:t xml:space="preserve"> se </w:t>
      </w:r>
      <w:r w:rsidR="008E121D" w:rsidRPr="00E91076">
        <w:t>precisa</w:t>
      </w:r>
      <w:r w:rsidRPr="00E91076">
        <w:t xml:space="preserve"> que en cuanto a</w:t>
      </w:r>
      <w:r w:rsidR="000E40FE" w:rsidRPr="00E91076">
        <w:t xml:space="preserve"> los</w:t>
      </w:r>
      <w:r w:rsidRPr="00E91076">
        <w:t xml:space="preserve"> contratos o convenios interadministrativo existe una prohibición expresa </w:t>
      </w:r>
      <w:r w:rsidR="00C30E82" w:rsidRPr="00E91076">
        <w:t xml:space="preserve">para </w:t>
      </w:r>
      <w:r w:rsidRPr="00E91076">
        <w:t xml:space="preserve">que estos no se </w:t>
      </w:r>
      <w:r w:rsidR="00C30E82" w:rsidRPr="00E91076">
        <w:t xml:space="preserve">puedan </w:t>
      </w:r>
      <w:r w:rsidR="00DC0452" w:rsidRPr="00E91076">
        <w:t>celebrar durante los 4 meses anteriores a las elecciones</w:t>
      </w:r>
      <w:r w:rsidR="000E40FE" w:rsidRPr="00E91076">
        <w:t xml:space="preserve"> para cualquier cargo de elección popular –incluyendo también las elecciones presidenciales–</w:t>
      </w:r>
      <w:r w:rsidRPr="00E91076">
        <w:t xml:space="preserve">, independientemente </w:t>
      </w:r>
      <w:r w:rsidR="00C30E82" w:rsidRPr="00E91076">
        <w:t xml:space="preserve">de </w:t>
      </w:r>
      <w:r w:rsidRPr="00E91076">
        <w:t xml:space="preserve">si </w:t>
      </w:r>
      <w:r w:rsidR="00A44694" w:rsidRPr="00E91076">
        <w:t xml:space="preserve">el objeto de </w:t>
      </w:r>
      <w:r w:rsidRPr="00E91076">
        <w:t xml:space="preserve">este </w:t>
      </w:r>
      <w:r w:rsidR="00C14C9E" w:rsidRPr="00E91076">
        <w:t xml:space="preserve">contrato o </w:t>
      </w:r>
      <w:r w:rsidRPr="00E91076">
        <w:t>convenio es para realizar actividades relacionadas con la prestación del servicio de salud</w:t>
      </w:r>
      <w:r w:rsidR="00A37819" w:rsidRPr="00E91076">
        <w:t>, como</w:t>
      </w:r>
      <w:r w:rsidRPr="00E91076">
        <w:t>quiera</w:t>
      </w:r>
      <w:r w:rsidR="00C14C9E" w:rsidRPr="00E91076">
        <w:t xml:space="preserve"> que</w:t>
      </w:r>
      <w:r w:rsidRPr="00E91076">
        <w:t xml:space="preserve"> la </w:t>
      </w:r>
      <w:r w:rsidR="00C14C9E" w:rsidRPr="00E91076">
        <w:t xml:space="preserve">disposición </w:t>
      </w:r>
      <w:r w:rsidRPr="00E91076">
        <w:rPr>
          <w:i/>
        </w:rPr>
        <w:t>per se</w:t>
      </w:r>
      <w:r w:rsidR="00C14C9E" w:rsidRPr="00E91076">
        <w:t xml:space="preserve"> no ha considerado excepciones, no siendo posible interpretar que estos se pueden realizar en virtud de las excepciones señaladas en el </w:t>
      </w:r>
      <w:r w:rsidR="00DC0452" w:rsidRPr="00E91076">
        <w:t>artículo</w:t>
      </w:r>
      <w:r w:rsidR="00C14C9E" w:rsidRPr="00E91076">
        <w:t xml:space="preserve"> 33, por el simple hecho que la contratación se</w:t>
      </w:r>
      <w:r w:rsidR="00A44694" w:rsidRPr="00E91076">
        <w:t xml:space="preserve"> pretenda realizar </w:t>
      </w:r>
      <w:r w:rsidR="00C14C9E" w:rsidRPr="00E91076">
        <w:t>con entida</w:t>
      </w:r>
      <w:r w:rsidR="00B33532" w:rsidRPr="00E91076">
        <w:t xml:space="preserve">des sanitarias y hospitalarias, en razón a que la prohibición </w:t>
      </w:r>
      <w:r w:rsidR="00C30E82" w:rsidRPr="00E91076">
        <w:t>del parágrafo del artículo 38 está relacionada con</w:t>
      </w:r>
      <w:r w:rsidR="00B33532" w:rsidRPr="00E91076">
        <w:t xml:space="preserve"> los contratos o convenios interadministrativos sin importar </w:t>
      </w:r>
      <w:r w:rsidR="00806F37" w:rsidRPr="00E91076">
        <w:t>el objeto a contratar</w:t>
      </w:r>
      <w:r w:rsidR="00B33532" w:rsidRPr="00E91076">
        <w:t xml:space="preserve">. </w:t>
      </w:r>
    </w:p>
    <w:p w14:paraId="42E1B457" w14:textId="324B112F" w:rsidR="00A44694" w:rsidRPr="00E91076" w:rsidRDefault="0017007F" w:rsidP="00CE3521">
      <w:pPr>
        <w:pStyle w:val="Textoindependiente"/>
        <w:spacing w:after="0"/>
        <w:ind w:firstLine="709"/>
      </w:pPr>
      <w:r w:rsidRPr="00E91076">
        <w:t>En virtud de lo anterior</w:t>
      </w:r>
      <w:r w:rsidR="00A44694" w:rsidRPr="00E91076">
        <w:t xml:space="preserve">, le corresponderá a </w:t>
      </w:r>
      <w:r w:rsidR="00264997" w:rsidRPr="00E91076">
        <w:t xml:space="preserve">cada </w:t>
      </w:r>
      <w:r w:rsidR="00A44694" w:rsidRPr="00E91076">
        <w:t>entidad estatal</w:t>
      </w:r>
      <w:r w:rsidR="00C30E82" w:rsidRPr="00E91076">
        <w:t xml:space="preserve">, teniendo en cuenta el contexto anterior, en desarrollo del principio de </w:t>
      </w:r>
      <w:r w:rsidRPr="00E91076">
        <w:t>planeación contractual</w:t>
      </w:r>
      <w:r w:rsidR="00C30E82" w:rsidRPr="00E91076">
        <w:t>,</w:t>
      </w:r>
      <w:r w:rsidRPr="00E91076">
        <w:t xml:space="preserve"> </w:t>
      </w:r>
      <w:r w:rsidR="00C30E82" w:rsidRPr="00E91076">
        <w:t xml:space="preserve">planear la forma como desarrollará su actividad contractual </w:t>
      </w:r>
      <w:r w:rsidR="0034781E" w:rsidRPr="00E91076">
        <w:t xml:space="preserve">para </w:t>
      </w:r>
      <w:r w:rsidR="00A44694" w:rsidRPr="00E91076">
        <w:t>poder cumplir con los fines de la contratación estatal consagrados en el artículo 3° de la Ley 80 de 1993, en concordancia con los artículos 2° y 366 de la Constitución política</w:t>
      </w:r>
      <w:r w:rsidR="00476A47" w:rsidRPr="00E91076">
        <w:t>, teniendo en cuenta las restricciones analizadas.</w:t>
      </w:r>
    </w:p>
    <w:p w14:paraId="2FB7084A" w14:textId="77777777" w:rsidR="00E5678C" w:rsidRPr="00E91076" w:rsidRDefault="00E5678C" w:rsidP="00E5678C">
      <w:pPr>
        <w:pStyle w:val="Prrafodelista"/>
        <w:tabs>
          <w:tab w:val="left" w:pos="426"/>
        </w:tabs>
        <w:spacing w:line="276" w:lineRule="auto"/>
        <w:ind w:left="0"/>
        <w:jc w:val="both"/>
        <w:rPr>
          <w:rFonts w:ascii="Arial" w:eastAsia="Calibri" w:hAnsi="Arial" w:cs="Arial"/>
          <w:color w:val="000000" w:themeColor="text1"/>
          <w:sz w:val="22"/>
        </w:rPr>
      </w:pPr>
    </w:p>
    <w:p w14:paraId="426B5DCA" w14:textId="3B5623DB" w:rsidR="00214878" w:rsidRPr="00E91076" w:rsidRDefault="00214878" w:rsidP="004B2EF6">
      <w:pPr>
        <w:spacing w:line="276" w:lineRule="auto"/>
        <w:jc w:val="both"/>
        <w:rPr>
          <w:rFonts w:ascii="Arial" w:eastAsia="Calibri" w:hAnsi="Arial" w:cs="Arial"/>
          <w:sz w:val="22"/>
        </w:rPr>
      </w:pPr>
      <w:r w:rsidRPr="00E91076">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E91076" w:rsidRDefault="0002551F" w:rsidP="00E71381">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CD04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FC6667" w14:textId="2393861B" w:rsidR="009C0366" w:rsidRPr="00E91076" w:rsidRDefault="004804BD" w:rsidP="00D35139">
      <w:pPr>
        <w:spacing w:line="276" w:lineRule="auto"/>
        <w:jc w:val="center"/>
        <w:rPr>
          <w:rFonts w:ascii="Arial" w:hAnsi="Arial" w:cs="Arial"/>
          <w:noProof/>
          <w:lang w:val="en-US"/>
        </w:rPr>
      </w:pPr>
      <w:r>
        <w:rPr>
          <w:rFonts w:ascii="Arial" w:hAnsi="Arial" w:cs="Arial"/>
          <w:noProof/>
          <w:lang w:val="es-CO" w:eastAsia="es-CO"/>
        </w:rPr>
        <w:drawing>
          <wp:inline distT="0" distB="0" distL="0" distR="0" wp14:anchorId="6D8C827D" wp14:editId="4D97F289">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E91076" w:rsidRDefault="008D7064"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 xml:space="preserve">Jorge Alberto García </w:t>
            </w:r>
            <w:proofErr w:type="spellStart"/>
            <w:r w:rsidRPr="00E91076">
              <w:rPr>
                <w:rFonts w:ascii="Arial" w:eastAsia="Times New Roman" w:hAnsi="Arial" w:cs="Arial"/>
                <w:sz w:val="14"/>
                <w:szCs w:val="14"/>
                <w:lang w:eastAsia="es-ES"/>
              </w:rPr>
              <w:t>Calume</w:t>
            </w:r>
            <w:proofErr w:type="spellEnd"/>
            <w:r w:rsidRPr="00E91076">
              <w:rPr>
                <w:rFonts w:ascii="Arial" w:eastAsia="Times New Roman" w:hAnsi="Arial" w:cs="Arial"/>
                <w:sz w:val="14"/>
                <w:szCs w:val="14"/>
                <w:lang w:eastAsia="es-ES"/>
              </w:rPr>
              <w:t xml:space="preserve"> </w:t>
            </w:r>
            <w:r w:rsidR="00A60725" w:rsidRPr="00E91076">
              <w:rPr>
                <w:rFonts w:ascii="Arial" w:eastAsia="Times New Roman" w:hAnsi="Arial" w:cs="Arial"/>
                <w:sz w:val="14"/>
                <w:szCs w:val="14"/>
                <w:lang w:eastAsia="es-ES"/>
              </w:rPr>
              <w:t xml:space="preserve"> </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199EE643" w:rsidR="0014392D" w:rsidRPr="00E91076" w:rsidRDefault="00E522C5" w:rsidP="00DF0F8E">
            <w:pPr>
              <w:rPr>
                <w:rFonts w:ascii="Arial" w:hAnsi="Arial" w:cs="Arial"/>
                <w:sz w:val="14"/>
                <w:szCs w:val="14"/>
                <w:lang w:eastAsia="es-ES"/>
              </w:rPr>
            </w:pPr>
            <w:r w:rsidRPr="00E91076">
              <w:rPr>
                <w:rFonts w:ascii="Arial" w:hAnsi="Arial" w:cs="Arial"/>
                <w:sz w:val="14"/>
                <w:szCs w:val="14"/>
                <w:lang w:eastAsia="es-ES"/>
              </w:rPr>
              <w:t xml:space="preserve">Sebastián Ramírez Grisales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CCE7" w16cex:dateUtc="2021-07-15T20:04:00Z"/>
  <w16cex:commentExtensible w16cex:durableId="249ACCF7" w16cex:dateUtc="2021-07-15T20:04:00Z"/>
  <w16cex:commentExtensible w16cex:durableId="249B064A" w16cex:dateUtc="2021-07-16T00:08:00Z"/>
  <w16cex:commentExtensible w16cex:durableId="249BED02" w16cex:dateUtc="2021-07-16T16:33:00Z"/>
  <w16cex:commentExtensible w16cex:durableId="249B0699" w16cex:dateUtc="2021-07-16T00:10:00Z"/>
  <w16cex:commentExtensible w16cex:durableId="249BEE3F" w16cex:dateUtc="2021-07-16T16:38:00Z"/>
  <w16cex:commentExtensible w16cex:durableId="249B06BC" w16cex:dateUtc="2021-07-16T00:10:00Z"/>
  <w16cex:commentExtensible w16cex:durableId="249BEEAA" w16cex:dateUtc="2021-07-16T16:40:00Z"/>
  <w16cex:commentExtensible w16cex:durableId="249B073A" w16cex:dateUtc="2021-07-16T00:12:00Z"/>
  <w16cex:commentExtensible w16cex:durableId="249BEF8C" w16cex:dateUtc="2021-07-1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CB0C9" w16cid:durableId="249ACCE7"/>
  <w16cid:commentId w16cid:paraId="291D0884" w16cid:durableId="249ACCF7"/>
  <w16cid:commentId w16cid:paraId="69C00391" w16cid:durableId="249B064A"/>
  <w16cid:commentId w16cid:paraId="0F6C86AF" w16cid:durableId="249BED02"/>
  <w16cid:commentId w16cid:paraId="4733B813" w16cid:durableId="249B0699"/>
  <w16cid:commentId w16cid:paraId="629063BA" w16cid:durableId="249BEE3F"/>
  <w16cid:commentId w16cid:paraId="7DD140BE" w16cid:durableId="249B06BC"/>
  <w16cid:commentId w16cid:paraId="7F4CF7B6" w16cid:durableId="249BEEAA"/>
  <w16cid:commentId w16cid:paraId="32A5810D" w16cid:durableId="249B073A"/>
  <w16cid:commentId w16cid:paraId="7BEDC584" w16cid:durableId="249BEF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EF6C2" w14:textId="77777777" w:rsidR="007C3849" w:rsidRDefault="007C3849">
      <w:r>
        <w:separator/>
      </w:r>
    </w:p>
  </w:endnote>
  <w:endnote w:type="continuationSeparator" w:id="0">
    <w:p w14:paraId="3A51515A" w14:textId="77777777" w:rsidR="007C3849" w:rsidRDefault="007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759C" w14:textId="04A0C3EE"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D6C9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D6C9E">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s-CO" w:eastAsia="es-CO"/>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ACC05" w14:textId="77777777" w:rsidR="007C3849" w:rsidRDefault="007C3849">
      <w:r>
        <w:separator/>
      </w:r>
    </w:p>
  </w:footnote>
  <w:footnote w:type="continuationSeparator" w:id="0">
    <w:p w14:paraId="1E61DDA7" w14:textId="77777777" w:rsidR="007C3849" w:rsidRDefault="007C3849">
      <w:r>
        <w:continuationSeparator/>
      </w:r>
    </w:p>
  </w:footnote>
  <w:footnote w:id="1">
    <w:p w14:paraId="6C05EAF0" w14:textId="09EC92FB" w:rsidR="00E522C5" w:rsidRDefault="00E522C5" w:rsidP="009C2258">
      <w:pPr>
        <w:ind w:firstLine="709"/>
        <w:rPr>
          <w:rFonts w:ascii="Arial" w:hAnsi="Arial" w:cs="Arial"/>
          <w:sz w:val="19"/>
          <w:szCs w:val="19"/>
        </w:rPr>
      </w:pPr>
      <w:r w:rsidRPr="00E522C5">
        <w:rPr>
          <w:rStyle w:val="Refdenotaalpie"/>
          <w:rFonts w:ascii="Arial" w:hAnsi="Arial" w:cs="Arial"/>
          <w:sz w:val="19"/>
          <w:szCs w:val="19"/>
        </w:rPr>
        <w:footnoteRef/>
      </w:r>
      <w:r w:rsidRPr="00E522C5">
        <w:rPr>
          <w:rFonts w:ascii="Arial" w:hAnsi="Arial" w:cs="Arial"/>
          <w:sz w:val="19"/>
          <w:szCs w:val="19"/>
        </w:rPr>
        <w:t xml:space="preserve"> Ley 1150 de 2007, artículo 2, literal 4, numeral c, modificada por el artículo 92 de la Ley 1474 de</w:t>
      </w:r>
      <w:r w:rsidR="00A27285">
        <w:rPr>
          <w:rFonts w:ascii="Arial" w:hAnsi="Arial" w:cs="Arial"/>
          <w:sz w:val="19"/>
          <w:szCs w:val="19"/>
        </w:rPr>
        <w:t xml:space="preserve"> 2011. </w:t>
      </w:r>
    </w:p>
    <w:p w14:paraId="53CF54D0" w14:textId="77777777" w:rsidR="00E7285F" w:rsidRPr="00E522C5" w:rsidRDefault="00E7285F" w:rsidP="009C2258">
      <w:pPr>
        <w:ind w:firstLine="709"/>
        <w:rPr>
          <w:rFonts w:ascii="Arial" w:hAnsi="Arial" w:cs="Arial"/>
          <w:sz w:val="19"/>
          <w:szCs w:val="19"/>
        </w:rPr>
      </w:pPr>
    </w:p>
  </w:footnote>
  <w:footnote w:id="2">
    <w:p w14:paraId="0360F564" w14:textId="53F5A127" w:rsidR="00E522C5" w:rsidRDefault="00E522C5" w:rsidP="009C2258">
      <w:pPr>
        <w:ind w:firstLine="709"/>
        <w:jc w:val="both"/>
        <w:rPr>
          <w:rFonts w:ascii="Arial" w:hAnsi="Arial" w:cs="Arial"/>
          <w:sz w:val="19"/>
          <w:szCs w:val="19"/>
        </w:rPr>
      </w:pPr>
      <w:r w:rsidRPr="00E522C5">
        <w:rPr>
          <w:rStyle w:val="Refdenotaalpie"/>
          <w:rFonts w:ascii="Arial" w:hAnsi="Arial" w:cs="Arial"/>
          <w:sz w:val="19"/>
          <w:szCs w:val="19"/>
        </w:rPr>
        <w:footnoteRef/>
      </w:r>
      <w:r w:rsidRPr="00E522C5">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1343D19" w14:textId="77777777" w:rsidR="00E7285F" w:rsidRPr="009C2258" w:rsidRDefault="00E7285F" w:rsidP="009C2258">
      <w:pPr>
        <w:ind w:firstLine="709"/>
        <w:jc w:val="both"/>
        <w:rPr>
          <w:rFonts w:ascii="Arial" w:hAnsi="Arial" w:cs="Arial"/>
          <w:sz w:val="19"/>
          <w:szCs w:val="19"/>
        </w:rPr>
      </w:pPr>
    </w:p>
  </w:footnote>
  <w:footnote w:id="3">
    <w:p w14:paraId="1452E1BF" w14:textId="1C189916" w:rsidR="00E522C5" w:rsidRDefault="00E522C5" w:rsidP="009C2258">
      <w:pPr>
        <w:ind w:firstLine="709"/>
        <w:jc w:val="both"/>
        <w:rPr>
          <w:rFonts w:ascii="Arial" w:hAnsi="Arial" w:cs="Arial"/>
          <w:sz w:val="19"/>
          <w:szCs w:val="19"/>
        </w:rPr>
      </w:pPr>
      <w:r w:rsidRPr="00E522C5">
        <w:rPr>
          <w:rStyle w:val="Refdenotaalpie"/>
          <w:rFonts w:ascii="Arial" w:hAnsi="Arial" w:cs="Arial"/>
          <w:sz w:val="19"/>
          <w:szCs w:val="19"/>
        </w:rPr>
        <w:footnoteRef/>
      </w:r>
      <w:r w:rsidRPr="00E522C5">
        <w:rPr>
          <w:rFonts w:ascii="Arial" w:hAnsi="Arial" w:cs="Arial"/>
          <w:sz w:val="19"/>
          <w:szCs w:val="19"/>
        </w:rPr>
        <w:t xml:space="preserve"> Ley 489 de 1998: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76B5B2E3" w14:textId="77777777" w:rsidR="00E7285F" w:rsidRPr="00E522C5" w:rsidRDefault="00E7285F" w:rsidP="009C2258">
      <w:pPr>
        <w:ind w:firstLine="709"/>
        <w:jc w:val="both"/>
        <w:rPr>
          <w:rFonts w:ascii="Arial" w:hAnsi="Arial" w:cs="Arial"/>
          <w:sz w:val="19"/>
          <w:szCs w:val="19"/>
        </w:rPr>
      </w:pPr>
    </w:p>
  </w:footnote>
  <w:footnote w:id="4">
    <w:p w14:paraId="22F91B84" w14:textId="339C9CC3" w:rsidR="00E522C5" w:rsidRDefault="00E522C5" w:rsidP="009C2258">
      <w:pPr>
        <w:ind w:firstLine="709"/>
        <w:jc w:val="both"/>
        <w:rPr>
          <w:rFonts w:ascii="Arial" w:hAnsi="Arial" w:cs="Arial"/>
          <w:sz w:val="19"/>
          <w:szCs w:val="19"/>
        </w:rPr>
      </w:pPr>
      <w:r w:rsidRPr="00E522C5">
        <w:rPr>
          <w:rStyle w:val="Refdenotaalpie"/>
          <w:rFonts w:ascii="Arial" w:hAnsi="Arial" w:cs="Arial"/>
          <w:sz w:val="19"/>
          <w:szCs w:val="19"/>
        </w:rPr>
        <w:footnoteRef/>
      </w:r>
      <w:r w:rsidRPr="00E522C5">
        <w:rPr>
          <w:rFonts w:ascii="Arial" w:hAnsi="Arial" w:cs="Arial"/>
          <w:sz w:val="19"/>
          <w:szCs w:val="19"/>
        </w:rPr>
        <w:t xml:space="preserve"> Consejo de Estado. Sección Tercera. Sentencia del 23 de junio de 2010. C.P. Mauricio Fajardo Gómez (E) Rad. 1998-00261-01(17860).</w:t>
      </w:r>
    </w:p>
    <w:p w14:paraId="1A36A6B4" w14:textId="77777777" w:rsidR="00E7285F" w:rsidRPr="00E522C5" w:rsidRDefault="00E7285F" w:rsidP="009C2258">
      <w:pPr>
        <w:ind w:firstLine="709"/>
        <w:jc w:val="both"/>
        <w:rPr>
          <w:rFonts w:ascii="Arial" w:hAnsi="Arial" w:cs="Arial"/>
          <w:sz w:val="19"/>
          <w:szCs w:val="19"/>
        </w:rPr>
      </w:pPr>
    </w:p>
  </w:footnote>
  <w:footnote w:id="5">
    <w:p w14:paraId="6E14DEDC" w14:textId="3DA61444" w:rsidR="0003324A" w:rsidRDefault="0003324A" w:rsidP="0003324A">
      <w:pPr>
        <w:pStyle w:val="Textonotapie"/>
        <w:ind w:firstLine="709"/>
        <w:jc w:val="both"/>
        <w:rPr>
          <w:rFonts w:ascii="Arial" w:hAnsi="Arial" w:cs="Arial"/>
          <w:sz w:val="19"/>
          <w:szCs w:val="19"/>
        </w:rPr>
      </w:pPr>
      <w:r w:rsidRPr="00E522C5">
        <w:rPr>
          <w:rStyle w:val="Refdenotaalpie"/>
          <w:rFonts w:ascii="Arial" w:hAnsi="Arial" w:cs="Arial"/>
          <w:sz w:val="19"/>
          <w:szCs w:val="19"/>
        </w:rPr>
        <w:footnoteRef/>
      </w:r>
      <w:r w:rsidRPr="00E522C5">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55A6CBB" w14:textId="77777777" w:rsidR="002A3B51" w:rsidRDefault="00362481" w:rsidP="002A3B51">
      <w:pPr>
        <w:pStyle w:val="Textonotapie"/>
        <w:ind w:firstLine="708"/>
        <w:jc w:val="both"/>
        <w:rPr>
          <w:rFonts w:ascii="Arial" w:hAnsi="Arial" w:cs="Arial"/>
          <w:sz w:val="19"/>
          <w:szCs w:val="19"/>
        </w:rPr>
      </w:pPr>
      <w:r>
        <w:rPr>
          <w:rFonts w:ascii="Arial" w:hAnsi="Arial" w:cs="Arial"/>
          <w:sz w:val="19"/>
          <w:szCs w:val="19"/>
        </w:rPr>
        <w:t>«</w:t>
      </w:r>
      <w:r w:rsidR="0003324A" w:rsidRPr="00E522C5">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w:t>
      </w:r>
      <w:r w:rsidR="0003324A" w:rsidRPr="00474434">
        <w:rPr>
          <w:rFonts w:ascii="Arial" w:hAnsi="Arial" w:cs="Arial"/>
          <w:sz w:val="19"/>
          <w:szCs w:val="19"/>
        </w:rPr>
        <w:t xml:space="preserve"> de la Fuerza Pública en servicio activo se les aplican las limitaciones contempladas en el ar</w:t>
      </w:r>
      <w:r>
        <w:rPr>
          <w:rFonts w:ascii="Arial" w:hAnsi="Arial" w:cs="Arial"/>
          <w:sz w:val="19"/>
          <w:szCs w:val="19"/>
        </w:rPr>
        <w:t>tículo 219 de la Constitución</w:t>
      </w:r>
      <w:r w:rsidR="0003324A" w:rsidRPr="00474434">
        <w:rPr>
          <w:rFonts w:ascii="Arial" w:hAnsi="Arial" w:cs="Arial"/>
          <w:sz w:val="19"/>
          <w:szCs w:val="19"/>
        </w:rPr>
        <w:t>»</w:t>
      </w:r>
      <w:r w:rsidR="002A3B51">
        <w:rPr>
          <w:rFonts w:ascii="Arial" w:hAnsi="Arial" w:cs="Arial"/>
          <w:sz w:val="19"/>
          <w:szCs w:val="19"/>
        </w:rPr>
        <w:t>.</w:t>
      </w:r>
      <w:r>
        <w:rPr>
          <w:rFonts w:ascii="Arial" w:hAnsi="Arial" w:cs="Arial"/>
          <w:sz w:val="19"/>
          <w:szCs w:val="19"/>
        </w:rPr>
        <w:t xml:space="preserve"> </w:t>
      </w:r>
    </w:p>
    <w:p w14:paraId="31B69AC1" w14:textId="15549DC1" w:rsidR="0003324A" w:rsidRDefault="002A3B51" w:rsidP="00CC3E1F">
      <w:pPr>
        <w:pStyle w:val="Textonotapie"/>
        <w:ind w:firstLine="708"/>
        <w:jc w:val="both"/>
        <w:rPr>
          <w:rFonts w:ascii="Arial" w:hAnsi="Arial" w:cs="Arial"/>
          <w:sz w:val="19"/>
          <w:szCs w:val="19"/>
        </w:rPr>
      </w:pPr>
      <w:r>
        <w:rPr>
          <w:rFonts w:ascii="Arial" w:hAnsi="Arial" w:cs="Arial"/>
          <w:sz w:val="19"/>
          <w:szCs w:val="19"/>
        </w:rPr>
        <w:t>»</w:t>
      </w:r>
      <w:r w:rsidR="0003324A" w:rsidRPr="00474434">
        <w:rPr>
          <w:rFonts w:ascii="Arial" w:hAnsi="Arial" w:cs="Arial"/>
          <w:sz w:val="19"/>
          <w:szCs w:val="19"/>
        </w:rPr>
        <w:t>Los empleados no contemplados en esta prohibición solo podrán participar en dichas actividades y controversias en las condiciones que señale la Ley Estatutaria</w:t>
      </w:r>
      <w:r w:rsidR="00261507">
        <w:rPr>
          <w:rFonts w:ascii="Arial" w:hAnsi="Arial" w:cs="Arial"/>
          <w:sz w:val="19"/>
          <w:szCs w:val="19"/>
        </w:rPr>
        <w:t xml:space="preserve"> […]»</w:t>
      </w:r>
      <w:r w:rsidR="0003324A" w:rsidRPr="00474434">
        <w:rPr>
          <w:rFonts w:ascii="Arial" w:hAnsi="Arial" w:cs="Arial"/>
          <w:sz w:val="19"/>
          <w:szCs w:val="19"/>
        </w:rPr>
        <w:t>.</w:t>
      </w:r>
    </w:p>
    <w:p w14:paraId="4170C6AD" w14:textId="77777777" w:rsidR="00E7285F" w:rsidRPr="00474434" w:rsidRDefault="00E7285F" w:rsidP="00362481">
      <w:pPr>
        <w:pStyle w:val="Textonotapie"/>
        <w:jc w:val="both"/>
        <w:rPr>
          <w:rFonts w:ascii="Arial" w:hAnsi="Arial" w:cs="Arial"/>
          <w:sz w:val="19"/>
          <w:szCs w:val="19"/>
        </w:rPr>
      </w:pPr>
    </w:p>
  </w:footnote>
  <w:footnote w:id="6">
    <w:p w14:paraId="687976A8" w14:textId="1E82A208" w:rsidR="0003324A" w:rsidRDefault="0003324A" w:rsidP="00E90F4B">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48ED5D1" w14:textId="77777777" w:rsidR="00E7285F" w:rsidRPr="00E90F4B" w:rsidRDefault="00E7285F" w:rsidP="00E90F4B">
      <w:pPr>
        <w:pStyle w:val="Textonotapie"/>
        <w:ind w:firstLine="709"/>
        <w:jc w:val="both"/>
        <w:rPr>
          <w:rFonts w:ascii="Arial" w:hAnsi="Arial" w:cs="Arial"/>
          <w:sz w:val="19"/>
          <w:szCs w:val="19"/>
        </w:rPr>
      </w:pPr>
    </w:p>
  </w:footnote>
  <w:footnote w:id="7">
    <w:p w14:paraId="16CA0CE3" w14:textId="77777777" w:rsidR="0003324A" w:rsidRPr="00474434" w:rsidRDefault="0003324A" w:rsidP="0003324A">
      <w:pPr>
        <w:pStyle w:val="Textonotapie"/>
        <w:ind w:firstLine="709"/>
        <w:jc w:val="both"/>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05D0B9F" w14:textId="77777777" w:rsidR="0003324A" w:rsidRPr="00474434" w:rsidRDefault="0003324A" w:rsidP="0003324A">
      <w:pPr>
        <w:pStyle w:val="Textonotapie"/>
        <w:ind w:firstLine="709"/>
        <w:jc w:val="both"/>
        <w:rPr>
          <w:rFonts w:ascii="Arial" w:hAnsi="Arial" w:cs="Arial"/>
          <w:sz w:val="19"/>
          <w:szCs w:val="19"/>
          <w:lang w:val="es-CO"/>
        </w:rPr>
      </w:pPr>
    </w:p>
  </w:footnote>
  <w:footnote w:id="8">
    <w:p w14:paraId="6C93C493" w14:textId="70013BFD" w:rsidR="0003324A" w:rsidRPr="00474434" w:rsidRDefault="0003324A" w:rsidP="0003324A">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w:t>
      </w:r>
      <w:r w:rsidR="00E522C5">
        <w:rPr>
          <w:rFonts w:ascii="Arial" w:hAnsi="Arial" w:cs="Arial"/>
          <w:sz w:val="19"/>
          <w:szCs w:val="19"/>
        </w:rPr>
        <w:t xml:space="preserve">ulta y Servicio Civil de fecha </w:t>
      </w:r>
      <w:r w:rsidRPr="00474434">
        <w:rPr>
          <w:rFonts w:ascii="Arial" w:hAnsi="Arial" w:cs="Arial"/>
          <w:sz w:val="19"/>
          <w:szCs w:val="19"/>
        </w:rPr>
        <w:t xml:space="preserve">24 de julio de 2013, radicado 2166, Consejero Ponente Álvaro </w:t>
      </w:r>
      <w:proofErr w:type="spellStart"/>
      <w:r w:rsidRPr="00474434">
        <w:rPr>
          <w:rFonts w:ascii="Arial" w:hAnsi="Arial" w:cs="Arial"/>
          <w:sz w:val="19"/>
          <w:szCs w:val="19"/>
        </w:rPr>
        <w:t>Namén</w:t>
      </w:r>
      <w:proofErr w:type="spellEnd"/>
      <w:r w:rsidRPr="00474434">
        <w:rPr>
          <w:rFonts w:ascii="Arial" w:hAnsi="Arial" w:cs="Arial"/>
          <w:sz w:val="19"/>
          <w:szCs w:val="19"/>
        </w:rPr>
        <w:t xml:space="preserve"> Vargas.  </w:t>
      </w:r>
    </w:p>
    <w:p w14:paraId="7BE9383B" w14:textId="77777777" w:rsidR="0003324A" w:rsidRPr="007F5F3B" w:rsidRDefault="0003324A" w:rsidP="0003324A">
      <w:pPr>
        <w:pStyle w:val="Textonotapie"/>
        <w:ind w:firstLine="709"/>
        <w:jc w:val="both"/>
        <w:rPr>
          <w:rFonts w:ascii="Arial" w:hAnsi="Arial" w:cs="Arial"/>
          <w:sz w:val="19"/>
          <w:szCs w:val="19"/>
          <w:lang w:val="es-CO"/>
        </w:rPr>
      </w:pPr>
    </w:p>
  </w:footnote>
  <w:footnote w:id="9">
    <w:p w14:paraId="62367F17" w14:textId="77777777" w:rsidR="00431C82" w:rsidRPr="00E522C5" w:rsidRDefault="00431C82" w:rsidP="00362481">
      <w:pPr>
        <w:ind w:firstLine="709"/>
        <w:rPr>
          <w:rFonts w:ascii="Arial" w:hAnsi="Arial" w:cs="Arial"/>
          <w:sz w:val="19"/>
          <w:szCs w:val="19"/>
        </w:rPr>
      </w:pPr>
      <w:r>
        <w:rPr>
          <w:rStyle w:val="Refdenotaalpie"/>
        </w:rPr>
        <w:footnoteRef/>
      </w:r>
      <w:r>
        <w:t xml:space="preserve"> </w:t>
      </w:r>
      <w:r w:rsidRPr="00E522C5">
        <w:rPr>
          <w:rFonts w:ascii="Arial" w:hAnsi="Arial" w:cs="Arial"/>
          <w:sz w:val="10"/>
          <w:szCs w:val="10"/>
        </w:rPr>
        <w:t>3</w:t>
      </w:r>
      <w:r w:rsidRPr="00E522C5">
        <w:rPr>
          <w:rFonts w:ascii="Arial" w:hAnsi="Arial" w:cs="Arial"/>
          <w:sz w:val="19"/>
          <w:szCs w:val="19"/>
        </w:rPr>
        <w:t xml:space="preserve"> Corte Constitucional. Sentencia C-1153 de 2005. M.P. Marco Gerardo Monroy Cabra.</w:t>
      </w:r>
    </w:p>
    <w:p w14:paraId="5FB68299" w14:textId="77777777" w:rsidR="00431C82" w:rsidRPr="00E522C5" w:rsidRDefault="00431C82" w:rsidP="00431C82">
      <w:pPr>
        <w:pStyle w:val="Textonotapie"/>
        <w:rPr>
          <w:rFonts w:ascii="Arial" w:hAnsi="Arial" w:cs="Arial"/>
          <w:sz w:val="19"/>
          <w:szCs w:val="19"/>
        </w:rPr>
      </w:pPr>
    </w:p>
  </w:footnote>
  <w:footnote w:id="10">
    <w:p w14:paraId="77BD2156" w14:textId="492BD4C9" w:rsidR="00431C82" w:rsidRPr="00E522C5" w:rsidRDefault="00431C82" w:rsidP="00362481">
      <w:pPr>
        <w:ind w:firstLine="709"/>
        <w:rPr>
          <w:rFonts w:ascii="Arial" w:hAnsi="Arial" w:cs="Arial"/>
          <w:sz w:val="19"/>
          <w:szCs w:val="19"/>
        </w:rPr>
      </w:pPr>
      <w:r>
        <w:rPr>
          <w:rStyle w:val="Refdenotaalpie"/>
        </w:rPr>
        <w:footnoteRef/>
      </w:r>
      <w:r>
        <w:t xml:space="preserve"> </w:t>
      </w:r>
      <w:r w:rsidRPr="00840537">
        <w:rPr>
          <w:position w:val="6"/>
          <w:sz w:val="12"/>
        </w:rPr>
        <w:t xml:space="preserve">4 </w:t>
      </w:r>
      <w:r w:rsidRPr="00E522C5">
        <w:rPr>
          <w:rFonts w:ascii="Arial" w:hAnsi="Arial" w:cs="Arial"/>
          <w:sz w:val="19"/>
          <w:szCs w:val="19"/>
        </w:rPr>
        <w:t>Consejo de Estado. Sala de Consulta y Servicio Civil. Concepto del 18 de febrero de 2010. C.P. Enrique José Arboleda Perdomo. Radicación número: 11001-03-06-000-2010-00006-00(1985)</w:t>
      </w:r>
      <w:r w:rsidR="00E522C5">
        <w:rPr>
          <w:rFonts w:ascii="Arial" w:hAnsi="Arial" w:cs="Arial"/>
          <w:sz w:val="19"/>
          <w:szCs w:val="19"/>
        </w:rPr>
        <w:t xml:space="preserve"> </w:t>
      </w:r>
      <w:r w:rsidRPr="00E522C5">
        <w:rPr>
          <w:rFonts w:ascii="Arial" w:hAnsi="Arial" w:cs="Arial"/>
          <w:sz w:val="19"/>
          <w:szCs w:val="19"/>
        </w:rPr>
        <w:t>A.</w:t>
      </w:r>
    </w:p>
    <w:p w14:paraId="10079C19" w14:textId="3BF3FE4E" w:rsidR="00431C82" w:rsidRPr="004B71BF" w:rsidRDefault="00431C82" w:rsidP="00431C82">
      <w:pPr>
        <w:pStyle w:val="Textonotapie"/>
      </w:pPr>
    </w:p>
  </w:footnote>
  <w:footnote w:id="11">
    <w:p w14:paraId="785B4F0F" w14:textId="1A6DC37B" w:rsidR="00431C82" w:rsidRPr="00E522C5" w:rsidRDefault="00431C82" w:rsidP="00362481">
      <w:pPr>
        <w:ind w:firstLine="709"/>
        <w:rPr>
          <w:rFonts w:ascii="Arial" w:hAnsi="Arial" w:cs="Arial"/>
          <w:sz w:val="19"/>
          <w:szCs w:val="19"/>
        </w:rPr>
      </w:pPr>
      <w:r w:rsidRPr="00E522C5">
        <w:rPr>
          <w:rStyle w:val="Refdenotaalpie"/>
          <w:rFonts w:ascii="Arial" w:hAnsi="Arial" w:cs="Arial"/>
        </w:rPr>
        <w:footnoteRef/>
      </w:r>
      <w:r w:rsidRPr="00E522C5">
        <w:rPr>
          <w:rFonts w:ascii="Arial" w:hAnsi="Arial" w:cs="Arial"/>
        </w:rPr>
        <w:t xml:space="preserve"> </w:t>
      </w:r>
      <w:r w:rsidRPr="00E522C5">
        <w:rPr>
          <w:rFonts w:ascii="Arial" w:hAnsi="Arial" w:cs="Arial"/>
          <w:sz w:val="19"/>
          <w:szCs w:val="19"/>
        </w:rPr>
        <w:t>Consejo de Estado. Sala de Consulta y Servicio Civil. Concepto del 17 de febrero de 2015. C.P. William Zambrano Cetina. Radicación No. 11001-03-06-000-2015-00164-00(2269).</w:t>
      </w:r>
    </w:p>
  </w:footnote>
  <w:footnote w:id="12">
    <w:p w14:paraId="61F4EC22" w14:textId="424DF42F" w:rsidR="00431C82" w:rsidRDefault="00431C82" w:rsidP="00362481">
      <w:pPr>
        <w:ind w:firstLine="709"/>
        <w:jc w:val="both"/>
        <w:rPr>
          <w:rFonts w:ascii="Arial" w:hAnsi="Arial" w:cs="Arial"/>
          <w:sz w:val="19"/>
          <w:szCs w:val="19"/>
        </w:rPr>
      </w:pPr>
      <w:r w:rsidRPr="00E522C5">
        <w:rPr>
          <w:rStyle w:val="Refdenotaalpie"/>
          <w:rFonts w:ascii="Arial" w:hAnsi="Arial" w:cs="Arial"/>
        </w:rPr>
        <w:footnoteRef/>
      </w:r>
      <w:r w:rsidRPr="00E522C5">
        <w:rPr>
          <w:rFonts w:ascii="Arial" w:hAnsi="Arial" w:cs="Arial"/>
        </w:rPr>
        <w:t xml:space="preserve"> </w:t>
      </w:r>
      <w:r w:rsidR="004C0588">
        <w:rPr>
          <w:rFonts w:ascii="Arial" w:hAnsi="Arial" w:cs="Arial"/>
          <w:sz w:val="18"/>
        </w:rPr>
        <w:t>«</w:t>
      </w:r>
      <w:r w:rsidRPr="00E522C5">
        <w:rPr>
          <w:rFonts w:ascii="Arial" w:hAnsi="Arial" w:cs="Arial"/>
          <w:sz w:val="19"/>
          <w:szCs w:val="19"/>
        </w:rPr>
        <w:t>Artículo 32. Vinculación a la nómina estatal. Se suspenderá cualquier forma de vinculación que afecte la nómina estatal, en la Rama Ejecutiva del Poder Público, durante los cuatro (4) meses anteriores a la elección presidencial y hasta la realización de la segunda vuelta, si fuere el caso. Se exceptúan de la presente disposición, los casos a que se refiere el inciso segundo del artículo siguiente</w:t>
      </w:r>
      <w:r w:rsidR="004C0588">
        <w:rPr>
          <w:rFonts w:ascii="Arial" w:hAnsi="Arial" w:cs="Arial"/>
          <w:sz w:val="19"/>
          <w:szCs w:val="19"/>
        </w:rPr>
        <w:t>»</w:t>
      </w:r>
      <w:r w:rsidR="00362481" w:rsidRPr="00E522C5">
        <w:rPr>
          <w:rFonts w:ascii="Arial" w:hAnsi="Arial" w:cs="Arial"/>
          <w:sz w:val="19"/>
          <w:szCs w:val="19"/>
        </w:rPr>
        <w:t>. (</w:t>
      </w:r>
      <w:r w:rsidRPr="00E522C5">
        <w:rPr>
          <w:rFonts w:ascii="Arial" w:hAnsi="Arial" w:cs="Arial"/>
          <w:sz w:val="19"/>
          <w:szCs w:val="19"/>
        </w:rPr>
        <w:t>Negrillas fuera de texto).</w:t>
      </w:r>
    </w:p>
    <w:p w14:paraId="74DBEB61" w14:textId="77777777" w:rsidR="00DD30CE" w:rsidRPr="00E522C5" w:rsidRDefault="00DD30CE" w:rsidP="00362481">
      <w:pPr>
        <w:ind w:firstLine="709"/>
        <w:jc w:val="both"/>
        <w:rPr>
          <w:rFonts w:ascii="Arial" w:hAnsi="Arial" w:cs="Arial"/>
          <w:sz w:val="19"/>
          <w:szCs w:val="19"/>
        </w:rPr>
      </w:pPr>
    </w:p>
  </w:footnote>
  <w:footnote w:id="13">
    <w:p w14:paraId="0AAAD67D" w14:textId="5DAF0DF3" w:rsidR="00362481" w:rsidRPr="00DB614C" w:rsidRDefault="00362481" w:rsidP="00DB614C">
      <w:pPr>
        <w:ind w:firstLine="709"/>
        <w:jc w:val="both"/>
        <w:rPr>
          <w:rFonts w:ascii="Arial" w:hAnsi="Arial" w:cs="Arial"/>
          <w:sz w:val="19"/>
          <w:szCs w:val="19"/>
        </w:rPr>
      </w:pPr>
      <w:r>
        <w:rPr>
          <w:rStyle w:val="Refdenotaalpie"/>
        </w:rPr>
        <w:footnoteRef/>
      </w:r>
      <w:r>
        <w:t xml:space="preserve"> </w:t>
      </w:r>
      <w:r w:rsidR="004C0588">
        <w:rPr>
          <w:rFonts w:ascii="Arial" w:hAnsi="Arial" w:cs="Arial"/>
          <w:sz w:val="18"/>
        </w:rPr>
        <w:t>«</w:t>
      </w:r>
      <w:r w:rsidRPr="00E522C5">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r w:rsidR="004C0588">
        <w:rPr>
          <w:rFonts w:ascii="Arial" w:hAnsi="Arial" w:cs="Arial"/>
          <w:sz w:val="19"/>
          <w:szCs w:val="19"/>
        </w:rPr>
        <w:t>»</w:t>
      </w:r>
      <w:r w:rsidRPr="00E522C5">
        <w:rPr>
          <w:rFonts w:ascii="Arial" w:hAnsi="Arial" w:cs="Arial"/>
          <w:sz w:val="19"/>
          <w:szCs w:val="19"/>
        </w:rPr>
        <w:t>. (Negrillas fuera de</w:t>
      </w:r>
      <w:r w:rsidRPr="00E522C5">
        <w:rPr>
          <w:rFonts w:ascii="Arial" w:hAnsi="Arial" w:cs="Arial"/>
          <w:spacing w:val="-32"/>
          <w:sz w:val="19"/>
          <w:szCs w:val="19"/>
        </w:rPr>
        <w:t xml:space="preserve"> </w:t>
      </w:r>
      <w:r w:rsidRPr="00E522C5">
        <w:rPr>
          <w:rFonts w:ascii="Arial" w:hAnsi="Arial" w:cs="Arial"/>
          <w:sz w:val="19"/>
          <w:szCs w:val="19"/>
        </w:rPr>
        <w:t>texto).</w:t>
      </w:r>
    </w:p>
    <w:p w14:paraId="55F987EF" w14:textId="2891C1D4" w:rsidR="00362481" w:rsidRPr="00362481" w:rsidRDefault="00362481">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0902" w14:textId="77777777" w:rsidR="003644CA" w:rsidRDefault="003644CA" w:rsidP="00214878">
    <w:pPr>
      <w:pStyle w:val="Encabezado"/>
    </w:pPr>
    <w:r>
      <w:rPr>
        <w:noProof/>
        <w:lang w:val="es-CO"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intelligence.xml><?xml version="1.0" encoding="utf-8"?>
<int:Intelligence xmlns:int="http://schemas.microsoft.com/office/intelligence/2019/intelligence">
  <int:IntelligenceSettings/>
  <int:Manifest>
    <int:WordHash hashCode="Yx2OsRamJwvnyg" id="yuczk+0t"/>
    <int:WordHash hashCode="CtT7FOka3CZ6zm" id="gGabtHyk"/>
  </int:Manifest>
  <int:Observations>
    <int:Content id="yuczk+0t">
      <int:Rejection type="LegacyProofing"/>
    </int:Content>
    <int:Content id="gGabtHy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37F"/>
    <w:rsid w:val="00007845"/>
    <w:rsid w:val="00015DF9"/>
    <w:rsid w:val="000162C3"/>
    <w:rsid w:val="00016DCE"/>
    <w:rsid w:val="00023000"/>
    <w:rsid w:val="00023BE4"/>
    <w:rsid w:val="00023C87"/>
    <w:rsid w:val="0002551F"/>
    <w:rsid w:val="00031FC6"/>
    <w:rsid w:val="0003324A"/>
    <w:rsid w:val="00033B21"/>
    <w:rsid w:val="00035210"/>
    <w:rsid w:val="00036204"/>
    <w:rsid w:val="00043688"/>
    <w:rsid w:val="0004523D"/>
    <w:rsid w:val="00056788"/>
    <w:rsid w:val="00060398"/>
    <w:rsid w:val="00064E2F"/>
    <w:rsid w:val="00065BD4"/>
    <w:rsid w:val="000709B9"/>
    <w:rsid w:val="00074108"/>
    <w:rsid w:val="00086C1E"/>
    <w:rsid w:val="00091F03"/>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E1BF2"/>
    <w:rsid w:val="000E40FE"/>
    <w:rsid w:val="000E4B5C"/>
    <w:rsid w:val="000E699E"/>
    <w:rsid w:val="000E730C"/>
    <w:rsid w:val="000F14E8"/>
    <w:rsid w:val="000F18A6"/>
    <w:rsid w:val="00101D47"/>
    <w:rsid w:val="00103915"/>
    <w:rsid w:val="00110320"/>
    <w:rsid w:val="001103A2"/>
    <w:rsid w:val="001128A8"/>
    <w:rsid w:val="00113958"/>
    <w:rsid w:val="00121CD3"/>
    <w:rsid w:val="00122B23"/>
    <w:rsid w:val="001233CA"/>
    <w:rsid w:val="00123889"/>
    <w:rsid w:val="00125924"/>
    <w:rsid w:val="001353DC"/>
    <w:rsid w:val="0013568D"/>
    <w:rsid w:val="0013799F"/>
    <w:rsid w:val="00137BCE"/>
    <w:rsid w:val="00137FFA"/>
    <w:rsid w:val="00141FAC"/>
    <w:rsid w:val="001428A2"/>
    <w:rsid w:val="001437AF"/>
    <w:rsid w:val="0014392D"/>
    <w:rsid w:val="00143A66"/>
    <w:rsid w:val="001507BA"/>
    <w:rsid w:val="00161B7E"/>
    <w:rsid w:val="00166B32"/>
    <w:rsid w:val="0017007F"/>
    <w:rsid w:val="00175FDC"/>
    <w:rsid w:val="0018007B"/>
    <w:rsid w:val="00181352"/>
    <w:rsid w:val="001821C5"/>
    <w:rsid w:val="00193EFC"/>
    <w:rsid w:val="001A695E"/>
    <w:rsid w:val="001A7009"/>
    <w:rsid w:val="001B493A"/>
    <w:rsid w:val="001C01AC"/>
    <w:rsid w:val="001C12E3"/>
    <w:rsid w:val="001C47C6"/>
    <w:rsid w:val="001C5F61"/>
    <w:rsid w:val="001C67D0"/>
    <w:rsid w:val="001C6B55"/>
    <w:rsid w:val="001C7CB3"/>
    <w:rsid w:val="001D0521"/>
    <w:rsid w:val="001E0106"/>
    <w:rsid w:val="001E0B25"/>
    <w:rsid w:val="001E3A55"/>
    <w:rsid w:val="001E62AF"/>
    <w:rsid w:val="001E7DB9"/>
    <w:rsid w:val="001F2A9C"/>
    <w:rsid w:val="002002A3"/>
    <w:rsid w:val="00202F2E"/>
    <w:rsid w:val="002106C7"/>
    <w:rsid w:val="0021312A"/>
    <w:rsid w:val="00213765"/>
    <w:rsid w:val="00214878"/>
    <w:rsid w:val="00220DCB"/>
    <w:rsid w:val="00224AFF"/>
    <w:rsid w:val="00230492"/>
    <w:rsid w:val="00231C01"/>
    <w:rsid w:val="002330A3"/>
    <w:rsid w:val="002346FC"/>
    <w:rsid w:val="00234B84"/>
    <w:rsid w:val="00237377"/>
    <w:rsid w:val="002411E9"/>
    <w:rsid w:val="00242ED7"/>
    <w:rsid w:val="0024480D"/>
    <w:rsid w:val="002454B3"/>
    <w:rsid w:val="00250EB5"/>
    <w:rsid w:val="00254868"/>
    <w:rsid w:val="00255AFA"/>
    <w:rsid w:val="00256635"/>
    <w:rsid w:val="00261507"/>
    <w:rsid w:val="0026156A"/>
    <w:rsid w:val="0026186C"/>
    <w:rsid w:val="00261A2E"/>
    <w:rsid w:val="002630D9"/>
    <w:rsid w:val="00264997"/>
    <w:rsid w:val="002706B4"/>
    <w:rsid w:val="002706C7"/>
    <w:rsid w:val="0027359F"/>
    <w:rsid w:val="00280E65"/>
    <w:rsid w:val="00286DB6"/>
    <w:rsid w:val="00287A42"/>
    <w:rsid w:val="002918F7"/>
    <w:rsid w:val="002932EB"/>
    <w:rsid w:val="00293C69"/>
    <w:rsid w:val="00294025"/>
    <w:rsid w:val="00294A08"/>
    <w:rsid w:val="002A36A9"/>
    <w:rsid w:val="002A3B51"/>
    <w:rsid w:val="002A4D54"/>
    <w:rsid w:val="002A72FB"/>
    <w:rsid w:val="002B0967"/>
    <w:rsid w:val="002B1F1E"/>
    <w:rsid w:val="002B3D4E"/>
    <w:rsid w:val="002C3D5A"/>
    <w:rsid w:val="002C71CA"/>
    <w:rsid w:val="002C7E55"/>
    <w:rsid w:val="002C7E5B"/>
    <w:rsid w:val="002D1AA6"/>
    <w:rsid w:val="002D7662"/>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59B5"/>
    <w:rsid w:val="00315C98"/>
    <w:rsid w:val="00323084"/>
    <w:rsid w:val="00323E51"/>
    <w:rsid w:val="0033352A"/>
    <w:rsid w:val="00333DBC"/>
    <w:rsid w:val="00337968"/>
    <w:rsid w:val="00341A74"/>
    <w:rsid w:val="0034680A"/>
    <w:rsid w:val="003471F9"/>
    <w:rsid w:val="0034781E"/>
    <w:rsid w:val="00352311"/>
    <w:rsid w:val="003544BB"/>
    <w:rsid w:val="00356E6F"/>
    <w:rsid w:val="003600DB"/>
    <w:rsid w:val="00362481"/>
    <w:rsid w:val="00362FC9"/>
    <w:rsid w:val="00363113"/>
    <w:rsid w:val="003644CA"/>
    <w:rsid w:val="003657FD"/>
    <w:rsid w:val="00372B16"/>
    <w:rsid w:val="003751BE"/>
    <w:rsid w:val="00376566"/>
    <w:rsid w:val="00385468"/>
    <w:rsid w:val="00386456"/>
    <w:rsid w:val="00387590"/>
    <w:rsid w:val="00392F03"/>
    <w:rsid w:val="003945B8"/>
    <w:rsid w:val="00395355"/>
    <w:rsid w:val="00395C94"/>
    <w:rsid w:val="003A1AAE"/>
    <w:rsid w:val="003A581E"/>
    <w:rsid w:val="003B0B5A"/>
    <w:rsid w:val="003B4F39"/>
    <w:rsid w:val="003C0C02"/>
    <w:rsid w:val="003C43B0"/>
    <w:rsid w:val="003C7776"/>
    <w:rsid w:val="003D14E8"/>
    <w:rsid w:val="003D2AA2"/>
    <w:rsid w:val="003D4BB2"/>
    <w:rsid w:val="003D78B1"/>
    <w:rsid w:val="003D7DB6"/>
    <w:rsid w:val="003E4ED2"/>
    <w:rsid w:val="003F2F99"/>
    <w:rsid w:val="003F6F8C"/>
    <w:rsid w:val="00400DDE"/>
    <w:rsid w:val="00405662"/>
    <w:rsid w:val="00410870"/>
    <w:rsid w:val="004110F1"/>
    <w:rsid w:val="00414A77"/>
    <w:rsid w:val="00416B88"/>
    <w:rsid w:val="00417402"/>
    <w:rsid w:val="00424964"/>
    <w:rsid w:val="0043152C"/>
    <w:rsid w:val="00431C82"/>
    <w:rsid w:val="00432163"/>
    <w:rsid w:val="00433183"/>
    <w:rsid w:val="00434BC9"/>
    <w:rsid w:val="004422D6"/>
    <w:rsid w:val="00443F10"/>
    <w:rsid w:val="00445F18"/>
    <w:rsid w:val="004513E8"/>
    <w:rsid w:val="00462527"/>
    <w:rsid w:val="00467950"/>
    <w:rsid w:val="00471F8D"/>
    <w:rsid w:val="00476A47"/>
    <w:rsid w:val="00477B6D"/>
    <w:rsid w:val="004804BD"/>
    <w:rsid w:val="00483490"/>
    <w:rsid w:val="00487048"/>
    <w:rsid w:val="0048706D"/>
    <w:rsid w:val="00490869"/>
    <w:rsid w:val="0049197E"/>
    <w:rsid w:val="00493EF0"/>
    <w:rsid w:val="004A34D2"/>
    <w:rsid w:val="004A51B7"/>
    <w:rsid w:val="004B2EF6"/>
    <w:rsid w:val="004B5A38"/>
    <w:rsid w:val="004B6213"/>
    <w:rsid w:val="004B62BE"/>
    <w:rsid w:val="004C0588"/>
    <w:rsid w:val="004C35C3"/>
    <w:rsid w:val="004C56C4"/>
    <w:rsid w:val="004C64DF"/>
    <w:rsid w:val="004D021E"/>
    <w:rsid w:val="004D2202"/>
    <w:rsid w:val="004D2FE0"/>
    <w:rsid w:val="004D6F1F"/>
    <w:rsid w:val="004E2DEA"/>
    <w:rsid w:val="004E420A"/>
    <w:rsid w:val="004E6117"/>
    <w:rsid w:val="004F1A74"/>
    <w:rsid w:val="004F39DB"/>
    <w:rsid w:val="004F3CEB"/>
    <w:rsid w:val="004F3E22"/>
    <w:rsid w:val="004F4C0F"/>
    <w:rsid w:val="0050193D"/>
    <w:rsid w:val="00501AD2"/>
    <w:rsid w:val="00504976"/>
    <w:rsid w:val="00504B90"/>
    <w:rsid w:val="00507B55"/>
    <w:rsid w:val="0051074C"/>
    <w:rsid w:val="00512714"/>
    <w:rsid w:val="00513AF2"/>
    <w:rsid w:val="0051416A"/>
    <w:rsid w:val="00517832"/>
    <w:rsid w:val="00523611"/>
    <w:rsid w:val="00525C51"/>
    <w:rsid w:val="005356EA"/>
    <w:rsid w:val="0053681E"/>
    <w:rsid w:val="0054229C"/>
    <w:rsid w:val="005427CF"/>
    <w:rsid w:val="00542E18"/>
    <w:rsid w:val="0054413A"/>
    <w:rsid w:val="00546CA7"/>
    <w:rsid w:val="00550FD8"/>
    <w:rsid w:val="00553EAD"/>
    <w:rsid w:val="005564CA"/>
    <w:rsid w:val="00557C64"/>
    <w:rsid w:val="0056302E"/>
    <w:rsid w:val="005637B5"/>
    <w:rsid w:val="00565602"/>
    <w:rsid w:val="00566674"/>
    <w:rsid w:val="00572EF9"/>
    <w:rsid w:val="005776D4"/>
    <w:rsid w:val="005909E4"/>
    <w:rsid w:val="005A3893"/>
    <w:rsid w:val="005A4AEC"/>
    <w:rsid w:val="005A7711"/>
    <w:rsid w:val="005B0CD4"/>
    <w:rsid w:val="005B11C6"/>
    <w:rsid w:val="005B57CE"/>
    <w:rsid w:val="005C275C"/>
    <w:rsid w:val="005C50CF"/>
    <w:rsid w:val="005C7CDD"/>
    <w:rsid w:val="005D0519"/>
    <w:rsid w:val="005D1B45"/>
    <w:rsid w:val="005D25BD"/>
    <w:rsid w:val="005D69B0"/>
    <w:rsid w:val="005E3FDC"/>
    <w:rsid w:val="005E46CB"/>
    <w:rsid w:val="005E55D7"/>
    <w:rsid w:val="005E5AD9"/>
    <w:rsid w:val="00600AC5"/>
    <w:rsid w:val="00604F33"/>
    <w:rsid w:val="00606730"/>
    <w:rsid w:val="006072DA"/>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62A05"/>
    <w:rsid w:val="006735A6"/>
    <w:rsid w:val="006754C6"/>
    <w:rsid w:val="00676EE8"/>
    <w:rsid w:val="00685F97"/>
    <w:rsid w:val="00687EC0"/>
    <w:rsid w:val="00690936"/>
    <w:rsid w:val="00697665"/>
    <w:rsid w:val="006A7FD0"/>
    <w:rsid w:val="006B0278"/>
    <w:rsid w:val="006B3A0D"/>
    <w:rsid w:val="006B6ED7"/>
    <w:rsid w:val="006C0BAA"/>
    <w:rsid w:val="006C1231"/>
    <w:rsid w:val="006C68E6"/>
    <w:rsid w:val="006D0AAC"/>
    <w:rsid w:val="006D1878"/>
    <w:rsid w:val="006D32A2"/>
    <w:rsid w:val="006D7687"/>
    <w:rsid w:val="006D79C0"/>
    <w:rsid w:val="006D7AF0"/>
    <w:rsid w:val="006E0572"/>
    <w:rsid w:val="006E54A1"/>
    <w:rsid w:val="00700D9E"/>
    <w:rsid w:val="00704381"/>
    <w:rsid w:val="00705631"/>
    <w:rsid w:val="0071707F"/>
    <w:rsid w:val="00727C3C"/>
    <w:rsid w:val="00734B73"/>
    <w:rsid w:val="00735EB6"/>
    <w:rsid w:val="00737DB6"/>
    <w:rsid w:val="007424A8"/>
    <w:rsid w:val="00742DD2"/>
    <w:rsid w:val="00744529"/>
    <w:rsid w:val="007452CF"/>
    <w:rsid w:val="0075010E"/>
    <w:rsid w:val="00751379"/>
    <w:rsid w:val="00754451"/>
    <w:rsid w:val="0075647A"/>
    <w:rsid w:val="00756B38"/>
    <w:rsid w:val="007575ED"/>
    <w:rsid w:val="007609E9"/>
    <w:rsid w:val="007618B2"/>
    <w:rsid w:val="007634AD"/>
    <w:rsid w:val="00764F47"/>
    <w:rsid w:val="00771390"/>
    <w:rsid w:val="007810C3"/>
    <w:rsid w:val="0078122E"/>
    <w:rsid w:val="00781AA8"/>
    <w:rsid w:val="0078365A"/>
    <w:rsid w:val="0078391E"/>
    <w:rsid w:val="0079134A"/>
    <w:rsid w:val="00795113"/>
    <w:rsid w:val="007A645F"/>
    <w:rsid w:val="007A6A34"/>
    <w:rsid w:val="007B0854"/>
    <w:rsid w:val="007C3849"/>
    <w:rsid w:val="007D2317"/>
    <w:rsid w:val="007D3323"/>
    <w:rsid w:val="007D6C9E"/>
    <w:rsid w:val="007E193F"/>
    <w:rsid w:val="007E24A0"/>
    <w:rsid w:val="007E331A"/>
    <w:rsid w:val="007E6D71"/>
    <w:rsid w:val="007E7112"/>
    <w:rsid w:val="007F1C74"/>
    <w:rsid w:val="007F5937"/>
    <w:rsid w:val="007F7255"/>
    <w:rsid w:val="007F72CB"/>
    <w:rsid w:val="00801F73"/>
    <w:rsid w:val="00802FF0"/>
    <w:rsid w:val="008065A8"/>
    <w:rsid w:val="00806F37"/>
    <w:rsid w:val="00810875"/>
    <w:rsid w:val="00811EDD"/>
    <w:rsid w:val="00816B40"/>
    <w:rsid w:val="008229F3"/>
    <w:rsid w:val="00824A6D"/>
    <w:rsid w:val="00830498"/>
    <w:rsid w:val="0083119B"/>
    <w:rsid w:val="00835C7D"/>
    <w:rsid w:val="008369AB"/>
    <w:rsid w:val="00836EAB"/>
    <w:rsid w:val="00837C23"/>
    <w:rsid w:val="008431E7"/>
    <w:rsid w:val="00844741"/>
    <w:rsid w:val="0084692D"/>
    <w:rsid w:val="0085092D"/>
    <w:rsid w:val="00854B8E"/>
    <w:rsid w:val="008615FD"/>
    <w:rsid w:val="00862405"/>
    <w:rsid w:val="00863745"/>
    <w:rsid w:val="008662E2"/>
    <w:rsid w:val="00866AEB"/>
    <w:rsid w:val="00871A33"/>
    <w:rsid w:val="00874B3D"/>
    <w:rsid w:val="00884F75"/>
    <w:rsid w:val="008865C0"/>
    <w:rsid w:val="0088776A"/>
    <w:rsid w:val="008903AE"/>
    <w:rsid w:val="00893375"/>
    <w:rsid w:val="008941DC"/>
    <w:rsid w:val="00894712"/>
    <w:rsid w:val="00896CE7"/>
    <w:rsid w:val="00896EE0"/>
    <w:rsid w:val="008A0886"/>
    <w:rsid w:val="008A29B2"/>
    <w:rsid w:val="008A56B5"/>
    <w:rsid w:val="008A7BB3"/>
    <w:rsid w:val="008B1764"/>
    <w:rsid w:val="008B79E0"/>
    <w:rsid w:val="008C2A2A"/>
    <w:rsid w:val="008C449B"/>
    <w:rsid w:val="008C5FE5"/>
    <w:rsid w:val="008D7064"/>
    <w:rsid w:val="008E121D"/>
    <w:rsid w:val="008E1608"/>
    <w:rsid w:val="008E1C15"/>
    <w:rsid w:val="008E3555"/>
    <w:rsid w:val="008F53F4"/>
    <w:rsid w:val="00901339"/>
    <w:rsid w:val="00902872"/>
    <w:rsid w:val="00902BE9"/>
    <w:rsid w:val="009047C5"/>
    <w:rsid w:val="00905611"/>
    <w:rsid w:val="009101AA"/>
    <w:rsid w:val="00911BF7"/>
    <w:rsid w:val="0091275E"/>
    <w:rsid w:val="00913B77"/>
    <w:rsid w:val="00916DB5"/>
    <w:rsid w:val="00921955"/>
    <w:rsid w:val="009242C9"/>
    <w:rsid w:val="00932ABE"/>
    <w:rsid w:val="00941B45"/>
    <w:rsid w:val="00941BB1"/>
    <w:rsid w:val="00947945"/>
    <w:rsid w:val="00951524"/>
    <w:rsid w:val="0095385A"/>
    <w:rsid w:val="00954AC6"/>
    <w:rsid w:val="009604E6"/>
    <w:rsid w:val="00965006"/>
    <w:rsid w:val="00966595"/>
    <w:rsid w:val="00971321"/>
    <w:rsid w:val="00975427"/>
    <w:rsid w:val="009769F6"/>
    <w:rsid w:val="00981254"/>
    <w:rsid w:val="009859D4"/>
    <w:rsid w:val="0098629E"/>
    <w:rsid w:val="009A7EAF"/>
    <w:rsid w:val="009B2E85"/>
    <w:rsid w:val="009B3E7E"/>
    <w:rsid w:val="009B42A9"/>
    <w:rsid w:val="009C0366"/>
    <w:rsid w:val="009C2258"/>
    <w:rsid w:val="009C50D0"/>
    <w:rsid w:val="009C50DA"/>
    <w:rsid w:val="009C56E5"/>
    <w:rsid w:val="009F12D8"/>
    <w:rsid w:val="00A06772"/>
    <w:rsid w:val="00A074BF"/>
    <w:rsid w:val="00A0798E"/>
    <w:rsid w:val="00A12E39"/>
    <w:rsid w:val="00A1500F"/>
    <w:rsid w:val="00A17103"/>
    <w:rsid w:val="00A23EDF"/>
    <w:rsid w:val="00A241AD"/>
    <w:rsid w:val="00A24322"/>
    <w:rsid w:val="00A24560"/>
    <w:rsid w:val="00A24FCF"/>
    <w:rsid w:val="00A27285"/>
    <w:rsid w:val="00A31BC6"/>
    <w:rsid w:val="00A34538"/>
    <w:rsid w:val="00A37819"/>
    <w:rsid w:val="00A44694"/>
    <w:rsid w:val="00A45F5D"/>
    <w:rsid w:val="00A50EA1"/>
    <w:rsid w:val="00A54843"/>
    <w:rsid w:val="00A54FA1"/>
    <w:rsid w:val="00A562DC"/>
    <w:rsid w:val="00A5668B"/>
    <w:rsid w:val="00A60725"/>
    <w:rsid w:val="00A60A14"/>
    <w:rsid w:val="00A620C8"/>
    <w:rsid w:val="00A64ADC"/>
    <w:rsid w:val="00A67F5B"/>
    <w:rsid w:val="00A737CD"/>
    <w:rsid w:val="00A8084F"/>
    <w:rsid w:val="00A8663D"/>
    <w:rsid w:val="00A87F10"/>
    <w:rsid w:val="00A95A3C"/>
    <w:rsid w:val="00A95E66"/>
    <w:rsid w:val="00AA442B"/>
    <w:rsid w:val="00AA6D04"/>
    <w:rsid w:val="00AA707B"/>
    <w:rsid w:val="00AB177F"/>
    <w:rsid w:val="00AB31E7"/>
    <w:rsid w:val="00AB3864"/>
    <w:rsid w:val="00AB7B09"/>
    <w:rsid w:val="00AD0EDA"/>
    <w:rsid w:val="00AE3C7C"/>
    <w:rsid w:val="00AF16AE"/>
    <w:rsid w:val="00AF1718"/>
    <w:rsid w:val="00AF2440"/>
    <w:rsid w:val="00AF798A"/>
    <w:rsid w:val="00B004FA"/>
    <w:rsid w:val="00B04EDB"/>
    <w:rsid w:val="00B11CB1"/>
    <w:rsid w:val="00B159A0"/>
    <w:rsid w:val="00B2165B"/>
    <w:rsid w:val="00B22E22"/>
    <w:rsid w:val="00B26B8B"/>
    <w:rsid w:val="00B333CE"/>
    <w:rsid w:val="00B33532"/>
    <w:rsid w:val="00B36C98"/>
    <w:rsid w:val="00B41E72"/>
    <w:rsid w:val="00B44CCE"/>
    <w:rsid w:val="00B525CB"/>
    <w:rsid w:val="00B53388"/>
    <w:rsid w:val="00B56418"/>
    <w:rsid w:val="00B61BDD"/>
    <w:rsid w:val="00B61FD8"/>
    <w:rsid w:val="00B6341B"/>
    <w:rsid w:val="00B63CB2"/>
    <w:rsid w:val="00B65ABA"/>
    <w:rsid w:val="00B74072"/>
    <w:rsid w:val="00B77832"/>
    <w:rsid w:val="00B851DC"/>
    <w:rsid w:val="00B93513"/>
    <w:rsid w:val="00BA62F5"/>
    <w:rsid w:val="00BA71CD"/>
    <w:rsid w:val="00BA753C"/>
    <w:rsid w:val="00BB2C01"/>
    <w:rsid w:val="00BC1B41"/>
    <w:rsid w:val="00BD0D6C"/>
    <w:rsid w:val="00BD1EF0"/>
    <w:rsid w:val="00BD422F"/>
    <w:rsid w:val="00BD5D8F"/>
    <w:rsid w:val="00BD78FE"/>
    <w:rsid w:val="00BE0EDB"/>
    <w:rsid w:val="00BF1906"/>
    <w:rsid w:val="00BF46F6"/>
    <w:rsid w:val="00BF624E"/>
    <w:rsid w:val="00C03DC6"/>
    <w:rsid w:val="00C07C55"/>
    <w:rsid w:val="00C1017B"/>
    <w:rsid w:val="00C14C9E"/>
    <w:rsid w:val="00C15E76"/>
    <w:rsid w:val="00C17D54"/>
    <w:rsid w:val="00C22B69"/>
    <w:rsid w:val="00C30E82"/>
    <w:rsid w:val="00C343AD"/>
    <w:rsid w:val="00C34B22"/>
    <w:rsid w:val="00C35F7C"/>
    <w:rsid w:val="00C371A6"/>
    <w:rsid w:val="00C5124A"/>
    <w:rsid w:val="00C5128E"/>
    <w:rsid w:val="00C523AA"/>
    <w:rsid w:val="00C528E6"/>
    <w:rsid w:val="00C65DCF"/>
    <w:rsid w:val="00C67FE4"/>
    <w:rsid w:val="00C7160E"/>
    <w:rsid w:val="00C762CE"/>
    <w:rsid w:val="00C913C9"/>
    <w:rsid w:val="00C914CD"/>
    <w:rsid w:val="00C93A8A"/>
    <w:rsid w:val="00C93EB1"/>
    <w:rsid w:val="00C968EC"/>
    <w:rsid w:val="00CA3F2F"/>
    <w:rsid w:val="00CA6816"/>
    <w:rsid w:val="00CA7FEF"/>
    <w:rsid w:val="00CB345A"/>
    <w:rsid w:val="00CC00CD"/>
    <w:rsid w:val="00CC1660"/>
    <w:rsid w:val="00CC3E1F"/>
    <w:rsid w:val="00CC7BB6"/>
    <w:rsid w:val="00CC7FF4"/>
    <w:rsid w:val="00CD3ACB"/>
    <w:rsid w:val="00CD5C88"/>
    <w:rsid w:val="00CE14B9"/>
    <w:rsid w:val="00CE1F6E"/>
    <w:rsid w:val="00CE20F7"/>
    <w:rsid w:val="00CE3521"/>
    <w:rsid w:val="00CE352A"/>
    <w:rsid w:val="00CE675D"/>
    <w:rsid w:val="00CF10C1"/>
    <w:rsid w:val="00CF2489"/>
    <w:rsid w:val="00CF2BDE"/>
    <w:rsid w:val="00CF2E86"/>
    <w:rsid w:val="00CF415E"/>
    <w:rsid w:val="00D10740"/>
    <w:rsid w:val="00D10E69"/>
    <w:rsid w:val="00D117C5"/>
    <w:rsid w:val="00D1627F"/>
    <w:rsid w:val="00D16E39"/>
    <w:rsid w:val="00D2531F"/>
    <w:rsid w:val="00D25BEF"/>
    <w:rsid w:val="00D25C34"/>
    <w:rsid w:val="00D309A0"/>
    <w:rsid w:val="00D35139"/>
    <w:rsid w:val="00D41357"/>
    <w:rsid w:val="00D433FD"/>
    <w:rsid w:val="00D44475"/>
    <w:rsid w:val="00D51773"/>
    <w:rsid w:val="00D52F10"/>
    <w:rsid w:val="00D5523A"/>
    <w:rsid w:val="00D5689F"/>
    <w:rsid w:val="00D72E9D"/>
    <w:rsid w:val="00D73D97"/>
    <w:rsid w:val="00D74CDA"/>
    <w:rsid w:val="00D77683"/>
    <w:rsid w:val="00D802C1"/>
    <w:rsid w:val="00D81907"/>
    <w:rsid w:val="00D82CE5"/>
    <w:rsid w:val="00D84EE3"/>
    <w:rsid w:val="00DA3351"/>
    <w:rsid w:val="00DA4E96"/>
    <w:rsid w:val="00DA5AB1"/>
    <w:rsid w:val="00DA740E"/>
    <w:rsid w:val="00DB36AB"/>
    <w:rsid w:val="00DB614C"/>
    <w:rsid w:val="00DC0452"/>
    <w:rsid w:val="00DC5121"/>
    <w:rsid w:val="00DC62E5"/>
    <w:rsid w:val="00DD07F7"/>
    <w:rsid w:val="00DD1B27"/>
    <w:rsid w:val="00DD20BA"/>
    <w:rsid w:val="00DD30CE"/>
    <w:rsid w:val="00DD735D"/>
    <w:rsid w:val="00DE3119"/>
    <w:rsid w:val="00DF02DC"/>
    <w:rsid w:val="00DF0F8E"/>
    <w:rsid w:val="00DF236B"/>
    <w:rsid w:val="00DF248A"/>
    <w:rsid w:val="00DF2D13"/>
    <w:rsid w:val="00E13AB8"/>
    <w:rsid w:val="00E13F01"/>
    <w:rsid w:val="00E144B9"/>
    <w:rsid w:val="00E16729"/>
    <w:rsid w:val="00E27C85"/>
    <w:rsid w:val="00E31B50"/>
    <w:rsid w:val="00E33B62"/>
    <w:rsid w:val="00E357DC"/>
    <w:rsid w:val="00E429C9"/>
    <w:rsid w:val="00E44E00"/>
    <w:rsid w:val="00E4609B"/>
    <w:rsid w:val="00E522C5"/>
    <w:rsid w:val="00E53964"/>
    <w:rsid w:val="00E5678C"/>
    <w:rsid w:val="00E57323"/>
    <w:rsid w:val="00E57B05"/>
    <w:rsid w:val="00E602F2"/>
    <w:rsid w:val="00E63AED"/>
    <w:rsid w:val="00E6443E"/>
    <w:rsid w:val="00E65F49"/>
    <w:rsid w:val="00E6610F"/>
    <w:rsid w:val="00E67ED7"/>
    <w:rsid w:val="00E70041"/>
    <w:rsid w:val="00E71381"/>
    <w:rsid w:val="00E7138C"/>
    <w:rsid w:val="00E7285F"/>
    <w:rsid w:val="00E7595D"/>
    <w:rsid w:val="00E80C82"/>
    <w:rsid w:val="00E90F4B"/>
    <w:rsid w:val="00E91076"/>
    <w:rsid w:val="00E93373"/>
    <w:rsid w:val="00EA4E7D"/>
    <w:rsid w:val="00EA76D7"/>
    <w:rsid w:val="00ED7FE6"/>
    <w:rsid w:val="00EE4614"/>
    <w:rsid w:val="00EF7D7B"/>
    <w:rsid w:val="00EF7DB4"/>
    <w:rsid w:val="00F01D75"/>
    <w:rsid w:val="00F03745"/>
    <w:rsid w:val="00F05293"/>
    <w:rsid w:val="00F05E4F"/>
    <w:rsid w:val="00F13A3B"/>
    <w:rsid w:val="00F22044"/>
    <w:rsid w:val="00F36A58"/>
    <w:rsid w:val="00F4285A"/>
    <w:rsid w:val="00F444A4"/>
    <w:rsid w:val="00F45FE4"/>
    <w:rsid w:val="00F57426"/>
    <w:rsid w:val="00F617C8"/>
    <w:rsid w:val="00F63E8C"/>
    <w:rsid w:val="00F64252"/>
    <w:rsid w:val="00F70C89"/>
    <w:rsid w:val="00F7402A"/>
    <w:rsid w:val="00F74D1D"/>
    <w:rsid w:val="00F75297"/>
    <w:rsid w:val="00F77524"/>
    <w:rsid w:val="00F8291A"/>
    <w:rsid w:val="00F82CE2"/>
    <w:rsid w:val="00F83681"/>
    <w:rsid w:val="00F8436F"/>
    <w:rsid w:val="00F84899"/>
    <w:rsid w:val="00F859F0"/>
    <w:rsid w:val="00F9050C"/>
    <w:rsid w:val="00F974BA"/>
    <w:rsid w:val="00FA0C11"/>
    <w:rsid w:val="00FA7689"/>
    <w:rsid w:val="00FA7D4C"/>
    <w:rsid w:val="00FB0241"/>
    <w:rsid w:val="00FB289E"/>
    <w:rsid w:val="00FB46F8"/>
    <w:rsid w:val="00FC180A"/>
    <w:rsid w:val="00FE141E"/>
    <w:rsid w:val="00FE3005"/>
    <w:rsid w:val="00FF4936"/>
    <w:rsid w:val="00FF4BB8"/>
    <w:rsid w:val="00FF51FE"/>
    <w:rsid w:val="00FF6BBB"/>
    <w:rsid w:val="00FF767D"/>
    <w:rsid w:val="086946E7"/>
    <w:rsid w:val="0D452DA8"/>
    <w:rsid w:val="1126E876"/>
    <w:rsid w:val="13140105"/>
    <w:rsid w:val="18CDC6B0"/>
    <w:rsid w:val="1F708C90"/>
    <w:rsid w:val="27CBFCDF"/>
    <w:rsid w:val="2FDB9056"/>
    <w:rsid w:val="38839815"/>
    <w:rsid w:val="39D2D54E"/>
    <w:rsid w:val="3FBCC6C3"/>
    <w:rsid w:val="42AC66B7"/>
    <w:rsid w:val="443F4D73"/>
    <w:rsid w:val="5172087C"/>
    <w:rsid w:val="646343D5"/>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bdcde687a1514d6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9AAF1B7-1E9A-465D-B75E-1B57736EE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30C93-196A-410A-93EB-2E6DEABE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4162</Words>
  <Characters>22895</Characters>
  <Application>Microsoft Office Word</Application>
  <DocSecurity>0</DocSecurity>
  <Lines>190</Lines>
  <Paragraphs>54</Paragraphs>
  <ScaleCrop>false</ScaleCrop>
  <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Cuenta Microsoft</cp:lastModifiedBy>
  <cp:revision>4</cp:revision>
  <dcterms:created xsi:type="dcterms:W3CDTF">2021-07-30T18:14:00Z</dcterms:created>
  <dcterms:modified xsi:type="dcterms:W3CDTF">2021-07-30T20:10:00Z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