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868CC" w:rsidR="008A619F" w:rsidP="008A619F" w:rsidRDefault="008A619F" w14:paraId="0F3C9600" w14:textId="77777777">
      <w:pPr>
        <w:jc w:val="right"/>
        <w:rPr>
          <w:rFonts w:ascii="Arial" w:hAnsi="Arial" w:cs="Arial"/>
          <w:b/>
          <w:sz w:val="16"/>
          <w:szCs w:val="16"/>
          <w:lang w:eastAsia="es-ES"/>
        </w:rPr>
      </w:pPr>
      <w:bookmarkStart w:name="_Hlk28946138" w:id="0"/>
      <w:bookmarkStart w:name="_Hlk29548183" w:id="1"/>
      <w:r w:rsidRPr="009868CC">
        <w:rPr>
          <w:rFonts w:ascii="Arial" w:hAnsi="Arial" w:cs="Arial"/>
          <w:b/>
          <w:sz w:val="16"/>
          <w:szCs w:val="16"/>
          <w:lang w:eastAsia="es-ES"/>
        </w:rPr>
        <w:tab/>
      </w:r>
      <w:r w:rsidRPr="009868CC">
        <w:rPr>
          <w:rFonts w:ascii="Arial" w:hAnsi="Arial" w:cs="Arial"/>
          <w:b/>
          <w:sz w:val="16"/>
          <w:szCs w:val="16"/>
          <w:lang w:eastAsia="es-ES"/>
        </w:rPr>
        <w:t>CCE-DES-FM-17</w:t>
      </w:r>
    </w:p>
    <w:p w:rsidRPr="009868CC" w:rsidR="008A619F" w:rsidP="008A619F" w:rsidRDefault="008A619F" w14:paraId="22532BEF" w14:textId="77777777">
      <w:pPr>
        <w:spacing w:line="276" w:lineRule="auto"/>
        <w:jc w:val="both"/>
        <w:rPr>
          <w:rFonts w:ascii="Arial" w:hAnsi="Arial" w:eastAsia="Calibri" w:cs="Arial"/>
          <w:b/>
          <w:sz w:val="16"/>
          <w:szCs w:val="16"/>
        </w:rPr>
      </w:pPr>
    </w:p>
    <w:p w:rsidRPr="00DD3072" w:rsidR="00DD3072" w:rsidP="11AE2AB6" w:rsidRDefault="00DD3072" w14:paraId="08341546" w14:textId="5F3B2B32">
      <w:pPr>
        <w:pStyle w:val="Normal"/>
        <w:jc w:val="both"/>
        <w:textAlignment w:val="baseline"/>
        <w:rPr>
          <w:rFonts w:ascii="Segoe UI" w:hAnsi="Segoe UI" w:eastAsia="Times New Roman" w:cs="Segoe UI"/>
          <w:sz w:val="18"/>
          <w:szCs w:val="18"/>
          <w:lang w:val="es-ES" w:eastAsia="es-ES"/>
        </w:rPr>
      </w:pPr>
      <w:bookmarkStart w:name="_Hlk57621034" w:id="2"/>
      <w:bookmarkEnd w:id="0"/>
      <w:bookmarkEnd w:id="1"/>
      <w:r w:rsidRPr="11AE2AB6" w:rsidR="00DD3072">
        <w:rPr>
          <w:rFonts w:ascii="Arial" w:hAnsi="Arial" w:eastAsia="Times New Roman" w:cs="Arial"/>
          <w:b w:val="1"/>
          <w:bCs w:val="1"/>
          <w:sz w:val="22"/>
          <w:szCs w:val="22"/>
          <w:lang w:val="es-ES" w:eastAsia="es-ES"/>
        </w:rPr>
        <w:t>DECRETO 092 DE 2017 – Artículo 355</w:t>
      </w:r>
      <w:r w:rsidRPr="11AE2AB6" w:rsidR="4D10D30D">
        <w:rPr>
          <w:rFonts w:ascii="Arial" w:hAnsi="Arial" w:eastAsia="Times New Roman" w:cs="Arial"/>
          <w:b w:val="1"/>
          <w:bCs w:val="1"/>
          <w:sz w:val="22"/>
          <w:szCs w:val="22"/>
          <w:lang w:val="es-ES" w:eastAsia="es-ES"/>
        </w:rPr>
        <w:t xml:space="preserve"> </w:t>
      </w:r>
      <w:r w:rsidRPr="11AE2AB6" w:rsidR="00DD3072">
        <w:rPr>
          <w:rFonts w:ascii="Arial" w:hAnsi="Arial" w:eastAsia="Times New Roman" w:cs="Arial"/>
          <w:b w:val="1"/>
          <w:bCs w:val="1"/>
          <w:sz w:val="22"/>
          <w:szCs w:val="22"/>
          <w:lang w:val="es-ES" w:eastAsia="es-ES"/>
        </w:rPr>
        <w:t> </w:t>
      </w:r>
      <w:r w:rsidRPr="11AE2AB6" w:rsidR="0E7689F4">
        <w:rPr>
          <w:rFonts w:ascii="Arial" w:hAnsi="Arial" w:eastAsia="Times New Roman" w:cs="Arial"/>
          <w:b w:val="1"/>
          <w:bCs w:val="1"/>
          <w:sz w:val="22"/>
          <w:szCs w:val="22"/>
          <w:lang w:val="es-ES" w:eastAsia="es-ES"/>
        </w:rPr>
        <w:t xml:space="preserve">–  </w:t>
      </w:r>
      <w:r w:rsidRPr="11AE2AB6" w:rsidR="00DD3072">
        <w:rPr>
          <w:rFonts w:ascii="Arial" w:hAnsi="Arial" w:eastAsia="Times New Roman" w:cs="Arial"/>
          <w:b w:val="1"/>
          <w:bCs w:val="1"/>
          <w:sz w:val="22"/>
          <w:szCs w:val="22"/>
          <w:lang w:val="es-ES" w:eastAsia="es-ES"/>
        </w:rPr>
        <w:t xml:space="preserve">Constitución </w:t>
      </w:r>
      <w:r w:rsidRPr="11AE2AB6" w:rsidR="77168A0F">
        <w:rPr>
          <w:rFonts w:ascii="Arial" w:hAnsi="Arial" w:eastAsia="Times New Roman" w:cs="Arial"/>
          <w:b w:val="1"/>
          <w:bCs w:val="1"/>
          <w:sz w:val="22"/>
          <w:szCs w:val="22"/>
          <w:lang w:val="es-ES" w:eastAsia="es-ES"/>
        </w:rPr>
        <w:t>p</w:t>
      </w:r>
      <w:r w:rsidRPr="11AE2AB6" w:rsidR="00DD3072">
        <w:rPr>
          <w:rFonts w:ascii="Arial" w:hAnsi="Arial" w:eastAsia="Times New Roman" w:cs="Arial"/>
          <w:b w:val="1"/>
          <w:bCs w:val="1"/>
          <w:sz w:val="22"/>
          <w:szCs w:val="22"/>
          <w:lang w:val="es-ES" w:eastAsia="es-ES"/>
        </w:rPr>
        <w:t>olítica</w:t>
      </w:r>
      <w:r w:rsidRPr="11AE2AB6" w:rsidR="366FF295">
        <w:rPr>
          <w:rFonts w:ascii="Arial" w:hAnsi="Arial" w:eastAsia="Times New Roman" w:cs="Arial"/>
          <w:b w:val="1"/>
          <w:bCs w:val="1"/>
          <w:sz w:val="22"/>
          <w:szCs w:val="22"/>
          <w:lang w:val="es-ES" w:eastAsia="es-ES"/>
        </w:rPr>
        <w:t xml:space="preserve"> </w:t>
      </w:r>
      <w:r w:rsidRPr="11AE2AB6" w:rsidR="00DD3072">
        <w:rPr>
          <w:rFonts w:ascii="Arial" w:hAnsi="Arial" w:eastAsia="Times New Roman" w:cs="Arial"/>
          <w:b w:val="1"/>
          <w:bCs w:val="1"/>
          <w:sz w:val="22"/>
          <w:szCs w:val="22"/>
          <w:lang w:val="es-ES" w:eastAsia="es-ES"/>
        </w:rPr>
        <w:t> </w:t>
      </w:r>
      <w:r w:rsidRPr="11AE2AB6" w:rsidR="7594D33B">
        <w:rPr>
          <w:rFonts w:ascii="Arial" w:hAnsi="Arial" w:eastAsia="Times New Roman" w:cs="Arial"/>
          <w:b w:val="1"/>
          <w:bCs w:val="1"/>
          <w:sz w:val="22"/>
          <w:szCs w:val="22"/>
          <w:lang w:val="es-ES" w:eastAsia="es-ES"/>
        </w:rPr>
        <w:t xml:space="preserve">–  </w:t>
      </w:r>
      <w:r w:rsidRPr="11AE2AB6" w:rsidR="00DD3072">
        <w:rPr>
          <w:rFonts w:ascii="Arial" w:hAnsi="Arial" w:eastAsia="Times New Roman" w:cs="Arial"/>
          <w:b w:val="1"/>
          <w:bCs w:val="1"/>
          <w:sz w:val="22"/>
          <w:szCs w:val="22"/>
          <w:lang w:val="es-ES" w:eastAsia="es-ES"/>
        </w:rPr>
        <w:t>Convenios de asociación </w:t>
      </w:r>
      <w:r w:rsidRPr="11AE2AB6" w:rsidR="441A3D88">
        <w:rPr>
          <w:rFonts w:ascii="Arial" w:hAnsi="Arial" w:eastAsia="Times New Roman" w:cs="Arial"/>
          <w:b w:val="1"/>
          <w:bCs w:val="1"/>
          <w:sz w:val="22"/>
          <w:szCs w:val="22"/>
          <w:lang w:val="es-ES" w:eastAsia="es-ES"/>
        </w:rPr>
        <w:t xml:space="preserve">–  </w:t>
      </w:r>
      <w:r w:rsidRPr="11AE2AB6" w:rsidR="00DD3072">
        <w:rPr>
          <w:rFonts w:ascii="Arial" w:hAnsi="Arial" w:eastAsia="Times New Roman" w:cs="Arial"/>
          <w:b w:val="1"/>
          <w:bCs w:val="1"/>
          <w:sz w:val="22"/>
          <w:szCs w:val="22"/>
          <w:lang w:val="es-ES" w:eastAsia="es-ES"/>
        </w:rPr>
        <w:t>Artículo 96 – Ley 489 de 1998</w:t>
      </w:r>
      <w:r w:rsidRPr="11AE2AB6" w:rsidR="00DD3072">
        <w:rPr>
          <w:rFonts w:ascii="Arial" w:hAnsi="Arial" w:eastAsia="Times New Roman" w:cs="Arial"/>
          <w:sz w:val="22"/>
          <w:szCs w:val="22"/>
          <w:lang w:val="es-ES" w:eastAsia="es-ES"/>
        </w:rPr>
        <w:t> </w:t>
      </w:r>
    </w:p>
    <w:p w:rsidRPr="00DD3072" w:rsidR="00DD3072" w:rsidP="00DD3072" w:rsidRDefault="00DD3072" w14:paraId="5120D5BA" w14:textId="77777777">
      <w:pPr>
        <w:textAlignment w:val="baseline"/>
        <w:rPr>
          <w:rFonts w:ascii="Segoe UI" w:hAnsi="Segoe UI" w:eastAsia="Times New Roman" w:cs="Segoe UI"/>
          <w:sz w:val="18"/>
          <w:szCs w:val="18"/>
          <w:lang w:val="es-ES_tradnl" w:eastAsia="es-ES_tradnl"/>
        </w:rPr>
      </w:pPr>
      <w:r w:rsidRPr="00DD3072">
        <w:rPr>
          <w:rFonts w:ascii="Arial" w:hAnsi="Arial" w:eastAsia="Times New Roman" w:cs="Arial"/>
          <w:sz w:val="20"/>
          <w:szCs w:val="20"/>
          <w:lang w:val="es-ES_tradnl" w:eastAsia="es-ES_tradnl"/>
        </w:rPr>
        <w:t> </w:t>
      </w:r>
    </w:p>
    <w:p w:rsidRPr="00DD3072" w:rsidR="00DD3072" w:rsidP="00DD3072" w:rsidRDefault="00DD3072" w14:paraId="73B41C5B" w14:textId="77777777">
      <w:pPr>
        <w:jc w:val="both"/>
        <w:textAlignment w:val="baseline"/>
        <w:rPr>
          <w:rFonts w:ascii="Segoe UI" w:hAnsi="Segoe UI" w:eastAsia="Times New Roman" w:cs="Segoe UI"/>
          <w:sz w:val="18"/>
          <w:szCs w:val="18"/>
          <w:lang w:val="es-ES_tradnl" w:eastAsia="es-ES_tradnl"/>
        </w:rPr>
      </w:pPr>
      <w:r w:rsidRPr="00DD3072">
        <w:rPr>
          <w:rFonts w:ascii="Arial" w:hAnsi="Arial" w:eastAsia="Times New Roman" w:cs="Arial"/>
          <w:sz w:val="20"/>
          <w:szCs w:val="20"/>
          <w:lang w:val="es-ES_tradnl" w:eastAsia="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 </w:t>
      </w:r>
    </w:p>
    <w:p w:rsidRPr="00DD3072" w:rsidR="00DD3072" w:rsidP="00DD3072" w:rsidRDefault="00DD3072" w14:paraId="34250AEB" w14:textId="77777777">
      <w:pPr>
        <w:jc w:val="both"/>
        <w:rPr>
          <w:rFonts w:ascii="Arial" w:hAnsi="Arial" w:eastAsia="Calibri" w:cs="Arial"/>
          <w:sz w:val="20"/>
          <w:szCs w:val="20"/>
          <w:lang w:val="es-ES_tradnl"/>
        </w:rPr>
      </w:pPr>
    </w:p>
    <w:p w:rsidRPr="00DD3072" w:rsidR="00DD3072" w:rsidP="00DD3072" w:rsidRDefault="00DD3072" w14:paraId="0C209923" w14:textId="77777777">
      <w:pPr>
        <w:jc w:val="both"/>
        <w:rPr>
          <w:rFonts w:ascii="Arial" w:hAnsi="Arial" w:eastAsia="Calibri" w:cs="Arial"/>
          <w:b/>
          <w:bCs/>
          <w:sz w:val="22"/>
          <w:lang w:val="es-ES_tradnl"/>
        </w:rPr>
      </w:pPr>
      <w:r w:rsidRPr="00DD3072">
        <w:rPr>
          <w:rFonts w:ascii="Arial" w:hAnsi="Arial" w:eastAsia="Calibri" w:cs="Arial"/>
          <w:b/>
          <w:bCs/>
          <w:sz w:val="22"/>
          <w:lang w:val="es-ES_tradnl"/>
        </w:rPr>
        <w:t xml:space="preserve">DECRETO 092 DE 2017 – Criterios determinación </w:t>
      </w:r>
      <w:r w:rsidRPr="00DD3072">
        <w:rPr>
          <w:rFonts w:ascii="Arial" w:hAnsi="Arial" w:eastAsia="Arial" w:cs="Arial"/>
          <w:b/>
          <w:bCs/>
          <w:sz w:val="22"/>
          <w:lang w:val="es-ES_tradnl"/>
        </w:rPr>
        <w:t xml:space="preserve">– Aplicación </w:t>
      </w:r>
    </w:p>
    <w:p w:rsidRPr="00DD3072" w:rsidR="00DD3072" w:rsidP="00DD3072" w:rsidRDefault="00DD3072" w14:paraId="599F9D4B" w14:textId="77777777">
      <w:pPr>
        <w:jc w:val="both"/>
        <w:rPr>
          <w:rFonts w:ascii="Arial" w:hAnsi="Arial" w:eastAsia="Calibri" w:cs="Arial"/>
          <w:sz w:val="20"/>
          <w:szCs w:val="20"/>
          <w:lang w:val="es-ES_tradnl"/>
        </w:rPr>
      </w:pPr>
    </w:p>
    <w:p w:rsidRPr="00DD3072" w:rsidR="00DD3072" w:rsidP="00DD3072" w:rsidRDefault="00DD3072" w14:paraId="5B622E52" w14:textId="77777777">
      <w:pPr>
        <w:jc w:val="both"/>
        <w:rPr>
          <w:rFonts w:ascii="Arial" w:hAnsi="Arial" w:eastAsia="Calibri" w:cs="Arial"/>
          <w:sz w:val="20"/>
          <w:szCs w:val="20"/>
          <w:lang w:val="es-ES_tradnl"/>
        </w:rPr>
      </w:pPr>
      <w:r w:rsidRPr="00DD3072">
        <w:rPr>
          <w:rFonts w:ascii="Arial" w:hAnsi="Arial" w:eastAsia="Calibri" w:cs="Arial"/>
          <w:sz w:val="20"/>
          <w:szCs w:val="20"/>
          <w:lang w:val="es-ES_tradnl"/>
        </w:rPr>
        <w:t>[…] 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rsidRPr="00DD3072" w:rsidR="00DD3072" w:rsidP="00DD3072" w:rsidRDefault="00DD3072" w14:paraId="279D7999" w14:textId="77777777">
      <w:pPr>
        <w:jc w:val="both"/>
        <w:rPr>
          <w:rFonts w:ascii="Arial" w:hAnsi="Arial" w:eastAsia="Calibri" w:cs="Arial"/>
          <w:sz w:val="20"/>
          <w:szCs w:val="20"/>
          <w:lang w:val="es-ES_tradnl"/>
        </w:rPr>
      </w:pPr>
    </w:p>
    <w:p w:rsidRPr="00DD3072" w:rsidR="00DD3072" w:rsidP="00DD3072" w:rsidRDefault="00DD3072" w14:paraId="5F4EA7BD" w14:textId="77777777">
      <w:pPr>
        <w:jc w:val="both"/>
        <w:rPr>
          <w:rFonts w:ascii="Arial" w:hAnsi="Arial" w:eastAsia="Calibri" w:cs="Arial"/>
          <w:b/>
          <w:bCs/>
          <w:sz w:val="22"/>
          <w:lang w:val="es-ES_tradnl"/>
        </w:rPr>
      </w:pPr>
      <w:r w:rsidRPr="00DD3072">
        <w:rPr>
          <w:rFonts w:ascii="Arial" w:hAnsi="Arial" w:eastAsia="Calibri" w:cs="Arial"/>
          <w:b/>
          <w:bCs/>
          <w:sz w:val="22"/>
          <w:lang w:val="es-ES_tradnl"/>
        </w:rPr>
        <w:t xml:space="preserve">CONVENIOS DE ASOCIACIÓN – Multiplicidad de sujetos </w:t>
      </w:r>
      <w:r w:rsidRPr="00DD3072">
        <w:rPr>
          <w:rFonts w:ascii="Arial" w:hAnsi="Arial" w:eastAsia="Arial" w:cs="Arial"/>
          <w:b/>
          <w:bCs/>
          <w:sz w:val="22"/>
          <w:lang w:val="es-ES_tradnl"/>
        </w:rPr>
        <w:t>–</w:t>
      </w:r>
      <w:r w:rsidRPr="00DD3072">
        <w:rPr>
          <w:rFonts w:ascii="Arial" w:hAnsi="Arial" w:eastAsia="Calibri" w:cs="Arial"/>
          <w:b/>
          <w:bCs/>
          <w:sz w:val="22"/>
          <w:lang w:val="es-ES_tradnl"/>
        </w:rPr>
        <w:t xml:space="preserve"> Límites legales</w:t>
      </w:r>
    </w:p>
    <w:p w:rsidRPr="00DD3072" w:rsidR="00DD3072" w:rsidP="00DD3072" w:rsidRDefault="00DD3072" w14:paraId="6785F099" w14:textId="77777777">
      <w:pPr>
        <w:jc w:val="both"/>
        <w:rPr>
          <w:rFonts w:ascii="Arial" w:hAnsi="Arial" w:eastAsia="Calibri" w:cs="Arial"/>
          <w:sz w:val="20"/>
          <w:szCs w:val="20"/>
          <w:lang w:val="es-ES_tradnl"/>
        </w:rPr>
      </w:pPr>
    </w:p>
    <w:p w:rsidRPr="00DD3072" w:rsidR="00DD3072" w:rsidP="00DD3072" w:rsidRDefault="00DD3072" w14:paraId="186C0FDA" w14:textId="77777777">
      <w:pPr>
        <w:jc w:val="both"/>
        <w:rPr>
          <w:rFonts w:ascii="Arial" w:hAnsi="Arial" w:eastAsia="Calibri" w:cs="Arial"/>
          <w:sz w:val="20"/>
          <w:szCs w:val="20"/>
          <w:lang w:val="es-ES_tradnl"/>
        </w:rPr>
      </w:pPr>
      <w:r w:rsidRPr="00DD3072">
        <w:rPr>
          <w:rFonts w:ascii="Arial" w:hAnsi="Arial" w:eastAsia="Calibri" w:cs="Arial"/>
          <w:sz w:val="20"/>
          <w:szCs w:val="20"/>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rsidRPr="00DD3072" w:rsidR="00DD3072" w:rsidP="00DD3072" w:rsidRDefault="00DD3072" w14:paraId="04A8D1C0" w14:textId="77777777">
      <w:pPr>
        <w:jc w:val="both"/>
        <w:rPr>
          <w:rFonts w:ascii="Arial" w:hAnsi="Arial" w:eastAsia="Calibri" w:cs="Arial"/>
          <w:sz w:val="20"/>
          <w:szCs w:val="20"/>
          <w:lang w:val="es-ES_tradnl"/>
        </w:rPr>
      </w:pPr>
    </w:p>
    <w:p w:rsidRPr="00DD3072" w:rsidR="00DD3072" w:rsidP="00DD3072" w:rsidRDefault="00DD3072" w14:paraId="1EEEA426" w14:textId="77777777">
      <w:pPr>
        <w:jc w:val="both"/>
        <w:rPr>
          <w:rFonts w:ascii="Arial" w:hAnsi="Arial" w:eastAsia="Calibri" w:cs="Arial"/>
          <w:sz w:val="20"/>
          <w:szCs w:val="20"/>
          <w:lang w:val="es-ES_tradnl"/>
        </w:rPr>
      </w:pPr>
    </w:p>
    <w:p w:rsidRPr="00DD3072" w:rsidR="00DD3072" w:rsidP="00DD3072" w:rsidRDefault="00DD3072" w14:paraId="441C0232" w14:textId="77777777">
      <w:pPr>
        <w:jc w:val="both"/>
        <w:rPr>
          <w:rFonts w:ascii="Arial" w:hAnsi="Arial" w:eastAsia="Calibri" w:cs="Arial"/>
          <w:sz w:val="20"/>
          <w:szCs w:val="20"/>
          <w:lang w:val="es-ES_tradnl"/>
        </w:rPr>
      </w:pPr>
      <w:r w:rsidRPr="00DD3072">
        <w:rPr>
          <w:rFonts w:ascii="Arial" w:hAnsi="Arial" w:eastAsia="Calibri" w:cs="Arial"/>
          <w:b/>
          <w:bCs/>
          <w:sz w:val="22"/>
          <w:lang w:val="es-ES_tradnl"/>
        </w:rPr>
        <w:t>CONVENIOS DE ASOCIACIÓN – Selección objetiva</w:t>
      </w:r>
    </w:p>
    <w:p w:rsidRPr="00DD3072" w:rsidR="00DD3072" w:rsidP="00DD3072" w:rsidRDefault="00DD3072" w14:paraId="018D2171" w14:textId="77777777">
      <w:pPr>
        <w:jc w:val="both"/>
        <w:rPr>
          <w:rFonts w:ascii="Arial" w:hAnsi="Arial" w:eastAsia="Calibri" w:cs="Arial"/>
          <w:sz w:val="20"/>
          <w:szCs w:val="20"/>
          <w:lang w:val="es-ES_tradnl"/>
        </w:rPr>
      </w:pPr>
    </w:p>
    <w:p w:rsidR="008A619F" w:rsidP="11AE2AB6" w:rsidRDefault="008720EE" w14:paraId="7D87F2F3" w14:textId="50AEBAAE" w14:noSpellErr="1">
      <w:pPr>
        <w:jc w:val="both"/>
        <w:rPr>
          <w:rFonts w:ascii="Arial" w:hAnsi="Arial" w:cs="Arial"/>
          <w:color w:val="000000" w:themeColor="text1"/>
          <w:sz w:val="22"/>
          <w:szCs w:val="22"/>
          <w:lang w:val="es-CO"/>
        </w:rPr>
      </w:pPr>
      <w:r w:rsidRPr="11AE2AB6" w:rsidR="008720EE">
        <w:rPr>
          <w:rFonts w:ascii="Arial" w:hAnsi="Arial" w:eastAsia="Calibri" w:cs="Arial"/>
          <w:sz w:val="20"/>
          <w:szCs w:val="20"/>
          <w:lang w:val="es-ES"/>
        </w:rPr>
        <w:t xml:space="preserve">[…] </w:t>
      </w:r>
      <w:r w:rsidRPr="11AE2AB6" w:rsidR="008720EE">
        <w:rPr>
          <w:rFonts w:ascii="Arial" w:hAnsi="Arial" w:eastAsia="Calibri" w:cs="Arial"/>
          <w:sz w:val="20"/>
          <w:szCs w:val="20"/>
          <w:lang w:val="es-ES"/>
        </w:rPr>
        <w:t xml:space="preserve">si se pretende suscribir un </w:t>
      </w:r>
      <w:r w:rsidRPr="11AE2AB6" w:rsidR="008720EE">
        <w:rPr>
          <w:rFonts w:ascii="Arial" w:hAnsi="Arial" w:eastAsia="Calibri" w:cs="Arial"/>
          <w:i w:val="1"/>
          <w:iCs w:val="1"/>
          <w:sz w:val="20"/>
          <w:szCs w:val="20"/>
          <w:lang w:val="es-ES"/>
        </w:rPr>
        <w:t>convenio de asociación</w:t>
      </w:r>
      <w:r w:rsidRPr="11AE2AB6" w:rsidR="008720EE">
        <w:rPr>
          <w:rFonts w:ascii="Arial" w:hAnsi="Arial" w:eastAsia="Calibri" w:cs="Arial"/>
          <w:sz w:val="20"/>
          <w:szCs w:val="20"/>
          <w:lang w:val="es-ES"/>
        </w:rPr>
        <w:t xml:space="preserve"> con una ESAL de reconocida idoneidad para el cumplimiento de las funciones que la ley les asigna a las entidades públicas, deben aplicar lo dispuesto en el artículo 5 del Decreto 92 de 2017. Como se estableció </w:t>
      </w:r>
      <w:r w:rsidRPr="11AE2AB6" w:rsidR="008720EE">
        <w:rPr>
          <w:rFonts w:ascii="Arial" w:hAnsi="Arial" w:eastAsia="Calibri" w:cs="Arial"/>
          <w:i w:val="1"/>
          <w:iCs w:val="1"/>
          <w:sz w:val="20"/>
          <w:szCs w:val="20"/>
          <w:lang w:val="es-ES"/>
        </w:rPr>
        <w:t>supra</w:t>
      </w:r>
      <w:r w:rsidRPr="11AE2AB6" w:rsidR="008720EE">
        <w:rPr>
          <w:rFonts w:ascii="Arial" w:hAnsi="Arial" w:eastAsia="Calibri" w:cs="Arial"/>
          <w:sz w:val="20"/>
          <w:szCs w:val="20"/>
          <w:lang w:val="es-ES"/>
        </w:rPr>
        <w:t>, este artículo establece que el proceso para la escogencia de la ESAL, por regla general, debe estar sujeto a competencia. Esto salvo en aquellos casos en los que una ESAL manifieste su compromiso de aportar recursos en dinero por un valor igual o superior al 30% del valor total del convenio, siempre y cuando no existan otras ESALES que ofrezca aportes en monto igual o superior a dicho porcentaje</w:t>
      </w:r>
      <w:r w:rsidRPr="11AE2AB6" w:rsidR="008720EE">
        <w:rPr>
          <w:rFonts w:ascii="Arial" w:hAnsi="Arial" w:eastAsia="Calibri" w:cs="Arial"/>
          <w:sz w:val="20"/>
          <w:szCs w:val="20"/>
          <w:lang w:val="es-ES"/>
        </w:rPr>
        <w:t>.</w:t>
      </w:r>
      <w:bookmarkEnd w:id="2"/>
    </w:p>
    <w:p w:rsidR="00C10CB3" w:rsidP="005400C8" w:rsidRDefault="00C10CB3" w14:paraId="10D3280C" w14:textId="7D1CC96D">
      <w:pPr>
        <w:jc w:val="right"/>
        <w:rPr>
          <w:rFonts w:ascii="Arial" w:hAnsi="Arial" w:cs="Arial"/>
          <w:color w:val="000000" w:themeColor="text1"/>
          <w:sz w:val="22"/>
          <w:lang w:val="es-CO"/>
        </w:rPr>
      </w:pPr>
      <w:r w:rsidRPr="00C10CB3">
        <w:rPr>
          <w:rFonts w:ascii="Arial" w:hAnsi="Arial" w:cs="Arial"/>
          <w:noProof/>
          <w:color w:val="000000" w:themeColor="text1"/>
          <w:sz w:val="22"/>
          <w:lang w:val="es-CO"/>
        </w:rPr>
        <w:lastRenderedPageBreak/>
        <w:drawing>
          <wp:inline distT="0" distB="0" distL="0" distR="0" wp14:anchorId="41D1F981" wp14:editId="61F9E98C">
            <wp:extent cx="2447925" cy="60630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1596" cy="612167"/>
                    </a:xfrm>
                    <a:prstGeom prst="rect">
                      <a:avLst/>
                    </a:prstGeom>
                    <a:noFill/>
                    <a:ln>
                      <a:noFill/>
                    </a:ln>
                  </pic:spPr>
                </pic:pic>
              </a:graphicData>
            </a:graphic>
          </wp:inline>
        </w:drawing>
      </w:r>
    </w:p>
    <w:p w:rsidR="00C10CB3" w:rsidP="008A619F" w:rsidRDefault="00C10CB3" w14:paraId="0B4F4F61" w14:textId="7CA4F7A7">
      <w:pPr>
        <w:rPr>
          <w:rFonts w:ascii="Arial" w:hAnsi="Arial" w:cs="Arial"/>
          <w:color w:val="000000" w:themeColor="text1"/>
          <w:sz w:val="22"/>
          <w:lang w:val="es-CO"/>
        </w:rPr>
      </w:pPr>
    </w:p>
    <w:p w:rsidRPr="00C10CB3" w:rsidR="00DD3072" w:rsidP="008A619F" w:rsidRDefault="00DD3072" w14:paraId="510E8BDC" w14:textId="37E84F7D">
      <w:pPr>
        <w:rPr>
          <w:rFonts w:ascii="Arial" w:hAnsi="Arial" w:eastAsia="Calibri" w:cs="Arial"/>
          <w:sz w:val="22"/>
          <w:szCs w:val="20"/>
        </w:rPr>
      </w:pPr>
    </w:p>
    <w:p w:rsidR="00C10CB3" w:rsidP="00C10CB3" w:rsidRDefault="00C10CB3" w14:paraId="6BCFDB09" w14:textId="6936C4E6">
      <w:pPr>
        <w:autoSpaceDE w:val="0"/>
        <w:autoSpaceDN w:val="0"/>
        <w:adjustRightInd w:val="0"/>
        <w:jc w:val="right"/>
        <w:rPr>
          <w:rFonts w:ascii="Arial" w:hAnsi="Arial" w:eastAsia="Arial-BoldMT" w:cs="Arial"/>
          <w:b/>
          <w:bCs/>
          <w:color w:val="595959"/>
          <w:sz w:val="18"/>
          <w:szCs w:val="18"/>
          <w:lang w:val="es-CO"/>
        </w:rPr>
      </w:pPr>
      <w:r w:rsidRPr="005400C8">
        <w:rPr>
          <w:rFonts w:ascii="Arial" w:hAnsi="Arial" w:eastAsia="Arial-BoldMT" w:cs="Arial"/>
          <w:b/>
          <w:bCs/>
          <w:color w:val="595959"/>
          <w:sz w:val="18"/>
          <w:szCs w:val="18"/>
          <w:lang w:val="es-CO"/>
        </w:rPr>
        <w:t>CCE-DES-FM-17</w:t>
      </w:r>
    </w:p>
    <w:p w:rsidRPr="005400C8" w:rsidR="00C10CB3" w:rsidP="005400C8" w:rsidRDefault="00C10CB3" w14:paraId="752CA8C2" w14:textId="77777777">
      <w:pPr>
        <w:autoSpaceDE w:val="0"/>
        <w:autoSpaceDN w:val="0"/>
        <w:adjustRightInd w:val="0"/>
        <w:jc w:val="right"/>
        <w:rPr>
          <w:rFonts w:ascii="Arial" w:hAnsi="Arial" w:eastAsia="Arial-BoldMT" w:cs="Arial"/>
          <w:b/>
          <w:bCs/>
          <w:color w:val="595959"/>
          <w:sz w:val="18"/>
          <w:szCs w:val="18"/>
          <w:lang w:val="es-CO"/>
        </w:rPr>
      </w:pPr>
    </w:p>
    <w:p w:rsidR="00C10CB3" w:rsidP="008A619F" w:rsidRDefault="00C10CB3" w14:paraId="5ED9C50E" w14:textId="1C7FA48B">
      <w:pPr>
        <w:rPr>
          <w:rFonts w:ascii="ArialMT" w:eastAsia="ArialMT" w:cs="ArialMT"/>
          <w:color w:val="4E4D4D"/>
          <w:sz w:val="22"/>
          <w:lang w:val="es-CO"/>
        </w:rPr>
      </w:pPr>
      <w:r>
        <w:rPr>
          <w:rFonts w:ascii="ArialMT" w:eastAsia="ArialMT" w:cs="ArialMT"/>
          <w:color w:val="4E4D4D"/>
          <w:sz w:val="22"/>
          <w:lang w:val="es-CO"/>
        </w:rPr>
        <w:t>Bogot</w:t>
      </w:r>
      <w:r>
        <w:rPr>
          <w:rFonts w:hint="eastAsia" w:ascii="ArialMT" w:eastAsia="ArialMT" w:cs="ArialMT"/>
          <w:color w:val="4E4D4D"/>
          <w:sz w:val="22"/>
          <w:lang w:val="es-CO"/>
        </w:rPr>
        <w:t>á</w:t>
      </w:r>
      <w:r>
        <w:rPr>
          <w:rFonts w:ascii="ArialMT" w:eastAsia="ArialMT" w:cs="ArialMT"/>
          <w:color w:val="4E4D4D"/>
          <w:sz w:val="22"/>
          <w:lang w:val="es-CO"/>
        </w:rPr>
        <w:t>, 26 Julio 2021</w:t>
      </w:r>
    </w:p>
    <w:p w:rsidR="005400C8" w:rsidP="008A619F" w:rsidRDefault="005400C8" w14:paraId="67D82483" w14:textId="69FDA262">
      <w:pPr>
        <w:rPr>
          <w:rFonts w:ascii="ArialMT" w:eastAsia="ArialMT" w:cs="ArialMT"/>
          <w:color w:val="4E4D4D"/>
          <w:sz w:val="22"/>
          <w:lang w:val="es-CO"/>
        </w:rPr>
      </w:pPr>
    </w:p>
    <w:p w:rsidR="005400C8" w:rsidP="008A619F" w:rsidRDefault="005400C8" w14:paraId="424B7FEA" w14:textId="77777777">
      <w:pPr>
        <w:rPr>
          <w:rFonts w:ascii="Arial" w:hAnsi="Arial" w:eastAsia="Calibri" w:cs="Arial"/>
          <w:sz w:val="22"/>
          <w:szCs w:val="20"/>
        </w:rPr>
      </w:pPr>
    </w:p>
    <w:p w:rsidRPr="009868CC" w:rsidR="008A619F" w:rsidP="008A619F" w:rsidRDefault="008A619F" w14:paraId="63805EE5" w14:textId="4D4EB099">
      <w:pPr>
        <w:rPr>
          <w:rFonts w:ascii="Arial" w:hAnsi="Arial" w:eastAsia="Calibri" w:cs="Arial"/>
          <w:sz w:val="22"/>
          <w:szCs w:val="20"/>
        </w:rPr>
      </w:pPr>
      <w:r w:rsidRPr="009868CC">
        <w:rPr>
          <w:rFonts w:ascii="Arial" w:hAnsi="Arial" w:eastAsia="Calibri" w:cs="Arial"/>
          <w:sz w:val="22"/>
          <w:szCs w:val="20"/>
        </w:rPr>
        <w:t>Señor</w:t>
      </w:r>
      <w:r w:rsidR="0055614C">
        <w:rPr>
          <w:rFonts w:ascii="Arial" w:hAnsi="Arial" w:eastAsia="Calibri" w:cs="Arial"/>
          <w:sz w:val="22"/>
          <w:szCs w:val="20"/>
        </w:rPr>
        <w:t xml:space="preserve">a y/o señor </w:t>
      </w:r>
    </w:p>
    <w:p w:rsidR="008A619F" w:rsidP="008A619F" w:rsidRDefault="0055614C" w14:paraId="1D30DAF1" w14:textId="11E2D64D">
      <w:pPr>
        <w:rPr>
          <w:rFonts w:ascii="Arial" w:hAnsi="Arial" w:eastAsia="Calibri" w:cs="Arial"/>
          <w:b/>
          <w:sz w:val="22"/>
          <w:szCs w:val="20"/>
        </w:rPr>
      </w:pPr>
      <w:r>
        <w:rPr>
          <w:rFonts w:ascii="Arial" w:hAnsi="Arial" w:eastAsia="Calibri" w:cs="Arial"/>
          <w:b/>
          <w:sz w:val="22"/>
          <w:szCs w:val="20"/>
        </w:rPr>
        <w:t>Anónimo</w:t>
      </w:r>
    </w:p>
    <w:p w:rsidRPr="009868CC" w:rsidR="008A619F" w:rsidP="008A619F" w:rsidRDefault="008A619F" w14:paraId="02FBEEFF" w14:textId="04FEA048">
      <w:pPr>
        <w:rPr>
          <w:rFonts w:ascii="Arial" w:hAnsi="Arial" w:eastAsia="Calibri" w:cs="Arial"/>
          <w:sz w:val="22"/>
          <w:szCs w:val="20"/>
        </w:rPr>
      </w:pPr>
      <w:r>
        <w:rPr>
          <w:rFonts w:ascii="Arial" w:hAnsi="Arial" w:eastAsia="Calibri" w:cs="Arial"/>
          <w:sz w:val="22"/>
          <w:szCs w:val="20"/>
        </w:rPr>
        <w:t>Ciudad</w:t>
      </w:r>
    </w:p>
    <w:p w:rsidRPr="009868CC" w:rsidR="008A619F" w:rsidP="008A619F" w:rsidRDefault="008A619F" w14:paraId="160C59F9" w14:textId="77777777">
      <w:pPr>
        <w:rPr>
          <w:rFonts w:ascii="Arial" w:hAnsi="Arial" w:eastAsia="Calibri" w:cs="Arial"/>
          <w:sz w:val="22"/>
          <w:szCs w:val="20"/>
        </w:rPr>
      </w:pPr>
    </w:p>
    <w:p w:rsidRPr="009868CC" w:rsidR="008A619F" w:rsidP="008A619F" w:rsidRDefault="008A619F" w14:paraId="3C96989D" w14:textId="51E1D5E8">
      <w:pPr>
        <w:rPr>
          <w:rFonts w:ascii="Arial" w:hAnsi="Arial" w:eastAsia="Calibri" w:cs="Arial"/>
          <w:b/>
          <w:sz w:val="22"/>
        </w:rPr>
      </w:pPr>
      <w:r>
        <w:rPr>
          <w:rFonts w:ascii="Arial" w:hAnsi="Arial" w:eastAsia="Calibri" w:cs="Arial"/>
          <w:b/>
          <w:sz w:val="22"/>
        </w:rPr>
        <w:t xml:space="preserve">                                            </w:t>
      </w:r>
      <w:r w:rsidRPr="009868CC">
        <w:rPr>
          <w:rFonts w:ascii="Arial" w:hAnsi="Arial" w:eastAsia="Calibri" w:cs="Arial"/>
          <w:b/>
          <w:sz w:val="22"/>
        </w:rPr>
        <w:t xml:space="preserve">Concepto C – </w:t>
      </w:r>
      <w:r>
        <w:rPr>
          <w:rFonts w:ascii="Arial" w:hAnsi="Arial" w:eastAsia="Calibri" w:cs="Arial"/>
          <w:b/>
          <w:sz w:val="22"/>
        </w:rPr>
        <w:t>379 de 2021</w:t>
      </w:r>
    </w:p>
    <w:p w:rsidRPr="009868CC" w:rsidR="008A619F" w:rsidP="008A619F" w:rsidRDefault="008A619F" w14:paraId="78698BFC"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868CC" w:rsidR="008A619F" w:rsidTr="00212629" w14:paraId="5F885DE3" w14:textId="77777777">
        <w:tc>
          <w:tcPr>
            <w:tcW w:w="2689" w:type="dxa"/>
            <w:hideMark/>
          </w:tcPr>
          <w:p w:rsidRPr="009868CC" w:rsidR="008A619F" w:rsidP="00212629" w:rsidRDefault="008A619F" w14:paraId="042C314B" w14:textId="77777777">
            <w:pPr>
              <w:rPr>
                <w:rFonts w:ascii="Arial" w:hAnsi="Arial" w:eastAsia="Calibri" w:cs="Arial"/>
                <w:sz w:val="22"/>
              </w:rPr>
            </w:pPr>
            <w:r w:rsidRPr="009868CC">
              <w:rPr>
                <w:rFonts w:ascii="Arial" w:hAnsi="Arial" w:eastAsia="Calibri" w:cs="Arial"/>
                <w:b/>
                <w:sz w:val="22"/>
              </w:rPr>
              <w:t>Temas:</w:t>
            </w:r>
            <w:r w:rsidRPr="009868CC">
              <w:rPr>
                <w:rFonts w:ascii="Arial" w:hAnsi="Arial" w:eastAsia="Calibri" w:cs="Arial"/>
                <w:sz w:val="22"/>
              </w:rPr>
              <w:t xml:space="preserve">           </w:t>
            </w:r>
          </w:p>
          <w:p w:rsidRPr="009868CC" w:rsidR="008A619F" w:rsidP="00212629" w:rsidRDefault="008A619F" w14:paraId="2E6BCFB5" w14:textId="77777777">
            <w:pPr>
              <w:rPr>
                <w:rFonts w:ascii="Arial" w:hAnsi="Arial" w:eastAsia="Calibri" w:cs="Arial"/>
                <w:sz w:val="22"/>
              </w:rPr>
            </w:pPr>
            <w:r w:rsidRPr="009868CC">
              <w:rPr>
                <w:rFonts w:ascii="Arial" w:hAnsi="Arial" w:eastAsia="Calibri" w:cs="Arial"/>
                <w:sz w:val="22"/>
              </w:rPr>
              <w:t xml:space="preserve">                           </w:t>
            </w:r>
          </w:p>
        </w:tc>
        <w:tc>
          <w:tcPr>
            <w:tcW w:w="6237" w:type="dxa"/>
            <w:hideMark/>
          </w:tcPr>
          <w:p w:rsidRPr="00DD3072" w:rsidR="00DD3072" w:rsidP="00DD3072" w:rsidRDefault="00DD3072" w14:paraId="68FEDF31" w14:textId="7B66F595">
            <w:pPr>
              <w:jc w:val="both"/>
              <w:rPr>
                <w:rFonts w:ascii="Arial" w:hAnsi="Arial" w:eastAsia="Calibri" w:cs="Arial"/>
                <w:sz w:val="20"/>
                <w:szCs w:val="20"/>
                <w:lang w:val="es-ES_tradnl"/>
              </w:rPr>
            </w:pPr>
            <w:r w:rsidRPr="00ED53AD">
              <w:rPr>
                <w:rFonts w:ascii="Arial" w:hAnsi="Arial" w:eastAsia="Calibri" w:cs="Arial"/>
                <w:bCs/>
                <w:noProof/>
                <w:sz w:val="22"/>
                <w:lang w:val="es-ES_tradnl"/>
              </w:rPr>
              <w:t xml:space="preserve">DECRETO 092 DE 2017– Artículo 355 – Constitución Política – Convenios de Asociación – Artículo 96 – Ley 489 de 1998 </w:t>
            </w:r>
            <w:r w:rsidRPr="00DD3072">
              <w:rPr>
                <w:rFonts w:ascii="Arial" w:hAnsi="Arial" w:eastAsia="Calibri" w:cs="Arial"/>
                <w:bCs/>
                <w:sz w:val="22"/>
                <w:lang w:val="es-ES_tradnl"/>
              </w:rPr>
              <w:t xml:space="preserve">/ DECRETO 092 DE 2017 – Criterios determinación – Aplicación </w:t>
            </w:r>
            <w:r w:rsidRPr="00ED53AD">
              <w:rPr>
                <w:rFonts w:ascii="Arial" w:hAnsi="Arial" w:eastAsia="Calibri" w:cs="Arial"/>
                <w:bCs/>
                <w:noProof/>
                <w:sz w:val="22"/>
                <w:lang w:val="es-ES_tradnl"/>
              </w:rPr>
              <w:t>/ CONVENIOS DE ASOCIACIÓN</w:t>
            </w:r>
            <w:r>
              <w:rPr>
                <w:rFonts w:ascii="Arial" w:hAnsi="Arial" w:eastAsia="Calibri" w:cs="Arial"/>
                <w:bCs/>
                <w:noProof/>
                <w:sz w:val="22"/>
                <w:lang w:val="es-ES_tradnl"/>
              </w:rPr>
              <w:t xml:space="preserve">- </w:t>
            </w:r>
            <w:r w:rsidRPr="00DD3072">
              <w:rPr>
                <w:rFonts w:ascii="Arial" w:hAnsi="Arial" w:eastAsia="Calibri" w:cs="Arial"/>
                <w:sz w:val="22"/>
                <w:lang w:val="es-ES_tradnl"/>
              </w:rPr>
              <w:t xml:space="preserve">Multiplicidad de sujetos </w:t>
            </w:r>
            <w:r w:rsidRPr="00DD3072">
              <w:rPr>
                <w:rFonts w:ascii="Arial" w:hAnsi="Arial" w:eastAsia="Arial" w:cs="Arial"/>
                <w:sz w:val="22"/>
                <w:lang w:val="es-ES_tradnl"/>
              </w:rPr>
              <w:t>–</w:t>
            </w:r>
            <w:r w:rsidRPr="00DD3072">
              <w:rPr>
                <w:rFonts w:ascii="Arial" w:hAnsi="Arial" w:eastAsia="Calibri" w:cs="Arial"/>
                <w:sz w:val="22"/>
                <w:lang w:val="es-ES_tradnl"/>
              </w:rPr>
              <w:t xml:space="preserve"> Límites legales</w:t>
            </w:r>
            <w:r>
              <w:rPr>
                <w:rFonts w:ascii="Arial" w:hAnsi="Arial" w:eastAsia="Calibri" w:cs="Arial"/>
                <w:sz w:val="22"/>
                <w:lang w:val="es-ES_tradnl"/>
              </w:rPr>
              <w:t xml:space="preserve"> /</w:t>
            </w:r>
            <w:r w:rsidRPr="00DD3072">
              <w:rPr>
                <w:rFonts w:ascii="Arial" w:hAnsi="Arial" w:eastAsia="Calibri" w:cs="Arial"/>
                <w:b/>
                <w:bCs/>
                <w:sz w:val="22"/>
                <w:lang w:val="es-ES_tradnl"/>
              </w:rPr>
              <w:t xml:space="preserve"> </w:t>
            </w:r>
            <w:r w:rsidRPr="00DD3072">
              <w:rPr>
                <w:rFonts w:ascii="Arial" w:hAnsi="Arial" w:eastAsia="Calibri" w:cs="Arial"/>
                <w:sz w:val="22"/>
                <w:lang w:val="es-ES_tradnl"/>
              </w:rPr>
              <w:t>CONVENIOS DE ASOCIACIÓN – Selección objetiva</w:t>
            </w:r>
            <w:r>
              <w:rPr>
                <w:rFonts w:ascii="Arial" w:hAnsi="Arial" w:eastAsia="Calibri" w:cs="Arial"/>
                <w:sz w:val="22"/>
                <w:lang w:val="es-ES_tradnl"/>
              </w:rPr>
              <w:t>.</w:t>
            </w:r>
          </w:p>
          <w:p w:rsidRPr="009868CC" w:rsidR="008A619F" w:rsidP="00212629" w:rsidRDefault="008A619F" w14:paraId="790C14D6" w14:textId="14C54521">
            <w:pPr>
              <w:spacing w:after="120"/>
              <w:jc w:val="both"/>
              <w:rPr>
                <w:rFonts w:ascii="Arial" w:hAnsi="Arial" w:eastAsia="Calibri" w:cs="Arial"/>
                <w:sz w:val="22"/>
              </w:rPr>
            </w:pPr>
          </w:p>
        </w:tc>
      </w:tr>
      <w:tr w:rsidRPr="009868CC" w:rsidR="008A619F" w:rsidTr="00212629" w14:paraId="315198B6" w14:textId="77777777">
        <w:tc>
          <w:tcPr>
            <w:tcW w:w="2689" w:type="dxa"/>
          </w:tcPr>
          <w:p w:rsidRPr="009868CC" w:rsidR="008A619F" w:rsidP="00212629" w:rsidRDefault="008A619F" w14:paraId="0D86A8F5" w14:textId="77777777">
            <w:pPr>
              <w:rPr>
                <w:rFonts w:ascii="Arial" w:hAnsi="Arial" w:eastAsia="Calibri" w:cs="Arial"/>
                <w:b/>
                <w:sz w:val="22"/>
              </w:rPr>
            </w:pPr>
            <w:r w:rsidRPr="009868CC">
              <w:rPr>
                <w:rFonts w:ascii="Arial" w:hAnsi="Arial" w:eastAsia="Calibri" w:cs="Arial"/>
                <w:b/>
                <w:sz w:val="22"/>
              </w:rPr>
              <w:t>Radicación:</w:t>
            </w:r>
            <w:r w:rsidRPr="009868CC">
              <w:rPr>
                <w:rFonts w:ascii="Arial" w:hAnsi="Arial" w:eastAsia="Calibri" w:cs="Arial"/>
                <w:sz w:val="22"/>
              </w:rPr>
              <w:t xml:space="preserve">                              </w:t>
            </w:r>
          </w:p>
        </w:tc>
        <w:tc>
          <w:tcPr>
            <w:tcW w:w="6237" w:type="dxa"/>
          </w:tcPr>
          <w:p w:rsidRPr="009868CC" w:rsidR="008A619F" w:rsidP="00212629" w:rsidRDefault="008A619F" w14:paraId="020C6A2B" w14:textId="74DA7DD6">
            <w:pPr>
              <w:jc w:val="both"/>
              <w:rPr>
                <w:rFonts w:ascii="Arial" w:hAnsi="Arial" w:eastAsia="Calibri" w:cs="Arial"/>
                <w:sz w:val="22"/>
              </w:rPr>
            </w:pPr>
            <w:r w:rsidRPr="009868CC">
              <w:rPr>
                <w:rFonts w:ascii="Arial" w:hAnsi="Arial" w:eastAsia="Calibri" w:cs="Arial"/>
                <w:sz w:val="22"/>
              </w:rPr>
              <w:t xml:space="preserve">Respuesta a consulta </w:t>
            </w:r>
            <w:r>
              <w:rPr>
                <w:rFonts w:ascii="Arial" w:hAnsi="Arial" w:eastAsia="Calibri" w:cs="Arial"/>
                <w:sz w:val="22"/>
              </w:rPr>
              <w:t xml:space="preserve">No. </w:t>
            </w:r>
            <w:r w:rsidRPr="008A619F">
              <w:rPr>
                <w:rFonts w:ascii="Arial" w:hAnsi="Arial" w:eastAsia="Calibri" w:cs="Arial"/>
                <w:sz w:val="22"/>
              </w:rPr>
              <w:t>P20210616005284</w:t>
            </w:r>
          </w:p>
        </w:tc>
      </w:tr>
    </w:tbl>
    <w:p w:rsidRPr="009868CC" w:rsidR="008A619F" w:rsidP="008A619F" w:rsidRDefault="008A619F" w14:paraId="225C5497" w14:textId="77777777">
      <w:pPr>
        <w:jc w:val="both"/>
        <w:rPr>
          <w:rFonts w:ascii="Arial" w:hAnsi="Arial" w:eastAsia="Calibri" w:cs="Arial"/>
          <w:sz w:val="22"/>
        </w:rPr>
      </w:pPr>
    </w:p>
    <w:p w:rsidRPr="009868CC" w:rsidR="008A619F" w:rsidP="008A619F" w:rsidRDefault="008A619F" w14:paraId="4B25E07F" w14:textId="17E9B497">
      <w:pPr>
        <w:spacing w:before="120"/>
        <w:rPr>
          <w:rFonts w:ascii="Arial" w:hAnsi="Arial" w:eastAsia="Calibri" w:cs="Arial"/>
          <w:sz w:val="22"/>
        </w:rPr>
      </w:pPr>
      <w:r w:rsidRPr="009868CC">
        <w:rPr>
          <w:rFonts w:ascii="Arial" w:hAnsi="Arial" w:eastAsia="Calibri" w:cs="Arial"/>
          <w:sz w:val="22"/>
        </w:rPr>
        <w:t>Estimad</w:t>
      </w:r>
      <w:r>
        <w:rPr>
          <w:rFonts w:ascii="Arial" w:hAnsi="Arial" w:eastAsia="Calibri" w:cs="Arial"/>
          <w:sz w:val="22"/>
        </w:rPr>
        <w:t>o</w:t>
      </w:r>
      <w:r w:rsidRPr="009868CC">
        <w:rPr>
          <w:rFonts w:ascii="Arial" w:hAnsi="Arial" w:eastAsia="Calibri" w:cs="Arial"/>
          <w:sz w:val="22"/>
        </w:rPr>
        <w:t xml:space="preserve"> </w:t>
      </w:r>
      <w:r>
        <w:rPr>
          <w:rFonts w:ascii="Arial" w:hAnsi="Arial" w:eastAsia="Calibri" w:cs="Arial"/>
          <w:sz w:val="22"/>
        </w:rPr>
        <w:t>peticionario:</w:t>
      </w:r>
    </w:p>
    <w:p w:rsidRPr="009868CC" w:rsidR="008A619F" w:rsidP="008A619F" w:rsidRDefault="008A619F" w14:paraId="07225875" w14:textId="77777777">
      <w:pPr>
        <w:rPr>
          <w:rFonts w:ascii="Arial" w:hAnsi="Arial" w:eastAsia="Calibri" w:cs="Arial"/>
          <w:sz w:val="22"/>
        </w:rPr>
      </w:pPr>
    </w:p>
    <w:p w:rsidRPr="009868CC" w:rsidR="008A619F" w:rsidP="008A619F" w:rsidRDefault="008A619F" w14:paraId="4BA83EB2" w14:textId="7832AC15">
      <w:pPr>
        <w:spacing w:before="120" w:line="276" w:lineRule="auto"/>
        <w:ind w:right="51"/>
        <w:jc w:val="both"/>
        <w:rPr>
          <w:rFonts w:ascii="Arial" w:hAnsi="Arial" w:cs="Arial"/>
          <w:sz w:val="22"/>
        </w:rPr>
      </w:pPr>
      <w:r w:rsidRPr="009868CC">
        <w:rPr>
          <w:rFonts w:ascii="Arial" w:hAnsi="Arial" w:cs="Arial"/>
          <w:sz w:val="22"/>
        </w:rPr>
        <w:t xml:space="preserve">La Agencia Nacional de Contratación Pública </w:t>
      </w:r>
      <w:r>
        <w:rPr>
          <w:rFonts w:ascii="Arial" w:hAnsi="Arial" w:cs="Arial"/>
          <w:sz w:val="22"/>
        </w:rPr>
        <w:t xml:space="preserve">– </w:t>
      </w:r>
      <w:r w:rsidRPr="009868CC">
        <w:rPr>
          <w:rFonts w:ascii="Arial" w:hAnsi="Arial" w:cs="Arial"/>
          <w:sz w:val="22"/>
        </w:rPr>
        <w:t xml:space="preserve">Colombia Compra Eficiente responde su consulta del </w:t>
      </w:r>
      <w:r w:rsidR="000E73E2">
        <w:rPr>
          <w:rFonts w:ascii="Arial" w:hAnsi="Arial" w:cs="Arial"/>
          <w:sz w:val="22"/>
        </w:rPr>
        <w:t>16 de junio de 2021</w:t>
      </w:r>
      <w:r w:rsidRPr="009868CC">
        <w:rPr>
          <w:rFonts w:ascii="Arial" w:hAnsi="Arial" w:cs="Arial"/>
          <w:sz w:val="22"/>
        </w:rPr>
        <w:t xml:space="preserve">, en ejercicio de la competencia otorgada por el numeral 8 del artículo 11 y el numeral 5 del artículo 3 del Decreto Ley 4170 de 2011. </w:t>
      </w:r>
    </w:p>
    <w:p w:rsidRPr="009868CC" w:rsidR="008A619F" w:rsidP="008A619F" w:rsidRDefault="008A619F" w14:paraId="107A035D" w14:textId="77777777">
      <w:pPr>
        <w:pStyle w:val="Prrafodelista"/>
        <w:tabs>
          <w:tab w:val="left" w:pos="284"/>
        </w:tabs>
        <w:spacing w:line="276" w:lineRule="auto"/>
        <w:ind w:left="0"/>
        <w:jc w:val="both"/>
        <w:rPr>
          <w:rFonts w:ascii="Arial" w:hAnsi="Arial" w:cs="Arial"/>
          <w:sz w:val="22"/>
        </w:rPr>
      </w:pPr>
    </w:p>
    <w:p w:rsidRPr="009868CC" w:rsidR="008A619F" w:rsidP="008A619F" w:rsidRDefault="008A619F" w14:paraId="33DFD250" w14:textId="77777777">
      <w:pPr>
        <w:pStyle w:val="Prrafodelista"/>
        <w:tabs>
          <w:tab w:val="left" w:pos="284"/>
        </w:tabs>
        <w:spacing w:line="276" w:lineRule="auto"/>
        <w:ind w:left="0"/>
        <w:jc w:val="both"/>
        <w:rPr>
          <w:rFonts w:ascii="Arial" w:hAnsi="Arial" w:eastAsia="Calibri" w:cs="Arial"/>
          <w:b/>
          <w:sz w:val="22"/>
        </w:rPr>
      </w:pPr>
      <w:r w:rsidRPr="009868CC">
        <w:rPr>
          <w:rFonts w:ascii="Arial" w:hAnsi="Arial" w:eastAsia="Calibri" w:cs="Arial"/>
          <w:b/>
          <w:sz w:val="22"/>
        </w:rPr>
        <w:t>1.</w:t>
      </w:r>
      <w:r w:rsidRPr="009868CC">
        <w:rPr>
          <w:rFonts w:ascii="Arial" w:hAnsi="Arial" w:eastAsia="Calibri" w:cs="Arial"/>
          <w:sz w:val="22"/>
        </w:rPr>
        <w:t xml:space="preserve"> </w:t>
      </w:r>
      <w:r w:rsidRPr="009868CC">
        <w:rPr>
          <w:rFonts w:ascii="Arial" w:hAnsi="Arial" w:eastAsia="Calibri" w:cs="Arial"/>
          <w:b/>
          <w:sz w:val="22"/>
        </w:rPr>
        <w:t xml:space="preserve">Problema planteado </w:t>
      </w:r>
    </w:p>
    <w:p w:rsidRPr="009868CC" w:rsidR="008A619F" w:rsidP="008A619F" w:rsidRDefault="008A619F" w14:paraId="2C942480" w14:textId="77777777">
      <w:pPr>
        <w:pStyle w:val="Prrafodelista"/>
        <w:tabs>
          <w:tab w:val="left" w:pos="284"/>
        </w:tabs>
        <w:spacing w:line="276" w:lineRule="auto"/>
        <w:ind w:left="0"/>
        <w:jc w:val="both"/>
        <w:rPr>
          <w:rFonts w:ascii="Arial" w:hAnsi="Arial" w:eastAsia="Calibri" w:cs="Arial"/>
          <w:b/>
          <w:sz w:val="22"/>
        </w:rPr>
      </w:pPr>
    </w:p>
    <w:p w:rsidR="008A619F" w:rsidP="00325D2A" w:rsidRDefault="008A619F" w14:paraId="5FD8BEB3" w14:textId="7D4CA5DE">
      <w:pPr>
        <w:tabs>
          <w:tab w:val="left" w:pos="426"/>
        </w:tabs>
        <w:spacing w:line="276" w:lineRule="auto"/>
        <w:jc w:val="both"/>
        <w:rPr>
          <w:rFonts w:ascii="Arial" w:hAnsi="Arial" w:eastAsia="Calibri" w:cs="Arial"/>
          <w:sz w:val="22"/>
        </w:rPr>
      </w:pPr>
      <w:r w:rsidRPr="009868CC">
        <w:rPr>
          <w:rFonts w:ascii="Arial" w:hAnsi="Arial" w:eastAsia="Calibri" w:cs="Arial"/>
          <w:sz w:val="22"/>
        </w:rPr>
        <w:t>Usted realiza la</w:t>
      </w:r>
      <w:r>
        <w:rPr>
          <w:rFonts w:ascii="Arial" w:hAnsi="Arial" w:eastAsia="Calibri" w:cs="Arial"/>
          <w:sz w:val="22"/>
        </w:rPr>
        <w:t xml:space="preserve">s </w:t>
      </w:r>
      <w:r w:rsidRPr="009868CC">
        <w:rPr>
          <w:rFonts w:ascii="Arial" w:hAnsi="Arial" w:eastAsia="Calibri" w:cs="Arial"/>
          <w:sz w:val="22"/>
        </w:rPr>
        <w:t>siguiente</w:t>
      </w:r>
      <w:r>
        <w:rPr>
          <w:rFonts w:ascii="Arial" w:hAnsi="Arial" w:eastAsia="Calibri" w:cs="Arial"/>
          <w:sz w:val="22"/>
        </w:rPr>
        <w:t>s</w:t>
      </w:r>
      <w:r w:rsidRPr="009868CC">
        <w:rPr>
          <w:rFonts w:ascii="Arial" w:hAnsi="Arial" w:eastAsia="Calibri" w:cs="Arial"/>
          <w:sz w:val="22"/>
        </w:rPr>
        <w:t xml:space="preserve"> pregunta</w:t>
      </w:r>
      <w:r>
        <w:rPr>
          <w:rFonts w:ascii="Arial" w:hAnsi="Arial" w:eastAsia="Calibri" w:cs="Arial"/>
          <w:sz w:val="22"/>
        </w:rPr>
        <w:t>s</w:t>
      </w:r>
      <w:r w:rsidR="0055614C">
        <w:rPr>
          <w:rFonts w:ascii="Arial" w:hAnsi="Arial" w:eastAsia="Calibri" w:cs="Arial"/>
          <w:sz w:val="22"/>
        </w:rPr>
        <w:t xml:space="preserve"> relacionadas con la aplicación del Decreto 092 de 2017</w:t>
      </w:r>
      <w:r w:rsidRPr="009868CC">
        <w:rPr>
          <w:rFonts w:ascii="Arial" w:hAnsi="Arial" w:eastAsia="Calibri" w:cs="Arial"/>
          <w:sz w:val="22"/>
        </w:rPr>
        <w:t>:</w:t>
      </w:r>
      <w:r w:rsidR="00F306DD">
        <w:rPr>
          <w:rFonts w:ascii="Arial" w:hAnsi="Arial" w:eastAsia="Calibri" w:cs="Arial"/>
          <w:sz w:val="22"/>
        </w:rPr>
        <w:t xml:space="preserve"> </w:t>
      </w:r>
    </w:p>
    <w:p w:rsidRPr="005B6656" w:rsidR="00FE6BF6" w:rsidP="00FE6BF6" w:rsidRDefault="00FE6BF6" w14:paraId="29D5EDAA" w14:textId="234A7FA7">
      <w:pPr>
        <w:tabs>
          <w:tab w:val="left" w:pos="426"/>
        </w:tabs>
        <w:ind w:left="709" w:right="758"/>
        <w:jc w:val="both"/>
        <w:rPr>
          <w:rFonts w:ascii="Arial" w:hAnsi="Arial" w:eastAsia="Calibri" w:cs="Arial"/>
          <w:sz w:val="21"/>
          <w:szCs w:val="21"/>
        </w:rPr>
      </w:pPr>
      <w:r w:rsidRPr="005B6656">
        <w:rPr>
          <w:rFonts w:ascii="Arial" w:hAnsi="Arial" w:eastAsia="Calibri" w:cs="Arial"/>
          <w:sz w:val="21"/>
          <w:szCs w:val="21"/>
        </w:rPr>
        <w:t>«</w:t>
      </w:r>
      <w:r w:rsidR="00A357F4">
        <w:rPr>
          <w:rFonts w:ascii="Arial" w:hAnsi="Arial" w:eastAsia="Calibri" w:cs="Arial"/>
          <w:sz w:val="21"/>
          <w:szCs w:val="21"/>
        </w:rPr>
        <w:t xml:space="preserve">i. </w:t>
      </w:r>
      <w:r w:rsidRPr="005B6656">
        <w:rPr>
          <w:rFonts w:ascii="Arial" w:hAnsi="Arial" w:eastAsia="Calibri" w:cs="Arial"/>
          <w:sz w:val="21"/>
          <w:szCs w:val="21"/>
        </w:rPr>
        <w:t>Quisiera conocer la postura de Colombia compra eficiente sobre los convenios de asociación, en virtud de la suspensión del decreto 092 de 2017 y</w:t>
      </w:r>
      <w:r>
        <w:rPr>
          <w:rFonts w:ascii="Arial" w:hAnsi="Arial" w:eastAsia="Calibri" w:cs="Arial"/>
          <w:sz w:val="21"/>
          <w:szCs w:val="21"/>
        </w:rPr>
        <w:t xml:space="preserve">, [¿] </w:t>
      </w:r>
      <w:r w:rsidRPr="005B6656">
        <w:rPr>
          <w:rFonts w:ascii="Arial" w:hAnsi="Arial" w:eastAsia="Calibri" w:cs="Arial"/>
          <w:sz w:val="21"/>
          <w:szCs w:val="21"/>
        </w:rPr>
        <w:t>cuáles son los lineamientos dados para su aplicación[?]</w:t>
      </w:r>
      <w:r>
        <w:rPr>
          <w:rFonts w:ascii="Arial" w:hAnsi="Arial" w:eastAsia="Calibri" w:cs="Arial"/>
          <w:sz w:val="21"/>
          <w:szCs w:val="21"/>
        </w:rPr>
        <w:t>.</w:t>
      </w:r>
    </w:p>
    <w:p w:rsidRPr="005B6656" w:rsidR="00FE6BF6" w:rsidP="00FE6BF6" w:rsidRDefault="00FE6BF6" w14:paraId="0F0B6196" w14:textId="77777777">
      <w:pPr>
        <w:tabs>
          <w:tab w:val="left" w:pos="426"/>
        </w:tabs>
        <w:ind w:left="709" w:right="758"/>
        <w:jc w:val="both"/>
        <w:rPr>
          <w:rFonts w:ascii="Arial" w:hAnsi="Arial" w:eastAsia="Calibri" w:cs="Arial"/>
          <w:sz w:val="21"/>
          <w:szCs w:val="21"/>
        </w:rPr>
      </w:pPr>
    </w:p>
    <w:p w:rsidRPr="005B6656" w:rsidR="00FE6BF6" w:rsidP="00FE6BF6" w:rsidRDefault="00FE6BF6" w14:paraId="42AB6E44" w14:textId="55D30779">
      <w:pPr>
        <w:tabs>
          <w:tab w:val="left" w:pos="426"/>
        </w:tabs>
        <w:ind w:left="709" w:right="758"/>
        <w:jc w:val="both"/>
        <w:rPr>
          <w:rFonts w:ascii="Arial" w:hAnsi="Arial" w:eastAsia="Calibri" w:cs="Arial"/>
          <w:sz w:val="21"/>
          <w:szCs w:val="21"/>
        </w:rPr>
      </w:pPr>
      <w:r w:rsidRPr="005B6656">
        <w:rPr>
          <w:rFonts w:ascii="Arial" w:hAnsi="Arial" w:eastAsia="Calibri" w:cs="Arial"/>
          <w:sz w:val="21"/>
          <w:szCs w:val="21"/>
        </w:rPr>
        <w:t>«</w:t>
      </w:r>
      <w:proofErr w:type="spellStart"/>
      <w:r w:rsidR="00A357F4">
        <w:rPr>
          <w:rFonts w:ascii="Arial" w:hAnsi="Arial" w:eastAsia="Calibri" w:cs="Arial"/>
          <w:sz w:val="21"/>
          <w:szCs w:val="21"/>
        </w:rPr>
        <w:t>ii</w:t>
      </w:r>
      <w:proofErr w:type="spellEnd"/>
      <w:r w:rsidR="00A357F4">
        <w:rPr>
          <w:rFonts w:ascii="Arial" w:hAnsi="Arial" w:eastAsia="Calibri" w:cs="Arial"/>
          <w:sz w:val="21"/>
          <w:szCs w:val="21"/>
        </w:rPr>
        <w:t xml:space="preserve">. </w:t>
      </w:r>
      <w:r w:rsidRPr="005B6656">
        <w:rPr>
          <w:rFonts w:ascii="Arial" w:hAnsi="Arial" w:eastAsia="Calibri" w:cs="Arial"/>
          <w:sz w:val="21"/>
          <w:szCs w:val="21"/>
        </w:rPr>
        <w:t>[¿] Cuál es el procedimiento aplicable a la fecha en virtud de la suspensión para adelantar el proceso?</w:t>
      </w:r>
    </w:p>
    <w:p w:rsidRPr="005B6656" w:rsidR="00FE6BF6" w:rsidP="00FE6BF6" w:rsidRDefault="00FE6BF6" w14:paraId="45B1F813" w14:textId="77777777">
      <w:pPr>
        <w:tabs>
          <w:tab w:val="left" w:pos="426"/>
        </w:tabs>
        <w:ind w:left="709" w:right="758"/>
        <w:jc w:val="both"/>
        <w:rPr>
          <w:rFonts w:ascii="Arial" w:hAnsi="Arial" w:eastAsia="Calibri" w:cs="Arial"/>
          <w:sz w:val="21"/>
          <w:szCs w:val="21"/>
        </w:rPr>
      </w:pPr>
    </w:p>
    <w:p w:rsidRPr="005B6656" w:rsidR="00FE6BF6" w:rsidP="00FE6BF6" w:rsidRDefault="00FE6BF6" w14:paraId="5786D4C8" w14:textId="06584366">
      <w:pPr>
        <w:tabs>
          <w:tab w:val="left" w:pos="426"/>
        </w:tabs>
        <w:ind w:left="709" w:right="758"/>
        <w:jc w:val="both"/>
        <w:rPr>
          <w:rFonts w:ascii="Arial" w:hAnsi="Arial" w:eastAsia="Calibri" w:cs="Arial"/>
          <w:sz w:val="21"/>
          <w:szCs w:val="21"/>
        </w:rPr>
      </w:pPr>
      <w:r w:rsidRPr="005B6656">
        <w:rPr>
          <w:rFonts w:ascii="Arial" w:hAnsi="Arial" w:eastAsia="Calibri" w:cs="Arial"/>
          <w:sz w:val="21"/>
          <w:szCs w:val="21"/>
        </w:rPr>
        <w:t>«</w:t>
      </w:r>
      <w:proofErr w:type="spellStart"/>
      <w:r w:rsidR="00A357F4">
        <w:rPr>
          <w:rFonts w:ascii="Arial" w:hAnsi="Arial" w:eastAsia="Calibri" w:cs="Arial"/>
          <w:sz w:val="21"/>
          <w:szCs w:val="21"/>
        </w:rPr>
        <w:t>iii</w:t>
      </w:r>
      <w:proofErr w:type="spellEnd"/>
      <w:r w:rsidR="00A357F4">
        <w:rPr>
          <w:rFonts w:ascii="Arial" w:hAnsi="Arial" w:eastAsia="Calibri" w:cs="Arial"/>
          <w:sz w:val="21"/>
          <w:szCs w:val="21"/>
        </w:rPr>
        <w:t xml:space="preserve">. </w:t>
      </w:r>
      <w:r w:rsidRPr="005B6656">
        <w:rPr>
          <w:rFonts w:ascii="Arial" w:hAnsi="Arial" w:eastAsia="Calibri" w:cs="Arial"/>
          <w:sz w:val="21"/>
          <w:szCs w:val="21"/>
        </w:rPr>
        <w:t>[¿] Cuál es la guía vigente para hacer el proceso?</w:t>
      </w:r>
    </w:p>
    <w:p w:rsidRPr="005B6656" w:rsidR="00FE6BF6" w:rsidP="00FE6BF6" w:rsidRDefault="00FE6BF6" w14:paraId="6A9DDB5D" w14:textId="77777777">
      <w:pPr>
        <w:tabs>
          <w:tab w:val="left" w:pos="426"/>
        </w:tabs>
        <w:ind w:left="709" w:right="758"/>
        <w:jc w:val="both"/>
        <w:rPr>
          <w:rFonts w:ascii="Arial" w:hAnsi="Arial" w:eastAsia="Calibri" w:cs="Arial"/>
          <w:sz w:val="21"/>
          <w:szCs w:val="21"/>
        </w:rPr>
      </w:pPr>
    </w:p>
    <w:p w:rsidRPr="005B6656" w:rsidR="00FE6BF6" w:rsidP="00FE6BF6" w:rsidRDefault="00FE6BF6" w14:paraId="44F56F67" w14:textId="540BBC5E">
      <w:pPr>
        <w:tabs>
          <w:tab w:val="left" w:pos="426"/>
        </w:tabs>
        <w:ind w:left="709" w:right="758"/>
        <w:jc w:val="both"/>
        <w:rPr>
          <w:rFonts w:ascii="Arial" w:hAnsi="Arial" w:eastAsia="Calibri" w:cs="Arial"/>
          <w:sz w:val="21"/>
          <w:szCs w:val="21"/>
        </w:rPr>
      </w:pPr>
      <w:r w:rsidRPr="00ED53AD">
        <w:rPr>
          <w:rFonts w:ascii="Arial" w:hAnsi="Arial" w:cs="Arial"/>
          <w:sz w:val="21"/>
          <w:szCs w:val="21"/>
          <w:lang w:val="es-ES_tradnl" w:eastAsia="es-ES_tradnl"/>
        </w:rPr>
        <w:t>«</w:t>
      </w:r>
      <w:proofErr w:type="spellStart"/>
      <w:r w:rsidR="00A357F4">
        <w:rPr>
          <w:rFonts w:ascii="Arial" w:hAnsi="Arial" w:cs="Arial"/>
          <w:sz w:val="21"/>
          <w:szCs w:val="21"/>
          <w:lang w:val="es-ES_tradnl" w:eastAsia="es-ES_tradnl"/>
        </w:rPr>
        <w:t>iv</w:t>
      </w:r>
      <w:proofErr w:type="spellEnd"/>
      <w:r w:rsidR="00A357F4">
        <w:rPr>
          <w:rFonts w:ascii="Arial" w:hAnsi="Arial" w:cs="Arial"/>
          <w:sz w:val="21"/>
          <w:szCs w:val="21"/>
          <w:lang w:val="es-ES_tradnl" w:eastAsia="es-ES_tradnl"/>
        </w:rPr>
        <w:t xml:space="preserve">. </w:t>
      </w:r>
      <w:r w:rsidRPr="005B6656">
        <w:rPr>
          <w:rFonts w:ascii="Arial" w:hAnsi="Arial" w:eastAsia="Calibri" w:cs="Arial"/>
          <w:sz w:val="21"/>
          <w:szCs w:val="21"/>
        </w:rPr>
        <w:t>[¿] Es viable contratar actualmente a través de esta modalidad a pesar de estar suspendido parcialmente el decreto? [¿] Si es viable qu</w:t>
      </w:r>
      <w:r>
        <w:rPr>
          <w:rFonts w:ascii="Arial" w:hAnsi="Arial" w:eastAsia="Calibri" w:cs="Arial"/>
          <w:sz w:val="21"/>
          <w:szCs w:val="21"/>
        </w:rPr>
        <w:t>é</w:t>
      </w:r>
      <w:r w:rsidRPr="005B6656">
        <w:rPr>
          <w:rFonts w:ascii="Arial" w:hAnsi="Arial" w:eastAsia="Calibri" w:cs="Arial"/>
          <w:sz w:val="21"/>
          <w:szCs w:val="21"/>
        </w:rPr>
        <w:t xml:space="preserve"> procedimiento seguir?».</w:t>
      </w:r>
    </w:p>
    <w:p w:rsidR="00FF1B52" w:rsidP="008A619F" w:rsidRDefault="00FF1B52" w14:paraId="389CC5B6" w14:textId="77777777">
      <w:pPr>
        <w:tabs>
          <w:tab w:val="left" w:pos="426"/>
        </w:tabs>
        <w:spacing w:line="276" w:lineRule="auto"/>
        <w:jc w:val="both"/>
        <w:rPr>
          <w:rFonts w:ascii="Arial" w:hAnsi="Arial" w:eastAsia="Calibri" w:cs="Arial"/>
          <w:sz w:val="22"/>
        </w:rPr>
      </w:pPr>
    </w:p>
    <w:p w:rsidRPr="009868CC" w:rsidR="008A619F" w:rsidP="008A619F" w:rsidRDefault="008A619F" w14:paraId="15087E01" w14:textId="77777777">
      <w:pPr>
        <w:tabs>
          <w:tab w:val="left" w:pos="426"/>
        </w:tabs>
        <w:spacing w:line="276" w:lineRule="auto"/>
        <w:jc w:val="both"/>
        <w:rPr>
          <w:rFonts w:ascii="Arial" w:hAnsi="Arial" w:eastAsia="Calibri" w:cs="Arial"/>
          <w:b/>
          <w:sz w:val="22"/>
        </w:rPr>
      </w:pPr>
      <w:r w:rsidRPr="009868CC">
        <w:rPr>
          <w:rFonts w:ascii="Arial" w:hAnsi="Arial" w:eastAsia="Calibri" w:cs="Arial"/>
          <w:b/>
          <w:sz w:val="22"/>
        </w:rPr>
        <w:lastRenderedPageBreak/>
        <w:t>2.</w:t>
      </w:r>
      <w:r w:rsidRPr="009868CC">
        <w:rPr>
          <w:rFonts w:ascii="Arial" w:hAnsi="Arial" w:eastAsia="Calibri" w:cs="Arial"/>
          <w:sz w:val="22"/>
        </w:rPr>
        <w:t xml:space="preserve"> </w:t>
      </w:r>
      <w:r w:rsidRPr="009868CC">
        <w:rPr>
          <w:rFonts w:ascii="Arial" w:hAnsi="Arial" w:eastAsia="Calibri" w:cs="Arial"/>
          <w:b/>
          <w:sz w:val="22"/>
        </w:rPr>
        <w:t>Consideraciones</w:t>
      </w:r>
    </w:p>
    <w:p w:rsidR="008A619F" w:rsidP="00CD3A06" w:rsidRDefault="008A619F" w14:paraId="01D69A73" w14:textId="77777777">
      <w:pPr>
        <w:jc w:val="both"/>
        <w:rPr>
          <w:rFonts w:ascii="Arial" w:hAnsi="Arial" w:cs="Arial"/>
          <w:sz w:val="22"/>
          <w:shd w:val="clear" w:color="auto" w:fill="FFFFFF"/>
          <w:lang w:val="es-ES"/>
        </w:rPr>
      </w:pPr>
    </w:p>
    <w:p w:rsidRPr="009868CC" w:rsidR="008A619F" w:rsidP="008A619F" w:rsidRDefault="008A619F" w14:paraId="20EFD617" w14:textId="4A769944">
      <w:pPr>
        <w:spacing w:line="276" w:lineRule="auto"/>
        <w:jc w:val="both"/>
        <w:rPr>
          <w:rFonts w:ascii="Arial" w:hAnsi="Arial" w:eastAsia="Times New Roman" w:cs="Arial"/>
          <w:sz w:val="22"/>
          <w:bdr w:val="none" w:color="auto" w:sz="0" w:space="0" w:frame="1"/>
          <w:lang w:eastAsia="es-ES_tradnl"/>
        </w:rPr>
      </w:pPr>
      <w:r w:rsidRPr="009868CC">
        <w:rPr>
          <w:rFonts w:ascii="Arial" w:hAnsi="Arial" w:cs="Arial"/>
          <w:sz w:val="22"/>
          <w:shd w:val="clear" w:color="auto" w:fill="FFFFFF"/>
          <w:lang w:val="es-ES"/>
        </w:rPr>
        <w:t xml:space="preserve">La Agencia Nacional de Contratación Pública </w:t>
      </w:r>
      <w:r>
        <w:rPr>
          <w:rFonts w:ascii="Arial" w:hAnsi="Arial" w:cs="Arial"/>
          <w:sz w:val="22"/>
          <w:shd w:val="clear" w:color="auto" w:fill="FFFFFF"/>
          <w:lang w:val="es-ES"/>
        </w:rPr>
        <w:t xml:space="preserve">– </w:t>
      </w:r>
      <w:r w:rsidRPr="009868CC">
        <w:rPr>
          <w:rFonts w:ascii="Arial" w:hAnsi="Arial" w:cs="Arial"/>
          <w:sz w:val="22"/>
          <w:shd w:val="clear" w:color="auto" w:fill="FFFFFF"/>
          <w:lang w:val="es-ES"/>
        </w:rPr>
        <w:t>Colombia Compra Eficiente</w:t>
      </w:r>
      <w:r>
        <w:rPr>
          <w:rFonts w:ascii="Arial" w:hAnsi="Arial" w:cs="Arial"/>
          <w:sz w:val="22"/>
          <w:shd w:val="clear" w:color="auto" w:fill="FFFFFF"/>
          <w:lang w:val="es-ES"/>
        </w:rPr>
        <w:t xml:space="preserve"> </w:t>
      </w:r>
      <w:r w:rsidRPr="009868CC">
        <w:rPr>
          <w:rFonts w:ascii="Arial" w:hAnsi="Arial" w:cs="Arial"/>
          <w:sz w:val="22"/>
          <w:shd w:val="clear" w:color="auto" w:fill="FFFFFF"/>
        </w:rPr>
        <w:t xml:space="preserve">se ha pronunciado en diferentes conceptos sobre la contratación con entidades privadas sin ánimo de lucro y de reconocida idoneidad –desde ahora ESAL–, en particular en los </w:t>
      </w:r>
      <w:r>
        <w:rPr>
          <w:rFonts w:ascii="Arial" w:hAnsi="Arial" w:cs="Arial"/>
          <w:sz w:val="22"/>
          <w:shd w:val="clear" w:color="auto" w:fill="FFFFFF"/>
        </w:rPr>
        <w:t>C</w:t>
      </w:r>
      <w:r w:rsidRPr="009868CC">
        <w:rPr>
          <w:rFonts w:ascii="Arial" w:hAnsi="Arial" w:cs="Arial"/>
          <w:sz w:val="22"/>
          <w:shd w:val="clear" w:color="auto" w:fill="FFFFFF"/>
        </w:rPr>
        <w:t>onceptos 4201912000008310 del 26 de diciembre de 2019,  4201912000007899 del 27 de diciembre de 2019, 4201912000007901 del 27 de diciembre de 2019, C</w:t>
      </w:r>
      <w:r>
        <w:rPr>
          <w:rFonts w:ascii="Arial" w:hAnsi="Arial" w:cs="Arial"/>
          <w:sz w:val="22"/>
          <w:shd w:val="clear" w:color="auto" w:fill="FFFFFF"/>
        </w:rPr>
        <w:t>-</w:t>
      </w:r>
      <w:r w:rsidRPr="009868CC">
        <w:rPr>
          <w:rFonts w:ascii="Arial" w:hAnsi="Arial" w:cs="Arial"/>
          <w:sz w:val="22"/>
          <w:shd w:val="clear" w:color="auto" w:fill="FFFFFF"/>
        </w:rPr>
        <w:t>070 04 de marzo de 2020, C</w:t>
      </w:r>
      <w:r>
        <w:rPr>
          <w:rFonts w:ascii="Arial" w:hAnsi="Arial" w:cs="Arial"/>
          <w:sz w:val="22"/>
          <w:shd w:val="clear" w:color="auto" w:fill="FFFFFF"/>
        </w:rPr>
        <w:t>-</w:t>
      </w:r>
      <w:r w:rsidRPr="009868CC">
        <w:rPr>
          <w:rFonts w:ascii="Arial" w:hAnsi="Arial" w:cs="Arial"/>
          <w:sz w:val="22"/>
          <w:shd w:val="clear" w:color="auto" w:fill="FFFFFF"/>
        </w:rPr>
        <w:t>094 del 04 de marzo de 2020,  C</w:t>
      </w:r>
      <w:r>
        <w:rPr>
          <w:rFonts w:ascii="Arial" w:hAnsi="Arial" w:cs="Arial"/>
          <w:sz w:val="22"/>
          <w:shd w:val="clear" w:color="auto" w:fill="FFFFFF"/>
        </w:rPr>
        <w:t>-</w:t>
      </w:r>
      <w:r w:rsidRPr="009868CC">
        <w:rPr>
          <w:rFonts w:ascii="Arial" w:hAnsi="Arial" w:cs="Arial"/>
          <w:sz w:val="22"/>
          <w:shd w:val="clear" w:color="auto" w:fill="FFFFFF"/>
        </w:rPr>
        <w:t>086 del 16 de marzo de 2020,  C</w:t>
      </w:r>
      <w:r>
        <w:rPr>
          <w:rFonts w:ascii="Arial" w:hAnsi="Arial" w:cs="Arial"/>
          <w:sz w:val="22"/>
          <w:shd w:val="clear" w:color="auto" w:fill="FFFFFF"/>
        </w:rPr>
        <w:t>-</w:t>
      </w:r>
      <w:r w:rsidRPr="009868CC">
        <w:rPr>
          <w:rFonts w:ascii="Arial" w:hAnsi="Arial" w:cs="Arial"/>
          <w:sz w:val="22"/>
          <w:shd w:val="clear" w:color="auto" w:fill="FFFFFF"/>
        </w:rPr>
        <w:t>101 del 16 de marzo de 2020, C</w:t>
      </w:r>
      <w:r>
        <w:rPr>
          <w:rFonts w:ascii="Arial" w:hAnsi="Arial" w:cs="Arial"/>
          <w:sz w:val="22"/>
          <w:shd w:val="clear" w:color="auto" w:fill="FFFFFF"/>
        </w:rPr>
        <w:t>-</w:t>
      </w:r>
      <w:r w:rsidRPr="009868CC">
        <w:rPr>
          <w:rFonts w:ascii="Arial" w:hAnsi="Arial" w:cs="Arial"/>
          <w:sz w:val="22"/>
          <w:shd w:val="clear" w:color="auto" w:fill="FFFFFF"/>
        </w:rPr>
        <w:t>228 del 17 de marzo de 2020, C</w:t>
      </w:r>
      <w:r>
        <w:rPr>
          <w:rFonts w:ascii="Arial" w:hAnsi="Arial" w:cs="Arial"/>
          <w:sz w:val="22"/>
          <w:shd w:val="clear" w:color="auto" w:fill="FFFFFF"/>
        </w:rPr>
        <w:t>-</w:t>
      </w:r>
      <w:r w:rsidRPr="009868CC">
        <w:rPr>
          <w:rFonts w:ascii="Arial" w:hAnsi="Arial" w:cs="Arial"/>
          <w:sz w:val="22"/>
          <w:shd w:val="clear" w:color="auto" w:fill="FFFFFF"/>
        </w:rPr>
        <w:t>014 del 24 de marzo de 2020, C</w:t>
      </w:r>
      <w:r>
        <w:rPr>
          <w:rFonts w:ascii="Arial" w:hAnsi="Arial" w:cs="Arial"/>
          <w:sz w:val="22"/>
          <w:shd w:val="clear" w:color="auto" w:fill="FFFFFF"/>
        </w:rPr>
        <w:t>-</w:t>
      </w:r>
      <w:r w:rsidRPr="009868CC">
        <w:rPr>
          <w:rFonts w:ascii="Arial" w:hAnsi="Arial" w:cs="Arial"/>
          <w:sz w:val="22"/>
          <w:shd w:val="clear" w:color="auto" w:fill="FFFFFF"/>
        </w:rPr>
        <w:t>215 de 31 de marzo de 2020, C</w:t>
      </w:r>
      <w:r>
        <w:rPr>
          <w:rFonts w:ascii="Arial" w:hAnsi="Arial" w:cs="Arial"/>
          <w:sz w:val="22"/>
          <w:shd w:val="clear" w:color="auto" w:fill="FFFFFF"/>
        </w:rPr>
        <w:t>-</w:t>
      </w:r>
      <w:r w:rsidRPr="009868CC">
        <w:rPr>
          <w:rFonts w:ascii="Arial" w:hAnsi="Arial" w:cs="Arial"/>
          <w:sz w:val="22"/>
          <w:shd w:val="clear" w:color="auto" w:fill="FFFFFF"/>
        </w:rPr>
        <w:t>223 del 29 de abril de 2020, C</w:t>
      </w:r>
      <w:r>
        <w:rPr>
          <w:rFonts w:ascii="Arial" w:hAnsi="Arial" w:cs="Arial"/>
          <w:sz w:val="22"/>
          <w:shd w:val="clear" w:color="auto" w:fill="FFFFFF"/>
        </w:rPr>
        <w:t>-</w:t>
      </w:r>
      <w:r w:rsidRPr="009868CC">
        <w:rPr>
          <w:rFonts w:ascii="Arial" w:hAnsi="Arial" w:cs="Arial"/>
          <w:sz w:val="22"/>
          <w:shd w:val="clear" w:color="auto" w:fill="FFFFFF"/>
        </w:rPr>
        <w:t>416 del 30 junio de 2020, C</w:t>
      </w:r>
      <w:r>
        <w:rPr>
          <w:rFonts w:ascii="Arial" w:hAnsi="Arial" w:cs="Arial"/>
          <w:sz w:val="22"/>
          <w:shd w:val="clear" w:color="auto" w:fill="FFFFFF"/>
        </w:rPr>
        <w:t>-</w:t>
      </w:r>
      <w:r w:rsidRPr="009868CC">
        <w:rPr>
          <w:rFonts w:ascii="Arial" w:hAnsi="Arial" w:cs="Arial"/>
          <w:sz w:val="22"/>
          <w:shd w:val="clear" w:color="auto" w:fill="FFFFFF"/>
        </w:rPr>
        <w:t>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w:t>
      </w:r>
      <w:r w:rsidR="00FF1B52">
        <w:rPr>
          <w:rFonts w:ascii="Arial" w:hAnsi="Arial" w:cs="Arial"/>
          <w:sz w:val="22"/>
          <w:shd w:val="clear" w:color="auto" w:fill="FFFFFF"/>
        </w:rPr>
        <w:t>,</w:t>
      </w:r>
      <w:r w:rsidRPr="009868CC">
        <w:rPr>
          <w:rFonts w:ascii="Arial" w:hAnsi="Arial" w:cs="Arial"/>
          <w:sz w:val="22"/>
          <w:shd w:val="clear" w:color="auto" w:fill="FFFFFF"/>
        </w:rPr>
        <w:t xml:space="preserve"> C</w:t>
      </w:r>
      <w:r>
        <w:rPr>
          <w:rFonts w:ascii="Arial" w:hAnsi="Arial" w:cs="Arial"/>
          <w:sz w:val="22"/>
          <w:shd w:val="clear" w:color="auto" w:fill="FFFFFF"/>
        </w:rPr>
        <w:t>-</w:t>
      </w:r>
      <w:r w:rsidRPr="009868CC">
        <w:rPr>
          <w:rFonts w:ascii="Arial" w:hAnsi="Arial" w:cs="Arial"/>
          <w:sz w:val="22"/>
          <w:shd w:val="clear" w:color="auto" w:fill="FFFFFF"/>
        </w:rPr>
        <w:t>758 del 04 de enero de 2021</w:t>
      </w:r>
      <w:r w:rsidR="00FF1B52">
        <w:rPr>
          <w:rFonts w:ascii="Arial" w:hAnsi="Arial" w:cs="Arial"/>
          <w:sz w:val="22"/>
          <w:shd w:val="clear" w:color="auto" w:fill="FFFFFF"/>
        </w:rPr>
        <w:t xml:space="preserve"> y C-806 de 8 de febrero de 2021. </w:t>
      </w:r>
      <w:r w:rsidRPr="009868CC">
        <w:rPr>
          <w:rFonts w:ascii="Arial" w:hAnsi="Arial" w:cs="Arial"/>
          <w:sz w:val="22"/>
          <w:shd w:val="clear" w:color="auto" w:fill="FFFFFF"/>
        </w:rPr>
        <w:t xml:space="preserve">Las tesis propuestas en tales conceptos </w:t>
      </w:r>
      <w:r w:rsidRPr="009868CC">
        <w:rPr>
          <w:rFonts w:ascii="Arial" w:hAnsi="Arial" w:eastAsia="Times New Roman" w:cs="Arial"/>
          <w:sz w:val="22"/>
          <w:bdr w:val="none" w:color="auto" w:sz="0" w:space="0" w:frame="1"/>
          <w:lang w:eastAsia="es-ES_tradnl"/>
        </w:rPr>
        <w:t>se reiteran a continuación y se complementan en lo pertinente</w:t>
      </w:r>
      <w:r>
        <w:rPr>
          <w:rFonts w:ascii="Arial" w:hAnsi="Arial" w:eastAsia="Times New Roman" w:cs="Arial"/>
          <w:sz w:val="22"/>
          <w:bdr w:val="none" w:color="auto" w:sz="0" w:space="0" w:frame="1"/>
          <w:lang w:eastAsia="es-ES_tradnl"/>
        </w:rPr>
        <w:t>:</w:t>
      </w:r>
    </w:p>
    <w:p w:rsidRPr="00747A2A" w:rsidR="0068526D" w:rsidP="0068526D" w:rsidRDefault="0068526D" w14:paraId="12406B70" w14:textId="77777777">
      <w:pPr>
        <w:pStyle w:val="Sinespaciado"/>
        <w:spacing w:line="276" w:lineRule="auto"/>
        <w:jc w:val="both"/>
        <w:rPr>
          <w:rFonts w:ascii="Arial" w:hAnsi="Arial" w:cs="Arial"/>
          <w:sz w:val="22"/>
          <w:lang w:val="es-ES_tradnl"/>
        </w:rPr>
      </w:pPr>
    </w:p>
    <w:p w:rsidRPr="00747A2A" w:rsidR="0068526D" w:rsidP="0068526D" w:rsidRDefault="0068526D" w14:paraId="4C665B50" w14:textId="77777777">
      <w:pPr>
        <w:pStyle w:val="Sinespaciado"/>
        <w:tabs>
          <w:tab w:val="left" w:pos="426"/>
        </w:tabs>
        <w:spacing w:line="276" w:lineRule="auto"/>
        <w:jc w:val="both"/>
        <w:rPr>
          <w:rFonts w:ascii="Arial" w:hAnsi="Arial" w:cs="Arial"/>
          <w:b/>
          <w:bCs/>
          <w:i/>
          <w:iCs/>
          <w:sz w:val="22"/>
          <w:lang w:val="es-ES_tradnl"/>
        </w:rPr>
      </w:pPr>
      <w:r w:rsidRPr="00747A2A">
        <w:rPr>
          <w:rFonts w:ascii="Arial" w:hAnsi="Arial" w:cs="Arial"/>
          <w:b/>
          <w:bCs/>
          <w:sz w:val="22"/>
          <w:lang w:val="es-ES_tradnl"/>
        </w:rPr>
        <w:t>2.1.</w:t>
      </w:r>
      <w:r w:rsidRPr="00747A2A">
        <w:rPr>
          <w:rFonts w:ascii="Arial" w:hAnsi="Arial" w:cs="Arial"/>
          <w:b/>
          <w:bCs/>
          <w:sz w:val="22"/>
          <w:lang w:val="es-ES_tradnl"/>
        </w:rPr>
        <w:tab/>
      </w:r>
      <w:r w:rsidRPr="00747A2A">
        <w:rPr>
          <w:rFonts w:ascii="Arial" w:hAnsi="Arial" w:cs="Arial"/>
          <w:b/>
          <w:bCs/>
          <w:sz w:val="22"/>
          <w:lang w:val="es-ES_tradnl"/>
        </w:rPr>
        <w:t>Los artículos 355 de la Constitución Política y 96 de la Ley 489 de 1998</w:t>
      </w:r>
    </w:p>
    <w:p w:rsidR="00C74602" w:rsidP="00CD3A06" w:rsidRDefault="00C74602" w14:paraId="03A53B3A" w14:textId="77777777">
      <w:pPr>
        <w:pStyle w:val="Sinespaciado"/>
        <w:spacing w:line="276" w:lineRule="auto"/>
        <w:jc w:val="both"/>
        <w:rPr>
          <w:rFonts w:ascii="Arial" w:hAnsi="Arial" w:cs="Arial"/>
          <w:sz w:val="22"/>
          <w:lang w:val="es-ES_tradnl"/>
        </w:rPr>
      </w:pPr>
    </w:p>
    <w:p w:rsidRPr="00747A2A" w:rsidR="0068526D" w:rsidP="00CD3A06" w:rsidRDefault="0068526D" w14:paraId="6D9C73D3" w14:textId="1B14AFB4">
      <w:pPr>
        <w:pStyle w:val="Sinespaciado"/>
        <w:spacing w:line="276" w:lineRule="auto"/>
        <w:jc w:val="both"/>
        <w:rPr>
          <w:rFonts w:ascii="Arial" w:hAnsi="Arial" w:cs="Arial"/>
          <w:sz w:val="22"/>
          <w:lang w:val="es-ES_tradnl"/>
        </w:rPr>
      </w:pPr>
      <w:r w:rsidRPr="00747A2A">
        <w:rPr>
          <w:rFonts w:ascii="Arial" w:hAnsi="Arial" w:cs="Arial"/>
          <w:sz w:val="22"/>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747A2A">
        <w:rPr>
          <w:rStyle w:val="Refdenotaalpie"/>
          <w:rFonts w:ascii="Arial" w:hAnsi="Arial" w:cs="Arial"/>
          <w:sz w:val="22"/>
          <w:lang w:val="es-ES_tradnl"/>
        </w:rPr>
        <w:footnoteReference w:id="1"/>
      </w:r>
      <w:r w:rsidRPr="00747A2A">
        <w:rPr>
          <w:rFonts w:ascii="Arial" w:hAnsi="Arial" w:cs="Arial"/>
          <w:sz w:val="22"/>
          <w:lang w:val="es-ES_tradnl"/>
        </w:rPr>
        <w:t>.</w:t>
      </w:r>
    </w:p>
    <w:p w:rsidRPr="00747A2A" w:rsidR="0068526D" w:rsidP="0068526D" w:rsidRDefault="0068526D" w14:paraId="261450BA" w14:textId="77777777">
      <w:pPr>
        <w:spacing w:before="120" w:line="276" w:lineRule="auto"/>
        <w:ind w:firstLine="708"/>
        <w:jc w:val="both"/>
        <w:rPr>
          <w:rFonts w:ascii="Arial" w:hAnsi="Arial" w:eastAsia="Calibri" w:cs="Arial"/>
          <w:sz w:val="22"/>
          <w:lang w:val="es-ES_tradnl"/>
        </w:rPr>
      </w:pPr>
      <w:r w:rsidRPr="00747A2A">
        <w:rPr>
          <w:rFonts w:ascii="Arial" w:hAnsi="Arial" w:eastAsia="Calibri" w:cs="Arial"/>
          <w:sz w:val="22"/>
          <w:lang w:val="es-ES_tradnl"/>
        </w:rPr>
        <w:t>Por otra parte, la Ley 489 de 1998, en el artículo 96</w:t>
      </w:r>
      <w:r w:rsidRPr="00747A2A">
        <w:rPr>
          <w:rStyle w:val="Refdenotaalpie"/>
          <w:rFonts w:ascii="Arial" w:hAnsi="Arial" w:eastAsia="Calibri" w:cs="Arial"/>
          <w:sz w:val="22"/>
          <w:lang w:val="es-ES_tradnl"/>
        </w:rPr>
        <w:footnoteReference w:id="2"/>
      </w:r>
      <w:r w:rsidRPr="00747A2A">
        <w:rPr>
          <w:rFonts w:ascii="Arial" w:hAnsi="Arial" w:eastAsia="Calibri" w:cs="Arial"/>
          <w:sz w:val="22"/>
          <w:lang w:val="es-ES_tradnl"/>
        </w:rPr>
        <w:t>,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rsidR="004D0720" w:rsidP="004D0720" w:rsidRDefault="0068526D" w14:paraId="132329C5" w14:textId="77777777">
      <w:pPr>
        <w:spacing w:before="120" w:line="276" w:lineRule="auto"/>
        <w:ind w:firstLine="708"/>
        <w:jc w:val="both"/>
        <w:rPr>
          <w:rFonts w:ascii="Arial" w:hAnsi="Arial" w:eastAsia="Calibri" w:cs="Arial"/>
          <w:sz w:val="22"/>
          <w:lang w:val="es-ES_tradnl"/>
        </w:rPr>
      </w:pPr>
      <w:r w:rsidRPr="00747A2A">
        <w:rPr>
          <w:rFonts w:ascii="Arial" w:hAnsi="Arial" w:cs="Arial"/>
          <w:sz w:val="22"/>
          <w:lang w:val="es-ES_tradnl"/>
        </w:rPr>
        <w:t>El Gobierno nacional, en desarrollo del artículo 355 de la Constitución, expidió el Decreto 92 de 2017, q</w:t>
      </w:r>
      <w:r w:rsidRPr="00747A2A">
        <w:rPr>
          <w:rFonts w:ascii="Arial" w:hAnsi="Arial" w:eastAsia="Calibri" w:cs="Arial"/>
          <w:sz w:val="22"/>
          <w:lang w:val="es-ES_tradnl"/>
        </w:rPr>
        <w:t xml:space="preserve">ue dispone las reglas para las contrataciones que realicen las </w:t>
      </w:r>
      <w:r w:rsidRPr="00747A2A">
        <w:rPr>
          <w:rFonts w:ascii="Arial" w:hAnsi="Arial" w:eastAsia="Calibri" w:cs="Arial"/>
          <w:sz w:val="22"/>
          <w:lang w:val="es-ES_tradnl"/>
        </w:rPr>
        <w:lastRenderedPageBreak/>
        <w:t xml:space="preserve">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w:t>
      </w:r>
      <w:proofErr w:type="spellStart"/>
      <w:r w:rsidRPr="00747A2A">
        <w:rPr>
          <w:rFonts w:ascii="Arial" w:hAnsi="Arial" w:eastAsia="Calibri" w:cs="Arial"/>
          <w:sz w:val="22"/>
          <w:lang w:val="es-ES_tradnl"/>
        </w:rPr>
        <w:t>ii</w:t>
      </w:r>
      <w:proofErr w:type="spellEnd"/>
      <w:r w:rsidRPr="00747A2A">
        <w:rPr>
          <w:rFonts w:ascii="Arial" w:hAnsi="Arial" w:eastAsia="Calibri" w:cs="Arial"/>
          <w:sz w:val="22"/>
          <w:lang w:val="es-ES_tradnl"/>
        </w:rPr>
        <w:t xml:space="preserve">) los convenios de asociación, para el desarrollo conjunto de actividades relacionadas con las funciones de las entidades estatales, en desarrollo del artículo 96 de la Ley 489 de 1998. Los primeros están regulados en el artículo 2 del Decreto 92 de 2017, mientras que los segundos en los artículos 5, 6, 7 y 8 </w:t>
      </w:r>
      <w:r w:rsidRPr="00747A2A">
        <w:rPr>
          <w:rFonts w:ascii="Arial" w:hAnsi="Arial" w:eastAsia="Calibri" w:cs="Arial"/>
          <w:i/>
          <w:iCs/>
          <w:sz w:val="22"/>
          <w:lang w:val="es-ES_tradnl"/>
        </w:rPr>
        <w:t>ibidem</w:t>
      </w:r>
      <w:r w:rsidRPr="00747A2A">
        <w:rPr>
          <w:rFonts w:ascii="Arial" w:hAnsi="Arial" w:eastAsia="Calibri" w:cs="Arial"/>
          <w:sz w:val="22"/>
          <w:lang w:val="es-ES_tradnl"/>
        </w:rPr>
        <w:t xml:space="preserve">. Es posible diferenciar, pues, los </w:t>
      </w:r>
      <w:r w:rsidRPr="00747A2A">
        <w:rPr>
          <w:rFonts w:ascii="Arial" w:hAnsi="Arial" w:eastAsia="Calibri" w:cs="Arial"/>
          <w:i/>
          <w:iCs/>
          <w:sz w:val="22"/>
          <w:lang w:val="es-ES_tradnl"/>
        </w:rPr>
        <w:t>convenios de asociación</w:t>
      </w:r>
      <w:r w:rsidRPr="00747A2A">
        <w:rPr>
          <w:rFonts w:ascii="Arial" w:hAnsi="Arial" w:eastAsia="Calibri" w:cs="Arial"/>
          <w:sz w:val="22"/>
          <w:lang w:val="es-ES_tradnl"/>
        </w:rPr>
        <w:t xml:space="preserve">, regulados en el artículo 5, de los </w:t>
      </w:r>
      <w:r w:rsidRPr="00747A2A">
        <w:rPr>
          <w:rFonts w:ascii="Arial" w:hAnsi="Arial" w:eastAsia="Calibri" w:cs="Arial"/>
          <w:i/>
          <w:iCs/>
          <w:sz w:val="22"/>
          <w:lang w:val="es-ES_tradnl"/>
        </w:rPr>
        <w:t>contratos de colaboración</w:t>
      </w:r>
      <w:r w:rsidRPr="00747A2A">
        <w:rPr>
          <w:rFonts w:ascii="Arial" w:hAnsi="Arial" w:eastAsia="Calibri" w:cs="Arial"/>
          <w:sz w:val="22"/>
          <w:lang w:val="es-ES_tradnl"/>
        </w:rPr>
        <w:t>, establecidos en el artículo 2 del Decreto 92 de 2017</w:t>
      </w:r>
      <w:r w:rsidRPr="00747A2A">
        <w:rPr>
          <w:rStyle w:val="Refdenotaalpie"/>
          <w:rFonts w:ascii="Arial" w:hAnsi="Arial" w:eastAsia="Calibri" w:cs="Arial"/>
          <w:sz w:val="22"/>
          <w:lang w:val="es-ES_tradnl"/>
        </w:rPr>
        <w:footnoteReference w:id="3"/>
      </w:r>
      <w:r w:rsidRPr="00747A2A">
        <w:rPr>
          <w:rFonts w:ascii="Arial" w:hAnsi="Arial" w:eastAsia="Calibri" w:cs="Arial"/>
          <w:sz w:val="22"/>
          <w:lang w:val="es-ES_tradnl"/>
        </w:rPr>
        <w:t>.</w:t>
      </w:r>
    </w:p>
    <w:p w:rsidRPr="00747A2A" w:rsidR="0068526D" w:rsidP="004D0720" w:rsidRDefault="0068526D" w14:paraId="16E26F88" w14:textId="764A1561">
      <w:pPr>
        <w:spacing w:before="120" w:line="276" w:lineRule="auto"/>
        <w:ind w:firstLine="708"/>
        <w:jc w:val="both"/>
        <w:rPr>
          <w:rFonts w:ascii="Arial" w:hAnsi="Arial" w:eastAsia="Calibri" w:cs="Arial"/>
          <w:sz w:val="22"/>
          <w:lang w:val="es-ES_tradnl"/>
        </w:rPr>
      </w:pPr>
      <w:r w:rsidRPr="00747A2A">
        <w:rPr>
          <w:rFonts w:ascii="Arial" w:hAnsi="Arial" w:eastAsia="Calibri" w:cs="Arial"/>
          <w:sz w:val="22"/>
          <w:lang w:val="es-ES_tradnl"/>
        </w:rPr>
        <w:t xml:space="preserve">Los </w:t>
      </w:r>
      <w:r w:rsidRPr="00747A2A">
        <w:rPr>
          <w:rFonts w:ascii="Arial" w:hAnsi="Arial" w:eastAsia="Calibri" w:cs="Arial"/>
          <w:i/>
          <w:iCs/>
          <w:sz w:val="22"/>
          <w:lang w:val="es-ES_tradnl"/>
        </w:rPr>
        <w:t xml:space="preserve">contratos de colaboración </w:t>
      </w:r>
      <w:r w:rsidRPr="00747A2A">
        <w:rPr>
          <w:rFonts w:ascii="Arial" w:hAnsi="Arial" w:eastAsia="Calibri" w:cs="Arial"/>
          <w:sz w:val="22"/>
          <w:lang w:val="es-ES_tradnl"/>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747A2A">
        <w:rPr>
          <w:rFonts w:ascii="Arial" w:hAnsi="Arial" w:eastAsia="Calibri" w:cs="Arial"/>
          <w:sz w:val="22"/>
          <w:lang w:val="es-ES_tradnl"/>
        </w:rPr>
        <w:t>ii</w:t>
      </w:r>
      <w:proofErr w:type="spellEnd"/>
      <w:r w:rsidRPr="00747A2A">
        <w:rPr>
          <w:rFonts w:ascii="Arial" w:hAnsi="Arial" w:eastAsia="Calibri" w:cs="Arial"/>
          <w:sz w:val="22"/>
          <w:lang w:val="es-ES_tradnl"/>
        </w:rPr>
        <w:t>)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rsidRPr="0068526D" w:rsidR="0068526D" w:rsidP="0068526D" w:rsidRDefault="0068526D" w14:paraId="115B6137" w14:textId="77777777">
      <w:pPr>
        <w:pStyle w:val="Sinespaciado"/>
        <w:spacing w:before="120" w:line="276" w:lineRule="auto"/>
        <w:ind w:firstLine="708"/>
        <w:jc w:val="both"/>
        <w:rPr>
          <w:rFonts w:ascii="Arial" w:hAnsi="Arial" w:cs="Arial"/>
          <w:sz w:val="22"/>
          <w:lang w:val="es-ES_tradnl"/>
        </w:rPr>
      </w:pPr>
      <w:r w:rsidRPr="0068526D">
        <w:rPr>
          <w:rFonts w:ascii="Arial" w:hAnsi="Arial" w:cs="Arial"/>
          <w:sz w:val="22"/>
          <w:lang w:val="es-ES_tradnl"/>
        </w:rPr>
        <w:t xml:space="preserve">De otro lado, los </w:t>
      </w:r>
      <w:r w:rsidRPr="0068526D">
        <w:rPr>
          <w:rFonts w:ascii="Arial" w:hAnsi="Arial" w:cs="Arial"/>
          <w:i/>
          <w:iCs/>
          <w:sz w:val="22"/>
          <w:lang w:val="es-ES_tradnl"/>
        </w:rPr>
        <w:t>convenios de asociación</w:t>
      </w:r>
      <w:r w:rsidRPr="0068526D">
        <w:rPr>
          <w:rFonts w:ascii="Arial" w:hAnsi="Arial" w:cs="Arial"/>
          <w:sz w:val="22"/>
          <w:lang w:val="es-ES_tradnl"/>
        </w:rPr>
        <w:t xml:space="preserve"> «[t]</w:t>
      </w:r>
      <w:proofErr w:type="spellStart"/>
      <w:r w:rsidRPr="0068526D">
        <w:rPr>
          <w:rFonts w:ascii="Arial" w:hAnsi="Arial" w:cs="Arial"/>
          <w:sz w:val="22"/>
          <w:lang w:val="es-ES_tradnl"/>
        </w:rPr>
        <w:t>ienen</w:t>
      </w:r>
      <w:proofErr w:type="spellEnd"/>
      <w:r w:rsidRPr="0068526D">
        <w:rPr>
          <w:rFonts w:ascii="Arial" w:hAnsi="Arial" w:cs="Arial"/>
          <w:sz w:val="22"/>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68526D">
        <w:rPr>
          <w:rStyle w:val="Refdenotaalpie"/>
          <w:rFonts w:ascii="Arial" w:hAnsi="Arial" w:cs="Arial"/>
          <w:sz w:val="22"/>
          <w:lang w:val="es-ES_tradnl"/>
        </w:rPr>
        <w:footnoteReference w:id="4"/>
      </w:r>
      <w:r w:rsidRPr="0068526D">
        <w:rPr>
          <w:rFonts w:ascii="Arial" w:hAnsi="Arial" w:cs="Arial"/>
          <w:sz w:val="22"/>
          <w:lang w:val="es-ES_tradnl"/>
        </w:rPr>
        <w:t xml:space="preserve">. </w:t>
      </w:r>
    </w:p>
    <w:p w:rsidRPr="0068526D" w:rsidR="0068526D" w:rsidP="0068526D" w:rsidRDefault="0068526D" w14:paraId="79AD2516" w14:textId="77777777">
      <w:pPr>
        <w:pStyle w:val="Sinespaciado"/>
        <w:spacing w:before="120" w:line="276" w:lineRule="auto"/>
        <w:ind w:firstLine="708"/>
        <w:jc w:val="both"/>
        <w:rPr>
          <w:rFonts w:ascii="Arial" w:hAnsi="Arial" w:cs="Arial"/>
          <w:sz w:val="22"/>
          <w:lang w:val="es-ES_tradnl"/>
        </w:rPr>
      </w:pPr>
      <w:r w:rsidRPr="0068526D">
        <w:rPr>
          <w:rFonts w:ascii="Arial" w:hAnsi="Arial" w:cs="Arial"/>
          <w:sz w:val="22"/>
          <w:lang w:val="es-ES_tradnl"/>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que haya una ESAL que comprometa recursos en dinero para la ejecución de estas actividades, en una proporción no inferior al 30% del valor total del convenio. </w:t>
      </w:r>
    </w:p>
    <w:p w:rsidRPr="0068526D" w:rsidR="0068526D" w:rsidP="0068526D" w:rsidRDefault="0068526D" w14:paraId="0274C058" w14:textId="77777777">
      <w:pPr>
        <w:pStyle w:val="Sinespaciado"/>
        <w:spacing w:before="120" w:line="276" w:lineRule="auto"/>
        <w:ind w:firstLine="708"/>
        <w:jc w:val="both"/>
        <w:rPr>
          <w:rFonts w:ascii="Arial" w:hAnsi="Arial" w:cs="Arial"/>
          <w:sz w:val="22"/>
          <w:lang w:val="es-ES_tradnl"/>
        </w:rPr>
      </w:pPr>
      <w:r w:rsidRPr="0068526D">
        <w:rPr>
          <w:rFonts w:ascii="Arial" w:hAnsi="Arial" w:cs="Arial"/>
          <w:sz w:val="22"/>
          <w:lang w:val="es-ES_tradnl"/>
        </w:rPr>
        <w:lastRenderedPageBreak/>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rsidRPr="0068526D" w:rsidR="0068526D" w:rsidP="0068526D" w:rsidRDefault="0068526D" w14:paraId="5403B37A" w14:textId="77777777">
      <w:pPr>
        <w:pStyle w:val="Sinespaciado"/>
        <w:spacing w:before="120" w:line="276" w:lineRule="auto"/>
        <w:ind w:firstLine="708"/>
        <w:jc w:val="both"/>
        <w:rPr>
          <w:rFonts w:ascii="Arial" w:hAnsi="Arial" w:eastAsia="Calibri" w:cs="Arial"/>
          <w:sz w:val="22"/>
          <w:lang w:val="es-ES_tradnl"/>
        </w:rPr>
      </w:pPr>
      <w:r w:rsidRPr="0068526D">
        <w:rPr>
          <w:rFonts w:ascii="Arial" w:hAnsi="Arial" w:cs="Arial"/>
          <w:sz w:val="22"/>
          <w:lang w:val="es-ES_tradnl"/>
        </w:rPr>
        <w:t>L</w:t>
      </w:r>
      <w:r w:rsidRPr="0068526D">
        <w:rPr>
          <w:rFonts w:ascii="Arial" w:hAnsi="Arial" w:eastAsia="Calibri" w:cs="Arial"/>
          <w:sz w:val="22"/>
          <w:lang w:val="es-ES_tradnl"/>
        </w:rPr>
        <w:t>a normativa vigente no impide que varias entidades suscriban conjuntamente el convenio de asociación y tampoco que dos o más ESAL pueden hacerlo, a través de las figuras asociativas autorizadas por la ley, por ejemplo, la unión temporal o el consorcio</w:t>
      </w:r>
      <w:r w:rsidRPr="0068526D">
        <w:rPr>
          <w:rStyle w:val="Refdenotaalpie"/>
          <w:rFonts w:ascii="Arial" w:hAnsi="Arial" w:eastAsia="Calibri" w:cs="Arial"/>
          <w:sz w:val="22"/>
          <w:lang w:val="es-ES_tradnl"/>
        </w:rPr>
        <w:footnoteReference w:id="5"/>
      </w:r>
      <w:r w:rsidRPr="0068526D">
        <w:rPr>
          <w:rFonts w:ascii="Arial" w:hAnsi="Arial" w:eastAsia="Calibri" w:cs="Arial"/>
          <w:sz w:val="22"/>
          <w:lang w:val="es-ES_tradnl"/>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68526D">
        <w:rPr>
          <w:rStyle w:val="Refdenotaalpie"/>
          <w:rFonts w:ascii="Arial" w:hAnsi="Arial" w:eastAsia="Calibri" w:cs="Arial"/>
          <w:sz w:val="22"/>
          <w:lang w:val="es-ES_tradnl"/>
        </w:rPr>
        <w:footnoteReference w:id="6"/>
      </w:r>
      <w:r w:rsidRPr="0068526D">
        <w:rPr>
          <w:rFonts w:ascii="Arial" w:hAnsi="Arial" w:eastAsia="Calibri" w:cs="Arial"/>
          <w:sz w:val="22"/>
          <w:lang w:val="es-ES_tradnl"/>
        </w:rPr>
        <w:t>.</w:t>
      </w:r>
    </w:p>
    <w:p w:rsidR="0068526D" w:rsidP="0068526D" w:rsidRDefault="0068526D" w14:paraId="2D09426A" w14:textId="3042C4AC">
      <w:pPr>
        <w:spacing w:before="120" w:line="276" w:lineRule="auto"/>
        <w:ind w:firstLine="708"/>
        <w:jc w:val="both"/>
        <w:rPr>
          <w:rFonts w:ascii="Arial" w:hAnsi="Arial" w:cs="Arial"/>
          <w:sz w:val="22"/>
          <w:lang w:val="es-ES_tradnl"/>
        </w:rPr>
      </w:pPr>
      <w:r w:rsidRPr="0068526D">
        <w:rPr>
          <w:rFonts w:ascii="Arial" w:hAnsi="Arial" w:cs="Arial"/>
          <w:sz w:val="22"/>
          <w:lang w:val="es-ES_tradnl"/>
        </w:rPr>
        <w:t>La noción «seleccionar de forma objetiva», contenida en el artículo 5</w:t>
      </w:r>
      <w:r w:rsidRPr="0068526D">
        <w:rPr>
          <w:rFonts w:ascii="Arial" w:hAnsi="Arial" w:cs="Arial"/>
          <w:i/>
          <w:iCs/>
          <w:sz w:val="22"/>
          <w:lang w:val="es-ES_tradnl"/>
        </w:rPr>
        <w:t xml:space="preserve"> Ibídem </w:t>
      </w:r>
      <w:r w:rsidRPr="0068526D">
        <w:rPr>
          <w:rFonts w:ascii="Arial" w:hAnsi="Arial" w:cs="Arial"/>
          <w:sz w:val="22"/>
          <w:lang w:val="es-ES_tradnl"/>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w:t>
      </w:r>
      <w:r w:rsidRPr="0068526D">
        <w:rPr>
          <w:rFonts w:ascii="Arial" w:hAnsi="Arial" w:cs="Arial"/>
          <w:sz w:val="22"/>
          <w:lang w:val="es-ES_tradnl"/>
        </w:rPr>
        <w:lastRenderedPageBreak/>
        <w:t>2 del Decreto 92 de 2017, pues goza de discrecionalidad administrativa para diseñar el procedimiento que garantice la selección objetiva de la ESAL.</w:t>
      </w:r>
    </w:p>
    <w:p w:rsidRPr="0068526D" w:rsidR="0068526D" w:rsidP="0068526D" w:rsidRDefault="0068526D" w14:paraId="0C7FB60E" w14:textId="666A0D5B">
      <w:pPr>
        <w:spacing w:before="120" w:after="120" w:line="276" w:lineRule="auto"/>
        <w:ind w:firstLine="709"/>
        <w:jc w:val="both"/>
        <w:textAlignment w:val="baseline"/>
        <w:rPr>
          <w:rFonts w:ascii="Arial" w:hAnsi="Arial" w:eastAsia="Times New Roman" w:cs="Arial"/>
          <w:sz w:val="22"/>
          <w:lang w:val="es-ES_tradnl" w:eastAsia="es-ES_tradnl"/>
        </w:rPr>
      </w:pPr>
      <w:r w:rsidRPr="0068526D">
        <w:rPr>
          <w:rFonts w:ascii="Arial" w:hAnsi="Arial" w:eastAsia="Times New Roman" w:cs="Arial"/>
          <w:sz w:val="22"/>
          <w:lang w:val="es-ES_tradnl" w:eastAsia="es-ES_tradnl"/>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rsidRPr="00747A2A" w:rsidR="0068526D" w:rsidP="0068526D" w:rsidRDefault="0068526D" w14:paraId="5745A6FC" w14:textId="77777777">
      <w:pPr>
        <w:spacing w:before="120" w:line="276" w:lineRule="auto"/>
        <w:ind w:firstLine="708"/>
        <w:jc w:val="both"/>
        <w:rPr>
          <w:rFonts w:ascii="Arial" w:hAnsi="Arial" w:cs="Arial"/>
          <w:sz w:val="22"/>
          <w:lang w:val="es-ES_tradnl"/>
        </w:rPr>
      </w:pPr>
      <w:r w:rsidRPr="0068526D">
        <w:rPr>
          <w:rFonts w:ascii="Arial" w:hAnsi="Arial" w:cs="Arial"/>
          <w:sz w:val="22"/>
          <w:lang w:val="es-ES_tradn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rsidRPr="00747A2A" w:rsidR="0068526D" w:rsidP="0068526D" w:rsidRDefault="0068526D" w14:paraId="26240084" w14:textId="77777777">
      <w:pPr>
        <w:spacing w:line="276" w:lineRule="auto"/>
        <w:jc w:val="both"/>
        <w:rPr>
          <w:rFonts w:ascii="Arial" w:hAnsi="Arial" w:eastAsia="Calibri" w:cs="Arial"/>
          <w:sz w:val="22"/>
          <w:lang w:val="es-ES_tradnl"/>
        </w:rPr>
      </w:pPr>
      <w:r w:rsidRPr="00747A2A">
        <w:rPr>
          <w:rFonts w:ascii="Arial" w:hAnsi="Arial" w:eastAsia="Calibri" w:cs="Arial"/>
          <w:sz w:val="22"/>
          <w:lang w:val="es-ES_tradnl"/>
        </w:rPr>
        <w:tab/>
      </w:r>
    </w:p>
    <w:p w:rsidRPr="00747A2A" w:rsidR="0068526D" w:rsidP="0068526D" w:rsidRDefault="0068526D" w14:paraId="4E34A22B" w14:textId="77777777">
      <w:pPr>
        <w:tabs>
          <w:tab w:val="left" w:pos="426"/>
        </w:tabs>
        <w:spacing w:line="276" w:lineRule="auto"/>
        <w:jc w:val="both"/>
        <w:rPr>
          <w:rFonts w:ascii="Arial" w:hAnsi="Arial" w:cs="Arial"/>
          <w:b/>
          <w:bCs/>
          <w:sz w:val="22"/>
          <w:lang w:val="es-ES_tradnl"/>
        </w:rPr>
      </w:pPr>
      <w:r w:rsidRPr="00747A2A">
        <w:rPr>
          <w:rFonts w:ascii="Arial" w:hAnsi="Arial" w:cs="Arial"/>
          <w:b/>
          <w:bCs/>
          <w:sz w:val="22"/>
          <w:lang w:val="es-ES_tradnl"/>
        </w:rPr>
        <w:t>2.2.</w:t>
      </w:r>
      <w:r w:rsidRPr="00747A2A">
        <w:rPr>
          <w:rFonts w:ascii="Arial" w:hAnsi="Arial" w:cs="Arial"/>
          <w:b/>
          <w:bCs/>
          <w:sz w:val="22"/>
          <w:lang w:val="es-ES_tradnl"/>
        </w:rPr>
        <w:tab/>
      </w:r>
      <w:r w:rsidRPr="00747A2A">
        <w:rPr>
          <w:rFonts w:ascii="Arial" w:hAnsi="Arial" w:cs="Arial"/>
          <w:b/>
          <w:bCs/>
          <w:sz w:val="22"/>
          <w:lang w:val="es-ES_tradnl"/>
        </w:rPr>
        <w:t>Suspensión provisional de algunas normas del Decreto 92 de 2017</w:t>
      </w:r>
    </w:p>
    <w:p w:rsidRPr="00747A2A" w:rsidR="0068526D" w:rsidP="0068526D" w:rsidRDefault="0068526D" w14:paraId="543E19C5" w14:textId="77777777">
      <w:pPr>
        <w:spacing w:line="276" w:lineRule="auto"/>
        <w:jc w:val="both"/>
        <w:rPr>
          <w:rFonts w:ascii="Arial" w:hAnsi="Arial" w:cs="Arial"/>
          <w:b/>
          <w:bCs/>
          <w:sz w:val="22"/>
          <w:lang w:val="es-ES_tradnl"/>
        </w:rPr>
      </w:pPr>
    </w:p>
    <w:p w:rsidRPr="00747A2A" w:rsidR="0068526D" w:rsidP="00CD3A06" w:rsidRDefault="0068526D" w14:paraId="6A698D94" w14:textId="77777777">
      <w:pPr>
        <w:spacing w:line="276" w:lineRule="auto"/>
        <w:jc w:val="both"/>
        <w:rPr>
          <w:rFonts w:ascii="Arial" w:hAnsi="Arial" w:eastAsia="Calibri" w:cs="Arial"/>
          <w:sz w:val="22"/>
          <w:lang w:val="es-ES_tradnl"/>
        </w:rPr>
      </w:pPr>
      <w:r w:rsidRPr="00747A2A">
        <w:rPr>
          <w:rFonts w:ascii="Arial" w:hAnsi="Arial" w:eastAsia="Calibri" w:cs="Arial"/>
          <w:sz w:val="22"/>
          <w:lang w:val="es-ES_tradnl"/>
        </w:rPr>
        <w:t xml:space="preserve">El Consejo de Estado, en el Auto del 6 de agosto de 2019 de la Sección Tercera, Subsección A, </w:t>
      </w:r>
      <w:proofErr w:type="gramStart"/>
      <w:r w:rsidRPr="00747A2A">
        <w:rPr>
          <w:rFonts w:ascii="Arial" w:hAnsi="Arial" w:eastAsia="Calibri" w:cs="Arial"/>
          <w:sz w:val="22"/>
          <w:lang w:val="es-ES_tradnl"/>
        </w:rPr>
        <w:t>Consejero</w:t>
      </w:r>
      <w:proofErr w:type="gramEnd"/>
      <w:r w:rsidRPr="00747A2A">
        <w:rPr>
          <w:rFonts w:ascii="Arial" w:hAnsi="Arial" w:eastAsia="Calibri" w:cs="Arial"/>
          <w:sz w:val="22"/>
          <w:lang w:val="es-ES_tradnl"/>
        </w:rPr>
        <w:t xml:space="preserve"> Ponente Carlos Alberto Zambrano Barrera –</w:t>
      </w:r>
      <w:proofErr w:type="spellStart"/>
      <w:r w:rsidRPr="00747A2A">
        <w:rPr>
          <w:rFonts w:ascii="Arial" w:hAnsi="Arial" w:eastAsia="Calibri" w:cs="Arial"/>
          <w:sz w:val="22"/>
          <w:lang w:val="es-ES_tradnl"/>
        </w:rPr>
        <w:t>Exp</w:t>
      </w:r>
      <w:proofErr w:type="spellEnd"/>
      <w:r w:rsidRPr="00747A2A">
        <w:rPr>
          <w:rFonts w:ascii="Arial" w:hAnsi="Arial" w:eastAsia="Calibri" w:cs="Arial"/>
          <w:sz w:val="22"/>
          <w:lang w:val="es-ES_tradnl"/>
        </w:rPr>
        <w:t>. 62.003–, estudió la solicitud de suspensión provisional</w:t>
      </w:r>
      <w:r w:rsidRPr="00747A2A">
        <w:rPr>
          <w:rStyle w:val="Refdenotaalpie"/>
          <w:rFonts w:ascii="Arial" w:hAnsi="Arial" w:eastAsia="Calibri" w:cs="Arial"/>
          <w:sz w:val="22"/>
          <w:lang w:val="es-ES_tradnl"/>
        </w:rPr>
        <w:footnoteReference w:id="7"/>
      </w:r>
      <w:r w:rsidRPr="00747A2A">
        <w:rPr>
          <w:rFonts w:ascii="Arial" w:hAnsi="Arial" w:eastAsia="Calibri" w:cs="Arial"/>
          <w:sz w:val="22"/>
          <w:lang w:val="es-ES_tradnl"/>
        </w:rPr>
        <w:t xml:space="preserve"> del inciso 2 del artículo 1, literales a y c del artículo 2, inciso 5 del artículo 2, inciso 2 del artículo 3, inciso final del artículo 4 y artículo 5 del Decreto 92 de 2017. </w:t>
      </w:r>
    </w:p>
    <w:p w:rsidRPr="00747A2A" w:rsidR="0068526D" w:rsidP="0068526D" w:rsidRDefault="0068526D" w14:paraId="6E694758" w14:textId="77777777">
      <w:pPr>
        <w:spacing w:before="120" w:line="276" w:lineRule="auto"/>
        <w:ind w:firstLine="708"/>
        <w:jc w:val="both"/>
        <w:rPr>
          <w:rFonts w:ascii="Arial" w:hAnsi="Arial" w:eastAsia="Calibri" w:cs="Arial"/>
          <w:sz w:val="22"/>
          <w:lang w:val="es-ES_tradnl"/>
        </w:rPr>
      </w:pPr>
      <w:r w:rsidRPr="00747A2A">
        <w:rPr>
          <w:rFonts w:ascii="Arial" w:hAnsi="Arial" w:eastAsia="Calibri" w:cs="Arial"/>
          <w:sz w:val="22"/>
          <w:lang w:val="es-ES_tradnl"/>
        </w:rPr>
        <w:t xml:space="preserve">La </w:t>
      </w:r>
      <w:r w:rsidRPr="00747A2A">
        <w:rPr>
          <w:rFonts w:ascii="Arial" w:hAnsi="Arial" w:eastAsia="Calibri" w:cs="Arial"/>
          <w:i/>
          <w:iCs/>
          <w:sz w:val="22"/>
          <w:lang w:val="es-ES_tradnl"/>
        </w:rPr>
        <w:t>primera</w:t>
      </w:r>
      <w:r w:rsidRPr="00747A2A">
        <w:rPr>
          <w:rFonts w:ascii="Arial" w:hAnsi="Arial" w:eastAsia="Calibri" w:cs="Arial"/>
          <w:sz w:val="22"/>
          <w:lang w:val="es-ES_tradnl"/>
        </w:rPr>
        <w:t xml:space="preserve"> norma que estudió el Consejo de Estado fue el inciso 2 del artículo 1 del Decreto 92 de 2017, el cual establece que la interpretación de las expresiones que se encuentran en mayúsculas en el Decreto 92 de 2017 se harían de conformidad con la guía que expida la Agencia Nacional de Contratación Pública</w:t>
      </w:r>
      <w:r w:rsidRPr="00747A2A">
        <w:rPr>
          <w:rStyle w:val="Refdenotaalpie"/>
          <w:rFonts w:ascii="Arial" w:hAnsi="Arial" w:eastAsia="Calibri" w:cs="Arial"/>
          <w:sz w:val="22"/>
          <w:lang w:val="es-ES_tradnl"/>
        </w:rPr>
        <w:footnoteReference w:id="8"/>
      </w:r>
      <w:r w:rsidRPr="00747A2A">
        <w:rPr>
          <w:rFonts w:ascii="Arial" w:hAnsi="Arial" w:eastAsia="Calibri" w:cs="Arial"/>
          <w:sz w:val="22"/>
          <w:lang w:val="es-ES_tradnl"/>
        </w:rPr>
        <w:t>. Señaló que esta disposición, así como el inciso segundo del artículo 3 del Decreto 92 de 2017</w:t>
      </w:r>
      <w:r w:rsidRPr="00747A2A">
        <w:rPr>
          <w:rStyle w:val="Refdenotaalpie"/>
          <w:rFonts w:ascii="Arial" w:hAnsi="Arial" w:eastAsia="Calibri" w:cs="Arial"/>
          <w:sz w:val="22"/>
          <w:lang w:val="es-ES_tradnl"/>
        </w:rPr>
        <w:footnoteReference w:id="9"/>
      </w:r>
      <w:r w:rsidRPr="00747A2A">
        <w:rPr>
          <w:rFonts w:ascii="Arial" w:hAnsi="Arial" w:eastAsia="Calibri" w:cs="Arial"/>
          <w:sz w:val="22"/>
          <w:lang w:val="es-ES_tradnl"/>
        </w:rPr>
        <w:t xml:space="preserve">, exceden la potestad </w:t>
      </w:r>
      <w:r w:rsidRPr="00747A2A">
        <w:rPr>
          <w:rFonts w:ascii="Arial" w:hAnsi="Arial" w:eastAsia="Calibri" w:cs="Arial"/>
          <w:sz w:val="22"/>
          <w:lang w:val="es-ES_tradnl"/>
        </w:rPr>
        <w:lastRenderedPageBreak/>
        <w:t xml:space="preserve">reglamentaria, que está exclusivamente asignada al Presidente de la República, toda vez que la esencia de la facultad reglamentaria es de carácter permanente, inalienable, intransferible e irrenunciable, y el Presidente no la puede delegar en una entidad como la Agencia Nacional de Contratación Pública – Colombia Compra Eficiente, para que a través de una guía reglamente los vacíos de un Decreto. Al respecto señala: </w:t>
      </w:r>
    </w:p>
    <w:p w:rsidRPr="00747A2A" w:rsidR="0068526D" w:rsidP="0068526D" w:rsidRDefault="0068526D" w14:paraId="57E30057" w14:textId="77777777">
      <w:pPr>
        <w:spacing w:line="276" w:lineRule="auto"/>
        <w:jc w:val="both"/>
        <w:rPr>
          <w:rFonts w:ascii="Arial" w:hAnsi="Arial" w:eastAsia="Calibri" w:cs="Arial"/>
          <w:sz w:val="22"/>
          <w:lang w:val="es-ES_tradnl"/>
        </w:rPr>
      </w:pPr>
    </w:p>
    <w:p w:rsidRPr="00747A2A" w:rsidR="0068526D" w:rsidP="0068526D" w:rsidRDefault="0068526D" w14:paraId="3A90EFBC" w14:textId="77777777">
      <w:pPr>
        <w:tabs>
          <w:tab w:val="left" w:pos="8789"/>
        </w:tabs>
        <w:ind w:left="708" w:right="709"/>
        <w:jc w:val="both"/>
        <w:rPr>
          <w:rFonts w:ascii="Arial" w:hAnsi="Arial" w:eastAsia="Calibri" w:cs="Arial"/>
          <w:sz w:val="21"/>
          <w:szCs w:val="21"/>
          <w:lang w:val="es-ES_tradnl"/>
        </w:rPr>
      </w:pPr>
      <w:r w:rsidRPr="00747A2A">
        <w:rPr>
          <w:rFonts w:ascii="Arial" w:hAnsi="Arial" w:eastAsia="Calibri" w:cs="Arial"/>
          <w:sz w:val="21"/>
          <w:szCs w:val="21"/>
          <w:lang w:val="es-ES_tradnl"/>
        </w:rPr>
        <w:t>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rsidRPr="00747A2A" w:rsidR="0068526D" w:rsidP="0068526D" w:rsidRDefault="0068526D" w14:paraId="6549C8E0" w14:textId="77777777">
      <w:pPr>
        <w:spacing w:line="276" w:lineRule="auto"/>
        <w:jc w:val="both"/>
        <w:rPr>
          <w:rFonts w:ascii="Arial" w:hAnsi="Arial" w:eastAsia="Calibri" w:cs="Arial"/>
          <w:sz w:val="22"/>
          <w:lang w:val="es-ES_tradnl"/>
        </w:rPr>
      </w:pPr>
    </w:p>
    <w:p w:rsidRPr="00747A2A" w:rsidR="0068526D" w:rsidP="0068526D" w:rsidRDefault="0068526D" w14:paraId="5AAC2173" w14:textId="77777777">
      <w:pPr>
        <w:spacing w:before="120" w:line="276" w:lineRule="auto"/>
        <w:ind w:firstLine="708"/>
        <w:jc w:val="both"/>
        <w:rPr>
          <w:rFonts w:ascii="Arial" w:hAnsi="Arial" w:eastAsia="Calibri" w:cs="Arial"/>
          <w:sz w:val="22"/>
          <w:lang w:val="es-ES_tradnl"/>
        </w:rPr>
      </w:pPr>
      <w:r w:rsidRPr="00747A2A">
        <w:rPr>
          <w:rFonts w:ascii="Arial" w:hAnsi="Arial" w:eastAsia="Calibri" w:cs="Arial"/>
          <w:sz w:val="22"/>
          <w:lang w:val="es-ES_tradnl"/>
        </w:rPr>
        <w:t xml:space="preserve">En virtud de este análisis, el Consejo de Estado suspendió provisionalmente el inciso 2 del artículo primero y el inciso 2 del artículo 3, lo que significa que los contratos celebrados con entidades sin ánimo de lucro no tienen que aplicar la </w:t>
      </w:r>
      <w:r w:rsidRPr="00CD3A06">
        <w:rPr>
          <w:rFonts w:ascii="Arial" w:hAnsi="Arial" w:eastAsia="Calibri" w:cs="Arial"/>
          <w:i/>
          <w:iCs/>
          <w:sz w:val="22"/>
          <w:lang w:val="es-ES_tradnl"/>
        </w:rPr>
        <w:t>«Guía para la contratación con entidades privadas sin ánimo de lucro y de reconocida idoneidad»,</w:t>
      </w:r>
      <w:r w:rsidRPr="00747A2A">
        <w:rPr>
          <w:rFonts w:ascii="Arial" w:hAnsi="Arial" w:eastAsia="Calibri" w:cs="Arial"/>
          <w:sz w:val="22"/>
          <w:lang w:val="es-ES_tradnl"/>
        </w:rPr>
        <w:t xml:space="preserve"> expedida por la Agencia Nacional de Contratación Pública–Colombia Compra Eficiente. </w:t>
      </w:r>
    </w:p>
    <w:p w:rsidRPr="00747A2A" w:rsidR="0068526D" w:rsidP="0068526D" w:rsidRDefault="0068526D" w14:paraId="188C1E15" w14:textId="77777777">
      <w:pPr>
        <w:spacing w:before="120" w:line="276" w:lineRule="auto"/>
        <w:ind w:firstLine="708"/>
        <w:jc w:val="both"/>
        <w:rPr>
          <w:rFonts w:ascii="Arial" w:hAnsi="Arial" w:eastAsia="Calibri" w:cs="Arial"/>
          <w:sz w:val="22"/>
          <w:lang w:val="es-ES_tradnl"/>
        </w:rPr>
      </w:pPr>
      <w:r w:rsidRPr="00747A2A">
        <w:rPr>
          <w:rFonts w:ascii="Arial" w:hAnsi="Arial" w:eastAsia="Calibri" w:cs="Arial"/>
          <w:sz w:val="22"/>
          <w:lang w:val="es-ES_tradnl"/>
        </w:rPr>
        <w:t xml:space="preserve">La </w:t>
      </w:r>
      <w:r w:rsidRPr="00747A2A">
        <w:rPr>
          <w:rFonts w:ascii="Arial" w:hAnsi="Arial" w:eastAsia="Calibri" w:cs="Arial"/>
          <w:i/>
          <w:iCs/>
          <w:sz w:val="22"/>
          <w:lang w:val="es-ES_tradnl"/>
        </w:rPr>
        <w:t>segunda</w:t>
      </w:r>
      <w:r w:rsidRPr="00747A2A">
        <w:rPr>
          <w:rFonts w:ascii="Arial" w:hAnsi="Arial" w:eastAsia="Calibri" w:cs="Arial"/>
          <w:sz w:val="22"/>
          <w:lang w:val="es-ES_tradnl"/>
        </w:rPr>
        <w:t xml:space="preserve"> norma que analizó el Consejo de Estado fue el literal a), del artículo 2, del Decreto 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747A2A">
        <w:rPr>
          <w:rStyle w:val="Refdenotaalpie"/>
          <w:rFonts w:ascii="Arial" w:hAnsi="Arial" w:cs="Arial"/>
          <w:sz w:val="22"/>
          <w:lang w:val="es-ES_tradnl"/>
        </w:rPr>
        <w:footnoteReference w:id="10"/>
      </w:r>
      <w:r w:rsidRPr="00747A2A">
        <w:rPr>
          <w:rFonts w:ascii="Arial" w:hAnsi="Arial" w:eastAsia="Calibri" w:cs="Arial"/>
          <w:sz w:val="22"/>
          <w:lang w:val="es-ES_tradnl"/>
        </w:rPr>
        <w:t xml:space="preserve">. En relación con esta norma, encontró que el literal a) del artículo 2 establece dos condiciones contrarias al artículo 355 de la Constitución Política: primero, que el objeto tenga que estar «directamente» en los planes de desarrollo –nacional o territorial–, cuando la norma constitucional establece que el objeto debe ser «acorde» con el plan nacional o seccional de desarrollo, lo que implica que el objeto del contrato no debe estar explícitamente en el plan de desarrollo, sino que se encuentre en armonía con este. En relación con lo anterior, el auto del Consejo de Estado señala: </w:t>
      </w:r>
    </w:p>
    <w:p w:rsidRPr="00747A2A" w:rsidR="0068526D" w:rsidP="0068526D" w:rsidRDefault="0068526D" w14:paraId="526AD548" w14:textId="77777777">
      <w:pPr>
        <w:spacing w:line="276" w:lineRule="auto"/>
        <w:jc w:val="both"/>
        <w:rPr>
          <w:rFonts w:ascii="Arial" w:hAnsi="Arial" w:eastAsia="Calibri" w:cs="Arial"/>
          <w:sz w:val="22"/>
          <w:lang w:val="es-ES_tradnl"/>
        </w:rPr>
      </w:pPr>
    </w:p>
    <w:p w:rsidRPr="00747A2A" w:rsidR="0068526D" w:rsidP="0068526D" w:rsidRDefault="0068526D" w14:paraId="67851A33" w14:textId="77777777">
      <w:pPr>
        <w:ind w:left="708" w:right="709"/>
        <w:jc w:val="both"/>
        <w:rPr>
          <w:rFonts w:ascii="Arial" w:hAnsi="Arial" w:eastAsia="Calibri" w:cs="Arial"/>
          <w:sz w:val="21"/>
          <w:szCs w:val="21"/>
          <w:lang w:val="es-ES_tradnl"/>
        </w:rPr>
      </w:pPr>
      <w:r w:rsidRPr="00747A2A">
        <w:rPr>
          <w:rFonts w:ascii="Arial" w:hAnsi="Arial" w:eastAsia="Calibri" w:cs="Arial"/>
          <w:sz w:val="21"/>
          <w:szCs w:val="21"/>
          <w:lang w:val="es-ES_tradnl"/>
        </w:rPr>
        <w:lastRenderedPageBreak/>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rsidRPr="00747A2A" w:rsidR="0068526D" w:rsidP="0068526D" w:rsidRDefault="0068526D" w14:paraId="784AF7B5" w14:textId="77777777">
      <w:pPr>
        <w:spacing w:line="276" w:lineRule="auto"/>
        <w:jc w:val="both"/>
        <w:rPr>
          <w:rFonts w:ascii="Arial" w:hAnsi="Arial" w:eastAsia="Calibri" w:cs="Arial"/>
          <w:sz w:val="22"/>
          <w:lang w:val="es-ES_tradnl"/>
        </w:rPr>
      </w:pPr>
    </w:p>
    <w:p w:rsidRPr="00747A2A" w:rsidR="0068526D" w:rsidP="0068526D" w:rsidRDefault="0068526D" w14:paraId="6F0DCB25" w14:textId="77777777">
      <w:pPr>
        <w:spacing w:line="276" w:lineRule="auto"/>
        <w:ind w:firstLine="708"/>
        <w:jc w:val="both"/>
        <w:rPr>
          <w:rFonts w:ascii="Arial" w:hAnsi="Arial" w:eastAsia="Calibri" w:cs="Arial"/>
          <w:sz w:val="22"/>
          <w:lang w:val="es-ES_tradnl"/>
        </w:rPr>
      </w:pPr>
      <w:r w:rsidRPr="00747A2A">
        <w:rPr>
          <w:rFonts w:ascii="Arial" w:hAnsi="Arial" w:eastAsia="Calibri" w:cs="Arial"/>
          <w:sz w:val="22"/>
          <w:lang w:val="es-ES_tradnl"/>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rsidRPr="00747A2A" w:rsidR="0068526D" w:rsidP="0068526D" w:rsidRDefault="0068526D" w14:paraId="7F3735F6" w14:textId="77777777">
      <w:pPr>
        <w:spacing w:line="276" w:lineRule="auto"/>
        <w:jc w:val="both"/>
        <w:rPr>
          <w:rFonts w:ascii="Arial" w:hAnsi="Arial" w:eastAsia="Calibri" w:cs="Arial"/>
          <w:sz w:val="22"/>
          <w:lang w:val="es-ES_tradnl"/>
        </w:rPr>
      </w:pPr>
    </w:p>
    <w:p w:rsidRPr="00747A2A" w:rsidR="0068526D" w:rsidP="0068526D" w:rsidRDefault="0068526D" w14:paraId="041E1163" w14:textId="77777777">
      <w:pPr>
        <w:tabs>
          <w:tab w:val="left" w:pos="8080"/>
        </w:tabs>
        <w:ind w:left="708" w:right="709"/>
        <w:jc w:val="both"/>
        <w:rPr>
          <w:rFonts w:ascii="Arial" w:hAnsi="Arial" w:eastAsia="Calibri" w:cs="Arial"/>
          <w:sz w:val="21"/>
          <w:szCs w:val="21"/>
          <w:lang w:val="es-ES_tradnl"/>
        </w:rPr>
      </w:pPr>
      <w:r w:rsidRPr="00747A2A">
        <w:rPr>
          <w:rFonts w:ascii="Arial" w:hAnsi="Arial" w:eastAsia="Calibri" w:cs="Arial"/>
          <w:sz w:val="21"/>
          <w:szCs w:val="21"/>
          <w:lang w:val="es-ES_tradnl"/>
        </w:rPr>
        <w:t xml:space="preserve">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ibidem].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 </w:t>
      </w:r>
    </w:p>
    <w:p w:rsidRPr="00747A2A" w:rsidR="0068526D" w:rsidP="0068526D" w:rsidRDefault="0068526D" w14:paraId="108DAF8D" w14:textId="77777777">
      <w:pPr>
        <w:spacing w:line="276" w:lineRule="auto"/>
        <w:jc w:val="both"/>
        <w:rPr>
          <w:rFonts w:ascii="Arial" w:hAnsi="Arial" w:eastAsia="Calibri" w:cs="Arial"/>
          <w:sz w:val="22"/>
          <w:lang w:val="es-ES_tradnl"/>
        </w:rPr>
      </w:pPr>
      <w:r w:rsidRPr="00747A2A">
        <w:rPr>
          <w:rFonts w:ascii="Arial" w:hAnsi="Arial" w:eastAsia="Calibri" w:cs="Arial"/>
          <w:sz w:val="22"/>
          <w:lang w:val="es-ES_tradnl"/>
        </w:rPr>
        <w:t xml:space="preserve"> </w:t>
      </w:r>
    </w:p>
    <w:p w:rsidRPr="00747A2A" w:rsidR="0068526D" w:rsidP="0068526D" w:rsidRDefault="0068526D" w14:paraId="26946A9F" w14:textId="77777777">
      <w:pPr>
        <w:spacing w:before="120" w:line="276" w:lineRule="auto"/>
        <w:ind w:firstLine="708"/>
        <w:jc w:val="both"/>
        <w:rPr>
          <w:rFonts w:ascii="Arial" w:hAnsi="Arial" w:eastAsia="Calibri" w:cs="Arial"/>
          <w:sz w:val="22"/>
          <w:lang w:val="es-ES_tradnl"/>
        </w:rPr>
      </w:pPr>
      <w:r w:rsidRPr="00747A2A">
        <w:rPr>
          <w:rFonts w:ascii="Arial" w:hAnsi="Arial" w:eastAsia="Calibri" w:cs="Arial"/>
          <w:sz w:val="22"/>
          <w:lang w:val="es-ES_tradnl"/>
        </w:rPr>
        <w:t>En este orden de ideas, el Consejo de Estado suspendió provisionalmente el literal a), por lo cual el objeto de los contratos debe ser acorde con los planes nacionales o seccionales de desarrollo; y no necesariamente estar previstos directamente en ellos, además no solo se pueden celebrar contratos para los objetos específicos señalados en el Decreto 92 de 2017.</w:t>
      </w:r>
    </w:p>
    <w:p w:rsidRPr="00747A2A" w:rsidR="0068526D" w:rsidP="0068526D" w:rsidRDefault="0068526D" w14:paraId="26CB2AA8" w14:textId="77777777">
      <w:pPr>
        <w:spacing w:before="120" w:line="276" w:lineRule="auto"/>
        <w:ind w:firstLine="708"/>
        <w:jc w:val="both"/>
        <w:rPr>
          <w:rFonts w:ascii="Arial" w:hAnsi="Arial" w:eastAsia="Calibri" w:cs="Arial"/>
          <w:sz w:val="22"/>
          <w:lang w:val="es-ES_tradnl"/>
        </w:rPr>
      </w:pPr>
      <w:r w:rsidRPr="00747A2A">
        <w:rPr>
          <w:rFonts w:ascii="Arial" w:hAnsi="Arial" w:eastAsia="Calibri" w:cs="Arial"/>
          <w:sz w:val="22"/>
          <w:lang w:val="es-ES_tradnl"/>
        </w:rPr>
        <w:t xml:space="preserve">El Consejo de Estado, en </w:t>
      </w:r>
      <w:r w:rsidRPr="00747A2A">
        <w:rPr>
          <w:rFonts w:ascii="Arial" w:hAnsi="Arial" w:eastAsia="Calibri" w:cs="Arial"/>
          <w:i/>
          <w:iCs/>
          <w:sz w:val="22"/>
          <w:lang w:val="es-ES_tradnl"/>
        </w:rPr>
        <w:t>tercer</w:t>
      </w:r>
      <w:r w:rsidRPr="00747A2A">
        <w:rPr>
          <w:rFonts w:ascii="Arial" w:hAnsi="Arial" w:eastAsia="Calibri" w:cs="Arial"/>
          <w:sz w:val="22"/>
          <w:lang w:val="es-ES_tradnl"/>
        </w:rPr>
        <w:t xml:space="preserve"> lugar, examinó el literal c) y el inciso 5 del artículo 2 del Decreto</w:t>
      </w:r>
      <w:r w:rsidRPr="00747A2A">
        <w:rPr>
          <w:rStyle w:val="Refdenotaalpie"/>
          <w:rFonts w:ascii="Arial" w:hAnsi="Arial" w:eastAsia="Calibri" w:cs="Arial"/>
          <w:sz w:val="22"/>
          <w:lang w:val="es-ES_tradnl"/>
        </w:rPr>
        <w:footnoteReference w:id="11"/>
      </w:r>
      <w:r w:rsidRPr="00747A2A">
        <w:rPr>
          <w:rFonts w:ascii="Arial" w:hAnsi="Arial" w:eastAsia="Calibri" w:cs="Arial"/>
          <w:sz w:val="22"/>
          <w:lang w:val="es-ES_tradnl"/>
        </w:rPr>
        <w:t xml:space="preserve">, señalando que contraría la norma constitucional al condicionar que los contratos solo se pueden celebrar cuando no exista oferta en el mercado, sometiendo su celebración a que, de existir oferta, la contratación con las entidades sin ánimo de lucro represente la optimización de los recursos públicos en términos de eficiencia, eficacia, economía y manejo del riesgo, toda vez que se desconocería la naturaleza de las entidades </w:t>
      </w:r>
      <w:r w:rsidRPr="00747A2A">
        <w:rPr>
          <w:rFonts w:ascii="Arial" w:hAnsi="Arial" w:eastAsia="Calibri" w:cs="Arial"/>
          <w:sz w:val="22"/>
          <w:lang w:val="es-ES_tradnl"/>
        </w:rPr>
        <w:lastRenderedPageBreak/>
        <w:t xml:space="preserve">sin ánimo de lucro que implica que ellas no participan en el mercado de bienes y servicios de la misma forma que las demás sociedades. En este sentido, el Consejo de Estado manifestó: </w:t>
      </w:r>
    </w:p>
    <w:p w:rsidRPr="00747A2A" w:rsidR="0068526D" w:rsidP="0068526D" w:rsidRDefault="0068526D" w14:paraId="5B304127" w14:textId="77777777">
      <w:pPr>
        <w:spacing w:line="276" w:lineRule="auto"/>
        <w:jc w:val="both"/>
        <w:rPr>
          <w:rFonts w:ascii="Arial" w:hAnsi="Arial" w:eastAsia="Calibri" w:cs="Arial"/>
          <w:sz w:val="22"/>
          <w:lang w:val="es-ES_tradnl"/>
        </w:rPr>
      </w:pPr>
    </w:p>
    <w:p w:rsidRPr="00747A2A" w:rsidR="0068526D" w:rsidP="0068526D" w:rsidRDefault="0068526D" w14:paraId="65405201" w14:textId="77777777">
      <w:pPr>
        <w:ind w:left="708" w:right="709"/>
        <w:jc w:val="both"/>
        <w:rPr>
          <w:rFonts w:ascii="Arial" w:hAnsi="Arial" w:eastAsia="Calibri" w:cs="Arial"/>
          <w:sz w:val="21"/>
          <w:szCs w:val="21"/>
          <w:lang w:val="es-ES_tradnl"/>
        </w:rPr>
      </w:pPr>
      <w:r w:rsidRPr="00747A2A">
        <w:rPr>
          <w:rFonts w:ascii="Arial" w:hAnsi="Arial" w:eastAsia="Calibri" w:cs="Arial"/>
          <w:sz w:val="21"/>
          <w:szCs w:val="21"/>
          <w:lang w:val="es-ES_tradnl"/>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747A2A">
        <w:rPr>
          <w:rFonts w:ascii="Arial" w:hAnsi="Arial" w:eastAsia="Calibri" w:cs="Arial"/>
          <w:sz w:val="21"/>
          <w:szCs w:val="21"/>
          <w:lang w:val="es-ES_tradnl"/>
        </w:rPr>
        <w:t>ii</w:t>
      </w:r>
      <w:proofErr w:type="spellEnd"/>
      <w:r w:rsidRPr="00747A2A">
        <w:rPr>
          <w:rFonts w:ascii="Arial" w:hAnsi="Arial" w:eastAsia="Calibri" w:cs="Arial"/>
          <w:sz w:val="21"/>
          <w:szCs w:val="21"/>
          <w:lang w:val="es-ES_tradnl"/>
        </w:rPr>
        <w:t>) desarrollan programas y actividades de interés público con reconocida idoneidad. No son, entonces, entidades creadas para competir en el mercado.</w:t>
      </w:r>
    </w:p>
    <w:p w:rsidRPr="00747A2A" w:rsidR="0068526D" w:rsidP="0068526D" w:rsidRDefault="0068526D" w14:paraId="6F96CC39" w14:textId="77777777">
      <w:pPr>
        <w:spacing w:line="276" w:lineRule="auto"/>
        <w:jc w:val="both"/>
        <w:rPr>
          <w:rFonts w:ascii="Arial" w:hAnsi="Arial" w:eastAsia="Calibri" w:cs="Arial"/>
          <w:sz w:val="22"/>
          <w:lang w:val="es-ES_tradnl"/>
        </w:rPr>
      </w:pPr>
    </w:p>
    <w:p w:rsidRPr="00747A2A" w:rsidR="0068526D" w:rsidP="0068526D" w:rsidRDefault="0068526D" w14:paraId="07259B13" w14:textId="77777777">
      <w:pPr>
        <w:spacing w:before="120" w:line="276" w:lineRule="auto"/>
        <w:ind w:firstLine="708"/>
        <w:jc w:val="both"/>
        <w:rPr>
          <w:rFonts w:ascii="Arial" w:hAnsi="Arial" w:eastAsia="Calibri" w:cs="Arial"/>
          <w:sz w:val="22"/>
          <w:lang w:val="es-ES_tradnl"/>
        </w:rPr>
      </w:pPr>
      <w:r w:rsidRPr="00747A2A">
        <w:rPr>
          <w:rFonts w:ascii="Arial" w:hAnsi="Arial" w:eastAsia="Calibri" w:cs="Arial"/>
          <w:sz w:val="22"/>
          <w:lang w:val="es-ES_tradnl"/>
        </w:rPr>
        <w:t>Así las cosas, se suspendió provisionalmente el literal c) y el inciso 5º del artículo 2 del Decreto 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 de la Administración Pública y no del régimen jurídico especial que establece el artículo 355 de la Constitución Política.</w:t>
      </w:r>
    </w:p>
    <w:p w:rsidRPr="00747A2A" w:rsidR="0068526D" w:rsidP="0068526D" w:rsidRDefault="0068526D" w14:paraId="48BADED3" w14:textId="77777777">
      <w:pPr>
        <w:spacing w:before="120" w:line="276" w:lineRule="auto"/>
        <w:ind w:firstLine="708"/>
        <w:jc w:val="both"/>
        <w:rPr>
          <w:rFonts w:ascii="Arial" w:hAnsi="Arial" w:eastAsia="Calibri" w:cs="Arial"/>
          <w:sz w:val="22"/>
          <w:lang w:val="es-ES_tradnl"/>
        </w:rPr>
      </w:pPr>
      <w:r w:rsidRPr="00747A2A">
        <w:rPr>
          <w:rFonts w:ascii="Arial" w:hAnsi="Arial" w:eastAsia="Calibri" w:cs="Arial"/>
          <w:sz w:val="22"/>
          <w:lang w:val="es-ES_tradnl"/>
        </w:rPr>
        <w:t xml:space="preserve">La </w:t>
      </w:r>
      <w:r w:rsidRPr="00747A2A">
        <w:rPr>
          <w:rFonts w:ascii="Arial" w:hAnsi="Arial" w:eastAsia="Calibri" w:cs="Arial"/>
          <w:i/>
          <w:iCs/>
          <w:sz w:val="22"/>
          <w:lang w:val="es-ES_tradnl"/>
        </w:rPr>
        <w:t>cuarta</w:t>
      </w:r>
      <w:r w:rsidRPr="00747A2A">
        <w:rPr>
          <w:rFonts w:ascii="Arial" w:hAnsi="Arial" w:eastAsia="Calibri" w:cs="Arial"/>
          <w:sz w:val="22"/>
          <w:lang w:val="es-ES_tradnl"/>
        </w:rPr>
        <w:t xml:space="preserve"> norma que estudió el Consejo de Estado fue el inciso final del artículo 4 del Decreto 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747A2A">
        <w:rPr>
          <w:rStyle w:val="Refdenotaalpie"/>
          <w:rFonts w:ascii="Arial" w:hAnsi="Arial" w:eastAsia="Calibri" w:cs="Arial"/>
          <w:sz w:val="22"/>
          <w:lang w:val="es-ES_tradnl"/>
        </w:rPr>
        <w:footnoteReference w:id="12"/>
      </w:r>
      <w:r w:rsidRPr="00747A2A">
        <w:rPr>
          <w:rFonts w:ascii="Arial" w:hAnsi="Arial" w:eastAsia="Calibri" w:cs="Arial"/>
          <w:sz w:val="22"/>
          <w:lang w:val="es-ES_tradnl"/>
        </w:rPr>
        <w:t>. Para la Sala, esta norma vulnera el principio de igualdad, por establecer un privilegio para determinadas personas jurídicas o naturales que ejecutaran únicamente las actividades allí previstas, contratándolas sin realizar un proceso competitivo. Por consiguiente, se suspendió provisionalmente el inciso final del artículo 4, por violar el principio de igualdad, por lo tanto, la contratación para la ejecución de actividades y programas de interés público debe realizarse a través de un proceso competitivo para escoger a la entidad sin ánimo de lucro.</w:t>
      </w:r>
    </w:p>
    <w:p w:rsidRPr="00747A2A" w:rsidR="0068526D" w:rsidP="0068526D" w:rsidRDefault="0068526D" w14:paraId="440323F6" w14:textId="77777777">
      <w:pPr>
        <w:spacing w:before="120" w:line="276" w:lineRule="auto"/>
        <w:ind w:firstLine="708"/>
        <w:jc w:val="both"/>
        <w:rPr>
          <w:rFonts w:ascii="Arial" w:hAnsi="Arial" w:eastAsia="Calibri" w:cs="Arial"/>
          <w:sz w:val="22"/>
          <w:lang w:val="es-ES_tradnl"/>
        </w:rPr>
      </w:pPr>
      <w:r w:rsidRPr="00747A2A">
        <w:rPr>
          <w:rFonts w:ascii="Arial" w:hAnsi="Arial" w:eastAsia="Calibri" w:cs="Arial"/>
          <w:sz w:val="22"/>
          <w:lang w:val="es-ES_tradnl"/>
        </w:rPr>
        <w:t xml:space="preserve">En consecuencia, hasta tanto se emita una sentencia definitiva en el proceso reseñado, no es posible aplicar el «beneficio» al que se refiere el inciso tercero del artículo 4 del Decreto 92 de 2017. En estos procesos, entonces, se debe acudir a los criterios aplicables a los otros negocios jurídicos que regula el Decreto 92 de 2017, particularmente las exigencias del artículo 2 </w:t>
      </w:r>
      <w:r w:rsidRPr="00747A2A">
        <w:rPr>
          <w:rFonts w:ascii="Arial" w:hAnsi="Arial" w:eastAsia="Calibri" w:cs="Arial"/>
          <w:i/>
          <w:iCs/>
          <w:sz w:val="22"/>
          <w:lang w:val="es-ES_tradnl"/>
        </w:rPr>
        <w:t>ibidem</w:t>
      </w:r>
      <w:r w:rsidRPr="00747A2A">
        <w:rPr>
          <w:rFonts w:ascii="Arial" w:hAnsi="Arial" w:eastAsia="Calibri" w:cs="Arial"/>
          <w:sz w:val="22"/>
          <w:lang w:val="es-ES_tradnl"/>
        </w:rPr>
        <w:t xml:space="preserve">. Incluso, habría lugar a tener en cuenta las exigencias del inciso 2 del artículo 4 </w:t>
      </w:r>
      <w:proofErr w:type="spellStart"/>
      <w:r w:rsidRPr="00747A2A">
        <w:rPr>
          <w:rFonts w:ascii="Arial" w:hAnsi="Arial" w:eastAsia="Calibri" w:cs="Arial"/>
          <w:i/>
          <w:iCs/>
          <w:sz w:val="22"/>
          <w:lang w:val="es-ES_tradnl"/>
        </w:rPr>
        <w:t>íbídem</w:t>
      </w:r>
      <w:proofErr w:type="spellEnd"/>
      <w:r w:rsidRPr="00747A2A">
        <w:rPr>
          <w:rFonts w:ascii="Arial" w:hAnsi="Arial" w:eastAsia="Calibri" w:cs="Arial"/>
          <w:sz w:val="22"/>
          <w:lang w:val="es-ES_tradnl"/>
        </w:rPr>
        <w:t>, claro está, siempre que se configuren los supuestos de aplicación de dicha normativa, esto es, siempre que «</w:t>
      </w:r>
      <w:proofErr w:type="spellStart"/>
      <w:r w:rsidRPr="00747A2A">
        <w:rPr>
          <w:rFonts w:ascii="Arial" w:hAnsi="Arial" w:eastAsia="Calibri" w:cs="Arial"/>
          <w:sz w:val="22"/>
          <w:lang w:val="es-ES_tradnl"/>
        </w:rPr>
        <w:t>exist</w:t>
      </w:r>
      <w:proofErr w:type="spellEnd"/>
      <w:r w:rsidRPr="00747A2A">
        <w:rPr>
          <w:rFonts w:ascii="Arial" w:hAnsi="Arial" w:eastAsia="Calibri" w:cs="Arial"/>
          <w:sz w:val="22"/>
          <w:lang w:val="es-ES_tradnl"/>
        </w:rPr>
        <w:t>[a] más de una entidad sin ánimo de lucro de reconocida idoneidad».</w:t>
      </w:r>
    </w:p>
    <w:p w:rsidRPr="00747A2A" w:rsidR="0068526D" w:rsidP="0068526D" w:rsidRDefault="0068526D" w14:paraId="47877001" w14:textId="77777777">
      <w:pPr>
        <w:spacing w:before="120" w:line="276" w:lineRule="auto"/>
        <w:ind w:firstLine="708"/>
        <w:jc w:val="both"/>
        <w:rPr>
          <w:rFonts w:ascii="Arial" w:hAnsi="Arial" w:eastAsia="Calibri" w:cs="Arial"/>
          <w:sz w:val="22"/>
          <w:lang w:val="es-ES_tradnl"/>
        </w:rPr>
      </w:pPr>
      <w:r w:rsidRPr="00747A2A">
        <w:rPr>
          <w:rFonts w:ascii="Arial" w:hAnsi="Arial" w:eastAsia="Calibri" w:cs="Arial"/>
          <w:sz w:val="22"/>
          <w:lang w:val="es-ES_tradnl"/>
        </w:rPr>
        <w:lastRenderedPageBreak/>
        <w:t xml:space="preserve">Por último, en </w:t>
      </w:r>
      <w:r w:rsidRPr="00747A2A">
        <w:rPr>
          <w:rFonts w:ascii="Arial" w:hAnsi="Arial" w:eastAsia="Calibri" w:cs="Arial"/>
          <w:i/>
          <w:iCs/>
          <w:sz w:val="22"/>
          <w:lang w:val="es-ES_tradnl"/>
        </w:rPr>
        <w:t xml:space="preserve">quinto </w:t>
      </w:r>
      <w:r w:rsidRPr="00747A2A">
        <w:rPr>
          <w:rFonts w:ascii="Arial" w:hAnsi="Arial" w:eastAsia="Calibri" w:cs="Arial"/>
          <w:sz w:val="22"/>
          <w:lang w:val="es-ES_tradnl"/>
        </w:rPr>
        <w:t xml:space="preserve">lugar, el Consejo de Estado analizó la solicitud de suspensión del artículo 5 del Decreto 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w:t>
      </w:r>
    </w:p>
    <w:p w:rsidRPr="00747A2A" w:rsidR="0068526D" w:rsidP="0068526D" w:rsidRDefault="00C728A1" w14:paraId="31E0B5D3" w14:textId="7F1F4BAB">
      <w:pPr>
        <w:spacing w:before="120" w:line="276" w:lineRule="auto"/>
        <w:ind w:firstLine="708"/>
        <w:jc w:val="both"/>
        <w:rPr>
          <w:rFonts w:ascii="Arial" w:hAnsi="Arial" w:eastAsia="Calibri" w:cs="Arial"/>
          <w:sz w:val="22"/>
          <w:lang w:val="es-ES_tradnl"/>
        </w:rPr>
      </w:pPr>
      <w:r>
        <w:rPr>
          <w:rFonts w:ascii="Arial" w:hAnsi="Arial" w:cs="Arial"/>
          <w:sz w:val="22"/>
          <w:lang w:val="es-ES_tradnl"/>
        </w:rPr>
        <w:t>Conforme a los expuesto</w:t>
      </w:r>
      <w:r w:rsidRPr="00747A2A" w:rsidR="0068526D">
        <w:rPr>
          <w:rFonts w:ascii="Arial" w:hAnsi="Arial" w:cs="Arial"/>
          <w:sz w:val="22"/>
          <w:lang w:val="es-ES_tradnl"/>
        </w:rPr>
        <w:t xml:space="preserve">, la contratación con entidades sin ánimo de lucro se sigue rigiendo por el Decreto 92 de 2017, salvo lo que fue objeto de suspensión provisional. Por lo tanto, las entidades públicas que desean celebrar </w:t>
      </w:r>
      <w:r w:rsidRPr="00CD3A06" w:rsidR="0068526D">
        <w:rPr>
          <w:rFonts w:ascii="Arial" w:hAnsi="Arial" w:cs="Arial"/>
          <w:i/>
          <w:iCs/>
          <w:sz w:val="22"/>
          <w:lang w:val="es-ES_tradnl"/>
        </w:rPr>
        <w:t>contratos de interés público</w:t>
      </w:r>
      <w:r w:rsidR="007E366C">
        <w:rPr>
          <w:rFonts w:ascii="Arial" w:hAnsi="Arial" w:cs="Arial"/>
          <w:sz w:val="22"/>
          <w:lang w:val="es-ES_tradnl"/>
        </w:rPr>
        <w:t xml:space="preserve"> o de </w:t>
      </w:r>
      <w:r w:rsidRPr="00CD3A06" w:rsidR="007E366C">
        <w:rPr>
          <w:rFonts w:ascii="Arial" w:hAnsi="Arial" w:cs="Arial"/>
          <w:i/>
          <w:iCs/>
          <w:sz w:val="22"/>
          <w:lang w:val="es-ES_tradnl"/>
        </w:rPr>
        <w:t>colaboraci</w:t>
      </w:r>
      <w:r w:rsidRPr="00CD3A06" w:rsidR="00245D58">
        <w:rPr>
          <w:rFonts w:ascii="Arial" w:hAnsi="Arial" w:cs="Arial"/>
          <w:i/>
          <w:iCs/>
          <w:sz w:val="22"/>
          <w:lang w:val="es-ES_tradnl"/>
        </w:rPr>
        <w:t>ón</w:t>
      </w:r>
      <w:r w:rsidRPr="00747A2A" w:rsidR="0068526D">
        <w:rPr>
          <w:rFonts w:ascii="Arial" w:hAnsi="Arial" w:cs="Arial"/>
          <w:sz w:val="22"/>
          <w:lang w:val="es-ES_tradnl"/>
        </w:rPr>
        <w:t xml:space="preserve">, en los términos del artículo 355 de la Constitución Política, deben contratar con ESAL de reconocida idoneidad, como ya se dijo, realizando un proceso competitivo, y teniendo en cuenta, se insiste, las siguientes características: i) no se debe condicionar el proceso de contratación a la inexistencia de oferta en el mercado de bienes y servicios; </w:t>
      </w:r>
      <w:proofErr w:type="spellStart"/>
      <w:r w:rsidRPr="00747A2A" w:rsidR="0068526D">
        <w:rPr>
          <w:rFonts w:ascii="Arial" w:hAnsi="Arial" w:cs="Arial"/>
          <w:sz w:val="22"/>
          <w:lang w:val="es-ES_tradnl"/>
        </w:rPr>
        <w:t>ii</w:t>
      </w:r>
      <w:proofErr w:type="spellEnd"/>
      <w:r w:rsidRPr="00747A2A" w:rsidR="0068526D">
        <w:rPr>
          <w:rFonts w:ascii="Arial" w:hAnsi="Arial" w:cs="Arial"/>
          <w:sz w:val="22"/>
          <w:lang w:val="es-ES_tradnl"/>
        </w:rPr>
        <w:t xml:space="preserve">) tampoco se debe condicionar a que la contratación con las ESAL garantice la optimización de los recursos públicos en términos de eficiencia, eficacia, economía y manejo del riesgo; </w:t>
      </w:r>
      <w:proofErr w:type="spellStart"/>
      <w:r w:rsidRPr="00747A2A" w:rsidR="0068526D">
        <w:rPr>
          <w:rFonts w:ascii="Arial" w:hAnsi="Arial" w:cs="Arial"/>
          <w:sz w:val="22"/>
          <w:lang w:val="es-ES_tradnl"/>
        </w:rPr>
        <w:t>iii</w:t>
      </w:r>
      <w:proofErr w:type="spellEnd"/>
      <w:r w:rsidRPr="00747A2A" w:rsidR="0068526D">
        <w:rPr>
          <w:rFonts w:ascii="Arial" w:hAnsi="Arial" w:cs="Arial"/>
          <w:sz w:val="22"/>
          <w:lang w:val="es-ES_tradnl"/>
        </w:rPr>
        <w:t xml:space="preserve">) el objeto del contrato debe estar acorde con el plan nacional o seccional de desarrollo; </w:t>
      </w:r>
      <w:proofErr w:type="spellStart"/>
      <w:r w:rsidRPr="00747A2A" w:rsidR="0068526D">
        <w:rPr>
          <w:rFonts w:ascii="Arial" w:hAnsi="Arial" w:cs="Arial"/>
          <w:sz w:val="22"/>
          <w:lang w:val="es-ES_tradnl"/>
        </w:rPr>
        <w:t>iv</w:t>
      </w:r>
      <w:proofErr w:type="spellEnd"/>
      <w:r w:rsidRPr="00747A2A" w:rsidR="0068526D">
        <w:rPr>
          <w:rFonts w:ascii="Arial" w:hAnsi="Arial" w:cs="Arial"/>
          <w:sz w:val="22"/>
          <w:lang w:val="es-ES_tradnl"/>
        </w:rPr>
        <w:t>)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 por lo que basta con cumplir el anterior numeral (</w:t>
      </w:r>
      <w:proofErr w:type="spellStart"/>
      <w:r w:rsidRPr="00747A2A" w:rsidR="0068526D">
        <w:rPr>
          <w:rFonts w:ascii="Arial" w:hAnsi="Arial" w:cs="Arial"/>
          <w:sz w:val="22"/>
          <w:lang w:val="es-ES_tradnl"/>
        </w:rPr>
        <w:t>iii</w:t>
      </w:r>
      <w:proofErr w:type="spellEnd"/>
      <w:r w:rsidRPr="00747A2A" w:rsidR="0068526D">
        <w:rPr>
          <w:rFonts w:ascii="Arial" w:hAnsi="Arial" w:cs="Arial"/>
          <w:sz w:val="22"/>
          <w:lang w:val="es-ES_tradnl"/>
        </w:rPr>
        <w:t>); y v) el contrato no establezca una relación conmutativa en el cual haya una contraprestación directa a favor de la entidad, ni instrucciones precisas dadas por esta al contratista para cumplir con el objeto del contrato.</w:t>
      </w:r>
    </w:p>
    <w:p w:rsidR="00FE6BF6" w:rsidP="0068526D" w:rsidRDefault="004F7DC4" w14:paraId="518BB8CA" w14:textId="3E374E67">
      <w:pPr>
        <w:spacing w:before="120" w:line="276" w:lineRule="auto"/>
        <w:ind w:firstLine="708"/>
        <w:jc w:val="both"/>
        <w:rPr>
          <w:rFonts w:ascii="Arial" w:hAnsi="Arial" w:eastAsia="Calibri" w:cs="Arial"/>
          <w:sz w:val="22"/>
          <w:lang w:val="es-ES_tradnl"/>
        </w:rPr>
      </w:pPr>
      <w:r>
        <w:rPr>
          <w:rFonts w:ascii="Arial" w:hAnsi="Arial" w:eastAsia="Calibri" w:cs="Arial"/>
          <w:sz w:val="22"/>
          <w:lang w:val="es-ES_tradnl"/>
        </w:rPr>
        <w:t xml:space="preserve">Por otro lado, </w:t>
      </w:r>
      <w:bookmarkStart w:name="_Hlk77927493" w:id="3"/>
      <w:r>
        <w:rPr>
          <w:rFonts w:ascii="Arial" w:hAnsi="Arial" w:eastAsia="Calibri" w:cs="Arial"/>
          <w:sz w:val="22"/>
          <w:lang w:val="es-ES_tradnl"/>
        </w:rPr>
        <w:t xml:space="preserve">si </w:t>
      </w:r>
      <w:r w:rsidRPr="00747A2A" w:rsidR="0068526D">
        <w:rPr>
          <w:rFonts w:ascii="Arial" w:hAnsi="Arial" w:eastAsia="Calibri" w:cs="Arial"/>
          <w:sz w:val="22"/>
          <w:lang w:val="es-ES_tradnl"/>
        </w:rPr>
        <w:t xml:space="preserve">se pretende </w:t>
      </w:r>
      <w:r>
        <w:rPr>
          <w:rFonts w:ascii="Arial" w:hAnsi="Arial" w:eastAsia="Calibri" w:cs="Arial"/>
          <w:sz w:val="22"/>
          <w:lang w:val="es-ES_tradnl"/>
        </w:rPr>
        <w:t>suscribir</w:t>
      </w:r>
      <w:r w:rsidRPr="00747A2A">
        <w:rPr>
          <w:rFonts w:ascii="Arial" w:hAnsi="Arial" w:eastAsia="Calibri" w:cs="Arial"/>
          <w:sz w:val="22"/>
          <w:lang w:val="es-ES_tradnl"/>
        </w:rPr>
        <w:t xml:space="preserve"> </w:t>
      </w:r>
      <w:r w:rsidRPr="00747A2A" w:rsidR="0068526D">
        <w:rPr>
          <w:rFonts w:ascii="Arial" w:hAnsi="Arial" w:eastAsia="Calibri" w:cs="Arial"/>
          <w:sz w:val="22"/>
          <w:lang w:val="es-ES_tradnl"/>
        </w:rPr>
        <w:t xml:space="preserve">un </w:t>
      </w:r>
      <w:r w:rsidRPr="00747A2A" w:rsidR="0068526D">
        <w:rPr>
          <w:rFonts w:ascii="Arial" w:hAnsi="Arial" w:eastAsia="Calibri" w:cs="Arial"/>
          <w:i/>
          <w:iCs/>
          <w:sz w:val="22"/>
          <w:lang w:val="es-ES_tradnl"/>
        </w:rPr>
        <w:t>convenio de asociación</w:t>
      </w:r>
      <w:r w:rsidRPr="00747A2A" w:rsidR="0068526D">
        <w:rPr>
          <w:rFonts w:ascii="Arial" w:hAnsi="Arial" w:eastAsia="Calibri" w:cs="Arial"/>
          <w:sz w:val="22"/>
          <w:lang w:val="es-ES_tradnl"/>
        </w:rPr>
        <w:t xml:space="preserve"> con</w:t>
      </w:r>
      <w:r>
        <w:rPr>
          <w:rFonts w:ascii="Arial" w:hAnsi="Arial" w:eastAsia="Calibri" w:cs="Arial"/>
          <w:sz w:val="22"/>
          <w:lang w:val="es-ES_tradnl"/>
        </w:rPr>
        <w:t xml:space="preserve"> una</w:t>
      </w:r>
      <w:r w:rsidRPr="00747A2A" w:rsidR="0068526D">
        <w:rPr>
          <w:rFonts w:ascii="Arial" w:hAnsi="Arial" w:eastAsia="Calibri" w:cs="Arial"/>
          <w:sz w:val="22"/>
          <w:lang w:val="es-ES_tradnl"/>
        </w:rPr>
        <w:t xml:space="preserve"> ESAL de reconocida idoneidad para el cumplimiento de las funciones que la ley les asigna a las entidades públicas, deben aplicar lo dispuesto en el artículo 5 del Decreto 92 de 2017. </w:t>
      </w:r>
      <w:r w:rsidR="00245D58">
        <w:rPr>
          <w:rFonts w:ascii="Arial" w:hAnsi="Arial" w:eastAsia="Calibri" w:cs="Arial"/>
          <w:sz w:val="22"/>
          <w:lang w:val="es-ES_tradnl"/>
        </w:rPr>
        <w:t>C</w:t>
      </w:r>
      <w:r w:rsidRPr="00747A2A" w:rsidR="0068526D">
        <w:rPr>
          <w:rFonts w:ascii="Arial" w:hAnsi="Arial" w:eastAsia="Calibri" w:cs="Arial"/>
          <w:sz w:val="22"/>
          <w:lang w:val="es-ES_tradnl"/>
        </w:rPr>
        <w:t xml:space="preserve">omo se </w:t>
      </w:r>
      <w:r>
        <w:rPr>
          <w:rFonts w:ascii="Arial" w:hAnsi="Arial" w:eastAsia="Calibri" w:cs="Arial"/>
          <w:sz w:val="22"/>
          <w:lang w:val="es-ES_tradnl"/>
        </w:rPr>
        <w:t xml:space="preserve">estableció </w:t>
      </w:r>
      <w:r w:rsidRPr="00CD3A06">
        <w:rPr>
          <w:rFonts w:ascii="Arial" w:hAnsi="Arial" w:eastAsia="Calibri" w:cs="Arial"/>
          <w:i/>
          <w:iCs/>
          <w:sz w:val="22"/>
          <w:lang w:val="es-ES_tradnl"/>
        </w:rPr>
        <w:t>supra</w:t>
      </w:r>
      <w:r w:rsidRPr="00747A2A" w:rsidR="0068526D">
        <w:rPr>
          <w:rFonts w:ascii="Arial" w:hAnsi="Arial" w:eastAsia="Calibri" w:cs="Arial"/>
          <w:sz w:val="22"/>
          <w:lang w:val="es-ES_tradnl"/>
        </w:rPr>
        <w:t xml:space="preserve">, </w:t>
      </w:r>
      <w:r>
        <w:rPr>
          <w:rFonts w:ascii="Arial" w:hAnsi="Arial" w:eastAsia="Calibri" w:cs="Arial"/>
          <w:sz w:val="22"/>
          <w:lang w:val="es-ES_tradnl"/>
        </w:rPr>
        <w:t xml:space="preserve">este artículo </w:t>
      </w:r>
      <w:r w:rsidRPr="00747A2A" w:rsidR="0068526D">
        <w:rPr>
          <w:rFonts w:ascii="Arial" w:hAnsi="Arial" w:eastAsia="Calibri" w:cs="Arial"/>
          <w:sz w:val="22"/>
          <w:lang w:val="es-ES_tradnl"/>
        </w:rPr>
        <w:t xml:space="preserve">establece que el proceso para la </w:t>
      </w:r>
      <w:r w:rsidR="001B115E">
        <w:rPr>
          <w:rFonts w:ascii="Arial" w:hAnsi="Arial" w:eastAsia="Calibri" w:cs="Arial"/>
          <w:sz w:val="22"/>
          <w:lang w:val="es-ES_tradnl"/>
        </w:rPr>
        <w:t>escogencia</w:t>
      </w:r>
      <w:r w:rsidRPr="00747A2A" w:rsidR="001B115E">
        <w:rPr>
          <w:rFonts w:ascii="Arial" w:hAnsi="Arial" w:eastAsia="Calibri" w:cs="Arial"/>
          <w:sz w:val="22"/>
          <w:lang w:val="es-ES_tradnl"/>
        </w:rPr>
        <w:t xml:space="preserve"> </w:t>
      </w:r>
      <w:r w:rsidRPr="00747A2A" w:rsidR="0068526D">
        <w:rPr>
          <w:rFonts w:ascii="Arial" w:hAnsi="Arial" w:eastAsia="Calibri" w:cs="Arial"/>
          <w:sz w:val="22"/>
          <w:lang w:val="es-ES_tradnl"/>
        </w:rPr>
        <w:t>de la ESAL, por regla general, debe estar sujeto a competencia</w:t>
      </w:r>
      <w:r w:rsidR="008F2EFF">
        <w:rPr>
          <w:rFonts w:ascii="Arial" w:hAnsi="Arial" w:eastAsia="Calibri" w:cs="Arial"/>
          <w:sz w:val="22"/>
          <w:lang w:val="es-ES_tradnl"/>
        </w:rPr>
        <w:t xml:space="preserve">. Esto </w:t>
      </w:r>
      <w:r w:rsidRPr="00747A2A" w:rsidR="0068526D">
        <w:rPr>
          <w:rFonts w:ascii="Arial" w:hAnsi="Arial" w:eastAsia="Calibri" w:cs="Arial"/>
          <w:sz w:val="22"/>
          <w:lang w:val="es-ES_tradnl"/>
        </w:rPr>
        <w:t>salvo en aquellos casos en</w:t>
      </w:r>
      <w:r w:rsidR="008F2EFF">
        <w:rPr>
          <w:rFonts w:ascii="Arial" w:hAnsi="Arial" w:eastAsia="Calibri" w:cs="Arial"/>
          <w:sz w:val="22"/>
          <w:lang w:val="es-ES_tradnl"/>
        </w:rPr>
        <w:t xml:space="preserve"> los</w:t>
      </w:r>
      <w:r w:rsidRPr="00747A2A" w:rsidR="0068526D">
        <w:rPr>
          <w:rFonts w:ascii="Arial" w:hAnsi="Arial" w:eastAsia="Calibri" w:cs="Arial"/>
          <w:sz w:val="22"/>
          <w:lang w:val="es-ES_tradnl"/>
        </w:rPr>
        <w:t xml:space="preserve"> que </w:t>
      </w:r>
      <w:r w:rsidR="008F2EFF">
        <w:rPr>
          <w:rFonts w:ascii="Arial" w:hAnsi="Arial" w:eastAsia="Calibri" w:cs="Arial"/>
          <w:sz w:val="22"/>
          <w:lang w:val="es-ES_tradnl"/>
        </w:rPr>
        <w:t>una ESAL</w:t>
      </w:r>
      <w:r w:rsidRPr="00747A2A" w:rsidR="0068526D">
        <w:rPr>
          <w:rFonts w:ascii="Arial" w:hAnsi="Arial" w:eastAsia="Calibri" w:cs="Arial"/>
          <w:sz w:val="22"/>
          <w:lang w:val="es-ES_tradnl"/>
        </w:rPr>
        <w:t xml:space="preserve"> </w:t>
      </w:r>
      <w:r>
        <w:rPr>
          <w:rFonts w:ascii="Arial" w:hAnsi="Arial" w:eastAsia="Calibri" w:cs="Arial"/>
          <w:sz w:val="22"/>
          <w:lang w:val="es-ES_tradnl"/>
        </w:rPr>
        <w:t xml:space="preserve">manifieste su </w:t>
      </w:r>
      <w:r w:rsidRPr="00747A2A" w:rsidR="0068526D">
        <w:rPr>
          <w:rFonts w:ascii="Arial" w:hAnsi="Arial" w:eastAsia="Calibri" w:cs="Arial"/>
          <w:sz w:val="22"/>
          <w:lang w:val="es-ES_tradnl"/>
        </w:rPr>
        <w:t>comprom</w:t>
      </w:r>
      <w:r>
        <w:rPr>
          <w:rFonts w:ascii="Arial" w:hAnsi="Arial" w:eastAsia="Calibri" w:cs="Arial"/>
          <w:sz w:val="22"/>
          <w:lang w:val="es-ES_tradnl"/>
        </w:rPr>
        <w:t>iso de aportar</w:t>
      </w:r>
      <w:r w:rsidRPr="00747A2A" w:rsidR="0068526D">
        <w:rPr>
          <w:rFonts w:ascii="Arial" w:hAnsi="Arial" w:eastAsia="Calibri" w:cs="Arial"/>
          <w:sz w:val="22"/>
          <w:lang w:val="es-ES_tradnl"/>
        </w:rPr>
        <w:t xml:space="preserve"> recursos en dinero por un valor igual o superior al 30% del valor total del convenio, siempre </w:t>
      </w:r>
      <w:r>
        <w:rPr>
          <w:rFonts w:ascii="Arial" w:hAnsi="Arial" w:eastAsia="Calibri" w:cs="Arial"/>
          <w:sz w:val="22"/>
          <w:lang w:val="es-ES_tradnl"/>
        </w:rPr>
        <w:t>y cuando</w:t>
      </w:r>
      <w:r w:rsidRPr="00747A2A" w:rsidR="0068526D">
        <w:rPr>
          <w:rFonts w:ascii="Arial" w:hAnsi="Arial" w:eastAsia="Calibri" w:cs="Arial"/>
          <w:sz w:val="22"/>
          <w:lang w:val="es-ES_tradnl"/>
        </w:rPr>
        <w:t xml:space="preserve"> no exist</w:t>
      </w:r>
      <w:r w:rsidR="006658A1">
        <w:rPr>
          <w:rFonts w:ascii="Arial" w:hAnsi="Arial" w:eastAsia="Calibri" w:cs="Arial"/>
          <w:sz w:val="22"/>
          <w:lang w:val="es-ES_tradnl"/>
        </w:rPr>
        <w:t>an otra</w:t>
      </w:r>
      <w:r>
        <w:rPr>
          <w:rFonts w:ascii="Arial" w:hAnsi="Arial" w:eastAsia="Calibri" w:cs="Arial"/>
          <w:sz w:val="22"/>
          <w:lang w:val="es-ES_tradnl"/>
        </w:rPr>
        <w:t>s</w:t>
      </w:r>
      <w:r w:rsidR="006658A1">
        <w:rPr>
          <w:rFonts w:ascii="Arial" w:hAnsi="Arial" w:eastAsia="Calibri" w:cs="Arial"/>
          <w:sz w:val="22"/>
          <w:lang w:val="es-ES_tradnl"/>
        </w:rPr>
        <w:t xml:space="preserve"> ESAL</w:t>
      </w:r>
      <w:r>
        <w:rPr>
          <w:rFonts w:ascii="Arial" w:hAnsi="Arial" w:eastAsia="Calibri" w:cs="Arial"/>
          <w:sz w:val="22"/>
          <w:lang w:val="es-ES_tradnl"/>
        </w:rPr>
        <w:t>ES</w:t>
      </w:r>
      <w:r w:rsidRPr="00747A2A" w:rsidR="0068526D">
        <w:rPr>
          <w:rFonts w:ascii="Arial" w:hAnsi="Arial" w:eastAsia="Calibri" w:cs="Arial"/>
          <w:sz w:val="22"/>
          <w:lang w:val="es-ES_tradnl"/>
        </w:rPr>
        <w:t xml:space="preserve"> que ofrezca aportes </w:t>
      </w:r>
      <w:r w:rsidR="006658A1">
        <w:rPr>
          <w:rFonts w:ascii="Arial" w:hAnsi="Arial" w:eastAsia="Calibri" w:cs="Arial"/>
          <w:sz w:val="22"/>
          <w:lang w:val="es-ES_tradnl"/>
        </w:rPr>
        <w:t xml:space="preserve">en monto igual o superior a dicho </w:t>
      </w:r>
      <w:r>
        <w:rPr>
          <w:rFonts w:ascii="Arial" w:hAnsi="Arial" w:eastAsia="Calibri" w:cs="Arial"/>
          <w:sz w:val="22"/>
          <w:lang w:val="es-ES_tradnl"/>
        </w:rPr>
        <w:t>porcentaje</w:t>
      </w:r>
      <w:bookmarkEnd w:id="3"/>
      <w:r w:rsidR="00202FA1">
        <w:rPr>
          <w:rFonts w:ascii="Arial" w:hAnsi="Arial" w:eastAsia="Calibri" w:cs="Arial"/>
          <w:sz w:val="22"/>
          <w:lang w:val="es-ES_tradnl"/>
        </w:rPr>
        <w:t>.</w:t>
      </w:r>
      <w:r w:rsidRPr="00747A2A" w:rsidR="0068526D">
        <w:rPr>
          <w:rFonts w:ascii="Arial" w:hAnsi="Arial" w:eastAsia="Calibri" w:cs="Arial"/>
          <w:sz w:val="22"/>
          <w:lang w:val="es-ES_tradnl"/>
        </w:rPr>
        <w:t xml:space="preserve"> </w:t>
      </w:r>
    </w:p>
    <w:p w:rsidRPr="00747A2A" w:rsidR="004F7DC4" w:rsidP="00CD3A06" w:rsidRDefault="004F7DC4" w14:paraId="7A12AFA9" w14:textId="77777777">
      <w:pPr>
        <w:spacing w:line="276" w:lineRule="auto"/>
        <w:ind w:firstLine="708"/>
        <w:jc w:val="both"/>
        <w:rPr>
          <w:rFonts w:ascii="Arial" w:hAnsi="Arial" w:eastAsia="Calibri" w:cs="Arial"/>
          <w:sz w:val="22"/>
          <w:lang w:val="es-ES_tradnl"/>
        </w:rPr>
      </w:pPr>
    </w:p>
    <w:p w:rsidRPr="00F306DD" w:rsidR="00F306DD" w:rsidP="00F306DD" w:rsidRDefault="00F306DD" w14:paraId="10464FBF" w14:textId="77777777">
      <w:pPr>
        <w:tabs>
          <w:tab w:val="left" w:pos="0"/>
        </w:tabs>
        <w:jc w:val="both"/>
        <w:rPr>
          <w:rFonts w:ascii="Arial" w:hAnsi="Arial" w:eastAsia="Calibri" w:cs="Arial"/>
          <w:b/>
          <w:sz w:val="22"/>
          <w:szCs w:val="24"/>
          <w:lang w:val="es-ES_tradnl" w:eastAsia="es-ES_tradnl"/>
        </w:rPr>
      </w:pPr>
      <w:r w:rsidRPr="00F306DD">
        <w:rPr>
          <w:rFonts w:ascii="Arial" w:hAnsi="Arial" w:eastAsia="Calibri" w:cs="Arial"/>
          <w:b/>
          <w:sz w:val="22"/>
          <w:szCs w:val="24"/>
          <w:lang w:val="es-ES_tradnl" w:eastAsia="es-ES_tradnl"/>
        </w:rPr>
        <w:t>3. Respuestas</w:t>
      </w:r>
    </w:p>
    <w:p w:rsidRPr="00747A2A" w:rsidR="0068526D" w:rsidP="00FE6BF6" w:rsidRDefault="0068526D" w14:paraId="31482DD4" w14:textId="77777777">
      <w:pPr>
        <w:ind w:right="709"/>
        <w:jc w:val="both"/>
        <w:rPr>
          <w:rFonts w:ascii="Arial" w:hAnsi="Arial" w:cs="Arial"/>
          <w:sz w:val="21"/>
          <w:szCs w:val="21"/>
          <w:lang w:val="es-ES_tradnl"/>
        </w:rPr>
      </w:pPr>
    </w:p>
    <w:p w:rsidRPr="005B6656" w:rsidR="00752565" w:rsidP="00FE6BF6" w:rsidRDefault="00752565" w14:paraId="2843C41B" w14:textId="07F60FFD">
      <w:pPr>
        <w:tabs>
          <w:tab w:val="left" w:pos="426"/>
        </w:tabs>
        <w:ind w:left="709" w:right="758"/>
        <w:jc w:val="both"/>
        <w:rPr>
          <w:rFonts w:ascii="Arial" w:hAnsi="Arial" w:eastAsia="Calibri" w:cs="Arial"/>
          <w:sz w:val="21"/>
          <w:szCs w:val="21"/>
        </w:rPr>
      </w:pPr>
      <w:bookmarkStart w:name="_Hlk75525520" w:id="4"/>
      <w:r w:rsidRPr="005B6656">
        <w:rPr>
          <w:rFonts w:ascii="Arial" w:hAnsi="Arial" w:eastAsia="Calibri" w:cs="Arial"/>
          <w:sz w:val="21"/>
          <w:szCs w:val="21"/>
        </w:rPr>
        <w:t xml:space="preserve"> «</w:t>
      </w:r>
      <w:r w:rsidR="00285D27">
        <w:rPr>
          <w:rFonts w:ascii="Arial" w:hAnsi="Arial" w:eastAsia="Calibri" w:cs="Arial"/>
          <w:sz w:val="21"/>
          <w:szCs w:val="21"/>
        </w:rPr>
        <w:t xml:space="preserve">i. </w:t>
      </w:r>
      <w:r w:rsidRPr="005B6656">
        <w:rPr>
          <w:rFonts w:ascii="Arial" w:hAnsi="Arial" w:eastAsia="Calibri" w:cs="Arial"/>
          <w:sz w:val="21"/>
          <w:szCs w:val="21"/>
        </w:rPr>
        <w:t>Quisiera conocer la postura de Colombia compra eficiente sobre los convenios de asociación, en virtud de la suspensión del decreto 092 de 2017 y cuáles son los lineamientos dados para su aplicación[?]».</w:t>
      </w:r>
    </w:p>
    <w:p w:rsidR="00FE5938" w:rsidP="00FE6BF6" w:rsidRDefault="00FE5938" w14:paraId="4F0BA98C" w14:textId="539DDC19">
      <w:pPr>
        <w:tabs>
          <w:tab w:val="left" w:pos="426"/>
        </w:tabs>
        <w:ind w:left="709" w:right="758"/>
        <w:jc w:val="both"/>
        <w:rPr>
          <w:rFonts w:ascii="Arial" w:hAnsi="Arial" w:eastAsia="Calibri" w:cs="Arial"/>
          <w:sz w:val="21"/>
          <w:szCs w:val="21"/>
        </w:rPr>
      </w:pPr>
    </w:p>
    <w:p w:rsidR="00947072" w:rsidP="00C37ED3" w:rsidRDefault="00947072" w14:paraId="61210EF0" w14:textId="5AAE09BA">
      <w:pPr>
        <w:spacing w:after="120" w:line="276" w:lineRule="auto"/>
        <w:jc w:val="both"/>
        <w:rPr>
          <w:rFonts w:ascii="Arial" w:hAnsi="Arial" w:eastAsia="Calibri" w:cs="Arial"/>
          <w:sz w:val="22"/>
        </w:rPr>
      </w:pPr>
      <w:bookmarkStart w:name="_Hlk57706260" w:id="5"/>
      <w:r w:rsidRPr="00CB7DC2">
        <w:rPr>
          <w:rFonts w:ascii="Arial" w:hAnsi="Arial" w:eastAsia="Calibri" w:cs="Arial"/>
          <w:sz w:val="22"/>
        </w:rPr>
        <w:t xml:space="preserve">De conformidad con la decisión tomada por el Consejo de Estado en el Auto del 6 de agosto de 2019 de la Sección Tercera, Subsección A, dentro del proceso con radicado No. 11001-03-26-000-2018-00113-00 (62.003), </w:t>
      </w:r>
      <w:r w:rsidR="00A13856">
        <w:rPr>
          <w:rFonts w:ascii="Arial" w:hAnsi="Arial" w:eastAsia="Calibri" w:cs="Arial"/>
          <w:sz w:val="22"/>
        </w:rPr>
        <w:t xml:space="preserve">algunos apartados del Decreto 92 de 2017 se encuentran afectados por la medida </w:t>
      </w:r>
      <w:r w:rsidR="00170D7D">
        <w:rPr>
          <w:rFonts w:ascii="Arial" w:hAnsi="Arial" w:eastAsia="Calibri" w:cs="Arial"/>
          <w:sz w:val="22"/>
        </w:rPr>
        <w:t xml:space="preserve">cautelar </w:t>
      </w:r>
      <w:r w:rsidR="00A13856">
        <w:rPr>
          <w:rFonts w:ascii="Arial" w:hAnsi="Arial" w:eastAsia="Calibri" w:cs="Arial"/>
          <w:sz w:val="22"/>
        </w:rPr>
        <w:t xml:space="preserve">de suspensión provisional. Este es el caso del </w:t>
      </w:r>
      <w:r w:rsidR="00A13856">
        <w:rPr>
          <w:rFonts w:ascii="Arial" w:hAnsi="Arial" w:eastAsia="Calibri" w:cs="Arial"/>
          <w:sz w:val="22"/>
        </w:rPr>
        <w:lastRenderedPageBreak/>
        <w:t>i</w:t>
      </w:r>
      <w:r w:rsidR="007A2355">
        <w:rPr>
          <w:rFonts w:ascii="Arial" w:hAnsi="Arial" w:eastAsia="Calibri" w:cs="Arial"/>
          <w:sz w:val="22"/>
        </w:rPr>
        <w:t xml:space="preserve">nciso segundo del artículo primero, </w:t>
      </w:r>
      <w:r w:rsidR="00AD6B2A">
        <w:rPr>
          <w:rFonts w:ascii="Arial" w:hAnsi="Arial" w:eastAsia="Calibri" w:cs="Arial"/>
          <w:sz w:val="22"/>
        </w:rPr>
        <w:t xml:space="preserve">los literales a), c) e inciso quinto del artículo 2, </w:t>
      </w:r>
      <w:r w:rsidR="004D7539">
        <w:rPr>
          <w:rFonts w:ascii="Arial" w:hAnsi="Arial" w:eastAsia="Calibri" w:cs="Arial"/>
          <w:sz w:val="22"/>
        </w:rPr>
        <w:t>el inciso segundo del artículo 3</w:t>
      </w:r>
      <w:r w:rsidR="004E045D">
        <w:rPr>
          <w:rFonts w:ascii="Arial" w:hAnsi="Arial" w:eastAsia="Calibri" w:cs="Arial"/>
          <w:sz w:val="22"/>
        </w:rPr>
        <w:t xml:space="preserve"> y</w:t>
      </w:r>
      <w:r w:rsidR="004D7539">
        <w:rPr>
          <w:rFonts w:ascii="Arial" w:hAnsi="Arial" w:eastAsia="Calibri" w:cs="Arial"/>
          <w:sz w:val="22"/>
        </w:rPr>
        <w:t xml:space="preserve"> </w:t>
      </w:r>
      <w:r w:rsidR="00D96277">
        <w:rPr>
          <w:rFonts w:ascii="Arial" w:hAnsi="Arial" w:eastAsia="Calibri" w:cs="Arial"/>
          <w:sz w:val="22"/>
        </w:rPr>
        <w:t>el inciso final del artículo 4</w:t>
      </w:r>
      <w:r w:rsidR="004E045D">
        <w:rPr>
          <w:rFonts w:ascii="Arial" w:hAnsi="Arial" w:eastAsia="Calibri" w:cs="Arial"/>
          <w:sz w:val="22"/>
        </w:rPr>
        <w:t>.</w:t>
      </w:r>
      <w:r w:rsidR="00D96277">
        <w:rPr>
          <w:rFonts w:ascii="Arial" w:hAnsi="Arial" w:eastAsia="Calibri" w:cs="Arial"/>
          <w:sz w:val="22"/>
        </w:rPr>
        <w:t xml:space="preserve"> </w:t>
      </w:r>
    </w:p>
    <w:p w:rsidR="00245D58" w:rsidP="00245D58" w:rsidRDefault="00C37ED3" w14:paraId="59847F94" w14:textId="7ED30CA8">
      <w:pPr>
        <w:spacing w:before="120" w:line="276" w:lineRule="auto"/>
        <w:ind w:firstLine="708"/>
        <w:jc w:val="both"/>
        <w:rPr>
          <w:rFonts w:ascii="Arial" w:hAnsi="Arial" w:eastAsia="Calibri" w:cs="Arial"/>
          <w:sz w:val="22"/>
          <w:lang w:val="es-ES_tradnl"/>
        </w:rPr>
      </w:pPr>
      <w:r>
        <w:rPr>
          <w:rFonts w:ascii="Arial" w:hAnsi="Arial" w:eastAsia="Calibri" w:cs="Arial"/>
          <w:sz w:val="22"/>
        </w:rPr>
        <w:t xml:space="preserve">Estudiados los efectos de la suspensión provisional de las normas señaladas, esta Subdirección considera que los mismos no impiden la celebración de </w:t>
      </w:r>
      <w:r w:rsidRPr="00CD3A06">
        <w:rPr>
          <w:rFonts w:ascii="Arial" w:hAnsi="Arial" w:eastAsia="Calibri" w:cs="Arial"/>
          <w:i/>
          <w:iCs/>
          <w:sz w:val="22"/>
        </w:rPr>
        <w:t>convenios de asociación</w:t>
      </w:r>
      <w:r w:rsidR="00917890">
        <w:rPr>
          <w:rFonts w:ascii="Arial" w:hAnsi="Arial" w:eastAsia="Calibri" w:cs="Arial"/>
          <w:sz w:val="22"/>
        </w:rPr>
        <w:t xml:space="preserve"> de conformidad con el artículo 5 del Decreto 92 de 2017, máxime considerando que este artículo no se encuentra afectado por la medida de </w:t>
      </w:r>
      <w:r w:rsidR="00D31748">
        <w:rPr>
          <w:rFonts w:ascii="Arial" w:hAnsi="Arial" w:eastAsia="Calibri" w:cs="Arial"/>
          <w:sz w:val="22"/>
        </w:rPr>
        <w:t xml:space="preserve">suspensión provisional, la cual afecta mayormente </w:t>
      </w:r>
      <w:r w:rsidR="00170D7D">
        <w:rPr>
          <w:rFonts w:ascii="Arial" w:hAnsi="Arial" w:eastAsia="Calibri" w:cs="Arial"/>
          <w:sz w:val="22"/>
        </w:rPr>
        <w:t>normas</w:t>
      </w:r>
      <w:r w:rsidR="00D31748">
        <w:rPr>
          <w:rFonts w:ascii="Arial" w:hAnsi="Arial" w:eastAsia="Calibri" w:cs="Arial"/>
          <w:sz w:val="22"/>
        </w:rPr>
        <w:t xml:space="preserve"> relacionad</w:t>
      </w:r>
      <w:r w:rsidR="00170D7D">
        <w:rPr>
          <w:rFonts w:ascii="Arial" w:hAnsi="Arial" w:eastAsia="Calibri" w:cs="Arial"/>
          <w:sz w:val="22"/>
        </w:rPr>
        <w:t>a</w:t>
      </w:r>
      <w:r w:rsidR="00D31748">
        <w:rPr>
          <w:rFonts w:ascii="Arial" w:hAnsi="Arial" w:eastAsia="Calibri" w:cs="Arial"/>
          <w:sz w:val="22"/>
        </w:rPr>
        <w:t xml:space="preserve">s con la celebración de </w:t>
      </w:r>
      <w:r w:rsidRPr="00CD3A06" w:rsidR="00D31748">
        <w:rPr>
          <w:rFonts w:ascii="Arial" w:hAnsi="Arial" w:eastAsia="Calibri" w:cs="Arial"/>
          <w:i/>
          <w:iCs/>
          <w:sz w:val="22"/>
        </w:rPr>
        <w:t>contratos de colaboración</w:t>
      </w:r>
      <w:r w:rsidR="00D31748">
        <w:rPr>
          <w:rFonts w:ascii="Arial" w:hAnsi="Arial" w:eastAsia="Calibri" w:cs="Arial"/>
          <w:sz w:val="22"/>
        </w:rPr>
        <w:t xml:space="preserve">. </w:t>
      </w:r>
      <w:r w:rsidR="00245D58">
        <w:rPr>
          <w:rFonts w:ascii="Arial" w:hAnsi="Arial" w:eastAsia="Calibri" w:cs="Arial"/>
          <w:sz w:val="22"/>
        </w:rPr>
        <w:t xml:space="preserve">Conforme a dicho artículo, </w:t>
      </w:r>
      <w:r w:rsidRPr="00747A2A" w:rsidR="00245D58">
        <w:rPr>
          <w:rFonts w:ascii="Arial" w:hAnsi="Arial" w:eastAsia="Calibri" w:cs="Arial"/>
          <w:sz w:val="22"/>
          <w:lang w:val="es-ES_tradnl"/>
        </w:rPr>
        <w:t xml:space="preserve">si se pretende </w:t>
      </w:r>
      <w:r w:rsidR="00245D58">
        <w:rPr>
          <w:rFonts w:ascii="Arial" w:hAnsi="Arial" w:eastAsia="Calibri" w:cs="Arial"/>
          <w:sz w:val="22"/>
          <w:lang w:val="es-ES_tradnl"/>
        </w:rPr>
        <w:t>celebrar</w:t>
      </w:r>
      <w:r w:rsidRPr="00747A2A" w:rsidR="00245D58">
        <w:rPr>
          <w:rFonts w:ascii="Arial" w:hAnsi="Arial" w:eastAsia="Calibri" w:cs="Arial"/>
          <w:sz w:val="22"/>
          <w:lang w:val="es-ES_tradnl"/>
        </w:rPr>
        <w:t xml:space="preserve"> un </w:t>
      </w:r>
      <w:r w:rsidRPr="00747A2A" w:rsidR="00245D58">
        <w:rPr>
          <w:rFonts w:ascii="Arial" w:hAnsi="Arial" w:eastAsia="Calibri" w:cs="Arial"/>
          <w:i/>
          <w:iCs/>
          <w:sz w:val="22"/>
          <w:lang w:val="es-ES_tradnl"/>
        </w:rPr>
        <w:t>convenio de asociación</w:t>
      </w:r>
      <w:r w:rsidRPr="00747A2A" w:rsidR="00245D58">
        <w:rPr>
          <w:rFonts w:ascii="Arial" w:hAnsi="Arial" w:eastAsia="Calibri" w:cs="Arial"/>
          <w:sz w:val="22"/>
          <w:lang w:val="es-ES_tradnl"/>
        </w:rPr>
        <w:t xml:space="preserve"> con</w:t>
      </w:r>
      <w:r w:rsidR="00245D58">
        <w:rPr>
          <w:rFonts w:ascii="Arial" w:hAnsi="Arial" w:eastAsia="Calibri" w:cs="Arial"/>
          <w:sz w:val="22"/>
          <w:lang w:val="es-ES_tradnl"/>
        </w:rPr>
        <w:t xml:space="preserve"> una</w:t>
      </w:r>
      <w:r w:rsidRPr="00747A2A" w:rsidR="00245D58">
        <w:rPr>
          <w:rFonts w:ascii="Arial" w:hAnsi="Arial" w:eastAsia="Calibri" w:cs="Arial"/>
          <w:sz w:val="22"/>
          <w:lang w:val="es-ES_tradnl"/>
        </w:rPr>
        <w:t xml:space="preserve"> ESAL de reconocida idoneidad para el cumplimiento de las funciones que la ley les asigna a las entidades públicas, </w:t>
      </w:r>
      <w:r w:rsidR="00CD6D62">
        <w:rPr>
          <w:rFonts w:ascii="Arial" w:hAnsi="Arial" w:eastAsia="Calibri" w:cs="Arial"/>
          <w:sz w:val="22"/>
          <w:lang w:val="es-ES_tradnl"/>
        </w:rPr>
        <w:t>por regla general, debe adelantar un</w:t>
      </w:r>
      <w:r w:rsidRPr="00747A2A" w:rsidR="00245D58">
        <w:rPr>
          <w:rFonts w:ascii="Arial" w:hAnsi="Arial" w:eastAsia="Calibri" w:cs="Arial"/>
          <w:sz w:val="22"/>
          <w:lang w:val="es-ES_tradnl"/>
        </w:rPr>
        <w:t xml:space="preserve"> proceso</w:t>
      </w:r>
      <w:r w:rsidR="00CD6D62">
        <w:rPr>
          <w:rFonts w:ascii="Arial" w:hAnsi="Arial" w:eastAsia="Calibri" w:cs="Arial"/>
          <w:sz w:val="22"/>
          <w:lang w:val="es-ES_tradnl"/>
        </w:rPr>
        <w:t xml:space="preserve"> competitivo</w:t>
      </w:r>
      <w:r w:rsidRPr="00747A2A" w:rsidR="00245D58">
        <w:rPr>
          <w:rFonts w:ascii="Arial" w:hAnsi="Arial" w:eastAsia="Calibri" w:cs="Arial"/>
          <w:sz w:val="22"/>
          <w:lang w:val="es-ES_tradnl"/>
        </w:rPr>
        <w:t xml:space="preserve"> para la </w:t>
      </w:r>
      <w:r w:rsidR="00245D58">
        <w:rPr>
          <w:rFonts w:ascii="Arial" w:hAnsi="Arial" w:eastAsia="Calibri" w:cs="Arial"/>
          <w:sz w:val="22"/>
          <w:lang w:val="es-ES_tradnl"/>
        </w:rPr>
        <w:t>escogencia</w:t>
      </w:r>
      <w:r w:rsidRPr="00747A2A" w:rsidR="00245D58">
        <w:rPr>
          <w:rFonts w:ascii="Arial" w:hAnsi="Arial" w:eastAsia="Calibri" w:cs="Arial"/>
          <w:sz w:val="22"/>
          <w:lang w:val="es-ES_tradnl"/>
        </w:rPr>
        <w:t xml:space="preserve"> de la ESAL</w:t>
      </w:r>
      <w:r w:rsidR="00CD6D62">
        <w:rPr>
          <w:rFonts w:ascii="Arial" w:hAnsi="Arial" w:eastAsia="Calibri" w:cs="Arial"/>
          <w:sz w:val="22"/>
          <w:lang w:val="es-ES_tradnl"/>
        </w:rPr>
        <w:t xml:space="preserve">. </w:t>
      </w:r>
      <w:r w:rsidR="00245D58">
        <w:rPr>
          <w:rFonts w:ascii="Arial" w:hAnsi="Arial" w:eastAsia="Calibri" w:cs="Arial"/>
          <w:sz w:val="22"/>
          <w:lang w:val="es-ES_tradnl"/>
        </w:rPr>
        <w:t xml:space="preserve">Esto </w:t>
      </w:r>
      <w:r w:rsidRPr="00747A2A" w:rsidR="00245D58">
        <w:rPr>
          <w:rFonts w:ascii="Arial" w:hAnsi="Arial" w:eastAsia="Calibri" w:cs="Arial"/>
          <w:sz w:val="22"/>
          <w:lang w:val="es-ES_tradnl"/>
        </w:rPr>
        <w:t>salvo en aquellos casos en</w:t>
      </w:r>
      <w:r w:rsidR="00245D58">
        <w:rPr>
          <w:rFonts w:ascii="Arial" w:hAnsi="Arial" w:eastAsia="Calibri" w:cs="Arial"/>
          <w:sz w:val="22"/>
          <w:lang w:val="es-ES_tradnl"/>
        </w:rPr>
        <w:t xml:space="preserve"> los</w:t>
      </w:r>
      <w:r w:rsidRPr="00747A2A" w:rsidR="00245D58">
        <w:rPr>
          <w:rFonts w:ascii="Arial" w:hAnsi="Arial" w:eastAsia="Calibri" w:cs="Arial"/>
          <w:sz w:val="22"/>
          <w:lang w:val="es-ES_tradnl"/>
        </w:rPr>
        <w:t xml:space="preserve"> que </w:t>
      </w:r>
      <w:r w:rsidR="00245D58">
        <w:rPr>
          <w:rFonts w:ascii="Arial" w:hAnsi="Arial" w:eastAsia="Calibri" w:cs="Arial"/>
          <w:sz w:val="22"/>
          <w:lang w:val="es-ES_tradnl"/>
        </w:rPr>
        <w:t>una ESAL</w:t>
      </w:r>
      <w:r w:rsidRPr="00747A2A" w:rsidR="00245D58">
        <w:rPr>
          <w:rFonts w:ascii="Arial" w:hAnsi="Arial" w:eastAsia="Calibri" w:cs="Arial"/>
          <w:sz w:val="22"/>
          <w:lang w:val="es-ES_tradnl"/>
        </w:rPr>
        <w:t xml:space="preserve"> comprometa recursos en dinero por un valor igual o superior al 30% del valor total del convenio, siempre que no exist</w:t>
      </w:r>
      <w:r w:rsidR="00245D58">
        <w:rPr>
          <w:rFonts w:ascii="Arial" w:hAnsi="Arial" w:eastAsia="Calibri" w:cs="Arial"/>
          <w:sz w:val="22"/>
          <w:lang w:val="es-ES_tradnl"/>
        </w:rPr>
        <w:t>a otra ESAL</w:t>
      </w:r>
      <w:r w:rsidRPr="00747A2A" w:rsidR="00245D58">
        <w:rPr>
          <w:rFonts w:ascii="Arial" w:hAnsi="Arial" w:eastAsia="Calibri" w:cs="Arial"/>
          <w:sz w:val="22"/>
          <w:lang w:val="es-ES_tradnl"/>
        </w:rPr>
        <w:t xml:space="preserve"> que ofrezca aportes </w:t>
      </w:r>
      <w:r w:rsidR="00245D58">
        <w:rPr>
          <w:rFonts w:ascii="Arial" w:hAnsi="Arial" w:eastAsia="Calibri" w:cs="Arial"/>
          <w:sz w:val="22"/>
          <w:lang w:val="es-ES_tradnl"/>
        </w:rPr>
        <w:t>en monto igual o superior a dicho porcentaje.</w:t>
      </w:r>
      <w:r w:rsidRPr="00747A2A" w:rsidR="00245D58">
        <w:rPr>
          <w:rFonts w:ascii="Arial" w:hAnsi="Arial" w:eastAsia="Calibri" w:cs="Arial"/>
          <w:sz w:val="22"/>
          <w:lang w:val="es-ES_tradnl"/>
        </w:rPr>
        <w:t xml:space="preserve"> </w:t>
      </w:r>
    </w:p>
    <w:p w:rsidR="00C37ED3" w:rsidP="00CD3A06" w:rsidRDefault="00C37ED3" w14:paraId="0F47F030" w14:textId="74FBCBF1">
      <w:pPr>
        <w:spacing w:after="120" w:line="276" w:lineRule="auto"/>
        <w:jc w:val="both"/>
        <w:rPr>
          <w:rFonts w:ascii="Arial" w:hAnsi="Arial" w:eastAsia="Calibri" w:cs="Arial"/>
          <w:sz w:val="22"/>
        </w:rPr>
      </w:pPr>
    </w:p>
    <w:p w:rsidR="00CE123F" w:rsidP="00CE123F" w:rsidRDefault="00CE123F" w14:paraId="3A6912AE" w14:textId="30D8300B">
      <w:pPr>
        <w:tabs>
          <w:tab w:val="left" w:pos="426"/>
        </w:tabs>
        <w:ind w:left="709" w:right="758"/>
        <w:jc w:val="both"/>
        <w:rPr>
          <w:rFonts w:ascii="Arial" w:hAnsi="Arial" w:eastAsia="Calibri" w:cs="Arial"/>
          <w:sz w:val="21"/>
          <w:szCs w:val="21"/>
        </w:rPr>
      </w:pPr>
      <w:r w:rsidRPr="005B6656">
        <w:rPr>
          <w:rFonts w:ascii="Arial" w:hAnsi="Arial" w:eastAsia="Calibri" w:cs="Arial"/>
          <w:sz w:val="21"/>
          <w:szCs w:val="21"/>
        </w:rPr>
        <w:t>«</w:t>
      </w:r>
      <w:proofErr w:type="spellStart"/>
      <w:r>
        <w:rPr>
          <w:rFonts w:ascii="Arial" w:hAnsi="Arial" w:eastAsia="Calibri" w:cs="Arial"/>
          <w:sz w:val="21"/>
          <w:szCs w:val="21"/>
        </w:rPr>
        <w:t>ii</w:t>
      </w:r>
      <w:proofErr w:type="spellEnd"/>
      <w:r>
        <w:rPr>
          <w:rFonts w:ascii="Arial" w:hAnsi="Arial" w:eastAsia="Calibri" w:cs="Arial"/>
          <w:sz w:val="21"/>
          <w:szCs w:val="21"/>
        </w:rPr>
        <w:t xml:space="preserve">. </w:t>
      </w:r>
      <w:r w:rsidRPr="005B6656">
        <w:rPr>
          <w:rFonts w:ascii="Arial" w:hAnsi="Arial" w:eastAsia="Calibri" w:cs="Arial"/>
          <w:sz w:val="21"/>
          <w:szCs w:val="21"/>
        </w:rPr>
        <w:t>[¿] Cuál es el procedimiento aplicable a la fecha en virtud de la suspensión para adelantar el proceso?</w:t>
      </w:r>
    </w:p>
    <w:p w:rsidR="00CE123F" w:rsidP="00CE123F" w:rsidRDefault="00CE123F" w14:paraId="57CE12DB" w14:textId="77777777">
      <w:pPr>
        <w:tabs>
          <w:tab w:val="left" w:pos="426"/>
        </w:tabs>
        <w:ind w:left="709" w:right="758"/>
        <w:jc w:val="both"/>
        <w:rPr>
          <w:rFonts w:ascii="Arial" w:hAnsi="Arial" w:eastAsia="Calibri" w:cs="Arial"/>
          <w:sz w:val="21"/>
          <w:szCs w:val="21"/>
        </w:rPr>
      </w:pPr>
    </w:p>
    <w:p w:rsidR="00CE123F" w:rsidP="00CE123F" w:rsidRDefault="00CE123F" w14:paraId="5C56387C" w14:textId="47C47BCC">
      <w:pPr>
        <w:tabs>
          <w:tab w:val="left" w:pos="426"/>
        </w:tabs>
        <w:ind w:left="709" w:right="758"/>
        <w:jc w:val="both"/>
        <w:rPr>
          <w:rFonts w:ascii="Arial" w:hAnsi="Arial" w:eastAsia="Calibri" w:cs="Arial"/>
          <w:sz w:val="21"/>
          <w:szCs w:val="21"/>
        </w:rPr>
      </w:pPr>
      <w:r>
        <w:rPr>
          <w:rFonts w:ascii="Arial" w:hAnsi="Arial" w:eastAsia="Calibri" w:cs="Arial"/>
          <w:sz w:val="21"/>
          <w:szCs w:val="21"/>
        </w:rPr>
        <w:t>[…]</w:t>
      </w:r>
    </w:p>
    <w:p w:rsidR="00CE123F" w:rsidP="00CE123F" w:rsidRDefault="00CE123F" w14:paraId="5C4A8CF9" w14:textId="77777777">
      <w:pPr>
        <w:tabs>
          <w:tab w:val="left" w:pos="426"/>
        </w:tabs>
        <w:ind w:left="709" w:right="758"/>
        <w:jc w:val="both"/>
        <w:rPr>
          <w:rFonts w:ascii="Arial" w:hAnsi="Arial" w:eastAsia="Calibri" w:cs="Arial"/>
          <w:sz w:val="21"/>
          <w:szCs w:val="21"/>
        </w:rPr>
      </w:pPr>
    </w:p>
    <w:p w:rsidRPr="005B6656" w:rsidR="00CE123F" w:rsidP="00CE123F" w:rsidRDefault="00CE123F" w14:paraId="172BC0A1" w14:textId="77777777">
      <w:pPr>
        <w:tabs>
          <w:tab w:val="left" w:pos="426"/>
        </w:tabs>
        <w:ind w:left="709" w:right="758"/>
        <w:jc w:val="both"/>
        <w:rPr>
          <w:rFonts w:ascii="Arial" w:hAnsi="Arial" w:eastAsia="Calibri" w:cs="Arial"/>
          <w:sz w:val="21"/>
          <w:szCs w:val="21"/>
        </w:rPr>
      </w:pPr>
      <w:proofErr w:type="spellStart"/>
      <w:r w:rsidRPr="005B6656">
        <w:rPr>
          <w:rFonts w:ascii="Arial" w:hAnsi="Arial" w:eastAsia="Calibri" w:cs="Arial"/>
          <w:sz w:val="21"/>
          <w:szCs w:val="21"/>
        </w:rPr>
        <w:t>iv</w:t>
      </w:r>
      <w:proofErr w:type="spellEnd"/>
      <w:r w:rsidRPr="005B6656">
        <w:rPr>
          <w:rFonts w:ascii="Arial" w:hAnsi="Arial" w:eastAsia="Calibri" w:cs="Arial"/>
          <w:sz w:val="21"/>
          <w:szCs w:val="21"/>
        </w:rPr>
        <w:t xml:space="preserve"> [¿] Es viable contratar actualmente a través de esta modalidad a pesar de estar suspendido parcialmente el decreto? [¿] Si es viable qu</w:t>
      </w:r>
      <w:r>
        <w:rPr>
          <w:rFonts w:ascii="Arial" w:hAnsi="Arial" w:eastAsia="Calibri" w:cs="Arial"/>
          <w:sz w:val="21"/>
          <w:szCs w:val="21"/>
        </w:rPr>
        <w:t>é</w:t>
      </w:r>
      <w:r w:rsidRPr="005B6656">
        <w:rPr>
          <w:rFonts w:ascii="Arial" w:hAnsi="Arial" w:eastAsia="Calibri" w:cs="Arial"/>
          <w:sz w:val="21"/>
          <w:szCs w:val="21"/>
        </w:rPr>
        <w:t xml:space="preserve"> procedimiento seguir?».</w:t>
      </w:r>
    </w:p>
    <w:bookmarkEnd w:id="5"/>
    <w:p w:rsidRPr="005B6656" w:rsidR="00947072" w:rsidP="00FE6BF6" w:rsidRDefault="00947072" w14:paraId="6A1182F8" w14:textId="77777777">
      <w:pPr>
        <w:tabs>
          <w:tab w:val="left" w:pos="426"/>
        </w:tabs>
        <w:ind w:left="709" w:right="758"/>
        <w:jc w:val="both"/>
        <w:rPr>
          <w:rFonts w:ascii="Arial" w:hAnsi="Arial" w:eastAsia="Calibri" w:cs="Arial"/>
          <w:sz w:val="21"/>
          <w:szCs w:val="21"/>
        </w:rPr>
      </w:pPr>
    </w:p>
    <w:p w:rsidR="00CF7017" w:rsidP="00CD3A06" w:rsidRDefault="00A33A3C" w14:paraId="5C4E41F9" w14:textId="548B990B">
      <w:pPr>
        <w:spacing w:line="276" w:lineRule="auto"/>
        <w:ind w:firstLine="708"/>
        <w:jc w:val="both"/>
        <w:rPr>
          <w:rFonts w:ascii="Arial" w:hAnsi="Arial" w:cs="Arial"/>
          <w:sz w:val="22"/>
          <w:lang w:val="es-ES_tradnl"/>
        </w:rPr>
      </w:pPr>
      <w:r>
        <w:rPr>
          <w:rFonts w:ascii="Arial" w:hAnsi="Arial" w:eastAsia="Calibri" w:cs="Arial"/>
          <w:sz w:val="21"/>
          <w:szCs w:val="21"/>
        </w:rPr>
        <w:t xml:space="preserve">De acuerdo </w:t>
      </w:r>
      <w:r w:rsidR="00C94DDD">
        <w:rPr>
          <w:rFonts w:ascii="Arial" w:hAnsi="Arial" w:eastAsia="Calibri" w:cs="Arial"/>
          <w:sz w:val="21"/>
          <w:szCs w:val="21"/>
        </w:rPr>
        <w:t>con</w:t>
      </w:r>
      <w:r>
        <w:rPr>
          <w:rFonts w:ascii="Arial" w:hAnsi="Arial" w:eastAsia="Calibri" w:cs="Arial"/>
          <w:sz w:val="21"/>
          <w:szCs w:val="21"/>
        </w:rPr>
        <w:t xml:space="preserve"> lo expuesto</w:t>
      </w:r>
      <w:r w:rsidR="00C94DDD">
        <w:rPr>
          <w:rFonts w:ascii="Arial" w:hAnsi="Arial" w:eastAsia="Calibri" w:cs="Arial"/>
          <w:sz w:val="21"/>
          <w:szCs w:val="21"/>
        </w:rPr>
        <w:t xml:space="preserve">, </w:t>
      </w:r>
      <w:bookmarkEnd w:id="4"/>
      <w:r w:rsidR="00C94DDD">
        <w:rPr>
          <w:rFonts w:ascii="Arial" w:hAnsi="Arial" w:cs="Arial"/>
          <w:sz w:val="22"/>
          <w:lang w:val="es-ES_tradnl"/>
        </w:rPr>
        <w:t>l</w:t>
      </w:r>
      <w:r w:rsidRPr="0068526D" w:rsidR="00CF7017">
        <w:rPr>
          <w:rFonts w:ascii="Arial" w:hAnsi="Arial" w:cs="Arial"/>
          <w:sz w:val="22"/>
          <w:lang w:val="es-ES_tradnl"/>
        </w:rPr>
        <w:t>a noción «seleccionar de forma objetiva», contenida en el artículo 5</w:t>
      </w:r>
      <w:r w:rsidRPr="0068526D" w:rsidR="00CF7017">
        <w:rPr>
          <w:rFonts w:ascii="Arial" w:hAnsi="Arial" w:cs="Arial"/>
          <w:i/>
          <w:iCs/>
          <w:sz w:val="22"/>
          <w:lang w:val="es-ES_tradnl"/>
        </w:rPr>
        <w:t xml:space="preserve"> Ibídem </w:t>
      </w:r>
      <w:r w:rsidRPr="0068526D" w:rsidR="00CF7017">
        <w:rPr>
          <w:rFonts w:ascii="Arial" w:hAnsi="Arial" w:cs="Arial"/>
          <w:sz w:val="22"/>
          <w:lang w:val="es-ES_tradnl"/>
        </w:rPr>
        <w:t>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que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92 de 2017, pues goza de discrecionalidad administrativa para diseñar el procedimiento que garantice la selección objetiva de la ESAL.</w:t>
      </w:r>
    </w:p>
    <w:p w:rsidRPr="00556632" w:rsidR="00FE5938" w:rsidP="00CF7017" w:rsidRDefault="00CF7017" w14:paraId="3C51B253" w14:textId="1F38A4B6">
      <w:pPr>
        <w:spacing w:before="120" w:line="276" w:lineRule="auto"/>
        <w:ind w:firstLine="708"/>
        <w:jc w:val="both"/>
        <w:rPr>
          <w:rFonts w:ascii="Arial" w:hAnsi="Arial" w:cs="Arial"/>
          <w:sz w:val="22"/>
          <w:lang w:val="es-ES_tradnl"/>
        </w:rPr>
      </w:pPr>
      <w:r w:rsidRPr="0068526D">
        <w:rPr>
          <w:rFonts w:ascii="Arial" w:hAnsi="Arial" w:cs="Arial"/>
          <w:sz w:val="22"/>
          <w:lang w:val="es-ES_tradnl"/>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p>
    <w:p w:rsidRPr="005B6656" w:rsidR="00820C63" w:rsidP="00820C63" w:rsidRDefault="00820C63" w14:paraId="241AE831" w14:textId="77777777">
      <w:pPr>
        <w:tabs>
          <w:tab w:val="left" w:pos="426"/>
        </w:tabs>
        <w:ind w:left="709" w:right="758"/>
        <w:jc w:val="both"/>
        <w:rPr>
          <w:rFonts w:ascii="Arial" w:hAnsi="Arial" w:eastAsia="Calibri" w:cs="Arial"/>
          <w:sz w:val="21"/>
          <w:szCs w:val="21"/>
        </w:rPr>
      </w:pPr>
    </w:p>
    <w:p w:rsidRPr="005B6656" w:rsidR="00820C63" w:rsidP="00820C63" w:rsidRDefault="00820C63" w14:paraId="374A6350" w14:textId="0AB558E1">
      <w:pPr>
        <w:tabs>
          <w:tab w:val="left" w:pos="426"/>
        </w:tabs>
        <w:ind w:left="709" w:right="758"/>
        <w:jc w:val="both"/>
        <w:rPr>
          <w:rFonts w:ascii="Arial" w:hAnsi="Arial" w:eastAsia="Calibri" w:cs="Arial"/>
          <w:sz w:val="21"/>
          <w:szCs w:val="21"/>
        </w:rPr>
      </w:pPr>
      <w:r w:rsidRPr="005B6656">
        <w:rPr>
          <w:rFonts w:ascii="Arial" w:hAnsi="Arial" w:eastAsia="Calibri" w:cs="Arial"/>
          <w:sz w:val="21"/>
          <w:szCs w:val="21"/>
        </w:rPr>
        <w:t xml:space="preserve"> «</w:t>
      </w:r>
      <w:proofErr w:type="spellStart"/>
      <w:r w:rsidR="00C94DDD">
        <w:rPr>
          <w:rFonts w:ascii="Arial" w:hAnsi="Arial" w:eastAsia="Calibri" w:cs="Arial"/>
          <w:sz w:val="21"/>
          <w:szCs w:val="21"/>
        </w:rPr>
        <w:t>iii</w:t>
      </w:r>
      <w:proofErr w:type="spellEnd"/>
      <w:r w:rsidR="00C94DDD">
        <w:rPr>
          <w:rFonts w:ascii="Arial" w:hAnsi="Arial" w:eastAsia="Calibri" w:cs="Arial"/>
          <w:sz w:val="21"/>
          <w:szCs w:val="21"/>
        </w:rPr>
        <w:t xml:space="preserve">. </w:t>
      </w:r>
      <w:r w:rsidRPr="005B6656">
        <w:rPr>
          <w:rFonts w:ascii="Arial" w:hAnsi="Arial" w:eastAsia="Calibri" w:cs="Arial"/>
          <w:sz w:val="21"/>
          <w:szCs w:val="21"/>
        </w:rPr>
        <w:t>[¿] Cuál es la guía vigente para hacer el proceso?»</w:t>
      </w:r>
    </w:p>
    <w:p w:rsidR="00C94DDD" w:rsidP="00CD3A06" w:rsidRDefault="00C94DDD" w14:paraId="2D8CACBA" w14:textId="494B3451">
      <w:pPr>
        <w:spacing w:line="276" w:lineRule="auto"/>
        <w:ind w:firstLine="708"/>
        <w:jc w:val="both"/>
        <w:rPr>
          <w:rFonts w:ascii="Arial" w:hAnsi="Arial" w:eastAsia="Calibri" w:cs="Arial"/>
          <w:color w:val="000000"/>
          <w:sz w:val="22"/>
        </w:rPr>
      </w:pPr>
    </w:p>
    <w:p w:rsidRPr="00CD3A06" w:rsidR="004E657A" w:rsidP="00CD3A06" w:rsidRDefault="004E657A" w14:paraId="21156DA7" w14:textId="65EE06CA">
      <w:pPr>
        <w:spacing w:line="276" w:lineRule="auto"/>
        <w:ind w:firstLine="708"/>
        <w:jc w:val="both"/>
        <w:rPr>
          <w:rFonts w:ascii="Arial" w:hAnsi="Arial" w:cs="Arial"/>
          <w:sz w:val="22"/>
        </w:rPr>
      </w:pPr>
      <w:r w:rsidRPr="00325D2A">
        <w:rPr>
          <w:rFonts w:ascii="Arial" w:hAnsi="Arial" w:eastAsia="Calibri" w:cs="Arial"/>
          <w:sz w:val="22"/>
        </w:rPr>
        <w:t>E</w:t>
      </w:r>
      <w:r w:rsidR="001B271F">
        <w:rPr>
          <w:rFonts w:ascii="Arial" w:hAnsi="Arial" w:eastAsia="Calibri" w:cs="Arial"/>
          <w:sz w:val="22"/>
        </w:rPr>
        <w:t>n el</w:t>
      </w:r>
      <w:r w:rsidRPr="00325D2A">
        <w:rPr>
          <w:rFonts w:ascii="Arial" w:hAnsi="Arial" w:eastAsia="Calibri" w:cs="Arial"/>
          <w:sz w:val="22"/>
        </w:rPr>
        <w:t xml:space="preserve"> </w:t>
      </w:r>
      <w:r w:rsidRPr="008D14A1" w:rsidR="00E31C9E">
        <w:rPr>
          <w:rFonts w:ascii="Arial" w:hAnsi="Arial" w:eastAsia="Calibri" w:cs="Arial"/>
          <w:sz w:val="22"/>
        </w:rPr>
        <w:t xml:space="preserve">referido </w:t>
      </w:r>
      <w:r w:rsidRPr="008D14A1">
        <w:rPr>
          <w:rFonts w:ascii="Arial" w:hAnsi="Arial" w:eastAsia="Calibri" w:cs="Arial"/>
          <w:sz w:val="22"/>
        </w:rPr>
        <w:t>Auto del 6 de agosto de 2019</w:t>
      </w:r>
      <w:r w:rsidR="001B271F">
        <w:rPr>
          <w:rFonts w:ascii="Arial" w:hAnsi="Arial" w:eastAsia="Calibri" w:cs="Arial"/>
          <w:sz w:val="22"/>
        </w:rPr>
        <w:t xml:space="preserve">, </w:t>
      </w:r>
      <w:r w:rsidRPr="008D14A1">
        <w:rPr>
          <w:rFonts w:ascii="Arial" w:hAnsi="Arial" w:eastAsia="Calibri" w:cs="Arial"/>
          <w:sz w:val="22"/>
        </w:rPr>
        <w:t>la Sección Tercera, Subsección A,</w:t>
      </w:r>
      <w:r w:rsidRPr="008D14A1" w:rsidR="00E31C9E">
        <w:rPr>
          <w:rFonts w:ascii="Arial" w:hAnsi="Arial" w:eastAsia="Calibri" w:cs="Arial"/>
          <w:sz w:val="22"/>
        </w:rPr>
        <w:t xml:space="preserve"> del Consejo de Estado</w:t>
      </w:r>
      <w:r w:rsidRPr="008D14A1">
        <w:rPr>
          <w:rFonts w:ascii="Arial" w:hAnsi="Arial" w:eastAsia="Calibri" w:cs="Arial"/>
          <w:sz w:val="22"/>
          <w:lang w:val="es-ES_tradnl"/>
        </w:rPr>
        <w:t xml:space="preserve"> suspendió provisionalmente el inciso 2 del artículo primero y el inciso 2 </w:t>
      </w:r>
      <w:r w:rsidRPr="008D14A1">
        <w:rPr>
          <w:rFonts w:ascii="Arial" w:hAnsi="Arial" w:eastAsia="Calibri" w:cs="Arial"/>
          <w:sz w:val="22"/>
          <w:lang w:val="es-ES_tradnl"/>
        </w:rPr>
        <w:lastRenderedPageBreak/>
        <w:t xml:space="preserve">del artículo 3, </w:t>
      </w:r>
      <w:r w:rsidRPr="008D14A1" w:rsidR="00544C7D">
        <w:rPr>
          <w:rFonts w:ascii="Arial" w:hAnsi="Arial" w:eastAsia="Calibri" w:cs="Arial"/>
          <w:sz w:val="22"/>
          <w:lang w:val="es-ES_tradnl"/>
        </w:rPr>
        <w:t>que atribuían a</w:t>
      </w:r>
      <w:r w:rsidRPr="008D14A1">
        <w:rPr>
          <w:rFonts w:ascii="Arial" w:hAnsi="Arial" w:eastAsia="Calibri" w:cs="Arial"/>
          <w:sz w:val="22"/>
          <w:lang w:val="es-ES_tradnl"/>
        </w:rPr>
        <w:t xml:space="preserve"> </w:t>
      </w:r>
      <w:r w:rsidRPr="008D14A1" w:rsidR="00544C7D">
        <w:rPr>
          <w:rFonts w:ascii="Arial" w:hAnsi="Arial" w:eastAsia="Calibri" w:cs="Arial"/>
          <w:sz w:val="22"/>
          <w:lang w:val="es-ES_tradnl"/>
        </w:rPr>
        <w:t>la Agencia Nacional de Contratación Pública–Colombia Compra Eficiente l</w:t>
      </w:r>
      <w:r w:rsidRPr="008D14A1">
        <w:rPr>
          <w:rFonts w:ascii="Arial" w:hAnsi="Arial" w:eastAsia="Calibri" w:cs="Arial"/>
          <w:sz w:val="22"/>
          <w:lang w:val="es-ES_tradnl"/>
        </w:rPr>
        <w:t>a</w:t>
      </w:r>
      <w:r w:rsidRPr="008D14A1" w:rsidR="00544C7D">
        <w:rPr>
          <w:rFonts w:ascii="Arial" w:hAnsi="Arial" w:eastAsia="Calibri" w:cs="Arial"/>
          <w:sz w:val="22"/>
          <w:lang w:val="es-ES_tradnl"/>
        </w:rPr>
        <w:t xml:space="preserve"> competencia para expedir la</w:t>
      </w:r>
      <w:r w:rsidRPr="008D14A1">
        <w:rPr>
          <w:rFonts w:ascii="Arial" w:hAnsi="Arial" w:eastAsia="Calibri" w:cs="Arial"/>
          <w:sz w:val="22"/>
          <w:lang w:val="es-ES_tradnl"/>
        </w:rPr>
        <w:t xml:space="preserve"> </w:t>
      </w:r>
      <w:r w:rsidRPr="008D14A1">
        <w:rPr>
          <w:rFonts w:ascii="Arial" w:hAnsi="Arial" w:eastAsia="Calibri" w:cs="Arial"/>
          <w:i/>
          <w:iCs/>
          <w:sz w:val="22"/>
          <w:lang w:val="es-ES_tradnl"/>
        </w:rPr>
        <w:t>«Guía para la contratación con entidades privadas sin ánimo de lucro y de reconocida idoneidad»</w:t>
      </w:r>
      <w:r w:rsidRPr="008D14A1" w:rsidR="008D14A1">
        <w:rPr>
          <w:rFonts w:ascii="Arial" w:hAnsi="Arial" w:eastAsia="Calibri" w:cs="Arial"/>
          <w:i/>
          <w:iCs/>
          <w:sz w:val="22"/>
          <w:lang w:val="es-ES_tradnl"/>
        </w:rPr>
        <w:t>.</w:t>
      </w:r>
      <w:r w:rsidRPr="00CD3A06" w:rsidR="008D14A1">
        <w:rPr>
          <w:rFonts w:ascii="Arial" w:hAnsi="Arial" w:cs="Arial"/>
          <w:sz w:val="22"/>
        </w:rPr>
        <w:t xml:space="preserve"> Estando suspendidas estas normas, la referida guía carece de obligatoriedad</w:t>
      </w:r>
      <w:r w:rsidR="00621BF4">
        <w:rPr>
          <w:rFonts w:ascii="Arial" w:hAnsi="Arial" w:cs="Arial"/>
          <w:sz w:val="22"/>
        </w:rPr>
        <w:t>, no habiendo un instrumento asimilable que lo remplace</w:t>
      </w:r>
      <w:r w:rsidR="00592F33">
        <w:rPr>
          <w:rFonts w:ascii="Arial" w:hAnsi="Arial" w:cs="Arial"/>
          <w:sz w:val="22"/>
        </w:rPr>
        <w:t xml:space="preserve"> al no estar vigente </w:t>
      </w:r>
      <w:r w:rsidR="00A357F4">
        <w:rPr>
          <w:rFonts w:ascii="Arial" w:hAnsi="Arial" w:cs="Arial"/>
          <w:sz w:val="22"/>
        </w:rPr>
        <w:t>el</w:t>
      </w:r>
      <w:r w:rsidR="00592F33">
        <w:rPr>
          <w:rFonts w:ascii="Arial" w:hAnsi="Arial" w:cs="Arial"/>
          <w:sz w:val="22"/>
        </w:rPr>
        <w:t xml:space="preserve"> fundamento normativo</w:t>
      </w:r>
      <w:r w:rsidR="00A357F4">
        <w:rPr>
          <w:rFonts w:ascii="Arial" w:hAnsi="Arial" w:cs="Arial"/>
          <w:sz w:val="22"/>
        </w:rPr>
        <w:t xml:space="preserve"> de la guía.</w:t>
      </w:r>
    </w:p>
    <w:p w:rsidR="004E657A" w:rsidP="00C94DDD" w:rsidRDefault="004E657A" w14:paraId="6522D9C5" w14:textId="77777777">
      <w:pPr>
        <w:spacing w:before="120" w:line="276" w:lineRule="auto"/>
        <w:ind w:firstLine="708"/>
        <w:jc w:val="both"/>
        <w:rPr>
          <w:rFonts w:ascii="Arial" w:hAnsi="Arial" w:eastAsia="Calibri" w:cs="Arial"/>
          <w:color w:val="000000"/>
          <w:sz w:val="22"/>
        </w:rPr>
      </w:pPr>
    </w:p>
    <w:p w:rsidRPr="005B6656" w:rsidR="00C94DDD" w:rsidP="00820C63" w:rsidRDefault="00C94DDD" w14:paraId="4F7B5A09" w14:textId="77777777">
      <w:pPr>
        <w:tabs>
          <w:tab w:val="left" w:pos="426"/>
        </w:tabs>
        <w:ind w:left="709" w:right="758"/>
        <w:jc w:val="both"/>
        <w:rPr>
          <w:rFonts w:ascii="Arial" w:hAnsi="Arial" w:eastAsia="Calibri" w:cs="Arial"/>
          <w:sz w:val="21"/>
          <w:szCs w:val="21"/>
        </w:rPr>
      </w:pPr>
    </w:p>
    <w:p w:rsidR="00820C63" w:rsidP="00CF7017" w:rsidRDefault="00820C63" w14:paraId="60AA42C6" w14:textId="77777777">
      <w:pPr>
        <w:spacing w:line="276" w:lineRule="auto"/>
        <w:ind w:right="51"/>
        <w:jc w:val="both"/>
        <w:rPr>
          <w:rFonts w:ascii="Arial" w:hAnsi="Arial" w:eastAsia="Arial" w:cs="Arial"/>
          <w:sz w:val="22"/>
          <w:lang w:val="es-CO" w:eastAsia="es-CO"/>
        </w:rPr>
      </w:pPr>
    </w:p>
    <w:p w:rsidR="00C94DDD" w:rsidP="00C94DDD" w:rsidRDefault="00C94DDD" w14:paraId="5F9C3832" w14:textId="77777777">
      <w:pPr>
        <w:spacing w:line="276" w:lineRule="auto"/>
        <w:ind w:right="51"/>
        <w:jc w:val="both"/>
        <w:rPr>
          <w:rFonts w:ascii="Arial" w:hAnsi="Arial" w:eastAsia="Arial" w:cs="Arial"/>
          <w:sz w:val="22"/>
          <w:lang w:val="es-CO" w:eastAsia="es-CO"/>
        </w:rPr>
      </w:pPr>
      <w:r w:rsidRPr="00CF7017">
        <w:rPr>
          <w:rFonts w:ascii="Arial" w:hAnsi="Arial" w:eastAsia="Arial" w:cs="Arial"/>
          <w:sz w:val="22"/>
          <w:lang w:val="es-CO" w:eastAsia="es-CO"/>
        </w:rPr>
        <w:t>Este concepto tiene el alcance previsto en el artículo 28 del Código de Procedimiento Administrativo y de lo Contencioso Administrativo.</w:t>
      </w:r>
    </w:p>
    <w:p w:rsidRPr="00CF7017" w:rsidR="00DD3072" w:rsidP="00CF7017" w:rsidRDefault="00DD3072" w14:paraId="10599E1A" w14:textId="77777777">
      <w:pPr>
        <w:spacing w:line="276" w:lineRule="auto"/>
        <w:ind w:right="51"/>
        <w:jc w:val="both"/>
        <w:rPr>
          <w:rFonts w:ascii="Arial" w:hAnsi="Arial" w:eastAsia="Arial" w:cs="Arial"/>
          <w:sz w:val="22"/>
          <w:lang w:val="es-CO" w:eastAsia="es-CO"/>
        </w:rPr>
      </w:pPr>
    </w:p>
    <w:p w:rsidRPr="00CF7017" w:rsidR="00CF7017" w:rsidP="001C5CFC" w:rsidRDefault="00CF7017" w14:paraId="499D8733" w14:textId="62D04CA7">
      <w:pPr>
        <w:spacing w:line="276" w:lineRule="auto"/>
        <w:ind w:right="51"/>
        <w:jc w:val="both"/>
        <w:rPr>
          <w:rFonts w:ascii="Arial" w:hAnsi="Arial" w:eastAsia="Arial" w:cs="Arial"/>
          <w:sz w:val="22"/>
          <w:lang w:val="es-CO" w:eastAsia="es-CO"/>
        </w:rPr>
      </w:pPr>
    </w:p>
    <w:p w:rsidRPr="00CF7017" w:rsidR="00CF7017" w:rsidP="001C5CFC" w:rsidRDefault="00CF7017" w14:paraId="50F371CA" w14:textId="05C49964">
      <w:pPr>
        <w:spacing w:line="276" w:lineRule="auto"/>
        <w:ind w:right="51"/>
        <w:jc w:val="both"/>
        <w:rPr>
          <w:rFonts w:ascii="Arial" w:hAnsi="Arial" w:cs="Arial"/>
          <w:sz w:val="22"/>
          <w:szCs w:val="20"/>
          <w:lang w:eastAsia="es-CO"/>
        </w:rPr>
      </w:pPr>
      <w:r w:rsidRPr="00CF7017">
        <w:rPr>
          <w:rFonts w:ascii="Arial" w:hAnsi="Arial" w:eastAsia="Arial" w:cs="Arial"/>
          <w:sz w:val="22"/>
          <w:lang w:val="es-CO" w:eastAsia="es-CO"/>
        </w:rPr>
        <w:t>Atentamente,</w:t>
      </w:r>
    </w:p>
    <w:p w:rsidRPr="00CF7017" w:rsidR="00CF7017" w:rsidP="001C5CFC" w:rsidRDefault="000D276A" w14:paraId="28DBB2B5" w14:textId="0702DA82">
      <w:pPr>
        <w:spacing w:line="276" w:lineRule="auto"/>
        <w:ind w:right="51" w:firstLine="720"/>
        <w:jc w:val="center"/>
        <w:rPr>
          <w:rFonts w:ascii="Arial" w:hAnsi="Arial" w:cs="Arial"/>
          <w:sz w:val="22"/>
          <w:szCs w:val="20"/>
          <w:lang w:eastAsia="es-CO"/>
        </w:rPr>
      </w:pPr>
      <w:r w:rsidRPr="00B36019">
        <w:rPr>
          <w:noProof/>
          <w:color w:val="000000"/>
        </w:rPr>
        <w:drawing>
          <wp:inline distT="0" distB="0" distL="0" distR="0" wp14:anchorId="01537537" wp14:editId="79C47B72">
            <wp:extent cx="2609850" cy="857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2609850" cy="857250"/>
                    </a:xfrm>
                    <a:prstGeom prst="rect">
                      <a:avLst/>
                    </a:prstGeom>
                  </pic:spPr>
                </pic:pic>
              </a:graphicData>
            </a:graphic>
          </wp:inline>
        </w:drawing>
      </w:r>
    </w:p>
    <w:p w:rsidRPr="00CF7017" w:rsidR="00CF7017" w:rsidP="00CF7017" w:rsidRDefault="00CF7017" w14:paraId="0F63A10C" w14:textId="77777777">
      <w:pPr>
        <w:spacing w:line="276" w:lineRule="auto"/>
        <w:ind w:right="51" w:firstLine="720"/>
        <w:jc w:val="both"/>
        <w:rPr>
          <w:rFonts w:ascii="Arial" w:hAnsi="Arial" w:cs="Arial"/>
          <w:sz w:val="22"/>
          <w:szCs w:val="20"/>
          <w:lang w:eastAsia="es-CO"/>
        </w:rPr>
      </w:pPr>
    </w:p>
    <w:tbl>
      <w:tblPr>
        <w:tblStyle w:val="Tablaconcuadrcula1"/>
        <w:tblW w:w="0" w:type="auto"/>
        <w:tblInd w:w="-5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09"/>
        <w:gridCol w:w="4413"/>
      </w:tblGrid>
      <w:tr w:rsidRPr="00CF7017" w:rsidR="00CF7017" w:rsidTr="00212629" w14:paraId="65254B1D" w14:textId="77777777">
        <w:trPr>
          <w:trHeight w:val="315"/>
        </w:trPr>
        <w:tc>
          <w:tcPr>
            <w:tcW w:w="1509" w:type="dxa"/>
            <w:vAlign w:val="center"/>
            <w:hideMark/>
          </w:tcPr>
          <w:p w:rsidRPr="00CF7017" w:rsidR="00CF7017" w:rsidP="00CF7017" w:rsidRDefault="00CF7017" w14:paraId="7C261449" w14:textId="77777777">
            <w:pPr>
              <w:spacing w:line="276" w:lineRule="auto"/>
              <w:rPr>
                <w:rFonts w:ascii="Arial" w:hAnsi="Arial" w:cs="Arial"/>
                <w:sz w:val="14"/>
                <w:szCs w:val="14"/>
                <w:lang w:val="es-ES" w:eastAsia="es-ES"/>
              </w:rPr>
            </w:pPr>
            <w:r w:rsidRPr="00CF7017">
              <w:rPr>
                <w:rFonts w:ascii="Arial" w:hAnsi="Arial" w:cs="Arial"/>
                <w:sz w:val="14"/>
                <w:szCs w:val="14"/>
                <w:lang w:val="es-ES" w:eastAsia="es-ES"/>
              </w:rPr>
              <w:t>Elaboró:</w:t>
            </w:r>
          </w:p>
        </w:tc>
        <w:tc>
          <w:tcPr>
            <w:tcW w:w="4413" w:type="dxa"/>
            <w:tcBorders>
              <w:top w:val="nil"/>
              <w:left w:val="nil"/>
              <w:bottom w:val="dotted" w:color="7F7F7F" w:themeColor="text1" w:themeTint="80" w:sz="4" w:space="0"/>
              <w:right w:val="nil"/>
            </w:tcBorders>
            <w:vAlign w:val="center"/>
            <w:hideMark/>
          </w:tcPr>
          <w:p w:rsidRPr="00CF7017" w:rsidR="00CF7017" w:rsidP="001C5CFC" w:rsidRDefault="00CF7017" w14:paraId="5BE526EF" w14:textId="77777777">
            <w:pPr>
              <w:ind w:firstLine="0"/>
              <w:rPr>
                <w:rFonts w:ascii="Arial" w:hAnsi="Arial" w:cs="Arial"/>
                <w:sz w:val="14"/>
                <w:szCs w:val="14"/>
                <w:lang w:eastAsia="es-ES"/>
              </w:rPr>
            </w:pPr>
            <w:r w:rsidRPr="00CF7017">
              <w:rPr>
                <w:rFonts w:ascii="Arial" w:hAnsi="Arial" w:cs="Arial"/>
                <w:sz w:val="14"/>
                <w:szCs w:val="14"/>
                <w:lang w:eastAsia="es-ES"/>
              </w:rPr>
              <w:t>Melissa Fernández Reinoso.</w:t>
            </w:r>
          </w:p>
          <w:p w:rsidRPr="00CF7017" w:rsidR="00CF7017" w:rsidP="001C5CFC" w:rsidRDefault="00CF7017" w14:paraId="011386C1" w14:textId="77777777">
            <w:pPr>
              <w:spacing w:line="276" w:lineRule="auto"/>
              <w:ind w:firstLine="0"/>
              <w:rPr>
                <w:rFonts w:ascii="Arial" w:hAnsi="Arial" w:cs="Arial"/>
                <w:sz w:val="14"/>
                <w:szCs w:val="14"/>
                <w:lang w:val="es-ES" w:eastAsia="es-ES"/>
              </w:rPr>
            </w:pPr>
            <w:r w:rsidRPr="00CF7017">
              <w:rPr>
                <w:rFonts w:ascii="Arial" w:hAnsi="Arial" w:cs="Arial"/>
                <w:sz w:val="14"/>
                <w:szCs w:val="14"/>
                <w:lang w:eastAsia="es-ES"/>
              </w:rPr>
              <w:t>Analista T2-2 de la Subdirección de Gestión Contractual</w:t>
            </w:r>
          </w:p>
        </w:tc>
      </w:tr>
      <w:tr w:rsidRPr="00CF7017" w:rsidR="00CF7017" w:rsidTr="00212629" w14:paraId="69B9EE11" w14:textId="77777777">
        <w:trPr>
          <w:trHeight w:val="330"/>
        </w:trPr>
        <w:tc>
          <w:tcPr>
            <w:tcW w:w="1509" w:type="dxa"/>
            <w:vAlign w:val="center"/>
            <w:hideMark/>
          </w:tcPr>
          <w:p w:rsidRPr="00CF7017" w:rsidR="00CF7017" w:rsidP="00CF7017" w:rsidRDefault="00CF7017" w14:paraId="62BF8FCB" w14:textId="77777777">
            <w:pPr>
              <w:spacing w:line="276" w:lineRule="auto"/>
              <w:rPr>
                <w:rFonts w:ascii="Arial" w:hAnsi="Arial" w:cs="Arial"/>
                <w:sz w:val="14"/>
                <w:szCs w:val="14"/>
                <w:lang w:val="es-ES" w:eastAsia="es-ES"/>
              </w:rPr>
            </w:pPr>
            <w:r w:rsidRPr="00CF7017">
              <w:rPr>
                <w:rFonts w:ascii="Arial" w:hAnsi="Arial" w:cs="Arial"/>
                <w:sz w:val="14"/>
                <w:szCs w:val="14"/>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F7017" w:rsidR="00CF7017" w:rsidP="001C5CFC" w:rsidRDefault="00CF7017" w14:paraId="69FC5881" w14:textId="77777777">
            <w:pPr>
              <w:spacing w:line="276" w:lineRule="auto"/>
              <w:ind w:firstLine="0"/>
              <w:rPr>
                <w:rFonts w:ascii="Arial" w:hAnsi="Arial" w:cs="Arial"/>
                <w:sz w:val="14"/>
                <w:szCs w:val="14"/>
                <w:lang w:val="es-ES" w:eastAsia="es-ES"/>
              </w:rPr>
            </w:pPr>
            <w:r w:rsidRPr="00CF7017">
              <w:rPr>
                <w:rFonts w:ascii="Arial" w:hAnsi="Arial" w:cs="Arial"/>
                <w:sz w:val="14"/>
                <w:szCs w:val="14"/>
                <w:lang w:val="es-ES" w:eastAsia="es-ES"/>
              </w:rPr>
              <w:t>Alejandro Sarmiento Cantillo</w:t>
            </w:r>
          </w:p>
          <w:p w:rsidRPr="00CF7017" w:rsidR="00CF7017" w:rsidP="001C5CFC" w:rsidRDefault="00CF7017" w14:paraId="10DC2D13" w14:textId="77777777">
            <w:pPr>
              <w:spacing w:line="276" w:lineRule="auto"/>
              <w:ind w:firstLine="0"/>
              <w:rPr>
                <w:rFonts w:ascii="Arial" w:hAnsi="Arial" w:cs="Arial"/>
                <w:sz w:val="14"/>
                <w:szCs w:val="14"/>
                <w:lang w:val="es-ES" w:eastAsia="es-ES"/>
              </w:rPr>
            </w:pPr>
            <w:r w:rsidRPr="00CF7017">
              <w:rPr>
                <w:rFonts w:ascii="Arial" w:hAnsi="Arial" w:cs="Arial"/>
                <w:sz w:val="14"/>
                <w:szCs w:val="14"/>
                <w:lang w:val="es-ES" w:eastAsia="es-ES"/>
              </w:rPr>
              <w:t>Gestor T1-11 de la Subdirección de Gestión Contractual</w:t>
            </w:r>
          </w:p>
        </w:tc>
      </w:tr>
      <w:tr w:rsidRPr="00CF7017" w:rsidR="00CF7017" w:rsidTr="00212629" w14:paraId="31E430B2" w14:textId="77777777">
        <w:trPr>
          <w:trHeight w:val="300"/>
        </w:trPr>
        <w:tc>
          <w:tcPr>
            <w:tcW w:w="1509" w:type="dxa"/>
            <w:vAlign w:val="center"/>
            <w:hideMark/>
          </w:tcPr>
          <w:p w:rsidRPr="00CF7017" w:rsidR="00CF7017" w:rsidP="00CF7017" w:rsidRDefault="00CF7017" w14:paraId="1CEEFCE9" w14:textId="77777777">
            <w:pPr>
              <w:spacing w:line="276" w:lineRule="auto"/>
              <w:rPr>
                <w:rFonts w:ascii="Arial" w:hAnsi="Arial" w:cs="Arial"/>
                <w:sz w:val="14"/>
                <w:szCs w:val="14"/>
                <w:lang w:val="es-ES" w:eastAsia="es-ES"/>
              </w:rPr>
            </w:pPr>
            <w:r w:rsidRPr="00CF7017">
              <w:rPr>
                <w:rFonts w:ascii="Arial" w:hAnsi="Arial" w:cs="Arial"/>
                <w:sz w:val="14"/>
                <w:szCs w:val="14"/>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F7017" w:rsidR="00CF7017" w:rsidP="001C5CFC" w:rsidRDefault="00CF7017" w14:paraId="17693E5B" w14:textId="77777777">
            <w:pPr>
              <w:spacing w:line="276" w:lineRule="auto"/>
              <w:ind w:firstLine="0"/>
              <w:rPr>
                <w:rFonts w:ascii="Arial" w:hAnsi="Arial" w:cs="Arial"/>
                <w:sz w:val="14"/>
                <w:szCs w:val="14"/>
                <w:lang w:val="es-ES" w:eastAsia="es-ES"/>
              </w:rPr>
            </w:pPr>
            <w:r w:rsidRPr="00CF7017">
              <w:rPr>
                <w:rFonts w:ascii="Arial" w:hAnsi="Arial" w:cs="Arial"/>
                <w:sz w:val="14"/>
                <w:szCs w:val="14"/>
                <w:lang w:val="es-ES" w:eastAsia="es-ES"/>
              </w:rPr>
              <w:t>Jorge Augusto Tirado Navarro</w:t>
            </w:r>
          </w:p>
          <w:p w:rsidRPr="00CF7017" w:rsidR="00CF7017" w:rsidP="001C5CFC" w:rsidRDefault="00CF7017" w14:paraId="3B89D604" w14:textId="77777777">
            <w:pPr>
              <w:spacing w:line="276" w:lineRule="auto"/>
              <w:ind w:firstLine="0"/>
              <w:rPr>
                <w:rFonts w:ascii="Arial" w:hAnsi="Arial" w:cs="Arial"/>
                <w:sz w:val="14"/>
                <w:szCs w:val="14"/>
                <w:lang w:val="es-ES" w:eastAsia="es-ES"/>
              </w:rPr>
            </w:pPr>
            <w:r w:rsidRPr="00CF7017">
              <w:rPr>
                <w:rFonts w:ascii="Arial" w:hAnsi="Arial" w:cs="Arial"/>
                <w:sz w:val="14"/>
                <w:szCs w:val="14"/>
                <w:lang w:val="es-ES" w:eastAsia="es-ES"/>
              </w:rPr>
              <w:t>Subdirector de Gestión Contractual ANCP - CCE</w:t>
            </w:r>
          </w:p>
        </w:tc>
      </w:tr>
    </w:tbl>
    <w:p w:rsidRPr="00556632" w:rsidR="00FE5938" w:rsidP="00556632" w:rsidRDefault="00FE5938" w14:paraId="4C389345" w14:textId="1CCDC7E7">
      <w:pPr>
        <w:spacing w:before="120" w:line="276" w:lineRule="auto"/>
        <w:ind w:firstLine="709"/>
        <w:jc w:val="both"/>
        <w:rPr>
          <w:rFonts w:ascii="Arial" w:hAnsi="Arial" w:eastAsia="Calibri" w:cs="Arial"/>
          <w:color w:val="000000"/>
          <w:sz w:val="22"/>
        </w:rPr>
      </w:pPr>
    </w:p>
    <w:p w:rsidR="002B747A" w:rsidP="0068526D" w:rsidRDefault="002B747A" w14:paraId="50534A42" w14:textId="265496AD">
      <w:pPr>
        <w:spacing w:before="120" w:line="276" w:lineRule="auto"/>
        <w:jc w:val="both"/>
        <w:textAlignment w:val="baseline"/>
        <w:rPr>
          <w:rFonts w:ascii="Arial" w:hAnsi="Arial" w:eastAsia="Times New Roman" w:cs="Arial"/>
          <w:sz w:val="22"/>
          <w:lang w:val="es-ES_tradnl" w:eastAsia="es-ES_tradnl"/>
        </w:rPr>
      </w:pPr>
    </w:p>
    <w:p w:rsidR="002B747A" w:rsidP="00FF1B52" w:rsidRDefault="002B747A" w14:paraId="162541D8" w14:textId="2E5BAA86">
      <w:pPr>
        <w:spacing w:before="120" w:line="276" w:lineRule="auto"/>
        <w:ind w:firstLine="709"/>
        <w:jc w:val="both"/>
        <w:textAlignment w:val="baseline"/>
        <w:rPr>
          <w:rFonts w:ascii="Arial" w:hAnsi="Arial" w:eastAsia="Times New Roman" w:cs="Arial"/>
          <w:sz w:val="22"/>
          <w:lang w:val="es-ES_tradnl" w:eastAsia="es-ES_tradnl"/>
        </w:rPr>
      </w:pPr>
    </w:p>
    <w:p w:rsidRPr="004E3DAE" w:rsidR="002E3AF5" w:rsidRDefault="002E3AF5" w14:paraId="759E1342" w14:textId="2D7240ED"/>
    <w:sectPr w:rsidRPr="004E3DAE" w:rsidR="002E3AF5">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0A2" w:rsidP="008A619F" w:rsidRDefault="00E740A2" w14:paraId="1A733556" w14:textId="77777777">
      <w:r>
        <w:separator/>
      </w:r>
    </w:p>
  </w:endnote>
  <w:endnote w:type="continuationSeparator" w:id="0">
    <w:p w:rsidR="00E740A2" w:rsidP="008A619F" w:rsidRDefault="00E740A2" w14:paraId="1C8168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Mincho"/>
    <w:panose1 w:val="00000000000000000000"/>
    <w:charset w:val="80"/>
    <w:family w:val="auto"/>
    <w:notTrueType/>
    <w:pitch w:val="default"/>
    <w:sig w:usb0="00000003" w:usb1="08070000" w:usb2="00000010" w:usb3="00000000" w:csb0="00020001" w:csb1="00000000"/>
  </w:font>
  <w:font w:name="ArialMT">
    <w:altName w:val="Arial"/>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0A2" w:rsidP="008A619F" w:rsidRDefault="00E740A2" w14:paraId="4E032416" w14:textId="77777777">
      <w:r>
        <w:separator/>
      </w:r>
    </w:p>
  </w:footnote>
  <w:footnote w:type="continuationSeparator" w:id="0">
    <w:p w:rsidR="00E740A2" w:rsidP="008A619F" w:rsidRDefault="00E740A2" w14:paraId="41D5E619" w14:textId="77777777">
      <w:r>
        <w:continuationSeparator/>
      </w:r>
    </w:p>
  </w:footnote>
  <w:footnote w:id="1">
    <w:p w:rsidRPr="00522B4D" w:rsidR="0068526D" w:rsidP="0068526D" w:rsidRDefault="0068526D" w14:paraId="3912DF47"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rsidRPr="00522B4D" w:rsidR="0068526D" w:rsidP="0068526D" w:rsidRDefault="0068526D" w14:paraId="240C88A7" w14:textId="77777777">
      <w:pPr>
        <w:pStyle w:val="Textonotapie"/>
        <w:ind w:firstLine="708"/>
        <w:jc w:val="both"/>
        <w:rPr>
          <w:rFonts w:ascii="Arial" w:hAnsi="Arial" w:cs="Arial"/>
          <w:color w:val="000000" w:themeColor="text1"/>
          <w:sz w:val="19"/>
          <w:szCs w:val="19"/>
          <w:lang w:val="es-ES"/>
        </w:rPr>
      </w:pPr>
    </w:p>
  </w:footnote>
  <w:footnote w:id="2">
    <w:p w:rsidRPr="00522B4D" w:rsidR="0068526D" w:rsidP="0068526D" w:rsidRDefault="0068526D" w14:paraId="0FE32AB0"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522B4D" w:rsidR="0068526D" w:rsidP="0068526D" w:rsidRDefault="0068526D" w14:paraId="18E9685F" w14:textId="77777777">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rsidRPr="00522B4D" w:rsidR="0068526D" w:rsidP="0068526D" w:rsidRDefault="0068526D" w14:paraId="4D55D476" w14:textId="77777777">
      <w:pPr>
        <w:pStyle w:val="Textonotapie"/>
        <w:ind w:firstLine="708"/>
        <w:jc w:val="both"/>
        <w:rPr>
          <w:rFonts w:ascii="Arial" w:hAnsi="Arial" w:cs="Arial"/>
          <w:color w:val="000000" w:themeColor="text1"/>
          <w:sz w:val="19"/>
          <w:szCs w:val="19"/>
          <w:lang w:val="es-CO"/>
        </w:rPr>
      </w:pPr>
    </w:p>
  </w:footnote>
  <w:footnote w:id="3">
    <w:p w:rsidRPr="00522B4D" w:rsidR="0068526D" w:rsidP="0068526D" w:rsidRDefault="0068526D" w14:paraId="70C4856F"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rsidRPr="00522B4D" w:rsidR="0068526D" w:rsidP="0068526D" w:rsidRDefault="0068526D" w14:paraId="3E3FF9F9" w14:textId="77777777">
      <w:pPr>
        <w:pStyle w:val="Textonotapie"/>
        <w:ind w:firstLine="708"/>
        <w:jc w:val="both"/>
        <w:rPr>
          <w:rFonts w:ascii="Arial" w:hAnsi="Arial" w:cs="Arial"/>
          <w:color w:val="000000" w:themeColor="text1"/>
          <w:sz w:val="19"/>
          <w:szCs w:val="19"/>
          <w:lang w:val="es-ES"/>
        </w:rPr>
      </w:pPr>
    </w:p>
  </w:footnote>
  <w:footnote w:id="4">
    <w:p w:rsidRPr="00522B4D" w:rsidR="0068526D" w:rsidP="0068526D" w:rsidRDefault="0068526D" w14:paraId="19DCD091"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3 de septiembre de 2019, emitido en el radicado No. 2201913000006512.</w:t>
      </w:r>
    </w:p>
    <w:p w:rsidRPr="00522B4D" w:rsidR="0068526D" w:rsidP="0068526D" w:rsidRDefault="0068526D" w14:paraId="473A1AD9" w14:textId="77777777">
      <w:pPr>
        <w:pStyle w:val="Textonotapie"/>
        <w:ind w:firstLine="708"/>
        <w:jc w:val="both"/>
        <w:rPr>
          <w:rFonts w:ascii="Arial" w:hAnsi="Arial" w:cs="Arial"/>
          <w:color w:val="000000" w:themeColor="text1"/>
          <w:sz w:val="19"/>
          <w:szCs w:val="19"/>
          <w:lang w:val="es-ES"/>
        </w:rPr>
      </w:pPr>
    </w:p>
  </w:footnote>
  <w:footnote w:id="5">
    <w:p w:rsidRPr="00522B4D" w:rsidR="0068526D" w:rsidP="0068526D" w:rsidRDefault="0068526D" w14:paraId="1B24DE50"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El numeral 16.9 de la Circular Externa Única de Colombia Compra Eficiente determina:</w:t>
      </w:r>
    </w:p>
    <w:p w:rsidRPr="00522B4D" w:rsidR="0068526D" w:rsidP="0068526D" w:rsidRDefault="0068526D" w14:paraId="7071509E" w14:textId="77777777">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Pr>
          <w:rFonts w:ascii="Arial" w:hAnsi="Arial" w:cs="Arial"/>
          <w:color w:val="000000" w:themeColor="text1"/>
          <w:sz w:val="19"/>
          <w:szCs w:val="19"/>
        </w:rPr>
        <w:t>.</w:t>
      </w:r>
    </w:p>
    <w:p w:rsidRPr="00522B4D" w:rsidR="0068526D" w:rsidP="0068526D" w:rsidRDefault="0068526D" w14:paraId="462EA805" w14:textId="7777777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522B4D">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rsidRPr="00522B4D" w:rsidR="0068526D" w:rsidP="0068526D" w:rsidRDefault="0068526D" w14:paraId="06F0B3F1" w14:textId="77777777">
      <w:pPr>
        <w:pStyle w:val="Textonotapie"/>
        <w:ind w:firstLine="708"/>
        <w:jc w:val="both"/>
        <w:rPr>
          <w:rFonts w:ascii="Arial" w:hAnsi="Arial" w:cs="Arial"/>
          <w:color w:val="000000" w:themeColor="text1"/>
          <w:sz w:val="19"/>
          <w:szCs w:val="19"/>
          <w:lang w:val="es-ES"/>
        </w:rPr>
      </w:pPr>
    </w:p>
  </w:footnote>
  <w:footnote w:id="6">
    <w:p w:rsidRPr="00522B4D" w:rsidR="0068526D" w:rsidP="0068526D" w:rsidRDefault="0068526D" w14:paraId="5B33DC25"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19 de noviembre de 2019, emitido en el radicado No. 2201913000008611.</w:t>
      </w:r>
    </w:p>
    <w:p w:rsidRPr="00522B4D" w:rsidR="0068526D" w:rsidP="0068526D" w:rsidRDefault="0068526D" w14:paraId="6F916F19" w14:textId="77777777">
      <w:pPr>
        <w:pStyle w:val="Textonotapie"/>
        <w:ind w:firstLine="708"/>
        <w:jc w:val="both"/>
        <w:rPr>
          <w:rFonts w:ascii="Arial" w:hAnsi="Arial" w:cs="Arial"/>
          <w:color w:val="000000" w:themeColor="text1"/>
          <w:sz w:val="19"/>
          <w:szCs w:val="19"/>
          <w:lang w:val="es-ES"/>
        </w:rPr>
      </w:pPr>
    </w:p>
  </w:footnote>
  <w:footnote w:id="7">
    <w:p w:rsidRPr="00522B4D" w:rsidR="0068526D" w:rsidP="0068526D" w:rsidRDefault="0068526D" w14:paraId="3960155B"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rsidRPr="00522B4D" w:rsidR="0068526D" w:rsidP="0068526D" w:rsidRDefault="0068526D" w14:paraId="362026E4" w14:textId="77777777">
      <w:pPr>
        <w:pStyle w:val="Textonotapie"/>
        <w:ind w:firstLine="708"/>
        <w:jc w:val="both"/>
        <w:rPr>
          <w:rFonts w:ascii="Arial" w:hAnsi="Arial" w:cs="Arial"/>
          <w:color w:val="000000" w:themeColor="text1"/>
          <w:sz w:val="19"/>
          <w:szCs w:val="19"/>
          <w:lang w:val="es-ES"/>
        </w:rPr>
      </w:pPr>
    </w:p>
  </w:footnote>
  <w:footnote w:id="8">
    <w:p w:rsidRPr="00522B4D" w:rsidR="0068526D" w:rsidP="0068526D" w:rsidRDefault="0068526D" w14:paraId="0A80C2B6" w14:textId="77777777">
      <w:pPr>
        <w:pStyle w:val="Textonotapie"/>
        <w:ind w:firstLine="708"/>
        <w:jc w:val="both"/>
        <w:rPr>
          <w:rFonts w:ascii="Arial" w:hAnsi="Arial" w:eastAsia="Calibri"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hAnsi="Arial" w:eastAsia="Calibri"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rsidRPr="00522B4D" w:rsidR="0068526D" w:rsidP="0068526D" w:rsidRDefault="0068526D" w14:paraId="08BA7758" w14:textId="77777777">
      <w:pPr>
        <w:pStyle w:val="Textonotapie"/>
        <w:ind w:firstLine="708"/>
        <w:jc w:val="both"/>
        <w:rPr>
          <w:rFonts w:ascii="Arial" w:hAnsi="Arial" w:cs="Arial"/>
          <w:color w:val="000000" w:themeColor="text1"/>
          <w:sz w:val="19"/>
          <w:szCs w:val="19"/>
          <w:lang w:val="es-ES"/>
        </w:rPr>
      </w:pPr>
    </w:p>
  </w:footnote>
  <w:footnote w:id="9">
    <w:p w:rsidRPr="00522B4D" w:rsidR="0068526D" w:rsidP="0068526D" w:rsidRDefault="0068526D" w14:paraId="7481196C" w14:textId="77777777">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hAnsi="Arial" w:eastAsia="Calibri" w:cs="Arial"/>
          <w:color w:val="000000" w:themeColor="text1"/>
          <w:sz w:val="19"/>
          <w:szCs w:val="19"/>
        </w:rPr>
        <w:t>Decreto 092 de 2017, artículo 3, inciso 2: «</w:t>
      </w:r>
      <w:r w:rsidRPr="00522B4D">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0">
    <w:p w:rsidRPr="00522B4D" w:rsidR="0068526D" w:rsidP="0068526D" w:rsidRDefault="0068526D" w14:paraId="17B935C1" w14:textId="77777777">
      <w:pPr>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rsidRPr="00522B4D" w:rsidR="0068526D" w:rsidP="0068526D" w:rsidRDefault="0068526D" w14:paraId="374FE7C8" w14:textId="77777777">
      <w:pPr>
        <w:ind w:firstLine="708"/>
        <w:jc w:val="both"/>
        <w:rPr>
          <w:rFonts w:ascii="Arial" w:hAnsi="Arial" w:cs="Arial"/>
          <w:color w:val="000000" w:themeColor="text1"/>
          <w:sz w:val="19"/>
          <w:szCs w:val="19"/>
        </w:rPr>
      </w:pPr>
    </w:p>
  </w:footnote>
  <w:footnote w:id="11">
    <w:p w:rsidRPr="00522B4D" w:rsidR="0068526D" w:rsidP="0068526D" w:rsidRDefault="0068526D" w14:paraId="0F7BC61E"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092 de 2017, Artículo 2, literal a: «Que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p>
    <w:p w:rsidRPr="00522B4D" w:rsidR="0068526D" w:rsidP="0068526D" w:rsidRDefault="0068526D" w14:paraId="1A6C13F0" w14:textId="77777777">
      <w:pPr>
        <w:pStyle w:val="Textonotapie"/>
        <w:ind w:firstLine="708"/>
        <w:jc w:val="both"/>
        <w:rPr>
          <w:rFonts w:ascii="Arial" w:hAnsi="Arial" w:cs="Arial"/>
          <w:color w:val="000000" w:themeColor="text1"/>
          <w:sz w:val="19"/>
          <w:szCs w:val="19"/>
          <w:lang w:val="es-ES"/>
        </w:rPr>
      </w:pPr>
    </w:p>
  </w:footnote>
  <w:footnote w:id="12">
    <w:p w:rsidRPr="00522B4D" w:rsidR="0068526D" w:rsidP="0068526D" w:rsidRDefault="0068526D" w14:paraId="3F45AA04" w14:textId="1202590F">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92 de 2017</w:t>
      </w:r>
      <w:r w:rsidR="00AA2AB1">
        <w:rPr>
          <w:rFonts w:ascii="Arial" w:hAnsi="Arial" w:cs="Arial"/>
          <w:color w:val="000000" w:themeColor="text1"/>
          <w:sz w:val="19"/>
          <w:szCs w:val="19"/>
        </w:rPr>
        <w:t>.</w:t>
      </w:r>
      <w:r w:rsidRPr="00522B4D">
        <w:rPr>
          <w:rFonts w:ascii="Arial" w:hAnsi="Arial" w:cs="Arial"/>
          <w:color w:val="000000" w:themeColor="text1"/>
          <w:sz w:val="19"/>
          <w:szCs w:val="19"/>
        </w:rPr>
        <w:t xml:space="preserve"> </w:t>
      </w:r>
      <w:r w:rsidR="00AA2AB1">
        <w:rPr>
          <w:rFonts w:ascii="Arial" w:hAnsi="Arial" w:cs="Arial"/>
          <w:color w:val="000000" w:themeColor="text1"/>
          <w:sz w:val="19"/>
          <w:szCs w:val="19"/>
        </w:rPr>
        <w:t>A</w:t>
      </w:r>
      <w:r w:rsidRPr="00522B4D">
        <w:rPr>
          <w:rFonts w:ascii="Arial" w:hAnsi="Arial" w:cs="Arial"/>
          <w:color w:val="000000" w:themeColor="text1"/>
          <w:sz w:val="19"/>
          <w:szCs w:val="19"/>
        </w:rPr>
        <w:t>rtículo 4: «</w:t>
      </w:r>
      <w:r w:rsidR="00F61F92">
        <w:rPr>
          <w:rFonts w:ascii="Arial" w:hAnsi="Arial" w:cs="Arial"/>
          <w:color w:val="000000" w:themeColor="text1"/>
          <w:sz w:val="19"/>
          <w:szCs w:val="19"/>
        </w:rPr>
        <w:t>[</w:t>
      </w:r>
      <w:r w:rsidRPr="00522B4D">
        <w:rPr>
          <w:rFonts w:ascii="Arial" w:hAnsi="Arial" w:cs="Arial"/>
          <w:color w:val="000000" w:themeColor="text1"/>
          <w:sz w:val="19"/>
          <w:szCs w:val="19"/>
        </w:rPr>
        <w:t>…</w:t>
      </w:r>
      <w:r w:rsidR="00AA2AB1">
        <w:rPr>
          <w:rFonts w:ascii="Arial" w:hAnsi="Arial" w:cs="Arial"/>
          <w:color w:val="000000" w:themeColor="text1"/>
          <w:sz w:val="19"/>
          <w:szCs w:val="19"/>
        </w:rPr>
        <w:t>]</w:t>
      </w:r>
      <w:r w:rsidRPr="00522B4D">
        <w:rPr>
          <w:rFonts w:ascii="Arial" w:hAnsi="Arial" w:cs="Arial"/>
          <w:color w:val="000000" w:themeColor="text1"/>
          <w:sz w:val="19"/>
          <w:szCs w:val="19"/>
        </w:rPr>
        <w:t xml:space="preserve">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AE"/>
    <w:rsid w:val="0007592C"/>
    <w:rsid w:val="000D276A"/>
    <w:rsid w:val="000E73E2"/>
    <w:rsid w:val="000F50E5"/>
    <w:rsid w:val="00170D7D"/>
    <w:rsid w:val="001B115E"/>
    <w:rsid w:val="001B271F"/>
    <w:rsid w:val="001C5CFC"/>
    <w:rsid w:val="00202FA1"/>
    <w:rsid w:val="00245D58"/>
    <w:rsid w:val="0026654D"/>
    <w:rsid w:val="00285D27"/>
    <w:rsid w:val="002B747A"/>
    <w:rsid w:val="002E3AF5"/>
    <w:rsid w:val="00313DD7"/>
    <w:rsid w:val="00325D2A"/>
    <w:rsid w:val="00333CBC"/>
    <w:rsid w:val="003E5272"/>
    <w:rsid w:val="003F3125"/>
    <w:rsid w:val="004D0720"/>
    <w:rsid w:val="004D7539"/>
    <w:rsid w:val="004E045D"/>
    <w:rsid w:val="004E3DAE"/>
    <w:rsid w:val="004E657A"/>
    <w:rsid w:val="004F7DC4"/>
    <w:rsid w:val="00520E8A"/>
    <w:rsid w:val="005400C8"/>
    <w:rsid w:val="00544C7D"/>
    <w:rsid w:val="0055614C"/>
    <w:rsid w:val="00556632"/>
    <w:rsid w:val="00557351"/>
    <w:rsid w:val="00592F33"/>
    <w:rsid w:val="005B6656"/>
    <w:rsid w:val="00621BF4"/>
    <w:rsid w:val="006658A1"/>
    <w:rsid w:val="0068526D"/>
    <w:rsid w:val="00752565"/>
    <w:rsid w:val="007A2355"/>
    <w:rsid w:val="007E366C"/>
    <w:rsid w:val="00820C63"/>
    <w:rsid w:val="0084301A"/>
    <w:rsid w:val="008720EE"/>
    <w:rsid w:val="00881780"/>
    <w:rsid w:val="008A619F"/>
    <w:rsid w:val="008C468C"/>
    <w:rsid w:val="008D14A1"/>
    <w:rsid w:val="008F2EFF"/>
    <w:rsid w:val="00917890"/>
    <w:rsid w:val="00947072"/>
    <w:rsid w:val="00982A75"/>
    <w:rsid w:val="00A13856"/>
    <w:rsid w:val="00A33A3C"/>
    <w:rsid w:val="00A357F4"/>
    <w:rsid w:val="00A80681"/>
    <w:rsid w:val="00AA2AB1"/>
    <w:rsid w:val="00AC5257"/>
    <w:rsid w:val="00AD6B2A"/>
    <w:rsid w:val="00B96718"/>
    <w:rsid w:val="00C10CB3"/>
    <w:rsid w:val="00C22678"/>
    <w:rsid w:val="00C331B1"/>
    <w:rsid w:val="00C37ED3"/>
    <w:rsid w:val="00C64E7D"/>
    <w:rsid w:val="00C728A1"/>
    <w:rsid w:val="00C74602"/>
    <w:rsid w:val="00C94DDD"/>
    <w:rsid w:val="00CD3A06"/>
    <w:rsid w:val="00CD6D62"/>
    <w:rsid w:val="00CE123F"/>
    <w:rsid w:val="00CF7017"/>
    <w:rsid w:val="00D31748"/>
    <w:rsid w:val="00D80658"/>
    <w:rsid w:val="00D96277"/>
    <w:rsid w:val="00DD3072"/>
    <w:rsid w:val="00DF58D5"/>
    <w:rsid w:val="00E31C9E"/>
    <w:rsid w:val="00E740A2"/>
    <w:rsid w:val="00E7643B"/>
    <w:rsid w:val="00EE08DF"/>
    <w:rsid w:val="00F306DD"/>
    <w:rsid w:val="00F61F92"/>
    <w:rsid w:val="00F96369"/>
    <w:rsid w:val="00FE5938"/>
    <w:rsid w:val="00FE6BF6"/>
    <w:rsid w:val="00FF1B52"/>
    <w:rsid w:val="0E7689F4"/>
    <w:rsid w:val="11AE2AB6"/>
    <w:rsid w:val="1C3625D9"/>
    <w:rsid w:val="21186508"/>
    <w:rsid w:val="366FF295"/>
    <w:rsid w:val="40C04238"/>
    <w:rsid w:val="441A3D88"/>
    <w:rsid w:val="4D10D30D"/>
    <w:rsid w:val="63667AA2"/>
    <w:rsid w:val="7594D33B"/>
    <w:rsid w:val="77168A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300C"/>
  <w15:chartTrackingRefBased/>
  <w15:docId w15:val="{CC1EEE7E-51BE-435A-A314-DB191E20FC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619F"/>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8A61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A619F"/>
    <w:pPr>
      <w:ind w:left="720"/>
      <w:contextualSpacing/>
    </w:pPr>
  </w:style>
  <w:style w:type="paragraph" w:styleId="NormalWeb">
    <w:name w:val="Normal (Web)"/>
    <w:basedOn w:val="Normal"/>
    <w:link w:val="NormalWebCar"/>
    <w:uiPriority w:val="99"/>
    <w:unhideWhenUsed/>
    <w:rsid w:val="008A619F"/>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aliases w:val="No Indent"/>
    <w:uiPriority w:val="3"/>
    <w:qFormat/>
    <w:rsid w:val="008A619F"/>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A619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8A619F"/>
    <w:rPr>
      <w:sz w:val="20"/>
      <w:szCs w:val="20"/>
    </w:rPr>
  </w:style>
  <w:style w:type="character" w:styleId="TextonotapieCar1" w:customStyle="1">
    <w:name w:val="Texto nota pie Car1"/>
    <w:basedOn w:val="Fuentedeprrafopredeter"/>
    <w:uiPriority w:val="99"/>
    <w:semiHidden/>
    <w:rsid w:val="008A619F"/>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A619F"/>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8A619F"/>
    <w:rPr>
      <w:vertAlign w:val="superscript"/>
    </w:rPr>
  </w:style>
  <w:style w:type="character" w:styleId="Textoennegrita">
    <w:name w:val="Strong"/>
    <w:basedOn w:val="Fuentedeprrafopredeter"/>
    <w:uiPriority w:val="22"/>
    <w:qFormat/>
    <w:rsid w:val="008A619F"/>
    <w:rPr>
      <w:b/>
      <w:bCs/>
    </w:rPr>
  </w:style>
  <w:style w:type="character" w:styleId="nfasis">
    <w:name w:val="Emphasis"/>
    <w:basedOn w:val="Fuentedeprrafopredeter"/>
    <w:uiPriority w:val="20"/>
    <w:qFormat/>
    <w:rsid w:val="008A619F"/>
    <w:rPr>
      <w:i/>
      <w:iCs/>
    </w:rPr>
  </w:style>
  <w:style w:type="character" w:styleId="NormalWebCar" w:customStyle="1">
    <w:name w:val="Normal (Web) Car"/>
    <w:link w:val="NormalWeb"/>
    <w:uiPriority w:val="99"/>
    <w:rsid w:val="008A619F"/>
    <w:rPr>
      <w:rFonts w:ascii="Times New Roman" w:hAnsi="Times New Roman" w:eastAsia="Times New Roman" w:cs="Times New Roman"/>
      <w:sz w:val="24"/>
      <w:szCs w:val="24"/>
      <w:lang w:eastAsia="es-CO"/>
    </w:rPr>
  </w:style>
  <w:style w:type="paragraph" w:styleId="Appelnotedebasde" w:customStyle="1">
    <w:name w:val="Appel note de bas de..."/>
    <w:basedOn w:val="Normal"/>
    <w:link w:val="Refdenotaalpie"/>
    <w:uiPriority w:val="99"/>
    <w:rsid w:val="00FF1B52"/>
    <w:pPr>
      <w:spacing w:after="160" w:line="240" w:lineRule="exact"/>
    </w:pPr>
    <w:rPr>
      <w:sz w:val="22"/>
      <w:vertAlign w:val="superscript"/>
      <w:lang w:val="es-CO"/>
    </w:rPr>
  </w:style>
  <w:style w:type="paragraph" w:styleId="paragraph" w:customStyle="1">
    <w:name w:val="paragraph"/>
    <w:basedOn w:val="Normal"/>
    <w:rsid w:val="00FF1B52"/>
    <w:pPr>
      <w:spacing w:before="100" w:beforeAutospacing="1" w:after="100" w:afterAutospacing="1"/>
    </w:pPr>
    <w:rPr>
      <w:rFonts w:ascii="Times New Roman" w:hAnsi="Times New Roman" w:eastAsia="Times New Roman" w:cs="Times New Roman"/>
      <w:szCs w:val="24"/>
      <w:lang w:val="es-CO" w:eastAsia="es-ES_tradnl"/>
    </w:rPr>
  </w:style>
  <w:style w:type="table" w:styleId="Tablaconcuadrcula1" w:customStyle="1">
    <w:name w:val="Tabla con cuadrícula1"/>
    <w:basedOn w:val="Tablanormal"/>
    <w:next w:val="Tablaconcuadrcula"/>
    <w:uiPriority w:val="59"/>
    <w:rsid w:val="00CF7017"/>
    <w:pPr>
      <w:spacing w:after="0" w:line="240" w:lineRule="auto"/>
      <w:ind w:right="51" w:firstLine="7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55614C"/>
    <w:rPr>
      <w:sz w:val="16"/>
      <w:szCs w:val="16"/>
    </w:rPr>
  </w:style>
  <w:style w:type="paragraph" w:styleId="Textocomentario">
    <w:name w:val="annotation text"/>
    <w:basedOn w:val="Normal"/>
    <w:link w:val="TextocomentarioCar"/>
    <w:uiPriority w:val="99"/>
    <w:unhideWhenUsed/>
    <w:rsid w:val="0055614C"/>
    <w:rPr>
      <w:sz w:val="20"/>
      <w:szCs w:val="20"/>
    </w:rPr>
  </w:style>
  <w:style w:type="character" w:styleId="TextocomentarioCar" w:customStyle="1">
    <w:name w:val="Texto comentario Car"/>
    <w:basedOn w:val="Fuentedeprrafopredeter"/>
    <w:link w:val="Textocomentario"/>
    <w:uiPriority w:val="99"/>
    <w:rsid w:val="0055614C"/>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55614C"/>
    <w:rPr>
      <w:b/>
      <w:bCs/>
    </w:rPr>
  </w:style>
  <w:style w:type="character" w:styleId="AsuntodelcomentarioCar" w:customStyle="1">
    <w:name w:val="Asunto del comentario Car"/>
    <w:basedOn w:val="TextocomentarioCar"/>
    <w:link w:val="Asuntodelcomentario"/>
    <w:uiPriority w:val="99"/>
    <w:semiHidden/>
    <w:rsid w:val="0055614C"/>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image" Target="media/image2.png"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emf"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7326BA1-5775-46CD-9510-E69D02AFA5F3}"/>
</file>

<file path=customXml/itemProps2.xml><?xml version="1.0" encoding="utf-8"?>
<ds:datastoreItem xmlns:ds="http://schemas.openxmlformats.org/officeDocument/2006/customXml" ds:itemID="{20DA7B16-D4E9-4FA3-B705-3B27F10CBA6B}"/>
</file>

<file path=customXml/itemProps3.xml><?xml version="1.0" encoding="utf-8"?>
<ds:datastoreItem xmlns:ds="http://schemas.openxmlformats.org/officeDocument/2006/customXml" ds:itemID="{5AD6C669-88D5-4100-89CA-16F97F0F1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Fernández Reinoso</dc:creator>
  <keywords/>
  <dc:description/>
  <lastModifiedBy>Nasly Yeana Mosquera Rivas</lastModifiedBy>
  <revision>4</revision>
  <dcterms:created xsi:type="dcterms:W3CDTF">2021-07-26T16:07:00.0000000Z</dcterms:created>
  <dcterms:modified xsi:type="dcterms:W3CDTF">2021-08-02T16:02:53.9217358Z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