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CAC71" w14:textId="5282EFA7" w:rsidR="002415B8" w:rsidRPr="008918A2" w:rsidRDefault="00B55C69" w:rsidP="008536BB">
      <w:pPr>
        <w:jc w:val="right"/>
        <w:rPr>
          <w:rFonts w:ascii="Arial" w:eastAsia="Calibri" w:hAnsi="Arial" w:cs="Arial"/>
          <w:b/>
          <w:color w:val="000000" w:themeColor="text1"/>
          <w:sz w:val="20"/>
          <w:szCs w:val="20"/>
          <w:lang w:val="es-ES_tradnl"/>
        </w:rPr>
      </w:pPr>
      <w:bookmarkStart w:id="0" w:name="_Hlk28946138"/>
      <w:bookmarkStart w:id="1" w:name="_Hlk29548183"/>
      <w:r w:rsidRPr="008918A2">
        <w:rPr>
          <w:rFonts w:ascii="Arial" w:hAnsi="Arial" w:cs="Arial"/>
          <w:bCs/>
          <w:color w:val="000000" w:themeColor="text1"/>
          <w:sz w:val="16"/>
          <w:szCs w:val="16"/>
          <w:lang w:val="es-ES_tradnl" w:eastAsia="es-ES"/>
        </w:rPr>
        <w:t>CCE-DES-FM-17</w:t>
      </w:r>
      <w:bookmarkEnd w:id="0"/>
      <w:bookmarkEnd w:id="1"/>
    </w:p>
    <w:p w14:paraId="077300E1" w14:textId="43A76FCB" w:rsidR="002C139C" w:rsidRDefault="002C139C" w:rsidP="00595B4F">
      <w:pPr>
        <w:jc w:val="both"/>
        <w:rPr>
          <w:rFonts w:ascii="Arial" w:hAnsi="Arial" w:cs="Arial"/>
          <w:b/>
          <w:noProof/>
          <w:color w:val="000000" w:themeColor="text1"/>
          <w:sz w:val="22"/>
          <w:szCs w:val="22"/>
          <w:lang w:val="es-ES_tradnl"/>
        </w:rPr>
      </w:pPr>
      <w:r w:rsidRPr="00885C58">
        <w:rPr>
          <w:rFonts w:ascii="Arial" w:hAnsi="Arial" w:cs="Arial"/>
          <w:b/>
          <w:noProof/>
          <w:color w:val="000000" w:themeColor="text1"/>
          <w:sz w:val="22"/>
          <w:szCs w:val="22"/>
          <w:lang w:val="es-ES_tradnl"/>
        </w:rPr>
        <w:t xml:space="preserve">EMERGENCIA SANITARIA – Estado de emergencia económica, social y ecológica – Diferencias </w:t>
      </w:r>
    </w:p>
    <w:p w14:paraId="0978A015" w14:textId="77777777" w:rsidR="00595B4F" w:rsidRPr="00885C58" w:rsidRDefault="00595B4F" w:rsidP="00BE3F4F">
      <w:pPr>
        <w:jc w:val="both"/>
        <w:rPr>
          <w:rFonts w:ascii="Arial" w:hAnsi="Arial" w:cs="Arial"/>
          <w:b/>
          <w:noProof/>
          <w:color w:val="000000" w:themeColor="text1"/>
          <w:sz w:val="22"/>
          <w:szCs w:val="22"/>
          <w:lang w:val="es-ES_tradnl"/>
        </w:rPr>
      </w:pPr>
    </w:p>
    <w:p w14:paraId="02C25E7A" w14:textId="75AF1AFA" w:rsidR="00BE3F4F" w:rsidRPr="00BE3F4F" w:rsidRDefault="00BE3F4F" w:rsidP="00236350">
      <w:pPr>
        <w:jc w:val="both"/>
        <w:rPr>
          <w:rFonts w:ascii="Arial" w:hAnsi="Arial" w:cs="Arial"/>
          <w:noProof/>
          <w:color w:val="000000" w:themeColor="text1"/>
          <w:sz w:val="20"/>
          <w:szCs w:val="20"/>
          <w:lang w:val="es-ES_tradnl"/>
        </w:rPr>
      </w:pPr>
      <w:r w:rsidRPr="00BE3F4F">
        <w:rPr>
          <w:rFonts w:ascii="Arial" w:hAnsi="Arial" w:cs="Arial"/>
          <w:noProof/>
          <w:color w:val="000000" w:themeColor="text1"/>
          <w:sz w:val="20"/>
          <w:szCs w:val="20"/>
          <w:lang w:val="es-ES_tradnl"/>
        </w:rPr>
        <w:t>no se puede confundir el estado de emergencia económica, social y ecológica que rigió por dos períodos que ya finalizaron en el año 2020, con el estado de emergencia sanitaria que aún continúa. En efecto, la emergencia sanitaria –que no es un estado de excepción–, sino una medida administrativa para mitigar y atender una situación sanitaria, fue declarada en la Resolución 385 del 2020, expedida por el Ministerio de Salud, para regir entre el 12 de marzo y el 30 de mayo de 2020 –obsérvese que esta emergencia sanitaria se declaró antes de que se decretara el estado de excepción–, y se ha venido prorrogando ininterrumpidamente mediante diferentes actos administrativos. En efecto, el 26 de mayo de 2021 se expidió la Resolución 738 «Por la cual se prorroga la emergencia sanitaria por el nuevo coronavirus COVID-19, declarada mediante Resolución 385 de 2020 y prorrogada por las Resoluciones 844, 1462 y 2230 de 2020 y 222 de 2021», mediante las cuales se  extendió la emergencia sanitaria hasta el 31 de agosto de 2021. De lo anterior se desprende que aún nos encontramos ante un estado de emergencia sanitaria.</w:t>
      </w:r>
    </w:p>
    <w:p w14:paraId="188E0815" w14:textId="77777777" w:rsidR="00685ED9" w:rsidRPr="002C139C" w:rsidRDefault="00685ED9" w:rsidP="00BE3F4F">
      <w:pPr>
        <w:jc w:val="both"/>
        <w:rPr>
          <w:rFonts w:ascii="Arial" w:eastAsia="Calibri" w:hAnsi="Arial" w:cs="Arial"/>
          <w:b/>
          <w:sz w:val="20"/>
          <w:szCs w:val="20"/>
          <w:lang w:val="es-ES_tradnl"/>
        </w:rPr>
      </w:pPr>
    </w:p>
    <w:p w14:paraId="1BD8C621" w14:textId="412B3368" w:rsidR="00685ED9" w:rsidRDefault="009936FA" w:rsidP="00BE3F4F">
      <w:pPr>
        <w:jc w:val="both"/>
        <w:rPr>
          <w:rFonts w:ascii="Arial" w:eastAsia="Calibri" w:hAnsi="Arial" w:cs="Arial"/>
          <w:b/>
          <w:sz w:val="22"/>
          <w:lang w:val="es-ES_tradnl"/>
        </w:rPr>
      </w:pPr>
      <w:r>
        <w:rPr>
          <w:rFonts w:ascii="Arial" w:eastAsia="Calibri" w:hAnsi="Arial" w:cs="Arial"/>
          <w:b/>
          <w:sz w:val="22"/>
          <w:lang w:val="es-ES_tradnl"/>
        </w:rPr>
        <w:t xml:space="preserve">DECRETO 597 DE 2020 – Naturaleza – Finalidad </w:t>
      </w:r>
    </w:p>
    <w:p w14:paraId="4EDE4C8A" w14:textId="77777777" w:rsidR="009936FA" w:rsidRDefault="009936FA" w:rsidP="00BE3F4F">
      <w:pPr>
        <w:jc w:val="both"/>
        <w:rPr>
          <w:rFonts w:ascii="Arial" w:eastAsia="Calibri" w:hAnsi="Arial" w:cs="Arial"/>
          <w:b/>
          <w:sz w:val="22"/>
          <w:lang w:val="es-ES_tradnl"/>
        </w:rPr>
      </w:pPr>
    </w:p>
    <w:p w14:paraId="028016B8" w14:textId="51B767AD" w:rsidR="00685ED9" w:rsidRPr="00BE3F4F" w:rsidRDefault="00BE3F4F" w:rsidP="00BE3F4F">
      <w:pPr>
        <w:jc w:val="both"/>
        <w:rPr>
          <w:rFonts w:ascii="Arial" w:hAnsi="Arial" w:cs="Arial"/>
          <w:noProof/>
          <w:color w:val="000000" w:themeColor="text1"/>
          <w:sz w:val="20"/>
          <w:szCs w:val="20"/>
          <w:lang w:val="es-ES_tradnl"/>
        </w:rPr>
      </w:pPr>
      <w:r w:rsidRPr="00BE3F4F">
        <w:rPr>
          <w:rFonts w:ascii="Arial" w:hAnsi="Arial" w:cs="Arial"/>
          <w:noProof/>
          <w:color w:val="000000" w:themeColor="text1"/>
          <w:sz w:val="20"/>
          <w:szCs w:val="20"/>
          <w:lang w:val="es-ES_tradnl"/>
        </w:rPr>
        <w:t>El Decreto 579 de 15 de abril de 2021 es un decreto con fuerza de ley expedido por el Gobierno Nacional en desarrollo del Estado de emergencia declarado mediante el Decreto 417 de 31 de marzo de 2020. Este decreto se expidió como una medida excepcional de alivio frente a los efectos económicos producidos por la emergencia ocasionada por la Pandemia del Covid-19 sobre l</w:t>
      </w:r>
      <w:r>
        <w:rPr>
          <w:rFonts w:ascii="Arial" w:hAnsi="Arial" w:cs="Arial"/>
          <w:noProof/>
          <w:color w:val="000000" w:themeColor="text1"/>
          <w:sz w:val="20"/>
          <w:szCs w:val="20"/>
          <w:lang w:val="es-ES_tradnl"/>
        </w:rPr>
        <w:t xml:space="preserve">os contratos de arrendamiento. </w:t>
      </w:r>
      <w:r w:rsidRPr="00BE3F4F">
        <w:rPr>
          <w:rFonts w:ascii="Arial" w:hAnsi="Arial" w:cs="Arial"/>
          <w:noProof/>
          <w:color w:val="000000" w:themeColor="text1"/>
          <w:sz w:val="20"/>
          <w:szCs w:val="20"/>
          <w:lang w:val="es-ES_tradnl"/>
        </w:rPr>
        <w:t>Este Decreto tiene por objeto fundamentalmente establecer normas sobre suspensión de desalojos de arrendamientos de inmuebles por parte de las autoridades policivas; el reajuste, prórrogas e inicio de los contratos de arrendamiento de dichos inmuebles, para enfrentar la falta de generación de ingresos y el consecuente incumplimiento de sus obligaciones periódicas; y, finalmente, garantizar el distanciamiento social a efectos de evitar la propagación del virus.</w:t>
      </w:r>
    </w:p>
    <w:p w14:paraId="0B410817" w14:textId="684F4A91" w:rsidR="009936FA" w:rsidRDefault="009936FA" w:rsidP="00BE3F4F">
      <w:pPr>
        <w:jc w:val="both"/>
        <w:rPr>
          <w:rFonts w:ascii="Arial" w:eastAsia="Calibri" w:hAnsi="Arial" w:cs="Arial"/>
          <w:b/>
          <w:sz w:val="22"/>
          <w:lang w:val="es-ES_tradnl"/>
        </w:rPr>
      </w:pPr>
      <w:r>
        <w:rPr>
          <w:rFonts w:ascii="Arial" w:eastAsia="Calibri" w:hAnsi="Arial" w:cs="Arial"/>
          <w:b/>
          <w:sz w:val="22"/>
          <w:lang w:val="es-ES_tradnl"/>
        </w:rPr>
        <w:t xml:space="preserve">DECRETO 597 DE 2020 – Prórroga de contratos – Artículo 4 – Contratos estatales – </w:t>
      </w:r>
      <w:r w:rsidR="00885C58">
        <w:rPr>
          <w:rFonts w:ascii="Arial" w:eastAsia="Calibri" w:hAnsi="Arial" w:cs="Arial"/>
          <w:b/>
          <w:sz w:val="22"/>
          <w:lang w:val="es-ES_tradnl"/>
        </w:rPr>
        <w:t xml:space="preserve">Artículo 13 Ley 80 de 1993 – </w:t>
      </w:r>
      <w:r>
        <w:rPr>
          <w:rFonts w:ascii="Arial" w:eastAsia="Calibri" w:hAnsi="Arial" w:cs="Arial"/>
          <w:b/>
          <w:sz w:val="22"/>
          <w:lang w:val="es-ES_tradnl"/>
        </w:rPr>
        <w:t xml:space="preserve">Procedencia </w:t>
      </w:r>
    </w:p>
    <w:p w14:paraId="58E0183F" w14:textId="77777777" w:rsidR="009936FA" w:rsidRDefault="009936FA" w:rsidP="00BE3F4F">
      <w:pPr>
        <w:jc w:val="both"/>
        <w:rPr>
          <w:rFonts w:ascii="Arial" w:eastAsia="Calibri" w:hAnsi="Arial" w:cs="Arial"/>
          <w:b/>
          <w:sz w:val="22"/>
          <w:lang w:val="es-ES_tradnl"/>
        </w:rPr>
      </w:pPr>
    </w:p>
    <w:p w14:paraId="3E388C5F" w14:textId="06843D8B" w:rsidR="00BE3F4F" w:rsidRDefault="00BE3F4F" w:rsidP="00236350">
      <w:pPr>
        <w:jc w:val="both"/>
        <w:rPr>
          <w:rFonts w:ascii="Arial" w:hAnsi="Arial" w:cs="Arial"/>
          <w:color w:val="000000" w:themeColor="text1"/>
          <w:sz w:val="20"/>
          <w:szCs w:val="20"/>
        </w:rPr>
      </w:pPr>
      <w:r w:rsidRPr="00BE3F4F">
        <w:rPr>
          <w:rFonts w:ascii="Arial" w:hAnsi="Arial" w:cs="Arial"/>
          <w:color w:val="000000" w:themeColor="text1"/>
          <w:sz w:val="20"/>
          <w:szCs w:val="20"/>
        </w:rPr>
        <w:t>los contratos de arrendamiento en los que el arrendatario sea una entidad del orden territorial les aplica la prórroga de que trata en el artículo 4 del Decreto 579 de 2020, porque esta norma excepcional, que tiene fuerza de ley, no excluyó de su ámbito de aplicación a los contratos estatales. Además, debe tenerse en cuenta que los contratos suscritos por entidades estatales se rigen por las normas civiles y comerciales, salvo en las materias reguladas en la Ley 80 de 1993, tal como lo establece el artículo 13 de esta ley</w:t>
      </w:r>
      <w:bookmarkStart w:id="2" w:name="_GoBack"/>
      <w:bookmarkEnd w:id="2"/>
      <w:r w:rsidRPr="00BE3F4F">
        <w:rPr>
          <w:rFonts w:ascii="Arial" w:hAnsi="Arial" w:cs="Arial"/>
          <w:color w:val="000000" w:themeColor="text1"/>
          <w:sz w:val="20"/>
          <w:szCs w:val="20"/>
        </w:rPr>
        <w:t>. Sin perjuicio de lo anterior, como se expresó, para la aplicación de estas disposiciones deben tenerse en cuenta los requisitos objetivos establecidos en el Decreto 579 de 2020, frente a los cuales no se estableció alguno que excluyera a los contratos suscritos por entidades estatales de su ámbito de aplicación.</w:t>
      </w:r>
    </w:p>
    <w:p w14:paraId="0E59353A" w14:textId="1A6DEF5B" w:rsidR="00685ED9" w:rsidRPr="00BE3F4F" w:rsidRDefault="009936FA" w:rsidP="00236350">
      <w:pPr>
        <w:jc w:val="both"/>
        <w:rPr>
          <w:rFonts w:ascii="Arial" w:hAnsi="Arial" w:cs="Arial"/>
          <w:noProof/>
          <w:color w:val="000000" w:themeColor="text1"/>
          <w:sz w:val="22"/>
          <w:lang w:val="es-ES_tradnl"/>
        </w:rPr>
      </w:pPr>
      <w:r w:rsidRPr="00BE3F4F">
        <w:rPr>
          <w:rFonts w:ascii="Arial" w:hAnsi="Arial" w:cs="Arial"/>
          <w:noProof/>
          <w:color w:val="000000" w:themeColor="text1"/>
          <w:sz w:val="22"/>
          <w:lang w:val="es-ES_tradnl"/>
        </w:rPr>
        <w:t xml:space="preserve"> </w:t>
      </w:r>
    </w:p>
    <w:p w14:paraId="7DD48F49" w14:textId="55E5CDD9" w:rsidR="00B95C30" w:rsidRDefault="00B95C30" w:rsidP="00B95C30">
      <w:pPr>
        <w:spacing w:line="276" w:lineRule="auto"/>
        <w:jc w:val="both"/>
        <w:rPr>
          <w:rFonts w:ascii="Arial" w:hAnsi="Arial" w:cs="Arial"/>
          <w:b/>
          <w:bCs/>
          <w:noProof/>
          <w:color w:val="000000" w:themeColor="text1"/>
          <w:sz w:val="22"/>
          <w:lang w:val="es-ES_tradnl"/>
        </w:rPr>
      </w:pPr>
      <w:r w:rsidRPr="008918A2">
        <w:rPr>
          <w:rFonts w:ascii="Arial" w:hAnsi="Arial" w:cs="Arial"/>
          <w:noProof/>
          <w:color w:val="000000" w:themeColor="text1"/>
          <w:sz w:val="22"/>
          <w:lang w:val="es-ES_tradnl"/>
        </w:rPr>
        <w:t xml:space="preserve">Bogotá D.C., </w:t>
      </w:r>
    </w:p>
    <w:p w14:paraId="6E3AE5DE" w14:textId="77777777" w:rsidR="00BD641B" w:rsidRPr="008918A2" w:rsidRDefault="00BD641B" w:rsidP="00B95C30">
      <w:pPr>
        <w:spacing w:line="276" w:lineRule="auto"/>
        <w:jc w:val="both"/>
        <w:rPr>
          <w:rFonts w:ascii="Arial" w:eastAsia="Calibri" w:hAnsi="Arial" w:cs="Arial"/>
          <w:noProof/>
          <w:color w:val="000000" w:themeColor="text1"/>
          <w:sz w:val="20"/>
          <w:lang w:val="es-ES_tradnl"/>
        </w:rPr>
      </w:pPr>
    </w:p>
    <w:p w14:paraId="092D4DA7" w14:textId="1D8334E6" w:rsidR="00F62386" w:rsidRPr="00F62386" w:rsidRDefault="00F62386" w:rsidP="00F62386">
      <w:pPr>
        <w:jc w:val="right"/>
      </w:pPr>
      <w:r>
        <w:fldChar w:fldCharType="begin"/>
      </w:r>
      <w:r w:rsidR="00C67E59">
        <w:instrText xml:space="preserve"> INCLUDEPICTURE "C:\\var\\folders\\5l\\v1rdjm0x1x9416lmbj7_vjt40000gn\\T\\com.microsoft.Word\\WebArchiveCopyPasteTempFiles\\page1image1768000" \* MERGEFORMAT </w:instrText>
      </w:r>
      <w:r>
        <w:fldChar w:fldCharType="end"/>
      </w:r>
    </w:p>
    <w:p w14:paraId="6A8A869B" w14:textId="77777777" w:rsidR="00B95C30" w:rsidRPr="008918A2" w:rsidRDefault="00B95C30" w:rsidP="00B95C30">
      <w:pPr>
        <w:jc w:val="both"/>
        <w:rPr>
          <w:rFonts w:ascii="Arial" w:hAnsi="Arial" w:cs="Arial"/>
          <w:b/>
          <w:color w:val="000000" w:themeColor="text1"/>
          <w:sz w:val="22"/>
          <w:lang w:val="es-ES_tradnl"/>
        </w:rPr>
      </w:pPr>
    </w:p>
    <w:p w14:paraId="5F5AE9EF" w14:textId="0AD9BAF6" w:rsidR="00B95C30" w:rsidRPr="008918A2" w:rsidRDefault="00BE4FBF" w:rsidP="00B95C30">
      <w:pPr>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Señora</w:t>
      </w:r>
    </w:p>
    <w:p w14:paraId="5534D9BC" w14:textId="572ACF49" w:rsidR="00F7084F" w:rsidRPr="008918A2" w:rsidRDefault="00BD641B" w:rsidP="00B95C30">
      <w:pPr>
        <w:jc w:val="both"/>
        <w:rPr>
          <w:rFonts w:ascii="Arial" w:eastAsia="Calibri" w:hAnsi="Arial" w:cs="Arial"/>
          <w:b/>
          <w:color w:val="000000" w:themeColor="text1"/>
          <w:sz w:val="22"/>
          <w:lang w:val="es-ES_tradnl"/>
        </w:rPr>
      </w:pPr>
      <w:r>
        <w:rPr>
          <w:rFonts w:ascii="Arial" w:eastAsia="Calibri" w:hAnsi="Arial" w:cs="Arial"/>
          <w:b/>
          <w:color w:val="000000" w:themeColor="text1"/>
          <w:sz w:val="22"/>
          <w:lang w:val="es-ES_tradnl"/>
        </w:rPr>
        <w:t>Karen Güiza Pinzón</w:t>
      </w:r>
    </w:p>
    <w:p w14:paraId="09D4AEA8" w14:textId="3166F0E9" w:rsidR="00B95C30" w:rsidRPr="008918A2" w:rsidRDefault="00B95C30" w:rsidP="00B95C30">
      <w:pPr>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Ciudad</w:t>
      </w:r>
    </w:p>
    <w:p w14:paraId="3F3D1203" w14:textId="77777777" w:rsidR="00B95C30" w:rsidRPr="008918A2" w:rsidRDefault="00B95C30" w:rsidP="00B95C30">
      <w:pPr>
        <w:jc w:val="both"/>
        <w:rPr>
          <w:rFonts w:ascii="Arial" w:eastAsia="Calibri" w:hAnsi="Arial" w:cs="Arial"/>
          <w:color w:val="000000" w:themeColor="text1"/>
          <w:sz w:val="22"/>
          <w:lang w:val="es-ES_tradnl"/>
        </w:rPr>
      </w:pPr>
    </w:p>
    <w:p w14:paraId="24E8D2A9" w14:textId="77777777" w:rsidR="00B95C30" w:rsidRPr="008918A2" w:rsidRDefault="00B95C30" w:rsidP="00B95C30">
      <w:pPr>
        <w:jc w:val="both"/>
        <w:rPr>
          <w:rFonts w:ascii="Arial" w:eastAsia="Calibri" w:hAnsi="Arial" w:cs="Arial"/>
          <w:color w:val="000000" w:themeColor="text1"/>
          <w:sz w:val="22"/>
          <w:lang w:val="es-ES_tradnl"/>
        </w:rPr>
      </w:pPr>
    </w:p>
    <w:p w14:paraId="12E66182" w14:textId="4CAFFE45" w:rsidR="00B95C30" w:rsidRPr="008918A2" w:rsidRDefault="00B95C30" w:rsidP="00B95C30">
      <w:pPr>
        <w:jc w:val="center"/>
        <w:rPr>
          <w:rFonts w:ascii="Arial" w:eastAsia="Calibri" w:hAnsi="Arial" w:cs="Arial"/>
          <w:b/>
          <w:bCs/>
          <w:color w:val="000000" w:themeColor="text1"/>
          <w:sz w:val="22"/>
          <w:lang w:val="es-ES_tradnl"/>
        </w:rPr>
      </w:pPr>
      <w:r w:rsidRPr="001D639C">
        <w:rPr>
          <w:rFonts w:ascii="Arial" w:eastAsia="Calibri" w:hAnsi="Arial" w:cs="Arial"/>
          <w:b/>
          <w:bCs/>
          <w:color w:val="000000" w:themeColor="text1"/>
          <w:sz w:val="22"/>
          <w:lang w:val="es-ES_tradnl"/>
        </w:rPr>
        <w:t xml:space="preserve">Concepto C ‒ </w:t>
      </w:r>
      <w:r w:rsidR="00BD641B">
        <w:rPr>
          <w:rFonts w:ascii="Arial" w:eastAsia="Calibri" w:hAnsi="Arial" w:cs="Arial"/>
          <w:b/>
          <w:bCs/>
          <w:color w:val="000000" w:themeColor="text1"/>
          <w:sz w:val="22"/>
          <w:lang w:val="es-ES_tradnl"/>
        </w:rPr>
        <w:t>274</w:t>
      </w:r>
      <w:r w:rsidRPr="001D639C">
        <w:rPr>
          <w:rFonts w:ascii="Arial" w:eastAsia="Calibri" w:hAnsi="Arial" w:cs="Arial"/>
          <w:b/>
          <w:bCs/>
          <w:color w:val="000000" w:themeColor="text1"/>
          <w:sz w:val="22"/>
          <w:lang w:val="es-ES_tradnl"/>
        </w:rPr>
        <w:t xml:space="preserve"> de 202</w:t>
      </w:r>
      <w:r w:rsidR="00092B71" w:rsidRPr="001D639C">
        <w:rPr>
          <w:rFonts w:ascii="Arial" w:eastAsia="Calibri" w:hAnsi="Arial" w:cs="Arial"/>
          <w:b/>
          <w:bCs/>
          <w:color w:val="000000" w:themeColor="text1"/>
          <w:sz w:val="22"/>
          <w:lang w:val="es-ES_tradnl"/>
        </w:rPr>
        <w:t>1</w:t>
      </w:r>
    </w:p>
    <w:p w14:paraId="2B376FFA" w14:textId="77777777" w:rsidR="00B95C30" w:rsidRPr="008918A2" w:rsidRDefault="00B95C30" w:rsidP="00B95C30">
      <w:pPr>
        <w:jc w:val="both"/>
        <w:rPr>
          <w:rFonts w:ascii="Arial" w:eastAsia="Calibri" w:hAnsi="Arial" w:cs="Arial"/>
          <w:color w:val="000000" w:themeColor="text1"/>
          <w:sz w:val="22"/>
          <w:lang w:val="es-ES_tradnl"/>
        </w:rPr>
      </w:pPr>
    </w:p>
    <w:p w14:paraId="08CF82B2" w14:textId="77777777" w:rsidR="00B95C30" w:rsidRPr="008918A2" w:rsidRDefault="00B95C30" w:rsidP="00B95C30">
      <w:pPr>
        <w:jc w:val="both"/>
        <w:rPr>
          <w:rFonts w:ascii="Arial" w:eastAsia="Calibri" w:hAnsi="Arial" w:cs="Arial"/>
          <w:color w:val="000000" w:themeColor="text1"/>
          <w:sz w:val="22"/>
          <w:lang w:val="es-ES_tradnl"/>
        </w:rPr>
      </w:pPr>
    </w:p>
    <w:p w14:paraId="1BD594F9" w14:textId="77777777" w:rsidR="00B95C30" w:rsidRPr="008918A2" w:rsidRDefault="00B95C30" w:rsidP="00B95C30">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B95C30" w:rsidRPr="008918A2" w14:paraId="19DFC051" w14:textId="77777777" w:rsidTr="008F4163">
        <w:tc>
          <w:tcPr>
            <w:tcW w:w="2689" w:type="dxa"/>
          </w:tcPr>
          <w:p w14:paraId="6BC0D1AC" w14:textId="77777777" w:rsidR="00B95C30" w:rsidRPr="002C139C" w:rsidRDefault="00B95C30" w:rsidP="00236350">
            <w:pPr>
              <w:jc w:val="both"/>
              <w:rPr>
                <w:rFonts w:ascii="Arial" w:eastAsia="Calibri" w:hAnsi="Arial" w:cs="Arial"/>
                <w:color w:val="000000" w:themeColor="text1"/>
                <w:sz w:val="22"/>
                <w:szCs w:val="22"/>
                <w:lang w:val="es-ES_tradnl"/>
              </w:rPr>
            </w:pPr>
            <w:r w:rsidRPr="002C139C">
              <w:rPr>
                <w:rFonts w:ascii="Arial" w:eastAsia="Calibri" w:hAnsi="Arial" w:cs="Arial"/>
                <w:b/>
                <w:color w:val="000000" w:themeColor="text1"/>
                <w:sz w:val="22"/>
                <w:szCs w:val="22"/>
                <w:lang w:val="es-ES_tradnl"/>
              </w:rPr>
              <w:t>Temas:</w:t>
            </w:r>
            <w:r w:rsidRPr="002C139C">
              <w:rPr>
                <w:rFonts w:ascii="Arial" w:eastAsia="Calibri" w:hAnsi="Arial" w:cs="Arial"/>
                <w:color w:val="000000" w:themeColor="text1"/>
                <w:sz w:val="22"/>
                <w:szCs w:val="22"/>
                <w:lang w:val="es-ES_tradnl"/>
              </w:rPr>
              <w:t xml:space="preserve">                                      </w:t>
            </w:r>
          </w:p>
        </w:tc>
        <w:tc>
          <w:tcPr>
            <w:tcW w:w="6237" w:type="dxa"/>
          </w:tcPr>
          <w:p w14:paraId="5F389CAF" w14:textId="76C381DC" w:rsidR="009936FA" w:rsidRPr="00BE3F4F" w:rsidRDefault="002C139C" w:rsidP="00BE3F4F">
            <w:pPr>
              <w:jc w:val="both"/>
              <w:rPr>
                <w:rFonts w:ascii="Arial" w:eastAsia="Calibri" w:hAnsi="Arial" w:cs="Arial"/>
                <w:bCs/>
                <w:sz w:val="22"/>
                <w:lang w:val="es-ES_tradnl"/>
              </w:rPr>
            </w:pPr>
            <w:r w:rsidRPr="00BE3F4F">
              <w:rPr>
                <w:rFonts w:ascii="Arial" w:hAnsi="Arial" w:cs="Arial"/>
                <w:bCs/>
                <w:noProof/>
                <w:color w:val="000000" w:themeColor="text1"/>
                <w:sz w:val="22"/>
                <w:szCs w:val="22"/>
                <w:lang w:val="es-ES_tradnl"/>
              </w:rPr>
              <w:t>EMERGENCIA SANITARIA – Estado de emergencia económica, so</w:t>
            </w:r>
            <w:r w:rsidR="00BE3F4F">
              <w:rPr>
                <w:rFonts w:ascii="Arial" w:hAnsi="Arial" w:cs="Arial"/>
                <w:bCs/>
                <w:noProof/>
                <w:color w:val="000000" w:themeColor="text1"/>
                <w:sz w:val="22"/>
                <w:szCs w:val="22"/>
                <w:lang w:val="es-ES_tradnl"/>
              </w:rPr>
              <w:t xml:space="preserve">cial y ecológica – Diferencias </w:t>
            </w:r>
            <w:r w:rsidRPr="00BE3F4F">
              <w:rPr>
                <w:rFonts w:ascii="Arial" w:eastAsia="Calibri" w:hAnsi="Arial" w:cs="Arial"/>
                <w:bCs/>
                <w:sz w:val="22"/>
                <w:szCs w:val="22"/>
                <w:lang w:val="es-ES_tradnl"/>
              </w:rPr>
              <w:t>/</w:t>
            </w:r>
            <w:r w:rsidR="009936FA" w:rsidRPr="00BE3F4F">
              <w:rPr>
                <w:rFonts w:ascii="Arial" w:eastAsia="Calibri" w:hAnsi="Arial" w:cs="Arial"/>
                <w:bCs/>
                <w:sz w:val="22"/>
                <w:szCs w:val="22"/>
                <w:lang w:val="es-ES_tradnl"/>
              </w:rPr>
              <w:t xml:space="preserve"> </w:t>
            </w:r>
            <w:r w:rsidR="009936FA" w:rsidRPr="00BE3F4F">
              <w:rPr>
                <w:rFonts w:ascii="Arial" w:eastAsia="Calibri" w:hAnsi="Arial" w:cs="Arial"/>
                <w:bCs/>
                <w:sz w:val="22"/>
                <w:lang w:val="es-ES_tradnl"/>
              </w:rPr>
              <w:t xml:space="preserve">DECRETO 597 DE 2020 – Naturaleza – Finalidad / DECRETO 597 DE 2020 – Prórroga de contratos – Artículo 4 – Contratos estatales – </w:t>
            </w:r>
            <w:r w:rsidR="00885C58" w:rsidRPr="00BE3F4F">
              <w:rPr>
                <w:rFonts w:ascii="Arial" w:eastAsia="Calibri" w:hAnsi="Arial" w:cs="Arial"/>
                <w:bCs/>
                <w:sz w:val="22"/>
                <w:lang w:val="es-ES_tradnl"/>
              </w:rPr>
              <w:t xml:space="preserve">Artículo 13 Ley 80 de 1993 – </w:t>
            </w:r>
            <w:r w:rsidR="009936FA" w:rsidRPr="00BE3F4F">
              <w:rPr>
                <w:rFonts w:ascii="Arial" w:eastAsia="Calibri" w:hAnsi="Arial" w:cs="Arial"/>
                <w:bCs/>
                <w:sz w:val="22"/>
                <w:lang w:val="es-ES_tradnl"/>
              </w:rPr>
              <w:t>Procedencia /</w:t>
            </w:r>
          </w:p>
        </w:tc>
      </w:tr>
      <w:tr w:rsidR="00B95C30" w:rsidRPr="008918A2" w14:paraId="27CD52AB" w14:textId="77777777" w:rsidTr="008F4163">
        <w:tc>
          <w:tcPr>
            <w:tcW w:w="2689" w:type="dxa"/>
          </w:tcPr>
          <w:p w14:paraId="37E195A1" w14:textId="1BA218D5" w:rsidR="00B95C30" w:rsidRPr="008918A2" w:rsidRDefault="00B95C30" w:rsidP="008F4163">
            <w:pPr>
              <w:spacing w:before="120"/>
              <w:jc w:val="both"/>
              <w:rPr>
                <w:rFonts w:ascii="Arial" w:eastAsia="Calibri" w:hAnsi="Arial" w:cs="Arial"/>
                <w:b/>
                <w:color w:val="000000" w:themeColor="text1"/>
                <w:sz w:val="22"/>
                <w:lang w:val="es-ES_tradnl"/>
              </w:rPr>
            </w:pPr>
            <w:r w:rsidRPr="008918A2">
              <w:rPr>
                <w:rFonts w:ascii="Arial" w:eastAsia="Calibri" w:hAnsi="Arial" w:cs="Arial"/>
                <w:b/>
                <w:color w:val="000000" w:themeColor="text1"/>
                <w:sz w:val="22"/>
                <w:lang w:val="es-ES_tradnl"/>
              </w:rPr>
              <w:t>Radicación:</w:t>
            </w:r>
            <w:r w:rsidRPr="008918A2">
              <w:rPr>
                <w:rFonts w:ascii="Arial" w:eastAsia="Calibri" w:hAnsi="Arial" w:cs="Arial"/>
                <w:color w:val="000000" w:themeColor="text1"/>
                <w:sz w:val="22"/>
                <w:lang w:val="es-ES_tradnl"/>
              </w:rPr>
              <w:t xml:space="preserve">                              </w:t>
            </w:r>
          </w:p>
        </w:tc>
        <w:tc>
          <w:tcPr>
            <w:tcW w:w="6237" w:type="dxa"/>
          </w:tcPr>
          <w:p w14:paraId="64360FC9" w14:textId="5879E607" w:rsidR="00B95C30" w:rsidRPr="008918A2" w:rsidRDefault="00B95C30" w:rsidP="008F4163">
            <w:pPr>
              <w:spacing w:before="120"/>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 xml:space="preserve">Respuesta a consulta # </w:t>
            </w:r>
            <w:r w:rsidR="00182A1D" w:rsidRPr="008918A2">
              <w:rPr>
                <w:rFonts w:ascii="Arial" w:eastAsia="Calibri" w:hAnsi="Arial" w:cs="Arial"/>
                <w:color w:val="000000" w:themeColor="text1"/>
                <w:sz w:val="22"/>
                <w:lang w:val="es-ES_tradnl"/>
              </w:rPr>
              <w:t>P20210</w:t>
            </w:r>
            <w:r w:rsidR="00BD641B">
              <w:rPr>
                <w:rFonts w:ascii="Arial" w:eastAsia="Calibri" w:hAnsi="Arial" w:cs="Arial"/>
                <w:color w:val="000000" w:themeColor="text1"/>
                <w:sz w:val="22"/>
                <w:lang w:val="es-ES_tradnl"/>
              </w:rPr>
              <w:t>0427003544</w:t>
            </w:r>
          </w:p>
          <w:p w14:paraId="09088B1B" w14:textId="77777777" w:rsidR="00B95C30" w:rsidRPr="008918A2" w:rsidRDefault="00B95C30" w:rsidP="008F4163">
            <w:pPr>
              <w:spacing w:before="120"/>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 xml:space="preserve"> </w:t>
            </w:r>
          </w:p>
        </w:tc>
      </w:tr>
    </w:tbl>
    <w:p w14:paraId="0C3B46DE" w14:textId="77777777" w:rsidR="002C139C" w:rsidRDefault="002C139C" w:rsidP="003C3339">
      <w:pPr>
        <w:jc w:val="both"/>
        <w:rPr>
          <w:rFonts w:ascii="Arial" w:eastAsia="Calibri" w:hAnsi="Arial" w:cs="Arial"/>
          <w:color w:val="000000" w:themeColor="text1"/>
          <w:sz w:val="22"/>
          <w:lang w:val="es-ES_tradnl"/>
        </w:rPr>
      </w:pPr>
    </w:p>
    <w:p w14:paraId="1CF4AEA0" w14:textId="1A460BB1" w:rsidR="003C3339" w:rsidRPr="008918A2" w:rsidRDefault="003C3339" w:rsidP="003C3339">
      <w:pPr>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Estimad</w:t>
      </w:r>
      <w:r w:rsidR="00BE4FBF" w:rsidRPr="008918A2">
        <w:rPr>
          <w:rFonts w:ascii="Arial" w:eastAsia="Calibri" w:hAnsi="Arial" w:cs="Arial"/>
          <w:color w:val="000000" w:themeColor="text1"/>
          <w:sz w:val="22"/>
          <w:lang w:val="es-ES_tradnl"/>
        </w:rPr>
        <w:t>a</w:t>
      </w:r>
      <w:r w:rsidRPr="008918A2">
        <w:rPr>
          <w:rFonts w:ascii="Arial" w:eastAsia="Calibri" w:hAnsi="Arial" w:cs="Arial"/>
          <w:color w:val="000000" w:themeColor="text1"/>
          <w:sz w:val="22"/>
          <w:lang w:val="es-ES_tradnl"/>
        </w:rPr>
        <w:t xml:space="preserve"> </w:t>
      </w:r>
      <w:r w:rsidR="0063732C" w:rsidRPr="008918A2">
        <w:rPr>
          <w:rFonts w:ascii="Arial" w:eastAsia="Calibri" w:hAnsi="Arial" w:cs="Arial"/>
          <w:color w:val="000000" w:themeColor="text1"/>
          <w:sz w:val="22"/>
          <w:lang w:val="es-ES_tradnl"/>
        </w:rPr>
        <w:t>señor</w:t>
      </w:r>
      <w:r w:rsidR="00BE4FBF" w:rsidRPr="008918A2">
        <w:rPr>
          <w:rFonts w:ascii="Arial" w:eastAsia="Calibri" w:hAnsi="Arial" w:cs="Arial"/>
          <w:color w:val="000000" w:themeColor="text1"/>
          <w:sz w:val="22"/>
          <w:lang w:val="es-ES_tradnl"/>
        </w:rPr>
        <w:t xml:space="preserve">a </w:t>
      </w:r>
      <w:r w:rsidR="002C139C">
        <w:rPr>
          <w:rFonts w:ascii="Arial" w:eastAsia="Calibri" w:hAnsi="Arial" w:cs="Arial"/>
          <w:color w:val="000000" w:themeColor="text1"/>
          <w:sz w:val="22"/>
          <w:lang w:val="es-ES_tradnl"/>
        </w:rPr>
        <w:t>Güiza</w:t>
      </w:r>
      <w:r w:rsidRPr="008918A2">
        <w:rPr>
          <w:rFonts w:ascii="Arial" w:eastAsia="Calibri" w:hAnsi="Arial" w:cs="Arial"/>
          <w:color w:val="000000" w:themeColor="text1"/>
          <w:sz w:val="22"/>
          <w:lang w:val="es-ES_tradnl"/>
        </w:rPr>
        <w:t>:</w:t>
      </w:r>
    </w:p>
    <w:p w14:paraId="1EAE5543" w14:textId="77777777" w:rsidR="00DD5B04" w:rsidRPr="008918A2" w:rsidRDefault="00DD5B04" w:rsidP="00DF76A2">
      <w:pPr>
        <w:jc w:val="both"/>
        <w:rPr>
          <w:rFonts w:ascii="Arial" w:eastAsia="Calibri" w:hAnsi="Arial" w:cs="Arial"/>
          <w:color w:val="000000" w:themeColor="text1"/>
          <w:sz w:val="22"/>
          <w:lang w:val="es-ES_tradnl"/>
        </w:rPr>
      </w:pPr>
    </w:p>
    <w:p w14:paraId="2109B2D3" w14:textId="220C6C7B" w:rsidR="00DD5B04" w:rsidRPr="008918A2" w:rsidRDefault="00DD5B04" w:rsidP="00DF76A2">
      <w:pPr>
        <w:spacing w:line="276" w:lineRule="auto"/>
        <w:jc w:val="both"/>
        <w:rPr>
          <w:rFonts w:ascii="Arial" w:eastAsia="Calibri" w:hAnsi="Arial" w:cs="Arial"/>
          <w:color w:val="000000" w:themeColor="text1"/>
          <w:sz w:val="22"/>
          <w:lang w:val="es-ES_tradnl"/>
        </w:rPr>
      </w:pPr>
      <w:r w:rsidRPr="008918A2">
        <w:rPr>
          <w:rFonts w:ascii="Arial" w:eastAsia="Calibri" w:hAnsi="Arial" w:cs="Arial"/>
          <w:color w:val="000000" w:themeColor="text1"/>
          <w:sz w:val="22"/>
          <w:lang w:val="es-ES_tradnl"/>
        </w:rPr>
        <w:t>En ejercicio de la competencia otorgada por el numeral 8 del artículo 11 y el numeral 5 del artículo 3 del Decreto Ley 4170 de 2011, la Agencia Nacional de Contratación Pública ― Colombia Compra Eficiente</w:t>
      </w:r>
      <w:r w:rsidR="008C3C57" w:rsidRPr="008918A2">
        <w:rPr>
          <w:rFonts w:ascii="Arial" w:eastAsia="Calibri" w:hAnsi="Arial" w:cs="Arial"/>
          <w:color w:val="000000" w:themeColor="text1"/>
          <w:sz w:val="22"/>
          <w:lang w:val="es-ES_tradnl"/>
        </w:rPr>
        <w:t xml:space="preserve"> </w:t>
      </w:r>
      <w:r w:rsidRPr="008918A2">
        <w:rPr>
          <w:rFonts w:ascii="Arial" w:eastAsia="Calibri" w:hAnsi="Arial" w:cs="Arial"/>
          <w:color w:val="000000" w:themeColor="text1"/>
          <w:sz w:val="22"/>
          <w:lang w:val="es-ES_tradnl"/>
        </w:rPr>
        <w:t xml:space="preserve">responde su consulta del </w:t>
      </w:r>
      <w:r w:rsidR="00113F6C" w:rsidRPr="008918A2">
        <w:rPr>
          <w:rFonts w:ascii="Arial" w:eastAsia="Calibri" w:hAnsi="Arial" w:cs="Arial"/>
          <w:color w:val="000000" w:themeColor="text1"/>
          <w:sz w:val="22"/>
          <w:lang w:val="es-ES_tradnl"/>
        </w:rPr>
        <w:t>1</w:t>
      </w:r>
      <w:r w:rsidR="0053289E" w:rsidRPr="008918A2">
        <w:rPr>
          <w:rFonts w:ascii="Arial" w:eastAsia="Calibri" w:hAnsi="Arial" w:cs="Arial"/>
          <w:color w:val="000000" w:themeColor="text1"/>
          <w:sz w:val="22"/>
          <w:lang w:val="es-ES_tradnl"/>
        </w:rPr>
        <w:t>8</w:t>
      </w:r>
      <w:r w:rsidR="00FD4AF3" w:rsidRPr="008918A2">
        <w:rPr>
          <w:rFonts w:ascii="Arial" w:eastAsia="Calibri" w:hAnsi="Arial" w:cs="Arial"/>
          <w:color w:val="000000" w:themeColor="text1"/>
          <w:sz w:val="22"/>
          <w:lang w:val="es-ES_tradnl"/>
        </w:rPr>
        <w:t xml:space="preserve"> de </w:t>
      </w:r>
      <w:r w:rsidR="00FB0880" w:rsidRPr="008918A2">
        <w:rPr>
          <w:rFonts w:ascii="Arial" w:eastAsia="Calibri" w:hAnsi="Arial" w:cs="Arial"/>
          <w:color w:val="000000" w:themeColor="text1"/>
          <w:sz w:val="22"/>
          <w:lang w:val="es-ES_tradnl"/>
        </w:rPr>
        <w:t>enero</w:t>
      </w:r>
      <w:r w:rsidRPr="008918A2">
        <w:rPr>
          <w:rFonts w:ascii="Arial" w:eastAsia="Calibri" w:hAnsi="Arial" w:cs="Arial"/>
          <w:color w:val="000000" w:themeColor="text1"/>
          <w:sz w:val="22"/>
          <w:lang w:val="es-ES_tradnl"/>
        </w:rPr>
        <w:t xml:space="preserve"> del</w:t>
      </w:r>
      <w:r w:rsidR="007E74BF" w:rsidRPr="008918A2">
        <w:rPr>
          <w:rFonts w:ascii="Arial" w:eastAsia="Calibri" w:hAnsi="Arial" w:cs="Arial"/>
          <w:color w:val="000000" w:themeColor="text1"/>
          <w:sz w:val="22"/>
          <w:lang w:val="es-ES_tradnl"/>
        </w:rPr>
        <w:t xml:space="preserve"> </w:t>
      </w:r>
      <w:r w:rsidRPr="008918A2">
        <w:rPr>
          <w:rFonts w:ascii="Arial" w:eastAsia="Calibri" w:hAnsi="Arial" w:cs="Arial"/>
          <w:color w:val="000000" w:themeColor="text1"/>
          <w:sz w:val="22"/>
          <w:lang w:val="es-ES_tradnl"/>
        </w:rPr>
        <w:t>202</w:t>
      </w:r>
      <w:r w:rsidR="00FB0880" w:rsidRPr="008918A2">
        <w:rPr>
          <w:rFonts w:ascii="Arial" w:eastAsia="Calibri" w:hAnsi="Arial" w:cs="Arial"/>
          <w:color w:val="000000" w:themeColor="text1"/>
          <w:sz w:val="22"/>
          <w:lang w:val="es-ES_tradnl"/>
        </w:rPr>
        <w:t>1</w:t>
      </w:r>
      <w:r w:rsidR="008C3C57" w:rsidRPr="008918A2">
        <w:rPr>
          <w:rFonts w:ascii="Arial" w:eastAsia="Calibri" w:hAnsi="Arial" w:cs="Arial"/>
          <w:color w:val="000000" w:themeColor="text1"/>
          <w:sz w:val="22"/>
          <w:lang w:val="es-ES_tradnl"/>
        </w:rPr>
        <w:t>.</w:t>
      </w:r>
    </w:p>
    <w:p w14:paraId="0C1E0712" w14:textId="77777777" w:rsidR="00DD5B04" w:rsidRPr="008918A2"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8918A2"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8918A2">
        <w:rPr>
          <w:rFonts w:ascii="Arial" w:eastAsia="Calibri" w:hAnsi="Arial" w:cs="Arial"/>
          <w:b/>
          <w:color w:val="000000" w:themeColor="text1"/>
          <w:sz w:val="22"/>
          <w:lang w:val="es-ES_tradnl"/>
        </w:rPr>
        <w:t xml:space="preserve">Problema planteado </w:t>
      </w:r>
    </w:p>
    <w:p w14:paraId="224B43D3" w14:textId="77777777" w:rsidR="00DD5B04" w:rsidRPr="008918A2"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687F2E8E" w:rsidR="00443B55" w:rsidRPr="008918A2" w:rsidRDefault="00DD5B04" w:rsidP="0099583D">
      <w:pPr>
        <w:spacing w:line="276" w:lineRule="auto"/>
        <w:jc w:val="both"/>
        <w:rPr>
          <w:rFonts w:ascii="Arial" w:hAnsi="Arial" w:cs="Arial"/>
          <w:color w:val="000000" w:themeColor="text1"/>
          <w:sz w:val="22"/>
          <w:lang w:val="es-ES_tradnl"/>
        </w:rPr>
      </w:pPr>
      <w:r w:rsidRPr="008918A2">
        <w:rPr>
          <w:rFonts w:ascii="Arial" w:hAnsi="Arial" w:cs="Arial"/>
          <w:color w:val="000000" w:themeColor="text1"/>
          <w:sz w:val="22"/>
          <w:lang w:val="es-ES_tradnl"/>
        </w:rPr>
        <w:t xml:space="preserve">Usted </w:t>
      </w:r>
      <w:r w:rsidR="00B422C0" w:rsidRPr="008918A2">
        <w:rPr>
          <w:rFonts w:ascii="Arial" w:hAnsi="Arial" w:cs="Arial"/>
          <w:color w:val="000000" w:themeColor="text1"/>
          <w:sz w:val="22"/>
          <w:lang w:val="es-ES_tradnl"/>
        </w:rPr>
        <w:t>formula</w:t>
      </w:r>
      <w:r w:rsidR="006D46A3" w:rsidRPr="008918A2">
        <w:rPr>
          <w:rFonts w:ascii="Arial" w:hAnsi="Arial" w:cs="Arial"/>
          <w:color w:val="000000" w:themeColor="text1"/>
          <w:sz w:val="22"/>
          <w:lang w:val="es-ES_tradnl"/>
        </w:rPr>
        <w:t xml:space="preserve"> la siguiente</w:t>
      </w:r>
      <w:r w:rsidR="00C028F5" w:rsidRPr="008918A2">
        <w:rPr>
          <w:rFonts w:ascii="Arial" w:hAnsi="Arial" w:cs="Arial"/>
          <w:color w:val="000000" w:themeColor="text1"/>
          <w:sz w:val="22"/>
          <w:lang w:val="es-ES_tradnl"/>
        </w:rPr>
        <w:t xml:space="preserve"> </w:t>
      </w:r>
      <w:r w:rsidR="00602931" w:rsidRPr="008918A2">
        <w:rPr>
          <w:rFonts w:ascii="Arial" w:hAnsi="Arial" w:cs="Arial"/>
          <w:color w:val="000000" w:themeColor="text1"/>
          <w:sz w:val="22"/>
          <w:lang w:val="es-ES_tradnl"/>
        </w:rPr>
        <w:t>pregunta</w:t>
      </w:r>
      <w:r w:rsidR="00B422C0" w:rsidRPr="008918A2">
        <w:rPr>
          <w:rFonts w:ascii="Arial" w:hAnsi="Arial" w:cs="Arial"/>
          <w:color w:val="000000" w:themeColor="text1"/>
          <w:sz w:val="22"/>
          <w:lang w:val="es-ES_tradnl"/>
        </w:rPr>
        <w:t>:</w:t>
      </w:r>
      <w:r w:rsidR="007E18DF" w:rsidRPr="008918A2">
        <w:rPr>
          <w:rFonts w:ascii="Arial" w:hAnsi="Arial" w:cs="Arial"/>
          <w:color w:val="000000" w:themeColor="text1"/>
          <w:sz w:val="22"/>
          <w:lang w:val="es-ES_tradnl"/>
        </w:rPr>
        <w:t xml:space="preserve"> </w:t>
      </w:r>
    </w:p>
    <w:p w14:paraId="559EE20C" w14:textId="77777777" w:rsidR="00443B55" w:rsidRPr="008918A2" w:rsidRDefault="00443B55" w:rsidP="0099583D">
      <w:pPr>
        <w:spacing w:line="276" w:lineRule="auto"/>
        <w:jc w:val="both"/>
        <w:rPr>
          <w:rFonts w:ascii="Arial" w:hAnsi="Arial" w:cs="Arial"/>
          <w:color w:val="000000" w:themeColor="text1"/>
          <w:sz w:val="22"/>
          <w:lang w:val="es-ES_tradnl"/>
        </w:rPr>
      </w:pPr>
    </w:p>
    <w:p w14:paraId="2CE49569" w14:textId="7229F7F1" w:rsidR="00BD641B" w:rsidRDefault="001C79A4" w:rsidP="00E315A4">
      <w:pPr>
        <w:ind w:left="709" w:right="709"/>
        <w:jc w:val="both"/>
        <w:rPr>
          <w:rFonts w:ascii="Arial" w:hAnsi="Arial" w:cs="Arial"/>
          <w:color w:val="000000" w:themeColor="text1"/>
          <w:sz w:val="21"/>
          <w:szCs w:val="21"/>
          <w:lang w:val="es-ES_tradnl"/>
        </w:rPr>
      </w:pPr>
      <w:r w:rsidRPr="008918A2">
        <w:rPr>
          <w:rFonts w:ascii="Arial" w:hAnsi="Arial" w:cs="Arial"/>
          <w:color w:val="000000" w:themeColor="text1"/>
          <w:sz w:val="21"/>
          <w:szCs w:val="21"/>
          <w:lang w:val="es-ES_tradnl"/>
        </w:rPr>
        <w:t>«</w:t>
      </w:r>
      <w:r w:rsidR="00BD641B">
        <w:rPr>
          <w:rFonts w:ascii="Arial" w:hAnsi="Arial" w:cs="Arial"/>
          <w:color w:val="000000" w:themeColor="text1"/>
          <w:sz w:val="21"/>
          <w:szCs w:val="21"/>
          <w:lang w:val="es-ES_tradnl"/>
        </w:rPr>
        <w:t>Solicito se sirva indicar si las disposiciones previstas en el Decreto 579 de 2020, especialmente la prevista en el artículo 4, aplica a contratos de arrendamiento en los cuales entidades públicas (como municipios o distritos) tengan la calidad de arrendatarias</w:t>
      </w:r>
      <w:r w:rsidR="00595B4F">
        <w:rPr>
          <w:rFonts w:ascii="Arial" w:hAnsi="Arial" w:cs="Arial"/>
          <w:color w:val="000000" w:themeColor="text1"/>
          <w:sz w:val="21"/>
          <w:szCs w:val="21"/>
          <w:lang w:val="es-ES_tradnl"/>
        </w:rPr>
        <w:t>»</w:t>
      </w:r>
      <w:r w:rsidR="00BD641B">
        <w:rPr>
          <w:rFonts w:ascii="Arial" w:hAnsi="Arial" w:cs="Arial"/>
          <w:color w:val="000000" w:themeColor="text1"/>
          <w:sz w:val="21"/>
          <w:szCs w:val="21"/>
          <w:lang w:val="es-ES_tradnl"/>
        </w:rPr>
        <w:t xml:space="preserve">. </w:t>
      </w:r>
    </w:p>
    <w:p w14:paraId="12E12D26" w14:textId="633B6480" w:rsidR="00AF07A5" w:rsidRPr="008918A2" w:rsidRDefault="00AF07A5" w:rsidP="00E31679">
      <w:pPr>
        <w:ind w:left="709" w:right="709"/>
        <w:jc w:val="both"/>
        <w:rPr>
          <w:rFonts w:ascii="Arial" w:hAnsi="Arial" w:cs="Arial"/>
          <w:color w:val="000000" w:themeColor="text1"/>
          <w:sz w:val="21"/>
          <w:szCs w:val="21"/>
          <w:lang w:val="es-ES_tradnl"/>
        </w:rPr>
      </w:pPr>
    </w:p>
    <w:p w14:paraId="124D2DCA" w14:textId="77777777" w:rsidR="00DD5B04" w:rsidRPr="008918A2"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8918A2">
        <w:rPr>
          <w:rFonts w:ascii="Arial" w:eastAsia="Calibri" w:hAnsi="Arial" w:cs="Arial"/>
          <w:b/>
          <w:color w:val="000000" w:themeColor="text1"/>
          <w:sz w:val="22"/>
          <w:lang w:val="es-ES_tradnl"/>
        </w:rPr>
        <w:t>Consideraciones</w:t>
      </w:r>
    </w:p>
    <w:p w14:paraId="7D050D2E" w14:textId="77777777" w:rsidR="00435703" w:rsidRPr="008918A2" w:rsidRDefault="00435703" w:rsidP="00DF76A2">
      <w:pPr>
        <w:spacing w:line="276" w:lineRule="auto"/>
        <w:jc w:val="both"/>
        <w:rPr>
          <w:rFonts w:ascii="Arial" w:eastAsia="Calibri" w:hAnsi="Arial" w:cs="Arial"/>
          <w:color w:val="000000" w:themeColor="text1"/>
          <w:sz w:val="22"/>
          <w:szCs w:val="22"/>
          <w:lang w:val="es-ES_tradnl"/>
        </w:rPr>
      </w:pPr>
    </w:p>
    <w:p w14:paraId="5686019D" w14:textId="2784E33A" w:rsidR="0066609C" w:rsidRPr="002C139C" w:rsidRDefault="00461D5F" w:rsidP="0066609C">
      <w:pPr>
        <w:spacing w:line="276" w:lineRule="auto"/>
        <w:jc w:val="both"/>
        <w:rPr>
          <w:rFonts w:ascii="Arial" w:eastAsia="Calibri" w:hAnsi="Arial" w:cs="Arial"/>
          <w:color w:val="000000" w:themeColor="text1"/>
          <w:sz w:val="22"/>
          <w:szCs w:val="22"/>
          <w:lang w:val="es-ES_tradnl"/>
        </w:rPr>
      </w:pPr>
      <w:r w:rsidRPr="002C139C">
        <w:rPr>
          <w:rFonts w:ascii="Arial" w:eastAsia="Calibri" w:hAnsi="Arial" w:cs="Arial"/>
          <w:color w:val="000000" w:themeColor="text1"/>
          <w:sz w:val="22"/>
          <w:szCs w:val="22"/>
          <w:lang w:val="es-ES_tradnl"/>
        </w:rPr>
        <w:t>Para responder la consulta, se analizarán</w:t>
      </w:r>
      <w:r w:rsidR="00271230" w:rsidRPr="002C139C">
        <w:rPr>
          <w:rFonts w:ascii="Arial" w:eastAsia="Calibri" w:hAnsi="Arial" w:cs="Arial"/>
          <w:color w:val="000000" w:themeColor="text1"/>
          <w:sz w:val="22"/>
          <w:szCs w:val="22"/>
          <w:lang w:val="es-ES_tradnl"/>
        </w:rPr>
        <w:t xml:space="preserve"> los</w:t>
      </w:r>
      <w:r w:rsidR="00822EC4" w:rsidRPr="002C139C">
        <w:rPr>
          <w:rFonts w:ascii="Arial" w:eastAsia="Calibri" w:hAnsi="Arial" w:cs="Arial"/>
          <w:color w:val="000000" w:themeColor="text1"/>
          <w:sz w:val="22"/>
          <w:szCs w:val="22"/>
          <w:lang w:val="es-ES_tradnl"/>
        </w:rPr>
        <w:t xml:space="preserve"> siguientes temas:</w:t>
      </w:r>
      <w:r w:rsidR="00A87894" w:rsidRPr="002C139C">
        <w:rPr>
          <w:rFonts w:ascii="Arial" w:eastAsia="Calibri" w:hAnsi="Arial" w:cs="Arial"/>
          <w:color w:val="000000" w:themeColor="text1"/>
          <w:sz w:val="22"/>
          <w:szCs w:val="22"/>
          <w:lang w:val="es-ES_tradnl"/>
        </w:rPr>
        <w:t xml:space="preserve"> </w:t>
      </w:r>
      <w:r w:rsidR="009254A1" w:rsidRPr="002C139C">
        <w:rPr>
          <w:rFonts w:ascii="Arial" w:eastAsia="Calibri" w:hAnsi="Arial" w:cs="Arial"/>
          <w:color w:val="000000" w:themeColor="text1"/>
          <w:sz w:val="22"/>
          <w:szCs w:val="22"/>
          <w:lang w:val="es-ES_tradnl"/>
        </w:rPr>
        <w:t xml:space="preserve">i) </w:t>
      </w:r>
      <w:r w:rsidR="009F1BFF">
        <w:rPr>
          <w:rFonts w:ascii="Arial" w:eastAsia="Calibri" w:hAnsi="Arial" w:cs="Arial"/>
          <w:noProof/>
          <w:color w:val="000000" w:themeColor="text1"/>
          <w:sz w:val="22"/>
          <w:lang w:val="es-ES_tradnl"/>
        </w:rPr>
        <w:t>las d</w:t>
      </w:r>
      <w:r w:rsidR="002C139C" w:rsidRPr="002C139C">
        <w:rPr>
          <w:rFonts w:ascii="Arial" w:eastAsia="Calibri" w:hAnsi="Arial" w:cs="Arial"/>
          <w:noProof/>
          <w:color w:val="000000" w:themeColor="text1"/>
          <w:sz w:val="22"/>
          <w:lang w:val="es-ES_tradnl"/>
        </w:rPr>
        <w:t xml:space="preserve">isposiciones expedidas para mitigar los efectos de la pandemia en el marco de la «emergencia económica social y ecológica» y de la «emergencia sanitaria» ocasionadas por el COVID-19; ii) </w:t>
      </w:r>
      <w:r w:rsidR="009F1BFF">
        <w:rPr>
          <w:rFonts w:ascii="Arial" w:eastAsia="Calibri" w:hAnsi="Arial" w:cs="Arial"/>
          <w:noProof/>
          <w:color w:val="000000" w:themeColor="text1"/>
          <w:sz w:val="22"/>
          <w:lang w:val="es-ES_tradnl"/>
        </w:rPr>
        <w:t xml:space="preserve">el </w:t>
      </w:r>
      <w:r w:rsidR="009F1BFF">
        <w:rPr>
          <w:rFonts w:ascii="Arial" w:eastAsia="Calibri" w:hAnsi="Arial" w:cs="Arial"/>
          <w:color w:val="000000" w:themeColor="text1"/>
          <w:sz w:val="22"/>
          <w:szCs w:val="22"/>
          <w:lang w:val="es-ES_tradnl"/>
        </w:rPr>
        <w:t>á</w:t>
      </w:r>
      <w:r w:rsidR="002C139C" w:rsidRPr="002C139C">
        <w:rPr>
          <w:rFonts w:ascii="Arial" w:eastAsia="Calibri" w:hAnsi="Arial" w:cs="Arial"/>
          <w:color w:val="000000" w:themeColor="text1"/>
          <w:sz w:val="22"/>
          <w:szCs w:val="22"/>
          <w:lang w:val="es-ES_tradnl"/>
        </w:rPr>
        <w:t xml:space="preserve">mbito de aplicación del Decreto 579 de 2020; y iii) </w:t>
      </w:r>
      <w:r w:rsidR="009F1BFF">
        <w:rPr>
          <w:rFonts w:ascii="Arial" w:eastAsia="Calibri" w:hAnsi="Arial" w:cs="Arial"/>
          <w:color w:val="000000" w:themeColor="text1"/>
          <w:sz w:val="22"/>
          <w:szCs w:val="22"/>
          <w:lang w:val="es-ES_tradnl"/>
        </w:rPr>
        <w:t xml:space="preserve">la </w:t>
      </w:r>
      <w:r w:rsidR="009F1BFF">
        <w:rPr>
          <w:rFonts w:ascii="Arial" w:hAnsi="Arial" w:cs="Arial"/>
          <w:color w:val="000000" w:themeColor="text1"/>
          <w:sz w:val="22"/>
        </w:rPr>
        <w:t>p</w:t>
      </w:r>
      <w:r w:rsidR="002C139C" w:rsidRPr="002C139C">
        <w:rPr>
          <w:rFonts w:ascii="Arial" w:hAnsi="Arial" w:cs="Arial"/>
          <w:color w:val="000000" w:themeColor="text1"/>
          <w:sz w:val="22"/>
        </w:rPr>
        <w:t xml:space="preserve">rórroga automática de los contratos estatales: </w:t>
      </w:r>
      <w:r w:rsidR="009F1BFF">
        <w:rPr>
          <w:rFonts w:ascii="Arial" w:hAnsi="Arial" w:cs="Arial"/>
          <w:color w:val="000000" w:themeColor="text1"/>
          <w:sz w:val="22"/>
        </w:rPr>
        <w:t>a</w:t>
      </w:r>
      <w:r w:rsidR="002C139C" w:rsidRPr="002C139C">
        <w:rPr>
          <w:rFonts w:ascii="Arial" w:hAnsi="Arial" w:cs="Arial"/>
          <w:color w:val="000000" w:themeColor="text1"/>
          <w:sz w:val="22"/>
        </w:rPr>
        <w:t xml:space="preserve">plicabilidad del Decreto 597 de 2020. </w:t>
      </w:r>
    </w:p>
    <w:p w14:paraId="532B01EC" w14:textId="0FE4611B" w:rsidR="009254A1" w:rsidRDefault="009254A1" w:rsidP="009254A1">
      <w:pPr>
        <w:spacing w:before="120" w:line="276" w:lineRule="auto"/>
        <w:ind w:firstLine="709"/>
        <w:jc w:val="both"/>
        <w:rPr>
          <w:rFonts w:ascii="Arial" w:eastAsia="Arial" w:hAnsi="Arial" w:cs="Arial"/>
          <w:color w:val="000000"/>
          <w:sz w:val="22"/>
          <w:lang w:val="es-ES_tradnl"/>
        </w:rPr>
      </w:pPr>
      <w:r w:rsidRPr="002C139C">
        <w:rPr>
          <w:rFonts w:ascii="Arial" w:hAnsi="Arial" w:cs="Arial"/>
          <w:noProof/>
          <w:color w:val="000000" w:themeColor="text1"/>
          <w:sz w:val="22"/>
          <w:lang w:val="es-ES_tradnl"/>
        </w:rPr>
        <w:t>La Agencia Nacional de Contratación Pública – Colombia Compra Eficiente se</w:t>
      </w:r>
      <w:r w:rsidRPr="00754FD8">
        <w:rPr>
          <w:rFonts w:ascii="Arial" w:hAnsi="Arial" w:cs="Arial"/>
          <w:noProof/>
          <w:color w:val="000000" w:themeColor="text1"/>
          <w:sz w:val="22"/>
          <w:lang w:val="es-ES_tradnl"/>
        </w:rPr>
        <w:t xml:space="preserve"> pronunció sobre las disposiciones expedidas para mitigar los efectos de la pandemia en el ámbito de la contratación estatal, entre otros, en los conceptos con radicado C-138, C-005, C-006 y C-018 del 11 de mayo de 2020; C-175, C-320, C-053, C-255, C-282, C-293 del 12 de mayo de 2020, C-345 del 13 de mayo de 2020, C-495 del 30 de julio de 2020, C-493 del 31 de julio de 2020 y C-526 del 11 de agosto de 2020</w:t>
      </w:r>
      <w:r w:rsidR="002367FF">
        <w:rPr>
          <w:rFonts w:ascii="Arial" w:hAnsi="Arial" w:cs="Arial"/>
          <w:noProof/>
          <w:color w:val="000000" w:themeColor="text1"/>
          <w:sz w:val="22"/>
          <w:lang w:val="es-ES_tradnl"/>
        </w:rPr>
        <w:t>,</w:t>
      </w:r>
      <w:r w:rsidRPr="00754FD8">
        <w:rPr>
          <w:rFonts w:ascii="Arial" w:hAnsi="Arial" w:cs="Arial"/>
          <w:noProof/>
          <w:color w:val="000000" w:themeColor="text1"/>
          <w:sz w:val="22"/>
          <w:lang w:val="es-ES_tradnl"/>
        </w:rPr>
        <w:t xml:space="preserve"> C-305, C-308</w:t>
      </w:r>
      <w:r w:rsidR="002367FF">
        <w:rPr>
          <w:rFonts w:ascii="Arial" w:hAnsi="Arial" w:cs="Arial"/>
          <w:noProof/>
          <w:color w:val="000000" w:themeColor="text1"/>
          <w:sz w:val="22"/>
          <w:lang w:val="es-ES_tradnl"/>
        </w:rPr>
        <w:t xml:space="preserve"> , </w:t>
      </w:r>
      <w:r w:rsidRPr="00754FD8">
        <w:rPr>
          <w:rFonts w:ascii="Arial" w:hAnsi="Arial" w:cs="Arial"/>
          <w:noProof/>
          <w:color w:val="000000" w:themeColor="text1"/>
          <w:sz w:val="22"/>
          <w:lang w:val="es-ES_tradnl"/>
        </w:rPr>
        <w:t xml:space="preserve">C-318, del 28 de </w:t>
      </w:r>
      <w:r w:rsidRPr="00754FD8">
        <w:rPr>
          <w:rFonts w:ascii="Arial" w:hAnsi="Arial" w:cs="Arial"/>
          <w:noProof/>
          <w:color w:val="000000" w:themeColor="text1"/>
          <w:sz w:val="22"/>
          <w:lang w:val="es-ES_tradnl"/>
        </w:rPr>
        <w:lastRenderedPageBreak/>
        <w:t>mayo de 2020, C-452 del 28 de julio de 2020</w:t>
      </w:r>
      <w:r w:rsidR="002367FF">
        <w:rPr>
          <w:rFonts w:ascii="Arial" w:hAnsi="Arial" w:cs="Arial"/>
          <w:noProof/>
          <w:color w:val="000000" w:themeColor="text1"/>
          <w:sz w:val="22"/>
          <w:lang w:val="es-ES_tradnl"/>
        </w:rPr>
        <w:t xml:space="preserve"> y C- 063 de 2021</w:t>
      </w:r>
      <w:r w:rsidRPr="00754FD8">
        <w:rPr>
          <w:rFonts w:ascii="Arial" w:hAnsi="Arial" w:cs="Arial"/>
          <w:noProof/>
          <w:color w:val="000000" w:themeColor="text1"/>
          <w:sz w:val="22"/>
          <w:lang w:val="es-ES_tradnl"/>
        </w:rPr>
        <w:t>, la Agencia analizó el alcance del Decreto legislativo 537 de 2020.</w:t>
      </w:r>
      <w:r w:rsidRPr="00754FD8">
        <w:rPr>
          <w:rFonts w:ascii="Arial" w:eastAsia="Calibri" w:hAnsi="Arial" w:cs="Arial"/>
          <w:noProof/>
          <w:color w:val="000000" w:themeColor="text1"/>
          <w:sz w:val="22"/>
          <w:lang w:val="es-ES_tradnl"/>
        </w:rPr>
        <w:t xml:space="preserve"> </w:t>
      </w:r>
      <w:r w:rsidRPr="00754FD8">
        <w:rPr>
          <w:rFonts w:ascii="Arial" w:eastAsia="Arial" w:hAnsi="Arial" w:cs="Arial"/>
          <w:sz w:val="22"/>
          <w:lang w:val="es-ES_tradnl"/>
        </w:rPr>
        <w:t xml:space="preserve">Las ideas expuestas en dichas oportunidades se reiterarán a continuación y se complementarán en lo pertinente. </w:t>
      </w:r>
      <w:r w:rsidRPr="00754FD8">
        <w:rPr>
          <w:rFonts w:ascii="Arial" w:eastAsia="Arial" w:hAnsi="Arial" w:cs="Arial"/>
          <w:color w:val="000000"/>
          <w:sz w:val="22"/>
          <w:lang w:val="es-ES_tradnl"/>
        </w:rPr>
        <w:t xml:space="preserve">   </w:t>
      </w:r>
    </w:p>
    <w:p w14:paraId="02B5FE37" w14:textId="77777777" w:rsidR="00090B8A" w:rsidRDefault="00090B8A" w:rsidP="009254A1">
      <w:pPr>
        <w:spacing w:before="120" w:line="276" w:lineRule="auto"/>
        <w:ind w:firstLine="709"/>
        <w:jc w:val="both"/>
        <w:rPr>
          <w:rFonts w:ascii="Arial" w:eastAsia="Arial" w:hAnsi="Arial" w:cs="Arial"/>
          <w:color w:val="000000"/>
          <w:sz w:val="22"/>
          <w:lang w:val="es-ES_tradnl"/>
        </w:rPr>
      </w:pPr>
    </w:p>
    <w:p w14:paraId="44EA069A" w14:textId="77777777" w:rsidR="00090B8A" w:rsidRPr="00236350" w:rsidRDefault="00090B8A" w:rsidP="00090B8A">
      <w:pPr>
        <w:spacing w:line="276" w:lineRule="auto"/>
        <w:jc w:val="both"/>
        <w:rPr>
          <w:rFonts w:ascii="Arial" w:eastAsia="Calibri" w:hAnsi="Arial" w:cs="Arial"/>
          <w:noProof/>
          <w:color w:val="000000" w:themeColor="text1"/>
          <w:sz w:val="22"/>
          <w:lang w:val="es-ES_tradnl"/>
        </w:rPr>
      </w:pPr>
      <w:r w:rsidRPr="00754FD8">
        <w:rPr>
          <w:rFonts w:ascii="Arial" w:eastAsia="Calibri" w:hAnsi="Arial" w:cs="Arial"/>
          <w:b/>
          <w:noProof/>
          <w:color w:val="000000" w:themeColor="text1"/>
          <w:sz w:val="22"/>
          <w:lang w:val="es-ES_tradnl"/>
        </w:rPr>
        <w:t xml:space="preserve">2.1. </w:t>
      </w:r>
      <w:r w:rsidRPr="00236350">
        <w:rPr>
          <w:rFonts w:ascii="Arial" w:eastAsia="Calibri" w:hAnsi="Arial" w:cs="Arial"/>
          <w:b/>
          <w:noProof/>
          <w:color w:val="000000" w:themeColor="text1"/>
          <w:sz w:val="22"/>
          <w:lang w:val="es-ES_tradnl"/>
        </w:rPr>
        <w:t>Disposiciones expedidas para mitigar los efectos de la pandemia en el marco de la «emergencia económica social y ecológica» y de la «emergencia sanitaria» ocasionadas por el COVID-19</w:t>
      </w:r>
    </w:p>
    <w:p w14:paraId="610C17E3" w14:textId="77777777" w:rsidR="00090B8A" w:rsidRPr="00236350" w:rsidRDefault="00090B8A" w:rsidP="00090B8A">
      <w:pPr>
        <w:pStyle w:val="Prrafodelista"/>
        <w:spacing w:line="276" w:lineRule="auto"/>
        <w:ind w:left="0"/>
        <w:jc w:val="both"/>
        <w:rPr>
          <w:rFonts w:ascii="Arial" w:hAnsi="Arial" w:cs="Arial"/>
          <w:noProof/>
          <w:color w:val="000000" w:themeColor="text1"/>
          <w:sz w:val="22"/>
          <w:lang w:val="es-ES_tradnl"/>
        </w:rPr>
      </w:pPr>
    </w:p>
    <w:p w14:paraId="27FD466B" w14:textId="77777777" w:rsidR="00090B8A" w:rsidRPr="00754FD8" w:rsidRDefault="00090B8A" w:rsidP="00090B8A">
      <w:pPr>
        <w:pStyle w:val="Prrafodelista"/>
        <w:spacing w:after="120" w:line="276" w:lineRule="auto"/>
        <w:ind w:left="0"/>
        <w:jc w:val="both"/>
        <w:rPr>
          <w:rFonts w:ascii="Arial" w:hAnsi="Arial" w:cs="Arial"/>
          <w:noProof/>
          <w:color w:val="000000" w:themeColor="text1"/>
          <w:sz w:val="22"/>
          <w:lang w:val="es-ES_tradnl"/>
        </w:rPr>
      </w:pPr>
      <w:r w:rsidRPr="00236350">
        <w:rPr>
          <w:rFonts w:ascii="Arial" w:hAnsi="Arial" w:cs="Arial"/>
          <w:noProof/>
          <w:color w:val="000000" w:themeColor="text1"/>
          <w:sz w:val="22"/>
          <w:lang w:val="es-ES_tradnl"/>
        </w:rPr>
        <w:t>El mundo –y particularmente Colombia– atraviesa una situación delicada en materia de salud, causada por la pandemia del virus COVID-1</w:t>
      </w:r>
      <w:r w:rsidRPr="00754FD8">
        <w:rPr>
          <w:rFonts w:ascii="Arial" w:hAnsi="Arial" w:cs="Arial"/>
          <w:noProof/>
          <w:color w:val="000000" w:themeColor="text1"/>
          <w:sz w:val="22"/>
          <w:lang w:val="es-ES_tradnl"/>
        </w:rPr>
        <w:t>9, declarada así por la Organización Mundial de la Salud (OMS) el 11 de marzo de 2020</w:t>
      </w:r>
      <w:r w:rsidRPr="00754FD8">
        <w:rPr>
          <w:rStyle w:val="Refdenotaalpie"/>
          <w:rFonts w:ascii="Arial" w:hAnsi="Arial" w:cs="Arial"/>
          <w:noProof/>
          <w:color w:val="000000" w:themeColor="text1"/>
          <w:sz w:val="22"/>
          <w:lang w:val="es-ES_tradnl"/>
        </w:rPr>
        <w:footnoteReference w:id="2"/>
      </w:r>
      <w:r w:rsidRPr="00754FD8">
        <w:rPr>
          <w:rFonts w:ascii="Arial" w:hAnsi="Arial" w:cs="Arial"/>
          <w:noProof/>
          <w:color w:val="000000" w:themeColor="text1"/>
          <w:sz w:val="22"/>
          <w:lang w:val="es-ES_tradnl"/>
        </w:rPr>
        <w:t>.</w:t>
      </w:r>
    </w:p>
    <w:p w14:paraId="3A834060" w14:textId="638B7788" w:rsidR="00090B8A" w:rsidRPr="00754FD8" w:rsidRDefault="00090B8A" w:rsidP="00090B8A">
      <w:pPr>
        <w:spacing w:before="120" w:after="120" w:line="276" w:lineRule="auto"/>
        <w:ind w:firstLine="709"/>
        <w:jc w:val="both"/>
        <w:rPr>
          <w:rFonts w:ascii="Arial" w:hAnsi="Arial" w:cs="Arial"/>
          <w:noProof/>
          <w:color w:val="000000" w:themeColor="text1"/>
          <w:sz w:val="22"/>
          <w:lang w:val="es-ES_tradnl"/>
        </w:rPr>
      </w:pPr>
      <w:r w:rsidRPr="00754FD8">
        <w:rPr>
          <w:rFonts w:ascii="Arial" w:eastAsia="Calibri" w:hAnsi="Arial" w:cs="Arial"/>
          <w:noProof/>
          <w:color w:val="000000" w:themeColor="text1"/>
          <w:sz w:val="22"/>
          <w:lang w:val="es-ES_tradnl"/>
        </w:rPr>
        <w:t>Desde</w:t>
      </w:r>
      <w:r w:rsidRPr="00754FD8">
        <w:rPr>
          <w:rFonts w:ascii="Arial" w:hAnsi="Arial" w:cs="Arial"/>
          <w:noProof/>
          <w:color w:val="000000" w:themeColor="text1"/>
          <w:sz w:val="22"/>
          <w:lang w:val="es-ES_tradnl"/>
        </w:rPr>
        <w:t xml:space="preserve"> que se conoció la posibilidad de que el virus llegara al país, el gobierno nacional inició un plan de preparación para atender la contingencia. El 6 de marzo se conoció el primer caso de COVID-19 en Colombia</w:t>
      </w:r>
      <w:r w:rsidR="00BB15E9">
        <w:rPr>
          <w:rFonts w:ascii="Arial" w:hAnsi="Arial" w:cs="Arial"/>
          <w:noProof/>
          <w:color w:val="000000" w:themeColor="text1"/>
          <w:sz w:val="22"/>
          <w:lang w:val="es-ES_tradnl"/>
        </w:rPr>
        <w:t>,</w:t>
      </w:r>
      <w:r w:rsidRPr="00754FD8">
        <w:rPr>
          <w:rFonts w:ascii="Arial" w:hAnsi="Arial" w:cs="Arial"/>
          <w:noProof/>
          <w:color w:val="000000" w:themeColor="text1"/>
          <w:sz w:val="22"/>
          <w:lang w:val="es-ES_tradnl"/>
        </w:rPr>
        <w:t xml:space="preserve"> razón por la cual el Ministerio de Salud declaró la terminación de la fase de preparación y activó la fase de contención en el territorio nacional</w:t>
      </w:r>
      <w:r w:rsidRPr="00754FD8">
        <w:rPr>
          <w:rStyle w:val="Refdenotaalpie"/>
          <w:rFonts w:ascii="Arial" w:hAnsi="Arial" w:cs="Arial"/>
          <w:noProof/>
          <w:color w:val="000000" w:themeColor="text1"/>
          <w:sz w:val="22"/>
          <w:lang w:val="es-ES_tradnl"/>
        </w:rPr>
        <w:footnoteReference w:id="3"/>
      </w:r>
      <w:r w:rsidRPr="00754FD8">
        <w:rPr>
          <w:rFonts w:ascii="Arial" w:hAnsi="Arial" w:cs="Arial"/>
          <w:noProof/>
          <w:color w:val="000000" w:themeColor="text1"/>
          <w:sz w:val="22"/>
          <w:lang w:val="es-ES_tradnl"/>
        </w:rPr>
        <w:t xml:space="preserve">. A partir de esa fecha, el Ministerio, y otras autoridades, han expedido un sinnúmero de actos administrativos que establecen directrices para las autoridades y los particulares, orientados a prevenir el contagio o, por lo menos, a disminuir la velocidad y el incremento del brote. </w:t>
      </w:r>
    </w:p>
    <w:p w14:paraId="584983FB" w14:textId="78758B86" w:rsidR="00090B8A" w:rsidRPr="00754FD8" w:rsidRDefault="00090B8A" w:rsidP="00090B8A">
      <w:pPr>
        <w:spacing w:before="120" w:after="120" w:line="276" w:lineRule="auto"/>
        <w:ind w:firstLine="709"/>
        <w:jc w:val="both"/>
        <w:rPr>
          <w:rFonts w:ascii="Arial" w:hAnsi="Arial" w:cs="Arial"/>
          <w:noProof/>
          <w:color w:val="000000" w:themeColor="text1"/>
          <w:sz w:val="22"/>
          <w:lang w:val="es-ES_tradnl"/>
        </w:rPr>
      </w:pPr>
      <w:r w:rsidRPr="00754FD8">
        <w:rPr>
          <w:rFonts w:ascii="Arial" w:hAnsi="Arial" w:cs="Arial"/>
          <w:noProof/>
          <w:color w:val="000000" w:themeColor="text1"/>
          <w:sz w:val="22"/>
          <w:lang w:val="es-ES_tradnl"/>
        </w:rPr>
        <w:t>El 17 de marzo de 2020, el presidente de la república decretó el Estado de emergencia económica, social y ecológica mediante el Decreto Legislativo 417 de 2020, con fundamento en el artículo 215 de la Constitución</w:t>
      </w:r>
      <w:r w:rsidRPr="00754FD8">
        <w:rPr>
          <w:rStyle w:val="Refdenotaalpie"/>
          <w:rFonts w:ascii="Arial" w:hAnsi="Arial" w:cs="Arial"/>
          <w:noProof/>
          <w:color w:val="000000" w:themeColor="text1"/>
          <w:sz w:val="22"/>
          <w:lang w:val="es-ES_tradnl"/>
        </w:rPr>
        <w:footnoteReference w:id="4"/>
      </w:r>
      <w:r w:rsidRPr="00754FD8">
        <w:rPr>
          <w:rFonts w:ascii="Arial" w:hAnsi="Arial" w:cs="Arial"/>
          <w:noProof/>
          <w:color w:val="000000" w:themeColor="text1"/>
          <w:sz w:val="22"/>
          <w:lang w:val="es-ES_tradnl"/>
        </w:rPr>
        <w:t xml:space="preserve">. Este primer estado de excepción estuvo vigente por treinta (30) días calendario. Posteriormente se ordenó un segundo estado de emergencia económica, social y ecológica, </w:t>
      </w:r>
      <w:r w:rsidR="00540CE8">
        <w:rPr>
          <w:rFonts w:ascii="Arial" w:hAnsi="Arial" w:cs="Arial"/>
          <w:noProof/>
          <w:color w:val="000000" w:themeColor="text1"/>
          <w:sz w:val="22"/>
          <w:lang w:val="es-ES_tradnl"/>
        </w:rPr>
        <w:t xml:space="preserve">mediante </w:t>
      </w:r>
      <w:r w:rsidRPr="00754FD8">
        <w:rPr>
          <w:rFonts w:ascii="Arial" w:hAnsi="Arial" w:cs="Arial"/>
          <w:noProof/>
          <w:color w:val="000000" w:themeColor="text1"/>
          <w:sz w:val="22"/>
          <w:lang w:val="es-ES_tradnl"/>
        </w:rPr>
        <w:t>el Decreto Legislativo 637 del 6 de mayo de 2020, el cual rigió por otros treinta (30) días calendario. Esto nos permite concluir que el estado de excepción mencionado tuvo vigencia hasta el 4 de junio de 2020.</w:t>
      </w:r>
    </w:p>
    <w:p w14:paraId="17591D9C" w14:textId="0E594DF5" w:rsidR="00090B8A" w:rsidRPr="00754FD8" w:rsidRDefault="00090B8A" w:rsidP="00090B8A">
      <w:pPr>
        <w:spacing w:before="120" w:after="120" w:line="276" w:lineRule="auto"/>
        <w:ind w:firstLine="709"/>
        <w:jc w:val="both"/>
        <w:rPr>
          <w:rFonts w:ascii="Arial" w:hAnsi="Arial" w:cs="Arial"/>
          <w:noProof/>
          <w:color w:val="000000" w:themeColor="text1"/>
          <w:sz w:val="22"/>
          <w:szCs w:val="22"/>
          <w:lang w:val="es-ES_tradnl"/>
        </w:rPr>
      </w:pPr>
      <w:r w:rsidRPr="00754FD8">
        <w:rPr>
          <w:rFonts w:ascii="Arial" w:hAnsi="Arial" w:cs="Arial"/>
          <w:noProof/>
          <w:color w:val="000000" w:themeColor="text1"/>
          <w:sz w:val="22"/>
          <w:szCs w:val="22"/>
          <w:lang w:val="es-ES_tradnl"/>
        </w:rPr>
        <w:t xml:space="preserve">Ahora bien, no se puede confundir el </w:t>
      </w:r>
      <w:r w:rsidRPr="00754FD8">
        <w:rPr>
          <w:rFonts w:ascii="Arial" w:hAnsi="Arial" w:cs="Arial"/>
          <w:i/>
          <w:iCs/>
          <w:noProof/>
          <w:color w:val="000000" w:themeColor="text1"/>
          <w:sz w:val="22"/>
          <w:szCs w:val="22"/>
          <w:lang w:val="es-ES_tradnl"/>
        </w:rPr>
        <w:t>estado de emergencia económica, social y ecológica</w:t>
      </w:r>
      <w:r w:rsidRPr="00754FD8">
        <w:rPr>
          <w:rFonts w:ascii="Arial" w:hAnsi="Arial" w:cs="Arial"/>
          <w:noProof/>
          <w:color w:val="000000" w:themeColor="text1"/>
          <w:sz w:val="22"/>
          <w:szCs w:val="22"/>
          <w:lang w:val="es-ES_tradnl"/>
        </w:rPr>
        <w:t xml:space="preserve"> que rigió por dos períodos que ya finalizaron en el año 2020, con el </w:t>
      </w:r>
      <w:r w:rsidRPr="00754FD8">
        <w:rPr>
          <w:rFonts w:ascii="Arial" w:hAnsi="Arial" w:cs="Arial"/>
          <w:i/>
          <w:iCs/>
          <w:noProof/>
          <w:color w:val="000000" w:themeColor="text1"/>
          <w:sz w:val="22"/>
          <w:szCs w:val="22"/>
          <w:lang w:val="es-ES_tradnl"/>
        </w:rPr>
        <w:t xml:space="preserve">estado de </w:t>
      </w:r>
      <w:r w:rsidRPr="00754FD8">
        <w:rPr>
          <w:rFonts w:ascii="Arial" w:hAnsi="Arial" w:cs="Arial"/>
          <w:i/>
          <w:iCs/>
          <w:noProof/>
          <w:color w:val="000000" w:themeColor="text1"/>
          <w:sz w:val="22"/>
          <w:szCs w:val="22"/>
          <w:lang w:val="es-ES_tradnl"/>
        </w:rPr>
        <w:lastRenderedPageBreak/>
        <w:t>emergencia sanitaria</w:t>
      </w:r>
      <w:r w:rsidRPr="00754FD8">
        <w:rPr>
          <w:rFonts w:ascii="Arial" w:hAnsi="Arial" w:cs="Arial"/>
          <w:noProof/>
          <w:color w:val="000000" w:themeColor="text1"/>
          <w:sz w:val="22"/>
          <w:szCs w:val="22"/>
          <w:lang w:val="es-ES_tradnl"/>
        </w:rPr>
        <w:t xml:space="preserve"> que aún continúa. En efecto, la emergencia sanitaria –que no es un estado de excepción–, sino una medida administrativa para mitigar y atender una situación sanitaria, fue </w:t>
      </w:r>
      <w:r w:rsidRPr="00754FD8">
        <w:rPr>
          <w:rFonts w:ascii="Arial" w:hAnsi="Arial" w:cs="Arial"/>
          <w:bCs/>
          <w:noProof/>
          <w:color w:val="000000" w:themeColor="text1"/>
          <w:sz w:val="22"/>
          <w:szCs w:val="22"/>
          <w:lang w:val="es-ES_tradnl"/>
        </w:rPr>
        <w:t>declarada en la Resolución 385 del 2020, expedida por el Ministerio de Salud, para regir entre el 12 de marzo y el 30 de mayo de 2020 –obsérvese que esta emergencia sanitaria se declaró antes de que se decretara el estado de excepción–</w:t>
      </w:r>
      <w:r w:rsidR="00236350">
        <w:rPr>
          <w:rFonts w:ascii="Arial" w:hAnsi="Arial" w:cs="Arial"/>
          <w:bCs/>
          <w:noProof/>
          <w:color w:val="000000" w:themeColor="text1"/>
          <w:sz w:val="22"/>
          <w:szCs w:val="22"/>
          <w:lang w:val="es-ES_tradnl"/>
        </w:rPr>
        <w:t xml:space="preserve">, </w:t>
      </w:r>
      <w:r w:rsidR="00236350" w:rsidRPr="00236350">
        <w:rPr>
          <w:rFonts w:ascii="Arial" w:hAnsi="Arial" w:cs="Arial"/>
          <w:bCs/>
          <w:noProof/>
          <w:color w:val="000000" w:themeColor="text1"/>
          <w:sz w:val="22"/>
          <w:szCs w:val="22"/>
          <w:lang w:val="es-ES_tradnl"/>
        </w:rPr>
        <w:t xml:space="preserve">y se ha venido prorrogando ininterrumpidamente mediante diferentes actos administrativos. En efecto, el 26 de mayo de 2021 se expidió la Resolución 738 «Por la cual se prorroga la emergencia sanitaria por el nuevo coronavirus COVID-19, declarada mediante Resolución 385 de 2020 y prorrogada por las Resoluciones 844, 1462 y 2230 de 2020 y 222 de 2021», mediante las cuales se  extendió la emergencia sanitaria hasta el 31 de agosto de 2021. De lo anterior se desprende que aún nos encontramos ante un estado de emergencia sanitaria. </w:t>
      </w:r>
    </w:p>
    <w:p w14:paraId="62D25BE4" w14:textId="450B0E68" w:rsidR="00090B8A" w:rsidRPr="00754FD8" w:rsidRDefault="00090B8A" w:rsidP="00090B8A">
      <w:pPr>
        <w:spacing w:before="120" w:line="276" w:lineRule="auto"/>
        <w:ind w:firstLine="709"/>
        <w:jc w:val="both"/>
        <w:rPr>
          <w:rFonts w:ascii="Arial" w:hAnsi="Arial" w:cs="Arial"/>
          <w:noProof/>
          <w:color w:val="000000" w:themeColor="text1"/>
          <w:sz w:val="22"/>
          <w:lang w:val="es-ES_tradnl"/>
        </w:rPr>
      </w:pPr>
      <w:r w:rsidRPr="00754FD8">
        <w:rPr>
          <w:rFonts w:ascii="Arial" w:hAnsi="Arial" w:cs="Arial"/>
          <w:noProof/>
          <w:color w:val="000000" w:themeColor="text1"/>
          <w:sz w:val="22"/>
          <w:lang w:val="es-ES_tradnl"/>
        </w:rPr>
        <w:t>Adicionalmente, de las disposiciones que se han expedido durante la pandemia, y que han incidido en la contratación pública, hay que destacar las contenidas en los Decretos 440 del 20 de marzo de 2020 y 537 del 12 de abril de 2020, que adoptaron medidas excepcionales para evitar el aumento de los contagios y permitir que se continúen cumpliendo los fines del Estado social de derecho a través de la actividad contractual. El gobierno nacional también expidió el Decreto 499 del 31 de marzo de 2020, reiterado en el Decreto 544 del 13 de abril de 2020, por los cuales se adoptan medidas en materia de contratación estatal para la adquisición en el mercado internacional de dispositivos médicos y elementos de protección personal. Finalmente, en este recuento normativo conviene hacer referencia al Decreto 491 del 28 de marzo de 2020, que incluyó algunas disposiciones adicionales relevantes para la contratación estatal. Sin embargo, como la consulta no se relaciona con el contenido de estos decretos, no serán objeto de análisis en esta oportunidad</w:t>
      </w:r>
      <w:r w:rsidR="00236350">
        <w:rPr>
          <w:rFonts w:ascii="Arial" w:hAnsi="Arial" w:cs="Arial"/>
          <w:noProof/>
          <w:color w:val="000000" w:themeColor="text1"/>
          <w:sz w:val="22"/>
          <w:lang w:val="es-ES_tradnl"/>
        </w:rPr>
        <w:t>, por lo que se analizará el ámbito de aplicación del Decreto 579 de 2020, relacionado con la pregunta de la peticionaria.</w:t>
      </w:r>
    </w:p>
    <w:p w14:paraId="31D820E7" w14:textId="77777777" w:rsidR="00934776" w:rsidRDefault="00934776" w:rsidP="00BE3F4F">
      <w:pPr>
        <w:spacing w:line="276" w:lineRule="auto"/>
        <w:jc w:val="both"/>
        <w:rPr>
          <w:rFonts w:ascii="Arial" w:eastAsia="Calibri" w:hAnsi="Arial" w:cs="Arial"/>
          <w:b/>
          <w:noProof/>
          <w:color w:val="000000" w:themeColor="text1"/>
          <w:sz w:val="22"/>
          <w:lang w:val="es-ES_tradnl"/>
        </w:rPr>
      </w:pPr>
    </w:p>
    <w:p w14:paraId="510B9BDC" w14:textId="3CD424AC" w:rsidR="00090B8A" w:rsidRPr="00934776" w:rsidRDefault="00934776" w:rsidP="00BE3F4F">
      <w:pPr>
        <w:spacing w:line="276" w:lineRule="auto"/>
        <w:jc w:val="both"/>
        <w:rPr>
          <w:rFonts w:ascii="Arial" w:eastAsia="Calibri" w:hAnsi="Arial" w:cs="Arial"/>
          <w:b/>
          <w:noProof/>
          <w:color w:val="000000" w:themeColor="text1"/>
          <w:sz w:val="22"/>
          <w:lang w:val="es-ES_tradnl"/>
        </w:rPr>
      </w:pPr>
      <w:r w:rsidRPr="00934776">
        <w:rPr>
          <w:rFonts w:ascii="Arial" w:eastAsia="Calibri" w:hAnsi="Arial" w:cs="Arial"/>
          <w:b/>
          <w:noProof/>
          <w:color w:val="000000" w:themeColor="text1"/>
          <w:sz w:val="22"/>
          <w:lang w:val="es-ES_tradnl"/>
        </w:rPr>
        <w:t xml:space="preserve">2.2. </w:t>
      </w:r>
      <w:r w:rsidRPr="00934776">
        <w:rPr>
          <w:rFonts w:ascii="Arial" w:eastAsia="Calibri" w:hAnsi="Arial" w:cs="Arial"/>
          <w:b/>
          <w:color w:val="000000" w:themeColor="text1"/>
          <w:sz w:val="22"/>
          <w:szCs w:val="22"/>
          <w:lang w:val="es-ES_tradnl"/>
        </w:rPr>
        <w:t>Ámbito de aplicación del Decreto 579 de 2020</w:t>
      </w:r>
      <w:r w:rsidR="00F805CA">
        <w:rPr>
          <w:rFonts w:ascii="Arial" w:eastAsia="Calibri" w:hAnsi="Arial" w:cs="Arial"/>
          <w:b/>
          <w:color w:val="000000" w:themeColor="text1"/>
          <w:sz w:val="22"/>
          <w:szCs w:val="22"/>
          <w:lang w:val="es-ES_tradnl"/>
        </w:rPr>
        <w:t xml:space="preserve"> y su control de constitucionalidad</w:t>
      </w:r>
    </w:p>
    <w:p w14:paraId="4BF1C6D3" w14:textId="77777777" w:rsidR="00073990" w:rsidRDefault="00073990" w:rsidP="00510DE9">
      <w:pPr>
        <w:tabs>
          <w:tab w:val="left" w:pos="0"/>
        </w:tabs>
        <w:jc w:val="both"/>
        <w:rPr>
          <w:rFonts w:ascii="Arial" w:eastAsia="Arial" w:hAnsi="Arial" w:cs="Arial"/>
          <w:b/>
          <w:bCs/>
          <w:color w:val="000000"/>
          <w:sz w:val="22"/>
          <w:lang w:val="es-ES_tradnl"/>
        </w:rPr>
      </w:pPr>
    </w:p>
    <w:p w14:paraId="25741ABF" w14:textId="10BB0487" w:rsidR="000154B8" w:rsidRDefault="00934776" w:rsidP="00BE3F4F">
      <w:pPr>
        <w:tabs>
          <w:tab w:val="left" w:pos="0"/>
        </w:tabs>
        <w:spacing w:after="120" w:line="276" w:lineRule="auto"/>
        <w:jc w:val="both"/>
        <w:rPr>
          <w:rFonts w:ascii="Arial" w:hAnsi="Arial" w:cs="Arial"/>
          <w:noProof/>
          <w:color w:val="000000" w:themeColor="text1"/>
          <w:sz w:val="22"/>
          <w:lang w:val="es-ES_tradnl"/>
        </w:rPr>
      </w:pPr>
      <w:r w:rsidRPr="000154B8">
        <w:rPr>
          <w:rFonts w:ascii="Arial" w:hAnsi="Arial" w:cs="Arial"/>
          <w:noProof/>
          <w:color w:val="000000" w:themeColor="text1"/>
          <w:sz w:val="22"/>
          <w:lang w:val="es-ES_tradnl"/>
        </w:rPr>
        <w:t>E</w:t>
      </w:r>
      <w:r w:rsidR="001A5113" w:rsidRPr="000154B8">
        <w:rPr>
          <w:rFonts w:ascii="Arial" w:hAnsi="Arial" w:cs="Arial"/>
          <w:noProof/>
          <w:color w:val="000000" w:themeColor="text1"/>
          <w:sz w:val="22"/>
          <w:lang w:val="es-ES_tradnl"/>
        </w:rPr>
        <w:t xml:space="preserve">l Decreto 579 de 15 de abril de 2021 es un decreto con fuerza de ley </w:t>
      </w:r>
      <w:r w:rsidR="00994755" w:rsidRPr="000154B8">
        <w:rPr>
          <w:rFonts w:ascii="Arial" w:hAnsi="Arial" w:cs="Arial"/>
          <w:noProof/>
          <w:color w:val="000000" w:themeColor="text1"/>
          <w:sz w:val="22"/>
          <w:lang w:val="es-ES_tradnl"/>
        </w:rPr>
        <w:t xml:space="preserve">expedido por el Gobierno Nacional </w:t>
      </w:r>
      <w:r w:rsidR="00C64723">
        <w:rPr>
          <w:rFonts w:ascii="Arial" w:hAnsi="Arial" w:cs="Arial"/>
          <w:noProof/>
          <w:color w:val="000000" w:themeColor="text1"/>
          <w:sz w:val="22"/>
          <w:lang w:val="es-ES_tradnl"/>
        </w:rPr>
        <w:t>en desarrollo</w:t>
      </w:r>
      <w:r w:rsidR="00994755" w:rsidRPr="000154B8">
        <w:rPr>
          <w:rFonts w:ascii="Arial" w:hAnsi="Arial" w:cs="Arial"/>
          <w:noProof/>
          <w:color w:val="000000" w:themeColor="text1"/>
          <w:sz w:val="22"/>
          <w:lang w:val="es-ES_tradnl"/>
        </w:rPr>
        <w:t xml:space="preserve"> del Estado de emergencia declarad</w:t>
      </w:r>
      <w:r w:rsidR="00C64723">
        <w:rPr>
          <w:rFonts w:ascii="Arial" w:hAnsi="Arial" w:cs="Arial"/>
          <w:noProof/>
          <w:color w:val="000000" w:themeColor="text1"/>
          <w:sz w:val="22"/>
          <w:lang w:val="es-ES_tradnl"/>
        </w:rPr>
        <w:t xml:space="preserve">o </w:t>
      </w:r>
      <w:r w:rsidR="009F1BFF">
        <w:rPr>
          <w:rFonts w:ascii="Arial" w:hAnsi="Arial" w:cs="Arial"/>
          <w:noProof/>
          <w:color w:val="000000" w:themeColor="text1"/>
          <w:sz w:val="22"/>
          <w:lang w:val="es-ES_tradnl"/>
        </w:rPr>
        <w:t>mediante</w:t>
      </w:r>
      <w:r w:rsidR="009F1BFF" w:rsidRPr="000154B8">
        <w:rPr>
          <w:rFonts w:ascii="Arial" w:hAnsi="Arial" w:cs="Arial"/>
          <w:noProof/>
          <w:color w:val="000000" w:themeColor="text1"/>
          <w:sz w:val="22"/>
          <w:lang w:val="es-ES_tradnl"/>
        </w:rPr>
        <w:t xml:space="preserve"> </w:t>
      </w:r>
      <w:r w:rsidR="00994755" w:rsidRPr="000154B8">
        <w:rPr>
          <w:rFonts w:ascii="Arial" w:hAnsi="Arial" w:cs="Arial"/>
          <w:noProof/>
          <w:color w:val="000000" w:themeColor="text1"/>
          <w:sz w:val="22"/>
          <w:lang w:val="es-ES_tradnl"/>
        </w:rPr>
        <w:t>el Decreto 417 de 31 de marzo de 2020. Este decreto se expidió como una medida</w:t>
      </w:r>
      <w:r w:rsidR="009936FA">
        <w:rPr>
          <w:rFonts w:ascii="Arial" w:hAnsi="Arial" w:cs="Arial"/>
          <w:noProof/>
          <w:color w:val="000000" w:themeColor="text1"/>
          <w:sz w:val="22"/>
          <w:lang w:val="es-ES_tradnl"/>
        </w:rPr>
        <w:t xml:space="preserve"> </w:t>
      </w:r>
      <w:r w:rsidR="003C3AF4">
        <w:rPr>
          <w:rFonts w:ascii="Arial" w:hAnsi="Arial" w:cs="Arial"/>
          <w:noProof/>
          <w:color w:val="000000" w:themeColor="text1"/>
          <w:sz w:val="22"/>
          <w:lang w:val="es-ES_tradnl"/>
        </w:rPr>
        <w:t xml:space="preserve">excepcional </w:t>
      </w:r>
      <w:r w:rsidR="009F1BFF">
        <w:rPr>
          <w:rFonts w:ascii="Arial" w:hAnsi="Arial" w:cs="Arial"/>
          <w:noProof/>
          <w:color w:val="000000" w:themeColor="text1"/>
          <w:sz w:val="22"/>
          <w:lang w:val="es-ES_tradnl"/>
        </w:rPr>
        <w:t>de</w:t>
      </w:r>
      <w:r w:rsidR="009936FA">
        <w:rPr>
          <w:rFonts w:ascii="Arial" w:hAnsi="Arial" w:cs="Arial"/>
          <w:noProof/>
          <w:color w:val="000000" w:themeColor="text1"/>
          <w:sz w:val="22"/>
          <w:lang w:val="es-ES_tradnl"/>
        </w:rPr>
        <w:t xml:space="preserve"> alivio </w:t>
      </w:r>
      <w:r w:rsidR="009F1BFF">
        <w:rPr>
          <w:rFonts w:ascii="Arial" w:hAnsi="Arial" w:cs="Arial"/>
          <w:noProof/>
          <w:color w:val="000000" w:themeColor="text1"/>
          <w:sz w:val="22"/>
          <w:lang w:val="es-ES_tradnl"/>
        </w:rPr>
        <w:t xml:space="preserve">frente </w:t>
      </w:r>
      <w:r w:rsidR="009936FA">
        <w:rPr>
          <w:rFonts w:ascii="Arial" w:hAnsi="Arial" w:cs="Arial"/>
          <w:noProof/>
          <w:color w:val="000000" w:themeColor="text1"/>
          <w:sz w:val="22"/>
          <w:lang w:val="es-ES_tradnl"/>
        </w:rPr>
        <w:t>a</w:t>
      </w:r>
      <w:r w:rsidR="00994755" w:rsidRPr="000154B8">
        <w:rPr>
          <w:rFonts w:ascii="Arial" w:hAnsi="Arial" w:cs="Arial"/>
          <w:noProof/>
          <w:color w:val="000000" w:themeColor="text1"/>
          <w:sz w:val="22"/>
          <w:lang w:val="es-ES_tradnl"/>
        </w:rPr>
        <w:t xml:space="preserve"> los efectos económicos producidos por la emergencia </w:t>
      </w:r>
      <w:r w:rsidR="009F1BFF">
        <w:rPr>
          <w:rFonts w:ascii="Arial" w:hAnsi="Arial" w:cs="Arial"/>
          <w:noProof/>
          <w:color w:val="000000" w:themeColor="text1"/>
          <w:sz w:val="22"/>
          <w:lang w:val="es-ES_tradnl"/>
        </w:rPr>
        <w:t>ocasionada por la Pandemia del Covid-19</w:t>
      </w:r>
      <w:r w:rsidR="00CB513F">
        <w:rPr>
          <w:rFonts w:ascii="Arial" w:hAnsi="Arial" w:cs="Arial"/>
          <w:noProof/>
          <w:color w:val="000000" w:themeColor="text1"/>
          <w:sz w:val="22"/>
          <w:lang w:val="es-ES_tradnl"/>
        </w:rPr>
        <w:t xml:space="preserve"> </w:t>
      </w:r>
      <w:r w:rsidR="00F6273C" w:rsidRPr="000154B8">
        <w:rPr>
          <w:rFonts w:ascii="Arial" w:hAnsi="Arial" w:cs="Arial"/>
          <w:noProof/>
          <w:color w:val="000000" w:themeColor="text1"/>
          <w:sz w:val="22"/>
          <w:lang w:val="es-ES_tradnl"/>
        </w:rPr>
        <w:t xml:space="preserve">sobre los contratos de arrendamiento. </w:t>
      </w:r>
    </w:p>
    <w:p w14:paraId="6EA68349" w14:textId="3C0CD0DF" w:rsidR="00FE3849" w:rsidRDefault="000154B8" w:rsidP="00BE3F4F">
      <w:pPr>
        <w:tabs>
          <w:tab w:val="left" w:pos="0"/>
        </w:tabs>
        <w:spacing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r>
      <w:r w:rsidR="00BE5FEF">
        <w:rPr>
          <w:rFonts w:ascii="Arial" w:hAnsi="Arial" w:cs="Arial"/>
          <w:noProof/>
          <w:color w:val="000000" w:themeColor="text1"/>
          <w:sz w:val="22"/>
          <w:lang w:val="es-ES_tradnl"/>
        </w:rPr>
        <w:t>Este Decreto</w:t>
      </w:r>
      <w:r w:rsidR="00AB132B">
        <w:rPr>
          <w:rFonts w:ascii="Arial" w:hAnsi="Arial" w:cs="Arial"/>
          <w:noProof/>
          <w:color w:val="000000" w:themeColor="text1"/>
          <w:sz w:val="22"/>
          <w:lang w:val="es-ES_tradnl"/>
        </w:rPr>
        <w:t xml:space="preserve"> tiene por objeto fundamentalmente establecer normas sobre suspensión de desalojos de arrendamientos de inmuebles por parte de las autoridades policivas</w:t>
      </w:r>
      <w:r w:rsidR="00BE5FEF">
        <w:rPr>
          <w:rFonts w:ascii="Arial" w:hAnsi="Arial" w:cs="Arial"/>
          <w:noProof/>
          <w:color w:val="000000" w:themeColor="text1"/>
          <w:sz w:val="22"/>
          <w:lang w:val="es-ES_tradnl"/>
        </w:rPr>
        <w:t>;</w:t>
      </w:r>
      <w:r w:rsidR="00AB132B">
        <w:rPr>
          <w:rFonts w:ascii="Arial" w:hAnsi="Arial" w:cs="Arial"/>
          <w:noProof/>
          <w:color w:val="000000" w:themeColor="text1"/>
          <w:sz w:val="22"/>
          <w:lang w:val="es-ES_tradnl"/>
        </w:rPr>
        <w:t xml:space="preserve"> </w:t>
      </w:r>
      <w:r w:rsidR="00BE5FEF">
        <w:rPr>
          <w:rFonts w:ascii="Arial" w:hAnsi="Arial" w:cs="Arial"/>
          <w:noProof/>
          <w:color w:val="000000" w:themeColor="text1"/>
          <w:sz w:val="22"/>
          <w:lang w:val="es-ES_tradnl"/>
        </w:rPr>
        <w:t xml:space="preserve">el </w:t>
      </w:r>
      <w:r w:rsidR="00AB132B">
        <w:rPr>
          <w:rFonts w:ascii="Arial" w:hAnsi="Arial" w:cs="Arial"/>
          <w:noProof/>
          <w:color w:val="000000" w:themeColor="text1"/>
          <w:sz w:val="22"/>
          <w:lang w:val="es-ES_tradnl"/>
        </w:rPr>
        <w:t>reajuste, prórrogas e inicio de los contrato</w:t>
      </w:r>
      <w:r w:rsidR="00CB513F">
        <w:rPr>
          <w:rFonts w:ascii="Arial" w:hAnsi="Arial" w:cs="Arial"/>
          <w:noProof/>
          <w:color w:val="000000" w:themeColor="text1"/>
          <w:sz w:val="22"/>
          <w:lang w:val="es-ES_tradnl"/>
        </w:rPr>
        <w:t>s</w:t>
      </w:r>
      <w:r w:rsidR="00AB132B">
        <w:rPr>
          <w:rFonts w:ascii="Arial" w:hAnsi="Arial" w:cs="Arial"/>
          <w:noProof/>
          <w:color w:val="000000" w:themeColor="text1"/>
          <w:sz w:val="22"/>
          <w:lang w:val="es-ES_tradnl"/>
        </w:rPr>
        <w:t xml:space="preserve"> de arrendamiento de d</w:t>
      </w:r>
      <w:r w:rsidR="00FE3849">
        <w:rPr>
          <w:rFonts w:ascii="Arial" w:hAnsi="Arial" w:cs="Arial"/>
          <w:noProof/>
          <w:color w:val="000000" w:themeColor="text1"/>
          <w:sz w:val="22"/>
          <w:lang w:val="es-ES_tradnl"/>
        </w:rPr>
        <w:t>ichos inmuebles, para enfrentar la falta de generaci</w:t>
      </w:r>
      <w:r w:rsidR="002C139C">
        <w:rPr>
          <w:rFonts w:ascii="Arial" w:hAnsi="Arial" w:cs="Arial"/>
          <w:noProof/>
          <w:color w:val="000000" w:themeColor="text1"/>
          <w:sz w:val="22"/>
          <w:lang w:val="es-ES_tradnl"/>
        </w:rPr>
        <w:t xml:space="preserve">ón de ingresos </w:t>
      </w:r>
      <w:r w:rsidR="00FE3849">
        <w:rPr>
          <w:rFonts w:ascii="Arial" w:hAnsi="Arial" w:cs="Arial"/>
          <w:noProof/>
          <w:color w:val="000000" w:themeColor="text1"/>
          <w:sz w:val="22"/>
          <w:lang w:val="es-ES_tradnl"/>
        </w:rPr>
        <w:t>y el consecuente incumplimiento de sus obligaciones periódica</w:t>
      </w:r>
      <w:r w:rsidR="002C139C">
        <w:rPr>
          <w:rFonts w:ascii="Arial" w:hAnsi="Arial" w:cs="Arial"/>
          <w:noProof/>
          <w:color w:val="000000" w:themeColor="text1"/>
          <w:sz w:val="22"/>
          <w:lang w:val="es-ES_tradnl"/>
        </w:rPr>
        <w:t>s</w:t>
      </w:r>
      <w:r w:rsidR="00BE5FEF">
        <w:rPr>
          <w:rFonts w:ascii="Arial" w:hAnsi="Arial" w:cs="Arial"/>
          <w:noProof/>
          <w:color w:val="000000" w:themeColor="text1"/>
          <w:sz w:val="22"/>
          <w:lang w:val="es-ES_tradnl"/>
        </w:rPr>
        <w:t>;</w:t>
      </w:r>
      <w:r w:rsidR="00FE3849">
        <w:rPr>
          <w:rFonts w:ascii="Arial" w:hAnsi="Arial" w:cs="Arial"/>
          <w:noProof/>
          <w:color w:val="000000" w:themeColor="text1"/>
          <w:sz w:val="22"/>
          <w:lang w:val="es-ES_tradnl"/>
        </w:rPr>
        <w:t xml:space="preserve"> y</w:t>
      </w:r>
      <w:r w:rsidR="00CB513F">
        <w:rPr>
          <w:rFonts w:ascii="Arial" w:hAnsi="Arial" w:cs="Arial"/>
          <w:noProof/>
          <w:color w:val="000000" w:themeColor="text1"/>
          <w:sz w:val="22"/>
          <w:lang w:val="es-ES_tradnl"/>
        </w:rPr>
        <w:t>, finalmente,</w:t>
      </w:r>
      <w:r w:rsidR="00FE3849">
        <w:rPr>
          <w:rFonts w:ascii="Arial" w:hAnsi="Arial" w:cs="Arial"/>
          <w:noProof/>
          <w:color w:val="000000" w:themeColor="text1"/>
          <w:sz w:val="22"/>
          <w:lang w:val="es-ES_tradnl"/>
        </w:rPr>
        <w:t xml:space="preserve"> garantizar el distanciamiento</w:t>
      </w:r>
      <w:r w:rsidR="002C139C">
        <w:rPr>
          <w:rFonts w:ascii="Arial" w:hAnsi="Arial" w:cs="Arial"/>
          <w:noProof/>
          <w:color w:val="000000" w:themeColor="text1"/>
          <w:sz w:val="22"/>
          <w:lang w:val="es-ES_tradnl"/>
        </w:rPr>
        <w:t xml:space="preserve"> </w:t>
      </w:r>
      <w:r w:rsidR="002C139C">
        <w:rPr>
          <w:rFonts w:ascii="Arial" w:hAnsi="Arial" w:cs="Arial"/>
          <w:noProof/>
          <w:color w:val="000000" w:themeColor="text1"/>
          <w:sz w:val="22"/>
          <w:lang w:val="es-ES_tradnl"/>
        </w:rPr>
        <w:lastRenderedPageBreak/>
        <w:t>social a efectos de evitar la propagación del virus. A</w:t>
      </w:r>
      <w:r w:rsidR="00FE3849">
        <w:rPr>
          <w:rFonts w:ascii="Arial" w:hAnsi="Arial" w:cs="Arial"/>
          <w:noProof/>
          <w:color w:val="000000" w:themeColor="text1"/>
          <w:sz w:val="22"/>
          <w:lang w:val="es-ES_tradnl"/>
        </w:rPr>
        <w:t xml:space="preserve">l respecto, en sentencia C- 248 de 2020, </w:t>
      </w:r>
      <w:r w:rsidR="00C47E1B">
        <w:rPr>
          <w:rFonts w:ascii="Arial" w:hAnsi="Arial" w:cs="Arial"/>
          <w:noProof/>
          <w:color w:val="000000" w:themeColor="text1"/>
          <w:sz w:val="22"/>
          <w:lang w:val="es-ES_tradnl"/>
        </w:rPr>
        <w:t>la Corte Constitucional</w:t>
      </w:r>
      <w:r w:rsidR="00CB513F">
        <w:rPr>
          <w:rFonts w:ascii="Arial" w:hAnsi="Arial" w:cs="Arial"/>
          <w:noProof/>
          <w:color w:val="000000" w:themeColor="text1"/>
          <w:sz w:val="22"/>
          <w:lang w:val="es-ES_tradnl"/>
        </w:rPr>
        <w:t xml:space="preserve"> </w:t>
      </w:r>
      <w:r w:rsidR="00FE3849">
        <w:rPr>
          <w:rFonts w:ascii="Arial" w:hAnsi="Arial" w:cs="Arial"/>
          <w:noProof/>
          <w:color w:val="000000" w:themeColor="text1"/>
          <w:sz w:val="22"/>
          <w:lang w:val="es-ES_tradnl"/>
        </w:rPr>
        <w:t xml:space="preserve">señaló: </w:t>
      </w:r>
    </w:p>
    <w:p w14:paraId="0507804F" w14:textId="77777777" w:rsidR="00FE3849" w:rsidRDefault="00FE3849" w:rsidP="00FE3849">
      <w:pPr>
        <w:tabs>
          <w:tab w:val="left" w:pos="0"/>
        </w:tabs>
        <w:jc w:val="both"/>
        <w:rPr>
          <w:rFonts w:ascii="Arial" w:hAnsi="Arial" w:cs="Arial"/>
          <w:noProof/>
          <w:color w:val="000000" w:themeColor="text1"/>
          <w:sz w:val="22"/>
          <w:lang w:val="es-ES_tradnl"/>
        </w:rPr>
      </w:pPr>
    </w:p>
    <w:p w14:paraId="0BD202B0" w14:textId="77777777" w:rsidR="00FE3849" w:rsidRPr="000E2197" w:rsidRDefault="00FE3849" w:rsidP="00BE3F4F">
      <w:pPr>
        <w:ind w:left="709" w:right="567"/>
        <w:jc w:val="both"/>
        <w:rPr>
          <w:rFonts w:ascii="Arial" w:hAnsi="Arial" w:cs="Arial"/>
          <w:sz w:val="21"/>
          <w:szCs w:val="21"/>
        </w:rPr>
      </w:pPr>
      <w:r w:rsidRPr="000E2197">
        <w:rPr>
          <w:rFonts w:ascii="Arial" w:hAnsi="Arial" w:cs="Arial"/>
          <w:sz w:val="21"/>
          <w:szCs w:val="21"/>
        </w:rPr>
        <w:t xml:space="preserve">En relación con las medidas que se estudian en el primer título, el gobierno nacional señala en las referidas consideraciones que las consecuencias económicas de la emergencia sanitaria, en particular de las medidas de aislamiento preventivo obligatorio, han afectado la generación de ingresos de un número importante de ciudadanos y el cumplimiento de obligaciones periódicas derivadas de contratos de arrendamientos tanto de destinación habitacional como comercial. </w:t>
      </w:r>
    </w:p>
    <w:p w14:paraId="557D2506" w14:textId="77777777" w:rsidR="00AB132B" w:rsidRDefault="00AB132B" w:rsidP="00510DE9">
      <w:pPr>
        <w:tabs>
          <w:tab w:val="left" w:pos="0"/>
        </w:tabs>
        <w:jc w:val="both"/>
        <w:rPr>
          <w:rFonts w:ascii="Arial" w:hAnsi="Arial" w:cs="Arial"/>
          <w:noProof/>
          <w:color w:val="000000" w:themeColor="text1"/>
          <w:sz w:val="22"/>
          <w:lang w:val="es-ES_tradnl"/>
        </w:rPr>
      </w:pPr>
    </w:p>
    <w:p w14:paraId="7BF3A13D" w14:textId="7674E9A1" w:rsidR="0062578F" w:rsidRDefault="00FE3849" w:rsidP="00BE3F4F">
      <w:pPr>
        <w:tabs>
          <w:tab w:val="left" w:pos="0"/>
        </w:tabs>
        <w:spacing w:after="120"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r>
      <w:r w:rsidR="003A06C5">
        <w:rPr>
          <w:rFonts w:ascii="Arial" w:hAnsi="Arial" w:cs="Arial"/>
          <w:noProof/>
          <w:color w:val="000000" w:themeColor="text1"/>
          <w:sz w:val="22"/>
          <w:lang w:val="es-ES_tradnl"/>
        </w:rPr>
        <w:t>E</w:t>
      </w:r>
      <w:r w:rsidR="00AB132B">
        <w:rPr>
          <w:rFonts w:ascii="Arial" w:hAnsi="Arial" w:cs="Arial"/>
          <w:noProof/>
          <w:color w:val="000000" w:themeColor="text1"/>
          <w:sz w:val="22"/>
          <w:lang w:val="es-ES_tradnl"/>
        </w:rPr>
        <w:t xml:space="preserve">l </w:t>
      </w:r>
      <w:r w:rsidR="009A6A06">
        <w:rPr>
          <w:rFonts w:ascii="Arial" w:hAnsi="Arial" w:cs="Arial"/>
          <w:noProof/>
          <w:color w:val="000000" w:themeColor="text1"/>
          <w:sz w:val="22"/>
          <w:lang w:val="es-ES_tradnl"/>
        </w:rPr>
        <w:t>decreto se divide en 2 títulos, el primero, contiene disposiciones sobre el arrendamiento de inmuebles</w:t>
      </w:r>
      <w:r w:rsidR="00FE1E61">
        <w:rPr>
          <w:rFonts w:ascii="Arial" w:hAnsi="Arial" w:cs="Arial"/>
          <w:noProof/>
          <w:color w:val="000000" w:themeColor="text1"/>
          <w:sz w:val="22"/>
          <w:lang w:val="es-ES_tradnl"/>
        </w:rPr>
        <w:t>, tales como, suspensión de acciones de desalojo (artículo 1), reajustes al canon de arrendamiento (artículo 2)</w:t>
      </w:r>
      <w:r w:rsidR="00BE5FEF">
        <w:rPr>
          <w:rFonts w:ascii="Arial" w:hAnsi="Arial" w:cs="Arial"/>
          <w:noProof/>
          <w:color w:val="000000" w:themeColor="text1"/>
          <w:sz w:val="22"/>
          <w:lang w:val="es-ES_tradnl"/>
        </w:rPr>
        <w:t>,</w:t>
      </w:r>
      <w:r w:rsidR="00FE1E61">
        <w:rPr>
          <w:rFonts w:ascii="Arial" w:hAnsi="Arial" w:cs="Arial"/>
          <w:noProof/>
          <w:color w:val="000000" w:themeColor="text1"/>
          <w:sz w:val="22"/>
          <w:lang w:val="es-ES_tradnl"/>
        </w:rPr>
        <w:t xml:space="preserve"> reglas sobre pago de cánones (artículo 3), prórroga del contrato (artículo 4), inicio del contrato (artículo 5) </w:t>
      </w:r>
      <w:r w:rsidR="00FA56C8">
        <w:rPr>
          <w:rFonts w:ascii="Arial" w:hAnsi="Arial" w:cs="Arial"/>
          <w:noProof/>
          <w:color w:val="000000" w:themeColor="text1"/>
          <w:sz w:val="22"/>
          <w:lang w:val="es-ES_tradnl"/>
        </w:rPr>
        <w:t>y las reglas sobre aplicación extensiva de las normas contenidas en esta diposición normativa (artículo 6)</w:t>
      </w:r>
      <w:r w:rsidR="00BE5FEF">
        <w:rPr>
          <w:rFonts w:ascii="Arial" w:hAnsi="Arial" w:cs="Arial"/>
          <w:noProof/>
          <w:color w:val="000000" w:themeColor="text1"/>
          <w:sz w:val="22"/>
          <w:lang w:val="es-ES_tradnl"/>
        </w:rPr>
        <w:t>.</w:t>
      </w:r>
      <w:r w:rsidR="009A6A06">
        <w:rPr>
          <w:rFonts w:ascii="Arial" w:hAnsi="Arial" w:cs="Arial"/>
          <w:noProof/>
          <w:color w:val="000000" w:themeColor="text1"/>
          <w:sz w:val="22"/>
          <w:lang w:val="es-ES_tradnl"/>
        </w:rPr>
        <w:t xml:space="preserve"> </w:t>
      </w:r>
      <w:r w:rsidR="00BE5FEF">
        <w:rPr>
          <w:rFonts w:ascii="Arial" w:hAnsi="Arial" w:cs="Arial"/>
          <w:noProof/>
          <w:color w:val="000000" w:themeColor="text1"/>
          <w:sz w:val="22"/>
          <w:lang w:val="es-ES_tradnl"/>
        </w:rPr>
        <w:t>E</w:t>
      </w:r>
      <w:r w:rsidR="009A6A06">
        <w:rPr>
          <w:rFonts w:ascii="Arial" w:hAnsi="Arial" w:cs="Arial"/>
          <w:noProof/>
          <w:color w:val="000000" w:themeColor="text1"/>
          <w:sz w:val="22"/>
          <w:lang w:val="es-ES_tradnl"/>
        </w:rPr>
        <w:t>l segundo</w:t>
      </w:r>
      <w:r w:rsidR="00BE5FEF">
        <w:rPr>
          <w:rFonts w:ascii="Arial" w:hAnsi="Arial" w:cs="Arial"/>
          <w:noProof/>
          <w:color w:val="000000" w:themeColor="text1"/>
          <w:sz w:val="22"/>
          <w:lang w:val="es-ES_tradnl"/>
        </w:rPr>
        <w:t xml:space="preserve"> título</w:t>
      </w:r>
      <w:r w:rsidR="009A6A06">
        <w:rPr>
          <w:rFonts w:ascii="Arial" w:hAnsi="Arial" w:cs="Arial"/>
          <w:noProof/>
          <w:color w:val="000000" w:themeColor="text1"/>
          <w:sz w:val="22"/>
          <w:lang w:val="es-ES_tradnl"/>
        </w:rPr>
        <w:t xml:space="preserve"> </w:t>
      </w:r>
      <w:r w:rsidR="00BE5FEF">
        <w:rPr>
          <w:rFonts w:ascii="Arial" w:hAnsi="Arial" w:cs="Arial"/>
          <w:noProof/>
          <w:color w:val="000000" w:themeColor="text1"/>
          <w:sz w:val="22"/>
          <w:lang w:val="es-ES_tradnl"/>
        </w:rPr>
        <w:t>tiene disposiciones relacionadas con el</w:t>
      </w:r>
      <w:r w:rsidR="009A6A06">
        <w:rPr>
          <w:rFonts w:ascii="Arial" w:hAnsi="Arial" w:cs="Arial"/>
          <w:noProof/>
          <w:color w:val="000000" w:themeColor="text1"/>
          <w:sz w:val="22"/>
          <w:lang w:val="es-ES_tradnl"/>
        </w:rPr>
        <w:t xml:space="preserve"> r</w:t>
      </w:r>
      <w:r w:rsidR="00FE1E61">
        <w:rPr>
          <w:rFonts w:ascii="Arial" w:hAnsi="Arial" w:cs="Arial"/>
          <w:noProof/>
          <w:color w:val="000000" w:themeColor="text1"/>
          <w:sz w:val="22"/>
          <w:lang w:val="es-ES_tradnl"/>
        </w:rPr>
        <w:t>égimen de propiedad horizon</w:t>
      </w:r>
      <w:r w:rsidR="00FA56C8">
        <w:rPr>
          <w:rFonts w:ascii="Arial" w:hAnsi="Arial" w:cs="Arial"/>
          <w:noProof/>
          <w:color w:val="000000" w:themeColor="text1"/>
          <w:sz w:val="22"/>
          <w:lang w:val="es-ES_tradnl"/>
        </w:rPr>
        <w:t>tal</w:t>
      </w:r>
      <w:r w:rsidR="00BE5FEF">
        <w:rPr>
          <w:rFonts w:ascii="Arial" w:hAnsi="Arial" w:cs="Arial"/>
          <w:noProof/>
          <w:color w:val="000000" w:themeColor="text1"/>
          <w:sz w:val="22"/>
          <w:lang w:val="es-ES_tradnl"/>
        </w:rPr>
        <w:t xml:space="preserve">, regulando aspectos relacionados con </w:t>
      </w:r>
      <w:r w:rsidR="00FA56C8">
        <w:rPr>
          <w:rFonts w:ascii="Arial" w:hAnsi="Arial" w:cs="Arial"/>
          <w:noProof/>
          <w:color w:val="000000" w:themeColor="text1"/>
          <w:sz w:val="22"/>
          <w:lang w:val="es-ES_tradnl"/>
        </w:rPr>
        <w:t xml:space="preserve">el fondo de imprevistos (artículo 7), </w:t>
      </w:r>
      <w:r w:rsidR="00BE5FEF">
        <w:rPr>
          <w:rFonts w:ascii="Arial" w:hAnsi="Arial" w:cs="Arial"/>
          <w:noProof/>
          <w:color w:val="000000" w:themeColor="text1"/>
          <w:sz w:val="22"/>
          <w:lang w:val="es-ES_tradnl"/>
        </w:rPr>
        <w:t xml:space="preserve">la </w:t>
      </w:r>
      <w:r w:rsidR="00FA56C8">
        <w:rPr>
          <w:rFonts w:ascii="Arial" w:hAnsi="Arial" w:cs="Arial"/>
          <w:noProof/>
          <w:color w:val="000000" w:themeColor="text1"/>
          <w:sz w:val="22"/>
          <w:lang w:val="es-ES_tradnl"/>
        </w:rPr>
        <w:t xml:space="preserve">asamblea de propiedad horizontal (artículo 8) y </w:t>
      </w:r>
      <w:r w:rsidR="00BE5FEF">
        <w:rPr>
          <w:rFonts w:ascii="Arial" w:hAnsi="Arial" w:cs="Arial"/>
          <w:noProof/>
          <w:color w:val="000000" w:themeColor="text1"/>
          <w:sz w:val="22"/>
          <w:lang w:val="es-ES_tradnl"/>
        </w:rPr>
        <w:t xml:space="preserve">el </w:t>
      </w:r>
      <w:r w:rsidR="00FA56C8">
        <w:rPr>
          <w:rFonts w:ascii="Arial" w:hAnsi="Arial" w:cs="Arial"/>
          <w:noProof/>
          <w:color w:val="000000" w:themeColor="text1"/>
          <w:sz w:val="22"/>
          <w:lang w:val="es-ES_tradnl"/>
        </w:rPr>
        <w:t>reajuste de cuotas de administración de zonas comunes (artículo 9)</w:t>
      </w:r>
      <w:r w:rsidR="00BE5FEF">
        <w:rPr>
          <w:rFonts w:ascii="Arial" w:hAnsi="Arial" w:cs="Arial"/>
          <w:noProof/>
          <w:color w:val="000000" w:themeColor="text1"/>
          <w:sz w:val="22"/>
          <w:lang w:val="es-ES_tradnl"/>
        </w:rPr>
        <w:t xml:space="preserve">. Finalmente, el artículo 10 se ocupa de la </w:t>
      </w:r>
      <w:r w:rsidR="00FA56C8">
        <w:rPr>
          <w:rFonts w:ascii="Arial" w:hAnsi="Arial" w:cs="Arial"/>
          <w:noProof/>
          <w:color w:val="000000" w:themeColor="text1"/>
          <w:sz w:val="22"/>
          <w:lang w:val="es-ES_tradnl"/>
        </w:rPr>
        <w:t xml:space="preserve">vigencia </w:t>
      </w:r>
      <w:r w:rsidR="00BE5FEF">
        <w:rPr>
          <w:rFonts w:ascii="Arial" w:hAnsi="Arial" w:cs="Arial"/>
          <w:noProof/>
          <w:color w:val="000000" w:themeColor="text1"/>
          <w:sz w:val="22"/>
          <w:lang w:val="es-ES_tradnl"/>
        </w:rPr>
        <w:t>del Decreto</w:t>
      </w:r>
      <w:r w:rsidR="00FA56C8">
        <w:rPr>
          <w:rFonts w:ascii="Arial" w:hAnsi="Arial" w:cs="Arial"/>
          <w:noProof/>
          <w:color w:val="000000" w:themeColor="text1"/>
          <w:sz w:val="22"/>
          <w:lang w:val="es-ES_tradnl"/>
        </w:rPr>
        <w:t xml:space="preserve">. </w:t>
      </w:r>
    </w:p>
    <w:p w14:paraId="0C61CA91" w14:textId="7AA79C31" w:rsidR="0062578F" w:rsidRDefault="0062578F" w:rsidP="00BE3F4F">
      <w:pPr>
        <w:tabs>
          <w:tab w:val="left" w:pos="0"/>
        </w:tabs>
        <w:spacing w:after="120"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t>De conformidad con lo anterior, el artículo 4, relacionado con la pregunta de la peticionaria, estableció lo siguiente: «</w:t>
      </w:r>
      <w:r w:rsidRPr="0062578F">
        <w:rPr>
          <w:rFonts w:ascii="Arial" w:hAnsi="Arial" w:cs="Arial"/>
          <w:noProof/>
          <w:color w:val="000000" w:themeColor="text1"/>
          <w:sz w:val="22"/>
          <w:lang w:val="es-ES_tradnl"/>
        </w:rPr>
        <w:t>Prórroga de contratos. Los contratos de arrendamiento cuyo vencimiento y entrega del inmueble al arrendador se haya pactado para cualquier fecha dentro del lapso de duración de la declaratoria de la Emergencia Económica, Social y Ecológica, se entenderán prorrogados hasta el treinta (30) de junio de 2020, continuando vigente la obligación de pago del canon. Lo anterior sin perjuicio de acuerdos en contrario celebrados entre las partes</w:t>
      </w:r>
      <w:r>
        <w:rPr>
          <w:rFonts w:ascii="Arial" w:hAnsi="Arial" w:cs="Arial"/>
          <w:noProof/>
          <w:color w:val="000000" w:themeColor="text1"/>
          <w:sz w:val="22"/>
          <w:lang w:val="es-ES_tradnl"/>
        </w:rPr>
        <w:t>»</w:t>
      </w:r>
      <w:r w:rsidRPr="0062578F">
        <w:rPr>
          <w:rFonts w:ascii="Arial" w:hAnsi="Arial" w:cs="Arial"/>
          <w:noProof/>
          <w:color w:val="000000" w:themeColor="text1"/>
          <w:sz w:val="22"/>
          <w:lang w:val="es-ES_tradnl"/>
        </w:rPr>
        <w:t>.</w:t>
      </w:r>
      <w:r>
        <w:rPr>
          <w:rFonts w:ascii="Arial" w:hAnsi="Arial" w:cs="Arial"/>
          <w:noProof/>
          <w:color w:val="000000" w:themeColor="text1"/>
          <w:sz w:val="22"/>
          <w:lang w:val="es-ES_tradnl"/>
        </w:rPr>
        <w:t xml:space="preserve"> Nótese como la disposición misma no estableció mayores precisiones en cu</w:t>
      </w:r>
      <w:r w:rsidR="003A06C5">
        <w:rPr>
          <w:rFonts w:ascii="Arial" w:hAnsi="Arial" w:cs="Arial"/>
          <w:noProof/>
          <w:color w:val="000000" w:themeColor="text1"/>
          <w:sz w:val="22"/>
          <w:lang w:val="es-ES_tradnl"/>
        </w:rPr>
        <w:t>a</w:t>
      </w:r>
      <w:r>
        <w:rPr>
          <w:rFonts w:ascii="Arial" w:hAnsi="Arial" w:cs="Arial"/>
          <w:noProof/>
          <w:color w:val="000000" w:themeColor="text1"/>
          <w:sz w:val="22"/>
          <w:lang w:val="es-ES_tradnl"/>
        </w:rPr>
        <w:t xml:space="preserve">nto a su ámbito de aplicación, estableciendo </w:t>
      </w:r>
      <w:r w:rsidR="003A06C5">
        <w:rPr>
          <w:rFonts w:ascii="Arial" w:hAnsi="Arial" w:cs="Arial"/>
          <w:noProof/>
          <w:color w:val="000000" w:themeColor="text1"/>
          <w:sz w:val="22"/>
          <w:lang w:val="es-ES_tradnl"/>
        </w:rPr>
        <w:t>de forma general que</w:t>
      </w:r>
      <w:r>
        <w:rPr>
          <w:rFonts w:ascii="Arial" w:hAnsi="Arial" w:cs="Arial"/>
          <w:noProof/>
          <w:color w:val="000000" w:themeColor="text1"/>
          <w:sz w:val="22"/>
          <w:lang w:val="es-ES_tradnl"/>
        </w:rPr>
        <w:t xml:space="preserve"> aplica </w:t>
      </w:r>
      <w:r w:rsidR="003C3AF4">
        <w:rPr>
          <w:rFonts w:ascii="Arial" w:hAnsi="Arial" w:cs="Arial"/>
          <w:noProof/>
          <w:color w:val="000000" w:themeColor="text1"/>
          <w:sz w:val="22"/>
          <w:lang w:val="es-ES_tradnl"/>
        </w:rPr>
        <w:t>frente a</w:t>
      </w:r>
      <w:r>
        <w:rPr>
          <w:rFonts w:ascii="Arial" w:hAnsi="Arial" w:cs="Arial"/>
          <w:noProof/>
          <w:color w:val="000000" w:themeColor="text1"/>
          <w:sz w:val="22"/>
          <w:lang w:val="es-ES_tradnl"/>
        </w:rPr>
        <w:t xml:space="preserve"> los contratos de arrendamiento.</w:t>
      </w:r>
    </w:p>
    <w:p w14:paraId="154A1E4C" w14:textId="298501C9" w:rsidR="00281552" w:rsidRDefault="0062578F" w:rsidP="00BE3F4F">
      <w:pPr>
        <w:tabs>
          <w:tab w:val="left" w:pos="0"/>
        </w:tabs>
        <w:spacing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t>Sin perjuicio de lo anterior, continuando con el contenido del Decreto anlizado, e</w:t>
      </w:r>
      <w:r w:rsidR="00281552">
        <w:rPr>
          <w:rFonts w:ascii="Arial" w:hAnsi="Arial" w:cs="Arial"/>
          <w:noProof/>
          <w:color w:val="000000" w:themeColor="text1"/>
          <w:sz w:val="22"/>
          <w:lang w:val="es-ES_tradnl"/>
        </w:rPr>
        <w:t>n relación con</w:t>
      </w:r>
      <w:r w:rsidR="00825326">
        <w:rPr>
          <w:rFonts w:ascii="Arial" w:hAnsi="Arial" w:cs="Arial"/>
          <w:noProof/>
          <w:color w:val="000000" w:themeColor="text1"/>
          <w:sz w:val="22"/>
          <w:lang w:val="es-ES_tradnl"/>
        </w:rPr>
        <w:t xml:space="preserve"> los destinatarios </w:t>
      </w:r>
      <w:r w:rsidR="00D11B04">
        <w:rPr>
          <w:rFonts w:ascii="Arial" w:hAnsi="Arial" w:cs="Arial"/>
          <w:noProof/>
          <w:color w:val="000000" w:themeColor="text1"/>
          <w:sz w:val="22"/>
          <w:lang w:val="es-ES_tradnl"/>
        </w:rPr>
        <w:t xml:space="preserve">de las disposiciones </w:t>
      </w:r>
      <w:r>
        <w:rPr>
          <w:rFonts w:ascii="Arial" w:hAnsi="Arial" w:cs="Arial"/>
          <w:noProof/>
          <w:color w:val="000000" w:themeColor="text1"/>
          <w:sz w:val="22"/>
          <w:lang w:val="es-ES_tradnl"/>
        </w:rPr>
        <w:t>prescritas</w:t>
      </w:r>
      <w:r w:rsidR="00D11B04">
        <w:rPr>
          <w:rFonts w:ascii="Arial" w:hAnsi="Arial" w:cs="Arial"/>
          <w:noProof/>
          <w:color w:val="000000" w:themeColor="text1"/>
          <w:sz w:val="22"/>
          <w:lang w:val="es-ES_tradnl"/>
        </w:rPr>
        <w:t xml:space="preserve"> en el Título I</w:t>
      </w:r>
      <w:r w:rsidR="00825326">
        <w:rPr>
          <w:rFonts w:ascii="Arial" w:hAnsi="Arial" w:cs="Arial"/>
          <w:noProof/>
          <w:color w:val="000000" w:themeColor="text1"/>
          <w:sz w:val="22"/>
          <w:lang w:val="es-ES_tradnl"/>
        </w:rPr>
        <w:t xml:space="preserve">, el artículo 6 estableció reglas de </w:t>
      </w:r>
      <w:r w:rsidR="00BE5FEF">
        <w:rPr>
          <w:rFonts w:ascii="Arial" w:hAnsi="Arial" w:cs="Arial"/>
          <w:noProof/>
          <w:color w:val="000000" w:themeColor="text1"/>
          <w:sz w:val="22"/>
          <w:lang w:val="es-ES_tradnl"/>
        </w:rPr>
        <w:t>aplicac</w:t>
      </w:r>
      <w:r w:rsidR="00156135">
        <w:rPr>
          <w:rFonts w:ascii="Arial" w:hAnsi="Arial" w:cs="Arial"/>
          <w:noProof/>
          <w:color w:val="000000" w:themeColor="text1"/>
          <w:sz w:val="22"/>
          <w:lang w:val="es-ES_tradnl"/>
        </w:rPr>
        <w:t>i</w:t>
      </w:r>
      <w:r w:rsidR="00BE5FEF">
        <w:rPr>
          <w:rFonts w:ascii="Arial" w:hAnsi="Arial" w:cs="Arial"/>
          <w:noProof/>
          <w:color w:val="000000" w:themeColor="text1"/>
          <w:sz w:val="22"/>
          <w:lang w:val="es-ES_tradnl"/>
        </w:rPr>
        <w:t xml:space="preserve">ón extensiva </w:t>
      </w:r>
      <w:r w:rsidR="00825326">
        <w:rPr>
          <w:rFonts w:ascii="Arial" w:hAnsi="Arial" w:cs="Arial"/>
          <w:noProof/>
          <w:color w:val="000000" w:themeColor="text1"/>
          <w:sz w:val="22"/>
          <w:lang w:val="es-ES_tradnl"/>
        </w:rPr>
        <w:t>de</w:t>
      </w:r>
      <w:r w:rsidR="00281552">
        <w:rPr>
          <w:rFonts w:ascii="Arial" w:hAnsi="Arial" w:cs="Arial"/>
          <w:noProof/>
          <w:color w:val="000000" w:themeColor="text1"/>
          <w:sz w:val="22"/>
          <w:lang w:val="es-ES_tradnl"/>
        </w:rPr>
        <w:t xml:space="preserve"> </w:t>
      </w:r>
      <w:r>
        <w:rPr>
          <w:rFonts w:ascii="Arial" w:hAnsi="Arial" w:cs="Arial"/>
          <w:noProof/>
          <w:color w:val="000000" w:themeColor="text1"/>
          <w:sz w:val="22"/>
          <w:lang w:val="es-ES_tradnl"/>
        </w:rPr>
        <w:t>dichas disposiciones</w:t>
      </w:r>
      <w:r w:rsidR="00825326">
        <w:rPr>
          <w:rFonts w:ascii="Arial" w:hAnsi="Arial" w:cs="Arial"/>
          <w:noProof/>
          <w:color w:val="000000" w:themeColor="text1"/>
          <w:sz w:val="22"/>
          <w:lang w:val="es-ES_tradnl"/>
        </w:rPr>
        <w:t xml:space="preserve">, así: </w:t>
      </w:r>
      <w:r w:rsidR="00281552">
        <w:rPr>
          <w:rFonts w:ascii="Arial" w:hAnsi="Arial" w:cs="Arial"/>
          <w:noProof/>
          <w:color w:val="000000" w:themeColor="text1"/>
          <w:sz w:val="22"/>
          <w:lang w:val="es-ES_tradnl"/>
        </w:rPr>
        <w:t xml:space="preserve"> </w:t>
      </w:r>
    </w:p>
    <w:p w14:paraId="30E50430" w14:textId="77777777" w:rsidR="00A84E7D" w:rsidRDefault="00A84E7D" w:rsidP="00510DE9">
      <w:pPr>
        <w:tabs>
          <w:tab w:val="left" w:pos="0"/>
        </w:tabs>
        <w:jc w:val="both"/>
        <w:rPr>
          <w:rFonts w:ascii="Arial" w:hAnsi="Arial" w:cs="Arial"/>
          <w:noProof/>
          <w:color w:val="000000" w:themeColor="text1"/>
          <w:sz w:val="22"/>
          <w:lang w:val="es-ES_tradnl"/>
        </w:rPr>
      </w:pPr>
    </w:p>
    <w:p w14:paraId="3FDA1D2C"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ARTÍCULO 6. Aplicación extensiva. Los artículos precedentes del presente Título serán aplicables a: </w:t>
      </w:r>
    </w:p>
    <w:p w14:paraId="2D9DF26F"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 xml:space="preserve"> </w:t>
      </w:r>
    </w:p>
    <w:p w14:paraId="1F6A50D0"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1. Los contratos de arrendamiento regidos por el Código Civil y el Código de Comercio celebrados sobre inmuebles de destinación comercial en los cuales el arrendatario sea una persona natural, micro, pequeña o mediana empresa, según la clasificación prevista en el artículo 2.2.1.13.2.2 de la Sección 2 del Capítulo 13 del Título 1 de la Parte 2 del Libro 2 del Decreto 1074 de 2015, Decreto Único Reglamentario del Sector Comercio, Industria y Turismo. </w:t>
      </w:r>
    </w:p>
    <w:p w14:paraId="4CAAEFC9"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lastRenderedPageBreak/>
        <w:t xml:space="preserve"> </w:t>
      </w:r>
    </w:p>
    <w:p w14:paraId="54BDE303"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De conformidad con lo anterior, se suspende la aplicación de intereses de mora, penalidades, indemnizaciones o sanciones provenientes de la ley o de acuerdos entre las partes. </w:t>
      </w:r>
    </w:p>
    <w:p w14:paraId="13BAC0A3"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 xml:space="preserve"> </w:t>
      </w:r>
    </w:p>
    <w:p w14:paraId="7E7CD8D2"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2. Los contratos de arrendamiento en los cuales el arrendatario sea una persona jurídica sin ánimo de lucro inscrita en el registro del Ministerio del Interior. </w:t>
      </w:r>
    </w:p>
    <w:p w14:paraId="1696E58E" w14:textId="77777777" w:rsidR="00A84E7D" w:rsidRPr="00A84E7D" w:rsidRDefault="00A84E7D" w:rsidP="00BE3F4F">
      <w:pPr>
        <w:ind w:left="709" w:right="567"/>
        <w:jc w:val="both"/>
        <w:rPr>
          <w:rFonts w:ascii="Arial" w:hAnsi="Arial" w:cs="Arial"/>
          <w:sz w:val="21"/>
          <w:szCs w:val="21"/>
        </w:rPr>
      </w:pPr>
      <w:r w:rsidRPr="00A84E7D">
        <w:rPr>
          <w:rFonts w:ascii="Arial" w:hAnsi="Arial" w:cs="Arial"/>
          <w:sz w:val="21"/>
          <w:szCs w:val="21"/>
        </w:rPr>
        <w:t xml:space="preserve"> </w:t>
      </w:r>
    </w:p>
    <w:p w14:paraId="35F13667" w14:textId="77777777" w:rsidR="00A84E7D" w:rsidRPr="00A84E7D" w:rsidRDefault="00A84E7D" w:rsidP="00BE3F4F">
      <w:pPr>
        <w:ind w:left="709" w:right="567"/>
        <w:jc w:val="both"/>
        <w:rPr>
          <w:rFonts w:ascii="Arial" w:hAnsi="Arial" w:cs="Arial"/>
          <w:sz w:val="21"/>
          <w:szCs w:val="21"/>
        </w:rPr>
      </w:pPr>
      <w:bookmarkStart w:id="3" w:name="_2s8eyo1" w:colFirst="0" w:colLast="0"/>
      <w:bookmarkEnd w:id="3"/>
      <w:r w:rsidRPr="00A84E7D">
        <w:rPr>
          <w:rFonts w:ascii="Arial" w:hAnsi="Arial" w:cs="Arial"/>
          <w:sz w:val="21"/>
          <w:szCs w:val="21"/>
        </w:rPr>
        <w:t>PARÁGRAFO. Se excluyen de las disposiciones contenidas en el presente Título, los contratos de arrendamiento suscritos por el administrador del Fondo para la Rehabilitación, Inversión Social y Lucha contra el Crimen Organizado - FRISCO, los contratos de leasing habitacional y los contratos de arrendamiento financiero - leasing. </w:t>
      </w:r>
    </w:p>
    <w:p w14:paraId="5CDE6619" w14:textId="77777777" w:rsidR="00A84E7D" w:rsidRDefault="00A84E7D" w:rsidP="00A84E7D">
      <w:pPr>
        <w:tabs>
          <w:tab w:val="left" w:pos="0"/>
        </w:tabs>
        <w:ind w:left="567" w:right="567"/>
        <w:jc w:val="both"/>
        <w:rPr>
          <w:rFonts w:ascii="Arial" w:hAnsi="Arial" w:cs="Arial"/>
          <w:noProof/>
          <w:color w:val="000000" w:themeColor="text1"/>
          <w:sz w:val="22"/>
          <w:lang w:val="es-ES_tradnl"/>
        </w:rPr>
      </w:pPr>
    </w:p>
    <w:p w14:paraId="706BCD80" w14:textId="6111FBD0" w:rsidR="00CA4B9E" w:rsidRDefault="00FE3849">
      <w:pPr>
        <w:tabs>
          <w:tab w:val="left" w:pos="0"/>
        </w:tabs>
        <w:spacing w:after="120"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 xml:space="preserve"> </w:t>
      </w:r>
      <w:r w:rsidR="00BE5FEF">
        <w:rPr>
          <w:rFonts w:ascii="Arial" w:hAnsi="Arial" w:cs="Arial"/>
          <w:noProof/>
          <w:color w:val="000000" w:themeColor="text1"/>
          <w:sz w:val="22"/>
          <w:lang w:val="es-ES_tradnl"/>
        </w:rPr>
        <w:tab/>
      </w:r>
      <w:r w:rsidR="00CA4B9E">
        <w:rPr>
          <w:rFonts w:ascii="Arial" w:hAnsi="Arial" w:cs="Arial"/>
          <w:noProof/>
          <w:color w:val="000000" w:themeColor="text1"/>
          <w:sz w:val="22"/>
          <w:lang w:val="es-ES_tradnl"/>
        </w:rPr>
        <w:t>Este artículo estableció la aplicación</w:t>
      </w:r>
      <w:r w:rsidR="007242E7">
        <w:rPr>
          <w:rFonts w:ascii="Arial" w:hAnsi="Arial" w:cs="Arial"/>
          <w:noProof/>
          <w:color w:val="000000" w:themeColor="text1"/>
          <w:sz w:val="22"/>
          <w:lang w:val="es-ES_tradnl"/>
        </w:rPr>
        <w:t xml:space="preserve"> </w:t>
      </w:r>
      <w:r w:rsidR="00D11B04">
        <w:rPr>
          <w:rFonts w:ascii="Arial" w:hAnsi="Arial" w:cs="Arial"/>
          <w:noProof/>
          <w:color w:val="000000" w:themeColor="text1"/>
          <w:sz w:val="22"/>
          <w:lang w:val="es-ES_tradnl"/>
        </w:rPr>
        <w:t xml:space="preserve">extensiva </w:t>
      </w:r>
      <w:r w:rsidR="007242E7">
        <w:rPr>
          <w:rFonts w:ascii="Arial" w:hAnsi="Arial" w:cs="Arial"/>
          <w:noProof/>
          <w:color w:val="000000" w:themeColor="text1"/>
          <w:sz w:val="22"/>
          <w:lang w:val="es-ES_tradnl"/>
        </w:rPr>
        <w:t>del t</w:t>
      </w:r>
      <w:r w:rsidR="002C139C">
        <w:rPr>
          <w:rFonts w:ascii="Arial" w:hAnsi="Arial" w:cs="Arial"/>
          <w:noProof/>
          <w:color w:val="000000" w:themeColor="text1"/>
          <w:sz w:val="22"/>
          <w:lang w:val="es-ES_tradnl"/>
        </w:rPr>
        <w:t>í</w:t>
      </w:r>
      <w:r w:rsidR="007242E7">
        <w:rPr>
          <w:rFonts w:ascii="Arial" w:hAnsi="Arial" w:cs="Arial"/>
          <w:noProof/>
          <w:color w:val="000000" w:themeColor="text1"/>
          <w:sz w:val="22"/>
          <w:lang w:val="es-ES_tradnl"/>
        </w:rPr>
        <w:t>tulo I de este decreto en consideraci</w:t>
      </w:r>
      <w:r w:rsidR="003A06C5">
        <w:rPr>
          <w:rFonts w:ascii="Arial" w:hAnsi="Arial" w:cs="Arial"/>
          <w:noProof/>
          <w:color w:val="000000" w:themeColor="text1"/>
          <w:sz w:val="22"/>
          <w:lang w:val="es-ES_tradnl"/>
        </w:rPr>
        <w:t>ó</w:t>
      </w:r>
      <w:r w:rsidR="007242E7">
        <w:rPr>
          <w:rFonts w:ascii="Arial" w:hAnsi="Arial" w:cs="Arial"/>
          <w:noProof/>
          <w:color w:val="000000" w:themeColor="text1"/>
          <w:sz w:val="22"/>
          <w:lang w:val="es-ES_tradnl"/>
        </w:rPr>
        <w:t>n a</w:t>
      </w:r>
      <w:r w:rsidR="002C139C">
        <w:rPr>
          <w:rFonts w:ascii="Arial" w:hAnsi="Arial" w:cs="Arial"/>
          <w:noProof/>
          <w:color w:val="000000" w:themeColor="text1"/>
          <w:sz w:val="22"/>
          <w:lang w:val="es-ES_tradnl"/>
        </w:rPr>
        <w:t xml:space="preserve">l tipo de </w:t>
      </w:r>
      <w:r w:rsidR="00BE5FEF">
        <w:rPr>
          <w:rFonts w:ascii="Arial" w:hAnsi="Arial" w:cs="Arial"/>
          <w:noProof/>
          <w:color w:val="000000" w:themeColor="text1"/>
          <w:sz w:val="22"/>
          <w:lang w:val="es-ES_tradnl"/>
        </w:rPr>
        <w:t>contratos de arrendamiento</w:t>
      </w:r>
      <w:r w:rsidR="007242E7">
        <w:rPr>
          <w:rFonts w:ascii="Arial" w:hAnsi="Arial" w:cs="Arial"/>
          <w:noProof/>
          <w:color w:val="000000" w:themeColor="text1"/>
          <w:sz w:val="22"/>
          <w:lang w:val="es-ES_tradnl"/>
        </w:rPr>
        <w:t>, así</w:t>
      </w:r>
      <w:r w:rsidR="00CA4B9E">
        <w:rPr>
          <w:rFonts w:ascii="Arial" w:hAnsi="Arial" w:cs="Arial"/>
          <w:noProof/>
          <w:color w:val="000000" w:themeColor="text1"/>
          <w:sz w:val="22"/>
          <w:lang w:val="es-ES_tradnl"/>
        </w:rPr>
        <w:t>: i) contratos</w:t>
      </w:r>
      <w:r w:rsidR="007242E7">
        <w:rPr>
          <w:rFonts w:ascii="Arial" w:hAnsi="Arial" w:cs="Arial"/>
          <w:noProof/>
          <w:color w:val="000000" w:themeColor="text1"/>
          <w:sz w:val="22"/>
          <w:lang w:val="es-ES_tradnl"/>
        </w:rPr>
        <w:t xml:space="preserve">  arrendamiento</w:t>
      </w:r>
      <w:r w:rsidR="00CA4B9E">
        <w:rPr>
          <w:rFonts w:ascii="Arial" w:hAnsi="Arial" w:cs="Arial"/>
          <w:noProof/>
          <w:color w:val="000000" w:themeColor="text1"/>
          <w:sz w:val="22"/>
          <w:lang w:val="es-ES_tradnl"/>
        </w:rPr>
        <w:t xml:space="preserve"> regidos por el Código Civil y el Código de Comercio celebrad</w:t>
      </w:r>
      <w:r w:rsidR="00156135">
        <w:rPr>
          <w:rFonts w:ascii="Arial" w:hAnsi="Arial" w:cs="Arial"/>
          <w:noProof/>
          <w:color w:val="000000" w:themeColor="text1"/>
          <w:sz w:val="22"/>
          <w:lang w:val="es-ES_tradnl"/>
        </w:rPr>
        <w:t>o</w:t>
      </w:r>
      <w:r w:rsidR="00CA4B9E">
        <w:rPr>
          <w:rFonts w:ascii="Arial" w:hAnsi="Arial" w:cs="Arial"/>
          <w:noProof/>
          <w:color w:val="000000" w:themeColor="text1"/>
          <w:sz w:val="22"/>
          <w:lang w:val="es-ES_tradnl"/>
        </w:rPr>
        <w:t>s sobre inmuebles de destinación comercial en los que el arrendatario sea una persona natural</w:t>
      </w:r>
      <w:r w:rsidR="0062578F">
        <w:rPr>
          <w:rFonts w:ascii="Arial" w:hAnsi="Arial" w:cs="Arial"/>
          <w:noProof/>
          <w:color w:val="000000" w:themeColor="text1"/>
          <w:sz w:val="22"/>
          <w:lang w:val="es-ES_tradnl"/>
        </w:rPr>
        <w:t xml:space="preserve">, </w:t>
      </w:r>
      <w:r w:rsidR="0062578F" w:rsidRPr="00A84E7D">
        <w:rPr>
          <w:rFonts w:ascii="Arial" w:hAnsi="Arial" w:cs="Arial"/>
          <w:sz w:val="21"/>
          <w:szCs w:val="21"/>
        </w:rPr>
        <w:t>micro, pequeña o mediana empresa</w:t>
      </w:r>
      <w:r w:rsidR="00CA4B9E">
        <w:rPr>
          <w:rFonts w:ascii="Arial" w:hAnsi="Arial" w:cs="Arial"/>
          <w:noProof/>
          <w:color w:val="000000" w:themeColor="text1"/>
          <w:sz w:val="22"/>
          <w:lang w:val="es-ES_tradnl"/>
        </w:rPr>
        <w:t xml:space="preserve"> y ii) contratos de arrendamiento en los que el arrendatario sea una ESAL inscrita en el Ministerio del Interior. Asimismo, el art</w:t>
      </w:r>
      <w:r w:rsidR="00E24E21">
        <w:rPr>
          <w:rFonts w:ascii="Arial" w:hAnsi="Arial" w:cs="Arial"/>
          <w:noProof/>
          <w:color w:val="000000" w:themeColor="text1"/>
          <w:sz w:val="22"/>
          <w:lang w:val="es-ES_tradnl"/>
        </w:rPr>
        <w:t>í</w:t>
      </w:r>
      <w:r w:rsidR="00CA4B9E">
        <w:rPr>
          <w:rFonts w:ascii="Arial" w:hAnsi="Arial" w:cs="Arial"/>
          <w:noProof/>
          <w:color w:val="000000" w:themeColor="text1"/>
          <w:sz w:val="22"/>
          <w:lang w:val="es-ES_tradnl"/>
        </w:rPr>
        <w:t xml:space="preserve">culo citado excluyó </w:t>
      </w:r>
      <w:r w:rsidR="00D11B04">
        <w:rPr>
          <w:rFonts w:ascii="Arial" w:hAnsi="Arial" w:cs="Arial"/>
          <w:noProof/>
          <w:color w:val="000000" w:themeColor="text1"/>
          <w:sz w:val="22"/>
          <w:lang w:val="es-ES_tradnl"/>
        </w:rPr>
        <w:t xml:space="preserve">de </w:t>
      </w:r>
      <w:r w:rsidR="00CA4B9E">
        <w:rPr>
          <w:rFonts w:ascii="Arial" w:hAnsi="Arial" w:cs="Arial"/>
          <w:noProof/>
          <w:color w:val="000000" w:themeColor="text1"/>
          <w:sz w:val="22"/>
          <w:lang w:val="es-ES_tradnl"/>
        </w:rPr>
        <w:t>la aplicaci</w:t>
      </w:r>
      <w:r w:rsidR="007242E7">
        <w:rPr>
          <w:rFonts w:ascii="Arial" w:hAnsi="Arial" w:cs="Arial"/>
          <w:noProof/>
          <w:color w:val="000000" w:themeColor="text1"/>
          <w:sz w:val="22"/>
          <w:lang w:val="es-ES_tradnl"/>
        </w:rPr>
        <w:t xml:space="preserve">ón del título I del decreto referido, a los siguientes </w:t>
      </w:r>
      <w:r w:rsidR="00D11B04">
        <w:rPr>
          <w:rFonts w:ascii="Arial" w:hAnsi="Arial" w:cs="Arial"/>
          <w:noProof/>
          <w:color w:val="000000" w:themeColor="text1"/>
          <w:sz w:val="22"/>
          <w:lang w:val="es-ES_tradnl"/>
        </w:rPr>
        <w:t>negocios jurídicos</w:t>
      </w:r>
      <w:r w:rsidR="007242E7">
        <w:rPr>
          <w:rFonts w:ascii="Arial" w:hAnsi="Arial" w:cs="Arial"/>
          <w:noProof/>
          <w:color w:val="000000" w:themeColor="text1"/>
          <w:sz w:val="22"/>
          <w:lang w:val="es-ES_tradnl"/>
        </w:rPr>
        <w:t>: i) contratos de arrendamiento suscritos por el administrdor del FRISCO</w:t>
      </w:r>
      <w:r w:rsidR="002C139C">
        <w:rPr>
          <w:rFonts w:ascii="Arial" w:hAnsi="Arial" w:cs="Arial"/>
          <w:noProof/>
          <w:color w:val="000000" w:themeColor="text1"/>
          <w:sz w:val="22"/>
          <w:lang w:val="es-ES_tradnl"/>
        </w:rPr>
        <w:t xml:space="preserve"> (declarada inexequible)</w:t>
      </w:r>
      <w:r w:rsidR="007242E7">
        <w:rPr>
          <w:rFonts w:ascii="Arial" w:hAnsi="Arial" w:cs="Arial"/>
          <w:noProof/>
          <w:color w:val="000000" w:themeColor="text1"/>
          <w:sz w:val="22"/>
          <w:lang w:val="es-ES_tradnl"/>
        </w:rPr>
        <w:t>; ii) contratos de leasing habitacional; y iii) contratos de arrendamiento financiero</w:t>
      </w:r>
      <w:r w:rsidR="003C3AF4">
        <w:rPr>
          <w:rFonts w:ascii="Arial" w:hAnsi="Arial" w:cs="Arial"/>
          <w:noProof/>
          <w:color w:val="000000" w:themeColor="text1"/>
          <w:sz w:val="22"/>
          <w:lang w:val="es-ES_tradnl"/>
        </w:rPr>
        <w:t xml:space="preserve"> </w:t>
      </w:r>
      <w:r w:rsidR="007242E7">
        <w:rPr>
          <w:rFonts w:ascii="Arial" w:hAnsi="Arial" w:cs="Arial"/>
          <w:noProof/>
          <w:color w:val="000000" w:themeColor="text1"/>
          <w:sz w:val="22"/>
          <w:lang w:val="es-ES_tradnl"/>
        </w:rPr>
        <w:t xml:space="preserve">- leasing. </w:t>
      </w:r>
    </w:p>
    <w:p w14:paraId="0B3584E9" w14:textId="47B4E907" w:rsidR="003A06C5" w:rsidRDefault="003A06C5" w:rsidP="00BE3F4F">
      <w:pPr>
        <w:tabs>
          <w:tab w:val="left" w:pos="0"/>
        </w:tabs>
        <w:spacing w:after="120"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t xml:space="preserve">No obstante, en relación con la aplicación extensiva limitada frente a los </w:t>
      </w:r>
      <w:r w:rsidRPr="00BE3F4F">
        <w:rPr>
          <w:rFonts w:ascii="Arial" w:hAnsi="Arial" w:cs="Arial"/>
          <w:noProof/>
          <w:color w:val="000000" w:themeColor="text1"/>
          <w:sz w:val="22"/>
          <w:lang w:val="es-ES_tradnl"/>
        </w:rPr>
        <w:t>arrendatario</w:t>
      </w:r>
      <w:r>
        <w:rPr>
          <w:rFonts w:ascii="Arial" w:hAnsi="Arial" w:cs="Arial"/>
          <w:noProof/>
          <w:color w:val="000000" w:themeColor="text1"/>
          <w:sz w:val="22"/>
          <w:lang w:val="es-ES_tradnl"/>
        </w:rPr>
        <w:t>s que</w:t>
      </w:r>
      <w:r w:rsidRPr="00BE3F4F">
        <w:rPr>
          <w:rFonts w:ascii="Arial" w:hAnsi="Arial" w:cs="Arial"/>
          <w:noProof/>
          <w:color w:val="000000" w:themeColor="text1"/>
          <w:sz w:val="22"/>
          <w:lang w:val="es-ES_tradnl"/>
        </w:rPr>
        <w:t xml:space="preserve"> sea</w:t>
      </w:r>
      <w:r>
        <w:rPr>
          <w:rFonts w:ascii="Arial" w:hAnsi="Arial" w:cs="Arial"/>
          <w:noProof/>
          <w:color w:val="000000" w:themeColor="text1"/>
          <w:sz w:val="22"/>
          <w:lang w:val="es-ES_tradnl"/>
        </w:rPr>
        <w:t>n</w:t>
      </w:r>
      <w:r w:rsidRPr="00BE3F4F">
        <w:rPr>
          <w:rFonts w:ascii="Arial" w:hAnsi="Arial" w:cs="Arial"/>
          <w:noProof/>
          <w:color w:val="000000" w:themeColor="text1"/>
          <w:sz w:val="22"/>
          <w:lang w:val="es-ES_tradnl"/>
        </w:rPr>
        <w:t xml:space="preserve"> una persona natural, micro, pequeña o mediana empresa</w:t>
      </w:r>
      <w:r>
        <w:rPr>
          <w:rFonts w:ascii="Arial" w:hAnsi="Arial" w:cs="Arial"/>
          <w:noProof/>
          <w:color w:val="000000" w:themeColor="text1"/>
          <w:sz w:val="22"/>
          <w:lang w:val="es-ES_tradnl"/>
        </w:rPr>
        <w:t>, unida a la aplicación del artículo 1, la Corte consideró que no se ajustaba a la carta la exclusión que ello implicaba frente a las grandes empresas, por lo que concluyó: «</w:t>
      </w:r>
      <w:r w:rsidRPr="00BE3F4F">
        <w:rPr>
          <w:rFonts w:ascii="Arial" w:hAnsi="Arial" w:cs="Arial"/>
          <w:noProof/>
          <w:color w:val="000000" w:themeColor="text1"/>
          <w:sz w:val="22"/>
          <w:lang w:val="es-ES_tradnl"/>
        </w:rPr>
        <w:t>en relación con el artículo 1, cuyo alcance se debe establecer en concordancia con el artículo 6, la Corte encuentra que la aplicación extensiva de las medidas de suspensión de desalojos de los contratos de arrendamiento celebrados sobre inmuebles de destinación comercial en los que el arrendatario sea una persona natural, micro, pequeña o mediana empresa, es constitucional, excepto en cuanto excluye a las grandes empresas de la medida de suspensión de la ejecución de las órdenes de desalojo</w:t>
      </w:r>
      <w:r>
        <w:rPr>
          <w:rFonts w:ascii="Arial" w:hAnsi="Arial" w:cs="Arial"/>
          <w:noProof/>
          <w:color w:val="000000" w:themeColor="text1"/>
          <w:sz w:val="22"/>
          <w:lang w:val="es-ES_tradnl"/>
        </w:rPr>
        <w:t>»</w:t>
      </w:r>
      <w:r w:rsidRPr="00BE3F4F">
        <w:rPr>
          <w:rFonts w:ascii="Arial" w:hAnsi="Arial" w:cs="Arial"/>
          <w:noProof/>
          <w:color w:val="000000" w:themeColor="text1"/>
          <w:sz w:val="22"/>
          <w:lang w:val="es-ES_tradnl"/>
        </w:rPr>
        <w:t>.</w:t>
      </w:r>
    </w:p>
    <w:p w14:paraId="01907531" w14:textId="025C7F06" w:rsidR="007242E7" w:rsidRPr="00281552" w:rsidRDefault="007242E7" w:rsidP="00BE3F4F">
      <w:pPr>
        <w:tabs>
          <w:tab w:val="left" w:pos="0"/>
        </w:tabs>
        <w:spacing w:line="276" w:lineRule="auto"/>
        <w:jc w:val="both"/>
        <w:rPr>
          <w:rFonts w:ascii="Arial" w:hAnsi="Arial" w:cs="Arial"/>
          <w:noProof/>
          <w:color w:val="000000" w:themeColor="text1"/>
          <w:sz w:val="22"/>
          <w:lang w:val="es-ES_tradnl"/>
        </w:rPr>
      </w:pPr>
      <w:r>
        <w:rPr>
          <w:rFonts w:ascii="Arial" w:hAnsi="Arial" w:cs="Arial"/>
          <w:noProof/>
          <w:color w:val="000000" w:themeColor="text1"/>
          <w:sz w:val="22"/>
          <w:lang w:val="es-ES_tradnl"/>
        </w:rPr>
        <w:tab/>
      </w:r>
      <w:r w:rsidR="003A06C5">
        <w:rPr>
          <w:rFonts w:ascii="Arial" w:hAnsi="Arial" w:cs="Arial"/>
          <w:noProof/>
          <w:color w:val="000000" w:themeColor="text1"/>
          <w:sz w:val="22"/>
          <w:lang w:val="es-ES_tradnl"/>
        </w:rPr>
        <w:t>De otro lado, l</w:t>
      </w:r>
      <w:r>
        <w:rPr>
          <w:rFonts w:ascii="Arial" w:hAnsi="Arial" w:cs="Arial"/>
          <w:noProof/>
          <w:color w:val="000000" w:themeColor="text1"/>
          <w:sz w:val="22"/>
          <w:lang w:val="es-ES_tradnl"/>
        </w:rPr>
        <w:t>a Corte Constitucional, al ejercer control de constitucionalidad sobre el Decreto referido, señaló en relación con el alcance o aplicación de las normas contenidas en los artículos 1 a 6 de dicha disposición</w:t>
      </w:r>
      <w:r w:rsidR="002C139C">
        <w:rPr>
          <w:rFonts w:ascii="Arial" w:hAnsi="Arial" w:cs="Arial"/>
          <w:noProof/>
          <w:color w:val="000000" w:themeColor="text1"/>
          <w:sz w:val="22"/>
          <w:lang w:val="es-ES_tradnl"/>
        </w:rPr>
        <w:t>, lo siguiente</w:t>
      </w:r>
      <w:r>
        <w:rPr>
          <w:rFonts w:ascii="Arial" w:hAnsi="Arial" w:cs="Arial"/>
          <w:noProof/>
          <w:color w:val="000000" w:themeColor="text1"/>
          <w:sz w:val="22"/>
          <w:lang w:val="es-ES_tradnl"/>
        </w:rPr>
        <w:t xml:space="preserve">: </w:t>
      </w:r>
    </w:p>
    <w:p w14:paraId="0B05B57F" w14:textId="77777777" w:rsidR="00FE0744" w:rsidRDefault="00FE0744" w:rsidP="00510DE9">
      <w:pPr>
        <w:tabs>
          <w:tab w:val="left" w:pos="0"/>
        </w:tabs>
        <w:jc w:val="both"/>
        <w:rPr>
          <w:rFonts w:ascii="Arial" w:hAnsi="Arial" w:cs="Arial"/>
          <w:noProof/>
          <w:color w:val="000000" w:themeColor="text1"/>
          <w:sz w:val="22"/>
          <w:lang w:val="es-ES_tradnl"/>
        </w:rPr>
      </w:pPr>
    </w:p>
    <w:p w14:paraId="32D0BCFC" w14:textId="3181B59D" w:rsidR="00FE0744" w:rsidRPr="00FE0744" w:rsidRDefault="002C139C" w:rsidP="00BE3F4F">
      <w:pPr>
        <w:ind w:left="709" w:right="567"/>
        <w:jc w:val="both"/>
        <w:rPr>
          <w:rFonts w:ascii="Arial" w:hAnsi="Arial" w:cs="Arial"/>
          <w:sz w:val="21"/>
          <w:szCs w:val="21"/>
        </w:rPr>
      </w:pPr>
      <w:r>
        <w:rPr>
          <w:rFonts w:ascii="Arial" w:hAnsi="Arial" w:cs="Arial"/>
          <w:sz w:val="21"/>
          <w:szCs w:val="21"/>
        </w:rPr>
        <w:t xml:space="preserve">[…] </w:t>
      </w:r>
      <w:r w:rsidR="00D6369E">
        <w:rPr>
          <w:rFonts w:ascii="Arial" w:hAnsi="Arial" w:cs="Arial"/>
          <w:sz w:val="21"/>
          <w:szCs w:val="21"/>
        </w:rPr>
        <w:t>86</w:t>
      </w:r>
      <w:r w:rsidR="00FE0744">
        <w:rPr>
          <w:rFonts w:ascii="Arial" w:hAnsi="Arial" w:cs="Arial"/>
          <w:sz w:val="21"/>
          <w:szCs w:val="21"/>
        </w:rPr>
        <w:t xml:space="preserve">. </w:t>
      </w:r>
      <w:bookmarkStart w:id="4" w:name="_Hlk74064047"/>
      <w:r w:rsidR="00FE0744" w:rsidRPr="00FE0744">
        <w:rPr>
          <w:rFonts w:ascii="Arial" w:hAnsi="Arial" w:cs="Arial"/>
          <w:sz w:val="21"/>
          <w:szCs w:val="21"/>
        </w:rPr>
        <w:t>Con base en lo anterior, se observa que los artículos 1 a 6 del título primero superan el juicio de conexidad material interna porque todas las medidas adoptadas tienen una relación clara y directa con los motivos esgrimidos por el gobierno nacional para expedir el Decreto bajo estudio</w:t>
      </w:r>
      <w:bookmarkEnd w:id="4"/>
      <w:r w:rsidR="00FE0744" w:rsidRPr="00FE0744">
        <w:rPr>
          <w:rFonts w:ascii="Arial" w:hAnsi="Arial" w:cs="Arial"/>
          <w:sz w:val="21"/>
          <w:szCs w:val="21"/>
        </w:rPr>
        <w:t>, con la salvedad hecha en el juicio de motivación suficiente sobre el alcance del artículo 1 y con excepción del parágrafo del artículo 6 que será declarado parcialmente inexequible.</w:t>
      </w:r>
    </w:p>
    <w:p w14:paraId="0CEEE1D2" w14:textId="77777777" w:rsidR="00FE0744" w:rsidRPr="00FE0744" w:rsidRDefault="00FE0744" w:rsidP="00BE3F4F">
      <w:pPr>
        <w:ind w:left="709" w:right="567"/>
        <w:jc w:val="both"/>
        <w:rPr>
          <w:rFonts w:ascii="Arial" w:hAnsi="Arial" w:cs="Arial"/>
          <w:sz w:val="21"/>
          <w:szCs w:val="21"/>
        </w:rPr>
      </w:pPr>
    </w:p>
    <w:p w14:paraId="17FB039A" w14:textId="76AF6E3C" w:rsidR="00FE3849" w:rsidRDefault="00FE0744" w:rsidP="00BE3F4F">
      <w:pPr>
        <w:ind w:left="709" w:right="567"/>
        <w:jc w:val="both"/>
        <w:rPr>
          <w:rFonts w:ascii="Arial" w:hAnsi="Arial" w:cs="Arial"/>
          <w:sz w:val="21"/>
          <w:szCs w:val="21"/>
        </w:rPr>
      </w:pPr>
      <w:r>
        <w:rPr>
          <w:rFonts w:ascii="Arial" w:hAnsi="Arial" w:cs="Arial"/>
          <w:sz w:val="21"/>
          <w:szCs w:val="21"/>
        </w:rPr>
        <w:t>8</w:t>
      </w:r>
      <w:r w:rsidR="00D6369E">
        <w:rPr>
          <w:rFonts w:ascii="Arial" w:hAnsi="Arial" w:cs="Arial"/>
          <w:sz w:val="21"/>
          <w:szCs w:val="21"/>
        </w:rPr>
        <w:t>7</w:t>
      </w:r>
      <w:r>
        <w:rPr>
          <w:rFonts w:ascii="Arial" w:hAnsi="Arial" w:cs="Arial"/>
          <w:sz w:val="21"/>
          <w:szCs w:val="21"/>
        </w:rPr>
        <w:t xml:space="preserve">. </w:t>
      </w:r>
      <w:r w:rsidRPr="00FE0744">
        <w:rPr>
          <w:rFonts w:ascii="Arial" w:hAnsi="Arial" w:cs="Arial"/>
          <w:sz w:val="21"/>
          <w:szCs w:val="21"/>
        </w:rPr>
        <w:t>En efecto, si las medidas contenidas en el Decreto deben corresponder a las causas que motivaron la declaración de emergencia, es claro que la suspensión de los desalojos debe aplicarse a todo tipo de arrendamientos y no solo a los que establece el artículo 1. Adicionalmente, la exclusión de “</w:t>
      </w:r>
      <w:r w:rsidRPr="00FE0744">
        <w:rPr>
          <w:rFonts w:ascii="Arial" w:hAnsi="Arial" w:cs="Arial"/>
          <w:i/>
          <w:sz w:val="21"/>
          <w:szCs w:val="21"/>
        </w:rPr>
        <w:t>los contratos de arrendamiento suscritos por el administrador del Fondo para la Rehabilitación, Inversión Social y Lucha contra el Crimen Organizado - FRISCO</w:t>
      </w:r>
      <w:r w:rsidRPr="00FE0744">
        <w:rPr>
          <w:rFonts w:ascii="Arial" w:hAnsi="Arial" w:cs="Arial"/>
          <w:sz w:val="21"/>
          <w:szCs w:val="21"/>
        </w:rPr>
        <w:t>” de las medidas adoptadas en el Título I del Decreto Legislativo que se estudia, no tiene relación con las consideraciones que expresó el gobierno nacional para expedir el decreto legislativo que se analiza. Por esta razón, se reitera, esta última medida será declarada inexequible por no cumplir con el requisito de conexidad material interna.</w:t>
      </w:r>
    </w:p>
    <w:p w14:paraId="0405EE04" w14:textId="1FF4AC52" w:rsidR="00FE3849" w:rsidRDefault="00FE3849" w:rsidP="007242E7">
      <w:pPr>
        <w:jc w:val="both"/>
        <w:rPr>
          <w:rFonts w:ascii="Arial" w:hAnsi="Arial" w:cs="Arial"/>
          <w:sz w:val="22"/>
          <w:szCs w:val="22"/>
        </w:rPr>
      </w:pPr>
    </w:p>
    <w:p w14:paraId="088397EA" w14:textId="582116DC" w:rsidR="007242E7" w:rsidRDefault="007242E7" w:rsidP="00BE3F4F">
      <w:pPr>
        <w:spacing w:after="120" w:line="276" w:lineRule="auto"/>
        <w:jc w:val="both"/>
        <w:rPr>
          <w:rFonts w:ascii="Arial" w:hAnsi="Arial" w:cs="Arial"/>
          <w:sz w:val="22"/>
          <w:szCs w:val="22"/>
        </w:rPr>
      </w:pPr>
      <w:r>
        <w:rPr>
          <w:rFonts w:ascii="Arial" w:hAnsi="Arial" w:cs="Arial"/>
          <w:sz w:val="22"/>
          <w:szCs w:val="22"/>
        </w:rPr>
        <w:tab/>
        <w:t xml:space="preserve">Con fundamento en lo anterior, la Corte </w:t>
      </w:r>
      <w:r w:rsidR="00825326">
        <w:rPr>
          <w:rFonts w:ascii="Arial" w:hAnsi="Arial" w:cs="Arial"/>
          <w:sz w:val="22"/>
          <w:szCs w:val="22"/>
        </w:rPr>
        <w:t xml:space="preserve">declaró la inexequibilidad de la expresión </w:t>
      </w:r>
      <w:r w:rsidR="00825326" w:rsidRPr="00111B16">
        <w:rPr>
          <w:rFonts w:ascii="Arial" w:hAnsi="Arial" w:cs="Arial"/>
          <w:sz w:val="22"/>
          <w:szCs w:val="22"/>
        </w:rPr>
        <w:t xml:space="preserve">los contratos de arrendamiento suscritos por el administrador del Fondo para la Rehabilitación, Inversión Social y Lucha contra el Crimen Organizado </w:t>
      </w:r>
      <w:r w:rsidR="003A06C5">
        <w:rPr>
          <w:rFonts w:ascii="Arial" w:hAnsi="Arial" w:cs="Arial"/>
          <w:sz w:val="22"/>
          <w:szCs w:val="22"/>
        </w:rPr>
        <w:t>–</w:t>
      </w:r>
      <w:r w:rsidR="00825326" w:rsidRPr="00111B16">
        <w:rPr>
          <w:rFonts w:ascii="Arial" w:hAnsi="Arial" w:cs="Arial"/>
          <w:sz w:val="22"/>
          <w:szCs w:val="22"/>
        </w:rPr>
        <w:t xml:space="preserve"> FRISCO</w:t>
      </w:r>
      <w:r w:rsidR="003A06C5">
        <w:rPr>
          <w:rFonts w:ascii="Arial" w:hAnsi="Arial" w:cs="Arial"/>
          <w:sz w:val="22"/>
          <w:szCs w:val="22"/>
        </w:rPr>
        <w:t>, del</w:t>
      </w:r>
      <w:r w:rsidR="00825326">
        <w:rPr>
          <w:rFonts w:ascii="Arial" w:hAnsi="Arial" w:cs="Arial"/>
          <w:sz w:val="22"/>
          <w:szCs w:val="22"/>
        </w:rPr>
        <w:t xml:space="preserve"> artículo 6</w:t>
      </w:r>
      <w:r w:rsidR="003A06C5">
        <w:rPr>
          <w:rFonts w:ascii="Arial" w:hAnsi="Arial" w:cs="Arial"/>
          <w:sz w:val="22"/>
          <w:szCs w:val="22"/>
        </w:rPr>
        <w:t>,</w:t>
      </w:r>
      <w:r w:rsidR="00825326">
        <w:rPr>
          <w:rFonts w:ascii="Arial" w:hAnsi="Arial" w:cs="Arial"/>
          <w:sz w:val="22"/>
          <w:szCs w:val="22"/>
        </w:rPr>
        <w:t xml:space="preserve"> porque consideró que no cumplió con el requisito de conexidad material interna y</w:t>
      </w:r>
      <w:r w:rsidR="003A06C5">
        <w:rPr>
          <w:rFonts w:ascii="Arial" w:hAnsi="Arial" w:cs="Arial"/>
          <w:sz w:val="22"/>
          <w:szCs w:val="22"/>
        </w:rPr>
        <w:t>,</w:t>
      </w:r>
      <w:r w:rsidR="00825326">
        <w:rPr>
          <w:rFonts w:ascii="Arial" w:hAnsi="Arial" w:cs="Arial"/>
          <w:sz w:val="22"/>
          <w:szCs w:val="22"/>
        </w:rPr>
        <w:t xml:space="preserve"> además, porque no es idónea para conjurar las causas que motivaron la declaración de la emergencia. </w:t>
      </w:r>
    </w:p>
    <w:p w14:paraId="73B9CCF0" w14:textId="0876EA10" w:rsidR="008310FE" w:rsidRDefault="00F805CA" w:rsidP="00BE3F4F">
      <w:pPr>
        <w:spacing w:after="120" w:line="276" w:lineRule="auto"/>
        <w:jc w:val="both"/>
        <w:rPr>
          <w:rFonts w:ascii="Arial" w:hAnsi="Arial" w:cs="Arial"/>
          <w:sz w:val="22"/>
          <w:szCs w:val="22"/>
        </w:rPr>
      </w:pPr>
      <w:r>
        <w:rPr>
          <w:rFonts w:ascii="Arial" w:hAnsi="Arial" w:cs="Arial"/>
          <w:sz w:val="22"/>
          <w:szCs w:val="22"/>
        </w:rPr>
        <w:tab/>
      </w:r>
      <w:r w:rsidR="008310FE">
        <w:rPr>
          <w:rFonts w:ascii="Arial" w:hAnsi="Arial" w:cs="Arial"/>
          <w:sz w:val="22"/>
          <w:szCs w:val="22"/>
        </w:rPr>
        <w:t>En armonía con lo anterior, la Corte declaró la exequibilidad del Decreto 579 de 2020, incluso</w:t>
      </w:r>
      <w:r w:rsidR="008310FE" w:rsidRPr="00BE3F4F">
        <w:rPr>
          <w:rFonts w:ascii="Arial" w:hAnsi="Arial" w:cs="Arial"/>
          <w:sz w:val="22"/>
          <w:szCs w:val="22"/>
        </w:rPr>
        <w:t xml:space="preserve"> del artículo 6</w:t>
      </w:r>
      <w:r w:rsidR="008310FE">
        <w:rPr>
          <w:rFonts w:ascii="Arial" w:hAnsi="Arial" w:cs="Arial"/>
          <w:sz w:val="22"/>
          <w:szCs w:val="22"/>
        </w:rPr>
        <w:t xml:space="preserve">, frente al cual </w:t>
      </w:r>
      <w:r w:rsidR="00027463">
        <w:rPr>
          <w:rFonts w:ascii="Arial" w:hAnsi="Arial" w:cs="Arial"/>
          <w:sz w:val="22"/>
          <w:szCs w:val="22"/>
        </w:rPr>
        <w:t>condicion</w:t>
      </w:r>
      <w:r w:rsidR="008310FE">
        <w:rPr>
          <w:rFonts w:ascii="Arial" w:hAnsi="Arial" w:cs="Arial"/>
          <w:sz w:val="22"/>
          <w:szCs w:val="22"/>
        </w:rPr>
        <w:t xml:space="preserve">ó su constitucionalidad a lo siguiente: </w:t>
      </w:r>
      <w:r w:rsidR="008310FE" w:rsidRPr="00BE3F4F">
        <w:rPr>
          <w:rFonts w:ascii="Arial" w:hAnsi="Arial" w:cs="Arial"/>
          <w:sz w:val="22"/>
          <w:szCs w:val="22"/>
        </w:rPr>
        <w:t xml:space="preserve">i) </w:t>
      </w:r>
      <w:r w:rsidR="008310FE">
        <w:rPr>
          <w:rFonts w:ascii="Arial" w:hAnsi="Arial" w:cs="Arial"/>
          <w:sz w:val="22"/>
          <w:szCs w:val="22"/>
        </w:rPr>
        <w:t>bajo</w:t>
      </w:r>
      <w:r w:rsidR="008310FE" w:rsidRPr="00BE3F4F">
        <w:rPr>
          <w:rFonts w:ascii="Arial" w:hAnsi="Arial" w:cs="Arial"/>
          <w:sz w:val="22"/>
          <w:szCs w:val="22"/>
        </w:rPr>
        <w:t xml:space="preserve"> el entendido de que la suspensión de la ejecución de cualquier acción de desalojo a que se refiere el artículo 1 es aplicable a toda clase de arrendatarios, y ii) la expresión </w:t>
      </w:r>
      <w:r w:rsidR="008310FE">
        <w:rPr>
          <w:rFonts w:ascii="Arial" w:hAnsi="Arial" w:cs="Arial"/>
          <w:sz w:val="22"/>
          <w:szCs w:val="22"/>
        </w:rPr>
        <w:t>«</w:t>
      </w:r>
      <w:r w:rsidR="008310FE" w:rsidRPr="00BE3F4F">
        <w:rPr>
          <w:rFonts w:ascii="Arial" w:hAnsi="Arial" w:cs="Arial"/>
          <w:sz w:val="22"/>
          <w:szCs w:val="22"/>
        </w:rPr>
        <w:t>, los contratos de arrendamiento suscritos por el administrador del Fondo para la Rehabilitación, Inversión Social y Lucha contra el Crimen Organizado - FRISCO,</w:t>
      </w:r>
      <w:r w:rsidR="008310FE">
        <w:rPr>
          <w:rFonts w:ascii="Arial" w:hAnsi="Arial" w:cs="Arial"/>
          <w:sz w:val="22"/>
          <w:szCs w:val="22"/>
        </w:rPr>
        <w:t>»</w:t>
      </w:r>
      <w:r w:rsidR="008310FE" w:rsidRPr="00BE3F4F">
        <w:rPr>
          <w:rFonts w:ascii="Arial" w:hAnsi="Arial" w:cs="Arial"/>
          <w:sz w:val="22"/>
          <w:szCs w:val="22"/>
        </w:rPr>
        <w:t xml:space="preserve"> contenida en el parágrafo, que se declar</w:t>
      </w:r>
      <w:r w:rsidR="008310FE">
        <w:rPr>
          <w:rFonts w:ascii="Arial" w:hAnsi="Arial" w:cs="Arial"/>
          <w:sz w:val="22"/>
          <w:szCs w:val="22"/>
        </w:rPr>
        <w:t>ó</w:t>
      </w:r>
      <w:r w:rsidR="008310FE" w:rsidRPr="00BE3F4F">
        <w:rPr>
          <w:rFonts w:ascii="Arial" w:hAnsi="Arial" w:cs="Arial"/>
          <w:sz w:val="22"/>
          <w:szCs w:val="22"/>
        </w:rPr>
        <w:t xml:space="preserve"> </w:t>
      </w:r>
      <w:r w:rsidR="008310FE">
        <w:rPr>
          <w:rFonts w:ascii="Arial" w:hAnsi="Arial" w:cs="Arial"/>
          <w:sz w:val="22"/>
          <w:szCs w:val="22"/>
        </w:rPr>
        <w:t>inexequible.</w:t>
      </w:r>
    </w:p>
    <w:p w14:paraId="7A6C35F5" w14:textId="54FE301E" w:rsidR="009000DB" w:rsidRDefault="008310FE" w:rsidP="00BE3F4F">
      <w:pPr>
        <w:spacing w:after="120" w:line="276" w:lineRule="auto"/>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Sin perjuicio de lo anterior, cabe destacar que las disposiciones del Título I del Decreto, particularmente el artículo 4, no excluyeron de su ámbito de aplicación a los contratos estatales</w:t>
      </w:r>
      <w:r w:rsidR="00C50D6D">
        <w:rPr>
          <w:rFonts w:ascii="Arial" w:hAnsi="Arial" w:cs="Arial"/>
          <w:sz w:val="22"/>
          <w:szCs w:val="22"/>
        </w:rPr>
        <w:t>,</w:t>
      </w:r>
      <w:r>
        <w:rPr>
          <w:rFonts w:ascii="Arial" w:hAnsi="Arial" w:cs="Arial"/>
          <w:sz w:val="22"/>
          <w:szCs w:val="22"/>
        </w:rPr>
        <w:t xml:space="preserve"> sino que señalaron que dicha disposición aplicaría frente a los contratos de arrendamiento. En tal sentido, aunque deben observarse los demás elementos y condicionantes establecidos en las normas analizadas para efectos de su aplicación, esta no se condicionó o excluyó frente a los contratos de arrendamiento celebrados por una entidad estatal.</w:t>
      </w:r>
    </w:p>
    <w:p w14:paraId="26B15CD5" w14:textId="19513207" w:rsidR="009000DB" w:rsidRDefault="009000DB" w:rsidP="00BE3F4F">
      <w:pPr>
        <w:spacing w:after="120" w:line="276" w:lineRule="auto"/>
        <w:jc w:val="both"/>
        <w:rPr>
          <w:rFonts w:ascii="Arial" w:hAnsi="Arial" w:cs="Arial"/>
          <w:color w:val="000000" w:themeColor="text1"/>
          <w:sz w:val="22"/>
        </w:rPr>
      </w:pPr>
      <w:r>
        <w:rPr>
          <w:rFonts w:ascii="Arial" w:hAnsi="Arial" w:cs="Arial"/>
          <w:sz w:val="22"/>
          <w:szCs w:val="22"/>
        </w:rPr>
        <w:tab/>
        <w:t xml:space="preserve">En este sentido, </w:t>
      </w:r>
      <w:r>
        <w:rPr>
          <w:rFonts w:ascii="Arial" w:hAnsi="Arial" w:cs="Arial"/>
          <w:color w:val="000000" w:themeColor="text1"/>
          <w:sz w:val="22"/>
        </w:rPr>
        <w:t>se tiene que los contratos de arrendamiento en los que el arrendatario sea una entidad del orden territorial les aplica la prórroga de que trata en el artículo 4 del Decreto 579 de 2020, porque esta norma</w:t>
      </w:r>
      <w:r w:rsidR="005756CC">
        <w:rPr>
          <w:rFonts w:ascii="Arial" w:hAnsi="Arial" w:cs="Arial"/>
          <w:color w:val="000000" w:themeColor="text1"/>
          <w:sz w:val="22"/>
        </w:rPr>
        <w:t xml:space="preserve"> excepcional, que tiene fuerza de ley,</w:t>
      </w:r>
      <w:r>
        <w:rPr>
          <w:rFonts w:ascii="Arial" w:hAnsi="Arial" w:cs="Arial"/>
          <w:color w:val="000000" w:themeColor="text1"/>
          <w:sz w:val="22"/>
        </w:rPr>
        <w:t xml:space="preserve"> </w:t>
      </w:r>
      <w:r w:rsidR="001809CE">
        <w:rPr>
          <w:rFonts w:ascii="Arial" w:hAnsi="Arial" w:cs="Arial"/>
          <w:color w:val="000000" w:themeColor="text1"/>
          <w:sz w:val="22"/>
        </w:rPr>
        <w:t>no excluyó de su ámbito de aplicación a los contratos estatales. Además, debe tenerse en cuenta que</w:t>
      </w:r>
      <w:r>
        <w:rPr>
          <w:rFonts w:ascii="Arial" w:hAnsi="Arial" w:cs="Arial"/>
          <w:color w:val="000000" w:themeColor="text1"/>
          <w:sz w:val="22"/>
        </w:rPr>
        <w:t xml:space="preserve"> los contratos suscritos por entidades </w:t>
      </w:r>
      <w:r w:rsidR="00D10031">
        <w:rPr>
          <w:rFonts w:ascii="Arial" w:hAnsi="Arial" w:cs="Arial"/>
          <w:color w:val="000000" w:themeColor="text1"/>
          <w:sz w:val="22"/>
        </w:rPr>
        <w:t>estatales</w:t>
      </w:r>
      <w:r>
        <w:rPr>
          <w:rFonts w:ascii="Arial" w:hAnsi="Arial" w:cs="Arial"/>
          <w:color w:val="000000" w:themeColor="text1"/>
          <w:sz w:val="22"/>
        </w:rPr>
        <w:t xml:space="preserve"> se rigen por las normas civiles y comerciales, salvo en las materias reguladas en la Ley 80 de 1993, </w:t>
      </w:r>
      <w:r w:rsidR="001809CE">
        <w:rPr>
          <w:rFonts w:ascii="Arial" w:hAnsi="Arial" w:cs="Arial"/>
          <w:color w:val="000000" w:themeColor="text1"/>
          <w:sz w:val="22"/>
        </w:rPr>
        <w:t xml:space="preserve">tal como lo establece </w:t>
      </w:r>
      <w:r w:rsidR="001809CE">
        <w:rPr>
          <w:rFonts w:ascii="Arial" w:hAnsi="Arial" w:cs="Arial"/>
          <w:color w:val="000000" w:themeColor="text1"/>
          <w:sz w:val="22"/>
        </w:rPr>
        <w:lastRenderedPageBreak/>
        <w:t>el artículo 13</w:t>
      </w:r>
      <w:r w:rsidR="005037AF">
        <w:rPr>
          <w:rFonts w:ascii="Arial" w:hAnsi="Arial" w:cs="Arial"/>
          <w:color w:val="000000" w:themeColor="text1"/>
          <w:sz w:val="22"/>
        </w:rPr>
        <w:t xml:space="preserve"> de esta ley</w:t>
      </w:r>
      <w:r w:rsidR="005037AF">
        <w:rPr>
          <w:rStyle w:val="Refdenotaalpie"/>
          <w:rFonts w:ascii="Arial" w:hAnsi="Arial" w:cs="Arial"/>
          <w:color w:val="000000" w:themeColor="text1"/>
          <w:sz w:val="22"/>
        </w:rPr>
        <w:footnoteReference w:id="5"/>
      </w:r>
      <w:r w:rsidR="005037AF">
        <w:rPr>
          <w:rFonts w:ascii="Arial" w:hAnsi="Arial" w:cs="Arial"/>
          <w:color w:val="000000" w:themeColor="text1"/>
          <w:sz w:val="22"/>
        </w:rPr>
        <w:t>. Sin perjuicio de lo anterior, como se expresó, para la aplicación de estas disposiciones debe</w:t>
      </w:r>
      <w:r w:rsidR="005756CC">
        <w:rPr>
          <w:rFonts w:ascii="Arial" w:hAnsi="Arial" w:cs="Arial"/>
          <w:color w:val="000000" w:themeColor="text1"/>
          <w:sz w:val="22"/>
        </w:rPr>
        <w:t>n</w:t>
      </w:r>
      <w:r w:rsidR="005037AF">
        <w:rPr>
          <w:rFonts w:ascii="Arial" w:hAnsi="Arial" w:cs="Arial"/>
          <w:color w:val="000000" w:themeColor="text1"/>
          <w:sz w:val="22"/>
        </w:rPr>
        <w:t xml:space="preserve"> tenerse en cuenta los requisitos objetivos establecidos en el Decreto 579 de 2020, frente a los cuales no se estableció alguno que excluyera a los contratos suscritos por entidades estatales</w:t>
      </w:r>
      <w:r w:rsidR="00EB790F">
        <w:rPr>
          <w:rFonts w:ascii="Arial" w:hAnsi="Arial" w:cs="Arial"/>
          <w:color w:val="000000" w:themeColor="text1"/>
          <w:sz w:val="22"/>
        </w:rPr>
        <w:t xml:space="preserve"> de su ámbito de aplicación.</w:t>
      </w:r>
    </w:p>
    <w:p w14:paraId="17E29C33" w14:textId="451B444B" w:rsidR="001809CE" w:rsidRDefault="001809CE">
      <w:pPr>
        <w:spacing w:line="276" w:lineRule="auto"/>
        <w:jc w:val="both"/>
        <w:rPr>
          <w:rFonts w:ascii="Arial" w:hAnsi="Arial" w:cs="Arial"/>
          <w:sz w:val="22"/>
          <w:szCs w:val="22"/>
        </w:rPr>
      </w:pPr>
      <w:r>
        <w:rPr>
          <w:rFonts w:ascii="Arial" w:hAnsi="Arial" w:cs="Arial"/>
          <w:sz w:val="22"/>
          <w:szCs w:val="22"/>
        </w:rPr>
        <w:tab/>
      </w:r>
    </w:p>
    <w:p w14:paraId="37CA9805" w14:textId="7B3C1B57" w:rsidR="00DD5B04" w:rsidRPr="008918A2" w:rsidRDefault="004177A6" w:rsidP="00510DE9">
      <w:pPr>
        <w:tabs>
          <w:tab w:val="left" w:pos="0"/>
        </w:tabs>
        <w:jc w:val="both"/>
        <w:rPr>
          <w:rFonts w:ascii="Arial" w:eastAsia="Calibri" w:hAnsi="Arial" w:cs="Arial"/>
          <w:b/>
          <w:color w:val="000000" w:themeColor="text1"/>
          <w:sz w:val="22"/>
          <w:lang w:val="es-ES_tradnl"/>
        </w:rPr>
      </w:pPr>
      <w:commentRangeStart w:id="6"/>
      <w:commentRangeEnd w:id="6"/>
      <w:r w:rsidRPr="008918A2">
        <w:rPr>
          <w:rFonts w:ascii="Arial" w:eastAsia="Calibri" w:hAnsi="Arial" w:cs="Arial"/>
          <w:b/>
          <w:color w:val="000000" w:themeColor="text1"/>
          <w:sz w:val="22"/>
          <w:lang w:val="es-ES_tradnl"/>
        </w:rPr>
        <w:t>3</w:t>
      </w:r>
      <w:r w:rsidR="00B011A9" w:rsidRPr="008918A2">
        <w:rPr>
          <w:rFonts w:ascii="Arial" w:eastAsia="Calibri" w:hAnsi="Arial" w:cs="Arial"/>
          <w:b/>
          <w:color w:val="000000" w:themeColor="text1"/>
          <w:sz w:val="22"/>
          <w:lang w:val="es-ES_tradnl"/>
        </w:rPr>
        <w:t xml:space="preserve">. </w:t>
      </w:r>
      <w:r w:rsidR="00DD5B04" w:rsidRPr="008918A2">
        <w:rPr>
          <w:rFonts w:ascii="Arial" w:eastAsia="Calibri" w:hAnsi="Arial" w:cs="Arial"/>
          <w:b/>
          <w:color w:val="000000" w:themeColor="text1"/>
          <w:sz w:val="22"/>
          <w:lang w:val="es-ES_tradnl"/>
        </w:rPr>
        <w:t>Respuesta</w:t>
      </w:r>
    </w:p>
    <w:p w14:paraId="0B74D5B8" w14:textId="7F0A7F13" w:rsidR="00C4581D" w:rsidRPr="008918A2" w:rsidRDefault="00C4581D" w:rsidP="00510DE9">
      <w:pPr>
        <w:tabs>
          <w:tab w:val="left" w:pos="0"/>
        </w:tabs>
        <w:jc w:val="both"/>
        <w:rPr>
          <w:rFonts w:ascii="Arial" w:eastAsia="Calibri" w:hAnsi="Arial" w:cs="Arial"/>
          <w:color w:val="000000" w:themeColor="text1"/>
          <w:sz w:val="22"/>
          <w:lang w:val="es-ES_tradnl"/>
        </w:rPr>
      </w:pPr>
    </w:p>
    <w:p w14:paraId="62D5049D" w14:textId="1A403BB0" w:rsidR="00685ED9" w:rsidRPr="008918A2" w:rsidRDefault="00685ED9">
      <w:pPr>
        <w:ind w:left="709" w:right="709"/>
        <w:jc w:val="both"/>
        <w:rPr>
          <w:rFonts w:ascii="Arial" w:hAnsi="Arial" w:cs="Arial"/>
          <w:color w:val="000000" w:themeColor="text1"/>
          <w:sz w:val="21"/>
          <w:szCs w:val="21"/>
          <w:lang w:val="es-ES_tradnl"/>
        </w:rPr>
      </w:pPr>
      <w:r w:rsidRPr="008918A2">
        <w:rPr>
          <w:rFonts w:ascii="Arial" w:hAnsi="Arial" w:cs="Arial"/>
          <w:color w:val="000000" w:themeColor="text1"/>
          <w:sz w:val="21"/>
          <w:szCs w:val="21"/>
          <w:lang w:val="es-ES_tradnl"/>
        </w:rPr>
        <w:t>«</w:t>
      </w:r>
      <w:r>
        <w:rPr>
          <w:rFonts w:ascii="Arial" w:hAnsi="Arial" w:cs="Arial"/>
          <w:color w:val="000000" w:themeColor="text1"/>
          <w:sz w:val="21"/>
          <w:szCs w:val="21"/>
          <w:lang w:val="es-ES_tradnl"/>
        </w:rPr>
        <w:t>Solicito se sirva indicar si las disposiciones previstas en el Decreto 579 de 2020, especialmente la prevista en el artículo 4, aplica a contratos de arrendamiento en los cuales entidades públicas (como municipios o distritos) tengan la calidad de arrendatarias</w:t>
      </w:r>
      <w:r w:rsidRPr="008918A2">
        <w:rPr>
          <w:rFonts w:ascii="Arial" w:hAnsi="Arial" w:cs="Arial"/>
          <w:color w:val="000000" w:themeColor="text1"/>
          <w:sz w:val="21"/>
          <w:szCs w:val="21"/>
          <w:lang w:val="es-ES_tradnl"/>
        </w:rPr>
        <w:t>».</w:t>
      </w:r>
    </w:p>
    <w:p w14:paraId="62DDBC1C" w14:textId="77777777" w:rsidR="00CC3C22" w:rsidRPr="008918A2" w:rsidRDefault="00CC3C22" w:rsidP="00770566">
      <w:pPr>
        <w:ind w:left="709" w:right="709"/>
        <w:jc w:val="both"/>
        <w:rPr>
          <w:rFonts w:ascii="Arial" w:hAnsi="Arial" w:cs="Arial"/>
          <w:color w:val="000000" w:themeColor="text1"/>
          <w:sz w:val="21"/>
          <w:szCs w:val="21"/>
          <w:lang w:val="es-ES_tradnl"/>
        </w:rPr>
      </w:pPr>
    </w:p>
    <w:p w14:paraId="1A93072E" w14:textId="73D9E9AE" w:rsidR="00C47B93" w:rsidRDefault="00C47B93" w:rsidP="00C47B93">
      <w:pPr>
        <w:spacing w:before="120" w:line="276" w:lineRule="auto"/>
        <w:jc w:val="both"/>
        <w:rPr>
          <w:rFonts w:ascii="Arial" w:hAnsi="Arial" w:cs="Arial"/>
          <w:color w:val="000000" w:themeColor="text1"/>
          <w:sz w:val="22"/>
        </w:rPr>
      </w:pPr>
      <w:r>
        <w:rPr>
          <w:rFonts w:ascii="Arial" w:hAnsi="Arial" w:cs="Arial"/>
          <w:sz w:val="22"/>
          <w:szCs w:val="22"/>
          <w:shd w:val="clear" w:color="auto" w:fill="FFFFFF"/>
          <w:lang w:val="es-ES_tradnl"/>
        </w:rPr>
        <w:t xml:space="preserve">De conformidad con las consideraciones, </w:t>
      </w:r>
      <w:r>
        <w:rPr>
          <w:rFonts w:ascii="Arial" w:hAnsi="Arial" w:cs="Arial"/>
          <w:color w:val="000000" w:themeColor="text1"/>
          <w:sz w:val="22"/>
        </w:rPr>
        <w:t xml:space="preserve">se concluye que los contratos de arrendamiento en los que el arrendatario sea una entidad </w:t>
      </w:r>
      <w:r w:rsidR="00D10031">
        <w:rPr>
          <w:rFonts w:ascii="Arial" w:hAnsi="Arial" w:cs="Arial"/>
          <w:color w:val="000000" w:themeColor="text1"/>
          <w:sz w:val="22"/>
        </w:rPr>
        <w:t>estatal</w:t>
      </w:r>
      <w:r>
        <w:rPr>
          <w:rFonts w:ascii="Arial" w:hAnsi="Arial" w:cs="Arial"/>
          <w:color w:val="000000" w:themeColor="text1"/>
          <w:sz w:val="22"/>
        </w:rPr>
        <w:t xml:space="preserve"> les aplica la prórroga automática de que trata el artículo 4 del Decreto 579 de 2020, porque esta norma aplica a los contratos de arrendamiento, y de conformidad con lo establecido en el artículo 13 de la Ley 80 de 1993, los contratos suscritos por entidades estatales se rigen por las normas civiles y comerciales, salvo en las materias reguladas en la Ley 80 de 1993, siempre que atiendan a las limitaciones y restricciones establecidas en las normas especiales que los regulan.  </w:t>
      </w:r>
    </w:p>
    <w:p w14:paraId="73319A7F" w14:textId="75127861" w:rsidR="00D40911" w:rsidRDefault="00C47B93" w:rsidP="00D40911">
      <w:pPr>
        <w:spacing w:before="120" w:line="276" w:lineRule="auto"/>
        <w:jc w:val="both"/>
        <w:rPr>
          <w:rFonts w:ascii="Arial" w:hAnsi="Arial" w:cs="Arial"/>
          <w:color w:val="000000" w:themeColor="text1"/>
          <w:sz w:val="22"/>
        </w:rPr>
      </w:pPr>
      <w:r>
        <w:rPr>
          <w:rFonts w:ascii="Arial" w:hAnsi="Arial" w:cs="Arial"/>
          <w:color w:val="000000" w:themeColor="text1"/>
          <w:sz w:val="22"/>
        </w:rPr>
        <w:tab/>
        <w:t xml:space="preserve">En este sentido, vale la pena reiterar que </w:t>
      </w:r>
      <w:r>
        <w:rPr>
          <w:rFonts w:ascii="Arial" w:hAnsi="Arial" w:cs="Arial"/>
          <w:sz w:val="22"/>
          <w:szCs w:val="22"/>
        </w:rPr>
        <w:t>las disposiciones del Título I del Decreto, particularmente el artículo 4, no excluyeron de su ámbito de aplicación a los contratos estatales</w:t>
      </w:r>
      <w:r w:rsidR="00D109D3">
        <w:rPr>
          <w:rFonts w:ascii="Arial" w:hAnsi="Arial" w:cs="Arial"/>
          <w:sz w:val="22"/>
          <w:szCs w:val="22"/>
        </w:rPr>
        <w:t>,</w:t>
      </w:r>
      <w:r>
        <w:rPr>
          <w:rFonts w:ascii="Arial" w:hAnsi="Arial" w:cs="Arial"/>
          <w:sz w:val="22"/>
          <w:szCs w:val="22"/>
        </w:rPr>
        <w:t xml:space="preserve"> sino que señalaron que dicha disposición aplicaría frente a los contratos de arrendamiento. En tal sentido, aunque deben observarse los demás elementos y condicionantes establecidos en las normas analizadas para efectos de su aplicación, esta no se condicionó o excluyó frente a los contratos de arrendamiento celebrados por una entidad estatal. En tal sentido, este decreto que tiene fuerza de ley</w:t>
      </w:r>
      <w:r w:rsidR="0065717D">
        <w:rPr>
          <w:rFonts w:ascii="Arial" w:hAnsi="Arial" w:cs="Arial"/>
          <w:sz w:val="22"/>
          <w:szCs w:val="22"/>
        </w:rPr>
        <w:t xml:space="preserve"> y es de aplicación excepcional, </w:t>
      </w:r>
      <w:r>
        <w:rPr>
          <w:rFonts w:ascii="Arial" w:hAnsi="Arial" w:cs="Arial"/>
          <w:sz w:val="22"/>
          <w:szCs w:val="22"/>
        </w:rPr>
        <w:t>al no excluir a los contratos estatales de su ámbito de aplicación</w:t>
      </w:r>
      <w:r w:rsidR="00D10031">
        <w:rPr>
          <w:rFonts w:ascii="Arial" w:hAnsi="Arial" w:cs="Arial"/>
          <w:sz w:val="22"/>
          <w:szCs w:val="22"/>
        </w:rPr>
        <w:t xml:space="preserve">, en principio </w:t>
      </w:r>
      <w:r>
        <w:rPr>
          <w:rFonts w:ascii="Arial" w:hAnsi="Arial" w:cs="Arial"/>
          <w:sz w:val="22"/>
          <w:szCs w:val="22"/>
        </w:rPr>
        <w:t xml:space="preserve"> también aplica frente a estos</w:t>
      </w:r>
      <w:r w:rsidR="00D10031">
        <w:rPr>
          <w:rFonts w:ascii="Arial" w:hAnsi="Arial" w:cs="Arial"/>
          <w:sz w:val="22"/>
          <w:szCs w:val="22"/>
        </w:rPr>
        <w:t>,</w:t>
      </w:r>
      <w:r>
        <w:rPr>
          <w:rFonts w:ascii="Arial" w:hAnsi="Arial" w:cs="Arial"/>
          <w:sz w:val="22"/>
          <w:szCs w:val="22"/>
        </w:rPr>
        <w:t xml:space="preserve"> siempre que se cumplan con los demás elementos y exigencias establecidas en cada una de sus disposiciones</w:t>
      </w:r>
      <w:r w:rsidR="008D3C09">
        <w:rPr>
          <w:rFonts w:ascii="Arial" w:hAnsi="Arial" w:cs="Arial"/>
          <w:sz w:val="22"/>
          <w:szCs w:val="22"/>
        </w:rPr>
        <w:t>.</w:t>
      </w:r>
    </w:p>
    <w:p w14:paraId="2DDB4266" w14:textId="78BDAFD1" w:rsidR="00B25703" w:rsidRPr="008918A2" w:rsidRDefault="00B25703" w:rsidP="00D40911">
      <w:pPr>
        <w:spacing w:before="120" w:line="276" w:lineRule="auto"/>
        <w:jc w:val="both"/>
        <w:rPr>
          <w:rFonts w:ascii="Arial" w:hAnsi="Arial" w:cs="Arial"/>
          <w:color w:val="000000" w:themeColor="text1"/>
          <w:sz w:val="22"/>
          <w:lang w:val="es-ES_tradnl"/>
        </w:rPr>
      </w:pPr>
    </w:p>
    <w:p w14:paraId="7B2C921D" w14:textId="6360A462" w:rsidR="00DD5B04" w:rsidRPr="008918A2" w:rsidRDefault="00DD5B04" w:rsidP="00DF76A2">
      <w:pPr>
        <w:spacing w:line="276" w:lineRule="auto"/>
        <w:jc w:val="both"/>
        <w:rPr>
          <w:rFonts w:ascii="Arial" w:hAnsi="Arial" w:cs="Arial"/>
          <w:color w:val="000000" w:themeColor="text1"/>
          <w:sz w:val="22"/>
          <w:lang w:val="es-ES_tradnl"/>
        </w:rPr>
      </w:pPr>
      <w:r w:rsidRPr="008918A2">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8918A2"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8918A2"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8918A2">
        <w:rPr>
          <w:rFonts w:ascii="Arial" w:hAnsi="Arial" w:cs="Arial"/>
          <w:color w:val="000000" w:themeColor="text1"/>
          <w:sz w:val="22"/>
          <w:szCs w:val="22"/>
          <w:lang w:val="es-ES_tradnl"/>
        </w:rPr>
        <w:t>Atentamente,</w:t>
      </w:r>
    </w:p>
    <w:p w14:paraId="692FC307" w14:textId="210AA6B5" w:rsidR="00921304" w:rsidRPr="008918A2"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0A5C9565" w:rsidR="00921304" w:rsidRPr="008918A2" w:rsidRDefault="00084E34" w:rsidP="50A1ADDB">
      <w:pPr>
        <w:pStyle w:val="NormalWeb"/>
        <w:spacing w:before="0" w:beforeAutospacing="0" w:after="0" w:afterAutospacing="0" w:line="276" w:lineRule="auto"/>
        <w:jc w:val="center"/>
      </w:pPr>
      <w:r w:rsidRPr="00084E34">
        <w:rPr>
          <w:noProof/>
        </w:rPr>
        <w:lastRenderedPageBreak/>
        <w:t xml:space="preserve"> </w:t>
      </w:r>
      <w:r>
        <w:rPr>
          <w:noProof/>
        </w:rPr>
        <w:drawing>
          <wp:inline distT="0" distB="0" distL="0" distR="0" wp14:anchorId="70F0A3EB" wp14:editId="24AAD7DF">
            <wp:extent cx="2788920" cy="1135380"/>
            <wp:effectExtent l="0" t="0" r="0" b="7620"/>
            <wp:docPr id="1" name="Imagen 1"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2788920" cy="1135380"/>
                    </a:xfrm>
                    <a:prstGeom prst="rect">
                      <a:avLst/>
                    </a:prstGeom>
                  </pic:spPr>
                </pic:pic>
              </a:graphicData>
            </a:graphic>
          </wp:inline>
        </w:drawing>
      </w:r>
    </w:p>
    <w:p w14:paraId="5CBAE239" w14:textId="77777777" w:rsidR="00425C43" w:rsidRPr="008918A2" w:rsidRDefault="00425C43" w:rsidP="00B37657">
      <w:pPr>
        <w:jc w:val="center"/>
        <w:rPr>
          <w:rFonts w:ascii="Arial" w:hAnsi="Arial" w:cs="Arial"/>
          <w:color w:val="000000" w:themeColor="text1"/>
          <w:sz w:val="18"/>
          <w:szCs w:val="20"/>
          <w:lang w:val="es-ES_tradnl" w:eastAsia="es-CO"/>
        </w:rPr>
      </w:pPr>
    </w:p>
    <w:p w14:paraId="49730030" w14:textId="217D35F3" w:rsidR="00DD5B04" w:rsidRPr="008918A2"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8918A2" w14:paraId="0C7DC5F7" w14:textId="77777777" w:rsidTr="008F4163">
        <w:trPr>
          <w:trHeight w:val="315"/>
        </w:trPr>
        <w:tc>
          <w:tcPr>
            <w:tcW w:w="812" w:type="dxa"/>
            <w:vAlign w:val="center"/>
            <w:hideMark/>
          </w:tcPr>
          <w:p w14:paraId="5BDB1AC9" w14:textId="77777777" w:rsidR="00DD5B04" w:rsidRPr="008918A2" w:rsidRDefault="00DD5B04"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6C985E3B" w:rsidR="00DD5B04" w:rsidRPr="008918A2" w:rsidRDefault="00885C58" w:rsidP="00DF76A2">
            <w:pPr>
              <w:jc w:val="both"/>
              <w:rPr>
                <w:rFonts w:ascii="Arial" w:hAnsi="Arial" w:cs="Arial"/>
                <w:color w:val="000000" w:themeColor="text1"/>
                <w:sz w:val="16"/>
                <w:szCs w:val="16"/>
                <w:lang w:val="es-ES_tradnl" w:eastAsia="es-ES"/>
              </w:rPr>
            </w:pPr>
            <w:r>
              <w:rPr>
                <w:rFonts w:ascii="Arial" w:hAnsi="Arial" w:cs="Arial"/>
                <w:color w:val="000000" w:themeColor="text1"/>
                <w:sz w:val="16"/>
                <w:szCs w:val="16"/>
                <w:lang w:val="es-ES_tradnl" w:eastAsia="es-ES"/>
              </w:rPr>
              <w:t>Nina María Padrón Ballestas</w:t>
            </w:r>
          </w:p>
          <w:p w14:paraId="240C71FD" w14:textId="31312C95" w:rsidR="00DD5B04" w:rsidRPr="008918A2" w:rsidRDefault="00DD5B04"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Contratista</w:t>
            </w:r>
            <w:r w:rsidR="00FF0050" w:rsidRPr="008918A2">
              <w:rPr>
                <w:rFonts w:ascii="Arial" w:hAnsi="Arial" w:cs="Arial"/>
                <w:color w:val="000000" w:themeColor="text1"/>
                <w:sz w:val="16"/>
                <w:szCs w:val="16"/>
                <w:lang w:val="es-ES_tradnl" w:eastAsia="es-ES"/>
              </w:rPr>
              <w:t xml:space="preserve"> de la </w:t>
            </w:r>
            <w:r w:rsidRPr="008918A2">
              <w:rPr>
                <w:rFonts w:ascii="Arial" w:hAnsi="Arial" w:cs="Arial"/>
                <w:color w:val="000000" w:themeColor="text1"/>
                <w:sz w:val="16"/>
                <w:szCs w:val="16"/>
                <w:lang w:val="es-ES_tradnl" w:eastAsia="es-ES"/>
              </w:rPr>
              <w:t>Subdirección de Gestión Contractual</w:t>
            </w:r>
          </w:p>
        </w:tc>
      </w:tr>
      <w:tr w:rsidR="00DD5B04" w:rsidRPr="008918A2" w14:paraId="2F8FD650" w14:textId="77777777" w:rsidTr="008F4163">
        <w:trPr>
          <w:trHeight w:val="330"/>
        </w:trPr>
        <w:tc>
          <w:tcPr>
            <w:tcW w:w="812" w:type="dxa"/>
            <w:vAlign w:val="center"/>
            <w:hideMark/>
          </w:tcPr>
          <w:p w14:paraId="50203A0B" w14:textId="77777777" w:rsidR="00DD5B04" w:rsidRPr="008918A2" w:rsidRDefault="00DD5B04"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038E2A5B" w:rsidR="00C05A61" w:rsidRPr="008918A2" w:rsidRDefault="00B673E2" w:rsidP="00C05A61">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Sebastián Ramírez Grisales</w:t>
            </w:r>
          </w:p>
          <w:p w14:paraId="130B3228" w14:textId="3BDD24A8" w:rsidR="00DD5B04" w:rsidRPr="008918A2" w:rsidRDefault="00EF5CA8" w:rsidP="00C05A61">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Gestor T-1 Grado 15</w:t>
            </w:r>
            <w:r w:rsidR="00236963">
              <w:rPr>
                <w:rFonts w:ascii="Arial" w:hAnsi="Arial" w:cs="Arial"/>
                <w:color w:val="000000" w:themeColor="text1"/>
                <w:sz w:val="16"/>
                <w:szCs w:val="16"/>
                <w:lang w:val="es-ES_tradnl" w:eastAsia="es-ES"/>
              </w:rPr>
              <w:t xml:space="preserve"> </w:t>
            </w:r>
            <w:r w:rsidR="00236963" w:rsidRPr="008918A2">
              <w:rPr>
                <w:rFonts w:ascii="Arial" w:hAnsi="Arial" w:cs="Arial"/>
                <w:color w:val="000000" w:themeColor="text1"/>
                <w:sz w:val="16"/>
                <w:szCs w:val="16"/>
                <w:lang w:val="es-ES_tradnl" w:eastAsia="es-ES"/>
              </w:rPr>
              <w:t>Subdirección de Gestión Contractual</w:t>
            </w:r>
          </w:p>
        </w:tc>
      </w:tr>
      <w:tr w:rsidR="00DD5B04" w:rsidRPr="008918A2" w14:paraId="0FCBCA4A" w14:textId="77777777" w:rsidTr="008F4163">
        <w:trPr>
          <w:trHeight w:val="300"/>
        </w:trPr>
        <w:tc>
          <w:tcPr>
            <w:tcW w:w="812" w:type="dxa"/>
            <w:vAlign w:val="center"/>
            <w:hideMark/>
          </w:tcPr>
          <w:p w14:paraId="3C1D943A" w14:textId="77777777" w:rsidR="00DD5B04" w:rsidRPr="008918A2" w:rsidRDefault="00DD5B04"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E7E6045" w:rsidR="006A55EE" w:rsidRPr="008918A2" w:rsidRDefault="00C05A61"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 xml:space="preserve">Jorge </w:t>
            </w:r>
            <w:r w:rsidR="00647A36" w:rsidRPr="008918A2">
              <w:rPr>
                <w:rFonts w:ascii="Arial" w:hAnsi="Arial" w:cs="Arial"/>
                <w:color w:val="000000" w:themeColor="text1"/>
                <w:sz w:val="16"/>
                <w:szCs w:val="16"/>
                <w:lang w:val="es-ES_tradnl" w:eastAsia="es-ES"/>
              </w:rPr>
              <w:t xml:space="preserve">Augusto </w:t>
            </w:r>
            <w:r w:rsidRPr="008918A2">
              <w:rPr>
                <w:rFonts w:ascii="Arial" w:hAnsi="Arial" w:cs="Arial"/>
                <w:color w:val="000000" w:themeColor="text1"/>
                <w:sz w:val="16"/>
                <w:szCs w:val="16"/>
                <w:lang w:val="es-ES_tradnl" w:eastAsia="es-ES"/>
              </w:rPr>
              <w:t>Tirado Navarro</w:t>
            </w:r>
          </w:p>
          <w:p w14:paraId="1ADC483B" w14:textId="77CBA2AF" w:rsidR="00DD5B04" w:rsidRPr="008918A2" w:rsidRDefault="00DD5B04" w:rsidP="00DF76A2">
            <w:pPr>
              <w:jc w:val="both"/>
              <w:rPr>
                <w:rFonts w:ascii="Arial" w:hAnsi="Arial" w:cs="Arial"/>
                <w:color w:val="000000" w:themeColor="text1"/>
                <w:sz w:val="16"/>
                <w:szCs w:val="16"/>
                <w:lang w:val="es-ES_tradnl" w:eastAsia="es-ES"/>
              </w:rPr>
            </w:pPr>
            <w:r w:rsidRPr="008918A2">
              <w:rPr>
                <w:rFonts w:ascii="Arial" w:hAnsi="Arial" w:cs="Arial"/>
                <w:color w:val="000000" w:themeColor="text1"/>
                <w:sz w:val="16"/>
                <w:szCs w:val="16"/>
                <w:lang w:val="es-ES_tradnl" w:eastAsia="es-ES"/>
              </w:rPr>
              <w:t>Subdirector de Gestión Contractual</w:t>
            </w:r>
          </w:p>
        </w:tc>
      </w:tr>
    </w:tbl>
    <w:p w14:paraId="151F0ECD" w14:textId="77777777" w:rsidR="00AA5BBC" w:rsidRPr="008918A2" w:rsidRDefault="00AA5BBC" w:rsidP="00215B8E">
      <w:pPr>
        <w:jc w:val="both"/>
        <w:rPr>
          <w:rFonts w:ascii="Arial" w:hAnsi="Arial" w:cs="Arial"/>
          <w:lang w:val="es-ES_tradnl"/>
        </w:rPr>
      </w:pPr>
    </w:p>
    <w:sectPr w:rsidR="00AA5BBC" w:rsidRPr="008918A2" w:rsidSect="005D791B">
      <w:headerReference w:type="default" r:id="rId12"/>
      <w:footerReference w:type="default" r:id="rId13"/>
      <w:pgSz w:w="12240" w:h="15840"/>
      <w:pgMar w:top="2041" w:right="1701" w:bottom="1418" w:left="1701" w:header="340"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E379" w16cex:dateUtc="2021-06-09T11:51:00Z"/>
  <w16cex:commentExtensible w16cex:durableId="246AE38C" w16cex:dateUtc="2021-06-09T11:51:00Z"/>
  <w16cex:commentExtensible w16cex:durableId="2469B2A2" w16cex:dateUtc="2021-06-08T14:10:00Z"/>
  <w16cex:commentExtensible w16cex:durableId="2469CD00" w16cex:dateUtc="2021-06-08T16:03:00Z"/>
  <w16cex:commentExtensible w16cex:durableId="246B0A62" w16cex:dateUtc="2021-06-09T14:37:00Z"/>
  <w16cex:commentExtensible w16cex:durableId="246B0EA1" w16cex:dateUtc="2021-06-09T14:55:00Z"/>
  <w16cex:commentExtensible w16cex:durableId="246B10B2" w16cex:dateUtc="2021-06-09T15:04:00Z"/>
  <w16cex:commentExtensible w16cex:durableId="246B118C" w16cex:dateUtc="2021-06-09T15:08:00Z"/>
  <w16cex:commentExtensible w16cex:durableId="246B11BA" w16cex:dateUtc="2021-06-09T15:08:00Z"/>
  <w16cex:commentExtensible w16cex:durableId="246B121F" w16cex:dateUtc="2021-06-09T15:10:00Z"/>
  <w16cex:commentExtensible w16cex:durableId="246B125E" w16cex:dateUtc="2021-06-09T15:11:00Z"/>
  <w16cex:commentExtensible w16cex:durableId="246B15AA" w16cex:dateUtc="2021-06-09T15:25:00Z"/>
  <w16cex:commentExtensible w16cex:durableId="246B1606" w16cex:dateUtc="2021-06-09T15:27:00Z"/>
  <w16cex:commentExtensible w16cex:durableId="246B163B" w16cex:dateUtc="2021-06-09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BA38F" w16cid:durableId="246AE379"/>
  <w16cid:commentId w16cid:paraId="5950DB5D" w16cid:durableId="246AE38C"/>
  <w16cid:commentId w16cid:paraId="29E7E678" w16cid:durableId="2469B2A2"/>
  <w16cid:commentId w16cid:paraId="4E383B5C" w16cid:durableId="2469CD00"/>
  <w16cid:commentId w16cid:paraId="755D9E87" w16cid:durableId="246B0A62"/>
  <w16cid:commentId w16cid:paraId="0B7E60B1" w16cid:durableId="246B0EA1"/>
  <w16cid:commentId w16cid:paraId="0A94F2FA" w16cid:durableId="246B10B2"/>
  <w16cid:commentId w16cid:paraId="4BBBCE78" w16cid:durableId="246B118C"/>
  <w16cid:commentId w16cid:paraId="6C2C22B6" w16cid:durableId="246B11BA"/>
  <w16cid:commentId w16cid:paraId="2BDF2598" w16cid:durableId="246B121F"/>
  <w16cid:commentId w16cid:paraId="0F954932" w16cid:durableId="246B125E"/>
  <w16cid:commentId w16cid:paraId="34FB3C7C" w16cid:durableId="246B15AA"/>
  <w16cid:commentId w16cid:paraId="21859B5A" w16cid:durableId="246B1606"/>
  <w16cid:commentId w16cid:paraId="65FAB0A3" w16cid:durableId="246B16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7A749" w14:textId="77777777" w:rsidR="00FB4F4B" w:rsidRDefault="00FB4F4B">
      <w:r>
        <w:separator/>
      </w:r>
    </w:p>
  </w:endnote>
  <w:endnote w:type="continuationSeparator" w:id="0">
    <w:p w14:paraId="54D0C62F" w14:textId="77777777" w:rsidR="00FB4F4B" w:rsidRDefault="00FB4F4B">
      <w:r>
        <w:continuationSeparator/>
      </w:r>
    </w:p>
  </w:endnote>
  <w:endnote w:type="continuationNotice" w:id="1">
    <w:p w14:paraId="58D412C2" w14:textId="77777777" w:rsidR="00FB4F4B" w:rsidRDefault="00FB4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02A34" w14:textId="77777777" w:rsidR="008F4163" w:rsidRDefault="008F4163" w:rsidP="00322937">
    <w:pPr>
      <w:pStyle w:val="Sinespaciado"/>
      <w:jc w:val="right"/>
      <w:rPr>
        <w:rFonts w:ascii="Arial" w:hAnsi="Arial" w:cs="Arial"/>
        <w:sz w:val="18"/>
        <w:szCs w:val="18"/>
      </w:rPr>
    </w:pPr>
  </w:p>
  <w:p w14:paraId="7A3785F3" w14:textId="2EF28465" w:rsidR="008F4163" w:rsidRPr="008217B7" w:rsidRDefault="008F4163"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BE3F4F">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BE3F4F">
      <w:rPr>
        <w:rFonts w:ascii="Arial" w:hAnsi="Arial" w:cs="Arial"/>
        <w:b/>
        <w:bCs/>
        <w:noProof/>
        <w:color w:val="7F7F7F" w:themeColor="text1" w:themeTint="80"/>
        <w:sz w:val="16"/>
        <w:szCs w:val="16"/>
      </w:rPr>
      <w:t>9</w:t>
    </w:r>
    <w:r w:rsidRPr="00084B97">
      <w:rPr>
        <w:rFonts w:ascii="Arial" w:hAnsi="Arial" w:cs="Arial"/>
        <w:b/>
        <w:bCs/>
        <w:color w:val="7F7F7F" w:themeColor="text1" w:themeTint="80"/>
        <w:sz w:val="16"/>
        <w:szCs w:val="16"/>
      </w:rPr>
      <w:fldChar w:fldCharType="end"/>
    </w:r>
  </w:p>
  <w:p w14:paraId="48FC6A04" w14:textId="5FD1A7C9" w:rsidR="008F4163" w:rsidRDefault="50A1ADDB" w:rsidP="00322937">
    <w:pPr>
      <w:pStyle w:val="Piedepgina"/>
      <w:jc w:val="center"/>
      <w:rPr>
        <w:lang w:val="es-ES"/>
      </w:rPr>
    </w:pPr>
    <w:r>
      <w:rPr>
        <w:noProof/>
        <w:lang w:val="es-CO" w:eastAsia="es-CO"/>
      </w:rPr>
      <w:drawing>
        <wp:inline distT="0" distB="0" distL="0" distR="0" wp14:anchorId="608B196D" wp14:editId="4AF2E7E9">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3700130" cy="519139"/>
                  </a:xfrm>
                  <a:prstGeom prst="rect">
                    <a:avLst/>
                  </a:prstGeom>
                </pic:spPr>
              </pic:pic>
            </a:graphicData>
          </a:graphic>
        </wp:inline>
      </w:drawing>
    </w:r>
  </w:p>
  <w:p w14:paraId="5D0E988C" w14:textId="77777777" w:rsidR="008F4163" w:rsidRDefault="008F4163" w:rsidP="007B0854">
    <w:pPr>
      <w:pStyle w:val="Piedepgina"/>
      <w:jc w:val="center"/>
      <w:rPr>
        <w:lang w:val="es-ES"/>
      </w:rPr>
    </w:pPr>
  </w:p>
  <w:p w14:paraId="6C0EFC49" w14:textId="77777777" w:rsidR="008F4163" w:rsidRPr="007B0854" w:rsidRDefault="008F4163" w:rsidP="007B0854">
    <w:pPr>
      <w:pStyle w:val="Piedepgina"/>
      <w:jc w:val="cen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2371D" w14:textId="77777777" w:rsidR="00FB4F4B" w:rsidRDefault="00FB4F4B">
      <w:r>
        <w:separator/>
      </w:r>
    </w:p>
  </w:footnote>
  <w:footnote w:type="continuationSeparator" w:id="0">
    <w:p w14:paraId="2C313782" w14:textId="77777777" w:rsidR="00FB4F4B" w:rsidRDefault="00FB4F4B">
      <w:r>
        <w:continuationSeparator/>
      </w:r>
    </w:p>
  </w:footnote>
  <w:footnote w:type="continuationNotice" w:id="1">
    <w:p w14:paraId="4F6CDEBB" w14:textId="77777777" w:rsidR="00FB4F4B" w:rsidRDefault="00FB4F4B"/>
  </w:footnote>
  <w:footnote w:id="2">
    <w:p w14:paraId="3B1C2859" w14:textId="77777777" w:rsidR="00090B8A" w:rsidRPr="005037AF" w:rsidRDefault="00090B8A" w:rsidP="005037AF">
      <w:pPr>
        <w:pStyle w:val="Textonotapie"/>
        <w:ind w:firstLine="709"/>
        <w:jc w:val="both"/>
        <w:rPr>
          <w:rFonts w:ascii="Arial" w:hAnsi="Arial" w:cs="Arial"/>
          <w:color w:val="000000" w:themeColor="text1"/>
          <w:sz w:val="19"/>
          <w:szCs w:val="19"/>
        </w:rPr>
      </w:pPr>
      <w:r w:rsidRPr="005037AF">
        <w:rPr>
          <w:rStyle w:val="Refdenotaalpie"/>
          <w:rFonts w:ascii="Arial" w:hAnsi="Arial" w:cs="Arial"/>
          <w:color w:val="000000" w:themeColor="text1"/>
          <w:sz w:val="19"/>
          <w:szCs w:val="19"/>
        </w:rPr>
        <w:footnoteRef/>
      </w:r>
      <w:r w:rsidRPr="005037AF">
        <w:rPr>
          <w:rFonts w:ascii="Arial" w:hAnsi="Arial" w:cs="Arial"/>
          <w:color w:val="000000" w:themeColor="text1"/>
          <w:sz w:val="19"/>
          <w:szCs w:val="19"/>
        </w:rPr>
        <w:t xml:space="preserve"> En sitio web: https://www.who.int/es/news-room/detail/16-03-2020-icc-who-joint-statement-an-unprecedented-private-sector-call-to-action-to-tackle-covid-19.</w:t>
      </w:r>
    </w:p>
    <w:p w14:paraId="4244B519" w14:textId="77777777" w:rsidR="00090B8A" w:rsidRPr="005037AF" w:rsidRDefault="00090B8A" w:rsidP="005037AF">
      <w:pPr>
        <w:pStyle w:val="Textonotapie"/>
        <w:ind w:firstLine="709"/>
        <w:jc w:val="both"/>
        <w:rPr>
          <w:rFonts w:ascii="Arial" w:hAnsi="Arial" w:cs="Arial"/>
          <w:color w:val="000000" w:themeColor="text1"/>
          <w:sz w:val="19"/>
          <w:szCs w:val="19"/>
          <w:lang w:val="es-ES"/>
        </w:rPr>
      </w:pPr>
    </w:p>
  </w:footnote>
  <w:footnote w:id="3">
    <w:p w14:paraId="60E466F5" w14:textId="77777777" w:rsidR="00090B8A" w:rsidRPr="005037AF" w:rsidRDefault="00090B8A" w:rsidP="005037AF">
      <w:pPr>
        <w:pStyle w:val="Textonotapie"/>
        <w:ind w:firstLine="709"/>
        <w:jc w:val="both"/>
        <w:rPr>
          <w:rFonts w:ascii="Arial" w:hAnsi="Arial" w:cs="Arial"/>
          <w:color w:val="000000" w:themeColor="text1"/>
          <w:sz w:val="19"/>
          <w:szCs w:val="19"/>
          <w:lang w:val="es-ES"/>
        </w:rPr>
      </w:pPr>
      <w:r w:rsidRPr="005037AF">
        <w:rPr>
          <w:rStyle w:val="Refdenotaalpie"/>
          <w:rFonts w:ascii="Arial" w:hAnsi="Arial" w:cs="Arial"/>
          <w:color w:val="000000" w:themeColor="text1"/>
          <w:sz w:val="19"/>
          <w:szCs w:val="19"/>
        </w:rPr>
        <w:footnoteRef/>
      </w:r>
      <w:r w:rsidRPr="005037AF">
        <w:rPr>
          <w:rFonts w:ascii="Arial" w:hAnsi="Arial" w:cs="Arial"/>
          <w:color w:val="000000" w:themeColor="text1"/>
          <w:sz w:val="19"/>
          <w:szCs w:val="19"/>
        </w:rPr>
        <w:t xml:space="preserve"> </w:t>
      </w:r>
      <w:r w:rsidRPr="005037AF">
        <w:rPr>
          <w:rFonts w:ascii="Arial" w:hAnsi="Arial" w:cs="Arial"/>
          <w:color w:val="000000" w:themeColor="text1"/>
          <w:sz w:val="19"/>
          <w:szCs w:val="19"/>
          <w:lang w:val="es-ES"/>
        </w:rPr>
        <w:t>En sitio web: https://www.minsalud.gov.co/Paginas/Colombia-confirma-su-primer-caso-de-COVID-19.aspx.</w:t>
      </w:r>
    </w:p>
  </w:footnote>
  <w:footnote w:id="4">
    <w:p w14:paraId="354EADE8" w14:textId="77777777" w:rsidR="00090B8A" w:rsidRPr="005037AF" w:rsidRDefault="00090B8A" w:rsidP="005037AF">
      <w:pPr>
        <w:pStyle w:val="Textonotapie"/>
        <w:ind w:firstLine="709"/>
        <w:jc w:val="both"/>
        <w:rPr>
          <w:rFonts w:ascii="Arial" w:hAnsi="Arial" w:cs="Arial"/>
          <w:color w:val="000000" w:themeColor="text1"/>
          <w:sz w:val="19"/>
          <w:szCs w:val="19"/>
        </w:rPr>
      </w:pPr>
    </w:p>
    <w:p w14:paraId="26725C26" w14:textId="77777777" w:rsidR="00090B8A" w:rsidRPr="005037AF" w:rsidRDefault="00090B8A" w:rsidP="005037AF">
      <w:pPr>
        <w:pStyle w:val="Textonotapie"/>
        <w:ind w:firstLine="709"/>
        <w:jc w:val="both"/>
        <w:rPr>
          <w:rFonts w:ascii="Arial" w:hAnsi="Arial" w:cs="Arial"/>
          <w:color w:val="000000" w:themeColor="text1"/>
          <w:sz w:val="19"/>
          <w:szCs w:val="19"/>
        </w:rPr>
      </w:pPr>
      <w:r w:rsidRPr="005037AF">
        <w:rPr>
          <w:rStyle w:val="Refdenotaalpie"/>
          <w:rFonts w:ascii="Arial" w:hAnsi="Arial" w:cs="Arial"/>
          <w:color w:val="000000" w:themeColor="text1"/>
          <w:sz w:val="19"/>
          <w:szCs w:val="19"/>
        </w:rPr>
        <w:footnoteRef/>
      </w:r>
      <w:r w:rsidRPr="005037AF">
        <w:rPr>
          <w:rFonts w:ascii="Arial" w:hAnsi="Arial" w:cs="Arial"/>
          <w:color w:val="000000" w:themeColor="text1"/>
          <w:sz w:val="19"/>
          <w:szCs w:val="19"/>
        </w:rPr>
        <w:t xml:space="preserve"> Artículo 215: «Cuando sobrevengan hechos distintos de los previstos en los artículos 212 y 213 que perturben o amenacen perturbar en forma grave e inminente el orden económico, social y ecológico del país, o que constituyan grave calamidad pública, podrá el Presidente, con la firma de todos los ministros, declarar el Estado de Emergencia por períodos hasta de treinta días en cada caso, que sumados no podrán exceder de noventa días en el año calendario.</w:t>
      </w:r>
    </w:p>
    <w:p w14:paraId="0C45E07F" w14:textId="77777777" w:rsidR="00090B8A" w:rsidRPr="005037AF" w:rsidRDefault="00090B8A" w:rsidP="005037AF">
      <w:pPr>
        <w:pStyle w:val="Textonotapie"/>
        <w:ind w:firstLine="709"/>
        <w:jc w:val="both"/>
        <w:rPr>
          <w:rFonts w:ascii="Arial" w:hAnsi="Arial" w:cs="Arial"/>
          <w:color w:val="000000" w:themeColor="text1"/>
          <w:sz w:val="19"/>
          <w:szCs w:val="19"/>
        </w:rPr>
      </w:pPr>
      <w:r w:rsidRPr="005037AF">
        <w:rPr>
          <w:rFonts w:ascii="Arial" w:hAnsi="Arial" w:cs="Arial"/>
          <w:color w:val="000000" w:themeColor="text1"/>
          <w:sz w:val="19"/>
          <w:szCs w:val="19"/>
        </w:rPr>
        <w:t>[…]».</w:t>
      </w:r>
    </w:p>
    <w:p w14:paraId="6FC20E93" w14:textId="77777777" w:rsidR="00090B8A" w:rsidRPr="005037AF" w:rsidRDefault="00090B8A" w:rsidP="005037AF">
      <w:pPr>
        <w:pStyle w:val="Textonotapie"/>
        <w:ind w:firstLine="709"/>
        <w:jc w:val="both"/>
        <w:rPr>
          <w:rFonts w:ascii="Arial" w:hAnsi="Arial" w:cs="Arial"/>
          <w:color w:val="000000" w:themeColor="text1"/>
          <w:sz w:val="19"/>
          <w:szCs w:val="19"/>
          <w:lang w:val="es-ES"/>
        </w:rPr>
      </w:pPr>
    </w:p>
  </w:footnote>
  <w:footnote w:id="5">
    <w:p w14:paraId="71FA5E4A" w14:textId="323E1B96" w:rsidR="005037AF" w:rsidRDefault="005037AF" w:rsidP="005037AF">
      <w:pPr>
        <w:pStyle w:val="Textonotapie"/>
        <w:ind w:firstLine="708"/>
        <w:jc w:val="both"/>
        <w:rPr>
          <w:rFonts w:ascii="Arial" w:hAnsi="Arial" w:cs="Arial"/>
          <w:color w:val="000000" w:themeColor="text1"/>
          <w:sz w:val="19"/>
          <w:szCs w:val="19"/>
        </w:rPr>
      </w:pPr>
      <w:r w:rsidRPr="00BE3F4F">
        <w:rPr>
          <w:rStyle w:val="Refdenotaalpie"/>
          <w:rFonts w:ascii="Arial" w:hAnsi="Arial" w:cs="Arial"/>
          <w:color w:val="000000" w:themeColor="text1"/>
          <w:sz w:val="19"/>
          <w:szCs w:val="19"/>
        </w:rPr>
        <w:footnoteRef/>
      </w:r>
      <w:r w:rsidRPr="00BE3F4F">
        <w:rPr>
          <w:rFonts w:ascii="Arial" w:hAnsi="Arial" w:cs="Arial"/>
          <w:color w:val="000000" w:themeColor="text1"/>
          <w:sz w:val="19"/>
          <w:szCs w:val="19"/>
        </w:rPr>
        <w:t xml:space="preserve"> Ley 80 de 1993. </w:t>
      </w:r>
      <w:bookmarkStart w:id="5" w:name="13"/>
      <w:r>
        <w:rPr>
          <w:rFonts w:ascii="Arial" w:hAnsi="Arial" w:cs="Arial"/>
          <w:color w:val="000000" w:themeColor="text1"/>
          <w:sz w:val="19"/>
          <w:szCs w:val="19"/>
        </w:rPr>
        <w:t xml:space="preserve">«Artículo 13. </w:t>
      </w:r>
      <w:r w:rsidRPr="00BE3F4F">
        <w:rPr>
          <w:rFonts w:ascii="Arial" w:hAnsi="Arial" w:cs="Arial"/>
          <w:color w:val="000000" w:themeColor="text1"/>
          <w:sz w:val="19"/>
          <w:szCs w:val="19"/>
        </w:rPr>
        <w:t>De la normatividad aplicable a los contratos estatales.</w:t>
      </w:r>
      <w:bookmarkEnd w:id="5"/>
      <w:r w:rsidRPr="00BE3F4F">
        <w:rPr>
          <w:rFonts w:ascii="Arial" w:hAnsi="Arial" w:cs="Arial"/>
          <w:color w:val="000000" w:themeColor="text1"/>
          <w:sz w:val="19"/>
          <w:szCs w:val="19"/>
        </w:rPr>
        <w:t> Los contratos que celebren las entidades a que se refiere el artículo </w:t>
      </w:r>
      <w:hyperlink r:id="rId1" w:anchor="2" w:history="1">
        <w:r w:rsidRPr="00BE3F4F">
          <w:rPr>
            <w:rStyle w:val="Hipervnculo"/>
            <w:rFonts w:ascii="Arial" w:hAnsi="Arial" w:cs="Arial"/>
            <w:color w:val="000000" w:themeColor="text1"/>
            <w:sz w:val="19"/>
            <w:szCs w:val="19"/>
            <w:u w:val="none"/>
          </w:rPr>
          <w:t>2</w:t>
        </w:r>
      </w:hyperlink>
      <w:r w:rsidRPr="00BE3F4F">
        <w:rPr>
          <w:rFonts w:ascii="Arial" w:hAnsi="Arial" w:cs="Arial"/>
          <w:color w:val="000000" w:themeColor="text1"/>
          <w:sz w:val="19"/>
          <w:szCs w:val="19"/>
        </w:rPr>
        <w:t>o. del presente estatuto se regirán por las disposiciones comerciales y civiles pertinentes, salvo en las materias particularmente reguladas en esta ley».</w:t>
      </w:r>
    </w:p>
    <w:p w14:paraId="13B513F9" w14:textId="14F4A85E" w:rsidR="005037AF" w:rsidRPr="00BE3F4F" w:rsidRDefault="005037AF" w:rsidP="00BE3F4F">
      <w:pPr>
        <w:pStyle w:val="Textonotapie"/>
        <w:ind w:firstLine="708"/>
        <w:jc w:val="both"/>
        <w:rPr>
          <w:rFonts w:ascii="Arial" w:hAnsi="Arial" w:cs="Arial"/>
          <w:color w:val="000000" w:themeColor="text1"/>
          <w:sz w:val="19"/>
          <w:szCs w:val="19"/>
          <w:lang w:val="es-CO"/>
        </w:rPr>
      </w:pPr>
      <w:r>
        <w:rPr>
          <w:rFonts w:ascii="Arial" w:hAnsi="Arial" w:cs="Arial"/>
          <w:color w:val="000000" w:themeColor="text1"/>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0770B" w14:textId="1A2BB94C" w:rsidR="008F4163" w:rsidRDefault="008F4163">
    <w:pPr>
      <w:pStyle w:val="Encabezado"/>
    </w:pPr>
    <w:r>
      <w:rPr>
        <w:noProof/>
        <w:lang w:val="es-CO" w:eastAsia="es-CO"/>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9E66416E"/>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FD480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04A7952"/>
    <w:multiLevelType w:val="hybridMultilevel"/>
    <w:tmpl w:val="961E87CC"/>
    <w:lvl w:ilvl="0" w:tplc="F4E0C290">
      <w:start w:val="1"/>
      <w:numFmt w:val="upperLetter"/>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7"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2" w15:restartNumberingAfterBreak="0">
    <w:nsid w:val="3E8062BC"/>
    <w:multiLevelType w:val="multilevel"/>
    <w:tmpl w:val="22A8F410"/>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3A584E"/>
    <w:multiLevelType w:val="multilevel"/>
    <w:tmpl w:val="FA1A850A"/>
    <w:lvl w:ilvl="0">
      <w:start w:val="2"/>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BC61FB"/>
    <w:multiLevelType w:val="multilevel"/>
    <w:tmpl w:val="32E4B224"/>
    <w:lvl w:ilvl="0">
      <w:start w:val="7"/>
      <w:numFmt w:val="decimal"/>
      <w:lvlText w:val="%1."/>
      <w:lvlJc w:val="left"/>
      <w:pPr>
        <w:ind w:left="360" w:hanging="360"/>
      </w:pPr>
      <w:rPr>
        <w:rFonts w:cs="Times New Roman"/>
        <w:b w:val="0"/>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8B5997"/>
    <w:multiLevelType w:val="multilevel"/>
    <w:tmpl w:val="7BCE2784"/>
    <w:lvl w:ilvl="0">
      <w:start w:val="2"/>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04"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1373A3"/>
    <w:multiLevelType w:val="hybridMultilevel"/>
    <w:tmpl w:val="15C2357E"/>
    <w:lvl w:ilvl="0" w:tplc="97F64D70">
      <w:start w:val="1"/>
      <w:numFmt w:val="upperLetter"/>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9150AF"/>
    <w:multiLevelType w:val="multilevel"/>
    <w:tmpl w:val="1D048466"/>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23" w15:restartNumberingAfterBreak="0">
    <w:nsid w:val="597D4B97"/>
    <w:multiLevelType w:val="hybridMultilevel"/>
    <w:tmpl w:val="576C41F8"/>
    <w:lvl w:ilvl="0" w:tplc="9BEACE22">
      <w:start w:val="1"/>
      <w:numFmt w:val="bullet"/>
      <w:lvlText w:val=""/>
      <w:lvlJc w:val="left"/>
      <w:pPr>
        <w:tabs>
          <w:tab w:val="num" w:pos="720"/>
        </w:tabs>
        <w:ind w:left="720" w:hanging="360"/>
      </w:pPr>
      <w:rPr>
        <w:rFonts w:ascii="Symbol" w:hAnsi="Symbol" w:hint="default"/>
        <w:sz w:val="20"/>
      </w:rPr>
    </w:lvl>
    <w:lvl w:ilvl="1" w:tplc="A69E8D58" w:tentative="1">
      <w:start w:val="1"/>
      <w:numFmt w:val="bullet"/>
      <w:lvlText w:val="o"/>
      <w:lvlJc w:val="left"/>
      <w:pPr>
        <w:tabs>
          <w:tab w:val="num" w:pos="1440"/>
        </w:tabs>
        <w:ind w:left="1440" w:hanging="360"/>
      </w:pPr>
      <w:rPr>
        <w:rFonts w:ascii="Courier New" w:hAnsi="Courier New" w:hint="default"/>
        <w:sz w:val="20"/>
      </w:rPr>
    </w:lvl>
    <w:lvl w:ilvl="2" w:tplc="11485CA4" w:tentative="1">
      <w:start w:val="1"/>
      <w:numFmt w:val="bullet"/>
      <w:lvlText w:val=""/>
      <w:lvlJc w:val="left"/>
      <w:pPr>
        <w:tabs>
          <w:tab w:val="num" w:pos="2160"/>
        </w:tabs>
        <w:ind w:left="2160" w:hanging="360"/>
      </w:pPr>
      <w:rPr>
        <w:rFonts w:ascii="Wingdings" w:hAnsi="Wingdings" w:hint="default"/>
        <w:sz w:val="20"/>
      </w:rPr>
    </w:lvl>
    <w:lvl w:ilvl="3" w:tplc="6D04CEB0" w:tentative="1">
      <w:start w:val="1"/>
      <w:numFmt w:val="bullet"/>
      <w:lvlText w:val=""/>
      <w:lvlJc w:val="left"/>
      <w:pPr>
        <w:tabs>
          <w:tab w:val="num" w:pos="2880"/>
        </w:tabs>
        <w:ind w:left="2880" w:hanging="360"/>
      </w:pPr>
      <w:rPr>
        <w:rFonts w:ascii="Wingdings" w:hAnsi="Wingdings" w:hint="default"/>
        <w:sz w:val="20"/>
      </w:rPr>
    </w:lvl>
    <w:lvl w:ilvl="4" w:tplc="D2DE23B6" w:tentative="1">
      <w:start w:val="1"/>
      <w:numFmt w:val="bullet"/>
      <w:lvlText w:val=""/>
      <w:lvlJc w:val="left"/>
      <w:pPr>
        <w:tabs>
          <w:tab w:val="num" w:pos="3600"/>
        </w:tabs>
        <w:ind w:left="3600" w:hanging="360"/>
      </w:pPr>
      <w:rPr>
        <w:rFonts w:ascii="Wingdings" w:hAnsi="Wingdings" w:hint="default"/>
        <w:sz w:val="20"/>
      </w:rPr>
    </w:lvl>
    <w:lvl w:ilvl="5" w:tplc="7A465F02" w:tentative="1">
      <w:start w:val="1"/>
      <w:numFmt w:val="bullet"/>
      <w:lvlText w:val=""/>
      <w:lvlJc w:val="left"/>
      <w:pPr>
        <w:tabs>
          <w:tab w:val="num" w:pos="4320"/>
        </w:tabs>
        <w:ind w:left="4320" w:hanging="360"/>
      </w:pPr>
      <w:rPr>
        <w:rFonts w:ascii="Wingdings" w:hAnsi="Wingdings" w:hint="default"/>
        <w:sz w:val="20"/>
      </w:rPr>
    </w:lvl>
    <w:lvl w:ilvl="6" w:tplc="2640BCA6" w:tentative="1">
      <w:start w:val="1"/>
      <w:numFmt w:val="bullet"/>
      <w:lvlText w:val=""/>
      <w:lvlJc w:val="left"/>
      <w:pPr>
        <w:tabs>
          <w:tab w:val="num" w:pos="5040"/>
        </w:tabs>
        <w:ind w:left="5040" w:hanging="360"/>
      </w:pPr>
      <w:rPr>
        <w:rFonts w:ascii="Wingdings" w:hAnsi="Wingdings" w:hint="default"/>
        <w:sz w:val="20"/>
      </w:rPr>
    </w:lvl>
    <w:lvl w:ilvl="7" w:tplc="D430B732" w:tentative="1">
      <w:start w:val="1"/>
      <w:numFmt w:val="bullet"/>
      <w:lvlText w:val=""/>
      <w:lvlJc w:val="left"/>
      <w:pPr>
        <w:tabs>
          <w:tab w:val="num" w:pos="5760"/>
        </w:tabs>
        <w:ind w:left="5760" w:hanging="360"/>
      </w:pPr>
      <w:rPr>
        <w:rFonts w:ascii="Wingdings" w:hAnsi="Wingdings" w:hint="default"/>
        <w:sz w:val="20"/>
      </w:rPr>
    </w:lvl>
    <w:lvl w:ilvl="8" w:tplc="69F668B4"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A2200"/>
    <w:multiLevelType w:val="multilevel"/>
    <w:tmpl w:val="F142F782"/>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7712F78"/>
    <w:multiLevelType w:val="multilevel"/>
    <w:tmpl w:val="8F5C4430"/>
    <w:lvl w:ilvl="0">
      <w:start w:val="2"/>
      <w:numFmt w:val="decimal"/>
      <w:lvlText w:val="%1."/>
      <w:lvlJc w:val="left"/>
      <w:pPr>
        <w:ind w:left="540" w:hanging="54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6B50263C"/>
    <w:multiLevelType w:val="hybridMultilevel"/>
    <w:tmpl w:val="63E22CF2"/>
    <w:lvl w:ilvl="0" w:tplc="19D095A4">
      <w:start w:val="1"/>
      <w:numFmt w:val="upperLetter"/>
      <w:lvlText w:val="%1."/>
      <w:lvlJc w:val="left"/>
      <w:pPr>
        <w:ind w:left="710" w:hanging="71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29" w15:restartNumberingAfterBreak="0">
    <w:nsid w:val="70C9241D"/>
    <w:multiLevelType w:val="hybridMultilevel"/>
    <w:tmpl w:val="B0B487B8"/>
    <w:lvl w:ilvl="0" w:tplc="AAC4AE08">
      <w:start w:val="1"/>
      <w:numFmt w:val="lowerRoman"/>
      <w:lvlText w:val="%1."/>
      <w:lvlJc w:val="right"/>
      <w:pPr>
        <w:ind w:left="1429" w:hanging="360"/>
      </w:pPr>
      <w:rPr>
        <w:rFonts w:ascii="Arial" w:eastAsia="Calibri" w:hAnsi="Arial" w:cs="Arial"/>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30"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CD0A55"/>
    <w:multiLevelType w:val="multilevel"/>
    <w:tmpl w:val="CC36D014"/>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0"/>
  </w:num>
  <w:num w:numId="2">
    <w:abstractNumId w:val="8"/>
  </w:num>
  <w:num w:numId="3">
    <w:abstractNumId w:val="16"/>
  </w:num>
  <w:num w:numId="4">
    <w:abstractNumId w:val="22"/>
  </w:num>
  <w:num w:numId="5">
    <w:abstractNumId w:val="28"/>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0"/>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4"/>
  </w:num>
  <w:num w:numId="14">
    <w:abstractNumId w:val="7"/>
  </w:num>
  <w:num w:numId="1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7"/>
  </w:num>
  <w:num w:numId="19">
    <w:abstractNumId w:val="2"/>
  </w:num>
  <w:num w:numId="20">
    <w:abstractNumId w:val="31"/>
  </w:num>
  <w:num w:numId="21">
    <w:abstractNumId w:val="19"/>
  </w:num>
  <w:num w:numId="22">
    <w:abstractNumId w:val="6"/>
  </w:num>
  <w:num w:numId="23">
    <w:abstractNumId w:val="4"/>
  </w:num>
  <w:num w:numId="24">
    <w:abstractNumId w:val="29"/>
  </w:num>
  <w:num w:numId="25">
    <w:abstractNumId w:val="23"/>
  </w:num>
  <w:num w:numId="26">
    <w:abstractNumId w:val="27"/>
  </w:num>
  <w:num w:numId="27">
    <w:abstractNumId w:val="5"/>
  </w:num>
  <w:num w:numId="28">
    <w:abstractNumId w:val="20"/>
  </w:num>
  <w:num w:numId="2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3"/>
  </w:num>
  <w:num w:numId="32">
    <w:abstractNumId w:val="15"/>
  </w:num>
  <w:num w:numId="33">
    <w:abstractNumId w:val="2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5A"/>
    <w:rsid w:val="00000559"/>
    <w:rsid w:val="0000162E"/>
    <w:rsid w:val="00001A1C"/>
    <w:rsid w:val="00001FFD"/>
    <w:rsid w:val="00002027"/>
    <w:rsid w:val="000020FE"/>
    <w:rsid w:val="00002173"/>
    <w:rsid w:val="000031A8"/>
    <w:rsid w:val="00003C5C"/>
    <w:rsid w:val="00003D39"/>
    <w:rsid w:val="000040D7"/>
    <w:rsid w:val="00004556"/>
    <w:rsid w:val="000047A2"/>
    <w:rsid w:val="000051AF"/>
    <w:rsid w:val="000059D3"/>
    <w:rsid w:val="00005B6D"/>
    <w:rsid w:val="0000600A"/>
    <w:rsid w:val="00006081"/>
    <w:rsid w:val="0000619E"/>
    <w:rsid w:val="00007750"/>
    <w:rsid w:val="000077FD"/>
    <w:rsid w:val="00007E37"/>
    <w:rsid w:val="00010C40"/>
    <w:rsid w:val="000112B4"/>
    <w:rsid w:val="00011DCC"/>
    <w:rsid w:val="00012532"/>
    <w:rsid w:val="00012B9E"/>
    <w:rsid w:val="00012F37"/>
    <w:rsid w:val="00012FBA"/>
    <w:rsid w:val="00013C6B"/>
    <w:rsid w:val="0001406B"/>
    <w:rsid w:val="000143F8"/>
    <w:rsid w:val="00014624"/>
    <w:rsid w:val="000154B8"/>
    <w:rsid w:val="00015B44"/>
    <w:rsid w:val="00016081"/>
    <w:rsid w:val="000165AC"/>
    <w:rsid w:val="00016651"/>
    <w:rsid w:val="000171A2"/>
    <w:rsid w:val="00017A97"/>
    <w:rsid w:val="00017B65"/>
    <w:rsid w:val="00017FDA"/>
    <w:rsid w:val="00020158"/>
    <w:rsid w:val="000207E0"/>
    <w:rsid w:val="000209E2"/>
    <w:rsid w:val="00020F8F"/>
    <w:rsid w:val="00021A95"/>
    <w:rsid w:val="0002256F"/>
    <w:rsid w:val="00023DAE"/>
    <w:rsid w:val="00024896"/>
    <w:rsid w:val="000255FA"/>
    <w:rsid w:val="000256F7"/>
    <w:rsid w:val="00025D0A"/>
    <w:rsid w:val="000263F0"/>
    <w:rsid w:val="00026407"/>
    <w:rsid w:val="00026608"/>
    <w:rsid w:val="00027463"/>
    <w:rsid w:val="00027787"/>
    <w:rsid w:val="000278D2"/>
    <w:rsid w:val="00030DFB"/>
    <w:rsid w:val="00031262"/>
    <w:rsid w:val="00031364"/>
    <w:rsid w:val="000315E1"/>
    <w:rsid w:val="0003236E"/>
    <w:rsid w:val="0003339A"/>
    <w:rsid w:val="000341F2"/>
    <w:rsid w:val="00035046"/>
    <w:rsid w:val="000351F2"/>
    <w:rsid w:val="00036E03"/>
    <w:rsid w:val="000402D3"/>
    <w:rsid w:val="000406DB"/>
    <w:rsid w:val="0004094D"/>
    <w:rsid w:val="00041029"/>
    <w:rsid w:val="00041357"/>
    <w:rsid w:val="0004149B"/>
    <w:rsid w:val="00041FC6"/>
    <w:rsid w:val="00042961"/>
    <w:rsid w:val="00042C25"/>
    <w:rsid w:val="00042D03"/>
    <w:rsid w:val="00043086"/>
    <w:rsid w:val="000430A0"/>
    <w:rsid w:val="0004379E"/>
    <w:rsid w:val="000437CE"/>
    <w:rsid w:val="00043D3B"/>
    <w:rsid w:val="0004418C"/>
    <w:rsid w:val="00044204"/>
    <w:rsid w:val="0004477A"/>
    <w:rsid w:val="000449D4"/>
    <w:rsid w:val="0004600D"/>
    <w:rsid w:val="000463B5"/>
    <w:rsid w:val="00046717"/>
    <w:rsid w:val="00046A63"/>
    <w:rsid w:val="00046C09"/>
    <w:rsid w:val="0004716A"/>
    <w:rsid w:val="00047385"/>
    <w:rsid w:val="000473E8"/>
    <w:rsid w:val="000504DE"/>
    <w:rsid w:val="00051074"/>
    <w:rsid w:val="000526F0"/>
    <w:rsid w:val="0005273D"/>
    <w:rsid w:val="00052B79"/>
    <w:rsid w:val="00052E4B"/>
    <w:rsid w:val="00052EA0"/>
    <w:rsid w:val="000536A7"/>
    <w:rsid w:val="000536E3"/>
    <w:rsid w:val="00053896"/>
    <w:rsid w:val="00053A00"/>
    <w:rsid w:val="0005474D"/>
    <w:rsid w:val="000552BD"/>
    <w:rsid w:val="0005564E"/>
    <w:rsid w:val="00055CB9"/>
    <w:rsid w:val="00056F66"/>
    <w:rsid w:val="0005702F"/>
    <w:rsid w:val="000601EA"/>
    <w:rsid w:val="00061010"/>
    <w:rsid w:val="00061D06"/>
    <w:rsid w:val="000625D1"/>
    <w:rsid w:val="00062CDD"/>
    <w:rsid w:val="00062DB3"/>
    <w:rsid w:val="00063472"/>
    <w:rsid w:val="000640AF"/>
    <w:rsid w:val="00064940"/>
    <w:rsid w:val="00064CAE"/>
    <w:rsid w:val="00064DB7"/>
    <w:rsid w:val="00064FA7"/>
    <w:rsid w:val="00065195"/>
    <w:rsid w:val="0006536C"/>
    <w:rsid w:val="0006626E"/>
    <w:rsid w:val="00070AF1"/>
    <w:rsid w:val="000714DE"/>
    <w:rsid w:val="0007254F"/>
    <w:rsid w:val="0007357C"/>
    <w:rsid w:val="00073990"/>
    <w:rsid w:val="00073C30"/>
    <w:rsid w:val="00074305"/>
    <w:rsid w:val="000744D0"/>
    <w:rsid w:val="00074B2A"/>
    <w:rsid w:val="00074EEE"/>
    <w:rsid w:val="000753D5"/>
    <w:rsid w:val="00075B3E"/>
    <w:rsid w:val="00076456"/>
    <w:rsid w:val="00076F36"/>
    <w:rsid w:val="0007779B"/>
    <w:rsid w:val="000777E7"/>
    <w:rsid w:val="0007790A"/>
    <w:rsid w:val="0008017B"/>
    <w:rsid w:val="00080ACD"/>
    <w:rsid w:val="000811ED"/>
    <w:rsid w:val="00081D62"/>
    <w:rsid w:val="00082B74"/>
    <w:rsid w:val="00083099"/>
    <w:rsid w:val="00083EDC"/>
    <w:rsid w:val="00084B97"/>
    <w:rsid w:val="00084E34"/>
    <w:rsid w:val="0008510E"/>
    <w:rsid w:val="000856DE"/>
    <w:rsid w:val="00085F17"/>
    <w:rsid w:val="00085FB0"/>
    <w:rsid w:val="00085FB3"/>
    <w:rsid w:val="0008686B"/>
    <w:rsid w:val="00086B2A"/>
    <w:rsid w:val="00086ED2"/>
    <w:rsid w:val="00087A64"/>
    <w:rsid w:val="000907CA"/>
    <w:rsid w:val="00090B8A"/>
    <w:rsid w:val="000914D6"/>
    <w:rsid w:val="00091569"/>
    <w:rsid w:val="00092B71"/>
    <w:rsid w:val="00092CDB"/>
    <w:rsid w:val="00092DCA"/>
    <w:rsid w:val="000942EB"/>
    <w:rsid w:val="00095B70"/>
    <w:rsid w:val="0009617E"/>
    <w:rsid w:val="0009628D"/>
    <w:rsid w:val="0009670F"/>
    <w:rsid w:val="000979CF"/>
    <w:rsid w:val="000A03C8"/>
    <w:rsid w:val="000A05F2"/>
    <w:rsid w:val="000A06C4"/>
    <w:rsid w:val="000A0861"/>
    <w:rsid w:val="000A0EC4"/>
    <w:rsid w:val="000A0ED1"/>
    <w:rsid w:val="000A12DB"/>
    <w:rsid w:val="000A17C8"/>
    <w:rsid w:val="000A1B74"/>
    <w:rsid w:val="000A20D7"/>
    <w:rsid w:val="000A2128"/>
    <w:rsid w:val="000A362F"/>
    <w:rsid w:val="000A38F9"/>
    <w:rsid w:val="000A3B49"/>
    <w:rsid w:val="000A46FE"/>
    <w:rsid w:val="000A47E6"/>
    <w:rsid w:val="000A52C0"/>
    <w:rsid w:val="000A5AAF"/>
    <w:rsid w:val="000A5F97"/>
    <w:rsid w:val="000A648E"/>
    <w:rsid w:val="000A7268"/>
    <w:rsid w:val="000A73BB"/>
    <w:rsid w:val="000A73E8"/>
    <w:rsid w:val="000A7EF4"/>
    <w:rsid w:val="000B0A15"/>
    <w:rsid w:val="000B103F"/>
    <w:rsid w:val="000B1437"/>
    <w:rsid w:val="000B1470"/>
    <w:rsid w:val="000B244D"/>
    <w:rsid w:val="000B2B86"/>
    <w:rsid w:val="000B3051"/>
    <w:rsid w:val="000B404C"/>
    <w:rsid w:val="000B419B"/>
    <w:rsid w:val="000B5781"/>
    <w:rsid w:val="000B5CB1"/>
    <w:rsid w:val="000B7377"/>
    <w:rsid w:val="000B75F4"/>
    <w:rsid w:val="000C0185"/>
    <w:rsid w:val="000C0D2D"/>
    <w:rsid w:val="000C0F81"/>
    <w:rsid w:val="000C128D"/>
    <w:rsid w:val="000C17A3"/>
    <w:rsid w:val="000C1D4B"/>
    <w:rsid w:val="000C2DC4"/>
    <w:rsid w:val="000C3260"/>
    <w:rsid w:val="000C3B77"/>
    <w:rsid w:val="000C3F6D"/>
    <w:rsid w:val="000C4F49"/>
    <w:rsid w:val="000C5861"/>
    <w:rsid w:val="000C5BDE"/>
    <w:rsid w:val="000C639D"/>
    <w:rsid w:val="000C6C31"/>
    <w:rsid w:val="000C6DBC"/>
    <w:rsid w:val="000C6F79"/>
    <w:rsid w:val="000C734E"/>
    <w:rsid w:val="000C7476"/>
    <w:rsid w:val="000C7480"/>
    <w:rsid w:val="000C7711"/>
    <w:rsid w:val="000C7AA2"/>
    <w:rsid w:val="000D00A5"/>
    <w:rsid w:val="000D0462"/>
    <w:rsid w:val="000D053D"/>
    <w:rsid w:val="000D06EB"/>
    <w:rsid w:val="000D0ED2"/>
    <w:rsid w:val="000D17E1"/>
    <w:rsid w:val="000D1CEB"/>
    <w:rsid w:val="000D2563"/>
    <w:rsid w:val="000D25BF"/>
    <w:rsid w:val="000D2FE4"/>
    <w:rsid w:val="000D3FDC"/>
    <w:rsid w:val="000D490B"/>
    <w:rsid w:val="000D4E38"/>
    <w:rsid w:val="000D50DB"/>
    <w:rsid w:val="000D6288"/>
    <w:rsid w:val="000D728B"/>
    <w:rsid w:val="000D7541"/>
    <w:rsid w:val="000D75E1"/>
    <w:rsid w:val="000E2197"/>
    <w:rsid w:val="000E22CF"/>
    <w:rsid w:val="000E2977"/>
    <w:rsid w:val="000E2CC0"/>
    <w:rsid w:val="000E30AC"/>
    <w:rsid w:val="000E3B46"/>
    <w:rsid w:val="000E3E11"/>
    <w:rsid w:val="000E4596"/>
    <w:rsid w:val="000E4B94"/>
    <w:rsid w:val="000E4D50"/>
    <w:rsid w:val="000E5041"/>
    <w:rsid w:val="000E5516"/>
    <w:rsid w:val="000E5768"/>
    <w:rsid w:val="000E5843"/>
    <w:rsid w:val="000E6139"/>
    <w:rsid w:val="000E63B7"/>
    <w:rsid w:val="000E653C"/>
    <w:rsid w:val="000E6655"/>
    <w:rsid w:val="000E6BE1"/>
    <w:rsid w:val="000E7E0B"/>
    <w:rsid w:val="000F0136"/>
    <w:rsid w:val="000F078A"/>
    <w:rsid w:val="000F122D"/>
    <w:rsid w:val="000F1450"/>
    <w:rsid w:val="000F14E8"/>
    <w:rsid w:val="000F1BBD"/>
    <w:rsid w:val="000F290F"/>
    <w:rsid w:val="000F4403"/>
    <w:rsid w:val="000F480B"/>
    <w:rsid w:val="000F4E17"/>
    <w:rsid w:val="000F5615"/>
    <w:rsid w:val="000F6578"/>
    <w:rsid w:val="000F6F92"/>
    <w:rsid w:val="000F7E8F"/>
    <w:rsid w:val="000F7FBB"/>
    <w:rsid w:val="001000FB"/>
    <w:rsid w:val="00100A9E"/>
    <w:rsid w:val="00100F6A"/>
    <w:rsid w:val="001012D5"/>
    <w:rsid w:val="00102605"/>
    <w:rsid w:val="00102686"/>
    <w:rsid w:val="00102745"/>
    <w:rsid w:val="00103345"/>
    <w:rsid w:val="00103795"/>
    <w:rsid w:val="00103915"/>
    <w:rsid w:val="001039AA"/>
    <w:rsid w:val="00103EA0"/>
    <w:rsid w:val="00104149"/>
    <w:rsid w:val="00104F1C"/>
    <w:rsid w:val="001051E5"/>
    <w:rsid w:val="00105A74"/>
    <w:rsid w:val="00105ACB"/>
    <w:rsid w:val="00105AEF"/>
    <w:rsid w:val="00105E5E"/>
    <w:rsid w:val="00106259"/>
    <w:rsid w:val="001068EB"/>
    <w:rsid w:val="00106CD1"/>
    <w:rsid w:val="00106F65"/>
    <w:rsid w:val="001078CE"/>
    <w:rsid w:val="00110F61"/>
    <w:rsid w:val="001111BD"/>
    <w:rsid w:val="0011165A"/>
    <w:rsid w:val="00111B16"/>
    <w:rsid w:val="00111B2B"/>
    <w:rsid w:val="00112774"/>
    <w:rsid w:val="001128FC"/>
    <w:rsid w:val="00112B2E"/>
    <w:rsid w:val="00113003"/>
    <w:rsid w:val="00113062"/>
    <w:rsid w:val="001131FF"/>
    <w:rsid w:val="00113705"/>
    <w:rsid w:val="00113975"/>
    <w:rsid w:val="00113CFC"/>
    <w:rsid w:val="00113F6C"/>
    <w:rsid w:val="00113FEA"/>
    <w:rsid w:val="00114A22"/>
    <w:rsid w:val="00114E9D"/>
    <w:rsid w:val="0011507B"/>
    <w:rsid w:val="00116328"/>
    <w:rsid w:val="001163CF"/>
    <w:rsid w:val="001166C5"/>
    <w:rsid w:val="001174C9"/>
    <w:rsid w:val="00117CF9"/>
    <w:rsid w:val="00117E69"/>
    <w:rsid w:val="00120CCE"/>
    <w:rsid w:val="00121103"/>
    <w:rsid w:val="00121BAB"/>
    <w:rsid w:val="00121E3C"/>
    <w:rsid w:val="00122B23"/>
    <w:rsid w:val="00122B7E"/>
    <w:rsid w:val="00122EBE"/>
    <w:rsid w:val="00123E27"/>
    <w:rsid w:val="00123FB5"/>
    <w:rsid w:val="0012400F"/>
    <w:rsid w:val="001249DC"/>
    <w:rsid w:val="0012572D"/>
    <w:rsid w:val="00125BED"/>
    <w:rsid w:val="00125C59"/>
    <w:rsid w:val="00125D4F"/>
    <w:rsid w:val="00127004"/>
    <w:rsid w:val="00127AF2"/>
    <w:rsid w:val="00127EDC"/>
    <w:rsid w:val="00127F42"/>
    <w:rsid w:val="00127F6D"/>
    <w:rsid w:val="00130355"/>
    <w:rsid w:val="00130365"/>
    <w:rsid w:val="001304E5"/>
    <w:rsid w:val="00131B5A"/>
    <w:rsid w:val="00132C30"/>
    <w:rsid w:val="00132EFD"/>
    <w:rsid w:val="00133AED"/>
    <w:rsid w:val="00134BCD"/>
    <w:rsid w:val="00134E09"/>
    <w:rsid w:val="001350AB"/>
    <w:rsid w:val="00135DB9"/>
    <w:rsid w:val="00135E5D"/>
    <w:rsid w:val="0013695C"/>
    <w:rsid w:val="00136BF7"/>
    <w:rsid w:val="00136C78"/>
    <w:rsid w:val="001378B9"/>
    <w:rsid w:val="00137FFA"/>
    <w:rsid w:val="00140109"/>
    <w:rsid w:val="0014029B"/>
    <w:rsid w:val="00140464"/>
    <w:rsid w:val="00140A4F"/>
    <w:rsid w:val="001413AB"/>
    <w:rsid w:val="00141AE6"/>
    <w:rsid w:val="00141DBF"/>
    <w:rsid w:val="00142EFD"/>
    <w:rsid w:val="00143330"/>
    <w:rsid w:val="00144335"/>
    <w:rsid w:val="0014502F"/>
    <w:rsid w:val="00145282"/>
    <w:rsid w:val="001453B0"/>
    <w:rsid w:val="001454D9"/>
    <w:rsid w:val="001459EE"/>
    <w:rsid w:val="00145D8E"/>
    <w:rsid w:val="00146083"/>
    <w:rsid w:val="001462F7"/>
    <w:rsid w:val="001471AB"/>
    <w:rsid w:val="00147F35"/>
    <w:rsid w:val="00150005"/>
    <w:rsid w:val="00151AEB"/>
    <w:rsid w:val="00151B99"/>
    <w:rsid w:val="00151DF3"/>
    <w:rsid w:val="00151E79"/>
    <w:rsid w:val="001521B2"/>
    <w:rsid w:val="00152EDD"/>
    <w:rsid w:val="00153491"/>
    <w:rsid w:val="0015361C"/>
    <w:rsid w:val="0015372F"/>
    <w:rsid w:val="00153BFB"/>
    <w:rsid w:val="0015407E"/>
    <w:rsid w:val="0015448E"/>
    <w:rsid w:val="00154A6F"/>
    <w:rsid w:val="00155D08"/>
    <w:rsid w:val="00156135"/>
    <w:rsid w:val="001561F3"/>
    <w:rsid w:val="0015623B"/>
    <w:rsid w:val="00156BE5"/>
    <w:rsid w:val="00157232"/>
    <w:rsid w:val="00160401"/>
    <w:rsid w:val="00160D4E"/>
    <w:rsid w:val="00161DDA"/>
    <w:rsid w:val="00161E62"/>
    <w:rsid w:val="00161F1C"/>
    <w:rsid w:val="0016200B"/>
    <w:rsid w:val="0016204B"/>
    <w:rsid w:val="00163D7A"/>
    <w:rsid w:val="00164281"/>
    <w:rsid w:val="00165703"/>
    <w:rsid w:val="00166204"/>
    <w:rsid w:val="0016685F"/>
    <w:rsid w:val="0016712F"/>
    <w:rsid w:val="00167503"/>
    <w:rsid w:val="001676A9"/>
    <w:rsid w:val="00167A15"/>
    <w:rsid w:val="00167A50"/>
    <w:rsid w:val="00167D1A"/>
    <w:rsid w:val="00167DF5"/>
    <w:rsid w:val="00170001"/>
    <w:rsid w:val="00172198"/>
    <w:rsid w:val="00172612"/>
    <w:rsid w:val="00172817"/>
    <w:rsid w:val="001734E3"/>
    <w:rsid w:val="001736A7"/>
    <w:rsid w:val="001742BF"/>
    <w:rsid w:val="001742E1"/>
    <w:rsid w:val="00175E49"/>
    <w:rsid w:val="0017649F"/>
    <w:rsid w:val="0017655B"/>
    <w:rsid w:val="001805C1"/>
    <w:rsid w:val="00180826"/>
    <w:rsid w:val="001809CE"/>
    <w:rsid w:val="00180A2E"/>
    <w:rsid w:val="001813AF"/>
    <w:rsid w:val="001829CD"/>
    <w:rsid w:val="00182A1D"/>
    <w:rsid w:val="00182F01"/>
    <w:rsid w:val="00183874"/>
    <w:rsid w:val="00184219"/>
    <w:rsid w:val="00184F27"/>
    <w:rsid w:val="0018519B"/>
    <w:rsid w:val="00185966"/>
    <w:rsid w:val="00185A2D"/>
    <w:rsid w:val="00185AFE"/>
    <w:rsid w:val="00185E78"/>
    <w:rsid w:val="00186A4F"/>
    <w:rsid w:val="00187177"/>
    <w:rsid w:val="00187ABD"/>
    <w:rsid w:val="00190396"/>
    <w:rsid w:val="001904E3"/>
    <w:rsid w:val="0019087A"/>
    <w:rsid w:val="00190CCC"/>
    <w:rsid w:val="00190E13"/>
    <w:rsid w:val="00191C5A"/>
    <w:rsid w:val="00191CEB"/>
    <w:rsid w:val="00191E63"/>
    <w:rsid w:val="00192019"/>
    <w:rsid w:val="00192D68"/>
    <w:rsid w:val="0019388B"/>
    <w:rsid w:val="00193ADE"/>
    <w:rsid w:val="00193B9A"/>
    <w:rsid w:val="001940ED"/>
    <w:rsid w:val="001946AE"/>
    <w:rsid w:val="001946D5"/>
    <w:rsid w:val="00194E8C"/>
    <w:rsid w:val="001962EC"/>
    <w:rsid w:val="001963DD"/>
    <w:rsid w:val="001965DB"/>
    <w:rsid w:val="00196D01"/>
    <w:rsid w:val="00196DC9"/>
    <w:rsid w:val="00196E95"/>
    <w:rsid w:val="00197758"/>
    <w:rsid w:val="00197891"/>
    <w:rsid w:val="001A0236"/>
    <w:rsid w:val="001A0915"/>
    <w:rsid w:val="001A0AF8"/>
    <w:rsid w:val="001A1490"/>
    <w:rsid w:val="001A18D5"/>
    <w:rsid w:val="001A1A38"/>
    <w:rsid w:val="001A1BE0"/>
    <w:rsid w:val="001A1D4A"/>
    <w:rsid w:val="001A3011"/>
    <w:rsid w:val="001A4A9B"/>
    <w:rsid w:val="001A4DAF"/>
    <w:rsid w:val="001A5113"/>
    <w:rsid w:val="001A54CD"/>
    <w:rsid w:val="001A5D74"/>
    <w:rsid w:val="001A66DF"/>
    <w:rsid w:val="001A67D0"/>
    <w:rsid w:val="001A6863"/>
    <w:rsid w:val="001A7591"/>
    <w:rsid w:val="001A75B1"/>
    <w:rsid w:val="001A7B06"/>
    <w:rsid w:val="001B0366"/>
    <w:rsid w:val="001B0444"/>
    <w:rsid w:val="001B096B"/>
    <w:rsid w:val="001B0F9F"/>
    <w:rsid w:val="001B123C"/>
    <w:rsid w:val="001B1A0D"/>
    <w:rsid w:val="001B1BF1"/>
    <w:rsid w:val="001B1E12"/>
    <w:rsid w:val="001B2083"/>
    <w:rsid w:val="001B2456"/>
    <w:rsid w:val="001B2C14"/>
    <w:rsid w:val="001B3CC4"/>
    <w:rsid w:val="001B449C"/>
    <w:rsid w:val="001B4AA2"/>
    <w:rsid w:val="001B4ADE"/>
    <w:rsid w:val="001B5530"/>
    <w:rsid w:val="001B5EF8"/>
    <w:rsid w:val="001B6C54"/>
    <w:rsid w:val="001B71E8"/>
    <w:rsid w:val="001B787E"/>
    <w:rsid w:val="001C07C6"/>
    <w:rsid w:val="001C120D"/>
    <w:rsid w:val="001C19CD"/>
    <w:rsid w:val="001C22D5"/>
    <w:rsid w:val="001C2515"/>
    <w:rsid w:val="001C26FB"/>
    <w:rsid w:val="001C33C1"/>
    <w:rsid w:val="001C3E30"/>
    <w:rsid w:val="001C3E5C"/>
    <w:rsid w:val="001C5072"/>
    <w:rsid w:val="001C5B2A"/>
    <w:rsid w:val="001C600B"/>
    <w:rsid w:val="001C64F9"/>
    <w:rsid w:val="001C6898"/>
    <w:rsid w:val="001C6DD8"/>
    <w:rsid w:val="001C76FA"/>
    <w:rsid w:val="001C79A4"/>
    <w:rsid w:val="001C7C7B"/>
    <w:rsid w:val="001D03BB"/>
    <w:rsid w:val="001D068D"/>
    <w:rsid w:val="001D1194"/>
    <w:rsid w:val="001D12D1"/>
    <w:rsid w:val="001D15DF"/>
    <w:rsid w:val="001D2EEE"/>
    <w:rsid w:val="001D30F3"/>
    <w:rsid w:val="001D31A0"/>
    <w:rsid w:val="001D338E"/>
    <w:rsid w:val="001D51DD"/>
    <w:rsid w:val="001D56E9"/>
    <w:rsid w:val="001D639C"/>
    <w:rsid w:val="001D7616"/>
    <w:rsid w:val="001D796A"/>
    <w:rsid w:val="001D7A84"/>
    <w:rsid w:val="001D7BF1"/>
    <w:rsid w:val="001D7C79"/>
    <w:rsid w:val="001E003B"/>
    <w:rsid w:val="001E192A"/>
    <w:rsid w:val="001E1A88"/>
    <w:rsid w:val="001E1CC4"/>
    <w:rsid w:val="001E1D38"/>
    <w:rsid w:val="001E28A0"/>
    <w:rsid w:val="001E2A95"/>
    <w:rsid w:val="001E3FFE"/>
    <w:rsid w:val="001E4258"/>
    <w:rsid w:val="001E5140"/>
    <w:rsid w:val="001E51C2"/>
    <w:rsid w:val="001E5D6A"/>
    <w:rsid w:val="001E6A94"/>
    <w:rsid w:val="001E70FB"/>
    <w:rsid w:val="001E780A"/>
    <w:rsid w:val="001F0D15"/>
    <w:rsid w:val="001F0FA0"/>
    <w:rsid w:val="001F1194"/>
    <w:rsid w:val="001F1349"/>
    <w:rsid w:val="001F1863"/>
    <w:rsid w:val="001F2356"/>
    <w:rsid w:val="001F2A68"/>
    <w:rsid w:val="001F3A05"/>
    <w:rsid w:val="001F4773"/>
    <w:rsid w:val="001F5008"/>
    <w:rsid w:val="001F5473"/>
    <w:rsid w:val="001F56AA"/>
    <w:rsid w:val="001F58AA"/>
    <w:rsid w:val="001F5A4E"/>
    <w:rsid w:val="001F5EF6"/>
    <w:rsid w:val="001F657F"/>
    <w:rsid w:val="001F6FB6"/>
    <w:rsid w:val="001F72BB"/>
    <w:rsid w:val="001F7978"/>
    <w:rsid w:val="001F7A0E"/>
    <w:rsid w:val="001F7A4B"/>
    <w:rsid w:val="0020022E"/>
    <w:rsid w:val="0020054E"/>
    <w:rsid w:val="00201508"/>
    <w:rsid w:val="00201AC4"/>
    <w:rsid w:val="00201F1E"/>
    <w:rsid w:val="00202761"/>
    <w:rsid w:val="0020299B"/>
    <w:rsid w:val="00202E44"/>
    <w:rsid w:val="002037AA"/>
    <w:rsid w:val="00203FE3"/>
    <w:rsid w:val="002042D8"/>
    <w:rsid w:val="00204379"/>
    <w:rsid w:val="00204515"/>
    <w:rsid w:val="00204BF5"/>
    <w:rsid w:val="00204E6B"/>
    <w:rsid w:val="002053EF"/>
    <w:rsid w:val="002058D4"/>
    <w:rsid w:val="00206172"/>
    <w:rsid w:val="0020632A"/>
    <w:rsid w:val="0020697F"/>
    <w:rsid w:val="0020726E"/>
    <w:rsid w:val="002110EB"/>
    <w:rsid w:val="00211338"/>
    <w:rsid w:val="00211388"/>
    <w:rsid w:val="0021148C"/>
    <w:rsid w:val="00211694"/>
    <w:rsid w:val="0021201A"/>
    <w:rsid w:val="00212545"/>
    <w:rsid w:val="002138FE"/>
    <w:rsid w:val="00213A1F"/>
    <w:rsid w:val="00213C63"/>
    <w:rsid w:val="00214502"/>
    <w:rsid w:val="002145E7"/>
    <w:rsid w:val="00214741"/>
    <w:rsid w:val="00214938"/>
    <w:rsid w:val="0021539A"/>
    <w:rsid w:val="00215852"/>
    <w:rsid w:val="00215B01"/>
    <w:rsid w:val="00215B8E"/>
    <w:rsid w:val="00216264"/>
    <w:rsid w:val="002169A0"/>
    <w:rsid w:val="002176B6"/>
    <w:rsid w:val="0021792D"/>
    <w:rsid w:val="00217DB8"/>
    <w:rsid w:val="002202CE"/>
    <w:rsid w:val="0022032A"/>
    <w:rsid w:val="0022194E"/>
    <w:rsid w:val="00221CEF"/>
    <w:rsid w:val="002220B1"/>
    <w:rsid w:val="002221CE"/>
    <w:rsid w:val="00222BE8"/>
    <w:rsid w:val="00222DC1"/>
    <w:rsid w:val="00222DFB"/>
    <w:rsid w:val="00223102"/>
    <w:rsid w:val="002232CB"/>
    <w:rsid w:val="00224022"/>
    <w:rsid w:val="00226055"/>
    <w:rsid w:val="0022609C"/>
    <w:rsid w:val="0022613F"/>
    <w:rsid w:val="0022614F"/>
    <w:rsid w:val="00226236"/>
    <w:rsid w:val="002270C9"/>
    <w:rsid w:val="00227A8B"/>
    <w:rsid w:val="0023074D"/>
    <w:rsid w:val="0023146B"/>
    <w:rsid w:val="002315A0"/>
    <w:rsid w:val="00231748"/>
    <w:rsid w:val="00231EC7"/>
    <w:rsid w:val="00232E15"/>
    <w:rsid w:val="00233079"/>
    <w:rsid w:val="00233718"/>
    <w:rsid w:val="0023382C"/>
    <w:rsid w:val="00233977"/>
    <w:rsid w:val="00233C58"/>
    <w:rsid w:val="00233C71"/>
    <w:rsid w:val="002345B6"/>
    <w:rsid w:val="002347A6"/>
    <w:rsid w:val="00234B84"/>
    <w:rsid w:val="002355B1"/>
    <w:rsid w:val="00236016"/>
    <w:rsid w:val="00236350"/>
    <w:rsid w:val="002367FF"/>
    <w:rsid w:val="00236963"/>
    <w:rsid w:val="00237065"/>
    <w:rsid w:val="00237589"/>
    <w:rsid w:val="0023758D"/>
    <w:rsid w:val="002375A7"/>
    <w:rsid w:val="00237EFF"/>
    <w:rsid w:val="00240171"/>
    <w:rsid w:val="0024019A"/>
    <w:rsid w:val="00240EC1"/>
    <w:rsid w:val="0024120F"/>
    <w:rsid w:val="002412BC"/>
    <w:rsid w:val="0024131D"/>
    <w:rsid w:val="002415B8"/>
    <w:rsid w:val="00242D5F"/>
    <w:rsid w:val="00242D62"/>
    <w:rsid w:val="002430D0"/>
    <w:rsid w:val="002431D7"/>
    <w:rsid w:val="00244058"/>
    <w:rsid w:val="00244861"/>
    <w:rsid w:val="002453E7"/>
    <w:rsid w:val="00245718"/>
    <w:rsid w:val="00245E07"/>
    <w:rsid w:val="002467F2"/>
    <w:rsid w:val="00246CEC"/>
    <w:rsid w:val="00247712"/>
    <w:rsid w:val="00250A9E"/>
    <w:rsid w:val="00250EC6"/>
    <w:rsid w:val="002515C7"/>
    <w:rsid w:val="00251866"/>
    <w:rsid w:val="00251A9F"/>
    <w:rsid w:val="00252492"/>
    <w:rsid w:val="00252B35"/>
    <w:rsid w:val="00253070"/>
    <w:rsid w:val="0025316D"/>
    <w:rsid w:val="00253A02"/>
    <w:rsid w:val="00253B81"/>
    <w:rsid w:val="00254AE9"/>
    <w:rsid w:val="002554DE"/>
    <w:rsid w:val="00255575"/>
    <w:rsid w:val="00255E11"/>
    <w:rsid w:val="00256835"/>
    <w:rsid w:val="002569F0"/>
    <w:rsid w:val="00256C01"/>
    <w:rsid w:val="00256E1A"/>
    <w:rsid w:val="00256ECF"/>
    <w:rsid w:val="00257730"/>
    <w:rsid w:val="00257999"/>
    <w:rsid w:val="002604AA"/>
    <w:rsid w:val="0026129B"/>
    <w:rsid w:val="00261560"/>
    <w:rsid w:val="00261715"/>
    <w:rsid w:val="00261CF9"/>
    <w:rsid w:val="00261EC0"/>
    <w:rsid w:val="0026231B"/>
    <w:rsid w:val="00263101"/>
    <w:rsid w:val="002631D1"/>
    <w:rsid w:val="00263201"/>
    <w:rsid w:val="00263A37"/>
    <w:rsid w:val="00264266"/>
    <w:rsid w:val="002642E0"/>
    <w:rsid w:val="0026471F"/>
    <w:rsid w:val="0026480D"/>
    <w:rsid w:val="002653A6"/>
    <w:rsid w:val="00265BEF"/>
    <w:rsid w:val="00265C13"/>
    <w:rsid w:val="00265F47"/>
    <w:rsid w:val="002661F1"/>
    <w:rsid w:val="00266DB6"/>
    <w:rsid w:val="00271168"/>
    <w:rsid w:val="002711A4"/>
    <w:rsid w:val="00271230"/>
    <w:rsid w:val="00271F13"/>
    <w:rsid w:val="00272945"/>
    <w:rsid w:val="0027482E"/>
    <w:rsid w:val="00274DB5"/>
    <w:rsid w:val="00275BB1"/>
    <w:rsid w:val="0027770B"/>
    <w:rsid w:val="00277933"/>
    <w:rsid w:val="00277F8D"/>
    <w:rsid w:val="00277FA7"/>
    <w:rsid w:val="00280046"/>
    <w:rsid w:val="00280B4F"/>
    <w:rsid w:val="00280F3D"/>
    <w:rsid w:val="0028106A"/>
    <w:rsid w:val="00281552"/>
    <w:rsid w:val="002816AF"/>
    <w:rsid w:val="00281EB4"/>
    <w:rsid w:val="00282E03"/>
    <w:rsid w:val="0028308E"/>
    <w:rsid w:val="002834E9"/>
    <w:rsid w:val="00283A52"/>
    <w:rsid w:val="00283C5E"/>
    <w:rsid w:val="00283E26"/>
    <w:rsid w:val="0028428F"/>
    <w:rsid w:val="00284CFC"/>
    <w:rsid w:val="00285832"/>
    <w:rsid w:val="00285969"/>
    <w:rsid w:val="00285E14"/>
    <w:rsid w:val="0028663B"/>
    <w:rsid w:val="00286CEC"/>
    <w:rsid w:val="002870F9"/>
    <w:rsid w:val="002871A9"/>
    <w:rsid w:val="00287505"/>
    <w:rsid w:val="00287BDB"/>
    <w:rsid w:val="00290781"/>
    <w:rsid w:val="00291784"/>
    <w:rsid w:val="002920DF"/>
    <w:rsid w:val="002925F5"/>
    <w:rsid w:val="002928A3"/>
    <w:rsid w:val="002929BB"/>
    <w:rsid w:val="00293DA0"/>
    <w:rsid w:val="00294368"/>
    <w:rsid w:val="00294B78"/>
    <w:rsid w:val="0029501B"/>
    <w:rsid w:val="00295416"/>
    <w:rsid w:val="00295949"/>
    <w:rsid w:val="00295D7C"/>
    <w:rsid w:val="0029624A"/>
    <w:rsid w:val="00296922"/>
    <w:rsid w:val="00296DF4"/>
    <w:rsid w:val="00297098"/>
    <w:rsid w:val="002A05D4"/>
    <w:rsid w:val="002A06DB"/>
    <w:rsid w:val="002A09FF"/>
    <w:rsid w:val="002A0E60"/>
    <w:rsid w:val="002A1A58"/>
    <w:rsid w:val="002A1B02"/>
    <w:rsid w:val="002A1C53"/>
    <w:rsid w:val="002A244B"/>
    <w:rsid w:val="002A28FC"/>
    <w:rsid w:val="002A2B44"/>
    <w:rsid w:val="002A2EA5"/>
    <w:rsid w:val="002A3D94"/>
    <w:rsid w:val="002A4736"/>
    <w:rsid w:val="002A4B1C"/>
    <w:rsid w:val="002A55FE"/>
    <w:rsid w:val="002A6AFB"/>
    <w:rsid w:val="002A733D"/>
    <w:rsid w:val="002A774A"/>
    <w:rsid w:val="002A78F3"/>
    <w:rsid w:val="002A7D84"/>
    <w:rsid w:val="002A7E5C"/>
    <w:rsid w:val="002A7F6D"/>
    <w:rsid w:val="002B0D83"/>
    <w:rsid w:val="002B1342"/>
    <w:rsid w:val="002B1F83"/>
    <w:rsid w:val="002B27C8"/>
    <w:rsid w:val="002B2A7F"/>
    <w:rsid w:val="002B330B"/>
    <w:rsid w:val="002B39BE"/>
    <w:rsid w:val="002B438C"/>
    <w:rsid w:val="002B48DB"/>
    <w:rsid w:val="002B4B34"/>
    <w:rsid w:val="002B541A"/>
    <w:rsid w:val="002B5DC8"/>
    <w:rsid w:val="002B5EAB"/>
    <w:rsid w:val="002B5F2E"/>
    <w:rsid w:val="002B6407"/>
    <w:rsid w:val="002B6416"/>
    <w:rsid w:val="002B6459"/>
    <w:rsid w:val="002B6F22"/>
    <w:rsid w:val="002B7014"/>
    <w:rsid w:val="002B73B0"/>
    <w:rsid w:val="002B73C7"/>
    <w:rsid w:val="002B7C6A"/>
    <w:rsid w:val="002C139C"/>
    <w:rsid w:val="002C24B4"/>
    <w:rsid w:val="002C29EA"/>
    <w:rsid w:val="002C2B3A"/>
    <w:rsid w:val="002C2B87"/>
    <w:rsid w:val="002C3CF4"/>
    <w:rsid w:val="002C441A"/>
    <w:rsid w:val="002C4A73"/>
    <w:rsid w:val="002C4B84"/>
    <w:rsid w:val="002C4C0C"/>
    <w:rsid w:val="002C5016"/>
    <w:rsid w:val="002C5C2F"/>
    <w:rsid w:val="002C5D0F"/>
    <w:rsid w:val="002C60B9"/>
    <w:rsid w:val="002C6F77"/>
    <w:rsid w:val="002C704D"/>
    <w:rsid w:val="002D0845"/>
    <w:rsid w:val="002D0933"/>
    <w:rsid w:val="002D1555"/>
    <w:rsid w:val="002D19BB"/>
    <w:rsid w:val="002D1A9B"/>
    <w:rsid w:val="002D1D79"/>
    <w:rsid w:val="002D20F8"/>
    <w:rsid w:val="002D22BD"/>
    <w:rsid w:val="002D22C5"/>
    <w:rsid w:val="002D302A"/>
    <w:rsid w:val="002D36C6"/>
    <w:rsid w:val="002D37C1"/>
    <w:rsid w:val="002D444B"/>
    <w:rsid w:val="002D46B4"/>
    <w:rsid w:val="002D49C2"/>
    <w:rsid w:val="002D4A45"/>
    <w:rsid w:val="002D4B42"/>
    <w:rsid w:val="002D4B43"/>
    <w:rsid w:val="002D5A1B"/>
    <w:rsid w:val="002D6558"/>
    <w:rsid w:val="002D65BC"/>
    <w:rsid w:val="002D6A88"/>
    <w:rsid w:val="002D6C30"/>
    <w:rsid w:val="002D7FEE"/>
    <w:rsid w:val="002E055C"/>
    <w:rsid w:val="002E1050"/>
    <w:rsid w:val="002E107E"/>
    <w:rsid w:val="002E18E5"/>
    <w:rsid w:val="002E1953"/>
    <w:rsid w:val="002E2C3F"/>
    <w:rsid w:val="002E2CB5"/>
    <w:rsid w:val="002E2CDE"/>
    <w:rsid w:val="002E2D7D"/>
    <w:rsid w:val="002E32D0"/>
    <w:rsid w:val="002E3580"/>
    <w:rsid w:val="002E3913"/>
    <w:rsid w:val="002E3D76"/>
    <w:rsid w:val="002E40A1"/>
    <w:rsid w:val="002E48EC"/>
    <w:rsid w:val="002E4B44"/>
    <w:rsid w:val="002E4ECB"/>
    <w:rsid w:val="002E4F23"/>
    <w:rsid w:val="002E5740"/>
    <w:rsid w:val="002E635A"/>
    <w:rsid w:val="002E6D68"/>
    <w:rsid w:val="002E6E2B"/>
    <w:rsid w:val="002E7847"/>
    <w:rsid w:val="002E79FB"/>
    <w:rsid w:val="002F0073"/>
    <w:rsid w:val="002F0D84"/>
    <w:rsid w:val="002F1C67"/>
    <w:rsid w:val="002F1CA3"/>
    <w:rsid w:val="002F240B"/>
    <w:rsid w:val="002F2F50"/>
    <w:rsid w:val="002F33EC"/>
    <w:rsid w:val="002F34E3"/>
    <w:rsid w:val="002F3601"/>
    <w:rsid w:val="002F40E2"/>
    <w:rsid w:val="002F45F6"/>
    <w:rsid w:val="002F5A6F"/>
    <w:rsid w:val="002F692F"/>
    <w:rsid w:val="002F7031"/>
    <w:rsid w:val="002F7961"/>
    <w:rsid w:val="002F7B66"/>
    <w:rsid w:val="003007B6"/>
    <w:rsid w:val="00300A52"/>
    <w:rsid w:val="00300CB4"/>
    <w:rsid w:val="00300E24"/>
    <w:rsid w:val="0030248C"/>
    <w:rsid w:val="0030257B"/>
    <w:rsid w:val="00303105"/>
    <w:rsid w:val="003033BA"/>
    <w:rsid w:val="00303C19"/>
    <w:rsid w:val="00303DFA"/>
    <w:rsid w:val="0030415A"/>
    <w:rsid w:val="003043A3"/>
    <w:rsid w:val="0030462D"/>
    <w:rsid w:val="003047E3"/>
    <w:rsid w:val="00304BD4"/>
    <w:rsid w:val="0030500A"/>
    <w:rsid w:val="003052EB"/>
    <w:rsid w:val="00305AF1"/>
    <w:rsid w:val="00305FCB"/>
    <w:rsid w:val="003063C3"/>
    <w:rsid w:val="003069DC"/>
    <w:rsid w:val="00306B44"/>
    <w:rsid w:val="00307C44"/>
    <w:rsid w:val="0031088E"/>
    <w:rsid w:val="00310D01"/>
    <w:rsid w:val="00311376"/>
    <w:rsid w:val="00311A1F"/>
    <w:rsid w:val="00311B47"/>
    <w:rsid w:val="00311D52"/>
    <w:rsid w:val="00312190"/>
    <w:rsid w:val="003125E0"/>
    <w:rsid w:val="0031271D"/>
    <w:rsid w:val="00312B50"/>
    <w:rsid w:val="003132BB"/>
    <w:rsid w:val="00313337"/>
    <w:rsid w:val="00313447"/>
    <w:rsid w:val="00313748"/>
    <w:rsid w:val="00313EA3"/>
    <w:rsid w:val="003151FE"/>
    <w:rsid w:val="00315365"/>
    <w:rsid w:val="00315457"/>
    <w:rsid w:val="003161A4"/>
    <w:rsid w:val="00316955"/>
    <w:rsid w:val="0031713F"/>
    <w:rsid w:val="0031720A"/>
    <w:rsid w:val="0031749B"/>
    <w:rsid w:val="003174E5"/>
    <w:rsid w:val="00317C9D"/>
    <w:rsid w:val="00317CD2"/>
    <w:rsid w:val="00317D99"/>
    <w:rsid w:val="0032078D"/>
    <w:rsid w:val="00320ADF"/>
    <w:rsid w:val="0032137B"/>
    <w:rsid w:val="00321A70"/>
    <w:rsid w:val="00321BD6"/>
    <w:rsid w:val="00321FA3"/>
    <w:rsid w:val="003227D3"/>
    <w:rsid w:val="00322937"/>
    <w:rsid w:val="00323881"/>
    <w:rsid w:val="00324885"/>
    <w:rsid w:val="00324EAD"/>
    <w:rsid w:val="003251A8"/>
    <w:rsid w:val="003254B1"/>
    <w:rsid w:val="00325AD9"/>
    <w:rsid w:val="00325D98"/>
    <w:rsid w:val="0032682A"/>
    <w:rsid w:val="00327A5C"/>
    <w:rsid w:val="0033092C"/>
    <w:rsid w:val="00330EEF"/>
    <w:rsid w:val="0033122A"/>
    <w:rsid w:val="003315AC"/>
    <w:rsid w:val="00331932"/>
    <w:rsid w:val="00331F74"/>
    <w:rsid w:val="00332382"/>
    <w:rsid w:val="00332453"/>
    <w:rsid w:val="0033251B"/>
    <w:rsid w:val="00333A88"/>
    <w:rsid w:val="00335B15"/>
    <w:rsid w:val="00335B21"/>
    <w:rsid w:val="00335D3F"/>
    <w:rsid w:val="00336104"/>
    <w:rsid w:val="003364E6"/>
    <w:rsid w:val="00336729"/>
    <w:rsid w:val="00336CD9"/>
    <w:rsid w:val="0033726D"/>
    <w:rsid w:val="00337CA8"/>
    <w:rsid w:val="00340D3F"/>
    <w:rsid w:val="0034174B"/>
    <w:rsid w:val="0034177C"/>
    <w:rsid w:val="003420E9"/>
    <w:rsid w:val="00342345"/>
    <w:rsid w:val="00342C27"/>
    <w:rsid w:val="003430C8"/>
    <w:rsid w:val="003432C8"/>
    <w:rsid w:val="003434B3"/>
    <w:rsid w:val="00343536"/>
    <w:rsid w:val="00343EFB"/>
    <w:rsid w:val="00344760"/>
    <w:rsid w:val="003454E8"/>
    <w:rsid w:val="00345574"/>
    <w:rsid w:val="003461AC"/>
    <w:rsid w:val="0034680A"/>
    <w:rsid w:val="00346C62"/>
    <w:rsid w:val="00347202"/>
    <w:rsid w:val="0034778E"/>
    <w:rsid w:val="00347A5A"/>
    <w:rsid w:val="003501E2"/>
    <w:rsid w:val="00351591"/>
    <w:rsid w:val="00351E10"/>
    <w:rsid w:val="00352583"/>
    <w:rsid w:val="003533F4"/>
    <w:rsid w:val="003536F6"/>
    <w:rsid w:val="00353C59"/>
    <w:rsid w:val="00353DA6"/>
    <w:rsid w:val="00353DD5"/>
    <w:rsid w:val="00355131"/>
    <w:rsid w:val="003555F9"/>
    <w:rsid w:val="00355F74"/>
    <w:rsid w:val="003560DB"/>
    <w:rsid w:val="003564DB"/>
    <w:rsid w:val="00356F87"/>
    <w:rsid w:val="00357E83"/>
    <w:rsid w:val="00360CF3"/>
    <w:rsid w:val="003616AB"/>
    <w:rsid w:val="0036194D"/>
    <w:rsid w:val="00361A59"/>
    <w:rsid w:val="00363348"/>
    <w:rsid w:val="00363857"/>
    <w:rsid w:val="00363D59"/>
    <w:rsid w:val="003640F7"/>
    <w:rsid w:val="0036594A"/>
    <w:rsid w:val="00365D3A"/>
    <w:rsid w:val="003664FF"/>
    <w:rsid w:val="00366BD2"/>
    <w:rsid w:val="003670B8"/>
    <w:rsid w:val="003704A3"/>
    <w:rsid w:val="003706F2"/>
    <w:rsid w:val="0037091B"/>
    <w:rsid w:val="0037124F"/>
    <w:rsid w:val="003722F0"/>
    <w:rsid w:val="00372AED"/>
    <w:rsid w:val="00373827"/>
    <w:rsid w:val="0037401C"/>
    <w:rsid w:val="0037507B"/>
    <w:rsid w:val="00375A41"/>
    <w:rsid w:val="00375C7C"/>
    <w:rsid w:val="00377027"/>
    <w:rsid w:val="00377135"/>
    <w:rsid w:val="00380272"/>
    <w:rsid w:val="003805DB"/>
    <w:rsid w:val="0038152A"/>
    <w:rsid w:val="00382BAD"/>
    <w:rsid w:val="00383579"/>
    <w:rsid w:val="003835FD"/>
    <w:rsid w:val="00384DF1"/>
    <w:rsid w:val="00384FF3"/>
    <w:rsid w:val="00385FD2"/>
    <w:rsid w:val="00386456"/>
    <w:rsid w:val="003865A9"/>
    <w:rsid w:val="0039092B"/>
    <w:rsid w:val="00390BD9"/>
    <w:rsid w:val="00390F32"/>
    <w:rsid w:val="00391285"/>
    <w:rsid w:val="0039135E"/>
    <w:rsid w:val="003923A6"/>
    <w:rsid w:val="003924A4"/>
    <w:rsid w:val="0039285D"/>
    <w:rsid w:val="0039319C"/>
    <w:rsid w:val="00393577"/>
    <w:rsid w:val="00393CAE"/>
    <w:rsid w:val="003945F4"/>
    <w:rsid w:val="00394EB5"/>
    <w:rsid w:val="003953B4"/>
    <w:rsid w:val="0039615F"/>
    <w:rsid w:val="003966A0"/>
    <w:rsid w:val="00396A29"/>
    <w:rsid w:val="00397FF0"/>
    <w:rsid w:val="003A06C5"/>
    <w:rsid w:val="003A0878"/>
    <w:rsid w:val="003A1561"/>
    <w:rsid w:val="003A1D25"/>
    <w:rsid w:val="003A22A2"/>
    <w:rsid w:val="003A2447"/>
    <w:rsid w:val="003A2AA1"/>
    <w:rsid w:val="003A31A5"/>
    <w:rsid w:val="003A329A"/>
    <w:rsid w:val="003A3603"/>
    <w:rsid w:val="003A3851"/>
    <w:rsid w:val="003A39DD"/>
    <w:rsid w:val="003A40DB"/>
    <w:rsid w:val="003A40F0"/>
    <w:rsid w:val="003A4199"/>
    <w:rsid w:val="003A41C5"/>
    <w:rsid w:val="003A4841"/>
    <w:rsid w:val="003A4A8E"/>
    <w:rsid w:val="003A563C"/>
    <w:rsid w:val="003A581E"/>
    <w:rsid w:val="003A6160"/>
    <w:rsid w:val="003A65A5"/>
    <w:rsid w:val="003A72F5"/>
    <w:rsid w:val="003A78E5"/>
    <w:rsid w:val="003B0341"/>
    <w:rsid w:val="003B10C7"/>
    <w:rsid w:val="003B1961"/>
    <w:rsid w:val="003B1E57"/>
    <w:rsid w:val="003B2EF3"/>
    <w:rsid w:val="003B4C61"/>
    <w:rsid w:val="003B534F"/>
    <w:rsid w:val="003B5391"/>
    <w:rsid w:val="003B570B"/>
    <w:rsid w:val="003B58CE"/>
    <w:rsid w:val="003B65D7"/>
    <w:rsid w:val="003B65E0"/>
    <w:rsid w:val="003B6BD4"/>
    <w:rsid w:val="003B6F4D"/>
    <w:rsid w:val="003B6FE7"/>
    <w:rsid w:val="003C0491"/>
    <w:rsid w:val="003C0C0F"/>
    <w:rsid w:val="003C0D1F"/>
    <w:rsid w:val="003C116A"/>
    <w:rsid w:val="003C1AF4"/>
    <w:rsid w:val="003C1CB8"/>
    <w:rsid w:val="003C22DA"/>
    <w:rsid w:val="003C2550"/>
    <w:rsid w:val="003C287F"/>
    <w:rsid w:val="003C3339"/>
    <w:rsid w:val="003C375A"/>
    <w:rsid w:val="003C3AF4"/>
    <w:rsid w:val="003C4317"/>
    <w:rsid w:val="003C4D9F"/>
    <w:rsid w:val="003C5247"/>
    <w:rsid w:val="003C5E8A"/>
    <w:rsid w:val="003C622C"/>
    <w:rsid w:val="003C6505"/>
    <w:rsid w:val="003C73C7"/>
    <w:rsid w:val="003C7CFB"/>
    <w:rsid w:val="003D050B"/>
    <w:rsid w:val="003D0B98"/>
    <w:rsid w:val="003D0C3C"/>
    <w:rsid w:val="003D0DE5"/>
    <w:rsid w:val="003D1351"/>
    <w:rsid w:val="003D1795"/>
    <w:rsid w:val="003D21C1"/>
    <w:rsid w:val="003D23FE"/>
    <w:rsid w:val="003D2860"/>
    <w:rsid w:val="003D3B15"/>
    <w:rsid w:val="003D3B2E"/>
    <w:rsid w:val="003D4101"/>
    <w:rsid w:val="003D484D"/>
    <w:rsid w:val="003D49CB"/>
    <w:rsid w:val="003D6B8F"/>
    <w:rsid w:val="003D7566"/>
    <w:rsid w:val="003E0224"/>
    <w:rsid w:val="003E09BB"/>
    <w:rsid w:val="003E159D"/>
    <w:rsid w:val="003E20EA"/>
    <w:rsid w:val="003E210C"/>
    <w:rsid w:val="003E2F55"/>
    <w:rsid w:val="003E34DB"/>
    <w:rsid w:val="003E3833"/>
    <w:rsid w:val="003E3AF9"/>
    <w:rsid w:val="003E4A70"/>
    <w:rsid w:val="003E4C48"/>
    <w:rsid w:val="003E4CD9"/>
    <w:rsid w:val="003E52C2"/>
    <w:rsid w:val="003E54B3"/>
    <w:rsid w:val="003E5780"/>
    <w:rsid w:val="003E5B9F"/>
    <w:rsid w:val="003E6072"/>
    <w:rsid w:val="003E60D6"/>
    <w:rsid w:val="003E6AB6"/>
    <w:rsid w:val="003E6E0B"/>
    <w:rsid w:val="003E71CD"/>
    <w:rsid w:val="003E78DA"/>
    <w:rsid w:val="003E7A8B"/>
    <w:rsid w:val="003F060E"/>
    <w:rsid w:val="003F0F7F"/>
    <w:rsid w:val="003F115C"/>
    <w:rsid w:val="003F153A"/>
    <w:rsid w:val="003F300D"/>
    <w:rsid w:val="003F391F"/>
    <w:rsid w:val="003F3D8A"/>
    <w:rsid w:val="003F4599"/>
    <w:rsid w:val="003F45E1"/>
    <w:rsid w:val="003F4F6C"/>
    <w:rsid w:val="003F559E"/>
    <w:rsid w:val="003F6181"/>
    <w:rsid w:val="003F6BFC"/>
    <w:rsid w:val="003F6EAE"/>
    <w:rsid w:val="003F7343"/>
    <w:rsid w:val="003F7400"/>
    <w:rsid w:val="00400002"/>
    <w:rsid w:val="00400054"/>
    <w:rsid w:val="004016A3"/>
    <w:rsid w:val="00401B31"/>
    <w:rsid w:val="0040202B"/>
    <w:rsid w:val="00402B7F"/>
    <w:rsid w:val="00402DE1"/>
    <w:rsid w:val="00402EEB"/>
    <w:rsid w:val="004037C2"/>
    <w:rsid w:val="00404041"/>
    <w:rsid w:val="004040D4"/>
    <w:rsid w:val="00404AA8"/>
    <w:rsid w:val="00404B43"/>
    <w:rsid w:val="00404C61"/>
    <w:rsid w:val="00405487"/>
    <w:rsid w:val="00405B8A"/>
    <w:rsid w:val="00405E87"/>
    <w:rsid w:val="00406000"/>
    <w:rsid w:val="0040602B"/>
    <w:rsid w:val="0040606C"/>
    <w:rsid w:val="004060DC"/>
    <w:rsid w:val="00406DF5"/>
    <w:rsid w:val="00406F35"/>
    <w:rsid w:val="004077D0"/>
    <w:rsid w:val="00407A7A"/>
    <w:rsid w:val="00407ABC"/>
    <w:rsid w:val="00407F1E"/>
    <w:rsid w:val="00410A88"/>
    <w:rsid w:val="00410CC8"/>
    <w:rsid w:val="00411317"/>
    <w:rsid w:val="00411692"/>
    <w:rsid w:val="00411A9E"/>
    <w:rsid w:val="0041259F"/>
    <w:rsid w:val="00412B1B"/>
    <w:rsid w:val="00412B4D"/>
    <w:rsid w:val="00412C51"/>
    <w:rsid w:val="00412E19"/>
    <w:rsid w:val="00413262"/>
    <w:rsid w:val="0041329C"/>
    <w:rsid w:val="004139F4"/>
    <w:rsid w:val="00413FFA"/>
    <w:rsid w:val="00414246"/>
    <w:rsid w:val="00414452"/>
    <w:rsid w:val="004146FF"/>
    <w:rsid w:val="00414D9A"/>
    <w:rsid w:val="00415194"/>
    <w:rsid w:val="00415816"/>
    <w:rsid w:val="00415B88"/>
    <w:rsid w:val="00415D32"/>
    <w:rsid w:val="004160A2"/>
    <w:rsid w:val="0041674B"/>
    <w:rsid w:val="004170D7"/>
    <w:rsid w:val="004177A6"/>
    <w:rsid w:val="00417AC7"/>
    <w:rsid w:val="00417C23"/>
    <w:rsid w:val="00417EFD"/>
    <w:rsid w:val="004200EE"/>
    <w:rsid w:val="00420786"/>
    <w:rsid w:val="004209D2"/>
    <w:rsid w:val="00420D6E"/>
    <w:rsid w:val="0042158C"/>
    <w:rsid w:val="00421617"/>
    <w:rsid w:val="00421BD2"/>
    <w:rsid w:val="00421E00"/>
    <w:rsid w:val="00421FCB"/>
    <w:rsid w:val="00422117"/>
    <w:rsid w:val="00422DCA"/>
    <w:rsid w:val="004234AF"/>
    <w:rsid w:val="00423D04"/>
    <w:rsid w:val="00423F9F"/>
    <w:rsid w:val="00424602"/>
    <w:rsid w:val="00425C43"/>
    <w:rsid w:val="004273FA"/>
    <w:rsid w:val="004275A7"/>
    <w:rsid w:val="00430186"/>
    <w:rsid w:val="00430F17"/>
    <w:rsid w:val="00430F7D"/>
    <w:rsid w:val="0043260C"/>
    <w:rsid w:val="0043269A"/>
    <w:rsid w:val="004333C2"/>
    <w:rsid w:val="00434787"/>
    <w:rsid w:val="00434C13"/>
    <w:rsid w:val="00434D8B"/>
    <w:rsid w:val="00435703"/>
    <w:rsid w:val="00435BD5"/>
    <w:rsid w:val="00436323"/>
    <w:rsid w:val="0043683F"/>
    <w:rsid w:val="00436B4C"/>
    <w:rsid w:val="00436F40"/>
    <w:rsid w:val="004370FA"/>
    <w:rsid w:val="00440096"/>
    <w:rsid w:val="004403DD"/>
    <w:rsid w:val="0044092A"/>
    <w:rsid w:val="00440CF3"/>
    <w:rsid w:val="00440DB0"/>
    <w:rsid w:val="00440DDC"/>
    <w:rsid w:val="00440FAD"/>
    <w:rsid w:val="00441291"/>
    <w:rsid w:val="00441C68"/>
    <w:rsid w:val="00441E04"/>
    <w:rsid w:val="004420AB"/>
    <w:rsid w:val="004422D6"/>
    <w:rsid w:val="004427AC"/>
    <w:rsid w:val="00442AFD"/>
    <w:rsid w:val="00442C7D"/>
    <w:rsid w:val="00442D13"/>
    <w:rsid w:val="00442D4D"/>
    <w:rsid w:val="0044374D"/>
    <w:rsid w:val="00443B55"/>
    <w:rsid w:val="00443D27"/>
    <w:rsid w:val="0044500B"/>
    <w:rsid w:val="00446037"/>
    <w:rsid w:val="00446270"/>
    <w:rsid w:val="004462FD"/>
    <w:rsid w:val="0044642F"/>
    <w:rsid w:val="0044772C"/>
    <w:rsid w:val="004503A3"/>
    <w:rsid w:val="00450846"/>
    <w:rsid w:val="00451A52"/>
    <w:rsid w:val="0045271D"/>
    <w:rsid w:val="00452755"/>
    <w:rsid w:val="00452803"/>
    <w:rsid w:val="004529C6"/>
    <w:rsid w:val="00452EAD"/>
    <w:rsid w:val="004533D1"/>
    <w:rsid w:val="004534D1"/>
    <w:rsid w:val="00454548"/>
    <w:rsid w:val="00454717"/>
    <w:rsid w:val="00454DF8"/>
    <w:rsid w:val="00455004"/>
    <w:rsid w:val="00455047"/>
    <w:rsid w:val="00455354"/>
    <w:rsid w:val="0045558D"/>
    <w:rsid w:val="00455BD3"/>
    <w:rsid w:val="004567DA"/>
    <w:rsid w:val="00456970"/>
    <w:rsid w:val="00456BB1"/>
    <w:rsid w:val="00456CD4"/>
    <w:rsid w:val="00456DDB"/>
    <w:rsid w:val="00456E61"/>
    <w:rsid w:val="00456EF0"/>
    <w:rsid w:val="00457031"/>
    <w:rsid w:val="0046002B"/>
    <w:rsid w:val="00460915"/>
    <w:rsid w:val="00460946"/>
    <w:rsid w:val="004614A9"/>
    <w:rsid w:val="00461841"/>
    <w:rsid w:val="00461D5F"/>
    <w:rsid w:val="00461E97"/>
    <w:rsid w:val="0046268F"/>
    <w:rsid w:val="0046284F"/>
    <w:rsid w:val="00462B10"/>
    <w:rsid w:val="00462C04"/>
    <w:rsid w:val="0046320A"/>
    <w:rsid w:val="004636CC"/>
    <w:rsid w:val="004638E2"/>
    <w:rsid w:val="00464030"/>
    <w:rsid w:val="004647F8"/>
    <w:rsid w:val="004647FB"/>
    <w:rsid w:val="00465347"/>
    <w:rsid w:val="00465677"/>
    <w:rsid w:val="00466616"/>
    <w:rsid w:val="00466A0C"/>
    <w:rsid w:val="00466A53"/>
    <w:rsid w:val="00470A6A"/>
    <w:rsid w:val="00470D73"/>
    <w:rsid w:val="00470D92"/>
    <w:rsid w:val="00471DF7"/>
    <w:rsid w:val="004734CF"/>
    <w:rsid w:val="0047586C"/>
    <w:rsid w:val="00475C5A"/>
    <w:rsid w:val="00475C9C"/>
    <w:rsid w:val="0047676B"/>
    <w:rsid w:val="0047773C"/>
    <w:rsid w:val="00477C5F"/>
    <w:rsid w:val="00480050"/>
    <w:rsid w:val="0048011C"/>
    <w:rsid w:val="004808DE"/>
    <w:rsid w:val="00481AC4"/>
    <w:rsid w:val="00481DC1"/>
    <w:rsid w:val="00482507"/>
    <w:rsid w:val="0048268A"/>
    <w:rsid w:val="00482BC7"/>
    <w:rsid w:val="004835CA"/>
    <w:rsid w:val="004836F8"/>
    <w:rsid w:val="004836FE"/>
    <w:rsid w:val="00484A39"/>
    <w:rsid w:val="00484F0F"/>
    <w:rsid w:val="00484F40"/>
    <w:rsid w:val="0048540C"/>
    <w:rsid w:val="00485EE3"/>
    <w:rsid w:val="004861B4"/>
    <w:rsid w:val="00486226"/>
    <w:rsid w:val="00486BD0"/>
    <w:rsid w:val="00486D00"/>
    <w:rsid w:val="00486FF7"/>
    <w:rsid w:val="00487263"/>
    <w:rsid w:val="0048727E"/>
    <w:rsid w:val="0048734F"/>
    <w:rsid w:val="004874E6"/>
    <w:rsid w:val="00487EC1"/>
    <w:rsid w:val="0049029D"/>
    <w:rsid w:val="0049030C"/>
    <w:rsid w:val="004903C0"/>
    <w:rsid w:val="00490F15"/>
    <w:rsid w:val="0049114B"/>
    <w:rsid w:val="004912A8"/>
    <w:rsid w:val="00491577"/>
    <w:rsid w:val="004918E1"/>
    <w:rsid w:val="0049196A"/>
    <w:rsid w:val="0049196E"/>
    <w:rsid w:val="0049241A"/>
    <w:rsid w:val="00492C1F"/>
    <w:rsid w:val="00492E4C"/>
    <w:rsid w:val="00493664"/>
    <w:rsid w:val="004938FD"/>
    <w:rsid w:val="00493E04"/>
    <w:rsid w:val="004940E3"/>
    <w:rsid w:val="0049530F"/>
    <w:rsid w:val="00496664"/>
    <w:rsid w:val="00496703"/>
    <w:rsid w:val="00496786"/>
    <w:rsid w:val="0049695B"/>
    <w:rsid w:val="00496D8F"/>
    <w:rsid w:val="00497463"/>
    <w:rsid w:val="004A054C"/>
    <w:rsid w:val="004A08D1"/>
    <w:rsid w:val="004A156E"/>
    <w:rsid w:val="004A16C1"/>
    <w:rsid w:val="004A1CE2"/>
    <w:rsid w:val="004A34D2"/>
    <w:rsid w:val="004A4301"/>
    <w:rsid w:val="004A4D93"/>
    <w:rsid w:val="004A58EE"/>
    <w:rsid w:val="004A59B7"/>
    <w:rsid w:val="004A6051"/>
    <w:rsid w:val="004A623B"/>
    <w:rsid w:val="004A6A04"/>
    <w:rsid w:val="004A6A52"/>
    <w:rsid w:val="004A70C4"/>
    <w:rsid w:val="004B0A44"/>
    <w:rsid w:val="004B0F0B"/>
    <w:rsid w:val="004B2197"/>
    <w:rsid w:val="004B298A"/>
    <w:rsid w:val="004B2BB8"/>
    <w:rsid w:val="004B3996"/>
    <w:rsid w:val="004B4C8E"/>
    <w:rsid w:val="004B50CB"/>
    <w:rsid w:val="004B578D"/>
    <w:rsid w:val="004B5BE7"/>
    <w:rsid w:val="004B5E2D"/>
    <w:rsid w:val="004B65BE"/>
    <w:rsid w:val="004B666E"/>
    <w:rsid w:val="004B6C07"/>
    <w:rsid w:val="004B74D3"/>
    <w:rsid w:val="004B755E"/>
    <w:rsid w:val="004B788E"/>
    <w:rsid w:val="004B7E5D"/>
    <w:rsid w:val="004C0E8C"/>
    <w:rsid w:val="004C22F7"/>
    <w:rsid w:val="004C2B27"/>
    <w:rsid w:val="004C3929"/>
    <w:rsid w:val="004C5212"/>
    <w:rsid w:val="004C5EF0"/>
    <w:rsid w:val="004C64C9"/>
    <w:rsid w:val="004C7226"/>
    <w:rsid w:val="004C74C9"/>
    <w:rsid w:val="004C7915"/>
    <w:rsid w:val="004C7D70"/>
    <w:rsid w:val="004D02F9"/>
    <w:rsid w:val="004D03FE"/>
    <w:rsid w:val="004D0446"/>
    <w:rsid w:val="004D06A3"/>
    <w:rsid w:val="004D0F95"/>
    <w:rsid w:val="004D106A"/>
    <w:rsid w:val="004D1C7E"/>
    <w:rsid w:val="004D245A"/>
    <w:rsid w:val="004D31EE"/>
    <w:rsid w:val="004D36AF"/>
    <w:rsid w:val="004D3BD1"/>
    <w:rsid w:val="004D4BA1"/>
    <w:rsid w:val="004D584D"/>
    <w:rsid w:val="004D5A7E"/>
    <w:rsid w:val="004D6120"/>
    <w:rsid w:val="004D6826"/>
    <w:rsid w:val="004D6F69"/>
    <w:rsid w:val="004E023F"/>
    <w:rsid w:val="004E0546"/>
    <w:rsid w:val="004E0742"/>
    <w:rsid w:val="004E0C64"/>
    <w:rsid w:val="004E0F6B"/>
    <w:rsid w:val="004E1545"/>
    <w:rsid w:val="004E1F1C"/>
    <w:rsid w:val="004E2A35"/>
    <w:rsid w:val="004E2CCF"/>
    <w:rsid w:val="004E34CF"/>
    <w:rsid w:val="004E3B71"/>
    <w:rsid w:val="004E3BD6"/>
    <w:rsid w:val="004E40CE"/>
    <w:rsid w:val="004E5736"/>
    <w:rsid w:val="004E5A3C"/>
    <w:rsid w:val="004E5B36"/>
    <w:rsid w:val="004E5D5D"/>
    <w:rsid w:val="004E6045"/>
    <w:rsid w:val="004E6F43"/>
    <w:rsid w:val="004E7200"/>
    <w:rsid w:val="004E787E"/>
    <w:rsid w:val="004E7AA1"/>
    <w:rsid w:val="004F0805"/>
    <w:rsid w:val="004F0960"/>
    <w:rsid w:val="004F0A5C"/>
    <w:rsid w:val="004F1596"/>
    <w:rsid w:val="004F163F"/>
    <w:rsid w:val="004F18A0"/>
    <w:rsid w:val="004F1A08"/>
    <w:rsid w:val="004F2B64"/>
    <w:rsid w:val="004F31B8"/>
    <w:rsid w:val="004F375E"/>
    <w:rsid w:val="004F3764"/>
    <w:rsid w:val="004F3EEF"/>
    <w:rsid w:val="004F5180"/>
    <w:rsid w:val="004F57C9"/>
    <w:rsid w:val="004F5930"/>
    <w:rsid w:val="004F5970"/>
    <w:rsid w:val="004F5F0C"/>
    <w:rsid w:val="004F6121"/>
    <w:rsid w:val="004F6161"/>
    <w:rsid w:val="004F66BC"/>
    <w:rsid w:val="004F6C26"/>
    <w:rsid w:val="004F7AC9"/>
    <w:rsid w:val="0050062F"/>
    <w:rsid w:val="00500E74"/>
    <w:rsid w:val="0050160F"/>
    <w:rsid w:val="0050284E"/>
    <w:rsid w:val="0050306F"/>
    <w:rsid w:val="005037AF"/>
    <w:rsid w:val="00503EA9"/>
    <w:rsid w:val="00503FC1"/>
    <w:rsid w:val="005052B0"/>
    <w:rsid w:val="00505DCB"/>
    <w:rsid w:val="00506800"/>
    <w:rsid w:val="005075CA"/>
    <w:rsid w:val="00507B06"/>
    <w:rsid w:val="00507BF1"/>
    <w:rsid w:val="0051074C"/>
    <w:rsid w:val="00510DE9"/>
    <w:rsid w:val="005111E2"/>
    <w:rsid w:val="00511231"/>
    <w:rsid w:val="00512B88"/>
    <w:rsid w:val="00512C4F"/>
    <w:rsid w:val="00513042"/>
    <w:rsid w:val="0051334F"/>
    <w:rsid w:val="00513399"/>
    <w:rsid w:val="00513AF2"/>
    <w:rsid w:val="00514575"/>
    <w:rsid w:val="00514C03"/>
    <w:rsid w:val="00514D67"/>
    <w:rsid w:val="0051522A"/>
    <w:rsid w:val="00515515"/>
    <w:rsid w:val="0051635C"/>
    <w:rsid w:val="00516C5B"/>
    <w:rsid w:val="00517612"/>
    <w:rsid w:val="00517CFB"/>
    <w:rsid w:val="00517F85"/>
    <w:rsid w:val="00520235"/>
    <w:rsid w:val="005202BF"/>
    <w:rsid w:val="00520899"/>
    <w:rsid w:val="00520922"/>
    <w:rsid w:val="005209FC"/>
    <w:rsid w:val="00520C09"/>
    <w:rsid w:val="00521A30"/>
    <w:rsid w:val="00521D7C"/>
    <w:rsid w:val="00521F5F"/>
    <w:rsid w:val="005224E5"/>
    <w:rsid w:val="005226EE"/>
    <w:rsid w:val="00523903"/>
    <w:rsid w:val="005239B6"/>
    <w:rsid w:val="00523C45"/>
    <w:rsid w:val="00523F41"/>
    <w:rsid w:val="00524165"/>
    <w:rsid w:val="00524215"/>
    <w:rsid w:val="005246E7"/>
    <w:rsid w:val="00524B08"/>
    <w:rsid w:val="00524C38"/>
    <w:rsid w:val="00524FD2"/>
    <w:rsid w:val="00525621"/>
    <w:rsid w:val="00526431"/>
    <w:rsid w:val="0052647A"/>
    <w:rsid w:val="00527532"/>
    <w:rsid w:val="00527DEB"/>
    <w:rsid w:val="00527E57"/>
    <w:rsid w:val="00527F2C"/>
    <w:rsid w:val="00530405"/>
    <w:rsid w:val="00530522"/>
    <w:rsid w:val="005305E5"/>
    <w:rsid w:val="0053086F"/>
    <w:rsid w:val="00530CBA"/>
    <w:rsid w:val="00530F38"/>
    <w:rsid w:val="00531F26"/>
    <w:rsid w:val="0053277C"/>
    <w:rsid w:val="005327C0"/>
    <w:rsid w:val="0053289E"/>
    <w:rsid w:val="00533101"/>
    <w:rsid w:val="00533CA9"/>
    <w:rsid w:val="005346AD"/>
    <w:rsid w:val="00534EFB"/>
    <w:rsid w:val="00534F60"/>
    <w:rsid w:val="005357F1"/>
    <w:rsid w:val="00535D15"/>
    <w:rsid w:val="00536053"/>
    <w:rsid w:val="005369E6"/>
    <w:rsid w:val="005371AC"/>
    <w:rsid w:val="00537672"/>
    <w:rsid w:val="005376B5"/>
    <w:rsid w:val="0053772F"/>
    <w:rsid w:val="00537A70"/>
    <w:rsid w:val="00537B64"/>
    <w:rsid w:val="00537B77"/>
    <w:rsid w:val="00540C4C"/>
    <w:rsid w:val="00540CE8"/>
    <w:rsid w:val="00541469"/>
    <w:rsid w:val="00541571"/>
    <w:rsid w:val="0054182C"/>
    <w:rsid w:val="00541B1F"/>
    <w:rsid w:val="0054275A"/>
    <w:rsid w:val="005428B8"/>
    <w:rsid w:val="005428BE"/>
    <w:rsid w:val="00542BD7"/>
    <w:rsid w:val="00543084"/>
    <w:rsid w:val="00543584"/>
    <w:rsid w:val="00543A9E"/>
    <w:rsid w:val="0054413A"/>
    <w:rsid w:val="00544288"/>
    <w:rsid w:val="005446BB"/>
    <w:rsid w:val="00544D65"/>
    <w:rsid w:val="00544DA5"/>
    <w:rsid w:val="00544F43"/>
    <w:rsid w:val="0054511F"/>
    <w:rsid w:val="00545E30"/>
    <w:rsid w:val="00545EA3"/>
    <w:rsid w:val="00546C9B"/>
    <w:rsid w:val="00547BF6"/>
    <w:rsid w:val="00547FB3"/>
    <w:rsid w:val="00551098"/>
    <w:rsid w:val="00551598"/>
    <w:rsid w:val="0055162B"/>
    <w:rsid w:val="00551A56"/>
    <w:rsid w:val="00551BFF"/>
    <w:rsid w:val="00551D68"/>
    <w:rsid w:val="00551DFF"/>
    <w:rsid w:val="005525C9"/>
    <w:rsid w:val="00552B3E"/>
    <w:rsid w:val="0055426D"/>
    <w:rsid w:val="00554D57"/>
    <w:rsid w:val="005551AA"/>
    <w:rsid w:val="005564CA"/>
    <w:rsid w:val="005568BD"/>
    <w:rsid w:val="005568EA"/>
    <w:rsid w:val="00557140"/>
    <w:rsid w:val="0055715A"/>
    <w:rsid w:val="0055729E"/>
    <w:rsid w:val="00557984"/>
    <w:rsid w:val="00557A3F"/>
    <w:rsid w:val="005601BE"/>
    <w:rsid w:val="005608B4"/>
    <w:rsid w:val="00560C87"/>
    <w:rsid w:val="00560F51"/>
    <w:rsid w:val="00561249"/>
    <w:rsid w:val="0056182B"/>
    <w:rsid w:val="00561A88"/>
    <w:rsid w:val="00561AF3"/>
    <w:rsid w:val="00561E0B"/>
    <w:rsid w:val="00562141"/>
    <w:rsid w:val="00562D86"/>
    <w:rsid w:val="005640CA"/>
    <w:rsid w:val="00564704"/>
    <w:rsid w:val="00564712"/>
    <w:rsid w:val="00564FC1"/>
    <w:rsid w:val="005657A8"/>
    <w:rsid w:val="00565952"/>
    <w:rsid w:val="00566866"/>
    <w:rsid w:val="00566CDE"/>
    <w:rsid w:val="005670A5"/>
    <w:rsid w:val="00567285"/>
    <w:rsid w:val="00567723"/>
    <w:rsid w:val="0056772D"/>
    <w:rsid w:val="005678F5"/>
    <w:rsid w:val="00567AB8"/>
    <w:rsid w:val="00570A26"/>
    <w:rsid w:val="00570CFD"/>
    <w:rsid w:val="00571872"/>
    <w:rsid w:val="0057221F"/>
    <w:rsid w:val="00572421"/>
    <w:rsid w:val="00572539"/>
    <w:rsid w:val="00573355"/>
    <w:rsid w:val="0057337D"/>
    <w:rsid w:val="00573504"/>
    <w:rsid w:val="00573BA3"/>
    <w:rsid w:val="00574708"/>
    <w:rsid w:val="00574D81"/>
    <w:rsid w:val="005756AA"/>
    <w:rsid w:val="005756CC"/>
    <w:rsid w:val="0057696F"/>
    <w:rsid w:val="005774FE"/>
    <w:rsid w:val="0058040C"/>
    <w:rsid w:val="00580D6D"/>
    <w:rsid w:val="00580FD8"/>
    <w:rsid w:val="005813DE"/>
    <w:rsid w:val="00581796"/>
    <w:rsid w:val="00581B45"/>
    <w:rsid w:val="00582480"/>
    <w:rsid w:val="00582805"/>
    <w:rsid w:val="0058290E"/>
    <w:rsid w:val="00582CAB"/>
    <w:rsid w:val="00582FA6"/>
    <w:rsid w:val="005836D5"/>
    <w:rsid w:val="0058375E"/>
    <w:rsid w:val="00584233"/>
    <w:rsid w:val="005842D0"/>
    <w:rsid w:val="005845FB"/>
    <w:rsid w:val="005855AE"/>
    <w:rsid w:val="00585829"/>
    <w:rsid w:val="00585CA8"/>
    <w:rsid w:val="00585DC0"/>
    <w:rsid w:val="00586412"/>
    <w:rsid w:val="005864B9"/>
    <w:rsid w:val="005866C4"/>
    <w:rsid w:val="00590F1A"/>
    <w:rsid w:val="00591070"/>
    <w:rsid w:val="00591C03"/>
    <w:rsid w:val="00591E2A"/>
    <w:rsid w:val="005923C4"/>
    <w:rsid w:val="00592B6F"/>
    <w:rsid w:val="00593EA2"/>
    <w:rsid w:val="00593F75"/>
    <w:rsid w:val="005940A0"/>
    <w:rsid w:val="0059429A"/>
    <w:rsid w:val="0059455B"/>
    <w:rsid w:val="00594CBE"/>
    <w:rsid w:val="0059508E"/>
    <w:rsid w:val="00595B12"/>
    <w:rsid w:val="00595B4F"/>
    <w:rsid w:val="00596AF7"/>
    <w:rsid w:val="00596CCE"/>
    <w:rsid w:val="00596E37"/>
    <w:rsid w:val="005A094C"/>
    <w:rsid w:val="005A1976"/>
    <w:rsid w:val="005A2120"/>
    <w:rsid w:val="005A2501"/>
    <w:rsid w:val="005A2C80"/>
    <w:rsid w:val="005A3066"/>
    <w:rsid w:val="005A38E2"/>
    <w:rsid w:val="005A3B35"/>
    <w:rsid w:val="005A3C4B"/>
    <w:rsid w:val="005A3E5A"/>
    <w:rsid w:val="005A43F3"/>
    <w:rsid w:val="005A496F"/>
    <w:rsid w:val="005A4A56"/>
    <w:rsid w:val="005A4DC2"/>
    <w:rsid w:val="005A5608"/>
    <w:rsid w:val="005A5A3D"/>
    <w:rsid w:val="005A6035"/>
    <w:rsid w:val="005A6B75"/>
    <w:rsid w:val="005A6E00"/>
    <w:rsid w:val="005A718A"/>
    <w:rsid w:val="005A7418"/>
    <w:rsid w:val="005A7885"/>
    <w:rsid w:val="005B12B2"/>
    <w:rsid w:val="005B143B"/>
    <w:rsid w:val="005B19BD"/>
    <w:rsid w:val="005B1E45"/>
    <w:rsid w:val="005B21C4"/>
    <w:rsid w:val="005B2A28"/>
    <w:rsid w:val="005B35AB"/>
    <w:rsid w:val="005B3621"/>
    <w:rsid w:val="005B3EBE"/>
    <w:rsid w:val="005B4948"/>
    <w:rsid w:val="005B4FF1"/>
    <w:rsid w:val="005B501D"/>
    <w:rsid w:val="005B54CC"/>
    <w:rsid w:val="005B6D72"/>
    <w:rsid w:val="005B71BB"/>
    <w:rsid w:val="005B74AD"/>
    <w:rsid w:val="005B7E96"/>
    <w:rsid w:val="005C0429"/>
    <w:rsid w:val="005C084F"/>
    <w:rsid w:val="005C0EE9"/>
    <w:rsid w:val="005C16A8"/>
    <w:rsid w:val="005C1716"/>
    <w:rsid w:val="005C1954"/>
    <w:rsid w:val="005C1C0B"/>
    <w:rsid w:val="005C2011"/>
    <w:rsid w:val="005C3EA3"/>
    <w:rsid w:val="005C44DE"/>
    <w:rsid w:val="005C5011"/>
    <w:rsid w:val="005C5241"/>
    <w:rsid w:val="005C529E"/>
    <w:rsid w:val="005C57BA"/>
    <w:rsid w:val="005C5C52"/>
    <w:rsid w:val="005C5D3D"/>
    <w:rsid w:val="005C5F05"/>
    <w:rsid w:val="005C6186"/>
    <w:rsid w:val="005C7193"/>
    <w:rsid w:val="005C7E45"/>
    <w:rsid w:val="005C7F3E"/>
    <w:rsid w:val="005D06D3"/>
    <w:rsid w:val="005D0C3B"/>
    <w:rsid w:val="005D1051"/>
    <w:rsid w:val="005D1606"/>
    <w:rsid w:val="005D2044"/>
    <w:rsid w:val="005D209E"/>
    <w:rsid w:val="005D2917"/>
    <w:rsid w:val="005D2EB2"/>
    <w:rsid w:val="005D2F48"/>
    <w:rsid w:val="005D3B32"/>
    <w:rsid w:val="005D464B"/>
    <w:rsid w:val="005D466F"/>
    <w:rsid w:val="005D49F0"/>
    <w:rsid w:val="005D51F7"/>
    <w:rsid w:val="005D51FA"/>
    <w:rsid w:val="005D53E8"/>
    <w:rsid w:val="005D5A9D"/>
    <w:rsid w:val="005D5D15"/>
    <w:rsid w:val="005D6651"/>
    <w:rsid w:val="005D691D"/>
    <w:rsid w:val="005D6A72"/>
    <w:rsid w:val="005D6F38"/>
    <w:rsid w:val="005D77F2"/>
    <w:rsid w:val="005D791B"/>
    <w:rsid w:val="005D7CF2"/>
    <w:rsid w:val="005D7F92"/>
    <w:rsid w:val="005E062C"/>
    <w:rsid w:val="005E0D7B"/>
    <w:rsid w:val="005E1595"/>
    <w:rsid w:val="005E1895"/>
    <w:rsid w:val="005E1F1D"/>
    <w:rsid w:val="005E20FE"/>
    <w:rsid w:val="005E2423"/>
    <w:rsid w:val="005E273D"/>
    <w:rsid w:val="005E29AC"/>
    <w:rsid w:val="005E3278"/>
    <w:rsid w:val="005E363B"/>
    <w:rsid w:val="005E3736"/>
    <w:rsid w:val="005E3B29"/>
    <w:rsid w:val="005E4B72"/>
    <w:rsid w:val="005E52C9"/>
    <w:rsid w:val="005E6398"/>
    <w:rsid w:val="005E681E"/>
    <w:rsid w:val="005F2D8B"/>
    <w:rsid w:val="005F305B"/>
    <w:rsid w:val="005F3361"/>
    <w:rsid w:val="005F3B47"/>
    <w:rsid w:val="005F3C4B"/>
    <w:rsid w:val="005F4481"/>
    <w:rsid w:val="005F47AC"/>
    <w:rsid w:val="005F49AF"/>
    <w:rsid w:val="005F4A50"/>
    <w:rsid w:val="005F4A58"/>
    <w:rsid w:val="005F54DF"/>
    <w:rsid w:val="005F5888"/>
    <w:rsid w:val="005F5984"/>
    <w:rsid w:val="005F5EAB"/>
    <w:rsid w:val="005F6CE2"/>
    <w:rsid w:val="005F6EC8"/>
    <w:rsid w:val="005F6F24"/>
    <w:rsid w:val="005F72E9"/>
    <w:rsid w:val="005F780B"/>
    <w:rsid w:val="00600473"/>
    <w:rsid w:val="0060139A"/>
    <w:rsid w:val="006013C9"/>
    <w:rsid w:val="00602931"/>
    <w:rsid w:val="00602B45"/>
    <w:rsid w:val="006030B7"/>
    <w:rsid w:val="00603499"/>
    <w:rsid w:val="006035F5"/>
    <w:rsid w:val="00603CC2"/>
    <w:rsid w:val="006047D1"/>
    <w:rsid w:val="006048A4"/>
    <w:rsid w:val="00604A55"/>
    <w:rsid w:val="00604D4E"/>
    <w:rsid w:val="00604E3E"/>
    <w:rsid w:val="00605AC3"/>
    <w:rsid w:val="00606908"/>
    <w:rsid w:val="00607996"/>
    <w:rsid w:val="00607A37"/>
    <w:rsid w:val="00607E9F"/>
    <w:rsid w:val="0061085E"/>
    <w:rsid w:val="006110D9"/>
    <w:rsid w:val="00611398"/>
    <w:rsid w:val="006113B4"/>
    <w:rsid w:val="0061186D"/>
    <w:rsid w:val="00612322"/>
    <w:rsid w:val="006123C0"/>
    <w:rsid w:val="00613191"/>
    <w:rsid w:val="006133F9"/>
    <w:rsid w:val="006134B3"/>
    <w:rsid w:val="00613DE1"/>
    <w:rsid w:val="0061401F"/>
    <w:rsid w:val="00614166"/>
    <w:rsid w:val="00614176"/>
    <w:rsid w:val="00614817"/>
    <w:rsid w:val="006149CC"/>
    <w:rsid w:val="006157A9"/>
    <w:rsid w:val="0061591D"/>
    <w:rsid w:val="00615ED0"/>
    <w:rsid w:val="0061604C"/>
    <w:rsid w:val="00616C2B"/>
    <w:rsid w:val="00616D7F"/>
    <w:rsid w:val="006178D1"/>
    <w:rsid w:val="00620719"/>
    <w:rsid w:val="006212C9"/>
    <w:rsid w:val="00621D0C"/>
    <w:rsid w:val="00621E89"/>
    <w:rsid w:val="00622229"/>
    <w:rsid w:val="00622470"/>
    <w:rsid w:val="00622725"/>
    <w:rsid w:val="00622B63"/>
    <w:rsid w:val="00622E4B"/>
    <w:rsid w:val="006231AA"/>
    <w:rsid w:val="00623482"/>
    <w:rsid w:val="00623AC2"/>
    <w:rsid w:val="00623EBC"/>
    <w:rsid w:val="00624A8E"/>
    <w:rsid w:val="00625642"/>
    <w:rsid w:val="0062578F"/>
    <w:rsid w:val="00625DF2"/>
    <w:rsid w:val="006266D7"/>
    <w:rsid w:val="0062691F"/>
    <w:rsid w:val="00626D42"/>
    <w:rsid w:val="00626EE3"/>
    <w:rsid w:val="006274AD"/>
    <w:rsid w:val="00627519"/>
    <w:rsid w:val="00627532"/>
    <w:rsid w:val="006302AA"/>
    <w:rsid w:val="006310C3"/>
    <w:rsid w:val="0063161E"/>
    <w:rsid w:val="00631BB5"/>
    <w:rsid w:val="00631DCA"/>
    <w:rsid w:val="00631DD0"/>
    <w:rsid w:val="00633B54"/>
    <w:rsid w:val="00633DBF"/>
    <w:rsid w:val="00634122"/>
    <w:rsid w:val="0063444B"/>
    <w:rsid w:val="00635E32"/>
    <w:rsid w:val="006360FC"/>
    <w:rsid w:val="006361C9"/>
    <w:rsid w:val="006365DE"/>
    <w:rsid w:val="00636BE4"/>
    <w:rsid w:val="00636F88"/>
    <w:rsid w:val="0063732C"/>
    <w:rsid w:val="00637802"/>
    <w:rsid w:val="00637836"/>
    <w:rsid w:val="00637C26"/>
    <w:rsid w:val="00637F44"/>
    <w:rsid w:val="00640A06"/>
    <w:rsid w:val="00640E88"/>
    <w:rsid w:val="00641078"/>
    <w:rsid w:val="00641242"/>
    <w:rsid w:val="00642126"/>
    <w:rsid w:val="00642A32"/>
    <w:rsid w:val="00642F7C"/>
    <w:rsid w:val="006433D5"/>
    <w:rsid w:val="00643412"/>
    <w:rsid w:val="00645CEB"/>
    <w:rsid w:val="00645E63"/>
    <w:rsid w:val="00646B20"/>
    <w:rsid w:val="00646D0F"/>
    <w:rsid w:val="00647A36"/>
    <w:rsid w:val="00647DCC"/>
    <w:rsid w:val="00647EFA"/>
    <w:rsid w:val="00647F14"/>
    <w:rsid w:val="00650027"/>
    <w:rsid w:val="00650E89"/>
    <w:rsid w:val="00651B9C"/>
    <w:rsid w:val="00651C47"/>
    <w:rsid w:val="00652E70"/>
    <w:rsid w:val="0065339A"/>
    <w:rsid w:val="00653469"/>
    <w:rsid w:val="0065443A"/>
    <w:rsid w:val="00654A38"/>
    <w:rsid w:val="00655301"/>
    <w:rsid w:val="00655371"/>
    <w:rsid w:val="00655507"/>
    <w:rsid w:val="006564A5"/>
    <w:rsid w:val="00656C4B"/>
    <w:rsid w:val="0065717D"/>
    <w:rsid w:val="006572A7"/>
    <w:rsid w:val="006573EA"/>
    <w:rsid w:val="006577C9"/>
    <w:rsid w:val="00660510"/>
    <w:rsid w:val="006606A4"/>
    <w:rsid w:val="00661029"/>
    <w:rsid w:val="006610C3"/>
    <w:rsid w:val="00661118"/>
    <w:rsid w:val="0066135A"/>
    <w:rsid w:val="00661A38"/>
    <w:rsid w:val="0066272D"/>
    <w:rsid w:val="00662E58"/>
    <w:rsid w:val="00662F39"/>
    <w:rsid w:val="006635A0"/>
    <w:rsid w:val="00663D26"/>
    <w:rsid w:val="00664351"/>
    <w:rsid w:val="00665968"/>
    <w:rsid w:val="00665BF7"/>
    <w:rsid w:val="0066609C"/>
    <w:rsid w:val="006660F0"/>
    <w:rsid w:val="00666178"/>
    <w:rsid w:val="0066639E"/>
    <w:rsid w:val="00666473"/>
    <w:rsid w:val="006666B4"/>
    <w:rsid w:val="00666B49"/>
    <w:rsid w:val="00666C72"/>
    <w:rsid w:val="00666E6C"/>
    <w:rsid w:val="0066707F"/>
    <w:rsid w:val="00667ED8"/>
    <w:rsid w:val="0067064C"/>
    <w:rsid w:val="00670B0F"/>
    <w:rsid w:val="00670B20"/>
    <w:rsid w:val="00670E12"/>
    <w:rsid w:val="00670F27"/>
    <w:rsid w:val="00671C52"/>
    <w:rsid w:val="00672E80"/>
    <w:rsid w:val="0067333F"/>
    <w:rsid w:val="006739E4"/>
    <w:rsid w:val="00673ECF"/>
    <w:rsid w:val="0067426B"/>
    <w:rsid w:val="00674A1B"/>
    <w:rsid w:val="00674D08"/>
    <w:rsid w:val="00674F1C"/>
    <w:rsid w:val="006754F8"/>
    <w:rsid w:val="00676127"/>
    <w:rsid w:val="00676AED"/>
    <w:rsid w:val="00677212"/>
    <w:rsid w:val="006778E7"/>
    <w:rsid w:val="00677F26"/>
    <w:rsid w:val="006800EE"/>
    <w:rsid w:val="006802A7"/>
    <w:rsid w:val="0068059E"/>
    <w:rsid w:val="006807E3"/>
    <w:rsid w:val="00680A86"/>
    <w:rsid w:val="006811C9"/>
    <w:rsid w:val="006812CE"/>
    <w:rsid w:val="00681FC3"/>
    <w:rsid w:val="006826C1"/>
    <w:rsid w:val="00682C89"/>
    <w:rsid w:val="006832B8"/>
    <w:rsid w:val="006837B2"/>
    <w:rsid w:val="00683800"/>
    <w:rsid w:val="00683CA9"/>
    <w:rsid w:val="00684462"/>
    <w:rsid w:val="00684C0D"/>
    <w:rsid w:val="00684C8A"/>
    <w:rsid w:val="00684CF5"/>
    <w:rsid w:val="0068553E"/>
    <w:rsid w:val="00685A9D"/>
    <w:rsid w:val="00685D37"/>
    <w:rsid w:val="00685E7B"/>
    <w:rsid w:val="00685ED9"/>
    <w:rsid w:val="00686551"/>
    <w:rsid w:val="00686CAB"/>
    <w:rsid w:val="0068717F"/>
    <w:rsid w:val="006871CC"/>
    <w:rsid w:val="0068730C"/>
    <w:rsid w:val="00687504"/>
    <w:rsid w:val="00687A14"/>
    <w:rsid w:val="00687A8C"/>
    <w:rsid w:val="00690839"/>
    <w:rsid w:val="006908DB"/>
    <w:rsid w:val="00690DE9"/>
    <w:rsid w:val="00691563"/>
    <w:rsid w:val="00691DE9"/>
    <w:rsid w:val="00691EAA"/>
    <w:rsid w:val="00692245"/>
    <w:rsid w:val="00692745"/>
    <w:rsid w:val="00692FFA"/>
    <w:rsid w:val="00693772"/>
    <w:rsid w:val="00693984"/>
    <w:rsid w:val="00693B77"/>
    <w:rsid w:val="00694160"/>
    <w:rsid w:val="00694E8B"/>
    <w:rsid w:val="006959A5"/>
    <w:rsid w:val="00695C0C"/>
    <w:rsid w:val="00696736"/>
    <w:rsid w:val="00696A05"/>
    <w:rsid w:val="006971C0"/>
    <w:rsid w:val="00697665"/>
    <w:rsid w:val="00697C9A"/>
    <w:rsid w:val="00697E68"/>
    <w:rsid w:val="00697FC1"/>
    <w:rsid w:val="006A0274"/>
    <w:rsid w:val="006A1F43"/>
    <w:rsid w:val="006A27BC"/>
    <w:rsid w:val="006A2A43"/>
    <w:rsid w:val="006A2BF1"/>
    <w:rsid w:val="006A2F9A"/>
    <w:rsid w:val="006A34E4"/>
    <w:rsid w:val="006A3A5A"/>
    <w:rsid w:val="006A44CF"/>
    <w:rsid w:val="006A457D"/>
    <w:rsid w:val="006A4C06"/>
    <w:rsid w:val="006A55EE"/>
    <w:rsid w:val="006A575B"/>
    <w:rsid w:val="006A59DE"/>
    <w:rsid w:val="006A64C6"/>
    <w:rsid w:val="006A6655"/>
    <w:rsid w:val="006A6BF9"/>
    <w:rsid w:val="006A7AB8"/>
    <w:rsid w:val="006A7B43"/>
    <w:rsid w:val="006A7CB5"/>
    <w:rsid w:val="006A7FD0"/>
    <w:rsid w:val="006B025C"/>
    <w:rsid w:val="006B08ED"/>
    <w:rsid w:val="006B2170"/>
    <w:rsid w:val="006B2534"/>
    <w:rsid w:val="006B2CB2"/>
    <w:rsid w:val="006B347D"/>
    <w:rsid w:val="006B3505"/>
    <w:rsid w:val="006B3E19"/>
    <w:rsid w:val="006B4488"/>
    <w:rsid w:val="006B4D5D"/>
    <w:rsid w:val="006B4F56"/>
    <w:rsid w:val="006B50C4"/>
    <w:rsid w:val="006B53AE"/>
    <w:rsid w:val="006B58B4"/>
    <w:rsid w:val="006B67AC"/>
    <w:rsid w:val="006B786A"/>
    <w:rsid w:val="006B7E4E"/>
    <w:rsid w:val="006C003A"/>
    <w:rsid w:val="006C0D2C"/>
    <w:rsid w:val="006C1008"/>
    <w:rsid w:val="006C107C"/>
    <w:rsid w:val="006C189C"/>
    <w:rsid w:val="006C1C83"/>
    <w:rsid w:val="006C2454"/>
    <w:rsid w:val="006C2551"/>
    <w:rsid w:val="006C37CA"/>
    <w:rsid w:val="006C40D2"/>
    <w:rsid w:val="006C4B85"/>
    <w:rsid w:val="006C4BBD"/>
    <w:rsid w:val="006C551E"/>
    <w:rsid w:val="006C5B15"/>
    <w:rsid w:val="006C5D32"/>
    <w:rsid w:val="006C5DCB"/>
    <w:rsid w:val="006C6475"/>
    <w:rsid w:val="006C70C4"/>
    <w:rsid w:val="006C741F"/>
    <w:rsid w:val="006D04DA"/>
    <w:rsid w:val="006D10F6"/>
    <w:rsid w:val="006D1544"/>
    <w:rsid w:val="006D1688"/>
    <w:rsid w:val="006D1BE1"/>
    <w:rsid w:val="006D1DD3"/>
    <w:rsid w:val="006D1FF3"/>
    <w:rsid w:val="006D2C65"/>
    <w:rsid w:val="006D32C6"/>
    <w:rsid w:val="006D360E"/>
    <w:rsid w:val="006D3697"/>
    <w:rsid w:val="006D39D2"/>
    <w:rsid w:val="006D3A94"/>
    <w:rsid w:val="006D3F2A"/>
    <w:rsid w:val="006D4370"/>
    <w:rsid w:val="006D46A3"/>
    <w:rsid w:val="006D4FF2"/>
    <w:rsid w:val="006D5DCB"/>
    <w:rsid w:val="006D62E0"/>
    <w:rsid w:val="006D658F"/>
    <w:rsid w:val="006D66B2"/>
    <w:rsid w:val="006D6A12"/>
    <w:rsid w:val="006D712D"/>
    <w:rsid w:val="006D7687"/>
    <w:rsid w:val="006D7D1F"/>
    <w:rsid w:val="006D7D8A"/>
    <w:rsid w:val="006E046C"/>
    <w:rsid w:val="006E0572"/>
    <w:rsid w:val="006E05D8"/>
    <w:rsid w:val="006E08EE"/>
    <w:rsid w:val="006E0F32"/>
    <w:rsid w:val="006E155A"/>
    <w:rsid w:val="006E16DF"/>
    <w:rsid w:val="006E1860"/>
    <w:rsid w:val="006E2C34"/>
    <w:rsid w:val="006E359B"/>
    <w:rsid w:val="006E39D1"/>
    <w:rsid w:val="006E3A8B"/>
    <w:rsid w:val="006E3B05"/>
    <w:rsid w:val="006E437F"/>
    <w:rsid w:val="006E4D5B"/>
    <w:rsid w:val="006E597D"/>
    <w:rsid w:val="006E602F"/>
    <w:rsid w:val="006E6720"/>
    <w:rsid w:val="006E7275"/>
    <w:rsid w:val="006E77B8"/>
    <w:rsid w:val="006E7AAF"/>
    <w:rsid w:val="006F06B8"/>
    <w:rsid w:val="006F0F74"/>
    <w:rsid w:val="006F13BA"/>
    <w:rsid w:val="006F15CC"/>
    <w:rsid w:val="006F15F6"/>
    <w:rsid w:val="006F36EA"/>
    <w:rsid w:val="006F4147"/>
    <w:rsid w:val="006F4315"/>
    <w:rsid w:val="006F4CB0"/>
    <w:rsid w:val="006F4F78"/>
    <w:rsid w:val="006F547E"/>
    <w:rsid w:val="006F5CCF"/>
    <w:rsid w:val="006F6F04"/>
    <w:rsid w:val="006F71F5"/>
    <w:rsid w:val="007000A6"/>
    <w:rsid w:val="00700610"/>
    <w:rsid w:val="0070138A"/>
    <w:rsid w:val="0070157E"/>
    <w:rsid w:val="00701D0B"/>
    <w:rsid w:val="007030D4"/>
    <w:rsid w:val="00703279"/>
    <w:rsid w:val="00703B61"/>
    <w:rsid w:val="00703E11"/>
    <w:rsid w:val="00704102"/>
    <w:rsid w:val="0070437C"/>
    <w:rsid w:val="0070461C"/>
    <w:rsid w:val="00705631"/>
    <w:rsid w:val="00705818"/>
    <w:rsid w:val="00705F62"/>
    <w:rsid w:val="00706BC6"/>
    <w:rsid w:val="007075EC"/>
    <w:rsid w:val="0070773F"/>
    <w:rsid w:val="00707A2E"/>
    <w:rsid w:val="00707ED3"/>
    <w:rsid w:val="007101B7"/>
    <w:rsid w:val="00710668"/>
    <w:rsid w:val="00711019"/>
    <w:rsid w:val="007110F4"/>
    <w:rsid w:val="007112B1"/>
    <w:rsid w:val="0071130F"/>
    <w:rsid w:val="00712714"/>
    <w:rsid w:val="007129AB"/>
    <w:rsid w:val="00712B63"/>
    <w:rsid w:val="00713526"/>
    <w:rsid w:val="00713FC5"/>
    <w:rsid w:val="00714DCA"/>
    <w:rsid w:val="00715BBF"/>
    <w:rsid w:val="00715C29"/>
    <w:rsid w:val="00715CBD"/>
    <w:rsid w:val="00715EAA"/>
    <w:rsid w:val="00716119"/>
    <w:rsid w:val="007161B9"/>
    <w:rsid w:val="007162E1"/>
    <w:rsid w:val="00716497"/>
    <w:rsid w:val="00716630"/>
    <w:rsid w:val="00716CAD"/>
    <w:rsid w:val="00716F18"/>
    <w:rsid w:val="00717363"/>
    <w:rsid w:val="00717786"/>
    <w:rsid w:val="00717ACB"/>
    <w:rsid w:val="00720DAF"/>
    <w:rsid w:val="0072138B"/>
    <w:rsid w:val="00721BFF"/>
    <w:rsid w:val="0072220F"/>
    <w:rsid w:val="00723475"/>
    <w:rsid w:val="007236C4"/>
    <w:rsid w:val="007242E7"/>
    <w:rsid w:val="00724635"/>
    <w:rsid w:val="00724F21"/>
    <w:rsid w:val="00724FBB"/>
    <w:rsid w:val="00725134"/>
    <w:rsid w:val="0072554B"/>
    <w:rsid w:val="0072571F"/>
    <w:rsid w:val="007257F3"/>
    <w:rsid w:val="00725AFD"/>
    <w:rsid w:val="00726603"/>
    <w:rsid w:val="007266AC"/>
    <w:rsid w:val="00727B1D"/>
    <w:rsid w:val="00727DDC"/>
    <w:rsid w:val="00730CD6"/>
    <w:rsid w:val="00730F74"/>
    <w:rsid w:val="0073114B"/>
    <w:rsid w:val="00732151"/>
    <w:rsid w:val="00732EBC"/>
    <w:rsid w:val="00734952"/>
    <w:rsid w:val="00734990"/>
    <w:rsid w:val="00734FF5"/>
    <w:rsid w:val="00735B78"/>
    <w:rsid w:val="00735DA7"/>
    <w:rsid w:val="00736700"/>
    <w:rsid w:val="007368B4"/>
    <w:rsid w:val="007378E0"/>
    <w:rsid w:val="0074040E"/>
    <w:rsid w:val="00740529"/>
    <w:rsid w:val="00740876"/>
    <w:rsid w:val="00741358"/>
    <w:rsid w:val="00741626"/>
    <w:rsid w:val="00742332"/>
    <w:rsid w:val="00742886"/>
    <w:rsid w:val="00742DD2"/>
    <w:rsid w:val="007437C6"/>
    <w:rsid w:val="007441A2"/>
    <w:rsid w:val="00744E07"/>
    <w:rsid w:val="00744E80"/>
    <w:rsid w:val="00745035"/>
    <w:rsid w:val="0074531C"/>
    <w:rsid w:val="00745547"/>
    <w:rsid w:val="007459D0"/>
    <w:rsid w:val="0074623A"/>
    <w:rsid w:val="00746420"/>
    <w:rsid w:val="00746A60"/>
    <w:rsid w:val="00746E04"/>
    <w:rsid w:val="00746E08"/>
    <w:rsid w:val="00746E3D"/>
    <w:rsid w:val="007473B9"/>
    <w:rsid w:val="00747570"/>
    <w:rsid w:val="00747C96"/>
    <w:rsid w:val="00747EC7"/>
    <w:rsid w:val="00750075"/>
    <w:rsid w:val="007502EC"/>
    <w:rsid w:val="00750382"/>
    <w:rsid w:val="0075094E"/>
    <w:rsid w:val="00750FA8"/>
    <w:rsid w:val="00750FB5"/>
    <w:rsid w:val="007520F0"/>
    <w:rsid w:val="007522E8"/>
    <w:rsid w:val="007529DB"/>
    <w:rsid w:val="007534AD"/>
    <w:rsid w:val="007535E9"/>
    <w:rsid w:val="00753A21"/>
    <w:rsid w:val="00753BAC"/>
    <w:rsid w:val="0075463B"/>
    <w:rsid w:val="00754A0B"/>
    <w:rsid w:val="00754D46"/>
    <w:rsid w:val="00755229"/>
    <w:rsid w:val="007552DB"/>
    <w:rsid w:val="0075549F"/>
    <w:rsid w:val="00755B08"/>
    <w:rsid w:val="00755DD0"/>
    <w:rsid w:val="0075647A"/>
    <w:rsid w:val="00756A2F"/>
    <w:rsid w:val="007573E1"/>
    <w:rsid w:val="0075749E"/>
    <w:rsid w:val="00757722"/>
    <w:rsid w:val="00757B2D"/>
    <w:rsid w:val="00757BAD"/>
    <w:rsid w:val="00757D62"/>
    <w:rsid w:val="00760021"/>
    <w:rsid w:val="00760561"/>
    <w:rsid w:val="00760867"/>
    <w:rsid w:val="00760EB6"/>
    <w:rsid w:val="007616DB"/>
    <w:rsid w:val="00761AB7"/>
    <w:rsid w:val="00761CE6"/>
    <w:rsid w:val="0076228A"/>
    <w:rsid w:val="00762440"/>
    <w:rsid w:val="00762499"/>
    <w:rsid w:val="0076275B"/>
    <w:rsid w:val="007629B7"/>
    <w:rsid w:val="00762E60"/>
    <w:rsid w:val="007634AD"/>
    <w:rsid w:val="0076445F"/>
    <w:rsid w:val="00764EC5"/>
    <w:rsid w:val="007651EF"/>
    <w:rsid w:val="00766D49"/>
    <w:rsid w:val="00766ECC"/>
    <w:rsid w:val="007672F3"/>
    <w:rsid w:val="007677B5"/>
    <w:rsid w:val="007678B1"/>
    <w:rsid w:val="00770566"/>
    <w:rsid w:val="007708A8"/>
    <w:rsid w:val="00771358"/>
    <w:rsid w:val="00772100"/>
    <w:rsid w:val="00772275"/>
    <w:rsid w:val="00772D59"/>
    <w:rsid w:val="007734E4"/>
    <w:rsid w:val="0077380D"/>
    <w:rsid w:val="00773BC8"/>
    <w:rsid w:val="00774549"/>
    <w:rsid w:val="0077466F"/>
    <w:rsid w:val="007752B7"/>
    <w:rsid w:val="007759A8"/>
    <w:rsid w:val="00775C27"/>
    <w:rsid w:val="00775D98"/>
    <w:rsid w:val="00776B93"/>
    <w:rsid w:val="00776FE5"/>
    <w:rsid w:val="00777101"/>
    <w:rsid w:val="007774E7"/>
    <w:rsid w:val="0077768C"/>
    <w:rsid w:val="00777696"/>
    <w:rsid w:val="00777EDF"/>
    <w:rsid w:val="00777FF4"/>
    <w:rsid w:val="00780251"/>
    <w:rsid w:val="007804FE"/>
    <w:rsid w:val="00780F32"/>
    <w:rsid w:val="0078122E"/>
    <w:rsid w:val="00781939"/>
    <w:rsid w:val="00781D29"/>
    <w:rsid w:val="007825EF"/>
    <w:rsid w:val="0078286B"/>
    <w:rsid w:val="00782D2C"/>
    <w:rsid w:val="00782FC2"/>
    <w:rsid w:val="0078347A"/>
    <w:rsid w:val="00784938"/>
    <w:rsid w:val="00784FC4"/>
    <w:rsid w:val="00785BBB"/>
    <w:rsid w:val="00786937"/>
    <w:rsid w:val="00786FAD"/>
    <w:rsid w:val="00787B1B"/>
    <w:rsid w:val="00787CCC"/>
    <w:rsid w:val="00787D90"/>
    <w:rsid w:val="00787F5E"/>
    <w:rsid w:val="00790164"/>
    <w:rsid w:val="007905C6"/>
    <w:rsid w:val="00790A24"/>
    <w:rsid w:val="00790A37"/>
    <w:rsid w:val="00790A60"/>
    <w:rsid w:val="0079146D"/>
    <w:rsid w:val="00791C32"/>
    <w:rsid w:val="00791FF0"/>
    <w:rsid w:val="007923D0"/>
    <w:rsid w:val="007930D3"/>
    <w:rsid w:val="0079381F"/>
    <w:rsid w:val="00793A57"/>
    <w:rsid w:val="00793B2E"/>
    <w:rsid w:val="007948F5"/>
    <w:rsid w:val="00794AFB"/>
    <w:rsid w:val="00794DD2"/>
    <w:rsid w:val="00795647"/>
    <w:rsid w:val="007963F6"/>
    <w:rsid w:val="00796DC8"/>
    <w:rsid w:val="00796E80"/>
    <w:rsid w:val="0079744F"/>
    <w:rsid w:val="0079776F"/>
    <w:rsid w:val="007979AD"/>
    <w:rsid w:val="00797A9C"/>
    <w:rsid w:val="007A0EAB"/>
    <w:rsid w:val="007A2341"/>
    <w:rsid w:val="007A2754"/>
    <w:rsid w:val="007A38A1"/>
    <w:rsid w:val="007A3BBE"/>
    <w:rsid w:val="007A4766"/>
    <w:rsid w:val="007A5947"/>
    <w:rsid w:val="007A717B"/>
    <w:rsid w:val="007A7714"/>
    <w:rsid w:val="007B013C"/>
    <w:rsid w:val="007B0313"/>
    <w:rsid w:val="007B06BD"/>
    <w:rsid w:val="007B0854"/>
    <w:rsid w:val="007B0E48"/>
    <w:rsid w:val="007B1D1B"/>
    <w:rsid w:val="007B21AA"/>
    <w:rsid w:val="007B2504"/>
    <w:rsid w:val="007B2549"/>
    <w:rsid w:val="007B303E"/>
    <w:rsid w:val="007B32C0"/>
    <w:rsid w:val="007B32F7"/>
    <w:rsid w:val="007B3659"/>
    <w:rsid w:val="007B38B5"/>
    <w:rsid w:val="007B3BF3"/>
    <w:rsid w:val="007B431B"/>
    <w:rsid w:val="007B4558"/>
    <w:rsid w:val="007B4632"/>
    <w:rsid w:val="007B46A2"/>
    <w:rsid w:val="007B4828"/>
    <w:rsid w:val="007B4B2D"/>
    <w:rsid w:val="007B4D4A"/>
    <w:rsid w:val="007B4F7D"/>
    <w:rsid w:val="007B5428"/>
    <w:rsid w:val="007B59B7"/>
    <w:rsid w:val="007B6975"/>
    <w:rsid w:val="007B6C64"/>
    <w:rsid w:val="007B6EC8"/>
    <w:rsid w:val="007B6F81"/>
    <w:rsid w:val="007B7D01"/>
    <w:rsid w:val="007B7EA2"/>
    <w:rsid w:val="007C097D"/>
    <w:rsid w:val="007C0AF2"/>
    <w:rsid w:val="007C1360"/>
    <w:rsid w:val="007C1672"/>
    <w:rsid w:val="007C17AE"/>
    <w:rsid w:val="007C312A"/>
    <w:rsid w:val="007C3538"/>
    <w:rsid w:val="007C3570"/>
    <w:rsid w:val="007C38B1"/>
    <w:rsid w:val="007C3F3B"/>
    <w:rsid w:val="007C4241"/>
    <w:rsid w:val="007C425E"/>
    <w:rsid w:val="007C55FF"/>
    <w:rsid w:val="007C6339"/>
    <w:rsid w:val="007C753F"/>
    <w:rsid w:val="007C75F7"/>
    <w:rsid w:val="007C7B4F"/>
    <w:rsid w:val="007C7C43"/>
    <w:rsid w:val="007C7E15"/>
    <w:rsid w:val="007C7F0D"/>
    <w:rsid w:val="007D06E3"/>
    <w:rsid w:val="007D09E4"/>
    <w:rsid w:val="007D1134"/>
    <w:rsid w:val="007D1A55"/>
    <w:rsid w:val="007D231B"/>
    <w:rsid w:val="007D23F7"/>
    <w:rsid w:val="007D2566"/>
    <w:rsid w:val="007D2C18"/>
    <w:rsid w:val="007D2D74"/>
    <w:rsid w:val="007D3693"/>
    <w:rsid w:val="007D3C6D"/>
    <w:rsid w:val="007D481A"/>
    <w:rsid w:val="007D4B96"/>
    <w:rsid w:val="007D4ED0"/>
    <w:rsid w:val="007D5648"/>
    <w:rsid w:val="007D58C5"/>
    <w:rsid w:val="007D5DE8"/>
    <w:rsid w:val="007D7867"/>
    <w:rsid w:val="007D7CFC"/>
    <w:rsid w:val="007E0812"/>
    <w:rsid w:val="007E0825"/>
    <w:rsid w:val="007E18DF"/>
    <w:rsid w:val="007E214A"/>
    <w:rsid w:val="007E238D"/>
    <w:rsid w:val="007E2C36"/>
    <w:rsid w:val="007E350D"/>
    <w:rsid w:val="007E368B"/>
    <w:rsid w:val="007E3856"/>
    <w:rsid w:val="007E3ACA"/>
    <w:rsid w:val="007E3F4A"/>
    <w:rsid w:val="007E564D"/>
    <w:rsid w:val="007E5C4A"/>
    <w:rsid w:val="007E64D4"/>
    <w:rsid w:val="007E66E9"/>
    <w:rsid w:val="007E69F2"/>
    <w:rsid w:val="007E6A2A"/>
    <w:rsid w:val="007E7432"/>
    <w:rsid w:val="007E74BF"/>
    <w:rsid w:val="007E7657"/>
    <w:rsid w:val="007E7D2E"/>
    <w:rsid w:val="007F14D3"/>
    <w:rsid w:val="007F1D9D"/>
    <w:rsid w:val="007F1E28"/>
    <w:rsid w:val="007F1F63"/>
    <w:rsid w:val="007F22A0"/>
    <w:rsid w:val="007F2902"/>
    <w:rsid w:val="007F2903"/>
    <w:rsid w:val="007F2F90"/>
    <w:rsid w:val="007F320F"/>
    <w:rsid w:val="007F3320"/>
    <w:rsid w:val="007F3AC1"/>
    <w:rsid w:val="007F4976"/>
    <w:rsid w:val="007F4B40"/>
    <w:rsid w:val="007F5A56"/>
    <w:rsid w:val="007F5D42"/>
    <w:rsid w:val="007F616E"/>
    <w:rsid w:val="007F6B46"/>
    <w:rsid w:val="007F72CB"/>
    <w:rsid w:val="007F736A"/>
    <w:rsid w:val="007F7635"/>
    <w:rsid w:val="007F785F"/>
    <w:rsid w:val="007F7961"/>
    <w:rsid w:val="007F7AF6"/>
    <w:rsid w:val="007F7E36"/>
    <w:rsid w:val="00800E6D"/>
    <w:rsid w:val="008014D9"/>
    <w:rsid w:val="0080150F"/>
    <w:rsid w:val="0080153A"/>
    <w:rsid w:val="00801A2A"/>
    <w:rsid w:val="00802041"/>
    <w:rsid w:val="008022C9"/>
    <w:rsid w:val="00802605"/>
    <w:rsid w:val="00802F9E"/>
    <w:rsid w:val="00803700"/>
    <w:rsid w:val="00803D9D"/>
    <w:rsid w:val="00804D61"/>
    <w:rsid w:val="008059C6"/>
    <w:rsid w:val="00805AD7"/>
    <w:rsid w:val="00805BD6"/>
    <w:rsid w:val="00805DE3"/>
    <w:rsid w:val="00807C35"/>
    <w:rsid w:val="00807F35"/>
    <w:rsid w:val="00807F69"/>
    <w:rsid w:val="008100F7"/>
    <w:rsid w:val="00810206"/>
    <w:rsid w:val="0081022B"/>
    <w:rsid w:val="00811898"/>
    <w:rsid w:val="00811CDC"/>
    <w:rsid w:val="008124D8"/>
    <w:rsid w:val="00813A7B"/>
    <w:rsid w:val="00813F04"/>
    <w:rsid w:val="0081513E"/>
    <w:rsid w:val="00815DA5"/>
    <w:rsid w:val="00816221"/>
    <w:rsid w:val="0081766B"/>
    <w:rsid w:val="0082042F"/>
    <w:rsid w:val="008205AC"/>
    <w:rsid w:val="00820705"/>
    <w:rsid w:val="0082074B"/>
    <w:rsid w:val="00820CBF"/>
    <w:rsid w:val="00820CF5"/>
    <w:rsid w:val="00820FA8"/>
    <w:rsid w:val="008212FD"/>
    <w:rsid w:val="00821489"/>
    <w:rsid w:val="008217B7"/>
    <w:rsid w:val="0082239B"/>
    <w:rsid w:val="0082292E"/>
    <w:rsid w:val="00822D06"/>
    <w:rsid w:val="00822EC4"/>
    <w:rsid w:val="0082348D"/>
    <w:rsid w:val="008236BE"/>
    <w:rsid w:val="008241CE"/>
    <w:rsid w:val="00825240"/>
    <w:rsid w:val="00825326"/>
    <w:rsid w:val="00825B43"/>
    <w:rsid w:val="0082640A"/>
    <w:rsid w:val="00826F71"/>
    <w:rsid w:val="008278EF"/>
    <w:rsid w:val="00827CC0"/>
    <w:rsid w:val="00827CD3"/>
    <w:rsid w:val="008306AB"/>
    <w:rsid w:val="00831026"/>
    <w:rsid w:val="008310FE"/>
    <w:rsid w:val="0083119B"/>
    <w:rsid w:val="00831BAE"/>
    <w:rsid w:val="00832216"/>
    <w:rsid w:val="00832513"/>
    <w:rsid w:val="00832AD3"/>
    <w:rsid w:val="00832CD0"/>
    <w:rsid w:val="00833430"/>
    <w:rsid w:val="00833ADA"/>
    <w:rsid w:val="00834128"/>
    <w:rsid w:val="0083417F"/>
    <w:rsid w:val="00835143"/>
    <w:rsid w:val="0083569B"/>
    <w:rsid w:val="00835741"/>
    <w:rsid w:val="00836E74"/>
    <w:rsid w:val="00836EAB"/>
    <w:rsid w:val="00837673"/>
    <w:rsid w:val="008377D7"/>
    <w:rsid w:val="00837937"/>
    <w:rsid w:val="00837D82"/>
    <w:rsid w:val="00840893"/>
    <w:rsid w:val="00840E88"/>
    <w:rsid w:val="0084102C"/>
    <w:rsid w:val="008410B1"/>
    <w:rsid w:val="00841308"/>
    <w:rsid w:val="008423EC"/>
    <w:rsid w:val="008429A6"/>
    <w:rsid w:val="00843615"/>
    <w:rsid w:val="00843698"/>
    <w:rsid w:val="00843A4B"/>
    <w:rsid w:val="00843B57"/>
    <w:rsid w:val="00843B60"/>
    <w:rsid w:val="00843D33"/>
    <w:rsid w:val="008444F0"/>
    <w:rsid w:val="00844D4F"/>
    <w:rsid w:val="00844F38"/>
    <w:rsid w:val="00845AE3"/>
    <w:rsid w:val="008466A0"/>
    <w:rsid w:val="00847535"/>
    <w:rsid w:val="00847B6D"/>
    <w:rsid w:val="0085092D"/>
    <w:rsid w:val="008509A5"/>
    <w:rsid w:val="00850C79"/>
    <w:rsid w:val="00850D82"/>
    <w:rsid w:val="00850F79"/>
    <w:rsid w:val="0085100B"/>
    <w:rsid w:val="0085304C"/>
    <w:rsid w:val="008533E7"/>
    <w:rsid w:val="008536BB"/>
    <w:rsid w:val="0085377A"/>
    <w:rsid w:val="00853A3C"/>
    <w:rsid w:val="00853C53"/>
    <w:rsid w:val="00853EE0"/>
    <w:rsid w:val="0085433A"/>
    <w:rsid w:val="008548CA"/>
    <w:rsid w:val="008563B0"/>
    <w:rsid w:val="008568FE"/>
    <w:rsid w:val="00856C06"/>
    <w:rsid w:val="0085790B"/>
    <w:rsid w:val="008579B9"/>
    <w:rsid w:val="00857C95"/>
    <w:rsid w:val="00857E78"/>
    <w:rsid w:val="00860AEF"/>
    <w:rsid w:val="00860B18"/>
    <w:rsid w:val="00860D5E"/>
    <w:rsid w:val="0086122C"/>
    <w:rsid w:val="00861310"/>
    <w:rsid w:val="00861F53"/>
    <w:rsid w:val="0086264E"/>
    <w:rsid w:val="0086289E"/>
    <w:rsid w:val="008629CB"/>
    <w:rsid w:val="00862C72"/>
    <w:rsid w:val="0086394E"/>
    <w:rsid w:val="00863F8A"/>
    <w:rsid w:val="00863FB1"/>
    <w:rsid w:val="00863FE3"/>
    <w:rsid w:val="008640C4"/>
    <w:rsid w:val="00864241"/>
    <w:rsid w:val="0086465A"/>
    <w:rsid w:val="0086468A"/>
    <w:rsid w:val="008650BE"/>
    <w:rsid w:val="00865EAF"/>
    <w:rsid w:val="0086633B"/>
    <w:rsid w:val="00866495"/>
    <w:rsid w:val="00866881"/>
    <w:rsid w:val="00866931"/>
    <w:rsid w:val="00867512"/>
    <w:rsid w:val="008678A3"/>
    <w:rsid w:val="00867C13"/>
    <w:rsid w:val="00867C1D"/>
    <w:rsid w:val="0087033C"/>
    <w:rsid w:val="008715ED"/>
    <w:rsid w:val="008717D8"/>
    <w:rsid w:val="00871E3C"/>
    <w:rsid w:val="00872AC6"/>
    <w:rsid w:val="00872F97"/>
    <w:rsid w:val="00874607"/>
    <w:rsid w:val="008747E9"/>
    <w:rsid w:val="00874915"/>
    <w:rsid w:val="00874B89"/>
    <w:rsid w:val="00875403"/>
    <w:rsid w:val="00875434"/>
    <w:rsid w:val="00875C1F"/>
    <w:rsid w:val="00876215"/>
    <w:rsid w:val="0087646C"/>
    <w:rsid w:val="00876815"/>
    <w:rsid w:val="00877932"/>
    <w:rsid w:val="008808C7"/>
    <w:rsid w:val="0088106B"/>
    <w:rsid w:val="0088107D"/>
    <w:rsid w:val="0088187A"/>
    <w:rsid w:val="00881E64"/>
    <w:rsid w:val="00882C44"/>
    <w:rsid w:val="00882E39"/>
    <w:rsid w:val="008850EB"/>
    <w:rsid w:val="00885228"/>
    <w:rsid w:val="008857E3"/>
    <w:rsid w:val="00885C58"/>
    <w:rsid w:val="00885E06"/>
    <w:rsid w:val="00886DF2"/>
    <w:rsid w:val="00886FB9"/>
    <w:rsid w:val="00887057"/>
    <w:rsid w:val="00887080"/>
    <w:rsid w:val="00887C79"/>
    <w:rsid w:val="0089107B"/>
    <w:rsid w:val="008913CC"/>
    <w:rsid w:val="008914AE"/>
    <w:rsid w:val="008918A2"/>
    <w:rsid w:val="008919CF"/>
    <w:rsid w:val="00891F84"/>
    <w:rsid w:val="00891FC3"/>
    <w:rsid w:val="008928EC"/>
    <w:rsid w:val="00892A15"/>
    <w:rsid w:val="00892C44"/>
    <w:rsid w:val="00892E5D"/>
    <w:rsid w:val="0089338A"/>
    <w:rsid w:val="008935CF"/>
    <w:rsid w:val="0089436B"/>
    <w:rsid w:val="00894436"/>
    <w:rsid w:val="00894BB1"/>
    <w:rsid w:val="008951D0"/>
    <w:rsid w:val="00895442"/>
    <w:rsid w:val="0089582D"/>
    <w:rsid w:val="008959C6"/>
    <w:rsid w:val="0089606D"/>
    <w:rsid w:val="00896129"/>
    <w:rsid w:val="00896316"/>
    <w:rsid w:val="0089774F"/>
    <w:rsid w:val="00897875"/>
    <w:rsid w:val="008979F4"/>
    <w:rsid w:val="00897B8F"/>
    <w:rsid w:val="008A00D9"/>
    <w:rsid w:val="008A07D5"/>
    <w:rsid w:val="008A1FB7"/>
    <w:rsid w:val="008A229A"/>
    <w:rsid w:val="008A2A23"/>
    <w:rsid w:val="008A2AF5"/>
    <w:rsid w:val="008A2B5A"/>
    <w:rsid w:val="008A3F9D"/>
    <w:rsid w:val="008A43B0"/>
    <w:rsid w:val="008A5474"/>
    <w:rsid w:val="008A5C9A"/>
    <w:rsid w:val="008A6005"/>
    <w:rsid w:val="008A614F"/>
    <w:rsid w:val="008A6A55"/>
    <w:rsid w:val="008A6DF0"/>
    <w:rsid w:val="008A6F6E"/>
    <w:rsid w:val="008A7888"/>
    <w:rsid w:val="008A796E"/>
    <w:rsid w:val="008B0862"/>
    <w:rsid w:val="008B088C"/>
    <w:rsid w:val="008B1BF5"/>
    <w:rsid w:val="008B263F"/>
    <w:rsid w:val="008B3045"/>
    <w:rsid w:val="008B47A6"/>
    <w:rsid w:val="008B522C"/>
    <w:rsid w:val="008B5C7C"/>
    <w:rsid w:val="008B63FE"/>
    <w:rsid w:val="008B658D"/>
    <w:rsid w:val="008B672C"/>
    <w:rsid w:val="008B7101"/>
    <w:rsid w:val="008B7108"/>
    <w:rsid w:val="008B7634"/>
    <w:rsid w:val="008C047A"/>
    <w:rsid w:val="008C065F"/>
    <w:rsid w:val="008C0743"/>
    <w:rsid w:val="008C0B4C"/>
    <w:rsid w:val="008C0F69"/>
    <w:rsid w:val="008C11F0"/>
    <w:rsid w:val="008C1DBA"/>
    <w:rsid w:val="008C24E7"/>
    <w:rsid w:val="008C2500"/>
    <w:rsid w:val="008C2918"/>
    <w:rsid w:val="008C2CAC"/>
    <w:rsid w:val="008C3C57"/>
    <w:rsid w:val="008C3E2A"/>
    <w:rsid w:val="008C3EC6"/>
    <w:rsid w:val="008C45BD"/>
    <w:rsid w:val="008C4B19"/>
    <w:rsid w:val="008C62D4"/>
    <w:rsid w:val="008C6AEB"/>
    <w:rsid w:val="008C6B89"/>
    <w:rsid w:val="008C6B97"/>
    <w:rsid w:val="008C6D53"/>
    <w:rsid w:val="008C7EF7"/>
    <w:rsid w:val="008D0615"/>
    <w:rsid w:val="008D18AA"/>
    <w:rsid w:val="008D1A2A"/>
    <w:rsid w:val="008D1ADE"/>
    <w:rsid w:val="008D35D9"/>
    <w:rsid w:val="008D3B36"/>
    <w:rsid w:val="008D3B85"/>
    <w:rsid w:val="008D3C09"/>
    <w:rsid w:val="008D462D"/>
    <w:rsid w:val="008D6084"/>
    <w:rsid w:val="008D64AC"/>
    <w:rsid w:val="008D66CA"/>
    <w:rsid w:val="008D69B1"/>
    <w:rsid w:val="008D6F86"/>
    <w:rsid w:val="008D7338"/>
    <w:rsid w:val="008D785E"/>
    <w:rsid w:val="008D7D66"/>
    <w:rsid w:val="008E0012"/>
    <w:rsid w:val="008E08C2"/>
    <w:rsid w:val="008E0DF7"/>
    <w:rsid w:val="008E0FAD"/>
    <w:rsid w:val="008E11E4"/>
    <w:rsid w:val="008E1252"/>
    <w:rsid w:val="008E1347"/>
    <w:rsid w:val="008E16E0"/>
    <w:rsid w:val="008E1C15"/>
    <w:rsid w:val="008E1C9A"/>
    <w:rsid w:val="008E1DF5"/>
    <w:rsid w:val="008E28BD"/>
    <w:rsid w:val="008E2BE6"/>
    <w:rsid w:val="008E30C4"/>
    <w:rsid w:val="008E38B4"/>
    <w:rsid w:val="008E3BA4"/>
    <w:rsid w:val="008E44AB"/>
    <w:rsid w:val="008E4CAE"/>
    <w:rsid w:val="008E5179"/>
    <w:rsid w:val="008E57FE"/>
    <w:rsid w:val="008E6420"/>
    <w:rsid w:val="008E6598"/>
    <w:rsid w:val="008E710F"/>
    <w:rsid w:val="008E7214"/>
    <w:rsid w:val="008E7497"/>
    <w:rsid w:val="008E7884"/>
    <w:rsid w:val="008E7D6E"/>
    <w:rsid w:val="008F1056"/>
    <w:rsid w:val="008F23D9"/>
    <w:rsid w:val="008F2E8D"/>
    <w:rsid w:val="008F361D"/>
    <w:rsid w:val="008F387B"/>
    <w:rsid w:val="008F3DD9"/>
    <w:rsid w:val="008F409B"/>
    <w:rsid w:val="008F4163"/>
    <w:rsid w:val="008F4814"/>
    <w:rsid w:val="008F4B18"/>
    <w:rsid w:val="008F4DA6"/>
    <w:rsid w:val="008F538E"/>
    <w:rsid w:val="008F5A20"/>
    <w:rsid w:val="008F5ABA"/>
    <w:rsid w:val="008F6157"/>
    <w:rsid w:val="008F71AB"/>
    <w:rsid w:val="008F7905"/>
    <w:rsid w:val="008F7989"/>
    <w:rsid w:val="009000DB"/>
    <w:rsid w:val="00900912"/>
    <w:rsid w:val="00901F1D"/>
    <w:rsid w:val="009028E8"/>
    <w:rsid w:val="00902E5C"/>
    <w:rsid w:val="0090363E"/>
    <w:rsid w:val="009046E5"/>
    <w:rsid w:val="009047C5"/>
    <w:rsid w:val="00910683"/>
    <w:rsid w:val="00910E00"/>
    <w:rsid w:val="00910E04"/>
    <w:rsid w:val="00910FEC"/>
    <w:rsid w:val="009116CE"/>
    <w:rsid w:val="00911714"/>
    <w:rsid w:val="00911D04"/>
    <w:rsid w:val="00911EFF"/>
    <w:rsid w:val="0091310F"/>
    <w:rsid w:val="009136D4"/>
    <w:rsid w:val="00914B9A"/>
    <w:rsid w:val="00914C3F"/>
    <w:rsid w:val="00914F33"/>
    <w:rsid w:val="00915ACA"/>
    <w:rsid w:val="00915EFE"/>
    <w:rsid w:val="00915FCE"/>
    <w:rsid w:val="00916AFE"/>
    <w:rsid w:val="00916FC8"/>
    <w:rsid w:val="009170D3"/>
    <w:rsid w:val="0091759C"/>
    <w:rsid w:val="00920026"/>
    <w:rsid w:val="009203E2"/>
    <w:rsid w:val="00920BF5"/>
    <w:rsid w:val="00920F61"/>
    <w:rsid w:val="00921304"/>
    <w:rsid w:val="00921395"/>
    <w:rsid w:val="00921805"/>
    <w:rsid w:val="00921E63"/>
    <w:rsid w:val="00923396"/>
    <w:rsid w:val="00923F56"/>
    <w:rsid w:val="00924770"/>
    <w:rsid w:val="00925229"/>
    <w:rsid w:val="00925346"/>
    <w:rsid w:val="009254A1"/>
    <w:rsid w:val="00925743"/>
    <w:rsid w:val="0092579F"/>
    <w:rsid w:val="00925D65"/>
    <w:rsid w:val="00927E8D"/>
    <w:rsid w:val="00927F23"/>
    <w:rsid w:val="009307CD"/>
    <w:rsid w:val="00931364"/>
    <w:rsid w:val="00931365"/>
    <w:rsid w:val="00931451"/>
    <w:rsid w:val="009314FA"/>
    <w:rsid w:val="0093194F"/>
    <w:rsid w:val="00931BF3"/>
    <w:rsid w:val="00931C55"/>
    <w:rsid w:val="00933333"/>
    <w:rsid w:val="0093349A"/>
    <w:rsid w:val="0093360C"/>
    <w:rsid w:val="009338BA"/>
    <w:rsid w:val="00933EF7"/>
    <w:rsid w:val="00933FCB"/>
    <w:rsid w:val="009346C8"/>
    <w:rsid w:val="00934776"/>
    <w:rsid w:val="00934CEC"/>
    <w:rsid w:val="00934E69"/>
    <w:rsid w:val="00935E70"/>
    <w:rsid w:val="0093609A"/>
    <w:rsid w:val="00937401"/>
    <w:rsid w:val="009376FB"/>
    <w:rsid w:val="00937D6B"/>
    <w:rsid w:val="00940477"/>
    <w:rsid w:val="00940876"/>
    <w:rsid w:val="00940A53"/>
    <w:rsid w:val="00940F3C"/>
    <w:rsid w:val="009410E0"/>
    <w:rsid w:val="00941FA9"/>
    <w:rsid w:val="009439B6"/>
    <w:rsid w:val="009444B4"/>
    <w:rsid w:val="00944644"/>
    <w:rsid w:val="00944968"/>
    <w:rsid w:val="00945BE2"/>
    <w:rsid w:val="00946A24"/>
    <w:rsid w:val="009470D4"/>
    <w:rsid w:val="00947337"/>
    <w:rsid w:val="00947E6E"/>
    <w:rsid w:val="009512FA"/>
    <w:rsid w:val="009516A9"/>
    <w:rsid w:val="00951E57"/>
    <w:rsid w:val="00952350"/>
    <w:rsid w:val="00952505"/>
    <w:rsid w:val="00952FBB"/>
    <w:rsid w:val="00953018"/>
    <w:rsid w:val="009533E2"/>
    <w:rsid w:val="00953554"/>
    <w:rsid w:val="0095385A"/>
    <w:rsid w:val="00954F3A"/>
    <w:rsid w:val="009551B8"/>
    <w:rsid w:val="0095780A"/>
    <w:rsid w:val="009578C3"/>
    <w:rsid w:val="009579E4"/>
    <w:rsid w:val="00957AA4"/>
    <w:rsid w:val="00957ACB"/>
    <w:rsid w:val="00957F27"/>
    <w:rsid w:val="00960BDB"/>
    <w:rsid w:val="0096105C"/>
    <w:rsid w:val="0096147D"/>
    <w:rsid w:val="00961D53"/>
    <w:rsid w:val="00961E5F"/>
    <w:rsid w:val="009625C6"/>
    <w:rsid w:val="009629B5"/>
    <w:rsid w:val="00962A50"/>
    <w:rsid w:val="00963550"/>
    <w:rsid w:val="00963C19"/>
    <w:rsid w:val="00964138"/>
    <w:rsid w:val="009648D6"/>
    <w:rsid w:val="00964B3F"/>
    <w:rsid w:val="00964C98"/>
    <w:rsid w:val="00971441"/>
    <w:rsid w:val="00971555"/>
    <w:rsid w:val="009715D4"/>
    <w:rsid w:val="0097179A"/>
    <w:rsid w:val="00971B0A"/>
    <w:rsid w:val="009731F4"/>
    <w:rsid w:val="009732A4"/>
    <w:rsid w:val="00973C05"/>
    <w:rsid w:val="00973DC6"/>
    <w:rsid w:val="009744FF"/>
    <w:rsid w:val="0097494E"/>
    <w:rsid w:val="00974999"/>
    <w:rsid w:val="00974B58"/>
    <w:rsid w:val="00974CBD"/>
    <w:rsid w:val="009753C3"/>
    <w:rsid w:val="00975445"/>
    <w:rsid w:val="00975460"/>
    <w:rsid w:val="009761ED"/>
    <w:rsid w:val="0098022F"/>
    <w:rsid w:val="009810DE"/>
    <w:rsid w:val="00981B91"/>
    <w:rsid w:val="009822D7"/>
    <w:rsid w:val="009827E6"/>
    <w:rsid w:val="00982F84"/>
    <w:rsid w:val="009831C3"/>
    <w:rsid w:val="0098427D"/>
    <w:rsid w:val="00984567"/>
    <w:rsid w:val="00985102"/>
    <w:rsid w:val="009854BC"/>
    <w:rsid w:val="00985A66"/>
    <w:rsid w:val="00985F1E"/>
    <w:rsid w:val="0098606C"/>
    <w:rsid w:val="009865D5"/>
    <w:rsid w:val="009876F2"/>
    <w:rsid w:val="00987C77"/>
    <w:rsid w:val="00987FED"/>
    <w:rsid w:val="00990345"/>
    <w:rsid w:val="00990701"/>
    <w:rsid w:val="0099119C"/>
    <w:rsid w:val="0099137A"/>
    <w:rsid w:val="0099211C"/>
    <w:rsid w:val="009927C6"/>
    <w:rsid w:val="00993013"/>
    <w:rsid w:val="009936FA"/>
    <w:rsid w:val="00993B78"/>
    <w:rsid w:val="00994755"/>
    <w:rsid w:val="00994F3F"/>
    <w:rsid w:val="00995119"/>
    <w:rsid w:val="0099531F"/>
    <w:rsid w:val="009953AD"/>
    <w:rsid w:val="009957D7"/>
    <w:rsid w:val="0099583D"/>
    <w:rsid w:val="00996020"/>
    <w:rsid w:val="0099629E"/>
    <w:rsid w:val="00996992"/>
    <w:rsid w:val="00996E1E"/>
    <w:rsid w:val="00997148"/>
    <w:rsid w:val="00997392"/>
    <w:rsid w:val="0099747C"/>
    <w:rsid w:val="0099771C"/>
    <w:rsid w:val="009A01E4"/>
    <w:rsid w:val="009A0917"/>
    <w:rsid w:val="009A0A33"/>
    <w:rsid w:val="009A1351"/>
    <w:rsid w:val="009A1723"/>
    <w:rsid w:val="009A2041"/>
    <w:rsid w:val="009A2435"/>
    <w:rsid w:val="009A35DC"/>
    <w:rsid w:val="009A38AB"/>
    <w:rsid w:val="009A39EE"/>
    <w:rsid w:val="009A3D47"/>
    <w:rsid w:val="009A4D63"/>
    <w:rsid w:val="009A5356"/>
    <w:rsid w:val="009A5468"/>
    <w:rsid w:val="009A5D99"/>
    <w:rsid w:val="009A608C"/>
    <w:rsid w:val="009A653C"/>
    <w:rsid w:val="009A6A06"/>
    <w:rsid w:val="009A6FDF"/>
    <w:rsid w:val="009A715F"/>
    <w:rsid w:val="009A76D6"/>
    <w:rsid w:val="009B2374"/>
    <w:rsid w:val="009B2E29"/>
    <w:rsid w:val="009B3140"/>
    <w:rsid w:val="009B3163"/>
    <w:rsid w:val="009B422F"/>
    <w:rsid w:val="009B4620"/>
    <w:rsid w:val="009B46BC"/>
    <w:rsid w:val="009B4D1A"/>
    <w:rsid w:val="009B519D"/>
    <w:rsid w:val="009B558B"/>
    <w:rsid w:val="009B6D21"/>
    <w:rsid w:val="009B6E85"/>
    <w:rsid w:val="009B78ED"/>
    <w:rsid w:val="009C0E1B"/>
    <w:rsid w:val="009C12AB"/>
    <w:rsid w:val="009C181C"/>
    <w:rsid w:val="009C1A44"/>
    <w:rsid w:val="009C1C7F"/>
    <w:rsid w:val="009C1EC7"/>
    <w:rsid w:val="009C2210"/>
    <w:rsid w:val="009C28A2"/>
    <w:rsid w:val="009C2BAE"/>
    <w:rsid w:val="009C3239"/>
    <w:rsid w:val="009C3828"/>
    <w:rsid w:val="009C3AD3"/>
    <w:rsid w:val="009C3AF4"/>
    <w:rsid w:val="009C3D2C"/>
    <w:rsid w:val="009C4832"/>
    <w:rsid w:val="009C4987"/>
    <w:rsid w:val="009C4FDE"/>
    <w:rsid w:val="009C523F"/>
    <w:rsid w:val="009C52E2"/>
    <w:rsid w:val="009C5905"/>
    <w:rsid w:val="009C59BF"/>
    <w:rsid w:val="009C5E4F"/>
    <w:rsid w:val="009C5F64"/>
    <w:rsid w:val="009C5F82"/>
    <w:rsid w:val="009C60EA"/>
    <w:rsid w:val="009C6BFC"/>
    <w:rsid w:val="009C70F8"/>
    <w:rsid w:val="009C78A3"/>
    <w:rsid w:val="009C7E68"/>
    <w:rsid w:val="009D00D7"/>
    <w:rsid w:val="009D0156"/>
    <w:rsid w:val="009D05DA"/>
    <w:rsid w:val="009D11F6"/>
    <w:rsid w:val="009D1A14"/>
    <w:rsid w:val="009D1E2A"/>
    <w:rsid w:val="009D1FA0"/>
    <w:rsid w:val="009D2BDF"/>
    <w:rsid w:val="009D3736"/>
    <w:rsid w:val="009D4529"/>
    <w:rsid w:val="009D460F"/>
    <w:rsid w:val="009D604F"/>
    <w:rsid w:val="009D61BB"/>
    <w:rsid w:val="009D6410"/>
    <w:rsid w:val="009D68BB"/>
    <w:rsid w:val="009D6909"/>
    <w:rsid w:val="009D700F"/>
    <w:rsid w:val="009D70C2"/>
    <w:rsid w:val="009D7244"/>
    <w:rsid w:val="009D7ADB"/>
    <w:rsid w:val="009D7B33"/>
    <w:rsid w:val="009D7BF4"/>
    <w:rsid w:val="009E06C3"/>
    <w:rsid w:val="009E0703"/>
    <w:rsid w:val="009E1035"/>
    <w:rsid w:val="009E16DA"/>
    <w:rsid w:val="009E1CD4"/>
    <w:rsid w:val="009E2391"/>
    <w:rsid w:val="009E3704"/>
    <w:rsid w:val="009E476A"/>
    <w:rsid w:val="009E4E05"/>
    <w:rsid w:val="009E5680"/>
    <w:rsid w:val="009E56FF"/>
    <w:rsid w:val="009E5CB1"/>
    <w:rsid w:val="009E5E56"/>
    <w:rsid w:val="009E61EA"/>
    <w:rsid w:val="009E6990"/>
    <w:rsid w:val="009E6FEE"/>
    <w:rsid w:val="009F002C"/>
    <w:rsid w:val="009F00B9"/>
    <w:rsid w:val="009F060F"/>
    <w:rsid w:val="009F0781"/>
    <w:rsid w:val="009F0850"/>
    <w:rsid w:val="009F170C"/>
    <w:rsid w:val="009F1BDF"/>
    <w:rsid w:val="009F1BFF"/>
    <w:rsid w:val="009F1EAE"/>
    <w:rsid w:val="009F2848"/>
    <w:rsid w:val="009F369D"/>
    <w:rsid w:val="009F36FE"/>
    <w:rsid w:val="009F399F"/>
    <w:rsid w:val="009F4990"/>
    <w:rsid w:val="009F4F25"/>
    <w:rsid w:val="009F59C2"/>
    <w:rsid w:val="009F7263"/>
    <w:rsid w:val="009F76EA"/>
    <w:rsid w:val="009F78EB"/>
    <w:rsid w:val="009F7DB2"/>
    <w:rsid w:val="009F7F32"/>
    <w:rsid w:val="009F7FEB"/>
    <w:rsid w:val="00A003D5"/>
    <w:rsid w:val="00A0056C"/>
    <w:rsid w:val="00A00EDF"/>
    <w:rsid w:val="00A00F5E"/>
    <w:rsid w:val="00A0120D"/>
    <w:rsid w:val="00A01852"/>
    <w:rsid w:val="00A0188B"/>
    <w:rsid w:val="00A01C35"/>
    <w:rsid w:val="00A01E73"/>
    <w:rsid w:val="00A023E7"/>
    <w:rsid w:val="00A02B88"/>
    <w:rsid w:val="00A03160"/>
    <w:rsid w:val="00A036AC"/>
    <w:rsid w:val="00A03A1F"/>
    <w:rsid w:val="00A03C54"/>
    <w:rsid w:val="00A03DE5"/>
    <w:rsid w:val="00A041BC"/>
    <w:rsid w:val="00A0447F"/>
    <w:rsid w:val="00A046D2"/>
    <w:rsid w:val="00A04A54"/>
    <w:rsid w:val="00A058B8"/>
    <w:rsid w:val="00A05B4B"/>
    <w:rsid w:val="00A066C3"/>
    <w:rsid w:val="00A06754"/>
    <w:rsid w:val="00A0696E"/>
    <w:rsid w:val="00A069E0"/>
    <w:rsid w:val="00A06E4A"/>
    <w:rsid w:val="00A070E9"/>
    <w:rsid w:val="00A078FB"/>
    <w:rsid w:val="00A1036D"/>
    <w:rsid w:val="00A1069F"/>
    <w:rsid w:val="00A10ACA"/>
    <w:rsid w:val="00A10D08"/>
    <w:rsid w:val="00A113EB"/>
    <w:rsid w:val="00A11E78"/>
    <w:rsid w:val="00A12038"/>
    <w:rsid w:val="00A12355"/>
    <w:rsid w:val="00A1237C"/>
    <w:rsid w:val="00A12574"/>
    <w:rsid w:val="00A127D2"/>
    <w:rsid w:val="00A1284E"/>
    <w:rsid w:val="00A13CF5"/>
    <w:rsid w:val="00A143EC"/>
    <w:rsid w:val="00A149E8"/>
    <w:rsid w:val="00A1500F"/>
    <w:rsid w:val="00A15621"/>
    <w:rsid w:val="00A15670"/>
    <w:rsid w:val="00A157A0"/>
    <w:rsid w:val="00A1585B"/>
    <w:rsid w:val="00A15C19"/>
    <w:rsid w:val="00A15FE9"/>
    <w:rsid w:val="00A16809"/>
    <w:rsid w:val="00A17232"/>
    <w:rsid w:val="00A17584"/>
    <w:rsid w:val="00A17769"/>
    <w:rsid w:val="00A17EA2"/>
    <w:rsid w:val="00A20264"/>
    <w:rsid w:val="00A20997"/>
    <w:rsid w:val="00A210D4"/>
    <w:rsid w:val="00A213DD"/>
    <w:rsid w:val="00A21454"/>
    <w:rsid w:val="00A216CE"/>
    <w:rsid w:val="00A22025"/>
    <w:rsid w:val="00A22498"/>
    <w:rsid w:val="00A22571"/>
    <w:rsid w:val="00A2298D"/>
    <w:rsid w:val="00A23EAB"/>
    <w:rsid w:val="00A24560"/>
    <w:rsid w:val="00A24C11"/>
    <w:rsid w:val="00A25924"/>
    <w:rsid w:val="00A25B0F"/>
    <w:rsid w:val="00A25BBB"/>
    <w:rsid w:val="00A275AC"/>
    <w:rsid w:val="00A27FB6"/>
    <w:rsid w:val="00A30121"/>
    <w:rsid w:val="00A30368"/>
    <w:rsid w:val="00A3043A"/>
    <w:rsid w:val="00A30968"/>
    <w:rsid w:val="00A30E02"/>
    <w:rsid w:val="00A30F6A"/>
    <w:rsid w:val="00A31C3E"/>
    <w:rsid w:val="00A34538"/>
    <w:rsid w:val="00A34677"/>
    <w:rsid w:val="00A3540F"/>
    <w:rsid w:val="00A35630"/>
    <w:rsid w:val="00A35914"/>
    <w:rsid w:val="00A36189"/>
    <w:rsid w:val="00A37975"/>
    <w:rsid w:val="00A37E73"/>
    <w:rsid w:val="00A37FB6"/>
    <w:rsid w:val="00A409BC"/>
    <w:rsid w:val="00A409E2"/>
    <w:rsid w:val="00A4104A"/>
    <w:rsid w:val="00A41081"/>
    <w:rsid w:val="00A411CA"/>
    <w:rsid w:val="00A42080"/>
    <w:rsid w:val="00A42096"/>
    <w:rsid w:val="00A4213F"/>
    <w:rsid w:val="00A426F3"/>
    <w:rsid w:val="00A42939"/>
    <w:rsid w:val="00A42FDF"/>
    <w:rsid w:val="00A430A9"/>
    <w:rsid w:val="00A431FE"/>
    <w:rsid w:val="00A4383A"/>
    <w:rsid w:val="00A439E5"/>
    <w:rsid w:val="00A4414E"/>
    <w:rsid w:val="00A4497A"/>
    <w:rsid w:val="00A44AB5"/>
    <w:rsid w:val="00A44BE8"/>
    <w:rsid w:val="00A44C96"/>
    <w:rsid w:val="00A44CDD"/>
    <w:rsid w:val="00A44F54"/>
    <w:rsid w:val="00A4566E"/>
    <w:rsid w:val="00A45F9B"/>
    <w:rsid w:val="00A46574"/>
    <w:rsid w:val="00A47849"/>
    <w:rsid w:val="00A500B1"/>
    <w:rsid w:val="00A506E0"/>
    <w:rsid w:val="00A52A53"/>
    <w:rsid w:val="00A52EE5"/>
    <w:rsid w:val="00A53037"/>
    <w:rsid w:val="00A532B9"/>
    <w:rsid w:val="00A5351D"/>
    <w:rsid w:val="00A53E79"/>
    <w:rsid w:val="00A54031"/>
    <w:rsid w:val="00A5426D"/>
    <w:rsid w:val="00A54FC2"/>
    <w:rsid w:val="00A55122"/>
    <w:rsid w:val="00A5579A"/>
    <w:rsid w:val="00A55CEA"/>
    <w:rsid w:val="00A56DE7"/>
    <w:rsid w:val="00A57256"/>
    <w:rsid w:val="00A57EB2"/>
    <w:rsid w:val="00A6009E"/>
    <w:rsid w:val="00A60265"/>
    <w:rsid w:val="00A60540"/>
    <w:rsid w:val="00A60B1F"/>
    <w:rsid w:val="00A61C60"/>
    <w:rsid w:val="00A62589"/>
    <w:rsid w:val="00A62AD0"/>
    <w:rsid w:val="00A62C3A"/>
    <w:rsid w:val="00A6319C"/>
    <w:rsid w:val="00A63812"/>
    <w:rsid w:val="00A63DF7"/>
    <w:rsid w:val="00A6454D"/>
    <w:rsid w:val="00A64F2F"/>
    <w:rsid w:val="00A6551D"/>
    <w:rsid w:val="00A6611E"/>
    <w:rsid w:val="00A668BA"/>
    <w:rsid w:val="00A66FA7"/>
    <w:rsid w:val="00A67E16"/>
    <w:rsid w:val="00A67EB1"/>
    <w:rsid w:val="00A703CC"/>
    <w:rsid w:val="00A70C5C"/>
    <w:rsid w:val="00A710A2"/>
    <w:rsid w:val="00A71EA7"/>
    <w:rsid w:val="00A72653"/>
    <w:rsid w:val="00A730AD"/>
    <w:rsid w:val="00A73855"/>
    <w:rsid w:val="00A73D64"/>
    <w:rsid w:val="00A74216"/>
    <w:rsid w:val="00A74360"/>
    <w:rsid w:val="00A744B4"/>
    <w:rsid w:val="00A751E3"/>
    <w:rsid w:val="00A7536B"/>
    <w:rsid w:val="00A753B9"/>
    <w:rsid w:val="00A7549A"/>
    <w:rsid w:val="00A75504"/>
    <w:rsid w:val="00A75FD7"/>
    <w:rsid w:val="00A765B4"/>
    <w:rsid w:val="00A7677B"/>
    <w:rsid w:val="00A77168"/>
    <w:rsid w:val="00A7723B"/>
    <w:rsid w:val="00A773C3"/>
    <w:rsid w:val="00A776D0"/>
    <w:rsid w:val="00A7793C"/>
    <w:rsid w:val="00A77D21"/>
    <w:rsid w:val="00A77FAF"/>
    <w:rsid w:val="00A80085"/>
    <w:rsid w:val="00A802AD"/>
    <w:rsid w:val="00A8043B"/>
    <w:rsid w:val="00A80DA0"/>
    <w:rsid w:val="00A81323"/>
    <w:rsid w:val="00A820CB"/>
    <w:rsid w:val="00A82342"/>
    <w:rsid w:val="00A8236F"/>
    <w:rsid w:val="00A83BEF"/>
    <w:rsid w:val="00A84443"/>
    <w:rsid w:val="00A8487F"/>
    <w:rsid w:val="00A849A3"/>
    <w:rsid w:val="00A84A0E"/>
    <w:rsid w:val="00A84E7D"/>
    <w:rsid w:val="00A8575D"/>
    <w:rsid w:val="00A861F4"/>
    <w:rsid w:val="00A86ADE"/>
    <w:rsid w:val="00A86E0B"/>
    <w:rsid w:val="00A87894"/>
    <w:rsid w:val="00A90F12"/>
    <w:rsid w:val="00A91DAA"/>
    <w:rsid w:val="00A93101"/>
    <w:rsid w:val="00A93239"/>
    <w:rsid w:val="00A9413E"/>
    <w:rsid w:val="00A94293"/>
    <w:rsid w:val="00A9496E"/>
    <w:rsid w:val="00A949F0"/>
    <w:rsid w:val="00A94BDE"/>
    <w:rsid w:val="00A94FCA"/>
    <w:rsid w:val="00A95E4C"/>
    <w:rsid w:val="00A96C60"/>
    <w:rsid w:val="00A9740B"/>
    <w:rsid w:val="00A9766C"/>
    <w:rsid w:val="00A977F8"/>
    <w:rsid w:val="00A979DB"/>
    <w:rsid w:val="00A97C93"/>
    <w:rsid w:val="00AA06C6"/>
    <w:rsid w:val="00AA08E7"/>
    <w:rsid w:val="00AA0A06"/>
    <w:rsid w:val="00AA1351"/>
    <w:rsid w:val="00AA184C"/>
    <w:rsid w:val="00AA1AF4"/>
    <w:rsid w:val="00AA1C84"/>
    <w:rsid w:val="00AA3D7B"/>
    <w:rsid w:val="00AA42A0"/>
    <w:rsid w:val="00AA442B"/>
    <w:rsid w:val="00AA46A4"/>
    <w:rsid w:val="00AA5779"/>
    <w:rsid w:val="00AA58A1"/>
    <w:rsid w:val="00AA5BBC"/>
    <w:rsid w:val="00AA61C7"/>
    <w:rsid w:val="00AA669D"/>
    <w:rsid w:val="00AA66ED"/>
    <w:rsid w:val="00AA6B59"/>
    <w:rsid w:val="00AA6BE1"/>
    <w:rsid w:val="00AA7416"/>
    <w:rsid w:val="00AA7A60"/>
    <w:rsid w:val="00AA7B42"/>
    <w:rsid w:val="00AB0145"/>
    <w:rsid w:val="00AB041C"/>
    <w:rsid w:val="00AB132B"/>
    <w:rsid w:val="00AB14E8"/>
    <w:rsid w:val="00AB1B1D"/>
    <w:rsid w:val="00AB1CD8"/>
    <w:rsid w:val="00AB2216"/>
    <w:rsid w:val="00AB358D"/>
    <w:rsid w:val="00AB37A1"/>
    <w:rsid w:val="00AB3BAD"/>
    <w:rsid w:val="00AB3CFD"/>
    <w:rsid w:val="00AB49BC"/>
    <w:rsid w:val="00AB4DEE"/>
    <w:rsid w:val="00AB4E32"/>
    <w:rsid w:val="00AB5AC6"/>
    <w:rsid w:val="00AB5C19"/>
    <w:rsid w:val="00AB611D"/>
    <w:rsid w:val="00AB724B"/>
    <w:rsid w:val="00AB726C"/>
    <w:rsid w:val="00AB72B4"/>
    <w:rsid w:val="00AB7A7A"/>
    <w:rsid w:val="00AC02AA"/>
    <w:rsid w:val="00AC0537"/>
    <w:rsid w:val="00AC0A84"/>
    <w:rsid w:val="00AC1508"/>
    <w:rsid w:val="00AC2A0B"/>
    <w:rsid w:val="00AC2BEE"/>
    <w:rsid w:val="00AC2CA8"/>
    <w:rsid w:val="00AC2E53"/>
    <w:rsid w:val="00AC4462"/>
    <w:rsid w:val="00AC484F"/>
    <w:rsid w:val="00AC4B20"/>
    <w:rsid w:val="00AC55C7"/>
    <w:rsid w:val="00AC56F2"/>
    <w:rsid w:val="00AC5D9D"/>
    <w:rsid w:val="00AC71C3"/>
    <w:rsid w:val="00AD09F7"/>
    <w:rsid w:val="00AD1B3B"/>
    <w:rsid w:val="00AD1EFA"/>
    <w:rsid w:val="00AD2072"/>
    <w:rsid w:val="00AD2439"/>
    <w:rsid w:val="00AD2DBD"/>
    <w:rsid w:val="00AD2FBF"/>
    <w:rsid w:val="00AD340E"/>
    <w:rsid w:val="00AD455D"/>
    <w:rsid w:val="00AD463C"/>
    <w:rsid w:val="00AD4F60"/>
    <w:rsid w:val="00AD5044"/>
    <w:rsid w:val="00AD5114"/>
    <w:rsid w:val="00AD6236"/>
    <w:rsid w:val="00AD69D5"/>
    <w:rsid w:val="00AD74EE"/>
    <w:rsid w:val="00AD7619"/>
    <w:rsid w:val="00AD7770"/>
    <w:rsid w:val="00AE1772"/>
    <w:rsid w:val="00AE1990"/>
    <w:rsid w:val="00AE25E8"/>
    <w:rsid w:val="00AE2AD4"/>
    <w:rsid w:val="00AE2CA7"/>
    <w:rsid w:val="00AE2E59"/>
    <w:rsid w:val="00AE2F1D"/>
    <w:rsid w:val="00AE4C81"/>
    <w:rsid w:val="00AE4CF8"/>
    <w:rsid w:val="00AE586F"/>
    <w:rsid w:val="00AE62FE"/>
    <w:rsid w:val="00AE6582"/>
    <w:rsid w:val="00AE6D6C"/>
    <w:rsid w:val="00AE6DC5"/>
    <w:rsid w:val="00AE74CB"/>
    <w:rsid w:val="00AE7686"/>
    <w:rsid w:val="00AE799A"/>
    <w:rsid w:val="00AF07A5"/>
    <w:rsid w:val="00AF0E81"/>
    <w:rsid w:val="00AF117A"/>
    <w:rsid w:val="00AF16CA"/>
    <w:rsid w:val="00AF186E"/>
    <w:rsid w:val="00AF19DF"/>
    <w:rsid w:val="00AF1D41"/>
    <w:rsid w:val="00AF26CF"/>
    <w:rsid w:val="00AF3124"/>
    <w:rsid w:val="00AF344D"/>
    <w:rsid w:val="00AF39B3"/>
    <w:rsid w:val="00AF3C1F"/>
    <w:rsid w:val="00AF4402"/>
    <w:rsid w:val="00AF4639"/>
    <w:rsid w:val="00AF4E92"/>
    <w:rsid w:val="00AF554B"/>
    <w:rsid w:val="00AF5C9B"/>
    <w:rsid w:val="00AF5D53"/>
    <w:rsid w:val="00AF5E2D"/>
    <w:rsid w:val="00AF644B"/>
    <w:rsid w:val="00AF67EE"/>
    <w:rsid w:val="00AF69EB"/>
    <w:rsid w:val="00AF6CA6"/>
    <w:rsid w:val="00AF6EB6"/>
    <w:rsid w:val="00AF7796"/>
    <w:rsid w:val="00B011A9"/>
    <w:rsid w:val="00B01BAF"/>
    <w:rsid w:val="00B024ED"/>
    <w:rsid w:val="00B026B8"/>
    <w:rsid w:val="00B02EB3"/>
    <w:rsid w:val="00B02FCB"/>
    <w:rsid w:val="00B033F8"/>
    <w:rsid w:val="00B03C1E"/>
    <w:rsid w:val="00B04400"/>
    <w:rsid w:val="00B046C2"/>
    <w:rsid w:val="00B04835"/>
    <w:rsid w:val="00B04B71"/>
    <w:rsid w:val="00B05A55"/>
    <w:rsid w:val="00B05DE1"/>
    <w:rsid w:val="00B06595"/>
    <w:rsid w:val="00B06862"/>
    <w:rsid w:val="00B10109"/>
    <w:rsid w:val="00B1085E"/>
    <w:rsid w:val="00B10FD1"/>
    <w:rsid w:val="00B112D5"/>
    <w:rsid w:val="00B11378"/>
    <w:rsid w:val="00B120A8"/>
    <w:rsid w:val="00B1219D"/>
    <w:rsid w:val="00B12735"/>
    <w:rsid w:val="00B12F44"/>
    <w:rsid w:val="00B13342"/>
    <w:rsid w:val="00B13C48"/>
    <w:rsid w:val="00B13E35"/>
    <w:rsid w:val="00B13EC0"/>
    <w:rsid w:val="00B14102"/>
    <w:rsid w:val="00B14D32"/>
    <w:rsid w:val="00B1507C"/>
    <w:rsid w:val="00B1557C"/>
    <w:rsid w:val="00B155DC"/>
    <w:rsid w:val="00B15766"/>
    <w:rsid w:val="00B15E4A"/>
    <w:rsid w:val="00B1666A"/>
    <w:rsid w:val="00B167C8"/>
    <w:rsid w:val="00B1686D"/>
    <w:rsid w:val="00B16BF7"/>
    <w:rsid w:val="00B17129"/>
    <w:rsid w:val="00B17168"/>
    <w:rsid w:val="00B1741D"/>
    <w:rsid w:val="00B17447"/>
    <w:rsid w:val="00B1771D"/>
    <w:rsid w:val="00B17B91"/>
    <w:rsid w:val="00B20209"/>
    <w:rsid w:val="00B203C9"/>
    <w:rsid w:val="00B2088D"/>
    <w:rsid w:val="00B208FF"/>
    <w:rsid w:val="00B21271"/>
    <w:rsid w:val="00B22E22"/>
    <w:rsid w:val="00B22F5F"/>
    <w:rsid w:val="00B23353"/>
    <w:rsid w:val="00B23535"/>
    <w:rsid w:val="00B23813"/>
    <w:rsid w:val="00B23FD9"/>
    <w:rsid w:val="00B24591"/>
    <w:rsid w:val="00B245D5"/>
    <w:rsid w:val="00B245EF"/>
    <w:rsid w:val="00B24C36"/>
    <w:rsid w:val="00B24D9F"/>
    <w:rsid w:val="00B24F94"/>
    <w:rsid w:val="00B25126"/>
    <w:rsid w:val="00B25703"/>
    <w:rsid w:val="00B25A52"/>
    <w:rsid w:val="00B25FC3"/>
    <w:rsid w:val="00B2692F"/>
    <w:rsid w:val="00B270F8"/>
    <w:rsid w:val="00B27875"/>
    <w:rsid w:val="00B27EDC"/>
    <w:rsid w:val="00B3008D"/>
    <w:rsid w:val="00B30597"/>
    <w:rsid w:val="00B30884"/>
    <w:rsid w:val="00B30E11"/>
    <w:rsid w:val="00B30EAE"/>
    <w:rsid w:val="00B30EEB"/>
    <w:rsid w:val="00B311E4"/>
    <w:rsid w:val="00B31423"/>
    <w:rsid w:val="00B317AE"/>
    <w:rsid w:val="00B323E0"/>
    <w:rsid w:val="00B32D31"/>
    <w:rsid w:val="00B32DC0"/>
    <w:rsid w:val="00B3346C"/>
    <w:rsid w:val="00B334D9"/>
    <w:rsid w:val="00B334FE"/>
    <w:rsid w:val="00B335E4"/>
    <w:rsid w:val="00B33C23"/>
    <w:rsid w:val="00B345B4"/>
    <w:rsid w:val="00B346D9"/>
    <w:rsid w:val="00B348B1"/>
    <w:rsid w:val="00B34A28"/>
    <w:rsid w:val="00B35046"/>
    <w:rsid w:val="00B35B6A"/>
    <w:rsid w:val="00B368EC"/>
    <w:rsid w:val="00B36BE9"/>
    <w:rsid w:val="00B36D2B"/>
    <w:rsid w:val="00B37657"/>
    <w:rsid w:val="00B37AFD"/>
    <w:rsid w:val="00B37B07"/>
    <w:rsid w:val="00B4046F"/>
    <w:rsid w:val="00B406B3"/>
    <w:rsid w:val="00B40A36"/>
    <w:rsid w:val="00B41BCA"/>
    <w:rsid w:val="00B41D39"/>
    <w:rsid w:val="00B422C0"/>
    <w:rsid w:val="00B426CA"/>
    <w:rsid w:val="00B426E1"/>
    <w:rsid w:val="00B4387A"/>
    <w:rsid w:val="00B44746"/>
    <w:rsid w:val="00B44854"/>
    <w:rsid w:val="00B44BA5"/>
    <w:rsid w:val="00B458D0"/>
    <w:rsid w:val="00B47304"/>
    <w:rsid w:val="00B4792C"/>
    <w:rsid w:val="00B50CAE"/>
    <w:rsid w:val="00B512AD"/>
    <w:rsid w:val="00B5196C"/>
    <w:rsid w:val="00B525CB"/>
    <w:rsid w:val="00B52697"/>
    <w:rsid w:val="00B54215"/>
    <w:rsid w:val="00B54D8F"/>
    <w:rsid w:val="00B55857"/>
    <w:rsid w:val="00B55C69"/>
    <w:rsid w:val="00B56851"/>
    <w:rsid w:val="00B56D6E"/>
    <w:rsid w:val="00B572F7"/>
    <w:rsid w:val="00B574C3"/>
    <w:rsid w:val="00B57B9D"/>
    <w:rsid w:val="00B57DAF"/>
    <w:rsid w:val="00B60094"/>
    <w:rsid w:val="00B6022C"/>
    <w:rsid w:val="00B6040C"/>
    <w:rsid w:val="00B614F8"/>
    <w:rsid w:val="00B61994"/>
    <w:rsid w:val="00B61B18"/>
    <w:rsid w:val="00B61FD4"/>
    <w:rsid w:val="00B6235B"/>
    <w:rsid w:val="00B627C3"/>
    <w:rsid w:val="00B62880"/>
    <w:rsid w:val="00B63872"/>
    <w:rsid w:val="00B63CB2"/>
    <w:rsid w:val="00B64246"/>
    <w:rsid w:val="00B64EDB"/>
    <w:rsid w:val="00B65938"/>
    <w:rsid w:val="00B65C8A"/>
    <w:rsid w:val="00B65CE2"/>
    <w:rsid w:val="00B660AD"/>
    <w:rsid w:val="00B66109"/>
    <w:rsid w:val="00B66349"/>
    <w:rsid w:val="00B673E2"/>
    <w:rsid w:val="00B67CED"/>
    <w:rsid w:val="00B67FBF"/>
    <w:rsid w:val="00B70832"/>
    <w:rsid w:val="00B71376"/>
    <w:rsid w:val="00B716D7"/>
    <w:rsid w:val="00B72110"/>
    <w:rsid w:val="00B72353"/>
    <w:rsid w:val="00B72B91"/>
    <w:rsid w:val="00B73019"/>
    <w:rsid w:val="00B7315F"/>
    <w:rsid w:val="00B7323A"/>
    <w:rsid w:val="00B7353B"/>
    <w:rsid w:val="00B737FB"/>
    <w:rsid w:val="00B73E5D"/>
    <w:rsid w:val="00B73EF3"/>
    <w:rsid w:val="00B7423D"/>
    <w:rsid w:val="00B74D05"/>
    <w:rsid w:val="00B74EF8"/>
    <w:rsid w:val="00B75893"/>
    <w:rsid w:val="00B771F4"/>
    <w:rsid w:val="00B7762A"/>
    <w:rsid w:val="00B777FA"/>
    <w:rsid w:val="00B77850"/>
    <w:rsid w:val="00B7796B"/>
    <w:rsid w:val="00B80C72"/>
    <w:rsid w:val="00B816FB"/>
    <w:rsid w:val="00B81964"/>
    <w:rsid w:val="00B81E6F"/>
    <w:rsid w:val="00B82017"/>
    <w:rsid w:val="00B82123"/>
    <w:rsid w:val="00B8225B"/>
    <w:rsid w:val="00B82BB5"/>
    <w:rsid w:val="00B83182"/>
    <w:rsid w:val="00B838EB"/>
    <w:rsid w:val="00B839F0"/>
    <w:rsid w:val="00B851E4"/>
    <w:rsid w:val="00B854CE"/>
    <w:rsid w:val="00B85681"/>
    <w:rsid w:val="00B857EB"/>
    <w:rsid w:val="00B858AD"/>
    <w:rsid w:val="00B85E29"/>
    <w:rsid w:val="00B86162"/>
    <w:rsid w:val="00B8672E"/>
    <w:rsid w:val="00B86877"/>
    <w:rsid w:val="00B8695D"/>
    <w:rsid w:val="00B86E66"/>
    <w:rsid w:val="00B873BA"/>
    <w:rsid w:val="00B8746F"/>
    <w:rsid w:val="00B8760D"/>
    <w:rsid w:val="00B87706"/>
    <w:rsid w:val="00B90A49"/>
    <w:rsid w:val="00B90A73"/>
    <w:rsid w:val="00B91B8E"/>
    <w:rsid w:val="00B92531"/>
    <w:rsid w:val="00B92618"/>
    <w:rsid w:val="00B92751"/>
    <w:rsid w:val="00B92B69"/>
    <w:rsid w:val="00B92CC6"/>
    <w:rsid w:val="00B935C9"/>
    <w:rsid w:val="00B9360A"/>
    <w:rsid w:val="00B93E3D"/>
    <w:rsid w:val="00B9525F"/>
    <w:rsid w:val="00B95464"/>
    <w:rsid w:val="00B95C30"/>
    <w:rsid w:val="00B95E3D"/>
    <w:rsid w:val="00B9691F"/>
    <w:rsid w:val="00B96EEC"/>
    <w:rsid w:val="00B97392"/>
    <w:rsid w:val="00B976C7"/>
    <w:rsid w:val="00B97A73"/>
    <w:rsid w:val="00BA0C54"/>
    <w:rsid w:val="00BA1382"/>
    <w:rsid w:val="00BA15E3"/>
    <w:rsid w:val="00BA1A8C"/>
    <w:rsid w:val="00BA20B6"/>
    <w:rsid w:val="00BA20D8"/>
    <w:rsid w:val="00BA22FC"/>
    <w:rsid w:val="00BA2C2A"/>
    <w:rsid w:val="00BA2F30"/>
    <w:rsid w:val="00BA342C"/>
    <w:rsid w:val="00BA3982"/>
    <w:rsid w:val="00BA405F"/>
    <w:rsid w:val="00BA4771"/>
    <w:rsid w:val="00BA482B"/>
    <w:rsid w:val="00BA5027"/>
    <w:rsid w:val="00BA665B"/>
    <w:rsid w:val="00BA6C48"/>
    <w:rsid w:val="00BA6FE8"/>
    <w:rsid w:val="00BA732D"/>
    <w:rsid w:val="00BA7370"/>
    <w:rsid w:val="00BA778B"/>
    <w:rsid w:val="00BB0888"/>
    <w:rsid w:val="00BB0DF1"/>
    <w:rsid w:val="00BB0E9B"/>
    <w:rsid w:val="00BB15E9"/>
    <w:rsid w:val="00BB1A75"/>
    <w:rsid w:val="00BB2841"/>
    <w:rsid w:val="00BB300F"/>
    <w:rsid w:val="00BB32C9"/>
    <w:rsid w:val="00BB35C5"/>
    <w:rsid w:val="00BB39D8"/>
    <w:rsid w:val="00BB4048"/>
    <w:rsid w:val="00BB4C8E"/>
    <w:rsid w:val="00BB57ED"/>
    <w:rsid w:val="00BB5A2D"/>
    <w:rsid w:val="00BB606C"/>
    <w:rsid w:val="00BB65C3"/>
    <w:rsid w:val="00BB662E"/>
    <w:rsid w:val="00BB67A9"/>
    <w:rsid w:val="00BB6C01"/>
    <w:rsid w:val="00BB7942"/>
    <w:rsid w:val="00BB7CD1"/>
    <w:rsid w:val="00BC0F33"/>
    <w:rsid w:val="00BC14A7"/>
    <w:rsid w:val="00BC17CC"/>
    <w:rsid w:val="00BC209F"/>
    <w:rsid w:val="00BC2647"/>
    <w:rsid w:val="00BC2898"/>
    <w:rsid w:val="00BC2928"/>
    <w:rsid w:val="00BC29BD"/>
    <w:rsid w:val="00BC2BB1"/>
    <w:rsid w:val="00BC34A3"/>
    <w:rsid w:val="00BC3FF9"/>
    <w:rsid w:val="00BC4834"/>
    <w:rsid w:val="00BC4A97"/>
    <w:rsid w:val="00BC4BBC"/>
    <w:rsid w:val="00BC5A25"/>
    <w:rsid w:val="00BC5FDD"/>
    <w:rsid w:val="00BC68B4"/>
    <w:rsid w:val="00BC7277"/>
    <w:rsid w:val="00BC7DC0"/>
    <w:rsid w:val="00BD0140"/>
    <w:rsid w:val="00BD02CC"/>
    <w:rsid w:val="00BD088E"/>
    <w:rsid w:val="00BD0F18"/>
    <w:rsid w:val="00BD12A8"/>
    <w:rsid w:val="00BD182E"/>
    <w:rsid w:val="00BD2063"/>
    <w:rsid w:val="00BD2950"/>
    <w:rsid w:val="00BD337A"/>
    <w:rsid w:val="00BD33D9"/>
    <w:rsid w:val="00BD38C5"/>
    <w:rsid w:val="00BD3A6D"/>
    <w:rsid w:val="00BD3AF1"/>
    <w:rsid w:val="00BD3DEA"/>
    <w:rsid w:val="00BD3E97"/>
    <w:rsid w:val="00BD40E4"/>
    <w:rsid w:val="00BD52FE"/>
    <w:rsid w:val="00BD62CF"/>
    <w:rsid w:val="00BD641B"/>
    <w:rsid w:val="00BD67B2"/>
    <w:rsid w:val="00BD68E2"/>
    <w:rsid w:val="00BD6D41"/>
    <w:rsid w:val="00BD76E5"/>
    <w:rsid w:val="00BD78FE"/>
    <w:rsid w:val="00BE0149"/>
    <w:rsid w:val="00BE0767"/>
    <w:rsid w:val="00BE07A6"/>
    <w:rsid w:val="00BE0CDF"/>
    <w:rsid w:val="00BE0F24"/>
    <w:rsid w:val="00BE12D7"/>
    <w:rsid w:val="00BE1372"/>
    <w:rsid w:val="00BE1775"/>
    <w:rsid w:val="00BE18DA"/>
    <w:rsid w:val="00BE26C0"/>
    <w:rsid w:val="00BE2BC3"/>
    <w:rsid w:val="00BE3442"/>
    <w:rsid w:val="00BE37CD"/>
    <w:rsid w:val="00BE3F4F"/>
    <w:rsid w:val="00BE41B1"/>
    <w:rsid w:val="00BE47B2"/>
    <w:rsid w:val="00BE48C7"/>
    <w:rsid w:val="00BE4F66"/>
    <w:rsid w:val="00BE4FBF"/>
    <w:rsid w:val="00BE5172"/>
    <w:rsid w:val="00BE5238"/>
    <w:rsid w:val="00BE5742"/>
    <w:rsid w:val="00BE57B3"/>
    <w:rsid w:val="00BE5FEF"/>
    <w:rsid w:val="00BE6074"/>
    <w:rsid w:val="00BE6D73"/>
    <w:rsid w:val="00BE7257"/>
    <w:rsid w:val="00BF020D"/>
    <w:rsid w:val="00BF0532"/>
    <w:rsid w:val="00BF0609"/>
    <w:rsid w:val="00BF0EE8"/>
    <w:rsid w:val="00BF10ED"/>
    <w:rsid w:val="00BF1DD2"/>
    <w:rsid w:val="00BF23A3"/>
    <w:rsid w:val="00BF2A7E"/>
    <w:rsid w:val="00BF3331"/>
    <w:rsid w:val="00BF3A45"/>
    <w:rsid w:val="00BF3E98"/>
    <w:rsid w:val="00BF436F"/>
    <w:rsid w:val="00BF5899"/>
    <w:rsid w:val="00BF5C05"/>
    <w:rsid w:val="00BF6FC6"/>
    <w:rsid w:val="00BF7C52"/>
    <w:rsid w:val="00BF7F99"/>
    <w:rsid w:val="00C00713"/>
    <w:rsid w:val="00C009A0"/>
    <w:rsid w:val="00C01F74"/>
    <w:rsid w:val="00C02558"/>
    <w:rsid w:val="00C0285F"/>
    <w:rsid w:val="00C028F5"/>
    <w:rsid w:val="00C02F35"/>
    <w:rsid w:val="00C03305"/>
    <w:rsid w:val="00C03515"/>
    <w:rsid w:val="00C03738"/>
    <w:rsid w:val="00C037A6"/>
    <w:rsid w:val="00C04221"/>
    <w:rsid w:val="00C043F5"/>
    <w:rsid w:val="00C044E3"/>
    <w:rsid w:val="00C04607"/>
    <w:rsid w:val="00C04BDB"/>
    <w:rsid w:val="00C04E66"/>
    <w:rsid w:val="00C052C6"/>
    <w:rsid w:val="00C05A61"/>
    <w:rsid w:val="00C05FBA"/>
    <w:rsid w:val="00C05FEE"/>
    <w:rsid w:val="00C06CCF"/>
    <w:rsid w:val="00C0794D"/>
    <w:rsid w:val="00C10E78"/>
    <w:rsid w:val="00C1159D"/>
    <w:rsid w:val="00C1233E"/>
    <w:rsid w:val="00C12FB3"/>
    <w:rsid w:val="00C138BC"/>
    <w:rsid w:val="00C13D85"/>
    <w:rsid w:val="00C14639"/>
    <w:rsid w:val="00C14E82"/>
    <w:rsid w:val="00C14FF6"/>
    <w:rsid w:val="00C15257"/>
    <w:rsid w:val="00C15567"/>
    <w:rsid w:val="00C15A85"/>
    <w:rsid w:val="00C1637C"/>
    <w:rsid w:val="00C1641B"/>
    <w:rsid w:val="00C165FC"/>
    <w:rsid w:val="00C16DCE"/>
    <w:rsid w:val="00C176D5"/>
    <w:rsid w:val="00C17D24"/>
    <w:rsid w:val="00C2082C"/>
    <w:rsid w:val="00C20EB0"/>
    <w:rsid w:val="00C21004"/>
    <w:rsid w:val="00C21005"/>
    <w:rsid w:val="00C214C3"/>
    <w:rsid w:val="00C220B6"/>
    <w:rsid w:val="00C22D7C"/>
    <w:rsid w:val="00C22DDE"/>
    <w:rsid w:val="00C2338B"/>
    <w:rsid w:val="00C233CE"/>
    <w:rsid w:val="00C237DD"/>
    <w:rsid w:val="00C238F4"/>
    <w:rsid w:val="00C2393A"/>
    <w:rsid w:val="00C23A99"/>
    <w:rsid w:val="00C245EE"/>
    <w:rsid w:val="00C24AE1"/>
    <w:rsid w:val="00C24B8D"/>
    <w:rsid w:val="00C24BD7"/>
    <w:rsid w:val="00C25813"/>
    <w:rsid w:val="00C26C71"/>
    <w:rsid w:val="00C27143"/>
    <w:rsid w:val="00C27490"/>
    <w:rsid w:val="00C27D37"/>
    <w:rsid w:val="00C309E8"/>
    <w:rsid w:val="00C32017"/>
    <w:rsid w:val="00C32571"/>
    <w:rsid w:val="00C325CD"/>
    <w:rsid w:val="00C3322E"/>
    <w:rsid w:val="00C333B2"/>
    <w:rsid w:val="00C337F5"/>
    <w:rsid w:val="00C3383E"/>
    <w:rsid w:val="00C33B90"/>
    <w:rsid w:val="00C34161"/>
    <w:rsid w:val="00C34B5F"/>
    <w:rsid w:val="00C358D4"/>
    <w:rsid w:val="00C35EE4"/>
    <w:rsid w:val="00C365C6"/>
    <w:rsid w:val="00C366F4"/>
    <w:rsid w:val="00C36785"/>
    <w:rsid w:val="00C36C0E"/>
    <w:rsid w:val="00C3711C"/>
    <w:rsid w:val="00C37256"/>
    <w:rsid w:val="00C37A7B"/>
    <w:rsid w:val="00C37DC1"/>
    <w:rsid w:val="00C37FFE"/>
    <w:rsid w:val="00C40B50"/>
    <w:rsid w:val="00C419E3"/>
    <w:rsid w:val="00C419F4"/>
    <w:rsid w:val="00C41E6A"/>
    <w:rsid w:val="00C42247"/>
    <w:rsid w:val="00C428E7"/>
    <w:rsid w:val="00C438A2"/>
    <w:rsid w:val="00C439BE"/>
    <w:rsid w:val="00C4539B"/>
    <w:rsid w:val="00C45466"/>
    <w:rsid w:val="00C455C1"/>
    <w:rsid w:val="00C4581D"/>
    <w:rsid w:val="00C46294"/>
    <w:rsid w:val="00C46599"/>
    <w:rsid w:val="00C47472"/>
    <w:rsid w:val="00C47B93"/>
    <w:rsid w:val="00C47E1B"/>
    <w:rsid w:val="00C500F0"/>
    <w:rsid w:val="00C504A7"/>
    <w:rsid w:val="00C506C9"/>
    <w:rsid w:val="00C50A16"/>
    <w:rsid w:val="00C50D6D"/>
    <w:rsid w:val="00C51C9A"/>
    <w:rsid w:val="00C51DE0"/>
    <w:rsid w:val="00C52C68"/>
    <w:rsid w:val="00C52D98"/>
    <w:rsid w:val="00C52DA1"/>
    <w:rsid w:val="00C53007"/>
    <w:rsid w:val="00C531F1"/>
    <w:rsid w:val="00C53D24"/>
    <w:rsid w:val="00C54640"/>
    <w:rsid w:val="00C547A6"/>
    <w:rsid w:val="00C54A3A"/>
    <w:rsid w:val="00C55C32"/>
    <w:rsid w:val="00C56A67"/>
    <w:rsid w:val="00C56CC2"/>
    <w:rsid w:val="00C56D8D"/>
    <w:rsid w:val="00C57498"/>
    <w:rsid w:val="00C5763C"/>
    <w:rsid w:val="00C5780C"/>
    <w:rsid w:val="00C5796B"/>
    <w:rsid w:val="00C57C64"/>
    <w:rsid w:val="00C612C4"/>
    <w:rsid w:val="00C619A1"/>
    <w:rsid w:val="00C62370"/>
    <w:rsid w:val="00C62BBB"/>
    <w:rsid w:val="00C6305F"/>
    <w:rsid w:val="00C6325B"/>
    <w:rsid w:val="00C638CD"/>
    <w:rsid w:val="00C63DDD"/>
    <w:rsid w:val="00C63E99"/>
    <w:rsid w:val="00C64723"/>
    <w:rsid w:val="00C649B8"/>
    <w:rsid w:val="00C64A64"/>
    <w:rsid w:val="00C65151"/>
    <w:rsid w:val="00C653BE"/>
    <w:rsid w:val="00C657F4"/>
    <w:rsid w:val="00C6598D"/>
    <w:rsid w:val="00C660FE"/>
    <w:rsid w:val="00C66119"/>
    <w:rsid w:val="00C66292"/>
    <w:rsid w:val="00C672A3"/>
    <w:rsid w:val="00C672F1"/>
    <w:rsid w:val="00C673D0"/>
    <w:rsid w:val="00C6742E"/>
    <w:rsid w:val="00C67B0B"/>
    <w:rsid w:val="00C67C0E"/>
    <w:rsid w:val="00C67E59"/>
    <w:rsid w:val="00C67F7A"/>
    <w:rsid w:val="00C70012"/>
    <w:rsid w:val="00C70622"/>
    <w:rsid w:val="00C70BF6"/>
    <w:rsid w:val="00C71E2A"/>
    <w:rsid w:val="00C733BA"/>
    <w:rsid w:val="00C760DC"/>
    <w:rsid w:val="00C76D48"/>
    <w:rsid w:val="00C770C5"/>
    <w:rsid w:val="00C8082B"/>
    <w:rsid w:val="00C81A88"/>
    <w:rsid w:val="00C81D46"/>
    <w:rsid w:val="00C82298"/>
    <w:rsid w:val="00C82DC7"/>
    <w:rsid w:val="00C8331F"/>
    <w:rsid w:val="00C833B4"/>
    <w:rsid w:val="00C84284"/>
    <w:rsid w:val="00C84954"/>
    <w:rsid w:val="00C84B8C"/>
    <w:rsid w:val="00C84E33"/>
    <w:rsid w:val="00C85682"/>
    <w:rsid w:val="00C85FFC"/>
    <w:rsid w:val="00C861FC"/>
    <w:rsid w:val="00C8698D"/>
    <w:rsid w:val="00C86C87"/>
    <w:rsid w:val="00C9005E"/>
    <w:rsid w:val="00C90111"/>
    <w:rsid w:val="00C9038E"/>
    <w:rsid w:val="00C9077B"/>
    <w:rsid w:val="00C90CA9"/>
    <w:rsid w:val="00C90F88"/>
    <w:rsid w:val="00C915F2"/>
    <w:rsid w:val="00C917B1"/>
    <w:rsid w:val="00C9193C"/>
    <w:rsid w:val="00C91B77"/>
    <w:rsid w:val="00C91B8E"/>
    <w:rsid w:val="00C920E2"/>
    <w:rsid w:val="00C9370F"/>
    <w:rsid w:val="00C93765"/>
    <w:rsid w:val="00C93877"/>
    <w:rsid w:val="00C93D8C"/>
    <w:rsid w:val="00C93E07"/>
    <w:rsid w:val="00C946CC"/>
    <w:rsid w:val="00C959BD"/>
    <w:rsid w:val="00C95DFE"/>
    <w:rsid w:val="00C95F44"/>
    <w:rsid w:val="00C96389"/>
    <w:rsid w:val="00C96D1B"/>
    <w:rsid w:val="00C97106"/>
    <w:rsid w:val="00C978D4"/>
    <w:rsid w:val="00CA0031"/>
    <w:rsid w:val="00CA0413"/>
    <w:rsid w:val="00CA043A"/>
    <w:rsid w:val="00CA0E51"/>
    <w:rsid w:val="00CA1691"/>
    <w:rsid w:val="00CA41E7"/>
    <w:rsid w:val="00CA4A99"/>
    <w:rsid w:val="00CA4B9E"/>
    <w:rsid w:val="00CA5520"/>
    <w:rsid w:val="00CA5812"/>
    <w:rsid w:val="00CA5BD4"/>
    <w:rsid w:val="00CA5C14"/>
    <w:rsid w:val="00CA7019"/>
    <w:rsid w:val="00CA76FC"/>
    <w:rsid w:val="00CA7E7B"/>
    <w:rsid w:val="00CB0236"/>
    <w:rsid w:val="00CB0CB1"/>
    <w:rsid w:val="00CB1881"/>
    <w:rsid w:val="00CB1969"/>
    <w:rsid w:val="00CB19E3"/>
    <w:rsid w:val="00CB2C3A"/>
    <w:rsid w:val="00CB2D38"/>
    <w:rsid w:val="00CB2F5E"/>
    <w:rsid w:val="00CB3C9D"/>
    <w:rsid w:val="00CB4137"/>
    <w:rsid w:val="00CB50D0"/>
    <w:rsid w:val="00CB513F"/>
    <w:rsid w:val="00CB52D0"/>
    <w:rsid w:val="00CB5578"/>
    <w:rsid w:val="00CB5671"/>
    <w:rsid w:val="00CB591C"/>
    <w:rsid w:val="00CB5943"/>
    <w:rsid w:val="00CB61B3"/>
    <w:rsid w:val="00CB6801"/>
    <w:rsid w:val="00CB6F83"/>
    <w:rsid w:val="00CB72AE"/>
    <w:rsid w:val="00CC00CD"/>
    <w:rsid w:val="00CC0579"/>
    <w:rsid w:val="00CC0AF3"/>
    <w:rsid w:val="00CC0BC6"/>
    <w:rsid w:val="00CC0E68"/>
    <w:rsid w:val="00CC1780"/>
    <w:rsid w:val="00CC194E"/>
    <w:rsid w:val="00CC2174"/>
    <w:rsid w:val="00CC21AC"/>
    <w:rsid w:val="00CC232E"/>
    <w:rsid w:val="00CC2514"/>
    <w:rsid w:val="00CC2D34"/>
    <w:rsid w:val="00CC2F69"/>
    <w:rsid w:val="00CC315F"/>
    <w:rsid w:val="00CC3C22"/>
    <w:rsid w:val="00CC3D38"/>
    <w:rsid w:val="00CC40C3"/>
    <w:rsid w:val="00CC414A"/>
    <w:rsid w:val="00CC4CB4"/>
    <w:rsid w:val="00CC4E5D"/>
    <w:rsid w:val="00CC50AE"/>
    <w:rsid w:val="00CC5FFE"/>
    <w:rsid w:val="00CC61B7"/>
    <w:rsid w:val="00CC61CA"/>
    <w:rsid w:val="00CC69EC"/>
    <w:rsid w:val="00CC71D3"/>
    <w:rsid w:val="00CC743D"/>
    <w:rsid w:val="00CD02ED"/>
    <w:rsid w:val="00CD050A"/>
    <w:rsid w:val="00CD0AE0"/>
    <w:rsid w:val="00CD0F92"/>
    <w:rsid w:val="00CD1017"/>
    <w:rsid w:val="00CD205D"/>
    <w:rsid w:val="00CD2A22"/>
    <w:rsid w:val="00CD2B50"/>
    <w:rsid w:val="00CD3172"/>
    <w:rsid w:val="00CD4399"/>
    <w:rsid w:val="00CD4506"/>
    <w:rsid w:val="00CD520B"/>
    <w:rsid w:val="00CD53D4"/>
    <w:rsid w:val="00CD592E"/>
    <w:rsid w:val="00CD5982"/>
    <w:rsid w:val="00CD5A1A"/>
    <w:rsid w:val="00CD7EFA"/>
    <w:rsid w:val="00CE020E"/>
    <w:rsid w:val="00CE0566"/>
    <w:rsid w:val="00CE1CD4"/>
    <w:rsid w:val="00CE2761"/>
    <w:rsid w:val="00CE28FC"/>
    <w:rsid w:val="00CE314E"/>
    <w:rsid w:val="00CE3A85"/>
    <w:rsid w:val="00CE3D5C"/>
    <w:rsid w:val="00CE3E09"/>
    <w:rsid w:val="00CE3E14"/>
    <w:rsid w:val="00CE44C7"/>
    <w:rsid w:val="00CE53CC"/>
    <w:rsid w:val="00CE5F60"/>
    <w:rsid w:val="00CE65A7"/>
    <w:rsid w:val="00CE68FE"/>
    <w:rsid w:val="00CE69CC"/>
    <w:rsid w:val="00CE6EC4"/>
    <w:rsid w:val="00CE7F26"/>
    <w:rsid w:val="00CF093F"/>
    <w:rsid w:val="00CF1226"/>
    <w:rsid w:val="00CF1ABB"/>
    <w:rsid w:val="00CF1E1D"/>
    <w:rsid w:val="00CF24FE"/>
    <w:rsid w:val="00CF287F"/>
    <w:rsid w:val="00CF35D0"/>
    <w:rsid w:val="00CF3B57"/>
    <w:rsid w:val="00CF3DD5"/>
    <w:rsid w:val="00CF4AF7"/>
    <w:rsid w:val="00CF4D20"/>
    <w:rsid w:val="00CF73F8"/>
    <w:rsid w:val="00CF7928"/>
    <w:rsid w:val="00CF7CA2"/>
    <w:rsid w:val="00D00911"/>
    <w:rsid w:val="00D00A8E"/>
    <w:rsid w:val="00D00DE0"/>
    <w:rsid w:val="00D00F79"/>
    <w:rsid w:val="00D012BF"/>
    <w:rsid w:val="00D01760"/>
    <w:rsid w:val="00D0368E"/>
    <w:rsid w:val="00D03AC3"/>
    <w:rsid w:val="00D03D2D"/>
    <w:rsid w:val="00D03E7B"/>
    <w:rsid w:val="00D0401A"/>
    <w:rsid w:val="00D043AA"/>
    <w:rsid w:val="00D047E0"/>
    <w:rsid w:val="00D04B9F"/>
    <w:rsid w:val="00D04D43"/>
    <w:rsid w:val="00D04FFB"/>
    <w:rsid w:val="00D055FE"/>
    <w:rsid w:val="00D058E9"/>
    <w:rsid w:val="00D0612A"/>
    <w:rsid w:val="00D07DE9"/>
    <w:rsid w:val="00D10031"/>
    <w:rsid w:val="00D1060D"/>
    <w:rsid w:val="00D109D3"/>
    <w:rsid w:val="00D10D14"/>
    <w:rsid w:val="00D10E7C"/>
    <w:rsid w:val="00D11182"/>
    <w:rsid w:val="00D1137B"/>
    <w:rsid w:val="00D11508"/>
    <w:rsid w:val="00D11807"/>
    <w:rsid w:val="00D11B04"/>
    <w:rsid w:val="00D11DB3"/>
    <w:rsid w:val="00D12664"/>
    <w:rsid w:val="00D12D82"/>
    <w:rsid w:val="00D12F77"/>
    <w:rsid w:val="00D1306E"/>
    <w:rsid w:val="00D130B7"/>
    <w:rsid w:val="00D134CD"/>
    <w:rsid w:val="00D14B5F"/>
    <w:rsid w:val="00D14E13"/>
    <w:rsid w:val="00D14F23"/>
    <w:rsid w:val="00D160F6"/>
    <w:rsid w:val="00D16740"/>
    <w:rsid w:val="00D16A8B"/>
    <w:rsid w:val="00D16E39"/>
    <w:rsid w:val="00D171DE"/>
    <w:rsid w:val="00D172A4"/>
    <w:rsid w:val="00D17951"/>
    <w:rsid w:val="00D17AD8"/>
    <w:rsid w:val="00D2104A"/>
    <w:rsid w:val="00D21A58"/>
    <w:rsid w:val="00D21BB5"/>
    <w:rsid w:val="00D21FFC"/>
    <w:rsid w:val="00D222FD"/>
    <w:rsid w:val="00D223B6"/>
    <w:rsid w:val="00D223E8"/>
    <w:rsid w:val="00D224E1"/>
    <w:rsid w:val="00D22DC8"/>
    <w:rsid w:val="00D23FAF"/>
    <w:rsid w:val="00D2477B"/>
    <w:rsid w:val="00D2522A"/>
    <w:rsid w:val="00D2531C"/>
    <w:rsid w:val="00D25428"/>
    <w:rsid w:val="00D2553E"/>
    <w:rsid w:val="00D2587F"/>
    <w:rsid w:val="00D2742F"/>
    <w:rsid w:val="00D2754F"/>
    <w:rsid w:val="00D277C5"/>
    <w:rsid w:val="00D279D9"/>
    <w:rsid w:val="00D312DC"/>
    <w:rsid w:val="00D31B84"/>
    <w:rsid w:val="00D31C6A"/>
    <w:rsid w:val="00D31EC8"/>
    <w:rsid w:val="00D31EDF"/>
    <w:rsid w:val="00D31FF9"/>
    <w:rsid w:val="00D32149"/>
    <w:rsid w:val="00D32256"/>
    <w:rsid w:val="00D32A27"/>
    <w:rsid w:val="00D32ABC"/>
    <w:rsid w:val="00D33FA4"/>
    <w:rsid w:val="00D34B25"/>
    <w:rsid w:val="00D34C7F"/>
    <w:rsid w:val="00D34F4E"/>
    <w:rsid w:val="00D357F3"/>
    <w:rsid w:val="00D35C0E"/>
    <w:rsid w:val="00D36FBF"/>
    <w:rsid w:val="00D373A8"/>
    <w:rsid w:val="00D379A5"/>
    <w:rsid w:val="00D37BB3"/>
    <w:rsid w:val="00D401BE"/>
    <w:rsid w:val="00D4043A"/>
    <w:rsid w:val="00D40911"/>
    <w:rsid w:val="00D40DB0"/>
    <w:rsid w:val="00D41093"/>
    <w:rsid w:val="00D41858"/>
    <w:rsid w:val="00D422DB"/>
    <w:rsid w:val="00D42AC2"/>
    <w:rsid w:val="00D4498E"/>
    <w:rsid w:val="00D4515F"/>
    <w:rsid w:val="00D451E8"/>
    <w:rsid w:val="00D45A45"/>
    <w:rsid w:val="00D466C9"/>
    <w:rsid w:val="00D47275"/>
    <w:rsid w:val="00D517F6"/>
    <w:rsid w:val="00D51AB7"/>
    <w:rsid w:val="00D51E15"/>
    <w:rsid w:val="00D52B7E"/>
    <w:rsid w:val="00D52E2F"/>
    <w:rsid w:val="00D52F59"/>
    <w:rsid w:val="00D53445"/>
    <w:rsid w:val="00D53503"/>
    <w:rsid w:val="00D53A2E"/>
    <w:rsid w:val="00D53DC2"/>
    <w:rsid w:val="00D53E3E"/>
    <w:rsid w:val="00D54620"/>
    <w:rsid w:val="00D54868"/>
    <w:rsid w:val="00D5564C"/>
    <w:rsid w:val="00D55904"/>
    <w:rsid w:val="00D5614E"/>
    <w:rsid w:val="00D5616F"/>
    <w:rsid w:val="00D57940"/>
    <w:rsid w:val="00D60327"/>
    <w:rsid w:val="00D60D6D"/>
    <w:rsid w:val="00D61384"/>
    <w:rsid w:val="00D61526"/>
    <w:rsid w:val="00D61C39"/>
    <w:rsid w:val="00D61F81"/>
    <w:rsid w:val="00D620A6"/>
    <w:rsid w:val="00D623C0"/>
    <w:rsid w:val="00D62BE6"/>
    <w:rsid w:val="00D63359"/>
    <w:rsid w:val="00D6369E"/>
    <w:rsid w:val="00D63766"/>
    <w:rsid w:val="00D63912"/>
    <w:rsid w:val="00D63923"/>
    <w:rsid w:val="00D6451B"/>
    <w:rsid w:val="00D64B57"/>
    <w:rsid w:val="00D651A1"/>
    <w:rsid w:val="00D656F7"/>
    <w:rsid w:val="00D65DEA"/>
    <w:rsid w:val="00D664FF"/>
    <w:rsid w:val="00D6650F"/>
    <w:rsid w:val="00D66579"/>
    <w:rsid w:val="00D676D3"/>
    <w:rsid w:val="00D67B06"/>
    <w:rsid w:val="00D67BC7"/>
    <w:rsid w:val="00D70058"/>
    <w:rsid w:val="00D701F1"/>
    <w:rsid w:val="00D705D2"/>
    <w:rsid w:val="00D705D3"/>
    <w:rsid w:val="00D70E00"/>
    <w:rsid w:val="00D70F7C"/>
    <w:rsid w:val="00D70FA1"/>
    <w:rsid w:val="00D715AC"/>
    <w:rsid w:val="00D71851"/>
    <w:rsid w:val="00D718CF"/>
    <w:rsid w:val="00D728F5"/>
    <w:rsid w:val="00D72B7E"/>
    <w:rsid w:val="00D72E9D"/>
    <w:rsid w:val="00D73249"/>
    <w:rsid w:val="00D73419"/>
    <w:rsid w:val="00D73881"/>
    <w:rsid w:val="00D73CA9"/>
    <w:rsid w:val="00D746E2"/>
    <w:rsid w:val="00D751B7"/>
    <w:rsid w:val="00D7524B"/>
    <w:rsid w:val="00D75396"/>
    <w:rsid w:val="00D759C0"/>
    <w:rsid w:val="00D75E99"/>
    <w:rsid w:val="00D765CE"/>
    <w:rsid w:val="00D766C7"/>
    <w:rsid w:val="00D7692B"/>
    <w:rsid w:val="00D769E0"/>
    <w:rsid w:val="00D7734F"/>
    <w:rsid w:val="00D7791D"/>
    <w:rsid w:val="00D8039E"/>
    <w:rsid w:val="00D8044C"/>
    <w:rsid w:val="00D805D6"/>
    <w:rsid w:val="00D8075E"/>
    <w:rsid w:val="00D80860"/>
    <w:rsid w:val="00D80B75"/>
    <w:rsid w:val="00D80D4C"/>
    <w:rsid w:val="00D81782"/>
    <w:rsid w:val="00D8184D"/>
    <w:rsid w:val="00D81A7B"/>
    <w:rsid w:val="00D8223C"/>
    <w:rsid w:val="00D82B57"/>
    <w:rsid w:val="00D82CE5"/>
    <w:rsid w:val="00D831E3"/>
    <w:rsid w:val="00D8342C"/>
    <w:rsid w:val="00D83F9F"/>
    <w:rsid w:val="00D84983"/>
    <w:rsid w:val="00D84C00"/>
    <w:rsid w:val="00D85494"/>
    <w:rsid w:val="00D8582C"/>
    <w:rsid w:val="00D85D61"/>
    <w:rsid w:val="00D8616D"/>
    <w:rsid w:val="00D869BF"/>
    <w:rsid w:val="00D8711B"/>
    <w:rsid w:val="00D87384"/>
    <w:rsid w:val="00D90683"/>
    <w:rsid w:val="00D90B2A"/>
    <w:rsid w:val="00D91483"/>
    <w:rsid w:val="00D915C8"/>
    <w:rsid w:val="00D9310B"/>
    <w:rsid w:val="00D931F3"/>
    <w:rsid w:val="00D93726"/>
    <w:rsid w:val="00D93F3E"/>
    <w:rsid w:val="00D9405B"/>
    <w:rsid w:val="00D944AC"/>
    <w:rsid w:val="00D94942"/>
    <w:rsid w:val="00D94E5D"/>
    <w:rsid w:val="00D95145"/>
    <w:rsid w:val="00D95D9E"/>
    <w:rsid w:val="00D9614B"/>
    <w:rsid w:val="00D96594"/>
    <w:rsid w:val="00D967CB"/>
    <w:rsid w:val="00D968D4"/>
    <w:rsid w:val="00D96C40"/>
    <w:rsid w:val="00D96EE0"/>
    <w:rsid w:val="00D97BD1"/>
    <w:rsid w:val="00D97E8F"/>
    <w:rsid w:val="00DA00C3"/>
    <w:rsid w:val="00DA01E9"/>
    <w:rsid w:val="00DA06B8"/>
    <w:rsid w:val="00DA14A9"/>
    <w:rsid w:val="00DA286D"/>
    <w:rsid w:val="00DA2969"/>
    <w:rsid w:val="00DA29B7"/>
    <w:rsid w:val="00DA2E5F"/>
    <w:rsid w:val="00DA337C"/>
    <w:rsid w:val="00DA4842"/>
    <w:rsid w:val="00DA4C97"/>
    <w:rsid w:val="00DA52BB"/>
    <w:rsid w:val="00DA5989"/>
    <w:rsid w:val="00DA5AB1"/>
    <w:rsid w:val="00DA5F9D"/>
    <w:rsid w:val="00DA69B2"/>
    <w:rsid w:val="00DA7462"/>
    <w:rsid w:val="00DA7AD0"/>
    <w:rsid w:val="00DB02D7"/>
    <w:rsid w:val="00DB03CC"/>
    <w:rsid w:val="00DB12D4"/>
    <w:rsid w:val="00DB1445"/>
    <w:rsid w:val="00DB14F0"/>
    <w:rsid w:val="00DB1745"/>
    <w:rsid w:val="00DB19BB"/>
    <w:rsid w:val="00DB1AFF"/>
    <w:rsid w:val="00DB219A"/>
    <w:rsid w:val="00DB229C"/>
    <w:rsid w:val="00DB3165"/>
    <w:rsid w:val="00DB420F"/>
    <w:rsid w:val="00DB4292"/>
    <w:rsid w:val="00DB4DB7"/>
    <w:rsid w:val="00DB5023"/>
    <w:rsid w:val="00DB5767"/>
    <w:rsid w:val="00DB6E46"/>
    <w:rsid w:val="00DB7117"/>
    <w:rsid w:val="00DB7760"/>
    <w:rsid w:val="00DB7DD4"/>
    <w:rsid w:val="00DC00B4"/>
    <w:rsid w:val="00DC0195"/>
    <w:rsid w:val="00DC0759"/>
    <w:rsid w:val="00DC0954"/>
    <w:rsid w:val="00DC0DF8"/>
    <w:rsid w:val="00DC15BA"/>
    <w:rsid w:val="00DC18CD"/>
    <w:rsid w:val="00DC1A68"/>
    <w:rsid w:val="00DC246C"/>
    <w:rsid w:val="00DC30B8"/>
    <w:rsid w:val="00DC478F"/>
    <w:rsid w:val="00DC61AC"/>
    <w:rsid w:val="00DC62E5"/>
    <w:rsid w:val="00DC6D70"/>
    <w:rsid w:val="00DC6F33"/>
    <w:rsid w:val="00DC7349"/>
    <w:rsid w:val="00DC7389"/>
    <w:rsid w:val="00DC7402"/>
    <w:rsid w:val="00DD0EA9"/>
    <w:rsid w:val="00DD14D8"/>
    <w:rsid w:val="00DD1599"/>
    <w:rsid w:val="00DD16F1"/>
    <w:rsid w:val="00DD1B03"/>
    <w:rsid w:val="00DD1E43"/>
    <w:rsid w:val="00DD2A62"/>
    <w:rsid w:val="00DD2F2F"/>
    <w:rsid w:val="00DD2F7A"/>
    <w:rsid w:val="00DD37C4"/>
    <w:rsid w:val="00DD3885"/>
    <w:rsid w:val="00DD5808"/>
    <w:rsid w:val="00DD5946"/>
    <w:rsid w:val="00DD5B04"/>
    <w:rsid w:val="00DD5DAE"/>
    <w:rsid w:val="00DD5EC6"/>
    <w:rsid w:val="00DD605F"/>
    <w:rsid w:val="00DD6A79"/>
    <w:rsid w:val="00DD72A0"/>
    <w:rsid w:val="00DD735D"/>
    <w:rsid w:val="00DD7F7D"/>
    <w:rsid w:val="00DE0159"/>
    <w:rsid w:val="00DE064A"/>
    <w:rsid w:val="00DE082D"/>
    <w:rsid w:val="00DE1410"/>
    <w:rsid w:val="00DE20C6"/>
    <w:rsid w:val="00DE3119"/>
    <w:rsid w:val="00DE3C24"/>
    <w:rsid w:val="00DE3FF0"/>
    <w:rsid w:val="00DE4105"/>
    <w:rsid w:val="00DE5189"/>
    <w:rsid w:val="00DE63F8"/>
    <w:rsid w:val="00DE7108"/>
    <w:rsid w:val="00DE74AC"/>
    <w:rsid w:val="00DE78D1"/>
    <w:rsid w:val="00DE78FF"/>
    <w:rsid w:val="00DF0263"/>
    <w:rsid w:val="00DF0EB4"/>
    <w:rsid w:val="00DF158B"/>
    <w:rsid w:val="00DF1733"/>
    <w:rsid w:val="00DF193C"/>
    <w:rsid w:val="00DF1E36"/>
    <w:rsid w:val="00DF236B"/>
    <w:rsid w:val="00DF2A91"/>
    <w:rsid w:val="00DF2DDB"/>
    <w:rsid w:val="00DF3889"/>
    <w:rsid w:val="00DF3CC9"/>
    <w:rsid w:val="00DF4451"/>
    <w:rsid w:val="00DF49FF"/>
    <w:rsid w:val="00DF4FFB"/>
    <w:rsid w:val="00DF5236"/>
    <w:rsid w:val="00DF6232"/>
    <w:rsid w:val="00DF651F"/>
    <w:rsid w:val="00DF6F43"/>
    <w:rsid w:val="00DF71EA"/>
    <w:rsid w:val="00DF752F"/>
    <w:rsid w:val="00DF76A2"/>
    <w:rsid w:val="00DF786B"/>
    <w:rsid w:val="00E00B7A"/>
    <w:rsid w:val="00E01519"/>
    <w:rsid w:val="00E02186"/>
    <w:rsid w:val="00E025C2"/>
    <w:rsid w:val="00E026BB"/>
    <w:rsid w:val="00E027C5"/>
    <w:rsid w:val="00E03124"/>
    <w:rsid w:val="00E031C3"/>
    <w:rsid w:val="00E03951"/>
    <w:rsid w:val="00E03DB8"/>
    <w:rsid w:val="00E03F17"/>
    <w:rsid w:val="00E0420C"/>
    <w:rsid w:val="00E04EDD"/>
    <w:rsid w:val="00E05B0B"/>
    <w:rsid w:val="00E05E70"/>
    <w:rsid w:val="00E064BC"/>
    <w:rsid w:val="00E07225"/>
    <w:rsid w:val="00E076B4"/>
    <w:rsid w:val="00E07B55"/>
    <w:rsid w:val="00E10579"/>
    <w:rsid w:val="00E109DD"/>
    <w:rsid w:val="00E11229"/>
    <w:rsid w:val="00E114CA"/>
    <w:rsid w:val="00E127D1"/>
    <w:rsid w:val="00E13867"/>
    <w:rsid w:val="00E1397F"/>
    <w:rsid w:val="00E13AB8"/>
    <w:rsid w:val="00E1482E"/>
    <w:rsid w:val="00E152AF"/>
    <w:rsid w:val="00E16382"/>
    <w:rsid w:val="00E1699C"/>
    <w:rsid w:val="00E16E75"/>
    <w:rsid w:val="00E171A8"/>
    <w:rsid w:val="00E1746D"/>
    <w:rsid w:val="00E17FF4"/>
    <w:rsid w:val="00E2012A"/>
    <w:rsid w:val="00E205A2"/>
    <w:rsid w:val="00E20BA4"/>
    <w:rsid w:val="00E210D0"/>
    <w:rsid w:val="00E21887"/>
    <w:rsid w:val="00E21CC0"/>
    <w:rsid w:val="00E23137"/>
    <w:rsid w:val="00E23980"/>
    <w:rsid w:val="00E23FDF"/>
    <w:rsid w:val="00E241E9"/>
    <w:rsid w:val="00E24E21"/>
    <w:rsid w:val="00E254C3"/>
    <w:rsid w:val="00E257C3"/>
    <w:rsid w:val="00E259C8"/>
    <w:rsid w:val="00E25CB3"/>
    <w:rsid w:val="00E25DA4"/>
    <w:rsid w:val="00E26237"/>
    <w:rsid w:val="00E26A4A"/>
    <w:rsid w:val="00E26CB8"/>
    <w:rsid w:val="00E26D16"/>
    <w:rsid w:val="00E26FCF"/>
    <w:rsid w:val="00E27165"/>
    <w:rsid w:val="00E275D9"/>
    <w:rsid w:val="00E3044A"/>
    <w:rsid w:val="00E30E49"/>
    <w:rsid w:val="00E315A4"/>
    <w:rsid w:val="00E31679"/>
    <w:rsid w:val="00E31A4A"/>
    <w:rsid w:val="00E31CD4"/>
    <w:rsid w:val="00E3344A"/>
    <w:rsid w:val="00E33B29"/>
    <w:rsid w:val="00E33B62"/>
    <w:rsid w:val="00E3403D"/>
    <w:rsid w:val="00E343FD"/>
    <w:rsid w:val="00E344BD"/>
    <w:rsid w:val="00E3452B"/>
    <w:rsid w:val="00E34E6C"/>
    <w:rsid w:val="00E353E2"/>
    <w:rsid w:val="00E35F21"/>
    <w:rsid w:val="00E36345"/>
    <w:rsid w:val="00E36C86"/>
    <w:rsid w:val="00E36CEB"/>
    <w:rsid w:val="00E37A28"/>
    <w:rsid w:val="00E400C7"/>
    <w:rsid w:val="00E40430"/>
    <w:rsid w:val="00E40690"/>
    <w:rsid w:val="00E40AEB"/>
    <w:rsid w:val="00E40E82"/>
    <w:rsid w:val="00E41141"/>
    <w:rsid w:val="00E4143A"/>
    <w:rsid w:val="00E424C8"/>
    <w:rsid w:val="00E4251D"/>
    <w:rsid w:val="00E43D00"/>
    <w:rsid w:val="00E443B4"/>
    <w:rsid w:val="00E445E4"/>
    <w:rsid w:val="00E44EDE"/>
    <w:rsid w:val="00E457CB"/>
    <w:rsid w:val="00E45D47"/>
    <w:rsid w:val="00E45DE4"/>
    <w:rsid w:val="00E45E63"/>
    <w:rsid w:val="00E4759C"/>
    <w:rsid w:val="00E50A7B"/>
    <w:rsid w:val="00E50B0B"/>
    <w:rsid w:val="00E50C57"/>
    <w:rsid w:val="00E510FE"/>
    <w:rsid w:val="00E514BA"/>
    <w:rsid w:val="00E51E25"/>
    <w:rsid w:val="00E51F38"/>
    <w:rsid w:val="00E5205B"/>
    <w:rsid w:val="00E521AE"/>
    <w:rsid w:val="00E529A3"/>
    <w:rsid w:val="00E52C48"/>
    <w:rsid w:val="00E52EB3"/>
    <w:rsid w:val="00E53A21"/>
    <w:rsid w:val="00E53BCA"/>
    <w:rsid w:val="00E53DE2"/>
    <w:rsid w:val="00E53F02"/>
    <w:rsid w:val="00E5428D"/>
    <w:rsid w:val="00E54534"/>
    <w:rsid w:val="00E548C3"/>
    <w:rsid w:val="00E54F27"/>
    <w:rsid w:val="00E55FF1"/>
    <w:rsid w:val="00E56090"/>
    <w:rsid w:val="00E56408"/>
    <w:rsid w:val="00E565B9"/>
    <w:rsid w:val="00E56E7B"/>
    <w:rsid w:val="00E5733B"/>
    <w:rsid w:val="00E5756C"/>
    <w:rsid w:val="00E57811"/>
    <w:rsid w:val="00E57FB0"/>
    <w:rsid w:val="00E601BE"/>
    <w:rsid w:val="00E60A44"/>
    <w:rsid w:val="00E60B5F"/>
    <w:rsid w:val="00E60DC8"/>
    <w:rsid w:val="00E613AE"/>
    <w:rsid w:val="00E61429"/>
    <w:rsid w:val="00E61ABB"/>
    <w:rsid w:val="00E61FD7"/>
    <w:rsid w:val="00E623E6"/>
    <w:rsid w:val="00E62C76"/>
    <w:rsid w:val="00E630A2"/>
    <w:rsid w:val="00E630C0"/>
    <w:rsid w:val="00E63107"/>
    <w:rsid w:val="00E6312C"/>
    <w:rsid w:val="00E634E6"/>
    <w:rsid w:val="00E63B43"/>
    <w:rsid w:val="00E63B74"/>
    <w:rsid w:val="00E63DCE"/>
    <w:rsid w:val="00E64700"/>
    <w:rsid w:val="00E65074"/>
    <w:rsid w:val="00E65E70"/>
    <w:rsid w:val="00E66087"/>
    <w:rsid w:val="00E66D79"/>
    <w:rsid w:val="00E66FF9"/>
    <w:rsid w:val="00E6706F"/>
    <w:rsid w:val="00E673A2"/>
    <w:rsid w:val="00E67856"/>
    <w:rsid w:val="00E679C8"/>
    <w:rsid w:val="00E70314"/>
    <w:rsid w:val="00E71A0F"/>
    <w:rsid w:val="00E724E7"/>
    <w:rsid w:val="00E72B41"/>
    <w:rsid w:val="00E7347B"/>
    <w:rsid w:val="00E73792"/>
    <w:rsid w:val="00E73D03"/>
    <w:rsid w:val="00E7471C"/>
    <w:rsid w:val="00E7498A"/>
    <w:rsid w:val="00E7514E"/>
    <w:rsid w:val="00E76537"/>
    <w:rsid w:val="00E77784"/>
    <w:rsid w:val="00E7781A"/>
    <w:rsid w:val="00E77AF5"/>
    <w:rsid w:val="00E820F4"/>
    <w:rsid w:val="00E82263"/>
    <w:rsid w:val="00E823F9"/>
    <w:rsid w:val="00E82C1F"/>
    <w:rsid w:val="00E83671"/>
    <w:rsid w:val="00E840EE"/>
    <w:rsid w:val="00E84314"/>
    <w:rsid w:val="00E84352"/>
    <w:rsid w:val="00E84925"/>
    <w:rsid w:val="00E849CA"/>
    <w:rsid w:val="00E84A71"/>
    <w:rsid w:val="00E8556F"/>
    <w:rsid w:val="00E86556"/>
    <w:rsid w:val="00E86567"/>
    <w:rsid w:val="00E86D35"/>
    <w:rsid w:val="00E86DC2"/>
    <w:rsid w:val="00E86E32"/>
    <w:rsid w:val="00E86F2E"/>
    <w:rsid w:val="00E8732E"/>
    <w:rsid w:val="00E9011F"/>
    <w:rsid w:val="00E903FC"/>
    <w:rsid w:val="00E906EB"/>
    <w:rsid w:val="00E9170E"/>
    <w:rsid w:val="00E919FB"/>
    <w:rsid w:val="00E9241E"/>
    <w:rsid w:val="00E92460"/>
    <w:rsid w:val="00E92E62"/>
    <w:rsid w:val="00E93804"/>
    <w:rsid w:val="00E9429D"/>
    <w:rsid w:val="00E95434"/>
    <w:rsid w:val="00E96467"/>
    <w:rsid w:val="00E966DA"/>
    <w:rsid w:val="00E96948"/>
    <w:rsid w:val="00E9737B"/>
    <w:rsid w:val="00E97A3F"/>
    <w:rsid w:val="00E97F0A"/>
    <w:rsid w:val="00EA0100"/>
    <w:rsid w:val="00EA0BCE"/>
    <w:rsid w:val="00EA17BC"/>
    <w:rsid w:val="00EA2744"/>
    <w:rsid w:val="00EA37B9"/>
    <w:rsid w:val="00EA39F7"/>
    <w:rsid w:val="00EA3DC2"/>
    <w:rsid w:val="00EA434E"/>
    <w:rsid w:val="00EA4757"/>
    <w:rsid w:val="00EA560B"/>
    <w:rsid w:val="00EA5669"/>
    <w:rsid w:val="00EA5CC6"/>
    <w:rsid w:val="00EA63EF"/>
    <w:rsid w:val="00EA6719"/>
    <w:rsid w:val="00EA793F"/>
    <w:rsid w:val="00EA7B3D"/>
    <w:rsid w:val="00EA7CBF"/>
    <w:rsid w:val="00EB0A89"/>
    <w:rsid w:val="00EB1573"/>
    <w:rsid w:val="00EB1910"/>
    <w:rsid w:val="00EB2564"/>
    <w:rsid w:val="00EB2D83"/>
    <w:rsid w:val="00EB2E97"/>
    <w:rsid w:val="00EB3416"/>
    <w:rsid w:val="00EB4AE1"/>
    <w:rsid w:val="00EB52F4"/>
    <w:rsid w:val="00EB5694"/>
    <w:rsid w:val="00EB5779"/>
    <w:rsid w:val="00EB5D2F"/>
    <w:rsid w:val="00EB5EB7"/>
    <w:rsid w:val="00EB67F1"/>
    <w:rsid w:val="00EB6ADA"/>
    <w:rsid w:val="00EB72CD"/>
    <w:rsid w:val="00EB72E0"/>
    <w:rsid w:val="00EB749A"/>
    <w:rsid w:val="00EB76B6"/>
    <w:rsid w:val="00EB790F"/>
    <w:rsid w:val="00EB7D8A"/>
    <w:rsid w:val="00EC04F7"/>
    <w:rsid w:val="00EC05E2"/>
    <w:rsid w:val="00EC0E84"/>
    <w:rsid w:val="00EC16E2"/>
    <w:rsid w:val="00EC1CE7"/>
    <w:rsid w:val="00EC1DAE"/>
    <w:rsid w:val="00EC26F1"/>
    <w:rsid w:val="00EC3C94"/>
    <w:rsid w:val="00EC44DF"/>
    <w:rsid w:val="00EC4525"/>
    <w:rsid w:val="00EC4FB9"/>
    <w:rsid w:val="00EC5393"/>
    <w:rsid w:val="00EC5741"/>
    <w:rsid w:val="00EC5DA3"/>
    <w:rsid w:val="00EC6014"/>
    <w:rsid w:val="00EC6565"/>
    <w:rsid w:val="00EC6B3E"/>
    <w:rsid w:val="00EC73DE"/>
    <w:rsid w:val="00EC7637"/>
    <w:rsid w:val="00EC7C07"/>
    <w:rsid w:val="00EC7CF2"/>
    <w:rsid w:val="00ED046C"/>
    <w:rsid w:val="00ED053A"/>
    <w:rsid w:val="00ED0AF0"/>
    <w:rsid w:val="00ED1F03"/>
    <w:rsid w:val="00ED249D"/>
    <w:rsid w:val="00ED2D27"/>
    <w:rsid w:val="00ED3347"/>
    <w:rsid w:val="00ED3441"/>
    <w:rsid w:val="00ED3860"/>
    <w:rsid w:val="00ED3954"/>
    <w:rsid w:val="00ED43A2"/>
    <w:rsid w:val="00ED4967"/>
    <w:rsid w:val="00ED5140"/>
    <w:rsid w:val="00ED538C"/>
    <w:rsid w:val="00ED5771"/>
    <w:rsid w:val="00ED587F"/>
    <w:rsid w:val="00ED5964"/>
    <w:rsid w:val="00ED623F"/>
    <w:rsid w:val="00ED63A5"/>
    <w:rsid w:val="00ED69BA"/>
    <w:rsid w:val="00ED6D1A"/>
    <w:rsid w:val="00ED72E9"/>
    <w:rsid w:val="00ED732E"/>
    <w:rsid w:val="00ED77F0"/>
    <w:rsid w:val="00ED7FBC"/>
    <w:rsid w:val="00EE0253"/>
    <w:rsid w:val="00EE0297"/>
    <w:rsid w:val="00EE1258"/>
    <w:rsid w:val="00EE13DA"/>
    <w:rsid w:val="00EE1668"/>
    <w:rsid w:val="00EE1C10"/>
    <w:rsid w:val="00EE1EDB"/>
    <w:rsid w:val="00EE24E2"/>
    <w:rsid w:val="00EE2D51"/>
    <w:rsid w:val="00EE3021"/>
    <w:rsid w:val="00EE366D"/>
    <w:rsid w:val="00EE5454"/>
    <w:rsid w:val="00EE5774"/>
    <w:rsid w:val="00EE59B5"/>
    <w:rsid w:val="00EE5FB7"/>
    <w:rsid w:val="00EE6783"/>
    <w:rsid w:val="00EE678B"/>
    <w:rsid w:val="00EE7B54"/>
    <w:rsid w:val="00EE7C47"/>
    <w:rsid w:val="00EE7C88"/>
    <w:rsid w:val="00EE7C8B"/>
    <w:rsid w:val="00EF0209"/>
    <w:rsid w:val="00EF0A58"/>
    <w:rsid w:val="00EF0EA4"/>
    <w:rsid w:val="00EF1E97"/>
    <w:rsid w:val="00EF2436"/>
    <w:rsid w:val="00EF2547"/>
    <w:rsid w:val="00EF2B2B"/>
    <w:rsid w:val="00EF2E1C"/>
    <w:rsid w:val="00EF2FD6"/>
    <w:rsid w:val="00EF326A"/>
    <w:rsid w:val="00EF397D"/>
    <w:rsid w:val="00EF3A16"/>
    <w:rsid w:val="00EF427A"/>
    <w:rsid w:val="00EF45DF"/>
    <w:rsid w:val="00EF4944"/>
    <w:rsid w:val="00EF4952"/>
    <w:rsid w:val="00EF498F"/>
    <w:rsid w:val="00EF4A42"/>
    <w:rsid w:val="00EF510C"/>
    <w:rsid w:val="00EF55C4"/>
    <w:rsid w:val="00EF57BC"/>
    <w:rsid w:val="00EF5CA8"/>
    <w:rsid w:val="00EF6784"/>
    <w:rsid w:val="00EF688A"/>
    <w:rsid w:val="00EF6A03"/>
    <w:rsid w:val="00EF6DC2"/>
    <w:rsid w:val="00EF7506"/>
    <w:rsid w:val="00EF760B"/>
    <w:rsid w:val="00EF7BF4"/>
    <w:rsid w:val="00F0030F"/>
    <w:rsid w:val="00F00674"/>
    <w:rsid w:val="00F01657"/>
    <w:rsid w:val="00F01E67"/>
    <w:rsid w:val="00F02744"/>
    <w:rsid w:val="00F02BD9"/>
    <w:rsid w:val="00F02BFD"/>
    <w:rsid w:val="00F02CC2"/>
    <w:rsid w:val="00F02D25"/>
    <w:rsid w:val="00F03C3D"/>
    <w:rsid w:val="00F0413F"/>
    <w:rsid w:val="00F0435D"/>
    <w:rsid w:val="00F04580"/>
    <w:rsid w:val="00F04ECA"/>
    <w:rsid w:val="00F04F8B"/>
    <w:rsid w:val="00F05E59"/>
    <w:rsid w:val="00F06E19"/>
    <w:rsid w:val="00F06F84"/>
    <w:rsid w:val="00F076E7"/>
    <w:rsid w:val="00F07A86"/>
    <w:rsid w:val="00F07AA1"/>
    <w:rsid w:val="00F07D80"/>
    <w:rsid w:val="00F105AE"/>
    <w:rsid w:val="00F10618"/>
    <w:rsid w:val="00F1108B"/>
    <w:rsid w:val="00F114FA"/>
    <w:rsid w:val="00F11768"/>
    <w:rsid w:val="00F11951"/>
    <w:rsid w:val="00F12262"/>
    <w:rsid w:val="00F12564"/>
    <w:rsid w:val="00F12AF8"/>
    <w:rsid w:val="00F12C52"/>
    <w:rsid w:val="00F13381"/>
    <w:rsid w:val="00F13828"/>
    <w:rsid w:val="00F13E10"/>
    <w:rsid w:val="00F13E62"/>
    <w:rsid w:val="00F13F51"/>
    <w:rsid w:val="00F148B7"/>
    <w:rsid w:val="00F14EA9"/>
    <w:rsid w:val="00F15242"/>
    <w:rsid w:val="00F15505"/>
    <w:rsid w:val="00F15BFF"/>
    <w:rsid w:val="00F16E4F"/>
    <w:rsid w:val="00F17244"/>
    <w:rsid w:val="00F17388"/>
    <w:rsid w:val="00F20742"/>
    <w:rsid w:val="00F20931"/>
    <w:rsid w:val="00F20ECE"/>
    <w:rsid w:val="00F213A0"/>
    <w:rsid w:val="00F21D54"/>
    <w:rsid w:val="00F21EF4"/>
    <w:rsid w:val="00F23113"/>
    <w:rsid w:val="00F23255"/>
    <w:rsid w:val="00F23393"/>
    <w:rsid w:val="00F23759"/>
    <w:rsid w:val="00F24644"/>
    <w:rsid w:val="00F252E7"/>
    <w:rsid w:val="00F25947"/>
    <w:rsid w:val="00F262D6"/>
    <w:rsid w:val="00F2674A"/>
    <w:rsid w:val="00F26CCF"/>
    <w:rsid w:val="00F26F33"/>
    <w:rsid w:val="00F273D5"/>
    <w:rsid w:val="00F2748A"/>
    <w:rsid w:val="00F300A8"/>
    <w:rsid w:val="00F302C6"/>
    <w:rsid w:val="00F30400"/>
    <w:rsid w:val="00F3079E"/>
    <w:rsid w:val="00F30FFD"/>
    <w:rsid w:val="00F31289"/>
    <w:rsid w:val="00F3399B"/>
    <w:rsid w:val="00F33F4B"/>
    <w:rsid w:val="00F346ED"/>
    <w:rsid w:val="00F34945"/>
    <w:rsid w:val="00F34E1E"/>
    <w:rsid w:val="00F3570C"/>
    <w:rsid w:val="00F359B6"/>
    <w:rsid w:val="00F363A4"/>
    <w:rsid w:val="00F36765"/>
    <w:rsid w:val="00F368FF"/>
    <w:rsid w:val="00F37068"/>
    <w:rsid w:val="00F37F3F"/>
    <w:rsid w:val="00F40992"/>
    <w:rsid w:val="00F40F72"/>
    <w:rsid w:val="00F41596"/>
    <w:rsid w:val="00F41D8B"/>
    <w:rsid w:val="00F42121"/>
    <w:rsid w:val="00F424B3"/>
    <w:rsid w:val="00F428B1"/>
    <w:rsid w:val="00F428B4"/>
    <w:rsid w:val="00F4345D"/>
    <w:rsid w:val="00F4387B"/>
    <w:rsid w:val="00F45921"/>
    <w:rsid w:val="00F45B91"/>
    <w:rsid w:val="00F46103"/>
    <w:rsid w:val="00F46639"/>
    <w:rsid w:val="00F46E5D"/>
    <w:rsid w:val="00F476FD"/>
    <w:rsid w:val="00F50183"/>
    <w:rsid w:val="00F50D92"/>
    <w:rsid w:val="00F51585"/>
    <w:rsid w:val="00F51765"/>
    <w:rsid w:val="00F51A51"/>
    <w:rsid w:val="00F51BC6"/>
    <w:rsid w:val="00F51CB4"/>
    <w:rsid w:val="00F52324"/>
    <w:rsid w:val="00F52950"/>
    <w:rsid w:val="00F52C9D"/>
    <w:rsid w:val="00F533F1"/>
    <w:rsid w:val="00F53ED8"/>
    <w:rsid w:val="00F55185"/>
    <w:rsid w:val="00F554B1"/>
    <w:rsid w:val="00F55679"/>
    <w:rsid w:val="00F561E3"/>
    <w:rsid w:val="00F565E6"/>
    <w:rsid w:val="00F56AFA"/>
    <w:rsid w:val="00F575E2"/>
    <w:rsid w:val="00F579FF"/>
    <w:rsid w:val="00F600E0"/>
    <w:rsid w:val="00F605EC"/>
    <w:rsid w:val="00F60F60"/>
    <w:rsid w:val="00F61217"/>
    <w:rsid w:val="00F612CE"/>
    <w:rsid w:val="00F6133C"/>
    <w:rsid w:val="00F61405"/>
    <w:rsid w:val="00F62227"/>
    <w:rsid w:val="00F62386"/>
    <w:rsid w:val="00F624A7"/>
    <w:rsid w:val="00F6273C"/>
    <w:rsid w:val="00F62AB6"/>
    <w:rsid w:val="00F62BDF"/>
    <w:rsid w:val="00F641C0"/>
    <w:rsid w:val="00F65A3C"/>
    <w:rsid w:val="00F66009"/>
    <w:rsid w:val="00F66282"/>
    <w:rsid w:val="00F6639E"/>
    <w:rsid w:val="00F670E9"/>
    <w:rsid w:val="00F67AF1"/>
    <w:rsid w:val="00F67D8B"/>
    <w:rsid w:val="00F700AE"/>
    <w:rsid w:val="00F701C5"/>
    <w:rsid w:val="00F7084F"/>
    <w:rsid w:val="00F70961"/>
    <w:rsid w:val="00F70A8F"/>
    <w:rsid w:val="00F70E45"/>
    <w:rsid w:val="00F71397"/>
    <w:rsid w:val="00F7237C"/>
    <w:rsid w:val="00F72389"/>
    <w:rsid w:val="00F72516"/>
    <w:rsid w:val="00F72FB4"/>
    <w:rsid w:val="00F735E5"/>
    <w:rsid w:val="00F736AF"/>
    <w:rsid w:val="00F73B82"/>
    <w:rsid w:val="00F73E80"/>
    <w:rsid w:val="00F7469C"/>
    <w:rsid w:val="00F7492E"/>
    <w:rsid w:val="00F74945"/>
    <w:rsid w:val="00F749A3"/>
    <w:rsid w:val="00F74AE8"/>
    <w:rsid w:val="00F76C11"/>
    <w:rsid w:val="00F77021"/>
    <w:rsid w:val="00F770AB"/>
    <w:rsid w:val="00F77E61"/>
    <w:rsid w:val="00F80221"/>
    <w:rsid w:val="00F805CA"/>
    <w:rsid w:val="00F80A0A"/>
    <w:rsid w:val="00F80C81"/>
    <w:rsid w:val="00F815AC"/>
    <w:rsid w:val="00F838C5"/>
    <w:rsid w:val="00F83B33"/>
    <w:rsid w:val="00F83CAE"/>
    <w:rsid w:val="00F840BF"/>
    <w:rsid w:val="00F8427A"/>
    <w:rsid w:val="00F843DF"/>
    <w:rsid w:val="00F84646"/>
    <w:rsid w:val="00F84899"/>
    <w:rsid w:val="00F85585"/>
    <w:rsid w:val="00F859F0"/>
    <w:rsid w:val="00F85CC1"/>
    <w:rsid w:val="00F86B5D"/>
    <w:rsid w:val="00F86F01"/>
    <w:rsid w:val="00F87144"/>
    <w:rsid w:val="00F87634"/>
    <w:rsid w:val="00F87C13"/>
    <w:rsid w:val="00F87C5A"/>
    <w:rsid w:val="00F87E29"/>
    <w:rsid w:val="00F87F18"/>
    <w:rsid w:val="00F87F68"/>
    <w:rsid w:val="00F90C4D"/>
    <w:rsid w:val="00F90C56"/>
    <w:rsid w:val="00F9167D"/>
    <w:rsid w:val="00F91CB2"/>
    <w:rsid w:val="00F927E8"/>
    <w:rsid w:val="00F9289C"/>
    <w:rsid w:val="00F92FC1"/>
    <w:rsid w:val="00F932D1"/>
    <w:rsid w:val="00F93DBC"/>
    <w:rsid w:val="00F93E41"/>
    <w:rsid w:val="00F93F1B"/>
    <w:rsid w:val="00F94644"/>
    <w:rsid w:val="00F952E4"/>
    <w:rsid w:val="00F9537B"/>
    <w:rsid w:val="00F96079"/>
    <w:rsid w:val="00F963FC"/>
    <w:rsid w:val="00F97CF1"/>
    <w:rsid w:val="00FA015F"/>
    <w:rsid w:val="00FA0FAC"/>
    <w:rsid w:val="00FA10F7"/>
    <w:rsid w:val="00FA140C"/>
    <w:rsid w:val="00FA1DA2"/>
    <w:rsid w:val="00FA2357"/>
    <w:rsid w:val="00FA289A"/>
    <w:rsid w:val="00FA3414"/>
    <w:rsid w:val="00FA347A"/>
    <w:rsid w:val="00FA3CDE"/>
    <w:rsid w:val="00FA49B7"/>
    <w:rsid w:val="00FA5043"/>
    <w:rsid w:val="00FA56C8"/>
    <w:rsid w:val="00FA60C1"/>
    <w:rsid w:val="00FA65A3"/>
    <w:rsid w:val="00FA6F8B"/>
    <w:rsid w:val="00FA727C"/>
    <w:rsid w:val="00FA7A30"/>
    <w:rsid w:val="00FB033F"/>
    <w:rsid w:val="00FB0880"/>
    <w:rsid w:val="00FB12E3"/>
    <w:rsid w:val="00FB1570"/>
    <w:rsid w:val="00FB193B"/>
    <w:rsid w:val="00FB1FBC"/>
    <w:rsid w:val="00FB27B7"/>
    <w:rsid w:val="00FB282A"/>
    <w:rsid w:val="00FB35E3"/>
    <w:rsid w:val="00FB47FB"/>
    <w:rsid w:val="00FB4C98"/>
    <w:rsid w:val="00FB4CE3"/>
    <w:rsid w:val="00FB4F4B"/>
    <w:rsid w:val="00FB583C"/>
    <w:rsid w:val="00FB630E"/>
    <w:rsid w:val="00FB6738"/>
    <w:rsid w:val="00FB691B"/>
    <w:rsid w:val="00FB6BE6"/>
    <w:rsid w:val="00FB6E96"/>
    <w:rsid w:val="00FB731C"/>
    <w:rsid w:val="00FB7628"/>
    <w:rsid w:val="00FC05A0"/>
    <w:rsid w:val="00FC0811"/>
    <w:rsid w:val="00FC09B3"/>
    <w:rsid w:val="00FC1196"/>
    <w:rsid w:val="00FC15EB"/>
    <w:rsid w:val="00FC162C"/>
    <w:rsid w:val="00FC18DC"/>
    <w:rsid w:val="00FC2477"/>
    <w:rsid w:val="00FC2AC4"/>
    <w:rsid w:val="00FC2F73"/>
    <w:rsid w:val="00FC325F"/>
    <w:rsid w:val="00FC3A9B"/>
    <w:rsid w:val="00FC3AE1"/>
    <w:rsid w:val="00FC3DFC"/>
    <w:rsid w:val="00FC3EF4"/>
    <w:rsid w:val="00FC431B"/>
    <w:rsid w:val="00FC434C"/>
    <w:rsid w:val="00FC472C"/>
    <w:rsid w:val="00FC4FDF"/>
    <w:rsid w:val="00FC5CF4"/>
    <w:rsid w:val="00FC5D64"/>
    <w:rsid w:val="00FC6A39"/>
    <w:rsid w:val="00FC6DB9"/>
    <w:rsid w:val="00FC76A9"/>
    <w:rsid w:val="00FC79AB"/>
    <w:rsid w:val="00FC7BE7"/>
    <w:rsid w:val="00FC7DAC"/>
    <w:rsid w:val="00FD005D"/>
    <w:rsid w:val="00FD04AE"/>
    <w:rsid w:val="00FD0DFA"/>
    <w:rsid w:val="00FD1890"/>
    <w:rsid w:val="00FD1994"/>
    <w:rsid w:val="00FD3508"/>
    <w:rsid w:val="00FD393C"/>
    <w:rsid w:val="00FD3AFF"/>
    <w:rsid w:val="00FD3C57"/>
    <w:rsid w:val="00FD43BB"/>
    <w:rsid w:val="00FD4AF3"/>
    <w:rsid w:val="00FD6DC5"/>
    <w:rsid w:val="00FD72B1"/>
    <w:rsid w:val="00FD798D"/>
    <w:rsid w:val="00FE0744"/>
    <w:rsid w:val="00FE141E"/>
    <w:rsid w:val="00FE144E"/>
    <w:rsid w:val="00FE1768"/>
    <w:rsid w:val="00FE1DD5"/>
    <w:rsid w:val="00FE1E61"/>
    <w:rsid w:val="00FE24F4"/>
    <w:rsid w:val="00FE2560"/>
    <w:rsid w:val="00FE2E21"/>
    <w:rsid w:val="00FE35D0"/>
    <w:rsid w:val="00FE3849"/>
    <w:rsid w:val="00FE42ED"/>
    <w:rsid w:val="00FE43AD"/>
    <w:rsid w:val="00FE4E06"/>
    <w:rsid w:val="00FE55A7"/>
    <w:rsid w:val="00FE5C5A"/>
    <w:rsid w:val="00FE6432"/>
    <w:rsid w:val="00FE72A0"/>
    <w:rsid w:val="00FF0050"/>
    <w:rsid w:val="00FF045F"/>
    <w:rsid w:val="00FF13D4"/>
    <w:rsid w:val="00FF2053"/>
    <w:rsid w:val="00FF3B37"/>
    <w:rsid w:val="00FF3CC7"/>
    <w:rsid w:val="00FF3D6F"/>
    <w:rsid w:val="00FF4BD8"/>
    <w:rsid w:val="00FF4D11"/>
    <w:rsid w:val="00FF5214"/>
    <w:rsid w:val="00FF596E"/>
    <w:rsid w:val="00FF5B59"/>
    <w:rsid w:val="00FF5BFD"/>
    <w:rsid w:val="00FF6095"/>
    <w:rsid w:val="00FF62FE"/>
    <w:rsid w:val="00FF6553"/>
    <w:rsid w:val="00FF70BD"/>
    <w:rsid w:val="00FF7124"/>
    <w:rsid w:val="00FF7A39"/>
    <w:rsid w:val="50A1ADDB"/>
    <w:rsid w:val="759F56B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F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paragraph" w:styleId="Ttulo2">
    <w:name w:val="heading 2"/>
    <w:basedOn w:val="Normal"/>
    <w:next w:val="Normal"/>
    <w:link w:val="Ttulo2Car"/>
    <w:uiPriority w:val="9"/>
    <w:semiHidden/>
    <w:unhideWhenUsed/>
    <w:qFormat/>
    <w:rsid w:val="00E843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iPriority w:val="99"/>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customStyle="1" w:styleId="Mencinsinresolver3">
    <w:name w:val="Mención sin resolver3"/>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 w:type="character" w:customStyle="1" w:styleId="baj">
    <w:name w:val="b_aj"/>
    <w:basedOn w:val="Fuentedeprrafopredeter"/>
    <w:rsid w:val="00470D73"/>
  </w:style>
  <w:style w:type="character" w:customStyle="1" w:styleId="Ttulo2Car">
    <w:name w:val="Título 2 Car"/>
    <w:basedOn w:val="Fuentedeprrafopredeter"/>
    <w:link w:val="Ttulo2"/>
    <w:uiPriority w:val="9"/>
    <w:semiHidden/>
    <w:rsid w:val="00E84314"/>
    <w:rPr>
      <w:rFonts w:asciiTheme="majorHAnsi" w:eastAsiaTheme="majorEastAsia" w:hAnsiTheme="majorHAnsi" w:cstheme="majorBidi"/>
      <w:color w:val="365F91" w:themeColor="accent1" w:themeShade="BF"/>
      <w:sz w:val="26"/>
      <w:szCs w:val="26"/>
      <w:lang w:eastAsia="es-ES_tradnl"/>
    </w:rPr>
  </w:style>
  <w:style w:type="paragraph" w:customStyle="1" w:styleId="Normal11pt">
    <w:name w:val="Normal + 11 pt"/>
    <w:aliases w:val="Negro,Justificado,Izquierda:  -0,95 cm,Derecha:  0,04 cm"/>
    <w:basedOn w:val="Normal"/>
    <w:uiPriority w:val="99"/>
    <w:rsid w:val="00B67CED"/>
    <w:pPr>
      <w:ind w:left="-540"/>
      <w:jc w:val="both"/>
    </w:pPr>
    <w:rPr>
      <w:rFonts w:ascii="Arial" w:hAnsi="Arial"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717">
      <w:bodyDiv w:val="1"/>
      <w:marLeft w:val="0"/>
      <w:marRight w:val="0"/>
      <w:marTop w:val="0"/>
      <w:marBottom w:val="0"/>
      <w:divBdr>
        <w:top w:val="none" w:sz="0" w:space="0" w:color="auto"/>
        <w:left w:val="none" w:sz="0" w:space="0" w:color="auto"/>
        <w:bottom w:val="none" w:sz="0" w:space="0" w:color="auto"/>
        <w:right w:val="none" w:sz="0" w:space="0" w:color="auto"/>
      </w:divBdr>
    </w:div>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144344">
      <w:bodyDiv w:val="1"/>
      <w:marLeft w:val="0"/>
      <w:marRight w:val="0"/>
      <w:marTop w:val="0"/>
      <w:marBottom w:val="0"/>
      <w:divBdr>
        <w:top w:val="none" w:sz="0" w:space="0" w:color="auto"/>
        <w:left w:val="none" w:sz="0" w:space="0" w:color="auto"/>
        <w:bottom w:val="none" w:sz="0" w:space="0" w:color="auto"/>
        <w:right w:val="none" w:sz="0" w:space="0" w:color="auto"/>
      </w:divBdr>
      <w:divsChild>
        <w:div w:id="1610551597">
          <w:marLeft w:val="0"/>
          <w:marRight w:val="0"/>
          <w:marTop w:val="0"/>
          <w:marBottom w:val="0"/>
          <w:divBdr>
            <w:top w:val="none" w:sz="0" w:space="0" w:color="auto"/>
            <w:left w:val="none" w:sz="0" w:space="0" w:color="auto"/>
            <w:bottom w:val="none" w:sz="0" w:space="0" w:color="auto"/>
            <w:right w:val="none" w:sz="0" w:space="0" w:color="auto"/>
          </w:divBdr>
          <w:divsChild>
            <w:div w:id="2038459412">
              <w:marLeft w:val="0"/>
              <w:marRight w:val="0"/>
              <w:marTop w:val="0"/>
              <w:marBottom w:val="0"/>
              <w:divBdr>
                <w:top w:val="none" w:sz="0" w:space="0" w:color="auto"/>
                <w:left w:val="none" w:sz="0" w:space="0" w:color="auto"/>
                <w:bottom w:val="none" w:sz="0" w:space="0" w:color="auto"/>
                <w:right w:val="none" w:sz="0" w:space="0" w:color="auto"/>
              </w:divBdr>
              <w:divsChild>
                <w:div w:id="206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35281481">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48305046">
      <w:bodyDiv w:val="1"/>
      <w:marLeft w:val="0"/>
      <w:marRight w:val="0"/>
      <w:marTop w:val="0"/>
      <w:marBottom w:val="0"/>
      <w:divBdr>
        <w:top w:val="none" w:sz="0" w:space="0" w:color="auto"/>
        <w:left w:val="none" w:sz="0" w:space="0" w:color="auto"/>
        <w:bottom w:val="none" w:sz="0" w:space="0" w:color="auto"/>
        <w:right w:val="none" w:sz="0" w:space="0" w:color="auto"/>
      </w:divBdr>
      <w:divsChild>
        <w:div w:id="262299518">
          <w:marLeft w:val="0"/>
          <w:marRight w:val="0"/>
          <w:marTop w:val="0"/>
          <w:marBottom w:val="0"/>
          <w:divBdr>
            <w:top w:val="none" w:sz="0" w:space="0" w:color="auto"/>
            <w:left w:val="none" w:sz="0" w:space="0" w:color="auto"/>
            <w:bottom w:val="none" w:sz="0" w:space="0" w:color="auto"/>
            <w:right w:val="none" w:sz="0" w:space="0" w:color="auto"/>
          </w:divBdr>
          <w:divsChild>
            <w:div w:id="1744986443">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03">
      <w:bodyDiv w:val="1"/>
      <w:marLeft w:val="0"/>
      <w:marRight w:val="0"/>
      <w:marTop w:val="0"/>
      <w:marBottom w:val="0"/>
      <w:divBdr>
        <w:top w:val="none" w:sz="0" w:space="0" w:color="auto"/>
        <w:left w:val="none" w:sz="0" w:space="0" w:color="auto"/>
        <w:bottom w:val="none" w:sz="0" w:space="0" w:color="auto"/>
        <w:right w:val="none" w:sz="0" w:space="0" w:color="auto"/>
      </w:divBdr>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79496941">
      <w:bodyDiv w:val="1"/>
      <w:marLeft w:val="0"/>
      <w:marRight w:val="0"/>
      <w:marTop w:val="0"/>
      <w:marBottom w:val="0"/>
      <w:divBdr>
        <w:top w:val="none" w:sz="0" w:space="0" w:color="auto"/>
        <w:left w:val="none" w:sz="0" w:space="0" w:color="auto"/>
        <w:bottom w:val="none" w:sz="0" w:space="0" w:color="auto"/>
        <w:right w:val="none" w:sz="0" w:space="0" w:color="auto"/>
      </w:divBdr>
      <w:divsChild>
        <w:div w:id="689528428">
          <w:marLeft w:val="0"/>
          <w:marRight w:val="0"/>
          <w:marTop w:val="0"/>
          <w:marBottom w:val="0"/>
          <w:divBdr>
            <w:top w:val="none" w:sz="0" w:space="0" w:color="auto"/>
            <w:left w:val="none" w:sz="0" w:space="0" w:color="auto"/>
            <w:bottom w:val="none" w:sz="0" w:space="0" w:color="auto"/>
            <w:right w:val="none" w:sz="0" w:space="0" w:color="auto"/>
          </w:divBdr>
          <w:divsChild>
            <w:div w:id="2370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725">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94985693">
      <w:bodyDiv w:val="1"/>
      <w:marLeft w:val="0"/>
      <w:marRight w:val="0"/>
      <w:marTop w:val="0"/>
      <w:marBottom w:val="0"/>
      <w:divBdr>
        <w:top w:val="none" w:sz="0" w:space="0" w:color="auto"/>
        <w:left w:val="none" w:sz="0" w:space="0" w:color="auto"/>
        <w:bottom w:val="none" w:sz="0" w:space="0" w:color="auto"/>
        <w:right w:val="none" w:sz="0" w:space="0" w:color="auto"/>
      </w:divBdr>
    </w:div>
    <w:div w:id="102460894">
      <w:bodyDiv w:val="1"/>
      <w:marLeft w:val="0"/>
      <w:marRight w:val="0"/>
      <w:marTop w:val="0"/>
      <w:marBottom w:val="0"/>
      <w:divBdr>
        <w:top w:val="none" w:sz="0" w:space="0" w:color="auto"/>
        <w:left w:val="none" w:sz="0" w:space="0" w:color="auto"/>
        <w:bottom w:val="none" w:sz="0" w:space="0" w:color="auto"/>
        <w:right w:val="none" w:sz="0" w:space="0" w:color="auto"/>
      </w:divBdr>
    </w:div>
    <w:div w:id="122775619">
      <w:bodyDiv w:val="1"/>
      <w:marLeft w:val="0"/>
      <w:marRight w:val="0"/>
      <w:marTop w:val="0"/>
      <w:marBottom w:val="0"/>
      <w:divBdr>
        <w:top w:val="none" w:sz="0" w:space="0" w:color="auto"/>
        <w:left w:val="none" w:sz="0" w:space="0" w:color="auto"/>
        <w:bottom w:val="none" w:sz="0" w:space="0" w:color="auto"/>
        <w:right w:val="none" w:sz="0" w:space="0" w:color="auto"/>
      </w:divBdr>
      <w:divsChild>
        <w:div w:id="2062821963">
          <w:marLeft w:val="0"/>
          <w:marRight w:val="0"/>
          <w:marTop w:val="0"/>
          <w:marBottom w:val="0"/>
          <w:divBdr>
            <w:top w:val="none" w:sz="0" w:space="0" w:color="auto"/>
            <w:left w:val="none" w:sz="0" w:space="0" w:color="auto"/>
            <w:bottom w:val="none" w:sz="0" w:space="0" w:color="auto"/>
            <w:right w:val="none" w:sz="0" w:space="0" w:color="auto"/>
          </w:divBdr>
        </w:div>
      </w:divsChild>
    </w:div>
    <w:div w:id="129980973">
      <w:bodyDiv w:val="1"/>
      <w:marLeft w:val="0"/>
      <w:marRight w:val="0"/>
      <w:marTop w:val="0"/>
      <w:marBottom w:val="0"/>
      <w:divBdr>
        <w:top w:val="none" w:sz="0" w:space="0" w:color="auto"/>
        <w:left w:val="none" w:sz="0" w:space="0" w:color="auto"/>
        <w:bottom w:val="none" w:sz="0" w:space="0" w:color="auto"/>
        <w:right w:val="none" w:sz="0" w:space="0" w:color="auto"/>
      </w:divBdr>
      <w:divsChild>
        <w:div w:id="522939710">
          <w:marLeft w:val="0"/>
          <w:marRight w:val="0"/>
          <w:marTop w:val="0"/>
          <w:marBottom w:val="0"/>
          <w:divBdr>
            <w:top w:val="none" w:sz="0" w:space="0" w:color="auto"/>
            <w:left w:val="none" w:sz="0" w:space="0" w:color="auto"/>
            <w:bottom w:val="none" w:sz="0" w:space="0" w:color="auto"/>
            <w:right w:val="none" w:sz="0" w:space="0" w:color="auto"/>
          </w:divBdr>
          <w:divsChild>
            <w:div w:id="1560894338">
              <w:marLeft w:val="0"/>
              <w:marRight w:val="0"/>
              <w:marTop w:val="0"/>
              <w:marBottom w:val="0"/>
              <w:divBdr>
                <w:top w:val="none" w:sz="0" w:space="0" w:color="auto"/>
                <w:left w:val="none" w:sz="0" w:space="0" w:color="auto"/>
                <w:bottom w:val="none" w:sz="0" w:space="0" w:color="auto"/>
                <w:right w:val="none" w:sz="0" w:space="0" w:color="auto"/>
              </w:divBdr>
              <w:divsChild>
                <w:div w:id="110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619">
      <w:bodyDiv w:val="1"/>
      <w:marLeft w:val="0"/>
      <w:marRight w:val="0"/>
      <w:marTop w:val="0"/>
      <w:marBottom w:val="0"/>
      <w:divBdr>
        <w:top w:val="none" w:sz="0" w:space="0" w:color="auto"/>
        <w:left w:val="none" w:sz="0" w:space="0" w:color="auto"/>
        <w:bottom w:val="none" w:sz="0" w:space="0" w:color="auto"/>
        <w:right w:val="none" w:sz="0" w:space="0" w:color="auto"/>
      </w:divBdr>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54615700">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69032022">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8033545">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6181">
      <w:bodyDiv w:val="1"/>
      <w:marLeft w:val="0"/>
      <w:marRight w:val="0"/>
      <w:marTop w:val="0"/>
      <w:marBottom w:val="0"/>
      <w:divBdr>
        <w:top w:val="none" w:sz="0" w:space="0" w:color="auto"/>
        <w:left w:val="none" w:sz="0" w:space="0" w:color="auto"/>
        <w:bottom w:val="none" w:sz="0" w:space="0" w:color="auto"/>
        <w:right w:val="none" w:sz="0" w:space="0" w:color="auto"/>
      </w:divBdr>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58679361">
      <w:bodyDiv w:val="1"/>
      <w:marLeft w:val="0"/>
      <w:marRight w:val="0"/>
      <w:marTop w:val="0"/>
      <w:marBottom w:val="0"/>
      <w:divBdr>
        <w:top w:val="none" w:sz="0" w:space="0" w:color="auto"/>
        <w:left w:val="none" w:sz="0" w:space="0" w:color="auto"/>
        <w:bottom w:val="none" w:sz="0" w:space="0" w:color="auto"/>
        <w:right w:val="none" w:sz="0" w:space="0" w:color="auto"/>
      </w:divBdr>
    </w:div>
    <w:div w:id="264926424">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88053694">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0133555">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14844853">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31302024">
      <w:bodyDiv w:val="1"/>
      <w:marLeft w:val="0"/>
      <w:marRight w:val="0"/>
      <w:marTop w:val="0"/>
      <w:marBottom w:val="0"/>
      <w:divBdr>
        <w:top w:val="none" w:sz="0" w:space="0" w:color="auto"/>
        <w:left w:val="none" w:sz="0" w:space="0" w:color="auto"/>
        <w:bottom w:val="none" w:sz="0" w:space="0" w:color="auto"/>
        <w:right w:val="none" w:sz="0" w:space="0" w:color="auto"/>
      </w:divBdr>
    </w:div>
    <w:div w:id="331881237">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39620751">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48802467">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10320993">
      <w:bodyDiv w:val="1"/>
      <w:marLeft w:val="0"/>
      <w:marRight w:val="0"/>
      <w:marTop w:val="0"/>
      <w:marBottom w:val="0"/>
      <w:divBdr>
        <w:top w:val="none" w:sz="0" w:space="0" w:color="auto"/>
        <w:left w:val="none" w:sz="0" w:space="0" w:color="auto"/>
        <w:bottom w:val="none" w:sz="0" w:space="0" w:color="auto"/>
        <w:right w:val="none" w:sz="0" w:space="0" w:color="auto"/>
      </w:divBdr>
    </w:div>
    <w:div w:id="415446229">
      <w:bodyDiv w:val="1"/>
      <w:marLeft w:val="0"/>
      <w:marRight w:val="0"/>
      <w:marTop w:val="0"/>
      <w:marBottom w:val="0"/>
      <w:divBdr>
        <w:top w:val="none" w:sz="0" w:space="0" w:color="auto"/>
        <w:left w:val="none" w:sz="0" w:space="0" w:color="auto"/>
        <w:bottom w:val="none" w:sz="0" w:space="0" w:color="auto"/>
        <w:right w:val="none" w:sz="0" w:space="0" w:color="auto"/>
      </w:divBdr>
      <w:divsChild>
        <w:div w:id="1042360156">
          <w:marLeft w:val="0"/>
          <w:marRight w:val="0"/>
          <w:marTop w:val="0"/>
          <w:marBottom w:val="0"/>
          <w:divBdr>
            <w:top w:val="none" w:sz="0" w:space="0" w:color="auto"/>
            <w:left w:val="none" w:sz="0" w:space="0" w:color="auto"/>
            <w:bottom w:val="none" w:sz="0" w:space="0" w:color="auto"/>
            <w:right w:val="none" w:sz="0" w:space="0" w:color="auto"/>
          </w:divBdr>
          <w:divsChild>
            <w:div w:id="469910124">
              <w:marLeft w:val="0"/>
              <w:marRight w:val="0"/>
              <w:marTop w:val="0"/>
              <w:marBottom w:val="0"/>
              <w:divBdr>
                <w:top w:val="none" w:sz="0" w:space="0" w:color="auto"/>
                <w:left w:val="none" w:sz="0" w:space="0" w:color="auto"/>
                <w:bottom w:val="none" w:sz="0" w:space="0" w:color="auto"/>
                <w:right w:val="none" w:sz="0" w:space="0" w:color="auto"/>
              </w:divBdr>
              <w:divsChild>
                <w:div w:id="1034884912">
                  <w:marLeft w:val="0"/>
                  <w:marRight w:val="0"/>
                  <w:marTop w:val="0"/>
                  <w:marBottom w:val="0"/>
                  <w:divBdr>
                    <w:top w:val="none" w:sz="0" w:space="0" w:color="auto"/>
                    <w:left w:val="none" w:sz="0" w:space="0" w:color="auto"/>
                    <w:bottom w:val="none" w:sz="0" w:space="0" w:color="auto"/>
                    <w:right w:val="none" w:sz="0" w:space="0" w:color="auto"/>
                  </w:divBdr>
                  <w:divsChild>
                    <w:div w:id="1721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74681217">
      <w:bodyDiv w:val="1"/>
      <w:marLeft w:val="0"/>
      <w:marRight w:val="0"/>
      <w:marTop w:val="0"/>
      <w:marBottom w:val="0"/>
      <w:divBdr>
        <w:top w:val="none" w:sz="0" w:space="0" w:color="auto"/>
        <w:left w:val="none" w:sz="0" w:space="0" w:color="auto"/>
        <w:bottom w:val="none" w:sz="0" w:space="0" w:color="auto"/>
        <w:right w:val="none" w:sz="0" w:space="0" w:color="auto"/>
      </w:divBdr>
    </w:div>
    <w:div w:id="478150842">
      <w:bodyDiv w:val="1"/>
      <w:marLeft w:val="0"/>
      <w:marRight w:val="0"/>
      <w:marTop w:val="0"/>
      <w:marBottom w:val="0"/>
      <w:divBdr>
        <w:top w:val="none" w:sz="0" w:space="0" w:color="auto"/>
        <w:left w:val="none" w:sz="0" w:space="0" w:color="auto"/>
        <w:bottom w:val="none" w:sz="0" w:space="0" w:color="auto"/>
        <w:right w:val="none" w:sz="0" w:space="0" w:color="auto"/>
      </w:divBdr>
    </w:div>
    <w:div w:id="480733979">
      <w:bodyDiv w:val="1"/>
      <w:marLeft w:val="0"/>
      <w:marRight w:val="0"/>
      <w:marTop w:val="0"/>
      <w:marBottom w:val="0"/>
      <w:divBdr>
        <w:top w:val="none" w:sz="0" w:space="0" w:color="auto"/>
        <w:left w:val="none" w:sz="0" w:space="0" w:color="auto"/>
        <w:bottom w:val="none" w:sz="0" w:space="0" w:color="auto"/>
        <w:right w:val="none" w:sz="0" w:space="0" w:color="auto"/>
      </w:divBdr>
    </w:div>
    <w:div w:id="488137663">
      <w:bodyDiv w:val="1"/>
      <w:marLeft w:val="0"/>
      <w:marRight w:val="0"/>
      <w:marTop w:val="0"/>
      <w:marBottom w:val="0"/>
      <w:divBdr>
        <w:top w:val="none" w:sz="0" w:space="0" w:color="auto"/>
        <w:left w:val="none" w:sz="0" w:space="0" w:color="auto"/>
        <w:bottom w:val="none" w:sz="0" w:space="0" w:color="auto"/>
        <w:right w:val="none" w:sz="0" w:space="0" w:color="auto"/>
      </w:divBdr>
      <w:divsChild>
        <w:div w:id="173151323">
          <w:marLeft w:val="0"/>
          <w:marRight w:val="0"/>
          <w:marTop w:val="0"/>
          <w:marBottom w:val="0"/>
          <w:divBdr>
            <w:top w:val="none" w:sz="0" w:space="0" w:color="auto"/>
            <w:left w:val="none" w:sz="0" w:space="0" w:color="auto"/>
            <w:bottom w:val="none" w:sz="0" w:space="0" w:color="auto"/>
            <w:right w:val="none" w:sz="0" w:space="0" w:color="auto"/>
          </w:divBdr>
          <w:divsChild>
            <w:div w:id="1997612402">
              <w:marLeft w:val="0"/>
              <w:marRight w:val="0"/>
              <w:marTop w:val="0"/>
              <w:marBottom w:val="0"/>
              <w:divBdr>
                <w:top w:val="none" w:sz="0" w:space="0" w:color="auto"/>
                <w:left w:val="none" w:sz="0" w:space="0" w:color="auto"/>
                <w:bottom w:val="none" w:sz="0" w:space="0" w:color="auto"/>
                <w:right w:val="none" w:sz="0" w:space="0" w:color="auto"/>
              </w:divBdr>
              <w:divsChild>
                <w:div w:id="1496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819">
          <w:marLeft w:val="0"/>
          <w:marRight w:val="0"/>
          <w:marTop w:val="0"/>
          <w:marBottom w:val="0"/>
          <w:divBdr>
            <w:top w:val="none" w:sz="0" w:space="0" w:color="auto"/>
            <w:left w:val="none" w:sz="0" w:space="0" w:color="auto"/>
            <w:bottom w:val="none" w:sz="0" w:space="0" w:color="auto"/>
            <w:right w:val="none" w:sz="0" w:space="0" w:color="auto"/>
          </w:divBdr>
          <w:divsChild>
            <w:div w:id="526329996">
              <w:marLeft w:val="0"/>
              <w:marRight w:val="0"/>
              <w:marTop w:val="0"/>
              <w:marBottom w:val="0"/>
              <w:divBdr>
                <w:top w:val="none" w:sz="0" w:space="0" w:color="auto"/>
                <w:left w:val="none" w:sz="0" w:space="0" w:color="auto"/>
                <w:bottom w:val="none" w:sz="0" w:space="0" w:color="auto"/>
                <w:right w:val="none" w:sz="0" w:space="0" w:color="auto"/>
              </w:divBdr>
              <w:divsChild>
                <w:div w:id="52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751">
          <w:marLeft w:val="0"/>
          <w:marRight w:val="0"/>
          <w:marTop w:val="0"/>
          <w:marBottom w:val="0"/>
          <w:divBdr>
            <w:top w:val="none" w:sz="0" w:space="0" w:color="auto"/>
            <w:left w:val="none" w:sz="0" w:space="0" w:color="auto"/>
            <w:bottom w:val="none" w:sz="0" w:space="0" w:color="auto"/>
            <w:right w:val="none" w:sz="0" w:space="0" w:color="auto"/>
          </w:divBdr>
          <w:divsChild>
            <w:div w:id="1757092539">
              <w:marLeft w:val="0"/>
              <w:marRight w:val="0"/>
              <w:marTop w:val="0"/>
              <w:marBottom w:val="0"/>
              <w:divBdr>
                <w:top w:val="none" w:sz="0" w:space="0" w:color="auto"/>
                <w:left w:val="none" w:sz="0" w:space="0" w:color="auto"/>
                <w:bottom w:val="none" w:sz="0" w:space="0" w:color="auto"/>
                <w:right w:val="none" w:sz="0" w:space="0" w:color="auto"/>
              </w:divBdr>
              <w:divsChild>
                <w:div w:id="9059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1010">
      <w:bodyDiv w:val="1"/>
      <w:marLeft w:val="0"/>
      <w:marRight w:val="0"/>
      <w:marTop w:val="0"/>
      <w:marBottom w:val="0"/>
      <w:divBdr>
        <w:top w:val="none" w:sz="0" w:space="0" w:color="auto"/>
        <w:left w:val="none" w:sz="0" w:space="0" w:color="auto"/>
        <w:bottom w:val="none" w:sz="0" w:space="0" w:color="auto"/>
        <w:right w:val="none" w:sz="0" w:space="0" w:color="auto"/>
      </w:divBdr>
      <w:divsChild>
        <w:div w:id="2075425971">
          <w:marLeft w:val="0"/>
          <w:marRight w:val="0"/>
          <w:marTop w:val="0"/>
          <w:marBottom w:val="0"/>
          <w:divBdr>
            <w:top w:val="none" w:sz="0" w:space="0" w:color="auto"/>
            <w:left w:val="none" w:sz="0" w:space="0" w:color="auto"/>
            <w:bottom w:val="none" w:sz="0" w:space="0" w:color="auto"/>
            <w:right w:val="none" w:sz="0" w:space="0" w:color="auto"/>
          </w:divBdr>
          <w:divsChild>
            <w:div w:id="205337403">
              <w:marLeft w:val="0"/>
              <w:marRight w:val="0"/>
              <w:marTop w:val="0"/>
              <w:marBottom w:val="0"/>
              <w:divBdr>
                <w:top w:val="none" w:sz="0" w:space="0" w:color="auto"/>
                <w:left w:val="none" w:sz="0" w:space="0" w:color="auto"/>
                <w:bottom w:val="none" w:sz="0" w:space="0" w:color="auto"/>
                <w:right w:val="none" w:sz="0" w:space="0" w:color="auto"/>
              </w:divBdr>
              <w:divsChild>
                <w:div w:id="1457597653">
                  <w:marLeft w:val="0"/>
                  <w:marRight w:val="0"/>
                  <w:marTop w:val="0"/>
                  <w:marBottom w:val="0"/>
                  <w:divBdr>
                    <w:top w:val="none" w:sz="0" w:space="0" w:color="auto"/>
                    <w:left w:val="none" w:sz="0" w:space="0" w:color="auto"/>
                    <w:bottom w:val="none" w:sz="0" w:space="0" w:color="auto"/>
                    <w:right w:val="none" w:sz="0" w:space="0" w:color="auto"/>
                  </w:divBdr>
                  <w:divsChild>
                    <w:div w:id="14521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4498">
      <w:bodyDiv w:val="1"/>
      <w:marLeft w:val="0"/>
      <w:marRight w:val="0"/>
      <w:marTop w:val="0"/>
      <w:marBottom w:val="0"/>
      <w:divBdr>
        <w:top w:val="none" w:sz="0" w:space="0" w:color="auto"/>
        <w:left w:val="none" w:sz="0" w:space="0" w:color="auto"/>
        <w:bottom w:val="none" w:sz="0" w:space="0" w:color="auto"/>
        <w:right w:val="none" w:sz="0" w:space="0" w:color="auto"/>
      </w:divBdr>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68576">
      <w:bodyDiv w:val="1"/>
      <w:marLeft w:val="0"/>
      <w:marRight w:val="0"/>
      <w:marTop w:val="0"/>
      <w:marBottom w:val="0"/>
      <w:divBdr>
        <w:top w:val="none" w:sz="0" w:space="0" w:color="auto"/>
        <w:left w:val="none" w:sz="0" w:space="0" w:color="auto"/>
        <w:bottom w:val="none" w:sz="0" w:space="0" w:color="auto"/>
        <w:right w:val="none" w:sz="0" w:space="0" w:color="auto"/>
      </w:divBdr>
    </w:div>
    <w:div w:id="508563369">
      <w:bodyDiv w:val="1"/>
      <w:marLeft w:val="0"/>
      <w:marRight w:val="0"/>
      <w:marTop w:val="0"/>
      <w:marBottom w:val="0"/>
      <w:divBdr>
        <w:top w:val="none" w:sz="0" w:space="0" w:color="auto"/>
        <w:left w:val="none" w:sz="0" w:space="0" w:color="auto"/>
        <w:bottom w:val="none" w:sz="0" w:space="0" w:color="auto"/>
        <w:right w:val="none" w:sz="0" w:space="0" w:color="auto"/>
      </w:divBdr>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12846565">
      <w:bodyDiv w:val="1"/>
      <w:marLeft w:val="0"/>
      <w:marRight w:val="0"/>
      <w:marTop w:val="0"/>
      <w:marBottom w:val="0"/>
      <w:divBdr>
        <w:top w:val="none" w:sz="0" w:space="0" w:color="auto"/>
        <w:left w:val="none" w:sz="0" w:space="0" w:color="auto"/>
        <w:bottom w:val="none" w:sz="0" w:space="0" w:color="auto"/>
        <w:right w:val="none" w:sz="0" w:space="0" w:color="auto"/>
      </w:divBdr>
    </w:div>
    <w:div w:id="512959422">
      <w:bodyDiv w:val="1"/>
      <w:marLeft w:val="0"/>
      <w:marRight w:val="0"/>
      <w:marTop w:val="0"/>
      <w:marBottom w:val="0"/>
      <w:divBdr>
        <w:top w:val="none" w:sz="0" w:space="0" w:color="auto"/>
        <w:left w:val="none" w:sz="0" w:space="0" w:color="auto"/>
        <w:bottom w:val="none" w:sz="0" w:space="0" w:color="auto"/>
        <w:right w:val="none" w:sz="0" w:space="0" w:color="auto"/>
      </w:divBdr>
    </w:div>
    <w:div w:id="51808774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2153">
      <w:bodyDiv w:val="1"/>
      <w:marLeft w:val="0"/>
      <w:marRight w:val="0"/>
      <w:marTop w:val="0"/>
      <w:marBottom w:val="0"/>
      <w:divBdr>
        <w:top w:val="none" w:sz="0" w:space="0" w:color="auto"/>
        <w:left w:val="none" w:sz="0" w:space="0" w:color="auto"/>
        <w:bottom w:val="none" w:sz="0" w:space="0" w:color="auto"/>
        <w:right w:val="none" w:sz="0" w:space="0" w:color="auto"/>
      </w:divBdr>
      <w:divsChild>
        <w:div w:id="1701324343">
          <w:marLeft w:val="0"/>
          <w:marRight w:val="0"/>
          <w:marTop w:val="0"/>
          <w:marBottom w:val="0"/>
          <w:divBdr>
            <w:top w:val="none" w:sz="0" w:space="0" w:color="auto"/>
            <w:left w:val="none" w:sz="0" w:space="0" w:color="auto"/>
            <w:bottom w:val="none" w:sz="0" w:space="0" w:color="auto"/>
            <w:right w:val="none" w:sz="0" w:space="0" w:color="auto"/>
          </w:divBdr>
        </w:div>
        <w:div w:id="939409035">
          <w:marLeft w:val="0"/>
          <w:marRight w:val="0"/>
          <w:marTop w:val="0"/>
          <w:marBottom w:val="0"/>
          <w:divBdr>
            <w:top w:val="none" w:sz="0" w:space="0" w:color="auto"/>
            <w:left w:val="none" w:sz="0" w:space="0" w:color="auto"/>
            <w:bottom w:val="none" w:sz="0" w:space="0" w:color="auto"/>
            <w:right w:val="none" w:sz="0" w:space="0" w:color="auto"/>
          </w:divBdr>
          <w:divsChild>
            <w:div w:id="705133314">
              <w:marLeft w:val="0"/>
              <w:marRight w:val="0"/>
              <w:marTop w:val="0"/>
              <w:marBottom w:val="0"/>
              <w:divBdr>
                <w:top w:val="none" w:sz="0" w:space="0" w:color="auto"/>
                <w:left w:val="none" w:sz="0" w:space="0" w:color="auto"/>
                <w:bottom w:val="none" w:sz="0" w:space="0" w:color="auto"/>
                <w:right w:val="none" w:sz="0" w:space="0" w:color="auto"/>
              </w:divBdr>
            </w:div>
          </w:divsChild>
        </w:div>
        <w:div w:id="1115977753">
          <w:marLeft w:val="0"/>
          <w:marRight w:val="0"/>
          <w:marTop w:val="0"/>
          <w:marBottom w:val="0"/>
          <w:divBdr>
            <w:top w:val="none" w:sz="0" w:space="0" w:color="auto"/>
            <w:left w:val="none" w:sz="0" w:space="0" w:color="auto"/>
            <w:bottom w:val="none" w:sz="0" w:space="0" w:color="auto"/>
            <w:right w:val="none" w:sz="0" w:space="0" w:color="auto"/>
          </w:divBdr>
          <w:divsChild>
            <w:div w:id="1978945567">
              <w:marLeft w:val="0"/>
              <w:marRight w:val="0"/>
              <w:marTop w:val="0"/>
              <w:marBottom w:val="0"/>
              <w:divBdr>
                <w:top w:val="none" w:sz="0" w:space="0" w:color="auto"/>
                <w:left w:val="none" w:sz="0" w:space="0" w:color="auto"/>
                <w:bottom w:val="none" w:sz="0" w:space="0" w:color="auto"/>
                <w:right w:val="none" w:sz="0" w:space="0" w:color="auto"/>
              </w:divBdr>
            </w:div>
          </w:divsChild>
        </w:div>
        <w:div w:id="1854880431">
          <w:marLeft w:val="0"/>
          <w:marRight w:val="0"/>
          <w:marTop w:val="0"/>
          <w:marBottom w:val="0"/>
          <w:divBdr>
            <w:top w:val="none" w:sz="0" w:space="0" w:color="auto"/>
            <w:left w:val="none" w:sz="0" w:space="0" w:color="auto"/>
            <w:bottom w:val="none" w:sz="0" w:space="0" w:color="auto"/>
            <w:right w:val="none" w:sz="0" w:space="0" w:color="auto"/>
          </w:divBdr>
          <w:divsChild>
            <w:div w:id="2146005046">
              <w:marLeft w:val="0"/>
              <w:marRight w:val="0"/>
              <w:marTop w:val="0"/>
              <w:marBottom w:val="0"/>
              <w:divBdr>
                <w:top w:val="none" w:sz="0" w:space="0" w:color="auto"/>
                <w:left w:val="none" w:sz="0" w:space="0" w:color="auto"/>
                <w:bottom w:val="none" w:sz="0" w:space="0" w:color="auto"/>
                <w:right w:val="none" w:sz="0" w:space="0" w:color="auto"/>
              </w:divBdr>
            </w:div>
          </w:divsChild>
        </w:div>
        <w:div w:id="45107511">
          <w:marLeft w:val="0"/>
          <w:marRight w:val="0"/>
          <w:marTop w:val="0"/>
          <w:marBottom w:val="0"/>
          <w:divBdr>
            <w:top w:val="none" w:sz="0" w:space="0" w:color="auto"/>
            <w:left w:val="none" w:sz="0" w:space="0" w:color="auto"/>
            <w:bottom w:val="none" w:sz="0" w:space="0" w:color="auto"/>
            <w:right w:val="none" w:sz="0" w:space="0" w:color="auto"/>
          </w:divBdr>
          <w:divsChild>
            <w:div w:id="1398819625">
              <w:marLeft w:val="0"/>
              <w:marRight w:val="0"/>
              <w:marTop w:val="0"/>
              <w:marBottom w:val="0"/>
              <w:divBdr>
                <w:top w:val="none" w:sz="0" w:space="0" w:color="auto"/>
                <w:left w:val="none" w:sz="0" w:space="0" w:color="auto"/>
                <w:bottom w:val="none" w:sz="0" w:space="0" w:color="auto"/>
                <w:right w:val="none" w:sz="0" w:space="0" w:color="auto"/>
              </w:divBdr>
            </w:div>
          </w:divsChild>
        </w:div>
        <w:div w:id="300186750">
          <w:marLeft w:val="0"/>
          <w:marRight w:val="0"/>
          <w:marTop w:val="0"/>
          <w:marBottom w:val="0"/>
          <w:divBdr>
            <w:top w:val="none" w:sz="0" w:space="0" w:color="auto"/>
            <w:left w:val="none" w:sz="0" w:space="0" w:color="auto"/>
            <w:bottom w:val="none" w:sz="0" w:space="0" w:color="auto"/>
            <w:right w:val="none" w:sz="0" w:space="0" w:color="auto"/>
          </w:divBdr>
          <w:divsChild>
            <w:div w:id="18666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42449049">
      <w:bodyDiv w:val="1"/>
      <w:marLeft w:val="0"/>
      <w:marRight w:val="0"/>
      <w:marTop w:val="0"/>
      <w:marBottom w:val="0"/>
      <w:divBdr>
        <w:top w:val="none" w:sz="0" w:space="0" w:color="auto"/>
        <w:left w:val="none" w:sz="0" w:space="0" w:color="auto"/>
        <w:bottom w:val="none" w:sz="0" w:space="0" w:color="auto"/>
        <w:right w:val="none" w:sz="0" w:space="0" w:color="auto"/>
      </w:divBdr>
    </w:div>
    <w:div w:id="54876548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59361122">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73009464">
      <w:bodyDiv w:val="1"/>
      <w:marLeft w:val="0"/>
      <w:marRight w:val="0"/>
      <w:marTop w:val="0"/>
      <w:marBottom w:val="0"/>
      <w:divBdr>
        <w:top w:val="none" w:sz="0" w:space="0" w:color="auto"/>
        <w:left w:val="none" w:sz="0" w:space="0" w:color="auto"/>
        <w:bottom w:val="none" w:sz="0" w:space="0" w:color="auto"/>
        <w:right w:val="none" w:sz="0" w:space="0" w:color="auto"/>
      </w:divBdr>
    </w:div>
    <w:div w:id="581140375">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4150">
      <w:bodyDiv w:val="1"/>
      <w:marLeft w:val="0"/>
      <w:marRight w:val="0"/>
      <w:marTop w:val="0"/>
      <w:marBottom w:val="0"/>
      <w:divBdr>
        <w:top w:val="none" w:sz="0" w:space="0" w:color="auto"/>
        <w:left w:val="none" w:sz="0" w:space="0" w:color="auto"/>
        <w:bottom w:val="none" w:sz="0" w:space="0" w:color="auto"/>
        <w:right w:val="none" w:sz="0" w:space="0" w:color="auto"/>
      </w:divBdr>
      <w:divsChild>
        <w:div w:id="1768114359">
          <w:marLeft w:val="0"/>
          <w:marRight w:val="0"/>
          <w:marTop w:val="0"/>
          <w:marBottom w:val="0"/>
          <w:divBdr>
            <w:top w:val="none" w:sz="0" w:space="0" w:color="auto"/>
            <w:left w:val="none" w:sz="0" w:space="0" w:color="auto"/>
            <w:bottom w:val="none" w:sz="0" w:space="0" w:color="auto"/>
            <w:right w:val="none" w:sz="0" w:space="0" w:color="auto"/>
          </w:divBdr>
          <w:divsChild>
            <w:div w:id="1456832263">
              <w:marLeft w:val="0"/>
              <w:marRight w:val="0"/>
              <w:marTop w:val="0"/>
              <w:marBottom w:val="0"/>
              <w:divBdr>
                <w:top w:val="none" w:sz="0" w:space="0" w:color="auto"/>
                <w:left w:val="none" w:sz="0" w:space="0" w:color="auto"/>
                <w:bottom w:val="none" w:sz="0" w:space="0" w:color="auto"/>
                <w:right w:val="none" w:sz="0" w:space="0" w:color="auto"/>
              </w:divBdr>
              <w:divsChild>
                <w:div w:id="4011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9038">
      <w:bodyDiv w:val="1"/>
      <w:marLeft w:val="0"/>
      <w:marRight w:val="0"/>
      <w:marTop w:val="0"/>
      <w:marBottom w:val="0"/>
      <w:divBdr>
        <w:top w:val="none" w:sz="0" w:space="0" w:color="auto"/>
        <w:left w:val="none" w:sz="0" w:space="0" w:color="auto"/>
        <w:bottom w:val="none" w:sz="0" w:space="0" w:color="auto"/>
        <w:right w:val="none" w:sz="0" w:space="0" w:color="auto"/>
      </w:divBdr>
    </w:div>
    <w:div w:id="621151310">
      <w:bodyDiv w:val="1"/>
      <w:marLeft w:val="0"/>
      <w:marRight w:val="0"/>
      <w:marTop w:val="0"/>
      <w:marBottom w:val="0"/>
      <w:divBdr>
        <w:top w:val="none" w:sz="0" w:space="0" w:color="auto"/>
        <w:left w:val="none" w:sz="0" w:space="0" w:color="auto"/>
        <w:bottom w:val="none" w:sz="0" w:space="0" w:color="auto"/>
        <w:right w:val="none" w:sz="0" w:space="0" w:color="auto"/>
      </w:divBdr>
      <w:divsChild>
        <w:div w:id="546725902">
          <w:marLeft w:val="0"/>
          <w:marRight w:val="0"/>
          <w:marTop w:val="0"/>
          <w:marBottom w:val="0"/>
          <w:divBdr>
            <w:top w:val="none" w:sz="0" w:space="0" w:color="auto"/>
            <w:left w:val="none" w:sz="0" w:space="0" w:color="auto"/>
            <w:bottom w:val="none" w:sz="0" w:space="0" w:color="auto"/>
            <w:right w:val="none" w:sz="0" w:space="0" w:color="auto"/>
          </w:divBdr>
        </w:div>
      </w:divsChild>
    </w:div>
    <w:div w:id="635645677">
      <w:bodyDiv w:val="1"/>
      <w:marLeft w:val="0"/>
      <w:marRight w:val="0"/>
      <w:marTop w:val="0"/>
      <w:marBottom w:val="0"/>
      <w:divBdr>
        <w:top w:val="none" w:sz="0" w:space="0" w:color="auto"/>
        <w:left w:val="none" w:sz="0" w:space="0" w:color="auto"/>
        <w:bottom w:val="none" w:sz="0" w:space="0" w:color="auto"/>
        <w:right w:val="none" w:sz="0" w:space="0" w:color="auto"/>
      </w:divBdr>
    </w:div>
    <w:div w:id="640422574">
      <w:bodyDiv w:val="1"/>
      <w:marLeft w:val="0"/>
      <w:marRight w:val="0"/>
      <w:marTop w:val="0"/>
      <w:marBottom w:val="0"/>
      <w:divBdr>
        <w:top w:val="none" w:sz="0" w:space="0" w:color="auto"/>
        <w:left w:val="none" w:sz="0" w:space="0" w:color="auto"/>
        <w:bottom w:val="none" w:sz="0" w:space="0" w:color="auto"/>
        <w:right w:val="none" w:sz="0" w:space="0" w:color="auto"/>
      </w:divBdr>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04449">
      <w:bodyDiv w:val="1"/>
      <w:marLeft w:val="0"/>
      <w:marRight w:val="0"/>
      <w:marTop w:val="0"/>
      <w:marBottom w:val="0"/>
      <w:divBdr>
        <w:top w:val="none" w:sz="0" w:space="0" w:color="auto"/>
        <w:left w:val="none" w:sz="0" w:space="0" w:color="auto"/>
        <w:bottom w:val="none" w:sz="0" w:space="0" w:color="auto"/>
        <w:right w:val="none" w:sz="0" w:space="0" w:color="auto"/>
      </w:divBdr>
      <w:divsChild>
        <w:div w:id="657536732">
          <w:marLeft w:val="0"/>
          <w:marRight w:val="0"/>
          <w:marTop w:val="0"/>
          <w:marBottom w:val="0"/>
          <w:divBdr>
            <w:top w:val="none" w:sz="0" w:space="0" w:color="auto"/>
            <w:left w:val="none" w:sz="0" w:space="0" w:color="auto"/>
            <w:bottom w:val="none" w:sz="0" w:space="0" w:color="auto"/>
            <w:right w:val="none" w:sz="0" w:space="0" w:color="auto"/>
          </w:divBdr>
          <w:divsChild>
            <w:div w:id="1142191947">
              <w:marLeft w:val="0"/>
              <w:marRight w:val="0"/>
              <w:marTop w:val="0"/>
              <w:marBottom w:val="0"/>
              <w:divBdr>
                <w:top w:val="none" w:sz="0" w:space="0" w:color="auto"/>
                <w:left w:val="none" w:sz="0" w:space="0" w:color="auto"/>
                <w:bottom w:val="none" w:sz="0" w:space="0" w:color="auto"/>
                <w:right w:val="none" w:sz="0" w:space="0" w:color="auto"/>
              </w:divBdr>
              <w:divsChild>
                <w:div w:id="910889857">
                  <w:marLeft w:val="0"/>
                  <w:marRight w:val="0"/>
                  <w:marTop w:val="0"/>
                  <w:marBottom w:val="0"/>
                  <w:divBdr>
                    <w:top w:val="none" w:sz="0" w:space="0" w:color="auto"/>
                    <w:left w:val="none" w:sz="0" w:space="0" w:color="auto"/>
                    <w:bottom w:val="none" w:sz="0" w:space="0" w:color="auto"/>
                    <w:right w:val="none" w:sz="0" w:space="0" w:color="auto"/>
                  </w:divBdr>
                  <w:divsChild>
                    <w:div w:id="985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1897">
      <w:bodyDiv w:val="1"/>
      <w:marLeft w:val="0"/>
      <w:marRight w:val="0"/>
      <w:marTop w:val="0"/>
      <w:marBottom w:val="0"/>
      <w:divBdr>
        <w:top w:val="none" w:sz="0" w:space="0" w:color="auto"/>
        <w:left w:val="none" w:sz="0" w:space="0" w:color="auto"/>
        <w:bottom w:val="none" w:sz="0" w:space="0" w:color="auto"/>
        <w:right w:val="none" w:sz="0" w:space="0" w:color="auto"/>
      </w:divBdr>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670984687">
      <w:bodyDiv w:val="1"/>
      <w:marLeft w:val="0"/>
      <w:marRight w:val="0"/>
      <w:marTop w:val="0"/>
      <w:marBottom w:val="0"/>
      <w:divBdr>
        <w:top w:val="none" w:sz="0" w:space="0" w:color="auto"/>
        <w:left w:val="none" w:sz="0" w:space="0" w:color="auto"/>
        <w:bottom w:val="none" w:sz="0" w:space="0" w:color="auto"/>
        <w:right w:val="none" w:sz="0" w:space="0" w:color="auto"/>
      </w:divBdr>
    </w:div>
    <w:div w:id="673848130">
      <w:bodyDiv w:val="1"/>
      <w:marLeft w:val="0"/>
      <w:marRight w:val="0"/>
      <w:marTop w:val="0"/>
      <w:marBottom w:val="0"/>
      <w:divBdr>
        <w:top w:val="none" w:sz="0" w:space="0" w:color="auto"/>
        <w:left w:val="none" w:sz="0" w:space="0" w:color="auto"/>
        <w:bottom w:val="none" w:sz="0" w:space="0" w:color="auto"/>
        <w:right w:val="none" w:sz="0" w:space="0" w:color="auto"/>
      </w:divBdr>
    </w:div>
    <w:div w:id="682512875">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8632788">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27996429">
      <w:bodyDiv w:val="1"/>
      <w:marLeft w:val="0"/>
      <w:marRight w:val="0"/>
      <w:marTop w:val="0"/>
      <w:marBottom w:val="0"/>
      <w:divBdr>
        <w:top w:val="none" w:sz="0" w:space="0" w:color="auto"/>
        <w:left w:val="none" w:sz="0" w:space="0" w:color="auto"/>
        <w:bottom w:val="none" w:sz="0" w:space="0" w:color="auto"/>
        <w:right w:val="none" w:sz="0" w:space="0" w:color="auto"/>
      </w:divBdr>
      <w:divsChild>
        <w:div w:id="1994790054">
          <w:marLeft w:val="0"/>
          <w:marRight w:val="0"/>
          <w:marTop w:val="0"/>
          <w:marBottom w:val="0"/>
          <w:divBdr>
            <w:top w:val="none" w:sz="0" w:space="0" w:color="auto"/>
            <w:left w:val="none" w:sz="0" w:space="0" w:color="auto"/>
            <w:bottom w:val="none" w:sz="0" w:space="0" w:color="auto"/>
            <w:right w:val="none" w:sz="0" w:space="0" w:color="auto"/>
          </w:divBdr>
          <w:divsChild>
            <w:div w:id="1492988414">
              <w:marLeft w:val="0"/>
              <w:marRight w:val="0"/>
              <w:marTop w:val="0"/>
              <w:marBottom w:val="0"/>
              <w:divBdr>
                <w:top w:val="none" w:sz="0" w:space="0" w:color="auto"/>
                <w:left w:val="none" w:sz="0" w:space="0" w:color="auto"/>
                <w:bottom w:val="none" w:sz="0" w:space="0" w:color="auto"/>
                <w:right w:val="none" w:sz="0" w:space="0" w:color="auto"/>
              </w:divBdr>
              <w:divsChild>
                <w:div w:id="634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70572">
      <w:bodyDiv w:val="1"/>
      <w:marLeft w:val="0"/>
      <w:marRight w:val="0"/>
      <w:marTop w:val="0"/>
      <w:marBottom w:val="0"/>
      <w:divBdr>
        <w:top w:val="none" w:sz="0" w:space="0" w:color="auto"/>
        <w:left w:val="none" w:sz="0" w:space="0" w:color="auto"/>
        <w:bottom w:val="none" w:sz="0" w:space="0" w:color="auto"/>
        <w:right w:val="none" w:sz="0" w:space="0" w:color="auto"/>
      </w:divBdr>
    </w:div>
    <w:div w:id="747657133">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0279955">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10957">
      <w:bodyDiv w:val="1"/>
      <w:marLeft w:val="0"/>
      <w:marRight w:val="0"/>
      <w:marTop w:val="0"/>
      <w:marBottom w:val="0"/>
      <w:divBdr>
        <w:top w:val="none" w:sz="0" w:space="0" w:color="auto"/>
        <w:left w:val="none" w:sz="0" w:space="0" w:color="auto"/>
        <w:bottom w:val="none" w:sz="0" w:space="0" w:color="auto"/>
        <w:right w:val="none" w:sz="0" w:space="0" w:color="auto"/>
      </w:divBdr>
    </w:div>
    <w:div w:id="808321035">
      <w:bodyDiv w:val="1"/>
      <w:marLeft w:val="0"/>
      <w:marRight w:val="0"/>
      <w:marTop w:val="0"/>
      <w:marBottom w:val="0"/>
      <w:divBdr>
        <w:top w:val="none" w:sz="0" w:space="0" w:color="auto"/>
        <w:left w:val="none" w:sz="0" w:space="0" w:color="auto"/>
        <w:bottom w:val="none" w:sz="0" w:space="0" w:color="auto"/>
        <w:right w:val="none" w:sz="0" w:space="0" w:color="auto"/>
      </w:divBdr>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38158970">
      <w:bodyDiv w:val="1"/>
      <w:marLeft w:val="0"/>
      <w:marRight w:val="0"/>
      <w:marTop w:val="0"/>
      <w:marBottom w:val="0"/>
      <w:divBdr>
        <w:top w:val="none" w:sz="0" w:space="0" w:color="auto"/>
        <w:left w:val="none" w:sz="0" w:space="0" w:color="auto"/>
        <w:bottom w:val="none" w:sz="0" w:space="0" w:color="auto"/>
        <w:right w:val="none" w:sz="0" w:space="0" w:color="auto"/>
      </w:divBdr>
    </w:div>
    <w:div w:id="841503518">
      <w:bodyDiv w:val="1"/>
      <w:marLeft w:val="0"/>
      <w:marRight w:val="0"/>
      <w:marTop w:val="0"/>
      <w:marBottom w:val="0"/>
      <w:divBdr>
        <w:top w:val="none" w:sz="0" w:space="0" w:color="auto"/>
        <w:left w:val="none" w:sz="0" w:space="0" w:color="auto"/>
        <w:bottom w:val="none" w:sz="0" w:space="0" w:color="auto"/>
        <w:right w:val="none" w:sz="0" w:space="0" w:color="auto"/>
      </w:divBdr>
      <w:divsChild>
        <w:div w:id="1472594732">
          <w:marLeft w:val="0"/>
          <w:marRight w:val="0"/>
          <w:marTop w:val="0"/>
          <w:marBottom w:val="0"/>
          <w:divBdr>
            <w:top w:val="none" w:sz="0" w:space="0" w:color="auto"/>
            <w:left w:val="none" w:sz="0" w:space="0" w:color="auto"/>
            <w:bottom w:val="none" w:sz="0" w:space="0" w:color="auto"/>
            <w:right w:val="none" w:sz="0" w:space="0" w:color="auto"/>
          </w:divBdr>
          <w:divsChild>
            <w:div w:id="558857304">
              <w:marLeft w:val="0"/>
              <w:marRight w:val="0"/>
              <w:marTop w:val="0"/>
              <w:marBottom w:val="0"/>
              <w:divBdr>
                <w:top w:val="none" w:sz="0" w:space="0" w:color="auto"/>
                <w:left w:val="none" w:sz="0" w:space="0" w:color="auto"/>
                <w:bottom w:val="none" w:sz="0" w:space="0" w:color="auto"/>
                <w:right w:val="none" w:sz="0" w:space="0" w:color="auto"/>
              </w:divBdr>
              <w:divsChild>
                <w:div w:id="16445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30520">
      <w:bodyDiv w:val="1"/>
      <w:marLeft w:val="0"/>
      <w:marRight w:val="0"/>
      <w:marTop w:val="0"/>
      <w:marBottom w:val="0"/>
      <w:divBdr>
        <w:top w:val="none" w:sz="0" w:space="0" w:color="auto"/>
        <w:left w:val="none" w:sz="0" w:space="0" w:color="auto"/>
        <w:bottom w:val="none" w:sz="0" w:space="0" w:color="auto"/>
        <w:right w:val="none" w:sz="0" w:space="0" w:color="auto"/>
      </w:divBdr>
    </w:div>
    <w:div w:id="850337716">
      <w:bodyDiv w:val="1"/>
      <w:marLeft w:val="0"/>
      <w:marRight w:val="0"/>
      <w:marTop w:val="0"/>
      <w:marBottom w:val="0"/>
      <w:divBdr>
        <w:top w:val="none" w:sz="0" w:space="0" w:color="auto"/>
        <w:left w:val="none" w:sz="0" w:space="0" w:color="auto"/>
        <w:bottom w:val="none" w:sz="0" w:space="0" w:color="auto"/>
        <w:right w:val="none" w:sz="0" w:space="0" w:color="auto"/>
      </w:divBdr>
      <w:divsChild>
        <w:div w:id="1303539871">
          <w:marLeft w:val="0"/>
          <w:marRight w:val="0"/>
          <w:marTop w:val="0"/>
          <w:marBottom w:val="0"/>
          <w:divBdr>
            <w:top w:val="none" w:sz="0" w:space="0" w:color="auto"/>
            <w:left w:val="none" w:sz="0" w:space="0" w:color="auto"/>
            <w:bottom w:val="none" w:sz="0" w:space="0" w:color="auto"/>
            <w:right w:val="none" w:sz="0" w:space="0" w:color="auto"/>
          </w:divBdr>
          <w:divsChild>
            <w:div w:id="494688211">
              <w:marLeft w:val="0"/>
              <w:marRight w:val="0"/>
              <w:marTop w:val="0"/>
              <w:marBottom w:val="0"/>
              <w:divBdr>
                <w:top w:val="none" w:sz="0" w:space="0" w:color="auto"/>
                <w:left w:val="none" w:sz="0" w:space="0" w:color="auto"/>
                <w:bottom w:val="none" w:sz="0" w:space="0" w:color="auto"/>
                <w:right w:val="none" w:sz="0" w:space="0" w:color="auto"/>
              </w:divBdr>
              <w:divsChild>
                <w:div w:id="1644038439">
                  <w:marLeft w:val="0"/>
                  <w:marRight w:val="0"/>
                  <w:marTop w:val="0"/>
                  <w:marBottom w:val="0"/>
                  <w:divBdr>
                    <w:top w:val="none" w:sz="0" w:space="0" w:color="auto"/>
                    <w:left w:val="none" w:sz="0" w:space="0" w:color="auto"/>
                    <w:bottom w:val="none" w:sz="0" w:space="0" w:color="auto"/>
                    <w:right w:val="none" w:sz="0" w:space="0" w:color="auto"/>
                  </w:divBdr>
                  <w:divsChild>
                    <w:div w:id="9324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560965">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8670">
      <w:bodyDiv w:val="1"/>
      <w:marLeft w:val="0"/>
      <w:marRight w:val="0"/>
      <w:marTop w:val="0"/>
      <w:marBottom w:val="0"/>
      <w:divBdr>
        <w:top w:val="none" w:sz="0" w:space="0" w:color="auto"/>
        <w:left w:val="none" w:sz="0" w:space="0" w:color="auto"/>
        <w:bottom w:val="none" w:sz="0" w:space="0" w:color="auto"/>
        <w:right w:val="none" w:sz="0" w:space="0" w:color="auto"/>
      </w:divBdr>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894200762">
      <w:bodyDiv w:val="1"/>
      <w:marLeft w:val="0"/>
      <w:marRight w:val="0"/>
      <w:marTop w:val="0"/>
      <w:marBottom w:val="0"/>
      <w:divBdr>
        <w:top w:val="none" w:sz="0" w:space="0" w:color="auto"/>
        <w:left w:val="none" w:sz="0" w:space="0" w:color="auto"/>
        <w:bottom w:val="none" w:sz="0" w:space="0" w:color="auto"/>
        <w:right w:val="none" w:sz="0" w:space="0" w:color="auto"/>
      </w:divBdr>
    </w:div>
    <w:div w:id="894463004">
      <w:bodyDiv w:val="1"/>
      <w:marLeft w:val="0"/>
      <w:marRight w:val="0"/>
      <w:marTop w:val="0"/>
      <w:marBottom w:val="0"/>
      <w:divBdr>
        <w:top w:val="none" w:sz="0" w:space="0" w:color="auto"/>
        <w:left w:val="none" w:sz="0" w:space="0" w:color="auto"/>
        <w:bottom w:val="none" w:sz="0" w:space="0" w:color="auto"/>
        <w:right w:val="none" w:sz="0" w:space="0" w:color="auto"/>
      </w:divBdr>
      <w:divsChild>
        <w:div w:id="68617061">
          <w:marLeft w:val="0"/>
          <w:marRight w:val="0"/>
          <w:marTop w:val="0"/>
          <w:marBottom w:val="0"/>
          <w:divBdr>
            <w:top w:val="none" w:sz="0" w:space="0" w:color="auto"/>
            <w:left w:val="none" w:sz="0" w:space="0" w:color="auto"/>
            <w:bottom w:val="none" w:sz="0" w:space="0" w:color="auto"/>
            <w:right w:val="none" w:sz="0" w:space="0" w:color="auto"/>
          </w:divBdr>
          <w:divsChild>
            <w:div w:id="1053651746">
              <w:marLeft w:val="0"/>
              <w:marRight w:val="0"/>
              <w:marTop w:val="0"/>
              <w:marBottom w:val="0"/>
              <w:divBdr>
                <w:top w:val="none" w:sz="0" w:space="0" w:color="auto"/>
                <w:left w:val="none" w:sz="0" w:space="0" w:color="auto"/>
                <w:bottom w:val="none" w:sz="0" w:space="0" w:color="auto"/>
                <w:right w:val="none" w:sz="0" w:space="0" w:color="auto"/>
              </w:divBdr>
              <w:divsChild>
                <w:div w:id="443117741">
                  <w:marLeft w:val="0"/>
                  <w:marRight w:val="0"/>
                  <w:marTop w:val="0"/>
                  <w:marBottom w:val="0"/>
                  <w:divBdr>
                    <w:top w:val="none" w:sz="0" w:space="0" w:color="auto"/>
                    <w:left w:val="none" w:sz="0" w:space="0" w:color="auto"/>
                    <w:bottom w:val="none" w:sz="0" w:space="0" w:color="auto"/>
                    <w:right w:val="none" w:sz="0" w:space="0" w:color="auto"/>
                  </w:divBdr>
                  <w:divsChild>
                    <w:div w:id="3029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39335">
      <w:bodyDiv w:val="1"/>
      <w:marLeft w:val="0"/>
      <w:marRight w:val="0"/>
      <w:marTop w:val="0"/>
      <w:marBottom w:val="0"/>
      <w:divBdr>
        <w:top w:val="none" w:sz="0" w:space="0" w:color="auto"/>
        <w:left w:val="none" w:sz="0" w:space="0" w:color="auto"/>
        <w:bottom w:val="none" w:sz="0" w:space="0" w:color="auto"/>
        <w:right w:val="none" w:sz="0" w:space="0" w:color="auto"/>
      </w:divBdr>
    </w:div>
    <w:div w:id="908031242">
      <w:bodyDiv w:val="1"/>
      <w:marLeft w:val="0"/>
      <w:marRight w:val="0"/>
      <w:marTop w:val="0"/>
      <w:marBottom w:val="0"/>
      <w:divBdr>
        <w:top w:val="none" w:sz="0" w:space="0" w:color="auto"/>
        <w:left w:val="none" w:sz="0" w:space="0" w:color="auto"/>
        <w:bottom w:val="none" w:sz="0" w:space="0" w:color="auto"/>
        <w:right w:val="none" w:sz="0" w:space="0" w:color="auto"/>
      </w:divBdr>
    </w:div>
    <w:div w:id="908077233">
      <w:bodyDiv w:val="1"/>
      <w:marLeft w:val="0"/>
      <w:marRight w:val="0"/>
      <w:marTop w:val="0"/>
      <w:marBottom w:val="0"/>
      <w:divBdr>
        <w:top w:val="none" w:sz="0" w:space="0" w:color="auto"/>
        <w:left w:val="none" w:sz="0" w:space="0" w:color="auto"/>
        <w:bottom w:val="none" w:sz="0" w:space="0" w:color="auto"/>
        <w:right w:val="none" w:sz="0" w:space="0" w:color="auto"/>
      </w:divBdr>
      <w:divsChild>
        <w:div w:id="107049868">
          <w:marLeft w:val="0"/>
          <w:marRight w:val="0"/>
          <w:marTop w:val="0"/>
          <w:marBottom w:val="0"/>
          <w:divBdr>
            <w:top w:val="none" w:sz="0" w:space="0" w:color="auto"/>
            <w:left w:val="none" w:sz="0" w:space="0" w:color="auto"/>
            <w:bottom w:val="none" w:sz="0" w:space="0" w:color="auto"/>
            <w:right w:val="none" w:sz="0" w:space="0" w:color="auto"/>
          </w:divBdr>
        </w:div>
        <w:div w:id="1616597316">
          <w:marLeft w:val="0"/>
          <w:marRight w:val="0"/>
          <w:marTop w:val="0"/>
          <w:marBottom w:val="0"/>
          <w:divBdr>
            <w:top w:val="none" w:sz="0" w:space="0" w:color="auto"/>
            <w:left w:val="none" w:sz="0" w:space="0" w:color="auto"/>
            <w:bottom w:val="none" w:sz="0" w:space="0" w:color="auto"/>
            <w:right w:val="none" w:sz="0" w:space="0" w:color="auto"/>
          </w:divBdr>
        </w:div>
        <w:div w:id="1344017402">
          <w:marLeft w:val="0"/>
          <w:marRight w:val="0"/>
          <w:marTop w:val="0"/>
          <w:marBottom w:val="0"/>
          <w:divBdr>
            <w:top w:val="none" w:sz="0" w:space="0" w:color="auto"/>
            <w:left w:val="none" w:sz="0" w:space="0" w:color="auto"/>
            <w:bottom w:val="none" w:sz="0" w:space="0" w:color="auto"/>
            <w:right w:val="none" w:sz="0" w:space="0" w:color="auto"/>
          </w:divBdr>
        </w:div>
        <w:div w:id="1737241934">
          <w:marLeft w:val="0"/>
          <w:marRight w:val="0"/>
          <w:marTop w:val="0"/>
          <w:marBottom w:val="0"/>
          <w:divBdr>
            <w:top w:val="none" w:sz="0" w:space="0" w:color="auto"/>
            <w:left w:val="none" w:sz="0" w:space="0" w:color="auto"/>
            <w:bottom w:val="none" w:sz="0" w:space="0" w:color="auto"/>
            <w:right w:val="none" w:sz="0" w:space="0" w:color="auto"/>
          </w:divBdr>
        </w:div>
        <w:div w:id="156195889">
          <w:marLeft w:val="0"/>
          <w:marRight w:val="0"/>
          <w:marTop w:val="0"/>
          <w:marBottom w:val="0"/>
          <w:divBdr>
            <w:top w:val="none" w:sz="0" w:space="0" w:color="auto"/>
            <w:left w:val="none" w:sz="0" w:space="0" w:color="auto"/>
            <w:bottom w:val="none" w:sz="0" w:space="0" w:color="auto"/>
            <w:right w:val="none" w:sz="0" w:space="0" w:color="auto"/>
          </w:divBdr>
        </w:div>
        <w:div w:id="2001617834">
          <w:marLeft w:val="0"/>
          <w:marRight w:val="0"/>
          <w:marTop w:val="0"/>
          <w:marBottom w:val="0"/>
          <w:divBdr>
            <w:top w:val="none" w:sz="0" w:space="0" w:color="auto"/>
            <w:left w:val="none" w:sz="0" w:space="0" w:color="auto"/>
            <w:bottom w:val="none" w:sz="0" w:space="0" w:color="auto"/>
            <w:right w:val="none" w:sz="0" w:space="0" w:color="auto"/>
          </w:divBdr>
        </w:div>
        <w:div w:id="18799294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19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5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8083">
          <w:marLeft w:val="0"/>
          <w:marRight w:val="0"/>
          <w:marTop w:val="0"/>
          <w:marBottom w:val="0"/>
          <w:divBdr>
            <w:top w:val="none" w:sz="0" w:space="0" w:color="auto"/>
            <w:left w:val="none" w:sz="0" w:space="0" w:color="auto"/>
            <w:bottom w:val="none" w:sz="0" w:space="0" w:color="auto"/>
            <w:right w:val="none" w:sz="0" w:space="0" w:color="auto"/>
          </w:divBdr>
          <w:divsChild>
            <w:div w:id="976565194">
              <w:marLeft w:val="0"/>
              <w:marRight w:val="0"/>
              <w:marTop w:val="0"/>
              <w:marBottom w:val="0"/>
              <w:divBdr>
                <w:top w:val="none" w:sz="0" w:space="0" w:color="auto"/>
                <w:left w:val="none" w:sz="0" w:space="0" w:color="auto"/>
                <w:bottom w:val="none" w:sz="0" w:space="0" w:color="auto"/>
                <w:right w:val="none" w:sz="0" w:space="0" w:color="auto"/>
              </w:divBdr>
            </w:div>
          </w:divsChild>
        </w:div>
        <w:div w:id="430862631">
          <w:marLeft w:val="0"/>
          <w:marRight w:val="0"/>
          <w:marTop w:val="0"/>
          <w:marBottom w:val="0"/>
          <w:divBdr>
            <w:top w:val="none" w:sz="0" w:space="0" w:color="auto"/>
            <w:left w:val="none" w:sz="0" w:space="0" w:color="auto"/>
            <w:bottom w:val="none" w:sz="0" w:space="0" w:color="auto"/>
            <w:right w:val="none" w:sz="0" w:space="0" w:color="auto"/>
          </w:divBdr>
        </w:div>
        <w:div w:id="326515371">
          <w:marLeft w:val="0"/>
          <w:marRight w:val="0"/>
          <w:marTop w:val="0"/>
          <w:marBottom w:val="0"/>
          <w:divBdr>
            <w:top w:val="none" w:sz="0" w:space="0" w:color="auto"/>
            <w:left w:val="none" w:sz="0" w:space="0" w:color="auto"/>
            <w:bottom w:val="none" w:sz="0" w:space="0" w:color="auto"/>
            <w:right w:val="none" w:sz="0" w:space="0" w:color="auto"/>
          </w:divBdr>
        </w:div>
        <w:div w:id="1324821586">
          <w:marLeft w:val="0"/>
          <w:marRight w:val="0"/>
          <w:marTop w:val="0"/>
          <w:marBottom w:val="0"/>
          <w:divBdr>
            <w:top w:val="none" w:sz="0" w:space="0" w:color="auto"/>
            <w:left w:val="none" w:sz="0" w:space="0" w:color="auto"/>
            <w:bottom w:val="none" w:sz="0" w:space="0" w:color="auto"/>
            <w:right w:val="none" w:sz="0" w:space="0" w:color="auto"/>
          </w:divBdr>
        </w:div>
        <w:div w:id="1307587085">
          <w:marLeft w:val="0"/>
          <w:marRight w:val="0"/>
          <w:marTop w:val="0"/>
          <w:marBottom w:val="0"/>
          <w:divBdr>
            <w:top w:val="none" w:sz="0" w:space="0" w:color="auto"/>
            <w:left w:val="none" w:sz="0" w:space="0" w:color="auto"/>
            <w:bottom w:val="none" w:sz="0" w:space="0" w:color="auto"/>
            <w:right w:val="none" w:sz="0" w:space="0" w:color="auto"/>
          </w:divBdr>
        </w:div>
        <w:div w:id="12867360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9979592">
              <w:marLeft w:val="0"/>
              <w:marRight w:val="0"/>
              <w:marTop w:val="0"/>
              <w:marBottom w:val="0"/>
              <w:divBdr>
                <w:top w:val="none" w:sz="0" w:space="0" w:color="auto"/>
                <w:left w:val="none" w:sz="0" w:space="0" w:color="auto"/>
                <w:bottom w:val="none" w:sz="0" w:space="0" w:color="auto"/>
                <w:right w:val="none" w:sz="0" w:space="0" w:color="auto"/>
              </w:divBdr>
            </w:div>
            <w:div w:id="1956398870">
              <w:marLeft w:val="0"/>
              <w:marRight w:val="0"/>
              <w:marTop w:val="0"/>
              <w:marBottom w:val="0"/>
              <w:divBdr>
                <w:top w:val="none" w:sz="0" w:space="0" w:color="auto"/>
                <w:left w:val="none" w:sz="0" w:space="0" w:color="auto"/>
                <w:bottom w:val="none" w:sz="0" w:space="0" w:color="auto"/>
                <w:right w:val="none" w:sz="0" w:space="0" w:color="auto"/>
              </w:divBdr>
              <w:divsChild>
                <w:div w:id="1161695763">
                  <w:marLeft w:val="0"/>
                  <w:marRight w:val="0"/>
                  <w:marTop w:val="0"/>
                  <w:marBottom w:val="0"/>
                  <w:divBdr>
                    <w:top w:val="none" w:sz="0" w:space="0" w:color="auto"/>
                    <w:left w:val="none" w:sz="0" w:space="0" w:color="auto"/>
                    <w:bottom w:val="none" w:sz="0" w:space="0" w:color="auto"/>
                    <w:right w:val="none" w:sz="0" w:space="0" w:color="auto"/>
                  </w:divBdr>
                </w:div>
              </w:divsChild>
            </w:div>
            <w:div w:id="1202983241">
              <w:marLeft w:val="0"/>
              <w:marRight w:val="0"/>
              <w:marTop w:val="0"/>
              <w:marBottom w:val="0"/>
              <w:divBdr>
                <w:top w:val="none" w:sz="0" w:space="0" w:color="auto"/>
                <w:left w:val="none" w:sz="0" w:space="0" w:color="auto"/>
                <w:bottom w:val="none" w:sz="0" w:space="0" w:color="auto"/>
                <w:right w:val="none" w:sz="0" w:space="0" w:color="auto"/>
              </w:divBdr>
              <w:divsChild>
                <w:div w:id="870260073">
                  <w:marLeft w:val="0"/>
                  <w:marRight w:val="0"/>
                  <w:marTop w:val="0"/>
                  <w:marBottom w:val="0"/>
                  <w:divBdr>
                    <w:top w:val="none" w:sz="0" w:space="0" w:color="auto"/>
                    <w:left w:val="none" w:sz="0" w:space="0" w:color="auto"/>
                    <w:bottom w:val="none" w:sz="0" w:space="0" w:color="auto"/>
                    <w:right w:val="none" w:sz="0" w:space="0" w:color="auto"/>
                  </w:divBdr>
                </w:div>
              </w:divsChild>
            </w:div>
            <w:div w:id="160315264">
              <w:marLeft w:val="0"/>
              <w:marRight w:val="0"/>
              <w:marTop w:val="0"/>
              <w:marBottom w:val="0"/>
              <w:divBdr>
                <w:top w:val="none" w:sz="0" w:space="0" w:color="auto"/>
                <w:left w:val="none" w:sz="0" w:space="0" w:color="auto"/>
                <w:bottom w:val="none" w:sz="0" w:space="0" w:color="auto"/>
                <w:right w:val="none" w:sz="0" w:space="0" w:color="auto"/>
              </w:divBdr>
              <w:divsChild>
                <w:div w:id="537858833">
                  <w:marLeft w:val="0"/>
                  <w:marRight w:val="0"/>
                  <w:marTop w:val="0"/>
                  <w:marBottom w:val="0"/>
                  <w:divBdr>
                    <w:top w:val="none" w:sz="0" w:space="0" w:color="auto"/>
                    <w:left w:val="none" w:sz="0" w:space="0" w:color="auto"/>
                    <w:bottom w:val="none" w:sz="0" w:space="0" w:color="auto"/>
                    <w:right w:val="none" w:sz="0" w:space="0" w:color="auto"/>
                  </w:divBdr>
                </w:div>
              </w:divsChild>
            </w:div>
            <w:div w:id="1490824001">
              <w:marLeft w:val="0"/>
              <w:marRight w:val="0"/>
              <w:marTop w:val="0"/>
              <w:marBottom w:val="0"/>
              <w:divBdr>
                <w:top w:val="none" w:sz="0" w:space="0" w:color="auto"/>
                <w:left w:val="none" w:sz="0" w:space="0" w:color="auto"/>
                <w:bottom w:val="none" w:sz="0" w:space="0" w:color="auto"/>
                <w:right w:val="none" w:sz="0" w:space="0" w:color="auto"/>
              </w:divBdr>
              <w:divsChild>
                <w:div w:id="950283583">
                  <w:marLeft w:val="0"/>
                  <w:marRight w:val="0"/>
                  <w:marTop w:val="0"/>
                  <w:marBottom w:val="0"/>
                  <w:divBdr>
                    <w:top w:val="none" w:sz="0" w:space="0" w:color="auto"/>
                    <w:left w:val="none" w:sz="0" w:space="0" w:color="auto"/>
                    <w:bottom w:val="none" w:sz="0" w:space="0" w:color="auto"/>
                    <w:right w:val="none" w:sz="0" w:space="0" w:color="auto"/>
                  </w:divBdr>
                </w:div>
              </w:divsChild>
            </w:div>
            <w:div w:id="1152714880">
              <w:marLeft w:val="0"/>
              <w:marRight w:val="0"/>
              <w:marTop w:val="0"/>
              <w:marBottom w:val="0"/>
              <w:divBdr>
                <w:top w:val="none" w:sz="0" w:space="0" w:color="auto"/>
                <w:left w:val="none" w:sz="0" w:space="0" w:color="auto"/>
                <w:bottom w:val="none" w:sz="0" w:space="0" w:color="auto"/>
                <w:right w:val="none" w:sz="0" w:space="0" w:color="auto"/>
              </w:divBdr>
              <w:divsChild>
                <w:div w:id="1967663148">
                  <w:marLeft w:val="0"/>
                  <w:marRight w:val="0"/>
                  <w:marTop w:val="0"/>
                  <w:marBottom w:val="0"/>
                  <w:divBdr>
                    <w:top w:val="none" w:sz="0" w:space="0" w:color="auto"/>
                    <w:left w:val="none" w:sz="0" w:space="0" w:color="auto"/>
                    <w:bottom w:val="none" w:sz="0" w:space="0" w:color="auto"/>
                    <w:right w:val="none" w:sz="0" w:space="0" w:color="auto"/>
                  </w:divBdr>
                </w:div>
              </w:divsChild>
            </w:div>
            <w:div w:id="1668971667">
              <w:marLeft w:val="0"/>
              <w:marRight w:val="0"/>
              <w:marTop w:val="0"/>
              <w:marBottom w:val="0"/>
              <w:divBdr>
                <w:top w:val="none" w:sz="0" w:space="0" w:color="auto"/>
                <w:left w:val="none" w:sz="0" w:space="0" w:color="auto"/>
                <w:bottom w:val="none" w:sz="0" w:space="0" w:color="auto"/>
                <w:right w:val="none" w:sz="0" w:space="0" w:color="auto"/>
              </w:divBdr>
              <w:divsChild>
                <w:div w:id="440272178">
                  <w:marLeft w:val="0"/>
                  <w:marRight w:val="0"/>
                  <w:marTop w:val="0"/>
                  <w:marBottom w:val="0"/>
                  <w:divBdr>
                    <w:top w:val="none" w:sz="0" w:space="0" w:color="auto"/>
                    <w:left w:val="none" w:sz="0" w:space="0" w:color="auto"/>
                    <w:bottom w:val="none" w:sz="0" w:space="0" w:color="auto"/>
                    <w:right w:val="none" w:sz="0" w:space="0" w:color="auto"/>
                  </w:divBdr>
                </w:div>
              </w:divsChild>
            </w:div>
            <w:div w:id="1186940294">
              <w:marLeft w:val="0"/>
              <w:marRight w:val="0"/>
              <w:marTop w:val="0"/>
              <w:marBottom w:val="0"/>
              <w:divBdr>
                <w:top w:val="none" w:sz="0" w:space="0" w:color="auto"/>
                <w:left w:val="none" w:sz="0" w:space="0" w:color="auto"/>
                <w:bottom w:val="none" w:sz="0" w:space="0" w:color="auto"/>
                <w:right w:val="none" w:sz="0" w:space="0" w:color="auto"/>
              </w:divBdr>
              <w:divsChild>
                <w:div w:id="1047024097">
                  <w:marLeft w:val="0"/>
                  <w:marRight w:val="0"/>
                  <w:marTop w:val="0"/>
                  <w:marBottom w:val="0"/>
                  <w:divBdr>
                    <w:top w:val="none" w:sz="0" w:space="0" w:color="auto"/>
                    <w:left w:val="none" w:sz="0" w:space="0" w:color="auto"/>
                    <w:bottom w:val="none" w:sz="0" w:space="0" w:color="auto"/>
                    <w:right w:val="none" w:sz="0" w:space="0" w:color="auto"/>
                  </w:divBdr>
                </w:div>
              </w:divsChild>
            </w:div>
            <w:div w:id="1456099100">
              <w:marLeft w:val="0"/>
              <w:marRight w:val="0"/>
              <w:marTop w:val="0"/>
              <w:marBottom w:val="0"/>
              <w:divBdr>
                <w:top w:val="none" w:sz="0" w:space="0" w:color="auto"/>
                <w:left w:val="none" w:sz="0" w:space="0" w:color="auto"/>
                <w:bottom w:val="none" w:sz="0" w:space="0" w:color="auto"/>
                <w:right w:val="none" w:sz="0" w:space="0" w:color="auto"/>
              </w:divBdr>
              <w:divsChild>
                <w:div w:id="1202792286">
                  <w:marLeft w:val="0"/>
                  <w:marRight w:val="0"/>
                  <w:marTop w:val="0"/>
                  <w:marBottom w:val="0"/>
                  <w:divBdr>
                    <w:top w:val="none" w:sz="0" w:space="0" w:color="auto"/>
                    <w:left w:val="none" w:sz="0" w:space="0" w:color="auto"/>
                    <w:bottom w:val="none" w:sz="0" w:space="0" w:color="auto"/>
                    <w:right w:val="none" w:sz="0" w:space="0" w:color="auto"/>
                  </w:divBdr>
                </w:div>
              </w:divsChild>
            </w:div>
            <w:div w:id="374240490">
              <w:marLeft w:val="0"/>
              <w:marRight w:val="0"/>
              <w:marTop w:val="0"/>
              <w:marBottom w:val="0"/>
              <w:divBdr>
                <w:top w:val="none" w:sz="0" w:space="0" w:color="auto"/>
                <w:left w:val="none" w:sz="0" w:space="0" w:color="auto"/>
                <w:bottom w:val="none" w:sz="0" w:space="0" w:color="auto"/>
                <w:right w:val="none" w:sz="0" w:space="0" w:color="auto"/>
              </w:divBdr>
              <w:divsChild>
                <w:div w:id="197670843">
                  <w:marLeft w:val="0"/>
                  <w:marRight w:val="0"/>
                  <w:marTop w:val="0"/>
                  <w:marBottom w:val="0"/>
                  <w:divBdr>
                    <w:top w:val="none" w:sz="0" w:space="0" w:color="auto"/>
                    <w:left w:val="none" w:sz="0" w:space="0" w:color="auto"/>
                    <w:bottom w:val="none" w:sz="0" w:space="0" w:color="auto"/>
                    <w:right w:val="none" w:sz="0" w:space="0" w:color="auto"/>
                  </w:divBdr>
                </w:div>
              </w:divsChild>
            </w:div>
            <w:div w:id="1424649863">
              <w:marLeft w:val="0"/>
              <w:marRight w:val="0"/>
              <w:marTop w:val="0"/>
              <w:marBottom w:val="0"/>
              <w:divBdr>
                <w:top w:val="none" w:sz="0" w:space="0" w:color="auto"/>
                <w:left w:val="none" w:sz="0" w:space="0" w:color="auto"/>
                <w:bottom w:val="none" w:sz="0" w:space="0" w:color="auto"/>
                <w:right w:val="none" w:sz="0" w:space="0" w:color="auto"/>
              </w:divBdr>
            </w:div>
          </w:divsChild>
        </w:div>
        <w:div w:id="2016032639">
          <w:marLeft w:val="0"/>
          <w:marRight w:val="0"/>
          <w:marTop w:val="0"/>
          <w:marBottom w:val="0"/>
          <w:divBdr>
            <w:top w:val="none" w:sz="0" w:space="0" w:color="auto"/>
            <w:left w:val="none" w:sz="0" w:space="0" w:color="auto"/>
            <w:bottom w:val="none" w:sz="0" w:space="0" w:color="auto"/>
            <w:right w:val="none" w:sz="0" w:space="0" w:color="auto"/>
          </w:divBdr>
        </w:div>
        <w:div w:id="661616329">
          <w:marLeft w:val="0"/>
          <w:marRight w:val="0"/>
          <w:marTop w:val="0"/>
          <w:marBottom w:val="0"/>
          <w:divBdr>
            <w:top w:val="none" w:sz="0" w:space="0" w:color="auto"/>
            <w:left w:val="none" w:sz="0" w:space="0" w:color="auto"/>
            <w:bottom w:val="none" w:sz="0" w:space="0" w:color="auto"/>
            <w:right w:val="none" w:sz="0" w:space="0" w:color="auto"/>
          </w:divBdr>
        </w:div>
      </w:divsChild>
    </w:div>
    <w:div w:id="912814326">
      <w:bodyDiv w:val="1"/>
      <w:marLeft w:val="0"/>
      <w:marRight w:val="0"/>
      <w:marTop w:val="0"/>
      <w:marBottom w:val="0"/>
      <w:divBdr>
        <w:top w:val="none" w:sz="0" w:space="0" w:color="auto"/>
        <w:left w:val="none" w:sz="0" w:space="0" w:color="auto"/>
        <w:bottom w:val="none" w:sz="0" w:space="0" w:color="auto"/>
        <w:right w:val="none" w:sz="0" w:space="0" w:color="auto"/>
      </w:divBdr>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3296817">
      <w:bodyDiv w:val="1"/>
      <w:marLeft w:val="0"/>
      <w:marRight w:val="0"/>
      <w:marTop w:val="0"/>
      <w:marBottom w:val="0"/>
      <w:divBdr>
        <w:top w:val="none" w:sz="0" w:space="0" w:color="auto"/>
        <w:left w:val="none" w:sz="0" w:space="0" w:color="auto"/>
        <w:bottom w:val="none" w:sz="0" w:space="0" w:color="auto"/>
        <w:right w:val="none" w:sz="0" w:space="0" w:color="auto"/>
      </w:divBdr>
    </w:div>
    <w:div w:id="925843760">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50555619">
      <w:bodyDiv w:val="1"/>
      <w:marLeft w:val="0"/>
      <w:marRight w:val="0"/>
      <w:marTop w:val="0"/>
      <w:marBottom w:val="0"/>
      <w:divBdr>
        <w:top w:val="none" w:sz="0" w:space="0" w:color="auto"/>
        <w:left w:val="none" w:sz="0" w:space="0" w:color="auto"/>
        <w:bottom w:val="none" w:sz="0" w:space="0" w:color="auto"/>
        <w:right w:val="none" w:sz="0" w:space="0" w:color="auto"/>
      </w:divBdr>
      <w:divsChild>
        <w:div w:id="1951550144">
          <w:marLeft w:val="0"/>
          <w:marRight w:val="0"/>
          <w:marTop w:val="0"/>
          <w:marBottom w:val="0"/>
          <w:divBdr>
            <w:top w:val="none" w:sz="0" w:space="0" w:color="auto"/>
            <w:left w:val="none" w:sz="0" w:space="0" w:color="auto"/>
            <w:bottom w:val="none" w:sz="0" w:space="0" w:color="auto"/>
            <w:right w:val="none" w:sz="0" w:space="0" w:color="auto"/>
          </w:divBdr>
        </w:div>
      </w:divsChild>
    </w:div>
    <w:div w:id="951285824">
      <w:bodyDiv w:val="1"/>
      <w:marLeft w:val="0"/>
      <w:marRight w:val="0"/>
      <w:marTop w:val="0"/>
      <w:marBottom w:val="0"/>
      <w:divBdr>
        <w:top w:val="none" w:sz="0" w:space="0" w:color="auto"/>
        <w:left w:val="none" w:sz="0" w:space="0" w:color="auto"/>
        <w:bottom w:val="none" w:sz="0" w:space="0" w:color="auto"/>
        <w:right w:val="none" w:sz="0" w:space="0" w:color="auto"/>
      </w:divBdr>
    </w:div>
    <w:div w:id="961688723">
      <w:bodyDiv w:val="1"/>
      <w:marLeft w:val="0"/>
      <w:marRight w:val="0"/>
      <w:marTop w:val="0"/>
      <w:marBottom w:val="0"/>
      <w:divBdr>
        <w:top w:val="none" w:sz="0" w:space="0" w:color="auto"/>
        <w:left w:val="none" w:sz="0" w:space="0" w:color="auto"/>
        <w:bottom w:val="none" w:sz="0" w:space="0" w:color="auto"/>
        <w:right w:val="none" w:sz="0" w:space="0" w:color="auto"/>
      </w:divBdr>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72448930">
      <w:bodyDiv w:val="1"/>
      <w:marLeft w:val="0"/>
      <w:marRight w:val="0"/>
      <w:marTop w:val="0"/>
      <w:marBottom w:val="0"/>
      <w:divBdr>
        <w:top w:val="none" w:sz="0" w:space="0" w:color="auto"/>
        <w:left w:val="none" w:sz="0" w:space="0" w:color="auto"/>
        <w:bottom w:val="none" w:sz="0" w:space="0" w:color="auto"/>
        <w:right w:val="none" w:sz="0" w:space="0" w:color="auto"/>
      </w:divBdr>
    </w:div>
    <w:div w:id="976226310">
      <w:bodyDiv w:val="1"/>
      <w:marLeft w:val="0"/>
      <w:marRight w:val="0"/>
      <w:marTop w:val="0"/>
      <w:marBottom w:val="0"/>
      <w:divBdr>
        <w:top w:val="none" w:sz="0" w:space="0" w:color="auto"/>
        <w:left w:val="none" w:sz="0" w:space="0" w:color="auto"/>
        <w:bottom w:val="none" w:sz="0" w:space="0" w:color="auto"/>
        <w:right w:val="none" w:sz="0" w:space="0" w:color="auto"/>
      </w:divBdr>
    </w:div>
    <w:div w:id="978649649">
      <w:bodyDiv w:val="1"/>
      <w:marLeft w:val="0"/>
      <w:marRight w:val="0"/>
      <w:marTop w:val="0"/>
      <w:marBottom w:val="0"/>
      <w:divBdr>
        <w:top w:val="none" w:sz="0" w:space="0" w:color="auto"/>
        <w:left w:val="none" w:sz="0" w:space="0" w:color="auto"/>
        <w:bottom w:val="none" w:sz="0" w:space="0" w:color="auto"/>
        <w:right w:val="none" w:sz="0" w:space="0" w:color="auto"/>
      </w:divBdr>
      <w:divsChild>
        <w:div w:id="533228353">
          <w:marLeft w:val="0"/>
          <w:marRight w:val="0"/>
          <w:marTop w:val="0"/>
          <w:marBottom w:val="0"/>
          <w:divBdr>
            <w:top w:val="none" w:sz="0" w:space="0" w:color="auto"/>
            <w:left w:val="none" w:sz="0" w:space="0" w:color="auto"/>
            <w:bottom w:val="none" w:sz="0" w:space="0" w:color="auto"/>
            <w:right w:val="none" w:sz="0" w:space="0" w:color="auto"/>
          </w:divBdr>
          <w:divsChild>
            <w:div w:id="1335378469">
              <w:marLeft w:val="0"/>
              <w:marRight w:val="0"/>
              <w:marTop w:val="0"/>
              <w:marBottom w:val="0"/>
              <w:divBdr>
                <w:top w:val="none" w:sz="0" w:space="0" w:color="auto"/>
                <w:left w:val="none" w:sz="0" w:space="0" w:color="auto"/>
                <w:bottom w:val="none" w:sz="0" w:space="0" w:color="auto"/>
                <w:right w:val="none" w:sz="0" w:space="0" w:color="auto"/>
              </w:divBdr>
              <w:divsChild>
                <w:div w:id="12588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2557">
      <w:bodyDiv w:val="1"/>
      <w:marLeft w:val="0"/>
      <w:marRight w:val="0"/>
      <w:marTop w:val="0"/>
      <w:marBottom w:val="0"/>
      <w:divBdr>
        <w:top w:val="none" w:sz="0" w:space="0" w:color="auto"/>
        <w:left w:val="none" w:sz="0" w:space="0" w:color="auto"/>
        <w:bottom w:val="none" w:sz="0" w:space="0" w:color="auto"/>
        <w:right w:val="none" w:sz="0" w:space="0" w:color="auto"/>
      </w:divBdr>
    </w:div>
    <w:div w:id="980116619">
      <w:bodyDiv w:val="1"/>
      <w:marLeft w:val="0"/>
      <w:marRight w:val="0"/>
      <w:marTop w:val="0"/>
      <w:marBottom w:val="0"/>
      <w:divBdr>
        <w:top w:val="none" w:sz="0" w:space="0" w:color="auto"/>
        <w:left w:val="none" w:sz="0" w:space="0" w:color="auto"/>
        <w:bottom w:val="none" w:sz="0" w:space="0" w:color="auto"/>
        <w:right w:val="none" w:sz="0" w:space="0" w:color="auto"/>
      </w:divBdr>
      <w:divsChild>
        <w:div w:id="1127353483">
          <w:marLeft w:val="0"/>
          <w:marRight w:val="0"/>
          <w:marTop w:val="0"/>
          <w:marBottom w:val="0"/>
          <w:divBdr>
            <w:top w:val="none" w:sz="0" w:space="0" w:color="auto"/>
            <w:left w:val="none" w:sz="0" w:space="0" w:color="auto"/>
            <w:bottom w:val="none" w:sz="0" w:space="0" w:color="auto"/>
            <w:right w:val="none" w:sz="0" w:space="0" w:color="auto"/>
          </w:divBdr>
          <w:divsChild>
            <w:div w:id="1721127380">
              <w:marLeft w:val="0"/>
              <w:marRight w:val="0"/>
              <w:marTop w:val="0"/>
              <w:marBottom w:val="0"/>
              <w:divBdr>
                <w:top w:val="none" w:sz="0" w:space="0" w:color="auto"/>
                <w:left w:val="none" w:sz="0" w:space="0" w:color="auto"/>
                <w:bottom w:val="none" w:sz="0" w:space="0" w:color="auto"/>
                <w:right w:val="none" w:sz="0" w:space="0" w:color="auto"/>
              </w:divBdr>
              <w:divsChild>
                <w:div w:id="11120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991757469">
      <w:bodyDiv w:val="1"/>
      <w:marLeft w:val="0"/>
      <w:marRight w:val="0"/>
      <w:marTop w:val="0"/>
      <w:marBottom w:val="0"/>
      <w:divBdr>
        <w:top w:val="none" w:sz="0" w:space="0" w:color="auto"/>
        <w:left w:val="none" w:sz="0" w:space="0" w:color="auto"/>
        <w:bottom w:val="none" w:sz="0" w:space="0" w:color="auto"/>
        <w:right w:val="none" w:sz="0" w:space="0" w:color="auto"/>
      </w:divBdr>
    </w:div>
    <w:div w:id="1006009464">
      <w:bodyDiv w:val="1"/>
      <w:marLeft w:val="0"/>
      <w:marRight w:val="0"/>
      <w:marTop w:val="0"/>
      <w:marBottom w:val="0"/>
      <w:divBdr>
        <w:top w:val="none" w:sz="0" w:space="0" w:color="auto"/>
        <w:left w:val="none" w:sz="0" w:space="0" w:color="auto"/>
        <w:bottom w:val="none" w:sz="0" w:space="0" w:color="auto"/>
        <w:right w:val="none" w:sz="0" w:space="0" w:color="auto"/>
      </w:divBdr>
      <w:divsChild>
        <w:div w:id="1228147876">
          <w:marLeft w:val="0"/>
          <w:marRight w:val="0"/>
          <w:marTop w:val="0"/>
          <w:marBottom w:val="0"/>
          <w:divBdr>
            <w:top w:val="none" w:sz="0" w:space="0" w:color="auto"/>
            <w:left w:val="none" w:sz="0" w:space="0" w:color="auto"/>
            <w:bottom w:val="none" w:sz="0" w:space="0" w:color="auto"/>
            <w:right w:val="none" w:sz="0" w:space="0" w:color="auto"/>
          </w:divBdr>
          <w:divsChild>
            <w:div w:id="1104544632">
              <w:marLeft w:val="0"/>
              <w:marRight w:val="0"/>
              <w:marTop w:val="0"/>
              <w:marBottom w:val="0"/>
              <w:divBdr>
                <w:top w:val="none" w:sz="0" w:space="0" w:color="auto"/>
                <w:left w:val="none" w:sz="0" w:space="0" w:color="auto"/>
                <w:bottom w:val="none" w:sz="0" w:space="0" w:color="auto"/>
                <w:right w:val="none" w:sz="0" w:space="0" w:color="auto"/>
              </w:divBdr>
              <w:divsChild>
                <w:div w:id="1115947508">
                  <w:marLeft w:val="0"/>
                  <w:marRight w:val="0"/>
                  <w:marTop w:val="0"/>
                  <w:marBottom w:val="0"/>
                  <w:divBdr>
                    <w:top w:val="none" w:sz="0" w:space="0" w:color="auto"/>
                    <w:left w:val="none" w:sz="0" w:space="0" w:color="auto"/>
                    <w:bottom w:val="none" w:sz="0" w:space="0" w:color="auto"/>
                    <w:right w:val="none" w:sz="0" w:space="0" w:color="auto"/>
                  </w:divBdr>
                </w:div>
                <w:div w:id="1944338690">
                  <w:marLeft w:val="0"/>
                  <w:marRight w:val="0"/>
                  <w:marTop w:val="0"/>
                  <w:marBottom w:val="0"/>
                  <w:divBdr>
                    <w:top w:val="none" w:sz="0" w:space="0" w:color="auto"/>
                    <w:left w:val="none" w:sz="0" w:space="0" w:color="auto"/>
                    <w:bottom w:val="none" w:sz="0" w:space="0" w:color="auto"/>
                    <w:right w:val="none" w:sz="0" w:space="0" w:color="auto"/>
                  </w:divBdr>
                </w:div>
                <w:div w:id="2110196357">
                  <w:marLeft w:val="0"/>
                  <w:marRight w:val="0"/>
                  <w:marTop w:val="0"/>
                  <w:marBottom w:val="0"/>
                  <w:divBdr>
                    <w:top w:val="none" w:sz="0" w:space="0" w:color="auto"/>
                    <w:left w:val="none" w:sz="0" w:space="0" w:color="auto"/>
                    <w:bottom w:val="none" w:sz="0" w:space="0" w:color="auto"/>
                    <w:right w:val="none" w:sz="0" w:space="0" w:color="auto"/>
                  </w:divBdr>
                </w:div>
                <w:div w:id="244340040">
                  <w:marLeft w:val="0"/>
                  <w:marRight w:val="0"/>
                  <w:marTop w:val="0"/>
                  <w:marBottom w:val="0"/>
                  <w:divBdr>
                    <w:top w:val="none" w:sz="0" w:space="0" w:color="auto"/>
                    <w:left w:val="none" w:sz="0" w:space="0" w:color="auto"/>
                    <w:bottom w:val="none" w:sz="0" w:space="0" w:color="auto"/>
                    <w:right w:val="none" w:sz="0" w:space="0" w:color="auto"/>
                  </w:divBdr>
                </w:div>
              </w:divsChild>
            </w:div>
            <w:div w:id="1845853470">
              <w:marLeft w:val="0"/>
              <w:marRight w:val="0"/>
              <w:marTop w:val="0"/>
              <w:marBottom w:val="0"/>
              <w:divBdr>
                <w:top w:val="none" w:sz="0" w:space="0" w:color="auto"/>
                <w:left w:val="none" w:sz="0" w:space="0" w:color="auto"/>
                <w:bottom w:val="none" w:sz="0" w:space="0" w:color="auto"/>
                <w:right w:val="none" w:sz="0" w:space="0" w:color="auto"/>
              </w:divBdr>
              <w:divsChild>
                <w:div w:id="544874625">
                  <w:marLeft w:val="0"/>
                  <w:marRight w:val="0"/>
                  <w:marTop w:val="0"/>
                  <w:marBottom w:val="0"/>
                  <w:divBdr>
                    <w:top w:val="none" w:sz="0" w:space="0" w:color="auto"/>
                    <w:left w:val="none" w:sz="0" w:space="0" w:color="auto"/>
                    <w:bottom w:val="none" w:sz="0" w:space="0" w:color="auto"/>
                    <w:right w:val="none" w:sz="0" w:space="0" w:color="auto"/>
                  </w:divBdr>
                </w:div>
                <w:div w:id="30421742">
                  <w:marLeft w:val="0"/>
                  <w:marRight w:val="0"/>
                  <w:marTop w:val="0"/>
                  <w:marBottom w:val="0"/>
                  <w:divBdr>
                    <w:top w:val="none" w:sz="0" w:space="0" w:color="auto"/>
                    <w:left w:val="none" w:sz="0" w:space="0" w:color="auto"/>
                    <w:bottom w:val="none" w:sz="0" w:space="0" w:color="auto"/>
                    <w:right w:val="none" w:sz="0" w:space="0" w:color="auto"/>
                  </w:divBdr>
                </w:div>
                <w:div w:id="1559899053">
                  <w:marLeft w:val="0"/>
                  <w:marRight w:val="0"/>
                  <w:marTop w:val="0"/>
                  <w:marBottom w:val="0"/>
                  <w:divBdr>
                    <w:top w:val="none" w:sz="0" w:space="0" w:color="auto"/>
                    <w:left w:val="none" w:sz="0" w:space="0" w:color="auto"/>
                    <w:bottom w:val="none" w:sz="0" w:space="0" w:color="auto"/>
                    <w:right w:val="none" w:sz="0" w:space="0" w:color="auto"/>
                  </w:divBdr>
                </w:div>
                <w:div w:id="646007733">
                  <w:marLeft w:val="0"/>
                  <w:marRight w:val="0"/>
                  <w:marTop w:val="0"/>
                  <w:marBottom w:val="0"/>
                  <w:divBdr>
                    <w:top w:val="none" w:sz="0" w:space="0" w:color="auto"/>
                    <w:left w:val="none" w:sz="0" w:space="0" w:color="auto"/>
                    <w:bottom w:val="none" w:sz="0" w:space="0" w:color="auto"/>
                    <w:right w:val="none" w:sz="0" w:space="0" w:color="auto"/>
                  </w:divBdr>
                </w:div>
              </w:divsChild>
            </w:div>
            <w:div w:id="97680798">
              <w:marLeft w:val="0"/>
              <w:marRight w:val="0"/>
              <w:marTop w:val="0"/>
              <w:marBottom w:val="0"/>
              <w:divBdr>
                <w:top w:val="none" w:sz="0" w:space="0" w:color="auto"/>
                <w:left w:val="none" w:sz="0" w:space="0" w:color="auto"/>
                <w:bottom w:val="none" w:sz="0" w:space="0" w:color="auto"/>
                <w:right w:val="none" w:sz="0" w:space="0" w:color="auto"/>
              </w:divBdr>
            </w:div>
          </w:divsChild>
        </w:div>
        <w:div w:id="1807232305">
          <w:marLeft w:val="0"/>
          <w:marRight w:val="0"/>
          <w:marTop w:val="0"/>
          <w:marBottom w:val="0"/>
          <w:divBdr>
            <w:top w:val="none" w:sz="0" w:space="0" w:color="auto"/>
            <w:left w:val="none" w:sz="0" w:space="0" w:color="auto"/>
            <w:bottom w:val="none" w:sz="0" w:space="0" w:color="auto"/>
            <w:right w:val="none" w:sz="0" w:space="0" w:color="auto"/>
          </w:divBdr>
        </w:div>
      </w:divsChild>
    </w:div>
    <w:div w:id="1010184555">
      <w:bodyDiv w:val="1"/>
      <w:marLeft w:val="0"/>
      <w:marRight w:val="0"/>
      <w:marTop w:val="0"/>
      <w:marBottom w:val="0"/>
      <w:divBdr>
        <w:top w:val="none" w:sz="0" w:space="0" w:color="auto"/>
        <w:left w:val="none" w:sz="0" w:space="0" w:color="auto"/>
        <w:bottom w:val="none" w:sz="0" w:space="0" w:color="auto"/>
        <w:right w:val="none" w:sz="0" w:space="0" w:color="auto"/>
      </w:divBdr>
    </w:div>
    <w:div w:id="1012952161">
      <w:bodyDiv w:val="1"/>
      <w:marLeft w:val="0"/>
      <w:marRight w:val="0"/>
      <w:marTop w:val="0"/>
      <w:marBottom w:val="0"/>
      <w:divBdr>
        <w:top w:val="none" w:sz="0" w:space="0" w:color="auto"/>
        <w:left w:val="none" w:sz="0" w:space="0" w:color="auto"/>
        <w:bottom w:val="none" w:sz="0" w:space="0" w:color="auto"/>
        <w:right w:val="none" w:sz="0" w:space="0" w:color="auto"/>
      </w:divBdr>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6536">
      <w:bodyDiv w:val="1"/>
      <w:marLeft w:val="0"/>
      <w:marRight w:val="0"/>
      <w:marTop w:val="0"/>
      <w:marBottom w:val="0"/>
      <w:divBdr>
        <w:top w:val="none" w:sz="0" w:space="0" w:color="auto"/>
        <w:left w:val="none" w:sz="0" w:space="0" w:color="auto"/>
        <w:bottom w:val="none" w:sz="0" w:space="0" w:color="auto"/>
        <w:right w:val="none" w:sz="0" w:space="0" w:color="auto"/>
      </w:divBdr>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0892">
          <w:marLeft w:val="0"/>
          <w:marRight w:val="0"/>
          <w:marTop w:val="0"/>
          <w:marBottom w:val="0"/>
          <w:divBdr>
            <w:top w:val="none" w:sz="0" w:space="0" w:color="auto"/>
            <w:left w:val="none" w:sz="0" w:space="0" w:color="auto"/>
            <w:bottom w:val="none" w:sz="0" w:space="0" w:color="auto"/>
            <w:right w:val="none" w:sz="0" w:space="0" w:color="auto"/>
          </w:divBdr>
        </w:div>
        <w:div w:id="760293576">
          <w:marLeft w:val="0"/>
          <w:marRight w:val="0"/>
          <w:marTop w:val="0"/>
          <w:marBottom w:val="0"/>
          <w:divBdr>
            <w:top w:val="none" w:sz="0" w:space="0" w:color="auto"/>
            <w:left w:val="none" w:sz="0" w:space="0" w:color="auto"/>
            <w:bottom w:val="none" w:sz="0" w:space="0" w:color="auto"/>
            <w:right w:val="none" w:sz="0" w:space="0" w:color="auto"/>
          </w:divBdr>
        </w:div>
        <w:div w:id="166478522">
          <w:marLeft w:val="0"/>
          <w:marRight w:val="0"/>
          <w:marTop w:val="0"/>
          <w:marBottom w:val="0"/>
          <w:divBdr>
            <w:top w:val="none" w:sz="0" w:space="0" w:color="auto"/>
            <w:left w:val="none" w:sz="0" w:space="0" w:color="auto"/>
            <w:bottom w:val="none" w:sz="0" w:space="0" w:color="auto"/>
            <w:right w:val="none" w:sz="0" w:space="0" w:color="auto"/>
          </w:divBdr>
        </w:div>
        <w:div w:id="1858227813">
          <w:marLeft w:val="0"/>
          <w:marRight w:val="0"/>
          <w:marTop w:val="0"/>
          <w:marBottom w:val="0"/>
          <w:divBdr>
            <w:top w:val="none" w:sz="0" w:space="0" w:color="auto"/>
            <w:left w:val="none" w:sz="0" w:space="0" w:color="auto"/>
            <w:bottom w:val="none" w:sz="0" w:space="0" w:color="auto"/>
            <w:right w:val="none" w:sz="0" w:space="0" w:color="auto"/>
          </w:divBdr>
        </w:div>
        <w:div w:id="429815403">
          <w:marLeft w:val="0"/>
          <w:marRight w:val="0"/>
          <w:marTop w:val="0"/>
          <w:marBottom w:val="0"/>
          <w:divBdr>
            <w:top w:val="none" w:sz="0" w:space="0" w:color="auto"/>
            <w:left w:val="none" w:sz="0" w:space="0" w:color="auto"/>
            <w:bottom w:val="none" w:sz="0" w:space="0" w:color="auto"/>
            <w:right w:val="none" w:sz="0" w:space="0" w:color="auto"/>
          </w:divBdr>
        </w:div>
        <w:div w:id="91754144">
          <w:marLeft w:val="0"/>
          <w:marRight w:val="0"/>
          <w:marTop w:val="0"/>
          <w:marBottom w:val="0"/>
          <w:divBdr>
            <w:top w:val="none" w:sz="0" w:space="0" w:color="auto"/>
            <w:left w:val="none" w:sz="0" w:space="0" w:color="auto"/>
            <w:bottom w:val="none" w:sz="0" w:space="0" w:color="auto"/>
            <w:right w:val="none" w:sz="0" w:space="0" w:color="auto"/>
          </w:divBdr>
        </w:div>
        <w:div w:id="663629065">
          <w:marLeft w:val="0"/>
          <w:marRight w:val="0"/>
          <w:marTop w:val="0"/>
          <w:marBottom w:val="0"/>
          <w:divBdr>
            <w:top w:val="none" w:sz="0" w:space="0" w:color="auto"/>
            <w:left w:val="none" w:sz="0" w:space="0" w:color="auto"/>
            <w:bottom w:val="none" w:sz="0" w:space="0" w:color="auto"/>
            <w:right w:val="none" w:sz="0" w:space="0" w:color="auto"/>
          </w:divBdr>
        </w:div>
      </w:divsChild>
    </w:div>
    <w:div w:id="1025904290">
      <w:bodyDiv w:val="1"/>
      <w:marLeft w:val="0"/>
      <w:marRight w:val="0"/>
      <w:marTop w:val="0"/>
      <w:marBottom w:val="0"/>
      <w:divBdr>
        <w:top w:val="none" w:sz="0" w:space="0" w:color="auto"/>
        <w:left w:val="none" w:sz="0" w:space="0" w:color="auto"/>
        <w:bottom w:val="none" w:sz="0" w:space="0" w:color="auto"/>
        <w:right w:val="none" w:sz="0" w:space="0" w:color="auto"/>
      </w:divBdr>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48455914">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4">
          <w:marLeft w:val="0"/>
          <w:marRight w:val="0"/>
          <w:marTop w:val="0"/>
          <w:marBottom w:val="0"/>
          <w:divBdr>
            <w:top w:val="none" w:sz="0" w:space="0" w:color="auto"/>
            <w:left w:val="none" w:sz="0" w:space="0" w:color="auto"/>
            <w:bottom w:val="none" w:sz="0" w:space="0" w:color="auto"/>
            <w:right w:val="none" w:sz="0" w:space="0" w:color="auto"/>
          </w:divBdr>
        </w:div>
      </w:divsChild>
    </w:div>
    <w:div w:id="1048801666">
      <w:bodyDiv w:val="1"/>
      <w:marLeft w:val="0"/>
      <w:marRight w:val="0"/>
      <w:marTop w:val="0"/>
      <w:marBottom w:val="0"/>
      <w:divBdr>
        <w:top w:val="none" w:sz="0" w:space="0" w:color="auto"/>
        <w:left w:val="none" w:sz="0" w:space="0" w:color="auto"/>
        <w:bottom w:val="none" w:sz="0" w:space="0" w:color="auto"/>
        <w:right w:val="none" w:sz="0" w:space="0" w:color="auto"/>
      </w:divBdr>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4843">
      <w:bodyDiv w:val="1"/>
      <w:marLeft w:val="0"/>
      <w:marRight w:val="0"/>
      <w:marTop w:val="0"/>
      <w:marBottom w:val="0"/>
      <w:divBdr>
        <w:top w:val="none" w:sz="0" w:space="0" w:color="auto"/>
        <w:left w:val="none" w:sz="0" w:space="0" w:color="auto"/>
        <w:bottom w:val="none" w:sz="0" w:space="0" w:color="auto"/>
        <w:right w:val="none" w:sz="0" w:space="0" w:color="auto"/>
      </w:divBdr>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086416888">
      <w:bodyDiv w:val="1"/>
      <w:marLeft w:val="0"/>
      <w:marRight w:val="0"/>
      <w:marTop w:val="0"/>
      <w:marBottom w:val="0"/>
      <w:divBdr>
        <w:top w:val="none" w:sz="0" w:space="0" w:color="auto"/>
        <w:left w:val="none" w:sz="0" w:space="0" w:color="auto"/>
        <w:bottom w:val="none" w:sz="0" w:space="0" w:color="auto"/>
        <w:right w:val="none" w:sz="0" w:space="0" w:color="auto"/>
      </w:divBdr>
    </w:div>
    <w:div w:id="1102533683">
      <w:bodyDiv w:val="1"/>
      <w:marLeft w:val="0"/>
      <w:marRight w:val="0"/>
      <w:marTop w:val="0"/>
      <w:marBottom w:val="0"/>
      <w:divBdr>
        <w:top w:val="none" w:sz="0" w:space="0" w:color="auto"/>
        <w:left w:val="none" w:sz="0" w:space="0" w:color="auto"/>
        <w:bottom w:val="none" w:sz="0" w:space="0" w:color="auto"/>
        <w:right w:val="none" w:sz="0" w:space="0" w:color="auto"/>
      </w:divBdr>
      <w:divsChild>
        <w:div w:id="937952928">
          <w:marLeft w:val="0"/>
          <w:marRight w:val="0"/>
          <w:marTop w:val="0"/>
          <w:marBottom w:val="0"/>
          <w:divBdr>
            <w:top w:val="none" w:sz="0" w:space="0" w:color="auto"/>
            <w:left w:val="none" w:sz="0" w:space="0" w:color="auto"/>
            <w:bottom w:val="none" w:sz="0" w:space="0" w:color="auto"/>
            <w:right w:val="none" w:sz="0" w:space="0" w:color="auto"/>
          </w:divBdr>
          <w:divsChild>
            <w:div w:id="266161672">
              <w:marLeft w:val="0"/>
              <w:marRight w:val="0"/>
              <w:marTop w:val="0"/>
              <w:marBottom w:val="0"/>
              <w:divBdr>
                <w:top w:val="none" w:sz="0" w:space="0" w:color="auto"/>
                <w:left w:val="none" w:sz="0" w:space="0" w:color="auto"/>
                <w:bottom w:val="none" w:sz="0" w:space="0" w:color="auto"/>
                <w:right w:val="none" w:sz="0" w:space="0" w:color="auto"/>
              </w:divBdr>
              <w:divsChild>
                <w:div w:id="1082483636">
                  <w:marLeft w:val="0"/>
                  <w:marRight w:val="0"/>
                  <w:marTop w:val="0"/>
                  <w:marBottom w:val="0"/>
                  <w:divBdr>
                    <w:top w:val="none" w:sz="0" w:space="0" w:color="auto"/>
                    <w:left w:val="none" w:sz="0" w:space="0" w:color="auto"/>
                    <w:bottom w:val="none" w:sz="0" w:space="0" w:color="auto"/>
                    <w:right w:val="none" w:sz="0" w:space="0" w:color="auto"/>
                  </w:divBdr>
                  <w:divsChild>
                    <w:div w:id="16713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15715178">
      <w:bodyDiv w:val="1"/>
      <w:marLeft w:val="0"/>
      <w:marRight w:val="0"/>
      <w:marTop w:val="0"/>
      <w:marBottom w:val="0"/>
      <w:divBdr>
        <w:top w:val="none" w:sz="0" w:space="0" w:color="auto"/>
        <w:left w:val="none" w:sz="0" w:space="0" w:color="auto"/>
        <w:bottom w:val="none" w:sz="0" w:space="0" w:color="auto"/>
        <w:right w:val="none" w:sz="0" w:space="0" w:color="auto"/>
      </w:divBdr>
    </w:div>
    <w:div w:id="1127696777">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29966418">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sChild>
                <w:div w:id="11170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2100">
      <w:bodyDiv w:val="1"/>
      <w:marLeft w:val="0"/>
      <w:marRight w:val="0"/>
      <w:marTop w:val="0"/>
      <w:marBottom w:val="0"/>
      <w:divBdr>
        <w:top w:val="none" w:sz="0" w:space="0" w:color="auto"/>
        <w:left w:val="none" w:sz="0" w:space="0" w:color="auto"/>
        <w:bottom w:val="none" w:sz="0" w:space="0" w:color="auto"/>
        <w:right w:val="none" w:sz="0" w:space="0" w:color="auto"/>
      </w:divBdr>
    </w:div>
    <w:div w:id="1172912102">
      <w:bodyDiv w:val="1"/>
      <w:marLeft w:val="0"/>
      <w:marRight w:val="0"/>
      <w:marTop w:val="0"/>
      <w:marBottom w:val="0"/>
      <w:divBdr>
        <w:top w:val="none" w:sz="0" w:space="0" w:color="auto"/>
        <w:left w:val="none" w:sz="0" w:space="0" w:color="auto"/>
        <w:bottom w:val="none" w:sz="0" w:space="0" w:color="auto"/>
        <w:right w:val="none" w:sz="0" w:space="0" w:color="auto"/>
      </w:divBdr>
    </w:div>
    <w:div w:id="1180585647">
      <w:bodyDiv w:val="1"/>
      <w:marLeft w:val="0"/>
      <w:marRight w:val="0"/>
      <w:marTop w:val="0"/>
      <w:marBottom w:val="0"/>
      <w:divBdr>
        <w:top w:val="none" w:sz="0" w:space="0" w:color="auto"/>
        <w:left w:val="none" w:sz="0" w:space="0" w:color="auto"/>
        <w:bottom w:val="none" w:sz="0" w:space="0" w:color="auto"/>
        <w:right w:val="none" w:sz="0" w:space="0" w:color="auto"/>
      </w:divBdr>
    </w:div>
    <w:div w:id="1191649574">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12572790">
      <w:bodyDiv w:val="1"/>
      <w:marLeft w:val="0"/>
      <w:marRight w:val="0"/>
      <w:marTop w:val="0"/>
      <w:marBottom w:val="0"/>
      <w:divBdr>
        <w:top w:val="none" w:sz="0" w:space="0" w:color="auto"/>
        <w:left w:val="none" w:sz="0" w:space="0" w:color="auto"/>
        <w:bottom w:val="none" w:sz="0" w:space="0" w:color="auto"/>
        <w:right w:val="none" w:sz="0" w:space="0" w:color="auto"/>
      </w:divBdr>
    </w:div>
    <w:div w:id="1213425965">
      <w:bodyDiv w:val="1"/>
      <w:marLeft w:val="0"/>
      <w:marRight w:val="0"/>
      <w:marTop w:val="0"/>
      <w:marBottom w:val="0"/>
      <w:divBdr>
        <w:top w:val="none" w:sz="0" w:space="0" w:color="auto"/>
        <w:left w:val="none" w:sz="0" w:space="0" w:color="auto"/>
        <w:bottom w:val="none" w:sz="0" w:space="0" w:color="auto"/>
        <w:right w:val="none" w:sz="0" w:space="0" w:color="auto"/>
      </w:divBdr>
      <w:divsChild>
        <w:div w:id="1898123514">
          <w:marLeft w:val="0"/>
          <w:marRight w:val="0"/>
          <w:marTop w:val="0"/>
          <w:marBottom w:val="0"/>
          <w:divBdr>
            <w:top w:val="none" w:sz="0" w:space="0" w:color="auto"/>
            <w:left w:val="none" w:sz="0" w:space="0" w:color="auto"/>
            <w:bottom w:val="none" w:sz="0" w:space="0" w:color="auto"/>
            <w:right w:val="none" w:sz="0" w:space="0" w:color="auto"/>
          </w:divBdr>
          <w:divsChild>
            <w:div w:id="577178891">
              <w:marLeft w:val="0"/>
              <w:marRight w:val="0"/>
              <w:marTop w:val="0"/>
              <w:marBottom w:val="0"/>
              <w:divBdr>
                <w:top w:val="none" w:sz="0" w:space="0" w:color="auto"/>
                <w:left w:val="none" w:sz="0" w:space="0" w:color="auto"/>
                <w:bottom w:val="none" w:sz="0" w:space="0" w:color="auto"/>
                <w:right w:val="none" w:sz="0" w:space="0" w:color="auto"/>
              </w:divBdr>
              <w:divsChild>
                <w:div w:id="1346323552">
                  <w:marLeft w:val="0"/>
                  <w:marRight w:val="0"/>
                  <w:marTop w:val="0"/>
                  <w:marBottom w:val="0"/>
                  <w:divBdr>
                    <w:top w:val="none" w:sz="0" w:space="0" w:color="auto"/>
                    <w:left w:val="none" w:sz="0" w:space="0" w:color="auto"/>
                    <w:bottom w:val="none" w:sz="0" w:space="0" w:color="auto"/>
                    <w:right w:val="none" w:sz="0" w:space="0" w:color="auto"/>
                  </w:divBdr>
                  <w:divsChild>
                    <w:div w:id="5361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23671">
      <w:bodyDiv w:val="1"/>
      <w:marLeft w:val="0"/>
      <w:marRight w:val="0"/>
      <w:marTop w:val="0"/>
      <w:marBottom w:val="0"/>
      <w:divBdr>
        <w:top w:val="none" w:sz="0" w:space="0" w:color="auto"/>
        <w:left w:val="none" w:sz="0" w:space="0" w:color="auto"/>
        <w:bottom w:val="none" w:sz="0" w:space="0" w:color="auto"/>
        <w:right w:val="none" w:sz="0" w:space="0" w:color="auto"/>
      </w:divBdr>
    </w:div>
    <w:div w:id="1227375474">
      <w:bodyDiv w:val="1"/>
      <w:marLeft w:val="0"/>
      <w:marRight w:val="0"/>
      <w:marTop w:val="0"/>
      <w:marBottom w:val="0"/>
      <w:divBdr>
        <w:top w:val="none" w:sz="0" w:space="0" w:color="auto"/>
        <w:left w:val="none" w:sz="0" w:space="0" w:color="auto"/>
        <w:bottom w:val="none" w:sz="0" w:space="0" w:color="auto"/>
        <w:right w:val="none" w:sz="0" w:space="0" w:color="auto"/>
      </w:divBdr>
    </w:div>
    <w:div w:id="1246646857">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319141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21">
          <w:marLeft w:val="0"/>
          <w:marRight w:val="0"/>
          <w:marTop w:val="0"/>
          <w:marBottom w:val="0"/>
          <w:divBdr>
            <w:top w:val="none" w:sz="0" w:space="0" w:color="auto"/>
            <w:left w:val="none" w:sz="0" w:space="0" w:color="auto"/>
            <w:bottom w:val="none" w:sz="0" w:space="0" w:color="auto"/>
            <w:right w:val="none" w:sz="0" w:space="0" w:color="auto"/>
          </w:divBdr>
          <w:divsChild>
            <w:div w:id="669679267">
              <w:marLeft w:val="0"/>
              <w:marRight w:val="0"/>
              <w:marTop w:val="0"/>
              <w:marBottom w:val="0"/>
              <w:divBdr>
                <w:top w:val="none" w:sz="0" w:space="0" w:color="auto"/>
                <w:left w:val="none" w:sz="0" w:space="0" w:color="auto"/>
                <w:bottom w:val="none" w:sz="0" w:space="0" w:color="auto"/>
                <w:right w:val="none" w:sz="0" w:space="0" w:color="auto"/>
              </w:divBdr>
            </w:div>
            <w:div w:id="1552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09088797">
      <w:bodyDiv w:val="1"/>
      <w:marLeft w:val="0"/>
      <w:marRight w:val="0"/>
      <w:marTop w:val="0"/>
      <w:marBottom w:val="0"/>
      <w:divBdr>
        <w:top w:val="none" w:sz="0" w:space="0" w:color="auto"/>
        <w:left w:val="none" w:sz="0" w:space="0" w:color="auto"/>
        <w:bottom w:val="none" w:sz="0" w:space="0" w:color="auto"/>
        <w:right w:val="none" w:sz="0" w:space="0" w:color="auto"/>
      </w:divBdr>
    </w:div>
    <w:div w:id="1312295347">
      <w:bodyDiv w:val="1"/>
      <w:marLeft w:val="0"/>
      <w:marRight w:val="0"/>
      <w:marTop w:val="0"/>
      <w:marBottom w:val="0"/>
      <w:divBdr>
        <w:top w:val="none" w:sz="0" w:space="0" w:color="auto"/>
        <w:left w:val="none" w:sz="0" w:space="0" w:color="auto"/>
        <w:bottom w:val="none" w:sz="0" w:space="0" w:color="auto"/>
        <w:right w:val="none" w:sz="0" w:space="0" w:color="auto"/>
      </w:divBdr>
    </w:div>
    <w:div w:id="1314288308">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20426134">
      <w:bodyDiv w:val="1"/>
      <w:marLeft w:val="0"/>
      <w:marRight w:val="0"/>
      <w:marTop w:val="0"/>
      <w:marBottom w:val="0"/>
      <w:divBdr>
        <w:top w:val="none" w:sz="0" w:space="0" w:color="auto"/>
        <w:left w:val="none" w:sz="0" w:space="0" w:color="auto"/>
        <w:bottom w:val="none" w:sz="0" w:space="0" w:color="auto"/>
        <w:right w:val="none" w:sz="0" w:space="0" w:color="auto"/>
      </w:divBdr>
    </w:div>
    <w:div w:id="1327973237">
      <w:bodyDiv w:val="1"/>
      <w:marLeft w:val="0"/>
      <w:marRight w:val="0"/>
      <w:marTop w:val="0"/>
      <w:marBottom w:val="0"/>
      <w:divBdr>
        <w:top w:val="none" w:sz="0" w:space="0" w:color="auto"/>
        <w:left w:val="none" w:sz="0" w:space="0" w:color="auto"/>
        <w:bottom w:val="none" w:sz="0" w:space="0" w:color="auto"/>
        <w:right w:val="none" w:sz="0" w:space="0" w:color="auto"/>
      </w:divBdr>
    </w:div>
    <w:div w:id="1329864676">
      <w:bodyDiv w:val="1"/>
      <w:marLeft w:val="0"/>
      <w:marRight w:val="0"/>
      <w:marTop w:val="0"/>
      <w:marBottom w:val="0"/>
      <w:divBdr>
        <w:top w:val="none" w:sz="0" w:space="0" w:color="auto"/>
        <w:left w:val="none" w:sz="0" w:space="0" w:color="auto"/>
        <w:bottom w:val="none" w:sz="0" w:space="0" w:color="auto"/>
        <w:right w:val="none" w:sz="0" w:space="0" w:color="auto"/>
      </w:divBdr>
      <w:divsChild>
        <w:div w:id="385421705">
          <w:marLeft w:val="0"/>
          <w:marRight w:val="0"/>
          <w:marTop w:val="0"/>
          <w:marBottom w:val="0"/>
          <w:divBdr>
            <w:top w:val="none" w:sz="0" w:space="0" w:color="auto"/>
            <w:left w:val="none" w:sz="0" w:space="0" w:color="auto"/>
            <w:bottom w:val="none" w:sz="0" w:space="0" w:color="auto"/>
            <w:right w:val="none" w:sz="0" w:space="0" w:color="auto"/>
          </w:divBdr>
          <w:divsChild>
            <w:div w:id="179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61666678">
      <w:bodyDiv w:val="1"/>
      <w:marLeft w:val="0"/>
      <w:marRight w:val="0"/>
      <w:marTop w:val="0"/>
      <w:marBottom w:val="0"/>
      <w:divBdr>
        <w:top w:val="none" w:sz="0" w:space="0" w:color="auto"/>
        <w:left w:val="none" w:sz="0" w:space="0" w:color="auto"/>
        <w:bottom w:val="none" w:sz="0" w:space="0" w:color="auto"/>
        <w:right w:val="none" w:sz="0" w:space="0" w:color="auto"/>
      </w:divBdr>
      <w:divsChild>
        <w:div w:id="1027023326">
          <w:marLeft w:val="0"/>
          <w:marRight w:val="0"/>
          <w:marTop w:val="0"/>
          <w:marBottom w:val="0"/>
          <w:divBdr>
            <w:top w:val="none" w:sz="0" w:space="0" w:color="auto"/>
            <w:left w:val="none" w:sz="0" w:space="0" w:color="auto"/>
            <w:bottom w:val="none" w:sz="0" w:space="0" w:color="auto"/>
            <w:right w:val="none" w:sz="0" w:space="0" w:color="auto"/>
          </w:divBdr>
          <w:divsChild>
            <w:div w:id="2137526825">
              <w:marLeft w:val="0"/>
              <w:marRight w:val="0"/>
              <w:marTop w:val="0"/>
              <w:marBottom w:val="0"/>
              <w:divBdr>
                <w:top w:val="none" w:sz="0" w:space="0" w:color="auto"/>
                <w:left w:val="none" w:sz="0" w:space="0" w:color="auto"/>
                <w:bottom w:val="none" w:sz="0" w:space="0" w:color="auto"/>
                <w:right w:val="none" w:sz="0" w:space="0" w:color="auto"/>
              </w:divBdr>
              <w:divsChild>
                <w:div w:id="15538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3872">
      <w:bodyDiv w:val="1"/>
      <w:marLeft w:val="0"/>
      <w:marRight w:val="0"/>
      <w:marTop w:val="0"/>
      <w:marBottom w:val="0"/>
      <w:divBdr>
        <w:top w:val="none" w:sz="0" w:space="0" w:color="auto"/>
        <w:left w:val="none" w:sz="0" w:space="0" w:color="auto"/>
        <w:bottom w:val="none" w:sz="0" w:space="0" w:color="auto"/>
        <w:right w:val="none" w:sz="0" w:space="0" w:color="auto"/>
      </w:divBdr>
      <w:divsChild>
        <w:div w:id="694817135">
          <w:marLeft w:val="0"/>
          <w:marRight w:val="0"/>
          <w:marTop w:val="0"/>
          <w:marBottom w:val="0"/>
          <w:divBdr>
            <w:top w:val="none" w:sz="0" w:space="0" w:color="auto"/>
            <w:left w:val="none" w:sz="0" w:space="0" w:color="auto"/>
            <w:bottom w:val="none" w:sz="0" w:space="0" w:color="auto"/>
            <w:right w:val="none" w:sz="0" w:space="0" w:color="auto"/>
          </w:divBdr>
          <w:divsChild>
            <w:div w:id="1524246835">
              <w:marLeft w:val="0"/>
              <w:marRight w:val="0"/>
              <w:marTop w:val="0"/>
              <w:marBottom w:val="0"/>
              <w:divBdr>
                <w:top w:val="none" w:sz="0" w:space="0" w:color="auto"/>
                <w:left w:val="none" w:sz="0" w:space="0" w:color="auto"/>
                <w:bottom w:val="none" w:sz="0" w:space="0" w:color="auto"/>
                <w:right w:val="none" w:sz="0" w:space="0" w:color="auto"/>
              </w:divBdr>
              <w:divsChild>
                <w:div w:id="667445988">
                  <w:marLeft w:val="0"/>
                  <w:marRight w:val="0"/>
                  <w:marTop w:val="0"/>
                  <w:marBottom w:val="0"/>
                  <w:divBdr>
                    <w:top w:val="none" w:sz="0" w:space="0" w:color="auto"/>
                    <w:left w:val="none" w:sz="0" w:space="0" w:color="auto"/>
                    <w:bottom w:val="none" w:sz="0" w:space="0" w:color="auto"/>
                    <w:right w:val="none" w:sz="0" w:space="0" w:color="auto"/>
                  </w:divBdr>
                  <w:divsChild>
                    <w:div w:id="17875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81711996">
      <w:bodyDiv w:val="1"/>
      <w:marLeft w:val="0"/>
      <w:marRight w:val="0"/>
      <w:marTop w:val="0"/>
      <w:marBottom w:val="0"/>
      <w:divBdr>
        <w:top w:val="none" w:sz="0" w:space="0" w:color="auto"/>
        <w:left w:val="none" w:sz="0" w:space="0" w:color="auto"/>
        <w:bottom w:val="none" w:sz="0" w:space="0" w:color="auto"/>
        <w:right w:val="none" w:sz="0" w:space="0" w:color="auto"/>
      </w:divBdr>
    </w:div>
    <w:div w:id="1392583059">
      <w:bodyDiv w:val="1"/>
      <w:marLeft w:val="0"/>
      <w:marRight w:val="0"/>
      <w:marTop w:val="0"/>
      <w:marBottom w:val="0"/>
      <w:divBdr>
        <w:top w:val="none" w:sz="0" w:space="0" w:color="auto"/>
        <w:left w:val="none" w:sz="0" w:space="0" w:color="auto"/>
        <w:bottom w:val="none" w:sz="0" w:space="0" w:color="auto"/>
        <w:right w:val="none" w:sz="0" w:space="0" w:color="auto"/>
      </w:divBdr>
      <w:divsChild>
        <w:div w:id="631448889">
          <w:marLeft w:val="0"/>
          <w:marRight w:val="0"/>
          <w:marTop w:val="0"/>
          <w:marBottom w:val="0"/>
          <w:divBdr>
            <w:top w:val="none" w:sz="0" w:space="0" w:color="auto"/>
            <w:left w:val="none" w:sz="0" w:space="0" w:color="auto"/>
            <w:bottom w:val="none" w:sz="0" w:space="0" w:color="auto"/>
            <w:right w:val="none" w:sz="0" w:space="0" w:color="auto"/>
          </w:divBdr>
        </w:div>
        <w:div w:id="2094813180">
          <w:marLeft w:val="0"/>
          <w:marRight w:val="0"/>
          <w:marTop w:val="0"/>
          <w:marBottom w:val="0"/>
          <w:divBdr>
            <w:top w:val="none" w:sz="0" w:space="0" w:color="auto"/>
            <w:left w:val="none" w:sz="0" w:space="0" w:color="auto"/>
            <w:bottom w:val="none" w:sz="0" w:space="0" w:color="auto"/>
            <w:right w:val="none" w:sz="0" w:space="0" w:color="auto"/>
          </w:divBdr>
        </w:div>
        <w:div w:id="299575668">
          <w:marLeft w:val="0"/>
          <w:marRight w:val="0"/>
          <w:marTop w:val="0"/>
          <w:marBottom w:val="0"/>
          <w:divBdr>
            <w:top w:val="none" w:sz="0" w:space="0" w:color="auto"/>
            <w:left w:val="none" w:sz="0" w:space="0" w:color="auto"/>
            <w:bottom w:val="none" w:sz="0" w:space="0" w:color="auto"/>
            <w:right w:val="none" w:sz="0" w:space="0" w:color="auto"/>
          </w:divBdr>
        </w:div>
        <w:div w:id="1637224702">
          <w:marLeft w:val="0"/>
          <w:marRight w:val="0"/>
          <w:marTop w:val="0"/>
          <w:marBottom w:val="0"/>
          <w:divBdr>
            <w:top w:val="none" w:sz="0" w:space="0" w:color="auto"/>
            <w:left w:val="none" w:sz="0" w:space="0" w:color="auto"/>
            <w:bottom w:val="none" w:sz="0" w:space="0" w:color="auto"/>
            <w:right w:val="none" w:sz="0" w:space="0" w:color="auto"/>
          </w:divBdr>
        </w:div>
        <w:div w:id="2122066486">
          <w:marLeft w:val="0"/>
          <w:marRight w:val="0"/>
          <w:marTop w:val="0"/>
          <w:marBottom w:val="0"/>
          <w:divBdr>
            <w:top w:val="none" w:sz="0" w:space="0" w:color="auto"/>
            <w:left w:val="none" w:sz="0" w:space="0" w:color="auto"/>
            <w:bottom w:val="none" w:sz="0" w:space="0" w:color="auto"/>
            <w:right w:val="none" w:sz="0" w:space="0" w:color="auto"/>
          </w:divBdr>
        </w:div>
        <w:div w:id="1595702896">
          <w:marLeft w:val="0"/>
          <w:marRight w:val="0"/>
          <w:marTop w:val="0"/>
          <w:marBottom w:val="0"/>
          <w:divBdr>
            <w:top w:val="none" w:sz="0" w:space="0" w:color="auto"/>
            <w:left w:val="none" w:sz="0" w:space="0" w:color="auto"/>
            <w:bottom w:val="none" w:sz="0" w:space="0" w:color="auto"/>
            <w:right w:val="none" w:sz="0" w:space="0" w:color="auto"/>
          </w:divBdr>
        </w:div>
        <w:div w:id="388765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65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894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7583">
          <w:marLeft w:val="0"/>
          <w:marRight w:val="0"/>
          <w:marTop w:val="0"/>
          <w:marBottom w:val="0"/>
          <w:divBdr>
            <w:top w:val="none" w:sz="0" w:space="0" w:color="auto"/>
            <w:left w:val="none" w:sz="0" w:space="0" w:color="auto"/>
            <w:bottom w:val="none" w:sz="0" w:space="0" w:color="auto"/>
            <w:right w:val="none" w:sz="0" w:space="0" w:color="auto"/>
          </w:divBdr>
          <w:divsChild>
            <w:div w:id="95178062">
              <w:marLeft w:val="0"/>
              <w:marRight w:val="0"/>
              <w:marTop w:val="0"/>
              <w:marBottom w:val="0"/>
              <w:divBdr>
                <w:top w:val="none" w:sz="0" w:space="0" w:color="auto"/>
                <w:left w:val="none" w:sz="0" w:space="0" w:color="auto"/>
                <w:bottom w:val="none" w:sz="0" w:space="0" w:color="auto"/>
                <w:right w:val="none" w:sz="0" w:space="0" w:color="auto"/>
              </w:divBdr>
            </w:div>
          </w:divsChild>
        </w:div>
        <w:div w:id="1951744706">
          <w:marLeft w:val="0"/>
          <w:marRight w:val="0"/>
          <w:marTop w:val="0"/>
          <w:marBottom w:val="0"/>
          <w:divBdr>
            <w:top w:val="none" w:sz="0" w:space="0" w:color="auto"/>
            <w:left w:val="none" w:sz="0" w:space="0" w:color="auto"/>
            <w:bottom w:val="none" w:sz="0" w:space="0" w:color="auto"/>
            <w:right w:val="none" w:sz="0" w:space="0" w:color="auto"/>
          </w:divBdr>
        </w:div>
        <w:div w:id="867913962">
          <w:marLeft w:val="0"/>
          <w:marRight w:val="0"/>
          <w:marTop w:val="0"/>
          <w:marBottom w:val="0"/>
          <w:divBdr>
            <w:top w:val="none" w:sz="0" w:space="0" w:color="auto"/>
            <w:left w:val="none" w:sz="0" w:space="0" w:color="auto"/>
            <w:bottom w:val="none" w:sz="0" w:space="0" w:color="auto"/>
            <w:right w:val="none" w:sz="0" w:space="0" w:color="auto"/>
          </w:divBdr>
        </w:div>
        <w:div w:id="1015375896">
          <w:marLeft w:val="0"/>
          <w:marRight w:val="0"/>
          <w:marTop w:val="0"/>
          <w:marBottom w:val="0"/>
          <w:divBdr>
            <w:top w:val="none" w:sz="0" w:space="0" w:color="auto"/>
            <w:left w:val="none" w:sz="0" w:space="0" w:color="auto"/>
            <w:bottom w:val="none" w:sz="0" w:space="0" w:color="auto"/>
            <w:right w:val="none" w:sz="0" w:space="0" w:color="auto"/>
          </w:divBdr>
        </w:div>
        <w:div w:id="2142651145">
          <w:marLeft w:val="0"/>
          <w:marRight w:val="0"/>
          <w:marTop w:val="0"/>
          <w:marBottom w:val="0"/>
          <w:divBdr>
            <w:top w:val="none" w:sz="0" w:space="0" w:color="auto"/>
            <w:left w:val="none" w:sz="0" w:space="0" w:color="auto"/>
            <w:bottom w:val="none" w:sz="0" w:space="0" w:color="auto"/>
            <w:right w:val="none" w:sz="0" w:space="0" w:color="auto"/>
          </w:divBdr>
        </w:div>
        <w:div w:id="1800806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66958615">
              <w:marLeft w:val="0"/>
              <w:marRight w:val="0"/>
              <w:marTop w:val="0"/>
              <w:marBottom w:val="0"/>
              <w:divBdr>
                <w:top w:val="none" w:sz="0" w:space="0" w:color="auto"/>
                <w:left w:val="none" w:sz="0" w:space="0" w:color="auto"/>
                <w:bottom w:val="none" w:sz="0" w:space="0" w:color="auto"/>
                <w:right w:val="none" w:sz="0" w:space="0" w:color="auto"/>
              </w:divBdr>
            </w:div>
            <w:div w:id="1356228646">
              <w:marLeft w:val="0"/>
              <w:marRight w:val="0"/>
              <w:marTop w:val="0"/>
              <w:marBottom w:val="0"/>
              <w:divBdr>
                <w:top w:val="none" w:sz="0" w:space="0" w:color="auto"/>
                <w:left w:val="none" w:sz="0" w:space="0" w:color="auto"/>
                <w:bottom w:val="none" w:sz="0" w:space="0" w:color="auto"/>
                <w:right w:val="none" w:sz="0" w:space="0" w:color="auto"/>
              </w:divBdr>
              <w:divsChild>
                <w:div w:id="978219662">
                  <w:marLeft w:val="0"/>
                  <w:marRight w:val="0"/>
                  <w:marTop w:val="0"/>
                  <w:marBottom w:val="0"/>
                  <w:divBdr>
                    <w:top w:val="none" w:sz="0" w:space="0" w:color="auto"/>
                    <w:left w:val="none" w:sz="0" w:space="0" w:color="auto"/>
                    <w:bottom w:val="none" w:sz="0" w:space="0" w:color="auto"/>
                    <w:right w:val="none" w:sz="0" w:space="0" w:color="auto"/>
                  </w:divBdr>
                </w:div>
              </w:divsChild>
            </w:div>
            <w:div w:id="283997368">
              <w:marLeft w:val="0"/>
              <w:marRight w:val="0"/>
              <w:marTop w:val="0"/>
              <w:marBottom w:val="0"/>
              <w:divBdr>
                <w:top w:val="none" w:sz="0" w:space="0" w:color="auto"/>
                <w:left w:val="none" w:sz="0" w:space="0" w:color="auto"/>
                <w:bottom w:val="none" w:sz="0" w:space="0" w:color="auto"/>
                <w:right w:val="none" w:sz="0" w:space="0" w:color="auto"/>
              </w:divBdr>
              <w:divsChild>
                <w:div w:id="489909169">
                  <w:marLeft w:val="0"/>
                  <w:marRight w:val="0"/>
                  <w:marTop w:val="0"/>
                  <w:marBottom w:val="0"/>
                  <w:divBdr>
                    <w:top w:val="none" w:sz="0" w:space="0" w:color="auto"/>
                    <w:left w:val="none" w:sz="0" w:space="0" w:color="auto"/>
                    <w:bottom w:val="none" w:sz="0" w:space="0" w:color="auto"/>
                    <w:right w:val="none" w:sz="0" w:space="0" w:color="auto"/>
                  </w:divBdr>
                </w:div>
              </w:divsChild>
            </w:div>
            <w:div w:id="293870811">
              <w:marLeft w:val="0"/>
              <w:marRight w:val="0"/>
              <w:marTop w:val="0"/>
              <w:marBottom w:val="0"/>
              <w:divBdr>
                <w:top w:val="none" w:sz="0" w:space="0" w:color="auto"/>
                <w:left w:val="none" w:sz="0" w:space="0" w:color="auto"/>
                <w:bottom w:val="none" w:sz="0" w:space="0" w:color="auto"/>
                <w:right w:val="none" w:sz="0" w:space="0" w:color="auto"/>
              </w:divBdr>
              <w:divsChild>
                <w:div w:id="1913923243">
                  <w:marLeft w:val="0"/>
                  <w:marRight w:val="0"/>
                  <w:marTop w:val="0"/>
                  <w:marBottom w:val="0"/>
                  <w:divBdr>
                    <w:top w:val="none" w:sz="0" w:space="0" w:color="auto"/>
                    <w:left w:val="none" w:sz="0" w:space="0" w:color="auto"/>
                    <w:bottom w:val="none" w:sz="0" w:space="0" w:color="auto"/>
                    <w:right w:val="none" w:sz="0" w:space="0" w:color="auto"/>
                  </w:divBdr>
                </w:div>
              </w:divsChild>
            </w:div>
            <w:div w:id="659620232">
              <w:marLeft w:val="0"/>
              <w:marRight w:val="0"/>
              <w:marTop w:val="0"/>
              <w:marBottom w:val="0"/>
              <w:divBdr>
                <w:top w:val="none" w:sz="0" w:space="0" w:color="auto"/>
                <w:left w:val="none" w:sz="0" w:space="0" w:color="auto"/>
                <w:bottom w:val="none" w:sz="0" w:space="0" w:color="auto"/>
                <w:right w:val="none" w:sz="0" w:space="0" w:color="auto"/>
              </w:divBdr>
              <w:divsChild>
                <w:div w:id="2115401260">
                  <w:marLeft w:val="0"/>
                  <w:marRight w:val="0"/>
                  <w:marTop w:val="0"/>
                  <w:marBottom w:val="0"/>
                  <w:divBdr>
                    <w:top w:val="none" w:sz="0" w:space="0" w:color="auto"/>
                    <w:left w:val="none" w:sz="0" w:space="0" w:color="auto"/>
                    <w:bottom w:val="none" w:sz="0" w:space="0" w:color="auto"/>
                    <w:right w:val="none" w:sz="0" w:space="0" w:color="auto"/>
                  </w:divBdr>
                </w:div>
              </w:divsChild>
            </w:div>
            <w:div w:id="1406995952">
              <w:marLeft w:val="0"/>
              <w:marRight w:val="0"/>
              <w:marTop w:val="0"/>
              <w:marBottom w:val="0"/>
              <w:divBdr>
                <w:top w:val="none" w:sz="0" w:space="0" w:color="auto"/>
                <w:left w:val="none" w:sz="0" w:space="0" w:color="auto"/>
                <w:bottom w:val="none" w:sz="0" w:space="0" w:color="auto"/>
                <w:right w:val="none" w:sz="0" w:space="0" w:color="auto"/>
              </w:divBdr>
              <w:divsChild>
                <w:div w:id="1470974409">
                  <w:marLeft w:val="0"/>
                  <w:marRight w:val="0"/>
                  <w:marTop w:val="0"/>
                  <w:marBottom w:val="0"/>
                  <w:divBdr>
                    <w:top w:val="none" w:sz="0" w:space="0" w:color="auto"/>
                    <w:left w:val="none" w:sz="0" w:space="0" w:color="auto"/>
                    <w:bottom w:val="none" w:sz="0" w:space="0" w:color="auto"/>
                    <w:right w:val="none" w:sz="0" w:space="0" w:color="auto"/>
                  </w:divBdr>
                </w:div>
              </w:divsChild>
            </w:div>
            <w:div w:id="1185291643">
              <w:marLeft w:val="0"/>
              <w:marRight w:val="0"/>
              <w:marTop w:val="0"/>
              <w:marBottom w:val="0"/>
              <w:divBdr>
                <w:top w:val="none" w:sz="0" w:space="0" w:color="auto"/>
                <w:left w:val="none" w:sz="0" w:space="0" w:color="auto"/>
                <w:bottom w:val="none" w:sz="0" w:space="0" w:color="auto"/>
                <w:right w:val="none" w:sz="0" w:space="0" w:color="auto"/>
              </w:divBdr>
              <w:divsChild>
                <w:div w:id="836313365">
                  <w:marLeft w:val="0"/>
                  <w:marRight w:val="0"/>
                  <w:marTop w:val="0"/>
                  <w:marBottom w:val="0"/>
                  <w:divBdr>
                    <w:top w:val="none" w:sz="0" w:space="0" w:color="auto"/>
                    <w:left w:val="none" w:sz="0" w:space="0" w:color="auto"/>
                    <w:bottom w:val="none" w:sz="0" w:space="0" w:color="auto"/>
                    <w:right w:val="none" w:sz="0" w:space="0" w:color="auto"/>
                  </w:divBdr>
                </w:div>
              </w:divsChild>
            </w:div>
            <w:div w:id="1168595334">
              <w:marLeft w:val="0"/>
              <w:marRight w:val="0"/>
              <w:marTop w:val="0"/>
              <w:marBottom w:val="0"/>
              <w:divBdr>
                <w:top w:val="none" w:sz="0" w:space="0" w:color="auto"/>
                <w:left w:val="none" w:sz="0" w:space="0" w:color="auto"/>
                <w:bottom w:val="none" w:sz="0" w:space="0" w:color="auto"/>
                <w:right w:val="none" w:sz="0" w:space="0" w:color="auto"/>
              </w:divBdr>
              <w:divsChild>
                <w:div w:id="399526645">
                  <w:marLeft w:val="0"/>
                  <w:marRight w:val="0"/>
                  <w:marTop w:val="0"/>
                  <w:marBottom w:val="0"/>
                  <w:divBdr>
                    <w:top w:val="none" w:sz="0" w:space="0" w:color="auto"/>
                    <w:left w:val="none" w:sz="0" w:space="0" w:color="auto"/>
                    <w:bottom w:val="none" w:sz="0" w:space="0" w:color="auto"/>
                    <w:right w:val="none" w:sz="0" w:space="0" w:color="auto"/>
                  </w:divBdr>
                </w:div>
              </w:divsChild>
            </w:div>
            <w:div w:id="1325357856">
              <w:marLeft w:val="0"/>
              <w:marRight w:val="0"/>
              <w:marTop w:val="0"/>
              <w:marBottom w:val="0"/>
              <w:divBdr>
                <w:top w:val="none" w:sz="0" w:space="0" w:color="auto"/>
                <w:left w:val="none" w:sz="0" w:space="0" w:color="auto"/>
                <w:bottom w:val="none" w:sz="0" w:space="0" w:color="auto"/>
                <w:right w:val="none" w:sz="0" w:space="0" w:color="auto"/>
              </w:divBdr>
              <w:divsChild>
                <w:div w:id="406343014">
                  <w:marLeft w:val="0"/>
                  <w:marRight w:val="0"/>
                  <w:marTop w:val="0"/>
                  <w:marBottom w:val="0"/>
                  <w:divBdr>
                    <w:top w:val="none" w:sz="0" w:space="0" w:color="auto"/>
                    <w:left w:val="none" w:sz="0" w:space="0" w:color="auto"/>
                    <w:bottom w:val="none" w:sz="0" w:space="0" w:color="auto"/>
                    <w:right w:val="none" w:sz="0" w:space="0" w:color="auto"/>
                  </w:divBdr>
                </w:div>
              </w:divsChild>
            </w:div>
            <w:div w:id="1059937072">
              <w:marLeft w:val="0"/>
              <w:marRight w:val="0"/>
              <w:marTop w:val="0"/>
              <w:marBottom w:val="0"/>
              <w:divBdr>
                <w:top w:val="none" w:sz="0" w:space="0" w:color="auto"/>
                <w:left w:val="none" w:sz="0" w:space="0" w:color="auto"/>
                <w:bottom w:val="none" w:sz="0" w:space="0" w:color="auto"/>
                <w:right w:val="none" w:sz="0" w:space="0" w:color="auto"/>
              </w:divBdr>
              <w:divsChild>
                <w:div w:id="47996853">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
          </w:divsChild>
        </w:div>
        <w:div w:id="546340606">
          <w:marLeft w:val="0"/>
          <w:marRight w:val="0"/>
          <w:marTop w:val="0"/>
          <w:marBottom w:val="0"/>
          <w:divBdr>
            <w:top w:val="none" w:sz="0" w:space="0" w:color="auto"/>
            <w:left w:val="none" w:sz="0" w:space="0" w:color="auto"/>
            <w:bottom w:val="none" w:sz="0" w:space="0" w:color="auto"/>
            <w:right w:val="none" w:sz="0" w:space="0" w:color="auto"/>
          </w:divBdr>
        </w:div>
        <w:div w:id="135342158">
          <w:marLeft w:val="0"/>
          <w:marRight w:val="0"/>
          <w:marTop w:val="0"/>
          <w:marBottom w:val="0"/>
          <w:divBdr>
            <w:top w:val="none" w:sz="0" w:space="0" w:color="auto"/>
            <w:left w:val="none" w:sz="0" w:space="0" w:color="auto"/>
            <w:bottom w:val="none" w:sz="0" w:space="0" w:color="auto"/>
            <w:right w:val="none" w:sz="0" w:space="0" w:color="auto"/>
          </w:divBdr>
        </w:div>
      </w:divsChild>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2215439">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48960988">
      <w:bodyDiv w:val="1"/>
      <w:marLeft w:val="0"/>
      <w:marRight w:val="0"/>
      <w:marTop w:val="0"/>
      <w:marBottom w:val="0"/>
      <w:divBdr>
        <w:top w:val="none" w:sz="0" w:space="0" w:color="auto"/>
        <w:left w:val="none" w:sz="0" w:space="0" w:color="auto"/>
        <w:bottom w:val="none" w:sz="0" w:space="0" w:color="auto"/>
        <w:right w:val="none" w:sz="0" w:space="0" w:color="auto"/>
      </w:divBdr>
    </w:div>
    <w:div w:id="1465781306">
      <w:bodyDiv w:val="1"/>
      <w:marLeft w:val="0"/>
      <w:marRight w:val="0"/>
      <w:marTop w:val="0"/>
      <w:marBottom w:val="0"/>
      <w:divBdr>
        <w:top w:val="none" w:sz="0" w:space="0" w:color="auto"/>
        <w:left w:val="none" w:sz="0" w:space="0" w:color="auto"/>
        <w:bottom w:val="none" w:sz="0" w:space="0" w:color="auto"/>
        <w:right w:val="none" w:sz="0" w:space="0" w:color="auto"/>
      </w:divBdr>
      <w:divsChild>
        <w:div w:id="2097171223">
          <w:marLeft w:val="0"/>
          <w:marRight w:val="0"/>
          <w:marTop w:val="0"/>
          <w:marBottom w:val="0"/>
          <w:divBdr>
            <w:top w:val="none" w:sz="0" w:space="0" w:color="auto"/>
            <w:left w:val="none" w:sz="0" w:space="0" w:color="auto"/>
            <w:bottom w:val="none" w:sz="0" w:space="0" w:color="auto"/>
            <w:right w:val="none" w:sz="0" w:space="0" w:color="auto"/>
          </w:divBdr>
          <w:divsChild>
            <w:div w:id="1085880871">
              <w:marLeft w:val="0"/>
              <w:marRight w:val="0"/>
              <w:marTop w:val="0"/>
              <w:marBottom w:val="0"/>
              <w:divBdr>
                <w:top w:val="none" w:sz="0" w:space="0" w:color="auto"/>
                <w:left w:val="none" w:sz="0" w:space="0" w:color="auto"/>
                <w:bottom w:val="none" w:sz="0" w:space="0" w:color="auto"/>
                <w:right w:val="none" w:sz="0" w:space="0" w:color="auto"/>
              </w:divBdr>
              <w:divsChild>
                <w:div w:id="7918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82842812">
      <w:bodyDiv w:val="1"/>
      <w:marLeft w:val="0"/>
      <w:marRight w:val="0"/>
      <w:marTop w:val="0"/>
      <w:marBottom w:val="0"/>
      <w:divBdr>
        <w:top w:val="none" w:sz="0" w:space="0" w:color="auto"/>
        <w:left w:val="none" w:sz="0" w:space="0" w:color="auto"/>
        <w:bottom w:val="none" w:sz="0" w:space="0" w:color="auto"/>
        <w:right w:val="none" w:sz="0" w:space="0" w:color="auto"/>
      </w:divBdr>
    </w:div>
    <w:div w:id="1489908005">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7138254">
      <w:bodyDiv w:val="1"/>
      <w:marLeft w:val="0"/>
      <w:marRight w:val="0"/>
      <w:marTop w:val="0"/>
      <w:marBottom w:val="0"/>
      <w:divBdr>
        <w:top w:val="none" w:sz="0" w:space="0" w:color="auto"/>
        <w:left w:val="none" w:sz="0" w:space="0" w:color="auto"/>
        <w:bottom w:val="none" w:sz="0" w:space="0" w:color="auto"/>
        <w:right w:val="none" w:sz="0" w:space="0" w:color="auto"/>
      </w:divBdr>
    </w:div>
    <w:div w:id="1508133523">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17885818">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39202002">
      <w:bodyDiv w:val="1"/>
      <w:marLeft w:val="0"/>
      <w:marRight w:val="0"/>
      <w:marTop w:val="0"/>
      <w:marBottom w:val="0"/>
      <w:divBdr>
        <w:top w:val="none" w:sz="0" w:space="0" w:color="auto"/>
        <w:left w:val="none" w:sz="0" w:space="0" w:color="auto"/>
        <w:bottom w:val="none" w:sz="0" w:space="0" w:color="auto"/>
        <w:right w:val="none" w:sz="0" w:space="0" w:color="auto"/>
      </w:divBdr>
      <w:divsChild>
        <w:div w:id="289094325">
          <w:marLeft w:val="0"/>
          <w:marRight w:val="0"/>
          <w:marTop w:val="0"/>
          <w:marBottom w:val="0"/>
          <w:divBdr>
            <w:top w:val="none" w:sz="0" w:space="0" w:color="auto"/>
            <w:left w:val="none" w:sz="0" w:space="0" w:color="auto"/>
            <w:bottom w:val="none" w:sz="0" w:space="0" w:color="auto"/>
            <w:right w:val="none" w:sz="0" w:space="0" w:color="auto"/>
          </w:divBdr>
          <w:divsChild>
            <w:div w:id="101149594">
              <w:marLeft w:val="0"/>
              <w:marRight w:val="0"/>
              <w:marTop w:val="0"/>
              <w:marBottom w:val="0"/>
              <w:divBdr>
                <w:top w:val="none" w:sz="0" w:space="0" w:color="auto"/>
                <w:left w:val="none" w:sz="0" w:space="0" w:color="auto"/>
                <w:bottom w:val="none" w:sz="0" w:space="0" w:color="auto"/>
                <w:right w:val="none" w:sz="0" w:space="0" w:color="auto"/>
              </w:divBdr>
              <w:divsChild>
                <w:div w:id="5656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66140219">
      <w:bodyDiv w:val="1"/>
      <w:marLeft w:val="0"/>
      <w:marRight w:val="0"/>
      <w:marTop w:val="0"/>
      <w:marBottom w:val="0"/>
      <w:divBdr>
        <w:top w:val="none" w:sz="0" w:space="0" w:color="auto"/>
        <w:left w:val="none" w:sz="0" w:space="0" w:color="auto"/>
        <w:bottom w:val="none" w:sz="0" w:space="0" w:color="auto"/>
        <w:right w:val="none" w:sz="0" w:space="0" w:color="auto"/>
      </w:divBdr>
    </w:div>
    <w:div w:id="1573925530">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584801515">
      <w:bodyDiv w:val="1"/>
      <w:marLeft w:val="0"/>
      <w:marRight w:val="0"/>
      <w:marTop w:val="0"/>
      <w:marBottom w:val="0"/>
      <w:divBdr>
        <w:top w:val="none" w:sz="0" w:space="0" w:color="auto"/>
        <w:left w:val="none" w:sz="0" w:space="0" w:color="auto"/>
        <w:bottom w:val="none" w:sz="0" w:space="0" w:color="auto"/>
        <w:right w:val="none" w:sz="0" w:space="0" w:color="auto"/>
      </w:divBdr>
      <w:divsChild>
        <w:div w:id="2100515590">
          <w:marLeft w:val="0"/>
          <w:marRight w:val="0"/>
          <w:marTop w:val="0"/>
          <w:marBottom w:val="0"/>
          <w:divBdr>
            <w:top w:val="none" w:sz="0" w:space="0" w:color="auto"/>
            <w:left w:val="none" w:sz="0" w:space="0" w:color="auto"/>
            <w:bottom w:val="none" w:sz="0" w:space="0" w:color="auto"/>
            <w:right w:val="none" w:sz="0" w:space="0" w:color="auto"/>
          </w:divBdr>
          <w:divsChild>
            <w:div w:id="578245821">
              <w:marLeft w:val="0"/>
              <w:marRight w:val="0"/>
              <w:marTop w:val="0"/>
              <w:marBottom w:val="0"/>
              <w:divBdr>
                <w:top w:val="none" w:sz="0" w:space="0" w:color="auto"/>
                <w:left w:val="none" w:sz="0" w:space="0" w:color="auto"/>
                <w:bottom w:val="none" w:sz="0" w:space="0" w:color="auto"/>
                <w:right w:val="none" w:sz="0" w:space="0" w:color="auto"/>
              </w:divBdr>
            </w:div>
          </w:divsChild>
        </w:div>
        <w:div w:id="656375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1187382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9343954">
                  <w:marLeft w:val="0"/>
                  <w:marRight w:val="0"/>
                  <w:marTop w:val="0"/>
                  <w:marBottom w:val="0"/>
                  <w:divBdr>
                    <w:top w:val="none" w:sz="0" w:space="0" w:color="auto"/>
                    <w:left w:val="none" w:sz="0" w:space="0" w:color="auto"/>
                    <w:bottom w:val="none" w:sz="0" w:space="0" w:color="auto"/>
                    <w:right w:val="none" w:sz="0" w:space="0" w:color="auto"/>
                  </w:divBdr>
                  <w:divsChild>
                    <w:div w:id="1706711345">
                      <w:marLeft w:val="0"/>
                      <w:marRight w:val="0"/>
                      <w:marTop w:val="0"/>
                      <w:marBottom w:val="0"/>
                      <w:divBdr>
                        <w:top w:val="none" w:sz="0" w:space="0" w:color="auto"/>
                        <w:left w:val="none" w:sz="0" w:space="0" w:color="auto"/>
                        <w:bottom w:val="none" w:sz="0" w:space="0" w:color="auto"/>
                        <w:right w:val="none" w:sz="0" w:space="0" w:color="auto"/>
                      </w:divBdr>
                      <w:divsChild>
                        <w:div w:id="466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50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233140">
                  <w:marLeft w:val="0"/>
                  <w:marRight w:val="0"/>
                  <w:marTop w:val="0"/>
                  <w:marBottom w:val="0"/>
                  <w:divBdr>
                    <w:top w:val="none" w:sz="0" w:space="0" w:color="auto"/>
                    <w:left w:val="none" w:sz="0" w:space="0" w:color="auto"/>
                    <w:bottom w:val="none" w:sz="0" w:space="0" w:color="auto"/>
                    <w:right w:val="none" w:sz="0" w:space="0" w:color="auto"/>
                  </w:divBdr>
                  <w:divsChild>
                    <w:div w:id="625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5740">
              <w:blockQuote w:val="1"/>
              <w:marLeft w:val="600"/>
              <w:marRight w:val="0"/>
              <w:marTop w:val="0"/>
              <w:marBottom w:val="0"/>
              <w:divBdr>
                <w:top w:val="none" w:sz="0" w:space="0" w:color="auto"/>
                <w:left w:val="none" w:sz="0" w:space="0" w:color="auto"/>
                <w:bottom w:val="none" w:sz="0" w:space="0" w:color="auto"/>
                <w:right w:val="none" w:sz="0" w:space="0" w:color="auto"/>
              </w:divBdr>
              <w:divsChild>
                <w:div w:id="466514030">
                  <w:marLeft w:val="0"/>
                  <w:marRight w:val="0"/>
                  <w:marTop w:val="0"/>
                  <w:marBottom w:val="0"/>
                  <w:divBdr>
                    <w:top w:val="none" w:sz="0" w:space="0" w:color="auto"/>
                    <w:left w:val="none" w:sz="0" w:space="0" w:color="auto"/>
                    <w:bottom w:val="none" w:sz="0" w:space="0" w:color="auto"/>
                    <w:right w:val="none" w:sz="0" w:space="0" w:color="auto"/>
                  </w:divBdr>
                  <w:divsChild>
                    <w:div w:id="5153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67127">
              <w:blockQuote w:val="1"/>
              <w:marLeft w:val="600"/>
              <w:marRight w:val="0"/>
              <w:marTop w:val="0"/>
              <w:marBottom w:val="0"/>
              <w:divBdr>
                <w:top w:val="none" w:sz="0" w:space="0" w:color="auto"/>
                <w:left w:val="none" w:sz="0" w:space="0" w:color="auto"/>
                <w:bottom w:val="none" w:sz="0" w:space="0" w:color="auto"/>
                <w:right w:val="none" w:sz="0" w:space="0" w:color="auto"/>
              </w:divBdr>
              <w:divsChild>
                <w:div w:id="162167416">
                  <w:marLeft w:val="0"/>
                  <w:marRight w:val="0"/>
                  <w:marTop w:val="0"/>
                  <w:marBottom w:val="0"/>
                  <w:divBdr>
                    <w:top w:val="none" w:sz="0" w:space="0" w:color="auto"/>
                    <w:left w:val="none" w:sz="0" w:space="0" w:color="auto"/>
                    <w:bottom w:val="none" w:sz="0" w:space="0" w:color="auto"/>
                    <w:right w:val="none" w:sz="0" w:space="0" w:color="auto"/>
                  </w:divBdr>
                  <w:divsChild>
                    <w:div w:id="1429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390">
          <w:marLeft w:val="0"/>
          <w:marRight w:val="0"/>
          <w:marTop w:val="0"/>
          <w:marBottom w:val="0"/>
          <w:divBdr>
            <w:top w:val="none" w:sz="0" w:space="0" w:color="auto"/>
            <w:left w:val="none" w:sz="0" w:space="0" w:color="auto"/>
            <w:bottom w:val="none" w:sz="0" w:space="0" w:color="auto"/>
            <w:right w:val="none" w:sz="0" w:space="0" w:color="auto"/>
          </w:divBdr>
          <w:divsChild>
            <w:div w:id="1351490709">
              <w:marLeft w:val="0"/>
              <w:marRight w:val="0"/>
              <w:marTop w:val="0"/>
              <w:marBottom w:val="0"/>
              <w:divBdr>
                <w:top w:val="none" w:sz="0" w:space="0" w:color="auto"/>
                <w:left w:val="none" w:sz="0" w:space="0" w:color="auto"/>
                <w:bottom w:val="none" w:sz="0" w:space="0" w:color="auto"/>
                <w:right w:val="none" w:sz="0" w:space="0" w:color="auto"/>
              </w:divBdr>
            </w:div>
            <w:div w:id="1651326834">
              <w:marLeft w:val="0"/>
              <w:marRight w:val="0"/>
              <w:marTop w:val="0"/>
              <w:marBottom w:val="0"/>
              <w:divBdr>
                <w:top w:val="none" w:sz="0" w:space="0" w:color="auto"/>
                <w:left w:val="none" w:sz="0" w:space="0" w:color="auto"/>
                <w:bottom w:val="none" w:sz="0" w:space="0" w:color="auto"/>
                <w:right w:val="none" w:sz="0" w:space="0" w:color="auto"/>
              </w:divBdr>
              <w:divsChild>
                <w:div w:id="11384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14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4284275">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7710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407">
              <w:blockQuote w:val="1"/>
              <w:marLeft w:val="600"/>
              <w:marRight w:val="0"/>
              <w:marTop w:val="0"/>
              <w:marBottom w:val="0"/>
              <w:divBdr>
                <w:top w:val="none" w:sz="0" w:space="0" w:color="auto"/>
                <w:left w:val="none" w:sz="0" w:space="0" w:color="auto"/>
                <w:bottom w:val="none" w:sz="0" w:space="0" w:color="auto"/>
                <w:right w:val="none" w:sz="0" w:space="0" w:color="auto"/>
              </w:divBdr>
              <w:divsChild>
                <w:div w:id="573317683">
                  <w:marLeft w:val="0"/>
                  <w:marRight w:val="0"/>
                  <w:marTop w:val="0"/>
                  <w:marBottom w:val="0"/>
                  <w:divBdr>
                    <w:top w:val="none" w:sz="0" w:space="0" w:color="auto"/>
                    <w:left w:val="none" w:sz="0" w:space="0" w:color="auto"/>
                    <w:bottom w:val="none" w:sz="0" w:space="0" w:color="auto"/>
                    <w:right w:val="none" w:sz="0" w:space="0" w:color="auto"/>
                  </w:divBdr>
                  <w:divsChild>
                    <w:div w:id="775247382">
                      <w:marLeft w:val="0"/>
                      <w:marRight w:val="0"/>
                      <w:marTop w:val="0"/>
                      <w:marBottom w:val="0"/>
                      <w:divBdr>
                        <w:top w:val="none" w:sz="0" w:space="0" w:color="auto"/>
                        <w:left w:val="none" w:sz="0" w:space="0" w:color="auto"/>
                        <w:bottom w:val="none" w:sz="0" w:space="0" w:color="auto"/>
                        <w:right w:val="none" w:sz="0" w:space="0" w:color="auto"/>
                      </w:divBdr>
                      <w:divsChild>
                        <w:div w:id="1070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2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665066">
                  <w:marLeft w:val="0"/>
                  <w:marRight w:val="0"/>
                  <w:marTop w:val="0"/>
                  <w:marBottom w:val="0"/>
                  <w:divBdr>
                    <w:top w:val="none" w:sz="0" w:space="0" w:color="auto"/>
                    <w:left w:val="none" w:sz="0" w:space="0" w:color="auto"/>
                    <w:bottom w:val="none" w:sz="0" w:space="0" w:color="auto"/>
                    <w:right w:val="none" w:sz="0" w:space="0" w:color="auto"/>
                  </w:divBdr>
                  <w:divsChild>
                    <w:div w:id="1645770345">
                      <w:marLeft w:val="0"/>
                      <w:marRight w:val="0"/>
                      <w:marTop w:val="0"/>
                      <w:marBottom w:val="0"/>
                      <w:divBdr>
                        <w:top w:val="none" w:sz="0" w:space="0" w:color="auto"/>
                        <w:left w:val="none" w:sz="0" w:space="0" w:color="auto"/>
                        <w:bottom w:val="none" w:sz="0" w:space="0" w:color="auto"/>
                        <w:right w:val="none" w:sz="0" w:space="0" w:color="auto"/>
                      </w:divBdr>
                      <w:divsChild>
                        <w:div w:id="657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51451">
          <w:marLeft w:val="0"/>
          <w:marRight w:val="0"/>
          <w:marTop w:val="0"/>
          <w:marBottom w:val="0"/>
          <w:divBdr>
            <w:top w:val="none" w:sz="0" w:space="0" w:color="auto"/>
            <w:left w:val="none" w:sz="0" w:space="0" w:color="auto"/>
            <w:bottom w:val="none" w:sz="0" w:space="0" w:color="auto"/>
            <w:right w:val="none" w:sz="0" w:space="0" w:color="auto"/>
          </w:divBdr>
          <w:divsChild>
            <w:div w:id="340665066">
              <w:marLeft w:val="0"/>
              <w:marRight w:val="0"/>
              <w:marTop w:val="0"/>
              <w:marBottom w:val="0"/>
              <w:divBdr>
                <w:top w:val="none" w:sz="0" w:space="0" w:color="auto"/>
                <w:left w:val="none" w:sz="0" w:space="0" w:color="auto"/>
                <w:bottom w:val="none" w:sz="0" w:space="0" w:color="auto"/>
                <w:right w:val="none" w:sz="0" w:space="0" w:color="auto"/>
              </w:divBdr>
              <w:divsChild>
                <w:div w:id="319770305">
                  <w:marLeft w:val="0"/>
                  <w:marRight w:val="0"/>
                  <w:marTop w:val="0"/>
                  <w:marBottom w:val="0"/>
                  <w:divBdr>
                    <w:top w:val="none" w:sz="0" w:space="0" w:color="auto"/>
                    <w:left w:val="none" w:sz="0" w:space="0" w:color="auto"/>
                    <w:bottom w:val="none" w:sz="0" w:space="0" w:color="auto"/>
                    <w:right w:val="none" w:sz="0" w:space="0" w:color="auto"/>
                  </w:divBdr>
                </w:div>
                <w:div w:id="12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945">
          <w:blockQuote w:val="1"/>
          <w:marLeft w:val="600"/>
          <w:marRight w:val="0"/>
          <w:marTop w:val="0"/>
          <w:marBottom w:val="0"/>
          <w:divBdr>
            <w:top w:val="none" w:sz="0" w:space="0" w:color="auto"/>
            <w:left w:val="none" w:sz="0" w:space="0" w:color="auto"/>
            <w:bottom w:val="none" w:sz="0" w:space="0" w:color="auto"/>
            <w:right w:val="none" w:sz="0" w:space="0" w:color="auto"/>
          </w:divBdr>
          <w:divsChild>
            <w:div w:id="922497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629095">
                  <w:marLeft w:val="0"/>
                  <w:marRight w:val="0"/>
                  <w:marTop w:val="0"/>
                  <w:marBottom w:val="0"/>
                  <w:divBdr>
                    <w:top w:val="none" w:sz="0" w:space="0" w:color="auto"/>
                    <w:left w:val="none" w:sz="0" w:space="0" w:color="auto"/>
                    <w:bottom w:val="none" w:sz="0" w:space="0" w:color="auto"/>
                    <w:right w:val="none" w:sz="0" w:space="0" w:color="auto"/>
                  </w:divBdr>
                  <w:divsChild>
                    <w:div w:id="395055555">
                      <w:marLeft w:val="0"/>
                      <w:marRight w:val="0"/>
                      <w:marTop w:val="0"/>
                      <w:marBottom w:val="0"/>
                      <w:divBdr>
                        <w:top w:val="none" w:sz="0" w:space="0" w:color="auto"/>
                        <w:left w:val="none" w:sz="0" w:space="0" w:color="auto"/>
                        <w:bottom w:val="none" w:sz="0" w:space="0" w:color="auto"/>
                        <w:right w:val="none" w:sz="0" w:space="0" w:color="auto"/>
                      </w:divBdr>
                      <w:divsChild>
                        <w:div w:id="321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6369">
              <w:blockQuote w:val="1"/>
              <w:marLeft w:val="600"/>
              <w:marRight w:val="0"/>
              <w:marTop w:val="0"/>
              <w:marBottom w:val="0"/>
              <w:divBdr>
                <w:top w:val="none" w:sz="0" w:space="0" w:color="auto"/>
                <w:left w:val="none" w:sz="0" w:space="0" w:color="auto"/>
                <w:bottom w:val="none" w:sz="0" w:space="0" w:color="auto"/>
                <w:right w:val="none" w:sz="0" w:space="0" w:color="auto"/>
              </w:divBdr>
              <w:divsChild>
                <w:div w:id="9649936">
                  <w:marLeft w:val="0"/>
                  <w:marRight w:val="0"/>
                  <w:marTop w:val="0"/>
                  <w:marBottom w:val="0"/>
                  <w:divBdr>
                    <w:top w:val="none" w:sz="0" w:space="0" w:color="auto"/>
                    <w:left w:val="none" w:sz="0" w:space="0" w:color="auto"/>
                    <w:bottom w:val="none" w:sz="0" w:space="0" w:color="auto"/>
                    <w:right w:val="none" w:sz="0" w:space="0" w:color="auto"/>
                  </w:divBdr>
                  <w:divsChild>
                    <w:div w:id="829978519">
                      <w:marLeft w:val="0"/>
                      <w:marRight w:val="0"/>
                      <w:marTop w:val="0"/>
                      <w:marBottom w:val="0"/>
                      <w:divBdr>
                        <w:top w:val="none" w:sz="0" w:space="0" w:color="auto"/>
                        <w:left w:val="none" w:sz="0" w:space="0" w:color="auto"/>
                        <w:bottom w:val="none" w:sz="0" w:space="0" w:color="auto"/>
                        <w:right w:val="none" w:sz="0" w:space="0" w:color="auto"/>
                      </w:divBdr>
                      <w:divsChild>
                        <w:div w:id="12674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17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0800441">
                  <w:marLeft w:val="0"/>
                  <w:marRight w:val="0"/>
                  <w:marTop w:val="0"/>
                  <w:marBottom w:val="0"/>
                  <w:divBdr>
                    <w:top w:val="none" w:sz="0" w:space="0" w:color="auto"/>
                    <w:left w:val="none" w:sz="0" w:space="0" w:color="auto"/>
                    <w:bottom w:val="none" w:sz="0" w:space="0" w:color="auto"/>
                    <w:right w:val="none" w:sz="0" w:space="0" w:color="auto"/>
                  </w:divBdr>
                  <w:divsChild>
                    <w:div w:id="2041663527">
                      <w:marLeft w:val="0"/>
                      <w:marRight w:val="0"/>
                      <w:marTop w:val="0"/>
                      <w:marBottom w:val="0"/>
                      <w:divBdr>
                        <w:top w:val="none" w:sz="0" w:space="0" w:color="auto"/>
                        <w:left w:val="none" w:sz="0" w:space="0" w:color="auto"/>
                        <w:bottom w:val="none" w:sz="0" w:space="0" w:color="auto"/>
                        <w:right w:val="none" w:sz="0" w:space="0" w:color="auto"/>
                      </w:divBdr>
                      <w:divsChild>
                        <w:div w:id="1213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7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4640">
                  <w:marLeft w:val="0"/>
                  <w:marRight w:val="0"/>
                  <w:marTop w:val="0"/>
                  <w:marBottom w:val="0"/>
                  <w:divBdr>
                    <w:top w:val="none" w:sz="0" w:space="0" w:color="auto"/>
                    <w:left w:val="none" w:sz="0" w:space="0" w:color="auto"/>
                    <w:bottom w:val="none" w:sz="0" w:space="0" w:color="auto"/>
                    <w:right w:val="none" w:sz="0" w:space="0" w:color="auto"/>
                  </w:divBdr>
                  <w:divsChild>
                    <w:div w:id="1273512223">
                      <w:marLeft w:val="0"/>
                      <w:marRight w:val="0"/>
                      <w:marTop w:val="0"/>
                      <w:marBottom w:val="0"/>
                      <w:divBdr>
                        <w:top w:val="none" w:sz="0" w:space="0" w:color="auto"/>
                        <w:left w:val="none" w:sz="0" w:space="0" w:color="auto"/>
                        <w:bottom w:val="none" w:sz="0" w:space="0" w:color="auto"/>
                        <w:right w:val="none" w:sz="0" w:space="0" w:color="auto"/>
                      </w:divBdr>
                      <w:divsChild>
                        <w:div w:id="1212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352236">
                  <w:marLeft w:val="0"/>
                  <w:marRight w:val="0"/>
                  <w:marTop w:val="0"/>
                  <w:marBottom w:val="0"/>
                  <w:divBdr>
                    <w:top w:val="none" w:sz="0" w:space="0" w:color="auto"/>
                    <w:left w:val="none" w:sz="0" w:space="0" w:color="auto"/>
                    <w:bottom w:val="none" w:sz="0" w:space="0" w:color="auto"/>
                    <w:right w:val="none" w:sz="0" w:space="0" w:color="auto"/>
                  </w:divBdr>
                  <w:divsChild>
                    <w:div w:id="331304187">
                      <w:marLeft w:val="0"/>
                      <w:marRight w:val="0"/>
                      <w:marTop w:val="0"/>
                      <w:marBottom w:val="0"/>
                      <w:divBdr>
                        <w:top w:val="none" w:sz="0" w:space="0" w:color="auto"/>
                        <w:left w:val="none" w:sz="0" w:space="0" w:color="auto"/>
                        <w:bottom w:val="none" w:sz="0" w:space="0" w:color="auto"/>
                        <w:right w:val="none" w:sz="0" w:space="0" w:color="auto"/>
                      </w:divBdr>
                      <w:divsChild>
                        <w:div w:id="248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330068688">
                  <w:marLeft w:val="0"/>
                  <w:marRight w:val="0"/>
                  <w:marTop w:val="0"/>
                  <w:marBottom w:val="0"/>
                  <w:divBdr>
                    <w:top w:val="none" w:sz="0" w:space="0" w:color="auto"/>
                    <w:left w:val="none" w:sz="0" w:space="0" w:color="auto"/>
                    <w:bottom w:val="none" w:sz="0" w:space="0" w:color="auto"/>
                    <w:right w:val="none" w:sz="0" w:space="0" w:color="auto"/>
                  </w:divBdr>
                  <w:divsChild>
                    <w:div w:id="1293709020">
                      <w:marLeft w:val="0"/>
                      <w:marRight w:val="0"/>
                      <w:marTop w:val="0"/>
                      <w:marBottom w:val="0"/>
                      <w:divBdr>
                        <w:top w:val="none" w:sz="0" w:space="0" w:color="auto"/>
                        <w:left w:val="none" w:sz="0" w:space="0" w:color="auto"/>
                        <w:bottom w:val="none" w:sz="0" w:space="0" w:color="auto"/>
                        <w:right w:val="none" w:sz="0" w:space="0" w:color="auto"/>
                      </w:divBdr>
                      <w:divsChild>
                        <w:div w:id="21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50270">
          <w:marLeft w:val="0"/>
          <w:marRight w:val="0"/>
          <w:marTop w:val="0"/>
          <w:marBottom w:val="0"/>
          <w:divBdr>
            <w:top w:val="none" w:sz="0" w:space="0" w:color="auto"/>
            <w:left w:val="none" w:sz="0" w:space="0" w:color="auto"/>
            <w:bottom w:val="none" w:sz="0" w:space="0" w:color="auto"/>
            <w:right w:val="none" w:sz="0" w:space="0" w:color="auto"/>
          </w:divBdr>
          <w:divsChild>
            <w:div w:id="1696081931">
              <w:marLeft w:val="0"/>
              <w:marRight w:val="0"/>
              <w:marTop w:val="0"/>
              <w:marBottom w:val="0"/>
              <w:divBdr>
                <w:top w:val="none" w:sz="0" w:space="0" w:color="auto"/>
                <w:left w:val="none" w:sz="0" w:space="0" w:color="auto"/>
                <w:bottom w:val="none" w:sz="0" w:space="0" w:color="auto"/>
                <w:right w:val="none" w:sz="0" w:space="0" w:color="auto"/>
              </w:divBdr>
              <w:divsChild>
                <w:div w:id="1980762812">
                  <w:marLeft w:val="0"/>
                  <w:marRight w:val="0"/>
                  <w:marTop w:val="0"/>
                  <w:marBottom w:val="0"/>
                  <w:divBdr>
                    <w:top w:val="none" w:sz="0" w:space="0" w:color="auto"/>
                    <w:left w:val="none" w:sz="0" w:space="0" w:color="auto"/>
                    <w:bottom w:val="none" w:sz="0" w:space="0" w:color="auto"/>
                    <w:right w:val="none" w:sz="0" w:space="0" w:color="auto"/>
                  </w:divBdr>
                </w:div>
                <w:div w:id="16277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592">
      <w:bodyDiv w:val="1"/>
      <w:marLeft w:val="0"/>
      <w:marRight w:val="0"/>
      <w:marTop w:val="0"/>
      <w:marBottom w:val="0"/>
      <w:divBdr>
        <w:top w:val="none" w:sz="0" w:space="0" w:color="auto"/>
        <w:left w:val="none" w:sz="0" w:space="0" w:color="auto"/>
        <w:bottom w:val="none" w:sz="0" w:space="0" w:color="auto"/>
        <w:right w:val="none" w:sz="0" w:space="0" w:color="auto"/>
      </w:divBdr>
    </w:div>
    <w:div w:id="1601329495">
      <w:bodyDiv w:val="1"/>
      <w:marLeft w:val="0"/>
      <w:marRight w:val="0"/>
      <w:marTop w:val="0"/>
      <w:marBottom w:val="0"/>
      <w:divBdr>
        <w:top w:val="none" w:sz="0" w:space="0" w:color="auto"/>
        <w:left w:val="none" w:sz="0" w:space="0" w:color="auto"/>
        <w:bottom w:val="none" w:sz="0" w:space="0" w:color="auto"/>
        <w:right w:val="none" w:sz="0" w:space="0" w:color="auto"/>
      </w:divBdr>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14901134">
      <w:bodyDiv w:val="1"/>
      <w:marLeft w:val="0"/>
      <w:marRight w:val="0"/>
      <w:marTop w:val="0"/>
      <w:marBottom w:val="0"/>
      <w:divBdr>
        <w:top w:val="none" w:sz="0" w:space="0" w:color="auto"/>
        <w:left w:val="none" w:sz="0" w:space="0" w:color="auto"/>
        <w:bottom w:val="none" w:sz="0" w:space="0" w:color="auto"/>
        <w:right w:val="none" w:sz="0" w:space="0" w:color="auto"/>
      </w:divBdr>
    </w:div>
    <w:div w:id="1618175090">
      <w:bodyDiv w:val="1"/>
      <w:marLeft w:val="0"/>
      <w:marRight w:val="0"/>
      <w:marTop w:val="0"/>
      <w:marBottom w:val="0"/>
      <w:divBdr>
        <w:top w:val="none" w:sz="0" w:space="0" w:color="auto"/>
        <w:left w:val="none" w:sz="0" w:space="0" w:color="auto"/>
        <w:bottom w:val="none" w:sz="0" w:space="0" w:color="auto"/>
        <w:right w:val="none" w:sz="0" w:space="0" w:color="auto"/>
      </w:divBdr>
    </w:div>
    <w:div w:id="1619067109">
      <w:bodyDiv w:val="1"/>
      <w:marLeft w:val="0"/>
      <w:marRight w:val="0"/>
      <w:marTop w:val="0"/>
      <w:marBottom w:val="0"/>
      <w:divBdr>
        <w:top w:val="none" w:sz="0" w:space="0" w:color="auto"/>
        <w:left w:val="none" w:sz="0" w:space="0" w:color="auto"/>
        <w:bottom w:val="none" w:sz="0" w:space="0" w:color="auto"/>
        <w:right w:val="none" w:sz="0" w:space="0" w:color="auto"/>
      </w:divBdr>
    </w:div>
    <w:div w:id="1627735456">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50284887">
      <w:bodyDiv w:val="1"/>
      <w:marLeft w:val="0"/>
      <w:marRight w:val="0"/>
      <w:marTop w:val="0"/>
      <w:marBottom w:val="0"/>
      <w:divBdr>
        <w:top w:val="none" w:sz="0" w:space="0" w:color="auto"/>
        <w:left w:val="none" w:sz="0" w:space="0" w:color="auto"/>
        <w:bottom w:val="none" w:sz="0" w:space="0" w:color="auto"/>
        <w:right w:val="none" w:sz="0" w:space="0" w:color="auto"/>
      </w:divBdr>
      <w:divsChild>
        <w:div w:id="927079769">
          <w:marLeft w:val="0"/>
          <w:marRight w:val="0"/>
          <w:marTop w:val="0"/>
          <w:marBottom w:val="0"/>
          <w:divBdr>
            <w:top w:val="none" w:sz="0" w:space="0" w:color="auto"/>
            <w:left w:val="none" w:sz="0" w:space="0" w:color="auto"/>
            <w:bottom w:val="none" w:sz="0" w:space="0" w:color="auto"/>
            <w:right w:val="none" w:sz="0" w:space="0" w:color="auto"/>
          </w:divBdr>
          <w:divsChild>
            <w:div w:id="1644701967">
              <w:marLeft w:val="0"/>
              <w:marRight w:val="0"/>
              <w:marTop w:val="0"/>
              <w:marBottom w:val="0"/>
              <w:divBdr>
                <w:top w:val="none" w:sz="0" w:space="0" w:color="auto"/>
                <w:left w:val="none" w:sz="0" w:space="0" w:color="auto"/>
                <w:bottom w:val="none" w:sz="0" w:space="0" w:color="auto"/>
                <w:right w:val="none" w:sz="0" w:space="0" w:color="auto"/>
              </w:divBdr>
              <w:divsChild>
                <w:div w:id="371923142">
                  <w:marLeft w:val="0"/>
                  <w:marRight w:val="0"/>
                  <w:marTop w:val="0"/>
                  <w:marBottom w:val="0"/>
                  <w:divBdr>
                    <w:top w:val="none" w:sz="0" w:space="0" w:color="auto"/>
                    <w:left w:val="none" w:sz="0" w:space="0" w:color="auto"/>
                    <w:bottom w:val="none" w:sz="0" w:space="0" w:color="auto"/>
                    <w:right w:val="none" w:sz="0" w:space="0" w:color="auto"/>
                  </w:divBdr>
                  <w:divsChild>
                    <w:div w:id="195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13945">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76104541">
      <w:bodyDiv w:val="1"/>
      <w:marLeft w:val="0"/>
      <w:marRight w:val="0"/>
      <w:marTop w:val="0"/>
      <w:marBottom w:val="0"/>
      <w:divBdr>
        <w:top w:val="none" w:sz="0" w:space="0" w:color="auto"/>
        <w:left w:val="none" w:sz="0" w:space="0" w:color="auto"/>
        <w:bottom w:val="none" w:sz="0" w:space="0" w:color="auto"/>
        <w:right w:val="none" w:sz="0" w:space="0" w:color="auto"/>
      </w:divBdr>
    </w:div>
    <w:div w:id="1677803638">
      <w:bodyDiv w:val="1"/>
      <w:marLeft w:val="0"/>
      <w:marRight w:val="0"/>
      <w:marTop w:val="0"/>
      <w:marBottom w:val="0"/>
      <w:divBdr>
        <w:top w:val="none" w:sz="0" w:space="0" w:color="auto"/>
        <w:left w:val="none" w:sz="0" w:space="0" w:color="auto"/>
        <w:bottom w:val="none" w:sz="0" w:space="0" w:color="auto"/>
        <w:right w:val="none" w:sz="0" w:space="0" w:color="auto"/>
      </w:divBdr>
    </w:div>
    <w:div w:id="1678800704">
      <w:bodyDiv w:val="1"/>
      <w:marLeft w:val="0"/>
      <w:marRight w:val="0"/>
      <w:marTop w:val="0"/>
      <w:marBottom w:val="0"/>
      <w:divBdr>
        <w:top w:val="none" w:sz="0" w:space="0" w:color="auto"/>
        <w:left w:val="none" w:sz="0" w:space="0" w:color="auto"/>
        <w:bottom w:val="none" w:sz="0" w:space="0" w:color="auto"/>
        <w:right w:val="none" w:sz="0" w:space="0" w:color="auto"/>
      </w:divBdr>
      <w:divsChild>
        <w:div w:id="572349956">
          <w:marLeft w:val="0"/>
          <w:marRight w:val="0"/>
          <w:marTop w:val="0"/>
          <w:marBottom w:val="0"/>
          <w:divBdr>
            <w:top w:val="none" w:sz="0" w:space="0" w:color="auto"/>
            <w:left w:val="none" w:sz="0" w:space="0" w:color="auto"/>
            <w:bottom w:val="none" w:sz="0" w:space="0" w:color="auto"/>
            <w:right w:val="none" w:sz="0" w:space="0" w:color="auto"/>
          </w:divBdr>
        </w:div>
      </w:divsChild>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5423701">
      <w:bodyDiv w:val="1"/>
      <w:marLeft w:val="0"/>
      <w:marRight w:val="0"/>
      <w:marTop w:val="0"/>
      <w:marBottom w:val="0"/>
      <w:divBdr>
        <w:top w:val="none" w:sz="0" w:space="0" w:color="auto"/>
        <w:left w:val="none" w:sz="0" w:space="0" w:color="auto"/>
        <w:bottom w:val="none" w:sz="0" w:space="0" w:color="auto"/>
        <w:right w:val="none" w:sz="0" w:space="0" w:color="auto"/>
      </w:divBdr>
    </w:div>
    <w:div w:id="1696418799">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0328">
      <w:bodyDiv w:val="1"/>
      <w:marLeft w:val="0"/>
      <w:marRight w:val="0"/>
      <w:marTop w:val="0"/>
      <w:marBottom w:val="0"/>
      <w:divBdr>
        <w:top w:val="none" w:sz="0" w:space="0" w:color="auto"/>
        <w:left w:val="none" w:sz="0" w:space="0" w:color="auto"/>
        <w:bottom w:val="none" w:sz="0" w:space="0" w:color="auto"/>
        <w:right w:val="none" w:sz="0" w:space="0" w:color="auto"/>
      </w:divBdr>
      <w:divsChild>
        <w:div w:id="932855324">
          <w:marLeft w:val="0"/>
          <w:marRight w:val="0"/>
          <w:marTop w:val="0"/>
          <w:marBottom w:val="0"/>
          <w:divBdr>
            <w:top w:val="none" w:sz="0" w:space="0" w:color="auto"/>
            <w:left w:val="none" w:sz="0" w:space="0" w:color="auto"/>
            <w:bottom w:val="none" w:sz="0" w:space="0" w:color="auto"/>
            <w:right w:val="none" w:sz="0" w:space="0" w:color="auto"/>
          </w:divBdr>
          <w:divsChild>
            <w:div w:id="984509499">
              <w:marLeft w:val="0"/>
              <w:marRight w:val="0"/>
              <w:marTop w:val="0"/>
              <w:marBottom w:val="0"/>
              <w:divBdr>
                <w:top w:val="none" w:sz="0" w:space="0" w:color="auto"/>
                <w:left w:val="none" w:sz="0" w:space="0" w:color="auto"/>
                <w:bottom w:val="none" w:sz="0" w:space="0" w:color="auto"/>
                <w:right w:val="none" w:sz="0" w:space="0" w:color="auto"/>
              </w:divBdr>
              <w:divsChild>
                <w:div w:id="1891262088">
                  <w:marLeft w:val="0"/>
                  <w:marRight w:val="0"/>
                  <w:marTop w:val="0"/>
                  <w:marBottom w:val="0"/>
                  <w:divBdr>
                    <w:top w:val="none" w:sz="0" w:space="0" w:color="auto"/>
                    <w:left w:val="none" w:sz="0" w:space="0" w:color="auto"/>
                    <w:bottom w:val="none" w:sz="0" w:space="0" w:color="auto"/>
                    <w:right w:val="none" w:sz="0" w:space="0" w:color="auto"/>
                  </w:divBdr>
                  <w:divsChild>
                    <w:div w:id="6919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27412970">
      <w:bodyDiv w:val="1"/>
      <w:marLeft w:val="0"/>
      <w:marRight w:val="0"/>
      <w:marTop w:val="0"/>
      <w:marBottom w:val="0"/>
      <w:divBdr>
        <w:top w:val="none" w:sz="0" w:space="0" w:color="auto"/>
        <w:left w:val="none" w:sz="0" w:space="0" w:color="auto"/>
        <w:bottom w:val="none" w:sz="0" w:space="0" w:color="auto"/>
        <w:right w:val="none" w:sz="0" w:space="0" w:color="auto"/>
      </w:divBdr>
    </w:div>
    <w:div w:id="1730305638">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59400849">
      <w:bodyDiv w:val="1"/>
      <w:marLeft w:val="0"/>
      <w:marRight w:val="0"/>
      <w:marTop w:val="0"/>
      <w:marBottom w:val="0"/>
      <w:divBdr>
        <w:top w:val="none" w:sz="0" w:space="0" w:color="auto"/>
        <w:left w:val="none" w:sz="0" w:space="0" w:color="auto"/>
        <w:bottom w:val="none" w:sz="0" w:space="0" w:color="auto"/>
        <w:right w:val="none" w:sz="0" w:space="0" w:color="auto"/>
      </w:divBdr>
      <w:divsChild>
        <w:div w:id="2108649876">
          <w:marLeft w:val="0"/>
          <w:marRight w:val="0"/>
          <w:marTop w:val="0"/>
          <w:marBottom w:val="0"/>
          <w:divBdr>
            <w:top w:val="none" w:sz="0" w:space="0" w:color="auto"/>
            <w:left w:val="none" w:sz="0" w:space="0" w:color="auto"/>
            <w:bottom w:val="none" w:sz="0" w:space="0" w:color="auto"/>
            <w:right w:val="none" w:sz="0" w:space="0" w:color="auto"/>
          </w:divBdr>
          <w:divsChild>
            <w:div w:id="955403916">
              <w:marLeft w:val="0"/>
              <w:marRight w:val="0"/>
              <w:marTop w:val="0"/>
              <w:marBottom w:val="0"/>
              <w:divBdr>
                <w:top w:val="none" w:sz="0" w:space="0" w:color="auto"/>
                <w:left w:val="none" w:sz="0" w:space="0" w:color="auto"/>
                <w:bottom w:val="none" w:sz="0" w:space="0" w:color="auto"/>
                <w:right w:val="none" w:sz="0" w:space="0" w:color="auto"/>
              </w:divBdr>
              <w:divsChild>
                <w:div w:id="933324785">
                  <w:marLeft w:val="0"/>
                  <w:marRight w:val="0"/>
                  <w:marTop w:val="0"/>
                  <w:marBottom w:val="0"/>
                  <w:divBdr>
                    <w:top w:val="none" w:sz="0" w:space="0" w:color="auto"/>
                    <w:left w:val="none" w:sz="0" w:space="0" w:color="auto"/>
                    <w:bottom w:val="none" w:sz="0" w:space="0" w:color="auto"/>
                    <w:right w:val="none" w:sz="0" w:space="0" w:color="auto"/>
                  </w:divBdr>
                  <w:divsChild>
                    <w:div w:id="3167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4261">
      <w:bodyDiv w:val="1"/>
      <w:marLeft w:val="0"/>
      <w:marRight w:val="0"/>
      <w:marTop w:val="0"/>
      <w:marBottom w:val="0"/>
      <w:divBdr>
        <w:top w:val="none" w:sz="0" w:space="0" w:color="auto"/>
        <w:left w:val="none" w:sz="0" w:space="0" w:color="auto"/>
        <w:bottom w:val="none" w:sz="0" w:space="0" w:color="auto"/>
        <w:right w:val="none" w:sz="0" w:space="0" w:color="auto"/>
      </w:divBdr>
    </w:div>
    <w:div w:id="1776827981">
      <w:bodyDiv w:val="1"/>
      <w:marLeft w:val="0"/>
      <w:marRight w:val="0"/>
      <w:marTop w:val="0"/>
      <w:marBottom w:val="0"/>
      <w:divBdr>
        <w:top w:val="none" w:sz="0" w:space="0" w:color="auto"/>
        <w:left w:val="none" w:sz="0" w:space="0" w:color="auto"/>
        <w:bottom w:val="none" w:sz="0" w:space="0" w:color="auto"/>
        <w:right w:val="none" w:sz="0" w:space="0" w:color="auto"/>
      </w:divBdr>
    </w:div>
    <w:div w:id="177767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15302">
          <w:marLeft w:val="0"/>
          <w:marRight w:val="0"/>
          <w:marTop w:val="0"/>
          <w:marBottom w:val="0"/>
          <w:divBdr>
            <w:top w:val="none" w:sz="0" w:space="0" w:color="auto"/>
            <w:left w:val="none" w:sz="0" w:space="0" w:color="auto"/>
            <w:bottom w:val="none" w:sz="0" w:space="0" w:color="auto"/>
            <w:right w:val="none" w:sz="0" w:space="0" w:color="auto"/>
          </w:divBdr>
          <w:divsChild>
            <w:div w:id="409740510">
              <w:marLeft w:val="0"/>
              <w:marRight w:val="0"/>
              <w:marTop w:val="0"/>
              <w:marBottom w:val="0"/>
              <w:divBdr>
                <w:top w:val="none" w:sz="0" w:space="0" w:color="auto"/>
                <w:left w:val="none" w:sz="0" w:space="0" w:color="auto"/>
                <w:bottom w:val="none" w:sz="0" w:space="0" w:color="auto"/>
                <w:right w:val="none" w:sz="0" w:space="0" w:color="auto"/>
              </w:divBdr>
            </w:div>
            <w:div w:id="1994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46305">
      <w:bodyDiv w:val="1"/>
      <w:marLeft w:val="0"/>
      <w:marRight w:val="0"/>
      <w:marTop w:val="0"/>
      <w:marBottom w:val="0"/>
      <w:divBdr>
        <w:top w:val="none" w:sz="0" w:space="0" w:color="auto"/>
        <w:left w:val="none" w:sz="0" w:space="0" w:color="auto"/>
        <w:bottom w:val="none" w:sz="0" w:space="0" w:color="auto"/>
        <w:right w:val="none" w:sz="0" w:space="0" w:color="auto"/>
      </w:divBdr>
    </w:div>
    <w:div w:id="1789466845">
      <w:bodyDiv w:val="1"/>
      <w:marLeft w:val="0"/>
      <w:marRight w:val="0"/>
      <w:marTop w:val="0"/>
      <w:marBottom w:val="0"/>
      <w:divBdr>
        <w:top w:val="none" w:sz="0" w:space="0" w:color="auto"/>
        <w:left w:val="none" w:sz="0" w:space="0" w:color="auto"/>
        <w:bottom w:val="none" w:sz="0" w:space="0" w:color="auto"/>
        <w:right w:val="none" w:sz="0" w:space="0" w:color="auto"/>
      </w:divBdr>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6753994">
      <w:bodyDiv w:val="1"/>
      <w:marLeft w:val="0"/>
      <w:marRight w:val="0"/>
      <w:marTop w:val="0"/>
      <w:marBottom w:val="0"/>
      <w:divBdr>
        <w:top w:val="none" w:sz="0" w:space="0" w:color="auto"/>
        <w:left w:val="none" w:sz="0" w:space="0" w:color="auto"/>
        <w:bottom w:val="none" w:sz="0" w:space="0" w:color="auto"/>
        <w:right w:val="none" w:sz="0" w:space="0" w:color="auto"/>
      </w:divBdr>
      <w:divsChild>
        <w:div w:id="1906526119">
          <w:marLeft w:val="0"/>
          <w:marRight w:val="0"/>
          <w:marTop w:val="0"/>
          <w:marBottom w:val="0"/>
          <w:divBdr>
            <w:top w:val="none" w:sz="0" w:space="0" w:color="auto"/>
            <w:left w:val="none" w:sz="0" w:space="0" w:color="auto"/>
            <w:bottom w:val="none" w:sz="0" w:space="0" w:color="auto"/>
            <w:right w:val="none" w:sz="0" w:space="0" w:color="auto"/>
          </w:divBdr>
        </w:div>
      </w:divsChild>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1071208">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06777416">
      <w:bodyDiv w:val="1"/>
      <w:marLeft w:val="0"/>
      <w:marRight w:val="0"/>
      <w:marTop w:val="0"/>
      <w:marBottom w:val="0"/>
      <w:divBdr>
        <w:top w:val="none" w:sz="0" w:space="0" w:color="auto"/>
        <w:left w:val="none" w:sz="0" w:space="0" w:color="auto"/>
        <w:bottom w:val="none" w:sz="0" w:space="0" w:color="auto"/>
        <w:right w:val="none" w:sz="0" w:space="0" w:color="auto"/>
      </w:divBdr>
      <w:divsChild>
        <w:div w:id="878473400">
          <w:marLeft w:val="0"/>
          <w:marRight w:val="0"/>
          <w:marTop w:val="0"/>
          <w:marBottom w:val="0"/>
          <w:divBdr>
            <w:top w:val="none" w:sz="0" w:space="0" w:color="auto"/>
            <w:left w:val="none" w:sz="0" w:space="0" w:color="auto"/>
            <w:bottom w:val="none" w:sz="0" w:space="0" w:color="auto"/>
            <w:right w:val="none" w:sz="0" w:space="0" w:color="auto"/>
          </w:divBdr>
          <w:divsChild>
            <w:div w:id="636031269">
              <w:marLeft w:val="0"/>
              <w:marRight w:val="0"/>
              <w:marTop w:val="0"/>
              <w:marBottom w:val="0"/>
              <w:divBdr>
                <w:top w:val="none" w:sz="0" w:space="0" w:color="auto"/>
                <w:left w:val="none" w:sz="0" w:space="0" w:color="auto"/>
                <w:bottom w:val="none" w:sz="0" w:space="0" w:color="auto"/>
                <w:right w:val="none" w:sz="0" w:space="0" w:color="auto"/>
              </w:divBdr>
              <w:divsChild>
                <w:div w:id="990787999">
                  <w:marLeft w:val="0"/>
                  <w:marRight w:val="0"/>
                  <w:marTop w:val="0"/>
                  <w:marBottom w:val="0"/>
                  <w:divBdr>
                    <w:top w:val="none" w:sz="0" w:space="0" w:color="auto"/>
                    <w:left w:val="none" w:sz="0" w:space="0" w:color="auto"/>
                    <w:bottom w:val="none" w:sz="0" w:space="0" w:color="auto"/>
                    <w:right w:val="none" w:sz="0" w:space="0" w:color="auto"/>
                  </w:divBdr>
                  <w:divsChild>
                    <w:div w:id="2100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6405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1539483">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45901462">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4857320">
      <w:bodyDiv w:val="1"/>
      <w:marLeft w:val="0"/>
      <w:marRight w:val="0"/>
      <w:marTop w:val="0"/>
      <w:marBottom w:val="0"/>
      <w:divBdr>
        <w:top w:val="none" w:sz="0" w:space="0" w:color="auto"/>
        <w:left w:val="none" w:sz="0" w:space="0" w:color="auto"/>
        <w:bottom w:val="none" w:sz="0" w:space="0" w:color="auto"/>
        <w:right w:val="none" w:sz="0" w:space="0" w:color="auto"/>
      </w:divBdr>
    </w:div>
    <w:div w:id="1866940184">
      <w:bodyDiv w:val="1"/>
      <w:marLeft w:val="0"/>
      <w:marRight w:val="0"/>
      <w:marTop w:val="0"/>
      <w:marBottom w:val="0"/>
      <w:divBdr>
        <w:top w:val="none" w:sz="0" w:space="0" w:color="auto"/>
        <w:left w:val="none" w:sz="0" w:space="0" w:color="auto"/>
        <w:bottom w:val="none" w:sz="0" w:space="0" w:color="auto"/>
        <w:right w:val="none" w:sz="0" w:space="0" w:color="auto"/>
      </w:divBdr>
    </w:div>
    <w:div w:id="1867523954">
      <w:bodyDiv w:val="1"/>
      <w:marLeft w:val="0"/>
      <w:marRight w:val="0"/>
      <w:marTop w:val="0"/>
      <w:marBottom w:val="0"/>
      <w:divBdr>
        <w:top w:val="none" w:sz="0" w:space="0" w:color="auto"/>
        <w:left w:val="none" w:sz="0" w:space="0" w:color="auto"/>
        <w:bottom w:val="none" w:sz="0" w:space="0" w:color="auto"/>
        <w:right w:val="none" w:sz="0" w:space="0" w:color="auto"/>
      </w:divBdr>
      <w:divsChild>
        <w:div w:id="1252204489">
          <w:marLeft w:val="0"/>
          <w:marRight w:val="0"/>
          <w:marTop w:val="0"/>
          <w:marBottom w:val="0"/>
          <w:divBdr>
            <w:top w:val="none" w:sz="0" w:space="0" w:color="auto"/>
            <w:left w:val="none" w:sz="0" w:space="0" w:color="auto"/>
            <w:bottom w:val="none" w:sz="0" w:space="0" w:color="auto"/>
            <w:right w:val="none" w:sz="0" w:space="0" w:color="auto"/>
          </w:divBdr>
        </w:div>
        <w:div w:id="494733641">
          <w:marLeft w:val="0"/>
          <w:marRight w:val="0"/>
          <w:marTop w:val="0"/>
          <w:marBottom w:val="0"/>
          <w:divBdr>
            <w:top w:val="none" w:sz="0" w:space="0" w:color="auto"/>
            <w:left w:val="none" w:sz="0" w:space="0" w:color="auto"/>
            <w:bottom w:val="none" w:sz="0" w:space="0" w:color="auto"/>
            <w:right w:val="none" w:sz="0" w:space="0" w:color="auto"/>
          </w:divBdr>
          <w:divsChild>
            <w:div w:id="1764109376">
              <w:marLeft w:val="0"/>
              <w:marRight w:val="0"/>
              <w:marTop w:val="0"/>
              <w:marBottom w:val="0"/>
              <w:divBdr>
                <w:top w:val="none" w:sz="0" w:space="0" w:color="auto"/>
                <w:left w:val="none" w:sz="0" w:space="0" w:color="auto"/>
                <w:bottom w:val="none" w:sz="0" w:space="0" w:color="auto"/>
                <w:right w:val="none" w:sz="0" w:space="0" w:color="auto"/>
              </w:divBdr>
            </w:div>
          </w:divsChild>
        </w:div>
        <w:div w:id="1937667535">
          <w:marLeft w:val="0"/>
          <w:marRight w:val="0"/>
          <w:marTop w:val="0"/>
          <w:marBottom w:val="0"/>
          <w:divBdr>
            <w:top w:val="none" w:sz="0" w:space="0" w:color="auto"/>
            <w:left w:val="none" w:sz="0" w:space="0" w:color="auto"/>
            <w:bottom w:val="none" w:sz="0" w:space="0" w:color="auto"/>
            <w:right w:val="none" w:sz="0" w:space="0" w:color="auto"/>
          </w:divBdr>
          <w:divsChild>
            <w:div w:id="814376730">
              <w:marLeft w:val="0"/>
              <w:marRight w:val="0"/>
              <w:marTop w:val="0"/>
              <w:marBottom w:val="0"/>
              <w:divBdr>
                <w:top w:val="none" w:sz="0" w:space="0" w:color="auto"/>
                <w:left w:val="none" w:sz="0" w:space="0" w:color="auto"/>
                <w:bottom w:val="none" w:sz="0" w:space="0" w:color="auto"/>
                <w:right w:val="none" w:sz="0" w:space="0" w:color="auto"/>
              </w:divBdr>
            </w:div>
          </w:divsChild>
        </w:div>
        <w:div w:id="1550649739">
          <w:marLeft w:val="0"/>
          <w:marRight w:val="0"/>
          <w:marTop w:val="0"/>
          <w:marBottom w:val="0"/>
          <w:divBdr>
            <w:top w:val="none" w:sz="0" w:space="0" w:color="auto"/>
            <w:left w:val="none" w:sz="0" w:space="0" w:color="auto"/>
            <w:bottom w:val="none" w:sz="0" w:space="0" w:color="auto"/>
            <w:right w:val="none" w:sz="0" w:space="0" w:color="auto"/>
          </w:divBdr>
          <w:divsChild>
            <w:div w:id="880629919">
              <w:marLeft w:val="0"/>
              <w:marRight w:val="0"/>
              <w:marTop w:val="0"/>
              <w:marBottom w:val="0"/>
              <w:divBdr>
                <w:top w:val="none" w:sz="0" w:space="0" w:color="auto"/>
                <w:left w:val="none" w:sz="0" w:space="0" w:color="auto"/>
                <w:bottom w:val="none" w:sz="0" w:space="0" w:color="auto"/>
                <w:right w:val="none" w:sz="0" w:space="0" w:color="auto"/>
              </w:divBdr>
            </w:div>
          </w:divsChild>
        </w:div>
        <w:div w:id="327903512">
          <w:marLeft w:val="0"/>
          <w:marRight w:val="0"/>
          <w:marTop w:val="0"/>
          <w:marBottom w:val="0"/>
          <w:divBdr>
            <w:top w:val="none" w:sz="0" w:space="0" w:color="auto"/>
            <w:left w:val="none" w:sz="0" w:space="0" w:color="auto"/>
            <w:bottom w:val="none" w:sz="0" w:space="0" w:color="auto"/>
            <w:right w:val="none" w:sz="0" w:space="0" w:color="auto"/>
          </w:divBdr>
        </w:div>
      </w:divsChild>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884247697">
      <w:bodyDiv w:val="1"/>
      <w:marLeft w:val="0"/>
      <w:marRight w:val="0"/>
      <w:marTop w:val="0"/>
      <w:marBottom w:val="0"/>
      <w:divBdr>
        <w:top w:val="none" w:sz="0" w:space="0" w:color="auto"/>
        <w:left w:val="none" w:sz="0" w:space="0" w:color="auto"/>
        <w:bottom w:val="none" w:sz="0" w:space="0" w:color="auto"/>
        <w:right w:val="none" w:sz="0" w:space="0" w:color="auto"/>
      </w:divBdr>
    </w:div>
    <w:div w:id="1906792117">
      <w:bodyDiv w:val="1"/>
      <w:marLeft w:val="0"/>
      <w:marRight w:val="0"/>
      <w:marTop w:val="0"/>
      <w:marBottom w:val="0"/>
      <w:divBdr>
        <w:top w:val="none" w:sz="0" w:space="0" w:color="auto"/>
        <w:left w:val="none" w:sz="0" w:space="0" w:color="auto"/>
        <w:bottom w:val="none" w:sz="0" w:space="0" w:color="auto"/>
        <w:right w:val="none" w:sz="0" w:space="0" w:color="auto"/>
      </w:divBdr>
      <w:divsChild>
        <w:div w:id="643392868">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303848299">
          <w:marLeft w:val="0"/>
          <w:marRight w:val="0"/>
          <w:marTop w:val="0"/>
          <w:marBottom w:val="0"/>
          <w:divBdr>
            <w:top w:val="none" w:sz="0" w:space="0" w:color="auto"/>
            <w:left w:val="none" w:sz="0" w:space="0" w:color="auto"/>
            <w:bottom w:val="none" w:sz="0" w:space="0" w:color="auto"/>
            <w:right w:val="none" w:sz="0" w:space="0" w:color="auto"/>
          </w:divBdr>
        </w:div>
        <w:div w:id="159733033">
          <w:marLeft w:val="0"/>
          <w:marRight w:val="0"/>
          <w:marTop w:val="0"/>
          <w:marBottom w:val="0"/>
          <w:divBdr>
            <w:top w:val="none" w:sz="0" w:space="0" w:color="auto"/>
            <w:left w:val="none" w:sz="0" w:space="0" w:color="auto"/>
            <w:bottom w:val="none" w:sz="0" w:space="0" w:color="auto"/>
            <w:right w:val="none" w:sz="0" w:space="0" w:color="auto"/>
          </w:divBdr>
        </w:div>
        <w:div w:id="705568579">
          <w:marLeft w:val="0"/>
          <w:marRight w:val="0"/>
          <w:marTop w:val="0"/>
          <w:marBottom w:val="0"/>
          <w:divBdr>
            <w:top w:val="none" w:sz="0" w:space="0" w:color="auto"/>
            <w:left w:val="none" w:sz="0" w:space="0" w:color="auto"/>
            <w:bottom w:val="none" w:sz="0" w:space="0" w:color="auto"/>
            <w:right w:val="none" w:sz="0" w:space="0" w:color="auto"/>
          </w:divBdr>
        </w:div>
      </w:divsChild>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2736748">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41404354">
      <w:bodyDiv w:val="1"/>
      <w:marLeft w:val="0"/>
      <w:marRight w:val="0"/>
      <w:marTop w:val="0"/>
      <w:marBottom w:val="0"/>
      <w:divBdr>
        <w:top w:val="none" w:sz="0" w:space="0" w:color="auto"/>
        <w:left w:val="none" w:sz="0" w:space="0" w:color="auto"/>
        <w:bottom w:val="none" w:sz="0" w:space="0" w:color="auto"/>
        <w:right w:val="none" w:sz="0" w:space="0" w:color="auto"/>
      </w:divBdr>
      <w:divsChild>
        <w:div w:id="872156104">
          <w:marLeft w:val="0"/>
          <w:marRight w:val="0"/>
          <w:marTop w:val="0"/>
          <w:marBottom w:val="0"/>
          <w:divBdr>
            <w:top w:val="none" w:sz="0" w:space="0" w:color="auto"/>
            <w:left w:val="none" w:sz="0" w:space="0" w:color="auto"/>
            <w:bottom w:val="none" w:sz="0" w:space="0" w:color="auto"/>
            <w:right w:val="none" w:sz="0" w:space="0" w:color="auto"/>
          </w:divBdr>
          <w:divsChild>
            <w:div w:id="1985967145">
              <w:marLeft w:val="0"/>
              <w:marRight w:val="0"/>
              <w:marTop w:val="0"/>
              <w:marBottom w:val="0"/>
              <w:divBdr>
                <w:top w:val="none" w:sz="0" w:space="0" w:color="auto"/>
                <w:left w:val="none" w:sz="0" w:space="0" w:color="auto"/>
                <w:bottom w:val="none" w:sz="0" w:space="0" w:color="auto"/>
                <w:right w:val="none" w:sz="0" w:space="0" w:color="auto"/>
              </w:divBdr>
            </w:div>
            <w:div w:id="17496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555">
      <w:bodyDiv w:val="1"/>
      <w:marLeft w:val="0"/>
      <w:marRight w:val="0"/>
      <w:marTop w:val="0"/>
      <w:marBottom w:val="0"/>
      <w:divBdr>
        <w:top w:val="none" w:sz="0" w:space="0" w:color="auto"/>
        <w:left w:val="none" w:sz="0" w:space="0" w:color="auto"/>
        <w:bottom w:val="none" w:sz="0" w:space="0" w:color="auto"/>
        <w:right w:val="none" w:sz="0" w:space="0" w:color="auto"/>
      </w:divBdr>
      <w:divsChild>
        <w:div w:id="1618832351">
          <w:marLeft w:val="0"/>
          <w:marRight w:val="0"/>
          <w:marTop w:val="0"/>
          <w:marBottom w:val="0"/>
          <w:divBdr>
            <w:top w:val="none" w:sz="0" w:space="0" w:color="auto"/>
            <w:left w:val="none" w:sz="0" w:space="0" w:color="auto"/>
            <w:bottom w:val="none" w:sz="0" w:space="0" w:color="auto"/>
            <w:right w:val="none" w:sz="0" w:space="0" w:color="auto"/>
          </w:divBdr>
          <w:divsChild>
            <w:div w:id="438573280">
              <w:marLeft w:val="0"/>
              <w:marRight w:val="0"/>
              <w:marTop w:val="0"/>
              <w:marBottom w:val="0"/>
              <w:divBdr>
                <w:top w:val="none" w:sz="0" w:space="0" w:color="auto"/>
                <w:left w:val="none" w:sz="0" w:space="0" w:color="auto"/>
                <w:bottom w:val="none" w:sz="0" w:space="0" w:color="auto"/>
                <w:right w:val="none" w:sz="0" w:space="0" w:color="auto"/>
              </w:divBdr>
              <w:divsChild>
                <w:div w:id="371198100">
                  <w:marLeft w:val="0"/>
                  <w:marRight w:val="0"/>
                  <w:marTop w:val="0"/>
                  <w:marBottom w:val="0"/>
                  <w:divBdr>
                    <w:top w:val="none" w:sz="0" w:space="0" w:color="auto"/>
                    <w:left w:val="none" w:sz="0" w:space="0" w:color="auto"/>
                    <w:bottom w:val="none" w:sz="0" w:space="0" w:color="auto"/>
                    <w:right w:val="none" w:sz="0" w:space="0" w:color="auto"/>
                  </w:divBdr>
                  <w:divsChild>
                    <w:div w:id="9152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1238">
      <w:bodyDiv w:val="1"/>
      <w:marLeft w:val="0"/>
      <w:marRight w:val="0"/>
      <w:marTop w:val="0"/>
      <w:marBottom w:val="0"/>
      <w:divBdr>
        <w:top w:val="none" w:sz="0" w:space="0" w:color="auto"/>
        <w:left w:val="none" w:sz="0" w:space="0" w:color="auto"/>
        <w:bottom w:val="none" w:sz="0" w:space="0" w:color="auto"/>
        <w:right w:val="none" w:sz="0" w:space="0" w:color="auto"/>
      </w:divBdr>
    </w:div>
    <w:div w:id="1952276439">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67008671">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2000964369">
      <w:bodyDiv w:val="1"/>
      <w:marLeft w:val="0"/>
      <w:marRight w:val="0"/>
      <w:marTop w:val="0"/>
      <w:marBottom w:val="0"/>
      <w:divBdr>
        <w:top w:val="none" w:sz="0" w:space="0" w:color="auto"/>
        <w:left w:val="none" w:sz="0" w:space="0" w:color="auto"/>
        <w:bottom w:val="none" w:sz="0" w:space="0" w:color="auto"/>
        <w:right w:val="none" w:sz="0" w:space="0" w:color="auto"/>
      </w:divBdr>
    </w:div>
    <w:div w:id="2007396015">
      <w:bodyDiv w:val="1"/>
      <w:marLeft w:val="0"/>
      <w:marRight w:val="0"/>
      <w:marTop w:val="0"/>
      <w:marBottom w:val="0"/>
      <w:divBdr>
        <w:top w:val="none" w:sz="0" w:space="0" w:color="auto"/>
        <w:left w:val="none" w:sz="0" w:space="0" w:color="auto"/>
        <w:bottom w:val="none" w:sz="0" w:space="0" w:color="auto"/>
        <w:right w:val="none" w:sz="0" w:space="0" w:color="auto"/>
      </w:divBdr>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09597345">
      <w:bodyDiv w:val="1"/>
      <w:marLeft w:val="0"/>
      <w:marRight w:val="0"/>
      <w:marTop w:val="0"/>
      <w:marBottom w:val="0"/>
      <w:divBdr>
        <w:top w:val="none" w:sz="0" w:space="0" w:color="auto"/>
        <w:left w:val="none" w:sz="0" w:space="0" w:color="auto"/>
        <w:bottom w:val="none" w:sz="0" w:space="0" w:color="auto"/>
        <w:right w:val="none" w:sz="0" w:space="0" w:color="auto"/>
      </w:divBdr>
    </w:div>
    <w:div w:id="2012828402">
      <w:bodyDiv w:val="1"/>
      <w:marLeft w:val="0"/>
      <w:marRight w:val="0"/>
      <w:marTop w:val="0"/>
      <w:marBottom w:val="0"/>
      <w:divBdr>
        <w:top w:val="none" w:sz="0" w:space="0" w:color="auto"/>
        <w:left w:val="none" w:sz="0" w:space="0" w:color="auto"/>
        <w:bottom w:val="none" w:sz="0" w:space="0" w:color="auto"/>
        <w:right w:val="none" w:sz="0" w:space="0" w:color="auto"/>
      </w:divBdr>
    </w:div>
    <w:div w:id="2017071947">
      <w:bodyDiv w:val="1"/>
      <w:marLeft w:val="0"/>
      <w:marRight w:val="0"/>
      <w:marTop w:val="0"/>
      <w:marBottom w:val="0"/>
      <w:divBdr>
        <w:top w:val="none" w:sz="0" w:space="0" w:color="auto"/>
        <w:left w:val="none" w:sz="0" w:space="0" w:color="auto"/>
        <w:bottom w:val="none" w:sz="0" w:space="0" w:color="auto"/>
        <w:right w:val="none" w:sz="0" w:space="0" w:color="auto"/>
      </w:divBdr>
    </w:div>
    <w:div w:id="2031056508">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86803058">
      <w:bodyDiv w:val="1"/>
      <w:marLeft w:val="0"/>
      <w:marRight w:val="0"/>
      <w:marTop w:val="0"/>
      <w:marBottom w:val="0"/>
      <w:divBdr>
        <w:top w:val="none" w:sz="0" w:space="0" w:color="auto"/>
        <w:left w:val="none" w:sz="0" w:space="0" w:color="auto"/>
        <w:bottom w:val="none" w:sz="0" w:space="0" w:color="auto"/>
        <w:right w:val="none" w:sz="0" w:space="0" w:color="auto"/>
      </w:divBdr>
      <w:divsChild>
        <w:div w:id="177240049">
          <w:marLeft w:val="0"/>
          <w:marRight w:val="0"/>
          <w:marTop w:val="0"/>
          <w:marBottom w:val="0"/>
          <w:divBdr>
            <w:top w:val="none" w:sz="0" w:space="0" w:color="auto"/>
            <w:left w:val="none" w:sz="0" w:space="0" w:color="auto"/>
            <w:bottom w:val="none" w:sz="0" w:space="0" w:color="auto"/>
            <w:right w:val="none" w:sz="0" w:space="0" w:color="auto"/>
          </w:divBdr>
          <w:divsChild>
            <w:div w:id="1581257025">
              <w:marLeft w:val="0"/>
              <w:marRight w:val="0"/>
              <w:marTop w:val="0"/>
              <w:marBottom w:val="0"/>
              <w:divBdr>
                <w:top w:val="none" w:sz="0" w:space="0" w:color="auto"/>
                <w:left w:val="none" w:sz="0" w:space="0" w:color="auto"/>
                <w:bottom w:val="none" w:sz="0" w:space="0" w:color="auto"/>
                <w:right w:val="none" w:sz="0" w:space="0" w:color="auto"/>
              </w:divBdr>
              <w:divsChild>
                <w:div w:id="8104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2954">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095398012">
      <w:bodyDiv w:val="1"/>
      <w:marLeft w:val="0"/>
      <w:marRight w:val="0"/>
      <w:marTop w:val="0"/>
      <w:marBottom w:val="0"/>
      <w:divBdr>
        <w:top w:val="none" w:sz="0" w:space="0" w:color="auto"/>
        <w:left w:val="none" w:sz="0" w:space="0" w:color="auto"/>
        <w:bottom w:val="none" w:sz="0" w:space="0" w:color="auto"/>
        <w:right w:val="none" w:sz="0" w:space="0" w:color="auto"/>
      </w:divBdr>
    </w:div>
    <w:div w:id="2098744137">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13233147">
      <w:bodyDiv w:val="1"/>
      <w:marLeft w:val="0"/>
      <w:marRight w:val="0"/>
      <w:marTop w:val="0"/>
      <w:marBottom w:val="0"/>
      <w:divBdr>
        <w:top w:val="none" w:sz="0" w:space="0" w:color="auto"/>
        <w:left w:val="none" w:sz="0" w:space="0" w:color="auto"/>
        <w:bottom w:val="none" w:sz="0" w:space="0" w:color="auto"/>
        <w:right w:val="none" w:sz="0" w:space="0" w:color="auto"/>
      </w:divBdr>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56">
      <w:bodyDiv w:val="1"/>
      <w:marLeft w:val="0"/>
      <w:marRight w:val="0"/>
      <w:marTop w:val="0"/>
      <w:marBottom w:val="0"/>
      <w:divBdr>
        <w:top w:val="none" w:sz="0" w:space="0" w:color="auto"/>
        <w:left w:val="none" w:sz="0" w:space="0" w:color="auto"/>
        <w:bottom w:val="none" w:sz="0" w:space="0" w:color="auto"/>
        <w:right w:val="none" w:sz="0" w:space="0" w:color="auto"/>
      </w:divBdr>
    </w:div>
    <w:div w:id="2132741930">
      <w:bodyDiv w:val="1"/>
      <w:marLeft w:val="0"/>
      <w:marRight w:val="0"/>
      <w:marTop w:val="0"/>
      <w:marBottom w:val="0"/>
      <w:divBdr>
        <w:top w:val="none" w:sz="0" w:space="0" w:color="auto"/>
        <w:left w:val="none" w:sz="0" w:space="0" w:color="auto"/>
        <w:bottom w:val="none" w:sz="0" w:space="0" w:color="auto"/>
        <w:right w:val="none" w:sz="0" w:space="0" w:color="auto"/>
      </w:divBdr>
    </w:div>
    <w:div w:id="2133672778">
      <w:bodyDiv w:val="1"/>
      <w:marLeft w:val="0"/>
      <w:marRight w:val="0"/>
      <w:marTop w:val="0"/>
      <w:marBottom w:val="0"/>
      <w:divBdr>
        <w:top w:val="none" w:sz="0" w:space="0" w:color="auto"/>
        <w:left w:val="none" w:sz="0" w:space="0" w:color="auto"/>
        <w:bottom w:val="none" w:sz="0" w:space="0" w:color="auto"/>
        <w:right w:val="none" w:sz="0" w:space="0" w:color="auto"/>
      </w:divBdr>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senado.gov.co/senado/basedoc/ley_0080_199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3" ma:contentTypeDescription="Crear nuevo documento." ma:contentTypeScope="" ma:versionID="5ce307a3737c73d7fc56b8c56af85e2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423b5beffdcd85b5c8f742a4950b070b"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AACCB-338D-4E1C-91B3-8763C3BB18FA}">
  <ds:schemaRefs>
    <ds:schemaRef ds:uri="http://schemas.microsoft.com/sharepoint/v3/contenttype/forms"/>
  </ds:schemaRefs>
</ds:datastoreItem>
</file>

<file path=customXml/itemProps2.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customXml/itemProps3.xml><?xml version="1.0" encoding="utf-8"?>
<ds:datastoreItem xmlns:ds="http://schemas.openxmlformats.org/officeDocument/2006/customXml" ds:itemID="{9954531C-F8FA-4A4B-8B7E-131AA65877B3}"/>
</file>

<file path=customXml/itemProps4.xml><?xml version="1.0" encoding="utf-8"?>
<ds:datastoreItem xmlns:ds="http://schemas.openxmlformats.org/officeDocument/2006/customXml" ds:itemID="{5477A80C-57D2-4BA9-A1C6-5314B145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Respuesta a consultas</Template>
  <TotalTime>0</TotalTime>
  <Pages>9</Pages>
  <Words>3346</Words>
  <Characters>18407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21710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nina padron</cp:lastModifiedBy>
  <cp:revision>2</cp:revision>
  <cp:lastPrinted>2021-01-20T13:01:00Z</cp:lastPrinted>
  <dcterms:created xsi:type="dcterms:W3CDTF">2021-06-09T23:17:00Z</dcterms:created>
  <dcterms:modified xsi:type="dcterms:W3CDTF">2021-06-09T23:17:00Z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