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FBD910" w14:textId="77777777" w:rsidR="008536BB" w:rsidRPr="00AC7A12" w:rsidRDefault="008536BB" w:rsidP="00B95C30">
      <w:pPr>
        <w:spacing w:line="276" w:lineRule="auto"/>
        <w:jc w:val="both"/>
        <w:rPr>
          <w:rFonts w:ascii="Arial" w:hAnsi="Arial" w:cs="Arial"/>
          <w:noProof/>
          <w:color w:val="000000" w:themeColor="text1"/>
          <w:sz w:val="22"/>
          <w:lang w:val="es-ES_tradnl"/>
        </w:rPr>
      </w:pPr>
    </w:p>
    <w:p w14:paraId="6EC3A91B" w14:textId="77777777" w:rsidR="00B016FF" w:rsidRPr="00E516C6" w:rsidRDefault="00B016FF" w:rsidP="00B016FF">
      <w:pPr>
        <w:jc w:val="center"/>
        <w:rPr>
          <w:rFonts w:ascii="Arial" w:eastAsia="Calibri" w:hAnsi="Arial" w:cs="Arial"/>
          <w:b/>
          <w:noProof/>
          <w:sz w:val="20"/>
          <w:szCs w:val="20"/>
          <w:lang w:val="es-ES_tradnl"/>
        </w:rPr>
      </w:pPr>
    </w:p>
    <w:p w14:paraId="633B7534" w14:textId="69AD2E1D" w:rsidR="00B016FF" w:rsidRPr="00B016FF" w:rsidRDefault="00B016FF" w:rsidP="00B016FF">
      <w:pPr>
        <w:jc w:val="both"/>
        <w:rPr>
          <w:rFonts w:ascii="Arial" w:eastAsia="Calibri" w:hAnsi="Arial" w:cs="Arial"/>
          <w:b/>
          <w:sz w:val="22"/>
          <w:szCs w:val="22"/>
        </w:rPr>
      </w:pPr>
      <w:r w:rsidRPr="00B016FF">
        <w:rPr>
          <w:rFonts w:ascii="Arial" w:eastAsia="Calibri" w:hAnsi="Arial" w:cs="Arial"/>
          <w:b/>
          <w:sz w:val="22"/>
          <w:szCs w:val="22"/>
        </w:rPr>
        <w:t>REGISTRO ÚNICO DE PROPONENETES</w:t>
      </w:r>
      <w:r w:rsidR="0084246E">
        <w:rPr>
          <w:rFonts w:ascii="Arial" w:eastAsia="Calibri" w:hAnsi="Arial" w:cs="Arial"/>
          <w:b/>
          <w:sz w:val="22"/>
          <w:szCs w:val="22"/>
        </w:rPr>
        <w:t xml:space="preserve"> </w:t>
      </w:r>
      <w:r w:rsidR="00353073">
        <w:rPr>
          <w:rFonts w:ascii="Arial" w:eastAsia="Calibri" w:hAnsi="Arial" w:cs="Arial"/>
          <w:b/>
          <w:sz w:val="22"/>
          <w:szCs w:val="22"/>
        </w:rPr>
        <w:t>–</w:t>
      </w:r>
      <w:r w:rsidRPr="00B016FF">
        <w:rPr>
          <w:rFonts w:ascii="Arial" w:eastAsia="Calibri" w:hAnsi="Arial" w:cs="Arial"/>
          <w:b/>
          <w:sz w:val="22"/>
          <w:szCs w:val="22"/>
        </w:rPr>
        <w:t xml:space="preserve"> Contenido</w:t>
      </w:r>
    </w:p>
    <w:p w14:paraId="7B0C4A97" w14:textId="77777777" w:rsidR="00B016FF" w:rsidRPr="001B4E06" w:rsidRDefault="00B016FF" w:rsidP="00B016FF">
      <w:pPr>
        <w:jc w:val="both"/>
        <w:rPr>
          <w:rFonts w:ascii="Arial" w:eastAsia="Calibri" w:hAnsi="Arial" w:cs="Arial"/>
          <w:b/>
          <w:bCs/>
          <w:highlight w:val="yellow"/>
        </w:rPr>
      </w:pPr>
    </w:p>
    <w:p w14:paraId="43C52243" w14:textId="77777777" w:rsidR="008E57E0" w:rsidRPr="008E57E0" w:rsidRDefault="008E57E0" w:rsidP="008E57E0">
      <w:pPr>
        <w:jc w:val="both"/>
        <w:rPr>
          <w:rFonts w:ascii="Arial" w:eastAsia="Calibri" w:hAnsi="Arial" w:cs="Arial"/>
          <w:color w:val="000000" w:themeColor="text1"/>
          <w:sz w:val="20"/>
          <w:szCs w:val="20"/>
          <w:lang w:val="es-ES_tradnl"/>
        </w:rPr>
      </w:pPr>
      <w:r w:rsidRPr="008E57E0">
        <w:rPr>
          <w:rFonts w:ascii="Arial" w:eastAsia="Calibri" w:hAnsi="Arial" w:cs="Arial"/>
          <w:color w:val="000000" w:themeColor="text1"/>
          <w:sz w:val="20"/>
          <w:szCs w:val="20"/>
          <w:lang w:val="es-ES_tradnl"/>
        </w:rPr>
        <w:t xml:space="preserve">El Registro Único de Proponentes –RUP– contiene información relacionada con las personas naturales y jurídicas que aspiran a celebrar contratos con las entidades estatales. Este registro tiene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219688FB" w14:textId="3FDE0726" w:rsidR="00B016FF" w:rsidRDefault="00B016FF" w:rsidP="00B016FF">
      <w:pPr>
        <w:jc w:val="both"/>
        <w:rPr>
          <w:rFonts w:ascii="Arial" w:eastAsia="Calibri" w:hAnsi="Arial" w:cs="Arial"/>
          <w:sz w:val="20"/>
          <w:szCs w:val="20"/>
          <w:lang w:val="es-MX"/>
        </w:rPr>
      </w:pPr>
      <w:r w:rsidRPr="00931BA4">
        <w:rPr>
          <w:rFonts w:ascii="Arial" w:eastAsia="Calibri" w:hAnsi="Arial"/>
          <w:color w:val="000000"/>
          <w:sz w:val="20"/>
          <w:szCs w:val="20"/>
          <w:lang w:val="es-MX"/>
        </w:rPr>
        <w:t>.</w:t>
      </w:r>
    </w:p>
    <w:p w14:paraId="7E8B6D92" w14:textId="77777777" w:rsidR="00B016FF" w:rsidRDefault="00B016FF" w:rsidP="00C978D4">
      <w:pPr>
        <w:jc w:val="both"/>
        <w:rPr>
          <w:rFonts w:ascii="Arial" w:eastAsia="Calibri" w:hAnsi="Arial" w:cs="Arial"/>
          <w:b/>
          <w:sz w:val="22"/>
          <w:lang w:val="es-MX"/>
        </w:rPr>
      </w:pPr>
    </w:p>
    <w:p w14:paraId="6ADC901E" w14:textId="2EF816B2" w:rsidR="009D163B" w:rsidRPr="00AC7A12" w:rsidRDefault="00276230" w:rsidP="00C978D4">
      <w:pPr>
        <w:jc w:val="both"/>
        <w:rPr>
          <w:rFonts w:ascii="Arial" w:eastAsia="Calibri" w:hAnsi="Arial" w:cs="Arial"/>
          <w:b/>
          <w:sz w:val="22"/>
          <w:lang w:val="es-ES_tradnl"/>
        </w:rPr>
      </w:pPr>
      <w:r w:rsidRPr="00AC7A12">
        <w:rPr>
          <w:rFonts w:ascii="Arial" w:eastAsia="Calibri" w:hAnsi="Arial" w:cs="Arial"/>
          <w:b/>
          <w:sz w:val="22"/>
          <w:lang w:val="es-ES_tradnl"/>
        </w:rPr>
        <w:t>CAPACIDAD FINANCIERA</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Concepto</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Requisito habilitante</w:t>
      </w:r>
    </w:p>
    <w:p w14:paraId="36CE69AD" w14:textId="3E3BBBB8" w:rsidR="009D163B" w:rsidRPr="00AC7A12" w:rsidRDefault="009D163B" w:rsidP="00C978D4">
      <w:pPr>
        <w:jc w:val="both"/>
        <w:rPr>
          <w:rFonts w:ascii="Arial" w:eastAsia="Calibri" w:hAnsi="Arial" w:cs="Arial"/>
          <w:b/>
          <w:sz w:val="22"/>
          <w:lang w:val="es-ES_tradnl"/>
        </w:rPr>
      </w:pPr>
    </w:p>
    <w:p w14:paraId="149D5551" w14:textId="761C399A" w:rsidR="009D163B" w:rsidRPr="00AC7A12" w:rsidRDefault="00276230" w:rsidP="00C978D4">
      <w:pPr>
        <w:jc w:val="both"/>
        <w:rPr>
          <w:rFonts w:ascii="Arial" w:eastAsia="Calibri" w:hAnsi="Arial" w:cs="Arial"/>
          <w:b/>
          <w:sz w:val="22"/>
          <w:lang w:val="es-ES_tradnl"/>
        </w:rPr>
      </w:pPr>
      <w:r w:rsidRPr="00AC7A12">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AC7A12"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AC7A12" w:rsidRDefault="00C031B7" w:rsidP="00C031B7">
      <w:pPr>
        <w:jc w:val="both"/>
        <w:rPr>
          <w:rFonts w:ascii="Arial" w:eastAsia="Calibri" w:hAnsi="Arial" w:cs="Arial"/>
          <w:b/>
          <w:sz w:val="22"/>
          <w:lang w:val="es-ES_tradnl"/>
        </w:rPr>
      </w:pPr>
      <w:r w:rsidRPr="00AC7A12">
        <w:rPr>
          <w:rFonts w:ascii="Arial" w:eastAsia="Calibri" w:hAnsi="Arial" w:cs="Arial"/>
          <w:b/>
          <w:sz w:val="22"/>
          <w:lang w:val="es-ES_tradnl"/>
        </w:rPr>
        <w:t>CAPACIDAD ORGANIZACIONAL – Concepto – Requisito habilitante</w:t>
      </w:r>
    </w:p>
    <w:p w14:paraId="205F5C0B" w14:textId="77777777" w:rsidR="00C031B7" w:rsidRPr="00AC7A12" w:rsidRDefault="00C031B7" w:rsidP="00C031B7">
      <w:pPr>
        <w:jc w:val="both"/>
        <w:rPr>
          <w:rFonts w:ascii="Arial" w:eastAsia="Calibri" w:hAnsi="Arial" w:cs="Arial"/>
          <w:b/>
          <w:sz w:val="22"/>
          <w:lang w:val="es-ES_tradnl"/>
        </w:rPr>
      </w:pPr>
    </w:p>
    <w:p w14:paraId="03A0E2CB" w14:textId="080B68F6" w:rsidR="00C031B7" w:rsidRPr="00AC7A12" w:rsidRDefault="00C031B7" w:rsidP="00C031B7">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AC7A12"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AC7A12" w:rsidRDefault="00F63E4E" w:rsidP="00F63E4E">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w:t>
      </w:r>
      <w:r w:rsidR="00D518E8" w:rsidRPr="00AC7A12">
        <w:rPr>
          <w:rFonts w:ascii="Arial" w:eastAsia="Calibri" w:hAnsi="Arial" w:cs="Arial"/>
          <w:b/>
          <w:sz w:val="22"/>
          <w:lang w:val="es-ES_tradnl"/>
        </w:rPr>
        <w:t>Finalidad</w:t>
      </w:r>
      <w:r w:rsidRPr="00AC7A12">
        <w:rPr>
          <w:rFonts w:ascii="Arial" w:eastAsia="Calibri" w:hAnsi="Arial" w:cs="Arial"/>
          <w:b/>
          <w:sz w:val="22"/>
          <w:lang w:val="es-ES_tradnl"/>
        </w:rPr>
        <w:t xml:space="preserve"> – </w:t>
      </w:r>
      <w:r w:rsidR="00D518E8" w:rsidRPr="00AC7A12">
        <w:rPr>
          <w:rFonts w:ascii="Arial" w:eastAsia="Calibri" w:hAnsi="Arial" w:cs="Arial"/>
          <w:b/>
          <w:sz w:val="22"/>
          <w:lang w:val="es-ES_tradnl"/>
        </w:rPr>
        <w:t>Reactivación económica</w:t>
      </w:r>
    </w:p>
    <w:p w14:paraId="1019E42A" w14:textId="051FED4C" w:rsidR="00F63E4E" w:rsidRPr="00AC7A12"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AC7A12" w:rsidRDefault="00D518E8" w:rsidP="00D518E8">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AC7A12" w:rsidRDefault="00D518E8" w:rsidP="00B95C30">
      <w:pPr>
        <w:spacing w:line="276" w:lineRule="auto"/>
        <w:jc w:val="both"/>
        <w:rPr>
          <w:rFonts w:ascii="Arial" w:hAnsi="Arial" w:cs="Arial"/>
          <w:noProof/>
          <w:color w:val="000000" w:themeColor="text1"/>
          <w:sz w:val="22"/>
          <w:lang w:val="es-ES_tradnl"/>
        </w:rPr>
      </w:pPr>
    </w:p>
    <w:p w14:paraId="012E6FB9" w14:textId="4921415E" w:rsidR="00843187" w:rsidRPr="00AC7A12" w:rsidRDefault="00843187" w:rsidP="00843187">
      <w:pPr>
        <w:jc w:val="both"/>
        <w:rPr>
          <w:rFonts w:ascii="Arial" w:eastAsia="Calibri" w:hAnsi="Arial" w:cs="Arial"/>
          <w:b/>
          <w:sz w:val="22"/>
          <w:lang w:val="es-ES_tradnl"/>
        </w:rPr>
      </w:pPr>
      <w:r w:rsidRPr="00AC7A12">
        <w:rPr>
          <w:rFonts w:ascii="Arial" w:eastAsia="Calibri" w:hAnsi="Arial" w:cs="Arial"/>
          <w:b/>
          <w:sz w:val="22"/>
          <w:lang w:val="es-ES_tradnl"/>
        </w:rPr>
        <w:t>DECRETO 399 DE 2021 – Información – Capacidad financiera – Capacidad organizacional</w:t>
      </w:r>
      <w:r w:rsidR="00400D02">
        <w:rPr>
          <w:rFonts w:ascii="Arial" w:eastAsia="Calibri" w:hAnsi="Arial" w:cs="Arial"/>
          <w:b/>
          <w:sz w:val="22"/>
          <w:lang w:val="es-ES_tradnl"/>
        </w:rPr>
        <w:t xml:space="preserve"> – </w:t>
      </w:r>
      <w:proofErr w:type="spellStart"/>
      <w:r w:rsidR="00400D02">
        <w:rPr>
          <w:rFonts w:ascii="Arial" w:eastAsia="Calibri" w:hAnsi="Arial" w:cs="Arial"/>
          <w:b/>
          <w:sz w:val="22"/>
          <w:lang w:val="es-ES_tradnl"/>
        </w:rPr>
        <w:t>Rup</w:t>
      </w:r>
      <w:proofErr w:type="spellEnd"/>
    </w:p>
    <w:p w14:paraId="06C81509" w14:textId="6B026623" w:rsidR="00D518E8" w:rsidRPr="00AC7A12"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w:t>
      </w:r>
      <w:r w:rsidRPr="00AC7A12">
        <w:rPr>
          <w:rFonts w:ascii="Arial" w:eastAsia="Calibri" w:hAnsi="Arial" w:cs="Arial"/>
          <w:color w:val="000000" w:themeColor="text1"/>
          <w:sz w:val="20"/>
          <w:szCs w:val="20"/>
          <w:lang w:val="es-ES_tradnl"/>
        </w:rPr>
        <w:lastRenderedPageBreak/>
        <w:t>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561539C6" w14:textId="77777777" w:rsidR="002872EE" w:rsidRPr="00AC7A12"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AC7A12" w:rsidRDefault="00F254C7" w:rsidP="00F254C7">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Indicadores – Capacidad financiera – Capacidad organizacional </w:t>
      </w:r>
      <w:r w:rsidR="009938C1" w:rsidRPr="00AC7A12">
        <w:rPr>
          <w:rFonts w:ascii="Arial" w:eastAsia="Calibri" w:hAnsi="Arial" w:cs="Arial"/>
          <w:b/>
          <w:sz w:val="22"/>
          <w:lang w:val="es-ES_tradnl"/>
        </w:rPr>
        <w:t>– Período</w:t>
      </w:r>
    </w:p>
    <w:p w14:paraId="39ED5256" w14:textId="14966727" w:rsidR="00D518E8" w:rsidRPr="00AC7A12"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0"/>
          <w:szCs w:val="20"/>
          <w:lang w:val="es-ES_tradnl"/>
        </w:rPr>
        <w:t>c</w:t>
      </w:r>
      <w:r w:rsidRPr="00AC7A12">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AC7A12"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AC7A12" w:rsidRDefault="00BE7539" w:rsidP="00BE7539">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 399 – Capacidad financiera – Capacidad organizacional – Interpretación</w:t>
      </w:r>
    </w:p>
    <w:p w14:paraId="6B331A45" w14:textId="608A8EBC" w:rsidR="00BE7539" w:rsidRPr="00AC7A12" w:rsidRDefault="00BE7539" w:rsidP="00B95C30">
      <w:pPr>
        <w:spacing w:line="276" w:lineRule="auto"/>
        <w:jc w:val="both"/>
        <w:rPr>
          <w:rFonts w:ascii="Arial" w:hAnsi="Arial" w:cs="Arial"/>
          <w:noProof/>
          <w:color w:val="000000" w:themeColor="text1"/>
          <w:sz w:val="22"/>
          <w:lang w:val="es-ES_tradnl"/>
        </w:rPr>
      </w:pPr>
    </w:p>
    <w:p w14:paraId="0D452AAD" w14:textId="2093F152"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AC7A12">
        <w:rPr>
          <w:rFonts w:ascii="Arial" w:hAnsi="Arial" w:cs="Arial"/>
          <w:color w:val="000000" w:themeColor="text1"/>
          <w:sz w:val="20"/>
          <w:szCs w:val="20"/>
          <w:lang w:val="es-ES_tradnl"/>
        </w:rPr>
        <w:t>otro</w:t>
      </w:r>
      <w:r w:rsidRPr="00AC7A12">
        <w:rPr>
          <w:rFonts w:ascii="Arial" w:hAnsi="Arial" w:cs="Arial"/>
          <w:color w:val="000000" w:themeColor="text1"/>
          <w:sz w:val="20"/>
          <w:szCs w:val="20"/>
          <w:lang w:val="es-ES_tradnl"/>
        </w:rPr>
        <w:t xml:space="preserve"> </w:t>
      </w:r>
      <w:r w:rsidR="00BD36D0" w:rsidRPr="00AC7A12">
        <w:rPr>
          <w:rFonts w:ascii="Arial" w:hAnsi="Arial" w:cs="Arial"/>
          <w:color w:val="000000" w:themeColor="text1"/>
          <w:sz w:val="20"/>
          <w:szCs w:val="20"/>
          <w:lang w:val="es-ES_tradnl"/>
        </w:rPr>
        <w:t>modo</w:t>
      </w:r>
      <w:r w:rsidRPr="00AC7A12">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AC7A12" w:rsidRDefault="00E67B5A" w:rsidP="00E67B5A">
      <w:pPr>
        <w:jc w:val="both"/>
        <w:rPr>
          <w:rFonts w:ascii="Arial" w:hAnsi="Arial" w:cs="Arial"/>
          <w:color w:val="000000" w:themeColor="text1"/>
          <w:sz w:val="20"/>
          <w:szCs w:val="20"/>
          <w:lang w:val="es-ES_tradnl"/>
        </w:rPr>
      </w:pPr>
    </w:p>
    <w:p w14:paraId="613DDE86" w14:textId="42169160"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083D7E96" w14:textId="0DB93C81" w:rsidR="00E67B5A" w:rsidRPr="00AC7A12" w:rsidRDefault="00E67B5A" w:rsidP="00B95C30">
      <w:pPr>
        <w:spacing w:line="276" w:lineRule="auto"/>
        <w:jc w:val="both"/>
        <w:rPr>
          <w:rFonts w:ascii="Arial" w:hAnsi="Arial" w:cs="Arial"/>
          <w:noProof/>
          <w:color w:val="000000" w:themeColor="text1"/>
          <w:sz w:val="22"/>
          <w:lang w:val="es-ES_tradnl"/>
        </w:rPr>
      </w:pPr>
    </w:p>
    <w:p w14:paraId="31191EFA" w14:textId="77777777" w:rsidR="004273B9" w:rsidRPr="00AC7A12" w:rsidRDefault="004273B9" w:rsidP="004273B9">
      <w:pPr>
        <w:jc w:val="both"/>
        <w:rPr>
          <w:rFonts w:ascii="Arial" w:eastAsia="Calibri" w:hAnsi="Arial" w:cs="Arial"/>
          <w:color w:val="000000" w:themeColor="text1"/>
          <w:sz w:val="20"/>
          <w:szCs w:val="20"/>
          <w:lang w:val="es-ES_tradnl"/>
        </w:rPr>
      </w:pPr>
    </w:p>
    <w:p w14:paraId="0D07B736" w14:textId="41A6314F" w:rsidR="004273B9" w:rsidRPr="00AC7A12" w:rsidRDefault="004273B9" w:rsidP="00B95C30">
      <w:pPr>
        <w:spacing w:line="276" w:lineRule="auto"/>
        <w:jc w:val="both"/>
        <w:rPr>
          <w:rFonts w:ascii="Arial" w:hAnsi="Arial" w:cs="Arial"/>
          <w:noProof/>
          <w:color w:val="000000" w:themeColor="text1"/>
          <w:sz w:val="22"/>
          <w:lang w:val="es-ES_tradnl"/>
        </w:rPr>
      </w:pPr>
    </w:p>
    <w:p w14:paraId="1FBE7F6B" w14:textId="62C21936" w:rsidR="00F101AF" w:rsidRDefault="00F101AF" w:rsidP="00B95C30">
      <w:pPr>
        <w:spacing w:line="276" w:lineRule="auto"/>
        <w:jc w:val="both"/>
        <w:rPr>
          <w:rFonts w:ascii="Arial" w:hAnsi="Arial" w:cs="Arial"/>
          <w:noProof/>
          <w:color w:val="000000" w:themeColor="text1"/>
          <w:sz w:val="22"/>
          <w:lang w:val="es-ES_tradnl"/>
        </w:rPr>
      </w:pPr>
    </w:p>
    <w:p w14:paraId="5FDFEC47" w14:textId="2FC7C1DA" w:rsidR="009204BC" w:rsidRDefault="009204BC" w:rsidP="009204BC">
      <w:pPr>
        <w:spacing w:line="276" w:lineRule="auto"/>
        <w:jc w:val="right"/>
        <w:rPr>
          <w:rFonts w:ascii="Arial" w:hAnsi="Arial" w:cs="Arial"/>
          <w:noProof/>
          <w:color w:val="000000" w:themeColor="text1"/>
          <w:sz w:val="22"/>
          <w:lang w:val="es-ES_tradnl"/>
        </w:rPr>
      </w:pPr>
      <w:bookmarkStart w:id="2" w:name="_Hlk78365749"/>
      <w:r>
        <w:rPr>
          <w:noProof/>
          <w:lang w:val="es-ES" w:eastAsia="es-ES"/>
        </w:rPr>
        <w:lastRenderedPageBreak/>
        <w:drawing>
          <wp:inline distT="0" distB="0" distL="0" distR="0" wp14:anchorId="1D649C6B" wp14:editId="37D16EA4">
            <wp:extent cx="2476500" cy="1143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6500" cy="1143000"/>
                    </a:xfrm>
                    <a:prstGeom prst="rect">
                      <a:avLst/>
                    </a:prstGeom>
                  </pic:spPr>
                </pic:pic>
              </a:graphicData>
            </a:graphic>
          </wp:inline>
        </w:drawing>
      </w:r>
    </w:p>
    <w:p w14:paraId="1725F089" w14:textId="2E6477D4" w:rsidR="00237416" w:rsidRPr="00AC7A12" w:rsidRDefault="00237416" w:rsidP="00237416">
      <w:pPr>
        <w:spacing w:line="276" w:lineRule="auto"/>
        <w:jc w:val="both"/>
        <w:rPr>
          <w:rFonts w:ascii="Arial" w:hAnsi="Arial" w:cs="Arial"/>
          <w:b/>
          <w:bCs/>
          <w:noProof/>
          <w:color w:val="000000" w:themeColor="text1"/>
          <w:sz w:val="22"/>
          <w:lang w:val="es-ES_tradnl"/>
        </w:rPr>
      </w:pPr>
      <w:r w:rsidRPr="00AC7A12">
        <w:rPr>
          <w:rFonts w:ascii="Arial" w:hAnsi="Arial" w:cs="Arial"/>
          <w:noProof/>
          <w:color w:val="000000" w:themeColor="text1"/>
          <w:sz w:val="22"/>
          <w:lang w:val="es-ES_tradnl"/>
        </w:rPr>
        <w:t xml:space="preserve">Bogotá D.C., </w:t>
      </w:r>
      <w:r w:rsidR="009204BC">
        <w:rPr>
          <w:rFonts w:ascii="Arial" w:hAnsi="Arial" w:cs="Arial"/>
          <w:noProof/>
          <w:color w:val="000000" w:themeColor="text1"/>
          <w:sz w:val="22"/>
          <w:lang w:val="es-ES_tradnl"/>
        </w:rPr>
        <w:t>28 de julio de 2021</w:t>
      </w:r>
    </w:p>
    <w:p w14:paraId="25897909" w14:textId="77777777" w:rsidR="00237416" w:rsidRPr="00B331FE" w:rsidRDefault="00237416" w:rsidP="00237416"/>
    <w:p w14:paraId="25F51822" w14:textId="77777777" w:rsidR="00237416" w:rsidRPr="00AC7A12" w:rsidRDefault="00237416" w:rsidP="00237416">
      <w:pPr>
        <w:jc w:val="both"/>
        <w:rPr>
          <w:rFonts w:ascii="Arial" w:hAnsi="Arial" w:cs="Arial"/>
          <w:b/>
          <w:color w:val="000000" w:themeColor="text1"/>
          <w:sz w:val="22"/>
          <w:lang w:val="es-ES_tradnl"/>
        </w:rPr>
      </w:pPr>
    </w:p>
    <w:p w14:paraId="46AB8F71" w14:textId="77777777" w:rsidR="00237416" w:rsidRPr="00DD137B" w:rsidRDefault="00237416" w:rsidP="00237416">
      <w:pPr>
        <w:jc w:val="both"/>
        <w:rPr>
          <w:rFonts w:ascii="Arial" w:eastAsia="Calibri" w:hAnsi="Arial" w:cs="Arial"/>
          <w:color w:val="000000" w:themeColor="text1"/>
          <w:sz w:val="22"/>
          <w:lang w:val="es-ES_tradnl"/>
        </w:rPr>
      </w:pPr>
      <w:r w:rsidRPr="00DD137B">
        <w:rPr>
          <w:rFonts w:ascii="Arial" w:eastAsia="Calibri" w:hAnsi="Arial" w:cs="Arial"/>
          <w:color w:val="000000" w:themeColor="text1"/>
          <w:sz w:val="22"/>
          <w:lang w:val="es-ES_tradnl"/>
        </w:rPr>
        <w:t>Señora</w:t>
      </w:r>
    </w:p>
    <w:p w14:paraId="3EAAB9A4" w14:textId="77777777" w:rsidR="00237416" w:rsidRPr="00DD137B" w:rsidRDefault="00237416" w:rsidP="00237416">
      <w:pPr>
        <w:jc w:val="both"/>
        <w:rPr>
          <w:rFonts w:ascii="Arial" w:eastAsia="Calibri" w:hAnsi="Arial" w:cs="Arial"/>
          <w:color w:val="000000" w:themeColor="text1"/>
          <w:sz w:val="22"/>
          <w:lang w:val="es-ES_tradnl"/>
        </w:rPr>
      </w:pPr>
      <w:proofErr w:type="spellStart"/>
      <w:r w:rsidRPr="0020572A">
        <w:rPr>
          <w:rFonts w:ascii="Arial" w:eastAsia="Calibri" w:hAnsi="Arial" w:cs="Arial"/>
          <w:b/>
          <w:bCs/>
          <w:color w:val="000000" w:themeColor="text1"/>
          <w:sz w:val="22"/>
          <w:lang w:val="es-ES_tradnl"/>
        </w:rPr>
        <w:t>Katerine</w:t>
      </w:r>
      <w:proofErr w:type="spellEnd"/>
      <w:r w:rsidRPr="0020572A">
        <w:rPr>
          <w:rFonts w:ascii="Arial" w:eastAsia="Calibri" w:hAnsi="Arial" w:cs="Arial"/>
          <w:b/>
          <w:bCs/>
          <w:color w:val="000000" w:themeColor="text1"/>
          <w:sz w:val="22"/>
          <w:lang w:val="es-ES_tradnl"/>
        </w:rPr>
        <w:t xml:space="preserve"> Gómez Zabala</w:t>
      </w:r>
    </w:p>
    <w:p w14:paraId="36A0AF61" w14:textId="77777777" w:rsidR="00237416" w:rsidRPr="0020572A" w:rsidRDefault="00237416" w:rsidP="00237416">
      <w:pPr>
        <w:jc w:val="both"/>
        <w:rPr>
          <w:rFonts w:ascii="Arial" w:eastAsia="Calibri" w:hAnsi="Arial" w:cs="Arial"/>
          <w:color w:val="000000" w:themeColor="text1"/>
          <w:sz w:val="22"/>
          <w:lang w:val="es-ES_tradnl"/>
        </w:rPr>
      </w:pPr>
      <w:r w:rsidRPr="0020572A">
        <w:rPr>
          <w:rFonts w:ascii="Arial" w:eastAsia="Calibri" w:hAnsi="Arial" w:cs="Arial"/>
          <w:color w:val="000000" w:themeColor="text1"/>
          <w:sz w:val="22"/>
          <w:lang w:val="es-ES_tradnl"/>
        </w:rPr>
        <w:t>katerinegomezzabala@gmail.com</w:t>
      </w:r>
    </w:p>
    <w:p w14:paraId="4D74FE2B" w14:textId="77777777" w:rsidR="00237416" w:rsidRPr="00AC7A12" w:rsidRDefault="00237416" w:rsidP="00237416">
      <w:pPr>
        <w:jc w:val="both"/>
        <w:rPr>
          <w:rFonts w:ascii="Arial" w:eastAsia="Calibri" w:hAnsi="Arial" w:cs="Arial"/>
          <w:color w:val="000000" w:themeColor="text1"/>
          <w:sz w:val="22"/>
          <w:lang w:val="es-ES_tradnl"/>
        </w:rPr>
      </w:pPr>
    </w:p>
    <w:p w14:paraId="1C47A0F9" w14:textId="77777777" w:rsidR="00237416" w:rsidRPr="00AC7A12" w:rsidRDefault="00237416" w:rsidP="00237416">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Concepto C ‒ </w:t>
      </w:r>
      <w:r>
        <w:rPr>
          <w:rFonts w:ascii="Arial" w:eastAsia="Calibri" w:hAnsi="Arial" w:cs="Arial"/>
          <w:b/>
          <w:bCs/>
          <w:color w:val="000000" w:themeColor="text1"/>
          <w:sz w:val="22"/>
          <w:lang w:val="es-ES_tradnl"/>
        </w:rPr>
        <w:t xml:space="preserve">372 </w:t>
      </w:r>
      <w:r w:rsidRPr="00AC7A12">
        <w:rPr>
          <w:rFonts w:ascii="Arial" w:eastAsia="Calibri" w:hAnsi="Arial" w:cs="Arial"/>
          <w:b/>
          <w:bCs/>
          <w:color w:val="000000" w:themeColor="text1"/>
          <w:sz w:val="22"/>
          <w:lang w:val="es-ES_tradnl"/>
        </w:rPr>
        <w:t>de 2021</w:t>
      </w:r>
    </w:p>
    <w:p w14:paraId="02F732C6" w14:textId="77777777" w:rsidR="00237416" w:rsidRPr="00AC7A12" w:rsidRDefault="00237416" w:rsidP="00237416">
      <w:pPr>
        <w:jc w:val="both"/>
        <w:rPr>
          <w:rFonts w:ascii="Arial" w:eastAsia="Calibri" w:hAnsi="Arial" w:cs="Arial"/>
          <w:color w:val="000000" w:themeColor="text1"/>
          <w:sz w:val="22"/>
          <w:lang w:val="es-ES_tradnl"/>
        </w:rPr>
      </w:pPr>
      <w:bookmarkStart w:id="3" w:name="_GoBack"/>
      <w:bookmarkEnd w:id="3"/>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7416" w:rsidRPr="00040D80" w14:paraId="5816C66B" w14:textId="77777777" w:rsidTr="003D7287">
        <w:tc>
          <w:tcPr>
            <w:tcW w:w="2689" w:type="dxa"/>
          </w:tcPr>
          <w:p w14:paraId="60637FE3" w14:textId="77777777" w:rsidR="00237416" w:rsidRPr="00040D80" w:rsidRDefault="00237416" w:rsidP="003D7287">
            <w:pPr>
              <w:jc w:val="both"/>
              <w:rPr>
                <w:rFonts w:ascii="Arial" w:eastAsia="Calibri" w:hAnsi="Arial" w:cs="Arial"/>
                <w:color w:val="000000" w:themeColor="text1"/>
                <w:sz w:val="22"/>
                <w:szCs w:val="22"/>
                <w:lang w:val="es-ES_tradnl"/>
              </w:rPr>
            </w:pPr>
            <w:r w:rsidRPr="00040D80">
              <w:rPr>
                <w:rFonts w:ascii="Arial" w:eastAsia="Calibri" w:hAnsi="Arial" w:cs="Arial"/>
                <w:b/>
                <w:color w:val="000000" w:themeColor="text1"/>
                <w:sz w:val="22"/>
                <w:szCs w:val="22"/>
                <w:lang w:val="es-ES_tradnl"/>
              </w:rPr>
              <w:t>Temas:</w:t>
            </w:r>
            <w:r w:rsidRPr="00040D80">
              <w:rPr>
                <w:rFonts w:ascii="Arial" w:eastAsia="Calibri" w:hAnsi="Arial" w:cs="Arial"/>
                <w:color w:val="000000" w:themeColor="text1"/>
                <w:sz w:val="22"/>
                <w:szCs w:val="22"/>
                <w:lang w:val="es-ES_tradnl"/>
              </w:rPr>
              <w:t xml:space="preserve">                                      </w:t>
            </w:r>
          </w:p>
        </w:tc>
        <w:tc>
          <w:tcPr>
            <w:tcW w:w="6237" w:type="dxa"/>
          </w:tcPr>
          <w:p w14:paraId="642E1CE1" w14:textId="77777777" w:rsidR="00237416" w:rsidRPr="00040D80" w:rsidRDefault="00237416" w:rsidP="003D7287">
            <w:pPr>
              <w:jc w:val="both"/>
              <w:rPr>
                <w:rFonts w:ascii="Arial" w:eastAsia="Calibri" w:hAnsi="Arial" w:cs="Arial"/>
                <w:bCs/>
                <w:sz w:val="22"/>
                <w:szCs w:val="22"/>
                <w:lang w:val="es-ES_tradnl"/>
              </w:rPr>
            </w:pPr>
            <w:r w:rsidRPr="00040D80">
              <w:rPr>
                <w:rFonts w:ascii="Arial" w:eastAsia="Calibri" w:hAnsi="Arial" w:cs="Arial"/>
                <w:bCs/>
                <w:sz w:val="22"/>
                <w:szCs w:val="22"/>
                <w:lang w:val="es-ES_tradnl"/>
              </w:rPr>
              <w:t>REGISTRO ÚNICO DE PROPONENETES – Contenido/ CAPACIDAD FINANCIERA – Concepto – Requisito habilitante /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 – Capacidad financiera – Capacidad organizacional</w:t>
            </w:r>
            <w:r>
              <w:rPr>
                <w:rFonts w:ascii="Arial" w:eastAsia="Calibri" w:hAnsi="Arial" w:cs="Arial"/>
                <w:bCs/>
                <w:sz w:val="22"/>
                <w:szCs w:val="22"/>
                <w:lang w:val="es-ES_tradnl"/>
              </w:rPr>
              <w:t xml:space="preserve"> – Interpretación</w:t>
            </w:r>
          </w:p>
        </w:tc>
      </w:tr>
      <w:tr w:rsidR="00237416" w:rsidRPr="00040D80" w14:paraId="08E3877F" w14:textId="77777777" w:rsidTr="003D7287">
        <w:tc>
          <w:tcPr>
            <w:tcW w:w="2689" w:type="dxa"/>
          </w:tcPr>
          <w:p w14:paraId="7CC6D92C" w14:textId="77777777" w:rsidR="00237416" w:rsidRPr="00040D80" w:rsidRDefault="00237416" w:rsidP="003D7287">
            <w:pPr>
              <w:spacing w:before="120"/>
              <w:jc w:val="both"/>
              <w:rPr>
                <w:rFonts w:ascii="Arial" w:eastAsia="Calibri" w:hAnsi="Arial" w:cs="Arial"/>
                <w:b/>
                <w:color w:val="000000" w:themeColor="text1"/>
                <w:sz w:val="22"/>
                <w:szCs w:val="22"/>
                <w:lang w:val="es-ES_tradnl"/>
              </w:rPr>
            </w:pPr>
            <w:r w:rsidRPr="00040D80">
              <w:rPr>
                <w:rFonts w:ascii="Arial" w:eastAsia="Calibri" w:hAnsi="Arial" w:cs="Arial"/>
                <w:b/>
                <w:color w:val="000000" w:themeColor="text1"/>
                <w:sz w:val="22"/>
                <w:szCs w:val="22"/>
                <w:lang w:val="es-ES_tradnl"/>
              </w:rPr>
              <w:t>Radicación:</w:t>
            </w:r>
            <w:r w:rsidRPr="00040D80">
              <w:rPr>
                <w:rFonts w:ascii="Arial" w:eastAsia="Calibri" w:hAnsi="Arial" w:cs="Arial"/>
                <w:color w:val="000000" w:themeColor="text1"/>
                <w:sz w:val="22"/>
                <w:szCs w:val="22"/>
                <w:lang w:val="es-ES_tradnl"/>
              </w:rPr>
              <w:t xml:space="preserve">                              </w:t>
            </w:r>
          </w:p>
        </w:tc>
        <w:tc>
          <w:tcPr>
            <w:tcW w:w="6237" w:type="dxa"/>
          </w:tcPr>
          <w:p w14:paraId="7386792C" w14:textId="77777777" w:rsidR="00237416" w:rsidRPr="00040D80" w:rsidRDefault="00237416" w:rsidP="003D7287">
            <w:pPr>
              <w:spacing w:before="120"/>
              <w:jc w:val="both"/>
              <w:rPr>
                <w:rFonts w:ascii="Arial" w:eastAsia="Calibri" w:hAnsi="Arial" w:cs="Arial"/>
                <w:color w:val="000000" w:themeColor="text1"/>
                <w:sz w:val="22"/>
                <w:szCs w:val="22"/>
                <w:lang w:val="es-ES_tradnl"/>
              </w:rPr>
            </w:pPr>
            <w:r w:rsidRPr="00040D80">
              <w:rPr>
                <w:rFonts w:ascii="Arial" w:eastAsia="Calibri" w:hAnsi="Arial" w:cs="Arial"/>
                <w:color w:val="000000" w:themeColor="text1"/>
                <w:sz w:val="22"/>
                <w:szCs w:val="22"/>
                <w:lang w:val="es-ES_tradnl"/>
              </w:rPr>
              <w:t xml:space="preserve">Respuesta a consulta # </w:t>
            </w:r>
            <w:r w:rsidRPr="00040D80">
              <w:rPr>
                <w:rFonts w:ascii="Arial" w:hAnsi="Arial" w:cs="Arial"/>
                <w:color w:val="000000"/>
                <w:sz w:val="22"/>
                <w:szCs w:val="22"/>
                <w:lang w:eastAsia="es-CO"/>
              </w:rPr>
              <w:t>P20210615005197</w:t>
            </w:r>
            <w:r w:rsidRPr="00040D80">
              <w:rPr>
                <w:rFonts w:ascii="Arial" w:eastAsia="Calibri" w:hAnsi="Arial" w:cs="Arial"/>
                <w:color w:val="000000" w:themeColor="text1"/>
                <w:sz w:val="22"/>
                <w:szCs w:val="22"/>
                <w:lang w:val="es-ES_tradnl"/>
              </w:rPr>
              <w:t>.</w:t>
            </w:r>
          </w:p>
        </w:tc>
      </w:tr>
    </w:tbl>
    <w:p w14:paraId="1BD1C604" w14:textId="77777777" w:rsidR="00237416" w:rsidRPr="00040D80" w:rsidRDefault="00237416" w:rsidP="00237416">
      <w:pPr>
        <w:jc w:val="both"/>
        <w:rPr>
          <w:rFonts w:ascii="Arial" w:eastAsia="Calibri" w:hAnsi="Arial" w:cs="Arial"/>
          <w:color w:val="000000" w:themeColor="text1"/>
          <w:sz w:val="22"/>
          <w:szCs w:val="22"/>
          <w:lang w:val="es-ES_tradnl"/>
        </w:rPr>
      </w:pPr>
    </w:p>
    <w:p w14:paraId="59A647BE" w14:textId="77777777" w:rsidR="00237416" w:rsidRPr="00AC7A12" w:rsidRDefault="00237416" w:rsidP="00237416">
      <w:pPr>
        <w:jc w:val="both"/>
        <w:rPr>
          <w:rFonts w:ascii="Arial" w:eastAsia="Calibri" w:hAnsi="Arial" w:cs="Arial"/>
          <w:color w:val="000000" w:themeColor="text1"/>
          <w:sz w:val="22"/>
          <w:lang w:val="es-ES_tradnl"/>
        </w:rPr>
      </w:pPr>
    </w:p>
    <w:p w14:paraId="5B1B1804" w14:textId="77777777" w:rsidR="00237416" w:rsidRDefault="00237416" w:rsidP="00237416">
      <w:pPr>
        <w:jc w:val="both"/>
        <w:rPr>
          <w:rFonts w:ascii="Arial" w:eastAsia="Calibri" w:hAnsi="Arial" w:cs="Arial"/>
          <w:color w:val="000000" w:themeColor="text1"/>
          <w:sz w:val="22"/>
          <w:lang w:val="es-ES_tradnl"/>
        </w:rPr>
      </w:pPr>
      <w:r w:rsidRPr="000A0FD2">
        <w:rPr>
          <w:rFonts w:ascii="Arial" w:eastAsia="Calibri" w:hAnsi="Arial" w:cs="Arial"/>
          <w:color w:val="000000" w:themeColor="text1"/>
          <w:sz w:val="22"/>
          <w:lang w:val="es-ES_tradnl"/>
        </w:rPr>
        <w:t xml:space="preserve">Estimada Señora </w:t>
      </w:r>
      <w:r w:rsidRPr="00954CE3">
        <w:rPr>
          <w:rFonts w:ascii="Arial" w:eastAsia="Calibri" w:hAnsi="Arial" w:cs="Arial"/>
          <w:color w:val="000000" w:themeColor="text1"/>
          <w:sz w:val="22"/>
          <w:lang w:val="es-ES_tradnl"/>
        </w:rPr>
        <w:t>Gómez</w:t>
      </w:r>
      <w:r>
        <w:rPr>
          <w:rFonts w:ascii="Arial" w:eastAsia="Calibri" w:hAnsi="Arial" w:cs="Arial"/>
          <w:color w:val="000000" w:themeColor="text1"/>
          <w:sz w:val="22"/>
          <w:lang w:val="es-ES_tradnl"/>
        </w:rPr>
        <w:t>:</w:t>
      </w:r>
    </w:p>
    <w:p w14:paraId="3975430C" w14:textId="77777777" w:rsidR="00237416" w:rsidRPr="00AC7A12" w:rsidRDefault="00237416" w:rsidP="00237416">
      <w:pPr>
        <w:jc w:val="both"/>
        <w:rPr>
          <w:rFonts w:ascii="Arial" w:eastAsia="Calibri" w:hAnsi="Arial" w:cs="Arial"/>
          <w:color w:val="000000" w:themeColor="text1"/>
          <w:sz w:val="22"/>
          <w:lang w:val="es-ES_tradnl"/>
        </w:rPr>
      </w:pPr>
    </w:p>
    <w:p w14:paraId="6299E4EB" w14:textId="77777777" w:rsidR="00237416" w:rsidRPr="00AC7A12" w:rsidRDefault="00237416" w:rsidP="00237416">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753B5">
        <w:rPr>
          <w:rFonts w:ascii="Arial" w:eastAsia="Calibri" w:hAnsi="Arial" w:cs="Arial"/>
          <w:color w:val="000000" w:themeColor="text1"/>
          <w:sz w:val="22"/>
          <w:szCs w:val="22"/>
          <w:lang w:val="es-ES_tradnl"/>
        </w:rPr>
        <w:t xml:space="preserve">Decreto Ley 4170 de 2011, la Agencia Nacional de Contratación Pública ― Colombia Compra Eficiente responde </w:t>
      </w:r>
      <w:r w:rsidRPr="00F753B5">
        <w:rPr>
          <w:rFonts w:ascii="Arial" w:eastAsia="Calibri" w:hAnsi="Arial" w:cs="Arial"/>
          <w:sz w:val="22"/>
          <w:szCs w:val="22"/>
          <w:lang w:val="es-MX"/>
        </w:rPr>
        <w:t xml:space="preserve">su consulta del </w:t>
      </w:r>
      <w:r>
        <w:rPr>
          <w:rFonts w:ascii="Arial" w:eastAsia="Calibri" w:hAnsi="Arial" w:cs="Arial"/>
          <w:sz w:val="22"/>
          <w:szCs w:val="22"/>
          <w:lang w:val="es-MX"/>
        </w:rPr>
        <w:t>16</w:t>
      </w:r>
      <w:r w:rsidRPr="00F753B5">
        <w:rPr>
          <w:rFonts w:ascii="Arial" w:eastAsia="Calibri" w:hAnsi="Arial" w:cs="Arial"/>
          <w:sz w:val="22"/>
          <w:szCs w:val="22"/>
          <w:lang w:val="es-MX"/>
        </w:rPr>
        <w:t xml:space="preserve"> de junio del año 2021</w:t>
      </w:r>
      <w:r w:rsidRPr="00F753B5">
        <w:rPr>
          <w:rFonts w:ascii="Arial" w:eastAsia="Calibri" w:hAnsi="Arial" w:cs="Arial"/>
          <w:color w:val="000000" w:themeColor="text1"/>
          <w:sz w:val="22"/>
          <w:szCs w:val="22"/>
          <w:lang w:val="es-ES_tradnl"/>
        </w:rPr>
        <w:t>.</w:t>
      </w:r>
    </w:p>
    <w:p w14:paraId="44F0091A" w14:textId="77777777" w:rsidR="00237416" w:rsidRPr="00AC7A12" w:rsidRDefault="00237416" w:rsidP="00237416">
      <w:pPr>
        <w:spacing w:line="276" w:lineRule="auto"/>
        <w:jc w:val="both"/>
        <w:rPr>
          <w:rFonts w:ascii="Arial" w:eastAsia="Calibri" w:hAnsi="Arial" w:cs="Arial"/>
          <w:b/>
          <w:color w:val="000000" w:themeColor="text1"/>
          <w:sz w:val="22"/>
          <w:lang w:val="es-ES_tradnl"/>
        </w:rPr>
      </w:pPr>
    </w:p>
    <w:p w14:paraId="4799FC58" w14:textId="77777777" w:rsidR="00237416" w:rsidRPr="00AC7A12" w:rsidRDefault="00237416" w:rsidP="00237416">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797283E6" w14:textId="77777777" w:rsidR="00237416" w:rsidRPr="00AC7A12" w:rsidRDefault="00237416" w:rsidP="00237416">
      <w:pPr>
        <w:tabs>
          <w:tab w:val="left" w:pos="426"/>
        </w:tabs>
        <w:spacing w:line="276" w:lineRule="auto"/>
        <w:jc w:val="both"/>
        <w:rPr>
          <w:rFonts w:ascii="Arial" w:eastAsia="Calibri" w:hAnsi="Arial" w:cs="Arial"/>
          <w:b/>
          <w:color w:val="000000" w:themeColor="text1"/>
          <w:sz w:val="22"/>
          <w:lang w:val="es-ES_tradnl"/>
        </w:rPr>
      </w:pPr>
    </w:p>
    <w:p w14:paraId="393AF6C8" w14:textId="77777777" w:rsidR="00237416" w:rsidRPr="00AC7A12" w:rsidRDefault="00237416" w:rsidP="00237416">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 xml:space="preserve">Usted formula la siguiente consulta: </w:t>
      </w:r>
    </w:p>
    <w:p w14:paraId="261A239C" w14:textId="77777777" w:rsidR="00237416" w:rsidRPr="00AC7A12" w:rsidRDefault="00237416" w:rsidP="00237416">
      <w:pPr>
        <w:spacing w:line="276" w:lineRule="auto"/>
        <w:jc w:val="both"/>
        <w:rPr>
          <w:rFonts w:ascii="Arial" w:hAnsi="Arial" w:cs="Arial"/>
          <w:color w:val="000000" w:themeColor="text1"/>
          <w:sz w:val="22"/>
          <w:lang w:val="es-ES_tradnl"/>
        </w:rPr>
      </w:pPr>
    </w:p>
    <w:p w14:paraId="53D4E00D" w14:textId="77777777" w:rsidR="00237416" w:rsidRDefault="00237416" w:rsidP="00237416">
      <w:pPr>
        <w:ind w:left="709" w:right="709"/>
        <w:jc w:val="both"/>
        <w:rPr>
          <w:rFonts w:ascii="Arial" w:hAnsi="Arial" w:cs="Arial"/>
          <w:color w:val="000000" w:themeColor="text1"/>
          <w:sz w:val="21"/>
          <w:szCs w:val="21"/>
          <w:lang w:val="es-ES_tradnl"/>
        </w:rPr>
      </w:pPr>
      <w:r w:rsidRPr="00F753B5">
        <w:rPr>
          <w:rFonts w:ascii="Arial" w:hAnsi="Arial" w:cs="Arial"/>
          <w:color w:val="000000" w:themeColor="text1"/>
          <w:sz w:val="21"/>
          <w:szCs w:val="21"/>
          <w:lang w:val="es-ES_tradnl"/>
        </w:rPr>
        <w:t>«</w:t>
      </w:r>
      <w:r w:rsidRPr="00954CE3">
        <w:rPr>
          <w:rFonts w:ascii="Arial" w:hAnsi="Arial" w:cs="Arial"/>
          <w:color w:val="000000" w:themeColor="text1"/>
          <w:sz w:val="21"/>
          <w:szCs w:val="21"/>
          <w:lang w:val="es-ES_tradnl"/>
        </w:rPr>
        <w:t>Realizando la lectura del Decreto 579 de 2021, en donde cito</w:t>
      </w:r>
      <w:r>
        <w:rPr>
          <w:rFonts w:ascii="Arial" w:hAnsi="Arial" w:cs="Arial"/>
          <w:color w:val="000000" w:themeColor="text1"/>
          <w:sz w:val="21"/>
          <w:szCs w:val="21"/>
          <w:lang w:val="es-ES_tradnl"/>
        </w:rPr>
        <w:t xml:space="preserve"> </w:t>
      </w:r>
      <w:r w:rsidRPr="00954CE3">
        <w:rPr>
          <w:rFonts w:ascii="Arial" w:hAnsi="Arial" w:cs="Arial"/>
          <w:color w:val="000000" w:themeColor="text1"/>
          <w:sz w:val="21"/>
          <w:szCs w:val="21"/>
          <w:lang w:val="es-ES_tradnl"/>
        </w:rPr>
        <w:t xml:space="preserve">“Las Entidades Estatales al estructurar sus procedimientos de selección tendrán en cuenta la información vigente y en firme en el RUP, por lo que al evaluar las ofertas verificarán el cumplimiento de los requisitos habilitantes de capacidad financiera y organizacional, con los indicadores del mejor año que se refleje en </w:t>
      </w:r>
      <w:r w:rsidRPr="00954CE3">
        <w:rPr>
          <w:rFonts w:ascii="Arial" w:hAnsi="Arial" w:cs="Arial"/>
          <w:color w:val="000000" w:themeColor="text1"/>
          <w:sz w:val="21"/>
          <w:szCs w:val="21"/>
          <w:lang w:val="es-ES_tradnl"/>
        </w:rPr>
        <w:lastRenderedPageBreak/>
        <w:t>el registro de cada proponente. De esta manera, los oferentes podrán acreditar el cumplimiento de estos requisitos habilitantes con los mejores indicadores de los últimos tres (3) años”.</w:t>
      </w:r>
      <w:r>
        <w:rPr>
          <w:rFonts w:ascii="Arial" w:hAnsi="Arial" w:cs="Arial"/>
          <w:color w:val="000000" w:themeColor="text1"/>
          <w:sz w:val="21"/>
          <w:szCs w:val="21"/>
          <w:lang w:val="es-ES_tradnl"/>
        </w:rPr>
        <w:t xml:space="preserve"> </w:t>
      </w:r>
      <w:r w:rsidRPr="00954CE3">
        <w:rPr>
          <w:rFonts w:ascii="Arial" w:hAnsi="Arial" w:cs="Arial"/>
          <w:color w:val="000000" w:themeColor="text1"/>
          <w:sz w:val="21"/>
          <w:szCs w:val="21"/>
          <w:lang w:val="es-ES_tradnl"/>
        </w:rPr>
        <w:t>Cuando se refieren a tomar el mejor año fiscal, me surge la siguiente inquietud:</w:t>
      </w:r>
      <w:r>
        <w:rPr>
          <w:rFonts w:ascii="Arial" w:hAnsi="Arial" w:cs="Arial"/>
          <w:color w:val="000000" w:themeColor="text1"/>
          <w:sz w:val="21"/>
          <w:szCs w:val="21"/>
          <w:lang w:val="es-ES_tradnl"/>
        </w:rPr>
        <w:t xml:space="preserve"> </w:t>
      </w:r>
      <w:r w:rsidRPr="00954CE3">
        <w:rPr>
          <w:rFonts w:ascii="Arial" w:hAnsi="Arial" w:cs="Arial"/>
          <w:color w:val="000000" w:themeColor="text1"/>
          <w:sz w:val="21"/>
          <w:szCs w:val="21"/>
          <w:lang w:val="es-ES_tradnl"/>
        </w:rPr>
        <w:t>Si se debe evaluar la información por vigencia: ¿Es decir, tomo la información financiera del mejor año para el proveedor?</w:t>
      </w:r>
      <w:r>
        <w:rPr>
          <w:rFonts w:ascii="Arial" w:hAnsi="Arial" w:cs="Arial"/>
          <w:color w:val="000000" w:themeColor="text1"/>
          <w:sz w:val="21"/>
          <w:szCs w:val="21"/>
          <w:lang w:val="es-ES_tradnl"/>
        </w:rPr>
        <w:t xml:space="preserve"> </w:t>
      </w:r>
      <w:r w:rsidRPr="00954CE3">
        <w:rPr>
          <w:rFonts w:ascii="Arial" w:hAnsi="Arial" w:cs="Arial"/>
          <w:color w:val="000000" w:themeColor="text1"/>
          <w:sz w:val="21"/>
          <w:szCs w:val="21"/>
          <w:lang w:val="es-ES_tradnl"/>
        </w:rPr>
        <w:t>O de acuerdo a los indicadores: ¿Es decir, si el mejor indicador de Endeudamiento fue el del 2018 tomo ese indicador?</w:t>
      </w:r>
      <w:r>
        <w:rPr>
          <w:rFonts w:ascii="Arial" w:hAnsi="Arial" w:cs="Arial"/>
          <w:color w:val="000000" w:themeColor="text1"/>
          <w:sz w:val="21"/>
          <w:szCs w:val="21"/>
          <w:lang w:val="es-ES_tradnl"/>
        </w:rPr>
        <w:t xml:space="preserve"> </w:t>
      </w:r>
      <w:r w:rsidRPr="00954CE3">
        <w:rPr>
          <w:rFonts w:ascii="Arial" w:hAnsi="Arial" w:cs="Arial"/>
          <w:color w:val="000000" w:themeColor="text1"/>
          <w:sz w:val="21"/>
          <w:szCs w:val="21"/>
          <w:lang w:val="es-ES_tradnl"/>
        </w:rPr>
        <w:t>¿El de liquidez en el 2019 tomo ese indicador? y, ¿El de razón de cobertura de intereses 2020 tomo ese indicador?</w:t>
      </w:r>
      <w:r w:rsidRPr="00F753B5">
        <w:rPr>
          <w:rFonts w:ascii="Arial" w:hAnsi="Arial" w:cs="Arial"/>
          <w:color w:val="000000" w:themeColor="text1"/>
          <w:sz w:val="21"/>
          <w:szCs w:val="21"/>
          <w:lang w:val="es-ES_tradnl"/>
        </w:rPr>
        <w:t>»</w:t>
      </w:r>
    </w:p>
    <w:p w14:paraId="28A43E65" w14:textId="77777777" w:rsidR="00237416" w:rsidRPr="00AC7A12" w:rsidRDefault="00237416" w:rsidP="00237416">
      <w:pPr>
        <w:ind w:left="709" w:right="709"/>
        <w:jc w:val="both"/>
        <w:rPr>
          <w:rFonts w:ascii="Arial" w:hAnsi="Arial" w:cs="Arial"/>
          <w:color w:val="000000" w:themeColor="text1"/>
          <w:sz w:val="21"/>
          <w:szCs w:val="21"/>
          <w:lang w:val="es-ES_tradnl"/>
        </w:rPr>
      </w:pPr>
    </w:p>
    <w:p w14:paraId="3FFA8335" w14:textId="77777777" w:rsidR="00237416" w:rsidRDefault="00237416" w:rsidP="00237416">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08884BEB" w14:textId="77777777" w:rsidR="00237416" w:rsidRPr="003A148D" w:rsidRDefault="00237416" w:rsidP="00237416">
      <w:pPr>
        <w:pStyle w:val="Prrafodelista"/>
        <w:tabs>
          <w:tab w:val="left" w:pos="0"/>
          <w:tab w:val="left" w:pos="284"/>
        </w:tabs>
        <w:ind w:left="0"/>
        <w:jc w:val="both"/>
        <w:rPr>
          <w:rFonts w:ascii="Arial" w:eastAsia="Calibri" w:hAnsi="Arial" w:cs="Arial"/>
          <w:b/>
          <w:color w:val="000000" w:themeColor="text1"/>
          <w:sz w:val="22"/>
          <w:lang w:val="es-ES_tradnl"/>
        </w:rPr>
      </w:pPr>
    </w:p>
    <w:p w14:paraId="6FD52AAB" w14:textId="77777777" w:rsidR="00237416" w:rsidRPr="00C92BDA" w:rsidRDefault="00237416" w:rsidP="00237416">
      <w:pPr>
        <w:spacing w:after="120" w:line="276" w:lineRule="auto"/>
        <w:jc w:val="both"/>
        <w:rPr>
          <w:rFonts w:ascii="Arial" w:eastAsia="Calibri" w:hAnsi="Arial" w:cs="Arial"/>
          <w:color w:val="000000" w:themeColor="text1"/>
          <w:sz w:val="22"/>
          <w:szCs w:val="22"/>
          <w:lang w:val="es-ES_tradnl"/>
        </w:rPr>
      </w:pPr>
      <w:r w:rsidRPr="003A148D">
        <w:rPr>
          <w:rFonts w:ascii="Arial" w:eastAsia="Calibri" w:hAnsi="Arial" w:cs="Arial"/>
          <w:color w:val="000000" w:themeColor="text1"/>
          <w:sz w:val="22"/>
          <w:szCs w:val="22"/>
          <w:lang w:val="es-ES_tradnl"/>
        </w:rPr>
        <w:t xml:space="preserve">Para resolver esta consulta se analizarán los siguientes temas: i) contenido del Registro Único de Proponentes; ii) </w:t>
      </w:r>
      <w:r w:rsidRPr="00AC7A12">
        <w:rPr>
          <w:rFonts w:ascii="Arial" w:eastAsia="Calibri" w:hAnsi="Arial" w:cs="Arial"/>
          <w:color w:val="000000" w:themeColor="text1"/>
          <w:sz w:val="22"/>
          <w:szCs w:val="22"/>
          <w:lang w:val="es-ES_tradnl"/>
        </w:rPr>
        <w:t xml:space="preserve">requisitos </w:t>
      </w:r>
      <w:r w:rsidRPr="00FC731B">
        <w:rPr>
          <w:rFonts w:ascii="Arial" w:eastAsia="Calibri" w:hAnsi="Arial" w:cs="Arial"/>
          <w:color w:val="000000" w:themeColor="text1"/>
          <w:sz w:val="22"/>
          <w:szCs w:val="22"/>
          <w:lang w:val="es-ES_tradnl"/>
        </w:rPr>
        <w:t>habilitantes de capacidad financiera y organizacional</w:t>
      </w:r>
      <w:r>
        <w:rPr>
          <w:rFonts w:ascii="Arial" w:eastAsia="Calibri" w:hAnsi="Arial" w:cs="Arial"/>
          <w:color w:val="000000" w:themeColor="text1"/>
          <w:sz w:val="22"/>
          <w:szCs w:val="22"/>
          <w:lang w:val="es-ES_tradnl"/>
        </w:rPr>
        <w:t xml:space="preserve">; </w:t>
      </w:r>
      <w:r w:rsidRPr="003A148D">
        <w:rPr>
          <w:rFonts w:ascii="Arial" w:eastAsia="Calibri" w:hAnsi="Arial" w:cs="Arial"/>
          <w:color w:val="000000" w:themeColor="text1"/>
          <w:sz w:val="22"/>
          <w:szCs w:val="22"/>
          <w:lang w:val="es-ES_tradnl"/>
        </w:rPr>
        <w:t xml:space="preserve">iii) estudios previos y del sector en el Estatuto General de Contratación de la Administración </w:t>
      </w:r>
      <w:r w:rsidRPr="00C92BDA">
        <w:rPr>
          <w:rFonts w:ascii="Arial" w:eastAsia="Calibri" w:hAnsi="Arial" w:cs="Arial"/>
          <w:color w:val="000000" w:themeColor="text1"/>
          <w:sz w:val="22"/>
          <w:szCs w:val="22"/>
          <w:lang w:val="es-ES_tradnl"/>
        </w:rPr>
        <w:t>Pública y iv) modificaciones introducidas por los Decretos 399 de 2021 y 579 de 2021, frente a la información del RUP y verificación de la capacidad financiera y organizacional.</w:t>
      </w:r>
    </w:p>
    <w:p w14:paraId="5FD2DA14" w14:textId="77777777" w:rsidR="00237416" w:rsidRDefault="00237416" w:rsidP="00237416">
      <w:pPr>
        <w:spacing w:after="120" w:line="276" w:lineRule="auto"/>
        <w:ind w:firstLine="709"/>
        <w:jc w:val="both"/>
        <w:rPr>
          <w:rFonts w:ascii="Arial" w:eastAsia="Calibri" w:hAnsi="Arial" w:cs="Arial"/>
          <w:color w:val="000000" w:themeColor="text1"/>
          <w:sz w:val="22"/>
          <w:szCs w:val="22"/>
          <w:lang w:val="es-ES_tradnl"/>
        </w:rPr>
      </w:pPr>
      <w:r w:rsidRPr="00C92BDA">
        <w:rPr>
          <w:rFonts w:ascii="Arial" w:eastAsia="Calibri" w:hAnsi="Arial" w:cs="Arial"/>
          <w:color w:val="000000" w:themeColor="text1"/>
          <w:sz w:val="22"/>
          <w:szCs w:val="22"/>
          <w:lang w:val="es-ES_tradnl"/>
        </w:rPr>
        <w:t>La Agencia Nacional de Contratación Pública – Colombia Compra Eficiente se ha pronunciado sobre el requisito de inscripción en el Registro Único de Proponentes para contratar con el Estado, así como sus excepciones, en los conceptos C-025 del 16 de marzo de 2020, C-051 del 2 de marzo de 2020, C-165 del 1 de abril de 2020, C-233 del 16 de abril de 2020, C-407 de 12 de junio de 2020, C-398 de 30 de junio de 2020, C-470 del 14 de julio de 2020, C–051 del 2 de marzo de 2020, C-584 de 31 de agosto 2020,</w:t>
      </w:r>
      <w:r w:rsidRPr="003A148D">
        <w:rPr>
          <w:rFonts w:ascii="Arial" w:eastAsia="Calibri" w:hAnsi="Arial" w:cs="Arial"/>
          <w:color w:val="000000" w:themeColor="text1"/>
          <w:sz w:val="22"/>
          <w:szCs w:val="22"/>
          <w:lang w:val="es-ES_tradnl"/>
        </w:rPr>
        <w:t xml:space="preserve"> C-619 de 21 de septiembre 2020, C-710 del 9 de diciembre de 2020, C -729 del 11 de diciembre de 2020,  C-133 del 7 de abril de 2021 y C-140 del 9 de abril de 2021. </w:t>
      </w:r>
    </w:p>
    <w:p w14:paraId="37052A20" w14:textId="77777777" w:rsidR="00237416" w:rsidRDefault="00237416" w:rsidP="00237416">
      <w:pPr>
        <w:spacing w:after="120" w:line="276" w:lineRule="auto"/>
        <w:ind w:firstLine="709"/>
        <w:jc w:val="both"/>
        <w:rPr>
          <w:rFonts w:ascii="Arial" w:eastAsia="Calibri" w:hAnsi="Arial" w:cs="Arial"/>
          <w:color w:val="000000" w:themeColor="text1"/>
          <w:sz w:val="22"/>
          <w:szCs w:val="22"/>
          <w:lang w:val="es-ES_tradnl"/>
        </w:rPr>
      </w:pPr>
      <w:r w:rsidRPr="003A148D">
        <w:rPr>
          <w:rFonts w:ascii="Arial" w:eastAsia="Calibri" w:hAnsi="Arial" w:cs="Arial"/>
          <w:color w:val="000000" w:themeColor="text1"/>
          <w:sz w:val="22"/>
          <w:szCs w:val="22"/>
          <w:lang w:val="es-ES_tradnl"/>
        </w:rPr>
        <w:t xml:space="preserve">De igual forma, emitió pronunciamiento sobre el deber de elaborar </w:t>
      </w:r>
      <w:r>
        <w:rPr>
          <w:rFonts w:ascii="Arial" w:eastAsia="Calibri" w:hAnsi="Arial" w:cs="Arial"/>
          <w:color w:val="000000" w:themeColor="text1"/>
          <w:sz w:val="22"/>
          <w:szCs w:val="22"/>
          <w:lang w:val="es-ES_tradnl"/>
        </w:rPr>
        <w:t xml:space="preserve">el </w:t>
      </w:r>
      <w:r w:rsidRPr="003A148D">
        <w:rPr>
          <w:rFonts w:ascii="Arial" w:eastAsia="Calibri" w:hAnsi="Arial" w:cs="Arial"/>
          <w:color w:val="000000" w:themeColor="text1"/>
          <w:sz w:val="22"/>
          <w:szCs w:val="22"/>
          <w:lang w:val="es-ES_tradnl"/>
        </w:rPr>
        <w:t xml:space="preserve">análisis del sector y su regulación en el Estatuto General de Contratación de la Administración Pública, mediante los conceptos 2202013000000037 del 7 de enero de 2020, C-223 del 29 de abril de 2020, C-387 del 23 de junio de 2020, C-443 del 7 de julio de 2020, C–148 de 2021 y C- 215 del 21 de mayo de 2021. </w:t>
      </w:r>
    </w:p>
    <w:p w14:paraId="5C2DE6F0" w14:textId="77777777" w:rsidR="00237416" w:rsidRPr="00C92BDA" w:rsidRDefault="00237416" w:rsidP="00237416">
      <w:pPr>
        <w:spacing w:line="276" w:lineRule="auto"/>
        <w:ind w:firstLine="709"/>
        <w:jc w:val="both"/>
        <w:rPr>
          <w:rFonts w:ascii="Arial" w:eastAsia="Calibri" w:hAnsi="Arial" w:cs="Arial"/>
          <w:color w:val="000000" w:themeColor="text1"/>
          <w:sz w:val="22"/>
          <w:szCs w:val="22"/>
          <w:lang w:val="es-ES_tradnl"/>
        </w:rPr>
      </w:pPr>
      <w:r w:rsidRPr="00C92BDA">
        <w:rPr>
          <w:rFonts w:ascii="Arial" w:eastAsia="Calibri" w:hAnsi="Arial" w:cs="Arial"/>
          <w:color w:val="000000" w:themeColor="text1"/>
          <w:sz w:val="22"/>
          <w:szCs w:val="22"/>
          <w:lang w:val="es-ES_tradnl"/>
        </w:rPr>
        <w:t>En otras oportunidades,</w:t>
      </w:r>
      <w:r w:rsidRPr="00C92BDA">
        <w:rPr>
          <w:rFonts w:ascii="Arial" w:eastAsia="Calibri" w:hAnsi="Arial" w:cs="Arial"/>
          <w:noProof/>
          <w:sz w:val="22"/>
          <w:szCs w:val="22"/>
          <w:lang w:val="es-ES_tradnl"/>
        </w:rPr>
        <w:t xml:space="preserve"> </w:t>
      </w:r>
      <w:r w:rsidRPr="00C92BDA">
        <w:rPr>
          <w:rFonts w:ascii="Arial" w:hAnsi="Arial" w:cs="Arial"/>
          <w:color w:val="000000" w:themeColor="text1"/>
          <w:sz w:val="22"/>
          <w:szCs w:val="22"/>
          <w:lang w:val="es-ES_tradnl"/>
        </w:rPr>
        <w:t xml:space="preserve">estudió la acreditación de los indicadores de capacidad financiera y organizacional de los oferentes mediante el RUP, así como el cálculo de la capacidad residual, entre otros, </w:t>
      </w:r>
      <w:r w:rsidRPr="00C92BDA">
        <w:rPr>
          <w:rFonts w:ascii="Arial" w:eastAsia="Calibri" w:hAnsi="Arial" w:cs="Arial"/>
          <w:color w:val="000000" w:themeColor="text1"/>
          <w:sz w:val="22"/>
          <w:szCs w:val="22"/>
          <w:lang w:val="es-ES_tradnl"/>
        </w:rPr>
        <w:t>en los conceptos No. 4201912000006798 del 24 de octubre de 2019, C-002 del 12 de febrero de 2020, C-089 del 4 de marzo de 2020, C-099 del 06 de abril de 2020, C-166 del 14 de abril de 2020, C-233 del 16 de abril de 2020, C-326 del 9 de junio de 2020, C-140 del 9 de abril de 2021</w:t>
      </w:r>
      <w:r>
        <w:rPr>
          <w:rFonts w:ascii="Arial" w:eastAsia="Calibri" w:hAnsi="Arial" w:cs="Arial"/>
          <w:color w:val="000000" w:themeColor="text1"/>
          <w:sz w:val="22"/>
          <w:szCs w:val="22"/>
          <w:lang w:val="es-ES_tradnl"/>
        </w:rPr>
        <w:t>,</w:t>
      </w:r>
      <w:r w:rsidRPr="00C92BDA">
        <w:rPr>
          <w:rFonts w:ascii="Arial" w:eastAsia="Calibri" w:hAnsi="Arial" w:cs="Arial"/>
          <w:color w:val="000000" w:themeColor="text1"/>
          <w:sz w:val="22"/>
          <w:szCs w:val="22"/>
          <w:lang w:val="es-ES_tradnl"/>
        </w:rPr>
        <w:t xml:space="preserve"> C-288 del 17 de junio de 2021</w:t>
      </w:r>
      <w:r>
        <w:rPr>
          <w:rFonts w:ascii="Arial" w:eastAsia="Calibri" w:hAnsi="Arial" w:cs="Arial"/>
          <w:color w:val="000000" w:themeColor="text1"/>
          <w:sz w:val="22"/>
          <w:szCs w:val="22"/>
          <w:lang w:val="es-ES_tradnl"/>
        </w:rPr>
        <w:t xml:space="preserve"> y C-353 del 19 de julio de 2021.</w:t>
      </w:r>
      <w:r w:rsidRPr="00C92B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los dos últimos conceptos citados se</w:t>
      </w:r>
      <w:r w:rsidRPr="00C92B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tuvieron</w:t>
      </w:r>
      <w:r w:rsidRPr="00C92BDA">
        <w:rPr>
          <w:rFonts w:ascii="Arial" w:eastAsia="Calibri" w:hAnsi="Arial" w:cs="Arial"/>
          <w:color w:val="000000" w:themeColor="text1"/>
          <w:sz w:val="22"/>
          <w:szCs w:val="22"/>
          <w:lang w:val="es-ES_tradnl"/>
        </w:rPr>
        <w:t xml:space="preserve"> en cuenta las modificaciones introducidas mediante los Decretos 399 de 2021 y 579 de 2021. Algunas de las consideraciones de estos conceptos se reiteran y complementan a continuación.</w:t>
      </w:r>
    </w:p>
    <w:p w14:paraId="680172CE" w14:textId="77777777" w:rsidR="00237416" w:rsidRDefault="00237416" w:rsidP="00237416">
      <w:pPr>
        <w:spacing w:line="276" w:lineRule="auto"/>
        <w:ind w:firstLine="709"/>
        <w:jc w:val="both"/>
        <w:rPr>
          <w:rFonts w:ascii="Arial" w:eastAsia="Calibri" w:hAnsi="Arial" w:cs="Arial"/>
          <w:color w:val="000000" w:themeColor="text1"/>
          <w:sz w:val="22"/>
          <w:szCs w:val="22"/>
          <w:lang w:val="es-ES_tradnl"/>
        </w:rPr>
      </w:pPr>
    </w:p>
    <w:p w14:paraId="1A9E3F13" w14:textId="77777777" w:rsidR="00237416" w:rsidRDefault="00237416" w:rsidP="00237416">
      <w:pPr>
        <w:spacing w:line="276" w:lineRule="auto"/>
        <w:jc w:val="both"/>
        <w:rPr>
          <w:rFonts w:ascii="Arial" w:eastAsia="Calibri" w:hAnsi="Arial" w:cs="Arial"/>
          <w:b/>
          <w:bCs/>
          <w:color w:val="000000" w:themeColor="text1"/>
          <w:sz w:val="22"/>
          <w:szCs w:val="22"/>
          <w:lang w:val="es-ES_tradnl"/>
        </w:rPr>
      </w:pPr>
      <w:r w:rsidRPr="002F0732">
        <w:rPr>
          <w:rFonts w:ascii="Arial" w:eastAsia="Calibri" w:hAnsi="Arial" w:cs="Arial"/>
          <w:b/>
          <w:bCs/>
          <w:color w:val="000000" w:themeColor="text1"/>
          <w:sz w:val="22"/>
          <w:szCs w:val="22"/>
          <w:lang w:val="es-ES_tradnl"/>
        </w:rPr>
        <w:t xml:space="preserve">2.1.  </w:t>
      </w:r>
      <w:r>
        <w:rPr>
          <w:rFonts w:ascii="Arial" w:eastAsia="Calibri" w:hAnsi="Arial" w:cs="Arial"/>
          <w:b/>
          <w:bCs/>
          <w:color w:val="000000" w:themeColor="text1"/>
          <w:sz w:val="22"/>
          <w:szCs w:val="22"/>
          <w:lang w:val="es-ES_tradnl"/>
        </w:rPr>
        <w:t xml:space="preserve">Consideraciones generales frente al </w:t>
      </w:r>
      <w:r w:rsidRPr="002F0732">
        <w:rPr>
          <w:rFonts w:ascii="Arial" w:eastAsia="Calibri" w:hAnsi="Arial" w:cs="Arial"/>
          <w:b/>
          <w:bCs/>
          <w:color w:val="000000" w:themeColor="text1"/>
          <w:sz w:val="22"/>
          <w:szCs w:val="22"/>
          <w:lang w:val="es-ES_tradnl"/>
        </w:rPr>
        <w:t>Registro Único de Proponentes</w:t>
      </w:r>
    </w:p>
    <w:p w14:paraId="43E68781" w14:textId="77777777" w:rsidR="00237416" w:rsidRPr="002F0732" w:rsidRDefault="00237416" w:rsidP="00237416">
      <w:pPr>
        <w:spacing w:line="276" w:lineRule="auto"/>
        <w:jc w:val="both"/>
        <w:rPr>
          <w:rFonts w:ascii="Arial" w:eastAsia="Calibri" w:hAnsi="Arial" w:cs="Arial"/>
          <w:b/>
          <w:bCs/>
          <w:color w:val="000000" w:themeColor="text1"/>
          <w:sz w:val="22"/>
          <w:szCs w:val="22"/>
          <w:lang w:val="es-ES_tradnl"/>
        </w:rPr>
      </w:pPr>
    </w:p>
    <w:p w14:paraId="7DE94444" w14:textId="77777777" w:rsidR="00237416" w:rsidRPr="002F0732" w:rsidRDefault="00237416" w:rsidP="00237416">
      <w:pPr>
        <w:spacing w:line="276" w:lineRule="auto"/>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El Registro Único de Proponentes –RUP– contiene información relacionada con las personas naturales y jurídicas</w:t>
      </w:r>
      <w:r>
        <w:rPr>
          <w:rFonts w:ascii="Arial" w:eastAsia="Calibri" w:hAnsi="Arial" w:cs="Arial"/>
          <w:color w:val="000000" w:themeColor="text1"/>
          <w:sz w:val="22"/>
          <w:szCs w:val="22"/>
          <w:lang w:val="es-ES_tradnl"/>
        </w:rPr>
        <w:t xml:space="preserve"> que aspiran a celebrar contratos con las entidades estatales</w:t>
      </w:r>
      <w:r w:rsidRPr="002F073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Este registro t</w:t>
      </w:r>
      <w:r w:rsidRPr="002F0732">
        <w:rPr>
          <w:rFonts w:ascii="Arial" w:eastAsia="Calibri" w:hAnsi="Arial" w:cs="Arial"/>
          <w:color w:val="000000" w:themeColor="text1"/>
          <w:sz w:val="22"/>
          <w:szCs w:val="22"/>
          <w:lang w:val="es-ES_tradnl"/>
        </w:rPr>
        <w:t xml:space="preserve">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78ECCDD3"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La Ley 1150 de 2007 ―numeral 6.1 del artículo 6―, al determinar las características aplicables al RUP, cualifica la información plasmada en él, al establecer que constituye plena prueba de lo que contiene. A su vez, el numeral 1 del artículo 5 de la misma ley, al establecer los criterios que deben tener en cuenta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2FA111DD"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 calidad de contratantes–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513708A7"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Lo anterior fue reafirmado por el Consejo de Estado, quien enlistó las excepciones en las cuales no es necesario estar inscrito en el RUP para participar en procedimientos de selección adelantados por las entidades estatales, incluyendo el supuesto en que se puede verificar </w:t>
      </w:r>
      <w:r>
        <w:rPr>
          <w:rFonts w:ascii="Arial" w:eastAsia="Calibri" w:hAnsi="Arial" w:cs="Arial"/>
          <w:color w:val="000000" w:themeColor="text1"/>
          <w:sz w:val="22"/>
          <w:szCs w:val="22"/>
          <w:lang w:val="es-ES_tradnl"/>
        </w:rPr>
        <w:t xml:space="preserve">la </w:t>
      </w:r>
      <w:r w:rsidRPr="002F0732">
        <w:rPr>
          <w:rFonts w:ascii="Arial" w:eastAsia="Calibri" w:hAnsi="Arial" w:cs="Arial"/>
          <w:color w:val="000000" w:themeColor="text1"/>
          <w:sz w:val="22"/>
          <w:szCs w:val="22"/>
          <w:lang w:val="es-ES_tradnl"/>
        </w:rPr>
        <w:t>información adicional a la contenida en él:</w:t>
      </w:r>
    </w:p>
    <w:p w14:paraId="4753BF71"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i) No se requiere el RUP respecto de los proponentes que pretenden celebrar los contratos enunciados en el inciso segundo del artículo 6 de la ley 1150, así como en los eventos de contratación directa.</w:t>
      </w:r>
    </w:p>
    <w:p w14:paraId="72E4248B"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ii) Tratándose de personas naturales extranjeras sin domicilio en el país o de personas jurídicas extranjeras que no tengan sucursal en Colombia, o en aquellos casos en que el procedimiento de selección haya utilizado sistemas de precalificación.</w:t>
      </w:r>
    </w:p>
    <w:p w14:paraId="355AE82D" w14:textId="77777777" w:rsidR="00237416" w:rsidRPr="002F073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iii) Cuando por las características del objeto a contratar se requiera verificar requisitos del proponente adicionales a los contenidos en el RUP, caso donde puede </w:t>
      </w:r>
      <w:r w:rsidRPr="002F0732">
        <w:rPr>
          <w:rFonts w:ascii="Arial" w:eastAsia="Calibri" w:hAnsi="Arial" w:cs="Arial"/>
          <w:color w:val="000000" w:themeColor="text1"/>
          <w:sz w:val="22"/>
          <w:szCs w:val="22"/>
          <w:lang w:val="es-ES_tradnl"/>
        </w:rPr>
        <w:lastRenderedPageBreak/>
        <w:t>exigirse el registro, solo que habrá información adicional que podrá verificar la entidad directamente.</w:t>
      </w:r>
    </w:p>
    <w:p w14:paraId="7B89CD9A"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En este sentido, salvo las excepciones enunciadas, </w:t>
      </w:r>
      <w:r>
        <w:rPr>
          <w:rFonts w:ascii="Arial" w:eastAsia="Calibri" w:hAnsi="Arial" w:cs="Arial"/>
          <w:color w:val="000000" w:themeColor="text1"/>
          <w:sz w:val="22"/>
          <w:szCs w:val="22"/>
          <w:lang w:val="es-ES_tradnl"/>
        </w:rPr>
        <w:t xml:space="preserve">por regla general </w:t>
      </w:r>
      <w:r w:rsidRPr="002F0732">
        <w:rPr>
          <w:rFonts w:ascii="Arial" w:eastAsia="Calibri" w:hAnsi="Arial" w:cs="Arial"/>
          <w:color w:val="000000" w:themeColor="text1"/>
          <w:sz w:val="22"/>
          <w:szCs w:val="22"/>
          <w:lang w:val="es-ES_tradnl"/>
        </w:rPr>
        <w:t xml:space="preserve">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w:t>
      </w:r>
      <w:r>
        <w:rPr>
          <w:rFonts w:ascii="Arial" w:eastAsia="Calibri" w:hAnsi="Arial" w:cs="Arial"/>
          <w:color w:val="000000" w:themeColor="text1"/>
          <w:sz w:val="22"/>
          <w:szCs w:val="22"/>
          <w:lang w:val="es-ES_tradnl"/>
        </w:rPr>
        <w:t>estatales</w:t>
      </w:r>
      <w:r w:rsidRPr="002F0732">
        <w:rPr>
          <w:rFonts w:ascii="Arial" w:eastAsia="Calibri" w:hAnsi="Arial" w:cs="Arial"/>
          <w:color w:val="000000" w:themeColor="text1"/>
          <w:sz w:val="22"/>
          <w:szCs w:val="22"/>
          <w:lang w:val="es-ES_tradnl"/>
        </w:rPr>
        <w:t xml:space="preserve"> efectuar su verificación, en aplicación de los principios que rigen la función </w:t>
      </w:r>
      <w:r>
        <w:rPr>
          <w:rFonts w:ascii="Arial" w:eastAsia="Calibri" w:hAnsi="Arial" w:cs="Arial"/>
          <w:color w:val="000000" w:themeColor="text1"/>
          <w:sz w:val="22"/>
          <w:szCs w:val="22"/>
          <w:lang w:val="es-ES_tradnl"/>
        </w:rPr>
        <w:t>administrativa</w:t>
      </w:r>
      <w:r w:rsidRPr="002F0732">
        <w:rPr>
          <w:rFonts w:ascii="Arial" w:eastAsia="Calibri" w:hAnsi="Arial" w:cs="Arial"/>
          <w:color w:val="000000" w:themeColor="text1"/>
          <w:sz w:val="22"/>
          <w:szCs w:val="22"/>
          <w:lang w:val="es-ES_tradnl"/>
        </w:rPr>
        <w:t>, para estos efectos, especialmente los de selección objetiva y economía.</w:t>
      </w:r>
    </w:p>
    <w:p w14:paraId="70A1832E" w14:textId="77777777" w:rsidR="00237416" w:rsidRPr="00AC7A12" w:rsidRDefault="00237416" w:rsidP="00237416">
      <w:pPr>
        <w:spacing w:line="276" w:lineRule="auto"/>
        <w:ind w:firstLine="709"/>
        <w:jc w:val="both"/>
        <w:rPr>
          <w:rFonts w:ascii="Arial" w:eastAsia="Calibri" w:hAnsi="Arial" w:cs="Arial"/>
          <w:color w:val="000000" w:themeColor="text1"/>
          <w:sz w:val="22"/>
          <w:szCs w:val="22"/>
          <w:lang w:val="es-ES_tradnl"/>
        </w:rPr>
      </w:pPr>
    </w:p>
    <w:p w14:paraId="7F326DD3" w14:textId="77777777" w:rsidR="00237416" w:rsidRPr="00AC7A12" w:rsidRDefault="00237416" w:rsidP="00237416">
      <w:pPr>
        <w:tabs>
          <w:tab w:val="left" w:pos="426"/>
        </w:tabs>
        <w:spacing w:line="276" w:lineRule="auto"/>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2</w:t>
      </w:r>
      <w:r w:rsidRPr="00AC7A12">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R</w:t>
      </w:r>
      <w:r w:rsidRPr="0012337E">
        <w:rPr>
          <w:rFonts w:ascii="Arial" w:eastAsia="Calibri" w:hAnsi="Arial" w:cs="Arial"/>
          <w:b/>
          <w:bCs/>
          <w:color w:val="000000" w:themeColor="text1"/>
          <w:sz w:val="22"/>
          <w:szCs w:val="22"/>
          <w:lang w:val="es-ES_tradnl"/>
        </w:rPr>
        <w:t>equisitos habilitantes de capacidad financiera y organizacional</w:t>
      </w:r>
    </w:p>
    <w:p w14:paraId="4CAC2A11" w14:textId="77777777" w:rsidR="00237416" w:rsidRPr="00AC7A12" w:rsidRDefault="00237416" w:rsidP="00237416">
      <w:pPr>
        <w:tabs>
          <w:tab w:val="left" w:pos="426"/>
        </w:tabs>
        <w:spacing w:line="276" w:lineRule="auto"/>
        <w:jc w:val="both"/>
        <w:rPr>
          <w:rFonts w:ascii="Arial" w:eastAsia="Calibri" w:hAnsi="Arial" w:cs="Arial"/>
          <w:b/>
          <w:color w:val="000000" w:themeColor="text1"/>
          <w:sz w:val="22"/>
          <w:lang w:val="es-ES_tradnl"/>
        </w:rPr>
      </w:pPr>
    </w:p>
    <w:p w14:paraId="03D6B61B" w14:textId="77777777" w:rsidR="00237416" w:rsidRDefault="00237416" w:rsidP="00237416">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La Ley 1150 de 2007, en el artículo 5, exige el cumplimiento de los requisitos habilitantes en los procesos de selección. A través de ellos las entidades fijan unos mínimos que debe tener y acreditar el proponente, para que pueda verificarse su aptitud para participar en el procedimiento de contratación y, si se le adjudica, ejecutar el contrato estatal</w:t>
      </w:r>
      <w:r w:rsidRPr="00AC7A12">
        <w:rPr>
          <w:rStyle w:val="Refdenotaalpie"/>
          <w:rFonts w:ascii="Arial" w:eastAsia="Calibri" w:hAnsi="Arial" w:cs="Arial"/>
          <w:color w:val="000000" w:themeColor="text1"/>
          <w:sz w:val="22"/>
          <w:lang w:val="es-ES_tradnl"/>
        </w:rPr>
        <w:footnoteReference w:id="2"/>
      </w:r>
      <w:r w:rsidRPr="00AC7A12">
        <w:rPr>
          <w:rFonts w:ascii="Arial" w:eastAsia="Calibri" w:hAnsi="Arial" w:cs="Arial"/>
          <w:color w:val="000000" w:themeColor="text1"/>
          <w:sz w:val="22"/>
          <w:lang w:val="es-ES_tradnl"/>
        </w:rPr>
        <w:t>.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w:t>
      </w:r>
    </w:p>
    <w:p w14:paraId="5F14DACF" w14:textId="77777777" w:rsidR="00237416" w:rsidRPr="00AC7A12" w:rsidRDefault="00237416" w:rsidP="00237416">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Para esto, la entidad, según el artículo 2.2.1.1.1.6.2. del Decreto 1082 de 2015, debe tener en cuenta el estudio del sector y sus componentes, como por ejemplo la identificación de riesgos, así como el precio del bien, obra o servicio a contratar</w:t>
      </w:r>
      <w:r w:rsidRPr="00AC7A12">
        <w:rPr>
          <w:rStyle w:val="Refdenotaalpie"/>
          <w:rFonts w:ascii="Arial" w:eastAsia="Calibri" w:hAnsi="Arial" w:cs="Arial"/>
          <w:color w:val="000000" w:themeColor="text1"/>
          <w:sz w:val="22"/>
          <w:lang w:val="es-ES_tradnl"/>
        </w:rPr>
        <w:footnoteReference w:id="3"/>
      </w:r>
      <w:r w:rsidRPr="00AC7A12">
        <w:rPr>
          <w:rFonts w:ascii="Arial" w:eastAsia="Calibri" w:hAnsi="Arial" w:cs="Arial"/>
          <w:color w:val="000000" w:themeColor="text1"/>
          <w:sz w:val="22"/>
          <w:lang w:val="es-ES_tradnl"/>
        </w:rPr>
        <w:t>.</w:t>
      </w:r>
    </w:p>
    <w:p w14:paraId="3E1B2F76" w14:textId="77777777" w:rsidR="00237416" w:rsidRPr="00AC7A12" w:rsidRDefault="00237416" w:rsidP="00237416">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AC7A12">
        <w:rPr>
          <w:rStyle w:val="Refdenotaalpie"/>
          <w:rFonts w:ascii="Arial" w:eastAsia="Calibri" w:hAnsi="Arial" w:cs="Arial"/>
          <w:color w:val="000000" w:themeColor="text1"/>
          <w:sz w:val="22"/>
          <w:lang w:val="es-ES_tradnl"/>
        </w:rPr>
        <w:footnoteReference w:id="4"/>
      </w:r>
      <w:r w:rsidRPr="00AC7A12">
        <w:rPr>
          <w:rFonts w:ascii="Arial" w:eastAsia="Calibri" w:hAnsi="Arial" w:cs="Arial"/>
          <w:color w:val="000000" w:themeColor="text1"/>
          <w:sz w:val="22"/>
          <w:lang w:val="es-ES_tradnl"/>
        </w:rPr>
        <w:t xml:space="preserve">. </w:t>
      </w:r>
    </w:p>
    <w:p w14:paraId="33F889CD" w14:textId="77777777" w:rsidR="00237416" w:rsidRPr="00AC7A12" w:rsidRDefault="00237416" w:rsidP="00237416">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AC7A12">
        <w:rPr>
          <w:rStyle w:val="Refdenotaalpie"/>
          <w:rFonts w:ascii="Arial" w:eastAsia="Calibri" w:hAnsi="Arial" w:cs="Arial"/>
          <w:color w:val="000000" w:themeColor="text1"/>
          <w:sz w:val="22"/>
          <w:lang w:val="es-ES_tradnl"/>
        </w:rPr>
        <w:footnoteReference w:id="5"/>
      </w:r>
      <w:r w:rsidRPr="00AC7A12">
        <w:rPr>
          <w:rFonts w:ascii="Arial" w:eastAsia="Calibri" w:hAnsi="Arial" w:cs="Arial"/>
          <w:color w:val="000000" w:themeColor="text1"/>
          <w:sz w:val="22"/>
          <w:lang w:val="es-ES_tradnl"/>
        </w:rPr>
        <w:t xml:space="preserve">. </w:t>
      </w:r>
    </w:p>
    <w:p w14:paraId="60CB3F55" w14:textId="77777777" w:rsidR="00237416" w:rsidRPr="00AC7A12" w:rsidRDefault="00237416" w:rsidP="00237416">
      <w:pPr>
        <w:spacing w:before="120"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Respecto de la capacidad financiera, </w:t>
      </w:r>
      <w:r>
        <w:rPr>
          <w:rFonts w:ascii="Arial" w:eastAsia="Calibri" w:hAnsi="Arial" w:cs="Arial"/>
          <w:color w:val="000000" w:themeColor="text1"/>
          <w:sz w:val="22"/>
          <w:lang w:val="es-ES_tradnl"/>
        </w:rPr>
        <w:t xml:space="preserve">como se mencionó, </w:t>
      </w:r>
      <w:r w:rsidRPr="00AC7A12">
        <w:rPr>
          <w:rFonts w:ascii="Arial" w:eastAsia="Calibri" w:hAnsi="Arial" w:cs="Arial"/>
          <w:color w:val="000000" w:themeColor="text1"/>
          <w:sz w:val="22"/>
          <w:lang w:val="es-ES_tradnl"/>
        </w:rPr>
        <w:t>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7049931E" w14:textId="77777777" w:rsidR="00237416" w:rsidRPr="00AC7A12" w:rsidRDefault="00237416" w:rsidP="00237416">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Agencia Nacional de Contratación Pública </w:t>
      </w:r>
      <w:r>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w:t>
      </w:r>
      <w:r w:rsidRPr="00AC7A12">
        <w:rPr>
          <w:rFonts w:ascii="Arial" w:eastAsia="Calibri" w:hAnsi="Arial" w:cs="Arial"/>
          <w:color w:val="000000" w:themeColor="text1"/>
          <w:sz w:val="22"/>
          <w:lang w:val="es-ES_tradnl"/>
        </w:rPr>
        <w:lastRenderedPageBreak/>
        <w:t>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AC7A12">
        <w:rPr>
          <w:rStyle w:val="Refdenotaalpie"/>
          <w:rFonts w:ascii="Arial" w:eastAsia="Calibri" w:hAnsi="Arial" w:cs="Arial"/>
          <w:color w:val="000000" w:themeColor="text1"/>
          <w:sz w:val="22"/>
          <w:lang w:val="es-ES_tradnl"/>
        </w:rPr>
        <w:footnoteReference w:id="6"/>
      </w:r>
      <w:r w:rsidRPr="00AC7A12">
        <w:rPr>
          <w:rFonts w:ascii="Arial" w:eastAsia="Calibri" w:hAnsi="Arial" w:cs="Arial"/>
          <w:color w:val="000000" w:themeColor="text1"/>
          <w:sz w:val="22"/>
          <w:lang w:val="es-ES_tradnl"/>
        </w:rPr>
        <w:t>.</w:t>
      </w:r>
    </w:p>
    <w:p w14:paraId="519DCDAC" w14:textId="77777777" w:rsidR="00237416" w:rsidRDefault="00237416" w:rsidP="00237416">
      <w:pPr>
        <w:spacing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Ahora bien, la capacidad organizacional también se mide a través de indicadores: i) rentabilidad del patrimonio y ii) rentabilidad del activo. Sus resultados deben interpretarse observando el riesgo que un indicador alto o bajo representa para el procedimiento. Por ende, la entidad deb</w:t>
      </w:r>
      <w:r>
        <w:rPr>
          <w:rFonts w:ascii="Arial" w:eastAsia="Calibri" w:hAnsi="Arial" w:cs="Arial"/>
          <w:color w:val="000000" w:themeColor="text1"/>
          <w:sz w:val="22"/>
          <w:lang w:val="es-ES_tradnl"/>
        </w:rPr>
        <w:t>e</w:t>
      </w:r>
      <w:r w:rsidRPr="00AC7A12">
        <w:rPr>
          <w:rFonts w:ascii="Arial" w:eastAsia="Calibri" w:hAnsi="Arial" w:cs="Arial"/>
          <w:color w:val="000000" w:themeColor="text1"/>
          <w:sz w:val="22"/>
          <w:lang w:val="es-ES_tradnl"/>
        </w:rPr>
        <w:t xml:space="preserve"> establecer unos límites dentro de los cuales se garantice que el proponente </w:t>
      </w:r>
      <w:r>
        <w:rPr>
          <w:rFonts w:ascii="Arial" w:eastAsia="Calibri" w:hAnsi="Arial" w:cs="Arial"/>
          <w:color w:val="000000" w:themeColor="text1"/>
          <w:sz w:val="22"/>
          <w:lang w:val="es-ES_tradnl"/>
        </w:rPr>
        <w:t>pueda</w:t>
      </w:r>
      <w:r w:rsidRPr="00AC7A12">
        <w:rPr>
          <w:rFonts w:ascii="Arial" w:eastAsia="Calibri" w:hAnsi="Arial" w:cs="Arial"/>
          <w:color w:val="000000" w:themeColor="text1"/>
          <w:sz w:val="22"/>
          <w:lang w:val="es-ES_tradnl"/>
        </w:rPr>
        <w:t xml:space="preserve"> cumplir el contrato en caso de celebrarlo</w:t>
      </w:r>
      <w:r w:rsidRPr="00AC7A12">
        <w:rPr>
          <w:rStyle w:val="Refdenotaalpie"/>
          <w:rFonts w:ascii="Arial" w:eastAsia="Calibri" w:hAnsi="Arial" w:cs="Arial"/>
          <w:color w:val="000000" w:themeColor="text1"/>
          <w:sz w:val="22"/>
          <w:lang w:val="es-ES_tradnl"/>
        </w:rPr>
        <w:footnoteReference w:id="7"/>
      </w:r>
      <w:r w:rsidRPr="00AC7A12">
        <w:rPr>
          <w:rFonts w:ascii="Arial" w:eastAsia="Calibri" w:hAnsi="Arial" w:cs="Arial"/>
          <w:color w:val="000000" w:themeColor="text1"/>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2DE82F5B" w14:textId="77777777" w:rsidR="00237416" w:rsidRDefault="00237416" w:rsidP="00237416">
      <w:pPr>
        <w:spacing w:line="276" w:lineRule="auto"/>
        <w:jc w:val="both"/>
        <w:rPr>
          <w:rFonts w:ascii="Arial" w:eastAsia="Calibri" w:hAnsi="Arial" w:cs="Arial"/>
          <w:color w:val="000000" w:themeColor="text1"/>
          <w:sz w:val="22"/>
          <w:lang w:val="es-ES_tradnl"/>
        </w:rPr>
      </w:pPr>
    </w:p>
    <w:p w14:paraId="3F6D70CE" w14:textId="77777777" w:rsidR="00237416" w:rsidRPr="00AC7A12" w:rsidRDefault="00237416" w:rsidP="00237416">
      <w:pPr>
        <w:spacing w:line="276" w:lineRule="auto"/>
        <w:jc w:val="both"/>
        <w:rPr>
          <w:rFonts w:ascii="Arial" w:eastAsia="Calibri" w:hAnsi="Arial" w:cs="Arial"/>
          <w:b/>
          <w:bCs/>
          <w:color w:val="000000" w:themeColor="text1"/>
          <w:sz w:val="22"/>
          <w:szCs w:val="22"/>
          <w:lang w:val="es-ES_tradnl"/>
        </w:rPr>
      </w:pPr>
      <w:r w:rsidRPr="00AC7A12">
        <w:rPr>
          <w:rFonts w:ascii="Arial" w:eastAsia="Calibri" w:hAnsi="Arial" w:cs="Arial"/>
          <w:b/>
          <w:bCs/>
          <w:color w:val="000000" w:themeColor="text1"/>
          <w:sz w:val="22"/>
          <w:szCs w:val="22"/>
          <w:lang w:val="es-ES_tradnl"/>
        </w:rPr>
        <w:t>2.</w:t>
      </w:r>
      <w:r>
        <w:rPr>
          <w:rFonts w:ascii="Arial" w:eastAsia="Calibri" w:hAnsi="Arial" w:cs="Arial"/>
          <w:b/>
          <w:bCs/>
          <w:color w:val="000000" w:themeColor="text1"/>
          <w:sz w:val="22"/>
          <w:szCs w:val="22"/>
          <w:lang w:val="es-ES_tradnl"/>
        </w:rPr>
        <w:t>3</w:t>
      </w:r>
      <w:r w:rsidRPr="00AC7A12">
        <w:rPr>
          <w:rFonts w:ascii="Arial" w:eastAsia="Calibri" w:hAnsi="Arial" w:cs="Arial"/>
          <w:b/>
          <w:bCs/>
          <w:color w:val="000000" w:themeColor="text1"/>
          <w:sz w:val="22"/>
          <w:szCs w:val="22"/>
          <w:lang w:val="es-ES_tradnl"/>
        </w:rPr>
        <w:t xml:space="preserve">. Modificaciones introducidas </w:t>
      </w:r>
      <w:r w:rsidRPr="00F374C8">
        <w:rPr>
          <w:rFonts w:ascii="Arial" w:eastAsia="Calibri" w:hAnsi="Arial" w:cs="Arial"/>
          <w:b/>
          <w:bCs/>
          <w:color w:val="000000" w:themeColor="text1"/>
          <w:sz w:val="22"/>
          <w:szCs w:val="22"/>
          <w:lang w:val="es-ES_tradnl"/>
        </w:rPr>
        <w:t xml:space="preserve">por </w:t>
      </w:r>
      <w:r w:rsidRPr="00EA3C17">
        <w:rPr>
          <w:rFonts w:ascii="Arial" w:eastAsia="Calibri" w:hAnsi="Arial" w:cs="Arial"/>
          <w:b/>
          <w:bCs/>
          <w:color w:val="000000" w:themeColor="text1"/>
          <w:sz w:val="22"/>
          <w:szCs w:val="22"/>
          <w:lang w:val="es-ES_tradnl"/>
        </w:rPr>
        <w:t>los Decretos 399 de 2021 y 579 de 2021</w:t>
      </w:r>
      <w:r w:rsidRPr="007B6008">
        <w:rPr>
          <w:rFonts w:ascii="Arial" w:eastAsia="Calibri" w:hAnsi="Arial" w:cs="Arial"/>
          <w:b/>
          <w:bCs/>
          <w:color w:val="000000" w:themeColor="text1"/>
          <w:sz w:val="22"/>
          <w:szCs w:val="22"/>
          <w:lang w:val="es-ES_tradnl"/>
        </w:rPr>
        <w:t>,</w:t>
      </w:r>
      <w:r w:rsidRPr="00AC7A12">
        <w:rPr>
          <w:rFonts w:ascii="Arial" w:eastAsia="Calibri" w:hAnsi="Arial" w:cs="Arial"/>
          <w:b/>
          <w:bCs/>
          <w:color w:val="000000" w:themeColor="text1"/>
          <w:sz w:val="22"/>
          <w:szCs w:val="22"/>
          <w:lang w:val="es-ES_tradnl"/>
        </w:rPr>
        <w:t xml:space="preserve"> frente a la información del RUP</w:t>
      </w:r>
      <w:r>
        <w:rPr>
          <w:rFonts w:ascii="Arial" w:eastAsia="Calibri" w:hAnsi="Arial" w:cs="Arial"/>
          <w:b/>
          <w:bCs/>
          <w:color w:val="000000" w:themeColor="text1"/>
          <w:sz w:val="22"/>
          <w:szCs w:val="22"/>
          <w:lang w:val="es-ES_tradnl"/>
        </w:rPr>
        <w:t xml:space="preserve"> y</w:t>
      </w:r>
      <w:r w:rsidRPr="00AC7A12">
        <w:rPr>
          <w:rFonts w:ascii="Arial" w:eastAsia="Calibri" w:hAnsi="Arial" w:cs="Arial"/>
          <w:b/>
          <w:bCs/>
          <w:color w:val="000000" w:themeColor="text1"/>
          <w:sz w:val="22"/>
          <w:szCs w:val="22"/>
          <w:lang w:val="es-ES_tradnl"/>
        </w:rPr>
        <w:t xml:space="preserve"> verificación de la capacidad financiera y organizacional </w:t>
      </w:r>
    </w:p>
    <w:p w14:paraId="648D51E5" w14:textId="77777777" w:rsidR="00237416" w:rsidRPr="00AC7A12" w:rsidRDefault="00237416" w:rsidP="00237416">
      <w:pPr>
        <w:spacing w:line="276" w:lineRule="auto"/>
        <w:jc w:val="both"/>
        <w:rPr>
          <w:rFonts w:ascii="Arial" w:eastAsia="Calibri" w:hAnsi="Arial" w:cs="Arial"/>
          <w:color w:val="000000" w:themeColor="text1"/>
          <w:sz w:val="22"/>
          <w:szCs w:val="22"/>
          <w:lang w:val="es-ES_tradnl"/>
        </w:rPr>
      </w:pPr>
    </w:p>
    <w:p w14:paraId="1C8BADD6" w14:textId="77777777" w:rsidR="00237416" w:rsidRPr="00AC7A12" w:rsidRDefault="00237416" w:rsidP="00237416">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w:t>
      </w:r>
      <w:r>
        <w:rPr>
          <w:rFonts w:ascii="Arial" w:eastAsia="Calibri" w:hAnsi="Arial" w:cs="Arial"/>
          <w:color w:val="000000" w:themeColor="text1"/>
          <w:sz w:val="22"/>
          <w:szCs w:val="22"/>
          <w:lang w:val="es-ES_tradnl"/>
        </w:rPr>
        <w:t xml:space="preserve"> –a partir de la modificación posteriormente introducida por el Decreto 579 de 2021–</w:t>
      </w:r>
      <w:r w:rsidRPr="00AC7A12">
        <w:rPr>
          <w:rFonts w:ascii="Arial" w:eastAsia="Calibri" w:hAnsi="Arial" w:cs="Arial"/>
          <w:color w:val="000000" w:themeColor="text1"/>
          <w:sz w:val="22"/>
          <w:szCs w:val="22"/>
          <w:lang w:val="es-ES_tradnl"/>
        </w:rPr>
        <w:t xml:space="preserve"> que a partir del 1 de </w:t>
      </w:r>
      <w:r>
        <w:rPr>
          <w:rFonts w:ascii="Arial" w:eastAsia="Calibri" w:hAnsi="Arial" w:cs="Arial"/>
          <w:i/>
          <w:iCs/>
          <w:color w:val="000000" w:themeColor="text1"/>
          <w:sz w:val="22"/>
          <w:szCs w:val="22"/>
          <w:lang w:val="es-ES_tradnl"/>
        </w:rPr>
        <w:t>julio</w:t>
      </w:r>
      <w:r w:rsidRPr="00AC7A12">
        <w:rPr>
          <w:rFonts w:ascii="Arial" w:eastAsia="Calibri" w:hAnsi="Arial" w:cs="Arial"/>
          <w:color w:val="000000" w:themeColor="text1"/>
          <w:sz w:val="22"/>
          <w:szCs w:val="22"/>
          <w:lang w:val="es-ES_tradnl"/>
        </w:rPr>
        <w:t xml:space="preserve"> de 2021</w:t>
      </w:r>
      <w:r w:rsidRPr="00AC7A12">
        <w:rPr>
          <w:rStyle w:val="Refdenotaalpie"/>
          <w:rFonts w:ascii="Arial" w:eastAsia="Calibri" w:hAnsi="Arial" w:cs="Arial"/>
          <w:color w:val="000000" w:themeColor="text1"/>
          <w:sz w:val="22"/>
          <w:szCs w:val="22"/>
          <w:lang w:val="es-ES_tradnl"/>
        </w:rPr>
        <w:footnoteReference w:id="8"/>
      </w:r>
      <w:r w:rsidRPr="00AC7A12">
        <w:rPr>
          <w:rFonts w:ascii="Arial" w:eastAsia="Calibri" w:hAnsi="Arial" w:cs="Arial"/>
          <w:color w:val="000000" w:themeColor="text1"/>
          <w:sz w:val="22"/>
          <w:szCs w:val="22"/>
          <w:lang w:val="es-ES_tradnl"/>
        </w:rPr>
        <w:t xml:space="preserve"> las entidades estatales </w:t>
      </w:r>
      <w:r w:rsidRPr="00AC7A12">
        <w:rPr>
          <w:rFonts w:ascii="Arial" w:eastAsia="Calibri" w:hAnsi="Arial" w:cs="Arial"/>
          <w:color w:val="000000" w:themeColor="text1"/>
          <w:sz w:val="22"/>
          <w:szCs w:val="22"/>
          <w:lang w:val="es-ES_tradnl"/>
        </w:rPr>
        <w:lastRenderedPageBreak/>
        <w:t>deberán tener en cuenta los datos sobre la capacidad financiera y organizacional de los últimos tres años, consignada en el RUP. Así lo justifica textualmente el reglamento</w:t>
      </w:r>
      <w:r>
        <w:rPr>
          <w:rFonts w:ascii="Arial" w:eastAsia="Calibri" w:hAnsi="Arial" w:cs="Arial"/>
          <w:color w:val="000000" w:themeColor="text1"/>
          <w:sz w:val="22"/>
          <w:szCs w:val="22"/>
          <w:lang w:val="es-ES_tradnl"/>
        </w:rPr>
        <w:t xml:space="preserve"> mencionado</w:t>
      </w:r>
      <w:r w:rsidRPr="00AC7A12">
        <w:rPr>
          <w:rFonts w:ascii="Arial" w:eastAsia="Calibri" w:hAnsi="Arial" w:cs="Arial"/>
          <w:color w:val="000000" w:themeColor="text1"/>
          <w:sz w:val="22"/>
          <w:szCs w:val="22"/>
          <w:lang w:val="es-ES_tradnl"/>
        </w:rPr>
        <w:t>, en sus consideraciones:</w:t>
      </w:r>
    </w:p>
    <w:p w14:paraId="3598B6F2"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3EAF3157"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62049EC2"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664B759B"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77EBA22F"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25B9CDFA"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641FAEAF"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2E7D58A0"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9BDBEEE" w14:textId="77777777" w:rsidR="00237416" w:rsidRPr="00AC7A12" w:rsidRDefault="00237416" w:rsidP="00237416">
      <w:pPr>
        <w:spacing w:line="276" w:lineRule="auto"/>
        <w:jc w:val="both"/>
        <w:rPr>
          <w:rFonts w:ascii="Arial" w:eastAsia="Calibri" w:hAnsi="Arial" w:cs="Arial"/>
          <w:color w:val="000000" w:themeColor="text1"/>
          <w:sz w:val="22"/>
          <w:szCs w:val="22"/>
          <w:lang w:val="es-ES_tradnl"/>
        </w:rPr>
      </w:pPr>
    </w:p>
    <w:p w14:paraId="1F526AE8" w14:textId="77777777" w:rsidR="00237416" w:rsidRPr="00AC7A12" w:rsidRDefault="00237416" w:rsidP="00237416">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AC7A12">
        <w:rPr>
          <w:rStyle w:val="Refdenotaalpie"/>
          <w:rFonts w:ascii="Arial" w:eastAsia="Calibri" w:hAnsi="Arial" w:cs="Arial"/>
          <w:color w:val="000000" w:themeColor="text1"/>
          <w:sz w:val="22"/>
          <w:szCs w:val="22"/>
          <w:lang w:val="es-ES_tradnl"/>
        </w:rPr>
        <w:footnoteReference w:id="9"/>
      </w:r>
      <w:r w:rsidRPr="00AC7A12">
        <w:rPr>
          <w:rFonts w:ascii="Arial" w:eastAsia="Calibri" w:hAnsi="Arial" w:cs="Arial"/>
          <w:color w:val="000000" w:themeColor="text1"/>
          <w:sz w:val="22"/>
          <w:szCs w:val="22"/>
          <w:lang w:val="es-ES_tradnl"/>
        </w:rPr>
        <w:t xml:space="preserve">. El </w:t>
      </w:r>
      <w:r w:rsidRPr="00AC7A12">
        <w:rPr>
          <w:rFonts w:ascii="Arial" w:eastAsia="Calibri" w:hAnsi="Arial" w:cs="Arial"/>
          <w:color w:val="000000" w:themeColor="text1"/>
          <w:sz w:val="22"/>
          <w:szCs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w:t>
      </w:r>
      <w:r>
        <w:rPr>
          <w:rFonts w:ascii="Arial" w:eastAsia="Calibri" w:hAnsi="Arial" w:cs="Arial"/>
          <w:color w:val="000000" w:themeColor="text1"/>
          <w:sz w:val="22"/>
          <w:szCs w:val="22"/>
          <w:lang w:val="es-ES_tradnl"/>
        </w:rPr>
        <w:t>esta información</w:t>
      </w:r>
      <w:r w:rsidRPr="00AC7A12">
        <w:rPr>
          <w:rFonts w:ascii="Arial" w:eastAsia="Calibri" w:hAnsi="Arial" w:cs="Arial"/>
          <w:color w:val="000000" w:themeColor="text1"/>
          <w:sz w:val="22"/>
          <w:szCs w:val="22"/>
          <w:lang w:val="es-ES_tradnl"/>
        </w:rPr>
        <w:t>.</w:t>
      </w:r>
    </w:p>
    <w:p w14:paraId="37DC13D5"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El parágrafo transitorio 2 </w:t>
      </w:r>
      <w:r>
        <w:rPr>
          <w:rFonts w:ascii="Arial" w:eastAsia="Calibri" w:hAnsi="Arial" w:cs="Arial"/>
          <w:color w:val="000000" w:themeColor="text1"/>
          <w:sz w:val="22"/>
          <w:szCs w:val="22"/>
          <w:lang w:val="es-ES_tradnl"/>
        </w:rPr>
        <w:t>establece</w:t>
      </w:r>
      <w:r w:rsidRPr="00AC7A12">
        <w:rPr>
          <w:rFonts w:ascii="Arial" w:eastAsia="Calibri" w:hAnsi="Arial" w:cs="Arial"/>
          <w:color w:val="000000" w:themeColor="text1"/>
          <w:sz w:val="22"/>
          <w:szCs w:val="22"/>
          <w:lang w:val="es-ES_tradnl"/>
        </w:rPr>
        <w:t xml:space="preserve"> que en el año 2022, para la inscripción en el RUP o para su renovación, el interesado debe reportar la información contable y los estados financieros, de los tres últimos años fiscales. Además, reitera que si aquel no cuenta con la información financiera de dichos años</w:t>
      </w:r>
      <w:r>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 xml:space="preserve"> por no tener la antigüedad suficiente, podrá aportar la información de su primer cierre fiscal. Igualmente, señala que si la información</w:t>
      </w:r>
      <w:r>
        <w:rPr>
          <w:rFonts w:ascii="Arial" w:eastAsia="Calibri" w:hAnsi="Arial" w:cs="Arial"/>
          <w:color w:val="000000" w:themeColor="text1"/>
          <w:sz w:val="22"/>
          <w:szCs w:val="22"/>
          <w:lang w:val="es-ES_tradnl"/>
        </w:rPr>
        <w:t xml:space="preserve"> del interesado</w:t>
      </w:r>
      <w:r w:rsidRPr="00AC7A12">
        <w:rPr>
          <w:rFonts w:ascii="Arial" w:eastAsia="Calibri" w:hAnsi="Arial" w:cs="Arial"/>
          <w:color w:val="000000" w:themeColor="text1"/>
          <w:sz w:val="22"/>
          <w:szCs w:val="22"/>
          <w:lang w:val="es-ES_tradnl"/>
        </w:rPr>
        <w:t xml:space="preserve"> correspondiente a los años 2019 y/o 2020 reposa en la cámara de comercio, no se tendrá que presentar de nuevo, porque </w:t>
      </w:r>
      <w:r>
        <w:rPr>
          <w:rFonts w:ascii="Arial" w:eastAsia="Calibri" w:hAnsi="Arial" w:cs="Arial"/>
          <w:color w:val="000000" w:themeColor="text1"/>
          <w:sz w:val="22"/>
          <w:szCs w:val="22"/>
          <w:lang w:val="es-ES_tradnl"/>
        </w:rPr>
        <w:t xml:space="preserve">conservará </w:t>
      </w:r>
      <w:r w:rsidRPr="00AC7A12">
        <w:rPr>
          <w:rFonts w:ascii="Arial" w:eastAsia="Calibri" w:hAnsi="Arial" w:cs="Arial"/>
          <w:color w:val="000000" w:themeColor="text1"/>
          <w:sz w:val="22"/>
          <w:szCs w:val="22"/>
          <w:lang w:val="es-ES_tradnl"/>
        </w:rPr>
        <w:t>firmeza</w:t>
      </w:r>
      <w:r>
        <w:rPr>
          <w:rFonts w:ascii="Arial" w:eastAsia="Calibri" w:hAnsi="Arial" w:cs="Arial"/>
          <w:color w:val="000000" w:themeColor="text1"/>
          <w:sz w:val="22"/>
          <w:szCs w:val="22"/>
          <w:lang w:val="es-ES_tradnl"/>
        </w:rPr>
        <w:t xml:space="preserve"> para efectos de su certificación</w:t>
      </w:r>
      <w:r w:rsidRPr="00AC7A12">
        <w:rPr>
          <w:rFonts w:ascii="Arial" w:eastAsia="Calibri" w:hAnsi="Arial" w:cs="Arial"/>
          <w:color w:val="000000" w:themeColor="text1"/>
          <w:sz w:val="22"/>
          <w:szCs w:val="22"/>
          <w:lang w:val="es-ES_tradnl"/>
        </w:rPr>
        <w:t>.</w:t>
      </w:r>
    </w:p>
    <w:p w14:paraId="10F1AC25"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2"/>
          <w:szCs w:val="22"/>
          <w:lang w:val="es-ES_tradnl"/>
        </w:rPr>
        <w:t>c</w:t>
      </w:r>
      <w:r w:rsidRPr="00AC7A12">
        <w:rPr>
          <w:rFonts w:ascii="Arial" w:eastAsia="Calibri" w:hAnsi="Arial" w:cs="Arial"/>
          <w:color w:val="000000" w:themeColor="text1"/>
          <w:sz w:val="22"/>
          <w:szCs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w:t>
      </w:r>
      <w:r>
        <w:rPr>
          <w:rFonts w:ascii="Arial" w:eastAsia="Calibri" w:hAnsi="Arial" w:cs="Arial"/>
          <w:color w:val="000000" w:themeColor="text1"/>
          <w:sz w:val="22"/>
          <w:szCs w:val="22"/>
          <w:lang w:val="es-ES_tradnl"/>
        </w:rPr>
        <w:t>establece</w:t>
      </w:r>
      <w:r w:rsidRPr="00AC7A12">
        <w:rPr>
          <w:rFonts w:ascii="Arial" w:eastAsia="Calibri" w:hAnsi="Arial" w:cs="Arial"/>
          <w:color w:val="000000" w:themeColor="text1"/>
          <w:sz w:val="22"/>
          <w:szCs w:val="22"/>
          <w:lang w:val="es-ES_tradnl"/>
        </w:rPr>
        <w:t xml:space="preserve"> que «El</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2265D226"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otro lado, e</w:t>
      </w:r>
      <w:r w:rsidRPr="00AC7A12">
        <w:rPr>
          <w:rFonts w:ascii="Arial" w:eastAsia="Calibri" w:hAnsi="Arial" w:cs="Arial"/>
          <w:color w:val="000000" w:themeColor="text1"/>
          <w:sz w:val="22"/>
          <w:szCs w:val="22"/>
          <w:lang w:val="es-ES_tradnl"/>
        </w:rPr>
        <w:t>l artículo 6 del Decreto 399 de 2021 adiciona un parágrafo transitorio –sustituido después por el artículo 3 del Decreto 579 de 2021– al artículo 2.2.1.1.1.6.2. del Decreto 1082 de 2015</w:t>
      </w:r>
      <w:r w:rsidRPr="00AC7A12">
        <w:rPr>
          <w:rStyle w:val="Refdenotaalpie"/>
          <w:rFonts w:ascii="Arial" w:eastAsia="Calibri" w:hAnsi="Arial" w:cs="Arial"/>
          <w:color w:val="000000" w:themeColor="text1"/>
          <w:sz w:val="22"/>
          <w:szCs w:val="22"/>
          <w:lang w:val="es-ES_tradnl"/>
        </w:rPr>
        <w:footnoteReference w:id="10"/>
      </w:r>
      <w:r w:rsidRPr="00AC7A12">
        <w:rPr>
          <w:rFonts w:ascii="Arial" w:eastAsia="Calibri" w:hAnsi="Arial" w:cs="Arial"/>
          <w:color w:val="000000" w:themeColor="text1"/>
          <w:sz w:val="22"/>
          <w:szCs w:val="22"/>
          <w:lang w:val="es-ES_tradnl"/>
        </w:rPr>
        <w:t>, con el siguiente contenido:</w:t>
      </w:r>
    </w:p>
    <w:p w14:paraId="373BB2F4"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084D087F"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0E4B990D"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053B41F2"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w:t>
      </w:r>
      <w:r w:rsidRPr="00AC7A12">
        <w:rPr>
          <w:rFonts w:ascii="Arial" w:eastAsia="Calibri" w:hAnsi="Arial" w:cs="Arial"/>
          <w:color w:val="000000" w:themeColor="text1"/>
          <w:sz w:val="21"/>
          <w:szCs w:val="21"/>
          <w:lang w:val="es-ES_tradnl"/>
        </w:rPr>
        <w:lastRenderedPageBreak/>
        <w:t>teniendo en cuenta el mejor año fiscal que se refleje en el registro de cada proponente. ​​</w:t>
      </w:r>
    </w:p>
    <w:p w14:paraId="4D5D998F" w14:textId="77777777" w:rsidR="00237416" w:rsidRPr="00AC7A12" w:rsidRDefault="00237416" w:rsidP="00237416">
      <w:pPr>
        <w:spacing w:line="276" w:lineRule="auto"/>
        <w:jc w:val="both"/>
        <w:rPr>
          <w:rFonts w:ascii="Arial" w:eastAsia="Calibri" w:hAnsi="Arial" w:cs="Arial"/>
          <w:color w:val="000000" w:themeColor="text1"/>
          <w:sz w:val="22"/>
          <w:szCs w:val="22"/>
          <w:lang w:val="es-ES_tradnl"/>
        </w:rPr>
      </w:pPr>
    </w:p>
    <w:p w14:paraId="1AD8E914" w14:textId="77777777" w:rsidR="00237416" w:rsidRPr="00AC7A12" w:rsidRDefault="00237416" w:rsidP="00237416">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0E726DD9"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6ECDF8B"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5848BCCC" w14:textId="77777777" w:rsidR="00237416" w:rsidRPr="00AC7A12" w:rsidRDefault="00237416" w:rsidP="00237416">
      <w:pPr>
        <w:spacing w:before="120"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797FCE20" w14:textId="77777777" w:rsidR="00237416" w:rsidRPr="00AC7A12" w:rsidRDefault="00237416" w:rsidP="00237416">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A partir de la fecha establecida anteriormente, la evaluación de los indicadores de capacidad </w:t>
      </w:r>
      <w:r w:rsidRPr="00AC7A12">
        <w:rPr>
          <w:rFonts w:ascii="Arial" w:eastAsia="Calibri" w:hAnsi="Arial" w:cs="Arial"/>
          <w:i/>
          <w:iCs/>
          <w:color w:val="000000" w:themeColor="text1"/>
          <w:sz w:val="22"/>
          <w:szCs w:val="22"/>
          <w:lang w:val="es-ES_tradnl"/>
        </w:rPr>
        <w:t>financiera –</w:t>
      </w:r>
      <w:r w:rsidRPr="00AC7A12">
        <w:rPr>
          <w:rFonts w:ascii="Arial" w:eastAsia="Calibri" w:hAnsi="Arial" w:cs="Arial"/>
          <w:color w:val="000000" w:themeColor="text1"/>
          <w:sz w:val="22"/>
          <w:szCs w:val="22"/>
          <w:lang w:val="es-ES_tradnl"/>
        </w:rPr>
        <w:t xml:space="preserve">índice de liquidez, índice de endeudamiento y razón de cobertura de intereses– y </w:t>
      </w:r>
      <w:r w:rsidRPr="00AC7A12">
        <w:rPr>
          <w:rFonts w:ascii="Arial" w:eastAsia="Calibri" w:hAnsi="Arial" w:cs="Arial"/>
          <w:i/>
          <w:iCs/>
          <w:color w:val="000000" w:themeColor="text1"/>
          <w:sz w:val="22"/>
          <w:szCs w:val="22"/>
          <w:lang w:val="es-ES_tradnl"/>
        </w:rPr>
        <w:t>organizacional</w:t>
      </w:r>
      <w:r w:rsidRPr="00AC7A12">
        <w:rPr>
          <w:rFonts w:ascii="Arial" w:eastAsia="Calibri" w:hAnsi="Arial" w:cs="Arial"/>
          <w:color w:val="000000" w:themeColor="text1"/>
          <w:sz w:val="22"/>
          <w:szCs w:val="22"/>
          <w:lang w:val="es-ES_tradnl"/>
        </w:rPr>
        <w:t xml:space="preserve"> –rentabilidad del patrimonio y rentabilidad del activo–, se deberá realizar por parte de las entidades estatales «teniendo en cuenta </w:t>
      </w:r>
      <w:r w:rsidRPr="00AC7A12">
        <w:rPr>
          <w:rFonts w:ascii="Arial" w:eastAsia="Calibri" w:hAnsi="Arial" w:cs="Arial"/>
          <w:i/>
          <w:iCs/>
          <w:color w:val="000000" w:themeColor="text1"/>
          <w:sz w:val="22"/>
          <w:szCs w:val="22"/>
          <w:lang w:val="es-ES_tradnl"/>
        </w:rPr>
        <w:t>el mejor año fiscal que se refleje en el registro</w:t>
      </w:r>
      <w:r w:rsidRPr="00AC7A12">
        <w:rPr>
          <w:rFonts w:ascii="Arial" w:eastAsia="Calibri" w:hAnsi="Arial" w:cs="Arial"/>
          <w:color w:val="000000" w:themeColor="text1"/>
          <w:sz w:val="22"/>
          <w:szCs w:val="22"/>
          <w:lang w:val="es-ES_tradnl"/>
        </w:rPr>
        <w:t xml:space="preserve"> de cada proponente» (énfasis fuera de texto). </w:t>
      </w:r>
    </w:p>
    <w:p w14:paraId="371390AB" w14:textId="77777777" w:rsidR="00237416" w:rsidRPr="00AC7A12" w:rsidRDefault="00237416" w:rsidP="00237416">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examinar los años certificados en el RUP y escoger para ser evaluado el que refleje mejores </w:t>
      </w:r>
      <w:r w:rsidRPr="00AC7A12">
        <w:rPr>
          <w:rFonts w:ascii="Arial" w:eastAsia="Calibri" w:hAnsi="Arial" w:cs="Arial"/>
          <w:color w:val="000000" w:themeColor="text1"/>
          <w:sz w:val="22"/>
          <w:szCs w:val="22"/>
          <w:lang w:val="es-ES_tradnl"/>
        </w:rPr>
        <w:lastRenderedPageBreak/>
        <w:t>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04A1D175" w14:textId="77777777" w:rsidR="00237416" w:rsidRPr="000771DA" w:rsidRDefault="00237416" w:rsidP="00237416">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AC7A12">
        <w:rPr>
          <w:rFonts w:ascii="Arial" w:eastAsia="Calibri" w:hAnsi="Arial" w:cs="Arial"/>
          <w:i/>
          <w:iCs/>
          <w:color w:val="000000" w:themeColor="text1"/>
          <w:sz w:val="22"/>
          <w:szCs w:val="22"/>
          <w:lang w:val="es-ES_tradnl"/>
        </w:rPr>
        <w:t>por cada indicador</w:t>
      </w:r>
      <w:r w:rsidRPr="00AC7A12">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w:t>
      </w:r>
      <w:r w:rsidRPr="000771DA">
        <w:rPr>
          <w:rFonts w:ascii="Arial" w:eastAsia="Calibri" w:hAnsi="Arial" w:cs="Arial"/>
          <w:color w:val="000000" w:themeColor="text1"/>
          <w:sz w:val="22"/>
          <w:szCs w:val="22"/>
          <w:lang w:val="es-ES_tradnl"/>
        </w:rPr>
        <w:t xml:space="preserve">proponente cumpla con dichos requisitos habilitantes. </w:t>
      </w:r>
    </w:p>
    <w:p w14:paraId="4EED271B"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7B021A16"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w:t>
      </w:r>
      <w:r>
        <w:rPr>
          <w:rFonts w:ascii="Arial" w:eastAsia="Calibri" w:hAnsi="Arial" w:cs="Arial"/>
          <w:color w:val="000000" w:themeColor="text1"/>
          <w:sz w:val="22"/>
          <w:szCs w:val="22"/>
          <w:lang w:val="es-ES_tradnl"/>
        </w:rPr>
        <w:t>planeación</w:t>
      </w:r>
      <w:r w:rsidRPr="00C769AF">
        <w:rPr>
          <w:rFonts w:ascii="Arial" w:eastAsia="Calibri" w:hAnsi="Arial" w:cs="Arial"/>
          <w:color w:val="000000" w:themeColor="text1"/>
          <w:sz w:val="22"/>
          <w:szCs w:val="22"/>
          <w:lang w:val="es-ES_tradnl"/>
        </w:rPr>
        <w:t>,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AAFB1AF"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 xml:space="preserve">Por lo demás, lo establecido en el parágrafo transitorio adicionado por el artículo 6 del Decreto 399 de 2021 y sustituido por el artículo 3 del Decreto 579 de 2021, también incide en el cálculo de la </w:t>
      </w:r>
      <w:r w:rsidRPr="00AC7A12">
        <w:rPr>
          <w:rFonts w:ascii="Arial" w:eastAsia="Calibri" w:hAnsi="Arial" w:cs="Arial"/>
          <w:i/>
          <w:iCs/>
          <w:color w:val="000000" w:themeColor="text1"/>
          <w:sz w:val="22"/>
          <w:szCs w:val="22"/>
          <w:lang w:val="es-ES_tradnl"/>
        </w:rPr>
        <w:t xml:space="preserve">capacidad residual </w:t>
      </w:r>
      <w:r w:rsidRPr="00AC7A12">
        <w:rPr>
          <w:rFonts w:ascii="Arial" w:eastAsia="Calibri" w:hAnsi="Arial" w:cs="Arial"/>
          <w:color w:val="000000" w:themeColor="text1"/>
          <w:sz w:val="22"/>
          <w:szCs w:val="22"/>
          <w:lang w:val="es-ES_tradnl"/>
        </w:rPr>
        <w:t>o</w:t>
      </w:r>
      <w:r w:rsidRPr="00AC7A12">
        <w:rPr>
          <w:rFonts w:ascii="Arial" w:eastAsia="Calibri" w:hAnsi="Arial" w:cs="Arial"/>
          <w:i/>
          <w:iCs/>
          <w:color w:val="000000" w:themeColor="text1"/>
          <w:sz w:val="22"/>
          <w:szCs w:val="22"/>
          <w:lang w:val="es-ES_tradnl"/>
        </w:rPr>
        <w:t xml:space="preserve"> K de contratación</w:t>
      </w:r>
      <w:r w:rsidRPr="00AC7A12">
        <w:rPr>
          <w:rFonts w:ascii="Arial" w:eastAsia="Calibri" w:hAnsi="Arial" w:cs="Arial"/>
          <w:color w:val="000000" w:themeColor="text1"/>
          <w:sz w:val="22"/>
          <w:szCs w:val="22"/>
          <w:lang w:val="es-ES_tradnl"/>
        </w:rPr>
        <w:t xml:space="preserve"> –concepto que el Decreto 1082 de 2015 define en el artículo 2.2.1.1.1.3.1. como la «Aptitud de un oferente para cumplir oportuna y cabalmente con el objeto de un contrato de obra, sin que sus otros compromisos contractuales afecten su habilidad de cumplir con el contrato que está en proceso de selección»–. Lo anterior por cuanto la «capacidad financiera» es uno de los factores que deben tenerse en cuenta para definir la capacidad residual, según lo dispuesto en el artículo 2.2.1.1.1.6.4. del Decreto 1082 de 2015, que, en lo pertinente, establece:</w:t>
      </w:r>
    </w:p>
    <w:p w14:paraId="61404B6E"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p>
    <w:p w14:paraId="7A9AB863" w14:textId="77777777" w:rsidR="00237416" w:rsidRPr="00AC7A12" w:rsidRDefault="00237416" w:rsidP="00237416">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w:t>
      </w:r>
    </w:p>
    <w:p w14:paraId="1CA0B0B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Proceso de Contratación de acuerdo con la siguiente fórmula: </w:t>
      </w:r>
    </w:p>
    <w:p w14:paraId="5BA834F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F04FBCA" w14:textId="77777777" w:rsidR="00237416" w:rsidRPr="00AC7A12" w:rsidRDefault="00237416" w:rsidP="00237416">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Capacidad Residual del Proceso de Contratación = Presupuesto oficial estimado - Anticipo</w:t>
      </w:r>
      <w:r w:rsidRPr="00AC7A12">
        <w:rPr>
          <w:rFonts w:ascii="Arial" w:hAnsi="Arial" w:cs="Arial"/>
          <w:color w:val="000000"/>
          <w:sz w:val="21"/>
          <w:szCs w:val="21"/>
          <w:lang w:val="es-ES_tradnl"/>
        </w:rPr>
        <w:t> </w:t>
      </w:r>
    </w:p>
    <w:p w14:paraId="5D3C4B39" w14:textId="77777777" w:rsidR="00237416" w:rsidRPr="00AC7A12" w:rsidRDefault="00237416" w:rsidP="00237416">
      <w:pPr>
        <w:ind w:left="709" w:right="709"/>
        <w:jc w:val="center"/>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6D1EB78D"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Si el plazo estimado del contrato es superior a doce (12) meses, la Capacidad Residual del Proceso de Contratación equivale a la proporción lineal de doce (12) meses del presupuesto oficial estimado menos el anticipo cuando haya lugar. </w:t>
      </w:r>
    </w:p>
    <w:p w14:paraId="4E748100"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6685C2AD"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siguiente fórmula: </w:t>
      </w:r>
    </w:p>
    <w:p w14:paraId="348A535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39AC316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A cada uno de los factores se le asigna el siguiente puntaje máximo: </w:t>
      </w:r>
    </w:p>
    <w:p w14:paraId="1DF045D7"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255"/>
      </w:tblGrid>
      <w:tr w:rsidR="00237416" w:rsidRPr="00AC7A12" w14:paraId="1BF22BA6" w14:textId="77777777" w:rsidTr="003D7287">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25B40187"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FACTOR</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05AB6945"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PUNTAJE MÁXIMO</w:t>
            </w:r>
            <w:r w:rsidRPr="00AC7A12">
              <w:rPr>
                <w:rFonts w:ascii="Arial" w:hAnsi="Arial" w:cs="Arial"/>
                <w:color w:val="000000"/>
                <w:sz w:val="21"/>
                <w:szCs w:val="21"/>
                <w:lang w:val="es-ES_tradnl"/>
              </w:rPr>
              <w:t> </w:t>
            </w:r>
          </w:p>
        </w:tc>
      </w:tr>
      <w:tr w:rsidR="00237416" w:rsidRPr="00AC7A12" w14:paraId="1F1D76C6" w14:textId="77777777" w:rsidTr="003D7287">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34813FE5" w14:textId="77777777" w:rsidR="00237416" w:rsidRPr="00AC7A12" w:rsidRDefault="00237416" w:rsidP="003D7287">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Experiencia (E)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5D7CFDB2"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120</w:t>
            </w:r>
            <w:r w:rsidRPr="00AC7A12">
              <w:rPr>
                <w:rFonts w:ascii="Arial" w:hAnsi="Arial" w:cs="Arial"/>
                <w:color w:val="000000"/>
                <w:sz w:val="21"/>
                <w:szCs w:val="21"/>
                <w:lang w:val="es-ES_tradnl"/>
              </w:rPr>
              <w:t> </w:t>
            </w:r>
          </w:p>
        </w:tc>
      </w:tr>
      <w:tr w:rsidR="00237416" w:rsidRPr="00AC7A12" w14:paraId="241A94CA" w14:textId="77777777" w:rsidTr="003D7287">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48624CFE" w14:textId="77777777" w:rsidR="00237416" w:rsidRPr="00AC7A12" w:rsidRDefault="00237416" w:rsidP="003D7287">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financiera (CF)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E30758D"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37416" w:rsidRPr="00AC7A12" w14:paraId="6B73F4B7" w14:textId="77777777" w:rsidTr="003D7287">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2ACAD8E2" w14:textId="77777777" w:rsidR="00237416" w:rsidRPr="00AC7A12" w:rsidRDefault="00237416" w:rsidP="003D7287">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técnica (CT)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42EF253A"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37416" w:rsidRPr="00AC7A12" w14:paraId="5CB1DB6D" w14:textId="77777777" w:rsidTr="003D7287">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5A7FF7BB" w14:textId="77777777" w:rsidR="00237416" w:rsidRPr="00AC7A12" w:rsidRDefault="00237416" w:rsidP="003D7287">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Total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A4FA675" w14:textId="77777777" w:rsidR="00237416" w:rsidRPr="00AC7A12" w:rsidRDefault="00237416" w:rsidP="003D7287">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200</w:t>
            </w:r>
            <w:r w:rsidRPr="00AC7A12">
              <w:rPr>
                <w:rFonts w:ascii="Arial" w:hAnsi="Arial" w:cs="Arial"/>
                <w:color w:val="000000"/>
                <w:sz w:val="21"/>
                <w:szCs w:val="21"/>
                <w:lang w:val="es-ES_tradnl"/>
              </w:rPr>
              <w:t> </w:t>
            </w:r>
          </w:p>
        </w:tc>
      </w:tr>
    </w:tbl>
    <w:p w14:paraId="2E3BC76E"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465E90D7"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Capacidad de Organización no tiene asignación de puntaje en la fórmula porque su unidad de medida es en pesos colombianos y constituye un factor multiplicador de los demás factores. </w:t>
      </w:r>
    </w:p>
    <w:p w14:paraId="34E765B1"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C350C1F"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El proponente debe acreditar una Capacidad Residual superior o igual a la Capacidad Residual establecida en los Documentos del Proceso para el Proceso de Contratación. </w:t>
      </w:r>
    </w:p>
    <w:p w14:paraId="0A1ECC6B"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A94DF77"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lastRenderedPageBreak/>
        <w:t>Por consiguiente, la Capacidad Residual del proponente es suficiente si: </w:t>
      </w:r>
    </w:p>
    <w:p w14:paraId="1C4DB3B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6BF46B5D"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i/>
          <w:iCs/>
          <w:color w:val="000000"/>
          <w:sz w:val="21"/>
          <w:szCs w:val="21"/>
          <w:lang w:val="es-ES_tradnl"/>
        </w:rPr>
        <w:t>Capacidad Residual del proponente = Capacidad Residual del Proceso de Contratación </w:t>
      </w:r>
      <w:r w:rsidRPr="00AC7A12">
        <w:rPr>
          <w:rFonts w:ascii="Arial" w:hAnsi="Arial" w:cs="Arial"/>
          <w:color w:val="000000"/>
          <w:sz w:val="21"/>
          <w:szCs w:val="21"/>
          <w:lang w:val="es-ES_tradnl"/>
        </w:rPr>
        <w:t> </w:t>
      </w:r>
    </w:p>
    <w:p w14:paraId="1AC7C09B"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7C34AA7C"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 </w:t>
      </w:r>
    </w:p>
    <w:p w14:paraId="0B7D4F63"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w:t>
      </w:r>
    </w:p>
    <w:p w14:paraId="615B31A6" w14:textId="77777777" w:rsidR="00237416" w:rsidRPr="00AC7A12" w:rsidRDefault="00237416" w:rsidP="00237416">
      <w:pPr>
        <w:ind w:left="709" w:right="709"/>
        <w:jc w:val="both"/>
        <w:rPr>
          <w:rFonts w:ascii="Arial" w:hAnsi="Arial" w:cs="Arial"/>
          <w:color w:val="000000"/>
          <w:sz w:val="21"/>
          <w:szCs w:val="21"/>
          <w:lang w:val="es-ES_tradnl"/>
        </w:rPr>
      </w:pPr>
    </w:p>
    <w:p w14:paraId="028C9F5A"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De manera que, si el artículo 6 del Decreto 399 de 2021, sustituido por el artículo 3 del Decreto 579 de 2021, establece que «en relación con los indicadores de la </w:t>
      </w:r>
      <w:r w:rsidRPr="00AC7A12">
        <w:rPr>
          <w:rFonts w:ascii="Arial" w:eastAsia="Calibri" w:hAnsi="Arial" w:cs="Arial"/>
          <w:i/>
          <w:iCs/>
          <w:color w:val="000000" w:themeColor="text1"/>
          <w:sz w:val="22"/>
          <w:szCs w:val="22"/>
          <w:lang w:val="es-ES_tradnl"/>
        </w:rPr>
        <w:t>capacidad financiera</w:t>
      </w:r>
      <w:r w:rsidRPr="00AC7A12">
        <w:rPr>
          <w:rFonts w:ascii="Arial" w:eastAsia="Calibri" w:hAnsi="Arial" w:cs="Arial"/>
          <w:color w:val="000000" w:themeColor="text1"/>
          <w:sz w:val="22"/>
          <w:szCs w:val="22"/>
          <w:lang w:val="es-ES_tradnl"/>
        </w:rPr>
        <w:t xml:space="preserve">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(énfasis fuera de texto), es tal «capacidad financiera», determinada en el mejor año fiscal, la que a su vez se debe considerar para calcular la «capacidad residual». Esta interpretación se apoya en dos argumentos: i) en que la «capacidad financiera» se define en el numeral 3 del artículo 2.2.1.1.1.5.3. del Decreto 1082 de 2015 –artículo que regula los requisitos habilitantes que deben certificar las cámaras de comercio en el RUP– y ii) en que el parágrafo transitorio 1 adicionado al artículo 2.2.1.1.1.5.6. del Decreto 1082 de 2015 por el artículo 5 del Decreto 399 de 2021, y sustituido por el artículo 2 del Decreto 579 de 2021, dice que los requisitos e indicadores de «capacidad financiera» son aquellos a los que alude «[…] el literal (b) del artículo 2.2.1.1.1.5.6. del Decreto 1082 de 2015». Pues bien, este literal dispone que el certificado del RUP debe contener «los requisitos e indicadores a los que se refiere el artículo 2.2.1.1.1.5.3 del presente decreto», es decir que a su vez remite al artículo 2.2.1.1.1.5.3., única norma del Decreto 1082 de 2015 en la que se define la «capacidad financiera», así:</w:t>
      </w:r>
    </w:p>
    <w:p w14:paraId="67C9DE57" w14:textId="77777777" w:rsidR="00237416" w:rsidRPr="00AC7A12" w:rsidRDefault="00237416" w:rsidP="00237416">
      <w:pPr>
        <w:ind w:left="709" w:right="709"/>
        <w:jc w:val="both"/>
        <w:rPr>
          <w:rFonts w:ascii="Arial" w:eastAsia="Calibri" w:hAnsi="Arial" w:cs="Arial"/>
          <w:color w:val="000000" w:themeColor="text1"/>
          <w:sz w:val="22"/>
          <w:szCs w:val="22"/>
          <w:lang w:val="es-ES_tradnl"/>
        </w:rPr>
      </w:pPr>
    </w:p>
    <w:p w14:paraId="4663949C"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 Capacidad Financiera – los siguientes indicadores miden la fortaleza financiera del interesado: </w:t>
      </w:r>
    </w:p>
    <w:p w14:paraId="75490FD1"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EF0BB64"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3.1. Índice de liquidez: activo corriente dividido por el pasivo corriente. </w:t>
      </w:r>
    </w:p>
    <w:p w14:paraId="4451A58C"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B48CADF"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3.2. Índice de endeudamiento: pasivo total dividido por el activo total. </w:t>
      </w:r>
    </w:p>
    <w:p w14:paraId="029B8CC8"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47477E0" w14:textId="77777777" w:rsidR="00237416" w:rsidRPr="00AC7A12" w:rsidRDefault="00237416" w:rsidP="00237416">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3.3. Razón de cobertura de intereses: utilidad operacional dividida por los gastos de intereses. </w:t>
      </w:r>
    </w:p>
    <w:p w14:paraId="23278E17" w14:textId="77777777" w:rsidR="00237416" w:rsidRPr="00AC7A12" w:rsidRDefault="00237416" w:rsidP="00237416">
      <w:pPr>
        <w:spacing w:line="276" w:lineRule="auto"/>
        <w:ind w:firstLine="709"/>
        <w:jc w:val="both"/>
        <w:rPr>
          <w:rFonts w:ascii="Arial" w:eastAsia="Calibri" w:hAnsi="Arial" w:cs="Arial"/>
          <w:color w:val="000000" w:themeColor="text1"/>
          <w:sz w:val="22"/>
          <w:szCs w:val="22"/>
          <w:lang w:val="es-ES_tradnl"/>
        </w:rPr>
      </w:pPr>
    </w:p>
    <w:p w14:paraId="3F82DE4C" w14:textId="77777777" w:rsidR="00237416" w:rsidRPr="005F40A5" w:rsidRDefault="00237416" w:rsidP="00237416">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La «Guía para determinar y verificar la capacidad residual del proponente en los procesos de contratación de obra pública»</w:t>
      </w:r>
      <w:r w:rsidRPr="00AC7A12">
        <w:rPr>
          <w:rStyle w:val="Refdenotaalpie"/>
          <w:rFonts w:ascii="Arial" w:eastAsia="Calibri" w:hAnsi="Arial" w:cs="Arial"/>
          <w:color w:val="000000" w:themeColor="text1"/>
          <w:sz w:val="22"/>
          <w:szCs w:val="22"/>
          <w:lang w:val="es-ES_tradnl"/>
        </w:rPr>
        <w:footnoteReference w:id="11"/>
      </w:r>
      <w:r w:rsidRPr="00AC7A12">
        <w:rPr>
          <w:rFonts w:ascii="Arial" w:eastAsia="Calibri" w:hAnsi="Arial" w:cs="Arial"/>
          <w:color w:val="000000" w:themeColor="text1"/>
          <w:sz w:val="22"/>
          <w:szCs w:val="22"/>
          <w:lang w:val="es-ES_tradnl"/>
        </w:rPr>
        <w:t xml:space="preserve"> respalda esta interpretación, pues, al responder en el literal c) la pregunta «¿Cómo calcular la Capacidad Financiera (CF)», para efectos de determinar la capacidad residual, dice: «La capacidad financiera (CF) se obtiene teniendo en cuenta el índice de liquidez del proponente […]»</w:t>
      </w:r>
      <w:r w:rsidRPr="00AC7A12">
        <w:rPr>
          <w:rStyle w:val="Refdenotaalpie"/>
          <w:rFonts w:ascii="Arial" w:eastAsia="Calibri" w:hAnsi="Arial" w:cs="Arial"/>
          <w:color w:val="000000" w:themeColor="text1"/>
          <w:sz w:val="22"/>
          <w:szCs w:val="22"/>
          <w:lang w:val="es-ES_tradnl"/>
        </w:rPr>
        <w:footnoteReference w:id="12"/>
      </w:r>
      <w:r w:rsidRPr="00AC7A12">
        <w:rPr>
          <w:rFonts w:ascii="Arial" w:eastAsia="Calibri" w:hAnsi="Arial" w:cs="Arial"/>
          <w:color w:val="000000" w:themeColor="text1"/>
          <w:sz w:val="22"/>
          <w:szCs w:val="22"/>
          <w:lang w:val="es-ES_tradnl"/>
        </w:rPr>
        <w:t xml:space="preserve"> y aclara que el índice de liquidez equivale al </w:t>
      </w:r>
      <w:r w:rsidRPr="00AC7A12">
        <w:rPr>
          <w:rFonts w:ascii="Arial" w:hAnsi="Arial" w:cs="Arial"/>
          <w:color w:val="000000"/>
          <w:sz w:val="21"/>
          <w:szCs w:val="21"/>
          <w:lang w:val="es-ES_tradnl"/>
        </w:rPr>
        <w:t xml:space="preserve">activo corriente dividido por el pasivo corriente, que es la misma definición contenida en el artículo </w:t>
      </w:r>
      <w:r w:rsidRPr="00AC7A12">
        <w:rPr>
          <w:rFonts w:ascii="Arial" w:eastAsia="Calibri" w:hAnsi="Arial" w:cs="Arial"/>
          <w:color w:val="000000" w:themeColor="text1"/>
          <w:sz w:val="22"/>
          <w:szCs w:val="22"/>
          <w:lang w:val="es-ES_tradnl"/>
        </w:rPr>
        <w:t>2.2.1.1.1.5.3. del Decreto 1082 de 2015. Además, la mencionada Guía señala que «El índice de liquidez del proponente se verifica con el RUP»</w:t>
      </w:r>
      <w:r w:rsidRPr="00AC7A12">
        <w:rPr>
          <w:rStyle w:val="Refdenotaalpie"/>
          <w:rFonts w:ascii="Arial" w:eastAsia="Calibri" w:hAnsi="Arial" w:cs="Arial"/>
          <w:color w:val="000000" w:themeColor="text1"/>
          <w:sz w:val="22"/>
          <w:szCs w:val="22"/>
          <w:lang w:val="es-ES_tradnl"/>
        </w:rPr>
        <w:footnoteReference w:id="13"/>
      </w:r>
      <w:r w:rsidRPr="00AC7A12">
        <w:rPr>
          <w:rFonts w:ascii="Arial" w:eastAsia="Calibri" w:hAnsi="Arial" w:cs="Arial"/>
          <w:color w:val="000000" w:themeColor="text1"/>
          <w:sz w:val="22"/>
          <w:szCs w:val="22"/>
          <w:lang w:val="es-ES_tradnl"/>
        </w:rPr>
        <w:t>.</w:t>
      </w:r>
    </w:p>
    <w:p w14:paraId="1A96F090" w14:textId="77777777" w:rsidR="00237416" w:rsidRPr="000771DA"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consiguiente, en los procesos de selección cuyo acto administrativo de apertura o invitación se publique a partir del 1 de julio de 2021, las entidades estatales deben evaluar los indicadores de la capacidad financiera teniendo en cuenta el mejor año fiscal que se refleje en el RUP</w:t>
      </w:r>
      <w:r>
        <w:rPr>
          <w:rFonts w:ascii="Arial" w:eastAsia="Calibri" w:hAnsi="Arial" w:cs="Arial"/>
          <w:color w:val="000000" w:themeColor="text1"/>
          <w:sz w:val="22"/>
          <w:szCs w:val="22"/>
          <w:lang w:val="es-ES_tradnl"/>
        </w:rPr>
        <w:t xml:space="preserve">, recordando la modificación normativa derivada de la coyuntura actual no es nugatoria de los </w:t>
      </w:r>
      <w:r w:rsidRPr="000771DA">
        <w:rPr>
          <w:rFonts w:ascii="Arial" w:eastAsia="Calibri" w:hAnsi="Arial" w:cs="Arial"/>
          <w:color w:val="000000" w:themeColor="text1"/>
          <w:sz w:val="22"/>
          <w:szCs w:val="22"/>
          <w:lang w:val="es-ES_tradnl"/>
        </w:rPr>
        <w:t>postulados que rigen la contratación pública, en la que siempre se ha exigido de las entidades públicas, acorde con el principio de transparencia establecer reglas justas, procurando la pluralidad de oferentes para evitar la declaratoria desierta de los procesos de selección.</w:t>
      </w:r>
    </w:p>
    <w:p w14:paraId="2B978DD2" w14:textId="77777777" w:rsidR="00237416" w:rsidRPr="00AC7A12" w:rsidRDefault="00237416" w:rsidP="00237416">
      <w:pPr>
        <w:spacing w:line="276" w:lineRule="auto"/>
        <w:ind w:firstLine="709"/>
        <w:jc w:val="both"/>
        <w:rPr>
          <w:rFonts w:ascii="Arial" w:eastAsia="Calibri" w:hAnsi="Arial" w:cs="Arial"/>
          <w:color w:val="000000" w:themeColor="text1"/>
          <w:sz w:val="22"/>
          <w:szCs w:val="22"/>
          <w:lang w:val="es-ES_tradnl"/>
        </w:rPr>
      </w:pPr>
    </w:p>
    <w:p w14:paraId="70286C08" w14:textId="77777777" w:rsidR="00237416" w:rsidRPr="00AC7A12" w:rsidRDefault="00237416" w:rsidP="00237416">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 Respuesta</w:t>
      </w:r>
    </w:p>
    <w:p w14:paraId="59C55854" w14:textId="77777777" w:rsidR="00237416" w:rsidRPr="00AC7A12" w:rsidRDefault="00237416" w:rsidP="00237416">
      <w:pPr>
        <w:tabs>
          <w:tab w:val="left" w:pos="0"/>
        </w:tabs>
        <w:jc w:val="both"/>
        <w:rPr>
          <w:rFonts w:ascii="Arial" w:eastAsia="Calibri" w:hAnsi="Arial" w:cs="Arial"/>
          <w:color w:val="000000" w:themeColor="text1"/>
          <w:sz w:val="22"/>
          <w:lang w:val="es-ES_tradnl"/>
        </w:rPr>
      </w:pPr>
    </w:p>
    <w:p w14:paraId="02DA7E3D" w14:textId="77777777" w:rsidR="00237416" w:rsidRPr="00E00800" w:rsidRDefault="00237416" w:rsidP="00237416">
      <w:pPr>
        <w:pStyle w:val="Prrafodelista"/>
        <w:tabs>
          <w:tab w:val="left" w:pos="426"/>
        </w:tabs>
        <w:jc w:val="both"/>
        <w:rPr>
          <w:rFonts w:ascii="Arial" w:eastAsia="Times New Roman" w:hAnsi="Arial" w:cs="Arial"/>
          <w:color w:val="000000"/>
          <w:sz w:val="21"/>
          <w:szCs w:val="21"/>
          <w:shd w:val="clear" w:color="auto" w:fill="FFFFFF"/>
          <w:lang w:eastAsia="es-CO"/>
        </w:rPr>
      </w:pPr>
      <w:r w:rsidRPr="00AC7A12">
        <w:rPr>
          <w:rFonts w:ascii="Arial" w:hAnsi="Arial" w:cs="Arial"/>
          <w:color w:val="000000" w:themeColor="text1"/>
          <w:sz w:val="21"/>
          <w:szCs w:val="21"/>
          <w:lang w:val="es-ES_tradnl"/>
        </w:rPr>
        <w:t>«</w:t>
      </w:r>
      <w:r w:rsidRPr="00E00800">
        <w:rPr>
          <w:rFonts w:ascii="Arial" w:hAnsi="Arial" w:cs="Arial"/>
          <w:sz w:val="21"/>
          <w:szCs w:val="21"/>
        </w:rPr>
        <w:t xml:space="preserve">[…] </w:t>
      </w:r>
      <w:r w:rsidRPr="001A01B7">
        <w:rPr>
          <w:rFonts w:ascii="Arial" w:eastAsia="Times New Roman" w:hAnsi="Arial" w:cs="Arial"/>
          <w:color w:val="000000"/>
          <w:sz w:val="21"/>
          <w:szCs w:val="21"/>
          <w:shd w:val="clear" w:color="auto" w:fill="FFFFFF"/>
          <w:lang w:eastAsia="es-CO"/>
        </w:rPr>
        <w:t>Cuando se refieren a tomar el mejor año fiscal, me surge la siguiente inquietud: Si se debe evaluar la información por vigencia: ¿Es decir, tomo la información financiera del mejor año para el proveedor? O de acuerdo a los indicadores: ¿Es decir, si el mejor indicador de Endeudamiento fue el del 2018 tomo ese indicador? ¿El de liquidez en el 2019 tomo ese indicador? y, ¿El de razón de cobertura de intereses 2020 tomo ese indicador?</w:t>
      </w:r>
      <w:r w:rsidRPr="00E00800">
        <w:rPr>
          <w:rFonts w:ascii="Arial" w:eastAsia="Times New Roman" w:hAnsi="Arial" w:cs="Arial"/>
          <w:color w:val="000000"/>
          <w:sz w:val="21"/>
          <w:szCs w:val="21"/>
          <w:shd w:val="clear" w:color="auto" w:fill="FFFFFF"/>
          <w:lang w:eastAsia="es-CO"/>
        </w:rPr>
        <w:t>»</w:t>
      </w:r>
    </w:p>
    <w:p w14:paraId="132996F8" w14:textId="77777777" w:rsidR="00237416" w:rsidRPr="00E00800" w:rsidRDefault="00237416" w:rsidP="00237416">
      <w:pPr>
        <w:pStyle w:val="Prrafodelista"/>
        <w:tabs>
          <w:tab w:val="left" w:pos="426"/>
        </w:tabs>
        <w:jc w:val="both"/>
        <w:rPr>
          <w:rFonts w:ascii="Arial" w:eastAsia="Times New Roman" w:hAnsi="Arial" w:cs="Arial"/>
          <w:color w:val="000000"/>
          <w:shd w:val="clear" w:color="auto" w:fill="FFFFFF"/>
          <w:lang w:eastAsia="es-CO"/>
        </w:rPr>
      </w:pPr>
    </w:p>
    <w:p w14:paraId="3D917366" w14:textId="77777777" w:rsidR="00237416" w:rsidRPr="00AC7A12" w:rsidRDefault="00237416" w:rsidP="00237416">
      <w:pPr>
        <w:spacing w:line="276" w:lineRule="auto"/>
        <w:jc w:val="both"/>
        <w:rPr>
          <w:rFonts w:ascii="Arial" w:eastAsia="Calibri" w:hAnsi="Arial" w:cs="Arial"/>
          <w:color w:val="000000" w:themeColor="text1"/>
          <w:sz w:val="22"/>
          <w:szCs w:val="22"/>
          <w:lang w:val="es-ES_tradnl"/>
        </w:rPr>
      </w:pPr>
      <w:r>
        <w:rPr>
          <w:rFonts w:ascii="Arial" w:hAnsi="Arial" w:cs="Arial"/>
          <w:color w:val="000000"/>
          <w:sz w:val="22"/>
          <w:szCs w:val="22"/>
          <w:shd w:val="clear" w:color="auto" w:fill="FFFFFF"/>
          <w:lang w:eastAsia="es-CO"/>
        </w:rPr>
        <w:t xml:space="preserve">De acuerdo con las consideraciones, </w:t>
      </w:r>
      <w:r>
        <w:rPr>
          <w:rFonts w:ascii="Arial" w:eastAsia="Calibri" w:hAnsi="Arial" w:cs="Arial"/>
          <w:color w:val="000000" w:themeColor="text1"/>
          <w:sz w:val="22"/>
          <w:szCs w:val="22"/>
          <w:lang w:val="es-ES_tradnl"/>
        </w:rPr>
        <w:t>c</w:t>
      </w:r>
      <w:r w:rsidRPr="00AC7A12">
        <w:rPr>
          <w:rFonts w:ascii="Arial" w:eastAsia="Calibri" w:hAnsi="Arial" w:cs="Arial"/>
          <w:color w:val="000000" w:themeColor="text1"/>
          <w:sz w:val="22"/>
          <w:szCs w:val="22"/>
          <w:lang w:val="es-ES_tradnl"/>
        </w:rPr>
        <w:t xml:space="preserve">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w:t>
      </w:r>
      <w:r>
        <w:rPr>
          <w:rFonts w:ascii="Arial" w:eastAsia="Calibri" w:hAnsi="Arial" w:cs="Arial"/>
          <w:color w:val="000000" w:themeColor="text1"/>
          <w:sz w:val="22"/>
          <w:szCs w:val="22"/>
          <w:lang w:val="es-ES_tradnl"/>
        </w:rPr>
        <w:t>Nótese que la disposición se refiere en singular al mejor año fiscal. De esta manera, p</w:t>
      </w:r>
      <w:r w:rsidRPr="00AC7A12">
        <w:rPr>
          <w:rFonts w:ascii="Arial" w:eastAsia="Calibri" w:hAnsi="Arial" w:cs="Arial"/>
          <w:color w:val="000000" w:themeColor="text1"/>
          <w:sz w:val="22"/>
          <w:szCs w:val="22"/>
          <w:lang w:val="es-ES_tradnl"/>
        </w:rPr>
        <w:t xml:space="preserve">or «mejor año fiscal» se interpreta la información relativa al año apreciada en su conjunto, o sea, de manera integral, que permita al proponente cumplir los requisitos habilitantes de capacidad financiera y organizacional. Dicho de otro modo, </w:t>
      </w:r>
      <w:r w:rsidRPr="00AC7A12">
        <w:rPr>
          <w:rFonts w:ascii="Arial" w:eastAsia="Calibri" w:hAnsi="Arial" w:cs="Arial"/>
          <w:color w:val="000000" w:themeColor="text1"/>
          <w:sz w:val="22"/>
          <w:szCs w:val="22"/>
          <w:lang w:val="es-ES_tradnl"/>
        </w:rPr>
        <w:lastRenderedPageBreak/>
        <w:t>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1004EF97" w14:textId="77777777" w:rsidR="00237416" w:rsidRPr="00AC7A12" w:rsidRDefault="00237416" w:rsidP="00237416">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w:t>
      </w:r>
      <w:r>
        <w:rPr>
          <w:rFonts w:ascii="Arial" w:eastAsia="Calibri" w:hAnsi="Arial" w:cs="Arial"/>
          <w:color w:val="000000" w:themeColor="text1"/>
          <w:sz w:val="22"/>
          <w:szCs w:val="22"/>
          <w:lang w:val="es-ES_tradnl"/>
        </w:rPr>
        <w:t>deberá</w:t>
      </w:r>
      <w:r w:rsidRPr="00420314">
        <w:rPr>
          <w:rFonts w:ascii="Arial" w:eastAsia="Calibri" w:hAnsi="Arial" w:cs="Arial"/>
          <w:color w:val="000000" w:themeColor="text1"/>
          <w:sz w:val="22"/>
          <w:szCs w:val="22"/>
          <w:lang w:val="es-ES_tradnl"/>
        </w:rPr>
        <w:t xml:space="preserve"> hacer la entidad pública con la información disponible en el RUP.</w:t>
      </w:r>
    </w:p>
    <w:p w14:paraId="28683E09" w14:textId="77777777" w:rsidR="00237416" w:rsidRPr="006C5D5B" w:rsidRDefault="00237416" w:rsidP="00237416">
      <w:pPr>
        <w:spacing w:after="120" w:line="276" w:lineRule="auto"/>
        <w:jc w:val="both"/>
        <w:rPr>
          <w:rFonts w:ascii="Arial" w:hAnsi="Arial" w:cs="Arial"/>
          <w:noProof/>
          <w:color w:val="000000"/>
          <w:sz w:val="22"/>
          <w:szCs w:val="22"/>
          <w:shd w:val="clear" w:color="auto" w:fill="FFFFFF"/>
          <w:lang w:eastAsia="es-CO"/>
        </w:rPr>
      </w:pPr>
      <w:r w:rsidRPr="00F34590">
        <w:rPr>
          <w:rFonts w:ascii="Arial" w:eastAsia="Calibri" w:hAnsi="Arial" w:cs="Arial"/>
          <w:color w:val="000000" w:themeColor="text1"/>
          <w:sz w:val="22"/>
          <w:szCs w:val="22"/>
          <w:lang w:val="es-ES_tradnl"/>
        </w:rPr>
        <w:t xml:space="preserve"> </w:t>
      </w:r>
    </w:p>
    <w:p w14:paraId="4220B25D" w14:textId="77777777" w:rsidR="00237416" w:rsidRPr="00AC7A12" w:rsidRDefault="00237416" w:rsidP="00237416">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B67847B" w14:textId="77777777" w:rsidR="00237416" w:rsidRPr="00AC7A12" w:rsidRDefault="00237416" w:rsidP="0023741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D5255B3" w14:textId="77777777" w:rsidR="00237416" w:rsidRPr="00AC7A12" w:rsidRDefault="00237416" w:rsidP="0023741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6AAE86F8" w14:textId="63CC4EB6" w:rsidR="00237416" w:rsidRPr="00AC7A12" w:rsidRDefault="009204BC" w:rsidP="00237416">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2FF47967" wp14:editId="50E243BA">
            <wp:extent cx="2371725" cy="1000125"/>
            <wp:effectExtent l="0" t="0" r="0" b="0"/>
            <wp:docPr id="1790209746" name="Imagen 179020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447CDB38" w14:textId="77777777" w:rsidR="00237416" w:rsidRPr="00AC7A12" w:rsidRDefault="00237416" w:rsidP="0023741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13"/>
      </w:tblGrid>
      <w:tr w:rsidR="00237416" w:rsidRPr="00781A1B" w14:paraId="17484837" w14:textId="77777777" w:rsidTr="003D7287">
        <w:trPr>
          <w:trHeight w:val="315"/>
        </w:trPr>
        <w:tc>
          <w:tcPr>
            <w:tcW w:w="817" w:type="dxa"/>
            <w:vAlign w:val="center"/>
            <w:hideMark/>
          </w:tcPr>
          <w:p w14:paraId="04F2C83E" w14:textId="77777777" w:rsidR="00237416" w:rsidRPr="00781A1B" w:rsidRDefault="00237416" w:rsidP="003D7287">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0F89E47" w14:textId="77777777" w:rsidR="00237416" w:rsidRPr="00781A1B" w:rsidRDefault="00237416" w:rsidP="003D7287">
            <w:pPr>
              <w:jc w:val="both"/>
              <w:rPr>
                <w:rFonts w:ascii="Arial" w:hAnsi="Arial" w:cs="Arial"/>
                <w:color w:val="000000" w:themeColor="text1"/>
                <w:sz w:val="16"/>
                <w:szCs w:val="16"/>
                <w:lang w:val="es-ES_tradnl" w:eastAsia="es-ES"/>
              </w:rPr>
            </w:pPr>
            <w:r w:rsidRPr="007452E0">
              <w:rPr>
                <w:rFonts w:ascii="Arial" w:hAnsi="Arial" w:cs="Arial"/>
                <w:sz w:val="16"/>
                <w:szCs w:val="16"/>
                <w:lang w:val="es-MX" w:eastAsia="es-CO"/>
              </w:rPr>
              <w:t>Alfredo Benavides Zarate</w:t>
            </w:r>
          </w:p>
          <w:p w14:paraId="0CDD0CFF" w14:textId="77777777" w:rsidR="00237416" w:rsidRPr="00781A1B" w:rsidRDefault="00237416" w:rsidP="003D728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Pr="00781A1B">
              <w:rPr>
                <w:rFonts w:ascii="Arial" w:hAnsi="Arial" w:cs="Arial"/>
                <w:color w:val="000000" w:themeColor="text1"/>
                <w:sz w:val="16"/>
                <w:szCs w:val="16"/>
                <w:lang w:val="es-ES_tradnl" w:eastAsia="es-ES"/>
              </w:rPr>
              <w:t>Subdirección de Gestión Contractual</w:t>
            </w:r>
          </w:p>
        </w:tc>
      </w:tr>
      <w:tr w:rsidR="00237416" w:rsidRPr="00781A1B" w14:paraId="7A42C5B4" w14:textId="77777777" w:rsidTr="003D7287">
        <w:trPr>
          <w:trHeight w:val="330"/>
        </w:trPr>
        <w:tc>
          <w:tcPr>
            <w:tcW w:w="817" w:type="dxa"/>
            <w:vAlign w:val="center"/>
            <w:hideMark/>
          </w:tcPr>
          <w:p w14:paraId="4B071496" w14:textId="77777777" w:rsidR="00237416" w:rsidRPr="00781A1B" w:rsidRDefault="00237416" w:rsidP="003D7287">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AD9794" w14:textId="77777777" w:rsidR="00237416" w:rsidRPr="00781A1B" w:rsidRDefault="00237416" w:rsidP="003D728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439D07D8" w14:textId="77777777" w:rsidR="00237416" w:rsidRPr="00781A1B" w:rsidRDefault="00237416" w:rsidP="003D728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 – Grado 15 </w:t>
            </w:r>
            <w:r w:rsidRPr="00781A1B">
              <w:rPr>
                <w:rFonts w:ascii="Arial" w:hAnsi="Arial" w:cs="Arial"/>
                <w:color w:val="000000" w:themeColor="text1"/>
                <w:sz w:val="16"/>
                <w:szCs w:val="16"/>
                <w:lang w:val="es-ES_tradnl" w:eastAsia="es-ES"/>
              </w:rPr>
              <w:t>Subdirección de Gestión Contractual</w:t>
            </w:r>
          </w:p>
        </w:tc>
      </w:tr>
      <w:tr w:rsidR="00237416" w:rsidRPr="00781A1B" w14:paraId="77752AA7" w14:textId="77777777" w:rsidTr="003D7287">
        <w:trPr>
          <w:trHeight w:val="300"/>
        </w:trPr>
        <w:tc>
          <w:tcPr>
            <w:tcW w:w="817" w:type="dxa"/>
            <w:vAlign w:val="center"/>
            <w:hideMark/>
          </w:tcPr>
          <w:p w14:paraId="6EA77B3B" w14:textId="77777777" w:rsidR="00237416" w:rsidRPr="00781A1B" w:rsidRDefault="00237416" w:rsidP="003D7287">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2F758E" w14:textId="77777777" w:rsidR="00237416" w:rsidRPr="00781A1B" w:rsidRDefault="00237416" w:rsidP="003D728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Augusto Tirado Navarro</w:t>
            </w:r>
          </w:p>
          <w:p w14:paraId="79BD8A72" w14:textId="77777777" w:rsidR="00237416" w:rsidRPr="00781A1B" w:rsidRDefault="00237416" w:rsidP="003D7287">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 xml:space="preserve">Subdirector </w:t>
            </w:r>
            <w:r>
              <w:rPr>
                <w:rFonts w:ascii="Arial" w:hAnsi="Arial" w:cs="Arial"/>
                <w:color w:val="000000" w:themeColor="text1"/>
                <w:sz w:val="16"/>
                <w:szCs w:val="16"/>
                <w:lang w:val="es-ES_tradnl" w:eastAsia="es-ES"/>
              </w:rPr>
              <w:t>Gestión Contractual ANCP – CCE</w:t>
            </w:r>
          </w:p>
        </w:tc>
      </w:tr>
      <w:bookmarkEnd w:id="2"/>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8AE43" w14:textId="77777777" w:rsidR="002D464A" w:rsidRDefault="002D464A">
      <w:r>
        <w:separator/>
      </w:r>
    </w:p>
  </w:endnote>
  <w:endnote w:type="continuationSeparator" w:id="0">
    <w:p w14:paraId="28E82FAF" w14:textId="77777777" w:rsidR="002D464A" w:rsidRDefault="002D464A">
      <w:r>
        <w:continuationSeparator/>
      </w:r>
    </w:p>
  </w:endnote>
  <w:endnote w:type="continuationNotice" w:id="1">
    <w:p w14:paraId="5C15853A" w14:textId="77777777" w:rsidR="002D464A" w:rsidRDefault="002D4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00D0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00D0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 w:eastAsia="es-E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4197A" w14:textId="77777777" w:rsidR="002D464A" w:rsidRDefault="002D464A">
      <w:r>
        <w:separator/>
      </w:r>
    </w:p>
  </w:footnote>
  <w:footnote w:type="continuationSeparator" w:id="0">
    <w:p w14:paraId="6B475940" w14:textId="77777777" w:rsidR="002D464A" w:rsidRDefault="002D464A">
      <w:r>
        <w:continuationSeparator/>
      </w:r>
    </w:p>
  </w:footnote>
  <w:footnote w:type="continuationNotice" w:id="1">
    <w:p w14:paraId="1A463D99" w14:textId="77777777" w:rsidR="002D464A" w:rsidRDefault="002D464A"/>
  </w:footnote>
  <w:footnote w:id="2">
    <w:p w14:paraId="20224243" w14:textId="77777777" w:rsidR="00237416" w:rsidRPr="009760BA" w:rsidRDefault="00237416" w:rsidP="00237416">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D54C826" w14:textId="77777777" w:rsidR="00237416" w:rsidRPr="009760BA" w:rsidRDefault="00237416" w:rsidP="00237416">
      <w:pPr>
        <w:pStyle w:val="Textonotapie"/>
        <w:ind w:firstLine="709"/>
        <w:jc w:val="both"/>
        <w:rPr>
          <w:rFonts w:ascii="Arial" w:hAnsi="Arial" w:cs="Arial"/>
          <w:sz w:val="19"/>
          <w:szCs w:val="19"/>
        </w:rPr>
      </w:pPr>
      <w:r w:rsidRPr="009760BA">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88F4268" w14:textId="77777777" w:rsidR="00237416" w:rsidRPr="009760BA" w:rsidRDefault="00237416" w:rsidP="00237416">
      <w:pPr>
        <w:pStyle w:val="Textonotapie"/>
        <w:ind w:firstLine="709"/>
        <w:jc w:val="both"/>
        <w:rPr>
          <w:rFonts w:ascii="Arial" w:hAnsi="Arial" w:cs="Arial"/>
          <w:sz w:val="19"/>
          <w:szCs w:val="19"/>
        </w:rPr>
      </w:pPr>
      <w:r w:rsidRPr="009760BA">
        <w:rPr>
          <w:rFonts w:ascii="Arial" w:hAnsi="Arial" w:cs="Arial"/>
          <w:sz w:val="19"/>
          <w:szCs w:val="19"/>
        </w:rPr>
        <w:t>»[...]».</w:t>
      </w:r>
    </w:p>
    <w:p w14:paraId="4AF35923" w14:textId="77777777" w:rsidR="00237416" w:rsidRPr="009760BA" w:rsidRDefault="00237416" w:rsidP="00237416">
      <w:pPr>
        <w:pStyle w:val="Textonotapie"/>
        <w:ind w:firstLine="709"/>
        <w:jc w:val="both"/>
        <w:rPr>
          <w:rFonts w:ascii="Arial" w:hAnsi="Arial" w:cs="Arial"/>
          <w:sz w:val="19"/>
          <w:szCs w:val="19"/>
          <w:lang w:val="es-ES"/>
        </w:rPr>
      </w:pPr>
    </w:p>
  </w:footnote>
  <w:footnote w:id="3">
    <w:p w14:paraId="74AF66E2" w14:textId="77777777" w:rsidR="00237416" w:rsidRPr="009760BA" w:rsidRDefault="00237416" w:rsidP="00237416">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80ADDC6" w14:textId="77777777" w:rsidR="00237416" w:rsidRPr="009760BA" w:rsidRDefault="00237416" w:rsidP="00237416">
      <w:pPr>
        <w:pStyle w:val="Textonotapie"/>
        <w:ind w:firstLine="709"/>
        <w:jc w:val="both"/>
        <w:rPr>
          <w:rFonts w:ascii="Arial" w:hAnsi="Arial" w:cs="Arial"/>
          <w:sz w:val="19"/>
          <w:szCs w:val="19"/>
          <w:lang w:val="es-ES"/>
        </w:rPr>
      </w:pPr>
    </w:p>
  </w:footnote>
  <w:footnote w:id="4">
    <w:p w14:paraId="23EA972D" w14:textId="77777777" w:rsidR="00237416" w:rsidRPr="009760BA" w:rsidRDefault="00237416" w:rsidP="00237416">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Disponible en:</w:t>
      </w:r>
    </w:p>
    <w:p w14:paraId="79B64D32"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https://www.colombiacompra.gov.co/sites/cce_public/files/cce_documents/cce_manual_requisitos_habilitantes.pdf</w:t>
      </w:r>
    </w:p>
  </w:footnote>
  <w:footnote w:id="5">
    <w:p w14:paraId="61BC6BAD" w14:textId="77777777" w:rsidR="00237416" w:rsidRPr="009760BA" w:rsidRDefault="00237416" w:rsidP="00237416">
      <w:pPr>
        <w:pStyle w:val="Textonotapie"/>
        <w:ind w:firstLine="709"/>
        <w:jc w:val="both"/>
        <w:rPr>
          <w:rFonts w:ascii="Arial" w:hAnsi="Arial" w:cs="Arial"/>
          <w:sz w:val="19"/>
          <w:szCs w:val="19"/>
        </w:rPr>
      </w:pPr>
    </w:p>
    <w:p w14:paraId="147BB713" w14:textId="77777777" w:rsidR="00237416" w:rsidRPr="009760BA" w:rsidRDefault="00237416" w:rsidP="00237416">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Ibíd.</w:t>
      </w:r>
    </w:p>
  </w:footnote>
  <w:footnote w:id="6">
    <w:p w14:paraId="692B049B" w14:textId="77777777" w:rsidR="00237416" w:rsidRPr="009760BA" w:rsidRDefault="00237416" w:rsidP="00237416">
      <w:pPr>
        <w:pStyle w:val="Textonotapie"/>
        <w:ind w:firstLine="709"/>
        <w:jc w:val="both"/>
        <w:rPr>
          <w:rFonts w:ascii="Arial" w:hAnsi="Arial" w:cs="Arial"/>
          <w:sz w:val="19"/>
          <w:szCs w:val="19"/>
        </w:rPr>
      </w:pPr>
    </w:p>
    <w:p w14:paraId="325C8AB2" w14:textId="77777777" w:rsidR="00237416" w:rsidRPr="009760BA" w:rsidRDefault="00237416" w:rsidP="00237416">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2341A715" w14:textId="77777777" w:rsidR="00237416" w:rsidRPr="009760BA" w:rsidRDefault="00237416" w:rsidP="00237416">
      <w:pPr>
        <w:pStyle w:val="Textonotapie"/>
        <w:ind w:firstLine="709"/>
        <w:jc w:val="both"/>
        <w:rPr>
          <w:rFonts w:ascii="Arial" w:hAnsi="Arial" w:cs="Arial"/>
          <w:sz w:val="19"/>
          <w:szCs w:val="19"/>
        </w:rPr>
      </w:pPr>
      <w:r w:rsidRPr="009760BA">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8B390FE" w14:textId="77777777" w:rsidR="00237416" w:rsidRPr="009760BA" w:rsidRDefault="00237416" w:rsidP="00237416">
      <w:pPr>
        <w:pStyle w:val="Textonotapie"/>
        <w:ind w:firstLine="709"/>
        <w:jc w:val="both"/>
        <w:rPr>
          <w:rFonts w:ascii="Arial" w:hAnsi="Arial" w:cs="Arial"/>
          <w:sz w:val="19"/>
          <w:szCs w:val="19"/>
        </w:rPr>
      </w:pPr>
    </w:p>
    <w:p w14:paraId="0BCE3B3D" w14:textId="77777777" w:rsidR="00237416" w:rsidRPr="009760BA" w:rsidRDefault="00237416" w:rsidP="00237416">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01C35A45" w14:textId="77777777" w:rsidR="00237416" w:rsidRPr="005523F8" w:rsidRDefault="00237416" w:rsidP="00237416">
      <w:pPr>
        <w:pStyle w:val="Textonotapie"/>
        <w:ind w:firstLine="709"/>
        <w:jc w:val="both"/>
        <w:rPr>
          <w:rFonts w:ascii="Arial" w:hAnsi="Arial" w:cs="Arial"/>
          <w:sz w:val="19"/>
          <w:szCs w:val="19"/>
        </w:rPr>
      </w:pPr>
    </w:p>
    <w:p w14:paraId="3E6ACB01" w14:textId="77777777" w:rsidR="00237416" w:rsidRPr="009760BA" w:rsidRDefault="00237416" w:rsidP="0023741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En efecto</w:t>
      </w:r>
      <w:r w:rsidRPr="005523F8">
        <w:rPr>
          <w:rFonts w:ascii="Arial" w:hAnsi="Arial" w:cs="Arial"/>
          <w:sz w:val="19"/>
          <w:szCs w:val="19"/>
          <w:lang w:val="es-ES"/>
        </w:rPr>
        <w:t xml:space="preserve">, es importante mencionar desde este momento que mediante </w:t>
      </w:r>
      <w:r w:rsidRPr="009760BA">
        <w:rPr>
          <w:rFonts w:ascii="Arial" w:hAnsi="Arial" w:cs="Arial"/>
          <w:sz w:val="19"/>
          <w:szCs w:val="19"/>
          <w:lang w:val="es-ES"/>
        </w:rPr>
        <w:t xml:space="preserve">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9760BA">
        <w:rPr>
          <w:rFonts w:ascii="Arial" w:hAnsi="Arial" w:cs="Arial"/>
          <w:i/>
          <w:iCs/>
          <w:sz w:val="19"/>
          <w:szCs w:val="19"/>
          <w:lang w:val="es-ES"/>
        </w:rPr>
        <w:t>julio</w:t>
      </w:r>
      <w:r w:rsidRPr="009760BA">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21FAB936" w14:textId="77777777" w:rsidR="00237416" w:rsidRPr="009760BA" w:rsidRDefault="00237416" w:rsidP="0023741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 xml:space="preserve">«Artículo  1. </w:t>
      </w:r>
      <w:r w:rsidRPr="009760BA">
        <w:rPr>
          <w:rFonts w:ascii="Arial" w:hAnsi="Arial" w:cs="Arial"/>
          <w:sz w:val="19"/>
          <w:szCs w:val="19"/>
          <w:lang w:val="es-ES"/>
        </w:rPr>
        <w:t>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AA020EA"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5C1B71BF"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3E783D4"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03B934E2"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732E85E9"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5AD4243E"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77F4E3F" w14:textId="77777777" w:rsidR="00237416" w:rsidRPr="009760BA" w:rsidRDefault="00237416" w:rsidP="00237416">
      <w:pPr>
        <w:pStyle w:val="Textonotapie"/>
        <w:ind w:firstLine="709"/>
        <w:jc w:val="both"/>
        <w:rPr>
          <w:rFonts w:ascii="Arial" w:hAnsi="Arial" w:cs="Arial"/>
          <w:sz w:val="19"/>
          <w:szCs w:val="19"/>
          <w:lang w:val="es-CO"/>
        </w:rPr>
      </w:pPr>
      <w:r w:rsidRPr="009760BA">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09E973B3" w14:textId="77777777" w:rsidR="00237416" w:rsidRPr="009760BA" w:rsidRDefault="00237416" w:rsidP="0023741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 xml:space="preserve">Debe recordarse que el artículo 2.2.1.1.1.6.2. </w:t>
      </w:r>
      <w:r w:rsidRPr="005523F8">
        <w:rPr>
          <w:rFonts w:ascii="Arial" w:hAnsi="Arial" w:cs="Arial"/>
          <w:sz w:val="19"/>
          <w:szCs w:val="19"/>
          <w:lang w:val="es-ES"/>
        </w:rPr>
        <w:t>del Decreto 1082 de 2015 prevé lo siguiente: «</w:t>
      </w:r>
      <w:r w:rsidRPr="005523F8">
        <w:rPr>
          <w:rFonts w:ascii="Arial" w:hAnsi="Arial" w:cs="Arial"/>
          <w:sz w:val="19"/>
          <w:szCs w:val="19"/>
        </w:rPr>
        <w:t xml:space="preserve"> </w:t>
      </w:r>
      <w:r w:rsidRPr="009760BA">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5C083EF7" w14:textId="77777777" w:rsidR="00237416" w:rsidRPr="005523F8" w:rsidRDefault="00237416" w:rsidP="00237416">
      <w:pPr>
        <w:pStyle w:val="Textonotapie"/>
        <w:ind w:firstLine="709"/>
        <w:jc w:val="both"/>
        <w:rPr>
          <w:rFonts w:ascii="Arial" w:hAnsi="Arial" w:cs="Arial"/>
          <w:sz w:val="19"/>
          <w:szCs w:val="19"/>
        </w:rPr>
      </w:pPr>
      <w:r w:rsidRPr="005523F8">
        <w:rPr>
          <w:rStyle w:val="Refdenotaalpie"/>
          <w:rFonts w:ascii="Arial" w:hAnsi="Arial" w:cs="Arial"/>
          <w:sz w:val="19"/>
          <w:szCs w:val="19"/>
        </w:rPr>
        <w:footnoteRef/>
      </w:r>
      <w:r w:rsidRPr="005523F8">
        <w:rPr>
          <w:rFonts w:ascii="Arial" w:hAnsi="Arial" w:cs="Arial"/>
          <w:sz w:val="19"/>
          <w:szCs w:val="19"/>
        </w:rPr>
        <w:t xml:space="preserve"> Disponible en:</w:t>
      </w:r>
    </w:p>
    <w:p w14:paraId="436478A0" w14:textId="77777777" w:rsidR="00237416" w:rsidRPr="009760BA" w:rsidRDefault="00237416" w:rsidP="00237416">
      <w:pPr>
        <w:pStyle w:val="Textonotapie"/>
        <w:ind w:firstLine="709"/>
        <w:jc w:val="both"/>
        <w:rPr>
          <w:rFonts w:ascii="Arial" w:hAnsi="Arial" w:cs="Arial"/>
          <w:sz w:val="19"/>
          <w:szCs w:val="19"/>
          <w:lang w:val="es-ES"/>
        </w:rPr>
      </w:pPr>
      <w:r w:rsidRPr="009760BA">
        <w:rPr>
          <w:rFonts w:ascii="Arial" w:hAnsi="Arial" w:cs="Arial"/>
          <w:sz w:val="19"/>
          <w:szCs w:val="19"/>
        </w:rPr>
        <w:t>https://www.colombiacompra.gov.co/sites/default/files/manuales/cce_guiaresidual_v02_web.pdf</w:t>
      </w:r>
    </w:p>
  </w:footnote>
  <w:footnote w:id="12">
    <w:p w14:paraId="00746560" w14:textId="77777777" w:rsidR="00237416" w:rsidRPr="005523F8" w:rsidRDefault="00237416" w:rsidP="0023741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Ibíd.</w:t>
      </w:r>
    </w:p>
    <w:p w14:paraId="0C61BFC9" w14:textId="77777777" w:rsidR="00237416" w:rsidRPr="009760BA" w:rsidRDefault="00237416" w:rsidP="00237416">
      <w:pPr>
        <w:pStyle w:val="Textonotapie"/>
        <w:ind w:firstLine="709"/>
        <w:jc w:val="both"/>
        <w:rPr>
          <w:rFonts w:ascii="Arial" w:hAnsi="Arial" w:cs="Arial"/>
          <w:sz w:val="19"/>
          <w:szCs w:val="19"/>
          <w:lang w:val="es-ES"/>
        </w:rPr>
      </w:pPr>
    </w:p>
  </w:footnote>
  <w:footnote w:id="13">
    <w:p w14:paraId="1D07466F" w14:textId="77777777" w:rsidR="00237416" w:rsidRPr="005523F8" w:rsidRDefault="00237416" w:rsidP="0023741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Ibíd.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8F4163" w:rsidRDefault="008F4163">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0D80"/>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220"/>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A0D"/>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312"/>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1B7"/>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72A"/>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416"/>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4BCF"/>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4A"/>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3C6B"/>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073"/>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27"/>
    <w:rsid w:val="003F4599"/>
    <w:rsid w:val="003F45E1"/>
    <w:rsid w:val="003F4978"/>
    <w:rsid w:val="003F4F6C"/>
    <w:rsid w:val="003F559E"/>
    <w:rsid w:val="003F6181"/>
    <w:rsid w:val="003F6BFC"/>
    <w:rsid w:val="003F7343"/>
    <w:rsid w:val="00400002"/>
    <w:rsid w:val="00400054"/>
    <w:rsid w:val="00400D02"/>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4D42"/>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18F"/>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5C4E"/>
    <w:rsid w:val="00606908"/>
    <w:rsid w:val="006072F7"/>
    <w:rsid w:val="00607460"/>
    <w:rsid w:val="0060776B"/>
    <w:rsid w:val="00607996"/>
    <w:rsid w:val="00607A37"/>
    <w:rsid w:val="00607E9F"/>
    <w:rsid w:val="00607F7D"/>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5B"/>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4A96"/>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9C"/>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B68"/>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4D2"/>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5D6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E0"/>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BB5"/>
    <w:rsid w:val="00901F1D"/>
    <w:rsid w:val="0090220E"/>
    <w:rsid w:val="009028E8"/>
    <w:rsid w:val="00902E5C"/>
    <w:rsid w:val="0090363E"/>
    <w:rsid w:val="00903788"/>
    <w:rsid w:val="009046E5"/>
    <w:rsid w:val="009047C5"/>
    <w:rsid w:val="00904F39"/>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4BC"/>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CE3"/>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0730"/>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4BA2"/>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4BE"/>
    <w:rsid w:val="00AF69EB"/>
    <w:rsid w:val="00AF6CA6"/>
    <w:rsid w:val="00AF6DEC"/>
    <w:rsid w:val="00AF6EB6"/>
    <w:rsid w:val="00AF776A"/>
    <w:rsid w:val="00AF7796"/>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188"/>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A6"/>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3A7D"/>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509"/>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DB2E9-E228-284A-A833-6350C83C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17</Pages>
  <Words>6413</Words>
  <Characters>35277</Characters>
  <Application>Microsoft Macintosh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cp:lastPrinted>2020-01-30T15:05:00Z</cp:lastPrinted>
  <dcterms:created xsi:type="dcterms:W3CDTF">2021-08-02T17:30:00Z</dcterms:created>
  <dcterms:modified xsi:type="dcterms:W3CDTF">2021-08-02T17:30:00Z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