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42BED"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742BED">
        <w:rPr>
          <w:rFonts w:ascii="Arial" w:hAnsi="Arial" w:cs="Arial"/>
          <w:bCs/>
          <w:color w:val="000000" w:themeColor="text1"/>
          <w:sz w:val="16"/>
          <w:szCs w:val="16"/>
          <w:lang w:val="es-ES_tradnl" w:eastAsia="es-ES"/>
        </w:rPr>
        <w:t>CCE-DES-FM-17</w:t>
      </w:r>
      <w:bookmarkEnd w:id="0"/>
      <w:bookmarkEnd w:id="1"/>
    </w:p>
    <w:p w14:paraId="6BD9C389" w14:textId="75D72BBA" w:rsidR="00C0632B" w:rsidRPr="00592353" w:rsidRDefault="00C0632B" w:rsidP="00592353">
      <w:pPr>
        <w:tabs>
          <w:tab w:val="left" w:pos="709"/>
        </w:tabs>
        <w:jc w:val="both"/>
        <w:rPr>
          <w:rFonts w:ascii="Arial" w:eastAsia="Calibri" w:hAnsi="Arial" w:cs="Arial"/>
          <w:color w:val="000000" w:themeColor="text1"/>
          <w:sz w:val="20"/>
          <w:szCs w:val="20"/>
          <w:lang w:val="es-ES"/>
        </w:rPr>
      </w:pPr>
      <w:r w:rsidRPr="004A1778">
        <w:rPr>
          <w:rFonts w:ascii="Arial" w:eastAsia="Calibri" w:hAnsi="Arial" w:cs="Arial"/>
          <w:color w:val="000000" w:themeColor="text1"/>
          <w:sz w:val="20"/>
          <w:szCs w:val="20"/>
          <w:lang w:val="es-ES"/>
        </w:rPr>
        <w:t xml:space="preserve"> </w:t>
      </w:r>
      <w:r>
        <w:rPr>
          <w:rFonts w:ascii="Arial" w:eastAsia="Calibri" w:hAnsi="Arial" w:cs="Arial"/>
          <w:b/>
          <w:bCs/>
          <w:color w:val="000000" w:themeColor="text1"/>
          <w:sz w:val="22"/>
          <w:szCs w:val="22"/>
          <w:lang w:val="es-ES"/>
        </w:rPr>
        <w:t>INCENTIVOS CONTRACTUALES – Empleabilidad de adultos mayores – Política horizontal – Criterio de desempate – Ley 2040 de 2020</w:t>
      </w:r>
      <w:r w:rsidR="00592353">
        <w:rPr>
          <w:rFonts w:ascii="Arial" w:eastAsia="Calibri" w:hAnsi="Arial" w:cs="Arial"/>
          <w:b/>
          <w:bCs/>
          <w:color w:val="000000" w:themeColor="text1"/>
          <w:sz w:val="22"/>
          <w:szCs w:val="22"/>
          <w:lang w:val="es-ES"/>
        </w:rPr>
        <w:t xml:space="preserve"> - Vigencia</w:t>
      </w:r>
    </w:p>
    <w:p w14:paraId="1C2F5190" w14:textId="77777777" w:rsidR="00C0632B" w:rsidRDefault="00C0632B" w:rsidP="00C0632B">
      <w:pPr>
        <w:jc w:val="both"/>
        <w:rPr>
          <w:rFonts w:ascii="Arial" w:eastAsia="Calibri" w:hAnsi="Arial" w:cs="Arial"/>
          <w:bCs/>
          <w:color w:val="000000" w:themeColor="text1"/>
          <w:sz w:val="20"/>
          <w:szCs w:val="20"/>
          <w:lang w:val="es-ES"/>
        </w:rPr>
      </w:pPr>
    </w:p>
    <w:p w14:paraId="27106D09" w14:textId="77777777" w:rsidR="00592353" w:rsidRPr="00592353" w:rsidRDefault="00592353" w:rsidP="00592353">
      <w:pPr>
        <w:jc w:val="both"/>
        <w:rPr>
          <w:rFonts w:ascii="Arial" w:hAnsi="Arial" w:cs="Arial"/>
          <w:color w:val="000000" w:themeColor="text1"/>
          <w:sz w:val="20"/>
          <w:szCs w:val="20"/>
          <w:lang w:val="es-ES"/>
        </w:rPr>
      </w:pPr>
      <w:r w:rsidRPr="00592353">
        <w:rPr>
          <w:rFonts w:ascii="Arial" w:hAnsi="Arial" w:cs="Arial"/>
          <w:color w:val="000000" w:themeColor="text1"/>
          <w:sz w:val="20"/>
          <w:szCs w:val="20"/>
          <w:lang w:val="es-ES"/>
        </w:rPr>
        <w:t xml:space="preserve">La Ley 2040 de 2020, «por medio de la cual se adoptan medidas para impulsar el trabajo para adultos mayores y se dictan otras disposiciones», desarrolla una política horizontal y traía consigo un incentivo contractual, relacionado con un criterio de desempate. En esta ley la política del legislador era clara: establecer medidas que incrementen la empleabilidad de adultos mayores que, cumplida la edad de jubilación, no cuentan con pensión de vejez, familiar o sobrevivencia. </w:t>
      </w:r>
    </w:p>
    <w:p w14:paraId="402DBD4F" w14:textId="77777777" w:rsidR="00592353" w:rsidRDefault="00592353" w:rsidP="00592353">
      <w:pPr>
        <w:jc w:val="both"/>
        <w:rPr>
          <w:rFonts w:ascii="Arial" w:hAnsi="Arial" w:cs="Arial"/>
          <w:color w:val="000000" w:themeColor="text1"/>
          <w:sz w:val="20"/>
          <w:szCs w:val="20"/>
          <w:lang w:val="es-ES"/>
        </w:rPr>
      </w:pPr>
    </w:p>
    <w:p w14:paraId="0DAEE8F4" w14:textId="474764D7" w:rsidR="00C0632B" w:rsidRDefault="00592353" w:rsidP="00592353">
      <w:pPr>
        <w:jc w:val="both"/>
        <w:rPr>
          <w:rFonts w:ascii="Arial" w:hAnsi="Arial" w:cs="Arial"/>
          <w:color w:val="000000" w:themeColor="text1"/>
          <w:sz w:val="20"/>
          <w:szCs w:val="20"/>
          <w:lang w:val="es-ES"/>
        </w:rPr>
      </w:pPr>
      <w:r w:rsidRPr="00592353">
        <w:rPr>
          <w:rFonts w:ascii="Arial" w:hAnsi="Arial" w:cs="Arial"/>
          <w:color w:val="000000" w:themeColor="text1"/>
          <w:sz w:val="20"/>
          <w:szCs w:val="20"/>
          <w:lang w:val="es-ES"/>
        </w:rPr>
        <w:t>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«Ruta para el emprendimiento del adulto mayor» para que los adultos mayores puedan poner en marcha su propia empresa –artículo 10–. Todos estos son mecanismos dirigidos a cumplir su finalidad: incrementar la empleabilidad de los adultos mayores, lo que a la postre, se espera, se traducirá en mayor empleo para este sector vulnerable de la población.</w:t>
      </w:r>
    </w:p>
    <w:p w14:paraId="18F471C9" w14:textId="74BDF226" w:rsidR="00592353" w:rsidRDefault="00592353" w:rsidP="00592353">
      <w:pPr>
        <w:jc w:val="both"/>
        <w:rPr>
          <w:rFonts w:ascii="Arial" w:hAnsi="Arial" w:cs="Arial"/>
          <w:color w:val="000000" w:themeColor="text1"/>
          <w:sz w:val="20"/>
          <w:szCs w:val="20"/>
          <w:lang w:val="es-ES"/>
        </w:rPr>
      </w:pPr>
    </w:p>
    <w:p w14:paraId="35FF9C9B" w14:textId="3BF03254" w:rsidR="00592353" w:rsidRPr="004A1778" w:rsidRDefault="00592353" w:rsidP="00592353">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D</w:t>
      </w:r>
      <w:r w:rsidRPr="00592353">
        <w:rPr>
          <w:rFonts w:ascii="Arial" w:hAnsi="Arial" w:cs="Arial"/>
          <w:color w:val="000000" w:themeColor="text1"/>
          <w:sz w:val="20"/>
          <w:szCs w:val="20"/>
          <w:lang w:val="es-ES"/>
        </w:rPr>
        <w:t>icho criterio de desempate no logró tener aplicación, pues la reglamentación a que se hizo referencia no se expidió. Además, porque posteriormente se sancionó la Ley 2069 de 2020 que, como se advertirá, en su artículo 35 regula los factores de desempate que actualmente aplican en los procedimientos de selección y, además, su artículo 34 modificó el artículo 12 de la Ley 1150 de 2007, de manera que el contenido normativo del parágrafo 4 de dicho artículo, que en su momento lo adicionó el artículo 3 de la Ley 2040 de 2020, desapareció de nuestro ordenamiento jurídico al ser derogado, por lo que dicho parágrafo 4 actualmente no está vigente.</w:t>
      </w:r>
    </w:p>
    <w:p w14:paraId="0EA25C4D" w14:textId="77777777" w:rsidR="00AF6DEC" w:rsidRPr="00C0632B" w:rsidRDefault="00AF6DEC" w:rsidP="0099531F">
      <w:pPr>
        <w:jc w:val="both"/>
        <w:rPr>
          <w:rFonts w:ascii="Arial" w:eastAsia="Calibri" w:hAnsi="Arial" w:cs="Arial"/>
          <w:b/>
          <w:sz w:val="22"/>
          <w:lang w:val="es-ES"/>
        </w:rPr>
      </w:pPr>
    </w:p>
    <w:p w14:paraId="73365DCF" w14:textId="63E2A713" w:rsidR="00272945" w:rsidRPr="00742BED" w:rsidRDefault="00B54215" w:rsidP="00272945">
      <w:pPr>
        <w:jc w:val="both"/>
        <w:rPr>
          <w:rFonts w:ascii="Arial" w:eastAsia="Calibri" w:hAnsi="Arial" w:cs="Arial"/>
          <w:b/>
          <w:sz w:val="22"/>
          <w:lang w:val="es-ES_tradnl"/>
        </w:rPr>
      </w:pPr>
      <w:r w:rsidRPr="00742BED">
        <w:rPr>
          <w:rFonts w:ascii="Arial" w:eastAsia="Calibri" w:hAnsi="Arial" w:cs="Arial"/>
          <w:b/>
          <w:sz w:val="22"/>
          <w:lang w:val="es-ES_tradnl"/>
        </w:rPr>
        <w:t>EMPATE</w:t>
      </w:r>
      <w:r w:rsidR="00272945" w:rsidRPr="00742BED">
        <w:rPr>
          <w:rFonts w:ascii="Arial" w:eastAsia="Calibri" w:hAnsi="Arial" w:cs="Arial"/>
          <w:b/>
          <w:sz w:val="22"/>
          <w:lang w:val="es-ES_tradnl"/>
        </w:rPr>
        <w:t xml:space="preserve"> </w:t>
      </w:r>
      <w:r w:rsidR="00272945" w:rsidRPr="00742BED">
        <w:rPr>
          <w:rFonts w:ascii="Arial" w:eastAsia="Calibri" w:hAnsi="Arial" w:cs="Arial"/>
          <w:b/>
          <w:color w:val="000000" w:themeColor="text1"/>
          <w:sz w:val="22"/>
          <w:lang w:val="es-ES_tradnl"/>
        </w:rPr>
        <w:t>–</w:t>
      </w:r>
      <w:r w:rsidR="00272945" w:rsidRPr="00742BED">
        <w:rPr>
          <w:rFonts w:ascii="Arial" w:eastAsia="Calibri" w:hAnsi="Arial" w:cs="Arial"/>
          <w:b/>
          <w:sz w:val="22"/>
          <w:lang w:val="es-ES_tradnl"/>
        </w:rPr>
        <w:t xml:space="preserve"> </w:t>
      </w:r>
      <w:r w:rsidRPr="00742BED">
        <w:rPr>
          <w:rFonts w:ascii="Arial" w:eastAsia="Calibri" w:hAnsi="Arial" w:cs="Arial"/>
          <w:b/>
          <w:sz w:val="22"/>
          <w:lang w:val="es-ES_tradnl"/>
        </w:rPr>
        <w:t>Procedimiento de selección</w:t>
      </w:r>
      <w:r w:rsidR="00272945" w:rsidRPr="00742BED">
        <w:rPr>
          <w:rFonts w:ascii="Arial" w:eastAsia="Calibri" w:hAnsi="Arial" w:cs="Arial"/>
          <w:b/>
          <w:sz w:val="22"/>
          <w:lang w:val="es-ES_tradnl"/>
        </w:rPr>
        <w:t xml:space="preserve"> </w:t>
      </w:r>
      <w:r w:rsidR="00272945" w:rsidRPr="00742BED">
        <w:rPr>
          <w:rFonts w:ascii="Arial" w:eastAsia="Calibri" w:hAnsi="Arial" w:cs="Arial"/>
          <w:b/>
          <w:color w:val="000000" w:themeColor="text1"/>
          <w:sz w:val="22"/>
          <w:lang w:val="es-ES_tradnl"/>
        </w:rPr>
        <w:t>– Concepto</w:t>
      </w:r>
    </w:p>
    <w:p w14:paraId="182F8CB9" w14:textId="246E5B50" w:rsidR="00272945" w:rsidRPr="00742BED" w:rsidRDefault="00272945" w:rsidP="0099531F">
      <w:pPr>
        <w:jc w:val="both"/>
        <w:rPr>
          <w:rFonts w:ascii="Arial" w:eastAsia="Calibri" w:hAnsi="Arial" w:cs="Arial"/>
          <w:b/>
          <w:sz w:val="22"/>
          <w:lang w:val="es-ES_tradnl"/>
        </w:rPr>
      </w:pPr>
    </w:p>
    <w:p w14:paraId="29DD8E0A" w14:textId="042C4C7A" w:rsidR="006F71F5" w:rsidRPr="00742BED" w:rsidRDefault="005C6D19" w:rsidP="005C6D19">
      <w:pPr>
        <w:jc w:val="both"/>
        <w:rPr>
          <w:rFonts w:ascii="Arial" w:hAnsi="Arial" w:cs="Arial"/>
          <w:noProof/>
          <w:color w:val="000000" w:themeColor="text1"/>
          <w:sz w:val="22"/>
          <w:lang w:val="es-ES_tradnl"/>
        </w:rPr>
      </w:pPr>
      <w:r w:rsidRPr="00742BED">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B2F279A" w14:textId="77777777" w:rsidR="005C6D19" w:rsidRPr="00742BED" w:rsidRDefault="005C6D19" w:rsidP="00DF71EA">
      <w:pPr>
        <w:jc w:val="both"/>
        <w:rPr>
          <w:rFonts w:ascii="Arial" w:eastAsia="Calibri" w:hAnsi="Arial" w:cs="Arial"/>
          <w:b/>
          <w:sz w:val="22"/>
          <w:lang w:val="es-ES_tradnl"/>
        </w:rPr>
      </w:pPr>
    </w:p>
    <w:p w14:paraId="04086EC5" w14:textId="5C2FA739" w:rsidR="00DF71EA" w:rsidRPr="00742BED" w:rsidRDefault="00D73881" w:rsidP="00DF71EA">
      <w:pPr>
        <w:jc w:val="both"/>
        <w:rPr>
          <w:rFonts w:ascii="Arial" w:eastAsia="Calibri" w:hAnsi="Arial" w:cs="Arial"/>
          <w:b/>
          <w:sz w:val="22"/>
          <w:lang w:val="es-ES_tradnl"/>
        </w:rPr>
      </w:pPr>
      <w:r w:rsidRPr="00742BED">
        <w:rPr>
          <w:rFonts w:ascii="Arial" w:eastAsia="Calibri" w:hAnsi="Arial" w:cs="Arial"/>
          <w:b/>
          <w:sz w:val="22"/>
          <w:lang w:val="es-ES_tradnl"/>
        </w:rPr>
        <w:t>FACTORES DE DESEMPATE</w:t>
      </w:r>
      <w:r w:rsidR="00DF71EA" w:rsidRPr="00742BED">
        <w:rPr>
          <w:rFonts w:ascii="Arial" w:eastAsia="Calibri" w:hAnsi="Arial" w:cs="Arial"/>
          <w:b/>
          <w:sz w:val="22"/>
          <w:lang w:val="es-ES_tradnl"/>
        </w:rPr>
        <w:t xml:space="preserve"> </w:t>
      </w:r>
      <w:r w:rsidR="00DF71EA" w:rsidRPr="00742BED">
        <w:rPr>
          <w:rFonts w:ascii="Arial" w:eastAsia="Calibri" w:hAnsi="Arial" w:cs="Arial"/>
          <w:b/>
          <w:color w:val="000000" w:themeColor="text1"/>
          <w:sz w:val="22"/>
          <w:lang w:val="es-ES_tradnl"/>
        </w:rPr>
        <w:t>–</w:t>
      </w:r>
      <w:r w:rsidR="00DF71EA" w:rsidRPr="00742BED">
        <w:rPr>
          <w:rFonts w:ascii="Arial" w:eastAsia="Calibri" w:hAnsi="Arial" w:cs="Arial"/>
          <w:b/>
          <w:sz w:val="22"/>
          <w:lang w:val="es-ES_tradnl"/>
        </w:rPr>
        <w:t xml:space="preserve"> </w:t>
      </w:r>
      <w:r w:rsidRPr="00742BED">
        <w:rPr>
          <w:rFonts w:ascii="Arial" w:eastAsia="Calibri" w:hAnsi="Arial" w:cs="Arial"/>
          <w:b/>
          <w:sz w:val="22"/>
          <w:lang w:val="es-ES_tradnl"/>
        </w:rPr>
        <w:t>Características</w:t>
      </w:r>
      <w:r w:rsidR="00DF71EA" w:rsidRPr="00742BED">
        <w:rPr>
          <w:rFonts w:ascii="Arial" w:eastAsia="Calibri" w:hAnsi="Arial" w:cs="Arial"/>
          <w:b/>
          <w:sz w:val="22"/>
          <w:lang w:val="es-ES_tradnl"/>
        </w:rPr>
        <w:t xml:space="preserve"> </w:t>
      </w:r>
      <w:r w:rsidR="00DF71EA" w:rsidRPr="00742BED">
        <w:rPr>
          <w:rFonts w:ascii="Arial" w:eastAsia="Calibri" w:hAnsi="Arial" w:cs="Arial"/>
          <w:b/>
          <w:color w:val="000000" w:themeColor="text1"/>
          <w:sz w:val="22"/>
          <w:lang w:val="es-ES_tradnl"/>
        </w:rPr>
        <w:t xml:space="preserve">– </w:t>
      </w:r>
      <w:r w:rsidRPr="00742BED">
        <w:rPr>
          <w:rFonts w:ascii="Arial" w:eastAsia="Calibri" w:hAnsi="Arial" w:cs="Arial"/>
          <w:b/>
          <w:color w:val="000000" w:themeColor="text1"/>
          <w:sz w:val="22"/>
          <w:lang w:val="es-ES_tradnl"/>
        </w:rPr>
        <w:t>Límites</w:t>
      </w:r>
    </w:p>
    <w:p w14:paraId="583F00A4" w14:textId="390EB1EB" w:rsidR="00DF71EA" w:rsidRPr="00742BED" w:rsidRDefault="00DF71EA" w:rsidP="00B95C30">
      <w:pPr>
        <w:spacing w:line="276" w:lineRule="auto"/>
        <w:jc w:val="both"/>
        <w:rPr>
          <w:rFonts w:ascii="Arial" w:hAnsi="Arial" w:cs="Arial"/>
          <w:noProof/>
          <w:color w:val="000000" w:themeColor="text1"/>
          <w:sz w:val="22"/>
          <w:lang w:val="es-ES_tradnl"/>
        </w:rPr>
      </w:pPr>
    </w:p>
    <w:p w14:paraId="1F649AD9" w14:textId="77777777" w:rsidR="002A263A" w:rsidRDefault="002A263A" w:rsidP="002A263A">
      <w:pPr>
        <w:jc w:val="both"/>
        <w:rPr>
          <w:rFonts w:ascii="Arial" w:eastAsia="Calibri" w:hAnsi="Arial" w:cs="Arial"/>
          <w:sz w:val="20"/>
          <w:szCs w:val="20"/>
          <w:lang w:val="es-ES_tradnl"/>
        </w:rPr>
      </w:pPr>
      <w:r>
        <w:rPr>
          <w:rFonts w:ascii="Arial" w:eastAsia="Calibri" w:hAnsi="Arial" w:cs="Arial"/>
          <w:sz w:val="20"/>
          <w:szCs w:val="20"/>
          <w:lang w:val="es-ES_tradnl"/>
        </w:rPr>
        <w:t>E</w:t>
      </w:r>
      <w:r w:rsidRPr="002A263A">
        <w:rPr>
          <w:rFonts w:ascii="Arial" w:eastAsia="Calibri" w:hAnsi="Arial" w:cs="Arial"/>
          <w:sz w:val="20"/>
          <w:szCs w:val="20"/>
          <w:lang w:val="es-ES_tradnl"/>
        </w:rPr>
        <w:t>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Pr>
          <w:rFonts w:ascii="Arial" w:eastAsia="Calibri" w:hAnsi="Arial" w:cs="Arial"/>
          <w:sz w:val="20"/>
          <w:szCs w:val="20"/>
          <w:lang w:val="es-ES_tradnl"/>
        </w:rPr>
        <w:t>.</w:t>
      </w:r>
    </w:p>
    <w:p w14:paraId="0298B29F" w14:textId="24B719C7" w:rsidR="002A263A" w:rsidRPr="002A263A" w:rsidRDefault="002A263A" w:rsidP="002A263A">
      <w:pPr>
        <w:jc w:val="both"/>
        <w:rPr>
          <w:rFonts w:ascii="Arial" w:eastAsia="Calibri" w:hAnsi="Arial" w:cs="Arial"/>
          <w:sz w:val="20"/>
          <w:szCs w:val="20"/>
          <w:lang w:val="es-ES_tradnl"/>
        </w:rPr>
      </w:pPr>
      <w:r w:rsidRPr="002A263A">
        <w:rPr>
          <w:rFonts w:ascii="Arial" w:eastAsia="Calibri" w:hAnsi="Arial" w:cs="Arial"/>
          <w:sz w:val="20"/>
          <w:szCs w:val="20"/>
          <w:lang w:val="es-ES_tradnl"/>
        </w:rPr>
        <w:t xml:space="preserve"> </w:t>
      </w:r>
    </w:p>
    <w:p w14:paraId="5204F243" w14:textId="7195401C" w:rsidR="00D73881" w:rsidRPr="00742BED" w:rsidRDefault="002A263A" w:rsidP="002A263A">
      <w:pPr>
        <w:jc w:val="both"/>
        <w:rPr>
          <w:rFonts w:ascii="Arial" w:eastAsia="Calibri" w:hAnsi="Arial" w:cs="Arial"/>
          <w:sz w:val="20"/>
          <w:szCs w:val="20"/>
          <w:lang w:val="es-ES_tradnl"/>
        </w:rPr>
      </w:pPr>
      <w:r w:rsidRPr="002A263A">
        <w:rPr>
          <w:rFonts w:ascii="Arial" w:eastAsia="Calibri" w:hAnsi="Arial" w:cs="Arial"/>
          <w:sz w:val="20"/>
          <w:szCs w:val="20"/>
          <w:lang w:val="es-ES_tradnl"/>
        </w:rPr>
        <w:lastRenderedPageBreak/>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según el Consejo de Estado, ir en contra de los factores de desempate establecidos expresamente genera la nulidad del contrato, conforme al artículo 44, inciso 1º de la Ley 80 de 1993</w:t>
      </w:r>
      <w:r w:rsidR="003D3F28" w:rsidRPr="00742BED">
        <w:rPr>
          <w:rFonts w:ascii="Arial" w:eastAsia="Calibri" w:hAnsi="Arial" w:cs="Arial"/>
          <w:sz w:val="20"/>
          <w:szCs w:val="20"/>
          <w:lang w:val="es-ES_tradnl"/>
        </w:rPr>
        <w:t>.</w:t>
      </w:r>
      <w:r w:rsidR="00D73881" w:rsidRPr="00742BED">
        <w:rPr>
          <w:rFonts w:ascii="Arial" w:eastAsia="Calibri" w:hAnsi="Arial" w:cs="Arial"/>
          <w:sz w:val="20"/>
          <w:szCs w:val="20"/>
          <w:lang w:val="es-ES_tradnl"/>
        </w:rPr>
        <w:t xml:space="preserve"> </w:t>
      </w:r>
    </w:p>
    <w:p w14:paraId="20087230" w14:textId="77777777" w:rsidR="00617D72" w:rsidRPr="00742BED" w:rsidRDefault="00617D72" w:rsidP="00D73881">
      <w:pPr>
        <w:jc w:val="both"/>
        <w:rPr>
          <w:rFonts w:ascii="Arial" w:eastAsia="Calibri" w:hAnsi="Arial" w:cs="Arial"/>
          <w:b/>
          <w:sz w:val="22"/>
          <w:lang w:val="es-ES_tradnl"/>
        </w:rPr>
      </w:pPr>
    </w:p>
    <w:p w14:paraId="7144E95B" w14:textId="6179FDBF" w:rsidR="00D73881" w:rsidRPr="00742BED" w:rsidRDefault="00D73881" w:rsidP="00D73881">
      <w:pPr>
        <w:jc w:val="both"/>
        <w:rPr>
          <w:rFonts w:ascii="Arial" w:eastAsia="Calibri" w:hAnsi="Arial" w:cs="Arial"/>
          <w:b/>
          <w:sz w:val="22"/>
          <w:lang w:val="es-ES_tradnl"/>
        </w:rPr>
      </w:pPr>
      <w:r w:rsidRPr="00742BED">
        <w:rPr>
          <w:rFonts w:ascii="Arial" w:eastAsia="Calibri" w:hAnsi="Arial" w:cs="Arial"/>
          <w:b/>
          <w:sz w:val="22"/>
          <w:lang w:val="es-ES_tradnl"/>
        </w:rPr>
        <w:t xml:space="preserve">LEY DE EMPRENDIMIENTO </w:t>
      </w:r>
      <w:r w:rsidRPr="00742BED">
        <w:rPr>
          <w:rFonts w:ascii="Arial" w:eastAsia="Calibri" w:hAnsi="Arial" w:cs="Arial"/>
          <w:b/>
          <w:color w:val="000000" w:themeColor="text1"/>
          <w:sz w:val="22"/>
          <w:lang w:val="es-ES_tradnl"/>
        </w:rPr>
        <w:t>–</w:t>
      </w:r>
      <w:r w:rsidRPr="00742BED">
        <w:rPr>
          <w:rFonts w:ascii="Arial" w:eastAsia="Calibri" w:hAnsi="Arial" w:cs="Arial"/>
          <w:b/>
          <w:sz w:val="22"/>
          <w:lang w:val="es-ES_tradnl"/>
        </w:rPr>
        <w:t xml:space="preserve"> Ley </w:t>
      </w:r>
      <w:r w:rsidR="007B209C" w:rsidRPr="00742BED">
        <w:rPr>
          <w:rFonts w:ascii="Arial" w:eastAsia="Calibri" w:hAnsi="Arial" w:cs="Arial"/>
          <w:b/>
          <w:sz w:val="22"/>
          <w:lang w:val="es-ES_tradnl"/>
        </w:rPr>
        <w:t>2069</w:t>
      </w:r>
      <w:r w:rsidRPr="00742BED">
        <w:rPr>
          <w:rFonts w:ascii="Arial" w:eastAsia="Calibri" w:hAnsi="Arial" w:cs="Arial"/>
          <w:b/>
          <w:sz w:val="22"/>
          <w:lang w:val="es-ES_tradnl"/>
        </w:rPr>
        <w:t xml:space="preserve"> de 2020 </w:t>
      </w:r>
      <w:r w:rsidRPr="00742BED">
        <w:rPr>
          <w:rFonts w:ascii="Arial" w:eastAsia="Calibri" w:hAnsi="Arial" w:cs="Arial"/>
          <w:b/>
          <w:color w:val="000000" w:themeColor="text1"/>
          <w:sz w:val="22"/>
          <w:lang w:val="es-ES_tradnl"/>
        </w:rPr>
        <w:t xml:space="preserve">– Vigencia </w:t>
      </w:r>
    </w:p>
    <w:p w14:paraId="0D3B8DEB" w14:textId="33C83BCF" w:rsidR="00D73881" w:rsidRPr="00742BED" w:rsidRDefault="00D73881" w:rsidP="00D73881">
      <w:pPr>
        <w:jc w:val="both"/>
        <w:rPr>
          <w:rFonts w:ascii="Arial" w:eastAsia="Calibri" w:hAnsi="Arial" w:cs="Arial"/>
          <w:b/>
          <w:sz w:val="22"/>
          <w:lang w:val="es-ES_tradnl"/>
        </w:rPr>
      </w:pPr>
    </w:p>
    <w:p w14:paraId="3B612921" w14:textId="77777777" w:rsidR="002A263A" w:rsidRPr="002A263A" w:rsidRDefault="002A263A" w:rsidP="002A263A">
      <w:pPr>
        <w:jc w:val="both"/>
        <w:rPr>
          <w:rFonts w:ascii="Arial" w:eastAsia="Calibri" w:hAnsi="Arial" w:cs="Arial"/>
          <w:sz w:val="20"/>
          <w:szCs w:val="20"/>
          <w:lang w:val="es-ES_tradnl"/>
        </w:rPr>
      </w:pPr>
      <w:r w:rsidRPr="002A263A">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1336ADD" w14:textId="77777777" w:rsidR="002A263A" w:rsidRDefault="002A263A" w:rsidP="002A263A">
      <w:pPr>
        <w:jc w:val="both"/>
        <w:rPr>
          <w:rFonts w:ascii="Arial" w:eastAsia="Calibri" w:hAnsi="Arial" w:cs="Arial"/>
          <w:sz w:val="20"/>
          <w:szCs w:val="20"/>
          <w:lang w:val="es-ES_tradnl"/>
        </w:rPr>
      </w:pPr>
    </w:p>
    <w:p w14:paraId="7B24A529" w14:textId="05365602" w:rsidR="008410B1" w:rsidRPr="00742BED" w:rsidRDefault="002A263A" w:rsidP="002A263A">
      <w:pPr>
        <w:jc w:val="both"/>
        <w:rPr>
          <w:rFonts w:ascii="Arial" w:eastAsia="Calibri" w:hAnsi="Arial" w:cs="Arial"/>
          <w:b/>
          <w:sz w:val="22"/>
          <w:lang w:val="es-ES_tradnl"/>
        </w:rPr>
      </w:pPr>
      <w:r w:rsidRPr="002A263A">
        <w:rPr>
          <w:rFonts w:ascii="Arial" w:eastAsia="Calibri" w:hAnsi="Arial" w:cs="Arial"/>
          <w:sz w:val="20"/>
          <w:szCs w:val="20"/>
          <w:lang w:val="es-ES_tradnl"/>
        </w:rPr>
        <w:t>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w:t>
      </w:r>
      <w:proofErr w:type="spellStart"/>
      <w:r w:rsidRPr="002A263A">
        <w:rPr>
          <w:rFonts w:ascii="Arial" w:eastAsia="Calibri" w:hAnsi="Arial" w:cs="Arial"/>
          <w:sz w:val="20"/>
          <w:szCs w:val="20"/>
          <w:lang w:val="es-ES_tradnl"/>
        </w:rPr>
        <w:t>mipymes</w:t>
      </w:r>
      <w:proofErr w:type="spellEnd"/>
      <w:r w:rsidRPr="002A263A">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EA73C29" w14:textId="77777777" w:rsidR="002A263A" w:rsidRDefault="002A263A" w:rsidP="00202F5D">
      <w:pPr>
        <w:jc w:val="both"/>
        <w:rPr>
          <w:rFonts w:ascii="Arial" w:eastAsia="Calibri" w:hAnsi="Arial" w:cs="Arial"/>
          <w:b/>
          <w:sz w:val="22"/>
          <w:szCs w:val="22"/>
          <w:lang w:val="es-ES_tradnl"/>
        </w:rPr>
      </w:pPr>
    </w:p>
    <w:p w14:paraId="4818BE12" w14:textId="5C9797CB" w:rsidR="00202F5D" w:rsidRPr="00DD000A" w:rsidRDefault="00202F5D" w:rsidP="00202F5D">
      <w:pPr>
        <w:jc w:val="both"/>
        <w:rPr>
          <w:rFonts w:ascii="Arial" w:eastAsia="Calibri" w:hAnsi="Arial" w:cs="Arial"/>
          <w:b/>
          <w:sz w:val="22"/>
          <w:szCs w:val="22"/>
          <w:lang w:val="es-ES_tradnl"/>
        </w:rPr>
      </w:pPr>
      <w:r w:rsidRPr="00DD000A">
        <w:rPr>
          <w:rFonts w:ascii="Arial" w:eastAsia="Calibri" w:hAnsi="Arial" w:cs="Arial"/>
          <w:b/>
          <w:sz w:val="22"/>
          <w:szCs w:val="22"/>
          <w:lang w:val="es-ES_tradnl"/>
        </w:rPr>
        <w:t xml:space="preserve">FACTORES DE DESEMPATE </w:t>
      </w:r>
      <w:r w:rsidRPr="00DD000A">
        <w:rPr>
          <w:rFonts w:ascii="Arial" w:eastAsia="Calibri" w:hAnsi="Arial" w:cs="Arial"/>
          <w:b/>
          <w:color w:val="000000" w:themeColor="text1"/>
          <w:sz w:val="22"/>
          <w:szCs w:val="22"/>
          <w:lang w:val="es-ES_tradnl"/>
        </w:rPr>
        <w:t>–</w:t>
      </w:r>
      <w:r w:rsidRPr="00DD000A">
        <w:rPr>
          <w:rFonts w:ascii="Arial" w:eastAsia="Calibri" w:hAnsi="Arial" w:cs="Arial"/>
          <w:b/>
          <w:sz w:val="22"/>
          <w:szCs w:val="22"/>
          <w:lang w:val="es-ES_tradnl"/>
        </w:rPr>
        <w:t xml:space="preserve"> Ley 2069 </w:t>
      </w:r>
      <w:r w:rsidRPr="00DD000A">
        <w:rPr>
          <w:rFonts w:ascii="Arial" w:eastAsia="Calibri" w:hAnsi="Arial" w:cs="Arial"/>
          <w:b/>
          <w:color w:val="000000" w:themeColor="text1"/>
          <w:sz w:val="22"/>
          <w:szCs w:val="22"/>
          <w:lang w:val="es-ES_tradnl"/>
        </w:rPr>
        <w:t>– Artículo 35</w:t>
      </w:r>
      <w:r w:rsidR="00F81792">
        <w:rPr>
          <w:rFonts w:ascii="Arial" w:eastAsia="Calibri" w:hAnsi="Arial" w:cs="Arial"/>
          <w:b/>
          <w:color w:val="000000" w:themeColor="text1"/>
          <w:sz w:val="22"/>
          <w:szCs w:val="22"/>
          <w:lang w:val="es-ES_tradnl"/>
        </w:rPr>
        <w:t>.4</w:t>
      </w:r>
      <w:r w:rsidRPr="00DD000A">
        <w:rPr>
          <w:rFonts w:ascii="Arial" w:eastAsia="Calibri" w:hAnsi="Arial" w:cs="Arial"/>
          <w:b/>
          <w:color w:val="000000" w:themeColor="text1"/>
          <w:sz w:val="22"/>
          <w:szCs w:val="22"/>
          <w:lang w:val="es-ES_tradnl"/>
        </w:rPr>
        <w:t xml:space="preserve"> – </w:t>
      </w:r>
      <w:r w:rsidR="00F81792">
        <w:rPr>
          <w:rFonts w:ascii="Arial" w:eastAsia="Calibri" w:hAnsi="Arial" w:cs="Arial"/>
          <w:b/>
          <w:color w:val="000000" w:themeColor="text1"/>
          <w:sz w:val="22"/>
          <w:szCs w:val="22"/>
          <w:lang w:val="es-ES_tradnl"/>
        </w:rPr>
        <w:t xml:space="preserve">Vinculación de adultos mayores - </w:t>
      </w:r>
      <w:r w:rsidRPr="00DD000A">
        <w:rPr>
          <w:rFonts w:ascii="Arial" w:eastAsia="Calibri" w:hAnsi="Arial" w:cs="Arial"/>
          <w:b/>
          <w:color w:val="000000" w:themeColor="text1"/>
          <w:sz w:val="22"/>
          <w:szCs w:val="22"/>
          <w:lang w:val="es-ES_tradnl"/>
        </w:rPr>
        <w:t>Acreditación</w:t>
      </w:r>
    </w:p>
    <w:p w14:paraId="784080C4" w14:textId="77777777" w:rsidR="00202F5D" w:rsidRPr="00DD000A" w:rsidRDefault="00202F5D" w:rsidP="00202F5D">
      <w:pPr>
        <w:spacing w:line="276" w:lineRule="auto"/>
        <w:jc w:val="both"/>
        <w:rPr>
          <w:rFonts w:ascii="Arial" w:hAnsi="Arial" w:cs="Arial"/>
          <w:noProof/>
          <w:color w:val="000000" w:themeColor="text1"/>
          <w:sz w:val="22"/>
          <w:szCs w:val="22"/>
          <w:lang w:val="es-ES_tradnl"/>
        </w:rPr>
      </w:pPr>
    </w:p>
    <w:p w14:paraId="4B1649E5" w14:textId="77777777" w:rsidR="002A263A" w:rsidRPr="002A263A" w:rsidRDefault="00202F5D" w:rsidP="002A263A">
      <w:pPr>
        <w:spacing w:after="120"/>
        <w:jc w:val="both"/>
        <w:rPr>
          <w:rFonts w:ascii="Arial" w:eastAsia="Calibri" w:hAnsi="Arial" w:cs="Arial"/>
          <w:color w:val="000000"/>
          <w:sz w:val="20"/>
          <w:szCs w:val="20"/>
          <w:lang w:val="es-ES_tradnl"/>
        </w:rPr>
      </w:pPr>
      <w:r w:rsidRPr="00691A08">
        <w:rPr>
          <w:rFonts w:ascii="Arial" w:eastAsia="Calibri" w:hAnsi="Arial" w:cs="Arial"/>
          <w:sz w:val="20"/>
          <w:szCs w:val="20"/>
          <w:lang w:val="es-ES_tradnl"/>
        </w:rPr>
        <w:t xml:space="preserve">[…], </w:t>
      </w:r>
      <w:r w:rsidR="002A263A" w:rsidRPr="002A263A">
        <w:rPr>
          <w:rFonts w:ascii="Arial" w:eastAsia="Calibri" w:hAnsi="Arial" w:cs="Arial"/>
          <w:color w:val="000000"/>
          <w:sz w:val="20"/>
          <w:szCs w:val="20"/>
          <w:lang w:val="es-ES_tradnl"/>
        </w:rPr>
        <w:t>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más tenga. Sin embargo, esta interpretación no es posible en la medida que la norma se refiere a la «vinculación en mayor proporción», es decir el número de personas vinculadas en relación con la planta de personal de los oferentes.</w:t>
      </w:r>
    </w:p>
    <w:p w14:paraId="311DAC5C" w14:textId="77777777" w:rsidR="002A263A" w:rsidRPr="002A263A" w:rsidRDefault="002A263A" w:rsidP="002A263A">
      <w:pPr>
        <w:spacing w:after="120"/>
        <w:jc w:val="both"/>
        <w:rPr>
          <w:rFonts w:ascii="Arial" w:eastAsia="Calibri" w:hAnsi="Arial" w:cs="Arial"/>
          <w:color w:val="000000"/>
          <w:sz w:val="20"/>
          <w:szCs w:val="20"/>
          <w:lang w:val="es-ES_tradnl"/>
        </w:rPr>
      </w:pPr>
      <w:r w:rsidRPr="002A263A">
        <w:rPr>
          <w:rFonts w:ascii="Arial" w:eastAsia="Calibri" w:hAnsi="Arial" w:cs="Arial"/>
          <w:color w:val="000000"/>
          <w:sz w:val="20"/>
          <w:szCs w:val="20"/>
          <w:lang w:val="es-ES_tradnl"/>
        </w:rPr>
        <w:t xml:space="preserve">Hasta ahora no existe un reglamento que defina el concepto de «vinculación en mayor proporción», por lo que debe entenderse conforme a las pautas hermenéuticas del Código Civil. Por tanto, es necesario precisar el alcance del Concepto C-015 del 4 de febrero de 2021 en el sentido que el artículo 35.4 de la Ley de Emprendimiento se refiere al número de personas vinculadas por el oferente que «no sean beneficiarios de la pensión de vejez, familiar o de sobrevivencia y que hayan cumplido el requisito de edad de pensión establecido en la Ley», precisando que la «vinculación en mayor proporción» debe analizarse respecto al número de trabajadores de la planta de personal. </w:t>
      </w:r>
    </w:p>
    <w:p w14:paraId="7B43909D" w14:textId="3F90B9C6" w:rsidR="004B56B5" w:rsidRPr="004B56B5" w:rsidRDefault="002A263A" w:rsidP="004B56B5">
      <w:pPr>
        <w:spacing w:after="120"/>
        <w:jc w:val="both"/>
        <w:rPr>
          <w:rFonts w:ascii="Arial" w:eastAsia="Calibri" w:hAnsi="Arial" w:cs="Arial"/>
          <w:color w:val="000000"/>
          <w:sz w:val="20"/>
          <w:szCs w:val="20"/>
          <w:lang w:val="es-ES_tradnl"/>
        </w:rPr>
      </w:pPr>
      <w:r w:rsidRPr="002A263A">
        <w:rPr>
          <w:rFonts w:ascii="Arial" w:eastAsia="Calibri" w:hAnsi="Arial" w:cs="Arial"/>
          <w:color w:val="000000"/>
          <w:sz w:val="20"/>
          <w:szCs w:val="20"/>
          <w:lang w:val="es-ES_tradnl"/>
        </w:rPr>
        <w:t>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w:t>
      </w:r>
      <w:r>
        <w:rPr>
          <w:rFonts w:ascii="Arial" w:eastAsia="Calibri" w:hAnsi="Arial" w:cs="Arial"/>
          <w:color w:val="000000"/>
          <w:sz w:val="20"/>
          <w:szCs w:val="20"/>
          <w:lang w:val="es-ES_tradnl"/>
        </w:rPr>
        <w:t>.</w:t>
      </w:r>
    </w:p>
    <w:p w14:paraId="7DD48F49" w14:textId="00194B71" w:rsidR="00B95C30" w:rsidRPr="00742BED" w:rsidRDefault="00B95C30" w:rsidP="00B95C30">
      <w:pPr>
        <w:spacing w:line="276" w:lineRule="auto"/>
        <w:jc w:val="both"/>
        <w:rPr>
          <w:rFonts w:ascii="Arial" w:hAnsi="Arial" w:cs="Arial"/>
          <w:b/>
          <w:bCs/>
          <w:noProof/>
          <w:color w:val="000000" w:themeColor="text1"/>
          <w:sz w:val="22"/>
          <w:lang w:val="es-ES_tradnl"/>
        </w:rPr>
      </w:pPr>
      <w:r w:rsidRPr="00742BED">
        <w:rPr>
          <w:rFonts w:ascii="Arial" w:hAnsi="Arial" w:cs="Arial"/>
          <w:noProof/>
          <w:color w:val="000000" w:themeColor="text1"/>
          <w:sz w:val="22"/>
          <w:lang w:val="es-ES_tradnl"/>
        </w:rPr>
        <w:lastRenderedPageBreak/>
        <w:t xml:space="preserve">Bogotá D.C., </w:t>
      </w:r>
      <w:r w:rsidR="004B56B5">
        <w:rPr>
          <w:rFonts w:ascii="0ÊXÀ˛" w:eastAsiaTheme="minorHAnsi" w:hAnsi="0ÊXÀ˛" w:cs="0ÊXÀ˛"/>
          <w:color w:val="4E4D4D"/>
          <w:sz w:val="22"/>
          <w:szCs w:val="22"/>
          <w:lang w:val="es-ES_tradnl" w:eastAsia="en-US"/>
        </w:rPr>
        <w:t xml:space="preserve">03 </w:t>
      </w:r>
      <w:proofErr w:type="gramStart"/>
      <w:r w:rsidR="004B56B5">
        <w:rPr>
          <w:rFonts w:ascii="0ÊXÀ˛" w:eastAsiaTheme="minorHAnsi" w:hAnsi="0ÊXÀ˛" w:cs="0ÊXÀ˛"/>
          <w:color w:val="4E4D4D"/>
          <w:sz w:val="22"/>
          <w:szCs w:val="22"/>
          <w:lang w:val="es-ES_tradnl" w:eastAsia="en-US"/>
        </w:rPr>
        <w:t>Agosto</w:t>
      </w:r>
      <w:proofErr w:type="gramEnd"/>
      <w:r w:rsidR="004B56B5">
        <w:rPr>
          <w:rFonts w:ascii="0ÊXÀ˛" w:eastAsiaTheme="minorHAnsi" w:hAnsi="0ÊXÀ˛" w:cs="0ÊXÀ˛"/>
          <w:color w:val="4E4D4D"/>
          <w:sz w:val="22"/>
          <w:szCs w:val="22"/>
          <w:lang w:val="es-ES_tradnl" w:eastAsia="en-US"/>
        </w:rPr>
        <w:t xml:space="preserve"> 2021</w:t>
      </w:r>
      <w:r w:rsidR="004B56B5">
        <w:rPr>
          <w:rFonts w:ascii="0ÊXÀ˛" w:eastAsiaTheme="minorHAnsi" w:hAnsi="0ÊXÀ˛" w:cs="0ÊXÀ˛"/>
          <w:color w:val="4E4D4D"/>
          <w:sz w:val="22"/>
          <w:szCs w:val="22"/>
          <w:lang w:val="es-ES_tradnl" w:eastAsia="en-US"/>
        </w:rPr>
        <w:t xml:space="preserve">               </w:t>
      </w:r>
      <w:r w:rsidR="004B56B5" w:rsidRPr="004B56B5">
        <w:rPr>
          <w:rFonts w:ascii="0ÊXÀ˛" w:eastAsiaTheme="minorHAnsi" w:hAnsi="0ÊXÀ˛" w:cs="0ÊXÀ˛"/>
          <w:color w:val="4E4D4D"/>
          <w:sz w:val="22"/>
          <w:szCs w:val="22"/>
          <w:lang w:val="es-ES_tradnl" w:eastAsia="en-US"/>
        </w:rPr>
        <w:drawing>
          <wp:inline distT="0" distB="0" distL="0" distR="0" wp14:anchorId="656FCBA5" wp14:editId="7D84C8A8">
            <wp:extent cx="2612000" cy="617855"/>
            <wp:effectExtent l="0" t="0" r="4445" b="444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648104" cy="626395"/>
                    </a:xfrm>
                    <a:prstGeom prst="rect">
                      <a:avLst/>
                    </a:prstGeom>
                  </pic:spPr>
                </pic:pic>
              </a:graphicData>
            </a:graphic>
          </wp:inline>
        </w:drawing>
      </w:r>
    </w:p>
    <w:p w14:paraId="1F928DBD" w14:textId="77777777" w:rsidR="00F53F4F" w:rsidRPr="00742BED" w:rsidRDefault="00F53F4F" w:rsidP="00B95C30">
      <w:pPr>
        <w:spacing w:line="276" w:lineRule="auto"/>
        <w:jc w:val="both"/>
        <w:rPr>
          <w:rFonts w:ascii="Arial" w:eastAsia="Calibri" w:hAnsi="Arial" w:cs="Arial"/>
          <w:noProof/>
          <w:color w:val="000000" w:themeColor="text1"/>
          <w:sz w:val="22"/>
          <w:szCs w:val="22"/>
          <w:lang w:val="es-ES_tradnl"/>
        </w:rPr>
      </w:pPr>
    </w:p>
    <w:p w14:paraId="5F5AE9EF" w14:textId="2E01DC56" w:rsidR="00B95C30" w:rsidRPr="00742BED" w:rsidRDefault="00BE4FBF" w:rsidP="00B95C30">
      <w:pPr>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Señor</w:t>
      </w:r>
    </w:p>
    <w:p w14:paraId="6987FB13" w14:textId="424CE006" w:rsidR="002311F0" w:rsidRPr="00742BED" w:rsidRDefault="008C7141" w:rsidP="002311F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Cristian Chacón </w:t>
      </w:r>
    </w:p>
    <w:p w14:paraId="09D4AEA8" w14:textId="4349F421" w:rsidR="00B95C30" w:rsidRPr="00742BED" w:rsidRDefault="008C7141"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3B584A57" w14:textId="4528CA3D" w:rsidR="00F53F4F" w:rsidRPr="00742BED" w:rsidRDefault="00F53F4F" w:rsidP="00B95C30">
      <w:pPr>
        <w:jc w:val="both"/>
        <w:rPr>
          <w:rFonts w:ascii="Arial" w:eastAsia="Calibri" w:hAnsi="Arial" w:cs="Arial"/>
          <w:color w:val="000000" w:themeColor="text1"/>
          <w:sz w:val="22"/>
          <w:lang w:val="es-ES_tradnl"/>
        </w:rPr>
      </w:pPr>
    </w:p>
    <w:p w14:paraId="48E36FCF" w14:textId="77777777" w:rsidR="00F53F4F" w:rsidRPr="00742BED" w:rsidRDefault="00F53F4F" w:rsidP="00B95C30">
      <w:pPr>
        <w:jc w:val="both"/>
        <w:rPr>
          <w:rFonts w:ascii="Arial" w:eastAsia="Calibri" w:hAnsi="Arial" w:cs="Arial"/>
          <w:color w:val="000000" w:themeColor="text1"/>
          <w:sz w:val="22"/>
          <w:lang w:val="es-ES_tradnl"/>
        </w:rPr>
      </w:pPr>
    </w:p>
    <w:p w14:paraId="12E66182" w14:textId="21C61277" w:rsidR="00B95C30" w:rsidRPr="00742BED" w:rsidRDefault="00F53F4F" w:rsidP="001D6CD2">
      <w:pPr>
        <w:rPr>
          <w:rFonts w:ascii="Arial" w:eastAsia="Calibri" w:hAnsi="Arial" w:cs="Arial"/>
          <w:b/>
          <w:bCs/>
          <w:color w:val="000000" w:themeColor="text1"/>
          <w:sz w:val="22"/>
          <w:lang w:val="es-ES_tradnl"/>
        </w:rPr>
      </w:pPr>
      <w:r w:rsidRPr="00742BED">
        <w:rPr>
          <w:rFonts w:ascii="Arial" w:eastAsia="Calibri" w:hAnsi="Arial" w:cs="Arial"/>
          <w:b/>
          <w:bCs/>
          <w:color w:val="000000" w:themeColor="text1"/>
          <w:sz w:val="22"/>
          <w:lang w:val="es-ES_tradnl"/>
        </w:rPr>
        <w:t xml:space="preserve">                                            </w:t>
      </w:r>
      <w:r w:rsidR="00B95C30" w:rsidRPr="00742BED">
        <w:rPr>
          <w:rFonts w:ascii="Arial" w:eastAsia="Calibri" w:hAnsi="Arial" w:cs="Arial"/>
          <w:b/>
          <w:bCs/>
          <w:color w:val="000000" w:themeColor="text1"/>
          <w:sz w:val="22"/>
          <w:lang w:val="es-ES_tradnl"/>
        </w:rPr>
        <w:t xml:space="preserve">Concepto C ‒ </w:t>
      </w:r>
      <w:r w:rsidR="00895212">
        <w:rPr>
          <w:rFonts w:ascii="Arial" w:eastAsia="Calibri" w:hAnsi="Arial" w:cs="Arial"/>
          <w:b/>
          <w:bCs/>
          <w:color w:val="000000" w:themeColor="text1"/>
          <w:sz w:val="22"/>
          <w:lang w:val="es-ES_tradnl"/>
        </w:rPr>
        <w:t>390</w:t>
      </w:r>
      <w:r w:rsidR="00B95C30" w:rsidRPr="00742BED">
        <w:rPr>
          <w:rFonts w:ascii="Arial" w:eastAsia="Calibri" w:hAnsi="Arial" w:cs="Arial"/>
          <w:b/>
          <w:bCs/>
          <w:color w:val="000000" w:themeColor="text1"/>
          <w:sz w:val="22"/>
          <w:lang w:val="es-ES_tradnl"/>
        </w:rPr>
        <w:t xml:space="preserve"> de 202</w:t>
      </w:r>
      <w:r w:rsidR="005E781C" w:rsidRPr="00742BED">
        <w:rPr>
          <w:rFonts w:ascii="Arial" w:eastAsia="Calibri" w:hAnsi="Arial" w:cs="Arial"/>
          <w:b/>
          <w:bCs/>
          <w:color w:val="000000" w:themeColor="text1"/>
          <w:sz w:val="22"/>
          <w:lang w:val="es-ES_tradnl"/>
        </w:rPr>
        <w:t>1</w:t>
      </w:r>
    </w:p>
    <w:p w14:paraId="1BD594F9" w14:textId="77777777" w:rsidR="00B95C30" w:rsidRPr="00742BED"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742BED" w14:paraId="19DFC051" w14:textId="77777777" w:rsidTr="008F4163">
        <w:tc>
          <w:tcPr>
            <w:tcW w:w="2689" w:type="dxa"/>
          </w:tcPr>
          <w:p w14:paraId="6BC0D1AC" w14:textId="77777777" w:rsidR="00B95C30" w:rsidRPr="00742BED" w:rsidRDefault="00B95C30" w:rsidP="008F4163">
            <w:pPr>
              <w:jc w:val="both"/>
              <w:rPr>
                <w:rFonts w:ascii="Arial" w:eastAsia="Calibri" w:hAnsi="Arial" w:cs="Arial"/>
                <w:color w:val="000000" w:themeColor="text1"/>
                <w:sz w:val="22"/>
                <w:lang w:val="es-ES_tradnl"/>
              </w:rPr>
            </w:pPr>
            <w:r w:rsidRPr="00742BED">
              <w:rPr>
                <w:rFonts w:ascii="Arial" w:eastAsia="Calibri" w:hAnsi="Arial" w:cs="Arial"/>
                <w:b/>
                <w:color w:val="000000" w:themeColor="text1"/>
                <w:sz w:val="22"/>
                <w:lang w:val="es-ES_tradnl"/>
              </w:rPr>
              <w:t>Temas:</w:t>
            </w:r>
            <w:r w:rsidRPr="00742BED">
              <w:rPr>
                <w:rFonts w:ascii="Arial" w:eastAsia="Calibri" w:hAnsi="Arial" w:cs="Arial"/>
                <w:color w:val="000000" w:themeColor="text1"/>
                <w:sz w:val="22"/>
                <w:lang w:val="es-ES_tradnl"/>
              </w:rPr>
              <w:t xml:space="preserve">                                      </w:t>
            </w:r>
          </w:p>
        </w:tc>
        <w:tc>
          <w:tcPr>
            <w:tcW w:w="6237" w:type="dxa"/>
          </w:tcPr>
          <w:p w14:paraId="5F389CAF" w14:textId="6B910931" w:rsidR="00B95C30" w:rsidRPr="00742BED" w:rsidRDefault="00C0632B" w:rsidP="008F4163">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
              </w:rPr>
              <w:t>INCENTIVOS CONTRACTUALES – Empleabilidad de adultos mayores – Política horizontal – Criterio de desempate – Ley 2040 de 2020</w:t>
            </w:r>
            <w:r w:rsidR="00592353">
              <w:rPr>
                <w:rFonts w:ascii="Arial" w:eastAsia="Calibri" w:hAnsi="Arial" w:cs="Arial"/>
                <w:color w:val="000000" w:themeColor="text1"/>
                <w:sz w:val="22"/>
                <w:lang w:val="es-ES"/>
              </w:rPr>
              <w:t xml:space="preserve"> - Vigencia</w:t>
            </w:r>
            <w:r>
              <w:rPr>
                <w:rFonts w:ascii="Arial" w:eastAsia="Calibri" w:hAnsi="Arial" w:cs="Arial"/>
                <w:color w:val="000000" w:themeColor="text1"/>
                <w:sz w:val="22"/>
                <w:lang w:val="es-ES"/>
              </w:rPr>
              <w:t xml:space="preserve"> </w:t>
            </w:r>
            <w:r w:rsidR="00402B33" w:rsidRPr="00742BED">
              <w:rPr>
                <w:rFonts w:ascii="Arial" w:eastAsia="Calibri" w:hAnsi="Arial" w:cs="Arial"/>
                <w:bCs/>
                <w:sz w:val="22"/>
                <w:lang w:val="es-ES_tradnl"/>
              </w:rPr>
              <w:t xml:space="preserve">/ EMPATE – Procedimiento de selección – Concepto / FACTORES DE DESEMPATE – Características – Límites / LEY DE EMPRENDIMIENTO – Ley 2069 de 2020 – Vigencia / </w:t>
            </w:r>
            <w:r w:rsidR="00F81792" w:rsidRPr="00F81792">
              <w:rPr>
                <w:rFonts w:ascii="Arial" w:eastAsia="Calibri" w:hAnsi="Arial" w:cs="Arial"/>
                <w:bCs/>
                <w:sz w:val="22"/>
                <w:lang w:val="es-ES_tradnl"/>
              </w:rPr>
              <w:t xml:space="preserve">FACTORES DE DESEMPATE – Ley 2069 – Artículo 35.4 – Vinculación de adultos mayores </w:t>
            </w:r>
            <w:r w:rsidR="00CA0858">
              <w:rPr>
                <w:rFonts w:ascii="Arial" w:eastAsia="Calibri" w:hAnsi="Arial" w:cs="Arial"/>
                <w:bCs/>
                <w:sz w:val="22"/>
                <w:lang w:val="es-ES_tradnl"/>
              </w:rPr>
              <w:t>–</w:t>
            </w:r>
            <w:r w:rsidR="00F81792" w:rsidRPr="00F81792">
              <w:rPr>
                <w:rFonts w:ascii="Arial" w:eastAsia="Calibri" w:hAnsi="Arial" w:cs="Arial"/>
                <w:bCs/>
                <w:sz w:val="22"/>
                <w:lang w:val="es-ES_tradnl"/>
              </w:rPr>
              <w:t xml:space="preserve"> Acreditación</w:t>
            </w:r>
          </w:p>
        </w:tc>
      </w:tr>
      <w:tr w:rsidR="00B95C30" w:rsidRPr="00742BED" w14:paraId="27CD52AB" w14:textId="77777777" w:rsidTr="008F4163">
        <w:tc>
          <w:tcPr>
            <w:tcW w:w="2689" w:type="dxa"/>
          </w:tcPr>
          <w:p w14:paraId="37E195A1" w14:textId="1BA218D5" w:rsidR="00B95C30" w:rsidRPr="00742BED" w:rsidRDefault="00B95C30" w:rsidP="008F4163">
            <w:pPr>
              <w:spacing w:before="12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Radicación:</w:t>
            </w:r>
            <w:r w:rsidRPr="00742BED">
              <w:rPr>
                <w:rFonts w:ascii="Arial" w:eastAsia="Calibri" w:hAnsi="Arial" w:cs="Arial"/>
                <w:color w:val="000000" w:themeColor="text1"/>
                <w:sz w:val="22"/>
                <w:lang w:val="es-ES_tradnl"/>
              </w:rPr>
              <w:t xml:space="preserve">                              </w:t>
            </w:r>
          </w:p>
        </w:tc>
        <w:tc>
          <w:tcPr>
            <w:tcW w:w="6237" w:type="dxa"/>
          </w:tcPr>
          <w:p w14:paraId="09088B1B" w14:textId="30EA2C06" w:rsidR="00B95C30" w:rsidRPr="00742BED" w:rsidRDefault="00B95C30" w:rsidP="008F4163">
            <w:pPr>
              <w:spacing w:before="120"/>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Respuesta a consulta</w:t>
            </w:r>
            <w:r w:rsidR="008C7141">
              <w:rPr>
                <w:rFonts w:ascii="Arial" w:eastAsia="Calibri" w:hAnsi="Arial" w:cs="Arial"/>
                <w:color w:val="000000" w:themeColor="text1"/>
                <w:sz w:val="22"/>
                <w:lang w:val="es-ES_tradnl"/>
              </w:rPr>
              <w:t xml:space="preserve"> #</w:t>
            </w:r>
            <w:r w:rsidR="008C7141" w:rsidRPr="008C7141">
              <w:rPr>
                <w:rFonts w:ascii="Arial" w:eastAsia="Calibri" w:hAnsi="Arial" w:cs="Arial"/>
                <w:color w:val="000000" w:themeColor="text1"/>
                <w:sz w:val="22"/>
                <w:lang w:val="es-ES_tradnl"/>
              </w:rPr>
              <w:t>P20210621005393</w:t>
            </w:r>
          </w:p>
        </w:tc>
      </w:tr>
    </w:tbl>
    <w:p w14:paraId="61B55CA4" w14:textId="77777777" w:rsidR="00716BB0" w:rsidRPr="00742BED" w:rsidRDefault="00716BB0" w:rsidP="003C3339">
      <w:pPr>
        <w:jc w:val="both"/>
        <w:rPr>
          <w:rFonts w:ascii="Arial" w:eastAsia="Calibri" w:hAnsi="Arial" w:cs="Arial"/>
          <w:color w:val="000000" w:themeColor="text1"/>
          <w:sz w:val="22"/>
          <w:lang w:val="es-ES_tradnl"/>
        </w:rPr>
      </w:pPr>
    </w:p>
    <w:p w14:paraId="4B9B5156" w14:textId="77777777" w:rsidR="00716BB0" w:rsidRPr="00742BED" w:rsidRDefault="00716BB0" w:rsidP="003C3339">
      <w:pPr>
        <w:jc w:val="both"/>
        <w:rPr>
          <w:rFonts w:ascii="Arial" w:eastAsia="Calibri" w:hAnsi="Arial" w:cs="Arial"/>
          <w:color w:val="000000" w:themeColor="text1"/>
          <w:sz w:val="22"/>
          <w:lang w:val="es-ES_tradnl"/>
        </w:rPr>
      </w:pPr>
    </w:p>
    <w:p w14:paraId="1CF4AEA0" w14:textId="29A527D2" w:rsidR="003C3339" w:rsidRPr="00742BED" w:rsidRDefault="003C3339" w:rsidP="003C3339">
      <w:pPr>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Estimad</w:t>
      </w:r>
      <w:r w:rsidR="002311F0" w:rsidRPr="00742BED">
        <w:rPr>
          <w:rFonts w:ascii="Arial" w:eastAsia="Calibri" w:hAnsi="Arial" w:cs="Arial"/>
          <w:color w:val="000000" w:themeColor="text1"/>
          <w:sz w:val="22"/>
          <w:lang w:val="es-ES_tradnl"/>
        </w:rPr>
        <w:t>o</w:t>
      </w:r>
      <w:r w:rsidRPr="00742BED">
        <w:rPr>
          <w:rFonts w:ascii="Arial" w:eastAsia="Calibri" w:hAnsi="Arial" w:cs="Arial"/>
          <w:color w:val="000000" w:themeColor="text1"/>
          <w:sz w:val="22"/>
          <w:lang w:val="es-ES_tradnl"/>
        </w:rPr>
        <w:t xml:space="preserve"> </w:t>
      </w:r>
      <w:r w:rsidR="0063732C" w:rsidRPr="00742BED">
        <w:rPr>
          <w:rFonts w:ascii="Arial" w:eastAsia="Calibri" w:hAnsi="Arial" w:cs="Arial"/>
          <w:color w:val="000000" w:themeColor="text1"/>
          <w:sz w:val="22"/>
          <w:lang w:val="es-ES_tradnl"/>
        </w:rPr>
        <w:t>señor</w:t>
      </w:r>
      <w:r w:rsidR="008C7141">
        <w:rPr>
          <w:rFonts w:ascii="Arial" w:eastAsia="Calibri" w:hAnsi="Arial" w:cs="Arial"/>
          <w:color w:val="000000" w:themeColor="text1"/>
          <w:sz w:val="22"/>
          <w:lang w:val="es-ES_tradnl"/>
        </w:rPr>
        <w:t xml:space="preserve"> Chacón</w:t>
      </w:r>
      <w:r w:rsidRPr="00742BED">
        <w:rPr>
          <w:rFonts w:ascii="Arial" w:eastAsia="Calibri" w:hAnsi="Arial" w:cs="Arial"/>
          <w:color w:val="000000" w:themeColor="text1"/>
          <w:sz w:val="22"/>
          <w:lang w:val="es-ES_tradnl"/>
        </w:rPr>
        <w:t>:</w:t>
      </w:r>
    </w:p>
    <w:p w14:paraId="1EAE5543" w14:textId="77777777" w:rsidR="00DD5B04" w:rsidRPr="00742BED" w:rsidRDefault="00DD5B04" w:rsidP="00DF76A2">
      <w:pPr>
        <w:jc w:val="both"/>
        <w:rPr>
          <w:rFonts w:ascii="Arial" w:eastAsia="Calibri" w:hAnsi="Arial" w:cs="Arial"/>
          <w:color w:val="000000" w:themeColor="text1"/>
          <w:sz w:val="22"/>
          <w:lang w:val="es-ES_tradnl"/>
        </w:rPr>
      </w:pPr>
    </w:p>
    <w:p w14:paraId="2109B2D3" w14:textId="518FBB37" w:rsidR="00DD5B04" w:rsidRPr="00742BED" w:rsidRDefault="00DD5B04" w:rsidP="00DF76A2">
      <w:pPr>
        <w:spacing w:line="276" w:lineRule="auto"/>
        <w:jc w:val="both"/>
        <w:rPr>
          <w:rFonts w:ascii="Arial" w:eastAsia="Calibri" w:hAnsi="Arial" w:cs="Arial"/>
          <w:color w:val="000000" w:themeColor="text1"/>
          <w:sz w:val="22"/>
          <w:lang w:val="es-ES_tradnl"/>
        </w:rPr>
      </w:pPr>
      <w:r w:rsidRPr="00742BE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742BED">
        <w:rPr>
          <w:rFonts w:ascii="Arial" w:eastAsia="Calibri" w:hAnsi="Arial" w:cs="Arial"/>
          <w:color w:val="000000" w:themeColor="text1"/>
          <w:sz w:val="22"/>
          <w:lang w:val="es-ES_tradnl"/>
        </w:rPr>
        <w:t xml:space="preserve"> </w:t>
      </w:r>
      <w:r w:rsidRPr="00742BED">
        <w:rPr>
          <w:rFonts w:ascii="Arial" w:eastAsia="Calibri" w:hAnsi="Arial" w:cs="Arial"/>
          <w:color w:val="000000" w:themeColor="text1"/>
          <w:sz w:val="22"/>
          <w:lang w:val="es-ES_tradnl"/>
        </w:rPr>
        <w:t xml:space="preserve">responde </w:t>
      </w:r>
      <w:r w:rsidR="008C7141">
        <w:rPr>
          <w:rFonts w:ascii="Arial" w:eastAsia="Calibri" w:hAnsi="Arial" w:cs="Arial"/>
          <w:color w:val="000000" w:themeColor="text1"/>
          <w:sz w:val="22"/>
          <w:lang w:val="es-ES_tradnl"/>
        </w:rPr>
        <w:t>su</w:t>
      </w:r>
      <w:r w:rsidRPr="00742BED">
        <w:rPr>
          <w:rFonts w:ascii="Arial" w:eastAsia="Calibri" w:hAnsi="Arial" w:cs="Arial"/>
          <w:color w:val="000000" w:themeColor="text1"/>
          <w:sz w:val="22"/>
          <w:lang w:val="es-ES_tradnl"/>
        </w:rPr>
        <w:t xml:space="preserve"> consulta</w:t>
      </w:r>
      <w:r w:rsidR="008C7141">
        <w:rPr>
          <w:rFonts w:ascii="Arial" w:eastAsia="Calibri" w:hAnsi="Arial" w:cs="Arial"/>
          <w:color w:val="000000" w:themeColor="text1"/>
          <w:sz w:val="22"/>
          <w:lang w:val="es-ES_tradnl"/>
        </w:rPr>
        <w:t>, remitida por competencia por el Ministerio del Trabajo, y recibida el 18 de junio de 2021.</w:t>
      </w:r>
    </w:p>
    <w:p w14:paraId="0C1E0712" w14:textId="77777777" w:rsidR="00DD5B04" w:rsidRPr="00742BE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742BE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 xml:space="preserve">Problema planteado </w:t>
      </w:r>
    </w:p>
    <w:p w14:paraId="224B43D3" w14:textId="77777777" w:rsidR="00DD5B04" w:rsidRPr="00742BE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5573A1E8" w:rsidR="00443B55" w:rsidRPr="00742BED" w:rsidRDefault="00DD5B04" w:rsidP="0099583D">
      <w:pPr>
        <w:spacing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t xml:space="preserve">Usted </w:t>
      </w:r>
      <w:r w:rsidR="00B422C0" w:rsidRPr="00742BED">
        <w:rPr>
          <w:rFonts w:ascii="Arial" w:hAnsi="Arial" w:cs="Arial"/>
          <w:color w:val="000000" w:themeColor="text1"/>
          <w:sz w:val="22"/>
          <w:lang w:val="es-ES_tradnl"/>
        </w:rPr>
        <w:t>formula</w:t>
      </w:r>
      <w:r w:rsidR="006D46A3" w:rsidRPr="00742BED">
        <w:rPr>
          <w:rFonts w:ascii="Arial" w:hAnsi="Arial" w:cs="Arial"/>
          <w:color w:val="000000" w:themeColor="text1"/>
          <w:sz w:val="22"/>
          <w:lang w:val="es-ES_tradnl"/>
        </w:rPr>
        <w:t xml:space="preserve"> la siguiente</w:t>
      </w:r>
      <w:r w:rsidR="00C028F5" w:rsidRPr="00742BED">
        <w:rPr>
          <w:rFonts w:ascii="Arial" w:hAnsi="Arial" w:cs="Arial"/>
          <w:color w:val="000000" w:themeColor="text1"/>
          <w:sz w:val="22"/>
          <w:lang w:val="es-ES_tradnl"/>
        </w:rPr>
        <w:t xml:space="preserve"> </w:t>
      </w:r>
      <w:r w:rsidR="00637A68" w:rsidRPr="00742BED">
        <w:rPr>
          <w:rFonts w:ascii="Arial" w:hAnsi="Arial" w:cs="Arial"/>
          <w:color w:val="000000" w:themeColor="text1"/>
          <w:sz w:val="22"/>
          <w:lang w:val="es-ES_tradnl"/>
        </w:rPr>
        <w:t>consulta</w:t>
      </w:r>
      <w:r w:rsidR="002074C2" w:rsidRPr="00742BED">
        <w:rPr>
          <w:rFonts w:ascii="Arial" w:hAnsi="Arial" w:cs="Arial"/>
          <w:color w:val="000000" w:themeColor="text1"/>
          <w:sz w:val="22"/>
          <w:lang w:val="es-ES_tradnl"/>
        </w:rPr>
        <w:t>, relacionada con</w:t>
      </w:r>
      <w:r w:rsidR="008C7141">
        <w:rPr>
          <w:rFonts w:ascii="Arial" w:hAnsi="Arial" w:cs="Arial"/>
          <w:color w:val="000000" w:themeColor="text1"/>
          <w:sz w:val="22"/>
          <w:lang w:val="es-ES_tradnl"/>
        </w:rPr>
        <w:t xml:space="preserve"> el criterio de desempate de la contratación estatal dispuesto en el artículo 3 de la Ley 2040 de 2020</w:t>
      </w:r>
      <w:r w:rsidR="00637A68" w:rsidRPr="00742BED">
        <w:rPr>
          <w:rFonts w:ascii="Arial" w:hAnsi="Arial" w:cs="Arial"/>
          <w:color w:val="000000" w:themeColor="text1"/>
          <w:sz w:val="22"/>
          <w:lang w:val="es-ES_tradnl"/>
        </w:rPr>
        <w:t>:</w:t>
      </w:r>
      <w:r w:rsidR="007E18DF" w:rsidRPr="00742BED">
        <w:rPr>
          <w:rFonts w:ascii="Arial" w:hAnsi="Arial" w:cs="Arial"/>
          <w:color w:val="000000" w:themeColor="text1"/>
          <w:sz w:val="22"/>
          <w:lang w:val="es-ES_tradnl"/>
        </w:rPr>
        <w:t xml:space="preserve"> </w:t>
      </w:r>
    </w:p>
    <w:p w14:paraId="559EE20C" w14:textId="77777777" w:rsidR="00443B55" w:rsidRPr="00742BED" w:rsidRDefault="00443B55" w:rsidP="0099583D">
      <w:pPr>
        <w:spacing w:line="276" w:lineRule="auto"/>
        <w:jc w:val="both"/>
        <w:rPr>
          <w:rFonts w:ascii="Arial" w:hAnsi="Arial" w:cs="Arial"/>
          <w:color w:val="000000" w:themeColor="text1"/>
          <w:sz w:val="22"/>
          <w:lang w:val="es-ES_tradnl"/>
        </w:rPr>
      </w:pPr>
    </w:p>
    <w:p w14:paraId="4E2F2926" w14:textId="3CD5B277" w:rsidR="008C7141" w:rsidRDefault="00EE77D4" w:rsidP="00895212">
      <w:pPr>
        <w:ind w:left="709" w:right="709"/>
        <w:jc w:val="both"/>
        <w:rPr>
          <w:rFonts w:ascii="Arial" w:hAnsi="Arial" w:cs="Arial"/>
          <w:color w:val="000000" w:themeColor="text1"/>
          <w:sz w:val="21"/>
          <w:szCs w:val="21"/>
        </w:rPr>
      </w:pPr>
      <w:r w:rsidRPr="00742BED">
        <w:rPr>
          <w:rFonts w:ascii="Arial" w:hAnsi="Arial" w:cs="Arial"/>
          <w:color w:val="000000" w:themeColor="text1"/>
          <w:sz w:val="21"/>
          <w:szCs w:val="21"/>
          <w:lang w:val="es-ES_tradnl"/>
        </w:rPr>
        <w:t>«</w:t>
      </w:r>
      <w:r w:rsidR="008C7141" w:rsidRPr="008C7141">
        <w:rPr>
          <w:rFonts w:ascii="Arial" w:hAnsi="Arial" w:cs="Arial"/>
          <w:color w:val="000000" w:themeColor="text1"/>
          <w:sz w:val="21"/>
          <w:szCs w:val="21"/>
        </w:rPr>
        <w:t>[…]El art</w:t>
      </w:r>
      <w:r w:rsidR="004D7448">
        <w:rPr>
          <w:rFonts w:ascii="Arial" w:hAnsi="Arial" w:cs="Arial"/>
          <w:color w:val="000000" w:themeColor="text1"/>
          <w:sz w:val="21"/>
          <w:szCs w:val="21"/>
        </w:rPr>
        <w:t>í</w:t>
      </w:r>
      <w:r w:rsidR="008C7141" w:rsidRPr="008C7141">
        <w:rPr>
          <w:rFonts w:ascii="Arial" w:hAnsi="Arial" w:cs="Arial"/>
          <w:color w:val="000000" w:themeColor="text1"/>
          <w:sz w:val="21"/>
          <w:szCs w:val="21"/>
        </w:rPr>
        <w:t xml:space="preserve">culo 3 menciona </w:t>
      </w:r>
      <w:proofErr w:type="gramStart"/>
      <w:r w:rsidR="008C7141" w:rsidRPr="008C7141">
        <w:rPr>
          <w:rFonts w:ascii="Arial" w:hAnsi="Arial" w:cs="Arial"/>
          <w:color w:val="000000" w:themeColor="text1"/>
          <w:sz w:val="21"/>
          <w:szCs w:val="21"/>
        </w:rPr>
        <w:t>que</w:t>
      </w:r>
      <w:proofErr w:type="gramEnd"/>
      <w:r w:rsidR="008C7141" w:rsidRPr="008C7141">
        <w:rPr>
          <w:rFonts w:ascii="Arial" w:hAnsi="Arial" w:cs="Arial"/>
          <w:color w:val="000000" w:themeColor="text1"/>
          <w:sz w:val="21"/>
          <w:szCs w:val="21"/>
        </w:rPr>
        <w:t xml:space="preserve"> como criterio de desempate, se pueda aplicar el beneficio certificando bajo la gravedad de juramento la cantidad de personas con las condiciones correspondientes a lo mencionado en la ley.</w:t>
      </w:r>
      <w:r w:rsidR="00895212">
        <w:rPr>
          <w:rFonts w:ascii="Arial" w:hAnsi="Arial" w:cs="Arial"/>
          <w:color w:val="000000" w:themeColor="text1"/>
          <w:sz w:val="21"/>
          <w:szCs w:val="21"/>
        </w:rPr>
        <w:t xml:space="preserve"> </w:t>
      </w:r>
      <w:r w:rsidR="008C7141" w:rsidRPr="008C7141">
        <w:rPr>
          <w:rFonts w:ascii="Arial" w:hAnsi="Arial" w:cs="Arial"/>
          <w:color w:val="000000" w:themeColor="text1"/>
          <w:sz w:val="21"/>
          <w:szCs w:val="21"/>
        </w:rPr>
        <w:t>Se puede entender que con solo la certificación juramentada por el revisor fiscal o el representante legal se accede al beneficio como factor de desempate o es necesario que luego pasados los 6 mese</w:t>
      </w:r>
      <w:r w:rsidR="004D7448">
        <w:rPr>
          <w:rFonts w:ascii="Arial" w:hAnsi="Arial" w:cs="Arial"/>
          <w:color w:val="000000" w:themeColor="text1"/>
          <w:sz w:val="21"/>
          <w:szCs w:val="21"/>
        </w:rPr>
        <w:t>s</w:t>
      </w:r>
      <w:r w:rsidR="008C7141" w:rsidRPr="008C7141">
        <w:rPr>
          <w:rFonts w:ascii="Arial" w:hAnsi="Arial" w:cs="Arial"/>
          <w:color w:val="000000" w:themeColor="text1"/>
          <w:sz w:val="21"/>
          <w:szCs w:val="21"/>
        </w:rPr>
        <w:t xml:space="preserve"> de reglamentada la norma, el sello de adulto mayor es requisito sine qua non para aplicar a este factor de desempate, adicional, el ministerio de trabajo requerir  documentación para sacar un certificado como sucede con el de Discapacitados?</w:t>
      </w:r>
    </w:p>
    <w:p w14:paraId="6D2C4429" w14:textId="77777777" w:rsidR="00052826" w:rsidRPr="008C7141" w:rsidRDefault="00052826" w:rsidP="00895212">
      <w:pPr>
        <w:ind w:left="709" w:right="709"/>
        <w:jc w:val="both"/>
        <w:rPr>
          <w:rFonts w:ascii="Arial" w:hAnsi="Arial" w:cs="Arial"/>
          <w:color w:val="000000" w:themeColor="text1"/>
          <w:sz w:val="21"/>
          <w:szCs w:val="21"/>
        </w:rPr>
      </w:pPr>
    </w:p>
    <w:p w14:paraId="1336B7EB" w14:textId="1E3EDBF8" w:rsidR="00DE3789" w:rsidRPr="00895212" w:rsidRDefault="008C7141" w:rsidP="00895212">
      <w:pPr>
        <w:ind w:left="709" w:right="709"/>
        <w:jc w:val="both"/>
        <w:rPr>
          <w:rFonts w:ascii="Arial" w:hAnsi="Arial" w:cs="Arial"/>
          <w:color w:val="000000" w:themeColor="text1"/>
          <w:sz w:val="21"/>
          <w:szCs w:val="21"/>
        </w:rPr>
      </w:pPr>
      <w:r w:rsidRPr="008C7141">
        <w:rPr>
          <w:rFonts w:ascii="Arial" w:hAnsi="Arial" w:cs="Arial"/>
          <w:color w:val="000000" w:themeColor="text1"/>
          <w:sz w:val="21"/>
          <w:szCs w:val="21"/>
        </w:rPr>
        <w:lastRenderedPageBreak/>
        <w:t>Las preguntas anteriormente solicitadas para aclaración es porque la ley en su artículo 4 parágrafo 1 menciona que es</w:t>
      </w:r>
      <w:r w:rsidR="00895212">
        <w:rPr>
          <w:rFonts w:ascii="Arial" w:hAnsi="Arial" w:cs="Arial"/>
          <w:color w:val="000000" w:themeColor="text1"/>
          <w:sz w:val="21"/>
          <w:szCs w:val="21"/>
        </w:rPr>
        <w:t xml:space="preserve"> </w:t>
      </w:r>
      <w:r w:rsidRPr="008C7141">
        <w:rPr>
          <w:rFonts w:ascii="Arial" w:hAnsi="Arial" w:cs="Arial"/>
          <w:color w:val="000000" w:themeColor="text1"/>
          <w:sz w:val="21"/>
          <w:szCs w:val="21"/>
        </w:rPr>
        <w:t>responsabilidad de certificar ante Ministerio de Trabajo el cumplimiento de los requisitos para acceder a los beneficios</w:t>
      </w:r>
      <w:r w:rsidR="00895212">
        <w:rPr>
          <w:rFonts w:ascii="Arial" w:hAnsi="Arial" w:cs="Arial"/>
          <w:color w:val="000000" w:themeColor="text1"/>
          <w:sz w:val="21"/>
          <w:szCs w:val="21"/>
        </w:rPr>
        <w:t xml:space="preserve"> </w:t>
      </w:r>
      <w:r w:rsidRPr="008C7141">
        <w:rPr>
          <w:rFonts w:ascii="Arial" w:hAnsi="Arial" w:cs="Arial"/>
          <w:color w:val="000000" w:themeColor="text1"/>
          <w:sz w:val="21"/>
          <w:szCs w:val="21"/>
        </w:rPr>
        <w:t>contemplados en la ley) Se podría entender entonces que el articulo 3 es de necesario cumplimiento que se registren a los adultos mayores para la aplicación del beneficio como factor de desempate? y de ser así Que documentos se requieren y el Min Trabajo entregara un certificado como el de Discapacitados?</w:t>
      </w:r>
      <w:r w:rsidR="00EE77D4" w:rsidRPr="00742BED">
        <w:rPr>
          <w:rFonts w:ascii="Arial" w:hAnsi="Arial" w:cs="Arial"/>
          <w:color w:val="000000" w:themeColor="text1"/>
          <w:sz w:val="21"/>
          <w:szCs w:val="21"/>
          <w:lang w:val="es-ES_tradnl"/>
        </w:rPr>
        <w:t>»</w:t>
      </w:r>
      <w:r>
        <w:rPr>
          <w:rFonts w:ascii="Arial" w:hAnsi="Arial" w:cs="Arial"/>
          <w:color w:val="000000" w:themeColor="text1"/>
          <w:sz w:val="21"/>
          <w:szCs w:val="21"/>
          <w:lang w:val="es-ES_tradnl"/>
        </w:rPr>
        <w:t xml:space="preserve"> </w:t>
      </w:r>
    </w:p>
    <w:p w14:paraId="4D07550D" w14:textId="77777777" w:rsidR="002074C2" w:rsidRPr="00742BED" w:rsidRDefault="002074C2" w:rsidP="002074C2">
      <w:pPr>
        <w:ind w:left="709" w:right="709"/>
        <w:jc w:val="both"/>
        <w:rPr>
          <w:rFonts w:ascii="Arial" w:hAnsi="Arial" w:cs="Arial"/>
          <w:color w:val="000000" w:themeColor="text1"/>
          <w:sz w:val="21"/>
          <w:szCs w:val="21"/>
          <w:lang w:val="es-ES_tradnl"/>
        </w:rPr>
      </w:pPr>
    </w:p>
    <w:p w14:paraId="124D2DCA" w14:textId="77777777" w:rsidR="00DD5B04" w:rsidRPr="00742BE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Consideraciones</w:t>
      </w:r>
    </w:p>
    <w:p w14:paraId="7D050D2E" w14:textId="77777777" w:rsidR="00435703" w:rsidRPr="00742BED" w:rsidRDefault="00435703" w:rsidP="00DF76A2">
      <w:pPr>
        <w:spacing w:line="276" w:lineRule="auto"/>
        <w:jc w:val="both"/>
        <w:rPr>
          <w:rFonts w:ascii="Arial" w:eastAsia="Calibri" w:hAnsi="Arial" w:cs="Arial"/>
          <w:color w:val="000000" w:themeColor="text1"/>
          <w:sz w:val="22"/>
          <w:szCs w:val="22"/>
          <w:lang w:val="es-ES_tradnl"/>
        </w:rPr>
      </w:pPr>
    </w:p>
    <w:p w14:paraId="305BC2F1" w14:textId="119FDAA2" w:rsidR="003C4317" w:rsidRPr="00742BED" w:rsidRDefault="008E30C4" w:rsidP="00271230">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La Subdirección de Gestión Contractual responderá </w:t>
      </w:r>
      <w:r w:rsidR="00271230" w:rsidRPr="00742BED">
        <w:rPr>
          <w:rFonts w:ascii="Arial" w:eastAsia="Calibri" w:hAnsi="Arial" w:cs="Arial"/>
          <w:color w:val="000000" w:themeColor="text1"/>
          <w:sz w:val="22"/>
          <w:szCs w:val="22"/>
          <w:lang w:val="es-ES_tradnl"/>
        </w:rPr>
        <w:t>la consulta</w:t>
      </w:r>
      <w:r w:rsidRPr="00742BED">
        <w:rPr>
          <w:rFonts w:ascii="Arial" w:eastAsia="Calibri" w:hAnsi="Arial" w:cs="Arial"/>
          <w:color w:val="000000" w:themeColor="text1"/>
          <w:sz w:val="22"/>
          <w:szCs w:val="22"/>
          <w:lang w:val="es-ES_tradnl"/>
        </w:rPr>
        <w:t xml:space="preserve">, </w:t>
      </w:r>
      <w:r w:rsidR="00271230" w:rsidRPr="00742BED">
        <w:rPr>
          <w:rFonts w:ascii="Arial" w:eastAsia="Calibri" w:hAnsi="Arial" w:cs="Arial"/>
          <w:color w:val="000000" w:themeColor="text1"/>
          <w:sz w:val="22"/>
          <w:szCs w:val="22"/>
          <w:lang w:val="es-ES_tradnl"/>
        </w:rPr>
        <w:t>luego de analizar los</w:t>
      </w:r>
      <w:r w:rsidR="00822EC4" w:rsidRPr="00742BED">
        <w:rPr>
          <w:rFonts w:ascii="Arial" w:eastAsia="Calibri" w:hAnsi="Arial" w:cs="Arial"/>
          <w:color w:val="000000" w:themeColor="text1"/>
          <w:sz w:val="22"/>
          <w:szCs w:val="22"/>
          <w:lang w:val="es-ES_tradnl"/>
        </w:rPr>
        <w:t xml:space="preserve"> siguientes temas</w:t>
      </w:r>
      <w:r w:rsidR="00052826">
        <w:rPr>
          <w:rFonts w:ascii="Arial" w:eastAsia="Calibri" w:hAnsi="Arial" w:cs="Arial"/>
          <w:color w:val="000000" w:themeColor="text1"/>
          <w:sz w:val="22"/>
          <w:szCs w:val="22"/>
          <w:lang w:val="es-ES_tradnl"/>
        </w:rPr>
        <w:t>:</w:t>
      </w:r>
      <w:r w:rsidR="00CD690F" w:rsidRPr="00592353">
        <w:rPr>
          <w:rFonts w:ascii="Arial" w:eastAsia="Calibri" w:hAnsi="Arial" w:cs="Arial"/>
          <w:color w:val="000000" w:themeColor="text1"/>
          <w:sz w:val="22"/>
          <w:szCs w:val="22"/>
          <w:lang w:val="es-ES"/>
        </w:rPr>
        <w:t xml:space="preserve"> i)</w:t>
      </w:r>
      <w:r w:rsidR="00CD690F" w:rsidRPr="00592353">
        <w:rPr>
          <w:rFonts w:ascii="Arial" w:hAnsi="Arial" w:cs="Arial"/>
          <w:sz w:val="22"/>
          <w:szCs w:val="22"/>
        </w:rPr>
        <w:t xml:space="preserve"> los </w:t>
      </w:r>
      <w:r w:rsidR="00CD690F" w:rsidRPr="008E5BA6">
        <w:rPr>
          <w:rFonts w:ascii="Arial" w:eastAsia="Calibri" w:hAnsi="Arial" w:cs="Arial"/>
          <w:color w:val="000000" w:themeColor="text1"/>
          <w:sz w:val="22"/>
          <w:szCs w:val="22"/>
          <w:lang w:val="es-ES"/>
        </w:rPr>
        <w:t>f</w:t>
      </w:r>
      <w:r w:rsidR="00CD690F" w:rsidRPr="00A93AC2">
        <w:rPr>
          <w:rFonts w:ascii="Arial" w:eastAsia="Calibri" w:hAnsi="Arial" w:cs="Arial"/>
          <w:color w:val="000000" w:themeColor="text1"/>
          <w:sz w:val="22"/>
          <w:szCs w:val="22"/>
          <w:lang w:val="es-ES"/>
        </w:rPr>
        <w:t>actores</w:t>
      </w:r>
      <w:r w:rsidR="00CD690F" w:rsidRPr="00CD690F">
        <w:rPr>
          <w:rFonts w:ascii="Arial" w:eastAsia="Calibri" w:hAnsi="Arial" w:cs="Arial"/>
          <w:color w:val="000000" w:themeColor="text1"/>
          <w:sz w:val="22"/>
          <w:lang w:val="es-ES"/>
        </w:rPr>
        <w:t xml:space="preserve"> de desempate en la contratación estatal</w:t>
      </w:r>
      <w:r w:rsidR="009371C9">
        <w:rPr>
          <w:rFonts w:ascii="Arial" w:eastAsia="Calibri" w:hAnsi="Arial" w:cs="Arial"/>
          <w:color w:val="000000" w:themeColor="text1"/>
          <w:sz w:val="22"/>
          <w:lang w:val="es-ES"/>
        </w:rPr>
        <w:t xml:space="preserve">, </w:t>
      </w:r>
      <w:r w:rsidR="00CD690F">
        <w:rPr>
          <w:rFonts w:ascii="Arial" w:eastAsia="Calibri" w:hAnsi="Arial" w:cs="Arial"/>
          <w:color w:val="000000" w:themeColor="text1"/>
          <w:sz w:val="22"/>
          <w:lang w:val="es-ES"/>
        </w:rPr>
        <w:t>ii) el c</w:t>
      </w:r>
      <w:r w:rsidR="00CD690F" w:rsidRPr="00CD690F">
        <w:rPr>
          <w:rFonts w:ascii="Arial" w:eastAsia="Calibri" w:hAnsi="Arial" w:cs="Arial"/>
          <w:color w:val="000000" w:themeColor="text1"/>
          <w:sz w:val="22"/>
          <w:lang w:val="es-ES"/>
        </w:rPr>
        <w:t>riterio de desempate creado por el artículo 3º de la Ley 2040 de 2020</w:t>
      </w:r>
      <w:r w:rsidR="00833ADA" w:rsidRPr="00742BED">
        <w:rPr>
          <w:rFonts w:ascii="Arial" w:eastAsia="Calibri" w:hAnsi="Arial" w:cs="Arial"/>
          <w:color w:val="000000" w:themeColor="text1"/>
          <w:sz w:val="22"/>
          <w:szCs w:val="22"/>
          <w:lang w:val="es-ES_tradnl"/>
        </w:rPr>
        <w:t xml:space="preserve">, </w:t>
      </w:r>
      <w:r w:rsidR="00822EC4" w:rsidRPr="00742BED">
        <w:rPr>
          <w:rFonts w:ascii="Arial" w:eastAsia="Calibri" w:hAnsi="Arial" w:cs="Arial"/>
          <w:color w:val="000000" w:themeColor="text1"/>
          <w:sz w:val="22"/>
          <w:szCs w:val="22"/>
          <w:lang w:val="es-ES_tradnl"/>
        </w:rPr>
        <w:t>i</w:t>
      </w:r>
      <w:r w:rsidR="00052826">
        <w:rPr>
          <w:rFonts w:ascii="Arial" w:eastAsia="Calibri" w:hAnsi="Arial" w:cs="Arial"/>
          <w:color w:val="000000" w:themeColor="text1"/>
          <w:sz w:val="22"/>
          <w:szCs w:val="22"/>
          <w:lang w:val="es-ES_tradnl"/>
        </w:rPr>
        <w:t>ii</w:t>
      </w:r>
      <w:r w:rsidR="00822EC4" w:rsidRPr="00742BED">
        <w:rPr>
          <w:rFonts w:ascii="Arial" w:eastAsia="Calibri" w:hAnsi="Arial" w:cs="Arial"/>
          <w:color w:val="000000" w:themeColor="text1"/>
          <w:sz w:val="22"/>
          <w:szCs w:val="22"/>
          <w:lang w:val="es-ES_tradnl"/>
        </w:rPr>
        <w:t>)</w:t>
      </w:r>
      <w:r w:rsidR="00A12574" w:rsidRPr="00742BED">
        <w:rPr>
          <w:rFonts w:ascii="Arial" w:eastAsia="Calibri" w:hAnsi="Arial" w:cs="Arial"/>
          <w:color w:val="000000" w:themeColor="text1"/>
          <w:sz w:val="22"/>
          <w:szCs w:val="22"/>
          <w:lang w:val="es-ES_tradnl"/>
        </w:rPr>
        <w:t xml:space="preserve"> vigencia y ámbito de aplicación de la Ley </w:t>
      </w:r>
      <w:r w:rsidR="007B209C" w:rsidRPr="00742BED">
        <w:rPr>
          <w:rFonts w:ascii="Arial" w:eastAsia="Calibri" w:hAnsi="Arial" w:cs="Arial"/>
          <w:color w:val="000000" w:themeColor="text1"/>
          <w:sz w:val="22"/>
          <w:szCs w:val="22"/>
          <w:lang w:val="es-ES_tradnl"/>
        </w:rPr>
        <w:t>2069</w:t>
      </w:r>
      <w:r w:rsidR="00A12574" w:rsidRPr="00742BED">
        <w:rPr>
          <w:rFonts w:ascii="Arial" w:eastAsia="Calibri" w:hAnsi="Arial" w:cs="Arial"/>
          <w:color w:val="000000" w:themeColor="text1"/>
          <w:sz w:val="22"/>
          <w:szCs w:val="22"/>
          <w:lang w:val="es-ES_tradnl"/>
        </w:rPr>
        <w:t xml:space="preserve"> de 2020</w:t>
      </w:r>
      <w:r w:rsidR="00D32784" w:rsidRPr="00742BED">
        <w:rPr>
          <w:rFonts w:ascii="Arial" w:eastAsia="Calibri" w:hAnsi="Arial" w:cs="Arial"/>
          <w:color w:val="000000" w:themeColor="text1"/>
          <w:sz w:val="22"/>
          <w:szCs w:val="22"/>
          <w:lang w:val="es-ES_tradnl"/>
        </w:rPr>
        <w:t xml:space="preserve">, </w:t>
      </w:r>
      <w:r w:rsidR="002861C8">
        <w:rPr>
          <w:rFonts w:ascii="Arial" w:eastAsia="Calibri" w:hAnsi="Arial" w:cs="Arial"/>
          <w:color w:val="000000" w:themeColor="text1"/>
          <w:sz w:val="22"/>
          <w:szCs w:val="22"/>
          <w:lang w:val="es-ES_tradnl"/>
        </w:rPr>
        <w:t xml:space="preserve">y </w:t>
      </w:r>
      <w:r w:rsidR="00523F41" w:rsidRPr="00742BED">
        <w:rPr>
          <w:rFonts w:ascii="Arial" w:eastAsia="Calibri" w:hAnsi="Arial" w:cs="Arial"/>
          <w:color w:val="000000" w:themeColor="text1"/>
          <w:sz w:val="22"/>
          <w:szCs w:val="22"/>
          <w:lang w:val="es-ES_tradnl"/>
        </w:rPr>
        <w:t>i</w:t>
      </w:r>
      <w:r w:rsidR="00D32784" w:rsidRPr="00742BED">
        <w:rPr>
          <w:rFonts w:ascii="Arial" w:eastAsia="Calibri" w:hAnsi="Arial" w:cs="Arial"/>
          <w:color w:val="000000" w:themeColor="text1"/>
          <w:sz w:val="22"/>
          <w:szCs w:val="22"/>
          <w:lang w:val="es-ES_tradnl"/>
        </w:rPr>
        <w:t>v</w:t>
      </w:r>
      <w:r w:rsidR="00523F41" w:rsidRPr="00742BED">
        <w:rPr>
          <w:rFonts w:ascii="Arial" w:eastAsia="Calibri" w:hAnsi="Arial" w:cs="Arial"/>
          <w:color w:val="000000" w:themeColor="text1"/>
          <w:sz w:val="22"/>
          <w:szCs w:val="22"/>
          <w:lang w:val="es-ES_tradnl"/>
        </w:rPr>
        <w:t xml:space="preserve">) </w:t>
      </w:r>
      <w:r w:rsidR="003C4317" w:rsidRPr="00742BED">
        <w:rPr>
          <w:rFonts w:ascii="Arial" w:eastAsia="Calibri" w:hAnsi="Arial" w:cs="Arial"/>
          <w:color w:val="000000" w:themeColor="text1"/>
          <w:sz w:val="22"/>
          <w:szCs w:val="22"/>
          <w:lang w:val="es-ES_tradnl"/>
        </w:rPr>
        <w:t xml:space="preserve">forma de </w:t>
      </w:r>
      <w:r w:rsidR="009D6909" w:rsidRPr="00742BED">
        <w:rPr>
          <w:rFonts w:ascii="Arial" w:eastAsia="Calibri" w:hAnsi="Arial" w:cs="Arial"/>
          <w:color w:val="000000" w:themeColor="text1"/>
          <w:sz w:val="22"/>
          <w:szCs w:val="22"/>
          <w:lang w:val="es-ES_tradnl"/>
        </w:rPr>
        <w:t>acreditación de los factores de desempate</w:t>
      </w:r>
      <w:r w:rsidR="003C4317" w:rsidRPr="00742BED">
        <w:rPr>
          <w:rFonts w:ascii="Arial" w:eastAsia="Calibri" w:hAnsi="Arial" w:cs="Arial"/>
          <w:color w:val="000000" w:themeColor="text1"/>
          <w:sz w:val="22"/>
          <w:szCs w:val="22"/>
          <w:lang w:val="es-ES_tradnl"/>
        </w:rPr>
        <w:t xml:space="preserve"> consagrados en el artículo 35 de la mencionada Ley</w:t>
      </w:r>
      <w:r w:rsidR="002861C8">
        <w:rPr>
          <w:rFonts w:ascii="Arial" w:eastAsia="Calibri" w:hAnsi="Arial" w:cs="Arial"/>
          <w:color w:val="000000" w:themeColor="text1"/>
          <w:sz w:val="22"/>
          <w:szCs w:val="22"/>
          <w:lang w:val="es-ES_tradnl"/>
        </w:rPr>
        <w:t>.</w:t>
      </w:r>
      <w:r w:rsidR="00285943" w:rsidRPr="00742BED">
        <w:rPr>
          <w:rFonts w:ascii="Arial" w:eastAsia="Calibri" w:hAnsi="Arial" w:cs="Arial"/>
          <w:color w:val="000000" w:themeColor="text1"/>
          <w:sz w:val="22"/>
          <w:szCs w:val="22"/>
          <w:lang w:val="es-ES_tradnl"/>
        </w:rPr>
        <w:t xml:space="preserve"> </w:t>
      </w:r>
    </w:p>
    <w:p w14:paraId="462B7704" w14:textId="0F357A2B" w:rsidR="00350FED" w:rsidRDefault="00C0632B" w:rsidP="00350FED">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sz w:val="22"/>
          <w:szCs w:val="22"/>
          <w:lang w:val="es-ES" w:eastAsia="en-US"/>
        </w:rPr>
        <w:t>E</w:t>
      </w:r>
      <w:r w:rsidR="00350FED" w:rsidRPr="00350FED">
        <w:rPr>
          <w:rFonts w:ascii="Arial" w:eastAsia="Calibri" w:hAnsi="Arial" w:cs="Arial"/>
          <w:sz w:val="22"/>
          <w:szCs w:val="22"/>
          <w:lang w:val="es-ES" w:eastAsia="en-US"/>
        </w:rPr>
        <w:t xml:space="preserve">n los conceptos con radicados </w:t>
      </w:r>
      <w:r w:rsidR="00350FED" w:rsidRPr="00350FED">
        <w:rPr>
          <w:rFonts w:ascii="Arial" w:eastAsia="Arial" w:hAnsi="Arial" w:cs="Arial"/>
          <w:sz w:val="22"/>
          <w:szCs w:val="22"/>
          <w:lang w:val="es-ES" w:eastAsia="en-US"/>
        </w:rPr>
        <w:t>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val="es-ES" w:eastAsia="en-US"/>
        </w:rPr>
        <w:t>514 del 26 de agosto de 2020, 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val="es-ES" w:eastAsia="en-US"/>
        </w:rPr>
        <w:t>516 del 26 de agosto de 2020, 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val="es-ES" w:eastAsia="en-US"/>
        </w:rPr>
        <w:t>535 del 26 de agosto de 2020, 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val="es-ES" w:eastAsia="en-US"/>
        </w:rPr>
        <w:t>537 del 26 de agosto de 2020, C–538 del 26 de agosto de 2020, 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val="es-ES" w:eastAsia="en-US"/>
        </w:rPr>
        <w:t xml:space="preserve">568 del 26 de agosto de 2020, </w:t>
      </w:r>
      <w:r w:rsidR="00350FED" w:rsidRPr="00350FED">
        <w:rPr>
          <w:rFonts w:ascii="Arial" w:eastAsia="Arial" w:hAnsi="Arial" w:cs="Arial"/>
          <w:sz w:val="22"/>
          <w:szCs w:val="22"/>
          <w:lang w:eastAsia="en-US"/>
        </w:rPr>
        <w:t>C</w:t>
      </w:r>
      <w:r w:rsidR="00350FED" w:rsidRPr="00350FED">
        <w:rPr>
          <w:rFonts w:ascii="Arial" w:eastAsia="Calibri" w:hAnsi="Arial" w:cs="Arial"/>
          <w:color w:val="000000"/>
          <w:sz w:val="22"/>
          <w:szCs w:val="22"/>
          <w:lang w:val="es-ES" w:eastAsia="en-US"/>
        </w:rPr>
        <w:t>–</w:t>
      </w:r>
      <w:r w:rsidR="00350FED" w:rsidRPr="00350FED">
        <w:rPr>
          <w:rFonts w:ascii="Arial" w:eastAsia="Arial" w:hAnsi="Arial" w:cs="Arial"/>
          <w:sz w:val="22"/>
          <w:szCs w:val="22"/>
          <w:lang w:eastAsia="en-US"/>
        </w:rPr>
        <w:t xml:space="preserve">572 del 27 de agosto de 2020, </w:t>
      </w:r>
      <w:r w:rsidR="00350FED" w:rsidRPr="00350FED">
        <w:rPr>
          <w:rFonts w:ascii="Arial" w:eastAsia="Arial" w:hAnsi="Arial" w:cs="Arial"/>
          <w:sz w:val="22"/>
          <w:szCs w:val="22"/>
          <w:lang w:val="es-MX" w:eastAsia="en-US"/>
        </w:rPr>
        <w:t>C–582 del 28 de agosto de 2020</w:t>
      </w:r>
      <w:r>
        <w:rPr>
          <w:rFonts w:ascii="Arial" w:eastAsia="Arial" w:hAnsi="Arial" w:cs="Arial"/>
          <w:sz w:val="22"/>
          <w:szCs w:val="22"/>
          <w:lang w:val="es-MX" w:eastAsia="en-US"/>
        </w:rPr>
        <w:t xml:space="preserve">, </w:t>
      </w:r>
      <w:r w:rsidR="00350FED" w:rsidRPr="00350FED">
        <w:rPr>
          <w:rFonts w:ascii="Arial" w:eastAsia="Arial" w:hAnsi="Arial" w:cs="Arial"/>
          <w:sz w:val="22"/>
          <w:szCs w:val="22"/>
          <w:lang w:val="es-MX" w:eastAsia="en-US"/>
        </w:rPr>
        <w:t>C-624 del 21 de septiembre de 2020</w:t>
      </w:r>
      <w:r>
        <w:rPr>
          <w:rFonts w:ascii="Arial" w:eastAsia="Arial" w:hAnsi="Arial" w:cs="Arial"/>
          <w:sz w:val="22"/>
          <w:szCs w:val="22"/>
          <w:lang w:val="es-MX" w:eastAsia="en-US"/>
        </w:rPr>
        <w:t>,</w:t>
      </w:r>
      <w:r w:rsidR="00350FED" w:rsidRPr="00350FED">
        <w:rPr>
          <w:rFonts w:ascii="Arial" w:eastAsia="Arial" w:hAnsi="Arial" w:cs="Arial"/>
          <w:sz w:val="22"/>
          <w:szCs w:val="22"/>
          <w:lang w:val="es-MX" w:eastAsia="en-US"/>
        </w:rPr>
        <w:t xml:space="preserve"> C-664 del 12 de noviembre de 2020</w:t>
      </w:r>
      <w:r>
        <w:rPr>
          <w:rFonts w:ascii="Arial" w:eastAsia="Arial" w:hAnsi="Arial" w:cs="Arial"/>
          <w:sz w:val="22"/>
          <w:szCs w:val="22"/>
          <w:lang w:val="es-MX" w:eastAsia="en-US"/>
        </w:rPr>
        <w:t xml:space="preserve"> y C-690 de 20 de noviembre de 2020</w:t>
      </w:r>
      <w:r w:rsidR="00350FED" w:rsidRPr="00350FED">
        <w:rPr>
          <w:rFonts w:ascii="Arial" w:eastAsia="Arial" w:hAnsi="Arial" w:cs="Arial"/>
          <w:sz w:val="22"/>
          <w:szCs w:val="22"/>
          <w:lang w:val="es-MX" w:eastAsia="en-US"/>
        </w:rPr>
        <w:t xml:space="preserve">, </w:t>
      </w:r>
      <w:r w:rsidRPr="00742BED">
        <w:rPr>
          <w:rFonts w:ascii="Arial" w:eastAsia="Calibri" w:hAnsi="Arial" w:cs="Arial"/>
          <w:color w:val="000000" w:themeColor="text1"/>
          <w:sz w:val="22"/>
          <w:szCs w:val="22"/>
          <w:lang w:val="es-ES_tradnl"/>
        </w:rPr>
        <w:t>la Agencia Nacional de Contratación Pública – Colombia Compra Eficiente</w:t>
      </w:r>
      <w:r w:rsidRPr="00350FED">
        <w:rPr>
          <w:rFonts w:ascii="Arial" w:eastAsia="Arial" w:hAnsi="Arial" w:cs="Arial"/>
          <w:sz w:val="22"/>
          <w:szCs w:val="22"/>
          <w:lang w:val="es-MX" w:eastAsia="en-US"/>
        </w:rPr>
        <w:t xml:space="preserve"> </w:t>
      </w:r>
      <w:r w:rsidR="00350FED" w:rsidRPr="00350FED">
        <w:rPr>
          <w:rFonts w:ascii="Arial" w:eastAsia="Arial" w:hAnsi="Arial" w:cs="Arial"/>
          <w:sz w:val="22"/>
          <w:szCs w:val="22"/>
          <w:lang w:val="es-MX" w:eastAsia="en-US"/>
        </w:rPr>
        <w:t xml:space="preserve">estudió </w:t>
      </w:r>
      <w:r w:rsidR="00350FED" w:rsidRPr="00350FED">
        <w:rPr>
          <w:rFonts w:ascii="Arial" w:eastAsia="Calibri" w:hAnsi="Arial" w:cs="Arial"/>
          <w:color w:val="000000"/>
          <w:sz w:val="22"/>
          <w:lang w:val="es-ES" w:eastAsia="en-US"/>
        </w:rPr>
        <w:t>el artículo 3º de la Ley 2040 de 2020, que adiciona</w:t>
      </w:r>
      <w:r w:rsidR="00052826">
        <w:rPr>
          <w:rFonts w:ascii="Arial" w:eastAsia="Calibri" w:hAnsi="Arial" w:cs="Arial"/>
          <w:color w:val="000000"/>
          <w:sz w:val="22"/>
          <w:lang w:val="es-ES" w:eastAsia="en-US"/>
        </w:rPr>
        <w:t>ba</w:t>
      </w:r>
      <w:r w:rsidR="00350FED" w:rsidRPr="00350FED">
        <w:rPr>
          <w:rFonts w:ascii="Arial" w:eastAsia="Calibri" w:hAnsi="Arial" w:cs="Arial"/>
          <w:color w:val="000000"/>
          <w:sz w:val="22"/>
          <w:lang w:val="es-ES" w:eastAsia="en-US"/>
        </w:rPr>
        <w:t xml:space="preserve"> un parágrafo al artículo 12 de la Ley 1150 de 2007, establec</w:t>
      </w:r>
      <w:r w:rsidR="00052826">
        <w:rPr>
          <w:rFonts w:ascii="Arial" w:eastAsia="Calibri" w:hAnsi="Arial" w:cs="Arial"/>
          <w:color w:val="000000"/>
          <w:sz w:val="22"/>
          <w:lang w:val="es-ES" w:eastAsia="en-US"/>
        </w:rPr>
        <w:t>ía</w:t>
      </w:r>
      <w:r w:rsidR="00350FED" w:rsidRPr="00350FED">
        <w:rPr>
          <w:rFonts w:ascii="Arial" w:eastAsia="Calibri" w:hAnsi="Arial" w:cs="Arial"/>
          <w:color w:val="000000"/>
          <w:sz w:val="22"/>
          <w:lang w:val="es-ES" w:eastAsia="en-US"/>
        </w:rPr>
        <w:t xml:space="preserve"> un criterio de desempate en los procesos de </w:t>
      </w:r>
      <w:r w:rsidR="00350FED" w:rsidRPr="00350FED">
        <w:rPr>
          <w:rFonts w:ascii="Arial" w:eastAsia="Calibri" w:hAnsi="Arial" w:cs="Arial"/>
          <w:color w:val="000000"/>
          <w:sz w:val="22"/>
          <w:szCs w:val="22"/>
          <w:lang w:val="es-ES" w:eastAsia="en-US"/>
        </w:rPr>
        <w:t xml:space="preserve">contratación a favor de los oferentes que </w:t>
      </w:r>
      <w:r w:rsidR="00052826">
        <w:rPr>
          <w:rFonts w:ascii="Arial" w:eastAsia="Calibri" w:hAnsi="Arial" w:cs="Arial"/>
          <w:color w:val="000000"/>
          <w:sz w:val="22"/>
          <w:szCs w:val="22"/>
          <w:lang w:val="es-ES" w:eastAsia="en-US"/>
        </w:rPr>
        <w:t>tuvieran</w:t>
      </w:r>
      <w:r w:rsidR="00052826" w:rsidRPr="00350FED">
        <w:rPr>
          <w:rFonts w:ascii="Arial" w:eastAsia="Calibri" w:hAnsi="Arial" w:cs="Arial"/>
          <w:color w:val="000000"/>
          <w:sz w:val="22"/>
          <w:szCs w:val="22"/>
          <w:lang w:val="es-ES" w:eastAsia="en-US"/>
        </w:rPr>
        <w:t xml:space="preserve"> </w:t>
      </w:r>
      <w:r w:rsidR="00350FED" w:rsidRPr="00350FED">
        <w:rPr>
          <w:rFonts w:ascii="Arial" w:eastAsia="Calibri" w:hAnsi="Arial" w:cs="Arial"/>
          <w:color w:val="000000"/>
          <w:sz w:val="22"/>
          <w:szCs w:val="22"/>
          <w:lang w:val="es-ES" w:eastAsia="en-US"/>
        </w:rPr>
        <w:t xml:space="preserve">vinculado el mayor porcentaje de personas mayores que no </w:t>
      </w:r>
      <w:r w:rsidR="00052826">
        <w:rPr>
          <w:rFonts w:ascii="Arial" w:eastAsia="Calibri" w:hAnsi="Arial" w:cs="Arial"/>
          <w:color w:val="000000"/>
          <w:sz w:val="22"/>
          <w:szCs w:val="22"/>
          <w:lang w:val="es-ES" w:eastAsia="en-US"/>
        </w:rPr>
        <w:t>fueran</w:t>
      </w:r>
      <w:r w:rsidR="00052826" w:rsidRPr="00350FED">
        <w:rPr>
          <w:rFonts w:ascii="Arial" w:eastAsia="Calibri" w:hAnsi="Arial" w:cs="Arial"/>
          <w:color w:val="000000"/>
          <w:sz w:val="22"/>
          <w:szCs w:val="22"/>
          <w:lang w:val="es-ES" w:eastAsia="en-US"/>
        </w:rPr>
        <w:t xml:space="preserve"> </w:t>
      </w:r>
      <w:r w:rsidR="00350FED" w:rsidRPr="00350FED">
        <w:rPr>
          <w:rFonts w:ascii="Arial" w:eastAsia="Calibri" w:hAnsi="Arial" w:cs="Arial"/>
          <w:color w:val="000000"/>
          <w:sz w:val="22"/>
          <w:szCs w:val="22"/>
          <w:lang w:val="es-ES" w:eastAsia="en-US"/>
        </w:rPr>
        <w:t xml:space="preserve">beneficiarias de la pensión de vejez, familiar o de sobrevivencia y que </w:t>
      </w:r>
      <w:r w:rsidR="00052826">
        <w:rPr>
          <w:rFonts w:ascii="Arial" w:eastAsia="Calibri" w:hAnsi="Arial" w:cs="Arial"/>
          <w:color w:val="000000"/>
          <w:sz w:val="22"/>
          <w:szCs w:val="22"/>
          <w:lang w:val="es-ES" w:eastAsia="en-US"/>
        </w:rPr>
        <w:t>hubieran</w:t>
      </w:r>
      <w:r w:rsidR="00052826" w:rsidRPr="00350FED">
        <w:rPr>
          <w:rFonts w:ascii="Arial" w:eastAsia="Calibri" w:hAnsi="Arial" w:cs="Arial"/>
          <w:color w:val="000000"/>
          <w:sz w:val="22"/>
          <w:szCs w:val="22"/>
          <w:lang w:val="es-ES" w:eastAsia="en-US"/>
        </w:rPr>
        <w:t xml:space="preserve"> </w:t>
      </w:r>
      <w:r w:rsidR="00350FED" w:rsidRPr="00350FED">
        <w:rPr>
          <w:rFonts w:ascii="Arial" w:eastAsia="Calibri" w:hAnsi="Arial" w:cs="Arial"/>
          <w:color w:val="000000"/>
          <w:sz w:val="22"/>
          <w:szCs w:val="22"/>
          <w:lang w:val="es-ES" w:eastAsia="en-US"/>
        </w:rPr>
        <w:t>cumplido el requisito de edad de pensión establecido en la ley</w:t>
      </w:r>
      <w:r w:rsidR="00052826">
        <w:rPr>
          <w:rFonts w:ascii="Arial" w:eastAsia="Calibri" w:hAnsi="Arial" w:cs="Arial"/>
          <w:color w:val="000000"/>
          <w:sz w:val="22"/>
          <w:szCs w:val="22"/>
          <w:lang w:val="es-ES" w:eastAsia="en-US"/>
        </w:rPr>
        <w:t>.</w:t>
      </w:r>
    </w:p>
    <w:p w14:paraId="1144E6B3" w14:textId="3A3E6F81" w:rsidR="00C8331F" w:rsidRDefault="00C0632B" w:rsidP="002861C8">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Así mismo esta agencia </w:t>
      </w:r>
      <w:r w:rsidR="00EC1DAE" w:rsidRPr="00742BED">
        <w:rPr>
          <w:rFonts w:ascii="Arial" w:eastAsia="Calibri" w:hAnsi="Arial" w:cs="Arial"/>
          <w:color w:val="000000" w:themeColor="text1"/>
          <w:sz w:val="22"/>
          <w:szCs w:val="22"/>
          <w:lang w:val="es-ES_tradnl"/>
        </w:rPr>
        <w:t>se pronunció, en términos generales, sobre los factores de desempate en los procedimientos de contratación estatal</w:t>
      </w:r>
      <w:r w:rsidR="00442D13" w:rsidRPr="00742BED">
        <w:rPr>
          <w:rFonts w:ascii="Arial" w:eastAsia="Calibri" w:hAnsi="Arial" w:cs="Arial"/>
          <w:color w:val="000000" w:themeColor="text1"/>
          <w:sz w:val="22"/>
          <w:szCs w:val="22"/>
          <w:lang w:val="es-ES_tradnl"/>
        </w:rPr>
        <w:t>,</w:t>
      </w:r>
      <w:r w:rsidR="0091310F" w:rsidRPr="00742BED">
        <w:rPr>
          <w:rFonts w:ascii="Arial" w:eastAsia="Calibri" w:hAnsi="Arial" w:cs="Arial"/>
          <w:color w:val="000000" w:themeColor="text1"/>
          <w:sz w:val="22"/>
          <w:szCs w:val="22"/>
          <w:lang w:val="es-ES_tradnl"/>
        </w:rPr>
        <w:t xml:space="preserve"> en los </w:t>
      </w:r>
      <w:r w:rsidRPr="00322570">
        <w:rPr>
          <w:rFonts w:ascii="Arial" w:eastAsia="Calibri" w:hAnsi="Arial" w:cs="Arial"/>
          <w:color w:val="000000"/>
          <w:sz w:val="22"/>
          <w:szCs w:val="22"/>
          <w:lang w:val="es-ES_tradnl"/>
        </w:rPr>
        <w:t>conceptos C-285 del 4 de mayo de 2020, C-481 del 27 de julio de 2020, C-514 y C-535 del 26 de agosto de 2020 y C-556 del 31 de agosto de 2020. De igual manera, en los conceptos C-009, C-012, C-013, C-015, C-016, C-026 del 04 de febrero de 2021, C-006 del 5 de febrero de 2021, C-043 del 9 de febrero de 2021,</w:t>
      </w:r>
      <w:r w:rsidR="00052826">
        <w:rPr>
          <w:rFonts w:ascii="Arial" w:eastAsia="Calibri" w:hAnsi="Arial" w:cs="Arial"/>
          <w:color w:val="000000"/>
          <w:sz w:val="22"/>
          <w:szCs w:val="22"/>
          <w:lang w:val="es-ES_tradnl"/>
        </w:rPr>
        <w:t xml:space="preserve"> </w:t>
      </w:r>
      <w:r w:rsidRPr="00322570">
        <w:rPr>
          <w:rFonts w:ascii="Arial" w:eastAsia="Calibri" w:hAnsi="Arial" w:cs="Arial"/>
          <w:color w:val="000000"/>
          <w:sz w:val="22"/>
          <w:szCs w:val="22"/>
          <w:lang w:val="es-ES_tradnl"/>
        </w:rPr>
        <w:t>C-008 del 16 de febrero de 2021, C-081, C-087 y C-089 del 23 de febrero de 2021, C-044 del de marzo de 2021, C-056 del 8 de marzo de 2021</w:t>
      </w:r>
      <w:r>
        <w:rPr>
          <w:rFonts w:ascii="Arial" w:eastAsia="Calibri" w:hAnsi="Arial" w:cs="Arial"/>
          <w:color w:val="000000"/>
          <w:sz w:val="22"/>
          <w:szCs w:val="22"/>
          <w:lang w:val="es-ES_tradnl"/>
        </w:rPr>
        <w:t xml:space="preserve">, </w:t>
      </w:r>
      <w:r w:rsidRPr="00322570">
        <w:rPr>
          <w:rFonts w:ascii="Arial" w:eastAsia="Calibri" w:hAnsi="Arial" w:cs="Arial"/>
          <w:color w:val="000000"/>
          <w:sz w:val="22"/>
          <w:szCs w:val="22"/>
          <w:lang w:val="es-ES_tradnl"/>
        </w:rPr>
        <w:t>C‒055 del 10 de marzo de 2021</w:t>
      </w:r>
      <w:r>
        <w:rPr>
          <w:rFonts w:ascii="Arial" w:eastAsia="Calibri" w:hAnsi="Arial" w:cs="Arial"/>
          <w:color w:val="000000"/>
          <w:sz w:val="22"/>
          <w:szCs w:val="22"/>
          <w:lang w:val="es-ES_tradnl"/>
        </w:rPr>
        <w:t>, C-069 del 12 de marzo de 2021, C-176 del 19 de abril de 2021, C-191 del 26 de abril de 2021</w:t>
      </w:r>
      <w:r w:rsidR="00052826">
        <w:rPr>
          <w:rFonts w:ascii="Arial" w:eastAsia="Calibri" w:hAnsi="Arial" w:cs="Arial"/>
          <w:color w:val="000000"/>
          <w:sz w:val="22"/>
          <w:szCs w:val="22"/>
          <w:lang w:val="es-ES_tradnl"/>
        </w:rPr>
        <w:t>,</w:t>
      </w:r>
      <w:r>
        <w:rPr>
          <w:rFonts w:ascii="Arial" w:eastAsia="Calibri" w:hAnsi="Arial" w:cs="Arial"/>
          <w:color w:val="000000"/>
          <w:sz w:val="22"/>
          <w:szCs w:val="22"/>
          <w:lang w:val="es-ES_tradnl"/>
        </w:rPr>
        <w:t xml:space="preserve"> C-206 del 3 de mayo de 2021</w:t>
      </w:r>
      <w:r w:rsidR="00052826">
        <w:rPr>
          <w:rFonts w:ascii="Arial" w:eastAsia="Calibri" w:hAnsi="Arial" w:cs="Arial"/>
          <w:color w:val="000000"/>
          <w:sz w:val="22"/>
          <w:szCs w:val="22"/>
          <w:lang w:val="es-ES_tradnl"/>
        </w:rPr>
        <w:t xml:space="preserve"> </w:t>
      </w:r>
      <w:r>
        <w:rPr>
          <w:rFonts w:ascii="Arial" w:eastAsia="Calibri" w:hAnsi="Arial" w:cs="Arial"/>
          <w:color w:val="000000" w:themeColor="text1"/>
          <w:sz w:val="22"/>
          <w:szCs w:val="22"/>
          <w:lang w:val="es-ES_tradnl"/>
        </w:rPr>
        <w:t>y C-265 de</w:t>
      </w:r>
      <w:r w:rsidR="00052826">
        <w:rPr>
          <w:rFonts w:ascii="Arial" w:eastAsia="Calibri" w:hAnsi="Arial" w:cs="Arial"/>
          <w:color w:val="000000" w:themeColor="text1"/>
          <w:sz w:val="22"/>
          <w:szCs w:val="22"/>
          <w:lang w:val="es-ES_tradnl"/>
        </w:rPr>
        <w:t>l</w:t>
      </w:r>
      <w:r>
        <w:rPr>
          <w:rFonts w:ascii="Arial" w:eastAsia="Calibri" w:hAnsi="Arial" w:cs="Arial"/>
          <w:color w:val="000000" w:themeColor="text1"/>
          <w:sz w:val="22"/>
          <w:szCs w:val="22"/>
          <w:lang w:val="es-ES_tradnl"/>
        </w:rPr>
        <w:t xml:space="preserve"> 1 de junio de 2021</w:t>
      </w:r>
      <w:r w:rsidR="000C3239" w:rsidRPr="00742BED">
        <w:rPr>
          <w:rFonts w:ascii="Arial" w:eastAsia="Calibri" w:hAnsi="Arial" w:cs="Arial"/>
          <w:color w:val="000000" w:themeColor="text1"/>
          <w:sz w:val="22"/>
          <w:lang w:val="es-ES_tradnl"/>
        </w:rPr>
        <w:t xml:space="preserve">. </w:t>
      </w:r>
      <w:r w:rsidR="002D6504" w:rsidRPr="00742BED">
        <w:rPr>
          <w:rFonts w:ascii="Arial" w:eastAsia="Calibri" w:hAnsi="Arial" w:cs="Arial"/>
          <w:color w:val="000000" w:themeColor="text1"/>
          <w:sz w:val="22"/>
          <w:szCs w:val="22"/>
          <w:lang w:val="es-ES_tradnl"/>
        </w:rPr>
        <w:t>Algunas de las consideraciones de estos conceptos se reiteran a continuación.</w:t>
      </w:r>
    </w:p>
    <w:p w14:paraId="761F0738" w14:textId="77777777" w:rsidR="00C0632B" w:rsidRDefault="00C0632B" w:rsidP="00C0632B">
      <w:pPr>
        <w:tabs>
          <w:tab w:val="left" w:pos="426"/>
        </w:tabs>
        <w:spacing w:line="276" w:lineRule="auto"/>
        <w:jc w:val="both"/>
        <w:rPr>
          <w:rFonts w:ascii="Arial" w:eastAsia="Calibri" w:hAnsi="Arial" w:cs="Arial"/>
          <w:b/>
          <w:color w:val="000000"/>
          <w:sz w:val="22"/>
          <w:lang w:val="es-ES" w:eastAsia="en-US"/>
        </w:rPr>
      </w:pPr>
    </w:p>
    <w:p w14:paraId="125575C6" w14:textId="37003561" w:rsidR="00D56C7D" w:rsidRPr="00742BED" w:rsidRDefault="00C0632B" w:rsidP="00D56C7D">
      <w:pPr>
        <w:spacing w:line="276" w:lineRule="auto"/>
        <w:jc w:val="both"/>
        <w:rPr>
          <w:rFonts w:ascii="Arial" w:eastAsia="Calibri" w:hAnsi="Arial" w:cs="Arial"/>
          <w:b/>
          <w:bCs/>
          <w:color w:val="000000" w:themeColor="text1"/>
          <w:sz w:val="22"/>
          <w:szCs w:val="22"/>
          <w:lang w:val="es-ES_tradnl"/>
        </w:rPr>
      </w:pPr>
      <w:r w:rsidRPr="00C0632B">
        <w:rPr>
          <w:rFonts w:ascii="Arial" w:hAnsi="Arial" w:cs="Arial"/>
          <w:b/>
          <w:color w:val="000000"/>
          <w:sz w:val="22"/>
          <w:lang w:val="es-ES" w:eastAsia="en-US"/>
        </w:rPr>
        <w:t>2.</w:t>
      </w:r>
      <w:r w:rsidR="0060586D">
        <w:rPr>
          <w:rFonts w:ascii="Arial" w:hAnsi="Arial" w:cs="Arial"/>
          <w:b/>
          <w:color w:val="000000"/>
          <w:sz w:val="22"/>
          <w:lang w:val="es-ES" w:eastAsia="en-US"/>
        </w:rPr>
        <w:t>1</w:t>
      </w:r>
      <w:r w:rsidRPr="00C0632B">
        <w:rPr>
          <w:rFonts w:ascii="Arial" w:hAnsi="Arial" w:cs="Arial"/>
          <w:b/>
          <w:color w:val="000000"/>
          <w:sz w:val="22"/>
          <w:lang w:val="es-ES" w:eastAsia="en-US"/>
        </w:rPr>
        <w:t>.</w:t>
      </w:r>
      <w:r w:rsidR="00D56C7D">
        <w:rPr>
          <w:rFonts w:ascii="Arial" w:eastAsia="Calibri" w:hAnsi="Arial" w:cs="Arial"/>
          <w:b/>
          <w:bCs/>
          <w:color w:val="000000" w:themeColor="text1"/>
          <w:sz w:val="22"/>
          <w:szCs w:val="22"/>
          <w:lang w:val="es-ES_tradnl"/>
        </w:rPr>
        <w:t xml:space="preserve"> </w:t>
      </w:r>
      <w:r w:rsidR="00D56C7D" w:rsidRPr="00742BED">
        <w:rPr>
          <w:rFonts w:ascii="Arial" w:eastAsia="Calibri" w:hAnsi="Arial" w:cs="Arial"/>
          <w:b/>
          <w:bCs/>
          <w:color w:val="000000" w:themeColor="text1"/>
          <w:sz w:val="22"/>
          <w:szCs w:val="22"/>
          <w:lang w:val="es-ES_tradnl"/>
        </w:rPr>
        <w:t>Factores de desempate en la contratación estatal: concepto y características</w:t>
      </w:r>
    </w:p>
    <w:p w14:paraId="7393E3B3" w14:textId="77777777" w:rsidR="00D56C7D" w:rsidRPr="00742BED" w:rsidRDefault="00D56C7D" w:rsidP="00D56C7D">
      <w:pPr>
        <w:spacing w:line="276" w:lineRule="auto"/>
        <w:jc w:val="both"/>
        <w:rPr>
          <w:rFonts w:ascii="Arial" w:eastAsia="Calibri" w:hAnsi="Arial" w:cs="Arial"/>
          <w:color w:val="000000" w:themeColor="text1"/>
          <w:sz w:val="22"/>
          <w:szCs w:val="22"/>
          <w:lang w:val="es-ES_tradnl"/>
        </w:rPr>
      </w:pPr>
    </w:p>
    <w:p w14:paraId="0B9341C4" w14:textId="77777777" w:rsidR="00D56C7D" w:rsidRPr="00742BED" w:rsidRDefault="00D56C7D" w:rsidP="00D56C7D">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lastRenderedPageBreak/>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742BED">
        <w:rPr>
          <w:rFonts w:ascii="Arial" w:eastAsia="Calibri" w:hAnsi="Arial" w:cs="Arial"/>
          <w:color w:val="000000" w:themeColor="text1"/>
          <w:sz w:val="22"/>
          <w:szCs w:val="22"/>
          <w:lang w:val="es-ES_tradnl"/>
        </w:rPr>
        <w:t>equivalentes,</w:t>
      </w:r>
      <w:proofErr w:type="gramEnd"/>
      <w:r w:rsidRPr="00742BED">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B4EB9DF" w14:textId="77777777" w:rsidR="00D56C7D" w:rsidRPr="00742BED" w:rsidRDefault="00D56C7D" w:rsidP="00D56C7D">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materializar el principio de selección objetiva en la contratación pública. Sin embargo, en algunas ocasiones, así se establezcan requisitos habilitantes y factores de calificación adecuados,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equivalente, al ponderarse los criterios de calificación que, en principio, aplican al procedimiento de selección. </w:t>
      </w:r>
    </w:p>
    <w:p w14:paraId="063D664C" w14:textId="77777777" w:rsidR="00D56C7D" w:rsidRPr="00742BED" w:rsidRDefault="00D56C7D" w:rsidP="00D56C7D">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742BED">
        <w:rPr>
          <w:rStyle w:val="Refdenotaalpie"/>
          <w:rFonts w:ascii="Arial" w:hAnsi="Arial" w:cs="Arial"/>
          <w:sz w:val="21"/>
          <w:szCs w:val="21"/>
          <w:lang w:val="es-ES_tradnl"/>
        </w:rPr>
        <w:footnoteReference w:id="2"/>
      </w:r>
      <w:r w:rsidRPr="00742BED">
        <w:rPr>
          <w:rFonts w:ascii="Arial" w:eastAsia="Calibri" w:hAnsi="Arial" w:cs="Arial"/>
          <w:color w:val="000000" w:themeColor="text1"/>
          <w:sz w:val="22"/>
          <w:szCs w:val="22"/>
          <w:lang w:val="es-ES_tradnl"/>
        </w:rPr>
        <w:t xml:space="preserve">. </w:t>
      </w:r>
    </w:p>
    <w:p w14:paraId="7C8A339E" w14:textId="77777777" w:rsidR="00D56C7D" w:rsidRPr="00742BED" w:rsidRDefault="00D56C7D" w:rsidP="00592353">
      <w:pPr>
        <w:spacing w:before="120" w:after="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w:t>
      </w:r>
      <w:r w:rsidRPr="00742BED">
        <w:rPr>
          <w:rFonts w:ascii="Arial" w:eastAsia="Calibri" w:hAnsi="Arial" w:cs="Arial"/>
          <w:color w:val="000000" w:themeColor="text1"/>
          <w:sz w:val="22"/>
          <w:szCs w:val="22"/>
          <w:lang w:val="es-ES_tradnl"/>
        </w:rPr>
        <w:lastRenderedPageBreak/>
        <w:t>surgen como acciones afirmativas para ciertos sectores de la población</w:t>
      </w:r>
      <w:r w:rsidRPr="00742BED">
        <w:rPr>
          <w:rStyle w:val="Refdenotaalpie"/>
          <w:rFonts w:ascii="Arial" w:eastAsia="Calibri" w:hAnsi="Arial" w:cs="Arial"/>
          <w:color w:val="000000" w:themeColor="text1"/>
          <w:sz w:val="22"/>
          <w:szCs w:val="22"/>
          <w:lang w:val="es-ES_tradnl"/>
        </w:rPr>
        <w:footnoteReference w:id="3"/>
      </w:r>
      <w:r w:rsidRPr="00742BED">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Más aún</w:t>
      </w:r>
      <w:r w:rsidRPr="00742BED">
        <w:rPr>
          <w:rFonts w:ascii="Arial" w:eastAsia="Calibri" w:hAnsi="Arial" w:cs="Arial"/>
          <w:color w:val="000000" w:themeColor="text1"/>
          <w:sz w:val="22"/>
          <w:szCs w:val="22"/>
          <w:lang w:val="es-ES_tradnl"/>
        </w:rPr>
        <w:t>, según el Consejo de Estado, ir en contra de los factores de desempate establecidos expresamente genera la nulidad del contrato, conforme al artículo 44, inciso 1º de la Ley 80 de 1993</w:t>
      </w:r>
      <w:r w:rsidRPr="00742BED">
        <w:rPr>
          <w:rStyle w:val="Refdenotaalpie"/>
          <w:rFonts w:ascii="Arial" w:eastAsia="Calibri" w:hAnsi="Arial" w:cs="Arial"/>
          <w:color w:val="000000" w:themeColor="text1"/>
          <w:sz w:val="22"/>
          <w:szCs w:val="22"/>
          <w:lang w:val="es-ES_tradnl"/>
        </w:rPr>
        <w:footnoteReference w:id="4"/>
      </w:r>
      <w:r w:rsidRPr="00742BED">
        <w:rPr>
          <w:rFonts w:ascii="Arial" w:eastAsia="Calibri" w:hAnsi="Arial" w:cs="Arial"/>
          <w:color w:val="000000" w:themeColor="text1"/>
          <w:sz w:val="22"/>
          <w:szCs w:val="22"/>
          <w:lang w:val="es-ES_tradnl"/>
        </w:rPr>
        <w:t>.</w:t>
      </w:r>
    </w:p>
    <w:p w14:paraId="45BF2842" w14:textId="5CEB3593" w:rsidR="00D56C7D" w:rsidRPr="002A263A" w:rsidRDefault="00D56C7D" w:rsidP="00592353">
      <w:pPr>
        <w:spacing w:line="276" w:lineRule="auto"/>
        <w:ind w:firstLine="708"/>
        <w:jc w:val="both"/>
        <w:rPr>
          <w:rFonts w:ascii="Arial" w:hAnsi="Arial" w:cs="Arial"/>
          <w:b/>
          <w:color w:val="000000"/>
          <w:sz w:val="22"/>
          <w:lang w:val="es-ES" w:eastAsia="en-US"/>
        </w:rPr>
      </w:pPr>
      <w:r w:rsidRPr="00742BED">
        <w:rPr>
          <w:rFonts w:ascii="Arial" w:eastAsia="Calibri" w:hAnsi="Arial" w:cs="Arial"/>
          <w:color w:val="000000" w:themeColor="text1"/>
          <w:sz w:val="22"/>
          <w:szCs w:val="22"/>
          <w:lang w:val="es-ES_tradnl"/>
        </w:rPr>
        <w:t xml:space="preserve">Ahora bien, en cumplimiento de los principios de reciprocidad y de </w:t>
      </w:r>
      <w:r w:rsidRPr="00742BED">
        <w:rPr>
          <w:rFonts w:ascii="Arial" w:eastAsia="Calibri" w:hAnsi="Arial" w:cs="Arial"/>
          <w:i/>
          <w:iCs/>
          <w:color w:val="000000" w:themeColor="text1"/>
          <w:sz w:val="22"/>
          <w:szCs w:val="22"/>
          <w:lang w:val="es-ES_tradnl"/>
        </w:rPr>
        <w:t xml:space="preserve">pacta </w:t>
      </w:r>
      <w:proofErr w:type="spellStart"/>
      <w:r w:rsidRPr="00742BED">
        <w:rPr>
          <w:rFonts w:ascii="Arial" w:eastAsia="Calibri" w:hAnsi="Arial" w:cs="Arial"/>
          <w:i/>
          <w:iCs/>
          <w:color w:val="000000" w:themeColor="text1"/>
          <w:sz w:val="22"/>
          <w:szCs w:val="22"/>
          <w:lang w:val="es-ES_tradnl"/>
        </w:rPr>
        <w:t>sunt</w:t>
      </w:r>
      <w:proofErr w:type="spellEnd"/>
      <w:r w:rsidRPr="00742BED">
        <w:rPr>
          <w:rFonts w:ascii="Arial" w:eastAsia="Calibri" w:hAnsi="Arial" w:cs="Arial"/>
          <w:i/>
          <w:iCs/>
          <w:color w:val="000000" w:themeColor="text1"/>
          <w:sz w:val="22"/>
          <w:szCs w:val="22"/>
          <w:lang w:val="es-ES_tradnl"/>
        </w:rPr>
        <w:t xml:space="preserve"> </w:t>
      </w:r>
      <w:proofErr w:type="spellStart"/>
      <w:r w:rsidRPr="00742BED">
        <w:rPr>
          <w:rFonts w:ascii="Arial" w:eastAsia="Calibri" w:hAnsi="Arial" w:cs="Arial"/>
          <w:i/>
          <w:iCs/>
          <w:color w:val="000000" w:themeColor="text1"/>
          <w:sz w:val="22"/>
          <w:szCs w:val="22"/>
          <w:lang w:val="es-ES_tradnl"/>
        </w:rPr>
        <w:t>servanda</w:t>
      </w:r>
      <w:proofErr w:type="spellEnd"/>
      <w:r w:rsidRPr="00742BED">
        <w:rPr>
          <w:rFonts w:ascii="Arial" w:eastAsia="Calibri" w:hAnsi="Arial" w:cs="Arial"/>
          <w:color w:val="000000" w:themeColor="text1"/>
          <w:sz w:val="22"/>
          <w:szCs w:val="22"/>
          <w:lang w:val="es-ES_tradnl"/>
        </w:rPr>
        <w:t>, los factores de desempate que rigen la contratación estatal deben guardar armonía con los tratados comerciales internacionales suscritos por el Estado colombiano. Po</w:t>
      </w:r>
      <w:r w:rsidRPr="002A263A">
        <w:rPr>
          <w:rFonts w:ascii="Arial" w:eastAsia="Calibri" w:hAnsi="Arial" w:cs="Arial"/>
          <w:color w:val="000000" w:themeColor="text1"/>
          <w:sz w:val="22"/>
          <w:szCs w:val="22"/>
          <w:lang w:val="es-ES_tradnl"/>
        </w:rPr>
        <w:t xml:space="preserve">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r w:rsidR="00C0632B" w:rsidRPr="002A263A">
        <w:rPr>
          <w:rFonts w:ascii="Arial" w:hAnsi="Arial" w:cs="Arial"/>
          <w:b/>
          <w:color w:val="000000"/>
          <w:sz w:val="22"/>
          <w:lang w:val="es-ES" w:eastAsia="en-US"/>
        </w:rPr>
        <w:t xml:space="preserve"> </w:t>
      </w:r>
    </w:p>
    <w:p w14:paraId="0F462727" w14:textId="77777777" w:rsidR="00D56C7D" w:rsidRPr="002A263A" w:rsidRDefault="00D56C7D" w:rsidP="00C0632B">
      <w:pPr>
        <w:spacing w:line="276" w:lineRule="auto"/>
        <w:jc w:val="both"/>
        <w:rPr>
          <w:rFonts w:ascii="Arial" w:hAnsi="Arial" w:cs="Arial"/>
          <w:b/>
          <w:color w:val="000000"/>
          <w:sz w:val="22"/>
          <w:lang w:val="es-ES" w:eastAsia="en-US"/>
        </w:rPr>
      </w:pPr>
    </w:p>
    <w:p w14:paraId="6B577B65" w14:textId="6261CE94" w:rsidR="00C0632B" w:rsidRPr="002A263A" w:rsidRDefault="00D56C7D" w:rsidP="00C0632B">
      <w:pPr>
        <w:spacing w:line="276" w:lineRule="auto"/>
        <w:jc w:val="both"/>
        <w:rPr>
          <w:rFonts w:ascii="Arial" w:hAnsi="Arial" w:cs="Arial"/>
          <w:b/>
          <w:color w:val="000000"/>
          <w:sz w:val="22"/>
          <w:lang w:val="es-ES" w:eastAsia="en-US"/>
        </w:rPr>
      </w:pPr>
      <w:r w:rsidRPr="002A263A">
        <w:rPr>
          <w:rFonts w:ascii="Arial" w:hAnsi="Arial" w:cs="Arial"/>
          <w:b/>
          <w:color w:val="000000"/>
          <w:sz w:val="22"/>
          <w:lang w:val="es-ES" w:eastAsia="en-US"/>
        </w:rPr>
        <w:t>2.</w:t>
      </w:r>
      <w:r w:rsidR="0060586D" w:rsidRPr="002A263A">
        <w:rPr>
          <w:rFonts w:ascii="Arial" w:hAnsi="Arial" w:cs="Arial"/>
          <w:b/>
          <w:color w:val="000000"/>
          <w:sz w:val="22"/>
          <w:lang w:val="es-ES" w:eastAsia="en-US"/>
        </w:rPr>
        <w:t>2</w:t>
      </w:r>
      <w:r w:rsidRPr="002A263A">
        <w:rPr>
          <w:rFonts w:ascii="Arial" w:hAnsi="Arial" w:cs="Arial"/>
          <w:b/>
          <w:color w:val="000000"/>
          <w:sz w:val="22"/>
          <w:lang w:val="es-ES" w:eastAsia="en-US"/>
        </w:rPr>
        <w:t xml:space="preserve">. </w:t>
      </w:r>
      <w:r w:rsidR="00C0632B" w:rsidRPr="002A263A">
        <w:rPr>
          <w:rFonts w:ascii="Arial" w:hAnsi="Arial" w:cs="Arial"/>
          <w:b/>
          <w:color w:val="000000"/>
          <w:sz w:val="22"/>
          <w:lang w:val="es-ES" w:eastAsia="en-US"/>
        </w:rPr>
        <w:t>Criterio de desempate creado por el artículo 3º de la Ley 2040 de 2020</w:t>
      </w:r>
      <w:r w:rsidR="009F636A" w:rsidRPr="002A263A">
        <w:rPr>
          <w:rFonts w:ascii="Arial" w:hAnsi="Arial" w:cs="Arial"/>
          <w:b/>
          <w:color w:val="000000"/>
          <w:sz w:val="22"/>
          <w:lang w:val="es-ES" w:eastAsia="en-US"/>
        </w:rPr>
        <w:t>. Pérdida de vigencia y regulación en la «Ley de Emprendimiento»</w:t>
      </w:r>
    </w:p>
    <w:p w14:paraId="1625B1AD" w14:textId="77777777" w:rsidR="00C0632B" w:rsidRPr="002A263A" w:rsidRDefault="00C0632B" w:rsidP="00C0632B">
      <w:pPr>
        <w:spacing w:line="276" w:lineRule="auto"/>
        <w:jc w:val="both"/>
        <w:rPr>
          <w:rFonts w:ascii="Arial" w:hAnsi="Arial" w:cs="Arial"/>
          <w:color w:val="000000"/>
          <w:sz w:val="22"/>
          <w:lang w:val="es-ES" w:eastAsia="en-US"/>
        </w:rPr>
      </w:pPr>
    </w:p>
    <w:p w14:paraId="3F1E078C" w14:textId="531B2EB3" w:rsidR="00C0632B" w:rsidRPr="002A263A" w:rsidRDefault="003171EF" w:rsidP="00C0632B">
      <w:pPr>
        <w:spacing w:after="120" w:line="276" w:lineRule="auto"/>
        <w:jc w:val="both"/>
        <w:rPr>
          <w:rFonts w:ascii="Arial" w:hAnsi="Arial" w:cs="Arial"/>
          <w:color w:val="000000"/>
          <w:sz w:val="22"/>
          <w:lang w:val="es-ES" w:eastAsia="en-US"/>
        </w:rPr>
      </w:pPr>
      <w:r w:rsidRPr="002A263A">
        <w:rPr>
          <w:rFonts w:ascii="Arial" w:hAnsi="Arial" w:cs="Arial"/>
          <w:color w:val="000000"/>
          <w:sz w:val="22"/>
          <w:lang w:val="es-ES" w:eastAsia="en-US"/>
        </w:rPr>
        <w:t>L</w:t>
      </w:r>
      <w:r w:rsidR="00C0632B" w:rsidRPr="002A263A">
        <w:rPr>
          <w:rFonts w:ascii="Arial" w:hAnsi="Arial" w:cs="Arial"/>
          <w:color w:val="000000"/>
          <w:sz w:val="22"/>
          <w:lang w:val="es-ES" w:eastAsia="en-US"/>
        </w:rPr>
        <w:t>a Ley 2040 de 2020, «por medio de la cual se adoptan medidas para impulsar el trabajo para adultos mayores y se dictan otras disposiciones»</w:t>
      </w:r>
      <w:r w:rsidRPr="002A263A">
        <w:rPr>
          <w:rFonts w:ascii="Arial" w:hAnsi="Arial" w:cs="Arial"/>
          <w:color w:val="000000"/>
          <w:sz w:val="22"/>
          <w:lang w:val="es-ES" w:eastAsia="en-US"/>
        </w:rPr>
        <w:t>, desarrolla una política horizontal y tra</w:t>
      </w:r>
      <w:r w:rsidR="00FA6E3F" w:rsidRPr="002A263A">
        <w:rPr>
          <w:rFonts w:ascii="Arial" w:hAnsi="Arial" w:cs="Arial"/>
          <w:color w:val="000000"/>
          <w:sz w:val="22"/>
          <w:lang w:val="es-ES" w:eastAsia="en-US"/>
        </w:rPr>
        <w:t>ía</w:t>
      </w:r>
      <w:r w:rsidRPr="002A263A">
        <w:rPr>
          <w:rFonts w:ascii="Arial" w:hAnsi="Arial" w:cs="Arial"/>
          <w:color w:val="000000"/>
          <w:sz w:val="22"/>
          <w:lang w:val="es-ES" w:eastAsia="en-US"/>
        </w:rPr>
        <w:t xml:space="preserve"> consigo un incentivo contractual</w:t>
      </w:r>
      <w:r w:rsidR="00401203" w:rsidRPr="002A263A">
        <w:rPr>
          <w:rFonts w:ascii="Arial" w:hAnsi="Arial" w:cs="Arial"/>
          <w:color w:val="000000"/>
          <w:sz w:val="22"/>
          <w:lang w:val="es-ES" w:eastAsia="en-US"/>
        </w:rPr>
        <w:t>, relacionado con un criterio de desempate</w:t>
      </w:r>
      <w:r w:rsidR="00C0632B" w:rsidRPr="002A263A">
        <w:rPr>
          <w:rFonts w:ascii="Arial" w:hAnsi="Arial" w:cs="Arial"/>
          <w:color w:val="000000"/>
          <w:sz w:val="22"/>
          <w:lang w:val="es-ES" w:eastAsia="en-US"/>
        </w:rPr>
        <w:t xml:space="preserve">. En esta ley la política del legislador </w:t>
      </w:r>
      <w:r w:rsidR="00305D3C" w:rsidRPr="002A263A">
        <w:rPr>
          <w:rFonts w:ascii="Arial" w:hAnsi="Arial" w:cs="Arial"/>
          <w:color w:val="000000"/>
          <w:sz w:val="22"/>
          <w:lang w:val="es-ES" w:eastAsia="en-US"/>
        </w:rPr>
        <w:t xml:space="preserve">era </w:t>
      </w:r>
      <w:r w:rsidR="00C0632B" w:rsidRPr="002A263A">
        <w:rPr>
          <w:rFonts w:ascii="Arial" w:hAnsi="Arial" w:cs="Arial"/>
          <w:color w:val="000000"/>
          <w:sz w:val="22"/>
          <w:lang w:val="es-ES" w:eastAsia="en-US"/>
        </w:rPr>
        <w:t xml:space="preserve">clara: establecer medidas que incrementen la empleabilidad de adultos mayores que, cumplida la edad de jubilación, no cuentan con pensión de vejez, familiar o sobrevivencia. </w:t>
      </w:r>
    </w:p>
    <w:p w14:paraId="7E146D8F" w14:textId="54DB6A35" w:rsidR="00C0632B" w:rsidRPr="002A263A" w:rsidRDefault="00C0632B" w:rsidP="00C0632B">
      <w:pPr>
        <w:spacing w:after="120" w:line="276" w:lineRule="auto"/>
        <w:jc w:val="both"/>
        <w:rPr>
          <w:rFonts w:ascii="Arial" w:hAnsi="Arial" w:cs="Arial"/>
          <w:color w:val="000000"/>
          <w:sz w:val="22"/>
          <w:lang w:val="es-ES" w:eastAsia="en-US"/>
        </w:rPr>
      </w:pPr>
      <w:r w:rsidRPr="002A263A">
        <w:rPr>
          <w:rFonts w:ascii="Arial" w:hAnsi="Arial" w:cs="Arial"/>
          <w:color w:val="000000"/>
          <w:sz w:val="22"/>
          <w:lang w:val="es-ES" w:eastAsia="en-US"/>
        </w:rPr>
        <w:tab/>
        <w:t xml:space="preserve">La Ley adopta instrumentos diversos, entre los cuales se cuentan una reducción del impuesto sobre la renta por contratación de adultos mayores –artículo 2–, la creación del sello amigable «adulto mayor» para identificar a las empresas que vinculen a adultos mayores que no cuentan con pensión –artículo 7– y la creación de la </w:t>
      </w:r>
      <w:r w:rsidRPr="002A263A">
        <w:rPr>
          <w:rFonts w:ascii="Verdana" w:hAnsi="Verdana" w:cs="Arial"/>
          <w:color w:val="000000"/>
          <w:sz w:val="22"/>
          <w:lang w:val="es-ES" w:eastAsia="en-US"/>
        </w:rPr>
        <w:t>«</w:t>
      </w:r>
      <w:r w:rsidRPr="002A263A">
        <w:rPr>
          <w:rFonts w:ascii="Arial" w:hAnsi="Arial" w:cs="Arial"/>
          <w:color w:val="000000"/>
          <w:sz w:val="22"/>
          <w:lang w:val="es-ES" w:eastAsia="en-US"/>
        </w:rPr>
        <w:t xml:space="preserve">Ruta para el emprendimiento del adulto mayor» para que los adultos mayores puedan poner en marcha su propia empresa –artículo 10–. Todos estos son mecanismos dirigidos a cumplir su finalidad: incrementar la empleabilidad de los adultos mayores, lo que a la postre, se espera, se traducirá en mayor empleo para este sector vulnerable de la población. </w:t>
      </w:r>
    </w:p>
    <w:p w14:paraId="70BBEFC5" w14:textId="008663A7" w:rsidR="00C0632B" w:rsidRPr="002A263A" w:rsidRDefault="00C0632B" w:rsidP="00C0632B">
      <w:pPr>
        <w:spacing w:line="276" w:lineRule="auto"/>
        <w:jc w:val="both"/>
        <w:rPr>
          <w:rFonts w:ascii="Arial" w:hAnsi="Arial" w:cs="Arial"/>
          <w:color w:val="000000"/>
          <w:sz w:val="22"/>
          <w:lang w:val="es-ES" w:eastAsia="en-US"/>
        </w:rPr>
      </w:pPr>
      <w:r w:rsidRPr="002A263A">
        <w:rPr>
          <w:rFonts w:ascii="Arial" w:hAnsi="Arial" w:cs="Arial"/>
          <w:color w:val="000000"/>
          <w:sz w:val="22"/>
          <w:lang w:val="es-ES" w:eastAsia="en-US"/>
        </w:rPr>
        <w:tab/>
      </w:r>
      <w:r w:rsidR="003171EF" w:rsidRPr="002A263A">
        <w:rPr>
          <w:rFonts w:ascii="Arial" w:hAnsi="Arial" w:cs="Arial"/>
          <w:color w:val="000000"/>
          <w:sz w:val="22"/>
          <w:lang w:val="es-ES" w:eastAsia="en-US"/>
        </w:rPr>
        <w:t>Esta ley</w:t>
      </w:r>
      <w:r w:rsidRPr="002A263A">
        <w:rPr>
          <w:rFonts w:ascii="Arial" w:hAnsi="Arial" w:cs="Arial"/>
          <w:color w:val="000000"/>
          <w:sz w:val="22"/>
          <w:lang w:val="es-ES" w:eastAsia="en-US"/>
        </w:rPr>
        <w:t>, además de las estrategias referidas, cont</w:t>
      </w:r>
      <w:r w:rsidR="00FA6E3F" w:rsidRPr="002A263A">
        <w:rPr>
          <w:rFonts w:ascii="Arial" w:hAnsi="Arial" w:cs="Arial"/>
          <w:color w:val="000000"/>
          <w:sz w:val="22"/>
          <w:lang w:val="es-ES" w:eastAsia="en-US"/>
        </w:rPr>
        <w:t>enía</w:t>
      </w:r>
      <w:r w:rsidRPr="002A263A">
        <w:rPr>
          <w:rFonts w:ascii="Arial" w:hAnsi="Arial" w:cs="Arial"/>
          <w:color w:val="000000"/>
          <w:sz w:val="22"/>
          <w:lang w:val="es-ES" w:eastAsia="en-US"/>
        </w:rPr>
        <w:t xml:space="preserve"> un mecanismo que forma</w:t>
      </w:r>
      <w:r w:rsidR="00FA6E3F" w:rsidRPr="002A263A">
        <w:rPr>
          <w:rFonts w:ascii="Arial" w:hAnsi="Arial" w:cs="Arial"/>
          <w:color w:val="000000"/>
          <w:sz w:val="22"/>
          <w:lang w:val="es-ES" w:eastAsia="en-US"/>
        </w:rPr>
        <w:t>ba</w:t>
      </w:r>
      <w:r w:rsidRPr="002A263A">
        <w:rPr>
          <w:rFonts w:ascii="Arial" w:hAnsi="Arial" w:cs="Arial"/>
          <w:color w:val="000000"/>
          <w:sz w:val="22"/>
          <w:lang w:val="es-ES" w:eastAsia="en-US"/>
        </w:rPr>
        <w:t xml:space="preserve"> parte del Estatuto General de Contratación de la Administración Pública, contenido en el </w:t>
      </w:r>
      <w:r w:rsidRPr="002A263A">
        <w:rPr>
          <w:rFonts w:ascii="Arial" w:hAnsi="Arial" w:cs="Arial"/>
          <w:color w:val="000000"/>
          <w:sz w:val="22"/>
          <w:lang w:val="es-ES" w:eastAsia="en-US"/>
        </w:rPr>
        <w:lastRenderedPageBreak/>
        <w:t>artículo 3 de dicha ley, que adicion</w:t>
      </w:r>
      <w:r w:rsidR="003171EF" w:rsidRPr="002A263A">
        <w:rPr>
          <w:rFonts w:ascii="Arial" w:hAnsi="Arial" w:cs="Arial"/>
          <w:color w:val="000000"/>
          <w:sz w:val="22"/>
          <w:lang w:val="es-ES" w:eastAsia="en-US"/>
        </w:rPr>
        <w:t>ó</w:t>
      </w:r>
      <w:r w:rsidRPr="002A263A">
        <w:rPr>
          <w:rFonts w:ascii="Arial" w:hAnsi="Arial" w:cs="Arial"/>
          <w:color w:val="000000"/>
          <w:sz w:val="22"/>
          <w:lang w:val="es-ES" w:eastAsia="en-US"/>
        </w:rPr>
        <w:t xml:space="preserve"> un parágrafo al artículo 12 de la Ley 1150 de 2007</w:t>
      </w:r>
      <w:r w:rsidR="00305D3C" w:rsidRPr="002A263A">
        <w:rPr>
          <w:rFonts w:ascii="Arial" w:hAnsi="Arial" w:cs="Arial"/>
          <w:color w:val="000000"/>
          <w:sz w:val="22"/>
          <w:lang w:val="es-ES" w:eastAsia="en-US"/>
        </w:rPr>
        <w:t>, norma que</w:t>
      </w:r>
      <w:r w:rsidR="0059135A" w:rsidRPr="002A263A">
        <w:rPr>
          <w:rFonts w:ascii="Arial" w:hAnsi="Arial" w:cs="Arial"/>
          <w:color w:val="000000"/>
          <w:sz w:val="22"/>
          <w:lang w:val="es-ES" w:eastAsia="en-US"/>
        </w:rPr>
        <w:t>,</w:t>
      </w:r>
      <w:r w:rsidR="00305D3C" w:rsidRPr="002A263A">
        <w:rPr>
          <w:rFonts w:ascii="Arial" w:hAnsi="Arial" w:cs="Arial"/>
          <w:color w:val="000000"/>
          <w:sz w:val="22"/>
          <w:lang w:val="es-ES" w:eastAsia="en-US"/>
        </w:rPr>
        <w:t xml:space="preserve"> como se explicará más adelante</w:t>
      </w:r>
      <w:r w:rsidR="0059135A" w:rsidRPr="002A263A">
        <w:rPr>
          <w:rFonts w:ascii="Arial" w:hAnsi="Arial" w:cs="Arial"/>
          <w:color w:val="000000"/>
          <w:sz w:val="22"/>
          <w:lang w:val="es-ES" w:eastAsia="en-US"/>
        </w:rPr>
        <w:t>,</w:t>
      </w:r>
      <w:r w:rsidR="00305D3C" w:rsidRPr="002A263A">
        <w:rPr>
          <w:rFonts w:ascii="Arial" w:hAnsi="Arial" w:cs="Arial"/>
          <w:color w:val="000000"/>
          <w:sz w:val="22"/>
          <w:lang w:val="es-ES" w:eastAsia="en-US"/>
        </w:rPr>
        <w:t xml:space="preserve"> fue </w:t>
      </w:r>
      <w:r w:rsidR="0059135A" w:rsidRPr="002A263A">
        <w:rPr>
          <w:rFonts w:ascii="Arial" w:hAnsi="Arial" w:cs="Arial"/>
          <w:color w:val="000000"/>
          <w:sz w:val="22"/>
          <w:lang w:val="es-ES" w:eastAsia="en-US"/>
        </w:rPr>
        <w:t>subrogada</w:t>
      </w:r>
      <w:r w:rsidR="00305D3C" w:rsidRPr="002A263A">
        <w:rPr>
          <w:rFonts w:ascii="Arial" w:hAnsi="Arial" w:cs="Arial"/>
          <w:color w:val="000000"/>
          <w:sz w:val="22"/>
          <w:lang w:val="es-ES" w:eastAsia="en-US"/>
        </w:rPr>
        <w:t xml:space="preserve"> por la Ley 2069 de 2020, en tal sentido, pese a que actualmente no está vigente es importante analizar su contenido y destacar que fue una norma que no produjo efectos, como se explicará</w:t>
      </w:r>
      <w:r w:rsidRPr="002A263A">
        <w:rPr>
          <w:rFonts w:ascii="Arial" w:hAnsi="Arial" w:cs="Arial"/>
          <w:color w:val="000000"/>
          <w:sz w:val="22"/>
          <w:lang w:val="es-ES" w:eastAsia="en-US"/>
        </w:rPr>
        <w:t xml:space="preserve">: </w:t>
      </w:r>
    </w:p>
    <w:p w14:paraId="74EA5D43" w14:textId="77777777" w:rsidR="00C0632B" w:rsidRPr="002A263A" w:rsidRDefault="00C0632B" w:rsidP="00C0632B">
      <w:pPr>
        <w:tabs>
          <w:tab w:val="left" w:pos="709"/>
        </w:tabs>
        <w:spacing w:line="276" w:lineRule="auto"/>
        <w:jc w:val="both"/>
        <w:rPr>
          <w:rFonts w:ascii="Arial" w:hAnsi="Arial" w:cs="Arial"/>
          <w:color w:val="000000"/>
          <w:sz w:val="22"/>
          <w:lang w:val="es-ES" w:eastAsia="en-US"/>
        </w:rPr>
      </w:pPr>
    </w:p>
    <w:p w14:paraId="5E08C78D"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r w:rsidRPr="002A263A">
        <w:rPr>
          <w:rFonts w:ascii="Arial" w:eastAsia="Calibri" w:hAnsi="Arial" w:cs="Arial"/>
          <w:color w:val="000000"/>
          <w:sz w:val="21"/>
          <w:szCs w:val="21"/>
          <w:lang w:val="es-ES" w:eastAsia="en-US"/>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 </w:t>
      </w:r>
    </w:p>
    <w:p w14:paraId="11DC61F0"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p>
    <w:p w14:paraId="4EA5F560"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r w:rsidRPr="002A263A">
        <w:rPr>
          <w:rFonts w:ascii="Arial" w:eastAsia="Calibri" w:hAnsi="Arial" w:cs="Arial"/>
          <w:color w:val="000000"/>
          <w:sz w:val="21"/>
          <w:szCs w:val="21"/>
          <w:lang w:val="es-ES" w:eastAsia="en-US"/>
        </w:rPr>
        <w:t xml:space="preserve">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w:t>
      </w:r>
      <w:proofErr w:type="gramStart"/>
      <w:r w:rsidRPr="002A263A">
        <w:rPr>
          <w:rFonts w:ascii="Arial" w:eastAsia="Calibri" w:hAnsi="Arial" w:cs="Arial"/>
          <w:color w:val="000000"/>
          <w:sz w:val="21"/>
          <w:szCs w:val="21"/>
          <w:lang w:val="es-ES" w:eastAsia="en-US"/>
        </w:rPr>
        <w:t>la misma</w:t>
      </w:r>
      <w:proofErr w:type="gramEnd"/>
      <w:r w:rsidRPr="002A263A">
        <w:rPr>
          <w:rFonts w:ascii="Arial" w:eastAsia="Calibri" w:hAnsi="Arial" w:cs="Arial"/>
          <w:color w:val="000000"/>
          <w:sz w:val="21"/>
          <w:szCs w:val="21"/>
          <w:lang w:val="es-ES" w:eastAsia="en-US"/>
        </w:rPr>
        <w:t xml:space="preserve">. </w:t>
      </w:r>
    </w:p>
    <w:p w14:paraId="4FC33EC3"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p>
    <w:p w14:paraId="104BA558"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r w:rsidRPr="002A263A">
        <w:rPr>
          <w:rFonts w:ascii="Arial" w:eastAsia="Calibri" w:hAnsi="Arial" w:cs="Arial"/>
          <w:color w:val="000000"/>
          <w:sz w:val="21"/>
          <w:szCs w:val="21"/>
          <w:lang w:val="es-ES" w:eastAsia="en-US"/>
        </w:rPr>
        <w:t xml:space="preserve">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 </w:t>
      </w:r>
    </w:p>
    <w:p w14:paraId="4112E707"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p>
    <w:p w14:paraId="0D35CB04" w14:textId="77777777" w:rsidR="00C0632B" w:rsidRPr="002A263A" w:rsidRDefault="00C0632B" w:rsidP="00C0632B">
      <w:pPr>
        <w:tabs>
          <w:tab w:val="left" w:pos="709"/>
        </w:tabs>
        <w:ind w:left="709" w:right="758"/>
        <w:jc w:val="both"/>
        <w:rPr>
          <w:rFonts w:ascii="Arial" w:eastAsia="Calibri" w:hAnsi="Arial" w:cs="Arial"/>
          <w:color w:val="000000"/>
          <w:sz w:val="21"/>
          <w:szCs w:val="21"/>
          <w:lang w:val="es-ES" w:eastAsia="en-US"/>
        </w:rPr>
      </w:pPr>
      <w:r w:rsidRPr="002A263A">
        <w:rPr>
          <w:rFonts w:ascii="Arial" w:eastAsia="Calibri" w:hAnsi="Arial" w:cs="Arial"/>
          <w:color w:val="000000"/>
          <w:sz w:val="21"/>
          <w:szCs w:val="21"/>
          <w:lang w:val="es-ES" w:eastAsia="en-US"/>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63BA1944" w14:textId="77777777" w:rsidR="00C0632B" w:rsidRPr="002A263A" w:rsidRDefault="00C0632B" w:rsidP="00C0632B">
      <w:pPr>
        <w:tabs>
          <w:tab w:val="left" w:pos="426"/>
        </w:tabs>
        <w:spacing w:line="276" w:lineRule="auto"/>
        <w:jc w:val="both"/>
        <w:rPr>
          <w:rFonts w:ascii="Arial" w:eastAsia="Calibri" w:hAnsi="Arial" w:cs="Arial"/>
          <w:color w:val="000000"/>
          <w:sz w:val="22"/>
          <w:lang w:val="es-ES" w:eastAsia="en-US"/>
        </w:rPr>
      </w:pPr>
    </w:p>
    <w:p w14:paraId="373E4148" w14:textId="10217FCA" w:rsidR="00C0632B" w:rsidRPr="002A263A" w:rsidRDefault="00C0632B" w:rsidP="00C0632B">
      <w:pPr>
        <w:spacing w:after="120" w:line="276" w:lineRule="auto"/>
        <w:ind w:firstLine="709"/>
        <w:jc w:val="both"/>
        <w:rPr>
          <w:rFonts w:ascii="Arial" w:eastAsia="Calibri" w:hAnsi="Arial" w:cs="Arial"/>
          <w:color w:val="000000"/>
          <w:sz w:val="22"/>
          <w:lang w:val="es-ES" w:eastAsia="en-US"/>
        </w:rPr>
      </w:pPr>
      <w:r w:rsidRPr="002A263A">
        <w:rPr>
          <w:rFonts w:ascii="Arial" w:eastAsia="Calibri" w:hAnsi="Arial" w:cs="Arial"/>
          <w:color w:val="000000"/>
          <w:sz w:val="22"/>
          <w:lang w:val="es-ES" w:eastAsia="en-US"/>
        </w:rPr>
        <w:t>La política horizontal perseguida consist</w:t>
      </w:r>
      <w:r w:rsidR="00FA6E3F" w:rsidRPr="002A263A">
        <w:rPr>
          <w:rFonts w:ascii="Arial" w:eastAsia="Calibri" w:hAnsi="Arial" w:cs="Arial"/>
          <w:color w:val="000000"/>
          <w:sz w:val="22"/>
          <w:lang w:val="es-ES" w:eastAsia="en-US"/>
        </w:rPr>
        <w:t>ía</w:t>
      </w:r>
      <w:r w:rsidRPr="002A263A">
        <w:rPr>
          <w:rFonts w:ascii="Arial" w:eastAsia="Calibri" w:hAnsi="Arial" w:cs="Arial"/>
          <w:color w:val="000000"/>
          <w:sz w:val="22"/>
          <w:lang w:val="es-ES" w:eastAsia="en-US"/>
        </w:rPr>
        <w:t xml:space="preserve"> en maximizar el número de personas vinculadas laboralmente a empresas contratistas del Estado que </w:t>
      </w:r>
      <w:r w:rsidR="00FA6E3F" w:rsidRPr="002A263A">
        <w:rPr>
          <w:rFonts w:ascii="Arial" w:eastAsia="Calibri" w:hAnsi="Arial" w:cs="Arial"/>
          <w:color w:val="000000"/>
          <w:sz w:val="22"/>
          <w:lang w:val="es-ES" w:eastAsia="en-US"/>
        </w:rPr>
        <w:t xml:space="preserve">hubieran </w:t>
      </w:r>
      <w:r w:rsidRPr="002A263A">
        <w:rPr>
          <w:rFonts w:ascii="Arial" w:eastAsia="Calibri" w:hAnsi="Arial" w:cs="Arial"/>
          <w:color w:val="000000"/>
          <w:sz w:val="22"/>
          <w:lang w:val="es-ES" w:eastAsia="en-US"/>
        </w:rPr>
        <w:t xml:space="preserve">cumplido con el requisito de edad y no </w:t>
      </w:r>
      <w:r w:rsidR="00FA6E3F" w:rsidRPr="002A263A">
        <w:rPr>
          <w:rFonts w:ascii="Arial" w:eastAsia="Calibri" w:hAnsi="Arial" w:cs="Arial"/>
          <w:color w:val="000000"/>
          <w:sz w:val="22"/>
          <w:lang w:val="es-ES" w:eastAsia="en-US"/>
        </w:rPr>
        <w:t xml:space="preserve">contaran </w:t>
      </w:r>
      <w:r w:rsidRPr="002A263A">
        <w:rPr>
          <w:rFonts w:ascii="Arial" w:eastAsia="Calibri" w:hAnsi="Arial" w:cs="Arial"/>
          <w:color w:val="000000"/>
          <w:sz w:val="22"/>
          <w:lang w:val="es-ES" w:eastAsia="en-US"/>
        </w:rPr>
        <w:t>con una pensión de vejez, familiar o de sobrevivencia. De otra parte, el incentivo, en el esquema de la contratación estatal, consist</w:t>
      </w:r>
      <w:r w:rsidR="00FA6E3F" w:rsidRPr="002A263A">
        <w:rPr>
          <w:rFonts w:ascii="Arial" w:eastAsia="Calibri" w:hAnsi="Arial" w:cs="Arial"/>
          <w:color w:val="000000"/>
          <w:sz w:val="22"/>
          <w:lang w:val="es-ES" w:eastAsia="en-US"/>
        </w:rPr>
        <w:t>ía</w:t>
      </w:r>
      <w:r w:rsidRPr="002A263A">
        <w:rPr>
          <w:rFonts w:ascii="Arial" w:eastAsia="Calibri" w:hAnsi="Arial" w:cs="Arial"/>
          <w:color w:val="000000"/>
          <w:sz w:val="22"/>
          <w:lang w:val="es-ES" w:eastAsia="en-US"/>
        </w:rPr>
        <w:t xml:space="preserve"> en crear un criterio de desempate para favorecer a la empresa que </w:t>
      </w:r>
      <w:r w:rsidR="00FA6E3F" w:rsidRPr="002A263A">
        <w:rPr>
          <w:rFonts w:ascii="Arial" w:eastAsia="Calibri" w:hAnsi="Arial" w:cs="Arial"/>
          <w:color w:val="000000"/>
          <w:sz w:val="22"/>
          <w:lang w:val="es-ES" w:eastAsia="en-US"/>
        </w:rPr>
        <w:t xml:space="preserve">tuvieran </w:t>
      </w:r>
      <w:r w:rsidRPr="002A263A">
        <w:rPr>
          <w:rFonts w:ascii="Arial" w:eastAsia="Calibri" w:hAnsi="Arial" w:cs="Arial"/>
          <w:color w:val="000000"/>
          <w:sz w:val="22"/>
          <w:lang w:val="es-ES" w:eastAsia="en-US"/>
        </w:rPr>
        <w:t xml:space="preserve">un porcentaje mayor –no un número mayor– de adultos mayores contratados que no </w:t>
      </w:r>
      <w:r w:rsidR="00FA6E3F" w:rsidRPr="002A263A">
        <w:rPr>
          <w:rFonts w:ascii="Arial" w:eastAsia="Calibri" w:hAnsi="Arial" w:cs="Arial"/>
          <w:color w:val="000000"/>
          <w:sz w:val="22"/>
          <w:lang w:val="es-ES" w:eastAsia="en-US"/>
        </w:rPr>
        <w:t xml:space="preserve">contaran </w:t>
      </w:r>
      <w:r w:rsidRPr="002A263A">
        <w:rPr>
          <w:rFonts w:ascii="Arial" w:eastAsia="Calibri" w:hAnsi="Arial" w:cs="Arial"/>
          <w:color w:val="000000"/>
          <w:sz w:val="22"/>
          <w:lang w:val="es-ES" w:eastAsia="en-US"/>
        </w:rPr>
        <w:t>con una pensión de vejez, familiar o de sobrevivencia. La norma procura</w:t>
      </w:r>
      <w:r w:rsidR="00FA6E3F" w:rsidRPr="002A263A">
        <w:rPr>
          <w:rFonts w:ascii="Arial" w:eastAsia="Calibri" w:hAnsi="Arial" w:cs="Arial"/>
          <w:color w:val="000000"/>
          <w:sz w:val="22"/>
          <w:lang w:val="es-ES" w:eastAsia="en-US"/>
        </w:rPr>
        <w:t>ba</w:t>
      </w:r>
      <w:r w:rsidRPr="002A263A">
        <w:rPr>
          <w:rFonts w:ascii="Arial" w:eastAsia="Calibri" w:hAnsi="Arial" w:cs="Arial"/>
          <w:color w:val="000000"/>
          <w:sz w:val="22"/>
          <w:lang w:val="es-ES" w:eastAsia="en-US"/>
        </w:rPr>
        <w:t xml:space="preserve"> que los potenciales contratistas del Estado increment</w:t>
      </w:r>
      <w:r w:rsidR="00FA6E3F" w:rsidRPr="002A263A">
        <w:rPr>
          <w:rFonts w:ascii="Arial" w:eastAsia="Calibri" w:hAnsi="Arial" w:cs="Arial"/>
          <w:color w:val="000000"/>
          <w:sz w:val="22"/>
          <w:lang w:val="es-ES" w:eastAsia="en-US"/>
        </w:rPr>
        <w:t>aran</w:t>
      </w:r>
      <w:r w:rsidRPr="002A263A">
        <w:rPr>
          <w:rFonts w:ascii="Arial" w:eastAsia="Calibri" w:hAnsi="Arial" w:cs="Arial"/>
          <w:color w:val="000000"/>
          <w:sz w:val="22"/>
          <w:lang w:val="es-ES" w:eastAsia="en-US"/>
        </w:rPr>
        <w:t xml:space="preserve"> el porcentaje de adultos mayores vinculados a su planta de personal, con el fin de ser beneficiarios de este criterio de desempate en un eventual procedimiento de selección. </w:t>
      </w:r>
    </w:p>
    <w:p w14:paraId="2080B794" w14:textId="7E2C853A" w:rsidR="00C0632B" w:rsidRPr="002A263A" w:rsidRDefault="00305D3C" w:rsidP="00C0632B">
      <w:pPr>
        <w:spacing w:after="120" w:line="276" w:lineRule="auto"/>
        <w:ind w:firstLine="709"/>
        <w:jc w:val="both"/>
        <w:rPr>
          <w:rFonts w:ascii="Arial" w:eastAsia="Calibri" w:hAnsi="Arial" w:cs="Arial"/>
          <w:color w:val="000000"/>
          <w:sz w:val="22"/>
          <w:lang w:val="es-ES" w:eastAsia="en-US"/>
        </w:rPr>
      </w:pPr>
      <w:r w:rsidRPr="002A263A">
        <w:rPr>
          <w:rFonts w:ascii="Arial" w:eastAsia="Calibri" w:hAnsi="Arial" w:cs="Arial"/>
          <w:color w:val="000000"/>
          <w:sz w:val="22"/>
          <w:lang w:val="es-ES" w:eastAsia="en-US"/>
        </w:rPr>
        <w:t>De otro lado</w:t>
      </w:r>
      <w:r w:rsidR="00C0632B" w:rsidRPr="002A263A">
        <w:rPr>
          <w:rFonts w:ascii="Arial" w:eastAsia="Calibri" w:hAnsi="Arial" w:cs="Arial"/>
          <w:color w:val="000000"/>
          <w:sz w:val="22"/>
          <w:lang w:val="es-ES" w:eastAsia="en-US"/>
        </w:rPr>
        <w:t>, desde el punto de vista del mecanismo, el legislador optó por concretar la política horizontal a través de un criterio de desempate. Ello plante</w:t>
      </w:r>
      <w:r w:rsidRPr="002A263A">
        <w:rPr>
          <w:rFonts w:ascii="Arial" w:eastAsia="Calibri" w:hAnsi="Arial" w:cs="Arial"/>
          <w:color w:val="000000"/>
          <w:sz w:val="22"/>
          <w:lang w:val="es-ES" w:eastAsia="en-US"/>
        </w:rPr>
        <w:t>ab</w:t>
      </w:r>
      <w:r w:rsidR="00C0632B" w:rsidRPr="002A263A">
        <w:rPr>
          <w:rFonts w:ascii="Arial" w:eastAsia="Calibri" w:hAnsi="Arial" w:cs="Arial"/>
          <w:color w:val="000000"/>
          <w:sz w:val="22"/>
          <w:lang w:val="es-ES" w:eastAsia="en-US"/>
        </w:rPr>
        <w:t>a algunas dificultades prácticas, pues se trata</w:t>
      </w:r>
      <w:r w:rsidRPr="002A263A">
        <w:rPr>
          <w:rFonts w:ascii="Arial" w:eastAsia="Calibri" w:hAnsi="Arial" w:cs="Arial"/>
          <w:color w:val="000000"/>
          <w:sz w:val="22"/>
          <w:lang w:val="es-ES" w:eastAsia="en-US"/>
        </w:rPr>
        <w:t>ba</w:t>
      </w:r>
      <w:r w:rsidR="00C0632B" w:rsidRPr="002A263A">
        <w:rPr>
          <w:rFonts w:ascii="Arial" w:eastAsia="Calibri" w:hAnsi="Arial" w:cs="Arial"/>
          <w:color w:val="000000"/>
          <w:sz w:val="22"/>
          <w:lang w:val="es-ES" w:eastAsia="en-US"/>
        </w:rPr>
        <w:t xml:space="preserve"> de un criterio adicional a los establecidos en</w:t>
      </w:r>
      <w:r w:rsidRPr="002A263A">
        <w:rPr>
          <w:rFonts w:ascii="Arial" w:eastAsia="Calibri" w:hAnsi="Arial" w:cs="Arial"/>
          <w:color w:val="000000"/>
          <w:sz w:val="22"/>
          <w:lang w:val="es-ES" w:eastAsia="en-US"/>
        </w:rPr>
        <w:t xml:space="preserve"> su </w:t>
      </w:r>
      <w:r w:rsidRPr="002A263A">
        <w:rPr>
          <w:rFonts w:ascii="Arial" w:eastAsia="Calibri" w:hAnsi="Arial" w:cs="Arial"/>
          <w:color w:val="000000"/>
          <w:sz w:val="22"/>
          <w:lang w:val="es-ES" w:eastAsia="en-US"/>
        </w:rPr>
        <w:lastRenderedPageBreak/>
        <w:t>momento en</w:t>
      </w:r>
      <w:r w:rsidR="00C0632B" w:rsidRPr="002A263A">
        <w:rPr>
          <w:rFonts w:ascii="Arial" w:eastAsia="Calibri" w:hAnsi="Arial" w:cs="Arial"/>
          <w:color w:val="000000"/>
          <w:sz w:val="22"/>
          <w:lang w:val="es-ES" w:eastAsia="en-US"/>
        </w:rPr>
        <w:t xml:space="preserve"> el artículo 2.2.1.1.2.2.9. del Decreto 1082 de 2015</w:t>
      </w:r>
      <w:r w:rsidRPr="002A263A">
        <w:rPr>
          <w:rFonts w:ascii="Arial" w:eastAsia="Calibri" w:hAnsi="Arial" w:cs="Arial"/>
          <w:color w:val="000000"/>
          <w:sz w:val="22"/>
          <w:lang w:val="es-ES" w:eastAsia="en-US"/>
        </w:rPr>
        <w:t>, que regulaba los factores de desempate en los procedimientos de selección.</w:t>
      </w:r>
    </w:p>
    <w:p w14:paraId="050F7E30" w14:textId="2319EC43" w:rsidR="00C0632B" w:rsidRPr="002A263A" w:rsidRDefault="00C0632B" w:rsidP="00C0632B">
      <w:pPr>
        <w:spacing w:after="120" w:line="276" w:lineRule="auto"/>
        <w:ind w:firstLine="709"/>
        <w:jc w:val="both"/>
        <w:rPr>
          <w:rFonts w:ascii="Arial" w:eastAsia="Calibri" w:hAnsi="Arial" w:cs="Arial"/>
          <w:color w:val="000000"/>
          <w:sz w:val="22"/>
          <w:lang w:val="es-ES" w:eastAsia="en-US"/>
        </w:rPr>
      </w:pPr>
      <w:r w:rsidRPr="002A263A">
        <w:rPr>
          <w:rFonts w:ascii="Arial" w:eastAsia="Calibri" w:hAnsi="Arial" w:cs="Arial"/>
          <w:color w:val="000000"/>
          <w:sz w:val="22"/>
          <w:lang w:val="es-ES" w:eastAsia="en-US"/>
        </w:rPr>
        <w:t xml:space="preserve">La dificultad práctica </w:t>
      </w:r>
      <w:r w:rsidR="00305D3C" w:rsidRPr="002A263A">
        <w:rPr>
          <w:rFonts w:ascii="Arial" w:eastAsia="Calibri" w:hAnsi="Arial" w:cs="Arial"/>
          <w:color w:val="000000"/>
          <w:sz w:val="22"/>
          <w:lang w:val="es-ES" w:eastAsia="en-US"/>
        </w:rPr>
        <w:t xml:space="preserve">que se presentó y que analizó esta Agencia </w:t>
      </w:r>
      <w:r w:rsidR="00401203" w:rsidRPr="002A263A">
        <w:rPr>
          <w:rFonts w:ascii="Arial" w:eastAsia="Calibri" w:hAnsi="Arial" w:cs="Arial"/>
          <w:color w:val="000000"/>
          <w:sz w:val="22"/>
          <w:lang w:val="es-ES" w:eastAsia="en-US"/>
        </w:rPr>
        <w:t>en varios</w:t>
      </w:r>
      <w:r w:rsidR="00305D3C" w:rsidRPr="002A263A">
        <w:rPr>
          <w:rFonts w:ascii="Arial" w:eastAsia="Calibri" w:hAnsi="Arial" w:cs="Arial"/>
          <w:color w:val="000000"/>
          <w:sz w:val="22"/>
          <w:lang w:val="es-ES" w:eastAsia="en-US"/>
        </w:rPr>
        <w:t xml:space="preserve"> conceptos anteriores, consistía en que</w:t>
      </w:r>
      <w:r w:rsidR="007C5676" w:rsidRPr="002A263A">
        <w:rPr>
          <w:rFonts w:ascii="Arial" w:eastAsia="Calibri" w:hAnsi="Arial" w:cs="Arial"/>
          <w:color w:val="000000"/>
          <w:sz w:val="22"/>
          <w:lang w:val="es-ES" w:eastAsia="en-US"/>
        </w:rPr>
        <w:t xml:space="preserve"> frente a</w:t>
      </w:r>
      <w:r w:rsidR="00305D3C" w:rsidRPr="002A263A">
        <w:rPr>
          <w:rFonts w:ascii="Arial" w:eastAsia="Calibri" w:hAnsi="Arial" w:cs="Arial"/>
          <w:color w:val="000000"/>
          <w:sz w:val="22"/>
          <w:lang w:val="es-ES" w:eastAsia="en-US"/>
        </w:rPr>
        <w:t>l criterio de desempate establecido en el artículo 3 de la Ley 2040</w:t>
      </w:r>
      <w:r w:rsidRPr="002A263A">
        <w:rPr>
          <w:rFonts w:ascii="Arial" w:eastAsia="Calibri" w:hAnsi="Arial" w:cs="Arial"/>
          <w:color w:val="000000"/>
          <w:sz w:val="22"/>
          <w:lang w:val="es-ES" w:eastAsia="en-US"/>
        </w:rPr>
        <w:t>,</w:t>
      </w:r>
      <w:r w:rsidR="00305D3C" w:rsidRPr="002A263A">
        <w:rPr>
          <w:rFonts w:ascii="Arial" w:eastAsia="Calibri" w:hAnsi="Arial" w:cs="Arial"/>
          <w:color w:val="000000"/>
          <w:sz w:val="22"/>
          <w:lang w:val="es-ES" w:eastAsia="en-US"/>
        </w:rPr>
        <w:t xml:space="preserve"> que adicionó un parágrafo cuarto al artículo de la Ley 1150 de 2007,</w:t>
      </w:r>
      <w:r w:rsidRPr="002A263A">
        <w:rPr>
          <w:rFonts w:ascii="Arial" w:eastAsia="Calibri" w:hAnsi="Arial" w:cs="Arial"/>
          <w:color w:val="000000"/>
          <w:sz w:val="22"/>
          <w:lang w:val="es-ES" w:eastAsia="en-US"/>
        </w:rPr>
        <w:t xml:space="preserve"> </w:t>
      </w:r>
      <w:r w:rsidR="00153832" w:rsidRPr="002A263A">
        <w:rPr>
          <w:rFonts w:ascii="Arial" w:eastAsia="Calibri" w:hAnsi="Arial" w:cs="Arial"/>
          <w:color w:val="000000"/>
          <w:sz w:val="22"/>
          <w:lang w:val="es-ES" w:eastAsia="en-US"/>
        </w:rPr>
        <w:t>con base en</w:t>
      </w:r>
      <w:r w:rsidRPr="002A263A">
        <w:rPr>
          <w:rFonts w:ascii="Arial" w:eastAsia="Calibri" w:hAnsi="Arial" w:cs="Arial"/>
          <w:color w:val="000000"/>
          <w:sz w:val="22"/>
          <w:lang w:val="es-ES" w:eastAsia="en-US"/>
        </w:rPr>
        <w:t xml:space="preserve"> el ordenamiento </w:t>
      </w:r>
      <w:r w:rsidR="00153832" w:rsidRPr="002A263A">
        <w:rPr>
          <w:rFonts w:ascii="Arial" w:eastAsia="Calibri" w:hAnsi="Arial" w:cs="Arial"/>
          <w:color w:val="000000"/>
          <w:sz w:val="22"/>
          <w:lang w:val="es-ES" w:eastAsia="en-US"/>
        </w:rPr>
        <w:t xml:space="preserve">jurídico </w:t>
      </w:r>
      <w:r w:rsidRPr="002A263A">
        <w:rPr>
          <w:rFonts w:ascii="Arial" w:eastAsia="Calibri" w:hAnsi="Arial" w:cs="Arial"/>
          <w:color w:val="000000"/>
          <w:sz w:val="22"/>
          <w:lang w:val="es-ES" w:eastAsia="en-US"/>
        </w:rPr>
        <w:t>vigente</w:t>
      </w:r>
      <w:r w:rsidR="00305D3C" w:rsidRPr="002A263A">
        <w:rPr>
          <w:rFonts w:ascii="Arial" w:eastAsia="Calibri" w:hAnsi="Arial" w:cs="Arial"/>
          <w:color w:val="000000"/>
          <w:sz w:val="22"/>
          <w:lang w:val="es-ES" w:eastAsia="en-US"/>
        </w:rPr>
        <w:t xml:space="preserve"> para el momento de la expedición de </w:t>
      </w:r>
      <w:r w:rsidR="00153832" w:rsidRPr="002A263A">
        <w:rPr>
          <w:rFonts w:ascii="Arial" w:eastAsia="Calibri" w:hAnsi="Arial" w:cs="Arial"/>
          <w:color w:val="000000"/>
          <w:sz w:val="22"/>
          <w:lang w:val="es-ES" w:eastAsia="en-US"/>
        </w:rPr>
        <w:t>dicha ley</w:t>
      </w:r>
      <w:r w:rsidRPr="002A263A">
        <w:rPr>
          <w:rFonts w:ascii="Arial" w:eastAsia="Calibri" w:hAnsi="Arial" w:cs="Arial"/>
          <w:color w:val="000000"/>
          <w:sz w:val="22"/>
          <w:lang w:val="es-ES" w:eastAsia="en-US"/>
        </w:rPr>
        <w:t xml:space="preserve"> no </w:t>
      </w:r>
      <w:r w:rsidR="00305D3C" w:rsidRPr="002A263A">
        <w:rPr>
          <w:rFonts w:ascii="Arial" w:eastAsia="Calibri" w:hAnsi="Arial" w:cs="Arial"/>
          <w:color w:val="000000"/>
          <w:sz w:val="22"/>
          <w:lang w:val="es-ES" w:eastAsia="en-US"/>
        </w:rPr>
        <w:t>era</w:t>
      </w:r>
      <w:r w:rsidRPr="002A263A">
        <w:rPr>
          <w:rFonts w:ascii="Arial" w:eastAsia="Calibri" w:hAnsi="Arial" w:cs="Arial"/>
          <w:color w:val="000000"/>
          <w:sz w:val="22"/>
          <w:lang w:val="es-ES" w:eastAsia="en-US"/>
        </w:rPr>
        <w:t xml:space="preserve"> posible determinar con certeza cómo deb</w:t>
      </w:r>
      <w:r w:rsidR="00305D3C" w:rsidRPr="002A263A">
        <w:rPr>
          <w:rFonts w:ascii="Arial" w:eastAsia="Calibri" w:hAnsi="Arial" w:cs="Arial"/>
          <w:color w:val="000000"/>
          <w:sz w:val="22"/>
          <w:lang w:val="es-ES" w:eastAsia="en-US"/>
        </w:rPr>
        <w:t>ía</w:t>
      </w:r>
      <w:r w:rsidRPr="002A263A">
        <w:rPr>
          <w:rFonts w:ascii="Arial" w:eastAsia="Calibri" w:hAnsi="Arial" w:cs="Arial"/>
          <w:color w:val="000000"/>
          <w:sz w:val="22"/>
          <w:lang w:val="es-ES" w:eastAsia="en-US"/>
        </w:rPr>
        <w:t xml:space="preserve"> articularse </w:t>
      </w:r>
      <w:r w:rsidR="00153832" w:rsidRPr="002A263A">
        <w:rPr>
          <w:rFonts w:ascii="Arial" w:eastAsia="Calibri" w:hAnsi="Arial" w:cs="Arial"/>
          <w:color w:val="000000"/>
          <w:sz w:val="22"/>
          <w:lang w:val="es-ES" w:eastAsia="en-US"/>
        </w:rPr>
        <w:t>dicho criterio de desempate</w:t>
      </w:r>
      <w:r w:rsidRPr="002A263A">
        <w:rPr>
          <w:rFonts w:ascii="Arial" w:eastAsia="Calibri" w:hAnsi="Arial" w:cs="Arial"/>
          <w:color w:val="000000"/>
          <w:sz w:val="22"/>
          <w:lang w:val="es-ES" w:eastAsia="en-US"/>
        </w:rPr>
        <w:t xml:space="preserve"> con los </w:t>
      </w:r>
      <w:r w:rsidR="00847BEF" w:rsidRPr="002A263A">
        <w:rPr>
          <w:rFonts w:ascii="Arial" w:eastAsia="Calibri" w:hAnsi="Arial" w:cs="Arial"/>
          <w:color w:val="000000"/>
          <w:sz w:val="22"/>
          <w:lang w:val="es-ES" w:eastAsia="en-US"/>
        </w:rPr>
        <w:t>ya</w:t>
      </w:r>
      <w:r w:rsidRPr="002A263A">
        <w:rPr>
          <w:rFonts w:ascii="Arial" w:eastAsia="Calibri" w:hAnsi="Arial" w:cs="Arial"/>
          <w:color w:val="000000"/>
          <w:sz w:val="22"/>
          <w:lang w:val="es-ES" w:eastAsia="en-US"/>
        </w:rPr>
        <w:t xml:space="preserve"> exist</w:t>
      </w:r>
      <w:r w:rsidR="00847BEF" w:rsidRPr="002A263A">
        <w:rPr>
          <w:rFonts w:ascii="Arial" w:eastAsia="Calibri" w:hAnsi="Arial" w:cs="Arial"/>
          <w:color w:val="000000"/>
          <w:sz w:val="22"/>
          <w:lang w:val="es-ES" w:eastAsia="en-US"/>
        </w:rPr>
        <w:t>entes</w:t>
      </w:r>
      <w:r w:rsidRPr="002A263A">
        <w:rPr>
          <w:rFonts w:ascii="Arial" w:eastAsia="Calibri" w:hAnsi="Arial" w:cs="Arial"/>
          <w:color w:val="000000"/>
          <w:sz w:val="22"/>
          <w:lang w:val="es-ES" w:eastAsia="en-US"/>
        </w:rPr>
        <w:t xml:space="preserve"> en el ordenamiento. </w:t>
      </w:r>
    </w:p>
    <w:p w14:paraId="3E68AD9C" w14:textId="45483C06" w:rsidR="00C0632B" w:rsidRPr="002A263A" w:rsidRDefault="00C0632B" w:rsidP="00C0632B">
      <w:pPr>
        <w:spacing w:after="120" w:line="276" w:lineRule="auto"/>
        <w:ind w:firstLine="709"/>
        <w:jc w:val="both"/>
        <w:rPr>
          <w:rFonts w:ascii="Arial" w:eastAsia="Calibri" w:hAnsi="Arial" w:cs="Arial"/>
          <w:color w:val="000000"/>
          <w:sz w:val="22"/>
          <w:lang w:val="es-ES" w:eastAsia="en-US"/>
        </w:rPr>
      </w:pPr>
      <w:r w:rsidRPr="002A263A">
        <w:rPr>
          <w:rFonts w:ascii="Arial" w:eastAsia="Calibri" w:hAnsi="Arial" w:cs="Arial"/>
          <w:color w:val="000000"/>
          <w:sz w:val="22"/>
          <w:lang w:val="es-ES" w:eastAsia="en-US"/>
        </w:rPr>
        <w:t>En relación con este aspecto, el parágrafo 4 del artículo 12 de la Ley 1150 de 2007 simplemente orden</w:t>
      </w:r>
      <w:r w:rsidR="00305D3C" w:rsidRPr="002A263A">
        <w:rPr>
          <w:rFonts w:ascii="Arial" w:eastAsia="Calibri" w:hAnsi="Arial" w:cs="Arial"/>
          <w:color w:val="000000"/>
          <w:sz w:val="22"/>
          <w:lang w:val="es-ES" w:eastAsia="en-US"/>
        </w:rPr>
        <w:t>aba</w:t>
      </w:r>
      <w:r w:rsidRPr="002A263A">
        <w:rPr>
          <w:rFonts w:ascii="Arial" w:eastAsia="Calibri" w:hAnsi="Arial" w:cs="Arial"/>
          <w:color w:val="000000"/>
          <w:sz w:val="22"/>
          <w:lang w:val="es-ES" w:eastAsia="en-US"/>
        </w:rPr>
        <w:t xml:space="preserve"> que «se preferirá», lo cual, bajo una interpretación literal y aislada del parágrafo podía llevar a pensar que se ubica</w:t>
      </w:r>
      <w:r w:rsidR="00305D3C" w:rsidRPr="002A263A">
        <w:rPr>
          <w:rFonts w:ascii="Arial" w:eastAsia="Calibri" w:hAnsi="Arial" w:cs="Arial"/>
          <w:color w:val="000000"/>
          <w:sz w:val="22"/>
          <w:lang w:val="es-ES" w:eastAsia="en-US"/>
        </w:rPr>
        <w:t>ba</w:t>
      </w:r>
      <w:r w:rsidRPr="002A263A">
        <w:rPr>
          <w:rFonts w:ascii="Arial" w:eastAsia="Calibri" w:hAnsi="Arial" w:cs="Arial"/>
          <w:color w:val="000000"/>
          <w:sz w:val="22"/>
          <w:lang w:val="es-ES" w:eastAsia="en-US"/>
        </w:rPr>
        <w:t xml:space="preserve"> en el primer lugar, por tratarse de una ley posterior. Pero otra interpretación podría ser, </w:t>
      </w:r>
      <w:r w:rsidR="00305D3C" w:rsidRPr="002A263A">
        <w:rPr>
          <w:rFonts w:ascii="Arial" w:eastAsia="Calibri" w:hAnsi="Arial" w:cs="Arial"/>
          <w:color w:val="000000"/>
          <w:sz w:val="22"/>
          <w:lang w:val="es-ES" w:eastAsia="en-US"/>
        </w:rPr>
        <w:t>por ejemplo</w:t>
      </w:r>
      <w:r w:rsidRPr="002A263A">
        <w:rPr>
          <w:rFonts w:ascii="Arial" w:eastAsia="Calibri" w:hAnsi="Arial" w:cs="Arial"/>
          <w:color w:val="000000"/>
          <w:sz w:val="22"/>
          <w:lang w:val="es-ES" w:eastAsia="en-US"/>
        </w:rPr>
        <w:t>, que el criterio deb</w:t>
      </w:r>
      <w:r w:rsidR="00305D3C" w:rsidRPr="002A263A">
        <w:rPr>
          <w:rFonts w:ascii="Arial" w:eastAsia="Calibri" w:hAnsi="Arial" w:cs="Arial"/>
          <w:color w:val="000000"/>
          <w:sz w:val="22"/>
          <w:lang w:val="es-ES" w:eastAsia="en-US"/>
        </w:rPr>
        <w:t>ía</w:t>
      </w:r>
      <w:r w:rsidRPr="002A263A">
        <w:rPr>
          <w:rFonts w:ascii="Arial" w:eastAsia="Calibri" w:hAnsi="Arial" w:cs="Arial"/>
          <w:color w:val="000000"/>
          <w:sz w:val="22"/>
          <w:lang w:val="es-ES" w:eastAsia="en-US"/>
        </w:rPr>
        <w:t xml:space="preserve"> ubicarse en el cuarto lugar de preferencia en el orden que indica</w:t>
      </w:r>
      <w:r w:rsidR="00305D3C" w:rsidRPr="002A263A">
        <w:rPr>
          <w:rFonts w:ascii="Arial" w:eastAsia="Calibri" w:hAnsi="Arial" w:cs="Arial"/>
          <w:color w:val="000000"/>
          <w:sz w:val="22"/>
          <w:lang w:val="es-ES" w:eastAsia="en-US"/>
        </w:rPr>
        <w:t>ba en su momento</w:t>
      </w:r>
      <w:r w:rsidRPr="002A263A">
        <w:rPr>
          <w:rFonts w:ascii="Arial" w:eastAsia="Calibri" w:hAnsi="Arial" w:cs="Arial"/>
          <w:color w:val="000000"/>
          <w:sz w:val="22"/>
          <w:lang w:val="es-ES" w:eastAsia="en-US"/>
        </w:rPr>
        <w:t xml:space="preserve"> el artículo 2.2.1.1.2.2.9. del Decreto 1082 de 2015, quizás bajo la idea de que se trata</w:t>
      </w:r>
      <w:r w:rsidR="00305D3C" w:rsidRPr="002A263A">
        <w:rPr>
          <w:rFonts w:ascii="Arial" w:eastAsia="Calibri" w:hAnsi="Arial" w:cs="Arial"/>
          <w:color w:val="000000"/>
          <w:sz w:val="22"/>
          <w:lang w:val="es-ES" w:eastAsia="en-US"/>
        </w:rPr>
        <w:t>ba</w:t>
      </w:r>
      <w:r w:rsidRPr="002A263A">
        <w:rPr>
          <w:rFonts w:ascii="Arial" w:eastAsia="Calibri" w:hAnsi="Arial" w:cs="Arial"/>
          <w:color w:val="000000"/>
          <w:sz w:val="22"/>
          <w:lang w:val="es-ES" w:eastAsia="en-US"/>
        </w:rPr>
        <w:t xml:space="preserve"> del «nuevo criterio». </w:t>
      </w:r>
    </w:p>
    <w:p w14:paraId="50AAA698" w14:textId="5CE1E3C6" w:rsidR="00C41FDE" w:rsidRPr="002A263A" w:rsidRDefault="008B0C98" w:rsidP="00C0632B">
      <w:pPr>
        <w:spacing w:line="276" w:lineRule="auto"/>
        <w:ind w:firstLine="709"/>
        <w:jc w:val="both"/>
        <w:rPr>
          <w:rFonts w:ascii="Arial" w:eastAsia="Arial" w:hAnsi="Arial" w:cs="Arial"/>
          <w:sz w:val="22"/>
          <w:szCs w:val="22"/>
          <w:lang w:val="es-MX" w:eastAsia="en-US"/>
        </w:rPr>
      </w:pPr>
      <w:r w:rsidRPr="002A263A">
        <w:rPr>
          <w:rFonts w:ascii="Arial" w:eastAsia="Calibri" w:hAnsi="Arial" w:cs="Arial"/>
          <w:color w:val="000000"/>
          <w:sz w:val="22"/>
          <w:lang w:val="es-ES" w:eastAsia="en-US"/>
        </w:rPr>
        <w:t xml:space="preserve">Teniendo en cuenta i) las dificultades prácticas asociadas a la armonización de dicho criterio de desempate con los demás que estaban vigentes para el momento de expedición de </w:t>
      </w:r>
      <w:r w:rsidR="00153832" w:rsidRPr="002A263A">
        <w:rPr>
          <w:rFonts w:ascii="Arial" w:eastAsia="Calibri" w:hAnsi="Arial" w:cs="Arial"/>
          <w:color w:val="000000"/>
          <w:sz w:val="22"/>
          <w:lang w:val="es-ES" w:eastAsia="en-US"/>
        </w:rPr>
        <w:t>la Ley 2040</w:t>
      </w:r>
      <w:r w:rsidRPr="002A263A">
        <w:rPr>
          <w:rFonts w:ascii="Arial" w:eastAsia="Calibri" w:hAnsi="Arial" w:cs="Arial"/>
          <w:color w:val="000000"/>
          <w:sz w:val="22"/>
          <w:lang w:val="es-ES" w:eastAsia="en-US"/>
        </w:rPr>
        <w:t xml:space="preserve"> y</w:t>
      </w:r>
      <w:r w:rsidR="00153832" w:rsidRPr="002A263A">
        <w:rPr>
          <w:rFonts w:ascii="Arial" w:eastAsia="Calibri" w:hAnsi="Arial" w:cs="Arial"/>
          <w:color w:val="000000"/>
          <w:sz w:val="22"/>
          <w:lang w:val="es-ES" w:eastAsia="en-US"/>
        </w:rPr>
        <w:t>, especialmente,</w:t>
      </w:r>
      <w:r w:rsidRPr="002A263A">
        <w:rPr>
          <w:rFonts w:ascii="Arial" w:eastAsia="Calibri" w:hAnsi="Arial" w:cs="Arial"/>
          <w:color w:val="000000"/>
          <w:sz w:val="22"/>
          <w:lang w:val="es-ES" w:eastAsia="en-US"/>
        </w:rPr>
        <w:t xml:space="preserve"> ii) que de </w:t>
      </w:r>
      <w:r w:rsidR="00153832" w:rsidRPr="002A263A">
        <w:rPr>
          <w:rFonts w:ascii="Arial" w:eastAsia="Calibri" w:hAnsi="Arial" w:cs="Arial"/>
          <w:color w:val="000000"/>
          <w:sz w:val="22"/>
          <w:lang w:val="es-ES" w:eastAsia="en-US"/>
        </w:rPr>
        <w:t>diferente</w:t>
      </w:r>
      <w:r w:rsidR="00C41FDE" w:rsidRPr="002A263A">
        <w:rPr>
          <w:rFonts w:ascii="Arial" w:eastAsia="Calibri" w:hAnsi="Arial" w:cs="Arial"/>
          <w:color w:val="000000"/>
          <w:sz w:val="22"/>
          <w:lang w:val="es-ES" w:eastAsia="en-US"/>
        </w:rPr>
        <w:t>s apartes</w:t>
      </w:r>
      <w:r w:rsidRPr="002A263A">
        <w:rPr>
          <w:rFonts w:ascii="Arial" w:eastAsia="Calibri" w:hAnsi="Arial" w:cs="Arial"/>
          <w:color w:val="000000"/>
          <w:sz w:val="22"/>
          <w:lang w:val="es-ES" w:eastAsia="en-US"/>
        </w:rPr>
        <w:t xml:space="preserve"> de </w:t>
      </w:r>
      <w:r w:rsidR="00153832" w:rsidRPr="002A263A">
        <w:rPr>
          <w:rFonts w:ascii="Arial" w:eastAsia="Calibri" w:hAnsi="Arial" w:cs="Arial"/>
          <w:color w:val="000000"/>
          <w:sz w:val="22"/>
          <w:lang w:val="es-ES" w:eastAsia="en-US"/>
        </w:rPr>
        <w:t xml:space="preserve">dicha ley </w:t>
      </w:r>
      <w:r w:rsidRPr="002A263A">
        <w:rPr>
          <w:rFonts w:ascii="Arial" w:eastAsia="Calibri" w:hAnsi="Arial" w:cs="Arial"/>
          <w:color w:val="000000"/>
          <w:sz w:val="22"/>
          <w:lang w:val="es-ES" w:eastAsia="en-US"/>
        </w:rPr>
        <w:t xml:space="preserve">se advertía la necesidad de que el reglamento desarrollara diversos aspectos de </w:t>
      </w:r>
      <w:r w:rsidR="00153832" w:rsidRPr="002A263A">
        <w:rPr>
          <w:rFonts w:ascii="Arial" w:eastAsia="Calibri" w:hAnsi="Arial" w:cs="Arial"/>
          <w:color w:val="000000"/>
          <w:sz w:val="22"/>
          <w:lang w:val="es-ES" w:eastAsia="en-US"/>
        </w:rPr>
        <w:t>la Ley 2040</w:t>
      </w:r>
      <w:r w:rsidRPr="002A263A">
        <w:rPr>
          <w:rFonts w:ascii="Arial" w:eastAsia="Calibri" w:hAnsi="Arial" w:cs="Arial"/>
          <w:color w:val="000000"/>
          <w:sz w:val="22"/>
          <w:lang w:val="es-ES" w:eastAsia="en-US"/>
        </w:rPr>
        <w:t>, incluyendo lo relacionado con la aplicación de dicho criterio de desempate</w:t>
      </w:r>
      <w:r w:rsidR="00153832" w:rsidRPr="002A263A">
        <w:rPr>
          <w:rFonts w:ascii="Arial" w:eastAsia="Calibri" w:hAnsi="Arial" w:cs="Arial"/>
          <w:color w:val="000000"/>
          <w:sz w:val="22"/>
          <w:lang w:val="es-ES" w:eastAsia="en-US"/>
        </w:rPr>
        <w:t>,</w:t>
      </w:r>
      <w:r w:rsidRPr="002A263A">
        <w:rPr>
          <w:rFonts w:ascii="Arial" w:eastAsia="Calibri" w:hAnsi="Arial" w:cs="Arial"/>
          <w:color w:val="000000"/>
          <w:sz w:val="22"/>
          <w:lang w:val="es-ES" w:eastAsia="en-US"/>
        </w:rPr>
        <w:t xml:space="preserve"> esta </w:t>
      </w:r>
      <w:r w:rsidR="0059135A" w:rsidRPr="002A263A">
        <w:rPr>
          <w:rFonts w:ascii="Arial" w:eastAsia="Calibri" w:hAnsi="Arial" w:cs="Arial"/>
          <w:color w:val="000000"/>
          <w:sz w:val="22"/>
          <w:lang w:val="es-ES" w:eastAsia="en-US"/>
        </w:rPr>
        <w:t>S</w:t>
      </w:r>
      <w:r w:rsidRPr="002A263A">
        <w:rPr>
          <w:rFonts w:ascii="Arial" w:eastAsia="Calibri" w:hAnsi="Arial" w:cs="Arial"/>
          <w:color w:val="000000"/>
          <w:sz w:val="22"/>
          <w:lang w:val="es-ES" w:eastAsia="en-US"/>
        </w:rPr>
        <w:t>ubdirección en diversos conceptos, como los citados al inicio de estas consideraciones</w:t>
      </w:r>
      <w:r w:rsidR="0059135A" w:rsidRPr="002A263A">
        <w:rPr>
          <w:rFonts w:ascii="Arial" w:eastAsia="Calibri" w:hAnsi="Arial" w:cs="Arial"/>
          <w:color w:val="000000"/>
          <w:sz w:val="22"/>
          <w:lang w:val="es-ES" w:eastAsia="en-US"/>
        </w:rPr>
        <w:t>,</w:t>
      </w:r>
      <w:r w:rsidRPr="002A263A">
        <w:rPr>
          <w:rFonts w:ascii="Arial" w:eastAsia="Calibri" w:hAnsi="Arial" w:cs="Arial"/>
          <w:color w:val="000000"/>
          <w:sz w:val="22"/>
          <w:lang w:val="es-ES" w:eastAsia="en-US"/>
        </w:rPr>
        <w:t xml:space="preserve"> expresó su postura en el sentido de que dicho criterio de desempate requería del reglamento para su efectiva aplicación</w:t>
      </w:r>
      <w:r w:rsidR="0059135A" w:rsidRPr="002A263A">
        <w:rPr>
          <w:rFonts w:ascii="Arial" w:eastAsia="Calibri" w:hAnsi="Arial" w:cs="Arial"/>
          <w:color w:val="000000"/>
          <w:sz w:val="22"/>
          <w:lang w:val="es-ES" w:eastAsia="en-US"/>
        </w:rPr>
        <w:t>.</w:t>
      </w:r>
      <w:r w:rsidRPr="002A263A">
        <w:rPr>
          <w:rFonts w:ascii="Arial" w:eastAsia="Calibri" w:hAnsi="Arial" w:cs="Arial"/>
          <w:color w:val="000000"/>
          <w:sz w:val="22"/>
          <w:lang w:val="es-ES" w:eastAsia="en-US"/>
        </w:rPr>
        <w:t xml:space="preserve"> </w:t>
      </w:r>
      <w:r w:rsidR="0059135A" w:rsidRPr="002A263A">
        <w:rPr>
          <w:rFonts w:ascii="Arial" w:eastAsia="Calibri" w:hAnsi="Arial" w:cs="Arial"/>
          <w:color w:val="000000"/>
          <w:sz w:val="22"/>
          <w:lang w:val="es-ES" w:eastAsia="en-US"/>
        </w:rPr>
        <w:t xml:space="preserve">En relación con este </w:t>
      </w:r>
      <w:r w:rsidRPr="002A263A">
        <w:rPr>
          <w:rFonts w:ascii="Arial" w:eastAsia="Calibri" w:hAnsi="Arial" w:cs="Arial"/>
          <w:color w:val="000000"/>
          <w:sz w:val="22"/>
          <w:lang w:val="es-ES" w:eastAsia="en-US"/>
        </w:rPr>
        <w:t>aspecto</w:t>
      </w:r>
      <w:r w:rsidR="0059135A" w:rsidRPr="002A263A">
        <w:rPr>
          <w:rFonts w:ascii="Arial" w:eastAsia="Calibri" w:hAnsi="Arial" w:cs="Arial"/>
          <w:color w:val="000000"/>
          <w:sz w:val="22"/>
          <w:lang w:val="es-ES" w:eastAsia="en-US"/>
        </w:rPr>
        <w:t>,</w:t>
      </w:r>
      <w:r w:rsidRPr="002A263A">
        <w:rPr>
          <w:rFonts w:ascii="Arial" w:eastAsia="Calibri" w:hAnsi="Arial" w:cs="Arial"/>
          <w:color w:val="000000"/>
          <w:sz w:val="22"/>
          <w:lang w:val="es-ES" w:eastAsia="en-US"/>
        </w:rPr>
        <w:t xml:space="preserve"> se remite al peticionario, por ejemplo, al concepto </w:t>
      </w:r>
      <w:r w:rsidRPr="002A263A">
        <w:rPr>
          <w:rFonts w:ascii="Arial" w:eastAsia="Arial" w:hAnsi="Arial" w:cs="Arial"/>
          <w:sz w:val="22"/>
          <w:szCs w:val="22"/>
          <w:lang w:val="es-MX" w:eastAsia="en-US"/>
        </w:rPr>
        <w:t>C-690 de 20 de noviembre de 2020</w:t>
      </w:r>
      <w:r w:rsidRPr="002A263A">
        <w:rPr>
          <w:rStyle w:val="Refdenotaalpie"/>
          <w:rFonts w:ascii="Arial" w:eastAsia="Arial" w:hAnsi="Arial" w:cs="Arial"/>
          <w:sz w:val="22"/>
          <w:szCs w:val="22"/>
          <w:lang w:val="es-MX" w:eastAsia="en-US"/>
        </w:rPr>
        <w:footnoteReference w:id="5"/>
      </w:r>
      <w:r w:rsidR="00410956" w:rsidRPr="002A263A">
        <w:rPr>
          <w:rFonts w:ascii="Arial" w:eastAsia="Arial" w:hAnsi="Arial" w:cs="Arial"/>
          <w:sz w:val="22"/>
          <w:szCs w:val="22"/>
          <w:lang w:val="es-MX" w:eastAsia="en-US"/>
        </w:rPr>
        <w:t>.</w:t>
      </w:r>
      <w:r w:rsidR="00153832" w:rsidRPr="002A263A">
        <w:rPr>
          <w:rFonts w:ascii="Arial" w:eastAsia="Arial" w:hAnsi="Arial" w:cs="Arial"/>
          <w:sz w:val="22"/>
          <w:szCs w:val="22"/>
          <w:lang w:val="es-MX" w:eastAsia="en-US"/>
        </w:rPr>
        <w:t xml:space="preserve"> </w:t>
      </w:r>
    </w:p>
    <w:p w14:paraId="6BD2F6BE" w14:textId="77777777" w:rsidR="00C41FDE" w:rsidRPr="002A263A" w:rsidRDefault="00C41FDE" w:rsidP="00C0632B">
      <w:pPr>
        <w:spacing w:line="276" w:lineRule="auto"/>
        <w:ind w:firstLine="709"/>
        <w:jc w:val="both"/>
        <w:rPr>
          <w:rFonts w:ascii="Arial" w:eastAsia="Arial" w:hAnsi="Arial" w:cs="Arial"/>
          <w:sz w:val="22"/>
          <w:szCs w:val="22"/>
          <w:lang w:val="es-MX" w:eastAsia="en-US"/>
        </w:rPr>
      </w:pPr>
    </w:p>
    <w:p w14:paraId="55385EA2" w14:textId="3DC5E445" w:rsidR="00C0632B" w:rsidRPr="002A263A" w:rsidRDefault="00153832" w:rsidP="00C0632B">
      <w:pPr>
        <w:spacing w:line="276" w:lineRule="auto"/>
        <w:ind w:firstLine="709"/>
        <w:jc w:val="both"/>
        <w:rPr>
          <w:rFonts w:ascii="Arial" w:eastAsia="Calibri" w:hAnsi="Arial" w:cs="Arial"/>
          <w:color w:val="000000"/>
          <w:sz w:val="22"/>
          <w:lang w:val="es-ES" w:eastAsia="en-US"/>
        </w:rPr>
      </w:pPr>
      <w:r w:rsidRPr="002A263A">
        <w:rPr>
          <w:rFonts w:ascii="Arial" w:eastAsia="Arial" w:hAnsi="Arial" w:cs="Arial"/>
          <w:sz w:val="22"/>
          <w:szCs w:val="22"/>
          <w:lang w:val="es-MX" w:eastAsia="en-US"/>
        </w:rPr>
        <w:t>En conclusión, como se advertirá, dicho criterio de desempate no logró tener aplicación, pues la reglamentación a que se hizo referencia no se expidió</w:t>
      </w:r>
      <w:r w:rsidR="00F32263" w:rsidRPr="002A263A">
        <w:rPr>
          <w:rFonts w:ascii="Arial" w:eastAsia="Arial" w:hAnsi="Arial" w:cs="Arial"/>
          <w:sz w:val="22"/>
          <w:szCs w:val="22"/>
          <w:lang w:val="es-MX" w:eastAsia="en-US"/>
        </w:rPr>
        <w:t>.</w:t>
      </w:r>
      <w:r w:rsidRPr="002A263A">
        <w:rPr>
          <w:rFonts w:ascii="Arial" w:eastAsia="Arial" w:hAnsi="Arial" w:cs="Arial"/>
          <w:sz w:val="22"/>
          <w:szCs w:val="22"/>
          <w:lang w:val="es-MX" w:eastAsia="en-US"/>
        </w:rPr>
        <w:t xml:space="preserve"> </w:t>
      </w:r>
      <w:r w:rsidR="00F32263" w:rsidRPr="002A263A">
        <w:rPr>
          <w:rFonts w:ascii="Arial" w:eastAsia="Arial" w:hAnsi="Arial" w:cs="Arial"/>
          <w:sz w:val="22"/>
          <w:szCs w:val="22"/>
          <w:lang w:val="es-MX" w:eastAsia="en-US"/>
        </w:rPr>
        <w:t>Además, porque</w:t>
      </w:r>
      <w:r w:rsidRPr="002A263A">
        <w:rPr>
          <w:rFonts w:ascii="Arial" w:eastAsia="Arial" w:hAnsi="Arial" w:cs="Arial"/>
          <w:sz w:val="22"/>
          <w:szCs w:val="22"/>
          <w:lang w:val="es-MX" w:eastAsia="en-US"/>
        </w:rPr>
        <w:t xml:space="preserve"> posteriormente se sancionó la Ley 2069 de 2020 que, como se advertirá, </w:t>
      </w:r>
      <w:r w:rsidR="00162065" w:rsidRPr="002A263A">
        <w:rPr>
          <w:rFonts w:ascii="Arial" w:eastAsia="Arial" w:hAnsi="Arial" w:cs="Arial"/>
          <w:sz w:val="22"/>
          <w:szCs w:val="22"/>
          <w:lang w:val="es-MX" w:eastAsia="en-US"/>
        </w:rPr>
        <w:t xml:space="preserve">en su artículo 35 </w:t>
      </w:r>
      <w:r w:rsidRPr="002A263A">
        <w:rPr>
          <w:rFonts w:ascii="Arial" w:eastAsia="Arial" w:hAnsi="Arial" w:cs="Arial"/>
          <w:sz w:val="22"/>
          <w:szCs w:val="22"/>
          <w:lang w:val="es-MX" w:eastAsia="en-US"/>
        </w:rPr>
        <w:t>regula los factores de desempate que actualmente aplican en los procedimientos de selección y</w:t>
      </w:r>
      <w:r w:rsidR="00162065" w:rsidRPr="002A263A">
        <w:rPr>
          <w:rFonts w:ascii="Arial" w:eastAsia="Arial" w:hAnsi="Arial" w:cs="Arial"/>
          <w:sz w:val="22"/>
          <w:szCs w:val="22"/>
          <w:lang w:val="es-MX" w:eastAsia="en-US"/>
        </w:rPr>
        <w:t>,</w:t>
      </w:r>
      <w:r w:rsidRPr="002A263A">
        <w:rPr>
          <w:rFonts w:ascii="Arial" w:eastAsia="Arial" w:hAnsi="Arial" w:cs="Arial"/>
          <w:sz w:val="22"/>
          <w:szCs w:val="22"/>
          <w:lang w:val="es-MX" w:eastAsia="en-US"/>
        </w:rPr>
        <w:t xml:space="preserve"> además</w:t>
      </w:r>
      <w:r w:rsidR="00162065" w:rsidRPr="002A263A">
        <w:rPr>
          <w:rFonts w:ascii="Arial" w:eastAsia="Arial" w:hAnsi="Arial" w:cs="Arial"/>
          <w:sz w:val="22"/>
          <w:szCs w:val="22"/>
          <w:lang w:val="es-MX" w:eastAsia="en-US"/>
        </w:rPr>
        <w:t>, su artículo 34</w:t>
      </w:r>
      <w:r w:rsidRPr="002A263A">
        <w:rPr>
          <w:rFonts w:ascii="Arial" w:eastAsia="Arial" w:hAnsi="Arial" w:cs="Arial"/>
          <w:sz w:val="22"/>
          <w:szCs w:val="22"/>
          <w:lang w:val="es-MX" w:eastAsia="en-US"/>
        </w:rPr>
        <w:t xml:space="preserve"> modificó el artículo 12 de la Ley 1150 de 2007, de manera que el contenido normativo del parágrafo 4 de dicho artículo, que en su momento lo adicionó el artículo 3 de la Ley 2040 de 2020, desapareció de nuestro ordenamiento jurídico</w:t>
      </w:r>
      <w:r w:rsidR="00710A74" w:rsidRPr="002A263A">
        <w:rPr>
          <w:rFonts w:ascii="Arial" w:eastAsia="Arial" w:hAnsi="Arial" w:cs="Arial"/>
          <w:sz w:val="22"/>
          <w:szCs w:val="22"/>
          <w:lang w:val="es-MX" w:eastAsia="en-US"/>
        </w:rPr>
        <w:t xml:space="preserve"> al ser derogado</w:t>
      </w:r>
      <w:r w:rsidRPr="002A263A">
        <w:rPr>
          <w:rFonts w:ascii="Arial" w:eastAsia="Arial" w:hAnsi="Arial" w:cs="Arial"/>
          <w:sz w:val="22"/>
          <w:szCs w:val="22"/>
          <w:lang w:val="es-MX" w:eastAsia="en-US"/>
        </w:rPr>
        <w:t>, por lo que dicho parágrafo 4 actualmente no está vigente.</w:t>
      </w:r>
    </w:p>
    <w:p w14:paraId="27D423AC" w14:textId="60EC0E60" w:rsidR="005244FC" w:rsidRPr="00934769" w:rsidRDefault="005244FC" w:rsidP="00934769">
      <w:pPr>
        <w:spacing w:before="120" w:line="276" w:lineRule="auto"/>
        <w:jc w:val="both"/>
        <w:rPr>
          <w:rFonts w:ascii="Arial" w:eastAsia="Calibri" w:hAnsi="Arial" w:cs="Arial"/>
          <w:color w:val="000000" w:themeColor="text1"/>
          <w:sz w:val="22"/>
          <w:szCs w:val="22"/>
          <w:lang w:val="es-ES_tradnl"/>
        </w:rPr>
      </w:pPr>
      <w:r w:rsidRPr="002A263A">
        <w:rPr>
          <w:rFonts w:ascii="Arial" w:eastAsia="Calibri" w:hAnsi="Arial" w:cs="Arial"/>
          <w:b/>
          <w:bCs/>
          <w:color w:val="000000" w:themeColor="text1"/>
          <w:sz w:val="22"/>
          <w:szCs w:val="22"/>
          <w:lang w:val="es-ES_tradnl"/>
        </w:rPr>
        <w:t>2.</w:t>
      </w:r>
      <w:r w:rsidR="0060586D" w:rsidRPr="002A263A">
        <w:rPr>
          <w:rFonts w:ascii="Arial" w:eastAsia="Calibri" w:hAnsi="Arial" w:cs="Arial"/>
          <w:b/>
          <w:bCs/>
          <w:color w:val="000000" w:themeColor="text1"/>
          <w:sz w:val="22"/>
          <w:szCs w:val="22"/>
          <w:lang w:val="es-ES_tradnl"/>
        </w:rPr>
        <w:t>3</w:t>
      </w:r>
      <w:r w:rsidRPr="002A263A">
        <w:rPr>
          <w:rFonts w:ascii="Arial" w:eastAsia="Calibri" w:hAnsi="Arial" w:cs="Arial"/>
          <w:b/>
          <w:bCs/>
          <w:color w:val="000000" w:themeColor="text1"/>
          <w:sz w:val="22"/>
          <w:szCs w:val="22"/>
          <w:lang w:val="es-ES_tradnl"/>
        </w:rPr>
        <w:t xml:space="preserve">. Vigencia y ámbito de aplicación de la Ley </w:t>
      </w:r>
      <w:r w:rsidR="007B209C" w:rsidRPr="002A263A">
        <w:rPr>
          <w:rFonts w:ascii="Arial" w:eastAsia="Calibri" w:hAnsi="Arial" w:cs="Arial"/>
          <w:b/>
          <w:bCs/>
          <w:color w:val="000000" w:themeColor="text1"/>
          <w:sz w:val="22"/>
          <w:szCs w:val="22"/>
          <w:lang w:val="es-ES_tradnl"/>
        </w:rPr>
        <w:t>2069</w:t>
      </w:r>
      <w:r w:rsidRPr="002A263A">
        <w:rPr>
          <w:rFonts w:ascii="Arial" w:eastAsia="Calibri" w:hAnsi="Arial" w:cs="Arial"/>
          <w:b/>
          <w:bCs/>
          <w:color w:val="000000" w:themeColor="text1"/>
          <w:sz w:val="22"/>
          <w:szCs w:val="22"/>
          <w:lang w:val="es-ES_tradnl"/>
        </w:rPr>
        <w:t xml:space="preserve"> de 2020</w:t>
      </w:r>
    </w:p>
    <w:p w14:paraId="10695754" w14:textId="77777777" w:rsidR="005244FC" w:rsidRPr="00742BED" w:rsidRDefault="005244FC" w:rsidP="005244FC">
      <w:pPr>
        <w:spacing w:line="276" w:lineRule="auto"/>
        <w:jc w:val="both"/>
        <w:rPr>
          <w:rFonts w:ascii="Arial" w:eastAsia="Calibri" w:hAnsi="Arial" w:cs="Arial"/>
          <w:color w:val="000000" w:themeColor="text1"/>
          <w:sz w:val="22"/>
          <w:szCs w:val="22"/>
          <w:lang w:val="es-ES_tradnl"/>
        </w:rPr>
      </w:pPr>
    </w:p>
    <w:p w14:paraId="37909170" w14:textId="77777777" w:rsidR="00CC1C03" w:rsidRPr="00742BED" w:rsidRDefault="00CC1C03" w:rsidP="00CC1C03">
      <w:pPr>
        <w:spacing w:line="276" w:lineRule="auto"/>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de dicho cuerpo normativo, </w:t>
      </w:r>
      <w:r w:rsidRPr="00742BED">
        <w:rPr>
          <w:rFonts w:ascii="Arial" w:eastAsia="Calibri" w:hAnsi="Arial" w:cs="Arial"/>
          <w:color w:val="000000" w:themeColor="text1"/>
          <w:sz w:val="22"/>
          <w:szCs w:val="22"/>
          <w:lang w:val="es-ES_tradnl"/>
        </w:rPr>
        <w:lastRenderedPageBreak/>
        <w:t>«La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40284C15" w14:textId="7AC9C2B3" w:rsidR="00CC1C03" w:rsidRPr="00742BED" w:rsidRDefault="00CC1C03" w:rsidP="00CC1C03">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w:t>
      </w:r>
      <w:r w:rsidR="0084008B" w:rsidRPr="00742BED">
        <w:rPr>
          <w:rFonts w:ascii="Arial" w:eastAsia="Calibri" w:hAnsi="Arial" w:cs="Arial"/>
          <w:color w:val="000000" w:themeColor="text1"/>
          <w:sz w:val="22"/>
          <w:szCs w:val="22"/>
          <w:lang w:val="es-ES_tradnl"/>
        </w:rPr>
        <w:t>Lo anterior</w:t>
      </w:r>
      <w:r w:rsidRPr="00742BED">
        <w:rPr>
          <w:rFonts w:ascii="Arial" w:eastAsia="Calibri" w:hAnsi="Arial" w:cs="Arial"/>
          <w:color w:val="000000" w:themeColor="text1"/>
          <w:sz w:val="22"/>
          <w:szCs w:val="22"/>
          <w:lang w:val="es-ES_tradnl"/>
        </w:rPr>
        <w:t xml:space="preserve">, a partir de «[…] un enfoque regionalizado </w:t>
      </w:r>
      <w:proofErr w:type="gramStart"/>
      <w:r w:rsidRPr="00742BED">
        <w:rPr>
          <w:rFonts w:ascii="Arial" w:eastAsia="Calibri" w:hAnsi="Arial" w:cs="Arial"/>
          <w:color w:val="000000" w:themeColor="text1"/>
          <w:sz w:val="22"/>
          <w:szCs w:val="22"/>
          <w:lang w:val="es-ES_tradnl"/>
        </w:rPr>
        <w:t>de acuerdo a</w:t>
      </w:r>
      <w:proofErr w:type="gramEnd"/>
      <w:r w:rsidRPr="00742BED">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mediante la racionalización y simplificación de los trámites y tarifas</w:t>
      </w:r>
      <w:r w:rsidRPr="00742BED">
        <w:rPr>
          <w:rStyle w:val="Refdenotaalpie"/>
          <w:rFonts w:ascii="Arial" w:eastAsia="Calibri" w:hAnsi="Arial" w:cs="Arial"/>
          <w:color w:val="000000" w:themeColor="text1"/>
          <w:sz w:val="22"/>
          <w:szCs w:val="22"/>
          <w:lang w:val="es-ES_tradnl"/>
        </w:rPr>
        <w:footnoteReference w:id="6"/>
      </w:r>
      <w:r w:rsidRPr="00742BED">
        <w:rPr>
          <w:rFonts w:ascii="Arial" w:eastAsia="Calibri" w:hAnsi="Arial" w:cs="Arial"/>
          <w:color w:val="000000" w:themeColor="text1"/>
          <w:sz w:val="22"/>
          <w:szCs w:val="22"/>
          <w:lang w:val="es-ES_tradnl"/>
        </w:rPr>
        <w:t>, así como incentivos a favor de aquellas dentro del sistema de compras y contratación pública</w:t>
      </w:r>
      <w:r w:rsidRPr="00742BED">
        <w:rPr>
          <w:rStyle w:val="Refdenotaalpie"/>
          <w:rFonts w:ascii="Arial" w:eastAsia="Calibri" w:hAnsi="Arial" w:cs="Arial"/>
          <w:color w:val="000000" w:themeColor="text1"/>
          <w:sz w:val="22"/>
          <w:szCs w:val="22"/>
          <w:lang w:val="es-ES_tradnl"/>
        </w:rPr>
        <w:footnoteReference w:id="7"/>
      </w:r>
      <w:r w:rsidRPr="00742BED">
        <w:rPr>
          <w:rFonts w:ascii="Arial" w:eastAsia="Calibri" w:hAnsi="Arial" w:cs="Arial"/>
          <w:color w:val="000000" w:themeColor="text1"/>
          <w:sz w:val="22"/>
          <w:szCs w:val="22"/>
          <w:lang w:val="es-ES_tradnl"/>
        </w:rPr>
        <w:t>. De igual forma, se consagran mecanismos de acceso al financiamiento</w:t>
      </w:r>
      <w:r w:rsidRPr="00742BED">
        <w:rPr>
          <w:rStyle w:val="Refdenotaalpie"/>
          <w:rFonts w:ascii="Arial" w:eastAsia="Calibri" w:hAnsi="Arial" w:cs="Arial"/>
          <w:color w:val="000000" w:themeColor="text1"/>
          <w:sz w:val="22"/>
          <w:szCs w:val="22"/>
          <w:lang w:val="es-ES_tradnl"/>
        </w:rPr>
        <w:footnoteReference w:id="8"/>
      </w:r>
      <w:r w:rsidRPr="00742BED">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742BED">
        <w:rPr>
          <w:rStyle w:val="Refdenotaalpie"/>
          <w:rFonts w:ascii="Arial" w:eastAsia="Calibri" w:hAnsi="Arial" w:cs="Arial"/>
          <w:color w:val="000000" w:themeColor="text1"/>
          <w:sz w:val="22"/>
          <w:szCs w:val="22"/>
          <w:lang w:val="es-ES_tradnl"/>
        </w:rPr>
        <w:footnoteReference w:id="9"/>
      </w:r>
      <w:r w:rsidRPr="00742BED">
        <w:rPr>
          <w:rFonts w:ascii="Arial" w:eastAsia="Calibri" w:hAnsi="Arial" w:cs="Arial"/>
          <w:color w:val="000000" w:themeColor="text1"/>
          <w:sz w:val="22"/>
          <w:szCs w:val="22"/>
          <w:lang w:val="es-ES_tradnl"/>
        </w:rPr>
        <w:t xml:space="preserve"> y se prevén medidas de educación para el emprendimiento y la innovación</w:t>
      </w:r>
      <w:r w:rsidRPr="00742BED">
        <w:rPr>
          <w:rStyle w:val="Refdenotaalpie"/>
          <w:rFonts w:ascii="Arial" w:eastAsia="Calibri" w:hAnsi="Arial" w:cs="Arial"/>
          <w:color w:val="000000" w:themeColor="text1"/>
          <w:sz w:val="22"/>
          <w:szCs w:val="22"/>
          <w:lang w:val="es-ES_tradnl"/>
        </w:rPr>
        <w:footnoteReference w:id="10"/>
      </w:r>
      <w:r w:rsidRPr="00742BED">
        <w:rPr>
          <w:rFonts w:ascii="Arial" w:eastAsia="Calibri" w:hAnsi="Arial" w:cs="Arial"/>
          <w:color w:val="000000" w:themeColor="text1"/>
          <w:sz w:val="22"/>
          <w:szCs w:val="22"/>
          <w:lang w:val="es-ES_tradnl"/>
        </w:rPr>
        <w:t>.</w:t>
      </w:r>
    </w:p>
    <w:p w14:paraId="3BCBDE62" w14:textId="5AF064D8" w:rsidR="00367603" w:rsidRPr="002A263A" w:rsidRDefault="00CC1C03" w:rsidP="00367603">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742BED">
        <w:rPr>
          <w:rFonts w:ascii="Arial" w:eastAsia="Calibri" w:hAnsi="Arial" w:cs="Arial"/>
          <w:color w:val="000000" w:themeColor="text1"/>
          <w:sz w:val="22"/>
          <w:szCs w:val="22"/>
          <w:lang w:val="es-ES_tradnl"/>
        </w:rPr>
        <w:t>mipymes</w:t>
      </w:r>
      <w:proofErr w:type="spellEnd"/>
      <w:r w:rsidRPr="00742BED">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w:t>
      </w:r>
      <w:r w:rsidRPr="002A263A">
        <w:rPr>
          <w:rFonts w:ascii="Arial" w:eastAsia="Calibri" w:hAnsi="Arial" w:cs="Arial"/>
          <w:color w:val="000000" w:themeColor="text1"/>
          <w:sz w:val="22"/>
          <w:szCs w:val="22"/>
          <w:lang w:val="es-ES_tradnl"/>
        </w:rPr>
        <w:t xml:space="preserve">factores de desempate y vi) un llamado a las entidades estatales para que promuevan compras públicas en el marco de la tecnología y la innovación. </w:t>
      </w:r>
      <w:r w:rsidR="00367603" w:rsidRPr="002A263A">
        <w:rPr>
          <w:rFonts w:ascii="Arial" w:eastAsia="Calibri" w:hAnsi="Arial" w:cs="Arial"/>
          <w:color w:val="000000" w:themeColor="text1"/>
          <w:sz w:val="22"/>
          <w:szCs w:val="22"/>
          <w:lang w:val="es-ES_tradnl"/>
        </w:rPr>
        <w:t xml:space="preserve">Teniendo en cuenta que la consulta está relacionada con los criterios de desempate y su acreditación, </w:t>
      </w:r>
      <w:r w:rsidR="00A61EF5" w:rsidRPr="002A263A">
        <w:rPr>
          <w:rFonts w:ascii="Arial" w:eastAsia="Calibri" w:hAnsi="Arial" w:cs="Arial"/>
          <w:color w:val="000000" w:themeColor="text1"/>
          <w:sz w:val="22"/>
          <w:szCs w:val="22"/>
          <w:lang w:val="es-ES_tradnl"/>
        </w:rPr>
        <w:t>en el numeral siguiente</w:t>
      </w:r>
      <w:r w:rsidR="00367603" w:rsidRPr="002A263A">
        <w:rPr>
          <w:rFonts w:ascii="Arial" w:eastAsia="Calibri" w:hAnsi="Arial" w:cs="Arial"/>
          <w:color w:val="000000" w:themeColor="text1"/>
          <w:sz w:val="22"/>
          <w:szCs w:val="22"/>
          <w:lang w:val="es-ES_tradnl"/>
        </w:rPr>
        <w:t xml:space="preserve"> se estudiará el contenido y alcance del artículo 35 de dicha norma. </w:t>
      </w:r>
    </w:p>
    <w:p w14:paraId="45884F44" w14:textId="57C5A8F2" w:rsidR="00162065" w:rsidRPr="002A263A" w:rsidRDefault="00710A74" w:rsidP="00367603">
      <w:pPr>
        <w:spacing w:before="120" w:line="276" w:lineRule="auto"/>
        <w:ind w:firstLine="709"/>
        <w:jc w:val="both"/>
        <w:rPr>
          <w:rFonts w:ascii="Arial" w:eastAsia="Calibri" w:hAnsi="Arial" w:cs="Arial"/>
          <w:color w:val="000000" w:themeColor="text1"/>
          <w:sz w:val="22"/>
          <w:szCs w:val="22"/>
          <w:lang w:val="es-ES_tradnl"/>
        </w:rPr>
      </w:pPr>
      <w:r w:rsidRPr="002A263A">
        <w:rPr>
          <w:rFonts w:ascii="Arial" w:eastAsia="Calibri" w:hAnsi="Arial" w:cs="Arial"/>
          <w:color w:val="000000" w:themeColor="text1"/>
          <w:sz w:val="22"/>
          <w:szCs w:val="22"/>
          <w:lang w:val="es-ES_tradnl"/>
        </w:rPr>
        <w:lastRenderedPageBreak/>
        <w:t>Previo a ello</w:t>
      </w:r>
      <w:r w:rsidR="005F140A" w:rsidRPr="002A263A">
        <w:rPr>
          <w:rFonts w:ascii="Arial" w:eastAsia="Calibri" w:hAnsi="Arial" w:cs="Arial"/>
          <w:color w:val="000000" w:themeColor="text1"/>
          <w:sz w:val="22"/>
          <w:szCs w:val="22"/>
          <w:lang w:val="es-ES_tradnl"/>
        </w:rPr>
        <w:t>,</w:t>
      </w:r>
      <w:r w:rsidRPr="002A263A">
        <w:rPr>
          <w:rFonts w:ascii="Arial" w:eastAsia="Calibri" w:hAnsi="Arial" w:cs="Arial"/>
          <w:color w:val="000000" w:themeColor="text1"/>
          <w:sz w:val="22"/>
          <w:szCs w:val="22"/>
          <w:lang w:val="es-ES_tradnl"/>
        </w:rPr>
        <w:t xml:space="preserve"> es importante destacar</w:t>
      </w:r>
      <w:r w:rsidR="005F140A" w:rsidRPr="002A263A">
        <w:rPr>
          <w:rFonts w:ascii="Arial" w:eastAsia="Calibri" w:hAnsi="Arial" w:cs="Arial"/>
          <w:color w:val="000000" w:themeColor="text1"/>
          <w:sz w:val="22"/>
          <w:szCs w:val="22"/>
          <w:lang w:val="es-ES_tradnl"/>
        </w:rPr>
        <w:t>,</w:t>
      </w:r>
      <w:r w:rsidRPr="002A263A">
        <w:rPr>
          <w:rFonts w:ascii="Arial" w:eastAsia="Calibri" w:hAnsi="Arial" w:cs="Arial"/>
          <w:color w:val="000000" w:themeColor="text1"/>
          <w:sz w:val="22"/>
          <w:szCs w:val="22"/>
          <w:lang w:val="es-ES_tradnl"/>
        </w:rPr>
        <w:t xml:space="preserve"> </w:t>
      </w:r>
      <w:r w:rsidR="005F140A" w:rsidRPr="002A263A">
        <w:rPr>
          <w:rFonts w:ascii="Arial" w:eastAsia="Calibri" w:hAnsi="Arial" w:cs="Arial"/>
          <w:color w:val="000000" w:themeColor="text1"/>
          <w:sz w:val="22"/>
          <w:szCs w:val="22"/>
          <w:lang w:val="es-ES_tradnl"/>
        </w:rPr>
        <w:t>como se advirtió con anterioridad, que el artículo 3 de la Ley 2040 de 2020, norma que se analizó en el numeral anterior, introdujo un parágrafo 4 al artículo 12 de la Ley 1150 de 2007; sin embargo, esta última disposición fue modificada por el artículo 34 de la Ley 2069 de 2020, que derogó el contenido normativo establecido en el parágrafo 4, de manera que actualmente el artículo 12 de la Ley 1150 de 2007 tiene el siguiente contenido</w:t>
      </w:r>
      <w:r w:rsidR="00A61EF5" w:rsidRPr="002A263A">
        <w:rPr>
          <w:rFonts w:ascii="Arial" w:eastAsia="Calibri" w:hAnsi="Arial" w:cs="Arial"/>
          <w:color w:val="000000" w:themeColor="text1"/>
          <w:sz w:val="22"/>
          <w:szCs w:val="22"/>
          <w:lang w:val="es-ES_tradnl"/>
        </w:rPr>
        <w:t>, de acuerdo con lo establecido en el artículo 34 de la Ley 2069</w:t>
      </w:r>
      <w:r w:rsidR="005F140A" w:rsidRPr="002A263A">
        <w:rPr>
          <w:rFonts w:ascii="Arial" w:eastAsia="Calibri" w:hAnsi="Arial" w:cs="Arial"/>
          <w:color w:val="000000" w:themeColor="text1"/>
          <w:sz w:val="22"/>
          <w:szCs w:val="22"/>
          <w:lang w:val="es-ES_tradnl"/>
        </w:rPr>
        <w:t>:</w:t>
      </w:r>
    </w:p>
    <w:p w14:paraId="5625478A" w14:textId="413764CF" w:rsidR="00A61EF5" w:rsidRPr="00102106" w:rsidRDefault="00A61EF5" w:rsidP="005F140A">
      <w:pPr>
        <w:spacing w:before="120"/>
        <w:ind w:left="709" w:right="709"/>
        <w:jc w:val="both"/>
        <w:rPr>
          <w:rFonts w:ascii="Arial" w:eastAsia="Calibri" w:hAnsi="Arial" w:cs="Arial"/>
          <w:color w:val="000000" w:themeColor="text1"/>
          <w:sz w:val="21"/>
          <w:szCs w:val="21"/>
          <w:lang w:val="es-ES_tradnl"/>
        </w:rPr>
      </w:pPr>
      <w:r w:rsidRPr="00592353">
        <w:rPr>
          <w:rStyle w:val="Textoennegrita"/>
          <w:rFonts w:ascii="Arial" w:hAnsi="Arial" w:cs="Arial"/>
          <w:b w:val="0"/>
          <w:bCs w:val="0"/>
          <w:color w:val="000000"/>
          <w:sz w:val="21"/>
          <w:szCs w:val="21"/>
        </w:rPr>
        <w:t>ARTÍCULO 34.</w:t>
      </w:r>
      <w:r w:rsidRPr="00592353">
        <w:rPr>
          <w:rStyle w:val="nfasis"/>
          <w:rFonts w:ascii="Arial" w:hAnsi="Arial" w:cs="Arial"/>
          <w:color w:val="000000"/>
          <w:sz w:val="21"/>
          <w:szCs w:val="21"/>
        </w:rPr>
        <w:t> PROMOCIÓN DEL DESARROLLO EN LA CONTRATACIÓN PÚBLICA</w:t>
      </w:r>
      <w:r w:rsidRPr="00592353">
        <w:rPr>
          <w:rFonts w:ascii="Arial" w:hAnsi="Arial" w:cs="Arial"/>
          <w:color w:val="000000"/>
          <w:sz w:val="21"/>
          <w:szCs w:val="21"/>
        </w:rPr>
        <w:t>. Modifíquese el artículo 12 de la Ley 1150 de 2007, el cual quedará así: </w:t>
      </w:r>
    </w:p>
    <w:p w14:paraId="6FCE34D7" w14:textId="69C4EF3B" w:rsidR="005F140A" w:rsidRPr="00592353" w:rsidRDefault="00A61EF5" w:rsidP="00592353">
      <w:pPr>
        <w:spacing w:before="120"/>
        <w:ind w:left="709" w:right="709"/>
        <w:jc w:val="both"/>
        <w:rPr>
          <w:rFonts w:ascii="Arial" w:eastAsia="Calibri" w:hAnsi="Arial" w:cs="Arial"/>
          <w:color w:val="000000" w:themeColor="text1"/>
          <w:sz w:val="21"/>
          <w:szCs w:val="21"/>
          <w:lang w:val="es-ES_tradnl"/>
        </w:rPr>
      </w:pPr>
      <w:r w:rsidRPr="00102106">
        <w:rPr>
          <w:rFonts w:ascii="Arial" w:eastAsia="Calibri" w:hAnsi="Arial" w:cs="Arial"/>
          <w:color w:val="000000" w:themeColor="text1"/>
          <w:sz w:val="21"/>
          <w:szCs w:val="21"/>
          <w:lang w:val="es-ES_tradnl"/>
        </w:rPr>
        <w:t>«</w:t>
      </w:r>
      <w:r w:rsidR="005F140A" w:rsidRPr="00592353">
        <w:rPr>
          <w:rFonts w:ascii="Arial" w:eastAsia="Calibri" w:hAnsi="Arial" w:cs="Arial"/>
          <w:color w:val="000000" w:themeColor="text1"/>
          <w:sz w:val="21"/>
          <w:szCs w:val="21"/>
          <w:lang w:val="es-ES_tradnl"/>
        </w:rPr>
        <w:t xml:space="preserve">ARTÍCULO 12. Promoción del desarrollo en la contratación pública.  </w:t>
      </w:r>
    </w:p>
    <w:p w14:paraId="7D5E0B47" w14:textId="77777777" w:rsidR="005F140A" w:rsidRPr="00592353"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592353">
        <w:rPr>
          <w:rFonts w:ascii="Arial" w:eastAsia="Calibri" w:hAnsi="Arial" w:cs="Arial"/>
          <w:color w:val="000000" w:themeColor="text1"/>
          <w:sz w:val="21"/>
          <w:szCs w:val="21"/>
          <w:lang w:val="es-ES_tradnl"/>
        </w:rPr>
        <w:t>MiPymes</w:t>
      </w:r>
      <w:proofErr w:type="spellEnd"/>
      <w:r w:rsidRPr="00592353">
        <w:rPr>
          <w:rFonts w:ascii="Arial" w:eastAsia="Calibri" w:hAnsi="Arial" w:cs="Arial"/>
          <w:color w:val="000000" w:themeColor="text1"/>
          <w:sz w:val="21"/>
          <w:szCs w:val="21"/>
          <w:lang w:val="es-ES_tradnl"/>
        </w:rPr>
        <w:t xml:space="preserve">, convocatorias limitadas a estas en las que, previo a la Resolución de apertura del proceso respectivo, se haya manifestado el interés de por lo menos dos (2) </w:t>
      </w:r>
      <w:proofErr w:type="spellStart"/>
      <w:r w:rsidRPr="00592353">
        <w:rPr>
          <w:rFonts w:ascii="Arial" w:eastAsia="Calibri" w:hAnsi="Arial" w:cs="Arial"/>
          <w:color w:val="000000" w:themeColor="text1"/>
          <w:sz w:val="21"/>
          <w:szCs w:val="21"/>
          <w:lang w:val="es-ES_tradnl"/>
        </w:rPr>
        <w:t>MiPymes</w:t>
      </w:r>
      <w:proofErr w:type="spellEnd"/>
      <w:r w:rsidRPr="00592353">
        <w:rPr>
          <w:rFonts w:ascii="Arial" w:eastAsia="Calibri" w:hAnsi="Arial" w:cs="Arial"/>
          <w:color w:val="000000" w:themeColor="text1"/>
          <w:sz w:val="21"/>
          <w:szCs w:val="21"/>
          <w:lang w:val="es-ES_tradnl"/>
        </w:rPr>
        <w:t xml:space="preserve">.  </w:t>
      </w:r>
    </w:p>
    <w:p w14:paraId="05501537" w14:textId="77777777" w:rsidR="005F140A" w:rsidRPr="00592353"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592353">
        <w:rPr>
          <w:rFonts w:ascii="Arial" w:eastAsia="Calibri" w:hAnsi="Arial" w:cs="Arial"/>
          <w:color w:val="000000" w:themeColor="text1"/>
          <w:sz w:val="21"/>
          <w:szCs w:val="21"/>
          <w:lang w:val="es-ES_tradnl"/>
        </w:rPr>
        <w:t>MiPymes</w:t>
      </w:r>
      <w:proofErr w:type="spellEnd"/>
      <w:r w:rsidRPr="00592353">
        <w:rPr>
          <w:rFonts w:ascii="Arial" w:eastAsia="Calibri" w:hAnsi="Arial" w:cs="Arial"/>
          <w:color w:val="000000" w:themeColor="text1"/>
          <w:sz w:val="21"/>
          <w:szCs w:val="21"/>
          <w:lang w:val="es-ES_tradnl"/>
        </w:rPr>
        <w:t xml:space="preserve"> respetando los montos y las condiciones contenidas en los compromisos internacionales vigentes, cuando sean aplicables.  </w:t>
      </w:r>
    </w:p>
    <w:p w14:paraId="037708F7" w14:textId="77777777" w:rsidR="005F140A" w:rsidRPr="00592353"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En todo caso, se deberá garantizar la satisfacción de las condiciones técnicas y económicas requeridas en el Proceso de Contratación.  </w:t>
      </w:r>
    </w:p>
    <w:p w14:paraId="6E77C840" w14:textId="77777777" w:rsidR="005F140A" w:rsidRPr="00592353"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  </w:t>
      </w:r>
    </w:p>
    <w:p w14:paraId="2EFE1C10" w14:textId="77777777" w:rsidR="005F140A" w:rsidRPr="00592353"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PARÁGRAFO PRIMERO. En los Procesos de Contratación que se desarrollen con base en el primer inciso, las entidades podrán realizar las convocatorias limitadas que beneficien a las </w:t>
      </w:r>
      <w:proofErr w:type="spellStart"/>
      <w:r w:rsidRPr="00592353">
        <w:rPr>
          <w:rFonts w:ascii="Arial" w:eastAsia="Calibri" w:hAnsi="Arial" w:cs="Arial"/>
          <w:color w:val="000000" w:themeColor="text1"/>
          <w:sz w:val="21"/>
          <w:szCs w:val="21"/>
          <w:lang w:val="es-ES_tradnl"/>
        </w:rPr>
        <w:t>MiPymes</w:t>
      </w:r>
      <w:proofErr w:type="spellEnd"/>
      <w:r w:rsidRPr="00592353">
        <w:rPr>
          <w:rFonts w:ascii="Arial" w:eastAsia="Calibri" w:hAnsi="Arial" w:cs="Arial"/>
          <w:color w:val="000000" w:themeColor="text1"/>
          <w:sz w:val="21"/>
          <w:szCs w:val="21"/>
          <w:lang w:val="es-ES_tradnl"/>
        </w:rPr>
        <w:t xml:space="preserve"> del ámbito municipal o departamental correspondiente al de la ejecución del contrato.  </w:t>
      </w:r>
    </w:p>
    <w:p w14:paraId="1428FAA6" w14:textId="6EE359F9" w:rsidR="005F140A" w:rsidRPr="002A263A" w:rsidRDefault="005F140A" w:rsidP="00592353">
      <w:pPr>
        <w:spacing w:before="120"/>
        <w:ind w:left="709" w:right="709"/>
        <w:jc w:val="both"/>
        <w:rPr>
          <w:rFonts w:ascii="Arial" w:eastAsia="Calibri" w:hAnsi="Arial" w:cs="Arial"/>
          <w:color w:val="000000" w:themeColor="text1"/>
          <w:sz w:val="21"/>
          <w:szCs w:val="21"/>
          <w:lang w:val="es-ES_tradnl"/>
        </w:rPr>
      </w:pPr>
      <w:r w:rsidRPr="00592353">
        <w:rPr>
          <w:rFonts w:ascii="Arial" w:eastAsia="Calibri" w:hAnsi="Arial" w:cs="Arial"/>
          <w:color w:val="000000" w:themeColor="text1"/>
          <w:sz w:val="21"/>
          <w:szCs w:val="21"/>
          <w:lang w:val="es-ES_tradnl"/>
        </w:rPr>
        <w:t xml:space="preserve">PARÁGRAFO SEGUNDO. Sin perjuicio de lo dispuesto en los artículos 5 y 6 de la Ley 1150 de 2007, para que las </w:t>
      </w:r>
      <w:proofErr w:type="spellStart"/>
      <w:r w:rsidRPr="00592353">
        <w:rPr>
          <w:rFonts w:ascii="Arial" w:eastAsia="Calibri" w:hAnsi="Arial" w:cs="Arial"/>
          <w:color w:val="000000" w:themeColor="text1"/>
          <w:sz w:val="21"/>
          <w:szCs w:val="21"/>
          <w:lang w:val="es-ES_tradnl"/>
        </w:rPr>
        <w:t>Mipymes</w:t>
      </w:r>
      <w:proofErr w:type="spellEnd"/>
      <w:r w:rsidRPr="00592353">
        <w:rPr>
          <w:rFonts w:ascii="Arial" w:eastAsia="Calibri" w:hAnsi="Arial" w:cs="Arial"/>
          <w:color w:val="000000" w:themeColor="text1"/>
          <w:sz w:val="21"/>
          <w:szCs w:val="21"/>
          <w:lang w:val="es-ES_tradnl"/>
        </w:rPr>
        <w:t xml:space="preserve"> puedan participar en las convocatorias a las que se refiere este artículo, deberán acreditar como mínimo un </w:t>
      </w:r>
      <w:r w:rsidRPr="002A263A">
        <w:rPr>
          <w:rFonts w:ascii="Arial" w:eastAsia="Calibri" w:hAnsi="Arial" w:cs="Arial"/>
          <w:color w:val="000000" w:themeColor="text1"/>
          <w:sz w:val="21"/>
          <w:szCs w:val="21"/>
          <w:lang w:val="es-ES_tradnl"/>
        </w:rPr>
        <w:t xml:space="preserve">año de existencia, para lo cual deberán presentar el certificado expedido por la cámara de comercio o por la autoridad que sea competente para dicha · acreditación.  </w:t>
      </w:r>
    </w:p>
    <w:p w14:paraId="2475FAA8" w14:textId="43862186" w:rsidR="005F140A" w:rsidRPr="002A263A" w:rsidRDefault="005F140A" w:rsidP="00592353">
      <w:pPr>
        <w:spacing w:before="120"/>
        <w:ind w:left="709" w:right="709"/>
        <w:jc w:val="both"/>
        <w:rPr>
          <w:rFonts w:ascii="Arial" w:eastAsia="Calibri" w:hAnsi="Arial" w:cs="Arial"/>
          <w:color w:val="000000" w:themeColor="text1"/>
          <w:sz w:val="21"/>
          <w:szCs w:val="21"/>
          <w:lang w:val="es-ES_tradnl"/>
        </w:rPr>
      </w:pPr>
      <w:r w:rsidRPr="002A263A">
        <w:rPr>
          <w:rFonts w:ascii="Arial" w:eastAsia="Calibri" w:hAnsi="Arial" w:cs="Arial"/>
          <w:color w:val="000000" w:themeColor="text1"/>
          <w:sz w:val="21"/>
          <w:szCs w:val="21"/>
          <w:lang w:val="es-ES_tradnl"/>
        </w:rPr>
        <w:lastRenderedPageBreak/>
        <w:t>PARÁGRAFO TERCERO. En la ejecución de los contratos a que se refiere el presente artículo, las entidades y los contratistas, deberán observar lo dispuesto en los artículos 90 a 95 de la Ley 418 de 1997 y las normas que la modifiquen, adicionen o subroguen</w:t>
      </w:r>
      <w:r w:rsidR="00A61EF5" w:rsidRPr="002A263A">
        <w:rPr>
          <w:rFonts w:ascii="Arial" w:eastAsia="Calibri" w:hAnsi="Arial" w:cs="Arial"/>
          <w:color w:val="000000" w:themeColor="text1"/>
          <w:sz w:val="21"/>
          <w:szCs w:val="21"/>
          <w:lang w:val="es-ES_tradnl"/>
        </w:rPr>
        <w:t>»</w:t>
      </w:r>
      <w:r w:rsidRPr="002A263A">
        <w:rPr>
          <w:rFonts w:ascii="Arial" w:eastAsia="Calibri" w:hAnsi="Arial" w:cs="Arial"/>
          <w:color w:val="000000" w:themeColor="text1"/>
          <w:sz w:val="21"/>
          <w:szCs w:val="21"/>
          <w:lang w:val="es-ES_tradnl"/>
        </w:rPr>
        <w:t>.</w:t>
      </w:r>
    </w:p>
    <w:p w14:paraId="5A1C7C83" w14:textId="2C53D467" w:rsidR="00367603" w:rsidRPr="002A263A" w:rsidRDefault="00367603" w:rsidP="00592353">
      <w:pPr>
        <w:spacing w:line="276" w:lineRule="auto"/>
        <w:jc w:val="both"/>
        <w:rPr>
          <w:rFonts w:ascii="Arial" w:eastAsia="Calibri" w:hAnsi="Arial" w:cs="Arial"/>
          <w:color w:val="000000"/>
          <w:sz w:val="22"/>
          <w:szCs w:val="22"/>
          <w:lang w:val="es-ES_tradnl"/>
        </w:rPr>
      </w:pPr>
    </w:p>
    <w:p w14:paraId="27084611" w14:textId="4695EA82" w:rsidR="00A61EF5" w:rsidRPr="002A263A" w:rsidRDefault="00A61EF5" w:rsidP="00592353">
      <w:pPr>
        <w:spacing w:line="276" w:lineRule="auto"/>
        <w:jc w:val="both"/>
        <w:rPr>
          <w:rFonts w:ascii="Arial" w:eastAsia="Calibri" w:hAnsi="Arial" w:cs="Arial"/>
          <w:color w:val="000000"/>
          <w:sz w:val="22"/>
          <w:szCs w:val="22"/>
          <w:lang w:val="es-ES_tradnl"/>
        </w:rPr>
      </w:pPr>
      <w:r w:rsidRPr="002A263A">
        <w:rPr>
          <w:rFonts w:ascii="Arial" w:eastAsia="Calibri" w:hAnsi="Arial" w:cs="Arial"/>
          <w:color w:val="000000"/>
          <w:sz w:val="22"/>
          <w:szCs w:val="22"/>
          <w:lang w:val="es-ES_tradnl"/>
        </w:rPr>
        <w:tab/>
        <w:t>En conclusión, el artículo 34 de la Ley 2069 de 2020 suprimió el contenido del parágrafo 4 del artículo 12 de la Ley 1150 de 2007, que en su momento introdujo el artículo 3 de la Ley 2040 de 2020. De otro lado, como se explicará, el artículo 35 de la Ley 2069 reguló los factores de desempate aplicables en la contratación estatal, estableciendo en su interior un criterio similar al de la ley anterior, por lo que la regulación actual de los criterios de desempate debe realizarse con fundamento en la Ley 2069 de 2020.</w:t>
      </w:r>
    </w:p>
    <w:p w14:paraId="00ED57F4" w14:textId="77777777" w:rsidR="00A61EF5" w:rsidRPr="002A263A" w:rsidRDefault="00A61EF5" w:rsidP="00367603">
      <w:pPr>
        <w:spacing w:before="120" w:line="276" w:lineRule="auto"/>
        <w:jc w:val="both"/>
        <w:rPr>
          <w:rFonts w:ascii="Arial" w:eastAsia="Calibri" w:hAnsi="Arial" w:cs="Arial"/>
          <w:color w:val="000000"/>
          <w:sz w:val="22"/>
          <w:szCs w:val="22"/>
          <w:lang w:val="es-ES_tradnl"/>
        </w:rPr>
      </w:pPr>
    </w:p>
    <w:p w14:paraId="2C2833A6" w14:textId="5359A8DB" w:rsidR="00833ADA" w:rsidRPr="002A263A" w:rsidRDefault="00523F41" w:rsidP="00833ADA">
      <w:pPr>
        <w:spacing w:line="276" w:lineRule="auto"/>
        <w:jc w:val="both"/>
        <w:rPr>
          <w:rFonts w:ascii="Arial" w:eastAsia="Calibri" w:hAnsi="Arial" w:cs="Arial"/>
          <w:b/>
          <w:bCs/>
          <w:color w:val="000000" w:themeColor="text1"/>
          <w:sz w:val="22"/>
          <w:szCs w:val="22"/>
          <w:lang w:val="es-ES_tradnl"/>
        </w:rPr>
      </w:pPr>
      <w:r w:rsidRPr="002A263A">
        <w:rPr>
          <w:rFonts w:ascii="Arial" w:eastAsia="Calibri" w:hAnsi="Arial" w:cs="Arial"/>
          <w:b/>
          <w:bCs/>
          <w:color w:val="000000" w:themeColor="text1"/>
          <w:sz w:val="22"/>
          <w:szCs w:val="22"/>
          <w:lang w:val="es-ES_tradnl"/>
        </w:rPr>
        <w:t>2.</w:t>
      </w:r>
      <w:r w:rsidR="0060586D" w:rsidRPr="002A263A">
        <w:rPr>
          <w:rFonts w:ascii="Arial" w:eastAsia="Calibri" w:hAnsi="Arial" w:cs="Arial"/>
          <w:b/>
          <w:bCs/>
          <w:color w:val="000000" w:themeColor="text1"/>
          <w:sz w:val="22"/>
          <w:szCs w:val="22"/>
          <w:lang w:val="es-ES_tradnl"/>
        </w:rPr>
        <w:t>4</w:t>
      </w:r>
      <w:r w:rsidRPr="002A263A">
        <w:rPr>
          <w:rFonts w:ascii="Arial" w:eastAsia="Calibri" w:hAnsi="Arial" w:cs="Arial"/>
          <w:b/>
          <w:bCs/>
          <w:color w:val="000000" w:themeColor="text1"/>
          <w:sz w:val="22"/>
          <w:szCs w:val="22"/>
          <w:lang w:val="es-ES_tradnl"/>
        </w:rPr>
        <w:t>.</w:t>
      </w:r>
      <w:r w:rsidR="00833ADA" w:rsidRPr="002A263A">
        <w:rPr>
          <w:rFonts w:ascii="Arial" w:eastAsia="Calibri" w:hAnsi="Arial" w:cs="Arial"/>
          <w:b/>
          <w:bCs/>
          <w:color w:val="000000" w:themeColor="text1"/>
          <w:sz w:val="22"/>
          <w:szCs w:val="22"/>
          <w:lang w:val="es-ES_tradnl"/>
        </w:rPr>
        <w:t xml:space="preserve"> Forma de acreditación de</w:t>
      </w:r>
      <w:r w:rsidR="00367603" w:rsidRPr="002A263A">
        <w:rPr>
          <w:rFonts w:ascii="Arial" w:eastAsia="Calibri" w:hAnsi="Arial" w:cs="Arial"/>
          <w:b/>
          <w:bCs/>
          <w:color w:val="000000" w:themeColor="text1"/>
          <w:sz w:val="22"/>
          <w:szCs w:val="22"/>
          <w:lang w:val="es-ES_tradnl"/>
        </w:rPr>
        <w:t xml:space="preserve"> los </w:t>
      </w:r>
      <w:r w:rsidR="00833ADA" w:rsidRPr="002A263A">
        <w:rPr>
          <w:rFonts w:ascii="Arial" w:eastAsia="Calibri" w:hAnsi="Arial" w:cs="Arial"/>
          <w:b/>
          <w:bCs/>
          <w:color w:val="000000" w:themeColor="text1"/>
          <w:sz w:val="22"/>
          <w:szCs w:val="22"/>
          <w:lang w:val="es-ES_tradnl"/>
        </w:rPr>
        <w:t>factor</w:t>
      </w:r>
      <w:r w:rsidR="00367603" w:rsidRPr="002A263A">
        <w:rPr>
          <w:rFonts w:ascii="Arial" w:eastAsia="Calibri" w:hAnsi="Arial" w:cs="Arial"/>
          <w:b/>
          <w:bCs/>
          <w:color w:val="000000" w:themeColor="text1"/>
          <w:sz w:val="22"/>
          <w:szCs w:val="22"/>
          <w:lang w:val="es-ES_tradnl"/>
        </w:rPr>
        <w:t>es</w:t>
      </w:r>
      <w:r w:rsidR="00833ADA" w:rsidRPr="002A263A">
        <w:rPr>
          <w:rFonts w:ascii="Arial" w:eastAsia="Calibri" w:hAnsi="Arial" w:cs="Arial"/>
          <w:b/>
          <w:bCs/>
          <w:color w:val="000000" w:themeColor="text1"/>
          <w:sz w:val="22"/>
          <w:szCs w:val="22"/>
          <w:lang w:val="es-ES_tradnl"/>
        </w:rPr>
        <w:t xml:space="preserve"> de desempate consagrado</w:t>
      </w:r>
      <w:r w:rsidR="00367603" w:rsidRPr="002A263A">
        <w:rPr>
          <w:rFonts w:ascii="Arial" w:eastAsia="Calibri" w:hAnsi="Arial" w:cs="Arial"/>
          <w:b/>
          <w:bCs/>
          <w:color w:val="000000" w:themeColor="text1"/>
          <w:sz w:val="22"/>
          <w:szCs w:val="22"/>
          <w:lang w:val="es-ES_tradnl"/>
        </w:rPr>
        <w:t>s</w:t>
      </w:r>
      <w:r w:rsidR="00833ADA" w:rsidRPr="002A263A">
        <w:rPr>
          <w:rFonts w:ascii="Arial" w:eastAsia="Calibri" w:hAnsi="Arial" w:cs="Arial"/>
          <w:b/>
          <w:bCs/>
          <w:color w:val="000000" w:themeColor="text1"/>
          <w:sz w:val="22"/>
          <w:szCs w:val="22"/>
          <w:lang w:val="es-ES_tradnl"/>
        </w:rPr>
        <w:t xml:space="preserve"> en el artículo 35 de la</w:t>
      </w:r>
      <w:r w:rsidR="00755229" w:rsidRPr="002A263A">
        <w:rPr>
          <w:rFonts w:ascii="Arial" w:eastAsia="Calibri" w:hAnsi="Arial" w:cs="Arial"/>
          <w:b/>
          <w:bCs/>
          <w:color w:val="000000" w:themeColor="text1"/>
          <w:sz w:val="22"/>
          <w:szCs w:val="22"/>
          <w:lang w:val="es-ES_tradnl"/>
        </w:rPr>
        <w:t xml:space="preserve"> Ley </w:t>
      </w:r>
      <w:r w:rsidR="007B209C" w:rsidRPr="002A263A">
        <w:rPr>
          <w:rFonts w:ascii="Arial" w:eastAsia="Calibri" w:hAnsi="Arial" w:cs="Arial"/>
          <w:b/>
          <w:bCs/>
          <w:color w:val="000000" w:themeColor="text1"/>
          <w:sz w:val="22"/>
          <w:szCs w:val="22"/>
          <w:lang w:val="es-ES_tradnl"/>
        </w:rPr>
        <w:t>2069</w:t>
      </w:r>
      <w:r w:rsidR="00755229" w:rsidRPr="002A263A">
        <w:rPr>
          <w:rFonts w:ascii="Arial" w:eastAsia="Calibri" w:hAnsi="Arial" w:cs="Arial"/>
          <w:b/>
          <w:bCs/>
          <w:color w:val="000000" w:themeColor="text1"/>
          <w:sz w:val="22"/>
          <w:szCs w:val="22"/>
          <w:lang w:val="es-ES_tradnl"/>
        </w:rPr>
        <w:t xml:space="preserve"> de 2020</w:t>
      </w:r>
      <w:r w:rsidR="00961595" w:rsidRPr="002A263A">
        <w:rPr>
          <w:rFonts w:ascii="Arial" w:eastAsia="Calibri" w:hAnsi="Arial" w:cs="Arial"/>
          <w:b/>
          <w:bCs/>
          <w:color w:val="000000" w:themeColor="text1"/>
          <w:sz w:val="22"/>
          <w:szCs w:val="22"/>
          <w:lang w:val="es-ES_tradnl"/>
        </w:rPr>
        <w:t>, e</w:t>
      </w:r>
      <w:r w:rsidR="00076817" w:rsidRPr="002A263A">
        <w:rPr>
          <w:rFonts w:ascii="Arial" w:eastAsia="Calibri" w:hAnsi="Arial" w:cs="Arial"/>
          <w:b/>
          <w:bCs/>
          <w:color w:val="000000" w:themeColor="text1"/>
          <w:sz w:val="22"/>
          <w:szCs w:val="22"/>
          <w:lang w:val="es-ES_tradnl"/>
        </w:rPr>
        <w:t xml:space="preserve">n especial, el previsto en </w:t>
      </w:r>
      <w:r w:rsidR="00AE5964" w:rsidRPr="002A263A">
        <w:rPr>
          <w:rFonts w:ascii="Arial" w:eastAsia="Calibri" w:hAnsi="Arial" w:cs="Arial"/>
          <w:b/>
          <w:bCs/>
          <w:color w:val="000000" w:themeColor="text1"/>
          <w:sz w:val="22"/>
          <w:szCs w:val="22"/>
          <w:lang w:val="es-ES_tradnl"/>
        </w:rPr>
        <w:t>los</w:t>
      </w:r>
      <w:r w:rsidR="00076817" w:rsidRPr="002A263A">
        <w:rPr>
          <w:rFonts w:ascii="Arial" w:eastAsia="Calibri" w:hAnsi="Arial" w:cs="Arial"/>
          <w:b/>
          <w:bCs/>
          <w:color w:val="000000" w:themeColor="text1"/>
          <w:sz w:val="22"/>
          <w:szCs w:val="22"/>
          <w:lang w:val="es-ES_tradnl"/>
        </w:rPr>
        <w:t xml:space="preserve"> numeral</w:t>
      </w:r>
      <w:r w:rsidR="00AE5964" w:rsidRPr="002A263A">
        <w:rPr>
          <w:rFonts w:ascii="Arial" w:eastAsia="Calibri" w:hAnsi="Arial" w:cs="Arial"/>
          <w:b/>
          <w:bCs/>
          <w:color w:val="000000" w:themeColor="text1"/>
          <w:sz w:val="22"/>
          <w:szCs w:val="22"/>
          <w:lang w:val="es-ES_tradnl"/>
        </w:rPr>
        <w:t xml:space="preserve"> 4</w:t>
      </w:r>
    </w:p>
    <w:p w14:paraId="39B77F09" w14:textId="77777777" w:rsidR="00FC6DB9" w:rsidRPr="002A263A" w:rsidRDefault="00FC6DB9" w:rsidP="00271230">
      <w:pPr>
        <w:spacing w:line="276" w:lineRule="auto"/>
        <w:jc w:val="both"/>
        <w:rPr>
          <w:rFonts w:ascii="Arial" w:eastAsia="Calibri" w:hAnsi="Arial" w:cs="Arial"/>
          <w:color w:val="000000" w:themeColor="text1"/>
          <w:sz w:val="22"/>
          <w:szCs w:val="22"/>
          <w:lang w:val="es-ES_tradnl"/>
        </w:rPr>
      </w:pPr>
    </w:p>
    <w:p w14:paraId="3844CB8E" w14:textId="77777777" w:rsidR="00C2296B" w:rsidRPr="00742BED" w:rsidRDefault="00C2296B" w:rsidP="00C2296B">
      <w:pPr>
        <w:spacing w:line="276" w:lineRule="auto"/>
        <w:jc w:val="both"/>
        <w:rPr>
          <w:rFonts w:ascii="Arial" w:eastAsia="Calibri" w:hAnsi="Arial" w:cs="Arial"/>
          <w:color w:val="000000" w:themeColor="text1"/>
          <w:sz w:val="22"/>
          <w:szCs w:val="22"/>
          <w:lang w:val="es-ES_tradnl"/>
        </w:rPr>
      </w:pPr>
      <w:r w:rsidRPr="002A263A">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w:t>
      </w:r>
      <w:r w:rsidRPr="00742BED">
        <w:rPr>
          <w:rFonts w:ascii="Arial" w:eastAsia="Calibri" w:hAnsi="Arial" w:cs="Arial"/>
          <w:color w:val="000000" w:themeColor="text1"/>
          <w:sz w:val="22"/>
          <w:szCs w:val="22"/>
          <w:lang w:val="es-ES_tradnl"/>
        </w:rPr>
        <w:t xml:space="preserve">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4241EAFD"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Al respecto, </w:t>
      </w:r>
      <w:r w:rsidRPr="00742BED">
        <w:rPr>
          <w:rFonts w:ascii="Arial" w:eastAsia="Calibri" w:hAnsi="Arial" w:cs="Arial"/>
          <w:sz w:val="22"/>
          <w:szCs w:val="22"/>
          <w:lang w:val="es-ES_tradnl"/>
        </w:rPr>
        <w:t>pese a que el parágrafo 3 dispone que el Gobierno Nacional podrá regular los supuestos en que concurran dos o más factores de desempate,</w:t>
      </w:r>
      <w:r w:rsidRPr="00742BED">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D598E0A" w14:textId="0B2ABB49" w:rsidR="00C2296B" w:rsidRPr="00742BED" w:rsidRDefault="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Por ejemplo,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7FAAF277"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lastRenderedPageBreak/>
        <w:t>Lo mismo no sucede con el artículo 35</w:t>
      </w:r>
      <w:r w:rsidRPr="00742BED">
        <w:rPr>
          <w:rFonts w:ascii="Arial" w:eastAsia="Calibri" w:hAnsi="Arial" w:cs="Arial"/>
          <w:sz w:val="22"/>
          <w:szCs w:val="22"/>
          <w:lang w:val="es-ES_tradnl"/>
        </w:rPr>
        <w:t xml:space="preserve">. En efecto, </w:t>
      </w:r>
      <w:r w:rsidRPr="00742BED">
        <w:rPr>
          <w:rFonts w:ascii="Arial" w:hAnsi="Arial" w:cs="Arial"/>
          <w:color w:val="000000" w:themeColor="text1"/>
          <w:sz w:val="22"/>
          <w:szCs w:val="22"/>
          <w:lang w:val="es-ES_tradnl"/>
        </w:rPr>
        <w:t>si bien los factores de desempate regulados en el artículo 35 deben aplicarse «</w:t>
      </w:r>
      <w:r w:rsidRPr="00742BED">
        <w:rPr>
          <w:rFonts w:ascii="Arial" w:hAnsi="Arial" w:cs="Arial"/>
          <w:lang w:val="es-ES_tradnl"/>
        </w:rPr>
        <w:t xml:space="preserve">[…] </w:t>
      </w:r>
      <w:r w:rsidRPr="00742BED">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742BED">
        <w:rPr>
          <w:rFonts w:ascii="Arial" w:eastAsia="Calibri" w:hAnsi="Arial" w:cs="Arial"/>
          <w:color w:val="000000" w:themeColor="text1"/>
          <w:sz w:val="22"/>
          <w:szCs w:val="22"/>
          <w:lang w:val="es-ES_tradnl"/>
        </w:rPr>
        <w:t xml:space="preserve">  </w:t>
      </w:r>
    </w:p>
    <w:p w14:paraId="5C24C174" w14:textId="77777777"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742BED">
        <w:rPr>
          <w:rFonts w:ascii="Arial" w:eastAsia="Calibri" w:hAnsi="Arial" w:cs="Arial"/>
          <w:i/>
          <w:iCs/>
          <w:color w:val="000000" w:themeColor="text1"/>
          <w:sz w:val="22"/>
          <w:szCs w:val="22"/>
          <w:lang w:val="es-ES_tradnl"/>
        </w:rPr>
        <w:t>podrá reglamentar</w:t>
      </w:r>
      <w:r w:rsidRPr="00742BED">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091E73A8" w14:textId="04B5C1A4" w:rsidR="00C2296B" w:rsidRPr="00742BED" w:rsidRDefault="00C2296B" w:rsidP="00C2296B">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Como se observa</w:t>
      </w:r>
      <w:r w:rsidR="00961595" w:rsidRPr="00742BED">
        <w:rPr>
          <w:rFonts w:ascii="Arial" w:eastAsia="Calibri" w:hAnsi="Arial" w:cs="Arial"/>
          <w:color w:val="000000" w:themeColor="text1"/>
          <w:sz w:val="22"/>
          <w:szCs w:val="22"/>
          <w:lang w:val="es-ES_tradnl"/>
        </w:rPr>
        <w:t>,</w:t>
      </w:r>
      <w:r w:rsidRPr="00742BED">
        <w:rPr>
          <w:rFonts w:ascii="Arial" w:eastAsia="Calibri" w:hAnsi="Arial" w:cs="Arial"/>
          <w:color w:val="000000" w:themeColor="text1"/>
          <w:sz w:val="22"/>
          <w:szCs w:val="22"/>
          <w:lang w:val="es-ES_tradnl"/>
        </w:rPr>
        <w:t xml:space="preserve">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3E38CFB" w14:textId="77777777" w:rsidR="00D2376E" w:rsidRPr="00742BED" w:rsidRDefault="00C43A17" w:rsidP="00B92871">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Además, conviene destacar </w:t>
      </w:r>
      <w:r w:rsidR="003A3902" w:rsidRPr="00742BED">
        <w:rPr>
          <w:rFonts w:ascii="Arial" w:eastAsia="Calibri" w:hAnsi="Arial" w:cs="Arial"/>
          <w:color w:val="000000" w:themeColor="text1"/>
          <w:sz w:val="22"/>
          <w:szCs w:val="22"/>
          <w:lang w:val="es-ES_tradnl"/>
        </w:rPr>
        <w:t>–según lo señala su inciso primero</w:t>
      </w:r>
      <w:r w:rsidR="003A3902" w:rsidRPr="00742BED">
        <w:rPr>
          <w:rFonts w:ascii="Arial" w:eastAsia="Calibri" w:hAnsi="Arial" w:cs="Arial"/>
          <w:color w:val="000000" w:themeColor="text1"/>
          <w:sz w:val="22"/>
          <w:szCs w:val="22"/>
          <w:lang w:val="es-ES_tradnl"/>
        </w:rPr>
        <w:softHyphen/>
        <w:t xml:space="preserve">– </w:t>
      </w:r>
      <w:r w:rsidRPr="00742BED">
        <w:rPr>
          <w:rFonts w:ascii="Arial" w:eastAsia="Calibri" w:hAnsi="Arial" w:cs="Arial"/>
          <w:color w:val="000000" w:themeColor="text1"/>
          <w:sz w:val="22"/>
          <w:szCs w:val="22"/>
          <w:lang w:val="es-ES_tradnl"/>
        </w:rPr>
        <w:t>que los factores de desempate previstos en el artículo 35 de la Ley 2069 de 2020 son obligatorios</w:t>
      </w:r>
      <w:r w:rsidR="00AD6D07" w:rsidRPr="00742BED">
        <w:rPr>
          <w:rFonts w:ascii="Arial" w:eastAsia="Calibri" w:hAnsi="Arial" w:cs="Arial"/>
          <w:color w:val="000000" w:themeColor="text1"/>
          <w:sz w:val="22"/>
          <w:szCs w:val="22"/>
          <w:lang w:val="es-ES_tradnl"/>
        </w:rPr>
        <w:t xml:space="preserve"> </w:t>
      </w:r>
      <w:r w:rsidRPr="00742BED">
        <w:rPr>
          <w:rFonts w:ascii="Arial" w:eastAsia="Calibri" w:hAnsi="Arial" w:cs="Arial"/>
          <w:color w:val="000000" w:themeColor="text1"/>
          <w:sz w:val="22"/>
          <w:szCs w:val="22"/>
          <w:lang w:val="es-ES_tradnl"/>
        </w:rPr>
        <w:t xml:space="preserve">«[…] en los Procesos de Contratación realizados con cargo a recursos públicos, los Procesos de Contratación realizados por las Entidades Estatales </w:t>
      </w:r>
      <w:r w:rsidRPr="00742BED">
        <w:rPr>
          <w:rFonts w:ascii="Arial" w:eastAsia="Calibri" w:hAnsi="Arial" w:cs="Arial"/>
          <w:i/>
          <w:iCs/>
          <w:color w:val="000000" w:themeColor="text1"/>
          <w:sz w:val="22"/>
          <w:szCs w:val="22"/>
          <w:lang w:val="es-ES_tradnl"/>
        </w:rPr>
        <w:t>indistintamente de su régimen de contratación</w:t>
      </w:r>
      <w:r w:rsidRPr="00742BED">
        <w:rPr>
          <w:rFonts w:ascii="Arial" w:eastAsia="Calibri" w:hAnsi="Arial" w:cs="Arial"/>
          <w:color w:val="000000" w:themeColor="text1"/>
          <w:sz w:val="22"/>
          <w:szCs w:val="22"/>
          <w:lang w:val="es-ES_tradnl"/>
        </w:rPr>
        <w:t>, así como los celebrados por los Procesos de Contratación de los patrimonios autónomos constituidos por Entidades Estatales» (cursiva fuera de texto). En consecuencia, bien sea que la entidad estatal contratante se rija por el Estatuto General de Contratación de la Administración Pública</w:t>
      </w:r>
      <w:r w:rsidR="007B3B3B" w:rsidRPr="00742BED">
        <w:rPr>
          <w:rFonts w:ascii="Arial" w:eastAsia="Calibri" w:hAnsi="Arial" w:cs="Arial"/>
          <w:color w:val="000000" w:themeColor="text1"/>
          <w:sz w:val="22"/>
          <w:szCs w:val="22"/>
          <w:lang w:val="es-ES_tradnl"/>
        </w:rPr>
        <w:t xml:space="preserve"> o por el derecho privado, </w:t>
      </w:r>
      <w:r w:rsidR="007B3B3B" w:rsidRPr="00742BED">
        <w:rPr>
          <w:rFonts w:ascii="Arial" w:eastAsia="Calibri" w:hAnsi="Arial" w:cs="Arial"/>
          <w:i/>
          <w:iCs/>
          <w:color w:val="000000" w:themeColor="text1"/>
          <w:sz w:val="22"/>
          <w:szCs w:val="22"/>
          <w:lang w:val="es-ES_tradnl"/>
        </w:rPr>
        <w:t>debe</w:t>
      </w:r>
      <w:r w:rsidR="007B3B3B" w:rsidRPr="00742BED">
        <w:rPr>
          <w:rFonts w:ascii="Arial" w:eastAsia="Calibri" w:hAnsi="Arial" w:cs="Arial"/>
          <w:color w:val="000000" w:themeColor="text1"/>
          <w:sz w:val="22"/>
          <w:szCs w:val="22"/>
          <w:lang w:val="es-ES_tradnl"/>
        </w:rPr>
        <w:t xml:space="preserve"> aplicar los criterios de desempate establecidos en </w:t>
      </w:r>
      <w:r w:rsidR="00EF7F76" w:rsidRPr="00742BED">
        <w:rPr>
          <w:rFonts w:ascii="Arial" w:eastAsia="Calibri" w:hAnsi="Arial" w:cs="Arial"/>
          <w:color w:val="000000" w:themeColor="text1"/>
          <w:sz w:val="22"/>
          <w:szCs w:val="22"/>
          <w:lang w:val="es-ES_tradnl"/>
        </w:rPr>
        <w:t>el referido artículo 35</w:t>
      </w:r>
      <w:r w:rsidR="004220E2" w:rsidRPr="00742BED">
        <w:rPr>
          <w:rFonts w:ascii="Arial" w:eastAsia="Calibri" w:hAnsi="Arial" w:cs="Arial"/>
          <w:color w:val="000000" w:themeColor="text1"/>
          <w:sz w:val="22"/>
          <w:szCs w:val="22"/>
          <w:lang w:val="es-ES_tradnl"/>
        </w:rPr>
        <w:t xml:space="preserve">. </w:t>
      </w:r>
      <w:r w:rsidR="005E5022" w:rsidRPr="00742BED">
        <w:rPr>
          <w:rFonts w:ascii="Arial" w:eastAsia="Calibri" w:hAnsi="Arial" w:cs="Arial"/>
          <w:color w:val="000000" w:themeColor="text1"/>
          <w:sz w:val="22"/>
          <w:szCs w:val="22"/>
          <w:lang w:val="es-ES_tradnl"/>
        </w:rPr>
        <w:t>Esta norma es imperativa y, por consiguiente, su inobservancia podría</w:t>
      </w:r>
      <w:r w:rsidR="00FA6D46" w:rsidRPr="00742BED">
        <w:rPr>
          <w:rFonts w:ascii="Arial" w:eastAsia="Calibri" w:hAnsi="Arial" w:cs="Arial"/>
          <w:color w:val="000000" w:themeColor="text1"/>
          <w:sz w:val="22"/>
          <w:szCs w:val="22"/>
          <w:lang w:val="es-ES_tradnl"/>
        </w:rPr>
        <w:t xml:space="preserve"> hacer incurrir </w:t>
      </w:r>
      <w:r w:rsidR="00A74B91" w:rsidRPr="00742BED">
        <w:rPr>
          <w:rFonts w:ascii="Arial" w:eastAsia="Calibri" w:hAnsi="Arial" w:cs="Arial"/>
          <w:color w:val="000000" w:themeColor="text1"/>
          <w:sz w:val="22"/>
          <w:szCs w:val="22"/>
          <w:lang w:val="es-ES_tradnl"/>
        </w:rPr>
        <w:t xml:space="preserve">en </w:t>
      </w:r>
      <w:r w:rsidR="00A74B91" w:rsidRPr="00742BED">
        <w:rPr>
          <w:rFonts w:ascii="Arial" w:eastAsia="Calibri" w:hAnsi="Arial" w:cs="Arial"/>
          <w:i/>
          <w:iCs/>
          <w:color w:val="000000" w:themeColor="text1"/>
          <w:sz w:val="22"/>
          <w:szCs w:val="22"/>
          <w:lang w:val="es-ES_tradnl"/>
        </w:rPr>
        <w:t>objeto ilícito</w:t>
      </w:r>
      <w:r w:rsidR="00A74B91" w:rsidRPr="00742BED">
        <w:rPr>
          <w:rFonts w:ascii="Arial" w:eastAsia="Calibri" w:hAnsi="Arial" w:cs="Arial"/>
          <w:color w:val="000000" w:themeColor="text1"/>
          <w:sz w:val="22"/>
          <w:szCs w:val="22"/>
          <w:lang w:val="es-ES_tradnl"/>
        </w:rPr>
        <w:t xml:space="preserve"> </w:t>
      </w:r>
      <w:r w:rsidR="00FA6D46" w:rsidRPr="00742BED">
        <w:rPr>
          <w:rFonts w:ascii="Arial" w:eastAsia="Calibri" w:hAnsi="Arial" w:cs="Arial"/>
          <w:color w:val="000000" w:themeColor="text1"/>
          <w:sz w:val="22"/>
          <w:szCs w:val="22"/>
          <w:lang w:val="es-ES_tradnl"/>
        </w:rPr>
        <w:t xml:space="preserve">el contrato que llegare a celebrarse, pues, según el artículo 1519 del Código Civil, </w:t>
      </w:r>
      <w:r w:rsidR="00C939D1" w:rsidRPr="00742BED">
        <w:rPr>
          <w:rFonts w:ascii="Arial" w:eastAsia="Calibri" w:hAnsi="Arial" w:cs="Arial"/>
          <w:color w:val="000000" w:themeColor="text1"/>
          <w:sz w:val="22"/>
          <w:szCs w:val="22"/>
          <w:lang w:val="es-ES_tradnl"/>
        </w:rPr>
        <w:t>«Hay un objeto ilícito en todo lo que contraviene al derecho público de la nación».</w:t>
      </w:r>
      <w:r w:rsidR="005E5022" w:rsidRPr="00742BED">
        <w:rPr>
          <w:rFonts w:ascii="Arial" w:eastAsia="Calibri" w:hAnsi="Arial" w:cs="Arial"/>
          <w:color w:val="000000" w:themeColor="text1"/>
          <w:sz w:val="22"/>
          <w:szCs w:val="22"/>
          <w:lang w:val="es-ES_tradnl"/>
        </w:rPr>
        <w:t xml:space="preserve"> </w:t>
      </w:r>
    </w:p>
    <w:p w14:paraId="71D02173" w14:textId="25435A15" w:rsidR="00B92871" w:rsidRPr="00742BED" w:rsidRDefault="00652F4D" w:rsidP="00B92871">
      <w:pPr>
        <w:spacing w:before="120"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lastRenderedPageBreak/>
        <w:t>Esta causal debe ser declarada en un proceso judicial, es decir que no opera de pleno derecho, como se deduce del artículo 1742 del Código Civil</w:t>
      </w:r>
      <w:r w:rsidRPr="00742BED">
        <w:rPr>
          <w:rStyle w:val="Refdenotaalpie"/>
          <w:rFonts w:ascii="Arial" w:eastAsia="Calibri" w:hAnsi="Arial" w:cs="Arial"/>
          <w:color w:val="000000" w:themeColor="text1"/>
          <w:sz w:val="22"/>
          <w:szCs w:val="22"/>
          <w:lang w:val="es-ES_tradnl"/>
        </w:rPr>
        <w:footnoteReference w:id="11"/>
      </w:r>
      <w:r w:rsidRPr="00742BED">
        <w:rPr>
          <w:rFonts w:ascii="Arial" w:eastAsia="Calibri" w:hAnsi="Arial" w:cs="Arial"/>
          <w:color w:val="000000" w:themeColor="text1"/>
          <w:sz w:val="22"/>
          <w:szCs w:val="22"/>
          <w:lang w:val="es-ES_tradnl"/>
        </w:rPr>
        <w:t xml:space="preserve">. </w:t>
      </w:r>
      <w:r w:rsidR="0050309C" w:rsidRPr="00742BED">
        <w:rPr>
          <w:rFonts w:ascii="Arial" w:eastAsia="Calibri" w:hAnsi="Arial" w:cs="Arial"/>
          <w:color w:val="000000" w:themeColor="text1"/>
          <w:sz w:val="22"/>
          <w:szCs w:val="22"/>
          <w:lang w:val="es-ES_tradnl"/>
        </w:rPr>
        <w:t>Dicha</w:t>
      </w:r>
      <w:r w:rsidR="003D370F" w:rsidRPr="00742BED">
        <w:rPr>
          <w:rFonts w:ascii="Arial" w:eastAsia="Calibri" w:hAnsi="Arial" w:cs="Arial"/>
          <w:color w:val="000000" w:themeColor="text1"/>
          <w:sz w:val="22"/>
          <w:szCs w:val="22"/>
          <w:lang w:val="es-ES_tradnl"/>
        </w:rPr>
        <w:t xml:space="preserve"> causal de nulidad absoluta también se reconoce en el artículo 44 de la Ley 80 de 1993 para las entidades estatales que se rigen por </w:t>
      </w:r>
      <w:r w:rsidR="0050309C" w:rsidRPr="00742BED">
        <w:rPr>
          <w:rFonts w:ascii="Arial" w:eastAsia="Calibri" w:hAnsi="Arial" w:cs="Arial"/>
          <w:color w:val="000000" w:themeColor="text1"/>
          <w:sz w:val="22"/>
          <w:szCs w:val="22"/>
          <w:lang w:val="es-ES_tradnl"/>
        </w:rPr>
        <w:t>esta</w:t>
      </w:r>
      <w:r w:rsidR="0050309C" w:rsidRPr="00742BED">
        <w:rPr>
          <w:rStyle w:val="Refdenotaalpie"/>
          <w:rFonts w:ascii="Arial" w:eastAsia="Calibri" w:hAnsi="Arial" w:cs="Arial"/>
          <w:color w:val="000000" w:themeColor="text1"/>
          <w:sz w:val="22"/>
          <w:szCs w:val="22"/>
          <w:lang w:val="es-ES_tradnl"/>
        </w:rPr>
        <w:footnoteReference w:id="12"/>
      </w:r>
      <w:r w:rsidR="001C0C86" w:rsidRPr="00742BED">
        <w:rPr>
          <w:rFonts w:ascii="Arial" w:eastAsia="Calibri" w:hAnsi="Arial" w:cs="Arial"/>
          <w:color w:val="000000" w:themeColor="text1"/>
          <w:sz w:val="22"/>
          <w:szCs w:val="22"/>
          <w:lang w:val="es-ES_tradnl"/>
        </w:rPr>
        <w:t>. La Sección Tercera del Consejo de Estado ha admitido la consecuencia jurídica de la nulidad absoluta del contrato por</w:t>
      </w:r>
      <w:r w:rsidR="0036086B" w:rsidRPr="00742BED">
        <w:rPr>
          <w:rFonts w:ascii="Arial" w:eastAsia="Calibri" w:hAnsi="Arial" w:cs="Arial"/>
          <w:color w:val="000000" w:themeColor="text1"/>
          <w:sz w:val="22"/>
          <w:szCs w:val="22"/>
          <w:lang w:val="es-ES_tradnl"/>
        </w:rPr>
        <w:t xml:space="preserve"> omitir los factores de desempate en el pliego de condiciones o documento equivalente, </w:t>
      </w:r>
      <w:r w:rsidR="004836D7" w:rsidRPr="00742BED">
        <w:rPr>
          <w:rFonts w:ascii="Arial" w:eastAsia="Calibri" w:hAnsi="Arial" w:cs="Arial"/>
          <w:color w:val="000000" w:themeColor="text1"/>
          <w:sz w:val="22"/>
          <w:szCs w:val="22"/>
          <w:lang w:val="es-ES_tradnl"/>
        </w:rPr>
        <w:t xml:space="preserve">afirmando que </w:t>
      </w:r>
      <w:r w:rsidR="00BD6265" w:rsidRPr="00742BED">
        <w:rPr>
          <w:rFonts w:ascii="Arial" w:eastAsia="Calibri" w:hAnsi="Arial" w:cs="Arial"/>
          <w:color w:val="000000" w:themeColor="text1"/>
          <w:sz w:val="22"/>
          <w:szCs w:val="22"/>
          <w:lang w:val="es-ES_tradnl"/>
        </w:rPr>
        <w:t>«</w:t>
      </w:r>
      <w:r w:rsidR="0036086B" w:rsidRPr="00742BED">
        <w:rPr>
          <w:rFonts w:ascii="Arial" w:eastAsia="Calibri" w:hAnsi="Arial" w:cs="Arial"/>
          <w:color w:val="000000" w:themeColor="text1"/>
          <w:sz w:val="22"/>
          <w:szCs w:val="22"/>
          <w:lang w:val="es-ES_tradnl"/>
        </w:rPr>
        <w:t>[…</w:t>
      </w:r>
      <w:r w:rsidR="004836D7" w:rsidRPr="00742BED">
        <w:rPr>
          <w:rFonts w:ascii="Arial" w:eastAsia="Calibri" w:hAnsi="Arial" w:cs="Arial"/>
          <w:color w:val="000000" w:themeColor="text1"/>
          <w:sz w:val="22"/>
          <w:szCs w:val="22"/>
          <w:lang w:val="es-ES_tradnl"/>
        </w:rPr>
        <w:t>]</w:t>
      </w:r>
      <w:r w:rsidR="0036086B" w:rsidRPr="00742BED">
        <w:rPr>
          <w:rFonts w:ascii="Arial" w:eastAsia="Calibri" w:hAnsi="Arial" w:cs="Arial"/>
          <w:color w:val="000000" w:themeColor="text1"/>
          <w:sz w:val="22"/>
          <w:szCs w:val="22"/>
          <w:lang w:val="es-ES_tradnl"/>
        </w:rPr>
        <w:t>, existen criterios de desempate que se incorporan por Ley al contenido mínimo de las reglas del proceso de selección y que son de obligatoria observancia por parte de las entidades públicas</w:t>
      </w:r>
      <w:r w:rsidR="00BD6265" w:rsidRPr="00742BED">
        <w:rPr>
          <w:rFonts w:ascii="Arial" w:eastAsia="Calibri" w:hAnsi="Arial" w:cs="Arial"/>
          <w:color w:val="000000" w:themeColor="text1"/>
          <w:sz w:val="22"/>
          <w:szCs w:val="22"/>
          <w:lang w:val="es-ES_tradnl"/>
        </w:rPr>
        <w:t>»</w:t>
      </w:r>
      <w:r w:rsidR="005B0293" w:rsidRPr="00742BED">
        <w:rPr>
          <w:rStyle w:val="Refdenotaalpie"/>
          <w:rFonts w:ascii="Arial" w:eastAsia="Calibri" w:hAnsi="Arial" w:cs="Arial"/>
          <w:color w:val="000000" w:themeColor="text1"/>
          <w:sz w:val="22"/>
          <w:szCs w:val="22"/>
          <w:lang w:val="es-ES_tradnl"/>
        </w:rPr>
        <w:footnoteReference w:id="13"/>
      </w:r>
      <w:r w:rsidR="008A38DE" w:rsidRPr="00742BED">
        <w:rPr>
          <w:rFonts w:ascii="Arial" w:eastAsia="Calibri" w:hAnsi="Arial" w:cs="Arial"/>
          <w:color w:val="000000" w:themeColor="text1"/>
          <w:sz w:val="22"/>
          <w:szCs w:val="22"/>
          <w:lang w:val="es-ES_tradnl"/>
        </w:rPr>
        <w:t xml:space="preserve">, de manera que cuando se selecciona al futuro contratista sin haber considerado los criterios de desempate obligatorios, </w:t>
      </w:r>
      <w:r w:rsidR="00A169E2" w:rsidRPr="00742BED">
        <w:rPr>
          <w:rFonts w:ascii="Arial" w:eastAsia="Calibri" w:hAnsi="Arial" w:cs="Arial"/>
          <w:color w:val="000000" w:themeColor="text1"/>
          <w:sz w:val="22"/>
          <w:szCs w:val="22"/>
          <w:lang w:val="es-ES_tradnl"/>
        </w:rPr>
        <w:t xml:space="preserve">se atenta contra normas de orden público. Lo anterior, por cuanto: </w:t>
      </w:r>
    </w:p>
    <w:p w14:paraId="2FFD78FA" w14:textId="77777777" w:rsidR="00B92871" w:rsidRPr="00742BED" w:rsidRDefault="00B92871" w:rsidP="00B92871">
      <w:pPr>
        <w:ind w:left="709" w:right="709"/>
        <w:jc w:val="both"/>
        <w:rPr>
          <w:rFonts w:ascii="Arial" w:eastAsia="Calibri" w:hAnsi="Arial" w:cs="Arial"/>
          <w:color w:val="000000" w:themeColor="text1"/>
          <w:sz w:val="22"/>
          <w:szCs w:val="22"/>
          <w:lang w:val="es-ES_tradnl"/>
        </w:rPr>
      </w:pPr>
    </w:p>
    <w:p w14:paraId="148334B2" w14:textId="0962CBF7" w:rsidR="00B92871" w:rsidRPr="00742BED" w:rsidRDefault="00B92871" w:rsidP="00B92871">
      <w:pPr>
        <w:ind w:left="709" w:right="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es imposible seleccionar a un contratista en esas condiciones, pues esta será ajena al principio de selección objetiva y, por ende, se está en presencia de la causal de nulidad absoluta de la relación contractual así perfeccionada, contenida en el artículo 6 del Código Civil ─incorporada en el Estatuto Contractual del Estado en el inciso primero del artículo 44 de la Ley 80─, consistente en la vulneración de normas de orden público u objeto ilícito , siendo que se inobservó el contenido del literal b) del numeral 5 del artículo 24 y el artículo 29 de la Ley 80 de 1993</w:t>
      </w:r>
      <w:r w:rsidRPr="00742BED">
        <w:rPr>
          <w:rStyle w:val="Refdenotaalpie"/>
          <w:rFonts w:ascii="Arial" w:eastAsia="Calibri" w:hAnsi="Arial" w:cs="Arial"/>
          <w:color w:val="000000" w:themeColor="text1"/>
          <w:sz w:val="22"/>
          <w:szCs w:val="22"/>
          <w:lang w:val="es-ES_tradnl"/>
        </w:rPr>
        <w:footnoteReference w:id="14"/>
      </w:r>
      <w:r w:rsidRPr="00742BED">
        <w:rPr>
          <w:rFonts w:ascii="Arial" w:eastAsia="Calibri" w:hAnsi="Arial" w:cs="Arial"/>
          <w:color w:val="000000" w:themeColor="text1"/>
          <w:sz w:val="22"/>
          <w:szCs w:val="22"/>
          <w:lang w:val="es-ES_tradnl"/>
        </w:rPr>
        <w:t xml:space="preserve">.  </w:t>
      </w:r>
    </w:p>
    <w:p w14:paraId="6EE95B5C" w14:textId="77777777" w:rsidR="00B92871" w:rsidRPr="00742BED" w:rsidRDefault="00B92871" w:rsidP="00B92871">
      <w:pPr>
        <w:spacing w:line="276" w:lineRule="auto"/>
        <w:ind w:firstLine="709"/>
        <w:jc w:val="both"/>
        <w:rPr>
          <w:rFonts w:ascii="Arial" w:eastAsia="Calibri" w:hAnsi="Arial" w:cs="Arial"/>
          <w:color w:val="000000" w:themeColor="text1"/>
          <w:sz w:val="22"/>
          <w:szCs w:val="22"/>
          <w:lang w:val="es-ES_tradnl"/>
        </w:rPr>
      </w:pPr>
    </w:p>
    <w:p w14:paraId="6525352B" w14:textId="48F66883" w:rsidR="00325AD9" w:rsidRPr="00742BED" w:rsidRDefault="009F210A" w:rsidP="00B92871">
      <w:pPr>
        <w:spacing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Luego</w:t>
      </w:r>
      <w:r w:rsidR="00D82A7D" w:rsidRPr="00742BED">
        <w:rPr>
          <w:rFonts w:ascii="Arial" w:eastAsia="Calibri" w:hAnsi="Arial" w:cs="Arial"/>
          <w:color w:val="000000" w:themeColor="text1"/>
          <w:sz w:val="22"/>
          <w:szCs w:val="22"/>
          <w:lang w:val="es-ES_tradnl"/>
        </w:rPr>
        <w:t xml:space="preserve"> de aclarar</w:t>
      </w:r>
      <w:r w:rsidR="00325AD9" w:rsidRPr="00742BED">
        <w:rPr>
          <w:rFonts w:ascii="Arial" w:eastAsia="Calibri" w:hAnsi="Arial" w:cs="Arial"/>
          <w:color w:val="000000" w:themeColor="text1"/>
          <w:sz w:val="22"/>
          <w:szCs w:val="22"/>
          <w:lang w:val="es-ES_tradnl"/>
        </w:rPr>
        <w:t xml:space="preserve"> que el artículo 35 de la Ley </w:t>
      </w:r>
      <w:r w:rsidR="007B209C" w:rsidRPr="00742BED">
        <w:rPr>
          <w:rFonts w:ascii="Arial" w:eastAsia="Calibri" w:hAnsi="Arial" w:cs="Arial"/>
          <w:color w:val="000000" w:themeColor="text1"/>
          <w:sz w:val="22"/>
          <w:szCs w:val="22"/>
          <w:lang w:val="es-ES_tradnl"/>
        </w:rPr>
        <w:t>2069</w:t>
      </w:r>
      <w:r w:rsidR="00325AD9" w:rsidRPr="00742BED">
        <w:rPr>
          <w:rFonts w:ascii="Arial" w:eastAsia="Calibri" w:hAnsi="Arial" w:cs="Arial"/>
          <w:color w:val="000000" w:themeColor="text1"/>
          <w:sz w:val="22"/>
          <w:szCs w:val="22"/>
          <w:lang w:val="es-ES_tradnl"/>
        </w:rPr>
        <w:t xml:space="preserve"> de 2020 se encuentra vigente y que no requiere </w:t>
      </w:r>
      <w:r w:rsidR="00D82A7D" w:rsidRPr="00742BED">
        <w:rPr>
          <w:rFonts w:ascii="Arial" w:eastAsia="Calibri" w:hAnsi="Arial" w:cs="Arial"/>
          <w:color w:val="000000" w:themeColor="text1"/>
          <w:sz w:val="22"/>
          <w:szCs w:val="22"/>
          <w:lang w:val="es-ES_tradnl"/>
        </w:rPr>
        <w:t>reglamentación</w:t>
      </w:r>
      <w:r w:rsidR="00325AD9" w:rsidRPr="00742BED">
        <w:rPr>
          <w:rFonts w:ascii="Arial" w:eastAsia="Calibri" w:hAnsi="Arial" w:cs="Arial"/>
          <w:color w:val="000000" w:themeColor="text1"/>
          <w:sz w:val="22"/>
          <w:szCs w:val="22"/>
          <w:lang w:val="es-ES_tradnl"/>
        </w:rPr>
        <w:t xml:space="preserve"> previa para que </w:t>
      </w:r>
      <w:r w:rsidR="0041674B" w:rsidRPr="00742BED">
        <w:rPr>
          <w:rFonts w:ascii="Arial" w:eastAsia="Calibri" w:hAnsi="Arial" w:cs="Arial"/>
          <w:color w:val="000000" w:themeColor="text1"/>
          <w:sz w:val="22"/>
          <w:szCs w:val="22"/>
          <w:lang w:val="es-ES_tradnl"/>
        </w:rPr>
        <w:t xml:space="preserve">sea exigible en los procedimientos de selección, es </w:t>
      </w:r>
      <w:r w:rsidR="00961595" w:rsidRPr="00742BED">
        <w:rPr>
          <w:rFonts w:ascii="Arial" w:eastAsia="Calibri" w:hAnsi="Arial" w:cs="Arial"/>
          <w:color w:val="000000" w:themeColor="text1"/>
          <w:sz w:val="22"/>
          <w:szCs w:val="22"/>
          <w:lang w:val="es-ES_tradnl"/>
        </w:rPr>
        <w:t xml:space="preserve">necesario </w:t>
      </w:r>
      <w:r w:rsidR="0041674B" w:rsidRPr="00742BED">
        <w:rPr>
          <w:rFonts w:ascii="Arial" w:eastAsia="Calibri" w:hAnsi="Arial" w:cs="Arial"/>
          <w:color w:val="000000" w:themeColor="text1"/>
          <w:sz w:val="22"/>
          <w:szCs w:val="22"/>
          <w:lang w:val="es-ES_tradnl"/>
        </w:rPr>
        <w:t xml:space="preserve">hacer referencia al objeto de </w:t>
      </w:r>
      <w:r w:rsidR="00A00F5E" w:rsidRPr="00742BED">
        <w:rPr>
          <w:rFonts w:ascii="Arial" w:eastAsia="Calibri" w:hAnsi="Arial" w:cs="Arial"/>
          <w:color w:val="000000" w:themeColor="text1"/>
          <w:sz w:val="22"/>
          <w:szCs w:val="22"/>
          <w:lang w:val="es-ES_tradnl"/>
        </w:rPr>
        <w:t>la</w:t>
      </w:r>
      <w:r w:rsidR="0041674B" w:rsidRPr="00742BED">
        <w:rPr>
          <w:rFonts w:ascii="Arial" w:eastAsia="Calibri" w:hAnsi="Arial" w:cs="Arial"/>
          <w:color w:val="000000" w:themeColor="text1"/>
          <w:sz w:val="22"/>
          <w:szCs w:val="22"/>
          <w:lang w:val="es-ES_tradnl"/>
        </w:rPr>
        <w:t xml:space="preserve"> consulta. En ella se </w:t>
      </w:r>
      <w:r w:rsidR="00030DFB" w:rsidRPr="00742BED">
        <w:rPr>
          <w:rFonts w:ascii="Arial" w:eastAsia="Calibri" w:hAnsi="Arial" w:cs="Arial"/>
          <w:color w:val="000000" w:themeColor="text1"/>
          <w:sz w:val="22"/>
          <w:szCs w:val="22"/>
          <w:lang w:val="es-ES_tradnl"/>
        </w:rPr>
        <w:t xml:space="preserve">formula pregunta sobre </w:t>
      </w:r>
      <w:r w:rsidR="0030257B" w:rsidRPr="00742BED">
        <w:rPr>
          <w:rFonts w:ascii="Arial" w:eastAsia="Calibri" w:hAnsi="Arial" w:cs="Arial"/>
          <w:color w:val="000000" w:themeColor="text1"/>
          <w:sz w:val="22"/>
          <w:szCs w:val="22"/>
          <w:lang w:val="es-ES_tradnl"/>
        </w:rPr>
        <w:t xml:space="preserve">el sentido y forma de acreditación </w:t>
      </w:r>
      <w:r w:rsidR="004F2480" w:rsidRPr="00742BED">
        <w:rPr>
          <w:rFonts w:ascii="Arial" w:eastAsia="Calibri" w:hAnsi="Arial" w:cs="Arial"/>
          <w:color w:val="000000" w:themeColor="text1"/>
          <w:sz w:val="22"/>
          <w:szCs w:val="22"/>
          <w:lang w:val="es-ES_tradnl"/>
        </w:rPr>
        <w:t>del</w:t>
      </w:r>
      <w:r w:rsidR="0030257B" w:rsidRPr="00742BED">
        <w:rPr>
          <w:rFonts w:ascii="Arial" w:eastAsia="Calibri" w:hAnsi="Arial" w:cs="Arial"/>
          <w:color w:val="000000" w:themeColor="text1"/>
          <w:sz w:val="22"/>
          <w:szCs w:val="22"/>
          <w:lang w:val="es-ES_tradnl"/>
        </w:rPr>
        <w:t xml:space="preserve"> factor</w:t>
      </w:r>
      <w:r w:rsidR="004F2480" w:rsidRPr="00742BED">
        <w:rPr>
          <w:rFonts w:ascii="Arial" w:eastAsia="Calibri" w:hAnsi="Arial" w:cs="Arial"/>
          <w:color w:val="000000" w:themeColor="text1"/>
          <w:sz w:val="22"/>
          <w:szCs w:val="22"/>
          <w:lang w:val="es-ES_tradnl"/>
        </w:rPr>
        <w:t xml:space="preserve"> </w:t>
      </w:r>
      <w:r w:rsidR="0030257B" w:rsidRPr="00742BED">
        <w:rPr>
          <w:rFonts w:ascii="Arial" w:eastAsia="Calibri" w:hAnsi="Arial" w:cs="Arial"/>
          <w:color w:val="000000" w:themeColor="text1"/>
          <w:sz w:val="22"/>
          <w:szCs w:val="22"/>
          <w:lang w:val="es-ES_tradnl"/>
        </w:rPr>
        <w:t>de desempate previsto</w:t>
      </w:r>
      <w:r w:rsidR="00367603">
        <w:rPr>
          <w:rFonts w:ascii="Arial" w:eastAsia="Calibri" w:hAnsi="Arial" w:cs="Arial"/>
          <w:color w:val="000000" w:themeColor="text1"/>
          <w:sz w:val="22"/>
          <w:szCs w:val="22"/>
          <w:lang w:val="es-ES_tradnl"/>
        </w:rPr>
        <w:t xml:space="preserve"> hoy</w:t>
      </w:r>
      <w:r w:rsidR="0030257B" w:rsidRPr="00742BED">
        <w:rPr>
          <w:rFonts w:ascii="Arial" w:eastAsia="Calibri" w:hAnsi="Arial" w:cs="Arial"/>
          <w:color w:val="000000" w:themeColor="text1"/>
          <w:sz w:val="22"/>
          <w:szCs w:val="22"/>
          <w:lang w:val="es-ES_tradnl"/>
        </w:rPr>
        <w:t xml:space="preserve"> en </w:t>
      </w:r>
      <w:r w:rsidR="004F2480" w:rsidRPr="00742BED">
        <w:rPr>
          <w:rFonts w:ascii="Arial" w:eastAsia="Calibri" w:hAnsi="Arial" w:cs="Arial"/>
          <w:color w:val="000000" w:themeColor="text1"/>
          <w:sz w:val="22"/>
          <w:szCs w:val="22"/>
          <w:lang w:val="es-ES_tradnl"/>
        </w:rPr>
        <w:lastRenderedPageBreak/>
        <w:t>el</w:t>
      </w:r>
      <w:r w:rsidR="0030257B" w:rsidRPr="00742BED">
        <w:rPr>
          <w:rFonts w:ascii="Arial" w:eastAsia="Calibri" w:hAnsi="Arial" w:cs="Arial"/>
          <w:color w:val="000000" w:themeColor="text1"/>
          <w:sz w:val="22"/>
          <w:szCs w:val="22"/>
          <w:lang w:val="es-ES_tradnl"/>
        </w:rPr>
        <w:t xml:space="preserve"> numeral </w:t>
      </w:r>
      <w:r w:rsidR="00367603">
        <w:rPr>
          <w:rFonts w:ascii="Arial" w:eastAsia="Calibri" w:hAnsi="Arial" w:cs="Arial"/>
          <w:color w:val="000000" w:themeColor="text1"/>
          <w:sz w:val="22"/>
          <w:szCs w:val="22"/>
          <w:lang w:val="es-ES_tradnl"/>
        </w:rPr>
        <w:t>4</w:t>
      </w:r>
      <w:r w:rsidR="005F4596" w:rsidRPr="00742BED">
        <w:rPr>
          <w:rFonts w:ascii="Arial" w:eastAsia="Calibri" w:hAnsi="Arial" w:cs="Arial"/>
          <w:color w:val="000000" w:themeColor="text1"/>
          <w:sz w:val="22"/>
          <w:szCs w:val="22"/>
          <w:lang w:val="es-ES_tradnl"/>
        </w:rPr>
        <w:t xml:space="preserve"> </w:t>
      </w:r>
      <w:r w:rsidR="009C2210" w:rsidRPr="00742BED">
        <w:rPr>
          <w:rFonts w:ascii="Arial" w:eastAsia="Calibri" w:hAnsi="Arial" w:cs="Arial"/>
          <w:color w:val="000000" w:themeColor="text1"/>
          <w:sz w:val="22"/>
          <w:szCs w:val="22"/>
          <w:lang w:val="es-ES_tradnl"/>
        </w:rPr>
        <w:t>del artículo 35</w:t>
      </w:r>
      <w:r w:rsidR="00454DF8" w:rsidRPr="00742BED">
        <w:rPr>
          <w:rFonts w:ascii="Arial" w:eastAsia="Calibri" w:hAnsi="Arial" w:cs="Arial"/>
          <w:color w:val="000000" w:themeColor="text1"/>
          <w:sz w:val="22"/>
          <w:szCs w:val="22"/>
          <w:lang w:val="es-ES_tradnl"/>
        </w:rPr>
        <w:t xml:space="preserve">. </w:t>
      </w:r>
      <w:r w:rsidR="00E073FC" w:rsidRPr="00742BED">
        <w:rPr>
          <w:rFonts w:ascii="Arial" w:eastAsia="Calibri" w:hAnsi="Arial" w:cs="Arial"/>
          <w:color w:val="000000" w:themeColor="text1"/>
          <w:sz w:val="22"/>
          <w:szCs w:val="22"/>
          <w:lang w:val="es-ES_tradnl"/>
        </w:rPr>
        <w:t>La</w:t>
      </w:r>
      <w:r w:rsidR="00454DF8" w:rsidRPr="00742BED">
        <w:rPr>
          <w:rFonts w:ascii="Arial" w:eastAsia="Calibri" w:hAnsi="Arial" w:cs="Arial"/>
          <w:color w:val="000000" w:themeColor="text1"/>
          <w:sz w:val="22"/>
          <w:szCs w:val="22"/>
          <w:lang w:val="es-ES_tradnl"/>
        </w:rPr>
        <w:t xml:space="preserve"> disposici</w:t>
      </w:r>
      <w:r w:rsidR="004560FE" w:rsidRPr="00742BED">
        <w:rPr>
          <w:rFonts w:ascii="Arial" w:eastAsia="Calibri" w:hAnsi="Arial" w:cs="Arial"/>
          <w:color w:val="000000" w:themeColor="text1"/>
          <w:sz w:val="22"/>
          <w:szCs w:val="22"/>
          <w:lang w:val="es-ES_tradnl"/>
        </w:rPr>
        <w:t>ón</w:t>
      </w:r>
      <w:r w:rsidR="00454DF8" w:rsidRPr="00742BED">
        <w:rPr>
          <w:rFonts w:ascii="Arial" w:eastAsia="Calibri" w:hAnsi="Arial" w:cs="Arial"/>
          <w:color w:val="000000" w:themeColor="text1"/>
          <w:sz w:val="22"/>
          <w:szCs w:val="22"/>
          <w:lang w:val="es-ES_tradnl"/>
        </w:rPr>
        <w:t xml:space="preserve"> </w:t>
      </w:r>
      <w:r w:rsidR="00E073FC" w:rsidRPr="00742BED">
        <w:rPr>
          <w:rFonts w:ascii="Arial" w:eastAsia="Calibri" w:hAnsi="Arial" w:cs="Arial"/>
          <w:color w:val="000000" w:themeColor="text1"/>
          <w:sz w:val="22"/>
          <w:szCs w:val="22"/>
          <w:lang w:val="es-ES_tradnl"/>
        </w:rPr>
        <w:t>objeto de consulta</w:t>
      </w:r>
      <w:r w:rsidR="004560FE" w:rsidRPr="00742BED">
        <w:rPr>
          <w:rFonts w:ascii="Arial" w:eastAsia="Calibri" w:hAnsi="Arial" w:cs="Arial"/>
          <w:color w:val="000000" w:themeColor="text1"/>
          <w:sz w:val="22"/>
          <w:szCs w:val="22"/>
          <w:lang w:val="es-ES_tradnl"/>
        </w:rPr>
        <w:t xml:space="preserve"> </w:t>
      </w:r>
      <w:r w:rsidR="00694E8B" w:rsidRPr="00742BED">
        <w:rPr>
          <w:rFonts w:ascii="Arial" w:eastAsia="Calibri" w:hAnsi="Arial" w:cs="Arial"/>
          <w:color w:val="000000" w:themeColor="text1"/>
          <w:sz w:val="22"/>
          <w:szCs w:val="22"/>
          <w:lang w:val="es-ES_tradnl"/>
        </w:rPr>
        <w:t>está redactada de la siguiente manera</w:t>
      </w:r>
      <w:r w:rsidR="00BB606C" w:rsidRPr="00742BED">
        <w:rPr>
          <w:rFonts w:ascii="Arial" w:hAnsi="Arial" w:cs="Arial"/>
          <w:color w:val="000000" w:themeColor="text1"/>
          <w:sz w:val="22"/>
          <w:szCs w:val="22"/>
          <w:lang w:val="es-ES_tradnl"/>
        </w:rPr>
        <w:t>:</w:t>
      </w:r>
      <w:r w:rsidR="00E073FC" w:rsidRPr="00742BED">
        <w:rPr>
          <w:rFonts w:ascii="Arial" w:hAnsi="Arial" w:cs="Arial"/>
          <w:color w:val="000000" w:themeColor="text1"/>
          <w:sz w:val="22"/>
          <w:szCs w:val="22"/>
          <w:lang w:val="es-ES_tradnl"/>
        </w:rPr>
        <w:t xml:space="preserve"> </w:t>
      </w:r>
    </w:p>
    <w:p w14:paraId="0F63709A" w14:textId="74E372D9" w:rsidR="00BB606C" w:rsidRPr="00742BED" w:rsidRDefault="00BB606C" w:rsidP="004B205A">
      <w:pPr>
        <w:spacing w:line="276" w:lineRule="auto"/>
        <w:ind w:firstLine="709"/>
        <w:jc w:val="both"/>
        <w:rPr>
          <w:rFonts w:ascii="Arial" w:hAnsi="Arial" w:cs="Arial"/>
          <w:color w:val="000000" w:themeColor="text1"/>
          <w:sz w:val="21"/>
          <w:szCs w:val="21"/>
          <w:lang w:val="es-ES_tradnl"/>
        </w:rPr>
      </w:pPr>
    </w:p>
    <w:p w14:paraId="0BC827BE" w14:textId="77777777" w:rsidR="00530458" w:rsidRPr="00742BED" w:rsidRDefault="00530458" w:rsidP="00C0167E">
      <w:pPr>
        <w:spacing w:after="120"/>
        <w:ind w:left="709" w:right="709"/>
        <w:jc w:val="both"/>
        <w:rPr>
          <w:rFonts w:ascii="Arial" w:eastAsia="Calibri" w:hAnsi="Arial" w:cs="Arial"/>
          <w:color w:val="000000" w:themeColor="text1"/>
          <w:sz w:val="21"/>
          <w:szCs w:val="21"/>
          <w:lang w:val="es-ES_tradnl"/>
        </w:rPr>
      </w:pPr>
      <w:r w:rsidRPr="00742BED">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0CDD4CD6" w14:textId="60DC1C87" w:rsidR="00E643A3" w:rsidRPr="003B70AF" w:rsidRDefault="00530458" w:rsidP="003B70AF">
      <w:pPr>
        <w:spacing w:after="120"/>
        <w:ind w:left="709" w:right="709"/>
        <w:jc w:val="both"/>
        <w:rPr>
          <w:rFonts w:ascii="Arial" w:eastAsia="Calibri" w:hAnsi="Arial" w:cs="Arial"/>
          <w:color w:val="000000" w:themeColor="text1"/>
          <w:sz w:val="21"/>
          <w:szCs w:val="21"/>
          <w:lang w:val="es-ES_tradnl"/>
        </w:rPr>
      </w:pPr>
      <w:r w:rsidRPr="00742BED">
        <w:rPr>
          <w:rFonts w:ascii="Arial" w:eastAsia="Calibri" w:hAnsi="Arial" w:cs="Arial"/>
          <w:color w:val="000000" w:themeColor="text1"/>
          <w:sz w:val="21"/>
          <w:szCs w:val="21"/>
          <w:lang w:val="es-ES_tradnl"/>
        </w:rPr>
        <w:t>[…]</w:t>
      </w:r>
    </w:p>
    <w:p w14:paraId="20D973A7" w14:textId="520CC0A6" w:rsidR="00E643A3" w:rsidRPr="00742BED" w:rsidRDefault="00E643A3" w:rsidP="00E643A3">
      <w:pPr>
        <w:spacing w:after="120"/>
        <w:ind w:left="709" w:right="709"/>
        <w:jc w:val="both"/>
        <w:rPr>
          <w:rFonts w:ascii="Arial" w:eastAsia="Calibri" w:hAnsi="Arial" w:cs="Arial"/>
          <w:sz w:val="21"/>
          <w:szCs w:val="21"/>
          <w:lang w:val="es-ES_tradnl"/>
        </w:rPr>
      </w:pPr>
      <w:r w:rsidRPr="00742BED">
        <w:rPr>
          <w:rFonts w:ascii="Arial" w:eastAsia="Calibri" w:hAnsi="Arial" w:cs="Arial"/>
          <w:sz w:val="21"/>
          <w:szCs w:val="21"/>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297E7416" w14:textId="77777777" w:rsidR="00FF26FB" w:rsidRPr="00742BED" w:rsidRDefault="00FF26FB" w:rsidP="00FF26FB">
      <w:pPr>
        <w:spacing w:after="120"/>
        <w:ind w:left="709" w:right="709"/>
        <w:jc w:val="both"/>
        <w:rPr>
          <w:rFonts w:ascii="Arial" w:eastAsia="Calibri" w:hAnsi="Arial" w:cs="Arial"/>
          <w:sz w:val="21"/>
          <w:szCs w:val="21"/>
          <w:lang w:val="es-ES_tradnl"/>
        </w:rPr>
      </w:pPr>
      <w:r w:rsidRPr="00742BED">
        <w:rPr>
          <w:rFonts w:ascii="Arial" w:eastAsia="Calibri" w:hAnsi="Arial" w:cs="Arial"/>
          <w:sz w:val="21"/>
          <w:szCs w:val="21"/>
          <w:lang w:val="es-ES_tradnl"/>
        </w:rPr>
        <w:t>[…]</w:t>
      </w:r>
    </w:p>
    <w:p w14:paraId="5E1207E2" w14:textId="74C55D63" w:rsidR="00766D49" w:rsidRPr="00742BED" w:rsidRDefault="00766D49" w:rsidP="00FF26FB">
      <w:pPr>
        <w:ind w:right="709"/>
        <w:jc w:val="both"/>
        <w:rPr>
          <w:rFonts w:ascii="Arial" w:eastAsia="Calibri" w:hAnsi="Arial" w:cs="Arial"/>
          <w:color w:val="000000" w:themeColor="text1"/>
          <w:sz w:val="21"/>
          <w:szCs w:val="21"/>
          <w:lang w:val="es-ES_tradnl"/>
        </w:rPr>
      </w:pPr>
    </w:p>
    <w:p w14:paraId="085ABD8E" w14:textId="5F182324" w:rsidR="00380B96" w:rsidRPr="00742BED" w:rsidRDefault="00CC4EF4" w:rsidP="00277EC1">
      <w:pPr>
        <w:spacing w:line="276" w:lineRule="auto"/>
        <w:ind w:firstLine="709"/>
        <w:jc w:val="both"/>
        <w:rPr>
          <w:rFonts w:ascii="Arial" w:eastAsia="Calibri" w:hAnsi="Arial" w:cs="Arial"/>
          <w:color w:val="000000" w:themeColor="text1"/>
          <w:sz w:val="22"/>
          <w:szCs w:val="22"/>
          <w:lang w:val="es-ES_tradnl"/>
        </w:rPr>
      </w:pPr>
      <w:r w:rsidRPr="00742BED">
        <w:rPr>
          <w:rFonts w:ascii="Arial" w:eastAsia="Calibri" w:hAnsi="Arial" w:cs="Arial"/>
          <w:color w:val="000000" w:themeColor="text1"/>
          <w:sz w:val="22"/>
          <w:szCs w:val="22"/>
          <w:lang w:val="es-ES_tradnl"/>
        </w:rPr>
        <w:t xml:space="preserve">Como se advierte, </w:t>
      </w:r>
      <w:r w:rsidR="004560FE" w:rsidRPr="00742BED">
        <w:rPr>
          <w:rFonts w:ascii="Arial" w:eastAsia="Calibri" w:hAnsi="Arial" w:cs="Arial"/>
          <w:color w:val="000000" w:themeColor="text1"/>
          <w:sz w:val="22"/>
          <w:szCs w:val="22"/>
          <w:lang w:val="es-ES_tradnl"/>
        </w:rPr>
        <w:t>este</w:t>
      </w:r>
      <w:r w:rsidRPr="00742BED">
        <w:rPr>
          <w:rFonts w:ascii="Arial" w:eastAsia="Calibri" w:hAnsi="Arial" w:cs="Arial"/>
          <w:color w:val="000000" w:themeColor="text1"/>
          <w:sz w:val="22"/>
          <w:szCs w:val="22"/>
          <w:lang w:val="es-ES_tradnl"/>
        </w:rPr>
        <w:t xml:space="preserve"> numeral </w:t>
      </w:r>
      <w:bookmarkStart w:id="2" w:name="_Hlk62459524"/>
      <w:r w:rsidRPr="00742BED">
        <w:rPr>
          <w:rFonts w:ascii="Arial" w:eastAsia="Calibri" w:hAnsi="Arial" w:cs="Arial"/>
          <w:color w:val="000000" w:themeColor="text1"/>
          <w:sz w:val="22"/>
          <w:szCs w:val="22"/>
          <w:lang w:val="es-ES_tradnl"/>
        </w:rPr>
        <w:t xml:space="preserve">no establece un medio específico para acreditar las circunstancias a las que se refiere.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w:t>
      </w:r>
      <w:r w:rsidR="00345965" w:rsidRPr="00742BED">
        <w:rPr>
          <w:rFonts w:ascii="Arial" w:eastAsia="Calibri" w:hAnsi="Arial" w:cs="Arial"/>
          <w:color w:val="000000" w:themeColor="text1"/>
          <w:sz w:val="22"/>
          <w:szCs w:val="22"/>
          <w:lang w:val="es-ES_tradnl"/>
        </w:rPr>
        <w:t>encuentra</w:t>
      </w:r>
      <w:r w:rsidRPr="00742BED">
        <w:rPr>
          <w:rFonts w:ascii="Arial" w:eastAsia="Calibri" w:hAnsi="Arial" w:cs="Arial"/>
          <w:color w:val="000000" w:themeColor="text1"/>
          <w:sz w:val="22"/>
          <w:szCs w:val="22"/>
          <w:lang w:val="es-ES_tradnl"/>
        </w:rPr>
        <w:t xml:space="preserve"> bajo la condición que permite aplicar la regla de desempate. Por supuesto, el decreto reglamentario que expida el gobierno nacional para garantizar la cumplida ejecución de la Ley </w:t>
      </w:r>
      <w:r w:rsidR="007B209C" w:rsidRPr="00742BED">
        <w:rPr>
          <w:rFonts w:ascii="Arial" w:eastAsia="Calibri" w:hAnsi="Arial" w:cs="Arial"/>
          <w:color w:val="000000" w:themeColor="text1"/>
          <w:sz w:val="22"/>
          <w:szCs w:val="22"/>
          <w:lang w:val="es-ES_tradnl"/>
        </w:rPr>
        <w:t>2069</w:t>
      </w:r>
      <w:r w:rsidRPr="00742BED">
        <w:rPr>
          <w:rFonts w:ascii="Arial" w:eastAsia="Calibri" w:hAnsi="Arial" w:cs="Arial"/>
          <w:color w:val="000000" w:themeColor="text1"/>
          <w:sz w:val="22"/>
          <w:szCs w:val="22"/>
          <w:lang w:val="es-ES_tradnl"/>
        </w:rPr>
        <w:t xml:space="preserve"> de 2020 podría establecer los medios de prueba, así como las autoridades encargadas de certificar las circunstancias del artículo 35. Sin embargo, mientras ello no suceda, deberá aplicarse el criterio indicado con anterioridad.</w:t>
      </w:r>
    </w:p>
    <w:bookmarkEnd w:id="2"/>
    <w:p w14:paraId="244BF9C2" w14:textId="3D02F9B5" w:rsidR="00F20C85" w:rsidRPr="00F20C85" w:rsidRDefault="004567DA" w:rsidP="00F20C85">
      <w:pPr>
        <w:spacing w:before="120" w:line="276" w:lineRule="auto"/>
        <w:ind w:firstLine="709"/>
        <w:jc w:val="both"/>
        <w:rPr>
          <w:rFonts w:ascii="Arial" w:eastAsia="Calibri" w:hAnsi="Arial" w:cs="Arial"/>
          <w:sz w:val="22"/>
          <w:szCs w:val="22"/>
          <w:lang w:val="es-ES_tradnl"/>
        </w:rPr>
      </w:pPr>
      <w:r w:rsidRPr="00742BED">
        <w:rPr>
          <w:rFonts w:ascii="Arial" w:eastAsia="Calibri" w:hAnsi="Arial" w:cs="Arial"/>
          <w:color w:val="000000" w:themeColor="text1"/>
          <w:sz w:val="22"/>
          <w:szCs w:val="22"/>
          <w:lang w:val="es-ES_tradnl"/>
        </w:rPr>
        <w:t>Así,</w:t>
      </w:r>
      <w:r w:rsidR="00F20C85">
        <w:rPr>
          <w:rFonts w:ascii="Arial" w:eastAsia="Calibri" w:hAnsi="Arial" w:cs="Arial"/>
          <w:color w:val="000000" w:themeColor="text1"/>
          <w:sz w:val="22"/>
          <w:szCs w:val="22"/>
          <w:lang w:val="es-ES_tradnl"/>
        </w:rPr>
        <w:t xml:space="preserve"> en relación </w:t>
      </w:r>
      <w:r w:rsidR="00F20C85" w:rsidRPr="00F20C85">
        <w:rPr>
          <w:rFonts w:ascii="Arial" w:eastAsia="Calibri" w:hAnsi="Arial" w:cs="Arial"/>
          <w:sz w:val="22"/>
          <w:szCs w:val="22"/>
          <w:lang w:val="es-ES_tradnl"/>
        </w:rPr>
        <w:t xml:space="preserve">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w:t>
      </w:r>
      <w:proofErr w:type="gramStart"/>
      <w:r w:rsidR="00F20C85" w:rsidRPr="00F20C85">
        <w:rPr>
          <w:rFonts w:ascii="Arial" w:eastAsia="Calibri" w:hAnsi="Arial" w:cs="Arial"/>
          <w:sz w:val="22"/>
          <w:szCs w:val="22"/>
          <w:lang w:val="es-ES_tradnl"/>
        </w:rPr>
        <w:t>años de edad</w:t>
      </w:r>
      <w:proofErr w:type="gramEnd"/>
      <w:r w:rsidR="00F20C85" w:rsidRPr="00F20C85">
        <w:rPr>
          <w:rFonts w:ascii="Arial" w:eastAsia="Calibri" w:hAnsi="Arial" w:cs="Arial"/>
          <w:sz w:val="22"/>
          <w:szCs w:val="22"/>
          <w:lang w:val="es-ES_tradnl"/>
        </w:rPr>
        <w:t xml:space="preserve"> o más», lo cual se puede acreditar con el documento de identidad correspondiente. En todo caso, conforme a lo explicado en el Concepto 206 del 3 de mayo de 2021, también existe de la </w:t>
      </w:r>
      <w:r w:rsidR="00F20C85" w:rsidRPr="00F20C85">
        <w:rPr>
          <w:rFonts w:ascii="Arial" w:eastAsia="Calibri" w:hAnsi="Arial" w:cs="Arial"/>
          <w:sz w:val="22"/>
          <w:szCs w:val="22"/>
          <w:lang w:val="es-ES_tradnl"/>
        </w:rPr>
        <w:lastRenderedPageBreak/>
        <w:t>posibilidad de entender que esta causal aplica a todas las personas que –en el rango de edad correspondiente a cada género– no han alcanzado la pensión, interpretación que – sin perjuicio de lo que defina el reglamento– está más ajustada al principio de favorabilidad.</w:t>
      </w:r>
    </w:p>
    <w:p w14:paraId="11B959D3" w14:textId="77777777" w:rsidR="00F20C85" w:rsidRPr="00F20C85" w:rsidRDefault="00F20C85" w:rsidP="00F20C85">
      <w:pPr>
        <w:spacing w:before="120" w:line="276" w:lineRule="auto"/>
        <w:ind w:firstLine="709"/>
        <w:jc w:val="both"/>
        <w:rPr>
          <w:rFonts w:ascii="Arial" w:hAnsi="Arial" w:cs="Arial"/>
          <w:sz w:val="22"/>
          <w:szCs w:val="22"/>
          <w:lang w:val="es-ES_tradnl"/>
        </w:rPr>
      </w:pPr>
      <w:r w:rsidRPr="00F20C85">
        <w:rPr>
          <w:rFonts w:ascii="Arial" w:hAnsi="Arial" w:cs="Arial"/>
          <w:sz w:val="22"/>
          <w:szCs w:val="22"/>
          <w:lang w:val="es-ES_tradnl"/>
        </w:rPr>
        <w:t xml:space="preserve">El numeral dispone que en dicho evento la regla de desempate se aplica a favor del «[…] oferente que acredite la vinculación en </w:t>
      </w:r>
      <w:bookmarkStart w:id="3" w:name="_Hlk72755608"/>
      <w:r w:rsidRPr="00F20C85">
        <w:rPr>
          <w:rFonts w:ascii="Arial" w:hAnsi="Arial" w:cs="Arial"/>
          <w:sz w:val="22"/>
          <w:szCs w:val="22"/>
          <w:lang w:val="es-ES_tradnl"/>
        </w:rPr>
        <w:t>mayor proporción de personas mayores que no sean beneficiarios de la pensión de vejez, familiar o de sobrevivencia y que hayan cumplido el requisito de edad de pensión establecido en la Ley»</w:t>
      </w:r>
      <w:bookmarkEnd w:id="3"/>
      <w:r w:rsidRPr="00F20C85">
        <w:rPr>
          <w:rFonts w:ascii="Arial" w:hAnsi="Arial" w:cs="Arial"/>
          <w:sz w:val="22"/>
          <w:szCs w:val="22"/>
          <w:lang w:val="es-ES_tradnl"/>
        </w:rPr>
        <w:t xml:space="preserve">. </w:t>
      </w:r>
      <w:bookmarkStart w:id="4" w:name="_Hlk72753138"/>
      <w:r w:rsidRPr="00F20C85">
        <w:rPr>
          <w:rFonts w:ascii="Arial" w:hAnsi="Arial" w:cs="Arial"/>
          <w:sz w:val="22"/>
          <w:szCs w:val="22"/>
          <w:lang w:val="es-ES_tradnl"/>
        </w:rPr>
        <w:t>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w:t>
      </w:r>
      <w:bookmarkEnd w:id="4"/>
      <w:r w:rsidRPr="00F20C85">
        <w:rPr>
          <w:rFonts w:ascii="Arial" w:hAnsi="Arial" w:cs="Arial"/>
          <w:sz w:val="22"/>
          <w:szCs w:val="22"/>
          <w:lang w:val="es-ES_tradnl"/>
        </w:rPr>
        <w:t xml:space="preserve">, añadiendo que la «vinculación en mayor proporción» debe analizarse respecto al número de trabajadores de la planta de personal. </w:t>
      </w:r>
    </w:p>
    <w:p w14:paraId="0EB7BF09" w14:textId="77777777" w:rsidR="00F20C85" w:rsidRPr="00F20C85" w:rsidRDefault="00F20C85" w:rsidP="00F20C85">
      <w:pPr>
        <w:spacing w:before="120" w:line="276" w:lineRule="auto"/>
        <w:ind w:firstLine="709"/>
        <w:jc w:val="both"/>
        <w:rPr>
          <w:rFonts w:ascii="Arial" w:hAnsi="Arial" w:cs="Arial"/>
          <w:sz w:val="22"/>
          <w:szCs w:val="22"/>
          <w:lang w:val="es-ES_tradnl"/>
        </w:rPr>
      </w:pPr>
      <w:r w:rsidRPr="00F20C85">
        <w:rPr>
          <w:rFonts w:ascii="Arial" w:hAnsi="Arial" w:cs="Arial"/>
          <w:sz w:val="22"/>
          <w:szCs w:val="22"/>
          <w:lang w:val="es-ES_tradnl"/>
        </w:rPr>
        <w:t>Al respecto,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14:paraId="3A286568" w14:textId="77777777" w:rsidR="00F20C85" w:rsidRPr="00F20C85" w:rsidRDefault="00F20C85" w:rsidP="00F20C85">
      <w:pPr>
        <w:spacing w:before="120" w:line="276" w:lineRule="auto"/>
        <w:ind w:firstLine="709"/>
        <w:jc w:val="both"/>
        <w:rPr>
          <w:rFonts w:ascii="Arial" w:hAnsi="Arial" w:cs="Arial"/>
          <w:sz w:val="22"/>
          <w:szCs w:val="22"/>
          <w:lang w:val="es-ES_tradnl"/>
        </w:rPr>
      </w:pPr>
      <w:r w:rsidRPr="00F20C85">
        <w:rPr>
          <w:rFonts w:ascii="Arial" w:hAnsi="Arial" w:cs="Arial"/>
          <w:sz w:val="22"/>
          <w:szCs w:val="22"/>
          <w:lang w:val="es-ES_tradnl"/>
        </w:rPr>
        <w:t>Conforme a la definición del Diccionario de la RAE, la palabra «proporción» es la «Igualdad de dos razones». Esta expresión tiene una definición propia en el campo de las matemáticas, pues alude a una relación o razón constante entre diferentes magnitudes que se vayan a medir. Por esta razón, la «[…] mayor proporción de personas mayores que no sean beneficiarios de la pensión de vejez, familiar o de sobrevivencia y que hayan cumplido el requisito de edad de pensión establecido en la Ley» no corresponde a un valor absoluto, sino relativo.</w:t>
      </w:r>
    </w:p>
    <w:p w14:paraId="3AC715E8" w14:textId="31AFB319" w:rsidR="00F20C85" w:rsidRPr="00F20C85" w:rsidRDefault="00F20C85" w:rsidP="00F20C85">
      <w:pPr>
        <w:spacing w:before="120" w:line="276" w:lineRule="auto"/>
        <w:ind w:firstLine="709"/>
        <w:jc w:val="both"/>
        <w:rPr>
          <w:rFonts w:ascii="Arial" w:hAnsi="Arial" w:cs="Arial"/>
          <w:sz w:val="22"/>
          <w:szCs w:val="22"/>
          <w:lang w:val="es-ES_tradnl"/>
        </w:rPr>
      </w:pPr>
      <w:r w:rsidRPr="00F20C85">
        <w:rPr>
          <w:rFonts w:ascii="Arial" w:hAnsi="Arial" w:cs="Arial"/>
          <w:sz w:val="22"/>
          <w:szCs w:val="22"/>
          <w:lang w:val="es-ES_tradnl"/>
        </w:rPr>
        <w:t>En efecto, el factor de desempate del artículo 35.4 de la Ley 2069 de 2020 no se refiere a la «vinculación en mayor cantidad» de personas mayores. En este caso, bastaría comparar el número de personas vinculadas entre cada uno de los proponentes empatados, adjudicando el contrato a aquel que m</w:t>
      </w:r>
      <w:r w:rsidR="00162065">
        <w:rPr>
          <w:rFonts w:ascii="Arial" w:hAnsi="Arial" w:cs="Arial"/>
          <w:sz w:val="22"/>
          <w:szCs w:val="22"/>
          <w:lang w:val="es-ES_tradnl"/>
        </w:rPr>
        <w:t>á</w:t>
      </w:r>
      <w:r w:rsidRPr="00F20C85">
        <w:rPr>
          <w:rFonts w:ascii="Arial" w:hAnsi="Arial" w:cs="Arial"/>
          <w:sz w:val="22"/>
          <w:szCs w:val="22"/>
          <w:lang w:val="es-ES_tradnl"/>
        </w:rPr>
        <w:t xml:space="preserve">s tenga. Sin embargo, esta interpretación no es posible en la medida que la norma se refiere a la </w:t>
      </w:r>
      <w:bookmarkStart w:id="5" w:name="_Hlk72758821"/>
      <w:r w:rsidRPr="00F20C85">
        <w:rPr>
          <w:rFonts w:ascii="Arial" w:hAnsi="Arial" w:cs="Arial"/>
          <w:sz w:val="22"/>
          <w:szCs w:val="22"/>
          <w:lang w:val="es-ES_tradnl"/>
        </w:rPr>
        <w:t>«vinculación en mayor proporción»</w:t>
      </w:r>
      <w:bookmarkEnd w:id="5"/>
      <w:r w:rsidRPr="00F20C85">
        <w:rPr>
          <w:rFonts w:ascii="Arial" w:hAnsi="Arial" w:cs="Arial"/>
          <w:sz w:val="22"/>
          <w:szCs w:val="22"/>
          <w:lang w:val="es-ES_tradnl"/>
        </w:rPr>
        <w:t>, es decir el número de personas vinculadas en relación con la planta de personal de los oferentes.</w:t>
      </w:r>
    </w:p>
    <w:p w14:paraId="365F89DA" w14:textId="02A037EE" w:rsidR="00F20C85" w:rsidRDefault="00F20C85" w:rsidP="00F20C85">
      <w:pPr>
        <w:spacing w:before="120" w:line="276" w:lineRule="auto"/>
        <w:ind w:firstLine="709"/>
        <w:jc w:val="both"/>
        <w:rPr>
          <w:rFonts w:ascii="Arial" w:eastAsia="Calibri" w:hAnsi="Arial" w:cs="Arial"/>
          <w:color w:val="000000" w:themeColor="text1"/>
          <w:sz w:val="22"/>
          <w:szCs w:val="22"/>
          <w:lang w:val="es-ES_tradnl"/>
        </w:rPr>
      </w:pPr>
      <w:r w:rsidRPr="00F20C85">
        <w:rPr>
          <w:rFonts w:ascii="Arial" w:hAnsi="Arial" w:cs="Arial"/>
          <w:sz w:val="22"/>
          <w:szCs w:val="22"/>
          <w:lang w:val="es-ES_tradnl"/>
        </w:rPr>
        <w:t xml:space="preserve">Hasta ahora no existe un reglamento que defina el concepto de «vinculación en mayor proporción», por lo que debe entenderse conforme a las pautas hermenéuticas del Código Civil. Por tanto, es necesario precisar el alcance del Concepto C-015 del 4 de febrero de 2021 en el sentido que el artículo 35.4 de la Ley de Emprendimiento se refiere al número de personas vinculadas por el oferente que «no sean beneficiarios de la pensión </w:t>
      </w:r>
      <w:r w:rsidRPr="00F20C85">
        <w:rPr>
          <w:rFonts w:ascii="Arial" w:hAnsi="Arial" w:cs="Arial"/>
          <w:sz w:val="22"/>
          <w:szCs w:val="22"/>
          <w:lang w:val="es-ES_tradnl"/>
        </w:rPr>
        <w:lastRenderedPageBreak/>
        <w:t>de vejez, familiar o de sobrevivencia y que hayan cumplido el requisito de edad de pensión establecido en la Ley», precisando que la «vinculación en mayor proporción» debe analizarse respecto al número de trabajadores de la planta de personal.</w:t>
      </w:r>
      <w:r w:rsidR="003B70AF">
        <w:rPr>
          <w:rFonts w:ascii="Arial" w:eastAsia="Calibri" w:hAnsi="Arial" w:cs="Arial"/>
          <w:color w:val="000000" w:themeColor="text1"/>
          <w:sz w:val="22"/>
          <w:szCs w:val="22"/>
          <w:lang w:val="es-ES_tradnl"/>
        </w:rPr>
        <w:t xml:space="preserve"> </w:t>
      </w:r>
    </w:p>
    <w:p w14:paraId="53AED37F" w14:textId="4244F739" w:rsidR="00785815" w:rsidRPr="00742BED" w:rsidRDefault="00785815" w:rsidP="00F20C85">
      <w:pPr>
        <w:spacing w:before="120" w:line="276" w:lineRule="auto"/>
        <w:ind w:firstLine="708"/>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La norma guarda silencio sobre la acreditación de la condición que da lugar al factor de desempate. Por tanto, esta Agencia considera que, sin perjuicio de que el reglamento que expida el gobierno nacional determine un medio de acreditación especial, existe libertad probatoria sobre el tema. En consecuencia, la entidad contratante puede determinar en el pliego de condiciones o documento equivalente cuál será el medio para evidenciar la vinculación de las personas mayores por parte del oferente.</w:t>
      </w:r>
    </w:p>
    <w:p w14:paraId="74F48886" w14:textId="77777777" w:rsidR="00785815" w:rsidRPr="00742BED" w:rsidRDefault="00785815" w:rsidP="00785815">
      <w:pPr>
        <w:spacing w:before="120" w:line="276" w:lineRule="auto"/>
        <w:ind w:firstLine="709"/>
        <w:jc w:val="both"/>
        <w:rPr>
          <w:rFonts w:ascii="Arial" w:hAnsi="Arial" w:cs="Arial"/>
          <w:color w:val="000000" w:themeColor="text1"/>
          <w:sz w:val="22"/>
          <w:szCs w:val="22"/>
          <w:lang w:val="es-ES_tradnl"/>
        </w:rPr>
      </w:pPr>
      <w:r w:rsidRPr="00742BED">
        <w:rPr>
          <w:rFonts w:ascii="Arial" w:hAnsi="Arial" w:cs="Arial"/>
          <w:color w:val="000000" w:themeColor="text1"/>
          <w:sz w:val="22"/>
          <w:szCs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742BED">
        <w:rPr>
          <w:rFonts w:ascii="Arial" w:hAnsi="Arial" w:cs="Arial"/>
          <w:i/>
          <w:iCs/>
          <w:color w:val="000000" w:themeColor="text1"/>
          <w:sz w:val="22"/>
          <w:szCs w:val="22"/>
          <w:lang w:val="es-ES_tradnl"/>
        </w:rPr>
        <w:t>vinculación de capital humano</w:t>
      </w:r>
      <w:r w:rsidRPr="00742BED">
        <w:rPr>
          <w:rFonts w:ascii="Arial" w:hAnsi="Arial" w:cs="Arial"/>
          <w:color w:val="000000" w:themeColor="text1"/>
          <w:sz w:val="22"/>
          <w:szCs w:val="22"/>
          <w:lang w:val="es-ES_tradnl"/>
        </w:rPr>
        <w:t xml:space="preserve">, el oferente deberá acreditar una antigüedad igual o mayor a un año. Para los casos de constitución inferior a un año </w:t>
      </w:r>
      <w:r w:rsidRPr="00742BED">
        <w:rPr>
          <w:rFonts w:ascii="Arial" w:hAnsi="Arial" w:cs="Arial"/>
          <w:i/>
          <w:iCs/>
          <w:color w:val="000000" w:themeColor="text1"/>
          <w:sz w:val="22"/>
          <w:szCs w:val="22"/>
          <w:lang w:val="es-ES_tradnl"/>
        </w:rPr>
        <w:t>se tendrá en cuenta a aquellos trabajadores</w:t>
      </w:r>
      <w:r w:rsidRPr="00742BED">
        <w:rPr>
          <w:rFonts w:ascii="Arial" w:hAnsi="Arial" w:cs="Arial"/>
          <w:color w:val="000000" w:themeColor="text1"/>
          <w:sz w:val="22"/>
          <w:szCs w:val="22"/>
          <w:lang w:val="es-ES_tradnl"/>
        </w:rPr>
        <w:t xml:space="preserve"> que hayan estado vinculados desde el momento de constitución de </w:t>
      </w:r>
      <w:proofErr w:type="gramStart"/>
      <w:r w:rsidRPr="00742BED">
        <w:rPr>
          <w:rFonts w:ascii="Arial" w:hAnsi="Arial" w:cs="Arial"/>
          <w:color w:val="000000" w:themeColor="text1"/>
          <w:sz w:val="22"/>
          <w:szCs w:val="22"/>
          <w:lang w:val="es-ES_tradnl"/>
        </w:rPr>
        <w:t>la misma</w:t>
      </w:r>
      <w:proofErr w:type="gramEnd"/>
      <w:r w:rsidRPr="00742BED">
        <w:rPr>
          <w:rFonts w:ascii="Arial" w:hAnsi="Arial" w:cs="Arial"/>
          <w:color w:val="000000" w:themeColor="text1"/>
          <w:sz w:val="22"/>
          <w:szCs w:val="22"/>
          <w:lang w:val="es-ES_tradnl"/>
        </w:rPr>
        <w:t xml:space="preserve">» (Énfasis fuera de texto). Como se observa la norma se refiere a la vinculación de trabajadores, lo cual excluye la posibilidad de acreditar el factor de desempate con prestadores de servicios.  </w:t>
      </w:r>
    </w:p>
    <w:p w14:paraId="08005E80" w14:textId="3C76A23F" w:rsidR="005F361A" w:rsidRPr="00742BED" w:rsidRDefault="0060586D" w:rsidP="00FD5443">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De otro lado</w:t>
      </w:r>
      <w:r w:rsidR="002A7D84" w:rsidRPr="00742BED">
        <w:rPr>
          <w:rFonts w:ascii="Arial" w:hAnsi="Arial" w:cs="Arial"/>
          <w:color w:val="000000" w:themeColor="text1"/>
          <w:sz w:val="22"/>
          <w:szCs w:val="22"/>
          <w:lang w:val="es-ES_tradnl"/>
        </w:rPr>
        <w:t>, si bien los factores de desempate regulados en el artículo 35 deben aplicarse «</w:t>
      </w:r>
      <w:r w:rsidR="002A7D84" w:rsidRPr="00742BED">
        <w:rPr>
          <w:rFonts w:ascii="Arial" w:hAnsi="Arial" w:cs="Arial"/>
          <w:sz w:val="22"/>
          <w:szCs w:val="22"/>
          <w:lang w:val="es-ES_tradnl"/>
        </w:rPr>
        <w:t xml:space="preserve">[…] </w:t>
      </w:r>
      <w:r w:rsidR="002A7D84" w:rsidRPr="00742BED">
        <w:rPr>
          <w:rFonts w:ascii="Arial" w:hAnsi="Arial" w:cs="Arial"/>
          <w:color w:val="000000" w:themeColor="text1"/>
          <w:sz w:val="22"/>
          <w:szCs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523A9FF" w14:textId="2E3B0E66" w:rsidR="0016204B" w:rsidRPr="00742BED" w:rsidRDefault="0060586D" w:rsidP="00AC4AD2">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Finalmente, </w:t>
      </w:r>
      <w:r w:rsidR="00FE61ED">
        <w:rPr>
          <w:rFonts w:ascii="Arial" w:hAnsi="Arial" w:cs="Arial"/>
          <w:color w:val="000000" w:themeColor="text1"/>
          <w:sz w:val="22"/>
          <w:szCs w:val="22"/>
          <w:lang w:val="es-ES_tradnl"/>
        </w:rPr>
        <w:t>s</w:t>
      </w:r>
      <w:r w:rsidR="00FD5443" w:rsidRPr="00742BED">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7B209C" w:rsidRPr="00742BED">
        <w:rPr>
          <w:rFonts w:ascii="Arial" w:hAnsi="Arial" w:cs="Arial"/>
          <w:color w:val="000000" w:themeColor="text1"/>
          <w:sz w:val="22"/>
          <w:szCs w:val="22"/>
          <w:lang w:val="es-ES_tradnl"/>
        </w:rPr>
        <w:t>2069</w:t>
      </w:r>
      <w:r w:rsidR="00FD5443" w:rsidRPr="00742BED">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w:t>
      </w:r>
      <w:r w:rsidR="00FD5443" w:rsidRPr="00742BED">
        <w:rPr>
          <w:rFonts w:ascii="Arial" w:hAnsi="Arial" w:cs="Arial"/>
          <w:color w:val="000000" w:themeColor="text1"/>
          <w:sz w:val="22"/>
          <w:szCs w:val="22"/>
          <w:lang w:val="es-ES_tradnl"/>
        </w:rPr>
        <w:lastRenderedPageBreak/>
        <w:t>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r w:rsidR="002A7D84" w:rsidRPr="00742BED">
        <w:rPr>
          <w:rFonts w:ascii="Arial" w:hAnsi="Arial" w:cs="Arial"/>
          <w:color w:val="000000" w:themeColor="text1"/>
          <w:sz w:val="22"/>
          <w:szCs w:val="22"/>
          <w:lang w:val="es-ES_tradnl"/>
        </w:rPr>
        <w:t xml:space="preserve"> </w:t>
      </w:r>
    </w:p>
    <w:p w14:paraId="1F9D5A40" w14:textId="09E060AD" w:rsidR="00CF1EB8" w:rsidRPr="00742BED" w:rsidRDefault="00CF1EB8" w:rsidP="00510DE9">
      <w:pPr>
        <w:tabs>
          <w:tab w:val="left" w:pos="0"/>
        </w:tabs>
        <w:jc w:val="both"/>
        <w:rPr>
          <w:rFonts w:ascii="Arial" w:eastAsia="Calibri" w:hAnsi="Arial" w:cs="Arial"/>
          <w:b/>
          <w:color w:val="000000" w:themeColor="text1"/>
          <w:sz w:val="22"/>
          <w:lang w:val="es-ES_tradnl"/>
        </w:rPr>
      </w:pPr>
    </w:p>
    <w:p w14:paraId="37CA9805" w14:textId="4C51B578" w:rsidR="00DD5B04" w:rsidRPr="00742BED" w:rsidRDefault="004177A6" w:rsidP="00510DE9">
      <w:pPr>
        <w:tabs>
          <w:tab w:val="left" w:pos="0"/>
        </w:tabs>
        <w:jc w:val="both"/>
        <w:rPr>
          <w:rFonts w:ascii="Arial" w:eastAsia="Calibri" w:hAnsi="Arial" w:cs="Arial"/>
          <w:b/>
          <w:color w:val="000000" w:themeColor="text1"/>
          <w:sz w:val="22"/>
          <w:lang w:val="es-ES_tradnl"/>
        </w:rPr>
      </w:pPr>
      <w:r w:rsidRPr="00742BED">
        <w:rPr>
          <w:rFonts w:ascii="Arial" w:eastAsia="Calibri" w:hAnsi="Arial" w:cs="Arial"/>
          <w:b/>
          <w:color w:val="000000" w:themeColor="text1"/>
          <w:sz w:val="22"/>
          <w:lang w:val="es-ES_tradnl"/>
        </w:rPr>
        <w:t>3</w:t>
      </w:r>
      <w:r w:rsidR="00B011A9" w:rsidRPr="00742BED">
        <w:rPr>
          <w:rFonts w:ascii="Arial" w:eastAsia="Calibri" w:hAnsi="Arial" w:cs="Arial"/>
          <w:b/>
          <w:color w:val="000000" w:themeColor="text1"/>
          <w:sz w:val="22"/>
          <w:lang w:val="es-ES_tradnl"/>
        </w:rPr>
        <w:t xml:space="preserve">. </w:t>
      </w:r>
      <w:r w:rsidR="00DD5B04" w:rsidRPr="00742BED">
        <w:rPr>
          <w:rFonts w:ascii="Arial" w:eastAsia="Calibri" w:hAnsi="Arial" w:cs="Arial"/>
          <w:b/>
          <w:color w:val="000000" w:themeColor="text1"/>
          <w:sz w:val="22"/>
          <w:lang w:val="es-ES_tradnl"/>
        </w:rPr>
        <w:t>Respuesta</w:t>
      </w:r>
    </w:p>
    <w:p w14:paraId="0B74D5B8" w14:textId="571E2881" w:rsidR="00C4581D" w:rsidRPr="00742BED" w:rsidRDefault="00C4581D" w:rsidP="00510DE9">
      <w:pPr>
        <w:tabs>
          <w:tab w:val="left" w:pos="0"/>
        </w:tabs>
        <w:jc w:val="both"/>
        <w:rPr>
          <w:rFonts w:ascii="Arial" w:eastAsia="Calibri" w:hAnsi="Arial" w:cs="Arial"/>
          <w:color w:val="000000" w:themeColor="text1"/>
          <w:sz w:val="22"/>
          <w:lang w:val="es-ES_tradnl"/>
        </w:rPr>
      </w:pPr>
    </w:p>
    <w:p w14:paraId="052E271A" w14:textId="1D937C68" w:rsidR="00202F5D" w:rsidRPr="00202F5D" w:rsidRDefault="00697010" w:rsidP="00202F5D">
      <w:pPr>
        <w:ind w:left="709" w:right="709"/>
        <w:jc w:val="both"/>
        <w:rPr>
          <w:rFonts w:ascii="Arial" w:hAnsi="Arial" w:cs="Arial"/>
          <w:color w:val="000000" w:themeColor="text1"/>
          <w:sz w:val="21"/>
          <w:szCs w:val="21"/>
        </w:rPr>
      </w:pPr>
      <w:r w:rsidRPr="00742BED">
        <w:rPr>
          <w:rFonts w:ascii="Arial" w:hAnsi="Arial" w:cs="Arial"/>
          <w:color w:val="000000" w:themeColor="text1"/>
          <w:sz w:val="21"/>
          <w:szCs w:val="21"/>
          <w:lang w:val="es-ES_tradnl"/>
        </w:rPr>
        <w:t>«</w:t>
      </w:r>
      <w:r w:rsidR="00202F5D" w:rsidRPr="00202F5D">
        <w:rPr>
          <w:rFonts w:ascii="Arial" w:hAnsi="Arial" w:cs="Arial"/>
          <w:color w:val="000000" w:themeColor="text1"/>
          <w:sz w:val="21"/>
          <w:szCs w:val="21"/>
        </w:rPr>
        <w:t xml:space="preserve">[…]El artículo 3 menciona </w:t>
      </w:r>
      <w:proofErr w:type="gramStart"/>
      <w:r w:rsidR="00202F5D" w:rsidRPr="00202F5D">
        <w:rPr>
          <w:rFonts w:ascii="Arial" w:hAnsi="Arial" w:cs="Arial"/>
          <w:color w:val="000000" w:themeColor="text1"/>
          <w:sz w:val="21"/>
          <w:szCs w:val="21"/>
        </w:rPr>
        <w:t>que</w:t>
      </w:r>
      <w:proofErr w:type="gramEnd"/>
      <w:r w:rsidR="00202F5D" w:rsidRPr="00202F5D">
        <w:rPr>
          <w:rFonts w:ascii="Arial" w:hAnsi="Arial" w:cs="Arial"/>
          <w:color w:val="000000" w:themeColor="text1"/>
          <w:sz w:val="21"/>
          <w:szCs w:val="21"/>
        </w:rPr>
        <w:t xml:space="preserve"> como criterio de desempate, se pueda aplicar el beneficio certificando bajo la gravedad de juramento la cantidad de personas con las condiciones correspondientes a lo mencionado en la ley. Se puede entender que con solo la certificación juramentada por el revisor fiscal o el representante legal se accede al beneficio como factor de desempate o es necesario que luego pasados los 6 meses de reglamentada la norma, el sello de adulto mayor es requisito sine qua non para aplicar a este factor de desempate, adicional, el ministerio de trabajo requerir  documentación para sacar un certificado como sucede con el de Discapacitados?</w:t>
      </w:r>
    </w:p>
    <w:p w14:paraId="569ED634" w14:textId="77777777" w:rsidR="00202F5D" w:rsidRPr="00202F5D" w:rsidRDefault="00202F5D" w:rsidP="00202F5D">
      <w:pPr>
        <w:ind w:left="709" w:right="709"/>
        <w:jc w:val="both"/>
        <w:rPr>
          <w:rFonts w:ascii="Arial" w:hAnsi="Arial" w:cs="Arial"/>
          <w:color w:val="000000" w:themeColor="text1"/>
          <w:sz w:val="21"/>
          <w:szCs w:val="21"/>
        </w:rPr>
      </w:pPr>
      <w:r w:rsidRPr="00202F5D">
        <w:rPr>
          <w:rFonts w:ascii="Arial" w:hAnsi="Arial" w:cs="Arial"/>
          <w:color w:val="000000" w:themeColor="text1"/>
          <w:sz w:val="21"/>
          <w:szCs w:val="21"/>
        </w:rPr>
        <w:t>Las preguntas anteriormente solicitadas para aclaración es porque la ley en su artículo 4 parágrafo 1 menciona que es responsabilidad de certificar ante Ministerio de Trabajo el cumplimiento de los requisitos para acceder a los beneficios contemplados en la ley) Se podría entender entonces que el articulo 3 es de necesario cumplimiento que se registren a los adultos mayores para la aplicación del beneficio como factor de desempate? y de ser así Que documentos se requieren y el Min Trabajo entregara un certificado como el de Discapacitados?</w:t>
      </w:r>
      <w:r w:rsidRPr="00202F5D">
        <w:rPr>
          <w:rFonts w:ascii="Arial" w:hAnsi="Arial" w:cs="Arial"/>
          <w:color w:val="000000" w:themeColor="text1"/>
          <w:sz w:val="21"/>
          <w:szCs w:val="21"/>
          <w:lang w:val="es-ES_tradnl"/>
        </w:rPr>
        <w:t xml:space="preserve">» </w:t>
      </w:r>
    </w:p>
    <w:p w14:paraId="6E475211" w14:textId="0E7E7D23" w:rsidR="00697010" w:rsidRPr="00742BED" w:rsidRDefault="00697010" w:rsidP="007F172C">
      <w:pPr>
        <w:ind w:right="709"/>
        <w:jc w:val="both"/>
        <w:rPr>
          <w:rFonts w:ascii="Arial" w:hAnsi="Arial" w:cs="Arial"/>
          <w:color w:val="000000" w:themeColor="text1"/>
          <w:sz w:val="21"/>
          <w:szCs w:val="21"/>
          <w:lang w:val="es-ES_tradnl"/>
        </w:rPr>
      </w:pPr>
    </w:p>
    <w:p w14:paraId="5C610331" w14:textId="187EE6D0" w:rsidR="00D11454" w:rsidRPr="002A263A" w:rsidRDefault="00202F5D" w:rsidP="00D11454">
      <w:pPr>
        <w:spacing w:after="120" w:line="276" w:lineRule="auto"/>
        <w:jc w:val="both"/>
        <w:rPr>
          <w:rFonts w:ascii="Arial" w:eastAsia="Calibri" w:hAnsi="Arial" w:cs="Arial"/>
          <w:sz w:val="22"/>
        </w:rPr>
      </w:pPr>
      <w:r w:rsidRPr="00202F5D">
        <w:rPr>
          <w:rFonts w:ascii="Arial" w:eastAsia="Calibri" w:hAnsi="Arial" w:cs="Arial"/>
          <w:sz w:val="22"/>
        </w:rPr>
        <w:t xml:space="preserve">De conformidad con la competencia consultiva otorgada por el numeral 5 del artículo 3 y el numeral 8 del artículo 11 del Decreto Ley 4170 de 2011, la Agencia Nacional de Contratación Pública está facultada para atender solicitudes relacionadas con temas </w:t>
      </w:r>
      <w:r w:rsidRPr="002A263A">
        <w:rPr>
          <w:rFonts w:ascii="Arial" w:eastAsia="Calibri" w:hAnsi="Arial" w:cs="Arial"/>
          <w:sz w:val="22"/>
        </w:rPr>
        <w:t>contractuales, pero solo para «absolver consultas sobre la aplicación de normas de carácter general». En este orden de ideas, la Agencia no tiene atribuciones para resolver casos particulares, ni para validar hipótesis o actuaciones</w:t>
      </w:r>
      <w:r w:rsidR="00D11454" w:rsidRPr="002A263A">
        <w:rPr>
          <w:rFonts w:ascii="Arial" w:eastAsia="Calibri" w:hAnsi="Arial" w:cs="Arial"/>
          <w:sz w:val="22"/>
        </w:rPr>
        <w:t xml:space="preserve"> de las entidades públicas en</w:t>
      </w:r>
      <w:r w:rsidR="00C8271B" w:rsidRPr="002A263A">
        <w:rPr>
          <w:rFonts w:ascii="Arial" w:eastAsia="Calibri" w:hAnsi="Arial" w:cs="Arial"/>
          <w:sz w:val="22"/>
        </w:rPr>
        <w:t xml:space="preserve"> la gestión de sus</w:t>
      </w:r>
      <w:r w:rsidR="00D11454" w:rsidRPr="002A263A">
        <w:rPr>
          <w:rFonts w:ascii="Arial" w:eastAsia="Calibri" w:hAnsi="Arial" w:cs="Arial"/>
          <w:sz w:val="22"/>
        </w:rPr>
        <w:t xml:space="preserve"> procesos de contratación</w:t>
      </w:r>
      <w:r w:rsidRPr="002A263A">
        <w:rPr>
          <w:rFonts w:ascii="Arial" w:eastAsia="Calibri" w:hAnsi="Arial" w:cs="Arial"/>
          <w:sz w:val="22"/>
        </w:rPr>
        <w:t xml:space="preserve">. En </w:t>
      </w:r>
      <w:r w:rsidR="00D11454" w:rsidRPr="002A263A">
        <w:rPr>
          <w:rFonts w:ascii="Arial" w:eastAsia="Calibri" w:hAnsi="Arial" w:cs="Arial"/>
          <w:sz w:val="22"/>
        </w:rPr>
        <w:t>estos</w:t>
      </w:r>
      <w:r w:rsidRPr="002A263A">
        <w:rPr>
          <w:rFonts w:ascii="Arial" w:eastAsia="Calibri" w:hAnsi="Arial" w:cs="Arial"/>
          <w:sz w:val="22"/>
        </w:rPr>
        <w:t xml:space="preserve"> términos, </w:t>
      </w:r>
      <w:r w:rsidR="00D11454" w:rsidRPr="002A263A">
        <w:rPr>
          <w:rFonts w:ascii="Arial" w:eastAsia="Calibri" w:hAnsi="Arial" w:cs="Arial"/>
          <w:sz w:val="22"/>
        </w:rPr>
        <w:t>se considera que el criterio de desempate creado inicialmente en el artículo 3 de la Ley 2040 de 2020, para impulsar el trabajo de adultos mayores, no tuvo aplicación por falta de la reglamentación aludida en el artículo 4 de la misma ley que condicionó su utilización</w:t>
      </w:r>
      <w:r w:rsidR="00C8271B" w:rsidRPr="002A263A">
        <w:rPr>
          <w:rFonts w:ascii="Arial" w:eastAsia="Calibri" w:hAnsi="Arial" w:cs="Arial"/>
          <w:sz w:val="22"/>
        </w:rPr>
        <w:t xml:space="preserve"> y, actualmente, ya no es aplicable en los términos consignados en dicha ley</w:t>
      </w:r>
      <w:r w:rsidR="00162065" w:rsidRPr="002A263A">
        <w:rPr>
          <w:rFonts w:ascii="Arial" w:eastAsia="Calibri" w:hAnsi="Arial" w:cs="Arial"/>
          <w:sz w:val="22"/>
        </w:rPr>
        <w:t>, debido a que el</w:t>
      </w:r>
      <w:r w:rsidR="00162065" w:rsidRPr="002A263A">
        <w:rPr>
          <w:rFonts w:ascii="Arial" w:eastAsia="Arial" w:hAnsi="Arial" w:cs="Arial"/>
          <w:sz w:val="22"/>
          <w:szCs w:val="22"/>
          <w:lang w:val="es-MX" w:eastAsia="en-US"/>
        </w:rPr>
        <w:t xml:space="preserve"> artículo 34 de la Ley 2069 modificó el artículo 12 de la Ley 1150 de 2007, de manera que el contenido normativo del parágrafo 4 de dicho artículo, que en su momento lo adicionó el artículo 3 de la Ley 2040 de 2020, desapareció de nuestro ordenamiento jurídico</w:t>
      </w:r>
      <w:r w:rsidR="006E140B" w:rsidRPr="002A263A">
        <w:rPr>
          <w:rFonts w:ascii="Arial" w:eastAsia="Arial" w:hAnsi="Arial" w:cs="Arial"/>
          <w:sz w:val="22"/>
          <w:szCs w:val="22"/>
          <w:lang w:val="es-MX" w:eastAsia="en-US"/>
        </w:rPr>
        <w:t xml:space="preserve"> al ser derogado</w:t>
      </w:r>
      <w:r w:rsidR="00162065" w:rsidRPr="002A263A">
        <w:rPr>
          <w:rFonts w:ascii="Arial" w:eastAsia="Arial" w:hAnsi="Arial" w:cs="Arial"/>
          <w:sz w:val="22"/>
          <w:szCs w:val="22"/>
          <w:lang w:val="es-MX" w:eastAsia="en-US"/>
        </w:rPr>
        <w:t>, por lo que dicho parágrafo 4 actualmente no está vigente.</w:t>
      </w:r>
    </w:p>
    <w:p w14:paraId="539B02E9" w14:textId="3278EBFD" w:rsidR="00202F5D" w:rsidRPr="002A263A" w:rsidRDefault="00162065" w:rsidP="002A5388">
      <w:pPr>
        <w:spacing w:after="120" w:line="276" w:lineRule="auto"/>
        <w:ind w:firstLine="708"/>
        <w:jc w:val="both"/>
        <w:rPr>
          <w:rFonts w:ascii="Arial" w:eastAsia="Calibri" w:hAnsi="Arial" w:cs="Arial"/>
          <w:sz w:val="22"/>
        </w:rPr>
      </w:pPr>
      <w:r w:rsidRPr="002A263A">
        <w:rPr>
          <w:rFonts w:ascii="Arial" w:eastAsia="Calibri" w:hAnsi="Arial" w:cs="Arial"/>
          <w:sz w:val="22"/>
        </w:rPr>
        <w:t xml:space="preserve">La anterior además se fundamenta en que </w:t>
      </w:r>
      <w:r w:rsidR="00D11454" w:rsidRPr="002A263A">
        <w:rPr>
          <w:rFonts w:ascii="Arial" w:eastAsia="Calibri" w:hAnsi="Arial" w:cs="Arial"/>
          <w:sz w:val="22"/>
        </w:rPr>
        <w:t>después del 31 de diciembre de 2020</w:t>
      </w:r>
      <w:r w:rsidR="00C8271B" w:rsidRPr="002A263A">
        <w:rPr>
          <w:rFonts w:ascii="Arial" w:eastAsia="Calibri" w:hAnsi="Arial" w:cs="Arial"/>
          <w:sz w:val="22"/>
        </w:rPr>
        <w:t>,</w:t>
      </w:r>
      <w:r w:rsidR="00D11454" w:rsidRPr="002A263A">
        <w:rPr>
          <w:rFonts w:ascii="Arial" w:eastAsia="Calibri" w:hAnsi="Arial" w:cs="Arial"/>
          <w:sz w:val="22"/>
        </w:rPr>
        <w:t xml:space="preserve"> están vigentes los factores de desempate previstos en el artículo 35 de la Ley 2069 de 2020, </w:t>
      </w:r>
      <w:r w:rsidR="002A5388" w:rsidRPr="002A263A">
        <w:rPr>
          <w:rFonts w:ascii="Arial" w:eastAsia="Calibri" w:hAnsi="Arial" w:cs="Arial"/>
          <w:sz w:val="22"/>
        </w:rPr>
        <w:t xml:space="preserve">que sí son exigibles desde la fecha </w:t>
      </w:r>
      <w:r w:rsidRPr="002A263A">
        <w:rPr>
          <w:rFonts w:ascii="Arial" w:eastAsia="Calibri" w:hAnsi="Arial" w:cs="Arial"/>
          <w:sz w:val="22"/>
        </w:rPr>
        <w:t xml:space="preserve">de </w:t>
      </w:r>
      <w:r w:rsidR="00C8271B" w:rsidRPr="002A263A">
        <w:rPr>
          <w:rFonts w:ascii="Arial" w:eastAsia="Calibri" w:hAnsi="Arial" w:cs="Arial"/>
          <w:sz w:val="22"/>
        </w:rPr>
        <w:t>su</w:t>
      </w:r>
      <w:r w:rsidR="002A5388" w:rsidRPr="002A263A">
        <w:rPr>
          <w:rFonts w:ascii="Arial" w:eastAsia="Calibri" w:hAnsi="Arial" w:cs="Arial"/>
          <w:sz w:val="22"/>
        </w:rPr>
        <w:t xml:space="preserve"> promulgación. </w:t>
      </w:r>
      <w:r w:rsidRPr="002A263A">
        <w:rPr>
          <w:rFonts w:ascii="Arial" w:eastAsia="Calibri" w:hAnsi="Arial" w:cs="Arial"/>
          <w:sz w:val="22"/>
        </w:rPr>
        <w:t>Además, e</w:t>
      </w:r>
      <w:r w:rsidR="002A5388" w:rsidRPr="002A263A">
        <w:rPr>
          <w:rFonts w:ascii="Arial" w:eastAsia="Calibri" w:hAnsi="Arial" w:cs="Arial"/>
          <w:sz w:val="22"/>
        </w:rPr>
        <w:t xml:space="preserve">n el numeral 4 de dicho </w:t>
      </w:r>
      <w:r w:rsidR="002A5388" w:rsidRPr="002A263A">
        <w:rPr>
          <w:rFonts w:ascii="Arial" w:eastAsia="Calibri" w:hAnsi="Arial" w:cs="Arial"/>
          <w:sz w:val="22"/>
        </w:rPr>
        <w:lastRenderedPageBreak/>
        <w:t xml:space="preserve">artículo se estableció un criterio de desempate similar al inicialmente previsto en el artículo 3 de la anterior ley </w:t>
      </w:r>
      <w:r w:rsidR="007664FC" w:rsidRPr="002A263A">
        <w:rPr>
          <w:rFonts w:ascii="Arial" w:eastAsia="Calibri" w:hAnsi="Arial" w:cs="Arial"/>
          <w:sz w:val="22"/>
        </w:rPr>
        <w:t xml:space="preserve">–2040– </w:t>
      </w:r>
      <w:r w:rsidR="002A5388" w:rsidRPr="002A263A">
        <w:rPr>
          <w:rFonts w:ascii="Arial" w:eastAsia="Calibri" w:hAnsi="Arial" w:cs="Arial"/>
          <w:sz w:val="22"/>
        </w:rPr>
        <w:t>para impulsar el trabajo de adultos mayores.</w:t>
      </w:r>
      <w:r w:rsidR="00D11454" w:rsidRPr="002A263A">
        <w:rPr>
          <w:rFonts w:ascii="Arial" w:eastAsia="Calibri" w:hAnsi="Arial" w:cs="Arial"/>
          <w:sz w:val="22"/>
        </w:rPr>
        <w:t xml:space="preserve"> </w:t>
      </w:r>
      <w:r w:rsidR="002A5388" w:rsidRPr="002A263A">
        <w:rPr>
          <w:rFonts w:ascii="Arial" w:eastAsia="Calibri" w:hAnsi="Arial" w:cs="Arial"/>
          <w:sz w:val="22"/>
        </w:rPr>
        <w:t xml:space="preserve">En consecuencia, </w:t>
      </w:r>
      <w:r w:rsidR="00C8271B" w:rsidRPr="002A263A">
        <w:rPr>
          <w:rFonts w:ascii="Arial" w:eastAsia="Calibri" w:hAnsi="Arial" w:cs="Arial"/>
          <w:sz w:val="22"/>
        </w:rPr>
        <w:t xml:space="preserve">es esta la norma actualmente aplicable y </w:t>
      </w:r>
      <w:r w:rsidR="002A5388" w:rsidRPr="002A263A">
        <w:rPr>
          <w:rFonts w:ascii="Arial" w:eastAsia="Calibri" w:hAnsi="Arial" w:cs="Arial"/>
          <w:sz w:val="22"/>
        </w:rPr>
        <w:t xml:space="preserve">dado que </w:t>
      </w:r>
      <w:r w:rsidR="00202F5D" w:rsidRPr="002A263A">
        <w:rPr>
          <w:rFonts w:ascii="Arial" w:eastAsia="Calibri" w:hAnsi="Arial" w:cs="Arial"/>
          <w:sz w:val="22"/>
        </w:rPr>
        <w:t>la Ley 2069 de 2020 no regul</w:t>
      </w:r>
      <w:r w:rsidR="00C8271B" w:rsidRPr="002A263A">
        <w:rPr>
          <w:rFonts w:ascii="Arial" w:eastAsia="Calibri" w:hAnsi="Arial" w:cs="Arial"/>
          <w:sz w:val="22"/>
        </w:rPr>
        <w:t>ó</w:t>
      </w:r>
      <w:r w:rsidR="00202F5D" w:rsidRPr="002A263A">
        <w:rPr>
          <w:rFonts w:ascii="Arial" w:eastAsia="Calibri" w:hAnsi="Arial" w:cs="Arial"/>
          <w:sz w:val="22"/>
        </w:rPr>
        <w:t xml:space="preserve"> trámites o procedimientos a seguir para acreditar los supuestos de hecho de los factores de desempate establecidos en su artículo 35, ni se ha expedido reglamento que así lo disponga, </w:t>
      </w:r>
      <w:r w:rsidR="002A5388" w:rsidRPr="002A263A">
        <w:rPr>
          <w:rFonts w:ascii="Arial" w:eastAsia="Calibri" w:hAnsi="Arial" w:cs="Arial"/>
          <w:sz w:val="22"/>
        </w:rPr>
        <w:t>dicho asunto puede definirse por las entidades estatales, bajo el principio de libertad probatoria</w:t>
      </w:r>
      <w:r w:rsidR="007664FC" w:rsidRPr="002A263A">
        <w:rPr>
          <w:rFonts w:ascii="Arial" w:eastAsia="Calibri" w:hAnsi="Arial" w:cs="Arial"/>
          <w:sz w:val="22"/>
        </w:rPr>
        <w:t>, estableciendo la forma como se acredita dicha circunstancia en los pliegos de condiciones o documento equivalente.</w:t>
      </w:r>
    </w:p>
    <w:p w14:paraId="7CCB8021" w14:textId="7581AFC8" w:rsidR="00202F5D" w:rsidRPr="002A263A" w:rsidRDefault="002A5388" w:rsidP="00202F5D">
      <w:pPr>
        <w:spacing w:after="160" w:line="276" w:lineRule="auto"/>
        <w:ind w:firstLine="708"/>
        <w:jc w:val="both"/>
        <w:rPr>
          <w:rFonts w:ascii="Arial" w:eastAsia="Calibri" w:hAnsi="Arial" w:cs="Arial"/>
          <w:color w:val="000000"/>
          <w:sz w:val="22"/>
          <w:szCs w:val="22"/>
          <w:lang w:val="es-ES_tradnl" w:eastAsia="en-US"/>
        </w:rPr>
      </w:pPr>
      <w:r w:rsidRPr="002A263A">
        <w:rPr>
          <w:rFonts w:ascii="Arial" w:eastAsia="Calibri" w:hAnsi="Arial" w:cs="Arial"/>
          <w:color w:val="000000"/>
          <w:sz w:val="22"/>
          <w:szCs w:val="22"/>
          <w:lang w:val="es-ES_tradnl" w:eastAsia="en-US"/>
        </w:rPr>
        <w:t>Así</w:t>
      </w:r>
      <w:r w:rsidR="00202F5D" w:rsidRPr="002A263A">
        <w:rPr>
          <w:rFonts w:ascii="Arial" w:eastAsia="Calibri" w:hAnsi="Arial" w:cs="Arial"/>
          <w:color w:val="000000"/>
          <w:sz w:val="22"/>
          <w:szCs w:val="22"/>
          <w:lang w:val="es-ES_tradnl" w:eastAsia="en-US"/>
        </w:rPr>
        <w:t xml:space="preserve">, conforme </w:t>
      </w:r>
      <w:r w:rsidR="007664FC" w:rsidRPr="002A263A">
        <w:rPr>
          <w:rFonts w:ascii="Arial" w:eastAsia="Calibri" w:hAnsi="Arial" w:cs="Arial"/>
          <w:color w:val="000000"/>
          <w:sz w:val="22"/>
          <w:szCs w:val="22"/>
          <w:lang w:val="es-ES_tradnl" w:eastAsia="en-US"/>
        </w:rPr>
        <w:t>con</w:t>
      </w:r>
      <w:r w:rsidR="00202F5D" w:rsidRPr="002A263A">
        <w:rPr>
          <w:rFonts w:ascii="Arial" w:eastAsia="Calibri" w:hAnsi="Arial" w:cs="Arial"/>
          <w:color w:val="000000"/>
          <w:sz w:val="22"/>
          <w:szCs w:val="22"/>
          <w:lang w:val="es-ES_tradnl" w:eastAsia="en-US"/>
        </w:rPr>
        <w:t xml:space="preserve"> las consideraciones expuestas, la Ley 2069 de 2020 </w:t>
      </w:r>
      <w:r w:rsidRPr="002A263A">
        <w:rPr>
          <w:rFonts w:ascii="Arial" w:eastAsia="Calibri" w:hAnsi="Arial" w:cs="Arial"/>
          <w:color w:val="000000"/>
          <w:sz w:val="22"/>
          <w:szCs w:val="22"/>
          <w:lang w:val="es-ES_tradnl" w:eastAsia="en-US"/>
        </w:rPr>
        <w:t xml:space="preserve">no previó </w:t>
      </w:r>
      <w:r w:rsidR="00202F5D" w:rsidRPr="002A263A">
        <w:rPr>
          <w:rFonts w:ascii="Arial" w:eastAsia="Calibri" w:hAnsi="Arial" w:cs="Arial"/>
          <w:color w:val="000000"/>
          <w:sz w:val="22"/>
          <w:szCs w:val="22"/>
          <w:lang w:val="es-ES_tradnl" w:eastAsia="en-US"/>
        </w:rPr>
        <w:t>medios</w:t>
      </w:r>
      <w:r w:rsidRPr="002A263A">
        <w:rPr>
          <w:rFonts w:ascii="Arial" w:eastAsia="Calibri" w:hAnsi="Arial" w:cs="Arial"/>
          <w:color w:val="000000"/>
          <w:sz w:val="22"/>
          <w:szCs w:val="22"/>
          <w:lang w:val="es-ES_tradnl" w:eastAsia="en-US"/>
        </w:rPr>
        <w:t xml:space="preserve"> probatorios</w:t>
      </w:r>
      <w:r w:rsidR="00202F5D" w:rsidRPr="002A263A">
        <w:rPr>
          <w:rFonts w:ascii="Arial" w:eastAsia="Calibri" w:hAnsi="Arial" w:cs="Arial"/>
          <w:color w:val="000000"/>
          <w:sz w:val="22"/>
          <w:szCs w:val="22"/>
          <w:lang w:val="es-ES_tradnl" w:eastAsia="en-US"/>
        </w:rPr>
        <w:t xml:space="preserve"> específicos para acreditar las circunstancias a las que se refieren los numerales de su artículo 35. Por lo tanto, corresponde a la entidad contratante analizar si el ordenamiento jurídico, en otras disposiciones legales o reglamentarias, exige </w:t>
      </w:r>
      <w:r w:rsidRPr="002A263A">
        <w:rPr>
          <w:rFonts w:ascii="Arial" w:eastAsia="Calibri" w:hAnsi="Arial" w:cs="Arial"/>
          <w:color w:val="000000"/>
          <w:sz w:val="22"/>
          <w:szCs w:val="22"/>
          <w:lang w:val="es-ES_tradnl" w:eastAsia="en-US"/>
        </w:rPr>
        <w:t>algún</w:t>
      </w:r>
      <w:r w:rsidR="00202F5D" w:rsidRPr="002A263A">
        <w:rPr>
          <w:rFonts w:ascii="Arial" w:eastAsia="Calibri" w:hAnsi="Arial" w:cs="Arial"/>
          <w:color w:val="000000"/>
          <w:sz w:val="22"/>
          <w:szCs w:val="22"/>
          <w:lang w:val="es-ES_tradnl" w:eastAsia="en-US"/>
        </w:rPr>
        <w:t xml:space="preserve"> documento especial o si, por el contrario, hay libertad probatoria. Este análisis debe realizarse de manera independiente frente a cada numeral</w:t>
      </w:r>
      <w:r w:rsidRPr="002A263A">
        <w:rPr>
          <w:rFonts w:ascii="Arial" w:eastAsia="Calibri" w:hAnsi="Arial" w:cs="Arial"/>
          <w:color w:val="000000"/>
          <w:sz w:val="22"/>
          <w:szCs w:val="22"/>
          <w:lang w:val="es-ES_tradnl" w:eastAsia="en-US"/>
        </w:rPr>
        <w:t>.</w:t>
      </w:r>
    </w:p>
    <w:p w14:paraId="25FF69E0" w14:textId="3847CC9F" w:rsidR="00202F5D" w:rsidRPr="00202F5D" w:rsidRDefault="00202F5D" w:rsidP="00202F5D">
      <w:pPr>
        <w:spacing w:line="276" w:lineRule="auto"/>
        <w:jc w:val="both"/>
        <w:rPr>
          <w:rFonts w:ascii="Arial" w:eastAsia="Calibri" w:hAnsi="Arial" w:cs="Arial"/>
          <w:color w:val="000000"/>
          <w:sz w:val="22"/>
          <w:szCs w:val="22"/>
          <w:lang w:val="es-ES_tradnl" w:eastAsia="en-US"/>
        </w:rPr>
      </w:pPr>
      <w:r w:rsidRPr="002A263A">
        <w:rPr>
          <w:rFonts w:ascii="Arial" w:eastAsia="Calibri" w:hAnsi="Arial" w:cs="Arial"/>
          <w:color w:val="000000"/>
          <w:sz w:val="22"/>
          <w:szCs w:val="22"/>
          <w:lang w:val="es-ES_tradnl" w:eastAsia="en-US"/>
        </w:rPr>
        <w:tab/>
        <w:t>En caso de que no exista «tarifa legal», es decir, en el evento en que la ley o el reglamento no definan un medio probatorio para acreditar la circunstancia correspondiente,</w:t>
      </w:r>
      <w:r w:rsidR="007664FC" w:rsidRPr="002A263A">
        <w:rPr>
          <w:rFonts w:ascii="Arial" w:eastAsia="Calibri" w:hAnsi="Arial" w:cs="Arial"/>
          <w:color w:val="000000"/>
          <w:sz w:val="22"/>
          <w:szCs w:val="22"/>
          <w:lang w:val="es-ES_tradnl" w:eastAsia="en-US"/>
        </w:rPr>
        <w:t xml:space="preserve"> como sucede con el numeral 4 del artículo 35 de la Ley 2069 de 2020,</w:t>
      </w:r>
      <w:r w:rsidRPr="002A263A">
        <w:rPr>
          <w:rFonts w:ascii="Arial" w:eastAsia="Calibri" w:hAnsi="Arial" w:cs="Arial"/>
          <w:color w:val="000000"/>
          <w:sz w:val="22"/>
          <w:szCs w:val="22"/>
          <w:lang w:val="es-ES_tradnl" w:eastAsia="en-US"/>
        </w:rPr>
        <w:t xml:space="preserv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1712AF0" w14:textId="46CA2284" w:rsidR="00967507" w:rsidRPr="00742BED" w:rsidRDefault="00967507" w:rsidP="00967507">
      <w:pPr>
        <w:spacing w:before="120" w:line="276" w:lineRule="auto"/>
        <w:ind w:firstLine="709"/>
        <w:jc w:val="both"/>
        <w:rPr>
          <w:rFonts w:ascii="Arial" w:hAnsi="Arial" w:cs="Arial"/>
          <w:color w:val="000000" w:themeColor="text1"/>
          <w:sz w:val="22"/>
          <w:szCs w:val="22"/>
          <w:lang w:val="es-ES_tradnl"/>
        </w:rPr>
      </w:pPr>
    </w:p>
    <w:p w14:paraId="6855D2DA" w14:textId="77777777" w:rsidR="00C1066C" w:rsidRPr="00742BED" w:rsidRDefault="00C1066C" w:rsidP="00967507">
      <w:pPr>
        <w:ind w:right="709"/>
        <w:jc w:val="both"/>
        <w:rPr>
          <w:rFonts w:ascii="Arial" w:hAnsi="Arial" w:cs="Arial"/>
          <w:color w:val="000000" w:themeColor="text1"/>
          <w:sz w:val="21"/>
          <w:szCs w:val="21"/>
          <w:lang w:val="es-ES_tradnl"/>
        </w:rPr>
      </w:pPr>
    </w:p>
    <w:p w14:paraId="7B2C921D" w14:textId="0F929B38" w:rsidR="00DD5B04" w:rsidRPr="00742BED" w:rsidRDefault="00DD5B04" w:rsidP="00DF76A2">
      <w:pPr>
        <w:spacing w:line="276" w:lineRule="auto"/>
        <w:jc w:val="both"/>
        <w:rPr>
          <w:rFonts w:ascii="Arial" w:hAnsi="Arial" w:cs="Arial"/>
          <w:color w:val="000000" w:themeColor="text1"/>
          <w:sz w:val="22"/>
          <w:lang w:val="es-ES_tradnl"/>
        </w:rPr>
      </w:pPr>
      <w:r w:rsidRPr="00742BE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742BE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7BD8027" w14:textId="77777777" w:rsidR="00F81792" w:rsidRPr="00E23980" w:rsidRDefault="00F81792" w:rsidP="00F8179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0BEA1756" w14:textId="488BC898" w:rsidR="00F81792" w:rsidRDefault="004B56B5" w:rsidP="00F8179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59B4FE1" wp14:editId="2254415C">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2E8DF671" w14:textId="77777777" w:rsidR="00F81792" w:rsidRPr="007C0BD7" w:rsidRDefault="00F81792" w:rsidP="00F81792">
      <w:pPr>
        <w:pStyle w:val="NormalWeb"/>
        <w:spacing w:before="0" w:beforeAutospacing="0" w:after="0" w:afterAutospacing="0" w:line="276" w:lineRule="auto"/>
        <w:rPr>
          <w:rFonts w:ascii="Arial" w:hAnsi="Arial" w:cs="Arial"/>
          <w:color w:val="000000" w:themeColor="text1"/>
          <w:sz w:val="14"/>
          <w:szCs w:val="1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81792" w:rsidRPr="007C0BD7" w14:paraId="330CAE2A" w14:textId="77777777" w:rsidTr="001336AE">
        <w:trPr>
          <w:trHeight w:val="160"/>
        </w:trPr>
        <w:tc>
          <w:tcPr>
            <w:tcW w:w="812" w:type="dxa"/>
            <w:vAlign w:val="center"/>
            <w:hideMark/>
          </w:tcPr>
          <w:p w14:paraId="1734095F"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2583D74" w14:textId="77777777" w:rsidR="00F81792" w:rsidRPr="007C0BD7" w:rsidRDefault="00F81792" w:rsidP="001336AE">
            <w:pPr>
              <w:jc w:val="both"/>
              <w:rPr>
                <w:rFonts w:ascii="Arial" w:hAnsi="Arial" w:cs="Arial"/>
                <w:color w:val="000000" w:themeColor="text1"/>
                <w:sz w:val="14"/>
                <w:szCs w:val="14"/>
                <w:lang w:val="es-ES_tradnl" w:eastAsia="es-ES"/>
              </w:rPr>
            </w:pPr>
            <w:r>
              <w:rPr>
                <w:rFonts w:ascii="Arial" w:hAnsi="Arial" w:cs="Arial"/>
                <w:color w:val="000000" w:themeColor="text1"/>
                <w:sz w:val="14"/>
                <w:szCs w:val="14"/>
                <w:lang w:val="es-ES_tradnl" w:eastAsia="es-ES"/>
              </w:rPr>
              <w:t>Felipe Bastidas Paredes</w:t>
            </w:r>
          </w:p>
          <w:p w14:paraId="4E3A70F8"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Contratista de la Subdirección de Gestión Contractual</w:t>
            </w:r>
          </w:p>
        </w:tc>
      </w:tr>
      <w:tr w:rsidR="00F81792" w:rsidRPr="007C0BD7" w14:paraId="49179668" w14:textId="77777777" w:rsidTr="001336AE">
        <w:trPr>
          <w:trHeight w:val="330"/>
        </w:trPr>
        <w:tc>
          <w:tcPr>
            <w:tcW w:w="812" w:type="dxa"/>
            <w:vAlign w:val="center"/>
            <w:hideMark/>
          </w:tcPr>
          <w:p w14:paraId="08825375"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AC86CF3"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Sebastián Ramírez Grisales</w:t>
            </w:r>
          </w:p>
          <w:p w14:paraId="460857A8" w14:textId="77777777" w:rsidR="00F81792" w:rsidRPr="0036498C" w:rsidRDefault="00F81792" w:rsidP="001336AE">
            <w:pPr>
              <w:jc w:val="both"/>
              <w:rPr>
                <w:rFonts w:ascii="Arial" w:hAnsi="Arial" w:cs="Arial"/>
                <w:color w:val="000000" w:themeColor="text1"/>
                <w:sz w:val="14"/>
                <w:szCs w:val="14"/>
                <w:lang w:val="es-ES" w:eastAsia="es-ES"/>
              </w:rPr>
            </w:pPr>
            <w:r w:rsidRPr="007C0BD7">
              <w:rPr>
                <w:rFonts w:ascii="Arial" w:hAnsi="Arial" w:cs="Arial"/>
                <w:color w:val="000000"/>
                <w:sz w:val="14"/>
                <w:szCs w:val="14"/>
                <w:shd w:val="clear" w:color="auto" w:fill="FFFFFF"/>
              </w:rPr>
              <w:t>Gestor T1-15 de la </w:t>
            </w:r>
            <w:r w:rsidRPr="007C0BD7">
              <w:rPr>
                <w:rFonts w:ascii="Arial" w:hAnsi="Arial" w:cs="Arial"/>
                <w:color w:val="000000" w:themeColor="text1"/>
                <w:sz w:val="14"/>
                <w:szCs w:val="14"/>
                <w:lang w:val="es-ES" w:eastAsia="es-ES"/>
              </w:rPr>
              <w:t>Subdirección de Gestión Contractual</w:t>
            </w:r>
          </w:p>
        </w:tc>
      </w:tr>
      <w:tr w:rsidR="00F81792" w:rsidRPr="007C0BD7" w14:paraId="6BFF774C" w14:textId="77777777" w:rsidTr="001336AE">
        <w:trPr>
          <w:trHeight w:val="300"/>
        </w:trPr>
        <w:tc>
          <w:tcPr>
            <w:tcW w:w="812" w:type="dxa"/>
            <w:vAlign w:val="center"/>
            <w:hideMark/>
          </w:tcPr>
          <w:p w14:paraId="28F1ED79"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lastRenderedPageBreak/>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2FFEB1"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Jorge Augusto Tirado Navarro</w:t>
            </w:r>
          </w:p>
          <w:p w14:paraId="204AADEF" w14:textId="77777777" w:rsidR="00F81792" w:rsidRPr="007C0BD7" w:rsidRDefault="00F81792" w:rsidP="001336AE">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 xml:space="preserve">Subdirector de Gestión Contractual </w:t>
            </w:r>
            <w:r w:rsidRPr="007C0BD7">
              <w:rPr>
                <w:rFonts w:ascii="Arial" w:hAnsi="Arial" w:cs="Arial"/>
                <w:color w:val="000000" w:themeColor="text1"/>
                <w:sz w:val="14"/>
                <w:szCs w:val="14"/>
                <w:lang w:eastAsia="es-ES"/>
              </w:rPr>
              <w:t>ANCP – CCE</w:t>
            </w:r>
          </w:p>
        </w:tc>
      </w:tr>
    </w:tbl>
    <w:p w14:paraId="271FA271" w14:textId="616D5BC6" w:rsidR="00AB6BBF" w:rsidRPr="00F81792" w:rsidRDefault="00AB6BBF" w:rsidP="00AB6BBF">
      <w:pPr>
        <w:tabs>
          <w:tab w:val="left" w:pos="2232"/>
        </w:tabs>
        <w:rPr>
          <w:rFonts w:ascii="Arial" w:hAnsi="Arial" w:cs="Arial"/>
        </w:rPr>
      </w:pPr>
    </w:p>
    <w:p w14:paraId="3B66ACF9" w14:textId="6D069177" w:rsidR="0063022E" w:rsidRDefault="0063022E" w:rsidP="00AB6BBF">
      <w:pPr>
        <w:tabs>
          <w:tab w:val="left" w:pos="2232"/>
        </w:tabs>
        <w:rPr>
          <w:rFonts w:ascii="Arial" w:hAnsi="Arial" w:cs="Arial"/>
          <w:lang w:val="es-ES_tradnl"/>
        </w:rPr>
      </w:pPr>
    </w:p>
    <w:p w14:paraId="3007673C" w14:textId="27103CF1" w:rsidR="0063022E" w:rsidRDefault="0063022E" w:rsidP="00AB6BBF">
      <w:pPr>
        <w:tabs>
          <w:tab w:val="left" w:pos="2232"/>
        </w:tabs>
        <w:rPr>
          <w:rFonts w:ascii="Arial" w:hAnsi="Arial" w:cs="Arial"/>
          <w:lang w:val="es-ES_tradnl"/>
        </w:rPr>
      </w:pPr>
    </w:p>
    <w:p w14:paraId="34FEC2B7" w14:textId="2C80C62A" w:rsidR="0063022E" w:rsidRDefault="0063022E" w:rsidP="00AB6BBF">
      <w:pPr>
        <w:tabs>
          <w:tab w:val="left" w:pos="2232"/>
        </w:tabs>
        <w:rPr>
          <w:rFonts w:ascii="Arial" w:hAnsi="Arial" w:cs="Arial"/>
          <w:lang w:val="es-ES_tradnl"/>
        </w:rPr>
      </w:pPr>
    </w:p>
    <w:p w14:paraId="633F115F" w14:textId="058A5ABB" w:rsidR="0063022E" w:rsidRDefault="0063022E" w:rsidP="00AB6BBF">
      <w:pPr>
        <w:tabs>
          <w:tab w:val="left" w:pos="2232"/>
        </w:tabs>
        <w:rPr>
          <w:rFonts w:ascii="Arial" w:hAnsi="Arial" w:cs="Arial"/>
          <w:lang w:val="es-ES_tradnl"/>
        </w:rPr>
      </w:pPr>
    </w:p>
    <w:p w14:paraId="27C77D05" w14:textId="20866ADF" w:rsidR="0063022E" w:rsidRPr="0063022E" w:rsidRDefault="0063022E" w:rsidP="00AB6BBF">
      <w:pPr>
        <w:tabs>
          <w:tab w:val="left" w:pos="2232"/>
        </w:tabs>
        <w:rPr>
          <w:rFonts w:ascii="Arial" w:hAnsi="Arial" w:cs="Arial"/>
          <w:color w:val="FF0000"/>
          <w:sz w:val="28"/>
          <w:szCs w:val="28"/>
          <w:lang w:val="es-ES_tradnl"/>
        </w:rPr>
      </w:pPr>
    </w:p>
    <w:sectPr w:rsidR="0063022E" w:rsidRPr="0063022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BCC6" w14:textId="77777777" w:rsidR="00BF496B" w:rsidRDefault="00BF496B">
      <w:r>
        <w:separator/>
      </w:r>
    </w:p>
  </w:endnote>
  <w:endnote w:type="continuationSeparator" w:id="0">
    <w:p w14:paraId="16753BE8" w14:textId="77777777" w:rsidR="00BF496B" w:rsidRDefault="00BF496B">
      <w:r>
        <w:continuationSeparator/>
      </w:r>
    </w:p>
  </w:endnote>
  <w:endnote w:type="continuationNotice" w:id="1">
    <w:p w14:paraId="3E63E758" w14:textId="77777777" w:rsidR="00BF496B" w:rsidRDefault="00BF4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0ÊXÀ˛">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F446" w14:textId="77777777" w:rsidR="00BF496B" w:rsidRDefault="00BF496B">
      <w:r>
        <w:separator/>
      </w:r>
    </w:p>
  </w:footnote>
  <w:footnote w:type="continuationSeparator" w:id="0">
    <w:p w14:paraId="75A173C8" w14:textId="77777777" w:rsidR="00BF496B" w:rsidRDefault="00BF496B">
      <w:r>
        <w:continuationSeparator/>
      </w:r>
    </w:p>
  </w:footnote>
  <w:footnote w:type="continuationNotice" w:id="1">
    <w:p w14:paraId="35FC32C7" w14:textId="77777777" w:rsidR="00BF496B" w:rsidRDefault="00BF496B"/>
  </w:footnote>
  <w:footnote w:id="2">
    <w:p w14:paraId="467327F0" w14:textId="77777777" w:rsidR="00D56C7D" w:rsidRPr="008B0C98" w:rsidRDefault="00D56C7D" w:rsidP="00D56C7D">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Consejo de Estado. Sección Tercera. Sentencia del 29 de octubre de 2.015. Consejera Ponente: Stella Conto Díaz Del Castillo. Expediente: 31.918.</w:t>
      </w:r>
    </w:p>
    <w:p w14:paraId="4ACFEC5E" w14:textId="77777777" w:rsidR="00D56C7D" w:rsidRPr="008B0C98" w:rsidRDefault="00D56C7D" w:rsidP="00D56C7D">
      <w:pPr>
        <w:pStyle w:val="Textonotapie"/>
        <w:ind w:firstLine="709"/>
        <w:jc w:val="both"/>
        <w:rPr>
          <w:rFonts w:ascii="Arial" w:hAnsi="Arial" w:cs="Arial"/>
          <w:sz w:val="19"/>
          <w:szCs w:val="19"/>
          <w:lang w:val="es-ES"/>
        </w:rPr>
      </w:pPr>
    </w:p>
  </w:footnote>
  <w:footnote w:id="3">
    <w:p w14:paraId="25ABA53F" w14:textId="77777777" w:rsidR="00D56C7D" w:rsidRPr="008B0C98" w:rsidRDefault="00D56C7D" w:rsidP="00D56C7D">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Corte Constitucional. Sentencia T-684A del 14 de septiembre de 2</w:t>
      </w:r>
      <w:r w:rsidRPr="008F3511">
        <w:rPr>
          <w:rFonts w:ascii="Arial" w:hAnsi="Arial" w:cs="Arial"/>
          <w:sz w:val="19"/>
          <w:szCs w:val="19"/>
          <w:lang w:val="es-ES"/>
        </w:rPr>
        <w:t>011. Magistrado Ponente: Mauricio González Cuervo.</w:t>
      </w:r>
    </w:p>
    <w:p w14:paraId="44EF2639" w14:textId="77777777" w:rsidR="00D56C7D" w:rsidRPr="008B0C98" w:rsidRDefault="00D56C7D" w:rsidP="00D56C7D">
      <w:pPr>
        <w:pStyle w:val="Textonotapie"/>
        <w:ind w:firstLine="709"/>
        <w:jc w:val="both"/>
        <w:rPr>
          <w:rFonts w:ascii="Arial" w:hAnsi="Arial" w:cs="Arial"/>
          <w:sz w:val="19"/>
          <w:szCs w:val="19"/>
          <w:lang w:val="es-ES"/>
        </w:rPr>
      </w:pPr>
    </w:p>
  </w:footnote>
  <w:footnote w:id="4">
    <w:p w14:paraId="259A255C" w14:textId="77777777" w:rsidR="00D56C7D" w:rsidRPr="008B0C98" w:rsidRDefault="00D56C7D" w:rsidP="00D56C7D">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Consejo de Estado. Sección Tercera. Sentencia del 6 de diciembre de 2.013. Consejera Ponente: Stella Conto Díaz Del Castillo. Expediente: 27.506. En efecto, el artículo 44, inciso 1º, de la Ley 80 de 19</w:t>
      </w:r>
      <w:r w:rsidRPr="008B0C98">
        <w:rPr>
          <w:rFonts w:ascii="Arial" w:hAnsi="Arial" w:cs="Arial"/>
          <w:sz w:val="19"/>
          <w:szCs w:val="19"/>
          <w:lang w:val="es-ES"/>
        </w:rPr>
        <w:t xml:space="preserve">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25980D4B" w14:textId="77777777" w:rsidR="00D56C7D" w:rsidRPr="008B0C98" w:rsidRDefault="00D56C7D" w:rsidP="00D56C7D">
      <w:pPr>
        <w:pStyle w:val="Textonotapie"/>
        <w:ind w:firstLine="709"/>
        <w:jc w:val="both"/>
        <w:rPr>
          <w:rFonts w:ascii="Arial" w:hAnsi="Arial" w:cs="Arial"/>
          <w:sz w:val="19"/>
          <w:szCs w:val="19"/>
          <w:lang w:val="es-CO"/>
        </w:rPr>
      </w:pPr>
    </w:p>
  </w:footnote>
  <w:footnote w:id="5">
    <w:p w14:paraId="454C3225" w14:textId="36622023" w:rsidR="008B0C98" w:rsidRPr="00592353" w:rsidRDefault="008B0C98" w:rsidP="00592353">
      <w:pPr>
        <w:pStyle w:val="Textonotapie"/>
        <w:ind w:firstLine="709"/>
        <w:rPr>
          <w:rFonts w:ascii="Arial" w:hAnsi="Arial" w:cs="Arial"/>
          <w:sz w:val="19"/>
          <w:szCs w:val="19"/>
          <w:lang w:val="es-CO"/>
        </w:rPr>
      </w:pPr>
      <w:r w:rsidRPr="00592353">
        <w:rPr>
          <w:rStyle w:val="Refdenotaalpie"/>
          <w:rFonts w:ascii="Arial" w:hAnsi="Arial" w:cs="Arial"/>
          <w:sz w:val="19"/>
          <w:szCs w:val="19"/>
        </w:rPr>
        <w:footnoteRef/>
      </w:r>
      <w:r w:rsidRPr="00592353">
        <w:rPr>
          <w:rFonts w:ascii="Arial" w:hAnsi="Arial" w:cs="Arial"/>
          <w:sz w:val="19"/>
          <w:szCs w:val="19"/>
        </w:rPr>
        <w:t xml:space="preserve"> Disponible en: https://relatoria.colombiacompra.gov.co/ficha/C-690%20de%202020.</w:t>
      </w:r>
    </w:p>
  </w:footnote>
  <w:footnote w:id="6">
    <w:p w14:paraId="2043A1E7" w14:textId="77777777" w:rsidR="00CC1C03" w:rsidRPr="008F3511" w:rsidRDefault="00CC1C03" w:rsidP="00CC1C03">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Artículos 2 al 29.</w:t>
      </w:r>
    </w:p>
    <w:p w14:paraId="5DA6D7E8" w14:textId="77777777" w:rsidR="00CC1C03" w:rsidRPr="008B0C98" w:rsidRDefault="00CC1C03" w:rsidP="00CC1C03">
      <w:pPr>
        <w:pStyle w:val="Textonotapie"/>
        <w:ind w:firstLine="709"/>
        <w:jc w:val="both"/>
        <w:rPr>
          <w:rFonts w:ascii="Arial" w:hAnsi="Arial" w:cs="Arial"/>
          <w:sz w:val="19"/>
          <w:szCs w:val="19"/>
          <w:lang w:val="es-ES"/>
        </w:rPr>
      </w:pPr>
    </w:p>
  </w:footnote>
  <w:footnote w:id="7">
    <w:p w14:paraId="64B5D9F0" w14:textId="77777777" w:rsidR="00CC1C03" w:rsidRPr="008F3511" w:rsidRDefault="00CC1C03" w:rsidP="00CC1C03">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Artículos 30 al 36.</w:t>
      </w:r>
    </w:p>
    <w:p w14:paraId="2F76B34A" w14:textId="77777777" w:rsidR="00CC1C03" w:rsidRPr="008B0C98" w:rsidRDefault="00CC1C03" w:rsidP="00CC1C03">
      <w:pPr>
        <w:pStyle w:val="Textonotapie"/>
        <w:ind w:firstLine="709"/>
        <w:jc w:val="both"/>
        <w:rPr>
          <w:rFonts w:ascii="Arial" w:hAnsi="Arial" w:cs="Arial"/>
          <w:sz w:val="19"/>
          <w:szCs w:val="19"/>
          <w:lang w:val="es-ES"/>
        </w:rPr>
      </w:pPr>
    </w:p>
  </w:footnote>
  <w:footnote w:id="8">
    <w:p w14:paraId="77C8F552" w14:textId="77777777" w:rsidR="00CC1C03" w:rsidRPr="008F3511" w:rsidRDefault="00CC1C03" w:rsidP="00CC1C03">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Artículos 37 al 45.</w:t>
      </w:r>
    </w:p>
    <w:p w14:paraId="73784A04" w14:textId="77777777" w:rsidR="00CC1C03" w:rsidRPr="008B0C98" w:rsidRDefault="00CC1C03" w:rsidP="00CC1C03">
      <w:pPr>
        <w:pStyle w:val="Textonotapie"/>
        <w:ind w:firstLine="709"/>
        <w:jc w:val="both"/>
        <w:rPr>
          <w:rFonts w:ascii="Arial" w:hAnsi="Arial" w:cs="Arial"/>
          <w:sz w:val="19"/>
          <w:szCs w:val="19"/>
          <w:lang w:val="es-ES"/>
        </w:rPr>
      </w:pPr>
    </w:p>
  </w:footnote>
  <w:footnote w:id="9">
    <w:p w14:paraId="68BC65C6" w14:textId="77777777" w:rsidR="00CC1C03" w:rsidRPr="008F3511" w:rsidRDefault="00CC1C03" w:rsidP="00CC1C03">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Artículos 46 al 73.</w:t>
      </w:r>
    </w:p>
    <w:p w14:paraId="1E99538B" w14:textId="77777777" w:rsidR="00CC1C03" w:rsidRPr="008B0C98" w:rsidRDefault="00CC1C03" w:rsidP="00CC1C03">
      <w:pPr>
        <w:pStyle w:val="Textonotapie"/>
        <w:ind w:firstLine="709"/>
        <w:jc w:val="both"/>
        <w:rPr>
          <w:rFonts w:ascii="Arial" w:hAnsi="Arial" w:cs="Arial"/>
          <w:sz w:val="19"/>
          <w:szCs w:val="19"/>
          <w:lang w:val="es-ES"/>
        </w:rPr>
      </w:pPr>
    </w:p>
  </w:footnote>
  <w:footnote w:id="10">
    <w:p w14:paraId="7B26C393" w14:textId="77777777" w:rsidR="00CC1C03" w:rsidRPr="008F3511" w:rsidRDefault="00CC1C03" w:rsidP="00CC1C03">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E5BA6">
        <w:rPr>
          <w:rFonts w:ascii="Arial" w:hAnsi="Arial" w:cs="Arial"/>
          <w:sz w:val="19"/>
          <w:szCs w:val="19"/>
          <w:lang w:val="es-ES"/>
        </w:rPr>
        <w:t>Artículos 74 al 83.</w:t>
      </w:r>
    </w:p>
    <w:p w14:paraId="1929D491" w14:textId="77777777" w:rsidR="00CC1C03" w:rsidRPr="008B0C98" w:rsidRDefault="00CC1C03" w:rsidP="00CC1C03">
      <w:pPr>
        <w:pStyle w:val="Textonotapie"/>
        <w:ind w:firstLine="709"/>
        <w:jc w:val="both"/>
        <w:rPr>
          <w:rFonts w:ascii="Arial" w:hAnsi="Arial" w:cs="Arial"/>
          <w:sz w:val="19"/>
          <w:szCs w:val="19"/>
          <w:lang w:val="es-ES"/>
        </w:rPr>
      </w:pPr>
    </w:p>
  </w:footnote>
  <w:footnote w:id="11">
    <w:p w14:paraId="5C91C0FC" w14:textId="429E3698" w:rsidR="003E1E64" w:rsidRPr="008B0C98" w:rsidRDefault="00652F4D" w:rsidP="00263EC5">
      <w:pPr>
        <w:ind w:firstLine="709"/>
        <w:jc w:val="both"/>
        <w:rPr>
          <w:rFonts w:ascii="Arial" w:eastAsiaTheme="minorHAnsi" w:hAnsi="Arial" w:cs="Arial"/>
          <w:sz w:val="19"/>
          <w:szCs w:val="19"/>
          <w:lang w:val="es-MX" w:eastAsia="en-U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00EF0B6B" w:rsidRPr="008F3511">
        <w:rPr>
          <w:rFonts w:ascii="Arial" w:hAnsi="Arial" w:cs="Arial"/>
          <w:sz w:val="19"/>
          <w:szCs w:val="19"/>
        </w:rPr>
        <w:t xml:space="preserve">Esta norma dispone: </w:t>
      </w:r>
      <w:r w:rsidR="003E1E64" w:rsidRPr="008B0C98">
        <w:rPr>
          <w:rFonts w:ascii="Arial" w:hAnsi="Arial" w:cs="Arial"/>
          <w:sz w:val="19"/>
          <w:szCs w:val="19"/>
        </w:rPr>
        <w:t>«</w:t>
      </w:r>
      <w:r w:rsidR="003E1E64" w:rsidRPr="008B0C98">
        <w:rPr>
          <w:rFonts w:ascii="Arial" w:eastAsiaTheme="minorHAnsi" w:hAnsi="Arial" w:cs="Arial"/>
          <w:sz w:val="19"/>
          <w:szCs w:val="19"/>
          <w:lang w:val="es-MX" w:eastAsia="en-US"/>
        </w:rPr>
        <w:t>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p>
    <w:p w14:paraId="674D3F7F" w14:textId="5EA57E21" w:rsidR="00652F4D" w:rsidRPr="008B0C98" w:rsidRDefault="00652F4D" w:rsidP="00263EC5">
      <w:pPr>
        <w:pStyle w:val="Textonotapie"/>
        <w:ind w:firstLine="709"/>
        <w:jc w:val="both"/>
        <w:rPr>
          <w:rFonts w:ascii="Arial" w:hAnsi="Arial" w:cs="Arial"/>
          <w:sz w:val="19"/>
          <w:szCs w:val="19"/>
          <w:lang w:val="es-CO"/>
        </w:rPr>
      </w:pPr>
    </w:p>
  </w:footnote>
  <w:footnote w:id="12">
    <w:p w14:paraId="58D37C81" w14:textId="585AC675" w:rsidR="0050309C" w:rsidRPr="008B0C98" w:rsidRDefault="0050309C" w:rsidP="00263EC5">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F3511">
        <w:rPr>
          <w:rFonts w:ascii="Arial" w:hAnsi="Arial" w:cs="Arial"/>
          <w:sz w:val="19"/>
          <w:szCs w:val="19"/>
          <w:lang w:val="es-ES"/>
        </w:rPr>
        <w:t xml:space="preserve">En efecto, tal disposición establece: «Los contratos del Estado son absolutamente nulos en los casos </w:t>
      </w:r>
      <w:r w:rsidRPr="008B0C98">
        <w:rPr>
          <w:rFonts w:ascii="Arial" w:hAnsi="Arial" w:cs="Arial"/>
          <w:sz w:val="19"/>
          <w:szCs w:val="19"/>
          <w:lang w:val="es-ES"/>
        </w:rPr>
        <w:t>previstos en el derecho común y además cuando:</w:t>
      </w:r>
    </w:p>
    <w:p w14:paraId="43EBE663" w14:textId="6B2809AB" w:rsidR="0050309C" w:rsidRPr="008B0C98" w:rsidRDefault="0050309C" w:rsidP="00263EC5">
      <w:pPr>
        <w:pStyle w:val="Textonotapie"/>
        <w:ind w:firstLine="709"/>
        <w:jc w:val="both"/>
        <w:rPr>
          <w:rFonts w:ascii="Arial" w:hAnsi="Arial" w:cs="Arial"/>
          <w:sz w:val="19"/>
          <w:szCs w:val="19"/>
          <w:lang w:val="es-ES"/>
        </w:rPr>
      </w:pPr>
      <w:r w:rsidRPr="008B0C98">
        <w:rPr>
          <w:rFonts w:ascii="Arial" w:hAnsi="Arial" w:cs="Arial"/>
          <w:sz w:val="19"/>
          <w:szCs w:val="19"/>
          <w:lang w:val="es-ES"/>
        </w:rPr>
        <w:t>»1o. Se celebren con personas incursas en causales de inhabilidad o incompatibilidad previstas en la Constitución y la ley;</w:t>
      </w:r>
    </w:p>
    <w:p w14:paraId="24937808" w14:textId="7A07DCC7" w:rsidR="0050309C" w:rsidRPr="008B0C98" w:rsidRDefault="0050309C" w:rsidP="00263EC5">
      <w:pPr>
        <w:pStyle w:val="Textonotapie"/>
        <w:ind w:firstLine="709"/>
        <w:jc w:val="both"/>
        <w:rPr>
          <w:rFonts w:ascii="Arial" w:hAnsi="Arial" w:cs="Arial"/>
          <w:sz w:val="19"/>
          <w:szCs w:val="19"/>
          <w:lang w:val="es-ES"/>
        </w:rPr>
      </w:pPr>
      <w:r w:rsidRPr="008B0C98">
        <w:rPr>
          <w:rFonts w:ascii="Arial" w:hAnsi="Arial" w:cs="Arial"/>
          <w:sz w:val="19"/>
          <w:szCs w:val="19"/>
          <w:lang w:val="es-ES"/>
        </w:rPr>
        <w:t>»2o. Se celebren contra expresa prohibición constitucional o legal;</w:t>
      </w:r>
    </w:p>
    <w:p w14:paraId="20A170C6" w14:textId="1AADC1A5" w:rsidR="0050309C" w:rsidRPr="008B0C98" w:rsidRDefault="0050309C" w:rsidP="00263EC5">
      <w:pPr>
        <w:pStyle w:val="Textonotapie"/>
        <w:ind w:firstLine="709"/>
        <w:jc w:val="both"/>
        <w:rPr>
          <w:rFonts w:ascii="Arial" w:hAnsi="Arial" w:cs="Arial"/>
          <w:sz w:val="19"/>
          <w:szCs w:val="19"/>
          <w:lang w:val="es-ES"/>
        </w:rPr>
      </w:pPr>
      <w:r w:rsidRPr="008B0C98">
        <w:rPr>
          <w:rFonts w:ascii="Arial" w:hAnsi="Arial" w:cs="Arial"/>
          <w:sz w:val="19"/>
          <w:szCs w:val="19"/>
          <w:lang w:val="es-ES"/>
        </w:rPr>
        <w:t>»3o. Se celebren con abuso o desviación de poder;</w:t>
      </w:r>
    </w:p>
    <w:p w14:paraId="23C0C6CC" w14:textId="2C617703" w:rsidR="0050309C" w:rsidRPr="008B0C98" w:rsidRDefault="00816515" w:rsidP="00263EC5">
      <w:pPr>
        <w:pStyle w:val="Textonotapie"/>
        <w:ind w:firstLine="709"/>
        <w:jc w:val="both"/>
        <w:rPr>
          <w:rFonts w:ascii="Arial" w:hAnsi="Arial" w:cs="Arial"/>
          <w:sz w:val="19"/>
          <w:szCs w:val="19"/>
          <w:lang w:val="es-ES"/>
        </w:rPr>
      </w:pPr>
      <w:r w:rsidRPr="008B0C98">
        <w:rPr>
          <w:rFonts w:ascii="Arial" w:hAnsi="Arial" w:cs="Arial"/>
          <w:sz w:val="19"/>
          <w:szCs w:val="19"/>
          <w:lang w:val="es-ES"/>
        </w:rPr>
        <w:t>»</w:t>
      </w:r>
      <w:r w:rsidR="0050309C" w:rsidRPr="008B0C98">
        <w:rPr>
          <w:rFonts w:ascii="Arial" w:hAnsi="Arial" w:cs="Arial"/>
          <w:sz w:val="19"/>
          <w:szCs w:val="19"/>
          <w:lang w:val="es-ES"/>
        </w:rPr>
        <w:t>4o. Se declaren nulos los actos administrativos en que se fundamenten; y</w:t>
      </w:r>
    </w:p>
    <w:p w14:paraId="3FDBE7AB" w14:textId="79CEFF42" w:rsidR="0050309C" w:rsidRPr="008B0C98" w:rsidRDefault="00816515" w:rsidP="00263EC5">
      <w:pPr>
        <w:pStyle w:val="Textonotapie"/>
        <w:ind w:firstLine="709"/>
        <w:jc w:val="both"/>
        <w:rPr>
          <w:rFonts w:ascii="Arial" w:hAnsi="Arial" w:cs="Arial"/>
          <w:sz w:val="19"/>
          <w:szCs w:val="19"/>
          <w:lang w:val="es-ES"/>
        </w:rPr>
      </w:pPr>
      <w:r w:rsidRPr="008B0C98">
        <w:rPr>
          <w:rFonts w:ascii="Arial" w:hAnsi="Arial" w:cs="Arial"/>
          <w:sz w:val="19"/>
          <w:szCs w:val="19"/>
          <w:lang w:val="es-ES"/>
        </w:rPr>
        <w:t>»</w:t>
      </w:r>
      <w:r w:rsidR="0050309C" w:rsidRPr="008B0C98">
        <w:rPr>
          <w:rFonts w:ascii="Arial" w:hAnsi="Arial" w:cs="Arial"/>
          <w:sz w:val="19"/>
          <w:szCs w:val="19"/>
          <w:lang w:val="es-ES"/>
        </w:rPr>
        <w:t>5o. Se hubieren celebrado con desconocimiento de los criterios previstos en el artículo 21 sobre tratamiento de ofertas nacionales y extranjeras o con violación de la reciprocidad de que trata esta ley</w:t>
      </w:r>
      <w:r w:rsidRPr="008B0C98">
        <w:rPr>
          <w:rFonts w:ascii="Arial" w:hAnsi="Arial" w:cs="Arial"/>
          <w:sz w:val="19"/>
          <w:szCs w:val="19"/>
          <w:lang w:val="es-ES"/>
        </w:rPr>
        <w:t>»</w:t>
      </w:r>
      <w:r w:rsidR="0050309C" w:rsidRPr="008B0C98">
        <w:rPr>
          <w:rFonts w:ascii="Arial" w:hAnsi="Arial" w:cs="Arial"/>
          <w:sz w:val="19"/>
          <w:szCs w:val="19"/>
          <w:lang w:val="es-ES"/>
        </w:rPr>
        <w:t>.</w:t>
      </w:r>
    </w:p>
  </w:footnote>
  <w:footnote w:id="13">
    <w:p w14:paraId="0A2EBE07" w14:textId="77777777" w:rsidR="00A201DB" w:rsidRPr="008B0C98" w:rsidRDefault="00A201DB" w:rsidP="00263EC5">
      <w:pPr>
        <w:pStyle w:val="Textonotapie"/>
        <w:ind w:firstLine="709"/>
        <w:jc w:val="both"/>
        <w:rPr>
          <w:rFonts w:ascii="Arial" w:hAnsi="Arial" w:cs="Arial"/>
          <w:sz w:val="19"/>
          <w:szCs w:val="19"/>
        </w:rPr>
      </w:pPr>
    </w:p>
    <w:p w14:paraId="7393E0AA" w14:textId="5730E785" w:rsidR="005B0293" w:rsidRPr="008B0C98" w:rsidRDefault="005B0293" w:rsidP="00263EC5">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Pr="008F3511">
        <w:rPr>
          <w:rFonts w:ascii="Arial" w:hAnsi="Arial" w:cs="Arial"/>
          <w:sz w:val="19"/>
          <w:szCs w:val="19"/>
          <w:lang w:val="es-ES"/>
        </w:rPr>
        <w:t>Consejo de Estado. Sección Tercera. Subsección B. Sentencia</w:t>
      </w:r>
      <w:r w:rsidR="00633D6C" w:rsidRPr="008F3511">
        <w:rPr>
          <w:rFonts w:ascii="Arial" w:hAnsi="Arial" w:cs="Arial"/>
          <w:sz w:val="19"/>
          <w:szCs w:val="19"/>
          <w:lang w:val="es-ES"/>
        </w:rPr>
        <w:t xml:space="preserve"> del 27 de marzo de 2014. Consejero Ponente: Ramiro de Jesús Pazos Guerrero. Expediente: </w:t>
      </w:r>
      <w:r w:rsidR="00F663DD" w:rsidRPr="008B0C98">
        <w:rPr>
          <w:rFonts w:ascii="Arial" w:hAnsi="Arial" w:cs="Arial"/>
          <w:sz w:val="19"/>
          <w:szCs w:val="19"/>
          <w:lang w:val="es-ES"/>
        </w:rPr>
        <w:t>27.453.</w:t>
      </w:r>
    </w:p>
    <w:p w14:paraId="49D073F8" w14:textId="77777777" w:rsidR="00F663DD" w:rsidRPr="008B0C98" w:rsidRDefault="00F663DD" w:rsidP="00263EC5">
      <w:pPr>
        <w:pStyle w:val="Textonotapie"/>
        <w:ind w:firstLine="709"/>
        <w:jc w:val="both"/>
        <w:rPr>
          <w:rFonts w:ascii="Arial" w:hAnsi="Arial" w:cs="Arial"/>
          <w:sz w:val="19"/>
          <w:szCs w:val="19"/>
          <w:lang w:val="es-ES"/>
        </w:rPr>
      </w:pPr>
    </w:p>
  </w:footnote>
  <w:footnote w:id="14">
    <w:p w14:paraId="2E3779CE" w14:textId="5BEF3156" w:rsidR="00B92871" w:rsidRPr="008F3511" w:rsidRDefault="00B92871" w:rsidP="00263EC5">
      <w:pPr>
        <w:pStyle w:val="Textonotapie"/>
        <w:ind w:firstLine="709"/>
        <w:jc w:val="both"/>
        <w:rPr>
          <w:rFonts w:ascii="Arial" w:hAnsi="Arial" w:cs="Arial"/>
          <w:sz w:val="19"/>
          <w:szCs w:val="19"/>
          <w:lang w:val="es-ES"/>
        </w:rPr>
      </w:pPr>
      <w:r w:rsidRPr="008E5BA6">
        <w:rPr>
          <w:rStyle w:val="Refdenotaalpie"/>
          <w:rFonts w:ascii="Arial" w:hAnsi="Arial" w:cs="Arial"/>
          <w:sz w:val="19"/>
          <w:szCs w:val="19"/>
        </w:rPr>
        <w:footnoteRef/>
      </w:r>
      <w:r w:rsidRPr="008E5BA6">
        <w:rPr>
          <w:rFonts w:ascii="Arial" w:hAnsi="Arial" w:cs="Arial"/>
          <w:sz w:val="19"/>
          <w:szCs w:val="19"/>
        </w:rPr>
        <w:t xml:space="preserve"> </w:t>
      </w:r>
      <w:r w:rsidR="00F663DD" w:rsidRPr="008F3511">
        <w:rPr>
          <w:rFonts w:ascii="Arial" w:hAnsi="Arial" w:cs="Arial"/>
          <w:sz w:val="19"/>
          <w:szCs w:val="19"/>
        </w:rPr>
        <w:t>Ibíd.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AE"/>
    <w:rsid w:val="00023FC9"/>
    <w:rsid w:val="00024896"/>
    <w:rsid w:val="000255FA"/>
    <w:rsid w:val="00025D0A"/>
    <w:rsid w:val="00025D7D"/>
    <w:rsid w:val="000263F0"/>
    <w:rsid w:val="00026407"/>
    <w:rsid w:val="00026608"/>
    <w:rsid w:val="0002702E"/>
    <w:rsid w:val="00027787"/>
    <w:rsid w:val="000278D2"/>
    <w:rsid w:val="00030DFB"/>
    <w:rsid w:val="00031011"/>
    <w:rsid w:val="00031364"/>
    <w:rsid w:val="000315E1"/>
    <w:rsid w:val="0003236E"/>
    <w:rsid w:val="0003339A"/>
    <w:rsid w:val="000341F2"/>
    <w:rsid w:val="00035046"/>
    <w:rsid w:val="000351F2"/>
    <w:rsid w:val="00035768"/>
    <w:rsid w:val="00035A1B"/>
    <w:rsid w:val="00036E03"/>
    <w:rsid w:val="000406DB"/>
    <w:rsid w:val="0004094D"/>
    <w:rsid w:val="00041029"/>
    <w:rsid w:val="00041357"/>
    <w:rsid w:val="0004149B"/>
    <w:rsid w:val="00041FC6"/>
    <w:rsid w:val="000422EA"/>
    <w:rsid w:val="00042746"/>
    <w:rsid w:val="00042961"/>
    <w:rsid w:val="00042C25"/>
    <w:rsid w:val="00042D03"/>
    <w:rsid w:val="00043086"/>
    <w:rsid w:val="000430A0"/>
    <w:rsid w:val="00043D3B"/>
    <w:rsid w:val="0004418C"/>
    <w:rsid w:val="00044204"/>
    <w:rsid w:val="0004477A"/>
    <w:rsid w:val="000449D4"/>
    <w:rsid w:val="000450D0"/>
    <w:rsid w:val="0004600D"/>
    <w:rsid w:val="000463B5"/>
    <w:rsid w:val="00046717"/>
    <w:rsid w:val="00046A63"/>
    <w:rsid w:val="00046C09"/>
    <w:rsid w:val="00046C0A"/>
    <w:rsid w:val="0004716A"/>
    <w:rsid w:val="00047385"/>
    <w:rsid w:val="000473E8"/>
    <w:rsid w:val="000504DE"/>
    <w:rsid w:val="00050A89"/>
    <w:rsid w:val="00051074"/>
    <w:rsid w:val="000526F0"/>
    <w:rsid w:val="0005273D"/>
    <w:rsid w:val="00052826"/>
    <w:rsid w:val="00052B79"/>
    <w:rsid w:val="00052E4B"/>
    <w:rsid w:val="00052EA0"/>
    <w:rsid w:val="000536A7"/>
    <w:rsid w:val="000536E3"/>
    <w:rsid w:val="00053896"/>
    <w:rsid w:val="00053A00"/>
    <w:rsid w:val="0005474D"/>
    <w:rsid w:val="00055CB9"/>
    <w:rsid w:val="00056F66"/>
    <w:rsid w:val="0005702F"/>
    <w:rsid w:val="00060569"/>
    <w:rsid w:val="0006088D"/>
    <w:rsid w:val="00061010"/>
    <w:rsid w:val="00061D06"/>
    <w:rsid w:val="00062CDD"/>
    <w:rsid w:val="00062DB3"/>
    <w:rsid w:val="00063472"/>
    <w:rsid w:val="000640AF"/>
    <w:rsid w:val="00064940"/>
    <w:rsid w:val="00064CAE"/>
    <w:rsid w:val="00064D4F"/>
    <w:rsid w:val="00064DB7"/>
    <w:rsid w:val="00064FA7"/>
    <w:rsid w:val="00065195"/>
    <w:rsid w:val="0006536C"/>
    <w:rsid w:val="0006626E"/>
    <w:rsid w:val="00066D6D"/>
    <w:rsid w:val="00067AA8"/>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832"/>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5D1"/>
    <w:rsid w:val="000979CF"/>
    <w:rsid w:val="000A03C8"/>
    <w:rsid w:val="000A05F2"/>
    <w:rsid w:val="000A06C4"/>
    <w:rsid w:val="000A0861"/>
    <w:rsid w:val="000A0B6F"/>
    <w:rsid w:val="000A0EC4"/>
    <w:rsid w:val="000A0ED1"/>
    <w:rsid w:val="000A12DB"/>
    <w:rsid w:val="000A137E"/>
    <w:rsid w:val="000A171D"/>
    <w:rsid w:val="000A17C8"/>
    <w:rsid w:val="000A1B74"/>
    <w:rsid w:val="000A20D7"/>
    <w:rsid w:val="000A2128"/>
    <w:rsid w:val="000A362F"/>
    <w:rsid w:val="000A3B4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94"/>
    <w:rsid w:val="000E4D50"/>
    <w:rsid w:val="000E5768"/>
    <w:rsid w:val="000E5843"/>
    <w:rsid w:val="000E6139"/>
    <w:rsid w:val="000E63B7"/>
    <w:rsid w:val="000E653C"/>
    <w:rsid w:val="000E6BE1"/>
    <w:rsid w:val="000E7E0B"/>
    <w:rsid w:val="000F0136"/>
    <w:rsid w:val="000F078A"/>
    <w:rsid w:val="000F0F27"/>
    <w:rsid w:val="000F122D"/>
    <w:rsid w:val="000F1450"/>
    <w:rsid w:val="000F14E8"/>
    <w:rsid w:val="000F1BBD"/>
    <w:rsid w:val="000F290F"/>
    <w:rsid w:val="000F4403"/>
    <w:rsid w:val="000F480B"/>
    <w:rsid w:val="000F4E17"/>
    <w:rsid w:val="000F5615"/>
    <w:rsid w:val="000F5CE5"/>
    <w:rsid w:val="000F6084"/>
    <w:rsid w:val="000F6578"/>
    <w:rsid w:val="000F6693"/>
    <w:rsid w:val="000F6F92"/>
    <w:rsid w:val="000F725D"/>
    <w:rsid w:val="000F7E8F"/>
    <w:rsid w:val="000F7FBB"/>
    <w:rsid w:val="001000FB"/>
    <w:rsid w:val="00100A9E"/>
    <w:rsid w:val="00100F6A"/>
    <w:rsid w:val="00101638"/>
    <w:rsid w:val="00101EE8"/>
    <w:rsid w:val="00102106"/>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5DA5"/>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832"/>
    <w:rsid w:val="00153BFB"/>
    <w:rsid w:val="0015407E"/>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65"/>
    <w:rsid w:val="001620B3"/>
    <w:rsid w:val="00163D7A"/>
    <w:rsid w:val="00163E11"/>
    <w:rsid w:val="00164281"/>
    <w:rsid w:val="00165703"/>
    <w:rsid w:val="00165E5C"/>
    <w:rsid w:val="00166204"/>
    <w:rsid w:val="00166797"/>
    <w:rsid w:val="0016685F"/>
    <w:rsid w:val="0016712F"/>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49F"/>
    <w:rsid w:val="0017655B"/>
    <w:rsid w:val="00177C21"/>
    <w:rsid w:val="00177EAA"/>
    <w:rsid w:val="001805C1"/>
    <w:rsid w:val="00180823"/>
    <w:rsid w:val="00180A2E"/>
    <w:rsid w:val="001813AF"/>
    <w:rsid w:val="001826C9"/>
    <w:rsid w:val="001829CD"/>
    <w:rsid w:val="00182F01"/>
    <w:rsid w:val="00184219"/>
    <w:rsid w:val="00184F27"/>
    <w:rsid w:val="0018519B"/>
    <w:rsid w:val="00185966"/>
    <w:rsid w:val="00185A2D"/>
    <w:rsid w:val="00185AFE"/>
    <w:rsid w:val="00185E78"/>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EC"/>
    <w:rsid w:val="001963DD"/>
    <w:rsid w:val="001965DB"/>
    <w:rsid w:val="00196B5A"/>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34C3"/>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5140"/>
    <w:rsid w:val="001E55E6"/>
    <w:rsid w:val="001E5D6A"/>
    <w:rsid w:val="001E6A94"/>
    <w:rsid w:val="001E70FB"/>
    <w:rsid w:val="001E780A"/>
    <w:rsid w:val="001F021E"/>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512"/>
    <w:rsid w:val="001F7978"/>
    <w:rsid w:val="001F7A0E"/>
    <w:rsid w:val="001F7A4B"/>
    <w:rsid w:val="0020022E"/>
    <w:rsid w:val="0020054E"/>
    <w:rsid w:val="00201508"/>
    <w:rsid w:val="00201AC4"/>
    <w:rsid w:val="00201C45"/>
    <w:rsid w:val="00201F1E"/>
    <w:rsid w:val="0020247D"/>
    <w:rsid w:val="00202761"/>
    <w:rsid w:val="0020299B"/>
    <w:rsid w:val="00202B2A"/>
    <w:rsid w:val="00202E44"/>
    <w:rsid w:val="00202F5D"/>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7"/>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94E"/>
    <w:rsid w:val="002220B1"/>
    <w:rsid w:val="002221CE"/>
    <w:rsid w:val="00222B1D"/>
    <w:rsid w:val="00222BE8"/>
    <w:rsid w:val="00222DF6"/>
    <w:rsid w:val="00223102"/>
    <w:rsid w:val="002232CB"/>
    <w:rsid w:val="00224022"/>
    <w:rsid w:val="00224B1C"/>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4794C"/>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82B"/>
    <w:rsid w:val="00257999"/>
    <w:rsid w:val="002604AA"/>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3A6"/>
    <w:rsid w:val="002654B1"/>
    <w:rsid w:val="002655EF"/>
    <w:rsid w:val="002661F1"/>
    <w:rsid w:val="00266316"/>
    <w:rsid w:val="00266DB6"/>
    <w:rsid w:val="0027111F"/>
    <w:rsid w:val="002711A4"/>
    <w:rsid w:val="00271230"/>
    <w:rsid w:val="00271F13"/>
    <w:rsid w:val="00272945"/>
    <w:rsid w:val="00272E89"/>
    <w:rsid w:val="00273A94"/>
    <w:rsid w:val="002742D0"/>
    <w:rsid w:val="0027482E"/>
    <w:rsid w:val="002748F1"/>
    <w:rsid w:val="00274DB5"/>
    <w:rsid w:val="00275BB1"/>
    <w:rsid w:val="00275CBF"/>
    <w:rsid w:val="002766F9"/>
    <w:rsid w:val="00276EF7"/>
    <w:rsid w:val="0027770B"/>
    <w:rsid w:val="00277933"/>
    <w:rsid w:val="00277EC1"/>
    <w:rsid w:val="00277F8D"/>
    <w:rsid w:val="00277FA7"/>
    <w:rsid w:val="00280046"/>
    <w:rsid w:val="0028068C"/>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1C8"/>
    <w:rsid w:val="0028663B"/>
    <w:rsid w:val="00286CEC"/>
    <w:rsid w:val="002870F9"/>
    <w:rsid w:val="002871A9"/>
    <w:rsid w:val="00287505"/>
    <w:rsid w:val="00287BDB"/>
    <w:rsid w:val="00290781"/>
    <w:rsid w:val="00291784"/>
    <w:rsid w:val="002920DF"/>
    <w:rsid w:val="00292139"/>
    <w:rsid w:val="002928A3"/>
    <w:rsid w:val="002929BB"/>
    <w:rsid w:val="0029371B"/>
    <w:rsid w:val="00294368"/>
    <w:rsid w:val="00294B78"/>
    <w:rsid w:val="0029534C"/>
    <w:rsid w:val="00295416"/>
    <w:rsid w:val="00295949"/>
    <w:rsid w:val="00295D7C"/>
    <w:rsid w:val="0029624A"/>
    <w:rsid w:val="00296922"/>
    <w:rsid w:val="00297098"/>
    <w:rsid w:val="0029745A"/>
    <w:rsid w:val="002A05D4"/>
    <w:rsid w:val="002A06DB"/>
    <w:rsid w:val="002A09FF"/>
    <w:rsid w:val="002A0E60"/>
    <w:rsid w:val="002A12F1"/>
    <w:rsid w:val="002A1A58"/>
    <w:rsid w:val="002A1B02"/>
    <w:rsid w:val="002A1C53"/>
    <w:rsid w:val="002A1F84"/>
    <w:rsid w:val="002A244B"/>
    <w:rsid w:val="002A263A"/>
    <w:rsid w:val="002A28FC"/>
    <w:rsid w:val="002A2B44"/>
    <w:rsid w:val="002A2EA5"/>
    <w:rsid w:val="002A301E"/>
    <w:rsid w:val="002A3555"/>
    <w:rsid w:val="002A38C8"/>
    <w:rsid w:val="002A3D94"/>
    <w:rsid w:val="002A4736"/>
    <w:rsid w:val="002A4B1C"/>
    <w:rsid w:val="002A5388"/>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35A"/>
    <w:rsid w:val="002E6D68"/>
    <w:rsid w:val="002E6F4A"/>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BA5"/>
    <w:rsid w:val="00300CB4"/>
    <w:rsid w:val="00300E24"/>
    <w:rsid w:val="00300F9A"/>
    <w:rsid w:val="0030257B"/>
    <w:rsid w:val="003033BA"/>
    <w:rsid w:val="00303866"/>
    <w:rsid w:val="00303C19"/>
    <w:rsid w:val="003043A3"/>
    <w:rsid w:val="0030462D"/>
    <w:rsid w:val="00304BD4"/>
    <w:rsid w:val="00304F54"/>
    <w:rsid w:val="0030500A"/>
    <w:rsid w:val="003052EB"/>
    <w:rsid w:val="00305D3C"/>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1E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4A9D"/>
    <w:rsid w:val="003454E8"/>
    <w:rsid w:val="00345574"/>
    <w:rsid w:val="00345965"/>
    <w:rsid w:val="0034680A"/>
    <w:rsid w:val="00346C62"/>
    <w:rsid w:val="00347202"/>
    <w:rsid w:val="0034778E"/>
    <w:rsid w:val="00347A5A"/>
    <w:rsid w:val="003501E2"/>
    <w:rsid w:val="00350FED"/>
    <w:rsid w:val="00351E10"/>
    <w:rsid w:val="0035252F"/>
    <w:rsid w:val="003533F4"/>
    <w:rsid w:val="003536F6"/>
    <w:rsid w:val="00353DD5"/>
    <w:rsid w:val="00353F36"/>
    <w:rsid w:val="00355131"/>
    <w:rsid w:val="00355F74"/>
    <w:rsid w:val="003560DB"/>
    <w:rsid w:val="003564DB"/>
    <w:rsid w:val="00356F87"/>
    <w:rsid w:val="00357C44"/>
    <w:rsid w:val="00357E83"/>
    <w:rsid w:val="0036086B"/>
    <w:rsid w:val="00360CF3"/>
    <w:rsid w:val="00361A59"/>
    <w:rsid w:val="00363348"/>
    <w:rsid w:val="003634D4"/>
    <w:rsid w:val="00363857"/>
    <w:rsid w:val="00363D59"/>
    <w:rsid w:val="00363F08"/>
    <w:rsid w:val="003640F7"/>
    <w:rsid w:val="00364969"/>
    <w:rsid w:val="003651FD"/>
    <w:rsid w:val="003658F2"/>
    <w:rsid w:val="0036594A"/>
    <w:rsid w:val="00365D3A"/>
    <w:rsid w:val="003664FF"/>
    <w:rsid w:val="00366BD2"/>
    <w:rsid w:val="003670B8"/>
    <w:rsid w:val="00367603"/>
    <w:rsid w:val="003704A3"/>
    <w:rsid w:val="003706F2"/>
    <w:rsid w:val="003709E8"/>
    <w:rsid w:val="00370C2D"/>
    <w:rsid w:val="0037124F"/>
    <w:rsid w:val="00373827"/>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432"/>
    <w:rsid w:val="0039092B"/>
    <w:rsid w:val="00390BD9"/>
    <w:rsid w:val="00390C0B"/>
    <w:rsid w:val="00390F32"/>
    <w:rsid w:val="0039135E"/>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72F5"/>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A15"/>
    <w:rsid w:val="003B6BD4"/>
    <w:rsid w:val="003B6F4D"/>
    <w:rsid w:val="003B6FE7"/>
    <w:rsid w:val="003B70AF"/>
    <w:rsid w:val="003B725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4EA9"/>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5BA5"/>
    <w:rsid w:val="003F6181"/>
    <w:rsid w:val="003F6BFC"/>
    <w:rsid w:val="003F7343"/>
    <w:rsid w:val="00400002"/>
    <w:rsid w:val="00400054"/>
    <w:rsid w:val="00400DC1"/>
    <w:rsid w:val="00401203"/>
    <w:rsid w:val="004016A3"/>
    <w:rsid w:val="00401B31"/>
    <w:rsid w:val="0040202B"/>
    <w:rsid w:val="0040219D"/>
    <w:rsid w:val="00402B33"/>
    <w:rsid w:val="00402DE1"/>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956"/>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E8D"/>
    <w:rsid w:val="00423F9F"/>
    <w:rsid w:val="00424C5B"/>
    <w:rsid w:val="00425C43"/>
    <w:rsid w:val="004273FA"/>
    <w:rsid w:val="004275A7"/>
    <w:rsid w:val="00427BDA"/>
    <w:rsid w:val="00430186"/>
    <w:rsid w:val="00430F17"/>
    <w:rsid w:val="00431CC7"/>
    <w:rsid w:val="0043218E"/>
    <w:rsid w:val="0043260C"/>
    <w:rsid w:val="0043269A"/>
    <w:rsid w:val="00432E92"/>
    <w:rsid w:val="004333C2"/>
    <w:rsid w:val="00434787"/>
    <w:rsid w:val="00434C13"/>
    <w:rsid w:val="00434D8B"/>
    <w:rsid w:val="00435294"/>
    <w:rsid w:val="00435530"/>
    <w:rsid w:val="00435703"/>
    <w:rsid w:val="00435BD5"/>
    <w:rsid w:val="00435C7F"/>
    <w:rsid w:val="00436323"/>
    <w:rsid w:val="004367DE"/>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6616"/>
    <w:rsid w:val="00466A0C"/>
    <w:rsid w:val="00466A53"/>
    <w:rsid w:val="00467EE3"/>
    <w:rsid w:val="00470A6A"/>
    <w:rsid w:val="00470C12"/>
    <w:rsid w:val="00470D73"/>
    <w:rsid w:val="00470D92"/>
    <w:rsid w:val="00471DF7"/>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0C9"/>
    <w:rsid w:val="00481912"/>
    <w:rsid w:val="00481AC4"/>
    <w:rsid w:val="00481DC1"/>
    <w:rsid w:val="00482194"/>
    <w:rsid w:val="00482507"/>
    <w:rsid w:val="0048268A"/>
    <w:rsid w:val="004826AE"/>
    <w:rsid w:val="00482A64"/>
    <w:rsid w:val="004835CA"/>
    <w:rsid w:val="004836D7"/>
    <w:rsid w:val="004836F8"/>
    <w:rsid w:val="004836FE"/>
    <w:rsid w:val="00483DF1"/>
    <w:rsid w:val="00484A39"/>
    <w:rsid w:val="00484F0F"/>
    <w:rsid w:val="00484F40"/>
    <w:rsid w:val="0048540C"/>
    <w:rsid w:val="004861B4"/>
    <w:rsid w:val="00486226"/>
    <w:rsid w:val="0048690F"/>
    <w:rsid w:val="00486BD0"/>
    <w:rsid w:val="00486D00"/>
    <w:rsid w:val="00486FF7"/>
    <w:rsid w:val="00487263"/>
    <w:rsid w:val="0048734F"/>
    <w:rsid w:val="0048757F"/>
    <w:rsid w:val="0049029D"/>
    <w:rsid w:val="0049030C"/>
    <w:rsid w:val="004903C0"/>
    <w:rsid w:val="0049114B"/>
    <w:rsid w:val="004912A8"/>
    <w:rsid w:val="00491577"/>
    <w:rsid w:val="004918E1"/>
    <w:rsid w:val="0049196A"/>
    <w:rsid w:val="0049196E"/>
    <w:rsid w:val="0049241A"/>
    <w:rsid w:val="00492844"/>
    <w:rsid w:val="00492C1F"/>
    <w:rsid w:val="00492E4C"/>
    <w:rsid w:val="00493521"/>
    <w:rsid w:val="00493664"/>
    <w:rsid w:val="004938FD"/>
    <w:rsid w:val="00493E04"/>
    <w:rsid w:val="004940E3"/>
    <w:rsid w:val="0049530F"/>
    <w:rsid w:val="004958F6"/>
    <w:rsid w:val="00496664"/>
    <w:rsid w:val="00496786"/>
    <w:rsid w:val="0049695B"/>
    <w:rsid w:val="00496D8F"/>
    <w:rsid w:val="00497463"/>
    <w:rsid w:val="004A054C"/>
    <w:rsid w:val="004A08D1"/>
    <w:rsid w:val="004A16C1"/>
    <w:rsid w:val="004A1CE2"/>
    <w:rsid w:val="004A34D2"/>
    <w:rsid w:val="004A3EEA"/>
    <w:rsid w:val="004A4301"/>
    <w:rsid w:val="004A4D93"/>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50CB"/>
    <w:rsid w:val="004B56B5"/>
    <w:rsid w:val="004B578D"/>
    <w:rsid w:val="004B5BE7"/>
    <w:rsid w:val="004B5E2D"/>
    <w:rsid w:val="004B6C07"/>
    <w:rsid w:val="004B74D3"/>
    <w:rsid w:val="004B755E"/>
    <w:rsid w:val="004B788E"/>
    <w:rsid w:val="004B7E5D"/>
    <w:rsid w:val="004C1198"/>
    <w:rsid w:val="004C22F7"/>
    <w:rsid w:val="004C2B27"/>
    <w:rsid w:val="004C3929"/>
    <w:rsid w:val="004C4160"/>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3E6B"/>
    <w:rsid w:val="004D4BA1"/>
    <w:rsid w:val="004D584D"/>
    <w:rsid w:val="004D5A7E"/>
    <w:rsid w:val="004D6120"/>
    <w:rsid w:val="004D6826"/>
    <w:rsid w:val="004D7448"/>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5736"/>
    <w:rsid w:val="004E5A3C"/>
    <w:rsid w:val="004E5B36"/>
    <w:rsid w:val="004E5D5D"/>
    <w:rsid w:val="004E6045"/>
    <w:rsid w:val="004E67D0"/>
    <w:rsid w:val="004E6F43"/>
    <w:rsid w:val="004E7200"/>
    <w:rsid w:val="004E787E"/>
    <w:rsid w:val="004E7AA1"/>
    <w:rsid w:val="004F0805"/>
    <w:rsid w:val="004F0960"/>
    <w:rsid w:val="004F0A5C"/>
    <w:rsid w:val="004F1596"/>
    <w:rsid w:val="004F163F"/>
    <w:rsid w:val="004F18A0"/>
    <w:rsid w:val="004F1A08"/>
    <w:rsid w:val="004F1A54"/>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11E2"/>
    <w:rsid w:val="00511231"/>
    <w:rsid w:val="00511741"/>
    <w:rsid w:val="0051255B"/>
    <w:rsid w:val="00512C4F"/>
    <w:rsid w:val="00513042"/>
    <w:rsid w:val="0051334F"/>
    <w:rsid w:val="00513399"/>
    <w:rsid w:val="00513AF2"/>
    <w:rsid w:val="00514575"/>
    <w:rsid w:val="00514C03"/>
    <w:rsid w:val="00514D1E"/>
    <w:rsid w:val="00514D67"/>
    <w:rsid w:val="0051522A"/>
    <w:rsid w:val="00515515"/>
    <w:rsid w:val="005155E3"/>
    <w:rsid w:val="00515625"/>
    <w:rsid w:val="0051635C"/>
    <w:rsid w:val="00516C5B"/>
    <w:rsid w:val="00516DB7"/>
    <w:rsid w:val="005172DA"/>
    <w:rsid w:val="00517612"/>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61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436"/>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6412"/>
    <w:rsid w:val="005864B9"/>
    <w:rsid w:val="00586564"/>
    <w:rsid w:val="005866C4"/>
    <w:rsid w:val="005872A0"/>
    <w:rsid w:val="00590F1A"/>
    <w:rsid w:val="0059135A"/>
    <w:rsid w:val="00591C03"/>
    <w:rsid w:val="00591E2A"/>
    <w:rsid w:val="00592240"/>
    <w:rsid w:val="00592353"/>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12B2"/>
    <w:rsid w:val="005B143B"/>
    <w:rsid w:val="005B19BD"/>
    <w:rsid w:val="005B1E45"/>
    <w:rsid w:val="005B21C4"/>
    <w:rsid w:val="005B2A28"/>
    <w:rsid w:val="005B35AB"/>
    <w:rsid w:val="005B3621"/>
    <w:rsid w:val="005B3EBE"/>
    <w:rsid w:val="005B43D0"/>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3984"/>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51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140A"/>
    <w:rsid w:val="005F2856"/>
    <w:rsid w:val="005F2D8B"/>
    <w:rsid w:val="005F305B"/>
    <w:rsid w:val="005F3361"/>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86D"/>
    <w:rsid w:val="00605AC3"/>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4E21"/>
    <w:rsid w:val="006157A9"/>
    <w:rsid w:val="0061591D"/>
    <w:rsid w:val="00615ED0"/>
    <w:rsid w:val="0061604C"/>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2E"/>
    <w:rsid w:val="006302AA"/>
    <w:rsid w:val="006310C3"/>
    <w:rsid w:val="0063161E"/>
    <w:rsid w:val="00631BB5"/>
    <w:rsid w:val="00631DD0"/>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B20"/>
    <w:rsid w:val="00646D0F"/>
    <w:rsid w:val="00647A36"/>
    <w:rsid w:val="00647DCC"/>
    <w:rsid w:val="00647E8E"/>
    <w:rsid w:val="00647EFA"/>
    <w:rsid w:val="00647F14"/>
    <w:rsid w:val="00650027"/>
    <w:rsid w:val="0065040E"/>
    <w:rsid w:val="00650E89"/>
    <w:rsid w:val="006516E6"/>
    <w:rsid w:val="00651B9C"/>
    <w:rsid w:val="00651C47"/>
    <w:rsid w:val="006525BD"/>
    <w:rsid w:val="00652E70"/>
    <w:rsid w:val="00652F4D"/>
    <w:rsid w:val="0065339A"/>
    <w:rsid w:val="00653469"/>
    <w:rsid w:val="0065443A"/>
    <w:rsid w:val="00654A38"/>
    <w:rsid w:val="00654DCE"/>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26C1"/>
    <w:rsid w:val="00682C89"/>
    <w:rsid w:val="006832B8"/>
    <w:rsid w:val="00683329"/>
    <w:rsid w:val="006837B2"/>
    <w:rsid w:val="00683800"/>
    <w:rsid w:val="00684462"/>
    <w:rsid w:val="00684C0D"/>
    <w:rsid w:val="00684C8A"/>
    <w:rsid w:val="00684CF5"/>
    <w:rsid w:val="00685479"/>
    <w:rsid w:val="0068553E"/>
    <w:rsid w:val="00685D37"/>
    <w:rsid w:val="00685E7B"/>
    <w:rsid w:val="00686551"/>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B11"/>
    <w:rsid w:val="006A7CB5"/>
    <w:rsid w:val="006A7FD0"/>
    <w:rsid w:val="006B025C"/>
    <w:rsid w:val="006B04DB"/>
    <w:rsid w:val="006B08ED"/>
    <w:rsid w:val="006B2170"/>
    <w:rsid w:val="006B2534"/>
    <w:rsid w:val="006B2CB2"/>
    <w:rsid w:val="006B347D"/>
    <w:rsid w:val="006B3E19"/>
    <w:rsid w:val="006B4488"/>
    <w:rsid w:val="006B4736"/>
    <w:rsid w:val="006B4D5D"/>
    <w:rsid w:val="006B50C4"/>
    <w:rsid w:val="006B53AE"/>
    <w:rsid w:val="006B58B4"/>
    <w:rsid w:val="006B5D71"/>
    <w:rsid w:val="006B67AC"/>
    <w:rsid w:val="006B6A23"/>
    <w:rsid w:val="006B6F2B"/>
    <w:rsid w:val="006B786A"/>
    <w:rsid w:val="006B7E4E"/>
    <w:rsid w:val="006C003A"/>
    <w:rsid w:val="006C0273"/>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40B"/>
    <w:rsid w:val="006E155A"/>
    <w:rsid w:val="006E2C34"/>
    <w:rsid w:val="006E359B"/>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0A74"/>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5EF5"/>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0F5"/>
    <w:rsid w:val="00734952"/>
    <w:rsid w:val="00734987"/>
    <w:rsid w:val="00734990"/>
    <w:rsid w:val="00734FF5"/>
    <w:rsid w:val="00735B78"/>
    <w:rsid w:val="00735DA7"/>
    <w:rsid w:val="00736700"/>
    <w:rsid w:val="007368B4"/>
    <w:rsid w:val="007376F0"/>
    <w:rsid w:val="007378E0"/>
    <w:rsid w:val="00737A4D"/>
    <w:rsid w:val="0074040E"/>
    <w:rsid w:val="00740529"/>
    <w:rsid w:val="00740876"/>
    <w:rsid w:val="00741358"/>
    <w:rsid w:val="007414B3"/>
    <w:rsid w:val="00741626"/>
    <w:rsid w:val="00742332"/>
    <w:rsid w:val="00742886"/>
    <w:rsid w:val="00742A3A"/>
    <w:rsid w:val="00742BED"/>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3A"/>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4AD"/>
    <w:rsid w:val="00763D5A"/>
    <w:rsid w:val="0076445F"/>
    <w:rsid w:val="00764EC5"/>
    <w:rsid w:val="007651EF"/>
    <w:rsid w:val="007664FC"/>
    <w:rsid w:val="00766D49"/>
    <w:rsid w:val="00766ECC"/>
    <w:rsid w:val="007672F3"/>
    <w:rsid w:val="007673F2"/>
    <w:rsid w:val="007677B5"/>
    <w:rsid w:val="007678B1"/>
    <w:rsid w:val="007708A8"/>
    <w:rsid w:val="00772100"/>
    <w:rsid w:val="00772275"/>
    <w:rsid w:val="00772C9A"/>
    <w:rsid w:val="007734E4"/>
    <w:rsid w:val="0077380D"/>
    <w:rsid w:val="00773BC8"/>
    <w:rsid w:val="007742CB"/>
    <w:rsid w:val="00774549"/>
    <w:rsid w:val="0077466F"/>
    <w:rsid w:val="007752B7"/>
    <w:rsid w:val="007759A8"/>
    <w:rsid w:val="00775C27"/>
    <w:rsid w:val="00775D98"/>
    <w:rsid w:val="00776624"/>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1CFF"/>
    <w:rsid w:val="007C24EE"/>
    <w:rsid w:val="007C312A"/>
    <w:rsid w:val="007C3538"/>
    <w:rsid w:val="007C3570"/>
    <w:rsid w:val="007C3F3B"/>
    <w:rsid w:val="007C4097"/>
    <w:rsid w:val="007C4241"/>
    <w:rsid w:val="007C425E"/>
    <w:rsid w:val="007C55FF"/>
    <w:rsid w:val="007C5676"/>
    <w:rsid w:val="007C6339"/>
    <w:rsid w:val="007C753F"/>
    <w:rsid w:val="007C796C"/>
    <w:rsid w:val="007C7C43"/>
    <w:rsid w:val="007C7E15"/>
    <w:rsid w:val="007C7F0D"/>
    <w:rsid w:val="007D06E3"/>
    <w:rsid w:val="007D09E4"/>
    <w:rsid w:val="007D1134"/>
    <w:rsid w:val="007D231B"/>
    <w:rsid w:val="007D23F7"/>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2FEB"/>
    <w:rsid w:val="007E350D"/>
    <w:rsid w:val="007E3ACA"/>
    <w:rsid w:val="007E3F27"/>
    <w:rsid w:val="007E3F4A"/>
    <w:rsid w:val="007E4F0D"/>
    <w:rsid w:val="007E564D"/>
    <w:rsid w:val="007E5C4A"/>
    <w:rsid w:val="007E6135"/>
    <w:rsid w:val="007E64D4"/>
    <w:rsid w:val="007E6566"/>
    <w:rsid w:val="007E66E9"/>
    <w:rsid w:val="007E69F2"/>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B43"/>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4C8"/>
    <w:rsid w:val="00837673"/>
    <w:rsid w:val="00837937"/>
    <w:rsid w:val="00837D82"/>
    <w:rsid w:val="0084008B"/>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47BEF"/>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5403"/>
    <w:rsid w:val="00875434"/>
    <w:rsid w:val="00875C1F"/>
    <w:rsid w:val="00876215"/>
    <w:rsid w:val="0087646C"/>
    <w:rsid w:val="00876815"/>
    <w:rsid w:val="00877932"/>
    <w:rsid w:val="00877D6C"/>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265"/>
    <w:rsid w:val="008935CF"/>
    <w:rsid w:val="0089436B"/>
    <w:rsid w:val="00894436"/>
    <w:rsid w:val="00894BB1"/>
    <w:rsid w:val="008951D0"/>
    <w:rsid w:val="00895212"/>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29A"/>
    <w:rsid w:val="008A2A23"/>
    <w:rsid w:val="008A2AF5"/>
    <w:rsid w:val="008A2B5A"/>
    <w:rsid w:val="008A38DE"/>
    <w:rsid w:val="008A3F9D"/>
    <w:rsid w:val="008A41F8"/>
    <w:rsid w:val="008A5474"/>
    <w:rsid w:val="008A5C9A"/>
    <w:rsid w:val="008A6005"/>
    <w:rsid w:val="008A614F"/>
    <w:rsid w:val="008A6A55"/>
    <w:rsid w:val="008A6DF0"/>
    <w:rsid w:val="008A6F6E"/>
    <w:rsid w:val="008A7888"/>
    <w:rsid w:val="008A796E"/>
    <w:rsid w:val="008B0862"/>
    <w:rsid w:val="008B088C"/>
    <w:rsid w:val="008B0C98"/>
    <w:rsid w:val="008B1BF5"/>
    <w:rsid w:val="008B263F"/>
    <w:rsid w:val="008B3045"/>
    <w:rsid w:val="008B3E9E"/>
    <w:rsid w:val="008B47A6"/>
    <w:rsid w:val="008B5C7C"/>
    <w:rsid w:val="008B63FE"/>
    <w:rsid w:val="008B672C"/>
    <w:rsid w:val="008B7108"/>
    <w:rsid w:val="008B71E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62D4"/>
    <w:rsid w:val="008C67A2"/>
    <w:rsid w:val="008C6B89"/>
    <w:rsid w:val="008C6B97"/>
    <w:rsid w:val="008C7141"/>
    <w:rsid w:val="008C7EF7"/>
    <w:rsid w:val="008D094D"/>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B59"/>
    <w:rsid w:val="008D7D66"/>
    <w:rsid w:val="008E0012"/>
    <w:rsid w:val="008E0A71"/>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1C2"/>
    <w:rsid w:val="008E57FE"/>
    <w:rsid w:val="008E5BA6"/>
    <w:rsid w:val="008E6598"/>
    <w:rsid w:val="008E710F"/>
    <w:rsid w:val="008E7214"/>
    <w:rsid w:val="008E7471"/>
    <w:rsid w:val="008E7497"/>
    <w:rsid w:val="008E7884"/>
    <w:rsid w:val="008E7D6E"/>
    <w:rsid w:val="008F1056"/>
    <w:rsid w:val="008F2E8D"/>
    <w:rsid w:val="008F3511"/>
    <w:rsid w:val="008F361D"/>
    <w:rsid w:val="008F387B"/>
    <w:rsid w:val="008F3DD9"/>
    <w:rsid w:val="008F4163"/>
    <w:rsid w:val="008F462B"/>
    <w:rsid w:val="008F4814"/>
    <w:rsid w:val="008F4B18"/>
    <w:rsid w:val="008F4DA6"/>
    <w:rsid w:val="008F4DFD"/>
    <w:rsid w:val="008F538E"/>
    <w:rsid w:val="008F5A20"/>
    <w:rsid w:val="008F5ABA"/>
    <w:rsid w:val="008F6157"/>
    <w:rsid w:val="008F698E"/>
    <w:rsid w:val="008F71AB"/>
    <w:rsid w:val="008F7905"/>
    <w:rsid w:val="008F7989"/>
    <w:rsid w:val="00900912"/>
    <w:rsid w:val="00900FC5"/>
    <w:rsid w:val="00901F1D"/>
    <w:rsid w:val="00902142"/>
    <w:rsid w:val="009028E8"/>
    <w:rsid w:val="00902E5C"/>
    <w:rsid w:val="0090363E"/>
    <w:rsid w:val="00903788"/>
    <w:rsid w:val="009046E5"/>
    <w:rsid w:val="009047C5"/>
    <w:rsid w:val="00907E97"/>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74B"/>
    <w:rsid w:val="00923F56"/>
    <w:rsid w:val="009242A6"/>
    <w:rsid w:val="00924770"/>
    <w:rsid w:val="00924D7D"/>
    <w:rsid w:val="00925346"/>
    <w:rsid w:val="00925743"/>
    <w:rsid w:val="0092579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769"/>
    <w:rsid w:val="00934CEC"/>
    <w:rsid w:val="00934E69"/>
    <w:rsid w:val="00935745"/>
    <w:rsid w:val="00935E70"/>
    <w:rsid w:val="0093609A"/>
    <w:rsid w:val="00936517"/>
    <w:rsid w:val="009371C9"/>
    <w:rsid w:val="00937401"/>
    <w:rsid w:val="009376FB"/>
    <w:rsid w:val="00937D6B"/>
    <w:rsid w:val="00940477"/>
    <w:rsid w:val="00940876"/>
    <w:rsid w:val="00940A53"/>
    <w:rsid w:val="00940F3C"/>
    <w:rsid w:val="009410E0"/>
    <w:rsid w:val="00941FA9"/>
    <w:rsid w:val="00942641"/>
    <w:rsid w:val="00942ED3"/>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595"/>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A88"/>
    <w:rsid w:val="009A01E4"/>
    <w:rsid w:val="009A0369"/>
    <w:rsid w:val="009A0917"/>
    <w:rsid w:val="009A0A33"/>
    <w:rsid w:val="009A0CC0"/>
    <w:rsid w:val="009A10B2"/>
    <w:rsid w:val="009A1351"/>
    <w:rsid w:val="009A1AAB"/>
    <w:rsid w:val="009A2041"/>
    <w:rsid w:val="009A2435"/>
    <w:rsid w:val="009A35DC"/>
    <w:rsid w:val="009A38AB"/>
    <w:rsid w:val="009A39EE"/>
    <w:rsid w:val="009A3A33"/>
    <w:rsid w:val="009A3D47"/>
    <w:rsid w:val="009A4A65"/>
    <w:rsid w:val="009A4D63"/>
    <w:rsid w:val="009A5356"/>
    <w:rsid w:val="009A5468"/>
    <w:rsid w:val="009A55D8"/>
    <w:rsid w:val="009A5D99"/>
    <w:rsid w:val="009A608C"/>
    <w:rsid w:val="009A66D6"/>
    <w:rsid w:val="009A6FDF"/>
    <w:rsid w:val="009A715F"/>
    <w:rsid w:val="009A76D6"/>
    <w:rsid w:val="009A7970"/>
    <w:rsid w:val="009B03F1"/>
    <w:rsid w:val="009B0675"/>
    <w:rsid w:val="009B15C4"/>
    <w:rsid w:val="009B2374"/>
    <w:rsid w:val="009B28D6"/>
    <w:rsid w:val="009B2E29"/>
    <w:rsid w:val="009B3163"/>
    <w:rsid w:val="009B422F"/>
    <w:rsid w:val="009B432C"/>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5EB"/>
    <w:rsid w:val="009C6BFC"/>
    <w:rsid w:val="009C70F8"/>
    <w:rsid w:val="009C78A3"/>
    <w:rsid w:val="009C7E68"/>
    <w:rsid w:val="009D00D7"/>
    <w:rsid w:val="009D0156"/>
    <w:rsid w:val="009D03B4"/>
    <w:rsid w:val="009D05DA"/>
    <w:rsid w:val="009D0815"/>
    <w:rsid w:val="009D11F6"/>
    <w:rsid w:val="009D163B"/>
    <w:rsid w:val="009D1A14"/>
    <w:rsid w:val="009D1CF8"/>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732"/>
    <w:rsid w:val="009F2848"/>
    <w:rsid w:val="009F369D"/>
    <w:rsid w:val="009F36FE"/>
    <w:rsid w:val="009F3971"/>
    <w:rsid w:val="009F3A42"/>
    <w:rsid w:val="009F4990"/>
    <w:rsid w:val="009F4F25"/>
    <w:rsid w:val="009F59C2"/>
    <w:rsid w:val="009F60AF"/>
    <w:rsid w:val="009F636A"/>
    <w:rsid w:val="009F7263"/>
    <w:rsid w:val="009F73B6"/>
    <w:rsid w:val="009F76EA"/>
    <w:rsid w:val="009F78EB"/>
    <w:rsid w:val="009F7A81"/>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71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4D5"/>
    <w:rsid w:val="00A15621"/>
    <w:rsid w:val="00A15670"/>
    <w:rsid w:val="00A157A0"/>
    <w:rsid w:val="00A1585B"/>
    <w:rsid w:val="00A15C19"/>
    <w:rsid w:val="00A15FE9"/>
    <w:rsid w:val="00A16809"/>
    <w:rsid w:val="00A16864"/>
    <w:rsid w:val="00A169E2"/>
    <w:rsid w:val="00A16F53"/>
    <w:rsid w:val="00A17584"/>
    <w:rsid w:val="00A17769"/>
    <w:rsid w:val="00A17AF6"/>
    <w:rsid w:val="00A17EA2"/>
    <w:rsid w:val="00A201DB"/>
    <w:rsid w:val="00A20264"/>
    <w:rsid w:val="00A20997"/>
    <w:rsid w:val="00A210D4"/>
    <w:rsid w:val="00A213DD"/>
    <w:rsid w:val="00A21454"/>
    <w:rsid w:val="00A216CE"/>
    <w:rsid w:val="00A216F9"/>
    <w:rsid w:val="00A22025"/>
    <w:rsid w:val="00A22498"/>
    <w:rsid w:val="00A22571"/>
    <w:rsid w:val="00A2298D"/>
    <w:rsid w:val="00A235E1"/>
    <w:rsid w:val="00A23C69"/>
    <w:rsid w:val="00A24560"/>
    <w:rsid w:val="00A24B95"/>
    <w:rsid w:val="00A25B0F"/>
    <w:rsid w:val="00A25BBB"/>
    <w:rsid w:val="00A27FB6"/>
    <w:rsid w:val="00A30121"/>
    <w:rsid w:val="00A30368"/>
    <w:rsid w:val="00A3043A"/>
    <w:rsid w:val="00A30E02"/>
    <w:rsid w:val="00A30F6A"/>
    <w:rsid w:val="00A31060"/>
    <w:rsid w:val="00A314EE"/>
    <w:rsid w:val="00A31C3E"/>
    <w:rsid w:val="00A32B2D"/>
    <w:rsid w:val="00A34538"/>
    <w:rsid w:val="00A34677"/>
    <w:rsid w:val="00A3540F"/>
    <w:rsid w:val="00A35630"/>
    <w:rsid w:val="00A35914"/>
    <w:rsid w:val="00A36189"/>
    <w:rsid w:val="00A3677A"/>
    <w:rsid w:val="00A37094"/>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4FE3"/>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5DBA"/>
    <w:rsid w:val="00A56DE7"/>
    <w:rsid w:val="00A57EB2"/>
    <w:rsid w:val="00A6009E"/>
    <w:rsid w:val="00A60265"/>
    <w:rsid w:val="00A60540"/>
    <w:rsid w:val="00A60B1F"/>
    <w:rsid w:val="00A6144B"/>
    <w:rsid w:val="00A61C60"/>
    <w:rsid w:val="00A61EF5"/>
    <w:rsid w:val="00A62589"/>
    <w:rsid w:val="00A62AD0"/>
    <w:rsid w:val="00A62C3A"/>
    <w:rsid w:val="00A6319C"/>
    <w:rsid w:val="00A63812"/>
    <w:rsid w:val="00A63DF7"/>
    <w:rsid w:val="00A6454D"/>
    <w:rsid w:val="00A64767"/>
    <w:rsid w:val="00A64F2F"/>
    <w:rsid w:val="00A6611E"/>
    <w:rsid w:val="00A668BA"/>
    <w:rsid w:val="00A66FA7"/>
    <w:rsid w:val="00A66FA8"/>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8FA"/>
    <w:rsid w:val="00A7793C"/>
    <w:rsid w:val="00A77D21"/>
    <w:rsid w:val="00A80085"/>
    <w:rsid w:val="00A80276"/>
    <w:rsid w:val="00A8043B"/>
    <w:rsid w:val="00A807DA"/>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87199"/>
    <w:rsid w:val="00A90F12"/>
    <w:rsid w:val="00A91DAA"/>
    <w:rsid w:val="00A93101"/>
    <w:rsid w:val="00A93239"/>
    <w:rsid w:val="00A93AC2"/>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15A"/>
    <w:rsid w:val="00AA5779"/>
    <w:rsid w:val="00AA58A1"/>
    <w:rsid w:val="00AA61C7"/>
    <w:rsid w:val="00AA669D"/>
    <w:rsid w:val="00AA66ED"/>
    <w:rsid w:val="00AA6B59"/>
    <w:rsid w:val="00AA6BE1"/>
    <w:rsid w:val="00AA7416"/>
    <w:rsid w:val="00AA758D"/>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6BBF"/>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84F"/>
    <w:rsid w:val="00AC4AD2"/>
    <w:rsid w:val="00AC4B20"/>
    <w:rsid w:val="00AC5395"/>
    <w:rsid w:val="00AC55C7"/>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4CE"/>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400"/>
    <w:rsid w:val="00B04493"/>
    <w:rsid w:val="00B04835"/>
    <w:rsid w:val="00B04DFA"/>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778"/>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1C6"/>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CF"/>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405F"/>
    <w:rsid w:val="00BA4771"/>
    <w:rsid w:val="00BA482B"/>
    <w:rsid w:val="00BA5027"/>
    <w:rsid w:val="00BA5D92"/>
    <w:rsid w:val="00BA665B"/>
    <w:rsid w:val="00BA6FE8"/>
    <w:rsid w:val="00BA732D"/>
    <w:rsid w:val="00BA7370"/>
    <w:rsid w:val="00BA778B"/>
    <w:rsid w:val="00BB0888"/>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209F"/>
    <w:rsid w:val="00BC20A1"/>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257"/>
    <w:rsid w:val="00BE792A"/>
    <w:rsid w:val="00BF020D"/>
    <w:rsid w:val="00BF0532"/>
    <w:rsid w:val="00BF0609"/>
    <w:rsid w:val="00BF0EE8"/>
    <w:rsid w:val="00BF0F20"/>
    <w:rsid w:val="00BF10ED"/>
    <w:rsid w:val="00BF15F2"/>
    <w:rsid w:val="00BF1D48"/>
    <w:rsid w:val="00BF1DD2"/>
    <w:rsid w:val="00BF23A3"/>
    <w:rsid w:val="00BF2A7E"/>
    <w:rsid w:val="00BF2CD0"/>
    <w:rsid w:val="00BF3331"/>
    <w:rsid w:val="00BF3A45"/>
    <w:rsid w:val="00BF436F"/>
    <w:rsid w:val="00BF496B"/>
    <w:rsid w:val="00BF5C05"/>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32B"/>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B5F"/>
    <w:rsid w:val="00C358D4"/>
    <w:rsid w:val="00C365C6"/>
    <w:rsid w:val="00C366F4"/>
    <w:rsid w:val="00C36785"/>
    <w:rsid w:val="00C36FEA"/>
    <w:rsid w:val="00C3711C"/>
    <w:rsid w:val="00C37256"/>
    <w:rsid w:val="00C37A7B"/>
    <w:rsid w:val="00C37DC1"/>
    <w:rsid w:val="00C37FA6"/>
    <w:rsid w:val="00C37FFE"/>
    <w:rsid w:val="00C40B50"/>
    <w:rsid w:val="00C40E37"/>
    <w:rsid w:val="00C419E3"/>
    <w:rsid w:val="00C419F4"/>
    <w:rsid w:val="00C41E6A"/>
    <w:rsid w:val="00C41FDE"/>
    <w:rsid w:val="00C42150"/>
    <w:rsid w:val="00C42247"/>
    <w:rsid w:val="00C428E7"/>
    <w:rsid w:val="00C438A2"/>
    <w:rsid w:val="00C439BE"/>
    <w:rsid w:val="00C43A17"/>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60DC"/>
    <w:rsid w:val="00C77777"/>
    <w:rsid w:val="00C8082B"/>
    <w:rsid w:val="00C80C6B"/>
    <w:rsid w:val="00C81A88"/>
    <w:rsid w:val="00C81D46"/>
    <w:rsid w:val="00C82298"/>
    <w:rsid w:val="00C8271B"/>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70F"/>
    <w:rsid w:val="00C93765"/>
    <w:rsid w:val="00C93877"/>
    <w:rsid w:val="00C939D1"/>
    <w:rsid w:val="00C93D8C"/>
    <w:rsid w:val="00C93E07"/>
    <w:rsid w:val="00C93F2A"/>
    <w:rsid w:val="00C940D9"/>
    <w:rsid w:val="00C946CC"/>
    <w:rsid w:val="00C959BD"/>
    <w:rsid w:val="00C95DFE"/>
    <w:rsid w:val="00C95F44"/>
    <w:rsid w:val="00C96331"/>
    <w:rsid w:val="00C96D1B"/>
    <w:rsid w:val="00C97106"/>
    <w:rsid w:val="00C978D4"/>
    <w:rsid w:val="00CA0031"/>
    <w:rsid w:val="00CA0413"/>
    <w:rsid w:val="00CA043A"/>
    <w:rsid w:val="00CA0858"/>
    <w:rsid w:val="00CA0E51"/>
    <w:rsid w:val="00CA1691"/>
    <w:rsid w:val="00CA2697"/>
    <w:rsid w:val="00CA41E7"/>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4F87"/>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92E"/>
    <w:rsid w:val="00CD5982"/>
    <w:rsid w:val="00CD5A1A"/>
    <w:rsid w:val="00CD5C26"/>
    <w:rsid w:val="00CD6126"/>
    <w:rsid w:val="00CD690F"/>
    <w:rsid w:val="00CD6CAB"/>
    <w:rsid w:val="00CD7EFA"/>
    <w:rsid w:val="00CE020E"/>
    <w:rsid w:val="00CE026B"/>
    <w:rsid w:val="00CE0566"/>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454"/>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E39"/>
    <w:rsid w:val="00D171DE"/>
    <w:rsid w:val="00D172A4"/>
    <w:rsid w:val="00D17951"/>
    <w:rsid w:val="00D17AD8"/>
    <w:rsid w:val="00D205C7"/>
    <w:rsid w:val="00D2104A"/>
    <w:rsid w:val="00D21A58"/>
    <w:rsid w:val="00D21BB5"/>
    <w:rsid w:val="00D21FFC"/>
    <w:rsid w:val="00D223B6"/>
    <w:rsid w:val="00D223E8"/>
    <w:rsid w:val="00D224E1"/>
    <w:rsid w:val="00D22DC8"/>
    <w:rsid w:val="00D23094"/>
    <w:rsid w:val="00D23732"/>
    <w:rsid w:val="00D2374F"/>
    <w:rsid w:val="00D2376E"/>
    <w:rsid w:val="00D2477B"/>
    <w:rsid w:val="00D24F93"/>
    <w:rsid w:val="00D25027"/>
    <w:rsid w:val="00D2522A"/>
    <w:rsid w:val="00D2531C"/>
    <w:rsid w:val="00D25428"/>
    <w:rsid w:val="00D2553E"/>
    <w:rsid w:val="00D2587F"/>
    <w:rsid w:val="00D2742F"/>
    <w:rsid w:val="00D2754F"/>
    <w:rsid w:val="00D277C5"/>
    <w:rsid w:val="00D279D9"/>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22DB"/>
    <w:rsid w:val="00D4289B"/>
    <w:rsid w:val="00D42AC2"/>
    <w:rsid w:val="00D4498E"/>
    <w:rsid w:val="00D4515F"/>
    <w:rsid w:val="00D451E8"/>
    <w:rsid w:val="00D45EE8"/>
    <w:rsid w:val="00D466C9"/>
    <w:rsid w:val="00D46B43"/>
    <w:rsid w:val="00D47275"/>
    <w:rsid w:val="00D517F6"/>
    <w:rsid w:val="00D51AB7"/>
    <w:rsid w:val="00D51E15"/>
    <w:rsid w:val="00D51FBC"/>
    <w:rsid w:val="00D52B7E"/>
    <w:rsid w:val="00D52E2F"/>
    <w:rsid w:val="00D52F59"/>
    <w:rsid w:val="00D53445"/>
    <w:rsid w:val="00D536E0"/>
    <w:rsid w:val="00D53C61"/>
    <w:rsid w:val="00D53E3E"/>
    <w:rsid w:val="00D54620"/>
    <w:rsid w:val="00D55904"/>
    <w:rsid w:val="00D55DFF"/>
    <w:rsid w:val="00D5614E"/>
    <w:rsid w:val="00D5616F"/>
    <w:rsid w:val="00D56C7D"/>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35E"/>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3049"/>
    <w:rsid w:val="00D9310B"/>
    <w:rsid w:val="00D931F3"/>
    <w:rsid w:val="00D93726"/>
    <w:rsid w:val="00D93F3E"/>
    <w:rsid w:val="00D9405B"/>
    <w:rsid w:val="00D94942"/>
    <w:rsid w:val="00D9502A"/>
    <w:rsid w:val="00D95145"/>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7AA"/>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27D1"/>
    <w:rsid w:val="00E13234"/>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0E4"/>
    <w:rsid w:val="00E34376"/>
    <w:rsid w:val="00E344BD"/>
    <w:rsid w:val="00E34548"/>
    <w:rsid w:val="00E34E6C"/>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C6E"/>
    <w:rsid w:val="00E54F27"/>
    <w:rsid w:val="00E5501E"/>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3A3"/>
    <w:rsid w:val="00E64700"/>
    <w:rsid w:val="00E65074"/>
    <w:rsid w:val="00E65857"/>
    <w:rsid w:val="00E65E70"/>
    <w:rsid w:val="00E66087"/>
    <w:rsid w:val="00E66D79"/>
    <w:rsid w:val="00E66FF9"/>
    <w:rsid w:val="00E6706F"/>
    <w:rsid w:val="00E673A2"/>
    <w:rsid w:val="00E67856"/>
    <w:rsid w:val="00E679C8"/>
    <w:rsid w:val="00E70314"/>
    <w:rsid w:val="00E70412"/>
    <w:rsid w:val="00E724E7"/>
    <w:rsid w:val="00E72791"/>
    <w:rsid w:val="00E72B41"/>
    <w:rsid w:val="00E7347B"/>
    <w:rsid w:val="00E73792"/>
    <w:rsid w:val="00E73D03"/>
    <w:rsid w:val="00E7471C"/>
    <w:rsid w:val="00E7498A"/>
    <w:rsid w:val="00E7514E"/>
    <w:rsid w:val="00E76537"/>
    <w:rsid w:val="00E77784"/>
    <w:rsid w:val="00E77A46"/>
    <w:rsid w:val="00E77AF5"/>
    <w:rsid w:val="00E8035B"/>
    <w:rsid w:val="00E806D9"/>
    <w:rsid w:val="00E80ADE"/>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B0A89"/>
    <w:rsid w:val="00EB0BD8"/>
    <w:rsid w:val="00EB1573"/>
    <w:rsid w:val="00EB1910"/>
    <w:rsid w:val="00EB2564"/>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2AD"/>
    <w:rsid w:val="00EC26F1"/>
    <w:rsid w:val="00EC2E9D"/>
    <w:rsid w:val="00EC3BA2"/>
    <w:rsid w:val="00EC3C94"/>
    <w:rsid w:val="00EC44DF"/>
    <w:rsid w:val="00EC4FB9"/>
    <w:rsid w:val="00EC5393"/>
    <w:rsid w:val="00EC5741"/>
    <w:rsid w:val="00EC5DA3"/>
    <w:rsid w:val="00EC6014"/>
    <w:rsid w:val="00EC6170"/>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C85"/>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0FF"/>
    <w:rsid w:val="00F31289"/>
    <w:rsid w:val="00F32263"/>
    <w:rsid w:val="00F3232D"/>
    <w:rsid w:val="00F32D60"/>
    <w:rsid w:val="00F3399B"/>
    <w:rsid w:val="00F33F4B"/>
    <w:rsid w:val="00F346ED"/>
    <w:rsid w:val="00F34945"/>
    <w:rsid w:val="00F34E1E"/>
    <w:rsid w:val="00F354D0"/>
    <w:rsid w:val="00F3570C"/>
    <w:rsid w:val="00F363A4"/>
    <w:rsid w:val="00F36765"/>
    <w:rsid w:val="00F368FF"/>
    <w:rsid w:val="00F37068"/>
    <w:rsid w:val="00F37E5F"/>
    <w:rsid w:val="00F37F3F"/>
    <w:rsid w:val="00F40992"/>
    <w:rsid w:val="00F40F72"/>
    <w:rsid w:val="00F41596"/>
    <w:rsid w:val="00F41D8B"/>
    <w:rsid w:val="00F42121"/>
    <w:rsid w:val="00F421F2"/>
    <w:rsid w:val="00F424B3"/>
    <w:rsid w:val="00F428B1"/>
    <w:rsid w:val="00F428B4"/>
    <w:rsid w:val="00F4345D"/>
    <w:rsid w:val="00F4387B"/>
    <w:rsid w:val="00F45756"/>
    <w:rsid w:val="00F45921"/>
    <w:rsid w:val="00F45B91"/>
    <w:rsid w:val="00F46639"/>
    <w:rsid w:val="00F476FD"/>
    <w:rsid w:val="00F50183"/>
    <w:rsid w:val="00F50D92"/>
    <w:rsid w:val="00F51765"/>
    <w:rsid w:val="00F51991"/>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57FB7"/>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1792"/>
    <w:rsid w:val="00F83B33"/>
    <w:rsid w:val="00F83CAE"/>
    <w:rsid w:val="00F840BF"/>
    <w:rsid w:val="00F8427A"/>
    <w:rsid w:val="00F843DF"/>
    <w:rsid w:val="00F84646"/>
    <w:rsid w:val="00F8476E"/>
    <w:rsid w:val="00F84899"/>
    <w:rsid w:val="00F85585"/>
    <w:rsid w:val="00F859F0"/>
    <w:rsid w:val="00F85CC1"/>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C4A"/>
    <w:rsid w:val="00FA1DA2"/>
    <w:rsid w:val="00FA313F"/>
    <w:rsid w:val="00FA3414"/>
    <w:rsid w:val="00FA347A"/>
    <w:rsid w:val="00FA3CDE"/>
    <w:rsid w:val="00FA4034"/>
    <w:rsid w:val="00FA49B7"/>
    <w:rsid w:val="00FA5043"/>
    <w:rsid w:val="00FA60C1"/>
    <w:rsid w:val="00FA65A3"/>
    <w:rsid w:val="00FA6BCA"/>
    <w:rsid w:val="00FA6D46"/>
    <w:rsid w:val="00FA6E3F"/>
    <w:rsid w:val="00FA6F8B"/>
    <w:rsid w:val="00FA727C"/>
    <w:rsid w:val="00FA7A30"/>
    <w:rsid w:val="00FB033F"/>
    <w:rsid w:val="00FB0880"/>
    <w:rsid w:val="00FB12E3"/>
    <w:rsid w:val="00FB1570"/>
    <w:rsid w:val="00FB193B"/>
    <w:rsid w:val="00FB1FBC"/>
    <w:rsid w:val="00FB27B7"/>
    <w:rsid w:val="00FB2E0B"/>
    <w:rsid w:val="00FB35E3"/>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1ED"/>
    <w:rsid w:val="00FE6432"/>
    <w:rsid w:val="00FE72A0"/>
    <w:rsid w:val="00FF0050"/>
    <w:rsid w:val="00FF045F"/>
    <w:rsid w:val="00FF05D7"/>
    <w:rsid w:val="00FF0816"/>
    <w:rsid w:val="00FF0EC4"/>
    <w:rsid w:val="00FF13D4"/>
    <w:rsid w:val="00FF1CF7"/>
    <w:rsid w:val="00FF2053"/>
    <w:rsid w:val="00FF22E8"/>
    <w:rsid w:val="00FF25D7"/>
    <w:rsid w:val="00FF26FB"/>
    <w:rsid w:val="00FF3B37"/>
    <w:rsid w:val="00FF3CC7"/>
    <w:rsid w:val="00FF3D6F"/>
    <w:rsid w:val="00FF441A"/>
    <w:rsid w:val="00FF48C9"/>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character" w:customStyle="1" w:styleId="xxgmailattr">
    <w:name w:val="x_x_gmail_attr"/>
    <w:basedOn w:val="Fuentedeprrafopredeter"/>
    <w:rsid w:val="0063022E"/>
  </w:style>
  <w:style w:type="paragraph" w:customStyle="1" w:styleId="xxmsonormal">
    <w:name w:val="x_x_msonormal"/>
    <w:basedOn w:val="Normal"/>
    <w:rsid w:val="00630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71212234">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5210826">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816357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2636953">
      <w:bodyDiv w:val="1"/>
      <w:marLeft w:val="0"/>
      <w:marRight w:val="0"/>
      <w:marTop w:val="0"/>
      <w:marBottom w:val="0"/>
      <w:divBdr>
        <w:top w:val="none" w:sz="0" w:space="0" w:color="auto"/>
        <w:left w:val="none" w:sz="0" w:space="0" w:color="auto"/>
        <w:bottom w:val="none" w:sz="0" w:space="0" w:color="auto"/>
        <w:right w:val="none" w:sz="0" w:space="0" w:color="auto"/>
      </w:divBdr>
      <w:divsChild>
        <w:div w:id="234901692">
          <w:marLeft w:val="0"/>
          <w:marRight w:val="0"/>
          <w:marTop w:val="0"/>
          <w:marBottom w:val="0"/>
          <w:divBdr>
            <w:top w:val="none" w:sz="0" w:space="0" w:color="auto"/>
            <w:left w:val="none" w:sz="0" w:space="0" w:color="auto"/>
            <w:bottom w:val="none" w:sz="0" w:space="0" w:color="auto"/>
            <w:right w:val="none" w:sz="0" w:space="0" w:color="auto"/>
          </w:divBdr>
        </w:div>
        <w:div w:id="1917812396">
          <w:marLeft w:val="0"/>
          <w:marRight w:val="0"/>
          <w:marTop w:val="0"/>
          <w:marBottom w:val="0"/>
          <w:divBdr>
            <w:top w:val="none" w:sz="0" w:space="0" w:color="auto"/>
            <w:left w:val="none" w:sz="0" w:space="0" w:color="auto"/>
            <w:bottom w:val="none" w:sz="0" w:space="0" w:color="auto"/>
            <w:right w:val="none" w:sz="0" w:space="0" w:color="auto"/>
          </w:divBdr>
          <w:divsChild>
            <w:div w:id="17745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248136">
      <w:bodyDiv w:val="1"/>
      <w:marLeft w:val="0"/>
      <w:marRight w:val="0"/>
      <w:marTop w:val="0"/>
      <w:marBottom w:val="0"/>
      <w:divBdr>
        <w:top w:val="none" w:sz="0" w:space="0" w:color="auto"/>
        <w:left w:val="none" w:sz="0" w:space="0" w:color="auto"/>
        <w:bottom w:val="none" w:sz="0" w:space="0" w:color="auto"/>
        <w:right w:val="none" w:sz="0" w:space="0" w:color="auto"/>
      </w:divBdr>
      <w:divsChild>
        <w:div w:id="1142426412">
          <w:marLeft w:val="0"/>
          <w:marRight w:val="0"/>
          <w:marTop w:val="0"/>
          <w:marBottom w:val="0"/>
          <w:divBdr>
            <w:top w:val="none" w:sz="0" w:space="0" w:color="auto"/>
            <w:left w:val="none" w:sz="0" w:space="0" w:color="auto"/>
            <w:bottom w:val="none" w:sz="0" w:space="0" w:color="auto"/>
            <w:right w:val="none" w:sz="0" w:space="0" w:color="auto"/>
          </w:divBdr>
        </w:div>
        <w:div w:id="2051688926">
          <w:marLeft w:val="0"/>
          <w:marRight w:val="0"/>
          <w:marTop w:val="0"/>
          <w:marBottom w:val="0"/>
          <w:divBdr>
            <w:top w:val="none" w:sz="0" w:space="0" w:color="auto"/>
            <w:left w:val="none" w:sz="0" w:space="0" w:color="auto"/>
            <w:bottom w:val="none" w:sz="0" w:space="0" w:color="auto"/>
            <w:right w:val="none" w:sz="0" w:space="0" w:color="auto"/>
          </w:divBdr>
          <w:divsChild>
            <w:div w:id="3410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B821723-319E-4517-B6A2-BC96C2B62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5</TotalTime>
  <Pages>19</Pages>
  <Words>7866</Words>
  <Characters>43266</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cp:lastPrinted>2020-01-30T15:05:00Z</cp:lastPrinted>
  <dcterms:created xsi:type="dcterms:W3CDTF">2021-08-04T00:17:00Z</dcterms:created>
  <dcterms:modified xsi:type="dcterms:W3CDTF">2021-08-04T02:18:00Z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