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892E76"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892E76">
        <w:rPr>
          <w:rFonts w:ascii="Arial" w:hAnsi="Arial" w:cs="Arial"/>
          <w:bCs/>
          <w:color w:val="000000" w:themeColor="text1"/>
          <w:sz w:val="16"/>
          <w:szCs w:val="16"/>
          <w:lang w:val="es-ES_tradnl" w:eastAsia="es-ES"/>
        </w:rPr>
        <w:t>CCE-DES-FM-17</w:t>
      </w:r>
      <w:bookmarkEnd w:id="0"/>
      <w:bookmarkEnd w:id="1"/>
    </w:p>
    <w:p w14:paraId="17A05F16" w14:textId="77777777" w:rsidR="00580772" w:rsidRPr="00892E76" w:rsidRDefault="00580772" w:rsidP="00E52CE7">
      <w:pPr>
        <w:jc w:val="both"/>
        <w:rPr>
          <w:rFonts w:ascii="Arial" w:eastAsia="Calibri" w:hAnsi="Arial" w:cs="Arial"/>
          <w:b/>
          <w:color w:val="000000" w:themeColor="text1"/>
          <w:sz w:val="22"/>
          <w:lang w:val="es-ES_tradnl"/>
        </w:rPr>
      </w:pPr>
    </w:p>
    <w:p w14:paraId="65D74FF6" w14:textId="77777777" w:rsidR="008A78D9" w:rsidRPr="00892E76" w:rsidRDefault="008A78D9" w:rsidP="008A78D9">
      <w:pPr>
        <w:jc w:val="both"/>
        <w:rPr>
          <w:rFonts w:ascii="Arial" w:eastAsia="Calibri" w:hAnsi="Arial" w:cs="Arial"/>
          <w:b/>
          <w:color w:val="000000" w:themeColor="text1"/>
          <w:sz w:val="22"/>
          <w:lang w:val="es-ES_tradnl"/>
        </w:rPr>
      </w:pPr>
      <w:r w:rsidRPr="00892E76">
        <w:rPr>
          <w:rFonts w:ascii="Arial" w:eastAsia="Calibri" w:hAnsi="Arial" w:cs="Arial"/>
          <w:b/>
          <w:color w:val="000000" w:themeColor="text1"/>
          <w:sz w:val="22"/>
          <w:lang w:val="es-ES_tradnl"/>
        </w:rPr>
        <w:t>SELECCIÓN OBJETIVA – Contratación estatal – Concepto</w:t>
      </w:r>
    </w:p>
    <w:p w14:paraId="10239046" w14:textId="77777777" w:rsidR="008A78D9" w:rsidRPr="00892E76" w:rsidRDefault="008A78D9" w:rsidP="008A78D9">
      <w:pPr>
        <w:jc w:val="both"/>
        <w:rPr>
          <w:rFonts w:ascii="Arial" w:eastAsia="Calibri" w:hAnsi="Arial" w:cs="Arial"/>
          <w:b/>
          <w:color w:val="000000" w:themeColor="text1"/>
          <w:sz w:val="22"/>
          <w:lang w:val="es-ES_tradnl"/>
        </w:rPr>
      </w:pPr>
    </w:p>
    <w:p w14:paraId="3F62833B" w14:textId="77777777" w:rsidR="008A78D9" w:rsidRPr="00892E76" w:rsidRDefault="008A78D9" w:rsidP="008A78D9">
      <w:pPr>
        <w:jc w:val="both"/>
        <w:rPr>
          <w:rFonts w:ascii="Arial" w:eastAsia="Calibri" w:hAnsi="Arial" w:cs="Arial"/>
          <w:color w:val="000000" w:themeColor="text1"/>
          <w:sz w:val="20"/>
          <w:szCs w:val="20"/>
          <w:lang w:val="es-ES_tradnl"/>
        </w:rPr>
      </w:pPr>
      <w:r w:rsidRPr="00892E76">
        <w:rPr>
          <w:rFonts w:ascii="Arial" w:eastAsia="Calibri" w:hAnsi="Arial" w:cs="Arial"/>
          <w:color w:val="000000" w:themeColor="text1"/>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415131F2" w14:textId="77777777" w:rsidR="008A78D9" w:rsidRPr="00892E76" w:rsidRDefault="008A78D9" w:rsidP="008A78D9">
      <w:pPr>
        <w:jc w:val="both"/>
        <w:rPr>
          <w:rFonts w:ascii="Arial" w:eastAsia="Calibri" w:hAnsi="Arial" w:cs="Arial"/>
          <w:b/>
          <w:color w:val="000000" w:themeColor="text1"/>
          <w:sz w:val="22"/>
          <w:lang w:val="es-ES_tradnl"/>
        </w:rPr>
      </w:pPr>
    </w:p>
    <w:p w14:paraId="62F5DDA4" w14:textId="77777777" w:rsidR="008A78D9" w:rsidRPr="00892E76" w:rsidRDefault="008A78D9" w:rsidP="008A78D9">
      <w:pPr>
        <w:jc w:val="both"/>
        <w:rPr>
          <w:rFonts w:ascii="Arial" w:eastAsia="Calibri" w:hAnsi="Arial" w:cs="Arial"/>
          <w:b/>
          <w:color w:val="000000" w:themeColor="text1"/>
          <w:sz w:val="22"/>
          <w:lang w:val="es-ES_tradnl"/>
        </w:rPr>
      </w:pPr>
      <w:r w:rsidRPr="00892E76">
        <w:rPr>
          <w:rFonts w:ascii="Arial" w:eastAsia="Calibri" w:hAnsi="Arial" w:cs="Arial"/>
          <w:b/>
          <w:color w:val="000000" w:themeColor="text1"/>
          <w:sz w:val="22"/>
          <w:lang w:val="es-ES_tradnl"/>
        </w:rPr>
        <w:t>EMPATE – Procedimiento de selección – Concepto</w:t>
      </w:r>
    </w:p>
    <w:p w14:paraId="0D44B66C" w14:textId="77777777" w:rsidR="008A78D9" w:rsidRPr="00892E76" w:rsidRDefault="008A78D9" w:rsidP="008A78D9">
      <w:pPr>
        <w:jc w:val="both"/>
        <w:rPr>
          <w:rFonts w:ascii="Arial" w:eastAsia="Calibri" w:hAnsi="Arial" w:cs="Arial"/>
          <w:b/>
          <w:color w:val="000000" w:themeColor="text1"/>
          <w:sz w:val="22"/>
          <w:lang w:val="es-ES_tradnl"/>
        </w:rPr>
      </w:pPr>
    </w:p>
    <w:p w14:paraId="2016F88C" w14:textId="77777777" w:rsidR="008A78D9" w:rsidRPr="00892E76" w:rsidRDefault="008A78D9" w:rsidP="008A78D9">
      <w:pPr>
        <w:jc w:val="both"/>
        <w:rPr>
          <w:rFonts w:ascii="Arial" w:hAnsi="Arial" w:cs="Arial"/>
          <w:noProof/>
          <w:color w:val="000000" w:themeColor="text1"/>
          <w:sz w:val="22"/>
          <w:lang w:val="es-ES_tradnl"/>
        </w:rPr>
      </w:pPr>
      <w:r w:rsidRPr="00892E76">
        <w:rPr>
          <w:rFonts w:ascii="Arial" w:eastAsia="Calibri" w:hAnsi="Arial" w:cs="Arial"/>
          <w:color w:val="000000" w:themeColor="text1"/>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C49C5E3" w14:textId="77777777" w:rsidR="008A78D9" w:rsidRPr="00892E76" w:rsidRDefault="008A78D9" w:rsidP="008A78D9">
      <w:pPr>
        <w:jc w:val="both"/>
        <w:rPr>
          <w:rFonts w:ascii="Arial" w:eastAsia="Calibri" w:hAnsi="Arial" w:cs="Arial"/>
          <w:b/>
          <w:color w:val="000000" w:themeColor="text1"/>
          <w:sz w:val="22"/>
          <w:lang w:val="es-ES_tradnl"/>
        </w:rPr>
      </w:pPr>
    </w:p>
    <w:p w14:paraId="253963B1" w14:textId="77777777" w:rsidR="008A78D9" w:rsidRPr="00892E76" w:rsidRDefault="008A78D9" w:rsidP="008A78D9">
      <w:pPr>
        <w:jc w:val="both"/>
        <w:rPr>
          <w:rFonts w:ascii="Arial" w:eastAsia="Calibri" w:hAnsi="Arial" w:cs="Arial"/>
          <w:b/>
          <w:color w:val="000000" w:themeColor="text1"/>
          <w:sz w:val="22"/>
          <w:lang w:val="es-ES_tradnl"/>
        </w:rPr>
      </w:pPr>
      <w:r w:rsidRPr="00892E76">
        <w:rPr>
          <w:rFonts w:ascii="Arial" w:eastAsia="Calibri" w:hAnsi="Arial" w:cs="Arial"/>
          <w:b/>
          <w:color w:val="000000" w:themeColor="text1"/>
          <w:sz w:val="22"/>
          <w:lang w:val="es-ES_tradnl"/>
        </w:rPr>
        <w:t>FACTORES DE DESEMPATE – Características – Límites</w:t>
      </w:r>
    </w:p>
    <w:p w14:paraId="25B2490E" w14:textId="77777777" w:rsidR="008A78D9" w:rsidRPr="00892E76" w:rsidRDefault="008A78D9" w:rsidP="008A78D9">
      <w:pPr>
        <w:spacing w:line="276" w:lineRule="auto"/>
        <w:jc w:val="both"/>
        <w:rPr>
          <w:rFonts w:ascii="Arial" w:hAnsi="Arial" w:cs="Arial"/>
          <w:noProof/>
          <w:color w:val="000000" w:themeColor="text1"/>
          <w:sz w:val="22"/>
          <w:lang w:val="es-ES_tradnl"/>
        </w:rPr>
      </w:pPr>
    </w:p>
    <w:p w14:paraId="57D66E31" w14:textId="5DF848A0" w:rsidR="00DC17C0" w:rsidRPr="00892E76" w:rsidRDefault="00DC17C0" w:rsidP="00DC17C0">
      <w:pPr>
        <w:jc w:val="both"/>
        <w:rPr>
          <w:rFonts w:ascii="Arial" w:eastAsia="Calibri" w:hAnsi="Arial" w:cs="Arial"/>
          <w:color w:val="000000" w:themeColor="text1"/>
          <w:sz w:val="20"/>
          <w:szCs w:val="20"/>
          <w:lang w:val="es-ES_tradnl"/>
        </w:rPr>
      </w:pPr>
      <w:r w:rsidRPr="00892E76">
        <w:rPr>
          <w:rFonts w:ascii="Arial" w:eastAsia="Calibri" w:hAnsi="Arial" w:cs="Arial"/>
          <w:color w:val="000000" w:themeColor="text1"/>
          <w:sz w:val="20"/>
          <w:szCs w:val="20"/>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14:paraId="0E4D3DE7" w14:textId="77777777" w:rsidR="00DC17C0" w:rsidRPr="00892E76" w:rsidRDefault="00DC17C0" w:rsidP="00DC17C0">
      <w:pPr>
        <w:jc w:val="both"/>
        <w:rPr>
          <w:rFonts w:ascii="Arial" w:eastAsia="Calibri" w:hAnsi="Arial" w:cs="Arial"/>
          <w:color w:val="000000" w:themeColor="text1"/>
          <w:sz w:val="20"/>
          <w:szCs w:val="20"/>
          <w:lang w:val="es-ES_tradnl"/>
        </w:rPr>
      </w:pPr>
    </w:p>
    <w:p w14:paraId="205EC5B8" w14:textId="450EA5B7" w:rsidR="008A78D9" w:rsidRPr="00892E76" w:rsidRDefault="00DC17C0" w:rsidP="00DC17C0">
      <w:pPr>
        <w:jc w:val="both"/>
        <w:rPr>
          <w:rFonts w:ascii="Arial" w:eastAsia="Calibri" w:hAnsi="Arial" w:cs="Arial"/>
          <w:color w:val="000000" w:themeColor="text1"/>
          <w:sz w:val="20"/>
          <w:szCs w:val="20"/>
          <w:lang w:val="es-ES_tradnl"/>
        </w:rPr>
      </w:pPr>
      <w:r w:rsidRPr="00892E76">
        <w:rPr>
          <w:rFonts w:ascii="Arial" w:eastAsia="Calibri" w:hAnsi="Arial" w:cs="Arial"/>
          <w:color w:val="000000" w:themeColor="text1"/>
          <w:sz w:val="20"/>
          <w:szCs w:val="20"/>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p>
    <w:p w14:paraId="6ED3EEFF" w14:textId="77777777" w:rsidR="008A78D9" w:rsidRPr="00892E76" w:rsidRDefault="008A78D9" w:rsidP="008A78D9">
      <w:pPr>
        <w:jc w:val="both"/>
        <w:rPr>
          <w:rFonts w:ascii="Arial" w:eastAsia="Calibri" w:hAnsi="Arial" w:cs="Arial"/>
          <w:color w:val="000000" w:themeColor="text1"/>
          <w:sz w:val="20"/>
          <w:szCs w:val="20"/>
          <w:lang w:val="es-ES_tradnl"/>
        </w:rPr>
      </w:pPr>
    </w:p>
    <w:p w14:paraId="53848D98" w14:textId="77777777" w:rsidR="008A78D9" w:rsidRPr="00892E76" w:rsidRDefault="008A78D9" w:rsidP="008A78D9">
      <w:pPr>
        <w:jc w:val="both"/>
        <w:rPr>
          <w:rFonts w:ascii="Arial" w:eastAsia="Calibri" w:hAnsi="Arial" w:cs="Arial"/>
          <w:b/>
          <w:color w:val="000000" w:themeColor="text1"/>
          <w:sz w:val="22"/>
          <w:lang w:val="es-ES_tradnl"/>
        </w:rPr>
      </w:pPr>
    </w:p>
    <w:p w14:paraId="6A63EF45" w14:textId="77777777" w:rsidR="000D299D" w:rsidRPr="00892E76" w:rsidRDefault="000D299D" w:rsidP="008A78D9">
      <w:pPr>
        <w:jc w:val="both"/>
        <w:rPr>
          <w:rFonts w:ascii="Arial" w:eastAsia="Calibri" w:hAnsi="Arial" w:cs="Arial"/>
          <w:b/>
          <w:color w:val="000000" w:themeColor="text1"/>
          <w:sz w:val="22"/>
          <w:lang w:val="es-ES_tradnl"/>
        </w:rPr>
      </w:pPr>
    </w:p>
    <w:p w14:paraId="09E41090" w14:textId="77777777" w:rsidR="000D299D" w:rsidRPr="00892E76" w:rsidRDefault="000D299D" w:rsidP="008A78D9">
      <w:pPr>
        <w:jc w:val="both"/>
        <w:rPr>
          <w:rFonts w:ascii="Arial" w:eastAsia="Calibri" w:hAnsi="Arial" w:cs="Arial"/>
          <w:b/>
          <w:color w:val="000000" w:themeColor="text1"/>
          <w:sz w:val="22"/>
          <w:lang w:val="es-ES_tradnl"/>
        </w:rPr>
      </w:pPr>
    </w:p>
    <w:p w14:paraId="1F38DBDC" w14:textId="16DF26E6" w:rsidR="008A78D9" w:rsidRPr="00892E76" w:rsidRDefault="008A78D9" w:rsidP="008A78D9">
      <w:pPr>
        <w:jc w:val="both"/>
        <w:rPr>
          <w:rFonts w:ascii="Arial" w:eastAsia="Calibri" w:hAnsi="Arial" w:cs="Arial"/>
          <w:b/>
          <w:color w:val="000000" w:themeColor="text1"/>
          <w:sz w:val="22"/>
          <w:lang w:val="es-ES_tradnl"/>
        </w:rPr>
      </w:pPr>
      <w:r w:rsidRPr="00892E76">
        <w:rPr>
          <w:rFonts w:ascii="Arial" w:eastAsia="Calibri" w:hAnsi="Arial" w:cs="Arial"/>
          <w:b/>
          <w:color w:val="000000" w:themeColor="text1"/>
          <w:sz w:val="22"/>
          <w:lang w:val="es-ES_tradnl"/>
        </w:rPr>
        <w:lastRenderedPageBreak/>
        <w:t xml:space="preserve">LEY DE EMPRENDIMIENTO – Ley 2069 de 2020 – Vigencia </w:t>
      </w:r>
    </w:p>
    <w:p w14:paraId="63574004" w14:textId="77777777" w:rsidR="008A78D9" w:rsidRPr="00892E76" w:rsidRDefault="008A78D9" w:rsidP="008A78D9">
      <w:pPr>
        <w:jc w:val="both"/>
        <w:rPr>
          <w:rFonts w:ascii="Arial" w:eastAsia="Calibri" w:hAnsi="Arial" w:cs="Arial"/>
          <w:b/>
          <w:color w:val="000000" w:themeColor="text1"/>
          <w:sz w:val="22"/>
          <w:lang w:val="es-ES_tradnl"/>
        </w:rPr>
      </w:pPr>
    </w:p>
    <w:p w14:paraId="253FC307" w14:textId="77777777" w:rsidR="008A78D9" w:rsidRPr="00892E76" w:rsidRDefault="008A78D9" w:rsidP="008A78D9">
      <w:pPr>
        <w:jc w:val="both"/>
        <w:rPr>
          <w:rFonts w:ascii="Arial" w:eastAsia="Calibri" w:hAnsi="Arial" w:cs="Arial"/>
          <w:color w:val="000000" w:themeColor="text1"/>
          <w:sz w:val="20"/>
          <w:szCs w:val="20"/>
          <w:lang w:val="es-ES_tradnl"/>
        </w:rPr>
      </w:pPr>
      <w:r w:rsidRPr="00892E76">
        <w:rPr>
          <w:rFonts w:ascii="Arial" w:eastAsia="Calibri" w:hAnsi="Arial" w:cs="Arial"/>
          <w:color w:val="000000" w:themeColor="text1"/>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1A29BAC3" w14:textId="77777777" w:rsidR="008A78D9" w:rsidRPr="00892E76" w:rsidRDefault="008A78D9" w:rsidP="008A78D9">
      <w:pPr>
        <w:jc w:val="both"/>
        <w:rPr>
          <w:rFonts w:ascii="Arial" w:eastAsia="Calibri" w:hAnsi="Arial" w:cs="Arial"/>
          <w:color w:val="000000" w:themeColor="text1"/>
          <w:sz w:val="20"/>
          <w:szCs w:val="20"/>
          <w:lang w:val="es-ES_tradnl"/>
        </w:rPr>
      </w:pPr>
    </w:p>
    <w:p w14:paraId="4DEE8ECD" w14:textId="77777777" w:rsidR="008A78D9" w:rsidRPr="00892E76" w:rsidRDefault="008A78D9" w:rsidP="008A78D9">
      <w:pPr>
        <w:jc w:val="both"/>
        <w:rPr>
          <w:rFonts w:ascii="Arial" w:eastAsia="Calibri" w:hAnsi="Arial" w:cs="Arial"/>
          <w:color w:val="000000" w:themeColor="text1"/>
          <w:sz w:val="20"/>
          <w:szCs w:val="20"/>
          <w:lang w:val="es-ES_tradnl"/>
        </w:rPr>
      </w:pPr>
      <w:r w:rsidRPr="00892E76">
        <w:rPr>
          <w:rFonts w:ascii="Arial" w:eastAsia="Calibri" w:hAnsi="Arial" w:cs="Arial"/>
          <w:color w:val="000000" w:themeColor="text1"/>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892E76">
        <w:rPr>
          <w:rFonts w:ascii="Arial" w:eastAsia="Calibri" w:hAnsi="Arial" w:cs="Arial"/>
          <w:color w:val="000000" w:themeColor="text1"/>
          <w:sz w:val="20"/>
          <w:szCs w:val="20"/>
          <w:lang w:val="es-ES_tradnl"/>
        </w:rPr>
        <w:t>mipymes</w:t>
      </w:r>
      <w:proofErr w:type="spellEnd"/>
      <w:r w:rsidRPr="00892E76">
        <w:rPr>
          <w:rFonts w:ascii="Arial" w:eastAsia="Calibri" w:hAnsi="Arial" w:cs="Arial"/>
          <w:color w:val="000000" w:themeColor="text1"/>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53E91EA5" w14:textId="77777777" w:rsidR="008A78D9" w:rsidRPr="00892E76" w:rsidRDefault="008A78D9" w:rsidP="008A78D9">
      <w:pPr>
        <w:jc w:val="both"/>
        <w:rPr>
          <w:rFonts w:ascii="Arial" w:eastAsia="Calibri" w:hAnsi="Arial" w:cs="Arial"/>
          <w:b/>
          <w:color w:val="000000" w:themeColor="text1"/>
          <w:sz w:val="22"/>
          <w:lang w:val="es-ES_tradnl"/>
        </w:rPr>
      </w:pPr>
    </w:p>
    <w:p w14:paraId="3149876B" w14:textId="77777777" w:rsidR="008A78D9" w:rsidRPr="00892E76" w:rsidRDefault="008A78D9" w:rsidP="008A78D9">
      <w:pPr>
        <w:jc w:val="both"/>
        <w:rPr>
          <w:rFonts w:ascii="Arial" w:eastAsia="Calibri" w:hAnsi="Arial" w:cs="Arial"/>
          <w:b/>
          <w:color w:val="000000" w:themeColor="text1"/>
          <w:sz w:val="22"/>
          <w:lang w:val="es-ES_tradnl"/>
        </w:rPr>
      </w:pPr>
      <w:r w:rsidRPr="00892E76">
        <w:rPr>
          <w:rFonts w:ascii="Arial" w:eastAsia="Calibri" w:hAnsi="Arial" w:cs="Arial"/>
          <w:b/>
          <w:color w:val="000000" w:themeColor="text1"/>
          <w:sz w:val="22"/>
          <w:lang w:val="es-ES_tradnl"/>
        </w:rPr>
        <w:t>FACTORES DE DESEMPATE – Ley 2069 – Artículo 35 – Acreditación</w:t>
      </w:r>
    </w:p>
    <w:p w14:paraId="6CDCE7CA" w14:textId="77777777" w:rsidR="008A78D9" w:rsidRPr="00892E76" w:rsidRDefault="008A78D9" w:rsidP="008A78D9">
      <w:pPr>
        <w:spacing w:line="276" w:lineRule="auto"/>
        <w:jc w:val="both"/>
        <w:rPr>
          <w:rFonts w:ascii="Arial" w:hAnsi="Arial" w:cs="Arial"/>
          <w:noProof/>
          <w:color w:val="000000" w:themeColor="text1"/>
          <w:sz w:val="22"/>
          <w:lang w:val="es-ES_tradnl"/>
        </w:rPr>
      </w:pPr>
    </w:p>
    <w:p w14:paraId="71B51B01" w14:textId="1D82E37A" w:rsidR="008A78D9" w:rsidRPr="00892E76" w:rsidRDefault="008A78D9" w:rsidP="008A78D9">
      <w:pPr>
        <w:jc w:val="both"/>
        <w:rPr>
          <w:rFonts w:ascii="Arial" w:eastAsia="Calibri" w:hAnsi="Arial" w:cs="Arial"/>
          <w:color w:val="000000" w:themeColor="text1"/>
          <w:sz w:val="20"/>
          <w:szCs w:val="20"/>
          <w:lang w:val="es-ES_tradnl"/>
        </w:rPr>
      </w:pPr>
      <w:r w:rsidRPr="00892E76">
        <w:rPr>
          <w:rFonts w:ascii="Arial" w:eastAsia="Calibri" w:hAnsi="Arial" w:cs="Arial"/>
          <w:color w:val="000000" w:themeColor="text1"/>
          <w:sz w:val="20"/>
          <w:szCs w:val="20"/>
          <w:lang w:val="es-ES_tradnl"/>
        </w:rPr>
        <w:t>[…], estos numerales no establecen un medio específico para acreditar las circunstancias a las que se refieren. Por lo tanto, corresponde a la entidad contratante analizar si el ordenamiento jurídico, en otras disposiciones legales o reglamentarias, exige un documento especial o si, por el 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p w14:paraId="511F4902" w14:textId="77777777" w:rsidR="00194199" w:rsidRPr="00892E76" w:rsidRDefault="00194199" w:rsidP="00194199">
      <w:pPr>
        <w:jc w:val="both"/>
        <w:rPr>
          <w:rFonts w:ascii="Arial" w:hAnsi="Arial" w:cs="Arial"/>
          <w:noProof/>
          <w:color w:val="000000" w:themeColor="text1"/>
          <w:sz w:val="20"/>
          <w:szCs w:val="20"/>
          <w:lang w:val="es-ES_tradnl"/>
        </w:rPr>
      </w:pPr>
    </w:p>
    <w:p w14:paraId="2652D0B5" w14:textId="77777777" w:rsidR="00194199" w:rsidRPr="00892E76" w:rsidRDefault="00194199" w:rsidP="00194199">
      <w:pPr>
        <w:jc w:val="both"/>
        <w:rPr>
          <w:rFonts w:ascii="Arial" w:hAnsi="Arial" w:cs="Arial"/>
          <w:noProof/>
          <w:color w:val="000000" w:themeColor="text1"/>
          <w:sz w:val="20"/>
          <w:szCs w:val="20"/>
          <w:lang w:val="es-ES_tradnl"/>
        </w:rPr>
      </w:pPr>
    </w:p>
    <w:p w14:paraId="51656734" w14:textId="77777777" w:rsidR="00194199" w:rsidRPr="00892E76" w:rsidRDefault="00194199" w:rsidP="00194199">
      <w:pPr>
        <w:jc w:val="both"/>
        <w:rPr>
          <w:rFonts w:ascii="Arial" w:hAnsi="Arial" w:cs="Arial"/>
          <w:noProof/>
          <w:color w:val="000000" w:themeColor="text1"/>
          <w:sz w:val="20"/>
          <w:szCs w:val="20"/>
          <w:lang w:val="es-ES_tradnl"/>
        </w:rPr>
      </w:pPr>
    </w:p>
    <w:p w14:paraId="1F111CF9" w14:textId="77777777" w:rsidR="00194199" w:rsidRPr="00892E76" w:rsidRDefault="00194199" w:rsidP="00194199">
      <w:pPr>
        <w:jc w:val="both"/>
        <w:rPr>
          <w:rFonts w:ascii="Arial" w:hAnsi="Arial" w:cs="Arial"/>
          <w:noProof/>
          <w:color w:val="000000" w:themeColor="text1"/>
          <w:sz w:val="20"/>
          <w:szCs w:val="20"/>
          <w:lang w:val="es-ES_tradnl"/>
        </w:rPr>
      </w:pPr>
    </w:p>
    <w:p w14:paraId="544D2575" w14:textId="77777777" w:rsidR="00194199" w:rsidRPr="00892E76" w:rsidRDefault="00194199" w:rsidP="00194199">
      <w:pPr>
        <w:jc w:val="both"/>
        <w:rPr>
          <w:rFonts w:ascii="Arial" w:hAnsi="Arial" w:cs="Arial"/>
          <w:noProof/>
          <w:color w:val="000000" w:themeColor="text1"/>
          <w:sz w:val="20"/>
          <w:szCs w:val="20"/>
          <w:lang w:val="es-ES_tradnl"/>
        </w:rPr>
      </w:pPr>
    </w:p>
    <w:p w14:paraId="3B6F7C27" w14:textId="77777777" w:rsidR="00194199" w:rsidRPr="00892E76" w:rsidRDefault="00194199" w:rsidP="00194199">
      <w:pPr>
        <w:jc w:val="both"/>
        <w:rPr>
          <w:rFonts w:ascii="Arial" w:hAnsi="Arial" w:cs="Arial"/>
          <w:noProof/>
          <w:color w:val="000000" w:themeColor="text1"/>
          <w:sz w:val="20"/>
          <w:szCs w:val="20"/>
          <w:lang w:val="es-ES_tradnl"/>
        </w:rPr>
      </w:pPr>
    </w:p>
    <w:p w14:paraId="348BE212" w14:textId="77777777" w:rsidR="00194199" w:rsidRPr="00892E76" w:rsidRDefault="00194199" w:rsidP="00194199">
      <w:pPr>
        <w:jc w:val="both"/>
        <w:rPr>
          <w:rFonts w:ascii="Arial" w:hAnsi="Arial" w:cs="Arial"/>
          <w:noProof/>
          <w:color w:val="000000" w:themeColor="text1"/>
          <w:sz w:val="20"/>
          <w:szCs w:val="20"/>
          <w:lang w:val="es-ES_tradnl"/>
        </w:rPr>
      </w:pPr>
    </w:p>
    <w:p w14:paraId="64882549" w14:textId="77777777" w:rsidR="00194199" w:rsidRPr="00892E76" w:rsidRDefault="00194199" w:rsidP="00194199">
      <w:pPr>
        <w:jc w:val="both"/>
        <w:rPr>
          <w:rFonts w:ascii="Arial" w:hAnsi="Arial" w:cs="Arial"/>
          <w:noProof/>
          <w:color w:val="000000" w:themeColor="text1"/>
          <w:sz w:val="20"/>
          <w:szCs w:val="20"/>
          <w:lang w:val="es-ES_tradnl"/>
        </w:rPr>
      </w:pPr>
    </w:p>
    <w:p w14:paraId="0D99C8EB" w14:textId="77777777" w:rsidR="00194199" w:rsidRPr="00892E76" w:rsidRDefault="00194199" w:rsidP="00194199">
      <w:pPr>
        <w:jc w:val="both"/>
        <w:rPr>
          <w:rFonts w:ascii="Arial" w:hAnsi="Arial" w:cs="Arial"/>
          <w:noProof/>
          <w:color w:val="000000" w:themeColor="text1"/>
          <w:sz w:val="20"/>
          <w:szCs w:val="20"/>
          <w:lang w:val="es-ES_tradnl"/>
        </w:rPr>
      </w:pPr>
    </w:p>
    <w:p w14:paraId="05D72A98" w14:textId="77777777" w:rsidR="00194199" w:rsidRPr="00892E76" w:rsidRDefault="00194199" w:rsidP="00194199">
      <w:pPr>
        <w:jc w:val="both"/>
        <w:rPr>
          <w:rFonts w:ascii="Arial" w:hAnsi="Arial" w:cs="Arial"/>
          <w:noProof/>
          <w:color w:val="000000" w:themeColor="text1"/>
          <w:sz w:val="20"/>
          <w:szCs w:val="20"/>
          <w:lang w:val="es-ES_tradnl"/>
        </w:rPr>
      </w:pPr>
    </w:p>
    <w:p w14:paraId="03353207" w14:textId="77777777" w:rsidR="00194199" w:rsidRPr="00892E76" w:rsidRDefault="00194199" w:rsidP="00194199">
      <w:pPr>
        <w:jc w:val="both"/>
        <w:rPr>
          <w:rFonts w:ascii="Arial" w:hAnsi="Arial" w:cs="Arial"/>
          <w:noProof/>
          <w:color w:val="000000" w:themeColor="text1"/>
          <w:sz w:val="20"/>
          <w:szCs w:val="20"/>
          <w:lang w:val="es-ES_tradnl"/>
        </w:rPr>
      </w:pPr>
    </w:p>
    <w:p w14:paraId="1109E134" w14:textId="77777777" w:rsidR="00194199" w:rsidRPr="00892E76" w:rsidRDefault="00194199" w:rsidP="00194199">
      <w:pPr>
        <w:jc w:val="both"/>
        <w:rPr>
          <w:rFonts w:ascii="Arial" w:hAnsi="Arial" w:cs="Arial"/>
          <w:noProof/>
          <w:color w:val="000000" w:themeColor="text1"/>
          <w:sz w:val="20"/>
          <w:szCs w:val="20"/>
          <w:lang w:val="es-ES_tradnl"/>
        </w:rPr>
      </w:pPr>
    </w:p>
    <w:p w14:paraId="06F9F881" w14:textId="77777777" w:rsidR="00194199" w:rsidRPr="00892E76" w:rsidRDefault="00194199" w:rsidP="00194199">
      <w:pPr>
        <w:jc w:val="both"/>
        <w:rPr>
          <w:rFonts w:ascii="Arial" w:hAnsi="Arial" w:cs="Arial"/>
          <w:noProof/>
          <w:color w:val="000000" w:themeColor="text1"/>
          <w:sz w:val="20"/>
          <w:szCs w:val="20"/>
          <w:lang w:val="es-ES_tradnl"/>
        </w:rPr>
      </w:pPr>
    </w:p>
    <w:p w14:paraId="477EC1CD" w14:textId="77777777" w:rsidR="00194199" w:rsidRPr="00892E76" w:rsidRDefault="00194199" w:rsidP="00194199">
      <w:pPr>
        <w:jc w:val="both"/>
        <w:rPr>
          <w:rFonts w:ascii="Arial" w:hAnsi="Arial" w:cs="Arial"/>
          <w:noProof/>
          <w:color w:val="000000" w:themeColor="text1"/>
          <w:sz w:val="20"/>
          <w:szCs w:val="20"/>
          <w:lang w:val="es-ES_tradnl"/>
        </w:rPr>
      </w:pPr>
    </w:p>
    <w:p w14:paraId="23C669E3" w14:textId="211FEDE5" w:rsidR="0029717F" w:rsidRPr="00892E76" w:rsidRDefault="0029717F" w:rsidP="00194199">
      <w:pPr>
        <w:jc w:val="both"/>
        <w:rPr>
          <w:rFonts w:ascii="Arial" w:hAnsi="Arial" w:cs="Arial"/>
          <w:noProof/>
          <w:color w:val="000000" w:themeColor="text1"/>
          <w:sz w:val="20"/>
          <w:szCs w:val="20"/>
          <w:lang w:val="es-ES_tradnl"/>
        </w:rPr>
      </w:pPr>
      <w:r w:rsidRPr="00892E76">
        <w:rPr>
          <w:rFonts w:ascii="Arial" w:hAnsi="Arial" w:cs="Arial"/>
          <w:color w:val="000000" w:themeColor="text1"/>
          <w:sz w:val="22"/>
          <w:lang w:val="es-ES_tradnl"/>
        </w:rPr>
        <w:lastRenderedPageBreak/>
        <w:t xml:space="preserve">Bogotá D.C., </w:t>
      </w:r>
      <w:r w:rsidR="00B0395C">
        <w:rPr>
          <w:rFonts w:ascii="Arial" w:hAnsi="Arial" w:cs="Arial"/>
          <w:b/>
          <w:color w:val="000000" w:themeColor="text1"/>
          <w:sz w:val="22"/>
          <w:lang w:val="es-ES_tradnl"/>
        </w:rPr>
        <w:t>03/08/2021 17:00:43</w:t>
      </w:r>
    </w:p>
    <w:p w14:paraId="0DD8EA5B" w14:textId="77777777" w:rsidR="0029717F" w:rsidRPr="00892E76" w:rsidRDefault="0029717F" w:rsidP="0029717F">
      <w:pPr>
        <w:jc w:val="right"/>
        <w:rPr>
          <w:rFonts w:ascii="Arial" w:hAnsi="Arial" w:cs="Arial"/>
          <w:b/>
          <w:color w:val="000000" w:themeColor="text1"/>
          <w:sz w:val="22"/>
          <w:lang w:val="es-ES_tradnl"/>
        </w:rPr>
      </w:pPr>
    </w:p>
    <w:p w14:paraId="265CF511" w14:textId="6225CF4B" w:rsidR="00B0395C" w:rsidRPr="00B0395C" w:rsidRDefault="00B0395C" w:rsidP="00B0395C">
      <w:pPr>
        <w:jc w:val="right"/>
      </w:pPr>
      <w:r w:rsidRPr="00B0395C">
        <w:fldChar w:fldCharType="begin"/>
      </w:r>
      <w:r w:rsidRPr="00B0395C">
        <w:instrText xml:space="preserve"> INCLUDEPICTURE "/var/folders/5l/v1rdjm0x1x9416lmbj7_vjt40000gn/T/com.microsoft.Word/WebArchiveCopyPasteTempFiles/page1image1810336" \* MERGEFORMATINET </w:instrText>
      </w:r>
      <w:r w:rsidRPr="00B0395C">
        <w:fldChar w:fldCharType="separate"/>
      </w:r>
      <w:r w:rsidRPr="00B0395C">
        <w:rPr>
          <w:noProof/>
        </w:rPr>
        <w:drawing>
          <wp:inline distT="0" distB="0" distL="0" distR="0" wp14:anchorId="4527E3DA" wp14:editId="5DD226C2">
            <wp:extent cx="2399030" cy="611505"/>
            <wp:effectExtent l="0" t="0" r="1270" b="0"/>
            <wp:docPr id="4" name="Imagen 4" descr="page1image181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103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9030" cy="611505"/>
                    </a:xfrm>
                    <a:prstGeom prst="rect">
                      <a:avLst/>
                    </a:prstGeom>
                    <a:noFill/>
                    <a:ln>
                      <a:noFill/>
                    </a:ln>
                  </pic:spPr>
                </pic:pic>
              </a:graphicData>
            </a:graphic>
          </wp:inline>
        </w:drawing>
      </w:r>
      <w:r w:rsidRPr="00B0395C">
        <w:fldChar w:fldCharType="end"/>
      </w:r>
    </w:p>
    <w:p w14:paraId="6A8A869B" w14:textId="77777777" w:rsidR="00B95C30" w:rsidRPr="00892E76" w:rsidRDefault="00B95C30" w:rsidP="00B66E42">
      <w:pPr>
        <w:jc w:val="right"/>
        <w:rPr>
          <w:rFonts w:ascii="Arial" w:hAnsi="Arial" w:cs="Arial"/>
          <w:b/>
          <w:color w:val="000000" w:themeColor="text1"/>
          <w:sz w:val="22"/>
          <w:lang w:val="es-ES_tradnl"/>
        </w:rPr>
      </w:pPr>
    </w:p>
    <w:p w14:paraId="5F5AE9EF" w14:textId="0A14DCA1" w:rsidR="00B95C30" w:rsidRPr="00892E76" w:rsidRDefault="00B95C30" w:rsidP="00B95C30">
      <w:pPr>
        <w:jc w:val="both"/>
        <w:rPr>
          <w:rFonts w:ascii="Arial" w:eastAsia="Calibri" w:hAnsi="Arial" w:cs="Arial"/>
          <w:color w:val="000000" w:themeColor="text1"/>
          <w:sz w:val="22"/>
          <w:lang w:val="es-ES_tradnl"/>
        </w:rPr>
      </w:pPr>
      <w:r w:rsidRPr="00892E76">
        <w:rPr>
          <w:rFonts w:ascii="Arial" w:eastAsia="Calibri" w:hAnsi="Arial" w:cs="Arial"/>
          <w:color w:val="000000" w:themeColor="text1"/>
          <w:sz w:val="22"/>
          <w:lang w:val="es-ES_tradnl"/>
        </w:rPr>
        <w:t>Señor</w:t>
      </w:r>
    </w:p>
    <w:p w14:paraId="4A85BC29" w14:textId="77777777" w:rsidR="00F8198B" w:rsidRPr="00892E76" w:rsidRDefault="00F8198B" w:rsidP="00F8198B">
      <w:pPr>
        <w:rPr>
          <w:rFonts w:ascii="Arial" w:eastAsia="Calibri" w:hAnsi="Arial" w:cs="Arial"/>
          <w:b/>
          <w:sz w:val="22"/>
          <w:lang w:val="es-ES_tradnl"/>
        </w:rPr>
      </w:pPr>
      <w:r w:rsidRPr="00892E76">
        <w:rPr>
          <w:rFonts w:ascii="Arial" w:eastAsia="Calibri" w:hAnsi="Arial" w:cs="Arial"/>
          <w:b/>
          <w:sz w:val="22"/>
          <w:lang w:val="es-ES_tradnl"/>
        </w:rPr>
        <w:t>Carlos Alberto Varela Rebolledo</w:t>
      </w:r>
    </w:p>
    <w:p w14:paraId="3F3D1203" w14:textId="3CC99CC0" w:rsidR="00B95C30" w:rsidRPr="00892E76" w:rsidRDefault="00D461B4" w:rsidP="00B95C30">
      <w:pPr>
        <w:jc w:val="both"/>
        <w:rPr>
          <w:rFonts w:ascii="Arial" w:eastAsia="Calibri" w:hAnsi="Arial" w:cs="Arial"/>
          <w:color w:val="000000" w:themeColor="text1"/>
          <w:sz w:val="22"/>
          <w:lang w:val="es-ES_tradnl"/>
        </w:rPr>
      </w:pPr>
      <w:r w:rsidRPr="00892E76">
        <w:rPr>
          <w:rFonts w:ascii="Arial" w:hAnsi="Arial" w:cs="Arial"/>
          <w:noProof/>
          <w:color w:val="000000" w:themeColor="text1"/>
          <w:sz w:val="22"/>
          <w:lang w:val="es-ES_tradnl"/>
        </w:rPr>
        <w:t>Bogotá D.C.</w:t>
      </w:r>
    </w:p>
    <w:p w14:paraId="24E8D2A9" w14:textId="77777777" w:rsidR="00B95C30" w:rsidRPr="00892E76" w:rsidRDefault="00B95C30" w:rsidP="00B95C30">
      <w:pPr>
        <w:jc w:val="both"/>
        <w:rPr>
          <w:rFonts w:ascii="Arial" w:eastAsia="Calibri" w:hAnsi="Arial" w:cs="Arial"/>
          <w:color w:val="000000" w:themeColor="text1"/>
          <w:sz w:val="22"/>
          <w:lang w:val="es-ES_tradnl"/>
        </w:rPr>
      </w:pPr>
    </w:p>
    <w:p w14:paraId="12E66182" w14:textId="5A231ED0" w:rsidR="00B95C30" w:rsidRPr="00892E76" w:rsidRDefault="00B95C30" w:rsidP="00B95C30">
      <w:pPr>
        <w:jc w:val="center"/>
        <w:rPr>
          <w:rFonts w:ascii="Arial" w:eastAsia="Calibri" w:hAnsi="Arial" w:cs="Arial"/>
          <w:b/>
          <w:bCs/>
          <w:color w:val="000000" w:themeColor="text1"/>
          <w:sz w:val="22"/>
          <w:lang w:val="es-ES_tradnl"/>
        </w:rPr>
      </w:pPr>
      <w:r w:rsidRPr="00892E76">
        <w:rPr>
          <w:rFonts w:ascii="Arial" w:eastAsia="Calibri" w:hAnsi="Arial" w:cs="Arial"/>
          <w:b/>
          <w:bCs/>
          <w:color w:val="000000" w:themeColor="text1"/>
          <w:sz w:val="22"/>
          <w:lang w:val="es-ES_tradnl"/>
        </w:rPr>
        <w:t xml:space="preserve">Concepto C ‒ </w:t>
      </w:r>
      <w:r w:rsidR="00676BE6" w:rsidRPr="00892E76">
        <w:rPr>
          <w:rFonts w:ascii="Arial" w:eastAsia="Calibri" w:hAnsi="Arial" w:cs="Arial"/>
          <w:b/>
          <w:bCs/>
          <w:color w:val="000000" w:themeColor="text1"/>
          <w:sz w:val="22"/>
          <w:lang w:val="es-ES_tradnl"/>
        </w:rPr>
        <w:t>487</w:t>
      </w:r>
      <w:r w:rsidRPr="00892E76">
        <w:rPr>
          <w:rFonts w:ascii="Arial" w:eastAsia="Calibri" w:hAnsi="Arial" w:cs="Arial"/>
          <w:b/>
          <w:bCs/>
          <w:color w:val="000000" w:themeColor="text1"/>
          <w:sz w:val="22"/>
          <w:lang w:val="es-ES_tradnl"/>
        </w:rPr>
        <w:t xml:space="preserve"> de 202</w:t>
      </w:r>
      <w:r w:rsidR="00C56976" w:rsidRPr="00892E76">
        <w:rPr>
          <w:rFonts w:ascii="Arial" w:eastAsia="Calibri" w:hAnsi="Arial" w:cs="Arial"/>
          <w:b/>
          <w:bCs/>
          <w:color w:val="000000" w:themeColor="text1"/>
          <w:sz w:val="22"/>
          <w:lang w:val="es-ES_tradnl"/>
        </w:rPr>
        <w:t>1</w:t>
      </w:r>
    </w:p>
    <w:p w14:paraId="2B376FFA" w14:textId="77777777" w:rsidR="00B95C30" w:rsidRPr="00892E76" w:rsidRDefault="00B95C30" w:rsidP="00B95C30">
      <w:pPr>
        <w:jc w:val="both"/>
        <w:rPr>
          <w:rFonts w:ascii="Arial" w:eastAsia="Calibri" w:hAnsi="Arial" w:cs="Arial"/>
          <w:color w:val="000000" w:themeColor="text1"/>
          <w:sz w:val="22"/>
          <w:lang w:val="es-ES_tradnl"/>
        </w:rPr>
      </w:pPr>
    </w:p>
    <w:p w14:paraId="08CF82B2" w14:textId="77777777" w:rsidR="00B95C30" w:rsidRPr="00892E76" w:rsidRDefault="00B95C30" w:rsidP="00B95C30">
      <w:pPr>
        <w:jc w:val="both"/>
        <w:rPr>
          <w:rFonts w:ascii="Arial" w:eastAsia="Calibri" w:hAnsi="Arial" w:cs="Arial"/>
          <w:color w:val="000000" w:themeColor="text1"/>
          <w:sz w:val="22"/>
          <w:lang w:val="es-ES_tradnl"/>
        </w:rPr>
      </w:pPr>
    </w:p>
    <w:p w14:paraId="1BD594F9" w14:textId="77777777" w:rsidR="00B95C30" w:rsidRPr="00892E76"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342B6" w:rsidRPr="00892E76" w14:paraId="19DFC051" w14:textId="77777777" w:rsidTr="003D3D44">
        <w:tc>
          <w:tcPr>
            <w:tcW w:w="2689" w:type="dxa"/>
          </w:tcPr>
          <w:p w14:paraId="6BC0D1AC" w14:textId="77777777" w:rsidR="00B95C30" w:rsidRPr="00892E76" w:rsidRDefault="00B95C30" w:rsidP="003D3D44">
            <w:pPr>
              <w:jc w:val="both"/>
              <w:rPr>
                <w:rFonts w:ascii="Arial" w:eastAsia="Calibri" w:hAnsi="Arial" w:cs="Arial"/>
                <w:color w:val="000000" w:themeColor="text1"/>
                <w:sz w:val="22"/>
                <w:lang w:val="es-ES_tradnl"/>
              </w:rPr>
            </w:pPr>
            <w:r w:rsidRPr="00892E76">
              <w:rPr>
                <w:rFonts w:ascii="Arial" w:eastAsia="Calibri" w:hAnsi="Arial" w:cs="Arial"/>
                <w:b/>
                <w:color w:val="000000" w:themeColor="text1"/>
                <w:sz w:val="22"/>
                <w:lang w:val="es-ES_tradnl"/>
              </w:rPr>
              <w:t>Temas:</w:t>
            </w:r>
            <w:r w:rsidRPr="00892E76">
              <w:rPr>
                <w:rFonts w:ascii="Arial" w:eastAsia="Calibri" w:hAnsi="Arial" w:cs="Arial"/>
                <w:color w:val="000000" w:themeColor="text1"/>
                <w:sz w:val="22"/>
                <w:lang w:val="es-ES_tradnl"/>
              </w:rPr>
              <w:t xml:space="preserve">                                      </w:t>
            </w:r>
          </w:p>
        </w:tc>
        <w:tc>
          <w:tcPr>
            <w:tcW w:w="6237" w:type="dxa"/>
          </w:tcPr>
          <w:p w14:paraId="5F389CAF" w14:textId="68C900AE" w:rsidR="00B95C30" w:rsidRPr="00892E76" w:rsidRDefault="00B020EB" w:rsidP="0038512F">
            <w:pPr>
              <w:pStyle w:val="Sinespaciado"/>
              <w:jc w:val="both"/>
              <w:rPr>
                <w:rFonts w:ascii="Arial" w:hAnsi="Arial" w:cs="Arial"/>
                <w:bCs/>
                <w:color w:val="000000" w:themeColor="text1"/>
                <w:sz w:val="22"/>
                <w:lang w:val="es-ES_tradnl"/>
              </w:rPr>
            </w:pPr>
            <w:r w:rsidRPr="00892E76">
              <w:rPr>
                <w:rFonts w:ascii="Arial" w:eastAsia="Calibri" w:hAnsi="Arial" w:cs="Arial"/>
                <w:color w:val="000000" w:themeColor="text1"/>
                <w:sz w:val="22"/>
                <w:lang w:val="es-ES_tradnl"/>
              </w:rPr>
              <w:t>SELECCIÓN OBJETIVA – Contratación estatal – Concepto / EMPATE – Procedimiento de selección – Concepto / FACTORES DE DESEMPATE – Características – Límites / LEY DE EMPRENDIMIENTO – Ley 2069 de 2020 – Vigencia / FACTORES DE DESEMPATE – Ley 2069 – Artículo 35 – Acreditación</w:t>
            </w:r>
          </w:p>
        </w:tc>
      </w:tr>
      <w:tr w:rsidR="009342B6" w:rsidRPr="00892E76" w14:paraId="27CD52AB" w14:textId="77777777" w:rsidTr="003D3D44">
        <w:tc>
          <w:tcPr>
            <w:tcW w:w="2689" w:type="dxa"/>
          </w:tcPr>
          <w:p w14:paraId="37E195A1" w14:textId="4C368209" w:rsidR="00B95C30" w:rsidRPr="00892E76" w:rsidRDefault="00B95C30" w:rsidP="003D3D44">
            <w:pPr>
              <w:spacing w:before="120"/>
              <w:jc w:val="both"/>
              <w:rPr>
                <w:rFonts w:ascii="Arial" w:eastAsia="Calibri" w:hAnsi="Arial" w:cs="Arial"/>
                <w:b/>
                <w:color w:val="000000" w:themeColor="text1"/>
                <w:sz w:val="22"/>
                <w:lang w:val="es-ES_tradnl"/>
              </w:rPr>
            </w:pPr>
            <w:r w:rsidRPr="00892E76">
              <w:rPr>
                <w:rFonts w:ascii="Arial" w:eastAsia="Calibri" w:hAnsi="Arial" w:cs="Arial"/>
                <w:b/>
                <w:color w:val="000000" w:themeColor="text1"/>
                <w:sz w:val="22"/>
                <w:lang w:val="es-ES_tradnl"/>
              </w:rPr>
              <w:t>Radicación:</w:t>
            </w:r>
            <w:r w:rsidRPr="00892E76">
              <w:rPr>
                <w:rFonts w:ascii="Arial" w:eastAsia="Calibri" w:hAnsi="Arial" w:cs="Arial"/>
                <w:color w:val="000000" w:themeColor="text1"/>
                <w:sz w:val="22"/>
                <w:lang w:val="es-ES_tradnl"/>
              </w:rPr>
              <w:t xml:space="preserve">                              </w:t>
            </w:r>
          </w:p>
        </w:tc>
        <w:tc>
          <w:tcPr>
            <w:tcW w:w="6237" w:type="dxa"/>
          </w:tcPr>
          <w:p w14:paraId="64360FC9" w14:textId="7BFB0F85" w:rsidR="00B95C30" w:rsidRPr="00892E76" w:rsidRDefault="00B95C30" w:rsidP="003D3D44">
            <w:pPr>
              <w:spacing w:before="120"/>
              <w:jc w:val="both"/>
              <w:rPr>
                <w:rFonts w:ascii="Arial" w:eastAsia="Calibri" w:hAnsi="Arial" w:cs="Arial"/>
                <w:color w:val="000000" w:themeColor="text1"/>
                <w:sz w:val="22"/>
                <w:lang w:val="es-ES_tradnl"/>
              </w:rPr>
            </w:pPr>
            <w:r w:rsidRPr="00892E76">
              <w:rPr>
                <w:rFonts w:ascii="Arial" w:eastAsia="Calibri" w:hAnsi="Arial" w:cs="Arial"/>
                <w:color w:val="000000" w:themeColor="text1"/>
                <w:sz w:val="22"/>
                <w:lang w:val="es-ES_tradnl"/>
              </w:rPr>
              <w:t xml:space="preserve">Respuesta a consulta # </w:t>
            </w:r>
            <w:r w:rsidR="00FE07D8" w:rsidRPr="00892E76">
              <w:rPr>
                <w:rFonts w:ascii="Arial" w:eastAsia="Calibri" w:hAnsi="Arial" w:cs="Arial"/>
                <w:color w:val="000000" w:themeColor="text1"/>
                <w:sz w:val="22"/>
                <w:lang w:val="es-ES_tradnl"/>
              </w:rPr>
              <w:t>P20210730006685</w:t>
            </w:r>
          </w:p>
          <w:p w14:paraId="09088B1B" w14:textId="77777777" w:rsidR="00B95C30" w:rsidRPr="00892E76" w:rsidRDefault="00B95C30" w:rsidP="003D3D44">
            <w:pPr>
              <w:spacing w:before="120"/>
              <w:jc w:val="both"/>
              <w:rPr>
                <w:rFonts w:ascii="Arial" w:eastAsia="Calibri" w:hAnsi="Arial" w:cs="Arial"/>
                <w:color w:val="000000" w:themeColor="text1"/>
                <w:sz w:val="22"/>
                <w:lang w:val="es-ES_tradnl"/>
              </w:rPr>
            </w:pPr>
            <w:r w:rsidRPr="00892E76">
              <w:rPr>
                <w:rFonts w:ascii="Arial" w:eastAsia="Calibri" w:hAnsi="Arial" w:cs="Arial"/>
                <w:color w:val="000000" w:themeColor="text1"/>
                <w:sz w:val="22"/>
                <w:lang w:val="es-ES_tradnl"/>
              </w:rPr>
              <w:t xml:space="preserve"> </w:t>
            </w:r>
          </w:p>
        </w:tc>
      </w:tr>
    </w:tbl>
    <w:p w14:paraId="1CF4AEA0" w14:textId="5949F1A2" w:rsidR="003C3339" w:rsidRPr="00892E76" w:rsidRDefault="003C3339" w:rsidP="003C3339">
      <w:pPr>
        <w:jc w:val="both"/>
        <w:rPr>
          <w:rFonts w:ascii="Arial" w:eastAsia="Calibri" w:hAnsi="Arial" w:cs="Arial"/>
          <w:color w:val="000000" w:themeColor="text1"/>
          <w:sz w:val="22"/>
          <w:lang w:val="es-ES_tradnl"/>
        </w:rPr>
      </w:pPr>
      <w:r w:rsidRPr="00892E76">
        <w:rPr>
          <w:rFonts w:ascii="Arial" w:eastAsia="Calibri" w:hAnsi="Arial" w:cs="Arial"/>
          <w:color w:val="000000" w:themeColor="text1"/>
          <w:sz w:val="22"/>
          <w:lang w:val="es-ES_tradnl"/>
        </w:rPr>
        <w:t>Estimad</w:t>
      </w:r>
      <w:r w:rsidR="00BB48C1" w:rsidRPr="00892E76">
        <w:rPr>
          <w:rFonts w:ascii="Arial" w:eastAsia="Calibri" w:hAnsi="Arial" w:cs="Arial"/>
          <w:color w:val="000000" w:themeColor="text1"/>
          <w:sz w:val="22"/>
          <w:lang w:val="es-ES_tradnl"/>
        </w:rPr>
        <w:t>o</w:t>
      </w:r>
      <w:r w:rsidRPr="00892E76">
        <w:rPr>
          <w:rFonts w:ascii="Arial" w:eastAsia="Calibri" w:hAnsi="Arial" w:cs="Arial"/>
          <w:color w:val="000000" w:themeColor="text1"/>
          <w:sz w:val="22"/>
          <w:lang w:val="es-ES_tradnl"/>
        </w:rPr>
        <w:t xml:space="preserve"> </w:t>
      </w:r>
      <w:r w:rsidR="00677E9C" w:rsidRPr="00892E76">
        <w:rPr>
          <w:rFonts w:ascii="Arial" w:eastAsia="Calibri" w:hAnsi="Arial" w:cs="Arial"/>
          <w:color w:val="000000" w:themeColor="text1"/>
          <w:sz w:val="22"/>
          <w:lang w:val="es-ES_tradnl"/>
        </w:rPr>
        <w:t xml:space="preserve">señor </w:t>
      </w:r>
      <w:r w:rsidR="00485E9D" w:rsidRPr="00892E76">
        <w:rPr>
          <w:rFonts w:ascii="Arial" w:eastAsia="Calibri" w:hAnsi="Arial" w:cs="Arial"/>
          <w:color w:val="000000" w:themeColor="text1"/>
          <w:sz w:val="22"/>
          <w:lang w:val="es-ES_tradnl"/>
        </w:rPr>
        <w:t>Varela</w:t>
      </w:r>
      <w:r w:rsidRPr="00892E76">
        <w:rPr>
          <w:rFonts w:ascii="Arial" w:eastAsia="Calibri" w:hAnsi="Arial" w:cs="Arial"/>
          <w:color w:val="000000" w:themeColor="text1"/>
          <w:sz w:val="22"/>
          <w:lang w:val="es-ES_tradnl"/>
        </w:rPr>
        <w:t>:</w:t>
      </w:r>
    </w:p>
    <w:p w14:paraId="1EAE5543" w14:textId="77777777" w:rsidR="00DD5B04" w:rsidRPr="00892E76" w:rsidRDefault="00DD5B04" w:rsidP="00DF76A2">
      <w:pPr>
        <w:jc w:val="both"/>
        <w:rPr>
          <w:rFonts w:ascii="Arial" w:eastAsia="Calibri" w:hAnsi="Arial" w:cs="Arial"/>
          <w:color w:val="000000" w:themeColor="text1"/>
          <w:sz w:val="22"/>
          <w:lang w:val="es-ES_tradnl"/>
        </w:rPr>
      </w:pPr>
    </w:p>
    <w:p w14:paraId="2109B2D3" w14:textId="43CFA501" w:rsidR="00DD5B04" w:rsidRPr="00892E76" w:rsidRDefault="00DD5B04" w:rsidP="00DF76A2">
      <w:pPr>
        <w:spacing w:line="276" w:lineRule="auto"/>
        <w:jc w:val="both"/>
        <w:rPr>
          <w:rFonts w:ascii="Arial" w:eastAsia="Calibri" w:hAnsi="Arial" w:cs="Arial"/>
          <w:color w:val="000000" w:themeColor="text1"/>
          <w:sz w:val="22"/>
          <w:lang w:val="es-ES_tradnl"/>
        </w:rPr>
      </w:pPr>
      <w:r w:rsidRPr="00892E76">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AB1340" w:rsidRPr="00892E76">
        <w:rPr>
          <w:rFonts w:ascii="Arial" w:eastAsia="Calibri" w:hAnsi="Arial" w:cs="Arial"/>
          <w:color w:val="000000" w:themeColor="text1"/>
          <w:sz w:val="22"/>
          <w:lang w:val="es-ES_tradnl"/>
        </w:rPr>
        <w:t xml:space="preserve"> </w:t>
      </w:r>
      <w:r w:rsidRPr="00892E76">
        <w:rPr>
          <w:rFonts w:ascii="Arial" w:eastAsia="Calibri" w:hAnsi="Arial" w:cs="Arial"/>
          <w:color w:val="000000" w:themeColor="text1"/>
          <w:sz w:val="22"/>
          <w:lang w:val="es-ES_tradnl"/>
        </w:rPr>
        <w:t>la Agencia Nacional de Contratación Pública ― Colombia Compra Eficiente</w:t>
      </w:r>
      <w:r w:rsidR="008C3C57" w:rsidRPr="00892E76">
        <w:rPr>
          <w:rFonts w:ascii="Arial" w:eastAsia="Calibri" w:hAnsi="Arial" w:cs="Arial"/>
          <w:color w:val="000000" w:themeColor="text1"/>
          <w:sz w:val="22"/>
          <w:lang w:val="es-ES_tradnl"/>
        </w:rPr>
        <w:t xml:space="preserve"> </w:t>
      </w:r>
      <w:r w:rsidRPr="00892E76">
        <w:rPr>
          <w:rFonts w:ascii="Arial" w:eastAsia="Calibri" w:hAnsi="Arial" w:cs="Arial"/>
          <w:color w:val="000000" w:themeColor="text1"/>
          <w:sz w:val="22"/>
          <w:lang w:val="es-ES_tradnl"/>
        </w:rPr>
        <w:t xml:space="preserve">responde su consulta del </w:t>
      </w:r>
      <w:r w:rsidR="0066495B" w:rsidRPr="00892E76">
        <w:rPr>
          <w:rFonts w:ascii="Arial" w:eastAsia="Calibri" w:hAnsi="Arial" w:cs="Arial"/>
          <w:color w:val="000000" w:themeColor="text1"/>
          <w:sz w:val="22"/>
          <w:lang w:val="es-ES_tradnl"/>
        </w:rPr>
        <w:t>2</w:t>
      </w:r>
      <w:r w:rsidR="00485E9D" w:rsidRPr="00892E76">
        <w:rPr>
          <w:rFonts w:ascii="Arial" w:eastAsia="Calibri" w:hAnsi="Arial" w:cs="Arial"/>
          <w:color w:val="000000" w:themeColor="text1"/>
          <w:sz w:val="22"/>
          <w:lang w:val="es-ES_tradnl"/>
        </w:rPr>
        <w:t>9</w:t>
      </w:r>
      <w:r w:rsidR="00FD4AF3" w:rsidRPr="00892E76">
        <w:rPr>
          <w:rFonts w:ascii="Arial" w:eastAsia="Calibri" w:hAnsi="Arial" w:cs="Arial"/>
          <w:color w:val="000000" w:themeColor="text1"/>
          <w:sz w:val="22"/>
          <w:lang w:val="es-ES_tradnl"/>
        </w:rPr>
        <w:t xml:space="preserve"> de </w:t>
      </w:r>
      <w:r w:rsidR="00485E9D" w:rsidRPr="00892E76">
        <w:rPr>
          <w:rFonts w:ascii="Arial" w:eastAsia="Calibri" w:hAnsi="Arial" w:cs="Arial"/>
          <w:color w:val="000000" w:themeColor="text1"/>
          <w:sz w:val="22"/>
          <w:lang w:val="es-ES_tradnl"/>
        </w:rPr>
        <w:t>julio</w:t>
      </w:r>
      <w:r w:rsidRPr="00892E76">
        <w:rPr>
          <w:rFonts w:ascii="Arial" w:eastAsia="Calibri" w:hAnsi="Arial" w:cs="Arial"/>
          <w:color w:val="000000" w:themeColor="text1"/>
          <w:sz w:val="22"/>
          <w:lang w:val="es-ES_tradnl"/>
        </w:rPr>
        <w:t xml:space="preserve"> del</w:t>
      </w:r>
      <w:r w:rsidR="007E74BF" w:rsidRPr="00892E76">
        <w:rPr>
          <w:rFonts w:ascii="Arial" w:eastAsia="Calibri" w:hAnsi="Arial" w:cs="Arial"/>
          <w:color w:val="000000" w:themeColor="text1"/>
          <w:sz w:val="22"/>
          <w:lang w:val="es-ES_tradnl"/>
        </w:rPr>
        <w:t xml:space="preserve"> </w:t>
      </w:r>
      <w:r w:rsidRPr="00892E76">
        <w:rPr>
          <w:rFonts w:ascii="Arial" w:eastAsia="Calibri" w:hAnsi="Arial" w:cs="Arial"/>
          <w:color w:val="000000" w:themeColor="text1"/>
          <w:sz w:val="22"/>
          <w:lang w:val="es-ES_tradnl"/>
        </w:rPr>
        <w:t>202</w:t>
      </w:r>
      <w:r w:rsidR="004673A8" w:rsidRPr="00892E76">
        <w:rPr>
          <w:rFonts w:ascii="Arial" w:eastAsia="Calibri" w:hAnsi="Arial" w:cs="Arial"/>
          <w:color w:val="000000" w:themeColor="text1"/>
          <w:sz w:val="22"/>
          <w:lang w:val="es-ES_tradnl"/>
        </w:rPr>
        <w:t>1</w:t>
      </w:r>
      <w:r w:rsidR="008C3C57" w:rsidRPr="00892E76">
        <w:rPr>
          <w:rFonts w:ascii="Arial" w:eastAsia="Calibri" w:hAnsi="Arial" w:cs="Arial"/>
          <w:color w:val="000000" w:themeColor="text1"/>
          <w:sz w:val="22"/>
          <w:lang w:val="es-ES_tradnl"/>
        </w:rPr>
        <w:t>.</w:t>
      </w:r>
    </w:p>
    <w:p w14:paraId="0C1E0712" w14:textId="77777777" w:rsidR="00DD5B04" w:rsidRPr="00892E76"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892E76"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892E76">
        <w:rPr>
          <w:rFonts w:ascii="Arial" w:eastAsia="Calibri" w:hAnsi="Arial" w:cs="Arial"/>
          <w:b/>
          <w:color w:val="000000" w:themeColor="text1"/>
          <w:sz w:val="22"/>
          <w:lang w:val="es-ES_tradnl"/>
        </w:rPr>
        <w:t xml:space="preserve">Problema planteado </w:t>
      </w:r>
    </w:p>
    <w:p w14:paraId="224B43D3" w14:textId="77777777" w:rsidR="00DD5B04" w:rsidRPr="00892E76"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7661B2D" w:rsidR="00443B55" w:rsidRPr="00892E76" w:rsidRDefault="00DD5B04" w:rsidP="0099583D">
      <w:pPr>
        <w:spacing w:line="276" w:lineRule="auto"/>
        <w:jc w:val="both"/>
        <w:rPr>
          <w:rFonts w:ascii="Arial" w:hAnsi="Arial" w:cs="Arial"/>
          <w:color w:val="000000" w:themeColor="text1"/>
          <w:sz w:val="22"/>
          <w:lang w:val="es-ES_tradnl"/>
        </w:rPr>
      </w:pPr>
      <w:r w:rsidRPr="00892E76">
        <w:rPr>
          <w:rFonts w:ascii="Arial" w:hAnsi="Arial" w:cs="Arial"/>
          <w:color w:val="000000" w:themeColor="text1"/>
          <w:sz w:val="22"/>
          <w:lang w:val="es-ES_tradnl"/>
        </w:rPr>
        <w:t xml:space="preserve">Usted </w:t>
      </w:r>
      <w:r w:rsidR="00B422C0" w:rsidRPr="00892E76">
        <w:rPr>
          <w:rFonts w:ascii="Arial" w:hAnsi="Arial" w:cs="Arial"/>
          <w:color w:val="000000" w:themeColor="text1"/>
          <w:sz w:val="22"/>
          <w:lang w:val="es-ES_tradnl"/>
        </w:rPr>
        <w:t>formula</w:t>
      </w:r>
      <w:r w:rsidR="006D46A3" w:rsidRPr="00892E76">
        <w:rPr>
          <w:rFonts w:ascii="Arial" w:hAnsi="Arial" w:cs="Arial"/>
          <w:color w:val="000000" w:themeColor="text1"/>
          <w:sz w:val="22"/>
          <w:lang w:val="es-ES_tradnl"/>
        </w:rPr>
        <w:t xml:space="preserve"> la siguiente </w:t>
      </w:r>
      <w:r w:rsidR="00B46915" w:rsidRPr="00892E76">
        <w:rPr>
          <w:rFonts w:ascii="Arial" w:hAnsi="Arial" w:cs="Arial"/>
          <w:color w:val="000000" w:themeColor="text1"/>
          <w:sz w:val="22"/>
          <w:lang w:val="es-ES_tradnl"/>
        </w:rPr>
        <w:t>consulta</w:t>
      </w:r>
      <w:r w:rsidR="000314BD" w:rsidRPr="00892E76">
        <w:rPr>
          <w:rFonts w:ascii="Arial" w:hAnsi="Arial" w:cs="Arial"/>
          <w:color w:val="000000" w:themeColor="text1"/>
          <w:sz w:val="22"/>
          <w:lang w:val="es-ES_tradnl"/>
        </w:rPr>
        <w:t>:</w:t>
      </w:r>
      <w:r w:rsidR="007E18DF" w:rsidRPr="00892E76">
        <w:rPr>
          <w:rFonts w:ascii="Arial" w:hAnsi="Arial" w:cs="Arial"/>
          <w:color w:val="000000" w:themeColor="text1"/>
          <w:sz w:val="22"/>
          <w:lang w:val="es-ES_tradnl"/>
        </w:rPr>
        <w:t xml:space="preserve"> </w:t>
      </w:r>
    </w:p>
    <w:p w14:paraId="559EE20C" w14:textId="77777777" w:rsidR="00443B55" w:rsidRPr="00892E76" w:rsidRDefault="00443B55" w:rsidP="0099583D">
      <w:pPr>
        <w:spacing w:line="276" w:lineRule="auto"/>
        <w:jc w:val="both"/>
        <w:rPr>
          <w:rFonts w:ascii="Arial" w:hAnsi="Arial" w:cs="Arial"/>
          <w:color w:val="000000" w:themeColor="text1"/>
          <w:sz w:val="22"/>
          <w:lang w:val="es-ES_tradnl"/>
        </w:rPr>
      </w:pPr>
    </w:p>
    <w:p w14:paraId="65366380" w14:textId="77777777" w:rsidR="0072722A" w:rsidRPr="00892E76" w:rsidRDefault="0072722A" w:rsidP="0072722A">
      <w:pPr>
        <w:ind w:left="709" w:right="709"/>
        <w:jc w:val="both"/>
        <w:rPr>
          <w:rFonts w:ascii="Arial" w:eastAsia="Calibri" w:hAnsi="Arial" w:cs="Arial"/>
          <w:color w:val="000000" w:themeColor="text1"/>
          <w:sz w:val="21"/>
          <w:szCs w:val="21"/>
          <w:lang w:val="es-ES_tradnl"/>
        </w:rPr>
      </w:pPr>
      <w:r w:rsidRPr="00892E76">
        <w:rPr>
          <w:rFonts w:ascii="Arial" w:eastAsia="Calibri" w:hAnsi="Arial" w:cs="Arial"/>
          <w:color w:val="000000" w:themeColor="text1"/>
          <w:sz w:val="21"/>
          <w:szCs w:val="21"/>
          <w:lang w:val="es-ES_tradnl"/>
        </w:rPr>
        <w:t>«1. Si una entidad estatal NO establece en el Pliego de Condiciones, mediante qué documento o medio probatorio se acredita el citado numeral y al no existir tarifa legal y, por tanto, libertad probatoria para acreditar el numeral 4) del artículo 35 de la Ley 2069 de 2020, y en razón a que la noma en cita suprimió en su totalidad el articulo 12 de la Ley 1150 de 2007, en entendemos (sic) que en caso de ofertas presentadas por Unión Temporal, debe ser demostrada la condición definida en el numeral 4) del artículo 35 de la Ley 2069 de 2020 por cada una de los integrantes de la Unión Temporal que estén en capacidad de acreditar dicha condición de sus empleados, en especial con cualquiera de los siguientes documentos:</w:t>
      </w:r>
    </w:p>
    <w:p w14:paraId="7294227B" w14:textId="77777777" w:rsidR="0072722A" w:rsidRPr="00892E76" w:rsidRDefault="0072722A" w:rsidP="0072722A">
      <w:pPr>
        <w:ind w:left="709" w:right="709"/>
        <w:jc w:val="both"/>
        <w:rPr>
          <w:rFonts w:ascii="Arial" w:eastAsia="Calibri" w:hAnsi="Arial" w:cs="Arial"/>
          <w:color w:val="000000" w:themeColor="text1"/>
          <w:sz w:val="21"/>
          <w:szCs w:val="21"/>
          <w:lang w:val="es-ES_tradnl"/>
        </w:rPr>
      </w:pPr>
    </w:p>
    <w:p w14:paraId="37FBB8A1" w14:textId="77777777" w:rsidR="0072722A" w:rsidRPr="00892E76" w:rsidRDefault="0072722A" w:rsidP="0072722A">
      <w:pPr>
        <w:pStyle w:val="Prrafodelista"/>
        <w:numPr>
          <w:ilvl w:val="0"/>
          <w:numId w:val="30"/>
        </w:numPr>
        <w:ind w:right="709"/>
        <w:jc w:val="both"/>
        <w:rPr>
          <w:rFonts w:ascii="Arial" w:eastAsia="Calibri" w:hAnsi="Arial" w:cs="Arial"/>
          <w:color w:val="000000" w:themeColor="text1"/>
          <w:sz w:val="21"/>
          <w:szCs w:val="21"/>
          <w:lang w:val="es-ES_tradnl"/>
        </w:rPr>
      </w:pPr>
      <w:r w:rsidRPr="00892E76">
        <w:rPr>
          <w:rFonts w:ascii="Arial" w:eastAsia="Calibri" w:hAnsi="Arial" w:cs="Arial"/>
          <w:color w:val="000000" w:themeColor="text1"/>
          <w:sz w:val="21"/>
          <w:szCs w:val="21"/>
          <w:lang w:val="es-ES_tradnl"/>
        </w:rPr>
        <w:t>»Cédula de ciudadanía de las personas que ostentan tal calidad,</w:t>
      </w:r>
    </w:p>
    <w:p w14:paraId="4EE6BA5A" w14:textId="77777777" w:rsidR="0072722A" w:rsidRPr="00892E76" w:rsidRDefault="0072722A" w:rsidP="0072722A">
      <w:pPr>
        <w:pStyle w:val="Prrafodelista"/>
        <w:numPr>
          <w:ilvl w:val="0"/>
          <w:numId w:val="30"/>
        </w:numPr>
        <w:ind w:right="709"/>
        <w:jc w:val="both"/>
        <w:rPr>
          <w:rFonts w:ascii="Arial" w:eastAsia="Calibri" w:hAnsi="Arial" w:cs="Arial"/>
          <w:color w:val="000000" w:themeColor="text1"/>
          <w:sz w:val="21"/>
          <w:szCs w:val="21"/>
          <w:lang w:val="es-ES_tradnl"/>
        </w:rPr>
      </w:pPr>
      <w:r w:rsidRPr="00892E76">
        <w:rPr>
          <w:rFonts w:ascii="Arial" w:eastAsia="Calibri" w:hAnsi="Arial" w:cs="Arial"/>
          <w:color w:val="000000" w:themeColor="text1"/>
          <w:sz w:val="21"/>
          <w:szCs w:val="21"/>
          <w:lang w:val="es-ES_tradnl"/>
        </w:rPr>
        <w:lastRenderedPageBreak/>
        <w:t>»Certificación firmada por el Revisor Fiscal y/o Representante Legal de la persona jurídica integrante de la Unión Temporal que ostenta tal calidad, indicando el número de personas en esta condición, la vinculación mayor a un año de este personal a la empresa y el número total de la planta de personal y</w:t>
      </w:r>
    </w:p>
    <w:p w14:paraId="0487DB93" w14:textId="77777777" w:rsidR="0072722A" w:rsidRPr="00892E76" w:rsidRDefault="0072722A" w:rsidP="0072722A">
      <w:pPr>
        <w:pStyle w:val="Prrafodelista"/>
        <w:numPr>
          <w:ilvl w:val="0"/>
          <w:numId w:val="30"/>
        </w:numPr>
        <w:ind w:right="709"/>
        <w:jc w:val="both"/>
        <w:rPr>
          <w:rFonts w:ascii="Arial" w:eastAsia="Calibri" w:hAnsi="Arial" w:cs="Arial"/>
          <w:color w:val="000000" w:themeColor="text1"/>
          <w:sz w:val="21"/>
          <w:szCs w:val="21"/>
          <w:lang w:val="es-ES_tradnl"/>
        </w:rPr>
      </w:pPr>
      <w:r w:rsidRPr="00892E76">
        <w:rPr>
          <w:rFonts w:ascii="Arial" w:eastAsia="Calibri" w:hAnsi="Arial" w:cs="Arial"/>
          <w:color w:val="000000" w:themeColor="text1"/>
          <w:sz w:val="21"/>
          <w:szCs w:val="21"/>
          <w:lang w:val="es-ES_tradnl"/>
        </w:rPr>
        <w:t>»Copia de las planillas de pago de las personas que ostentan tal calidad, a fin de demostrar vinculación en la empresa integrante de la Unión Temporal.</w:t>
      </w:r>
    </w:p>
    <w:p w14:paraId="6AFF57D0" w14:textId="77777777" w:rsidR="0072722A" w:rsidRPr="00892E76" w:rsidRDefault="0072722A" w:rsidP="0072722A">
      <w:pPr>
        <w:ind w:left="709" w:right="709"/>
        <w:jc w:val="both"/>
        <w:rPr>
          <w:rFonts w:ascii="Arial" w:eastAsia="Calibri" w:hAnsi="Arial" w:cs="Arial"/>
          <w:color w:val="000000" w:themeColor="text1"/>
          <w:sz w:val="21"/>
          <w:szCs w:val="21"/>
          <w:lang w:val="es-ES_tradnl"/>
        </w:rPr>
      </w:pPr>
    </w:p>
    <w:p w14:paraId="60D8B65B" w14:textId="77777777" w:rsidR="0072722A" w:rsidRPr="00892E76" w:rsidRDefault="0072722A" w:rsidP="0072722A">
      <w:pPr>
        <w:ind w:left="709" w:right="709"/>
        <w:jc w:val="both"/>
        <w:rPr>
          <w:rFonts w:ascii="Arial" w:eastAsia="Calibri" w:hAnsi="Arial" w:cs="Arial"/>
          <w:color w:val="000000" w:themeColor="text1"/>
          <w:sz w:val="21"/>
          <w:szCs w:val="21"/>
          <w:lang w:val="es-ES_tradnl"/>
        </w:rPr>
      </w:pPr>
      <w:r w:rsidRPr="00892E76">
        <w:rPr>
          <w:rFonts w:ascii="Arial" w:eastAsia="Calibri" w:hAnsi="Arial" w:cs="Arial"/>
          <w:color w:val="000000" w:themeColor="text1"/>
          <w:sz w:val="21"/>
          <w:szCs w:val="21"/>
          <w:lang w:val="es-ES_tradnl"/>
        </w:rPr>
        <w:t xml:space="preserve">»2. Teniendo en cuenta que no hay tarifa legal que defina como debe acreditarse la condición dispuesta en el numeral 4) del artículo 35 de la Ley 2069 de 2020, en relación con proponentes plurales, entendemos que en caso de proponentes plurales bastaría con que uno o varios de sus integrantes acredite las condiciones dispuestos en el numeral 4) del artículo 35 de la Ley 2069 de 2020, para ser beneficiario de dicho criterio de desempate, tal y como sucede frente a los criterios de desempate de 10% de la nómina en condición de discapacitados y </w:t>
      </w:r>
      <w:proofErr w:type="spellStart"/>
      <w:r w:rsidRPr="00892E76">
        <w:rPr>
          <w:rFonts w:ascii="Arial" w:eastAsia="Calibri" w:hAnsi="Arial" w:cs="Arial"/>
          <w:color w:val="000000" w:themeColor="text1"/>
          <w:sz w:val="21"/>
          <w:szCs w:val="21"/>
          <w:lang w:val="es-ES_tradnl"/>
        </w:rPr>
        <w:t>Mipymes</w:t>
      </w:r>
      <w:proofErr w:type="spellEnd"/>
      <w:r w:rsidRPr="00892E76">
        <w:rPr>
          <w:rFonts w:ascii="Arial" w:eastAsia="Calibri" w:hAnsi="Arial" w:cs="Arial"/>
          <w:color w:val="000000" w:themeColor="text1"/>
          <w:sz w:val="21"/>
          <w:szCs w:val="21"/>
          <w:lang w:val="es-ES_tradnl"/>
        </w:rPr>
        <w:t>, en donde se permite que como mínimo uno de los integrantes cumpla con dicha condición».</w:t>
      </w:r>
    </w:p>
    <w:p w14:paraId="0EF4AE16" w14:textId="77777777" w:rsidR="00B75972" w:rsidRPr="00892E76" w:rsidRDefault="00B75972" w:rsidP="001266DB">
      <w:pPr>
        <w:ind w:right="709"/>
        <w:jc w:val="both"/>
        <w:rPr>
          <w:rFonts w:ascii="Arial" w:hAnsi="Arial" w:cs="Arial"/>
          <w:color w:val="000000" w:themeColor="text1"/>
          <w:sz w:val="22"/>
          <w:lang w:val="es-ES_tradnl"/>
        </w:rPr>
      </w:pPr>
    </w:p>
    <w:p w14:paraId="124D2DCA" w14:textId="77777777" w:rsidR="00DD5B04" w:rsidRPr="00892E76"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892E76">
        <w:rPr>
          <w:rFonts w:ascii="Arial" w:eastAsia="Calibri" w:hAnsi="Arial" w:cs="Arial"/>
          <w:b/>
          <w:color w:val="000000" w:themeColor="text1"/>
          <w:sz w:val="22"/>
          <w:lang w:val="es-ES_tradnl"/>
        </w:rPr>
        <w:t>Consideraciones</w:t>
      </w:r>
    </w:p>
    <w:p w14:paraId="7D050D2E" w14:textId="4381E36A" w:rsidR="00435703" w:rsidRPr="00892E76" w:rsidRDefault="00435703" w:rsidP="00DF76A2">
      <w:pPr>
        <w:spacing w:line="276" w:lineRule="auto"/>
        <w:jc w:val="both"/>
        <w:rPr>
          <w:rFonts w:ascii="Arial" w:eastAsia="Calibri" w:hAnsi="Arial" w:cs="Arial"/>
          <w:color w:val="000000" w:themeColor="text1"/>
          <w:sz w:val="22"/>
          <w:szCs w:val="22"/>
          <w:lang w:val="es-ES_tradnl"/>
        </w:rPr>
      </w:pPr>
    </w:p>
    <w:p w14:paraId="7BBB1CC4" w14:textId="3414EB86" w:rsidR="009D1D53" w:rsidRPr="00892E76" w:rsidRDefault="009D1D53" w:rsidP="009D1D53">
      <w:pPr>
        <w:spacing w:line="276" w:lineRule="auto"/>
        <w:jc w:val="both"/>
        <w:rPr>
          <w:rFonts w:ascii="Arial" w:eastAsia="Calibri" w:hAnsi="Arial" w:cs="Arial"/>
          <w:color w:val="000000" w:themeColor="text1"/>
          <w:sz w:val="22"/>
          <w:szCs w:val="22"/>
          <w:lang w:val="es-ES_tradnl"/>
        </w:rPr>
      </w:pPr>
      <w:r w:rsidRPr="00892E76">
        <w:rPr>
          <w:rFonts w:ascii="Arial" w:eastAsia="Calibri" w:hAnsi="Arial" w:cs="Arial"/>
          <w:color w:val="000000" w:themeColor="text1"/>
          <w:sz w:val="22"/>
          <w:szCs w:val="22"/>
          <w:lang w:val="es-ES_tradnl"/>
        </w:rPr>
        <w:t xml:space="preserve">La Subdirección de Gestión Contractual responderá </w:t>
      </w:r>
      <w:r w:rsidR="00F917AC" w:rsidRPr="00892E76">
        <w:rPr>
          <w:rFonts w:ascii="Arial" w:eastAsia="Calibri" w:hAnsi="Arial" w:cs="Arial"/>
          <w:color w:val="000000" w:themeColor="text1"/>
          <w:sz w:val="22"/>
          <w:szCs w:val="22"/>
          <w:lang w:val="es-ES_tradnl"/>
        </w:rPr>
        <w:t>los interrogantes planteados en</w:t>
      </w:r>
      <w:r w:rsidR="00FE66E4" w:rsidRPr="00892E76">
        <w:rPr>
          <w:rFonts w:ascii="Arial" w:eastAsia="Calibri" w:hAnsi="Arial" w:cs="Arial"/>
          <w:color w:val="000000" w:themeColor="text1"/>
          <w:sz w:val="22"/>
          <w:szCs w:val="22"/>
          <w:lang w:val="es-ES_tradnl"/>
        </w:rPr>
        <w:t xml:space="preserve"> </w:t>
      </w:r>
      <w:r w:rsidRPr="00892E76">
        <w:rPr>
          <w:rFonts w:ascii="Arial" w:eastAsia="Calibri" w:hAnsi="Arial" w:cs="Arial"/>
          <w:color w:val="000000" w:themeColor="text1"/>
          <w:sz w:val="22"/>
          <w:szCs w:val="22"/>
          <w:lang w:val="es-ES_tradnl"/>
        </w:rPr>
        <w:t>la consulta, luego de analizar los siguientes temas: i) definición de los criterios de desempate en la contratación estatal, ii)</w:t>
      </w:r>
      <w:r w:rsidR="006401D8" w:rsidRPr="00892E76">
        <w:rPr>
          <w:rFonts w:ascii="Arial" w:eastAsia="Calibri" w:hAnsi="Arial" w:cs="Arial"/>
          <w:color w:val="000000" w:themeColor="text1"/>
          <w:sz w:val="22"/>
          <w:szCs w:val="22"/>
          <w:lang w:val="es-ES_tradnl"/>
        </w:rPr>
        <w:t xml:space="preserve"> </w:t>
      </w:r>
      <w:r w:rsidRPr="00892E76">
        <w:rPr>
          <w:rFonts w:ascii="Arial" w:eastAsia="Calibri" w:hAnsi="Arial" w:cs="Arial"/>
          <w:color w:val="000000" w:themeColor="text1"/>
          <w:sz w:val="22"/>
          <w:szCs w:val="22"/>
          <w:lang w:val="es-ES_tradnl"/>
        </w:rPr>
        <w:t>ámbito de aplicación de la Ley 2069 de 2020</w:t>
      </w:r>
      <w:r w:rsidR="006401D8" w:rsidRPr="00892E76">
        <w:rPr>
          <w:rFonts w:ascii="Arial" w:eastAsia="Calibri" w:hAnsi="Arial" w:cs="Arial"/>
          <w:color w:val="000000" w:themeColor="text1"/>
          <w:sz w:val="22"/>
          <w:szCs w:val="22"/>
          <w:lang w:val="es-ES_tradnl"/>
        </w:rPr>
        <w:t xml:space="preserve">, </w:t>
      </w:r>
      <w:r w:rsidRPr="00892E76">
        <w:rPr>
          <w:rFonts w:ascii="Arial" w:eastAsia="Calibri" w:hAnsi="Arial" w:cs="Arial"/>
          <w:color w:val="000000" w:themeColor="text1"/>
          <w:sz w:val="22"/>
          <w:szCs w:val="22"/>
          <w:lang w:val="es-ES_tradnl"/>
        </w:rPr>
        <w:t xml:space="preserve">iii) </w:t>
      </w:r>
      <w:r w:rsidR="00D339D4" w:rsidRPr="00892E76">
        <w:rPr>
          <w:rFonts w:ascii="Arial" w:eastAsia="Calibri" w:hAnsi="Arial" w:cs="Arial"/>
          <w:color w:val="000000" w:themeColor="text1"/>
          <w:sz w:val="22"/>
          <w:szCs w:val="22"/>
          <w:lang w:val="es-ES_tradnl"/>
        </w:rPr>
        <w:t xml:space="preserve">vigencia y </w:t>
      </w:r>
      <w:r w:rsidRPr="00892E76">
        <w:rPr>
          <w:rFonts w:ascii="Arial" w:eastAsia="Calibri" w:hAnsi="Arial" w:cs="Arial"/>
          <w:color w:val="000000" w:themeColor="text1"/>
          <w:sz w:val="22"/>
          <w:szCs w:val="22"/>
          <w:lang w:val="es-ES_tradnl"/>
        </w:rPr>
        <w:t>forma de acreditación de los factores de desempate consagrados en el artículo 35 de la mencionada Ley</w:t>
      </w:r>
      <w:r w:rsidR="00985CE1" w:rsidRPr="00892E76">
        <w:rPr>
          <w:rFonts w:ascii="Arial" w:eastAsia="Calibri" w:hAnsi="Arial" w:cs="Arial"/>
          <w:color w:val="000000" w:themeColor="text1"/>
          <w:sz w:val="22"/>
          <w:szCs w:val="22"/>
          <w:lang w:val="es-ES_tradnl"/>
        </w:rPr>
        <w:t xml:space="preserve">, </w:t>
      </w:r>
      <w:r w:rsidR="003F7191" w:rsidRPr="00892E76">
        <w:rPr>
          <w:rFonts w:ascii="Arial" w:eastAsia="Calibri" w:hAnsi="Arial" w:cs="Arial"/>
          <w:color w:val="000000" w:themeColor="text1"/>
          <w:sz w:val="22"/>
          <w:szCs w:val="22"/>
          <w:lang w:val="es-ES_tradnl"/>
        </w:rPr>
        <w:t>i</w:t>
      </w:r>
      <w:r w:rsidR="00985CE1" w:rsidRPr="00892E76">
        <w:rPr>
          <w:rFonts w:ascii="Arial" w:eastAsia="Calibri" w:hAnsi="Arial" w:cs="Arial"/>
          <w:color w:val="000000" w:themeColor="text1"/>
          <w:sz w:val="22"/>
          <w:szCs w:val="22"/>
          <w:lang w:val="es-ES_tradnl"/>
        </w:rPr>
        <w:t>v)</w:t>
      </w:r>
      <w:r w:rsidR="000F59E8" w:rsidRPr="00892E76">
        <w:rPr>
          <w:rFonts w:ascii="Arial" w:eastAsia="Calibri" w:hAnsi="Arial" w:cs="Arial"/>
          <w:color w:val="000000" w:themeColor="text1"/>
          <w:sz w:val="22"/>
          <w:szCs w:val="22"/>
          <w:lang w:val="es-ES_tradnl"/>
        </w:rPr>
        <w:t xml:space="preserve"> aplicación del factor de desempate previsto en el numeral 4 del artículo 35 de la Ley 2069 de 2020</w:t>
      </w:r>
      <w:r w:rsidR="00F917AC" w:rsidRPr="00892E76">
        <w:rPr>
          <w:rFonts w:ascii="Arial" w:eastAsia="Calibri" w:hAnsi="Arial" w:cs="Arial"/>
          <w:color w:val="000000" w:themeColor="text1"/>
          <w:sz w:val="22"/>
          <w:szCs w:val="22"/>
          <w:lang w:val="es-ES_tradnl"/>
        </w:rPr>
        <w:t>.</w:t>
      </w:r>
    </w:p>
    <w:p w14:paraId="544B9598" w14:textId="0ECB184D" w:rsidR="009D1D53" w:rsidRPr="00892E76" w:rsidRDefault="009D1D53" w:rsidP="009D1D53">
      <w:pPr>
        <w:spacing w:before="120" w:line="276" w:lineRule="auto"/>
        <w:ind w:firstLine="709"/>
        <w:jc w:val="both"/>
        <w:rPr>
          <w:rFonts w:ascii="Arial" w:eastAsia="Calibri" w:hAnsi="Arial" w:cs="Arial"/>
          <w:color w:val="000000" w:themeColor="text1"/>
          <w:sz w:val="22"/>
          <w:szCs w:val="22"/>
          <w:lang w:val="es-ES_tradnl"/>
        </w:rPr>
      </w:pPr>
      <w:r w:rsidRPr="00892E76">
        <w:rPr>
          <w:rFonts w:ascii="Arial" w:eastAsia="Calibri" w:hAnsi="Arial" w:cs="Arial"/>
          <w:color w:val="000000" w:themeColor="text1"/>
          <w:sz w:val="22"/>
          <w:szCs w:val="22"/>
          <w:lang w:val="es-ES_tradnl"/>
        </w:rPr>
        <w:t xml:space="preserve">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 De igual manera, </w:t>
      </w:r>
      <w:r w:rsidR="004064D7" w:rsidRPr="00892E76">
        <w:rPr>
          <w:rFonts w:ascii="Arial" w:eastAsia="Calibri" w:hAnsi="Arial" w:cs="Arial"/>
          <w:color w:val="000000" w:themeColor="text1"/>
          <w:sz w:val="22"/>
          <w:szCs w:val="22"/>
          <w:lang w:val="es-ES_tradnl"/>
        </w:rPr>
        <w:t xml:space="preserve">estudió los factores de desempate del artículo 35 de la Ley 2069 de 2020 </w:t>
      </w:r>
      <w:r w:rsidRPr="00892E76">
        <w:rPr>
          <w:rFonts w:ascii="Arial" w:eastAsia="Calibri" w:hAnsi="Arial" w:cs="Arial"/>
          <w:color w:val="000000" w:themeColor="text1"/>
          <w:sz w:val="22"/>
          <w:szCs w:val="22"/>
          <w:lang w:val="es-ES_tradnl"/>
        </w:rPr>
        <w:t>en los conceptos</w:t>
      </w:r>
      <w:r w:rsidR="004064D7" w:rsidRPr="00892E76">
        <w:rPr>
          <w:rFonts w:ascii="Arial" w:eastAsia="Calibri" w:hAnsi="Arial" w:cs="Arial"/>
          <w:color w:val="000000" w:themeColor="text1"/>
          <w:sz w:val="22"/>
          <w:szCs w:val="22"/>
          <w:lang w:val="es-ES_tradnl"/>
        </w:rPr>
        <w:t>:</w:t>
      </w:r>
      <w:r w:rsidR="00FD6609" w:rsidRPr="00892E76">
        <w:rPr>
          <w:rFonts w:ascii="Arial" w:eastAsia="Calibri" w:hAnsi="Arial" w:cs="Arial"/>
          <w:color w:val="000000" w:themeColor="text1"/>
          <w:sz w:val="22"/>
          <w:szCs w:val="22"/>
          <w:lang w:val="es-ES_tradnl"/>
        </w:rPr>
        <w:t xml:space="preserve">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w:t>
      </w:r>
      <w:r w:rsidR="00FD6609" w:rsidRPr="00892E76">
        <w:rPr>
          <w:rFonts w:ascii="Arial" w:eastAsia="Calibri" w:hAnsi="Arial" w:cs="Arial"/>
          <w:color w:val="000000" w:themeColor="text1"/>
          <w:sz w:val="22"/>
          <w:szCs w:val="22"/>
          <w:lang w:val="es-ES_tradnl"/>
        </w:rPr>
        <w:lastRenderedPageBreak/>
        <w:t>del 10 de mayo de 2021</w:t>
      </w:r>
      <w:r w:rsidR="00DC3FCF" w:rsidRPr="00892E76">
        <w:rPr>
          <w:rFonts w:ascii="Arial" w:eastAsia="Calibri" w:hAnsi="Arial" w:cs="Arial"/>
          <w:color w:val="000000" w:themeColor="text1"/>
          <w:sz w:val="22"/>
          <w:szCs w:val="22"/>
          <w:lang w:val="es-ES_tradnl"/>
        </w:rPr>
        <w:t xml:space="preserve">, </w:t>
      </w:r>
      <w:r w:rsidR="00FD6609" w:rsidRPr="00892E76">
        <w:rPr>
          <w:rFonts w:ascii="Arial" w:eastAsia="Calibri" w:hAnsi="Arial" w:cs="Arial"/>
          <w:color w:val="000000" w:themeColor="text1"/>
          <w:sz w:val="22"/>
          <w:szCs w:val="22"/>
          <w:lang w:val="es-ES_tradnl"/>
        </w:rPr>
        <w:t>C-221 del 18 de mayo de 2021</w:t>
      </w:r>
      <w:r w:rsidR="005508B2" w:rsidRPr="00892E76">
        <w:rPr>
          <w:rFonts w:ascii="Arial" w:eastAsia="Calibri" w:hAnsi="Arial" w:cs="Arial"/>
          <w:color w:val="000000" w:themeColor="text1"/>
          <w:sz w:val="22"/>
          <w:szCs w:val="22"/>
          <w:lang w:val="es-ES_tradnl"/>
        </w:rPr>
        <w:t>,</w:t>
      </w:r>
      <w:r w:rsidR="00DC6A2B" w:rsidRPr="00892E76">
        <w:rPr>
          <w:rFonts w:ascii="Arial" w:eastAsia="Calibri" w:hAnsi="Arial" w:cs="Arial"/>
          <w:color w:val="000000" w:themeColor="text1"/>
          <w:sz w:val="22"/>
          <w:szCs w:val="22"/>
          <w:lang w:val="es-ES_tradnl"/>
        </w:rPr>
        <w:t xml:space="preserve"> </w:t>
      </w:r>
      <w:r w:rsidR="00DC3FCF" w:rsidRPr="00892E76">
        <w:rPr>
          <w:rFonts w:ascii="Arial" w:eastAsia="Calibri" w:hAnsi="Arial" w:cs="Arial"/>
          <w:color w:val="000000" w:themeColor="text1"/>
          <w:sz w:val="22"/>
          <w:szCs w:val="22"/>
          <w:lang w:val="es-ES_tradnl"/>
        </w:rPr>
        <w:t>C-239 del 25 de mayo de 2021</w:t>
      </w:r>
      <w:r w:rsidR="005508B2" w:rsidRPr="00892E76">
        <w:rPr>
          <w:rFonts w:ascii="Arial" w:eastAsia="Calibri" w:hAnsi="Arial" w:cs="Arial"/>
          <w:color w:val="000000" w:themeColor="text1"/>
          <w:sz w:val="22"/>
          <w:szCs w:val="22"/>
          <w:lang w:val="es-ES_tradnl"/>
        </w:rPr>
        <w:t xml:space="preserve"> entre otros</w:t>
      </w:r>
      <w:r w:rsidR="005508B2" w:rsidRPr="00892E76">
        <w:rPr>
          <w:rStyle w:val="Refdenotaalpie"/>
          <w:rFonts w:ascii="Arial" w:eastAsia="Calibri" w:hAnsi="Arial" w:cs="Arial"/>
          <w:color w:val="000000" w:themeColor="text1"/>
          <w:sz w:val="22"/>
          <w:szCs w:val="22"/>
          <w:lang w:val="es-ES_tradnl"/>
        </w:rPr>
        <w:footnoteReference w:id="2"/>
      </w:r>
      <w:r w:rsidR="00DC6A2B" w:rsidRPr="00892E76">
        <w:rPr>
          <w:rFonts w:ascii="Arial" w:eastAsia="Calibri" w:hAnsi="Arial" w:cs="Arial"/>
          <w:color w:val="000000" w:themeColor="text1"/>
          <w:sz w:val="22"/>
          <w:szCs w:val="22"/>
          <w:lang w:val="es-ES_tradnl"/>
        </w:rPr>
        <w:t xml:space="preserve">. </w:t>
      </w:r>
      <w:r w:rsidRPr="00892E76">
        <w:rPr>
          <w:rFonts w:ascii="Arial" w:eastAsia="Calibri" w:hAnsi="Arial" w:cs="Arial"/>
          <w:color w:val="000000" w:themeColor="text1"/>
          <w:sz w:val="22"/>
          <w:szCs w:val="22"/>
          <w:lang w:val="es-ES_tradnl"/>
        </w:rPr>
        <w:t>Algunas de las consideraciones de estos conceptos se reiteran a continuación.</w:t>
      </w:r>
    </w:p>
    <w:p w14:paraId="30BF18FD" w14:textId="5251E127" w:rsidR="00095D3C" w:rsidRPr="00892E76" w:rsidRDefault="00095D3C" w:rsidP="004D1C27">
      <w:pPr>
        <w:spacing w:line="276" w:lineRule="auto"/>
        <w:jc w:val="both"/>
        <w:rPr>
          <w:rFonts w:ascii="Arial" w:eastAsia="Calibri" w:hAnsi="Arial" w:cs="Arial"/>
          <w:b/>
          <w:color w:val="000000" w:themeColor="text1"/>
          <w:sz w:val="22"/>
          <w:lang w:val="es-ES_tradnl"/>
        </w:rPr>
      </w:pPr>
    </w:p>
    <w:p w14:paraId="2C11ECBF" w14:textId="77777777" w:rsidR="0000500B" w:rsidRPr="00892E76" w:rsidRDefault="0000500B" w:rsidP="0000500B">
      <w:pPr>
        <w:spacing w:line="276" w:lineRule="auto"/>
        <w:jc w:val="both"/>
        <w:rPr>
          <w:rFonts w:ascii="Arial" w:eastAsia="Calibri" w:hAnsi="Arial" w:cs="Arial"/>
          <w:b/>
          <w:bCs/>
          <w:color w:val="000000" w:themeColor="text1"/>
          <w:sz w:val="22"/>
          <w:szCs w:val="22"/>
          <w:lang w:val="es-ES_tradnl"/>
        </w:rPr>
      </w:pPr>
      <w:r w:rsidRPr="00892E76">
        <w:rPr>
          <w:rFonts w:ascii="Arial" w:eastAsia="Calibri" w:hAnsi="Arial" w:cs="Arial"/>
          <w:b/>
          <w:bCs/>
          <w:color w:val="000000" w:themeColor="text1"/>
          <w:sz w:val="22"/>
          <w:szCs w:val="22"/>
          <w:lang w:val="es-ES_tradnl"/>
        </w:rPr>
        <w:t>2.1. Factores de desempate en la contratación estatal: concepto y características</w:t>
      </w:r>
    </w:p>
    <w:p w14:paraId="46B41382" w14:textId="77777777" w:rsidR="0000500B" w:rsidRPr="00892E76" w:rsidRDefault="0000500B" w:rsidP="0000500B">
      <w:pPr>
        <w:spacing w:line="276" w:lineRule="auto"/>
        <w:jc w:val="both"/>
        <w:rPr>
          <w:rFonts w:ascii="Arial" w:eastAsia="Calibri" w:hAnsi="Arial" w:cs="Arial"/>
          <w:color w:val="000000" w:themeColor="text1"/>
          <w:sz w:val="22"/>
          <w:szCs w:val="22"/>
          <w:lang w:val="es-ES_tradnl"/>
        </w:rPr>
      </w:pPr>
    </w:p>
    <w:p w14:paraId="055D3DF1" w14:textId="1E1AE0FD" w:rsidR="0000500B" w:rsidRPr="00892E76" w:rsidRDefault="0000500B" w:rsidP="0000500B">
      <w:pPr>
        <w:spacing w:line="276" w:lineRule="auto"/>
        <w:jc w:val="both"/>
        <w:rPr>
          <w:rFonts w:ascii="Arial" w:eastAsia="Calibri" w:hAnsi="Arial" w:cs="Arial"/>
          <w:color w:val="000000" w:themeColor="text1"/>
          <w:sz w:val="22"/>
          <w:szCs w:val="22"/>
          <w:lang w:val="es-ES_tradnl"/>
        </w:rPr>
      </w:pPr>
      <w:r w:rsidRPr="00892E76">
        <w:rPr>
          <w:rFonts w:ascii="Arial" w:eastAsia="Calibri" w:hAnsi="Arial" w:cs="Arial"/>
          <w:color w:val="000000" w:themeColor="text1"/>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651E069D" w14:textId="642DB590" w:rsidR="0000500B" w:rsidRPr="00892E76" w:rsidRDefault="0000500B" w:rsidP="0000500B">
      <w:pPr>
        <w:spacing w:before="120" w:line="276" w:lineRule="auto"/>
        <w:ind w:firstLine="709"/>
        <w:jc w:val="both"/>
        <w:rPr>
          <w:rFonts w:ascii="Arial" w:eastAsia="Calibri" w:hAnsi="Arial" w:cs="Arial"/>
          <w:color w:val="000000" w:themeColor="text1"/>
          <w:sz w:val="22"/>
          <w:szCs w:val="22"/>
          <w:lang w:val="es-ES_tradnl"/>
        </w:rPr>
      </w:pPr>
      <w:r w:rsidRPr="00892E76">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w:t>
      </w:r>
      <w:r w:rsidR="00536902" w:rsidRPr="00892E76">
        <w:rPr>
          <w:rFonts w:ascii="Arial" w:eastAsia="Calibri" w:hAnsi="Arial" w:cs="Arial"/>
          <w:color w:val="000000" w:themeColor="text1"/>
          <w:sz w:val="22"/>
          <w:szCs w:val="22"/>
          <w:lang w:val="es-ES_tradnl"/>
        </w:rPr>
        <w:t xml:space="preserve">materializar </w:t>
      </w:r>
      <w:r w:rsidRPr="00892E76">
        <w:rPr>
          <w:rFonts w:ascii="Arial" w:eastAsia="Calibri" w:hAnsi="Arial" w:cs="Arial"/>
          <w:color w:val="000000" w:themeColor="text1"/>
          <w:sz w:val="22"/>
          <w:szCs w:val="22"/>
          <w:lang w:val="es-ES_tradnl"/>
        </w:rPr>
        <w:t xml:space="preserve">el principio de selección objetiva en la contratación pública. Sin embargo, en algunas ocasiones, así se establezcan requisitos habilitantes y factores de calificación </w:t>
      </w:r>
      <w:r w:rsidR="00047311" w:rsidRPr="00892E76">
        <w:rPr>
          <w:rFonts w:ascii="Arial" w:eastAsia="Calibri" w:hAnsi="Arial" w:cs="Arial"/>
          <w:color w:val="000000" w:themeColor="text1"/>
          <w:sz w:val="22"/>
          <w:szCs w:val="22"/>
          <w:lang w:val="es-ES_tradnl"/>
        </w:rPr>
        <w:t>id</w:t>
      </w:r>
      <w:r w:rsidRPr="00892E76">
        <w:rPr>
          <w:rFonts w:ascii="Arial" w:eastAsia="Calibri" w:hAnsi="Arial" w:cs="Arial"/>
          <w:color w:val="000000" w:themeColor="text1"/>
          <w:sz w:val="22"/>
          <w:szCs w:val="22"/>
          <w:lang w:val="es-ES_tradnl"/>
        </w:rPr>
        <w:t>ó</w:t>
      </w:r>
      <w:r w:rsidR="00047311" w:rsidRPr="00892E76">
        <w:rPr>
          <w:rFonts w:ascii="Arial" w:eastAsia="Calibri" w:hAnsi="Arial" w:cs="Arial"/>
          <w:color w:val="000000" w:themeColor="text1"/>
          <w:sz w:val="22"/>
          <w:szCs w:val="22"/>
          <w:lang w:val="es-ES_tradnl"/>
        </w:rPr>
        <w:t>neos</w:t>
      </w:r>
      <w:r w:rsidRPr="00892E76">
        <w:rPr>
          <w:rFonts w:ascii="Arial" w:eastAsia="Calibri" w:hAnsi="Arial" w:cs="Arial"/>
          <w:color w:val="000000" w:themeColor="text1"/>
          <w:sz w:val="22"/>
          <w:szCs w:val="22"/>
          <w:lang w:val="es-ES_tradnl"/>
        </w:rPr>
        <w:t xml:space="preserve">,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w:t>
      </w:r>
      <w:r w:rsidR="00536902" w:rsidRPr="00892E76">
        <w:rPr>
          <w:rFonts w:ascii="Arial" w:eastAsia="Calibri" w:hAnsi="Arial" w:cs="Arial"/>
          <w:color w:val="000000" w:themeColor="text1"/>
          <w:sz w:val="22"/>
          <w:szCs w:val="22"/>
          <w:lang w:val="es-ES_tradnl"/>
        </w:rPr>
        <w:t>equivalente</w:t>
      </w:r>
      <w:r w:rsidRPr="00892E76">
        <w:rPr>
          <w:rFonts w:ascii="Arial" w:eastAsia="Calibri" w:hAnsi="Arial" w:cs="Arial"/>
          <w:color w:val="000000" w:themeColor="text1"/>
          <w:sz w:val="22"/>
          <w:szCs w:val="22"/>
          <w:lang w:val="es-ES_tradnl"/>
        </w:rPr>
        <w:t xml:space="preserve">, al ponderarse los criterios de calificación que, en principio, aplican al procedimiento de selección. </w:t>
      </w:r>
    </w:p>
    <w:p w14:paraId="50A698A7" w14:textId="77777777" w:rsidR="00B0749C" w:rsidRPr="00892E76" w:rsidRDefault="00B0749C" w:rsidP="00B0749C">
      <w:pPr>
        <w:spacing w:before="120" w:line="276" w:lineRule="auto"/>
        <w:ind w:firstLine="709"/>
        <w:jc w:val="both"/>
        <w:rPr>
          <w:rFonts w:ascii="Arial" w:eastAsia="Calibri" w:hAnsi="Arial" w:cs="Arial"/>
          <w:color w:val="000000" w:themeColor="text1"/>
          <w:sz w:val="22"/>
          <w:szCs w:val="22"/>
          <w:lang w:val="es-ES_tradnl"/>
        </w:rPr>
      </w:pPr>
      <w:r w:rsidRPr="00892E76">
        <w:rPr>
          <w:rFonts w:ascii="Arial" w:eastAsia="Calibri" w:hAnsi="Arial" w:cs="Arial"/>
          <w:color w:val="000000" w:themeColor="text1"/>
          <w:sz w:val="22"/>
          <w:szCs w:val="22"/>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w:t>
      </w:r>
      <w:r w:rsidRPr="00892E76">
        <w:rPr>
          <w:rFonts w:ascii="Arial" w:eastAsia="Calibri" w:hAnsi="Arial" w:cs="Arial"/>
          <w:color w:val="000000" w:themeColor="text1"/>
          <w:sz w:val="22"/>
          <w:szCs w:val="22"/>
          <w:lang w:val="es-ES_tradnl"/>
        </w:rPr>
        <w:lastRenderedPageBreak/>
        <w:t>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w:t>
      </w:r>
      <w:r w:rsidRPr="00892E76">
        <w:rPr>
          <w:rStyle w:val="Refdenotaalpie"/>
          <w:rFonts w:ascii="Arial" w:hAnsi="Arial" w:cs="Arial"/>
          <w:color w:val="000000" w:themeColor="text1"/>
          <w:sz w:val="21"/>
          <w:szCs w:val="21"/>
          <w:lang w:val="es-ES_tradnl"/>
        </w:rPr>
        <w:footnoteReference w:id="3"/>
      </w:r>
      <w:r w:rsidRPr="00892E76">
        <w:rPr>
          <w:rFonts w:ascii="Arial" w:eastAsia="Calibri" w:hAnsi="Arial" w:cs="Arial"/>
          <w:color w:val="000000" w:themeColor="text1"/>
          <w:sz w:val="22"/>
          <w:szCs w:val="22"/>
          <w:lang w:val="es-ES_tradnl"/>
        </w:rPr>
        <w:t xml:space="preserve">. </w:t>
      </w:r>
    </w:p>
    <w:p w14:paraId="223B25B2" w14:textId="77777777" w:rsidR="00B0749C" w:rsidRPr="00892E76" w:rsidRDefault="00B0749C" w:rsidP="00B0749C">
      <w:pPr>
        <w:spacing w:before="120" w:line="276" w:lineRule="auto"/>
        <w:ind w:firstLine="709"/>
        <w:jc w:val="both"/>
        <w:rPr>
          <w:rFonts w:ascii="Arial" w:eastAsia="Calibri" w:hAnsi="Arial" w:cs="Arial"/>
          <w:color w:val="000000" w:themeColor="text1"/>
          <w:sz w:val="22"/>
          <w:szCs w:val="22"/>
          <w:lang w:val="es-ES_tradnl"/>
        </w:rPr>
      </w:pPr>
      <w:r w:rsidRPr="00892E76">
        <w:rPr>
          <w:rFonts w:ascii="Arial" w:eastAsia="Calibri" w:hAnsi="Arial"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892E76">
        <w:rPr>
          <w:rStyle w:val="Refdenotaalpie"/>
          <w:rFonts w:ascii="Arial" w:eastAsia="Calibri" w:hAnsi="Arial" w:cs="Arial"/>
          <w:color w:val="000000" w:themeColor="text1"/>
          <w:sz w:val="22"/>
          <w:szCs w:val="22"/>
          <w:lang w:val="es-ES_tradnl"/>
        </w:rPr>
        <w:footnoteReference w:id="4"/>
      </w:r>
      <w:r w:rsidRPr="00892E76">
        <w:rPr>
          <w:rFonts w:ascii="Arial" w:eastAsia="Calibri" w:hAnsi="Arial" w:cs="Arial"/>
          <w:color w:val="000000" w:themeColor="text1"/>
          <w:sz w:val="22"/>
          <w:szCs w:val="22"/>
          <w:lang w:val="es-ES_tradnl"/>
        </w:rPr>
        <w:t>. Más aún, el Consejo de Estado ha señalado que contrariar los factores de desempate genera la nulidad del contrato, conforme al artículo 44, inciso 1º de la Ley 80 de 1993</w:t>
      </w:r>
      <w:r w:rsidRPr="00892E76">
        <w:rPr>
          <w:rStyle w:val="Refdenotaalpie"/>
          <w:rFonts w:ascii="Arial" w:eastAsia="Calibri" w:hAnsi="Arial" w:cs="Arial"/>
          <w:color w:val="000000" w:themeColor="text1"/>
          <w:sz w:val="22"/>
          <w:szCs w:val="22"/>
          <w:lang w:val="es-ES_tradnl"/>
        </w:rPr>
        <w:footnoteReference w:id="5"/>
      </w:r>
      <w:r w:rsidRPr="00892E76">
        <w:rPr>
          <w:rFonts w:ascii="Arial" w:eastAsia="Calibri" w:hAnsi="Arial" w:cs="Arial"/>
          <w:color w:val="000000" w:themeColor="text1"/>
          <w:sz w:val="22"/>
          <w:szCs w:val="22"/>
          <w:lang w:val="es-ES_tradnl"/>
        </w:rPr>
        <w:t>.</w:t>
      </w:r>
    </w:p>
    <w:p w14:paraId="4CF237CD" w14:textId="77777777" w:rsidR="0000500B" w:rsidRPr="00892E76" w:rsidRDefault="0000500B" w:rsidP="0000500B">
      <w:pPr>
        <w:spacing w:before="120" w:line="276" w:lineRule="auto"/>
        <w:ind w:firstLine="709"/>
        <w:jc w:val="both"/>
        <w:rPr>
          <w:rFonts w:ascii="Arial" w:eastAsia="Calibri" w:hAnsi="Arial" w:cs="Arial"/>
          <w:color w:val="000000" w:themeColor="text1"/>
          <w:sz w:val="22"/>
          <w:szCs w:val="22"/>
          <w:lang w:val="es-ES_tradnl"/>
        </w:rPr>
      </w:pPr>
      <w:r w:rsidRPr="00892E76">
        <w:rPr>
          <w:rFonts w:ascii="Arial" w:eastAsia="Calibri" w:hAnsi="Arial" w:cs="Arial"/>
          <w:color w:val="000000" w:themeColor="text1"/>
          <w:sz w:val="22"/>
          <w:szCs w:val="22"/>
          <w:lang w:val="es-ES_tradnl"/>
        </w:rPr>
        <w:t xml:space="preserve">Ahora bien, en cumplimiento de los principios de reciprocidad y de </w:t>
      </w:r>
      <w:r w:rsidRPr="00892E76">
        <w:rPr>
          <w:rFonts w:ascii="Arial" w:eastAsia="Calibri" w:hAnsi="Arial" w:cs="Arial"/>
          <w:i/>
          <w:iCs/>
          <w:color w:val="000000" w:themeColor="text1"/>
          <w:sz w:val="22"/>
          <w:szCs w:val="22"/>
          <w:lang w:val="es-ES_tradnl"/>
        </w:rPr>
        <w:t xml:space="preserve">pacta </w:t>
      </w:r>
      <w:proofErr w:type="spellStart"/>
      <w:r w:rsidRPr="00892E76">
        <w:rPr>
          <w:rFonts w:ascii="Arial" w:eastAsia="Calibri" w:hAnsi="Arial" w:cs="Arial"/>
          <w:i/>
          <w:iCs/>
          <w:color w:val="000000" w:themeColor="text1"/>
          <w:sz w:val="22"/>
          <w:szCs w:val="22"/>
          <w:lang w:val="es-ES_tradnl"/>
        </w:rPr>
        <w:t>sunt</w:t>
      </w:r>
      <w:proofErr w:type="spellEnd"/>
      <w:r w:rsidRPr="00892E76">
        <w:rPr>
          <w:rFonts w:ascii="Arial" w:eastAsia="Calibri" w:hAnsi="Arial" w:cs="Arial"/>
          <w:i/>
          <w:iCs/>
          <w:color w:val="000000" w:themeColor="text1"/>
          <w:sz w:val="22"/>
          <w:szCs w:val="22"/>
          <w:lang w:val="es-ES_tradnl"/>
        </w:rPr>
        <w:t xml:space="preserve"> </w:t>
      </w:r>
      <w:proofErr w:type="spellStart"/>
      <w:r w:rsidRPr="00892E76">
        <w:rPr>
          <w:rFonts w:ascii="Arial" w:eastAsia="Calibri" w:hAnsi="Arial" w:cs="Arial"/>
          <w:i/>
          <w:iCs/>
          <w:color w:val="000000" w:themeColor="text1"/>
          <w:sz w:val="22"/>
          <w:szCs w:val="22"/>
          <w:lang w:val="es-ES_tradnl"/>
        </w:rPr>
        <w:t>servanda</w:t>
      </w:r>
      <w:proofErr w:type="spellEnd"/>
      <w:r w:rsidRPr="00892E76">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03539568" w14:textId="77777777" w:rsidR="0000500B" w:rsidRPr="00892E76" w:rsidRDefault="0000500B" w:rsidP="0000500B">
      <w:pPr>
        <w:spacing w:line="276" w:lineRule="auto"/>
        <w:rPr>
          <w:rFonts w:ascii="Arial" w:eastAsia="Calibri" w:hAnsi="Arial" w:cs="Arial"/>
          <w:color w:val="000000" w:themeColor="text1"/>
          <w:sz w:val="22"/>
          <w:szCs w:val="22"/>
          <w:lang w:val="es-ES_tradnl"/>
        </w:rPr>
      </w:pPr>
    </w:p>
    <w:p w14:paraId="389779C5" w14:textId="22E24AB8" w:rsidR="0000500B" w:rsidRPr="00892E76" w:rsidRDefault="0000500B" w:rsidP="0000500B">
      <w:pPr>
        <w:spacing w:line="276" w:lineRule="auto"/>
        <w:jc w:val="both"/>
        <w:rPr>
          <w:rFonts w:ascii="Arial" w:eastAsia="Calibri" w:hAnsi="Arial" w:cs="Arial"/>
          <w:b/>
          <w:bCs/>
          <w:color w:val="000000" w:themeColor="text1"/>
          <w:sz w:val="22"/>
          <w:szCs w:val="22"/>
          <w:lang w:val="es-ES_tradnl"/>
        </w:rPr>
      </w:pPr>
      <w:r w:rsidRPr="00892E76">
        <w:rPr>
          <w:rFonts w:ascii="Arial" w:eastAsia="Calibri" w:hAnsi="Arial" w:cs="Arial"/>
          <w:b/>
          <w:bCs/>
          <w:color w:val="000000" w:themeColor="text1"/>
          <w:sz w:val="22"/>
          <w:szCs w:val="22"/>
          <w:lang w:val="es-ES_tradnl"/>
        </w:rPr>
        <w:t xml:space="preserve">2.2. </w:t>
      </w:r>
      <w:r w:rsidR="006401D8" w:rsidRPr="00892E76">
        <w:rPr>
          <w:rFonts w:ascii="Arial" w:eastAsia="Calibri" w:hAnsi="Arial" w:cs="Arial"/>
          <w:b/>
          <w:bCs/>
          <w:color w:val="000000" w:themeColor="text1"/>
          <w:sz w:val="22"/>
          <w:szCs w:val="22"/>
          <w:lang w:val="es-ES_tradnl"/>
        </w:rPr>
        <w:t>Á</w:t>
      </w:r>
      <w:r w:rsidRPr="00892E76">
        <w:rPr>
          <w:rFonts w:ascii="Arial" w:eastAsia="Calibri" w:hAnsi="Arial" w:cs="Arial"/>
          <w:b/>
          <w:bCs/>
          <w:color w:val="000000" w:themeColor="text1"/>
          <w:sz w:val="22"/>
          <w:szCs w:val="22"/>
          <w:lang w:val="es-ES_tradnl"/>
        </w:rPr>
        <w:t>mbito de aplicación de la Ley 2069 de 2020</w:t>
      </w:r>
    </w:p>
    <w:p w14:paraId="26273CE2" w14:textId="77777777" w:rsidR="0000500B" w:rsidRPr="00892E76" w:rsidRDefault="0000500B" w:rsidP="0000500B">
      <w:pPr>
        <w:spacing w:line="276" w:lineRule="auto"/>
        <w:jc w:val="both"/>
        <w:rPr>
          <w:rFonts w:ascii="Arial" w:eastAsia="Calibri" w:hAnsi="Arial" w:cs="Arial"/>
          <w:color w:val="000000" w:themeColor="text1"/>
          <w:sz w:val="22"/>
          <w:szCs w:val="22"/>
          <w:lang w:val="es-ES_tradnl"/>
        </w:rPr>
      </w:pPr>
    </w:p>
    <w:p w14:paraId="4A576B10" w14:textId="7E8F450A" w:rsidR="0000500B" w:rsidRPr="00892E76" w:rsidRDefault="0000500B" w:rsidP="0000500B">
      <w:pPr>
        <w:spacing w:line="276" w:lineRule="auto"/>
        <w:jc w:val="both"/>
        <w:rPr>
          <w:rFonts w:ascii="Arial" w:eastAsia="Calibri" w:hAnsi="Arial" w:cs="Arial"/>
          <w:color w:val="000000" w:themeColor="text1"/>
          <w:sz w:val="22"/>
          <w:szCs w:val="22"/>
          <w:lang w:val="es-ES_tradnl"/>
        </w:rPr>
      </w:pPr>
      <w:r w:rsidRPr="00892E76">
        <w:rPr>
          <w:rFonts w:ascii="Arial" w:eastAsia="Calibri" w:hAnsi="Arial" w:cs="Arial"/>
          <w:color w:val="000000" w:themeColor="text1"/>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16B33129" w14:textId="32D7325B" w:rsidR="0000500B" w:rsidRPr="00892E76" w:rsidRDefault="0000500B" w:rsidP="00F94206">
      <w:pPr>
        <w:spacing w:before="120" w:line="276" w:lineRule="auto"/>
        <w:ind w:firstLine="709"/>
        <w:jc w:val="both"/>
        <w:rPr>
          <w:rFonts w:ascii="Arial" w:eastAsia="Calibri" w:hAnsi="Arial" w:cs="Arial"/>
          <w:color w:val="000000" w:themeColor="text1"/>
          <w:sz w:val="22"/>
          <w:szCs w:val="22"/>
          <w:lang w:val="es-ES_tradnl"/>
        </w:rPr>
      </w:pPr>
      <w:r w:rsidRPr="00892E76">
        <w:rPr>
          <w:rFonts w:ascii="Arial" w:eastAsia="Calibri" w:hAnsi="Arial" w:cs="Arial"/>
          <w:color w:val="000000" w:themeColor="text1"/>
          <w:sz w:val="22"/>
          <w:szCs w:val="22"/>
          <w:lang w:val="es-ES_tradnl"/>
        </w:rPr>
        <w:lastRenderedPageBreak/>
        <w:t>En cuan</w:t>
      </w:r>
      <w:r w:rsidR="00536902" w:rsidRPr="00892E76">
        <w:rPr>
          <w:rFonts w:ascii="Arial" w:eastAsia="Calibri" w:hAnsi="Arial" w:cs="Arial"/>
          <w:color w:val="000000" w:themeColor="text1"/>
          <w:sz w:val="22"/>
          <w:szCs w:val="22"/>
          <w:lang w:val="es-ES_tradnl"/>
        </w:rPr>
        <w:t>t</w:t>
      </w:r>
      <w:r w:rsidRPr="00892E76">
        <w:rPr>
          <w:rFonts w:ascii="Arial" w:eastAsia="Calibri" w:hAnsi="Arial" w:cs="Arial"/>
          <w:color w:val="000000" w:themeColor="text1"/>
          <w:sz w:val="22"/>
          <w:szCs w:val="22"/>
          <w:lang w:val="es-ES_tradnl"/>
        </w:rPr>
        <w:t xml:space="preserve">o </w:t>
      </w:r>
      <w:r w:rsidR="00F94206" w:rsidRPr="00892E76">
        <w:rPr>
          <w:rFonts w:ascii="Arial" w:eastAsia="Calibri" w:hAnsi="Arial" w:cs="Arial"/>
          <w:color w:val="000000" w:themeColor="text1"/>
          <w:sz w:val="22"/>
          <w:szCs w:val="22"/>
          <w:lang w:val="es-ES_tradnl"/>
        </w:rPr>
        <w:t xml:space="preserve">al </w:t>
      </w:r>
      <w:r w:rsidRPr="00892E76">
        <w:rPr>
          <w:rFonts w:ascii="Arial" w:eastAsia="Calibri" w:hAnsi="Arial" w:cs="Arial"/>
          <w:color w:val="000000" w:themeColor="text1"/>
          <w:sz w:val="22"/>
          <w:szCs w:val="22"/>
          <w:lang w:val="es-ES_tradnl"/>
        </w:rPr>
        <w:t>contenido</w:t>
      </w:r>
      <w:r w:rsidR="00F94206" w:rsidRPr="00892E76">
        <w:rPr>
          <w:rFonts w:ascii="Arial" w:eastAsia="Calibri" w:hAnsi="Arial" w:cs="Arial"/>
          <w:color w:val="000000" w:themeColor="text1"/>
          <w:sz w:val="22"/>
          <w:szCs w:val="22"/>
          <w:lang w:val="es-ES_tradnl"/>
        </w:rPr>
        <w:t xml:space="preserve"> de la Ley 2069 de 2020</w:t>
      </w:r>
      <w:r w:rsidRPr="00892E76">
        <w:rPr>
          <w:rFonts w:ascii="Arial" w:eastAsia="Calibri" w:hAnsi="Arial" w:cs="Arial"/>
          <w:color w:val="000000" w:themeColor="text1"/>
          <w:sz w:val="22"/>
          <w:szCs w:val="22"/>
          <w:lang w:val="es-ES_tradnl"/>
        </w:rPr>
        <w:t>,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w:t>
      </w:r>
      <w:proofErr w:type="spellStart"/>
      <w:r w:rsidRPr="00892E76">
        <w:rPr>
          <w:rFonts w:ascii="Arial" w:eastAsia="Calibri" w:hAnsi="Arial" w:cs="Arial"/>
          <w:color w:val="000000" w:themeColor="text1"/>
          <w:sz w:val="22"/>
          <w:szCs w:val="22"/>
          <w:lang w:val="es-ES_tradnl"/>
        </w:rPr>
        <w:t>mipymes</w:t>
      </w:r>
      <w:proofErr w:type="spellEnd"/>
      <w:r w:rsidRPr="00892E76">
        <w:rPr>
          <w:rFonts w:ascii="Arial" w:eastAsia="Calibri" w:hAnsi="Arial" w:cs="Arial"/>
          <w:color w:val="000000" w:themeColor="text1"/>
          <w:sz w:val="22"/>
          <w:szCs w:val="22"/>
          <w:lang w:val="es-ES_tradnl"/>
        </w:rPr>
        <w:t>–, mediante la racionalización y simplificación de los trámites y tarifas</w:t>
      </w:r>
      <w:r w:rsidRPr="00892E76">
        <w:rPr>
          <w:rStyle w:val="Refdenotaalpie"/>
          <w:rFonts w:ascii="Arial" w:eastAsia="Calibri" w:hAnsi="Arial" w:cs="Arial"/>
          <w:color w:val="000000" w:themeColor="text1"/>
          <w:sz w:val="22"/>
          <w:szCs w:val="22"/>
          <w:lang w:val="es-ES_tradnl"/>
        </w:rPr>
        <w:footnoteReference w:id="6"/>
      </w:r>
      <w:r w:rsidRPr="00892E76">
        <w:rPr>
          <w:rFonts w:ascii="Arial" w:eastAsia="Calibri" w:hAnsi="Arial" w:cs="Arial"/>
          <w:color w:val="000000" w:themeColor="text1"/>
          <w:sz w:val="22"/>
          <w:szCs w:val="22"/>
          <w:lang w:val="es-ES_tradnl"/>
        </w:rPr>
        <w:t>, así como incentivos a favor de aquellas dentro del sistema de compras y contratación pública</w:t>
      </w:r>
      <w:r w:rsidRPr="00892E76">
        <w:rPr>
          <w:rStyle w:val="Refdenotaalpie"/>
          <w:rFonts w:ascii="Arial" w:eastAsia="Calibri" w:hAnsi="Arial" w:cs="Arial"/>
          <w:color w:val="000000" w:themeColor="text1"/>
          <w:sz w:val="22"/>
          <w:szCs w:val="22"/>
          <w:lang w:val="es-ES_tradnl"/>
        </w:rPr>
        <w:footnoteReference w:id="7"/>
      </w:r>
      <w:r w:rsidRPr="00892E76">
        <w:rPr>
          <w:rFonts w:ascii="Arial" w:eastAsia="Calibri" w:hAnsi="Arial" w:cs="Arial"/>
          <w:color w:val="000000" w:themeColor="text1"/>
          <w:sz w:val="22"/>
          <w:szCs w:val="22"/>
          <w:lang w:val="es-ES_tradnl"/>
        </w:rPr>
        <w:t>. También se consagran mecanismos de acceso al financiamiento</w:t>
      </w:r>
      <w:r w:rsidRPr="00892E76">
        <w:rPr>
          <w:rStyle w:val="Refdenotaalpie"/>
          <w:rFonts w:ascii="Arial" w:eastAsia="Calibri" w:hAnsi="Arial" w:cs="Arial"/>
          <w:color w:val="000000" w:themeColor="text1"/>
          <w:sz w:val="22"/>
          <w:szCs w:val="22"/>
          <w:lang w:val="es-ES_tradnl"/>
        </w:rPr>
        <w:footnoteReference w:id="8"/>
      </w:r>
      <w:r w:rsidRPr="00892E76">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892E76">
        <w:rPr>
          <w:rStyle w:val="Refdenotaalpie"/>
          <w:rFonts w:ascii="Arial" w:eastAsia="Calibri" w:hAnsi="Arial" w:cs="Arial"/>
          <w:color w:val="000000" w:themeColor="text1"/>
          <w:sz w:val="22"/>
          <w:szCs w:val="22"/>
          <w:lang w:val="es-ES_tradnl"/>
        </w:rPr>
        <w:footnoteReference w:id="9"/>
      </w:r>
      <w:r w:rsidRPr="00892E76">
        <w:rPr>
          <w:rFonts w:ascii="Arial" w:eastAsia="Calibri" w:hAnsi="Arial" w:cs="Arial"/>
          <w:color w:val="000000" w:themeColor="text1"/>
          <w:sz w:val="22"/>
          <w:szCs w:val="22"/>
          <w:lang w:val="es-ES_tradnl"/>
        </w:rPr>
        <w:t xml:space="preserve"> y se prevén medidas de educación para el emprendimiento y la innovación</w:t>
      </w:r>
      <w:r w:rsidRPr="00892E76">
        <w:rPr>
          <w:rStyle w:val="Refdenotaalpie"/>
          <w:rFonts w:ascii="Arial" w:eastAsia="Calibri" w:hAnsi="Arial" w:cs="Arial"/>
          <w:color w:val="000000" w:themeColor="text1"/>
          <w:sz w:val="22"/>
          <w:szCs w:val="22"/>
          <w:lang w:val="es-ES_tradnl"/>
        </w:rPr>
        <w:footnoteReference w:id="10"/>
      </w:r>
      <w:r w:rsidRPr="00892E76">
        <w:rPr>
          <w:rFonts w:ascii="Arial" w:eastAsia="Calibri" w:hAnsi="Arial" w:cs="Arial"/>
          <w:color w:val="000000" w:themeColor="text1"/>
          <w:sz w:val="22"/>
          <w:szCs w:val="22"/>
          <w:lang w:val="es-ES_tradnl"/>
        </w:rPr>
        <w:t>.</w:t>
      </w:r>
    </w:p>
    <w:p w14:paraId="7371BE65" w14:textId="6713ED8E" w:rsidR="0000500B" w:rsidRPr="00892E76" w:rsidRDefault="0000500B" w:rsidP="0000500B">
      <w:pPr>
        <w:spacing w:before="120" w:line="276" w:lineRule="auto"/>
        <w:ind w:firstLine="709"/>
        <w:jc w:val="both"/>
        <w:rPr>
          <w:rFonts w:ascii="Arial" w:eastAsia="Calibri" w:hAnsi="Arial" w:cs="Arial"/>
          <w:color w:val="000000" w:themeColor="text1"/>
          <w:sz w:val="22"/>
          <w:szCs w:val="22"/>
          <w:lang w:val="es-ES_tradnl"/>
        </w:rPr>
      </w:pPr>
      <w:r w:rsidRPr="00892E76">
        <w:rPr>
          <w:rFonts w:ascii="Arial" w:eastAsia="Calibri" w:hAnsi="Arial" w:cs="Arial"/>
          <w:color w:val="000000" w:themeColor="text1"/>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892E76">
        <w:rPr>
          <w:rFonts w:ascii="Arial" w:eastAsia="Calibri" w:hAnsi="Arial" w:cs="Arial"/>
          <w:color w:val="000000" w:themeColor="text1"/>
          <w:sz w:val="22"/>
          <w:szCs w:val="22"/>
          <w:lang w:val="es-ES_tradnl"/>
        </w:rPr>
        <w:t>mipymes</w:t>
      </w:r>
      <w:proofErr w:type="spellEnd"/>
      <w:r w:rsidRPr="00892E76">
        <w:rPr>
          <w:rFonts w:ascii="Arial" w:eastAsia="Calibri" w:hAnsi="Arial" w:cs="Arial"/>
          <w:color w:val="000000" w:themeColor="text1"/>
          <w:sz w:val="22"/>
          <w:szCs w:val="22"/>
          <w:lang w:val="es-ES_tradnl"/>
        </w:rPr>
        <w:t xml:space="preserve"> en el procedimiento de mínima cuantía, ii) criterios diferenciales para </w:t>
      </w:r>
      <w:proofErr w:type="spellStart"/>
      <w:r w:rsidRPr="00892E76">
        <w:rPr>
          <w:rFonts w:ascii="Arial" w:eastAsia="Calibri" w:hAnsi="Arial" w:cs="Arial"/>
          <w:color w:val="000000" w:themeColor="text1"/>
          <w:sz w:val="22"/>
          <w:szCs w:val="22"/>
          <w:lang w:val="es-ES_tradnl"/>
        </w:rPr>
        <w:t>mipymes</w:t>
      </w:r>
      <w:proofErr w:type="spellEnd"/>
      <w:r w:rsidRPr="00892E76">
        <w:rPr>
          <w:rFonts w:ascii="Arial" w:eastAsia="Calibri" w:hAnsi="Arial" w:cs="Arial"/>
          <w:color w:val="000000" w:themeColor="text1"/>
          <w:sz w:val="22"/>
          <w:szCs w:val="22"/>
          <w:lang w:val="es-ES_tradnl"/>
        </w:rPr>
        <w:t xml:space="preserve"> en el sistema de compras públicas, iii) criterios diferenciales para emprendimientos y empresas de mujeres en el sistema de compras públicas, iv) promoción del acceso de las </w:t>
      </w:r>
      <w:proofErr w:type="spellStart"/>
      <w:r w:rsidRPr="00892E76">
        <w:rPr>
          <w:rFonts w:ascii="Arial" w:eastAsia="Calibri" w:hAnsi="Arial" w:cs="Arial"/>
          <w:color w:val="000000" w:themeColor="text1"/>
          <w:sz w:val="22"/>
          <w:szCs w:val="22"/>
          <w:lang w:val="es-ES_tradnl"/>
        </w:rPr>
        <w:t>mipymes</w:t>
      </w:r>
      <w:proofErr w:type="spellEnd"/>
      <w:r w:rsidRPr="00892E76">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w:t>
      </w:r>
      <w:r w:rsidR="0088321E" w:rsidRPr="00892E76">
        <w:rPr>
          <w:rFonts w:ascii="Arial" w:eastAsia="Calibri" w:hAnsi="Arial" w:cs="Arial"/>
          <w:color w:val="000000" w:themeColor="text1"/>
          <w:sz w:val="22"/>
          <w:szCs w:val="22"/>
          <w:lang w:val="es-ES_tradnl"/>
        </w:rPr>
        <w:t>continuación,</w:t>
      </w:r>
      <w:r w:rsidRPr="00892E76">
        <w:rPr>
          <w:rFonts w:ascii="Arial" w:eastAsia="Calibri" w:hAnsi="Arial" w:cs="Arial"/>
          <w:color w:val="000000" w:themeColor="text1"/>
          <w:sz w:val="22"/>
          <w:szCs w:val="22"/>
          <w:lang w:val="es-ES_tradnl"/>
        </w:rPr>
        <w:t xml:space="preserve"> se estudiará el contenido y alcance de dicha norma.  </w:t>
      </w:r>
    </w:p>
    <w:p w14:paraId="6DA213FC" w14:textId="77777777" w:rsidR="0000500B" w:rsidRPr="00892E76" w:rsidRDefault="0000500B" w:rsidP="0000500B">
      <w:pPr>
        <w:spacing w:line="276" w:lineRule="auto"/>
        <w:jc w:val="both"/>
        <w:rPr>
          <w:rFonts w:ascii="Arial" w:eastAsia="Calibri" w:hAnsi="Arial" w:cs="Arial"/>
          <w:color w:val="000000" w:themeColor="text1"/>
          <w:sz w:val="22"/>
          <w:szCs w:val="22"/>
          <w:lang w:val="es-ES_tradnl"/>
        </w:rPr>
      </w:pPr>
    </w:p>
    <w:p w14:paraId="2B848175" w14:textId="00D811E8" w:rsidR="00473A2E" w:rsidRPr="00892E76" w:rsidRDefault="00473A2E" w:rsidP="00473A2E">
      <w:pPr>
        <w:spacing w:line="276" w:lineRule="auto"/>
        <w:jc w:val="both"/>
        <w:rPr>
          <w:rFonts w:ascii="Arial" w:eastAsia="Calibri" w:hAnsi="Arial" w:cs="Arial"/>
          <w:b/>
          <w:bCs/>
          <w:color w:val="000000" w:themeColor="text1"/>
          <w:sz w:val="22"/>
          <w:szCs w:val="22"/>
          <w:lang w:val="es-ES_tradnl"/>
        </w:rPr>
      </w:pPr>
      <w:r w:rsidRPr="00892E76">
        <w:rPr>
          <w:rFonts w:ascii="Arial" w:eastAsia="Calibri" w:hAnsi="Arial" w:cs="Arial"/>
          <w:b/>
          <w:bCs/>
          <w:color w:val="000000" w:themeColor="text1"/>
          <w:sz w:val="22"/>
          <w:szCs w:val="22"/>
          <w:lang w:val="es-ES_tradnl"/>
        </w:rPr>
        <w:t xml:space="preserve">2.3. </w:t>
      </w:r>
      <w:r w:rsidR="009E02D9" w:rsidRPr="00892E76">
        <w:rPr>
          <w:rFonts w:ascii="Arial" w:eastAsia="Calibri" w:hAnsi="Arial" w:cs="Arial"/>
          <w:b/>
          <w:bCs/>
          <w:color w:val="000000" w:themeColor="text1"/>
          <w:sz w:val="22"/>
          <w:szCs w:val="22"/>
          <w:lang w:val="es-ES_tradnl"/>
        </w:rPr>
        <w:t>Vigencia y f</w:t>
      </w:r>
      <w:r w:rsidRPr="00892E76">
        <w:rPr>
          <w:rFonts w:ascii="Arial" w:eastAsia="Calibri" w:hAnsi="Arial" w:cs="Arial"/>
          <w:b/>
          <w:bCs/>
          <w:color w:val="000000" w:themeColor="text1"/>
          <w:sz w:val="22"/>
          <w:szCs w:val="22"/>
          <w:lang w:val="es-ES_tradnl"/>
        </w:rPr>
        <w:t>orma de acreditación de los factores de desempate consagrados en el artículo 35 de la Ley 2069 de 2020</w:t>
      </w:r>
    </w:p>
    <w:p w14:paraId="15672F50" w14:textId="77777777" w:rsidR="00473A2E" w:rsidRPr="00892E76" w:rsidRDefault="00473A2E" w:rsidP="00473A2E">
      <w:pPr>
        <w:spacing w:line="276" w:lineRule="auto"/>
        <w:jc w:val="both"/>
        <w:rPr>
          <w:rFonts w:ascii="Arial" w:eastAsia="Calibri" w:hAnsi="Arial" w:cs="Arial"/>
          <w:color w:val="000000" w:themeColor="text1"/>
          <w:sz w:val="22"/>
          <w:szCs w:val="22"/>
          <w:lang w:val="es-ES_tradnl"/>
        </w:rPr>
      </w:pPr>
    </w:p>
    <w:p w14:paraId="328EC051" w14:textId="6815A44C" w:rsidR="00473A2E" w:rsidRPr="00892E76" w:rsidRDefault="00473A2E" w:rsidP="00473A2E">
      <w:pPr>
        <w:spacing w:line="276" w:lineRule="auto"/>
        <w:jc w:val="both"/>
        <w:rPr>
          <w:rFonts w:ascii="Arial" w:eastAsia="Calibri" w:hAnsi="Arial" w:cs="Arial"/>
          <w:color w:val="000000" w:themeColor="text1"/>
          <w:sz w:val="22"/>
          <w:szCs w:val="22"/>
          <w:lang w:val="es-ES_tradnl"/>
        </w:rPr>
      </w:pPr>
      <w:r w:rsidRPr="00892E76">
        <w:rPr>
          <w:rFonts w:ascii="Arial" w:eastAsia="Calibri" w:hAnsi="Arial" w:cs="Arial"/>
          <w:color w:val="000000" w:themeColor="text1"/>
          <w:sz w:val="22"/>
          <w:szCs w:val="22"/>
          <w:lang w:val="es-ES_tradnl"/>
        </w:rPr>
        <w:t xml:space="preserve">El artículo 35 de la Ley 2069 de 2020 modifica la regulación de los factores de desempate en la contratación estatal. En consideración a que en la consulta se solicita que la Agencia Nacional de Contratación Pública – Colombia Compra Eficiente efectúe ciertas precisiones </w:t>
      </w:r>
      <w:r w:rsidRPr="00892E76">
        <w:rPr>
          <w:rFonts w:ascii="Arial" w:eastAsia="Calibri" w:hAnsi="Arial" w:cs="Arial"/>
          <w:color w:val="000000" w:themeColor="text1"/>
          <w:sz w:val="22"/>
          <w:szCs w:val="22"/>
          <w:lang w:val="es-ES_tradnl"/>
        </w:rPr>
        <w:lastRenderedPageBreak/>
        <w:t xml:space="preserve">hermenéuticas sobre </w:t>
      </w:r>
      <w:r w:rsidR="00D512A1" w:rsidRPr="00892E76">
        <w:rPr>
          <w:rFonts w:ascii="Arial" w:eastAsia="Calibri" w:hAnsi="Arial" w:cs="Arial"/>
          <w:color w:val="000000" w:themeColor="text1"/>
          <w:sz w:val="22"/>
          <w:szCs w:val="22"/>
          <w:lang w:val="es-ES_tradnl"/>
        </w:rPr>
        <w:t xml:space="preserve">algunos apartes normativos </w:t>
      </w:r>
      <w:r w:rsidR="00775DEC" w:rsidRPr="00892E76">
        <w:rPr>
          <w:rFonts w:ascii="Arial" w:eastAsia="Calibri" w:hAnsi="Arial" w:cs="Arial"/>
          <w:color w:val="000000" w:themeColor="text1"/>
          <w:sz w:val="22"/>
          <w:szCs w:val="22"/>
          <w:lang w:val="es-ES_tradnl"/>
        </w:rPr>
        <w:t xml:space="preserve">de </w:t>
      </w:r>
      <w:r w:rsidRPr="00892E76">
        <w:rPr>
          <w:rFonts w:ascii="Arial" w:eastAsia="Calibri" w:hAnsi="Arial" w:cs="Arial"/>
          <w:color w:val="000000" w:themeColor="text1"/>
          <w:sz w:val="22"/>
          <w:szCs w:val="22"/>
          <w:lang w:val="es-ES_tradnl"/>
        </w:rPr>
        <w:t>dicho artículo, la Subdirección de Gestión Contractual se pronunciará sobre el alcance que otorga a tales disposiciones, sin pasar por alto la novedad de la Ley 2069 de 2020 –dada su reciente entrada en vigencia– y la ausencia de pronunciamientos jurisprudenciales o estudios doctrinarios sobre el tema, que seguramente contribuirán a decantar la interpretación de las normas en comento.</w:t>
      </w:r>
    </w:p>
    <w:p w14:paraId="2974BC5E" w14:textId="77777777" w:rsidR="00473A2E" w:rsidRPr="00892E76"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892E76">
        <w:rPr>
          <w:rFonts w:ascii="Arial" w:eastAsia="Calibri" w:hAnsi="Arial" w:cs="Arial"/>
          <w:color w:val="000000" w:themeColor="text1"/>
          <w:sz w:val="22"/>
          <w:szCs w:val="22"/>
          <w:lang w:val="es-ES_tradnl"/>
        </w:rPr>
        <w:t xml:space="preserve">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7E6B2CEC" w14:textId="77777777" w:rsidR="00473A2E" w:rsidRPr="00892E76"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892E76">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w:t>
      </w:r>
      <w:proofErr w:type="spellStart"/>
      <w:r w:rsidRPr="00892E76">
        <w:rPr>
          <w:rFonts w:ascii="Arial" w:eastAsia="Calibri" w:hAnsi="Arial" w:cs="Arial"/>
          <w:color w:val="000000" w:themeColor="text1"/>
          <w:sz w:val="22"/>
          <w:szCs w:val="22"/>
          <w:lang w:val="es-ES_tradnl"/>
        </w:rPr>
        <w:t>mipymes</w:t>
      </w:r>
      <w:proofErr w:type="spellEnd"/>
      <w:r w:rsidRPr="00892E76">
        <w:rPr>
          <w:rFonts w:ascii="Arial" w:eastAsia="Calibri" w:hAnsi="Arial" w:cs="Arial"/>
          <w:color w:val="000000" w:themeColor="text1"/>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892E76">
        <w:rPr>
          <w:rFonts w:ascii="Arial" w:eastAsia="Calibri" w:hAnsi="Arial" w:cs="Arial"/>
          <w:color w:val="000000" w:themeColor="text1"/>
          <w:sz w:val="22"/>
          <w:szCs w:val="22"/>
          <w:lang w:val="es-ES_tradnl"/>
        </w:rPr>
        <w:t>Mipymes</w:t>
      </w:r>
      <w:proofErr w:type="spellEnd"/>
      <w:r w:rsidRPr="00892E76">
        <w:rPr>
          <w:rFonts w:ascii="Arial" w:eastAsia="Calibri" w:hAnsi="Arial" w:cs="Arial"/>
          <w:color w:val="000000" w:themeColor="text1"/>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70A76493" w14:textId="028D5567" w:rsidR="00473A2E" w:rsidRPr="00892E76"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892E76">
        <w:rPr>
          <w:rFonts w:ascii="Arial" w:eastAsia="Calibri" w:hAnsi="Arial" w:cs="Arial"/>
          <w:color w:val="000000" w:themeColor="text1"/>
          <w:sz w:val="22"/>
          <w:szCs w:val="22"/>
          <w:lang w:val="es-ES_tradnl"/>
        </w:rPr>
        <w:t>Así mismo, el artículo 31, en el segundo inciso, determina que «El Gobierno Nacional reglamentará la definición de los criterios diferenciales, sobre reglas objetivas que podrán implementar las Entidades Estatales». De</w:t>
      </w:r>
      <w:r w:rsidR="0018107C" w:rsidRPr="00892E76">
        <w:rPr>
          <w:rFonts w:ascii="Arial" w:eastAsia="Calibri" w:hAnsi="Arial" w:cs="Arial"/>
          <w:color w:val="000000" w:themeColor="text1"/>
          <w:sz w:val="22"/>
          <w:szCs w:val="22"/>
          <w:lang w:val="es-ES_tradnl"/>
        </w:rPr>
        <w:t xml:space="preserve"> igual forma</w:t>
      </w:r>
      <w:r w:rsidRPr="00892E76">
        <w:rPr>
          <w:rFonts w:ascii="Arial" w:eastAsia="Calibri" w:hAnsi="Arial" w:cs="Arial"/>
          <w:color w:val="000000" w:themeColor="text1"/>
          <w:sz w:val="22"/>
          <w:szCs w:val="22"/>
          <w:lang w:val="es-ES_tradnl"/>
        </w:rPr>
        <w:t>,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60CA4B91" w14:textId="77777777" w:rsidR="00473A2E" w:rsidRPr="00892E76"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892E76">
        <w:rPr>
          <w:rFonts w:ascii="Arial" w:eastAsia="Calibri" w:hAnsi="Arial" w:cs="Arial"/>
          <w:color w:val="000000" w:themeColor="text1"/>
          <w:sz w:val="22"/>
          <w:szCs w:val="22"/>
          <w:lang w:val="es-ES_tradnl"/>
        </w:rPr>
        <w:t xml:space="preserve">Lo mismo no sucede con el artículo 35. En efecto, </w:t>
      </w:r>
      <w:r w:rsidRPr="00892E76">
        <w:rPr>
          <w:rFonts w:ascii="Arial" w:hAnsi="Arial" w:cs="Arial"/>
          <w:color w:val="000000" w:themeColor="text1"/>
          <w:sz w:val="22"/>
          <w:szCs w:val="22"/>
          <w:lang w:val="es-ES_tradnl"/>
        </w:rPr>
        <w:t>si bien los factores de desempate regulados en el artículo 35 deben aplicarse «</w:t>
      </w:r>
      <w:r w:rsidRPr="00892E76">
        <w:rPr>
          <w:rFonts w:ascii="Arial" w:hAnsi="Arial" w:cs="Arial"/>
          <w:color w:val="000000" w:themeColor="text1"/>
          <w:lang w:val="es-ES_tradnl"/>
        </w:rPr>
        <w:t xml:space="preserve">[…] </w:t>
      </w:r>
      <w:r w:rsidRPr="00892E76">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w:t>
      </w:r>
      <w:r w:rsidRPr="00892E76">
        <w:rPr>
          <w:rFonts w:ascii="Arial" w:hAnsi="Arial" w:cs="Arial"/>
          <w:color w:val="000000" w:themeColor="text1"/>
          <w:sz w:val="22"/>
          <w:szCs w:val="22"/>
          <w:lang w:val="es-ES_tradnl"/>
        </w:rPr>
        <w:lastRenderedPageBreak/>
        <w:t xml:space="preserve">nacional para definir factores que permitan desempatar las ofertas en aquellos casos en que varios oferentes reúnan al tiempo dos o más de los factores previstos en el artículo 35. </w:t>
      </w:r>
      <w:r w:rsidRPr="00892E76">
        <w:rPr>
          <w:rFonts w:ascii="Arial" w:eastAsia="Calibri" w:hAnsi="Arial" w:cs="Arial"/>
          <w:color w:val="000000" w:themeColor="text1"/>
          <w:sz w:val="22"/>
          <w:szCs w:val="22"/>
          <w:lang w:val="es-ES_tradnl"/>
        </w:rPr>
        <w:t xml:space="preserve">  </w:t>
      </w:r>
    </w:p>
    <w:p w14:paraId="4BC1F6BB" w14:textId="4EA51E06" w:rsidR="00473A2E" w:rsidRPr="00892E76"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892E76">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892E76">
        <w:rPr>
          <w:rFonts w:ascii="Arial" w:eastAsia="Calibri" w:hAnsi="Arial" w:cs="Arial"/>
          <w:i/>
          <w:iCs/>
          <w:color w:val="000000" w:themeColor="text1"/>
          <w:sz w:val="22"/>
          <w:szCs w:val="22"/>
          <w:lang w:val="es-ES_tradnl"/>
        </w:rPr>
        <w:t>podrá reglamentar</w:t>
      </w:r>
      <w:r w:rsidRPr="00892E76">
        <w:rPr>
          <w:rFonts w:ascii="Arial" w:eastAsia="Calibri" w:hAnsi="Arial" w:cs="Arial"/>
          <w:color w:val="000000" w:themeColor="text1"/>
          <w:sz w:val="22"/>
          <w:szCs w:val="22"/>
          <w:lang w:val="es-ES_tradnl"/>
        </w:rPr>
        <w:t xml:space="preserve"> la aplicación de factores de desempate en casos en que concurran dos o más de los factores aquí previstos» (</w:t>
      </w:r>
      <w:r w:rsidR="005010EC" w:rsidRPr="00892E76">
        <w:rPr>
          <w:rFonts w:ascii="Arial" w:eastAsia="Calibri" w:hAnsi="Arial" w:cs="Arial"/>
          <w:color w:val="000000" w:themeColor="text1"/>
          <w:sz w:val="22"/>
          <w:szCs w:val="22"/>
          <w:lang w:val="es-ES_tradnl"/>
        </w:rPr>
        <w:t>é</w:t>
      </w:r>
      <w:r w:rsidRPr="00892E76">
        <w:rPr>
          <w:rFonts w:ascii="Arial" w:eastAsia="Calibri" w:hAnsi="Arial" w:cs="Arial"/>
          <w:color w:val="000000" w:themeColor="text1"/>
          <w:sz w:val="22"/>
          <w:szCs w:val="22"/>
          <w:lang w:val="es-ES_tradnl"/>
        </w:rPr>
        <w:t>nfasis fuera de texto).</w:t>
      </w:r>
    </w:p>
    <w:p w14:paraId="6B2343D7" w14:textId="55FDE2A2" w:rsidR="00473A2E" w:rsidRPr="00892E76" w:rsidRDefault="00473A2E" w:rsidP="00473A2E">
      <w:pPr>
        <w:spacing w:before="120" w:line="276" w:lineRule="auto"/>
        <w:ind w:firstLine="709"/>
        <w:jc w:val="both"/>
        <w:rPr>
          <w:rFonts w:ascii="Arial" w:eastAsia="Calibri" w:hAnsi="Arial" w:cs="Arial"/>
          <w:color w:val="000000" w:themeColor="text1"/>
          <w:sz w:val="22"/>
          <w:szCs w:val="22"/>
          <w:lang w:val="es-ES_tradnl"/>
        </w:rPr>
      </w:pPr>
      <w:r w:rsidRPr="00892E76">
        <w:rPr>
          <w:rFonts w:ascii="Arial" w:eastAsia="Calibri" w:hAnsi="Arial" w:cs="Arial"/>
          <w:color w:val="000000" w:themeColor="text1"/>
          <w:sz w:val="22"/>
          <w:szCs w:val="22"/>
          <w:lang w:val="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6BB099B2" w14:textId="34EC4B41" w:rsidR="00820E59" w:rsidRPr="00892E76" w:rsidRDefault="00820E59" w:rsidP="004D1C27">
      <w:pPr>
        <w:spacing w:line="276" w:lineRule="auto"/>
        <w:jc w:val="both"/>
        <w:rPr>
          <w:rFonts w:ascii="Arial" w:hAnsi="Arial" w:cs="Arial"/>
          <w:color w:val="000000" w:themeColor="text1"/>
          <w:sz w:val="22"/>
          <w:szCs w:val="22"/>
          <w:lang w:val="es-ES_tradnl"/>
        </w:rPr>
      </w:pPr>
    </w:p>
    <w:p w14:paraId="680FDEFE" w14:textId="1EC5E771" w:rsidR="00271CD3" w:rsidRPr="00892E76" w:rsidRDefault="00271CD3" w:rsidP="004D1C27">
      <w:pPr>
        <w:spacing w:line="276" w:lineRule="auto"/>
        <w:jc w:val="both"/>
        <w:rPr>
          <w:rFonts w:ascii="Arial" w:hAnsi="Arial" w:cs="Arial"/>
          <w:b/>
          <w:bCs/>
          <w:color w:val="000000" w:themeColor="text1"/>
          <w:sz w:val="22"/>
          <w:szCs w:val="22"/>
          <w:lang w:val="es-ES_tradnl"/>
        </w:rPr>
      </w:pPr>
      <w:r w:rsidRPr="00892E76">
        <w:rPr>
          <w:rFonts w:ascii="Arial" w:hAnsi="Arial" w:cs="Arial"/>
          <w:b/>
          <w:bCs/>
          <w:color w:val="000000" w:themeColor="text1"/>
          <w:sz w:val="22"/>
          <w:szCs w:val="22"/>
          <w:lang w:val="es-ES_tradnl"/>
        </w:rPr>
        <w:t xml:space="preserve">2.4. Análisis del factor de desempate </w:t>
      </w:r>
      <w:r w:rsidR="0097072C" w:rsidRPr="00892E76">
        <w:rPr>
          <w:rFonts w:ascii="Arial" w:hAnsi="Arial" w:cs="Arial"/>
          <w:b/>
          <w:bCs/>
          <w:color w:val="000000" w:themeColor="text1"/>
          <w:sz w:val="22"/>
          <w:szCs w:val="22"/>
          <w:lang w:val="es-ES_tradnl"/>
        </w:rPr>
        <w:t xml:space="preserve">del artículo 35, numeral 4, de la Ley 2069 de 2020: </w:t>
      </w:r>
      <w:r w:rsidR="00E14A47" w:rsidRPr="00892E76">
        <w:rPr>
          <w:rFonts w:ascii="Arial" w:hAnsi="Arial" w:cs="Arial"/>
          <w:b/>
          <w:bCs/>
          <w:color w:val="000000" w:themeColor="text1"/>
          <w:sz w:val="22"/>
          <w:szCs w:val="22"/>
          <w:lang w:val="es-ES_tradnl"/>
        </w:rPr>
        <w:t>vinculación de personas mayores</w:t>
      </w:r>
      <w:r w:rsidR="002612D5" w:rsidRPr="00892E76">
        <w:rPr>
          <w:rFonts w:ascii="Arial" w:hAnsi="Arial" w:cs="Arial"/>
          <w:b/>
          <w:bCs/>
          <w:color w:val="000000" w:themeColor="text1"/>
          <w:sz w:val="22"/>
          <w:szCs w:val="22"/>
          <w:lang w:val="es-ES_tradnl"/>
        </w:rPr>
        <w:t xml:space="preserve"> no beneficiarias de pensión de vejez, familiar o de sobrevivencia</w:t>
      </w:r>
    </w:p>
    <w:p w14:paraId="7CD94905" w14:textId="77777777" w:rsidR="00E14A47" w:rsidRPr="00892E76" w:rsidRDefault="00E14A47" w:rsidP="00E14A47">
      <w:pPr>
        <w:spacing w:line="276" w:lineRule="auto"/>
        <w:jc w:val="both"/>
        <w:rPr>
          <w:rFonts w:ascii="Arial" w:eastAsia="Calibri" w:hAnsi="Arial" w:cs="Arial"/>
          <w:color w:val="000000" w:themeColor="text1"/>
          <w:sz w:val="22"/>
          <w:lang w:val="es-ES_tradnl"/>
        </w:rPr>
      </w:pPr>
    </w:p>
    <w:p w14:paraId="09B0D843" w14:textId="388309D3" w:rsidR="00271CD3" w:rsidRPr="00892E76" w:rsidRDefault="000916DD" w:rsidP="00E14A47">
      <w:pPr>
        <w:spacing w:line="276" w:lineRule="auto"/>
        <w:jc w:val="both"/>
        <w:rPr>
          <w:rFonts w:ascii="Arial" w:eastAsia="Calibri" w:hAnsi="Arial" w:cs="Arial"/>
          <w:color w:val="000000" w:themeColor="text1"/>
          <w:sz w:val="22"/>
          <w:lang w:val="es-ES_tradnl"/>
        </w:rPr>
      </w:pPr>
      <w:r w:rsidRPr="00892E76">
        <w:rPr>
          <w:rFonts w:ascii="Arial" w:eastAsia="Calibri" w:hAnsi="Arial" w:cs="Arial"/>
          <w:color w:val="000000" w:themeColor="text1"/>
          <w:sz w:val="22"/>
          <w:lang w:val="es-ES_tradnl"/>
        </w:rPr>
        <w:t>En relación con el</w:t>
      </w:r>
      <w:r w:rsidR="00271CD3" w:rsidRPr="00892E76">
        <w:rPr>
          <w:rFonts w:ascii="Arial" w:eastAsia="Calibri" w:hAnsi="Arial" w:cs="Arial"/>
          <w:color w:val="000000" w:themeColor="text1"/>
          <w:sz w:val="22"/>
          <w:lang w:val="es-ES_tradnl"/>
        </w:rPr>
        <w:t xml:space="preserve"> numeral 4 del artículo 35 de la Ley 2069 de 2020</w:t>
      </w:r>
      <w:r w:rsidR="00271CD3" w:rsidRPr="00892E76">
        <w:rPr>
          <w:rStyle w:val="Refdenotaalpie"/>
          <w:rFonts w:ascii="Arial" w:eastAsia="Calibri" w:hAnsi="Arial" w:cs="Arial"/>
          <w:color w:val="000000" w:themeColor="text1"/>
          <w:sz w:val="22"/>
          <w:lang w:val="es-ES_tradnl"/>
        </w:rPr>
        <w:footnoteReference w:id="11"/>
      </w:r>
      <w:r w:rsidR="00271CD3" w:rsidRPr="00892E76">
        <w:rPr>
          <w:rFonts w:ascii="Arial" w:eastAsia="Calibri" w:hAnsi="Arial" w:cs="Arial"/>
          <w:color w:val="000000" w:themeColor="text1"/>
          <w:sz w:val="22"/>
          <w:lang w:val="es-ES_tradnl"/>
        </w:rPr>
        <w:t xml:space="preserve"> –que es aquel por el cual se indaga en la consulta–, </w:t>
      </w:r>
      <w:r w:rsidR="002612D5" w:rsidRPr="00892E76">
        <w:rPr>
          <w:rFonts w:ascii="Arial" w:eastAsia="Calibri" w:hAnsi="Arial" w:cs="Arial"/>
          <w:color w:val="000000" w:themeColor="text1"/>
          <w:sz w:val="22"/>
          <w:lang w:val="es-ES_tradnl"/>
        </w:rPr>
        <w:t xml:space="preserve">esta Agencia, </w:t>
      </w:r>
      <w:r w:rsidR="00271CD3" w:rsidRPr="00892E76">
        <w:rPr>
          <w:rFonts w:ascii="Arial" w:eastAsia="Calibri" w:hAnsi="Arial" w:cs="Arial"/>
          <w:color w:val="000000" w:themeColor="text1"/>
          <w:sz w:val="22"/>
          <w:lang w:val="es-ES_tradnl"/>
        </w:rPr>
        <w:t>en los conceptos</w:t>
      </w:r>
      <w:r w:rsidR="002612D5" w:rsidRPr="00892E76">
        <w:rPr>
          <w:rFonts w:ascii="Arial" w:eastAsia="Calibri" w:hAnsi="Arial" w:cs="Arial"/>
          <w:color w:val="000000" w:themeColor="text1"/>
          <w:sz w:val="22"/>
          <w:lang w:val="es-ES_tradnl"/>
        </w:rPr>
        <w:t xml:space="preserve"> a los que se hizo referencia al inicio,</w:t>
      </w:r>
      <w:r w:rsidR="00271CD3" w:rsidRPr="00892E76">
        <w:rPr>
          <w:rFonts w:ascii="Arial" w:eastAsia="Calibri" w:hAnsi="Arial" w:cs="Arial"/>
          <w:color w:val="000000" w:themeColor="text1"/>
          <w:sz w:val="22"/>
          <w:lang w:val="es-ES_tradnl"/>
        </w:rPr>
        <w:t xml:space="preserve"> ha indicado que</w:t>
      </w:r>
      <w:bookmarkStart w:id="2" w:name="_Hlk62459524"/>
      <w:r w:rsidR="00271CD3" w:rsidRPr="00892E76">
        <w:rPr>
          <w:rFonts w:ascii="Arial" w:eastAsia="Calibri" w:hAnsi="Arial" w:cs="Arial"/>
          <w:color w:val="000000" w:themeColor="text1"/>
          <w:sz w:val="22"/>
          <w:lang w:val="es-ES_tradnl"/>
        </w:rPr>
        <w:t xml:space="preserve"> dicho numeral no establece un medio específico para acreditar las circunstancias a las que se refiere. Por lo tanto, al igual que sucede con los demás numerales, corresponde a la entidad contratante analizar si el ordenamiento jurídico, en otras disposiciones legales o reglamentarias, exige un documento especial o si, por el </w:t>
      </w:r>
      <w:r w:rsidR="00271CD3" w:rsidRPr="00892E76">
        <w:rPr>
          <w:rFonts w:ascii="Arial" w:eastAsia="Calibri" w:hAnsi="Arial" w:cs="Arial"/>
          <w:color w:val="000000" w:themeColor="text1"/>
          <w:sz w:val="22"/>
          <w:lang w:val="es-ES_tradnl"/>
        </w:rPr>
        <w:lastRenderedPageBreak/>
        <w:t>contrario, hay libertad 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bookmarkEnd w:id="2"/>
    <w:p w14:paraId="606534C4" w14:textId="77777777" w:rsidR="00271CD3" w:rsidRPr="00892E76" w:rsidRDefault="00271CD3" w:rsidP="00271CD3">
      <w:pPr>
        <w:spacing w:before="120" w:line="276" w:lineRule="auto"/>
        <w:ind w:firstLine="709"/>
        <w:jc w:val="both"/>
        <w:rPr>
          <w:rFonts w:ascii="Arial" w:eastAsia="Calibri" w:hAnsi="Arial" w:cs="Arial"/>
          <w:color w:val="000000" w:themeColor="text1"/>
          <w:sz w:val="22"/>
          <w:lang w:val="es-ES_tradnl"/>
        </w:rPr>
      </w:pPr>
      <w:r w:rsidRPr="00892E76">
        <w:rPr>
          <w:rFonts w:ascii="Arial" w:eastAsia="Calibri" w:hAnsi="Arial" w:cs="Arial"/>
          <w:color w:val="000000" w:themeColor="text1"/>
          <w:sz w:val="22"/>
          <w:lang w:val="es-ES_tradnl"/>
        </w:rPr>
        <w:t>En relación con lo previsto en el numeral 4 del artículo en comento, cuando el legislador alude al concepto de «personas mayores» que no sean beneficiarias de la pensión de vejez, familiar o de sobrevivencia y que hayan cumplido la edad para obtenerla, una posible interpretación es entender que la norma se refiere al «adulto mayor». Este concepto lo define el artículo 3 de la Ley 1251 de 2008 –«Por la cual se dictan normas tendientes a procurar la protección, promoción y defensa de los derechos de los adultos mayores»– como «[…] aquella persona que cuenta con sesenta (60) años de edad o más», lo cual se puede acreditar con el documento de identidad correspondiente. En todo caso, sin perjuicio de lo que defina el reglamento, también existe la posibilidad de entender que esta causal aplica a todas las personas que –en el rango de edad correspondiente a cada género– no han alcanzado la pensión, interpretación que está mas ajustada al principio de favorabilidad.</w:t>
      </w:r>
    </w:p>
    <w:p w14:paraId="25A62669" w14:textId="77777777" w:rsidR="00271CD3" w:rsidRPr="00892E76" w:rsidRDefault="00271CD3" w:rsidP="00271CD3">
      <w:pPr>
        <w:spacing w:before="120" w:line="276" w:lineRule="auto"/>
        <w:ind w:firstLine="709"/>
        <w:jc w:val="both"/>
        <w:rPr>
          <w:rFonts w:ascii="Arial" w:hAnsi="Arial" w:cs="Arial"/>
          <w:color w:val="000000" w:themeColor="text1"/>
          <w:sz w:val="22"/>
          <w:lang w:val="es-ES_tradnl"/>
        </w:rPr>
      </w:pPr>
      <w:r w:rsidRPr="00892E76">
        <w:rPr>
          <w:rFonts w:ascii="Arial" w:hAnsi="Arial" w:cs="Arial"/>
          <w:color w:val="000000" w:themeColor="text1"/>
          <w:sz w:val="22"/>
          <w:lang w:val="es-ES_tradnl"/>
        </w:rPr>
        <w:t>El numeral dice que en dicho evento la regla de desempate se aplica a favor del «[…] oferente que acredite la vinculación en mayor proporción de personas mayores que no sean beneficiarios de la pensión de vejez, familiar o de sobrevivencia y que hayan cumplido el requisito de edad de pensión establecido en la Ley». De este modo, cuando la norma se refiere a la «mayor proporción» alude al número de personas vinculadas por el oferente y que además reúnan la condición de ser mayores y que «no sean beneficiarios de la pensión de vejez, familiar o de sobrevivencia y que hayan cumplido el requisito de edad de pensión establecido en la Ley». El reglamento podría establecer un método diferente, por ejemplo, definiendo porcentajes, pero hasta ahora esto no ha sucedido.</w:t>
      </w:r>
    </w:p>
    <w:p w14:paraId="721C5080" w14:textId="77777777" w:rsidR="00271CD3" w:rsidRPr="00892E76" w:rsidRDefault="00271CD3" w:rsidP="00271CD3">
      <w:pPr>
        <w:spacing w:before="120" w:line="276" w:lineRule="auto"/>
        <w:ind w:firstLine="709"/>
        <w:jc w:val="both"/>
        <w:rPr>
          <w:rFonts w:ascii="Arial" w:hAnsi="Arial" w:cs="Arial"/>
          <w:color w:val="000000" w:themeColor="text1"/>
          <w:sz w:val="22"/>
          <w:lang w:val="es-ES_tradnl"/>
        </w:rPr>
      </w:pPr>
      <w:r w:rsidRPr="00892E76">
        <w:rPr>
          <w:rFonts w:ascii="Arial" w:hAnsi="Arial" w:cs="Arial"/>
          <w:color w:val="000000" w:themeColor="text1"/>
          <w:sz w:val="22"/>
          <w:lang w:val="es-ES_tradnl"/>
        </w:rPr>
        <w:t xml:space="preserve">Teniendo en cuenta que el numeral no distingue tipos de oferente, dicho criterio de desempate se debe aplicar también a proponentes plurales. En este caso el proponente plural debe acreditar la proporción de personas mayores vinculadas a aquel y que además «no sean beneficiarios de la pensión de vejez, familiar o de sobrevivencia y que hayan cumplido el requisito de edad de pensión establecido en la Ley», para beneficiarse del factor de desempate. La norma guarda silencio sobre la acreditación de la condición que da lugar al factor de desempate. Por tanto, esta Agencia considera que, sin perjuicio de que el reglamento que expida el gobierno nacional determine un medio de acreditación especial, </w:t>
      </w:r>
      <w:r w:rsidRPr="00892E76">
        <w:rPr>
          <w:rFonts w:ascii="Arial" w:hAnsi="Arial" w:cs="Arial"/>
          <w:color w:val="000000" w:themeColor="text1"/>
          <w:sz w:val="22"/>
          <w:lang w:val="es-ES_tradnl"/>
        </w:rPr>
        <w:lastRenderedPageBreak/>
        <w:t>existe libertad probatoria sobre el tema. En consecuencia, la entidad contratante puede determinar en el pliego de condiciones o documento equivalente cuál será el medio para evidenciar la vinculación de las personas mayores por parte del oferente.</w:t>
      </w:r>
    </w:p>
    <w:p w14:paraId="43492DD8" w14:textId="77777777" w:rsidR="00271CD3" w:rsidRPr="00892E76" w:rsidRDefault="00271CD3" w:rsidP="00271CD3">
      <w:pPr>
        <w:spacing w:before="120" w:line="276" w:lineRule="auto"/>
        <w:ind w:firstLine="709"/>
        <w:jc w:val="both"/>
        <w:rPr>
          <w:rFonts w:ascii="Arial" w:hAnsi="Arial" w:cs="Arial"/>
          <w:color w:val="000000" w:themeColor="text1"/>
          <w:sz w:val="22"/>
          <w:lang w:val="es-ES_tradnl"/>
        </w:rPr>
      </w:pPr>
      <w:r w:rsidRPr="00892E76">
        <w:rPr>
          <w:rFonts w:ascii="Arial" w:hAnsi="Arial" w:cs="Arial"/>
          <w:color w:val="000000" w:themeColor="text1"/>
          <w:sz w:val="22"/>
          <w:lang w:val="es-ES_tradnl"/>
        </w:rPr>
        <w:t xml:space="preserve">Como lo indicó la Agencia en el concepto </w:t>
      </w:r>
      <w:r w:rsidRPr="00892E76">
        <w:rPr>
          <w:rFonts w:ascii="Arial" w:eastAsia="Calibri" w:hAnsi="Arial" w:cs="Arial"/>
          <w:color w:val="000000" w:themeColor="text1"/>
          <w:sz w:val="22"/>
          <w:lang w:val="es-ES_tradnl"/>
        </w:rPr>
        <w:t xml:space="preserve">C-206 del 03 de mayo de 2021, </w:t>
      </w:r>
      <w:r w:rsidRPr="00892E76">
        <w:rPr>
          <w:rFonts w:ascii="Arial" w:hAnsi="Arial" w:cs="Arial"/>
          <w:color w:val="000000" w:themeColor="text1"/>
          <w:sz w:val="22"/>
          <w:lang w:val="es-ES_tradnl"/>
        </w:rPr>
        <w:t xml:space="preserve">el numeral 4 del artículo 35 de la Ley 2069 de 2020 exige que la vinculación de personas mayores sea de carácter laboral –es decir, a través de un contrato de trabajo–, por lo cual Colombia Compra Eficiente considera que, en principio y salvo que el decreto reglamentario proferido por el gobierno nacional disponga lo contrario, resultaría inadmisible la vinculación de dichas personas a través de otros tipos contractuales, como, por ejemplo, el contrato de prestación de servicios. Para estos efectos, la palabra «vinculación» debe entenderse en concordancia con el parágrafo 2 de la norma en comento, el cual dispone que «Para los criterios enunciados que involucren la </w:t>
      </w:r>
      <w:r w:rsidRPr="00892E76">
        <w:rPr>
          <w:rFonts w:ascii="Arial" w:hAnsi="Arial" w:cs="Arial"/>
          <w:i/>
          <w:iCs/>
          <w:color w:val="000000" w:themeColor="text1"/>
          <w:sz w:val="22"/>
          <w:lang w:val="es-ES_tradnl"/>
        </w:rPr>
        <w:t>vinculación de capital humano</w:t>
      </w:r>
      <w:r w:rsidRPr="00892E76">
        <w:rPr>
          <w:rFonts w:ascii="Arial" w:hAnsi="Arial" w:cs="Arial"/>
          <w:color w:val="000000" w:themeColor="text1"/>
          <w:sz w:val="22"/>
          <w:lang w:val="es-ES_tradnl"/>
        </w:rPr>
        <w:t xml:space="preserve">, el oferente deberá acreditar una antigüedad igual o mayor a un año. Para los casos de constitución inferior a un año </w:t>
      </w:r>
      <w:r w:rsidRPr="00892E76">
        <w:rPr>
          <w:rFonts w:ascii="Arial" w:hAnsi="Arial" w:cs="Arial"/>
          <w:i/>
          <w:iCs/>
          <w:color w:val="000000" w:themeColor="text1"/>
          <w:sz w:val="22"/>
          <w:lang w:val="es-ES_tradnl"/>
        </w:rPr>
        <w:t>se tendrá en cuenta a aquellos trabajadores</w:t>
      </w:r>
      <w:r w:rsidRPr="00892E76">
        <w:rPr>
          <w:rFonts w:ascii="Arial" w:hAnsi="Arial" w:cs="Arial"/>
          <w:color w:val="000000" w:themeColor="text1"/>
          <w:sz w:val="22"/>
          <w:lang w:val="es-ES_tradnl"/>
        </w:rPr>
        <w:t xml:space="preserve"> que hayan estado vinculados desde el momento de constitución de la misma» (Énfasis fuera de texto). Como se observa, la norma se refiere a la vinculación de trabajadores, lo cual excluye la posibilidad de acreditar el factor de desempate con prestadores de servicios.  </w:t>
      </w:r>
    </w:p>
    <w:p w14:paraId="69708E4F" w14:textId="77777777" w:rsidR="00271CD3" w:rsidRPr="00892E76" w:rsidRDefault="00271CD3" w:rsidP="00271CD3">
      <w:pPr>
        <w:spacing w:before="120" w:line="276" w:lineRule="auto"/>
        <w:ind w:firstLine="709"/>
        <w:jc w:val="both"/>
        <w:rPr>
          <w:rFonts w:ascii="Arial" w:hAnsi="Arial" w:cs="Arial"/>
          <w:color w:val="000000" w:themeColor="text1"/>
          <w:sz w:val="22"/>
          <w:lang w:val="es-ES_tradnl"/>
        </w:rPr>
      </w:pPr>
      <w:r w:rsidRPr="00892E76">
        <w:rPr>
          <w:rFonts w:ascii="Arial" w:hAnsi="Arial" w:cs="Arial"/>
          <w:color w:val="000000" w:themeColor="text1"/>
          <w:sz w:val="22"/>
          <w:lang w:val="es-ES_tradnl"/>
        </w:rPr>
        <w:t>Por otra parte, el parágrafo segundo del artículo 35 de la Ley 2069 de 2020 no efectúa distinción alguna acerca de la modalidad de vinculación laboral. Solo exige que el capital humano esté vinculado laboralmente al oferente con una antigüedad igual o mayor a un año, salvo que la constitución del oferente sea inferior a un año, pues en este caso los trabajadores deben estar vinculados desde dicha constitución. Esto aplica incluso en el evento en el cual se haya presentado la sustitución de empleadores.</w:t>
      </w:r>
    </w:p>
    <w:p w14:paraId="1E105A8C" w14:textId="77777777" w:rsidR="00271CD3" w:rsidRPr="00892E76" w:rsidRDefault="00271CD3" w:rsidP="00271CD3">
      <w:pPr>
        <w:spacing w:before="120" w:line="276" w:lineRule="auto"/>
        <w:ind w:firstLine="709"/>
        <w:jc w:val="both"/>
        <w:rPr>
          <w:rFonts w:ascii="Arial" w:hAnsi="Arial" w:cs="Arial"/>
          <w:color w:val="000000" w:themeColor="text1"/>
          <w:sz w:val="22"/>
          <w:lang w:val="es-ES_tradnl"/>
        </w:rPr>
      </w:pPr>
      <w:r w:rsidRPr="00892E76">
        <w:rPr>
          <w:rFonts w:ascii="Arial" w:hAnsi="Arial" w:cs="Arial"/>
          <w:color w:val="000000" w:themeColor="text1"/>
          <w:sz w:val="22"/>
          <w:lang w:val="es-ES_tradnl"/>
        </w:rPr>
        <w:t>La anterior figura se define en el artículo 67 del Código Sustantivo del Trabajo como «todo cambio de un empleador por otro, por cualquier causa, siempre que subsista la identidad del establecimiento, es decir, en cuanto éste no sufra variaciones esenciales en el giro de sus actividades o negocios».  Es decir que este fenómeno opera cuando lo que cambia es el empleador, pero el giro ordinario de la empresa se mantiene. En tal sentido, el artículo 68 del mismo Código señala que «La sola sustitución de empleadores no extingue, suspende ni modifica los contratos de trabajo existentes». Así lo indicó recientemente la Sala de Casación Laboral de la Corte Suprema de Justicia:</w:t>
      </w:r>
    </w:p>
    <w:p w14:paraId="746E6B46" w14:textId="77777777" w:rsidR="00271CD3" w:rsidRPr="00892E76" w:rsidRDefault="00271CD3" w:rsidP="00271CD3">
      <w:pPr>
        <w:ind w:left="709" w:right="709"/>
        <w:jc w:val="both"/>
        <w:rPr>
          <w:rFonts w:ascii="Arial" w:hAnsi="Arial" w:cs="Arial"/>
          <w:color w:val="000000" w:themeColor="text1"/>
          <w:sz w:val="21"/>
          <w:szCs w:val="21"/>
          <w:lang w:val="es-ES_tradnl"/>
        </w:rPr>
      </w:pPr>
    </w:p>
    <w:p w14:paraId="4B164208" w14:textId="77777777" w:rsidR="00271CD3" w:rsidRPr="00892E76" w:rsidRDefault="00271CD3" w:rsidP="00271CD3">
      <w:pPr>
        <w:ind w:left="709" w:right="709"/>
        <w:jc w:val="both"/>
        <w:rPr>
          <w:rFonts w:ascii="Arial" w:hAnsi="Arial" w:cs="Arial"/>
          <w:color w:val="000000" w:themeColor="text1"/>
          <w:sz w:val="21"/>
          <w:szCs w:val="21"/>
          <w:lang w:val="es-ES_tradnl"/>
        </w:rPr>
      </w:pPr>
      <w:r w:rsidRPr="00892E76">
        <w:rPr>
          <w:rFonts w:ascii="Arial" w:hAnsi="Arial" w:cs="Arial"/>
          <w:color w:val="000000" w:themeColor="text1"/>
          <w:sz w:val="21"/>
          <w:szCs w:val="21"/>
          <w:lang w:val="es-ES_tradnl"/>
        </w:rPr>
        <w:t>De acuerdo con este precepto, la sustitución de empleadores se configura cuando existe un cambio en la titularidad de la empresa, independientemente de cuál sea el negocio jurídico subyacente, y siempre que esta operación implique la continuidad de las actividades empresariales.</w:t>
      </w:r>
    </w:p>
    <w:p w14:paraId="2FF0126F" w14:textId="77777777" w:rsidR="00271CD3" w:rsidRPr="00892E76" w:rsidRDefault="00271CD3" w:rsidP="00271CD3">
      <w:pPr>
        <w:ind w:left="709" w:right="709"/>
        <w:jc w:val="both"/>
        <w:rPr>
          <w:rFonts w:ascii="Arial" w:hAnsi="Arial" w:cs="Arial"/>
          <w:color w:val="000000" w:themeColor="text1"/>
          <w:sz w:val="21"/>
          <w:szCs w:val="21"/>
          <w:lang w:val="es-ES_tradnl"/>
        </w:rPr>
      </w:pPr>
    </w:p>
    <w:p w14:paraId="28000AE3" w14:textId="77777777" w:rsidR="00271CD3" w:rsidRPr="00892E76" w:rsidRDefault="00271CD3" w:rsidP="00271CD3">
      <w:pPr>
        <w:ind w:left="709" w:right="709"/>
        <w:jc w:val="both"/>
        <w:rPr>
          <w:rFonts w:ascii="Arial" w:hAnsi="Arial" w:cs="Arial"/>
          <w:color w:val="000000" w:themeColor="text1"/>
          <w:sz w:val="21"/>
          <w:szCs w:val="21"/>
          <w:lang w:val="es-ES_tradnl"/>
        </w:rPr>
      </w:pPr>
      <w:r w:rsidRPr="00892E76">
        <w:rPr>
          <w:rFonts w:ascii="Arial" w:hAnsi="Arial" w:cs="Arial"/>
          <w:color w:val="000000" w:themeColor="text1"/>
          <w:sz w:val="21"/>
          <w:szCs w:val="21"/>
          <w:lang w:val="es-ES_tradnl"/>
        </w:rPr>
        <w:t xml:space="preserve">Por tanto, el cambio de titularidad de la empresa (sale un titular y entra otro respecto del mismo negocio), también conocido como sucesión de empresa (un empresario sucede a otro en la misma empresa) o transmisión de empresa (el </w:t>
      </w:r>
      <w:r w:rsidRPr="00892E76">
        <w:rPr>
          <w:rFonts w:ascii="Arial" w:hAnsi="Arial" w:cs="Arial"/>
          <w:color w:val="000000" w:themeColor="text1"/>
          <w:sz w:val="21"/>
          <w:szCs w:val="21"/>
          <w:lang w:val="es-ES_tradnl"/>
        </w:rPr>
        <w:lastRenderedPageBreak/>
        <w:t>titular anterior de la empresa la vende o traspasa a un nuevo titular) es un elemento ineludible para que la figura de marras se configure.</w:t>
      </w:r>
    </w:p>
    <w:p w14:paraId="24AE62C9" w14:textId="77777777" w:rsidR="00271CD3" w:rsidRPr="00892E76" w:rsidRDefault="00271CD3" w:rsidP="00271CD3">
      <w:pPr>
        <w:ind w:left="709" w:right="709"/>
        <w:jc w:val="both"/>
        <w:rPr>
          <w:rFonts w:ascii="Arial" w:hAnsi="Arial" w:cs="Arial"/>
          <w:color w:val="000000" w:themeColor="text1"/>
          <w:sz w:val="21"/>
          <w:szCs w:val="21"/>
          <w:lang w:val="es-ES_tradnl"/>
        </w:rPr>
      </w:pPr>
    </w:p>
    <w:p w14:paraId="511074F6" w14:textId="77777777" w:rsidR="00271CD3" w:rsidRPr="00892E76" w:rsidRDefault="00271CD3" w:rsidP="00271CD3">
      <w:pPr>
        <w:ind w:left="709" w:right="709"/>
        <w:jc w:val="both"/>
        <w:rPr>
          <w:rFonts w:ascii="Arial" w:hAnsi="Arial" w:cs="Arial"/>
          <w:color w:val="000000" w:themeColor="text1"/>
          <w:sz w:val="21"/>
          <w:szCs w:val="21"/>
          <w:lang w:val="es-ES_tradnl"/>
        </w:rPr>
      </w:pPr>
      <w:r w:rsidRPr="00892E76">
        <w:rPr>
          <w:rFonts w:ascii="Arial" w:hAnsi="Arial" w:cs="Arial"/>
          <w:color w:val="000000" w:themeColor="text1"/>
          <w:sz w:val="21"/>
          <w:szCs w:val="21"/>
          <w:lang w:val="es-ES_tradnl"/>
        </w:rPr>
        <w:t xml:space="preserve">Adicionalmente, este cambio de empleador supone que, en virtud de un acto, el empresario cedente transfiere al cesionario bienes susceptibles de explotación económica, con capacidad para ofrecer bienes o servicios al mercado. Dicho de otra forma, la sucesión de empresa supone el traspaso de un conjunto de medios organizados susceptibles de permitir la continuación de la actividad económica correspondiente. Por consiguiente, la mera transmisión de la actividad, sin que esté acompañada del traspaso de los medios de producción o de la organización empresarial, no configura una sustitución de empleadores. </w:t>
      </w:r>
    </w:p>
    <w:p w14:paraId="7F63E731" w14:textId="77777777" w:rsidR="00271CD3" w:rsidRPr="00892E76" w:rsidRDefault="00271CD3" w:rsidP="00271CD3">
      <w:pPr>
        <w:ind w:left="709" w:right="709"/>
        <w:jc w:val="both"/>
        <w:rPr>
          <w:rFonts w:ascii="Arial" w:hAnsi="Arial" w:cs="Arial"/>
          <w:color w:val="000000" w:themeColor="text1"/>
          <w:sz w:val="21"/>
          <w:szCs w:val="21"/>
          <w:lang w:val="es-ES_tradnl"/>
        </w:rPr>
      </w:pPr>
    </w:p>
    <w:p w14:paraId="36A93D3C" w14:textId="77777777" w:rsidR="00271CD3" w:rsidRPr="00892E76" w:rsidRDefault="00271CD3" w:rsidP="00271CD3">
      <w:pPr>
        <w:ind w:left="709" w:right="709"/>
        <w:jc w:val="both"/>
        <w:rPr>
          <w:rFonts w:ascii="Arial" w:hAnsi="Arial" w:cs="Arial"/>
          <w:color w:val="000000" w:themeColor="text1"/>
          <w:sz w:val="21"/>
          <w:szCs w:val="21"/>
          <w:lang w:val="es-ES_tradnl"/>
        </w:rPr>
      </w:pPr>
      <w:r w:rsidRPr="00892E76">
        <w:rPr>
          <w:rFonts w:ascii="Arial" w:hAnsi="Arial" w:cs="Arial"/>
          <w:color w:val="000000" w:themeColor="text1"/>
          <w:sz w:val="21"/>
          <w:szCs w:val="21"/>
          <w:lang w:val="es-ES_tradnl"/>
        </w:rPr>
        <w:t xml:space="preserve">Precisamente en este aspecto reside la diferencia entre la tercerización laboral y la sustitución de empleadores. En la primera, el empresario «hace un encargo a un tercero de determinadas partes u operaciones del proceso productivo» (CSJ SL467-2019), lo que usualmente se concreta a través de la figura de los contratistas y subcontratistas prevista en el artículo 34 del Código Sustantivo del Trabajo. Luego, en la tercerización laboral, hay una externalización de tareas o, si se quiere, un traspaso de actividades de una empresa a otra, pero sin transferencia de la organización empresarial. Por ello, la empresa cesionaria puede reversar la actividad cedida o delegarla en otro contratista. </w:t>
      </w:r>
    </w:p>
    <w:p w14:paraId="159EF925" w14:textId="77777777" w:rsidR="00271CD3" w:rsidRPr="00892E76" w:rsidRDefault="00271CD3" w:rsidP="00271CD3">
      <w:pPr>
        <w:ind w:left="709" w:right="709"/>
        <w:jc w:val="both"/>
        <w:rPr>
          <w:rFonts w:ascii="Arial" w:hAnsi="Arial" w:cs="Arial"/>
          <w:color w:val="000000" w:themeColor="text1"/>
          <w:sz w:val="21"/>
          <w:szCs w:val="21"/>
          <w:lang w:val="es-ES_tradnl"/>
        </w:rPr>
      </w:pPr>
    </w:p>
    <w:p w14:paraId="0EC8CBD3" w14:textId="77777777" w:rsidR="00271CD3" w:rsidRPr="00892E76" w:rsidRDefault="00271CD3" w:rsidP="00271CD3">
      <w:pPr>
        <w:ind w:left="709" w:right="709"/>
        <w:jc w:val="both"/>
        <w:rPr>
          <w:rFonts w:ascii="Arial" w:hAnsi="Arial" w:cs="Arial"/>
          <w:color w:val="000000" w:themeColor="text1"/>
          <w:sz w:val="21"/>
          <w:szCs w:val="21"/>
          <w:lang w:val="es-ES_tradnl"/>
        </w:rPr>
      </w:pPr>
      <w:r w:rsidRPr="00892E76">
        <w:rPr>
          <w:rFonts w:ascii="Arial" w:hAnsi="Arial" w:cs="Arial"/>
          <w:color w:val="000000" w:themeColor="text1"/>
          <w:sz w:val="21"/>
          <w:szCs w:val="21"/>
          <w:lang w:val="es-ES_tradnl"/>
        </w:rPr>
        <w:t>En cambio, en la sustitución de empleadores, no solo hay una transmisión de actividad; también se trasfieren las estructuras y elementos organizativos suficientes para dar continuidad a la explotación de bienes y servicios ofrecidos al mercado. Por tanto, no hay sucesión de empresas si no opera este trasvase de los medios organizativos y productivos de una compañía a la otra, que le permitan seguir explotando el negocio cedido</w:t>
      </w:r>
      <w:r w:rsidRPr="00892E76">
        <w:rPr>
          <w:rStyle w:val="Refdenotaalpie"/>
          <w:rFonts w:ascii="Arial" w:hAnsi="Arial" w:cs="Arial"/>
          <w:color w:val="000000" w:themeColor="text1"/>
          <w:sz w:val="21"/>
          <w:szCs w:val="21"/>
          <w:lang w:val="es-ES_tradnl"/>
        </w:rPr>
        <w:footnoteReference w:id="12"/>
      </w:r>
      <w:r w:rsidRPr="00892E76">
        <w:rPr>
          <w:rFonts w:ascii="Arial" w:hAnsi="Arial" w:cs="Arial"/>
          <w:color w:val="000000" w:themeColor="text1"/>
          <w:sz w:val="21"/>
          <w:szCs w:val="21"/>
          <w:lang w:val="es-ES_tradnl"/>
        </w:rPr>
        <w:t>.</w:t>
      </w:r>
    </w:p>
    <w:p w14:paraId="484006CA" w14:textId="77777777" w:rsidR="00271CD3" w:rsidRPr="00892E76" w:rsidRDefault="00271CD3" w:rsidP="00271CD3">
      <w:pPr>
        <w:spacing w:line="276" w:lineRule="auto"/>
        <w:ind w:firstLine="709"/>
        <w:jc w:val="both"/>
        <w:rPr>
          <w:rFonts w:ascii="Arial" w:hAnsi="Arial" w:cs="Arial"/>
          <w:color w:val="000000" w:themeColor="text1"/>
          <w:sz w:val="22"/>
          <w:lang w:val="es-ES_tradnl"/>
        </w:rPr>
      </w:pPr>
    </w:p>
    <w:p w14:paraId="5B514281" w14:textId="77777777" w:rsidR="00271CD3" w:rsidRPr="00892E76" w:rsidRDefault="00271CD3" w:rsidP="00271CD3">
      <w:pPr>
        <w:spacing w:line="276" w:lineRule="auto"/>
        <w:ind w:firstLine="709"/>
        <w:jc w:val="both"/>
        <w:rPr>
          <w:rFonts w:ascii="Arial" w:hAnsi="Arial" w:cs="Arial"/>
          <w:color w:val="000000" w:themeColor="text1"/>
          <w:sz w:val="22"/>
          <w:lang w:val="es-ES_tradnl"/>
        </w:rPr>
      </w:pPr>
      <w:r w:rsidRPr="00892E76">
        <w:rPr>
          <w:rFonts w:ascii="Arial" w:hAnsi="Arial" w:cs="Arial"/>
          <w:color w:val="000000" w:themeColor="text1"/>
          <w:sz w:val="22"/>
          <w:lang w:val="es-ES_tradnl"/>
        </w:rPr>
        <w:t xml:space="preserve">Por lo tanto, sin perjuicio de que el decreto que expida el gobierno nacional para reglamentar el numeral 4 del artículo 35 de la Ley 2069 de 2020 disponga algo diferente, esta Subdirección en principio no advierte que la sustitución de empleadores sea óbice para que se siga computando el período de antigüedad exigido en el parágrafo segundo del mencionado artículo, pues el hecho de que opere tal sustitución no modifica por sí solo el contrato de trabajo, es decir, que se mantiene la misma relación laboral. Sin embargo, el oferente que pretenda beneficiarse con el factor de desempate previsto en el numeral 4 debe conservar el mismo giro ordinario del negocio que existía antes de la sustitución de empleadores, si quiere que se le tenga en cuenta la vinculación del trabajador previa a dicha sustitución. </w:t>
      </w:r>
    </w:p>
    <w:p w14:paraId="577147DF" w14:textId="77777777" w:rsidR="00271CD3" w:rsidRPr="00892E76" w:rsidRDefault="00271CD3" w:rsidP="00271CD3">
      <w:pPr>
        <w:spacing w:before="120" w:line="276" w:lineRule="auto"/>
        <w:ind w:firstLine="709"/>
        <w:jc w:val="both"/>
        <w:rPr>
          <w:rFonts w:ascii="Arial" w:eastAsia="Calibri" w:hAnsi="Arial" w:cs="Arial"/>
          <w:color w:val="000000" w:themeColor="text1"/>
          <w:sz w:val="22"/>
          <w:lang w:val="es-ES_tradnl"/>
        </w:rPr>
      </w:pPr>
      <w:r w:rsidRPr="00892E76">
        <w:rPr>
          <w:rFonts w:ascii="Arial" w:hAnsi="Arial" w:cs="Arial"/>
          <w:color w:val="000000" w:themeColor="text1"/>
          <w:sz w:val="22"/>
          <w:lang w:val="es-ES_tradnl"/>
        </w:rPr>
        <w:t xml:space="preserve">Ahora bien, </w:t>
      </w:r>
      <w:r w:rsidRPr="00892E76">
        <w:rPr>
          <w:rFonts w:ascii="Arial" w:eastAsia="Calibri" w:hAnsi="Arial" w:cs="Arial"/>
          <w:color w:val="000000" w:themeColor="text1"/>
          <w:sz w:val="22"/>
          <w:lang w:val="es-ES_tradnl"/>
        </w:rPr>
        <w:t xml:space="preserve">el hecho de que el artículo 84 de la Ley 2069 de 2020 establezca que esta rige a partir de su promulgación –o sea, desde el 31 de diciembre de 2020–, no se opone a que el Congreso de la República haya previsto dentro de la misma Ley condiciones </w:t>
      </w:r>
      <w:r w:rsidRPr="00892E76">
        <w:rPr>
          <w:rFonts w:ascii="Arial" w:eastAsia="Calibri" w:hAnsi="Arial" w:cs="Arial"/>
          <w:color w:val="000000" w:themeColor="text1"/>
          <w:sz w:val="22"/>
          <w:lang w:val="es-ES_tradnl"/>
        </w:rPr>
        <w:lastRenderedPageBreak/>
        <w:t xml:space="preserve">temporales para la eficacia de algunas de sus disposiciones. Así, por ejemplo, el parágrafo segundo del artículo 35 señala: «Para los criterios enunciados que involucren la vinculación de capital humano, el oferente deberá acreditar una antigüedad </w:t>
      </w:r>
      <w:r w:rsidRPr="00892E76">
        <w:rPr>
          <w:rFonts w:ascii="Arial" w:eastAsia="Calibri" w:hAnsi="Arial" w:cs="Arial"/>
          <w:i/>
          <w:iCs/>
          <w:color w:val="000000" w:themeColor="text1"/>
          <w:sz w:val="22"/>
          <w:lang w:val="es-ES_tradnl"/>
        </w:rPr>
        <w:t>igual o mayor a un año</w:t>
      </w:r>
      <w:r w:rsidRPr="00892E76">
        <w:rPr>
          <w:rFonts w:ascii="Arial" w:eastAsia="Calibri" w:hAnsi="Arial" w:cs="Arial"/>
          <w:color w:val="000000" w:themeColor="text1"/>
          <w:sz w:val="22"/>
          <w:lang w:val="es-ES_tradnl"/>
        </w:rPr>
        <w:t xml:space="preserve">. Para los casos de constitución inferior a un año se tendrá en cuenta a aquellos trabajadores que hayan estado vinculados </w:t>
      </w:r>
      <w:r w:rsidRPr="00892E76">
        <w:rPr>
          <w:rFonts w:ascii="Arial" w:eastAsia="Calibri" w:hAnsi="Arial" w:cs="Arial"/>
          <w:i/>
          <w:iCs/>
          <w:color w:val="000000" w:themeColor="text1"/>
          <w:sz w:val="22"/>
          <w:lang w:val="es-ES_tradnl"/>
        </w:rPr>
        <w:t>desde el momento de constitución de la misma</w:t>
      </w:r>
      <w:r w:rsidRPr="00892E76">
        <w:rPr>
          <w:rFonts w:ascii="Arial" w:eastAsia="Calibri" w:hAnsi="Arial" w:cs="Arial"/>
          <w:color w:val="000000" w:themeColor="text1"/>
          <w:sz w:val="22"/>
          <w:lang w:val="es-ES_tradnl"/>
        </w:rPr>
        <w:t xml:space="preserve">» (énfasis fuera de texto). </w:t>
      </w:r>
    </w:p>
    <w:p w14:paraId="2FDF1D44" w14:textId="77777777" w:rsidR="00271CD3" w:rsidRPr="00892E76" w:rsidRDefault="00271CD3" w:rsidP="00271CD3">
      <w:pPr>
        <w:spacing w:before="120" w:line="276" w:lineRule="auto"/>
        <w:ind w:firstLine="709"/>
        <w:jc w:val="both"/>
        <w:rPr>
          <w:rFonts w:ascii="Arial" w:eastAsia="Calibri" w:hAnsi="Arial" w:cs="Arial"/>
          <w:color w:val="000000" w:themeColor="text1"/>
          <w:sz w:val="22"/>
          <w:lang w:val="es-ES_tradnl"/>
        </w:rPr>
      </w:pPr>
      <w:r w:rsidRPr="00892E76">
        <w:rPr>
          <w:rFonts w:ascii="Arial" w:eastAsia="Calibri" w:hAnsi="Arial" w:cs="Arial"/>
          <w:color w:val="000000" w:themeColor="text1"/>
          <w:sz w:val="22"/>
          <w:lang w:val="es-ES_tradnl"/>
        </w:rPr>
        <w:t>Es decir, si bien es cierto que los factores de desempate previstos en el artículo 35 de la Ley 2069 de 2020 deben aplicarse en los procedimientos de selección iniciados a partir de la promulgación de esta, también lo es que –al tenor del parágrafo segundo del mismo artículo–, cuando en dichos factores se exija la vinculación laboral de personas, el oferente debe acreditar que lo están, como mínimo, con un año de antigüedad, salvo que el proponente se haya constituido con una anterioridad menor al año, pues en este caso deberá acreditar que el capital humano está vinculado al menos desde el momento de la constitución. O sea que el período contenido en el parágrafo segundo, en sentido estricto, no se comienza a computar desde la promulgación de la Ley 2069 de 2020, sino que para el momento en el que la entidad estatal evalúe la viabilidad de aplicar los factores de desempate vigentes del artículo 35 de dicha Ley –que exijan la vinculación de capital humano–, debe analizar si se cumple con dicho término de vinculación.</w:t>
      </w:r>
    </w:p>
    <w:p w14:paraId="1D7278B8" w14:textId="77777777" w:rsidR="00271CD3" w:rsidRPr="00892E76" w:rsidRDefault="00271CD3" w:rsidP="00271CD3">
      <w:pPr>
        <w:spacing w:before="120" w:line="276" w:lineRule="auto"/>
        <w:ind w:firstLine="709"/>
        <w:jc w:val="both"/>
        <w:rPr>
          <w:rFonts w:ascii="Arial" w:eastAsia="Calibri" w:hAnsi="Arial" w:cs="Arial"/>
          <w:color w:val="000000" w:themeColor="text1"/>
          <w:sz w:val="22"/>
          <w:lang w:val="es-ES_tradnl"/>
        </w:rPr>
      </w:pPr>
      <w:r w:rsidRPr="00892E76">
        <w:rPr>
          <w:rFonts w:ascii="Arial" w:eastAsia="Calibri" w:hAnsi="Arial" w:cs="Arial"/>
          <w:color w:val="000000" w:themeColor="text1"/>
          <w:sz w:val="22"/>
          <w:lang w:val="es-ES_tradnl"/>
        </w:rPr>
        <w:t xml:space="preserve">En conclusión, como el numeral 4 del artículo 35 de la Ley 2069 de 2020 no establece una tarifa legal, las entidades estatales gozan de discrecionalidad administrativa para establecer en el pliego de condiciones la forma como se puede acreditar este factor de desempate por parte de los oferentes, incluidos los proponentes plurales. En caso de que el pliego de condiciones guarde silencio al respecto, la libertad probatoria se traslada al proponente, quien podrá acreditar la circunstancia prevista en el referido numeral con los medios probatorios idóneos, quedándole a la entidad estatal la carga de valorarlos, para concluir si aquellos son pertinentes y conducentes. </w:t>
      </w:r>
    </w:p>
    <w:p w14:paraId="4B8DFB77" w14:textId="77777777" w:rsidR="00271CD3" w:rsidRPr="00892E76" w:rsidRDefault="00271CD3" w:rsidP="00271CD3">
      <w:pPr>
        <w:spacing w:before="120" w:line="276" w:lineRule="auto"/>
        <w:ind w:firstLine="709"/>
        <w:jc w:val="both"/>
        <w:rPr>
          <w:rFonts w:ascii="Arial" w:eastAsia="Calibri" w:hAnsi="Arial" w:cs="Arial"/>
          <w:color w:val="000000" w:themeColor="text1"/>
          <w:sz w:val="22"/>
          <w:lang w:val="es-ES_tradnl"/>
        </w:rPr>
      </w:pPr>
      <w:r w:rsidRPr="00892E76">
        <w:rPr>
          <w:rFonts w:ascii="Arial" w:eastAsia="Calibri" w:hAnsi="Arial" w:cs="Arial"/>
          <w:color w:val="000000" w:themeColor="text1"/>
          <w:sz w:val="22"/>
          <w:lang w:val="es-ES_tradnl"/>
        </w:rPr>
        <w:t xml:space="preserve">Sin embargo, precisamente por no existir tarifa legal, y además teniendo en cuenta que la competencia consultiva de la Agencia Nacional de Contratación Pública –Colombia Compra Eficiente se circunscribe a la expedición de conceptos sobre la interpretación de normas con un alcance general, no le es dado a este órgano rector definir un listado de documentos específicos con los que se debe probar el factor de desempate contenido en el numeral 4 del artículo 35 de la Ley 2069 de 2020. El gobierno nacional, en ejercicio de la competencia conferida por el artículo 189 –numeral 11– de la Constitución, podría hacerlo en el reglamento que expida. Entretanto, las entidades estatales gozan de autonomía para valorar las pruebas aportadas por el oferente y para tomar una decisión que garantice los principios de legalidad y proporcionalidad. </w:t>
      </w:r>
    </w:p>
    <w:p w14:paraId="20F4EF28" w14:textId="22EACD08" w:rsidR="00271CD3" w:rsidRPr="00892E76" w:rsidRDefault="00271CD3" w:rsidP="00271CD3">
      <w:pPr>
        <w:spacing w:before="120" w:line="276" w:lineRule="auto"/>
        <w:ind w:firstLine="709"/>
        <w:jc w:val="both"/>
        <w:rPr>
          <w:rFonts w:ascii="Arial" w:eastAsia="Calibri" w:hAnsi="Arial" w:cs="Arial"/>
          <w:color w:val="000000" w:themeColor="text1"/>
          <w:sz w:val="22"/>
          <w:lang w:val="es-ES_tradnl"/>
        </w:rPr>
      </w:pPr>
      <w:r w:rsidRPr="00892E76">
        <w:rPr>
          <w:rFonts w:ascii="Arial" w:eastAsia="Calibri" w:hAnsi="Arial" w:cs="Arial"/>
          <w:color w:val="000000" w:themeColor="text1"/>
          <w:sz w:val="22"/>
          <w:lang w:val="es-ES_tradnl"/>
        </w:rPr>
        <w:t>Ahora bien, tratándose de proponentes plurales,</w:t>
      </w:r>
      <w:r w:rsidR="00DF057C" w:rsidRPr="00892E76">
        <w:rPr>
          <w:rFonts w:ascii="Arial" w:eastAsia="Calibri" w:hAnsi="Arial" w:cs="Arial"/>
          <w:color w:val="000000" w:themeColor="text1"/>
          <w:sz w:val="22"/>
          <w:lang w:val="es-ES_tradnl"/>
        </w:rPr>
        <w:t xml:space="preserve"> en ejercicio de la competencia conferida por el artículo 1</w:t>
      </w:r>
      <w:r w:rsidR="00393173" w:rsidRPr="00892E76">
        <w:rPr>
          <w:rFonts w:ascii="Arial" w:eastAsia="Calibri" w:hAnsi="Arial" w:cs="Arial"/>
          <w:color w:val="000000" w:themeColor="text1"/>
          <w:sz w:val="22"/>
          <w:lang w:val="es-ES_tradnl"/>
        </w:rPr>
        <w:t xml:space="preserve"> de la Ley 2022 de 2020,</w:t>
      </w:r>
      <w:r w:rsidRPr="00892E76">
        <w:rPr>
          <w:rFonts w:ascii="Arial" w:eastAsia="Calibri" w:hAnsi="Arial" w:cs="Arial"/>
          <w:color w:val="000000" w:themeColor="text1"/>
          <w:sz w:val="22"/>
          <w:lang w:val="es-ES_tradnl"/>
        </w:rPr>
        <w:t xml:space="preserve"> esta Agencia adoptó el siguiente criterio </w:t>
      </w:r>
      <w:r w:rsidRPr="00892E76">
        <w:rPr>
          <w:rFonts w:ascii="Arial" w:eastAsia="Calibri" w:hAnsi="Arial" w:cs="Arial"/>
          <w:color w:val="000000" w:themeColor="text1"/>
          <w:sz w:val="22"/>
          <w:lang w:val="es-ES_tradnl"/>
        </w:rPr>
        <w:lastRenderedPageBreak/>
        <w:t>en el numeral 4.6 de los documentos tipo para licitación de obra pública de infraestructura de transporte –versión 3, con las modificaciones de la Resolución 161 de 2021–:</w:t>
      </w:r>
    </w:p>
    <w:p w14:paraId="6F878CB9" w14:textId="77777777" w:rsidR="00271CD3" w:rsidRPr="00892E76" w:rsidRDefault="00271CD3" w:rsidP="00271CD3">
      <w:pPr>
        <w:ind w:left="709" w:right="709"/>
        <w:jc w:val="both"/>
        <w:rPr>
          <w:rFonts w:ascii="Arial" w:hAnsi="Arial" w:cs="Arial"/>
          <w:color w:val="000000" w:themeColor="text1"/>
          <w:sz w:val="21"/>
          <w:szCs w:val="21"/>
          <w:lang w:val="es-ES_tradnl"/>
        </w:rPr>
      </w:pPr>
    </w:p>
    <w:p w14:paraId="3E2E8214" w14:textId="77777777" w:rsidR="00271CD3" w:rsidRPr="00892E76" w:rsidRDefault="00271CD3" w:rsidP="00271CD3">
      <w:pPr>
        <w:ind w:left="709" w:right="709"/>
        <w:jc w:val="both"/>
        <w:rPr>
          <w:rFonts w:ascii="Arial" w:hAnsi="Arial" w:cs="Arial"/>
          <w:color w:val="000000" w:themeColor="text1"/>
          <w:sz w:val="21"/>
          <w:szCs w:val="21"/>
          <w:lang w:val="es-ES_tradnl"/>
        </w:rPr>
      </w:pPr>
      <w:r w:rsidRPr="00892E76">
        <w:rPr>
          <w:rFonts w:ascii="Arial" w:hAnsi="Arial" w:cs="Arial"/>
          <w:color w:val="000000" w:themeColor="text1"/>
          <w:sz w:val="21"/>
          <w:szCs w:val="21"/>
          <w:lang w:val="es-ES_tradnl"/>
        </w:rPr>
        <w:t xml:space="preserve">En el caso de los proponentes plurales, su representante legal diligenciará el «Formato 10 C – Vinculación de personas mayores y no beneficiaria de pensión de vejez, familiar o sobrevivencia – (Empleador – proponente)», mediante el cual certifique el número de trabajadores vinculados que siendo personas mayores no beneficiarias de la pensión de vejez, familiar o de sobrevivencia y que cumplieron el requisito de edad de pensión establecido en la ley, </w:t>
      </w:r>
      <w:r w:rsidRPr="00892E76">
        <w:rPr>
          <w:rFonts w:ascii="Arial" w:hAnsi="Arial" w:cs="Arial"/>
          <w:i/>
          <w:iCs/>
          <w:color w:val="000000" w:themeColor="text1"/>
          <w:sz w:val="21"/>
          <w:szCs w:val="21"/>
          <w:lang w:val="es-ES_tradnl"/>
        </w:rPr>
        <w:t>de todos los integrantes del consorcio o de la unión temporal. Las personas enunciadas anteriormente podrán estar vinculadas a cualquiera de sus integrantes</w:t>
      </w:r>
      <w:r w:rsidRPr="00892E76">
        <w:rPr>
          <w:rFonts w:ascii="Arial" w:hAnsi="Arial" w:cs="Arial"/>
          <w:color w:val="000000" w:themeColor="text1"/>
          <w:sz w:val="21"/>
          <w:szCs w:val="21"/>
          <w:lang w:val="es-ES_tradnl"/>
        </w:rPr>
        <w:t>.</w:t>
      </w:r>
    </w:p>
    <w:p w14:paraId="19411043" w14:textId="77777777" w:rsidR="00271CD3" w:rsidRPr="00892E76" w:rsidRDefault="00271CD3" w:rsidP="00271CD3">
      <w:pPr>
        <w:ind w:left="709" w:right="709"/>
        <w:jc w:val="both"/>
        <w:rPr>
          <w:rFonts w:ascii="Arial" w:hAnsi="Arial" w:cs="Arial"/>
          <w:color w:val="000000" w:themeColor="text1"/>
          <w:sz w:val="21"/>
          <w:szCs w:val="21"/>
          <w:lang w:val="es-ES_tradnl"/>
        </w:rPr>
      </w:pPr>
    </w:p>
    <w:p w14:paraId="70198964" w14:textId="77777777" w:rsidR="00271CD3" w:rsidRPr="00892E76" w:rsidRDefault="00271CD3" w:rsidP="00271CD3">
      <w:pPr>
        <w:ind w:left="709" w:right="709"/>
        <w:jc w:val="both"/>
        <w:rPr>
          <w:rFonts w:ascii="Arial" w:hAnsi="Arial" w:cs="Arial"/>
          <w:color w:val="000000" w:themeColor="text1"/>
          <w:sz w:val="21"/>
          <w:szCs w:val="21"/>
          <w:lang w:val="es-ES_tradnl"/>
        </w:rPr>
      </w:pPr>
      <w:r w:rsidRPr="00892E76">
        <w:rPr>
          <w:rFonts w:ascii="Arial" w:hAnsi="Arial" w:cs="Arial"/>
          <w:color w:val="000000" w:themeColor="text1"/>
          <w:sz w:val="21"/>
          <w:szCs w:val="21"/>
          <w:lang w:val="es-ES_tradnl"/>
        </w:rPr>
        <w:t>En cualquiera de los dos supuestos anteriores, para el otorgamiento del criterio de desempate, cada uno de los trabajadores que cumpla las condiciones previstas por la ley diligenciará el «Formato 10 C – Vinculación de personas mayores y no beneficiaria de pensión de vejez, familiar o sobrevivencia (Trabajador)», mediante el cual certifica bajo la gravedad de juramento que no es beneficiario de pensión de vejez, familiar o sobrevivencia y cumple la edad de pensión, además, se deberá allegar el documento de identificación del trabajador que lo firma.</w:t>
      </w:r>
    </w:p>
    <w:p w14:paraId="1EB8C43B" w14:textId="77777777" w:rsidR="00271CD3" w:rsidRPr="00892E76" w:rsidRDefault="00271CD3" w:rsidP="00271CD3">
      <w:pPr>
        <w:ind w:left="709" w:right="709"/>
        <w:jc w:val="both"/>
        <w:rPr>
          <w:rFonts w:ascii="Arial" w:hAnsi="Arial" w:cs="Arial"/>
          <w:color w:val="000000" w:themeColor="text1"/>
          <w:sz w:val="21"/>
          <w:szCs w:val="21"/>
          <w:lang w:val="es-ES_tradnl"/>
        </w:rPr>
      </w:pPr>
    </w:p>
    <w:p w14:paraId="314CCB80" w14:textId="77777777" w:rsidR="00271CD3" w:rsidRPr="00892E76" w:rsidRDefault="00271CD3" w:rsidP="00271CD3">
      <w:pPr>
        <w:ind w:left="709" w:right="709"/>
        <w:jc w:val="both"/>
        <w:rPr>
          <w:rFonts w:ascii="Arial" w:hAnsi="Arial" w:cs="Arial"/>
          <w:color w:val="000000" w:themeColor="text1"/>
          <w:sz w:val="21"/>
          <w:szCs w:val="21"/>
          <w:lang w:val="es-ES_tradnl"/>
        </w:rPr>
      </w:pPr>
      <w:r w:rsidRPr="00892E76">
        <w:rPr>
          <w:rFonts w:ascii="Arial" w:hAnsi="Arial" w:cs="Arial"/>
          <w:color w:val="000000" w:themeColor="text1"/>
          <w:sz w:val="21"/>
          <w:szCs w:val="21"/>
          <w:lang w:val="es-ES_tradnl"/>
        </w:rPr>
        <w:t xml:space="preserve">La mayor proporción se definirá en relación con el número total de trabajadores vinculados en la planta de personal, por lo que se preferirá al oferente que acredite un porcentaje mayor. </w:t>
      </w:r>
      <w:r w:rsidRPr="00892E76">
        <w:rPr>
          <w:rFonts w:ascii="Arial" w:hAnsi="Arial" w:cs="Arial"/>
          <w:i/>
          <w:iCs/>
          <w:color w:val="000000" w:themeColor="text1"/>
          <w:sz w:val="21"/>
          <w:szCs w:val="21"/>
          <w:lang w:val="es-ES_tradnl"/>
        </w:rPr>
        <w:t>En el caso de proponentes plurales, la mayor proporción se definirá con la sumatoria de trabajadores vinculados en la planta de personal de cada uno de sus integrantes</w:t>
      </w:r>
      <w:r w:rsidRPr="00892E76">
        <w:rPr>
          <w:rStyle w:val="Refdenotaalpie"/>
          <w:rFonts w:ascii="Arial" w:hAnsi="Arial" w:cs="Arial"/>
          <w:color w:val="000000" w:themeColor="text1"/>
          <w:sz w:val="21"/>
          <w:szCs w:val="21"/>
          <w:lang w:val="es-ES_tradnl"/>
        </w:rPr>
        <w:footnoteReference w:id="13"/>
      </w:r>
      <w:r w:rsidRPr="00892E76">
        <w:rPr>
          <w:rFonts w:ascii="Arial" w:hAnsi="Arial" w:cs="Arial"/>
          <w:i/>
          <w:iCs/>
          <w:color w:val="000000" w:themeColor="text1"/>
          <w:sz w:val="21"/>
          <w:szCs w:val="21"/>
          <w:lang w:val="es-ES_tradnl"/>
        </w:rPr>
        <w:t xml:space="preserve"> </w:t>
      </w:r>
      <w:r w:rsidRPr="00892E76">
        <w:rPr>
          <w:rFonts w:ascii="Arial" w:hAnsi="Arial" w:cs="Arial"/>
          <w:color w:val="000000" w:themeColor="text1"/>
          <w:sz w:val="21"/>
          <w:szCs w:val="21"/>
          <w:lang w:val="es-ES_tradnl"/>
        </w:rPr>
        <w:t>(Énfasis fuera de texto).</w:t>
      </w:r>
    </w:p>
    <w:p w14:paraId="6A27AC96" w14:textId="77777777" w:rsidR="00271CD3" w:rsidRPr="00892E76" w:rsidRDefault="00271CD3" w:rsidP="00271CD3">
      <w:pPr>
        <w:spacing w:line="276" w:lineRule="auto"/>
        <w:ind w:firstLine="709"/>
        <w:jc w:val="both"/>
        <w:rPr>
          <w:rFonts w:ascii="Arial" w:eastAsia="Calibri" w:hAnsi="Arial" w:cs="Arial"/>
          <w:color w:val="000000" w:themeColor="text1"/>
          <w:sz w:val="22"/>
          <w:lang w:val="es-ES_tradnl"/>
        </w:rPr>
      </w:pPr>
    </w:p>
    <w:p w14:paraId="0F14F473" w14:textId="3E7DF01D" w:rsidR="00271CD3" w:rsidRPr="00892E76" w:rsidRDefault="00271CD3" w:rsidP="00271CD3">
      <w:pPr>
        <w:spacing w:line="276" w:lineRule="auto"/>
        <w:ind w:firstLine="709"/>
        <w:jc w:val="both"/>
        <w:rPr>
          <w:rFonts w:ascii="Arial" w:eastAsia="Calibri" w:hAnsi="Arial" w:cs="Arial"/>
          <w:color w:val="000000" w:themeColor="text1"/>
          <w:sz w:val="22"/>
          <w:lang w:val="es-ES_tradnl"/>
        </w:rPr>
      </w:pPr>
      <w:r w:rsidRPr="00892E76">
        <w:rPr>
          <w:rFonts w:ascii="Arial" w:eastAsia="Calibri" w:hAnsi="Arial" w:cs="Arial"/>
          <w:color w:val="000000" w:themeColor="text1"/>
          <w:sz w:val="22"/>
          <w:lang w:val="es-ES_tradnl"/>
        </w:rPr>
        <w:t>Si bien los documentos tipo no rigen en todos los procedimientos de selección, la anterior es la interpretación de la Agencia sobre la forma de acreditar el factor de desempate del artículo 35, numeral 4, de la Ley 2069 de 2020, por parte de los proponentes plurales. En consecuencia, esta consideración le puede servir como guía ilustrativa. Sin embargo, se reitera que cada entidad estatal en el pliego de condiciones o equivalente –en aquellos casos en los cuales el procedimiento no se rige por los documentos tipo–, tiene discrecionalidad para definir la manera como deben acreditarse los factores de desempate sobre los cuales el ordenamiento jurídico no ha establecido un medio probatorio específico.</w:t>
      </w:r>
      <w:r w:rsidR="00EB1C52" w:rsidRPr="00892E76">
        <w:rPr>
          <w:rFonts w:ascii="Arial" w:eastAsia="Calibri" w:hAnsi="Arial" w:cs="Arial"/>
          <w:color w:val="000000" w:themeColor="text1"/>
          <w:sz w:val="22"/>
          <w:lang w:val="es-ES_tradnl"/>
        </w:rPr>
        <w:t xml:space="preserve"> Esto sin perjuicio de que en el reglamento que expida el gobierno nacional se establezca</w:t>
      </w:r>
      <w:r w:rsidR="008A7EC4" w:rsidRPr="00892E76">
        <w:rPr>
          <w:rFonts w:ascii="Arial" w:eastAsia="Calibri" w:hAnsi="Arial" w:cs="Arial"/>
          <w:color w:val="000000" w:themeColor="text1"/>
          <w:sz w:val="22"/>
          <w:lang w:val="es-ES_tradnl"/>
        </w:rPr>
        <w:t>n medios probatorios específicos</w:t>
      </w:r>
      <w:r w:rsidR="00260C7E" w:rsidRPr="00892E76">
        <w:rPr>
          <w:rFonts w:ascii="Arial" w:eastAsia="Calibri" w:hAnsi="Arial" w:cs="Arial"/>
          <w:color w:val="000000" w:themeColor="text1"/>
          <w:sz w:val="22"/>
          <w:lang w:val="es-ES_tradnl"/>
        </w:rPr>
        <w:t xml:space="preserve"> –como</w:t>
      </w:r>
      <w:r w:rsidR="007D5A68" w:rsidRPr="00892E76">
        <w:rPr>
          <w:rFonts w:ascii="Arial" w:eastAsia="Calibri" w:hAnsi="Arial" w:cs="Arial"/>
          <w:color w:val="000000" w:themeColor="text1"/>
          <w:sz w:val="22"/>
          <w:lang w:val="es-ES_tradnl"/>
        </w:rPr>
        <w:t>,</w:t>
      </w:r>
      <w:r w:rsidR="00260C7E" w:rsidRPr="00892E76">
        <w:rPr>
          <w:rFonts w:ascii="Arial" w:eastAsia="Calibri" w:hAnsi="Arial" w:cs="Arial"/>
          <w:color w:val="000000" w:themeColor="text1"/>
          <w:sz w:val="22"/>
          <w:lang w:val="es-ES_tradnl"/>
        </w:rPr>
        <w:t xml:space="preserve"> en efecto</w:t>
      </w:r>
      <w:r w:rsidR="007D5A68" w:rsidRPr="00892E76">
        <w:rPr>
          <w:rFonts w:ascii="Arial" w:eastAsia="Calibri" w:hAnsi="Arial" w:cs="Arial"/>
          <w:color w:val="000000" w:themeColor="text1"/>
          <w:sz w:val="22"/>
          <w:lang w:val="es-ES_tradnl"/>
        </w:rPr>
        <w:t>,</w:t>
      </w:r>
      <w:r w:rsidR="00260C7E" w:rsidRPr="00892E76">
        <w:rPr>
          <w:rFonts w:ascii="Arial" w:eastAsia="Calibri" w:hAnsi="Arial" w:cs="Arial"/>
          <w:color w:val="000000" w:themeColor="text1"/>
          <w:sz w:val="22"/>
          <w:lang w:val="es-ES_tradnl"/>
        </w:rPr>
        <w:t xml:space="preserve"> lo hace el proyecto de decreto sobre la materia</w:t>
      </w:r>
      <w:r w:rsidR="00D841F9" w:rsidRPr="00892E76">
        <w:rPr>
          <w:rStyle w:val="Refdenotaalpie"/>
          <w:rFonts w:ascii="Arial" w:eastAsia="Calibri" w:hAnsi="Arial" w:cs="Arial"/>
          <w:color w:val="000000" w:themeColor="text1"/>
          <w:sz w:val="22"/>
          <w:lang w:val="es-ES_tradnl"/>
        </w:rPr>
        <w:footnoteReference w:id="14"/>
      </w:r>
      <w:r w:rsidR="00260C7E" w:rsidRPr="00892E76">
        <w:rPr>
          <w:rFonts w:ascii="Arial" w:eastAsia="Calibri" w:hAnsi="Arial" w:cs="Arial"/>
          <w:color w:val="000000" w:themeColor="text1"/>
          <w:sz w:val="22"/>
          <w:lang w:val="es-ES_tradnl"/>
        </w:rPr>
        <w:t>–</w:t>
      </w:r>
      <w:r w:rsidR="008A7EC4" w:rsidRPr="00892E76">
        <w:rPr>
          <w:rFonts w:ascii="Arial" w:eastAsia="Calibri" w:hAnsi="Arial" w:cs="Arial"/>
          <w:color w:val="000000" w:themeColor="text1"/>
          <w:sz w:val="22"/>
          <w:lang w:val="es-ES_tradnl"/>
        </w:rPr>
        <w:t>, los cuales deberán respetarse por parte de las entidades contratantes y los particulares</w:t>
      </w:r>
      <w:r w:rsidR="002905EF" w:rsidRPr="00892E76">
        <w:rPr>
          <w:rFonts w:ascii="Arial" w:eastAsia="Calibri" w:hAnsi="Arial" w:cs="Arial"/>
          <w:color w:val="000000" w:themeColor="text1"/>
          <w:sz w:val="22"/>
          <w:lang w:val="es-ES_tradnl"/>
        </w:rPr>
        <w:t>,</w:t>
      </w:r>
      <w:r w:rsidR="007D5A68" w:rsidRPr="00892E76">
        <w:rPr>
          <w:rFonts w:ascii="Arial" w:eastAsia="Calibri" w:hAnsi="Arial" w:cs="Arial"/>
          <w:color w:val="000000" w:themeColor="text1"/>
          <w:sz w:val="22"/>
          <w:lang w:val="es-ES_tradnl"/>
        </w:rPr>
        <w:t xml:space="preserve"> una vez entre en vigencia</w:t>
      </w:r>
      <w:r w:rsidR="00307ED9" w:rsidRPr="00892E76">
        <w:rPr>
          <w:rFonts w:ascii="Arial" w:eastAsia="Calibri" w:hAnsi="Arial" w:cs="Arial"/>
          <w:color w:val="000000" w:themeColor="text1"/>
          <w:sz w:val="22"/>
          <w:lang w:val="es-ES_tradnl"/>
        </w:rPr>
        <w:t xml:space="preserve"> dicho cuerpo normativo</w:t>
      </w:r>
      <w:r w:rsidR="008A7EC4" w:rsidRPr="00892E76">
        <w:rPr>
          <w:rFonts w:ascii="Arial" w:eastAsia="Calibri" w:hAnsi="Arial" w:cs="Arial"/>
          <w:color w:val="000000" w:themeColor="text1"/>
          <w:sz w:val="22"/>
          <w:lang w:val="es-ES_tradnl"/>
        </w:rPr>
        <w:t>.</w:t>
      </w:r>
    </w:p>
    <w:p w14:paraId="4F304416" w14:textId="77777777" w:rsidR="00271CD3" w:rsidRPr="00892E76" w:rsidRDefault="00271CD3" w:rsidP="004D1C27">
      <w:pPr>
        <w:spacing w:line="276" w:lineRule="auto"/>
        <w:jc w:val="both"/>
        <w:rPr>
          <w:rFonts w:ascii="Arial" w:hAnsi="Arial" w:cs="Arial"/>
          <w:color w:val="000000" w:themeColor="text1"/>
          <w:sz w:val="22"/>
          <w:szCs w:val="22"/>
          <w:lang w:val="es-ES_tradnl"/>
        </w:rPr>
      </w:pPr>
    </w:p>
    <w:p w14:paraId="37CA9805" w14:textId="0A56C02E" w:rsidR="00DD5B04" w:rsidRPr="00892E76" w:rsidRDefault="004177A6" w:rsidP="004D1C27">
      <w:pPr>
        <w:spacing w:line="276" w:lineRule="auto"/>
        <w:jc w:val="both"/>
        <w:rPr>
          <w:rFonts w:ascii="Arial" w:hAnsi="Arial" w:cs="Arial"/>
          <w:color w:val="000000" w:themeColor="text1"/>
          <w:sz w:val="22"/>
          <w:lang w:val="es-ES_tradnl"/>
        </w:rPr>
      </w:pPr>
      <w:r w:rsidRPr="00892E76">
        <w:rPr>
          <w:rFonts w:ascii="Arial" w:eastAsia="Calibri" w:hAnsi="Arial" w:cs="Arial"/>
          <w:b/>
          <w:color w:val="000000" w:themeColor="text1"/>
          <w:sz w:val="22"/>
          <w:lang w:val="es-ES_tradnl"/>
        </w:rPr>
        <w:t>3</w:t>
      </w:r>
      <w:r w:rsidR="00B011A9" w:rsidRPr="00892E76">
        <w:rPr>
          <w:rFonts w:ascii="Arial" w:eastAsia="Calibri" w:hAnsi="Arial" w:cs="Arial"/>
          <w:b/>
          <w:color w:val="000000" w:themeColor="text1"/>
          <w:sz w:val="22"/>
          <w:lang w:val="es-ES_tradnl"/>
        </w:rPr>
        <w:t xml:space="preserve">. </w:t>
      </w:r>
      <w:r w:rsidR="00DD5B04" w:rsidRPr="00892E76">
        <w:rPr>
          <w:rFonts w:ascii="Arial" w:eastAsia="Calibri" w:hAnsi="Arial" w:cs="Arial"/>
          <w:b/>
          <w:color w:val="000000" w:themeColor="text1"/>
          <w:sz w:val="22"/>
          <w:lang w:val="es-ES_tradnl"/>
        </w:rPr>
        <w:t>Respuest</w:t>
      </w:r>
      <w:r w:rsidR="00BF0E64" w:rsidRPr="00892E76">
        <w:rPr>
          <w:rFonts w:ascii="Arial" w:eastAsia="Calibri" w:hAnsi="Arial" w:cs="Arial"/>
          <w:b/>
          <w:color w:val="000000" w:themeColor="text1"/>
          <w:sz w:val="22"/>
          <w:lang w:val="es-ES_tradnl"/>
        </w:rPr>
        <w:t>a</w:t>
      </w:r>
    </w:p>
    <w:p w14:paraId="0B74D5B8" w14:textId="59C73EB8" w:rsidR="00C4581D" w:rsidRPr="00892E76" w:rsidRDefault="00C4581D" w:rsidP="00510DE9">
      <w:pPr>
        <w:tabs>
          <w:tab w:val="left" w:pos="0"/>
        </w:tabs>
        <w:jc w:val="both"/>
        <w:rPr>
          <w:rFonts w:ascii="Arial" w:eastAsia="Calibri" w:hAnsi="Arial" w:cs="Arial"/>
          <w:color w:val="000000" w:themeColor="text1"/>
          <w:sz w:val="22"/>
          <w:lang w:val="es-ES_tradnl"/>
        </w:rPr>
      </w:pPr>
    </w:p>
    <w:p w14:paraId="3EB15FC0" w14:textId="77777777" w:rsidR="00311EE7" w:rsidRPr="00892E76" w:rsidRDefault="00311EE7" w:rsidP="00311EE7">
      <w:pPr>
        <w:ind w:left="709" w:right="709"/>
        <w:jc w:val="both"/>
        <w:rPr>
          <w:rFonts w:ascii="Arial" w:eastAsia="Calibri" w:hAnsi="Arial" w:cs="Arial"/>
          <w:color w:val="000000" w:themeColor="text1"/>
          <w:sz w:val="21"/>
          <w:szCs w:val="21"/>
          <w:lang w:val="es-ES_tradnl"/>
        </w:rPr>
      </w:pPr>
      <w:r w:rsidRPr="00892E76">
        <w:rPr>
          <w:rFonts w:ascii="Arial" w:eastAsia="Calibri" w:hAnsi="Arial" w:cs="Arial"/>
          <w:color w:val="000000" w:themeColor="text1"/>
          <w:sz w:val="21"/>
          <w:szCs w:val="21"/>
          <w:lang w:val="es-ES_tradnl"/>
        </w:rPr>
        <w:t>«1. Si una entidad estatal NO establece en el Pliego de Condiciones, mediante qué documento o medio probatorio se acredita el citado numeral y al no existir tarifa legal y, por tanto, libertad probatoria para acreditar el numeral 4) del artículo 35 de la Ley 2069 de 2020, y en razón a que la noma en cita suprimió en su totalidad el articulo 12 de la Ley 1150 de 2007, en entendemos (sic) que en caso de ofertas presentadas por Unión Temporal, debe ser demostrada la condición definida en el numeral 4) del artículo 35 de la Ley 2069 de 2020 por cada una de los integrantes de la Unión Temporal que estén en capacidad de acreditar dicha condición de sus empleados, en especial con cualquiera de los siguientes documentos:</w:t>
      </w:r>
    </w:p>
    <w:p w14:paraId="35B315B4" w14:textId="77777777" w:rsidR="00311EE7" w:rsidRPr="00892E76" w:rsidRDefault="00311EE7" w:rsidP="00311EE7">
      <w:pPr>
        <w:ind w:left="709" w:right="709"/>
        <w:jc w:val="both"/>
        <w:rPr>
          <w:rFonts w:ascii="Arial" w:eastAsia="Calibri" w:hAnsi="Arial" w:cs="Arial"/>
          <w:color w:val="000000" w:themeColor="text1"/>
          <w:sz w:val="21"/>
          <w:szCs w:val="21"/>
          <w:lang w:val="es-ES_tradnl"/>
        </w:rPr>
      </w:pPr>
    </w:p>
    <w:p w14:paraId="325462C6" w14:textId="77777777" w:rsidR="00311EE7" w:rsidRPr="00892E76" w:rsidRDefault="00311EE7" w:rsidP="00311EE7">
      <w:pPr>
        <w:pStyle w:val="Prrafodelista"/>
        <w:numPr>
          <w:ilvl w:val="0"/>
          <w:numId w:val="30"/>
        </w:numPr>
        <w:ind w:right="709"/>
        <w:jc w:val="both"/>
        <w:rPr>
          <w:rFonts w:ascii="Arial" w:eastAsia="Calibri" w:hAnsi="Arial" w:cs="Arial"/>
          <w:color w:val="000000" w:themeColor="text1"/>
          <w:sz w:val="21"/>
          <w:szCs w:val="21"/>
          <w:lang w:val="es-ES_tradnl"/>
        </w:rPr>
      </w:pPr>
      <w:r w:rsidRPr="00892E76">
        <w:rPr>
          <w:rFonts w:ascii="Arial" w:eastAsia="Calibri" w:hAnsi="Arial" w:cs="Arial"/>
          <w:color w:val="000000" w:themeColor="text1"/>
          <w:sz w:val="21"/>
          <w:szCs w:val="21"/>
          <w:lang w:val="es-ES_tradnl"/>
        </w:rPr>
        <w:lastRenderedPageBreak/>
        <w:t>»Cédula de ciudadanía de las personas que ostentan tal calidad,</w:t>
      </w:r>
    </w:p>
    <w:p w14:paraId="6A5E0B3C" w14:textId="77777777" w:rsidR="00311EE7" w:rsidRPr="00892E76" w:rsidRDefault="00311EE7" w:rsidP="00311EE7">
      <w:pPr>
        <w:pStyle w:val="Prrafodelista"/>
        <w:numPr>
          <w:ilvl w:val="0"/>
          <w:numId w:val="30"/>
        </w:numPr>
        <w:ind w:right="709"/>
        <w:jc w:val="both"/>
        <w:rPr>
          <w:rFonts w:ascii="Arial" w:eastAsia="Calibri" w:hAnsi="Arial" w:cs="Arial"/>
          <w:color w:val="000000" w:themeColor="text1"/>
          <w:sz w:val="21"/>
          <w:szCs w:val="21"/>
          <w:lang w:val="es-ES_tradnl"/>
        </w:rPr>
      </w:pPr>
      <w:r w:rsidRPr="00892E76">
        <w:rPr>
          <w:rFonts w:ascii="Arial" w:eastAsia="Calibri" w:hAnsi="Arial" w:cs="Arial"/>
          <w:color w:val="000000" w:themeColor="text1"/>
          <w:sz w:val="21"/>
          <w:szCs w:val="21"/>
          <w:lang w:val="es-ES_tradnl"/>
        </w:rPr>
        <w:t>»Certificación firmada por el Revisor Fiscal y/o Representante Legal de la persona jurídica integrante de la Unión Temporal que ostenta tal calidad, indicando el número de personas en esta condición, la vinculación mayor a un año de este personal a la empresa y el número total de la planta de personal y</w:t>
      </w:r>
    </w:p>
    <w:p w14:paraId="5CCD9982" w14:textId="009FCFF7" w:rsidR="00311EE7" w:rsidRPr="00892E76" w:rsidRDefault="00311EE7" w:rsidP="009641E9">
      <w:pPr>
        <w:pStyle w:val="Prrafodelista"/>
        <w:numPr>
          <w:ilvl w:val="0"/>
          <w:numId w:val="30"/>
        </w:numPr>
        <w:ind w:right="709"/>
        <w:jc w:val="both"/>
        <w:rPr>
          <w:rFonts w:ascii="Arial" w:eastAsia="Calibri" w:hAnsi="Arial" w:cs="Arial"/>
          <w:color w:val="000000" w:themeColor="text1"/>
          <w:sz w:val="21"/>
          <w:szCs w:val="21"/>
          <w:lang w:val="es-ES_tradnl"/>
        </w:rPr>
      </w:pPr>
      <w:r w:rsidRPr="00892E76">
        <w:rPr>
          <w:rFonts w:ascii="Arial" w:eastAsia="Calibri" w:hAnsi="Arial" w:cs="Arial"/>
          <w:color w:val="000000" w:themeColor="text1"/>
          <w:sz w:val="21"/>
          <w:szCs w:val="21"/>
          <w:lang w:val="es-ES_tradnl"/>
        </w:rPr>
        <w:t>»Copia de las planillas de pago de las personas que ostentan tal calidad, a fin de demostrar vinculación en la empresa integrante de la Unión Temporal</w:t>
      </w:r>
      <w:r w:rsidR="00A85290" w:rsidRPr="00892E76">
        <w:rPr>
          <w:rFonts w:ascii="Arial" w:eastAsia="Calibri" w:hAnsi="Arial" w:cs="Arial"/>
          <w:color w:val="000000" w:themeColor="text1"/>
          <w:sz w:val="21"/>
          <w:szCs w:val="21"/>
          <w:lang w:val="es-ES_tradnl"/>
        </w:rPr>
        <w:t>»</w:t>
      </w:r>
      <w:r w:rsidRPr="00892E76">
        <w:rPr>
          <w:rFonts w:ascii="Arial" w:eastAsia="Calibri" w:hAnsi="Arial" w:cs="Arial"/>
          <w:color w:val="000000" w:themeColor="text1"/>
          <w:sz w:val="21"/>
          <w:szCs w:val="21"/>
          <w:lang w:val="es-ES_tradnl"/>
        </w:rPr>
        <w:t>.</w:t>
      </w:r>
    </w:p>
    <w:p w14:paraId="35C3DF2D" w14:textId="77777777" w:rsidR="009641E9" w:rsidRPr="00892E76" w:rsidRDefault="009641E9" w:rsidP="009641E9">
      <w:pPr>
        <w:spacing w:line="276" w:lineRule="auto"/>
        <w:ind w:firstLine="709"/>
        <w:jc w:val="both"/>
        <w:rPr>
          <w:rFonts w:ascii="Arial" w:eastAsia="Calibri" w:hAnsi="Arial" w:cs="Arial"/>
          <w:color w:val="000000" w:themeColor="text1"/>
          <w:sz w:val="22"/>
          <w:lang w:val="es-ES_tradnl"/>
        </w:rPr>
      </w:pPr>
    </w:p>
    <w:p w14:paraId="59906507" w14:textId="266CC4BA" w:rsidR="009641E9" w:rsidRPr="00892E76" w:rsidRDefault="009641E9" w:rsidP="009641E9">
      <w:pPr>
        <w:spacing w:line="276" w:lineRule="auto"/>
        <w:ind w:firstLine="709"/>
        <w:jc w:val="both"/>
        <w:rPr>
          <w:rFonts w:ascii="Arial" w:eastAsia="Calibri" w:hAnsi="Arial" w:cs="Arial"/>
          <w:color w:val="000000" w:themeColor="text1"/>
          <w:sz w:val="22"/>
          <w:lang w:val="es-ES_tradnl"/>
        </w:rPr>
      </w:pPr>
      <w:r w:rsidRPr="00892E76">
        <w:rPr>
          <w:rFonts w:ascii="Arial" w:eastAsia="Calibri" w:hAnsi="Arial" w:cs="Arial"/>
          <w:color w:val="000000" w:themeColor="text1"/>
          <w:sz w:val="22"/>
          <w:lang w:val="es-ES_tradnl"/>
        </w:rPr>
        <w:t xml:space="preserve">En conclusión, como el numeral 4 del artículo 35 de la Ley 2069 de 2020 no establece una tarifa legal, las entidades estatales gozan de discrecionalidad administrativa para establecer en el pliego de condiciones la forma como se puede acreditar este factor de desempate por parte de los oferentes, incluidos los proponentes plurales. En caso de que el pliego de condiciones guarde silencio al respecto, la libertad probatoria se traslada al proponente, quien podrá acreditar la circunstancia prevista en el referido numeral con los medios probatorios idóneos, quedándole a la entidad estatal la carga de valorarlos, para concluir si aquellos son pertinentes y conducentes. </w:t>
      </w:r>
    </w:p>
    <w:p w14:paraId="4B472DB7" w14:textId="1DB2BD9C" w:rsidR="009641E9" w:rsidRPr="00892E76" w:rsidRDefault="009641E9" w:rsidP="00A85290">
      <w:pPr>
        <w:spacing w:before="120" w:line="276" w:lineRule="auto"/>
        <w:ind w:firstLine="709"/>
        <w:jc w:val="both"/>
        <w:rPr>
          <w:rFonts w:ascii="Arial" w:eastAsia="Calibri" w:hAnsi="Arial" w:cs="Arial"/>
          <w:color w:val="000000" w:themeColor="text1"/>
          <w:sz w:val="22"/>
          <w:lang w:val="es-ES_tradnl"/>
        </w:rPr>
      </w:pPr>
      <w:r w:rsidRPr="00892E76">
        <w:rPr>
          <w:rFonts w:ascii="Arial" w:eastAsia="Calibri" w:hAnsi="Arial" w:cs="Arial"/>
          <w:color w:val="000000" w:themeColor="text1"/>
          <w:sz w:val="22"/>
          <w:lang w:val="es-ES_tradnl"/>
        </w:rPr>
        <w:t>Sin embargo, precisamente por no existir tarifa legal, y además teniendo en cuenta que la competencia consultiva de la Agencia Nacional de Contratación Pública –Colombia Compra Eficiente se circunscribe a la expedición de conceptos sobre la interpretación de normas con un alcance general, no le es dado a este órgano rector definir un listado de documentos específicos con los que se debe probar el factor de desempate contenido en el numeral 4 del artículo 35 de la Ley 2069 de 2020. El gobierno nacional, en ejercicio de la competencia conferida por el artículo 189 –numeral 11– de la Constitución, podría hacerlo en el reglamento que expida. Entretanto, las entidades estatales gozan de autonomía para valorar las pruebas aportadas por el oferente y para tomar una decisión que garantice los principios de legalidad y proporcionalidad.</w:t>
      </w:r>
    </w:p>
    <w:p w14:paraId="1F71E509" w14:textId="77777777" w:rsidR="00A85290" w:rsidRPr="00892E76" w:rsidRDefault="00A85290" w:rsidP="00311EE7">
      <w:pPr>
        <w:ind w:left="709" w:right="709"/>
        <w:jc w:val="both"/>
        <w:rPr>
          <w:rFonts w:ascii="Arial" w:eastAsia="Calibri" w:hAnsi="Arial" w:cs="Arial"/>
          <w:color w:val="000000" w:themeColor="text1"/>
          <w:sz w:val="21"/>
          <w:szCs w:val="21"/>
          <w:lang w:val="es-ES_tradnl"/>
        </w:rPr>
      </w:pPr>
    </w:p>
    <w:p w14:paraId="5686EAE4" w14:textId="4DB0141F" w:rsidR="00311EE7" w:rsidRPr="00892E76" w:rsidRDefault="00A85290" w:rsidP="00311EE7">
      <w:pPr>
        <w:ind w:left="709" w:right="709"/>
        <w:jc w:val="both"/>
        <w:rPr>
          <w:rFonts w:ascii="Arial" w:eastAsia="Calibri" w:hAnsi="Arial" w:cs="Arial"/>
          <w:color w:val="000000" w:themeColor="text1"/>
          <w:sz w:val="21"/>
          <w:szCs w:val="21"/>
          <w:lang w:val="es-ES_tradnl"/>
        </w:rPr>
      </w:pPr>
      <w:r w:rsidRPr="00892E76">
        <w:rPr>
          <w:rFonts w:ascii="Arial" w:eastAsia="Calibri" w:hAnsi="Arial" w:cs="Arial"/>
          <w:color w:val="000000" w:themeColor="text1"/>
          <w:sz w:val="21"/>
          <w:szCs w:val="21"/>
          <w:lang w:val="es-ES_tradnl"/>
        </w:rPr>
        <w:t>«</w:t>
      </w:r>
      <w:r w:rsidR="00311EE7" w:rsidRPr="00892E76">
        <w:rPr>
          <w:rFonts w:ascii="Arial" w:eastAsia="Calibri" w:hAnsi="Arial" w:cs="Arial"/>
          <w:color w:val="000000" w:themeColor="text1"/>
          <w:sz w:val="21"/>
          <w:szCs w:val="21"/>
          <w:lang w:val="es-ES_tradnl"/>
        </w:rPr>
        <w:t xml:space="preserve">2. Teniendo en cuenta que no hay tarifa legal que defina como debe acreditarse la condición dispuesta en el numeral 4) del artículo 35 de la Ley 2069 de 2020, en relación con proponentes plurales, entendemos que en caso de proponentes plurales bastaría con que uno o varios de sus integrantes acredite las condiciones dispuestos en el numeral 4) del artículo 35 de la Ley 2069 de 2020, para ser beneficiario de dicho criterio de desempate, tal y como sucede frente a los criterios de desempate de 10% de la nómina en condición de discapacitados y </w:t>
      </w:r>
      <w:proofErr w:type="spellStart"/>
      <w:r w:rsidR="00311EE7" w:rsidRPr="00892E76">
        <w:rPr>
          <w:rFonts w:ascii="Arial" w:eastAsia="Calibri" w:hAnsi="Arial" w:cs="Arial"/>
          <w:color w:val="000000" w:themeColor="text1"/>
          <w:sz w:val="21"/>
          <w:szCs w:val="21"/>
          <w:lang w:val="es-ES_tradnl"/>
        </w:rPr>
        <w:t>Mipymes</w:t>
      </w:r>
      <w:proofErr w:type="spellEnd"/>
      <w:r w:rsidR="00311EE7" w:rsidRPr="00892E76">
        <w:rPr>
          <w:rFonts w:ascii="Arial" w:eastAsia="Calibri" w:hAnsi="Arial" w:cs="Arial"/>
          <w:color w:val="000000" w:themeColor="text1"/>
          <w:sz w:val="21"/>
          <w:szCs w:val="21"/>
          <w:lang w:val="es-ES_tradnl"/>
        </w:rPr>
        <w:t>, en donde se permite que como mínimo uno de los integrantes cumpla con dicha condición».</w:t>
      </w:r>
    </w:p>
    <w:p w14:paraId="7FE09CC8" w14:textId="57FE6EF3" w:rsidR="0040576E" w:rsidRPr="00892E76" w:rsidRDefault="0040576E" w:rsidP="00853A3C">
      <w:pPr>
        <w:ind w:right="709"/>
        <w:jc w:val="both"/>
        <w:rPr>
          <w:rFonts w:ascii="Arial" w:hAnsi="Arial" w:cs="Arial"/>
          <w:color w:val="000000" w:themeColor="text1"/>
          <w:sz w:val="21"/>
          <w:szCs w:val="21"/>
          <w:lang w:val="es-ES_tradnl"/>
        </w:rPr>
      </w:pPr>
    </w:p>
    <w:p w14:paraId="4AE9EF81" w14:textId="75DEBBD5" w:rsidR="00A85290" w:rsidRPr="00892E76" w:rsidRDefault="00A85290" w:rsidP="00A85290">
      <w:pPr>
        <w:spacing w:before="120" w:line="276" w:lineRule="auto"/>
        <w:jc w:val="both"/>
        <w:rPr>
          <w:rFonts w:ascii="Arial" w:eastAsia="Calibri" w:hAnsi="Arial" w:cs="Arial"/>
          <w:color w:val="000000" w:themeColor="text1"/>
          <w:sz w:val="22"/>
          <w:lang w:val="es-ES_tradnl"/>
        </w:rPr>
      </w:pPr>
      <w:r w:rsidRPr="00892E76">
        <w:rPr>
          <w:rFonts w:ascii="Arial" w:eastAsia="Calibri" w:hAnsi="Arial" w:cs="Arial"/>
          <w:color w:val="000000" w:themeColor="text1"/>
          <w:sz w:val="22"/>
          <w:lang w:val="es-ES_tradnl"/>
        </w:rPr>
        <w:t>Tratándose de proponentes plurales, esta Agencia adoptó el siguiente criterio en el numeral 4.6 de los documentos tipo para licitación de obra pública de infraestructura de transporte –versión 3, con las modificaciones de la Resolución 161 de 2021–:</w:t>
      </w:r>
    </w:p>
    <w:p w14:paraId="0B95F75E" w14:textId="77777777" w:rsidR="00A85290" w:rsidRPr="00892E76" w:rsidRDefault="00A85290" w:rsidP="00A85290">
      <w:pPr>
        <w:ind w:left="709" w:right="709"/>
        <w:jc w:val="both"/>
        <w:rPr>
          <w:rFonts w:ascii="Arial" w:hAnsi="Arial" w:cs="Arial"/>
          <w:color w:val="000000" w:themeColor="text1"/>
          <w:sz w:val="21"/>
          <w:szCs w:val="21"/>
          <w:lang w:val="es-ES_tradnl"/>
        </w:rPr>
      </w:pPr>
    </w:p>
    <w:p w14:paraId="133F79EA" w14:textId="77777777" w:rsidR="00A85290" w:rsidRPr="00892E76" w:rsidRDefault="00A85290" w:rsidP="00A85290">
      <w:pPr>
        <w:ind w:left="709" w:right="709"/>
        <w:jc w:val="both"/>
        <w:rPr>
          <w:rFonts w:ascii="Arial" w:hAnsi="Arial" w:cs="Arial"/>
          <w:color w:val="000000" w:themeColor="text1"/>
          <w:sz w:val="21"/>
          <w:szCs w:val="21"/>
          <w:lang w:val="es-ES_tradnl"/>
        </w:rPr>
      </w:pPr>
      <w:r w:rsidRPr="00892E76">
        <w:rPr>
          <w:rFonts w:ascii="Arial" w:hAnsi="Arial" w:cs="Arial"/>
          <w:color w:val="000000" w:themeColor="text1"/>
          <w:sz w:val="21"/>
          <w:szCs w:val="21"/>
          <w:lang w:val="es-ES_tradnl"/>
        </w:rPr>
        <w:lastRenderedPageBreak/>
        <w:t xml:space="preserve">En el caso de los proponentes plurales, su representante legal diligenciará el «Formato 10 C – Vinculación de personas mayores y no beneficiaria de pensión de vejez, familiar o sobrevivencia – (Empleador – proponente)», mediante el cual certifique el número de trabajadores vinculados que siendo personas mayores no beneficiarias de la pensión de vejez, familiar o de sobrevivencia y que cumplieron el requisito de edad de pensión establecido en la ley, </w:t>
      </w:r>
      <w:r w:rsidRPr="00892E76">
        <w:rPr>
          <w:rFonts w:ascii="Arial" w:hAnsi="Arial" w:cs="Arial"/>
          <w:i/>
          <w:iCs/>
          <w:color w:val="000000" w:themeColor="text1"/>
          <w:sz w:val="21"/>
          <w:szCs w:val="21"/>
          <w:lang w:val="es-ES_tradnl"/>
        </w:rPr>
        <w:t>de todos los integrantes del consorcio o de la unión temporal. Las personas enunciadas anteriormente podrán estar vinculadas a cualquiera de sus integrantes</w:t>
      </w:r>
      <w:r w:rsidRPr="00892E76">
        <w:rPr>
          <w:rFonts w:ascii="Arial" w:hAnsi="Arial" w:cs="Arial"/>
          <w:color w:val="000000" w:themeColor="text1"/>
          <w:sz w:val="21"/>
          <w:szCs w:val="21"/>
          <w:lang w:val="es-ES_tradnl"/>
        </w:rPr>
        <w:t>.</w:t>
      </w:r>
    </w:p>
    <w:p w14:paraId="0534B24B" w14:textId="77777777" w:rsidR="00A85290" w:rsidRPr="00892E76" w:rsidRDefault="00A85290" w:rsidP="00A85290">
      <w:pPr>
        <w:ind w:left="709" w:right="709"/>
        <w:jc w:val="both"/>
        <w:rPr>
          <w:rFonts w:ascii="Arial" w:hAnsi="Arial" w:cs="Arial"/>
          <w:color w:val="000000" w:themeColor="text1"/>
          <w:sz w:val="21"/>
          <w:szCs w:val="21"/>
          <w:lang w:val="es-ES_tradnl"/>
        </w:rPr>
      </w:pPr>
    </w:p>
    <w:p w14:paraId="51A8A822" w14:textId="77777777" w:rsidR="00A85290" w:rsidRPr="00892E76" w:rsidRDefault="00A85290" w:rsidP="00A85290">
      <w:pPr>
        <w:ind w:left="709" w:right="709"/>
        <w:jc w:val="both"/>
        <w:rPr>
          <w:rFonts w:ascii="Arial" w:hAnsi="Arial" w:cs="Arial"/>
          <w:color w:val="000000" w:themeColor="text1"/>
          <w:sz w:val="21"/>
          <w:szCs w:val="21"/>
          <w:lang w:val="es-ES_tradnl"/>
        </w:rPr>
      </w:pPr>
      <w:r w:rsidRPr="00892E76">
        <w:rPr>
          <w:rFonts w:ascii="Arial" w:hAnsi="Arial" w:cs="Arial"/>
          <w:color w:val="000000" w:themeColor="text1"/>
          <w:sz w:val="21"/>
          <w:szCs w:val="21"/>
          <w:lang w:val="es-ES_tradnl"/>
        </w:rPr>
        <w:t>En cualquiera de los dos supuestos anteriores, para el otorgamiento del criterio de desempate, cada uno de los trabajadores que cumpla las condiciones previstas por la ley diligenciará el «Formato 10 C – Vinculación de personas mayores y no beneficiaria de pensión de vejez, familiar o sobrevivencia (Trabajador)», mediante el cual certifica bajo la gravedad de juramento que no es beneficiario de pensión de vejez, familiar o sobrevivencia y cumple la edad de pensión, además, se deberá allegar el documento de identificación del trabajador que lo firma.</w:t>
      </w:r>
    </w:p>
    <w:p w14:paraId="4E4705BB" w14:textId="77777777" w:rsidR="00A85290" w:rsidRPr="00892E76" w:rsidRDefault="00A85290" w:rsidP="00A85290">
      <w:pPr>
        <w:ind w:left="709" w:right="709"/>
        <w:jc w:val="both"/>
        <w:rPr>
          <w:rFonts w:ascii="Arial" w:hAnsi="Arial" w:cs="Arial"/>
          <w:color w:val="000000" w:themeColor="text1"/>
          <w:sz w:val="21"/>
          <w:szCs w:val="21"/>
          <w:lang w:val="es-ES_tradnl"/>
        </w:rPr>
      </w:pPr>
    </w:p>
    <w:p w14:paraId="15B3A78F" w14:textId="77777777" w:rsidR="00A85290" w:rsidRPr="00892E76" w:rsidRDefault="00A85290" w:rsidP="00A85290">
      <w:pPr>
        <w:ind w:left="709" w:right="709"/>
        <w:jc w:val="both"/>
        <w:rPr>
          <w:rFonts w:ascii="Arial" w:hAnsi="Arial" w:cs="Arial"/>
          <w:color w:val="000000" w:themeColor="text1"/>
          <w:sz w:val="21"/>
          <w:szCs w:val="21"/>
          <w:lang w:val="es-ES_tradnl"/>
        </w:rPr>
      </w:pPr>
      <w:r w:rsidRPr="00892E76">
        <w:rPr>
          <w:rFonts w:ascii="Arial" w:hAnsi="Arial" w:cs="Arial"/>
          <w:color w:val="000000" w:themeColor="text1"/>
          <w:sz w:val="21"/>
          <w:szCs w:val="21"/>
          <w:lang w:val="es-ES_tradnl"/>
        </w:rPr>
        <w:t xml:space="preserve">La mayor proporción se definirá en relación con el número total de trabajadores vinculados en la planta de personal, por lo que se preferirá al oferente que acredite un porcentaje mayor. </w:t>
      </w:r>
      <w:r w:rsidRPr="00892E76">
        <w:rPr>
          <w:rFonts w:ascii="Arial" w:hAnsi="Arial" w:cs="Arial"/>
          <w:i/>
          <w:iCs/>
          <w:color w:val="000000" w:themeColor="text1"/>
          <w:sz w:val="21"/>
          <w:szCs w:val="21"/>
          <w:lang w:val="es-ES_tradnl"/>
        </w:rPr>
        <w:t>En el caso de proponentes plurales, la mayor proporción se definirá con la sumatoria de trabajadores vinculados en la planta de personal de cada uno de sus integrantes</w:t>
      </w:r>
      <w:r w:rsidRPr="00892E76">
        <w:rPr>
          <w:rStyle w:val="Refdenotaalpie"/>
          <w:rFonts w:ascii="Arial" w:hAnsi="Arial" w:cs="Arial"/>
          <w:color w:val="000000" w:themeColor="text1"/>
          <w:sz w:val="21"/>
          <w:szCs w:val="21"/>
          <w:lang w:val="es-ES_tradnl"/>
        </w:rPr>
        <w:footnoteReference w:id="15"/>
      </w:r>
      <w:r w:rsidRPr="00892E76">
        <w:rPr>
          <w:rFonts w:ascii="Arial" w:hAnsi="Arial" w:cs="Arial"/>
          <w:i/>
          <w:iCs/>
          <w:color w:val="000000" w:themeColor="text1"/>
          <w:sz w:val="21"/>
          <w:szCs w:val="21"/>
          <w:lang w:val="es-ES_tradnl"/>
        </w:rPr>
        <w:t xml:space="preserve"> </w:t>
      </w:r>
      <w:r w:rsidRPr="00892E76">
        <w:rPr>
          <w:rFonts w:ascii="Arial" w:hAnsi="Arial" w:cs="Arial"/>
          <w:color w:val="000000" w:themeColor="text1"/>
          <w:sz w:val="21"/>
          <w:szCs w:val="21"/>
          <w:lang w:val="es-ES_tradnl"/>
        </w:rPr>
        <w:t>(Énfasis fuera de texto).</w:t>
      </w:r>
    </w:p>
    <w:p w14:paraId="282FDD83" w14:textId="77777777" w:rsidR="00A85290" w:rsidRPr="00892E76" w:rsidRDefault="00A85290" w:rsidP="00A85290">
      <w:pPr>
        <w:spacing w:line="276" w:lineRule="auto"/>
        <w:ind w:firstLine="709"/>
        <w:jc w:val="both"/>
        <w:rPr>
          <w:rFonts w:ascii="Arial" w:eastAsia="Calibri" w:hAnsi="Arial" w:cs="Arial"/>
          <w:color w:val="000000" w:themeColor="text1"/>
          <w:sz w:val="22"/>
          <w:lang w:val="es-ES_tradnl"/>
        </w:rPr>
      </w:pPr>
    </w:p>
    <w:p w14:paraId="4F51A5C8" w14:textId="776025B0" w:rsidR="00A85290" w:rsidRPr="00892E76" w:rsidRDefault="00A85290" w:rsidP="00A85290">
      <w:pPr>
        <w:spacing w:line="276" w:lineRule="auto"/>
        <w:ind w:firstLine="709"/>
        <w:jc w:val="both"/>
        <w:rPr>
          <w:rFonts w:ascii="Arial" w:eastAsia="Calibri" w:hAnsi="Arial" w:cs="Arial"/>
          <w:color w:val="000000" w:themeColor="text1"/>
          <w:sz w:val="22"/>
          <w:lang w:val="es-ES_tradnl"/>
        </w:rPr>
      </w:pPr>
      <w:r w:rsidRPr="00892E76">
        <w:rPr>
          <w:rFonts w:ascii="Arial" w:eastAsia="Calibri" w:hAnsi="Arial" w:cs="Arial"/>
          <w:color w:val="000000" w:themeColor="text1"/>
          <w:sz w:val="22"/>
          <w:lang w:val="es-ES_tradnl"/>
        </w:rPr>
        <w:t>Si bien los documentos tipo no rigen en todos los procedimientos de selección, la anterior es la interpretación de la Agencia sobre la forma de acreditar el factor de desempate del artículo 35, numeral 4, de la Ley 2069 de 2020, por parte de los proponentes plurales. En consecuencia, esta consideración le puede servir como guía ilustrativa. Sin embargo, se reitera que cada entidad estatal en el pliego de condiciones o equivalente –en aquellos casos en los cuales el procedimiento no se rige por los documentos tipo–, tiene discrecionalidad para definir la manera como deben acreditarse los factores de desempate sobre los cuales el ordenamiento jurídico no ha establecido un medio probatorio específico.</w:t>
      </w:r>
      <w:r w:rsidR="008C1516" w:rsidRPr="00892E76">
        <w:rPr>
          <w:rFonts w:ascii="Arial" w:eastAsia="Calibri" w:hAnsi="Arial" w:cs="Arial"/>
          <w:color w:val="000000" w:themeColor="text1"/>
          <w:sz w:val="22"/>
          <w:lang w:val="es-ES_tradnl"/>
        </w:rPr>
        <w:t xml:space="preserve"> Esto sin perjuicio de que en el reglamento que expida el gobierno nacional se establezcan medios probatorios específicos –como, en efecto, lo hace el proyecto de decreto sobre la materia–, los cuales deberán respetarse por parte de las entidades contratantes y los particulares, una vez entre en vigencia dicho cuerpo normativo.</w:t>
      </w:r>
    </w:p>
    <w:p w14:paraId="56F3329F" w14:textId="77777777" w:rsidR="00A85290" w:rsidRPr="00892E76" w:rsidRDefault="00A85290" w:rsidP="00853A3C">
      <w:pPr>
        <w:ind w:right="709"/>
        <w:jc w:val="both"/>
        <w:rPr>
          <w:rFonts w:ascii="Arial" w:hAnsi="Arial" w:cs="Arial"/>
          <w:color w:val="000000" w:themeColor="text1"/>
          <w:sz w:val="21"/>
          <w:szCs w:val="21"/>
          <w:lang w:val="es-ES_tradnl"/>
        </w:rPr>
      </w:pPr>
    </w:p>
    <w:p w14:paraId="7B2C921D" w14:textId="0383AF9A" w:rsidR="00DD5B04" w:rsidRPr="00892E76" w:rsidRDefault="00DD5B04" w:rsidP="00DF76A2">
      <w:pPr>
        <w:spacing w:line="276" w:lineRule="auto"/>
        <w:jc w:val="both"/>
        <w:rPr>
          <w:rFonts w:ascii="Arial" w:hAnsi="Arial" w:cs="Arial"/>
          <w:color w:val="000000" w:themeColor="text1"/>
          <w:sz w:val="22"/>
          <w:lang w:val="es-ES_tradnl"/>
        </w:rPr>
      </w:pPr>
      <w:r w:rsidRPr="00892E76">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892E7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892E76"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892E76">
        <w:rPr>
          <w:rFonts w:ascii="Arial" w:hAnsi="Arial" w:cs="Arial"/>
          <w:color w:val="000000" w:themeColor="text1"/>
          <w:sz w:val="22"/>
          <w:szCs w:val="22"/>
          <w:lang w:val="es-ES_tradnl"/>
        </w:rPr>
        <w:t>Atentamente,</w:t>
      </w:r>
    </w:p>
    <w:p w14:paraId="692FC307" w14:textId="210AA6B5" w:rsidR="00921304" w:rsidRPr="00892E76"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53FFE192" w:rsidR="00921304" w:rsidRPr="00892E76" w:rsidRDefault="003C3DF0" w:rsidP="00F90C4D">
      <w:pPr>
        <w:pStyle w:val="NormalWeb"/>
        <w:spacing w:before="0" w:beforeAutospacing="0" w:after="0" w:afterAutospacing="0" w:line="276" w:lineRule="auto"/>
        <w:jc w:val="center"/>
        <w:rPr>
          <w:rFonts w:ascii="Arial" w:hAnsi="Arial" w:cs="Arial"/>
          <w:b/>
          <w:bCs/>
          <w:color w:val="000000" w:themeColor="text1"/>
          <w:sz w:val="22"/>
          <w:szCs w:val="22"/>
          <w:lang w:val="es-ES_tradnl"/>
        </w:rPr>
      </w:pPr>
      <w:r>
        <w:rPr>
          <w:noProof/>
        </w:rPr>
        <w:lastRenderedPageBreak/>
        <w:drawing>
          <wp:inline distT="0" distB="0" distL="0" distR="0" wp14:anchorId="1A7D84C5" wp14:editId="5C5B2E2A">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49730030" w14:textId="217D35F3" w:rsidR="00DD5B04" w:rsidRPr="00892E76" w:rsidRDefault="00DD5B04" w:rsidP="00AD314B">
      <w:pP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342B6" w:rsidRPr="00892E76" w14:paraId="0C7DC5F7" w14:textId="77777777" w:rsidTr="003D3D44">
        <w:trPr>
          <w:trHeight w:val="315"/>
        </w:trPr>
        <w:tc>
          <w:tcPr>
            <w:tcW w:w="812" w:type="dxa"/>
            <w:vAlign w:val="center"/>
            <w:hideMark/>
          </w:tcPr>
          <w:p w14:paraId="5BDB1AC9" w14:textId="77777777" w:rsidR="00DD5B04" w:rsidRPr="00892E76" w:rsidRDefault="00DD5B04" w:rsidP="00DF76A2">
            <w:pPr>
              <w:jc w:val="both"/>
              <w:rPr>
                <w:rFonts w:ascii="Arial" w:hAnsi="Arial" w:cs="Arial"/>
                <w:color w:val="000000" w:themeColor="text1"/>
                <w:sz w:val="16"/>
                <w:szCs w:val="16"/>
                <w:lang w:val="es-ES_tradnl" w:eastAsia="es-ES"/>
              </w:rPr>
            </w:pPr>
            <w:r w:rsidRPr="00892E76">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892E76" w:rsidRDefault="00DD5B04" w:rsidP="00DF76A2">
            <w:pPr>
              <w:jc w:val="both"/>
              <w:rPr>
                <w:rFonts w:ascii="Arial" w:hAnsi="Arial" w:cs="Arial"/>
                <w:color w:val="000000" w:themeColor="text1"/>
                <w:sz w:val="16"/>
                <w:szCs w:val="16"/>
                <w:lang w:val="es-ES_tradnl" w:eastAsia="es-ES"/>
              </w:rPr>
            </w:pPr>
            <w:r w:rsidRPr="00892E76">
              <w:rPr>
                <w:rFonts w:ascii="Arial" w:hAnsi="Arial" w:cs="Arial"/>
                <w:color w:val="000000" w:themeColor="text1"/>
                <w:sz w:val="16"/>
                <w:szCs w:val="16"/>
                <w:lang w:val="es-ES_tradnl" w:eastAsia="es-ES"/>
              </w:rPr>
              <w:t>Cristian Andrés Díaz Díez</w:t>
            </w:r>
          </w:p>
          <w:p w14:paraId="240C71FD" w14:textId="31312C95" w:rsidR="00DD5B04" w:rsidRPr="00892E76" w:rsidRDefault="00DD5B04" w:rsidP="00DF76A2">
            <w:pPr>
              <w:jc w:val="both"/>
              <w:rPr>
                <w:rFonts w:ascii="Arial" w:hAnsi="Arial" w:cs="Arial"/>
                <w:color w:val="000000" w:themeColor="text1"/>
                <w:sz w:val="16"/>
                <w:szCs w:val="16"/>
                <w:lang w:val="es-ES_tradnl" w:eastAsia="es-ES"/>
              </w:rPr>
            </w:pPr>
            <w:r w:rsidRPr="00892E76">
              <w:rPr>
                <w:rFonts w:ascii="Arial" w:hAnsi="Arial" w:cs="Arial"/>
                <w:color w:val="000000" w:themeColor="text1"/>
                <w:sz w:val="16"/>
                <w:szCs w:val="16"/>
                <w:lang w:val="es-ES_tradnl" w:eastAsia="es-ES"/>
              </w:rPr>
              <w:t>Contratista</w:t>
            </w:r>
            <w:r w:rsidR="00FF0050" w:rsidRPr="00892E76">
              <w:rPr>
                <w:rFonts w:ascii="Arial" w:hAnsi="Arial" w:cs="Arial"/>
                <w:color w:val="000000" w:themeColor="text1"/>
                <w:sz w:val="16"/>
                <w:szCs w:val="16"/>
                <w:lang w:val="es-ES_tradnl" w:eastAsia="es-ES"/>
              </w:rPr>
              <w:t xml:space="preserve"> de la </w:t>
            </w:r>
            <w:r w:rsidRPr="00892E76">
              <w:rPr>
                <w:rFonts w:ascii="Arial" w:hAnsi="Arial" w:cs="Arial"/>
                <w:color w:val="000000" w:themeColor="text1"/>
                <w:sz w:val="16"/>
                <w:szCs w:val="16"/>
                <w:lang w:val="es-ES_tradnl" w:eastAsia="es-ES"/>
              </w:rPr>
              <w:t>Subdirección de Gestión Contractual</w:t>
            </w:r>
          </w:p>
        </w:tc>
      </w:tr>
      <w:tr w:rsidR="009342B6" w:rsidRPr="00892E76" w14:paraId="2F8FD650" w14:textId="77777777" w:rsidTr="003D3D44">
        <w:trPr>
          <w:trHeight w:val="330"/>
        </w:trPr>
        <w:tc>
          <w:tcPr>
            <w:tcW w:w="812" w:type="dxa"/>
            <w:vAlign w:val="center"/>
            <w:hideMark/>
          </w:tcPr>
          <w:p w14:paraId="50203A0B" w14:textId="77777777" w:rsidR="00DD5B04" w:rsidRPr="00892E76" w:rsidRDefault="00DD5B04" w:rsidP="00DF76A2">
            <w:pPr>
              <w:jc w:val="both"/>
              <w:rPr>
                <w:rFonts w:ascii="Arial" w:hAnsi="Arial" w:cs="Arial"/>
                <w:color w:val="000000" w:themeColor="text1"/>
                <w:sz w:val="16"/>
                <w:szCs w:val="16"/>
                <w:lang w:val="es-ES_tradnl" w:eastAsia="es-ES"/>
              </w:rPr>
            </w:pPr>
            <w:r w:rsidRPr="00892E76">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B9C197A" w14:textId="77777777" w:rsidR="009654C6" w:rsidRPr="00892E76" w:rsidRDefault="009654C6" w:rsidP="009654C6">
            <w:pPr>
              <w:jc w:val="both"/>
              <w:rPr>
                <w:rFonts w:ascii="Arial" w:hAnsi="Arial" w:cs="Arial"/>
                <w:color w:val="000000" w:themeColor="text1"/>
                <w:sz w:val="16"/>
                <w:szCs w:val="16"/>
                <w:lang w:val="es-ES_tradnl" w:eastAsia="es-ES"/>
              </w:rPr>
            </w:pPr>
            <w:r w:rsidRPr="00892E76">
              <w:rPr>
                <w:rFonts w:ascii="Arial" w:hAnsi="Arial" w:cs="Arial"/>
                <w:color w:val="000000" w:themeColor="text1"/>
                <w:sz w:val="16"/>
                <w:szCs w:val="16"/>
                <w:lang w:val="es-ES_tradnl" w:eastAsia="es-ES"/>
              </w:rPr>
              <w:t>Jorge Augusto Tirado Navarro</w:t>
            </w:r>
          </w:p>
          <w:p w14:paraId="130B3228" w14:textId="2E8A61DF" w:rsidR="00DD5B04" w:rsidRPr="00892E76" w:rsidRDefault="009654C6" w:rsidP="009654C6">
            <w:pPr>
              <w:jc w:val="both"/>
              <w:rPr>
                <w:rFonts w:ascii="Arial" w:hAnsi="Arial" w:cs="Arial"/>
                <w:color w:val="000000" w:themeColor="text1"/>
                <w:sz w:val="16"/>
                <w:szCs w:val="16"/>
                <w:lang w:val="es-ES_tradnl" w:eastAsia="es-ES"/>
              </w:rPr>
            </w:pPr>
            <w:r w:rsidRPr="00892E76">
              <w:rPr>
                <w:rFonts w:ascii="Arial" w:hAnsi="Arial" w:cs="Arial"/>
                <w:color w:val="000000" w:themeColor="text1"/>
                <w:sz w:val="16"/>
                <w:szCs w:val="16"/>
                <w:lang w:val="es-ES_tradnl" w:eastAsia="es-ES"/>
              </w:rPr>
              <w:t>Subdirector de Gestión Contractual ANCP – CCE</w:t>
            </w:r>
          </w:p>
        </w:tc>
      </w:tr>
      <w:tr w:rsidR="00DD5B04" w:rsidRPr="00CF16CF" w14:paraId="0FCBCA4A" w14:textId="77777777" w:rsidTr="003D3D44">
        <w:trPr>
          <w:trHeight w:val="300"/>
        </w:trPr>
        <w:tc>
          <w:tcPr>
            <w:tcW w:w="812" w:type="dxa"/>
            <w:vAlign w:val="center"/>
            <w:hideMark/>
          </w:tcPr>
          <w:p w14:paraId="3C1D943A" w14:textId="77777777" w:rsidR="00DD5B04" w:rsidRPr="00892E76" w:rsidRDefault="00DD5B04" w:rsidP="00DF76A2">
            <w:pPr>
              <w:jc w:val="both"/>
              <w:rPr>
                <w:rFonts w:ascii="Arial" w:hAnsi="Arial" w:cs="Arial"/>
                <w:color w:val="000000" w:themeColor="text1"/>
                <w:sz w:val="16"/>
                <w:szCs w:val="16"/>
                <w:lang w:val="es-ES_tradnl" w:eastAsia="es-ES"/>
              </w:rPr>
            </w:pPr>
            <w:r w:rsidRPr="00892E76">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3DFAA" w14:textId="77777777" w:rsidR="00134E7E" w:rsidRPr="00892E76" w:rsidRDefault="00134E7E" w:rsidP="00134E7E">
            <w:pPr>
              <w:jc w:val="both"/>
              <w:rPr>
                <w:rFonts w:ascii="Arial" w:hAnsi="Arial" w:cs="Arial"/>
                <w:color w:val="000000" w:themeColor="text1"/>
                <w:sz w:val="16"/>
                <w:szCs w:val="16"/>
                <w:lang w:val="es-ES_tradnl" w:eastAsia="es-ES"/>
              </w:rPr>
            </w:pPr>
            <w:r w:rsidRPr="00892E76">
              <w:rPr>
                <w:rFonts w:ascii="Arial" w:hAnsi="Arial" w:cs="Arial"/>
                <w:color w:val="000000" w:themeColor="text1"/>
                <w:sz w:val="16"/>
                <w:szCs w:val="16"/>
                <w:lang w:val="es-ES_tradnl" w:eastAsia="es-ES"/>
              </w:rPr>
              <w:t>Jorge Augusto Tirado Navarro</w:t>
            </w:r>
          </w:p>
          <w:p w14:paraId="1ADC483B" w14:textId="1C385A7F" w:rsidR="00DD5B04" w:rsidRPr="00CF16CF" w:rsidRDefault="00134E7E" w:rsidP="00134E7E">
            <w:pPr>
              <w:jc w:val="both"/>
              <w:rPr>
                <w:rFonts w:ascii="Arial" w:hAnsi="Arial" w:cs="Arial"/>
                <w:color w:val="000000" w:themeColor="text1"/>
                <w:sz w:val="16"/>
                <w:szCs w:val="16"/>
                <w:lang w:val="es-ES_tradnl" w:eastAsia="es-ES"/>
              </w:rPr>
            </w:pPr>
            <w:r w:rsidRPr="00892E76">
              <w:rPr>
                <w:rFonts w:ascii="Arial" w:hAnsi="Arial" w:cs="Arial"/>
                <w:color w:val="000000" w:themeColor="text1"/>
                <w:sz w:val="16"/>
                <w:szCs w:val="16"/>
                <w:lang w:val="es-ES_tradnl" w:eastAsia="es-ES"/>
              </w:rPr>
              <w:t>Subdirector de Gestión Contractual ANCP – CCE</w:t>
            </w:r>
          </w:p>
        </w:tc>
      </w:tr>
    </w:tbl>
    <w:p w14:paraId="35B56F46" w14:textId="77777777" w:rsidR="00746E08" w:rsidRPr="00CF16CF" w:rsidRDefault="00746E08" w:rsidP="00215B8E">
      <w:pPr>
        <w:jc w:val="both"/>
        <w:rPr>
          <w:rFonts w:ascii="Arial" w:hAnsi="Arial" w:cs="Arial"/>
          <w:color w:val="000000" w:themeColor="text1"/>
          <w:lang w:val="es-ES_tradnl"/>
        </w:rPr>
      </w:pPr>
    </w:p>
    <w:sectPr w:rsidR="00746E08" w:rsidRPr="00CF16CF"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06272" w14:textId="77777777" w:rsidR="00221095" w:rsidRDefault="00221095">
      <w:r>
        <w:separator/>
      </w:r>
    </w:p>
  </w:endnote>
  <w:endnote w:type="continuationSeparator" w:id="0">
    <w:p w14:paraId="10354DF8" w14:textId="77777777" w:rsidR="00221095" w:rsidRDefault="00221095">
      <w:r>
        <w:continuationSeparator/>
      </w:r>
    </w:p>
  </w:endnote>
  <w:endnote w:type="continuationNotice" w:id="1">
    <w:p w14:paraId="692AF76F" w14:textId="77777777" w:rsidR="00221095" w:rsidRDefault="00221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3D3D44" w:rsidRDefault="003D3D44" w:rsidP="00322937">
    <w:pPr>
      <w:pStyle w:val="Sinespaciado"/>
      <w:jc w:val="right"/>
      <w:rPr>
        <w:rFonts w:ascii="Arial" w:hAnsi="Arial" w:cs="Arial"/>
        <w:sz w:val="18"/>
        <w:szCs w:val="18"/>
      </w:rPr>
    </w:pPr>
  </w:p>
  <w:p w14:paraId="7A3785F3" w14:textId="2EF28465" w:rsidR="003D3D44" w:rsidRPr="008217B7" w:rsidRDefault="003D3D44"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3D3D44" w:rsidRDefault="003D3D44"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D3D44" w:rsidRDefault="003D3D44" w:rsidP="007B0854">
    <w:pPr>
      <w:pStyle w:val="Piedepgina"/>
      <w:jc w:val="center"/>
      <w:rPr>
        <w:lang w:val="es-ES"/>
      </w:rPr>
    </w:pPr>
  </w:p>
  <w:p w14:paraId="6C0EFC49" w14:textId="77777777" w:rsidR="003D3D44" w:rsidRPr="007B0854" w:rsidRDefault="003D3D44"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48733" w14:textId="77777777" w:rsidR="00221095" w:rsidRDefault="00221095">
      <w:r>
        <w:separator/>
      </w:r>
    </w:p>
  </w:footnote>
  <w:footnote w:type="continuationSeparator" w:id="0">
    <w:p w14:paraId="39761482" w14:textId="77777777" w:rsidR="00221095" w:rsidRDefault="00221095">
      <w:r>
        <w:continuationSeparator/>
      </w:r>
    </w:p>
  </w:footnote>
  <w:footnote w:type="continuationNotice" w:id="1">
    <w:p w14:paraId="77B5408E" w14:textId="77777777" w:rsidR="00221095" w:rsidRDefault="00221095"/>
  </w:footnote>
  <w:footnote w:id="2">
    <w:p w14:paraId="20700D94" w14:textId="6D66BB23" w:rsidR="005508B2" w:rsidRPr="00892E76" w:rsidRDefault="005508B2" w:rsidP="007F6D1B">
      <w:pPr>
        <w:pStyle w:val="Textonotapie"/>
        <w:ind w:firstLine="709"/>
        <w:jc w:val="both"/>
        <w:rPr>
          <w:rFonts w:ascii="Arial" w:hAnsi="Arial" w:cs="Arial"/>
          <w:sz w:val="19"/>
          <w:szCs w:val="19"/>
          <w:lang w:val="es-CO"/>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CO"/>
        </w:rPr>
        <w:t>La Agencia tam</w:t>
      </w:r>
      <w:r w:rsidR="00C562CD" w:rsidRPr="00892E76">
        <w:rPr>
          <w:rFonts w:ascii="Arial" w:hAnsi="Arial" w:cs="Arial"/>
          <w:sz w:val="19"/>
          <w:szCs w:val="19"/>
          <w:lang w:val="es-CO"/>
        </w:rPr>
        <w:t>bién se ha pronunciado sobre los factores de desempate introducidos por 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w:t>
      </w:r>
      <w:r w:rsidR="00714D20" w:rsidRPr="00892E76">
        <w:rPr>
          <w:rFonts w:ascii="Arial" w:hAnsi="Arial" w:cs="Arial"/>
          <w:sz w:val="19"/>
          <w:szCs w:val="19"/>
          <w:lang w:val="es-CO"/>
        </w:rPr>
        <w:t xml:space="preserve"> y</w:t>
      </w:r>
      <w:r w:rsidR="00C562CD" w:rsidRPr="00892E76">
        <w:rPr>
          <w:rFonts w:ascii="Arial" w:hAnsi="Arial" w:cs="Arial"/>
          <w:sz w:val="19"/>
          <w:szCs w:val="19"/>
          <w:lang w:val="es-CO"/>
        </w:rPr>
        <w:t xml:space="preserve"> C-102 del 25 de marzo de 2020</w:t>
      </w:r>
      <w:r w:rsidR="00714D20" w:rsidRPr="00892E76">
        <w:rPr>
          <w:rFonts w:ascii="Arial" w:hAnsi="Arial" w:cs="Arial"/>
          <w:sz w:val="19"/>
          <w:szCs w:val="19"/>
          <w:lang w:val="es-CO"/>
        </w:rPr>
        <w:t>.</w:t>
      </w:r>
    </w:p>
  </w:footnote>
  <w:footnote w:id="3">
    <w:p w14:paraId="5221EE23" w14:textId="77777777" w:rsidR="00B0749C" w:rsidRPr="00892E76" w:rsidRDefault="00B0749C" w:rsidP="007F6D1B">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Consejo de Estado. Sección Tercera. Sentencia del 29 de octubre de 2.015. Consejera Ponente: Stella Conto Díaz Del Castillo. Expediente: 31.918.</w:t>
      </w:r>
    </w:p>
    <w:p w14:paraId="7AB991B3" w14:textId="77777777" w:rsidR="00B0749C" w:rsidRPr="00892E76" w:rsidRDefault="00B0749C" w:rsidP="007F6D1B">
      <w:pPr>
        <w:pStyle w:val="Textonotapie"/>
        <w:ind w:firstLine="709"/>
        <w:jc w:val="both"/>
        <w:rPr>
          <w:rFonts w:ascii="Arial" w:hAnsi="Arial" w:cs="Arial"/>
          <w:sz w:val="19"/>
          <w:szCs w:val="19"/>
          <w:lang w:val="es-ES"/>
        </w:rPr>
      </w:pPr>
    </w:p>
  </w:footnote>
  <w:footnote w:id="4">
    <w:p w14:paraId="3C1769D4" w14:textId="77777777" w:rsidR="00B0749C" w:rsidRPr="00892E76" w:rsidRDefault="00B0749C" w:rsidP="007F6D1B">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Corte Constitucional. Sentencia T-684A del 14 de septiembre de 2011. Magistrado Ponente: Mauricio González Cuervo.</w:t>
      </w:r>
    </w:p>
    <w:p w14:paraId="6943AFC6" w14:textId="77777777" w:rsidR="00B0749C" w:rsidRPr="00892E76" w:rsidRDefault="00B0749C" w:rsidP="007F6D1B">
      <w:pPr>
        <w:pStyle w:val="Textonotapie"/>
        <w:ind w:firstLine="709"/>
        <w:jc w:val="both"/>
        <w:rPr>
          <w:rFonts w:ascii="Arial" w:hAnsi="Arial" w:cs="Arial"/>
          <w:sz w:val="19"/>
          <w:szCs w:val="19"/>
          <w:lang w:val="es-ES"/>
        </w:rPr>
      </w:pPr>
    </w:p>
  </w:footnote>
  <w:footnote w:id="5">
    <w:p w14:paraId="7950281F" w14:textId="46CC4611" w:rsidR="00B0749C" w:rsidRPr="00892E76" w:rsidRDefault="00B0749C" w:rsidP="007F6D1B">
      <w:pPr>
        <w:pStyle w:val="Textonotapie"/>
        <w:ind w:firstLine="709"/>
        <w:jc w:val="both"/>
        <w:rPr>
          <w:rFonts w:ascii="Arial" w:hAnsi="Arial" w:cs="Arial"/>
          <w:sz w:val="19"/>
          <w:szCs w:val="19"/>
          <w:lang w:val="es-CO"/>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 xml:space="preserve">Consejo de Estado. Sección Tercera. Sentencia del 6 de diciembre de 2.013. Consejera </w:t>
      </w:r>
      <w:proofErr w:type="spellStart"/>
      <w:r w:rsidRPr="00892E76">
        <w:rPr>
          <w:rFonts w:ascii="Arial" w:hAnsi="Arial" w:cs="Arial"/>
          <w:sz w:val="19"/>
          <w:szCs w:val="19"/>
          <w:lang w:val="es-ES"/>
        </w:rPr>
        <w:t>Ponent</w:t>
      </w:r>
      <w:r w:rsidR="00831E8B" w:rsidRPr="00892E76">
        <w:rPr>
          <w:rFonts w:ascii="Arial" w:hAnsi="Arial" w:cs="Arial"/>
          <w:sz w:val="19"/>
          <w:szCs w:val="19"/>
          <w:lang w:val="es-ES"/>
        </w:rPr>
        <w:t>g</w:t>
      </w:r>
      <w:r w:rsidRPr="00892E76">
        <w:rPr>
          <w:rFonts w:ascii="Arial" w:hAnsi="Arial" w:cs="Arial"/>
          <w:sz w:val="19"/>
          <w:szCs w:val="19"/>
          <w:lang w:val="es-ES"/>
        </w:rPr>
        <w:t>e</w:t>
      </w:r>
      <w:proofErr w:type="spellEnd"/>
      <w:r w:rsidRPr="00892E76">
        <w:rPr>
          <w:rFonts w:ascii="Arial" w:hAnsi="Arial" w:cs="Arial"/>
          <w:sz w:val="19"/>
          <w:szCs w:val="19"/>
          <w:lang w:val="es-ES"/>
        </w:rPr>
        <w:t xml:space="preserv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footnote>
  <w:footnote w:id="6">
    <w:p w14:paraId="7E5E2C24" w14:textId="77777777" w:rsidR="0000500B" w:rsidRPr="00892E76" w:rsidRDefault="0000500B" w:rsidP="007F6D1B">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Artículos 2 al 29.</w:t>
      </w:r>
    </w:p>
    <w:p w14:paraId="7DD04EFF" w14:textId="77777777" w:rsidR="0000500B" w:rsidRPr="00892E76" w:rsidRDefault="0000500B" w:rsidP="007F6D1B">
      <w:pPr>
        <w:pStyle w:val="Textonotapie"/>
        <w:ind w:firstLine="709"/>
        <w:jc w:val="both"/>
        <w:rPr>
          <w:rFonts w:ascii="Arial" w:hAnsi="Arial" w:cs="Arial"/>
          <w:sz w:val="19"/>
          <w:szCs w:val="19"/>
          <w:lang w:val="es-ES"/>
        </w:rPr>
      </w:pPr>
    </w:p>
  </w:footnote>
  <w:footnote w:id="7">
    <w:p w14:paraId="3B737876" w14:textId="77777777" w:rsidR="0000500B" w:rsidRPr="00892E76" w:rsidRDefault="0000500B" w:rsidP="007F6D1B">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Artículos 30 al 36.</w:t>
      </w:r>
    </w:p>
    <w:p w14:paraId="57E10907" w14:textId="77777777" w:rsidR="0000500B" w:rsidRPr="00892E76" w:rsidRDefault="0000500B" w:rsidP="007F6D1B">
      <w:pPr>
        <w:pStyle w:val="Textonotapie"/>
        <w:ind w:firstLine="709"/>
        <w:jc w:val="both"/>
        <w:rPr>
          <w:rFonts w:ascii="Arial" w:hAnsi="Arial" w:cs="Arial"/>
          <w:sz w:val="19"/>
          <w:szCs w:val="19"/>
          <w:lang w:val="es-ES"/>
        </w:rPr>
      </w:pPr>
    </w:p>
  </w:footnote>
  <w:footnote w:id="8">
    <w:p w14:paraId="6F243A4A" w14:textId="77777777" w:rsidR="0000500B" w:rsidRPr="00892E76" w:rsidRDefault="0000500B" w:rsidP="007F6D1B">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Artículos 37 al 45.</w:t>
      </w:r>
    </w:p>
    <w:p w14:paraId="5BDD2689" w14:textId="77777777" w:rsidR="0000500B" w:rsidRPr="00892E76" w:rsidRDefault="0000500B" w:rsidP="007F6D1B">
      <w:pPr>
        <w:pStyle w:val="Textonotapie"/>
        <w:ind w:firstLine="709"/>
        <w:jc w:val="both"/>
        <w:rPr>
          <w:rFonts w:ascii="Arial" w:hAnsi="Arial" w:cs="Arial"/>
          <w:sz w:val="19"/>
          <w:szCs w:val="19"/>
          <w:lang w:val="es-ES"/>
        </w:rPr>
      </w:pPr>
    </w:p>
  </w:footnote>
  <w:footnote w:id="9">
    <w:p w14:paraId="4E1C4723" w14:textId="77777777" w:rsidR="0000500B" w:rsidRPr="00892E76" w:rsidRDefault="0000500B" w:rsidP="007F6D1B">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Artículos 46 al 73.</w:t>
      </w:r>
    </w:p>
    <w:p w14:paraId="2DE1DCBD" w14:textId="77777777" w:rsidR="0000500B" w:rsidRPr="00892E76" w:rsidRDefault="0000500B" w:rsidP="007F6D1B">
      <w:pPr>
        <w:pStyle w:val="Textonotapie"/>
        <w:ind w:firstLine="709"/>
        <w:jc w:val="both"/>
        <w:rPr>
          <w:rFonts w:ascii="Arial" w:hAnsi="Arial" w:cs="Arial"/>
          <w:sz w:val="19"/>
          <w:szCs w:val="19"/>
          <w:lang w:val="es-ES"/>
        </w:rPr>
      </w:pPr>
    </w:p>
  </w:footnote>
  <w:footnote w:id="10">
    <w:p w14:paraId="4CDDFC07" w14:textId="77777777" w:rsidR="0000500B" w:rsidRPr="00892E76" w:rsidRDefault="0000500B" w:rsidP="007F6D1B">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Artículos 74 al 83.</w:t>
      </w:r>
    </w:p>
    <w:p w14:paraId="7B1A6950" w14:textId="77777777" w:rsidR="0000500B" w:rsidRPr="00892E76" w:rsidRDefault="0000500B" w:rsidP="007F6D1B">
      <w:pPr>
        <w:pStyle w:val="Textonotapie"/>
        <w:ind w:firstLine="709"/>
        <w:jc w:val="both"/>
        <w:rPr>
          <w:rFonts w:ascii="Arial" w:hAnsi="Arial" w:cs="Arial"/>
          <w:sz w:val="19"/>
          <w:szCs w:val="19"/>
          <w:lang w:val="es-ES"/>
        </w:rPr>
      </w:pPr>
    </w:p>
  </w:footnote>
  <w:footnote w:id="11">
    <w:p w14:paraId="31F2A038" w14:textId="77777777" w:rsidR="00271CD3" w:rsidRPr="00892E76" w:rsidRDefault="00271CD3" w:rsidP="007F6D1B">
      <w:pPr>
        <w:ind w:firstLine="709"/>
        <w:jc w:val="both"/>
        <w:rPr>
          <w:rFonts w:ascii="Arial" w:eastAsia="Calibri" w:hAnsi="Arial" w:cs="Arial"/>
          <w:color w:val="000000" w:themeColor="text1"/>
          <w:sz w:val="19"/>
          <w:szCs w:val="19"/>
          <w:lang w:val="es-ES_tradnl"/>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Norma que prescribe: «</w:t>
      </w:r>
      <w:r w:rsidRPr="00892E76">
        <w:rPr>
          <w:rFonts w:ascii="Arial" w:eastAsia="Calibri" w:hAnsi="Arial" w:cs="Arial"/>
          <w:color w:val="000000" w:themeColor="text1"/>
          <w:sz w:val="19"/>
          <w:szCs w:val="19"/>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43F93FE9" w14:textId="77777777" w:rsidR="00271CD3" w:rsidRPr="00892E76" w:rsidRDefault="00271CD3" w:rsidP="007F6D1B">
      <w:pPr>
        <w:ind w:firstLine="709"/>
        <w:jc w:val="both"/>
        <w:rPr>
          <w:rFonts w:ascii="Arial" w:eastAsia="Calibri" w:hAnsi="Arial" w:cs="Arial"/>
          <w:color w:val="000000" w:themeColor="text1"/>
          <w:sz w:val="19"/>
          <w:szCs w:val="19"/>
          <w:lang w:val="es-ES_tradnl"/>
        </w:rPr>
      </w:pPr>
      <w:r w:rsidRPr="00892E76">
        <w:rPr>
          <w:rFonts w:ascii="Arial" w:eastAsia="Calibri" w:hAnsi="Arial" w:cs="Arial"/>
          <w:color w:val="000000" w:themeColor="text1"/>
          <w:sz w:val="19"/>
          <w:szCs w:val="19"/>
          <w:lang w:val="es-ES_tradnl"/>
        </w:rPr>
        <w:t>»[…]</w:t>
      </w:r>
    </w:p>
    <w:p w14:paraId="4C15B6FE" w14:textId="77777777" w:rsidR="00271CD3" w:rsidRPr="00892E76" w:rsidRDefault="00271CD3" w:rsidP="007F6D1B">
      <w:pPr>
        <w:ind w:firstLine="709"/>
        <w:jc w:val="both"/>
        <w:rPr>
          <w:rFonts w:ascii="Arial" w:eastAsia="Calibri" w:hAnsi="Arial" w:cs="Arial"/>
          <w:color w:val="000000" w:themeColor="text1"/>
          <w:sz w:val="19"/>
          <w:szCs w:val="19"/>
          <w:lang w:val="es-ES_tradnl"/>
        </w:rPr>
      </w:pPr>
      <w:r w:rsidRPr="00892E76">
        <w:rPr>
          <w:rFonts w:ascii="Arial" w:eastAsia="Calibri" w:hAnsi="Arial" w:cs="Arial"/>
          <w:color w:val="000000" w:themeColor="text1"/>
          <w:sz w:val="19"/>
          <w:szCs w:val="19"/>
          <w:lang w:val="es-ES_tradnl"/>
        </w:rPr>
        <w:t>»4. Preferir la propuesta presentada por el oferente que acredite la vinculación en mayor proporción de personas mayores que no sean beneficiarios de la pensión de vejez, familiar o de sobrevivencia y que hayan cumplido el requisito de edad de pensión establecido en la Ley.</w:t>
      </w:r>
    </w:p>
    <w:p w14:paraId="781A16F2" w14:textId="77777777" w:rsidR="00271CD3" w:rsidRPr="00892E76" w:rsidRDefault="00271CD3" w:rsidP="007F6D1B">
      <w:pPr>
        <w:ind w:firstLine="709"/>
        <w:jc w:val="both"/>
        <w:rPr>
          <w:rFonts w:ascii="Arial" w:eastAsia="Calibri" w:hAnsi="Arial" w:cs="Arial"/>
          <w:color w:val="000000" w:themeColor="text1"/>
          <w:sz w:val="19"/>
          <w:szCs w:val="19"/>
          <w:lang w:val="es-ES_tradnl"/>
        </w:rPr>
      </w:pPr>
      <w:r w:rsidRPr="00892E76">
        <w:rPr>
          <w:rFonts w:ascii="Arial" w:eastAsia="Calibri" w:hAnsi="Arial" w:cs="Arial"/>
          <w:color w:val="000000" w:themeColor="text1"/>
          <w:sz w:val="19"/>
          <w:szCs w:val="19"/>
          <w:lang w:val="es-ES_tradnl"/>
        </w:rPr>
        <w:t>»[…]».</w:t>
      </w:r>
    </w:p>
    <w:p w14:paraId="1BEF389A" w14:textId="77777777" w:rsidR="00271CD3" w:rsidRPr="00892E76" w:rsidRDefault="00271CD3" w:rsidP="007F6D1B">
      <w:pPr>
        <w:pStyle w:val="Textonotapie"/>
        <w:ind w:firstLine="709"/>
        <w:jc w:val="both"/>
        <w:rPr>
          <w:rFonts w:ascii="Arial" w:hAnsi="Arial" w:cs="Arial"/>
          <w:sz w:val="19"/>
          <w:szCs w:val="19"/>
          <w:lang w:val="es-ES"/>
        </w:rPr>
      </w:pPr>
    </w:p>
  </w:footnote>
  <w:footnote w:id="12">
    <w:p w14:paraId="435B3AFF" w14:textId="77777777" w:rsidR="00271CD3" w:rsidRPr="00892E76" w:rsidRDefault="00271CD3" w:rsidP="007F6D1B">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w:t>
      </w:r>
      <w:r w:rsidRPr="00892E76">
        <w:rPr>
          <w:rFonts w:ascii="Arial" w:hAnsi="Arial" w:cs="Arial"/>
          <w:sz w:val="19"/>
          <w:szCs w:val="19"/>
          <w:lang w:val="es-ES"/>
        </w:rPr>
        <w:t xml:space="preserve">Corte Suprema de Justicia. Sala de Casación Laboral. Sentencia del 5 de agosto de 2020. Magistrada Ponente: Clara Cecilia Dueñas Quevedo. Radicación No. 47613. Acta 28. </w:t>
      </w:r>
    </w:p>
  </w:footnote>
  <w:footnote w:id="13">
    <w:p w14:paraId="1DF31451" w14:textId="77777777" w:rsidR="00271CD3" w:rsidRPr="00892E76" w:rsidRDefault="00271CD3" w:rsidP="007F6D1B">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Disponibles en: https://www.colombiacompra.gov.co/content/02-documentos-tipo-para-licitacion-de-obra-publica-de-infraestructura-de-transporte-version</w:t>
      </w:r>
    </w:p>
  </w:footnote>
  <w:footnote w:id="14">
    <w:p w14:paraId="6E7C4FBA" w14:textId="77777777" w:rsidR="007679A2" w:rsidRPr="00892E76" w:rsidRDefault="007679A2" w:rsidP="007F6D1B">
      <w:pPr>
        <w:pStyle w:val="Textonotapie"/>
        <w:ind w:firstLine="709"/>
        <w:jc w:val="both"/>
        <w:rPr>
          <w:rFonts w:ascii="Arial" w:hAnsi="Arial" w:cs="Arial"/>
          <w:color w:val="000000" w:themeColor="text1"/>
          <w:sz w:val="19"/>
          <w:szCs w:val="19"/>
        </w:rPr>
      </w:pPr>
    </w:p>
    <w:p w14:paraId="06B5EDA9" w14:textId="0EECECA7" w:rsidR="00D841F9" w:rsidRPr="00892E76" w:rsidRDefault="00D841F9" w:rsidP="007F6D1B">
      <w:pPr>
        <w:pStyle w:val="Textonotapie"/>
        <w:ind w:firstLine="709"/>
        <w:jc w:val="both"/>
        <w:rPr>
          <w:rFonts w:ascii="Arial" w:hAnsi="Arial" w:cs="Arial"/>
          <w:color w:val="000000" w:themeColor="text1"/>
          <w:sz w:val="19"/>
          <w:szCs w:val="19"/>
        </w:rPr>
      </w:pPr>
      <w:r w:rsidRPr="00892E76">
        <w:rPr>
          <w:rStyle w:val="Refdenotaalpie"/>
          <w:rFonts w:ascii="Arial" w:hAnsi="Arial" w:cs="Arial"/>
          <w:color w:val="000000" w:themeColor="text1"/>
          <w:sz w:val="19"/>
          <w:szCs w:val="19"/>
        </w:rPr>
        <w:footnoteRef/>
      </w:r>
      <w:r w:rsidRPr="00892E76">
        <w:rPr>
          <w:rFonts w:ascii="Arial" w:hAnsi="Arial" w:cs="Arial"/>
          <w:color w:val="000000" w:themeColor="text1"/>
          <w:sz w:val="19"/>
          <w:szCs w:val="19"/>
        </w:rPr>
        <w:t xml:space="preserve"> El proyecto de </w:t>
      </w:r>
      <w:r w:rsidR="007679A2" w:rsidRPr="00892E76">
        <w:rPr>
          <w:rFonts w:ascii="Arial" w:hAnsi="Arial" w:cs="Arial"/>
          <w:color w:val="000000" w:themeColor="text1"/>
          <w:sz w:val="19"/>
          <w:szCs w:val="19"/>
        </w:rPr>
        <w:t>decreto</w:t>
      </w:r>
      <w:r w:rsidR="00C2719D" w:rsidRPr="00892E76">
        <w:rPr>
          <w:rFonts w:ascii="Arial" w:hAnsi="Arial" w:cs="Arial"/>
          <w:color w:val="000000" w:themeColor="text1"/>
          <w:sz w:val="19"/>
          <w:szCs w:val="19"/>
        </w:rPr>
        <w:t xml:space="preserve"> «Por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sidR="004C11F0" w:rsidRPr="00892E76">
        <w:rPr>
          <w:rFonts w:ascii="Arial" w:hAnsi="Arial" w:cs="Arial"/>
          <w:color w:val="000000" w:themeColor="text1"/>
          <w:sz w:val="19"/>
          <w:szCs w:val="19"/>
        </w:rPr>
        <w:t>, definiendo medios probatorios específicos</w:t>
      </w:r>
      <w:r w:rsidR="007D5A68" w:rsidRPr="00892E76">
        <w:rPr>
          <w:rFonts w:ascii="Arial" w:hAnsi="Arial" w:cs="Arial"/>
          <w:color w:val="000000" w:themeColor="text1"/>
          <w:sz w:val="19"/>
          <w:szCs w:val="19"/>
        </w:rPr>
        <w:t xml:space="preserve"> para acreditar algunos factores de desempate</w:t>
      </w:r>
      <w:r w:rsidR="004C11F0" w:rsidRPr="00892E76">
        <w:rPr>
          <w:rFonts w:ascii="Arial" w:hAnsi="Arial" w:cs="Arial"/>
          <w:color w:val="000000" w:themeColor="text1"/>
          <w:sz w:val="19"/>
          <w:szCs w:val="19"/>
        </w:rPr>
        <w:t>,</w:t>
      </w:r>
      <w:r w:rsidR="00C2719D" w:rsidRPr="00892E76">
        <w:rPr>
          <w:rFonts w:ascii="Arial" w:hAnsi="Arial" w:cs="Arial"/>
          <w:color w:val="000000" w:themeColor="text1"/>
          <w:sz w:val="19"/>
          <w:szCs w:val="19"/>
        </w:rPr>
        <w:t xml:space="preserve"> </w:t>
      </w:r>
      <w:r w:rsidR="000724E3" w:rsidRPr="00892E76">
        <w:rPr>
          <w:rFonts w:ascii="Arial" w:hAnsi="Arial" w:cs="Arial"/>
          <w:color w:val="000000" w:themeColor="text1"/>
          <w:sz w:val="19"/>
          <w:szCs w:val="19"/>
        </w:rPr>
        <w:t xml:space="preserve">está </w:t>
      </w:r>
      <w:r w:rsidR="00C2719D" w:rsidRPr="00892E76">
        <w:rPr>
          <w:rFonts w:ascii="Arial" w:hAnsi="Arial" w:cs="Arial"/>
          <w:color w:val="000000" w:themeColor="text1"/>
          <w:sz w:val="19"/>
          <w:szCs w:val="19"/>
        </w:rPr>
        <w:t xml:space="preserve">disponible en el siguiente enlace: </w:t>
      </w:r>
      <w:hyperlink r:id="rId1" w:history="1">
        <w:r w:rsidR="00CC4C57" w:rsidRPr="00892E76">
          <w:rPr>
            <w:rStyle w:val="Hipervnculo"/>
            <w:rFonts w:ascii="Arial" w:hAnsi="Arial" w:cs="Arial"/>
            <w:color w:val="000000" w:themeColor="text1"/>
            <w:sz w:val="19"/>
            <w:szCs w:val="19"/>
            <w:u w:val="none"/>
          </w:rPr>
          <w:t>https://www.dnp.gov.co/DNPN/normativa/proyectos-de-normatividad</w:t>
        </w:r>
      </w:hyperlink>
    </w:p>
    <w:p w14:paraId="75D4B4BE" w14:textId="5EFFC943" w:rsidR="005D31BA" w:rsidRPr="00892E76" w:rsidRDefault="00CC4C57" w:rsidP="007679A2">
      <w:pPr>
        <w:pStyle w:val="Textonotapie"/>
        <w:ind w:firstLine="709"/>
        <w:jc w:val="both"/>
        <w:rPr>
          <w:rFonts w:ascii="Arial" w:hAnsi="Arial" w:cs="Arial"/>
          <w:sz w:val="19"/>
          <w:szCs w:val="19"/>
        </w:rPr>
      </w:pPr>
      <w:r w:rsidRPr="00892E76">
        <w:rPr>
          <w:rFonts w:ascii="Arial" w:hAnsi="Arial" w:cs="Arial"/>
          <w:sz w:val="19"/>
          <w:szCs w:val="19"/>
        </w:rPr>
        <w:t xml:space="preserve">En dicho </w:t>
      </w:r>
      <w:r w:rsidR="00B1271A" w:rsidRPr="00892E76">
        <w:rPr>
          <w:rFonts w:ascii="Arial" w:hAnsi="Arial" w:cs="Arial"/>
          <w:sz w:val="19"/>
          <w:szCs w:val="19"/>
        </w:rPr>
        <w:t>proyecto</w:t>
      </w:r>
      <w:r w:rsidR="0042002B" w:rsidRPr="00892E76">
        <w:rPr>
          <w:rFonts w:ascii="Arial" w:hAnsi="Arial" w:cs="Arial"/>
          <w:sz w:val="19"/>
          <w:szCs w:val="19"/>
        </w:rPr>
        <w:t xml:space="preserve"> –que se encuentra en fase de revisión de las observaciones de la ciudadanía–</w:t>
      </w:r>
      <w:r w:rsidR="00B1271A" w:rsidRPr="00892E76">
        <w:rPr>
          <w:rFonts w:ascii="Arial" w:hAnsi="Arial" w:cs="Arial"/>
          <w:sz w:val="19"/>
          <w:szCs w:val="19"/>
        </w:rPr>
        <w:t xml:space="preserve"> se dice</w:t>
      </w:r>
      <w:r w:rsidR="0042002B" w:rsidRPr="00892E76">
        <w:rPr>
          <w:rFonts w:ascii="Arial" w:hAnsi="Arial" w:cs="Arial"/>
          <w:sz w:val="19"/>
          <w:szCs w:val="19"/>
        </w:rPr>
        <w:t>,</w:t>
      </w:r>
      <w:r w:rsidR="00B1271A" w:rsidRPr="00892E76">
        <w:rPr>
          <w:rFonts w:ascii="Arial" w:hAnsi="Arial" w:cs="Arial"/>
          <w:sz w:val="19"/>
          <w:szCs w:val="19"/>
        </w:rPr>
        <w:t xml:space="preserve"> respecto del numeral 4</w:t>
      </w:r>
      <w:r w:rsidR="00731DBE" w:rsidRPr="00892E76">
        <w:rPr>
          <w:rFonts w:ascii="Arial" w:hAnsi="Arial" w:cs="Arial"/>
          <w:sz w:val="19"/>
          <w:szCs w:val="19"/>
        </w:rPr>
        <w:t>,</w:t>
      </w:r>
      <w:r w:rsidR="00B1271A" w:rsidRPr="00892E76">
        <w:rPr>
          <w:rFonts w:ascii="Arial" w:hAnsi="Arial" w:cs="Arial"/>
          <w:sz w:val="19"/>
          <w:szCs w:val="19"/>
        </w:rPr>
        <w:t xml:space="preserve"> </w:t>
      </w:r>
      <w:r w:rsidR="00731DBE" w:rsidRPr="00892E76">
        <w:rPr>
          <w:rFonts w:ascii="Arial" w:hAnsi="Arial" w:cs="Arial"/>
          <w:sz w:val="19"/>
          <w:szCs w:val="19"/>
        </w:rPr>
        <w:t>que se debe</w:t>
      </w:r>
      <w:r w:rsidR="00B1271A" w:rsidRPr="00892E76">
        <w:rPr>
          <w:rFonts w:ascii="Arial" w:hAnsi="Arial" w:cs="Arial"/>
          <w:sz w:val="19"/>
          <w:szCs w:val="19"/>
        </w:rPr>
        <w:t>: «4.</w:t>
      </w:r>
      <w:r w:rsidR="007679A2" w:rsidRPr="00892E76">
        <w:rPr>
          <w:rFonts w:ascii="Arial" w:hAnsi="Arial" w:cs="Arial"/>
          <w:sz w:val="19"/>
          <w:szCs w:val="19"/>
        </w:rPr>
        <w:t xml:space="preserve"> </w:t>
      </w:r>
      <w:r w:rsidR="00B1271A" w:rsidRPr="00892E76">
        <w:rPr>
          <w:rFonts w:ascii="Arial" w:hAnsi="Arial" w:cs="Arial"/>
          <w:sz w:val="19"/>
          <w:szCs w:val="19"/>
        </w:rPr>
        <w:t>Preferir la propuesta presentada por el</w:t>
      </w:r>
      <w:r w:rsidR="00731DBE" w:rsidRPr="00892E76">
        <w:rPr>
          <w:rFonts w:ascii="Arial" w:hAnsi="Arial" w:cs="Arial"/>
          <w:sz w:val="19"/>
          <w:szCs w:val="19"/>
        </w:rPr>
        <w:t xml:space="preserve"> </w:t>
      </w:r>
      <w:r w:rsidR="00B1271A" w:rsidRPr="00892E76">
        <w:rPr>
          <w:rFonts w:ascii="Arial" w:hAnsi="Arial" w:cs="Arial"/>
          <w:sz w:val="19"/>
          <w:szCs w:val="19"/>
        </w:rPr>
        <w:t>oferente que acredite la vinculación</w:t>
      </w:r>
      <w:r w:rsidR="00731DBE" w:rsidRPr="00892E76">
        <w:rPr>
          <w:rFonts w:ascii="Arial" w:hAnsi="Arial" w:cs="Arial"/>
          <w:sz w:val="19"/>
          <w:szCs w:val="19"/>
        </w:rPr>
        <w:t xml:space="preserve"> </w:t>
      </w:r>
      <w:r w:rsidR="00B1271A" w:rsidRPr="00892E76">
        <w:rPr>
          <w:rFonts w:ascii="Arial" w:hAnsi="Arial" w:cs="Arial"/>
          <w:sz w:val="19"/>
          <w:szCs w:val="19"/>
        </w:rPr>
        <w:t>en mayor proporción de personas mayores que no sean beneficiarias de la</w:t>
      </w:r>
      <w:r w:rsidR="00731DBE" w:rsidRPr="00892E76">
        <w:rPr>
          <w:rFonts w:ascii="Arial" w:hAnsi="Arial" w:cs="Arial"/>
          <w:sz w:val="19"/>
          <w:szCs w:val="19"/>
        </w:rPr>
        <w:t xml:space="preserve"> </w:t>
      </w:r>
      <w:r w:rsidR="00B1271A" w:rsidRPr="00892E76">
        <w:rPr>
          <w:rFonts w:ascii="Arial" w:hAnsi="Arial" w:cs="Arial"/>
          <w:sz w:val="19"/>
          <w:szCs w:val="19"/>
        </w:rPr>
        <w:t>pensión de vejez, familiar o de sobrevivencia y que hayan cumplido el requisito</w:t>
      </w:r>
      <w:r w:rsidR="00731DBE" w:rsidRPr="00892E76">
        <w:rPr>
          <w:rFonts w:ascii="Arial" w:hAnsi="Arial" w:cs="Arial"/>
          <w:sz w:val="19"/>
          <w:szCs w:val="19"/>
        </w:rPr>
        <w:t xml:space="preserve"> </w:t>
      </w:r>
      <w:r w:rsidR="00B1271A" w:rsidRPr="00892E76">
        <w:rPr>
          <w:rFonts w:ascii="Arial" w:hAnsi="Arial" w:cs="Arial"/>
          <w:sz w:val="19"/>
          <w:szCs w:val="19"/>
        </w:rPr>
        <w:t>de edad de pensión</w:t>
      </w:r>
      <w:r w:rsidR="00731DBE" w:rsidRPr="00892E76">
        <w:rPr>
          <w:rFonts w:ascii="Arial" w:hAnsi="Arial" w:cs="Arial"/>
          <w:sz w:val="19"/>
          <w:szCs w:val="19"/>
        </w:rPr>
        <w:t xml:space="preserve"> </w:t>
      </w:r>
      <w:r w:rsidR="00B1271A" w:rsidRPr="00892E76">
        <w:rPr>
          <w:rFonts w:ascii="Arial" w:hAnsi="Arial" w:cs="Arial"/>
          <w:sz w:val="19"/>
          <w:szCs w:val="19"/>
        </w:rPr>
        <w:t>establecido en la ley, para ello, la persona natural, el</w:t>
      </w:r>
      <w:r w:rsidR="00731DBE" w:rsidRPr="00892E76">
        <w:rPr>
          <w:rFonts w:ascii="Arial" w:hAnsi="Arial" w:cs="Arial"/>
          <w:sz w:val="19"/>
          <w:szCs w:val="19"/>
        </w:rPr>
        <w:t xml:space="preserve"> </w:t>
      </w:r>
      <w:r w:rsidR="00B1271A" w:rsidRPr="00892E76">
        <w:rPr>
          <w:rFonts w:ascii="Arial" w:hAnsi="Arial" w:cs="Arial"/>
          <w:sz w:val="19"/>
          <w:szCs w:val="19"/>
        </w:rPr>
        <w:t>representante legal de la persona jurídica o el revisor fiscal, según</w:t>
      </w:r>
      <w:r w:rsidR="00731DBE" w:rsidRPr="00892E76">
        <w:rPr>
          <w:rFonts w:ascii="Arial" w:hAnsi="Arial" w:cs="Arial"/>
          <w:sz w:val="19"/>
          <w:szCs w:val="19"/>
        </w:rPr>
        <w:t xml:space="preserve"> </w:t>
      </w:r>
      <w:r w:rsidR="00B1271A" w:rsidRPr="00892E76">
        <w:rPr>
          <w:rFonts w:ascii="Arial" w:hAnsi="Arial" w:cs="Arial"/>
          <w:sz w:val="19"/>
          <w:szCs w:val="19"/>
        </w:rPr>
        <w:t>corresponda, entregará un certificado, en el que se acredite, bajo la gravedad</w:t>
      </w:r>
      <w:r w:rsidR="00731DBE" w:rsidRPr="00892E76">
        <w:rPr>
          <w:rFonts w:ascii="Arial" w:hAnsi="Arial" w:cs="Arial"/>
          <w:sz w:val="19"/>
          <w:szCs w:val="19"/>
        </w:rPr>
        <w:t xml:space="preserve"> </w:t>
      </w:r>
      <w:r w:rsidR="00B1271A" w:rsidRPr="00892E76">
        <w:rPr>
          <w:rFonts w:ascii="Arial" w:hAnsi="Arial" w:cs="Arial"/>
          <w:sz w:val="19"/>
          <w:szCs w:val="19"/>
        </w:rPr>
        <w:t>de juramento, las</w:t>
      </w:r>
      <w:r w:rsidR="00731DBE" w:rsidRPr="00892E76">
        <w:rPr>
          <w:rFonts w:ascii="Arial" w:hAnsi="Arial" w:cs="Arial"/>
          <w:sz w:val="19"/>
          <w:szCs w:val="19"/>
        </w:rPr>
        <w:t xml:space="preserve"> </w:t>
      </w:r>
      <w:r w:rsidR="00B1271A" w:rsidRPr="00892E76">
        <w:rPr>
          <w:rFonts w:ascii="Arial" w:hAnsi="Arial" w:cs="Arial"/>
          <w:sz w:val="19"/>
          <w:szCs w:val="19"/>
        </w:rPr>
        <w:t>personas vinculadas en su nómina y el número de</w:t>
      </w:r>
      <w:r w:rsidR="00731DBE" w:rsidRPr="00892E76">
        <w:rPr>
          <w:rFonts w:ascii="Arial" w:hAnsi="Arial" w:cs="Arial"/>
          <w:sz w:val="19"/>
          <w:szCs w:val="19"/>
        </w:rPr>
        <w:t xml:space="preserve"> </w:t>
      </w:r>
      <w:r w:rsidR="00B1271A" w:rsidRPr="00892E76">
        <w:rPr>
          <w:rFonts w:ascii="Arial" w:hAnsi="Arial" w:cs="Arial"/>
          <w:sz w:val="19"/>
          <w:szCs w:val="19"/>
        </w:rPr>
        <w:t>trabajadores que no son beneficiarios de la pensión de vejez, familiar o de</w:t>
      </w:r>
      <w:r w:rsidR="00731DBE" w:rsidRPr="00892E76">
        <w:rPr>
          <w:rFonts w:ascii="Arial" w:hAnsi="Arial" w:cs="Arial"/>
          <w:sz w:val="19"/>
          <w:szCs w:val="19"/>
        </w:rPr>
        <w:t xml:space="preserve"> </w:t>
      </w:r>
      <w:r w:rsidR="00B1271A" w:rsidRPr="00892E76">
        <w:rPr>
          <w:rFonts w:ascii="Arial" w:hAnsi="Arial" w:cs="Arial"/>
          <w:sz w:val="19"/>
          <w:szCs w:val="19"/>
        </w:rPr>
        <w:t>sobrevivencia y que cumplieron el requisito de edad de pensión. Solo se tendrá</w:t>
      </w:r>
      <w:r w:rsidR="00731DBE" w:rsidRPr="00892E76">
        <w:rPr>
          <w:rFonts w:ascii="Arial" w:hAnsi="Arial" w:cs="Arial"/>
          <w:sz w:val="19"/>
          <w:szCs w:val="19"/>
        </w:rPr>
        <w:t xml:space="preserve"> </w:t>
      </w:r>
      <w:r w:rsidR="00B1271A" w:rsidRPr="00892E76">
        <w:rPr>
          <w:rFonts w:ascii="Arial" w:hAnsi="Arial" w:cs="Arial"/>
          <w:sz w:val="19"/>
          <w:szCs w:val="19"/>
        </w:rPr>
        <w:t>en cuenta</w:t>
      </w:r>
      <w:r w:rsidR="00731DBE" w:rsidRPr="00892E76">
        <w:rPr>
          <w:rFonts w:ascii="Arial" w:hAnsi="Arial" w:cs="Arial"/>
          <w:sz w:val="19"/>
          <w:szCs w:val="19"/>
        </w:rPr>
        <w:t xml:space="preserve"> </w:t>
      </w:r>
      <w:r w:rsidR="00B1271A" w:rsidRPr="00892E76">
        <w:rPr>
          <w:rFonts w:ascii="Arial" w:hAnsi="Arial" w:cs="Arial"/>
          <w:sz w:val="19"/>
          <w:szCs w:val="19"/>
        </w:rPr>
        <w:t>la vinculación de aquellas personas que se encuentren en las</w:t>
      </w:r>
      <w:r w:rsidR="00731DBE" w:rsidRPr="00892E76">
        <w:rPr>
          <w:rFonts w:ascii="Arial" w:hAnsi="Arial" w:cs="Arial"/>
          <w:sz w:val="19"/>
          <w:szCs w:val="19"/>
        </w:rPr>
        <w:t xml:space="preserve"> </w:t>
      </w:r>
      <w:r w:rsidR="00B1271A" w:rsidRPr="00892E76">
        <w:rPr>
          <w:rFonts w:ascii="Arial" w:hAnsi="Arial" w:cs="Arial"/>
          <w:sz w:val="19"/>
          <w:szCs w:val="19"/>
        </w:rPr>
        <w:t>condiciones descritas y que hayan estado vinculadas con una anterioridad</w:t>
      </w:r>
      <w:r w:rsidR="00731DBE" w:rsidRPr="00892E76">
        <w:rPr>
          <w:rFonts w:ascii="Arial" w:hAnsi="Arial" w:cs="Arial"/>
          <w:sz w:val="19"/>
          <w:szCs w:val="19"/>
        </w:rPr>
        <w:t xml:space="preserve"> </w:t>
      </w:r>
      <w:r w:rsidR="00B1271A" w:rsidRPr="00892E76">
        <w:rPr>
          <w:rFonts w:ascii="Arial" w:hAnsi="Arial" w:cs="Arial"/>
          <w:sz w:val="19"/>
          <w:szCs w:val="19"/>
        </w:rPr>
        <w:t>igual o mayor a un (1) año contado a partir de la fecha del cierre del proceso.</w:t>
      </w:r>
      <w:r w:rsidR="005D31BA" w:rsidRPr="00892E76">
        <w:rPr>
          <w:rFonts w:ascii="Arial" w:hAnsi="Arial" w:cs="Arial"/>
          <w:sz w:val="19"/>
          <w:szCs w:val="19"/>
        </w:rPr>
        <w:t xml:space="preserve"> </w:t>
      </w:r>
      <w:r w:rsidR="00B1271A" w:rsidRPr="00892E76">
        <w:rPr>
          <w:rFonts w:ascii="Arial" w:hAnsi="Arial" w:cs="Arial"/>
          <w:sz w:val="19"/>
          <w:szCs w:val="19"/>
        </w:rPr>
        <w:t>Para los casos de constitución inferior a un (1) año, se tendrá en cuenta a</w:t>
      </w:r>
      <w:r w:rsidR="005D31BA" w:rsidRPr="00892E76">
        <w:rPr>
          <w:rFonts w:ascii="Arial" w:hAnsi="Arial" w:cs="Arial"/>
          <w:sz w:val="19"/>
          <w:szCs w:val="19"/>
        </w:rPr>
        <w:t xml:space="preserve"> </w:t>
      </w:r>
      <w:r w:rsidR="00B1271A" w:rsidRPr="00892E76">
        <w:rPr>
          <w:rFonts w:ascii="Arial" w:hAnsi="Arial" w:cs="Arial"/>
          <w:sz w:val="19"/>
          <w:szCs w:val="19"/>
        </w:rPr>
        <w:t>aquellos que hayan estado</w:t>
      </w:r>
      <w:r w:rsidR="005D31BA" w:rsidRPr="00892E76">
        <w:rPr>
          <w:rFonts w:ascii="Arial" w:hAnsi="Arial" w:cs="Arial"/>
          <w:sz w:val="19"/>
          <w:szCs w:val="19"/>
        </w:rPr>
        <w:t xml:space="preserve"> </w:t>
      </w:r>
      <w:r w:rsidR="00B1271A" w:rsidRPr="00892E76">
        <w:rPr>
          <w:rFonts w:ascii="Arial" w:hAnsi="Arial" w:cs="Arial"/>
          <w:sz w:val="19"/>
          <w:szCs w:val="19"/>
        </w:rPr>
        <w:t>vinculados desde el momento de la constitución de</w:t>
      </w:r>
      <w:r w:rsidR="005D31BA" w:rsidRPr="00892E76">
        <w:rPr>
          <w:rFonts w:ascii="Arial" w:hAnsi="Arial" w:cs="Arial"/>
          <w:sz w:val="19"/>
          <w:szCs w:val="19"/>
        </w:rPr>
        <w:t xml:space="preserve"> </w:t>
      </w:r>
      <w:r w:rsidR="00B1271A" w:rsidRPr="00892E76">
        <w:rPr>
          <w:rFonts w:ascii="Arial" w:hAnsi="Arial" w:cs="Arial"/>
          <w:sz w:val="19"/>
          <w:szCs w:val="19"/>
        </w:rPr>
        <w:t>la persona jurídica.</w:t>
      </w:r>
    </w:p>
    <w:p w14:paraId="48D1186A" w14:textId="758551D7" w:rsidR="005D31BA" w:rsidRPr="00892E76" w:rsidRDefault="007F6D1B" w:rsidP="007679A2">
      <w:pPr>
        <w:pStyle w:val="Textonotapie"/>
        <w:ind w:firstLine="709"/>
        <w:jc w:val="both"/>
        <w:rPr>
          <w:rFonts w:ascii="Arial" w:hAnsi="Arial" w:cs="Arial"/>
          <w:sz w:val="19"/>
          <w:szCs w:val="19"/>
        </w:rPr>
      </w:pPr>
      <w:r w:rsidRPr="00892E76">
        <w:rPr>
          <w:rFonts w:ascii="Arial" w:hAnsi="Arial" w:cs="Arial"/>
          <w:sz w:val="19"/>
          <w:szCs w:val="19"/>
        </w:rPr>
        <w:t>»</w:t>
      </w:r>
      <w:r w:rsidR="00B1271A" w:rsidRPr="00892E76">
        <w:rPr>
          <w:rFonts w:ascii="Arial" w:hAnsi="Arial" w:cs="Arial"/>
          <w:sz w:val="19"/>
          <w:szCs w:val="19"/>
        </w:rPr>
        <w:t>El tiempo de vinculación en la planta referida, de que trata el inciso anterior,</w:t>
      </w:r>
      <w:r w:rsidR="005D31BA" w:rsidRPr="00892E76">
        <w:rPr>
          <w:rFonts w:ascii="Arial" w:hAnsi="Arial" w:cs="Arial"/>
          <w:sz w:val="19"/>
          <w:szCs w:val="19"/>
        </w:rPr>
        <w:t xml:space="preserve"> </w:t>
      </w:r>
      <w:r w:rsidR="00B1271A" w:rsidRPr="00892E76">
        <w:rPr>
          <w:rFonts w:ascii="Arial" w:hAnsi="Arial" w:cs="Arial"/>
          <w:sz w:val="19"/>
          <w:szCs w:val="19"/>
        </w:rPr>
        <w:t>se acreditará con el certificado</w:t>
      </w:r>
      <w:r w:rsidR="005D31BA" w:rsidRPr="00892E76">
        <w:rPr>
          <w:rFonts w:ascii="Arial" w:hAnsi="Arial" w:cs="Arial"/>
          <w:sz w:val="19"/>
          <w:szCs w:val="19"/>
        </w:rPr>
        <w:t xml:space="preserve"> </w:t>
      </w:r>
      <w:r w:rsidR="00B1271A" w:rsidRPr="00892E76">
        <w:rPr>
          <w:rFonts w:ascii="Arial" w:hAnsi="Arial" w:cs="Arial"/>
          <w:sz w:val="19"/>
          <w:szCs w:val="19"/>
        </w:rPr>
        <w:t>de aportes a seguridad social del último año o</w:t>
      </w:r>
      <w:r w:rsidR="005D31BA" w:rsidRPr="00892E76">
        <w:rPr>
          <w:rFonts w:ascii="Arial" w:hAnsi="Arial" w:cs="Arial"/>
          <w:sz w:val="19"/>
          <w:szCs w:val="19"/>
        </w:rPr>
        <w:t xml:space="preserve"> </w:t>
      </w:r>
      <w:r w:rsidR="00B1271A" w:rsidRPr="00892E76">
        <w:rPr>
          <w:rFonts w:ascii="Arial" w:hAnsi="Arial" w:cs="Arial"/>
          <w:sz w:val="19"/>
          <w:szCs w:val="19"/>
        </w:rPr>
        <w:t>del tiempo de constitución de la persona jurídica, cuando su</w:t>
      </w:r>
      <w:r w:rsidR="005D31BA" w:rsidRPr="00892E76">
        <w:rPr>
          <w:rFonts w:ascii="Arial" w:hAnsi="Arial" w:cs="Arial"/>
          <w:sz w:val="19"/>
          <w:szCs w:val="19"/>
        </w:rPr>
        <w:t xml:space="preserve"> </w:t>
      </w:r>
      <w:r w:rsidR="00B1271A" w:rsidRPr="00892E76">
        <w:rPr>
          <w:rFonts w:ascii="Arial" w:hAnsi="Arial" w:cs="Arial"/>
          <w:sz w:val="19"/>
          <w:szCs w:val="19"/>
        </w:rPr>
        <w:t>conformación es</w:t>
      </w:r>
      <w:r w:rsidR="005D31BA" w:rsidRPr="00892E76">
        <w:rPr>
          <w:rFonts w:ascii="Arial" w:hAnsi="Arial" w:cs="Arial"/>
          <w:sz w:val="19"/>
          <w:szCs w:val="19"/>
        </w:rPr>
        <w:t xml:space="preserve"> </w:t>
      </w:r>
      <w:r w:rsidR="00B1271A" w:rsidRPr="00892E76">
        <w:rPr>
          <w:rFonts w:ascii="Arial" w:hAnsi="Arial" w:cs="Arial"/>
          <w:sz w:val="19"/>
          <w:szCs w:val="19"/>
        </w:rPr>
        <w:t>inferior a un (1) año, en el que se demuestren los pagos realizados por el</w:t>
      </w:r>
      <w:r w:rsidR="005D31BA" w:rsidRPr="00892E76">
        <w:rPr>
          <w:rFonts w:ascii="Arial" w:hAnsi="Arial" w:cs="Arial"/>
          <w:sz w:val="19"/>
          <w:szCs w:val="19"/>
        </w:rPr>
        <w:t xml:space="preserve"> </w:t>
      </w:r>
      <w:r w:rsidR="00B1271A" w:rsidRPr="00892E76">
        <w:rPr>
          <w:rFonts w:ascii="Arial" w:hAnsi="Arial" w:cs="Arial"/>
          <w:sz w:val="19"/>
          <w:szCs w:val="19"/>
        </w:rPr>
        <w:t>empleador.</w:t>
      </w:r>
    </w:p>
    <w:p w14:paraId="2861FE78" w14:textId="62CC9729" w:rsidR="007F6D1B" w:rsidRPr="00892E76" w:rsidRDefault="007F6D1B" w:rsidP="007679A2">
      <w:pPr>
        <w:pStyle w:val="Textonotapie"/>
        <w:ind w:firstLine="709"/>
        <w:jc w:val="both"/>
        <w:rPr>
          <w:rFonts w:ascii="Arial" w:hAnsi="Arial" w:cs="Arial"/>
          <w:sz w:val="19"/>
          <w:szCs w:val="19"/>
        </w:rPr>
      </w:pPr>
      <w:r w:rsidRPr="00892E76">
        <w:rPr>
          <w:rFonts w:ascii="Arial" w:hAnsi="Arial" w:cs="Arial"/>
          <w:sz w:val="19"/>
          <w:szCs w:val="19"/>
        </w:rPr>
        <w:t>»</w:t>
      </w:r>
      <w:r w:rsidR="00B1271A" w:rsidRPr="00892E76">
        <w:rPr>
          <w:rFonts w:ascii="Arial" w:hAnsi="Arial" w:cs="Arial"/>
          <w:sz w:val="19"/>
          <w:szCs w:val="19"/>
        </w:rPr>
        <w:t>En el caso de los proponentes plurales, su representante legal acreditará el</w:t>
      </w:r>
      <w:r w:rsidRPr="00892E76">
        <w:rPr>
          <w:rFonts w:ascii="Arial" w:hAnsi="Arial" w:cs="Arial"/>
          <w:sz w:val="19"/>
          <w:szCs w:val="19"/>
        </w:rPr>
        <w:t xml:space="preserve"> </w:t>
      </w:r>
      <w:r w:rsidR="00B1271A" w:rsidRPr="00892E76">
        <w:rPr>
          <w:rFonts w:ascii="Arial" w:hAnsi="Arial" w:cs="Arial"/>
          <w:sz w:val="19"/>
          <w:szCs w:val="19"/>
        </w:rPr>
        <w:t>número de trabajadores</w:t>
      </w:r>
      <w:r w:rsidRPr="00892E76">
        <w:rPr>
          <w:rFonts w:ascii="Arial" w:hAnsi="Arial" w:cs="Arial"/>
          <w:sz w:val="19"/>
          <w:szCs w:val="19"/>
        </w:rPr>
        <w:t xml:space="preserve"> </w:t>
      </w:r>
      <w:r w:rsidR="00B1271A" w:rsidRPr="00892E76">
        <w:rPr>
          <w:rFonts w:ascii="Arial" w:hAnsi="Arial" w:cs="Arial"/>
          <w:sz w:val="19"/>
          <w:szCs w:val="19"/>
        </w:rPr>
        <w:t>vinculados que son personas mayores no</w:t>
      </w:r>
      <w:r w:rsidRPr="00892E76">
        <w:rPr>
          <w:rFonts w:ascii="Arial" w:hAnsi="Arial" w:cs="Arial"/>
          <w:sz w:val="19"/>
          <w:szCs w:val="19"/>
        </w:rPr>
        <w:t xml:space="preserve"> </w:t>
      </w:r>
      <w:r w:rsidR="00B1271A" w:rsidRPr="00892E76">
        <w:rPr>
          <w:rFonts w:ascii="Arial" w:hAnsi="Arial" w:cs="Arial"/>
          <w:sz w:val="19"/>
          <w:szCs w:val="19"/>
        </w:rPr>
        <w:t>beneficiarias de la pensión de vejez, familiar o de sobrevivencia, y</w:t>
      </w:r>
      <w:r w:rsidRPr="00892E76">
        <w:rPr>
          <w:rFonts w:ascii="Arial" w:hAnsi="Arial" w:cs="Arial"/>
          <w:sz w:val="19"/>
          <w:szCs w:val="19"/>
        </w:rPr>
        <w:t xml:space="preserve"> </w:t>
      </w:r>
      <w:r w:rsidR="00B1271A" w:rsidRPr="00892E76">
        <w:rPr>
          <w:rFonts w:ascii="Arial" w:hAnsi="Arial" w:cs="Arial"/>
          <w:sz w:val="19"/>
          <w:szCs w:val="19"/>
        </w:rPr>
        <w:t>que</w:t>
      </w:r>
      <w:r w:rsidRPr="00892E76">
        <w:rPr>
          <w:rFonts w:ascii="Arial" w:hAnsi="Arial" w:cs="Arial"/>
          <w:sz w:val="19"/>
          <w:szCs w:val="19"/>
        </w:rPr>
        <w:t xml:space="preserve"> </w:t>
      </w:r>
      <w:r w:rsidR="00B1271A" w:rsidRPr="00892E76">
        <w:rPr>
          <w:rFonts w:ascii="Arial" w:hAnsi="Arial" w:cs="Arial"/>
          <w:sz w:val="19"/>
          <w:szCs w:val="19"/>
        </w:rPr>
        <w:t>cumplieron el requisito de edad de pensión establecido en la ley, de todos los</w:t>
      </w:r>
      <w:r w:rsidRPr="00892E76">
        <w:rPr>
          <w:rFonts w:ascii="Arial" w:hAnsi="Arial" w:cs="Arial"/>
          <w:sz w:val="19"/>
          <w:szCs w:val="19"/>
        </w:rPr>
        <w:t xml:space="preserve"> </w:t>
      </w:r>
      <w:r w:rsidR="00B1271A" w:rsidRPr="00892E76">
        <w:rPr>
          <w:rFonts w:ascii="Arial" w:hAnsi="Arial" w:cs="Arial"/>
          <w:sz w:val="19"/>
          <w:szCs w:val="19"/>
        </w:rPr>
        <w:t>integrantes del consorcio</w:t>
      </w:r>
      <w:r w:rsidRPr="00892E76">
        <w:rPr>
          <w:rFonts w:ascii="Arial" w:hAnsi="Arial" w:cs="Arial"/>
          <w:sz w:val="19"/>
          <w:szCs w:val="19"/>
        </w:rPr>
        <w:t xml:space="preserve"> </w:t>
      </w:r>
      <w:r w:rsidR="00B1271A" w:rsidRPr="00892E76">
        <w:rPr>
          <w:rFonts w:ascii="Arial" w:hAnsi="Arial" w:cs="Arial"/>
          <w:sz w:val="19"/>
          <w:szCs w:val="19"/>
        </w:rPr>
        <w:t>o de la unión temporal. Las personas enunciadas</w:t>
      </w:r>
      <w:r w:rsidRPr="00892E76">
        <w:rPr>
          <w:rFonts w:ascii="Arial" w:hAnsi="Arial" w:cs="Arial"/>
          <w:sz w:val="19"/>
          <w:szCs w:val="19"/>
        </w:rPr>
        <w:t xml:space="preserve"> </w:t>
      </w:r>
      <w:r w:rsidR="00B1271A" w:rsidRPr="00892E76">
        <w:rPr>
          <w:rFonts w:ascii="Arial" w:hAnsi="Arial" w:cs="Arial"/>
          <w:sz w:val="19"/>
          <w:szCs w:val="19"/>
        </w:rPr>
        <w:t>anteriormente podrán estar vinculadas a cualquiera de sus</w:t>
      </w:r>
      <w:r w:rsidRPr="00892E76">
        <w:rPr>
          <w:rFonts w:ascii="Arial" w:hAnsi="Arial" w:cs="Arial"/>
          <w:sz w:val="19"/>
          <w:szCs w:val="19"/>
        </w:rPr>
        <w:t xml:space="preserve"> </w:t>
      </w:r>
      <w:r w:rsidR="00B1271A" w:rsidRPr="00892E76">
        <w:rPr>
          <w:rFonts w:ascii="Arial" w:hAnsi="Arial" w:cs="Arial"/>
          <w:sz w:val="19"/>
          <w:szCs w:val="19"/>
        </w:rPr>
        <w:t>integrantes.</w:t>
      </w:r>
    </w:p>
    <w:p w14:paraId="38896C7A" w14:textId="36645DC4" w:rsidR="007F6D1B" w:rsidRPr="00892E76" w:rsidRDefault="007F6D1B" w:rsidP="007679A2">
      <w:pPr>
        <w:pStyle w:val="Textonotapie"/>
        <w:ind w:firstLine="709"/>
        <w:jc w:val="both"/>
        <w:rPr>
          <w:rFonts w:ascii="Arial" w:hAnsi="Arial" w:cs="Arial"/>
          <w:sz w:val="19"/>
          <w:szCs w:val="19"/>
        </w:rPr>
      </w:pPr>
      <w:r w:rsidRPr="00892E76">
        <w:rPr>
          <w:rFonts w:ascii="Arial" w:hAnsi="Arial" w:cs="Arial"/>
          <w:sz w:val="19"/>
          <w:szCs w:val="19"/>
        </w:rPr>
        <w:t>»</w:t>
      </w:r>
      <w:r w:rsidR="00B1271A" w:rsidRPr="00892E76">
        <w:rPr>
          <w:rFonts w:ascii="Arial" w:hAnsi="Arial" w:cs="Arial"/>
          <w:sz w:val="19"/>
          <w:szCs w:val="19"/>
        </w:rPr>
        <w:t>En cualquiera de los dos supuestos anteriores, para el otorgamiento del criterio</w:t>
      </w:r>
      <w:r w:rsidRPr="00892E76">
        <w:rPr>
          <w:rFonts w:ascii="Arial" w:hAnsi="Arial" w:cs="Arial"/>
          <w:sz w:val="19"/>
          <w:szCs w:val="19"/>
        </w:rPr>
        <w:t xml:space="preserve"> </w:t>
      </w:r>
      <w:r w:rsidR="00B1271A" w:rsidRPr="00892E76">
        <w:rPr>
          <w:rFonts w:ascii="Arial" w:hAnsi="Arial" w:cs="Arial"/>
          <w:sz w:val="19"/>
          <w:szCs w:val="19"/>
        </w:rPr>
        <w:t>de desempate, cada uno de</w:t>
      </w:r>
      <w:r w:rsidRPr="00892E76">
        <w:rPr>
          <w:rFonts w:ascii="Arial" w:hAnsi="Arial" w:cs="Arial"/>
          <w:sz w:val="19"/>
          <w:szCs w:val="19"/>
        </w:rPr>
        <w:t xml:space="preserve"> </w:t>
      </w:r>
      <w:r w:rsidR="00B1271A" w:rsidRPr="00892E76">
        <w:rPr>
          <w:rFonts w:ascii="Arial" w:hAnsi="Arial" w:cs="Arial"/>
          <w:sz w:val="19"/>
          <w:szCs w:val="19"/>
        </w:rPr>
        <w:t>los trabajadores que cumpla las condiciones</w:t>
      </w:r>
      <w:r w:rsidRPr="00892E76">
        <w:rPr>
          <w:rFonts w:ascii="Arial" w:hAnsi="Arial" w:cs="Arial"/>
          <w:sz w:val="19"/>
          <w:szCs w:val="19"/>
        </w:rPr>
        <w:t xml:space="preserve"> </w:t>
      </w:r>
      <w:r w:rsidR="00B1271A" w:rsidRPr="00892E76">
        <w:rPr>
          <w:rFonts w:ascii="Arial" w:hAnsi="Arial" w:cs="Arial"/>
          <w:sz w:val="19"/>
          <w:szCs w:val="19"/>
        </w:rPr>
        <w:t>previstas por la ley, allegará un certificado, mediante el cual acredita, bajo la</w:t>
      </w:r>
      <w:r w:rsidRPr="00892E76">
        <w:rPr>
          <w:rFonts w:ascii="Arial" w:hAnsi="Arial" w:cs="Arial"/>
          <w:sz w:val="19"/>
          <w:szCs w:val="19"/>
        </w:rPr>
        <w:t xml:space="preserve"> </w:t>
      </w:r>
      <w:r w:rsidR="00B1271A" w:rsidRPr="00892E76">
        <w:rPr>
          <w:rFonts w:ascii="Arial" w:hAnsi="Arial" w:cs="Arial"/>
          <w:sz w:val="19"/>
          <w:szCs w:val="19"/>
        </w:rPr>
        <w:t>gravedad de juramento, que no es beneficiario de pensión de vejez, familiar o</w:t>
      </w:r>
      <w:r w:rsidRPr="00892E76">
        <w:rPr>
          <w:rFonts w:ascii="Arial" w:hAnsi="Arial" w:cs="Arial"/>
          <w:sz w:val="19"/>
          <w:szCs w:val="19"/>
        </w:rPr>
        <w:t xml:space="preserve"> </w:t>
      </w:r>
      <w:r w:rsidR="00B1271A" w:rsidRPr="00892E76">
        <w:rPr>
          <w:rFonts w:ascii="Arial" w:hAnsi="Arial" w:cs="Arial"/>
          <w:sz w:val="19"/>
          <w:szCs w:val="19"/>
        </w:rPr>
        <w:t>sobrevivencia,</w:t>
      </w:r>
      <w:r w:rsidRPr="00892E76">
        <w:rPr>
          <w:rFonts w:ascii="Arial" w:hAnsi="Arial" w:cs="Arial"/>
          <w:sz w:val="19"/>
          <w:szCs w:val="19"/>
        </w:rPr>
        <w:t xml:space="preserve"> </w:t>
      </w:r>
      <w:r w:rsidR="00B1271A" w:rsidRPr="00892E76">
        <w:rPr>
          <w:rFonts w:ascii="Arial" w:hAnsi="Arial" w:cs="Arial"/>
          <w:sz w:val="19"/>
          <w:szCs w:val="19"/>
        </w:rPr>
        <w:t>y cumple la edad de pensión; además, se deberá allegar el</w:t>
      </w:r>
      <w:r w:rsidRPr="00892E76">
        <w:rPr>
          <w:rFonts w:ascii="Arial" w:hAnsi="Arial" w:cs="Arial"/>
          <w:sz w:val="19"/>
          <w:szCs w:val="19"/>
        </w:rPr>
        <w:t xml:space="preserve"> </w:t>
      </w:r>
      <w:r w:rsidR="00B1271A" w:rsidRPr="00892E76">
        <w:rPr>
          <w:rFonts w:ascii="Arial" w:hAnsi="Arial" w:cs="Arial"/>
          <w:sz w:val="19"/>
          <w:szCs w:val="19"/>
        </w:rPr>
        <w:t>documento de identificación del trabajador que lo firma.</w:t>
      </w:r>
    </w:p>
    <w:p w14:paraId="49441C20" w14:textId="5BEA0C5F" w:rsidR="00CC4C57" w:rsidRPr="00892E76" w:rsidRDefault="007F6D1B" w:rsidP="007F6D1B">
      <w:pPr>
        <w:pStyle w:val="Textonotapie"/>
        <w:ind w:firstLine="709"/>
        <w:jc w:val="both"/>
        <w:rPr>
          <w:rFonts w:ascii="Arial" w:hAnsi="Arial" w:cs="Arial"/>
          <w:sz w:val="19"/>
          <w:szCs w:val="19"/>
        </w:rPr>
      </w:pPr>
      <w:r w:rsidRPr="00892E76">
        <w:rPr>
          <w:rFonts w:ascii="Arial" w:hAnsi="Arial" w:cs="Arial"/>
          <w:sz w:val="19"/>
          <w:szCs w:val="19"/>
        </w:rPr>
        <w:t>»</w:t>
      </w:r>
      <w:r w:rsidR="00B1271A" w:rsidRPr="00892E76">
        <w:rPr>
          <w:rFonts w:ascii="Arial" w:hAnsi="Arial" w:cs="Arial"/>
          <w:sz w:val="19"/>
          <w:szCs w:val="19"/>
        </w:rPr>
        <w:t>La mayor proporción se definirá en relación con el número total de trabajadores</w:t>
      </w:r>
      <w:r w:rsidRPr="00892E76">
        <w:rPr>
          <w:rFonts w:ascii="Arial" w:hAnsi="Arial" w:cs="Arial"/>
          <w:sz w:val="19"/>
          <w:szCs w:val="19"/>
        </w:rPr>
        <w:t xml:space="preserve"> </w:t>
      </w:r>
      <w:r w:rsidR="00B1271A" w:rsidRPr="00892E76">
        <w:rPr>
          <w:rFonts w:ascii="Arial" w:hAnsi="Arial" w:cs="Arial"/>
          <w:sz w:val="19"/>
          <w:szCs w:val="19"/>
        </w:rPr>
        <w:t>vinculados en la planta de</w:t>
      </w:r>
      <w:r w:rsidRPr="00892E76">
        <w:rPr>
          <w:rFonts w:ascii="Arial" w:hAnsi="Arial" w:cs="Arial"/>
          <w:sz w:val="19"/>
          <w:szCs w:val="19"/>
        </w:rPr>
        <w:t xml:space="preserve"> </w:t>
      </w:r>
      <w:r w:rsidR="00B1271A" w:rsidRPr="00892E76">
        <w:rPr>
          <w:rFonts w:ascii="Arial" w:hAnsi="Arial" w:cs="Arial"/>
          <w:sz w:val="19"/>
          <w:szCs w:val="19"/>
        </w:rPr>
        <w:t>personal, por lo que se preferirá al oferente que</w:t>
      </w:r>
      <w:r w:rsidRPr="00892E76">
        <w:rPr>
          <w:rFonts w:ascii="Arial" w:hAnsi="Arial" w:cs="Arial"/>
          <w:sz w:val="19"/>
          <w:szCs w:val="19"/>
        </w:rPr>
        <w:t xml:space="preserve"> </w:t>
      </w:r>
      <w:r w:rsidR="00B1271A" w:rsidRPr="00892E76">
        <w:rPr>
          <w:rFonts w:ascii="Arial" w:hAnsi="Arial" w:cs="Arial"/>
          <w:sz w:val="19"/>
          <w:szCs w:val="19"/>
        </w:rPr>
        <w:t>acredite un porcentaje mayor. En el caso de proponentes</w:t>
      </w:r>
      <w:r w:rsidRPr="00892E76">
        <w:rPr>
          <w:rFonts w:ascii="Arial" w:hAnsi="Arial" w:cs="Arial"/>
          <w:sz w:val="19"/>
          <w:szCs w:val="19"/>
        </w:rPr>
        <w:t xml:space="preserve"> </w:t>
      </w:r>
      <w:r w:rsidR="00B1271A" w:rsidRPr="00892E76">
        <w:rPr>
          <w:rFonts w:ascii="Arial" w:hAnsi="Arial" w:cs="Arial"/>
          <w:sz w:val="19"/>
          <w:szCs w:val="19"/>
        </w:rPr>
        <w:t>plurales, la mayor</w:t>
      </w:r>
      <w:r w:rsidR="00731DBE" w:rsidRPr="00892E76">
        <w:rPr>
          <w:rFonts w:ascii="Arial" w:hAnsi="Arial" w:cs="Arial"/>
          <w:sz w:val="19"/>
          <w:szCs w:val="19"/>
        </w:rPr>
        <w:t xml:space="preserve"> proporción se definirá con la sumatoria de trabajadores vinculados en la planta</w:t>
      </w:r>
      <w:r w:rsidRPr="00892E76">
        <w:rPr>
          <w:rFonts w:ascii="Arial" w:hAnsi="Arial" w:cs="Arial"/>
          <w:sz w:val="19"/>
          <w:szCs w:val="19"/>
        </w:rPr>
        <w:t xml:space="preserve"> </w:t>
      </w:r>
      <w:r w:rsidR="00731DBE" w:rsidRPr="00892E76">
        <w:rPr>
          <w:rFonts w:ascii="Arial" w:hAnsi="Arial" w:cs="Arial"/>
          <w:sz w:val="19"/>
          <w:szCs w:val="19"/>
        </w:rPr>
        <w:t>de personal de cada uno de sus integrantes</w:t>
      </w:r>
      <w:r w:rsidRPr="00892E76">
        <w:rPr>
          <w:rFonts w:ascii="Arial" w:hAnsi="Arial" w:cs="Arial"/>
          <w:sz w:val="19"/>
          <w:szCs w:val="19"/>
        </w:rPr>
        <w:t>»</w:t>
      </w:r>
      <w:r w:rsidR="00731DBE" w:rsidRPr="00892E76">
        <w:rPr>
          <w:rFonts w:ascii="Arial" w:hAnsi="Arial" w:cs="Arial"/>
          <w:sz w:val="19"/>
          <w:szCs w:val="19"/>
        </w:rPr>
        <w:t>.</w:t>
      </w:r>
    </w:p>
  </w:footnote>
  <w:footnote w:id="15">
    <w:p w14:paraId="0A51D688" w14:textId="77777777" w:rsidR="00A85290" w:rsidRPr="007F6D1B" w:rsidRDefault="00A85290" w:rsidP="007F6D1B">
      <w:pPr>
        <w:pStyle w:val="Textonotapie"/>
        <w:ind w:firstLine="709"/>
        <w:jc w:val="both"/>
        <w:rPr>
          <w:rFonts w:ascii="Arial" w:hAnsi="Arial" w:cs="Arial"/>
          <w:sz w:val="19"/>
          <w:szCs w:val="19"/>
          <w:lang w:val="es-ES"/>
        </w:rPr>
      </w:pPr>
      <w:r w:rsidRPr="00892E76">
        <w:rPr>
          <w:rStyle w:val="Refdenotaalpie"/>
          <w:rFonts w:ascii="Arial" w:hAnsi="Arial" w:cs="Arial"/>
          <w:sz w:val="19"/>
          <w:szCs w:val="19"/>
        </w:rPr>
        <w:footnoteRef/>
      </w:r>
      <w:r w:rsidRPr="00892E76">
        <w:rPr>
          <w:rFonts w:ascii="Arial" w:hAnsi="Arial" w:cs="Arial"/>
          <w:sz w:val="19"/>
          <w:szCs w:val="19"/>
        </w:rPr>
        <w:t xml:space="preserve"> Disponibles en: https://www.colombiacompra.gov.co/content/02-documentos-tipo-para-licitacion-de-obra-publica-de-infraestructura-de-transporte-version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3D3D44" w:rsidRDefault="003D3D44">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30F5570"/>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0F22924"/>
    <w:multiLevelType w:val="hybridMultilevel"/>
    <w:tmpl w:val="09F0843A"/>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8"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9"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5"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3"/>
  </w:num>
  <w:num w:numId="2">
    <w:abstractNumId w:val="11"/>
  </w:num>
  <w:num w:numId="3">
    <w:abstractNumId w:val="16"/>
  </w:num>
  <w:num w:numId="4">
    <w:abstractNumId w:val="19"/>
  </w:num>
  <w:num w:numId="5">
    <w:abstractNumId w:val="2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0"/>
  </w:num>
  <w:num w:numId="9">
    <w:abstractNumId w:val="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5"/>
  </w:num>
  <w:num w:numId="14">
    <w:abstractNumId w:val="10"/>
  </w:num>
  <w:num w:numId="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7"/>
  </w:num>
  <w:num w:numId="19">
    <w:abstractNumId w:val="4"/>
  </w:num>
  <w:num w:numId="20">
    <w:abstractNumId w:val="26"/>
  </w:num>
  <w:num w:numId="21">
    <w:abstractNumId w:val="18"/>
  </w:num>
  <w:num w:numId="22">
    <w:abstractNumId w:val="8"/>
  </w:num>
  <w:num w:numId="23">
    <w:abstractNumId w:val="6"/>
  </w:num>
  <w:num w:numId="24">
    <w:abstractNumId w:val="24"/>
  </w:num>
  <w:num w:numId="25">
    <w:abstractNumId w:val="20"/>
  </w:num>
  <w:num w:numId="26">
    <w:abstractNumId w:val="27"/>
  </w:num>
  <w:num w:numId="27">
    <w:abstractNumId w:val="9"/>
  </w:num>
  <w:num w:numId="28">
    <w:abstractNumId w:val="3"/>
  </w:num>
  <w:num w:numId="29">
    <w:abstractNumId w:val="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23B3"/>
    <w:rsid w:val="00002F75"/>
    <w:rsid w:val="000031A8"/>
    <w:rsid w:val="00003C5C"/>
    <w:rsid w:val="000040D7"/>
    <w:rsid w:val="000041FC"/>
    <w:rsid w:val="00004556"/>
    <w:rsid w:val="00004E47"/>
    <w:rsid w:val="0000500B"/>
    <w:rsid w:val="000051AF"/>
    <w:rsid w:val="000059D3"/>
    <w:rsid w:val="00005B6D"/>
    <w:rsid w:val="00005FC5"/>
    <w:rsid w:val="0000600A"/>
    <w:rsid w:val="00006081"/>
    <w:rsid w:val="0000656F"/>
    <w:rsid w:val="000073C0"/>
    <w:rsid w:val="00007564"/>
    <w:rsid w:val="00007750"/>
    <w:rsid w:val="000077FD"/>
    <w:rsid w:val="00007E37"/>
    <w:rsid w:val="0001061E"/>
    <w:rsid w:val="00010C40"/>
    <w:rsid w:val="000112B4"/>
    <w:rsid w:val="0001193D"/>
    <w:rsid w:val="00011DCC"/>
    <w:rsid w:val="00012532"/>
    <w:rsid w:val="00012B0A"/>
    <w:rsid w:val="00012B9E"/>
    <w:rsid w:val="00012FBA"/>
    <w:rsid w:val="0001318A"/>
    <w:rsid w:val="0001334C"/>
    <w:rsid w:val="00013C6B"/>
    <w:rsid w:val="0001406B"/>
    <w:rsid w:val="000143F8"/>
    <w:rsid w:val="00014624"/>
    <w:rsid w:val="00014AA8"/>
    <w:rsid w:val="00014AC3"/>
    <w:rsid w:val="00015B44"/>
    <w:rsid w:val="00015CEE"/>
    <w:rsid w:val="00016081"/>
    <w:rsid w:val="000165AC"/>
    <w:rsid w:val="00016651"/>
    <w:rsid w:val="00016FE3"/>
    <w:rsid w:val="000171A2"/>
    <w:rsid w:val="000177F7"/>
    <w:rsid w:val="00017B65"/>
    <w:rsid w:val="00020158"/>
    <w:rsid w:val="000207E0"/>
    <w:rsid w:val="000209E2"/>
    <w:rsid w:val="00020F8F"/>
    <w:rsid w:val="00021A95"/>
    <w:rsid w:val="0002256F"/>
    <w:rsid w:val="00023746"/>
    <w:rsid w:val="00023DAE"/>
    <w:rsid w:val="00024896"/>
    <w:rsid w:val="00024DA6"/>
    <w:rsid w:val="00024E4E"/>
    <w:rsid w:val="00025217"/>
    <w:rsid w:val="00025254"/>
    <w:rsid w:val="00025D0A"/>
    <w:rsid w:val="000263F0"/>
    <w:rsid w:val="00026407"/>
    <w:rsid w:val="00026608"/>
    <w:rsid w:val="00026BBB"/>
    <w:rsid w:val="00027787"/>
    <w:rsid w:val="000278D2"/>
    <w:rsid w:val="0003095C"/>
    <w:rsid w:val="00030BD4"/>
    <w:rsid w:val="00031158"/>
    <w:rsid w:val="00031278"/>
    <w:rsid w:val="00031364"/>
    <w:rsid w:val="000314BD"/>
    <w:rsid w:val="000315E1"/>
    <w:rsid w:val="00031DD6"/>
    <w:rsid w:val="00031FF6"/>
    <w:rsid w:val="0003236E"/>
    <w:rsid w:val="0003339A"/>
    <w:rsid w:val="0003370C"/>
    <w:rsid w:val="000341F2"/>
    <w:rsid w:val="000343F8"/>
    <w:rsid w:val="00035046"/>
    <w:rsid w:val="000351F2"/>
    <w:rsid w:val="00036518"/>
    <w:rsid w:val="00036E03"/>
    <w:rsid w:val="000406DB"/>
    <w:rsid w:val="0004094D"/>
    <w:rsid w:val="00041029"/>
    <w:rsid w:val="0004149B"/>
    <w:rsid w:val="00042342"/>
    <w:rsid w:val="00042961"/>
    <w:rsid w:val="00042C25"/>
    <w:rsid w:val="00042D03"/>
    <w:rsid w:val="00043086"/>
    <w:rsid w:val="000430A0"/>
    <w:rsid w:val="00043D3B"/>
    <w:rsid w:val="0004418C"/>
    <w:rsid w:val="00044204"/>
    <w:rsid w:val="000449D4"/>
    <w:rsid w:val="00044F06"/>
    <w:rsid w:val="00045A00"/>
    <w:rsid w:val="0004610D"/>
    <w:rsid w:val="000463B5"/>
    <w:rsid w:val="00046717"/>
    <w:rsid w:val="00046A63"/>
    <w:rsid w:val="00046C09"/>
    <w:rsid w:val="0004716A"/>
    <w:rsid w:val="00047311"/>
    <w:rsid w:val="00047385"/>
    <w:rsid w:val="000473E8"/>
    <w:rsid w:val="00047F84"/>
    <w:rsid w:val="000504DE"/>
    <w:rsid w:val="000504E2"/>
    <w:rsid w:val="00051074"/>
    <w:rsid w:val="000526F0"/>
    <w:rsid w:val="0005273D"/>
    <w:rsid w:val="00052B79"/>
    <w:rsid w:val="00052E2F"/>
    <w:rsid w:val="00052EA0"/>
    <w:rsid w:val="000536A7"/>
    <w:rsid w:val="000536E3"/>
    <w:rsid w:val="00053896"/>
    <w:rsid w:val="0005463D"/>
    <w:rsid w:val="0005474D"/>
    <w:rsid w:val="00055CB9"/>
    <w:rsid w:val="00056CD0"/>
    <w:rsid w:val="00056F66"/>
    <w:rsid w:val="0005702F"/>
    <w:rsid w:val="00057887"/>
    <w:rsid w:val="00057B43"/>
    <w:rsid w:val="000601EE"/>
    <w:rsid w:val="0006089F"/>
    <w:rsid w:val="00061010"/>
    <w:rsid w:val="00061D06"/>
    <w:rsid w:val="00062CDD"/>
    <w:rsid w:val="000635D9"/>
    <w:rsid w:val="000640AF"/>
    <w:rsid w:val="00064940"/>
    <w:rsid w:val="00064CAE"/>
    <w:rsid w:val="00064DB7"/>
    <w:rsid w:val="00064FA7"/>
    <w:rsid w:val="00065195"/>
    <w:rsid w:val="0006533E"/>
    <w:rsid w:val="0006536C"/>
    <w:rsid w:val="000669CB"/>
    <w:rsid w:val="00066A59"/>
    <w:rsid w:val="00066E52"/>
    <w:rsid w:val="00070AF1"/>
    <w:rsid w:val="000714DE"/>
    <w:rsid w:val="00071E45"/>
    <w:rsid w:val="000724E3"/>
    <w:rsid w:val="0007254F"/>
    <w:rsid w:val="0007331E"/>
    <w:rsid w:val="00073C30"/>
    <w:rsid w:val="00074305"/>
    <w:rsid w:val="000744D0"/>
    <w:rsid w:val="00074B2A"/>
    <w:rsid w:val="00074EEE"/>
    <w:rsid w:val="000753D5"/>
    <w:rsid w:val="00075B3E"/>
    <w:rsid w:val="00076456"/>
    <w:rsid w:val="000767B5"/>
    <w:rsid w:val="00077173"/>
    <w:rsid w:val="0007719D"/>
    <w:rsid w:val="0007779B"/>
    <w:rsid w:val="000777E7"/>
    <w:rsid w:val="0007790A"/>
    <w:rsid w:val="00077CD9"/>
    <w:rsid w:val="00077E09"/>
    <w:rsid w:val="0008017B"/>
    <w:rsid w:val="000808C5"/>
    <w:rsid w:val="000809DA"/>
    <w:rsid w:val="00080ACD"/>
    <w:rsid w:val="000811ED"/>
    <w:rsid w:val="00081D62"/>
    <w:rsid w:val="00082303"/>
    <w:rsid w:val="00082B74"/>
    <w:rsid w:val="00083099"/>
    <w:rsid w:val="00083452"/>
    <w:rsid w:val="00083535"/>
    <w:rsid w:val="00083B4A"/>
    <w:rsid w:val="00083EDC"/>
    <w:rsid w:val="000842BE"/>
    <w:rsid w:val="00084B5A"/>
    <w:rsid w:val="00084B97"/>
    <w:rsid w:val="00084F34"/>
    <w:rsid w:val="0008510E"/>
    <w:rsid w:val="000852D8"/>
    <w:rsid w:val="000856DE"/>
    <w:rsid w:val="00085F17"/>
    <w:rsid w:val="00085FB0"/>
    <w:rsid w:val="00085FB3"/>
    <w:rsid w:val="00086092"/>
    <w:rsid w:val="000866F8"/>
    <w:rsid w:val="0008686B"/>
    <w:rsid w:val="00086B2A"/>
    <w:rsid w:val="00086BD1"/>
    <w:rsid w:val="00086ED2"/>
    <w:rsid w:val="000874F7"/>
    <w:rsid w:val="00087C89"/>
    <w:rsid w:val="00090A6A"/>
    <w:rsid w:val="00091354"/>
    <w:rsid w:val="000914D6"/>
    <w:rsid w:val="00091569"/>
    <w:rsid w:val="000916DD"/>
    <w:rsid w:val="00092CDB"/>
    <w:rsid w:val="00092DCA"/>
    <w:rsid w:val="00093085"/>
    <w:rsid w:val="00093D14"/>
    <w:rsid w:val="000941AF"/>
    <w:rsid w:val="000942EB"/>
    <w:rsid w:val="00095B70"/>
    <w:rsid w:val="00095D3C"/>
    <w:rsid w:val="0009617E"/>
    <w:rsid w:val="0009628D"/>
    <w:rsid w:val="0009670F"/>
    <w:rsid w:val="00097342"/>
    <w:rsid w:val="00097446"/>
    <w:rsid w:val="000979CF"/>
    <w:rsid w:val="00097FCD"/>
    <w:rsid w:val="000A03C8"/>
    <w:rsid w:val="000A05F2"/>
    <w:rsid w:val="000A06C4"/>
    <w:rsid w:val="000A0861"/>
    <w:rsid w:val="000A0ED1"/>
    <w:rsid w:val="000A12DB"/>
    <w:rsid w:val="000A1576"/>
    <w:rsid w:val="000A17C8"/>
    <w:rsid w:val="000A1B74"/>
    <w:rsid w:val="000A20D7"/>
    <w:rsid w:val="000A2128"/>
    <w:rsid w:val="000A2D7B"/>
    <w:rsid w:val="000A362F"/>
    <w:rsid w:val="000A3B49"/>
    <w:rsid w:val="000A47E6"/>
    <w:rsid w:val="000A52C0"/>
    <w:rsid w:val="000A5AAF"/>
    <w:rsid w:val="000A5E0E"/>
    <w:rsid w:val="000A5F97"/>
    <w:rsid w:val="000A63A0"/>
    <w:rsid w:val="000A648E"/>
    <w:rsid w:val="000A6DAD"/>
    <w:rsid w:val="000A738A"/>
    <w:rsid w:val="000A73BB"/>
    <w:rsid w:val="000A7EF4"/>
    <w:rsid w:val="000B0A15"/>
    <w:rsid w:val="000B103F"/>
    <w:rsid w:val="000B1437"/>
    <w:rsid w:val="000B1470"/>
    <w:rsid w:val="000B244D"/>
    <w:rsid w:val="000B2570"/>
    <w:rsid w:val="000B27DC"/>
    <w:rsid w:val="000B2991"/>
    <w:rsid w:val="000B2B86"/>
    <w:rsid w:val="000B3051"/>
    <w:rsid w:val="000B419B"/>
    <w:rsid w:val="000B5781"/>
    <w:rsid w:val="000B5CB1"/>
    <w:rsid w:val="000B6C36"/>
    <w:rsid w:val="000B6D08"/>
    <w:rsid w:val="000C0185"/>
    <w:rsid w:val="000C0F81"/>
    <w:rsid w:val="000C128D"/>
    <w:rsid w:val="000C17A3"/>
    <w:rsid w:val="000C1D4B"/>
    <w:rsid w:val="000C1F42"/>
    <w:rsid w:val="000C2DC4"/>
    <w:rsid w:val="000C3260"/>
    <w:rsid w:val="000C3B77"/>
    <w:rsid w:val="000C3F6D"/>
    <w:rsid w:val="000C49D9"/>
    <w:rsid w:val="000C4B90"/>
    <w:rsid w:val="000C4D09"/>
    <w:rsid w:val="000C4EA0"/>
    <w:rsid w:val="000C4F49"/>
    <w:rsid w:val="000C5861"/>
    <w:rsid w:val="000C5BDE"/>
    <w:rsid w:val="000C5C4C"/>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299D"/>
    <w:rsid w:val="000D29EF"/>
    <w:rsid w:val="000D3282"/>
    <w:rsid w:val="000D3FDC"/>
    <w:rsid w:val="000D490B"/>
    <w:rsid w:val="000D4E38"/>
    <w:rsid w:val="000D4EBB"/>
    <w:rsid w:val="000D4EFA"/>
    <w:rsid w:val="000D50DB"/>
    <w:rsid w:val="000D5EF9"/>
    <w:rsid w:val="000D6288"/>
    <w:rsid w:val="000D6B5E"/>
    <w:rsid w:val="000D7541"/>
    <w:rsid w:val="000D75E1"/>
    <w:rsid w:val="000D79F4"/>
    <w:rsid w:val="000E047D"/>
    <w:rsid w:val="000E0519"/>
    <w:rsid w:val="000E056A"/>
    <w:rsid w:val="000E0D5A"/>
    <w:rsid w:val="000E22CF"/>
    <w:rsid w:val="000E2977"/>
    <w:rsid w:val="000E2CC0"/>
    <w:rsid w:val="000E30AC"/>
    <w:rsid w:val="000E3B46"/>
    <w:rsid w:val="000E3E11"/>
    <w:rsid w:val="000E40A7"/>
    <w:rsid w:val="000E4596"/>
    <w:rsid w:val="000E5768"/>
    <w:rsid w:val="000E5843"/>
    <w:rsid w:val="000E5E20"/>
    <w:rsid w:val="000E6139"/>
    <w:rsid w:val="000E6BE1"/>
    <w:rsid w:val="000E6E63"/>
    <w:rsid w:val="000E7DC5"/>
    <w:rsid w:val="000E7E0B"/>
    <w:rsid w:val="000E7EA3"/>
    <w:rsid w:val="000F0136"/>
    <w:rsid w:val="000F078A"/>
    <w:rsid w:val="000F0FB9"/>
    <w:rsid w:val="000F122D"/>
    <w:rsid w:val="000F1450"/>
    <w:rsid w:val="000F14E8"/>
    <w:rsid w:val="000F1BBD"/>
    <w:rsid w:val="000F290F"/>
    <w:rsid w:val="000F3978"/>
    <w:rsid w:val="000F4403"/>
    <w:rsid w:val="000F4702"/>
    <w:rsid w:val="000F480B"/>
    <w:rsid w:val="000F4E17"/>
    <w:rsid w:val="000F59E8"/>
    <w:rsid w:val="000F5D2E"/>
    <w:rsid w:val="000F6578"/>
    <w:rsid w:val="000F7BF3"/>
    <w:rsid w:val="000F7D1B"/>
    <w:rsid w:val="000F7E8F"/>
    <w:rsid w:val="000F7FBB"/>
    <w:rsid w:val="001000FB"/>
    <w:rsid w:val="00100A9E"/>
    <w:rsid w:val="00100F6A"/>
    <w:rsid w:val="001021F3"/>
    <w:rsid w:val="00102605"/>
    <w:rsid w:val="00102686"/>
    <w:rsid w:val="00102745"/>
    <w:rsid w:val="00103348"/>
    <w:rsid w:val="0010361C"/>
    <w:rsid w:val="00103795"/>
    <w:rsid w:val="00103915"/>
    <w:rsid w:val="00103EA0"/>
    <w:rsid w:val="00104F1C"/>
    <w:rsid w:val="001051E5"/>
    <w:rsid w:val="00105A74"/>
    <w:rsid w:val="00105AB9"/>
    <w:rsid w:val="00105ACB"/>
    <w:rsid w:val="00105AEF"/>
    <w:rsid w:val="00105FA3"/>
    <w:rsid w:val="00106259"/>
    <w:rsid w:val="00106783"/>
    <w:rsid w:val="001068EB"/>
    <w:rsid w:val="00106F30"/>
    <w:rsid w:val="00107328"/>
    <w:rsid w:val="001078CE"/>
    <w:rsid w:val="00107FBF"/>
    <w:rsid w:val="00110289"/>
    <w:rsid w:val="00110F61"/>
    <w:rsid w:val="00110F7C"/>
    <w:rsid w:val="001111BD"/>
    <w:rsid w:val="0011165A"/>
    <w:rsid w:val="001116C6"/>
    <w:rsid w:val="00111B2B"/>
    <w:rsid w:val="00112774"/>
    <w:rsid w:val="00112B2E"/>
    <w:rsid w:val="00112B7F"/>
    <w:rsid w:val="00113003"/>
    <w:rsid w:val="00113062"/>
    <w:rsid w:val="00113657"/>
    <w:rsid w:val="00113705"/>
    <w:rsid w:val="00113975"/>
    <w:rsid w:val="00113CFC"/>
    <w:rsid w:val="00113FEA"/>
    <w:rsid w:val="00114003"/>
    <w:rsid w:val="00114049"/>
    <w:rsid w:val="00114631"/>
    <w:rsid w:val="00114A22"/>
    <w:rsid w:val="00114E9D"/>
    <w:rsid w:val="00115002"/>
    <w:rsid w:val="0011507B"/>
    <w:rsid w:val="0011627A"/>
    <w:rsid w:val="00116328"/>
    <w:rsid w:val="001163CF"/>
    <w:rsid w:val="001174C9"/>
    <w:rsid w:val="00117E69"/>
    <w:rsid w:val="00120409"/>
    <w:rsid w:val="001204D2"/>
    <w:rsid w:val="00120DA2"/>
    <w:rsid w:val="001210B5"/>
    <w:rsid w:val="00121103"/>
    <w:rsid w:val="001215B2"/>
    <w:rsid w:val="00121BAB"/>
    <w:rsid w:val="00121E3C"/>
    <w:rsid w:val="00122161"/>
    <w:rsid w:val="00122B23"/>
    <w:rsid w:val="00122B7E"/>
    <w:rsid w:val="00123FB5"/>
    <w:rsid w:val="0012400F"/>
    <w:rsid w:val="001249DC"/>
    <w:rsid w:val="0012572D"/>
    <w:rsid w:val="00125BED"/>
    <w:rsid w:val="00125C59"/>
    <w:rsid w:val="00125D4F"/>
    <w:rsid w:val="00125DDE"/>
    <w:rsid w:val="001266DB"/>
    <w:rsid w:val="00127004"/>
    <w:rsid w:val="00127AF2"/>
    <w:rsid w:val="00127DCB"/>
    <w:rsid w:val="00127EDC"/>
    <w:rsid w:val="00127F6D"/>
    <w:rsid w:val="00127FF6"/>
    <w:rsid w:val="00130355"/>
    <w:rsid w:val="00130365"/>
    <w:rsid w:val="0013158E"/>
    <w:rsid w:val="0013182D"/>
    <w:rsid w:val="00131B5A"/>
    <w:rsid w:val="00131CA8"/>
    <w:rsid w:val="0013237B"/>
    <w:rsid w:val="00132C30"/>
    <w:rsid w:val="00132EFD"/>
    <w:rsid w:val="00133AED"/>
    <w:rsid w:val="00134E09"/>
    <w:rsid w:val="00134E7E"/>
    <w:rsid w:val="00135DB9"/>
    <w:rsid w:val="001360C5"/>
    <w:rsid w:val="00136394"/>
    <w:rsid w:val="0013695C"/>
    <w:rsid w:val="00136BF7"/>
    <w:rsid w:val="001378B9"/>
    <w:rsid w:val="00137FFA"/>
    <w:rsid w:val="00140109"/>
    <w:rsid w:val="00140157"/>
    <w:rsid w:val="0014029B"/>
    <w:rsid w:val="00140464"/>
    <w:rsid w:val="0014049C"/>
    <w:rsid w:val="001407A1"/>
    <w:rsid w:val="00140A4F"/>
    <w:rsid w:val="001413AB"/>
    <w:rsid w:val="00141DBF"/>
    <w:rsid w:val="0014275B"/>
    <w:rsid w:val="00142EFD"/>
    <w:rsid w:val="00142F55"/>
    <w:rsid w:val="0014430C"/>
    <w:rsid w:val="00144335"/>
    <w:rsid w:val="0014502F"/>
    <w:rsid w:val="00145282"/>
    <w:rsid w:val="001453B0"/>
    <w:rsid w:val="001454D9"/>
    <w:rsid w:val="00145D8E"/>
    <w:rsid w:val="00146083"/>
    <w:rsid w:val="001462F7"/>
    <w:rsid w:val="00146B92"/>
    <w:rsid w:val="00147046"/>
    <w:rsid w:val="00147BED"/>
    <w:rsid w:val="00147F35"/>
    <w:rsid w:val="00150005"/>
    <w:rsid w:val="0015053E"/>
    <w:rsid w:val="00150795"/>
    <w:rsid w:val="001518D7"/>
    <w:rsid w:val="00151AEB"/>
    <w:rsid w:val="00151B99"/>
    <w:rsid w:val="00151C1E"/>
    <w:rsid w:val="001521B2"/>
    <w:rsid w:val="00152EDD"/>
    <w:rsid w:val="00153451"/>
    <w:rsid w:val="00153491"/>
    <w:rsid w:val="0015361C"/>
    <w:rsid w:val="001536A6"/>
    <w:rsid w:val="0015372F"/>
    <w:rsid w:val="00153BFB"/>
    <w:rsid w:val="0015407E"/>
    <w:rsid w:val="0015448E"/>
    <w:rsid w:val="00154A6F"/>
    <w:rsid w:val="00155D08"/>
    <w:rsid w:val="00155F93"/>
    <w:rsid w:val="00156BE5"/>
    <w:rsid w:val="00157232"/>
    <w:rsid w:val="001603CE"/>
    <w:rsid w:val="00160401"/>
    <w:rsid w:val="001607BE"/>
    <w:rsid w:val="00160D4E"/>
    <w:rsid w:val="00160DF9"/>
    <w:rsid w:val="00161A20"/>
    <w:rsid w:val="00161DDA"/>
    <w:rsid w:val="00161E62"/>
    <w:rsid w:val="00161F1C"/>
    <w:rsid w:val="0016200B"/>
    <w:rsid w:val="00162013"/>
    <w:rsid w:val="0016229A"/>
    <w:rsid w:val="00163D7A"/>
    <w:rsid w:val="00163E3A"/>
    <w:rsid w:val="00164281"/>
    <w:rsid w:val="00164FBF"/>
    <w:rsid w:val="001650F6"/>
    <w:rsid w:val="00165610"/>
    <w:rsid w:val="00165703"/>
    <w:rsid w:val="0016685F"/>
    <w:rsid w:val="0016712F"/>
    <w:rsid w:val="00167503"/>
    <w:rsid w:val="001676A9"/>
    <w:rsid w:val="00167895"/>
    <w:rsid w:val="00167A15"/>
    <w:rsid w:val="00167A50"/>
    <w:rsid w:val="00167DF5"/>
    <w:rsid w:val="00170001"/>
    <w:rsid w:val="00172198"/>
    <w:rsid w:val="001722A3"/>
    <w:rsid w:val="00172612"/>
    <w:rsid w:val="00172817"/>
    <w:rsid w:val="00172944"/>
    <w:rsid w:val="001734E3"/>
    <w:rsid w:val="00173F91"/>
    <w:rsid w:val="001742BF"/>
    <w:rsid w:val="001747DB"/>
    <w:rsid w:val="0017513B"/>
    <w:rsid w:val="00175E49"/>
    <w:rsid w:val="0017649F"/>
    <w:rsid w:val="001764FD"/>
    <w:rsid w:val="0017655D"/>
    <w:rsid w:val="00177F50"/>
    <w:rsid w:val="001802FE"/>
    <w:rsid w:val="001802FF"/>
    <w:rsid w:val="001805C1"/>
    <w:rsid w:val="001807AC"/>
    <w:rsid w:val="001807B6"/>
    <w:rsid w:val="00180A2E"/>
    <w:rsid w:val="0018107C"/>
    <w:rsid w:val="001813AF"/>
    <w:rsid w:val="001829CD"/>
    <w:rsid w:val="00182BC4"/>
    <w:rsid w:val="00182F01"/>
    <w:rsid w:val="00183CAA"/>
    <w:rsid w:val="00183FCD"/>
    <w:rsid w:val="00184BDF"/>
    <w:rsid w:val="00184F27"/>
    <w:rsid w:val="0018519B"/>
    <w:rsid w:val="001853AC"/>
    <w:rsid w:val="00185966"/>
    <w:rsid w:val="00185A2D"/>
    <w:rsid w:val="00185AFE"/>
    <w:rsid w:val="00185BE0"/>
    <w:rsid w:val="00185E78"/>
    <w:rsid w:val="00187061"/>
    <w:rsid w:val="00187177"/>
    <w:rsid w:val="00187ABD"/>
    <w:rsid w:val="001904E3"/>
    <w:rsid w:val="0019087A"/>
    <w:rsid w:val="00191473"/>
    <w:rsid w:val="00191C5A"/>
    <w:rsid w:val="00191CEB"/>
    <w:rsid w:val="00191E63"/>
    <w:rsid w:val="00192531"/>
    <w:rsid w:val="0019258A"/>
    <w:rsid w:val="00192D68"/>
    <w:rsid w:val="00192DE3"/>
    <w:rsid w:val="0019388B"/>
    <w:rsid w:val="00193B9A"/>
    <w:rsid w:val="001940ED"/>
    <w:rsid w:val="00194199"/>
    <w:rsid w:val="00194335"/>
    <w:rsid w:val="001946AE"/>
    <w:rsid w:val="001946D5"/>
    <w:rsid w:val="00194804"/>
    <w:rsid w:val="00194DE7"/>
    <w:rsid w:val="00194E8C"/>
    <w:rsid w:val="00195B49"/>
    <w:rsid w:val="00195C5F"/>
    <w:rsid w:val="001962EC"/>
    <w:rsid w:val="0019638E"/>
    <w:rsid w:val="001963DD"/>
    <w:rsid w:val="001965DB"/>
    <w:rsid w:val="00196D01"/>
    <w:rsid w:val="00196DC9"/>
    <w:rsid w:val="00196E95"/>
    <w:rsid w:val="00196FB6"/>
    <w:rsid w:val="00197CF9"/>
    <w:rsid w:val="001A0236"/>
    <w:rsid w:val="001A0427"/>
    <w:rsid w:val="001A0930"/>
    <w:rsid w:val="001A0A2A"/>
    <w:rsid w:val="001A0AF8"/>
    <w:rsid w:val="001A15B9"/>
    <w:rsid w:val="001A18D5"/>
    <w:rsid w:val="001A19BA"/>
    <w:rsid w:val="001A1A38"/>
    <w:rsid w:val="001A1BE0"/>
    <w:rsid w:val="001A1D4A"/>
    <w:rsid w:val="001A3011"/>
    <w:rsid w:val="001A32CA"/>
    <w:rsid w:val="001A4331"/>
    <w:rsid w:val="001A476E"/>
    <w:rsid w:val="001A4A9B"/>
    <w:rsid w:val="001A4DAF"/>
    <w:rsid w:val="001A54CD"/>
    <w:rsid w:val="001A66DF"/>
    <w:rsid w:val="001A67D0"/>
    <w:rsid w:val="001A6863"/>
    <w:rsid w:val="001A7109"/>
    <w:rsid w:val="001A7591"/>
    <w:rsid w:val="001A75B1"/>
    <w:rsid w:val="001A7AA9"/>
    <w:rsid w:val="001A7B06"/>
    <w:rsid w:val="001B0268"/>
    <w:rsid w:val="001B0366"/>
    <w:rsid w:val="001B0444"/>
    <w:rsid w:val="001B096B"/>
    <w:rsid w:val="001B0F9F"/>
    <w:rsid w:val="001B0FAA"/>
    <w:rsid w:val="001B123C"/>
    <w:rsid w:val="001B129B"/>
    <w:rsid w:val="001B1A0D"/>
    <w:rsid w:val="001B1BF1"/>
    <w:rsid w:val="001B1C97"/>
    <w:rsid w:val="001B2456"/>
    <w:rsid w:val="001B246B"/>
    <w:rsid w:val="001B255B"/>
    <w:rsid w:val="001B449C"/>
    <w:rsid w:val="001B4AA2"/>
    <w:rsid w:val="001B4ADE"/>
    <w:rsid w:val="001B4C14"/>
    <w:rsid w:val="001B5EF8"/>
    <w:rsid w:val="001B615D"/>
    <w:rsid w:val="001B63A1"/>
    <w:rsid w:val="001C07C6"/>
    <w:rsid w:val="001C19CD"/>
    <w:rsid w:val="001C22D5"/>
    <w:rsid w:val="001C2394"/>
    <w:rsid w:val="001C2515"/>
    <w:rsid w:val="001C26FB"/>
    <w:rsid w:val="001C2BE4"/>
    <w:rsid w:val="001C33C1"/>
    <w:rsid w:val="001C3B31"/>
    <w:rsid w:val="001C3E30"/>
    <w:rsid w:val="001C3E5C"/>
    <w:rsid w:val="001C5072"/>
    <w:rsid w:val="001C5B2A"/>
    <w:rsid w:val="001C600B"/>
    <w:rsid w:val="001C6898"/>
    <w:rsid w:val="001C6DD8"/>
    <w:rsid w:val="001C6DFF"/>
    <w:rsid w:val="001C7C7B"/>
    <w:rsid w:val="001D068D"/>
    <w:rsid w:val="001D0BDE"/>
    <w:rsid w:val="001D0D77"/>
    <w:rsid w:val="001D0E93"/>
    <w:rsid w:val="001D0EC9"/>
    <w:rsid w:val="001D1014"/>
    <w:rsid w:val="001D12D1"/>
    <w:rsid w:val="001D1435"/>
    <w:rsid w:val="001D15DF"/>
    <w:rsid w:val="001D30F3"/>
    <w:rsid w:val="001D31A0"/>
    <w:rsid w:val="001D338E"/>
    <w:rsid w:val="001D3EAE"/>
    <w:rsid w:val="001D4F13"/>
    <w:rsid w:val="001D56E9"/>
    <w:rsid w:val="001D5922"/>
    <w:rsid w:val="001D5EE1"/>
    <w:rsid w:val="001D653E"/>
    <w:rsid w:val="001D6CDD"/>
    <w:rsid w:val="001D718C"/>
    <w:rsid w:val="001D796A"/>
    <w:rsid w:val="001D7A16"/>
    <w:rsid w:val="001D7A84"/>
    <w:rsid w:val="001D7C79"/>
    <w:rsid w:val="001E003B"/>
    <w:rsid w:val="001E1050"/>
    <w:rsid w:val="001E12FF"/>
    <w:rsid w:val="001E1CC4"/>
    <w:rsid w:val="001E1D38"/>
    <w:rsid w:val="001E28A0"/>
    <w:rsid w:val="001E2ECF"/>
    <w:rsid w:val="001E36BB"/>
    <w:rsid w:val="001E3F3C"/>
    <w:rsid w:val="001E4258"/>
    <w:rsid w:val="001E44EA"/>
    <w:rsid w:val="001E5AEF"/>
    <w:rsid w:val="001E5B65"/>
    <w:rsid w:val="001E5D6A"/>
    <w:rsid w:val="001E6A94"/>
    <w:rsid w:val="001E70FB"/>
    <w:rsid w:val="001E780A"/>
    <w:rsid w:val="001F0FA0"/>
    <w:rsid w:val="001F1349"/>
    <w:rsid w:val="001F1863"/>
    <w:rsid w:val="001F2356"/>
    <w:rsid w:val="001F25CA"/>
    <w:rsid w:val="001F2A68"/>
    <w:rsid w:val="001F2F56"/>
    <w:rsid w:val="001F3E63"/>
    <w:rsid w:val="001F4773"/>
    <w:rsid w:val="001F5008"/>
    <w:rsid w:val="001F5089"/>
    <w:rsid w:val="001F51A9"/>
    <w:rsid w:val="001F56AA"/>
    <w:rsid w:val="001F58AA"/>
    <w:rsid w:val="001F5A4E"/>
    <w:rsid w:val="001F5C3E"/>
    <w:rsid w:val="001F5EF6"/>
    <w:rsid w:val="001F657F"/>
    <w:rsid w:val="001F6FB6"/>
    <w:rsid w:val="001F72BB"/>
    <w:rsid w:val="001F7978"/>
    <w:rsid w:val="001F7A0E"/>
    <w:rsid w:val="0020022E"/>
    <w:rsid w:val="0020054E"/>
    <w:rsid w:val="00201260"/>
    <w:rsid w:val="00201AC4"/>
    <w:rsid w:val="00201F1E"/>
    <w:rsid w:val="0020299B"/>
    <w:rsid w:val="00202E44"/>
    <w:rsid w:val="002037AA"/>
    <w:rsid w:val="00203FE3"/>
    <w:rsid w:val="002042D8"/>
    <w:rsid w:val="00204515"/>
    <w:rsid w:val="00204A2E"/>
    <w:rsid w:val="00204BF5"/>
    <w:rsid w:val="00204E6B"/>
    <w:rsid w:val="00204EF3"/>
    <w:rsid w:val="002053EF"/>
    <w:rsid w:val="002058D4"/>
    <w:rsid w:val="0020632A"/>
    <w:rsid w:val="0020697F"/>
    <w:rsid w:val="0021090E"/>
    <w:rsid w:val="002110EB"/>
    <w:rsid w:val="00211338"/>
    <w:rsid w:val="00211388"/>
    <w:rsid w:val="0021148C"/>
    <w:rsid w:val="00211694"/>
    <w:rsid w:val="0021201A"/>
    <w:rsid w:val="00212DBE"/>
    <w:rsid w:val="002138FE"/>
    <w:rsid w:val="00213A1F"/>
    <w:rsid w:val="00213C63"/>
    <w:rsid w:val="00214502"/>
    <w:rsid w:val="00214741"/>
    <w:rsid w:val="00214BB7"/>
    <w:rsid w:val="0021539A"/>
    <w:rsid w:val="00215852"/>
    <w:rsid w:val="00215B8E"/>
    <w:rsid w:val="00216264"/>
    <w:rsid w:val="002176B6"/>
    <w:rsid w:val="0021792D"/>
    <w:rsid w:val="00217DB8"/>
    <w:rsid w:val="002202CE"/>
    <w:rsid w:val="0022032A"/>
    <w:rsid w:val="00221095"/>
    <w:rsid w:val="00221715"/>
    <w:rsid w:val="0022194E"/>
    <w:rsid w:val="002220B1"/>
    <w:rsid w:val="002221CE"/>
    <w:rsid w:val="00222BE8"/>
    <w:rsid w:val="00223102"/>
    <w:rsid w:val="002232CB"/>
    <w:rsid w:val="00224022"/>
    <w:rsid w:val="00224A66"/>
    <w:rsid w:val="00226055"/>
    <w:rsid w:val="0022613F"/>
    <w:rsid w:val="00226236"/>
    <w:rsid w:val="002269B2"/>
    <w:rsid w:val="002270C9"/>
    <w:rsid w:val="00227427"/>
    <w:rsid w:val="002274AD"/>
    <w:rsid w:val="00227A41"/>
    <w:rsid w:val="00227A8B"/>
    <w:rsid w:val="0023146B"/>
    <w:rsid w:val="00231548"/>
    <w:rsid w:val="002315A0"/>
    <w:rsid w:val="0023161C"/>
    <w:rsid w:val="00231748"/>
    <w:rsid w:val="00231AE0"/>
    <w:rsid w:val="00231BEE"/>
    <w:rsid w:val="00231EC7"/>
    <w:rsid w:val="0023246C"/>
    <w:rsid w:val="00232E08"/>
    <w:rsid w:val="00232E15"/>
    <w:rsid w:val="00233079"/>
    <w:rsid w:val="002335FE"/>
    <w:rsid w:val="0023382C"/>
    <w:rsid w:val="00233977"/>
    <w:rsid w:val="00233C58"/>
    <w:rsid w:val="00233C71"/>
    <w:rsid w:val="002345B6"/>
    <w:rsid w:val="002347A6"/>
    <w:rsid w:val="00234B84"/>
    <w:rsid w:val="00236016"/>
    <w:rsid w:val="002363AC"/>
    <w:rsid w:val="00236F9B"/>
    <w:rsid w:val="00237065"/>
    <w:rsid w:val="00237589"/>
    <w:rsid w:val="0023758D"/>
    <w:rsid w:val="002375A7"/>
    <w:rsid w:val="0023798D"/>
    <w:rsid w:val="0024019A"/>
    <w:rsid w:val="00241146"/>
    <w:rsid w:val="0024120F"/>
    <w:rsid w:val="0024131D"/>
    <w:rsid w:val="002415B8"/>
    <w:rsid w:val="00242D62"/>
    <w:rsid w:val="002430BF"/>
    <w:rsid w:val="002430D0"/>
    <w:rsid w:val="002431D7"/>
    <w:rsid w:val="002433AE"/>
    <w:rsid w:val="00244058"/>
    <w:rsid w:val="00244868"/>
    <w:rsid w:val="0024489B"/>
    <w:rsid w:val="002450F5"/>
    <w:rsid w:val="00245718"/>
    <w:rsid w:val="00245E07"/>
    <w:rsid w:val="00245E42"/>
    <w:rsid w:val="00246AEC"/>
    <w:rsid w:val="00246D2A"/>
    <w:rsid w:val="00247712"/>
    <w:rsid w:val="00247874"/>
    <w:rsid w:val="00247F95"/>
    <w:rsid w:val="002500ED"/>
    <w:rsid w:val="00250EC6"/>
    <w:rsid w:val="002515C7"/>
    <w:rsid w:val="00251866"/>
    <w:rsid w:val="00251A9F"/>
    <w:rsid w:val="002522CE"/>
    <w:rsid w:val="00252492"/>
    <w:rsid w:val="00252B35"/>
    <w:rsid w:val="00252EED"/>
    <w:rsid w:val="0025316D"/>
    <w:rsid w:val="00253951"/>
    <w:rsid w:val="00253A02"/>
    <w:rsid w:val="00253B81"/>
    <w:rsid w:val="00254292"/>
    <w:rsid w:val="002554DE"/>
    <w:rsid w:val="00255575"/>
    <w:rsid w:val="00255E11"/>
    <w:rsid w:val="00256835"/>
    <w:rsid w:val="002569F0"/>
    <w:rsid w:val="00256E1A"/>
    <w:rsid w:val="00256E30"/>
    <w:rsid w:val="00256ECF"/>
    <w:rsid w:val="002573FB"/>
    <w:rsid w:val="00257730"/>
    <w:rsid w:val="00257999"/>
    <w:rsid w:val="002604AA"/>
    <w:rsid w:val="00260AF8"/>
    <w:rsid w:val="00260C7E"/>
    <w:rsid w:val="0026129B"/>
    <w:rsid w:val="002612D5"/>
    <w:rsid w:val="00261560"/>
    <w:rsid w:val="00261715"/>
    <w:rsid w:val="00261CF9"/>
    <w:rsid w:val="00261EC0"/>
    <w:rsid w:val="0026231B"/>
    <w:rsid w:val="002625AF"/>
    <w:rsid w:val="00262881"/>
    <w:rsid w:val="00263101"/>
    <w:rsid w:val="002631D1"/>
    <w:rsid w:val="00263201"/>
    <w:rsid w:val="00263224"/>
    <w:rsid w:val="002634CA"/>
    <w:rsid w:val="00263A37"/>
    <w:rsid w:val="0026478A"/>
    <w:rsid w:val="0026480D"/>
    <w:rsid w:val="002653A6"/>
    <w:rsid w:val="00265D28"/>
    <w:rsid w:val="002661F1"/>
    <w:rsid w:val="00266AC9"/>
    <w:rsid w:val="00266DB6"/>
    <w:rsid w:val="002674E8"/>
    <w:rsid w:val="002706A0"/>
    <w:rsid w:val="00270802"/>
    <w:rsid w:val="002711A4"/>
    <w:rsid w:val="00271CD3"/>
    <w:rsid w:val="00271ECB"/>
    <w:rsid w:val="00271F13"/>
    <w:rsid w:val="0027278E"/>
    <w:rsid w:val="00273F2E"/>
    <w:rsid w:val="0027482E"/>
    <w:rsid w:val="00274842"/>
    <w:rsid w:val="00274DB5"/>
    <w:rsid w:val="00275423"/>
    <w:rsid w:val="00275BB1"/>
    <w:rsid w:val="00275C6F"/>
    <w:rsid w:val="002778FC"/>
    <w:rsid w:val="00277933"/>
    <w:rsid w:val="00277AB7"/>
    <w:rsid w:val="00277F8D"/>
    <w:rsid w:val="00277FA7"/>
    <w:rsid w:val="00280046"/>
    <w:rsid w:val="00280710"/>
    <w:rsid w:val="00280B4F"/>
    <w:rsid w:val="00280F3D"/>
    <w:rsid w:val="0028106A"/>
    <w:rsid w:val="00281EB4"/>
    <w:rsid w:val="0028308E"/>
    <w:rsid w:val="002834E9"/>
    <w:rsid w:val="00283975"/>
    <w:rsid w:val="00283A52"/>
    <w:rsid w:val="00283C5E"/>
    <w:rsid w:val="00283E26"/>
    <w:rsid w:val="0028428F"/>
    <w:rsid w:val="00284CFC"/>
    <w:rsid w:val="00285832"/>
    <w:rsid w:val="00285969"/>
    <w:rsid w:val="00285D7C"/>
    <w:rsid w:val="00285E33"/>
    <w:rsid w:val="0028663B"/>
    <w:rsid w:val="00286878"/>
    <w:rsid w:val="00286CEC"/>
    <w:rsid w:val="002870F9"/>
    <w:rsid w:val="002871A9"/>
    <w:rsid w:val="00287505"/>
    <w:rsid w:val="00287D71"/>
    <w:rsid w:val="002900C0"/>
    <w:rsid w:val="002905EF"/>
    <w:rsid w:val="00290781"/>
    <w:rsid w:val="00291608"/>
    <w:rsid w:val="00291784"/>
    <w:rsid w:val="002920DF"/>
    <w:rsid w:val="0029273C"/>
    <w:rsid w:val="002929BB"/>
    <w:rsid w:val="002940A1"/>
    <w:rsid w:val="00294368"/>
    <w:rsid w:val="00294514"/>
    <w:rsid w:val="00294B78"/>
    <w:rsid w:val="00295416"/>
    <w:rsid w:val="00295949"/>
    <w:rsid w:val="00295BAA"/>
    <w:rsid w:val="00296059"/>
    <w:rsid w:val="0029624A"/>
    <w:rsid w:val="00296922"/>
    <w:rsid w:val="00297098"/>
    <w:rsid w:val="0029717F"/>
    <w:rsid w:val="002A0512"/>
    <w:rsid w:val="002A05D4"/>
    <w:rsid w:val="002A06DB"/>
    <w:rsid w:val="002A09FF"/>
    <w:rsid w:val="002A0E60"/>
    <w:rsid w:val="002A1A58"/>
    <w:rsid w:val="002A1B02"/>
    <w:rsid w:val="002A1C53"/>
    <w:rsid w:val="002A233C"/>
    <w:rsid w:val="002A244B"/>
    <w:rsid w:val="002A28FC"/>
    <w:rsid w:val="002A2B44"/>
    <w:rsid w:val="002A2D8E"/>
    <w:rsid w:val="002A2EA5"/>
    <w:rsid w:val="002A3D94"/>
    <w:rsid w:val="002A4736"/>
    <w:rsid w:val="002A4A93"/>
    <w:rsid w:val="002A4B1C"/>
    <w:rsid w:val="002A4E9D"/>
    <w:rsid w:val="002A55FE"/>
    <w:rsid w:val="002A6AFB"/>
    <w:rsid w:val="002A733D"/>
    <w:rsid w:val="002A774A"/>
    <w:rsid w:val="002A78F3"/>
    <w:rsid w:val="002A7E5C"/>
    <w:rsid w:val="002A7F6D"/>
    <w:rsid w:val="002B0AB4"/>
    <w:rsid w:val="002B1342"/>
    <w:rsid w:val="002B1F83"/>
    <w:rsid w:val="002B27C8"/>
    <w:rsid w:val="002B2A7F"/>
    <w:rsid w:val="002B330B"/>
    <w:rsid w:val="002B39BE"/>
    <w:rsid w:val="002B438C"/>
    <w:rsid w:val="002B48DB"/>
    <w:rsid w:val="002B4B34"/>
    <w:rsid w:val="002B51B0"/>
    <w:rsid w:val="002B541A"/>
    <w:rsid w:val="002B5EAB"/>
    <w:rsid w:val="002B6407"/>
    <w:rsid w:val="002B6416"/>
    <w:rsid w:val="002B6459"/>
    <w:rsid w:val="002B7014"/>
    <w:rsid w:val="002B73B0"/>
    <w:rsid w:val="002B7E7D"/>
    <w:rsid w:val="002C1C10"/>
    <w:rsid w:val="002C24B4"/>
    <w:rsid w:val="002C2629"/>
    <w:rsid w:val="002C2B3A"/>
    <w:rsid w:val="002C2B87"/>
    <w:rsid w:val="002C3CF4"/>
    <w:rsid w:val="002C4269"/>
    <w:rsid w:val="002C441A"/>
    <w:rsid w:val="002C4A73"/>
    <w:rsid w:val="002C4B84"/>
    <w:rsid w:val="002C4C0C"/>
    <w:rsid w:val="002C5016"/>
    <w:rsid w:val="002C55C3"/>
    <w:rsid w:val="002C5C2F"/>
    <w:rsid w:val="002C5D0F"/>
    <w:rsid w:val="002C60B9"/>
    <w:rsid w:val="002C6F77"/>
    <w:rsid w:val="002C704D"/>
    <w:rsid w:val="002C7FF3"/>
    <w:rsid w:val="002D0845"/>
    <w:rsid w:val="002D0933"/>
    <w:rsid w:val="002D0CE3"/>
    <w:rsid w:val="002D13CC"/>
    <w:rsid w:val="002D19BB"/>
    <w:rsid w:val="002D1A9B"/>
    <w:rsid w:val="002D20F8"/>
    <w:rsid w:val="002D22BD"/>
    <w:rsid w:val="002D22C5"/>
    <w:rsid w:val="002D3003"/>
    <w:rsid w:val="002D302A"/>
    <w:rsid w:val="002D3552"/>
    <w:rsid w:val="002D36C6"/>
    <w:rsid w:val="002D3749"/>
    <w:rsid w:val="002D37C1"/>
    <w:rsid w:val="002D3822"/>
    <w:rsid w:val="002D444B"/>
    <w:rsid w:val="002D4A45"/>
    <w:rsid w:val="002D4B42"/>
    <w:rsid w:val="002D4B43"/>
    <w:rsid w:val="002D56D7"/>
    <w:rsid w:val="002D5A10"/>
    <w:rsid w:val="002D5A1B"/>
    <w:rsid w:val="002D6332"/>
    <w:rsid w:val="002D65BC"/>
    <w:rsid w:val="002D6960"/>
    <w:rsid w:val="002D6A45"/>
    <w:rsid w:val="002D7FBB"/>
    <w:rsid w:val="002E002E"/>
    <w:rsid w:val="002E055C"/>
    <w:rsid w:val="002E0774"/>
    <w:rsid w:val="002E1050"/>
    <w:rsid w:val="002E107E"/>
    <w:rsid w:val="002E18E5"/>
    <w:rsid w:val="002E1953"/>
    <w:rsid w:val="002E1F57"/>
    <w:rsid w:val="002E2CB5"/>
    <w:rsid w:val="002E2D7D"/>
    <w:rsid w:val="002E2F06"/>
    <w:rsid w:val="002E32D0"/>
    <w:rsid w:val="002E372E"/>
    <w:rsid w:val="002E3B33"/>
    <w:rsid w:val="002E3D76"/>
    <w:rsid w:val="002E40A1"/>
    <w:rsid w:val="002E4857"/>
    <w:rsid w:val="002E48EC"/>
    <w:rsid w:val="002E4B44"/>
    <w:rsid w:val="002E4ECB"/>
    <w:rsid w:val="002E4EF3"/>
    <w:rsid w:val="002E4F23"/>
    <w:rsid w:val="002E635A"/>
    <w:rsid w:val="002E6686"/>
    <w:rsid w:val="002E6D68"/>
    <w:rsid w:val="002E6FF3"/>
    <w:rsid w:val="002E72AB"/>
    <w:rsid w:val="002E77F0"/>
    <w:rsid w:val="002E7847"/>
    <w:rsid w:val="002E7F03"/>
    <w:rsid w:val="002F0073"/>
    <w:rsid w:val="002F1C3F"/>
    <w:rsid w:val="002F1C67"/>
    <w:rsid w:val="002F2319"/>
    <w:rsid w:val="002F240B"/>
    <w:rsid w:val="002F26B7"/>
    <w:rsid w:val="002F2F50"/>
    <w:rsid w:val="002F33EC"/>
    <w:rsid w:val="002F34E3"/>
    <w:rsid w:val="002F3601"/>
    <w:rsid w:val="002F3A37"/>
    <w:rsid w:val="002F3D33"/>
    <w:rsid w:val="002F3D4D"/>
    <w:rsid w:val="002F45F6"/>
    <w:rsid w:val="002F4B0A"/>
    <w:rsid w:val="002F4D3A"/>
    <w:rsid w:val="002F5A6F"/>
    <w:rsid w:val="002F692F"/>
    <w:rsid w:val="002F6E84"/>
    <w:rsid w:val="002F7B66"/>
    <w:rsid w:val="00300CB4"/>
    <w:rsid w:val="00300E24"/>
    <w:rsid w:val="00301290"/>
    <w:rsid w:val="00303333"/>
    <w:rsid w:val="003033BA"/>
    <w:rsid w:val="00303692"/>
    <w:rsid w:val="00303771"/>
    <w:rsid w:val="003039A9"/>
    <w:rsid w:val="00303BAF"/>
    <w:rsid w:val="00303C19"/>
    <w:rsid w:val="003043A3"/>
    <w:rsid w:val="003044AA"/>
    <w:rsid w:val="00304BD4"/>
    <w:rsid w:val="0030500A"/>
    <w:rsid w:val="003052EB"/>
    <w:rsid w:val="003056D2"/>
    <w:rsid w:val="00305CBF"/>
    <w:rsid w:val="00305FCB"/>
    <w:rsid w:val="003063C3"/>
    <w:rsid w:val="0030689D"/>
    <w:rsid w:val="0030691E"/>
    <w:rsid w:val="003069DC"/>
    <w:rsid w:val="00306B44"/>
    <w:rsid w:val="00307B79"/>
    <w:rsid w:val="00307BE8"/>
    <w:rsid w:val="00307C44"/>
    <w:rsid w:val="00307ED9"/>
    <w:rsid w:val="0031088E"/>
    <w:rsid w:val="00310D01"/>
    <w:rsid w:val="00311376"/>
    <w:rsid w:val="00311A1F"/>
    <w:rsid w:val="00311B47"/>
    <w:rsid w:val="00311D52"/>
    <w:rsid w:val="00311EE7"/>
    <w:rsid w:val="00312015"/>
    <w:rsid w:val="0031208F"/>
    <w:rsid w:val="00312190"/>
    <w:rsid w:val="00312368"/>
    <w:rsid w:val="003125E0"/>
    <w:rsid w:val="0031271D"/>
    <w:rsid w:val="003129FB"/>
    <w:rsid w:val="003132BB"/>
    <w:rsid w:val="00313337"/>
    <w:rsid w:val="00313447"/>
    <w:rsid w:val="00313748"/>
    <w:rsid w:val="00313CE3"/>
    <w:rsid w:val="00313EA3"/>
    <w:rsid w:val="00315365"/>
    <w:rsid w:val="00315457"/>
    <w:rsid w:val="00315678"/>
    <w:rsid w:val="00315812"/>
    <w:rsid w:val="003161A4"/>
    <w:rsid w:val="00316955"/>
    <w:rsid w:val="0031720A"/>
    <w:rsid w:val="0031749B"/>
    <w:rsid w:val="003174E5"/>
    <w:rsid w:val="00317C9D"/>
    <w:rsid w:val="00317CD2"/>
    <w:rsid w:val="00317D99"/>
    <w:rsid w:val="0032078D"/>
    <w:rsid w:val="00320ADF"/>
    <w:rsid w:val="0032137B"/>
    <w:rsid w:val="00321BD6"/>
    <w:rsid w:val="00321F9D"/>
    <w:rsid w:val="00321FA3"/>
    <w:rsid w:val="003227D3"/>
    <w:rsid w:val="00322937"/>
    <w:rsid w:val="00323881"/>
    <w:rsid w:val="003247ED"/>
    <w:rsid w:val="003251A8"/>
    <w:rsid w:val="003254B1"/>
    <w:rsid w:val="00325D98"/>
    <w:rsid w:val="003260E8"/>
    <w:rsid w:val="0032682A"/>
    <w:rsid w:val="00326927"/>
    <w:rsid w:val="00327172"/>
    <w:rsid w:val="00327A5C"/>
    <w:rsid w:val="0033092C"/>
    <w:rsid w:val="0033122A"/>
    <w:rsid w:val="0033134D"/>
    <w:rsid w:val="003315AC"/>
    <w:rsid w:val="00331932"/>
    <w:rsid w:val="00332382"/>
    <w:rsid w:val="00332453"/>
    <w:rsid w:val="0033251B"/>
    <w:rsid w:val="00332932"/>
    <w:rsid w:val="00332E7C"/>
    <w:rsid w:val="00332F8C"/>
    <w:rsid w:val="00332FCC"/>
    <w:rsid w:val="00333196"/>
    <w:rsid w:val="00333A88"/>
    <w:rsid w:val="00335B15"/>
    <w:rsid w:val="00335B21"/>
    <w:rsid w:val="00335D3F"/>
    <w:rsid w:val="00336104"/>
    <w:rsid w:val="00336155"/>
    <w:rsid w:val="003364C1"/>
    <w:rsid w:val="00336729"/>
    <w:rsid w:val="0033726D"/>
    <w:rsid w:val="00337A59"/>
    <w:rsid w:val="00337CA8"/>
    <w:rsid w:val="00340D3F"/>
    <w:rsid w:val="0034174B"/>
    <w:rsid w:val="0034177C"/>
    <w:rsid w:val="003420E9"/>
    <w:rsid w:val="00342345"/>
    <w:rsid w:val="00342C27"/>
    <w:rsid w:val="00342E16"/>
    <w:rsid w:val="003430C8"/>
    <w:rsid w:val="003432C8"/>
    <w:rsid w:val="003434B3"/>
    <w:rsid w:val="00343536"/>
    <w:rsid w:val="00343EFB"/>
    <w:rsid w:val="00344760"/>
    <w:rsid w:val="00344DA3"/>
    <w:rsid w:val="003452B5"/>
    <w:rsid w:val="003454E8"/>
    <w:rsid w:val="00345574"/>
    <w:rsid w:val="003456C1"/>
    <w:rsid w:val="0034680A"/>
    <w:rsid w:val="00346C62"/>
    <w:rsid w:val="00347202"/>
    <w:rsid w:val="00347346"/>
    <w:rsid w:val="003475B7"/>
    <w:rsid w:val="0034778E"/>
    <w:rsid w:val="00347A5A"/>
    <w:rsid w:val="003501E2"/>
    <w:rsid w:val="00350799"/>
    <w:rsid w:val="0035087D"/>
    <w:rsid w:val="0035140D"/>
    <w:rsid w:val="00351E10"/>
    <w:rsid w:val="003528F1"/>
    <w:rsid w:val="00352A71"/>
    <w:rsid w:val="003533F4"/>
    <w:rsid w:val="003536F6"/>
    <w:rsid w:val="00353765"/>
    <w:rsid w:val="0035388E"/>
    <w:rsid w:val="00353DD5"/>
    <w:rsid w:val="00355131"/>
    <w:rsid w:val="00355AEB"/>
    <w:rsid w:val="00355C52"/>
    <w:rsid w:val="00355F74"/>
    <w:rsid w:val="003560DB"/>
    <w:rsid w:val="003564DB"/>
    <w:rsid w:val="00356A69"/>
    <w:rsid w:val="00356CD9"/>
    <w:rsid w:val="00356F87"/>
    <w:rsid w:val="00357DFE"/>
    <w:rsid w:val="00360CF3"/>
    <w:rsid w:val="00361A59"/>
    <w:rsid w:val="00363348"/>
    <w:rsid w:val="0036366B"/>
    <w:rsid w:val="00363857"/>
    <w:rsid w:val="00363D59"/>
    <w:rsid w:val="003640F7"/>
    <w:rsid w:val="00364315"/>
    <w:rsid w:val="00365D3A"/>
    <w:rsid w:val="00366314"/>
    <w:rsid w:val="003663C3"/>
    <w:rsid w:val="003664FF"/>
    <w:rsid w:val="00366BD2"/>
    <w:rsid w:val="003670B8"/>
    <w:rsid w:val="00367519"/>
    <w:rsid w:val="00367A7A"/>
    <w:rsid w:val="00370488"/>
    <w:rsid w:val="003704A3"/>
    <w:rsid w:val="003706F2"/>
    <w:rsid w:val="0037124F"/>
    <w:rsid w:val="00371840"/>
    <w:rsid w:val="00371A1B"/>
    <w:rsid w:val="003722A9"/>
    <w:rsid w:val="003722B3"/>
    <w:rsid w:val="003724CE"/>
    <w:rsid w:val="0037252E"/>
    <w:rsid w:val="00372FC3"/>
    <w:rsid w:val="003731E4"/>
    <w:rsid w:val="0037379B"/>
    <w:rsid w:val="00373827"/>
    <w:rsid w:val="003738A4"/>
    <w:rsid w:val="0037401C"/>
    <w:rsid w:val="00374533"/>
    <w:rsid w:val="00374601"/>
    <w:rsid w:val="00374D49"/>
    <w:rsid w:val="00374E69"/>
    <w:rsid w:val="0037507B"/>
    <w:rsid w:val="00375179"/>
    <w:rsid w:val="00375627"/>
    <w:rsid w:val="003758A7"/>
    <w:rsid w:val="00375AC1"/>
    <w:rsid w:val="00375C7C"/>
    <w:rsid w:val="00377027"/>
    <w:rsid w:val="00377135"/>
    <w:rsid w:val="0037757B"/>
    <w:rsid w:val="00377C94"/>
    <w:rsid w:val="00380272"/>
    <w:rsid w:val="003805DB"/>
    <w:rsid w:val="003811F4"/>
    <w:rsid w:val="0038152A"/>
    <w:rsid w:val="0038196F"/>
    <w:rsid w:val="00381E23"/>
    <w:rsid w:val="00382BAD"/>
    <w:rsid w:val="00382F03"/>
    <w:rsid w:val="003831EB"/>
    <w:rsid w:val="003835FD"/>
    <w:rsid w:val="00383695"/>
    <w:rsid w:val="00383BBC"/>
    <w:rsid w:val="00384BA6"/>
    <w:rsid w:val="00384DF1"/>
    <w:rsid w:val="00384FF3"/>
    <w:rsid w:val="0038512F"/>
    <w:rsid w:val="00385BC4"/>
    <w:rsid w:val="00385CB6"/>
    <w:rsid w:val="00386456"/>
    <w:rsid w:val="003865A9"/>
    <w:rsid w:val="0039092B"/>
    <w:rsid w:val="00390DB1"/>
    <w:rsid w:val="00390F32"/>
    <w:rsid w:val="0039135E"/>
    <w:rsid w:val="00391644"/>
    <w:rsid w:val="003916BF"/>
    <w:rsid w:val="00392F33"/>
    <w:rsid w:val="00393173"/>
    <w:rsid w:val="0039319C"/>
    <w:rsid w:val="00393577"/>
    <w:rsid w:val="00393CAE"/>
    <w:rsid w:val="00394194"/>
    <w:rsid w:val="0039458A"/>
    <w:rsid w:val="003945F4"/>
    <w:rsid w:val="00394849"/>
    <w:rsid w:val="00394EB5"/>
    <w:rsid w:val="00394F19"/>
    <w:rsid w:val="003953B4"/>
    <w:rsid w:val="0039615F"/>
    <w:rsid w:val="00396280"/>
    <w:rsid w:val="003966A0"/>
    <w:rsid w:val="00396A29"/>
    <w:rsid w:val="00396A6C"/>
    <w:rsid w:val="00397FF0"/>
    <w:rsid w:val="003A0878"/>
    <w:rsid w:val="003A1561"/>
    <w:rsid w:val="003A166B"/>
    <w:rsid w:val="003A196E"/>
    <w:rsid w:val="003A1D25"/>
    <w:rsid w:val="003A204F"/>
    <w:rsid w:val="003A22A2"/>
    <w:rsid w:val="003A2447"/>
    <w:rsid w:val="003A2632"/>
    <w:rsid w:val="003A2AA1"/>
    <w:rsid w:val="003A2E9D"/>
    <w:rsid w:val="003A31A5"/>
    <w:rsid w:val="003A329A"/>
    <w:rsid w:val="003A3491"/>
    <w:rsid w:val="003A3603"/>
    <w:rsid w:val="003A3851"/>
    <w:rsid w:val="003A39DD"/>
    <w:rsid w:val="003A4199"/>
    <w:rsid w:val="003A4A8E"/>
    <w:rsid w:val="003A563C"/>
    <w:rsid w:val="003A5643"/>
    <w:rsid w:val="003A581E"/>
    <w:rsid w:val="003A6160"/>
    <w:rsid w:val="003A65A5"/>
    <w:rsid w:val="003A72F5"/>
    <w:rsid w:val="003A73EE"/>
    <w:rsid w:val="003A78E5"/>
    <w:rsid w:val="003A7C8D"/>
    <w:rsid w:val="003B0341"/>
    <w:rsid w:val="003B0A10"/>
    <w:rsid w:val="003B1E57"/>
    <w:rsid w:val="003B2870"/>
    <w:rsid w:val="003B29D4"/>
    <w:rsid w:val="003B2B6C"/>
    <w:rsid w:val="003B2C8A"/>
    <w:rsid w:val="003B2EF3"/>
    <w:rsid w:val="003B4A4D"/>
    <w:rsid w:val="003B4DA9"/>
    <w:rsid w:val="003B534F"/>
    <w:rsid w:val="003B5391"/>
    <w:rsid w:val="003B58CE"/>
    <w:rsid w:val="003B65D7"/>
    <w:rsid w:val="003B65E0"/>
    <w:rsid w:val="003B6BD4"/>
    <w:rsid w:val="003B6E98"/>
    <w:rsid w:val="003B6F4D"/>
    <w:rsid w:val="003B6FE7"/>
    <w:rsid w:val="003C0D1F"/>
    <w:rsid w:val="003C116A"/>
    <w:rsid w:val="003C1AF4"/>
    <w:rsid w:val="003C1C9C"/>
    <w:rsid w:val="003C1CB8"/>
    <w:rsid w:val="003C22DA"/>
    <w:rsid w:val="003C2546"/>
    <w:rsid w:val="003C2550"/>
    <w:rsid w:val="003C287F"/>
    <w:rsid w:val="003C3339"/>
    <w:rsid w:val="003C375A"/>
    <w:rsid w:val="003C3DF0"/>
    <w:rsid w:val="003C3F0B"/>
    <w:rsid w:val="003C4D9F"/>
    <w:rsid w:val="003C5247"/>
    <w:rsid w:val="003C622C"/>
    <w:rsid w:val="003C64C7"/>
    <w:rsid w:val="003C6505"/>
    <w:rsid w:val="003C65A6"/>
    <w:rsid w:val="003C65C3"/>
    <w:rsid w:val="003C6CDC"/>
    <w:rsid w:val="003C73C7"/>
    <w:rsid w:val="003C7CFB"/>
    <w:rsid w:val="003C7E50"/>
    <w:rsid w:val="003D0236"/>
    <w:rsid w:val="003D050B"/>
    <w:rsid w:val="003D0B98"/>
    <w:rsid w:val="003D0C38"/>
    <w:rsid w:val="003D0C3C"/>
    <w:rsid w:val="003D0DE5"/>
    <w:rsid w:val="003D1351"/>
    <w:rsid w:val="003D21C1"/>
    <w:rsid w:val="003D3B15"/>
    <w:rsid w:val="003D3B2E"/>
    <w:rsid w:val="003D3D44"/>
    <w:rsid w:val="003D4101"/>
    <w:rsid w:val="003D484D"/>
    <w:rsid w:val="003D49CB"/>
    <w:rsid w:val="003D58ED"/>
    <w:rsid w:val="003D6937"/>
    <w:rsid w:val="003D6B8F"/>
    <w:rsid w:val="003D6DE0"/>
    <w:rsid w:val="003D7566"/>
    <w:rsid w:val="003D7836"/>
    <w:rsid w:val="003D7AD9"/>
    <w:rsid w:val="003D7FB3"/>
    <w:rsid w:val="003E0224"/>
    <w:rsid w:val="003E09BB"/>
    <w:rsid w:val="003E0D76"/>
    <w:rsid w:val="003E159D"/>
    <w:rsid w:val="003E198A"/>
    <w:rsid w:val="003E20EA"/>
    <w:rsid w:val="003E210C"/>
    <w:rsid w:val="003E284B"/>
    <w:rsid w:val="003E290D"/>
    <w:rsid w:val="003E2A8F"/>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E7CFD"/>
    <w:rsid w:val="003E7FC9"/>
    <w:rsid w:val="003F060E"/>
    <w:rsid w:val="003F0F7F"/>
    <w:rsid w:val="003F110C"/>
    <w:rsid w:val="003F115C"/>
    <w:rsid w:val="003F155A"/>
    <w:rsid w:val="003F16E9"/>
    <w:rsid w:val="003F1EA8"/>
    <w:rsid w:val="003F22FB"/>
    <w:rsid w:val="003F300D"/>
    <w:rsid w:val="003F391F"/>
    <w:rsid w:val="003F3E7D"/>
    <w:rsid w:val="003F4599"/>
    <w:rsid w:val="003F45E1"/>
    <w:rsid w:val="003F4B32"/>
    <w:rsid w:val="003F4B90"/>
    <w:rsid w:val="003F4F6C"/>
    <w:rsid w:val="003F559E"/>
    <w:rsid w:val="003F6181"/>
    <w:rsid w:val="003F6BFC"/>
    <w:rsid w:val="003F7191"/>
    <w:rsid w:val="003F7343"/>
    <w:rsid w:val="003F77C5"/>
    <w:rsid w:val="003F7E51"/>
    <w:rsid w:val="00400002"/>
    <w:rsid w:val="00400054"/>
    <w:rsid w:val="0040025E"/>
    <w:rsid w:val="004016A3"/>
    <w:rsid w:val="00401B31"/>
    <w:rsid w:val="0040202B"/>
    <w:rsid w:val="0040279A"/>
    <w:rsid w:val="00402DE1"/>
    <w:rsid w:val="00402EEB"/>
    <w:rsid w:val="004037C2"/>
    <w:rsid w:val="00403DF5"/>
    <w:rsid w:val="00404041"/>
    <w:rsid w:val="004047DF"/>
    <w:rsid w:val="00404B43"/>
    <w:rsid w:val="00404BB0"/>
    <w:rsid w:val="00404C61"/>
    <w:rsid w:val="00405487"/>
    <w:rsid w:val="0040576E"/>
    <w:rsid w:val="00405B8A"/>
    <w:rsid w:val="00405CE5"/>
    <w:rsid w:val="0040602B"/>
    <w:rsid w:val="004064D7"/>
    <w:rsid w:val="00406DF5"/>
    <w:rsid w:val="00406F35"/>
    <w:rsid w:val="00407A7A"/>
    <w:rsid w:val="00407ABC"/>
    <w:rsid w:val="00407F1E"/>
    <w:rsid w:val="00410497"/>
    <w:rsid w:val="004107C1"/>
    <w:rsid w:val="00410A88"/>
    <w:rsid w:val="00410D18"/>
    <w:rsid w:val="00411317"/>
    <w:rsid w:val="00411692"/>
    <w:rsid w:val="00411A9E"/>
    <w:rsid w:val="0041259F"/>
    <w:rsid w:val="00412B4D"/>
    <w:rsid w:val="00412C51"/>
    <w:rsid w:val="00413262"/>
    <w:rsid w:val="0041329C"/>
    <w:rsid w:val="00413920"/>
    <w:rsid w:val="004139F4"/>
    <w:rsid w:val="00413DC6"/>
    <w:rsid w:val="00413FFA"/>
    <w:rsid w:val="00414229"/>
    <w:rsid w:val="00414246"/>
    <w:rsid w:val="004147A0"/>
    <w:rsid w:val="00414D9A"/>
    <w:rsid w:val="00415194"/>
    <w:rsid w:val="00415393"/>
    <w:rsid w:val="00415816"/>
    <w:rsid w:val="00415B88"/>
    <w:rsid w:val="00415D32"/>
    <w:rsid w:val="004160A2"/>
    <w:rsid w:val="00416A15"/>
    <w:rsid w:val="00416CB0"/>
    <w:rsid w:val="004170D7"/>
    <w:rsid w:val="004177A6"/>
    <w:rsid w:val="00417C23"/>
    <w:rsid w:val="00417EFD"/>
    <w:rsid w:val="0042002B"/>
    <w:rsid w:val="004200EE"/>
    <w:rsid w:val="004209D2"/>
    <w:rsid w:val="00420D6E"/>
    <w:rsid w:val="0042158C"/>
    <w:rsid w:val="004215F7"/>
    <w:rsid w:val="00421BD2"/>
    <w:rsid w:val="00421E00"/>
    <w:rsid w:val="00421FCB"/>
    <w:rsid w:val="00422029"/>
    <w:rsid w:val="0042260E"/>
    <w:rsid w:val="0042288C"/>
    <w:rsid w:val="00422DCA"/>
    <w:rsid w:val="00423562"/>
    <w:rsid w:val="004236BF"/>
    <w:rsid w:val="00423BE1"/>
    <w:rsid w:val="00423F9F"/>
    <w:rsid w:val="00424AB2"/>
    <w:rsid w:val="00424E3A"/>
    <w:rsid w:val="004254D2"/>
    <w:rsid w:val="00425C43"/>
    <w:rsid w:val="00426149"/>
    <w:rsid w:val="00426384"/>
    <w:rsid w:val="004273FA"/>
    <w:rsid w:val="004275A7"/>
    <w:rsid w:val="004278E1"/>
    <w:rsid w:val="0043014F"/>
    <w:rsid w:val="00430186"/>
    <w:rsid w:val="00430682"/>
    <w:rsid w:val="00431017"/>
    <w:rsid w:val="00431C0B"/>
    <w:rsid w:val="00431EBD"/>
    <w:rsid w:val="0043269A"/>
    <w:rsid w:val="00432A42"/>
    <w:rsid w:val="00432E89"/>
    <w:rsid w:val="004333C2"/>
    <w:rsid w:val="0043448A"/>
    <w:rsid w:val="00434787"/>
    <w:rsid w:val="00434C13"/>
    <w:rsid w:val="00434C2C"/>
    <w:rsid w:val="004351CF"/>
    <w:rsid w:val="0043550E"/>
    <w:rsid w:val="00435703"/>
    <w:rsid w:val="00435BD5"/>
    <w:rsid w:val="00435FAF"/>
    <w:rsid w:val="004360EB"/>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2EB9"/>
    <w:rsid w:val="0044358F"/>
    <w:rsid w:val="0044374D"/>
    <w:rsid w:val="00443B55"/>
    <w:rsid w:val="00443D27"/>
    <w:rsid w:val="0044415B"/>
    <w:rsid w:val="004445D9"/>
    <w:rsid w:val="00444FE0"/>
    <w:rsid w:val="0044500B"/>
    <w:rsid w:val="00445B5B"/>
    <w:rsid w:val="00446037"/>
    <w:rsid w:val="00446268"/>
    <w:rsid w:val="0044642F"/>
    <w:rsid w:val="0044772C"/>
    <w:rsid w:val="0044785E"/>
    <w:rsid w:val="00447D53"/>
    <w:rsid w:val="00450846"/>
    <w:rsid w:val="00451A52"/>
    <w:rsid w:val="0045271D"/>
    <w:rsid w:val="00452755"/>
    <w:rsid w:val="00452803"/>
    <w:rsid w:val="004529C6"/>
    <w:rsid w:val="00452EAD"/>
    <w:rsid w:val="004533D1"/>
    <w:rsid w:val="004534D1"/>
    <w:rsid w:val="00454548"/>
    <w:rsid w:val="00454598"/>
    <w:rsid w:val="00454717"/>
    <w:rsid w:val="00454AFE"/>
    <w:rsid w:val="00455004"/>
    <w:rsid w:val="00455047"/>
    <w:rsid w:val="00455111"/>
    <w:rsid w:val="00455354"/>
    <w:rsid w:val="0045558D"/>
    <w:rsid w:val="00455B70"/>
    <w:rsid w:val="00455BD3"/>
    <w:rsid w:val="00455E1C"/>
    <w:rsid w:val="00455E24"/>
    <w:rsid w:val="00456970"/>
    <w:rsid w:val="00456BB1"/>
    <w:rsid w:val="00456CD4"/>
    <w:rsid w:val="00456DDB"/>
    <w:rsid w:val="0045700E"/>
    <w:rsid w:val="00457031"/>
    <w:rsid w:val="00460915"/>
    <w:rsid w:val="00460946"/>
    <w:rsid w:val="00460CCD"/>
    <w:rsid w:val="004614A9"/>
    <w:rsid w:val="00461E97"/>
    <w:rsid w:val="0046268F"/>
    <w:rsid w:val="0046284F"/>
    <w:rsid w:val="00462B10"/>
    <w:rsid w:val="00462C04"/>
    <w:rsid w:val="0046320A"/>
    <w:rsid w:val="004632E2"/>
    <w:rsid w:val="00463473"/>
    <w:rsid w:val="004638E2"/>
    <w:rsid w:val="00463B45"/>
    <w:rsid w:val="00464030"/>
    <w:rsid w:val="00464487"/>
    <w:rsid w:val="004647F8"/>
    <w:rsid w:val="004647FB"/>
    <w:rsid w:val="00464E4B"/>
    <w:rsid w:val="00465347"/>
    <w:rsid w:val="00465677"/>
    <w:rsid w:val="00465D72"/>
    <w:rsid w:val="00466616"/>
    <w:rsid w:val="00466A0C"/>
    <w:rsid w:val="00466A53"/>
    <w:rsid w:val="0046700B"/>
    <w:rsid w:val="004673A8"/>
    <w:rsid w:val="0046753A"/>
    <w:rsid w:val="00467D4E"/>
    <w:rsid w:val="0047098A"/>
    <w:rsid w:val="00470A6A"/>
    <w:rsid w:val="00470D73"/>
    <w:rsid w:val="00470D92"/>
    <w:rsid w:val="00471305"/>
    <w:rsid w:val="00471D8F"/>
    <w:rsid w:val="00471DF7"/>
    <w:rsid w:val="004734CF"/>
    <w:rsid w:val="004734E9"/>
    <w:rsid w:val="004737EA"/>
    <w:rsid w:val="00473A2E"/>
    <w:rsid w:val="004742F0"/>
    <w:rsid w:val="00475424"/>
    <w:rsid w:val="00475C5A"/>
    <w:rsid w:val="00475C9C"/>
    <w:rsid w:val="004760A5"/>
    <w:rsid w:val="0047676B"/>
    <w:rsid w:val="0047773C"/>
    <w:rsid w:val="00477C5F"/>
    <w:rsid w:val="00480050"/>
    <w:rsid w:val="0048011C"/>
    <w:rsid w:val="004808DE"/>
    <w:rsid w:val="00480CDC"/>
    <w:rsid w:val="00481AC4"/>
    <w:rsid w:val="00481DC1"/>
    <w:rsid w:val="00482490"/>
    <w:rsid w:val="00482507"/>
    <w:rsid w:val="0048268A"/>
    <w:rsid w:val="00482DE8"/>
    <w:rsid w:val="004835CA"/>
    <w:rsid w:val="004836F8"/>
    <w:rsid w:val="004836FE"/>
    <w:rsid w:val="0048444F"/>
    <w:rsid w:val="00484F0F"/>
    <w:rsid w:val="00484F40"/>
    <w:rsid w:val="0048540C"/>
    <w:rsid w:val="00485E9D"/>
    <w:rsid w:val="004861B4"/>
    <w:rsid w:val="00486BD0"/>
    <w:rsid w:val="00486D00"/>
    <w:rsid w:val="00487263"/>
    <w:rsid w:val="0048734F"/>
    <w:rsid w:val="00487532"/>
    <w:rsid w:val="00487F69"/>
    <w:rsid w:val="00487FE0"/>
    <w:rsid w:val="0049029D"/>
    <w:rsid w:val="0049030C"/>
    <w:rsid w:val="004903C0"/>
    <w:rsid w:val="0049114B"/>
    <w:rsid w:val="004912A8"/>
    <w:rsid w:val="00491577"/>
    <w:rsid w:val="0049196A"/>
    <w:rsid w:val="0049196E"/>
    <w:rsid w:val="00491B54"/>
    <w:rsid w:val="0049241A"/>
    <w:rsid w:val="00492C1F"/>
    <w:rsid w:val="00492E4C"/>
    <w:rsid w:val="00493664"/>
    <w:rsid w:val="00493A20"/>
    <w:rsid w:val="00493E04"/>
    <w:rsid w:val="004940E3"/>
    <w:rsid w:val="00494C65"/>
    <w:rsid w:val="004951A1"/>
    <w:rsid w:val="0049530F"/>
    <w:rsid w:val="004957D0"/>
    <w:rsid w:val="00496664"/>
    <w:rsid w:val="00496786"/>
    <w:rsid w:val="0049695B"/>
    <w:rsid w:val="00496B9C"/>
    <w:rsid w:val="00496D8F"/>
    <w:rsid w:val="00497463"/>
    <w:rsid w:val="00497610"/>
    <w:rsid w:val="004978F6"/>
    <w:rsid w:val="004A054C"/>
    <w:rsid w:val="004A08D1"/>
    <w:rsid w:val="004A16C1"/>
    <w:rsid w:val="004A1CE2"/>
    <w:rsid w:val="004A2823"/>
    <w:rsid w:val="004A3044"/>
    <w:rsid w:val="004A33AC"/>
    <w:rsid w:val="004A34D2"/>
    <w:rsid w:val="004A3CF6"/>
    <w:rsid w:val="004A4301"/>
    <w:rsid w:val="004A4D93"/>
    <w:rsid w:val="004A58EE"/>
    <w:rsid w:val="004A59B7"/>
    <w:rsid w:val="004A6051"/>
    <w:rsid w:val="004A623B"/>
    <w:rsid w:val="004A6A04"/>
    <w:rsid w:val="004A6A52"/>
    <w:rsid w:val="004B0A44"/>
    <w:rsid w:val="004B0F0B"/>
    <w:rsid w:val="004B11B7"/>
    <w:rsid w:val="004B2113"/>
    <w:rsid w:val="004B2197"/>
    <w:rsid w:val="004B28E0"/>
    <w:rsid w:val="004B298A"/>
    <w:rsid w:val="004B31C6"/>
    <w:rsid w:val="004B34C4"/>
    <w:rsid w:val="004B50CB"/>
    <w:rsid w:val="004B578D"/>
    <w:rsid w:val="004B5BE7"/>
    <w:rsid w:val="004B5E2D"/>
    <w:rsid w:val="004B6394"/>
    <w:rsid w:val="004B652A"/>
    <w:rsid w:val="004B66CD"/>
    <w:rsid w:val="004B6B5D"/>
    <w:rsid w:val="004B6C07"/>
    <w:rsid w:val="004B74D3"/>
    <w:rsid w:val="004B788E"/>
    <w:rsid w:val="004B7E5D"/>
    <w:rsid w:val="004C072C"/>
    <w:rsid w:val="004C11F0"/>
    <w:rsid w:val="004C1B39"/>
    <w:rsid w:val="004C2180"/>
    <w:rsid w:val="004C22F7"/>
    <w:rsid w:val="004C2B27"/>
    <w:rsid w:val="004C3219"/>
    <w:rsid w:val="004C38BD"/>
    <w:rsid w:val="004C3929"/>
    <w:rsid w:val="004C3BDA"/>
    <w:rsid w:val="004C47DF"/>
    <w:rsid w:val="004C4DED"/>
    <w:rsid w:val="004C5212"/>
    <w:rsid w:val="004C580A"/>
    <w:rsid w:val="004C5E63"/>
    <w:rsid w:val="004C5EF0"/>
    <w:rsid w:val="004C5FEC"/>
    <w:rsid w:val="004C63DB"/>
    <w:rsid w:val="004C64C9"/>
    <w:rsid w:val="004C7226"/>
    <w:rsid w:val="004C74C9"/>
    <w:rsid w:val="004C7915"/>
    <w:rsid w:val="004C79BC"/>
    <w:rsid w:val="004C7D70"/>
    <w:rsid w:val="004D02F9"/>
    <w:rsid w:val="004D03FE"/>
    <w:rsid w:val="004D0446"/>
    <w:rsid w:val="004D06A3"/>
    <w:rsid w:val="004D0D3C"/>
    <w:rsid w:val="004D0F95"/>
    <w:rsid w:val="004D106A"/>
    <w:rsid w:val="004D1335"/>
    <w:rsid w:val="004D1C27"/>
    <w:rsid w:val="004D1C7E"/>
    <w:rsid w:val="004D245A"/>
    <w:rsid w:val="004D26E3"/>
    <w:rsid w:val="004D31EE"/>
    <w:rsid w:val="004D36AF"/>
    <w:rsid w:val="004D3BD1"/>
    <w:rsid w:val="004D4512"/>
    <w:rsid w:val="004D4720"/>
    <w:rsid w:val="004D4BA1"/>
    <w:rsid w:val="004D4EC1"/>
    <w:rsid w:val="004D536E"/>
    <w:rsid w:val="004D584D"/>
    <w:rsid w:val="004D5A7E"/>
    <w:rsid w:val="004D5C0E"/>
    <w:rsid w:val="004D5CD1"/>
    <w:rsid w:val="004D6120"/>
    <w:rsid w:val="004D62A3"/>
    <w:rsid w:val="004D6826"/>
    <w:rsid w:val="004D6D7F"/>
    <w:rsid w:val="004D7229"/>
    <w:rsid w:val="004E023F"/>
    <w:rsid w:val="004E038F"/>
    <w:rsid w:val="004E0546"/>
    <w:rsid w:val="004E0742"/>
    <w:rsid w:val="004E0C64"/>
    <w:rsid w:val="004E0F6B"/>
    <w:rsid w:val="004E10F5"/>
    <w:rsid w:val="004E1545"/>
    <w:rsid w:val="004E1C3E"/>
    <w:rsid w:val="004E1F1C"/>
    <w:rsid w:val="004E2A35"/>
    <w:rsid w:val="004E2ED3"/>
    <w:rsid w:val="004E40CE"/>
    <w:rsid w:val="004E4C2E"/>
    <w:rsid w:val="004E4CC0"/>
    <w:rsid w:val="004E5736"/>
    <w:rsid w:val="004E58ED"/>
    <w:rsid w:val="004E5A3C"/>
    <w:rsid w:val="004E5AA8"/>
    <w:rsid w:val="004E5B36"/>
    <w:rsid w:val="004E5D5D"/>
    <w:rsid w:val="004E6045"/>
    <w:rsid w:val="004E6F43"/>
    <w:rsid w:val="004E702F"/>
    <w:rsid w:val="004E7200"/>
    <w:rsid w:val="004E787E"/>
    <w:rsid w:val="004F0960"/>
    <w:rsid w:val="004F0A5C"/>
    <w:rsid w:val="004F0F12"/>
    <w:rsid w:val="004F163F"/>
    <w:rsid w:val="004F18A0"/>
    <w:rsid w:val="004F1A08"/>
    <w:rsid w:val="004F2764"/>
    <w:rsid w:val="004F2B64"/>
    <w:rsid w:val="004F31B8"/>
    <w:rsid w:val="004F375E"/>
    <w:rsid w:val="004F3764"/>
    <w:rsid w:val="004F3C90"/>
    <w:rsid w:val="004F3DB4"/>
    <w:rsid w:val="004F3E42"/>
    <w:rsid w:val="004F3EEF"/>
    <w:rsid w:val="004F3FB1"/>
    <w:rsid w:val="004F5180"/>
    <w:rsid w:val="004F57C9"/>
    <w:rsid w:val="004F5930"/>
    <w:rsid w:val="004F5970"/>
    <w:rsid w:val="004F5F0C"/>
    <w:rsid w:val="004F5F46"/>
    <w:rsid w:val="004F6121"/>
    <w:rsid w:val="004F6161"/>
    <w:rsid w:val="004F66BC"/>
    <w:rsid w:val="004F6B63"/>
    <w:rsid w:val="004F6C26"/>
    <w:rsid w:val="004F7AC9"/>
    <w:rsid w:val="0050030B"/>
    <w:rsid w:val="005005F2"/>
    <w:rsid w:val="0050062F"/>
    <w:rsid w:val="00500E74"/>
    <w:rsid w:val="005010D3"/>
    <w:rsid w:val="005010EC"/>
    <w:rsid w:val="0050112F"/>
    <w:rsid w:val="0050160F"/>
    <w:rsid w:val="0050284E"/>
    <w:rsid w:val="00502993"/>
    <w:rsid w:val="00502AF3"/>
    <w:rsid w:val="00502FCD"/>
    <w:rsid w:val="0050306F"/>
    <w:rsid w:val="00504DF9"/>
    <w:rsid w:val="00505DCB"/>
    <w:rsid w:val="00505DE1"/>
    <w:rsid w:val="0050703E"/>
    <w:rsid w:val="005075CA"/>
    <w:rsid w:val="00507B06"/>
    <w:rsid w:val="00507BF1"/>
    <w:rsid w:val="005100E0"/>
    <w:rsid w:val="0051047A"/>
    <w:rsid w:val="0051074C"/>
    <w:rsid w:val="00510DE9"/>
    <w:rsid w:val="00510F21"/>
    <w:rsid w:val="005111E2"/>
    <w:rsid w:val="00511231"/>
    <w:rsid w:val="00512C4F"/>
    <w:rsid w:val="00513042"/>
    <w:rsid w:val="0051329D"/>
    <w:rsid w:val="0051334F"/>
    <w:rsid w:val="00513399"/>
    <w:rsid w:val="00513658"/>
    <w:rsid w:val="00513AF2"/>
    <w:rsid w:val="00514575"/>
    <w:rsid w:val="00514C03"/>
    <w:rsid w:val="00514D67"/>
    <w:rsid w:val="0051522A"/>
    <w:rsid w:val="00515515"/>
    <w:rsid w:val="0051635C"/>
    <w:rsid w:val="00516C5B"/>
    <w:rsid w:val="00517612"/>
    <w:rsid w:val="00517C1A"/>
    <w:rsid w:val="00517CFB"/>
    <w:rsid w:val="00517F85"/>
    <w:rsid w:val="00520235"/>
    <w:rsid w:val="00520899"/>
    <w:rsid w:val="00520922"/>
    <w:rsid w:val="005209FC"/>
    <w:rsid w:val="005211D3"/>
    <w:rsid w:val="00521A30"/>
    <w:rsid w:val="005221D1"/>
    <w:rsid w:val="005224E5"/>
    <w:rsid w:val="00523903"/>
    <w:rsid w:val="005239B6"/>
    <w:rsid w:val="00523C45"/>
    <w:rsid w:val="00524165"/>
    <w:rsid w:val="005246E7"/>
    <w:rsid w:val="00524B08"/>
    <w:rsid w:val="00524C38"/>
    <w:rsid w:val="00524FBF"/>
    <w:rsid w:val="00524FD2"/>
    <w:rsid w:val="00525621"/>
    <w:rsid w:val="005257E5"/>
    <w:rsid w:val="00526431"/>
    <w:rsid w:val="00527015"/>
    <w:rsid w:val="005270E8"/>
    <w:rsid w:val="005272BA"/>
    <w:rsid w:val="00527532"/>
    <w:rsid w:val="00527703"/>
    <w:rsid w:val="0052773D"/>
    <w:rsid w:val="00527DEB"/>
    <w:rsid w:val="00527E57"/>
    <w:rsid w:val="00527F2C"/>
    <w:rsid w:val="00530405"/>
    <w:rsid w:val="00530522"/>
    <w:rsid w:val="005305E5"/>
    <w:rsid w:val="00530CBA"/>
    <w:rsid w:val="00530F38"/>
    <w:rsid w:val="00531F26"/>
    <w:rsid w:val="00532299"/>
    <w:rsid w:val="0053277C"/>
    <w:rsid w:val="005327C0"/>
    <w:rsid w:val="00532E9B"/>
    <w:rsid w:val="00533101"/>
    <w:rsid w:val="00533CA9"/>
    <w:rsid w:val="00533D28"/>
    <w:rsid w:val="00534503"/>
    <w:rsid w:val="005346AD"/>
    <w:rsid w:val="005346BC"/>
    <w:rsid w:val="00534EFB"/>
    <w:rsid w:val="00534F60"/>
    <w:rsid w:val="005357F1"/>
    <w:rsid w:val="00536053"/>
    <w:rsid w:val="005365B2"/>
    <w:rsid w:val="005365FF"/>
    <w:rsid w:val="00536902"/>
    <w:rsid w:val="00536985"/>
    <w:rsid w:val="005369E6"/>
    <w:rsid w:val="00536BE1"/>
    <w:rsid w:val="005371AC"/>
    <w:rsid w:val="00537672"/>
    <w:rsid w:val="0053772F"/>
    <w:rsid w:val="00537B77"/>
    <w:rsid w:val="005403D6"/>
    <w:rsid w:val="00540C4C"/>
    <w:rsid w:val="00541469"/>
    <w:rsid w:val="00541571"/>
    <w:rsid w:val="005419F8"/>
    <w:rsid w:val="00541B1F"/>
    <w:rsid w:val="00541F92"/>
    <w:rsid w:val="0054275A"/>
    <w:rsid w:val="005427F8"/>
    <w:rsid w:val="005428B8"/>
    <w:rsid w:val="00542BD7"/>
    <w:rsid w:val="00543084"/>
    <w:rsid w:val="0054321E"/>
    <w:rsid w:val="00543314"/>
    <w:rsid w:val="00543584"/>
    <w:rsid w:val="00543A9E"/>
    <w:rsid w:val="0054413A"/>
    <w:rsid w:val="00544288"/>
    <w:rsid w:val="005446BB"/>
    <w:rsid w:val="005448C8"/>
    <w:rsid w:val="00544A5A"/>
    <w:rsid w:val="00544DA5"/>
    <w:rsid w:val="00544F43"/>
    <w:rsid w:val="005457D9"/>
    <w:rsid w:val="00545E30"/>
    <w:rsid w:val="00545EA3"/>
    <w:rsid w:val="00546C9B"/>
    <w:rsid w:val="00547BF6"/>
    <w:rsid w:val="00547CDD"/>
    <w:rsid w:val="00547FB3"/>
    <w:rsid w:val="00550760"/>
    <w:rsid w:val="005508B2"/>
    <w:rsid w:val="00551098"/>
    <w:rsid w:val="00551598"/>
    <w:rsid w:val="0055162B"/>
    <w:rsid w:val="00551BFF"/>
    <w:rsid w:val="00551C3A"/>
    <w:rsid w:val="00551D68"/>
    <w:rsid w:val="00551DFF"/>
    <w:rsid w:val="005525C9"/>
    <w:rsid w:val="00552B3E"/>
    <w:rsid w:val="00553730"/>
    <w:rsid w:val="00554D57"/>
    <w:rsid w:val="005551AA"/>
    <w:rsid w:val="0055583B"/>
    <w:rsid w:val="0055636A"/>
    <w:rsid w:val="0055642A"/>
    <w:rsid w:val="005564CA"/>
    <w:rsid w:val="00556827"/>
    <w:rsid w:val="005568EA"/>
    <w:rsid w:val="00557140"/>
    <w:rsid w:val="00557984"/>
    <w:rsid w:val="00560677"/>
    <w:rsid w:val="00560C87"/>
    <w:rsid w:val="00560F51"/>
    <w:rsid w:val="00561249"/>
    <w:rsid w:val="0056132A"/>
    <w:rsid w:val="0056182B"/>
    <w:rsid w:val="00561AF3"/>
    <w:rsid w:val="00561D48"/>
    <w:rsid w:val="00561D6D"/>
    <w:rsid w:val="00561E0B"/>
    <w:rsid w:val="00562141"/>
    <w:rsid w:val="005624BB"/>
    <w:rsid w:val="0056296E"/>
    <w:rsid w:val="00562D86"/>
    <w:rsid w:val="00563784"/>
    <w:rsid w:val="00563AFC"/>
    <w:rsid w:val="00564704"/>
    <w:rsid w:val="00564712"/>
    <w:rsid w:val="0056524A"/>
    <w:rsid w:val="005654BB"/>
    <w:rsid w:val="005657A8"/>
    <w:rsid w:val="00565952"/>
    <w:rsid w:val="00565F6E"/>
    <w:rsid w:val="00566866"/>
    <w:rsid w:val="00566E76"/>
    <w:rsid w:val="005670A5"/>
    <w:rsid w:val="00567285"/>
    <w:rsid w:val="00567723"/>
    <w:rsid w:val="0056772D"/>
    <w:rsid w:val="00567AB8"/>
    <w:rsid w:val="005707E3"/>
    <w:rsid w:val="00570A26"/>
    <w:rsid w:val="00570CFD"/>
    <w:rsid w:val="00571872"/>
    <w:rsid w:val="0057221F"/>
    <w:rsid w:val="00572539"/>
    <w:rsid w:val="00573355"/>
    <w:rsid w:val="0057337D"/>
    <w:rsid w:val="00573504"/>
    <w:rsid w:val="0057381D"/>
    <w:rsid w:val="00573BA3"/>
    <w:rsid w:val="00573C8C"/>
    <w:rsid w:val="005745F3"/>
    <w:rsid w:val="00574708"/>
    <w:rsid w:val="00574D81"/>
    <w:rsid w:val="005756AA"/>
    <w:rsid w:val="0057696F"/>
    <w:rsid w:val="00576A75"/>
    <w:rsid w:val="005774FE"/>
    <w:rsid w:val="0058040C"/>
    <w:rsid w:val="00580772"/>
    <w:rsid w:val="00580D22"/>
    <w:rsid w:val="00580D6D"/>
    <w:rsid w:val="005813DE"/>
    <w:rsid w:val="00581796"/>
    <w:rsid w:val="00581B45"/>
    <w:rsid w:val="00582480"/>
    <w:rsid w:val="00582805"/>
    <w:rsid w:val="0058290E"/>
    <w:rsid w:val="00582CAB"/>
    <w:rsid w:val="00582D08"/>
    <w:rsid w:val="00582E21"/>
    <w:rsid w:val="00582FA6"/>
    <w:rsid w:val="005834E2"/>
    <w:rsid w:val="0058351E"/>
    <w:rsid w:val="0058375E"/>
    <w:rsid w:val="0058378C"/>
    <w:rsid w:val="0058385E"/>
    <w:rsid w:val="00584233"/>
    <w:rsid w:val="005842D0"/>
    <w:rsid w:val="005845FB"/>
    <w:rsid w:val="00584860"/>
    <w:rsid w:val="005855AE"/>
    <w:rsid w:val="00585829"/>
    <w:rsid w:val="00585CA8"/>
    <w:rsid w:val="00586412"/>
    <w:rsid w:val="005864B9"/>
    <w:rsid w:val="005866C4"/>
    <w:rsid w:val="00586BD3"/>
    <w:rsid w:val="00587229"/>
    <w:rsid w:val="0059077C"/>
    <w:rsid w:val="00590F1A"/>
    <w:rsid w:val="00591C03"/>
    <w:rsid w:val="00591D97"/>
    <w:rsid w:val="00591D9E"/>
    <w:rsid w:val="00591E2A"/>
    <w:rsid w:val="005923C4"/>
    <w:rsid w:val="00592981"/>
    <w:rsid w:val="00593945"/>
    <w:rsid w:val="00593EA2"/>
    <w:rsid w:val="00593F75"/>
    <w:rsid w:val="005940A0"/>
    <w:rsid w:val="0059429A"/>
    <w:rsid w:val="00594462"/>
    <w:rsid w:val="00594CBE"/>
    <w:rsid w:val="00595322"/>
    <w:rsid w:val="00596AF7"/>
    <w:rsid w:val="00596CCE"/>
    <w:rsid w:val="005A1976"/>
    <w:rsid w:val="005A2120"/>
    <w:rsid w:val="005A2501"/>
    <w:rsid w:val="005A2C80"/>
    <w:rsid w:val="005A3066"/>
    <w:rsid w:val="005A3B35"/>
    <w:rsid w:val="005A3C4B"/>
    <w:rsid w:val="005A3E5A"/>
    <w:rsid w:val="005A43F3"/>
    <w:rsid w:val="005A485D"/>
    <w:rsid w:val="005A496F"/>
    <w:rsid w:val="005A4A56"/>
    <w:rsid w:val="005A4B38"/>
    <w:rsid w:val="005A5608"/>
    <w:rsid w:val="005A5A3D"/>
    <w:rsid w:val="005A5F0E"/>
    <w:rsid w:val="005A6035"/>
    <w:rsid w:val="005A6073"/>
    <w:rsid w:val="005A6375"/>
    <w:rsid w:val="005A6B75"/>
    <w:rsid w:val="005A6E00"/>
    <w:rsid w:val="005A718A"/>
    <w:rsid w:val="005A7752"/>
    <w:rsid w:val="005A7885"/>
    <w:rsid w:val="005B0293"/>
    <w:rsid w:val="005B10DC"/>
    <w:rsid w:val="005B12B2"/>
    <w:rsid w:val="005B143B"/>
    <w:rsid w:val="005B1565"/>
    <w:rsid w:val="005B19BD"/>
    <w:rsid w:val="005B1E45"/>
    <w:rsid w:val="005B21C4"/>
    <w:rsid w:val="005B2A28"/>
    <w:rsid w:val="005B2E64"/>
    <w:rsid w:val="005B3621"/>
    <w:rsid w:val="005B3CD9"/>
    <w:rsid w:val="005B48A8"/>
    <w:rsid w:val="005B4948"/>
    <w:rsid w:val="005B501D"/>
    <w:rsid w:val="005B54CC"/>
    <w:rsid w:val="005B660E"/>
    <w:rsid w:val="005B74AD"/>
    <w:rsid w:val="005B7B3E"/>
    <w:rsid w:val="005B7E96"/>
    <w:rsid w:val="005C0429"/>
    <w:rsid w:val="005C084F"/>
    <w:rsid w:val="005C0968"/>
    <w:rsid w:val="005C0EE9"/>
    <w:rsid w:val="005C16A8"/>
    <w:rsid w:val="005C1716"/>
    <w:rsid w:val="005C1954"/>
    <w:rsid w:val="005C1C0B"/>
    <w:rsid w:val="005C2011"/>
    <w:rsid w:val="005C2085"/>
    <w:rsid w:val="005C3EA3"/>
    <w:rsid w:val="005C4434"/>
    <w:rsid w:val="005C44DE"/>
    <w:rsid w:val="005C4825"/>
    <w:rsid w:val="005C5011"/>
    <w:rsid w:val="005C5241"/>
    <w:rsid w:val="005C529E"/>
    <w:rsid w:val="005C57BA"/>
    <w:rsid w:val="005C5C52"/>
    <w:rsid w:val="005C5D3D"/>
    <w:rsid w:val="005C5EC1"/>
    <w:rsid w:val="005C5F05"/>
    <w:rsid w:val="005C6186"/>
    <w:rsid w:val="005C74FF"/>
    <w:rsid w:val="005C7713"/>
    <w:rsid w:val="005C7E45"/>
    <w:rsid w:val="005C7F3E"/>
    <w:rsid w:val="005D06D3"/>
    <w:rsid w:val="005D0C3B"/>
    <w:rsid w:val="005D1051"/>
    <w:rsid w:val="005D1606"/>
    <w:rsid w:val="005D2044"/>
    <w:rsid w:val="005D2917"/>
    <w:rsid w:val="005D2EB2"/>
    <w:rsid w:val="005D2F48"/>
    <w:rsid w:val="005D31BA"/>
    <w:rsid w:val="005D399C"/>
    <w:rsid w:val="005D3B32"/>
    <w:rsid w:val="005D3BD0"/>
    <w:rsid w:val="005D4643"/>
    <w:rsid w:val="005D464B"/>
    <w:rsid w:val="005D466F"/>
    <w:rsid w:val="005D49F0"/>
    <w:rsid w:val="005D5125"/>
    <w:rsid w:val="005D51F7"/>
    <w:rsid w:val="005D51FA"/>
    <w:rsid w:val="005D53E8"/>
    <w:rsid w:val="005D5702"/>
    <w:rsid w:val="005D5A9D"/>
    <w:rsid w:val="005D6441"/>
    <w:rsid w:val="005D6651"/>
    <w:rsid w:val="005D6675"/>
    <w:rsid w:val="005D691D"/>
    <w:rsid w:val="005D6A72"/>
    <w:rsid w:val="005D6E87"/>
    <w:rsid w:val="005D6F38"/>
    <w:rsid w:val="005D7279"/>
    <w:rsid w:val="005D791B"/>
    <w:rsid w:val="005D7CF2"/>
    <w:rsid w:val="005D7E2D"/>
    <w:rsid w:val="005D7F92"/>
    <w:rsid w:val="005D7FCC"/>
    <w:rsid w:val="005E032C"/>
    <w:rsid w:val="005E0CDD"/>
    <w:rsid w:val="005E0D7B"/>
    <w:rsid w:val="005E1595"/>
    <w:rsid w:val="005E182D"/>
    <w:rsid w:val="005E1F1D"/>
    <w:rsid w:val="005E273D"/>
    <w:rsid w:val="005E30AC"/>
    <w:rsid w:val="005E3278"/>
    <w:rsid w:val="005E3456"/>
    <w:rsid w:val="005E363B"/>
    <w:rsid w:val="005E3736"/>
    <w:rsid w:val="005E5BD6"/>
    <w:rsid w:val="005E72A0"/>
    <w:rsid w:val="005F1793"/>
    <w:rsid w:val="005F1FA9"/>
    <w:rsid w:val="005F287D"/>
    <w:rsid w:val="005F305B"/>
    <w:rsid w:val="005F3081"/>
    <w:rsid w:val="005F3361"/>
    <w:rsid w:val="005F37FE"/>
    <w:rsid w:val="005F3B47"/>
    <w:rsid w:val="005F3B58"/>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0B65"/>
    <w:rsid w:val="0060139A"/>
    <w:rsid w:val="006013C9"/>
    <w:rsid w:val="006014A1"/>
    <w:rsid w:val="00601C0D"/>
    <w:rsid w:val="00602310"/>
    <w:rsid w:val="00602B45"/>
    <w:rsid w:val="006032AB"/>
    <w:rsid w:val="00603499"/>
    <w:rsid w:val="006035F5"/>
    <w:rsid w:val="00603CC2"/>
    <w:rsid w:val="006047D1"/>
    <w:rsid w:val="00604A55"/>
    <w:rsid w:val="00604D4E"/>
    <w:rsid w:val="00604E3E"/>
    <w:rsid w:val="00604EFB"/>
    <w:rsid w:val="00605AC3"/>
    <w:rsid w:val="006061E2"/>
    <w:rsid w:val="00606908"/>
    <w:rsid w:val="00607996"/>
    <w:rsid w:val="00607A37"/>
    <w:rsid w:val="00607E0A"/>
    <w:rsid w:val="00607E9F"/>
    <w:rsid w:val="0061085E"/>
    <w:rsid w:val="0061132D"/>
    <w:rsid w:val="00611398"/>
    <w:rsid w:val="0061148A"/>
    <w:rsid w:val="006118BD"/>
    <w:rsid w:val="00611EAA"/>
    <w:rsid w:val="00612322"/>
    <w:rsid w:val="006123C0"/>
    <w:rsid w:val="00612600"/>
    <w:rsid w:val="00612DF1"/>
    <w:rsid w:val="00613191"/>
    <w:rsid w:val="006133F9"/>
    <w:rsid w:val="006134B3"/>
    <w:rsid w:val="00613DE1"/>
    <w:rsid w:val="0061401F"/>
    <w:rsid w:val="00614166"/>
    <w:rsid w:val="0061418E"/>
    <w:rsid w:val="00614817"/>
    <w:rsid w:val="006149CC"/>
    <w:rsid w:val="006157A9"/>
    <w:rsid w:val="0061591D"/>
    <w:rsid w:val="00615ED0"/>
    <w:rsid w:val="0061604C"/>
    <w:rsid w:val="00616C2B"/>
    <w:rsid w:val="00616D7F"/>
    <w:rsid w:val="006172EC"/>
    <w:rsid w:val="0061750A"/>
    <w:rsid w:val="00617721"/>
    <w:rsid w:val="006178D1"/>
    <w:rsid w:val="00620719"/>
    <w:rsid w:val="006212C9"/>
    <w:rsid w:val="00621A88"/>
    <w:rsid w:val="00621BCE"/>
    <w:rsid w:val="00621D0C"/>
    <w:rsid w:val="00622470"/>
    <w:rsid w:val="00622725"/>
    <w:rsid w:val="0062296B"/>
    <w:rsid w:val="006231AA"/>
    <w:rsid w:val="00623482"/>
    <w:rsid w:val="0062386C"/>
    <w:rsid w:val="00623AC2"/>
    <w:rsid w:val="00623EBC"/>
    <w:rsid w:val="0062452A"/>
    <w:rsid w:val="006245A8"/>
    <w:rsid w:val="006258DA"/>
    <w:rsid w:val="006266D7"/>
    <w:rsid w:val="006267F1"/>
    <w:rsid w:val="00626D42"/>
    <w:rsid w:val="00626EE3"/>
    <w:rsid w:val="006271CF"/>
    <w:rsid w:val="006274AD"/>
    <w:rsid w:val="00627519"/>
    <w:rsid w:val="00627532"/>
    <w:rsid w:val="00627918"/>
    <w:rsid w:val="006302AA"/>
    <w:rsid w:val="006310C3"/>
    <w:rsid w:val="0063161E"/>
    <w:rsid w:val="00631660"/>
    <w:rsid w:val="00631908"/>
    <w:rsid w:val="00631BB5"/>
    <w:rsid w:val="00631C45"/>
    <w:rsid w:val="00631DD0"/>
    <w:rsid w:val="00632241"/>
    <w:rsid w:val="00633178"/>
    <w:rsid w:val="00633DBF"/>
    <w:rsid w:val="00634122"/>
    <w:rsid w:val="00634261"/>
    <w:rsid w:val="0063548C"/>
    <w:rsid w:val="00635E32"/>
    <w:rsid w:val="006360FC"/>
    <w:rsid w:val="006364DB"/>
    <w:rsid w:val="006365DE"/>
    <w:rsid w:val="00636BE4"/>
    <w:rsid w:val="00636F88"/>
    <w:rsid w:val="0063732C"/>
    <w:rsid w:val="00637802"/>
    <w:rsid w:val="00637836"/>
    <w:rsid w:val="00637A42"/>
    <w:rsid w:val="00637C26"/>
    <w:rsid w:val="00637F44"/>
    <w:rsid w:val="00640084"/>
    <w:rsid w:val="006401D8"/>
    <w:rsid w:val="00641078"/>
    <w:rsid w:val="00641242"/>
    <w:rsid w:val="00642188"/>
    <w:rsid w:val="006424AA"/>
    <w:rsid w:val="00642A32"/>
    <w:rsid w:val="006433D5"/>
    <w:rsid w:val="00643412"/>
    <w:rsid w:val="00644224"/>
    <w:rsid w:val="00645554"/>
    <w:rsid w:val="00645C53"/>
    <w:rsid w:val="00645CEB"/>
    <w:rsid w:val="00645E6E"/>
    <w:rsid w:val="00646A8B"/>
    <w:rsid w:val="00646B20"/>
    <w:rsid w:val="00646D0F"/>
    <w:rsid w:val="00646FB0"/>
    <w:rsid w:val="0064763F"/>
    <w:rsid w:val="00647A36"/>
    <w:rsid w:val="00647DCC"/>
    <w:rsid w:val="00647EFA"/>
    <w:rsid w:val="00647F14"/>
    <w:rsid w:val="00650027"/>
    <w:rsid w:val="00651501"/>
    <w:rsid w:val="00651B9C"/>
    <w:rsid w:val="00651C47"/>
    <w:rsid w:val="00651C9A"/>
    <w:rsid w:val="006520AC"/>
    <w:rsid w:val="0065247D"/>
    <w:rsid w:val="00652E70"/>
    <w:rsid w:val="0065339A"/>
    <w:rsid w:val="00653469"/>
    <w:rsid w:val="006534ED"/>
    <w:rsid w:val="00653D0C"/>
    <w:rsid w:val="006543A4"/>
    <w:rsid w:val="00654A38"/>
    <w:rsid w:val="00655301"/>
    <w:rsid w:val="00655316"/>
    <w:rsid w:val="00655371"/>
    <w:rsid w:val="00655507"/>
    <w:rsid w:val="00656320"/>
    <w:rsid w:val="00656C4B"/>
    <w:rsid w:val="006572FE"/>
    <w:rsid w:val="006573EA"/>
    <w:rsid w:val="00657795"/>
    <w:rsid w:val="0066073F"/>
    <w:rsid w:val="006608ED"/>
    <w:rsid w:val="00660D2A"/>
    <w:rsid w:val="00661029"/>
    <w:rsid w:val="0066135A"/>
    <w:rsid w:val="00661A38"/>
    <w:rsid w:val="00662188"/>
    <w:rsid w:val="0066272D"/>
    <w:rsid w:val="0066293A"/>
    <w:rsid w:val="00662E58"/>
    <w:rsid w:val="00662F39"/>
    <w:rsid w:val="0066339A"/>
    <w:rsid w:val="006635A0"/>
    <w:rsid w:val="00664351"/>
    <w:rsid w:val="00664668"/>
    <w:rsid w:val="0066495B"/>
    <w:rsid w:val="00664DFB"/>
    <w:rsid w:val="00665875"/>
    <w:rsid w:val="00665968"/>
    <w:rsid w:val="00665BF7"/>
    <w:rsid w:val="00666027"/>
    <w:rsid w:val="00666178"/>
    <w:rsid w:val="0066639E"/>
    <w:rsid w:val="00666473"/>
    <w:rsid w:val="00666C72"/>
    <w:rsid w:val="00666D6C"/>
    <w:rsid w:val="00666E6C"/>
    <w:rsid w:val="0066707F"/>
    <w:rsid w:val="00667ED8"/>
    <w:rsid w:val="00670298"/>
    <w:rsid w:val="0067064C"/>
    <w:rsid w:val="00670B20"/>
    <w:rsid w:val="00670E12"/>
    <w:rsid w:val="00670F27"/>
    <w:rsid w:val="006712A4"/>
    <w:rsid w:val="00672E80"/>
    <w:rsid w:val="0067333F"/>
    <w:rsid w:val="006739E4"/>
    <w:rsid w:val="00673ECF"/>
    <w:rsid w:val="0067426B"/>
    <w:rsid w:val="00674A1B"/>
    <w:rsid w:val="00674A7D"/>
    <w:rsid w:val="00674F1C"/>
    <w:rsid w:val="006754F8"/>
    <w:rsid w:val="00675BD6"/>
    <w:rsid w:val="00676118"/>
    <w:rsid w:val="00676127"/>
    <w:rsid w:val="00676AED"/>
    <w:rsid w:val="00676BE6"/>
    <w:rsid w:val="00677E9C"/>
    <w:rsid w:val="00677F26"/>
    <w:rsid w:val="006800EE"/>
    <w:rsid w:val="006802A7"/>
    <w:rsid w:val="00680B19"/>
    <w:rsid w:val="0068118C"/>
    <w:rsid w:val="006811C9"/>
    <w:rsid w:val="006812CE"/>
    <w:rsid w:val="006826C1"/>
    <w:rsid w:val="00682C89"/>
    <w:rsid w:val="006832B8"/>
    <w:rsid w:val="0068331A"/>
    <w:rsid w:val="006837B2"/>
    <w:rsid w:val="00683800"/>
    <w:rsid w:val="006839E9"/>
    <w:rsid w:val="00684459"/>
    <w:rsid w:val="00684462"/>
    <w:rsid w:val="00684C8A"/>
    <w:rsid w:val="00684CF5"/>
    <w:rsid w:val="0068525C"/>
    <w:rsid w:val="0068553E"/>
    <w:rsid w:val="00685AB6"/>
    <w:rsid w:val="00685E7B"/>
    <w:rsid w:val="00686551"/>
    <w:rsid w:val="00686B53"/>
    <w:rsid w:val="00686BD1"/>
    <w:rsid w:val="00686CAB"/>
    <w:rsid w:val="00686E4D"/>
    <w:rsid w:val="0068717F"/>
    <w:rsid w:val="0068719A"/>
    <w:rsid w:val="0068730C"/>
    <w:rsid w:val="00687504"/>
    <w:rsid w:val="00687A14"/>
    <w:rsid w:val="00687A8C"/>
    <w:rsid w:val="00690839"/>
    <w:rsid w:val="006908DB"/>
    <w:rsid w:val="00690DE9"/>
    <w:rsid w:val="00690E5E"/>
    <w:rsid w:val="00691B25"/>
    <w:rsid w:val="00691DE9"/>
    <w:rsid w:val="00691EAA"/>
    <w:rsid w:val="00692245"/>
    <w:rsid w:val="00692FFA"/>
    <w:rsid w:val="0069361D"/>
    <w:rsid w:val="00693772"/>
    <w:rsid w:val="00693984"/>
    <w:rsid w:val="00693B77"/>
    <w:rsid w:val="00694160"/>
    <w:rsid w:val="006943FB"/>
    <w:rsid w:val="006959A5"/>
    <w:rsid w:val="00695C0C"/>
    <w:rsid w:val="00696736"/>
    <w:rsid w:val="00696A05"/>
    <w:rsid w:val="00697385"/>
    <w:rsid w:val="00697443"/>
    <w:rsid w:val="00697665"/>
    <w:rsid w:val="006979BF"/>
    <w:rsid w:val="00697C9A"/>
    <w:rsid w:val="00697E68"/>
    <w:rsid w:val="00697FC1"/>
    <w:rsid w:val="006A0274"/>
    <w:rsid w:val="006A0F2B"/>
    <w:rsid w:val="006A103E"/>
    <w:rsid w:val="006A1595"/>
    <w:rsid w:val="006A1D0E"/>
    <w:rsid w:val="006A27BC"/>
    <w:rsid w:val="006A2A43"/>
    <w:rsid w:val="006A2BF1"/>
    <w:rsid w:val="006A2C3A"/>
    <w:rsid w:val="006A2D6A"/>
    <w:rsid w:val="006A2F9A"/>
    <w:rsid w:val="006A34E4"/>
    <w:rsid w:val="006A3A5A"/>
    <w:rsid w:val="006A4043"/>
    <w:rsid w:val="006A44CF"/>
    <w:rsid w:val="006A457D"/>
    <w:rsid w:val="006A4C06"/>
    <w:rsid w:val="006A4C33"/>
    <w:rsid w:val="006A55EE"/>
    <w:rsid w:val="006A575B"/>
    <w:rsid w:val="006A59DE"/>
    <w:rsid w:val="006A6023"/>
    <w:rsid w:val="006A618F"/>
    <w:rsid w:val="006A64C6"/>
    <w:rsid w:val="006A6655"/>
    <w:rsid w:val="006A6BF9"/>
    <w:rsid w:val="006A70D3"/>
    <w:rsid w:val="006A7CB5"/>
    <w:rsid w:val="006A7FD0"/>
    <w:rsid w:val="006B00E4"/>
    <w:rsid w:val="006B025C"/>
    <w:rsid w:val="006B08ED"/>
    <w:rsid w:val="006B1E76"/>
    <w:rsid w:val="006B1ED3"/>
    <w:rsid w:val="006B2534"/>
    <w:rsid w:val="006B2CB2"/>
    <w:rsid w:val="006B347D"/>
    <w:rsid w:val="006B3E19"/>
    <w:rsid w:val="006B4488"/>
    <w:rsid w:val="006B49FC"/>
    <w:rsid w:val="006B4F10"/>
    <w:rsid w:val="006B50C4"/>
    <w:rsid w:val="006B525D"/>
    <w:rsid w:val="006B53AE"/>
    <w:rsid w:val="006B58B4"/>
    <w:rsid w:val="006B67AC"/>
    <w:rsid w:val="006B6DB3"/>
    <w:rsid w:val="006B786A"/>
    <w:rsid w:val="006B793B"/>
    <w:rsid w:val="006B7A03"/>
    <w:rsid w:val="006B7A67"/>
    <w:rsid w:val="006B7D67"/>
    <w:rsid w:val="006B7E4E"/>
    <w:rsid w:val="006C003A"/>
    <w:rsid w:val="006C023B"/>
    <w:rsid w:val="006C074F"/>
    <w:rsid w:val="006C08E4"/>
    <w:rsid w:val="006C107C"/>
    <w:rsid w:val="006C1EA0"/>
    <w:rsid w:val="006C2454"/>
    <w:rsid w:val="006C2551"/>
    <w:rsid w:val="006C37CA"/>
    <w:rsid w:val="006C40D2"/>
    <w:rsid w:val="006C4BBD"/>
    <w:rsid w:val="006C4C26"/>
    <w:rsid w:val="006C5B15"/>
    <w:rsid w:val="006C5D00"/>
    <w:rsid w:val="006C5D32"/>
    <w:rsid w:val="006C5DCB"/>
    <w:rsid w:val="006C6475"/>
    <w:rsid w:val="006C6D58"/>
    <w:rsid w:val="006C70C4"/>
    <w:rsid w:val="006C724E"/>
    <w:rsid w:val="006C741F"/>
    <w:rsid w:val="006D04DA"/>
    <w:rsid w:val="006D10F6"/>
    <w:rsid w:val="006D1544"/>
    <w:rsid w:val="006D1688"/>
    <w:rsid w:val="006D1DD3"/>
    <w:rsid w:val="006D1FF3"/>
    <w:rsid w:val="006D22C7"/>
    <w:rsid w:val="006D2C65"/>
    <w:rsid w:val="006D2DE3"/>
    <w:rsid w:val="006D2FCB"/>
    <w:rsid w:val="006D32C6"/>
    <w:rsid w:val="006D33C6"/>
    <w:rsid w:val="006D3491"/>
    <w:rsid w:val="006D360E"/>
    <w:rsid w:val="006D3697"/>
    <w:rsid w:val="006D39D2"/>
    <w:rsid w:val="006D3DF0"/>
    <w:rsid w:val="006D3F2A"/>
    <w:rsid w:val="006D4370"/>
    <w:rsid w:val="006D46A3"/>
    <w:rsid w:val="006D62E0"/>
    <w:rsid w:val="006D658F"/>
    <w:rsid w:val="006D6A12"/>
    <w:rsid w:val="006D6FA2"/>
    <w:rsid w:val="006D712D"/>
    <w:rsid w:val="006D7687"/>
    <w:rsid w:val="006D7689"/>
    <w:rsid w:val="006D7D1F"/>
    <w:rsid w:val="006D7D8A"/>
    <w:rsid w:val="006D7DE7"/>
    <w:rsid w:val="006E0079"/>
    <w:rsid w:val="006E02C4"/>
    <w:rsid w:val="006E0572"/>
    <w:rsid w:val="006E05D8"/>
    <w:rsid w:val="006E08EE"/>
    <w:rsid w:val="006E155A"/>
    <w:rsid w:val="006E2C34"/>
    <w:rsid w:val="006E359B"/>
    <w:rsid w:val="006E39D1"/>
    <w:rsid w:val="006E3B05"/>
    <w:rsid w:val="006E437F"/>
    <w:rsid w:val="006E4D5B"/>
    <w:rsid w:val="006E602F"/>
    <w:rsid w:val="006E6720"/>
    <w:rsid w:val="006E6D00"/>
    <w:rsid w:val="006E6F90"/>
    <w:rsid w:val="006E7275"/>
    <w:rsid w:val="006E77B8"/>
    <w:rsid w:val="006E7E0B"/>
    <w:rsid w:val="006F0497"/>
    <w:rsid w:val="006F0FB1"/>
    <w:rsid w:val="006F13BA"/>
    <w:rsid w:val="006F15CC"/>
    <w:rsid w:val="006F15F6"/>
    <w:rsid w:val="006F1F32"/>
    <w:rsid w:val="006F2F3D"/>
    <w:rsid w:val="006F36EA"/>
    <w:rsid w:val="006F4147"/>
    <w:rsid w:val="006F4315"/>
    <w:rsid w:val="006F4834"/>
    <w:rsid w:val="006F4CB0"/>
    <w:rsid w:val="006F4F78"/>
    <w:rsid w:val="006F547E"/>
    <w:rsid w:val="006F5CCF"/>
    <w:rsid w:val="006F5F09"/>
    <w:rsid w:val="006F625D"/>
    <w:rsid w:val="006F64B5"/>
    <w:rsid w:val="006F65A9"/>
    <w:rsid w:val="006F6F04"/>
    <w:rsid w:val="006F71F5"/>
    <w:rsid w:val="00700301"/>
    <w:rsid w:val="00700610"/>
    <w:rsid w:val="00700652"/>
    <w:rsid w:val="00700B9C"/>
    <w:rsid w:val="0070138A"/>
    <w:rsid w:val="0070157E"/>
    <w:rsid w:val="00701867"/>
    <w:rsid w:val="007024EF"/>
    <w:rsid w:val="007030D4"/>
    <w:rsid w:val="00703279"/>
    <w:rsid w:val="007039CE"/>
    <w:rsid w:val="00703B19"/>
    <w:rsid w:val="00703B61"/>
    <w:rsid w:val="00703E11"/>
    <w:rsid w:val="00704102"/>
    <w:rsid w:val="0070437C"/>
    <w:rsid w:val="0070461C"/>
    <w:rsid w:val="00704D4B"/>
    <w:rsid w:val="00704DFE"/>
    <w:rsid w:val="00705631"/>
    <w:rsid w:val="00705818"/>
    <w:rsid w:val="00705F62"/>
    <w:rsid w:val="0070773F"/>
    <w:rsid w:val="007078BD"/>
    <w:rsid w:val="00707ED3"/>
    <w:rsid w:val="007101B7"/>
    <w:rsid w:val="00710501"/>
    <w:rsid w:val="00710668"/>
    <w:rsid w:val="007110F4"/>
    <w:rsid w:val="007112B1"/>
    <w:rsid w:val="0071130F"/>
    <w:rsid w:val="0071208D"/>
    <w:rsid w:val="00712714"/>
    <w:rsid w:val="007129AB"/>
    <w:rsid w:val="00712B63"/>
    <w:rsid w:val="00713526"/>
    <w:rsid w:val="00713799"/>
    <w:rsid w:val="00713FC5"/>
    <w:rsid w:val="00714835"/>
    <w:rsid w:val="00714D20"/>
    <w:rsid w:val="00714DCA"/>
    <w:rsid w:val="00715447"/>
    <w:rsid w:val="00715BBF"/>
    <w:rsid w:val="00715C29"/>
    <w:rsid w:val="00715CBD"/>
    <w:rsid w:val="00715EAA"/>
    <w:rsid w:val="00716CAD"/>
    <w:rsid w:val="00716F18"/>
    <w:rsid w:val="00717363"/>
    <w:rsid w:val="00717786"/>
    <w:rsid w:val="00717ACB"/>
    <w:rsid w:val="0072123A"/>
    <w:rsid w:val="0072138B"/>
    <w:rsid w:val="00721BFF"/>
    <w:rsid w:val="007227C8"/>
    <w:rsid w:val="0072291F"/>
    <w:rsid w:val="00723475"/>
    <w:rsid w:val="007235BD"/>
    <w:rsid w:val="007236C4"/>
    <w:rsid w:val="00723948"/>
    <w:rsid w:val="0072406F"/>
    <w:rsid w:val="007242A2"/>
    <w:rsid w:val="00724635"/>
    <w:rsid w:val="00724F21"/>
    <w:rsid w:val="00725134"/>
    <w:rsid w:val="0072554B"/>
    <w:rsid w:val="00725AFD"/>
    <w:rsid w:val="00726603"/>
    <w:rsid w:val="00726CED"/>
    <w:rsid w:val="007270EF"/>
    <w:rsid w:val="0072722A"/>
    <w:rsid w:val="0072760C"/>
    <w:rsid w:val="00727B1D"/>
    <w:rsid w:val="00727DDC"/>
    <w:rsid w:val="007302AE"/>
    <w:rsid w:val="00730CD6"/>
    <w:rsid w:val="00730F74"/>
    <w:rsid w:val="0073114B"/>
    <w:rsid w:val="00731DBE"/>
    <w:rsid w:val="00732151"/>
    <w:rsid w:val="00732C4B"/>
    <w:rsid w:val="007339EC"/>
    <w:rsid w:val="007341F8"/>
    <w:rsid w:val="00734236"/>
    <w:rsid w:val="00734952"/>
    <w:rsid w:val="00734990"/>
    <w:rsid w:val="00734FF5"/>
    <w:rsid w:val="007351F2"/>
    <w:rsid w:val="007356B8"/>
    <w:rsid w:val="00735B78"/>
    <w:rsid w:val="00735DA7"/>
    <w:rsid w:val="007368B4"/>
    <w:rsid w:val="007378E0"/>
    <w:rsid w:val="00737C51"/>
    <w:rsid w:val="00737D92"/>
    <w:rsid w:val="00740529"/>
    <w:rsid w:val="00740876"/>
    <w:rsid w:val="00740F0D"/>
    <w:rsid w:val="00741247"/>
    <w:rsid w:val="00741358"/>
    <w:rsid w:val="00741626"/>
    <w:rsid w:val="00742332"/>
    <w:rsid w:val="00742886"/>
    <w:rsid w:val="00742DD2"/>
    <w:rsid w:val="00742F60"/>
    <w:rsid w:val="00743521"/>
    <w:rsid w:val="007437C6"/>
    <w:rsid w:val="007438E6"/>
    <w:rsid w:val="007441A2"/>
    <w:rsid w:val="00744767"/>
    <w:rsid w:val="00744E80"/>
    <w:rsid w:val="00745035"/>
    <w:rsid w:val="0074531C"/>
    <w:rsid w:val="00745547"/>
    <w:rsid w:val="007459D0"/>
    <w:rsid w:val="0074608B"/>
    <w:rsid w:val="0074614C"/>
    <w:rsid w:val="0074623A"/>
    <w:rsid w:val="00746420"/>
    <w:rsid w:val="00746638"/>
    <w:rsid w:val="007466BA"/>
    <w:rsid w:val="007469A8"/>
    <w:rsid w:val="00746A60"/>
    <w:rsid w:val="00746CAE"/>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2A4F"/>
    <w:rsid w:val="00753BAC"/>
    <w:rsid w:val="00754A0B"/>
    <w:rsid w:val="00754DFE"/>
    <w:rsid w:val="007552DB"/>
    <w:rsid w:val="00755B08"/>
    <w:rsid w:val="00755DD0"/>
    <w:rsid w:val="0075647A"/>
    <w:rsid w:val="00756613"/>
    <w:rsid w:val="00756A2F"/>
    <w:rsid w:val="007573E1"/>
    <w:rsid w:val="0075749E"/>
    <w:rsid w:val="00757722"/>
    <w:rsid w:val="00757B2D"/>
    <w:rsid w:val="00757BAD"/>
    <w:rsid w:val="00757D62"/>
    <w:rsid w:val="00760021"/>
    <w:rsid w:val="00760561"/>
    <w:rsid w:val="00760867"/>
    <w:rsid w:val="00760E9E"/>
    <w:rsid w:val="00760EB6"/>
    <w:rsid w:val="007616DB"/>
    <w:rsid w:val="00761AB7"/>
    <w:rsid w:val="00761CE6"/>
    <w:rsid w:val="0076228A"/>
    <w:rsid w:val="00762440"/>
    <w:rsid w:val="00762499"/>
    <w:rsid w:val="007629B7"/>
    <w:rsid w:val="00762E60"/>
    <w:rsid w:val="007634AD"/>
    <w:rsid w:val="0076445F"/>
    <w:rsid w:val="00764EC5"/>
    <w:rsid w:val="007651B3"/>
    <w:rsid w:val="00765F28"/>
    <w:rsid w:val="00766E2E"/>
    <w:rsid w:val="00766E9D"/>
    <w:rsid w:val="00766ECC"/>
    <w:rsid w:val="007672F3"/>
    <w:rsid w:val="007676EE"/>
    <w:rsid w:val="007677B5"/>
    <w:rsid w:val="007678B1"/>
    <w:rsid w:val="007679A2"/>
    <w:rsid w:val="007708A8"/>
    <w:rsid w:val="00770D6E"/>
    <w:rsid w:val="0077184A"/>
    <w:rsid w:val="00772100"/>
    <w:rsid w:val="00772275"/>
    <w:rsid w:val="007734CC"/>
    <w:rsid w:val="007734E4"/>
    <w:rsid w:val="0077380D"/>
    <w:rsid w:val="00773BC8"/>
    <w:rsid w:val="0077466F"/>
    <w:rsid w:val="0077507F"/>
    <w:rsid w:val="007752B7"/>
    <w:rsid w:val="00775597"/>
    <w:rsid w:val="007757DC"/>
    <w:rsid w:val="0077591D"/>
    <w:rsid w:val="007759A8"/>
    <w:rsid w:val="00775C27"/>
    <w:rsid w:val="00775D98"/>
    <w:rsid w:val="00775DEC"/>
    <w:rsid w:val="0077644C"/>
    <w:rsid w:val="00776FE5"/>
    <w:rsid w:val="00777101"/>
    <w:rsid w:val="007774E7"/>
    <w:rsid w:val="0077768C"/>
    <w:rsid w:val="00777696"/>
    <w:rsid w:val="00777FF4"/>
    <w:rsid w:val="00780251"/>
    <w:rsid w:val="007804FE"/>
    <w:rsid w:val="00780AFD"/>
    <w:rsid w:val="00780F32"/>
    <w:rsid w:val="0078122E"/>
    <w:rsid w:val="00781939"/>
    <w:rsid w:val="00781BB2"/>
    <w:rsid w:val="00781C5D"/>
    <w:rsid w:val="00781D29"/>
    <w:rsid w:val="00781DCF"/>
    <w:rsid w:val="007825EF"/>
    <w:rsid w:val="0078286B"/>
    <w:rsid w:val="00782D2C"/>
    <w:rsid w:val="00782F57"/>
    <w:rsid w:val="00782FC2"/>
    <w:rsid w:val="0078328D"/>
    <w:rsid w:val="0078347A"/>
    <w:rsid w:val="007842D6"/>
    <w:rsid w:val="00784FC4"/>
    <w:rsid w:val="00785353"/>
    <w:rsid w:val="00785BBB"/>
    <w:rsid w:val="00786937"/>
    <w:rsid w:val="00786FAD"/>
    <w:rsid w:val="00787005"/>
    <w:rsid w:val="00787D90"/>
    <w:rsid w:val="00787F5E"/>
    <w:rsid w:val="00790164"/>
    <w:rsid w:val="0079075B"/>
    <w:rsid w:val="00790A24"/>
    <w:rsid w:val="00790A37"/>
    <w:rsid w:val="00790A60"/>
    <w:rsid w:val="0079146D"/>
    <w:rsid w:val="00791C32"/>
    <w:rsid w:val="00791FF0"/>
    <w:rsid w:val="007923D0"/>
    <w:rsid w:val="00792E15"/>
    <w:rsid w:val="007930D3"/>
    <w:rsid w:val="0079381F"/>
    <w:rsid w:val="00793A57"/>
    <w:rsid w:val="00793B2E"/>
    <w:rsid w:val="007948F5"/>
    <w:rsid w:val="00795647"/>
    <w:rsid w:val="007956C2"/>
    <w:rsid w:val="00795DA1"/>
    <w:rsid w:val="007963F6"/>
    <w:rsid w:val="007968B8"/>
    <w:rsid w:val="00796905"/>
    <w:rsid w:val="00796AFE"/>
    <w:rsid w:val="00796DC8"/>
    <w:rsid w:val="00796E80"/>
    <w:rsid w:val="0079744F"/>
    <w:rsid w:val="007979AD"/>
    <w:rsid w:val="00797A9C"/>
    <w:rsid w:val="007A00FA"/>
    <w:rsid w:val="007A0EAB"/>
    <w:rsid w:val="007A0FEC"/>
    <w:rsid w:val="007A11E4"/>
    <w:rsid w:val="007A2341"/>
    <w:rsid w:val="007A2754"/>
    <w:rsid w:val="007A297E"/>
    <w:rsid w:val="007A35E5"/>
    <w:rsid w:val="007A38A1"/>
    <w:rsid w:val="007A3BBE"/>
    <w:rsid w:val="007A4766"/>
    <w:rsid w:val="007A504E"/>
    <w:rsid w:val="007A5747"/>
    <w:rsid w:val="007A5947"/>
    <w:rsid w:val="007A5C22"/>
    <w:rsid w:val="007A5DB2"/>
    <w:rsid w:val="007A5DB3"/>
    <w:rsid w:val="007A6DF8"/>
    <w:rsid w:val="007A6FA8"/>
    <w:rsid w:val="007A717B"/>
    <w:rsid w:val="007A71D0"/>
    <w:rsid w:val="007B0313"/>
    <w:rsid w:val="007B0854"/>
    <w:rsid w:val="007B0E48"/>
    <w:rsid w:val="007B1162"/>
    <w:rsid w:val="007B1A0E"/>
    <w:rsid w:val="007B1C00"/>
    <w:rsid w:val="007B1D1B"/>
    <w:rsid w:val="007B303E"/>
    <w:rsid w:val="007B32C0"/>
    <w:rsid w:val="007B32F7"/>
    <w:rsid w:val="007B3659"/>
    <w:rsid w:val="007B374D"/>
    <w:rsid w:val="007B38B5"/>
    <w:rsid w:val="007B3BF3"/>
    <w:rsid w:val="007B431B"/>
    <w:rsid w:val="007B4558"/>
    <w:rsid w:val="007B456A"/>
    <w:rsid w:val="007B4632"/>
    <w:rsid w:val="007B46A2"/>
    <w:rsid w:val="007B4828"/>
    <w:rsid w:val="007B4B2D"/>
    <w:rsid w:val="007B4B99"/>
    <w:rsid w:val="007B4BA9"/>
    <w:rsid w:val="007B4D4A"/>
    <w:rsid w:val="007B513D"/>
    <w:rsid w:val="007B53DA"/>
    <w:rsid w:val="007B53DB"/>
    <w:rsid w:val="007B5428"/>
    <w:rsid w:val="007B59B7"/>
    <w:rsid w:val="007B5F71"/>
    <w:rsid w:val="007B6C64"/>
    <w:rsid w:val="007B6EC8"/>
    <w:rsid w:val="007B6F81"/>
    <w:rsid w:val="007B7EA2"/>
    <w:rsid w:val="007C097D"/>
    <w:rsid w:val="007C0AF2"/>
    <w:rsid w:val="007C11CE"/>
    <w:rsid w:val="007C1672"/>
    <w:rsid w:val="007C1EDC"/>
    <w:rsid w:val="007C25A9"/>
    <w:rsid w:val="007C312A"/>
    <w:rsid w:val="007C34A9"/>
    <w:rsid w:val="007C3570"/>
    <w:rsid w:val="007C3BFC"/>
    <w:rsid w:val="007C3F3B"/>
    <w:rsid w:val="007C4241"/>
    <w:rsid w:val="007C425E"/>
    <w:rsid w:val="007C55FF"/>
    <w:rsid w:val="007C59E6"/>
    <w:rsid w:val="007C5A27"/>
    <w:rsid w:val="007C5E8F"/>
    <w:rsid w:val="007C6339"/>
    <w:rsid w:val="007C6A4D"/>
    <w:rsid w:val="007C753F"/>
    <w:rsid w:val="007C790C"/>
    <w:rsid w:val="007C7C43"/>
    <w:rsid w:val="007C7F0D"/>
    <w:rsid w:val="007D06E3"/>
    <w:rsid w:val="007D0D79"/>
    <w:rsid w:val="007D0E8D"/>
    <w:rsid w:val="007D1134"/>
    <w:rsid w:val="007D17F0"/>
    <w:rsid w:val="007D20BB"/>
    <w:rsid w:val="007D23F7"/>
    <w:rsid w:val="007D2566"/>
    <w:rsid w:val="007D2C18"/>
    <w:rsid w:val="007D2D74"/>
    <w:rsid w:val="007D3693"/>
    <w:rsid w:val="007D3C20"/>
    <w:rsid w:val="007D3C6D"/>
    <w:rsid w:val="007D3EE2"/>
    <w:rsid w:val="007D42D3"/>
    <w:rsid w:val="007D4754"/>
    <w:rsid w:val="007D481A"/>
    <w:rsid w:val="007D4ED0"/>
    <w:rsid w:val="007D5648"/>
    <w:rsid w:val="007D58C5"/>
    <w:rsid w:val="007D5A68"/>
    <w:rsid w:val="007D5DE8"/>
    <w:rsid w:val="007D7047"/>
    <w:rsid w:val="007D7CFC"/>
    <w:rsid w:val="007E021D"/>
    <w:rsid w:val="007E0812"/>
    <w:rsid w:val="007E18DF"/>
    <w:rsid w:val="007E2C36"/>
    <w:rsid w:val="007E2E07"/>
    <w:rsid w:val="007E3309"/>
    <w:rsid w:val="007E350D"/>
    <w:rsid w:val="007E3A0A"/>
    <w:rsid w:val="007E3ACA"/>
    <w:rsid w:val="007E496E"/>
    <w:rsid w:val="007E564D"/>
    <w:rsid w:val="007E5C4A"/>
    <w:rsid w:val="007E5F2E"/>
    <w:rsid w:val="007E637F"/>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471"/>
    <w:rsid w:val="007F369E"/>
    <w:rsid w:val="007F3A8F"/>
    <w:rsid w:val="007F3AC1"/>
    <w:rsid w:val="007F3B1B"/>
    <w:rsid w:val="007F4976"/>
    <w:rsid w:val="007F4B92"/>
    <w:rsid w:val="007F52AF"/>
    <w:rsid w:val="007F5A56"/>
    <w:rsid w:val="007F616E"/>
    <w:rsid w:val="007F6790"/>
    <w:rsid w:val="007F6B46"/>
    <w:rsid w:val="007F6D1B"/>
    <w:rsid w:val="007F6D56"/>
    <w:rsid w:val="007F72CB"/>
    <w:rsid w:val="007F736A"/>
    <w:rsid w:val="007F7635"/>
    <w:rsid w:val="007F77DF"/>
    <w:rsid w:val="007F785F"/>
    <w:rsid w:val="007F7961"/>
    <w:rsid w:val="007F7AF6"/>
    <w:rsid w:val="007F7E36"/>
    <w:rsid w:val="00800E6D"/>
    <w:rsid w:val="008014D9"/>
    <w:rsid w:val="0080150F"/>
    <w:rsid w:val="0080153A"/>
    <w:rsid w:val="00801913"/>
    <w:rsid w:val="00801A2A"/>
    <w:rsid w:val="00801C48"/>
    <w:rsid w:val="00801E04"/>
    <w:rsid w:val="00802041"/>
    <w:rsid w:val="008022C9"/>
    <w:rsid w:val="00802605"/>
    <w:rsid w:val="00802ED9"/>
    <w:rsid w:val="00802F9E"/>
    <w:rsid w:val="00803700"/>
    <w:rsid w:val="0080375D"/>
    <w:rsid w:val="00803D9D"/>
    <w:rsid w:val="0080543F"/>
    <w:rsid w:val="008059C6"/>
    <w:rsid w:val="00805AD7"/>
    <w:rsid w:val="00805BD6"/>
    <w:rsid w:val="00805DE3"/>
    <w:rsid w:val="00806079"/>
    <w:rsid w:val="00807C35"/>
    <w:rsid w:val="00807CAC"/>
    <w:rsid w:val="00807F35"/>
    <w:rsid w:val="00807F69"/>
    <w:rsid w:val="008100F7"/>
    <w:rsid w:val="00810206"/>
    <w:rsid w:val="00811898"/>
    <w:rsid w:val="00811AC2"/>
    <w:rsid w:val="00811CDC"/>
    <w:rsid w:val="008124D8"/>
    <w:rsid w:val="0081250A"/>
    <w:rsid w:val="008127B1"/>
    <w:rsid w:val="0081389E"/>
    <w:rsid w:val="00813A7B"/>
    <w:rsid w:val="00813F04"/>
    <w:rsid w:val="008140B3"/>
    <w:rsid w:val="008149BC"/>
    <w:rsid w:val="0081513E"/>
    <w:rsid w:val="00815DA5"/>
    <w:rsid w:val="00816169"/>
    <w:rsid w:val="00816221"/>
    <w:rsid w:val="00816551"/>
    <w:rsid w:val="00816AD6"/>
    <w:rsid w:val="00817063"/>
    <w:rsid w:val="0081766B"/>
    <w:rsid w:val="008178B7"/>
    <w:rsid w:val="008179A1"/>
    <w:rsid w:val="008179E1"/>
    <w:rsid w:val="00817D12"/>
    <w:rsid w:val="00820037"/>
    <w:rsid w:val="00820705"/>
    <w:rsid w:val="00820842"/>
    <w:rsid w:val="00820BA7"/>
    <w:rsid w:val="00820CBF"/>
    <w:rsid w:val="00820DBC"/>
    <w:rsid w:val="00820E59"/>
    <w:rsid w:val="00820FA8"/>
    <w:rsid w:val="008211FE"/>
    <w:rsid w:val="008212FD"/>
    <w:rsid w:val="00821489"/>
    <w:rsid w:val="008217B7"/>
    <w:rsid w:val="00821D43"/>
    <w:rsid w:val="00822257"/>
    <w:rsid w:val="0082239B"/>
    <w:rsid w:val="0082279D"/>
    <w:rsid w:val="0082292E"/>
    <w:rsid w:val="00822D06"/>
    <w:rsid w:val="00822EC4"/>
    <w:rsid w:val="0082348D"/>
    <w:rsid w:val="008236BE"/>
    <w:rsid w:val="00823FEA"/>
    <w:rsid w:val="008241CE"/>
    <w:rsid w:val="00824953"/>
    <w:rsid w:val="00825240"/>
    <w:rsid w:val="0082532C"/>
    <w:rsid w:val="00825595"/>
    <w:rsid w:val="00825B43"/>
    <w:rsid w:val="00826F71"/>
    <w:rsid w:val="00827818"/>
    <w:rsid w:val="00827CC0"/>
    <w:rsid w:val="00830D29"/>
    <w:rsid w:val="00831026"/>
    <w:rsid w:val="0083119B"/>
    <w:rsid w:val="00831BAE"/>
    <w:rsid w:val="00831E8B"/>
    <w:rsid w:val="00832216"/>
    <w:rsid w:val="0083261D"/>
    <w:rsid w:val="00832CD0"/>
    <w:rsid w:val="00832F8C"/>
    <w:rsid w:val="00833430"/>
    <w:rsid w:val="0083382A"/>
    <w:rsid w:val="00834128"/>
    <w:rsid w:val="0083417F"/>
    <w:rsid w:val="00834A0D"/>
    <w:rsid w:val="00835143"/>
    <w:rsid w:val="0083569B"/>
    <w:rsid w:val="00835741"/>
    <w:rsid w:val="008364D6"/>
    <w:rsid w:val="008366F2"/>
    <w:rsid w:val="00836E74"/>
    <w:rsid w:val="00836EAB"/>
    <w:rsid w:val="00836FDF"/>
    <w:rsid w:val="008375B1"/>
    <w:rsid w:val="00837673"/>
    <w:rsid w:val="00837937"/>
    <w:rsid w:val="00837D82"/>
    <w:rsid w:val="00840893"/>
    <w:rsid w:val="00840E3B"/>
    <w:rsid w:val="00840E88"/>
    <w:rsid w:val="00840EAE"/>
    <w:rsid w:val="008410D3"/>
    <w:rsid w:val="0084120E"/>
    <w:rsid w:val="008422B3"/>
    <w:rsid w:val="008423EC"/>
    <w:rsid w:val="008426F8"/>
    <w:rsid w:val="008429A6"/>
    <w:rsid w:val="0084302D"/>
    <w:rsid w:val="00843615"/>
    <w:rsid w:val="00843698"/>
    <w:rsid w:val="00843A4B"/>
    <w:rsid w:val="00843B57"/>
    <w:rsid w:val="00843B60"/>
    <w:rsid w:val="00843D33"/>
    <w:rsid w:val="008440DF"/>
    <w:rsid w:val="00844421"/>
    <w:rsid w:val="008444F0"/>
    <w:rsid w:val="008447D8"/>
    <w:rsid w:val="00844CA4"/>
    <w:rsid w:val="00844D4F"/>
    <w:rsid w:val="00845AE3"/>
    <w:rsid w:val="008466A0"/>
    <w:rsid w:val="00847535"/>
    <w:rsid w:val="00847B6D"/>
    <w:rsid w:val="008508A8"/>
    <w:rsid w:val="0085092D"/>
    <w:rsid w:val="00850C79"/>
    <w:rsid w:val="00850D82"/>
    <w:rsid w:val="00850F44"/>
    <w:rsid w:val="00850F79"/>
    <w:rsid w:val="0085100B"/>
    <w:rsid w:val="008515C0"/>
    <w:rsid w:val="00851FA9"/>
    <w:rsid w:val="0085218B"/>
    <w:rsid w:val="00852329"/>
    <w:rsid w:val="00852C43"/>
    <w:rsid w:val="00852FDC"/>
    <w:rsid w:val="0085304C"/>
    <w:rsid w:val="008536BB"/>
    <w:rsid w:val="00853A3C"/>
    <w:rsid w:val="008548CA"/>
    <w:rsid w:val="008549B4"/>
    <w:rsid w:val="00856B9F"/>
    <w:rsid w:val="00856C06"/>
    <w:rsid w:val="008578B1"/>
    <w:rsid w:val="0085790B"/>
    <w:rsid w:val="008579B9"/>
    <w:rsid w:val="00857C95"/>
    <w:rsid w:val="00857E78"/>
    <w:rsid w:val="00860AEF"/>
    <w:rsid w:val="00860B18"/>
    <w:rsid w:val="00860D5E"/>
    <w:rsid w:val="0086122C"/>
    <w:rsid w:val="00861310"/>
    <w:rsid w:val="008617C3"/>
    <w:rsid w:val="008618E0"/>
    <w:rsid w:val="00861E75"/>
    <w:rsid w:val="00861F53"/>
    <w:rsid w:val="0086289E"/>
    <w:rsid w:val="008629CB"/>
    <w:rsid w:val="0086394E"/>
    <w:rsid w:val="00863A41"/>
    <w:rsid w:val="00863F8A"/>
    <w:rsid w:val="00863FE3"/>
    <w:rsid w:val="00864241"/>
    <w:rsid w:val="0086468A"/>
    <w:rsid w:val="00864FA1"/>
    <w:rsid w:val="008650BE"/>
    <w:rsid w:val="00865AE0"/>
    <w:rsid w:val="0086633B"/>
    <w:rsid w:val="00866495"/>
    <w:rsid w:val="00866881"/>
    <w:rsid w:val="00866931"/>
    <w:rsid w:val="00867512"/>
    <w:rsid w:val="008678A3"/>
    <w:rsid w:val="00867C13"/>
    <w:rsid w:val="00867C1D"/>
    <w:rsid w:val="0087033C"/>
    <w:rsid w:val="00870B93"/>
    <w:rsid w:val="00871064"/>
    <w:rsid w:val="008715ED"/>
    <w:rsid w:val="00871621"/>
    <w:rsid w:val="008717D8"/>
    <w:rsid w:val="00871E3C"/>
    <w:rsid w:val="00872CC1"/>
    <w:rsid w:val="00872F97"/>
    <w:rsid w:val="00874607"/>
    <w:rsid w:val="00874915"/>
    <w:rsid w:val="00874B89"/>
    <w:rsid w:val="00874C78"/>
    <w:rsid w:val="00875403"/>
    <w:rsid w:val="00875434"/>
    <w:rsid w:val="00875B74"/>
    <w:rsid w:val="00875C1F"/>
    <w:rsid w:val="00875FDC"/>
    <w:rsid w:val="00876215"/>
    <w:rsid w:val="0087646C"/>
    <w:rsid w:val="00876815"/>
    <w:rsid w:val="00877932"/>
    <w:rsid w:val="008808C7"/>
    <w:rsid w:val="0088103E"/>
    <w:rsid w:val="0088106B"/>
    <w:rsid w:val="0088107D"/>
    <w:rsid w:val="00881475"/>
    <w:rsid w:val="00881E64"/>
    <w:rsid w:val="00882A31"/>
    <w:rsid w:val="00882D24"/>
    <w:rsid w:val="00882E39"/>
    <w:rsid w:val="0088321E"/>
    <w:rsid w:val="00884978"/>
    <w:rsid w:val="008850EB"/>
    <w:rsid w:val="00885228"/>
    <w:rsid w:val="00886114"/>
    <w:rsid w:val="00886C32"/>
    <w:rsid w:val="00886DF2"/>
    <w:rsid w:val="00886FB9"/>
    <w:rsid w:val="00887057"/>
    <w:rsid w:val="00887080"/>
    <w:rsid w:val="00887C79"/>
    <w:rsid w:val="00887E72"/>
    <w:rsid w:val="00887EC5"/>
    <w:rsid w:val="008907B7"/>
    <w:rsid w:val="0089107B"/>
    <w:rsid w:val="008913CC"/>
    <w:rsid w:val="008914AE"/>
    <w:rsid w:val="008919CF"/>
    <w:rsid w:val="00891F84"/>
    <w:rsid w:val="00891FD5"/>
    <w:rsid w:val="0089276F"/>
    <w:rsid w:val="008928EC"/>
    <w:rsid w:val="00892E5D"/>
    <w:rsid w:val="00892E76"/>
    <w:rsid w:val="008935CF"/>
    <w:rsid w:val="0089436B"/>
    <w:rsid w:val="00894436"/>
    <w:rsid w:val="0089494C"/>
    <w:rsid w:val="00894BB1"/>
    <w:rsid w:val="008951D0"/>
    <w:rsid w:val="00895386"/>
    <w:rsid w:val="00895828"/>
    <w:rsid w:val="0089582D"/>
    <w:rsid w:val="008959C6"/>
    <w:rsid w:val="00895E8C"/>
    <w:rsid w:val="0089606D"/>
    <w:rsid w:val="00896129"/>
    <w:rsid w:val="00896316"/>
    <w:rsid w:val="0089774F"/>
    <w:rsid w:val="00897875"/>
    <w:rsid w:val="00897B8F"/>
    <w:rsid w:val="008A00D9"/>
    <w:rsid w:val="008A07D5"/>
    <w:rsid w:val="008A15D3"/>
    <w:rsid w:val="008A1705"/>
    <w:rsid w:val="008A1E94"/>
    <w:rsid w:val="008A1FB7"/>
    <w:rsid w:val="008A229A"/>
    <w:rsid w:val="008A2667"/>
    <w:rsid w:val="008A2A23"/>
    <w:rsid w:val="008A2AF5"/>
    <w:rsid w:val="008A2B5A"/>
    <w:rsid w:val="008A2C47"/>
    <w:rsid w:val="008A3954"/>
    <w:rsid w:val="008A3F9D"/>
    <w:rsid w:val="008A4B42"/>
    <w:rsid w:val="008A5474"/>
    <w:rsid w:val="008A5C9A"/>
    <w:rsid w:val="008A6005"/>
    <w:rsid w:val="008A614F"/>
    <w:rsid w:val="008A61DD"/>
    <w:rsid w:val="008A6A55"/>
    <w:rsid w:val="008A6DF0"/>
    <w:rsid w:val="008A6F6E"/>
    <w:rsid w:val="008A73C4"/>
    <w:rsid w:val="008A768D"/>
    <w:rsid w:val="008A7888"/>
    <w:rsid w:val="008A78D9"/>
    <w:rsid w:val="008A796E"/>
    <w:rsid w:val="008A7EC4"/>
    <w:rsid w:val="008B020E"/>
    <w:rsid w:val="008B0783"/>
    <w:rsid w:val="008B0862"/>
    <w:rsid w:val="008B088C"/>
    <w:rsid w:val="008B0991"/>
    <w:rsid w:val="008B1303"/>
    <w:rsid w:val="008B1BF5"/>
    <w:rsid w:val="008B263F"/>
    <w:rsid w:val="008B2686"/>
    <w:rsid w:val="008B3045"/>
    <w:rsid w:val="008B3AFB"/>
    <w:rsid w:val="008B44F6"/>
    <w:rsid w:val="008B47A6"/>
    <w:rsid w:val="008B56B9"/>
    <w:rsid w:val="008B6416"/>
    <w:rsid w:val="008B672C"/>
    <w:rsid w:val="008B74F7"/>
    <w:rsid w:val="008C065F"/>
    <w:rsid w:val="008C0743"/>
    <w:rsid w:val="008C0B4C"/>
    <w:rsid w:val="008C0D9F"/>
    <w:rsid w:val="008C11F0"/>
    <w:rsid w:val="008C1516"/>
    <w:rsid w:val="008C1DBA"/>
    <w:rsid w:val="008C24E7"/>
    <w:rsid w:val="008C2500"/>
    <w:rsid w:val="008C2CAC"/>
    <w:rsid w:val="008C2E00"/>
    <w:rsid w:val="008C3095"/>
    <w:rsid w:val="008C3B1E"/>
    <w:rsid w:val="008C3C57"/>
    <w:rsid w:val="008C3E2A"/>
    <w:rsid w:val="008C45BD"/>
    <w:rsid w:val="008C4B19"/>
    <w:rsid w:val="008C515F"/>
    <w:rsid w:val="008C5207"/>
    <w:rsid w:val="008C606E"/>
    <w:rsid w:val="008C62D4"/>
    <w:rsid w:val="008C6B89"/>
    <w:rsid w:val="008C6CBF"/>
    <w:rsid w:val="008C7436"/>
    <w:rsid w:val="008D0571"/>
    <w:rsid w:val="008D1002"/>
    <w:rsid w:val="008D18AA"/>
    <w:rsid w:val="008D1A2A"/>
    <w:rsid w:val="008D1ADE"/>
    <w:rsid w:val="008D35D9"/>
    <w:rsid w:val="008D3B85"/>
    <w:rsid w:val="008D462D"/>
    <w:rsid w:val="008D47E6"/>
    <w:rsid w:val="008D4998"/>
    <w:rsid w:val="008D560B"/>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8BD"/>
    <w:rsid w:val="008E2CA4"/>
    <w:rsid w:val="008E30C4"/>
    <w:rsid w:val="008E38B4"/>
    <w:rsid w:val="008E3BA4"/>
    <w:rsid w:val="008E3FF3"/>
    <w:rsid w:val="008E44AB"/>
    <w:rsid w:val="008E5179"/>
    <w:rsid w:val="008E57FE"/>
    <w:rsid w:val="008E6226"/>
    <w:rsid w:val="008E6401"/>
    <w:rsid w:val="008E6598"/>
    <w:rsid w:val="008E67DF"/>
    <w:rsid w:val="008E6C60"/>
    <w:rsid w:val="008E6CC2"/>
    <w:rsid w:val="008E7214"/>
    <w:rsid w:val="008E7884"/>
    <w:rsid w:val="008E7D6E"/>
    <w:rsid w:val="008F1056"/>
    <w:rsid w:val="008F2E8D"/>
    <w:rsid w:val="008F32BA"/>
    <w:rsid w:val="008F361D"/>
    <w:rsid w:val="008F387B"/>
    <w:rsid w:val="008F3952"/>
    <w:rsid w:val="008F3B97"/>
    <w:rsid w:val="008F3DD9"/>
    <w:rsid w:val="008F4814"/>
    <w:rsid w:val="008F4DA6"/>
    <w:rsid w:val="008F538E"/>
    <w:rsid w:val="008F59C9"/>
    <w:rsid w:val="008F5A20"/>
    <w:rsid w:val="008F5ABA"/>
    <w:rsid w:val="008F673D"/>
    <w:rsid w:val="008F6833"/>
    <w:rsid w:val="008F71AB"/>
    <w:rsid w:val="008F7905"/>
    <w:rsid w:val="008F7989"/>
    <w:rsid w:val="009001B8"/>
    <w:rsid w:val="00901F1D"/>
    <w:rsid w:val="009020B3"/>
    <w:rsid w:val="009028E8"/>
    <w:rsid w:val="00902E5C"/>
    <w:rsid w:val="0090363E"/>
    <w:rsid w:val="009046E5"/>
    <w:rsid w:val="009047C5"/>
    <w:rsid w:val="00907FF6"/>
    <w:rsid w:val="00910683"/>
    <w:rsid w:val="00910E00"/>
    <w:rsid w:val="009116CE"/>
    <w:rsid w:val="00911714"/>
    <w:rsid w:val="00911B04"/>
    <w:rsid w:val="00911D04"/>
    <w:rsid w:val="00911EFF"/>
    <w:rsid w:val="009123AE"/>
    <w:rsid w:val="009136D4"/>
    <w:rsid w:val="009142A8"/>
    <w:rsid w:val="0091498A"/>
    <w:rsid w:val="00914B9A"/>
    <w:rsid w:val="00914C3F"/>
    <w:rsid w:val="00914F33"/>
    <w:rsid w:val="00915611"/>
    <w:rsid w:val="00915FCE"/>
    <w:rsid w:val="00916AFE"/>
    <w:rsid w:val="00916FC8"/>
    <w:rsid w:val="009170D3"/>
    <w:rsid w:val="0091759C"/>
    <w:rsid w:val="00920026"/>
    <w:rsid w:val="009203E2"/>
    <w:rsid w:val="0092064C"/>
    <w:rsid w:val="00920F61"/>
    <w:rsid w:val="00921304"/>
    <w:rsid w:val="00921395"/>
    <w:rsid w:val="00921805"/>
    <w:rsid w:val="00921BFC"/>
    <w:rsid w:val="00921E63"/>
    <w:rsid w:val="00923396"/>
    <w:rsid w:val="00923534"/>
    <w:rsid w:val="00923607"/>
    <w:rsid w:val="00923F56"/>
    <w:rsid w:val="00925346"/>
    <w:rsid w:val="00925743"/>
    <w:rsid w:val="0092579F"/>
    <w:rsid w:val="00927E8D"/>
    <w:rsid w:val="00927F23"/>
    <w:rsid w:val="009306F5"/>
    <w:rsid w:val="009307CD"/>
    <w:rsid w:val="0093120B"/>
    <w:rsid w:val="00931365"/>
    <w:rsid w:val="00931451"/>
    <w:rsid w:val="009314FA"/>
    <w:rsid w:val="0093194F"/>
    <w:rsid w:val="00931BF3"/>
    <w:rsid w:val="00931C55"/>
    <w:rsid w:val="00933333"/>
    <w:rsid w:val="0093349A"/>
    <w:rsid w:val="009338BA"/>
    <w:rsid w:val="00933B54"/>
    <w:rsid w:val="00933FCB"/>
    <w:rsid w:val="009342B6"/>
    <w:rsid w:val="00934537"/>
    <w:rsid w:val="00934865"/>
    <w:rsid w:val="00934CEC"/>
    <w:rsid w:val="00934E69"/>
    <w:rsid w:val="00935504"/>
    <w:rsid w:val="00935E70"/>
    <w:rsid w:val="0093609A"/>
    <w:rsid w:val="0093644A"/>
    <w:rsid w:val="00936C41"/>
    <w:rsid w:val="00937401"/>
    <w:rsid w:val="009375AD"/>
    <w:rsid w:val="009376FB"/>
    <w:rsid w:val="00937D6B"/>
    <w:rsid w:val="00937F58"/>
    <w:rsid w:val="00940477"/>
    <w:rsid w:val="0094070C"/>
    <w:rsid w:val="00940876"/>
    <w:rsid w:val="00940A53"/>
    <w:rsid w:val="00940F3C"/>
    <w:rsid w:val="009410E0"/>
    <w:rsid w:val="009413C0"/>
    <w:rsid w:val="009415BB"/>
    <w:rsid w:val="00941FA9"/>
    <w:rsid w:val="00944489"/>
    <w:rsid w:val="009444B4"/>
    <w:rsid w:val="00944644"/>
    <w:rsid w:val="00944C27"/>
    <w:rsid w:val="00946603"/>
    <w:rsid w:val="00946A24"/>
    <w:rsid w:val="00946AA7"/>
    <w:rsid w:val="009470D4"/>
    <w:rsid w:val="00947337"/>
    <w:rsid w:val="009476D7"/>
    <w:rsid w:val="00947E6E"/>
    <w:rsid w:val="00950ABC"/>
    <w:rsid w:val="009512FA"/>
    <w:rsid w:val="009516A9"/>
    <w:rsid w:val="00951E57"/>
    <w:rsid w:val="00952505"/>
    <w:rsid w:val="00953018"/>
    <w:rsid w:val="009533E2"/>
    <w:rsid w:val="00953554"/>
    <w:rsid w:val="0095385A"/>
    <w:rsid w:val="00953F49"/>
    <w:rsid w:val="00955021"/>
    <w:rsid w:val="009564AC"/>
    <w:rsid w:val="0095780A"/>
    <w:rsid w:val="009578C3"/>
    <w:rsid w:val="009579E4"/>
    <w:rsid w:val="00957AA4"/>
    <w:rsid w:val="00957ACB"/>
    <w:rsid w:val="00957CC5"/>
    <w:rsid w:val="00957F27"/>
    <w:rsid w:val="00960156"/>
    <w:rsid w:val="00960198"/>
    <w:rsid w:val="00960BDB"/>
    <w:rsid w:val="00960D2E"/>
    <w:rsid w:val="0096105C"/>
    <w:rsid w:val="0096147D"/>
    <w:rsid w:val="00961A54"/>
    <w:rsid w:val="00961D53"/>
    <w:rsid w:val="00961E5F"/>
    <w:rsid w:val="009625C6"/>
    <w:rsid w:val="009627F8"/>
    <w:rsid w:val="009629B5"/>
    <w:rsid w:val="00962A50"/>
    <w:rsid w:val="0096331E"/>
    <w:rsid w:val="0096409A"/>
    <w:rsid w:val="00964138"/>
    <w:rsid w:val="009641E9"/>
    <w:rsid w:val="0096470D"/>
    <w:rsid w:val="009648D6"/>
    <w:rsid w:val="00964B3F"/>
    <w:rsid w:val="00964C98"/>
    <w:rsid w:val="009654C6"/>
    <w:rsid w:val="00965DAF"/>
    <w:rsid w:val="00965DF2"/>
    <w:rsid w:val="009661D7"/>
    <w:rsid w:val="0097072C"/>
    <w:rsid w:val="009710E5"/>
    <w:rsid w:val="00971441"/>
    <w:rsid w:val="009715D4"/>
    <w:rsid w:val="0097179A"/>
    <w:rsid w:val="009732A4"/>
    <w:rsid w:val="009739A8"/>
    <w:rsid w:val="00973C05"/>
    <w:rsid w:val="0097494E"/>
    <w:rsid w:val="00974999"/>
    <w:rsid w:val="00974B58"/>
    <w:rsid w:val="00975445"/>
    <w:rsid w:val="009761ED"/>
    <w:rsid w:val="0097769A"/>
    <w:rsid w:val="00977B94"/>
    <w:rsid w:val="00980206"/>
    <w:rsid w:val="0098022F"/>
    <w:rsid w:val="00980E44"/>
    <w:rsid w:val="00980EAB"/>
    <w:rsid w:val="009810DE"/>
    <w:rsid w:val="00981B91"/>
    <w:rsid w:val="00981DFC"/>
    <w:rsid w:val="009822D7"/>
    <w:rsid w:val="009827E6"/>
    <w:rsid w:val="00982F84"/>
    <w:rsid w:val="00983661"/>
    <w:rsid w:val="0098427D"/>
    <w:rsid w:val="00984567"/>
    <w:rsid w:val="00984B16"/>
    <w:rsid w:val="00985102"/>
    <w:rsid w:val="009854BC"/>
    <w:rsid w:val="00985CE1"/>
    <w:rsid w:val="00985D73"/>
    <w:rsid w:val="00985DF5"/>
    <w:rsid w:val="00985E57"/>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349E"/>
    <w:rsid w:val="00993B78"/>
    <w:rsid w:val="00993DBE"/>
    <w:rsid w:val="00994022"/>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0F66"/>
    <w:rsid w:val="009A1351"/>
    <w:rsid w:val="009A20F2"/>
    <w:rsid w:val="009A2435"/>
    <w:rsid w:val="009A254A"/>
    <w:rsid w:val="009A35DC"/>
    <w:rsid w:val="009A38AB"/>
    <w:rsid w:val="009A39DD"/>
    <w:rsid w:val="009A3D47"/>
    <w:rsid w:val="009A40FB"/>
    <w:rsid w:val="009A4D63"/>
    <w:rsid w:val="009A5356"/>
    <w:rsid w:val="009A5468"/>
    <w:rsid w:val="009A5D99"/>
    <w:rsid w:val="009A608C"/>
    <w:rsid w:val="009A6F49"/>
    <w:rsid w:val="009A6FDF"/>
    <w:rsid w:val="009A715F"/>
    <w:rsid w:val="009A76D6"/>
    <w:rsid w:val="009B011D"/>
    <w:rsid w:val="009B073C"/>
    <w:rsid w:val="009B0B78"/>
    <w:rsid w:val="009B2374"/>
    <w:rsid w:val="009B2466"/>
    <w:rsid w:val="009B2A8C"/>
    <w:rsid w:val="009B2E29"/>
    <w:rsid w:val="009B3163"/>
    <w:rsid w:val="009B422F"/>
    <w:rsid w:val="009B46BC"/>
    <w:rsid w:val="009B484A"/>
    <w:rsid w:val="009B4D1A"/>
    <w:rsid w:val="009B4D85"/>
    <w:rsid w:val="009B502F"/>
    <w:rsid w:val="009B558B"/>
    <w:rsid w:val="009B55F9"/>
    <w:rsid w:val="009B5F29"/>
    <w:rsid w:val="009B6A34"/>
    <w:rsid w:val="009B6D21"/>
    <w:rsid w:val="009B6DCD"/>
    <w:rsid w:val="009B707D"/>
    <w:rsid w:val="009B78ED"/>
    <w:rsid w:val="009C17D3"/>
    <w:rsid w:val="009C181C"/>
    <w:rsid w:val="009C1A44"/>
    <w:rsid w:val="009C1C7F"/>
    <w:rsid w:val="009C1EC7"/>
    <w:rsid w:val="009C28A2"/>
    <w:rsid w:val="009C2C1F"/>
    <w:rsid w:val="009C2CC3"/>
    <w:rsid w:val="009C3239"/>
    <w:rsid w:val="009C37CE"/>
    <w:rsid w:val="009C3828"/>
    <w:rsid w:val="009C3AD3"/>
    <w:rsid w:val="009C3AF4"/>
    <w:rsid w:val="009C3D2C"/>
    <w:rsid w:val="009C3EE3"/>
    <w:rsid w:val="009C4987"/>
    <w:rsid w:val="009C4FDE"/>
    <w:rsid w:val="009C523F"/>
    <w:rsid w:val="009C59BF"/>
    <w:rsid w:val="009C5E4F"/>
    <w:rsid w:val="009C5F64"/>
    <w:rsid w:val="009C5F82"/>
    <w:rsid w:val="009C60EA"/>
    <w:rsid w:val="009C6BFC"/>
    <w:rsid w:val="009C70F8"/>
    <w:rsid w:val="009C72FA"/>
    <w:rsid w:val="009C74DF"/>
    <w:rsid w:val="009C75FC"/>
    <w:rsid w:val="009C78A3"/>
    <w:rsid w:val="009C7E68"/>
    <w:rsid w:val="009D00D7"/>
    <w:rsid w:val="009D0156"/>
    <w:rsid w:val="009D05DA"/>
    <w:rsid w:val="009D07AE"/>
    <w:rsid w:val="009D11F6"/>
    <w:rsid w:val="009D1780"/>
    <w:rsid w:val="009D1A14"/>
    <w:rsid w:val="009D1D53"/>
    <w:rsid w:val="009D1E2A"/>
    <w:rsid w:val="009D1F8D"/>
    <w:rsid w:val="009D1FA0"/>
    <w:rsid w:val="009D265C"/>
    <w:rsid w:val="009D2B31"/>
    <w:rsid w:val="009D2BDF"/>
    <w:rsid w:val="009D3736"/>
    <w:rsid w:val="009D3C84"/>
    <w:rsid w:val="009D4529"/>
    <w:rsid w:val="009D604F"/>
    <w:rsid w:val="009D61BB"/>
    <w:rsid w:val="009D6410"/>
    <w:rsid w:val="009D68BB"/>
    <w:rsid w:val="009D6CF5"/>
    <w:rsid w:val="009D6F72"/>
    <w:rsid w:val="009D70C2"/>
    <w:rsid w:val="009D7ADB"/>
    <w:rsid w:val="009D7B33"/>
    <w:rsid w:val="009E02D9"/>
    <w:rsid w:val="009E06C3"/>
    <w:rsid w:val="009E0703"/>
    <w:rsid w:val="009E1035"/>
    <w:rsid w:val="009E16DA"/>
    <w:rsid w:val="009E1CD4"/>
    <w:rsid w:val="009E1EE4"/>
    <w:rsid w:val="009E2084"/>
    <w:rsid w:val="009E2391"/>
    <w:rsid w:val="009E2771"/>
    <w:rsid w:val="009E2EF9"/>
    <w:rsid w:val="009E34A5"/>
    <w:rsid w:val="009E4648"/>
    <w:rsid w:val="009E476A"/>
    <w:rsid w:val="009E4E05"/>
    <w:rsid w:val="009E56FF"/>
    <w:rsid w:val="009E5A77"/>
    <w:rsid w:val="009E5CB1"/>
    <w:rsid w:val="009E5E56"/>
    <w:rsid w:val="009E61EA"/>
    <w:rsid w:val="009E6343"/>
    <w:rsid w:val="009E68BC"/>
    <w:rsid w:val="009E6990"/>
    <w:rsid w:val="009E6B66"/>
    <w:rsid w:val="009E6FEE"/>
    <w:rsid w:val="009F00B9"/>
    <w:rsid w:val="009F060F"/>
    <w:rsid w:val="009F0781"/>
    <w:rsid w:val="009F0850"/>
    <w:rsid w:val="009F1BDF"/>
    <w:rsid w:val="009F1EAE"/>
    <w:rsid w:val="009F292B"/>
    <w:rsid w:val="009F369D"/>
    <w:rsid w:val="009F36FE"/>
    <w:rsid w:val="009F3924"/>
    <w:rsid w:val="009F452A"/>
    <w:rsid w:val="009F4990"/>
    <w:rsid w:val="009F4F25"/>
    <w:rsid w:val="009F59C2"/>
    <w:rsid w:val="009F5A5A"/>
    <w:rsid w:val="009F7235"/>
    <w:rsid w:val="009F7263"/>
    <w:rsid w:val="009F76EA"/>
    <w:rsid w:val="009F78EB"/>
    <w:rsid w:val="009F7F32"/>
    <w:rsid w:val="009F7FEB"/>
    <w:rsid w:val="00A003D5"/>
    <w:rsid w:val="00A005CD"/>
    <w:rsid w:val="00A0156A"/>
    <w:rsid w:val="00A01852"/>
    <w:rsid w:val="00A0188B"/>
    <w:rsid w:val="00A01D27"/>
    <w:rsid w:val="00A01E73"/>
    <w:rsid w:val="00A02137"/>
    <w:rsid w:val="00A023E7"/>
    <w:rsid w:val="00A02B88"/>
    <w:rsid w:val="00A03160"/>
    <w:rsid w:val="00A036AC"/>
    <w:rsid w:val="00A0374B"/>
    <w:rsid w:val="00A03C54"/>
    <w:rsid w:val="00A03DE5"/>
    <w:rsid w:val="00A041BC"/>
    <w:rsid w:val="00A0447F"/>
    <w:rsid w:val="00A046D2"/>
    <w:rsid w:val="00A04A54"/>
    <w:rsid w:val="00A05B4B"/>
    <w:rsid w:val="00A05D44"/>
    <w:rsid w:val="00A05E75"/>
    <w:rsid w:val="00A06267"/>
    <w:rsid w:val="00A06428"/>
    <w:rsid w:val="00A066C3"/>
    <w:rsid w:val="00A06754"/>
    <w:rsid w:val="00A069E0"/>
    <w:rsid w:val="00A06E4A"/>
    <w:rsid w:val="00A06EE8"/>
    <w:rsid w:val="00A070E9"/>
    <w:rsid w:val="00A078FB"/>
    <w:rsid w:val="00A102BF"/>
    <w:rsid w:val="00A1036D"/>
    <w:rsid w:val="00A1069F"/>
    <w:rsid w:val="00A107F8"/>
    <w:rsid w:val="00A10AAD"/>
    <w:rsid w:val="00A10ACA"/>
    <w:rsid w:val="00A10D08"/>
    <w:rsid w:val="00A11215"/>
    <w:rsid w:val="00A11E78"/>
    <w:rsid w:val="00A12355"/>
    <w:rsid w:val="00A127D2"/>
    <w:rsid w:val="00A12C0C"/>
    <w:rsid w:val="00A13CF5"/>
    <w:rsid w:val="00A143EC"/>
    <w:rsid w:val="00A149E8"/>
    <w:rsid w:val="00A149F3"/>
    <w:rsid w:val="00A1500F"/>
    <w:rsid w:val="00A15621"/>
    <w:rsid w:val="00A15670"/>
    <w:rsid w:val="00A157A0"/>
    <w:rsid w:val="00A1585B"/>
    <w:rsid w:val="00A15AA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4560"/>
    <w:rsid w:val="00A25B0F"/>
    <w:rsid w:val="00A25BBB"/>
    <w:rsid w:val="00A270CE"/>
    <w:rsid w:val="00A27207"/>
    <w:rsid w:val="00A27FB6"/>
    <w:rsid w:val="00A30121"/>
    <w:rsid w:val="00A30368"/>
    <w:rsid w:val="00A3043A"/>
    <w:rsid w:val="00A30E02"/>
    <w:rsid w:val="00A30F6A"/>
    <w:rsid w:val="00A31C3E"/>
    <w:rsid w:val="00A31E2B"/>
    <w:rsid w:val="00A32D39"/>
    <w:rsid w:val="00A33662"/>
    <w:rsid w:val="00A3391E"/>
    <w:rsid w:val="00A34538"/>
    <w:rsid w:val="00A34677"/>
    <w:rsid w:val="00A3535E"/>
    <w:rsid w:val="00A3540F"/>
    <w:rsid w:val="00A35630"/>
    <w:rsid w:val="00A35914"/>
    <w:rsid w:val="00A35A0D"/>
    <w:rsid w:val="00A36189"/>
    <w:rsid w:val="00A37551"/>
    <w:rsid w:val="00A37A2D"/>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8E6"/>
    <w:rsid w:val="00A45EC5"/>
    <w:rsid w:val="00A45F9B"/>
    <w:rsid w:val="00A46574"/>
    <w:rsid w:val="00A46C68"/>
    <w:rsid w:val="00A475BC"/>
    <w:rsid w:val="00A4771A"/>
    <w:rsid w:val="00A500B1"/>
    <w:rsid w:val="00A52A53"/>
    <w:rsid w:val="00A52EE5"/>
    <w:rsid w:val="00A53037"/>
    <w:rsid w:val="00A532B9"/>
    <w:rsid w:val="00A5351D"/>
    <w:rsid w:val="00A53E79"/>
    <w:rsid w:val="00A54031"/>
    <w:rsid w:val="00A5426D"/>
    <w:rsid w:val="00A5463D"/>
    <w:rsid w:val="00A5471D"/>
    <w:rsid w:val="00A548FA"/>
    <w:rsid w:val="00A54FC2"/>
    <w:rsid w:val="00A55122"/>
    <w:rsid w:val="00A55CEA"/>
    <w:rsid w:val="00A56A62"/>
    <w:rsid w:val="00A56BBF"/>
    <w:rsid w:val="00A56DE7"/>
    <w:rsid w:val="00A579F1"/>
    <w:rsid w:val="00A57DDD"/>
    <w:rsid w:val="00A57EB2"/>
    <w:rsid w:val="00A6009E"/>
    <w:rsid w:val="00A60265"/>
    <w:rsid w:val="00A60B1F"/>
    <w:rsid w:val="00A60B4A"/>
    <w:rsid w:val="00A610C3"/>
    <w:rsid w:val="00A613E5"/>
    <w:rsid w:val="00A6160B"/>
    <w:rsid w:val="00A6195E"/>
    <w:rsid w:val="00A61993"/>
    <w:rsid w:val="00A61C60"/>
    <w:rsid w:val="00A62589"/>
    <w:rsid w:val="00A62AD0"/>
    <w:rsid w:val="00A62C3A"/>
    <w:rsid w:val="00A6319C"/>
    <w:rsid w:val="00A63812"/>
    <w:rsid w:val="00A63DF7"/>
    <w:rsid w:val="00A6454D"/>
    <w:rsid w:val="00A64F18"/>
    <w:rsid w:val="00A64F2F"/>
    <w:rsid w:val="00A65505"/>
    <w:rsid w:val="00A65AA4"/>
    <w:rsid w:val="00A65C5E"/>
    <w:rsid w:val="00A6611E"/>
    <w:rsid w:val="00A6634D"/>
    <w:rsid w:val="00A668BA"/>
    <w:rsid w:val="00A66FA7"/>
    <w:rsid w:val="00A67E16"/>
    <w:rsid w:val="00A67E2C"/>
    <w:rsid w:val="00A67EB1"/>
    <w:rsid w:val="00A703CC"/>
    <w:rsid w:val="00A7074F"/>
    <w:rsid w:val="00A70C5C"/>
    <w:rsid w:val="00A710A2"/>
    <w:rsid w:val="00A71859"/>
    <w:rsid w:val="00A719D1"/>
    <w:rsid w:val="00A71EA7"/>
    <w:rsid w:val="00A730AD"/>
    <w:rsid w:val="00A73855"/>
    <w:rsid w:val="00A73D64"/>
    <w:rsid w:val="00A74216"/>
    <w:rsid w:val="00A7434D"/>
    <w:rsid w:val="00A744B4"/>
    <w:rsid w:val="00A751E3"/>
    <w:rsid w:val="00A75504"/>
    <w:rsid w:val="00A75FD7"/>
    <w:rsid w:val="00A7685B"/>
    <w:rsid w:val="00A769F6"/>
    <w:rsid w:val="00A76EA6"/>
    <w:rsid w:val="00A77168"/>
    <w:rsid w:val="00A7723B"/>
    <w:rsid w:val="00A7793C"/>
    <w:rsid w:val="00A77D21"/>
    <w:rsid w:val="00A77E3B"/>
    <w:rsid w:val="00A77FDE"/>
    <w:rsid w:val="00A80085"/>
    <w:rsid w:val="00A803AC"/>
    <w:rsid w:val="00A8043B"/>
    <w:rsid w:val="00A80DA0"/>
    <w:rsid w:val="00A81323"/>
    <w:rsid w:val="00A820CB"/>
    <w:rsid w:val="00A82342"/>
    <w:rsid w:val="00A83BEF"/>
    <w:rsid w:val="00A84443"/>
    <w:rsid w:val="00A8487F"/>
    <w:rsid w:val="00A849A3"/>
    <w:rsid w:val="00A84A0E"/>
    <w:rsid w:val="00A85290"/>
    <w:rsid w:val="00A861C8"/>
    <w:rsid w:val="00A863CA"/>
    <w:rsid w:val="00A86817"/>
    <w:rsid w:val="00A86E0B"/>
    <w:rsid w:val="00A874BB"/>
    <w:rsid w:val="00A87CE5"/>
    <w:rsid w:val="00A90C54"/>
    <w:rsid w:val="00A90F12"/>
    <w:rsid w:val="00A91DAA"/>
    <w:rsid w:val="00A927DA"/>
    <w:rsid w:val="00A93101"/>
    <w:rsid w:val="00A93A76"/>
    <w:rsid w:val="00A9413E"/>
    <w:rsid w:val="00A94281"/>
    <w:rsid w:val="00A94293"/>
    <w:rsid w:val="00A9496E"/>
    <w:rsid w:val="00A949F0"/>
    <w:rsid w:val="00A94BDE"/>
    <w:rsid w:val="00A94FCA"/>
    <w:rsid w:val="00A95E4C"/>
    <w:rsid w:val="00A9647B"/>
    <w:rsid w:val="00A964C9"/>
    <w:rsid w:val="00A96568"/>
    <w:rsid w:val="00A96C60"/>
    <w:rsid w:val="00A970FA"/>
    <w:rsid w:val="00A97367"/>
    <w:rsid w:val="00A9740B"/>
    <w:rsid w:val="00A9758E"/>
    <w:rsid w:val="00A9766C"/>
    <w:rsid w:val="00A976D3"/>
    <w:rsid w:val="00A977F8"/>
    <w:rsid w:val="00A979DB"/>
    <w:rsid w:val="00A97C93"/>
    <w:rsid w:val="00A97E85"/>
    <w:rsid w:val="00AA08E7"/>
    <w:rsid w:val="00AA0A06"/>
    <w:rsid w:val="00AA1351"/>
    <w:rsid w:val="00AA184C"/>
    <w:rsid w:val="00AA1C84"/>
    <w:rsid w:val="00AA1E7E"/>
    <w:rsid w:val="00AA20FA"/>
    <w:rsid w:val="00AA3230"/>
    <w:rsid w:val="00AA3D7B"/>
    <w:rsid w:val="00AA42A0"/>
    <w:rsid w:val="00AA442B"/>
    <w:rsid w:val="00AA4629"/>
    <w:rsid w:val="00AA46A4"/>
    <w:rsid w:val="00AA568B"/>
    <w:rsid w:val="00AA5779"/>
    <w:rsid w:val="00AA58A1"/>
    <w:rsid w:val="00AA59B5"/>
    <w:rsid w:val="00AA5A8C"/>
    <w:rsid w:val="00AA61C7"/>
    <w:rsid w:val="00AA669D"/>
    <w:rsid w:val="00AA66ED"/>
    <w:rsid w:val="00AA6B59"/>
    <w:rsid w:val="00AA6BE1"/>
    <w:rsid w:val="00AA7416"/>
    <w:rsid w:val="00AA7A60"/>
    <w:rsid w:val="00AA7B42"/>
    <w:rsid w:val="00AB041C"/>
    <w:rsid w:val="00AB0538"/>
    <w:rsid w:val="00AB1340"/>
    <w:rsid w:val="00AB14E8"/>
    <w:rsid w:val="00AB1B1D"/>
    <w:rsid w:val="00AB2000"/>
    <w:rsid w:val="00AB2216"/>
    <w:rsid w:val="00AB3202"/>
    <w:rsid w:val="00AB358D"/>
    <w:rsid w:val="00AB37A1"/>
    <w:rsid w:val="00AB3BAD"/>
    <w:rsid w:val="00AB3CFD"/>
    <w:rsid w:val="00AB4244"/>
    <w:rsid w:val="00AB49BC"/>
    <w:rsid w:val="00AB4C02"/>
    <w:rsid w:val="00AB4DEE"/>
    <w:rsid w:val="00AB4E32"/>
    <w:rsid w:val="00AB5999"/>
    <w:rsid w:val="00AB5C19"/>
    <w:rsid w:val="00AB67A0"/>
    <w:rsid w:val="00AB724B"/>
    <w:rsid w:val="00AB726C"/>
    <w:rsid w:val="00AB72B4"/>
    <w:rsid w:val="00AC02AA"/>
    <w:rsid w:val="00AC0537"/>
    <w:rsid w:val="00AC07E3"/>
    <w:rsid w:val="00AC0A84"/>
    <w:rsid w:val="00AC1508"/>
    <w:rsid w:val="00AC15E4"/>
    <w:rsid w:val="00AC1957"/>
    <w:rsid w:val="00AC24CE"/>
    <w:rsid w:val="00AC2A0B"/>
    <w:rsid w:val="00AC2BEE"/>
    <w:rsid w:val="00AC2E53"/>
    <w:rsid w:val="00AC35E4"/>
    <w:rsid w:val="00AC39C5"/>
    <w:rsid w:val="00AC484F"/>
    <w:rsid w:val="00AC4B20"/>
    <w:rsid w:val="00AC56F2"/>
    <w:rsid w:val="00AC71C3"/>
    <w:rsid w:val="00AC7212"/>
    <w:rsid w:val="00AC7862"/>
    <w:rsid w:val="00AC7B88"/>
    <w:rsid w:val="00AD0547"/>
    <w:rsid w:val="00AD09F7"/>
    <w:rsid w:val="00AD11E3"/>
    <w:rsid w:val="00AD1EFA"/>
    <w:rsid w:val="00AD2072"/>
    <w:rsid w:val="00AD2DBD"/>
    <w:rsid w:val="00AD2FBF"/>
    <w:rsid w:val="00AD314B"/>
    <w:rsid w:val="00AD340E"/>
    <w:rsid w:val="00AD3A38"/>
    <w:rsid w:val="00AD3E34"/>
    <w:rsid w:val="00AD455D"/>
    <w:rsid w:val="00AD463C"/>
    <w:rsid w:val="00AD4F60"/>
    <w:rsid w:val="00AD5044"/>
    <w:rsid w:val="00AD5114"/>
    <w:rsid w:val="00AD55D5"/>
    <w:rsid w:val="00AD6236"/>
    <w:rsid w:val="00AD69D5"/>
    <w:rsid w:val="00AD6B97"/>
    <w:rsid w:val="00AD6FD3"/>
    <w:rsid w:val="00AD7619"/>
    <w:rsid w:val="00AD7770"/>
    <w:rsid w:val="00AE1356"/>
    <w:rsid w:val="00AE1772"/>
    <w:rsid w:val="00AE1990"/>
    <w:rsid w:val="00AE1D23"/>
    <w:rsid w:val="00AE20E5"/>
    <w:rsid w:val="00AE21E3"/>
    <w:rsid w:val="00AE24E4"/>
    <w:rsid w:val="00AE25C0"/>
    <w:rsid w:val="00AE25E8"/>
    <w:rsid w:val="00AE2AD4"/>
    <w:rsid w:val="00AE2CA7"/>
    <w:rsid w:val="00AE2D1B"/>
    <w:rsid w:val="00AE2F1D"/>
    <w:rsid w:val="00AE36C5"/>
    <w:rsid w:val="00AE487E"/>
    <w:rsid w:val="00AE48DF"/>
    <w:rsid w:val="00AE4C4D"/>
    <w:rsid w:val="00AE4C81"/>
    <w:rsid w:val="00AE586F"/>
    <w:rsid w:val="00AE6582"/>
    <w:rsid w:val="00AE6A6B"/>
    <w:rsid w:val="00AE6DC5"/>
    <w:rsid w:val="00AE7686"/>
    <w:rsid w:val="00AE78BE"/>
    <w:rsid w:val="00AE799A"/>
    <w:rsid w:val="00AF041E"/>
    <w:rsid w:val="00AF0E81"/>
    <w:rsid w:val="00AF117A"/>
    <w:rsid w:val="00AF16CA"/>
    <w:rsid w:val="00AF186E"/>
    <w:rsid w:val="00AF19DF"/>
    <w:rsid w:val="00AF1D41"/>
    <w:rsid w:val="00AF26CF"/>
    <w:rsid w:val="00AF344D"/>
    <w:rsid w:val="00AF3806"/>
    <w:rsid w:val="00AF39B3"/>
    <w:rsid w:val="00AF3C61"/>
    <w:rsid w:val="00AF3E1D"/>
    <w:rsid w:val="00AF4402"/>
    <w:rsid w:val="00AF450F"/>
    <w:rsid w:val="00AF4639"/>
    <w:rsid w:val="00AF4E92"/>
    <w:rsid w:val="00AF554B"/>
    <w:rsid w:val="00AF5C9B"/>
    <w:rsid w:val="00AF5CED"/>
    <w:rsid w:val="00AF5D53"/>
    <w:rsid w:val="00AF5E2D"/>
    <w:rsid w:val="00AF644B"/>
    <w:rsid w:val="00AF69EB"/>
    <w:rsid w:val="00AF6C51"/>
    <w:rsid w:val="00AF6CA6"/>
    <w:rsid w:val="00AF6EB6"/>
    <w:rsid w:val="00AF7488"/>
    <w:rsid w:val="00AF7796"/>
    <w:rsid w:val="00AF7E9B"/>
    <w:rsid w:val="00B00199"/>
    <w:rsid w:val="00B00421"/>
    <w:rsid w:val="00B01078"/>
    <w:rsid w:val="00B011A7"/>
    <w:rsid w:val="00B011A9"/>
    <w:rsid w:val="00B01BAF"/>
    <w:rsid w:val="00B01C36"/>
    <w:rsid w:val="00B020EB"/>
    <w:rsid w:val="00B024ED"/>
    <w:rsid w:val="00B026B8"/>
    <w:rsid w:val="00B02EB3"/>
    <w:rsid w:val="00B02FCB"/>
    <w:rsid w:val="00B033F8"/>
    <w:rsid w:val="00B0395C"/>
    <w:rsid w:val="00B03C1E"/>
    <w:rsid w:val="00B04400"/>
    <w:rsid w:val="00B04835"/>
    <w:rsid w:val="00B04A88"/>
    <w:rsid w:val="00B0515B"/>
    <w:rsid w:val="00B05A55"/>
    <w:rsid w:val="00B05DE1"/>
    <w:rsid w:val="00B06595"/>
    <w:rsid w:val="00B06798"/>
    <w:rsid w:val="00B0749C"/>
    <w:rsid w:val="00B10109"/>
    <w:rsid w:val="00B10720"/>
    <w:rsid w:val="00B10776"/>
    <w:rsid w:val="00B1085E"/>
    <w:rsid w:val="00B10FD1"/>
    <w:rsid w:val="00B119AE"/>
    <w:rsid w:val="00B1219D"/>
    <w:rsid w:val="00B12469"/>
    <w:rsid w:val="00B1271A"/>
    <w:rsid w:val="00B12735"/>
    <w:rsid w:val="00B12F44"/>
    <w:rsid w:val="00B13C48"/>
    <w:rsid w:val="00B13E35"/>
    <w:rsid w:val="00B13EC0"/>
    <w:rsid w:val="00B14102"/>
    <w:rsid w:val="00B144EA"/>
    <w:rsid w:val="00B14D32"/>
    <w:rsid w:val="00B1554C"/>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1093"/>
    <w:rsid w:val="00B21FD5"/>
    <w:rsid w:val="00B22E22"/>
    <w:rsid w:val="00B22F5F"/>
    <w:rsid w:val="00B231D9"/>
    <w:rsid w:val="00B23813"/>
    <w:rsid w:val="00B23EDB"/>
    <w:rsid w:val="00B23FD9"/>
    <w:rsid w:val="00B24591"/>
    <w:rsid w:val="00B245D5"/>
    <w:rsid w:val="00B245EF"/>
    <w:rsid w:val="00B24C36"/>
    <w:rsid w:val="00B24F94"/>
    <w:rsid w:val="00B25126"/>
    <w:rsid w:val="00B25A52"/>
    <w:rsid w:val="00B25FC3"/>
    <w:rsid w:val="00B26737"/>
    <w:rsid w:val="00B27875"/>
    <w:rsid w:val="00B27BB5"/>
    <w:rsid w:val="00B3008D"/>
    <w:rsid w:val="00B30A94"/>
    <w:rsid w:val="00B30E11"/>
    <w:rsid w:val="00B30EAE"/>
    <w:rsid w:val="00B30EEB"/>
    <w:rsid w:val="00B31423"/>
    <w:rsid w:val="00B319B1"/>
    <w:rsid w:val="00B321C1"/>
    <w:rsid w:val="00B323E0"/>
    <w:rsid w:val="00B32DC0"/>
    <w:rsid w:val="00B330FD"/>
    <w:rsid w:val="00B3346C"/>
    <w:rsid w:val="00B335E1"/>
    <w:rsid w:val="00B335E4"/>
    <w:rsid w:val="00B33920"/>
    <w:rsid w:val="00B33C23"/>
    <w:rsid w:val="00B34408"/>
    <w:rsid w:val="00B345B4"/>
    <w:rsid w:val="00B348B1"/>
    <w:rsid w:val="00B34A28"/>
    <w:rsid w:val="00B34B38"/>
    <w:rsid w:val="00B35046"/>
    <w:rsid w:val="00B355C6"/>
    <w:rsid w:val="00B35B6A"/>
    <w:rsid w:val="00B35BFD"/>
    <w:rsid w:val="00B35C51"/>
    <w:rsid w:val="00B35DAA"/>
    <w:rsid w:val="00B364FF"/>
    <w:rsid w:val="00B36D2B"/>
    <w:rsid w:val="00B37657"/>
    <w:rsid w:val="00B378BF"/>
    <w:rsid w:val="00B37AFD"/>
    <w:rsid w:val="00B37B07"/>
    <w:rsid w:val="00B4046F"/>
    <w:rsid w:val="00B406B3"/>
    <w:rsid w:val="00B40A36"/>
    <w:rsid w:val="00B40DCB"/>
    <w:rsid w:val="00B40F77"/>
    <w:rsid w:val="00B41A2A"/>
    <w:rsid w:val="00B41D39"/>
    <w:rsid w:val="00B41FD1"/>
    <w:rsid w:val="00B422C0"/>
    <w:rsid w:val="00B426CA"/>
    <w:rsid w:val="00B426E1"/>
    <w:rsid w:val="00B42973"/>
    <w:rsid w:val="00B42F6D"/>
    <w:rsid w:val="00B42F77"/>
    <w:rsid w:val="00B43449"/>
    <w:rsid w:val="00B4364A"/>
    <w:rsid w:val="00B4387A"/>
    <w:rsid w:val="00B43AFE"/>
    <w:rsid w:val="00B43DA1"/>
    <w:rsid w:val="00B43EAC"/>
    <w:rsid w:val="00B43F98"/>
    <w:rsid w:val="00B44281"/>
    <w:rsid w:val="00B44746"/>
    <w:rsid w:val="00B44854"/>
    <w:rsid w:val="00B44BA5"/>
    <w:rsid w:val="00B44FF6"/>
    <w:rsid w:val="00B458D0"/>
    <w:rsid w:val="00B4595C"/>
    <w:rsid w:val="00B4661B"/>
    <w:rsid w:val="00B46915"/>
    <w:rsid w:val="00B4792C"/>
    <w:rsid w:val="00B5054D"/>
    <w:rsid w:val="00B50CAE"/>
    <w:rsid w:val="00B50E01"/>
    <w:rsid w:val="00B512AD"/>
    <w:rsid w:val="00B5196C"/>
    <w:rsid w:val="00B525CB"/>
    <w:rsid w:val="00B52697"/>
    <w:rsid w:val="00B52AE8"/>
    <w:rsid w:val="00B52FA2"/>
    <w:rsid w:val="00B54D8F"/>
    <w:rsid w:val="00B55857"/>
    <w:rsid w:val="00B55C69"/>
    <w:rsid w:val="00B56851"/>
    <w:rsid w:val="00B569D4"/>
    <w:rsid w:val="00B56BA8"/>
    <w:rsid w:val="00B56D48"/>
    <w:rsid w:val="00B56D6E"/>
    <w:rsid w:val="00B572D9"/>
    <w:rsid w:val="00B572F7"/>
    <w:rsid w:val="00B57B9D"/>
    <w:rsid w:val="00B57DAF"/>
    <w:rsid w:val="00B60094"/>
    <w:rsid w:val="00B6022C"/>
    <w:rsid w:val="00B60C16"/>
    <w:rsid w:val="00B614F8"/>
    <w:rsid w:val="00B61994"/>
    <w:rsid w:val="00B61FD4"/>
    <w:rsid w:val="00B62655"/>
    <w:rsid w:val="00B62880"/>
    <w:rsid w:val="00B63872"/>
    <w:rsid w:val="00B63CB2"/>
    <w:rsid w:val="00B63D3B"/>
    <w:rsid w:val="00B64246"/>
    <w:rsid w:val="00B6429B"/>
    <w:rsid w:val="00B64EDB"/>
    <w:rsid w:val="00B65938"/>
    <w:rsid w:val="00B65C8A"/>
    <w:rsid w:val="00B65CE2"/>
    <w:rsid w:val="00B660AD"/>
    <w:rsid w:val="00B66109"/>
    <w:rsid w:val="00B66349"/>
    <w:rsid w:val="00B66CB4"/>
    <w:rsid w:val="00B66E42"/>
    <w:rsid w:val="00B67903"/>
    <w:rsid w:val="00B67FBF"/>
    <w:rsid w:val="00B70832"/>
    <w:rsid w:val="00B70C7C"/>
    <w:rsid w:val="00B71376"/>
    <w:rsid w:val="00B71617"/>
    <w:rsid w:val="00B716D7"/>
    <w:rsid w:val="00B72110"/>
    <w:rsid w:val="00B72B91"/>
    <w:rsid w:val="00B72D2E"/>
    <w:rsid w:val="00B73019"/>
    <w:rsid w:val="00B7315F"/>
    <w:rsid w:val="00B7323A"/>
    <w:rsid w:val="00B7353B"/>
    <w:rsid w:val="00B737FB"/>
    <w:rsid w:val="00B73E5D"/>
    <w:rsid w:val="00B73EF3"/>
    <w:rsid w:val="00B7423D"/>
    <w:rsid w:val="00B74D05"/>
    <w:rsid w:val="00B75893"/>
    <w:rsid w:val="00B75972"/>
    <w:rsid w:val="00B766DC"/>
    <w:rsid w:val="00B76F9D"/>
    <w:rsid w:val="00B777FA"/>
    <w:rsid w:val="00B77850"/>
    <w:rsid w:val="00B7796B"/>
    <w:rsid w:val="00B80C72"/>
    <w:rsid w:val="00B81964"/>
    <w:rsid w:val="00B81E6F"/>
    <w:rsid w:val="00B82123"/>
    <w:rsid w:val="00B8225B"/>
    <w:rsid w:val="00B825BB"/>
    <w:rsid w:val="00B82BB5"/>
    <w:rsid w:val="00B83182"/>
    <w:rsid w:val="00B8385B"/>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A49"/>
    <w:rsid w:val="00B90A73"/>
    <w:rsid w:val="00B90ABE"/>
    <w:rsid w:val="00B91162"/>
    <w:rsid w:val="00B91B8E"/>
    <w:rsid w:val="00B91EE1"/>
    <w:rsid w:val="00B92531"/>
    <w:rsid w:val="00B925CF"/>
    <w:rsid w:val="00B92618"/>
    <w:rsid w:val="00B92751"/>
    <w:rsid w:val="00B92B69"/>
    <w:rsid w:val="00B92CC6"/>
    <w:rsid w:val="00B92E63"/>
    <w:rsid w:val="00B935C9"/>
    <w:rsid w:val="00B93A1A"/>
    <w:rsid w:val="00B93E3D"/>
    <w:rsid w:val="00B947BB"/>
    <w:rsid w:val="00B94BD9"/>
    <w:rsid w:val="00B95464"/>
    <w:rsid w:val="00B958A1"/>
    <w:rsid w:val="00B95C30"/>
    <w:rsid w:val="00B95D2F"/>
    <w:rsid w:val="00B95E3D"/>
    <w:rsid w:val="00B964EB"/>
    <w:rsid w:val="00B9691F"/>
    <w:rsid w:val="00B96EEC"/>
    <w:rsid w:val="00B97392"/>
    <w:rsid w:val="00B976C7"/>
    <w:rsid w:val="00BA01DF"/>
    <w:rsid w:val="00BA0A1D"/>
    <w:rsid w:val="00BA0B40"/>
    <w:rsid w:val="00BA0C54"/>
    <w:rsid w:val="00BA1382"/>
    <w:rsid w:val="00BA15E3"/>
    <w:rsid w:val="00BA1A8C"/>
    <w:rsid w:val="00BA20D8"/>
    <w:rsid w:val="00BA22FC"/>
    <w:rsid w:val="00BA2C2A"/>
    <w:rsid w:val="00BA2F30"/>
    <w:rsid w:val="00BA31B1"/>
    <w:rsid w:val="00BA3982"/>
    <w:rsid w:val="00BA3F29"/>
    <w:rsid w:val="00BA42AF"/>
    <w:rsid w:val="00BA43B8"/>
    <w:rsid w:val="00BA4771"/>
    <w:rsid w:val="00BA5027"/>
    <w:rsid w:val="00BA59F2"/>
    <w:rsid w:val="00BA6147"/>
    <w:rsid w:val="00BA665B"/>
    <w:rsid w:val="00BA686B"/>
    <w:rsid w:val="00BA6913"/>
    <w:rsid w:val="00BA6B3E"/>
    <w:rsid w:val="00BA6BF1"/>
    <w:rsid w:val="00BA6FE8"/>
    <w:rsid w:val="00BA732D"/>
    <w:rsid w:val="00BA7370"/>
    <w:rsid w:val="00BA778B"/>
    <w:rsid w:val="00BB04A0"/>
    <w:rsid w:val="00BB0888"/>
    <w:rsid w:val="00BB0DF1"/>
    <w:rsid w:val="00BB0E9B"/>
    <w:rsid w:val="00BB1251"/>
    <w:rsid w:val="00BB1F02"/>
    <w:rsid w:val="00BB2268"/>
    <w:rsid w:val="00BB244D"/>
    <w:rsid w:val="00BB2841"/>
    <w:rsid w:val="00BB2A74"/>
    <w:rsid w:val="00BB300F"/>
    <w:rsid w:val="00BB32C9"/>
    <w:rsid w:val="00BB35C5"/>
    <w:rsid w:val="00BB4293"/>
    <w:rsid w:val="00BB48C1"/>
    <w:rsid w:val="00BB4C8E"/>
    <w:rsid w:val="00BB57ED"/>
    <w:rsid w:val="00BB5DD6"/>
    <w:rsid w:val="00BB65C3"/>
    <w:rsid w:val="00BB662E"/>
    <w:rsid w:val="00BB6721"/>
    <w:rsid w:val="00BB67A9"/>
    <w:rsid w:val="00BB68DA"/>
    <w:rsid w:val="00BB6C01"/>
    <w:rsid w:val="00BB70D5"/>
    <w:rsid w:val="00BB748C"/>
    <w:rsid w:val="00BB7942"/>
    <w:rsid w:val="00BB7CD1"/>
    <w:rsid w:val="00BC088F"/>
    <w:rsid w:val="00BC0F33"/>
    <w:rsid w:val="00BC14A7"/>
    <w:rsid w:val="00BC17CC"/>
    <w:rsid w:val="00BC2898"/>
    <w:rsid w:val="00BC2928"/>
    <w:rsid w:val="00BC296E"/>
    <w:rsid w:val="00BC29BD"/>
    <w:rsid w:val="00BC2BB1"/>
    <w:rsid w:val="00BC2E8F"/>
    <w:rsid w:val="00BC34A3"/>
    <w:rsid w:val="00BC3FF9"/>
    <w:rsid w:val="00BC4112"/>
    <w:rsid w:val="00BC4834"/>
    <w:rsid w:val="00BC4A97"/>
    <w:rsid w:val="00BC4E15"/>
    <w:rsid w:val="00BC520E"/>
    <w:rsid w:val="00BC5A25"/>
    <w:rsid w:val="00BC5FDD"/>
    <w:rsid w:val="00BC68B4"/>
    <w:rsid w:val="00BC6C0E"/>
    <w:rsid w:val="00BD0140"/>
    <w:rsid w:val="00BD02CC"/>
    <w:rsid w:val="00BD0611"/>
    <w:rsid w:val="00BD088E"/>
    <w:rsid w:val="00BD0F18"/>
    <w:rsid w:val="00BD115F"/>
    <w:rsid w:val="00BD2063"/>
    <w:rsid w:val="00BD332F"/>
    <w:rsid w:val="00BD33D9"/>
    <w:rsid w:val="00BD38AE"/>
    <w:rsid w:val="00BD38C5"/>
    <w:rsid w:val="00BD3DEA"/>
    <w:rsid w:val="00BD3E97"/>
    <w:rsid w:val="00BD3EDB"/>
    <w:rsid w:val="00BD40E4"/>
    <w:rsid w:val="00BD48E5"/>
    <w:rsid w:val="00BD525B"/>
    <w:rsid w:val="00BD52FE"/>
    <w:rsid w:val="00BD57BF"/>
    <w:rsid w:val="00BD59CA"/>
    <w:rsid w:val="00BD62CF"/>
    <w:rsid w:val="00BD654F"/>
    <w:rsid w:val="00BD674B"/>
    <w:rsid w:val="00BD67B2"/>
    <w:rsid w:val="00BD68E2"/>
    <w:rsid w:val="00BD6B1B"/>
    <w:rsid w:val="00BD76E5"/>
    <w:rsid w:val="00BD78FE"/>
    <w:rsid w:val="00BD7C55"/>
    <w:rsid w:val="00BD7D10"/>
    <w:rsid w:val="00BD7E2E"/>
    <w:rsid w:val="00BE0149"/>
    <w:rsid w:val="00BE0767"/>
    <w:rsid w:val="00BE12D7"/>
    <w:rsid w:val="00BE1372"/>
    <w:rsid w:val="00BE1775"/>
    <w:rsid w:val="00BE18DA"/>
    <w:rsid w:val="00BE26C0"/>
    <w:rsid w:val="00BE3116"/>
    <w:rsid w:val="00BE3442"/>
    <w:rsid w:val="00BE37CD"/>
    <w:rsid w:val="00BE42D6"/>
    <w:rsid w:val="00BE47B2"/>
    <w:rsid w:val="00BE48C7"/>
    <w:rsid w:val="00BE4C4F"/>
    <w:rsid w:val="00BE4F66"/>
    <w:rsid w:val="00BE522D"/>
    <w:rsid w:val="00BE5238"/>
    <w:rsid w:val="00BE6074"/>
    <w:rsid w:val="00BE6860"/>
    <w:rsid w:val="00BE6938"/>
    <w:rsid w:val="00BE6EDD"/>
    <w:rsid w:val="00BE7257"/>
    <w:rsid w:val="00BE7302"/>
    <w:rsid w:val="00BF020D"/>
    <w:rsid w:val="00BF0609"/>
    <w:rsid w:val="00BF0E64"/>
    <w:rsid w:val="00BF0EE8"/>
    <w:rsid w:val="00BF131B"/>
    <w:rsid w:val="00BF1C07"/>
    <w:rsid w:val="00BF1DD2"/>
    <w:rsid w:val="00BF22BF"/>
    <w:rsid w:val="00BF23A3"/>
    <w:rsid w:val="00BF2A7E"/>
    <w:rsid w:val="00BF3331"/>
    <w:rsid w:val="00BF3521"/>
    <w:rsid w:val="00BF3A45"/>
    <w:rsid w:val="00BF436F"/>
    <w:rsid w:val="00BF4484"/>
    <w:rsid w:val="00BF519C"/>
    <w:rsid w:val="00BF5C05"/>
    <w:rsid w:val="00BF5CB4"/>
    <w:rsid w:val="00BF6FC6"/>
    <w:rsid w:val="00BF7562"/>
    <w:rsid w:val="00BF77A5"/>
    <w:rsid w:val="00BF7C52"/>
    <w:rsid w:val="00BF7D44"/>
    <w:rsid w:val="00BF7F99"/>
    <w:rsid w:val="00C005C5"/>
    <w:rsid w:val="00C00713"/>
    <w:rsid w:val="00C009A0"/>
    <w:rsid w:val="00C00FC7"/>
    <w:rsid w:val="00C01F74"/>
    <w:rsid w:val="00C02558"/>
    <w:rsid w:val="00C0285F"/>
    <w:rsid w:val="00C02A1D"/>
    <w:rsid w:val="00C02F35"/>
    <w:rsid w:val="00C0304B"/>
    <w:rsid w:val="00C03305"/>
    <w:rsid w:val="00C03515"/>
    <w:rsid w:val="00C03738"/>
    <w:rsid w:val="00C037A6"/>
    <w:rsid w:val="00C039F8"/>
    <w:rsid w:val="00C043F5"/>
    <w:rsid w:val="00C044E3"/>
    <w:rsid w:val="00C04549"/>
    <w:rsid w:val="00C04607"/>
    <w:rsid w:val="00C04BDB"/>
    <w:rsid w:val="00C052C6"/>
    <w:rsid w:val="00C05A61"/>
    <w:rsid w:val="00C05AD5"/>
    <w:rsid w:val="00C05FEE"/>
    <w:rsid w:val="00C06CCF"/>
    <w:rsid w:val="00C0794D"/>
    <w:rsid w:val="00C10B33"/>
    <w:rsid w:val="00C10E78"/>
    <w:rsid w:val="00C1159D"/>
    <w:rsid w:val="00C118E1"/>
    <w:rsid w:val="00C11E32"/>
    <w:rsid w:val="00C1233E"/>
    <w:rsid w:val="00C1233F"/>
    <w:rsid w:val="00C123F6"/>
    <w:rsid w:val="00C1272B"/>
    <w:rsid w:val="00C12FB3"/>
    <w:rsid w:val="00C138BC"/>
    <w:rsid w:val="00C13D85"/>
    <w:rsid w:val="00C14639"/>
    <w:rsid w:val="00C14E14"/>
    <w:rsid w:val="00C14E82"/>
    <w:rsid w:val="00C14FF6"/>
    <w:rsid w:val="00C151ED"/>
    <w:rsid w:val="00C15A85"/>
    <w:rsid w:val="00C1637C"/>
    <w:rsid w:val="00C1641B"/>
    <w:rsid w:val="00C165FC"/>
    <w:rsid w:val="00C176D5"/>
    <w:rsid w:val="00C17B49"/>
    <w:rsid w:val="00C17D24"/>
    <w:rsid w:val="00C2082C"/>
    <w:rsid w:val="00C20CC6"/>
    <w:rsid w:val="00C20E1E"/>
    <w:rsid w:val="00C20EB0"/>
    <w:rsid w:val="00C21004"/>
    <w:rsid w:val="00C21005"/>
    <w:rsid w:val="00C2136E"/>
    <w:rsid w:val="00C220B6"/>
    <w:rsid w:val="00C22D7C"/>
    <w:rsid w:val="00C22DDE"/>
    <w:rsid w:val="00C23028"/>
    <w:rsid w:val="00C2338B"/>
    <w:rsid w:val="00C233CE"/>
    <w:rsid w:val="00C237DD"/>
    <w:rsid w:val="00C238F4"/>
    <w:rsid w:val="00C23A99"/>
    <w:rsid w:val="00C23FBF"/>
    <w:rsid w:val="00C245EE"/>
    <w:rsid w:val="00C24AE1"/>
    <w:rsid w:val="00C24B8D"/>
    <w:rsid w:val="00C24BD7"/>
    <w:rsid w:val="00C24EF2"/>
    <w:rsid w:val="00C24FD5"/>
    <w:rsid w:val="00C25813"/>
    <w:rsid w:val="00C26BAB"/>
    <w:rsid w:val="00C26D76"/>
    <w:rsid w:val="00C27143"/>
    <w:rsid w:val="00C2719D"/>
    <w:rsid w:val="00C272CE"/>
    <w:rsid w:val="00C27490"/>
    <w:rsid w:val="00C27712"/>
    <w:rsid w:val="00C27D37"/>
    <w:rsid w:val="00C30038"/>
    <w:rsid w:val="00C30658"/>
    <w:rsid w:val="00C309E8"/>
    <w:rsid w:val="00C32017"/>
    <w:rsid w:val="00C32571"/>
    <w:rsid w:val="00C325CD"/>
    <w:rsid w:val="00C3322E"/>
    <w:rsid w:val="00C33548"/>
    <w:rsid w:val="00C337F5"/>
    <w:rsid w:val="00C33B90"/>
    <w:rsid w:val="00C34161"/>
    <w:rsid w:val="00C34A09"/>
    <w:rsid w:val="00C34B5F"/>
    <w:rsid w:val="00C358D4"/>
    <w:rsid w:val="00C36462"/>
    <w:rsid w:val="00C365C6"/>
    <w:rsid w:val="00C366F4"/>
    <w:rsid w:val="00C36785"/>
    <w:rsid w:val="00C3711C"/>
    <w:rsid w:val="00C37256"/>
    <w:rsid w:val="00C379A2"/>
    <w:rsid w:val="00C37A7B"/>
    <w:rsid w:val="00C37FAA"/>
    <w:rsid w:val="00C37FFE"/>
    <w:rsid w:val="00C40B50"/>
    <w:rsid w:val="00C419E3"/>
    <w:rsid w:val="00C419F4"/>
    <w:rsid w:val="00C41E6A"/>
    <w:rsid w:val="00C42247"/>
    <w:rsid w:val="00C439BE"/>
    <w:rsid w:val="00C44622"/>
    <w:rsid w:val="00C4494B"/>
    <w:rsid w:val="00C4539B"/>
    <w:rsid w:val="00C45466"/>
    <w:rsid w:val="00C455C1"/>
    <w:rsid w:val="00C4581D"/>
    <w:rsid w:val="00C4654F"/>
    <w:rsid w:val="00C47120"/>
    <w:rsid w:val="00C4719C"/>
    <w:rsid w:val="00C47472"/>
    <w:rsid w:val="00C500F0"/>
    <w:rsid w:val="00C504A7"/>
    <w:rsid w:val="00C506C9"/>
    <w:rsid w:val="00C50A16"/>
    <w:rsid w:val="00C50AFD"/>
    <w:rsid w:val="00C51C9A"/>
    <w:rsid w:val="00C52128"/>
    <w:rsid w:val="00C52C68"/>
    <w:rsid w:val="00C52D98"/>
    <w:rsid w:val="00C52DA1"/>
    <w:rsid w:val="00C533F2"/>
    <w:rsid w:val="00C53B0C"/>
    <w:rsid w:val="00C53C3B"/>
    <w:rsid w:val="00C53D24"/>
    <w:rsid w:val="00C54640"/>
    <w:rsid w:val="00C547A6"/>
    <w:rsid w:val="00C54A3A"/>
    <w:rsid w:val="00C55B52"/>
    <w:rsid w:val="00C55C32"/>
    <w:rsid w:val="00C55E16"/>
    <w:rsid w:val="00C562CD"/>
    <w:rsid w:val="00C56976"/>
    <w:rsid w:val="00C56A67"/>
    <w:rsid w:val="00C56CC2"/>
    <w:rsid w:val="00C56F14"/>
    <w:rsid w:val="00C5702C"/>
    <w:rsid w:val="00C57498"/>
    <w:rsid w:val="00C5763C"/>
    <w:rsid w:val="00C57724"/>
    <w:rsid w:val="00C5780C"/>
    <w:rsid w:val="00C5796B"/>
    <w:rsid w:val="00C612C4"/>
    <w:rsid w:val="00C6187C"/>
    <w:rsid w:val="00C618A5"/>
    <w:rsid w:val="00C619A1"/>
    <w:rsid w:val="00C62370"/>
    <w:rsid w:val="00C62BBB"/>
    <w:rsid w:val="00C62C63"/>
    <w:rsid w:val="00C6305F"/>
    <w:rsid w:val="00C6325B"/>
    <w:rsid w:val="00C63BD7"/>
    <w:rsid w:val="00C63E99"/>
    <w:rsid w:val="00C649B8"/>
    <w:rsid w:val="00C64A64"/>
    <w:rsid w:val="00C65151"/>
    <w:rsid w:val="00C657F4"/>
    <w:rsid w:val="00C6598D"/>
    <w:rsid w:val="00C660FE"/>
    <w:rsid w:val="00C66119"/>
    <w:rsid w:val="00C66292"/>
    <w:rsid w:val="00C6636F"/>
    <w:rsid w:val="00C66D0A"/>
    <w:rsid w:val="00C66F21"/>
    <w:rsid w:val="00C672A3"/>
    <w:rsid w:val="00C672F1"/>
    <w:rsid w:val="00C673D0"/>
    <w:rsid w:val="00C6742E"/>
    <w:rsid w:val="00C67ABF"/>
    <w:rsid w:val="00C67B0B"/>
    <w:rsid w:val="00C70012"/>
    <w:rsid w:val="00C70671"/>
    <w:rsid w:val="00C708AA"/>
    <w:rsid w:val="00C70DEC"/>
    <w:rsid w:val="00C71E2A"/>
    <w:rsid w:val="00C71ED0"/>
    <w:rsid w:val="00C72FB8"/>
    <w:rsid w:val="00C733BA"/>
    <w:rsid w:val="00C73A34"/>
    <w:rsid w:val="00C7403A"/>
    <w:rsid w:val="00C75671"/>
    <w:rsid w:val="00C7595C"/>
    <w:rsid w:val="00C760DC"/>
    <w:rsid w:val="00C774EF"/>
    <w:rsid w:val="00C8082B"/>
    <w:rsid w:val="00C81A88"/>
    <w:rsid w:val="00C81AE5"/>
    <w:rsid w:val="00C81D46"/>
    <w:rsid w:val="00C82298"/>
    <w:rsid w:val="00C822B3"/>
    <w:rsid w:val="00C833B4"/>
    <w:rsid w:val="00C84284"/>
    <w:rsid w:val="00C84E33"/>
    <w:rsid w:val="00C85D99"/>
    <w:rsid w:val="00C85FCD"/>
    <w:rsid w:val="00C85FFC"/>
    <w:rsid w:val="00C861FC"/>
    <w:rsid w:val="00C86BF5"/>
    <w:rsid w:val="00C86C87"/>
    <w:rsid w:val="00C875EC"/>
    <w:rsid w:val="00C9005E"/>
    <w:rsid w:val="00C90111"/>
    <w:rsid w:val="00C9038E"/>
    <w:rsid w:val="00C9077B"/>
    <w:rsid w:val="00C90CA9"/>
    <w:rsid w:val="00C90F88"/>
    <w:rsid w:val="00C915F2"/>
    <w:rsid w:val="00C917B1"/>
    <w:rsid w:val="00C9193C"/>
    <w:rsid w:val="00C91B77"/>
    <w:rsid w:val="00C920E2"/>
    <w:rsid w:val="00C92576"/>
    <w:rsid w:val="00C92A40"/>
    <w:rsid w:val="00C92DD4"/>
    <w:rsid w:val="00C93765"/>
    <w:rsid w:val="00C93804"/>
    <w:rsid w:val="00C93877"/>
    <w:rsid w:val="00C93D8C"/>
    <w:rsid w:val="00C93E07"/>
    <w:rsid w:val="00C946CC"/>
    <w:rsid w:val="00C94D3B"/>
    <w:rsid w:val="00C950BD"/>
    <w:rsid w:val="00C959BD"/>
    <w:rsid w:val="00C95D64"/>
    <w:rsid w:val="00C95DFE"/>
    <w:rsid w:val="00C95F44"/>
    <w:rsid w:val="00C96A6D"/>
    <w:rsid w:val="00C96D1B"/>
    <w:rsid w:val="00C97106"/>
    <w:rsid w:val="00C978D4"/>
    <w:rsid w:val="00CA0031"/>
    <w:rsid w:val="00CA0413"/>
    <w:rsid w:val="00CA043A"/>
    <w:rsid w:val="00CA0E51"/>
    <w:rsid w:val="00CA1691"/>
    <w:rsid w:val="00CA257C"/>
    <w:rsid w:val="00CA2738"/>
    <w:rsid w:val="00CA2D2E"/>
    <w:rsid w:val="00CA2F26"/>
    <w:rsid w:val="00CA3C3A"/>
    <w:rsid w:val="00CA41E7"/>
    <w:rsid w:val="00CA4A99"/>
    <w:rsid w:val="00CA5520"/>
    <w:rsid w:val="00CA5812"/>
    <w:rsid w:val="00CA5BD4"/>
    <w:rsid w:val="00CA5C14"/>
    <w:rsid w:val="00CA5C62"/>
    <w:rsid w:val="00CA7500"/>
    <w:rsid w:val="00CA76FC"/>
    <w:rsid w:val="00CA7E7B"/>
    <w:rsid w:val="00CB0028"/>
    <w:rsid w:val="00CB0236"/>
    <w:rsid w:val="00CB0DAD"/>
    <w:rsid w:val="00CB0DC1"/>
    <w:rsid w:val="00CB144F"/>
    <w:rsid w:val="00CB1969"/>
    <w:rsid w:val="00CB19E3"/>
    <w:rsid w:val="00CB1DC1"/>
    <w:rsid w:val="00CB29D5"/>
    <w:rsid w:val="00CB2C3A"/>
    <w:rsid w:val="00CB2D38"/>
    <w:rsid w:val="00CB4137"/>
    <w:rsid w:val="00CB4A29"/>
    <w:rsid w:val="00CB4BF5"/>
    <w:rsid w:val="00CB52D0"/>
    <w:rsid w:val="00CB5302"/>
    <w:rsid w:val="00CB5578"/>
    <w:rsid w:val="00CB5671"/>
    <w:rsid w:val="00CB591C"/>
    <w:rsid w:val="00CB5943"/>
    <w:rsid w:val="00CB61B3"/>
    <w:rsid w:val="00CB6F83"/>
    <w:rsid w:val="00CB72AE"/>
    <w:rsid w:val="00CB7AC3"/>
    <w:rsid w:val="00CC00CD"/>
    <w:rsid w:val="00CC0579"/>
    <w:rsid w:val="00CC0AF3"/>
    <w:rsid w:val="00CC0BC6"/>
    <w:rsid w:val="00CC0E68"/>
    <w:rsid w:val="00CC1588"/>
    <w:rsid w:val="00CC1780"/>
    <w:rsid w:val="00CC194E"/>
    <w:rsid w:val="00CC1A50"/>
    <w:rsid w:val="00CC1ED2"/>
    <w:rsid w:val="00CC21AC"/>
    <w:rsid w:val="00CC232E"/>
    <w:rsid w:val="00CC2514"/>
    <w:rsid w:val="00CC2B1A"/>
    <w:rsid w:val="00CC2D34"/>
    <w:rsid w:val="00CC2F69"/>
    <w:rsid w:val="00CC315F"/>
    <w:rsid w:val="00CC3D38"/>
    <w:rsid w:val="00CC40C3"/>
    <w:rsid w:val="00CC4C57"/>
    <w:rsid w:val="00CC4E5D"/>
    <w:rsid w:val="00CC50AE"/>
    <w:rsid w:val="00CC5FFE"/>
    <w:rsid w:val="00CC61B7"/>
    <w:rsid w:val="00CC61CA"/>
    <w:rsid w:val="00CC6382"/>
    <w:rsid w:val="00CC64DE"/>
    <w:rsid w:val="00CC69EC"/>
    <w:rsid w:val="00CC6DF1"/>
    <w:rsid w:val="00CC71D3"/>
    <w:rsid w:val="00CC743D"/>
    <w:rsid w:val="00CC7A62"/>
    <w:rsid w:val="00CD050A"/>
    <w:rsid w:val="00CD0A48"/>
    <w:rsid w:val="00CD1017"/>
    <w:rsid w:val="00CD205D"/>
    <w:rsid w:val="00CD2A22"/>
    <w:rsid w:val="00CD2B50"/>
    <w:rsid w:val="00CD2FD9"/>
    <w:rsid w:val="00CD3172"/>
    <w:rsid w:val="00CD4357"/>
    <w:rsid w:val="00CD43B3"/>
    <w:rsid w:val="00CD4506"/>
    <w:rsid w:val="00CD520A"/>
    <w:rsid w:val="00CD520B"/>
    <w:rsid w:val="00CD592E"/>
    <w:rsid w:val="00CD5982"/>
    <w:rsid w:val="00CD5A1A"/>
    <w:rsid w:val="00CD5A3C"/>
    <w:rsid w:val="00CD6988"/>
    <w:rsid w:val="00CD76F8"/>
    <w:rsid w:val="00CD7EFA"/>
    <w:rsid w:val="00CE020E"/>
    <w:rsid w:val="00CE02C2"/>
    <w:rsid w:val="00CE0566"/>
    <w:rsid w:val="00CE1030"/>
    <w:rsid w:val="00CE1CD4"/>
    <w:rsid w:val="00CE1E29"/>
    <w:rsid w:val="00CE207C"/>
    <w:rsid w:val="00CE2761"/>
    <w:rsid w:val="00CE28FC"/>
    <w:rsid w:val="00CE2ED5"/>
    <w:rsid w:val="00CE314E"/>
    <w:rsid w:val="00CE3D5C"/>
    <w:rsid w:val="00CE3E09"/>
    <w:rsid w:val="00CE3E14"/>
    <w:rsid w:val="00CE44C7"/>
    <w:rsid w:val="00CE53CC"/>
    <w:rsid w:val="00CE559D"/>
    <w:rsid w:val="00CE6103"/>
    <w:rsid w:val="00CE65A7"/>
    <w:rsid w:val="00CE68FE"/>
    <w:rsid w:val="00CE69CC"/>
    <w:rsid w:val="00CE6EC4"/>
    <w:rsid w:val="00CE7F26"/>
    <w:rsid w:val="00CF0A8D"/>
    <w:rsid w:val="00CF1226"/>
    <w:rsid w:val="00CF16CF"/>
    <w:rsid w:val="00CF1ABB"/>
    <w:rsid w:val="00CF1E1D"/>
    <w:rsid w:val="00CF23A0"/>
    <w:rsid w:val="00CF24FE"/>
    <w:rsid w:val="00CF287F"/>
    <w:rsid w:val="00CF35D0"/>
    <w:rsid w:val="00CF3B57"/>
    <w:rsid w:val="00CF3DD5"/>
    <w:rsid w:val="00CF42D1"/>
    <w:rsid w:val="00CF481B"/>
    <w:rsid w:val="00CF4AF7"/>
    <w:rsid w:val="00CF4D20"/>
    <w:rsid w:val="00CF6295"/>
    <w:rsid w:val="00CF70C2"/>
    <w:rsid w:val="00CF73F8"/>
    <w:rsid w:val="00CF75C1"/>
    <w:rsid w:val="00CF7928"/>
    <w:rsid w:val="00CF7CA2"/>
    <w:rsid w:val="00D00471"/>
    <w:rsid w:val="00D00684"/>
    <w:rsid w:val="00D00911"/>
    <w:rsid w:val="00D00A8E"/>
    <w:rsid w:val="00D00DE0"/>
    <w:rsid w:val="00D00F79"/>
    <w:rsid w:val="00D012BF"/>
    <w:rsid w:val="00D014AB"/>
    <w:rsid w:val="00D01760"/>
    <w:rsid w:val="00D02380"/>
    <w:rsid w:val="00D030BD"/>
    <w:rsid w:val="00D0368E"/>
    <w:rsid w:val="00D0393E"/>
    <w:rsid w:val="00D03AC3"/>
    <w:rsid w:val="00D03D2D"/>
    <w:rsid w:val="00D03E7B"/>
    <w:rsid w:val="00D0401A"/>
    <w:rsid w:val="00D0469C"/>
    <w:rsid w:val="00D046C1"/>
    <w:rsid w:val="00D0472C"/>
    <w:rsid w:val="00D047E0"/>
    <w:rsid w:val="00D04AB6"/>
    <w:rsid w:val="00D04B9F"/>
    <w:rsid w:val="00D04E8D"/>
    <w:rsid w:val="00D04FFB"/>
    <w:rsid w:val="00D053CF"/>
    <w:rsid w:val="00D055FE"/>
    <w:rsid w:val="00D058E9"/>
    <w:rsid w:val="00D0612A"/>
    <w:rsid w:val="00D0643F"/>
    <w:rsid w:val="00D06BAD"/>
    <w:rsid w:val="00D06E6B"/>
    <w:rsid w:val="00D07315"/>
    <w:rsid w:val="00D07F2D"/>
    <w:rsid w:val="00D1060D"/>
    <w:rsid w:val="00D10E7C"/>
    <w:rsid w:val="00D11182"/>
    <w:rsid w:val="00D1137B"/>
    <w:rsid w:val="00D11807"/>
    <w:rsid w:val="00D11DB3"/>
    <w:rsid w:val="00D12D82"/>
    <w:rsid w:val="00D12F77"/>
    <w:rsid w:val="00D1306E"/>
    <w:rsid w:val="00D134CD"/>
    <w:rsid w:val="00D14860"/>
    <w:rsid w:val="00D14B5F"/>
    <w:rsid w:val="00D14E13"/>
    <w:rsid w:val="00D14F23"/>
    <w:rsid w:val="00D157B8"/>
    <w:rsid w:val="00D160F6"/>
    <w:rsid w:val="00D1612B"/>
    <w:rsid w:val="00D16740"/>
    <w:rsid w:val="00D16A8B"/>
    <w:rsid w:val="00D16E39"/>
    <w:rsid w:val="00D172A4"/>
    <w:rsid w:val="00D17951"/>
    <w:rsid w:val="00D17AD8"/>
    <w:rsid w:val="00D17F91"/>
    <w:rsid w:val="00D2104A"/>
    <w:rsid w:val="00D21BB5"/>
    <w:rsid w:val="00D21FFC"/>
    <w:rsid w:val="00D223B6"/>
    <w:rsid w:val="00D223B7"/>
    <w:rsid w:val="00D223E8"/>
    <w:rsid w:val="00D224E1"/>
    <w:rsid w:val="00D227ED"/>
    <w:rsid w:val="00D22DC8"/>
    <w:rsid w:val="00D22F86"/>
    <w:rsid w:val="00D24626"/>
    <w:rsid w:val="00D2477B"/>
    <w:rsid w:val="00D24BBC"/>
    <w:rsid w:val="00D24FE1"/>
    <w:rsid w:val="00D2522A"/>
    <w:rsid w:val="00D2531C"/>
    <w:rsid w:val="00D2553E"/>
    <w:rsid w:val="00D25CFA"/>
    <w:rsid w:val="00D25F7C"/>
    <w:rsid w:val="00D26853"/>
    <w:rsid w:val="00D2737C"/>
    <w:rsid w:val="00D2742F"/>
    <w:rsid w:val="00D2754F"/>
    <w:rsid w:val="00D277C5"/>
    <w:rsid w:val="00D279D9"/>
    <w:rsid w:val="00D312DC"/>
    <w:rsid w:val="00D31B84"/>
    <w:rsid w:val="00D31C6A"/>
    <w:rsid w:val="00D31EDF"/>
    <w:rsid w:val="00D31F0A"/>
    <w:rsid w:val="00D31FF9"/>
    <w:rsid w:val="00D32149"/>
    <w:rsid w:val="00D32256"/>
    <w:rsid w:val="00D323A1"/>
    <w:rsid w:val="00D32634"/>
    <w:rsid w:val="00D32A27"/>
    <w:rsid w:val="00D32ABC"/>
    <w:rsid w:val="00D339D4"/>
    <w:rsid w:val="00D33FA4"/>
    <w:rsid w:val="00D341C9"/>
    <w:rsid w:val="00D34B25"/>
    <w:rsid w:val="00D34F4E"/>
    <w:rsid w:val="00D357F3"/>
    <w:rsid w:val="00D357FA"/>
    <w:rsid w:val="00D35C0E"/>
    <w:rsid w:val="00D36415"/>
    <w:rsid w:val="00D373A8"/>
    <w:rsid w:val="00D3749D"/>
    <w:rsid w:val="00D379A5"/>
    <w:rsid w:val="00D37A67"/>
    <w:rsid w:val="00D37AEC"/>
    <w:rsid w:val="00D401BE"/>
    <w:rsid w:val="00D4043A"/>
    <w:rsid w:val="00D40DB0"/>
    <w:rsid w:val="00D41093"/>
    <w:rsid w:val="00D410DC"/>
    <w:rsid w:val="00D416D5"/>
    <w:rsid w:val="00D41858"/>
    <w:rsid w:val="00D422DB"/>
    <w:rsid w:val="00D42303"/>
    <w:rsid w:val="00D42314"/>
    <w:rsid w:val="00D42AC2"/>
    <w:rsid w:val="00D4313A"/>
    <w:rsid w:val="00D4367C"/>
    <w:rsid w:val="00D44498"/>
    <w:rsid w:val="00D4485F"/>
    <w:rsid w:val="00D4498E"/>
    <w:rsid w:val="00D4515F"/>
    <w:rsid w:val="00D451E8"/>
    <w:rsid w:val="00D46185"/>
    <w:rsid w:val="00D461B4"/>
    <w:rsid w:val="00D466C9"/>
    <w:rsid w:val="00D4691E"/>
    <w:rsid w:val="00D47275"/>
    <w:rsid w:val="00D47F83"/>
    <w:rsid w:val="00D50113"/>
    <w:rsid w:val="00D5030F"/>
    <w:rsid w:val="00D50689"/>
    <w:rsid w:val="00D51064"/>
    <w:rsid w:val="00D512A1"/>
    <w:rsid w:val="00D517F6"/>
    <w:rsid w:val="00D51E15"/>
    <w:rsid w:val="00D5210F"/>
    <w:rsid w:val="00D52B7E"/>
    <w:rsid w:val="00D52E2F"/>
    <w:rsid w:val="00D52F59"/>
    <w:rsid w:val="00D53445"/>
    <w:rsid w:val="00D53DD0"/>
    <w:rsid w:val="00D53E3E"/>
    <w:rsid w:val="00D53EF8"/>
    <w:rsid w:val="00D542CB"/>
    <w:rsid w:val="00D54620"/>
    <w:rsid w:val="00D54FEE"/>
    <w:rsid w:val="00D55904"/>
    <w:rsid w:val="00D5616F"/>
    <w:rsid w:val="00D56503"/>
    <w:rsid w:val="00D57940"/>
    <w:rsid w:val="00D6015F"/>
    <w:rsid w:val="00D60327"/>
    <w:rsid w:val="00D61384"/>
    <w:rsid w:val="00D6140F"/>
    <w:rsid w:val="00D61526"/>
    <w:rsid w:val="00D61F81"/>
    <w:rsid w:val="00D620DD"/>
    <w:rsid w:val="00D6276C"/>
    <w:rsid w:val="00D62BE6"/>
    <w:rsid w:val="00D63766"/>
    <w:rsid w:val="00D63912"/>
    <w:rsid w:val="00D63923"/>
    <w:rsid w:val="00D6451B"/>
    <w:rsid w:val="00D64B57"/>
    <w:rsid w:val="00D651A1"/>
    <w:rsid w:val="00D65DEA"/>
    <w:rsid w:val="00D66579"/>
    <w:rsid w:val="00D676D3"/>
    <w:rsid w:val="00D67B06"/>
    <w:rsid w:val="00D67BC7"/>
    <w:rsid w:val="00D67DAF"/>
    <w:rsid w:val="00D70009"/>
    <w:rsid w:val="00D701F1"/>
    <w:rsid w:val="00D705D3"/>
    <w:rsid w:val="00D70E00"/>
    <w:rsid w:val="00D70F7C"/>
    <w:rsid w:val="00D715AC"/>
    <w:rsid w:val="00D71661"/>
    <w:rsid w:val="00D71818"/>
    <w:rsid w:val="00D71851"/>
    <w:rsid w:val="00D718CF"/>
    <w:rsid w:val="00D71A81"/>
    <w:rsid w:val="00D71ACF"/>
    <w:rsid w:val="00D728F5"/>
    <w:rsid w:val="00D72E9D"/>
    <w:rsid w:val="00D730CD"/>
    <w:rsid w:val="00D73249"/>
    <w:rsid w:val="00D73419"/>
    <w:rsid w:val="00D73CA9"/>
    <w:rsid w:val="00D751B7"/>
    <w:rsid w:val="00D7524B"/>
    <w:rsid w:val="00D7533E"/>
    <w:rsid w:val="00D75396"/>
    <w:rsid w:val="00D759C0"/>
    <w:rsid w:val="00D75E99"/>
    <w:rsid w:val="00D765CE"/>
    <w:rsid w:val="00D76659"/>
    <w:rsid w:val="00D766C7"/>
    <w:rsid w:val="00D76901"/>
    <w:rsid w:val="00D7692B"/>
    <w:rsid w:val="00D772D0"/>
    <w:rsid w:val="00D7734F"/>
    <w:rsid w:val="00D80002"/>
    <w:rsid w:val="00D8044C"/>
    <w:rsid w:val="00D805D6"/>
    <w:rsid w:val="00D8075E"/>
    <w:rsid w:val="00D80860"/>
    <w:rsid w:val="00D80D4C"/>
    <w:rsid w:val="00D8184D"/>
    <w:rsid w:val="00D81A7B"/>
    <w:rsid w:val="00D8223C"/>
    <w:rsid w:val="00D8234D"/>
    <w:rsid w:val="00D82B57"/>
    <w:rsid w:val="00D82CE5"/>
    <w:rsid w:val="00D830CF"/>
    <w:rsid w:val="00D8318E"/>
    <w:rsid w:val="00D831E3"/>
    <w:rsid w:val="00D8342C"/>
    <w:rsid w:val="00D841F9"/>
    <w:rsid w:val="00D852EE"/>
    <w:rsid w:val="00D85494"/>
    <w:rsid w:val="00D85501"/>
    <w:rsid w:val="00D8582C"/>
    <w:rsid w:val="00D858B1"/>
    <w:rsid w:val="00D858B3"/>
    <w:rsid w:val="00D85A9A"/>
    <w:rsid w:val="00D85D61"/>
    <w:rsid w:val="00D8616D"/>
    <w:rsid w:val="00D86363"/>
    <w:rsid w:val="00D8641F"/>
    <w:rsid w:val="00D866CA"/>
    <w:rsid w:val="00D869B7"/>
    <w:rsid w:val="00D8711B"/>
    <w:rsid w:val="00D87384"/>
    <w:rsid w:val="00D87AE8"/>
    <w:rsid w:val="00D9052A"/>
    <w:rsid w:val="00D90683"/>
    <w:rsid w:val="00D90B2A"/>
    <w:rsid w:val="00D91000"/>
    <w:rsid w:val="00D91391"/>
    <w:rsid w:val="00D91483"/>
    <w:rsid w:val="00D915C8"/>
    <w:rsid w:val="00D9310B"/>
    <w:rsid w:val="00D931F3"/>
    <w:rsid w:val="00D93726"/>
    <w:rsid w:val="00D93F3E"/>
    <w:rsid w:val="00D9405B"/>
    <w:rsid w:val="00D94942"/>
    <w:rsid w:val="00D95145"/>
    <w:rsid w:val="00D951DA"/>
    <w:rsid w:val="00D95360"/>
    <w:rsid w:val="00D95E03"/>
    <w:rsid w:val="00D962C1"/>
    <w:rsid w:val="00D96594"/>
    <w:rsid w:val="00D967CB"/>
    <w:rsid w:val="00D968D4"/>
    <w:rsid w:val="00D96EE0"/>
    <w:rsid w:val="00D97871"/>
    <w:rsid w:val="00D97ACE"/>
    <w:rsid w:val="00D97BD1"/>
    <w:rsid w:val="00D97D05"/>
    <w:rsid w:val="00D97DAD"/>
    <w:rsid w:val="00DA06B8"/>
    <w:rsid w:val="00DA14A9"/>
    <w:rsid w:val="00DA2164"/>
    <w:rsid w:val="00DA2471"/>
    <w:rsid w:val="00DA2616"/>
    <w:rsid w:val="00DA2862"/>
    <w:rsid w:val="00DA286D"/>
    <w:rsid w:val="00DA2969"/>
    <w:rsid w:val="00DA29B7"/>
    <w:rsid w:val="00DA337C"/>
    <w:rsid w:val="00DA385C"/>
    <w:rsid w:val="00DA39B1"/>
    <w:rsid w:val="00DA4842"/>
    <w:rsid w:val="00DA4F7B"/>
    <w:rsid w:val="00DA5989"/>
    <w:rsid w:val="00DA5AB1"/>
    <w:rsid w:val="00DA5F9D"/>
    <w:rsid w:val="00DA5FFB"/>
    <w:rsid w:val="00DA69B2"/>
    <w:rsid w:val="00DA6DD7"/>
    <w:rsid w:val="00DA6E8A"/>
    <w:rsid w:val="00DA7462"/>
    <w:rsid w:val="00DA7AD0"/>
    <w:rsid w:val="00DB02D7"/>
    <w:rsid w:val="00DB03CC"/>
    <w:rsid w:val="00DB12D4"/>
    <w:rsid w:val="00DB14F0"/>
    <w:rsid w:val="00DB1745"/>
    <w:rsid w:val="00DB19BB"/>
    <w:rsid w:val="00DB1AFF"/>
    <w:rsid w:val="00DB219A"/>
    <w:rsid w:val="00DB23DD"/>
    <w:rsid w:val="00DB288B"/>
    <w:rsid w:val="00DB3165"/>
    <w:rsid w:val="00DB3D80"/>
    <w:rsid w:val="00DB4128"/>
    <w:rsid w:val="00DB4292"/>
    <w:rsid w:val="00DB4FF9"/>
    <w:rsid w:val="00DB5023"/>
    <w:rsid w:val="00DB532F"/>
    <w:rsid w:val="00DB5CA4"/>
    <w:rsid w:val="00DB629E"/>
    <w:rsid w:val="00DB6381"/>
    <w:rsid w:val="00DB6A01"/>
    <w:rsid w:val="00DB6E46"/>
    <w:rsid w:val="00DB7117"/>
    <w:rsid w:val="00DB7760"/>
    <w:rsid w:val="00DB7DD4"/>
    <w:rsid w:val="00DC00B4"/>
    <w:rsid w:val="00DC0954"/>
    <w:rsid w:val="00DC0DF8"/>
    <w:rsid w:val="00DC15BA"/>
    <w:rsid w:val="00DC17C0"/>
    <w:rsid w:val="00DC18CD"/>
    <w:rsid w:val="00DC1A68"/>
    <w:rsid w:val="00DC1E82"/>
    <w:rsid w:val="00DC30B8"/>
    <w:rsid w:val="00DC3786"/>
    <w:rsid w:val="00DC3EAB"/>
    <w:rsid w:val="00DC3FCF"/>
    <w:rsid w:val="00DC478F"/>
    <w:rsid w:val="00DC537E"/>
    <w:rsid w:val="00DC62E5"/>
    <w:rsid w:val="00DC669F"/>
    <w:rsid w:val="00DC6A2B"/>
    <w:rsid w:val="00DC6B20"/>
    <w:rsid w:val="00DC6D70"/>
    <w:rsid w:val="00DC6F33"/>
    <w:rsid w:val="00DC7349"/>
    <w:rsid w:val="00DD09B4"/>
    <w:rsid w:val="00DD131D"/>
    <w:rsid w:val="00DD14D8"/>
    <w:rsid w:val="00DD1599"/>
    <w:rsid w:val="00DD1B03"/>
    <w:rsid w:val="00DD1E43"/>
    <w:rsid w:val="00DD2A62"/>
    <w:rsid w:val="00DD2C78"/>
    <w:rsid w:val="00DD2D97"/>
    <w:rsid w:val="00DD2F2F"/>
    <w:rsid w:val="00DD2F7A"/>
    <w:rsid w:val="00DD3885"/>
    <w:rsid w:val="00DD5808"/>
    <w:rsid w:val="00DD5946"/>
    <w:rsid w:val="00DD5B04"/>
    <w:rsid w:val="00DD5DAE"/>
    <w:rsid w:val="00DD5EC6"/>
    <w:rsid w:val="00DD605F"/>
    <w:rsid w:val="00DD6141"/>
    <w:rsid w:val="00DD72A0"/>
    <w:rsid w:val="00DD735D"/>
    <w:rsid w:val="00DD7751"/>
    <w:rsid w:val="00DE0159"/>
    <w:rsid w:val="00DE064A"/>
    <w:rsid w:val="00DE082D"/>
    <w:rsid w:val="00DE1410"/>
    <w:rsid w:val="00DE14A6"/>
    <w:rsid w:val="00DE20C6"/>
    <w:rsid w:val="00DE3119"/>
    <w:rsid w:val="00DE3E3B"/>
    <w:rsid w:val="00DE3FB3"/>
    <w:rsid w:val="00DE3FF0"/>
    <w:rsid w:val="00DE4105"/>
    <w:rsid w:val="00DE41C4"/>
    <w:rsid w:val="00DE5189"/>
    <w:rsid w:val="00DE7108"/>
    <w:rsid w:val="00DE73C5"/>
    <w:rsid w:val="00DE78D1"/>
    <w:rsid w:val="00DE78FF"/>
    <w:rsid w:val="00DF0263"/>
    <w:rsid w:val="00DF057C"/>
    <w:rsid w:val="00DF084C"/>
    <w:rsid w:val="00DF0D9C"/>
    <w:rsid w:val="00DF0EB4"/>
    <w:rsid w:val="00DF158B"/>
    <w:rsid w:val="00DF193C"/>
    <w:rsid w:val="00DF1D63"/>
    <w:rsid w:val="00DF1E36"/>
    <w:rsid w:val="00DF236B"/>
    <w:rsid w:val="00DF2919"/>
    <w:rsid w:val="00DF2A91"/>
    <w:rsid w:val="00DF3889"/>
    <w:rsid w:val="00DF39E3"/>
    <w:rsid w:val="00DF3CC9"/>
    <w:rsid w:val="00DF3F66"/>
    <w:rsid w:val="00DF4021"/>
    <w:rsid w:val="00DF4436"/>
    <w:rsid w:val="00DF4451"/>
    <w:rsid w:val="00DF49FF"/>
    <w:rsid w:val="00DF4FFB"/>
    <w:rsid w:val="00DF5015"/>
    <w:rsid w:val="00DF5236"/>
    <w:rsid w:val="00DF5A69"/>
    <w:rsid w:val="00DF651F"/>
    <w:rsid w:val="00DF6F43"/>
    <w:rsid w:val="00DF752F"/>
    <w:rsid w:val="00DF76A2"/>
    <w:rsid w:val="00DF76B4"/>
    <w:rsid w:val="00DF7B87"/>
    <w:rsid w:val="00E00B7A"/>
    <w:rsid w:val="00E01FDD"/>
    <w:rsid w:val="00E02186"/>
    <w:rsid w:val="00E023E5"/>
    <w:rsid w:val="00E026BB"/>
    <w:rsid w:val="00E027C5"/>
    <w:rsid w:val="00E03124"/>
    <w:rsid w:val="00E031C3"/>
    <w:rsid w:val="00E03951"/>
    <w:rsid w:val="00E03DB8"/>
    <w:rsid w:val="00E03F17"/>
    <w:rsid w:val="00E0408F"/>
    <w:rsid w:val="00E041F0"/>
    <w:rsid w:val="00E0420C"/>
    <w:rsid w:val="00E04230"/>
    <w:rsid w:val="00E044A8"/>
    <w:rsid w:val="00E04DD9"/>
    <w:rsid w:val="00E04EDD"/>
    <w:rsid w:val="00E05264"/>
    <w:rsid w:val="00E055C2"/>
    <w:rsid w:val="00E05E70"/>
    <w:rsid w:val="00E064BC"/>
    <w:rsid w:val="00E065C9"/>
    <w:rsid w:val="00E07225"/>
    <w:rsid w:val="00E076B4"/>
    <w:rsid w:val="00E07B55"/>
    <w:rsid w:val="00E07F43"/>
    <w:rsid w:val="00E10579"/>
    <w:rsid w:val="00E109DD"/>
    <w:rsid w:val="00E11229"/>
    <w:rsid w:val="00E114CA"/>
    <w:rsid w:val="00E11FE2"/>
    <w:rsid w:val="00E1397F"/>
    <w:rsid w:val="00E13AB8"/>
    <w:rsid w:val="00E1482E"/>
    <w:rsid w:val="00E14A47"/>
    <w:rsid w:val="00E14B0F"/>
    <w:rsid w:val="00E15044"/>
    <w:rsid w:val="00E153AE"/>
    <w:rsid w:val="00E158AD"/>
    <w:rsid w:val="00E15AB1"/>
    <w:rsid w:val="00E16382"/>
    <w:rsid w:val="00E1699C"/>
    <w:rsid w:val="00E16E75"/>
    <w:rsid w:val="00E1714E"/>
    <w:rsid w:val="00E1746D"/>
    <w:rsid w:val="00E17AFA"/>
    <w:rsid w:val="00E2012A"/>
    <w:rsid w:val="00E205A2"/>
    <w:rsid w:val="00E20BA4"/>
    <w:rsid w:val="00E21CBC"/>
    <w:rsid w:val="00E2302A"/>
    <w:rsid w:val="00E23137"/>
    <w:rsid w:val="00E233B2"/>
    <w:rsid w:val="00E23980"/>
    <w:rsid w:val="00E241E9"/>
    <w:rsid w:val="00E245D8"/>
    <w:rsid w:val="00E24F05"/>
    <w:rsid w:val="00E257C3"/>
    <w:rsid w:val="00E25CB3"/>
    <w:rsid w:val="00E25DA4"/>
    <w:rsid w:val="00E26237"/>
    <w:rsid w:val="00E26CB8"/>
    <w:rsid w:val="00E26D16"/>
    <w:rsid w:val="00E26FCF"/>
    <w:rsid w:val="00E27165"/>
    <w:rsid w:val="00E272B1"/>
    <w:rsid w:val="00E275D9"/>
    <w:rsid w:val="00E27720"/>
    <w:rsid w:val="00E27801"/>
    <w:rsid w:val="00E27988"/>
    <w:rsid w:val="00E3044A"/>
    <w:rsid w:val="00E30E49"/>
    <w:rsid w:val="00E314A5"/>
    <w:rsid w:val="00E3174A"/>
    <w:rsid w:val="00E31A4A"/>
    <w:rsid w:val="00E3223E"/>
    <w:rsid w:val="00E32AE4"/>
    <w:rsid w:val="00E3344A"/>
    <w:rsid w:val="00E33B29"/>
    <w:rsid w:val="00E33B62"/>
    <w:rsid w:val="00E3403D"/>
    <w:rsid w:val="00E344BD"/>
    <w:rsid w:val="00E34964"/>
    <w:rsid w:val="00E34E6C"/>
    <w:rsid w:val="00E353E2"/>
    <w:rsid w:val="00E36345"/>
    <w:rsid w:val="00E368BD"/>
    <w:rsid w:val="00E36C86"/>
    <w:rsid w:val="00E36CEB"/>
    <w:rsid w:val="00E36D6F"/>
    <w:rsid w:val="00E37387"/>
    <w:rsid w:val="00E37595"/>
    <w:rsid w:val="00E37A28"/>
    <w:rsid w:val="00E40430"/>
    <w:rsid w:val="00E40690"/>
    <w:rsid w:val="00E40AEB"/>
    <w:rsid w:val="00E40B4D"/>
    <w:rsid w:val="00E4143A"/>
    <w:rsid w:val="00E424C8"/>
    <w:rsid w:val="00E4251D"/>
    <w:rsid w:val="00E43D00"/>
    <w:rsid w:val="00E443B4"/>
    <w:rsid w:val="00E445E4"/>
    <w:rsid w:val="00E457CB"/>
    <w:rsid w:val="00E45D47"/>
    <w:rsid w:val="00E45DE4"/>
    <w:rsid w:val="00E45E63"/>
    <w:rsid w:val="00E462F0"/>
    <w:rsid w:val="00E466F8"/>
    <w:rsid w:val="00E46BBC"/>
    <w:rsid w:val="00E4759C"/>
    <w:rsid w:val="00E50A7B"/>
    <w:rsid w:val="00E50B0B"/>
    <w:rsid w:val="00E510FE"/>
    <w:rsid w:val="00E51129"/>
    <w:rsid w:val="00E516C7"/>
    <w:rsid w:val="00E51E25"/>
    <w:rsid w:val="00E5205B"/>
    <w:rsid w:val="00E521AE"/>
    <w:rsid w:val="00E52212"/>
    <w:rsid w:val="00E52639"/>
    <w:rsid w:val="00E529A3"/>
    <w:rsid w:val="00E52CE7"/>
    <w:rsid w:val="00E53A21"/>
    <w:rsid w:val="00E53BCA"/>
    <w:rsid w:val="00E53DE2"/>
    <w:rsid w:val="00E53F02"/>
    <w:rsid w:val="00E54534"/>
    <w:rsid w:val="00E54722"/>
    <w:rsid w:val="00E548C3"/>
    <w:rsid w:val="00E54C5A"/>
    <w:rsid w:val="00E54F27"/>
    <w:rsid w:val="00E55E1C"/>
    <w:rsid w:val="00E55FF1"/>
    <w:rsid w:val="00E56090"/>
    <w:rsid w:val="00E565B9"/>
    <w:rsid w:val="00E56E7B"/>
    <w:rsid w:val="00E5733B"/>
    <w:rsid w:val="00E5756C"/>
    <w:rsid w:val="00E57811"/>
    <w:rsid w:val="00E5798B"/>
    <w:rsid w:val="00E57CD6"/>
    <w:rsid w:val="00E601BE"/>
    <w:rsid w:val="00E60B5F"/>
    <w:rsid w:val="00E613AE"/>
    <w:rsid w:val="00E61429"/>
    <w:rsid w:val="00E61ABB"/>
    <w:rsid w:val="00E61FD7"/>
    <w:rsid w:val="00E620B6"/>
    <w:rsid w:val="00E623E6"/>
    <w:rsid w:val="00E630C0"/>
    <w:rsid w:val="00E63107"/>
    <w:rsid w:val="00E6312C"/>
    <w:rsid w:val="00E634E6"/>
    <w:rsid w:val="00E63DCE"/>
    <w:rsid w:val="00E64304"/>
    <w:rsid w:val="00E6453E"/>
    <w:rsid w:val="00E64700"/>
    <w:rsid w:val="00E64854"/>
    <w:rsid w:val="00E65074"/>
    <w:rsid w:val="00E6526E"/>
    <w:rsid w:val="00E654CD"/>
    <w:rsid w:val="00E65E70"/>
    <w:rsid w:val="00E66087"/>
    <w:rsid w:val="00E66A24"/>
    <w:rsid w:val="00E66D79"/>
    <w:rsid w:val="00E66FF9"/>
    <w:rsid w:val="00E6706F"/>
    <w:rsid w:val="00E67587"/>
    <w:rsid w:val="00E67856"/>
    <w:rsid w:val="00E679C8"/>
    <w:rsid w:val="00E701D9"/>
    <w:rsid w:val="00E70314"/>
    <w:rsid w:val="00E724E7"/>
    <w:rsid w:val="00E72B41"/>
    <w:rsid w:val="00E7336C"/>
    <w:rsid w:val="00E7347B"/>
    <w:rsid w:val="00E73792"/>
    <w:rsid w:val="00E73D03"/>
    <w:rsid w:val="00E74040"/>
    <w:rsid w:val="00E7471C"/>
    <w:rsid w:val="00E7498A"/>
    <w:rsid w:val="00E74D8C"/>
    <w:rsid w:val="00E7514E"/>
    <w:rsid w:val="00E7642B"/>
    <w:rsid w:val="00E76537"/>
    <w:rsid w:val="00E76E5D"/>
    <w:rsid w:val="00E76E62"/>
    <w:rsid w:val="00E774EE"/>
    <w:rsid w:val="00E77784"/>
    <w:rsid w:val="00E77937"/>
    <w:rsid w:val="00E77AF5"/>
    <w:rsid w:val="00E818F2"/>
    <w:rsid w:val="00E81925"/>
    <w:rsid w:val="00E823F9"/>
    <w:rsid w:val="00E82AC8"/>
    <w:rsid w:val="00E82C1F"/>
    <w:rsid w:val="00E83671"/>
    <w:rsid w:val="00E8373D"/>
    <w:rsid w:val="00E840EE"/>
    <w:rsid w:val="00E8416F"/>
    <w:rsid w:val="00E84A71"/>
    <w:rsid w:val="00E85170"/>
    <w:rsid w:val="00E8542B"/>
    <w:rsid w:val="00E85915"/>
    <w:rsid w:val="00E86556"/>
    <w:rsid w:val="00E86754"/>
    <w:rsid w:val="00E86D35"/>
    <w:rsid w:val="00E86DC2"/>
    <w:rsid w:val="00E86E32"/>
    <w:rsid w:val="00E86F2E"/>
    <w:rsid w:val="00E8732E"/>
    <w:rsid w:val="00E8744A"/>
    <w:rsid w:val="00E87E9C"/>
    <w:rsid w:val="00E87FCA"/>
    <w:rsid w:val="00E9011F"/>
    <w:rsid w:val="00E906EB"/>
    <w:rsid w:val="00E90A66"/>
    <w:rsid w:val="00E919FB"/>
    <w:rsid w:val="00E9241E"/>
    <w:rsid w:val="00E92460"/>
    <w:rsid w:val="00E92751"/>
    <w:rsid w:val="00E92E62"/>
    <w:rsid w:val="00E93804"/>
    <w:rsid w:val="00E9429D"/>
    <w:rsid w:val="00E94F0F"/>
    <w:rsid w:val="00E95434"/>
    <w:rsid w:val="00E96467"/>
    <w:rsid w:val="00E966DA"/>
    <w:rsid w:val="00E96948"/>
    <w:rsid w:val="00E96D89"/>
    <w:rsid w:val="00E97132"/>
    <w:rsid w:val="00E9737B"/>
    <w:rsid w:val="00E97790"/>
    <w:rsid w:val="00E97967"/>
    <w:rsid w:val="00E97A3F"/>
    <w:rsid w:val="00E97A7C"/>
    <w:rsid w:val="00E97F0A"/>
    <w:rsid w:val="00EA0100"/>
    <w:rsid w:val="00EA0BCE"/>
    <w:rsid w:val="00EA1155"/>
    <w:rsid w:val="00EA2744"/>
    <w:rsid w:val="00EA37B9"/>
    <w:rsid w:val="00EA37F2"/>
    <w:rsid w:val="00EA39F7"/>
    <w:rsid w:val="00EA3DC2"/>
    <w:rsid w:val="00EA434E"/>
    <w:rsid w:val="00EA4757"/>
    <w:rsid w:val="00EA4FCD"/>
    <w:rsid w:val="00EA5051"/>
    <w:rsid w:val="00EA560B"/>
    <w:rsid w:val="00EA5669"/>
    <w:rsid w:val="00EA56A9"/>
    <w:rsid w:val="00EA5CC6"/>
    <w:rsid w:val="00EA63EF"/>
    <w:rsid w:val="00EA6D1E"/>
    <w:rsid w:val="00EA7420"/>
    <w:rsid w:val="00EB0A89"/>
    <w:rsid w:val="00EB1573"/>
    <w:rsid w:val="00EB1910"/>
    <w:rsid w:val="00EB1C52"/>
    <w:rsid w:val="00EB227B"/>
    <w:rsid w:val="00EB2D83"/>
    <w:rsid w:val="00EB2E97"/>
    <w:rsid w:val="00EB3416"/>
    <w:rsid w:val="00EB48E9"/>
    <w:rsid w:val="00EB4AE1"/>
    <w:rsid w:val="00EB52F4"/>
    <w:rsid w:val="00EB5694"/>
    <w:rsid w:val="00EB5779"/>
    <w:rsid w:val="00EB5D2F"/>
    <w:rsid w:val="00EB66C3"/>
    <w:rsid w:val="00EB67F1"/>
    <w:rsid w:val="00EB72CD"/>
    <w:rsid w:val="00EB749A"/>
    <w:rsid w:val="00EB76B6"/>
    <w:rsid w:val="00EB7D8A"/>
    <w:rsid w:val="00EC05E2"/>
    <w:rsid w:val="00EC08AC"/>
    <w:rsid w:val="00EC09AB"/>
    <w:rsid w:val="00EC0B18"/>
    <w:rsid w:val="00EC0E84"/>
    <w:rsid w:val="00EC16E2"/>
    <w:rsid w:val="00EC1BA3"/>
    <w:rsid w:val="00EC1CE7"/>
    <w:rsid w:val="00EC26F1"/>
    <w:rsid w:val="00EC2989"/>
    <w:rsid w:val="00EC3135"/>
    <w:rsid w:val="00EC3BC1"/>
    <w:rsid w:val="00EC3C94"/>
    <w:rsid w:val="00EC44DF"/>
    <w:rsid w:val="00EC4FB9"/>
    <w:rsid w:val="00EC5393"/>
    <w:rsid w:val="00EC5741"/>
    <w:rsid w:val="00EC5C42"/>
    <w:rsid w:val="00EC5DA3"/>
    <w:rsid w:val="00EC6014"/>
    <w:rsid w:val="00EC6656"/>
    <w:rsid w:val="00EC6B3E"/>
    <w:rsid w:val="00EC73DE"/>
    <w:rsid w:val="00EC74B0"/>
    <w:rsid w:val="00EC7637"/>
    <w:rsid w:val="00EC7CF2"/>
    <w:rsid w:val="00ED046C"/>
    <w:rsid w:val="00ED053A"/>
    <w:rsid w:val="00ED1220"/>
    <w:rsid w:val="00ED15DF"/>
    <w:rsid w:val="00ED1F03"/>
    <w:rsid w:val="00ED2932"/>
    <w:rsid w:val="00ED2D27"/>
    <w:rsid w:val="00ED3173"/>
    <w:rsid w:val="00ED3347"/>
    <w:rsid w:val="00ED3441"/>
    <w:rsid w:val="00ED3860"/>
    <w:rsid w:val="00ED3954"/>
    <w:rsid w:val="00ED40F2"/>
    <w:rsid w:val="00ED43A2"/>
    <w:rsid w:val="00ED4862"/>
    <w:rsid w:val="00ED4967"/>
    <w:rsid w:val="00ED5140"/>
    <w:rsid w:val="00ED538C"/>
    <w:rsid w:val="00ED5771"/>
    <w:rsid w:val="00ED587F"/>
    <w:rsid w:val="00ED5964"/>
    <w:rsid w:val="00ED6147"/>
    <w:rsid w:val="00ED623F"/>
    <w:rsid w:val="00ED6397"/>
    <w:rsid w:val="00ED63A5"/>
    <w:rsid w:val="00ED6828"/>
    <w:rsid w:val="00ED69BA"/>
    <w:rsid w:val="00ED6D1A"/>
    <w:rsid w:val="00ED6D86"/>
    <w:rsid w:val="00ED72E9"/>
    <w:rsid w:val="00ED732E"/>
    <w:rsid w:val="00ED77F0"/>
    <w:rsid w:val="00ED7C60"/>
    <w:rsid w:val="00ED7FBC"/>
    <w:rsid w:val="00EE0253"/>
    <w:rsid w:val="00EE0297"/>
    <w:rsid w:val="00EE1258"/>
    <w:rsid w:val="00EE13DA"/>
    <w:rsid w:val="00EE1668"/>
    <w:rsid w:val="00EE1EDB"/>
    <w:rsid w:val="00EE24E2"/>
    <w:rsid w:val="00EE366D"/>
    <w:rsid w:val="00EE444A"/>
    <w:rsid w:val="00EE4B63"/>
    <w:rsid w:val="00EE4BA1"/>
    <w:rsid w:val="00EE4CDF"/>
    <w:rsid w:val="00EE5454"/>
    <w:rsid w:val="00EE59B5"/>
    <w:rsid w:val="00EE5FB7"/>
    <w:rsid w:val="00EE6783"/>
    <w:rsid w:val="00EE7B54"/>
    <w:rsid w:val="00EE7C47"/>
    <w:rsid w:val="00EE7C88"/>
    <w:rsid w:val="00EE7C8B"/>
    <w:rsid w:val="00EF0209"/>
    <w:rsid w:val="00EF05C0"/>
    <w:rsid w:val="00EF0EA4"/>
    <w:rsid w:val="00EF1E97"/>
    <w:rsid w:val="00EF1FAB"/>
    <w:rsid w:val="00EF21E6"/>
    <w:rsid w:val="00EF2388"/>
    <w:rsid w:val="00EF2436"/>
    <w:rsid w:val="00EF2547"/>
    <w:rsid w:val="00EF26E2"/>
    <w:rsid w:val="00EF296B"/>
    <w:rsid w:val="00EF2B2B"/>
    <w:rsid w:val="00EF2E1C"/>
    <w:rsid w:val="00EF2FD6"/>
    <w:rsid w:val="00EF326A"/>
    <w:rsid w:val="00EF38B3"/>
    <w:rsid w:val="00EF3ECF"/>
    <w:rsid w:val="00EF427A"/>
    <w:rsid w:val="00EF45DF"/>
    <w:rsid w:val="00EF4701"/>
    <w:rsid w:val="00EF477D"/>
    <w:rsid w:val="00EF4840"/>
    <w:rsid w:val="00EF4952"/>
    <w:rsid w:val="00EF498F"/>
    <w:rsid w:val="00EF4A42"/>
    <w:rsid w:val="00EF510C"/>
    <w:rsid w:val="00EF55C4"/>
    <w:rsid w:val="00EF57BC"/>
    <w:rsid w:val="00EF6784"/>
    <w:rsid w:val="00EF688A"/>
    <w:rsid w:val="00EF6A03"/>
    <w:rsid w:val="00EF6DC2"/>
    <w:rsid w:val="00EF71C9"/>
    <w:rsid w:val="00EF71F7"/>
    <w:rsid w:val="00EF7506"/>
    <w:rsid w:val="00EF7BF4"/>
    <w:rsid w:val="00F0012F"/>
    <w:rsid w:val="00F0030F"/>
    <w:rsid w:val="00F00674"/>
    <w:rsid w:val="00F01657"/>
    <w:rsid w:val="00F01E67"/>
    <w:rsid w:val="00F02680"/>
    <w:rsid w:val="00F02744"/>
    <w:rsid w:val="00F02BFD"/>
    <w:rsid w:val="00F02D25"/>
    <w:rsid w:val="00F03C3D"/>
    <w:rsid w:val="00F0435D"/>
    <w:rsid w:val="00F04580"/>
    <w:rsid w:val="00F04888"/>
    <w:rsid w:val="00F04A37"/>
    <w:rsid w:val="00F04C44"/>
    <w:rsid w:val="00F04ECA"/>
    <w:rsid w:val="00F04F8B"/>
    <w:rsid w:val="00F06E19"/>
    <w:rsid w:val="00F06E9C"/>
    <w:rsid w:val="00F06F84"/>
    <w:rsid w:val="00F07616"/>
    <w:rsid w:val="00F076E7"/>
    <w:rsid w:val="00F07AA1"/>
    <w:rsid w:val="00F07CCE"/>
    <w:rsid w:val="00F105AE"/>
    <w:rsid w:val="00F10618"/>
    <w:rsid w:val="00F1108B"/>
    <w:rsid w:val="00F114FA"/>
    <w:rsid w:val="00F11768"/>
    <w:rsid w:val="00F11951"/>
    <w:rsid w:val="00F11E77"/>
    <w:rsid w:val="00F12256"/>
    <w:rsid w:val="00F12262"/>
    <w:rsid w:val="00F12564"/>
    <w:rsid w:val="00F12AF8"/>
    <w:rsid w:val="00F12C52"/>
    <w:rsid w:val="00F13E62"/>
    <w:rsid w:val="00F148B7"/>
    <w:rsid w:val="00F14943"/>
    <w:rsid w:val="00F14EA9"/>
    <w:rsid w:val="00F15505"/>
    <w:rsid w:val="00F15BFF"/>
    <w:rsid w:val="00F168A8"/>
    <w:rsid w:val="00F16D7C"/>
    <w:rsid w:val="00F16E4F"/>
    <w:rsid w:val="00F17244"/>
    <w:rsid w:val="00F17280"/>
    <w:rsid w:val="00F17500"/>
    <w:rsid w:val="00F203EF"/>
    <w:rsid w:val="00F213A0"/>
    <w:rsid w:val="00F21C94"/>
    <w:rsid w:val="00F21D54"/>
    <w:rsid w:val="00F21D6D"/>
    <w:rsid w:val="00F21EF4"/>
    <w:rsid w:val="00F23113"/>
    <w:rsid w:val="00F23255"/>
    <w:rsid w:val="00F23393"/>
    <w:rsid w:val="00F23759"/>
    <w:rsid w:val="00F24644"/>
    <w:rsid w:val="00F24EF4"/>
    <w:rsid w:val="00F2573C"/>
    <w:rsid w:val="00F25947"/>
    <w:rsid w:val="00F262D6"/>
    <w:rsid w:val="00F26F33"/>
    <w:rsid w:val="00F2748A"/>
    <w:rsid w:val="00F2798C"/>
    <w:rsid w:val="00F27A2B"/>
    <w:rsid w:val="00F300A8"/>
    <w:rsid w:val="00F302C6"/>
    <w:rsid w:val="00F30400"/>
    <w:rsid w:val="00F3079E"/>
    <w:rsid w:val="00F31BEF"/>
    <w:rsid w:val="00F33262"/>
    <w:rsid w:val="00F33968"/>
    <w:rsid w:val="00F3399B"/>
    <w:rsid w:val="00F33F4B"/>
    <w:rsid w:val="00F346ED"/>
    <w:rsid w:val="00F34945"/>
    <w:rsid w:val="00F34E1E"/>
    <w:rsid w:val="00F35268"/>
    <w:rsid w:val="00F3570C"/>
    <w:rsid w:val="00F363A4"/>
    <w:rsid w:val="00F36765"/>
    <w:rsid w:val="00F368FF"/>
    <w:rsid w:val="00F36A09"/>
    <w:rsid w:val="00F37068"/>
    <w:rsid w:val="00F37D3C"/>
    <w:rsid w:val="00F37DDE"/>
    <w:rsid w:val="00F37F3F"/>
    <w:rsid w:val="00F40992"/>
    <w:rsid w:val="00F40F5D"/>
    <w:rsid w:val="00F40F72"/>
    <w:rsid w:val="00F40FD8"/>
    <w:rsid w:val="00F41596"/>
    <w:rsid w:val="00F41C33"/>
    <w:rsid w:val="00F41D8B"/>
    <w:rsid w:val="00F42121"/>
    <w:rsid w:val="00F424B3"/>
    <w:rsid w:val="00F428B1"/>
    <w:rsid w:val="00F428B4"/>
    <w:rsid w:val="00F42B8C"/>
    <w:rsid w:val="00F42F69"/>
    <w:rsid w:val="00F4345D"/>
    <w:rsid w:val="00F4387B"/>
    <w:rsid w:val="00F448EE"/>
    <w:rsid w:val="00F4505A"/>
    <w:rsid w:val="00F451D4"/>
    <w:rsid w:val="00F45921"/>
    <w:rsid w:val="00F45B14"/>
    <w:rsid w:val="00F45B91"/>
    <w:rsid w:val="00F45E78"/>
    <w:rsid w:val="00F46639"/>
    <w:rsid w:val="00F46DBB"/>
    <w:rsid w:val="00F46EC3"/>
    <w:rsid w:val="00F476FD"/>
    <w:rsid w:val="00F47716"/>
    <w:rsid w:val="00F50183"/>
    <w:rsid w:val="00F50D92"/>
    <w:rsid w:val="00F5160A"/>
    <w:rsid w:val="00F51765"/>
    <w:rsid w:val="00F51A51"/>
    <w:rsid w:val="00F51BC6"/>
    <w:rsid w:val="00F51CB4"/>
    <w:rsid w:val="00F52236"/>
    <w:rsid w:val="00F52324"/>
    <w:rsid w:val="00F52950"/>
    <w:rsid w:val="00F52C9D"/>
    <w:rsid w:val="00F533F1"/>
    <w:rsid w:val="00F53A40"/>
    <w:rsid w:val="00F5417E"/>
    <w:rsid w:val="00F55679"/>
    <w:rsid w:val="00F56091"/>
    <w:rsid w:val="00F561E3"/>
    <w:rsid w:val="00F565E6"/>
    <w:rsid w:val="00F56AFA"/>
    <w:rsid w:val="00F56FEA"/>
    <w:rsid w:val="00F56FFA"/>
    <w:rsid w:val="00F575E2"/>
    <w:rsid w:val="00F579FF"/>
    <w:rsid w:val="00F600E0"/>
    <w:rsid w:val="00F605EC"/>
    <w:rsid w:val="00F60A75"/>
    <w:rsid w:val="00F60F60"/>
    <w:rsid w:val="00F612CE"/>
    <w:rsid w:val="00F6133C"/>
    <w:rsid w:val="00F623D7"/>
    <w:rsid w:val="00F624A7"/>
    <w:rsid w:val="00F62AB6"/>
    <w:rsid w:val="00F63CAC"/>
    <w:rsid w:val="00F64933"/>
    <w:rsid w:val="00F65A3C"/>
    <w:rsid w:val="00F65CF6"/>
    <w:rsid w:val="00F65D0E"/>
    <w:rsid w:val="00F66282"/>
    <w:rsid w:val="00F6639E"/>
    <w:rsid w:val="00F670E9"/>
    <w:rsid w:val="00F67AF1"/>
    <w:rsid w:val="00F67D8B"/>
    <w:rsid w:val="00F701C5"/>
    <w:rsid w:val="00F70961"/>
    <w:rsid w:val="00F70A8F"/>
    <w:rsid w:val="00F70E36"/>
    <w:rsid w:val="00F71397"/>
    <w:rsid w:val="00F717DE"/>
    <w:rsid w:val="00F72283"/>
    <w:rsid w:val="00F72389"/>
    <w:rsid w:val="00F72516"/>
    <w:rsid w:val="00F72FB4"/>
    <w:rsid w:val="00F735A5"/>
    <w:rsid w:val="00F735E5"/>
    <w:rsid w:val="00F73720"/>
    <w:rsid w:val="00F738D1"/>
    <w:rsid w:val="00F73E80"/>
    <w:rsid w:val="00F7469C"/>
    <w:rsid w:val="00F7492E"/>
    <w:rsid w:val="00F74945"/>
    <w:rsid w:val="00F749A3"/>
    <w:rsid w:val="00F74AE8"/>
    <w:rsid w:val="00F76C11"/>
    <w:rsid w:val="00F77021"/>
    <w:rsid w:val="00F7724A"/>
    <w:rsid w:val="00F77E61"/>
    <w:rsid w:val="00F77E9A"/>
    <w:rsid w:val="00F80221"/>
    <w:rsid w:val="00F8037F"/>
    <w:rsid w:val="00F80C81"/>
    <w:rsid w:val="00F81229"/>
    <w:rsid w:val="00F81265"/>
    <w:rsid w:val="00F815AC"/>
    <w:rsid w:val="00F8187D"/>
    <w:rsid w:val="00F8198B"/>
    <w:rsid w:val="00F82784"/>
    <w:rsid w:val="00F82912"/>
    <w:rsid w:val="00F83A43"/>
    <w:rsid w:val="00F83B33"/>
    <w:rsid w:val="00F83CAE"/>
    <w:rsid w:val="00F840BF"/>
    <w:rsid w:val="00F8427A"/>
    <w:rsid w:val="00F843DF"/>
    <w:rsid w:val="00F84899"/>
    <w:rsid w:val="00F85585"/>
    <w:rsid w:val="00F8570C"/>
    <w:rsid w:val="00F859F0"/>
    <w:rsid w:val="00F85CC1"/>
    <w:rsid w:val="00F8661E"/>
    <w:rsid w:val="00F86B5D"/>
    <w:rsid w:val="00F86BC0"/>
    <w:rsid w:val="00F875E1"/>
    <w:rsid w:val="00F87634"/>
    <w:rsid w:val="00F87C13"/>
    <w:rsid w:val="00F87C5A"/>
    <w:rsid w:val="00F87E29"/>
    <w:rsid w:val="00F87F18"/>
    <w:rsid w:val="00F87F68"/>
    <w:rsid w:val="00F90178"/>
    <w:rsid w:val="00F90C4D"/>
    <w:rsid w:val="00F9167D"/>
    <w:rsid w:val="00F917AC"/>
    <w:rsid w:val="00F91CB2"/>
    <w:rsid w:val="00F91E38"/>
    <w:rsid w:val="00F9232A"/>
    <w:rsid w:val="00F927E8"/>
    <w:rsid w:val="00F9289C"/>
    <w:rsid w:val="00F9374A"/>
    <w:rsid w:val="00F9375C"/>
    <w:rsid w:val="00F93973"/>
    <w:rsid w:val="00F93DBC"/>
    <w:rsid w:val="00F93E41"/>
    <w:rsid w:val="00F93F18"/>
    <w:rsid w:val="00F94206"/>
    <w:rsid w:val="00F94644"/>
    <w:rsid w:val="00F952E4"/>
    <w:rsid w:val="00F9537B"/>
    <w:rsid w:val="00F9576A"/>
    <w:rsid w:val="00F963FC"/>
    <w:rsid w:val="00F97CF1"/>
    <w:rsid w:val="00FA015F"/>
    <w:rsid w:val="00FA0160"/>
    <w:rsid w:val="00FA0FAC"/>
    <w:rsid w:val="00FA10F7"/>
    <w:rsid w:val="00FA1DA2"/>
    <w:rsid w:val="00FA1E83"/>
    <w:rsid w:val="00FA3414"/>
    <w:rsid w:val="00FA347A"/>
    <w:rsid w:val="00FA3CDE"/>
    <w:rsid w:val="00FA40FC"/>
    <w:rsid w:val="00FA49B7"/>
    <w:rsid w:val="00FA5043"/>
    <w:rsid w:val="00FA6416"/>
    <w:rsid w:val="00FA6D7A"/>
    <w:rsid w:val="00FA6F8B"/>
    <w:rsid w:val="00FA727C"/>
    <w:rsid w:val="00FA738C"/>
    <w:rsid w:val="00FA7A30"/>
    <w:rsid w:val="00FA7C5F"/>
    <w:rsid w:val="00FA7C8E"/>
    <w:rsid w:val="00FA7C9A"/>
    <w:rsid w:val="00FB033F"/>
    <w:rsid w:val="00FB04B3"/>
    <w:rsid w:val="00FB12E3"/>
    <w:rsid w:val="00FB1570"/>
    <w:rsid w:val="00FB193B"/>
    <w:rsid w:val="00FB1FBC"/>
    <w:rsid w:val="00FB27B7"/>
    <w:rsid w:val="00FB28F1"/>
    <w:rsid w:val="00FB35E3"/>
    <w:rsid w:val="00FB4C98"/>
    <w:rsid w:val="00FB4CE3"/>
    <w:rsid w:val="00FB5634"/>
    <w:rsid w:val="00FB583C"/>
    <w:rsid w:val="00FB5B54"/>
    <w:rsid w:val="00FB630E"/>
    <w:rsid w:val="00FB648A"/>
    <w:rsid w:val="00FB64BD"/>
    <w:rsid w:val="00FB6738"/>
    <w:rsid w:val="00FB691B"/>
    <w:rsid w:val="00FB6BE6"/>
    <w:rsid w:val="00FB6D4B"/>
    <w:rsid w:val="00FB731C"/>
    <w:rsid w:val="00FB7628"/>
    <w:rsid w:val="00FB7D3A"/>
    <w:rsid w:val="00FC038F"/>
    <w:rsid w:val="00FC05A0"/>
    <w:rsid w:val="00FC07E8"/>
    <w:rsid w:val="00FC0811"/>
    <w:rsid w:val="00FC1196"/>
    <w:rsid w:val="00FC15EB"/>
    <w:rsid w:val="00FC162C"/>
    <w:rsid w:val="00FC18DC"/>
    <w:rsid w:val="00FC1A35"/>
    <w:rsid w:val="00FC1ABF"/>
    <w:rsid w:val="00FC2466"/>
    <w:rsid w:val="00FC2477"/>
    <w:rsid w:val="00FC28D0"/>
    <w:rsid w:val="00FC2AC4"/>
    <w:rsid w:val="00FC2CAC"/>
    <w:rsid w:val="00FC2F73"/>
    <w:rsid w:val="00FC3A9B"/>
    <w:rsid w:val="00FC3AE1"/>
    <w:rsid w:val="00FC3DFC"/>
    <w:rsid w:val="00FC3EF4"/>
    <w:rsid w:val="00FC431B"/>
    <w:rsid w:val="00FC434C"/>
    <w:rsid w:val="00FC472C"/>
    <w:rsid w:val="00FC4F59"/>
    <w:rsid w:val="00FC4FDF"/>
    <w:rsid w:val="00FC516E"/>
    <w:rsid w:val="00FC5CF4"/>
    <w:rsid w:val="00FC5D64"/>
    <w:rsid w:val="00FC6A39"/>
    <w:rsid w:val="00FC7176"/>
    <w:rsid w:val="00FC76A9"/>
    <w:rsid w:val="00FC79AB"/>
    <w:rsid w:val="00FC7ADA"/>
    <w:rsid w:val="00FC7BE7"/>
    <w:rsid w:val="00FC7D25"/>
    <w:rsid w:val="00FC7DAC"/>
    <w:rsid w:val="00FD005D"/>
    <w:rsid w:val="00FD023A"/>
    <w:rsid w:val="00FD0360"/>
    <w:rsid w:val="00FD04AE"/>
    <w:rsid w:val="00FD0DFA"/>
    <w:rsid w:val="00FD128D"/>
    <w:rsid w:val="00FD1607"/>
    <w:rsid w:val="00FD1890"/>
    <w:rsid w:val="00FD1994"/>
    <w:rsid w:val="00FD1E2E"/>
    <w:rsid w:val="00FD2389"/>
    <w:rsid w:val="00FD3508"/>
    <w:rsid w:val="00FD393C"/>
    <w:rsid w:val="00FD3AFF"/>
    <w:rsid w:val="00FD43BB"/>
    <w:rsid w:val="00FD48CD"/>
    <w:rsid w:val="00FD4AF3"/>
    <w:rsid w:val="00FD5C35"/>
    <w:rsid w:val="00FD6609"/>
    <w:rsid w:val="00FD6B36"/>
    <w:rsid w:val="00FD6CEC"/>
    <w:rsid w:val="00FD70A8"/>
    <w:rsid w:val="00FD798D"/>
    <w:rsid w:val="00FD7D3C"/>
    <w:rsid w:val="00FE07D8"/>
    <w:rsid w:val="00FE141E"/>
    <w:rsid w:val="00FE144E"/>
    <w:rsid w:val="00FE1768"/>
    <w:rsid w:val="00FE24F4"/>
    <w:rsid w:val="00FE2560"/>
    <w:rsid w:val="00FE29AD"/>
    <w:rsid w:val="00FE35D0"/>
    <w:rsid w:val="00FE42ED"/>
    <w:rsid w:val="00FE4E06"/>
    <w:rsid w:val="00FE55A7"/>
    <w:rsid w:val="00FE5C5A"/>
    <w:rsid w:val="00FE6432"/>
    <w:rsid w:val="00FE66E4"/>
    <w:rsid w:val="00FE6D20"/>
    <w:rsid w:val="00FE72A0"/>
    <w:rsid w:val="00FE76F7"/>
    <w:rsid w:val="00FE76F9"/>
    <w:rsid w:val="00FF0050"/>
    <w:rsid w:val="00FF0075"/>
    <w:rsid w:val="00FF045F"/>
    <w:rsid w:val="00FF0FA2"/>
    <w:rsid w:val="00FF13D4"/>
    <w:rsid w:val="00FF1D1B"/>
    <w:rsid w:val="00FF2053"/>
    <w:rsid w:val="00FF38ED"/>
    <w:rsid w:val="00FF3B37"/>
    <w:rsid w:val="00FF3C0B"/>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BD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Ha,列出段落"/>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numbering" w:styleId="111111">
    <w:name w:val="Outline List 2"/>
    <w:basedOn w:val="Sinlista"/>
    <w:uiPriority w:val="99"/>
    <w:semiHidden/>
    <w:unhideWhenUsed/>
    <w:rsid w:val="00E17AFA"/>
    <w:pPr>
      <w:numPr>
        <w:numId w:val="29"/>
      </w:numPr>
    </w:pPr>
  </w:style>
  <w:style w:type="paragraph" w:styleId="HTMLconformatoprevio">
    <w:name w:val="HTML Preformatted"/>
    <w:basedOn w:val="Normal"/>
    <w:link w:val="HTMLconformatoprevioCar"/>
    <w:uiPriority w:val="99"/>
    <w:semiHidden/>
    <w:unhideWhenUsed/>
    <w:rsid w:val="006F6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F64B5"/>
    <w:rPr>
      <w:rFonts w:ascii="Courier New" w:eastAsia="Times New Roman" w:hAnsi="Courier New" w:cs="Courier New"/>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3314033">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9160">
      <w:bodyDiv w:val="1"/>
      <w:marLeft w:val="0"/>
      <w:marRight w:val="0"/>
      <w:marTop w:val="0"/>
      <w:marBottom w:val="0"/>
      <w:divBdr>
        <w:top w:val="none" w:sz="0" w:space="0" w:color="auto"/>
        <w:left w:val="none" w:sz="0" w:space="0" w:color="auto"/>
        <w:bottom w:val="none" w:sz="0" w:space="0" w:color="auto"/>
        <w:right w:val="none" w:sz="0" w:space="0" w:color="auto"/>
      </w:divBdr>
    </w:div>
    <w:div w:id="58673589">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4789">
      <w:bodyDiv w:val="1"/>
      <w:marLeft w:val="0"/>
      <w:marRight w:val="0"/>
      <w:marTop w:val="0"/>
      <w:marBottom w:val="0"/>
      <w:divBdr>
        <w:top w:val="none" w:sz="0" w:space="0" w:color="auto"/>
        <w:left w:val="none" w:sz="0" w:space="0" w:color="auto"/>
        <w:bottom w:val="none" w:sz="0" w:space="0" w:color="auto"/>
        <w:right w:val="none" w:sz="0" w:space="0" w:color="auto"/>
      </w:divBdr>
    </w:div>
    <w:div w:id="93325160">
      <w:bodyDiv w:val="1"/>
      <w:marLeft w:val="0"/>
      <w:marRight w:val="0"/>
      <w:marTop w:val="0"/>
      <w:marBottom w:val="0"/>
      <w:divBdr>
        <w:top w:val="none" w:sz="0" w:space="0" w:color="auto"/>
        <w:left w:val="none" w:sz="0" w:space="0" w:color="auto"/>
        <w:bottom w:val="none" w:sz="0" w:space="0" w:color="auto"/>
        <w:right w:val="none" w:sz="0" w:space="0" w:color="auto"/>
      </w:divBdr>
      <w:divsChild>
        <w:div w:id="640772504">
          <w:marLeft w:val="0"/>
          <w:marRight w:val="0"/>
          <w:marTop w:val="0"/>
          <w:marBottom w:val="0"/>
          <w:divBdr>
            <w:top w:val="none" w:sz="0" w:space="0" w:color="auto"/>
            <w:left w:val="none" w:sz="0" w:space="0" w:color="auto"/>
            <w:bottom w:val="none" w:sz="0" w:space="0" w:color="auto"/>
            <w:right w:val="none" w:sz="0" w:space="0" w:color="auto"/>
          </w:divBdr>
          <w:divsChild>
            <w:div w:id="1065565699">
              <w:marLeft w:val="0"/>
              <w:marRight w:val="0"/>
              <w:marTop w:val="0"/>
              <w:marBottom w:val="0"/>
              <w:divBdr>
                <w:top w:val="none" w:sz="0" w:space="0" w:color="auto"/>
                <w:left w:val="none" w:sz="0" w:space="0" w:color="auto"/>
                <w:bottom w:val="none" w:sz="0" w:space="0" w:color="auto"/>
                <w:right w:val="none" w:sz="0" w:space="0" w:color="auto"/>
              </w:divBdr>
              <w:divsChild>
                <w:div w:id="15610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9318">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90265909">
      <w:bodyDiv w:val="1"/>
      <w:marLeft w:val="0"/>
      <w:marRight w:val="0"/>
      <w:marTop w:val="0"/>
      <w:marBottom w:val="0"/>
      <w:divBdr>
        <w:top w:val="none" w:sz="0" w:space="0" w:color="auto"/>
        <w:left w:val="none" w:sz="0" w:space="0" w:color="auto"/>
        <w:bottom w:val="none" w:sz="0" w:space="0" w:color="auto"/>
        <w:right w:val="none" w:sz="0" w:space="0" w:color="auto"/>
      </w:divBdr>
      <w:divsChild>
        <w:div w:id="1724526222">
          <w:marLeft w:val="0"/>
          <w:marRight w:val="0"/>
          <w:marTop w:val="0"/>
          <w:marBottom w:val="0"/>
          <w:divBdr>
            <w:top w:val="none" w:sz="0" w:space="0" w:color="auto"/>
            <w:left w:val="none" w:sz="0" w:space="0" w:color="auto"/>
            <w:bottom w:val="none" w:sz="0" w:space="0" w:color="auto"/>
            <w:right w:val="none" w:sz="0" w:space="0" w:color="auto"/>
          </w:divBdr>
          <w:divsChild>
            <w:div w:id="915014215">
              <w:marLeft w:val="0"/>
              <w:marRight w:val="0"/>
              <w:marTop w:val="0"/>
              <w:marBottom w:val="0"/>
              <w:divBdr>
                <w:top w:val="none" w:sz="0" w:space="0" w:color="auto"/>
                <w:left w:val="none" w:sz="0" w:space="0" w:color="auto"/>
                <w:bottom w:val="none" w:sz="0" w:space="0" w:color="auto"/>
                <w:right w:val="none" w:sz="0" w:space="0" w:color="auto"/>
              </w:divBdr>
              <w:divsChild>
                <w:div w:id="16355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2455">
      <w:bodyDiv w:val="1"/>
      <w:marLeft w:val="0"/>
      <w:marRight w:val="0"/>
      <w:marTop w:val="0"/>
      <w:marBottom w:val="0"/>
      <w:divBdr>
        <w:top w:val="none" w:sz="0" w:space="0" w:color="auto"/>
        <w:left w:val="none" w:sz="0" w:space="0" w:color="auto"/>
        <w:bottom w:val="none" w:sz="0" w:space="0" w:color="auto"/>
        <w:right w:val="none" w:sz="0" w:space="0" w:color="auto"/>
      </w:divBdr>
      <w:divsChild>
        <w:div w:id="2123958927">
          <w:marLeft w:val="0"/>
          <w:marRight w:val="0"/>
          <w:marTop w:val="0"/>
          <w:marBottom w:val="0"/>
          <w:divBdr>
            <w:top w:val="none" w:sz="0" w:space="0" w:color="auto"/>
            <w:left w:val="none" w:sz="0" w:space="0" w:color="auto"/>
            <w:bottom w:val="none" w:sz="0" w:space="0" w:color="auto"/>
            <w:right w:val="none" w:sz="0" w:space="0" w:color="auto"/>
          </w:divBdr>
          <w:divsChild>
            <w:div w:id="13575507">
              <w:marLeft w:val="0"/>
              <w:marRight w:val="0"/>
              <w:marTop w:val="0"/>
              <w:marBottom w:val="0"/>
              <w:divBdr>
                <w:top w:val="none" w:sz="0" w:space="0" w:color="auto"/>
                <w:left w:val="none" w:sz="0" w:space="0" w:color="auto"/>
                <w:bottom w:val="none" w:sz="0" w:space="0" w:color="auto"/>
                <w:right w:val="none" w:sz="0" w:space="0" w:color="auto"/>
              </w:divBdr>
              <w:divsChild>
                <w:div w:id="3752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09610504">
      <w:bodyDiv w:val="1"/>
      <w:marLeft w:val="0"/>
      <w:marRight w:val="0"/>
      <w:marTop w:val="0"/>
      <w:marBottom w:val="0"/>
      <w:divBdr>
        <w:top w:val="none" w:sz="0" w:space="0" w:color="auto"/>
        <w:left w:val="none" w:sz="0" w:space="0" w:color="auto"/>
        <w:bottom w:val="none" w:sz="0" w:space="0" w:color="auto"/>
        <w:right w:val="none" w:sz="0" w:space="0" w:color="auto"/>
      </w:divBdr>
    </w:div>
    <w:div w:id="217058509">
      <w:bodyDiv w:val="1"/>
      <w:marLeft w:val="0"/>
      <w:marRight w:val="0"/>
      <w:marTop w:val="0"/>
      <w:marBottom w:val="0"/>
      <w:divBdr>
        <w:top w:val="none" w:sz="0" w:space="0" w:color="auto"/>
        <w:left w:val="none" w:sz="0" w:space="0" w:color="auto"/>
        <w:bottom w:val="none" w:sz="0" w:space="0" w:color="auto"/>
        <w:right w:val="none" w:sz="0" w:space="0" w:color="auto"/>
      </w:divBdr>
      <w:divsChild>
        <w:div w:id="1559898235">
          <w:marLeft w:val="0"/>
          <w:marRight w:val="0"/>
          <w:marTop w:val="0"/>
          <w:marBottom w:val="0"/>
          <w:divBdr>
            <w:top w:val="none" w:sz="0" w:space="0" w:color="auto"/>
            <w:left w:val="none" w:sz="0" w:space="0" w:color="auto"/>
            <w:bottom w:val="none" w:sz="0" w:space="0" w:color="auto"/>
            <w:right w:val="none" w:sz="0" w:space="0" w:color="auto"/>
          </w:divBdr>
          <w:divsChild>
            <w:div w:id="1991131413">
              <w:marLeft w:val="0"/>
              <w:marRight w:val="0"/>
              <w:marTop w:val="0"/>
              <w:marBottom w:val="0"/>
              <w:divBdr>
                <w:top w:val="none" w:sz="0" w:space="0" w:color="auto"/>
                <w:left w:val="none" w:sz="0" w:space="0" w:color="auto"/>
                <w:bottom w:val="none" w:sz="0" w:space="0" w:color="auto"/>
                <w:right w:val="none" w:sz="0" w:space="0" w:color="auto"/>
              </w:divBdr>
              <w:divsChild>
                <w:div w:id="18095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2904905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3654">
      <w:bodyDiv w:val="1"/>
      <w:marLeft w:val="0"/>
      <w:marRight w:val="0"/>
      <w:marTop w:val="0"/>
      <w:marBottom w:val="0"/>
      <w:divBdr>
        <w:top w:val="none" w:sz="0" w:space="0" w:color="auto"/>
        <w:left w:val="none" w:sz="0" w:space="0" w:color="auto"/>
        <w:bottom w:val="none" w:sz="0" w:space="0" w:color="auto"/>
        <w:right w:val="none" w:sz="0" w:space="0" w:color="auto"/>
      </w:divBdr>
      <w:divsChild>
        <w:div w:id="1850023288">
          <w:marLeft w:val="0"/>
          <w:marRight w:val="0"/>
          <w:marTop w:val="0"/>
          <w:marBottom w:val="0"/>
          <w:divBdr>
            <w:top w:val="none" w:sz="0" w:space="0" w:color="auto"/>
            <w:left w:val="none" w:sz="0" w:space="0" w:color="auto"/>
            <w:bottom w:val="none" w:sz="0" w:space="0" w:color="auto"/>
            <w:right w:val="none" w:sz="0" w:space="0" w:color="auto"/>
          </w:divBdr>
          <w:divsChild>
            <w:div w:id="1358389911">
              <w:marLeft w:val="0"/>
              <w:marRight w:val="0"/>
              <w:marTop w:val="0"/>
              <w:marBottom w:val="0"/>
              <w:divBdr>
                <w:top w:val="none" w:sz="0" w:space="0" w:color="auto"/>
                <w:left w:val="none" w:sz="0" w:space="0" w:color="auto"/>
                <w:bottom w:val="none" w:sz="0" w:space="0" w:color="auto"/>
                <w:right w:val="none" w:sz="0" w:space="0" w:color="auto"/>
              </w:divBdr>
              <w:divsChild>
                <w:div w:id="7781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300905">
      <w:bodyDiv w:val="1"/>
      <w:marLeft w:val="0"/>
      <w:marRight w:val="0"/>
      <w:marTop w:val="0"/>
      <w:marBottom w:val="0"/>
      <w:divBdr>
        <w:top w:val="none" w:sz="0" w:space="0" w:color="auto"/>
        <w:left w:val="none" w:sz="0" w:space="0" w:color="auto"/>
        <w:bottom w:val="none" w:sz="0" w:space="0" w:color="auto"/>
        <w:right w:val="none" w:sz="0" w:space="0" w:color="auto"/>
      </w:divBdr>
      <w:divsChild>
        <w:div w:id="314071473">
          <w:marLeft w:val="0"/>
          <w:marRight w:val="0"/>
          <w:marTop w:val="0"/>
          <w:marBottom w:val="0"/>
          <w:divBdr>
            <w:top w:val="none" w:sz="0" w:space="0" w:color="auto"/>
            <w:left w:val="none" w:sz="0" w:space="0" w:color="auto"/>
            <w:bottom w:val="none" w:sz="0" w:space="0" w:color="auto"/>
            <w:right w:val="none" w:sz="0" w:space="0" w:color="auto"/>
          </w:divBdr>
          <w:divsChild>
            <w:div w:id="139927240">
              <w:marLeft w:val="0"/>
              <w:marRight w:val="0"/>
              <w:marTop w:val="0"/>
              <w:marBottom w:val="0"/>
              <w:divBdr>
                <w:top w:val="none" w:sz="0" w:space="0" w:color="auto"/>
                <w:left w:val="none" w:sz="0" w:space="0" w:color="auto"/>
                <w:bottom w:val="none" w:sz="0" w:space="0" w:color="auto"/>
                <w:right w:val="none" w:sz="0" w:space="0" w:color="auto"/>
              </w:divBdr>
              <w:divsChild>
                <w:div w:id="1229000288">
                  <w:marLeft w:val="0"/>
                  <w:marRight w:val="0"/>
                  <w:marTop w:val="0"/>
                  <w:marBottom w:val="0"/>
                  <w:divBdr>
                    <w:top w:val="none" w:sz="0" w:space="0" w:color="auto"/>
                    <w:left w:val="none" w:sz="0" w:space="0" w:color="auto"/>
                    <w:bottom w:val="none" w:sz="0" w:space="0" w:color="auto"/>
                    <w:right w:val="none" w:sz="0" w:space="0" w:color="auto"/>
                  </w:divBdr>
                </w:div>
              </w:divsChild>
            </w:div>
            <w:div w:id="2043941189">
              <w:marLeft w:val="0"/>
              <w:marRight w:val="0"/>
              <w:marTop w:val="0"/>
              <w:marBottom w:val="0"/>
              <w:divBdr>
                <w:top w:val="none" w:sz="0" w:space="0" w:color="auto"/>
                <w:left w:val="none" w:sz="0" w:space="0" w:color="auto"/>
                <w:bottom w:val="none" w:sz="0" w:space="0" w:color="auto"/>
                <w:right w:val="none" w:sz="0" w:space="0" w:color="auto"/>
              </w:divBdr>
              <w:divsChild>
                <w:div w:id="1983074471">
                  <w:marLeft w:val="0"/>
                  <w:marRight w:val="0"/>
                  <w:marTop w:val="0"/>
                  <w:marBottom w:val="0"/>
                  <w:divBdr>
                    <w:top w:val="none" w:sz="0" w:space="0" w:color="auto"/>
                    <w:left w:val="none" w:sz="0" w:space="0" w:color="auto"/>
                    <w:bottom w:val="none" w:sz="0" w:space="0" w:color="auto"/>
                    <w:right w:val="none" w:sz="0" w:space="0" w:color="auto"/>
                  </w:divBdr>
                  <w:divsChild>
                    <w:div w:id="38869340">
                      <w:marLeft w:val="0"/>
                      <w:marRight w:val="0"/>
                      <w:marTop w:val="0"/>
                      <w:marBottom w:val="0"/>
                      <w:divBdr>
                        <w:top w:val="none" w:sz="0" w:space="0" w:color="auto"/>
                        <w:left w:val="none" w:sz="0" w:space="0" w:color="auto"/>
                        <w:bottom w:val="none" w:sz="0" w:space="0" w:color="auto"/>
                        <w:right w:val="none" w:sz="0" w:space="0" w:color="auto"/>
                      </w:divBdr>
                    </w:div>
                  </w:divsChild>
                </w:div>
                <w:div w:id="890313453">
                  <w:marLeft w:val="0"/>
                  <w:marRight w:val="0"/>
                  <w:marTop w:val="0"/>
                  <w:marBottom w:val="0"/>
                  <w:divBdr>
                    <w:top w:val="none" w:sz="0" w:space="0" w:color="auto"/>
                    <w:left w:val="none" w:sz="0" w:space="0" w:color="auto"/>
                    <w:bottom w:val="none" w:sz="0" w:space="0" w:color="auto"/>
                    <w:right w:val="none" w:sz="0" w:space="0" w:color="auto"/>
                  </w:divBdr>
                  <w:divsChild>
                    <w:div w:id="1100489014">
                      <w:marLeft w:val="0"/>
                      <w:marRight w:val="0"/>
                      <w:marTop w:val="0"/>
                      <w:marBottom w:val="0"/>
                      <w:divBdr>
                        <w:top w:val="none" w:sz="0" w:space="0" w:color="auto"/>
                        <w:left w:val="none" w:sz="0" w:space="0" w:color="auto"/>
                        <w:bottom w:val="none" w:sz="0" w:space="0" w:color="auto"/>
                        <w:right w:val="none" w:sz="0" w:space="0" w:color="auto"/>
                      </w:divBdr>
                    </w:div>
                  </w:divsChild>
                </w:div>
                <w:div w:id="1292050457">
                  <w:marLeft w:val="0"/>
                  <w:marRight w:val="0"/>
                  <w:marTop w:val="0"/>
                  <w:marBottom w:val="0"/>
                  <w:divBdr>
                    <w:top w:val="none" w:sz="0" w:space="0" w:color="auto"/>
                    <w:left w:val="none" w:sz="0" w:space="0" w:color="auto"/>
                    <w:bottom w:val="none" w:sz="0" w:space="0" w:color="auto"/>
                    <w:right w:val="none" w:sz="0" w:space="0" w:color="auto"/>
                  </w:divBdr>
                  <w:divsChild>
                    <w:div w:id="1956592683">
                      <w:marLeft w:val="0"/>
                      <w:marRight w:val="0"/>
                      <w:marTop w:val="0"/>
                      <w:marBottom w:val="0"/>
                      <w:divBdr>
                        <w:top w:val="none" w:sz="0" w:space="0" w:color="auto"/>
                        <w:left w:val="none" w:sz="0" w:space="0" w:color="auto"/>
                        <w:bottom w:val="none" w:sz="0" w:space="0" w:color="auto"/>
                        <w:right w:val="none" w:sz="0" w:space="0" w:color="auto"/>
                      </w:divBdr>
                    </w:div>
                  </w:divsChild>
                </w:div>
                <w:div w:id="1777142146">
                  <w:marLeft w:val="0"/>
                  <w:marRight w:val="0"/>
                  <w:marTop w:val="0"/>
                  <w:marBottom w:val="0"/>
                  <w:divBdr>
                    <w:top w:val="none" w:sz="0" w:space="0" w:color="auto"/>
                    <w:left w:val="none" w:sz="0" w:space="0" w:color="auto"/>
                    <w:bottom w:val="none" w:sz="0" w:space="0" w:color="auto"/>
                    <w:right w:val="none" w:sz="0" w:space="0" w:color="auto"/>
                  </w:divBdr>
                  <w:divsChild>
                    <w:div w:id="2104372800">
                      <w:marLeft w:val="0"/>
                      <w:marRight w:val="0"/>
                      <w:marTop w:val="0"/>
                      <w:marBottom w:val="0"/>
                      <w:divBdr>
                        <w:top w:val="none" w:sz="0" w:space="0" w:color="auto"/>
                        <w:left w:val="none" w:sz="0" w:space="0" w:color="auto"/>
                        <w:bottom w:val="none" w:sz="0" w:space="0" w:color="auto"/>
                        <w:right w:val="none" w:sz="0" w:space="0" w:color="auto"/>
                      </w:divBdr>
                    </w:div>
                  </w:divsChild>
                </w:div>
                <w:div w:id="886799111">
                  <w:marLeft w:val="0"/>
                  <w:marRight w:val="0"/>
                  <w:marTop w:val="0"/>
                  <w:marBottom w:val="0"/>
                  <w:divBdr>
                    <w:top w:val="none" w:sz="0" w:space="0" w:color="auto"/>
                    <w:left w:val="none" w:sz="0" w:space="0" w:color="auto"/>
                    <w:bottom w:val="none" w:sz="0" w:space="0" w:color="auto"/>
                    <w:right w:val="none" w:sz="0" w:space="0" w:color="auto"/>
                  </w:divBdr>
                  <w:divsChild>
                    <w:div w:id="11955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561941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16037482">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0911902">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4233084">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09423539">
      <w:bodyDiv w:val="1"/>
      <w:marLeft w:val="0"/>
      <w:marRight w:val="0"/>
      <w:marTop w:val="0"/>
      <w:marBottom w:val="0"/>
      <w:divBdr>
        <w:top w:val="none" w:sz="0" w:space="0" w:color="auto"/>
        <w:left w:val="none" w:sz="0" w:space="0" w:color="auto"/>
        <w:bottom w:val="none" w:sz="0" w:space="0" w:color="auto"/>
        <w:right w:val="none" w:sz="0" w:space="0" w:color="auto"/>
      </w:divBdr>
      <w:divsChild>
        <w:div w:id="297150234">
          <w:marLeft w:val="0"/>
          <w:marRight w:val="0"/>
          <w:marTop w:val="0"/>
          <w:marBottom w:val="0"/>
          <w:divBdr>
            <w:top w:val="none" w:sz="0" w:space="0" w:color="auto"/>
            <w:left w:val="none" w:sz="0" w:space="0" w:color="auto"/>
            <w:bottom w:val="none" w:sz="0" w:space="0" w:color="auto"/>
            <w:right w:val="none" w:sz="0" w:space="0" w:color="auto"/>
          </w:divBdr>
        </w:div>
      </w:divsChild>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18258151">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26731129">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3529198">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533412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2932395">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081743">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718950">
      <w:bodyDiv w:val="1"/>
      <w:marLeft w:val="0"/>
      <w:marRight w:val="0"/>
      <w:marTop w:val="0"/>
      <w:marBottom w:val="0"/>
      <w:divBdr>
        <w:top w:val="none" w:sz="0" w:space="0" w:color="auto"/>
        <w:left w:val="none" w:sz="0" w:space="0" w:color="auto"/>
        <w:bottom w:val="none" w:sz="0" w:space="0" w:color="auto"/>
        <w:right w:val="none" w:sz="0" w:space="0" w:color="auto"/>
      </w:divBdr>
      <w:divsChild>
        <w:div w:id="592713484">
          <w:marLeft w:val="0"/>
          <w:marRight w:val="0"/>
          <w:marTop w:val="0"/>
          <w:marBottom w:val="0"/>
          <w:divBdr>
            <w:top w:val="none" w:sz="0" w:space="0" w:color="auto"/>
            <w:left w:val="none" w:sz="0" w:space="0" w:color="auto"/>
            <w:bottom w:val="none" w:sz="0" w:space="0" w:color="auto"/>
            <w:right w:val="none" w:sz="0" w:space="0" w:color="auto"/>
          </w:divBdr>
          <w:divsChild>
            <w:div w:id="1785151563">
              <w:marLeft w:val="0"/>
              <w:marRight w:val="0"/>
              <w:marTop w:val="0"/>
              <w:marBottom w:val="0"/>
              <w:divBdr>
                <w:top w:val="none" w:sz="0" w:space="0" w:color="auto"/>
                <w:left w:val="none" w:sz="0" w:space="0" w:color="auto"/>
                <w:bottom w:val="none" w:sz="0" w:space="0" w:color="auto"/>
                <w:right w:val="none" w:sz="0" w:space="0" w:color="auto"/>
              </w:divBdr>
              <w:divsChild>
                <w:div w:id="13609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6150852">
      <w:bodyDiv w:val="1"/>
      <w:marLeft w:val="0"/>
      <w:marRight w:val="0"/>
      <w:marTop w:val="0"/>
      <w:marBottom w:val="0"/>
      <w:divBdr>
        <w:top w:val="none" w:sz="0" w:space="0" w:color="auto"/>
        <w:left w:val="none" w:sz="0" w:space="0" w:color="auto"/>
        <w:bottom w:val="none" w:sz="0" w:space="0" w:color="auto"/>
        <w:right w:val="none" w:sz="0" w:space="0" w:color="auto"/>
      </w:divBdr>
      <w:divsChild>
        <w:div w:id="293566977">
          <w:marLeft w:val="0"/>
          <w:marRight w:val="0"/>
          <w:marTop w:val="0"/>
          <w:marBottom w:val="0"/>
          <w:divBdr>
            <w:top w:val="none" w:sz="0" w:space="0" w:color="auto"/>
            <w:left w:val="none" w:sz="0" w:space="0" w:color="auto"/>
            <w:bottom w:val="none" w:sz="0" w:space="0" w:color="auto"/>
            <w:right w:val="none" w:sz="0" w:space="0" w:color="auto"/>
          </w:divBdr>
          <w:divsChild>
            <w:div w:id="723479737">
              <w:marLeft w:val="0"/>
              <w:marRight w:val="0"/>
              <w:marTop w:val="0"/>
              <w:marBottom w:val="0"/>
              <w:divBdr>
                <w:top w:val="none" w:sz="0" w:space="0" w:color="auto"/>
                <w:left w:val="none" w:sz="0" w:space="0" w:color="auto"/>
                <w:bottom w:val="none" w:sz="0" w:space="0" w:color="auto"/>
                <w:right w:val="none" w:sz="0" w:space="0" w:color="auto"/>
              </w:divBdr>
              <w:divsChild>
                <w:div w:id="18282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269704">
      <w:bodyDiv w:val="1"/>
      <w:marLeft w:val="0"/>
      <w:marRight w:val="0"/>
      <w:marTop w:val="0"/>
      <w:marBottom w:val="0"/>
      <w:divBdr>
        <w:top w:val="none" w:sz="0" w:space="0" w:color="auto"/>
        <w:left w:val="none" w:sz="0" w:space="0" w:color="auto"/>
        <w:bottom w:val="none" w:sz="0" w:space="0" w:color="auto"/>
        <w:right w:val="none" w:sz="0" w:space="0" w:color="auto"/>
      </w:divBdr>
      <w:divsChild>
        <w:div w:id="1909270632">
          <w:marLeft w:val="0"/>
          <w:marRight w:val="0"/>
          <w:marTop w:val="0"/>
          <w:marBottom w:val="0"/>
          <w:divBdr>
            <w:top w:val="none" w:sz="0" w:space="0" w:color="auto"/>
            <w:left w:val="none" w:sz="0" w:space="0" w:color="auto"/>
            <w:bottom w:val="none" w:sz="0" w:space="0" w:color="auto"/>
            <w:right w:val="none" w:sz="0" w:space="0" w:color="auto"/>
          </w:divBdr>
          <w:divsChild>
            <w:div w:id="63921588">
              <w:marLeft w:val="0"/>
              <w:marRight w:val="0"/>
              <w:marTop w:val="0"/>
              <w:marBottom w:val="0"/>
              <w:divBdr>
                <w:top w:val="none" w:sz="0" w:space="0" w:color="auto"/>
                <w:left w:val="none" w:sz="0" w:space="0" w:color="auto"/>
                <w:bottom w:val="none" w:sz="0" w:space="0" w:color="auto"/>
                <w:right w:val="none" w:sz="0" w:space="0" w:color="auto"/>
              </w:divBdr>
              <w:divsChild>
                <w:div w:id="4969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2165">
          <w:marLeft w:val="0"/>
          <w:marRight w:val="0"/>
          <w:marTop w:val="0"/>
          <w:marBottom w:val="0"/>
          <w:divBdr>
            <w:top w:val="none" w:sz="0" w:space="0" w:color="auto"/>
            <w:left w:val="none" w:sz="0" w:space="0" w:color="auto"/>
            <w:bottom w:val="none" w:sz="0" w:space="0" w:color="auto"/>
            <w:right w:val="none" w:sz="0" w:space="0" w:color="auto"/>
          </w:divBdr>
          <w:divsChild>
            <w:div w:id="23673178">
              <w:marLeft w:val="0"/>
              <w:marRight w:val="0"/>
              <w:marTop w:val="0"/>
              <w:marBottom w:val="0"/>
              <w:divBdr>
                <w:top w:val="none" w:sz="0" w:space="0" w:color="auto"/>
                <w:left w:val="none" w:sz="0" w:space="0" w:color="auto"/>
                <w:bottom w:val="none" w:sz="0" w:space="0" w:color="auto"/>
                <w:right w:val="none" w:sz="0" w:space="0" w:color="auto"/>
              </w:divBdr>
              <w:divsChild>
                <w:div w:id="6260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3626664">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5697">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7781">
      <w:bodyDiv w:val="1"/>
      <w:marLeft w:val="0"/>
      <w:marRight w:val="0"/>
      <w:marTop w:val="0"/>
      <w:marBottom w:val="0"/>
      <w:divBdr>
        <w:top w:val="none" w:sz="0" w:space="0" w:color="auto"/>
        <w:left w:val="none" w:sz="0" w:space="0" w:color="auto"/>
        <w:bottom w:val="none" w:sz="0" w:space="0" w:color="auto"/>
        <w:right w:val="none" w:sz="0" w:space="0" w:color="auto"/>
      </w:divBdr>
      <w:divsChild>
        <w:div w:id="295532407">
          <w:marLeft w:val="0"/>
          <w:marRight w:val="0"/>
          <w:marTop w:val="0"/>
          <w:marBottom w:val="0"/>
          <w:divBdr>
            <w:top w:val="none" w:sz="0" w:space="0" w:color="auto"/>
            <w:left w:val="none" w:sz="0" w:space="0" w:color="auto"/>
            <w:bottom w:val="none" w:sz="0" w:space="0" w:color="auto"/>
            <w:right w:val="none" w:sz="0" w:space="0" w:color="auto"/>
          </w:divBdr>
          <w:divsChild>
            <w:div w:id="1240865657">
              <w:marLeft w:val="0"/>
              <w:marRight w:val="0"/>
              <w:marTop w:val="0"/>
              <w:marBottom w:val="0"/>
              <w:divBdr>
                <w:top w:val="none" w:sz="0" w:space="0" w:color="auto"/>
                <w:left w:val="none" w:sz="0" w:space="0" w:color="auto"/>
                <w:bottom w:val="none" w:sz="0" w:space="0" w:color="auto"/>
                <w:right w:val="none" w:sz="0" w:space="0" w:color="auto"/>
              </w:divBdr>
              <w:divsChild>
                <w:div w:id="18504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6995879">
      <w:bodyDiv w:val="1"/>
      <w:marLeft w:val="0"/>
      <w:marRight w:val="0"/>
      <w:marTop w:val="0"/>
      <w:marBottom w:val="0"/>
      <w:divBdr>
        <w:top w:val="none" w:sz="0" w:space="0" w:color="auto"/>
        <w:left w:val="none" w:sz="0" w:space="0" w:color="auto"/>
        <w:bottom w:val="none" w:sz="0" w:space="0" w:color="auto"/>
        <w:right w:val="none" w:sz="0" w:space="0" w:color="auto"/>
      </w:divBdr>
      <w:divsChild>
        <w:div w:id="307054694">
          <w:marLeft w:val="0"/>
          <w:marRight w:val="0"/>
          <w:marTop w:val="0"/>
          <w:marBottom w:val="0"/>
          <w:divBdr>
            <w:top w:val="none" w:sz="0" w:space="0" w:color="auto"/>
            <w:left w:val="none" w:sz="0" w:space="0" w:color="auto"/>
            <w:bottom w:val="none" w:sz="0" w:space="0" w:color="auto"/>
            <w:right w:val="none" w:sz="0" w:space="0" w:color="auto"/>
          </w:divBdr>
          <w:divsChild>
            <w:div w:id="237786832">
              <w:marLeft w:val="0"/>
              <w:marRight w:val="0"/>
              <w:marTop w:val="0"/>
              <w:marBottom w:val="0"/>
              <w:divBdr>
                <w:top w:val="none" w:sz="0" w:space="0" w:color="auto"/>
                <w:left w:val="none" w:sz="0" w:space="0" w:color="auto"/>
                <w:bottom w:val="none" w:sz="0" w:space="0" w:color="auto"/>
                <w:right w:val="none" w:sz="0" w:space="0" w:color="auto"/>
              </w:divBdr>
              <w:divsChild>
                <w:div w:id="5432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8076">
          <w:marLeft w:val="0"/>
          <w:marRight w:val="0"/>
          <w:marTop w:val="0"/>
          <w:marBottom w:val="0"/>
          <w:divBdr>
            <w:top w:val="none" w:sz="0" w:space="0" w:color="auto"/>
            <w:left w:val="none" w:sz="0" w:space="0" w:color="auto"/>
            <w:bottom w:val="none" w:sz="0" w:space="0" w:color="auto"/>
            <w:right w:val="none" w:sz="0" w:space="0" w:color="auto"/>
          </w:divBdr>
          <w:divsChild>
            <w:div w:id="1905681204">
              <w:marLeft w:val="0"/>
              <w:marRight w:val="0"/>
              <w:marTop w:val="0"/>
              <w:marBottom w:val="0"/>
              <w:divBdr>
                <w:top w:val="none" w:sz="0" w:space="0" w:color="auto"/>
                <w:left w:val="none" w:sz="0" w:space="0" w:color="auto"/>
                <w:bottom w:val="none" w:sz="0" w:space="0" w:color="auto"/>
                <w:right w:val="none" w:sz="0" w:space="0" w:color="auto"/>
              </w:divBdr>
              <w:divsChild>
                <w:div w:id="4982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517228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5452350">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4342266">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168181">
      <w:bodyDiv w:val="1"/>
      <w:marLeft w:val="0"/>
      <w:marRight w:val="0"/>
      <w:marTop w:val="0"/>
      <w:marBottom w:val="0"/>
      <w:divBdr>
        <w:top w:val="none" w:sz="0" w:space="0" w:color="auto"/>
        <w:left w:val="none" w:sz="0" w:space="0" w:color="auto"/>
        <w:bottom w:val="none" w:sz="0" w:space="0" w:color="auto"/>
        <w:right w:val="none" w:sz="0" w:space="0" w:color="auto"/>
      </w:divBdr>
      <w:divsChild>
        <w:div w:id="23798918">
          <w:marLeft w:val="0"/>
          <w:marRight w:val="0"/>
          <w:marTop w:val="0"/>
          <w:marBottom w:val="0"/>
          <w:divBdr>
            <w:top w:val="none" w:sz="0" w:space="0" w:color="auto"/>
            <w:left w:val="none" w:sz="0" w:space="0" w:color="auto"/>
            <w:bottom w:val="none" w:sz="0" w:space="0" w:color="auto"/>
            <w:right w:val="none" w:sz="0" w:space="0" w:color="auto"/>
          </w:divBdr>
          <w:divsChild>
            <w:div w:id="1974939615">
              <w:marLeft w:val="0"/>
              <w:marRight w:val="0"/>
              <w:marTop w:val="0"/>
              <w:marBottom w:val="0"/>
              <w:divBdr>
                <w:top w:val="none" w:sz="0" w:space="0" w:color="auto"/>
                <w:left w:val="none" w:sz="0" w:space="0" w:color="auto"/>
                <w:bottom w:val="none" w:sz="0" w:space="0" w:color="auto"/>
                <w:right w:val="none" w:sz="0" w:space="0" w:color="auto"/>
              </w:divBdr>
              <w:divsChild>
                <w:div w:id="4202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8143220">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5402143">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8873764">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3495195">
      <w:bodyDiv w:val="1"/>
      <w:marLeft w:val="0"/>
      <w:marRight w:val="0"/>
      <w:marTop w:val="0"/>
      <w:marBottom w:val="0"/>
      <w:divBdr>
        <w:top w:val="none" w:sz="0" w:space="0" w:color="auto"/>
        <w:left w:val="none" w:sz="0" w:space="0" w:color="auto"/>
        <w:bottom w:val="none" w:sz="0" w:space="0" w:color="auto"/>
        <w:right w:val="none" w:sz="0" w:space="0" w:color="auto"/>
      </w:divBdr>
      <w:divsChild>
        <w:div w:id="430053026">
          <w:marLeft w:val="0"/>
          <w:marRight w:val="0"/>
          <w:marTop w:val="0"/>
          <w:marBottom w:val="0"/>
          <w:divBdr>
            <w:top w:val="none" w:sz="0" w:space="0" w:color="auto"/>
            <w:left w:val="none" w:sz="0" w:space="0" w:color="auto"/>
            <w:bottom w:val="none" w:sz="0" w:space="0" w:color="auto"/>
            <w:right w:val="none" w:sz="0" w:space="0" w:color="auto"/>
          </w:divBdr>
          <w:divsChild>
            <w:div w:id="208104036">
              <w:marLeft w:val="0"/>
              <w:marRight w:val="0"/>
              <w:marTop w:val="0"/>
              <w:marBottom w:val="0"/>
              <w:divBdr>
                <w:top w:val="none" w:sz="0" w:space="0" w:color="auto"/>
                <w:left w:val="none" w:sz="0" w:space="0" w:color="auto"/>
                <w:bottom w:val="none" w:sz="0" w:space="0" w:color="auto"/>
                <w:right w:val="none" w:sz="0" w:space="0" w:color="auto"/>
              </w:divBdr>
              <w:divsChild>
                <w:div w:id="20051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81507928">
      <w:bodyDiv w:val="1"/>
      <w:marLeft w:val="0"/>
      <w:marRight w:val="0"/>
      <w:marTop w:val="0"/>
      <w:marBottom w:val="0"/>
      <w:divBdr>
        <w:top w:val="none" w:sz="0" w:space="0" w:color="auto"/>
        <w:left w:val="none" w:sz="0" w:space="0" w:color="auto"/>
        <w:bottom w:val="none" w:sz="0" w:space="0" w:color="auto"/>
        <w:right w:val="none" w:sz="0" w:space="0" w:color="auto"/>
      </w:divBdr>
    </w:div>
    <w:div w:id="1189443421">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186503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5988133">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4968335">
      <w:bodyDiv w:val="1"/>
      <w:marLeft w:val="0"/>
      <w:marRight w:val="0"/>
      <w:marTop w:val="0"/>
      <w:marBottom w:val="0"/>
      <w:divBdr>
        <w:top w:val="none" w:sz="0" w:space="0" w:color="auto"/>
        <w:left w:val="none" w:sz="0" w:space="0" w:color="auto"/>
        <w:bottom w:val="none" w:sz="0" w:space="0" w:color="auto"/>
        <w:right w:val="none" w:sz="0" w:space="0" w:color="auto"/>
      </w:divBdr>
      <w:divsChild>
        <w:div w:id="2080713536">
          <w:marLeft w:val="0"/>
          <w:marRight w:val="0"/>
          <w:marTop w:val="0"/>
          <w:marBottom w:val="0"/>
          <w:divBdr>
            <w:top w:val="none" w:sz="0" w:space="0" w:color="auto"/>
            <w:left w:val="none" w:sz="0" w:space="0" w:color="auto"/>
            <w:bottom w:val="none" w:sz="0" w:space="0" w:color="auto"/>
            <w:right w:val="none" w:sz="0" w:space="0" w:color="auto"/>
          </w:divBdr>
          <w:divsChild>
            <w:div w:id="243338054">
              <w:marLeft w:val="0"/>
              <w:marRight w:val="0"/>
              <w:marTop w:val="0"/>
              <w:marBottom w:val="0"/>
              <w:divBdr>
                <w:top w:val="none" w:sz="0" w:space="0" w:color="auto"/>
                <w:left w:val="none" w:sz="0" w:space="0" w:color="auto"/>
                <w:bottom w:val="none" w:sz="0" w:space="0" w:color="auto"/>
                <w:right w:val="none" w:sz="0" w:space="0" w:color="auto"/>
              </w:divBdr>
              <w:divsChild>
                <w:div w:id="3377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3351">
      <w:bodyDiv w:val="1"/>
      <w:marLeft w:val="0"/>
      <w:marRight w:val="0"/>
      <w:marTop w:val="0"/>
      <w:marBottom w:val="0"/>
      <w:divBdr>
        <w:top w:val="none" w:sz="0" w:space="0" w:color="auto"/>
        <w:left w:val="none" w:sz="0" w:space="0" w:color="auto"/>
        <w:bottom w:val="none" w:sz="0" w:space="0" w:color="auto"/>
        <w:right w:val="none" w:sz="0" w:space="0" w:color="auto"/>
      </w:divBdr>
    </w:div>
    <w:div w:id="1313947318">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5009050">
      <w:bodyDiv w:val="1"/>
      <w:marLeft w:val="0"/>
      <w:marRight w:val="0"/>
      <w:marTop w:val="0"/>
      <w:marBottom w:val="0"/>
      <w:divBdr>
        <w:top w:val="none" w:sz="0" w:space="0" w:color="auto"/>
        <w:left w:val="none" w:sz="0" w:space="0" w:color="auto"/>
        <w:bottom w:val="none" w:sz="0" w:space="0" w:color="auto"/>
        <w:right w:val="none" w:sz="0" w:space="0" w:color="auto"/>
      </w:divBdr>
      <w:divsChild>
        <w:div w:id="391272046">
          <w:marLeft w:val="0"/>
          <w:marRight w:val="0"/>
          <w:marTop w:val="0"/>
          <w:marBottom w:val="0"/>
          <w:divBdr>
            <w:top w:val="none" w:sz="0" w:space="0" w:color="auto"/>
            <w:left w:val="none" w:sz="0" w:space="0" w:color="auto"/>
            <w:bottom w:val="none" w:sz="0" w:space="0" w:color="auto"/>
            <w:right w:val="none" w:sz="0" w:space="0" w:color="auto"/>
          </w:divBdr>
          <w:divsChild>
            <w:div w:id="28797870">
              <w:marLeft w:val="0"/>
              <w:marRight w:val="0"/>
              <w:marTop w:val="0"/>
              <w:marBottom w:val="0"/>
              <w:divBdr>
                <w:top w:val="none" w:sz="0" w:space="0" w:color="auto"/>
                <w:left w:val="none" w:sz="0" w:space="0" w:color="auto"/>
                <w:bottom w:val="none" w:sz="0" w:space="0" w:color="auto"/>
                <w:right w:val="none" w:sz="0" w:space="0" w:color="auto"/>
              </w:divBdr>
              <w:divsChild>
                <w:div w:id="9305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5109071">
      <w:bodyDiv w:val="1"/>
      <w:marLeft w:val="0"/>
      <w:marRight w:val="0"/>
      <w:marTop w:val="0"/>
      <w:marBottom w:val="0"/>
      <w:divBdr>
        <w:top w:val="none" w:sz="0" w:space="0" w:color="auto"/>
        <w:left w:val="none" w:sz="0" w:space="0" w:color="auto"/>
        <w:bottom w:val="none" w:sz="0" w:space="0" w:color="auto"/>
        <w:right w:val="none" w:sz="0" w:space="0" w:color="auto"/>
      </w:divBdr>
      <w:divsChild>
        <w:div w:id="855462666">
          <w:marLeft w:val="0"/>
          <w:marRight w:val="0"/>
          <w:marTop w:val="0"/>
          <w:marBottom w:val="0"/>
          <w:divBdr>
            <w:top w:val="none" w:sz="0" w:space="0" w:color="auto"/>
            <w:left w:val="none" w:sz="0" w:space="0" w:color="auto"/>
            <w:bottom w:val="none" w:sz="0" w:space="0" w:color="auto"/>
            <w:right w:val="none" w:sz="0" w:space="0" w:color="auto"/>
          </w:divBdr>
        </w:div>
      </w:divsChild>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0760865">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9820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5894170">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0846">
      <w:bodyDiv w:val="1"/>
      <w:marLeft w:val="0"/>
      <w:marRight w:val="0"/>
      <w:marTop w:val="0"/>
      <w:marBottom w:val="0"/>
      <w:divBdr>
        <w:top w:val="none" w:sz="0" w:space="0" w:color="auto"/>
        <w:left w:val="none" w:sz="0" w:space="0" w:color="auto"/>
        <w:bottom w:val="none" w:sz="0" w:space="0" w:color="auto"/>
        <w:right w:val="none" w:sz="0" w:space="0" w:color="auto"/>
      </w:divBdr>
    </w:div>
    <w:div w:id="1530412025">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3968461">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0837825">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513686">
      <w:bodyDiv w:val="1"/>
      <w:marLeft w:val="0"/>
      <w:marRight w:val="0"/>
      <w:marTop w:val="0"/>
      <w:marBottom w:val="0"/>
      <w:divBdr>
        <w:top w:val="none" w:sz="0" w:space="0" w:color="auto"/>
        <w:left w:val="none" w:sz="0" w:space="0" w:color="auto"/>
        <w:bottom w:val="none" w:sz="0" w:space="0" w:color="auto"/>
        <w:right w:val="none" w:sz="0" w:space="0" w:color="auto"/>
      </w:divBdr>
      <w:divsChild>
        <w:div w:id="2009480472">
          <w:marLeft w:val="0"/>
          <w:marRight w:val="0"/>
          <w:marTop w:val="0"/>
          <w:marBottom w:val="0"/>
          <w:divBdr>
            <w:top w:val="none" w:sz="0" w:space="0" w:color="auto"/>
            <w:left w:val="none" w:sz="0" w:space="0" w:color="auto"/>
            <w:bottom w:val="none" w:sz="0" w:space="0" w:color="auto"/>
            <w:right w:val="none" w:sz="0" w:space="0" w:color="auto"/>
          </w:divBdr>
        </w:div>
        <w:div w:id="1856729652">
          <w:marLeft w:val="0"/>
          <w:marRight w:val="0"/>
          <w:marTop w:val="0"/>
          <w:marBottom w:val="0"/>
          <w:divBdr>
            <w:top w:val="none" w:sz="0" w:space="0" w:color="auto"/>
            <w:left w:val="none" w:sz="0" w:space="0" w:color="auto"/>
            <w:bottom w:val="none" w:sz="0" w:space="0" w:color="auto"/>
            <w:right w:val="none" w:sz="0" w:space="0" w:color="auto"/>
          </w:divBdr>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7890926">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1239229">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892300800">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1645719">
      <w:bodyDiv w:val="1"/>
      <w:marLeft w:val="0"/>
      <w:marRight w:val="0"/>
      <w:marTop w:val="0"/>
      <w:marBottom w:val="0"/>
      <w:divBdr>
        <w:top w:val="none" w:sz="0" w:space="0" w:color="auto"/>
        <w:left w:val="none" w:sz="0" w:space="0" w:color="auto"/>
        <w:bottom w:val="none" w:sz="0" w:space="0" w:color="auto"/>
        <w:right w:val="none" w:sz="0" w:space="0" w:color="auto"/>
      </w:divBdr>
      <w:divsChild>
        <w:div w:id="2043360423">
          <w:marLeft w:val="0"/>
          <w:marRight w:val="0"/>
          <w:marTop w:val="0"/>
          <w:marBottom w:val="0"/>
          <w:divBdr>
            <w:top w:val="none" w:sz="0" w:space="0" w:color="auto"/>
            <w:left w:val="none" w:sz="0" w:space="0" w:color="auto"/>
            <w:bottom w:val="none" w:sz="0" w:space="0" w:color="auto"/>
            <w:right w:val="none" w:sz="0" w:space="0" w:color="auto"/>
          </w:divBdr>
          <w:divsChild>
            <w:div w:id="1639845949">
              <w:marLeft w:val="0"/>
              <w:marRight w:val="0"/>
              <w:marTop w:val="0"/>
              <w:marBottom w:val="0"/>
              <w:divBdr>
                <w:top w:val="none" w:sz="0" w:space="0" w:color="auto"/>
                <w:left w:val="none" w:sz="0" w:space="0" w:color="auto"/>
                <w:bottom w:val="none" w:sz="0" w:space="0" w:color="auto"/>
                <w:right w:val="none" w:sz="0" w:space="0" w:color="auto"/>
              </w:divBdr>
              <w:divsChild>
                <w:div w:id="131472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8560">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486071">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185568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1148703">
      <w:bodyDiv w:val="1"/>
      <w:marLeft w:val="0"/>
      <w:marRight w:val="0"/>
      <w:marTop w:val="0"/>
      <w:marBottom w:val="0"/>
      <w:divBdr>
        <w:top w:val="none" w:sz="0" w:space="0" w:color="auto"/>
        <w:left w:val="none" w:sz="0" w:space="0" w:color="auto"/>
        <w:bottom w:val="none" w:sz="0" w:space="0" w:color="auto"/>
        <w:right w:val="none" w:sz="0" w:space="0" w:color="auto"/>
      </w:divBdr>
    </w:div>
    <w:div w:id="205245763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92887">
      <w:bodyDiv w:val="1"/>
      <w:marLeft w:val="0"/>
      <w:marRight w:val="0"/>
      <w:marTop w:val="0"/>
      <w:marBottom w:val="0"/>
      <w:divBdr>
        <w:top w:val="none" w:sz="0" w:space="0" w:color="auto"/>
        <w:left w:val="none" w:sz="0" w:space="0" w:color="auto"/>
        <w:bottom w:val="none" w:sz="0" w:space="0" w:color="auto"/>
        <w:right w:val="none" w:sz="0" w:space="0" w:color="auto"/>
      </w:divBdr>
      <w:divsChild>
        <w:div w:id="294869055">
          <w:marLeft w:val="0"/>
          <w:marRight w:val="0"/>
          <w:marTop w:val="0"/>
          <w:marBottom w:val="0"/>
          <w:divBdr>
            <w:top w:val="none" w:sz="0" w:space="0" w:color="auto"/>
            <w:left w:val="none" w:sz="0" w:space="0" w:color="auto"/>
            <w:bottom w:val="none" w:sz="0" w:space="0" w:color="auto"/>
            <w:right w:val="none" w:sz="0" w:space="0" w:color="auto"/>
          </w:divBdr>
          <w:divsChild>
            <w:div w:id="1265723173">
              <w:marLeft w:val="0"/>
              <w:marRight w:val="0"/>
              <w:marTop w:val="0"/>
              <w:marBottom w:val="0"/>
              <w:divBdr>
                <w:top w:val="none" w:sz="0" w:space="0" w:color="auto"/>
                <w:left w:val="none" w:sz="0" w:space="0" w:color="auto"/>
                <w:bottom w:val="none" w:sz="0" w:space="0" w:color="auto"/>
                <w:right w:val="none" w:sz="0" w:space="0" w:color="auto"/>
              </w:divBdr>
              <w:divsChild>
                <w:div w:id="10150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636085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dnp.gov.co/DNPN/normativa/proyectos-de-normativ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646AD42D-83BE-4135-9BC3-FB7134B3F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84</TotalTime>
  <Pages>18</Pages>
  <Words>6942</Words>
  <Characters>38186</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14</cp:revision>
  <cp:lastPrinted>2020-01-30T15:05:00Z</cp:lastPrinted>
  <dcterms:created xsi:type="dcterms:W3CDTF">2021-08-03T19:47:00Z</dcterms:created>
  <dcterms:modified xsi:type="dcterms:W3CDTF">2021-08-03T22:59:00Z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