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AC71" w14:textId="5282EFA7" w:rsidR="002415B8" w:rsidRPr="008918A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18A2">
        <w:rPr>
          <w:rFonts w:ascii="Arial" w:hAnsi="Arial" w:cs="Arial"/>
          <w:bCs/>
          <w:color w:val="000000" w:themeColor="text1"/>
          <w:sz w:val="16"/>
          <w:szCs w:val="16"/>
          <w:lang w:val="es-ES_tradnl" w:eastAsia="es-ES"/>
        </w:rPr>
        <w:t>CCE-DES-FM-17</w:t>
      </w:r>
      <w:bookmarkEnd w:id="0"/>
      <w:bookmarkEnd w:id="1"/>
    </w:p>
    <w:p w14:paraId="153DCCCC" w14:textId="77777777" w:rsidR="00DB5767" w:rsidRPr="008918A2" w:rsidRDefault="00DB5767" w:rsidP="00C978D4">
      <w:pPr>
        <w:jc w:val="both"/>
        <w:rPr>
          <w:rFonts w:ascii="Arial" w:hAnsi="Arial" w:cs="Arial"/>
          <w:noProof/>
          <w:color w:val="000000" w:themeColor="text1"/>
          <w:sz w:val="22"/>
          <w:lang w:val="es-ES_tradnl"/>
        </w:rPr>
      </w:pPr>
    </w:p>
    <w:p w14:paraId="064D80D9" w14:textId="77777777" w:rsidR="002412BC" w:rsidRDefault="002412BC" w:rsidP="00631DCA">
      <w:pPr>
        <w:jc w:val="both"/>
        <w:rPr>
          <w:rFonts w:ascii="Arial" w:eastAsia="Calibri" w:hAnsi="Arial" w:cs="Arial"/>
          <w:b/>
          <w:sz w:val="22"/>
          <w:lang w:val="es-ES_tradnl"/>
        </w:rPr>
      </w:pPr>
    </w:p>
    <w:p w14:paraId="32AD8404" w14:textId="0F4541EC" w:rsidR="00631DCA" w:rsidRPr="008918A2" w:rsidRDefault="00F61217" w:rsidP="00631DCA">
      <w:pPr>
        <w:jc w:val="both"/>
        <w:rPr>
          <w:rFonts w:ascii="Arial" w:eastAsia="Calibri" w:hAnsi="Arial" w:cs="Arial"/>
          <w:b/>
          <w:sz w:val="22"/>
          <w:lang w:val="es-ES_tradnl"/>
        </w:rPr>
      </w:pPr>
      <w:r w:rsidRPr="008918A2">
        <w:rPr>
          <w:rFonts w:ascii="Arial" w:eastAsia="Calibri" w:hAnsi="Arial" w:cs="Arial"/>
          <w:b/>
          <w:sz w:val="22"/>
          <w:lang w:val="es-ES_tradnl"/>
        </w:rPr>
        <w:t>DOCUMENTOS</w:t>
      </w:r>
      <w:r w:rsidR="00631DCA" w:rsidRPr="008918A2">
        <w:rPr>
          <w:rFonts w:ascii="Arial" w:eastAsia="Calibri" w:hAnsi="Arial" w:cs="Arial"/>
          <w:b/>
          <w:sz w:val="22"/>
          <w:lang w:val="es-ES_tradnl"/>
        </w:rPr>
        <w:t xml:space="preserve"> TIPO </w:t>
      </w:r>
      <w:r w:rsidR="00631DCA" w:rsidRPr="008918A2">
        <w:rPr>
          <w:rFonts w:ascii="Arial" w:eastAsia="Calibri" w:hAnsi="Arial" w:cs="Arial"/>
          <w:b/>
          <w:color w:val="000000" w:themeColor="text1"/>
          <w:sz w:val="22"/>
          <w:lang w:val="es-ES_tradnl"/>
        </w:rPr>
        <w:t>–</w:t>
      </w:r>
      <w:r w:rsidR="00631DCA" w:rsidRPr="008918A2">
        <w:rPr>
          <w:rFonts w:ascii="Arial" w:eastAsia="Calibri" w:hAnsi="Arial" w:cs="Arial"/>
          <w:b/>
          <w:sz w:val="22"/>
          <w:lang w:val="es-ES_tradnl"/>
        </w:rPr>
        <w:t xml:space="preserve"> Fundamento normativo </w:t>
      </w:r>
      <w:r w:rsidR="00631DCA" w:rsidRPr="008918A2">
        <w:rPr>
          <w:rFonts w:ascii="Arial" w:eastAsia="Calibri" w:hAnsi="Arial" w:cs="Arial"/>
          <w:b/>
          <w:color w:val="000000" w:themeColor="text1"/>
          <w:sz w:val="22"/>
          <w:lang w:val="es-ES_tradnl"/>
        </w:rPr>
        <w:t xml:space="preserve">– </w:t>
      </w:r>
      <w:r w:rsidR="00A467AF">
        <w:rPr>
          <w:rFonts w:ascii="Arial" w:eastAsia="Calibri" w:hAnsi="Arial" w:cs="Arial"/>
          <w:b/>
          <w:sz w:val="22"/>
          <w:lang w:val="es-ES_tradnl"/>
        </w:rPr>
        <w:t>Ley 1882 de 2018 – Artículo 4</w:t>
      </w:r>
    </w:p>
    <w:p w14:paraId="2680B507" w14:textId="6D82C198" w:rsidR="00631DCA" w:rsidRPr="008918A2" w:rsidRDefault="00631DCA" w:rsidP="0099531F">
      <w:pPr>
        <w:jc w:val="both"/>
        <w:rPr>
          <w:rFonts w:ascii="Arial" w:eastAsia="Calibri" w:hAnsi="Arial" w:cs="Arial"/>
          <w:b/>
          <w:sz w:val="22"/>
          <w:lang w:val="es-ES_tradnl"/>
        </w:rPr>
      </w:pPr>
    </w:p>
    <w:p w14:paraId="1DA03E5C" w14:textId="398B2E34" w:rsidR="00A467AF" w:rsidRPr="00A467AF" w:rsidRDefault="00A467AF" w:rsidP="00A467AF">
      <w:pPr>
        <w:jc w:val="both"/>
        <w:rPr>
          <w:rFonts w:ascii="Arial" w:eastAsia="Calibri" w:hAnsi="Arial" w:cs="Arial"/>
          <w:sz w:val="20"/>
          <w:szCs w:val="20"/>
          <w:lang w:val="es-ES_tradnl"/>
        </w:rPr>
      </w:pPr>
      <w:r w:rsidRPr="00A467AF">
        <w:rPr>
          <w:rFonts w:ascii="Arial" w:eastAsia="Calibri" w:hAnsi="Arial" w:cs="Arial"/>
          <w:sz w:val="20"/>
          <w:szCs w:val="20"/>
          <w:lang w:val="es-ES_tradnl"/>
        </w:rPr>
        <w:t xml:space="preserve">La adopción de los documentos tipo obligatorios en el ordenamiento jurídico colombiano se incluyó por primera vez en el parágrafo 3 del artículo 2 de la Ley 1150 de 2007 ,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7851435" w14:textId="77777777" w:rsidR="00A467AF" w:rsidRPr="00A467AF" w:rsidRDefault="00A467AF" w:rsidP="00A467AF">
      <w:pPr>
        <w:jc w:val="both"/>
        <w:rPr>
          <w:rFonts w:ascii="Arial" w:eastAsia="Calibri" w:hAnsi="Arial" w:cs="Arial"/>
          <w:sz w:val="20"/>
          <w:szCs w:val="20"/>
          <w:lang w:val="es-ES_tradnl"/>
        </w:rPr>
      </w:pPr>
      <w:r w:rsidRPr="00A467AF">
        <w:rPr>
          <w:rFonts w:ascii="Arial" w:eastAsia="Calibri" w:hAnsi="Arial" w:cs="Arial"/>
          <w:sz w:val="20"/>
          <w:szCs w:val="20"/>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4AA66E4D" w14:textId="42F88CB6" w:rsidR="00F61217" w:rsidRDefault="00A467AF" w:rsidP="00A467AF">
      <w:pPr>
        <w:jc w:val="both"/>
        <w:rPr>
          <w:rFonts w:ascii="Arial" w:eastAsia="Calibri" w:hAnsi="Arial" w:cs="Arial"/>
          <w:sz w:val="20"/>
          <w:szCs w:val="20"/>
          <w:lang w:val="es-ES_tradnl"/>
        </w:rPr>
      </w:pPr>
      <w:r w:rsidRPr="00A467AF">
        <w:rPr>
          <w:rFonts w:ascii="Arial" w:eastAsia="Calibri" w:hAnsi="Arial" w:cs="Arial"/>
          <w:sz w:val="20"/>
          <w:szCs w:val="2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Fonts w:ascii="Arial" w:eastAsia="Calibri" w:hAnsi="Arial" w:cs="Arial"/>
          <w:sz w:val="20"/>
          <w:szCs w:val="20"/>
          <w:lang w:val="es-ES_tradnl"/>
        </w:rPr>
        <w:t xml:space="preserve">. </w:t>
      </w:r>
    </w:p>
    <w:p w14:paraId="2B7858EF" w14:textId="77777777" w:rsidR="00A467AF" w:rsidRPr="008918A2" w:rsidRDefault="00A467AF" w:rsidP="00A467AF">
      <w:pPr>
        <w:jc w:val="both"/>
        <w:rPr>
          <w:rFonts w:ascii="Arial" w:eastAsia="Calibri" w:hAnsi="Arial" w:cs="Arial"/>
          <w:sz w:val="20"/>
          <w:szCs w:val="20"/>
          <w:lang w:val="es-ES_tradnl"/>
        </w:rPr>
      </w:pPr>
    </w:p>
    <w:p w14:paraId="548E15A8" w14:textId="2752EDA2" w:rsidR="00F61217" w:rsidRPr="008918A2" w:rsidRDefault="00F61217" w:rsidP="00F61217">
      <w:pPr>
        <w:jc w:val="both"/>
        <w:rPr>
          <w:rFonts w:ascii="Arial" w:eastAsia="Calibri" w:hAnsi="Arial" w:cs="Arial"/>
          <w:b/>
          <w:sz w:val="22"/>
          <w:lang w:val="es-ES_tradnl"/>
        </w:rPr>
      </w:pPr>
      <w:r w:rsidRPr="008918A2">
        <w:rPr>
          <w:rFonts w:ascii="Arial" w:eastAsia="Calibri" w:hAnsi="Arial" w:cs="Arial"/>
          <w:b/>
          <w:sz w:val="22"/>
          <w:lang w:val="es-ES_tradnl"/>
        </w:rPr>
        <w:t xml:space="preserve">INALTERABILIDAD </w:t>
      </w:r>
      <w:r w:rsidRPr="008918A2">
        <w:rPr>
          <w:rFonts w:ascii="Arial" w:eastAsia="Calibri" w:hAnsi="Arial" w:cs="Arial"/>
          <w:b/>
          <w:color w:val="000000" w:themeColor="text1"/>
          <w:sz w:val="22"/>
          <w:lang w:val="es-ES_tradnl"/>
        </w:rPr>
        <w:t>–</w:t>
      </w:r>
      <w:r w:rsidRPr="008918A2">
        <w:rPr>
          <w:rFonts w:ascii="Arial" w:eastAsia="Calibri" w:hAnsi="Arial" w:cs="Arial"/>
          <w:b/>
          <w:sz w:val="22"/>
          <w:lang w:val="es-ES_tradnl"/>
        </w:rPr>
        <w:t xml:space="preserve"> Documentos tipo </w:t>
      </w:r>
      <w:r w:rsidRPr="008918A2">
        <w:rPr>
          <w:rFonts w:ascii="Arial" w:eastAsia="Calibri" w:hAnsi="Arial" w:cs="Arial"/>
          <w:b/>
          <w:color w:val="000000" w:themeColor="text1"/>
          <w:sz w:val="22"/>
          <w:lang w:val="es-ES_tradnl"/>
        </w:rPr>
        <w:t xml:space="preserve">– </w:t>
      </w:r>
      <w:r w:rsidRPr="008918A2">
        <w:rPr>
          <w:rFonts w:ascii="Arial" w:eastAsia="Calibri" w:hAnsi="Arial" w:cs="Arial"/>
          <w:b/>
          <w:sz w:val="22"/>
          <w:lang w:val="es-ES_tradnl"/>
        </w:rPr>
        <w:t>Regla</w:t>
      </w:r>
      <w:r w:rsidR="005608B4" w:rsidRPr="008918A2">
        <w:rPr>
          <w:rFonts w:ascii="Arial" w:eastAsia="Calibri" w:hAnsi="Arial" w:cs="Arial"/>
          <w:b/>
          <w:sz w:val="22"/>
          <w:lang w:val="es-ES_tradnl"/>
        </w:rPr>
        <w:t xml:space="preserve"> vigente </w:t>
      </w:r>
      <w:r w:rsidR="005608B4" w:rsidRPr="008918A2">
        <w:rPr>
          <w:rFonts w:ascii="Arial" w:eastAsia="Calibri" w:hAnsi="Arial" w:cs="Arial"/>
          <w:b/>
          <w:color w:val="000000" w:themeColor="text1"/>
          <w:sz w:val="22"/>
          <w:lang w:val="es-ES_tradnl"/>
        </w:rPr>
        <w:t xml:space="preserve">– </w:t>
      </w:r>
      <w:r w:rsidR="009F399F">
        <w:rPr>
          <w:rFonts w:ascii="Arial" w:eastAsia="Calibri" w:hAnsi="Arial" w:cs="Arial"/>
          <w:b/>
          <w:color w:val="000000" w:themeColor="text1"/>
          <w:sz w:val="22"/>
          <w:lang w:val="es-ES_tradnl"/>
        </w:rPr>
        <w:t>Alcance</w:t>
      </w:r>
    </w:p>
    <w:p w14:paraId="21A1BAF5" w14:textId="42836809" w:rsidR="00F61217" w:rsidRPr="008918A2" w:rsidRDefault="00F61217" w:rsidP="0099531F">
      <w:pPr>
        <w:jc w:val="both"/>
        <w:rPr>
          <w:rFonts w:ascii="Arial" w:eastAsia="Calibri" w:hAnsi="Arial" w:cs="Arial"/>
          <w:sz w:val="20"/>
          <w:szCs w:val="20"/>
          <w:lang w:val="es-ES_tradnl"/>
        </w:rPr>
      </w:pPr>
    </w:p>
    <w:p w14:paraId="0C191117" w14:textId="55A27057" w:rsidR="002412BC" w:rsidRDefault="00A467AF" w:rsidP="009F399F">
      <w:pPr>
        <w:jc w:val="both"/>
        <w:rPr>
          <w:rFonts w:ascii="Arial" w:hAnsi="Arial" w:cs="Arial"/>
          <w:noProof/>
          <w:color w:val="000000" w:themeColor="text1"/>
          <w:sz w:val="22"/>
          <w:lang w:val="es-ES_tradnl"/>
        </w:rPr>
      </w:pPr>
      <w:r w:rsidRPr="00A467AF">
        <w:rPr>
          <w:rFonts w:ascii="Arial" w:eastAsia="Calibri" w:hAnsi="Arial" w:cs="Arial"/>
          <w:sz w:val="20"/>
          <w:szCs w:val="20"/>
          <w:lang w:val="es-ES_tradnl"/>
        </w:rPr>
        <w:t>Por tanto, en virtud de la regla de inalterabilidad de los documentos tipo, las entidades no están habilitadas para alterar las reglas de asignación de puntaje en procesos de selección adelantados con fundamento en los documentos tipo, por ejemplo para  reducir el puntaje con fundamento en controversias judiciales por presuntos incumplimientos del proponente en contratos pasados, cesiones de contratos autorizados para evitar el incumplimiento del contrato o multa e incumplimientos impuestos al proponente en contratos anteriores.</w:t>
      </w:r>
    </w:p>
    <w:p w14:paraId="7AE6E130" w14:textId="77777777" w:rsidR="002412BC" w:rsidRDefault="002412BC" w:rsidP="00B95C30">
      <w:pPr>
        <w:spacing w:line="276" w:lineRule="auto"/>
        <w:jc w:val="both"/>
        <w:rPr>
          <w:rFonts w:ascii="Arial" w:eastAsia="Calibri" w:hAnsi="Arial" w:cs="Arial"/>
          <w:b/>
          <w:sz w:val="22"/>
          <w:lang w:val="es-ES_tradnl"/>
        </w:rPr>
      </w:pPr>
    </w:p>
    <w:p w14:paraId="3353D822" w14:textId="75B992B7" w:rsidR="009F4225" w:rsidRDefault="00A467AF" w:rsidP="00B95C30">
      <w:pPr>
        <w:spacing w:line="276" w:lineRule="auto"/>
        <w:jc w:val="both"/>
        <w:rPr>
          <w:rFonts w:ascii="Arial" w:hAnsi="Arial" w:cs="Arial"/>
          <w:b/>
          <w:noProof/>
          <w:color w:val="000000" w:themeColor="text1"/>
          <w:sz w:val="22"/>
          <w:szCs w:val="22"/>
          <w:lang w:val="es-ES_tradnl"/>
        </w:rPr>
      </w:pPr>
      <w:r>
        <w:rPr>
          <w:rFonts w:ascii="Arial" w:hAnsi="Arial" w:cs="Arial"/>
          <w:b/>
          <w:noProof/>
          <w:color w:val="000000" w:themeColor="text1"/>
          <w:sz w:val="22"/>
          <w:lang w:val="es-ES_tradnl"/>
        </w:rPr>
        <w:t>A</w:t>
      </w:r>
      <w:r w:rsidRPr="00A467AF">
        <w:rPr>
          <w:rFonts w:ascii="Arial" w:hAnsi="Arial" w:cs="Arial"/>
          <w:b/>
          <w:noProof/>
          <w:color w:val="000000" w:themeColor="text1"/>
          <w:sz w:val="22"/>
          <w:szCs w:val="22"/>
          <w:lang w:val="es-ES_tradnl"/>
        </w:rPr>
        <w:t xml:space="preserve">SIGNACIÓN DE PUNTAJE – Reglas – Reducción – Modificación – Entidades públicas – Improcedencia </w:t>
      </w:r>
    </w:p>
    <w:p w14:paraId="559E31DB" w14:textId="77777777" w:rsidR="00A467AF" w:rsidRPr="00A467AF" w:rsidRDefault="00A467AF" w:rsidP="00B95C30">
      <w:pPr>
        <w:spacing w:line="276" w:lineRule="auto"/>
        <w:jc w:val="both"/>
        <w:rPr>
          <w:rFonts w:ascii="Arial" w:hAnsi="Arial" w:cs="Arial"/>
          <w:b/>
          <w:noProof/>
          <w:color w:val="000000" w:themeColor="text1"/>
          <w:sz w:val="20"/>
          <w:szCs w:val="20"/>
          <w:lang w:val="es-ES_tradnl"/>
        </w:rPr>
      </w:pPr>
    </w:p>
    <w:p w14:paraId="218ED050" w14:textId="77777777" w:rsidR="00A467AF" w:rsidRPr="00A467AF" w:rsidRDefault="00A467AF" w:rsidP="00A467AF">
      <w:pPr>
        <w:pStyle w:val="Default"/>
        <w:jc w:val="both"/>
        <w:rPr>
          <w:sz w:val="20"/>
          <w:szCs w:val="20"/>
          <w:shd w:val="clear" w:color="auto" w:fill="FFFFFF"/>
          <w:lang w:val="es-ES_tradnl"/>
        </w:rPr>
      </w:pPr>
      <w:r w:rsidRPr="00A467AF">
        <w:rPr>
          <w:sz w:val="20"/>
          <w:szCs w:val="20"/>
          <w:shd w:val="clear" w:color="auto" w:fill="FFFFFF"/>
          <w:lang w:val="es-ES_tradnl"/>
        </w:rPr>
        <w:t>En virtud de la regla de inalterabilidad de los documentos tipo, las entidades no están habilitadas para alterar las reglas de asignación de puntaje en procesos de selección adelantados con fundamento en los documentos tipo, por ejemplo, para reducir el puntaje con fundamento en controversias judiciales por presuntos incumplimientos del proponente en contratos pasados, cesiones de contratos autorizados para evitar el incumplimiento del contrato o multa e incumplimientos impuestos al proponente en contratos anteriores. Lo anterior, sin perjuicio de lo indicado en las consideraciones respecto a las obras civiles inconclusas y la «inhabilidad por incumplimiento reiterado» de que trata el artículo 90 de la Ley 1474 de 2011 –modificado por el artículo 43 de la Ley 1955 de 2019–.</w:t>
      </w:r>
    </w:p>
    <w:p w14:paraId="30EB8270" w14:textId="77777777" w:rsidR="00A467AF" w:rsidRDefault="00A467AF" w:rsidP="00B95C30">
      <w:pPr>
        <w:spacing w:line="276" w:lineRule="auto"/>
        <w:jc w:val="both"/>
        <w:rPr>
          <w:rFonts w:ascii="Arial" w:hAnsi="Arial" w:cs="Arial"/>
          <w:noProof/>
          <w:color w:val="000000" w:themeColor="text1"/>
          <w:sz w:val="20"/>
          <w:szCs w:val="20"/>
          <w:lang w:val="es-ES_tradnl"/>
        </w:rPr>
      </w:pPr>
    </w:p>
    <w:p w14:paraId="6ECDC83A" w14:textId="77777777" w:rsidR="00FB32B8" w:rsidRDefault="00FB32B8" w:rsidP="00B95C30">
      <w:pPr>
        <w:spacing w:line="276" w:lineRule="auto"/>
        <w:jc w:val="both"/>
        <w:rPr>
          <w:rFonts w:ascii="Arial" w:hAnsi="Arial" w:cs="Arial"/>
          <w:noProof/>
          <w:color w:val="000000" w:themeColor="text1"/>
          <w:sz w:val="20"/>
          <w:szCs w:val="20"/>
          <w:lang w:val="es-ES_tradnl"/>
        </w:rPr>
      </w:pPr>
    </w:p>
    <w:p w14:paraId="678746C3" w14:textId="77777777" w:rsidR="00FB32B8" w:rsidRPr="00A467AF" w:rsidRDefault="00FB32B8" w:rsidP="00B95C30">
      <w:pPr>
        <w:spacing w:line="276" w:lineRule="auto"/>
        <w:jc w:val="both"/>
        <w:rPr>
          <w:rFonts w:ascii="Arial" w:hAnsi="Arial" w:cs="Arial"/>
          <w:noProof/>
          <w:color w:val="000000" w:themeColor="text1"/>
          <w:sz w:val="20"/>
          <w:szCs w:val="20"/>
          <w:lang w:val="es-ES_tradnl"/>
        </w:rPr>
      </w:pPr>
    </w:p>
    <w:p w14:paraId="6B3E71BC" w14:textId="28EC39EF" w:rsidR="00A467AF" w:rsidRPr="00A467AF" w:rsidRDefault="00FB32B8" w:rsidP="00B95C30">
      <w:pPr>
        <w:spacing w:line="276" w:lineRule="auto"/>
        <w:jc w:val="both"/>
        <w:rPr>
          <w:rFonts w:ascii="Arial" w:hAnsi="Arial" w:cs="Arial"/>
          <w:b/>
          <w:noProof/>
          <w:color w:val="000000" w:themeColor="text1"/>
          <w:sz w:val="22"/>
          <w:lang w:val="es-ES_tradnl"/>
        </w:rPr>
      </w:pPr>
      <w:r>
        <w:rPr>
          <w:noProof/>
          <w:lang w:eastAsia="es-CO"/>
        </w:rPr>
        <w:lastRenderedPageBreak/>
        <w:drawing>
          <wp:inline distT="0" distB="0" distL="0" distR="0" wp14:anchorId="09774225" wp14:editId="3F314162">
            <wp:extent cx="247650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0" cy="628650"/>
                    </a:xfrm>
                    <a:prstGeom prst="rect">
                      <a:avLst/>
                    </a:prstGeom>
                  </pic:spPr>
                </pic:pic>
              </a:graphicData>
            </a:graphic>
          </wp:inline>
        </w:drawing>
      </w:r>
    </w:p>
    <w:p w14:paraId="7DD48F49" w14:textId="5FA6326D" w:rsidR="00B95C30" w:rsidRDefault="00B95C30" w:rsidP="00B95C30">
      <w:pPr>
        <w:spacing w:line="276" w:lineRule="auto"/>
        <w:jc w:val="both"/>
        <w:rPr>
          <w:rFonts w:ascii="Arial" w:hAnsi="Arial" w:cs="Arial"/>
          <w:b/>
          <w:bCs/>
          <w:noProof/>
          <w:color w:val="000000" w:themeColor="text1"/>
          <w:sz w:val="22"/>
          <w:lang w:val="es-ES_tradnl"/>
        </w:rPr>
      </w:pPr>
      <w:r w:rsidRPr="008918A2">
        <w:rPr>
          <w:rFonts w:ascii="Arial" w:hAnsi="Arial" w:cs="Arial"/>
          <w:noProof/>
          <w:color w:val="000000" w:themeColor="text1"/>
          <w:sz w:val="22"/>
          <w:lang w:val="es-ES_tradnl"/>
        </w:rPr>
        <w:t xml:space="preserve">Bogotá D.C., </w:t>
      </w:r>
      <w:r w:rsidR="00FB32B8">
        <w:rPr>
          <w:rFonts w:ascii="Arial" w:hAnsi="Arial" w:cs="Arial"/>
          <w:noProof/>
          <w:color w:val="000000" w:themeColor="text1"/>
          <w:sz w:val="22"/>
          <w:lang w:val="es-ES_tradnl"/>
        </w:rPr>
        <w:t>28 junio 2021</w:t>
      </w:r>
      <w:bookmarkStart w:id="2" w:name="_GoBack"/>
      <w:bookmarkEnd w:id="2"/>
    </w:p>
    <w:p w14:paraId="7C9AD88F" w14:textId="77777777" w:rsidR="00FF479F" w:rsidRPr="008918A2" w:rsidRDefault="00FF479F" w:rsidP="00B95C30">
      <w:pPr>
        <w:spacing w:line="276" w:lineRule="auto"/>
        <w:jc w:val="both"/>
        <w:rPr>
          <w:rFonts w:ascii="Arial" w:eastAsia="Calibri" w:hAnsi="Arial" w:cs="Arial"/>
          <w:noProof/>
          <w:color w:val="000000" w:themeColor="text1"/>
          <w:sz w:val="20"/>
          <w:lang w:val="es-ES_tradnl"/>
        </w:rPr>
      </w:pPr>
    </w:p>
    <w:p w14:paraId="092D4DA7" w14:textId="0DEFB74C" w:rsidR="00F62386" w:rsidRPr="00F62386" w:rsidRDefault="00F62386" w:rsidP="00F62386">
      <w:pPr>
        <w:jc w:val="right"/>
      </w:pPr>
      <w:r>
        <w:fldChar w:fldCharType="begin"/>
      </w:r>
      <w:r w:rsidR="00F300B5">
        <w:instrText xml:space="preserve"> INCLUDEPICTURE "C:\\var\\folders\\5l\\v1rdjm0x1x9416lmbj7_vjt40000gn\\T\\com.microsoft.Word\\WebArchiveCopyPasteTempFiles\\page1image1768000" \* MERGEFORMAT </w:instrText>
      </w:r>
      <w:r>
        <w:fldChar w:fldCharType="end"/>
      </w:r>
    </w:p>
    <w:p w14:paraId="6A8A869B" w14:textId="77777777" w:rsidR="00B95C30" w:rsidRPr="008918A2" w:rsidRDefault="00B95C30" w:rsidP="00B95C30">
      <w:pPr>
        <w:jc w:val="both"/>
        <w:rPr>
          <w:rFonts w:ascii="Arial" w:hAnsi="Arial" w:cs="Arial"/>
          <w:b/>
          <w:color w:val="000000" w:themeColor="text1"/>
          <w:sz w:val="22"/>
          <w:lang w:val="es-ES_tradnl"/>
        </w:rPr>
      </w:pPr>
    </w:p>
    <w:p w14:paraId="5F5AE9EF" w14:textId="1C18A378" w:rsidR="00B95C30" w:rsidRPr="008918A2" w:rsidRDefault="00BE4FBF"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Señor</w:t>
      </w:r>
    </w:p>
    <w:p w14:paraId="5534D9BC" w14:textId="0B7C83CB" w:rsidR="00F7084F" w:rsidRDefault="00FF479F"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Diego Sánchez Fonseca </w:t>
      </w:r>
    </w:p>
    <w:p w14:paraId="0213E7E9" w14:textId="42A19E2A" w:rsidR="00FF479F" w:rsidRDefault="00FF479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Director general </w:t>
      </w:r>
    </w:p>
    <w:p w14:paraId="366E5AE4" w14:textId="524623A4" w:rsidR="00FF479F" w:rsidRPr="00FF479F" w:rsidRDefault="00FF479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INSTITUTO DE DESAROLO URBANO </w:t>
      </w:r>
    </w:p>
    <w:p w14:paraId="09D4AEA8" w14:textId="3166F0E9" w:rsidR="00B95C30" w:rsidRPr="008918A2" w:rsidRDefault="00B95C30" w:rsidP="00B95C30">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Ciudad</w:t>
      </w:r>
    </w:p>
    <w:p w14:paraId="3F3D1203" w14:textId="77777777" w:rsidR="00B95C30" w:rsidRPr="008918A2" w:rsidRDefault="00B95C30" w:rsidP="00B95C30">
      <w:pPr>
        <w:jc w:val="both"/>
        <w:rPr>
          <w:rFonts w:ascii="Arial" w:eastAsia="Calibri" w:hAnsi="Arial" w:cs="Arial"/>
          <w:color w:val="000000" w:themeColor="text1"/>
          <w:sz w:val="22"/>
          <w:lang w:val="es-ES_tradnl"/>
        </w:rPr>
      </w:pPr>
    </w:p>
    <w:p w14:paraId="24E8D2A9" w14:textId="77777777" w:rsidR="00B95C30" w:rsidRPr="008918A2" w:rsidRDefault="00B95C30" w:rsidP="00B95C30">
      <w:pPr>
        <w:jc w:val="both"/>
        <w:rPr>
          <w:rFonts w:ascii="Arial" w:eastAsia="Calibri" w:hAnsi="Arial" w:cs="Arial"/>
          <w:color w:val="000000" w:themeColor="text1"/>
          <w:sz w:val="22"/>
          <w:lang w:val="es-ES_tradnl"/>
        </w:rPr>
      </w:pPr>
    </w:p>
    <w:p w14:paraId="12E66182" w14:textId="5A60DEB6" w:rsidR="00B95C30" w:rsidRPr="008918A2" w:rsidRDefault="00B95C30" w:rsidP="00B95C30">
      <w:pPr>
        <w:jc w:val="center"/>
        <w:rPr>
          <w:rFonts w:ascii="Arial" w:eastAsia="Calibri" w:hAnsi="Arial" w:cs="Arial"/>
          <w:b/>
          <w:bCs/>
          <w:color w:val="000000" w:themeColor="text1"/>
          <w:sz w:val="22"/>
          <w:lang w:val="es-ES_tradnl"/>
        </w:rPr>
      </w:pPr>
      <w:r w:rsidRPr="001D639C">
        <w:rPr>
          <w:rFonts w:ascii="Arial" w:eastAsia="Calibri" w:hAnsi="Arial" w:cs="Arial"/>
          <w:b/>
          <w:bCs/>
          <w:color w:val="000000" w:themeColor="text1"/>
          <w:sz w:val="22"/>
          <w:lang w:val="es-ES_tradnl"/>
        </w:rPr>
        <w:t xml:space="preserve">Concepto C ‒ </w:t>
      </w:r>
      <w:r w:rsidR="00FF479F">
        <w:rPr>
          <w:rFonts w:ascii="Arial" w:eastAsia="Calibri" w:hAnsi="Arial" w:cs="Arial"/>
          <w:b/>
          <w:bCs/>
          <w:color w:val="000000" w:themeColor="text1"/>
          <w:sz w:val="22"/>
          <w:lang w:val="es-ES_tradnl"/>
        </w:rPr>
        <w:t>304</w:t>
      </w:r>
      <w:r w:rsidRPr="001D639C">
        <w:rPr>
          <w:rFonts w:ascii="Arial" w:eastAsia="Calibri" w:hAnsi="Arial" w:cs="Arial"/>
          <w:b/>
          <w:bCs/>
          <w:color w:val="000000" w:themeColor="text1"/>
          <w:sz w:val="22"/>
          <w:lang w:val="es-ES_tradnl"/>
        </w:rPr>
        <w:t xml:space="preserve"> de 202</w:t>
      </w:r>
      <w:r w:rsidR="00092B71" w:rsidRPr="001D639C">
        <w:rPr>
          <w:rFonts w:ascii="Arial" w:eastAsia="Calibri" w:hAnsi="Arial" w:cs="Arial"/>
          <w:b/>
          <w:bCs/>
          <w:color w:val="000000" w:themeColor="text1"/>
          <w:sz w:val="22"/>
          <w:lang w:val="es-ES_tradnl"/>
        </w:rPr>
        <w:t>1</w:t>
      </w:r>
    </w:p>
    <w:p w14:paraId="2B376FFA" w14:textId="77777777" w:rsidR="00B95C30" w:rsidRPr="008918A2" w:rsidRDefault="00B95C30" w:rsidP="00B95C30">
      <w:pPr>
        <w:jc w:val="both"/>
        <w:rPr>
          <w:rFonts w:ascii="Arial" w:eastAsia="Calibri" w:hAnsi="Arial" w:cs="Arial"/>
          <w:color w:val="000000" w:themeColor="text1"/>
          <w:sz w:val="22"/>
          <w:lang w:val="es-ES_tradnl"/>
        </w:rPr>
      </w:pPr>
    </w:p>
    <w:p w14:paraId="08CF82B2" w14:textId="77777777" w:rsidR="00B95C30" w:rsidRPr="008918A2" w:rsidRDefault="00B95C30" w:rsidP="00B95C30">
      <w:pPr>
        <w:jc w:val="both"/>
        <w:rPr>
          <w:rFonts w:ascii="Arial" w:eastAsia="Calibri" w:hAnsi="Arial" w:cs="Arial"/>
          <w:color w:val="000000" w:themeColor="text1"/>
          <w:sz w:val="22"/>
          <w:lang w:val="es-ES_tradnl"/>
        </w:rPr>
      </w:pPr>
    </w:p>
    <w:p w14:paraId="1BD594F9" w14:textId="77777777" w:rsidR="00B95C30" w:rsidRPr="008918A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918A2" w14:paraId="19DFC051" w14:textId="77777777" w:rsidTr="008F4163">
        <w:tc>
          <w:tcPr>
            <w:tcW w:w="2689" w:type="dxa"/>
          </w:tcPr>
          <w:p w14:paraId="6BC0D1AC" w14:textId="77777777" w:rsidR="00B95C30" w:rsidRPr="008918A2" w:rsidRDefault="00B95C30" w:rsidP="008F4163">
            <w:pPr>
              <w:jc w:val="both"/>
              <w:rPr>
                <w:rFonts w:ascii="Arial" w:eastAsia="Calibri" w:hAnsi="Arial" w:cs="Arial"/>
                <w:color w:val="000000" w:themeColor="text1"/>
                <w:sz w:val="22"/>
                <w:lang w:val="es-ES_tradnl"/>
              </w:rPr>
            </w:pPr>
            <w:r w:rsidRPr="008918A2">
              <w:rPr>
                <w:rFonts w:ascii="Arial" w:eastAsia="Calibri" w:hAnsi="Arial" w:cs="Arial"/>
                <w:b/>
                <w:color w:val="000000" w:themeColor="text1"/>
                <w:sz w:val="22"/>
                <w:lang w:val="es-ES_tradnl"/>
              </w:rPr>
              <w:t>Temas:</w:t>
            </w:r>
            <w:r w:rsidRPr="008918A2">
              <w:rPr>
                <w:rFonts w:ascii="Arial" w:eastAsia="Calibri" w:hAnsi="Arial" w:cs="Arial"/>
                <w:color w:val="000000" w:themeColor="text1"/>
                <w:sz w:val="22"/>
                <w:lang w:val="es-ES_tradnl"/>
              </w:rPr>
              <w:t xml:space="preserve">                                      </w:t>
            </w:r>
          </w:p>
        </w:tc>
        <w:tc>
          <w:tcPr>
            <w:tcW w:w="6237" w:type="dxa"/>
          </w:tcPr>
          <w:p w14:paraId="5F389CAF" w14:textId="40231975" w:rsidR="00B95C30" w:rsidRPr="00B23535" w:rsidRDefault="00B23535" w:rsidP="00F300B5">
            <w:pPr>
              <w:jc w:val="both"/>
              <w:rPr>
                <w:rFonts w:ascii="Arial" w:eastAsia="Calibri" w:hAnsi="Arial" w:cs="Arial"/>
                <w:color w:val="000000" w:themeColor="text1"/>
                <w:sz w:val="22"/>
                <w:lang w:val="es-ES_tradnl"/>
              </w:rPr>
            </w:pPr>
            <w:r w:rsidRPr="00B23535">
              <w:rPr>
                <w:rFonts w:ascii="Arial" w:eastAsia="Calibri" w:hAnsi="Arial" w:cs="Arial"/>
                <w:bCs/>
                <w:sz w:val="22"/>
                <w:lang w:val="es-ES_tradnl"/>
              </w:rPr>
              <w:t>DOCUMENTOS TIPO – Fundame</w:t>
            </w:r>
            <w:r w:rsidR="00A467AF">
              <w:rPr>
                <w:rFonts w:ascii="Arial" w:eastAsia="Calibri" w:hAnsi="Arial" w:cs="Arial"/>
                <w:bCs/>
                <w:sz w:val="22"/>
                <w:lang w:val="es-ES_tradnl"/>
              </w:rPr>
              <w:t xml:space="preserve">nto normativo – Ley 1882 de 2018 – Artículo 4 </w:t>
            </w:r>
            <w:r w:rsidR="00B95C30" w:rsidRPr="00B23535">
              <w:rPr>
                <w:rFonts w:ascii="Arial" w:eastAsia="Calibri" w:hAnsi="Arial" w:cs="Arial"/>
                <w:bCs/>
                <w:sz w:val="22"/>
                <w:lang w:val="es-ES_tradnl"/>
              </w:rPr>
              <w:t>/</w:t>
            </w:r>
            <w:r w:rsidRPr="00B23535">
              <w:rPr>
                <w:rFonts w:ascii="Arial" w:eastAsia="Calibri" w:hAnsi="Arial" w:cs="Arial"/>
                <w:bCs/>
                <w:sz w:val="22"/>
                <w:lang w:val="es-ES_tradnl"/>
              </w:rPr>
              <w:t xml:space="preserve"> INALTERABILIDAD – Documentos tipo – Regla vigente – Alcance </w:t>
            </w:r>
            <w:r w:rsidR="00A467AF">
              <w:rPr>
                <w:rFonts w:ascii="Arial" w:eastAsia="Calibri" w:hAnsi="Arial" w:cs="Arial"/>
                <w:bCs/>
                <w:sz w:val="22"/>
                <w:lang w:val="es-ES_tradnl"/>
              </w:rPr>
              <w:t xml:space="preserve">/ASIGNACIÓN DE PUNTAJE – Reglas – Reducción – Modificación – Entidades públicas – Improcedencia </w:t>
            </w:r>
          </w:p>
        </w:tc>
      </w:tr>
      <w:tr w:rsidR="00B95C30" w:rsidRPr="008918A2" w14:paraId="27CD52AB" w14:textId="77777777" w:rsidTr="008F4163">
        <w:tc>
          <w:tcPr>
            <w:tcW w:w="2689" w:type="dxa"/>
          </w:tcPr>
          <w:p w14:paraId="37E195A1" w14:textId="1BA218D5" w:rsidR="00B95C30" w:rsidRPr="008918A2" w:rsidRDefault="00B95C30" w:rsidP="008F4163">
            <w:pPr>
              <w:spacing w:before="12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Radicación:</w:t>
            </w:r>
            <w:r w:rsidRPr="008918A2">
              <w:rPr>
                <w:rFonts w:ascii="Arial" w:eastAsia="Calibri" w:hAnsi="Arial" w:cs="Arial"/>
                <w:color w:val="000000" w:themeColor="text1"/>
                <w:sz w:val="22"/>
                <w:lang w:val="es-ES_tradnl"/>
              </w:rPr>
              <w:t xml:space="preserve">                              </w:t>
            </w:r>
          </w:p>
        </w:tc>
        <w:tc>
          <w:tcPr>
            <w:tcW w:w="6237" w:type="dxa"/>
          </w:tcPr>
          <w:p w14:paraId="09088B1B" w14:textId="6151D80E" w:rsidR="00B95C30" w:rsidRPr="008918A2" w:rsidRDefault="00FF479F" w:rsidP="008F4163">
            <w:pPr>
              <w:spacing w:before="120"/>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Respuesta a consulta #</w:t>
            </w:r>
            <w:r>
              <w:rPr>
                <w:rFonts w:ascii="Arial" w:eastAsia="Calibri" w:hAnsi="Arial" w:cs="Arial"/>
                <w:b/>
                <w:color w:val="000000" w:themeColor="text1"/>
                <w:sz w:val="22"/>
                <w:lang w:val="es-ES_tradnl"/>
              </w:rPr>
              <w:t xml:space="preserve"> </w:t>
            </w:r>
            <w:r>
              <w:rPr>
                <w:rFonts w:ascii="Arial" w:eastAsia="Calibri" w:hAnsi="Arial" w:cs="Arial"/>
                <w:color w:val="000000" w:themeColor="text1"/>
                <w:sz w:val="22"/>
                <w:lang w:val="es-ES_tradnl"/>
              </w:rPr>
              <w:t>P20210512004099</w:t>
            </w:r>
          </w:p>
        </w:tc>
      </w:tr>
    </w:tbl>
    <w:p w14:paraId="1CF4AEA0" w14:textId="0A4CCE58" w:rsidR="003C3339" w:rsidRPr="008918A2" w:rsidRDefault="003C3339" w:rsidP="003C3339">
      <w:pPr>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Estimad</w:t>
      </w:r>
      <w:r w:rsidR="001A6CD1">
        <w:rPr>
          <w:rFonts w:ascii="Arial" w:eastAsia="Calibri" w:hAnsi="Arial" w:cs="Arial"/>
          <w:color w:val="000000" w:themeColor="text1"/>
          <w:sz w:val="22"/>
          <w:lang w:val="es-ES_tradnl"/>
        </w:rPr>
        <w:t>o</w:t>
      </w:r>
      <w:r w:rsidRPr="008918A2">
        <w:rPr>
          <w:rFonts w:ascii="Arial" w:eastAsia="Calibri" w:hAnsi="Arial" w:cs="Arial"/>
          <w:color w:val="000000" w:themeColor="text1"/>
          <w:sz w:val="22"/>
          <w:lang w:val="es-ES_tradnl"/>
        </w:rPr>
        <w:t xml:space="preserve"> </w:t>
      </w:r>
      <w:r w:rsidR="0063732C" w:rsidRPr="008918A2">
        <w:rPr>
          <w:rFonts w:ascii="Arial" w:eastAsia="Calibri" w:hAnsi="Arial" w:cs="Arial"/>
          <w:color w:val="000000" w:themeColor="text1"/>
          <w:sz w:val="22"/>
          <w:lang w:val="es-ES_tradnl"/>
        </w:rPr>
        <w:t>señor</w:t>
      </w:r>
      <w:r w:rsidR="00BE4FBF" w:rsidRPr="008918A2">
        <w:rPr>
          <w:rFonts w:ascii="Arial" w:eastAsia="Calibri" w:hAnsi="Arial" w:cs="Arial"/>
          <w:color w:val="000000" w:themeColor="text1"/>
          <w:sz w:val="22"/>
          <w:lang w:val="es-ES_tradnl"/>
        </w:rPr>
        <w:t xml:space="preserve"> </w:t>
      </w:r>
      <w:r w:rsidR="001A6CD1">
        <w:rPr>
          <w:rFonts w:ascii="Arial" w:eastAsia="Calibri" w:hAnsi="Arial" w:cs="Arial"/>
          <w:color w:val="000000" w:themeColor="text1"/>
          <w:sz w:val="22"/>
          <w:lang w:val="es-ES_tradnl"/>
        </w:rPr>
        <w:t>Sánchez</w:t>
      </w:r>
      <w:r w:rsidRPr="008918A2">
        <w:rPr>
          <w:rFonts w:ascii="Arial" w:eastAsia="Calibri" w:hAnsi="Arial" w:cs="Arial"/>
          <w:color w:val="000000" w:themeColor="text1"/>
          <w:sz w:val="22"/>
          <w:lang w:val="es-ES_tradnl"/>
        </w:rPr>
        <w:t>:</w:t>
      </w:r>
    </w:p>
    <w:p w14:paraId="1EAE5543" w14:textId="77777777" w:rsidR="00DD5B04" w:rsidRPr="008918A2" w:rsidRDefault="00DD5B04" w:rsidP="00DF76A2">
      <w:pPr>
        <w:jc w:val="both"/>
        <w:rPr>
          <w:rFonts w:ascii="Arial" w:eastAsia="Calibri" w:hAnsi="Arial" w:cs="Arial"/>
          <w:color w:val="000000" w:themeColor="text1"/>
          <w:sz w:val="22"/>
          <w:lang w:val="es-ES_tradnl"/>
        </w:rPr>
      </w:pPr>
    </w:p>
    <w:p w14:paraId="2109B2D3" w14:textId="59F0E690" w:rsidR="00DD5B04" w:rsidRPr="008918A2" w:rsidRDefault="00DD5B04" w:rsidP="00DF76A2">
      <w:pPr>
        <w:spacing w:line="276" w:lineRule="auto"/>
        <w:jc w:val="both"/>
        <w:rPr>
          <w:rFonts w:ascii="Arial" w:eastAsia="Calibri" w:hAnsi="Arial" w:cs="Arial"/>
          <w:color w:val="000000" w:themeColor="text1"/>
          <w:sz w:val="22"/>
          <w:lang w:val="es-ES_tradnl"/>
        </w:rPr>
      </w:pPr>
      <w:r w:rsidRPr="008918A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 xml:space="preserve">responde su consulta del </w:t>
      </w:r>
      <w:r w:rsidR="00113F6C" w:rsidRPr="008918A2">
        <w:rPr>
          <w:rFonts w:ascii="Arial" w:eastAsia="Calibri" w:hAnsi="Arial" w:cs="Arial"/>
          <w:color w:val="000000" w:themeColor="text1"/>
          <w:sz w:val="22"/>
          <w:lang w:val="es-ES_tradnl"/>
        </w:rPr>
        <w:t>1</w:t>
      </w:r>
      <w:r w:rsidR="0074329C">
        <w:rPr>
          <w:rFonts w:ascii="Arial" w:eastAsia="Calibri" w:hAnsi="Arial" w:cs="Arial"/>
          <w:color w:val="000000" w:themeColor="text1"/>
          <w:sz w:val="22"/>
          <w:lang w:val="es-ES_tradnl"/>
        </w:rPr>
        <w:t xml:space="preserve">2 de mayo </w:t>
      </w:r>
      <w:r w:rsidRPr="008918A2">
        <w:rPr>
          <w:rFonts w:ascii="Arial" w:eastAsia="Calibri" w:hAnsi="Arial" w:cs="Arial"/>
          <w:color w:val="000000" w:themeColor="text1"/>
          <w:sz w:val="22"/>
          <w:lang w:val="es-ES_tradnl"/>
        </w:rPr>
        <w:t>del</w:t>
      </w:r>
      <w:r w:rsidR="007E74BF" w:rsidRPr="008918A2">
        <w:rPr>
          <w:rFonts w:ascii="Arial" w:eastAsia="Calibri" w:hAnsi="Arial" w:cs="Arial"/>
          <w:color w:val="000000" w:themeColor="text1"/>
          <w:sz w:val="22"/>
          <w:lang w:val="es-ES_tradnl"/>
        </w:rPr>
        <w:t xml:space="preserve"> </w:t>
      </w:r>
      <w:r w:rsidRPr="008918A2">
        <w:rPr>
          <w:rFonts w:ascii="Arial" w:eastAsia="Calibri" w:hAnsi="Arial" w:cs="Arial"/>
          <w:color w:val="000000" w:themeColor="text1"/>
          <w:sz w:val="22"/>
          <w:lang w:val="es-ES_tradnl"/>
        </w:rPr>
        <w:t>202</w:t>
      </w:r>
      <w:r w:rsidR="00FB0880" w:rsidRPr="008918A2">
        <w:rPr>
          <w:rFonts w:ascii="Arial" w:eastAsia="Calibri" w:hAnsi="Arial" w:cs="Arial"/>
          <w:color w:val="000000" w:themeColor="text1"/>
          <w:sz w:val="22"/>
          <w:lang w:val="es-ES_tradnl"/>
        </w:rPr>
        <w:t>1</w:t>
      </w:r>
      <w:r w:rsidR="008C3C57" w:rsidRPr="008918A2">
        <w:rPr>
          <w:rFonts w:ascii="Arial" w:eastAsia="Calibri" w:hAnsi="Arial" w:cs="Arial"/>
          <w:color w:val="000000" w:themeColor="text1"/>
          <w:sz w:val="22"/>
          <w:lang w:val="es-ES_tradnl"/>
        </w:rPr>
        <w:t>.</w:t>
      </w:r>
    </w:p>
    <w:p w14:paraId="0C1E0712" w14:textId="77777777" w:rsidR="00DD5B04" w:rsidRPr="008918A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918A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 xml:space="preserve">Problema planteado </w:t>
      </w:r>
    </w:p>
    <w:p w14:paraId="224B43D3" w14:textId="77777777" w:rsidR="00DD5B04" w:rsidRPr="008918A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1FDE70F" w:rsidR="00443B55" w:rsidRPr="008918A2" w:rsidRDefault="00DD5B04" w:rsidP="0099583D">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 xml:space="preserve">Usted </w:t>
      </w:r>
      <w:r w:rsidR="00B422C0" w:rsidRPr="008918A2">
        <w:rPr>
          <w:rFonts w:ascii="Arial" w:hAnsi="Arial" w:cs="Arial"/>
          <w:color w:val="000000" w:themeColor="text1"/>
          <w:sz w:val="22"/>
          <w:lang w:val="es-ES_tradnl"/>
        </w:rPr>
        <w:t>formula</w:t>
      </w:r>
      <w:r w:rsidR="006D46A3" w:rsidRPr="008918A2">
        <w:rPr>
          <w:rFonts w:ascii="Arial" w:hAnsi="Arial" w:cs="Arial"/>
          <w:color w:val="000000" w:themeColor="text1"/>
          <w:sz w:val="22"/>
          <w:lang w:val="es-ES_tradnl"/>
        </w:rPr>
        <w:t xml:space="preserve"> la siguiente</w:t>
      </w:r>
      <w:r w:rsidR="00C028F5" w:rsidRPr="008918A2">
        <w:rPr>
          <w:rFonts w:ascii="Arial" w:hAnsi="Arial" w:cs="Arial"/>
          <w:color w:val="000000" w:themeColor="text1"/>
          <w:sz w:val="22"/>
          <w:lang w:val="es-ES_tradnl"/>
        </w:rPr>
        <w:t xml:space="preserve"> </w:t>
      </w:r>
      <w:r w:rsidR="00602931" w:rsidRPr="008918A2">
        <w:rPr>
          <w:rFonts w:ascii="Arial" w:hAnsi="Arial" w:cs="Arial"/>
          <w:color w:val="000000" w:themeColor="text1"/>
          <w:sz w:val="22"/>
          <w:lang w:val="es-ES_tradnl"/>
        </w:rPr>
        <w:t>pregunta</w:t>
      </w:r>
      <w:r w:rsidR="000C0D2D" w:rsidRPr="008918A2">
        <w:rPr>
          <w:rFonts w:ascii="Arial" w:hAnsi="Arial" w:cs="Arial"/>
          <w:color w:val="000000" w:themeColor="text1"/>
          <w:sz w:val="22"/>
          <w:lang w:val="es-ES_tradnl"/>
        </w:rPr>
        <w:t xml:space="preserve"> relacionada con los</w:t>
      </w:r>
      <w:r w:rsidR="004E34CF" w:rsidRPr="008918A2">
        <w:rPr>
          <w:rFonts w:ascii="Arial" w:hAnsi="Arial" w:cs="Arial"/>
          <w:color w:val="000000" w:themeColor="text1"/>
          <w:sz w:val="22"/>
          <w:lang w:val="es-ES_tradnl"/>
        </w:rPr>
        <w:t xml:space="preserve"> procesos de selección estructurados a partir de los</w:t>
      </w:r>
      <w:r w:rsidR="000C0D2D" w:rsidRPr="008918A2">
        <w:rPr>
          <w:rFonts w:ascii="Arial" w:hAnsi="Arial" w:cs="Arial"/>
          <w:color w:val="000000" w:themeColor="text1"/>
          <w:sz w:val="22"/>
          <w:lang w:val="es-ES_tradnl"/>
        </w:rPr>
        <w:t xml:space="preserve"> documentos tipo de licitación de obra pública de infraestructura de transporte</w:t>
      </w:r>
      <w:r w:rsidR="00B422C0" w:rsidRPr="008918A2">
        <w:rPr>
          <w:rFonts w:ascii="Arial" w:hAnsi="Arial" w:cs="Arial"/>
          <w:color w:val="000000" w:themeColor="text1"/>
          <w:sz w:val="22"/>
          <w:lang w:val="es-ES_tradnl"/>
        </w:rPr>
        <w:t>:</w:t>
      </w:r>
      <w:r w:rsidR="007E18DF" w:rsidRPr="008918A2">
        <w:rPr>
          <w:rFonts w:ascii="Arial" w:hAnsi="Arial" w:cs="Arial"/>
          <w:color w:val="000000" w:themeColor="text1"/>
          <w:sz w:val="22"/>
          <w:lang w:val="es-ES_tradnl"/>
        </w:rPr>
        <w:t xml:space="preserve"> </w:t>
      </w:r>
    </w:p>
    <w:p w14:paraId="559EE20C" w14:textId="77777777" w:rsidR="00443B55" w:rsidRPr="008918A2" w:rsidRDefault="00443B55" w:rsidP="0099583D">
      <w:pPr>
        <w:spacing w:line="276" w:lineRule="auto"/>
        <w:jc w:val="both"/>
        <w:rPr>
          <w:rFonts w:ascii="Arial" w:hAnsi="Arial" w:cs="Arial"/>
          <w:color w:val="000000" w:themeColor="text1"/>
          <w:sz w:val="22"/>
          <w:lang w:val="es-ES_tradnl"/>
        </w:rPr>
      </w:pPr>
    </w:p>
    <w:p w14:paraId="0B8DD460" w14:textId="77777777" w:rsidR="0040431F" w:rsidRPr="0040431F" w:rsidRDefault="001C79A4" w:rsidP="0040431F">
      <w:pPr>
        <w:pStyle w:val="Default"/>
        <w:ind w:left="567" w:right="567"/>
        <w:jc w:val="both"/>
        <w:rPr>
          <w:sz w:val="21"/>
          <w:szCs w:val="21"/>
        </w:rPr>
      </w:pPr>
      <w:r w:rsidRPr="0040431F">
        <w:rPr>
          <w:color w:val="000000" w:themeColor="text1"/>
          <w:sz w:val="21"/>
          <w:szCs w:val="21"/>
          <w:lang w:val="es-ES_tradnl"/>
        </w:rPr>
        <w:t>«</w:t>
      </w:r>
      <w:r w:rsidR="00FF479F" w:rsidRPr="0040431F">
        <w:rPr>
          <w:color w:val="000000" w:themeColor="text1"/>
          <w:sz w:val="21"/>
          <w:szCs w:val="21"/>
          <w:lang w:val="es-ES_tradnl"/>
        </w:rPr>
        <w:t>1. Es posible</w:t>
      </w:r>
      <w:r w:rsidR="0040431F" w:rsidRPr="0040431F">
        <w:rPr>
          <w:color w:val="000000" w:themeColor="text1"/>
          <w:sz w:val="21"/>
          <w:szCs w:val="21"/>
          <w:lang w:val="es-ES_tradnl"/>
        </w:rPr>
        <w:t xml:space="preserve"> que </w:t>
      </w:r>
      <w:r w:rsidR="0040431F" w:rsidRPr="0040431F">
        <w:rPr>
          <w:sz w:val="21"/>
          <w:szCs w:val="21"/>
        </w:rPr>
        <w:t>la entidad establezca una reducción (no asignación) del puntaje por calidad, cuando la experiencia que se acredite se fundamente en un contrato en el cual se presentan vicisitudes como las expuestas?</w:t>
      </w:r>
    </w:p>
    <w:p w14:paraId="3F7A7DFA" w14:textId="77777777" w:rsidR="0040431F" w:rsidRPr="0040431F" w:rsidRDefault="0040431F" w:rsidP="0040431F">
      <w:pPr>
        <w:pStyle w:val="Default"/>
        <w:ind w:left="567" w:right="567"/>
        <w:jc w:val="both"/>
        <w:rPr>
          <w:sz w:val="21"/>
          <w:szCs w:val="21"/>
        </w:rPr>
      </w:pPr>
      <w:r w:rsidRPr="0040431F">
        <w:rPr>
          <w:color w:val="000000" w:themeColor="text1"/>
          <w:sz w:val="21"/>
          <w:szCs w:val="21"/>
          <w:lang w:val="es-ES_tradnl"/>
        </w:rPr>
        <w:t xml:space="preserve">2. </w:t>
      </w:r>
      <w:r w:rsidRPr="0040431F">
        <w:rPr>
          <w:sz w:val="21"/>
          <w:szCs w:val="21"/>
        </w:rPr>
        <w:t xml:space="preserve">¿Al incorporar una modificación en los pliegos de condiciones para la contratación  de obras, su diseño o la correspondiente interventoría significaría vulnerar la condición de inalterabilidad de los Documentos Tipo prevista en el artículo 2.2.1.2.6.1.4. del Decreto 1082 de 2015? </w:t>
      </w:r>
    </w:p>
    <w:p w14:paraId="50439D23" w14:textId="38ACB2A2" w:rsidR="00E31679" w:rsidRDefault="0040431F" w:rsidP="0040431F">
      <w:pPr>
        <w:pStyle w:val="Default"/>
        <w:ind w:left="567" w:right="567"/>
        <w:jc w:val="both"/>
        <w:rPr>
          <w:color w:val="000000" w:themeColor="text1"/>
          <w:sz w:val="21"/>
          <w:szCs w:val="21"/>
          <w:lang w:val="es-ES_tradnl"/>
        </w:rPr>
      </w:pPr>
      <w:r w:rsidRPr="0040431F">
        <w:rPr>
          <w:sz w:val="21"/>
          <w:szCs w:val="21"/>
        </w:rPr>
        <w:lastRenderedPageBreak/>
        <w:t>3. ¿Es viable analizar una futura incorporación de estos criterios para restar puntos en la ponderación de calidad de la oferta en versiones posteriores de los Documentos Tipo para la contratación de diseños, obras o interventoría?</w:t>
      </w:r>
      <w:r w:rsidR="00AF07A5" w:rsidRPr="0040431F">
        <w:rPr>
          <w:color w:val="000000" w:themeColor="text1"/>
          <w:sz w:val="21"/>
          <w:szCs w:val="21"/>
          <w:lang w:val="es-ES_tradnl"/>
        </w:rPr>
        <w:t>»</w:t>
      </w:r>
      <w:r w:rsidR="00E31679" w:rsidRPr="0040431F">
        <w:rPr>
          <w:color w:val="000000" w:themeColor="text1"/>
          <w:sz w:val="21"/>
          <w:szCs w:val="21"/>
          <w:lang w:val="es-ES_tradnl"/>
        </w:rPr>
        <w:t>.</w:t>
      </w:r>
    </w:p>
    <w:p w14:paraId="3297568F" w14:textId="77777777" w:rsidR="009F4225" w:rsidRPr="0040431F" w:rsidRDefault="009F4225" w:rsidP="0040431F">
      <w:pPr>
        <w:pStyle w:val="Default"/>
        <w:ind w:left="567" w:right="567"/>
        <w:jc w:val="both"/>
        <w:rPr>
          <w:sz w:val="21"/>
          <w:szCs w:val="21"/>
        </w:rPr>
      </w:pPr>
    </w:p>
    <w:p w14:paraId="12E12D26" w14:textId="633B6480" w:rsidR="00AF07A5" w:rsidRPr="008918A2" w:rsidRDefault="00AF07A5" w:rsidP="00E31679">
      <w:pPr>
        <w:ind w:left="709" w:right="709"/>
        <w:jc w:val="both"/>
        <w:rPr>
          <w:rFonts w:ascii="Arial" w:hAnsi="Arial" w:cs="Arial"/>
          <w:color w:val="000000" w:themeColor="text1"/>
          <w:sz w:val="21"/>
          <w:szCs w:val="21"/>
          <w:lang w:val="es-ES_tradnl"/>
        </w:rPr>
      </w:pPr>
    </w:p>
    <w:p w14:paraId="124D2DCA" w14:textId="77777777" w:rsidR="00DD5B04" w:rsidRPr="008918A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Consideraciones</w:t>
      </w:r>
    </w:p>
    <w:p w14:paraId="7D050D2E" w14:textId="77777777" w:rsidR="00435703" w:rsidRPr="008918A2" w:rsidRDefault="00435703" w:rsidP="00DF76A2">
      <w:pPr>
        <w:spacing w:line="276" w:lineRule="auto"/>
        <w:jc w:val="both"/>
        <w:rPr>
          <w:rFonts w:ascii="Arial" w:eastAsia="Calibri" w:hAnsi="Arial" w:cs="Arial"/>
          <w:color w:val="000000" w:themeColor="text1"/>
          <w:sz w:val="22"/>
          <w:szCs w:val="22"/>
          <w:lang w:val="es-ES_tradnl"/>
        </w:rPr>
      </w:pPr>
    </w:p>
    <w:p w14:paraId="5686019D" w14:textId="2B9BBAFF" w:rsidR="0066609C" w:rsidRPr="008918A2" w:rsidRDefault="00461D5F" w:rsidP="0066609C">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Para responder la consulta, se analizarán</w:t>
      </w:r>
      <w:r w:rsidR="00271230" w:rsidRPr="008918A2">
        <w:rPr>
          <w:rFonts w:ascii="Arial" w:eastAsia="Calibri" w:hAnsi="Arial" w:cs="Arial"/>
          <w:color w:val="000000" w:themeColor="text1"/>
          <w:sz w:val="22"/>
          <w:szCs w:val="22"/>
          <w:lang w:val="es-ES_tradnl"/>
        </w:rPr>
        <w:t xml:space="preserve"> los</w:t>
      </w:r>
      <w:r w:rsidR="00822EC4" w:rsidRPr="008918A2">
        <w:rPr>
          <w:rFonts w:ascii="Arial" w:eastAsia="Calibri" w:hAnsi="Arial" w:cs="Arial"/>
          <w:color w:val="000000" w:themeColor="text1"/>
          <w:sz w:val="22"/>
          <w:szCs w:val="22"/>
          <w:lang w:val="es-ES_tradnl"/>
        </w:rPr>
        <w:t xml:space="preserve"> siguientes temas:</w:t>
      </w:r>
      <w:r w:rsidR="00A87894"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i) </w:t>
      </w:r>
      <w:r w:rsidR="00442AFD" w:rsidRPr="008918A2">
        <w:rPr>
          <w:rFonts w:ascii="Arial" w:eastAsia="Calibri" w:hAnsi="Arial" w:cs="Arial"/>
          <w:color w:val="000000" w:themeColor="text1"/>
          <w:sz w:val="22"/>
          <w:szCs w:val="22"/>
          <w:lang w:val="es-ES_tradnl"/>
        </w:rPr>
        <w:t>f</w:t>
      </w:r>
      <w:r w:rsidR="00190396" w:rsidRPr="008918A2">
        <w:rPr>
          <w:rFonts w:ascii="Arial" w:eastAsia="Calibri" w:hAnsi="Arial" w:cs="Arial"/>
          <w:color w:val="000000" w:themeColor="text1"/>
          <w:sz w:val="22"/>
          <w:szCs w:val="22"/>
          <w:lang w:val="es-ES_tradnl"/>
        </w:rPr>
        <w:t xml:space="preserve">undamento normativo de los </w:t>
      </w:r>
      <w:r w:rsidR="00A409BC">
        <w:rPr>
          <w:rFonts w:ascii="Arial" w:eastAsia="Calibri" w:hAnsi="Arial" w:cs="Arial"/>
          <w:color w:val="000000" w:themeColor="text1"/>
          <w:sz w:val="22"/>
          <w:szCs w:val="22"/>
          <w:lang w:val="es-ES_tradnl"/>
        </w:rPr>
        <w:t>documentos tipo</w:t>
      </w:r>
      <w:r w:rsidR="00190396" w:rsidRPr="008918A2">
        <w:rPr>
          <w:rFonts w:ascii="Arial" w:eastAsia="Calibri" w:hAnsi="Arial" w:cs="Arial"/>
          <w:color w:val="000000" w:themeColor="text1"/>
          <w:sz w:val="22"/>
          <w:szCs w:val="22"/>
          <w:lang w:val="es-ES_tradnl"/>
        </w:rPr>
        <w:t xml:space="preserve"> adoptados hasta la actualidad, </w:t>
      </w:r>
      <w:r w:rsidR="009F4225">
        <w:rPr>
          <w:rFonts w:ascii="Arial" w:eastAsia="Calibri" w:hAnsi="Arial" w:cs="Arial"/>
          <w:color w:val="000000" w:themeColor="text1"/>
          <w:sz w:val="22"/>
          <w:szCs w:val="22"/>
          <w:lang w:val="es-ES_tradnl"/>
        </w:rPr>
        <w:t xml:space="preserve">y </w:t>
      </w:r>
      <w:r w:rsidR="00190396" w:rsidRPr="008918A2">
        <w:rPr>
          <w:rFonts w:ascii="Arial" w:eastAsia="Calibri" w:hAnsi="Arial" w:cs="Arial"/>
          <w:color w:val="000000" w:themeColor="text1"/>
          <w:sz w:val="22"/>
          <w:szCs w:val="22"/>
          <w:lang w:val="es-ES_tradnl"/>
        </w:rPr>
        <w:t>ii)</w:t>
      </w:r>
      <w:r w:rsidR="00442AFD" w:rsidRPr="008918A2">
        <w:rPr>
          <w:rFonts w:ascii="Arial" w:eastAsia="Calibri" w:hAnsi="Arial" w:cs="Arial"/>
          <w:color w:val="000000" w:themeColor="text1"/>
          <w:sz w:val="22"/>
          <w:szCs w:val="22"/>
          <w:lang w:val="es-ES_tradnl"/>
        </w:rPr>
        <w:t xml:space="preserve"> alcance de la regla de la inalterabilidad de los </w:t>
      </w:r>
      <w:r w:rsidR="00A409BC">
        <w:rPr>
          <w:rFonts w:ascii="Arial" w:eastAsia="Calibri" w:hAnsi="Arial" w:cs="Arial"/>
          <w:color w:val="000000" w:themeColor="text1"/>
          <w:sz w:val="22"/>
          <w:szCs w:val="22"/>
          <w:lang w:val="es-ES_tradnl"/>
        </w:rPr>
        <w:t>documentos tipo</w:t>
      </w:r>
      <w:r w:rsidR="008918A2" w:rsidRPr="008918A2">
        <w:rPr>
          <w:rFonts w:ascii="Arial" w:eastAsia="Calibri" w:hAnsi="Arial" w:cs="Arial"/>
          <w:color w:val="000000" w:themeColor="text1"/>
          <w:sz w:val="22"/>
          <w:szCs w:val="22"/>
          <w:lang w:val="es-ES_tradnl"/>
        </w:rPr>
        <w:t>.</w:t>
      </w:r>
      <w:r w:rsidR="00442AFD" w:rsidRPr="008918A2">
        <w:rPr>
          <w:rFonts w:ascii="Arial" w:eastAsia="Calibri" w:hAnsi="Arial" w:cs="Arial"/>
          <w:color w:val="000000" w:themeColor="text1"/>
          <w:sz w:val="22"/>
          <w:szCs w:val="22"/>
          <w:lang w:val="es-ES_tradnl"/>
        </w:rPr>
        <w:t xml:space="preserve"> </w:t>
      </w:r>
      <w:r w:rsidR="00190396" w:rsidRPr="008918A2">
        <w:rPr>
          <w:rFonts w:ascii="Arial" w:eastAsia="Calibri" w:hAnsi="Arial" w:cs="Arial"/>
          <w:color w:val="000000" w:themeColor="text1"/>
          <w:sz w:val="22"/>
          <w:szCs w:val="22"/>
          <w:lang w:val="es-ES_tradnl"/>
        </w:rPr>
        <w:t xml:space="preserve"> </w:t>
      </w:r>
    </w:p>
    <w:p w14:paraId="2D197EB9" w14:textId="699E9B85" w:rsidR="00B67CED" w:rsidRPr="008918A2" w:rsidRDefault="007B6975" w:rsidP="00EB5EB7">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w:t>
      </w:r>
      <w:r w:rsidR="00A4213F" w:rsidRPr="008918A2">
        <w:rPr>
          <w:rFonts w:ascii="Arial" w:hAnsi="Arial" w:cs="Arial"/>
          <w:noProof/>
          <w:color w:val="000000" w:themeColor="text1"/>
          <w:sz w:val="22"/>
          <w:lang w:val="es-ES_tradnl"/>
        </w:rPr>
        <w:t xml:space="preserve">se pronunció sobre </w:t>
      </w:r>
      <w:r w:rsidR="00430F7D" w:rsidRPr="008918A2">
        <w:rPr>
          <w:rFonts w:ascii="Arial" w:eastAsia="Arial" w:hAnsi="Arial" w:cs="Arial"/>
          <w:color w:val="000000"/>
          <w:sz w:val="22"/>
          <w:lang w:val="es-ES_tradnl"/>
        </w:rPr>
        <w:t>los</w:t>
      </w:r>
      <w:r w:rsidR="00B67CED" w:rsidRPr="008918A2">
        <w:rPr>
          <w:rFonts w:ascii="Arial" w:eastAsia="Arial" w:hAnsi="Arial" w:cs="Arial"/>
          <w:color w:val="000000"/>
          <w:sz w:val="22"/>
          <w:lang w:val="es-ES_tradnl"/>
        </w:rPr>
        <w:t xml:space="preserve"> pliegos de condiciones tipo </w:t>
      </w:r>
      <w:r w:rsidR="00E01519" w:rsidRPr="008918A2">
        <w:rPr>
          <w:rFonts w:ascii="Arial" w:eastAsia="Arial" w:hAnsi="Arial" w:cs="Arial"/>
          <w:color w:val="000000"/>
          <w:sz w:val="22"/>
          <w:lang w:val="es-ES_tradnl"/>
        </w:rPr>
        <w:t>en la contratación estatal</w:t>
      </w:r>
      <w:r w:rsidR="00B67CED" w:rsidRPr="008918A2">
        <w:rPr>
          <w:rFonts w:ascii="Arial" w:eastAsia="Arial" w:hAnsi="Arial" w:cs="Arial"/>
          <w:color w:val="000000"/>
          <w:sz w:val="22"/>
          <w:lang w:val="es-ES_tradnl"/>
        </w:rPr>
        <w:t>,</w:t>
      </w:r>
      <w:r w:rsidR="00885E06" w:rsidRPr="008918A2">
        <w:rPr>
          <w:rFonts w:ascii="Arial" w:eastAsia="Arial" w:hAnsi="Arial" w:cs="Arial"/>
          <w:color w:val="000000"/>
          <w:sz w:val="22"/>
          <w:lang w:val="es-ES_tradnl"/>
        </w:rPr>
        <w:t xml:space="preserve"> así como su inalterabilidad,</w:t>
      </w:r>
      <w:r w:rsidR="00B67CED" w:rsidRPr="008918A2">
        <w:rPr>
          <w:rFonts w:ascii="Arial" w:eastAsia="Arial" w:hAnsi="Arial" w:cs="Arial"/>
          <w:color w:val="000000"/>
          <w:sz w:val="22"/>
          <w:lang w:val="es-ES_tradnl"/>
        </w:rPr>
        <w:t xml:space="preserve"> entre otros, en los siguientes conceptos: </w:t>
      </w:r>
      <w:r w:rsidR="00B67CED"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8918A2">
        <w:rPr>
          <w:rFonts w:ascii="Arial" w:eastAsia="Arial" w:hAnsi="Arial" w:cs="Arial"/>
          <w:sz w:val="22"/>
          <w:lang w:val="es-ES_tradnl"/>
        </w:rPr>
        <w:t xml:space="preserve">, </w:t>
      </w:r>
      <w:r w:rsidR="00B67CED" w:rsidRPr="008918A2">
        <w:rPr>
          <w:rFonts w:ascii="Arial" w:eastAsia="Arial" w:hAnsi="Arial" w:cs="Arial"/>
          <w:sz w:val="22"/>
          <w:lang w:val="es-ES_tradnl"/>
        </w:rPr>
        <w:t>C-570 del 27 de agosto de 2020</w:t>
      </w:r>
      <w:r w:rsidR="00D944AC" w:rsidRPr="008918A2">
        <w:rPr>
          <w:rFonts w:ascii="Arial" w:eastAsia="Arial" w:hAnsi="Arial" w:cs="Arial"/>
          <w:sz w:val="22"/>
          <w:lang w:val="es-ES_tradnl"/>
        </w:rPr>
        <w:t>, C</w:t>
      </w:r>
      <w:r w:rsidR="00C638CD" w:rsidRPr="008918A2">
        <w:rPr>
          <w:rFonts w:ascii="Arial" w:eastAsia="Arial" w:hAnsi="Arial" w:cs="Arial"/>
          <w:sz w:val="22"/>
          <w:lang w:val="es-ES_tradnl"/>
        </w:rPr>
        <w:t>-713 del 2 de diciembre de 2020</w:t>
      </w:r>
      <w:r w:rsidR="0040431F">
        <w:rPr>
          <w:rFonts w:ascii="Arial" w:eastAsia="Arial" w:hAnsi="Arial" w:cs="Arial"/>
          <w:sz w:val="22"/>
          <w:lang w:val="es-ES_tradnl"/>
        </w:rPr>
        <w:t>,</w:t>
      </w:r>
      <w:r w:rsidR="00D07DE9" w:rsidRPr="008918A2">
        <w:rPr>
          <w:rFonts w:ascii="Arial" w:eastAsia="Arial" w:hAnsi="Arial" w:cs="Arial"/>
          <w:sz w:val="22"/>
          <w:lang w:val="es-ES_tradnl"/>
        </w:rPr>
        <w:t xml:space="preserve"> </w:t>
      </w:r>
      <w:r w:rsidR="00C638CD" w:rsidRPr="008918A2">
        <w:rPr>
          <w:rFonts w:ascii="Arial" w:eastAsia="Arial" w:hAnsi="Arial" w:cs="Arial"/>
          <w:sz w:val="22"/>
          <w:lang w:val="es-ES_tradnl"/>
        </w:rPr>
        <w:t>C-</w:t>
      </w:r>
      <w:r w:rsidR="0059455B" w:rsidRPr="008918A2">
        <w:rPr>
          <w:rFonts w:ascii="Arial" w:eastAsia="Arial" w:hAnsi="Arial" w:cs="Arial"/>
          <w:sz w:val="22"/>
          <w:lang w:val="es-ES_tradnl"/>
        </w:rPr>
        <w:t>744 del 22 de diciembre de 202</w:t>
      </w:r>
      <w:r w:rsidR="0040431F">
        <w:rPr>
          <w:rFonts w:ascii="Arial" w:eastAsia="Arial" w:hAnsi="Arial" w:cs="Arial"/>
          <w:sz w:val="22"/>
          <w:lang w:val="es-ES_tradnl"/>
        </w:rPr>
        <w:t xml:space="preserve">0 y C-031 de primero de febrero de 2021. </w:t>
      </w:r>
      <w:r w:rsidR="00B67CED" w:rsidRPr="008918A2">
        <w:rPr>
          <w:rFonts w:ascii="Arial" w:eastAsia="Arial" w:hAnsi="Arial" w:cs="Arial"/>
          <w:sz w:val="22"/>
          <w:lang w:val="es-ES_tradnl"/>
        </w:rPr>
        <w:t xml:space="preserve">Las ideas expuestas en dichas oportunidades se reiterarán a continuación y se complementarán en lo pertinente. </w:t>
      </w:r>
      <w:r w:rsidR="00B67CED" w:rsidRPr="008918A2">
        <w:rPr>
          <w:rFonts w:ascii="Arial" w:eastAsia="Arial" w:hAnsi="Arial" w:cs="Arial"/>
          <w:color w:val="000000"/>
          <w:sz w:val="22"/>
          <w:lang w:val="es-ES_tradnl"/>
        </w:rPr>
        <w:t xml:space="preserve">   </w:t>
      </w:r>
    </w:p>
    <w:p w14:paraId="1A8BB42B" w14:textId="77777777" w:rsidR="00441C68" w:rsidRPr="008918A2" w:rsidRDefault="00441C68" w:rsidP="00B67CED">
      <w:pPr>
        <w:spacing w:line="276" w:lineRule="auto"/>
        <w:jc w:val="both"/>
        <w:rPr>
          <w:rFonts w:ascii="Arial" w:eastAsia="Arial" w:hAnsi="Arial" w:cs="Arial"/>
          <w:b/>
          <w:bCs/>
          <w:color w:val="000000"/>
          <w:sz w:val="22"/>
          <w:lang w:val="es-ES_tradnl"/>
        </w:rPr>
      </w:pPr>
    </w:p>
    <w:p w14:paraId="386098CC" w14:textId="644A7D31" w:rsidR="00B67CED" w:rsidRPr="008918A2" w:rsidRDefault="00B67CED" w:rsidP="00B67CED">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1</w:t>
      </w:r>
      <w:r w:rsidRPr="008918A2">
        <w:rPr>
          <w:rFonts w:ascii="Arial" w:eastAsia="Arial" w:hAnsi="Arial" w:cs="Arial"/>
          <w:b/>
          <w:bCs/>
          <w:color w:val="000000"/>
          <w:sz w:val="22"/>
          <w:lang w:val="es-ES_tradnl"/>
        </w:rPr>
        <w:t xml:space="preserve">. </w:t>
      </w:r>
      <w:r w:rsidR="00B04B71" w:rsidRPr="008918A2">
        <w:rPr>
          <w:rFonts w:ascii="Arial" w:eastAsia="Arial" w:hAnsi="Arial" w:cs="Arial"/>
          <w:b/>
          <w:bCs/>
          <w:color w:val="000000"/>
          <w:sz w:val="22"/>
          <w:lang w:val="es-ES_tradnl"/>
        </w:rPr>
        <w:t xml:space="preserve">Fundamento normativo de los </w:t>
      </w:r>
      <w:r w:rsidR="00A409BC">
        <w:rPr>
          <w:rFonts w:ascii="Arial" w:eastAsia="Arial" w:hAnsi="Arial" w:cs="Arial"/>
          <w:b/>
          <w:bCs/>
          <w:color w:val="000000"/>
          <w:sz w:val="22"/>
          <w:lang w:val="es-ES_tradnl"/>
        </w:rPr>
        <w:t>documentos tipo</w:t>
      </w:r>
      <w:r w:rsidR="00B04B71" w:rsidRPr="008918A2">
        <w:rPr>
          <w:rFonts w:ascii="Arial" w:eastAsia="Arial" w:hAnsi="Arial" w:cs="Arial"/>
          <w:b/>
          <w:bCs/>
          <w:color w:val="000000"/>
          <w:sz w:val="22"/>
          <w:lang w:val="es-ES_tradnl"/>
        </w:rPr>
        <w:t xml:space="preserve"> adoptados hasta la actualidad</w:t>
      </w:r>
    </w:p>
    <w:p w14:paraId="6CD28B38" w14:textId="77777777" w:rsidR="00B67CED" w:rsidRPr="008918A2" w:rsidRDefault="00B67CED" w:rsidP="00B67CED">
      <w:pPr>
        <w:spacing w:line="276" w:lineRule="auto"/>
        <w:jc w:val="both"/>
        <w:rPr>
          <w:rFonts w:ascii="Arial" w:eastAsia="Arial" w:hAnsi="Arial" w:cs="Arial"/>
          <w:b/>
          <w:bCs/>
          <w:color w:val="000000"/>
          <w:sz w:val="22"/>
          <w:lang w:val="es-ES_tradnl"/>
        </w:rPr>
      </w:pPr>
    </w:p>
    <w:p w14:paraId="6433DDA0" w14:textId="748AB0D6" w:rsidR="00B67CED" w:rsidRPr="008918A2" w:rsidRDefault="00B67CED" w:rsidP="009753C3">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 xml:space="preserve">, que facultó al </w:t>
      </w:r>
      <w:r w:rsidR="000256F7"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w:t>
      </w:r>
      <w:r w:rsidR="000256F7" w:rsidRPr="008918A2">
        <w:rPr>
          <w:rFonts w:ascii="Arial" w:eastAsia="Calibri" w:hAnsi="Arial" w:cs="Arial"/>
          <w:color w:val="000000"/>
          <w:sz w:val="22"/>
          <w:lang w:val="es-ES_tradnl"/>
        </w:rPr>
        <w:t>n</w:t>
      </w:r>
      <w:r w:rsidRPr="008918A2">
        <w:rPr>
          <w:rFonts w:ascii="Arial" w:eastAsia="Calibri" w:hAnsi="Arial" w:cs="Arial"/>
          <w:color w:val="000000"/>
          <w:sz w:val="22"/>
          <w:lang w:val="es-ES_tradnl"/>
        </w:rPr>
        <w:t>acional para expedirlos, pero solo cuando se tratara de la adquisición o suministro de bienes y servicios de características técnicas uniformes y de común utilización</w:t>
      </w:r>
      <w:r w:rsidR="00EE1C10"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EE1C10" w:rsidRPr="008918A2">
        <w:rPr>
          <w:rFonts w:ascii="Arial" w:eastAsia="Calibri" w:hAnsi="Arial" w:cs="Arial"/>
          <w:color w:val="000000"/>
          <w:sz w:val="22"/>
          <w:lang w:val="es-ES_tradnl"/>
        </w:rPr>
        <w:t>S</w:t>
      </w:r>
      <w:r w:rsidRPr="008918A2">
        <w:rPr>
          <w:rFonts w:ascii="Arial" w:eastAsia="Calibri" w:hAnsi="Arial" w:cs="Arial"/>
          <w:color w:val="000000"/>
          <w:sz w:val="22"/>
          <w:lang w:val="es-ES_tradnl"/>
        </w:rPr>
        <w:t xml:space="preserve">in embargo, esta facultad no ha sido ejercida hasta la actualidad. </w:t>
      </w:r>
    </w:p>
    <w:p w14:paraId="34CA2DC0" w14:textId="0054C647" w:rsidR="00B67CED" w:rsidRPr="008918A2" w:rsidRDefault="00B67CED" w:rsidP="009753C3">
      <w:pPr>
        <w:spacing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bien, en virtud de la Ley 1882 de 2018 se expidieron varios documentos tipo para el sector de infraestructura de transporte y, por tanto, es importante explicar el proceso previsto en dicho cuerpo normativo. </w:t>
      </w:r>
    </w:p>
    <w:p w14:paraId="4B49E46F" w14:textId="7CDD125D" w:rsidR="00B67CED" w:rsidRPr="008918A2" w:rsidRDefault="00B67CED" w:rsidP="009753C3">
      <w:pPr>
        <w:spacing w:before="120" w:after="120" w:line="276" w:lineRule="auto"/>
        <w:ind w:firstLine="708"/>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 xml:space="preserve">La Ley 1882 de 2018, en el artículo 4, establecía que el </w:t>
      </w:r>
      <w:r w:rsidR="00671C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1B1BF1D9" w14:textId="3E621450"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Asimismo, señalaba que</w:t>
      </w:r>
      <w:r w:rsidR="001B787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dentro de los documentos tipo</w:t>
      </w:r>
      <w:r w:rsidR="005E681E"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el </w:t>
      </w:r>
      <w:r w:rsidR="001B787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adoptaría de manera general y con alcance obligatorio para todas las entidades</w:t>
      </w:r>
      <w:r w:rsidR="005E681E"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1A19C802" w14:textId="6BB43373"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la norma descrita se concluía lo siguiente: i) la adopción de los documentos tipo estaba en cabeza del </w:t>
      </w:r>
      <w:r w:rsidR="00C46294"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obierno nacional</w:t>
      </w:r>
      <w:r w:rsidR="00204379"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stos debían relacionarse con procesos de obra públicas,</w:t>
      </w:r>
      <w:r w:rsidR="006778E7"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interventoría para las obras públicas, interventoría para consultoría de estudios y diseños y, finalmente, consultoría en ingeniería para obras</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iii)</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2F1CA3"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iv)</w:t>
      </w:r>
      <w:r w:rsidR="002F1CA3"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 xml:space="preserve">requisitos habilitantes, así como </w:t>
      </w:r>
      <w:r w:rsidR="00F02CC2" w:rsidRPr="008918A2">
        <w:rPr>
          <w:rFonts w:ascii="Arial" w:eastAsia="Calibri" w:hAnsi="Arial" w:cs="Arial"/>
          <w:color w:val="000000"/>
          <w:sz w:val="22"/>
          <w:lang w:val="es-ES_tradnl"/>
        </w:rPr>
        <w:t xml:space="preserve">los </w:t>
      </w:r>
      <w:r w:rsidRPr="008918A2">
        <w:rPr>
          <w:rFonts w:ascii="Arial" w:eastAsia="Calibri" w:hAnsi="Arial" w:cs="Arial"/>
          <w:color w:val="000000"/>
          <w:sz w:val="22"/>
          <w:lang w:val="es-ES_tradnl"/>
        </w:rPr>
        <w:t>factores técnicos y económicos de escogencia, según correspondiera para cada modalidad de selección</w:t>
      </w:r>
      <w:r w:rsidR="00F02CC2" w:rsidRPr="008918A2">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v) </w:t>
      </w:r>
      <w:r w:rsidR="00DB229C">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w:t>
      </w:r>
      <w:r w:rsidR="00E84352"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tenía la facultad de adoptar documentos tipo en otros contratos o </w:t>
      </w:r>
      <w:r w:rsidRPr="008918A2">
        <w:rPr>
          <w:rFonts w:ascii="Arial" w:eastAsia="Calibri" w:hAnsi="Arial" w:cs="Arial"/>
          <w:color w:val="000000"/>
          <w:sz w:val="22"/>
          <w:lang w:val="es-ES_tradnl"/>
        </w:rPr>
        <w:lastRenderedPageBreak/>
        <w:t>procesos de selección</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sidR="00DB229C">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6A1AB4B7" w14:textId="77777777"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4"/>
      </w:r>
      <w:r w:rsidRPr="008918A2">
        <w:rPr>
          <w:rFonts w:ascii="Arial" w:eastAsia="Calibri" w:hAnsi="Arial" w:cs="Arial"/>
          <w:color w:val="000000"/>
          <w:sz w:val="22"/>
          <w:lang w:val="es-ES_tradnl"/>
        </w:rPr>
        <w:t>.</w:t>
      </w:r>
    </w:p>
    <w:p w14:paraId="1D93AEF8" w14:textId="7B26B1AB" w:rsidR="00B67CED" w:rsidRPr="008918A2" w:rsidRDefault="00B67CED" w:rsidP="009753C3">
      <w:pPr>
        <w:spacing w:before="120"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8918A2">
        <w:rPr>
          <w:rFonts w:ascii="Arial" w:eastAsia="Calibri" w:hAnsi="Arial" w:cs="Arial"/>
          <w:color w:val="000000"/>
          <w:sz w:val="22"/>
          <w:lang w:val="es-ES_tradnl"/>
        </w:rPr>
        <w:t>g</w:t>
      </w:r>
      <w:r w:rsidRPr="008918A2">
        <w:rPr>
          <w:rFonts w:ascii="Arial" w:eastAsia="Calibri" w:hAnsi="Arial" w:cs="Arial"/>
          <w:color w:val="000000"/>
          <w:sz w:val="22"/>
          <w:lang w:val="es-ES_tradnl"/>
        </w:rPr>
        <w:t xml:space="preserve">obierno nacional. Ahora, dicha autonomía se materializa cuando las entidades territoriales deciden </w:t>
      </w:r>
      <w:r w:rsidR="00DB229C">
        <w:rPr>
          <w:rFonts w:ascii="Arial" w:eastAsia="Calibri" w:hAnsi="Arial" w:cs="Arial"/>
          <w:color w:val="000000"/>
          <w:sz w:val="22"/>
          <w:lang w:val="es-ES_tradnl"/>
        </w:rPr>
        <w:t>iniciar</w:t>
      </w:r>
      <w:r w:rsidR="00DB229C" w:rsidRPr="008918A2">
        <w:rPr>
          <w:rFonts w:ascii="Arial" w:eastAsia="Calibri" w:hAnsi="Arial" w:cs="Arial"/>
          <w:color w:val="000000"/>
          <w:sz w:val="22"/>
          <w:lang w:val="es-ES_tradnl"/>
        </w:rPr>
        <w:t xml:space="preserve"> </w:t>
      </w:r>
      <w:r w:rsidRPr="008918A2">
        <w:rPr>
          <w:rFonts w:ascii="Arial" w:eastAsia="Calibri" w:hAnsi="Arial" w:cs="Arial"/>
          <w:color w:val="000000"/>
          <w:sz w:val="22"/>
          <w:lang w:val="es-ES_tradnl"/>
        </w:rPr>
        <w:t>un proceso de convocatoria para satisfacer sus necesidades para la adquisición de un bien</w:t>
      </w:r>
      <w:r w:rsidR="00DB229C">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sidR="00DB229C">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4540A853" w14:textId="77777777" w:rsidR="001B5BA2" w:rsidRDefault="00B67CED" w:rsidP="009753C3">
      <w:pPr>
        <w:spacing w:before="120" w:after="120" w:line="276" w:lineRule="auto"/>
        <w:jc w:val="both"/>
        <w:rPr>
          <w:rFonts w:ascii="Arial" w:eastAsia="Calibri" w:hAnsi="Arial" w:cs="Arial"/>
          <w:sz w:val="22"/>
          <w:szCs w:val="22"/>
          <w:lang w:val="es-ES_tradnl" w:eastAsia="en-US"/>
        </w:rPr>
      </w:pPr>
      <w:r w:rsidRPr="008918A2">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w:t>
      </w:r>
      <w:r w:rsidR="00C653BE" w:rsidRPr="008918A2">
        <w:rPr>
          <w:rFonts w:ascii="Arial" w:eastAsia="Calibri" w:hAnsi="Arial" w:cs="Arial"/>
          <w:color w:val="000000"/>
          <w:sz w:val="22"/>
          <w:szCs w:val="22"/>
          <w:lang w:val="es-ES_tradnl"/>
        </w:rPr>
        <w:t>g</w:t>
      </w:r>
      <w:r w:rsidRPr="008918A2">
        <w:rPr>
          <w:rFonts w:ascii="Arial" w:eastAsia="Calibri" w:hAnsi="Arial" w:cs="Arial"/>
          <w:color w:val="000000"/>
          <w:sz w:val="22"/>
          <w:szCs w:val="22"/>
          <w:lang w:val="es-ES_tradnl"/>
        </w:rPr>
        <w:t>obierno nacional en virtud de esta ley.</w:t>
      </w:r>
      <w:r w:rsidR="00C653BE" w:rsidRPr="008918A2">
        <w:rPr>
          <w:rFonts w:ascii="Arial" w:eastAsia="Calibri" w:hAnsi="Arial" w:cs="Arial"/>
          <w:color w:val="000000"/>
          <w:sz w:val="22"/>
          <w:szCs w:val="22"/>
          <w:lang w:val="es-ES_tradnl"/>
        </w:rPr>
        <w:t xml:space="preserve"> </w:t>
      </w:r>
      <w:r w:rsidRPr="008918A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8918A2">
        <w:rPr>
          <w:rFonts w:ascii="Arial" w:eastAsia="Calibri" w:hAnsi="Arial" w:cs="Arial"/>
          <w:sz w:val="22"/>
          <w:szCs w:val="22"/>
          <w:lang w:val="es-ES_tradnl" w:eastAsia="en-US"/>
        </w:rPr>
        <w:t>g</w:t>
      </w:r>
      <w:r w:rsidRPr="008918A2">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2925F5" w:rsidRPr="008918A2">
        <w:rPr>
          <w:rFonts w:ascii="Arial" w:eastAsia="Calibri" w:hAnsi="Arial" w:cs="Arial"/>
          <w:sz w:val="22"/>
          <w:szCs w:val="22"/>
          <w:lang w:val="es-ES_tradnl" w:eastAsia="en-US"/>
        </w:rPr>
        <w:t>.</w:t>
      </w:r>
      <w:r w:rsidRPr="008918A2">
        <w:rPr>
          <w:rFonts w:ascii="Arial" w:eastAsia="Calibri" w:hAnsi="Arial" w:cs="Arial"/>
          <w:sz w:val="22"/>
          <w:szCs w:val="22"/>
          <w:lang w:val="es-ES_tradnl" w:eastAsia="en-US"/>
        </w:rPr>
        <w:t xml:space="preserve"> </w:t>
      </w:r>
    </w:p>
    <w:p w14:paraId="4D310BC6" w14:textId="63FB1625" w:rsidR="00B67CED" w:rsidRPr="008918A2" w:rsidRDefault="001B5BA2" w:rsidP="009753C3">
      <w:pPr>
        <w:spacing w:before="120" w:after="120" w:line="276" w:lineRule="auto"/>
        <w:jc w:val="both"/>
        <w:rPr>
          <w:rFonts w:ascii="Arial" w:eastAsia="Calibri" w:hAnsi="Arial" w:cs="Arial"/>
          <w:color w:val="000000"/>
          <w:sz w:val="22"/>
          <w:szCs w:val="22"/>
          <w:lang w:val="es-ES_tradnl"/>
        </w:rPr>
      </w:pPr>
      <w:r>
        <w:rPr>
          <w:rFonts w:ascii="Arial" w:eastAsia="Calibri" w:hAnsi="Arial" w:cs="Arial"/>
          <w:sz w:val="22"/>
          <w:szCs w:val="22"/>
          <w:lang w:val="es-ES_tradnl" w:eastAsia="en-US"/>
        </w:rPr>
        <w:tab/>
        <w:t>Posteriormente,</w:t>
      </w:r>
      <w:r w:rsidR="002925F5" w:rsidRPr="008918A2">
        <w:rPr>
          <w:rFonts w:ascii="Arial" w:eastAsia="Calibri" w:hAnsi="Arial" w:cs="Arial"/>
          <w:sz w:val="22"/>
          <w:szCs w:val="22"/>
          <w:lang w:val="es-ES_tradnl" w:eastAsia="en-US"/>
        </w:rPr>
        <w:t xml:space="preserve"> se expidió </w:t>
      </w:r>
      <w:r w:rsidR="00B67CED" w:rsidRPr="008918A2">
        <w:rPr>
          <w:rFonts w:ascii="Arial" w:eastAsia="Calibri" w:hAnsi="Arial" w:cs="Arial"/>
          <w:sz w:val="22"/>
          <w:szCs w:val="22"/>
          <w:lang w:val="es-ES_tradnl" w:eastAsia="en-US"/>
        </w:rPr>
        <w:t xml:space="preserve">el Decreto 2096 del 21 de noviembre de 2019, </w:t>
      </w:r>
      <w:r w:rsidR="00747570" w:rsidRPr="008918A2">
        <w:rPr>
          <w:rFonts w:ascii="Arial" w:eastAsia="Calibri" w:hAnsi="Arial" w:cs="Arial"/>
          <w:sz w:val="22"/>
          <w:szCs w:val="22"/>
          <w:lang w:val="es-ES_tradnl" w:eastAsia="en-US"/>
        </w:rPr>
        <w:t>que permitió el desarrollo de</w:t>
      </w:r>
      <w:r w:rsidR="00B67CED" w:rsidRPr="008918A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8918A2">
        <w:rPr>
          <w:rFonts w:ascii="Arial" w:eastAsia="Calibri" w:hAnsi="Arial" w:cs="Arial"/>
          <w:sz w:val="22"/>
          <w:szCs w:val="22"/>
          <w:lang w:val="es-ES_tradnl" w:eastAsia="en-US"/>
        </w:rPr>
        <w:t>adelantaran</w:t>
      </w:r>
      <w:r w:rsidR="00B67CED" w:rsidRPr="008918A2">
        <w:rPr>
          <w:rFonts w:ascii="Arial" w:eastAsia="Calibri" w:hAnsi="Arial" w:cs="Arial"/>
          <w:sz w:val="22"/>
          <w:szCs w:val="22"/>
          <w:lang w:val="es-ES_tradnl" w:eastAsia="en-US"/>
        </w:rPr>
        <w:t xml:space="preserve"> por la </w:t>
      </w:r>
      <w:r w:rsidR="00B67CED" w:rsidRPr="008918A2">
        <w:rPr>
          <w:rFonts w:ascii="Arial" w:eastAsia="Calibri" w:hAnsi="Arial" w:cs="Arial"/>
          <w:sz w:val="22"/>
          <w:szCs w:val="22"/>
          <w:lang w:val="es-ES_tradnl" w:eastAsia="en-US"/>
        </w:rPr>
        <w:lastRenderedPageBreak/>
        <w:t>modalidad de selección abreviada de menor cuantía</w:t>
      </w:r>
      <w:r w:rsidR="00747570" w:rsidRPr="008918A2">
        <w:rPr>
          <w:rFonts w:ascii="Arial" w:eastAsia="Calibri" w:hAnsi="Arial" w:cs="Arial"/>
          <w:sz w:val="22"/>
          <w:szCs w:val="22"/>
          <w:lang w:val="es-ES_tradnl" w:eastAsia="en-US"/>
        </w:rPr>
        <w:t>.</w:t>
      </w:r>
      <w:r w:rsidR="00B67CED" w:rsidRPr="008918A2">
        <w:rPr>
          <w:rFonts w:ascii="Arial" w:eastAsia="Calibri" w:hAnsi="Arial" w:cs="Arial"/>
          <w:sz w:val="22"/>
          <w:szCs w:val="22"/>
          <w:lang w:val="es-ES_tradnl" w:eastAsia="en-US"/>
        </w:rPr>
        <w:t xml:space="preserve"> </w:t>
      </w:r>
      <w:r w:rsidR="00747570" w:rsidRPr="008918A2">
        <w:rPr>
          <w:rFonts w:ascii="Arial" w:eastAsia="Calibri" w:hAnsi="Arial" w:cs="Arial"/>
          <w:sz w:val="22"/>
          <w:szCs w:val="22"/>
          <w:lang w:val="es-ES_tradnl" w:eastAsia="en-US"/>
        </w:rPr>
        <w:t>F</w:t>
      </w:r>
      <w:r w:rsidR="00B67CED" w:rsidRPr="008918A2">
        <w:rPr>
          <w:rFonts w:ascii="Arial" w:eastAsia="Calibri" w:hAnsi="Arial" w:cs="Arial"/>
          <w:sz w:val="22"/>
          <w:szCs w:val="22"/>
          <w:lang w:val="es-ES_tradnl" w:eastAsia="en-US"/>
        </w:rPr>
        <w:t xml:space="preserve">inalmente, </w:t>
      </w:r>
      <w:r w:rsidR="00747570" w:rsidRPr="008918A2">
        <w:rPr>
          <w:rFonts w:ascii="Arial" w:eastAsia="Calibri" w:hAnsi="Arial" w:cs="Arial"/>
          <w:sz w:val="22"/>
          <w:szCs w:val="22"/>
          <w:lang w:val="es-ES_tradnl" w:eastAsia="en-US"/>
        </w:rPr>
        <w:t xml:space="preserve">se profirió </w:t>
      </w:r>
      <w:r w:rsidR="00B67CED" w:rsidRPr="008918A2">
        <w:rPr>
          <w:rFonts w:ascii="Arial" w:eastAsia="Calibri" w:hAnsi="Arial" w:cs="Arial"/>
          <w:sz w:val="22"/>
          <w:szCs w:val="22"/>
          <w:lang w:val="es-ES_tradnl" w:eastAsia="en-US"/>
        </w:rPr>
        <w:t>el Decreto 594 del 25 de abril de 2020, frente a los documentos tipo para los contratos de obra pública</w:t>
      </w:r>
      <w:r w:rsidR="00B67CED" w:rsidRPr="008918A2" w:rsidDel="00A434AB">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de infraestructura de transporte que se </w:t>
      </w:r>
      <w:r w:rsidR="00E52EB3" w:rsidRPr="008918A2">
        <w:rPr>
          <w:rFonts w:ascii="Arial" w:eastAsia="Calibri" w:hAnsi="Arial" w:cs="Arial"/>
          <w:sz w:val="22"/>
          <w:szCs w:val="22"/>
          <w:lang w:val="es-ES_tradnl" w:eastAsia="en-US"/>
        </w:rPr>
        <w:t>surtieran</w:t>
      </w:r>
      <w:r w:rsidR="00B67CED" w:rsidRPr="008918A2">
        <w:rPr>
          <w:rFonts w:ascii="Arial" w:eastAsia="Calibri" w:hAnsi="Arial" w:cs="Arial"/>
          <w:sz w:val="22"/>
          <w:szCs w:val="22"/>
          <w:lang w:val="es-ES_tradnl" w:eastAsia="en-US"/>
        </w:rPr>
        <w:t xml:space="preserve"> por la modalidad de mínima cuantía.</w:t>
      </w:r>
      <w:r w:rsidR="00933EF7"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 xml:space="preserve">Estos documentos fueron implementados y desarrollados por la Agencia Nacional de Contratación Pública </w:t>
      </w:r>
      <w:bookmarkStart w:id="4" w:name="_Hlk37841850"/>
      <w:r w:rsidR="00B67CED" w:rsidRPr="008918A2">
        <w:rPr>
          <w:rFonts w:ascii="Arial" w:eastAsia="Calibri" w:hAnsi="Arial" w:cs="Arial"/>
          <w:sz w:val="22"/>
          <w:szCs w:val="22"/>
          <w:lang w:val="es-ES_tradnl" w:eastAsia="en-US"/>
        </w:rPr>
        <w:t xml:space="preserve">– Colombia Compra Eficiente, </w:t>
      </w:r>
      <w:bookmarkEnd w:id="4"/>
      <w:r w:rsidR="00B67CED" w:rsidRPr="008918A2">
        <w:rPr>
          <w:rFonts w:ascii="Arial" w:eastAsia="Calibri" w:hAnsi="Arial" w:cs="Arial"/>
          <w:sz w:val="22"/>
          <w:szCs w:val="22"/>
          <w:lang w:val="es-ES_tradnl" w:eastAsia="en-US"/>
        </w:rPr>
        <w:t>por medio de la Resolución 1798 de 1 de abril de 2019</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derogada por la Resolución 045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la Resolución 044 del 14 de febrero de 2020</w:t>
      </w:r>
      <w:r w:rsidR="00E52EB3" w:rsidRPr="008918A2">
        <w:rPr>
          <w:rFonts w:ascii="Arial" w:eastAsia="Calibri" w:hAnsi="Arial" w:cs="Arial"/>
          <w:sz w:val="22"/>
          <w:szCs w:val="22"/>
          <w:lang w:val="es-ES_tradnl" w:eastAsia="en-US"/>
        </w:rPr>
        <w:t xml:space="preserve"> </w:t>
      </w:r>
      <w:r w:rsidR="00B67CED" w:rsidRPr="008918A2">
        <w:rPr>
          <w:rFonts w:ascii="Arial" w:eastAsia="Calibri" w:hAnsi="Arial" w:cs="Arial"/>
          <w:sz w:val="22"/>
          <w:szCs w:val="22"/>
          <w:lang w:val="es-ES_tradnl" w:eastAsia="en-US"/>
        </w:rPr>
        <w:t>y la Resolución 094 del 21 de mayo de 2020.</w:t>
      </w:r>
    </w:p>
    <w:p w14:paraId="78D7441B" w14:textId="778DB726" w:rsidR="006E597D"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Presidente de la República el 22 de julio</w:t>
      </w:r>
      <w:r w:rsidR="00DF5948">
        <w:rPr>
          <w:rFonts w:eastAsia="Calibri"/>
          <w:color w:val="000000" w:themeColor="text1"/>
        </w:rPr>
        <w:t xml:space="preserve"> del año pasado</w:t>
      </w:r>
      <w:r w:rsidR="007F119B">
        <w:rPr>
          <w:rFonts w:eastAsia="Calibri"/>
          <w:color w:val="000000" w:themeColor="text1"/>
        </w:rPr>
        <w:t xml:space="preserve">, que en su artículo 1 modificó el artículo 4 de la Ley 1882 de 2018 y, por tanto, </w:t>
      </w:r>
      <w:r w:rsidR="009661C8">
        <w:rPr>
          <w:rFonts w:eastAsia="Calibri"/>
          <w:color w:val="000000" w:themeColor="text1"/>
        </w:rPr>
        <w:t>modificó</w:t>
      </w:r>
      <w:r w:rsidR="007F119B">
        <w:rPr>
          <w:rFonts w:eastAsia="Calibri"/>
          <w:color w:val="000000" w:themeColor="text1"/>
        </w:rPr>
        <w:t xml:space="preserve"> el parágrafo 7 del artículo 2 de la Ley 1150 de 2007</w:t>
      </w:r>
      <w:r w:rsidR="00F90ED0">
        <w:rPr>
          <w:rFonts w:eastAsia="Calibri"/>
          <w:color w:val="000000" w:themeColor="text1"/>
        </w:rPr>
        <w:t>, asignando directamente a la Agencia Nacional de Contratación Pública – Colombia Compra Eficiente la facultad para adoptar los documentos tipo</w:t>
      </w:r>
      <w:r w:rsidR="007F119B">
        <w:rPr>
          <w:rStyle w:val="Refdenotaalpie"/>
          <w:rFonts w:eastAsia="Calibri"/>
          <w:color w:val="000000" w:themeColor="text1"/>
        </w:rPr>
        <w:footnoteReference w:id="5"/>
      </w:r>
      <w:r w:rsidRPr="008918A2">
        <w:rPr>
          <w:rFonts w:eastAsia="Calibri"/>
          <w:color w:val="000000" w:themeColor="text1"/>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r w:rsidR="004462FD" w:rsidRPr="008918A2">
        <w:rPr>
          <w:rFonts w:eastAsia="Calibri"/>
          <w:color w:val="000000" w:themeColor="text1"/>
        </w:rPr>
        <w:t>Asimismo,</w:t>
      </w:r>
      <w:r w:rsidR="0072220F" w:rsidRPr="008918A2">
        <w:rPr>
          <w:rFonts w:eastAsia="Calibri"/>
          <w:color w:val="000000" w:themeColor="text1"/>
        </w:rPr>
        <w:t xml:space="preserve"> </w:t>
      </w:r>
      <w:r w:rsidR="00BB1A75" w:rsidRPr="008918A2">
        <w:rPr>
          <w:rFonts w:eastAsia="Calibri"/>
          <w:color w:val="000000" w:themeColor="text1"/>
        </w:rPr>
        <w:t>con fundamento en</w:t>
      </w:r>
      <w:r w:rsidR="0072220F" w:rsidRPr="008918A2">
        <w:rPr>
          <w:rFonts w:eastAsia="Calibri"/>
          <w:color w:val="000000" w:themeColor="text1"/>
        </w:rPr>
        <w:t xml:space="preserve"> dicha </w:t>
      </w:r>
      <w:r w:rsidR="004503A3" w:rsidRPr="008918A2">
        <w:rPr>
          <w:rFonts w:eastAsia="Calibri"/>
          <w:color w:val="000000" w:themeColor="text1"/>
        </w:rPr>
        <w:t>L</w:t>
      </w:r>
      <w:r w:rsidR="0072220F" w:rsidRPr="008918A2">
        <w:rPr>
          <w:rFonts w:eastAsia="Calibri"/>
          <w:color w:val="000000" w:themeColor="text1"/>
        </w:rPr>
        <w:t>ey, se</w:t>
      </w:r>
      <w:r w:rsidR="004462FD" w:rsidRPr="008918A2">
        <w:rPr>
          <w:rFonts w:eastAsia="Calibri"/>
          <w:color w:val="000000" w:themeColor="text1"/>
        </w:rPr>
        <w:t xml:space="preserve"> profirió la Resolución </w:t>
      </w:r>
      <w:r w:rsidR="00424602" w:rsidRPr="008918A2">
        <w:rPr>
          <w:rFonts w:eastAsia="Calibri"/>
          <w:color w:val="000000" w:themeColor="text1"/>
        </w:rPr>
        <w:t xml:space="preserve">240 del 27 de noviembre de 2020, </w:t>
      </w:r>
      <w:r w:rsidR="003B4C61" w:rsidRPr="008918A2">
        <w:rPr>
          <w:rFonts w:eastAsia="Calibri"/>
          <w:color w:val="000000" w:themeColor="text1"/>
        </w:rPr>
        <w:t>«Por la cual se actualizan los Documentos Tipo para los procesos de selección de licitación</w:t>
      </w:r>
      <w:r w:rsidR="005202BF" w:rsidRPr="008918A2">
        <w:rPr>
          <w:rFonts w:eastAsia="Calibri"/>
          <w:color w:val="000000" w:themeColor="text1"/>
        </w:rPr>
        <w:t xml:space="preserve"> de obra pública de infraestructura de transporte y se deroga la Resolución 0045 de 2020».</w:t>
      </w:r>
      <w:r w:rsidR="0072220F" w:rsidRPr="008918A2">
        <w:rPr>
          <w:rFonts w:eastAsia="Calibri"/>
          <w:color w:val="000000" w:themeColor="text1"/>
        </w:rPr>
        <w:t xml:space="preserve"> </w:t>
      </w:r>
    </w:p>
    <w:p w14:paraId="6D9D82AB" w14:textId="5B12BC86" w:rsidR="00B67CED" w:rsidRPr="008918A2" w:rsidRDefault="0072220F" w:rsidP="009753C3">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 xml:space="preserve">De igual manera, se expidió la Resolución </w:t>
      </w:r>
      <w:r w:rsidR="00BB1A75" w:rsidRPr="008918A2">
        <w:rPr>
          <w:rFonts w:eastAsia="Calibri"/>
          <w:color w:val="000000" w:themeColor="text1"/>
        </w:rPr>
        <w:t>241 del 27 de noviembre de 2020, «</w:t>
      </w:r>
      <w:r w:rsidR="0068059E" w:rsidRPr="008918A2">
        <w:rPr>
          <w:rFonts w:eastAsia="Calibri"/>
          <w:color w:val="000000" w:themeColor="text1"/>
        </w:rPr>
        <w:t>Por la cual se actualizan los Documentos Tipo para los procesos de selección abreviada de menor cuantía</w:t>
      </w:r>
      <w:r w:rsidR="00D80B75" w:rsidRPr="008918A2">
        <w:rPr>
          <w:rFonts w:eastAsia="Calibri"/>
          <w:color w:val="000000" w:themeColor="text1"/>
        </w:rPr>
        <w:t xml:space="preserve"> de obra pública de infraestructura de transporte y se deroga la Resolución 0044 de 2020».</w:t>
      </w:r>
      <w:r w:rsidR="00E52C48" w:rsidRPr="008918A2">
        <w:rPr>
          <w:rFonts w:eastAsia="Calibri"/>
          <w:color w:val="000000" w:themeColor="text1"/>
        </w:rPr>
        <w:t xml:space="preserve"> Adicionalmente, </w:t>
      </w:r>
      <w:r w:rsidR="00285E14" w:rsidRPr="008918A2">
        <w:rPr>
          <w:rFonts w:eastAsia="Calibri"/>
          <w:color w:val="000000" w:themeColor="text1"/>
        </w:rPr>
        <w:t>entró en vigencia la Resolución 256 de 2020, «Por la cual se adoptan los documentos tipo</w:t>
      </w:r>
      <w:r w:rsidR="008B522C" w:rsidRPr="008918A2">
        <w:rPr>
          <w:rFonts w:eastAsia="Calibri"/>
          <w:color w:val="000000" w:themeColor="text1"/>
        </w:rPr>
        <w:t xml:space="preserve"> para los procesos de selección de concursos de méritos, para contratar la interventoría de obras públicas de infraestructura de transporte».</w:t>
      </w:r>
      <w:r w:rsidR="00B346D9" w:rsidRPr="008918A2">
        <w:rPr>
          <w:rFonts w:eastAsia="Calibri"/>
          <w:color w:val="000000" w:themeColor="text1"/>
        </w:rPr>
        <w:t xml:space="preserve"> Por otra parte, se expidió la Resolución</w:t>
      </w:r>
      <w:r w:rsidR="0082042F" w:rsidRPr="008918A2">
        <w:rPr>
          <w:rFonts w:eastAsia="Calibri"/>
          <w:color w:val="000000" w:themeColor="text1"/>
        </w:rPr>
        <w:t xml:space="preserve"> 248 de 2020, </w:t>
      </w:r>
      <w:r w:rsidR="00640E88" w:rsidRPr="008918A2">
        <w:rPr>
          <w:rFonts w:eastAsia="Calibri"/>
          <w:color w:val="000000" w:themeColor="text1"/>
        </w:rPr>
        <w:t>«Por la cual se adoptan los documentos tipo para los procesos de licitación pública para obras de infraestructura de agua potable y saneamiento básico»</w:t>
      </w:r>
      <w:r w:rsidR="00375A41" w:rsidRPr="008918A2">
        <w:rPr>
          <w:rFonts w:eastAsia="Calibri"/>
          <w:color w:val="000000" w:themeColor="text1"/>
        </w:rPr>
        <w:t xml:space="preserve">, la </w:t>
      </w:r>
      <w:r w:rsidR="00EA793F" w:rsidRPr="008918A2">
        <w:rPr>
          <w:rFonts w:eastAsia="Calibri"/>
          <w:color w:val="000000" w:themeColor="text1"/>
        </w:rPr>
        <w:t xml:space="preserve">Resolución </w:t>
      </w:r>
      <w:r w:rsidR="005E2423" w:rsidRPr="008918A2">
        <w:rPr>
          <w:rFonts w:eastAsia="Calibri"/>
          <w:color w:val="000000" w:themeColor="text1"/>
        </w:rPr>
        <w:t>249 de 2020</w:t>
      </w:r>
      <w:r w:rsidR="004874E6" w:rsidRPr="008918A2">
        <w:rPr>
          <w:rFonts w:eastAsia="Calibri"/>
          <w:color w:val="000000" w:themeColor="text1"/>
        </w:rPr>
        <w:t>, «Por la cual se adoptan los documentos tipo para los procesos de licitación pública para obras de infraestructura de agua potable</w:t>
      </w:r>
      <w:r w:rsidR="00B574C3" w:rsidRPr="008918A2">
        <w:rPr>
          <w:rFonts w:eastAsia="Calibri"/>
          <w:color w:val="000000" w:themeColor="text1"/>
        </w:rPr>
        <w:t xml:space="preserve"> y saneamiento básico en la modalidad llave en mano»</w:t>
      </w:r>
      <w:r w:rsidR="00375A41" w:rsidRPr="008918A2">
        <w:rPr>
          <w:rFonts w:eastAsia="Calibri"/>
          <w:color w:val="000000" w:themeColor="text1"/>
        </w:rPr>
        <w:t xml:space="preserve"> y la Resolución </w:t>
      </w:r>
      <w:r w:rsidR="000402D3" w:rsidRPr="008918A2">
        <w:rPr>
          <w:rFonts w:eastAsia="Calibri"/>
          <w:color w:val="000000" w:themeColor="text1"/>
        </w:rPr>
        <w:t>269 de 2020, «Por la cual se adopta el documento tipo</w:t>
      </w:r>
      <w:r w:rsidR="00FB47FB" w:rsidRPr="008918A2">
        <w:rPr>
          <w:rFonts w:eastAsia="Calibri"/>
          <w:color w:val="000000" w:themeColor="text1"/>
        </w:rPr>
        <w:t xml:space="preserve"> para los procesos de gestión catastral con enfoque multipropósito</w:t>
      </w:r>
      <w:r w:rsidR="00E60DC8" w:rsidRPr="008918A2">
        <w:rPr>
          <w:rFonts w:eastAsia="Calibri"/>
          <w:color w:val="000000" w:themeColor="text1"/>
        </w:rPr>
        <w:t xml:space="preserve"> que se celebren a través de contratos interadministrativos».</w:t>
      </w:r>
    </w:p>
    <w:p w14:paraId="07E2EA6D" w14:textId="6617ACD3"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w:t>
      </w:r>
      <w:r w:rsidR="00E60DC8" w:rsidRPr="008918A2">
        <w:rPr>
          <w:rFonts w:eastAsia="Calibri"/>
          <w:color w:val="000000" w:themeColor="text1"/>
        </w:rPr>
        <w:t>síntesis</w:t>
      </w:r>
      <w:r w:rsidRPr="008918A2">
        <w:rPr>
          <w:rFonts w:eastAsia="Calibri"/>
          <w:color w:val="000000" w:themeColor="text1"/>
        </w:rPr>
        <w:t xml:space="preserve">, hasta el momento se han expedido los siguientes documentos tipo que son obligatorios para todas las entidades sometidas al Estatuto General de Contratación de la Administración Pública: </w:t>
      </w:r>
    </w:p>
    <w:p w14:paraId="4C58BB44" w14:textId="77777777" w:rsidR="00F736AF"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1–, obligatorios para los procesos cuyo aviso de convocatoria se haya publicado desde el 1 de abril de 2019</w:t>
      </w:r>
      <w:r w:rsidR="00F736AF" w:rsidRPr="008918A2">
        <w:rPr>
          <w:rFonts w:eastAsia="Calibri"/>
          <w:color w:val="000000" w:themeColor="text1"/>
        </w:rPr>
        <w:t>.</w:t>
      </w:r>
      <w:r w:rsidRPr="008918A2">
        <w:rPr>
          <w:rFonts w:eastAsia="Calibri"/>
          <w:color w:val="000000" w:themeColor="text1"/>
        </w:rPr>
        <w:t xml:space="preserve"> </w:t>
      </w:r>
    </w:p>
    <w:p w14:paraId="0E6071BA" w14:textId="77777777" w:rsidR="003364E6"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ii) </w:t>
      </w:r>
      <w:r w:rsidR="00F736AF" w:rsidRPr="008918A2">
        <w:rPr>
          <w:rFonts w:eastAsia="Calibri"/>
          <w:color w:val="000000" w:themeColor="text1"/>
        </w:rPr>
        <w:t>D</w:t>
      </w:r>
      <w:r w:rsidRPr="008918A2">
        <w:rPr>
          <w:rFonts w:eastAsia="Calibri"/>
          <w:color w:val="000000" w:themeColor="text1"/>
        </w:rPr>
        <w:t>ocumentos tipo para licitación de obra pública de infraestructura de transporte –versión 2–, obligatorios para los procesos cuyo aviso de convocatoria se haya publicado desde el 10 de marzo de 2020</w:t>
      </w:r>
      <w:r w:rsidR="00F736AF" w:rsidRPr="008918A2">
        <w:rPr>
          <w:rFonts w:eastAsia="Calibri"/>
          <w:color w:val="000000" w:themeColor="text1"/>
        </w:rPr>
        <w:t>.</w:t>
      </w:r>
    </w:p>
    <w:p w14:paraId="49B41684" w14:textId="08F596E4" w:rsidR="00F736AF" w:rsidRPr="008918A2" w:rsidRDefault="003364E6"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ii</w:t>
      </w:r>
      <w:r w:rsidR="00E86567" w:rsidRPr="008918A2">
        <w:rPr>
          <w:rFonts w:eastAsia="Calibri"/>
          <w:color w:val="000000" w:themeColor="text1"/>
        </w:rPr>
        <w:t>i</w:t>
      </w:r>
      <w:r w:rsidRPr="008918A2">
        <w:rPr>
          <w:rFonts w:eastAsia="Calibri"/>
          <w:color w:val="000000" w:themeColor="text1"/>
        </w:rPr>
        <w:t>)</w:t>
      </w:r>
      <w:r w:rsidR="00B67CED" w:rsidRPr="008918A2">
        <w:rPr>
          <w:rFonts w:eastAsia="Calibri"/>
          <w:color w:val="000000" w:themeColor="text1"/>
        </w:rPr>
        <w:t xml:space="preserve"> </w:t>
      </w:r>
      <w:r w:rsidRPr="008918A2">
        <w:rPr>
          <w:rFonts w:eastAsia="Calibri"/>
          <w:color w:val="000000" w:themeColor="text1"/>
        </w:rPr>
        <w:t>Documentos tipo para licitación de obra pública de infraestructura de transporte –versión 3–, obligatorios para los procesos cuyo aviso de convocatoria se haya publicado desde el 1</w:t>
      </w:r>
      <w:r w:rsidR="00CC2174" w:rsidRPr="008918A2">
        <w:rPr>
          <w:rFonts w:eastAsia="Calibri"/>
          <w:color w:val="000000" w:themeColor="text1"/>
        </w:rPr>
        <w:t xml:space="preserve"> </w:t>
      </w:r>
      <w:r w:rsidRPr="008918A2">
        <w:rPr>
          <w:rFonts w:eastAsia="Calibri"/>
          <w:color w:val="000000" w:themeColor="text1"/>
        </w:rPr>
        <w:t xml:space="preserve">de </w:t>
      </w:r>
      <w:r w:rsidR="00CC2174" w:rsidRPr="008918A2">
        <w:rPr>
          <w:rFonts w:eastAsia="Calibri"/>
          <w:color w:val="000000" w:themeColor="text1"/>
        </w:rPr>
        <w:t>enero</w:t>
      </w:r>
      <w:r w:rsidRPr="008918A2">
        <w:rPr>
          <w:rFonts w:eastAsia="Calibri"/>
          <w:color w:val="000000" w:themeColor="text1"/>
        </w:rPr>
        <w:t xml:space="preserve"> de 202</w:t>
      </w:r>
      <w:r w:rsidR="00CC2174" w:rsidRPr="008918A2">
        <w:rPr>
          <w:rFonts w:eastAsia="Calibri"/>
          <w:color w:val="000000" w:themeColor="text1"/>
        </w:rPr>
        <w:t>1</w:t>
      </w:r>
      <w:r w:rsidRPr="008918A2">
        <w:rPr>
          <w:rFonts w:eastAsia="Calibri"/>
          <w:color w:val="000000" w:themeColor="text1"/>
        </w:rPr>
        <w:t>.</w:t>
      </w:r>
    </w:p>
    <w:p w14:paraId="671A689C" w14:textId="77777777" w:rsidR="00E86567"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w:t>
      </w:r>
      <w:r w:rsidR="00E86567" w:rsidRPr="008918A2">
        <w:rPr>
          <w:rFonts w:eastAsia="Calibri"/>
          <w:color w:val="000000" w:themeColor="text1"/>
        </w:rPr>
        <w:t>v</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selección abreviada de menor cuantía de infraestructura de transporte</w:t>
      </w:r>
      <w:r w:rsidR="008C2918" w:rsidRPr="008918A2">
        <w:rPr>
          <w:rFonts w:eastAsia="Calibri"/>
          <w:color w:val="000000" w:themeColor="text1"/>
        </w:rPr>
        <w:t xml:space="preserve"> </w:t>
      </w:r>
      <w:r w:rsidR="00E86567" w:rsidRPr="008918A2">
        <w:rPr>
          <w:rFonts w:eastAsia="Calibri"/>
          <w:color w:val="000000" w:themeColor="text1"/>
        </w:rPr>
        <w:t>–versión 1–</w:t>
      </w:r>
      <w:r w:rsidRPr="008918A2">
        <w:rPr>
          <w:rFonts w:eastAsia="Calibri"/>
          <w:color w:val="000000" w:themeColor="text1"/>
        </w:rPr>
        <w:t>, obligatorios para los procesos cuyo aviso de convocatoria se haya publicado desde el 17 de febrero de 2020</w:t>
      </w:r>
      <w:r w:rsidR="00F736AF" w:rsidRPr="008918A2">
        <w:rPr>
          <w:rFonts w:eastAsia="Calibri"/>
          <w:color w:val="000000" w:themeColor="text1"/>
        </w:rPr>
        <w:t>.</w:t>
      </w:r>
    </w:p>
    <w:p w14:paraId="7483958B" w14:textId="272C3760" w:rsidR="00F736AF" w:rsidRPr="008918A2" w:rsidRDefault="00E8656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 Documentos tipo para procesos de selección abreviada de menor cuantía de infraestructura de transporte –versión 2–, obligatorios para los procesos cuyo aviso de convocatoria se haya publicado desde el 1</w:t>
      </w:r>
      <w:r w:rsidR="009551B8" w:rsidRPr="008918A2">
        <w:rPr>
          <w:rFonts w:eastAsia="Calibri"/>
          <w:color w:val="000000" w:themeColor="text1"/>
        </w:rPr>
        <w:t xml:space="preserve"> </w:t>
      </w:r>
      <w:r w:rsidRPr="008918A2">
        <w:rPr>
          <w:rFonts w:eastAsia="Calibri"/>
          <w:color w:val="000000" w:themeColor="text1"/>
        </w:rPr>
        <w:t xml:space="preserve">de </w:t>
      </w:r>
      <w:r w:rsidR="009551B8" w:rsidRPr="008918A2">
        <w:rPr>
          <w:rFonts w:eastAsia="Calibri"/>
          <w:color w:val="000000" w:themeColor="text1"/>
        </w:rPr>
        <w:t>enero</w:t>
      </w:r>
      <w:r w:rsidRPr="008918A2">
        <w:rPr>
          <w:rFonts w:eastAsia="Calibri"/>
          <w:color w:val="000000" w:themeColor="text1"/>
        </w:rPr>
        <w:t xml:space="preserve"> de 202</w:t>
      </w:r>
      <w:r w:rsidR="009551B8" w:rsidRPr="008918A2">
        <w:rPr>
          <w:rFonts w:eastAsia="Calibri"/>
          <w:color w:val="000000" w:themeColor="text1"/>
        </w:rPr>
        <w:t>1</w:t>
      </w:r>
      <w:r w:rsidRPr="008918A2">
        <w:rPr>
          <w:rFonts w:eastAsia="Calibri"/>
          <w:color w:val="000000" w:themeColor="text1"/>
        </w:rPr>
        <w:t>.</w:t>
      </w:r>
      <w:r w:rsidR="00B67CED" w:rsidRPr="008918A2">
        <w:rPr>
          <w:rFonts w:eastAsia="Calibri"/>
          <w:color w:val="000000" w:themeColor="text1"/>
        </w:rPr>
        <w:t xml:space="preserve"> </w:t>
      </w:r>
    </w:p>
    <w:p w14:paraId="4EAACEDC" w14:textId="1BE2D848" w:rsidR="00B67CED" w:rsidRPr="008918A2" w:rsidRDefault="00B67CED"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w:t>
      </w:r>
      <w:r w:rsidR="00417AC7" w:rsidRPr="008918A2">
        <w:rPr>
          <w:rFonts w:eastAsia="Calibri"/>
          <w:color w:val="000000" w:themeColor="text1"/>
        </w:rPr>
        <w:t>i</w:t>
      </w:r>
      <w:r w:rsidRPr="008918A2">
        <w:rPr>
          <w:rFonts w:eastAsia="Calibri"/>
          <w:color w:val="000000" w:themeColor="text1"/>
        </w:rPr>
        <w:t xml:space="preserve">) </w:t>
      </w:r>
      <w:r w:rsidR="00F736AF" w:rsidRPr="008918A2">
        <w:rPr>
          <w:rFonts w:eastAsia="Calibri"/>
          <w:color w:val="000000" w:themeColor="text1"/>
        </w:rPr>
        <w:t>D</w:t>
      </w:r>
      <w:r w:rsidRPr="008918A2">
        <w:rPr>
          <w:rFonts w:eastAsia="Calibri"/>
          <w:color w:val="000000" w:themeColor="text1"/>
        </w:rPr>
        <w:t>ocumentos tipo para procesos de mínima cuantía de infraestructura de transporte, obligatorios para los procesos cuya invitación pública se haya publicado a partir del 10 de junio de 2020.</w:t>
      </w:r>
    </w:p>
    <w:p w14:paraId="0F977D1A" w14:textId="77777777" w:rsidR="00412E19" w:rsidRPr="008918A2" w:rsidRDefault="00417AC7"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vii) Documentos tipo</w:t>
      </w:r>
      <w:r w:rsidR="00925229" w:rsidRPr="008918A2">
        <w:rPr>
          <w:rFonts w:eastAsia="Calibri"/>
          <w:color w:val="000000" w:themeColor="text1"/>
        </w:rPr>
        <w:t xml:space="preserve"> para </w:t>
      </w:r>
      <w:r w:rsidR="00A37975" w:rsidRPr="008918A2">
        <w:rPr>
          <w:rFonts w:eastAsia="Calibri"/>
          <w:color w:val="000000" w:themeColor="text1"/>
        </w:rPr>
        <w:t xml:space="preserve">procesos de </w:t>
      </w:r>
      <w:r w:rsidR="00925229" w:rsidRPr="008918A2">
        <w:rPr>
          <w:rFonts w:eastAsia="Calibri"/>
          <w:color w:val="000000" w:themeColor="text1"/>
        </w:rPr>
        <w:t>concurso de méritos</w:t>
      </w:r>
      <w:r w:rsidR="00A37975" w:rsidRPr="008918A2">
        <w:rPr>
          <w:rFonts w:eastAsia="Calibri"/>
          <w:color w:val="000000" w:themeColor="text1"/>
        </w:rPr>
        <w:t xml:space="preserve"> para contratar la interventoría de obras públicas de infraestructura de transporte</w:t>
      </w:r>
      <w:r w:rsidR="00AE74CB" w:rsidRPr="008918A2">
        <w:rPr>
          <w:rFonts w:eastAsia="Calibri"/>
          <w:color w:val="000000" w:themeColor="text1"/>
        </w:rPr>
        <w:t>, obligatorios para los procesos cuyo aviso de convocatoria se haya publicado desde el 1 de enero de 2021.</w:t>
      </w:r>
    </w:p>
    <w:p w14:paraId="688FFB66" w14:textId="17D51B78" w:rsidR="00417AC7" w:rsidRPr="008918A2" w:rsidRDefault="00412E19" w:rsidP="009753C3">
      <w:pPr>
        <w:pStyle w:val="Normal11pt"/>
        <w:spacing w:before="120" w:line="276" w:lineRule="auto"/>
        <w:ind w:left="0" w:firstLine="709"/>
        <w:rPr>
          <w:rFonts w:eastAsia="Calibri"/>
          <w:color w:val="000000" w:themeColor="text1"/>
        </w:rPr>
      </w:pPr>
      <w:r w:rsidRPr="008918A2">
        <w:rPr>
          <w:rFonts w:eastAsia="Calibri"/>
          <w:color w:val="000000" w:themeColor="text1"/>
        </w:rPr>
        <w:lastRenderedPageBreak/>
        <w:t>viii) Documentos tipo para procesos de licitación pública para obras de infraestructura de agua potable y saneamiento básico</w:t>
      </w:r>
      <w:r w:rsidR="002355B1" w:rsidRPr="008918A2">
        <w:rPr>
          <w:rFonts w:eastAsia="Calibri"/>
          <w:color w:val="000000" w:themeColor="text1"/>
        </w:rPr>
        <w:t>, obligatorios para los procesos</w:t>
      </w:r>
      <w:r w:rsidR="00AE74CB" w:rsidRPr="008918A2">
        <w:rPr>
          <w:rFonts w:eastAsia="Calibri"/>
          <w:color w:val="000000" w:themeColor="text1"/>
        </w:rPr>
        <w:t xml:space="preserve"> </w:t>
      </w:r>
      <w:r w:rsidR="007B7D01" w:rsidRPr="008918A2">
        <w:rPr>
          <w:rFonts w:eastAsia="Calibri"/>
          <w:color w:val="000000" w:themeColor="text1"/>
        </w:rPr>
        <w:t>cuyo aviso de convocatoria se haya publicado desde el 11 de diciembre de 2020.</w:t>
      </w:r>
    </w:p>
    <w:p w14:paraId="0E28CD80" w14:textId="6FF6819D" w:rsidR="003F3D8A" w:rsidRPr="008918A2" w:rsidRDefault="003F3D8A"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ix) Documentos tipo para procesos de licitación pública para obras de infraestructura de agua potable y saneamiento básico en la modalidad llave en mano</w:t>
      </w:r>
      <w:r w:rsidR="002355B1" w:rsidRPr="008918A2">
        <w:rPr>
          <w:rFonts w:eastAsia="Calibri"/>
          <w:color w:val="000000" w:themeColor="text1"/>
        </w:rPr>
        <w:t>, obligatorios para los procesos cuyo aviso de convocatoria se haya publicado desde el 11 de diciembre de 2020.</w:t>
      </w:r>
    </w:p>
    <w:p w14:paraId="5ED759BF" w14:textId="0C403B60" w:rsidR="00E60DC8" w:rsidRPr="008918A2" w:rsidRDefault="00E60DC8" w:rsidP="009753C3">
      <w:pPr>
        <w:pStyle w:val="Normal11pt"/>
        <w:spacing w:before="120" w:line="276" w:lineRule="auto"/>
        <w:ind w:left="0" w:firstLine="709"/>
        <w:rPr>
          <w:rFonts w:eastAsia="Calibri"/>
          <w:color w:val="000000" w:themeColor="text1"/>
        </w:rPr>
      </w:pPr>
      <w:r w:rsidRPr="008918A2">
        <w:rPr>
          <w:rFonts w:eastAsia="Calibri"/>
          <w:color w:val="000000" w:themeColor="text1"/>
        </w:rPr>
        <w:t>x) Documentos tipo para procesos de gestión catastral con enfoque multipropósito que se celebren a través de contratos interadministrativos</w:t>
      </w:r>
      <w:r w:rsidR="000B7377" w:rsidRPr="008918A2">
        <w:rPr>
          <w:rFonts w:eastAsia="Calibri"/>
          <w:color w:val="000000" w:themeColor="text1"/>
        </w:rPr>
        <w:t xml:space="preserve">, </w:t>
      </w:r>
      <w:r w:rsidR="00E152AF" w:rsidRPr="008918A2">
        <w:rPr>
          <w:rFonts w:eastAsia="Calibri"/>
          <w:color w:val="000000" w:themeColor="text1"/>
        </w:rPr>
        <w:t>a partir del 1 de febrero de 2021.</w:t>
      </w:r>
    </w:p>
    <w:p w14:paraId="5806B583" w14:textId="12B82D03" w:rsidR="00B67CED" w:rsidRPr="008918A2" w:rsidRDefault="000800A2" w:rsidP="009753C3">
      <w:pPr>
        <w:pStyle w:val="Normal11pt"/>
        <w:spacing w:before="120" w:line="276" w:lineRule="auto"/>
        <w:ind w:left="0" w:firstLine="709"/>
        <w:rPr>
          <w:rFonts w:eastAsia="Calibri"/>
          <w:lang w:eastAsia="en-US"/>
        </w:rPr>
      </w:pPr>
      <w:r>
        <w:rPr>
          <w:rFonts w:eastAsia="Calibri"/>
          <w:color w:val="000000" w:themeColor="text1"/>
        </w:rPr>
        <w:t>Es bueno destacar</w:t>
      </w:r>
      <w:r w:rsidR="00B67CED" w:rsidRPr="008918A2">
        <w:rPr>
          <w:rFonts w:eastAsia="Calibri"/>
          <w:color w:val="000000" w:themeColor="text1"/>
        </w:rPr>
        <w:t xml:space="preserve"> que la Agencia Nacional de Contratación Pública sigue avanzando en la expedición de nuevos documentos tipo</w:t>
      </w:r>
      <w:r w:rsidR="00724FBB" w:rsidRPr="008918A2">
        <w:rPr>
          <w:rFonts w:eastAsia="Calibri"/>
          <w:color w:val="000000" w:themeColor="text1"/>
        </w:rPr>
        <w:t>.</w:t>
      </w:r>
      <w:r w:rsidR="00B67CED" w:rsidRPr="008918A2">
        <w:rPr>
          <w:rFonts w:eastAsia="Calibri"/>
          <w:color w:val="000000" w:themeColor="text1"/>
        </w:rPr>
        <w:t xml:space="preserve"> </w:t>
      </w:r>
      <w:r w:rsidR="00724FBB" w:rsidRPr="008918A2">
        <w:rPr>
          <w:rFonts w:eastAsia="Calibri"/>
          <w:color w:val="000000" w:themeColor="text1"/>
        </w:rPr>
        <w:t>S</w:t>
      </w:r>
      <w:r w:rsidR="00B67CED" w:rsidRPr="008918A2">
        <w:rPr>
          <w:rFonts w:eastAsia="Calibri"/>
          <w:color w:val="000000" w:themeColor="text1"/>
        </w:rPr>
        <w:t xml:space="preserve">in embargo, debe tenerse en cuenta que estos exigen un minucioso desarrollo en el cual se </w:t>
      </w:r>
      <w:r w:rsidR="00BA342C" w:rsidRPr="008918A2">
        <w:rPr>
          <w:rFonts w:eastAsia="Calibri"/>
          <w:color w:val="000000" w:themeColor="text1"/>
        </w:rPr>
        <w:t>consideran</w:t>
      </w:r>
      <w:r w:rsidR="00B67CED" w:rsidRPr="008918A2">
        <w:rPr>
          <w:rFonts w:eastAsia="Calibri"/>
          <w:color w:val="000000" w:themeColor="text1"/>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8918A2" w:rsidRDefault="00B67CED" w:rsidP="009753C3">
      <w:pPr>
        <w:tabs>
          <w:tab w:val="left" w:pos="0"/>
        </w:tabs>
        <w:spacing w:line="276" w:lineRule="auto"/>
        <w:jc w:val="both"/>
        <w:rPr>
          <w:rFonts w:ascii="Arial" w:eastAsia="Calibri" w:hAnsi="Arial" w:cs="Arial"/>
          <w:b/>
          <w:color w:val="000000" w:themeColor="text1"/>
          <w:sz w:val="22"/>
          <w:lang w:val="es-ES_tradnl"/>
        </w:rPr>
      </w:pPr>
    </w:p>
    <w:p w14:paraId="1799A367" w14:textId="167AE6BC" w:rsidR="00B04B71" w:rsidRPr="008918A2" w:rsidRDefault="00B04B71" w:rsidP="009753C3">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w:t>
      </w:r>
      <w:r w:rsidR="00D94E5D" w:rsidRPr="008918A2">
        <w:rPr>
          <w:rFonts w:ascii="Arial" w:eastAsia="Arial" w:hAnsi="Arial" w:cs="Arial"/>
          <w:b/>
          <w:bCs/>
          <w:color w:val="000000"/>
          <w:sz w:val="22"/>
          <w:lang w:val="es-ES_tradnl"/>
        </w:rPr>
        <w:t>2</w:t>
      </w:r>
      <w:r w:rsidRPr="008918A2">
        <w:rPr>
          <w:rFonts w:ascii="Arial" w:eastAsia="Arial" w:hAnsi="Arial" w:cs="Arial"/>
          <w:b/>
          <w:bCs/>
          <w:color w:val="000000"/>
          <w:sz w:val="22"/>
          <w:lang w:val="es-ES_tradnl"/>
        </w:rPr>
        <w:t xml:space="preserve">. </w:t>
      </w:r>
      <w:r w:rsidR="00190396" w:rsidRPr="008918A2">
        <w:rPr>
          <w:rFonts w:ascii="Arial" w:eastAsia="Arial" w:hAnsi="Arial" w:cs="Arial"/>
          <w:b/>
          <w:bCs/>
          <w:color w:val="000000"/>
          <w:sz w:val="22"/>
          <w:lang w:val="es-ES_tradnl"/>
        </w:rPr>
        <w:t>Alcance de la r</w:t>
      </w:r>
      <w:r w:rsidRPr="008918A2">
        <w:rPr>
          <w:rFonts w:ascii="Arial" w:eastAsia="Arial" w:hAnsi="Arial" w:cs="Arial"/>
          <w:b/>
          <w:bCs/>
          <w:color w:val="000000"/>
          <w:sz w:val="22"/>
          <w:lang w:val="es-ES_tradnl"/>
        </w:rPr>
        <w:t xml:space="preserve">egla de </w:t>
      </w:r>
      <w:r w:rsidR="00190396" w:rsidRPr="008918A2">
        <w:rPr>
          <w:rFonts w:ascii="Arial" w:eastAsia="Arial" w:hAnsi="Arial" w:cs="Arial"/>
          <w:b/>
          <w:bCs/>
          <w:color w:val="000000"/>
          <w:sz w:val="22"/>
          <w:lang w:val="es-ES_tradnl"/>
        </w:rPr>
        <w:t xml:space="preserve">la </w:t>
      </w:r>
      <w:r w:rsidRPr="008918A2">
        <w:rPr>
          <w:rFonts w:ascii="Arial" w:eastAsia="Arial" w:hAnsi="Arial" w:cs="Arial"/>
          <w:b/>
          <w:bCs/>
          <w:color w:val="000000"/>
          <w:sz w:val="22"/>
          <w:lang w:val="es-ES_tradnl"/>
        </w:rPr>
        <w:t xml:space="preserve">inalterabilidad de los </w:t>
      </w:r>
      <w:r w:rsidR="00A409BC">
        <w:rPr>
          <w:rFonts w:ascii="Arial" w:eastAsia="Arial" w:hAnsi="Arial" w:cs="Arial"/>
          <w:b/>
          <w:bCs/>
          <w:color w:val="000000"/>
          <w:sz w:val="22"/>
          <w:lang w:val="es-ES_tradnl"/>
        </w:rPr>
        <w:t>documentos</w:t>
      </w:r>
      <w:r w:rsidR="00A409BC" w:rsidRPr="008918A2">
        <w:rPr>
          <w:rFonts w:ascii="Arial" w:eastAsia="Arial" w:hAnsi="Arial" w:cs="Arial"/>
          <w:b/>
          <w:bCs/>
          <w:color w:val="000000"/>
          <w:sz w:val="22"/>
          <w:lang w:val="es-ES_tradnl"/>
        </w:rPr>
        <w:t xml:space="preserve"> </w:t>
      </w:r>
      <w:r w:rsidRPr="008918A2">
        <w:rPr>
          <w:rFonts w:ascii="Arial" w:eastAsia="Arial" w:hAnsi="Arial" w:cs="Arial"/>
          <w:b/>
          <w:bCs/>
          <w:color w:val="000000"/>
          <w:sz w:val="22"/>
          <w:lang w:val="es-ES_tradnl"/>
        </w:rPr>
        <w:t xml:space="preserve">tipo </w:t>
      </w:r>
    </w:p>
    <w:p w14:paraId="50EC1809" w14:textId="589F18AD" w:rsidR="005A094C" w:rsidRPr="008918A2" w:rsidRDefault="005A094C" w:rsidP="009753C3">
      <w:pPr>
        <w:tabs>
          <w:tab w:val="left" w:pos="0"/>
        </w:tabs>
        <w:spacing w:line="276" w:lineRule="auto"/>
        <w:jc w:val="both"/>
        <w:rPr>
          <w:rFonts w:ascii="Arial" w:eastAsia="Calibri" w:hAnsi="Arial" w:cs="Arial"/>
          <w:b/>
          <w:color w:val="000000" w:themeColor="text1"/>
          <w:sz w:val="22"/>
          <w:lang w:val="es-ES_tradnl"/>
        </w:rPr>
      </w:pPr>
    </w:p>
    <w:p w14:paraId="2B00DA96" w14:textId="40A8C552" w:rsidR="00BE2BC3" w:rsidRPr="008918A2" w:rsidRDefault="00973DC6" w:rsidP="009753C3">
      <w:pPr>
        <w:spacing w:line="276" w:lineRule="auto"/>
        <w:jc w:val="both"/>
        <w:rPr>
          <w:rFonts w:ascii="Arial" w:hAnsi="Arial" w:cs="Arial"/>
          <w:sz w:val="22"/>
          <w:shd w:val="clear" w:color="auto" w:fill="FFFFFF"/>
          <w:lang w:val="es-ES_tradnl"/>
        </w:rPr>
      </w:pPr>
      <w:r w:rsidRPr="008918A2">
        <w:rPr>
          <w:rFonts w:ascii="Arial" w:hAnsi="Arial" w:cs="Arial"/>
          <w:sz w:val="22"/>
          <w:shd w:val="clear" w:color="auto" w:fill="FFFFFF"/>
          <w:lang w:val="es-ES_tradnl"/>
        </w:rPr>
        <w:t>Todas las</w:t>
      </w:r>
      <w:r w:rsidR="00BE2BC3" w:rsidRPr="008918A2">
        <w:rPr>
          <w:rFonts w:ascii="Arial" w:hAnsi="Arial" w:cs="Arial"/>
          <w:sz w:val="22"/>
          <w:shd w:val="clear" w:color="auto" w:fill="FFFFFF"/>
          <w:lang w:val="es-ES_tradnl"/>
        </w:rPr>
        <w:t xml:space="preserve"> resoluciones</w:t>
      </w:r>
      <w:r w:rsidR="00A776D0" w:rsidRPr="008918A2">
        <w:rPr>
          <w:rStyle w:val="Refdenotaalpie"/>
          <w:rFonts w:ascii="Arial" w:hAnsi="Arial" w:cs="Arial"/>
          <w:sz w:val="22"/>
          <w:shd w:val="clear" w:color="auto" w:fill="FFFFFF"/>
          <w:lang w:val="es-ES_tradnl"/>
        </w:rPr>
        <w:footnoteReference w:id="6"/>
      </w:r>
      <w:r w:rsidR="00BE2BC3" w:rsidRPr="008918A2">
        <w:rPr>
          <w:rFonts w:ascii="Arial" w:hAnsi="Arial" w:cs="Arial"/>
          <w:sz w:val="22"/>
          <w:shd w:val="clear" w:color="auto" w:fill="FFFFFF"/>
          <w:lang w:val="es-ES_tradnl"/>
        </w:rPr>
        <w:t xml:space="preserve"> expedidas por la Agencia Nacional de Contratación Pública – Colombia Compra Eficiente, mediante las cuales se han adoptado los </w:t>
      </w:r>
      <w:r w:rsidR="00490F15">
        <w:rPr>
          <w:rFonts w:ascii="Arial" w:hAnsi="Arial" w:cs="Arial"/>
          <w:sz w:val="22"/>
          <w:shd w:val="clear" w:color="auto" w:fill="FFFFFF"/>
          <w:lang w:val="es-ES_tradnl"/>
        </w:rPr>
        <w:t>documentos</w:t>
      </w:r>
      <w:r w:rsidR="00490F15"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tipo, consagran la regla de la inalterabilidad</w:t>
      </w:r>
      <w:r w:rsidR="007B013C" w:rsidRPr="008918A2">
        <w:rPr>
          <w:rFonts w:ascii="Arial" w:hAnsi="Arial" w:cs="Arial"/>
          <w:sz w:val="22"/>
          <w:shd w:val="clear" w:color="auto" w:fill="FFFFFF"/>
          <w:lang w:val="es-ES_tradnl"/>
        </w:rPr>
        <w:t>.</w:t>
      </w:r>
      <w:r w:rsidR="00BE2BC3" w:rsidRPr="008918A2">
        <w:rPr>
          <w:rFonts w:ascii="Arial" w:hAnsi="Arial" w:cs="Arial"/>
          <w:sz w:val="22"/>
          <w:shd w:val="clear" w:color="auto" w:fill="FFFFFF"/>
          <w:lang w:val="es-ES_tradnl"/>
        </w:rPr>
        <w:t xml:space="preserve"> </w:t>
      </w:r>
      <w:r w:rsidR="007B013C" w:rsidRPr="008918A2">
        <w:rPr>
          <w:rFonts w:ascii="Arial" w:hAnsi="Arial" w:cs="Arial"/>
          <w:sz w:val="22"/>
          <w:shd w:val="clear" w:color="auto" w:fill="FFFFFF"/>
          <w:lang w:val="es-ES_tradnl"/>
        </w:rPr>
        <w:t>Esta prohibición</w:t>
      </w:r>
      <w:r w:rsidR="00BE2BC3" w:rsidRPr="008918A2">
        <w:rPr>
          <w:rFonts w:ascii="Arial" w:hAnsi="Arial" w:cs="Arial"/>
          <w:sz w:val="22"/>
          <w:shd w:val="clear" w:color="auto" w:fill="FFFFFF"/>
          <w:lang w:val="es-ES_tradnl"/>
        </w:rPr>
        <w:t xml:space="preserve"> consiste en que las entidades estatales no pueden incluir o modificar en los </w:t>
      </w:r>
      <w:r w:rsidR="00BE2BC3" w:rsidRPr="008918A2">
        <w:rPr>
          <w:rFonts w:ascii="Arial" w:hAnsi="Arial" w:cs="Arial"/>
          <w:i/>
          <w:iCs/>
          <w:sz w:val="22"/>
          <w:shd w:val="clear" w:color="auto" w:fill="FFFFFF"/>
          <w:lang w:val="es-ES_tradnl"/>
        </w:rPr>
        <w:t>Documentos del Proceso</w:t>
      </w:r>
      <w:r w:rsidR="00BE2BC3" w:rsidRPr="008918A2">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sidR="00C15257"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 xml:space="preserve">En consecuencia, las condiciones establecidas </w:t>
      </w:r>
      <w:r w:rsidR="00701D0B">
        <w:rPr>
          <w:rFonts w:ascii="Arial" w:hAnsi="Arial" w:cs="Arial"/>
          <w:sz w:val="22"/>
          <w:shd w:val="clear" w:color="auto" w:fill="FFFFFF"/>
          <w:lang w:val="es-ES_tradnl"/>
        </w:rPr>
        <w:t>en dichos documentos</w:t>
      </w:r>
      <w:r w:rsidR="00503FC1" w:rsidRPr="008918A2">
        <w:rPr>
          <w:rFonts w:ascii="Arial" w:hAnsi="Arial" w:cs="Arial"/>
          <w:sz w:val="22"/>
          <w:shd w:val="clear" w:color="auto" w:fill="FFFFFF"/>
          <w:lang w:val="es-ES_tradnl"/>
        </w:rPr>
        <w:t xml:space="preserve"> </w:t>
      </w:r>
      <w:r w:rsidR="00BE2BC3" w:rsidRPr="008918A2">
        <w:rPr>
          <w:rFonts w:ascii="Arial" w:hAnsi="Arial" w:cs="Arial"/>
          <w:sz w:val="22"/>
          <w:shd w:val="clear" w:color="auto" w:fill="FFFFFF"/>
          <w:lang w:val="es-ES_tradnl"/>
        </w:rPr>
        <w:t>son de obligatorio cumplimiento para las entidades sometidas al Estatuto General de Contratación de la Administración Pública que adelanten procesos que deban regirse por su contenido, y no pueden variarse los requisitos fijados en ellos.</w:t>
      </w:r>
      <w:r w:rsidR="00FA2357" w:rsidRPr="008918A2">
        <w:rPr>
          <w:rFonts w:ascii="Arial" w:hAnsi="Arial" w:cs="Arial"/>
          <w:sz w:val="22"/>
          <w:shd w:val="clear" w:color="auto" w:fill="FFFFFF"/>
          <w:lang w:val="es-ES_tradnl"/>
        </w:rPr>
        <w:t xml:space="preserve"> </w:t>
      </w:r>
      <w:r w:rsidR="00C15257" w:rsidRPr="008918A2">
        <w:rPr>
          <w:rFonts w:ascii="Arial" w:hAnsi="Arial" w:cs="Arial"/>
          <w:sz w:val="22"/>
          <w:shd w:val="clear" w:color="auto" w:fill="FFFFFF"/>
          <w:lang w:val="es-ES_tradnl"/>
        </w:rPr>
        <w:t>Por lo tanto</w:t>
      </w:r>
      <w:r w:rsidR="00FA2357" w:rsidRPr="008918A2">
        <w:rPr>
          <w:rFonts w:ascii="Arial" w:hAnsi="Arial" w:cs="Arial"/>
          <w:sz w:val="22"/>
          <w:shd w:val="clear" w:color="auto" w:fill="FFFFFF"/>
          <w:lang w:val="es-ES_tradnl"/>
        </w:rPr>
        <w:t xml:space="preserve">, las entidades estatales, al </w:t>
      </w:r>
      <w:r w:rsidR="00351591" w:rsidRPr="008918A2">
        <w:rPr>
          <w:rFonts w:ascii="Arial" w:hAnsi="Arial" w:cs="Arial"/>
          <w:sz w:val="22"/>
          <w:shd w:val="clear" w:color="auto" w:fill="FFFFFF"/>
          <w:lang w:val="es-ES_tradnl"/>
        </w:rPr>
        <w:t>realizar</w:t>
      </w:r>
      <w:r w:rsidR="00FA2357" w:rsidRPr="008918A2">
        <w:rPr>
          <w:rFonts w:ascii="Arial" w:hAnsi="Arial" w:cs="Arial"/>
          <w:sz w:val="22"/>
          <w:shd w:val="clear" w:color="auto" w:fill="FFFFFF"/>
          <w:lang w:val="es-ES_tradnl"/>
        </w:rPr>
        <w:t xml:space="preserve"> sus procedimientos de selección, solo podrán modificarlos en los aspectos en que los documentos tipo lo permitan.</w:t>
      </w:r>
    </w:p>
    <w:p w14:paraId="46D29A8F" w14:textId="04391B06" w:rsidR="009E3704" w:rsidRPr="008918A2" w:rsidRDefault="00351591" w:rsidP="009753C3">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 xml:space="preserve">El fundamento legal vigente de la regla de la </w:t>
      </w:r>
      <w:r w:rsidR="00564FC1" w:rsidRPr="008918A2">
        <w:rPr>
          <w:rFonts w:ascii="Arial" w:hAnsi="Arial" w:cs="Arial"/>
          <w:sz w:val="22"/>
          <w:shd w:val="clear" w:color="auto" w:fill="FFFFFF"/>
          <w:lang w:val="es-ES_tradnl"/>
        </w:rPr>
        <w:t xml:space="preserve">inalterabilidad </w:t>
      </w:r>
      <w:r w:rsidRPr="008918A2">
        <w:rPr>
          <w:rFonts w:ascii="Arial" w:hAnsi="Arial" w:cs="Arial"/>
          <w:sz w:val="22"/>
          <w:szCs w:val="22"/>
          <w:shd w:val="clear" w:color="auto" w:fill="FFFFFF"/>
          <w:lang w:val="es-ES_tradnl"/>
        </w:rPr>
        <w:t xml:space="preserve">se encuentra en el artículo </w:t>
      </w:r>
      <w:r w:rsidR="00C53007" w:rsidRPr="008918A2">
        <w:rPr>
          <w:rFonts w:ascii="Arial" w:hAnsi="Arial" w:cs="Arial"/>
          <w:sz w:val="22"/>
          <w:szCs w:val="22"/>
          <w:shd w:val="clear" w:color="auto" w:fill="FFFFFF"/>
          <w:lang w:val="es-ES_tradnl"/>
        </w:rPr>
        <w:t>1</w:t>
      </w:r>
      <w:r w:rsidR="00564FC1" w:rsidRPr="008918A2">
        <w:rPr>
          <w:rFonts w:ascii="Arial" w:hAnsi="Arial" w:cs="Arial"/>
          <w:sz w:val="22"/>
          <w:szCs w:val="22"/>
          <w:shd w:val="clear" w:color="auto" w:fill="FFFFFF"/>
          <w:lang w:val="es-ES_tradnl"/>
        </w:rPr>
        <w:t xml:space="preserve"> de la Ley 2022 de 2020, según el cual «</w:t>
      </w:r>
      <w:r w:rsidR="00564FC1" w:rsidRPr="008918A2">
        <w:rPr>
          <w:rFonts w:ascii="Arial" w:hAnsi="Arial" w:cs="Arial"/>
          <w:sz w:val="22"/>
          <w:szCs w:val="22"/>
          <w:lang w:val="es-ES_tradnl"/>
        </w:rPr>
        <w:t xml:space="preserve">[…] </w:t>
      </w:r>
      <w:r w:rsidR="00564FC1" w:rsidRPr="008918A2">
        <w:rPr>
          <w:rFonts w:ascii="Arial" w:hAnsi="Arial" w:cs="Arial"/>
          <w:sz w:val="22"/>
          <w:szCs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w:t>
      </w:r>
      <w:r w:rsidR="00A6551D" w:rsidRPr="008918A2">
        <w:rPr>
          <w:rFonts w:ascii="Arial" w:hAnsi="Arial" w:cs="Arial"/>
          <w:sz w:val="22"/>
          <w:szCs w:val="22"/>
          <w:shd w:val="clear" w:color="auto" w:fill="FFFFFF"/>
          <w:lang w:val="es-ES_tradnl"/>
        </w:rPr>
        <w:t xml:space="preserve"> el artículo 4 de la Ley </w:t>
      </w:r>
      <w:r w:rsidR="00A1237C" w:rsidRPr="008918A2">
        <w:rPr>
          <w:rFonts w:ascii="Arial" w:hAnsi="Arial" w:cs="Arial"/>
          <w:sz w:val="22"/>
          <w:szCs w:val="22"/>
          <w:shd w:val="clear" w:color="auto" w:fill="FFFFFF"/>
          <w:lang w:val="es-ES_tradnl"/>
        </w:rPr>
        <w:t xml:space="preserve">1882 de 2018. </w:t>
      </w:r>
      <w:r w:rsidR="00701D0B">
        <w:rPr>
          <w:rFonts w:ascii="Arial" w:hAnsi="Arial" w:cs="Arial"/>
          <w:sz w:val="22"/>
          <w:szCs w:val="22"/>
          <w:shd w:val="clear" w:color="auto" w:fill="FFFFFF"/>
          <w:lang w:val="es-ES_tradnl"/>
        </w:rPr>
        <w:t>Incluso p</w:t>
      </w:r>
      <w:r w:rsidR="00A1237C" w:rsidRPr="008918A2">
        <w:rPr>
          <w:rFonts w:ascii="Arial" w:hAnsi="Arial" w:cs="Arial"/>
          <w:sz w:val="22"/>
          <w:szCs w:val="22"/>
          <w:shd w:val="clear" w:color="auto" w:fill="FFFFFF"/>
          <w:lang w:val="es-ES_tradnl"/>
        </w:rPr>
        <w:t xml:space="preserve">or vía reglamentaria </w:t>
      </w:r>
      <w:r w:rsidR="007F320F" w:rsidRPr="008918A2">
        <w:rPr>
          <w:rFonts w:ascii="Arial" w:hAnsi="Arial" w:cs="Arial"/>
          <w:sz w:val="22"/>
          <w:szCs w:val="22"/>
          <w:shd w:val="clear" w:color="auto" w:fill="FFFFFF"/>
          <w:lang w:val="es-ES_tradnl"/>
        </w:rPr>
        <w:t>también quedó consignado</w:t>
      </w:r>
      <w:r w:rsidR="00BD12A8" w:rsidRPr="008918A2">
        <w:rPr>
          <w:rFonts w:ascii="Arial" w:hAnsi="Arial" w:cs="Arial"/>
          <w:sz w:val="22"/>
          <w:szCs w:val="22"/>
          <w:shd w:val="clear" w:color="auto" w:fill="FFFFFF"/>
          <w:lang w:val="es-ES_tradnl"/>
        </w:rPr>
        <w:t xml:space="preserve"> en su momento</w:t>
      </w:r>
      <w:r w:rsidR="007F320F" w:rsidRPr="008918A2">
        <w:rPr>
          <w:rFonts w:ascii="Arial" w:hAnsi="Arial" w:cs="Arial"/>
          <w:sz w:val="22"/>
          <w:szCs w:val="22"/>
          <w:shd w:val="clear" w:color="auto" w:fill="FFFFFF"/>
          <w:lang w:val="es-ES_tradnl"/>
        </w:rPr>
        <w:t xml:space="preserve"> </w:t>
      </w:r>
      <w:r w:rsidR="00EE2D51" w:rsidRPr="008918A2">
        <w:rPr>
          <w:rFonts w:ascii="Arial" w:hAnsi="Arial" w:cs="Arial"/>
          <w:sz w:val="22"/>
          <w:szCs w:val="22"/>
          <w:shd w:val="clear" w:color="auto" w:fill="FFFFFF"/>
          <w:lang w:val="es-ES_tradnl"/>
        </w:rPr>
        <w:t>el carácter inmodificable de los pliegos tipo</w:t>
      </w:r>
      <w:r w:rsidR="007F320F" w:rsidRPr="008918A2">
        <w:rPr>
          <w:rFonts w:ascii="Arial" w:hAnsi="Arial" w:cs="Arial"/>
          <w:sz w:val="22"/>
          <w:szCs w:val="22"/>
          <w:shd w:val="clear" w:color="auto" w:fill="FFFFFF"/>
          <w:lang w:val="es-ES_tradnl"/>
        </w:rPr>
        <w:t xml:space="preserve"> en </w:t>
      </w:r>
      <w:r w:rsidR="007F320F" w:rsidRPr="008918A2">
        <w:rPr>
          <w:rFonts w:ascii="Arial" w:hAnsi="Arial" w:cs="Arial"/>
          <w:sz w:val="22"/>
          <w:szCs w:val="22"/>
          <w:shd w:val="clear" w:color="auto" w:fill="FFFFFF"/>
          <w:lang w:val="es-ES_tradnl"/>
        </w:rPr>
        <w:lastRenderedPageBreak/>
        <w:t xml:space="preserve">el artículo 1 </w:t>
      </w:r>
      <w:r w:rsidR="00300A52" w:rsidRPr="008918A2">
        <w:rPr>
          <w:rFonts w:ascii="Arial" w:hAnsi="Arial" w:cs="Arial"/>
          <w:sz w:val="22"/>
          <w:szCs w:val="22"/>
          <w:shd w:val="clear" w:color="auto" w:fill="FFFFFF"/>
          <w:lang w:val="es-ES_tradnl"/>
        </w:rPr>
        <w:t>de los</w:t>
      </w:r>
      <w:r w:rsidR="007F320F" w:rsidRPr="008918A2">
        <w:rPr>
          <w:rFonts w:ascii="Arial" w:hAnsi="Arial" w:cs="Arial"/>
          <w:sz w:val="22"/>
          <w:szCs w:val="22"/>
          <w:shd w:val="clear" w:color="auto" w:fill="FFFFFF"/>
          <w:lang w:val="es-ES_tradnl"/>
        </w:rPr>
        <w:t xml:space="preserve"> Decreto</w:t>
      </w:r>
      <w:r w:rsidR="00300A52" w:rsidRPr="008918A2">
        <w:rPr>
          <w:rFonts w:ascii="Arial" w:hAnsi="Arial" w:cs="Arial"/>
          <w:sz w:val="22"/>
          <w:szCs w:val="22"/>
          <w:shd w:val="clear" w:color="auto" w:fill="FFFFFF"/>
          <w:lang w:val="es-ES_tradnl"/>
        </w:rPr>
        <w:t>s</w:t>
      </w:r>
      <w:r w:rsidR="00B627C3" w:rsidRPr="008918A2">
        <w:rPr>
          <w:rFonts w:ascii="Arial" w:hAnsi="Arial" w:cs="Arial"/>
          <w:sz w:val="22"/>
          <w:szCs w:val="22"/>
          <w:shd w:val="clear" w:color="auto" w:fill="FFFFFF"/>
          <w:lang w:val="es-ES_tradnl"/>
        </w:rPr>
        <w:t xml:space="preserve"> 342 de 2019</w:t>
      </w:r>
      <w:r w:rsidR="00300A52" w:rsidRPr="008918A2">
        <w:rPr>
          <w:rFonts w:ascii="Arial" w:hAnsi="Arial" w:cs="Arial"/>
          <w:sz w:val="22"/>
          <w:szCs w:val="22"/>
          <w:shd w:val="clear" w:color="auto" w:fill="FFFFFF"/>
          <w:lang w:val="es-ES_tradnl"/>
        </w:rPr>
        <w:t xml:space="preserve"> y 594 de 2020, </w:t>
      </w:r>
      <w:r w:rsidR="00B627C3" w:rsidRPr="008918A2">
        <w:rPr>
          <w:rFonts w:ascii="Arial" w:hAnsi="Arial" w:cs="Arial"/>
          <w:sz w:val="22"/>
          <w:szCs w:val="22"/>
          <w:shd w:val="clear" w:color="auto" w:fill="FFFFFF"/>
          <w:lang w:val="es-ES_tradnl"/>
        </w:rPr>
        <w:t xml:space="preserve">que </w:t>
      </w:r>
      <w:r w:rsidR="00300A52" w:rsidRPr="008918A2">
        <w:rPr>
          <w:rFonts w:ascii="Arial" w:hAnsi="Arial" w:cs="Arial"/>
          <w:sz w:val="22"/>
          <w:szCs w:val="22"/>
          <w:shd w:val="clear" w:color="auto" w:fill="FFFFFF"/>
          <w:lang w:val="es-ES_tradnl"/>
        </w:rPr>
        <w:t>adicionaron, respectivamente, los artículos</w:t>
      </w:r>
      <w:r w:rsidR="006971C0" w:rsidRPr="008918A2">
        <w:rPr>
          <w:rFonts w:ascii="Arial" w:hAnsi="Arial" w:cs="Arial"/>
          <w:sz w:val="22"/>
          <w:szCs w:val="22"/>
          <w:shd w:val="clear" w:color="auto" w:fill="FFFFFF"/>
          <w:lang w:val="es-ES_tradnl"/>
        </w:rPr>
        <w:t xml:space="preserve"> 2.2.1.2.6.1.4.</w:t>
      </w:r>
      <w:r w:rsidR="00C96389" w:rsidRPr="008918A2">
        <w:rPr>
          <w:rFonts w:ascii="Arial" w:hAnsi="Arial" w:cs="Arial"/>
          <w:sz w:val="22"/>
          <w:szCs w:val="22"/>
          <w:shd w:val="clear" w:color="auto" w:fill="FFFFFF"/>
          <w:lang w:val="es-ES_tradnl"/>
        </w:rPr>
        <w:t xml:space="preserve"> </w:t>
      </w:r>
      <w:r w:rsidR="00300A52" w:rsidRPr="008918A2">
        <w:rPr>
          <w:rFonts w:ascii="Arial" w:hAnsi="Arial" w:cs="Arial"/>
          <w:sz w:val="22"/>
          <w:szCs w:val="22"/>
          <w:shd w:val="clear" w:color="auto" w:fill="FFFFFF"/>
          <w:lang w:val="es-ES_tradnl"/>
        </w:rPr>
        <w:t xml:space="preserve">y </w:t>
      </w:r>
      <w:r w:rsidR="00C96389" w:rsidRPr="008918A2">
        <w:rPr>
          <w:rFonts w:ascii="Arial" w:hAnsi="Arial" w:cs="Arial"/>
          <w:sz w:val="22"/>
          <w:szCs w:val="22"/>
          <w:shd w:val="clear" w:color="auto" w:fill="FFFFFF"/>
          <w:lang w:val="es-ES_tradnl"/>
        </w:rPr>
        <w:t>2.2.1.2.6.3.4 al Decreto 1082 de 2015</w:t>
      </w:r>
      <w:r w:rsidR="00300A52" w:rsidRPr="008918A2">
        <w:rPr>
          <w:rFonts w:ascii="Arial" w:hAnsi="Arial" w:cs="Arial"/>
          <w:sz w:val="22"/>
          <w:szCs w:val="22"/>
          <w:shd w:val="clear" w:color="auto" w:fill="FFFFFF"/>
          <w:lang w:val="es-ES_tradnl"/>
        </w:rPr>
        <w:t>.</w:t>
      </w:r>
    </w:p>
    <w:p w14:paraId="2CD434C1" w14:textId="45026AC9" w:rsidR="002676C2" w:rsidRDefault="009E3704" w:rsidP="00346F9D">
      <w:pPr>
        <w:spacing w:before="120" w:line="276" w:lineRule="auto"/>
        <w:ind w:firstLine="709"/>
        <w:jc w:val="both"/>
        <w:rPr>
          <w:rFonts w:ascii="Arial" w:hAnsi="Arial" w:cs="Arial"/>
          <w:sz w:val="22"/>
          <w:szCs w:val="22"/>
          <w:shd w:val="clear" w:color="auto" w:fill="FFFFFF"/>
          <w:lang w:val="es-ES_tradnl"/>
        </w:rPr>
      </w:pPr>
      <w:r w:rsidRPr="008918A2">
        <w:rPr>
          <w:rFonts w:ascii="Arial" w:hAnsi="Arial" w:cs="Arial"/>
          <w:sz w:val="22"/>
          <w:szCs w:val="22"/>
          <w:shd w:val="clear" w:color="auto" w:fill="FFFFFF"/>
          <w:lang w:val="es-ES_tradnl"/>
        </w:rPr>
        <w:t>En este orden de ideas, no cabe duda de que</w:t>
      </w:r>
      <w:r w:rsidR="00F26CCF" w:rsidRPr="008918A2">
        <w:rPr>
          <w:rFonts w:ascii="Arial" w:hAnsi="Arial" w:cs="Arial"/>
          <w:sz w:val="22"/>
          <w:szCs w:val="22"/>
          <w:shd w:val="clear" w:color="auto" w:fill="FFFFFF"/>
          <w:lang w:val="es-ES_tradnl"/>
        </w:rPr>
        <w:t xml:space="preserve"> </w:t>
      </w:r>
      <w:r w:rsidR="000601EA" w:rsidRPr="008918A2">
        <w:rPr>
          <w:rFonts w:ascii="Arial" w:hAnsi="Arial" w:cs="Arial"/>
          <w:sz w:val="22"/>
          <w:szCs w:val="22"/>
          <w:shd w:val="clear" w:color="auto" w:fill="FFFFFF"/>
          <w:lang w:val="es-ES_tradnl"/>
        </w:rPr>
        <w:t>está vigente la regla de la inalterabilidad de los documentos tipo.</w:t>
      </w:r>
      <w:r w:rsidR="008F23D9" w:rsidRPr="008918A2">
        <w:rPr>
          <w:rFonts w:ascii="Arial" w:hAnsi="Arial" w:cs="Arial"/>
          <w:sz w:val="22"/>
          <w:szCs w:val="22"/>
          <w:shd w:val="clear" w:color="auto" w:fill="FFFFFF"/>
          <w:lang w:val="es-ES_tradnl"/>
        </w:rPr>
        <w:t xml:space="preserve"> Lo anterior</w:t>
      </w:r>
      <w:r w:rsidR="00F26CCF" w:rsidRPr="008918A2">
        <w:rPr>
          <w:rFonts w:ascii="Arial" w:hAnsi="Arial" w:cs="Arial"/>
          <w:sz w:val="22"/>
          <w:szCs w:val="22"/>
          <w:shd w:val="clear" w:color="auto" w:fill="FFFFFF"/>
          <w:lang w:val="es-ES_tradnl"/>
        </w:rPr>
        <w:t xml:space="preserve"> por cuanto las diferentes</w:t>
      </w:r>
      <w:r w:rsidR="00CD53D4" w:rsidRPr="008918A2">
        <w:rPr>
          <w:rFonts w:ascii="Arial" w:hAnsi="Arial" w:cs="Arial"/>
          <w:sz w:val="22"/>
          <w:szCs w:val="22"/>
          <w:shd w:val="clear" w:color="auto" w:fill="FFFFFF"/>
          <w:lang w:val="es-ES_tradnl"/>
        </w:rPr>
        <w:t xml:space="preserve"> disposiciones normativas que se han expedido </w:t>
      </w:r>
      <w:r w:rsidR="00F26CCF" w:rsidRPr="008918A2">
        <w:rPr>
          <w:rFonts w:ascii="Arial" w:hAnsi="Arial" w:cs="Arial"/>
          <w:sz w:val="22"/>
          <w:szCs w:val="22"/>
          <w:shd w:val="clear" w:color="auto" w:fill="FFFFFF"/>
          <w:lang w:val="es-ES_tradnl"/>
        </w:rPr>
        <w:t>han ratificado dicha regla</w:t>
      </w:r>
      <w:r w:rsidR="00D72B7E" w:rsidRPr="008918A2">
        <w:rPr>
          <w:rFonts w:ascii="Arial" w:hAnsi="Arial" w:cs="Arial"/>
          <w:sz w:val="22"/>
          <w:szCs w:val="22"/>
          <w:shd w:val="clear" w:color="auto" w:fill="FFFFFF"/>
          <w:lang w:val="es-ES_tradnl"/>
        </w:rPr>
        <w:t xml:space="preserve">, </w:t>
      </w:r>
      <w:r w:rsidR="00CD53D4" w:rsidRPr="008918A2">
        <w:rPr>
          <w:rFonts w:ascii="Arial" w:hAnsi="Arial" w:cs="Arial"/>
          <w:sz w:val="22"/>
          <w:szCs w:val="22"/>
          <w:shd w:val="clear" w:color="auto" w:fill="FFFFFF"/>
          <w:lang w:val="es-ES_tradnl"/>
        </w:rPr>
        <w:t xml:space="preserve">como ha sucedido con el </w:t>
      </w:r>
      <w:r w:rsidR="008B7101" w:rsidRPr="008918A2">
        <w:rPr>
          <w:rFonts w:ascii="Arial" w:hAnsi="Arial" w:cs="Arial"/>
          <w:sz w:val="22"/>
          <w:szCs w:val="22"/>
          <w:shd w:val="clear" w:color="auto" w:fill="FFFFFF"/>
          <w:lang w:val="es-ES_tradnl"/>
        </w:rPr>
        <w:t xml:space="preserve">artículo 1 de la Ley 2022 de 2020 y </w:t>
      </w:r>
      <w:r w:rsidR="008F23D9" w:rsidRPr="008918A2">
        <w:rPr>
          <w:rFonts w:ascii="Arial" w:hAnsi="Arial" w:cs="Arial"/>
          <w:sz w:val="22"/>
          <w:szCs w:val="22"/>
          <w:shd w:val="clear" w:color="auto" w:fill="FFFFFF"/>
          <w:lang w:val="es-ES_tradnl"/>
        </w:rPr>
        <w:t>con las resoluciones que ha expedido la Agencia Nacional de Contratación Pública – Colombia Compra Eficiente.</w:t>
      </w:r>
      <w:r w:rsidR="002676C2">
        <w:rPr>
          <w:rFonts w:ascii="Arial" w:hAnsi="Arial" w:cs="Arial"/>
          <w:sz w:val="22"/>
          <w:szCs w:val="22"/>
          <w:shd w:val="clear" w:color="auto" w:fill="FFFFFF"/>
          <w:lang w:val="es-ES_tradnl"/>
        </w:rPr>
        <w:t xml:space="preserve"> </w:t>
      </w:r>
    </w:p>
    <w:p w14:paraId="181BE9F4" w14:textId="5EB10C4A" w:rsidR="00582F10" w:rsidRDefault="005B054C" w:rsidP="00346F9D">
      <w:pPr>
        <w:spacing w:before="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Así</w:t>
      </w:r>
      <w:r w:rsidR="00346F9D">
        <w:rPr>
          <w:rFonts w:ascii="Arial" w:hAnsi="Arial" w:cs="Arial"/>
          <w:sz w:val="22"/>
          <w:szCs w:val="22"/>
          <w:shd w:val="clear" w:color="auto" w:fill="FFFFFF"/>
          <w:lang w:val="es-ES_tradnl"/>
        </w:rPr>
        <w:t>, es claro que</w:t>
      </w:r>
      <w:r w:rsidR="00491ABC">
        <w:rPr>
          <w:rFonts w:ascii="Arial" w:hAnsi="Arial" w:cs="Arial"/>
          <w:sz w:val="22"/>
          <w:szCs w:val="22"/>
          <w:shd w:val="clear" w:color="auto" w:fill="FFFFFF"/>
          <w:lang w:val="es-ES_tradnl"/>
        </w:rPr>
        <w:t xml:space="preserve"> al estar vigente la regla de </w:t>
      </w:r>
      <w:r w:rsidR="00C4759F">
        <w:rPr>
          <w:rFonts w:ascii="Arial" w:hAnsi="Arial" w:cs="Arial"/>
          <w:sz w:val="22"/>
          <w:szCs w:val="22"/>
          <w:shd w:val="clear" w:color="auto" w:fill="FFFFFF"/>
          <w:lang w:val="es-ES_tradnl"/>
        </w:rPr>
        <w:t xml:space="preserve">la </w:t>
      </w:r>
      <w:r w:rsidR="00491ABC">
        <w:rPr>
          <w:rFonts w:ascii="Arial" w:hAnsi="Arial" w:cs="Arial"/>
          <w:sz w:val="22"/>
          <w:szCs w:val="22"/>
          <w:shd w:val="clear" w:color="auto" w:fill="FFFFFF"/>
          <w:lang w:val="es-ES_tradnl"/>
        </w:rPr>
        <w:t>inalterabilidad de los documentos tipo, estos no pueden ser modificados por las entidades públicas,</w:t>
      </w:r>
      <w:r w:rsidR="00582F10">
        <w:rPr>
          <w:rFonts w:ascii="Arial" w:hAnsi="Arial" w:cs="Arial"/>
          <w:sz w:val="22"/>
          <w:szCs w:val="22"/>
          <w:shd w:val="clear" w:color="auto" w:fill="FFFFFF"/>
          <w:lang w:val="es-ES_tradnl"/>
        </w:rPr>
        <w:t xml:space="preserve"> salvo en los aspectos que los mismos documentos estandarizados por la </w:t>
      </w:r>
      <w:r w:rsidR="00491ABC">
        <w:rPr>
          <w:rFonts w:ascii="Arial" w:hAnsi="Arial" w:cs="Arial"/>
          <w:sz w:val="22"/>
          <w:szCs w:val="22"/>
          <w:shd w:val="clear" w:color="auto" w:fill="FFFFFF"/>
          <w:lang w:val="es-ES_tradnl"/>
        </w:rPr>
        <w:t>Agencia Nacional de Contratación Pública – Colombia Compra Eficiente</w:t>
      </w:r>
      <w:r w:rsidR="00582F10">
        <w:rPr>
          <w:rFonts w:ascii="Arial" w:hAnsi="Arial" w:cs="Arial"/>
          <w:sz w:val="22"/>
          <w:szCs w:val="22"/>
          <w:shd w:val="clear" w:color="auto" w:fill="FFFFFF"/>
          <w:lang w:val="es-ES_tradnl"/>
        </w:rPr>
        <w:t xml:space="preserve"> lo permitan. </w:t>
      </w:r>
    </w:p>
    <w:p w14:paraId="3F3DBB72" w14:textId="7AB2A4DB" w:rsidR="00582F10" w:rsidRDefault="005B054C" w:rsidP="00A467AF">
      <w:pPr>
        <w:spacing w:before="120" w:after="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Por tanto, </w:t>
      </w:r>
      <w:bookmarkStart w:id="5" w:name="_Hlk75787981"/>
      <w:r>
        <w:rPr>
          <w:rFonts w:ascii="Arial" w:hAnsi="Arial" w:cs="Arial"/>
          <w:sz w:val="22"/>
          <w:szCs w:val="22"/>
          <w:shd w:val="clear" w:color="auto" w:fill="FFFFFF"/>
          <w:lang w:val="es-ES_tradnl"/>
        </w:rPr>
        <w:t xml:space="preserve">en virtud de la regla de inalterabilidad de los documentos tipo, las entidades no están habilitadas para </w:t>
      </w:r>
      <w:r w:rsidR="00582F10">
        <w:rPr>
          <w:rFonts w:ascii="Arial" w:hAnsi="Arial" w:cs="Arial"/>
          <w:sz w:val="22"/>
          <w:szCs w:val="22"/>
          <w:shd w:val="clear" w:color="auto" w:fill="FFFFFF"/>
          <w:lang w:val="es-ES_tradnl"/>
        </w:rPr>
        <w:t xml:space="preserve">alterar las </w:t>
      </w:r>
      <w:r>
        <w:rPr>
          <w:rFonts w:ascii="Arial" w:hAnsi="Arial" w:cs="Arial"/>
          <w:sz w:val="22"/>
          <w:szCs w:val="22"/>
          <w:shd w:val="clear" w:color="auto" w:fill="FFFFFF"/>
          <w:lang w:val="es-ES_tradnl"/>
        </w:rPr>
        <w:t>reglas de asignaci</w:t>
      </w:r>
      <w:r w:rsidR="006502F0">
        <w:rPr>
          <w:rFonts w:ascii="Arial" w:hAnsi="Arial" w:cs="Arial"/>
          <w:sz w:val="22"/>
          <w:szCs w:val="22"/>
          <w:shd w:val="clear" w:color="auto" w:fill="FFFFFF"/>
          <w:lang w:val="es-ES_tradnl"/>
        </w:rPr>
        <w:t xml:space="preserve">ón de puntaje en procesos de selección </w:t>
      </w:r>
      <w:r w:rsidR="00582F10">
        <w:rPr>
          <w:rFonts w:ascii="Arial" w:hAnsi="Arial" w:cs="Arial"/>
          <w:sz w:val="22"/>
          <w:szCs w:val="22"/>
          <w:shd w:val="clear" w:color="auto" w:fill="FFFFFF"/>
          <w:lang w:val="es-ES_tradnl"/>
        </w:rPr>
        <w:t>adelantados con fundamento en los</w:t>
      </w:r>
      <w:r w:rsidR="006502F0">
        <w:rPr>
          <w:rFonts w:ascii="Arial" w:hAnsi="Arial" w:cs="Arial"/>
          <w:sz w:val="22"/>
          <w:szCs w:val="22"/>
          <w:shd w:val="clear" w:color="auto" w:fill="FFFFFF"/>
          <w:lang w:val="es-ES_tradnl"/>
        </w:rPr>
        <w:t xml:space="preserve"> documentos tipo, </w:t>
      </w:r>
      <w:r w:rsidR="003D47FE">
        <w:rPr>
          <w:rFonts w:ascii="Arial" w:hAnsi="Arial" w:cs="Arial"/>
          <w:sz w:val="22"/>
          <w:szCs w:val="22"/>
          <w:shd w:val="clear" w:color="auto" w:fill="FFFFFF"/>
          <w:lang w:val="es-ES_tradnl"/>
        </w:rPr>
        <w:t xml:space="preserve">por ejemplo para </w:t>
      </w:r>
      <w:r w:rsidR="006502F0">
        <w:rPr>
          <w:rFonts w:ascii="Arial" w:hAnsi="Arial" w:cs="Arial"/>
          <w:sz w:val="22"/>
          <w:szCs w:val="22"/>
          <w:shd w:val="clear" w:color="auto" w:fill="FFFFFF"/>
          <w:lang w:val="es-ES_tradnl"/>
        </w:rPr>
        <w:t xml:space="preserve"> reduc</w:t>
      </w:r>
      <w:r w:rsidR="003D47FE">
        <w:rPr>
          <w:rFonts w:ascii="Arial" w:hAnsi="Arial" w:cs="Arial"/>
          <w:sz w:val="22"/>
          <w:szCs w:val="22"/>
          <w:shd w:val="clear" w:color="auto" w:fill="FFFFFF"/>
          <w:lang w:val="es-ES_tradnl"/>
        </w:rPr>
        <w:t>ir</w:t>
      </w:r>
      <w:r w:rsidR="006502F0">
        <w:rPr>
          <w:rFonts w:ascii="Arial" w:hAnsi="Arial" w:cs="Arial"/>
          <w:sz w:val="22"/>
          <w:szCs w:val="22"/>
          <w:shd w:val="clear" w:color="auto" w:fill="FFFFFF"/>
          <w:lang w:val="es-ES_tradnl"/>
        </w:rPr>
        <w:t xml:space="preserve"> e</w:t>
      </w:r>
      <w:r w:rsidR="00582F10">
        <w:rPr>
          <w:rFonts w:ascii="Arial" w:hAnsi="Arial" w:cs="Arial"/>
          <w:sz w:val="22"/>
          <w:szCs w:val="22"/>
          <w:shd w:val="clear" w:color="auto" w:fill="FFFFFF"/>
          <w:lang w:val="es-ES_tradnl"/>
        </w:rPr>
        <w:t>l puntaje</w:t>
      </w:r>
      <w:r w:rsidR="006502F0">
        <w:rPr>
          <w:rFonts w:ascii="Arial" w:hAnsi="Arial" w:cs="Arial"/>
          <w:sz w:val="22"/>
          <w:szCs w:val="22"/>
          <w:shd w:val="clear" w:color="auto" w:fill="FFFFFF"/>
          <w:lang w:val="es-ES_tradnl"/>
        </w:rPr>
        <w:t xml:space="preserve"> con fundamento en </w:t>
      </w:r>
      <w:r>
        <w:rPr>
          <w:rFonts w:ascii="Arial" w:hAnsi="Arial" w:cs="Arial"/>
          <w:sz w:val="22"/>
          <w:szCs w:val="22"/>
          <w:shd w:val="clear" w:color="auto" w:fill="FFFFFF"/>
          <w:lang w:val="es-ES_tradnl"/>
        </w:rPr>
        <w:t>controversias judiciales por presuntos incumplimientos</w:t>
      </w:r>
      <w:r w:rsidR="00031D6C">
        <w:rPr>
          <w:rFonts w:ascii="Arial" w:hAnsi="Arial" w:cs="Arial"/>
          <w:sz w:val="22"/>
          <w:szCs w:val="22"/>
          <w:shd w:val="clear" w:color="auto" w:fill="FFFFFF"/>
          <w:lang w:val="es-ES_tradnl"/>
        </w:rPr>
        <w:t xml:space="preserve"> </w:t>
      </w:r>
      <w:r w:rsidR="00582F10">
        <w:rPr>
          <w:rFonts w:ascii="Arial" w:hAnsi="Arial" w:cs="Arial"/>
          <w:sz w:val="22"/>
          <w:szCs w:val="22"/>
          <w:shd w:val="clear" w:color="auto" w:fill="FFFFFF"/>
          <w:lang w:val="es-ES_tradnl"/>
        </w:rPr>
        <w:t>del proponente en contratos pasados</w:t>
      </w:r>
      <w:r w:rsidR="006502F0">
        <w:rPr>
          <w:rFonts w:ascii="Arial" w:hAnsi="Arial" w:cs="Arial"/>
          <w:sz w:val="22"/>
          <w:szCs w:val="22"/>
          <w:shd w:val="clear" w:color="auto" w:fill="FFFFFF"/>
          <w:lang w:val="es-ES_tradnl"/>
        </w:rPr>
        <w:t>, cesiones de contratos autorizad</w:t>
      </w:r>
      <w:r w:rsidR="00582F10">
        <w:rPr>
          <w:rFonts w:ascii="Arial" w:hAnsi="Arial" w:cs="Arial"/>
          <w:sz w:val="22"/>
          <w:szCs w:val="22"/>
          <w:shd w:val="clear" w:color="auto" w:fill="FFFFFF"/>
          <w:lang w:val="es-ES_tradnl"/>
        </w:rPr>
        <w:t>o</w:t>
      </w:r>
      <w:r w:rsidR="006502F0">
        <w:rPr>
          <w:rFonts w:ascii="Arial" w:hAnsi="Arial" w:cs="Arial"/>
          <w:sz w:val="22"/>
          <w:szCs w:val="22"/>
          <w:shd w:val="clear" w:color="auto" w:fill="FFFFFF"/>
          <w:lang w:val="es-ES_tradnl"/>
        </w:rPr>
        <w:t xml:space="preserve">s para evitar el incumplimiento del contrato </w:t>
      </w:r>
      <w:r w:rsidR="00582F10">
        <w:rPr>
          <w:rFonts w:ascii="Arial" w:hAnsi="Arial" w:cs="Arial"/>
          <w:sz w:val="22"/>
          <w:szCs w:val="22"/>
          <w:shd w:val="clear" w:color="auto" w:fill="FFFFFF"/>
          <w:lang w:val="es-ES_tradnl"/>
        </w:rPr>
        <w:t>o</w:t>
      </w:r>
      <w:r w:rsidR="006502F0">
        <w:rPr>
          <w:rFonts w:ascii="Arial" w:hAnsi="Arial" w:cs="Arial"/>
          <w:sz w:val="22"/>
          <w:szCs w:val="22"/>
          <w:shd w:val="clear" w:color="auto" w:fill="FFFFFF"/>
          <w:lang w:val="es-ES_tradnl"/>
        </w:rPr>
        <w:t xml:space="preserve"> multa e incumplimientos impu</w:t>
      </w:r>
      <w:r w:rsidR="00031D6C">
        <w:rPr>
          <w:rFonts w:ascii="Arial" w:hAnsi="Arial" w:cs="Arial"/>
          <w:sz w:val="22"/>
          <w:szCs w:val="22"/>
          <w:shd w:val="clear" w:color="auto" w:fill="FFFFFF"/>
          <w:lang w:val="es-ES_tradnl"/>
        </w:rPr>
        <w:t>est</w:t>
      </w:r>
      <w:r w:rsidR="00582F10">
        <w:rPr>
          <w:rFonts w:ascii="Arial" w:hAnsi="Arial" w:cs="Arial"/>
          <w:sz w:val="22"/>
          <w:szCs w:val="22"/>
          <w:shd w:val="clear" w:color="auto" w:fill="FFFFFF"/>
          <w:lang w:val="es-ES_tradnl"/>
        </w:rPr>
        <w:t>o</w:t>
      </w:r>
      <w:r w:rsidR="00031D6C">
        <w:rPr>
          <w:rFonts w:ascii="Arial" w:hAnsi="Arial" w:cs="Arial"/>
          <w:sz w:val="22"/>
          <w:szCs w:val="22"/>
          <w:shd w:val="clear" w:color="auto" w:fill="FFFFFF"/>
          <w:lang w:val="es-ES_tradnl"/>
        </w:rPr>
        <w:t>s</w:t>
      </w:r>
      <w:r w:rsidR="006502F0">
        <w:rPr>
          <w:rFonts w:ascii="Arial" w:hAnsi="Arial" w:cs="Arial"/>
          <w:sz w:val="22"/>
          <w:szCs w:val="22"/>
          <w:shd w:val="clear" w:color="auto" w:fill="FFFFFF"/>
          <w:lang w:val="es-ES_tradnl"/>
        </w:rPr>
        <w:t xml:space="preserve"> al </w:t>
      </w:r>
      <w:r w:rsidR="00582F10">
        <w:rPr>
          <w:rFonts w:ascii="Arial" w:hAnsi="Arial" w:cs="Arial"/>
          <w:sz w:val="22"/>
          <w:szCs w:val="22"/>
          <w:shd w:val="clear" w:color="auto" w:fill="FFFFFF"/>
          <w:lang w:val="es-ES_tradnl"/>
        </w:rPr>
        <w:t>proponente en contratos anteriores</w:t>
      </w:r>
      <w:bookmarkEnd w:id="5"/>
      <w:r w:rsidR="00582F10">
        <w:rPr>
          <w:rFonts w:ascii="Arial" w:hAnsi="Arial" w:cs="Arial"/>
          <w:sz w:val="22"/>
          <w:szCs w:val="22"/>
          <w:shd w:val="clear" w:color="auto" w:fill="FFFFFF"/>
          <w:lang w:val="es-ES_tradnl"/>
        </w:rPr>
        <w:t>.</w:t>
      </w:r>
    </w:p>
    <w:p w14:paraId="0E7F77C8" w14:textId="7F32BA2C" w:rsidR="00F252E7" w:rsidRDefault="00582F10" w:rsidP="00476623">
      <w:pPr>
        <w:spacing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Lo anterior, claro está, sin perjuicio de la aplicación de la «inhabilidad por incumplimiento reiterado» de que trata el artículo 90 de la Ley 1474 de 2011 –modificado por el artículo 43 de la Ley 1955 de 2019</w:t>
      </w:r>
      <w:r>
        <w:rPr>
          <w:rStyle w:val="Refdenotaalpie"/>
          <w:rFonts w:ascii="Arial" w:hAnsi="Arial" w:cs="Arial"/>
          <w:sz w:val="22"/>
          <w:szCs w:val="22"/>
          <w:shd w:val="clear" w:color="auto" w:fill="FFFFFF"/>
          <w:lang w:val="es-ES_tradnl"/>
        </w:rPr>
        <w:footnoteReference w:id="7"/>
      </w:r>
      <w:r>
        <w:rPr>
          <w:rFonts w:ascii="Arial" w:hAnsi="Arial" w:cs="Arial"/>
          <w:sz w:val="22"/>
          <w:szCs w:val="22"/>
          <w:shd w:val="clear" w:color="auto" w:fill="FFFFFF"/>
          <w:lang w:val="es-ES_tradnl"/>
        </w:rPr>
        <w:t>–</w:t>
      </w:r>
      <w:r w:rsidR="00655A7B">
        <w:rPr>
          <w:rFonts w:ascii="Arial" w:hAnsi="Arial" w:cs="Arial"/>
          <w:sz w:val="22"/>
          <w:szCs w:val="22"/>
          <w:shd w:val="clear" w:color="auto" w:fill="FFFFFF"/>
          <w:lang w:val="es-ES_tradnl"/>
        </w:rPr>
        <w:t xml:space="preserve">, que hace parte del régimen de inhabilidades e incompatibilidades, que aplican por mandato de la ley. Sin embargo, el legislador no estableció otra consecuencia </w:t>
      </w:r>
      <w:r w:rsidR="00443BC3">
        <w:rPr>
          <w:rFonts w:ascii="Arial" w:hAnsi="Arial" w:cs="Arial"/>
          <w:sz w:val="22"/>
          <w:szCs w:val="22"/>
          <w:shd w:val="clear" w:color="auto" w:fill="FFFFFF"/>
          <w:lang w:val="es-ES_tradnl"/>
        </w:rPr>
        <w:t xml:space="preserve">general </w:t>
      </w:r>
      <w:r w:rsidR="00655A7B">
        <w:rPr>
          <w:rFonts w:ascii="Arial" w:hAnsi="Arial" w:cs="Arial"/>
          <w:sz w:val="22"/>
          <w:szCs w:val="22"/>
          <w:shd w:val="clear" w:color="auto" w:fill="FFFFFF"/>
          <w:lang w:val="es-ES_tradnl"/>
        </w:rPr>
        <w:t>asociada al incumplimiento de contratos en el pasado que d</w:t>
      </w:r>
      <w:r w:rsidR="00443BC3">
        <w:rPr>
          <w:rFonts w:ascii="Arial" w:hAnsi="Arial" w:cs="Arial"/>
          <w:sz w:val="22"/>
          <w:szCs w:val="22"/>
          <w:shd w:val="clear" w:color="auto" w:fill="FFFFFF"/>
          <w:lang w:val="es-ES_tradnl"/>
        </w:rPr>
        <w:t>é</w:t>
      </w:r>
      <w:r w:rsidR="00655A7B">
        <w:rPr>
          <w:rFonts w:ascii="Arial" w:hAnsi="Arial" w:cs="Arial"/>
          <w:sz w:val="22"/>
          <w:szCs w:val="22"/>
          <w:shd w:val="clear" w:color="auto" w:fill="FFFFFF"/>
          <w:lang w:val="es-ES_tradnl"/>
        </w:rPr>
        <w:t xml:space="preserve"> lugar a la reducción del puntaje o que impida que ciertos contratos se consideren válidos para acreditar experiencia. </w:t>
      </w:r>
      <w:r w:rsidR="003D47FE">
        <w:rPr>
          <w:rFonts w:ascii="Arial" w:hAnsi="Arial" w:cs="Arial"/>
          <w:sz w:val="22"/>
          <w:szCs w:val="22"/>
          <w:shd w:val="clear" w:color="auto" w:fill="FFFFFF"/>
          <w:lang w:val="es-ES_tradnl"/>
        </w:rPr>
        <w:t>La premisa anterior se e</w:t>
      </w:r>
      <w:r w:rsidR="008F1F46">
        <w:rPr>
          <w:rFonts w:ascii="Arial" w:hAnsi="Arial" w:cs="Arial"/>
          <w:sz w:val="22"/>
          <w:szCs w:val="22"/>
          <w:shd w:val="clear" w:color="auto" w:fill="FFFFFF"/>
          <w:lang w:val="es-ES_tradnl"/>
        </w:rPr>
        <w:t>xpone</w:t>
      </w:r>
      <w:r w:rsidR="003D47FE">
        <w:rPr>
          <w:rFonts w:ascii="Arial" w:hAnsi="Arial" w:cs="Arial"/>
          <w:sz w:val="22"/>
          <w:szCs w:val="22"/>
          <w:shd w:val="clear" w:color="auto" w:fill="FFFFFF"/>
          <w:lang w:val="es-ES_tradnl"/>
        </w:rPr>
        <w:t xml:space="preserve"> sin perjuicio de lo </w:t>
      </w:r>
      <w:r w:rsidR="003D47FE">
        <w:rPr>
          <w:rFonts w:ascii="Arial" w:hAnsi="Arial" w:cs="Arial"/>
          <w:sz w:val="22"/>
          <w:szCs w:val="22"/>
          <w:shd w:val="clear" w:color="auto" w:fill="FFFFFF"/>
          <w:lang w:val="es-ES_tradnl"/>
        </w:rPr>
        <w:lastRenderedPageBreak/>
        <w:t>establecido en la Ley 2020 de 2020 respecto a las obras civiles inconclusas, frente a lo cual deberá consultarse cada documento tipo</w:t>
      </w:r>
      <w:r w:rsidR="00443BC3">
        <w:rPr>
          <w:rFonts w:ascii="Arial" w:hAnsi="Arial" w:cs="Arial"/>
          <w:sz w:val="22"/>
          <w:szCs w:val="22"/>
          <w:shd w:val="clear" w:color="auto" w:fill="FFFFFF"/>
          <w:lang w:val="es-ES_tradnl"/>
        </w:rPr>
        <w:t>, para verificar si se establece el deber de realizar alguna reducción del puntaje, como sucede, a modo de ejemplo en el documento tipo de licitación de obra pública de infraestructura de transporte – Versión 3, donde se establece en el numeral 4.2 lo siguiente:</w:t>
      </w:r>
    </w:p>
    <w:p w14:paraId="5F38E372" w14:textId="77777777" w:rsidR="00476623" w:rsidRDefault="00476623" w:rsidP="00A467AF">
      <w:pPr>
        <w:spacing w:line="276" w:lineRule="auto"/>
        <w:ind w:firstLine="709"/>
        <w:jc w:val="both"/>
        <w:rPr>
          <w:rFonts w:ascii="Arial" w:hAnsi="Arial" w:cs="Arial"/>
          <w:sz w:val="22"/>
          <w:szCs w:val="22"/>
          <w:shd w:val="clear" w:color="auto" w:fill="FFFFFF"/>
          <w:lang w:val="es-ES_tradnl"/>
        </w:rPr>
      </w:pPr>
    </w:p>
    <w:p w14:paraId="2806ABC5" w14:textId="03CEE2D7" w:rsidR="00443BC3" w:rsidRPr="00A467AF" w:rsidRDefault="00443BC3" w:rsidP="00A467AF">
      <w:pPr>
        <w:ind w:left="709" w:right="709"/>
        <w:jc w:val="both"/>
        <w:rPr>
          <w:rFonts w:ascii="Arial" w:hAnsi="Arial" w:cs="Arial"/>
          <w:sz w:val="21"/>
          <w:szCs w:val="21"/>
          <w:shd w:val="clear" w:color="auto" w:fill="FFFFFF"/>
          <w:lang w:val="es-ES_tradnl"/>
        </w:rPr>
      </w:pPr>
      <w:r w:rsidRPr="00A467AF">
        <w:rPr>
          <w:rFonts w:ascii="Arial" w:hAnsi="Arial" w:cs="Arial"/>
          <w:sz w:val="21"/>
          <w:szCs w:val="21"/>
          <w:lang w:val="es-MX"/>
        </w:rPr>
        <w:t>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p>
    <w:p w14:paraId="2D8629FA" w14:textId="564FE169" w:rsidR="00476623" w:rsidRDefault="00476623" w:rsidP="00476623">
      <w:pPr>
        <w:spacing w:after="120"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ab/>
      </w:r>
    </w:p>
    <w:p w14:paraId="518757A1" w14:textId="4A048B3B" w:rsidR="00476623" w:rsidRPr="008918A2" w:rsidRDefault="00476623" w:rsidP="00A467AF">
      <w:pPr>
        <w:spacing w:after="120"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ab/>
        <w:t xml:space="preserve">Sin perjuicio de lo anterior, deberá consultarse cada documento tipo en relación con la inclusión de un contenido similar al anterior, de manera que se aplique de forma integral el documento tipo, respetando la regla desarrollada con anterioridad, en relación con su inalterabilidad. En este sentido, en relación con las reglas de asignación de puntaje, </w:t>
      </w:r>
      <w:r w:rsidR="00F87829">
        <w:rPr>
          <w:rFonts w:ascii="Arial" w:hAnsi="Arial" w:cs="Arial"/>
          <w:sz w:val="22"/>
          <w:szCs w:val="22"/>
          <w:shd w:val="clear" w:color="auto" w:fill="FFFFFF"/>
          <w:lang w:val="es-ES_tradnl"/>
        </w:rPr>
        <w:t>las entidades estatales deben elaborar sus pliegos de condiciones aplicando de forma</w:t>
      </w:r>
      <w:r>
        <w:rPr>
          <w:rFonts w:ascii="Arial" w:hAnsi="Arial" w:cs="Arial"/>
          <w:sz w:val="22"/>
          <w:szCs w:val="22"/>
          <w:shd w:val="clear" w:color="auto" w:fill="FFFFFF"/>
          <w:lang w:val="es-ES_tradnl"/>
        </w:rPr>
        <w:t xml:space="preserve"> íntegra el contenido establecido en los documento</w:t>
      </w:r>
      <w:r w:rsidR="00F87829">
        <w:rPr>
          <w:rFonts w:ascii="Arial" w:hAnsi="Arial" w:cs="Arial"/>
          <w:sz w:val="22"/>
          <w:szCs w:val="22"/>
          <w:shd w:val="clear" w:color="auto" w:fill="FFFFFF"/>
          <w:lang w:val="es-ES_tradnl"/>
        </w:rPr>
        <w:t>s</w:t>
      </w:r>
      <w:r>
        <w:rPr>
          <w:rFonts w:ascii="Arial" w:hAnsi="Arial" w:cs="Arial"/>
          <w:sz w:val="22"/>
          <w:szCs w:val="22"/>
          <w:shd w:val="clear" w:color="auto" w:fill="FFFFFF"/>
          <w:lang w:val="es-ES_tradnl"/>
        </w:rPr>
        <w:t xml:space="preserve"> tipo</w:t>
      </w:r>
      <w:r w:rsidR="00F87829">
        <w:rPr>
          <w:rFonts w:ascii="Arial" w:hAnsi="Arial" w:cs="Arial"/>
          <w:sz w:val="22"/>
          <w:szCs w:val="22"/>
          <w:shd w:val="clear" w:color="auto" w:fill="FFFFFF"/>
          <w:lang w:val="es-ES_tradnl"/>
        </w:rPr>
        <w:t>, sin incluir aspectos que no estén dispuestos en ellos.</w:t>
      </w:r>
    </w:p>
    <w:p w14:paraId="775A5BA6" w14:textId="6F58E2AB" w:rsidR="009F4225" w:rsidRDefault="009F4225" w:rsidP="00A467AF">
      <w:pPr>
        <w:pStyle w:val="paragraph"/>
        <w:spacing w:before="0" w:beforeAutospacing="0" w:after="120" w:afterAutospacing="0" w:line="276" w:lineRule="auto"/>
        <w:ind w:firstLine="703"/>
        <w:jc w:val="both"/>
        <w:textAlignment w:val="baseline"/>
        <w:rPr>
          <w:rFonts w:ascii="Segoe UI" w:hAnsi="Segoe UI" w:cs="Segoe UI"/>
          <w:sz w:val="18"/>
          <w:szCs w:val="18"/>
        </w:rPr>
      </w:pPr>
      <w:r>
        <w:rPr>
          <w:rFonts w:ascii="Arial" w:eastAsia="Calibri" w:hAnsi="Arial" w:cs="Arial"/>
          <w:sz w:val="22"/>
          <w:lang w:val="es-ES_tradnl"/>
        </w:rPr>
        <w:t>Finalmente, en lo que respecta a su observación referida en el numeral 3 de su petición, nos permitimos informarle que l</w:t>
      </w:r>
      <w:r>
        <w:rPr>
          <w:rStyle w:val="normaltextrun"/>
          <w:rFonts w:ascii="Arial" w:hAnsi="Arial" w:cs="Arial"/>
          <w:sz w:val="22"/>
          <w:szCs w:val="22"/>
        </w:rPr>
        <w:t>a Resolución 160 de 2020, por la cual se establece el procedimiento para la modificación de los  documentos tipo, en su artículo 7 señaló que </w:t>
      </w:r>
      <w:r>
        <w:rPr>
          <w:rStyle w:val="normaltextrun"/>
          <w:rFonts w:ascii="Arial" w:hAnsi="Arial" w:cs="Arial"/>
          <w:color w:val="000000"/>
          <w:sz w:val="22"/>
          <w:szCs w:val="22"/>
          <w:shd w:val="clear" w:color="auto" w:fill="FFFFFF"/>
        </w:rPr>
        <w:t xml:space="preserve">una vez elaborado el proyecto de documento tipo con los insumos de las entidades técnicas o especializadas y definido el procedimiento para su implementación, se procederá a publicarlo en la página web de la Agencia Nacional de Contratación Pública </w:t>
      </w:r>
      <w:r w:rsidR="00F87829">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Colombia Compra Eficiente y demás medios de difusión electrónica con los que cuente la entidad, para que los ciudadanos y grupos de interés puedan presentar observaciones al proyecto de resolución.</w:t>
      </w:r>
      <w:r>
        <w:rPr>
          <w:rStyle w:val="eop"/>
          <w:rFonts w:ascii="Arial" w:eastAsiaTheme="minorEastAsia" w:hAnsi="Arial" w:cs="Arial"/>
          <w:color w:val="000000"/>
          <w:sz w:val="22"/>
          <w:szCs w:val="22"/>
        </w:rPr>
        <w:t> </w:t>
      </w:r>
    </w:p>
    <w:p w14:paraId="64DBFBA6" w14:textId="201157ED" w:rsidR="009F4225" w:rsidRDefault="009F4225" w:rsidP="00A467AF">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eop"/>
          <w:rFonts w:ascii="Arial" w:eastAsiaTheme="minorEastAsia" w:hAnsi="Arial" w:cs="Arial"/>
          <w:color w:val="000000"/>
          <w:sz w:val="22"/>
          <w:szCs w:val="22"/>
        </w:rPr>
        <w:t> </w:t>
      </w:r>
      <w:r>
        <w:rPr>
          <w:rStyle w:val="normaltextrun"/>
          <w:rFonts w:ascii="Arial" w:hAnsi="Arial" w:cs="Arial"/>
          <w:color w:val="000000"/>
          <w:sz w:val="22"/>
          <w:szCs w:val="22"/>
          <w:shd w:val="clear" w:color="auto" w:fill="FFFFFF"/>
        </w:rPr>
        <w:t>De acuerdo con lo dispuesto por el artículo 8</w:t>
      </w:r>
      <w:r w:rsidR="00F87829">
        <w:rPr>
          <w:rStyle w:val="normaltextrun"/>
          <w:rFonts w:ascii="Arial" w:hAnsi="Arial" w:cs="Arial"/>
          <w:color w:val="000000"/>
          <w:sz w:val="22"/>
          <w:szCs w:val="22"/>
          <w:shd w:val="clear" w:color="auto" w:fill="FFFFFF"/>
        </w:rPr>
        <w:t xml:space="preserve"> de la resolución indicada</w:t>
      </w:r>
      <w:r>
        <w:rPr>
          <w:rStyle w:val="normaltextrun"/>
          <w:rFonts w:ascii="Arial" w:hAnsi="Arial" w:cs="Arial"/>
          <w:color w:val="000000"/>
          <w:sz w:val="22"/>
          <w:szCs w:val="22"/>
          <w:shd w:val="clear" w:color="auto" w:fill="FFFFFF"/>
        </w:rPr>
        <w:t xml:space="preserve">, una vez recibidas las observaciones, Agencia Nacional de Contratación Pública </w:t>
      </w:r>
      <w:r w:rsidR="00F87829">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Colombia Compra Eficiente procederá a hacer las modificaciones que considere pertinente, </w:t>
      </w:r>
      <w:r w:rsidR="00F87829">
        <w:rPr>
          <w:rStyle w:val="normaltextrun"/>
          <w:rFonts w:ascii="Arial" w:hAnsi="Arial" w:cs="Arial"/>
          <w:color w:val="000000"/>
          <w:sz w:val="22"/>
          <w:szCs w:val="22"/>
          <w:shd w:val="clear" w:color="auto" w:fill="FFFFFF"/>
        </w:rPr>
        <w:t xml:space="preserve">y </w:t>
      </w:r>
      <w:r>
        <w:rPr>
          <w:rStyle w:val="normaltextrun"/>
          <w:rFonts w:ascii="Arial" w:hAnsi="Arial" w:cs="Arial"/>
          <w:color w:val="000000"/>
          <w:sz w:val="22"/>
          <w:szCs w:val="22"/>
          <w:shd w:val="clear" w:color="auto" w:fill="FFFFFF"/>
        </w:rPr>
        <w:t>posteriormente, en virtud de lo establecido en el artículo 9, de las observaciones presentadas durante el plazo dispuesto por la entidad, se elaborará un informe global mediante el cual se analizará el impacto de las observaciones y comentarios que fueron presentados por los interesados. Este informe se publicará en la sección de Transparencia y Acceso a la Información Pública del sitio web de la entidad, y deberá permanecer allí como antecedente normativo.</w:t>
      </w:r>
      <w:r>
        <w:rPr>
          <w:rStyle w:val="eop"/>
          <w:rFonts w:ascii="Arial" w:eastAsiaTheme="minorEastAsia" w:hAnsi="Arial" w:cs="Arial"/>
          <w:color w:val="000000"/>
          <w:sz w:val="22"/>
          <w:szCs w:val="22"/>
        </w:rPr>
        <w:t> </w:t>
      </w:r>
    </w:p>
    <w:p w14:paraId="449011E6" w14:textId="64507C3D" w:rsidR="009F4225" w:rsidRPr="009F4225" w:rsidRDefault="009F4225" w:rsidP="00A467AF">
      <w:pPr>
        <w:pStyle w:val="paragraph"/>
        <w:spacing w:before="0" w:beforeAutospacing="0" w:after="120" w:afterAutospacing="0" w:line="276" w:lineRule="auto"/>
        <w:ind w:firstLine="703"/>
        <w:jc w:val="both"/>
        <w:textAlignment w:val="baseline"/>
        <w:rPr>
          <w:rStyle w:val="normaltextrun"/>
          <w:rFonts w:ascii="Arial" w:eastAsiaTheme="minorEastAsia" w:hAnsi="Arial" w:cs="Arial"/>
          <w:color w:val="000000"/>
          <w:sz w:val="22"/>
          <w:szCs w:val="22"/>
          <w:lang w:eastAsia="es-ES_tradnl"/>
        </w:rPr>
      </w:pPr>
      <w:r>
        <w:rPr>
          <w:rStyle w:val="eop"/>
          <w:rFonts w:ascii="Arial" w:eastAsiaTheme="minorEastAsia" w:hAnsi="Arial" w:cs="Arial"/>
          <w:color w:val="000000"/>
          <w:sz w:val="22"/>
          <w:szCs w:val="22"/>
        </w:rPr>
        <w:t> </w:t>
      </w:r>
      <w:r>
        <w:rPr>
          <w:rStyle w:val="normaltextrun"/>
          <w:rFonts w:ascii="Arial" w:hAnsi="Arial" w:cs="Arial"/>
          <w:color w:val="000000"/>
          <w:sz w:val="22"/>
          <w:szCs w:val="22"/>
          <w:shd w:val="clear" w:color="auto" w:fill="FFFFFF"/>
        </w:rPr>
        <w:t>Para la</w:t>
      </w:r>
      <w:r w:rsidR="00F87829">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versi</w:t>
      </w:r>
      <w:r w:rsidR="00F87829">
        <w:rPr>
          <w:rStyle w:val="normaltextrun"/>
          <w:rFonts w:ascii="Arial" w:hAnsi="Arial" w:cs="Arial"/>
          <w:color w:val="000000"/>
          <w:sz w:val="22"/>
          <w:szCs w:val="22"/>
          <w:shd w:val="clear" w:color="auto" w:fill="FFFFFF"/>
        </w:rPr>
        <w:t>o</w:t>
      </w:r>
      <w:r>
        <w:rPr>
          <w:rStyle w:val="normaltextrun"/>
          <w:rFonts w:ascii="Arial" w:hAnsi="Arial" w:cs="Arial"/>
          <w:color w:val="000000"/>
          <w:sz w:val="22"/>
          <w:szCs w:val="22"/>
          <w:shd w:val="clear" w:color="auto" w:fill="FFFFFF"/>
        </w:rPr>
        <w:t>n</w:t>
      </w:r>
      <w:r w:rsidR="00F87829">
        <w:rPr>
          <w:rStyle w:val="normaltextrun"/>
          <w:rFonts w:ascii="Arial" w:hAnsi="Arial" w:cs="Arial"/>
          <w:color w:val="000000"/>
          <w:sz w:val="22"/>
          <w:szCs w:val="22"/>
          <w:shd w:val="clear" w:color="auto" w:fill="FFFFFF"/>
        </w:rPr>
        <w:t>es</w:t>
      </w:r>
      <w:r>
        <w:rPr>
          <w:rStyle w:val="normaltextrun"/>
          <w:rFonts w:ascii="Arial" w:hAnsi="Arial" w:cs="Arial"/>
          <w:color w:val="000000"/>
          <w:sz w:val="22"/>
          <w:szCs w:val="22"/>
          <w:shd w:val="clear" w:color="auto" w:fill="FFFFFF"/>
        </w:rPr>
        <w:t xml:space="preserve"> que se encuentra</w:t>
      </w:r>
      <w:r w:rsidR="00F87829">
        <w:rPr>
          <w:rStyle w:val="normaltextrun"/>
          <w:rFonts w:ascii="Arial" w:hAnsi="Arial" w:cs="Arial"/>
          <w:color w:val="000000"/>
          <w:sz w:val="22"/>
          <w:szCs w:val="22"/>
          <w:shd w:val="clear" w:color="auto" w:fill="FFFFFF"/>
        </w:rPr>
        <w:t>n</w:t>
      </w:r>
      <w:r>
        <w:rPr>
          <w:rStyle w:val="normaltextrun"/>
          <w:rFonts w:ascii="Arial" w:hAnsi="Arial" w:cs="Arial"/>
          <w:color w:val="000000"/>
          <w:sz w:val="22"/>
          <w:szCs w:val="22"/>
          <w:shd w:val="clear" w:color="auto" w:fill="FFFFFF"/>
        </w:rPr>
        <w:t xml:space="preserve"> vigente</w:t>
      </w:r>
      <w:r w:rsidR="00F87829">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de los Documentos Tipo</w:t>
      </w:r>
      <w:r>
        <w:rPr>
          <w:rStyle w:val="normaltextrun"/>
          <w:rFonts w:ascii="Arial" w:hAnsi="Arial" w:cs="Arial"/>
          <w:sz w:val="22"/>
          <w:szCs w:val="22"/>
        </w:rPr>
        <w:t xml:space="preserve"> de licitación pública de obra Pública de Infraestructura de Transporte </w:t>
      </w:r>
      <w:r w:rsidR="00F87829">
        <w:rPr>
          <w:rStyle w:val="normaltextrun"/>
          <w:rFonts w:ascii="Arial" w:hAnsi="Arial" w:cs="Arial"/>
          <w:sz w:val="22"/>
          <w:szCs w:val="22"/>
        </w:rPr>
        <w:t>e</w:t>
      </w:r>
      <w:r>
        <w:rPr>
          <w:rStyle w:val="normaltextrun"/>
          <w:rFonts w:ascii="Arial" w:hAnsi="Arial" w:cs="Arial"/>
          <w:sz w:val="22"/>
          <w:szCs w:val="22"/>
        </w:rPr>
        <w:t xml:space="preserve"> Interventoría de Obra Pública </w:t>
      </w:r>
      <w:r>
        <w:rPr>
          <w:rStyle w:val="normaltextrun"/>
          <w:rFonts w:ascii="Arial" w:hAnsi="Arial" w:cs="Arial"/>
          <w:sz w:val="22"/>
          <w:szCs w:val="22"/>
        </w:rPr>
        <w:lastRenderedPageBreak/>
        <w:t>de Infraestructura de Transporte</w:t>
      </w:r>
      <w:r>
        <w:rPr>
          <w:rStyle w:val="normaltextrun"/>
          <w:rFonts w:ascii="Arial" w:hAnsi="Arial" w:cs="Arial"/>
          <w:color w:val="000000"/>
          <w:sz w:val="22"/>
          <w:szCs w:val="22"/>
          <w:shd w:val="clear" w:color="auto" w:fill="FFFFFF"/>
        </w:rPr>
        <w:t xml:space="preserve">, la Agencia Nacional de Contratación Pública </w:t>
      </w:r>
      <w:r w:rsidR="00F87829">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Colombia Compra Eficiente ya adelantó este procedimiento, razón por la cual, en este momento no es posible realizar ninguna modificación a los mismos</w:t>
      </w:r>
      <w:r w:rsidR="00986545">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t>
      </w:r>
      <w:r w:rsidR="00986545">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in embargo</w:t>
      </w:r>
      <w:r w:rsidR="004F0E3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de acuerdo con el artículo 9 de la Resolución 160 de 2020, si con posterioridad al cierre del plazo para las observaciones a los documentos tipo se presentan comentarios y opiniones por parte de las personas y grupos de interés, la entidad mantendrá un repositorio de los mismos, el cual servirá como insumo para la revisión de los documentos tipo, de acuerdo con esto, su observación se mantendrá en el repositorio, la cual </w:t>
      </w:r>
      <w:r w:rsidR="00F247F6">
        <w:rPr>
          <w:rStyle w:val="normaltextrun"/>
          <w:rFonts w:ascii="Arial" w:hAnsi="Arial" w:cs="Arial"/>
          <w:color w:val="000000"/>
          <w:sz w:val="22"/>
          <w:szCs w:val="22"/>
          <w:shd w:val="clear" w:color="auto" w:fill="FFFFFF"/>
        </w:rPr>
        <w:t xml:space="preserve">será analizada en una </w:t>
      </w:r>
      <w:r>
        <w:rPr>
          <w:rStyle w:val="normaltextrun"/>
          <w:rFonts w:ascii="Arial" w:hAnsi="Arial" w:cs="Arial"/>
          <w:color w:val="000000"/>
          <w:sz w:val="22"/>
          <w:szCs w:val="22"/>
          <w:shd w:val="clear" w:color="auto" w:fill="FFFFFF"/>
        </w:rPr>
        <w:t>posterior modificación</w:t>
      </w:r>
      <w:r w:rsidR="00F247F6">
        <w:rPr>
          <w:rStyle w:val="normaltextrun"/>
          <w:rFonts w:ascii="Arial" w:hAnsi="Arial" w:cs="Arial"/>
          <w:color w:val="000000"/>
          <w:sz w:val="22"/>
          <w:szCs w:val="22"/>
          <w:shd w:val="clear" w:color="auto" w:fill="FFFFFF"/>
        </w:rPr>
        <w:t xml:space="preserve"> de los documentos tipo.</w:t>
      </w:r>
      <w:r>
        <w:rPr>
          <w:rStyle w:val="eop"/>
          <w:rFonts w:ascii="Arial" w:eastAsiaTheme="minorEastAsia" w:hAnsi="Arial" w:cs="Arial"/>
          <w:color w:val="000000"/>
          <w:sz w:val="22"/>
          <w:szCs w:val="22"/>
        </w:rPr>
        <w:t> </w:t>
      </w:r>
    </w:p>
    <w:p w14:paraId="5AD9FA0B" w14:textId="77777777" w:rsidR="009F4225" w:rsidRPr="008918A2" w:rsidRDefault="009F4225" w:rsidP="00510DE9">
      <w:pPr>
        <w:tabs>
          <w:tab w:val="left" w:pos="0"/>
        </w:tabs>
        <w:jc w:val="both"/>
        <w:rPr>
          <w:rFonts w:ascii="Arial" w:eastAsia="Calibri" w:hAnsi="Arial" w:cs="Arial"/>
          <w:b/>
          <w:color w:val="000000" w:themeColor="text1"/>
          <w:sz w:val="22"/>
          <w:lang w:val="es-ES_tradnl"/>
        </w:rPr>
      </w:pPr>
    </w:p>
    <w:p w14:paraId="37CA9805" w14:textId="7B3C1B57" w:rsidR="00DD5B04" w:rsidRPr="008918A2" w:rsidRDefault="004177A6" w:rsidP="00510DE9">
      <w:pPr>
        <w:tabs>
          <w:tab w:val="left" w:pos="0"/>
        </w:tabs>
        <w:jc w:val="both"/>
        <w:rPr>
          <w:rFonts w:ascii="Arial" w:eastAsia="Calibri" w:hAnsi="Arial" w:cs="Arial"/>
          <w:b/>
          <w:color w:val="000000" w:themeColor="text1"/>
          <w:sz w:val="22"/>
          <w:lang w:val="es-ES_tradnl"/>
        </w:rPr>
      </w:pPr>
      <w:r w:rsidRPr="008918A2">
        <w:rPr>
          <w:rFonts w:ascii="Arial" w:eastAsia="Calibri" w:hAnsi="Arial" w:cs="Arial"/>
          <w:b/>
          <w:color w:val="000000" w:themeColor="text1"/>
          <w:sz w:val="22"/>
          <w:lang w:val="es-ES_tradnl"/>
        </w:rPr>
        <w:t>3</w:t>
      </w:r>
      <w:r w:rsidR="00B011A9" w:rsidRPr="008918A2">
        <w:rPr>
          <w:rFonts w:ascii="Arial" w:eastAsia="Calibri" w:hAnsi="Arial" w:cs="Arial"/>
          <w:b/>
          <w:color w:val="000000" w:themeColor="text1"/>
          <w:sz w:val="22"/>
          <w:lang w:val="es-ES_tradnl"/>
        </w:rPr>
        <w:t xml:space="preserve">. </w:t>
      </w:r>
      <w:r w:rsidR="00DD5B04" w:rsidRPr="008918A2">
        <w:rPr>
          <w:rFonts w:ascii="Arial" w:eastAsia="Calibri" w:hAnsi="Arial" w:cs="Arial"/>
          <w:b/>
          <w:color w:val="000000" w:themeColor="text1"/>
          <w:sz w:val="22"/>
          <w:lang w:val="es-ES_tradnl"/>
        </w:rPr>
        <w:t>Respuesta</w:t>
      </w:r>
    </w:p>
    <w:p w14:paraId="0B74D5B8" w14:textId="7F0A7F13" w:rsidR="00C4581D" w:rsidRPr="008918A2" w:rsidRDefault="00C4581D" w:rsidP="00510DE9">
      <w:pPr>
        <w:tabs>
          <w:tab w:val="left" w:pos="0"/>
        </w:tabs>
        <w:jc w:val="both"/>
        <w:rPr>
          <w:rFonts w:ascii="Arial" w:eastAsia="Calibri" w:hAnsi="Arial" w:cs="Arial"/>
          <w:color w:val="000000" w:themeColor="text1"/>
          <w:sz w:val="22"/>
          <w:lang w:val="es-ES_tradnl"/>
        </w:rPr>
      </w:pPr>
    </w:p>
    <w:p w14:paraId="001872C1" w14:textId="77777777" w:rsidR="002676C2" w:rsidRDefault="002676C2" w:rsidP="00A467AF">
      <w:pPr>
        <w:pStyle w:val="Default"/>
        <w:ind w:left="709" w:right="709"/>
        <w:jc w:val="both"/>
        <w:rPr>
          <w:sz w:val="21"/>
          <w:szCs w:val="21"/>
        </w:rPr>
      </w:pPr>
      <w:r w:rsidRPr="0040431F">
        <w:rPr>
          <w:color w:val="000000" w:themeColor="text1"/>
          <w:sz w:val="21"/>
          <w:szCs w:val="21"/>
          <w:lang w:val="es-ES_tradnl"/>
        </w:rPr>
        <w:t xml:space="preserve">«1. Es posible que </w:t>
      </w:r>
      <w:r w:rsidRPr="0040431F">
        <w:rPr>
          <w:sz w:val="21"/>
          <w:szCs w:val="21"/>
        </w:rPr>
        <w:t>la entidad establezca una reducción (no asignación) del puntaje por calidad, cuando la experiencia que se acredite se fundamente en un contrato en el cual se presentan vicisitudes como las expuestas?</w:t>
      </w:r>
    </w:p>
    <w:p w14:paraId="5ADE4BBC" w14:textId="77777777" w:rsidR="007704CF" w:rsidRDefault="007704CF" w:rsidP="007704CF">
      <w:pPr>
        <w:pStyle w:val="Default"/>
        <w:ind w:right="567"/>
        <w:jc w:val="both"/>
        <w:rPr>
          <w:sz w:val="21"/>
          <w:szCs w:val="21"/>
        </w:rPr>
      </w:pPr>
    </w:p>
    <w:p w14:paraId="1D0C460A" w14:textId="1D34A1D1" w:rsidR="007704CF" w:rsidRDefault="007704CF" w:rsidP="00A467AF">
      <w:pPr>
        <w:pStyle w:val="Default"/>
        <w:jc w:val="both"/>
        <w:rPr>
          <w:sz w:val="22"/>
          <w:szCs w:val="22"/>
          <w:shd w:val="clear" w:color="auto" w:fill="FFFFFF"/>
          <w:lang w:val="es-ES_tradnl"/>
        </w:rPr>
      </w:pPr>
      <w:r>
        <w:rPr>
          <w:sz w:val="22"/>
          <w:szCs w:val="22"/>
          <w:shd w:val="clear" w:color="auto" w:fill="FFFFFF"/>
          <w:lang w:val="es-ES_tradnl"/>
        </w:rPr>
        <w:t xml:space="preserve">En virtud de la regla de inalterabilidad de los documentos tipo, las entidades </w:t>
      </w:r>
      <w:r w:rsidR="00F87829">
        <w:rPr>
          <w:sz w:val="22"/>
          <w:szCs w:val="22"/>
          <w:shd w:val="clear" w:color="auto" w:fill="FFFFFF"/>
          <w:lang w:val="es-ES_tradnl"/>
        </w:rPr>
        <w:t>no están habilitadas para alterar las reglas de asignación de puntaje en procesos de selección adelantados con fundamento en los documentos tipo, por ejemplo, para reducir el puntaje con fundamento en controversias judiciales por presuntos incumplimientos del proponente en contratos pasados, cesiones de contratos autorizados para evitar el incumplimiento del contrato o multa e incumplimientos impuestos al proponente en contratos anteriores</w:t>
      </w:r>
      <w:r>
        <w:rPr>
          <w:sz w:val="22"/>
          <w:szCs w:val="22"/>
          <w:shd w:val="clear" w:color="auto" w:fill="FFFFFF"/>
          <w:lang w:val="es-ES_tradnl"/>
        </w:rPr>
        <w:t>.</w:t>
      </w:r>
      <w:r w:rsidR="00F87829">
        <w:rPr>
          <w:sz w:val="22"/>
          <w:szCs w:val="22"/>
          <w:shd w:val="clear" w:color="auto" w:fill="FFFFFF"/>
          <w:lang w:val="es-ES_tradnl"/>
        </w:rPr>
        <w:t xml:space="preserve"> Lo anterior, sin perjuicio de lo indicado en las consideraciones respecto a las obras civiles inconclusas y la «inhabilidad por incumplimiento reiterado» de que trata el artículo 90 de la Ley 1474 de 2011 –modificado por el artículo 43 de la Ley 1955 de 2019–.</w:t>
      </w:r>
    </w:p>
    <w:p w14:paraId="779D3CFC" w14:textId="77777777" w:rsidR="007704CF" w:rsidRPr="0040431F" w:rsidRDefault="007704CF" w:rsidP="007704CF">
      <w:pPr>
        <w:pStyle w:val="Default"/>
        <w:ind w:right="567"/>
        <w:jc w:val="both"/>
        <w:rPr>
          <w:sz w:val="21"/>
          <w:szCs w:val="21"/>
        </w:rPr>
      </w:pPr>
    </w:p>
    <w:p w14:paraId="44F6F6C8" w14:textId="48413699" w:rsidR="002676C2" w:rsidRPr="00A467AF" w:rsidRDefault="002676C2" w:rsidP="00A467AF">
      <w:pPr>
        <w:pStyle w:val="Default"/>
        <w:ind w:left="709" w:right="709"/>
        <w:jc w:val="both"/>
        <w:rPr>
          <w:color w:val="000000" w:themeColor="text1"/>
          <w:sz w:val="21"/>
          <w:szCs w:val="21"/>
          <w:lang w:val="es-ES_tradnl"/>
        </w:rPr>
      </w:pPr>
      <w:r w:rsidRPr="0040431F">
        <w:rPr>
          <w:color w:val="000000" w:themeColor="text1"/>
          <w:sz w:val="21"/>
          <w:szCs w:val="21"/>
          <w:lang w:val="es-ES_tradnl"/>
        </w:rPr>
        <w:t xml:space="preserve">2. </w:t>
      </w:r>
      <w:r w:rsidRPr="00A467AF">
        <w:rPr>
          <w:color w:val="000000" w:themeColor="text1"/>
          <w:sz w:val="21"/>
          <w:szCs w:val="21"/>
          <w:lang w:val="es-ES_tradnl"/>
        </w:rPr>
        <w:t>¿Al incorporar una modificación en los pliegos de condicio</w:t>
      </w:r>
      <w:r w:rsidR="007704CF" w:rsidRPr="00A467AF">
        <w:rPr>
          <w:color w:val="000000" w:themeColor="text1"/>
          <w:sz w:val="21"/>
          <w:szCs w:val="21"/>
          <w:lang w:val="es-ES_tradnl"/>
        </w:rPr>
        <w:t>nes para la contratación</w:t>
      </w:r>
      <w:r w:rsidRPr="00A467AF">
        <w:rPr>
          <w:color w:val="000000" w:themeColor="text1"/>
          <w:sz w:val="21"/>
          <w:szCs w:val="21"/>
          <w:lang w:val="es-ES_tradnl"/>
        </w:rPr>
        <w:t xml:space="preserve"> de obras, su diseño o la correspondiente interventoría significaría vulnerar la condición de inalterabilidad de los Documentos Tipo prevista en el artículo 2.2.1.2.6.1.4. del Decreto 1082 de 2015? </w:t>
      </w:r>
    </w:p>
    <w:p w14:paraId="08D8728A" w14:textId="77777777" w:rsidR="007704CF" w:rsidRDefault="007704CF" w:rsidP="007704CF">
      <w:pPr>
        <w:pStyle w:val="Default"/>
        <w:ind w:right="567"/>
        <w:jc w:val="both"/>
        <w:rPr>
          <w:sz w:val="21"/>
          <w:szCs w:val="21"/>
        </w:rPr>
      </w:pPr>
    </w:p>
    <w:p w14:paraId="0F0E529F" w14:textId="58F9E1C0" w:rsidR="007704CF" w:rsidRDefault="007704CF" w:rsidP="00A467AF">
      <w:pPr>
        <w:spacing w:before="120"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De todo lo expuesto precedentemente,</w:t>
      </w:r>
      <w:r w:rsidRPr="008918A2">
        <w:rPr>
          <w:rFonts w:ascii="Arial" w:hAnsi="Arial" w:cs="Arial"/>
          <w:sz w:val="22"/>
          <w:szCs w:val="22"/>
          <w:shd w:val="clear" w:color="auto" w:fill="FFFFFF"/>
          <w:lang w:val="es-ES_tradnl"/>
        </w:rPr>
        <w:t xml:space="preserve">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r>
        <w:rPr>
          <w:rFonts w:ascii="Arial" w:hAnsi="Arial" w:cs="Arial"/>
          <w:sz w:val="22"/>
          <w:szCs w:val="22"/>
          <w:shd w:val="clear" w:color="auto" w:fill="FFFFFF"/>
          <w:lang w:val="es-ES_tradnl"/>
        </w:rPr>
        <w:t xml:space="preserve"> Así, es claro que al estar vigente la regla de inalterabilidad de los documentos tipo, estos no pueden ser modificados por las entidades públicas, </w:t>
      </w:r>
      <w:r w:rsidR="00D17921">
        <w:rPr>
          <w:rFonts w:ascii="Arial" w:hAnsi="Arial" w:cs="Arial"/>
          <w:sz w:val="22"/>
          <w:szCs w:val="22"/>
          <w:shd w:val="clear" w:color="auto" w:fill="FFFFFF"/>
          <w:lang w:val="es-ES_tradnl"/>
        </w:rPr>
        <w:t>en aspectos distintos a los que los mismos documentos tipo lo permiten.</w:t>
      </w:r>
      <w:r>
        <w:rPr>
          <w:rFonts w:ascii="Arial" w:hAnsi="Arial" w:cs="Arial"/>
          <w:sz w:val="22"/>
          <w:szCs w:val="22"/>
          <w:shd w:val="clear" w:color="auto" w:fill="FFFFFF"/>
          <w:lang w:val="es-ES_tradnl"/>
        </w:rPr>
        <w:t xml:space="preserve"> </w:t>
      </w:r>
    </w:p>
    <w:p w14:paraId="3FADCAA4" w14:textId="77777777" w:rsidR="007704CF" w:rsidRDefault="007704CF" w:rsidP="007704CF">
      <w:pPr>
        <w:pStyle w:val="Default"/>
        <w:ind w:right="567"/>
        <w:jc w:val="both"/>
        <w:rPr>
          <w:sz w:val="21"/>
          <w:szCs w:val="21"/>
        </w:rPr>
      </w:pPr>
    </w:p>
    <w:p w14:paraId="516637FD" w14:textId="77777777" w:rsidR="002676C2" w:rsidRPr="00A467AF" w:rsidRDefault="002676C2" w:rsidP="00A467AF">
      <w:pPr>
        <w:pStyle w:val="Default"/>
        <w:ind w:left="709" w:right="709"/>
        <w:jc w:val="both"/>
        <w:rPr>
          <w:color w:val="000000" w:themeColor="text1"/>
          <w:sz w:val="21"/>
          <w:szCs w:val="21"/>
          <w:lang w:val="es-ES_tradnl"/>
        </w:rPr>
      </w:pPr>
      <w:r w:rsidRPr="00A467AF">
        <w:rPr>
          <w:color w:val="000000" w:themeColor="text1"/>
          <w:sz w:val="21"/>
          <w:szCs w:val="21"/>
          <w:lang w:val="es-ES_tradnl"/>
        </w:rPr>
        <w:t>3. ¿Es viable analizar una futura incorporación de estos criterios para restar puntos en la ponderación de calidad de la oferta en versiones posteriores de los Documentos Tipo para la contratación de diseños, obras o interventoría?</w:t>
      </w:r>
      <w:r w:rsidRPr="0040431F">
        <w:rPr>
          <w:color w:val="000000" w:themeColor="text1"/>
          <w:sz w:val="21"/>
          <w:szCs w:val="21"/>
          <w:lang w:val="es-ES_tradnl"/>
        </w:rPr>
        <w:t>».</w:t>
      </w:r>
    </w:p>
    <w:p w14:paraId="5B838B75" w14:textId="259FD76F" w:rsidR="00A506E0" w:rsidRPr="008918A2" w:rsidRDefault="00A506E0" w:rsidP="00A506E0">
      <w:pPr>
        <w:ind w:left="709" w:right="709"/>
        <w:jc w:val="both"/>
        <w:rPr>
          <w:rFonts w:ascii="Arial" w:hAnsi="Arial" w:cs="Arial"/>
          <w:color w:val="000000" w:themeColor="text1"/>
          <w:sz w:val="21"/>
          <w:szCs w:val="21"/>
          <w:lang w:val="es-ES_tradnl"/>
        </w:rPr>
      </w:pPr>
    </w:p>
    <w:p w14:paraId="68E4AF6B" w14:textId="437C037E" w:rsidR="00370968" w:rsidRDefault="00370968">
      <w:pPr>
        <w:pStyle w:val="paragraph"/>
        <w:spacing w:before="0" w:beforeAutospacing="0" w:after="120" w:afterAutospacing="0" w:line="276" w:lineRule="auto"/>
        <w:ind w:firstLine="703"/>
        <w:jc w:val="both"/>
        <w:textAlignment w:val="baseline"/>
        <w:rPr>
          <w:rFonts w:ascii="Segoe UI" w:hAnsi="Segoe UI" w:cs="Segoe UI"/>
          <w:sz w:val="18"/>
          <w:szCs w:val="18"/>
        </w:rPr>
      </w:pPr>
      <w:r>
        <w:rPr>
          <w:rFonts w:ascii="Arial" w:eastAsia="Calibri" w:hAnsi="Arial" w:cs="Arial"/>
          <w:sz w:val="22"/>
          <w:lang w:val="es-ES_tradnl"/>
        </w:rPr>
        <w:lastRenderedPageBreak/>
        <w:t>En lo que respecta a su observación referida en el numeral 3 de su petición, nos permitimos informarle que l</w:t>
      </w:r>
      <w:r>
        <w:rPr>
          <w:rStyle w:val="normaltextrun"/>
          <w:rFonts w:ascii="Arial" w:hAnsi="Arial" w:cs="Arial"/>
          <w:sz w:val="22"/>
          <w:szCs w:val="22"/>
        </w:rPr>
        <w:t>a Resolución 160 de 2020, por la cual se establece el procedimiento para la modificación de los  documentos tipo, en su artículo 7 señaló que </w:t>
      </w:r>
      <w:r>
        <w:rPr>
          <w:rStyle w:val="normaltextrun"/>
          <w:rFonts w:ascii="Arial" w:hAnsi="Arial" w:cs="Arial"/>
          <w:color w:val="000000"/>
          <w:sz w:val="22"/>
          <w:szCs w:val="22"/>
          <w:shd w:val="clear" w:color="auto" w:fill="FFFFFF"/>
        </w:rPr>
        <w:t>una vez elaborado el proyecto de documento tipo con los insumos de las entidades técnicas o especializadas y definido el procedimiento para su implementación, se procederá a publicarlo en la página web de la Agencia Nacional de Contratación Pública – Colombia Compra Eficiente y demás medios de difusión electrónica con los que cuente la entidad, para que los ciudadanos y grupos de interés puedan presentar observaciones al proyecto de resolución.</w:t>
      </w:r>
      <w:r>
        <w:rPr>
          <w:rStyle w:val="eop"/>
          <w:rFonts w:ascii="Arial" w:eastAsiaTheme="minorEastAsia" w:hAnsi="Arial" w:cs="Arial"/>
          <w:color w:val="000000"/>
          <w:sz w:val="22"/>
          <w:szCs w:val="22"/>
        </w:rPr>
        <w:t> </w:t>
      </w:r>
    </w:p>
    <w:p w14:paraId="282A7F27" w14:textId="77777777" w:rsidR="00370968" w:rsidRDefault="00370968">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eop"/>
          <w:rFonts w:ascii="Arial" w:eastAsiaTheme="minorEastAsia" w:hAnsi="Arial" w:cs="Arial"/>
          <w:color w:val="000000"/>
          <w:sz w:val="22"/>
          <w:szCs w:val="22"/>
        </w:rPr>
        <w:t> </w:t>
      </w:r>
      <w:r>
        <w:rPr>
          <w:rStyle w:val="normaltextrun"/>
          <w:rFonts w:ascii="Arial" w:hAnsi="Arial" w:cs="Arial"/>
          <w:color w:val="000000"/>
          <w:sz w:val="22"/>
          <w:szCs w:val="22"/>
          <w:shd w:val="clear" w:color="auto" w:fill="FFFFFF"/>
        </w:rPr>
        <w:t>De acuerdo con lo dispuesto por el artículo 8 de la resolución indicada, una vez recibidas las observaciones, Agencia Nacional de Contratación Pública – Colombia Compra Eficiente procederá a hacer las modificaciones que considere pertinente, y posteriormente, en virtud de lo establecido en el artículo 9, de las observaciones presentadas durante el plazo dispuesto por la entidad, se elaborará un informe global mediante el cual se analizará el impacto de las observaciones y comentarios que fueron presentados por los interesados. Este informe se publicará en la sección de Transparencia y Acceso a la Información Pública del sitio web de la entidad, y deberá permanecer allí como antecedente normativo.</w:t>
      </w:r>
      <w:r>
        <w:rPr>
          <w:rStyle w:val="eop"/>
          <w:rFonts w:ascii="Arial" w:eastAsiaTheme="minorEastAsia" w:hAnsi="Arial" w:cs="Arial"/>
          <w:color w:val="000000"/>
          <w:sz w:val="22"/>
          <w:szCs w:val="22"/>
        </w:rPr>
        <w:t> </w:t>
      </w:r>
    </w:p>
    <w:p w14:paraId="3F19819D" w14:textId="38C157C4" w:rsidR="009F4225" w:rsidRDefault="00370968" w:rsidP="00A467AF">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eop"/>
          <w:rFonts w:ascii="Arial" w:eastAsiaTheme="minorEastAsia" w:hAnsi="Arial" w:cs="Arial"/>
          <w:color w:val="000000"/>
          <w:sz w:val="22"/>
          <w:szCs w:val="22"/>
        </w:rPr>
        <w:t> </w:t>
      </w:r>
      <w:r>
        <w:rPr>
          <w:rStyle w:val="normaltextrun"/>
          <w:rFonts w:ascii="Arial" w:hAnsi="Arial" w:cs="Arial"/>
          <w:color w:val="000000"/>
          <w:sz w:val="22"/>
          <w:szCs w:val="22"/>
          <w:shd w:val="clear" w:color="auto" w:fill="FFFFFF"/>
        </w:rPr>
        <w:t>Para las versiones que se encuentran vigentes de los Documentos Tipo</w:t>
      </w:r>
      <w:r>
        <w:rPr>
          <w:rStyle w:val="normaltextrun"/>
          <w:rFonts w:ascii="Arial" w:hAnsi="Arial" w:cs="Arial"/>
          <w:sz w:val="22"/>
          <w:szCs w:val="22"/>
        </w:rPr>
        <w:t> de licitación pública de obra Pública de Infraestructura de Transporte e Interventoría de Obra Pública de Infraestructura de Transporte</w:t>
      </w:r>
      <w:r>
        <w:rPr>
          <w:rStyle w:val="normaltextrun"/>
          <w:rFonts w:ascii="Arial" w:hAnsi="Arial" w:cs="Arial"/>
          <w:color w:val="000000"/>
          <w:sz w:val="22"/>
          <w:szCs w:val="22"/>
          <w:shd w:val="clear" w:color="auto" w:fill="FFFFFF"/>
        </w:rPr>
        <w:t>, la Agencia Nacional de Contratación Pública – Colombia Compra Eficiente ya adelantó este procedimiento, razón por la cual, en este momento no es posible realizar ninguna modificación a los mismos</w:t>
      </w:r>
      <w:r w:rsidR="00EE66E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t>
      </w:r>
      <w:r w:rsidR="00EE66E6">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in embargo</w:t>
      </w:r>
      <w:r w:rsidR="00EE66E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de acuerdo con el artículo 9 de la Resolución 160 de 2020, si con posterioridad al cierre del plazo para las observaciones a los documentos tipo se presentan comentarios y opiniones por parte de las personas y grupos de interés, la entidad mantendrá un repositorio de los mismos, el cual servirá como insumo para la revisión de los documentos tipo, de acuerdo con esto, su observación se mantendrá en el repositorio, </w:t>
      </w:r>
      <w:r w:rsidR="00F247F6">
        <w:rPr>
          <w:rStyle w:val="normaltextrun"/>
          <w:rFonts w:ascii="Arial" w:hAnsi="Arial" w:cs="Arial"/>
          <w:color w:val="000000"/>
          <w:sz w:val="22"/>
          <w:szCs w:val="22"/>
          <w:shd w:val="clear" w:color="auto" w:fill="FFFFFF"/>
        </w:rPr>
        <w:t>la cual será analizada en una posterior modificación de los documentos tipo</w:t>
      </w:r>
      <w:r>
        <w:rPr>
          <w:rStyle w:val="normaltextrun"/>
          <w:rFonts w:ascii="Arial" w:hAnsi="Arial" w:cs="Arial"/>
          <w:color w:val="000000"/>
          <w:sz w:val="22"/>
          <w:szCs w:val="22"/>
          <w:shd w:val="clear" w:color="auto" w:fill="FFFFFF"/>
        </w:rPr>
        <w:t>.</w:t>
      </w:r>
    </w:p>
    <w:p w14:paraId="508E39FA" w14:textId="77777777" w:rsidR="009F4225" w:rsidRDefault="009F4225" w:rsidP="00A467AF">
      <w:pPr>
        <w:pStyle w:val="paragraph"/>
        <w:spacing w:before="0" w:beforeAutospacing="0" w:after="0" w:afterAutospacing="0" w:line="276" w:lineRule="auto"/>
        <w:ind w:firstLine="705"/>
        <w:jc w:val="both"/>
        <w:textAlignment w:val="baseline"/>
        <w:rPr>
          <w:rStyle w:val="normaltextrun"/>
          <w:rFonts w:ascii="Arial" w:hAnsi="Arial" w:cs="Arial"/>
          <w:sz w:val="22"/>
          <w:szCs w:val="22"/>
        </w:rPr>
      </w:pPr>
      <w:r w:rsidRPr="00C33007">
        <w:rPr>
          <w:rStyle w:val="normaltextrun"/>
          <w:rFonts w:ascii="Arial" w:hAnsi="Arial" w:cs="Arial"/>
          <w:sz w:val="22"/>
          <w:szCs w:val="22"/>
        </w:rPr>
        <w:t>Agradecemos de antemano sus comentarios realizados a los documentos tipo, para la Agencia es importante conocer cada una de sus observaciones en relación con la implementación de estos documentos tipo</w:t>
      </w:r>
      <w:r>
        <w:rPr>
          <w:rStyle w:val="normaltextrun"/>
          <w:rFonts w:ascii="Arial" w:hAnsi="Arial" w:cs="Arial"/>
          <w:sz w:val="22"/>
          <w:szCs w:val="22"/>
        </w:rPr>
        <w:t xml:space="preserve">. </w:t>
      </w:r>
    </w:p>
    <w:p w14:paraId="62DDBC1C" w14:textId="77777777" w:rsidR="00CC3C22" w:rsidRPr="008918A2" w:rsidRDefault="00CC3C22" w:rsidP="0074329C">
      <w:pPr>
        <w:ind w:right="709"/>
        <w:jc w:val="both"/>
        <w:rPr>
          <w:rFonts w:ascii="Arial" w:hAnsi="Arial" w:cs="Arial"/>
          <w:color w:val="000000" w:themeColor="text1"/>
          <w:sz w:val="21"/>
          <w:szCs w:val="21"/>
          <w:lang w:val="es-ES_tradnl"/>
        </w:rPr>
      </w:pPr>
    </w:p>
    <w:p w14:paraId="2DDB4266" w14:textId="77777777" w:rsidR="00B25703" w:rsidRPr="008918A2" w:rsidRDefault="00B25703" w:rsidP="00DF76A2">
      <w:pPr>
        <w:spacing w:line="276" w:lineRule="auto"/>
        <w:jc w:val="both"/>
        <w:rPr>
          <w:rFonts w:ascii="Arial" w:hAnsi="Arial" w:cs="Arial"/>
          <w:color w:val="000000" w:themeColor="text1"/>
          <w:sz w:val="22"/>
          <w:lang w:val="es-ES_tradnl"/>
        </w:rPr>
      </w:pPr>
    </w:p>
    <w:p w14:paraId="7B2C921D" w14:textId="6360A462" w:rsidR="00DD5B04" w:rsidRPr="008918A2" w:rsidRDefault="00DD5B04" w:rsidP="00DF76A2">
      <w:pPr>
        <w:spacing w:line="276" w:lineRule="auto"/>
        <w:jc w:val="both"/>
        <w:rPr>
          <w:rFonts w:ascii="Arial" w:hAnsi="Arial" w:cs="Arial"/>
          <w:color w:val="000000" w:themeColor="text1"/>
          <w:sz w:val="22"/>
          <w:lang w:val="es-ES_tradnl"/>
        </w:rPr>
      </w:pPr>
      <w:r w:rsidRPr="008918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18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18A2">
        <w:rPr>
          <w:rFonts w:ascii="Arial" w:hAnsi="Arial" w:cs="Arial"/>
          <w:color w:val="000000" w:themeColor="text1"/>
          <w:sz w:val="22"/>
          <w:szCs w:val="22"/>
          <w:lang w:val="es-ES_tradnl"/>
        </w:rPr>
        <w:t>Atentamente,</w:t>
      </w:r>
    </w:p>
    <w:p w14:paraId="692FC307" w14:textId="210AA6B5" w:rsidR="00921304" w:rsidRPr="008918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0E491C5" w:rsidR="00921304" w:rsidRPr="008918A2" w:rsidRDefault="759F56B3" w:rsidP="50A1ADDB">
      <w:pPr>
        <w:pStyle w:val="NormalWeb"/>
        <w:spacing w:before="0" w:beforeAutospacing="0" w:after="0" w:afterAutospacing="0" w:line="276" w:lineRule="auto"/>
        <w:jc w:val="center"/>
      </w:pPr>
      <w:r>
        <w:rPr>
          <w:noProof/>
        </w:rPr>
        <w:lastRenderedPageBreak/>
        <w:drawing>
          <wp:inline distT="0" distB="0" distL="0" distR="0" wp14:anchorId="7ACB2245" wp14:editId="771C1DD8">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8918A2" w:rsidRDefault="00425C43" w:rsidP="00B37657">
      <w:pPr>
        <w:jc w:val="center"/>
        <w:rPr>
          <w:rFonts w:ascii="Arial" w:hAnsi="Arial" w:cs="Arial"/>
          <w:color w:val="000000" w:themeColor="text1"/>
          <w:sz w:val="18"/>
          <w:szCs w:val="20"/>
          <w:lang w:val="es-ES_tradnl" w:eastAsia="es-CO"/>
        </w:rPr>
      </w:pPr>
    </w:p>
    <w:p w14:paraId="49730030" w14:textId="217D35F3" w:rsidR="00DD5B04" w:rsidRPr="008918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918A2" w14:paraId="0C7DC5F7" w14:textId="77777777" w:rsidTr="008F4163">
        <w:trPr>
          <w:trHeight w:val="315"/>
        </w:trPr>
        <w:tc>
          <w:tcPr>
            <w:tcW w:w="812" w:type="dxa"/>
            <w:vAlign w:val="center"/>
            <w:hideMark/>
          </w:tcPr>
          <w:p w14:paraId="5BDB1AC9"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C50CDAC" w:rsidR="00DD5B04" w:rsidRPr="008918A2" w:rsidRDefault="00DF5948"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w:t>
            </w:r>
          </w:p>
          <w:p w14:paraId="240C71FD" w14:textId="31312C95"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Contratista</w:t>
            </w:r>
            <w:r w:rsidR="00FF0050" w:rsidRPr="008918A2">
              <w:rPr>
                <w:rFonts w:ascii="Arial" w:hAnsi="Arial" w:cs="Arial"/>
                <w:color w:val="000000" w:themeColor="text1"/>
                <w:sz w:val="16"/>
                <w:szCs w:val="16"/>
                <w:lang w:val="es-ES_tradnl" w:eastAsia="es-ES"/>
              </w:rPr>
              <w:t xml:space="preserve"> de la </w:t>
            </w:r>
            <w:r w:rsidRPr="008918A2">
              <w:rPr>
                <w:rFonts w:ascii="Arial" w:hAnsi="Arial" w:cs="Arial"/>
                <w:color w:val="000000" w:themeColor="text1"/>
                <w:sz w:val="16"/>
                <w:szCs w:val="16"/>
                <w:lang w:val="es-ES_tradnl" w:eastAsia="es-ES"/>
              </w:rPr>
              <w:t>Subdirección de Gestión Contractual</w:t>
            </w:r>
          </w:p>
        </w:tc>
      </w:tr>
      <w:tr w:rsidR="00DD5B04" w:rsidRPr="008918A2" w14:paraId="2F8FD650" w14:textId="77777777" w:rsidTr="008F4163">
        <w:trPr>
          <w:trHeight w:val="330"/>
        </w:trPr>
        <w:tc>
          <w:tcPr>
            <w:tcW w:w="812" w:type="dxa"/>
            <w:vAlign w:val="center"/>
            <w:hideMark/>
          </w:tcPr>
          <w:p w14:paraId="50203A0B"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38E2A5B" w:rsidR="00C05A61" w:rsidRPr="008918A2" w:rsidRDefault="00B673E2"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Sebastián Ramírez Grisales</w:t>
            </w:r>
          </w:p>
          <w:p w14:paraId="130B3228" w14:textId="3BDD24A8" w:rsidR="00DD5B04" w:rsidRPr="008918A2" w:rsidRDefault="00EF5CA8" w:rsidP="00C05A61">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Gestor T-1 Grado 15</w:t>
            </w:r>
            <w:r w:rsidR="00236963">
              <w:rPr>
                <w:rFonts w:ascii="Arial" w:hAnsi="Arial" w:cs="Arial"/>
                <w:color w:val="000000" w:themeColor="text1"/>
                <w:sz w:val="16"/>
                <w:szCs w:val="16"/>
                <w:lang w:val="es-ES_tradnl" w:eastAsia="es-ES"/>
              </w:rPr>
              <w:t xml:space="preserve"> </w:t>
            </w:r>
            <w:r w:rsidR="00236963" w:rsidRPr="008918A2">
              <w:rPr>
                <w:rFonts w:ascii="Arial" w:hAnsi="Arial" w:cs="Arial"/>
                <w:color w:val="000000" w:themeColor="text1"/>
                <w:sz w:val="16"/>
                <w:szCs w:val="16"/>
                <w:lang w:val="es-ES_tradnl" w:eastAsia="es-ES"/>
              </w:rPr>
              <w:t>Subdirección de Gestión Contractual</w:t>
            </w:r>
          </w:p>
        </w:tc>
      </w:tr>
      <w:tr w:rsidR="00DD5B04" w:rsidRPr="008918A2" w14:paraId="0FCBCA4A" w14:textId="77777777" w:rsidTr="008F4163">
        <w:trPr>
          <w:trHeight w:val="300"/>
        </w:trPr>
        <w:tc>
          <w:tcPr>
            <w:tcW w:w="812" w:type="dxa"/>
            <w:vAlign w:val="center"/>
            <w:hideMark/>
          </w:tcPr>
          <w:p w14:paraId="3C1D943A" w14:textId="77777777"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918A2" w:rsidRDefault="00C05A61"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 xml:space="preserve">Jorge </w:t>
            </w:r>
            <w:r w:rsidR="00647A36" w:rsidRPr="008918A2">
              <w:rPr>
                <w:rFonts w:ascii="Arial" w:hAnsi="Arial" w:cs="Arial"/>
                <w:color w:val="000000" w:themeColor="text1"/>
                <w:sz w:val="16"/>
                <w:szCs w:val="16"/>
                <w:lang w:val="es-ES_tradnl" w:eastAsia="es-ES"/>
              </w:rPr>
              <w:t xml:space="preserve">Augusto </w:t>
            </w:r>
            <w:r w:rsidRPr="008918A2">
              <w:rPr>
                <w:rFonts w:ascii="Arial" w:hAnsi="Arial" w:cs="Arial"/>
                <w:color w:val="000000" w:themeColor="text1"/>
                <w:sz w:val="16"/>
                <w:szCs w:val="16"/>
                <w:lang w:val="es-ES_tradnl" w:eastAsia="es-ES"/>
              </w:rPr>
              <w:t>Tirado Navarro</w:t>
            </w:r>
          </w:p>
          <w:p w14:paraId="1ADC483B" w14:textId="77CBA2AF" w:rsidR="00DD5B04" w:rsidRPr="008918A2" w:rsidRDefault="00DD5B04" w:rsidP="00DF76A2">
            <w:pPr>
              <w:jc w:val="both"/>
              <w:rPr>
                <w:rFonts w:ascii="Arial" w:hAnsi="Arial" w:cs="Arial"/>
                <w:color w:val="000000" w:themeColor="text1"/>
                <w:sz w:val="16"/>
                <w:szCs w:val="16"/>
                <w:lang w:val="es-ES_tradnl" w:eastAsia="es-ES"/>
              </w:rPr>
            </w:pPr>
            <w:r w:rsidRPr="008918A2">
              <w:rPr>
                <w:rFonts w:ascii="Arial" w:hAnsi="Arial" w:cs="Arial"/>
                <w:color w:val="000000" w:themeColor="text1"/>
                <w:sz w:val="16"/>
                <w:szCs w:val="16"/>
                <w:lang w:val="es-ES_tradnl" w:eastAsia="es-ES"/>
              </w:rPr>
              <w:t>Subdirector de Gestión Contractual</w:t>
            </w:r>
          </w:p>
        </w:tc>
      </w:tr>
    </w:tbl>
    <w:p w14:paraId="35B56F46" w14:textId="77777777" w:rsidR="00746E08" w:rsidRPr="008918A2" w:rsidRDefault="00746E08" w:rsidP="00215B8E">
      <w:pPr>
        <w:jc w:val="both"/>
        <w:rPr>
          <w:rFonts w:ascii="Arial" w:hAnsi="Arial" w:cs="Arial"/>
          <w:lang w:val="es-ES_tradnl"/>
        </w:rPr>
      </w:pPr>
    </w:p>
    <w:sectPr w:rsidR="00746E08" w:rsidRPr="008918A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0E6" w16cex:dateUtc="2021-06-28T21:01:00Z"/>
  <w16cex:commentExtensible w16cex:durableId="248470FF" w16cex:dateUtc="2021-06-28T21:02:00Z"/>
  <w16cex:commentExtensible w16cex:durableId="248023F7" w16cex:dateUtc="2021-06-25T14:44:00Z"/>
  <w16cex:commentExtensible w16cex:durableId="248024D8" w16cex:dateUtc="2021-06-25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3C105" w16cid:durableId="248470E6"/>
  <w16cid:commentId w16cid:paraId="3BC5F037" w16cid:durableId="248470FF"/>
  <w16cid:commentId w16cid:paraId="4B1DC39E" w16cid:durableId="248023F7"/>
  <w16cid:commentId w16cid:paraId="17752846" w16cid:durableId="248024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409A1" w14:textId="77777777" w:rsidR="002073F4" w:rsidRDefault="002073F4">
      <w:r>
        <w:separator/>
      </w:r>
    </w:p>
  </w:endnote>
  <w:endnote w:type="continuationSeparator" w:id="0">
    <w:p w14:paraId="333D6107" w14:textId="77777777" w:rsidR="002073F4" w:rsidRDefault="002073F4">
      <w:r>
        <w:continuationSeparator/>
      </w:r>
    </w:p>
  </w:endnote>
  <w:endnote w:type="continuationNotice" w:id="1">
    <w:p w14:paraId="69EC3A57" w14:textId="77777777" w:rsidR="002073F4" w:rsidRDefault="0020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B32B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B32B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s-CO" w:eastAsia="es-CO"/>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4760" w14:textId="77777777" w:rsidR="002073F4" w:rsidRDefault="002073F4">
      <w:r>
        <w:separator/>
      </w:r>
    </w:p>
  </w:footnote>
  <w:footnote w:type="continuationSeparator" w:id="0">
    <w:p w14:paraId="1934E517" w14:textId="77777777" w:rsidR="002073F4" w:rsidRDefault="002073F4">
      <w:r>
        <w:continuationSeparator/>
      </w:r>
    </w:p>
  </w:footnote>
  <w:footnote w:type="continuationNotice" w:id="1">
    <w:p w14:paraId="093AAE61" w14:textId="77777777" w:rsidR="002073F4" w:rsidRDefault="002073F4"/>
  </w:footnote>
  <w:footnote w:id="2">
    <w:p w14:paraId="146E3BFB" w14:textId="77777777"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3FFDA6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
  </w:footnote>
  <w:footnote w:id="3">
    <w:p w14:paraId="696AB9E5" w14:textId="6CCF38F9"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w:t>
      </w:r>
      <w:r w:rsidRPr="00A467AF">
        <w:rPr>
          <w:rFonts w:ascii="Arial" w:hAnsi="Arial" w:cs="Arial"/>
          <w:color w:val="000000" w:themeColor="text1"/>
          <w:sz w:val="19"/>
          <w:szCs w:val="19"/>
          <w:lang w:val="es-CO"/>
        </w:rPr>
        <w:t>Ley 1882 de 2018: «Artículo 4.</w:t>
      </w:r>
      <w:r w:rsidR="00661118" w:rsidRPr="00A467AF">
        <w:rPr>
          <w:rFonts w:ascii="Arial" w:hAnsi="Arial" w:cs="Arial"/>
          <w:color w:val="000000" w:themeColor="text1"/>
          <w:sz w:val="19"/>
          <w:szCs w:val="19"/>
          <w:lang w:val="es-CO"/>
        </w:rPr>
        <w:t xml:space="preserve"> </w:t>
      </w:r>
      <w:r w:rsidRPr="00A467AF">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r w:rsidRPr="00A467AF">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159EDA4B"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r w:rsidRPr="00A467AF">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0A291D6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
  </w:footnote>
  <w:footnote w:id="4">
    <w:p w14:paraId="6659CE0F" w14:textId="77777777"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467AF" w:rsidRDefault="00B67CED" w:rsidP="00582F10">
      <w:pPr>
        <w:pStyle w:val="Textonotapie"/>
        <w:ind w:firstLine="709"/>
        <w:jc w:val="both"/>
        <w:rPr>
          <w:rFonts w:ascii="Arial" w:hAnsi="Arial" w:cs="Arial"/>
          <w:color w:val="000000" w:themeColor="text1"/>
          <w:sz w:val="19"/>
          <w:szCs w:val="19"/>
        </w:rPr>
      </w:pPr>
    </w:p>
  </w:footnote>
  <w:footnote w:id="5">
    <w:p w14:paraId="5DFAB857" w14:textId="7BC66198" w:rsidR="007F119B" w:rsidRPr="00A467AF" w:rsidRDefault="007F119B" w:rsidP="00A467AF">
      <w:pPr>
        <w:pStyle w:val="Textonotapie"/>
        <w:ind w:firstLine="708"/>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«ARTÍCULO 1o. Modifíquese el artículo 4o de la Ley 1882 de 2018, el cual quedará así:</w:t>
      </w:r>
    </w:p>
    <w:p w14:paraId="77EC8A72" w14:textId="049AEC4C"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»Artículo 4o. Adiciónese el siguiente parágrafo al artículo 2o de la Ley 1150 de 2007.</w:t>
      </w:r>
    </w:p>
    <w:p w14:paraId="28E22727" w14:textId="4667DEA0"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E0D2503" w14:textId="19D470C0"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3515E35" w14:textId="05F63A50"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50C2E48" w14:textId="5227CA41"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B73AA68" w14:textId="66F6C7F6" w:rsidR="007F119B" w:rsidRPr="00A467AF" w:rsidRDefault="007F119B" w:rsidP="00A467AF">
      <w:pPr>
        <w:pStyle w:val="Textonotapie"/>
        <w:ind w:firstLine="708"/>
        <w:jc w:val="both"/>
        <w:rPr>
          <w:rFonts w:ascii="Arial" w:hAnsi="Arial" w:cs="Arial"/>
          <w:color w:val="000000" w:themeColor="text1"/>
          <w:sz w:val="19"/>
          <w:szCs w:val="19"/>
          <w:lang w:val="es-CO"/>
        </w:rPr>
      </w:pPr>
      <w:r w:rsidRPr="00A467AF">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C97DC67" w14:textId="5AF6AA57" w:rsidR="00A776D0" w:rsidRPr="00A467AF" w:rsidRDefault="00A776D0" w:rsidP="00F87829">
      <w:pPr>
        <w:pStyle w:val="Textonotapie"/>
        <w:ind w:firstLine="709"/>
        <w:jc w:val="both"/>
        <w:rPr>
          <w:rFonts w:ascii="Arial" w:hAnsi="Arial" w:cs="Arial"/>
          <w:color w:val="000000" w:themeColor="text1"/>
          <w:sz w:val="19"/>
          <w:szCs w:val="19"/>
          <w:lang w:val="es-ES"/>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w:t>
      </w:r>
      <w:r w:rsidRPr="00A467AF">
        <w:rPr>
          <w:rFonts w:ascii="Arial" w:hAnsi="Arial" w:cs="Arial"/>
          <w:color w:val="000000" w:themeColor="text1"/>
          <w:sz w:val="19"/>
          <w:szCs w:val="19"/>
          <w:lang w:val="es-ES"/>
        </w:rPr>
        <w:t>En cuanto a las resoluciones vigentes, dicha regla se observa</w:t>
      </w:r>
      <w:r w:rsidR="00747EC7" w:rsidRPr="00A467AF">
        <w:rPr>
          <w:rFonts w:ascii="Arial" w:hAnsi="Arial" w:cs="Arial"/>
          <w:color w:val="000000" w:themeColor="text1"/>
          <w:sz w:val="19"/>
          <w:szCs w:val="19"/>
          <w:lang w:val="es-ES"/>
        </w:rPr>
        <w:t xml:space="preserve"> en el artículo 3</w:t>
      </w:r>
      <w:r w:rsidR="0089338A" w:rsidRPr="00A467AF">
        <w:rPr>
          <w:rFonts w:ascii="Arial" w:hAnsi="Arial" w:cs="Arial"/>
          <w:color w:val="000000" w:themeColor="text1"/>
          <w:sz w:val="19"/>
          <w:szCs w:val="19"/>
          <w:lang w:val="es-ES"/>
        </w:rPr>
        <w:t xml:space="preserve"> de</w:t>
      </w:r>
      <w:r w:rsidR="00B85E29" w:rsidRPr="00A467AF">
        <w:rPr>
          <w:rFonts w:ascii="Arial" w:hAnsi="Arial" w:cs="Arial"/>
          <w:color w:val="000000" w:themeColor="text1"/>
          <w:sz w:val="19"/>
          <w:szCs w:val="19"/>
          <w:lang w:val="es-ES"/>
        </w:rPr>
        <w:t xml:space="preserve"> la</w:t>
      </w:r>
      <w:r w:rsidR="0089338A" w:rsidRPr="00A467AF">
        <w:rPr>
          <w:rFonts w:ascii="Arial" w:hAnsi="Arial" w:cs="Arial"/>
          <w:color w:val="000000" w:themeColor="text1"/>
          <w:sz w:val="19"/>
          <w:szCs w:val="19"/>
          <w:lang w:val="es-ES"/>
        </w:rPr>
        <w:t>s</w:t>
      </w:r>
      <w:r w:rsidR="00B85E29" w:rsidRPr="00A467AF">
        <w:rPr>
          <w:rFonts w:ascii="Arial" w:hAnsi="Arial" w:cs="Arial"/>
          <w:color w:val="000000" w:themeColor="text1"/>
          <w:sz w:val="19"/>
          <w:szCs w:val="19"/>
          <w:lang w:val="es-ES"/>
        </w:rPr>
        <w:t xml:space="preserve"> </w:t>
      </w:r>
      <w:r w:rsidR="0089338A" w:rsidRPr="00A467AF">
        <w:rPr>
          <w:rFonts w:ascii="Arial" w:hAnsi="Arial" w:cs="Arial"/>
          <w:color w:val="000000" w:themeColor="text1"/>
          <w:sz w:val="19"/>
          <w:szCs w:val="19"/>
          <w:lang w:val="es-ES"/>
        </w:rPr>
        <w:t>Resoluciones</w:t>
      </w:r>
      <w:r w:rsidR="00B85E29" w:rsidRPr="00A467AF">
        <w:rPr>
          <w:rFonts w:ascii="Arial" w:hAnsi="Arial" w:cs="Arial"/>
          <w:color w:val="000000" w:themeColor="text1"/>
          <w:sz w:val="19"/>
          <w:szCs w:val="19"/>
          <w:lang w:val="es-ES"/>
        </w:rPr>
        <w:t xml:space="preserve"> 240</w:t>
      </w:r>
      <w:r w:rsidR="0086264E" w:rsidRPr="00A467AF">
        <w:rPr>
          <w:rFonts w:ascii="Arial" w:hAnsi="Arial" w:cs="Arial"/>
          <w:color w:val="000000" w:themeColor="text1"/>
          <w:sz w:val="19"/>
          <w:szCs w:val="19"/>
          <w:lang w:val="es-ES"/>
        </w:rPr>
        <w:t xml:space="preserve">, </w:t>
      </w:r>
      <w:r w:rsidR="0089338A" w:rsidRPr="00A467AF">
        <w:rPr>
          <w:rFonts w:ascii="Arial" w:hAnsi="Arial" w:cs="Arial"/>
          <w:color w:val="000000" w:themeColor="text1"/>
          <w:sz w:val="19"/>
          <w:szCs w:val="19"/>
          <w:lang w:val="es-ES"/>
        </w:rPr>
        <w:t>241</w:t>
      </w:r>
      <w:r w:rsidR="006E3A8B" w:rsidRPr="00A467AF">
        <w:rPr>
          <w:rFonts w:ascii="Arial" w:hAnsi="Arial" w:cs="Arial"/>
          <w:color w:val="000000" w:themeColor="text1"/>
          <w:sz w:val="19"/>
          <w:szCs w:val="19"/>
          <w:lang w:val="es-ES"/>
        </w:rPr>
        <w:t>, 248</w:t>
      </w:r>
      <w:r w:rsidR="00FA2357" w:rsidRPr="00A467AF">
        <w:rPr>
          <w:rFonts w:ascii="Arial" w:hAnsi="Arial" w:cs="Arial"/>
          <w:color w:val="000000" w:themeColor="text1"/>
          <w:sz w:val="19"/>
          <w:szCs w:val="19"/>
          <w:lang w:val="es-ES"/>
        </w:rPr>
        <w:t>, 249</w:t>
      </w:r>
      <w:r w:rsidR="00CD0AE0" w:rsidRPr="00A467AF">
        <w:rPr>
          <w:rFonts w:ascii="Arial" w:hAnsi="Arial" w:cs="Arial"/>
          <w:color w:val="000000" w:themeColor="text1"/>
          <w:sz w:val="19"/>
          <w:szCs w:val="19"/>
          <w:lang w:val="es-ES"/>
        </w:rPr>
        <w:t xml:space="preserve">, </w:t>
      </w:r>
      <w:r w:rsidR="0086264E" w:rsidRPr="00A467AF">
        <w:rPr>
          <w:rFonts w:ascii="Arial" w:hAnsi="Arial" w:cs="Arial"/>
          <w:color w:val="000000" w:themeColor="text1"/>
          <w:sz w:val="19"/>
          <w:szCs w:val="19"/>
          <w:lang w:val="es-ES"/>
        </w:rPr>
        <w:t>256</w:t>
      </w:r>
      <w:r w:rsidR="00CD0AE0" w:rsidRPr="00A467AF">
        <w:rPr>
          <w:rFonts w:ascii="Arial" w:hAnsi="Arial" w:cs="Arial"/>
          <w:color w:val="000000" w:themeColor="text1"/>
          <w:sz w:val="19"/>
          <w:szCs w:val="19"/>
          <w:lang w:val="es-ES"/>
        </w:rPr>
        <w:t xml:space="preserve"> y 269</w:t>
      </w:r>
      <w:r w:rsidR="00406000" w:rsidRPr="00A467AF">
        <w:rPr>
          <w:rFonts w:ascii="Arial" w:hAnsi="Arial" w:cs="Arial"/>
          <w:color w:val="000000" w:themeColor="text1"/>
          <w:sz w:val="19"/>
          <w:szCs w:val="19"/>
          <w:lang w:val="es-ES"/>
        </w:rPr>
        <w:t xml:space="preserve"> de 2020, </w:t>
      </w:r>
      <w:r w:rsidR="00CD0AE0" w:rsidRPr="00A467AF">
        <w:rPr>
          <w:rFonts w:ascii="Arial" w:hAnsi="Arial" w:cs="Arial"/>
          <w:color w:val="000000" w:themeColor="text1"/>
          <w:sz w:val="19"/>
          <w:szCs w:val="19"/>
          <w:lang w:val="es-ES"/>
        </w:rPr>
        <w:t xml:space="preserve">así como </w:t>
      </w:r>
      <w:r w:rsidR="00406000" w:rsidRPr="00A467AF">
        <w:rPr>
          <w:rFonts w:ascii="Arial" w:hAnsi="Arial" w:cs="Arial"/>
          <w:color w:val="000000" w:themeColor="text1"/>
          <w:sz w:val="19"/>
          <w:szCs w:val="19"/>
          <w:lang w:val="es-ES"/>
        </w:rPr>
        <w:t xml:space="preserve">en el artículo 2 de la Resolución </w:t>
      </w:r>
      <w:r w:rsidR="00753A21" w:rsidRPr="00A467AF">
        <w:rPr>
          <w:rFonts w:ascii="Arial" w:hAnsi="Arial" w:cs="Arial"/>
          <w:color w:val="000000" w:themeColor="text1"/>
          <w:sz w:val="19"/>
          <w:szCs w:val="19"/>
          <w:lang w:val="es-ES"/>
        </w:rPr>
        <w:t>094 de 2020</w:t>
      </w:r>
      <w:r w:rsidR="00CD0AE0" w:rsidRPr="00A467AF">
        <w:rPr>
          <w:rFonts w:ascii="Arial" w:hAnsi="Arial" w:cs="Arial"/>
          <w:color w:val="000000" w:themeColor="text1"/>
          <w:sz w:val="19"/>
          <w:szCs w:val="19"/>
          <w:lang w:val="es-ES"/>
        </w:rPr>
        <w:t>.</w:t>
      </w:r>
    </w:p>
  </w:footnote>
  <w:footnote w:id="7">
    <w:p w14:paraId="3B66675E" w14:textId="0411EE35"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w:t>
      </w:r>
      <w:bookmarkStart w:id="6" w:name="43"/>
      <w:r>
        <w:rPr>
          <w:rFonts w:ascii="Arial" w:hAnsi="Arial" w:cs="Arial"/>
          <w:color w:val="000000" w:themeColor="text1"/>
          <w:sz w:val="19"/>
          <w:szCs w:val="19"/>
        </w:rPr>
        <w:t>«</w:t>
      </w:r>
      <w:r w:rsidRPr="00A467AF">
        <w:rPr>
          <w:rFonts w:ascii="Arial" w:hAnsi="Arial" w:cs="Arial"/>
          <w:color w:val="000000" w:themeColor="text1"/>
          <w:sz w:val="19"/>
          <w:szCs w:val="19"/>
        </w:rPr>
        <w:t>ARTÍCULO 43. INHABILIDAD POR INCUMPLIMIENTO REITERADO.</w:t>
      </w:r>
      <w:bookmarkEnd w:id="6"/>
      <w:r w:rsidRPr="00A467AF">
        <w:rPr>
          <w:rFonts w:ascii="Arial" w:hAnsi="Arial" w:cs="Arial"/>
          <w:color w:val="000000" w:themeColor="text1"/>
          <w:sz w:val="19"/>
          <w:szCs w:val="19"/>
        </w:rPr>
        <w:t> Modifíquese el artículo </w:t>
      </w:r>
      <w:hyperlink r:id="rId1" w:anchor="90" w:history="1">
        <w:r w:rsidRPr="00A467AF">
          <w:rPr>
            <w:rStyle w:val="Hipervnculo"/>
            <w:rFonts w:ascii="Arial" w:hAnsi="Arial" w:cs="Arial"/>
            <w:color w:val="000000" w:themeColor="text1"/>
            <w:sz w:val="19"/>
            <w:szCs w:val="19"/>
            <w:u w:val="none"/>
          </w:rPr>
          <w:t>90</w:t>
        </w:r>
      </w:hyperlink>
      <w:r w:rsidRPr="00A467AF">
        <w:rPr>
          <w:rFonts w:ascii="Arial" w:hAnsi="Arial" w:cs="Arial"/>
          <w:color w:val="000000" w:themeColor="text1"/>
          <w:sz w:val="19"/>
          <w:szCs w:val="19"/>
        </w:rPr>
        <w:t> de la Ley 1474 de 2011, el cual quedará así:</w:t>
      </w:r>
    </w:p>
    <w:p w14:paraId="629852E5" w14:textId="33367760"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A467AF">
        <w:rPr>
          <w:rFonts w:ascii="Arial" w:hAnsi="Arial" w:cs="Arial"/>
          <w:color w:val="000000" w:themeColor="text1"/>
          <w:sz w:val="19"/>
          <w:szCs w:val="19"/>
        </w:rPr>
        <w:t>Artículo </w:t>
      </w:r>
      <w:hyperlink r:id="rId2" w:anchor="90" w:history="1">
        <w:r w:rsidRPr="00A467AF">
          <w:rPr>
            <w:rStyle w:val="Hipervnculo"/>
            <w:rFonts w:ascii="Arial" w:hAnsi="Arial" w:cs="Arial"/>
            <w:color w:val="000000" w:themeColor="text1"/>
            <w:sz w:val="19"/>
            <w:szCs w:val="19"/>
            <w:u w:val="none"/>
          </w:rPr>
          <w:t>90</w:t>
        </w:r>
      </w:hyperlink>
      <w:r w:rsidRPr="00A467AF">
        <w:rPr>
          <w:rFonts w:ascii="Arial" w:hAnsi="Arial" w:cs="Arial"/>
          <w:color w:val="000000" w:themeColor="text1"/>
          <w:sz w:val="19"/>
          <w:szCs w:val="19"/>
        </w:rPr>
        <w:t>. Inhabilidad por incumplimiento reiterado. Quedará inhabilitado el contratista que incurra en alguna de las siguientes conductas:</w:t>
      </w:r>
    </w:p>
    <w:p w14:paraId="08B0FB8E" w14:textId="4B8E6A74"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A467AF">
        <w:rPr>
          <w:rFonts w:ascii="Arial" w:hAnsi="Arial" w:cs="Arial"/>
          <w:color w:val="000000" w:themeColor="text1"/>
          <w:sz w:val="19"/>
          <w:szCs w:val="19"/>
        </w:rPr>
        <w:t>a) Haber sido objeto de imposición de cinco (5) o más multas durante la ejecución de uno o varios contratos, con una o varias entidades estatales, durante los últimos tres (3) años;</w:t>
      </w:r>
    </w:p>
    <w:p w14:paraId="08AF1A55" w14:textId="3196B00B"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A467AF">
        <w:rPr>
          <w:rFonts w:ascii="Arial" w:hAnsi="Arial" w:cs="Arial"/>
          <w:color w:val="000000" w:themeColor="text1"/>
          <w:sz w:val="19"/>
          <w:szCs w:val="19"/>
        </w:rPr>
        <w:t>b) Haber sido objeto de declaratorias de incumplimiento contractual en por lo menos dos (2) contratos, con una o varias entidades estatales, durante los últimos tres (3) años;</w:t>
      </w:r>
    </w:p>
    <w:p w14:paraId="4091D4A5" w14:textId="7CEC6FE8"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A467AF">
        <w:rPr>
          <w:rFonts w:ascii="Arial" w:hAnsi="Arial" w:cs="Arial"/>
          <w:color w:val="000000" w:themeColor="text1"/>
          <w:sz w:val="19"/>
          <w:szCs w:val="19"/>
        </w:rPr>
        <w:t>c) Haber sido objeto de imposición de dos (2) multas y un (1) incumplimiento durante una misma vigencia fiscal, con una o varias entidades estatales.</w:t>
      </w:r>
    </w:p>
    <w:p w14:paraId="35978666" w14:textId="158E164A"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A467AF">
        <w:rPr>
          <w:rFonts w:ascii="Arial" w:hAnsi="Arial" w:cs="Arial"/>
          <w:color w:val="000000" w:themeColor="text1"/>
          <w:sz w:val="19"/>
          <w:szCs w:val="19"/>
        </w:rPr>
        <w:t>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w:t>
      </w:r>
    </w:p>
    <w:p w14:paraId="35B9B451" w14:textId="36DBCADB" w:rsidR="00582F10" w:rsidRPr="00A467AF" w:rsidRDefault="00582F10" w:rsidP="00A467AF">
      <w:pPr>
        <w:pStyle w:val="NormalWeb"/>
        <w:spacing w:before="0" w:beforeAutospacing="0" w:after="0" w:afterAutospacing="0"/>
        <w:ind w:firstLine="708"/>
        <w:jc w:val="both"/>
        <w:rPr>
          <w:rFonts w:ascii="Arial" w:hAnsi="Arial" w:cs="Arial"/>
          <w:color w:val="000000" w:themeColor="text1"/>
          <w:sz w:val="19"/>
          <w:szCs w:val="19"/>
        </w:rPr>
      </w:pPr>
      <w:r>
        <w:rPr>
          <w:rStyle w:val="baj"/>
          <w:rFonts w:ascii="Arial" w:hAnsi="Arial" w:cs="Arial"/>
          <w:color w:val="000000" w:themeColor="text1"/>
          <w:sz w:val="19"/>
          <w:szCs w:val="19"/>
        </w:rPr>
        <w:t>»</w:t>
      </w:r>
      <w:r w:rsidRPr="00A467AF">
        <w:rPr>
          <w:rStyle w:val="baj"/>
          <w:rFonts w:ascii="Arial" w:hAnsi="Arial" w:cs="Arial"/>
          <w:color w:val="000000" w:themeColor="text1"/>
          <w:sz w:val="19"/>
          <w:szCs w:val="19"/>
        </w:rPr>
        <w:t>PARÁGRAFO.</w:t>
      </w:r>
      <w:r w:rsidRPr="00A467AF">
        <w:rPr>
          <w:rFonts w:ascii="Arial" w:hAnsi="Arial" w:cs="Arial"/>
          <w:color w:val="000000" w:themeColor="text1"/>
          <w:sz w:val="19"/>
          <w:szCs w:val="19"/>
        </w:rPr>
        <w:t> La inhabilidad a que se refiere el presente artículo se extenderá a los socios de sociedades de personas a las cuales se haya declarado esta inhabilidad, así como a las sociedades de personas de las que aquellos formen parte con posterioridad a dicha declaratoria</w:t>
      </w:r>
      <w:r>
        <w:rPr>
          <w:rFonts w:ascii="Arial" w:hAnsi="Arial" w:cs="Arial"/>
          <w:color w:val="000000" w:themeColor="text1"/>
          <w:sz w:val="19"/>
          <w:szCs w:val="19"/>
        </w:rPr>
        <w:t>»</w:t>
      </w:r>
      <w:r w:rsidRPr="00A467AF">
        <w:rPr>
          <w:rFonts w:ascii="Arial" w:hAnsi="Arial" w:cs="Arial"/>
          <w:color w:val="000000" w:themeColor="text1"/>
          <w:sz w:val="19"/>
          <w:szCs w:val="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8ACE7A4E"/>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5D7CBC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46626D64">
      <w:start w:val="1"/>
      <w:numFmt w:val="bullet"/>
      <w:lvlText w:val=""/>
      <w:lvlJc w:val="left"/>
      <w:pPr>
        <w:tabs>
          <w:tab w:val="num" w:pos="720"/>
        </w:tabs>
        <w:ind w:left="720" w:hanging="360"/>
      </w:pPr>
      <w:rPr>
        <w:rFonts w:ascii="Symbol" w:hAnsi="Symbol" w:hint="default"/>
        <w:sz w:val="20"/>
      </w:rPr>
    </w:lvl>
    <w:lvl w:ilvl="1" w:tplc="07B28582" w:tentative="1">
      <w:start w:val="1"/>
      <w:numFmt w:val="bullet"/>
      <w:lvlText w:val="o"/>
      <w:lvlJc w:val="left"/>
      <w:pPr>
        <w:tabs>
          <w:tab w:val="num" w:pos="1440"/>
        </w:tabs>
        <w:ind w:left="1440" w:hanging="360"/>
      </w:pPr>
      <w:rPr>
        <w:rFonts w:ascii="Courier New" w:hAnsi="Courier New" w:hint="default"/>
        <w:sz w:val="20"/>
      </w:rPr>
    </w:lvl>
    <w:lvl w:ilvl="2" w:tplc="4F1C3EA0" w:tentative="1">
      <w:start w:val="1"/>
      <w:numFmt w:val="bullet"/>
      <w:lvlText w:val=""/>
      <w:lvlJc w:val="left"/>
      <w:pPr>
        <w:tabs>
          <w:tab w:val="num" w:pos="2160"/>
        </w:tabs>
        <w:ind w:left="2160" w:hanging="360"/>
      </w:pPr>
      <w:rPr>
        <w:rFonts w:ascii="Wingdings" w:hAnsi="Wingdings" w:hint="default"/>
        <w:sz w:val="20"/>
      </w:rPr>
    </w:lvl>
    <w:lvl w:ilvl="3" w:tplc="EEA6198A" w:tentative="1">
      <w:start w:val="1"/>
      <w:numFmt w:val="bullet"/>
      <w:lvlText w:val=""/>
      <w:lvlJc w:val="left"/>
      <w:pPr>
        <w:tabs>
          <w:tab w:val="num" w:pos="2880"/>
        </w:tabs>
        <w:ind w:left="2880" w:hanging="360"/>
      </w:pPr>
      <w:rPr>
        <w:rFonts w:ascii="Wingdings" w:hAnsi="Wingdings" w:hint="default"/>
        <w:sz w:val="20"/>
      </w:rPr>
    </w:lvl>
    <w:lvl w:ilvl="4" w:tplc="49C46C74" w:tentative="1">
      <w:start w:val="1"/>
      <w:numFmt w:val="bullet"/>
      <w:lvlText w:val=""/>
      <w:lvlJc w:val="left"/>
      <w:pPr>
        <w:tabs>
          <w:tab w:val="num" w:pos="3600"/>
        </w:tabs>
        <w:ind w:left="3600" w:hanging="360"/>
      </w:pPr>
      <w:rPr>
        <w:rFonts w:ascii="Wingdings" w:hAnsi="Wingdings" w:hint="default"/>
        <w:sz w:val="20"/>
      </w:rPr>
    </w:lvl>
    <w:lvl w:ilvl="5" w:tplc="0A56EF84" w:tentative="1">
      <w:start w:val="1"/>
      <w:numFmt w:val="bullet"/>
      <w:lvlText w:val=""/>
      <w:lvlJc w:val="left"/>
      <w:pPr>
        <w:tabs>
          <w:tab w:val="num" w:pos="4320"/>
        </w:tabs>
        <w:ind w:left="4320" w:hanging="360"/>
      </w:pPr>
      <w:rPr>
        <w:rFonts w:ascii="Wingdings" w:hAnsi="Wingdings" w:hint="default"/>
        <w:sz w:val="20"/>
      </w:rPr>
    </w:lvl>
    <w:lvl w:ilvl="6" w:tplc="62A01834" w:tentative="1">
      <w:start w:val="1"/>
      <w:numFmt w:val="bullet"/>
      <w:lvlText w:val=""/>
      <w:lvlJc w:val="left"/>
      <w:pPr>
        <w:tabs>
          <w:tab w:val="num" w:pos="5040"/>
        </w:tabs>
        <w:ind w:left="5040" w:hanging="360"/>
      </w:pPr>
      <w:rPr>
        <w:rFonts w:ascii="Wingdings" w:hAnsi="Wingdings" w:hint="default"/>
        <w:sz w:val="20"/>
      </w:rPr>
    </w:lvl>
    <w:lvl w:ilvl="7" w:tplc="D6C60282" w:tentative="1">
      <w:start w:val="1"/>
      <w:numFmt w:val="bullet"/>
      <w:lvlText w:val=""/>
      <w:lvlJc w:val="left"/>
      <w:pPr>
        <w:tabs>
          <w:tab w:val="num" w:pos="5760"/>
        </w:tabs>
        <w:ind w:left="5760" w:hanging="360"/>
      </w:pPr>
      <w:rPr>
        <w:rFonts w:ascii="Wingdings" w:hAnsi="Wingdings" w:hint="default"/>
        <w:sz w:val="20"/>
      </w:rPr>
    </w:lvl>
    <w:lvl w:ilvl="8" w:tplc="6D827BA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9A041E74"/>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B5D6598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1D6C"/>
    <w:rsid w:val="0003236E"/>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0A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F61"/>
    <w:rsid w:val="001111BD"/>
    <w:rsid w:val="0011165A"/>
    <w:rsid w:val="00111B2B"/>
    <w:rsid w:val="00112161"/>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2E39"/>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6CD1"/>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BA2"/>
    <w:rsid w:val="001B5EF8"/>
    <w:rsid w:val="001B6C54"/>
    <w:rsid w:val="001B71E8"/>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4DB"/>
    <w:rsid w:val="0020054E"/>
    <w:rsid w:val="00201508"/>
    <w:rsid w:val="00201AC4"/>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073F4"/>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382"/>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676C2"/>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9B6"/>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6F9D"/>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3348"/>
    <w:rsid w:val="00363439"/>
    <w:rsid w:val="00363857"/>
    <w:rsid w:val="00363D59"/>
    <w:rsid w:val="003640F7"/>
    <w:rsid w:val="0036594A"/>
    <w:rsid w:val="00365D3A"/>
    <w:rsid w:val="003664FF"/>
    <w:rsid w:val="00366BD2"/>
    <w:rsid w:val="003670B8"/>
    <w:rsid w:val="003704A3"/>
    <w:rsid w:val="003706F2"/>
    <w:rsid w:val="0037091B"/>
    <w:rsid w:val="00370968"/>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0BF"/>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7FE"/>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31F"/>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260C"/>
    <w:rsid w:val="0043269A"/>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BC3"/>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623"/>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1ABC"/>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0E36"/>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10"/>
    <w:rsid w:val="00582FA6"/>
    <w:rsid w:val="005836D5"/>
    <w:rsid w:val="0058375E"/>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418"/>
    <w:rsid w:val="005A7885"/>
    <w:rsid w:val="005B054C"/>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2F0"/>
    <w:rsid w:val="00650E89"/>
    <w:rsid w:val="00651B9C"/>
    <w:rsid w:val="00651C47"/>
    <w:rsid w:val="00652E70"/>
    <w:rsid w:val="0065339A"/>
    <w:rsid w:val="00653469"/>
    <w:rsid w:val="0065443A"/>
    <w:rsid w:val="00654A38"/>
    <w:rsid w:val="00655301"/>
    <w:rsid w:val="00655371"/>
    <w:rsid w:val="00655507"/>
    <w:rsid w:val="00655A7B"/>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1D0B"/>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29C"/>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4CF"/>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19B"/>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1F4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B40"/>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661C8"/>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45"/>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D21"/>
    <w:rsid w:val="009B6E85"/>
    <w:rsid w:val="009B78ED"/>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170"/>
    <w:rsid w:val="009F4225"/>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67AF"/>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1DC3"/>
    <w:rsid w:val="00AB2216"/>
    <w:rsid w:val="00AB358D"/>
    <w:rsid w:val="00AB37A1"/>
    <w:rsid w:val="00AB3BAD"/>
    <w:rsid w:val="00AB3CFD"/>
    <w:rsid w:val="00AB49BC"/>
    <w:rsid w:val="00AB4DEE"/>
    <w:rsid w:val="00AB4E32"/>
    <w:rsid w:val="00AB544D"/>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5899"/>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294"/>
    <w:rsid w:val="00C46599"/>
    <w:rsid w:val="00C47472"/>
    <w:rsid w:val="00C4759F"/>
    <w:rsid w:val="00C500F0"/>
    <w:rsid w:val="00C504A7"/>
    <w:rsid w:val="00C506C9"/>
    <w:rsid w:val="00C50A16"/>
    <w:rsid w:val="00C51C9A"/>
    <w:rsid w:val="00C51DE0"/>
    <w:rsid w:val="00C52C68"/>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21"/>
    <w:rsid w:val="00D17951"/>
    <w:rsid w:val="00D17AD8"/>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680"/>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C3"/>
    <w:rsid w:val="00DA01E9"/>
    <w:rsid w:val="00DA06B8"/>
    <w:rsid w:val="00DA14A9"/>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8B"/>
    <w:rsid w:val="00DF1733"/>
    <w:rsid w:val="00DF193C"/>
    <w:rsid w:val="00DF1E36"/>
    <w:rsid w:val="00DF236B"/>
    <w:rsid w:val="00DF2A91"/>
    <w:rsid w:val="00DF3889"/>
    <w:rsid w:val="00DF3CC9"/>
    <w:rsid w:val="00DF4451"/>
    <w:rsid w:val="00DF49FF"/>
    <w:rsid w:val="00DF4FFB"/>
    <w:rsid w:val="00DF5236"/>
    <w:rsid w:val="00DF5948"/>
    <w:rsid w:val="00DF6232"/>
    <w:rsid w:val="00DF651F"/>
    <w:rsid w:val="00DF6F43"/>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9B5"/>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6E6"/>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644"/>
    <w:rsid w:val="00F247F6"/>
    <w:rsid w:val="00F252E7"/>
    <w:rsid w:val="00F25947"/>
    <w:rsid w:val="00F262D6"/>
    <w:rsid w:val="00F2674A"/>
    <w:rsid w:val="00F26CCF"/>
    <w:rsid w:val="00F26F33"/>
    <w:rsid w:val="00F273D5"/>
    <w:rsid w:val="00F2748A"/>
    <w:rsid w:val="00F300A8"/>
    <w:rsid w:val="00F300B5"/>
    <w:rsid w:val="00F302C6"/>
    <w:rsid w:val="00F30400"/>
    <w:rsid w:val="00F3079E"/>
    <w:rsid w:val="00F30FFD"/>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386"/>
    <w:rsid w:val="00F624A7"/>
    <w:rsid w:val="00F62AB6"/>
    <w:rsid w:val="00F62BDF"/>
    <w:rsid w:val="00F65A3C"/>
    <w:rsid w:val="00F66009"/>
    <w:rsid w:val="00F66282"/>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829"/>
    <w:rsid w:val="00F87C13"/>
    <w:rsid w:val="00F87C5A"/>
    <w:rsid w:val="00F87E29"/>
    <w:rsid w:val="00F87F18"/>
    <w:rsid w:val="00F87F68"/>
    <w:rsid w:val="00F90C4D"/>
    <w:rsid w:val="00F90C56"/>
    <w:rsid w:val="00F90ED0"/>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2B8"/>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AD"/>
    <w:rsid w:val="00FE4E06"/>
    <w:rsid w:val="00FE55A7"/>
    <w:rsid w:val="00FE5C5A"/>
    <w:rsid w:val="00FE6432"/>
    <w:rsid w:val="00FE72A0"/>
    <w:rsid w:val="00FF0050"/>
    <w:rsid w:val="00FF045F"/>
    <w:rsid w:val="00FF13D4"/>
    <w:rsid w:val="00FF2053"/>
    <w:rsid w:val="00FF3B37"/>
    <w:rsid w:val="00FF3CC7"/>
    <w:rsid w:val="00FF3D6F"/>
    <w:rsid w:val="00FF479F"/>
    <w:rsid w:val="00FF4BD8"/>
    <w:rsid w:val="00FF4D11"/>
    <w:rsid w:val="00FF5214"/>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4C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078783">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474_2011_pr001.html" TargetMode="External"/><Relationship Id="rId1" Type="http://schemas.openxmlformats.org/officeDocument/2006/relationships/hyperlink" Target="http://www.secretariasenado.gov.co/senado/basedoc/ley_1474_2011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CE82-782C-46FE-9683-6FDFEE6CFB36}"/>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0937E44-70A5-4121-A828-C8ADE665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13</Pages>
  <Words>4579</Words>
  <Characters>25189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3</cp:revision>
  <cp:lastPrinted>2021-01-20T13:01:00Z</cp:lastPrinted>
  <dcterms:created xsi:type="dcterms:W3CDTF">2021-08-02T18:34:00Z</dcterms:created>
  <dcterms:modified xsi:type="dcterms:W3CDTF">2021-08-02T18:37:00Z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