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E4C3" w14:textId="072A9CE0" w:rsidR="00DA4E96" w:rsidRDefault="00214878" w:rsidP="002106C7">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14:paraId="311C8AAF" w14:textId="77777777" w:rsidR="00004AC0" w:rsidRDefault="00004AC0" w:rsidP="004B5A38">
      <w:pPr>
        <w:rPr>
          <w:rFonts w:ascii="Arial" w:hAnsi="Arial" w:cs="Arial"/>
          <w:b/>
          <w:sz w:val="22"/>
          <w:lang w:eastAsia="es-ES"/>
        </w:rPr>
      </w:pPr>
    </w:p>
    <w:p w14:paraId="1C002A39" w14:textId="52F10F24" w:rsidR="004B5A38" w:rsidRPr="00FC281D" w:rsidRDefault="00210BA1" w:rsidP="004B5A38">
      <w:pPr>
        <w:rPr>
          <w:rFonts w:ascii="Arial" w:eastAsia="Calibri" w:hAnsi="Arial" w:cs="Arial"/>
          <w:b/>
          <w:color w:val="000000"/>
          <w:sz w:val="22"/>
          <w:lang w:val="es-ES_tradnl"/>
        </w:rPr>
      </w:pPr>
      <w:r w:rsidRPr="00FC281D">
        <w:rPr>
          <w:rFonts w:ascii="Arial" w:hAnsi="Arial" w:cs="Arial"/>
          <w:b/>
          <w:sz w:val="22"/>
          <w:lang w:eastAsia="es-ES"/>
        </w:rPr>
        <w:t>CAPACIDAD RESIDUAL –</w:t>
      </w:r>
      <w:r w:rsidR="004B5A38" w:rsidRPr="00FC281D">
        <w:rPr>
          <w:rFonts w:ascii="Arial" w:hAnsi="Arial" w:cs="Arial"/>
          <w:b/>
          <w:sz w:val="22"/>
          <w:lang w:eastAsia="es-ES"/>
        </w:rPr>
        <w:t xml:space="preserve"> </w:t>
      </w:r>
      <w:r w:rsidR="00F2161F">
        <w:rPr>
          <w:rFonts w:ascii="Arial" w:eastAsia="Calibri" w:hAnsi="Arial" w:cs="Arial"/>
          <w:b/>
          <w:color w:val="000000"/>
          <w:sz w:val="22"/>
          <w:lang w:val="es-ES_tradnl"/>
        </w:rPr>
        <w:t>Concepto – R</w:t>
      </w:r>
      <w:r w:rsidRPr="00FC281D">
        <w:rPr>
          <w:rFonts w:ascii="Arial" w:eastAsia="Calibri" w:hAnsi="Arial" w:cs="Arial"/>
          <w:b/>
          <w:color w:val="000000"/>
          <w:sz w:val="22"/>
          <w:lang w:val="es-ES_tradnl"/>
        </w:rPr>
        <w:t>égimen jurídico aplicable</w:t>
      </w:r>
    </w:p>
    <w:p w14:paraId="76B156FB" w14:textId="77777777" w:rsidR="00FC281D" w:rsidRPr="00FC281D" w:rsidRDefault="00FC281D" w:rsidP="004B5A38">
      <w:pPr>
        <w:rPr>
          <w:rFonts w:ascii="Arial" w:hAnsi="Arial" w:cs="Arial"/>
          <w:b/>
          <w:sz w:val="22"/>
          <w:lang w:eastAsia="es-ES"/>
        </w:rPr>
      </w:pPr>
    </w:p>
    <w:p w14:paraId="4FF3A548" w14:textId="799C1E63" w:rsidR="00605BB2" w:rsidRPr="00605BB2" w:rsidRDefault="00605BB2" w:rsidP="00605BB2">
      <w:pPr>
        <w:spacing w:after="120"/>
        <w:jc w:val="both"/>
        <w:rPr>
          <w:rFonts w:ascii="Arial" w:eastAsia="Arial" w:hAnsi="Arial" w:cs="Arial"/>
          <w:sz w:val="20"/>
          <w:szCs w:val="20"/>
          <w:lang w:val="es-CO" w:eastAsia="es-ES" w:bidi="es-ES"/>
        </w:rPr>
      </w:pPr>
      <w:r w:rsidRPr="00605BB2">
        <w:rPr>
          <w:rFonts w:ascii="Arial" w:hAnsi="Arial" w:cs="Arial"/>
          <w:sz w:val="20"/>
          <w:szCs w:val="20"/>
        </w:rPr>
        <w:t>De acuerdo con el artículo 2.2.1.1.1.3.1. del Decreto 1082 de 2015, la capacidad residual o K de Contratación es la «Aptitud de un oferente para cumplir oportuna y cabalmente con el objeto de un contrato de obra, sin que sus otros compromisos contractuales afecten su habilidad de cumplir con el contrato que está en proceso de selección». Por su parte, el Consejo de Estado ha definido la capacidad residual como «[…] la diferencia que existe entre el potencial de contratación que se tiene y los compromisos que haya adquirido y que se encuentren en ejecución, para la fecha de presentación de la oferta».</w:t>
      </w:r>
      <w:r w:rsidRPr="00605BB2">
        <w:rPr>
          <w:rFonts w:ascii="Arial" w:eastAsia="Arial" w:hAnsi="Arial" w:cs="Arial"/>
          <w:sz w:val="20"/>
          <w:szCs w:val="20"/>
          <w:lang w:val="es-CO" w:eastAsia="es-ES" w:bidi="es-ES"/>
        </w:rPr>
        <w:t xml:space="preserve"> Con base en estas consideraciones,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w:t>
      </w:r>
      <w:r w:rsidRPr="00605BB2">
        <w:rPr>
          <w:rFonts w:ascii="Arial" w:hAnsi="Arial" w:cs="Arial"/>
          <w:sz w:val="20"/>
          <w:szCs w:val="20"/>
        </w:rPr>
        <w:t>simultáneamente</w:t>
      </w:r>
      <w:r w:rsidRPr="00605BB2">
        <w:rPr>
          <w:rFonts w:ascii="Arial" w:eastAsia="Arial" w:hAnsi="Arial" w:cs="Arial"/>
          <w:sz w:val="20"/>
          <w:szCs w:val="20"/>
          <w:lang w:val="es-CO" w:eastAsia="es-ES" w:bidi="es-ES"/>
        </w:rPr>
        <w:t>.</w:t>
      </w:r>
    </w:p>
    <w:p w14:paraId="5200A411" w14:textId="77777777" w:rsidR="00B76CEF" w:rsidRPr="00FC281D" w:rsidRDefault="00B76CEF" w:rsidP="00FC281D">
      <w:pPr>
        <w:jc w:val="both"/>
        <w:rPr>
          <w:rFonts w:ascii="Arial" w:hAnsi="Arial" w:cs="Arial"/>
          <w:b/>
          <w:sz w:val="20"/>
          <w:szCs w:val="20"/>
          <w:highlight w:val="red"/>
          <w:lang w:val="es-CO" w:eastAsia="es-ES"/>
        </w:rPr>
      </w:pPr>
    </w:p>
    <w:p w14:paraId="5556BE32" w14:textId="07ACDD98" w:rsidR="00AB3864" w:rsidRDefault="00B76CEF" w:rsidP="00CF68ED">
      <w:pPr>
        <w:spacing w:line="276" w:lineRule="auto"/>
        <w:jc w:val="both"/>
        <w:rPr>
          <w:rFonts w:ascii="Arial" w:hAnsi="Arial" w:cs="Arial"/>
          <w:b/>
          <w:sz w:val="22"/>
          <w:lang w:eastAsia="es-ES"/>
        </w:rPr>
      </w:pPr>
      <w:r w:rsidRPr="00FC281D">
        <w:rPr>
          <w:rFonts w:ascii="Arial" w:hAnsi="Arial" w:cs="Arial"/>
          <w:b/>
          <w:sz w:val="22"/>
          <w:lang w:eastAsia="es-ES"/>
        </w:rPr>
        <w:t>C</w:t>
      </w:r>
      <w:r w:rsidR="00FC281D" w:rsidRPr="00FC281D">
        <w:rPr>
          <w:rFonts w:ascii="Arial" w:hAnsi="Arial" w:cs="Arial"/>
          <w:b/>
          <w:sz w:val="22"/>
          <w:lang w:eastAsia="es-ES"/>
        </w:rPr>
        <w:t>APACIDAD RESIDUAL</w:t>
      </w:r>
      <w:r w:rsidRPr="00FC281D">
        <w:rPr>
          <w:rFonts w:ascii="Arial" w:hAnsi="Arial" w:cs="Arial"/>
          <w:b/>
          <w:sz w:val="22"/>
          <w:lang w:eastAsia="es-ES"/>
        </w:rPr>
        <w:t xml:space="preserve"> </w:t>
      </w:r>
      <w:r w:rsidR="004B5A38" w:rsidRPr="00FC281D">
        <w:rPr>
          <w:rFonts w:ascii="Arial" w:hAnsi="Arial" w:cs="Arial"/>
          <w:b/>
          <w:sz w:val="22"/>
          <w:lang w:eastAsia="es-ES"/>
        </w:rPr>
        <w:t>–</w:t>
      </w:r>
      <w:r w:rsidR="00F2161F">
        <w:rPr>
          <w:rFonts w:ascii="Arial" w:hAnsi="Arial" w:cs="Arial"/>
          <w:b/>
          <w:sz w:val="22"/>
          <w:lang w:eastAsia="es-ES"/>
        </w:rPr>
        <w:t xml:space="preserve"> O</w:t>
      </w:r>
      <w:r w:rsidR="00FC281D" w:rsidRPr="00FC281D">
        <w:rPr>
          <w:rFonts w:ascii="Arial" w:hAnsi="Arial" w:cs="Arial"/>
          <w:b/>
          <w:sz w:val="22"/>
          <w:lang w:eastAsia="es-ES"/>
        </w:rPr>
        <w:t>bra de infraestructura</w:t>
      </w:r>
      <w:r w:rsidR="00F2161F">
        <w:rPr>
          <w:rFonts w:ascii="Arial" w:hAnsi="Arial" w:cs="Arial"/>
          <w:b/>
          <w:sz w:val="22"/>
          <w:lang w:eastAsia="es-ES"/>
        </w:rPr>
        <w:t xml:space="preserve"> </w:t>
      </w:r>
      <w:r w:rsidR="00FC281D" w:rsidRPr="00FC281D">
        <w:rPr>
          <w:rFonts w:ascii="Arial" w:hAnsi="Arial" w:cs="Arial"/>
          <w:b/>
          <w:sz w:val="22"/>
          <w:lang w:eastAsia="es-ES"/>
        </w:rPr>
        <w:t xml:space="preserve"> d</w:t>
      </w:r>
      <w:r w:rsidR="003E2E1F">
        <w:rPr>
          <w:rFonts w:ascii="Arial" w:hAnsi="Arial" w:cs="Arial"/>
          <w:b/>
          <w:sz w:val="22"/>
          <w:lang w:eastAsia="es-ES"/>
        </w:rPr>
        <w:t xml:space="preserve">e transporte </w:t>
      </w:r>
      <w:r w:rsidR="00F2161F">
        <w:rPr>
          <w:rFonts w:ascii="Arial" w:hAnsi="Arial" w:cs="Arial"/>
          <w:b/>
          <w:sz w:val="22"/>
          <w:lang w:eastAsia="es-ES"/>
        </w:rPr>
        <w:t>– M</w:t>
      </w:r>
      <w:r w:rsidR="003E2E1F">
        <w:rPr>
          <w:rFonts w:ascii="Arial" w:hAnsi="Arial" w:cs="Arial"/>
          <w:b/>
          <w:sz w:val="22"/>
          <w:lang w:eastAsia="es-ES"/>
        </w:rPr>
        <w:t>ínima cuantía – F</w:t>
      </w:r>
      <w:r w:rsidR="00605BB2">
        <w:rPr>
          <w:rFonts w:ascii="Arial" w:hAnsi="Arial" w:cs="Arial"/>
          <w:b/>
          <w:sz w:val="22"/>
          <w:lang w:eastAsia="es-ES"/>
        </w:rPr>
        <w:t>orma</w:t>
      </w:r>
      <w:r w:rsidR="00F2161F">
        <w:rPr>
          <w:rFonts w:ascii="Arial" w:hAnsi="Arial" w:cs="Arial"/>
          <w:b/>
          <w:sz w:val="22"/>
          <w:lang w:eastAsia="es-ES"/>
        </w:rPr>
        <w:t xml:space="preserve"> de acreditación</w:t>
      </w:r>
    </w:p>
    <w:p w14:paraId="0AFE9D2D" w14:textId="67B2A1CC" w:rsidR="00605BB2" w:rsidRDefault="00605BB2" w:rsidP="00CF68ED">
      <w:pPr>
        <w:widowControl w:val="0"/>
        <w:autoSpaceDE w:val="0"/>
        <w:autoSpaceDN w:val="0"/>
        <w:spacing w:before="120" w:after="120"/>
        <w:jc w:val="both"/>
        <w:rPr>
          <w:rFonts w:ascii="Arial" w:hAnsi="Arial" w:cs="Arial"/>
          <w:color w:val="0D0D0D"/>
          <w:sz w:val="20"/>
          <w:szCs w:val="20"/>
          <w:bdr w:val="none" w:sz="0" w:space="0" w:color="auto" w:frame="1"/>
          <w:lang w:eastAsia="es-CO"/>
        </w:rPr>
      </w:pPr>
      <w:r>
        <w:rPr>
          <w:rFonts w:ascii="Arial" w:hAnsi="Arial" w:cs="Arial"/>
          <w:color w:val="0D0D0D"/>
          <w:sz w:val="20"/>
          <w:szCs w:val="20"/>
          <w:bdr w:val="none" w:sz="0" w:space="0" w:color="auto" w:frame="1"/>
          <w:lang w:eastAsia="es-CO"/>
        </w:rPr>
        <w:t xml:space="preserve">[…] </w:t>
      </w:r>
    </w:p>
    <w:p w14:paraId="5F344837" w14:textId="28C7907C" w:rsidR="003E2E1F" w:rsidRPr="00CF68ED" w:rsidRDefault="003E2E1F" w:rsidP="00F2161F">
      <w:pPr>
        <w:widowControl w:val="0"/>
        <w:autoSpaceDE w:val="0"/>
        <w:autoSpaceDN w:val="0"/>
        <w:jc w:val="both"/>
        <w:rPr>
          <w:rFonts w:ascii="Arial" w:hAnsi="Arial" w:cs="Arial"/>
          <w:color w:val="0D0D0D"/>
          <w:sz w:val="20"/>
          <w:szCs w:val="20"/>
          <w:bdr w:val="none" w:sz="0" w:space="0" w:color="auto" w:frame="1"/>
          <w:lang w:eastAsia="es-CO"/>
        </w:rPr>
      </w:pPr>
      <w:r w:rsidRPr="00CF68ED">
        <w:rPr>
          <w:rFonts w:ascii="Arial" w:hAnsi="Arial" w:cs="Arial"/>
          <w:color w:val="0D0D0D"/>
          <w:sz w:val="20"/>
          <w:szCs w:val="20"/>
          <w:bdr w:val="none" w:sz="0" w:space="0" w:color="auto" w:frame="1"/>
          <w:lang w:eastAsia="es-CO"/>
        </w:rPr>
        <w:t xml:space="preserve">Aunque documentos tipo implementados mediante la Resolución No. 094 del 21 de mayo de 2020 estandarizan el proceso de selección previsto para la mínima cuantía en el artículo 2, numeral 5, de la Ley 1150 de 2007, la norma del párrafo precedente condiciona su alcance, pues se subordinan a ella sin posibilidad de modificarla o derogarla. En efecto, el capítulo IV de la invitación regula los requisitos habilitantes y, en este contexto, los proponentes deben acreditar lo siguiente: i) capacidad jurídica, ii) existencia y representación legal, iii) certificación de pagos a la seguridad social y aportes legales, iv) experiencia, v) capacidad financiera y vi) capacidad residual. </w:t>
      </w:r>
    </w:p>
    <w:p w14:paraId="73C35399" w14:textId="5F2CE320" w:rsidR="003E2E1F" w:rsidRPr="00CF68ED" w:rsidRDefault="003E2E1F" w:rsidP="00F2161F">
      <w:pPr>
        <w:widowControl w:val="0"/>
        <w:autoSpaceDE w:val="0"/>
        <w:autoSpaceDN w:val="0"/>
        <w:jc w:val="both"/>
        <w:rPr>
          <w:rFonts w:ascii="Arial" w:hAnsi="Arial" w:cs="Arial"/>
          <w:color w:val="0D0D0D"/>
          <w:sz w:val="20"/>
          <w:szCs w:val="20"/>
          <w:bdr w:val="none" w:sz="0" w:space="0" w:color="auto" w:frame="1"/>
          <w:lang w:eastAsia="es-CO"/>
        </w:rPr>
      </w:pPr>
      <w:r w:rsidRPr="00CF68ED">
        <w:rPr>
          <w:rFonts w:ascii="Arial" w:hAnsi="Arial" w:cs="Arial"/>
          <w:color w:val="0D0D0D"/>
          <w:sz w:val="20"/>
          <w:szCs w:val="20"/>
          <w:bdr w:val="none" w:sz="0" w:space="0" w:color="auto" w:frame="1"/>
          <w:lang w:eastAsia="es-CO"/>
        </w:rPr>
        <w:t xml:space="preserve">Lo importante es </w:t>
      </w:r>
      <w:r w:rsidR="00CF68ED" w:rsidRPr="00CF68ED">
        <w:rPr>
          <w:rFonts w:ascii="Arial" w:hAnsi="Arial" w:cs="Arial"/>
          <w:color w:val="0D0D0D"/>
          <w:sz w:val="20"/>
          <w:szCs w:val="20"/>
          <w:bdr w:val="none" w:sz="0" w:space="0" w:color="auto" w:frame="1"/>
          <w:lang w:eastAsia="es-CO"/>
        </w:rPr>
        <w:t>que,</w:t>
      </w:r>
      <w:r w:rsidRPr="00CF68ED">
        <w:rPr>
          <w:rFonts w:ascii="Arial" w:hAnsi="Arial" w:cs="Arial"/>
          <w:color w:val="0D0D0D"/>
          <w:sz w:val="20"/>
          <w:szCs w:val="20"/>
          <w:bdr w:val="none" w:sz="0" w:space="0" w:color="auto" w:frame="1"/>
          <w:lang w:eastAsia="es-CO"/>
        </w:rPr>
        <w:t xml:space="preserve"> para efectos de su verificación, ninguno de los apartados del documento tipo exige el registro único de proponentes, situación acorde con el citado inciso 2 del artículo 6 de la Ley 1150 de 2007. Por ello, el apartado 4.7 de la invitación define la forma de acreditar la capacidad residual en los procesos de mínima cuantía para obras de infraestructura de transporte que deban regirse por los documentos tipo, requisitos que deben acatarse ya que –conforme al principio de inalterabilidad– estandariza la forma de verificar la capacidad residual como requisito habilitante. </w:t>
      </w:r>
    </w:p>
    <w:p w14:paraId="1F2F145E" w14:textId="77777777" w:rsidR="003E2E1F" w:rsidRPr="00656F2D" w:rsidRDefault="003E2E1F" w:rsidP="00656F2D">
      <w:pPr>
        <w:spacing w:line="276" w:lineRule="auto"/>
        <w:rPr>
          <w:rFonts w:ascii="Arial" w:hAnsi="Arial" w:cs="Arial"/>
          <w:b/>
          <w:sz w:val="22"/>
          <w:lang w:eastAsia="es-ES"/>
        </w:rPr>
      </w:pPr>
    </w:p>
    <w:p w14:paraId="02359631" w14:textId="3DCC050E" w:rsidR="00866AEB" w:rsidRPr="00000F9B" w:rsidRDefault="00866AEB" w:rsidP="00DF0F8E">
      <w:pPr>
        <w:pStyle w:val="Default"/>
        <w:spacing w:before="120" w:after="160" w:line="276" w:lineRule="auto"/>
        <w:rPr>
          <w:b/>
          <w:sz w:val="22"/>
          <w:szCs w:val="22"/>
          <w:lang w:val="es-ES"/>
        </w:rPr>
      </w:pPr>
    </w:p>
    <w:p w14:paraId="14E31D6B" w14:textId="61459748" w:rsidR="00866AEB" w:rsidRDefault="00866AEB" w:rsidP="00DF0F8E">
      <w:pPr>
        <w:pStyle w:val="Default"/>
        <w:spacing w:before="120" w:after="160" w:line="276" w:lineRule="auto"/>
        <w:rPr>
          <w:b/>
          <w:sz w:val="22"/>
          <w:szCs w:val="22"/>
        </w:rPr>
      </w:pPr>
    </w:p>
    <w:p w14:paraId="5401F32D" w14:textId="54369EE5" w:rsidR="00AE3C7C" w:rsidRDefault="00AE3C7C" w:rsidP="00DF0F8E">
      <w:pPr>
        <w:rPr>
          <w:rFonts w:ascii="Arial" w:hAnsi="Arial" w:cs="Arial"/>
          <w:b/>
          <w:color w:val="000000"/>
          <w:sz w:val="22"/>
          <w:lang w:val="es-CO"/>
        </w:rPr>
      </w:pPr>
    </w:p>
    <w:p w14:paraId="4E7A97B3" w14:textId="0BAD42C9" w:rsidR="005C275C" w:rsidRDefault="005C275C" w:rsidP="00DF0F8E">
      <w:pPr>
        <w:rPr>
          <w:rFonts w:ascii="Arial" w:hAnsi="Arial" w:cs="Arial"/>
          <w:b/>
          <w:bCs/>
          <w:sz w:val="22"/>
        </w:rPr>
      </w:pPr>
    </w:p>
    <w:p w14:paraId="10E7C874" w14:textId="7C2F431F" w:rsidR="005C275C" w:rsidRDefault="005C275C" w:rsidP="00DF0F8E">
      <w:pPr>
        <w:rPr>
          <w:rFonts w:ascii="Arial" w:hAnsi="Arial" w:cs="Arial"/>
          <w:b/>
          <w:bCs/>
          <w:sz w:val="22"/>
        </w:rPr>
      </w:pPr>
    </w:p>
    <w:p w14:paraId="3C2EF951" w14:textId="2AC32918" w:rsidR="005C275C" w:rsidRDefault="005C275C" w:rsidP="00DF0F8E">
      <w:pPr>
        <w:rPr>
          <w:rFonts w:ascii="Arial" w:hAnsi="Arial" w:cs="Arial"/>
          <w:b/>
          <w:bCs/>
          <w:sz w:val="22"/>
        </w:rPr>
      </w:pPr>
    </w:p>
    <w:p w14:paraId="1C0C5A1C" w14:textId="6F2C21EC" w:rsidR="00000F9B" w:rsidRDefault="00000F9B" w:rsidP="00DF0F8E">
      <w:pPr>
        <w:rPr>
          <w:rFonts w:ascii="Arial" w:hAnsi="Arial" w:cs="Arial"/>
          <w:b/>
          <w:bCs/>
          <w:sz w:val="22"/>
        </w:rPr>
      </w:pPr>
    </w:p>
    <w:p w14:paraId="0B1E4A28" w14:textId="0479A058" w:rsidR="00000F9B" w:rsidRDefault="00000F9B" w:rsidP="00DF0F8E">
      <w:pPr>
        <w:rPr>
          <w:rFonts w:ascii="Arial" w:hAnsi="Arial" w:cs="Arial"/>
          <w:b/>
          <w:bCs/>
          <w:sz w:val="22"/>
        </w:rPr>
      </w:pPr>
    </w:p>
    <w:p w14:paraId="4908FD26" w14:textId="77777777" w:rsidR="00000F9B" w:rsidRDefault="00000F9B" w:rsidP="00DF0F8E">
      <w:pPr>
        <w:rPr>
          <w:rFonts w:ascii="Arial" w:hAnsi="Arial" w:cs="Arial"/>
          <w:b/>
          <w:bCs/>
          <w:sz w:val="22"/>
        </w:rPr>
      </w:pPr>
    </w:p>
    <w:p w14:paraId="3AEC996E" w14:textId="77777777" w:rsidR="001437AF" w:rsidRPr="0014392D" w:rsidRDefault="001437AF" w:rsidP="00DF0F8E">
      <w:pPr>
        <w:rPr>
          <w:rFonts w:ascii="Arial" w:eastAsia="Calibri" w:hAnsi="Arial" w:cs="Arial"/>
          <w:sz w:val="22"/>
        </w:rPr>
      </w:pPr>
    </w:p>
    <w:p w14:paraId="2A01A892" w14:textId="0E73873F" w:rsidR="00000F9B" w:rsidRDefault="00000F9B" w:rsidP="00DF0F8E">
      <w:pPr>
        <w:rPr>
          <w:rFonts w:ascii="Arial" w:eastAsia="Calibri" w:hAnsi="Arial" w:cs="Arial"/>
          <w:sz w:val="22"/>
        </w:rPr>
      </w:pPr>
    </w:p>
    <w:p w14:paraId="01182DDE" w14:textId="77777777" w:rsidR="00FC281D" w:rsidRDefault="00FC281D" w:rsidP="00DF0F8E">
      <w:pPr>
        <w:rPr>
          <w:rFonts w:ascii="Arial" w:eastAsia="Calibri" w:hAnsi="Arial" w:cs="Arial"/>
          <w:sz w:val="22"/>
        </w:rPr>
      </w:pPr>
    </w:p>
    <w:p w14:paraId="4C3210BF" w14:textId="77777777" w:rsidR="00000F9B" w:rsidRDefault="00000F9B" w:rsidP="00DF0F8E">
      <w:pPr>
        <w:rPr>
          <w:rFonts w:ascii="Arial" w:eastAsia="Calibri" w:hAnsi="Arial" w:cs="Arial"/>
          <w:sz w:val="22"/>
        </w:rPr>
      </w:pPr>
    </w:p>
    <w:p w14:paraId="3ED42E4D" w14:textId="77777777" w:rsidR="00FC281D" w:rsidRDefault="00FC281D" w:rsidP="00DF0F8E">
      <w:pPr>
        <w:rPr>
          <w:rFonts w:ascii="Arial" w:eastAsia="Calibri" w:hAnsi="Arial" w:cs="Arial"/>
          <w:sz w:val="22"/>
        </w:rPr>
      </w:pPr>
    </w:p>
    <w:p w14:paraId="5338A17A" w14:textId="68DD4660" w:rsidR="00815610" w:rsidRDefault="00815610" w:rsidP="00815610">
      <w:pPr>
        <w:jc w:val="right"/>
        <w:rPr>
          <w:rFonts w:ascii="Arial" w:eastAsia="Calibri" w:hAnsi="Arial" w:cs="Arial"/>
          <w:sz w:val="22"/>
        </w:rPr>
      </w:pPr>
      <w:r w:rsidRPr="00815610">
        <w:rPr>
          <w:rFonts w:ascii="Arial" w:eastAsia="Calibri" w:hAnsi="Arial" w:cs="Arial"/>
          <w:noProof/>
          <w:sz w:val="22"/>
          <w:lang w:val="es-CO" w:eastAsia="es-CO"/>
        </w:rPr>
        <w:drawing>
          <wp:inline distT="0" distB="0" distL="0" distR="0" wp14:anchorId="2EB0BAF6" wp14:editId="61207B72">
            <wp:extent cx="306832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584" cy="841004"/>
                    </a:xfrm>
                    <a:prstGeom prst="rect">
                      <a:avLst/>
                    </a:prstGeom>
                    <a:noFill/>
                    <a:ln>
                      <a:noFill/>
                    </a:ln>
                  </pic:spPr>
                </pic:pic>
              </a:graphicData>
            </a:graphic>
          </wp:inline>
        </w:drawing>
      </w:r>
    </w:p>
    <w:p w14:paraId="0BE1D1AE" w14:textId="77777777" w:rsidR="00815610" w:rsidRDefault="00815610" w:rsidP="00815610">
      <w:pPr>
        <w:jc w:val="right"/>
        <w:rPr>
          <w:rFonts w:ascii="Arial" w:eastAsia="Calibri" w:hAnsi="Arial" w:cs="Arial"/>
          <w:sz w:val="22"/>
        </w:rPr>
      </w:pPr>
    </w:p>
    <w:p w14:paraId="1AD4B39F" w14:textId="77777777" w:rsidR="00815610" w:rsidRDefault="00815610" w:rsidP="00DF0F8E">
      <w:pPr>
        <w:rPr>
          <w:rFonts w:ascii="Arial" w:eastAsia="Calibri" w:hAnsi="Arial" w:cs="Arial"/>
          <w:sz w:val="22"/>
        </w:rPr>
      </w:pPr>
    </w:p>
    <w:p w14:paraId="032736E1" w14:textId="06BF122F" w:rsidR="00815610" w:rsidRDefault="00815610" w:rsidP="00DF0F8E">
      <w:pPr>
        <w:rPr>
          <w:rFonts w:ascii="Arial" w:eastAsia="Calibri" w:hAnsi="Arial" w:cs="Arial"/>
          <w:sz w:val="22"/>
        </w:rPr>
      </w:pPr>
      <w:r w:rsidRPr="00A97882">
        <w:rPr>
          <w:rFonts w:ascii="ArialMT" w:hAnsi="ArialMT" w:cs="ArialMT"/>
          <w:color w:val="4E4D4D"/>
          <w:sz w:val="22"/>
          <w:lang w:val="es-ES"/>
        </w:rPr>
        <w:t>Bogotá, 05 Agosto 2021</w:t>
      </w:r>
    </w:p>
    <w:p w14:paraId="2352BF83" w14:textId="77777777" w:rsidR="00815610" w:rsidRDefault="00815610" w:rsidP="00DF0F8E">
      <w:pPr>
        <w:rPr>
          <w:rFonts w:ascii="Arial" w:eastAsia="Calibri" w:hAnsi="Arial" w:cs="Arial"/>
          <w:sz w:val="22"/>
        </w:rPr>
      </w:pPr>
    </w:p>
    <w:p w14:paraId="1F3E67BB" w14:textId="2A62974A" w:rsidR="00AF1718" w:rsidRPr="009242C9" w:rsidRDefault="00AF1718" w:rsidP="00DF0F8E">
      <w:pPr>
        <w:rPr>
          <w:rFonts w:ascii="Arial" w:eastAsia="Calibri" w:hAnsi="Arial" w:cs="Arial"/>
          <w:sz w:val="22"/>
        </w:rPr>
      </w:pPr>
      <w:r w:rsidRPr="009242C9">
        <w:rPr>
          <w:rFonts w:ascii="Arial" w:eastAsia="Calibri" w:hAnsi="Arial" w:cs="Arial"/>
          <w:sz w:val="22"/>
        </w:rPr>
        <w:t>Señor</w:t>
      </w:r>
    </w:p>
    <w:p w14:paraId="479972ED" w14:textId="5D2A48C5" w:rsidR="00AF1718" w:rsidRPr="00B559B6" w:rsidRDefault="00BD2E1E" w:rsidP="00DF0F8E">
      <w:pPr>
        <w:rPr>
          <w:rFonts w:ascii="Arial" w:eastAsia="Calibri" w:hAnsi="Arial" w:cs="Arial"/>
          <w:sz w:val="22"/>
          <w:lang w:val="es-ES"/>
        </w:rPr>
      </w:pPr>
      <w:bookmarkStart w:id="4" w:name="_GoBack"/>
      <w:r w:rsidRPr="00B559B6">
        <w:rPr>
          <w:rFonts w:ascii="Arial" w:eastAsia="Calibri" w:hAnsi="Arial" w:cs="Arial"/>
          <w:sz w:val="22"/>
          <w:lang w:val="es-ES"/>
        </w:rPr>
        <w:t xml:space="preserve">Hagler Miller Mercado Rodríguez </w:t>
      </w:r>
      <w:r w:rsidR="00847CF9" w:rsidRPr="00B559B6">
        <w:rPr>
          <w:rFonts w:ascii="Arial" w:eastAsia="Calibri" w:hAnsi="Arial" w:cs="Arial"/>
          <w:sz w:val="22"/>
          <w:lang w:val="es-ES"/>
        </w:rPr>
        <w:t xml:space="preserve"> </w:t>
      </w:r>
    </w:p>
    <w:bookmarkEnd w:id="4"/>
    <w:p w14:paraId="050026FD" w14:textId="3FEE7533" w:rsidR="004D6F1F" w:rsidRPr="00EA6B99" w:rsidRDefault="00BD2E1E" w:rsidP="00DF0F8E">
      <w:pPr>
        <w:rPr>
          <w:rFonts w:ascii="Arial" w:eastAsia="Calibri" w:hAnsi="Arial" w:cs="Arial"/>
          <w:bCs/>
          <w:sz w:val="22"/>
          <w:lang w:val="es-ES"/>
        </w:rPr>
      </w:pPr>
      <w:r w:rsidRPr="00EA6B99">
        <w:rPr>
          <w:rFonts w:ascii="Arial" w:eastAsia="Calibri" w:hAnsi="Arial" w:cs="Arial"/>
          <w:bCs/>
          <w:sz w:val="22"/>
          <w:lang w:val="es-ES"/>
        </w:rPr>
        <w:t>Santa Luc</w:t>
      </w:r>
      <w:r w:rsidR="00576385" w:rsidRPr="00EA6B99">
        <w:rPr>
          <w:rFonts w:ascii="Arial" w:eastAsia="Calibri" w:hAnsi="Arial" w:cs="Arial"/>
          <w:bCs/>
          <w:sz w:val="22"/>
          <w:lang w:val="es-ES"/>
        </w:rPr>
        <w:t>í</w:t>
      </w:r>
      <w:r w:rsidRPr="00EA6B99">
        <w:rPr>
          <w:rFonts w:ascii="Arial" w:eastAsia="Calibri" w:hAnsi="Arial" w:cs="Arial"/>
          <w:bCs/>
          <w:sz w:val="22"/>
          <w:lang w:val="es-ES"/>
        </w:rPr>
        <w:t xml:space="preserve">a, Atlántico.  </w:t>
      </w:r>
      <w:r w:rsidR="00866AEB" w:rsidRPr="00EA6B99">
        <w:rPr>
          <w:rFonts w:ascii="Arial" w:eastAsia="Calibri" w:hAnsi="Arial" w:cs="Arial"/>
          <w:bCs/>
          <w:sz w:val="22"/>
          <w:lang w:val="es-ES"/>
        </w:rPr>
        <w:t xml:space="preserve"> </w:t>
      </w:r>
    </w:p>
    <w:p w14:paraId="481407A1" w14:textId="77777777" w:rsidR="00FA0A16" w:rsidRPr="009242C9" w:rsidRDefault="00FA0A16" w:rsidP="00DF0F8E">
      <w:pPr>
        <w:rPr>
          <w:rFonts w:ascii="Arial" w:eastAsia="Calibri" w:hAnsi="Arial" w:cs="Arial"/>
          <w:b/>
          <w:sz w:val="22"/>
          <w:lang w:val="es-ES"/>
        </w:rPr>
      </w:pPr>
    </w:p>
    <w:p w14:paraId="25167302" w14:textId="77777777" w:rsidR="00A60A14" w:rsidRPr="00D25BEF" w:rsidRDefault="00A60A14" w:rsidP="00DF0F8E">
      <w:pPr>
        <w:rPr>
          <w:rFonts w:ascii="Arial" w:eastAsia="Calibri" w:hAnsi="Arial" w:cs="Arial"/>
          <w:sz w:val="22"/>
          <w:highlight w:val="magenta"/>
        </w:rPr>
      </w:pPr>
    </w:p>
    <w:p w14:paraId="64DAC2D7" w14:textId="639D249C" w:rsidR="00AF1718" w:rsidRDefault="00847CF9" w:rsidP="00DF0F8E">
      <w:pPr>
        <w:ind w:left="2124" w:firstLine="570"/>
        <w:rPr>
          <w:rFonts w:ascii="Arial" w:eastAsia="Calibri" w:hAnsi="Arial" w:cs="Arial"/>
          <w:b/>
          <w:sz w:val="22"/>
        </w:rPr>
      </w:pPr>
      <w:r>
        <w:rPr>
          <w:rFonts w:ascii="Arial" w:eastAsia="Calibri" w:hAnsi="Arial" w:cs="Arial"/>
          <w:b/>
          <w:sz w:val="22"/>
        </w:rPr>
        <w:t>Concepto C</w:t>
      </w:r>
      <w:r w:rsidR="00FA0A16">
        <w:rPr>
          <w:rFonts w:ascii="Arial" w:eastAsia="Calibri" w:hAnsi="Arial" w:cs="Arial"/>
          <w:b/>
          <w:sz w:val="22"/>
        </w:rPr>
        <w:t xml:space="preserve"> –</w:t>
      </w:r>
      <w:r w:rsidR="00BD2E1E">
        <w:rPr>
          <w:rFonts w:ascii="Arial" w:eastAsia="Calibri" w:hAnsi="Arial" w:cs="Arial"/>
          <w:b/>
          <w:sz w:val="22"/>
        </w:rPr>
        <w:t xml:space="preserve"> 392</w:t>
      </w:r>
      <w:r w:rsidR="00AF1718" w:rsidRPr="009242C9">
        <w:rPr>
          <w:rFonts w:ascii="Arial" w:eastAsia="Calibri" w:hAnsi="Arial" w:cs="Arial"/>
          <w:b/>
          <w:sz w:val="22"/>
        </w:rPr>
        <w:t xml:space="preserve"> de 2021</w:t>
      </w:r>
    </w:p>
    <w:p w14:paraId="37719CA8" w14:textId="77777777" w:rsidR="00AF1718" w:rsidRPr="00D25BEF" w:rsidRDefault="00AF1718" w:rsidP="00DF0F8E">
      <w:pPr>
        <w:rPr>
          <w:rFonts w:ascii="Arial" w:eastAsia="Calibri" w:hAnsi="Arial" w:cs="Arial"/>
          <w:sz w:val="22"/>
          <w:highlight w:val="magenta"/>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D25BEF" w14:paraId="00B1888F" w14:textId="77777777" w:rsidTr="00A60A14">
        <w:tc>
          <w:tcPr>
            <w:tcW w:w="2689" w:type="dxa"/>
            <w:hideMark/>
          </w:tcPr>
          <w:p w14:paraId="1C9397C0" w14:textId="5CD0567D" w:rsidR="00AF1718" w:rsidRPr="009242C9" w:rsidRDefault="00AF1718" w:rsidP="00DF0F8E">
            <w:pPr>
              <w:rPr>
                <w:rFonts w:ascii="Arial" w:eastAsia="Calibri" w:hAnsi="Arial" w:cs="Arial"/>
                <w:sz w:val="22"/>
              </w:rPr>
            </w:pPr>
            <w:r w:rsidRPr="009242C9">
              <w:rPr>
                <w:rFonts w:ascii="Arial" w:eastAsia="Calibri" w:hAnsi="Arial" w:cs="Arial"/>
                <w:b/>
                <w:sz w:val="22"/>
              </w:rPr>
              <w:t>Temas:</w:t>
            </w:r>
            <w:r w:rsidRPr="009242C9">
              <w:rPr>
                <w:rFonts w:ascii="Arial" w:eastAsia="Calibri" w:hAnsi="Arial" w:cs="Arial"/>
                <w:sz w:val="22"/>
              </w:rPr>
              <w:t xml:space="preserve">  </w:t>
            </w:r>
          </w:p>
          <w:p w14:paraId="6531557F" w14:textId="3F92F245" w:rsidR="00AF1718" w:rsidRPr="00D25BEF" w:rsidRDefault="00AF1718" w:rsidP="00DF0F8E">
            <w:pPr>
              <w:rPr>
                <w:rFonts w:ascii="Arial" w:eastAsia="Calibri" w:hAnsi="Arial" w:cs="Arial"/>
                <w:sz w:val="22"/>
                <w:highlight w:val="magenta"/>
              </w:rPr>
            </w:pPr>
            <w:r w:rsidRPr="00D25BEF">
              <w:rPr>
                <w:rFonts w:ascii="Arial" w:eastAsia="Calibri" w:hAnsi="Arial" w:cs="Arial"/>
                <w:sz w:val="22"/>
                <w:highlight w:val="magenta"/>
              </w:rPr>
              <w:t xml:space="preserve"> </w:t>
            </w:r>
          </w:p>
        </w:tc>
        <w:tc>
          <w:tcPr>
            <w:tcW w:w="6237" w:type="dxa"/>
            <w:hideMark/>
          </w:tcPr>
          <w:p w14:paraId="101F79C1" w14:textId="60A559B2" w:rsidR="00004AC0" w:rsidRPr="00B559B6" w:rsidRDefault="00FC281D" w:rsidP="00EA6B99">
            <w:pPr>
              <w:spacing w:after="120" w:line="276" w:lineRule="auto"/>
              <w:jc w:val="both"/>
              <w:rPr>
                <w:lang w:val="es-ES"/>
              </w:rPr>
            </w:pPr>
            <w:r w:rsidRPr="00FC281D">
              <w:rPr>
                <w:rFonts w:ascii="Arial" w:hAnsi="Arial" w:cs="Arial"/>
                <w:sz w:val="22"/>
                <w:lang w:eastAsia="es-ES"/>
              </w:rPr>
              <w:t xml:space="preserve">CAPACIDAD RESIDUAL – </w:t>
            </w:r>
            <w:r w:rsidRPr="00FC281D">
              <w:rPr>
                <w:rFonts w:ascii="Arial" w:eastAsia="Calibri" w:hAnsi="Arial" w:cs="Arial"/>
                <w:color w:val="000000"/>
                <w:sz w:val="22"/>
                <w:lang w:val="es-ES_tradnl"/>
              </w:rPr>
              <w:t xml:space="preserve">Concepto y régimen jurídico aplicable / </w:t>
            </w:r>
            <w:r w:rsidRPr="00FC281D">
              <w:rPr>
                <w:rFonts w:ascii="Arial" w:hAnsi="Arial" w:cs="Arial"/>
                <w:sz w:val="22"/>
                <w:lang w:eastAsia="es-ES"/>
              </w:rPr>
              <w:t>CAPACIDAD RESIDUAL – procesos de obra de infraestructura de transporte de mínima cuantía</w:t>
            </w:r>
            <w:r w:rsidR="00B559B6">
              <w:rPr>
                <w:rFonts w:ascii="Arial" w:hAnsi="Arial" w:cs="Arial"/>
                <w:sz w:val="22"/>
                <w:lang w:eastAsia="es-ES"/>
              </w:rPr>
              <w:t xml:space="preserve"> </w:t>
            </w:r>
            <w:r w:rsidR="00B559B6" w:rsidRPr="00B559B6">
              <w:rPr>
                <w:rFonts w:ascii="Arial" w:hAnsi="Arial" w:cs="Arial"/>
                <w:sz w:val="22"/>
                <w:lang w:eastAsia="es-ES"/>
              </w:rPr>
              <w:t xml:space="preserve">– Forma de acreditación. </w:t>
            </w:r>
            <w:r w:rsidRPr="00B559B6">
              <w:rPr>
                <w:rFonts w:ascii="Arial" w:hAnsi="Arial" w:cs="Arial"/>
                <w:sz w:val="22"/>
                <w:lang w:eastAsia="es-ES"/>
              </w:rPr>
              <w:t xml:space="preserve"> </w:t>
            </w:r>
          </w:p>
          <w:p w14:paraId="30A9E48B" w14:textId="24A95B47" w:rsidR="00004AC0" w:rsidRPr="00004AC0" w:rsidRDefault="00004AC0" w:rsidP="00004AC0">
            <w:pPr>
              <w:pStyle w:val="Default"/>
              <w:spacing w:line="276" w:lineRule="auto"/>
              <w:jc w:val="both"/>
              <w:rPr>
                <w:rFonts w:eastAsia="Calibri"/>
                <w:color w:val="000000" w:themeColor="text1"/>
                <w:sz w:val="22"/>
                <w:lang w:val="es-ES"/>
              </w:rPr>
            </w:pPr>
          </w:p>
        </w:tc>
      </w:tr>
      <w:tr w:rsidR="00AF1718" w:rsidRPr="00004AC0" w14:paraId="0E180394" w14:textId="77777777" w:rsidTr="00A60A14">
        <w:tc>
          <w:tcPr>
            <w:tcW w:w="2689" w:type="dxa"/>
          </w:tcPr>
          <w:p w14:paraId="35D0842E" w14:textId="46837F9C" w:rsidR="00AF1718" w:rsidRPr="00004AC0" w:rsidRDefault="00AF1718" w:rsidP="00DF0F8E">
            <w:pPr>
              <w:rPr>
                <w:rFonts w:ascii="Arial" w:eastAsia="Calibri" w:hAnsi="Arial" w:cs="Arial"/>
                <w:b/>
                <w:sz w:val="22"/>
              </w:rPr>
            </w:pPr>
            <w:r w:rsidRPr="00004AC0">
              <w:rPr>
                <w:rFonts w:ascii="Arial" w:eastAsia="Calibri" w:hAnsi="Arial" w:cs="Arial"/>
                <w:b/>
                <w:sz w:val="22"/>
              </w:rPr>
              <w:t>Radicación:</w:t>
            </w:r>
            <w:r w:rsidRPr="00004AC0">
              <w:rPr>
                <w:rFonts w:ascii="Arial" w:eastAsia="Calibri" w:hAnsi="Arial" w:cs="Arial"/>
                <w:sz w:val="22"/>
              </w:rPr>
              <w:t xml:space="preserve"> </w:t>
            </w:r>
          </w:p>
        </w:tc>
        <w:tc>
          <w:tcPr>
            <w:tcW w:w="6237" w:type="dxa"/>
          </w:tcPr>
          <w:p w14:paraId="1B6BB553" w14:textId="7ADDD8B2" w:rsidR="00AF1718" w:rsidRPr="00004AC0" w:rsidRDefault="00FF6BBB" w:rsidP="00143A66">
            <w:pPr>
              <w:jc w:val="both"/>
              <w:rPr>
                <w:rFonts w:ascii="Arial" w:eastAsia="Calibri" w:hAnsi="Arial" w:cs="Arial"/>
                <w:sz w:val="22"/>
              </w:rPr>
            </w:pPr>
            <w:r w:rsidRPr="00004AC0">
              <w:rPr>
                <w:rFonts w:ascii="Arial" w:eastAsia="Calibri" w:hAnsi="Arial" w:cs="Arial"/>
                <w:sz w:val="22"/>
              </w:rPr>
              <w:t>Respuesta</w:t>
            </w:r>
            <w:r w:rsidR="000D37B2">
              <w:rPr>
                <w:rFonts w:ascii="Arial" w:eastAsia="Calibri" w:hAnsi="Arial" w:cs="Arial"/>
                <w:sz w:val="22"/>
              </w:rPr>
              <w:t xml:space="preserve"> acumulada</w:t>
            </w:r>
            <w:r w:rsidRPr="00004AC0">
              <w:rPr>
                <w:rFonts w:ascii="Arial" w:eastAsia="Calibri" w:hAnsi="Arial" w:cs="Arial"/>
                <w:sz w:val="22"/>
              </w:rPr>
              <w:t xml:space="preserve"> a </w:t>
            </w:r>
            <w:r w:rsidR="00847CF9" w:rsidRPr="00004AC0">
              <w:rPr>
                <w:rFonts w:ascii="Arial" w:eastAsia="Calibri" w:hAnsi="Arial" w:cs="Arial"/>
                <w:sz w:val="22"/>
              </w:rPr>
              <w:t>la</w:t>
            </w:r>
            <w:r w:rsidR="00BD2E1E">
              <w:rPr>
                <w:rFonts w:ascii="Arial" w:eastAsia="Calibri" w:hAnsi="Arial" w:cs="Arial"/>
                <w:sz w:val="22"/>
              </w:rPr>
              <w:t>s</w:t>
            </w:r>
            <w:r w:rsidR="00847CF9" w:rsidRPr="00004AC0">
              <w:rPr>
                <w:rFonts w:ascii="Arial" w:eastAsia="Calibri" w:hAnsi="Arial" w:cs="Arial"/>
                <w:sz w:val="22"/>
              </w:rPr>
              <w:t xml:space="preserve"> </w:t>
            </w:r>
            <w:r w:rsidRPr="00004AC0">
              <w:rPr>
                <w:rFonts w:ascii="Arial" w:eastAsia="Calibri" w:hAnsi="Arial" w:cs="Arial"/>
                <w:sz w:val="22"/>
              </w:rPr>
              <w:t>consulta</w:t>
            </w:r>
            <w:r w:rsidR="00BD2E1E">
              <w:rPr>
                <w:rFonts w:ascii="Arial" w:eastAsia="Calibri" w:hAnsi="Arial" w:cs="Arial"/>
                <w:sz w:val="22"/>
              </w:rPr>
              <w:t>s P20210623005468 y P20210623005469</w:t>
            </w:r>
            <w:r w:rsidR="002330A3" w:rsidRPr="00004AC0">
              <w:rPr>
                <w:rFonts w:ascii="Arial" w:eastAsia="Calibri" w:hAnsi="Arial" w:cs="Arial"/>
                <w:sz w:val="22"/>
              </w:rPr>
              <w:t xml:space="preserve">. </w:t>
            </w:r>
          </w:p>
        </w:tc>
      </w:tr>
    </w:tbl>
    <w:p w14:paraId="4A4DF0C0" w14:textId="77777777" w:rsidR="00AF1718" w:rsidRPr="00004AC0" w:rsidRDefault="00AF1718" w:rsidP="00DF0F8E">
      <w:pPr>
        <w:jc w:val="both"/>
        <w:rPr>
          <w:rFonts w:ascii="Arial" w:eastAsia="Calibri" w:hAnsi="Arial" w:cs="Arial"/>
          <w:sz w:val="22"/>
        </w:rPr>
      </w:pPr>
    </w:p>
    <w:p w14:paraId="2B19C121" w14:textId="77777777" w:rsidR="00AF1718" w:rsidRPr="00D25BEF" w:rsidRDefault="00AF1718" w:rsidP="00DF0F8E">
      <w:pPr>
        <w:rPr>
          <w:rFonts w:ascii="Arial" w:eastAsia="Calibri" w:hAnsi="Arial" w:cs="Arial"/>
          <w:sz w:val="22"/>
          <w:highlight w:val="magenta"/>
        </w:rPr>
      </w:pPr>
    </w:p>
    <w:p w14:paraId="1612DE7D" w14:textId="432220D7" w:rsidR="00AF1718" w:rsidRPr="009242C9" w:rsidRDefault="00866AEB" w:rsidP="008B1764">
      <w:pPr>
        <w:spacing w:line="276" w:lineRule="auto"/>
        <w:rPr>
          <w:rFonts w:ascii="Arial" w:eastAsia="Calibri" w:hAnsi="Arial" w:cs="Arial"/>
          <w:sz w:val="22"/>
        </w:rPr>
      </w:pPr>
      <w:r>
        <w:rPr>
          <w:rFonts w:ascii="Arial" w:eastAsia="Calibri" w:hAnsi="Arial" w:cs="Arial"/>
          <w:sz w:val="22"/>
        </w:rPr>
        <w:t xml:space="preserve">Estimado </w:t>
      </w:r>
      <w:r w:rsidR="00BD2E1E">
        <w:rPr>
          <w:rFonts w:ascii="Arial" w:eastAsia="Calibri" w:hAnsi="Arial" w:cs="Arial"/>
          <w:sz w:val="22"/>
        </w:rPr>
        <w:t>señor Mercado</w:t>
      </w:r>
      <w:r w:rsidR="000D37B2">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1A0A2BD6" w14:textId="2DB1EF74" w:rsidR="00AF1718" w:rsidRPr="009242C9" w:rsidRDefault="00AF1718" w:rsidP="008B1764">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w:t>
      </w:r>
      <w:r w:rsidR="000D37B2">
        <w:rPr>
          <w:rFonts w:ascii="Arial" w:eastAsia="Calibri" w:hAnsi="Arial" w:cs="Arial"/>
          <w:sz w:val="22"/>
        </w:rPr>
        <w:t>las</w:t>
      </w:r>
      <w:r w:rsidR="00BD2E1E">
        <w:rPr>
          <w:rFonts w:ascii="Arial" w:eastAsia="Calibri" w:hAnsi="Arial" w:cs="Arial"/>
          <w:sz w:val="22"/>
        </w:rPr>
        <w:t xml:space="preserve"> </w:t>
      </w:r>
      <w:r w:rsidR="00D25BEF" w:rsidRPr="009242C9">
        <w:rPr>
          <w:rFonts w:ascii="Arial" w:eastAsia="Calibri" w:hAnsi="Arial" w:cs="Arial"/>
          <w:sz w:val="22"/>
        </w:rPr>
        <w:t>consulta</w:t>
      </w:r>
      <w:r w:rsidR="00BD2E1E">
        <w:rPr>
          <w:rFonts w:ascii="Arial" w:eastAsia="Calibri" w:hAnsi="Arial" w:cs="Arial"/>
          <w:sz w:val="22"/>
        </w:rPr>
        <w:t>s</w:t>
      </w:r>
      <w:r w:rsidR="00847CF9">
        <w:rPr>
          <w:rFonts w:ascii="Arial" w:eastAsia="Calibri" w:hAnsi="Arial" w:cs="Arial"/>
          <w:sz w:val="22"/>
        </w:rPr>
        <w:t xml:space="preserve"> del </w:t>
      </w:r>
      <w:r w:rsidR="00BD2E1E">
        <w:rPr>
          <w:rFonts w:ascii="Arial" w:eastAsia="Calibri" w:hAnsi="Arial" w:cs="Arial"/>
          <w:sz w:val="22"/>
        </w:rPr>
        <w:t>23</w:t>
      </w:r>
      <w:r w:rsidR="00866AEB" w:rsidRPr="00004AC0">
        <w:rPr>
          <w:rFonts w:ascii="Arial" w:eastAsia="Calibri" w:hAnsi="Arial" w:cs="Arial"/>
          <w:sz w:val="22"/>
        </w:rPr>
        <w:t xml:space="preserve"> de junio</w:t>
      </w:r>
      <w:r w:rsidRPr="00004AC0">
        <w:rPr>
          <w:rFonts w:ascii="Arial" w:eastAsia="Calibri" w:hAnsi="Arial" w:cs="Arial"/>
          <w:sz w:val="22"/>
        </w:rPr>
        <w:t xml:space="preserve"> de 2021.</w:t>
      </w:r>
    </w:p>
    <w:p w14:paraId="0423D3E8" w14:textId="77777777" w:rsidR="00735EB6" w:rsidRPr="00D25BEF" w:rsidRDefault="00735EB6" w:rsidP="008B1764">
      <w:pPr>
        <w:spacing w:line="276" w:lineRule="auto"/>
        <w:jc w:val="both"/>
        <w:rPr>
          <w:rFonts w:ascii="Arial" w:eastAsia="Calibri" w:hAnsi="Arial" w:cs="Arial"/>
          <w:sz w:val="22"/>
          <w:highlight w:val="magenta"/>
        </w:rPr>
      </w:pPr>
    </w:p>
    <w:p w14:paraId="2B178A13" w14:textId="2FF95CC9" w:rsidR="00AF1718" w:rsidRPr="005D0519" w:rsidRDefault="00AF1718" w:rsidP="008B1764">
      <w:pPr>
        <w:pStyle w:val="Prrafodelista"/>
        <w:tabs>
          <w:tab w:val="left" w:pos="284"/>
        </w:tabs>
        <w:spacing w:line="276" w:lineRule="auto"/>
        <w:ind w:left="0"/>
        <w:jc w:val="both"/>
        <w:rPr>
          <w:rFonts w:ascii="Arial" w:eastAsia="Calibri" w:hAnsi="Arial" w:cs="Arial"/>
          <w:b/>
          <w:sz w:val="22"/>
        </w:rPr>
      </w:pPr>
      <w:r w:rsidRPr="005D0519">
        <w:rPr>
          <w:rFonts w:ascii="Arial" w:eastAsia="Calibri" w:hAnsi="Arial" w:cs="Arial"/>
          <w:b/>
          <w:sz w:val="22"/>
        </w:rPr>
        <w:t>1. Problema planteado</w:t>
      </w:r>
    </w:p>
    <w:p w14:paraId="26CBCC38" w14:textId="77777777" w:rsidR="00735EB6" w:rsidRPr="00D25BEF" w:rsidRDefault="00735EB6" w:rsidP="008B1764">
      <w:pPr>
        <w:tabs>
          <w:tab w:val="left" w:pos="426"/>
        </w:tabs>
        <w:spacing w:line="276" w:lineRule="auto"/>
        <w:jc w:val="both"/>
        <w:rPr>
          <w:rFonts w:ascii="Arial" w:eastAsia="Calibri" w:hAnsi="Arial" w:cs="Arial"/>
          <w:sz w:val="22"/>
          <w:highlight w:val="magenta"/>
        </w:rPr>
      </w:pPr>
      <w:bookmarkStart w:id="5" w:name="_Hlk68679800"/>
    </w:p>
    <w:p w14:paraId="01828238" w14:textId="3E7809D3" w:rsidR="00716A58" w:rsidRPr="00EA6B99" w:rsidRDefault="00FA0A16" w:rsidP="00EA6B99">
      <w:pPr>
        <w:spacing w:line="276" w:lineRule="auto"/>
        <w:jc w:val="both"/>
        <w:rPr>
          <w:rFonts w:ascii="Arial" w:eastAsia="Calibri" w:hAnsi="Arial" w:cs="Arial"/>
          <w:sz w:val="22"/>
        </w:rPr>
      </w:pPr>
      <w:r w:rsidRPr="00FA0A16">
        <w:rPr>
          <w:rFonts w:ascii="Arial" w:eastAsia="Calibri" w:hAnsi="Arial" w:cs="Arial"/>
          <w:sz w:val="22"/>
        </w:rPr>
        <w:t>En relación con</w:t>
      </w:r>
      <w:r w:rsidR="00866AEB" w:rsidRPr="00FA0A16">
        <w:rPr>
          <w:rFonts w:ascii="Arial" w:eastAsia="Calibri" w:hAnsi="Arial" w:cs="Arial"/>
          <w:sz w:val="22"/>
        </w:rPr>
        <w:t xml:space="preserve"> </w:t>
      </w:r>
      <w:r w:rsidR="00BD2E1E" w:rsidRPr="00FA0A16">
        <w:rPr>
          <w:rFonts w:ascii="Arial" w:eastAsia="Calibri" w:hAnsi="Arial" w:cs="Arial"/>
          <w:sz w:val="22"/>
        </w:rPr>
        <w:t xml:space="preserve">la capacidad residual en los procesos </w:t>
      </w:r>
      <w:r w:rsidR="00576385" w:rsidRPr="00FA0A16">
        <w:rPr>
          <w:rFonts w:ascii="Arial" w:eastAsia="Calibri" w:hAnsi="Arial" w:cs="Arial"/>
          <w:sz w:val="22"/>
        </w:rPr>
        <w:t xml:space="preserve">de </w:t>
      </w:r>
      <w:r w:rsidR="00716A58" w:rsidRPr="00FA0A16">
        <w:rPr>
          <w:rFonts w:ascii="Arial" w:eastAsia="Calibri" w:hAnsi="Arial" w:cs="Arial"/>
          <w:sz w:val="22"/>
        </w:rPr>
        <w:t>mínima cuantía para obras de infraestructura de transporte</w:t>
      </w:r>
      <w:r w:rsidR="00AF1718" w:rsidRPr="00FA0A16">
        <w:rPr>
          <w:rFonts w:ascii="Arial" w:eastAsia="Calibri" w:hAnsi="Arial" w:cs="Arial"/>
          <w:sz w:val="22"/>
        </w:rPr>
        <w:t xml:space="preserve">, </w:t>
      </w:r>
      <w:r w:rsidRPr="00FA0A16">
        <w:rPr>
          <w:rFonts w:ascii="Arial" w:eastAsia="Calibri" w:hAnsi="Arial" w:cs="Arial"/>
          <w:sz w:val="22"/>
        </w:rPr>
        <w:t>usted realiza las siguientes preguntas</w:t>
      </w:r>
      <w:r w:rsidR="005D5E67" w:rsidRPr="00FA0A16">
        <w:rPr>
          <w:rFonts w:ascii="Arial" w:eastAsia="Calibri" w:hAnsi="Arial" w:cs="Arial"/>
          <w:sz w:val="22"/>
        </w:rPr>
        <w:t xml:space="preserve">: </w:t>
      </w:r>
      <w:r w:rsidRPr="00EA6B99">
        <w:rPr>
          <w:rFonts w:ascii="Arial" w:eastAsia="Calibri" w:hAnsi="Arial" w:cs="Arial"/>
          <w:sz w:val="22"/>
        </w:rPr>
        <w:t xml:space="preserve">i) </w:t>
      </w:r>
      <w:r w:rsidR="00716A58" w:rsidRPr="00EA6B99">
        <w:rPr>
          <w:rFonts w:ascii="Arial" w:eastAsia="Calibri" w:hAnsi="Arial" w:cs="Arial"/>
          <w:sz w:val="22"/>
        </w:rPr>
        <w:t xml:space="preserve">«Como ya es claro, en procesos de mínima cuantía no es necesario presentar el RUP, pero cuando se trata de obras relacionadas con vías, es obligatorio utilizar los pliegos tipo. ¿Cómo se hace para calcular la capacidad residual en estos procesos cuando no es obligatorio la presentación del RUP?» </w:t>
      </w:r>
      <w:r w:rsidRPr="00EA6B99">
        <w:rPr>
          <w:rFonts w:ascii="Arial" w:eastAsia="Calibri" w:hAnsi="Arial" w:cs="Arial"/>
          <w:sz w:val="22"/>
        </w:rPr>
        <w:t xml:space="preserve">y ii) </w:t>
      </w:r>
      <w:r w:rsidR="00716A58" w:rsidRPr="00EA6B99">
        <w:rPr>
          <w:rFonts w:ascii="Arial" w:eastAsia="Calibri" w:hAnsi="Arial" w:cs="Arial"/>
          <w:sz w:val="22"/>
        </w:rPr>
        <w:t>«Al momento de evaluar propuestas en procesos de mínima cuantía relacionadas con vías, y teniendo en cuenta que no es obligatorio el RUP ¿Cómo hace la Entidad para calcular la capacidad residual?»</w:t>
      </w:r>
      <w:r w:rsidRPr="00EA6B99">
        <w:rPr>
          <w:rFonts w:ascii="Arial" w:eastAsia="Calibri" w:hAnsi="Arial" w:cs="Arial"/>
          <w:sz w:val="22"/>
        </w:rPr>
        <w:t>.</w:t>
      </w:r>
      <w:r w:rsidR="00716A58" w:rsidRPr="00EA6B99">
        <w:rPr>
          <w:rFonts w:ascii="Arial" w:eastAsia="Calibri" w:hAnsi="Arial" w:cs="Arial"/>
          <w:sz w:val="22"/>
        </w:rPr>
        <w:t xml:space="preserve"> </w:t>
      </w:r>
      <w:bookmarkEnd w:id="5"/>
    </w:p>
    <w:p w14:paraId="017BB4E5" w14:textId="77777777" w:rsidR="00716A58" w:rsidRPr="00716A58" w:rsidRDefault="00716A58" w:rsidP="00716A58">
      <w:pPr>
        <w:pStyle w:val="Prrafodelista"/>
        <w:tabs>
          <w:tab w:val="left" w:pos="426"/>
        </w:tabs>
        <w:spacing w:line="276" w:lineRule="auto"/>
        <w:ind w:left="1069" w:right="709"/>
        <w:jc w:val="both"/>
        <w:rPr>
          <w:rFonts w:ascii="Arial" w:eastAsia="Calibri" w:hAnsi="Arial" w:cs="Arial"/>
          <w:sz w:val="21"/>
          <w:szCs w:val="21"/>
        </w:rPr>
      </w:pPr>
    </w:p>
    <w:p w14:paraId="18E8F447" w14:textId="73D85F2C" w:rsidR="00505907" w:rsidRDefault="00E7138C" w:rsidP="008B1764">
      <w:pPr>
        <w:tabs>
          <w:tab w:val="left" w:pos="426"/>
        </w:tabs>
        <w:spacing w:line="276" w:lineRule="auto"/>
        <w:jc w:val="both"/>
        <w:rPr>
          <w:rFonts w:ascii="Arial" w:eastAsia="Calibri" w:hAnsi="Arial" w:cs="Arial"/>
          <w:b/>
          <w:sz w:val="22"/>
        </w:rPr>
      </w:pPr>
      <w:r w:rsidRPr="00CF6238">
        <w:rPr>
          <w:rFonts w:ascii="Arial" w:eastAsia="Calibri" w:hAnsi="Arial" w:cs="Arial"/>
          <w:b/>
          <w:sz w:val="22"/>
        </w:rPr>
        <w:t>2. Consideraciones</w:t>
      </w:r>
      <w:r w:rsidR="005D0519" w:rsidRPr="00CF6238">
        <w:rPr>
          <w:rFonts w:ascii="Arial" w:eastAsia="Calibri" w:hAnsi="Arial" w:cs="Arial"/>
          <w:b/>
          <w:sz w:val="22"/>
        </w:rPr>
        <w:t>.</w:t>
      </w:r>
      <w:r w:rsidR="005D0519">
        <w:rPr>
          <w:rFonts w:ascii="Arial" w:eastAsia="Calibri" w:hAnsi="Arial" w:cs="Arial"/>
          <w:b/>
          <w:sz w:val="22"/>
        </w:rPr>
        <w:t xml:space="preserve"> </w:t>
      </w:r>
    </w:p>
    <w:p w14:paraId="4EC80A2D" w14:textId="77777777" w:rsidR="00716A58" w:rsidRDefault="00716A58" w:rsidP="008B1764">
      <w:pPr>
        <w:tabs>
          <w:tab w:val="left" w:pos="426"/>
        </w:tabs>
        <w:spacing w:line="276" w:lineRule="auto"/>
        <w:jc w:val="both"/>
        <w:rPr>
          <w:rFonts w:ascii="Arial" w:eastAsia="Calibri" w:hAnsi="Arial" w:cs="Arial"/>
          <w:b/>
          <w:sz w:val="22"/>
        </w:rPr>
      </w:pPr>
    </w:p>
    <w:p w14:paraId="4E5608F3" w14:textId="2D9B28FA" w:rsidR="0025153E" w:rsidRDefault="00D20B01" w:rsidP="00553A50">
      <w:pPr>
        <w:spacing w:after="120" w:line="276" w:lineRule="auto"/>
        <w:jc w:val="both"/>
        <w:rPr>
          <w:rFonts w:ascii="Arial" w:eastAsia="Calibri" w:hAnsi="Arial" w:cs="Arial"/>
          <w:b/>
          <w:color w:val="000000"/>
          <w:sz w:val="22"/>
          <w:lang w:val="es-ES_tradnl"/>
        </w:rPr>
      </w:pPr>
      <w:r w:rsidRPr="00D20B01">
        <w:rPr>
          <w:rFonts w:ascii="Arial" w:eastAsia="Calibri" w:hAnsi="Arial" w:cs="Arial"/>
          <w:sz w:val="22"/>
        </w:rPr>
        <w:t xml:space="preserve">La Agencia </w:t>
      </w:r>
      <w:r w:rsidRPr="00D20B01">
        <w:rPr>
          <w:rFonts w:ascii="Arial" w:eastAsia="Calibri" w:hAnsi="Arial" w:cs="Arial"/>
          <w:bCs/>
          <w:sz w:val="22"/>
        </w:rPr>
        <w:t>Nacional de Contratación Pública – Colombia Compra Eficiente estudió</w:t>
      </w:r>
      <w:r w:rsidRPr="00D20B01">
        <w:rPr>
          <w:rFonts w:ascii="Arial" w:eastAsia="Calibri" w:hAnsi="Arial" w:cs="Arial"/>
          <w:sz w:val="22"/>
        </w:rPr>
        <w:t xml:space="preserve"> temas relativos a la capacidad residual </w:t>
      </w:r>
      <w:r w:rsidRPr="00D20B01">
        <w:rPr>
          <w:rFonts w:ascii="Arial" w:eastAsia="Calibri" w:hAnsi="Arial" w:cs="Arial"/>
          <w:bCs/>
          <w:sz w:val="22"/>
        </w:rPr>
        <w:t xml:space="preserve">en los conceptos </w:t>
      </w:r>
      <w:r w:rsidRPr="00D20B01">
        <w:rPr>
          <w:rFonts w:ascii="Arial" w:eastAsia="Calibri" w:hAnsi="Arial" w:cs="Arial"/>
          <w:sz w:val="22"/>
        </w:rPr>
        <w:t xml:space="preserve">No. 2201913000006275 del 27 de agosto de 2019, 4201912000005192 del 9 de septiembre de 2019, 2201913000009465 del 20 de diciembre de 2019, 2201913000009642 y 2201913000009640 del 26 de diciembre de 2019, 4201912000007744 del 12 de febrero de 2020, C-022 del 20 de febrero de 2020, C-089 del 4 de marzo de 2020, C-112 del 16 de marzo de 2020, </w:t>
      </w:r>
      <w:r w:rsidRPr="00D20B01">
        <w:rPr>
          <w:rFonts w:ascii="Arial" w:eastAsia="Calibri" w:hAnsi="Arial" w:cs="Arial"/>
          <w:sz w:val="22"/>
          <w:lang w:val="es-CO"/>
        </w:rPr>
        <w:t xml:space="preserve">C–133 del 30 de marzo de 2020, C-194 del 21 de abril de 2020, C-222 del 29 de marzo de 2020, C-326 del 9 de junio de 2020, </w:t>
      </w:r>
      <w:r w:rsidRPr="00D20B01">
        <w:rPr>
          <w:rFonts w:ascii="Arial" w:eastAsia="Calibri" w:hAnsi="Arial" w:cs="Arial"/>
          <w:bCs/>
          <w:sz w:val="22"/>
        </w:rPr>
        <w:t xml:space="preserve">C-383 del 23 de junio de 2020, </w:t>
      </w:r>
      <w:r w:rsidRPr="00D20B01">
        <w:rPr>
          <w:rFonts w:ascii="Arial" w:eastAsia="Calibri" w:hAnsi="Arial" w:cs="Arial"/>
          <w:sz w:val="22"/>
          <w:lang w:val="es-CO"/>
        </w:rPr>
        <w:t xml:space="preserve">C-446 del 6 de julio de 2020, </w:t>
      </w:r>
      <w:r w:rsidRPr="00D20B01">
        <w:rPr>
          <w:rFonts w:ascii="Arial" w:eastAsia="Calibri" w:hAnsi="Arial" w:cs="Arial"/>
          <w:bCs/>
          <w:sz w:val="22"/>
        </w:rPr>
        <w:t>C-461 del 13 de julio de 2020,</w:t>
      </w:r>
      <w:r>
        <w:rPr>
          <w:rFonts w:ascii="Arial" w:eastAsia="Calibri" w:hAnsi="Arial" w:cs="Arial"/>
          <w:bCs/>
          <w:sz w:val="22"/>
        </w:rPr>
        <w:t xml:space="preserve"> C-668 del 20 de noviembre de 2020,</w:t>
      </w:r>
      <w:r w:rsidRPr="00D20B01">
        <w:rPr>
          <w:rFonts w:ascii="Arial" w:eastAsia="Calibri" w:hAnsi="Arial" w:cs="Arial"/>
          <w:bCs/>
          <w:sz w:val="22"/>
        </w:rPr>
        <w:t xml:space="preserve"> C-742 del 16 de diciembre de 2020,</w:t>
      </w:r>
      <w:r>
        <w:rPr>
          <w:rFonts w:ascii="Arial" w:eastAsia="Calibri" w:hAnsi="Arial" w:cs="Arial"/>
          <w:bCs/>
          <w:sz w:val="22"/>
        </w:rPr>
        <w:t xml:space="preserve"> C-045 del 5 de marzo de 2021, </w:t>
      </w:r>
      <w:r w:rsidRPr="00D20B01">
        <w:rPr>
          <w:rFonts w:ascii="Arial" w:eastAsia="Calibri" w:hAnsi="Arial" w:cs="Arial"/>
          <w:bCs/>
          <w:sz w:val="22"/>
        </w:rPr>
        <w:t>C-067 del 15 de marzo de 2021</w:t>
      </w:r>
      <w:r w:rsidR="00DD4684">
        <w:rPr>
          <w:rFonts w:ascii="Arial" w:eastAsia="Calibri" w:hAnsi="Arial" w:cs="Arial"/>
          <w:bCs/>
          <w:sz w:val="22"/>
        </w:rPr>
        <w:t>, C-079 del 17</w:t>
      </w:r>
      <w:r w:rsidR="00DD4684" w:rsidRPr="00D20B01">
        <w:rPr>
          <w:rFonts w:ascii="Arial" w:eastAsia="Calibri" w:hAnsi="Arial" w:cs="Arial"/>
          <w:bCs/>
          <w:sz w:val="22"/>
        </w:rPr>
        <w:t xml:space="preserve"> de marzo de 2021</w:t>
      </w:r>
      <w:r w:rsidR="00DD4684">
        <w:rPr>
          <w:rFonts w:ascii="Arial" w:eastAsia="Calibri" w:hAnsi="Arial" w:cs="Arial"/>
          <w:bCs/>
          <w:sz w:val="22"/>
        </w:rPr>
        <w:t xml:space="preserve">, </w:t>
      </w:r>
      <w:r>
        <w:rPr>
          <w:rFonts w:ascii="Arial" w:eastAsia="Calibri" w:hAnsi="Arial" w:cs="Arial"/>
          <w:bCs/>
          <w:sz w:val="22"/>
        </w:rPr>
        <w:t>C-121 del 31 de marzo de 2021</w:t>
      </w:r>
      <w:r w:rsidR="00DD4684">
        <w:rPr>
          <w:rFonts w:ascii="Arial" w:eastAsia="Calibri" w:hAnsi="Arial" w:cs="Arial"/>
          <w:bCs/>
          <w:sz w:val="22"/>
        </w:rPr>
        <w:t>, C-143 del 09 de abril de 2021, C-202 del 07 de mayo de 2021 y C-219 del 19 de mayo de 2021</w:t>
      </w:r>
      <w:r w:rsidRPr="00D20B01">
        <w:rPr>
          <w:rFonts w:ascii="Arial" w:eastAsia="Calibri" w:hAnsi="Arial" w:cs="Arial"/>
          <w:bCs/>
          <w:sz w:val="22"/>
        </w:rPr>
        <w:t xml:space="preserve">. </w:t>
      </w:r>
      <w:r w:rsidRPr="00D20B01">
        <w:rPr>
          <w:rFonts w:ascii="Arial" w:hAnsi="Arial" w:cs="Arial"/>
          <w:sz w:val="22"/>
        </w:rPr>
        <w:t>La tesis desarrollada se expone a continuación</w:t>
      </w:r>
      <w:r w:rsidR="009271DF">
        <w:rPr>
          <w:rFonts w:ascii="Arial" w:eastAsia="Calibri" w:hAnsi="Arial" w:cs="Arial"/>
          <w:bCs/>
          <w:sz w:val="22"/>
        </w:rPr>
        <w:t>:</w:t>
      </w:r>
    </w:p>
    <w:p w14:paraId="36186EB4" w14:textId="360D9D97" w:rsidR="0025153E" w:rsidRPr="0025153E" w:rsidRDefault="0025153E" w:rsidP="00EA6B99">
      <w:pPr>
        <w:spacing w:after="120" w:line="276" w:lineRule="auto"/>
        <w:ind w:firstLine="708"/>
        <w:jc w:val="both"/>
        <w:rPr>
          <w:rFonts w:ascii="Arial" w:eastAsia="Arial" w:hAnsi="Arial" w:cs="Arial"/>
          <w:sz w:val="22"/>
          <w:szCs w:val="24"/>
          <w:lang w:val="es-CO" w:eastAsia="es-ES" w:bidi="es-ES"/>
        </w:rPr>
      </w:pPr>
      <w:r w:rsidRPr="0025153E">
        <w:rPr>
          <w:rFonts w:ascii="Arial" w:hAnsi="Arial" w:cs="Arial"/>
          <w:sz w:val="22"/>
        </w:rPr>
        <w:t xml:space="preserve">De acuerdo con el artículo 2.2.1.1.1.3.1. del Decreto 1082 de 2015, la capacidad residual </w:t>
      </w:r>
      <w:r w:rsidR="00576385" w:rsidRPr="00576385">
        <w:rPr>
          <w:rFonts w:ascii="Arial" w:hAnsi="Arial" w:cs="Arial"/>
          <w:sz w:val="22"/>
        </w:rPr>
        <w:t>o K de Contratación</w:t>
      </w:r>
      <w:r w:rsidR="00576385" w:rsidRPr="0025153E">
        <w:rPr>
          <w:rFonts w:ascii="Arial" w:hAnsi="Arial" w:cs="Arial"/>
          <w:sz w:val="22"/>
        </w:rPr>
        <w:t xml:space="preserve"> </w:t>
      </w:r>
      <w:r w:rsidRPr="0025153E">
        <w:rPr>
          <w:rFonts w:ascii="Arial" w:hAnsi="Arial" w:cs="Arial"/>
          <w:sz w:val="22"/>
        </w:rPr>
        <w:t xml:space="preserve">es la </w:t>
      </w:r>
      <w:r w:rsidR="009C7814" w:rsidRPr="0025153E">
        <w:rPr>
          <w:rFonts w:ascii="Arial" w:hAnsi="Arial" w:cs="Arial"/>
          <w:sz w:val="22"/>
        </w:rPr>
        <w:t>«</w:t>
      </w:r>
      <w:r w:rsidR="00576385" w:rsidRPr="00576385">
        <w:rPr>
          <w:rFonts w:ascii="Arial" w:hAnsi="Arial" w:cs="Arial"/>
          <w:sz w:val="22"/>
        </w:rPr>
        <w:t>Aptitud de un oferente para cumplir oportuna y cabalmente con el objeto de un contrato de obra, sin que sus otros compromisos contractuales afecten su habilidad de cumplir con el contrato que está en proceso de selección»</w:t>
      </w:r>
      <w:r w:rsidRPr="0025153E">
        <w:rPr>
          <w:rFonts w:ascii="Arial" w:hAnsi="Arial" w:cs="Arial"/>
          <w:sz w:val="22"/>
        </w:rPr>
        <w:t>. Por su parte, el Consejo de Estado ha definido la capacidad residual como «[…] la diferencia que existe entre el potencial de contratación que se tiene y los compromisos que haya adquirido y que se encuentren en ejecución, para la fecha de presentación de la oferta»</w:t>
      </w:r>
      <w:r w:rsidRPr="0025153E">
        <w:rPr>
          <w:rStyle w:val="Refdenotaalpie"/>
          <w:rFonts w:ascii="Arial" w:eastAsia="Calibri" w:hAnsi="Arial" w:cs="Arial"/>
          <w:sz w:val="22"/>
        </w:rPr>
        <w:footnoteReference w:id="1"/>
      </w:r>
      <w:r w:rsidRPr="0025153E">
        <w:rPr>
          <w:rFonts w:ascii="Arial" w:hAnsi="Arial" w:cs="Arial"/>
          <w:sz w:val="22"/>
        </w:rPr>
        <w:t>.</w:t>
      </w:r>
      <w:r w:rsidRPr="0025153E">
        <w:rPr>
          <w:rFonts w:ascii="Arial" w:eastAsia="Arial" w:hAnsi="Arial" w:cs="Arial"/>
          <w:sz w:val="22"/>
          <w:szCs w:val="24"/>
          <w:lang w:val="es-CO" w:eastAsia="es-ES" w:bidi="es-ES"/>
        </w:rPr>
        <w:t xml:space="preserve"> </w:t>
      </w:r>
      <w:r w:rsidR="006A4711">
        <w:rPr>
          <w:rFonts w:ascii="Arial" w:eastAsia="Arial" w:hAnsi="Arial" w:cs="Arial"/>
          <w:sz w:val="22"/>
          <w:szCs w:val="24"/>
          <w:lang w:val="es-CO" w:eastAsia="es-ES" w:bidi="es-ES"/>
        </w:rPr>
        <w:t>Con base en estas consideraciones</w:t>
      </w:r>
      <w:r w:rsidRPr="0025153E">
        <w:rPr>
          <w:rFonts w:ascii="Arial" w:eastAsia="Arial" w:hAnsi="Arial" w:cs="Arial"/>
          <w:sz w:val="22"/>
          <w:szCs w:val="24"/>
          <w:lang w:val="es-CO" w:eastAsia="es-ES" w:bidi="es-ES"/>
        </w:rPr>
        <w:t xml:space="preserve">,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w:t>
      </w:r>
      <w:r w:rsidRPr="0025153E">
        <w:rPr>
          <w:rFonts w:ascii="Arial" w:hAnsi="Arial" w:cs="Arial"/>
          <w:sz w:val="22"/>
        </w:rPr>
        <w:t>simultáneamente</w:t>
      </w:r>
      <w:r w:rsidRPr="0025153E">
        <w:rPr>
          <w:rFonts w:ascii="Arial" w:eastAsia="Arial" w:hAnsi="Arial" w:cs="Arial"/>
          <w:sz w:val="22"/>
          <w:szCs w:val="24"/>
          <w:lang w:val="es-CO" w:eastAsia="es-ES" w:bidi="es-ES"/>
        </w:rPr>
        <w:t>.</w:t>
      </w:r>
    </w:p>
    <w:p w14:paraId="625BD152" w14:textId="43636DE4" w:rsidR="0025153E" w:rsidRPr="0025153E" w:rsidRDefault="0025153E" w:rsidP="0025153E">
      <w:pPr>
        <w:spacing w:line="276" w:lineRule="auto"/>
        <w:ind w:firstLine="708"/>
        <w:jc w:val="both"/>
        <w:rPr>
          <w:rFonts w:ascii="Arial" w:hAnsi="Arial" w:cs="Arial"/>
          <w:sz w:val="22"/>
        </w:rPr>
      </w:pPr>
      <w:r w:rsidRPr="0025153E">
        <w:rPr>
          <w:rFonts w:ascii="Arial" w:hAnsi="Arial" w:cs="Arial"/>
          <w:sz w:val="22"/>
        </w:rPr>
        <w:t>El artículo 6 de la Ley 1150 de 2007</w:t>
      </w:r>
      <w:r w:rsidR="00FB23A3">
        <w:rPr>
          <w:rFonts w:ascii="Arial" w:hAnsi="Arial" w:cs="Arial"/>
          <w:sz w:val="22"/>
        </w:rPr>
        <w:t>, modificado por el artículo 221 del Decreto Ley 019 de 2012,</w:t>
      </w:r>
      <w:r w:rsidRPr="0025153E">
        <w:rPr>
          <w:rFonts w:ascii="Arial" w:hAnsi="Arial" w:cs="Arial"/>
          <w:sz w:val="22"/>
        </w:rPr>
        <w:t xml:space="preserve"> estableció como condición «[…] para poder participar en los procesos de selección de los contratos de obra, la capacidad residual del proponente o K de contratación». Además, </w:t>
      </w:r>
      <w:r w:rsidR="009271DF">
        <w:rPr>
          <w:rFonts w:ascii="Arial" w:hAnsi="Arial" w:cs="Arial"/>
          <w:sz w:val="22"/>
        </w:rPr>
        <w:t>dispuso</w:t>
      </w:r>
      <w:r w:rsidR="009271DF" w:rsidRPr="0025153E">
        <w:rPr>
          <w:rFonts w:ascii="Arial" w:hAnsi="Arial" w:cs="Arial"/>
          <w:sz w:val="22"/>
        </w:rPr>
        <w:t xml:space="preserve"> </w:t>
      </w:r>
      <w:r w:rsidRPr="0025153E">
        <w:rPr>
          <w:rFonts w:ascii="Arial" w:hAnsi="Arial" w:cs="Arial"/>
          <w:sz w:val="22"/>
        </w:rPr>
        <w:t xml:space="preserve">que esta debe ser igual o superior a la establecida en los pliegos de condiciones en los siguientes términos: </w:t>
      </w:r>
    </w:p>
    <w:p w14:paraId="777A2023" w14:textId="77777777" w:rsidR="0025153E" w:rsidRPr="0025153E" w:rsidRDefault="0025153E" w:rsidP="0025153E">
      <w:pPr>
        <w:ind w:right="709"/>
        <w:jc w:val="both"/>
        <w:rPr>
          <w:rFonts w:ascii="Arial" w:eastAsia="Calibri" w:hAnsi="Arial" w:cs="Arial"/>
          <w:sz w:val="21"/>
          <w:szCs w:val="21"/>
        </w:rPr>
      </w:pPr>
    </w:p>
    <w:p w14:paraId="7B0117B9" w14:textId="2D21EC31" w:rsidR="0025153E" w:rsidRPr="0025153E" w:rsidRDefault="0025153E" w:rsidP="0015440E">
      <w:pPr>
        <w:spacing w:after="120"/>
        <w:ind w:left="708" w:right="709"/>
        <w:jc w:val="both"/>
        <w:rPr>
          <w:rFonts w:ascii="Arial" w:eastAsia="Calibri" w:hAnsi="Arial" w:cs="Arial"/>
          <w:sz w:val="21"/>
          <w:szCs w:val="21"/>
        </w:rPr>
      </w:pPr>
      <w:r w:rsidRPr="0025153E">
        <w:rPr>
          <w:rFonts w:ascii="Arial" w:eastAsia="Calibri" w:hAnsi="Arial" w:cs="Arial"/>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73F81096" w14:textId="77777777" w:rsidR="0025153E" w:rsidRPr="0025153E" w:rsidRDefault="0025153E" w:rsidP="0025153E">
      <w:pPr>
        <w:ind w:left="708" w:right="709"/>
        <w:jc w:val="both"/>
        <w:rPr>
          <w:rFonts w:ascii="Arial" w:eastAsia="Calibri" w:hAnsi="Arial" w:cs="Arial"/>
          <w:sz w:val="21"/>
          <w:szCs w:val="21"/>
        </w:rPr>
      </w:pPr>
      <w:r w:rsidRPr="0025153E">
        <w:rPr>
          <w:rFonts w:ascii="Arial" w:eastAsia="Calibri" w:hAnsi="Arial" w:cs="Arial"/>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EA1386A" w14:textId="77777777" w:rsidR="0025153E" w:rsidRPr="0025153E" w:rsidRDefault="0025153E" w:rsidP="0025153E">
      <w:pPr>
        <w:spacing w:line="276" w:lineRule="auto"/>
        <w:ind w:right="709"/>
        <w:jc w:val="both"/>
        <w:rPr>
          <w:rFonts w:ascii="Arial" w:eastAsia="Calibri" w:hAnsi="Arial" w:cs="Arial"/>
          <w:sz w:val="21"/>
          <w:szCs w:val="21"/>
        </w:rPr>
      </w:pPr>
    </w:p>
    <w:p w14:paraId="00518F2F" w14:textId="4A90B087" w:rsidR="0025153E" w:rsidRPr="0025153E" w:rsidRDefault="0025153E" w:rsidP="00553A50">
      <w:pPr>
        <w:spacing w:after="120" w:line="276" w:lineRule="auto"/>
        <w:jc w:val="both"/>
        <w:rPr>
          <w:rFonts w:ascii="Arial" w:eastAsia="Arial" w:hAnsi="Arial" w:cs="Arial"/>
          <w:sz w:val="22"/>
          <w:szCs w:val="24"/>
          <w:lang w:val="es-CO" w:eastAsia="es-ES" w:bidi="es-ES"/>
        </w:rPr>
      </w:pPr>
      <w:r w:rsidRPr="0025153E">
        <w:rPr>
          <w:rFonts w:ascii="Arial" w:eastAsia="Calibri" w:hAnsi="Arial" w:cs="Arial"/>
          <w:sz w:val="21"/>
          <w:szCs w:val="21"/>
        </w:rPr>
        <w:tab/>
      </w:r>
      <w:r w:rsidRPr="0025153E">
        <w:rPr>
          <w:rFonts w:ascii="Arial" w:hAnsi="Arial" w:cs="Arial"/>
          <w:sz w:val="22"/>
        </w:rPr>
        <w:t>Por su parte, el artículo 72 de la Ley 1682 de 2013</w:t>
      </w:r>
      <w:r w:rsidR="00D50AF2">
        <w:rPr>
          <w:rStyle w:val="Refdenotaalpie"/>
          <w:rFonts w:ascii="Arial" w:hAnsi="Arial" w:cs="Arial"/>
          <w:sz w:val="22"/>
        </w:rPr>
        <w:footnoteReference w:id="2"/>
      </w:r>
      <w:r w:rsidRPr="0025153E">
        <w:rPr>
          <w:rFonts w:ascii="Arial" w:hAnsi="Arial" w:cs="Arial"/>
          <w:sz w:val="22"/>
        </w:rPr>
        <w:t xml:space="preserve">, por la cual se adoptan medidas y disposiciones para los proyectos de infraestructura de transporte, estableció </w:t>
      </w:r>
      <w:r w:rsidR="006629E7">
        <w:rPr>
          <w:rFonts w:ascii="Arial" w:hAnsi="Arial" w:cs="Arial"/>
          <w:sz w:val="22"/>
        </w:rPr>
        <w:t>los factores para calcular</w:t>
      </w:r>
      <w:r w:rsidRPr="0025153E">
        <w:rPr>
          <w:rFonts w:ascii="Arial" w:hAnsi="Arial" w:cs="Arial"/>
          <w:sz w:val="22"/>
        </w:rPr>
        <w:t xml:space="preserve"> la capacidad residual del proponente</w:t>
      </w:r>
      <w:r w:rsidR="006629E7">
        <w:rPr>
          <w:rFonts w:ascii="Arial" w:hAnsi="Arial" w:cs="Arial"/>
          <w:sz w:val="22"/>
        </w:rPr>
        <w:t>.</w:t>
      </w:r>
      <w:r w:rsidRPr="0025153E">
        <w:rPr>
          <w:rFonts w:ascii="Arial" w:hAnsi="Arial" w:cs="Arial"/>
          <w:sz w:val="22"/>
        </w:rPr>
        <w:t xml:space="preserve"> </w:t>
      </w:r>
      <w:r w:rsidR="00F75287">
        <w:rPr>
          <w:rFonts w:ascii="Arial" w:hAnsi="Arial" w:cs="Arial"/>
          <w:sz w:val="22"/>
        </w:rPr>
        <w:t>E</w:t>
      </w:r>
      <w:r w:rsidRPr="0025153E">
        <w:rPr>
          <w:rFonts w:ascii="Arial" w:eastAsia="Arial" w:hAnsi="Arial" w:cs="Arial"/>
          <w:sz w:val="22"/>
          <w:szCs w:val="24"/>
          <w:lang w:val="es-CO" w:eastAsia="es-ES" w:bidi="es-ES"/>
        </w:rPr>
        <w:t>l artículo 2.2.1.1.1.6.4 del Decreto 1082 de 2015</w:t>
      </w:r>
      <w:r w:rsidR="00F75287">
        <w:rPr>
          <w:rFonts w:ascii="Arial" w:eastAsia="Arial" w:hAnsi="Arial" w:cs="Arial"/>
          <w:sz w:val="22"/>
          <w:szCs w:val="24"/>
          <w:lang w:val="es-CO" w:eastAsia="es-ES" w:bidi="es-ES"/>
        </w:rPr>
        <w:t xml:space="preserve"> </w:t>
      </w:r>
      <w:r w:rsidR="00F75287">
        <w:rPr>
          <w:rStyle w:val="normaltextrun"/>
          <w:rFonts w:ascii="Arial" w:hAnsi="Arial" w:cs="Arial"/>
          <w:color w:val="000000"/>
          <w:sz w:val="22"/>
          <w:shd w:val="clear" w:color="auto" w:fill="FFFFFF"/>
        </w:rPr>
        <w:t>recoge el desarrollo legislativo de la capacidad residual, en especial los componentes de la ley citada.</w:t>
      </w:r>
      <w:r w:rsidRPr="0025153E">
        <w:rPr>
          <w:rFonts w:ascii="Arial" w:eastAsia="Arial" w:hAnsi="Arial" w:cs="Arial"/>
          <w:sz w:val="22"/>
          <w:szCs w:val="24"/>
          <w:lang w:val="es-CO" w:eastAsia="es-ES" w:bidi="es-ES"/>
        </w:rPr>
        <w:t xml:space="preserve"> </w:t>
      </w:r>
      <w:r w:rsidR="00F75287">
        <w:rPr>
          <w:rFonts w:ascii="Arial" w:eastAsia="Arial" w:hAnsi="Arial" w:cs="Arial"/>
          <w:sz w:val="22"/>
          <w:szCs w:val="24"/>
          <w:lang w:val="es-CO" w:eastAsia="es-ES" w:bidi="es-ES"/>
        </w:rPr>
        <w:t>La norma dispone</w:t>
      </w:r>
      <w:r w:rsidRPr="0025153E">
        <w:rPr>
          <w:rFonts w:ascii="Arial" w:eastAsia="Arial" w:hAnsi="Arial" w:cs="Arial"/>
          <w:sz w:val="22"/>
          <w:szCs w:val="24"/>
          <w:lang w:val="es-CO" w:eastAsia="es-ES" w:bidi="es-ES"/>
        </w:rPr>
        <w:t xml:space="preserve"> que las entidades estatales deben calcular la capacidad residual conforme a la metodolo</w:t>
      </w:r>
      <w:r w:rsidR="0015440E">
        <w:rPr>
          <w:rFonts w:ascii="Arial" w:eastAsia="Arial" w:hAnsi="Arial" w:cs="Arial"/>
          <w:sz w:val="22"/>
          <w:szCs w:val="24"/>
          <w:lang w:val="es-CO" w:eastAsia="es-ES" w:bidi="es-ES"/>
        </w:rPr>
        <w:t xml:space="preserve">gía definida por </w:t>
      </w:r>
      <w:r w:rsidR="0015440E" w:rsidRPr="0025153E">
        <w:rPr>
          <w:rFonts w:ascii="Arial" w:eastAsia="Arial" w:hAnsi="Arial" w:cs="Arial"/>
          <w:sz w:val="22"/>
          <w:szCs w:val="24"/>
          <w:lang w:val="es-CO" w:eastAsia="es-ES" w:bidi="es-ES"/>
        </w:rPr>
        <w:t>la Agencia N</w:t>
      </w:r>
      <w:r w:rsidR="0015440E">
        <w:rPr>
          <w:rFonts w:ascii="Arial" w:eastAsia="Arial" w:hAnsi="Arial" w:cs="Arial"/>
          <w:sz w:val="22"/>
          <w:szCs w:val="24"/>
          <w:lang w:val="es-CO" w:eastAsia="es-ES" w:bidi="es-ES"/>
        </w:rPr>
        <w:t>acional de Contratación Pública</w:t>
      </w:r>
      <w:r w:rsidR="006629E7">
        <w:rPr>
          <w:rFonts w:ascii="Arial" w:eastAsia="Arial" w:hAnsi="Arial" w:cs="Arial"/>
          <w:sz w:val="22"/>
          <w:szCs w:val="24"/>
          <w:lang w:val="es-CO" w:eastAsia="es-ES" w:bidi="es-ES"/>
        </w:rPr>
        <w:t xml:space="preserve"> –</w:t>
      </w:r>
      <w:r w:rsidR="0015440E">
        <w:rPr>
          <w:rFonts w:ascii="Arial" w:eastAsia="Arial" w:hAnsi="Arial" w:cs="Arial"/>
          <w:sz w:val="22"/>
          <w:szCs w:val="24"/>
          <w:lang w:val="es-CO" w:eastAsia="es-ES" w:bidi="es-ES"/>
        </w:rPr>
        <w:t xml:space="preserve"> Colombia Compra </w:t>
      </w:r>
      <w:r w:rsidRPr="0025153E">
        <w:rPr>
          <w:rFonts w:ascii="Arial" w:eastAsia="Arial" w:hAnsi="Arial" w:cs="Arial"/>
          <w:sz w:val="22"/>
          <w:szCs w:val="24"/>
          <w:lang w:val="es-CO" w:eastAsia="es-ES" w:bidi="es-ES"/>
        </w:rPr>
        <w:t>Eficiente y precisó que, para tales fines, resulta necesario tener en cuenta los factores de: i) experiencia; ii) capacidad financiera; iii) capacidad técnica; iv) capacidad de organización; y v) los saldos de los contratos en ejecución, así:</w:t>
      </w:r>
    </w:p>
    <w:p w14:paraId="53EEB97E" w14:textId="77777777" w:rsidR="0025153E" w:rsidRPr="0025153E" w:rsidRDefault="0025153E" w:rsidP="0025153E">
      <w:pPr>
        <w:widowControl w:val="0"/>
        <w:autoSpaceDE w:val="0"/>
        <w:autoSpaceDN w:val="0"/>
        <w:spacing w:before="8"/>
        <w:ind w:right="49"/>
        <w:rPr>
          <w:rFonts w:ascii="Arial" w:eastAsia="Arial" w:hAnsi="Arial" w:cs="Arial"/>
          <w:sz w:val="21"/>
          <w:szCs w:val="24"/>
          <w:lang w:val="es-CO" w:eastAsia="es-ES" w:bidi="es-ES"/>
        </w:rPr>
      </w:pPr>
    </w:p>
    <w:p w14:paraId="57ADF460" w14:textId="225BA415" w:rsidR="0025153E" w:rsidRPr="0025153E" w:rsidRDefault="0025153E" w:rsidP="00CF6238">
      <w:pPr>
        <w:widowControl w:val="0"/>
        <w:autoSpaceDE w:val="0"/>
        <w:autoSpaceDN w:val="0"/>
        <w:spacing w:after="120"/>
        <w:ind w:left="709" w:right="709" w:firstLine="2"/>
        <w:rPr>
          <w:rFonts w:ascii="Arial" w:eastAsia="Arial" w:hAnsi="Arial" w:cs="Arial"/>
          <w:sz w:val="21"/>
          <w:szCs w:val="21"/>
          <w:lang w:val="es-CO" w:eastAsia="es-ES" w:bidi="es-ES"/>
        </w:rPr>
      </w:pPr>
      <w:r w:rsidRPr="0025153E">
        <w:rPr>
          <w:rFonts w:ascii="Arial" w:eastAsia="Arial" w:hAnsi="Arial" w:cs="Arial"/>
          <w:sz w:val="21"/>
          <w:szCs w:val="21"/>
          <w:lang w:val="es-CO" w:eastAsia="es-ES" w:bidi="es-ES"/>
        </w:rPr>
        <w:t>Artículo 2.2.1.1.1.6.4. Capacidad Residual. El interesado en celebrar contratos de obra pública con Entidades Estatales debe acreditar su Capacidad Residual o K de Contratación con los siguientes documentos: (…)</w:t>
      </w:r>
    </w:p>
    <w:p w14:paraId="4784F804" w14:textId="77777777" w:rsidR="0025153E" w:rsidRPr="0025153E" w:rsidRDefault="0025153E" w:rsidP="00CF6238">
      <w:pPr>
        <w:widowControl w:val="0"/>
        <w:autoSpaceDE w:val="0"/>
        <w:autoSpaceDN w:val="0"/>
        <w:ind w:left="709" w:right="709" w:firstLine="2"/>
        <w:jc w:val="both"/>
        <w:rPr>
          <w:rFonts w:ascii="Arial" w:eastAsia="Arial" w:hAnsi="Arial" w:cs="Arial"/>
          <w:sz w:val="21"/>
          <w:szCs w:val="21"/>
          <w:lang w:val="es-CO" w:eastAsia="es-ES" w:bidi="es-ES"/>
        </w:rPr>
      </w:pPr>
      <w:r w:rsidRPr="0025153E">
        <w:rPr>
          <w:rFonts w:ascii="Arial" w:eastAsia="Arial" w:hAnsi="Arial" w:cs="Arial"/>
          <w:sz w:val="21"/>
          <w:szCs w:val="21"/>
          <w:lang w:val="es-CO"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532B95EE" w14:textId="77777777" w:rsidR="0025153E" w:rsidRPr="0025153E" w:rsidRDefault="0025153E" w:rsidP="0025153E">
      <w:pPr>
        <w:spacing w:line="276" w:lineRule="auto"/>
        <w:jc w:val="both"/>
        <w:rPr>
          <w:rFonts w:ascii="Arial" w:hAnsi="Arial" w:cs="Arial"/>
          <w:sz w:val="22"/>
        </w:rPr>
      </w:pPr>
    </w:p>
    <w:p w14:paraId="57DF063C" w14:textId="651D3A53" w:rsidR="0025153E" w:rsidRDefault="0025153E" w:rsidP="00B34ABE">
      <w:pPr>
        <w:pStyle w:val="Textoindependiente"/>
        <w:spacing w:after="0"/>
        <w:ind w:firstLine="709"/>
        <w:rPr>
          <w:szCs w:val="24"/>
          <w:lang w:val="es-CO"/>
        </w:rPr>
      </w:pPr>
      <w:r w:rsidRPr="0025153E">
        <w:t xml:space="preserve">Atendiendo la normatividad citada, </w:t>
      </w:r>
      <w:r w:rsidR="0015440E">
        <w:t xml:space="preserve">esta Agencia </w:t>
      </w:r>
      <w:r w:rsidRPr="0025153E">
        <w:t xml:space="preserve">expidió la </w:t>
      </w:r>
      <w:r w:rsidRPr="0025153E">
        <w:rPr>
          <w:i/>
          <w:iCs/>
        </w:rPr>
        <w:t>Guía para Determinar y Verificar la Capacidad Residual del Proponente en los Procesos de Contratación de Obra Pública</w:t>
      </w:r>
      <w:r w:rsidRPr="0025153E">
        <w:t>, de conformidad con el artículo 2.2.1.2.5.2. del Decreto 1082 de 2015</w:t>
      </w:r>
      <w:r w:rsidRPr="0025153E">
        <w:rPr>
          <w:rStyle w:val="Refdenotaalpie"/>
        </w:rPr>
        <w:footnoteReference w:id="3"/>
      </w:r>
      <w:r w:rsidRPr="0025153E">
        <w:t xml:space="preserve">. </w:t>
      </w:r>
      <w:r w:rsidRPr="0025153E">
        <w:rPr>
          <w:szCs w:val="24"/>
          <w:lang w:val="es-CO"/>
        </w:rPr>
        <w:t>Est</w:t>
      </w:r>
      <w:r w:rsidR="00F735D5">
        <w:rPr>
          <w:szCs w:val="24"/>
          <w:lang w:val="es-CO"/>
        </w:rPr>
        <w:t>a</w:t>
      </w:r>
      <w:r w:rsidRPr="0025153E">
        <w:rPr>
          <w:szCs w:val="24"/>
          <w:lang w:val="es-CO"/>
        </w:rPr>
        <w:t xml:space="preserve"> </w:t>
      </w:r>
      <w:r w:rsidR="00F735D5">
        <w:rPr>
          <w:szCs w:val="24"/>
          <w:lang w:val="es-CO"/>
        </w:rPr>
        <w:t xml:space="preserve">Guía </w:t>
      </w:r>
      <w:r w:rsidRPr="0025153E">
        <w:rPr>
          <w:szCs w:val="24"/>
          <w:lang w:val="es-CO"/>
        </w:rPr>
        <w:t>establece, entre otras cuestiones, que a la entidad contratante corresponde, primero, establecer la capacidad residual del proceso de contratación «</w:t>
      </w:r>
      <w:r w:rsidRPr="0025153E">
        <w:rPr>
          <w:i/>
          <w:iCs/>
          <w:szCs w:val="24"/>
          <w:lang w:val="es-CO"/>
        </w:rPr>
        <w:t>CRPC</w:t>
      </w:r>
      <w:r w:rsidRPr="0025153E">
        <w:rPr>
          <w:szCs w:val="24"/>
          <w:lang w:val="es-CO"/>
        </w:rPr>
        <w:t>» y, segundo, determinar si los proponentes cumplen con la capacidad residual del proceso de contratación, teniendo en cuenta la siguiente información aportada por el proponente:</w:t>
      </w:r>
    </w:p>
    <w:p w14:paraId="0B798D2B" w14:textId="77777777" w:rsidR="00B34ABE" w:rsidRPr="00AE1155" w:rsidRDefault="00B34ABE" w:rsidP="00B34ABE">
      <w:pPr>
        <w:pStyle w:val="Textoindependiente"/>
        <w:spacing w:after="0"/>
        <w:ind w:firstLine="709"/>
        <w:rPr>
          <w:szCs w:val="24"/>
          <w:lang w:val="es-CO"/>
        </w:rPr>
      </w:pPr>
    </w:p>
    <w:p w14:paraId="5003AA53" w14:textId="74B5F2A0" w:rsidR="0025153E" w:rsidRPr="00CF6238" w:rsidRDefault="0025153E" w:rsidP="00CF6238">
      <w:pPr>
        <w:widowControl w:val="0"/>
        <w:numPr>
          <w:ilvl w:val="0"/>
          <w:numId w:val="14"/>
        </w:numPr>
        <w:tabs>
          <w:tab w:val="left" w:pos="993"/>
        </w:tabs>
        <w:autoSpaceDE w:val="0"/>
        <w:autoSpaceDN w:val="0"/>
        <w:spacing w:after="120"/>
        <w:ind w:left="709" w:right="709" w:firstLine="0"/>
        <w:jc w:val="both"/>
        <w:rPr>
          <w:rFonts w:ascii="Arial" w:eastAsia="Arial" w:hAnsi="Arial" w:cs="Arial"/>
          <w:sz w:val="21"/>
          <w:szCs w:val="21"/>
          <w:lang w:val="es-CO" w:eastAsia="es-ES" w:bidi="es-ES"/>
        </w:rPr>
      </w:pPr>
      <w:r w:rsidRPr="00CF6238">
        <w:rPr>
          <w:rFonts w:ascii="Arial" w:eastAsia="Arial" w:hAnsi="Arial" w:cs="Arial"/>
          <w:sz w:val="21"/>
          <w:szCs w:val="21"/>
          <w:lang w:val="es-CO" w:eastAsia="es-ES" w:bidi="es-ES"/>
        </w:rPr>
        <w:t>La lista de los Contratos en Ejecución, así como el valor y plazo de tales contratos.</w:t>
      </w:r>
    </w:p>
    <w:p w14:paraId="13BA2881" w14:textId="63B9E636" w:rsidR="0025153E" w:rsidRPr="00CF6238" w:rsidRDefault="0025153E" w:rsidP="00CF6238">
      <w:pPr>
        <w:widowControl w:val="0"/>
        <w:numPr>
          <w:ilvl w:val="0"/>
          <w:numId w:val="14"/>
        </w:numPr>
        <w:tabs>
          <w:tab w:val="left" w:pos="993"/>
        </w:tabs>
        <w:autoSpaceDE w:val="0"/>
        <w:autoSpaceDN w:val="0"/>
        <w:spacing w:after="120"/>
        <w:ind w:left="709" w:right="709" w:firstLine="0"/>
        <w:jc w:val="both"/>
        <w:rPr>
          <w:rFonts w:ascii="Arial" w:eastAsia="Arial" w:hAnsi="Arial" w:cs="Arial"/>
          <w:sz w:val="21"/>
          <w:szCs w:val="21"/>
          <w:lang w:val="es-CO" w:eastAsia="es-ES" w:bidi="es-ES"/>
        </w:rPr>
      </w:pPr>
      <w:r w:rsidRPr="00CF6238">
        <w:rPr>
          <w:rFonts w:ascii="Arial" w:eastAsia="Arial" w:hAnsi="Arial" w:cs="Arial"/>
          <w:sz w:val="21"/>
          <w:szCs w:val="21"/>
          <w:lang w:val="es-CO" w:eastAsia="es-ES" w:bidi="es-ES"/>
        </w:rPr>
        <w:t>La lista de los Contratos en Ejecución, suscritos por sociedades, consorcios o uniones temporales, en los cuales el proponente tenga participación, así como el valor y plazo de tales contratos.</w:t>
      </w:r>
    </w:p>
    <w:p w14:paraId="67B0AAA3" w14:textId="77777777" w:rsidR="0025153E" w:rsidRPr="0025153E" w:rsidRDefault="0025153E" w:rsidP="00CF6238">
      <w:pPr>
        <w:widowControl w:val="0"/>
        <w:numPr>
          <w:ilvl w:val="0"/>
          <w:numId w:val="14"/>
        </w:numPr>
        <w:tabs>
          <w:tab w:val="left" w:pos="993"/>
        </w:tabs>
        <w:autoSpaceDE w:val="0"/>
        <w:autoSpaceDN w:val="0"/>
        <w:ind w:left="709" w:right="709" w:firstLine="0"/>
        <w:jc w:val="both"/>
        <w:rPr>
          <w:rFonts w:ascii="Arial" w:eastAsia="Arial" w:hAnsi="Arial" w:cs="Arial"/>
          <w:sz w:val="21"/>
          <w:szCs w:val="21"/>
          <w:lang w:val="es-CO" w:eastAsia="es-ES" w:bidi="es-ES"/>
        </w:rPr>
      </w:pPr>
      <w:r w:rsidRPr="0025153E">
        <w:rPr>
          <w:rFonts w:ascii="Arial" w:eastAsia="Arial" w:hAnsi="Arial" w:cs="Arial"/>
          <w:sz w:val="21"/>
          <w:szCs w:val="21"/>
          <w:lang w:val="es-CO" w:eastAsia="es-ES" w:bidi="es-ES"/>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B4C9E41" w14:textId="68B25574" w:rsidR="00BD2E1E" w:rsidRPr="00BD2E1E" w:rsidRDefault="00BD2E1E" w:rsidP="00CF6238">
      <w:pPr>
        <w:widowControl w:val="0"/>
        <w:autoSpaceDE w:val="0"/>
        <w:autoSpaceDN w:val="0"/>
        <w:spacing w:line="276" w:lineRule="auto"/>
        <w:jc w:val="both"/>
        <w:rPr>
          <w:rFonts w:ascii="Arial" w:eastAsia="Arial" w:hAnsi="Arial" w:cs="Arial"/>
          <w:sz w:val="22"/>
          <w:lang w:val="es-ES" w:eastAsia="es-ES" w:bidi="es-ES"/>
        </w:rPr>
      </w:pPr>
    </w:p>
    <w:p w14:paraId="7CFB3861" w14:textId="77777777" w:rsidR="0025153E" w:rsidRPr="006A71B3" w:rsidRDefault="0025153E" w:rsidP="00B34ABE">
      <w:pPr>
        <w:widowControl w:val="0"/>
        <w:autoSpaceDE w:val="0"/>
        <w:autoSpaceDN w:val="0"/>
        <w:spacing w:line="276" w:lineRule="auto"/>
        <w:ind w:firstLine="709"/>
        <w:jc w:val="both"/>
        <w:rPr>
          <w:rFonts w:ascii="Arial" w:eastAsia="Arial" w:hAnsi="Arial" w:cs="Arial"/>
          <w:sz w:val="22"/>
          <w:szCs w:val="24"/>
          <w:lang w:val="es-CO" w:eastAsia="es-ES" w:bidi="es-ES"/>
        </w:rPr>
      </w:pPr>
      <w:r w:rsidRPr="0025153E">
        <w:rPr>
          <w:rFonts w:ascii="Arial" w:eastAsia="Arial" w:hAnsi="Arial" w:cs="Arial"/>
          <w:sz w:val="22"/>
          <w:szCs w:val="24"/>
          <w:lang w:val="es-CO" w:eastAsia="es-ES" w:bidi="es-ES"/>
        </w:rPr>
        <w:t xml:space="preserve">Ahora bien, para lo primero, esto es, para establecer la capacidad residual del proceso de contratación </w:t>
      </w:r>
      <w:r w:rsidRPr="0025153E">
        <w:rPr>
          <w:rFonts w:ascii="Arial" w:eastAsia="Arial" w:hAnsi="Arial" w:cs="Arial"/>
          <w:i/>
          <w:iCs/>
          <w:sz w:val="22"/>
          <w:szCs w:val="24"/>
          <w:lang w:val="es-CO" w:eastAsia="es-ES" w:bidi="es-ES"/>
        </w:rPr>
        <w:t xml:space="preserve">CRPC, </w:t>
      </w:r>
      <w:r w:rsidRPr="0025153E">
        <w:rPr>
          <w:rFonts w:ascii="Arial" w:eastAsia="Arial" w:hAnsi="Arial" w:cs="Arial"/>
          <w:sz w:val="22"/>
          <w:szCs w:val="24"/>
          <w:lang w:val="es-CO" w:eastAsia="es-ES" w:bidi="es-ES"/>
        </w:rPr>
        <w:t xml:space="preserve">se debe determinar si el plazo del contrato es superior a doce meses. Si no lo es, la </w:t>
      </w:r>
      <w:r w:rsidRPr="0025153E">
        <w:rPr>
          <w:rFonts w:ascii="Arial" w:eastAsia="Arial" w:hAnsi="Arial" w:cs="Arial"/>
          <w:i/>
          <w:iCs/>
          <w:sz w:val="22"/>
          <w:szCs w:val="24"/>
          <w:lang w:val="es-CO" w:eastAsia="es-ES" w:bidi="es-ES"/>
        </w:rPr>
        <w:t>CRPC</w:t>
      </w:r>
      <w:r w:rsidRPr="0025153E">
        <w:rPr>
          <w:rFonts w:ascii="Arial" w:eastAsia="Arial" w:hAnsi="Arial" w:cs="Arial"/>
          <w:sz w:val="22"/>
          <w:szCs w:val="24"/>
          <w:lang w:val="es-CO" w:eastAsia="es-ES" w:bidi="es-ES"/>
        </w:rPr>
        <w:t xml:space="preserve"> equivale al presupuesto oficial estimado del Proceso de Contratación menos el anticipo o pago anticipado cuando haya lugar. Si lo es, equivale a la proporción lineal de 12 meses del presupuesto oficial estimado menos el anticipo o pago anticipado. En ese sentido, si el plazo del contrato es inferior a 12 meses, se debe aplicar la siguiente formula:</w:t>
      </w:r>
    </w:p>
    <w:p w14:paraId="4CAED00F" w14:textId="77777777" w:rsidR="0025153E" w:rsidRPr="006A71B3" w:rsidRDefault="0025153E" w:rsidP="0025153E">
      <w:pPr>
        <w:widowControl w:val="0"/>
        <w:autoSpaceDE w:val="0"/>
        <w:autoSpaceDN w:val="0"/>
        <w:spacing w:line="276" w:lineRule="auto"/>
        <w:ind w:right="51" w:firstLine="709"/>
        <w:jc w:val="both"/>
        <w:rPr>
          <w:rFonts w:ascii="Arial" w:eastAsia="Arial" w:hAnsi="Arial" w:cs="Arial"/>
          <w:sz w:val="22"/>
          <w:szCs w:val="24"/>
          <w:lang w:val="es-CO" w:eastAsia="es-ES" w:bidi="es-ES"/>
        </w:rPr>
      </w:pPr>
    </w:p>
    <w:p w14:paraId="69709BCD" w14:textId="77777777" w:rsidR="0025153E" w:rsidRPr="006A71B3" w:rsidRDefault="0025153E" w:rsidP="0025153E">
      <w:pPr>
        <w:widowControl w:val="0"/>
        <w:autoSpaceDE w:val="0"/>
        <w:autoSpaceDN w:val="0"/>
        <w:spacing w:line="276" w:lineRule="auto"/>
        <w:ind w:right="51" w:firstLine="709"/>
        <w:jc w:val="both"/>
        <w:rPr>
          <w:rFonts w:ascii="Arial" w:eastAsia="Arial" w:hAnsi="Arial" w:cs="Arial"/>
          <w:sz w:val="22"/>
          <w:szCs w:val="24"/>
          <w:lang w:val="es-CO" w:eastAsia="es-ES" w:bidi="es-ES"/>
        </w:rPr>
      </w:pPr>
      <w:r w:rsidRPr="009D4C11">
        <w:rPr>
          <w:rFonts w:ascii="Arial" w:eastAsia="Arial" w:hAnsi="Arial" w:cs="Arial"/>
          <w:noProof/>
          <w:sz w:val="22"/>
          <w:szCs w:val="24"/>
          <w:lang w:val="es-CO" w:eastAsia="es-CO"/>
        </w:rPr>
        <w:drawing>
          <wp:inline distT="0" distB="0" distL="0" distR="0" wp14:anchorId="02F8A5A9" wp14:editId="2BCE1415">
            <wp:extent cx="4913812" cy="53340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7465" cy="537053"/>
                    </a:xfrm>
                    <a:prstGeom prst="rect">
                      <a:avLst/>
                    </a:prstGeom>
                    <a:noFill/>
                    <a:ln>
                      <a:noFill/>
                    </a:ln>
                  </pic:spPr>
                </pic:pic>
              </a:graphicData>
            </a:graphic>
          </wp:inline>
        </w:drawing>
      </w:r>
    </w:p>
    <w:p w14:paraId="2015E4D6" w14:textId="77777777" w:rsidR="0025153E" w:rsidRPr="006A71B3" w:rsidRDefault="0025153E" w:rsidP="00B34ABE">
      <w:pPr>
        <w:widowControl w:val="0"/>
        <w:autoSpaceDE w:val="0"/>
        <w:autoSpaceDN w:val="0"/>
        <w:spacing w:line="276" w:lineRule="auto"/>
        <w:ind w:firstLine="709"/>
        <w:jc w:val="both"/>
        <w:rPr>
          <w:rFonts w:ascii="Arial" w:eastAsia="Arial" w:hAnsi="Arial" w:cs="Arial"/>
          <w:sz w:val="22"/>
          <w:szCs w:val="24"/>
          <w:lang w:val="es-CO" w:eastAsia="es-ES" w:bidi="es-ES"/>
        </w:rPr>
      </w:pPr>
      <w:r w:rsidRPr="009D4C11">
        <w:rPr>
          <w:rFonts w:ascii="Arial" w:eastAsia="Arial" w:hAnsi="Arial" w:cs="Arial"/>
          <w:noProof/>
          <w:sz w:val="22"/>
          <w:szCs w:val="24"/>
          <w:lang w:val="es-CO" w:eastAsia="es-CO"/>
        </w:rPr>
        <w:drawing>
          <wp:anchor distT="0" distB="0" distL="114300" distR="114300" simplePos="0" relativeHeight="251663360" behindDoc="0" locked="0" layoutInCell="1" allowOverlap="1" wp14:anchorId="1E93DBB3" wp14:editId="2960125C">
            <wp:simplePos x="0" y="0"/>
            <wp:positionH relativeFrom="column">
              <wp:posOffset>481965</wp:posOffset>
            </wp:positionH>
            <wp:positionV relativeFrom="paragraph">
              <wp:posOffset>490220</wp:posOffset>
            </wp:positionV>
            <wp:extent cx="4838700" cy="466541"/>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466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1B3">
        <w:rPr>
          <w:rFonts w:ascii="Arial" w:eastAsia="Arial" w:hAnsi="Arial" w:cs="Arial"/>
          <w:sz w:val="22"/>
          <w:szCs w:val="24"/>
          <w:lang w:val="es-CO" w:eastAsia="es-ES" w:bidi="es-ES"/>
        </w:rPr>
        <w:t xml:space="preserve">Si el plazo es superior a 12 meses para el cálculo de la </w:t>
      </w:r>
      <w:r w:rsidRPr="00F94DBD">
        <w:rPr>
          <w:rFonts w:ascii="Arial" w:eastAsia="Arial" w:hAnsi="Arial" w:cs="Arial"/>
          <w:i/>
          <w:iCs/>
          <w:sz w:val="22"/>
          <w:szCs w:val="24"/>
          <w:lang w:val="es-CO" w:eastAsia="es-ES" w:bidi="es-ES"/>
        </w:rPr>
        <w:t>CPRC</w:t>
      </w:r>
      <w:r w:rsidRPr="006A71B3">
        <w:rPr>
          <w:rFonts w:ascii="Arial" w:eastAsia="Arial" w:hAnsi="Arial" w:cs="Arial"/>
          <w:i/>
          <w:iCs/>
          <w:sz w:val="22"/>
          <w:szCs w:val="24"/>
          <w:lang w:val="es-CO" w:eastAsia="es-ES" w:bidi="es-ES"/>
        </w:rPr>
        <w:t xml:space="preserve">, </w:t>
      </w:r>
      <w:r w:rsidRPr="006A71B3">
        <w:rPr>
          <w:rFonts w:ascii="Arial" w:eastAsia="Arial" w:hAnsi="Arial" w:cs="Arial"/>
          <w:sz w:val="22"/>
          <w:szCs w:val="24"/>
          <w:lang w:val="es-CO" w:eastAsia="es-ES" w:bidi="es-ES"/>
        </w:rPr>
        <w:t>se debe aplicar la siguiente formula:</w:t>
      </w:r>
    </w:p>
    <w:p w14:paraId="2BBF5D04" w14:textId="77777777" w:rsidR="00BD2E1E" w:rsidRPr="00BD2E1E" w:rsidRDefault="00BD2E1E" w:rsidP="00CF6238">
      <w:pPr>
        <w:widowControl w:val="0"/>
        <w:autoSpaceDE w:val="0"/>
        <w:autoSpaceDN w:val="0"/>
        <w:spacing w:before="120" w:line="276" w:lineRule="auto"/>
        <w:ind w:firstLine="709"/>
        <w:jc w:val="both"/>
        <w:rPr>
          <w:rFonts w:ascii="Arial" w:eastAsia="Arial" w:hAnsi="Arial" w:cs="Arial"/>
          <w:sz w:val="22"/>
          <w:lang w:val="es-ES" w:eastAsia="es-ES" w:bidi="es-ES"/>
        </w:rPr>
      </w:pPr>
      <w:r w:rsidRPr="00BD2E1E">
        <w:rPr>
          <w:rFonts w:ascii="Arial" w:eastAsia="Arial" w:hAnsi="Arial" w:cs="Arial"/>
          <w:sz w:val="22"/>
          <w:lang w:val="es-ES" w:eastAsia="es-ES" w:bidi="es-ES"/>
        </w:rPr>
        <w:t>Para lo segundo, es decir, verificar que cada proponente cumple con la CRPC, la entidad pública debe verificar que la capacidad residual del proponente –en adelante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7071CC60" w14:textId="7FB33927" w:rsidR="00BD2E1E" w:rsidRPr="00B34ABE" w:rsidRDefault="00BD2E1E" w:rsidP="00B34ABE">
      <w:pPr>
        <w:widowControl w:val="0"/>
        <w:tabs>
          <w:tab w:val="left" w:pos="709"/>
          <w:tab w:val="left" w:pos="8080"/>
        </w:tabs>
        <w:autoSpaceDE w:val="0"/>
        <w:autoSpaceDN w:val="0"/>
        <w:spacing w:before="10"/>
        <w:ind w:right="49"/>
        <w:rPr>
          <w:rFonts w:ascii="Arial" w:eastAsia="Arial" w:hAnsi="Arial" w:cs="Arial"/>
          <w:sz w:val="18"/>
          <w:lang w:val="es-ES" w:eastAsia="es-ES" w:bidi="es-ES"/>
        </w:rPr>
      </w:pPr>
      <w:r w:rsidRPr="00BD2E1E">
        <w:rPr>
          <w:rFonts w:ascii="Arial" w:eastAsia="Arial" w:hAnsi="Arial" w:cs="Arial"/>
          <w:noProof/>
          <w:sz w:val="22"/>
          <w:lang w:val="es-CO" w:eastAsia="es-CO"/>
        </w:rPr>
        <w:drawing>
          <wp:anchor distT="0" distB="0" distL="0" distR="0" simplePos="0" relativeHeight="251661312" behindDoc="0" locked="0" layoutInCell="1" allowOverlap="1" wp14:anchorId="1B175A4A" wp14:editId="69EF838D">
            <wp:simplePos x="0" y="0"/>
            <wp:positionH relativeFrom="page">
              <wp:posOffset>1545590</wp:posOffset>
            </wp:positionH>
            <wp:positionV relativeFrom="paragraph">
              <wp:posOffset>160655</wp:posOffset>
            </wp:positionV>
            <wp:extent cx="4638040" cy="674370"/>
            <wp:effectExtent l="0" t="0" r="0" b="0"/>
            <wp:wrapTopAndBottom/>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5A1925D3" w14:textId="77777777" w:rsidR="00B34ABE" w:rsidRDefault="00B34ABE" w:rsidP="00B34ABE">
      <w:pPr>
        <w:widowControl w:val="0"/>
        <w:autoSpaceDE w:val="0"/>
        <w:autoSpaceDN w:val="0"/>
        <w:spacing w:line="276" w:lineRule="auto"/>
        <w:ind w:firstLine="709"/>
        <w:jc w:val="both"/>
        <w:rPr>
          <w:rFonts w:ascii="Arial" w:eastAsia="Arial" w:hAnsi="Arial" w:cs="Arial"/>
          <w:sz w:val="22"/>
          <w:lang w:val="es-ES" w:eastAsia="es-ES" w:bidi="es-ES"/>
        </w:rPr>
      </w:pPr>
    </w:p>
    <w:p w14:paraId="58BA6B85" w14:textId="3842147F" w:rsidR="00BD2E1E" w:rsidRPr="00BD2E1E" w:rsidRDefault="00BD2E1E" w:rsidP="00656F2D">
      <w:pPr>
        <w:widowControl w:val="0"/>
        <w:autoSpaceDE w:val="0"/>
        <w:autoSpaceDN w:val="0"/>
        <w:spacing w:after="120" w:line="276" w:lineRule="auto"/>
        <w:ind w:firstLine="709"/>
        <w:jc w:val="both"/>
        <w:rPr>
          <w:rFonts w:ascii="Arial" w:eastAsia="Arial" w:hAnsi="Arial" w:cs="Arial"/>
          <w:sz w:val="22"/>
          <w:lang w:val="es-ES" w:eastAsia="es-ES" w:bidi="es-ES"/>
        </w:rPr>
      </w:pPr>
      <w:r w:rsidRPr="00BD2E1E">
        <w:rPr>
          <w:rFonts w:ascii="Arial" w:eastAsia="Arial" w:hAnsi="Arial" w:cs="Arial"/>
          <w:sz w:val="22"/>
          <w:lang w:val="es-ES" w:eastAsia="es-ES" w:bidi="es-ES"/>
        </w:rPr>
        <w:t>A cada uno de estos factores se les asigna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02BBB5D8" w14:textId="77777777" w:rsidR="00BD2E1E" w:rsidRPr="00BD2E1E" w:rsidRDefault="00BD2E1E" w:rsidP="00CF6238">
      <w:pPr>
        <w:widowControl w:val="0"/>
        <w:numPr>
          <w:ilvl w:val="0"/>
          <w:numId w:val="15"/>
        </w:numPr>
        <w:tabs>
          <w:tab w:val="left" w:pos="993"/>
        </w:tabs>
        <w:autoSpaceDE w:val="0"/>
        <w:autoSpaceDN w:val="0"/>
        <w:spacing w:before="120" w:after="120" w:line="276" w:lineRule="auto"/>
        <w:ind w:left="0" w:firstLine="709"/>
        <w:jc w:val="both"/>
        <w:rPr>
          <w:rFonts w:ascii="Arial" w:eastAsia="Arial" w:hAnsi="Arial" w:cs="Arial"/>
          <w:i/>
          <w:iCs/>
          <w:sz w:val="22"/>
          <w:lang w:val="es-ES" w:eastAsia="es-ES" w:bidi="es-ES"/>
        </w:rPr>
      </w:pPr>
      <w:r w:rsidRPr="00BD2E1E">
        <w:rPr>
          <w:rFonts w:ascii="Arial" w:eastAsia="Arial" w:hAnsi="Arial" w:cs="Arial"/>
          <w:i/>
          <w:iCs/>
          <w:sz w:val="22"/>
          <w:lang w:val="es-ES" w:eastAsia="es-ES" w:bidi="es-ES"/>
        </w:rPr>
        <w:t>Capacidad financiera.</w:t>
      </w:r>
      <w:r w:rsidRPr="00BD2E1E">
        <w:rPr>
          <w:rFonts w:ascii="Arial" w:eastAsia="Arial" w:hAnsi="Arial" w:cs="Arial"/>
          <w:sz w:val="22"/>
          <w:lang w:val="es-ES" w:eastAsia="es-ES" w:bidi="es-ES"/>
        </w:rPr>
        <w:t xml:space="preserve"> Se mide por el «índice de liquidez» y este, a su vez, corresponde al resultado de dividir el «activo corriente» sobre el «pasivo corriente». El resultado puede ser calificado entre 20 y cuarenta puntos, según se explica en la Guía.</w:t>
      </w:r>
    </w:p>
    <w:p w14:paraId="763BE1DA" w14:textId="77777777" w:rsidR="00BD2E1E" w:rsidRPr="00BD2E1E" w:rsidRDefault="00BD2E1E" w:rsidP="00CF6238">
      <w:pPr>
        <w:widowControl w:val="0"/>
        <w:numPr>
          <w:ilvl w:val="0"/>
          <w:numId w:val="15"/>
        </w:numPr>
        <w:tabs>
          <w:tab w:val="left" w:pos="993"/>
        </w:tabs>
        <w:autoSpaceDE w:val="0"/>
        <w:autoSpaceDN w:val="0"/>
        <w:spacing w:before="120" w:after="120" w:line="276" w:lineRule="auto"/>
        <w:ind w:left="0" w:firstLine="709"/>
        <w:jc w:val="both"/>
        <w:rPr>
          <w:rFonts w:ascii="Arial" w:eastAsia="Arial" w:hAnsi="Arial" w:cs="Arial"/>
          <w:i/>
          <w:iCs/>
          <w:sz w:val="22"/>
          <w:lang w:val="es-ES" w:eastAsia="es-ES" w:bidi="es-ES"/>
        </w:rPr>
      </w:pPr>
      <w:r w:rsidRPr="00BD2E1E">
        <w:rPr>
          <w:rFonts w:ascii="Arial" w:eastAsia="Arial" w:hAnsi="Arial" w:cs="Arial"/>
          <w:i/>
          <w:iCs/>
          <w:sz w:val="22"/>
          <w:lang w:val="es-ES" w:eastAsia="es-ES" w:bidi="es-ES"/>
        </w:rPr>
        <w:t>Capacidad técnica</w:t>
      </w:r>
      <w:r w:rsidRPr="00BD2E1E">
        <w:rPr>
          <w:rFonts w:ascii="Arial" w:eastAsia="Arial" w:hAnsi="Arial" w:cs="Arial"/>
          <w:sz w:val="22"/>
          <w:lang w:val="es-ES" w:eastAsia="es-ES" w:bidi="es-ES"/>
        </w:rPr>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725465DA" w14:textId="77777777" w:rsidR="00BD2E1E" w:rsidRPr="00BD2E1E" w:rsidRDefault="00BD2E1E" w:rsidP="00B34ABE">
      <w:pPr>
        <w:widowControl w:val="0"/>
        <w:numPr>
          <w:ilvl w:val="0"/>
          <w:numId w:val="15"/>
        </w:numPr>
        <w:tabs>
          <w:tab w:val="left" w:pos="993"/>
        </w:tabs>
        <w:autoSpaceDE w:val="0"/>
        <w:autoSpaceDN w:val="0"/>
        <w:spacing w:before="120" w:line="276" w:lineRule="auto"/>
        <w:ind w:left="0" w:firstLine="709"/>
        <w:jc w:val="both"/>
        <w:rPr>
          <w:rFonts w:ascii="Arial" w:eastAsia="Arial" w:hAnsi="Arial" w:cs="Arial"/>
          <w:i/>
          <w:iCs/>
          <w:sz w:val="22"/>
          <w:lang w:val="es-ES" w:eastAsia="es-ES" w:bidi="es-ES"/>
        </w:rPr>
      </w:pPr>
      <w:r w:rsidRPr="00BD2E1E">
        <w:rPr>
          <w:rFonts w:ascii="Arial" w:eastAsia="Arial" w:hAnsi="Arial" w:cs="Arial"/>
          <w:i/>
          <w:iCs/>
          <w:sz w:val="22"/>
          <w:lang w:val="es-ES" w:eastAsia="es-ES" w:bidi="es-ES"/>
        </w:rPr>
        <w:t>Capacidad de organización</w:t>
      </w:r>
      <w:r w:rsidRPr="00BD2E1E">
        <w:rPr>
          <w:rFonts w:ascii="Arial" w:eastAsia="Arial" w:hAnsi="Arial" w:cs="Arial"/>
          <w:sz w:val="22"/>
          <w:lang w:val="es-ES" w:eastAsia="es-ES" w:bidi="es-ES"/>
        </w:rPr>
        <w:t>. Corresponde a los ingresos operacionales, según el siguiente cuadro:</w:t>
      </w:r>
    </w:p>
    <w:p w14:paraId="2AD43E21" w14:textId="77777777" w:rsidR="00BD2E1E" w:rsidRPr="00BD2E1E" w:rsidRDefault="00BD2E1E" w:rsidP="00BD2E1E">
      <w:pPr>
        <w:widowControl w:val="0"/>
        <w:tabs>
          <w:tab w:val="left" w:pos="993"/>
        </w:tabs>
        <w:autoSpaceDE w:val="0"/>
        <w:autoSpaceDN w:val="0"/>
        <w:spacing w:line="276" w:lineRule="auto"/>
        <w:ind w:left="709" w:right="51"/>
        <w:jc w:val="both"/>
        <w:rPr>
          <w:rFonts w:ascii="Arial" w:eastAsia="Arial" w:hAnsi="Arial" w:cs="Arial"/>
          <w:i/>
          <w:iCs/>
          <w:sz w:val="22"/>
          <w:lang w:val="es-ES" w:eastAsia="es-ES" w:bidi="es-ES"/>
        </w:rPr>
      </w:pPr>
    </w:p>
    <w:tbl>
      <w:tblPr>
        <w:tblW w:w="0" w:type="auto"/>
        <w:jc w:val="center"/>
        <w:tblLayout w:type="fixed"/>
        <w:tblLook w:val="04A0" w:firstRow="1" w:lastRow="0" w:firstColumn="1" w:lastColumn="0" w:noHBand="0" w:noVBand="1"/>
      </w:tblPr>
      <w:tblGrid>
        <w:gridCol w:w="2204"/>
        <w:gridCol w:w="5436"/>
      </w:tblGrid>
      <w:tr w:rsidR="00CF6238" w:rsidRPr="00B964E1" w14:paraId="1B002307" w14:textId="77777777" w:rsidTr="00CF6238">
        <w:trPr>
          <w:trHeight w:val="554"/>
          <w:tblHeader/>
          <w:jc w:val="center"/>
        </w:trPr>
        <w:tc>
          <w:tcPr>
            <w:tcW w:w="2204"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1FEE61AB" w14:textId="77777777" w:rsidR="00CF6238" w:rsidRPr="00CF6238" w:rsidRDefault="00CF6238" w:rsidP="00364AC3">
            <w:pPr>
              <w:autoSpaceDE w:val="0"/>
              <w:autoSpaceDN w:val="0"/>
              <w:adjustRightInd w:val="0"/>
              <w:spacing w:line="276" w:lineRule="auto"/>
              <w:jc w:val="center"/>
              <w:rPr>
                <w:rFonts w:ascii="Arial" w:eastAsia="Arial Narrow" w:hAnsi="Arial" w:cs="Arial"/>
                <w:b/>
                <w:color w:val="DBDBDB" w:themeColor="background1"/>
                <w:sz w:val="20"/>
                <w:szCs w:val="20"/>
              </w:rPr>
            </w:pPr>
            <w:r w:rsidRPr="00CF6238">
              <w:rPr>
                <w:rFonts w:ascii="Arial" w:hAnsi="Arial" w:cs="Arial"/>
                <w:b/>
                <w:color w:val="DBDBDB" w:themeColor="background1"/>
                <w:sz w:val="20"/>
                <w:szCs w:val="20"/>
              </w:rPr>
              <w:t>Años</w:t>
            </w:r>
            <w:r w:rsidRPr="00CF6238">
              <w:rPr>
                <w:rFonts w:ascii="Arial" w:eastAsia="Arial Narrow" w:hAnsi="Arial" w:cs="Arial"/>
                <w:b/>
                <w:color w:val="DBDBDB" w:themeColor="background1"/>
                <w:sz w:val="20"/>
                <w:szCs w:val="20"/>
              </w:rPr>
              <w:t xml:space="preserve"> </w:t>
            </w:r>
            <w:r w:rsidRPr="00CF6238">
              <w:rPr>
                <w:rFonts w:ascii="Arial" w:hAnsi="Arial" w:cs="Arial"/>
                <w:b/>
                <w:color w:val="DBDBDB" w:themeColor="background1"/>
                <w:sz w:val="20"/>
                <w:szCs w:val="20"/>
              </w:rPr>
              <w:t>de</w:t>
            </w:r>
            <w:r w:rsidRPr="00CF6238">
              <w:rPr>
                <w:rFonts w:ascii="Arial" w:eastAsia="Arial Narrow" w:hAnsi="Arial" w:cs="Arial"/>
                <w:b/>
                <w:color w:val="DBDBDB" w:themeColor="background1"/>
                <w:sz w:val="20"/>
                <w:szCs w:val="20"/>
              </w:rPr>
              <w:t xml:space="preserve"> </w:t>
            </w:r>
            <w:r w:rsidRPr="00CF6238">
              <w:rPr>
                <w:rFonts w:ascii="Arial" w:hAnsi="Arial" w:cs="Arial"/>
                <w:b/>
                <w:color w:val="DBDBDB" w:themeColor="background1"/>
                <w:sz w:val="20"/>
                <w:szCs w:val="20"/>
              </w:rPr>
              <w:t>información</w:t>
            </w:r>
            <w:r w:rsidRPr="00CF6238">
              <w:rPr>
                <w:rFonts w:ascii="Arial" w:eastAsia="Arial Narrow" w:hAnsi="Arial" w:cs="Arial"/>
                <w:b/>
                <w:color w:val="DBDBDB" w:themeColor="background1"/>
                <w:sz w:val="20"/>
                <w:szCs w:val="20"/>
              </w:rPr>
              <w:t xml:space="preserve"> </w:t>
            </w:r>
            <w:r w:rsidRPr="00CF6238">
              <w:rPr>
                <w:rFonts w:ascii="Arial" w:hAnsi="Arial" w:cs="Arial"/>
                <w:b/>
                <w:color w:val="DBDBDB" w:themeColor="background1"/>
                <w:sz w:val="20"/>
                <w:szCs w:val="20"/>
              </w:rPr>
              <w:t>financiera</w:t>
            </w:r>
            <w:r w:rsidRPr="00CF6238">
              <w:rPr>
                <w:rFonts w:ascii="Arial" w:eastAsia="Arial Narrow" w:hAnsi="Arial" w:cs="Arial"/>
                <w:b/>
                <w:color w:val="DBDBDB" w:themeColor="background1"/>
                <w:sz w:val="20"/>
                <w:szCs w:val="20"/>
              </w:rPr>
              <w:t xml:space="preserve"> </w:t>
            </w:r>
          </w:p>
        </w:tc>
        <w:tc>
          <w:tcPr>
            <w:tcW w:w="5436"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1725AA3A" w14:textId="77777777" w:rsidR="00CF6238" w:rsidRPr="00CF6238" w:rsidRDefault="00CF6238" w:rsidP="00364AC3">
            <w:pPr>
              <w:autoSpaceDE w:val="0"/>
              <w:autoSpaceDN w:val="0"/>
              <w:adjustRightInd w:val="0"/>
              <w:spacing w:line="276" w:lineRule="auto"/>
              <w:jc w:val="center"/>
              <w:rPr>
                <w:rFonts w:ascii="Arial" w:eastAsia="Arial Narrow" w:hAnsi="Arial" w:cs="Arial"/>
                <w:b/>
                <w:color w:val="DBDBDB" w:themeColor="background1"/>
                <w:sz w:val="20"/>
                <w:szCs w:val="20"/>
              </w:rPr>
            </w:pPr>
            <w:r w:rsidRPr="00CF6238">
              <w:rPr>
                <w:rFonts w:ascii="Arial" w:hAnsi="Arial" w:cs="Arial"/>
                <w:b/>
                <w:color w:val="DBDBDB" w:themeColor="background1"/>
                <w:sz w:val="20"/>
                <w:szCs w:val="20"/>
              </w:rPr>
              <w:t>Capacidad</w:t>
            </w:r>
            <w:r w:rsidRPr="00CF6238">
              <w:rPr>
                <w:rFonts w:ascii="Arial" w:eastAsia="Arial Narrow" w:hAnsi="Arial" w:cs="Arial"/>
                <w:b/>
                <w:color w:val="DBDBDB" w:themeColor="background1"/>
                <w:sz w:val="20"/>
                <w:szCs w:val="20"/>
              </w:rPr>
              <w:t xml:space="preserve"> </w:t>
            </w:r>
            <w:r w:rsidRPr="00CF6238">
              <w:rPr>
                <w:rFonts w:ascii="Arial" w:hAnsi="Arial" w:cs="Arial"/>
                <w:b/>
                <w:color w:val="DBDBDB" w:themeColor="background1"/>
                <w:sz w:val="20"/>
                <w:szCs w:val="20"/>
              </w:rPr>
              <w:t>de</w:t>
            </w:r>
            <w:r w:rsidRPr="00CF6238">
              <w:rPr>
                <w:rFonts w:ascii="Arial" w:eastAsia="Arial Narrow" w:hAnsi="Arial" w:cs="Arial"/>
                <w:b/>
                <w:color w:val="DBDBDB" w:themeColor="background1"/>
                <w:sz w:val="20"/>
                <w:szCs w:val="20"/>
              </w:rPr>
              <w:t xml:space="preserve"> </w:t>
            </w:r>
            <w:r w:rsidRPr="00CF6238">
              <w:rPr>
                <w:rFonts w:ascii="Arial" w:hAnsi="Arial" w:cs="Arial"/>
                <w:b/>
                <w:color w:val="DBDBDB" w:themeColor="background1"/>
                <w:sz w:val="20"/>
                <w:szCs w:val="20"/>
              </w:rPr>
              <w:t>organización</w:t>
            </w:r>
            <w:r w:rsidRPr="00CF6238">
              <w:rPr>
                <w:rFonts w:ascii="Arial" w:eastAsia="Arial Narrow" w:hAnsi="Arial" w:cs="Arial"/>
                <w:b/>
                <w:color w:val="DBDBDB" w:themeColor="background1"/>
                <w:sz w:val="20"/>
                <w:szCs w:val="20"/>
              </w:rPr>
              <w:t xml:space="preserve"> </w:t>
            </w:r>
            <w:r w:rsidRPr="00CF6238">
              <w:rPr>
                <w:rFonts w:ascii="Arial" w:hAnsi="Arial" w:cs="Arial"/>
                <w:b/>
                <w:color w:val="DBDBDB" w:themeColor="background1"/>
                <w:sz w:val="20"/>
                <w:szCs w:val="20"/>
              </w:rPr>
              <w:t>(CO)</w:t>
            </w:r>
            <w:r w:rsidRPr="00CF6238">
              <w:rPr>
                <w:rFonts w:ascii="Arial" w:eastAsia="Arial Narrow" w:hAnsi="Arial" w:cs="Arial"/>
                <w:b/>
                <w:color w:val="DBDBDB" w:themeColor="background1"/>
                <w:sz w:val="20"/>
                <w:szCs w:val="20"/>
              </w:rPr>
              <w:t xml:space="preserve"> </w:t>
            </w:r>
          </w:p>
        </w:tc>
      </w:tr>
      <w:tr w:rsidR="00CF6238" w:rsidRPr="00B964E1" w14:paraId="35ACA2F5" w14:textId="77777777" w:rsidTr="00CF6238">
        <w:trPr>
          <w:trHeight w:val="373"/>
          <w:jc w:val="center"/>
        </w:trPr>
        <w:tc>
          <w:tcPr>
            <w:tcW w:w="2204"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6F4C809B" w14:textId="77777777" w:rsidR="00CF6238" w:rsidRPr="00CF6238" w:rsidRDefault="00CF6238" w:rsidP="00364AC3">
            <w:pPr>
              <w:autoSpaceDE w:val="0"/>
              <w:autoSpaceDN w:val="0"/>
              <w:adjustRightInd w:val="0"/>
              <w:spacing w:line="276" w:lineRule="auto"/>
              <w:jc w:val="center"/>
              <w:rPr>
                <w:rFonts w:ascii="Arial" w:eastAsia="Arial Narrow" w:hAnsi="Arial" w:cs="Arial"/>
                <w:color w:val="000000" w:themeColor="text1"/>
                <w:sz w:val="20"/>
                <w:szCs w:val="20"/>
              </w:rPr>
            </w:pPr>
            <w:r w:rsidRPr="00CF6238">
              <w:rPr>
                <w:rFonts w:ascii="Arial" w:hAnsi="Arial" w:cs="Arial"/>
                <w:color w:val="000000" w:themeColor="text1"/>
                <w:sz w:val="20"/>
                <w:szCs w:val="20"/>
              </w:rPr>
              <w:t>Cinco</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(5)</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años</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o</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más</w:t>
            </w:r>
          </w:p>
        </w:tc>
        <w:tc>
          <w:tcPr>
            <w:tcW w:w="5436"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64EEBBEF" w14:textId="77777777" w:rsidR="00CF6238" w:rsidRPr="00CF6238" w:rsidRDefault="00CF6238" w:rsidP="00364AC3">
            <w:pPr>
              <w:autoSpaceDE w:val="0"/>
              <w:autoSpaceDN w:val="0"/>
              <w:adjustRightInd w:val="0"/>
              <w:spacing w:line="276" w:lineRule="auto"/>
              <w:jc w:val="both"/>
              <w:rPr>
                <w:rFonts w:ascii="Arial" w:eastAsia="Arial Narrow" w:hAnsi="Arial" w:cs="Arial"/>
                <w:color w:val="000000" w:themeColor="text1"/>
                <w:sz w:val="20"/>
                <w:szCs w:val="20"/>
              </w:rPr>
            </w:pPr>
            <w:r w:rsidRPr="00CF6238">
              <w:rPr>
                <w:rFonts w:ascii="Arial" w:hAnsi="Arial" w:cs="Arial"/>
                <w:color w:val="000000" w:themeColor="text1"/>
                <w:sz w:val="20"/>
                <w:szCs w:val="20"/>
              </w:rPr>
              <w:t>Mayor</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ingreso</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operacional</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de</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los</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últimos</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5</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años</w:t>
            </w:r>
          </w:p>
        </w:tc>
      </w:tr>
      <w:tr w:rsidR="00CF6238" w:rsidRPr="00B964E1" w14:paraId="72ADE510" w14:textId="77777777" w:rsidTr="00CF6238">
        <w:trPr>
          <w:trHeight w:val="230"/>
          <w:jc w:val="center"/>
        </w:trPr>
        <w:tc>
          <w:tcPr>
            <w:tcW w:w="2204"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3AF45065" w14:textId="77777777" w:rsidR="00CF6238" w:rsidRPr="00CF6238" w:rsidRDefault="00CF6238" w:rsidP="00364AC3">
            <w:pPr>
              <w:autoSpaceDE w:val="0"/>
              <w:autoSpaceDN w:val="0"/>
              <w:adjustRightInd w:val="0"/>
              <w:spacing w:line="276" w:lineRule="auto"/>
              <w:jc w:val="center"/>
              <w:rPr>
                <w:rFonts w:ascii="Arial" w:eastAsia="Arial Narrow" w:hAnsi="Arial" w:cs="Arial"/>
                <w:color w:val="000000" w:themeColor="text1"/>
                <w:sz w:val="20"/>
                <w:szCs w:val="20"/>
              </w:rPr>
            </w:pPr>
            <w:r w:rsidRPr="00CF6238">
              <w:rPr>
                <w:rFonts w:ascii="Arial" w:hAnsi="Arial" w:cs="Arial"/>
                <w:color w:val="000000" w:themeColor="text1"/>
                <w:sz w:val="20"/>
                <w:szCs w:val="20"/>
              </w:rPr>
              <w:t>Entre</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uno</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(1)</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y</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cinco</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(5)</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años</w:t>
            </w:r>
          </w:p>
        </w:tc>
        <w:tc>
          <w:tcPr>
            <w:tcW w:w="5436"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49BCFFCB" w14:textId="77777777" w:rsidR="00CF6238" w:rsidRPr="00CF6238" w:rsidRDefault="00CF6238" w:rsidP="00364AC3">
            <w:pPr>
              <w:autoSpaceDE w:val="0"/>
              <w:autoSpaceDN w:val="0"/>
              <w:adjustRightInd w:val="0"/>
              <w:spacing w:line="276" w:lineRule="auto"/>
              <w:jc w:val="both"/>
              <w:rPr>
                <w:rFonts w:ascii="Arial" w:eastAsia="Arial Narrow" w:hAnsi="Arial" w:cs="Arial"/>
                <w:color w:val="000000" w:themeColor="text1"/>
                <w:sz w:val="20"/>
                <w:szCs w:val="20"/>
              </w:rPr>
            </w:pPr>
            <w:r w:rsidRPr="00CF6238">
              <w:rPr>
                <w:rFonts w:ascii="Arial" w:hAnsi="Arial" w:cs="Arial"/>
                <w:color w:val="000000" w:themeColor="text1"/>
                <w:sz w:val="20"/>
                <w:szCs w:val="20"/>
              </w:rPr>
              <w:t>Mayor</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ingreso</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operacional</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de</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 xml:space="preserve">los años de existencia del proponente. </w:t>
            </w:r>
          </w:p>
        </w:tc>
      </w:tr>
      <w:tr w:rsidR="00CF6238" w:rsidRPr="00B964E1" w14:paraId="11EA1CE0" w14:textId="77777777" w:rsidTr="00CF6238">
        <w:trPr>
          <w:trHeight w:val="233"/>
          <w:jc w:val="center"/>
        </w:trPr>
        <w:tc>
          <w:tcPr>
            <w:tcW w:w="2204" w:type="dxa"/>
            <w:tcBorders>
              <w:top w:val="single" w:sz="6" w:space="0" w:color="000000" w:themeColor="text1"/>
              <w:left w:val="double" w:sz="4" w:space="0" w:color="auto"/>
              <w:bottom w:val="double" w:sz="4" w:space="0" w:color="auto"/>
              <w:right w:val="single" w:sz="6" w:space="0" w:color="000000" w:themeColor="text1"/>
            </w:tcBorders>
            <w:vAlign w:val="center"/>
            <w:hideMark/>
          </w:tcPr>
          <w:p w14:paraId="14397A3F" w14:textId="77777777" w:rsidR="00CF6238" w:rsidRPr="00CF6238" w:rsidRDefault="00CF6238" w:rsidP="00364AC3">
            <w:pPr>
              <w:autoSpaceDE w:val="0"/>
              <w:autoSpaceDN w:val="0"/>
              <w:adjustRightInd w:val="0"/>
              <w:spacing w:line="276" w:lineRule="auto"/>
              <w:jc w:val="center"/>
              <w:rPr>
                <w:rFonts w:ascii="Arial" w:eastAsia="Arial Narrow" w:hAnsi="Arial" w:cs="Arial"/>
                <w:color w:val="000000" w:themeColor="text1"/>
                <w:sz w:val="20"/>
                <w:szCs w:val="20"/>
              </w:rPr>
            </w:pPr>
            <w:r w:rsidRPr="00CF6238">
              <w:rPr>
                <w:rFonts w:ascii="Arial" w:hAnsi="Arial" w:cs="Arial"/>
                <w:color w:val="000000" w:themeColor="text1"/>
                <w:sz w:val="20"/>
                <w:szCs w:val="20"/>
              </w:rPr>
              <w:t>Menos</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de</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un</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(1)</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año</w:t>
            </w:r>
            <w:r w:rsidRPr="00CF6238">
              <w:rPr>
                <w:rFonts w:ascii="Arial" w:eastAsia="Arial Narrow" w:hAnsi="Arial" w:cs="Arial"/>
                <w:color w:val="000000" w:themeColor="text1"/>
                <w:sz w:val="20"/>
                <w:szCs w:val="20"/>
              </w:rPr>
              <w:t xml:space="preserve"> (*)</w:t>
            </w:r>
          </w:p>
        </w:tc>
        <w:tc>
          <w:tcPr>
            <w:tcW w:w="5436" w:type="dxa"/>
            <w:tcBorders>
              <w:top w:val="single" w:sz="6" w:space="0" w:color="000000" w:themeColor="text1"/>
              <w:left w:val="single" w:sz="6" w:space="0" w:color="000000" w:themeColor="text1"/>
              <w:bottom w:val="double" w:sz="4" w:space="0" w:color="auto"/>
              <w:right w:val="double" w:sz="4" w:space="0" w:color="auto"/>
            </w:tcBorders>
            <w:hideMark/>
          </w:tcPr>
          <w:p w14:paraId="7C1377DC" w14:textId="77777777" w:rsidR="00CF6238" w:rsidRPr="00CF6238" w:rsidRDefault="00CF6238" w:rsidP="00364AC3">
            <w:pPr>
              <w:autoSpaceDE w:val="0"/>
              <w:autoSpaceDN w:val="0"/>
              <w:adjustRightInd w:val="0"/>
              <w:spacing w:line="276" w:lineRule="auto"/>
              <w:jc w:val="both"/>
              <w:rPr>
                <w:rFonts w:ascii="Arial" w:eastAsia="Arial Narrow" w:hAnsi="Arial" w:cs="Arial"/>
                <w:color w:val="000000" w:themeColor="text1"/>
                <w:sz w:val="20"/>
                <w:szCs w:val="20"/>
              </w:rPr>
            </w:pPr>
            <w:r w:rsidRPr="00CF6238">
              <w:rPr>
                <w:rFonts w:ascii="Arial" w:hAnsi="Arial" w:cs="Arial"/>
                <w:color w:val="000000" w:themeColor="text1"/>
                <w:sz w:val="20"/>
                <w:szCs w:val="20"/>
              </w:rPr>
              <w:t>USD</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125.000</w:t>
            </w:r>
            <w:r w:rsidRPr="00CF6238">
              <w:rPr>
                <w:rFonts w:ascii="Arial" w:eastAsia="Arial Narrow" w:hAnsi="Arial" w:cs="Arial"/>
                <w:color w:val="000000" w:themeColor="text1"/>
                <w:sz w:val="20"/>
                <w:szCs w:val="20"/>
              </w:rPr>
              <w:t xml:space="preserve"> (</w:t>
            </w:r>
            <w:r w:rsidRPr="00CF6238">
              <w:rPr>
                <w:rFonts w:ascii="Arial" w:hAnsi="Arial" w:cs="Arial"/>
                <w:color w:val="000000" w:themeColor="text1"/>
                <w:sz w:val="20"/>
                <w:szCs w:val="20"/>
              </w:rPr>
              <w:t>Liquidados a la tasa de cambio determinada por el Ministerio de Comercio, Industria y Turismo cada 2 años para efectos del umbral del beneficio de las Mipyme.</w:t>
            </w:r>
            <w:r w:rsidRPr="00CF6238">
              <w:rPr>
                <w:rFonts w:ascii="Arial" w:eastAsia="Arial Narrow" w:hAnsi="Arial" w:cs="Arial"/>
                <w:color w:val="000000" w:themeColor="text1"/>
                <w:sz w:val="20"/>
                <w:szCs w:val="20"/>
              </w:rPr>
              <w:t>)</w:t>
            </w:r>
          </w:p>
        </w:tc>
      </w:tr>
    </w:tbl>
    <w:p w14:paraId="6A18DB17" w14:textId="77777777" w:rsidR="00BD2E1E" w:rsidRPr="00CF6238" w:rsidRDefault="00BD2E1E" w:rsidP="00BD2E1E">
      <w:pPr>
        <w:widowControl w:val="0"/>
        <w:tabs>
          <w:tab w:val="left" w:pos="993"/>
        </w:tabs>
        <w:autoSpaceDE w:val="0"/>
        <w:autoSpaceDN w:val="0"/>
        <w:spacing w:line="276" w:lineRule="auto"/>
        <w:ind w:left="709" w:right="51"/>
        <w:jc w:val="both"/>
        <w:rPr>
          <w:rFonts w:ascii="Arial" w:eastAsia="Arial" w:hAnsi="Arial" w:cs="Arial"/>
          <w:i/>
          <w:iCs/>
          <w:sz w:val="22"/>
          <w:lang w:eastAsia="es-ES" w:bidi="es-ES"/>
        </w:rPr>
      </w:pPr>
    </w:p>
    <w:p w14:paraId="569A01C8" w14:textId="77777777" w:rsidR="00BD2E1E" w:rsidRPr="00BD2E1E" w:rsidRDefault="00BD2E1E" w:rsidP="00656F2D">
      <w:pPr>
        <w:widowControl w:val="0"/>
        <w:numPr>
          <w:ilvl w:val="0"/>
          <w:numId w:val="15"/>
        </w:numPr>
        <w:tabs>
          <w:tab w:val="left" w:pos="993"/>
        </w:tabs>
        <w:autoSpaceDE w:val="0"/>
        <w:autoSpaceDN w:val="0"/>
        <w:spacing w:after="120" w:line="276" w:lineRule="auto"/>
        <w:ind w:left="0" w:firstLine="709"/>
        <w:jc w:val="both"/>
        <w:rPr>
          <w:rFonts w:ascii="Arial" w:eastAsia="Arial" w:hAnsi="Arial" w:cs="Arial"/>
          <w:sz w:val="22"/>
          <w:lang w:val="es-ES" w:eastAsia="es-ES" w:bidi="es-ES"/>
        </w:rPr>
      </w:pPr>
      <w:r w:rsidRPr="00BD2E1E">
        <w:rPr>
          <w:rFonts w:ascii="Arial" w:eastAsia="Arial" w:hAnsi="Arial" w:cs="Arial"/>
          <w:i/>
          <w:iCs/>
          <w:sz w:val="22"/>
          <w:lang w:val="es-ES" w:eastAsia="es-ES" w:bidi="es-ES"/>
        </w:rPr>
        <w:t>Saldos de los contratos en ejecución</w:t>
      </w:r>
      <w:r w:rsidRPr="00BD2E1E">
        <w:rPr>
          <w:rFonts w:ascii="Arial" w:eastAsia="Arial" w:hAnsi="Arial" w:cs="Arial"/>
          <w:sz w:val="22"/>
          <w:lang w:val="es-ES" w:eastAsia="es-ES" w:bidi="es-ES"/>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14:paraId="6D433C3B" w14:textId="77777777" w:rsidR="00BD2E1E" w:rsidRPr="00BD2E1E" w:rsidRDefault="00BD2E1E" w:rsidP="00B34ABE">
      <w:pPr>
        <w:widowControl w:val="0"/>
        <w:numPr>
          <w:ilvl w:val="0"/>
          <w:numId w:val="15"/>
        </w:numPr>
        <w:tabs>
          <w:tab w:val="left" w:pos="993"/>
        </w:tabs>
        <w:autoSpaceDE w:val="0"/>
        <w:autoSpaceDN w:val="0"/>
        <w:spacing w:before="120" w:line="276" w:lineRule="auto"/>
        <w:ind w:left="0" w:firstLine="709"/>
        <w:jc w:val="both"/>
        <w:rPr>
          <w:rFonts w:ascii="Arial" w:eastAsia="Arial" w:hAnsi="Arial" w:cs="Arial"/>
          <w:sz w:val="22"/>
          <w:lang w:val="es-ES" w:eastAsia="es-ES" w:bidi="es-ES"/>
        </w:rPr>
      </w:pPr>
      <w:r w:rsidRPr="00BD2E1E">
        <w:rPr>
          <w:rFonts w:ascii="Arial" w:eastAsia="Arial" w:hAnsi="Arial" w:cs="Arial"/>
          <w:i/>
          <w:iCs/>
          <w:sz w:val="22"/>
          <w:lang w:val="es-ES" w:eastAsia="es-ES" w:bidi="es-ES"/>
        </w:rPr>
        <w:t>Experiencia</w:t>
      </w:r>
      <w:r w:rsidRPr="00BD2E1E">
        <w:rPr>
          <w:rFonts w:ascii="Arial" w:eastAsia="Arial" w:hAnsi="Arial" w:cs="Arial"/>
          <w:sz w:val="22"/>
          <w:lang w:val="es-ES" w:eastAsia="es-ES" w:bidi="es-ES"/>
        </w:rPr>
        <w:t>. Para efectos de la capacidad residual, corresponde a la relación entre «el valor total en pesos de los contratos relacionados con la actividad de la construcción inscritos por el proponente en el Registro Único de Proponentes –RUP– en el segmento 72 […] del Clasificador de Bienes y Servicios», de un lado, y el presupuesto oficial estimado del Proceso de Contratación, del otro. La relación indica el número de veces que el proponente ha ejecutado contratos equivalentes a la cuantía del proceso de contratación, según se explica en esta fórmula:</w:t>
      </w:r>
    </w:p>
    <w:p w14:paraId="476A96D3" w14:textId="77777777" w:rsidR="00BD2E1E" w:rsidRPr="00BD2E1E" w:rsidRDefault="00BD2E1E" w:rsidP="00BD2E1E">
      <w:pPr>
        <w:widowControl w:val="0"/>
        <w:autoSpaceDE w:val="0"/>
        <w:autoSpaceDN w:val="0"/>
        <w:spacing w:line="276" w:lineRule="auto"/>
        <w:ind w:right="51"/>
        <w:jc w:val="both"/>
        <w:rPr>
          <w:rFonts w:ascii="Arial" w:eastAsia="Arial" w:hAnsi="Arial" w:cs="Arial"/>
          <w:sz w:val="22"/>
          <w:lang w:val="es-ES" w:eastAsia="es-ES" w:bidi="es-ES"/>
        </w:rPr>
      </w:pPr>
    </w:p>
    <w:p w14:paraId="5F28EC00" w14:textId="77777777" w:rsidR="00BD2E1E" w:rsidRPr="00BD2E1E" w:rsidRDefault="00BD2E1E" w:rsidP="00BD2E1E">
      <w:pPr>
        <w:widowControl w:val="0"/>
        <w:autoSpaceDE w:val="0"/>
        <w:autoSpaceDN w:val="0"/>
        <w:spacing w:line="276" w:lineRule="auto"/>
        <w:ind w:left="709" w:right="758"/>
        <w:jc w:val="both"/>
        <w:rPr>
          <w:rFonts w:ascii="Arial" w:eastAsia="Arial" w:hAnsi="Arial" w:cs="Arial"/>
          <w:sz w:val="22"/>
          <w:lang w:val="es-ES" w:eastAsia="es-ES" w:bidi="es-ES"/>
        </w:rPr>
      </w:pPr>
      <w:r w:rsidRPr="00BD2E1E">
        <w:rPr>
          <w:rFonts w:ascii="Arial" w:eastAsia="Arial" w:hAnsi="Arial" w:cs="Arial"/>
          <w:noProof/>
          <w:sz w:val="22"/>
          <w:lang w:val="es-CO" w:eastAsia="es-CO"/>
        </w:rPr>
        <w:drawing>
          <wp:inline distT="0" distB="0" distL="0" distR="0" wp14:anchorId="24969AAE" wp14:editId="40B8D29D">
            <wp:extent cx="4696459" cy="61531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3FF2A38D" w14:textId="77777777" w:rsidR="00BD2E1E" w:rsidRPr="00BD2E1E" w:rsidRDefault="00BD2E1E" w:rsidP="00BD2E1E">
      <w:pPr>
        <w:widowControl w:val="0"/>
        <w:autoSpaceDE w:val="0"/>
        <w:autoSpaceDN w:val="0"/>
        <w:spacing w:line="276" w:lineRule="auto"/>
        <w:ind w:right="51"/>
        <w:jc w:val="both"/>
        <w:rPr>
          <w:rFonts w:ascii="Arial" w:eastAsia="Arial" w:hAnsi="Arial" w:cs="Arial"/>
          <w:sz w:val="22"/>
          <w:lang w:val="es-ES" w:eastAsia="es-ES" w:bidi="es-ES"/>
        </w:rPr>
      </w:pPr>
    </w:p>
    <w:p w14:paraId="76AA9FAC" w14:textId="34C39C02" w:rsidR="00BD2E1E" w:rsidRDefault="00074665" w:rsidP="0032142F">
      <w:pPr>
        <w:widowControl w:val="0"/>
        <w:autoSpaceDE w:val="0"/>
        <w:autoSpaceDN w:val="0"/>
        <w:spacing w:line="276" w:lineRule="auto"/>
        <w:ind w:firstLine="709"/>
        <w:jc w:val="both"/>
        <w:rPr>
          <w:rFonts w:ascii="Arial" w:eastAsia="Arial" w:hAnsi="Arial" w:cs="Arial"/>
          <w:sz w:val="22"/>
          <w:lang w:val="es-ES" w:eastAsia="es-ES" w:bidi="es-ES"/>
        </w:rPr>
      </w:pPr>
      <w:r>
        <w:rPr>
          <w:rFonts w:ascii="Arial" w:eastAsia="Arial" w:hAnsi="Arial" w:cs="Arial"/>
          <w:sz w:val="22"/>
          <w:lang w:val="es-ES" w:eastAsia="es-ES" w:bidi="es-ES"/>
        </w:rPr>
        <w:t>Es importante</w:t>
      </w:r>
      <w:r w:rsidR="00BD2E1E" w:rsidRPr="0032142F">
        <w:rPr>
          <w:rFonts w:ascii="Arial" w:eastAsia="Arial" w:hAnsi="Arial" w:cs="Arial"/>
          <w:sz w:val="22"/>
          <w:lang w:val="es-ES" w:eastAsia="es-ES" w:bidi="es-ES"/>
        </w:rPr>
        <w:t xml:space="preserve"> precisar que si bien es cierto que es la entidad estatal la que debe calcular la capacidad residual de los proponentes, también lo es que estos últimos, como ya se dijo, tienen como carga aportar los documentos para acreditarla</w:t>
      </w:r>
      <w:r w:rsidR="00BD2E1E" w:rsidRPr="0032142F">
        <w:rPr>
          <w:rFonts w:ascii="Arial" w:eastAsia="Arial" w:hAnsi="Arial" w:cs="Arial"/>
          <w:sz w:val="22"/>
          <w:vertAlign w:val="superscript"/>
          <w:lang w:val="es-ES" w:eastAsia="es-ES" w:bidi="es-ES"/>
        </w:rPr>
        <w:footnoteReference w:id="4"/>
      </w:r>
      <w:r w:rsidR="006D0FC1" w:rsidRPr="0032142F">
        <w:rPr>
          <w:rFonts w:ascii="Arial" w:eastAsia="Arial" w:hAnsi="Arial" w:cs="Arial"/>
          <w:sz w:val="22"/>
          <w:lang w:val="es-ES" w:eastAsia="es-ES" w:bidi="es-ES"/>
        </w:rPr>
        <w:t xml:space="preserve">. </w:t>
      </w:r>
      <w:r w:rsidR="00BD2E1E" w:rsidRPr="0032142F">
        <w:rPr>
          <w:rFonts w:ascii="Arial" w:eastAsia="Arial" w:hAnsi="Arial" w:cs="Arial"/>
          <w:sz w:val="22"/>
          <w:lang w:val="es-ES" w:eastAsia="es-ES" w:bidi="es-ES"/>
        </w:rPr>
        <w:t>Al respecto, la Circular Externa Única de Colombia Compra Eficiente, en el punto 7, dispone lo siguiente:</w:t>
      </w:r>
    </w:p>
    <w:p w14:paraId="6E25A501" w14:textId="77777777" w:rsidR="0032142F" w:rsidRPr="00BD2E1E" w:rsidRDefault="0032142F" w:rsidP="0032142F">
      <w:pPr>
        <w:widowControl w:val="0"/>
        <w:autoSpaceDE w:val="0"/>
        <w:autoSpaceDN w:val="0"/>
        <w:spacing w:line="276" w:lineRule="auto"/>
        <w:ind w:firstLine="709"/>
        <w:jc w:val="both"/>
        <w:rPr>
          <w:rFonts w:ascii="Arial" w:eastAsia="Arial" w:hAnsi="Arial" w:cs="Arial"/>
          <w:sz w:val="22"/>
          <w:lang w:val="es-ES" w:eastAsia="es-ES" w:bidi="es-ES"/>
        </w:rPr>
      </w:pPr>
    </w:p>
    <w:p w14:paraId="0ABC75E9" w14:textId="77777777" w:rsidR="00BD2E1E" w:rsidRPr="00BD2E1E" w:rsidRDefault="00BD2E1E" w:rsidP="00BD2E1E">
      <w:pPr>
        <w:widowControl w:val="0"/>
        <w:autoSpaceDE w:val="0"/>
        <w:autoSpaceDN w:val="0"/>
        <w:ind w:left="709" w:right="709"/>
        <w:jc w:val="both"/>
        <w:rPr>
          <w:rFonts w:ascii="Arial" w:eastAsia="Arial" w:hAnsi="Arial" w:cs="Arial"/>
          <w:sz w:val="21"/>
          <w:szCs w:val="21"/>
          <w:lang w:val="es-ES" w:eastAsia="es-ES" w:bidi="es-ES"/>
        </w:rPr>
      </w:pPr>
      <w:r w:rsidRPr="00BD2E1E">
        <w:rPr>
          <w:rFonts w:ascii="Arial" w:eastAsia="Arial" w:hAnsi="Arial" w:cs="Arial"/>
          <w:sz w:val="21"/>
          <w:szCs w:val="21"/>
          <w:lang w:val="es-ES" w:eastAsia="es-ES" w:bidi="es-ES"/>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p>
    <w:p w14:paraId="7B0418D3" w14:textId="77777777" w:rsidR="00BD2E1E" w:rsidRPr="00BD2E1E" w:rsidRDefault="00BD2E1E" w:rsidP="00BD2E1E">
      <w:pPr>
        <w:widowControl w:val="0"/>
        <w:autoSpaceDE w:val="0"/>
        <w:autoSpaceDN w:val="0"/>
        <w:ind w:left="709" w:right="709"/>
        <w:jc w:val="both"/>
        <w:rPr>
          <w:rFonts w:ascii="Arial" w:eastAsia="Arial" w:hAnsi="Arial" w:cs="Arial"/>
          <w:sz w:val="21"/>
          <w:szCs w:val="21"/>
          <w:lang w:val="es-ES" w:eastAsia="es-ES" w:bidi="es-ES"/>
        </w:rPr>
      </w:pPr>
    </w:p>
    <w:p w14:paraId="673944CB" w14:textId="77777777" w:rsidR="00BD2E1E" w:rsidRPr="00BD2E1E" w:rsidRDefault="00BD2E1E" w:rsidP="00BD2E1E">
      <w:pPr>
        <w:widowControl w:val="0"/>
        <w:autoSpaceDE w:val="0"/>
        <w:autoSpaceDN w:val="0"/>
        <w:ind w:left="709" w:right="709"/>
        <w:jc w:val="both"/>
        <w:rPr>
          <w:rFonts w:ascii="Arial" w:eastAsia="Arial" w:hAnsi="Arial" w:cs="Arial"/>
          <w:sz w:val="21"/>
          <w:szCs w:val="21"/>
          <w:lang w:val="es-ES" w:eastAsia="es-ES" w:bidi="es-ES"/>
        </w:rPr>
      </w:pPr>
      <w:r w:rsidRPr="00BD2E1E">
        <w:rPr>
          <w:rFonts w:ascii="Arial" w:eastAsia="Arial" w:hAnsi="Arial" w:cs="Arial"/>
          <w:sz w:val="21"/>
          <w:szCs w:val="21"/>
          <w:lang w:val="es-ES" w:eastAsia="es-ES" w:bidi="es-ES"/>
        </w:rPr>
        <w:t xml:space="preserve">La “Guía para determinar y verificar la Capacidad Residual del proponente en los procesos de contratación de obra pública” y el aplicativo de Excel están disponibles en la página web: </w:t>
      </w:r>
      <w:hyperlink r:id="rId16" w:history="1">
        <w:r w:rsidRPr="00BD2E1E">
          <w:rPr>
            <w:rFonts w:ascii="Arial" w:eastAsia="Arial" w:hAnsi="Arial" w:cs="Arial"/>
            <w:color w:val="0563C1"/>
            <w:sz w:val="21"/>
            <w:szCs w:val="21"/>
            <w:u w:val="single"/>
            <w:lang w:val="es-ES" w:eastAsia="es-ES" w:bidi="es-ES"/>
          </w:rPr>
          <w:t>https://www.colombiacompra.gov.co/manuales-guias-y-pliegos-tipo/manuales-y-guias</w:t>
        </w:r>
      </w:hyperlink>
    </w:p>
    <w:p w14:paraId="1B11208D" w14:textId="77777777" w:rsidR="00BD2E1E" w:rsidRPr="00BD2E1E" w:rsidRDefault="00BD2E1E" w:rsidP="00BD2E1E">
      <w:pPr>
        <w:widowControl w:val="0"/>
        <w:autoSpaceDE w:val="0"/>
        <w:autoSpaceDN w:val="0"/>
        <w:ind w:left="709" w:right="760"/>
        <w:jc w:val="both"/>
        <w:rPr>
          <w:rFonts w:ascii="Arial" w:eastAsia="Arial" w:hAnsi="Arial" w:cs="Arial"/>
          <w:sz w:val="22"/>
          <w:lang w:val="es-ES" w:eastAsia="es-ES" w:bidi="es-ES"/>
        </w:rPr>
      </w:pPr>
    </w:p>
    <w:p w14:paraId="7B1A7DE9" w14:textId="77777777" w:rsidR="00BD2E1E" w:rsidRPr="00BD2E1E" w:rsidRDefault="00BD2E1E" w:rsidP="00B34ABE">
      <w:pPr>
        <w:widowControl w:val="0"/>
        <w:autoSpaceDE w:val="0"/>
        <w:autoSpaceDN w:val="0"/>
        <w:spacing w:line="276" w:lineRule="auto"/>
        <w:ind w:firstLine="709"/>
        <w:jc w:val="both"/>
        <w:rPr>
          <w:rFonts w:ascii="Arial" w:eastAsia="Arial" w:hAnsi="Arial" w:cs="Arial"/>
          <w:sz w:val="22"/>
          <w:lang w:val="es-ES" w:eastAsia="es-ES" w:bidi="es-ES"/>
        </w:rPr>
      </w:pPr>
      <w:r w:rsidRPr="00BD2E1E">
        <w:rPr>
          <w:rFonts w:ascii="Arial" w:eastAsia="Arial" w:hAnsi="Arial" w:cs="Arial"/>
          <w:sz w:val="22"/>
          <w:lang w:val="es-ES" w:eastAsia="es-ES" w:bidi="es-ES"/>
        </w:rPr>
        <w:t>Para acreditar el factor experiencia –E–, el proponente debe suscribir el formato correspondiente al anexo 1 de la «Guía para Determinar y Verificar la Capacidad Residual del Proponente en los Procesos de Contratación de Obra Pública», el cual debe ser diligenciado, por un lado, con los contratos inscritos en el segmento 72 y, por el otro, con el valor total de dichos contratos expresado en pesos colombianos y liquidados con el SMMLV. El Anexo 1 es el siguiente:</w:t>
      </w:r>
    </w:p>
    <w:p w14:paraId="425D58CB" w14:textId="77777777" w:rsidR="00BD2E1E" w:rsidRPr="00BD2E1E" w:rsidRDefault="00BD2E1E" w:rsidP="00BD2E1E">
      <w:pPr>
        <w:widowControl w:val="0"/>
        <w:autoSpaceDE w:val="0"/>
        <w:autoSpaceDN w:val="0"/>
        <w:spacing w:before="120" w:line="276" w:lineRule="auto"/>
        <w:ind w:right="51"/>
        <w:jc w:val="center"/>
        <w:rPr>
          <w:rFonts w:ascii="Arial" w:eastAsia="Arial" w:hAnsi="Arial" w:cs="Arial"/>
          <w:sz w:val="22"/>
          <w:lang w:val="es-ES" w:eastAsia="es-ES" w:bidi="es-ES"/>
        </w:rPr>
      </w:pPr>
      <w:r w:rsidRPr="00BD2E1E">
        <w:rPr>
          <w:rFonts w:ascii="Arial" w:eastAsia="Arial" w:hAnsi="Arial" w:cs="Arial"/>
          <w:noProof/>
          <w:sz w:val="22"/>
          <w:lang w:val="es-CO" w:eastAsia="es-CO"/>
        </w:rPr>
        <w:drawing>
          <wp:inline distT="0" distB="0" distL="0" distR="0" wp14:anchorId="0D749CDE" wp14:editId="5D6AD3AD">
            <wp:extent cx="3701415" cy="3257550"/>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3701854" cy="3257936"/>
                    </a:xfrm>
                    <a:prstGeom prst="rect">
                      <a:avLst/>
                    </a:prstGeom>
                  </pic:spPr>
                </pic:pic>
              </a:graphicData>
            </a:graphic>
          </wp:inline>
        </w:drawing>
      </w:r>
    </w:p>
    <w:p w14:paraId="1224350C" w14:textId="71F92198" w:rsidR="00BD2E1E" w:rsidRPr="00BD2E1E" w:rsidRDefault="00BD2E1E" w:rsidP="00E13DF6">
      <w:pPr>
        <w:widowControl w:val="0"/>
        <w:autoSpaceDE w:val="0"/>
        <w:autoSpaceDN w:val="0"/>
        <w:spacing w:before="120" w:after="120" w:line="276" w:lineRule="auto"/>
        <w:ind w:firstLine="709"/>
        <w:jc w:val="both"/>
        <w:rPr>
          <w:rFonts w:ascii="Arial" w:eastAsia="Arial" w:hAnsi="Arial" w:cs="Arial"/>
          <w:sz w:val="22"/>
          <w:lang w:val="es-ES" w:eastAsia="es-ES" w:bidi="es-ES"/>
        </w:rPr>
      </w:pPr>
      <w:r w:rsidRPr="00BD2E1E">
        <w:rPr>
          <w:rFonts w:ascii="Arial" w:eastAsia="Arial" w:hAnsi="Arial" w:cs="Arial"/>
          <w:sz w:val="22"/>
          <w:lang w:val="es-ES" w:eastAsia="es-ES" w:bidi="es-ES"/>
        </w:rPr>
        <w:t>Nótese que en la parte superior derecha se lee que el valor total de los contratos ejecutados corresponde «al valor del contrato ponderado por la participación en pesos colombianos». Ahora bien, en criterio de la Agencia Nacional de Contratación Pública, la noción «liquidados con el SMMLV», contenida en la página 7 de la «Guía para Determinar y Verificar la Capacidad Residual del Proponente en los Procesos de Contratación de Obra Pública», implica que para efectos prácticos el anexo 1 hace referencia: i) al contrato relacionado con la actividad de la construcción −segmento 72, clasificador UNSPSC− y ii) al valor de cada uno de esos contratos de acuerdo a los salarios mínimos mensuales legales vigentes –SMMLV– registrados en el RUP</w:t>
      </w:r>
      <w:r w:rsidR="00C80EFF">
        <w:rPr>
          <w:rFonts w:ascii="Arial" w:eastAsia="Arial" w:hAnsi="Arial" w:cs="Arial"/>
          <w:sz w:val="22"/>
          <w:lang w:val="es-ES" w:eastAsia="es-ES" w:bidi="es-ES"/>
        </w:rPr>
        <w:t>, en caso que este sea requerido</w:t>
      </w:r>
      <w:r w:rsidRPr="00BD2E1E">
        <w:rPr>
          <w:rFonts w:ascii="Arial" w:eastAsia="Arial" w:hAnsi="Arial" w:cs="Arial"/>
          <w:sz w:val="22"/>
          <w:lang w:val="es-ES" w:eastAsia="es-ES" w:bidi="es-ES"/>
        </w:rPr>
        <w:t xml:space="preserve">.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14:paraId="1213C3E9" w14:textId="77777777" w:rsidR="00BD2E1E" w:rsidRPr="00BD2E1E" w:rsidRDefault="00BD2E1E" w:rsidP="00E13DF6">
      <w:pPr>
        <w:spacing w:before="120" w:after="120" w:line="276" w:lineRule="auto"/>
        <w:ind w:firstLine="709"/>
        <w:jc w:val="both"/>
        <w:rPr>
          <w:rFonts w:ascii="Calibri" w:eastAsia="Calibri" w:hAnsi="Calibri" w:cs="Times New Roman"/>
          <w:sz w:val="22"/>
          <w:lang w:val="es-ES"/>
        </w:rPr>
      </w:pPr>
      <w:r w:rsidRPr="00BD2E1E">
        <w:rPr>
          <w:rFonts w:ascii="Arial" w:eastAsia="Arial" w:hAnsi="Arial" w:cs="Arial"/>
          <w:sz w:val="22"/>
          <w:lang w:val="es-ES" w:eastAsia="es-ES" w:bidi="es-ES"/>
        </w:rPr>
        <w:t xml:space="preserve">De todos modos, el valor total de los contratos referidos en el anexo 1 debe liquidarse en pesos colombianos, según el salario mínimo mensual legal vigente para el momento en el que se realiza la presentación de la oferta. Esta conversión de salarios a pesos encuentra fundamento, por un lado, en los criterios expuestos en la «Guía para Determinar y Verificar la Capacidad Residual del Proponente en los Procesos de Contratación de Obra Pública», particularmente en lo que señala el párrafo 5 de la página 7 de dicho documento. Por otro lado, se justifica en el hecho de que la fórmula a aplicar requiere que la información se exprese en pesos y no en SMMLV. </w:t>
      </w:r>
    </w:p>
    <w:p w14:paraId="4FF08CAB" w14:textId="3238D562" w:rsidR="004058CB" w:rsidRDefault="00BD2E1E" w:rsidP="00EA6B99">
      <w:pPr>
        <w:widowControl w:val="0"/>
        <w:autoSpaceDE w:val="0"/>
        <w:autoSpaceDN w:val="0"/>
        <w:spacing w:after="120" w:line="276" w:lineRule="auto"/>
        <w:ind w:firstLine="709"/>
        <w:jc w:val="both"/>
        <w:rPr>
          <w:rFonts w:ascii="Arial" w:eastAsia="Arial" w:hAnsi="Arial" w:cs="Arial"/>
          <w:sz w:val="22"/>
          <w:lang w:val="es-ES" w:eastAsia="es-ES" w:bidi="es-ES"/>
        </w:rPr>
      </w:pPr>
      <w:r w:rsidRPr="00BD2E1E">
        <w:rPr>
          <w:rFonts w:ascii="Arial" w:eastAsia="Arial" w:hAnsi="Arial" w:cs="Arial"/>
          <w:sz w:val="22"/>
          <w:lang w:val="es-ES" w:eastAsia="es-ES" w:bidi="es-ES"/>
        </w:rPr>
        <w:t>En suma, a la entidad contratante le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53A5E86A" w14:textId="1182E314" w:rsidR="00BD2E1E" w:rsidRPr="004058CB" w:rsidRDefault="00BD2E1E" w:rsidP="00EA6B99">
      <w:pPr>
        <w:widowControl w:val="0"/>
        <w:autoSpaceDE w:val="0"/>
        <w:autoSpaceDN w:val="0"/>
        <w:spacing w:after="120" w:line="276" w:lineRule="auto"/>
        <w:ind w:firstLine="708"/>
        <w:jc w:val="both"/>
        <w:rPr>
          <w:rFonts w:ascii="Arial" w:eastAsia="Arial" w:hAnsi="Arial" w:cs="Arial"/>
          <w:sz w:val="22"/>
          <w:lang w:val="es-ES" w:eastAsia="es-ES" w:bidi="es-ES"/>
        </w:rPr>
      </w:pPr>
      <w:r w:rsidRPr="004058CB">
        <w:rPr>
          <w:rFonts w:ascii="Arial" w:eastAsia="Arial" w:hAnsi="Arial" w:cs="Arial"/>
          <w:sz w:val="22"/>
          <w:lang w:val="es-ES" w:eastAsia="es-ES" w:bidi="es-ES"/>
        </w:rPr>
        <w:t>Expuesto el régimen jurídico general</w:t>
      </w:r>
      <w:r w:rsidR="006F3626">
        <w:rPr>
          <w:rFonts w:ascii="Arial" w:eastAsia="Arial" w:hAnsi="Arial" w:cs="Arial"/>
          <w:sz w:val="22"/>
          <w:lang w:val="es-ES" w:eastAsia="es-ES" w:bidi="es-ES"/>
        </w:rPr>
        <w:t xml:space="preserve"> de</w:t>
      </w:r>
      <w:r w:rsidRPr="004058CB">
        <w:rPr>
          <w:rFonts w:ascii="Arial" w:eastAsia="Arial" w:hAnsi="Arial" w:cs="Arial"/>
          <w:sz w:val="22"/>
          <w:lang w:val="es-ES" w:eastAsia="es-ES" w:bidi="es-ES"/>
        </w:rPr>
        <w:t xml:space="preserve"> la capacidad residual, debe tenerse en cuenta que el manual para la modalidad de selección de mínima cuantía, expedido por la Agencia Nacional de Contratación Pública – Colombia Compra Eficiente, </w:t>
      </w:r>
      <w:r w:rsidR="006F3626">
        <w:rPr>
          <w:rFonts w:ascii="Arial" w:eastAsia="Arial" w:hAnsi="Arial" w:cs="Arial"/>
          <w:sz w:val="22"/>
          <w:lang w:val="es-ES" w:eastAsia="es-ES" w:bidi="es-ES"/>
        </w:rPr>
        <w:t>explica</w:t>
      </w:r>
      <w:r w:rsidRPr="004058CB">
        <w:rPr>
          <w:rFonts w:ascii="Arial" w:eastAsia="Arial" w:hAnsi="Arial" w:cs="Arial"/>
          <w:sz w:val="22"/>
          <w:lang w:val="es-ES" w:eastAsia="es-ES" w:bidi="es-ES"/>
        </w:rPr>
        <w:t xml:space="preserve"> que </w:t>
      </w:r>
      <w:r w:rsidRPr="004058CB">
        <w:rPr>
          <w:rFonts w:ascii="Arial" w:eastAsia="Arial" w:hAnsi="Arial" w:cs="Arial"/>
          <w:i/>
          <w:sz w:val="22"/>
          <w:lang w:val="es-ES" w:eastAsia="es-ES" w:bidi="es-ES"/>
        </w:rPr>
        <w:t>«en los Procesos de Contratación de obra pública en la modalidad de selección de mínima cuantía las Entidades Estatales deberán solicitar la Capacidad Residual o K de Contratación y verificarla directamente, sin solicitar RUP»</w:t>
      </w:r>
      <w:r w:rsidRPr="004058CB">
        <w:rPr>
          <w:rFonts w:ascii="Arial" w:eastAsia="Arial" w:hAnsi="Arial" w:cs="Arial"/>
          <w:sz w:val="22"/>
          <w:lang w:val="es-ES" w:eastAsia="es-ES" w:bidi="es-ES"/>
        </w:rPr>
        <w:t>. De ahí que se afirme que la diferencia, por ejemplo, con la licitación pública, consiste en la forma de verificación de la capacidad residual, mas no su exigencia, toda vez que el último aspecto depende de la tipología contractual, esto es, si se trata de un contrato de obra es procedente el requisito de la capacidad residual.</w:t>
      </w:r>
    </w:p>
    <w:p w14:paraId="28ADEC17" w14:textId="4DE1C5D3" w:rsidR="00837625" w:rsidRDefault="00BD2E1E" w:rsidP="00837625">
      <w:pPr>
        <w:widowControl w:val="0"/>
        <w:autoSpaceDE w:val="0"/>
        <w:autoSpaceDN w:val="0"/>
        <w:spacing w:before="120" w:after="120" w:line="276" w:lineRule="auto"/>
        <w:ind w:firstLine="709"/>
        <w:jc w:val="both"/>
        <w:rPr>
          <w:rFonts w:ascii="Arial" w:hAnsi="Arial" w:cs="Arial"/>
          <w:color w:val="0D0D0D"/>
          <w:sz w:val="22"/>
          <w:bdr w:val="none" w:sz="0" w:space="0" w:color="auto" w:frame="1"/>
          <w:lang w:eastAsia="es-CO"/>
        </w:rPr>
      </w:pPr>
      <w:r w:rsidRPr="00BD2E1E">
        <w:rPr>
          <w:rFonts w:ascii="Arial" w:eastAsia="Arial" w:hAnsi="Arial" w:cs="Arial"/>
          <w:sz w:val="22"/>
          <w:lang w:val="es-ES" w:eastAsia="es-ES" w:bidi="es-ES"/>
        </w:rPr>
        <w:t>Sin embargo, como se desprende del manual, en el aparte transcrito, la invitación debe establecer los requisitos y documentos que exigirá a los proponentes dirigidos a evaluar su capacidad residual, toda vez que en los procesos de mínima cuantía no resulta exigible el Registro Único de Proponentes.</w:t>
      </w:r>
      <w:r w:rsidR="00837625">
        <w:rPr>
          <w:rFonts w:ascii="Arial" w:eastAsia="Arial" w:hAnsi="Arial" w:cs="Arial"/>
          <w:sz w:val="22"/>
          <w:lang w:val="es-ES" w:eastAsia="es-ES" w:bidi="es-ES"/>
        </w:rPr>
        <w:t xml:space="preserve"> Esto en la medida que </w:t>
      </w:r>
      <w:r w:rsidR="00837625">
        <w:rPr>
          <w:rFonts w:ascii="Arial" w:hAnsi="Arial" w:cs="Arial"/>
          <w:color w:val="0D0D0D"/>
          <w:sz w:val="22"/>
          <w:bdr w:val="none" w:sz="0" w:space="0" w:color="auto" w:frame="1"/>
          <w:lang w:eastAsia="es-CO"/>
        </w:rPr>
        <w:t>el inciso 2 del artículo 6 de la Ley 1150 de 2007 dispone que no se requerirá registro ni clasificación en los contratos de mínima cuantía, por lo que «[…]</w:t>
      </w:r>
      <w:r w:rsidR="00837625" w:rsidRPr="003A3375">
        <w:t xml:space="preserve"> </w:t>
      </w:r>
      <w:r w:rsidR="00837625" w:rsidRPr="003A3375">
        <w:rPr>
          <w:rFonts w:ascii="Arial" w:hAnsi="Arial" w:cs="Arial"/>
          <w:color w:val="0D0D0D"/>
          <w:sz w:val="22"/>
          <w:bdr w:val="none" w:sz="0" w:space="0" w:color="auto" w:frame="1"/>
          <w:lang w:eastAsia="es-CO"/>
        </w:rPr>
        <w:t>corresponderá a las entidades contratantes cumplir con la labor de verificación de las condiciones de los proponentes</w:t>
      </w:r>
      <w:r w:rsidR="00837625">
        <w:rPr>
          <w:rFonts w:ascii="Arial" w:hAnsi="Arial" w:cs="Arial"/>
          <w:color w:val="0D0D0D"/>
          <w:sz w:val="22"/>
          <w:bdr w:val="none" w:sz="0" w:space="0" w:color="auto" w:frame="1"/>
          <w:lang w:eastAsia="es-CO"/>
        </w:rPr>
        <w:t xml:space="preserve">». </w:t>
      </w:r>
    </w:p>
    <w:p w14:paraId="35BF67DE" w14:textId="1798FCAC" w:rsidR="00967DBE" w:rsidRDefault="00837625" w:rsidP="00837625">
      <w:pPr>
        <w:widowControl w:val="0"/>
        <w:autoSpaceDE w:val="0"/>
        <w:autoSpaceDN w:val="0"/>
        <w:spacing w:before="120" w:after="120" w:line="276" w:lineRule="auto"/>
        <w:ind w:firstLine="709"/>
        <w:jc w:val="both"/>
        <w:rPr>
          <w:rFonts w:ascii="Arial" w:hAnsi="Arial" w:cs="Arial"/>
          <w:color w:val="0D0D0D"/>
          <w:sz w:val="22"/>
          <w:bdr w:val="none" w:sz="0" w:space="0" w:color="auto" w:frame="1"/>
          <w:lang w:eastAsia="es-CO"/>
        </w:rPr>
      </w:pPr>
      <w:r>
        <w:rPr>
          <w:rFonts w:ascii="Arial" w:hAnsi="Arial" w:cs="Arial"/>
          <w:color w:val="0D0D0D"/>
          <w:sz w:val="22"/>
          <w:bdr w:val="none" w:sz="0" w:space="0" w:color="auto" w:frame="1"/>
          <w:lang w:eastAsia="es-CO"/>
        </w:rPr>
        <w:t xml:space="preserve">Aunque documentos tipo implementados </w:t>
      </w:r>
      <w:r w:rsidR="000C3D67">
        <w:rPr>
          <w:rFonts w:ascii="Arial" w:hAnsi="Arial" w:cs="Arial"/>
          <w:color w:val="0D0D0D"/>
          <w:sz w:val="22"/>
          <w:bdr w:val="none" w:sz="0" w:space="0" w:color="auto" w:frame="1"/>
          <w:lang w:eastAsia="es-CO"/>
        </w:rPr>
        <w:t>mediante</w:t>
      </w:r>
      <w:r>
        <w:rPr>
          <w:rFonts w:ascii="Arial" w:hAnsi="Arial" w:cs="Arial"/>
          <w:color w:val="0D0D0D"/>
          <w:sz w:val="22"/>
          <w:bdr w:val="none" w:sz="0" w:space="0" w:color="auto" w:frame="1"/>
          <w:lang w:eastAsia="es-CO"/>
        </w:rPr>
        <w:t xml:space="preserve"> la </w:t>
      </w:r>
      <w:r w:rsidRPr="0043040E">
        <w:rPr>
          <w:rFonts w:ascii="Arial" w:hAnsi="Arial" w:cs="Arial"/>
          <w:color w:val="0D0D0D"/>
          <w:sz w:val="22"/>
          <w:bdr w:val="none" w:sz="0" w:space="0" w:color="auto" w:frame="1"/>
          <w:lang w:eastAsia="es-CO"/>
        </w:rPr>
        <w:t>Resolución No. 094 del 21 de mayo de 2020</w:t>
      </w:r>
      <w:r>
        <w:rPr>
          <w:rFonts w:ascii="Arial" w:hAnsi="Arial" w:cs="Arial"/>
          <w:color w:val="0D0D0D"/>
          <w:sz w:val="22"/>
          <w:bdr w:val="none" w:sz="0" w:space="0" w:color="auto" w:frame="1"/>
          <w:lang w:eastAsia="es-CO"/>
        </w:rPr>
        <w:t xml:space="preserve"> estandarizan el proceso de selección previsto para la mínima cuantía en el artículo 2, numeral 5, de la Ley 1150 de 2007, la norma del párrafo precedente condiciona su alcance, pues se subordinan a ella sin posibilidad de modificarla o derogarla.</w:t>
      </w:r>
      <w:r w:rsidR="00967DBE">
        <w:rPr>
          <w:rFonts w:ascii="Arial" w:hAnsi="Arial" w:cs="Arial"/>
          <w:color w:val="0D0D0D"/>
          <w:sz w:val="22"/>
          <w:bdr w:val="none" w:sz="0" w:space="0" w:color="auto" w:frame="1"/>
          <w:lang w:eastAsia="es-CO"/>
        </w:rPr>
        <w:t xml:space="preserve"> En efecto, el capítulo IV de la invitación regula los requisitos habilitantes y, en este contexto, los proponentes deben acreditar lo siguiente: i) capacidad jurídica, ii) existencia y representación legal, iii) certificación de pagos a la seguridad social y aportes legales, iv) experiencia, v) capacidad financiera y vi) capacidad residual. </w:t>
      </w:r>
    </w:p>
    <w:p w14:paraId="598095A2" w14:textId="06E5E5B3" w:rsidR="00837625" w:rsidRPr="00245A8B" w:rsidRDefault="00967DBE">
      <w:pPr>
        <w:widowControl w:val="0"/>
        <w:autoSpaceDE w:val="0"/>
        <w:autoSpaceDN w:val="0"/>
        <w:spacing w:before="120" w:after="120" w:line="276" w:lineRule="auto"/>
        <w:ind w:firstLine="709"/>
        <w:jc w:val="both"/>
        <w:rPr>
          <w:rFonts w:ascii="Arial" w:hAnsi="Arial" w:cs="Arial"/>
          <w:color w:val="0D0D0D"/>
          <w:sz w:val="22"/>
          <w:bdr w:val="none" w:sz="0" w:space="0" w:color="auto" w:frame="1"/>
          <w:lang w:eastAsia="es-CO"/>
        </w:rPr>
      </w:pPr>
      <w:r>
        <w:rPr>
          <w:rFonts w:ascii="Arial" w:hAnsi="Arial" w:cs="Arial"/>
          <w:color w:val="0D0D0D"/>
          <w:sz w:val="22"/>
          <w:bdr w:val="none" w:sz="0" w:space="0" w:color="auto" w:frame="1"/>
          <w:lang w:eastAsia="es-CO"/>
        </w:rPr>
        <w:t xml:space="preserve">Lo importante es </w:t>
      </w:r>
      <w:r w:rsidR="00B559B6">
        <w:rPr>
          <w:rFonts w:ascii="Arial" w:hAnsi="Arial" w:cs="Arial"/>
          <w:color w:val="0D0D0D"/>
          <w:sz w:val="22"/>
          <w:bdr w:val="none" w:sz="0" w:space="0" w:color="auto" w:frame="1"/>
          <w:lang w:eastAsia="es-CO"/>
        </w:rPr>
        <w:t>que,</w:t>
      </w:r>
      <w:r>
        <w:rPr>
          <w:rFonts w:ascii="Arial" w:hAnsi="Arial" w:cs="Arial"/>
          <w:color w:val="0D0D0D"/>
          <w:sz w:val="22"/>
          <w:bdr w:val="none" w:sz="0" w:space="0" w:color="auto" w:frame="1"/>
          <w:lang w:eastAsia="es-CO"/>
        </w:rPr>
        <w:t xml:space="preserve"> para efectos de su verificación, ninguno de los apartados del documento tipo exige el registro único de proponentes, situación acorde </w:t>
      </w:r>
      <w:r w:rsidR="00FC53A8">
        <w:rPr>
          <w:rFonts w:ascii="Arial" w:hAnsi="Arial" w:cs="Arial"/>
          <w:color w:val="0D0D0D"/>
          <w:sz w:val="22"/>
          <w:bdr w:val="none" w:sz="0" w:space="0" w:color="auto" w:frame="1"/>
          <w:lang w:eastAsia="es-CO"/>
        </w:rPr>
        <w:t>con e</w:t>
      </w:r>
      <w:r>
        <w:rPr>
          <w:rFonts w:ascii="Arial" w:hAnsi="Arial" w:cs="Arial"/>
          <w:color w:val="0D0D0D"/>
          <w:sz w:val="22"/>
          <w:bdr w:val="none" w:sz="0" w:space="0" w:color="auto" w:frame="1"/>
          <w:lang w:eastAsia="es-CO"/>
        </w:rPr>
        <w:t xml:space="preserve">l citado inciso 2 del artículo 6 de la Ley 1150 de 2007. Por ello, </w:t>
      </w:r>
      <w:r w:rsidR="00AB4030">
        <w:rPr>
          <w:rFonts w:ascii="Arial" w:hAnsi="Arial" w:cs="Arial"/>
          <w:color w:val="0D0D0D"/>
          <w:sz w:val="22"/>
          <w:bdr w:val="none" w:sz="0" w:space="0" w:color="auto" w:frame="1"/>
          <w:lang w:eastAsia="es-CO"/>
        </w:rPr>
        <w:t>el apartado 4.7 de la invitación define la forma de acreditar la capacidad residual en los procesos de mínima cuantía para obras de infraestructura de transporte que deban regirse por los documentos tipo</w:t>
      </w:r>
      <w:r w:rsidR="0049309B">
        <w:rPr>
          <w:rFonts w:ascii="Arial" w:hAnsi="Arial" w:cs="Arial"/>
          <w:color w:val="0D0D0D"/>
          <w:sz w:val="22"/>
          <w:bdr w:val="none" w:sz="0" w:space="0" w:color="auto" w:frame="1"/>
          <w:lang w:eastAsia="es-CO"/>
        </w:rPr>
        <w:t>, requisitos que deben acatarse ya que –conforme al principio de inalterabilidad– estandariza la forma de verificar la capacidad residual como requisito habilitante.</w:t>
      </w:r>
      <w:r w:rsidR="00837625">
        <w:rPr>
          <w:rFonts w:ascii="Arial" w:hAnsi="Arial" w:cs="Arial"/>
          <w:color w:val="0D0D0D"/>
          <w:sz w:val="22"/>
          <w:bdr w:val="none" w:sz="0" w:space="0" w:color="auto" w:frame="1"/>
          <w:lang w:eastAsia="es-CO"/>
        </w:rPr>
        <w:t xml:space="preserve"> </w:t>
      </w:r>
    </w:p>
    <w:p w14:paraId="205174A3" w14:textId="01D724B7" w:rsidR="004058CB" w:rsidRDefault="00BD2E1E" w:rsidP="00656F2D">
      <w:pPr>
        <w:widowControl w:val="0"/>
        <w:autoSpaceDE w:val="0"/>
        <w:autoSpaceDN w:val="0"/>
        <w:spacing w:before="120" w:line="276" w:lineRule="auto"/>
        <w:ind w:firstLine="709"/>
        <w:jc w:val="both"/>
        <w:rPr>
          <w:rFonts w:ascii="Arial" w:eastAsia="Arial" w:hAnsi="Arial" w:cs="Arial"/>
          <w:sz w:val="22"/>
          <w:lang w:val="es-ES" w:eastAsia="es-ES" w:bidi="es-ES"/>
        </w:rPr>
      </w:pPr>
      <w:r w:rsidRPr="00BD2E1E">
        <w:rPr>
          <w:rFonts w:ascii="Arial" w:eastAsia="Arial" w:hAnsi="Arial" w:cs="Arial"/>
          <w:sz w:val="22"/>
          <w:lang w:val="es-ES" w:eastAsia="es-ES" w:bidi="es-ES"/>
        </w:rPr>
        <w:t xml:space="preserve">En suma, </w:t>
      </w:r>
      <w:r w:rsidR="008E679D">
        <w:rPr>
          <w:rFonts w:ascii="Arial" w:eastAsia="Arial" w:hAnsi="Arial" w:cs="Arial"/>
          <w:sz w:val="22"/>
          <w:lang w:val="es-ES" w:eastAsia="es-ES" w:bidi="es-ES"/>
        </w:rPr>
        <w:t>respecto a la inquietud del peticionario</w:t>
      </w:r>
      <w:r w:rsidRPr="00BD2E1E">
        <w:rPr>
          <w:rFonts w:ascii="Arial" w:eastAsia="Arial" w:hAnsi="Arial" w:cs="Arial"/>
          <w:sz w:val="22"/>
          <w:lang w:val="es-ES" w:eastAsia="es-ES" w:bidi="es-ES"/>
        </w:rPr>
        <w:t xml:space="preserve">, de acuerdo con las normas mencionadas, particularmente el </w:t>
      </w:r>
      <w:r w:rsidRPr="00BD2E1E">
        <w:rPr>
          <w:rFonts w:ascii="Arial" w:eastAsia="Arial" w:hAnsi="Arial" w:cs="Arial"/>
          <w:color w:val="000000"/>
          <w:sz w:val="22"/>
          <w:lang w:val="es-ES_tradnl" w:eastAsia="es-ES" w:bidi="es-ES"/>
        </w:rPr>
        <w:t xml:space="preserve">artículo 6 de la Ley 1150 de 2007 y el artículo 72 de la Ley 1682 de 2013, debido a que </w:t>
      </w:r>
      <w:r w:rsidRPr="00BD2E1E">
        <w:rPr>
          <w:rFonts w:ascii="Arial" w:eastAsia="Arial" w:hAnsi="Arial" w:cs="Arial"/>
          <w:sz w:val="22"/>
          <w:lang w:val="es-ES" w:eastAsia="es-ES" w:bidi="es-ES"/>
        </w:rPr>
        <w:t>la normativa hace referencia a una tipología contractual –contrato de obra– y no restringe a una modalidad de selección específica su aplicación, todas las entidades estatales que adelanten procesos de contratación de obra pública, sin importar la modalidad de selección del contratista, están obligadas a verificar la capacidad residual de los proponentes, como requisito habilitante para participar e</w:t>
      </w:r>
      <w:r w:rsidR="00604DF6">
        <w:rPr>
          <w:rFonts w:ascii="Arial" w:eastAsia="Arial" w:hAnsi="Arial" w:cs="Arial"/>
          <w:sz w:val="22"/>
          <w:lang w:val="es-ES" w:eastAsia="es-ES" w:bidi="es-ES"/>
        </w:rPr>
        <w:t>n el procedimiento de selección</w:t>
      </w:r>
      <w:r w:rsidR="00717AB2">
        <w:rPr>
          <w:rFonts w:ascii="Arial" w:eastAsia="Arial" w:hAnsi="Arial" w:cs="Arial"/>
          <w:sz w:val="22"/>
          <w:lang w:val="es-ES" w:eastAsia="es-ES" w:bidi="es-ES"/>
        </w:rPr>
        <w:t>. Lo anterior</w:t>
      </w:r>
      <w:r w:rsidR="00604DF6">
        <w:rPr>
          <w:rFonts w:ascii="Arial" w:eastAsia="Arial" w:hAnsi="Arial" w:cs="Arial"/>
          <w:sz w:val="22"/>
          <w:lang w:val="es-ES" w:eastAsia="es-ES" w:bidi="es-ES"/>
        </w:rPr>
        <w:t xml:space="preserve"> encontrándose que a pesar que el RUP no será exigible para los proponentes en el proceso de contratación de mínima cuantía que se esté adelantando, se cuentan con distintos medios para que los oferentes puedan acreditarla y de esta manera cumplir con este requisito. </w:t>
      </w:r>
    </w:p>
    <w:p w14:paraId="1104235E" w14:textId="77777777" w:rsidR="00442720" w:rsidRPr="004058CB" w:rsidRDefault="00442720" w:rsidP="00245A8B">
      <w:pPr>
        <w:widowControl w:val="0"/>
        <w:autoSpaceDE w:val="0"/>
        <w:autoSpaceDN w:val="0"/>
        <w:spacing w:line="276" w:lineRule="auto"/>
        <w:ind w:right="51" w:firstLine="709"/>
        <w:jc w:val="both"/>
        <w:rPr>
          <w:rFonts w:ascii="Arial" w:eastAsia="Arial" w:hAnsi="Arial" w:cs="Arial"/>
          <w:sz w:val="22"/>
          <w:lang w:val="es-ES" w:eastAsia="es-ES" w:bidi="es-ES"/>
        </w:rPr>
      </w:pPr>
    </w:p>
    <w:p w14:paraId="50ACAD28" w14:textId="07F0EA5D" w:rsidR="00305947" w:rsidRDefault="00305947" w:rsidP="00E71381">
      <w:pPr>
        <w:spacing w:line="276" w:lineRule="auto"/>
        <w:jc w:val="both"/>
        <w:rPr>
          <w:rFonts w:ascii="Arial" w:eastAsia="Calibri" w:hAnsi="Arial" w:cs="Arial"/>
          <w:b/>
          <w:sz w:val="22"/>
        </w:rPr>
      </w:pPr>
      <w:r w:rsidRPr="0014392D">
        <w:rPr>
          <w:rFonts w:ascii="Arial" w:eastAsia="Calibri" w:hAnsi="Arial" w:cs="Arial"/>
          <w:b/>
          <w:sz w:val="22"/>
        </w:rPr>
        <w:t>3. Respuesta</w:t>
      </w:r>
      <w:r w:rsidR="001D0521">
        <w:rPr>
          <w:rFonts w:ascii="Arial" w:eastAsia="Calibri" w:hAnsi="Arial" w:cs="Arial"/>
          <w:b/>
          <w:sz w:val="22"/>
        </w:rPr>
        <w:t xml:space="preserve">. </w:t>
      </w:r>
    </w:p>
    <w:p w14:paraId="405BABA1" w14:textId="6654CF46" w:rsidR="00234CAF" w:rsidRDefault="00234CAF" w:rsidP="00E71381">
      <w:pPr>
        <w:spacing w:line="276" w:lineRule="auto"/>
        <w:jc w:val="both"/>
        <w:rPr>
          <w:rFonts w:ascii="Arial" w:eastAsia="Calibri" w:hAnsi="Arial" w:cs="Arial"/>
          <w:b/>
          <w:sz w:val="22"/>
        </w:rPr>
      </w:pPr>
    </w:p>
    <w:p w14:paraId="5B62B43B" w14:textId="434F0367" w:rsidR="006F3626" w:rsidRDefault="006F3626" w:rsidP="00245A8B">
      <w:pPr>
        <w:tabs>
          <w:tab w:val="left" w:pos="426"/>
        </w:tabs>
        <w:spacing w:after="120"/>
        <w:ind w:left="709" w:right="709"/>
        <w:jc w:val="both"/>
        <w:rPr>
          <w:rFonts w:ascii="Arial" w:eastAsia="Calibri" w:hAnsi="Arial" w:cs="Arial"/>
          <w:sz w:val="21"/>
          <w:szCs w:val="21"/>
        </w:rPr>
      </w:pPr>
      <w:r>
        <w:rPr>
          <w:rFonts w:ascii="Arial" w:eastAsia="Calibri" w:hAnsi="Arial" w:cs="Arial"/>
          <w:sz w:val="21"/>
          <w:szCs w:val="21"/>
        </w:rPr>
        <w:t xml:space="preserve">i) </w:t>
      </w:r>
      <w:r w:rsidR="00D5622C" w:rsidRPr="00245A8B">
        <w:rPr>
          <w:rFonts w:ascii="Arial" w:eastAsia="Calibri" w:hAnsi="Arial" w:cs="Arial"/>
          <w:sz w:val="21"/>
          <w:szCs w:val="21"/>
        </w:rPr>
        <w:t>«Como ya es claro, en procesos de mínima cuantía no es necesario presentar el RUP, pero cuando se trata de obras relacionadas con vías, es obligatorio utilizar los pliegos tipo. ¿Cómo se hace para calcular la capacidad residual en estos procesos cuando no es obligatorio la presentación del RUP?»</w:t>
      </w:r>
      <w:r>
        <w:rPr>
          <w:rFonts w:ascii="Arial" w:eastAsia="Calibri" w:hAnsi="Arial" w:cs="Arial"/>
          <w:sz w:val="21"/>
          <w:szCs w:val="21"/>
        </w:rPr>
        <w:t>.</w:t>
      </w:r>
      <w:r w:rsidR="00D5622C" w:rsidRPr="00245A8B">
        <w:rPr>
          <w:rFonts w:ascii="Arial" w:eastAsia="Calibri" w:hAnsi="Arial" w:cs="Arial"/>
          <w:sz w:val="21"/>
          <w:szCs w:val="21"/>
        </w:rPr>
        <w:t xml:space="preserve"> </w:t>
      </w:r>
    </w:p>
    <w:p w14:paraId="1A285BFC" w14:textId="6EFF3FDF" w:rsidR="006F3626" w:rsidRPr="00245A8B" w:rsidRDefault="006F3626" w:rsidP="00245A8B">
      <w:pPr>
        <w:tabs>
          <w:tab w:val="left" w:pos="426"/>
        </w:tabs>
        <w:ind w:left="709" w:right="709"/>
        <w:jc w:val="both"/>
        <w:rPr>
          <w:rFonts w:ascii="Arial" w:eastAsia="Calibri" w:hAnsi="Arial" w:cs="Arial"/>
          <w:sz w:val="21"/>
          <w:szCs w:val="21"/>
        </w:rPr>
      </w:pPr>
      <w:r>
        <w:rPr>
          <w:rFonts w:ascii="Arial" w:eastAsia="Calibri" w:hAnsi="Arial" w:cs="Arial"/>
          <w:sz w:val="21"/>
          <w:szCs w:val="21"/>
        </w:rPr>
        <w:t xml:space="preserve">ii) </w:t>
      </w:r>
      <w:r w:rsidRPr="006F3626">
        <w:rPr>
          <w:rFonts w:ascii="Arial" w:eastAsia="Calibri" w:hAnsi="Arial" w:cs="Arial"/>
          <w:sz w:val="21"/>
          <w:szCs w:val="21"/>
        </w:rPr>
        <w:t>«Al momento de evaluar propuestas en procesos de mínima cuantía relacionadas con vías, y teniendo en cuenta que no es obligatorio el RUP ¿Cómo hace la Entidad para calcular la capacidad residual?»</w:t>
      </w:r>
      <w:r>
        <w:rPr>
          <w:rFonts w:ascii="Arial" w:eastAsia="Calibri" w:hAnsi="Arial" w:cs="Arial"/>
          <w:sz w:val="21"/>
          <w:szCs w:val="21"/>
        </w:rPr>
        <w:t>.</w:t>
      </w:r>
    </w:p>
    <w:p w14:paraId="259E14E3" w14:textId="77777777" w:rsidR="00D5622C" w:rsidRDefault="00D5622C" w:rsidP="00D5622C">
      <w:pPr>
        <w:pStyle w:val="Prrafodelista"/>
        <w:tabs>
          <w:tab w:val="left" w:pos="426"/>
        </w:tabs>
        <w:spacing w:line="276" w:lineRule="auto"/>
        <w:ind w:left="1069" w:right="709"/>
        <w:jc w:val="both"/>
        <w:rPr>
          <w:rFonts w:ascii="Arial" w:eastAsia="Calibri" w:hAnsi="Arial" w:cs="Arial"/>
          <w:sz w:val="21"/>
          <w:szCs w:val="21"/>
        </w:rPr>
      </w:pPr>
    </w:p>
    <w:p w14:paraId="24CCD3E9" w14:textId="587B9AF8" w:rsidR="005E1364" w:rsidRDefault="00F91245" w:rsidP="00FC53A8">
      <w:pPr>
        <w:pStyle w:val="Textoindependiente"/>
        <w:spacing w:after="120"/>
      </w:pPr>
      <w:r w:rsidRPr="00CE3521">
        <w:t xml:space="preserve">Conforme a las consideraciones </w:t>
      </w:r>
      <w:r w:rsidR="006F3626">
        <w:t xml:space="preserve">del presente oficio, </w:t>
      </w:r>
      <w:r w:rsidR="006F3626" w:rsidRPr="004058CB">
        <w:t xml:space="preserve">debe tenerse en cuenta que el manual para la modalidad de selección de mínima cuantía, expedido por la Agencia Nacional de Contratación Pública – Colombia Compra Eficiente, </w:t>
      </w:r>
      <w:r w:rsidR="006F3626">
        <w:t>explica</w:t>
      </w:r>
      <w:r w:rsidR="006F3626" w:rsidRPr="004058CB">
        <w:t xml:space="preserve"> que </w:t>
      </w:r>
      <w:r w:rsidR="006F3626" w:rsidRPr="004058CB">
        <w:rPr>
          <w:i/>
        </w:rPr>
        <w:t>«en los Procesos de Contratación de obra pública en la modalidad de selección de mínima cuantía las Entidades Estatales deberán solicitar la Capacidad Residual o K de Contratación y verificarla directamente, sin solicitar RUP»</w:t>
      </w:r>
      <w:r w:rsidR="006F3626" w:rsidRPr="004058CB">
        <w:t>.</w:t>
      </w:r>
      <w:r w:rsidR="006F3626">
        <w:t xml:space="preserve"> Por tanto, </w:t>
      </w:r>
      <w:r w:rsidR="006F3626" w:rsidRPr="00BD2E1E">
        <w:t>la invitación debe establecer los requisitos y documentos que exigirá a los proponentes dirigidos a evaluar su capacidad residual, toda vez que en los procesos de mínima cuantía no resulta exigible el Registro Único de Proponentes.</w:t>
      </w:r>
      <w:r w:rsidR="006F3626">
        <w:t xml:space="preserve"> Esto en la medida que </w:t>
      </w:r>
      <w:r w:rsidR="006F3626">
        <w:rPr>
          <w:color w:val="0D0D0D"/>
          <w:bdr w:val="none" w:sz="0" w:space="0" w:color="auto" w:frame="1"/>
          <w:lang w:eastAsia="es-CO"/>
        </w:rPr>
        <w:t>el inciso 2 del artículo 6 de la Ley 1150 de 2007 dispone que no se requerirá registro ni clasificación en los contratos de mínima cuantía, por lo que «[…]</w:t>
      </w:r>
      <w:r w:rsidR="006F3626" w:rsidRPr="003A3375">
        <w:t xml:space="preserve"> </w:t>
      </w:r>
      <w:r w:rsidR="006F3626" w:rsidRPr="003A3375">
        <w:rPr>
          <w:color w:val="0D0D0D"/>
          <w:bdr w:val="none" w:sz="0" w:space="0" w:color="auto" w:frame="1"/>
          <w:lang w:eastAsia="es-CO"/>
        </w:rPr>
        <w:t>corresponderá a las entidades contratantes cumplir con la labor de verificación de las condiciones de los proponentes</w:t>
      </w:r>
      <w:r w:rsidR="006F3626">
        <w:rPr>
          <w:color w:val="0D0D0D"/>
          <w:bdr w:val="none" w:sz="0" w:space="0" w:color="auto" w:frame="1"/>
          <w:lang w:eastAsia="es-CO"/>
        </w:rPr>
        <w:t>».</w:t>
      </w:r>
      <w:r w:rsidR="005E1364">
        <w:t xml:space="preserve"> </w:t>
      </w:r>
    </w:p>
    <w:p w14:paraId="69F5DB2C" w14:textId="77777777" w:rsidR="00FC53A8" w:rsidRDefault="00FC53A8" w:rsidP="00FC53A8">
      <w:pPr>
        <w:widowControl w:val="0"/>
        <w:autoSpaceDE w:val="0"/>
        <w:autoSpaceDN w:val="0"/>
        <w:spacing w:before="120" w:after="120" w:line="276" w:lineRule="auto"/>
        <w:ind w:firstLine="709"/>
        <w:jc w:val="both"/>
        <w:rPr>
          <w:rFonts w:ascii="Arial" w:hAnsi="Arial" w:cs="Arial"/>
          <w:color w:val="0D0D0D"/>
          <w:sz w:val="22"/>
          <w:bdr w:val="none" w:sz="0" w:space="0" w:color="auto" w:frame="1"/>
          <w:lang w:eastAsia="es-CO"/>
        </w:rPr>
      </w:pPr>
      <w:r>
        <w:rPr>
          <w:rFonts w:ascii="Arial" w:hAnsi="Arial" w:cs="Arial"/>
          <w:color w:val="0D0D0D"/>
          <w:sz w:val="22"/>
          <w:bdr w:val="none" w:sz="0" w:space="0" w:color="auto" w:frame="1"/>
          <w:lang w:eastAsia="es-CO"/>
        </w:rPr>
        <w:t xml:space="preserve">Aunque documentos tipo implementados a través de la </w:t>
      </w:r>
      <w:r w:rsidRPr="0043040E">
        <w:rPr>
          <w:rFonts w:ascii="Arial" w:hAnsi="Arial" w:cs="Arial"/>
          <w:color w:val="0D0D0D"/>
          <w:sz w:val="22"/>
          <w:bdr w:val="none" w:sz="0" w:space="0" w:color="auto" w:frame="1"/>
          <w:lang w:eastAsia="es-CO"/>
        </w:rPr>
        <w:t>Resolución No. 094 del 21 de mayo de 2020</w:t>
      </w:r>
      <w:r>
        <w:rPr>
          <w:rFonts w:ascii="Arial" w:hAnsi="Arial" w:cs="Arial"/>
          <w:color w:val="0D0D0D"/>
          <w:sz w:val="22"/>
          <w:bdr w:val="none" w:sz="0" w:space="0" w:color="auto" w:frame="1"/>
          <w:lang w:eastAsia="es-CO"/>
        </w:rPr>
        <w:t xml:space="preserve"> estandarizan el proceso de selección previsto para la mínima cuantía en el artículo 2, numeral 5, de la Ley 1150 de 2007, la norma del párrafo precedente condiciona su alcance, pues se subordinan a ella sin posibilidad de modificarla o derogarla. En efecto, el capítulo IV de la invitación regula los requisitos habilitantes y, en este contexto, los proponentes deben acreditar lo siguiente: i) capacidad jurídica, ii) existencia y representación legal, iii) certificación de pagos a la seguridad social y aportes legales, iv) experiencia, v) capacidad financiera y vi) capacidad residual. </w:t>
      </w:r>
    </w:p>
    <w:p w14:paraId="20CFB4A5" w14:textId="6E46BA8E" w:rsidR="0032142F" w:rsidRDefault="00FC53A8" w:rsidP="00B559B6">
      <w:pPr>
        <w:pStyle w:val="Textoindependiente"/>
        <w:spacing w:after="0"/>
        <w:ind w:firstLine="708"/>
      </w:pPr>
      <w:r>
        <w:rPr>
          <w:color w:val="0D0D0D"/>
          <w:bdr w:val="none" w:sz="0" w:space="0" w:color="auto" w:frame="1"/>
          <w:lang w:eastAsia="es-CO"/>
        </w:rPr>
        <w:t xml:space="preserve">Lo importante es </w:t>
      </w:r>
      <w:r w:rsidR="00B559B6">
        <w:rPr>
          <w:color w:val="0D0D0D"/>
          <w:bdr w:val="none" w:sz="0" w:space="0" w:color="auto" w:frame="1"/>
          <w:lang w:eastAsia="es-CO"/>
        </w:rPr>
        <w:t>que,</w:t>
      </w:r>
      <w:r>
        <w:rPr>
          <w:color w:val="0D0D0D"/>
          <w:bdr w:val="none" w:sz="0" w:space="0" w:color="auto" w:frame="1"/>
          <w:lang w:eastAsia="es-CO"/>
        </w:rPr>
        <w:t xml:space="preserve"> para efectos de su verificación, ninguno de los apartados del documento tipo exige el registro único de proponentes, situación acorde con el citado inciso 2 del artículo 6 de la Ley 1150 de 2007. Por ello, el apartado 4.7 de la invitación define la forma de acreditar la capacidad residual en los procesos de mínima cuantía para obras de infraestructura de transporte que deban regirse por los documentos tipo</w:t>
      </w:r>
      <w:r w:rsidR="0049309B">
        <w:rPr>
          <w:color w:val="0D0D0D"/>
          <w:bdr w:val="none" w:sz="0" w:space="0" w:color="auto" w:frame="1"/>
          <w:lang w:eastAsia="es-CO"/>
        </w:rPr>
        <w:t>, requisitos que deben acatarse ya que –conforme al principio de inalterabilidad– estandariza la forma de verificar la capacidad residual como requisito habilitante</w:t>
      </w:r>
      <w:r>
        <w:rPr>
          <w:color w:val="0D0D0D"/>
          <w:bdr w:val="none" w:sz="0" w:space="0" w:color="auto" w:frame="1"/>
          <w:lang w:eastAsia="es-CO"/>
        </w:rPr>
        <w:t>.</w:t>
      </w:r>
    </w:p>
    <w:p w14:paraId="2A6FD2F9" w14:textId="77777777" w:rsidR="00B559B6" w:rsidRPr="00B34ABE" w:rsidRDefault="00B559B6" w:rsidP="00B559B6">
      <w:pPr>
        <w:pStyle w:val="Textoindependiente"/>
        <w:spacing w:after="0"/>
        <w:ind w:firstLine="708"/>
      </w:pPr>
    </w:p>
    <w:p w14:paraId="426B5DCA" w14:textId="3B5623DB" w:rsidR="00214878" w:rsidRPr="0014392D" w:rsidRDefault="00214878">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5366C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795EB3DD" w:rsidR="009C0366" w:rsidRPr="00D35139" w:rsidRDefault="00A97882" w:rsidP="00D35139">
      <w:pPr>
        <w:spacing w:line="276" w:lineRule="auto"/>
        <w:jc w:val="center"/>
        <w:rPr>
          <w:rFonts w:ascii="Arial" w:hAnsi="Arial" w:cs="Arial"/>
          <w:noProof/>
          <w:lang w:val="en-US"/>
        </w:rPr>
      </w:pPr>
      <w:r>
        <w:rPr>
          <w:rFonts w:ascii="Arial" w:hAnsi="Arial" w:cs="Arial"/>
          <w:noProof/>
          <w:lang w:val="es-CO" w:eastAsia="es-CO"/>
        </w:rPr>
        <w:drawing>
          <wp:inline distT="0" distB="0" distL="0" distR="0" wp14:anchorId="412710F5" wp14:editId="46D6F77D">
            <wp:extent cx="2514600" cy="11144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 REPOSITORIO.jpg"/>
                    <pic:cNvPicPr/>
                  </pic:nvPicPr>
                  <pic:blipFill>
                    <a:blip r:embed="rId18">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0E99225" w:rsidR="00214878"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Revisaron</w:t>
            </w:r>
            <w:r w:rsidR="00214878" w:rsidRPr="006E54A1">
              <w:rPr>
                <w:rFonts w:ascii="Arial" w:eastAsia="Times New Roman" w:hAnsi="Arial" w:cs="Arial"/>
                <w:sz w:val="14"/>
                <w:szCs w:val="14"/>
                <w:lang w:eastAsia="es-ES"/>
              </w:rPr>
              <w:t>:</w:t>
            </w:r>
          </w:p>
        </w:tc>
        <w:tc>
          <w:tcPr>
            <w:tcW w:w="4413" w:type="dxa"/>
            <w:tcBorders>
              <w:top w:val="dotted" w:sz="4" w:space="0" w:color="7F7F7F" w:themeColor="text1" w:themeTint="80"/>
              <w:bottom w:val="dotted" w:sz="4" w:space="0" w:color="7F7F7F" w:themeColor="text1" w:themeTint="80"/>
            </w:tcBorders>
            <w:vAlign w:val="center"/>
          </w:tcPr>
          <w:p w14:paraId="766E9A54" w14:textId="0559F056" w:rsidR="0014392D" w:rsidRPr="006E54A1" w:rsidRDefault="00F23D55" w:rsidP="00DF0F8E">
            <w:pPr>
              <w:rPr>
                <w:rFonts w:ascii="Arial" w:hAnsi="Arial" w:cs="Arial"/>
                <w:sz w:val="14"/>
                <w:szCs w:val="14"/>
                <w:lang w:eastAsia="es-ES"/>
              </w:rPr>
            </w:pPr>
            <w:r>
              <w:rPr>
                <w:rFonts w:ascii="Arial" w:hAnsi="Arial" w:cs="Arial"/>
                <w:sz w:val="14"/>
                <w:szCs w:val="14"/>
                <w:lang w:eastAsia="es-ES"/>
              </w:rPr>
              <w:t xml:space="preserve">Juan David Montoya Penagos </w:t>
            </w:r>
            <w:r w:rsidR="006E54A1" w:rsidRPr="006E54A1">
              <w:rPr>
                <w:rFonts w:ascii="Arial" w:hAnsi="Arial" w:cs="Arial"/>
                <w:sz w:val="14"/>
                <w:szCs w:val="14"/>
                <w:lang w:eastAsia="es-ES"/>
              </w:rPr>
              <w:t xml:space="preserve"> </w:t>
            </w:r>
          </w:p>
          <w:p w14:paraId="6B6BBB43" w14:textId="7491BF43" w:rsidR="00291D34" w:rsidRPr="00291D34" w:rsidRDefault="0014392D" w:rsidP="00DF0F8E">
            <w:pPr>
              <w:rPr>
                <w:rFonts w:ascii="Arial" w:hAnsi="Arial" w:cs="Arial"/>
                <w:sz w:val="14"/>
                <w:szCs w:val="14"/>
                <w:lang w:eastAsia="es-ES"/>
              </w:rPr>
            </w:pPr>
            <w:r w:rsidRPr="006E54A1">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4D885B74" w:rsidR="00291D34"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3F04EF7" w14:textId="07397FED" w:rsidR="00291D34"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7E4C84">
      <w:pPr>
        <w:spacing w:before="120" w:after="160" w:line="276" w:lineRule="auto"/>
        <w:ind w:left="708" w:hanging="708"/>
        <w:rPr>
          <w:rFonts w:ascii="Arial" w:hAnsi="Arial" w:cs="Arial"/>
        </w:rPr>
      </w:pPr>
    </w:p>
    <w:sectPr w:rsidR="00737DB6" w:rsidRPr="0014392D" w:rsidSect="00214878">
      <w:headerReference w:type="default" r:id="rId19"/>
      <w:footerReference w:type="default" r:id="rId20"/>
      <w:pgSz w:w="12240" w:h="15840"/>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C09D" w16cex:dateUtc="2021-08-03T00:06:00Z"/>
  <w16cex:commentExtensible w16cex:durableId="24B2C2D8" w16cex:dateUtc="2021-08-03T00:15:00Z"/>
  <w16cex:commentExtensible w16cex:durableId="24B2C312" w16cex:dateUtc="2021-08-03T00:16:00Z"/>
  <w16cex:commentExtensible w16cex:durableId="24B28C2A" w16cex:dateUtc="2021-08-02T20:22:00Z"/>
  <w16cex:commentExtensible w16cex:durableId="24B2C2BD" w16cex:dateUtc="2021-08-03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32A08" w16cid:durableId="24B2C09D"/>
  <w16cid:commentId w16cid:paraId="42681C29" w16cid:durableId="24B2C2D8"/>
  <w16cid:commentId w16cid:paraId="2C9E5CE8" w16cid:durableId="24B2C312"/>
  <w16cid:commentId w16cid:paraId="6CFBD2EB" w16cid:durableId="24B28C2A"/>
  <w16cid:commentId w16cid:paraId="05D1D938" w16cid:durableId="24B2C2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35C70" w14:textId="77777777" w:rsidR="00C56D50" w:rsidRDefault="00C56D50">
      <w:r>
        <w:separator/>
      </w:r>
    </w:p>
  </w:endnote>
  <w:endnote w:type="continuationSeparator" w:id="0">
    <w:p w14:paraId="3568D908" w14:textId="77777777" w:rsidR="00C56D50" w:rsidRDefault="00C5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759C" w14:textId="62FC5A77"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2161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2161F">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s-CO" w:eastAsia="es-CO"/>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6868" w14:textId="77777777" w:rsidR="00C56D50" w:rsidRDefault="00C56D50">
      <w:r>
        <w:separator/>
      </w:r>
    </w:p>
  </w:footnote>
  <w:footnote w:type="continuationSeparator" w:id="0">
    <w:p w14:paraId="48AB6BAB" w14:textId="77777777" w:rsidR="00C56D50" w:rsidRDefault="00C56D50">
      <w:r>
        <w:continuationSeparator/>
      </w:r>
    </w:p>
  </w:footnote>
  <w:footnote w:id="1">
    <w:p w14:paraId="7C2935B4" w14:textId="77777777" w:rsidR="0025153E" w:rsidRPr="008D0F08" w:rsidRDefault="0025153E" w:rsidP="0025153E">
      <w:pPr>
        <w:pStyle w:val="Textonotapie"/>
        <w:ind w:firstLine="708"/>
        <w:jc w:val="both"/>
        <w:rPr>
          <w:rFonts w:ascii="Arial" w:hAnsi="Arial" w:cs="Arial"/>
          <w:sz w:val="19"/>
          <w:szCs w:val="19"/>
          <w:lang w:val="es-CO"/>
        </w:rPr>
      </w:pPr>
      <w:r w:rsidRPr="008D0F08">
        <w:rPr>
          <w:rFonts w:ascii="Arial" w:eastAsia="Calibri" w:hAnsi="Arial" w:cs="Arial"/>
          <w:sz w:val="19"/>
          <w:szCs w:val="19"/>
          <w:vertAlign w:val="superscript"/>
        </w:rPr>
        <w:footnoteRef/>
      </w:r>
      <w:r w:rsidRPr="008D0F08">
        <w:rPr>
          <w:rFonts w:ascii="Arial" w:eastAsia="Calibri" w:hAnsi="Arial" w:cs="Arial"/>
          <w:sz w:val="19"/>
          <w:szCs w:val="19"/>
          <w:vertAlign w:val="superscript"/>
        </w:rPr>
        <w:t xml:space="preserve"> </w:t>
      </w:r>
      <w:r w:rsidRPr="008D0F08">
        <w:rPr>
          <w:rFonts w:ascii="Arial" w:eastAsia="Calibri" w:hAnsi="Arial" w:cs="Arial"/>
          <w:sz w:val="19"/>
          <w:szCs w:val="19"/>
        </w:rPr>
        <w:t xml:space="preserve">CONSEJO DE ESTADO. Sección Tercera. Sentencia del 26 de junio de 2003. Rad. 13.354. C.P: María Elena Giraldo Gómez. </w:t>
      </w:r>
    </w:p>
  </w:footnote>
  <w:footnote w:id="2">
    <w:p w14:paraId="2C9BC0B6" w14:textId="77777777" w:rsidR="00D50AF2" w:rsidRPr="00D50AF2" w:rsidRDefault="00D50AF2" w:rsidP="00D50AF2">
      <w:pPr>
        <w:pStyle w:val="Textonotapie"/>
        <w:ind w:firstLine="709"/>
        <w:jc w:val="both"/>
        <w:rPr>
          <w:rFonts w:ascii="Arial" w:eastAsia="Calibri" w:hAnsi="Arial" w:cs="Arial"/>
          <w:sz w:val="19"/>
          <w:szCs w:val="19"/>
        </w:rPr>
      </w:pPr>
      <w:r>
        <w:rPr>
          <w:rStyle w:val="Refdenotaalpie"/>
        </w:rPr>
        <w:footnoteRef/>
      </w:r>
      <w:r>
        <w:t xml:space="preserve"> </w:t>
      </w:r>
      <w:r w:rsidRPr="00D50AF2">
        <w:rPr>
          <w:rFonts w:ascii="Arial" w:eastAsia="Calibri" w:hAnsi="Arial" w:cs="Arial"/>
          <w:sz w:val="19"/>
          <w:szCs w:val="19"/>
        </w:rPr>
        <w:t xml:space="preserve">Ley 1682 de 2013: «Articulo 72. Capacidad residual de contratación para contratos de obra pública. La capacidad residual de contratación cuando se realicen contratos de obra pública se obtendrá de sustraer de la capacidad de contratación, el saldo del valor de los contratos en ejecución. </w:t>
      </w:r>
    </w:p>
    <w:p w14:paraId="6E3CDBAF" w14:textId="09E0B8C1" w:rsidR="00D50AF2" w:rsidRDefault="00D50AF2" w:rsidP="00D50AF2">
      <w:pPr>
        <w:pStyle w:val="Textonotapie"/>
        <w:ind w:firstLine="709"/>
        <w:jc w:val="both"/>
        <w:rPr>
          <w:rFonts w:ascii="Arial" w:eastAsia="Calibri" w:hAnsi="Arial" w:cs="Arial"/>
          <w:sz w:val="19"/>
          <w:szCs w:val="19"/>
        </w:rPr>
      </w:pPr>
      <w:r w:rsidRPr="00D50AF2">
        <w:rPr>
          <w:rFonts w:ascii="Arial" w:eastAsia="Calibri" w:hAnsi="Arial" w:cs="Arial"/>
          <w:sz w:val="19"/>
          <w:szCs w:val="19"/>
        </w:rPr>
        <w:t>La capacidad de contratación se deberá calcular mediante la evaluación de los siguientes factores: Experiencia (E), Capacidad financiera (CF), Capacidad Técnica (CT), y Capacidad Organizacional (CO).</w:t>
      </w:r>
    </w:p>
    <w:p w14:paraId="0D1C8CB9" w14:textId="2F18BA79" w:rsidR="00D50AF2" w:rsidRDefault="00D50AF2" w:rsidP="00D50AF2">
      <w:pPr>
        <w:pStyle w:val="Textonotapie"/>
        <w:ind w:firstLine="709"/>
        <w:jc w:val="both"/>
        <w:rPr>
          <w:rFonts w:ascii="Arial" w:eastAsia="Calibri" w:hAnsi="Arial" w:cs="Arial"/>
          <w:sz w:val="19"/>
          <w:szCs w:val="19"/>
        </w:rPr>
      </w:pPr>
      <w:r>
        <w:rPr>
          <w:rFonts w:ascii="Arial" w:eastAsia="Calibri" w:hAnsi="Arial" w:cs="Arial"/>
          <w:sz w:val="19"/>
          <w:szCs w:val="19"/>
        </w:rPr>
        <w:t>[…]</w:t>
      </w:r>
    </w:p>
    <w:p w14:paraId="7B0AD56B" w14:textId="47E5618C" w:rsidR="00D50AF2" w:rsidRPr="00D50AF2" w:rsidRDefault="00D50AF2">
      <w:pPr>
        <w:pStyle w:val="Textonotapie"/>
      </w:pPr>
    </w:p>
  </w:footnote>
  <w:footnote w:id="3">
    <w:p w14:paraId="53FE46F5" w14:textId="77777777" w:rsidR="0025153E" w:rsidRPr="008D0F08" w:rsidRDefault="0025153E" w:rsidP="0025153E">
      <w:pPr>
        <w:pStyle w:val="Textonotapie"/>
        <w:ind w:firstLine="708"/>
        <w:jc w:val="both"/>
        <w:rPr>
          <w:rFonts w:ascii="Arial" w:eastAsia="Calibri" w:hAnsi="Arial" w:cs="Arial"/>
          <w:sz w:val="19"/>
          <w:szCs w:val="19"/>
        </w:rPr>
      </w:pPr>
      <w:r w:rsidRPr="008D0F08">
        <w:rPr>
          <w:rStyle w:val="Refdenotaalpie"/>
          <w:rFonts w:ascii="Arial" w:hAnsi="Arial" w:cs="Arial"/>
          <w:sz w:val="19"/>
          <w:szCs w:val="19"/>
        </w:rPr>
        <w:footnoteRef/>
      </w:r>
      <w:r w:rsidRPr="008D0F08">
        <w:rPr>
          <w:rFonts w:ascii="Arial" w:hAnsi="Arial" w:cs="Arial"/>
          <w:sz w:val="19"/>
          <w:szCs w:val="19"/>
        </w:rPr>
        <w:t xml:space="preserve"> </w:t>
      </w:r>
      <w:r w:rsidRPr="008D0F08">
        <w:rPr>
          <w:rFonts w:ascii="Arial" w:eastAsia="Calibri" w:hAnsi="Arial" w:cs="Arial"/>
          <w:sz w:val="19"/>
          <w:szCs w:val="19"/>
        </w:rPr>
        <w:t>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5CF4F58D" w14:textId="77777777" w:rsidR="0025153E" w:rsidRPr="008D0F08" w:rsidRDefault="0025153E" w:rsidP="0025153E">
      <w:pPr>
        <w:pStyle w:val="Textonotapie"/>
        <w:ind w:firstLine="708"/>
        <w:jc w:val="both"/>
        <w:rPr>
          <w:rFonts w:ascii="Arial" w:eastAsia="Calibri" w:hAnsi="Arial" w:cs="Arial"/>
          <w:sz w:val="19"/>
          <w:szCs w:val="19"/>
        </w:rPr>
      </w:pPr>
    </w:p>
    <w:p w14:paraId="3C7D062D" w14:textId="77777777" w:rsidR="0025153E" w:rsidRPr="008D0F08" w:rsidRDefault="0025153E" w:rsidP="0025153E">
      <w:pPr>
        <w:pStyle w:val="Textonotapie"/>
        <w:ind w:firstLine="708"/>
        <w:jc w:val="both"/>
        <w:rPr>
          <w:rFonts w:ascii="Arial" w:eastAsia="Calibri" w:hAnsi="Arial" w:cs="Arial"/>
          <w:sz w:val="19"/>
          <w:szCs w:val="19"/>
        </w:rPr>
      </w:pPr>
      <w:r w:rsidRPr="008D0F08">
        <w:rPr>
          <w:rFonts w:ascii="Arial" w:eastAsia="Calibri" w:hAnsi="Arial" w:cs="Arial"/>
          <w:sz w:val="19"/>
          <w:szCs w:val="19"/>
        </w:rPr>
        <w:t>»1. Manuales para el uso de los Acuerdos Marco de Precios.</w:t>
      </w:r>
    </w:p>
    <w:p w14:paraId="2362D207" w14:textId="77777777" w:rsidR="0025153E" w:rsidRPr="008D0F08" w:rsidRDefault="0025153E" w:rsidP="0025153E">
      <w:pPr>
        <w:pStyle w:val="Textonotapie"/>
        <w:ind w:firstLine="708"/>
        <w:jc w:val="both"/>
        <w:rPr>
          <w:rFonts w:ascii="Arial" w:eastAsia="Calibri" w:hAnsi="Arial" w:cs="Arial"/>
          <w:sz w:val="19"/>
          <w:szCs w:val="19"/>
        </w:rPr>
      </w:pPr>
    </w:p>
    <w:p w14:paraId="21201CAE" w14:textId="77777777" w:rsidR="0025153E" w:rsidRPr="008D0F08" w:rsidRDefault="0025153E" w:rsidP="0025153E">
      <w:pPr>
        <w:pStyle w:val="Textonotapie"/>
        <w:ind w:firstLine="708"/>
        <w:jc w:val="both"/>
        <w:rPr>
          <w:rFonts w:ascii="Arial" w:eastAsia="Calibri" w:hAnsi="Arial" w:cs="Arial"/>
          <w:sz w:val="19"/>
          <w:szCs w:val="19"/>
        </w:rPr>
      </w:pPr>
      <w:r w:rsidRPr="008D0F08">
        <w:rPr>
          <w:rFonts w:ascii="Arial" w:eastAsia="Calibri"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p>
    <w:p w14:paraId="67F8F349" w14:textId="77777777" w:rsidR="0025153E" w:rsidRPr="008D0F08" w:rsidRDefault="0025153E" w:rsidP="0025153E">
      <w:pPr>
        <w:pStyle w:val="Textonotapie"/>
        <w:ind w:firstLine="708"/>
        <w:jc w:val="both"/>
        <w:rPr>
          <w:rFonts w:ascii="Arial" w:hAnsi="Arial" w:cs="Arial"/>
          <w:sz w:val="19"/>
          <w:szCs w:val="19"/>
          <w:lang w:val="es-CO"/>
        </w:rPr>
      </w:pPr>
      <w:r w:rsidRPr="008D0F08">
        <w:rPr>
          <w:rFonts w:ascii="Arial" w:eastAsia="Calibri" w:hAnsi="Arial" w:cs="Arial"/>
          <w:sz w:val="19"/>
          <w:szCs w:val="19"/>
        </w:rPr>
        <w:t>»[…]».</w:t>
      </w:r>
    </w:p>
  </w:footnote>
  <w:footnote w:id="4">
    <w:p w14:paraId="140DD768" w14:textId="77777777" w:rsidR="00BD2E1E" w:rsidRPr="00F317B0" w:rsidRDefault="00BD2E1E" w:rsidP="00BD2E1E">
      <w:pPr>
        <w:ind w:right="49" w:firstLine="709"/>
        <w:jc w:val="both"/>
      </w:pPr>
      <w:r w:rsidRPr="00F317B0">
        <w:rPr>
          <w:rStyle w:val="Refdenotaalpie"/>
          <w:sz w:val="19"/>
          <w:szCs w:val="19"/>
        </w:rPr>
        <w:footnoteRef/>
      </w:r>
      <w:r w:rsidRPr="00F317B0">
        <w:rPr>
          <w:rFonts w:ascii="Arial" w:hAnsi="Arial" w:cs="Arial"/>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F317B0">
        <w:rPr>
          <w:rFonts w:ascii="Arial" w:hAnsi="Arial" w:cs="Arial"/>
          <w:spacing w:val="-3"/>
          <w:sz w:val="19"/>
          <w:szCs w:val="19"/>
        </w:rPr>
        <w:t xml:space="preserve"> </w:t>
      </w:r>
      <w:r w:rsidRPr="00F317B0">
        <w:rPr>
          <w:rFonts w:ascii="Arial" w:hAnsi="Arial" w:cs="Arial"/>
          <w:sz w:val="19"/>
          <w:szCs w:val="19"/>
        </w:rPr>
        <w:t>documentos:</w:t>
      </w:r>
    </w:p>
    <w:p w14:paraId="720D63A8" w14:textId="77777777" w:rsidR="00BD2E1E" w:rsidRPr="00F317B0" w:rsidRDefault="00BD2E1E" w:rsidP="00BD2E1E">
      <w:pPr>
        <w:ind w:right="49" w:firstLine="709"/>
        <w:jc w:val="both"/>
      </w:pPr>
      <w:r w:rsidRPr="00F317B0">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F317B0">
        <w:rPr>
          <w:rFonts w:ascii="Arial" w:hAnsi="Arial" w:cs="Arial"/>
          <w:spacing w:val="-4"/>
          <w:sz w:val="19"/>
          <w:szCs w:val="19"/>
        </w:rPr>
        <w:t xml:space="preserve"> </w:t>
      </w:r>
      <w:r w:rsidRPr="00F317B0">
        <w:rPr>
          <w:rFonts w:ascii="Arial" w:hAnsi="Arial" w:cs="Arial"/>
          <w:sz w:val="19"/>
          <w:szCs w:val="19"/>
        </w:rPr>
        <w:t>concesionarios.</w:t>
      </w:r>
    </w:p>
    <w:p w14:paraId="06B50AB0" w14:textId="77777777" w:rsidR="00BD2E1E" w:rsidRPr="00F317B0" w:rsidRDefault="00BD2E1E" w:rsidP="00BD2E1E">
      <w:pPr>
        <w:ind w:right="49" w:firstLine="709"/>
        <w:jc w:val="both"/>
        <w:rPr>
          <w:rFonts w:ascii="Arial" w:hAnsi="Arial" w:cs="Arial"/>
          <w:sz w:val="19"/>
          <w:szCs w:val="19"/>
        </w:rPr>
      </w:pPr>
      <w:r w:rsidRPr="00F317B0">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A67AFB7" w14:textId="77777777" w:rsidR="00BD2E1E" w:rsidRPr="00F317B0" w:rsidRDefault="00BD2E1E" w:rsidP="00BD2E1E">
      <w:pPr>
        <w:ind w:right="49" w:firstLine="709"/>
        <w:jc w:val="both"/>
      </w:pPr>
      <w:r w:rsidRPr="00F317B0">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0902" w14:textId="77777777" w:rsidR="003644CA" w:rsidRDefault="003644CA" w:rsidP="00214878">
    <w:pPr>
      <w:pStyle w:val="Encabezado"/>
    </w:pPr>
    <w:r>
      <w:rPr>
        <w:noProof/>
        <w:lang w:val="es-CO" w:eastAsia="es-CO"/>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6817AF"/>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D60CBB"/>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584BC3"/>
    <w:multiLevelType w:val="hybridMultilevel"/>
    <w:tmpl w:val="0812EBB2"/>
    <w:lvl w:ilvl="0" w:tplc="D0088260">
      <w:start w:val="1"/>
      <w:numFmt w:val="decimal"/>
      <w:lvlText w:val="%1."/>
      <w:lvlJc w:val="left"/>
      <w:pPr>
        <w:ind w:left="1069" w:hanging="360"/>
      </w:pPr>
      <w:rPr>
        <w:rFonts w:hint="default"/>
        <w:b w:val="0"/>
        <w:sz w:val="21"/>
        <w:szCs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751B4EC2"/>
    <w:multiLevelType w:val="multilevel"/>
    <w:tmpl w:val="E050E366"/>
    <w:lvl w:ilvl="0">
      <w:start w:val="1"/>
      <w:numFmt w:val="decimal"/>
      <w:lvlText w:val="%1."/>
      <w:lvlJc w:val="left"/>
      <w:pPr>
        <w:ind w:left="1069" w:hanging="360"/>
      </w:pPr>
      <w:rPr>
        <w:rFonts w:hint="default"/>
      </w:rPr>
    </w:lvl>
    <w:lvl w:ilvl="1">
      <w:start w:val="1"/>
      <w:numFmt w:val="decimal"/>
      <w:isLgl/>
      <w:lvlText w:val="%1.%2."/>
      <w:lvlJc w:val="left"/>
      <w:pPr>
        <w:ind w:left="7383"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5"/>
  </w:num>
  <w:num w:numId="2">
    <w:abstractNumId w:val="4"/>
  </w:num>
  <w:num w:numId="3">
    <w:abstractNumId w:val="6"/>
  </w:num>
  <w:num w:numId="4">
    <w:abstractNumId w:val="8"/>
  </w:num>
  <w:num w:numId="5">
    <w:abstractNumId w:val="1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13"/>
  </w:num>
  <w:num w:numId="10">
    <w:abstractNumId w:val="12"/>
  </w:num>
  <w:num w:numId="11">
    <w:abstractNumId w:val="16"/>
  </w:num>
  <w:num w:numId="12">
    <w:abstractNumId w:val="15"/>
  </w:num>
  <w:num w:numId="13">
    <w:abstractNumId w:val="7"/>
  </w:num>
  <w:num w:numId="14">
    <w:abstractNumId w:val="11"/>
  </w:num>
  <w:num w:numId="15">
    <w:abstractNumId w:val="1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F9B"/>
    <w:rsid w:val="00004AC0"/>
    <w:rsid w:val="0000537F"/>
    <w:rsid w:val="00007845"/>
    <w:rsid w:val="00015DF9"/>
    <w:rsid w:val="000162C3"/>
    <w:rsid w:val="00016DCE"/>
    <w:rsid w:val="00023000"/>
    <w:rsid w:val="00023BE4"/>
    <w:rsid w:val="00023C87"/>
    <w:rsid w:val="0002551F"/>
    <w:rsid w:val="00031FC6"/>
    <w:rsid w:val="0003324A"/>
    <w:rsid w:val="00033B21"/>
    <w:rsid w:val="00035210"/>
    <w:rsid w:val="00036204"/>
    <w:rsid w:val="00043688"/>
    <w:rsid w:val="0004523D"/>
    <w:rsid w:val="00056788"/>
    <w:rsid w:val="00060398"/>
    <w:rsid w:val="00064E2F"/>
    <w:rsid w:val="00065BD4"/>
    <w:rsid w:val="000709B9"/>
    <w:rsid w:val="00074108"/>
    <w:rsid w:val="00074665"/>
    <w:rsid w:val="00086C1E"/>
    <w:rsid w:val="00086FD4"/>
    <w:rsid w:val="00091F03"/>
    <w:rsid w:val="0009351A"/>
    <w:rsid w:val="000942EB"/>
    <w:rsid w:val="000950AA"/>
    <w:rsid w:val="000A3D48"/>
    <w:rsid w:val="000A711E"/>
    <w:rsid w:val="000A785D"/>
    <w:rsid w:val="000B103F"/>
    <w:rsid w:val="000B2127"/>
    <w:rsid w:val="000B6AB4"/>
    <w:rsid w:val="000C0959"/>
    <w:rsid w:val="000C19E1"/>
    <w:rsid w:val="000C3D67"/>
    <w:rsid w:val="000D02B3"/>
    <w:rsid w:val="000D0CE3"/>
    <w:rsid w:val="000D37B2"/>
    <w:rsid w:val="000D3A92"/>
    <w:rsid w:val="000D4A92"/>
    <w:rsid w:val="000E1BF2"/>
    <w:rsid w:val="000E4B5C"/>
    <w:rsid w:val="000E699E"/>
    <w:rsid w:val="000E730C"/>
    <w:rsid w:val="000F14E8"/>
    <w:rsid w:val="000F18A6"/>
    <w:rsid w:val="00101D47"/>
    <w:rsid w:val="00103915"/>
    <w:rsid w:val="00110320"/>
    <w:rsid w:val="001103A2"/>
    <w:rsid w:val="00113958"/>
    <w:rsid w:val="00121CD3"/>
    <w:rsid w:val="00122B23"/>
    <w:rsid w:val="00123889"/>
    <w:rsid w:val="00125924"/>
    <w:rsid w:val="001332FB"/>
    <w:rsid w:val="001353DC"/>
    <w:rsid w:val="0013568D"/>
    <w:rsid w:val="0013799F"/>
    <w:rsid w:val="00137BCE"/>
    <w:rsid w:val="00137FFA"/>
    <w:rsid w:val="00141FAC"/>
    <w:rsid w:val="001428A2"/>
    <w:rsid w:val="001437AF"/>
    <w:rsid w:val="0014392D"/>
    <w:rsid w:val="00143A66"/>
    <w:rsid w:val="001447A1"/>
    <w:rsid w:val="0015440E"/>
    <w:rsid w:val="00161B7E"/>
    <w:rsid w:val="00166B32"/>
    <w:rsid w:val="0017007F"/>
    <w:rsid w:val="00175FDC"/>
    <w:rsid w:val="0018007B"/>
    <w:rsid w:val="001819EF"/>
    <w:rsid w:val="001821C5"/>
    <w:rsid w:val="00193EFC"/>
    <w:rsid w:val="001A695E"/>
    <w:rsid w:val="001A7009"/>
    <w:rsid w:val="001B493A"/>
    <w:rsid w:val="001C01AC"/>
    <w:rsid w:val="001C12E3"/>
    <w:rsid w:val="001C47C6"/>
    <w:rsid w:val="001C67D0"/>
    <w:rsid w:val="001C6B55"/>
    <w:rsid w:val="001D0521"/>
    <w:rsid w:val="001E0106"/>
    <w:rsid w:val="001E0B25"/>
    <w:rsid w:val="001E3A55"/>
    <w:rsid w:val="001E62AF"/>
    <w:rsid w:val="001E7A56"/>
    <w:rsid w:val="001F29DD"/>
    <w:rsid w:val="001F2A9C"/>
    <w:rsid w:val="002002A3"/>
    <w:rsid w:val="00202F2E"/>
    <w:rsid w:val="002106C7"/>
    <w:rsid w:val="00210BA1"/>
    <w:rsid w:val="0021312A"/>
    <w:rsid w:val="00213765"/>
    <w:rsid w:val="00214878"/>
    <w:rsid w:val="00220DCB"/>
    <w:rsid w:val="00224AFF"/>
    <w:rsid w:val="00230492"/>
    <w:rsid w:val="00231C01"/>
    <w:rsid w:val="002330A3"/>
    <w:rsid w:val="002346FC"/>
    <w:rsid w:val="00234B84"/>
    <w:rsid w:val="00234CAF"/>
    <w:rsid w:val="00237377"/>
    <w:rsid w:val="002411E9"/>
    <w:rsid w:val="002422E2"/>
    <w:rsid w:val="00242ED7"/>
    <w:rsid w:val="0024480D"/>
    <w:rsid w:val="002454B3"/>
    <w:rsid w:val="00245A8B"/>
    <w:rsid w:val="00250EB5"/>
    <w:rsid w:val="0025153E"/>
    <w:rsid w:val="0025502B"/>
    <w:rsid w:val="00255AFA"/>
    <w:rsid w:val="0026156A"/>
    <w:rsid w:val="0026186C"/>
    <w:rsid w:val="00261A2E"/>
    <w:rsid w:val="002630D9"/>
    <w:rsid w:val="002706B4"/>
    <w:rsid w:val="0027296B"/>
    <w:rsid w:val="0027359F"/>
    <w:rsid w:val="00280E65"/>
    <w:rsid w:val="00286DB6"/>
    <w:rsid w:val="00287A42"/>
    <w:rsid w:val="002918F7"/>
    <w:rsid w:val="00291D34"/>
    <w:rsid w:val="002932EB"/>
    <w:rsid w:val="00293C69"/>
    <w:rsid w:val="00294025"/>
    <w:rsid w:val="00294A08"/>
    <w:rsid w:val="002A36A9"/>
    <w:rsid w:val="002A4D54"/>
    <w:rsid w:val="002A72FB"/>
    <w:rsid w:val="002B1F1E"/>
    <w:rsid w:val="002B3D4E"/>
    <w:rsid w:val="002C3D5A"/>
    <w:rsid w:val="002C567D"/>
    <w:rsid w:val="002C60E5"/>
    <w:rsid w:val="002C71CA"/>
    <w:rsid w:val="002C7E55"/>
    <w:rsid w:val="002C7E5B"/>
    <w:rsid w:val="002D1AA6"/>
    <w:rsid w:val="002D7662"/>
    <w:rsid w:val="002D7A0C"/>
    <w:rsid w:val="002E1753"/>
    <w:rsid w:val="002E6F9C"/>
    <w:rsid w:val="002E7375"/>
    <w:rsid w:val="002E79A9"/>
    <w:rsid w:val="002F2195"/>
    <w:rsid w:val="002F33C3"/>
    <w:rsid w:val="003011A3"/>
    <w:rsid w:val="00303001"/>
    <w:rsid w:val="003033BA"/>
    <w:rsid w:val="00305947"/>
    <w:rsid w:val="00306259"/>
    <w:rsid w:val="003067C4"/>
    <w:rsid w:val="00313908"/>
    <w:rsid w:val="00314939"/>
    <w:rsid w:val="003159B5"/>
    <w:rsid w:val="00315C98"/>
    <w:rsid w:val="0032142F"/>
    <w:rsid w:val="00323084"/>
    <w:rsid w:val="00323E51"/>
    <w:rsid w:val="0033352A"/>
    <w:rsid w:val="00333DBC"/>
    <w:rsid w:val="00341A74"/>
    <w:rsid w:val="0034680A"/>
    <w:rsid w:val="003471F9"/>
    <w:rsid w:val="0034781E"/>
    <w:rsid w:val="00352311"/>
    <w:rsid w:val="003544BB"/>
    <w:rsid w:val="00356E6F"/>
    <w:rsid w:val="003600DB"/>
    <w:rsid w:val="00362481"/>
    <w:rsid w:val="00362FC9"/>
    <w:rsid w:val="00363113"/>
    <w:rsid w:val="003644CA"/>
    <w:rsid w:val="003657FD"/>
    <w:rsid w:val="00372B16"/>
    <w:rsid w:val="003751BE"/>
    <w:rsid w:val="00376566"/>
    <w:rsid w:val="00385468"/>
    <w:rsid w:val="00386456"/>
    <w:rsid w:val="00387590"/>
    <w:rsid w:val="00392F03"/>
    <w:rsid w:val="003945B8"/>
    <w:rsid w:val="00395355"/>
    <w:rsid w:val="00395C94"/>
    <w:rsid w:val="003A1AAE"/>
    <w:rsid w:val="003A581E"/>
    <w:rsid w:val="003B0B5A"/>
    <w:rsid w:val="003B4F39"/>
    <w:rsid w:val="003C0C02"/>
    <w:rsid w:val="003C43B0"/>
    <w:rsid w:val="003C44BC"/>
    <w:rsid w:val="003C4E7C"/>
    <w:rsid w:val="003C7776"/>
    <w:rsid w:val="003D14E8"/>
    <w:rsid w:val="003D2AA2"/>
    <w:rsid w:val="003D4BB2"/>
    <w:rsid w:val="003D7DB6"/>
    <w:rsid w:val="003E2E1F"/>
    <w:rsid w:val="003E4ED2"/>
    <w:rsid w:val="003F2F99"/>
    <w:rsid w:val="003F6F8C"/>
    <w:rsid w:val="00400DDE"/>
    <w:rsid w:val="00405662"/>
    <w:rsid w:val="004058CB"/>
    <w:rsid w:val="00410870"/>
    <w:rsid w:val="004110F1"/>
    <w:rsid w:val="00414A77"/>
    <w:rsid w:val="00416B88"/>
    <w:rsid w:val="00417402"/>
    <w:rsid w:val="00424964"/>
    <w:rsid w:val="00430990"/>
    <w:rsid w:val="0043152C"/>
    <w:rsid w:val="00431C82"/>
    <w:rsid w:val="00432163"/>
    <w:rsid w:val="00434BC9"/>
    <w:rsid w:val="004422D6"/>
    <w:rsid w:val="00442720"/>
    <w:rsid w:val="00443F10"/>
    <w:rsid w:val="00445F18"/>
    <w:rsid w:val="004513E8"/>
    <w:rsid w:val="00462527"/>
    <w:rsid w:val="0046742B"/>
    <w:rsid w:val="00467950"/>
    <w:rsid w:val="00477B6D"/>
    <w:rsid w:val="00482FCA"/>
    <w:rsid w:val="00483490"/>
    <w:rsid w:val="00487048"/>
    <w:rsid w:val="0048706D"/>
    <w:rsid w:val="00490869"/>
    <w:rsid w:val="0049197E"/>
    <w:rsid w:val="0049309B"/>
    <w:rsid w:val="00493EF0"/>
    <w:rsid w:val="004A34D2"/>
    <w:rsid w:val="004A51B7"/>
    <w:rsid w:val="004B2EF6"/>
    <w:rsid w:val="004B5A38"/>
    <w:rsid w:val="004B6213"/>
    <w:rsid w:val="004B62BE"/>
    <w:rsid w:val="004C35C3"/>
    <w:rsid w:val="004C56C4"/>
    <w:rsid w:val="004C64DF"/>
    <w:rsid w:val="004D021E"/>
    <w:rsid w:val="004D2202"/>
    <w:rsid w:val="004D2FE0"/>
    <w:rsid w:val="004D6F1F"/>
    <w:rsid w:val="004E2C1F"/>
    <w:rsid w:val="004E2DEA"/>
    <w:rsid w:val="004E420A"/>
    <w:rsid w:val="004E6117"/>
    <w:rsid w:val="004F1A74"/>
    <w:rsid w:val="004F39DB"/>
    <w:rsid w:val="004F3CEB"/>
    <w:rsid w:val="004F3E22"/>
    <w:rsid w:val="004F4C0F"/>
    <w:rsid w:val="0050193D"/>
    <w:rsid w:val="00501AD2"/>
    <w:rsid w:val="00504B90"/>
    <w:rsid w:val="00505907"/>
    <w:rsid w:val="00507523"/>
    <w:rsid w:val="00507B55"/>
    <w:rsid w:val="0051074C"/>
    <w:rsid w:val="00512714"/>
    <w:rsid w:val="00513AF2"/>
    <w:rsid w:val="0051416A"/>
    <w:rsid w:val="00517832"/>
    <w:rsid w:val="00525C51"/>
    <w:rsid w:val="005356EA"/>
    <w:rsid w:val="0053681E"/>
    <w:rsid w:val="0054229C"/>
    <w:rsid w:val="005427CF"/>
    <w:rsid w:val="00542E18"/>
    <w:rsid w:val="0054413A"/>
    <w:rsid w:val="00546CA7"/>
    <w:rsid w:val="00550FD8"/>
    <w:rsid w:val="00553A50"/>
    <w:rsid w:val="00553EAD"/>
    <w:rsid w:val="005541AF"/>
    <w:rsid w:val="005564CA"/>
    <w:rsid w:val="00557C64"/>
    <w:rsid w:val="0056302E"/>
    <w:rsid w:val="005637B5"/>
    <w:rsid w:val="00565602"/>
    <w:rsid w:val="00566674"/>
    <w:rsid w:val="00572EF9"/>
    <w:rsid w:val="00576385"/>
    <w:rsid w:val="005776D4"/>
    <w:rsid w:val="005909E4"/>
    <w:rsid w:val="005A3893"/>
    <w:rsid w:val="005A4AEC"/>
    <w:rsid w:val="005A7711"/>
    <w:rsid w:val="005B0CD4"/>
    <w:rsid w:val="005B11C6"/>
    <w:rsid w:val="005B57CE"/>
    <w:rsid w:val="005C275C"/>
    <w:rsid w:val="005C50CF"/>
    <w:rsid w:val="005C7CDD"/>
    <w:rsid w:val="005D0519"/>
    <w:rsid w:val="005D1B45"/>
    <w:rsid w:val="005D25BD"/>
    <w:rsid w:val="005D3A16"/>
    <w:rsid w:val="005D5E67"/>
    <w:rsid w:val="005D69B0"/>
    <w:rsid w:val="005E1364"/>
    <w:rsid w:val="005E3FDC"/>
    <w:rsid w:val="005E46CB"/>
    <w:rsid w:val="005E55D7"/>
    <w:rsid w:val="005E5AD9"/>
    <w:rsid w:val="005F7D83"/>
    <w:rsid w:val="00600AC5"/>
    <w:rsid w:val="00604DF6"/>
    <w:rsid w:val="00604F33"/>
    <w:rsid w:val="00605BB2"/>
    <w:rsid w:val="00606730"/>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56F2D"/>
    <w:rsid w:val="006629E7"/>
    <w:rsid w:val="00662A05"/>
    <w:rsid w:val="006735A6"/>
    <w:rsid w:val="006754C6"/>
    <w:rsid w:val="00676EE8"/>
    <w:rsid w:val="00685F97"/>
    <w:rsid w:val="00687EC0"/>
    <w:rsid w:val="00690936"/>
    <w:rsid w:val="00697665"/>
    <w:rsid w:val="006A4711"/>
    <w:rsid w:val="006A627A"/>
    <w:rsid w:val="006A7FD0"/>
    <w:rsid w:val="006B0278"/>
    <w:rsid w:val="006B3A0D"/>
    <w:rsid w:val="006B6ED7"/>
    <w:rsid w:val="006C0BAA"/>
    <w:rsid w:val="006C1231"/>
    <w:rsid w:val="006C68E6"/>
    <w:rsid w:val="006D0AAC"/>
    <w:rsid w:val="006D0FC1"/>
    <w:rsid w:val="006D1878"/>
    <w:rsid w:val="006D32A2"/>
    <w:rsid w:val="006D7687"/>
    <w:rsid w:val="006D79C0"/>
    <w:rsid w:val="006E0572"/>
    <w:rsid w:val="006E4BFE"/>
    <w:rsid w:val="006E54A1"/>
    <w:rsid w:val="006F0C04"/>
    <w:rsid w:val="006F3626"/>
    <w:rsid w:val="00700D9E"/>
    <w:rsid w:val="00702F38"/>
    <w:rsid w:val="00704381"/>
    <w:rsid w:val="00705631"/>
    <w:rsid w:val="007149C8"/>
    <w:rsid w:val="00716A58"/>
    <w:rsid w:val="0071707F"/>
    <w:rsid w:val="00717AB2"/>
    <w:rsid w:val="00727C3C"/>
    <w:rsid w:val="00734B73"/>
    <w:rsid w:val="00735EB6"/>
    <w:rsid w:val="00737DB6"/>
    <w:rsid w:val="007424A8"/>
    <w:rsid w:val="00742DD2"/>
    <w:rsid w:val="00744529"/>
    <w:rsid w:val="007452CF"/>
    <w:rsid w:val="0075010E"/>
    <w:rsid w:val="00751379"/>
    <w:rsid w:val="00754451"/>
    <w:rsid w:val="0075647A"/>
    <w:rsid w:val="00756B38"/>
    <w:rsid w:val="007575ED"/>
    <w:rsid w:val="007609E9"/>
    <w:rsid w:val="007618B2"/>
    <w:rsid w:val="007634AD"/>
    <w:rsid w:val="00764F47"/>
    <w:rsid w:val="00771390"/>
    <w:rsid w:val="0078122E"/>
    <w:rsid w:val="00781AA8"/>
    <w:rsid w:val="0078365A"/>
    <w:rsid w:val="0078391E"/>
    <w:rsid w:val="00784CAB"/>
    <w:rsid w:val="0079134A"/>
    <w:rsid w:val="00795113"/>
    <w:rsid w:val="007A645F"/>
    <w:rsid w:val="007A6A34"/>
    <w:rsid w:val="007B0854"/>
    <w:rsid w:val="007B1869"/>
    <w:rsid w:val="007D1654"/>
    <w:rsid w:val="007D2317"/>
    <w:rsid w:val="007D3323"/>
    <w:rsid w:val="007E193F"/>
    <w:rsid w:val="007E24A0"/>
    <w:rsid w:val="007E331A"/>
    <w:rsid w:val="007E4C84"/>
    <w:rsid w:val="007E6D71"/>
    <w:rsid w:val="007F1C74"/>
    <w:rsid w:val="007F5937"/>
    <w:rsid w:val="007F7255"/>
    <w:rsid w:val="007F72CB"/>
    <w:rsid w:val="00801F73"/>
    <w:rsid w:val="00802FF0"/>
    <w:rsid w:val="008065A8"/>
    <w:rsid w:val="00806F37"/>
    <w:rsid w:val="00810875"/>
    <w:rsid w:val="00811EDD"/>
    <w:rsid w:val="00815610"/>
    <w:rsid w:val="00816B40"/>
    <w:rsid w:val="008229F3"/>
    <w:rsid w:val="00824A6D"/>
    <w:rsid w:val="00830498"/>
    <w:rsid w:val="0083119B"/>
    <w:rsid w:val="00835C7D"/>
    <w:rsid w:val="00836EAB"/>
    <w:rsid w:val="00837625"/>
    <w:rsid w:val="00837C23"/>
    <w:rsid w:val="008431E7"/>
    <w:rsid w:val="00844741"/>
    <w:rsid w:val="0084692D"/>
    <w:rsid w:val="00847CF9"/>
    <w:rsid w:val="0085092D"/>
    <w:rsid w:val="00854B8E"/>
    <w:rsid w:val="008615FD"/>
    <w:rsid w:val="00862405"/>
    <w:rsid w:val="00863745"/>
    <w:rsid w:val="008662E2"/>
    <w:rsid w:val="00866AEB"/>
    <w:rsid w:val="00871A33"/>
    <w:rsid w:val="00874B3D"/>
    <w:rsid w:val="00877E03"/>
    <w:rsid w:val="00884F75"/>
    <w:rsid w:val="008865C0"/>
    <w:rsid w:val="0088776A"/>
    <w:rsid w:val="008903AE"/>
    <w:rsid w:val="008941DC"/>
    <w:rsid w:val="00894712"/>
    <w:rsid w:val="00896CE7"/>
    <w:rsid w:val="008A29B2"/>
    <w:rsid w:val="008A56B5"/>
    <w:rsid w:val="008A7BB3"/>
    <w:rsid w:val="008B1764"/>
    <w:rsid w:val="008B79E0"/>
    <w:rsid w:val="008C2A2A"/>
    <w:rsid w:val="008C449B"/>
    <w:rsid w:val="008C5FE5"/>
    <w:rsid w:val="008D4B7C"/>
    <w:rsid w:val="008D7064"/>
    <w:rsid w:val="008E121D"/>
    <w:rsid w:val="008E1C15"/>
    <w:rsid w:val="008E3555"/>
    <w:rsid w:val="008E679D"/>
    <w:rsid w:val="008F53F4"/>
    <w:rsid w:val="00901339"/>
    <w:rsid w:val="00902872"/>
    <w:rsid w:val="009047C5"/>
    <w:rsid w:val="00905611"/>
    <w:rsid w:val="009101AA"/>
    <w:rsid w:val="00911BF7"/>
    <w:rsid w:val="00913B77"/>
    <w:rsid w:val="00916DB5"/>
    <w:rsid w:val="0092191C"/>
    <w:rsid w:val="00921955"/>
    <w:rsid w:val="009242C9"/>
    <w:rsid w:val="009271DF"/>
    <w:rsid w:val="00932ABE"/>
    <w:rsid w:val="00933102"/>
    <w:rsid w:val="00933C4A"/>
    <w:rsid w:val="00941B45"/>
    <w:rsid w:val="00941BB1"/>
    <w:rsid w:val="00947945"/>
    <w:rsid w:val="00951524"/>
    <w:rsid w:val="00951B2A"/>
    <w:rsid w:val="0095385A"/>
    <w:rsid w:val="00954AC6"/>
    <w:rsid w:val="0095720E"/>
    <w:rsid w:val="009604E6"/>
    <w:rsid w:val="00965006"/>
    <w:rsid w:val="00966595"/>
    <w:rsid w:val="00967DBE"/>
    <w:rsid w:val="00971321"/>
    <w:rsid w:val="00975427"/>
    <w:rsid w:val="009769F6"/>
    <w:rsid w:val="0098114E"/>
    <w:rsid w:val="00981254"/>
    <w:rsid w:val="009859D4"/>
    <w:rsid w:val="0098629E"/>
    <w:rsid w:val="009A7EAF"/>
    <w:rsid w:val="009B3E7E"/>
    <w:rsid w:val="009B42A9"/>
    <w:rsid w:val="009C0366"/>
    <w:rsid w:val="009C2258"/>
    <w:rsid w:val="009C50D0"/>
    <w:rsid w:val="009C7814"/>
    <w:rsid w:val="009F12D8"/>
    <w:rsid w:val="009F509D"/>
    <w:rsid w:val="00A06772"/>
    <w:rsid w:val="00A074BF"/>
    <w:rsid w:val="00A0798E"/>
    <w:rsid w:val="00A12E39"/>
    <w:rsid w:val="00A1500F"/>
    <w:rsid w:val="00A17103"/>
    <w:rsid w:val="00A23EDF"/>
    <w:rsid w:val="00A241AD"/>
    <w:rsid w:val="00A24322"/>
    <w:rsid w:val="00A24560"/>
    <w:rsid w:val="00A24FCF"/>
    <w:rsid w:val="00A27285"/>
    <w:rsid w:val="00A31BC6"/>
    <w:rsid w:val="00A31C86"/>
    <w:rsid w:val="00A34538"/>
    <w:rsid w:val="00A44694"/>
    <w:rsid w:val="00A45F5D"/>
    <w:rsid w:val="00A50E6B"/>
    <w:rsid w:val="00A50EA1"/>
    <w:rsid w:val="00A54843"/>
    <w:rsid w:val="00A54FA1"/>
    <w:rsid w:val="00A562DC"/>
    <w:rsid w:val="00A5668B"/>
    <w:rsid w:val="00A60725"/>
    <w:rsid w:val="00A60A14"/>
    <w:rsid w:val="00A620C8"/>
    <w:rsid w:val="00A64ADC"/>
    <w:rsid w:val="00A67F5B"/>
    <w:rsid w:val="00A737CD"/>
    <w:rsid w:val="00A8084F"/>
    <w:rsid w:val="00A8663D"/>
    <w:rsid w:val="00A95A3C"/>
    <w:rsid w:val="00A95E66"/>
    <w:rsid w:val="00A9638B"/>
    <w:rsid w:val="00A963CA"/>
    <w:rsid w:val="00A97882"/>
    <w:rsid w:val="00AA442B"/>
    <w:rsid w:val="00AA6B90"/>
    <w:rsid w:val="00AA6D04"/>
    <w:rsid w:val="00AA707B"/>
    <w:rsid w:val="00AB177F"/>
    <w:rsid w:val="00AB31E7"/>
    <w:rsid w:val="00AB3864"/>
    <w:rsid w:val="00AB4030"/>
    <w:rsid w:val="00AB7B09"/>
    <w:rsid w:val="00AC050B"/>
    <w:rsid w:val="00AD0EDA"/>
    <w:rsid w:val="00AE1155"/>
    <w:rsid w:val="00AE2D9F"/>
    <w:rsid w:val="00AE3C7C"/>
    <w:rsid w:val="00AF16AE"/>
    <w:rsid w:val="00AF1718"/>
    <w:rsid w:val="00AF2440"/>
    <w:rsid w:val="00AF798A"/>
    <w:rsid w:val="00B004FA"/>
    <w:rsid w:val="00B03356"/>
    <w:rsid w:val="00B04EDB"/>
    <w:rsid w:val="00B11CB1"/>
    <w:rsid w:val="00B12F6F"/>
    <w:rsid w:val="00B159A0"/>
    <w:rsid w:val="00B2165B"/>
    <w:rsid w:val="00B22E22"/>
    <w:rsid w:val="00B26B8B"/>
    <w:rsid w:val="00B333CE"/>
    <w:rsid w:val="00B33532"/>
    <w:rsid w:val="00B34ABE"/>
    <w:rsid w:val="00B36C98"/>
    <w:rsid w:val="00B44CCE"/>
    <w:rsid w:val="00B525CB"/>
    <w:rsid w:val="00B53388"/>
    <w:rsid w:val="00B559B6"/>
    <w:rsid w:val="00B56418"/>
    <w:rsid w:val="00B61BDD"/>
    <w:rsid w:val="00B61FD8"/>
    <w:rsid w:val="00B6341B"/>
    <w:rsid w:val="00B63CB2"/>
    <w:rsid w:val="00B64AAF"/>
    <w:rsid w:val="00B65ABA"/>
    <w:rsid w:val="00B74072"/>
    <w:rsid w:val="00B76B00"/>
    <w:rsid w:val="00B76CEF"/>
    <w:rsid w:val="00B77832"/>
    <w:rsid w:val="00B851DC"/>
    <w:rsid w:val="00B93513"/>
    <w:rsid w:val="00BA62F5"/>
    <w:rsid w:val="00BA71CD"/>
    <w:rsid w:val="00BA753C"/>
    <w:rsid w:val="00BB2C01"/>
    <w:rsid w:val="00BB6501"/>
    <w:rsid w:val="00BC1B41"/>
    <w:rsid w:val="00BD0D6C"/>
    <w:rsid w:val="00BD1EF0"/>
    <w:rsid w:val="00BD2E1E"/>
    <w:rsid w:val="00BD422F"/>
    <w:rsid w:val="00BD5D8F"/>
    <w:rsid w:val="00BD78FE"/>
    <w:rsid w:val="00BE0EDB"/>
    <w:rsid w:val="00BE78C0"/>
    <w:rsid w:val="00BF1906"/>
    <w:rsid w:val="00BF46F6"/>
    <w:rsid w:val="00BF624E"/>
    <w:rsid w:val="00BF7F4C"/>
    <w:rsid w:val="00C03DC6"/>
    <w:rsid w:val="00C07C55"/>
    <w:rsid w:val="00C1017B"/>
    <w:rsid w:val="00C12D0B"/>
    <w:rsid w:val="00C14C9E"/>
    <w:rsid w:val="00C1549C"/>
    <w:rsid w:val="00C17D54"/>
    <w:rsid w:val="00C22B69"/>
    <w:rsid w:val="00C33B29"/>
    <w:rsid w:val="00C343AD"/>
    <w:rsid w:val="00C34B22"/>
    <w:rsid w:val="00C35F7C"/>
    <w:rsid w:val="00C371A6"/>
    <w:rsid w:val="00C4135A"/>
    <w:rsid w:val="00C5124A"/>
    <w:rsid w:val="00C5128E"/>
    <w:rsid w:val="00C523AA"/>
    <w:rsid w:val="00C528E6"/>
    <w:rsid w:val="00C56D50"/>
    <w:rsid w:val="00C623A4"/>
    <w:rsid w:val="00C63CB2"/>
    <w:rsid w:val="00C67FE4"/>
    <w:rsid w:val="00C7160E"/>
    <w:rsid w:val="00C762CE"/>
    <w:rsid w:val="00C80EFF"/>
    <w:rsid w:val="00C913C9"/>
    <w:rsid w:val="00C914CD"/>
    <w:rsid w:val="00C93A8A"/>
    <w:rsid w:val="00C93EB1"/>
    <w:rsid w:val="00C968EC"/>
    <w:rsid w:val="00CA3F2F"/>
    <w:rsid w:val="00CA6816"/>
    <w:rsid w:val="00CA7FEF"/>
    <w:rsid w:val="00CB345A"/>
    <w:rsid w:val="00CB459F"/>
    <w:rsid w:val="00CB5A11"/>
    <w:rsid w:val="00CC00CD"/>
    <w:rsid w:val="00CC1660"/>
    <w:rsid w:val="00CC7BB6"/>
    <w:rsid w:val="00CC7FF4"/>
    <w:rsid w:val="00CD3ACB"/>
    <w:rsid w:val="00CD5C88"/>
    <w:rsid w:val="00CE1459"/>
    <w:rsid w:val="00CE14B9"/>
    <w:rsid w:val="00CE1F6E"/>
    <w:rsid w:val="00CE20F7"/>
    <w:rsid w:val="00CE3521"/>
    <w:rsid w:val="00CE352A"/>
    <w:rsid w:val="00CE675D"/>
    <w:rsid w:val="00CF10C1"/>
    <w:rsid w:val="00CF2489"/>
    <w:rsid w:val="00CF2BDE"/>
    <w:rsid w:val="00CF2E86"/>
    <w:rsid w:val="00CF415E"/>
    <w:rsid w:val="00CF6238"/>
    <w:rsid w:val="00CF68ED"/>
    <w:rsid w:val="00D10740"/>
    <w:rsid w:val="00D10E69"/>
    <w:rsid w:val="00D117C5"/>
    <w:rsid w:val="00D160C4"/>
    <w:rsid w:val="00D1627F"/>
    <w:rsid w:val="00D16E39"/>
    <w:rsid w:val="00D20B01"/>
    <w:rsid w:val="00D2531F"/>
    <w:rsid w:val="00D25BEF"/>
    <w:rsid w:val="00D25C34"/>
    <w:rsid w:val="00D309A0"/>
    <w:rsid w:val="00D31AD4"/>
    <w:rsid w:val="00D35139"/>
    <w:rsid w:val="00D41357"/>
    <w:rsid w:val="00D433FD"/>
    <w:rsid w:val="00D44475"/>
    <w:rsid w:val="00D50AF2"/>
    <w:rsid w:val="00D51773"/>
    <w:rsid w:val="00D52F10"/>
    <w:rsid w:val="00D5622C"/>
    <w:rsid w:val="00D5689F"/>
    <w:rsid w:val="00D571FF"/>
    <w:rsid w:val="00D63E6B"/>
    <w:rsid w:val="00D72E9D"/>
    <w:rsid w:val="00D73D97"/>
    <w:rsid w:val="00D74CDA"/>
    <w:rsid w:val="00D77683"/>
    <w:rsid w:val="00D802C1"/>
    <w:rsid w:val="00D81907"/>
    <w:rsid w:val="00D82CE5"/>
    <w:rsid w:val="00D84EE3"/>
    <w:rsid w:val="00DA3351"/>
    <w:rsid w:val="00DA4E96"/>
    <w:rsid w:val="00DA5AB1"/>
    <w:rsid w:val="00DB36AB"/>
    <w:rsid w:val="00DB614C"/>
    <w:rsid w:val="00DC01E4"/>
    <w:rsid w:val="00DC0452"/>
    <w:rsid w:val="00DC5121"/>
    <w:rsid w:val="00DC5443"/>
    <w:rsid w:val="00DC62E5"/>
    <w:rsid w:val="00DD07F7"/>
    <w:rsid w:val="00DD10BC"/>
    <w:rsid w:val="00DD20BA"/>
    <w:rsid w:val="00DD30CE"/>
    <w:rsid w:val="00DD4684"/>
    <w:rsid w:val="00DD735D"/>
    <w:rsid w:val="00DE3119"/>
    <w:rsid w:val="00DE533D"/>
    <w:rsid w:val="00DF02DC"/>
    <w:rsid w:val="00DF0F8E"/>
    <w:rsid w:val="00DF236B"/>
    <w:rsid w:val="00DF248A"/>
    <w:rsid w:val="00DF2D13"/>
    <w:rsid w:val="00E13AB8"/>
    <w:rsid w:val="00E13DF6"/>
    <w:rsid w:val="00E13F01"/>
    <w:rsid w:val="00E144B9"/>
    <w:rsid w:val="00E16729"/>
    <w:rsid w:val="00E27776"/>
    <w:rsid w:val="00E27C85"/>
    <w:rsid w:val="00E31B50"/>
    <w:rsid w:val="00E33B62"/>
    <w:rsid w:val="00E357DC"/>
    <w:rsid w:val="00E429C9"/>
    <w:rsid w:val="00E44E00"/>
    <w:rsid w:val="00E522C5"/>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90F4B"/>
    <w:rsid w:val="00E93373"/>
    <w:rsid w:val="00EA4E7D"/>
    <w:rsid w:val="00EA6B99"/>
    <w:rsid w:val="00EA76D7"/>
    <w:rsid w:val="00ED7FE6"/>
    <w:rsid w:val="00EE3116"/>
    <w:rsid w:val="00EE4614"/>
    <w:rsid w:val="00EF18B4"/>
    <w:rsid w:val="00EF6D6C"/>
    <w:rsid w:val="00EF7D7B"/>
    <w:rsid w:val="00EF7DB4"/>
    <w:rsid w:val="00F01D75"/>
    <w:rsid w:val="00F03745"/>
    <w:rsid w:val="00F05293"/>
    <w:rsid w:val="00F05E4F"/>
    <w:rsid w:val="00F13A3B"/>
    <w:rsid w:val="00F215EC"/>
    <w:rsid w:val="00F2161F"/>
    <w:rsid w:val="00F22044"/>
    <w:rsid w:val="00F23D55"/>
    <w:rsid w:val="00F26F92"/>
    <w:rsid w:val="00F31BEB"/>
    <w:rsid w:val="00F36A58"/>
    <w:rsid w:val="00F4285A"/>
    <w:rsid w:val="00F444A4"/>
    <w:rsid w:val="00F44D9B"/>
    <w:rsid w:val="00F45FE4"/>
    <w:rsid w:val="00F57426"/>
    <w:rsid w:val="00F617C8"/>
    <w:rsid w:val="00F63E8C"/>
    <w:rsid w:val="00F64252"/>
    <w:rsid w:val="00F66646"/>
    <w:rsid w:val="00F70C89"/>
    <w:rsid w:val="00F735D5"/>
    <w:rsid w:val="00F7402A"/>
    <w:rsid w:val="00F74D1D"/>
    <w:rsid w:val="00F75287"/>
    <w:rsid w:val="00F75297"/>
    <w:rsid w:val="00F756F8"/>
    <w:rsid w:val="00F77524"/>
    <w:rsid w:val="00F8291A"/>
    <w:rsid w:val="00F82CE2"/>
    <w:rsid w:val="00F83681"/>
    <w:rsid w:val="00F8436F"/>
    <w:rsid w:val="00F84899"/>
    <w:rsid w:val="00F859F0"/>
    <w:rsid w:val="00F9050C"/>
    <w:rsid w:val="00F91245"/>
    <w:rsid w:val="00F91CCC"/>
    <w:rsid w:val="00F974BA"/>
    <w:rsid w:val="00FA0A16"/>
    <w:rsid w:val="00FA0C11"/>
    <w:rsid w:val="00FA7689"/>
    <w:rsid w:val="00FA799D"/>
    <w:rsid w:val="00FA7D4C"/>
    <w:rsid w:val="00FB0241"/>
    <w:rsid w:val="00FB23A3"/>
    <w:rsid w:val="00FB289E"/>
    <w:rsid w:val="00FB46F8"/>
    <w:rsid w:val="00FC180A"/>
    <w:rsid w:val="00FC281D"/>
    <w:rsid w:val="00FC53A8"/>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table" w:customStyle="1" w:styleId="Tablaconcuadrcula1">
    <w:name w:val="Tabla con cuadrícula1"/>
    <w:basedOn w:val="Tablanormal"/>
    <w:next w:val="Tablaconcuadrcula"/>
    <w:uiPriority w:val="39"/>
    <w:rsid w:val="00BD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F7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9d85dbaf-23eb-4e57-a637-93dcacc8b1a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a6cb9e4b-f1d1-4245-83ec-6cad768d538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059973A-CB32-4B52-AE03-6E495DAF2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831B4B6-50C6-4867-BDB5-FE689394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3765</Words>
  <Characters>20710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Cuenta Microsoft</cp:lastModifiedBy>
  <cp:revision>2</cp:revision>
  <dcterms:created xsi:type="dcterms:W3CDTF">2021-08-13T17:21:00Z</dcterms:created>
  <dcterms:modified xsi:type="dcterms:W3CDTF">2021-08-13T17:21:00Z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