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970CAB"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970CAB">
        <w:rPr>
          <w:rFonts w:ascii="Arial" w:hAnsi="Arial" w:cs="Arial"/>
          <w:bCs/>
          <w:color w:val="000000" w:themeColor="text1"/>
          <w:sz w:val="16"/>
          <w:szCs w:val="16"/>
          <w:lang w:val="es-ES_tradnl" w:eastAsia="es-ES"/>
        </w:rPr>
        <w:t>CCE-DES-FM-17</w:t>
      </w:r>
      <w:bookmarkEnd w:id="0"/>
      <w:bookmarkEnd w:id="1"/>
    </w:p>
    <w:p w14:paraId="17A05F16" w14:textId="77777777" w:rsidR="00580772" w:rsidRPr="00970CAB" w:rsidRDefault="00580772" w:rsidP="00E52CE7">
      <w:pPr>
        <w:jc w:val="both"/>
        <w:rPr>
          <w:rFonts w:ascii="Arial" w:eastAsia="Calibri" w:hAnsi="Arial" w:cs="Arial"/>
          <w:b/>
          <w:color w:val="000000" w:themeColor="text1"/>
          <w:sz w:val="22"/>
          <w:lang w:val="es-ES_tradnl"/>
        </w:rPr>
      </w:pPr>
    </w:p>
    <w:p w14:paraId="65D74FF6" w14:textId="77777777" w:rsidR="008A78D9" w:rsidRPr="00970CAB" w:rsidRDefault="008A78D9" w:rsidP="008A78D9">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SELECCIÓN OBJETIVA – Contratación estatal – Concepto</w:t>
      </w:r>
    </w:p>
    <w:p w14:paraId="10239046" w14:textId="77777777" w:rsidR="008A78D9" w:rsidRPr="00970CAB" w:rsidRDefault="008A78D9" w:rsidP="008A78D9">
      <w:pPr>
        <w:jc w:val="both"/>
        <w:rPr>
          <w:rFonts w:ascii="Arial" w:eastAsia="Calibri" w:hAnsi="Arial" w:cs="Arial"/>
          <w:b/>
          <w:color w:val="000000" w:themeColor="text1"/>
          <w:sz w:val="22"/>
          <w:lang w:val="es-ES_tradnl"/>
        </w:rPr>
      </w:pPr>
    </w:p>
    <w:p w14:paraId="3F62833B" w14:textId="77777777" w:rsidR="008A78D9" w:rsidRPr="00970CAB" w:rsidRDefault="008A78D9" w:rsidP="008A78D9">
      <w:pPr>
        <w:jc w:val="both"/>
        <w:rPr>
          <w:rFonts w:ascii="Arial" w:eastAsia="Calibri"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970CAB">
        <w:rPr>
          <w:rFonts w:ascii="Arial" w:eastAsia="Calibri" w:hAnsi="Arial" w:cs="Arial"/>
          <w:color w:val="000000" w:themeColor="text1"/>
          <w:sz w:val="20"/>
          <w:szCs w:val="20"/>
          <w:lang w:val="es-ES_tradnl"/>
        </w:rPr>
        <w:t>equivalentes,</w:t>
      </w:r>
      <w:proofErr w:type="gramEnd"/>
      <w:r w:rsidRPr="00970CAB">
        <w:rPr>
          <w:rFonts w:ascii="Arial" w:eastAsia="Calibri" w:hAnsi="Arial" w:cs="Arial"/>
          <w:color w:val="000000" w:themeColor="text1"/>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415131F2" w14:textId="77777777" w:rsidR="008A78D9" w:rsidRPr="00970CAB" w:rsidRDefault="008A78D9" w:rsidP="008A78D9">
      <w:pPr>
        <w:jc w:val="both"/>
        <w:rPr>
          <w:rFonts w:ascii="Arial" w:eastAsia="Calibri" w:hAnsi="Arial" w:cs="Arial"/>
          <w:b/>
          <w:color w:val="000000" w:themeColor="text1"/>
          <w:sz w:val="22"/>
          <w:lang w:val="es-ES_tradnl"/>
        </w:rPr>
      </w:pPr>
    </w:p>
    <w:p w14:paraId="62F5DDA4" w14:textId="77777777" w:rsidR="008A78D9" w:rsidRPr="00970CAB" w:rsidRDefault="008A78D9" w:rsidP="008A78D9">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EMPATE – Procedimiento de selección – Concepto</w:t>
      </w:r>
    </w:p>
    <w:p w14:paraId="0D44B66C" w14:textId="77777777" w:rsidR="008A78D9" w:rsidRPr="00970CAB" w:rsidRDefault="008A78D9" w:rsidP="008A78D9">
      <w:pPr>
        <w:jc w:val="both"/>
        <w:rPr>
          <w:rFonts w:ascii="Arial" w:eastAsia="Calibri" w:hAnsi="Arial" w:cs="Arial"/>
          <w:b/>
          <w:color w:val="000000" w:themeColor="text1"/>
          <w:sz w:val="22"/>
          <w:lang w:val="es-ES_tradnl"/>
        </w:rPr>
      </w:pPr>
    </w:p>
    <w:p w14:paraId="2016F88C" w14:textId="77777777" w:rsidR="008A78D9" w:rsidRPr="00970CAB" w:rsidRDefault="008A78D9" w:rsidP="008A78D9">
      <w:pPr>
        <w:jc w:val="both"/>
        <w:rPr>
          <w:rFonts w:ascii="Arial" w:hAnsi="Arial" w:cs="Arial"/>
          <w:noProof/>
          <w:color w:val="000000" w:themeColor="text1"/>
          <w:sz w:val="22"/>
          <w:lang w:val="es-ES_tradnl"/>
        </w:rPr>
      </w:pPr>
      <w:r w:rsidRPr="00970CAB">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C49C5E3" w14:textId="77777777" w:rsidR="008A78D9" w:rsidRPr="00970CAB" w:rsidRDefault="008A78D9" w:rsidP="008A78D9">
      <w:pPr>
        <w:jc w:val="both"/>
        <w:rPr>
          <w:rFonts w:ascii="Arial" w:eastAsia="Calibri" w:hAnsi="Arial" w:cs="Arial"/>
          <w:b/>
          <w:color w:val="000000" w:themeColor="text1"/>
          <w:sz w:val="22"/>
          <w:lang w:val="es-ES_tradnl"/>
        </w:rPr>
      </w:pPr>
    </w:p>
    <w:p w14:paraId="253963B1" w14:textId="77777777" w:rsidR="008A78D9" w:rsidRPr="00970CAB" w:rsidRDefault="008A78D9" w:rsidP="008A78D9">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FACTORES DE DESEMPATE – Características – Límites</w:t>
      </w:r>
    </w:p>
    <w:p w14:paraId="25B2490E" w14:textId="77777777" w:rsidR="008A78D9" w:rsidRPr="00970CAB" w:rsidRDefault="008A78D9" w:rsidP="008A78D9">
      <w:pPr>
        <w:spacing w:line="276" w:lineRule="auto"/>
        <w:jc w:val="both"/>
        <w:rPr>
          <w:rFonts w:ascii="Arial" w:hAnsi="Arial" w:cs="Arial"/>
          <w:noProof/>
          <w:color w:val="000000" w:themeColor="text1"/>
          <w:sz w:val="22"/>
          <w:lang w:val="es-ES_tradnl"/>
        </w:rPr>
      </w:pPr>
    </w:p>
    <w:p w14:paraId="57D66E31" w14:textId="5DF848A0" w:rsidR="00DC17C0" w:rsidRPr="00970CAB" w:rsidRDefault="00DC17C0" w:rsidP="00DC17C0">
      <w:pPr>
        <w:jc w:val="both"/>
        <w:rPr>
          <w:rFonts w:ascii="Arial" w:eastAsia="Calibri"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0E4D3DE7" w14:textId="77777777" w:rsidR="00DC17C0" w:rsidRPr="00970CAB" w:rsidRDefault="00DC17C0" w:rsidP="00DC17C0">
      <w:pPr>
        <w:jc w:val="both"/>
        <w:rPr>
          <w:rFonts w:ascii="Arial" w:eastAsia="Calibri" w:hAnsi="Arial" w:cs="Arial"/>
          <w:color w:val="000000" w:themeColor="text1"/>
          <w:sz w:val="20"/>
          <w:szCs w:val="20"/>
          <w:lang w:val="es-ES_tradnl"/>
        </w:rPr>
      </w:pPr>
    </w:p>
    <w:p w14:paraId="205EC5B8" w14:textId="450EA5B7" w:rsidR="008A78D9" w:rsidRPr="00970CAB" w:rsidRDefault="00DC17C0" w:rsidP="00DC17C0">
      <w:pPr>
        <w:jc w:val="both"/>
        <w:rPr>
          <w:rFonts w:ascii="Arial" w:eastAsia="Calibri"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 xml:space="preserve">En tal sentido, la Corte Constitucional explica que cuando la ley establece factores de desempate obligatorios, las entidades estatales no pueden </w:t>
      </w:r>
      <w:proofErr w:type="spellStart"/>
      <w:r w:rsidRPr="00970CAB">
        <w:rPr>
          <w:rFonts w:ascii="Arial" w:eastAsia="Calibri" w:hAnsi="Arial" w:cs="Arial"/>
          <w:color w:val="000000" w:themeColor="text1"/>
          <w:sz w:val="20"/>
          <w:szCs w:val="20"/>
          <w:lang w:val="es-ES_tradnl"/>
        </w:rPr>
        <w:t>inaplicarlos</w:t>
      </w:r>
      <w:proofErr w:type="spellEnd"/>
      <w:r w:rsidRPr="00970CAB">
        <w:rPr>
          <w:rFonts w:ascii="Arial" w:eastAsia="Calibri" w:hAnsi="Arial" w:cs="Arial"/>
          <w:color w:val="000000" w:themeColor="text1"/>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6ED3EEFF" w14:textId="77777777" w:rsidR="008A78D9" w:rsidRPr="00970CAB" w:rsidRDefault="008A78D9" w:rsidP="008A78D9">
      <w:pPr>
        <w:jc w:val="both"/>
        <w:rPr>
          <w:rFonts w:ascii="Arial" w:eastAsia="Calibri" w:hAnsi="Arial" w:cs="Arial"/>
          <w:color w:val="000000" w:themeColor="text1"/>
          <w:sz w:val="20"/>
          <w:szCs w:val="20"/>
          <w:lang w:val="es-ES_tradnl"/>
        </w:rPr>
      </w:pPr>
    </w:p>
    <w:p w14:paraId="53848D98" w14:textId="77777777" w:rsidR="008A78D9" w:rsidRPr="00970CAB" w:rsidRDefault="008A78D9" w:rsidP="008A78D9">
      <w:pPr>
        <w:jc w:val="both"/>
        <w:rPr>
          <w:rFonts w:ascii="Arial" w:eastAsia="Calibri" w:hAnsi="Arial" w:cs="Arial"/>
          <w:b/>
          <w:color w:val="000000" w:themeColor="text1"/>
          <w:sz w:val="22"/>
          <w:lang w:val="es-ES_tradnl"/>
        </w:rPr>
      </w:pPr>
    </w:p>
    <w:p w14:paraId="6A63EF45" w14:textId="77777777" w:rsidR="000D299D" w:rsidRPr="00970CAB" w:rsidRDefault="000D299D" w:rsidP="008A78D9">
      <w:pPr>
        <w:jc w:val="both"/>
        <w:rPr>
          <w:rFonts w:ascii="Arial" w:eastAsia="Calibri" w:hAnsi="Arial" w:cs="Arial"/>
          <w:b/>
          <w:color w:val="000000" w:themeColor="text1"/>
          <w:sz w:val="22"/>
          <w:lang w:val="es-ES_tradnl"/>
        </w:rPr>
      </w:pPr>
    </w:p>
    <w:p w14:paraId="09E41090" w14:textId="77777777" w:rsidR="000D299D" w:rsidRPr="00970CAB" w:rsidRDefault="000D299D" w:rsidP="008A78D9">
      <w:pPr>
        <w:jc w:val="both"/>
        <w:rPr>
          <w:rFonts w:ascii="Arial" w:eastAsia="Calibri" w:hAnsi="Arial" w:cs="Arial"/>
          <w:b/>
          <w:color w:val="000000" w:themeColor="text1"/>
          <w:sz w:val="22"/>
          <w:lang w:val="es-ES_tradnl"/>
        </w:rPr>
      </w:pPr>
    </w:p>
    <w:p w14:paraId="1F38DBDC" w14:textId="16DF26E6" w:rsidR="008A78D9" w:rsidRPr="00970CAB" w:rsidRDefault="008A78D9" w:rsidP="008A78D9">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lastRenderedPageBreak/>
        <w:t xml:space="preserve">LEY DE EMPRENDIMIENTO – Ley 2069 de 2020 – Vigencia </w:t>
      </w:r>
    </w:p>
    <w:p w14:paraId="63574004" w14:textId="77777777" w:rsidR="008A78D9" w:rsidRPr="00970CAB" w:rsidRDefault="008A78D9" w:rsidP="008A78D9">
      <w:pPr>
        <w:jc w:val="both"/>
        <w:rPr>
          <w:rFonts w:ascii="Arial" w:eastAsia="Calibri" w:hAnsi="Arial" w:cs="Arial"/>
          <w:b/>
          <w:color w:val="000000" w:themeColor="text1"/>
          <w:sz w:val="22"/>
          <w:lang w:val="es-ES_tradnl"/>
        </w:rPr>
      </w:pPr>
    </w:p>
    <w:p w14:paraId="253FC307" w14:textId="77777777" w:rsidR="008A78D9" w:rsidRPr="00970CAB" w:rsidRDefault="008A78D9" w:rsidP="008A78D9">
      <w:pPr>
        <w:jc w:val="both"/>
        <w:rPr>
          <w:rFonts w:ascii="Arial" w:eastAsia="Calibri"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A29BAC3" w14:textId="77777777" w:rsidR="008A78D9" w:rsidRPr="00970CAB" w:rsidRDefault="008A78D9" w:rsidP="008A78D9">
      <w:pPr>
        <w:jc w:val="both"/>
        <w:rPr>
          <w:rFonts w:ascii="Arial" w:eastAsia="Calibri" w:hAnsi="Arial" w:cs="Arial"/>
          <w:color w:val="000000" w:themeColor="text1"/>
          <w:sz w:val="20"/>
          <w:szCs w:val="20"/>
          <w:lang w:val="es-ES_tradnl"/>
        </w:rPr>
      </w:pPr>
    </w:p>
    <w:p w14:paraId="4DEE8ECD" w14:textId="77777777" w:rsidR="008A78D9" w:rsidRPr="00970CAB" w:rsidRDefault="008A78D9" w:rsidP="008A78D9">
      <w:pPr>
        <w:jc w:val="both"/>
        <w:rPr>
          <w:rFonts w:ascii="Arial" w:eastAsia="Calibri"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970CAB">
        <w:rPr>
          <w:rFonts w:ascii="Arial" w:eastAsia="Calibri" w:hAnsi="Arial" w:cs="Arial"/>
          <w:color w:val="000000" w:themeColor="text1"/>
          <w:sz w:val="20"/>
          <w:szCs w:val="20"/>
          <w:lang w:val="es-ES_tradnl"/>
        </w:rPr>
        <w:t>de acuerdo a</w:t>
      </w:r>
      <w:proofErr w:type="gramEnd"/>
      <w:r w:rsidRPr="00970CAB">
        <w:rPr>
          <w:rFonts w:ascii="Arial" w:eastAsia="Calibri" w:hAnsi="Arial" w:cs="Arial"/>
          <w:color w:val="000000" w:themeColor="text1"/>
          <w:sz w:val="20"/>
          <w:szCs w:val="20"/>
          <w:lang w:val="es-ES_tradnl"/>
        </w:rPr>
        <w:t xml:space="preserve"> las realidades socioeconómicas de cada región». En desarrollo de esta finalidad, se establecen medidas de apoyo para las micro, pequeñas y medianas empresas –«</w:t>
      </w:r>
      <w:proofErr w:type="spellStart"/>
      <w:r w:rsidRPr="00970CAB">
        <w:rPr>
          <w:rFonts w:ascii="Arial" w:eastAsia="Calibri" w:hAnsi="Arial" w:cs="Arial"/>
          <w:color w:val="000000" w:themeColor="text1"/>
          <w:sz w:val="20"/>
          <w:szCs w:val="20"/>
          <w:lang w:val="es-ES_tradnl"/>
        </w:rPr>
        <w:t>mipymes</w:t>
      </w:r>
      <w:proofErr w:type="spellEnd"/>
      <w:r w:rsidRPr="00970CAB">
        <w:rPr>
          <w:rFonts w:ascii="Arial" w:eastAsia="Calibri" w:hAnsi="Arial" w:cs="Arial"/>
          <w:color w:val="000000" w:themeColor="text1"/>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3E91EA5" w14:textId="77777777" w:rsidR="008A78D9" w:rsidRPr="00970CAB" w:rsidRDefault="008A78D9" w:rsidP="008A78D9">
      <w:pPr>
        <w:jc w:val="both"/>
        <w:rPr>
          <w:rFonts w:ascii="Arial" w:eastAsia="Calibri" w:hAnsi="Arial" w:cs="Arial"/>
          <w:b/>
          <w:color w:val="000000" w:themeColor="text1"/>
          <w:sz w:val="22"/>
          <w:lang w:val="es-ES_tradnl"/>
        </w:rPr>
      </w:pPr>
    </w:p>
    <w:p w14:paraId="3149876B" w14:textId="77777777" w:rsidR="008A78D9" w:rsidRPr="00970CAB" w:rsidRDefault="008A78D9" w:rsidP="008A78D9">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FACTORES DE DESEMPATE – Ley 2069 – Artículo 35 – Acreditación</w:t>
      </w:r>
    </w:p>
    <w:p w14:paraId="6CDCE7CA" w14:textId="77777777" w:rsidR="008A78D9" w:rsidRPr="00970CAB" w:rsidRDefault="008A78D9" w:rsidP="008A78D9">
      <w:pPr>
        <w:spacing w:line="276" w:lineRule="auto"/>
        <w:jc w:val="both"/>
        <w:rPr>
          <w:rFonts w:ascii="Arial" w:hAnsi="Arial" w:cs="Arial"/>
          <w:noProof/>
          <w:color w:val="000000" w:themeColor="text1"/>
          <w:sz w:val="22"/>
          <w:lang w:val="es-ES_tradnl"/>
        </w:rPr>
      </w:pPr>
    </w:p>
    <w:p w14:paraId="71B51B01" w14:textId="1D82E37A" w:rsidR="008A78D9" w:rsidRPr="00970CAB" w:rsidRDefault="008A78D9" w:rsidP="008A78D9">
      <w:pPr>
        <w:jc w:val="both"/>
        <w:rPr>
          <w:rFonts w:ascii="Arial" w:eastAsia="Calibri"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15D75CB" w14:textId="397CC89C" w:rsidR="00B020EB" w:rsidRPr="00970CAB" w:rsidRDefault="00B020EB" w:rsidP="008A78D9">
      <w:pPr>
        <w:jc w:val="both"/>
        <w:rPr>
          <w:rFonts w:ascii="Arial" w:eastAsia="Calibri" w:hAnsi="Arial" w:cs="Arial"/>
          <w:color w:val="000000" w:themeColor="text1"/>
          <w:sz w:val="20"/>
          <w:szCs w:val="20"/>
          <w:lang w:val="es-ES_tradnl"/>
        </w:rPr>
      </w:pPr>
    </w:p>
    <w:p w14:paraId="58836434" w14:textId="2F5351E7" w:rsidR="00502AF3" w:rsidRPr="00970CAB" w:rsidRDefault="0058351E" w:rsidP="00502AF3">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VIGENCIA</w:t>
      </w:r>
      <w:r w:rsidR="00502AF3" w:rsidRPr="00970CAB">
        <w:rPr>
          <w:rFonts w:ascii="Arial" w:eastAsia="Calibri" w:hAnsi="Arial" w:cs="Arial"/>
          <w:b/>
          <w:color w:val="000000" w:themeColor="text1"/>
          <w:sz w:val="22"/>
          <w:lang w:val="es-ES_tradnl"/>
        </w:rPr>
        <w:t xml:space="preserve"> – </w:t>
      </w:r>
      <w:r w:rsidR="00AC15E4" w:rsidRPr="00970CAB">
        <w:rPr>
          <w:rFonts w:ascii="Arial" w:eastAsia="Calibri" w:hAnsi="Arial" w:cs="Arial"/>
          <w:b/>
          <w:color w:val="000000" w:themeColor="text1"/>
          <w:sz w:val="22"/>
          <w:lang w:val="es-ES_tradnl"/>
        </w:rPr>
        <w:t xml:space="preserve">Ley 2069 de 2020 – </w:t>
      </w:r>
      <w:r w:rsidRPr="00970CAB">
        <w:rPr>
          <w:rFonts w:ascii="Arial" w:eastAsia="Calibri" w:hAnsi="Arial" w:cs="Arial"/>
          <w:b/>
          <w:color w:val="000000" w:themeColor="text1"/>
          <w:sz w:val="22"/>
          <w:lang w:val="es-ES_tradnl"/>
        </w:rPr>
        <w:t>Factores de desempate</w:t>
      </w:r>
      <w:r w:rsidR="00502AF3" w:rsidRPr="00970CAB">
        <w:rPr>
          <w:rFonts w:ascii="Arial" w:eastAsia="Calibri" w:hAnsi="Arial" w:cs="Arial"/>
          <w:b/>
          <w:color w:val="000000" w:themeColor="text1"/>
          <w:sz w:val="22"/>
          <w:lang w:val="es-ES_tradnl"/>
        </w:rPr>
        <w:t xml:space="preserve"> –</w:t>
      </w:r>
      <w:r w:rsidR="0074614C" w:rsidRPr="00970CAB">
        <w:rPr>
          <w:rFonts w:ascii="Arial" w:eastAsia="Calibri" w:hAnsi="Arial" w:cs="Arial"/>
          <w:b/>
          <w:color w:val="000000" w:themeColor="text1"/>
          <w:sz w:val="22"/>
          <w:lang w:val="es-ES_tradnl"/>
        </w:rPr>
        <w:t xml:space="preserve"> Ley 153 de 1887 </w:t>
      </w:r>
      <w:r w:rsidR="00502AF3" w:rsidRPr="00970CAB">
        <w:rPr>
          <w:rFonts w:ascii="Arial" w:eastAsia="Calibri" w:hAnsi="Arial" w:cs="Arial"/>
          <w:b/>
          <w:color w:val="000000" w:themeColor="text1"/>
          <w:sz w:val="22"/>
          <w:lang w:val="es-ES_tradnl"/>
        </w:rPr>
        <w:t xml:space="preserve">– </w:t>
      </w:r>
      <w:r w:rsidR="0074614C" w:rsidRPr="00970CAB">
        <w:rPr>
          <w:rFonts w:ascii="Arial" w:eastAsia="Calibri" w:hAnsi="Arial" w:cs="Arial"/>
          <w:b/>
          <w:color w:val="000000" w:themeColor="text1"/>
          <w:sz w:val="22"/>
          <w:lang w:val="es-ES_tradnl"/>
        </w:rPr>
        <w:t xml:space="preserve">Artículo 40 – </w:t>
      </w:r>
      <w:proofErr w:type="spellStart"/>
      <w:r w:rsidR="0074614C" w:rsidRPr="00970CAB">
        <w:rPr>
          <w:rFonts w:ascii="Arial" w:eastAsia="Calibri" w:hAnsi="Arial" w:cs="Arial"/>
          <w:b/>
          <w:color w:val="000000" w:themeColor="text1"/>
          <w:sz w:val="22"/>
          <w:lang w:val="es-ES_tradnl"/>
        </w:rPr>
        <w:t>Ultractividad</w:t>
      </w:r>
      <w:proofErr w:type="spellEnd"/>
    </w:p>
    <w:p w14:paraId="08F6AC71" w14:textId="77777777" w:rsidR="00E96D89" w:rsidRPr="00970CAB" w:rsidRDefault="00E96D89" w:rsidP="00E96D89">
      <w:pPr>
        <w:jc w:val="both"/>
        <w:rPr>
          <w:rFonts w:ascii="Arial" w:eastAsia="Calibri" w:hAnsi="Arial" w:cs="Arial"/>
          <w:color w:val="000000" w:themeColor="text1"/>
          <w:sz w:val="20"/>
          <w:szCs w:val="20"/>
          <w:lang w:val="es-ES_tradnl"/>
        </w:rPr>
      </w:pPr>
    </w:p>
    <w:p w14:paraId="69B25F7B" w14:textId="77777777" w:rsidR="00CD5A3C" w:rsidRPr="00970CAB" w:rsidRDefault="00E96D89" w:rsidP="00E96D89">
      <w:pPr>
        <w:jc w:val="both"/>
        <w:rPr>
          <w:rFonts w:ascii="Arial" w:eastAsia="Arial"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w:t>
      </w:r>
      <w:r w:rsidR="0058351E" w:rsidRPr="00970CAB">
        <w:rPr>
          <w:rFonts w:ascii="Arial" w:eastAsia="Calibri" w:hAnsi="Arial" w:cs="Arial"/>
          <w:color w:val="000000" w:themeColor="text1"/>
          <w:sz w:val="20"/>
          <w:szCs w:val="20"/>
          <w:lang w:val="es-ES_tradnl"/>
        </w:rPr>
        <w:t>]</w:t>
      </w:r>
      <w:r w:rsidRPr="00970CAB">
        <w:rPr>
          <w:rFonts w:ascii="Arial" w:eastAsia="Calibri" w:hAnsi="Arial" w:cs="Arial"/>
          <w:color w:val="000000" w:themeColor="text1"/>
          <w:sz w:val="20"/>
          <w:szCs w:val="20"/>
          <w:lang w:val="es-ES_tradnl"/>
        </w:rPr>
        <w:t>, los factores de desempate regulados en el artículo 35 de la Ley 2069 de 2020</w:t>
      </w:r>
      <w:r w:rsidRPr="00970CAB">
        <w:rPr>
          <w:rFonts w:ascii="Arial" w:eastAsia="Arial" w:hAnsi="Arial" w:cs="Arial"/>
          <w:color w:val="000000" w:themeColor="text1"/>
          <w:sz w:val="20"/>
          <w:szCs w:val="20"/>
          <w:lang w:val="es-ES_tradnl"/>
        </w:rPr>
        <w:t xml:space="preserve"> son obligatorios para los procedimientos de selección </w:t>
      </w:r>
      <w:r w:rsidRPr="00970CAB">
        <w:rPr>
          <w:rFonts w:ascii="Arial" w:eastAsia="Arial" w:hAnsi="Arial" w:cs="Arial"/>
          <w:i/>
          <w:iCs/>
          <w:color w:val="000000" w:themeColor="text1"/>
          <w:sz w:val="20"/>
          <w:szCs w:val="20"/>
          <w:lang w:val="es-ES_tradnl"/>
        </w:rPr>
        <w:t>iniciados</w:t>
      </w:r>
      <w:r w:rsidRPr="00970CAB">
        <w:rPr>
          <w:rFonts w:ascii="Arial" w:eastAsia="Arial" w:hAnsi="Arial" w:cs="Arial"/>
          <w:color w:val="000000" w:themeColor="text1"/>
          <w:sz w:val="20"/>
          <w:szCs w:val="20"/>
          <w:lang w:val="es-ES_tradnl"/>
        </w:rPr>
        <w:t xml:space="preserve"> con posterioridad a su </w:t>
      </w:r>
      <w:proofErr w:type="gramStart"/>
      <w:r w:rsidRPr="00970CAB">
        <w:rPr>
          <w:rFonts w:ascii="Arial" w:eastAsia="Arial" w:hAnsi="Arial" w:cs="Arial"/>
          <w:color w:val="000000" w:themeColor="text1"/>
          <w:sz w:val="20"/>
          <w:szCs w:val="20"/>
          <w:lang w:val="es-ES_tradnl"/>
        </w:rPr>
        <w:t>entrada en vigencia</w:t>
      </w:r>
      <w:proofErr w:type="gramEnd"/>
      <w:r w:rsidRPr="00970CAB">
        <w:rPr>
          <w:rFonts w:ascii="Arial" w:eastAsia="Arial" w:hAnsi="Arial" w:cs="Arial"/>
          <w:color w:val="000000" w:themeColor="text1"/>
          <w:sz w:val="20"/>
          <w:szCs w:val="20"/>
          <w:lang w:val="es-ES_tradnl"/>
        </w:rPr>
        <w:t>; no para los anteriores. El artículo 84 de la referida Ley dispone que «[…] rige a partir del momento de su promulgación», pero este precepto debe interpretarse con el matiz previsto en el artículo 40 de la Ley 153 de 1887.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w:t>
      </w:r>
    </w:p>
    <w:p w14:paraId="29E773A3" w14:textId="77777777" w:rsidR="00CD5A3C" w:rsidRPr="00970CAB" w:rsidRDefault="00CD5A3C" w:rsidP="00E96D89">
      <w:pPr>
        <w:jc w:val="both"/>
        <w:rPr>
          <w:rFonts w:ascii="Arial" w:eastAsia="Arial" w:hAnsi="Arial" w:cs="Arial"/>
          <w:color w:val="000000" w:themeColor="text1"/>
          <w:sz w:val="20"/>
          <w:szCs w:val="20"/>
          <w:lang w:val="es-ES_tradnl"/>
        </w:rPr>
      </w:pPr>
    </w:p>
    <w:p w14:paraId="10B1223B" w14:textId="7B05D5C9" w:rsidR="00E96D89" w:rsidRPr="00970CAB" w:rsidRDefault="00E96D89" w:rsidP="00E96D89">
      <w:pPr>
        <w:jc w:val="both"/>
        <w:rPr>
          <w:rFonts w:ascii="Arial" w:eastAsia="Arial"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 xml:space="preserve">Es decir, si al 31 de diciembre de 2020 no se había publicado el acto administrativo de apertura o de invitación, según la modalidad que resultara aplicable, puede afirmarse que el procedimiento de selección no había </w:t>
      </w:r>
      <w:r w:rsidRPr="00970CAB">
        <w:rPr>
          <w:rFonts w:ascii="Arial" w:eastAsia="Calibri" w:hAnsi="Arial" w:cs="Arial"/>
          <w:i/>
          <w:iCs/>
          <w:color w:val="000000" w:themeColor="text1"/>
          <w:sz w:val="20"/>
          <w:szCs w:val="20"/>
          <w:lang w:val="es-ES_tradnl"/>
        </w:rPr>
        <w:t>iniciado</w:t>
      </w:r>
      <w:r w:rsidRPr="00970CAB">
        <w:rPr>
          <w:rFonts w:ascii="Arial" w:eastAsia="Calibri" w:hAnsi="Arial" w:cs="Arial"/>
          <w:color w:val="000000" w:themeColor="text1"/>
          <w:sz w:val="20"/>
          <w:szCs w:val="20"/>
          <w:lang w:val="es-ES_tradnl"/>
        </w:rPr>
        <w:t xml:space="preserve"> formalmente. Esto significa que la diligencia o trámite procesal no había comenzado. Por ende, en tal caso, de conformidad con el primer inciso del artículo 40 de la Ley 153 de 1887, las entidades estatales debían adecuar los documentos del proceso, teniendo en cuenta los factores de desempate del artículo 35 de la Ley 2069 de 2020, antes de publicar el acto administrativo de apertura o de invitación, si para la fecha de publicación de este –se insiste– ya había entrado a regir tal Ley. Pero, si el acto que inicia el procedimiento de selección se había publicado antes del 31 de diciembre de 2020, las entidades estatales no estaban obligadas a aplicar los factores de desempate del artículo 35 de la Ley 2069 de 2020, porque la diligencia o trámite procesal ya había comenzado. Es decir, en este evento se habría cumplido la condición para la aplicación </w:t>
      </w:r>
      <w:proofErr w:type="spellStart"/>
      <w:r w:rsidRPr="00970CAB">
        <w:rPr>
          <w:rFonts w:ascii="Arial" w:eastAsia="Calibri" w:hAnsi="Arial" w:cs="Arial"/>
          <w:color w:val="000000" w:themeColor="text1"/>
          <w:sz w:val="20"/>
          <w:szCs w:val="20"/>
          <w:lang w:val="es-ES_tradnl"/>
        </w:rPr>
        <w:t>ultractiva</w:t>
      </w:r>
      <w:proofErr w:type="spellEnd"/>
      <w:r w:rsidRPr="00970CAB">
        <w:rPr>
          <w:rFonts w:ascii="Arial" w:eastAsia="Calibri" w:hAnsi="Arial" w:cs="Arial"/>
          <w:color w:val="000000" w:themeColor="text1"/>
          <w:sz w:val="20"/>
          <w:szCs w:val="20"/>
          <w:lang w:val="es-ES_tradnl"/>
        </w:rPr>
        <w:t xml:space="preserve"> de la norma procesal prevista en el segundo inciso del artículo 40 de la Ley 2069 de 2020, según la cual «</w:t>
      </w:r>
      <w:r w:rsidRPr="00970CAB">
        <w:rPr>
          <w:rFonts w:ascii="Arial" w:hAnsi="Arial" w:cs="Arial"/>
          <w:color w:val="000000" w:themeColor="text1"/>
          <w:sz w:val="20"/>
          <w:szCs w:val="20"/>
          <w:lang w:val="es-ES_tradnl"/>
        </w:rPr>
        <w:t>[…]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62E990FD" w14:textId="77777777" w:rsidR="00E96D89" w:rsidRPr="00970CAB" w:rsidRDefault="00E96D89" w:rsidP="00E96D89">
      <w:pPr>
        <w:jc w:val="both"/>
        <w:rPr>
          <w:rFonts w:ascii="Arial" w:hAnsi="Arial" w:cs="Arial"/>
          <w:noProof/>
          <w:color w:val="000000" w:themeColor="text1"/>
          <w:sz w:val="20"/>
          <w:szCs w:val="20"/>
          <w:lang w:val="es-ES_tradnl"/>
        </w:rPr>
      </w:pPr>
    </w:p>
    <w:p w14:paraId="091922D5" w14:textId="3D6B803E" w:rsidR="00BE3116" w:rsidRPr="00970CAB" w:rsidRDefault="00BE3116" w:rsidP="00BE3116">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SUSTITUCIÓN DE EMPLEADORES – Ley 2069 de 2020 – Artículo 35 – Numeral 4 – Continuidad del negocio</w:t>
      </w:r>
    </w:p>
    <w:p w14:paraId="5373987D" w14:textId="77777777" w:rsidR="0068331A" w:rsidRPr="00970CAB" w:rsidRDefault="0068331A" w:rsidP="0068331A">
      <w:pPr>
        <w:jc w:val="both"/>
        <w:rPr>
          <w:rFonts w:ascii="Arial" w:hAnsi="Arial" w:cs="Arial"/>
          <w:color w:val="000000" w:themeColor="text1"/>
          <w:sz w:val="20"/>
          <w:szCs w:val="20"/>
          <w:lang w:val="es-ES_tradnl"/>
        </w:rPr>
      </w:pPr>
    </w:p>
    <w:p w14:paraId="22771C5F" w14:textId="119D1D24" w:rsidR="00BE3116" w:rsidRPr="00970CAB" w:rsidRDefault="00BE3116" w:rsidP="0068331A">
      <w:pPr>
        <w:jc w:val="both"/>
        <w:rPr>
          <w:rFonts w:ascii="Arial" w:hAnsi="Arial" w:cs="Arial"/>
          <w:color w:val="000000" w:themeColor="text1"/>
          <w:sz w:val="20"/>
          <w:szCs w:val="20"/>
          <w:lang w:val="es-ES_tradnl"/>
        </w:rPr>
      </w:pPr>
      <w:r w:rsidRPr="00970CAB">
        <w:rPr>
          <w:rFonts w:ascii="Arial" w:hAnsi="Arial" w:cs="Arial"/>
          <w:color w:val="000000" w:themeColor="text1"/>
          <w:sz w:val="20"/>
          <w:szCs w:val="20"/>
          <w:lang w:val="es-ES_tradnl"/>
        </w:rPr>
        <w:t xml:space="preserve">La sustitución de empleadores se define en el artículo 67 del Código Sustantivo del Trabajo como «todo cambio de un empleador por otro, por cualquier causa, siempre que subsista la identidad del establecimiento, es decir, en cuanto éste no sufra variaciones esenciales en el giro de sus actividades o negocios».  Es decir que este fenómeno opera cuando lo que cambia es el empleador, pero el giro ordinario de la empresa se mantiene. En tal sentido, el artículo 68 del mismo Código señala que «La sola sustitución de empleadores no extingue, suspende ni modifica los contratos de trabajo existentes». </w:t>
      </w:r>
    </w:p>
    <w:p w14:paraId="596F6A82" w14:textId="77777777" w:rsidR="00BE3116" w:rsidRPr="00970CAB" w:rsidRDefault="00BE3116" w:rsidP="0068331A">
      <w:pPr>
        <w:jc w:val="both"/>
        <w:rPr>
          <w:rFonts w:ascii="Arial" w:hAnsi="Arial" w:cs="Arial"/>
          <w:color w:val="000000" w:themeColor="text1"/>
          <w:sz w:val="20"/>
          <w:szCs w:val="20"/>
          <w:lang w:val="es-ES_tradnl"/>
        </w:rPr>
      </w:pPr>
    </w:p>
    <w:p w14:paraId="6A8B8A18" w14:textId="4E882E92" w:rsidR="00BE3116" w:rsidRPr="00970CAB" w:rsidRDefault="00BE3116" w:rsidP="0068331A">
      <w:pPr>
        <w:jc w:val="both"/>
        <w:rPr>
          <w:rFonts w:ascii="Arial" w:hAnsi="Arial" w:cs="Arial"/>
          <w:color w:val="000000" w:themeColor="text1"/>
          <w:sz w:val="22"/>
          <w:szCs w:val="22"/>
          <w:lang w:val="es-ES_tradnl"/>
        </w:rPr>
      </w:pPr>
      <w:r w:rsidRPr="00970CAB">
        <w:rPr>
          <w:rFonts w:ascii="Arial" w:hAnsi="Arial" w:cs="Arial"/>
          <w:color w:val="000000" w:themeColor="text1"/>
          <w:sz w:val="20"/>
          <w:szCs w:val="20"/>
          <w:lang w:val="es-ES_tradnl"/>
        </w:rPr>
        <w:t>Por lo tanto, sin perjuicio de que el decreto que expida el gobierno nacional para reglamentar el numeral 4 del artículo 35 de la Ley 2069 de 2020 disponga algo diferente, esta Subdirección en principio no advierte que la sustitución de empleadores sea óbice para que se siga computando el período de antigüedad exigido en el parágrafo segundo del mencionado artículo, pues el hecho de que opere tal sustitución no modifica por sí solo el contrato de trabajo, es decir que se mantiene la misma relación laboral. Sin embargo, el oferente que pretenda beneficiarse con el factor de desempate previsto en el numeral 4 debe conservar el mismo giro ordinario del negocio que existía antes de la sustitución de empleadores, si quiere que se le tenga en cuenta la vinculación del trabajador previa a dicha sustitución.</w:t>
      </w:r>
      <w:r w:rsidRPr="00970CAB">
        <w:rPr>
          <w:rFonts w:ascii="Arial" w:hAnsi="Arial" w:cs="Arial"/>
          <w:color w:val="000000" w:themeColor="text1"/>
          <w:sz w:val="22"/>
          <w:szCs w:val="22"/>
          <w:lang w:val="es-ES_tradnl"/>
        </w:rPr>
        <w:t xml:space="preserve"> </w:t>
      </w:r>
    </w:p>
    <w:p w14:paraId="40CEFB15" w14:textId="77777777" w:rsidR="0068331A" w:rsidRPr="00970CAB" w:rsidRDefault="0068331A" w:rsidP="0068331A">
      <w:pPr>
        <w:jc w:val="both"/>
        <w:rPr>
          <w:rFonts w:ascii="Arial" w:hAnsi="Arial" w:cs="Arial"/>
          <w:noProof/>
          <w:color w:val="000000" w:themeColor="text1"/>
          <w:sz w:val="22"/>
          <w:lang w:val="es-ES_tradnl"/>
        </w:rPr>
      </w:pPr>
    </w:p>
    <w:p w14:paraId="6E7589FA" w14:textId="6137C44D" w:rsidR="0068331A" w:rsidRPr="00970CAB" w:rsidRDefault="00252EED" w:rsidP="0068331A">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ANTIGÜEDAD MÍNIMA</w:t>
      </w:r>
      <w:r w:rsidR="0068331A" w:rsidRPr="00970CAB">
        <w:rPr>
          <w:rFonts w:ascii="Arial" w:eastAsia="Calibri" w:hAnsi="Arial" w:cs="Arial"/>
          <w:b/>
          <w:color w:val="000000" w:themeColor="text1"/>
          <w:sz w:val="22"/>
          <w:lang w:val="es-ES_tradnl"/>
        </w:rPr>
        <w:t xml:space="preserve"> – </w:t>
      </w:r>
      <w:r w:rsidRPr="00970CAB">
        <w:rPr>
          <w:rFonts w:ascii="Arial" w:eastAsia="Calibri" w:hAnsi="Arial" w:cs="Arial"/>
          <w:b/>
          <w:color w:val="000000" w:themeColor="text1"/>
          <w:sz w:val="22"/>
          <w:lang w:val="es-ES_tradnl"/>
        </w:rPr>
        <w:t xml:space="preserve">Capital humano – </w:t>
      </w:r>
      <w:r w:rsidR="0068331A" w:rsidRPr="00970CAB">
        <w:rPr>
          <w:rFonts w:ascii="Arial" w:eastAsia="Calibri" w:hAnsi="Arial" w:cs="Arial"/>
          <w:b/>
          <w:color w:val="000000" w:themeColor="text1"/>
          <w:sz w:val="22"/>
          <w:lang w:val="es-ES_tradnl"/>
        </w:rPr>
        <w:t xml:space="preserve">Ley 2069 de 2020 – Artículo 35 – </w:t>
      </w:r>
      <w:r w:rsidRPr="00970CAB">
        <w:rPr>
          <w:rFonts w:ascii="Arial" w:eastAsia="Calibri" w:hAnsi="Arial" w:cs="Arial"/>
          <w:b/>
          <w:color w:val="000000" w:themeColor="text1"/>
          <w:sz w:val="22"/>
          <w:lang w:val="es-ES_tradnl"/>
        </w:rPr>
        <w:t>Parágrafo segundo</w:t>
      </w:r>
    </w:p>
    <w:p w14:paraId="61F0B452" w14:textId="77777777" w:rsidR="00252EED" w:rsidRPr="00970CAB" w:rsidRDefault="00252EED" w:rsidP="00252EED">
      <w:pPr>
        <w:jc w:val="both"/>
        <w:rPr>
          <w:rFonts w:ascii="Arial" w:hAnsi="Arial" w:cs="Arial"/>
          <w:noProof/>
          <w:color w:val="000000" w:themeColor="text1"/>
          <w:sz w:val="20"/>
          <w:szCs w:val="20"/>
          <w:lang w:val="es-ES_tradnl"/>
        </w:rPr>
      </w:pPr>
    </w:p>
    <w:p w14:paraId="2E10ACDE" w14:textId="2ABAF90A" w:rsidR="0068331A" w:rsidRPr="00970CAB" w:rsidRDefault="0068331A" w:rsidP="00252EED">
      <w:pPr>
        <w:jc w:val="both"/>
        <w:rPr>
          <w:rFonts w:ascii="Arial" w:eastAsia="Calibri" w:hAnsi="Arial" w:cs="Arial"/>
          <w:color w:val="000000" w:themeColor="text1"/>
          <w:sz w:val="20"/>
          <w:szCs w:val="20"/>
          <w:lang w:val="es-ES_tradnl"/>
        </w:rPr>
      </w:pPr>
      <w:r w:rsidRPr="00970CAB">
        <w:rPr>
          <w:rFonts w:ascii="Arial" w:eastAsia="Calibri" w:hAnsi="Arial" w:cs="Arial"/>
          <w:color w:val="000000" w:themeColor="text1"/>
          <w:sz w:val="20"/>
          <w:szCs w:val="20"/>
          <w:lang w:val="es-ES_tradnl"/>
        </w:rPr>
        <w:t xml:space="preserve">El hecho de que el artículo 84 de la Ley 2069 de 2020 establezca que esta rige a partir de su promulgación –o sea, desde el 31 de diciembre de 2020–, no se opone a que el Congreso de la República haya previsto dentro de la misma Ley condiciones temporales para la eficacia de algunas de sus disposiciones. Así, por ejemplo, el parágrafo segundo del artículo 35 señala: «Para los criterios enunciados que involucren la vinculación de capital humano, el oferente deberá acreditar una antigüedad </w:t>
      </w:r>
      <w:r w:rsidRPr="00970CAB">
        <w:rPr>
          <w:rFonts w:ascii="Arial" w:eastAsia="Calibri" w:hAnsi="Arial" w:cs="Arial"/>
          <w:i/>
          <w:iCs/>
          <w:color w:val="000000" w:themeColor="text1"/>
          <w:sz w:val="20"/>
          <w:szCs w:val="20"/>
          <w:lang w:val="es-ES_tradnl"/>
        </w:rPr>
        <w:t>igual o mayor a un año</w:t>
      </w:r>
      <w:r w:rsidRPr="00970CAB">
        <w:rPr>
          <w:rFonts w:ascii="Arial" w:eastAsia="Calibri" w:hAnsi="Arial" w:cs="Arial"/>
          <w:color w:val="000000" w:themeColor="text1"/>
          <w:sz w:val="20"/>
          <w:szCs w:val="20"/>
          <w:lang w:val="es-ES_tradnl"/>
        </w:rPr>
        <w:t xml:space="preserve">. Para los casos de constitución inferior a un año se tendrá en cuenta a aquellos trabajadores que hayan estado vinculados </w:t>
      </w:r>
      <w:r w:rsidRPr="00970CAB">
        <w:rPr>
          <w:rFonts w:ascii="Arial" w:eastAsia="Calibri" w:hAnsi="Arial" w:cs="Arial"/>
          <w:i/>
          <w:iCs/>
          <w:color w:val="000000" w:themeColor="text1"/>
          <w:sz w:val="20"/>
          <w:szCs w:val="20"/>
          <w:lang w:val="es-ES_tradnl"/>
        </w:rPr>
        <w:t xml:space="preserve">desde el momento de constitución </w:t>
      </w:r>
      <w:r w:rsidRPr="00970CAB">
        <w:rPr>
          <w:rFonts w:ascii="Arial" w:eastAsia="Calibri" w:hAnsi="Arial" w:cs="Arial"/>
          <w:i/>
          <w:iCs/>
          <w:color w:val="000000" w:themeColor="text1"/>
          <w:sz w:val="20"/>
          <w:szCs w:val="20"/>
          <w:lang w:val="es-ES_tradnl"/>
        </w:rPr>
        <w:lastRenderedPageBreak/>
        <w:t xml:space="preserve">de </w:t>
      </w:r>
      <w:proofErr w:type="gramStart"/>
      <w:r w:rsidRPr="00970CAB">
        <w:rPr>
          <w:rFonts w:ascii="Arial" w:eastAsia="Calibri" w:hAnsi="Arial" w:cs="Arial"/>
          <w:i/>
          <w:iCs/>
          <w:color w:val="000000" w:themeColor="text1"/>
          <w:sz w:val="20"/>
          <w:szCs w:val="20"/>
          <w:lang w:val="es-ES_tradnl"/>
        </w:rPr>
        <w:t>la misma</w:t>
      </w:r>
      <w:proofErr w:type="gramEnd"/>
      <w:r w:rsidRPr="00970CAB">
        <w:rPr>
          <w:rFonts w:ascii="Arial" w:eastAsia="Calibri" w:hAnsi="Arial" w:cs="Arial"/>
          <w:color w:val="000000" w:themeColor="text1"/>
          <w:sz w:val="20"/>
          <w:szCs w:val="20"/>
          <w:lang w:val="es-ES_tradnl"/>
        </w:rPr>
        <w:t>» (énfasis fuera de texto). Es decir, si bien es cierto que los factores de desempate previstos en el artículo 35 de la Ley 2069 de 2020 deben aplicarse en los procedimientos de selección iniciados a partir de la promulgación de esta, también lo es que –al tenor del parágrafo segundo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 O sea que el período contenido en el parágrafo segundo, en sentido estricto, no se comienza a computar desde la promulgación de la Ley 2069 de 2020, sino que para el momento en el que la entidad estatal evalúe la viabilidad de aplicar los factores de desempate vigentes del artículo 35 de dicha Ley –que exijan la vinculación de capital humano–, debe analizar si se cumple con dicho término de vinculación.</w:t>
      </w:r>
    </w:p>
    <w:p w14:paraId="76E9E989" w14:textId="4718FD93" w:rsidR="00536902" w:rsidRPr="00970CAB" w:rsidRDefault="00536902" w:rsidP="00252EED">
      <w:pPr>
        <w:rPr>
          <w:rFonts w:ascii="Arial" w:hAnsi="Arial" w:cs="Arial"/>
          <w:noProof/>
          <w:color w:val="000000" w:themeColor="text1"/>
          <w:sz w:val="20"/>
          <w:szCs w:val="20"/>
          <w:lang w:val="es-ES_tradnl"/>
        </w:rPr>
      </w:pPr>
      <w:r w:rsidRPr="00970CAB">
        <w:rPr>
          <w:rFonts w:ascii="Arial" w:hAnsi="Arial" w:cs="Arial"/>
          <w:noProof/>
          <w:color w:val="000000" w:themeColor="text1"/>
          <w:sz w:val="20"/>
          <w:szCs w:val="20"/>
          <w:lang w:val="es-ES_tradnl"/>
        </w:rPr>
        <w:br w:type="page"/>
      </w:r>
    </w:p>
    <w:p w14:paraId="44DFA0B1" w14:textId="77777777" w:rsidR="00ED77FB" w:rsidRPr="00970CAB" w:rsidRDefault="00ED77FB" w:rsidP="00970CAB">
      <w:pPr>
        <w:spacing w:line="259" w:lineRule="auto"/>
        <w:rPr>
          <w:rFonts w:ascii="Arial" w:hAnsi="Arial" w:cs="Arial"/>
          <w:noProof/>
          <w:color w:val="000000" w:themeColor="text1"/>
          <w:sz w:val="22"/>
          <w:lang w:val="es-ES_tradnl"/>
        </w:rPr>
      </w:pPr>
    </w:p>
    <w:p w14:paraId="5C54E242" w14:textId="77777777" w:rsidR="00ED77FB" w:rsidRPr="00970CAB" w:rsidRDefault="00ED77FB" w:rsidP="00970CAB">
      <w:pPr>
        <w:spacing w:line="259" w:lineRule="auto"/>
        <w:rPr>
          <w:rFonts w:ascii="Arial" w:hAnsi="Arial" w:cs="Arial"/>
          <w:noProof/>
          <w:color w:val="000000" w:themeColor="text1"/>
          <w:sz w:val="22"/>
          <w:lang w:val="es-ES_tradnl"/>
        </w:rPr>
      </w:pPr>
    </w:p>
    <w:p w14:paraId="7DD48F49" w14:textId="065B1D27" w:rsidR="00B95C30" w:rsidRPr="00970CAB" w:rsidRDefault="00B95C30" w:rsidP="00970CAB">
      <w:pPr>
        <w:spacing w:line="259" w:lineRule="auto"/>
        <w:rPr>
          <w:rFonts w:ascii="Arial" w:hAnsi="Arial" w:cs="Arial"/>
          <w:b/>
          <w:color w:val="000000" w:themeColor="text1"/>
          <w:sz w:val="22"/>
          <w:lang w:val="es-ES_tradnl"/>
        </w:rPr>
      </w:pPr>
      <w:r w:rsidRPr="00970CAB">
        <w:rPr>
          <w:rFonts w:ascii="Arial" w:hAnsi="Arial" w:cs="Arial"/>
          <w:noProof/>
          <w:color w:val="000000" w:themeColor="text1"/>
          <w:sz w:val="22"/>
          <w:lang w:val="es-ES_tradnl"/>
        </w:rPr>
        <w:t xml:space="preserve">Bogotá D.C., </w:t>
      </w:r>
      <w:r w:rsidR="00337D09">
        <w:rPr>
          <w:rFonts w:ascii="Arial" w:hAnsi="Arial" w:cs="Arial"/>
          <w:b/>
          <w:color w:val="000000" w:themeColor="text1"/>
          <w:sz w:val="22"/>
          <w:lang w:val="es-ES_tradnl"/>
        </w:rPr>
        <w:t>24/08/2021 11:34:14</w:t>
      </w:r>
    </w:p>
    <w:p w14:paraId="1806AE35" w14:textId="77777777" w:rsidR="00ED77FB" w:rsidRPr="00970CAB" w:rsidRDefault="00ED77FB" w:rsidP="00970CAB">
      <w:pPr>
        <w:spacing w:line="259" w:lineRule="auto"/>
        <w:rPr>
          <w:rFonts w:ascii="Arial" w:eastAsia="Calibri" w:hAnsi="Arial" w:cs="Arial"/>
          <w:bCs/>
          <w:color w:val="000000" w:themeColor="text1"/>
          <w:sz w:val="22"/>
          <w:szCs w:val="22"/>
          <w:lang w:val="es-ES_tradnl"/>
        </w:rPr>
      </w:pPr>
    </w:p>
    <w:p w14:paraId="484B5C45" w14:textId="4BA5D297" w:rsidR="00B66E42" w:rsidRPr="00970CAB" w:rsidRDefault="00337D09" w:rsidP="00B66E42">
      <w:pPr>
        <w:jc w:val="right"/>
        <w:rPr>
          <w:rFonts w:ascii="Arial" w:hAnsi="Arial" w:cs="Arial"/>
          <w:color w:val="000000" w:themeColor="text1"/>
          <w:sz w:val="22"/>
          <w:szCs w:val="22"/>
          <w:lang w:val="es-ES_tradnl"/>
        </w:rPr>
      </w:pPr>
      <w:r w:rsidRPr="00337D09">
        <w:rPr>
          <w:rFonts w:ascii="Arial" w:hAnsi="Arial" w:cs="Arial"/>
          <w:b/>
          <w:color w:val="000000" w:themeColor="text1"/>
          <w:sz w:val="22"/>
          <w:lang w:val="es-ES_tradnl"/>
        </w:rPr>
        <w:drawing>
          <wp:inline distT="0" distB="0" distL="0" distR="0" wp14:anchorId="338CBBEE" wp14:editId="39126178">
            <wp:extent cx="2438400" cy="635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400" cy="635000"/>
                    </a:xfrm>
                    <a:prstGeom prst="rect">
                      <a:avLst/>
                    </a:prstGeom>
                  </pic:spPr>
                </pic:pic>
              </a:graphicData>
            </a:graphic>
          </wp:inline>
        </w:drawing>
      </w:r>
    </w:p>
    <w:p w14:paraId="6A8A869B" w14:textId="77777777" w:rsidR="00B95C30" w:rsidRPr="00970CAB" w:rsidRDefault="00B95C30" w:rsidP="00B66E42">
      <w:pPr>
        <w:jc w:val="right"/>
        <w:rPr>
          <w:rFonts w:ascii="Arial" w:hAnsi="Arial" w:cs="Arial"/>
          <w:color w:val="000000" w:themeColor="text1"/>
          <w:sz w:val="22"/>
          <w:szCs w:val="22"/>
          <w:lang w:val="es-ES_tradnl"/>
        </w:rPr>
      </w:pPr>
    </w:p>
    <w:p w14:paraId="5F5AE9EF" w14:textId="0D2D242B" w:rsidR="00B95C30" w:rsidRPr="00970CAB" w:rsidRDefault="00B95C30" w:rsidP="00B95C30">
      <w:pPr>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Señor</w:t>
      </w:r>
    </w:p>
    <w:p w14:paraId="6B9E9EA5" w14:textId="1076035C" w:rsidR="00C875EC" w:rsidRPr="00970CAB" w:rsidRDefault="004D6FC4" w:rsidP="00B95C30">
      <w:pPr>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Guido Eduardo González Valencia</w:t>
      </w:r>
    </w:p>
    <w:p w14:paraId="3F3D1203" w14:textId="3CC99CC0" w:rsidR="00B95C30" w:rsidRPr="00970CAB" w:rsidRDefault="00D461B4" w:rsidP="00B95C30">
      <w:pPr>
        <w:jc w:val="both"/>
        <w:rPr>
          <w:rFonts w:ascii="Arial" w:eastAsia="Calibri" w:hAnsi="Arial" w:cs="Arial"/>
          <w:color w:val="000000" w:themeColor="text1"/>
          <w:sz w:val="22"/>
          <w:lang w:val="es-ES_tradnl"/>
        </w:rPr>
      </w:pPr>
      <w:r w:rsidRPr="00970CAB">
        <w:rPr>
          <w:rFonts w:ascii="Arial" w:hAnsi="Arial" w:cs="Arial"/>
          <w:noProof/>
          <w:color w:val="000000" w:themeColor="text1"/>
          <w:sz w:val="22"/>
          <w:lang w:val="es-ES_tradnl"/>
        </w:rPr>
        <w:t>Bogotá D.C.</w:t>
      </w:r>
    </w:p>
    <w:p w14:paraId="1496421A" w14:textId="6A0A7AE9" w:rsidR="00D55E8D" w:rsidRPr="00970CAB" w:rsidRDefault="00D55E8D" w:rsidP="00D55E8D">
      <w:pPr>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 xml:space="preserve">          </w:t>
      </w:r>
    </w:p>
    <w:p w14:paraId="3E4FEFD6" w14:textId="1BB0C015" w:rsidR="00D55E8D" w:rsidRPr="00970CAB" w:rsidRDefault="00D55E8D" w:rsidP="00970CAB">
      <w:pPr>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 xml:space="preserve"> </w:t>
      </w:r>
    </w:p>
    <w:p w14:paraId="12E66182" w14:textId="1367600F" w:rsidR="00B95C30" w:rsidRPr="00970CAB" w:rsidRDefault="00D55E8D" w:rsidP="00970CAB">
      <w:pPr>
        <w:rPr>
          <w:rFonts w:ascii="Arial" w:eastAsia="Calibri" w:hAnsi="Arial" w:cs="Arial"/>
          <w:b/>
          <w:bCs/>
          <w:color w:val="000000" w:themeColor="text1"/>
          <w:sz w:val="22"/>
          <w:lang w:val="es-ES_tradnl"/>
        </w:rPr>
      </w:pPr>
      <w:r w:rsidRPr="00970CAB">
        <w:rPr>
          <w:rFonts w:ascii="Arial" w:eastAsia="Calibri" w:hAnsi="Arial" w:cs="Arial"/>
          <w:b/>
          <w:bCs/>
          <w:color w:val="000000" w:themeColor="text1"/>
          <w:sz w:val="22"/>
          <w:lang w:val="es-ES_tradnl"/>
        </w:rPr>
        <w:t xml:space="preserve">                                            </w:t>
      </w:r>
      <w:r w:rsidR="00B95C30" w:rsidRPr="00970CAB">
        <w:rPr>
          <w:rFonts w:ascii="Arial" w:eastAsia="Calibri" w:hAnsi="Arial" w:cs="Arial"/>
          <w:b/>
          <w:bCs/>
          <w:color w:val="000000" w:themeColor="text1"/>
          <w:sz w:val="22"/>
          <w:lang w:val="es-ES_tradnl"/>
        </w:rPr>
        <w:t xml:space="preserve">Concepto C ‒ </w:t>
      </w:r>
      <w:r w:rsidR="007B12C8" w:rsidRPr="00970CAB">
        <w:rPr>
          <w:rFonts w:ascii="Arial" w:eastAsia="Calibri" w:hAnsi="Arial" w:cs="Arial"/>
          <w:b/>
          <w:bCs/>
          <w:color w:val="000000" w:themeColor="text1"/>
          <w:sz w:val="22"/>
          <w:lang w:val="es-ES_tradnl"/>
        </w:rPr>
        <w:t>43</w:t>
      </w:r>
      <w:r w:rsidR="00CD43FF" w:rsidRPr="00970CAB">
        <w:rPr>
          <w:rFonts w:ascii="Arial" w:eastAsia="Calibri" w:hAnsi="Arial" w:cs="Arial"/>
          <w:b/>
          <w:bCs/>
          <w:color w:val="000000" w:themeColor="text1"/>
          <w:sz w:val="22"/>
          <w:lang w:val="es-ES_tradnl"/>
        </w:rPr>
        <w:t>7</w:t>
      </w:r>
      <w:r w:rsidR="00B95C30" w:rsidRPr="00970CAB">
        <w:rPr>
          <w:rFonts w:ascii="Arial" w:eastAsia="Calibri" w:hAnsi="Arial" w:cs="Arial"/>
          <w:b/>
          <w:bCs/>
          <w:color w:val="000000" w:themeColor="text1"/>
          <w:sz w:val="22"/>
          <w:lang w:val="es-ES_tradnl"/>
        </w:rPr>
        <w:t xml:space="preserve"> de 202</w:t>
      </w:r>
      <w:r w:rsidR="00C56976" w:rsidRPr="00970CAB">
        <w:rPr>
          <w:rFonts w:ascii="Arial" w:eastAsia="Calibri" w:hAnsi="Arial" w:cs="Arial"/>
          <w:b/>
          <w:bCs/>
          <w:color w:val="000000" w:themeColor="text1"/>
          <w:sz w:val="22"/>
          <w:lang w:val="es-ES_tradnl"/>
        </w:rPr>
        <w:t>1</w:t>
      </w:r>
    </w:p>
    <w:p w14:paraId="1BD594F9" w14:textId="77777777" w:rsidR="00B95C30" w:rsidRPr="00970CAB"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42B6" w:rsidRPr="00970CAB" w14:paraId="19DFC051" w14:textId="77777777" w:rsidTr="003D3D44">
        <w:tc>
          <w:tcPr>
            <w:tcW w:w="2689" w:type="dxa"/>
          </w:tcPr>
          <w:p w14:paraId="6BC0D1AC" w14:textId="77777777" w:rsidR="00B95C30" w:rsidRPr="00970CAB" w:rsidRDefault="00B95C30" w:rsidP="003D3D44">
            <w:pPr>
              <w:jc w:val="both"/>
              <w:rPr>
                <w:rFonts w:ascii="Arial" w:eastAsia="Calibri" w:hAnsi="Arial" w:cs="Arial"/>
                <w:color w:val="000000" w:themeColor="text1"/>
                <w:sz w:val="22"/>
                <w:lang w:val="es-ES_tradnl"/>
              </w:rPr>
            </w:pPr>
            <w:r w:rsidRPr="00970CAB">
              <w:rPr>
                <w:rFonts w:ascii="Arial" w:eastAsia="Calibri" w:hAnsi="Arial" w:cs="Arial"/>
                <w:b/>
                <w:color w:val="000000" w:themeColor="text1"/>
                <w:sz w:val="22"/>
                <w:lang w:val="es-ES_tradnl"/>
              </w:rPr>
              <w:t>Temas:</w:t>
            </w:r>
            <w:r w:rsidRPr="00970CAB">
              <w:rPr>
                <w:rFonts w:ascii="Arial" w:eastAsia="Calibri" w:hAnsi="Arial" w:cs="Arial"/>
                <w:color w:val="000000" w:themeColor="text1"/>
                <w:sz w:val="22"/>
                <w:lang w:val="es-ES_tradnl"/>
              </w:rPr>
              <w:t xml:space="preserve">                                      </w:t>
            </w:r>
          </w:p>
        </w:tc>
        <w:tc>
          <w:tcPr>
            <w:tcW w:w="6237" w:type="dxa"/>
          </w:tcPr>
          <w:p w14:paraId="5F389CAF" w14:textId="02D56C80" w:rsidR="00B95C30" w:rsidRPr="00970CAB" w:rsidRDefault="00B020EB" w:rsidP="0038512F">
            <w:pPr>
              <w:pStyle w:val="Sinespaciado"/>
              <w:jc w:val="both"/>
              <w:rPr>
                <w:rFonts w:ascii="Arial" w:hAnsi="Arial" w:cs="Arial"/>
                <w:bCs/>
                <w:color w:val="000000" w:themeColor="text1"/>
                <w:sz w:val="22"/>
                <w:lang w:val="es-ES_tradnl"/>
              </w:rPr>
            </w:pPr>
            <w:r w:rsidRPr="00970CAB">
              <w:rPr>
                <w:rFonts w:ascii="Arial" w:eastAsia="Calibri" w:hAnsi="Arial" w:cs="Arial"/>
                <w:color w:val="000000" w:themeColor="text1"/>
                <w:sz w:val="22"/>
                <w:lang w:val="es-ES_tradnl"/>
              </w:rPr>
              <w:t>SELECCIÓN OBJETIVA – Contratación estatal – Concepto / EMPATE – Procedimiento de selección – Concepto / FACTORES DE DESEMPATE – Características – Límites / LEY DE EMPRENDIMIENTO – Ley 2069 de 2020 – Vigencia / FACTORES DE DESEMPATE – Ley 2069 – Artículo 35 – Acreditación</w:t>
            </w:r>
            <w:r w:rsidR="00EC2989" w:rsidRPr="00970CAB">
              <w:rPr>
                <w:rFonts w:ascii="Arial" w:eastAsia="Calibri" w:hAnsi="Arial" w:cs="Arial"/>
                <w:color w:val="000000" w:themeColor="text1"/>
                <w:sz w:val="22"/>
                <w:lang w:val="es-ES_tradnl"/>
              </w:rPr>
              <w:t xml:space="preserve"> / VIGENCIA – Ley 2069 de 2020 – Factores de desempate – Ley 153 de 1887 – Artículo 40 – </w:t>
            </w:r>
            <w:proofErr w:type="spellStart"/>
            <w:r w:rsidR="00EC2989" w:rsidRPr="00970CAB">
              <w:rPr>
                <w:rFonts w:ascii="Arial" w:eastAsia="Calibri" w:hAnsi="Arial" w:cs="Arial"/>
                <w:color w:val="000000" w:themeColor="text1"/>
                <w:sz w:val="22"/>
                <w:lang w:val="es-ES_tradnl"/>
              </w:rPr>
              <w:t>Ultractividad</w:t>
            </w:r>
            <w:proofErr w:type="spellEnd"/>
            <w:r w:rsidR="00EC2989" w:rsidRPr="00970CAB">
              <w:rPr>
                <w:rFonts w:ascii="Arial" w:eastAsia="Calibri" w:hAnsi="Arial" w:cs="Arial"/>
                <w:color w:val="000000" w:themeColor="text1"/>
                <w:sz w:val="22"/>
                <w:lang w:val="es-ES_tradnl"/>
              </w:rPr>
              <w:t xml:space="preserve"> / SUSTITUCIÓN DE EMPLEADORES – Ley 2069 de 2020 – Artículo 35 – Numeral 4 – Continuidad del negocio / ANTIGÜEDAD MÍNIMA – Capital humano – Ley 2069 de 2020 – Artículo 35 – Parágrafo segundo</w:t>
            </w:r>
            <w:r w:rsidR="00F42B8C" w:rsidRPr="00970CAB">
              <w:rPr>
                <w:rFonts w:ascii="Arial" w:eastAsia="Calibri" w:hAnsi="Arial" w:cs="Arial"/>
                <w:color w:val="000000" w:themeColor="text1"/>
                <w:sz w:val="22"/>
                <w:lang w:val="es-ES_tradnl"/>
              </w:rPr>
              <w:t xml:space="preserve">.        </w:t>
            </w:r>
          </w:p>
        </w:tc>
      </w:tr>
      <w:tr w:rsidR="009342B6" w:rsidRPr="00970CAB" w14:paraId="27CD52AB" w14:textId="77777777" w:rsidTr="003D3D44">
        <w:tc>
          <w:tcPr>
            <w:tcW w:w="2689" w:type="dxa"/>
          </w:tcPr>
          <w:p w14:paraId="37E195A1" w14:textId="4C368209" w:rsidR="00B95C30" w:rsidRPr="00970CAB" w:rsidRDefault="00B95C30" w:rsidP="003D3D44">
            <w:pPr>
              <w:spacing w:before="120"/>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Radicación:</w:t>
            </w:r>
            <w:r w:rsidRPr="00970CAB">
              <w:rPr>
                <w:rFonts w:ascii="Arial" w:eastAsia="Calibri" w:hAnsi="Arial" w:cs="Arial"/>
                <w:color w:val="000000" w:themeColor="text1"/>
                <w:sz w:val="22"/>
                <w:lang w:val="es-ES_tradnl"/>
              </w:rPr>
              <w:t xml:space="preserve">                              </w:t>
            </w:r>
          </w:p>
        </w:tc>
        <w:tc>
          <w:tcPr>
            <w:tcW w:w="6237" w:type="dxa"/>
          </w:tcPr>
          <w:p w14:paraId="09088B1B" w14:textId="5CFFFB6F" w:rsidR="00B95C30" w:rsidRPr="00970CAB" w:rsidRDefault="00B95C30" w:rsidP="003D3D44">
            <w:pPr>
              <w:spacing w:before="120"/>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 xml:space="preserve">Respuesta a consulta # </w:t>
            </w:r>
            <w:r w:rsidR="005642B3" w:rsidRPr="00970CAB">
              <w:rPr>
                <w:rFonts w:ascii="Arial" w:eastAsia="Calibri" w:hAnsi="Arial" w:cs="Arial"/>
                <w:color w:val="000000" w:themeColor="text1"/>
                <w:sz w:val="22"/>
                <w:lang w:val="es-ES_tradnl"/>
              </w:rPr>
              <w:t>P20210713006176</w:t>
            </w:r>
          </w:p>
        </w:tc>
      </w:tr>
    </w:tbl>
    <w:p w14:paraId="795D29BC" w14:textId="77777777" w:rsidR="003D7D6E" w:rsidRPr="00970CAB" w:rsidRDefault="003D7D6E" w:rsidP="003C3339">
      <w:pPr>
        <w:jc w:val="both"/>
        <w:rPr>
          <w:rFonts w:ascii="Arial" w:eastAsia="Calibri" w:hAnsi="Arial" w:cs="Arial"/>
          <w:color w:val="000000" w:themeColor="text1"/>
          <w:sz w:val="22"/>
          <w:lang w:val="es-ES_tradnl"/>
        </w:rPr>
      </w:pPr>
    </w:p>
    <w:p w14:paraId="3F9C7AF0" w14:textId="77777777" w:rsidR="003D7D6E" w:rsidRPr="00970CAB" w:rsidRDefault="003D7D6E" w:rsidP="003C3339">
      <w:pPr>
        <w:jc w:val="both"/>
        <w:rPr>
          <w:rFonts w:ascii="Arial" w:eastAsia="Calibri" w:hAnsi="Arial" w:cs="Arial"/>
          <w:color w:val="000000" w:themeColor="text1"/>
          <w:sz w:val="22"/>
          <w:lang w:val="es-ES_tradnl"/>
        </w:rPr>
      </w:pPr>
    </w:p>
    <w:p w14:paraId="1CF4AEA0" w14:textId="06171C11" w:rsidR="003C3339" w:rsidRPr="00970CAB" w:rsidRDefault="003C3339" w:rsidP="003C3339">
      <w:pPr>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Estimad</w:t>
      </w:r>
      <w:r w:rsidR="004D6FC4" w:rsidRPr="00970CAB">
        <w:rPr>
          <w:rFonts w:ascii="Arial" w:eastAsia="Calibri" w:hAnsi="Arial" w:cs="Arial"/>
          <w:color w:val="000000" w:themeColor="text1"/>
          <w:sz w:val="22"/>
          <w:lang w:val="es-ES_tradnl"/>
        </w:rPr>
        <w:t>o</w:t>
      </w:r>
      <w:r w:rsidRPr="00970CAB">
        <w:rPr>
          <w:rFonts w:ascii="Arial" w:eastAsia="Calibri" w:hAnsi="Arial" w:cs="Arial"/>
          <w:color w:val="000000" w:themeColor="text1"/>
          <w:sz w:val="22"/>
          <w:lang w:val="es-ES_tradnl"/>
        </w:rPr>
        <w:t xml:space="preserve"> </w:t>
      </w:r>
      <w:r w:rsidR="00677E9C" w:rsidRPr="00970CAB">
        <w:rPr>
          <w:rFonts w:ascii="Arial" w:eastAsia="Calibri" w:hAnsi="Arial" w:cs="Arial"/>
          <w:color w:val="000000" w:themeColor="text1"/>
          <w:sz w:val="22"/>
          <w:lang w:val="es-ES_tradnl"/>
        </w:rPr>
        <w:t xml:space="preserve">señor </w:t>
      </w:r>
      <w:r w:rsidR="004D6FC4" w:rsidRPr="00970CAB">
        <w:rPr>
          <w:rFonts w:ascii="Arial" w:eastAsia="Calibri" w:hAnsi="Arial" w:cs="Arial"/>
          <w:color w:val="000000" w:themeColor="text1"/>
          <w:sz w:val="22"/>
          <w:lang w:val="es-ES_tradnl"/>
        </w:rPr>
        <w:t>Gonz</w:t>
      </w:r>
      <w:r w:rsidR="005642B3" w:rsidRPr="00970CAB">
        <w:rPr>
          <w:rFonts w:ascii="Arial" w:eastAsia="Calibri" w:hAnsi="Arial" w:cs="Arial"/>
          <w:color w:val="000000" w:themeColor="text1"/>
          <w:sz w:val="22"/>
          <w:lang w:val="es-ES_tradnl"/>
        </w:rPr>
        <w:t>ález</w:t>
      </w:r>
      <w:r w:rsidRPr="00970CAB">
        <w:rPr>
          <w:rFonts w:ascii="Arial" w:eastAsia="Calibri" w:hAnsi="Arial" w:cs="Arial"/>
          <w:color w:val="000000" w:themeColor="text1"/>
          <w:sz w:val="22"/>
          <w:lang w:val="es-ES_tradnl"/>
        </w:rPr>
        <w:t>:</w:t>
      </w:r>
    </w:p>
    <w:p w14:paraId="1EAE5543" w14:textId="77777777" w:rsidR="00DD5B04" w:rsidRPr="00970CAB" w:rsidRDefault="00DD5B04" w:rsidP="00DF76A2">
      <w:pPr>
        <w:jc w:val="both"/>
        <w:rPr>
          <w:rFonts w:ascii="Arial" w:eastAsia="Calibri" w:hAnsi="Arial" w:cs="Arial"/>
          <w:color w:val="000000" w:themeColor="text1"/>
          <w:sz w:val="22"/>
          <w:lang w:val="es-ES_tradnl"/>
        </w:rPr>
      </w:pPr>
    </w:p>
    <w:p w14:paraId="2109B2D3" w14:textId="635DC204" w:rsidR="00DD5B04" w:rsidRPr="00970CAB" w:rsidRDefault="00DD5B04" w:rsidP="00DF76A2">
      <w:pPr>
        <w:spacing w:line="276" w:lineRule="auto"/>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AB1340" w:rsidRPr="00970CAB">
        <w:rPr>
          <w:rFonts w:ascii="Arial" w:eastAsia="Calibri" w:hAnsi="Arial" w:cs="Arial"/>
          <w:color w:val="000000" w:themeColor="text1"/>
          <w:sz w:val="22"/>
          <w:lang w:val="es-ES_tradnl"/>
        </w:rPr>
        <w:t xml:space="preserve"> </w:t>
      </w:r>
      <w:r w:rsidRPr="00970CAB">
        <w:rPr>
          <w:rFonts w:ascii="Arial" w:eastAsia="Calibri" w:hAnsi="Arial" w:cs="Arial"/>
          <w:color w:val="000000" w:themeColor="text1"/>
          <w:sz w:val="22"/>
          <w:lang w:val="es-ES_tradnl"/>
        </w:rPr>
        <w:t xml:space="preserve">la Agencia Nacional de Contratación Pública </w:t>
      </w:r>
      <w:r w:rsidR="003D7D6E" w:rsidRPr="00970CAB">
        <w:rPr>
          <w:rFonts w:ascii="Arial" w:eastAsia="Calibri" w:hAnsi="Arial" w:cs="Arial"/>
          <w:color w:val="000000" w:themeColor="text1"/>
          <w:sz w:val="22"/>
          <w:lang w:val="es-ES_tradnl"/>
        </w:rPr>
        <w:t>–</w:t>
      </w:r>
      <w:r w:rsidRPr="00970CAB">
        <w:rPr>
          <w:rFonts w:ascii="Arial" w:eastAsia="Calibri" w:hAnsi="Arial" w:cs="Arial"/>
          <w:color w:val="000000" w:themeColor="text1"/>
          <w:sz w:val="22"/>
          <w:lang w:val="es-ES_tradnl"/>
        </w:rPr>
        <w:t xml:space="preserve"> Colombia Compra Eficiente</w:t>
      </w:r>
      <w:r w:rsidR="008C3C57" w:rsidRPr="00970CAB">
        <w:rPr>
          <w:rFonts w:ascii="Arial" w:eastAsia="Calibri" w:hAnsi="Arial" w:cs="Arial"/>
          <w:color w:val="000000" w:themeColor="text1"/>
          <w:sz w:val="22"/>
          <w:lang w:val="es-ES_tradnl"/>
        </w:rPr>
        <w:t xml:space="preserve"> </w:t>
      </w:r>
      <w:r w:rsidRPr="00970CAB">
        <w:rPr>
          <w:rFonts w:ascii="Arial" w:eastAsia="Calibri" w:hAnsi="Arial" w:cs="Arial"/>
          <w:color w:val="000000" w:themeColor="text1"/>
          <w:sz w:val="22"/>
          <w:lang w:val="es-ES_tradnl"/>
        </w:rPr>
        <w:t xml:space="preserve">responde su consulta del </w:t>
      </w:r>
      <w:r w:rsidR="003F4B32" w:rsidRPr="00970CAB">
        <w:rPr>
          <w:rFonts w:ascii="Arial" w:eastAsia="Calibri" w:hAnsi="Arial" w:cs="Arial"/>
          <w:color w:val="000000" w:themeColor="text1"/>
          <w:sz w:val="22"/>
          <w:lang w:val="es-ES_tradnl"/>
        </w:rPr>
        <w:t>1</w:t>
      </w:r>
      <w:r w:rsidR="008A3F73" w:rsidRPr="00970CAB">
        <w:rPr>
          <w:rFonts w:ascii="Arial" w:eastAsia="Calibri" w:hAnsi="Arial" w:cs="Arial"/>
          <w:color w:val="000000" w:themeColor="text1"/>
          <w:sz w:val="22"/>
          <w:lang w:val="es-ES_tradnl"/>
        </w:rPr>
        <w:t>3</w:t>
      </w:r>
      <w:r w:rsidR="00FD4AF3" w:rsidRPr="00970CAB">
        <w:rPr>
          <w:rFonts w:ascii="Arial" w:eastAsia="Calibri" w:hAnsi="Arial" w:cs="Arial"/>
          <w:color w:val="000000" w:themeColor="text1"/>
          <w:sz w:val="22"/>
          <w:lang w:val="es-ES_tradnl"/>
        </w:rPr>
        <w:t xml:space="preserve"> de </w:t>
      </w:r>
      <w:r w:rsidR="008A3F73" w:rsidRPr="00970CAB">
        <w:rPr>
          <w:rFonts w:ascii="Arial" w:eastAsia="Calibri" w:hAnsi="Arial" w:cs="Arial"/>
          <w:color w:val="000000" w:themeColor="text1"/>
          <w:sz w:val="22"/>
          <w:lang w:val="es-ES_tradnl"/>
        </w:rPr>
        <w:t>julio</w:t>
      </w:r>
      <w:r w:rsidRPr="00970CAB">
        <w:rPr>
          <w:rFonts w:ascii="Arial" w:eastAsia="Calibri" w:hAnsi="Arial" w:cs="Arial"/>
          <w:color w:val="000000" w:themeColor="text1"/>
          <w:sz w:val="22"/>
          <w:lang w:val="es-ES_tradnl"/>
        </w:rPr>
        <w:t xml:space="preserve"> del</w:t>
      </w:r>
      <w:r w:rsidR="007E74BF" w:rsidRPr="00970CAB">
        <w:rPr>
          <w:rFonts w:ascii="Arial" w:eastAsia="Calibri" w:hAnsi="Arial" w:cs="Arial"/>
          <w:color w:val="000000" w:themeColor="text1"/>
          <w:sz w:val="22"/>
          <w:lang w:val="es-ES_tradnl"/>
        </w:rPr>
        <w:t xml:space="preserve"> </w:t>
      </w:r>
      <w:r w:rsidRPr="00970CAB">
        <w:rPr>
          <w:rFonts w:ascii="Arial" w:eastAsia="Calibri" w:hAnsi="Arial" w:cs="Arial"/>
          <w:color w:val="000000" w:themeColor="text1"/>
          <w:sz w:val="22"/>
          <w:lang w:val="es-ES_tradnl"/>
        </w:rPr>
        <w:t>202</w:t>
      </w:r>
      <w:r w:rsidR="004673A8" w:rsidRPr="00970CAB">
        <w:rPr>
          <w:rFonts w:ascii="Arial" w:eastAsia="Calibri" w:hAnsi="Arial" w:cs="Arial"/>
          <w:color w:val="000000" w:themeColor="text1"/>
          <w:sz w:val="22"/>
          <w:lang w:val="es-ES_tradnl"/>
        </w:rPr>
        <w:t>1</w:t>
      </w:r>
      <w:r w:rsidR="008C3C57" w:rsidRPr="00970CAB">
        <w:rPr>
          <w:rFonts w:ascii="Arial" w:eastAsia="Calibri" w:hAnsi="Arial" w:cs="Arial"/>
          <w:color w:val="000000" w:themeColor="text1"/>
          <w:sz w:val="22"/>
          <w:lang w:val="es-ES_tradnl"/>
        </w:rPr>
        <w:t>.</w:t>
      </w:r>
    </w:p>
    <w:p w14:paraId="0C1E0712" w14:textId="77777777" w:rsidR="00DD5B04" w:rsidRPr="00970CA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70CA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 xml:space="preserve">Problema planteado </w:t>
      </w:r>
    </w:p>
    <w:p w14:paraId="224B43D3" w14:textId="77777777" w:rsidR="00DD5B04" w:rsidRPr="00970CA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9F81B80" w:rsidR="00443B55" w:rsidRPr="00970CAB" w:rsidRDefault="00DD5B04" w:rsidP="0099583D">
      <w:pPr>
        <w:spacing w:line="276" w:lineRule="auto"/>
        <w:jc w:val="both"/>
        <w:rPr>
          <w:rFonts w:ascii="Arial" w:hAnsi="Arial" w:cs="Arial"/>
          <w:color w:val="000000" w:themeColor="text1"/>
          <w:sz w:val="22"/>
          <w:lang w:val="es-ES_tradnl"/>
        </w:rPr>
      </w:pPr>
      <w:r w:rsidRPr="00970CAB">
        <w:rPr>
          <w:rFonts w:ascii="Arial" w:hAnsi="Arial" w:cs="Arial"/>
          <w:color w:val="000000" w:themeColor="text1"/>
          <w:sz w:val="22"/>
          <w:lang w:val="es-ES_tradnl"/>
        </w:rPr>
        <w:t xml:space="preserve">Usted </w:t>
      </w:r>
      <w:r w:rsidR="00F85284" w:rsidRPr="00970CAB">
        <w:rPr>
          <w:rFonts w:ascii="Arial" w:hAnsi="Arial" w:cs="Arial"/>
          <w:color w:val="000000" w:themeColor="text1"/>
          <w:sz w:val="22"/>
          <w:lang w:val="es-ES_tradnl"/>
        </w:rPr>
        <w:t xml:space="preserve">realiza </w:t>
      </w:r>
      <w:r w:rsidR="006D46A3" w:rsidRPr="00970CAB">
        <w:rPr>
          <w:rFonts w:ascii="Arial" w:hAnsi="Arial" w:cs="Arial"/>
          <w:color w:val="000000" w:themeColor="text1"/>
          <w:sz w:val="22"/>
          <w:lang w:val="es-ES_tradnl"/>
        </w:rPr>
        <w:t xml:space="preserve">la siguiente </w:t>
      </w:r>
      <w:r w:rsidR="00B46915" w:rsidRPr="00970CAB">
        <w:rPr>
          <w:rFonts w:ascii="Arial" w:hAnsi="Arial" w:cs="Arial"/>
          <w:color w:val="000000" w:themeColor="text1"/>
          <w:sz w:val="22"/>
          <w:lang w:val="es-ES_tradnl"/>
        </w:rPr>
        <w:t>consulta</w:t>
      </w:r>
      <w:r w:rsidR="000314BD" w:rsidRPr="00970CAB">
        <w:rPr>
          <w:rFonts w:ascii="Arial" w:hAnsi="Arial" w:cs="Arial"/>
          <w:color w:val="000000" w:themeColor="text1"/>
          <w:sz w:val="22"/>
          <w:lang w:val="es-ES_tradnl"/>
        </w:rPr>
        <w:t>:</w:t>
      </w:r>
      <w:r w:rsidR="007E18DF" w:rsidRPr="00970CAB">
        <w:rPr>
          <w:rFonts w:ascii="Arial" w:hAnsi="Arial" w:cs="Arial"/>
          <w:color w:val="000000" w:themeColor="text1"/>
          <w:sz w:val="22"/>
          <w:lang w:val="es-ES_tradnl"/>
        </w:rPr>
        <w:t xml:space="preserve"> </w:t>
      </w:r>
    </w:p>
    <w:p w14:paraId="559EE20C" w14:textId="77777777" w:rsidR="00443B55" w:rsidRPr="00970CAB" w:rsidRDefault="00443B55" w:rsidP="0099583D">
      <w:pPr>
        <w:spacing w:line="276" w:lineRule="auto"/>
        <w:jc w:val="both"/>
        <w:rPr>
          <w:rFonts w:ascii="Arial" w:hAnsi="Arial" w:cs="Arial"/>
          <w:color w:val="000000" w:themeColor="text1"/>
          <w:sz w:val="22"/>
          <w:lang w:val="es-ES_tradnl"/>
        </w:rPr>
      </w:pPr>
    </w:p>
    <w:p w14:paraId="228690CC" w14:textId="604FD652" w:rsidR="00D27681" w:rsidRPr="00970CAB" w:rsidRDefault="009B366C" w:rsidP="00D27681">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xml:space="preserve">«[…] </w:t>
      </w:r>
      <w:r w:rsidR="00D27681" w:rsidRPr="00970CAB">
        <w:rPr>
          <w:rFonts w:ascii="Arial" w:hAnsi="Arial" w:cs="Arial"/>
          <w:color w:val="000000" w:themeColor="text1"/>
          <w:sz w:val="21"/>
          <w:szCs w:val="21"/>
          <w:lang w:val="es-ES_tradnl"/>
        </w:rPr>
        <w:t xml:space="preserve">me permito solicitarle se sirva aclarar si para efectos de </w:t>
      </w:r>
      <w:r w:rsidRPr="00970CAB">
        <w:rPr>
          <w:rFonts w:ascii="Arial" w:hAnsi="Arial" w:cs="Arial"/>
          <w:color w:val="000000" w:themeColor="text1"/>
          <w:sz w:val="21"/>
          <w:szCs w:val="21"/>
          <w:lang w:val="es-ES_tradnl"/>
        </w:rPr>
        <w:t>aplicación</w:t>
      </w:r>
      <w:r w:rsidR="00D27681" w:rsidRPr="00970CAB">
        <w:rPr>
          <w:rFonts w:ascii="Arial" w:hAnsi="Arial" w:cs="Arial"/>
          <w:color w:val="000000" w:themeColor="text1"/>
          <w:sz w:val="21"/>
          <w:szCs w:val="21"/>
          <w:lang w:val="es-ES_tradnl"/>
        </w:rPr>
        <w:t xml:space="preserve"> de los criterios de desempate visibles en el </w:t>
      </w:r>
      <w:r w:rsidRPr="00970CAB">
        <w:rPr>
          <w:rFonts w:ascii="Arial" w:hAnsi="Arial" w:cs="Arial"/>
          <w:color w:val="000000" w:themeColor="text1"/>
          <w:sz w:val="21"/>
          <w:szCs w:val="21"/>
          <w:lang w:val="es-ES_tradnl"/>
        </w:rPr>
        <w:t>artículo</w:t>
      </w:r>
      <w:r w:rsidR="00D27681" w:rsidRPr="00970CAB">
        <w:rPr>
          <w:rFonts w:ascii="Arial" w:hAnsi="Arial" w:cs="Arial"/>
          <w:color w:val="000000" w:themeColor="text1"/>
          <w:sz w:val="21"/>
          <w:szCs w:val="21"/>
          <w:lang w:val="es-ES_tradnl"/>
        </w:rPr>
        <w:t xml:space="preserve"> 35, numeral 4 de la Ley 2069 de 20201, se tiene en cuenta la </w:t>
      </w:r>
      <w:r w:rsidRPr="00970CAB">
        <w:rPr>
          <w:rFonts w:ascii="Arial" w:hAnsi="Arial" w:cs="Arial"/>
          <w:color w:val="000000" w:themeColor="text1"/>
          <w:sz w:val="21"/>
          <w:szCs w:val="21"/>
          <w:lang w:val="es-ES_tradnl"/>
        </w:rPr>
        <w:t>antigüedad</w:t>
      </w:r>
      <w:r w:rsidR="00D27681" w:rsidRPr="00970CAB">
        <w:rPr>
          <w:rFonts w:ascii="Arial" w:hAnsi="Arial" w:cs="Arial"/>
          <w:color w:val="000000" w:themeColor="text1"/>
          <w:sz w:val="21"/>
          <w:szCs w:val="21"/>
          <w:lang w:val="es-ES_tradnl"/>
        </w:rPr>
        <w:t xml:space="preserve"> laboral originada en una </w:t>
      </w:r>
      <w:r w:rsidRPr="00970CAB">
        <w:rPr>
          <w:rFonts w:ascii="Arial" w:hAnsi="Arial" w:cs="Arial"/>
          <w:color w:val="000000" w:themeColor="text1"/>
          <w:sz w:val="21"/>
          <w:szCs w:val="21"/>
          <w:lang w:val="es-ES_tradnl"/>
        </w:rPr>
        <w:t>sustitución</w:t>
      </w:r>
      <w:r w:rsidR="00D27681" w:rsidRPr="00970CAB">
        <w:rPr>
          <w:rFonts w:ascii="Arial" w:hAnsi="Arial" w:cs="Arial"/>
          <w:color w:val="000000" w:themeColor="text1"/>
          <w:sz w:val="21"/>
          <w:szCs w:val="21"/>
          <w:lang w:val="es-ES_tradnl"/>
        </w:rPr>
        <w:t xml:space="preserve"> </w:t>
      </w:r>
      <w:r w:rsidR="00D27681" w:rsidRPr="00970CAB">
        <w:rPr>
          <w:rFonts w:ascii="Arial" w:hAnsi="Arial" w:cs="Arial"/>
          <w:color w:val="000000" w:themeColor="text1"/>
          <w:sz w:val="21"/>
          <w:szCs w:val="21"/>
          <w:lang w:val="es-ES_tradnl"/>
        </w:rPr>
        <w:lastRenderedPageBreak/>
        <w:t xml:space="preserve">patronal. Lo anterior, teniendo en cuenta que el </w:t>
      </w:r>
      <w:r w:rsidRPr="00970CAB">
        <w:rPr>
          <w:rFonts w:ascii="Arial" w:hAnsi="Arial" w:cs="Arial"/>
          <w:color w:val="000000" w:themeColor="text1"/>
          <w:sz w:val="21"/>
          <w:szCs w:val="21"/>
          <w:lang w:val="es-ES_tradnl"/>
        </w:rPr>
        <w:t>artículo</w:t>
      </w:r>
      <w:r w:rsidR="00D27681" w:rsidRPr="00970CAB">
        <w:rPr>
          <w:rFonts w:ascii="Arial" w:hAnsi="Arial" w:cs="Arial"/>
          <w:color w:val="000000" w:themeColor="text1"/>
          <w:sz w:val="21"/>
          <w:szCs w:val="21"/>
          <w:lang w:val="es-ES_tradnl"/>
        </w:rPr>
        <w:t xml:space="preserve"> 68 del </w:t>
      </w:r>
      <w:r w:rsidRPr="00970CAB">
        <w:rPr>
          <w:rFonts w:ascii="Arial" w:hAnsi="Arial" w:cs="Arial"/>
          <w:color w:val="000000" w:themeColor="text1"/>
          <w:sz w:val="21"/>
          <w:szCs w:val="21"/>
          <w:lang w:val="es-ES_tradnl"/>
        </w:rPr>
        <w:t>código</w:t>
      </w:r>
      <w:r w:rsidR="00D27681" w:rsidRPr="00970CAB">
        <w:rPr>
          <w:rFonts w:ascii="Arial" w:hAnsi="Arial" w:cs="Arial"/>
          <w:color w:val="000000" w:themeColor="text1"/>
          <w:sz w:val="21"/>
          <w:szCs w:val="21"/>
          <w:lang w:val="es-ES_tradnl"/>
        </w:rPr>
        <w:t xml:space="preserve"> sustantivo del trabajo, dispone:</w:t>
      </w:r>
    </w:p>
    <w:p w14:paraId="3CB18494" w14:textId="77777777" w:rsidR="009B366C" w:rsidRPr="00970CAB" w:rsidRDefault="009B366C" w:rsidP="00D27681">
      <w:pPr>
        <w:ind w:left="709" w:right="709"/>
        <w:jc w:val="both"/>
        <w:rPr>
          <w:rFonts w:ascii="Arial" w:hAnsi="Arial" w:cs="Arial"/>
          <w:color w:val="000000" w:themeColor="text1"/>
          <w:sz w:val="21"/>
          <w:szCs w:val="21"/>
          <w:lang w:val="es-ES_tradnl"/>
        </w:rPr>
      </w:pPr>
    </w:p>
    <w:p w14:paraId="0B862E22" w14:textId="739BFB65" w:rsidR="006F64B5" w:rsidRPr="00970CAB" w:rsidRDefault="009B366C" w:rsidP="00D27681">
      <w:pPr>
        <w:ind w:left="709" w:right="709"/>
        <w:jc w:val="both"/>
        <w:rPr>
          <w:rFonts w:ascii="Arial" w:hAnsi="Arial" w:cs="Arial"/>
          <w:color w:val="000000" w:themeColor="text1"/>
          <w:sz w:val="21"/>
          <w:szCs w:val="21"/>
          <w:lang w:val="es-ES_tradnl"/>
        </w:rPr>
      </w:pPr>
      <w:proofErr w:type="gramStart"/>
      <w:r w:rsidRPr="00970CAB">
        <w:rPr>
          <w:rFonts w:ascii="Arial" w:hAnsi="Arial" w:cs="Arial"/>
          <w:color w:val="000000" w:themeColor="text1"/>
          <w:sz w:val="21"/>
          <w:szCs w:val="21"/>
          <w:lang w:val="es-ES_tradnl"/>
        </w:rPr>
        <w:t>»</w:t>
      </w:r>
      <w:r w:rsidR="00D27681" w:rsidRPr="00970CAB">
        <w:rPr>
          <w:rFonts w:ascii="Arial" w:hAnsi="Arial" w:cs="Arial"/>
          <w:color w:val="000000" w:themeColor="text1"/>
          <w:sz w:val="21"/>
          <w:szCs w:val="21"/>
          <w:lang w:val="es-ES_tradnl"/>
        </w:rPr>
        <w:t>ARTICULO</w:t>
      </w:r>
      <w:proofErr w:type="gramEnd"/>
      <w:r w:rsidR="00D27681" w:rsidRPr="00970CAB">
        <w:rPr>
          <w:rFonts w:ascii="Arial" w:hAnsi="Arial" w:cs="Arial"/>
          <w:color w:val="000000" w:themeColor="text1"/>
          <w:sz w:val="21"/>
          <w:szCs w:val="21"/>
          <w:lang w:val="es-ES_tradnl"/>
        </w:rPr>
        <w:t xml:space="preserve"> 68. MANTENIMIENTO DEL CONTRATO DE TRABAJO. La sola </w:t>
      </w:r>
      <w:r w:rsidRPr="00970CAB">
        <w:rPr>
          <w:rFonts w:ascii="Arial" w:hAnsi="Arial" w:cs="Arial"/>
          <w:color w:val="000000" w:themeColor="text1"/>
          <w:sz w:val="21"/>
          <w:szCs w:val="21"/>
          <w:lang w:val="es-ES_tradnl"/>
        </w:rPr>
        <w:t>sustitución</w:t>
      </w:r>
      <w:r w:rsidR="00D27681" w:rsidRPr="00970CAB">
        <w:rPr>
          <w:rFonts w:ascii="Arial" w:hAnsi="Arial" w:cs="Arial"/>
          <w:color w:val="000000" w:themeColor="text1"/>
          <w:sz w:val="21"/>
          <w:szCs w:val="21"/>
          <w:lang w:val="es-ES_tradnl"/>
        </w:rPr>
        <w:t xml:space="preserve"> de {empleadores} no extingue, suspende ni modifica los contratos de trabajo existentes</w:t>
      </w:r>
      <w:r w:rsidRPr="00970CAB">
        <w:rPr>
          <w:rFonts w:ascii="Arial" w:hAnsi="Arial" w:cs="Arial"/>
          <w:color w:val="000000" w:themeColor="text1"/>
          <w:sz w:val="21"/>
          <w:szCs w:val="21"/>
          <w:lang w:val="es-ES_tradnl"/>
        </w:rPr>
        <w:t xml:space="preserve"> (sic)»</w:t>
      </w:r>
      <w:r w:rsidR="00D27681" w:rsidRPr="00970CAB">
        <w:rPr>
          <w:rFonts w:ascii="Arial" w:hAnsi="Arial" w:cs="Arial"/>
          <w:color w:val="000000" w:themeColor="text1"/>
          <w:sz w:val="21"/>
          <w:szCs w:val="21"/>
          <w:lang w:val="es-ES_tradnl"/>
        </w:rPr>
        <w:t>.</w:t>
      </w:r>
      <w:r w:rsidR="006F64B5" w:rsidRPr="00970CAB">
        <w:rPr>
          <w:rFonts w:ascii="Arial" w:hAnsi="Arial" w:cs="Arial"/>
          <w:color w:val="000000" w:themeColor="text1"/>
          <w:sz w:val="21"/>
          <w:szCs w:val="21"/>
          <w:lang w:val="es-ES_tradnl"/>
        </w:rPr>
        <w:t xml:space="preserve"> </w:t>
      </w:r>
    </w:p>
    <w:p w14:paraId="0EF4AE16" w14:textId="77777777" w:rsidR="00B75972" w:rsidRPr="00970CAB" w:rsidRDefault="00B75972" w:rsidP="001266DB">
      <w:pPr>
        <w:ind w:right="709"/>
        <w:jc w:val="both"/>
        <w:rPr>
          <w:rFonts w:ascii="Arial" w:hAnsi="Arial" w:cs="Arial"/>
          <w:color w:val="000000" w:themeColor="text1"/>
          <w:sz w:val="22"/>
          <w:lang w:val="es-ES_tradnl"/>
        </w:rPr>
      </w:pPr>
    </w:p>
    <w:p w14:paraId="124D2DCA" w14:textId="77777777" w:rsidR="00DD5B04" w:rsidRPr="00970CA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70CAB">
        <w:rPr>
          <w:rFonts w:ascii="Arial" w:eastAsia="Calibri" w:hAnsi="Arial" w:cs="Arial"/>
          <w:b/>
          <w:color w:val="000000" w:themeColor="text1"/>
          <w:sz w:val="22"/>
          <w:lang w:val="es-ES_tradnl"/>
        </w:rPr>
        <w:t>Consideraciones</w:t>
      </w:r>
    </w:p>
    <w:p w14:paraId="7D050D2E" w14:textId="4381E36A" w:rsidR="00435703" w:rsidRPr="00970CAB" w:rsidRDefault="00435703" w:rsidP="00DF76A2">
      <w:pPr>
        <w:spacing w:line="276" w:lineRule="auto"/>
        <w:jc w:val="both"/>
        <w:rPr>
          <w:rFonts w:ascii="Arial" w:eastAsia="Calibri" w:hAnsi="Arial" w:cs="Arial"/>
          <w:color w:val="000000" w:themeColor="text1"/>
          <w:sz w:val="22"/>
          <w:szCs w:val="22"/>
          <w:lang w:val="es-ES_tradnl"/>
        </w:rPr>
      </w:pPr>
    </w:p>
    <w:p w14:paraId="7BBB1CC4" w14:textId="0F4734A2" w:rsidR="009D1D53" w:rsidRPr="00970CAB" w:rsidRDefault="009D1D53" w:rsidP="009D1D53">
      <w:pPr>
        <w:spacing w:line="276" w:lineRule="auto"/>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La Subdirección de Gestión Contractual responderá la consulta, luego de analizar los siguientes temas: i) definición de los criterios de desempate en la contratación estatal, ii)</w:t>
      </w:r>
      <w:r w:rsidR="006401D8" w:rsidRPr="00970CAB">
        <w:rPr>
          <w:rFonts w:ascii="Arial" w:eastAsia="Calibri" w:hAnsi="Arial" w:cs="Arial"/>
          <w:color w:val="000000" w:themeColor="text1"/>
          <w:sz w:val="22"/>
          <w:szCs w:val="22"/>
          <w:lang w:val="es-ES_tradnl"/>
        </w:rPr>
        <w:t xml:space="preserve"> </w:t>
      </w:r>
      <w:r w:rsidRPr="00970CAB">
        <w:rPr>
          <w:rFonts w:ascii="Arial" w:eastAsia="Calibri" w:hAnsi="Arial" w:cs="Arial"/>
          <w:color w:val="000000" w:themeColor="text1"/>
          <w:sz w:val="22"/>
          <w:szCs w:val="22"/>
          <w:lang w:val="es-ES_tradnl"/>
        </w:rPr>
        <w:t>ámbito de aplicación de la Ley 2069 de 2020</w:t>
      </w:r>
      <w:r w:rsidR="006401D8" w:rsidRPr="00970CAB">
        <w:rPr>
          <w:rFonts w:ascii="Arial" w:eastAsia="Calibri" w:hAnsi="Arial" w:cs="Arial"/>
          <w:color w:val="000000" w:themeColor="text1"/>
          <w:sz w:val="22"/>
          <w:szCs w:val="22"/>
          <w:lang w:val="es-ES_tradnl"/>
        </w:rPr>
        <w:t xml:space="preserve">, </w:t>
      </w:r>
      <w:r w:rsidRPr="00970CAB">
        <w:rPr>
          <w:rFonts w:ascii="Arial" w:eastAsia="Calibri" w:hAnsi="Arial" w:cs="Arial"/>
          <w:color w:val="000000" w:themeColor="text1"/>
          <w:sz w:val="22"/>
          <w:szCs w:val="22"/>
          <w:lang w:val="es-ES_tradnl"/>
        </w:rPr>
        <w:t xml:space="preserve">iii) </w:t>
      </w:r>
      <w:r w:rsidR="00D339D4" w:rsidRPr="00970CAB">
        <w:rPr>
          <w:rFonts w:ascii="Arial" w:eastAsia="Calibri" w:hAnsi="Arial" w:cs="Arial"/>
          <w:color w:val="000000" w:themeColor="text1"/>
          <w:sz w:val="22"/>
          <w:szCs w:val="22"/>
          <w:lang w:val="es-ES_tradnl"/>
        </w:rPr>
        <w:t xml:space="preserve">vigencia y </w:t>
      </w:r>
      <w:r w:rsidRPr="00970CAB">
        <w:rPr>
          <w:rFonts w:ascii="Arial" w:eastAsia="Calibri" w:hAnsi="Arial" w:cs="Arial"/>
          <w:color w:val="000000" w:themeColor="text1"/>
          <w:sz w:val="22"/>
          <w:szCs w:val="22"/>
          <w:lang w:val="es-ES_tradnl"/>
        </w:rPr>
        <w:t>forma de acreditación de los factores de desempate consagrados en el artículo 35 de la mencionada Ley</w:t>
      </w:r>
      <w:r w:rsidR="006401D8" w:rsidRPr="00970CAB">
        <w:rPr>
          <w:rFonts w:ascii="Arial" w:eastAsia="Calibri" w:hAnsi="Arial" w:cs="Arial"/>
          <w:color w:val="000000" w:themeColor="text1"/>
          <w:sz w:val="22"/>
          <w:szCs w:val="22"/>
          <w:lang w:val="es-ES_tradnl"/>
        </w:rPr>
        <w:t xml:space="preserve"> y iv) alcance del numeral 4 del referido artículo.</w:t>
      </w:r>
    </w:p>
    <w:p w14:paraId="544B9598" w14:textId="308F92A5" w:rsidR="009D1D53" w:rsidRPr="00970CAB" w:rsidRDefault="009D1D53" w:rsidP="009D1D53">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w:t>
      </w:r>
      <w:r w:rsidR="004064D7" w:rsidRPr="00970CAB">
        <w:rPr>
          <w:rFonts w:ascii="Arial" w:eastAsia="Calibri" w:hAnsi="Arial" w:cs="Arial"/>
          <w:color w:val="000000" w:themeColor="text1"/>
          <w:sz w:val="22"/>
          <w:szCs w:val="22"/>
          <w:lang w:val="es-ES_tradnl"/>
        </w:rPr>
        <w:t xml:space="preserve">estudió los factores de desempate del artículo 35 de la Ley 2069 de 2020 </w:t>
      </w:r>
      <w:r w:rsidRPr="00970CAB">
        <w:rPr>
          <w:rFonts w:ascii="Arial" w:eastAsia="Calibri" w:hAnsi="Arial" w:cs="Arial"/>
          <w:color w:val="000000" w:themeColor="text1"/>
          <w:sz w:val="22"/>
          <w:szCs w:val="22"/>
          <w:lang w:val="es-ES_tradnl"/>
        </w:rPr>
        <w:t>en los conceptos</w:t>
      </w:r>
      <w:r w:rsidR="004064D7" w:rsidRPr="00970CAB">
        <w:rPr>
          <w:rFonts w:ascii="Arial" w:eastAsia="Calibri" w:hAnsi="Arial" w:cs="Arial"/>
          <w:color w:val="000000" w:themeColor="text1"/>
          <w:sz w:val="22"/>
          <w:szCs w:val="22"/>
          <w:lang w:val="es-ES_tradnl"/>
        </w:rPr>
        <w:t xml:space="preserve">: </w:t>
      </w:r>
      <w:r w:rsidR="00FD6609" w:rsidRPr="00970CAB">
        <w:rPr>
          <w:rFonts w:ascii="Arial" w:eastAsia="Calibri" w:hAnsi="Arial" w:cs="Arial"/>
          <w:color w:val="000000" w:themeColor="text1"/>
          <w:sz w:val="22"/>
          <w:szCs w:val="22"/>
          <w:lang w:val="es-ES_tradnl"/>
        </w:rPr>
        <w:t>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w:t>
      </w:r>
      <w:r w:rsidR="002F41C2" w:rsidRPr="00970CAB">
        <w:rPr>
          <w:rFonts w:ascii="Arial" w:eastAsia="Calibri" w:hAnsi="Arial" w:cs="Arial"/>
          <w:color w:val="000000" w:themeColor="text1"/>
          <w:sz w:val="22"/>
          <w:szCs w:val="22"/>
          <w:lang w:val="es-ES_tradnl"/>
        </w:rPr>
        <w:t xml:space="preserve">, </w:t>
      </w:r>
      <w:r w:rsidR="00FD6609" w:rsidRPr="00970CAB">
        <w:rPr>
          <w:rFonts w:ascii="Arial" w:eastAsia="Calibri" w:hAnsi="Arial" w:cs="Arial"/>
          <w:color w:val="000000" w:themeColor="text1"/>
          <w:sz w:val="22"/>
          <w:szCs w:val="22"/>
          <w:lang w:val="es-ES_tradnl"/>
        </w:rPr>
        <w:t>C-221 del 18 de mayo de 2021</w:t>
      </w:r>
      <w:r w:rsidR="002F41C2" w:rsidRPr="00970CAB">
        <w:rPr>
          <w:rFonts w:ascii="Arial" w:eastAsia="Calibri" w:hAnsi="Arial" w:cs="Arial"/>
          <w:color w:val="000000" w:themeColor="text1"/>
          <w:sz w:val="22"/>
          <w:szCs w:val="22"/>
          <w:lang w:val="es-ES_tradnl"/>
        </w:rPr>
        <w:t xml:space="preserve"> y C-320 del </w:t>
      </w:r>
      <w:r w:rsidR="009F6123" w:rsidRPr="00970CAB">
        <w:rPr>
          <w:rFonts w:ascii="Arial" w:eastAsia="Calibri" w:hAnsi="Arial" w:cs="Arial"/>
          <w:color w:val="000000" w:themeColor="text1"/>
          <w:sz w:val="22"/>
          <w:szCs w:val="22"/>
          <w:lang w:val="es-ES_tradnl"/>
        </w:rPr>
        <w:t>1 de julio de 2021</w:t>
      </w:r>
      <w:r w:rsidR="00BA6147" w:rsidRPr="00970CAB">
        <w:rPr>
          <w:rFonts w:ascii="Arial" w:eastAsia="Calibri" w:hAnsi="Arial" w:cs="Arial"/>
          <w:color w:val="000000" w:themeColor="text1"/>
          <w:sz w:val="22"/>
          <w:lang w:val="es-ES_tradnl"/>
        </w:rPr>
        <w:t>.</w:t>
      </w:r>
      <w:r w:rsidR="00FD6609" w:rsidRPr="00970CAB">
        <w:rPr>
          <w:rFonts w:ascii="Arial" w:eastAsia="Calibri" w:hAnsi="Arial" w:cs="Arial"/>
          <w:color w:val="000000" w:themeColor="text1"/>
          <w:sz w:val="22"/>
          <w:lang w:val="es-ES_tradnl"/>
        </w:rPr>
        <w:t xml:space="preserve"> </w:t>
      </w:r>
      <w:r w:rsidRPr="00970CAB">
        <w:rPr>
          <w:rFonts w:ascii="Arial" w:eastAsia="Calibri" w:hAnsi="Arial" w:cs="Arial"/>
          <w:color w:val="000000" w:themeColor="text1"/>
          <w:sz w:val="22"/>
          <w:szCs w:val="22"/>
          <w:lang w:val="es-ES_tradnl"/>
        </w:rPr>
        <w:t>Algunas de las consideraciones de estos conceptos se reiteran a continuación.</w:t>
      </w:r>
    </w:p>
    <w:p w14:paraId="30BF18FD" w14:textId="5251E127" w:rsidR="00095D3C" w:rsidRPr="00970CAB" w:rsidRDefault="00095D3C" w:rsidP="004D1C27">
      <w:pPr>
        <w:spacing w:line="276" w:lineRule="auto"/>
        <w:jc w:val="both"/>
        <w:rPr>
          <w:rFonts w:ascii="Arial" w:eastAsia="Calibri" w:hAnsi="Arial" w:cs="Arial"/>
          <w:b/>
          <w:color w:val="000000" w:themeColor="text1"/>
          <w:sz w:val="22"/>
          <w:lang w:val="es-ES_tradnl"/>
        </w:rPr>
      </w:pPr>
    </w:p>
    <w:p w14:paraId="2C11ECBF" w14:textId="77777777" w:rsidR="0000500B" w:rsidRPr="00970CAB" w:rsidRDefault="0000500B" w:rsidP="0000500B">
      <w:pPr>
        <w:spacing w:line="276" w:lineRule="auto"/>
        <w:jc w:val="both"/>
        <w:rPr>
          <w:rFonts w:ascii="Arial" w:eastAsia="Calibri" w:hAnsi="Arial" w:cs="Arial"/>
          <w:b/>
          <w:bCs/>
          <w:color w:val="000000" w:themeColor="text1"/>
          <w:sz w:val="22"/>
          <w:szCs w:val="22"/>
          <w:lang w:val="es-ES_tradnl"/>
        </w:rPr>
      </w:pPr>
      <w:r w:rsidRPr="00970CAB">
        <w:rPr>
          <w:rFonts w:ascii="Arial" w:eastAsia="Calibri" w:hAnsi="Arial" w:cs="Arial"/>
          <w:b/>
          <w:bCs/>
          <w:color w:val="000000" w:themeColor="text1"/>
          <w:sz w:val="22"/>
          <w:szCs w:val="22"/>
          <w:lang w:val="es-ES_tradnl"/>
        </w:rPr>
        <w:t>2.1. Factores de desempate en la contratación estatal: concepto y características</w:t>
      </w:r>
    </w:p>
    <w:p w14:paraId="46B41382" w14:textId="77777777" w:rsidR="0000500B" w:rsidRPr="00970CAB" w:rsidRDefault="0000500B" w:rsidP="0000500B">
      <w:pPr>
        <w:spacing w:line="276" w:lineRule="auto"/>
        <w:jc w:val="both"/>
        <w:rPr>
          <w:rFonts w:ascii="Arial" w:eastAsia="Calibri" w:hAnsi="Arial" w:cs="Arial"/>
          <w:color w:val="000000" w:themeColor="text1"/>
          <w:sz w:val="22"/>
          <w:szCs w:val="22"/>
          <w:lang w:val="es-ES_tradnl"/>
        </w:rPr>
      </w:pPr>
    </w:p>
    <w:p w14:paraId="055D3DF1" w14:textId="1E1AE0FD" w:rsidR="0000500B" w:rsidRPr="00970CAB" w:rsidRDefault="0000500B" w:rsidP="0000500B">
      <w:pPr>
        <w:spacing w:line="276" w:lineRule="auto"/>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w:t>
      </w:r>
      <w:r w:rsidRPr="00970CAB">
        <w:rPr>
          <w:rFonts w:ascii="Arial" w:eastAsia="Calibri" w:hAnsi="Arial" w:cs="Arial"/>
          <w:color w:val="000000" w:themeColor="text1"/>
          <w:sz w:val="22"/>
          <w:szCs w:val="22"/>
          <w:lang w:val="es-ES_tradnl"/>
        </w:rPr>
        <w:lastRenderedPageBreak/>
        <w:t xml:space="preserve">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970CAB">
        <w:rPr>
          <w:rFonts w:ascii="Arial" w:eastAsia="Calibri" w:hAnsi="Arial" w:cs="Arial"/>
          <w:color w:val="000000" w:themeColor="text1"/>
          <w:sz w:val="22"/>
          <w:szCs w:val="22"/>
          <w:lang w:val="es-ES_tradnl"/>
        </w:rPr>
        <w:t>equivalentes,</w:t>
      </w:r>
      <w:proofErr w:type="gramEnd"/>
      <w:r w:rsidRPr="00970CAB">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651E069D" w14:textId="07939F1A" w:rsidR="0000500B" w:rsidRPr="00970CAB"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536902" w:rsidRPr="00970CAB">
        <w:rPr>
          <w:rFonts w:ascii="Arial" w:eastAsia="Calibri" w:hAnsi="Arial" w:cs="Arial"/>
          <w:color w:val="000000" w:themeColor="text1"/>
          <w:sz w:val="22"/>
          <w:szCs w:val="22"/>
          <w:lang w:val="es-ES_tradnl"/>
        </w:rPr>
        <w:t xml:space="preserve">materializar </w:t>
      </w:r>
      <w:r w:rsidRPr="00970CAB">
        <w:rPr>
          <w:rFonts w:ascii="Arial" w:eastAsia="Calibri" w:hAnsi="Arial"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001B3624" w:rsidRPr="00970CAB">
        <w:rPr>
          <w:rFonts w:ascii="Arial" w:eastAsia="Calibri" w:hAnsi="Arial" w:cs="Arial"/>
          <w:color w:val="000000" w:themeColor="text1"/>
          <w:sz w:val="22"/>
          <w:szCs w:val="22"/>
          <w:lang w:val="es-ES_tradnl"/>
        </w:rPr>
        <w:t>adecuados</w:t>
      </w:r>
      <w:r w:rsidRPr="00970CAB">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36902" w:rsidRPr="00970CAB">
        <w:rPr>
          <w:rFonts w:ascii="Arial" w:eastAsia="Calibri" w:hAnsi="Arial" w:cs="Arial"/>
          <w:color w:val="000000" w:themeColor="text1"/>
          <w:sz w:val="22"/>
          <w:szCs w:val="22"/>
          <w:lang w:val="es-ES_tradnl"/>
        </w:rPr>
        <w:t>equivalente</w:t>
      </w:r>
      <w:r w:rsidRPr="00970CAB">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0A698A7" w14:textId="77777777" w:rsidR="00B0749C" w:rsidRPr="00970CAB"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970CAB">
        <w:rPr>
          <w:rStyle w:val="Refdenotaalpie"/>
          <w:rFonts w:ascii="Arial" w:hAnsi="Arial" w:cs="Arial"/>
          <w:color w:val="000000" w:themeColor="text1"/>
          <w:sz w:val="21"/>
          <w:szCs w:val="21"/>
          <w:lang w:val="es-ES_tradnl"/>
        </w:rPr>
        <w:footnoteReference w:id="2"/>
      </w:r>
      <w:r w:rsidRPr="00970CAB">
        <w:rPr>
          <w:rFonts w:ascii="Arial" w:eastAsia="Calibri" w:hAnsi="Arial" w:cs="Arial"/>
          <w:color w:val="000000" w:themeColor="text1"/>
          <w:sz w:val="22"/>
          <w:szCs w:val="22"/>
          <w:lang w:val="es-ES_tradnl"/>
        </w:rPr>
        <w:t xml:space="preserve">. </w:t>
      </w:r>
    </w:p>
    <w:p w14:paraId="223B25B2" w14:textId="77777777" w:rsidR="00B0749C" w:rsidRPr="00970CAB"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970CAB">
        <w:rPr>
          <w:rFonts w:ascii="Arial" w:eastAsia="Calibri" w:hAnsi="Arial" w:cs="Arial"/>
          <w:color w:val="000000" w:themeColor="text1"/>
          <w:sz w:val="22"/>
          <w:szCs w:val="22"/>
          <w:lang w:val="es-ES_tradnl"/>
        </w:rPr>
        <w:t>inaplicarlos</w:t>
      </w:r>
      <w:proofErr w:type="spellEnd"/>
      <w:r w:rsidRPr="00970CAB">
        <w:rPr>
          <w:rFonts w:ascii="Arial" w:eastAsia="Calibri" w:hAnsi="Arial" w:cs="Arial"/>
          <w:color w:val="000000" w:themeColor="text1"/>
          <w:sz w:val="22"/>
          <w:szCs w:val="22"/>
          <w:lang w:val="es-ES_tradnl"/>
        </w:rPr>
        <w:t xml:space="preserve">, porque ello podría vulnerar el principio de igualdad, especialmente, cuando algunos de estos criterios </w:t>
      </w:r>
      <w:r w:rsidRPr="00970CAB">
        <w:rPr>
          <w:rFonts w:ascii="Arial" w:eastAsia="Calibri" w:hAnsi="Arial" w:cs="Arial"/>
          <w:color w:val="000000" w:themeColor="text1"/>
          <w:sz w:val="22"/>
          <w:szCs w:val="22"/>
          <w:lang w:val="es-ES_tradnl"/>
        </w:rPr>
        <w:lastRenderedPageBreak/>
        <w:t>surgen como acciones afirmativas para ciertos sectores de la población</w:t>
      </w:r>
      <w:r w:rsidRPr="00970CAB">
        <w:rPr>
          <w:rStyle w:val="Refdenotaalpie"/>
          <w:rFonts w:ascii="Arial" w:eastAsia="Calibri" w:hAnsi="Arial" w:cs="Arial"/>
          <w:color w:val="000000" w:themeColor="text1"/>
          <w:sz w:val="22"/>
          <w:szCs w:val="22"/>
          <w:lang w:val="es-ES_tradnl"/>
        </w:rPr>
        <w:footnoteReference w:id="3"/>
      </w:r>
      <w:r w:rsidRPr="00970CAB">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970CAB">
        <w:rPr>
          <w:rStyle w:val="Refdenotaalpie"/>
          <w:rFonts w:ascii="Arial" w:eastAsia="Calibri" w:hAnsi="Arial" w:cs="Arial"/>
          <w:color w:val="000000" w:themeColor="text1"/>
          <w:sz w:val="22"/>
          <w:szCs w:val="22"/>
          <w:lang w:val="es-ES_tradnl"/>
        </w:rPr>
        <w:footnoteReference w:id="4"/>
      </w:r>
      <w:r w:rsidRPr="00970CAB">
        <w:rPr>
          <w:rFonts w:ascii="Arial" w:eastAsia="Calibri" w:hAnsi="Arial" w:cs="Arial"/>
          <w:color w:val="000000" w:themeColor="text1"/>
          <w:sz w:val="22"/>
          <w:szCs w:val="22"/>
          <w:lang w:val="es-ES_tradnl"/>
        </w:rPr>
        <w:t>.</w:t>
      </w:r>
    </w:p>
    <w:p w14:paraId="4CF237CD" w14:textId="77777777" w:rsidR="0000500B" w:rsidRPr="00970CAB"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Ahora bien, en cumplimiento de los principios de reciprocidad y de </w:t>
      </w:r>
      <w:r w:rsidRPr="00970CAB">
        <w:rPr>
          <w:rFonts w:ascii="Arial" w:eastAsia="Calibri" w:hAnsi="Arial" w:cs="Arial"/>
          <w:i/>
          <w:iCs/>
          <w:color w:val="000000" w:themeColor="text1"/>
          <w:sz w:val="22"/>
          <w:szCs w:val="22"/>
          <w:lang w:val="es-ES_tradnl"/>
        </w:rPr>
        <w:t xml:space="preserve">pacta </w:t>
      </w:r>
      <w:proofErr w:type="spellStart"/>
      <w:r w:rsidRPr="00970CAB">
        <w:rPr>
          <w:rFonts w:ascii="Arial" w:eastAsia="Calibri" w:hAnsi="Arial" w:cs="Arial"/>
          <w:i/>
          <w:iCs/>
          <w:color w:val="000000" w:themeColor="text1"/>
          <w:sz w:val="22"/>
          <w:szCs w:val="22"/>
          <w:lang w:val="es-ES_tradnl"/>
        </w:rPr>
        <w:t>sunt</w:t>
      </w:r>
      <w:proofErr w:type="spellEnd"/>
      <w:r w:rsidRPr="00970CAB">
        <w:rPr>
          <w:rFonts w:ascii="Arial" w:eastAsia="Calibri" w:hAnsi="Arial" w:cs="Arial"/>
          <w:i/>
          <w:iCs/>
          <w:color w:val="000000" w:themeColor="text1"/>
          <w:sz w:val="22"/>
          <w:szCs w:val="22"/>
          <w:lang w:val="es-ES_tradnl"/>
        </w:rPr>
        <w:t xml:space="preserve"> </w:t>
      </w:r>
      <w:proofErr w:type="spellStart"/>
      <w:r w:rsidRPr="00970CAB">
        <w:rPr>
          <w:rFonts w:ascii="Arial" w:eastAsia="Calibri" w:hAnsi="Arial" w:cs="Arial"/>
          <w:i/>
          <w:iCs/>
          <w:color w:val="000000" w:themeColor="text1"/>
          <w:sz w:val="22"/>
          <w:szCs w:val="22"/>
          <w:lang w:val="es-ES_tradnl"/>
        </w:rPr>
        <w:t>servanda</w:t>
      </w:r>
      <w:proofErr w:type="spellEnd"/>
      <w:r w:rsidRPr="00970CAB">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3539568" w14:textId="77777777" w:rsidR="0000500B" w:rsidRPr="00970CAB" w:rsidRDefault="0000500B" w:rsidP="0000500B">
      <w:pPr>
        <w:spacing w:line="276" w:lineRule="auto"/>
        <w:rPr>
          <w:rFonts w:ascii="Arial" w:eastAsia="Calibri" w:hAnsi="Arial" w:cs="Arial"/>
          <w:color w:val="000000" w:themeColor="text1"/>
          <w:sz w:val="22"/>
          <w:szCs w:val="22"/>
          <w:lang w:val="es-ES_tradnl"/>
        </w:rPr>
      </w:pPr>
    </w:p>
    <w:p w14:paraId="389779C5" w14:textId="22E24AB8" w:rsidR="0000500B" w:rsidRPr="00970CAB" w:rsidRDefault="0000500B" w:rsidP="0000500B">
      <w:pPr>
        <w:spacing w:line="276" w:lineRule="auto"/>
        <w:jc w:val="both"/>
        <w:rPr>
          <w:rFonts w:ascii="Arial" w:eastAsia="Calibri" w:hAnsi="Arial" w:cs="Arial"/>
          <w:b/>
          <w:bCs/>
          <w:color w:val="000000" w:themeColor="text1"/>
          <w:sz w:val="22"/>
          <w:szCs w:val="22"/>
          <w:lang w:val="es-ES_tradnl"/>
        </w:rPr>
      </w:pPr>
      <w:r w:rsidRPr="00970CAB">
        <w:rPr>
          <w:rFonts w:ascii="Arial" w:eastAsia="Calibri" w:hAnsi="Arial" w:cs="Arial"/>
          <w:b/>
          <w:bCs/>
          <w:color w:val="000000" w:themeColor="text1"/>
          <w:sz w:val="22"/>
          <w:szCs w:val="22"/>
          <w:lang w:val="es-ES_tradnl"/>
        </w:rPr>
        <w:t xml:space="preserve">2.2. </w:t>
      </w:r>
      <w:r w:rsidR="006401D8" w:rsidRPr="00970CAB">
        <w:rPr>
          <w:rFonts w:ascii="Arial" w:eastAsia="Calibri" w:hAnsi="Arial" w:cs="Arial"/>
          <w:b/>
          <w:bCs/>
          <w:color w:val="000000" w:themeColor="text1"/>
          <w:sz w:val="22"/>
          <w:szCs w:val="22"/>
          <w:lang w:val="es-ES_tradnl"/>
        </w:rPr>
        <w:t>Á</w:t>
      </w:r>
      <w:r w:rsidRPr="00970CAB">
        <w:rPr>
          <w:rFonts w:ascii="Arial" w:eastAsia="Calibri" w:hAnsi="Arial" w:cs="Arial"/>
          <w:b/>
          <w:bCs/>
          <w:color w:val="000000" w:themeColor="text1"/>
          <w:sz w:val="22"/>
          <w:szCs w:val="22"/>
          <w:lang w:val="es-ES_tradnl"/>
        </w:rPr>
        <w:t>mbito de aplicación de la Ley 2069 de 2020</w:t>
      </w:r>
    </w:p>
    <w:p w14:paraId="26273CE2" w14:textId="77777777" w:rsidR="0000500B" w:rsidRPr="00970CAB" w:rsidRDefault="0000500B" w:rsidP="0000500B">
      <w:pPr>
        <w:spacing w:line="276" w:lineRule="auto"/>
        <w:jc w:val="both"/>
        <w:rPr>
          <w:rFonts w:ascii="Arial" w:eastAsia="Calibri" w:hAnsi="Arial" w:cs="Arial"/>
          <w:color w:val="000000" w:themeColor="text1"/>
          <w:sz w:val="22"/>
          <w:szCs w:val="22"/>
          <w:lang w:val="es-ES_tradnl"/>
        </w:rPr>
      </w:pPr>
    </w:p>
    <w:p w14:paraId="4A576B10" w14:textId="7A49C031" w:rsidR="0000500B" w:rsidRPr="00970CAB" w:rsidRDefault="0000500B" w:rsidP="0000500B">
      <w:pPr>
        <w:spacing w:line="276" w:lineRule="auto"/>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w:t>
      </w:r>
      <w:proofErr w:type="spellStart"/>
      <w:r w:rsidR="00136E3B" w:rsidRPr="00970CAB">
        <w:rPr>
          <w:rFonts w:ascii="Arial" w:eastAsia="Calibri" w:hAnsi="Arial" w:cs="Arial"/>
          <w:i/>
          <w:iCs/>
          <w:color w:val="000000" w:themeColor="text1"/>
          <w:sz w:val="22"/>
          <w:szCs w:val="22"/>
          <w:lang w:val="es-ES_tradnl"/>
        </w:rPr>
        <w:t>ibidem</w:t>
      </w:r>
      <w:proofErr w:type="spellEnd"/>
      <w:r w:rsidRPr="00970CAB">
        <w:rPr>
          <w:rFonts w:ascii="Arial" w:eastAsia="Calibri" w:hAnsi="Arial" w:cs="Arial"/>
          <w:color w:val="000000" w:themeColor="text1"/>
          <w:sz w:val="22"/>
          <w:szCs w:val="22"/>
          <w:lang w:val="es-ES_tradnl"/>
        </w:rPr>
        <w:t>,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6B33129" w14:textId="7A5F0079" w:rsidR="0000500B" w:rsidRPr="00970CAB" w:rsidRDefault="0000500B" w:rsidP="00F94206">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En cuan</w:t>
      </w:r>
      <w:r w:rsidR="00536902" w:rsidRPr="00970CAB">
        <w:rPr>
          <w:rFonts w:ascii="Arial" w:eastAsia="Calibri" w:hAnsi="Arial" w:cs="Arial"/>
          <w:color w:val="000000" w:themeColor="text1"/>
          <w:sz w:val="22"/>
          <w:szCs w:val="22"/>
          <w:lang w:val="es-ES_tradnl"/>
        </w:rPr>
        <w:t>t</w:t>
      </w:r>
      <w:r w:rsidRPr="00970CAB">
        <w:rPr>
          <w:rFonts w:ascii="Arial" w:eastAsia="Calibri" w:hAnsi="Arial" w:cs="Arial"/>
          <w:color w:val="000000" w:themeColor="text1"/>
          <w:sz w:val="22"/>
          <w:szCs w:val="22"/>
          <w:lang w:val="es-ES_tradnl"/>
        </w:rPr>
        <w:t xml:space="preserve">o </w:t>
      </w:r>
      <w:r w:rsidR="00F94206" w:rsidRPr="00970CAB">
        <w:rPr>
          <w:rFonts w:ascii="Arial" w:eastAsia="Calibri" w:hAnsi="Arial" w:cs="Arial"/>
          <w:color w:val="000000" w:themeColor="text1"/>
          <w:sz w:val="22"/>
          <w:szCs w:val="22"/>
          <w:lang w:val="es-ES_tradnl"/>
        </w:rPr>
        <w:t xml:space="preserve">al </w:t>
      </w:r>
      <w:r w:rsidRPr="00970CAB">
        <w:rPr>
          <w:rFonts w:ascii="Arial" w:eastAsia="Calibri" w:hAnsi="Arial" w:cs="Arial"/>
          <w:color w:val="000000" w:themeColor="text1"/>
          <w:sz w:val="22"/>
          <w:szCs w:val="22"/>
          <w:lang w:val="es-ES_tradnl"/>
        </w:rPr>
        <w:t>contenido</w:t>
      </w:r>
      <w:r w:rsidR="00F94206" w:rsidRPr="00970CAB">
        <w:rPr>
          <w:rFonts w:ascii="Arial" w:eastAsia="Calibri" w:hAnsi="Arial" w:cs="Arial"/>
          <w:color w:val="000000" w:themeColor="text1"/>
          <w:sz w:val="22"/>
          <w:szCs w:val="22"/>
          <w:lang w:val="es-ES_tradnl"/>
        </w:rPr>
        <w:t xml:space="preserve"> de la Ley 2069 de 2020</w:t>
      </w:r>
      <w:r w:rsidRPr="00970CAB">
        <w:rPr>
          <w:rFonts w:ascii="Arial" w:eastAsia="Calibri" w:hAnsi="Arial" w:cs="Arial"/>
          <w:color w:val="000000" w:themeColor="text1"/>
          <w:sz w:val="22"/>
          <w:szCs w:val="22"/>
          <w:lang w:val="es-ES_tradnl"/>
        </w:rPr>
        <w:t xml:space="preserv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970CAB">
        <w:rPr>
          <w:rFonts w:ascii="Arial" w:eastAsia="Calibri" w:hAnsi="Arial" w:cs="Arial"/>
          <w:color w:val="000000" w:themeColor="text1"/>
          <w:sz w:val="22"/>
          <w:szCs w:val="22"/>
          <w:lang w:val="es-ES_tradnl"/>
        </w:rPr>
        <w:t>de acuerdo a</w:t>
      </w:r>
      <w:proofErr w:type="gramEnd"/>
      <w:r w:rsidRPr="00970CAB">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970CAB">
        <w:rPr>
          <w:rFonts w:ascii="Arial" w:eastAsia="Calibri" w:hAnsi="Arial" w:cs="Arial"/>
          <w:color w:val="000000" w:themeColor="text1"/>
          <w:sz w:val="22"/>
          <w:szCs w:val="22"/>
          <w:lang w:val="es-ES_tradnl"/>
        </w:rPr>
        <w:t>mipymes</w:t>
      </w:r>
      <w:proofErr w:type="spellEnd"/>
      <w:r w:rsidRPr="00970CAB">
        <w:rPr>
          <w:rFonts w:ascii="Arial" w:eastAsia="Calibri" w:hAnsi="Arial" w:cs="Arial"/>
          <w:color w:val="000000" w:themeColor="text1"/>
          <w:sz w:val="22"/>
          <w:szCs w:val="22"/>
          <w:lang w:val="es-ES_tradnl"/>
        </w:rPr>
        <w:t>–, mediante la racionalización y simplificación de los trámites y tarifas</w:t>
      </w:r>
      <w:r w:rsidRPr="00970CAB">
        <w:rPr>
          <w:rStyle w:val="Refdenotaalpie"/>
          <w:rFonts w:ascii="Arial" w:eastAsia="Calibri" w:hAnsi="Arial" w:cs="Arial"/>
          <w:color w:val="000000" w:themeColor="text1"/>
          <w:sz w:val="22"/>
          <w:szCs w:val="22"/>
          <w:lang w:val="es-ES_tradnl"/>
        </w:rPr>
        <w:footnoteReference w:id="5"/>
      </w:r>
      <w:r w:rsidRPr="00970CAB">
        <w:rPr>
          <w:rFonts w:ascii="Arial" w:eastAsia="Calibri" w:hAnsi="Arial" w:cs="Arial"/>
          <w:color w:val="000000" w:themeColor="text1"/>
          <w:sz w:val="22"/>
          <w:szCs w:val="22"/>
          <w:lang w:val="es-ES_tradnl"/>
        </w:rPr>
        <w:t>, así como incentivos a favor de aquellas dentro del sistema de compras y contratación pública</w:t>
      </w:r>
      <w:r w:rsidRPr="00970CAB">
        <w:rPr>
          <w:rStyle w:val="Refdenotaalpie"/>
          <w:rFonts w:ascii="Arial" w:eastAsia="Calibri" w:hAnsi="Arial" w:cs="Arial"/>
          <w:color w:val="000000" w:themeColor="text1"/>
          <w:sz w:val="22"/>
          <w:szCs w:val="22"/>
          <w:lang w:val="es-ES_tradnl"/>
        </w:rPr>
        <w:footnoteReference w:id="6"/>
      </w:r>
      <w:r w:rsidRPr="00970CAB">
        <w:rPr>
          <w:rFonts w:ascii="Arial" w:eastAsia="Calibri" w:hAnsi="Arial" w:cs="Arial"/>
          <w:color w:val="000000" w:themeColor="text1"/>
          <w:sz w:val="22"/>
          <w:szCs w:val="22"/>
          <w:lang w:val="es-ES_tradnl"/>
        </w:rPr>
        <w:t xml:space="preserve">. </w:t>
      </w:r>
      <w:r w:rsidRPr="00970CAB">
        <w:rPr>
          <w:rFonts w:ascii="Arial" w:eastAsia="Calibri" w:hAnsi="Arial" w:cs="Arial"/>
          <w:color w:val="000000" w:themeColor="text1"/>
          <w:sz w:val="22"/>
          <w:szCs w:val="22"/>
          <w:lang w:val="es-ES_tradnl"/>
        </w:rPr>
        <w:lastRenderedPageBreak/>
        <w:t>También se consagran mecanismos de acceso al financiamiento</w:t>
      </w:r>
      <w:r w:rsidRPr="00970CAB">
        <w:rPr>
          <w:rStyle w:val="Refdenotaalpie"/>
          <w:rFonts w:ascii="Arial" w:eastAsia="Calibri" w:hAnsi="Arial" w:cs="Arial"/>
          <w:color w:val="000000" w:themeColor="text1"/>
          <w:sz w:val="22"/>
          <w:szCs w:val="22"/>
          <w:lang w:val="es-ES_tradnl"/>
        </w:rPr>
        <w:footnoteReference w:id="7"/>
      </w:r>
      <w:r w:rsidRPr="00970CAB">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970CAB">
        <w:rPr>
          <w:rStyle w:val="Refdenotaalpie"/>
          <w:rFonts w:ascii="Arial" w:eastAsia="Calibri" w:hAnsi="Arial" w:cs="Arial"/>
          <w:color w:val="000000" w:themeColor="text1"/>
          <w:sz w:val="22"/>
          <w:szCs w:val="22"/>
          <w:lang w:val="es-ES_tradnl"/>
        </w:rPr>
        <w:footnoteReference w:id="8"/>
      </w:r>
      <w:r w:rsidRPr="00970CAB">
        <w:rPr>
          <w:rFonts w:ascii="Arial" w:eastAsia="Calibri" w:hAnsi="Arial" w:cs="Arial"/>
          <w:color w:val="000000" w:themeColor="text1"/>
          <w:sz w:val="22"/>
          <w:szCs w:val="22"/>
          <w:lang w:val="es-ES_tradnl"/>
        </w:rPr>
        <w:t xml:space="preserve"> y se prevén medidas de educación para el emprendimiento y la innovación</w:t>
      </w:r>
      <w:r w:rsidRPr="00970CAB">
        <w:rPr>
          <w:rStyle w:val="Refdenotaalpie"/>
          <w:rFonts w:ascii="Arial" w:eastAsia="Calibri" w:hAnsi="Arial" w:cs="Arial"/>
          <w:color w:val="000000" w:themeColor="text1"/>
          <w:sz w:val="22"/>
          <w:szCs w:val="22"/>
          <w:lang w:val="es-ES_tradnl"/>
        </w:rPr>
        <w:footnoteReference w:id="9"/>
      </w:r>
      <w:r w:rsidRPr="00970CAB">
        <w:rPr>
          <w:rFonts w:ascii="Arial" w:eastAsia="Calibri" w:hAnsi="Arial" w:cs="Arial"/>
          <w:color w:val="000000" w:themeColor="text1"/>
          <w:sz w:val="22"/>
          <w:szCs w:val="22"/>
          <w:lang w:val="es-ES_tradnl"/>
        </w:rPr>
        <w:t>.</w:t>
      </w:r>
    </w:p>
    <w:p w14:paraId="7371BE65" w14:textId="77777777" w:rsidR="0000500B" w:rsidRPr="00970CAB"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70CAB">
        <w:rPr>
          <w:rFonts w:ascii="Arial" w:eastAsia="Calibri" w:hAnsi="Arial" w:cs="Arial"/>
          <w:color w:val="000000" w:themeColor="text1"/>
          <w:sz w:val="22"/>
          <w:szCs w:val="22"/>
          <w:lang w:val="es-ES_tradnl"/>
        </w:rPr>
        <w:t>mipymes</w:t>
      </w:r>
      <w:proofErr w:type="spellEnd"/>
      <w:r w:rsidRPr="00970CAB">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970CAB">
        <w:rPr>
          <w:rFonts w:ascii="Arial" w:eastAsia="Calibri" w:hAnsi="Arial" w:cs="Arial"/>
          <w:color w:val="000000" w:themeColor="text1"/>
          <w:sz w:val="22"/>
          <w:szCs w:val="22"/>
          <w:lang w:val="es-ES_tradnl"/>
        </w:rPr>
        <w:t>mipymes</w:t>
      </w:r>
      <w:proofErr w:type="spellEnd"/>
      <w:r w:rsidRPr="00970CAB">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970CAB">
        <w:rPr>
          <w:rFonts w:ascii="Arial" w:eastAsia="Calibri" w:hAnsi="Arial" w:cs="Arial"/>
          <w:color w:val="000000" w:themeColor="text1"/>
          <w:sz w:val="22"/>
          <w:szCs w:val="22"/>
          <w:lang w:val="es-ES_tradnl"/>
        </w:rPr>
        <w:t>mipymes</w:t>
      </w:r>
      <w:proofErr w:type="spellEnd"/>
      <w:r w:rsidRPr="00970CAB">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proofErr w:type="gramStart"/>
      <w:r w:rsidRPr="00970CAB">
        <w:rPr>
          <w:rFonts w:ascii="Arial" w:eastAsia="Calibri" w:hAnsi="Arial" w:cs="Arial"/>
          <w:color w:val="000000" w:themeColor="text1"/>
          <w:sz w:val="22"/>
          <w:szCs w:val="22"/>
          <w:lang w:val="es-ES_tradnl"/>
        </w:rPr>
        <w:t>continuación</w:t>
      </w:r>
      <w:proofErr w:type="gramEnd"/>
      <w:r w:rsidRPr="00970CAB">
        <w:rPr>
          <w:rFonts w:ascii="Arial" w:eastAsia="Calibri" w:hAnsi="Arial" w:cs="Arial"/>
          <w:color w:val="000000" w:themeColor="text1"/>
          <w:sz w:val="22"/>
          <w:szCs w:val="22"/>
          <w:lang w:val="es-ES_tradnl"/>
        </w:rPr>
        <w:t xml:space="preserve"> se estudiará el contenido y alcance de dicha norma.  </w:t>
      </w:r>
    </w:p>
    <w:p w14:paraId="6DA213FC" w14:textId="77777777" w:rsidR="0000500B" w:rsidRPr="00970CAB" w:rsidRDefault="0000500B" w:rsidP="0000500B">
      <w:pPr>
        <w:spacing w:line="276" w:lineRule="auto"/>
        <w:jc w:val="both"/>
        <w:rPr>
          <w:rFonts w:ascii="Arial" w:eastAsia="Calibri" w:hAnsi="Arial" w:cs="Arial"/>
          <w:color w:val="000000" w:themeColor="text1"/>
          <w:sz w:val="22"/>
          <w:szCs w:val="22"/>
          <w:lang w:val="es-ES_tradnl"/>
        </w:rPr>
      </w:pPr>
    </w:p>
    <w:p w14:paraId="2B848175" w14:textId="00D811E8" w:rsidR="00473A2E" w:rsidRPr="00970CAB" w:rsidRDefault="00473A2E" w:rsidP="00473A2E">
      <w:pPr>
        <w:spacing w:line="276" w:lineRule="auto"/>
        <w:jc w:val="both"/>
        <w:rPr>
          <w:rFonts w:ascii="Arial" w:eastAsia="Calibri" w:hAnsi="Arial" w:cs="Arial"/>
          <w:b/>
          <w:bCs/>
          <w:color w:val="000000" w:themeColor="text1"/>
          <w:sz w:val="22"/>
          <w:szCs w:val="22"/>
          <w:lang w:val="es-ES_tradnl"/>
        </w:rPr>
      </w:pPr>
      <w:r w:rsidRPr="00970CAB">
        <w:rPr>
          <w:rFonts w:ascii="Arial" w:eastAsia="Calibri" w:hAnsi="Arial" w:cs="Arial"/>
          <w:b/>
          <w:bCs/>
          <w:color w:val="000000" w:themeColor="text1"/>
          <w:sz w:val="22"/>
          <w:szCs w:val="22"/>
          <w:lang w:val="es-ES_tradnl"/>
        </w:rPr>
        <w:t xml:space="preserve">2.3. </w:t>
      </w:r>
      <w:r w:rsidR="009E02D9" w:rsidRPr="00970CAB">
        <w:rPr>
          <w:rFonts w:ascii="Arial" w:eastAsia="Calibri" w:hAnsi="Arial" w:cs="Arial"/>
          <w:b/>
          <w:bCs/>
          <w:color w:val="000000" w:themeColor="text1"/>
          <w:sz w:val="22"/>
          <w:szCs w:val="22"/>
          <w:lang w:val="es-ES_tradnl"/>
        </w:rPr>
        <w:t>Vigencia y f</w:t>
      </w:r>
      <w:r w:rsidRPr="00970CAB">
        <w:rPr>
          <w:rFonts w:ascii="Arial" w:eastAsia="Calibri" w:hAnsi="Arial" w:cs="Arial"/>
          <w:b/>
          <w:bCs/>
          <w:color w:val="000000" w:themeColor="text1"/>
          <w:sz w:val="22"/>
          <w:szCs w:val="22"/>
          <w:lang w:val="es-ES_tradnl"/>
        </w:rPr>
        <w:t>orma de acreditación de los factores de desempate consagrados en el artículo 35 de la Ley 2069 de 2020</w:t>
      </w:r>
    </w:p>
    <w:p w14:paraId="15672F50" w14:textId="77777777" w:rsidR="00473A2E" w:rsidRPr="00970CAB" w:rsidRDefault="00473A2E" w:rsidP="00473A2E">
      <w:pPr>
        <w:spacing w:line="276" w:lineRule="auto"/>
        <w:jc w:val="both"/>
        <w:rPr>
          <w:rFonts w:ascii="Arial" w:eastAsia="Calibri" w:hAnsi="Arial" w:cs="Arial"/>
          <w:color w:val="000000" w:themeColor="text1"/>
          <w:sz w:val="22"/>
          <w:szCs w:val="22"/>
          <w:lang w:val="es-ES_tradnl"/>
        </w:rPr>
      </w:pPr>
    </w:p>
    <w:p w14:paraId="328EC051" w14:textId="6815A44C" w:rsidR="00473A2E" w:rsidRPr="00970CAB" w:rsidRDefault="00473A2E" w:rsidP="00473A2E">
      <w:pPr>
        <w:spacing w:line="276" w:lineRule="auto"/>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D512A1" w:rsidRPr="00970CAB">
        <w:rPr>
          <w:rFonts w:ascii="Arial" w:eastAsia="Calibri" w:hAnsi="Arial" w:cs="Arial"/>
          <w:color w:val="000000" w:themeColor="text1"/>
          <w:sz w:val="22"/>
          <w:szCs w:val="22"/>
          <w:lang w:val="es-ES_tradnl"/>
        </w:rPr>
        <w:t xml:space="preserve">algunos apartes normativos </w:t>
      </w:r>
      <w:r w:rsidR="00775DEC" w:rsidRPr="00970CAB">
        <w:rPr>
          <w:rFonts w:ascii="Arial" w:eastAsia="Calibri" w:hAnsi="Arial" w:cs="Arial"/>
          <w:color w:val="000000" w:themeColor="text1"/>
          <w:sz w:val="22"/>
          <w:szCs w:val="22"/>
          <w:lang w:val="es-ES_tradnl"/>
        </w:rPr>
        <w:t xml:space="preserve">de </w:t>
      </w:r>
      <w:r w:rsidRPr="00970CAB">
        <w:rPr>
          <w:rFonts w:ascii="Arial" w:eastAsia="Calibri" w:hAnsi="Arial" w:cs="Arial"/>
          <w:color w:val="000000" w:themeColor="text1"/>
          <w:sz w:val="22"/>
          <w:szCs w:val="22"/>
          <w:lang w:val="es-ES_tradnl"/>
        </w:rPr>
        <w:t>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2974BC5E" w14:textId="77777777" w:rsidR="00473A2E" w:rsidRPr="00970CAB"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w:t>
      </w:r>
      <w:r w:rsidRPr="00970CAB">
        <w:rPr>
          <w:rFonts w:ascii="Arial" w:eastAsia="Calibri" w:hAnsi="Arial" w:cs="Arial"/>
          <w:color w:val="000000" w:themeColor="text1"/>
          <w:sz w:val="22"/>
          <w:szCs w:val="22"/>
          <w:lang w:val="es-ES_tradnl"/>
        </w:rPr>
        <w:lastRenderedPageBreak/>
        <w:t xml:space="preserve">la Ley bajo análisis establecen un mandato de reglamentación, dirigido al gobierno nacional, como condición para aplicar lo dispuesto en dicha Ley. </w:t>
      </w:r>
    </w:p>
    <w:p w14:paraId="70A76493" w14:textId="7466E860" w:rsidR="00473A2E" w:rsidRPr="00970CAB" w:rsidRDefault="00473A2E" w:rsidP="00095C10">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Por ejemplo,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0CA4B91" w14:textId="77777777" w:rsidR="00473A2E" w:rsidRPr="00970CAB"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Lo mismo no sucede con el artículo 35. En efecto, </w:t>
      </w:r>
      <w:r w:rsidRPr="00970CAB">
        <w:rPr>
          <w:rFonts w:ascii="Arial" w:hAnsi="Arial" w:cs="Arial"/>
          <w:color w:val="000000" w:themeColor="text1"/>
          <w:sz w:val="22"/>
          <w:szCs w:val="22"/>
          <w:lang w:val="es-ES_tradnl"/>
        </w:rPr>
        <w:t>si bien los factores de desempate regulados en el artículo 35 deben aplicarse «</w:t>
      </w:r>
      <w:r w:rsidRPr="00970CAB">
        <w:rPr>
          <w:rFonts w:ascii="Arial" w:hAnsi="Arial" w:cs="Arial"/>
          <w:color w:val="000000" w:themeColor="text1"/>
          <w:lang w:val="es-ES_tradnl"/>
        </w:rPr>
        <w:t xml:space="preserve">[…] </w:t>
      </w:r>
      <w:r w:rsidRPr="00970CAB">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970CAB">
        <w:rPr>
          <w:rFonts w:ascii="Arial" w:eastAsia="Calibri" w:hAnsi="Arial" w:cs="Arial"/>
          <w:color w:val="000000" w:themeColor="text1"/>
          <w:sz w:val="22"/>
          <w:szCs w:val="22"/>
          <w:lang w:val="es-ES_tradnl"/>
        </w:rPr>
        <w:t xml:space="preserve">  </w:t>
      </w:r>
    </w:p>
    <w:p w14:paraId="4BC1F6BB" w14:textId="4EA51E06" w:rsidR="00473A2E" w:rsidRPr="00970CAB"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970CAB">
        <w:rPr>
          <w:rFonts w:ascii="Arial" w:eastAsia="Calibri" w:hAnsi="Arial" w:cs="Arial"/>
          <w:i/>
          <w:iCs/>
          <w:color w:val="000000" w:themeColor="text1"/>
          <w:sz w:val="22"/>
          <w:szCs w:val="22"/>
          <w:lang w:val="es-ES_tradnl"/>
        </w:rPr>
        <w:t>podrá reglamentar</w:t>
      </w:r>
      <w:r w:rsidRPr="00970CAB">
        <w:rPr>
          <w:rFonts w:ascii="Arial" w:eastAsia="Calibri" w:hAnsi="Arial" w:cs="Arial"/>
          <w:color w:val="000000" w:themeColor="text1"/>
          <w:sz w:val="22"/>
          <w:szCs w:val="22"/>
          <w:lang w:val="es-ES_tradnl"/>
        </w:rPr>
        <w:t xml:space="preserve"> la aplicación de factores de desempate en casos en que concurran dos o más de los factores aquí previstos» (</w:t>
      </w:r>
      <w:r w:rsidR="005010EC" w:rsidRPr="00970CAB">
        <w:rPr>
          <w:rFonts w:ascii="Arial" w:eastAsia="Calibri" w:hAnsi="Arial" w:cs="Arial"/>
          <w:color w:val="000000" w:themeColor="text1"/>
          <w:sz w:val="22"/>
          <w:szCs w:val="22"/>
          <w:lang w:val="es-ES_tradnl"/>
        </w:rPr>
        <w:t>é</w:t>
      </w:r>
      <w:r w:rsidRPr="00970CAB">
        <w:rPr>
          <w:rFonts w:ascii="Arial" w:eastAsia="Calibri" w:hAnsi="Arial" w:cs="Arial"/>
          <w:color w:val="000000" w:themeColor="text1"/>
          <w:sz w:val="22"/>
          <w:szCs w:val="22"/>
          <w:lang w:val="es-ES_tradnl"/>
        </w:rPr>
        <w:t>nfasis fuera de texto).</w:t>
      </w:r>
    </w:p>
    <w:p w14:paraId="6B2343D7" w14:textId="4F8EEBFF" w:rsidR="00473A2E" w:rsidRPr="00970CAB"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Como se observa</w:t>
      </w:r>
      <w:r w:rsidR="001B3624" w:rsidRPr="00970CAB">
        <w:rPr>
          <w:rFonts w:ascii="Arial" w:eastAsia="Calibri" w:hAnsi="Arial" w:cs="Arial"/>
          <w:color w:val="000000" w:themeColor="text1"/>
          <w:sz w:val="22"/>
          <w:szCs w:val="22"/>
          <w:lang w:val="es-ES_tradnl"/>
        </w:rPr>
        <w:t>,</w:t>
      </w:r>
      <w:r w:rsidRPr="00970CAB">
        <w:rPr>
          <w:rFonts w:ascii="Arial" w:eastAsia="Calibri" w:hAnsi="Arial" w:cs="Arial"/>
          <w:color w:val="000000" w:themeColor="text1"/>
          <w:sz w:val="22"/>
          <w:szCs w:val="22"/>
          <w:lang w:val="es-ES_tradnl"/>
        </w:rPr>
        <w:t xml:space="preserve">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AA8C099" w14:textId="29A218B8" w:rsidR="00674A7D" w:rsidRPr="00970CAB" w:rsidRDefault="00326927" w:rsidP="00674A7D">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lang w:val="es-ES_tradnl"/>
        </w:rPr>
        <w:t>Lo anterior por cuanto, c</w:t>
      </w:r>
      <w:r w:rsidR="00674A7D" w:rsidRPr="00970CAB">
        <w:rPr>
          <w:rFonts w:ascii="Arial" w:eastAsia="Calibri" w:hAnsi="Arial" w:cs="Arial"/>
          <w:color w:val="000000" w:themeColor="text1"/>
          <w:sz w:val="22"/>
          <w:lang w:val="es-ES_tradnl"/>
        </w:rPr>
        <w:t xml:space="preserve">omo lo indicó la Agencia Nacional de Contratación Pública – Colombia Compra Eficiente en el concepto C-536 del 24 de agosto de 2020, en el </w:t>
      </w:r>
      <w:r w:rsidR="00674A7D" w:rsidRPr="00970CAB">
        <w:rPr>
          <w:rFonts w:ascii="Arial" w:eastAsia="Calibri" w:hAnsi="Arial" w:cs="Arial"/>
          <w:color w:val="000000" w:themeColor="text1"/>
          <w:sz w:val="22"/>
          <w:lang w:val="es-ES_tradnl"/>
        </w:rPr>
        <w:lastRenderedPageBreak/>
        <w:t xml:space="preserve">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w:t>
      </w:r>
      <w:r w:rsidR="00DE007D" w:rsidRPr="00970CAB">
        <w:rPr>
          <w:rFonts w:ascii="Arial" w:eastAsia="Calibri" w:hAnsi="Arial" w:cs="Arial"/>
          <w:color w:val="000000" w:themeColor="text1"/>
          <w:sz w:val="22"/>
          <w:lang w:val="es-ES_tradnl"/>
        </w:rPr>
        <w:t>estas</w:t>
      </w:r>
      <w:r w:rsidR="00674A7D" w:rsidRPr="00970CAB">
        <w:rPr>
          <w:rFonts w:ascii="Arial" w:eastAsia="Calibri" w:hAnsi="Arial" w:cs="Arial"/>
          <w:color w:val="000000" w:themeColor="text1"/>
          <w:sz w:val="22"/>
          <w:lang w:val="es-ES_tradnl"/>
        </w:rPr>
        <w:t>,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00674A7D" w:rsidRPr="00970CAB">
        <w:rPr>
          <w:rStyle w:val="Refdenotaalpie"/>
          <w:rFonts w:ascii="Arial" w:eastAsia="Calibri" w:hAnsi="Arial" w:cs="Arial"/>
          <w:color w:val="000000" w:themeColor="text1"/>
          <w:sz w:val="22"/>
          <w:lang w:val="es-ES_tradnl"/>
        </w:rPr>
        <w:footnoteReference w:id="10"/>
      </w:r>
      <w:r w:rsidR="00674A7D" w:rsidRPr="00970CAB">
        <w:rPr>
          <w:rFonts w:ascii="Arial" w:eastAsia="Calibri" w:hAnsi="Arial" w:cs="Arial"/>
          <w:color w:val="000000" w:themeColor="text1"/>
          <w:sz w:val="22"/>
          <w:lang w:val="es-ES_tradnl"/>
        </w:rPr>
        <w:t>.</w:t>
      </w:r>
    </w:p>
    <w:p w14:paraId="76F17D27" w14:textId="77777777" w:rsidR="00674A7D" w:rsidRPr="00970CAB" w:rsidRDefault="00674A7D" w:rsidP="00674A7D">
      <w:pPr>
        <w:spacing w:before="120" w:line="276" w:lineRule="auto"/>
        <w:ind w:firstLine="709"/>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970CAB">
        <w:rPr>
          <w:rFonts w:ascii="Arial" w:eastAsia="Calibri" w:hAnsi="Arial" w:cs="Arial"/>
          <w:i/>
          <w:iCs/>
          <w:color w:val="000000" w:themeColor="text1"/>
          <w:sz w:val="22"/>
          <w:lang w:val="es-ES_tradnl"/>
        </w:rPr>
        <w:t>antes</w:t>
      </w:r>
      <w:r w:rsidRPr="00970CAB">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970CAB">
        <w:rPr>
          <w:rFonts w:ascii="Arial" w:eastAsia="Calibri" w:hAnsi="Arial" w:cs="Arial"/>
          <w:i/>
          <w:iCs/>
          <w:color w:val="000000" w:themeColor="text1"/>
          <w:sz w:val="22"/>
          <w:lang w:val="es-ES_tradnl"/>
        </w:rPr>
        <w:t>irretroactividad</w:t>
      </w:r>
      <w:r w:rsidRPr="00970CAB">
        <w:rPr>
          <w:rFonts w:ascii="Arial" w:eastAsia="Calibri" w:hAnsi="Arial" w:cs="Arial"/>
          <w:color w:val="000000" w:themeColor="text1"/>
          <w:sz w:val="22"/>
          <w:lang w:val="es-ES_tradnl"/>
        </w:rPr>
        <w:t xml:space="preserve"> de las leyes.</w:t>
      </w:r>
    </w:p>
    <w:p w14:paraId="295B3DA0" w14:textId="77777777" w:rsidR="00674A7D" w:rsidRPr="00970CAB" w:rsidRDefault="00674A7D" w:rsidP="00674A7D">
      <w:pPr>
        <w:spacing w:before="120" w:line="276" w:lineRule="auto"/>
        <w:ind w:firstLine="709"/>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nos referimos a los artículos 17 al 49 de la Ley 153 de 1887. Pero, por su aplicación al caso concreto, que se analiza en este concepto, se resaltan los siguientes artículos de dicha Ley:</w:t>
      </w:r>
    </w:p>
    <w:p w14:paraId="2C57F1BA" w14:textId="77777777" w:rsidR="00674A7D" w:rsidRPr="00970CAB" w:rsidRDefault="00674A7D" w:rsidP="00674A7D">
      <w:pPr>
        <w:spacing w:line="276" w:lineRule="auto"/>
        <w:ind w:firstLine="709"/>
        <w:jc w:val="both"/>
        <w:rPr>
          <w:rFonts w:ascii="Arial" w:eastAsia="Calibri" w:hAnsi="Arial" w:cs="Arial"/>
          <w:color w:val="000000" w:themeColor="text1"/>
          <w:sz w:val="22"/>
          <w:lang w:val="es-ES_tradnl"/>
        </w:rPr>
      </w:pPr>
    </w:p>
    <w:p w14:paraId="44E134CD"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Artículo 38. En todo contrato se entenderán incorporadas las leyes vigentes al tiempo de su celebración. </w:t>
      </w:r>
    </w:p>
    <w:p w14:paraId="0EB37A36"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w:t>
      </w:r>
    </w:p>
    <w:p w14:paraId="16642603" w14:textId="77777777" w:rsidR="00674A7D" w:rsidRPr="00970CAB" w:rsidRDefault="00674A7D" w:rsidP="00674A7D">
      <w:pPr>
        <w:ind w:left="709" w:right="709"/>
        <w:jc w:val="both"/>
        <w:rPr>
          <w:rFonts w:ascii="Arial" w:hAnsi="Arial" w:cs="Arial"/>
          <w:color w:val="000000" w:themeColor="text1"/>
          <w:sz w:val="21"/>
          <w:szCs w:val="21"/>
          <w:lang w:val="es-ES_tradnl"/>
        </w:rPr>
      </w:pPr>
      <w:proofErr w:type="spellStart"/>
      <w:r w:rsidRPr="00970CAB">
        <w:rPr>
          <w:rFonts w:ascii="Arial" w:hAnsi="Arial" w:cs="Arial"/>
          <w:color w:val="000000" w:themeColor="text1"/>
          <w:sz w:val="21"/>
          <w:szCs w:val="21"/>
          <w:lang w:val="es-ES_tradnl"/>
        </w:rPr>
        <w:t>Exceptúanse</w:t>
      </w:r>
      <w:proofErr w:type="spellEnd"/>
      <w:r w:rsidRPr="00970CAB">
        <w:rPr>
          <w:rFonts w:ascii="Arial" w:hAnsi="Arial" w:cs="Arial"/>
          <w:color w:val="000000" w:themeColor="text1"/>
          <w:sz w:val="21"/>
          <w:szCs w:val="21"/>
          <w:lang w:val="es-ES_tradnl"/>
        </w:rPr>
        <w:t xml:space="preserve"> de esta disposición: </w:t>
      </w:r>
    </w:p>
    <w:p w14:paraId="1B130401"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w:t>
      </w:r>
    </w:p>
    <w:p w14:paraId="438D55B5"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1. Las leyes concernientes al modo de reclamar en juicio los derechos que resultaren del contrato, y </w:t>
      </w:r>
    </w:p>
    <w:p w14:paraId="201DD533"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w:t>
      </w:r>
    </w:p>
    <w:p w14:paraId="3388D434"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2. Las que señalan penas para el caso de infracción de lo estipulado; la cual infracción será castigada con arreglo á la ley bajo la cual se hubiere cometido. </w:t>
      </w:r>
    </w:p>
    <w:p w14:paraId="23419E18" w14:textId="77777777" w:rsidR="00674A7D" w:rsidRPr="00970CAB" w:rsidRDefault="00674A7D" w:rsidP="00674A7D">
      <w:pPr>
        <w:jc w:val="both"/>
        <w:rPr>
          <w:color w:val="000000" w:themeColor="text1"/>
          <w:lang w:val="es-ES_tradnl"/>
        </w:rPr>
      </w:pPr>
    </w:p>
    <w:p w14:paraId="275AB1F9" w14:textId="390077B8"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Artículo 40.</w:t>
      </w:r>
      <w:r w:rsidR="001B3624" w:rsidRPr="00970CAB">
        <w:rPr>
          <w:rFonts w:ascii="Arial" w:hAnsi="Arial" w:cs="Arial"/>
          <w:color w:val="000000" w:themeColor="text1"/>
          <w:sz w:val="21"/>
          <w:szCs w:val="21"/>
          <w:lang w:val="es-ES_tradnl"/>
        </w:rPr>
        <w:t xml:space="preserve"> </w:t>
      </w:r>
      <w:r w:rsidRPr="00970CAB">
        <w:rPr>
          <w:rFonts w:ascii="Arial" w:hAnsi="Arial" w:cs="Arial"/>
          <w:color w:val="000000" w:themeColor="text1"/>
          <w:sz w:val="21"/>
          <w:szCs w:val="21"/>
          <w:lang w:val="es-ES_tradnl"/>
        </w:rPr>
        <w:t xml:space="preserve">Las leyes concernientes a la sustanciación y ritualidad de los juicios prevalecen sobre las anteriores desde el momento en que deben empezar a regir. </w:t>
      </w:r>
    </w:p>
    <w:p w14:paraId="5D6A5A39" w14:textId="77777777" w:rsidR="00674A7D" w:rsidRPr="00970CAB" w:rsidRDefault="00674A7D" w:rsidP="00674A7D">
      <w:pPr>
        <w:ind w:right="709"/>
        <w:jc w:val="both"/>
        <w:rPr>
          <w:rFonts w:ascii="Arial" w:hAnsi="Arial" w:cs="Arial"/>
          <w:color w:val="000000" w:themeColor="text1"/>
          <w:sz w:val="21"/>
          <w:szCs w:val="21"/>
          <w:lang w:val="es-ES_tradnl"/>
        </w:rPr>
      </w:pPr>
    </w:p>
    <w:p w14:paraId="54142275"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237AD5F8" w14:textId="77777777" w:rsidR="00674A7D" w:rsidRPr="00970CAB" w:rsidRDefault="00674A7D" w:rsidP="00674A7D">
      <w:pPr>
        <w:ind w:right="709"/>
        <w:jc w:val="both"/>
        <w:rPr>
          <w:rFonts w:ascii="Arial" w:hAnsi="Arial" w:cs="Arial"/>
          <w:color w:val="000000" w:themeColor="text1"/>
          <w:sz w:val="21"/>
          <w:szCs w:val="21"/>
          <w:lang w:val="es-ES_tradnl"/>
        </w:rPr>
      </w:pPr>
    </w:p>
    <w:p w14:paraId="3A6F6169" w14:textId="77777777" w:rsidR="00674A7D" w:rsidRPr="00970CAB" w:rsidRDefault="00674A7D" w:rsidP="00674A7D">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5DF8DC93" w14:textId="77777777" w:rsidR="00674A7D" w:rsidRPr="00970CAB" w:rsidRDefault="00674A7D" w:rsidP="00674A7D">
      <w:pPr>
        <w:ind w:left="709" w:right="709"/>
        <w:jc w:val="both"/>
        <w:rPr>
          <w:rFonts w:ascii="Arial" w:hAnsi="Arial" w:cs="Arial"/>
          <w:color w:val="000000" w:themeColor="text1"/>
          <w:sz w:val="21"/>
          <w:szCs w:val="21"/>
          <w:lang w:val="es-ES_tradnl"/>
        </w:rPr>
      </w:pPr>
    </w:p>
    <w:p w14:paraId="2F32CEAB" w14:textId="4DEDBDF8" w:rsidR="00674A7D" w:rsidRPr="00970CAB" w:rsidRDefault="00674A7D" w:rsidP="00674A7D">
      <w:pPr>
        <w:spacing w:line="276" w:lineRule="auto"/>
        <w:ind w:firstLine="709"/>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 xml:space="preserve">De dichos enunciados se pueden extraer las siguientes </w:t>
      </w:r>
      <w:proofErr w:type="spellStart"/>
      <w:r w:rsidRPr="00970CAB">
        <w:rPr>
          <w:rFonts w:ascii="Arial" w:eastAsia="Calibri" w:hAnsi="Arial" w:cs="Arial"/>
          <w:color w:val="000000" w:themeColor="text1"/>
          <w:sz w:val="22"/>
          <w:lang w:val="es-ES_tradnl"/>
        </w:rPr>
        <w:t>subreglas</w:t>
      </w:r>
      <w:proofErr w:type="spellEnd"/>
      <w:r w:rsidRPr="00970CAB">
        <w:rPr>
          <w:rFonts w:ascii="Arial" w:eastAsia="Calibri" w:hAnsi="Arial" w:cs="Arial"/>
          <w:color w:val="000000" w:themeColor="text1"/>
          <w:sz w:val="22"/>
          <w:lang w:val="es-ES_tradnl"/>
        </w:rPr>
        <w:t xml:space="preserve">: i) en principio, las leyes promulgadas rigen hacia el futuro, es decir, no regulan situaciones del pasado; son, pues, </w:t>
      </w:r>
      <w:proofErr w:type="spellStart"/>
      <w:r w:rsidRPr="00970CAB">
        <w:rPr>
          <w:rFonts w:ascii="Arial" w:eastAsia="Calibri" w:hAnsi="Arial" w:cs="Arial"/>
          <w:color w:val="000000" w:themeColor="text1"/>
          <w:sz w:val="22"/>
          <w:lang w:val="es-ES_tradnl"/>
        </w:rPr>
        <w:t>irretroactivas</w:t>
      </w:r>
      <w:proofErr w:type="spellEnd"/>
      <w:r w:rsidRPr="00970CAB">
        <w:rPr>
          <w:rFonts w:ascii="Arial" w:eastAsia="Calibri" w:hAnsi="Arial" w:cs="Arial"/>
          <w:color w:val="000000" w:themeColor="text1"/>
          <w:sz w:val="22"/>
          <w:lang w:val="es-ES_tradnl"/>
        </w:rPr>
        <w:t>. En consecuencia, nadie puede ser «juzgado» ni sancionado, sino conforme a leyes preexistentes al acto que se imputa. ii) Por lo tanto, las leyes que regulan los contratos son las vigentes al momento de su celebración; es decir</w:t>
      </w:r>
      <w:r w:rsidR="001B3624" w:rsidRPr="00970CAB">
        <w:rPr>
          <w:rFonts w:ascii="Arial" w:eastAsia="Calibri" w:hAnsi="Arial" w:cs="Arial"/>
          <w:color w:val="000000" w:themeColor="text1"/>
          <w:sz w:val="22"/>
          <w:lang w:val="es-ES_tradnl"/>
        </w:rPr>
        <w:t>,</w:t>
      </w:r>
      <w:r w:rsidRPr="00970CAB">
        <w:rPr>
          <w:rFonts w:ascii="Arial" w:eastAsia="Calibri" w:hAnsi="Arial" w:cs="Arial"/>
          <w:color w:val="000000" w:themeColor="text1"/>
          <w:sz w:val="22"/>
          <w:lang w:val="es-ES_tradnl"/>
        </w:rPr>
        <w:t xml:space="preserve"> </w:t>
      </w:r>
      <w:proofErr w:type="gramStart"/>
      <w:r w:rsidRPr="00970CAB">
        <w:rPr>
          <w:rFonts w:ascii="Arial" w:eastAsia="Calibri" w:hAnsi="Arial" w:cs="Arial"/>
          <w:color w:val="000000" w:themeColor="text1"/>
          <w:sz w:val="22"/>
          <w:lang w:val="es-ES_tradnl"/>
        </w:rPr>
        <w:t>que</w:t>
      </w:r>
      <w:proofErr w:type="gramEnd"/>
      <w:r w:rsidRPr="00970CAB">
        <w:rPr>
          <w:rFonts w:ascii="Arial" w:eastAsia="Calibri" w:hAnsi="Arial" w:cs="Arial"/>
          <w:color w:val="000000" w:themeColor="text1"/>
          <w:sz w:val="22"/>
          <w:lang w:val="es-ES_tradnl"/>
        </w:rPr>
        <w:t xml:space="preserve"> si cambian</w:t>
      </w:r>
      <w:r w:rsidR="001B3624" w:rsidRPr="00970CAB">
        <w:rPr>
          <w:rFonts w:ascii="Arial" w:eastAsia="Calibri" w:hAnsi="Arial" w:cs="Arial"/>
          <w:color w:val="000000" w:themeColor="text1"/>
          <w:sz w:val="22"/>
          <w:lang w:val="es-ES_tradnl"/>
        </w:rPr>
        <w:t>,</w:t>
      </w:r>
      <w:r w:rsidRPr="00970CAB">
        <w:rPr>
          <w:rFonts w:ascii="Arial" w:eastAsia="Calibri" w:hAnsi="Arial" w:cs="Arial"/>
          <w:color w:val="000000" w:themeColor="text1"/>
          <w:sz w:val="22"/>
          <w:lang w:val="es-ES_tradnl"/>
        </w:rPr>
        <w:t xml:space="preserve">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w:t>
      </w:r>
      <w:proofErr w:type="spellStart"/>
      <w:r w:rsidRPr="00970CAB">
        <w:rPr>
          <w:rFonts w:ascii="Arial" w:eastAsia="Calibri" w:hAnsi="Arial" w:cs="Arial"/>
          <w:color w:val="000000" w:themeColor="text1"/>
          <w:sz w:val="22"/>
          <w:lang w:val="es-ES_tradnl"/>
        </w:rPr>
        <w:t>subregla</w:t>
      </w:r>
      <w:proofErr w:type="spellEnd"/>
      <w:r w:rsidRPr="00970CAB">
        <w:rPr>
          <w:rFonts w:ascii="Arial" w:eastAsia="Calibri" w:hAnsi="Arial" w:cs="Arial"/>
          <w:color w:val="000000" w:themeColor="text1"/>
          <w:sz w:val="22"/>
          <w:lang w:val="es-ES_tradnl"/>
        </w:rPr>
        <w:t>,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970CAB">
        <w:rPr>
          <w:rStyle w:val="Refdenotaalpie"/>
          <w:rFonts w:ascii="Arial" w:eastAsia="Calibri" w:hAnsi="Arial" w:cs="Arial"/>
          <w:color w:val="000000" w:themeColor="text1"/>
          <w:sz w:val="22"/>
          <w:lang w:val="es-ES_tradnl"/>
        </w:rPr>
        <w:footnoteReference w:id="11"/>
      </w:r>
      <w:r w:rsidRPr="00970CAB">
        <w:rPr>
          <w:rFonts w:ascii="Arial" w:eastAsia="Calibri" w:hAnsi="Arial" w:cs="Arial"/>
          <w:color w:val="000000" w:themeColor="text1"/>
          <w:sz w:val="22"/>
          <w:lang w:val="es-ES_tradnl"/>
        </w:rPr>
        <w:t xml:space="preserve">. Así lo ha entendido la Corte Constitucional, al indicar que en las actuaciones administrativas se debe aplicar el principio de favorabilidad. </w:t>
      </w:r>
      <w:r w:rsidR="001B3624" w:rsidRPr="00970CAB">
        <w:rPr>
          <w:rFonts w:ascii="Arial" w:eastAsia="Calibri" w:hAnsi="Arial" w:cs="Arial"/>
          <w:color w:val="000000" w:themeColor="text1"/>
          <w:sz w:val="22"/>
          <w:lang w:val="es-ES_tradnl"/>
        </w:rPr>
        <w:t>E</w:t>
      </w:r>
      <w:r w:rsidRPr="00970CAB">
        <w:rPr>
          <w:rFonts w:ascii="Arial" w:eastAsia="Calibri" w:hAnsi="Arial" w:cs="Arial"/>
          <w:color w:val="000000" w:themeColor="text1"/>
          <w:sz w:val="22"/>
          <w:lang w:val="es-ES_tradnl"/>
        </w:rPr>
        <w:t xml:space="preserve">sta </w:t>
      </w:r>
      <w:r w:rsidR="001B3624" w:rsidRPr="00970CAB">
        <w:rPr>
          <w:rFonts w:ascii="Arial" w:eastAsia="Calibri" w:hAnsi="Arial" w:cs="Arial"/>
          <w:color w:val="000000" w:themeColor="text1"/>
          <w:sz w:val="22"/>
          <w:lang w:val="es-ES_tradnl"/>
        </w:rPr>
        <w:t xml:space="preserve">fue </w:t>
      </w:r>
      <w:r w:rsidRPr="00970CAB">
        <w:rPr>
          <w:rFonts w:ascii="Arial" w:eastAsia="Calibri" w:hAnsi="Arial" w:cs="Arial"/>
          <w:color w:val="000000" w:themeColor="text1"/>
          <w:sz w:val="22"/>
          <w:lang w:val="es-ES_tradnl"/>
        </w:rPr>
        <w:t xml:space="preserve">la tesis que defendió en la Sentencia C-619 de </w:t>
      </w:r>
      <w:r w:rsidRPr="00970CAB">
        <w:rPr>
          <w:rFonts w:ascii="Arial" w:eastAsia="Calibri" w:hAnsi="Arial" w:cs="Arial"/>
          <w:color w:val="000000" w:themeColor="text1"/>
          <w:sz w:val="22"/>
          <w:lang w:val="es-ES_tradnl"/>
        </w:rPr>
        <w:lastRenderedPageBreak/>
        <w:t>2001, que estudió la demanda de inconstitucionalidad en contra del primer inciso del artículo 67 de la Ley 610 de 2000</w:t>
      </w:r>
      <w:r w:rsidRPr="00970CAB">
        <w:rPr>
          <w:rStyle w:val="Refdenotaalpie"/>
          <w:rFonts w:ascii="Arial" w:eastAsia="Calibri" w:hAnsi="Arial" w:cs="Arial"/>
          <w:color w:val="000000" w:themeColor="text1"/>
          <w:sz w:val="22"/>
          <w:lang w:val="es-ES_tradnl"/>
        </w:rPr>
        <w:footnoteReference w:id="12"/>
      </w:r>
      <w:r w:rsidRPr="00970CAB">
        <w:rPr>
          <w:rFonts w:ascii="Arial" w:eastAsia="Calibri" w:hAnsi="Arial" w:cs="Arial"/>
          <w:color w:val="000000" w:themeColor="text1"/>
          <w:sz w:val="22"/>
          <w:lang w:val="es-ES_tradnl"/>
        </w:rPr>
        <w:t xml:space="preserve">. </w:t>
      </w:r>
    </w:p>
    <w:p w14:paraId="05531C05" w14:textId="4A1C4F49" w:rsidR="003E290D" w:rsidRPr="00970CAB" w:rsidRDefault="00674A7D" w:rsidP="003E290D">
      <w:pPr>
        <w:spacing w:before="120" w:line="276" w:lineRule="auto"/>
        <w:ind w:firstLine="709"/>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 xml:space="preserve">En relación con las normas procesales, el artículo 40 de la Ley 153 de 1887 es claro en el sentido de indicar que </w:t>
      </w:r>
      <w:r w:rsidRPr="00970CAB">
        <w:rPr>
          <w:rFonts w:ascii="Arial" w:eastAsia="Calibri" w:hAnsi="Arial" w:cs="Arial"/>
          <w:i/>
          <w:iCs/>
          <w:color w:val="000000" w:themeColor="text1"/>
          <w:sz w:val="22"/>
          <w:lang w:val="es-ES_tradnl"/>
        </w:rPr>
        <w:t>las diligencias o etapas que se hubieren iniciado</w:t>
      </w:r>
      <w:r w:rsidRPr="00970CAB">
        <w:rPr>
          <w:rFonts w:ascii="Arial" w:eastAsia="Calibri" w:hAnsi="Arial" w:cs="Arial"/>
          <w:color w:val="000000" w:themeColor="text1"/>
          <w:sz w:val="22"/>
          <w:lang w:val="es-ES_tradnl"/>
        </w:rPr>
        <w:t xml:space="preserve"> continúan rigiéndose por las normas vigentes en el momento de comenzar el trámite, lo cual también se aplica a los procedimientos administrativos, y dentro de estos, a los de selección. </w:t>
      </w:r>
      <w:r w:rsidR="003F4B90" w:rsidRPr="00970CAB">
        <w:rPr>
          <w:rFonts w:ascii="Arial" w:eastAsia="Calibri" w:hAnsi="Arial" w:cs="Arial"/>
          <w:color w:val="000000" w:themeColor="text1"/>
          <w:sz w:val="22"/>
          <w:lang w:val="es-ES_tradnl"/>
        </w:rPr>
        <w:t>En tal sentido, el artículo 35 de la Ley 2069 de 2020 es una norma procedimental</w:t>
      </w:r>
      <w:r w:rsidR="002940A1" w:rsidRPr="00970CAB">
        <w:rPr>
          <w:rFonts w:ascii="Arial" w:eastAsia="Calibri" w:hAnsi="Arial" w:cs="Arial"/>
          <w:color w:val="000000" w:themeColor="text1"/>
          <w:sz w:val="22"/>
          <w:lang w:val="es-ES_tradnl"/>
        </w:rPr>
        <w:t>, porque regula un aspecto asociado a los procedimientos de selección: el relacionado con la forma de resolver los empates que lleguen a presentarse. Por lo tanto,</w:t>
      </w:r>
      <w:r w:rsidR="00195B49" w:rsidRPr="00970CAB">
        <w:rPr>
          <w:rFonts w:ascii="Arial" w:eastAsia="Calibri" w:hAnsi="Arial" w:cs="Arial"/>
          <w:color w:val="000000" w:themeColor="text1"/>
          <w:sz w:val="22"/>
          <w:lang w:val="es-ES_tradnl"/>
        </w:rPr>
        <w:t xml:space="preserve"> </w:t>
      </w:r>
      <w:r w:rsidR="00E85915" w:rsidRPr="00970CAB">
        <w:rPr>
          <w:rFonts w:ascii="Arial" w:eastAsia="Calibri" w:hAnsi="Arial" w:cs="Arial"/>
          <w:color w:val="000000" w:themeColor="text1"/>
          <w:sz w:val="22"/>
          <w:lang w:val="es-ES_tradnl"/>
        </w:rPr>
        <w:t xml:space="preserve">en virtud de la remisión </w:t>
      </w:r>
      <w:r w:rsidR="00195B49" w:rsidRPr="00970CAB">
        <w:rPr>
          <w:rFonts w:ascii="Arial" w:eastAsia="Calibri" w:hAnsi="Arial" w:cs="Arial"/>
          <w:color w:val="000000" w:themeColor="text1"/>
          <w:sz w:val="22"/>
          <w:lang w:val="es-ES_tradnl"/>
        </w:rPr>
        <w:t>efectuada por el artículo 77 de la Ley 80 de 1993</w:t>
      </w:r>
      <w:r w:rsidR="006E6D00" w:rsidRPr="00970CAB">
        <w:rPr>
          <w:rFonts w:ascii="Arial" w:eastAsia="Calibri" w:hAnsi="Arial" w:cs="Arial"/>
          <w:color w:val="000000" w:themeColor="text1"/>
          <w:sz w:val="22"/>
          <w:lang w:val="es-ES_tradnl"/>
        </w:rPr>
        <w:t xml:space="preserve"> a las normas del ordenamiento procesal general</w:t>
      </w:r>
      <w:r w:rsidR="00E85915" w:rsidRPr="00970CAB">
        <w:rPr>
          <w:rFonts w:ascii="Arial" w:eastAsia="Calibri" w:hAnsi="Arial" w:cs="Arial"/>
          <w:color w:val="000000" w:themeColor="text1"/>
          <w:sz w:val="22"/>
          <w:lang w:val="es-ES_tradnl"/>
        </w:rPr>
        <w:t xml:space="preserve">, ante la falta de una </w:t>
      </w:r>
      <w:r w:rsidR="001A7109" w:rsidRPr="00970CAB">
        <w:rPr>
          <w:rFonts w:ascii="Arial" w:eastAsia="Calibri" w:hAnsi="Arial" w:cs="Arial"/>
          <w:color w:val="000000" w:themeColor="text1"/>
          <w:sz w:val="22"/>
          <w:lang w:val="es-ES_tradnl"/>
        </w:rPr>
        <w:t xml:space="preserve">disposición expresa en la Ley 2069 de 2020 que regule la vigencia del artículo </w:t>
      </w:r>
      <w:r w:rsidR="00C14E14" w:rsidRPr="00970CAB">
        <w:rPr>
          <w:rFonts w:ascii="Arial" w:eastAsia="Calibri" w:hAnsi="Arial" w:cs="Arial"/>
          <w:color w:val="000000" w:themeColor="text1"/>
          <w:sz w:val="22"/>
          <w:lang w:val="es-ES_tradnl"/>
        </w:rPr>
        <w:t xml:space="preserve">35 en el tiempo, debe aplicarse lo establecido en el artículo 40 de la Ley </w:t>
      </w:r>
      <w:r w:rsidR="001E5B65" w:rsidRPr="00970CAB">
        <w:rPr>
          <w:rFonts w:ascii="Arial" w:eastAsia="Calibri" w:hAnsi="Arial" w:cs="Arial"/>
          <w:color w:val="000000" w:themeColor="text1"/>
          <w:sz w:val="22"/>
          <w:lang w:val="es-ES_tradnl"/>
        </w:rPr>
        <w:t xml:space="preserve">153 de 1887, para concluir que si el proceso de selección había iniciado formalmente –es decir, ya se había </w:t>
      </w:r>
      <w:r w:rsidR="00F717DE" w:rsidRPr="00970CAB">
        <w:rPr>
          <w:rFonts w:ascii="Arial" w:eastAsia="Calibri" w:hAnsi="Arial" w:cs="Arial"/>
          <w:color w:val="000000" w:themeColor="text1"/>
          <w:sz w:val="22"/>
          <w:lang w:val="es-ES_tradnl"/>
        </w:rPr>
        <w:t>publicado</w:t>
      </w:r>
      <w:r w:rsidR="001E5B65" w:rsidRPr="00970CAB">
        <w:rPr>
          <w:rFonts w:ascii="Arial" w:eastAsia="Calibri" w:hAnsi="Arial" w:cs="Arial"/>
          <w:color w:val="000000" w:themeColor="text1"/>
          <w:sz w:val="22"/>
          <w:lang w:val="es-ES_tradnl"/>
        </w:rPr>
        <w:t xml:space="preserve"> el acto administrativo de apertura </w:t>
      </w:r>
      <w:r w:rsidR="00FB64BD" w:rsidRPr="00970CAB">
        <w:rPr>
          <w:rFonts w:ascii="Arial" w:eastAsia="Calibri" w:hAnsi="Arial" w:cs="Arial"/>
          <w:color w:val="000000" w:themeColor="text1"/>
          <w:sz w:val="22"/>
          <w:lang w:val="es-ES_tradnl"/>
        </w:rPr>
        <w:t>o  la invitación, según el caso–, debía continuarse rigiendo por las reglas de desempate vigentes al momento de la iniciación del procedimiento.</w:t>
      </w:r>
      <w:r w:rsidR="001E5B65" w:rsidRPr="00970CAB">
        <w:rPr>
          <w:rFonts w:ascii="Arial" w:eastAsia="Calibri" w:hAnsi="Arial" w:cs="Arial"/>
          <w:color w:val="000000" w:themeColor="text1"/>
          <w:sz w:val="22"/>
          <w:lang w:val="es-ES_tradnl"/>
        </w:rPr>
        <w:t xml:space="preserve"> </w:t>
      </w:r>
    </w:p>
    <w:p w14:paraId="172EFD69" w14:textId="716E1C53" w:rsidR="00C6636F" w:rsidRPr="00970CAB" w:rsidRDefault="00C1272B" w:rsidP="003E290D">
      <w:pPr>
        <w:spacing w:before="120" w:line="276" w:lineRule="auto"/>
        <w:ind w:firstLine="709"/>
        <w:jc w:val="both"/>
        <w:rPr>
          <w:rFonts w:ascii="Arial" w:eastAsia="Calibri" w:hAnsi="Arial" w:cs="Arial"/>
          <w:color w:val="000000" w:themeColor="text1"/>
          <w:sz w:val="22"/>
          <w:lang w:val="es-ES_tradnl"/>
        </w:rPr>
      </w:pPr>
      <w:r w:rsidRPr="00970CAB">
        <w:rPr>
          <w:rFonts w:ascii="Arial" w:eastAsia="Calibri" w:hAnsi="Arial" w:cs="Arial"/>
          <w:color w:val="000000" w:themeColor="text1"/>
          <w:sz w:val="22"/>
          <w:lang w:val="es-ES_tradnl"/>
        </w:rPr>
        <w:t xml:space="preserve">Como lo precisó la Agencia en el concepto </w:t>
      </w:r>
      <w:r w:rsidR="00475424" w:rsidRPr="00970CAB">
        <w:rPr>
          <w:rFonts w:ascii="Arial" w:eastAsia="Calibri" w:hAnsi="Arial" w:cs="Arial"/>
          <w:color w:val="000000" w:themeColor="text1"/>
          <w:sz w:val="22"/>
          <w:lang w:val="es-ES_tradnl"/>
        </w:rPr>
        <w:t xml:space="preserve">C-464 del 6 de agosto de 2020, </w:t>
      </w:r>
      <w:r w:rsidR="00475424" w:rsidRPr="00970CAB">
        <w:rPr>
          <w:rFonts w:ascii="Arial" w:eastAsia="Arial" w:hAnsi="Arial" w:cs="Arial"/>
          <w:color w:val="000000" w:themeColor="text1"/>
          <w:sz w:val="22"/>
          <w:szCs w:val="22"/>
          <w:lang w:val="es-ES_tradnl"/>
        </w:rPr>
        <w:t>l</w:t>
      </w:r>
      <w:r w:rsidR="00C6636F" w:rsidRPr="00970CAB">
        <w:rPr>
          <w:rFonts w:ascii="Arial" w:eastAsia="Arial" w:hAnsi="Arial" w:cs="Arial"/>
          <w:color w:val="000000" w:themeColor="text1"/>
          <w:sz w:val="22"/>
          <w:szCs w:val="22"/>
          <w:lang w:val="es-ES_tradnl"/>
        </w:rPr>
        <w:t xml:space="preserve">a apertura del proceso de selección se realiza mediante un acto administrativo, necesario para </w:t>
      </w:r>
      <w:r w:rsidR="00C6636F" w:rsidRPr="00970CAB">
        <w:rPr>
          <w:rFonts w:ascii="Arial" w:eastAsia="Arial" w:hAnsi="Arial" w:cs="Arial"/>
          <w:i/>
          <w:iCs/>
          <w:color w:val="000000" w:themeColor="text1"/>
          <w:sz w:val="22"/>
          <w:szCs w:val="22"/>
          <w:lang w:val="es-ES_tradnl"/>
        </w:rPr>
        <w:t>iniciar</w:t>
      </w:r>
      <w:r w:rsidR="00C6636F" w:rsidRPr="00970CAB">
        <w:rPr>
          <w:rFonts w:ascii="Arial" w:eastAsia="Arial" w:hAnsi="Arial" w:cs="Arial"/>
          <w:color w:val="000000" w:themeColor="text1"/>
          <w:sz w:val="22"/>
          <w:szCs w:val="22"/>
          <w:lang w:val="es-ES_tradnl"/>
        </w:rPr>
        <w:t xml:space="preserve"> los procesos de selección que adelante una entidad estatal, excepto en las modalidades de selección de mínima cuantía y contratación</w:t>
      </w:r>
      <w:r w:rsidR="00C6636F" w:rsidRPr="00970CAB">
        <w:rPr>
          <w:rFonts w:ascii="Arial" w:eastAsia="Arial" w:hAnsi="Arial" w:cs="Arial"/>
          <w:color w:val="000000" w:themeColor="text1"/>
          <w:spacing w:val="-7"/>
          <w:sz w:val="22"/>
          <w:szCs w:val="22"/>
          <w:lang w:val="es-ES_tradnl"/>
        </w:rPr>
        <w:t xml:space="preserve"> </w:t>
      </w:r>
      <w:r w:rsidR="00C6636F" w:rsidRPr="00970CAB">
        <w:rPr>
          <w:rFonts w:ascii="Arial" w:eastAsia="Arial" w:hAnsi="Arial" w:cs="Arial"/>
          <w:color w:val="000000" w:themeColor="text1"/>
          <w:sz w:val="22"/>
          <w:szCs w:val="22"/>
          <w:lang w:val="es-ES_tradnl"/>
        </w:rPr>
        <w:t xml:space="preserve">directa. </w:t>
      </w:r>
      <w:r w:rsidR="00475424" w:rsidRPr="00970CAB">
        <w:rPr>
          <w:rFonts w:ascii="Arial" w:eastAsia="Arial" w:hAnsi="Arial" w:cs="Arial"/>
          <w:color w:val="000000" w:themeColor="text1"/>
          <w:sz w:val="22"/>
          <w:szCs w:val="22"/>
          <w:lang w:val="es-ES_tradnl"/>
        </w:rPr>
        <w:t>En efecto, e</w:t>
      </w:r>
      <w:r w:rsidR="00C6636F" w:rsidRPr="00970CAB">
        <w:rPr>
          <w:rFonts w:ascii="Arial" w:eastAsia="Arial" w:hAnsi="Arial" w:cs="Arial"/>
          <w:color w:val="000000" w:themeColor="text1"/>
          <w:sz w:val="22"/>
          <w:szCs w:val="22"/>
          <w:lang w:val="es-ES_tradnl"/>
        </w:rPr>
        <w:t>l artículo 2.2.1.1.2.1.5. del Decreto 1082 de 2015</w:t>
      </w:r>
      <w:r w:rsidR="008F3B97" w:rsidRPr="00970CAB">
        <w:rPr>
          <w:rFonts w:ascii="Arial" w:eastAsia="Arial" w:hAnsi="Arial" w:cs="Arial"/>
          <w:color w:val="000000" w:themeColor="text1"/>
          <w:sz w:val="22"/>
          <w:szCs w:val="22"/>
          <w:lang w:val="es-ES_tradnl"/>
        </w:rPr>
        <w:t xml:space="preserve"> </w:t>
      </w:r>
      <w:r w:rsidR="00C6636F" w:rsidRPr="00970CAB">
        <w:rPr>
          <w:rFonts w:ascii="Arial" w:eastAsia="Arial" w:hAnsi="Arial" w:cs="Arial"/>
          <w:color w:val="000000" w:themeColor="text1"/>
          <w:sz w:val="22"/>
          <w:szCs w:val="22"/>
          <w:lang w:val="es-ES_tradnl"/>
        </w:rPr>
        <w:t>prescribe</w:t>
      </w:r>
      <w:r w:rsidR="006C6B90" w:rsidRPr="00970CAB">
        <w:rPr>
          <w:rFonts w:ascii="Arial" w:eastAsia="Arial" w:hAnsi="Arial" w:cs="Arial"/>
          <w:color w:val="000000" w:themeColor="text1"/>
          <w:sz w:val="22"/>
          <w:szCs w:val="22"/>
          <w:lang w:val="es-ES_tradnl"/>
        </w:rPr>
        <w:t>:</w:t>
      </w:r>
    </w:p>
    <w:p w14:paraId="00BC72D9"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88EB02B" w14:textId="6F243570"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75094A72"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0079E124"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El acto administrativo de que trata el presente artículo debe señalar:</w:t>
      </w:r>
    </w:p>
    <w:p w14:paraId="5EBEE0F1"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BC8669A" w14:textId="1B8635CA"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1.</w:t>
      </w:r>
      <w:r w:rsidR="00B52AE8" w:rsidRPr="00970CAB">
        <w:rPr>
          <w:rFonts w:ascii="Arial" w:eastAsia="Arial" w:hAnsi="Arial" w:cs="Arial"/>
          <w:color w:val="000000" w:themeColor="text1"/>
          <w:sz w:val="21"/>
          <w:szCs w:val="21"/>
          <w:lang w:val="es-ES_tradnl"/>
        </w:rPr>
        <w:t xml:space="preserve"> </w:t>
      </w:r>
      <w:r w:rsidRPr="00970CAB">
        <w:rPr>
          <w:rFonts w:ascii="Arial" w:eastAsia="Arial" w:hAnsi="Arial" w:cs="Arial"/>
          <w:color w:val="000000" w:themeColor="text1"/>
          <w:sz w:val="21"/>
          <w:szCs w:val="21"/>
          <w:lang w:val="es-ES_tradnl"/>
        </w:rPr>
        <w:t>El objeto de la contratación a realizar.</w:t>
      </w:r>
    </w:p>
    <w:p w14:paraId="3214FA36"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69CFC268" w14:textId="15CFDB35"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2.</w:t>
      </w:r>
      <w:r w:rsidR="00B52AE8" w:rsidRPr="00970CAB">
        <w:rPr>
          <w:rFonts w:ascii="Arial" w:eastAsia="Arial" w:hAnsi="Arial" w:cs="Arial"/>
          <w:color w:val="000000" w:themeColor="text1"/>
          <w:sz w:val="21"/>
          <w:szCs w:val="21"/>
          <w:lang w:val="es-ES_tradnl"/>
        </w:rPr>
        <w:t xml:space="preserve"> </w:t>
      </w:r>
      <w:r w:rsidRPr="00970CAB">
        <w:rPr>
          <w:rFonts w:ascii="Arial" w:eastAsia="Arial" w:hAnsi="Arial" w:cs="Arial"/>
          <w:color w:val="000000" w:themeColor="text1"/>
          <w:sz w:val="21"/>
          <w:szCs w:val="21"/>
          <w:lang w:val="es-ES_tradnl"/>
        </w:rPr>
        <w:t>La modalidad de selección que corresponda a la contratación.</w:t>
      </w:r>
    </w:p>
    <w:p w14:paraId="6261F2FC"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62B39A44" w14:textId="34A62CA6"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3.</w:t>
      </w:r>
      <w:r w:rsidR="00B52AE8" w:rsidRPr="00970CAB">
        <w:rPr>
          <w:rFonts w:ascii="Arial" w:eastAsia="Arial" w:hAnsi="Arial" w:cs="Arial"/>
          <w:color w:val="000000" w:themeColor="text1"/>
          <w:sz w:val="21"/>
          <w:szCs w:val="21"/>
          <w:lang w:val="es-ES_tradnl"/>
        </w:rPr>
        <w:t xml:space="preserve"> </w:t>
      </w:r>
      <w:r w:rsidRPr="00970CAB">
        <w:rPr>
          <w:rFonts w:ascii="Arial" w:eastAsia="Arial" w:hAnsi="Arial" w:cs="Arial"/>
          <w:color w:val="000000" w:themeColor="text1"/>
          <w:sz w:val="21"/>
          <w:szCs w:val="21"/>
          <w:lang w:val="es-ES_tradnl"/>
        </w:rPr>
        <w:t>El Cronograma.</w:t>
      </w:r>
    </w:p>
    <w:p w14:paraId="1F32120D"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EEB2D0D" w14:textId="658A67C6"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4.</w:t>
      </w:r>
      <w:r w:rsidR="00B52AE8" w:rsidRPr="00970CAB">
        <w:rPr>
          <w:rFonts w:ascii="Arial" w:eastAsia="Arial" w:hAnsi="Arial" w:cs="Arial"/>
          <w:color w:val="000000" w:themeColor="text1"/>
          <w:sz w:val="21"/>
          <w:szCs w:val="21"/>
          <w:lang w:val="es-ES_tradnl"/>
        </w:rPr>
        <w:t xml:space="preserve"> </w:t>
      </w:r>
      <w:r w:rsidRPr="00970CAB">
        <w:rPr>
          <w:rFonts w:ascii="Arial" w:eastAsia="Arial" w:hAnsi="Arial" w:cs="Arial"/>
          <w:color w:val="000000" w:themeColor="text1"/>
          <w:sz w:val="21"/>
          <w:szCs w:val="21"/>
          <w:lang w:val="es-ES_tradnl"/>
        </w:rPr>
        <w:t xml:space="preserve">El lugar físico o electrónico en que se puede consultar y retirar los pliegos </w:t>
      </w:r>
      <w:r w:rsidRPr="00970CAB">
        <w:rPr>
          <w:rFonts w:ascii="Arial" w:eastAsia="Arial" w:hAnsi="Arial" w:cs="Arial"/>
          <w:color w:val="000000" w:themeColor="text1"/>
          <w:sz w:val="21"/>
          <w:szCs w:val="21"/>
          <w:lang w:val="es-ES_tradnl"/>
        </w:rPr>
        <w:lastRenderedPageBreak/>
        <w:t>de condi­ciones y los estudios y documentos previos.</w:t>
      </w:r>
    </w:p>
    <w:p w14:paraId="7F2C2BA1"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5C92AC82" w14:textId="641F7D40"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5.</w:t>
      </w:r>
      <w:r w:rsidR="00B52AE8" w:rsidRPr="00970CAB">
        <w:rPr>
          <w:rFonts w:ascii="Arial" w:eastAsia="Arial" w:hAnsi="Arial" w:cs="Arial"/>
          <w:color w:val="000000" w:themeColor="text1"/>
          <w:sz w:val="21"/>
          <w:szCs w:val="21"/>
          <w:lang w:val="es-ES_tradnl"/>
        </w:rPr>
        <w:t xml:space="preserve"> </w:t>
      </w:r>
      <w:r w:rsidRPr="00970CAB">
        <w:rPr>
          <w:rFonts w:ascii="Arial" w:eastAsia="Arial" w:hAnsi="Arial" w:cs="Arial"/>
          <w:color w:val="000000" w:themeColor="text1"/>
          <w:sz w:val="21"/>
          <w:szCs w:val="21"/>
          <w:lang w:val="es-ES_tradnl"/>
        </w:rPr>
        <w:t>La convocatoria para las veedurías ciudadanas.</w:t>
      </w:r>
    </w:p>
    <w:p w14:paraId="01F0DC29"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103AB7B6" w14:textId="4A078EB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6</w:t>
      </w:r>
      <w:r w:rsidR="00B52AE8" w:rsidRPr="00970CAB">
        <w:rPr>
          <w:rFonts w:ascii="Arial" w:eastAsia="Arial" w:hAnsi="Arial" w:cs="Arial"/>
          <w:color w:val="000000" w:themeColor="text1"/>
          <w:sz w:val="21"/>
          <w:szCs w:val="21"/>
          <w:lang w:val="es-ES_tradnl"/>
        </w:rPr>
        <w:t xml:space="preserve">. </w:t>
      </w:r>
      <w:r w:rsidRPr="00970CAB">
        <w:rPr>
          <w:rFonts w:ascii="Arial" w:eastAsia="Arial" w:hAnsi="Arial" w:cs="Arial"/>
          <w:color w:val="000000" w:themeColor="text1"/>
          <w:sz w:val="21"/>
          <w:szCs w:val="21"/>
          <w:lang w:val="es-ES_tradnl"/>
        </w:rPr>
        <w:t>El certificado de disponibilidad presupuestal, en concordancia con las normas orgánicas correspondientes.</w:t>
      </w:r>
    </w:p>
    <w:p w14:paraId="37A6780B" w14:textId="77777777" w:rsidR="00C6636F" w:rsidRPr="00970CAB" w:rsidRDefault="00C6636F" w:rsidP="00C6636F">
      <w:pPr>
        <w:widowControl w:val="0"/>
        <w:autoSpaceDE w:val="0"/>
        <w:autoSpaceDN w:val="0"/>
        <w:ind w:left="709" w:right="893"/>
        <w:jc w:val="both"/>
        <w:rPr>
          <w:rFonts w:ascii="Arial" w:eastAsia="Arial" w:hAnsi="Arial" w:cs="Arial"/>
          <w:color w:val="000000" w:themeColor="text1"/>
          <w:sz w:val="21"/>
          <w:szCs w:val="21"/>
          <w:lang w:val="es-ES_tradnl"/>
        </w:rPr>
      </w:pPr>
    </w:p>
    <w:p w14:paraId="08580DF3" w14:textId="1EB09C93" w:rsidR="00C6636F" w:rsidRPr="00970CAB" w:rsidRDefault="00C6636F" w:rsidP="00C6636F">
      <w:pPr>
        <w:widowControl w:val="0"/>
        <w:autoSpaceDE w:val="0"/>
        <w:autoSpaceDN w:val="0"/>
        <w:ind w:left="709" w:right="890"/>
        <w:jc w:val="both"/>
        <w:rPr>
          <w:rFonts w:ascii="Arial" w:eastAsia="Arial" w:hAnsi="Arial" w:cs="Arial"/>
          <w:color w:val="000000" w:themeColor="text1"/>
          <w:sz w:val="21"/>
          <w:szCs w:val="21"/>
          <w:lang w:val="es-ES_tradnl"/>
        </w:rPr>
      </w:pPr>
      <w:r w:rsidRPr="00970CAB">
        <w:rPr>
          <w:rFonts w:ascii="Arial" w:eastAsia="Arial" w:hAnsi="Arial" w:cs="Arial"/>
          <w:color w:val="000000" w:themeColor="text1"/>
          <w:sz w:val="21"/>
          <w:szCs w:val="21"/>
          <w:lang w:val="es-ES_tradnl"/>
        </w:rPr>
        <w:t>7.</w:t>
      </w:r>
      <w:r w:rsidR="00B52AE8" w:rsidRPr="00970CAB">
        <w:rPr>
          <w:rFonts w:ascii="Arial" w:eastAsia="Arial" w:hAnsi="Arial" w:cs="Arial"/>
          <w:color w:val="000000" w:themeColor="text1"/>
          <w:sz w:val="21"/>
          <w:szCs w:val="21"/>
          <w:lang w:val="es-ES_tradnl"/>
        </w:rPr>
        <w:t xml:space="preserve"> </w:t>
      </w:r>
      <w:r w:rsidRPr="00970CAB">
        <w:rPr>
          <w:rFonts w:ascii="Arial" w:eastAsia="Arial" w:hAnsi="Arial" w:cs="Arial"/>
          <w:color w:val="000000" w:themeColor="text1"/>
          <w:sz w:val="21"/>
          <w:szCs w:val="21"/>
          <w:lang w:val="es-ES_tradnl"/>
        </w:rPr>
        <w:t>Los demás asuntos que se consideren pertinentes de acuerdo con cada una de las modalidades de selección.</w:t>
      </w:r>
    </w:p>
    <w:p w14:paraId="351BCF7C" w14:textId="77777777" w:rsidR="00C6636F" w:rsidRPr="00970CAB" w:rsidRDefault="00C6636F" w:rsidP="00C6636F">
      <w:pPr>
        <w:widowControl w:val="0"/>
        <w:autoSpaceDE w:val="0"/>
        <w:autoSpaceDN w:val="0"/>
        <w:ind w:left="709" w:right="890"/>
        <w:jc w:val="both"/>
        <w:rPr>
          <w:rFonts w:ascii="Arial" w:eastAsia="Arial" w:hAnsi="Arial" w:cs="Arial"/>
          <w:color w:val="000000" w:themeColor="text1"/>
          <w:sz w:val="21"/>
          <w:szCs w:val="21"/>
          <w:lang w:val="es-ES_tradnl"/>
        </w:rPr>
      </w:pPr>
    </w:p>
    <w:p w14:paraId="06F3A855" w14:textId="7C8B75B1" w:rsidR="00C6636F" w:rsidRPr="00970CAB" w:rsidRDefault="00C6636F" w:rsidP="008F3B97">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970CAB">
        <w:rPr>
          <w:rFonts w:ascii="Arial" w:eastAsia="Arial" w:hAnsi="Arial" w:cs="Arial"/>
          <w:color w:val="000000" w:themeColor="text1"/>
          <w:sz w:val="22"/>
          <w:szCs w:val="22"/>
          <w:lang w:val="es-ES_tradnl"/>
        </w:rPr>
        <w:t xml:space="preserve">Con base en la norma citada es posible afirmar que el proceso de selección </w:t>
      </w:r>
      <w:r w:rsidRPr="00970CAB">
        <w:rPr>
          <w:rFonts w:ascii="Arial" w:eastAsia="Arial" w:hAnsi="Arial" w:cs="Arial"/>
          <w:i/>
          <w:iCs/>
          <w:color w:val="000000" w:themeColor="text1"/>
          <w:sz w:val="22"/>
          <w:szCs w:val="22"/>
          <w:lang w:val="es-ES_tradnl"/>
        </w:rPr>
        <w:t>inicia</w:t>
      </w:r>
      <w:r w:rsidRPr="00970CAB">
        <w:rPr>
          <w:rFonts w:ascii="Arial" w:eastAsia="Arial" w:hAnsi="Arial" w:cs="Arial"/>
          <w:color w:val="000000" w:themeColor="text1"/>
          <w:sz w:val="22"/>
          <w:szCs w:val="22"/>
          <w:lang w:val="es-ES_tradnl"/>
        </w:rPr>
        <w:t xml:space="preserve"> con el acto administrativo de apertura</w:t>
      </w:r>
      <w:r w:rsidR="00B07A58" w:rsidRPr="00970CAB">
        <w:rPr>
          <w:rFonts w:ascii="Arial" w:eastAsia="Arial" w:hAnsi="Arial" w:cs="Arial"/>
          <w:color w:val="000000" w:themeColor="text1"/>
          <w:sz w:val="22"/>
          <w:szCs w:val="22"/>
          <w:lang w:val="es-ES_tradnl"/>
        </w:rPr>
        <w:t>.</w:t>
      </w:r>
      <w:r w:rsidR="006C6B90" w:rsidRPr="00970CAB">
        <w:rPr>
          <w:rFonts w:ascii="Arial" w:eastAsia="Arial" w:hAnsi="Arial" w:cs="Arial"/>
          <w:color w:val="000000" w:themeColor="text1"/>
          <w:sz w:val="22"/>
          <w:szCs w:val="22"/>
          <w:lang w:val="es-ES_tradnl"/>
        </w:rPr>
        <w:t xml:space="preserve"> </w:t>
      </w:r>
      <w:r w:rsidR="00B07A58" w:rsidRPr="00970CAB">
        <w:rPr>
          <w:rFonts w:ascii="Arial" w:eastAsia="Arial" w:hAnsi="Arial" w:cs="Arial"/>
          <w:color w:val="000000" w:themeColor="text1"/>
          <w:sz w:val="22"/>
          <w:szCs w:val="22"/>
          <w:lang w:val="es-ES_tradnl"/>
        </w:rPr>
        <w:t>Esto</w:t>
      </w:r>
      <w:r w:rsidR="006C6B90" w:rsidRPr="00970CAB">
        <w:rPr>
          <w:rFonts w:ascii="Arial" w:eastAsia="Arial" w:hAnsi="Arial" w:cs="Arial"/>
          <w:color w:val="000000" w:themeColor="text1"/>
          <w:sz w:val="22"/>
          <w:szCs w:val="22"/>
          <w:lang w:val="es-ES_tradnl"/>
        </w:rPr>
        <w:t xml:space="preserve"> además es coherente, particularmente, con lo establecido respecto al procedimiento de licitación pública, en tanto el artículo 30, numeral 1 de la Ley 80 de 1993 establece que: «La licitación se efectuará conforme a las siguientes reglas: 1o. El jefe o representante de la entidad estatal ordenará su apertura por medio de acto administrativo motivado»</w:t>
      </w:r>
      <w:r w:rsidRPr="00970CAB">
        <w:rPr>
          <w:rFonts w:ascii="Arial" w:eastAsia="Arial" w:hAnsi="Arial" w:cs="Arial"/>
          <w:color w:val="000000" w:themeColor="text1"/>
          <w:sz w:val="22"/>
          <w:szCs w:val="22"/>
          <w:lang w:val="es-ES_tradnl"/>
        </w:rPr>
        <w:t xml:space="preserve">. En este sentido, el Consejo de Estado ha reconocido expresamente que «el acto de apertura no sólo </w:t>
      </w:r>
      <w:r w:rsidRPr="00970CAB">
        <w:rPr>
          <w:rFonts w:ascii="Arial" w:eastAsia="Arial" w:hAnsi="Arial" w:cs="Arial"/>
          <w:i/>
          <w:iCs/>
          <w:color w:val="000000" w:themeColor="text1"/>
          <w:sz w:val="22"/>
          <w:szCs w:val="22"/>
          <w:lang w:val="es-ES_tradnl"/>
        </w:rPr>
        <w:t>da inicio al proceso de selección</w:t>
      </w:r>
      <w:r w:rsidRPr="00970CAB">
        <w:rPr>
          <w:rFonts w:ascii="Arial" w:eastAsia="Arial" w:hAnsi="Arial" w:cs="Arial"/>
          <w:color w:val="000000" w:themeColor="text1"/>
          <w:sz w:val="22"/>
          <w:szCs w:val="22"/>
          <w:lang w:val="es-ES_tradnl"/>
        </w:rPr>
        <w:t>, su principal y más importante característica es que constituye una especie de policitación que realiza la administración pública, para que los interesados, que reúnan ciertas condiciones, formulen sus ofrecimientos en los plazos y con el lleno de los requisitos previstos en los pliegos de condiciones»</w:t>
      </w:r>
      <w:r w:rsidRPr="00970CAB">
        <w:rPr>
          <w:rStyle w:val="Refdenotaalpie"/>
          <w:rFonts w:ascii="Arial" w:eastAsia="Arial" w:hAnsi="Arial" w:cs="Arial"/>
          <w:color w:val="000000" w:themeColor="text1"/>
          <w:sz w:val="22"/>
          <w:szCs w:val="22"/>
          <w:lang w:val="es-ES_tradnl"/>
        </w:rPr>
        <w:footnoteReference w:id="13"/>
      </w:r>
      <w:r w:rsidRPr="00970CAB">
        <w:rPr>
          <w:rFonts w:ascii="Arial" w:eastAsia="Arial" w:hAnsi="Arial" w:cs="Arial"/>
          <w:color w:val="000000" w:themeColor="text1"/>
          <w:sz w:val="22"/>
          <w:szCs w:val="22"/>
          <w:lang w:val="es-ES_tradnl"/>
        </w:rPr>
        <w:t xml:space="preserve"> (Cursiva fuera del original).</w:t>
      </w:r>
    </w:p>
    <w:p w14:paraId="4C8D8804" w14:textId="11C0D9DC" w:rsidR="00C6636F" w:rsidRPr="00970CAB" w:rsidRDefault="00C6636F" w:rsidP="00B15E5D">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970CAB">
        <w:rPr>
          <w:rFonts w:ascii="Arial" w:eastAsia="Arial" w:hAnsi="Arial" w:cs="Arial"/>
          <w:color w:val="000000" w:themeColor="text1"/>
          <w:sz w:val="22"/>
          <w:szCs w:val="22"/>
          <w:lang w:val="es-ES_tradnl"/>
        </w:rPr>
        <w:t xml:space="preserve">Ahora bien, esta Subdirección considera relevante advertir que esto será así por regla general, pues el acto de apertura del proceso de selección puede contener una fecha distinta a su expedición para el inicio de su vigencia. En efecto, dentro del contenido </w:t>
      </w:r>
      <w:r w:rsidR="0044415B" w:rsidRPr="00970CAB">
        <w:rPr>
          <w:rFonts w:ascii="Arial" w:eastAsia="Arial" w:hAnsi="Arial" w:cs="Arial"/>
          <w:color w:val="000000" w:themeColor="text1"/>
          <w:sz w:val="22"/>
          <w:szCs w:val="22"/>
          <w:lang w:val="es-ES_tradnl"/>
        </w:rPr>
        <w:t>eventual</w:t>
      </w:r>
      <w:r w:rsidRPr="00970CAB">
        <w:rPr>
          <w:rFonts w:ascii="Arial" w:eastAsia="Arial" w:hAnsi="Arial" w:cs="Arial"/>
          <w:color w:val="000000" w:themeColor="text1"/>
          <w:sz w:val="22"/>
          <w:szCs w:val="22"/>
          <w:lang w:val="es-ES_tradnl"/>
        </w:rPr>
        <w:t xml:space="preserve"> de los actos administrativos se encuentra la posibilidad de que quien los expide someta su vigencia a la ocurrencia de determinado plazo –como sucede de forma más común con una especie de los actos administrativos: los reglamentos–, en cuyo caso el acto producirá efectos cuando llegue dicho término. Esto quiere decir que el acto administrativo de apertura puede expedirse y publicarse, por ejemplo, el jueves de una semana, pero en su contenido puede indicarse que empezará a producir efectos a partir del martes, caso en el cual la apertura </w:t>
      </w:r>
      <w:r w:rsidR="00B07A58" w:rsidRPr="00970CAB">
        <w:rPr>
          <w:rFonts w:ascii="Arial" w:eastAsia="Arial" w:hAnsi="Arial" w:cs="Arial"/>
          <w:color w:val="000000" w:themeColor="text1"/>
          <w:sz w:val="22"/>
          <w:szCs w:val="22"/>
          <w:lang w:val="es-ES_tradnl"/>
        </w:rPr>
        <w:t xml:space="preserve">y, por tanto, el inicio del procedimiento de selección </w:t>
      </w:r>
      <w:r w:rsidRPr="00970CAB">
        <w:rPr>
          <w:rFonts w:ascii="Arial" w:eastAsia="Arial" w:hAnsi="Arial" w:cs="Arial"/>
          <w:color w:val="000000" w:themeColor="text1"/>
          <w:sz w:val="22"/>
          <w:szCs w:val="22"/>
          <w:lang w:val="es-ES_tradnl"/>
        </w:rPr>
        <w:t>será el martes y no el jueves.</w:t>
      </w:r>
    </w:p>
    <w:p w14:paraId="6CA7D1B3" w14:textId="77777777" w:rsidR="00C6636F" w:rsidRPr="00970CAB" w:rsidRDefault="00C6636F" w:rsidP="00B15E5D">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970CAB">
        <w:rPr>
          <w:rFonts w:ascii="Arial" w:eastAsia="Arial" w:hAnsi="Arial" w:cs="Arial"/>
          <w:color w:val="000000" w:themeColor="text1"/>
          <w:sz w:val="22"/>
          <w:szCs w:val="22"/>
          <w:lang w:val="es-ES_tradnl"/>
        </w:rPr>
        <w:t>No obstante, se advierte que esta es una consideración teórica, en la medida en que, por regla general, la apertura del procedimiento de selección, esto es, su inicio, coincide con la expedición del acto administrativo de apertura del procedimiento de selección, por no sujetarse sus efectos a una fecha posterior.</w:t>
      </w:r>
    </w:p>
    <w:p w14:paraId="7D24AE78" w14:textId="6E9C38A1" w:rsidR="00C6636F" w:rsidRPr="00970CAB" w:rsidRDefault="00C6636F" w:rsidP="00B15E5D">
      <w:pPr>
        <w:widowControl w:val="0"/>
        <w:autoSpaceDE w:val="0"/>
        <w:autoSpaceDN w:val="0"/>
        <w:spacing w:before="93" w:line="276" w:lineRule="auto"/>
        <w:ind w:firstLine="709"/>
        <w:jc w:val="both"/>
        <w:rPr>
          <w:rFonts w:ascii="Arial" w:eastAsia="Arial" w:hAnsi="Arial" w:cs="Arial"/>
          <w:color w:val="000000" w:themeColor="text1"/>
          <w:sz w:val="22"/>
          <w:szCs w:val="22"/>
          <w:lang w:val="es-ES_tradnl"/>
        </w:rPr>
      </w:pPr>
      <w:r w:rsidRPr="00970CAB">
        <w:rPr>
          <w:rFonts w:ascii="Arial" w:eastAsia="Arial" w:hAnsi="Arial" w:cs="Arial"/>
          <w:color w:val="000000" w:themeColor="text1"/>
          <w:sz w:val="22"/>
          <w:szCs w:val="22"/>
          <w:lang w:val="es-ES_tradnl"/>
        </w:rPr>
        <w:t>Para las modalidades de contratación directa y de mínima cuantía, el ordenamiento no exige el acto administrativo de apertura del procedimiento de selección</w:t>
      </w:r>
      <w:r w:rsidR="003E0D76" w:rsidRPr="00970CAB">
        <w:rPr>
          <w:rFonts w:ascii="Arial" w:eastAsia="Arial" w:hAnsi="Arial" w:cs="Arial"/>
          <w:color w:val="000000" w:themeColor="text1"/>
          <w:sz w:val="22"/>
          <w:szCs w:val="22"/>
          <w:lang w:val="es-ES_tradnl"/>
        </w:rPr>
        <w:t>. P</w:t>
      </w:r>
      <w:r w:rsidRPr="00970CAB">
        <w:rPr>
          <w:rFonts w:ascii="Arial" w:eastAsia="Arial" w:hAnsi="Arial" w:cs="Arial"/>
          <w:color w:val="000000" w:themeColor="text1"/>
          <w:sz w:val="22"/>
          <w:szCs w:val="22"/>
          <w:lang w:val="es-ES_tradnl"/>
        </w:rPr>
        <w:t>or lo tanto</w:t>
      </w:r>
      <w:r w:rsidR="003E0D76" w:rsidRPr="00970CAB">
        <w:rPr>
          <w:rFonts w:ascii="Arial" w:eastAsia="Arial" w:hAnsi="Arial" w:cs="Arial"/>
          <w:color w:val="000000" w:themeColor="text1"/>
          <w:sz w:val="22"/>
          <w:szCs w:val="22"/>
          <w:lang w:val="es-ES_tradnl"/>
        </w:rPr>
        <w:t>,</w:t>
      </w:r>
      <w:r w:rsidRPr="00970CAB">
        <w:rPr>
          <w:rFonts w:ascii="Arial" w:eastAsia="Arial" w:hAnsi="Arial" w:cs="Arial"/>
          <w:color w:val="000000" w:themeColor="text1"/>
          <w:sz w:val="22"/>
          <w:szCs w:val="22"/>
          <w:lang w:val="es-ES_tradnl"/>
        </w:rPr>
        <w:t xml:space="preserve"> no </w:t>
      </w:r>
      <w:r w:rsidRPr="00970CAB">
        <w:rPr>
          <w:rFonts w:ascii="Arial" w:eastAsia="Arial" w:hAnsi="Arial" w:cs="Arial"/>
          <w:color w:val="000000" w:themeColor="text1"/>
          <w:sz w:val="22"/>
          <w:szCs w:val="22"/>
          <w:lang w:val="es-ES_tradnl"/>
        </w:rPr>
        <w:lastRenderedPageBreak/>
        <w:t xml:space="preserve">hay una norma que señale el momento en que inician estos procedimientos. En tal sentido, resulta procedente indagar </w:t>
      </w:r>
      <w:r w:rsidR="0013371D" w:rsidRPr="00970CAB">
        <w:rPr>
          <w:rFonts w:ascii="Arial" w:eastAsia="Arial" w:hAnsi="Arial" w:cs="Arial"/>
          <w:color w:val="000000" w:themeColor="text1"/>
          <w:sz w:val="22"/>
          <w:szCs w:val="22"/>
          <w:lang w:val="es-ES_tradnl"/>
        </w:rPr>
        <w:t>qué</w:t>
      </w:r>
      <w:r w:rsidRPr="00970CAB">
        <w:rPr>
          <w:rFonts w:ascii="Arial" w:eastAsia="Arial" w:hAnsi="Arial" w:cs="Arial"/>
          <w:color w:val="000000" w:themeColor="text1"/>
          <w:sz w:val="22"/>
          <w:szCs w:val="22"/>
          <w:lang w:val="es-ES_tradnl"/>
        </w:rPr>
        <w:t xml:space="preserve"> acto haría las veces de la apertura en estas dos modalidades de selección.</w:t>
      </w:r>
    </w:p>
    <w:p w14:paraId="034627E9" w14:textId="3E30DBFD" w:rsidR="00C6636F" w:rsidRPr="00970CAB" w:rsidRDefault="00C6636F" w:rsidP="00B15E5D">
      <w:pPr>
        <w:widowControl w:val="0"/>
        <w:autoSpaceDE w:val="0"/>
        <w:autoSpaceDN w:val="0"/>
        <w:spacing w:before="93" w:line="276" w:lineRule="auto"/>
        <w:ind w:firstLine="709"/>
        <w:jc w:val="both"/>
        <w:rPr>
          <w:rFonts w:ascii="Arial" w:eastAsia="Arial" w:hAnsi="Arial" w:cs="Arial"/>
          <w:color w:val="000000" w:themeColor="text1"/>
          <w:sz w:val="22"/>
          <w:szCs w:val="22"/>
          <w:lang w:val="es-ES_tradnl"/>
        </w:rPr>
      </w:pPr>
      <w:r w:rsidRPr="00970CAB">
        <w:rPr>
          <w:rFonts w:ascii="Arial" w:eastAsia="Arial" w:hAnsi="Arial" w:cs="Arial"/>
          <w:color w:val="000000" w:themeColor="text1"/>
          <w:sz w:val="22"/>
          <w:szCs w:val="22"/>
          <w:lang w:val="es-ES_tradnl"/>
        </w:rPr>
        <w:t>Para esta Subdirección, debe entenderse que la entidad estatal abre el procedimiento de selección de mínima cuantía con la publicación de la invitación a presentar ofertas, de que trata el literal a) del numeral 5 del artículo 2 de la Ley 1150 de 2007, por lo que</w:t>
      </w:r>
      <w:r w:rsidR="005E5BD6" w:rsidRPr="00970CAB">
        <w:rPr>
          <w:rFonts w:ascii="Arial" w:eastAsia="Arial" w:hAnsi="Arial" w:cs="Arial"/>
          <w:color w:val="000000" w:themeColor="text1"/>
          <w:sz w:val="22"/>
          <w:szCs w:val="22"/>
          <w:lang w:val="es-ES_tradnl"/>
        </w:rPr>
        <w:t>,</w:t>
      </w:r>
      <w:r w:rsidRPr="00970CAB">
        <w:rPr>
          <w:rFonts w:ascii="Arial" w:eastAsia="Arial" w:hAnsi="Arial" w:cs="Arial"/>
          <w:color w:val="000000" w:themeColor="text1"/>
          <w:sz w:val="22"/>
          <w:szCs w:val="22"/>
          <w:lang w:val="es-ES_tradnl"/>
        </w:rPr>
        <w:t xml:space="preserve"> para esta modalidad</w:t>
      </w:r>
      <w:r w:rsidR="005E5BD6" w:rsidRPr="00970CAB">
        <w:rPr>
          <w:rFonts w:ascii="Arial" w:eastAsia="Arial" w:hAnsi="Arial" w:cs="Arial"/>
          <w:color w:val="000000" w:themeColor="text1"/>
          <w:sz w:val="22"/>
          <w:szCs w:val="22"/>
          <w:lang w:val="es-ES_tradnl"/>
        </w:rPr>
        <w:t>,</w:t>
      </w:r>
      <w:r w:rsidRPr="00970CAB">
        <w:rPr>
          <w:rFonts w:ascii="Arial" w:eastAsia="Arial" w:hAnsi="Arial" w:cs="Arial"/>
          <w:color w:val="000000" w:themeColor="text1"/>
          <w:sz w:val="22"/>
          <w:szCs w:val="22"/>
          <w:lang w:val="es-ES_tradnl"/>
        </w:rPr>
        <w:t xml:space="preserve"> este sería el acto equivalente a la apertura del procedimiento. Incluso, este documento además de implicar la apertura e inicio del procedimiento de </w:t>
      </w:r>
      <w:proofErr w:type="gramStart"/>
      <w:r w:rsidRPr="00970CAB">
        <w:rPr>
          <w:rFonts w:ascii="Arial" w:eastAsia="Arial" w:hAnsi="Arial" w:cs="Arial"/>
          <w:color w:val="000000" w:themeColor="text1"/>
          <w:sz w:val="22"/>
          <w:szCs w:val="22"/>
          <w:lang w:val="es-ES_tradnl"/>
        </w:rPr>
        <w:t>selección,</w:t>
      </w:r>
      <w:proofErr w:type="gramEnd"/>
      <w:r w:rsidRPr="00970CAB">
        <w:rPr>
          <w:rFonts w:ascii="Arial" w:eastAsia="Arial" w:hAnsi="Arial" w:cs="Arial"/>
          <w:color w:val="000000" w:themeColor="text1"/>
          <w:sz w:val="22"/>
          <w:szCs w:val="22"/>
          <w:lang w:val="es-ES_tradnl"/>
        </w:rPr>
        <w:t xml:space="preserve"> contiene las condiciones para participar en el mismo, por lo que también haría las veces del pliego de condiciones, si se comparara con lo que ocurre en las demás modalidades.</w:t>
      </w:r>
    </w:p>
    <w:p w14:paraId="3575C1EE" w14:textId="77777777" w:rsidR="00C6636F" w:rsidRPr="00970CAB" w:rsidRDefault="00C6636F" w:rsidP="00B15E5D">
      <w:pPr>
        <w:widowControl w:val="0"/>
        <w:autoSpaceDE w:val="0"/>
        <w:autoSpaceDN w:val="0"/>
        <w:spacing w:before="93" w:line="276" w:lineRule="auto"/>
        <w:ind w:firstLine="709"/>
        <w:jc w:val="both"/>
        <w:rPr>
          <w:rFonts w:ascii="Arial" w:eastAsia="Arial" w:hAnsi="Arial" w:cs="Arial"/>
          <w:color w:val="000000" w:themeColor="text1"/>
          <w:sz w:val="22"/>
          <w:szCs w:val="22"/>
          <w:lang w:val="es-ES_tradnl"/>
        </w:rPr>
      </w:pPr>
      <w:r w:rsidRPr="00970CAB">
        <w:rPr>
          <w:rFonts w:ascii="Arial" w:eastAsia="Arial" w:hAnsi="Arial" w:cs="Arial"/>
          <w:color w:val="000000" w:themeColor="text1"/>
          <w:sz w:val="22"/>
          <w:szCs w:val="22"/>
          <w:lang w:val="es-ES_tradnl"/>
        </w:rPr>
        <w:t>No obstante, en relación con la modalidad de contratación directa, el ordenamiento no establece un acto similar al de apertura que defina el inicio del procedimiento de selección, pues si bien existen varios documentos y requisitos previos que se deben cumplir, antes de suscribir el contrato, ninguno de ellos conduce o da lugar al «inicio» del procedimiento, sino que todos ellos son fundamento de la planeación enfocados a la concreción directa en el contrato.</w:t>
      </w:r>
    </w:p>
    <w:p w14:paraId="07EC494E" w14:textId="4A9B20F0" w:rsidR="00674A7D" w:rsidRPr="00970CAB" w:rsidRDefault="00214BB7" w:rsidP="00674A7D">
      <w:pPr>
        <w:spacing w:before="120" w:line="276" w:lineRule="auto"/>
        <w:ind w:firstLine="709"/>
        <w:jc w:val="both"/>
        <w:rPr>
          <w:rFonts w:ascii="Arial" w:eastAsia="Arial" w:hAnsi="Arial" w:cs="Arial"/>
          <w:color w:val="000000" w:themeColor="text1"/>
          <w:sz w:val="22"/>
          <w:lang w:val="es-ES_tradnl"/>
        </w:rPr>
      </w:pPr>
      <w:r w:rsidRPr="00970CAB">
        <w:rPr>
          <w:rFonts w:ascii="Arial" w:eastAsia="Calibri" w:hAnsi="Arial" w:cs="Arial"/>
          <w:color w:val="000000" w:themeColor="text1"/>
          <w:sz w:val="22"/>
          <w:lang w:val="es-ES_tradnl"/>
        </w:rPr>
        <w:t xml:space="preserve">En conclusión, </w:t>
      </w:r>
      <w:r w:rsidR="00674A7D" w:rsidRPr="00970CAB">
        <w:rPr>
          <w:rFonts w:ascii="Arial" w:eastAsia="Calibri" w:hAnsi="Arial" w:cs="Arial"/>
          <w:color w:val="000000" w:themeColor="text1"/>
          <w:sz w:val="22"/>
          <w:lang w:val="es-ES_tradnl"/>
        </w:rPr>
        <w:t>los factores de desempate regulados en el artículo 35 de la Ley 2069 de 2020</w:t>
      </w:r>
      <w:r w:rsidR="00674A7D" w:rsidRPr="00970CAB">
        <w:rPr>
          <w:rFonts w:ascii="Arial" w:eastAsia="Arial" w:hAnsi="Arial" w:cs="Arial"/>
          <w:color w:val="000000" w:themeColor="text1"/>
          <w:sz w:val="22"/>
          <w:lang w:val="es-ES_tradnl"/>
        </w:rPr>
        <w:t xml:space="preserve"> son obligatorios para los procedimientos de selección </w:t>
      </w:r>
      <w:r w:rsidR="00674A7D" w:rsidRPr="00970CAB">
        <w:rPr>
          <w:rFonts w:ascii="Arial" w:eastAsia="Arial" w:hAnsi="Arial" w:cs="Arial"/>
          <w:i/>
          <w:iCs/>
          <w:color w:val="000000" w:themeColor="text1"/>
          <w:sz w:val="22"/>
          <w:lang w:val="es-ES_tradnl"/>
        </w:rPr>
        <w:t>iniciados</w:t>
      </w:r>
      <w:r w:rsidR="00674A7D" w:rsidRPr="00970CAB">
        <w:rPr>
          <w:rFonts w:ascii="Arial" w:eastAsia="Arial" w:hAnsi="Arial" w:cs="Arial"/>
          <w:color w:val="000000" w:themeColor="text1"/>
          <w:sz w:val="22"/>
          <w:lang w:val="es-ES_tradnl"/>
        </w:rPr>
        <w:t xml:space="preserve"> con posterioridad a su </w:t>
      </w:r>
      <w:proofErr w:type="gramStart"/>
      <w:r w:rsidR="00674A7D" w:rsidRPr="00970CAB">
        <w:rPr>
          <w:rFonts w:ascii="Arial" w:eastAsia="Arial" w:hAnsi="Arial" w:cs="Arial"/>
          <w:color w:val="000000" w:themeColor="text1"/>
          <w:sz w:val="22"/>
          <w:lang w:val="es-ES_tradnl"/>
        </w:rPr>
        <w:t>entrada en vigencia</w:t>
      </w:r>
      <w:proofErr w:type="gramEnd"/>
      <w:r w:rsidR="004561A8" w:rsidRPr="00970CAB">
        <w:rPr>
          <w:rFonts w:ascii="Arial" w:eastAsia="Arial" w:hAnsi="Arial" w:cs="Arial"/>
          <w:color w:val="000000" w:themeColor="text1"/>
          <w:sz w:val="22"/>
          <w:lang w:val="es-ES_tradnl"/>
        </w:rPr>
        <w:t>,</w:t>
      </w:r>
      <w:r w:rsidR="00674A7D" w:rsidRPr="00970CAB">
        <w:rPr>
          <w:rFonts w:ascii="Arial" w:eastAsia="Arial" w:hAnsi="Arial" w:cs="Arial"/>
          <w:color w:val="000000" w:themeColor="text1"/>
          <w:sz w:val="22"/>
          <w:lang w:val="es-ES_tradnl"/>
        </w:rPr>
        <w:t xml:space="preserve"> no </w:t>
      </w:r>
      <w:r w:rsidR="00371A1B" w:rsidRPr="00970CAB">
        <w:rPr>
          <w:rFonts w:ascii="Arial" w:eastAsia="Arial" w:hAnsi="Arial" w:cs="Arial"/>
          <w:color w:val="000000" w:themeColor="text1"/>
          <w:sz w:val="22"/>
          <w:lang w:val="es-ES_tradnl"/>
        </w:rPr>
        <w:t>para</w:t>
      </w:r>
      <w:r w:rsidR="00674A7D" w:rsidRPr="00970CAB">
        <w:rPr>
          <w:rFonts w:ascii="Arial" w:eastAsia="Arial" w:hAnsi="Arial" w:cs="Arial"/>
          <w:color w:val="000000" w:themeColor="text1"/>
          <w:sz w:val="22"/>
          <w:lang w:val="es-ES_tradnl"/>
        </w:rPr>
        <w:t xml:space="preserve"> los anteriores. El artículo 84 de la referida Ley dispone que «[…] rige a partir del momento de su promulgación», pero este precepto debe interpretarse con el matiz previsto en el artículo 40 de la Ley 153 de 1887.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w:t>
      </w:r>
    </w:p>
    <w:p w14:paraId="3187257A" w14:textId="4E93C8B8" w:rsidR="004F2764" w:rsidRPr="00970CAB" w:rsidRDefault="004F2764" w:rsidP="00FF1D1B">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Es decir, si al 31 de diciembre de 2020 no se había publicado el acto administrativo de apertura o de invitación, según la modalidad que resultara aplicable, puede afirmarse que el procedimiento de selección no había </w:t>
      </w:r>
      <w:r w:rsidRPr="00970CAB">
        <w:rPr>
          <w:rFonts w:ascii="Arial" w:eastAsia="Calibri" w:hAnsi="Arial" w:cs="Arial"/>
          <w:i/>
          <w:iCs/>
          <w:color w:val="000000" w:themeColor="text1"/>
          <w:sz w:val="22"/>
          <w:szCs w:val="22"/>
          <w:lang w:val="es-ES_tradnl"/>
        </w:rPr>
        <w:t>iniciado</w:t>
      </w:r>
      <w:r w:rsidRPr="00970CAB">
        <w:rPr>
          <w:rFonts w:ascii="Arial" w:eastAsia="Calibri" w:hAnsi="Arial" w:cs="Arial"/>
          <w:color w:val="000000" w:themeColor="text1"/>
          <w:sz w:val="22"/>
          <w:szCs w:val="22"/>
          <w:lang w:val="es-ES_tradnl"/>
        </w:rPr>
        <w:t xml:space="preserve"> formalmente. Esto significa que la diligencia o trámite procesal no había comenzado. Por ende, en tal caso, de conformidad con el primer inciso del artículo 40 de la Ley 153 de 1887, las entidades estatales debían adecuar los documentos del proceso, teniendo en cuenta los factores de desempate del artículo 35 de la Ley 2069 de 2020, antes de publicar el acto administrativo de apertura o de invitación, si para la fecha de publicación de este –se insiste– ya había entrado a regir tal Ley. Pero, si el acto que inicia el procedimiento de selección se había publicado antes del 31 de diciembre de 2020, las entidades estatales no estaban obligadas a aplicar los factores de desempate del artículo 35 de la Ley 2069 de 2020, porque la diligencia o trámite </w:t>
      </w:r>
      <w:r w:rsidRPr="00970CAB">
        <w:rPr>
          <w:rFonts w:ascii="Arial" w:eastAsia="Calibri" w:hAnsi="Arial" w:cs="Arial"/>
          <w:color w:val="000000" w:themeColor="text1"/>
          <w:sz w:val="22"/>
          <w:szCs w:val="22"/>
          <w:lang w:val="es-ES_tradnl"/>
        </w:rPr>
        <w:lastRenderedPageBreak/>
        <w:t xml:space="preserve">procesal ya había comenzado. Es decir, en este evento se habría cumplido la condición para la aplicación </w:t>
      </w:r>
      <w:proofErr w:type="spellStart"/>
      <w:r w:rsidRPr="00970CAB">
        <w:rPr>
          <w:rFonts w:ascii="Arial" w:eastAsia="Calibri" w:hAnsi="Arial" w:cs="Arial"/>
          <w:color w:val="000000" w:themeColor="text1"/>
          <w:sz w:val="22"/>
          <w:szCs w:val="22"/>
          <w:lang w:val="es-ES_tradnl"/>
        </w:rPr>
        <w:t>ultractiva</w:t>
      </w:r>
      <w:proofErr w:type="spellEnd"/>
      <w:r w:rsidRPr="00970CAB">
        <w:rPr>
          <w:rFonts w:ascii="Arial" w:eastAsia="Calibri" w:hAnsi="Arial" w:cs="Arial"/>
          <w:color w:val="000000" w:themeColor="text1"/>
          <w:sz w:val="22"/>
          <w:szCs w:val="22"/>
          <w:lang w:val="es-ES_tradnl"/>
        </w:rPr>
        <w:t xml:space="preserve"> de la norma procesal prevista en el segundo inciso del artículo 40 de la Ley 2069 de 2020, según la cual «</w:t>
      </w:r>
      <w:r w:rsidRPr="00970CAB">
        <w:rPr>
          <w:rFonts w:ascii="Arial" w:hAnsi="Arial" w:cs="Arial"/>
          <w:color w:val="000000" w:themeColor="text1"/>
          <w:sz w:val="22"/>
          <w:szCs w:val="22"/>
          <w:lang w:val="es-ES_tradnl"/>
        </w:rPr>
        <w:t>[…]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r w:rsidR="00FF1D1B" w:rsidRPr="00970CAB">
        <w:rPr>
          <w:rStyle w:val="Refdenotaalpie"/>
          <w:rFonts w:ascii="Arial" w:hAnsi="Arial" w:cs="Arial"/>
          <w:color w:val="000000" w:themeColor="text1"/>
          <w:sz w:val="22"/>
          <w:szCs w:val="22"/>
          <w:lang w:val="es-ES_tradnl"/>
        </w:rPr>
        <w:footnoteReference w:id="14"/>
      </w:r>
      <w:r w:rsidRPr="00970CAB">
        <w:rPr>
          <w:rFonts w:ascii="Arial" w:hAnsi="Arial" w:cs="Arial"/>
          <w:color w:val="000000" w:themeColor="text1"/>
          <w:sz w:val="22"/>
          <w:szCs w:val="22"/>
          <w:lang w:val="es-ES_tradnl"/>
        </w:rPr>
        <w:t>. </w:t>
      </w:r>
    </w:p>
    <w:p w14:paraId="77C721C8" w14:textId="77777777" w:rsidR="00CF16CF" w:rsidRPr="00970CAB" w:rsidRDefault="00CF16CF" w:rsidP="00CF16CF">
      <w:pPr>
        <w:spacing w:line="276" w:lineRule="auto"/>
        <w:jc w:val="both"/>
        <w:rPr>
          <w:rFonts w:ascii="Arial" w:eastAsia="Calibri" w:hAnsi="Arial" w:cs="Arial"/>
          <w:b/>
          <w:bCs/>
          <w:color w:val="000000" w:themeColor="text1"/>
          <w:sz w:val="22"/>
          <w:szCs w:val="22"/>
          <w:lang w:val="es-ES_tradnl"/>
        </w:rPr>
      </w:pPr>
    </w:p>
    <w:p w14:paraId="6E5DC6EB" w14:textId="0D94C5E8" w:rsidR="00B355C6" w:rsidRPr="00970CAB" w:rsidRDefault="00B355C6" w:rsidP="00CF16CF">
      <w:pPr>
        <w:spacing w:line="276" w:lineRule="auto"/>
        <w:jc w:val="both"/>
        <w:rPr>
          <w:rFonts w:ascii="Arial" w:eastAsia="Calibri" w:hAnsi="Arial" w:cs="Arial"/>
          <w:b/>
          <w:bCs/>
          <w:color w:val="000000" w:themeColor="text1"/>
          <w:sz w:val="22"/>
          <w:szCs w:val="22"/>
          <w:lang w:val="es-ES_tradnl"/>
        </w:rPr>
      </w:pPr>
      <w:r w:rsidRPr="00970CAB">
        <w:rPr>
          <w:rFonts w:ascii="Arial" w:eastAsia="Calibri" w:hAnsi="Arial" w:cs="Arial"/>
          <w:b/>
          <w:bCs/>
          <w:color w:val="000000" w:themeColor="text1"/>
          <w:sz w:val="22"/>
          <w:szCs w:val="22"/>
          <w:lang w:val="es-ES_tradnl"/>
        </w:rPr>
        <w:t>2.4. Alcance del numeral 4 del artículo 35 de la Ley 2069 de 2020</w:t>
      </w:r>
      <w:r w:rsidR="0043097D" w:rsidRPr="00970CAB">
        <w:rPr>
          <w:rFonts w:ascii="Arial" w:eastAsia="Calibri" w:hAnsi="Arial" w:cs="Arial"/>
          <w:b/>
          <w:bCs/>
          <w:color w:val="000000" w:themeColor="text1"/>
          <w:sz w:val="22"/>
          <w:szCs w:val="22"/>
          <w:lang w:val="es-ES_tradnl"/>
        </w:rPr>
        <w:t>. El caso de la sustitución de empleadores</w:t>
      </w:r>
    </w:p>
    <w:p w14:paraId="0932E088" w14:textId="77777777" w:rsidR="00CF16CF" w:rsidRPr="00970CAB" w:rsidRDefault="00CF16CF" w:rsidP="00CF16CF">
      <w:pPr>
        <w:spacing w:line="276" w:lineRule="auto"/>
        <w:jc w:val="both"/>
        <w:rPr>
          <w:rFonts w:ascii="Arial" w:eastAsia="Calibri" w:hAnsi="Arial" w:cs="Arial"/>
          <w:color w:val="000000" w:themeColor="text1"/>
          <w:sz w:val="22"/>
          <w:szCs w:val="22"/>
          <w:lang w:val="es-ES_tradnl"/>
        </w:rPr>
      </w:pPr>
    </w:p>
    <w:p w14:paraId="42EE7C20" w14:textId="5CF81C22" w:rsidR="00473A2E" w:rsidRPr="00970CAB" w:rsidRDefault="00473A2E" w:rsidP="00CF16CF">
      <w:pPr>
        <w:spacing w:line="276" w:lineRule="auto"/>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Luego de aclarar que el artículo 35 de la Ley 2069 de 2020 se encuentra vigente y que no requiere reglamentación previa para que sea exigible en los procedimientos de selección, es menester hacer referencia </w:t>
      </w:r>
      <w:r w:rsidR="00D1612B" w:rsidRPr="00970CAB">
        <w:rPr>
          <w:rFonts w:ascii="Arial" w:eastAsia="Calibri" w:hAnsi="Arial" w:cs="Arial"/>
          <w:color w:val="000000" w:themeColor="text1"/>
          <w:sz w:val="22"/>
          <w:szCs w:val="22"/>
          <w:lang w:val="es-ES_tradnl"/>
        </w:rPr>
        <w:t xml:space="preserve">a </w:t>
      </w:r>
      <w:r w:rsidR="002752E9" w:rsidRPr="00970CAB">
        <w:rPr>
          <w:rFonts w:ascii="Arial" w:eastAsia="Calibri" w:hAnsi="Arial" w:cs="Arial"/>
          <w:color w:val="000000" w:themeColor="text1"/>
          <w:sz w:val="22"/>
          <w:szCs w:val="22"/>
          <w:lang w:val="es-ES_tradnl"/>
        </w:rPr>
        <w:t>la pregunta</w:t>
      </w:r>
      <w:r w:rsidRPr="00970CAB">
        <w:rPr>
          <w:rFonts w:ascii="Arial" w:eastAsia="Calibri" w:hAnsi="Arial" w:cs="Arial"/>
          <w:color w:val="000000" w:themeColor="text1"/>
          <w:sz w:val="22"/>
          <w:szCs w:val="22"/>
          <w:lang w:val="es-ES_tradnl"/>
        </w:rPr>
        <w:t xml:space="preserve"> sobre el sentido y forma de acredita</w:t>
      </w:r>
      <w:r w:rsidR="005609DF" w:rsidRPr="00970CAB">
        <w:rPr>
          <w:rFonts w:ascii="Arial" w:eastAsia="Calibri" w:hAnsi="Arial" w:cs="Arial"/>
          <w:color w:val="000000" w:themeColor="text1"/>
          <w:sz w:val="22"/>
          <w:szCs w:val="22"/>
          <w:lang w:val="es-ES_tradnl"/>
        </w:rPr>
        <w:t>r</w:t>
      </w:r>
      <w:r w:rsidRPr="00970CAB">
        <w:rPr>
          <w:rFonts w:ascii="Arial" w:eastAsia="Calibri" w:hAnsi="Arial" w:cs="Arial"/>
          <w:color w:val="000000" w:themeColor="text1"/>
          <w:sz w:val="22"/>
          <w:szCs w:val="22"/>
          <w:lang w:val="es-ES_tradnl"/>
        </w:rPr>
        <w:t xml:space="preserve"> e</w:t>
      </w:r>
      <w:r w:rsidR="0091498A" w:rsidRPr="00970CAB">
        <w:rPr>
          <w:rFonts w:ascii="Arial" w:eastAsia="Calibri" w:hAnsi="Arial" w:cs="Arial"/>
          <w:color w:val="000000" w:themeColor="text1"/>
          <w:sz w:val="22"/>
          <w:szCs w:val="22"/>
          <w:lang w:val="es-ES_tradnl"/>
        </w:rPr>
        <w:t xml:space="preserve">l </w:t>
      </w:r>
      <w:r w:rsidRPr="00970CAB">
        <w:rPr>
          <w:rFonts w:ascii="Arial" w:eastAsia="Calibri" w:hAnsi="Arial" w:cs="Arial"/>
          <w:color w:val="000000" w:themeColor="text1"/>
          <w:sz w:val="22"/>
          <w:szCs w:val="22"/>
          <w:lang w:val="es-ES_tradnl"/>
        </w:rPr>
        <w:t xml:space="preserve">factor de desempate previsto en </w:t>
      </w:r>
      <w:r w:rsidR="0091498A" w:rsidRPr="00970CAB">
        <w:rPr>
          <w:rFonts w:ascii="Arial" w:eastAsia="Calibri" w:hAnsi="Arial" w:cs="Arial"/>
          <w:color w:val="000000" w:themeColor="text1"/>
          <w:sz w:val="22"/>
          <w:szCs w:val="22"/>
          <w:lang w:val="es-ES_tradnl"/>
        </w:rPr>
        <w:t>el</w:t>
      </w:r>
      <w:r w:rsidRPr="00970CAB">
        <w:rPr>
          <w:rFonts w:ascii="Arial" w:eastAsia="Calibri" w:hAnsi="Arial" w:cs="Arial"/>
          <w:color w:val="000000" w:themeColor="text1"/>
          <w:sz w:val="22"/>
          <w:szCs w:val="22"/>
          <w:lang w:val="es-ES_tradnl"/>
        </w:rPr>
        <w:t xml:space="preserve"> numeral 4</w:t>
      </w:r>
      <w:r w:rsidR="0091498A" w:rsidRPr="00970CAB">
        <w:rPr>
          <w:rFonts w:ascii="Arial" w:eastAsia="Calibri" w:hAnsi="Arial" w:cs="Arial"/>
          <w:color w:val="000000" w:themeColor="text1"/>
          <w:sz w:val="22"/>
          <w:szCs w:val="22"/>
          <w:lang w:val="es-ES_tradnl"/>
        </w:rPr>
        <w:t xml:space="preserve"> </w:t>
      </w:r>
      <w:r w:rsidRPr="00970CAB">
        <w:rPr>
          <w:rFonts w:ascii="Arial" w:eastAsia="Calibri" w:hAnsi="Arial" w:cs="Arial"/>
          <w:color w:val="000000" w:themeColor="text1"/>
          <w:sz w:val="22"/>
          <w:szCs w:val="22"/>
          <w:lang w:val="es-ES_tradnl"/>
        </w:rPr>
        <w:t xml:space="preserve">del artículo 35. </w:t>
      </w:r>
      <w:r w:rsidR="00B906D1" w:rsidRPr="00970CAB">
        <w:rPr>
          <w:rFonts w:ascii="Arial" w:eastAsia="Calibri" w:hAnsi="Arial" w:cs="Arial"/>
          <w:color w:val="000000" w:themeColor="text1"/>
          <w:sz w:val="22"/>
          <w:szCs w:val="22"/>
          <w:lang w:val="es-ES_tradnl"/>
        </w:rPr>
        <w:t>El</w:t>
      </w:r>
      <w:r w:rsidRPr="00970CAB">
        <w:rPr>
          <w:rFonts w:ascii="Arial" w:eastAsia="Calibri" w:hAnsi="Arial" w:cs="Arial"/>
          <w:color w:val="000000" w:themeColor="text1"/>
          <w:sz w:val="22"/>
          <w:szCs w:val="22"/>
          <w:lang w:val="es-ES_tradnl"/>
        </w:rPr>
        <w:t xml:space="preserve"> </w:t>
      </w:r>
      <w:r w:rsidR="00260AF8" w:rsidRPr="00970CAB">
        <w:rPr>
          <w:rFonts w:ascii="Arial" w:eastAsia="Calibri" w:hAnsi="Arial" w:cs="Arial"/>
          <w:color w:val="000000" w:themeColor="text1"/>
          <w:sz w:val="22"/>
          <w:szCs w:val="22"/>
          <w:lang w:val="es-ES_tradnl"/>
        </w:rPr>
        <w:t>enunciado</w:t>
      </w:r>
      <w:r w:rsidRPr="00970CAB">
        <w:rPr>
          <w:rFonts w:ascii="Arial" w:eastAsia="Calibri" w:hAnsi="Arial" w:cs="Arial"/>
          <w:color w:val="000000" w:themeColor="text1"/>
          <w:sz w:val="22"/>
          <w:szCs w:val="22"/>
          <w:lang w:val="es-ES_tradnl"/>
        </w:rPr>
        <w:t xml:space="preserve"> normativ</w:t>
      </w:r>
      <w:r w:rsidR="00260AF8" w:rsidRPr="00970CAB">
        <w:rPr>
          <w:rFonts w:ascii="Arial" w:eastAsia="Calibri" w:hAnsi="Arial" w:cs="Arial"/>
          <w:color w:val="000000" w:themeColor="text1"/>
          <w:sz w:val="22"/>
          <w:szCs w:val="22"/>
          <w:lang w:val="es-ES_tradnl"/>
        </w:rPr>
        <w:t xml:space="preserve">o </w:t>
      </w:r>
      <w:r w:rsidRPr="00970CAB">
        <w:rPr>
          <w:rFonts w:ascii="Arial" w:eastAsia="Calibri" w:hAnsi="Arial" w:cs="Arial"/>
          <w:color w:val="000000" w:themeColor="text1"/>
          <w:sz w:val="22"/>
          <w:szCs w:val="22"/>
          <w:lang w:val="es-ES_tradnl"/>
        </w:rPr>
        <w:t>objeto de consulta</w:t>
      </w:r>
      <w:r w:rsidR="00260AF8" w:rsidRPr="00970CAB">
        <w:rPr>
          <w:rFonts w:ascii="Arial" w:eastAsia="Calibri" w:hAnsi="Arial" w:cs="Arial"/>
          <w:color w:val="000000" w:themeColor="text1"/>
          <w:sz w:val="22"/>
          <w:szCs w:val="22"/>
          <w:lang w:val="es-ES_tradnl"/>
        </w:rPr>
        <w:t xml:space="preserve"> </w:t>
      </w:r>
      <w:r w:rsidRPr="00970CAB">
        <w:rPr>
          <w:rFonts w:ascii="Arial" w:eastAsia="Calibri" w:hAnsi="Arial" w:cs="Arial"/>
          <w:color w:val="000000" w:themeColor="text1"/>
          <w:sz w:val="22"/>
          <w:szCs w:val="22"/>
          <w:lang w:val="es-ES_tradnl"/>
        </w:rPr>
        <w:t>está redactad</w:t>
      </w:r>
      <w:r w:rsidR="00260AF8" w:rsidRPr="00970CAB">
        <w:rPr>
          <w:rFonts w:ascii="Arial" w:eastAsia="Calibri" w:hAnsi="Arial" w:cs="Arial"/>
          <w:color w:val="000000" w:themeColor="text1"/>
          <w:sz w:val="22"/>
          <w:szCs w:val="22"/>
          <w:lang w:val="es-ES_tradnl"/>
        </w:rPr>
        <w:t>o</w:t>
      </w:r>
      <w:r w:rsidRPr="00970CAB">
        <w:rPr>
          <w:rFonts w:ascii="Arial" w:eastAsia="Calibri" w:hAnsi="Arial" w:cs="Arial"/>
          <w:color w:val="000000" w:themeColor="text1"/>
          <w:sz w:val="22"/>
          <w:szCs w:val="22"/>
          <w:lang w:val="es-ES_tradnl"/>
        </w:rPr>
        <w:t xml:space="preserve"> de la siguiente manera</w:t>
      </w:r>
      <w:r w:rsidRPr="00970CAB">
        <w:rPr>
          <w:rFonts w:ascii="Arial" w:hAnsi="Arial" w:cs="Arial"/>
          <w:color w:val="000000" w:themeColor="text1"/>
          <w:sz w:val="22"/>
          <w:szCs w:val="22"/>
          <w:lang w:val="es-ES_tradnl"/>
        </w:rPr>
        <w:t xml:space="preserve">: </w:t>
      </w:r>
    </w:p>
    <w:p w14:paraId="521CBC8D" w14:textId="77777777" w:rsidR="00473A2E" w:rsidRPr="00970CAB" w:rsidRDefault="00473A2E" w:rsidP="00473A2E">
      <w:pPr>
        <w:spacing w:line="276" w:lineRule="auto"/>
        <w:ind w:firstLine="709"/>
        <w:jc w:val="both"/>
        <w:rPr>
          <w:rFonts w:ascii="Arial" w:hAnsi="Arial" w:cs="Arial"/>
          <w:color w:val="000000" w:themeColor="text1"/>
          <w:sz w:val="21"/>
          <w:szCs w:val="21"/>
          <w:lang w:val="es-ES_tradnl"/>
        </w:rPr>
      </w:pPr>
    </w:p>
    <w:p w14:paraId="337A60C3" w14:textId="77777777" w:rsidR="00473A2E" w:rsidRPr="00970CAB" w:rsidRDefault="00473A2E" w:rsidP="00473A2E">
      <w:pPr>
        <w:ind w:left="709" w:right="709"/>
        <w:jc w:val="both"/>
        <w:rPr>
          <w:rFonts w:ascii="Arial" w:eastAsia="Calibri" w:hAnsi="Arial" w:cs="Arial"/>
          <w:color w:val="000000" w:themeColor="text1"/>
          <w:sz w:val="21"/>
          <w:szCs w:val="21"/>
          <w:lang w:val="es-ES_tradnl"/>
        </w:rPr>
      </w:pPr>
      <w:r w:rsidRPr="00970CAB">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78DEF61F" w14:textId="77777777" w:rsidR="00473A2E" w:rsidRPr="00970CAB" w:rsidRDefault="00473A2E" w:rsidP="00473A2E">
      <w:pPr>
        <w:spacing w:after="120"/>
        <w:ind w:left="709" w:right="709"/>
        <w:jc w:val="both"/>
        <w:rPr>
          <w:rFonts w:ascii="Arial" w:eastAsia="Calibri" w:hAnsi="Arial" w:cs="Arial"/>
          <w:color w:val="000000" w:themeColor="text1"/>
          <w:sz w:val="21"/>
          <w:szCs w:val="21"/>
          <w:lang w:val="es-ES_tradnl"/>
        </w:rPr>
      </w:pPr>
      <w:r w:rsidRPr="00970CAB">
        <w:rPr>
          <w:rFonts w:ascii="Arial" w:eastAsia="Calibri" w:hAnsi="Arial" w:cs="Arial"/>
          <w:color w:val="000000" w:themeColor="text1"/>
          <w:sz w:val="21"/>
          <w:szCs w:val="21"/>
          <w:lang w:val="es-ES_tradnl"/>
        </w:rPr>
        <w:lastRenderedPageBreak/>
        <w:t>[…]</w:t>
      </w:r>
    </w:p>
    <w:p w14:paraId="25405254" w14:textId="77777777" w:rsidR="00473A2E" w:rsidRPr="00970CAB" w:rsidRDefault="00473A2E" w:rsidP="00473A2E">
      <w:pPr>
        <w:ind w:left="709" w:right="709"/>
        <w:jc w:val="both"/>
        <w:rPr>
          <w:rFonts w:ascii="Arial" w:eastAsia="Calibri" w:hAnsi="Arial" w:cs="Arial"/>
          <w:color w:val="000000" w:themeColor="text1"/>
          <w:sz w:val="21"/>
          <w:szCs w:val="21"/>
          <w:lang w:val="es-ES_tradnl"/>
        </w:rPr>
      </w:pPr>
      <w:r w:rsidRPr="00970CAB">
        <w:rPr>
          <w:rFonts w:ascii="Arial" w:eastAsia="Calibri" w:hAnsi="Arial" w:cs="Arial"/>
          <w:color w:val="000000" w:themeColor="text1"/>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6477D4D6" w14:textId="77777777" w:rsidR="00A86817" w:rsidRPr="00970CAB" w:rsidRDefault="00473A2E" w:rsidP="00A86817">
      <w:pPr>
        <w:spacing w:after="120"/>
        <w:ind w:left="709" w:right="709"/>
        <w:jc w:val="both"/>
        <w:rPr>
          <w:rFonts w:ascii="Arial" w:eastAsia="Calibri" w:hAnsi="Arial" w:cs="Arial"/>
          <w:color w:val="000000" w:themeColor="text1"/>
          <w:sz w:val="21"/>
          <w:szCs w:val="21"/>
          <w:lang w:val="es-ES_tradnl"/>
        </w:rPr>
      </w:pPr>
      <w:r w:rsidRPr="00970CAB">
        <w:rPr>
          <w:rFonts w:ascii="Arial" w:eastAsia="Calibri" w:hAnsi="Arial" w:cs="Arial"/>
          <w:color w:val="000000" w:themeColor="text1"/>
          <w:sz w:val="21"/>
          <w:szCs w:val="21"/>
          <w:lang w:val="es-ES_tradnl"/>
        </w:rPr>
        <w:t>[…]</w:t>
      </w:r>
    </w:p>
    <w:p w14:paraId="60337EB4" w14:textId="77777777" w:rsidR="00473A2E" w:rsidRPr="00970CAB" w:rsidRDefault="00473A2E" w:rsidP="00473A2E">
      <w:pPr>
        <w:ind w:left="709" w:right="709"/>
        <w:jc w:val="both"/>
        <w:rPr>
          <w:rFonts w:ascii="Arial" w:eastAsia="Calibri" w:hAnsi="Arial" w:cs="Arial"/>
          <w:color w:val="000000" w:themeColor="text1"/>
          <w:sz w:val="21"/>
          <w:szCs w:val="21"/>
          <w:lang w:val="es-ES_tradnl"/>
        </w:rPr>
      </w:pPr>
    </w:p>
    <w:p w14:paraId="3290A140" w14:textId="705B77F6" w:rsidR="00473A2E" w:rsidRPr="00970CAB" w:rsidRDefault="00473A2E" w:rsidP="00473A2E">
      <w:pPr>
        <w:spacing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Como se advierte, </w:t>
      </w:r>
      <w:r w:rsidR="001D7A16" w:rsidRPr="00970CAB">
        <w:rPr>
          <w:rFonts w:ascii="Arial" w:eastAsia="Calibri" w:hAnsi="Arial" w:cs="Arial"/>
          <w:color w:val="000000" w:themeColor="text1"/>
          <w:sz w:val="22"/>
          <w:szCs w:val="22"/>
          <w:lang w:val="es-ES_tradnl"/>
        </w:rPr>
        <w:t>el numeral 4</w:t>
      </w:r>
      <w:r w:rsidRPr="00970CAB">
        <w:rPr>
          <w:rFonts w:ascii="Arial" w:eastAsia="Calibri" w:hAnsi="Arial" w:cs="Arial"/>
          <w:color w:val="000000" w:themeColor="text1"/>
          <w:sz w:val="22"/>
          <w:szCs w:val="22"/>
          <w:lang w:val="es-ES_tradnl"/>
        </w:rPr>
        <w:t xml:space="preserve"> </w:t>
      </w:r>
      <w:bookmarkStart w:id="2" w:name="_Hlk62459524"/>
      <w:r w:rsidRPr="00970CAB">
        <w:rPr>
          <w:rFonts w:ascii="Arial" w:eastAsia="Calibri" w:hAnsi="Arial" w:cs="Arial"/>
          <w:color w:val="000000" w:themeColor="text1"/>
          <w:sz w:val="22"/>
          <w:szCs w:val="22"/>
          <w:lang w:val="es-ES_tradnl"/>
        </w:rPr>
        <w:t xml:space="preserve">no establece un medio específico para acreditar las circunstancias a las que se refiere. Por lo tanto, </w:t>
      </w:r>
      <w:r w:rsidR="00A46C68" w:rsidRPr="00970CAB">
        <w:rPr>
          <w:rFonts w:ascii="Arial" w:eastAsia="Calibri" w:hAnsi="Arial" w:cs="Arial"/>
          <w:color w:val="000000" w:themeColor="text1"/>
          <w:sz w:val="22"/>
          <w:szCs w:val="22"/>
          <w:lang w:val="es-ES_tradnl"/>
        </w:rPr>
        <w:t xml:space="preserve">al igual que sucede con los demás numerales, </w:t>
      </w:r>
      <w:r w:rsidRPr="00970CAB">
        <w:rPr>
          <w:rFonts w:ascii="Arial" w:eastAsia="Calibri" w:hAnsi="Arial" w:cs="Arial"/>
          <w:color w:val="000000" w:themeColor="text1"/>
          <w:sz w:val="22"/>
          <w:szCs w:val="22"/>
          <w:lang w:val="es-ES_tradnl"/>
        </w:rPr>
        <w:t>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2"/>
    <w:p w14:paraId="44E5A469" w14:textId="77777777" w:rsidR="00473A2E" w:rsidRPr="00970CAB"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Pr="00970CAB">
        <w:rPr>
          <w:rFonts w:ascii="Arial" w:eastAsia="Calibri" w:hAnsi="Arial" w:cs="Arial"/>
          <w:color w:val="000000" w:themeColor="text1"/>
          <w:sz w:val="22"/>
          <w:szCs w:val="22"/>
          <w:lang w:val="es-ES_tradnl"/>
        </w:rPr>
        <w:t>años de edad</w:t>
      </w:r>
      <w:proofErr w:type="gramEnd"/>
      <w:r w:rsidRPr="00970CAB">
        <w:rPr>
          <w:rFonts w:ascii="Arial" w:eastAsia="Calibri" w:hAnsi="Arial" w:cs="Arial"/>
          <w:color w:val="000000" w:themeColor="text1"/>
          <w:sz w:val="22"/>
          <w:szCs w:val="22"/>
          <w:lang w:val="es-ES_tradnl"/>
        </w:rPr>
        <w:t xml:space="preserve"> o más», lo cual se puede acreditar con el documento de identidad correspondiente. En todo caso, sin perjuicio de lo que defina el reglamento, también existe la posibilidad de entender que esta causal aplica a todas las personas que –en el rango de edad correspondiente a cada género– no han alcanzado la pensión, interpretación que está mas ajustada al principio de favorabilidad.</w:t>
      </w:r>
    </w:p>
    <w:p w14:paraId="38E137FF" w14:textId="3C4B65B7" w:rsidR="00473A2E" w:rsidRPr="00970CAB" w:rsidRDefault="00473A2E" w:rsidP="00473A2E">
      <w:pPr>
        <w:spacing w:before="120" w:line="276" w:lineRule="auto"/>
        <w:ind w:firstLine="709"/>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 xml:space="preserve">El numeral </w:t>
      </w:r>
      <w:r w:rsidR="00A36362" w:rsidRPr="00970CAB">
        <w:rPr>
          <w:rFonts w:ascii="Arial" w:hAnsi="Arial" w:cs="Arial"/>
          <w:color w:val="000000" w:themeColor="text1"/>
          <w:sz w:val="22"/>
          <w:szCs w:val="22"/>
          <w:lang w:val="es-ES_tradnl"/>
        </w:rPr>
        <w:t xml:space="preserve">dispone </w:t>
      </w:r>
      <w:r w:rsidRPr="00970CAB">
        <w:rPr>
          <w:rFonts w:ascii="Arial" w:hAnsi="Arial" w:cs="Arial"/>
          <w:color w:val="000000" w:themeColor="text1"/>
          <w:sz w:val="22"/>
          <w:szCs w:val="22"/>
          <w:lang w:val="es-ES_tradnl"/>
        </w:rPr>
        <w:t xml:space="preserve">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w:t>
      </w:r>
      <w:r w:rsidRPr="00970CAB">
        <w:rPr>
          <w:rFonts w:ascii="Arial" w:hAnsi="Arial" w:cs="Arial"/>
          <w:color w:val="000000" w:themeColor="text1"/>
          <w:sz w:val="22"/>
          <w:szCs w:val="22"/>
          <w:lang w:val="es-ES_tradnl"/>
        </w:rPr>
        <w:lastRenderedPageBreak/>
        <w:t>edad de pensión establecido en la Ley». El reglamento podría establecer un método diferente, por ejemplo</w:t>
      </w:r>
      <w:r w:rsidR="00137F93" w:rsidRPr="00970CAB">
        <w:rPr>
          <w:rFonts w:ascii="Arial" w:hAnsi="Arial" w:cs="Arial"/>
          <w:color w:val="000000" w:themeColor="text1"/>
          <w:sz w:val="22"/>
          <w:szCs w:val="22"/>
          <w:lang w:val="es-ES_tradnl"/>
        </w:rPr>
        <w:t>,</w:t>
      </w:r>
      <w:r w:rsidRPr="00970CAB">
        <w:rPr>
          <w:rFonts w:ascii="Arial" w:hAnsi="Arial" w:cs="Arial"/>
          <w:color w:val="000000" w:themeColor="text1"/>
          <w:sz w:val="22"/>
          <w:szCs w:val="22"/>
          <w:lang w:val="es-ES_tradnl"/>
        </w:rPr>
        <w:t xml:space="preserve"> definiendo porcentajes, pero hasta ahora esto no ha sucedido.</w:t>
      </w:r>
    </w:p>
    <w:p w14:paraId="332E0209" w14:textId="77777777" w:rsidR="00473A2E" w:rsidRPr="00970CAB" w:rsidRDefault="00473A2E" w:rsidP="00473A2E">
      <w:pPr>
        <w:spacing w:before="120" w:line="276" w:lineRule="auto"/>
        <w:ind w:firstLine="709"/>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 sin perjuicio de que el reglamento que expida el gobierno nacional determine un medio de acreditación especial, existe libertad probatoria sobre el tema. En consecuencia, la entidad contratante puede determinar en el pliego de condiciones o documento equivalente cuál será el medio para evidenciar la vinculación de las personas mayores por parte del oferente.</w:t>
      </w:r>
    </w:p>
    <w:p w14:paraId="28F98D21" w14:textId="77777777" w:rsidR="00E7336C" w:rsidRPr="00970CAB" w:rsidRDefault="004C38BD" w:rsidP="00E7336C">
      <w:pPr>
        <w:spacing w:before="120" w:line="276" w:lineRule="auto"/>
        <w:ind w:firstLine="709"/>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 xml:space="preserve">Como lo indicó la Agencia en el concepto </w:t>
      </w:r>
      <w:r w:rsidRPr="00970CAB">
        <w:rPr>
          <w:rFonts w:ascii="Arial" w:eastAsia="Calibri" w:hAnsi="Arial" w:cs="Arial"/>
          <w:color w:val="000000" w:themeColor="text1"/>
          <w:sz w:val="22"/>
          <w:szCs w:val="22"/>
          <w:lang w:val="es-ES_tradnl"/>
        </w:rPr>
        <w:t xml:space="preserve">C-206 del 03 de mayo de 2021, </w:t>
      </w:r>
      <w:r w:rsidRPr="00970CAB">
        <w:rPr>
          <w:rFonts w:ascii="Arial" w:hAnsi="Arial" w:cs="Arial"/>
          <w:color w:val="000000" w:themeColor="text1"/>
          <w:sz w:val="22"/>
          <w:szCs w:val="22"/>
          <w:lang w:val="es-ES_tradnl"/>
        </w:rPr>
        <w:t>e</w:t>
      </w:r>
      <w:r w:rsidR="00473A2E" w:rsidRPr="00970CAB">
        <w:rPr>
          <w:rFonts w:ascii="Arial" w:hAnsi="Arial" w:cs="Arial"/>
          <w:color w:val="000000" w:themeColor="text1"/>
          <w:sz w:val="22"/>
          <w:szCs w:val="22"/>
          <w:lang w:val="es-ES_tradnl"/>
        </w:rPr>
        <w:t xml:space="preserv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00473A2E" w:rsidRPr="00970CAB">
        <w:rPr>
          <w:rFonts w:ascii="Arial" w:hAnsi="Arial" w:cs="Arial"/>
          <w:i/>
          <w:iCs/>
          <w:color w:val="000000" w:themeColor="text1"/>
          <w:sz w:val="22"/>
          <w:szCs w:val="22"/>
          <w:lang w:val="es-ES_tradnl"/>
        </w:rPr>
        <w:t>vinculación de capital humano</w:t>
      </w:r>
      <w:r w:rsidR="00473A2E" w:rsidRPr="00970CAB">
        <w:rPr>
          <w:rFonts w:ascii="Arial" w:hAnsi="Arial" w:cs="Arial"/>
          <w:color w:val="000000" w:themeColor="text1"/>
          <w:sz w:val="22"/>
          <w:szCs w:val="22"/>
          <w:lang w:val="es-ES_tradnl"/>
        </w:rPr>
        <w:t xml:space="preserve">, el oferente deberá acreditar una antigüedad igual o mayor a un año. Para los casos de constitución inferior a un año </w:t>
      </w:r>
      <w:r w:rsidR="00473A2E" w:rsidRPr="00970CAB">
        <w:rPr>
          <w:rFonts w:ascii="Arial" w:hAnsi="Arial" w:cs="Arial"/>
          <w:i/>
          <w:iCs/>
          <w:color w:val="000000" w:themeColor="text1"/>
          <w:sz w:val="22"/>
          <w:szCs w:val="22"/>
          <w:lang w:val="es-ES_tradnl"/>
        </w:rPr>
        <w:t>se tendrá en cuenta a aquellos trabajadores</w:t>
      </w:r>
      <w:r w:rsidR="00473A2E" w:rsidRPr="00970CAB">
        <w:rPr>
          <w:rFonts w:ascii="Arial" w:hAnsi="Arial" w:cs="Arial"/>
          <w:color w:val="000000" w:themeColor="text1"/>
          <w:sz w:val="22"/>
          <w:szCs w:val="22"/>
          <w:lang w:val="es-ES_tradnl"/>
        </w:rPr>
        <w:t xml:space="preserve"> que hayan estado vinculados desde el momento de constitución de </w:t>
      </w:r>
      <w:proofErr w:type="gramStart"/>
      <w:r w:rsidR="00473A2E" w:rsidRPr="00970CAB">
        <w:rPr>
          <w:rFonts w:ascii="Arial" w:hAnsi="Arial" w:cs="Arial"/>
          <w:color w:val="000000" w:themeColor="text1"/>
          <w:sz w:val="22"/>
          <w:szCs w:val="22"/>
          <w:lang w:val="es-ES_tradnl"/>
        </w:rPr>
        <w:t>la misma</w:t>
      </w:r>
      <w:proofErr w:type="gramEnd"/>
      <w:r w:rsidR="00473A2E" w:rsidRPr="00970CAB">
        <w:rPr>
          <w:rFonts w:ascii="Arial" w:hAnsi="Arial" w:cs="Arial"/>
          <w:color w:val="000000" w:themeColor="text1"/>
          <w:sz w:val="22"/>
          <w:szCs w:val="22"/>
          <w:lang w:val="es-ES_tradnl"/>
        </w:rPr>
        <w:t>» (Énfasis fuera de texto). Como se observa</w:t>
      </w:r>
      <w:r w:rsidR="00684459" w:rsidRPr="00970CAB">
        <w:rPr>
          <w:rFonts w:ascii="Arial" w:hAnsi="Arial" w:cs="Arial"/>
          <w:color w:val="000000" w:themeColor="text1"/>
          <w:sz w:val="22"/>
          <w:szCs w:val="22"/>
          <w:lang w:val="es-ES_tradnl"/>
        </w:rPr>
        <w:t>,</w:t>
      </w:r>
      <w:r w:rsidR="00473A2E" w:rsidRPr="00970CAB">
        <w:rPr>
          <w:rFonts w:ascii="Arial" w:hAnsi="Arial" w:cs="Arial"/>
          <w:color w:val="000000" w:themeColor="text1"/>
          <w:sz w:val="22"/>
          <w:szCs w:val="22"/>
          <w:lang w:val="es-ES_tradnl"/>
        </w:rPr>
        <w:t xml:space="preserve"> la norma se refiere a la vinculación de trabajadores, lo cual excluye la posibilidad de acreditar el factor de desempate con prestadores de servicios.  </w:t>
      </w:r>
    </w:p>
    <w:p w14:paraId="06CC53B2" w14:textId="7587CF88" w:rsidR="00E7336C" w:rsidRPr="00970CAB" w:rsidRDefault="00E7336C" w:rsidP="00E7336C">
      <w:pPr>
        <w:spacing w:before="120" w:line="276" w:lineRule="auto"/>
        <w:ind w:firstLine="709"/>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 xml:space="preserve">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w:t>
      </w:r>
    </w:p>
    <w:p w14:paraId="58C42C89" w14:textId="42F8273F" w:rsidR="00F52236" w:rsidRPr="00970CAB" w:rsidRDefault="00E7336C" w:rsidP="00F52236">
      <w:pPr>
        <w:spacing w:before="120" w:line="276" w:lineRule="auto"/>
        <w:ind w:firstLine="709"/>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 xml:space="preserve">La sustitución de empleadores se define en el artículo 67 del Código Sustantivo del Trabajo como «todo cambio de un empleador por otro, por cualquier causa, siempre que subsista la identidad del establecimiento, es decir, en cuanto éste no sufra variaciones esenciales en el giro de sus actividades o negocios».  Es decir que este fenómeno opera cuando lo que cambia es el empleador, pero el giro ordinario de la empresa se mantiene. En tal sentido, el artículo 68 del mismo Código señala que «La sola sustitución de </w:t>
      </w:r>
      <w:r w:rsidRPr="00970CAB">
        <w:rPr>
          <w:rFonts w:ascii="Arial" w:hAnsi="Arial" w:cs="Arial"/>
          <w:color w:val="000000" w:themeColor="text1"/>
          <w:sz w:val="22"/>
          <w:szCs w:val="22"/>
          <w:lang w:val="es-ES_tradnl"/>
        </w:rPr>
        <w:lastRenderedPageBreak/>
        <w:t xml:space="preserve">empleadores no extingue, suspende ni modifica los contratos de trabajo existentes». </w:t>
      </w:r>
      <w:r w:rsidR="00AB3202" w:rsidRPr="00970CAB">
        <w:rPr>
          <w:rFonts w:ascii="Arial" w:hAnsi="Arial" w:cs="Arial"/>
          <w:color w:val="000000" w:themeColor="text1"/>
          <w:sz w:val="22"/>
          <w:szCs w:val="22"/>
          <w:lang w:val="es-ES_tradnl"/>
        </w:rPr>
        <w:t>Así lo indicó</w:t>
      </w:r>
      <w:r w:rsidR="004B6B5D" w:rsidRPr="00970CAB">
        <w:rPr>
          <w:rFonts w:ascii="Arial" w:hAnsi="Arial" w:cs="Arial"/>
          <w:color w:val="000000" w:themeColor="text1"/>
          <w:sz w:val="22"/>
          <w:szCs w:val="22"/>
          <w:lang w:val="es-ES_tradnl"/>
        </w:rPr>
        <w:t xml:space="preserve"> recientemente</w:t>
      </w:r>
      <w:r w:rsidR="00AB3202" w:rsidRPr="00970CAB">
        <w:rPr>
          <w:rFonts w:ascii="Arial" w:hAnsi="Arial" w:cs="Arial"/>
          <w:color w:val="000000" w:themeColor="text1"/>
          <w:sz w:val="22"/>
          <w:szCs w:val="22"/>
          <w:lang w:val="es-ES_tradnl"/>
        </w:rPr>
        <w:t xml:space="preserve"> la Sala de Casación Laboral de la Corte Suprema de Justicia</w:t>
      </w:r>
      <w:r w:rsidR="008B0991" w:rsidRPr="00970CAB">
        <w:rPr>
          <w:rFonts w:ascii="Arial" w:hAnsi="Arial" w:cs="Arial"/>
          <w:color w:val="000000" w:themeColor="text1"/>
          <w:sz w:val="22"/>
          <w:szCs w:val="22"/>
          <w:lang w:val="es-ES_tradnl"/>
        </w:rPr>
        <w:t>:</w:t>
      </w:r>
    </w:p>
    <w:p w14:paraId="7DB65219" w14:textId="77777777" w:rsidR="003475B7" w:rsidRPr="00970CAB" w:rsidRDefault="003475B7" w:rsidP="003475B7">
      <w:pPr>
        <w:ind w:left="709" w:right="709"/>
        <w:jc w:val="both"/>
        <w:rPr>
          <w:rFonts w:ascii="Arial" w:hAnsi="Arial" w:cs="Arial"/>
          <w:color w:val="000000" w:themeColor="text1"/>
          <w:sz w:val="21"/>
          <w:szCs w:val="21"/>
          <w:lang w:val="es-ES_tradnl"/>
        </w:rPr>
      </w:pPr>
    </w:p>
    <w:p w14:paraId="1C0B2223" w14:textId="66E1C102" w:rsidR="0021090E" w:rsidRPr="00970CAB" w:rsidRDefault="00F52236" w:rsidP="003475B7">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De acuerdo con este precepto, la sustitución de empleadores se configura cuando existe un cambio en la titularidad de la empresa, independientemente de cuál sea el negocio jurídico subyacente, y siempre que esta operación implique la continuidad de las actividades empresariales.</w:t>
      </w:r>
    </w:p>
    <w:p w14:paraId="695CE582" w14:textId="77777777" w:rsidR="003475B7" w:rsidRPr="00970CAB" w:rsidRDefault="003475B7" w:rsidP="003475B7">
      <w:pPr>
        <w:ind w:left="709" w:right="709"/>
        <w:jc w:val="both"/>
        <w:rPr>
          <w:rFonts w:ascii="Arial" w:hAnsi="Arial" w:cs="Arial"/>
          <w:color w:val="000000" w:themeColor="text1"/>
          <w:sz w:val="21"/>
          <w:szCs w:val="21"/>
          <w:lang w:val="es-ES_tradnl"/>
        </w:rPr>
      </w:pPr>
    </w:p>
    <w:p w14:paraId="45CBA7E6" w14:textId="77777777" w:rsidR="00253951" w:rsidRPr="00970CAB" w:rsidRDefault="00F52236" w:rsidP="00253951">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Por tanto, el cambio de titularidad de la empresa (sale</w:t>
      </w:r>
      <w:r w:rsidR="004B6B5D" w:rsidRPr="00970CAB">
        <w:rPr>
          <w:rFonts w:ascii="Arial" w:hAnsi="Arial" w:cs="Arial"/>
          <w:color w:val="000000" w:themeColor="text1"/>
          <w:sz w:val="21"/>
          <w:szCs w:val="21"/>
          <w:lang w:val="es-ES_tradnl"/>
        </w:rPr>
        <w:t xml:space="preserve"> </w:t>
      </w:r>
      <w:r w:rsidRPr="00970CAB">
        <w:rPr>
          <w:rFonts w:ascii="Arial" w:hAnsi="Arial" w:cs="Arial"/>
          <w:color w:val="000000" w:themeColor="text1"/>
          <w:sz w:val="21"/>
          <w:szCs w:val="21"/>
          <w:lang w:val="es-ES_tradnl"/>
        </w:rPr>
        <w:t>un titular y entra otro respecto del mismo negocio), también</w:t>
      </w:r>
      <w:r w:rsidR="004B6B5D" w:rsidRPr="00970CAB">
        <w:rPr>
          <w:rFonts w:ascii="Arial" w:hAnsi="Arial" w:cs="Arial"/>
          <w:color w:val="000000" w:themeColor="text1"/>
          <w:sz w:val="21"/>
          <w:szCs w:val="21"/>
          <w:lang w:val="es-ES_tradnl"/>
        </w:rPr>
        <w:t xml:space="preserve"> </w:t>
      </w:r>
      <w:r w:rsidRPr="00970CAB">
        <w:rPr>
          <w:rFonts w:ascii="Arial" w:hAnsi="Arial" w:cs="Arial"/>
          <w:color w:val="000000" w:themeColor="text1"/>
          <w:sz w:val="21"/>
          <w:szCs w:val="21"/>
          <w:lang w:val="es-ES_tradnl"/>
        </w:rPr>
        <w:t>conocido como sucesión de empresa (un empresario sucede</w:t>
      </w:r>
      <w:r w:rsidR="004B6B5D" w:rsidRPr="00970CAB">
        <w:rPr>
          <w:rFonts w:ascii="Arial" w:hAnsi="Arial" w:cs="Arial"/>
          <w:color w:val="000000" w:themeColor="text1"/>
          <w:sz w:val="21"/>
          <w:szCs w:val="21"/>
          <w:lang w:val="es-ES_tradnl"/>
        </w:rPr>
        <w:t xml:space="preserve"> </w:t>
      </w:r>
      <w:r w:rsidRPr="00970CAB">
        <w:rPr>
          <w:rFonts w:ascii="Arial" w:hAnsi="Arial" w:cs="Arial"/>
          <w:color w:val="000000" w:themeColor="text1"/>
          <w:sz w:val="21"/>
          <w:szCs w:val="21"/>
          <w:lang w:val="es-ES_tradnl"/>
        </w:rPr>
        <w:t>a</w:t>
      </w:r>
      <w:r w:rsidR="004B6B5D" w:rsidRPr="00970CAB">
        <w:rPr>
          <w:rFonts w:ascii="Arial" w:hAnsi="Arial" w:cs="Arial"/>
          <w:color w:val="000000" w:themeColor="text1"/>
          <w:sz w:val="21"/>
          <w:szCs w:val="21"/>
          <w:lang w:val="es-ES_tradnl"/>
        </w:rPr>
        <w:t xml:space="preserve"> </w:t>
      </w:r>
      <w:r w:rsidRPr="00970CAB">
        <w:rPr>
          <w:rFonts w:ascii="Arial" w:hAnsi="Arial" w:cs="Arial"/>
          <w:color w:val="000000" w:themeColor="text1"/>
          <w:sz w:val="21"/>
          <w:szCs w:val="21"/>
          <w:lang w:val="es-ES_tradnl"/>
        </w:rPr>
        <w:t>otro en la misma empresa) o transmisión de empresa (el titular</w:t>
      </w:r>
      <w:r w:rsidR="004B6B5D" w:rsidRPr="00970CAB">
        <w:rPr>
          <w:rFonts w:ascii="Arial" w:hAnsi="Arial" w:cs="Arial"/>
          <w:color w:val="000000" w:themeColor="text1"/>
          <w:sz w:val="21"/>
          <w:szCs w:val="21"/>
          <w:lang w:val="es-ES_tradnl"/>
        </w:rPr>
        <w:t xml:space="preserve"> </w:t>
      </w:r>
      <w:r w:rsidRPr="00970CAB">
        <w:rPr>
          <w:rFonts w:ascii="Arial" w:hAnsi="Arial" w:cs="Arial"/>
          <w:color w:val="000000" w:themeColor="text1"/>
          <w:sz w:val="21"/>
          <w:szCs w:val="21"/>
          <w:lang w:val="es-ES_tradnl"/>
        </w:rPr>
        <w:t>anterior de la empresa la vende o traspasa a un nuevo titular) es un</w:t>
      </w:r>
      <w:r w:rsidR="0021090E" w:rsidRPr="00970CAB">
        <w:rPr>
          <w:rFonts w:ascii="Arial" w:hAnsi="Arial" w:cs="Arial"/>
          <w:color w:val="000000" w:themeColor="text1"/>
          <w:sz w:val="21"/>
          <w:szCs w:val="21"/>
          <w:lang w:val="es-ES_tradnl"/>
        </w:rPr>
        <w:t xml:space="preserve"> elemento ineludible para que la figura de marras se configure.</w:t>
      </w:r>
    </w:p>
    <w:p w14:paraId="6E23DBA9" w14:textId="77777777" w:rsidR="00253951" w:rsidRPr="00970CAB" w:rsidRDefault="00253951" w:rsidP="00253951">
      <w:pPr>
        <w:ind w:left="709" w:right="709"/>
        <w:jc w:val="both"/>
        <w:rPr>
          <w:rFonts w:ascii="Arial" w:hAnsi="Arial" w:cs="Arial"/>
          <w:color w:val="000000" w:themeColor="text1"/>
          <w:sz w:val="21"/>
          <w:szCs w:val="21"/>
          <w:lang w:val="es-ES_tradnl"/>
        </w:rPr>
      </w:pPr>
    </w:p>
    <w:p w14:paraId="2D21EDE3" w14:textId="2E2C2212" w:rsidR="003475B7" w:rsidRPr="00970CAB" w:rsidRDefault="0021090E" w:rsidP="00253951">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xml:space="preserve">Adicionalmente, este cambio de empleador supone que, en virtud de un acto, el empresario cedente transfiere al cesionario bienes susceptibles de explotación económica, con capacidad para ofrecer bienes o servicios al mercado. Dicho de otra forma, la sucesión de empresa supone el traspaso de un conjunto de medios organizados susceptibles de permitir la continuación de la actividad económica correspondiente. Por consiguiente, la mera transmisión de la actividad, sin que esté acompañada del traspaso de los medios de producción o de la organización empresarial, no configura una sustitución de empleadores. </w:t>
      </w:r>
    </w:p>
    <w:p w14:paraId="62991189" w14:textId="77777777" w:rsidR="00253951" w:rsidRPr="00970CAB" w:rsidRDefault="00253951" w:rsidP="00253951">
      <w:pPr>
        <w:ind w:left="709" w:right="709"/>
        <w:jc w:val="both"/>
        <w:rPr>
          <w:rFonts w:ascii="Arial" w:hAnsi="Arial" w:cs="Arial"/>
          <w:color w:val="000000" w:themeColor="text1"/>
          <w:sz w:val="21"/>
          <w:szCs w:val="21"/>
          <w:lang w:val="es-ES_tradnl"/>
        </w:rPr>
      </w:pPr>
    </w:p>
    <w:p w14:paraId="66E635E3" w14:textId="77777777" w:rsidR="00253951" w:rsidRPr="00970CAB" w:rsidRDefault="0021090E" w:rsidP="00253951">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xml:space="preserve">Precisamente en este aspecto reside la diferencia entre la tercerización laboral y la sustitución de empleadores. En la primera, el empresario «hace un encargo a un tercero de determinadas partes u operaciones del proceso productivo» (CSJ SL467-2019), lo que usualmente se concreta a través de la figura de los contratistas y subcontratistas prevista en el artículo 34 del Código Sustantivo del Trabajo. Luego, en la tercerización laboral, hay una externalización de tareas o, si se quiere, un traspaso de actividades de una empresa a otra, pero sin transferencia de la organización empresarial. Por ello, la empresa cesionaria puede reversar la actividad cedida o delegarla en otro contratista. </w:t>
      </w:r>
    </w:p>
    <w:p w14:paraId="3F940FBA" w14:textId="77777777" w:rsidR="00253951" w:rsidRPr="00970CAB" w:rsidRDefault="00253951" w:rsidP="00253951">
      <w:pPr>
        <w:ind w:left="709" w:right="709"/>
        <w:jc w:val="both"/>
        <w:rPr>
          <w:rFonts w:ascii="Arial" w:hAnsi="Arial" w:cs="Arial"/>
          <w:color w:val="000000" w:themeColor="text1"/>
          <w:sz w:val="21"/>
          <w:szCs w:val="21"/>
          <w:lang w:val="es-ES_tradnl"/>
        </w:rPr>
      </w:pPr>
    </w:p>
    <w:p w14:paraId="79D7296C" w14:textId="4A6029EA" w:rsidR="0021090E" w:rsidRPr="00970CAB" w:rsidRDefault="0021090E" w:rsidP="00253951">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En cambio, en la sustitución de empleadores, no solo hay una transmisión de actividad; también se trasfieren las estructuras y elementos organizativos suficientes para dar</w:t>
      </w:r>
      <w:r w:rsidR="003475B7" w:rsidRPr="00970CAB">
        <w:rPr>
          <w:rFonts w:ascii="Arial" w:hAnsi="Arial" w:cs="Arial"/>
          <w:color w:val="000000" w:themeColor="text1"/>
          <w:sz w:val="21"/>
          <w:szCs w:val="21"/>
          <w:lang w:val="es-ES_tradnl"/>
        </w:rPr>
        <w:t xml:space="preserve"> continuidad a la explotación de bienes y servicios ofrecidos al mercado. Por tanto, no hay sucesión de empresas si no opera este trasvase de los medios organizativos y productivos de una compañía a la otra, que le permitan seguir explotando el negocio cedido</w:t>
      </w:r>
      <w:r w:rsidR="00253951" w:rsidRPr="00970CAB">
        <w:rPr>
          <w:rStyle w:val="Refdenotaalpie"/>
          <w:rFonts w:ascii="Arial" w:hAnsi="Arial" w:cs="Arial"/>
          <w:color w:val="000000" w:themeColor="text1"/>
          <w:sz w:val="21"/>
          <w:szCs w:val="21"/>
          <w:lang w:val="es-ES_tradnl"/>
        </w:rPr>
        <w:footnoteReference w:id="15"/>
      </w:r>
      <w:r w:rsidR="003475B7" w:rsidRPr="00970CAB">
        <w:rPr>
          <w:rFonts w:ascii="Arial" w:hAnsi="Arial" w:cs="Arial"/>
          <w:color w:val="000000" w:themeColor="text1"/>
          <w:sz w:val="21"/>
          <w:szCs w:val="21"/>
          <w:lang w:val="es-ES_tradnl"/>
        </w:rPr>
        <w:t>.</w:t>
      </w:r>
    </w:p>
    <w:p w14:paraId="6D936395" w14:textId="77777777" w:rsidR="00253951" w:rsidRPr="00970CAB" w:rsidRDefault="00253951" w:rsidP="00253951">
      <w:pPr>
        <w:spacing w:line="276" w:lineRule="auto"/>
        <w:ind w:firstLine="709"/>
        <w:jc w:val="both"/>
        <w:rPr>
          <w:rFonts w:ascii="Arial" w:hAnsi="Arial" w:cs="Arial"/>
          <w:color w:val="000000" w:themeColor="text1"/>
          <w:sz w:val="22"/>
          <w:szCs w:val="22"/>
          <w:lang w:val="es-ES_tradnl"/>
        </w:rPr>
      </w:pPr>
    </w:p>
    <w:p w14:paraId="5B2A74B6" w14:textId="6BBFF5ED" w:rsidR="00E7336C" w:rsidRPr="00970CAB" w:rsidRDefault="00E7336C" w:rsidP="00253951">
      <w:pPr>
        <w:spacing w:line="276" w:lineRule="auto"/>
        <w:ind w:firstLine="709"/>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 xml:space="preserve">Por lo tanto, sin perjuicio de que el decreto que expida el gobierno nacional para reglamentar el numeral 4 del artículo 35 de la Ley 2069 de 2020 disponga algo diferente, esta Subdirección en principio no advierte que la sustitución de empleadores sea óbice para que se siga computando el período de antigüedad exigido en el parágrafo segundo del </w:t>
      </w:r>
      <w:r w:rsidRPr="00970CAB">
        <w:rPr>
          <w:rFonts w:ascii="Arial" w:hAnsi="Arial" w:cs="Arial"/>
          <w:color w:val="000000" w:themeColor="text1"/>
          <w:sz w:val="22"/>
          <w:szCs w:val="22"/>
          <w:lang w:val="es-ES_tradnl"/>
        </w:rPr>
        <w:lastRenderedPageBreak/>
        <w:t>mencionado artículo, pues el hecho de que opere tal sustitución no modifica por sí sol</w:t>
      </w:r>
      <w:r w:rsidR="00D97871" w:rsidRPr="00970CAB">
        <w:rPr>
          <w:rFonts w:ascii="Arial" w:hAnsi="Arial" w:cs="Arial"/>
          <w:color w:val="000000" w:themeColor="text1"/>
          <w:sz w:val="22"/>
          <w:szCs w:val="22"/>
          <w:lang w:val="es-ES_tradnl"/>
        </w:rPr>
        <w:t>o</w:t>
      </w:r>
      <w:r w:rsidRPr="00970CAB">
        <w:rPr>
          <w:rFonts w:ascii="Arial" w:hAnsi="Arial" w:cs="Arial"/>
          <w:color w:val="000000" w:themeColor="text1"/>
          <w:sz w:val="22"/>
          <w:szCs w:val="22"/>
          <w:lang w:val="es-ES_tradnl"/>
        </w:rPr>
        <w:t xml:space="preserve"> el contrato de trabajo, es decir</w:t>
      </w:r>
      <w:r w:rsidR="00137F93" w:rsidRPr="00970CAB">
        <w:rPr>
          <w:rFonts w:ascii="Arial" w:hAnsi="Arial" w:cs="Arial"/>
          <w:color w:val="000000" w:themeColor="text1"/>
          <w:sz w:val="22"/>
          <w:szCs w:val="22"/>
          <w:lang w:val="es-ES_tradnl"/>
        </w:rPr>
        <w:t>,</w:t>
      </w:r>
      <w:r w:rsidRPr="00970CAB">
        <w:rPr>
          <w:rFonts w:ascii="Arial" w:hAnsi="Arial" w:cs="Arial"/>
          <w:color w:val="000000" w:themeColor="text1"/>
          <w:sz w:val="22"/>
          <w:szCs w:val="22"/>
          <w:lang w:val="es-ES_tradnl"/>
        </w:rPr>
        <w:t xml:space="preserve"> que se mantiene la misma relación laboral. Sin embargo, el oferente que pretenda beneficiarse con el factor de desempate previsto en el numeral 4 debe conservar el mismo giro ordinario del negocio que existía antes de la sustitución de empleadores, si quiere que se le tenga en cuenta la vinculación del trabajador previa a dicha sustitución. </w:t>
      </w:r>
    </w:p>
    <w:p w14:paraId="6AB0831A" w14:textId="77777777" w:rsidR="008236D7" w:rsidRPr="00970CAB" w:rsidRDefault="003364C1" w:rsidP="003364C1">
      <w:pPr>
        <w:spacing w:before="120" w:line="276" w:lineRule="auto"/>
        <w:ind w:firstLine="709"/>
        <w:jc w:val="both"/>
        <w:rPr>
          <w:rFonts w:ascii="Arial" w:eastAsia="Calibri" w:hAnsi="Arial" w:cs="Arial"/>
          <w:color w:val="000000" w:themeColor="text1"/>
          <w:sz w:val="22"/>
          <w:szCs w:val="22"/>
          <w:lang w:val="es-ES_tradnl"/>
        </w:rPr>
      </w:pPr>
      <w:r w:rsidRPr="00970CAB">
        <w:rPr>
          <w:rFonts w:ascii="Arial" w:hAnsi="Arial" w:cs="Arial"/>
          <w:color w:val="000000" w:themeColor="text1"/>
          <w:sz w:val="22"/>
          <w:szCs w:val="22"/>
          <w:lang w:val="es-ES_tradnl"/>
        </w:rPr>
        <w:t xml:space="preserve">Ahora bien, </w:t>
      </w:r>
      <w:r w:rsidRPr="00970CAB">
        <w:rPr>
          <w:rFonts w:ascii="Arial" w:eastAsia="Calibri" w:hAnsi="Arial" w:cs="Arial"/>
          <w:color w:val="000000" w:themeColor="text1"/>
          <w:sz w:val="22"/>
          <w:szCs w:val="22"/>
          <w:lang w:val="es-ES_tradnl"/>
        </w:rPr>
        <w:t xml:space="preserve">el hecho de que el artículo 84 de la Ley 2069 de 2020 establezca que esta rige a partir de su promulgación –o sea, desde el 31 de diciembre de 2020–, no se opone a que el Congreso de la República haya previsto dentro de la misma Ley condiciones temporales para la eficacia de algunas de sus disposiciones. Así, por ejemplo, el parágrafo segundo del artículo 35 señala: «Para los criterios enunciados que involucren la vinculación de capital humano, el oferente deberá acreditar una antigüedad </w:t>
      </w:r>
      <w:r w:rsidRPr="00970CAB">
        <w:rPr>
          <w:rFonts w:ascii="Arial" w:eastAsia="Calibri" w:hAnsi="Arial" w:cs="Arial"/>
          <w:i/>
          <w:iCs/>
          <w:color w:val="000000" w:themeColor="text1"/>
          <w:sz w:val="22"/>
          <w:szCs w:val="22"/>
          <w:lang w:val="es-ES_tradnl"/>
        </w:rPr>
        <w:t>igual o mayor a un año</w:t>
      </w:r>
      <w:r w:rsidRPr="00970CAB">
        <w:rPr>
          <w:rFonts w:ascii="Arial" w:eastAsia="Calibri" w:hAnsi="Arial" w:cs="Arial"/>
          <w:color w:val="000000" w:themeColor="text1"/>
          <w:sz w:val="22"/>
          <w:szCs w:val="22"/>
          <w:lang w:val="es-ES_tradnl"/>
        </w:rPr>
        <w:t xml:space="preserve">. Para los casos de constitución inferior a un año se tendrá en cuenta a aquellos trabajadores que hayan estado vinculados </w:t>
      </w:r>
      <w:r w:rsidRPr="00970CAB">
        <w:rPr>
          <w:rFonts w:ascii="Arial" w:eastAsia="Calibri" w:hAnsi="Arial" w:cs="Arial"/>
          <w:i/>
          <w:iCs/>
          <w:color w:val="000000" w:themeColor="text1"/>
          <w:sz w:val="22"/>
          <w:szCs w:val="22"/>
          <w:lang w:val="es-ES_tradnl"/>
        </w:rPr>
        <w:t xml:space="preserve">desde el momento de constitución de </w:t>
      </w:r>
      <w:proofErr w:type="gramStart"/>
      <w:r w:rsidRPr="00970CAB">
        <w:rPr>
          <w:rFonts w:ascii="Arial" w:eastAsia="Calibri" w:hAnsi="Arial" w:cs="Arial"/>
          <w:i/>
          <w:iCs/>
          <w:color w:val="000000" w:themeColor="text1"/>
          <w:sz w:val="22"/>
          <w:szCs w:val="22"/>
          <w:lang w:val="es-ES_tradnl"/>
        </w:rPr>
        <w:t>la misma</w:t>
      </w:r>
      <w:proofErr w:type="gramEnd"/>
      <w:r w:rsidRPr="00970CAB">
        <w:rPr>
          <w:rFonts w:ascii="Arial" w:eastAsia="Calibri" w:hAnsi="Arial" w:cs="Arial"/>
          <w:color w:val="000000" w:themeColor="text1"/>
          <w:sz w:val="22"/>
          <w:szCs w:val="22"/>
          <w:lang w:val="es-ES_tradnl"/>
        </w:rPr>
        <w:t xml:space="preserve">» (énfasis fuera de texto). </w:t>
      </w:r>
    </w:p>
    <w:p w14:paraId="2E39088E" w14:textId="3389DEBE" w:rsidR="003364C1" w:rsidRPr="00970CAB" w:rsidRDefault="003364C1" w:rsidP="003364C1">
      <w:pPr>
        <w:spacing w:before="120" w:line="276" w:lineRule="auto"/>
        <w:ind w:firstLine="709"/>
        <w:jc w:val="both"/>
        <w:rPr>
          <w:rFonts w:ascii="Arial" w:hAnsi="Arial" w:cs="Arial"/>
          <w:color w:val="000000" w:themeColor="text1"/>
          <w:sz w:val="22"/>
          <w:szCs w:val="22"/>
          <w:lang w:val="es-ES_tradnl"/>
        </w:rPr>
      </w:pPr>
      <w:r w:rsidRPr="00970CAB">
        <w:rPr>
          <w:rFonts w:ascii="Arial" w:eastAsia="Calibri" w:hAnsi="Arial" w:cs="Arial"/>
          <w:color w:val="000000" w:themeColor="text1"/>
          <w:sz w:val="22"/>
          <w:szCs w:val="22"/>
          <w:lang w:val="es-ES_tradnl"/>
        </w:rPr>
        <w:t xml:space="preserve">Es decir, si bien es cierto que los factores de desempate previstos en el artículo 35 de la Ley 2069 de 2020 deben aplicarse en los procedimientos de selección iniciados a partir de la promulgación de esta, también lo es que –al tenor del parágrafo </w:t>
      </w:r>
      <w:r w:rsidR="00B0515B" w:rsidRPr="00970CAB">
        <w:rPr>
          <w:rFonts w:ascii="Arial" w:eastAsia="Calibri" w:hAnsi="Arial" w:cs="Arial"/>
          <w:color w:val="000000" w:themeColor="text1"/>
          <w:sz w:val="22"/>
          <w:szCs w:val="22"/>
          <w:lang w:val="es-ES_tradnl"/>
        </w:rPr>
        <w:t>segundo</w:t>
      </w:r>
      <w:r w:rsidRPr="00970CAB">
        <w:rPr>
          <w:rFonts w:ascii="Arial" w:eastAsia="Calibri" w:hAnsi="Arial" w:cs="Arial"/>
          <w:color w:val="000000" w:themeColor="text1"/>
          <w:sz w:val="22"/>
          <w:szCs w:val="22"/>
          <w:lang w:val="es-ES_tradnl"/>
        </w:rPr>
        <w:t xml:space="preserve">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 </w:t>
      </w:r>
      <w:r w:rsidR="00443152" w:rsidRPr="00970CAB">
        <w:rPr>
          <w:rFonts w:ascii="Arial" w:eastAsia="Calibri" w:hAnsi="Arial" w:cs="Arial"/>
          <w:color w:val="000000" w:themeColor="text1"/>
          <w:sz w:val="22"/>
          <w:szCs w:val="22"/>
          <w:lang w:val="es-ES_tradnl"/>
        </w:rPr>
        <w:t>Así las cosas,</w:t>
      </w:r>
      <w:r w:rsidRPr="00970CAB">
        <w:rPr>
          <w:rFonts w:ascii="Arial" w:eastAsia="Calibri" w:hAnsi="Arial" w:cs="Arial"/>
          <w:color w:val="000000" w:themeColor="text1"/>
          <w:sz w:val="22"/>
          <w:szCs w:val="22"/>
          <w:lang w:val="es-ES_tradnl"/>
        </w:rPr>
        <w:t xml:space="preserve"> el período contenido en el parágrafo segundo, en sentido estricto, no se comienza a computar desde la promulgación de la Ley 2069 de 2020, sino que para el momento en el que la entidad estatal evalúe la viabilidad de aplicar los factores de desempate vigentes del artículo 35 de dicha Ley –que exijan la vinculación de capital humano–, debe analizar si se cumple con dicho término de vinculación.</w:t>
      </w:r>
    </w:p>
    <w:p w14:paraId="6C7AFFF7" w14:textId="77777777" w:rsidR="00806079" w:rsidRPr="00970CAB" w:rsidRDefault="00806079" w:rsidP="004D1C27">
      <w:pPr>
        <w:spacing w:line="276" w:lineRule="auto"/>
        <w:jc w:val="both"/>
        <w:rPr>
          <w:rFonts w:ascii="Arial" w:hAnsi="Arial" w:cs="Arial"/>
          <w:color w:val="000000" w:themeColor="text1"/>
          <w:sz w:val="22"/>
          <w:szCs w:val="22"/>
          <w:lang w:val="es-ES_tradnl"/>
        </w:rPr>
      </w:pPr>
    </w:p>
    <w:p w14:paraId="37CA9805" w14:textId="0A56C02E" w:rsidR="00DD5B04" w:rsidRPr="00970CAB" w:rsidRDefault="004177A6" w:rsidP="004D1C27">
      <w:pPr>
        <w:spacing w:line="276" w:lineRule="auto"/>
        <w:jc w:val="both"/>
        <w:rPr>
          <w:rFonts w:ascii="Arial" w:hAnsi="Arial" w:cs="Arial"/>
          <w:color w:val="000000" w:themeColor="text1"/>
          <w:sz w:val="22"/>
          <w:lang w:val="es-ES_tradnl"/>
        </w:rPr>
      </w:pPr>
      <w:r w:rsidRPr="00970CAB">
        <w:rPr>
          <w:rFonts w:ascii="Arial" w:eastAsia="Calibri" w:hAnsi="Arial" w:cs="Arial"/>
          <w:b/>
          <w:color w:val="000000" w:themeColor="text1"/>
          <w:sz w:val="22"/>
          <w:lang w:val="es-ES_tradnl"/>
        </w:rPr>
        <w:t>3</w:t>
      </w:r>
      <w:r w:rsidR="00B011A9" w:rsidRPr="00970CAB">
        <w:rPr>
          <w:rFonts w:ascii="Arial" w:eastAsia="Calibri" w:hAnsi="Arial" w:cs="Arial"/>
          <w:b/>
          <w:color w:val="000000" w:themeColor="text1"/>
          <w:sz w:val="22"/>
          <w:lang w:val="es-ES_tradnl"/>
        </w:rPr>
        <w:t xml:space="preserve">. </w:t>
      </w:r>
      <w:r w:rsidR="00DD5B04" w:rsidRPr="00970CAB">
        <w:rPr>
          <w:rFonts w:ascii="Arial" w:eastAsia="Calibri" w:hAnsi="Arial" w:cs="Arial"/>
          <w:b/>
          <w:color w:val="000000" w:themeColor="text1"/>
          <w:sz w:val="22"/>
          <w:lang w:val="es-ES_tradnl"/>
        </w:rPr>
        <w:t>Respuest</w:t>
      </w:r>
      <w:r w:rsidR="00BF0E64" w:rsidRPr="00970CAB">
        <w:rPr>
          <w:rFonts w:ascii="Arial" w:eastAsia="Calibri" w:hAnsi="Arial" w:cs="Arial"/>
          <w:b/>
          <w:color w:val="000000" w:themeColor="text1"/>
          <w:sz w:val="22"/>
          <w:lang w:val="es-ES_tradnl"/>
        </w:rPr>
        <w:t>a</w:t>
      </w:r>
    </w:p>
    <w:p w14:paraId="0B74D5B8" w14:textId="59C73EB8" w:rsidR="00C4581D" w:rsidRPr="00970CAB" w:rsidRDefault="00C4581D" w:rsidP="00510DE9">
      <w:pPr>
        <w:tabs>
          <w:tab w:val="left" w:pos="0"/>
        </w:tabs>
        <w:jc w:val="both"/>
        <w:rPr>
          <w:rFonts w:ascii="Arial" w:eastAsia="Calibri" w:hAnsi="Arial" w:cs="Arial"/>
          <w:color w:val="000000" w:themeColor="text1"/>
          <w:sz w:val="22"/>
          <w:lang w:val="es-ES_tradnl"/>
        </w:rPr>
      </w:pPr>
    </w:p>
    <w:p w14:paraId="0E0B0696" w14:textId="77777777" w:rsidR="00D353DF" w:rsidRPr="00970CAB" w:rsidRDefault="00D353DF" w:rsidP="00D353DF">
      <w:pPr>
        <w:ind w:left="709" w:right="709"/>
        <w:jc w:val="both"/>
        <w:rPr>
          <w:rFonts w:ascii="Arial" w:hAnsi="Arial" w:cs="Arial"/>
          <w:color w:val="000000" w:themeColor="text1"/>
          <w:sz w:val="21"/>
          <w:szCs w:val="21"/>
          <w:lang w:val="es-ES_tradnl"/>
        </w:rPr>
      </w:pPr>
      <w:r w:rsidRPr="00970CAB">
        <w:rPr>
          <w:rFonts w:ascii="Arial" w:hAnsi="Arial" w:cs="Arial"/>
          <w:color w:val="000000" w:themeColor="text1"/>
          <w:sz w:val="21"/>
          <w:szCs w:val="21"/>
          <w:lang w:val="es-ES_tradnl"/>
        </w:rPr>
        <w:t>«[…] me permito solicitarle se sirva aclarar si para efectos de aplicación de los criterios de desempate visibles en el artículo 35, numeral 4 de la Ley 2069 de 20201, se tiene en cuenta la antigüedad laboral originada en una sustitución patronal. Lo anterior, teniendo en cuenta que el artículo 68 del código sustantivo del trabajo, dispone:</w:t>
      </w:r>
    </w:p>
    <w:p w14:paraId="58086FD3" w14:textId="77777777" w:rsidR="00D353DF" w:rsidRPr="00970CAB" w:rsidRDefault="00D353DF" w:rsidP="00D353DF">
      <w:pPr>
        <w:ind w:left="709" w:right="709"/>
        <w:jc w:val="both"/>
        <w:rPr>
          <w:rFonts w:ascii="Arial" w:hAnsi="Arial" w:cs="Arial"/>
          <w:color w:val="000000" w:themeColor="text1"/>
          <w:sz w:val="21"/>
          <w:szCs w:val="21"/>
          <w:lang w:val="es-ES_tradnl"/>
        </w:rPr>
      </w:pPr>
    </w:p>
    <w:p w14:paraId="56B6C87E" w14:textId="77777777" w:rsidR="00D353DF" w:rsidRPr="00970CAB" w:rsidRDefault="00D353DF" w:rsidP="00D353DF">
      <w:pPr>
        <w:ind w:left="709" w:right="709"/>
        <w:jc w:val="both"/>
        <w:rPr>
          <w:rFonts w:ascii="Arial" w:hAnsi="Arial" w:cs="Arial"/>
          <w:color w:val="000000" w:themeColor="text1"/>
          <w:sz w:val="21"/>
          <w:szCs w:val="21"/>
          <w:lang w:val="es-ES_tradnl"/>
        </w:rPr>
      </w:pPr>
      <w:proofErr w:type="gramStart"/>
      <w:r w:rsidRPr="00970CAB">
        <w:rPr>
          <w:rFonts w:ascii="Arial" w:hAnsi="Arial" w:cs="Arial"/>
          <w:color w:val="000000" w:themeColor="text1"/>
          <w:sz w:val="21"/>
          <w:szCs w:val="21"/>
          <w:lang w:val="es-ES_tradnl"/>
        </w:rPr>
        <w:t>»ARTICULO</w:t>
      </w:r>
      <w:proofErr w:type="gramEnd"/>
      <w:r w:rsidRPr="00970CAB">
        <w:rPr>
          <w:rFonts w:ascii="Arial" w:hAnsi="Arial" w:cs="Arial"/>
          <w:color w:val="000000" w:themeColor="text1"/>
          <w:sz w:val="21"/>
          <w:szCs w:val="21"/>
          <w:lang w:val="es-ES_tradnl"/>
        </w:rPr>
        <w:t xml:space="preserve"> 68. MANTENIMIENTO DEL CONTRATO DE TRABAJO. La sola sustitución de {empleadores} no extingue, suspende ni modifica los contratos de trabajo existentes (sic)». </w:t>
      </w:r>
    </w:p>
    <w:p w14:paraId="21BB3E22" w14:textId="16E6AD4C" w:rsidR="00E24F05" w:rsidRPr="00970CAB" w:rsidRDefault="00E24F05" w:rsidP="00E24F05">
      <w:pPr>
        <w:ind w:left="709" w:right="709"/>
        <w:jc w:val="both"/>
        <w:rPr>
          <w:rFonts w:ascii="Arial" w:hAnsi="Arial" w:cs="Arial"/>
          <w:color w:val="000000" w:themeColor="text1"/>
          <w:sz w:val="21"/>
          <w:szCs w:val="21"/>
          <w:lang w:val="es-ES_tradnl"/>
        </w:rPr>
      </w:pPr>
    </w:p>
    <w:p w14:paraId="4FA42EF5" w14:textId="3A216440" w:rsidR="000177F7" w:rsidRPr="00970CAB" w:rsidRDefault="002E72AB" w:rsidP="00EA5F2C">
      <w:pPr>
        <w:spacing w:line="276" w:lineRule="auto"/>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lastRenderedPageBreak/>
        <w:t xml:space="preserve">La sustitución de empleadores se define en el artículo </w:t>
      </w:r>
      <w:r w:rsidR="00AA4629" w:rsidRPr="00970CAB">
        <w:rPr>
          <w:rFonts w:ascii="Arial" w:hAnsi="Arial" w:cs="Arial"/>
          <w:color w:val="000000" w:themeColor="text1"/>
          <w:sz w:val="22"/>
          <w:szCs w:val="22"/>
          <w:lang w:val="es-ES_tradnl"/>
        </w:rPr>
        <w:t xml:space="preserve">67 del Código Sustantivo del Trabajo como </w:t>
      </w:r>
      <w:r w:rsidR="0061418E" w:rsidRPr="00970CAB">
        <w:rPr>
          <w:rFonts w:ascii="Arial" w:hAnsi="Arial" w:cs="Arial"/>
          <w:color w:val="000000" w:themeColor="text1"/>
          <w:sz w:val="22"/>
          <w:szCs w:val="22"/>
          <w:lang w:val="es-ES_tradnl"/>
        </w:rPr>
        <w:t>«todo cambio de un empleador por otro, por cualquier causa, siempre que subsista la identidad del establecimiento, es decir, en cuanto éste no sufra variaciones esenciales en el giro de sus actividades o negocios».</w:t>
      </w:r>
      <w:r w:rsidRPr="00970CAB">
        <w:rPr>
          <w:rFonts w:ascii="Arial" w:hAnsi="Arial" w:cs="Arial"/>
          <w:color w:val="000000" w:themeColor="text1"/>
          <w:sz w:val="22"/>
          <w:szCs w:val="22"/>
          <w:lang w:val="es-ES_tradnl"/>
        </w:rPr>
        <w:t xml:space="preserve">  </w:t>
      </w:r>
      <w:r w:rsidR="0061418E" w:rsidRPr="00970CAB">
        <w:rPr>
          <w:rFonts w:ascii="Arial" w:hAnsi="Arial" w:cs="Arial"/>
          <w:color w:val="000000" w:themeColor="text1"/>
          <w:sz w:val="22"/>
          <w:szCs w:val="22"/>
          <w:lang w:val="es-ES_tradnl"/>
        </w:rPr>
        <w:t xml:space="preserve">Es decir que </w:t>
      </w:r>
      <w:r w:rsidR="00455E1C" w:rsidRPr="00970CAB">
        <w:rPr>
          <w:rFonts w:ascii="Arial" w:hAnsi="Arial" w:cs="Arial"/>
          <w:color w:val="000000" w:themeColor="text1"/>
          <w:sz w:val="22"/>
          <w:szCs w:val="22"/>
          <w:lang w:val="es-ES_tradnl"/>
        </w:rPr>
        <w:t>este fenómeno opera cuando</w:t>
      </w:r>
      <w:r w:rsidR="003044AA" w:rsidRPr="00970CAB">
        <w:rPr>
          <w:rFonts w:ascii="Arial" w:hAnsi="Arial" w:cs="Arial"/>
          <w:color w:val="000000" w:themeColor="text1"/>
          <w:sz w:val="22"/>
          <w:szCs w:val="22"/>
          <w:lang w:val="es-ES_tradnl"/>
        </w:rPr>
        <w:t xml:space="preserve"> lo que cambia es el empleador, pero el giro ordinario de la empresa se mantiene. </w:t>
      </w:r>
      <w:r w:rsidR="00600B65" w:rsidRPr="00970CAB">
        <w:rPr>
          <w:rFonts w:ascii="Arial" w:hAnsi="Arial" w:cs="Arial"/>
          <w:color w:val="000000" w:themeColor="text1"/>
          <w:sz w:val="22"/>
          <w:szCs w:val="22"/>
          <w:lang w:val="es-ES_tradnl"/>
        </w:rPr>
        <w:t xml:space="preserve">En tal sentido, </w:t>
      </w:r>
      <w:r w:rsidR="003044AA" w:rsidRPr="00970CAB">
        <w:rPr>
          <w:rFonts w:ascii="Arial" w:hAnsi="Arial" w:cs="Arial"/>
          <w:color w:val="000000" w:themeColor="text1"/>
          <w:sz w:val="22"/>
          <w:szCs w:val="22"/>
          <w:lang w:val="es-ES_tradnl"/>
        </w:rPr>
        <w:t xml:space="preserve">el artículo </w:t>
      </w:r>
      <w:r w:rsidR="00600B65" w:rsidRPr="00970CAB">
        <w:rPr>
          <w:rFonts w:ascii="Arial" w:hAnsi="Arial" w:cs="Arial"/>
          <w:color w:val="000000" w:themeColor="text1"/>
          <w:sz w:val="22"/>
          <w:szCs w:val="22"/>
          <w:lang w:val="es-ES_tradnl"/>
        </w:rPr>
        <w:t>68 del mismo Código señala que «La sola sustitución de empleadores no extingue, suspende ni modifica los contratos de trabajo existentes».</w:t>
      </w:r>
      <w:r w:rsidR="00B41A2A" w:rsidRPr="00970CAB">
        <w:rPr>
          <w:rFonts w:ascii="Arial" w:hAnsi="Arial" w:cs="Arial"/>
          <w:color w:val="000000" w:themeColor="text1"/>
          <w:sz w:val="22"/>
          <w:szCs w:val="22"/>
          <w:lang w:val="es-ES_tradnl"/>
        </w:rPr>
        <w:t xml:space="preserve"> </w:t>
      </w:r>
    </w:p>
    <w:p w14:paraId="3D2AFC26" w14:textId="35A93B31" w:rsidR="00F83A43" w:rsidRPr="00970CAB" w:rsidRDefault="00B41A2A" w:rsidP="00844421">
      <w:pPr>
        <w:spacing w:before="120" w:line="276" w:lineRule="auto"/>
        <w:ind w:firstLine="709"/>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Por lo tanto, sin perjuicio de que el decreto que expida el gobierno nacional para reglamentar el numeral 4 del artículo 35 de la Ley 2069 de 2020 disponga algo diferente, esta Subdirección</w:t>
      </w:r>
      <w:r w:rsidR="00752A4F" w:rsidRPr="00970CAB">
        <w:rPr>
          <w:rFonts w:ascii="Arial" w:hAnsi="Arial" w:cs="Arial"/>
          <w:color w:val="000000" w:themeColor="text1"/>
          <w:sz w:val="22"/>
          <w:szCs w:val="22"/>
          <w:lang w:val="es-ES_tradnl"/>
        </w:rPr>
        <w:t xml:space="preserve"> en principio</w:t>
      </w:r>
      <w:r w:rsidRPr="00970CAB">
        <w:rPr>
          <w:rFonts w:ascii="Arial" w:hAnsi="Arial" w:cs="Arial"/>
          <w:color w:val="000000" w:themeColor="text1"/>
          <w:sz w:val="22"/>
          <w:szCs w:val="22"/>
          <w:lang w:val="es-ES_tradnl"/>
        </w:rPr>
        <w:t xml:space="preserve"> no advierte que </w:t>
      </w:r>
      <w:r w:rsidR="00621A88" w:rsidRPr="00970CAB">
        <w:rPr>
          <w:rFonts w:ascii="Arial" w:hAnsi="Arial" w:cs="Arial"/>
          <w:color w:val="000000" w:themeColor="text1"/>
          <w:sz w:val="22"/>
          <w:szCs w:val="22"/>
          <w:lang w:val="es-ES_tradnl"/>
        </w:rPr>
        <w:t xml:space="preserve">la sustitución de empleadores sea óbice para que se siga computando el período de antigüedad exigido en el parágrafo segundo del mencionado artículo, pues el hecho de que </w:t>
      </w:r>
      <w:r w:rsidR="006712A4" w:rsidRPr="00970CAB">
        <w:rPr>
          <w:rFonts w:ascii="Arial" w:hAnsi="Arial" w:cs="Arial"/>
          <w:color w:val="000000" w:themeColor="text1"/>
          <w:sz w:val="22"/>
          <w:szCs w:val="22"/>
          <w:lang w:val="es-ES_tradnl"/>
        </w:rPr>
        <w:t>opere tal sustitución no modifica por sí sol</w:t>
      </w:r>
      <w:r w:rsidR="00E82AC8" w:rsidRPr="00970CAB">
        <w:rPr>
          <w:rFonts w:ascii="Arial" w:hAnsi="Arial" w:cs="Arial"/>
          <w:color w:val="000000" w:themeColor="text1"/>
          <w:sz w:val="22"/>
          <w:szCs w:val="22"/>
          <w:lang w:val="es-ES_tradnl"/>
        </w:rPr>
        <w:t>o</w:t>
      </w:r>
      <w:r w:rsidR="006712A4" w:rsidRPr="00970CAB">
        <w:rPr>
          <w:rFonts w:ascii="Arial" w:hAnsi="Arial" w:cs="Arial"/>
          <w:color w:val="000000" w:themeColor="text1"/>
          <w:sz w:val="22"/>
          <w:szCs w:val="22"/>
          <w:lang w:val="es-ES_tradnl"/>
        </w:rPr>
        <w:t xml:space="preserve"> el contrato de trabajo, es decir que se mantiene la misma relación laboral. Sin embargo, el oferente que pretenda beneficiarse con el factor de desempate </w:t>
      </w:r>
      <w:r w:rsidR="001536A6" w:rsidRPr="00970CAB">
        <w:rPr>
          <w:rFonts w:ascii="Arial" w:hAnsi="Arial" w:cs="Arial"/>
          <w:color w:val="000000" w:themeColor="text1"/>
          <w:sz w:val="22"/>
          <w:szCs w:val="22"/>
          <w:lang w:val="es-ES_tradnl"/>
        </w:rPr>
        <w:t xml:space="preserve">previsto en el numeral 4 </w:t>
      </w:r>
      <w:r w:rsidR="006712A4" w:rsidRPr="00970CAB">
        <w:rPr>
          <w:rFonts w:ascii="Arial" w:hAnsi="Arial" w:cs="Arial"/>
          <w:color w:val="000000" w:themeColor="text1"/>
          <w:sz w:val="22"/>
          <w:szCs w:val="22"/>
          <w:lang w:val="es-ES_tradnl"/>
        </w:rPr>
        <w:t>debe conservar el mismo giro ordinario del negocio</w:t>
      </w:r>
      <w:r w:rsidR="00AA5A8C" w:rsidRPr="00970CAB">
        <w:rPr>
          <w:rFonts w:ascii="Arial" w:hAnsi="Arial" w:cs="Arial"/>
          <w:color w:val="000000" w:themeColor="text1"/>
          <w:sz w:val="22"/>
          <w:szCs w:val="22"/>
          <w:lang w:val="es-ES_tradnl"/>
        </w:rPr>
        <w:t xml:space="preserve"> que existía antes de la sustitución </w:t>
      </w:r>
      <w:r w:rsidR="001D0BDE" w:rsidRPr="00970CAB">
        <w:rPr>
          <w:rFonts w:ascii="Arial" w:hAnsi="Arial" w:cs="Arial"/>
          <w:color w:val="000000" w:themeColor="text1"/>
          <w:sz w:val="22"/>
          <w:szCs w:val="22"/>
          <w:lang w:val="es-ES_tradnl"/>
        </w:rPr>
        <w:t>de empleadores</w:t>
      </w:r>
      <w:r w:rsidR="00AD55D5" w:rsidRPr="00970CAB">
        <w:rPr>
          <w:rFonts w:ascii="Arial" w:hAnsi="Arial" w:cs="Arial"/>
          <w:color w:val="000000" w:themeColor="text1"/>
          <w:sz w:val="22"/>
          <w:szCs w:val="22"/>
          <w:lang w:val="es-ES_tradnl"/>
        </w:rPr>
        <w:t>, si quiere que se le tenga en cuenta la vinculación del trabajador</w:t>
      </w:r>
      <w:r w:rsidR="00BF131B" w:rsidRPr="00970CAB">
        <w:rPr>
          <w:rFonts w:ascii="Arial" w:hAnsi="Arial" w:cs="Arial"/>
          <w:color w:val="000000" w:themeColor="text1"/>
          <w:sz w:val="22"/>
          <w:szCs w:val="22"/>
          <w:lang w:val="es-ES_tradnl"/>
        </w:rPr>
        <w:t xml:space="preserve"> previa a dicha sustitución</w:t>
      </w:r>
      <w:r w:rsidR="001802FF" w:rsidRPr="00970CAB">
        <w:rPr>
          <w:rFonts w:ascii="Arial" w:hAnsi="Arial" w:cs="Arial"/>
          <w:color w:val="000000" w:themeColor="text1"/>
          <w:sz w:val="22"/>
          <w:szCs w:val="22"/>
          <w:lang w:val="es-ES_tradnl"/>
        </w:rPr>
        <w:t>.</w:t>
      </w:r>
      <w:r w:rsidR="00BF131B" w:rsidRPr="00970CAB">
        <w:rPr>
          <w:rFonts w:ascii="Arial" w:hAnsi="Arial" w:cs="Arial"/>
          <w:color w:val="000000" w:themeColor="text1"/>
          <w:sz w:val="22"/>
          <w:szCs w:val="22"/>
          <w:lang w:val="es-ES_tradnl"/>
        </w:rPr>
        <w:t xml:space="preserve"> </w:t>
      </w:r>
    </w:p>
    <w:p w14:paraId="6D0E7BCE" w14:textId="77777777" w:rsidR="00D353DF" w:rsidRPr="00970CAB" w:rsidRDefault="00D353DF" w:rsidP="00970CAB">
      <w:pPr>
        <w:spacing w:after="120"/>
        <w:ind w:right="709"/>
        <w:jc w:val="both"/>
        <w:rPr>
          <w:rFonts w:ascii="Arial" w:hAnsi="Arial" w:cs="Arial"/>
          <w:color w:val="000000" w:themeColor="text1"/>
          <w:sz w:val="21"/>
          <w:szCs w:val="21"/>
          <w:lang w:val="es-ES_tradnl"/>
        </w:rPr>
      </w:pPr>
    </w:p>
    <w:p w14:paraId="7B2C921D" w14:textId="0383AF9A" w:rsidR="00DD5B04" w:rsidRPr="00970CAB" w:rsidRDefault="00DD5B04" w:rsidP="00DF76A2">
      <w:pPr>
        <w:spacing w:line="276" w:lineRule="auto"/>
        <w:jc w:val="both"/>
        <w:rPr>
          <w:rFonts w:ascii="Arial" w:hAnsi="Arial" w:cs="Arial"/>
          <w:color w:val="000000" w:themeColor="text1"/>
          <w:sz w:val="22"/>
          <w:lang w:val="es-ES_tradnl"/>
        </w:rPr>
      </w:pPr>
      <w:r w:rsidRPr="00970CA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970CA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970CA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70CAB">
        <w:rPr>
          <w:rFonts w:ascii="Arial" w:hAnsi="Arial" w:cs="Arial"/>
          <w:color w:val="000000" w:themeColor="text1"/>
          <w:sz w:val="22"/>
          <w:szCs w:val="22"/>
          <w:lang w:val="es-ES_tradnl"/>
        </w:rPr>
        <w:t>Atentamente,</w:t>
      </w:r>
    </w:p>
    <w:p w14:paraId="692FC307" w14:textId="210AA6B5" w:rsidR="00921304" w:rsidRPr="00970CAB"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1AA0BB6" w:rsidR="00921304" w:rsidRPr="00970CAB" w:rsidRDefault="00503CA9"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39019A4" wp14:editId="4A3457DC">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9730030" w14:textId="217D35F3" w:rsidR="00DD5B04" w:rsidRPr="00970CAB" w:rsidRDefault="00DD5B04" w:rsidP="00AD314B">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42B6" w:rsidRPr="00970CAB" w14:paraId="0C7DC5F7" w14:textId="77777777" w:rsidTr="003D3D44">
        <w:trPr>
          <w:trHeight w:val="315"/>
        </w:trPr>
        <w:tc>
          <w:tcPr>
            <w:tcW w:w="812" w:type="dxa"/>
            <w:vAlign w:val="center"/>
            <w:hideMark/>
          </w:tcPr>
          <w:p w14:paraId="5BDB1AC9" w14:textId="77777777" w:rsidR="00DD5B04" w:rsidRPr="00970CAB" w:rsidRDefault="00DD5B04" w:rsidP="00DF76A2">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970CAB" w:rsidRDefault="00DD5B04" w:rsidP="00DF76A2">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Cristian Andrés Díaz Díez</w:t>
            </w:r>
          </w:p>
          <w:p w14:paraId="240C71FD" w14:textId="31312C95" w:rsidR="00DD5B04" w:rsidRPr="00970CAB" w:rsidRDefault="00DD5B04" w:rsidP="00DF76A2">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Contratista</w:t>
            </w:r>
            <w:r w:rsidR="00FF0050" w:rsidRPr="00970CAB">
              <w:rPr>
                <w:rFonts w:ascii="Arial" w:hAnsi="Arial" w:cs="Arial"/>
                <w:color w:val="000000" w:themeColor="text1"/>
                <w:sz w:val="16"/>
                <w:szCs w:val="16"/>
                <w:lang w:val="es-ES_tradnl" w:eastAsia="es-ES"/>
              </w:rPr>
              <w:t xml:space="preserve"> de la </w:t>
            </w:r>
            <w:r w:rsidRPr="00970CAB">
              <w:rPr>
                <w:rFonts w:ascii="Arial" w:hAnsi="Arial" w:cs="Arial"/>
                <w:color w:val="000000" w:themeColor="text1"/>
                <w:sz w:val="16"/>
                <w:szCs w:val="16"/>
                <w:lang w:val="es-ES_tradnl" w:eastAsia="es-ES"/>
              </w:rPr>
              <w:t>Subdirección de Gestión Contractual</w:t>
            </w:r>
          </w:p>
        </w:tc>
      </w:tr>
      <w:tr w:rsidR="009342B6" w:rsidRPr="00970CAB" w14:paraId="2F8FD650" w14:textId="77777777" w:rsidTr="003D3D44">
        <w:trPr>
          <w:trHeight w:val="330"/>
        </w:trPr>
        <w:tc>
          <w:tcPr>
            <w:tcW w:w="812" w:type="dxa"/>
            <w:vAlign w:val="center"/>
            <w:hideMark/>
          </w:tcPr>
          <w:p w14:paraId="50203A0B" w14:textId="77777777" w:rsidR="00DD5B04" w:rsidRPr="00970CAB" w:rsidRDefault="00DD5B04" w:rsidP="00DF76A2">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04101" w14:textId="3E412AD8" w:rsidR="00C62C63" w:rsidRPr="00970CAB" w:rsidRDefault="00E3290A" w:rsidP="00C62C63">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Juan David Montoya Penagos</w:t>
            </w:r>
          </w:p>
          <w:p w14:paraId="130B3228" w14:textId="43F01F44" w:rsidR="00DD5B04" w:rsidRPr="00970CAB" w:rsidRDefault="00F06E9C" w:rsidP="00C62C63">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Gestor T1-15 de la Subdirección de Gestión Contractual</w:t>
            </w:r>
          </w:p>
        </w:tc>
      </w:tr>
      <w:tr w:rsidR="00DD5B04" w:rsidRPr="00CF16CF" w14:paraId="0FCBCA4A" w14:textId="77777777" w:rsidTr="003D3D44">
        <w:trPr>
          <w:trHeight w:val="300"/>
        </w:trPr>
        <w:tc>
          <w:tcPr>
            <w:tcW w:w="812" w:type="dxa"/>
            <w:vAlign w:val="center"/>
            <w:hideMark/>
          </w:tcPr>
          <w:p w14:paraId="3C1D943A" w14:textId="77777777" w:rsidR="00DD5B04" w:rsidRPr="00970CAB" w:rsidRDefault="00DD5B04" w:rsidP="00DF76A2">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970CAB" w:rsidRDefault="00134E7E" w:rsidP="00134E7E">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Jorge Augusto Tirado Navarro</w:t>
            </w:r>
          </w:p>
          <w:p w14:paraId="1ADC483B" w14:textId="1C385A7F" w:rsidR="00DD5B04" w:rsidRPr="00CF16CF" w:rsidRDefault="00134E7E" w:rsidP="00134E7E">
            <w:pPr>
              <w:jc w:val="both"/>
              <w:rPr>
                <w:rFonts w:ascii="Arial" w:hAnsi="Arial" w:cs="Arial"/>
                <w:color w:val="000000" w:themeColor="text1"/>
                <w:sz w:val="16"/>
                <w:szCs w:val="16"/>
                <w:lang w:val="es-ES_tradnl" w:eastAsia="es-ES"/>
              </w:rPr>
            </w:pPr>
            <w:r w:rsidRPr="00970CAB">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CF16CF" w:rsidRDefault="00746E08" w:rsidP="00215B8E">
      <w:pPr>
        <w:jc w:val="both"/>
        <w:rPr>
          <w:rFonts w:ascii="Arial" w:hAnsi="Arial" w:cs="Arial"/>
          <w:color w:val="000000" w:themeColor="text1"/>
          <w:lang w:val="es-ES_tradnl"/>
        </w:rPr>
      </w:pPr>
    </w:p>
    <w:sectPr w:rsidR="00746E08" w:rsidRPr="00CF16C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8712" w14:textId="77777777" w:rsidR="007601A3" w:rsidRDefault="007601A3">
      <w:r>
        <w:separator/>
      </w:r>
    </w:p>
  </w:endnote>
  <w:endnote w:type="continuationSeparator" w:id="0">
    <w:p w14:paraId="4C97986C" w14:textId="77777777" w:rsidR="007601A3" w:rsidRDefault="007601A3">
      <w:r>
        <w:continuationSeparator/>
      </w:r>
    </w:p>
  </w:endnote>
  <w:endnote w:type="continuationNotice" w:id="1">
    <w:p w14:paraId="3D0A66BA" w14:textId="77777777" w:rsidR="007601A3" w:rsidRDefault="0076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12A8" w14:textId="77777777" w:rsidR="007601A3" w:rsidRDefault="007601A3">
      <w:r>
        <w:separator/>
      </w:r>
    </w:p>
  </w:footnote>
  <w:footnote w:type="continuationSeparator" w:id="0">
    <w:p w14:paraId="2F3402DC" w14:textId="77777777" w:rsidR="007601A3" w:rsidRDefault="007601A3">
      <w:r>
        <w:continuationSeparator/>
      </w:r>
    </w:p>
  </w:footnote>
  <w:footnote w:type="continuationNotice" w:id="1">
    <w:p w14:paraId="38F6E29A" w14:textId="77777777" w:rsidR="007601A3" w:rsidRDefault="007601A3"/>
  </w:footnote>
  <w:footnote w:id="2">
    <w:p w14:paraId="5221EE23"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Consejo de Estado. Sección Tercera. Sentencia del 29 de octubre de 2.015. Consejera Ponente: Stella Conto Díaz Del Castillo. Expediente: 31.918.</w:t>
      </w:r>
    </w:p>
    <w:p w14:paraId="7AB991B3" w14:textId="77777777" w:rsidR="00B0749C" w:rsidRPr="007D7047" w:rsidRDefault="00B0749C" w:rsidP="007D7047">
      <w:pPr>
        <w:pStyle w:val="Textonotapie"/>
        <w:ind w:firstLine="709"/>
        <w:jc w:val="both"/>
        <w:rPr>
          <w:rFonts w:ascii="Arial" w:hAnsi="Arial" w:cs="Arial"/>
          <w:sz w:val="19"/>
          <w:szCs w:val="19"/>
          <w:lang w:val="es-ES"/>
        </w:rPr>
      </w:pPr>
    </w:p>
  </w:footnote>
  <w:footnote w:id="3">
    <w:p w14:paraId="3C1769D4"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Corte Constitucional. Sentencia T-684A del 14 de septiembre de 2011. Magistrado Ponente: Mauricio González Cuervo.</w:t>
      </w:r>
    </w:p>
    <w:p w14:paraId="6943AFC6" w14:textId="77777777" w:rsidR="00B0749C" w:rsidRPr="007D7047" w:rsidRDefault="00B0749C" w:rsidP="007D7047">
      <w:pPr>
        <w:pStyle w:val="Textonotapie"/>
        <w:ind w:firstLine="709"/>
        <w:jc w:val="both"/>
        <w:rPr>
          <w:rFonts w:ascii="Arial" w:hAnsi="Arial" w:cs="Arial"/>
          <w:sz w:val="19"/>
          <w:szCs w:val="19"/>
          <w:lang w:val="es-ES"/>
        </w:rPr>
      </w:pPr>
    </w:p>
  </w:footnote>
  <w:footnote w:id="4">
    <w:p w14:paraId="64BB1CE3"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7950281F" w14:textId="77777777" w:rsidR="00B0749C" w:rsidRPr="007D7047" w:rsidRDefault="00B0749C" w:rsidP="007D7047">
      <w:pPr>
        <w:pStyle w:val="Textonotapie"/>
        <w:ind w:firstLine="709"/>
        <w:jc w:val="both"/>
        <w:rPr>
          <w:rFonts w:ascii="Arial" w:hAnsi="Arial" w:cs="Arial"/>
          <w:sz w:val="19"/>
          <w:szCs w:val="19"/>
          <w:lang w:val="es-CO"/>
        </w:rPr>
      </w:pPr>
    </w:p>
  </w:footnote>
  <w:footnote w:id="5">
    <w:p w14:paraId="7E5E2C24"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2 al 29.</w:t>
      </w:r>
    </w:p>
    <w:p w14:paraId="7DD04EFF" w14:textId="77777777" w:rsidR="0000500B" w:rsidRPr="007D7047" w:rsidRDefault="0000500B" w:rsidP="007D7047">
      <w:pPr>
        <w:pStyle w:val="Textonotapie"/>
        <w:ind w:firstLine="709"/>
        <w:jc w:val="both"/>
        <w:rPr>
          <w:rFonts w:ascii="Arial" w:hAnsi="Arial" w:cs="Arial"/>
          <w:sz w:val="19"/>
          <w:szCs w:val="19"/>
          <w:lang w:val="es-ES"/>
        </w:rPr>
      </w:pPr>
    </w:p>
  </w:footnote>
  <w:footnote w:id="6">
    <w:p w14:paraId="3B737876"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30 al 36.</w:t>
      </w:r>
    </w:p>
    <w:p w14:paraId="57E10907" w14:textId="77777777" w:rsidR="0000500B" w:rsidRPr="007D7047" w:rsidRDefault="0000500B" w:rsidP="007D7047">
      <w:pPr>
        <w:pStyle w:val="Textonotapie"/>
        <w:ind w:firstLine="709"/>
        <w:jc w:val="both"/>
        <w:rPr>
          <w:rFonts w:ascii="Arial" w:hAnsi="Arial" w:cs="Arial"/>
          <w:sz w:val="19"/>
          <w:szCs w:val="19"/>
          <w:lang w:val="es-ES"/>
        </w:rPr>
      </w:pPr>
    </w:p>
  </w:footnote>
  <w:footnote w:id="7">
    <w:p w14:paraId="6F243A4A"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37 al 45.</w:t>
      </w:r>
    </w:p>
    <w:p w14:paraId="5BDD2689" w14:textId="77777777" w:rsidR="0000500B" w:rsidRPr="007D7047" w:rsidRDefault="0000500B" w:rsidP="007D7047">
      <w:pPr>
        <w:pStyle w:val="Textonotapie"/>
        <w:ind w:firstLine="709"/>
        <w:jc w:val="both"/>
        <w:rPr>
          <w:rFonts w:ascii="Arial" w:hAnsi="Arial" w:cs="Arial"/>
          <w:sz w:val="19"/>
          <w:szCs w:val="19"/>
          <w:lang w:val="es-ES"/>
        </w:rPr>
      </w:pPr>
    </w:p>
  </w:footnote>
  <w:footnote w:id="8">
    <w:p w14:paraId="4E1C4723"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46 al 73.</w:t>
      </w:r>
    </w:p>
    <w:p w14:paraId="2DE1DCBD" w14:textId="77777777" w:rsidR="0000500B" w:rsidRPr="007D7047" w:rsidRDefault="0000500B" w:rsidP="007D7047">
      <w:pPr>
        <w:pStyle w:val="Textonotapie"/>
        <w:ind w:firstLine="709"/>
        <w:jc w:val="both"/>
        <w:rPr>
          <w:rFonts w:ascii="Arial" w:hAnsi="Arial" w:cs="Arial"/>
          <w:sz w:val="19"/>
          <w:szCs w:val="19"/>
          <w:lang w:val="es-ES"/>
        </w:rPr>
      </w:pPr>
    </w:p>
  </w:footnote>
  <w:footnote w:id="9">
    <w:p w14:paraId="4CDDFC07"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74 al 83.</w:t>
      </w:r>
    </w:p>
    <w:p w14:paraId="7B1A6950" w14:textId="77777777" w:rsidR="0000500B" w:rsidRPr="007D7047" w:rsidRDefault="0000500B" w:rsidP="007D7047">
      <w:pPr>
        <w:pStyle w:val="Textonotapie"/>
        <w:ind w:firstLine="709"/>
        <w:jc w:val="both"/>
        <w:rPr>
          <w:rFonts w:ascii="Arial" w:hAnsi="Arial" w:cs="Arial"/>
          <w:sz w:val="19"/>
          <w:szCs w:val="19"/>
          <w:lang w:val="es-ES"/>
        </w:rPr>
      </w:pPr>
    </w:p>
  </w:footnote>
  <w:footnote w:id="10">
    <w:p w14:paraId="4347A1AA" w14:textId="77777777" w:rsidR="00674A7D" w:rsidRPr="007D7047" w:rsidRDefault="00674A7D" w:rsidP="007D7047">
      <w:pPr>
        <w:pStyle w:val="Textonotapie"/>
        <w:ind w:firstLine="709"/>
        <w:jc w:val="both"/>
        <w:rPr>
          <w:rFonts w:ascii="Arial" w:hAnsi="Arial" w:cs="Arial"/>
          <w:color w:val="000000" w:themeColor="text1"/>
          <w:sz w:val="19"/>
          <w:szCs w:val="19"/>
          <w:lang w:val="es-ES"/>
        </w:rPr>
      </w:pPr>
      <w:r w:rsidRPr="007D7047">
        <w:rPr>
          <w:rStyle w:val="Refdenotaalpie"/>
          <w:rFonts w:ascii="Arial" w:hAnsi="Arial" w:cs="Arial"/>
          <w:color w:val="000000" w:themeColor="text1"/>
          <w:sz w:val="19"/>
          <w:szCs w:val="19"/>
        </w:rPr>
        <w:footnoteRef/>
      </w:r>
      <w:r w:rsidRPr="007D7047">
        <w:rPr>
          <w:rFonts w:ascii="Arial" w:hAnsi="Arial" w:cs="Arial"/>
          <w:color w:val="000000" w:themeColor="text1"/>
          <w:sz w:val="19"/>
          <w:szCs w:val="19"/>
        </w:rPr>
        <w:t xml:space="preserve"> </w:t>
      </w:r>
      <w:r w:rsidRPr="007D7047">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w:t>
      </w:r>
      <w:proofErr w:type="spellStart"/>
      <w:r w:rsidRPr="007D7047">
        <w:rPr>
          <w:rFonts w:ascii="Arial" w:hAnsi="Arial" w:cs="Arial"/>
          <w:color w:val="000000" w:themeColor="text1"/>
          <w:sz w:val="19"/>
          <w:szCs w:val="19"/>
          <w:lang w:val="es-ES"/>
        </w:rPr>
        <w:t>oponibilidad</w:t>
      </w:r>
      <w:proofErr w:type="spellEnd"/>
      <w:r w:rsidRPr="007D7047">
        <w:rPr>
          <w:rFonts w:ascii="Arial" w:hAnsi="Arial" w:cs="Arial"/>
          <w:color w:val="000000" w:themeColor="text1"/>
          <w:sz w:val="19"/>
          <w:szCs w:val="19"/>
          <w:lang w:val="es-ES"/>
        </w:rPr>
        <w:t>) de las leyes, las cuales solo tienen vigencia si se han promulgado y publicado en el Diario Oficial (Sentencia C-932 de 2006. Magistrado Ponente: Humberto Antonio Sierra Porto).</w:t>
      </w:r>
    </w:p>
  </w:footnote>
  <w:footnote w:id="11">
    <w:p w14:paraId="2E11CC67" w14:textId="349DB254" w:rsidR="00674A7D" w:rsidRPr="007D7047" w:rsidRDefault="00674A7D" w:rsidP="007D7047">
      <w:pPr>
        <w:pStyle w:val="Textonotapie"/>
        <w:ind w:firstLine="709"/>
        <w:jc w:val="both"/>
        <w:rPr>
          <w:rFonts w:ascii="Arial" w:hAnsi="Arial" w:cs="Arial"/>
          <w:color w:val="000000" w:themeColor="text1"/>
          <w:sz w:val="19"/>
          <w:szCs w:val="19"/>
          <w:lang w:val="es-ES"/>
        </w:rPr>
      </w:pPr>
      <w:r w:rsidRPr="007D7047">
        <w:rPr>
          <w:rStyle w:val="Refdenotaalpie"/>
          <w:rFonts w:ascii="Arial" w:hAnsi="Arial" w:cs="Arial"/>
          <w:color w:val="000000" w:themeColor="text1"/>
          <w:sz w:val="19"/>
          <w:szCs w:val="19"/>
        </w:rPr>
        <w:footnoteRef/>
      </w:r>
      <w:r w:rsidRPr="007D7047">
        <w:rPr>
          <w:rFonts w:ascii="Arial" w:hAnsi="Arial" w:cs="Arial"/>
          <w:color w:val="000000" w:themeColor="text1"/>
          <w:sz w:val="19"/>
          <w:szCs w:val="19"/>
        </w:rPr>
        <w:t xml:space="preserve"> </w:t>
      </w:r>
      <w:r w:rsidRPr="007D7047">
        <w:rPr>
          <w:rFonts w:ascii="Arial" w:hAnsi="Arial" w:cs="Arial"/>
          <w:color w:val="000000" w:themeColor="text1"/>
          <w:sz w:val="19"/>
          <w:szCs w:val="19"/>
          <w:lang w:val="es-ES"/>
        </w:rPr>
        <w:t xml:space="preserve">Tales </w:t>
      </w:r>
      <w:proofErr w:type="spellStart"/>
      <w:r w:rsidRPr="007D7047">
        <w:rPr>
          <w:rFonts w:ascii="Arial" w:hAnsi="Arial" w:cs="Arial"/>
          <w:color w:val="000000" w:themeColor="text1"/>
          <w:sz w:val="19"/>
          <w:szCs w:val="19"/>
          <w:lang w:val="es-ES"/>
        </w:rPr>
        <w:t>subreglas</w:t>
      </w:r>
      <w:proofErr w:type="spellEnd"/>
      <w:r w:rsidRPr="007D7047">
        <w:rPr>
          <w:rFonts w:ascii="Arial" w:hAnsi="Arial" w:cs="Arial"/>
          <w:color w:val="000000" w:themeColor="text1"/>
          <w:sz w:val="19"/>
          <w:szCs w:val="19"/>
          <w:lang w:val="es-ES"/>
        </w:rPr>
        <w:t xml:space="preserve"> son coherentes con la forma como la doctrina del Derecho administrativo comparado ha entendido de tiempo atrás la vigencia de las leyes. Al respecto, basta leer las palabras de </w:t>
      </w:r>
      <w:proofErr w:type="spellStart"/>
      <w:r w:rsidRPr="007D7047">
        <w:rPr>
          <w:rFonts w:ascii="Arial" w:hAnsi="Arial" w:cs="Arial"/>
          <w:color w:val="000000" w:themeColor="text1"/>
          <w:sz w:val="19"/>
          <w:szCs w:val="19"/>
          <w:lang w:val="es-ES"/>
        </w:rPr>
        <w:t>Marienhoff</w:t>
      </w:r>
      <w:proofErr w:type="spellEnd"/>
      <w:r w:rsidRPr="007D7047">
        <w:rPr>
          <w:rFonts w:ascii="Arial" w:hAnsi="Arial" w:cs="Arial"/>
          <w:color w:val="000000" w:themeColor="text1"/>
          <w:sz w:val="19"/>
          <w:szCs w:val="19"/>
          <w:lang w:val="es-ES"/>
        </w:rPr>
        <w:t xml:space="preserve">, cuando se pregunta «¿Y cuál es la vigencia de la ley con relación al tiempo?», respondiendo a renglón seguido: «El principio general consiste en que las leyes rigen </w:t>
      </w:r>
      <w:r w:rsidRPr="007D7047">
        <w:rPr>
          <w:rFonts w:ascii="Arial" w:hAnsi="Arial" w:cs="Arial"/>
          <w:i/>
          <w:iCs/>
          <w:color w:val="000000" w:themeColor="text1"/>
          <w:sz w:val="19"/>
          <w:szCs w:val="19"/>
          <w:lang w:val="es-ES"/>
        </w:rPr>
        <w:t>“ex nunc”</w:t>
      </w:r>
      <w:r w:rsidRPr="007D7047">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7D7047">
        <w:rPr>
          <w:rFonts w:ascii="Arial" w:hAnsi="Arial" w:cs="Arial"/>
          <w:i/>
          <w:iCs/>
          <w:color w:val="000000" w:themeColor="text1"/>
          <w:sz w:val="19"/>
          <w:szCs w:val="19"/>
          <w:lang w:val="es-ES"/>
        </w:rPr>
        <w:t>“excepcional”</w:t>
      </w:r>
      <w:r w:rsidRPr="007D7047">
        <w:rPr>
          <w:rFonts w:ascii="Arial" w:hAnsi="Arial" w:cs="Arial"/>
          <w:color w:val="000000" w:themeColor="text1"/>
          <w:sz w:val="19"/>
          <w:szCs w:val="19"/>
          <w:lang w:val="es-ES"/>
        </w:rPr>
        <w:t xml:space="preserve">, la ley puede regir para el pasado, es decir, puede tener efecto retroactivo, </w:t>
      </w:r>
      <w:r w:rsidRPr="007D7047">
        <w:rPr>
          <w:rFonts w:ascii="Arial" w:hAnsi="Arial" w:cs="Arial"/>
          <w:i/>
          <w:iCs/>
          <w:color w:val="000000" w:themeColor="text1"/>
          <w:sz w:val="19"/>
          <w:szCs w:val="19"/>
          <w:lang w:val="es-ES"/>
        </w:rPr>
        <w:t xml:space="preserve">“ex </w:t>
      </w:r>
      <w:proofErr w:type="spellStart"/>
      <w:r w:rsidRPr="007D7047">
        <w:rPr>
          <w:rFonts w:ascii="Arial" w:hAnsi="Arial" w:cs="Arial"/>
          <w:i/>
          <w:iCs/>
          <w:color w:val="000000" w:themeColor="text1"/>
          <w:sz w:val="19"/>
          <w:szCs w:val="19"/>
          <w:lang w:val="es-ES"/>
        </w:rPr>
        <w:t>tunc</w:t>
      </w:r>
      <w:proofErr w:type="spellEnd"/>
      <w:r w:rsidRPr="007D7047">
        <w:rPr>
          <w:rFonts w:ascii="Arial" w:hAnsi="Arial" w:cs="Arial"/>
          <w:i/>
          <w:iCs/>
          <w:color w:val="000000" w:themeColor="text1"/>
          <w:sz w:val="19"/>
          <w:szCs w:val="19"/>
          <w:lang w:val="es-ES"/>
        </w:rPr>
        <w:t>”</w:t>
      </w:r>
      <w:r w:rsidRPr="007D7047">
        <w:rPr>
          <w:rFonts w:ascii="Arial" w:hAnsi="Arial" w:cs="Arial"/>
          <w:color w:val="000000" w:themeColor="text1"/>
          <w:sz w:val="19"/>
          <w:szCs w:val="19"/>
          <w:lang w:val="es-ES"/>
        </w:rPr>
        <w:t xml:space="preserve">; pero la intención del legislador de dar efecto retroactivo a una ley debe resultar de una declaración </w:t>
      </w:r>
      <w:r w:rsidRPr="007D7047">
        <w:rPr>
          <w:rFonts w:ascii="Arial" w:hAnsi="Arial" w:cs="Arial"/>
          <w:i/>
          <w:iCs/>
          <w:color w:val="000000" w:themeColor="text1"/>
          <w:sz w:val="19"/>
          <w:szCs w:val="19"/>
          <w:lang w:val="es-ES"/>
        </w:rPr>
        <w:t>expresa</w:t>
      </w:r>
      <w:r w:rsidRPr="007D7047">
        <w:rPr>
          <w:rFonts w:ascii="Arial" w:hAnsi="Arial" w:cs="Arial"/>
          <w:color w:val="000000" w:themeColor="text1"/>
          <w:sz w:val="19"/>
          <w:szCs w:val="19"/>
          <w:lang w:val="es-ES"/>
        </w:rPr>
        <w:t xml:space="preserve"> o bien de otra forma </w:t>
      </w:r>
      <w:r w:rsidRPr="007D7047">
        <w:rPr>
          <w:rFonts w:ascii="Arial" w:hAnsi="Arial" w:cs="Arial"/>
          <w:i/>
          <w:iCs/>
          <w:color w:val="000000" w:themeColor="text1"/>
          <w:sz w:val="19"/>
          <w:szCs w:val="19"/>
          <w:lang w:val="es-ES"/>
        </w:rPr>
        <w:t>inequívoca</w:t>
      </w:r>
      <w:r w:rsidRPr="007D7047">
        <w:rPr>
          <w:rFonts w:ascii="Arial" w:hAnsi="Arial" w:cs="Arial"/>
          <w:color w:val="000000" w:themeColor="text1"/>
          <w:sz w:val="19"/>
          <w:szCs w:val="19"/>
          <w:lang w:val="es-ES"/>
        </w:rPr>
        <w:t xml:space="preserve">: la regla es la irretroactividad, principio que también rige para el derecho administrativo» (MARIENHOFF, Miguel S. Tratado de Derecho administrativo. Tomo I, Teoría General. 5ª ed. Buenos Aires: </w:t>
      </w:r>
      <w:proofErr w:type="spellStart"/>
      <w:r w:rsidRPr="007D7047">
        <w:rPr>
          <w:rFonts w:ascii="Arial" w:hAnsi="Arial" w:cs="Arial"/>
          <w:color w:val="000000" w:themeColor="text1"/>
          <w:sz w:val="19"/>
          <w:szCs w:val="19"/>
          <w:lang w:val="es-ES"/>
        </w:rPr>
        <w:t>Abeledo-Perrot</w:t>
      </w:r>
      <w:proofErr w:type="spellEnd"/>
      <w:r w:rsidRPr="007D7047">
        <w:rPr>
          <w:rFonts w:ascii="Arial" w:hAnsi="Arial" w:cs="Arial"/>
          <w:color w:val="000000" w:themeColor="text1"/>
          <w:sz w:val="19"/>
          <w:szCs w:val="19"/>
          <w:lang w:val="es-ES"/>
        </w:rPr>
        <w:t>, 2000. pp. 228-229).</w:t>
      </w:r>
    </w:p>
  </w:footnote>
  <w:footnote w:id="12">
    <w:p w14:paraId="5D789F53" w14:textId="77777777" w:rsidR="002E1F57" w:rsidRDefault="002E1F57" w:rsidP="007D7047">
      <w:pPr>
        <w:ind w:firstLine="709"/>
        <w:jc w:val="both"/>
        <w:rPr>
          <w:rFonts w:ascii="Arial" w:hAnsi="Arial" w:cs="Arial"/>
          <w:color w:val="000000" w:themeColor="text1"/>
          <w:sz w:val="19"/>
          <w:szCs w:val="19"/>
        </w:rPr>
      </w:pPr>
    </w:p>
    <w:p w14:paraId="7BDB567E" w14:textId="0D42F9DF" w:rsidR="00674A7D" w:rsidRPr="007D7047" w:rsidRDefault="00674A7D" w:rsidP="007D7047">
      <w:pPr>
        <w:ind w:firstLine="709"/>
        <w:jc w:val="both"/>
        <w:rPr>
          <w:rFonts w:ascii="Arial" w:hAnsi="Arial" w:cs="Arial"/>
          <w:color w:val="000000" w:themeColor="text1"/>
          <w:sz w:val="19"/>
          <w:szCs w:val="19"/>
          <w:lang w:val="es-ES"/>
        </w:rPr>
      </w:pPr>
      <w:r w:rsidRPr="007D7047">
        <w:rPr>
          <w:rStyle w:val="Refdenotaalpie"/>
          <w:rFonts w:ascii="Arial" w:hAnsi="Arial" w:cs="Arial"/>
          <w:color w:val="000000" w:themeColor="text1"/>
          <w:sz w:val="19"/>
          <w:szCs w:val="19"/>
        </w:rPr>
        <w:footnoteRef/>
      </w:r>
      <w:r w:rsidRPr="007D7047">
        <w:rPr>
          <w:rFonts w:ascii="Arial" w:hAnsi="Arial" w:cs="Arial"/>
          <w:color w:val="000000" w:themeColor="text1"/>
          <w:sz w:val="19"/>
          <w:szCs w:val="19"/>
        </w:rPr>
        <w:t xml:space="preserve"> </w:t>
      </w:r>
      <w:r w:rsidRPr="007D7047">
        <w:rPr>
          <w:rFonts w:ascii="Arial" w:hAnsi="Arial" w:cs="Arial"/>
          <w:color w:val="000000" w:themeColor="text1"/>
          <w:sz w:val="19"/>
          <w:szCs w:val="19"/>
          <w:lang w:val="es-ES"/>
        </w:rPr>
        <w:t xml:space="preserve">El apartado normativo establece: «En los procesos de responsabilidad fiscal, que al </w:t>
      </w:r>
      <w:proofErr w:type="gramStart"/>
      <w:r w:rsidRPr="007D7047">
        <w:rPr>
          <w:rFonts w:ascii="Arial" w:hAnsi="Arial" w:cs="Arial"/>
          <w:color w:val="000000" w:themeColor="text1"/>
          <w:sz w:val="19"/>
          <w:szCs w:val="19"/>
          <w:lang w:val="es-ES"/>
        </w:rPr>
        <w:t>entrar en vigencia</w:t>
      </w:r>
      <w:proofErr w:type="gramEnd"/>
      <w:r w:rsidRPr="007D7047">
        <w:rPr>
          <w:rFonts w:ascii="Arial" w:hAnsi="Arial" w:cs="Arial"/>
          <w:color w:val="000000" w:themeColor="text1"/>
          <w:sz w:val="19"/>
          <w:szCs w:val="19"/>
          <w:lang w:val="es-ES"/>
        </w:rPr>
        <w:t xml:space="preserve">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28922021" w14:textId="77777777" w:rsidR="00674A7D" w:rsidRPr="007D7047" w:rsidRDefault="00674A7D" w:rsidP="007D7047">
      <w:pPr>
        <w:pStyle w:val="Textonotapie"/>
        <w:ind w:firstLine="709"/>
        <w:jc w:val="both"/>
        <w:rPr>
          <w:rFonts w:ascii="Arial" w:hAnsi="Arial" w:cs="Arial"/>
          <w:color w:val="000000" w:themeColor="text1"/>
          <w:sz w:val="19"/>
          <w:szCs w:val="19"/>
          <w:lang w:val="es-CO"/>
        </w:rPr>
      </w:pPr>
    </w:p>
  </w:footnote>
  <w:footnote w:id="13">
    <w:p w14:paraId="1384BAB7" w14:textId="0785D2F9" w:rsidR="00C6636F" w:rsidRPr="007D7047" w:rsidRDefault="00C6636F"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00086BD1" w:rsidRPr="007D7047">
        <w:rPr>
          <w:rFonts w:ascii="Arial" w:hAnsi="Arial" w:cs="Arial"/>
          <w:sz w:val="19"/>
          <w:szCs w:val="19"/>
        </w:rPr>
        <w:t xml:space="preserve">Consejo </w:t>
      </w:r>
      <w:r w:rsidR="00086BD1">
        <w:rPr>
          <w:rFonts w:ascii="Arial" w:hAnsi="Arial" w:cs="Arial"/>
          <w:sz w:val="19"/>
          <w:szCs w:val="19"/>
        </w:rPr>
        <w:t>d</w:t>
      </w:r>
      <w:r w:rsidR="00086BD1" w:rsidRPr="007D7047">
        <w:rPr>
          <w:rFonts w:ascii="Arial" w:hAnsi="Arial" w:cs="Arial"/>
          <w:sz w:val="19"/>
          <w:szCs w:val="19"/>
        </w:rPr>
        <w:t>e Estado</w:t>
      </w:r>
      <w:r w:rsidRPr="007D7047">
        <w:rPr>
          <w:rFonts w:ascii="Arial" w:hAnsi="Arial" w:cs="Arial"/>
          <w:sz w:val="19"/>
          <w:szCs w:val="19"/>
        </w:rPr>
        <w:t xml:space="preserve">. Sección Tercera. Subsección A. Sentencia de 26 de noviembre de 2014. Exp. 31.297. C.P. Carlos Alberto Zambrano Barrera.   </w:t>
      </w:r>
    </w:p>
  </w:footnote>
  <w:footnote w:id="14">
    <w:p w14:paraId="04732BD2" w14:textId="6E75B5B9" w:rsidR="00A97367" w:rsidRPr="007D7047" w:rsidRDefault="00FF1D1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 xml:space="preserve">La Corte Constitucional explica el fenómeno de la </w:t>
      </w:r>
      <w:proofErr w:type="spellStart"/>
      <w:r w:rsidRPr="007D7047">
        <w:rPr>
          <w:rFonts w:ascii="Arial" w:hAnsi="Arial" w:cs="Arial"/>
          <w:sz w:val="19"/>
          <w:szCs w:val="19"/>
          <w:lang w:val="es-ES"/>
        </w:rPr>
        <w:t>ultractividad</w:t>
      </w:r>
      <w:proofErr w:type="spellEnd"/>
      <w:r w:rsidRPr="007D7047">
        <w:rPr>
          <w:rFonts w:ascii="Arial" w:hAnsi="Arial" w:cs="Arial"/>
          <w:sz w:val="19"/>
          <w:szCs w:val="19"/>
          <w:lang w:val="es-ES"/>
        </w:rPr>
        <w:t xml:space="preserve"> de la ley en los siguientes términos</w:t>
      </w:r>
      <w:r w:rsidR="00A97367" w:rsidRPr="007D7047">
        <w:rPr>
          <w:rFonts w:ascii="Arial" w:hAnsi="Arial" w:cs="Arial"/>
          <w:sz w:val="19"/>
          <w:szCs w:val="19"/>
          <w:lang w:val="es-ES"/>
        </w:rPr>
        <w:t xml:space="preserve">: «La </w:t>
      </w:r>
      <w:proofErr w:type="spellStart"/>
      <w:r w:rsidR="00A97367" w:rsidRPr="007D7047">
        <w:rPr>
          <w:rFonts w:ascii="Arial" w:hAnsi="Arial" w:cs="Arial"/>
          <w:sz w:val="19"/>
          <w:szCs w:val="19"/>
          <w:lang w:val="es-ES"/>
        </w:rPr>
        <w:t>ultractividad</w:t>
      </w:r>
      <w:proofErr w:type="spellEnd"/>
      <w:r w:rsidR="00A97367" w:rsidRPr="007D7047">
        <w:rPr>
          <w:rFonts w:ascii="Arial" w:hAnsi="Arial" w:cs="Arial"/>
          <w:sz w:val="19"/>
          <w:szCs w:val="19"/>
          <w:lang w:val="es-ES"/>
        </w:rPr>
        <w:t xml:space="preserve"> de la ley es un problema de aplicación de la ley en el tiempo y esta íntimamente ligada al principio de que todo hecho, acto o negocio jurídico se rige por la ley vigente al momento de su ocurrencia, realización o celebración.  Dentro de la Teoría General del Derecho, es clara la aplicación del principio "Tempus </w:t>
      </w:r>
      <w:proofErr w:type="spellStart"/>
      <w:r w:rsidR="00A97367" w:rsidRPr="007D7047">
        <w:rPr>
          <w:rFonts w:ascii="Arial" w:hAnsi="Arial" w:cs="Arial"/>
          <w:sz w:val="19"/>
          <w:szCs w:val="19"/>
          <w:lang w:val="es-ES"/>
        </w:rPr>
        <w:t>regit</w:t>
      </w:r>
      <w:proofErr w:type="spellEnd"/>
      <w:r w:rsidR="00A97367" w:rsidRPr="007D7047">
        <w:rPr>
          <w:rFonts w:ascii="Arial" w:hAnsi="Arial" w:cs="Arial"/>
          <w:sz w:val="19"/>
          <w:szCs w:val="19"/>
          <w:lang w:val="es-ES"/>
        </w:rPr>
        <w:t xml:space="preserve"> </w:t>
      </w:r>
      <w:proofErr w:type="spellStart"/>
      <w:r w:rsidR="00A97367" w:rsidRPr="007D7047">
        <w:rPr>
          <w:rFonts w:ascii="Arial" w:hAnsi="Arial" w:cs="Arial"/>
          <w:sz w:val="19"/>
          <w:szCs w:val="19"/>
          <w:lang w:val="es-ES"/>
        </w:rPr>
        <w:t>actus</w:t>
      </w:r>
      <w:proofErr w:type="spellEnd"/>
      <w:r w:rsidR="00A97367" w:rsidRPr="007D7047">
        <w:rPr>
          <w:rFonts w:ascii="Arial" w:hAnsi="Arial" w:cs="Arial"/>
          <w:sz w:val="19"/>
          <w:szCs w:val="19"/>
          <w:lang w:val="es-ES"/>
        </w:rPr>
        <w:t xml:space="preserve">", que se traduce en que la norma vigente al momento de sucederse los hechos por ella </w:t>
      </w:r>
      <w:proofErr w:type="gramStart"/>
      <w:r w:rsidR="00A97367" w:rsidRPr="007D7047">
        <w:rPr>
          <w:rFonts w:ascii="Arial" w:hAnsi="Arial" w:cs="Arial"/>
          <w:sz w:val="19"/>
          <w:szCs w:val="19"/>
          <w:lang w:val="es-ES"/>
        </w:rPr>
        <w:t>prevista,</w:t>
      </w:r>
      <w:proofErr w:type="gramEnd"/>
      <w:r w:rsidR="00A97367" w:rsidRPr="007D7047">
        <w:rPr>
          <w:rFonts w:ascii="Arial" w:hAnsi="Arial" w:cs="Arial"/>
          <w:sz w:val="19"/>
          <w:szCs w:val="19"/>
          <w:lang w:val="es-ES"/>
        </w:rPr>
        <w:t xml:space="preserve"> es la que se aplica a esos hechos, aunque la norma haya sido derogada después. Esto es lo que explica la Teoría del Derecho, la denominada </w:t>
      </w:r>
      <w:proofErr w:type="spellStart"/>
      <w:r w:rsidR="00A97367" w:rsidRPr="007D7047">
        <w:rPr>
          <w:rFonts w:ascii="Arial" w:hAnsi="Arial" w:cs="Arial"/>
          <w:sz w:val="19"/>
          <w:szCs w:val="19"/>
          <w:lang w:val="es-ES"/>
        </w:rPr>
        <w:t>ultractividad</w:t>
      </w:r>
      <w:proofErr w:type="spellEnd"/>
      <w:r w:rsidR="00A97367" w:rsidRPr="007D7047">
        <w:rPr>
          <w:rFonts w:ascii="Arial" w:hAnsi="Arial" w:cs="Arial"/>
          <w:sz w:val="19"/>
          <w:szCs w:val="19"/>
          <w:lang w:val="es-ES"/>
        </w:rPr>
        <w:t xml:space="preserve"> de las normas, que son normas derogadas, que se siguen aplicando a los hechos ocurridos durante su vigencia.</w:t>
      </w:r>
      <w:r w:rsidR="00AD0547" w:rsidRPr="007D7047">
        <w:rPr>
          <w:rFonts w:ascii="Arial" w:hAnsi="Arial" w:cs="Arial"/>
          <w:sz w:val="19"/>
          <w:szCs w:val="19"/>
          <w:lang w:val="es-ES"/>
        </w:rPr>
        <w:t xml:space="preserve"> </w:t>
      </w:r>
      <w:r w:rsidR="00A97367" w:rsidRPr="007D7047">
        <w:rPr>
          <w:rFonts w:ascii="Arial" w:hAnsi="Arial" w:cs="Arial"/>
          <w:sz w:val="19"/>
          <w:szCs w:val="19"/>
          <w:lang w:val="es-ES"/>
        </w:rPr>
        <w:t xml:space="preserve">Este fenómeno se presenta en relación con todas las normas jurídicas, cualquiera que sea su naturaleza: civil, comercial, penal, etc. </w:t>
      </w:r>
    </w:p>
    <w:p w14:paraId="168811EA" w14:textId="36A8A077" w:rsidR="00FF1D1B" w:rsidRPr="007D7047" w:rsidRDefault="00195C5F" w:rsidP="007D7047">
      <w:pPr>
        <w:pStyle w:val="Textonotapie"/>
        <w:ind w:firstLine="709"/>
        <w:jc w:val="both"/>
        <w:rPr>
          <w:rFonts w:ascii="Arial" w:hAnsi="Arial" w:cs="Arial"/>
          <w:sz w:val="19"/>
          <w:szCs w:val="19"/>
          <w:lang w:val="es-CO"/>
        </w:rPr>
      </w:pPr>
      <w:proofErr w:type="gramStart"/>
      <w:r w:rsidRPr="007D7047">
        <w:rPr>
          <w:rFonts w:ascii="Arial" w:hAnsi="Arial" w:cs="Arial"/>
          <w:sz w:val="19"/>
          <w:szCs w:val="19"/>
          <w:lang w:val="es-ES"/>
        </w:rPr>
        <w:t>»</w:t>
      </w:r>
      <w:r w:rsidR="00A97367" w:rsidRPr="007D7047">
        <w:rPr>
          <w:rFonts w:ascii="Arial" w:hAnsi="Arial" w:cs="Arial"/>
          <w:sz w:val="19"/>
          <w:szCs w:val="19"/>
          <w:lang w:val="es-ES"/>
        </w:rPr>
        <w:t>Y</w:t>
      </w:r>
      <w:proofErr w:type="gramEnd"/>
      <w:r w:rsidR="00A97367" w:rsidRPr="007D7047">
        <w:rPr>
          <w:rFonts w:ascii="Arial" w:hAnsi="Arial" w:cs="Arial"/>
          <w:sz w:val="19"/>
          <w:szCs w:val="19"/>
          <w:lang w:val="es-ES"/>
        </w:rPr>
        <w:t xml:space="preserve"> claro, el legislador bien podrá ordenar también que ciertas disposiciones legales formalmente derogadas, continúen produciendo efectos en torno a determinadas hipótesis, dada la favorabilidad que ellas puedan reportar a sus destinatarios.</w:t>
      </w:r>
      <w:r w:rsidR="00AD0547" w:rsidRPr="007D7047">
        <w:rPr>
          <w:rFonts w:ascii="Arial" w:hAnsi="Arial" w:cs="Arial"/>
          <w:sz w:val="19"/>
          <w:szCs w:val="19"/>
          <w:lang w:val="es-ES"/>
        </w:rPr>
        <w:t xml:space="preserve"> </w:t>
      </w:r>
      <w:r w:rsidR="00A97367" w:rsidRPr="007D7047">
        <w:rPr>
          <w:rFonts w:ascii="Arial" w:hAnsi="Arial" w:cs="Arial"/>
          <w:sz w:val="19"/>
          <w:szCs w:val="19"/>
          <w:lang w:val="es-ES"/>
        </w:rPr>
        <w:t xml:space="preserve">Poniéndose de relieve una coexistencia material de reglas sobre un mismo punto, de suerte que mientras la nueva ley se enerva bajo la figura de la inaplicación, por su parte la antigua ley prolonga su existencia al tenor de la </w:t>
      </w:r>
      <w:proofErr w:type="spellStart"/>
      <w:r w:rsidR="00A97367" w:rsidRPr="007D7047">
        <w:rPr>
          <w:rFonts w:ascii="Arial" w:hAnsi="Arial" w:cs="Arial"/>
          <w:sz w:val="19"/>
          <w:szCs w:val="19"/>
          <w:lang w:val="es-ES"/>
        </w:rPr>
        <w:t>ultractividad</w:t>
      </w:r>
      <w:proofErr w:type="spellEnd"/>
      <w:r w:rsidR="00A97367" w:rsidRPr="007D7047">
        <w:rPr>
          <w:rFonts w:ascii="Arial" w:hAnsi="Arial" w:cs="Arial"/>
          <w:sz w:val="19"/>
          <w:szCs w:val="19"/>
          <w:lang w:val="es-ES"/>
        </w:rPr>
        <w:t xml:space="preserve">, que es, ni más ni menos, que la </w:t>
      </w:r>
      <w:proofErr w:type="spellStart"/>
      <w:r w:rsidR="00A97367" w:rsidRPr="007D7047">
        <w:rPr>
          <w:rFonts w:ascii="Arial" w:hAnsi="Arial" w:cs="Arial"/>
          <w:sz w:val="19"/>
          <w:szCs w:val="19"/>
          <w:lang w:val="es-ES"/>
        </w:rPr>
        <w:t>metaexistencia</w:t>
      </w:r>
      <w:proofErr w:type="spellEnd"/>
      <w:r w:rsidR="00A97367" w:rsidRPr="007D7047">
        <w:rPr>
          <w:rFonts w:ascii="Arial" w:hAnsi="Arial" w:cs="Arial"/>
          <w:sz w:val="19"/>
          <w:szCs w:val="19"/>
          <w:lang w:val="es-ES"/>
        </w:rPr>
        <w:t xml:space="preserve"> jurídica de una norma derogada, por expresa voluntad del legislador.  La cláusula general de competencia del Congreso de la República así lo avala, en tanto lo irradia de facultades para crear, mantener, modificar o derogar la legislación que estime oportuna y conveniente;</w:t>
      </w:r>
      <w:r w:rsidR="009B0B78" w:rsidRPr="007D7047">
        <w:rPr>
          <w:rFonts w:ascii="Arial" w:hAnsi="Arial" w:cs="Arial"/>
          <w:sz w:val="19"/>
          <w:szCs w:val="19"/>
          <w:lang w:val="es-ES"/>
        </w:rPr>
        <w:t xml:space="preserve"> </w:t>
      </w:r>
      <w:r w:rsidR="00A97367" w:rsidRPr="007D7047">
        <w:rPr>
          <w:rFonts w:ascii="Arial" w:hAnsi="Arial" w:cs="Arial"/>
          <w:sz w:val="19"/>
          <w:szCs w:val="19"/>
          <w:lang w:val="es-ES"/>
        </w:rPr>
        <w:t>siempre y cuando lo haga en consonancia con los parámetros constitucionales vistos, dentro de los cuales militan el debido proceso y el derecho a la igualdad</w:t>
      </w:r>
      <w:r w:rsidRPr="007D7047">
        <w:rPr>
          <w:rFonts w:ascii="Arial" w:hAnsi="Arial" w:cs="Arial"/>
          <w:sz w:val="19"/>
          <w:szCs w:val="19"/>
          <w:lang w:val="es-ES"/>
        </w:rPr>
        <w:t>»</w:t>
      </w:r>
      <w:r w:rsidR="00E3223E">
        <w:rPr>
          <w:rFonts w:ascii="Arial" w:hAnsi="Arial" w:cs="Arial"/>
          <w:sz w:val="19"/>
          <w:szCs w:val="19"/>
          <w:lang w:val="es-ES"/>
        </w:rPr>
        <w:t xml:space="preserve"> (Sentencia </w:t>
      </w:r>
      <w:r w:rsidR="009B55F9">
        <w:rPr>
          <w:rFonts w:ascii="Arial" w:hAnsi="Arial" w:cs="Arial"/>
          <w:sz w:val="19"/>
          <w:szCs w:val="19"/>
          <w:lang w:val="es-ES"/>
        </w:rPr>
        <w:t xml:space="preserve">C-763 de 2002, M.P. Jaime Araujo </w:t>
      </w:r>
      <w:r w:rsidR="00EF26E2">
        <w:rPr>
          <w:rFonts w:ascii="Arial" w:hAnsi="Arial" w:cs="Arial"/>
          <w:sz w:val="19"/>
          <w:szCs w:val="19"/>
          <w:lang w:val="es-ES"/>
        </w:rPr>
        <w:t>Rentería)</w:t>
      </w:r>
      <w:r w:rsidR="00A97367" w:rsidRPr="007D7047">
        <w:rPr>
          <w:rFonts w:ascii="Arial" w:hAnsi="Arial" w:cs="Arial"/>
          <w:sz w:val="19"/>
          <w:szCs w:val="19"/>
          <w:lang w:val="es-ES"/>
        </w:rPr>
        <w:t xml:space="preserve">.    </w:t>
      </w:r>
    </w:p>
  </w:footnote>
  <w:footnote w:id="15">
    <w:p w14:paraId="6634C74E" w14:textId="637A72BF" w:rsidR="00253951" w:rsidRPr="007D7047" w:rsidRDefault="00253951"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00CF70C2" w:rsidRPr="007D7047">
        <w:rPr>
          <w:rFonts w:ascii="Arial" w:hAnsi="Arial" w:cs="Arial"/>
          <w:sz w:val="19"/>
          <w:szCs w:val="19"/>
          <w:lang w:val="es-ES"/>
        </w:rPr>
        <w:t xml:space="preserve">Corte Suprema de Justicia. Sala de Casación Laboral. Sentencia del 5 de agosto de 2020. </w:t>
      </w:r>
      <w:r w:rsidR="007D7047" w:rsidRPr="007D7047">
        <w:rPr>
          <w:rFonts w:ascii="Arial" w:hAnsi="Arial" w:cs="Arial"/>
          <w:sz w:val="19"/>
          <w:szCs w:val="19"/>
          <w:lang w:val="es-ES"/>
        </w:rPr>
        <w:t xml:space="preserve">Magistrada Ponente: Clara Cecilia Dueñas Quevedo. </w:t>
      </w:r>
      <w:r w:rsidR="00CF70C2" w:rsidRPr="007D7047">
        <w:rPr>
          <w:rFonts w:ascii="Arial" w:hAnsi="Arial" w:cs="Arial"/>
          <w:sz w:val="19"/>
          <w:szCs w:val="19"/>
          <w:lang w:val="es-ES"/>
        </w:rPr>
        <w:t xml:space="preserve">Radicación No. 47613. Acta 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4"/>
  </w:num>
  <w:num w:numId="20">
    <w:abstractNumId w:val="25"/>
  </w:num>
  <w:num w:numId="21">
    <w:abstractNumId w:val="17"/>
  </w:num>
  <w:num w:numId="22">
    <w:abstractNumId w:val="7"/>
  </w:num>
  <w:num w:numId="23">
    <w:abstractNumId w:val="6"/>
  </w:num>
  <w:num w:numId="24">
    <w:abstractNumId w:val="23"/>
  </w:num>
  <w:num w:numId="25">
    <w:abstractNumId w:val="19"/>
  </w:num>
  <w:num w:numId="26">
    <w:abstractNumId w:val="26"/>
  </w:num>
  <w:num w:numId="27">
    <w:abstractNumId w:val="8"/>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00B"/>
    <w:rsid w:val="000051AF"/>
    <w:rsid w:val="000059D3"/>
    <w:rsid w:val="00005B6D"/>
    <w:rsid w:val="00005FC5"/>
    <w:rsid w:val="0000600A"/>
    <w:rsid w:val="00006081"/>
    <w:rsid w:val="0000656F"/>
    <w:rsid w:val="000070E0"/>
    <w:rsid w:val="000073C0"/>
    <w:rsid w:val="00007564"/>
    <w:rsid w:val="00007750"/>
    <w:rsid w:val="000077FD"/>
    <w:rsid w:val="00007E37"/>
    <w:rsid w:val="0001061E"/>
    <w:rsid w:val="00010C40"/>
    <w:rsid w:val="000112B4"/>
    <w:rsid w:val="00011DCC"/>
    <w:rsid w:val="00012532"/>
    <w:rsid w:val="00012B0A"/>
    <w:rsid w:val="00012B9E"/>
    <w:rsid w:val="00012FBA"/>
    <w:rsid w:val="0001318A"/>
    <w:rsid w:val="0001334C"/>
    <w:rsid w:val="0001347B"/>
    <w:rsid w:val="00013C6B"/>
    <w:rsid w:val="0001406B"/>
    <w:rsid w:val="000143F8"/>
    <w:rsid w:val="00014624"/>
    <w:rsid w:val="00014AA8"/>
    <w:rsid w:val="00014AC3"/>
    <w:rsid w:val="00015B44"/>
    <w:rsid w:val="00015CEE"/>
    <w:rsid w:val="00016081"/>
    <w:rsid w:val="000165AC"/>
    <w:rsid w:val="00016651"/>
    <w:rsid w:val="00016FE3"/>
    <w:rsid w:val="000171A2"/>
    <w:rsid w:val="000177F7"/>
    <w:rsid w:val="00017B65"/>
    <w:rsid w:val="00020158"/>
    <w:rsid w:val="000207E0"/>
    <w:rsid w:val="000209E2"/>
    <w:rsid w:val="00020F8F"/>
    <w:rsid w:val="00021A95"/>
    <w:rsid w:val="0002256F"/>
    <w:rsid w:val="00023746"/>
    <w:rsid w:val="00023DAE"/>
    <w:rsid w:val="00024896"/>
    <w:rsid w:val="00024DA6"/>
    <w:rsid w:val="00024E4E"/>
    <w:rsid w:val="00025217"/>
    <w:rsid w:val="00025254"/>
    <w:rsid w:val="00025D0A"/>
    <w:rsid w:val="000263F0"/>
    <w:rsid w:val="00026407"/>
    <w:rsid w:val="00026608"/>
    <w:rsid w:val="00026BBB"/>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9CB"/>
    <w:rsid w:val="00066A59"/>
    <w:rsid w:val="00066E52"/>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1354"/>
    <w:rsid w:val="000914D6"/>
    <w:rsid w:val="00091569"/>
    <w:rsid w:val="00092CDB"/>
    <w:rsid w:val="00092DCA"/>
    <w:rsid w:val="00093085"/>
    <w:rsid w:val="00093D14"/>
    <w:rsid w:val="000941AF"/>
    <w:rsid w:val="000942EB"/>
    <w:rsid w:val="00095B70"/>
    <w:rsid w:val="00095C1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E0E"/>
    <w:rsid w:val="000A5F97"/>
    <w:rsid w:val="000A63A0"/>
    <w:rsid w:val="000A648E"/>
    <w:rsid w:val="000A6DAD"/>
    <w:rsid w:val="000A738A"/>
    <w:rsid w:val="000A73BB"/>
    <w:rsid w:val="000A7EF4"/>
    <w:rsid w:val="000B0A15"/>
    <w:rsid w:val="000B103F"/>
    <w:rsid w:val="000B1437"/>
    <w:rsid w:val="000B1470"/>
    <w:rsid w:val="000B244D"/>
    <w:rsid w:val="000B2570"/>
    <w:rsid w:val="000B27DC"/>
    <w:rsid w:val="000B2B86"/>
    <w:rsid w:val="000B3051"/>
    <w:rsid w:val="000B419B"/>
    <w:rsid w:val="000B5781"/>
    <w:rsid w:val="000B5CB1"/>
    <w:rsid w:val="000B6C36"/>
    <w:rsid w:val="000B6D08"/>
    <w:rsid w:val="000C0185"/>
    <w:rsid w:val="000C0F81"/>
    <w:rsid w:val="000C128D"/>
    <w:rsid w:val="000C17A3"/>
    <w:rsid w:val="000C1D4B"/>
    <w:rsid w:val="000C1F42"/>
    <w:rsid w:val="000C2DC4"/>
    <w:rsid w:val="000C3260"/>
    <w:rsid w:val="000C3B77"/>
    <w:rsid w:val="000C3F6D"/>
    <w:rsid w:val="000C49D9"/>
    <w:rsid w:val="000C4D09"/>
    <w:rsid w:val="000C4EA0"/>
    <w:rsid w:val="000C4F49"/>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3282"/>
    <w:rsid w:val="000D3FDC"/>
    <w:rsid w:val="000D490B"/>
    <w:rsid w:val="000D4E38"/>
    <w:rsid w:val="000D4EBB"/>
    <w:rsid w:val="000D4EFA"/>
    <w:rsid w:val="000D50DB"/>
    <w:rsid w:val="000D5EF9"/>
    <w:rsid w:val="000D6288"/>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7BF3"/>
    <w:rsid w:val="000F7D1B"/>
    <w:rsid w:val="000F7E8F"/>
    <w:rsid w:val="000F7FBB"/>
    <w:rsid w:val="001000FB"/>
    <w:rsid w:val="00100A9E"/>
    <w:rsid w:val="00100F6A"/>
    <w:rsid w:val="001021F3"/>
    <w:rsid w:val="00102605"/>
    <w:rsid w:val="00102686"/>
    <w:rsid w:val="00102745"/>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049"/>
    <w:rsid w:val="00114631"/>
    <w:rsid w:val="00114A22"/>
    <w:rsid w:val="00114E9D"/>
    <w:rsid w:val="0011507B"/>
    <w:rsid w:val="0011627A"/>
    <w:rsid w:val="00116328"/>
    <w:rsid w:val="001163CF"/>
    <w:rsid w:val="001174C9"/>
    <w:rsid w:val="00117E69"/>
    <w:rsid w:val="00120409"/>
    <w:rsid w:val="001204D2"/>
    <w:rsid w:val="001210B5"/>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C30"/>
    <w:rsid w:val="00132EFD"/>
    <w:rsid w:val="0013371D"/>
    <w:rsid w:val="00133AED"/>
    <w:rsid w:val="00134E09"/>
    <w:rsid w:val="00134E7E"/>
    <w:rsid w:val="00135DB9"/>
    <w:rsid w:val="001360C5"/>
    <w:rsid w:val="00136394"/>
    <w:rsid w:val="0013695C"/>
    <w:rsid w:val="00136BF7"/>
    <w:rsid w:val="00136E3B"/>
    <w:rsid w:val="001378B9"/>
    <w:rsid w:val="00137F93"/>
    <w:rsid w:val="00137FFA"/>
    <w:rsid w:val="00140109"/>
    <w:rsid w:val="0014029B"/>
    <w:rsid w:val="00140464"/>
    <w:rsid w:val="0014049C"/>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3E"/>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2FF"/>
    <w:rsid w:val="001805C1"/>
    <w:rsid w:val="001807B6"/>
    <w:rsid w:val="00180A2E"/>
    <w:rsid w:val="001813AF"/>
    <w:rsid w:val="001829CD"/>
    <w:rsid w:val="00182BC4"/>
    <w:rsid w:val="00182F01"/>
    <w:rsid w:val="00183CAA"/>
    <w:rsid w:val="00183FCD"/>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76E"/>
    <w:rsid w:val="001A4A9B"/>
    <w:rsid w:val="001A4DAF"/>
    <w:rsid w:val="001A54CD"/>
    <w:rsid w:val="001A66DF"/>
    <w:rsid w:val="001A67D0"/>
    <w:rsid w:val="001A6863"/>
    <w:rsid w:val="001A7109"/>
    <w:rsid w:val="001A7591"/>
    <w:rsid w:val="001A75B1"/>
    <w:rsid w:val="001A7AA9"/>
    <w:rsid w:val="001A7B06"/>
    <w:rsid w:val="001B0366"/>
    <w:rsid w:val="001B0444"/>
    <w:rsid w:val="001B096B"/>
    <w:rsid w:val="001B0F9F"/>
    <w:rsid w:val="001B0FAA"/>
    <w:rsid w:val="001B123C"/>
    <w:rsid w:val="001B129B"/>
    <w:rsid w:val="001B1A0D"/>
    <w:rsid w:val="001B1BF1"/>
    <w:rsid w:val="001B1C97"/>
    <w:rsid w:val="001B2456"/>
    <w:rsid w:val="001B246B"/>
    <w:rsid w:val="001B255B"/>
    <w:rsid w:val="001B3624"/>
    <w:rsid w:val="001B449C"/>
    <w:rsid w:val="001B4AA2"/>
    <w:rsid w:val="001B4ADE"/>
    <w:rsid w:val="001B4C14"/>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718C"/>
    <w:rsid w:val="001D796A"/>
    <w:rsid w:val="001D7A16"/>
    <w:rsid w:val="001D7A84"/>
    <w:rsid w:val="001D7C79"/>
    <w:rsid w:val="001E003B"/>
    <w:rsid w:val="001E1050"/>
    <w:rsid w:val="001E12FF"/>
    <w:rsid w:val="001E1CC4"/>
    <w:rsid w:val="001E1D38"/>
    <w:rsid w:val="001E28A0"/>
    <w:rsid w:val="001E2ECF"/>
    <w:rsid w:val="001E3F3C"/>
    <w:rsid w:val="001E4258"/>
    <w:rsid w:val="001E44EA"/>
    <w:rsid w:val="001E5AEF"/>
    <w:rsid w:val="001E5B65"/>
    <w:rsid w:val="001E5D6A"/>
    <w:rsid w:val="001E6A94"/>
    <w:rsid w:val="001E70FB"/>
    <w:rsid w:val="001E780A"/>
    <w:rsid w:val="001F0FA0"/>
    <w:rsid w:val="001F1349"/>
    <w:rsid w:val="001F1863"/>
    <w:rsid w:val="001F2356"/>
    <w:rsid w:val="001F25CA"/>
    <w:rsid w:val="001F2A68"/>
    <w:rsid w:val="001F2F56"/>
    <w:rsid w:val="001F351A"/>
    <w:rsid w:val="001F3E63"/>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38FE"/>
    <w:rsid w:val="00213A1F"/>
    <w:rsid w:val="00213C63"/>
    <w:rsid w:val="00214502"/>
    <w:rsid w:val="00214741"/>
    <w:rsid w:val="00214BB7"/>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4AD"/>
    <w:rsid w:val="00227A41"/>
    <w:rsid w:val="00227A8B"/>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9B"/>
    <w:rsid w:val="002450F5"/>
    <w:rsid w:val="00245718"/>
    <w:rsid w:val="00245E07"/>
    <w:rsid w:val="00246AEC"/>
    <w:rsid w:val="00246D2A"/>
    <w:rsid w:val="00247712"/>
    <w:rsid w:val="00247874"/>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BCB"/>
    <w:rsid w:val="00256E1A"/>
    <w:rsid w:val="00256E30"/>
    <w:rsid w:val="00256ECF"/>
    <w:rsid w:val="002573FB"/>
    <w:rsid w:val="00257730"/>
    <w:rsid w:val="00257999"/>
    <w:rsid w:val="002604AA"/>
    <w:rsid w:val="00260AF8"/>
    <w:rsid w:val="0026129B"/>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6A0"/>
    <w:rsid w:val="00270802"/>
    <w:rsid w:val="002711A4"/>
    <w:rsid w:val="00271ECB"/>
    <w:rsid w:val="00271F13"/>
    <w:rsid w:val="0027278E"/>
    <w:rsid w:val="00273F2E"/>
    <w:rsid w:val="0027482E"/>
    <w:rsid w:val="00274842"/>
    <w:rsid w:val="00274DB5"/>
    <w:rsid w:val="002752E9"/>
    <w:rsid w:val="00275423"/>
    <w:rsid w:val="00275BB1"/>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63B"/>
    <w:rsid w:val="00286878"/>
    <w:rsid w:val="00286CEC"/>
    <w:rsid w:val="002870F9"/>
    <w:rsid w:val="002871A9"/>
    <w:rsid w:val="00287505"/>
    <w:rsid w:val="00287D71"/>
    <w:rsid w:val="002900C0"/>
    <w:rsid w:val="00290781"/>
    <w:rsid w:val="00291608"/>
    <w:rsid w:val="00291784"/>
    <w:rsid w:val="002920DF"/>
    <w:rsid w:val="0029273C"/>
    <w:rsid w:val="002929BB"/>
    <w:rsid w:val="002940A1"/>
    <w:rsid w:val="00294368"/>
    <w:rsid w:val="00294514"/>
    <w:rsid w:val="00294B78"/>
    <w:rsid w:val="00295416"/>
    <w:rsid w:val="00295949"/>
    <w:rsid w:val="00295BAA"/>
    <w:rsid w:val="00296059"/>
    <w:rsid w:val="0029624A"/>
    <w:rsid w:val="00296922"/>
    <w:rsid w:val="00297098"/>
    <w:rsid w:val="002A0512"/>
    <w:rsid w:val="002A05D4"/>
    <w:rsid w:val="002A06DB"/>
    <w:rsid w:val="002A09FF"/>
    <w:rsid w:val="002A0E60"/>
    <w:rsid w:val="002A1137"/>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1AB"/>
    <w:rsid w:val="002D3552"/>
    <w:rsid w:val="002D36C6"/>
    <w:rsid w:val="002D3749"/>
    <w:rsid w:val="002D37C1"/>
    <w:rsid w:val="002D3822"/>
    <w:rsid w:val="002D444B"/>
    <w:rsid w:val="002D4A45"/>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3D4D"/>
    <w:rsid w:val="002F41C2"/>
    <w:rsid w:val="002F45F6"/>
    <w:rsid w:val="002F4B0A"/>
    <w:rsid w:val="002F4D3A"/>
    <w:rsid w:val="002F5A6F"/>
    <w:rsid w:val="002F692F"/>
    <w:rsid w:val="002F6E84"/>
    <w:rsid w:val="002F7B66"/>
    <w:rsid w:val="00300CB4"/>
    <w:rsid w:val="00300E24"/>
    <w:rsid w:val="00301290"/>
    <w:rsid w:val="00303333"/>
    <w:rsid w:val="003033BA"/>
    <w:rsid w:val="00303771"/>
    <w:rsid w:val="003039A9"/>
    <w:rsid w:val="00303BAF"/>
    <w:rsid w:val="00303C19"/>
    <w:rsid w:val="003043A3"/>
    <w:rsid w:val="003044AA"/>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55"/>
    <w:rsid w:val="003364C1"/>
    <w:rsid w:val="00336729"/>
    <w:rsid w:val="0033726D"/>
    <w:rsid w:val="00337A59"/>
    <w:rsid w:val="00337CA8"/>
    <w:rsid w:val="00337D09"/>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5B7"/>
    <w:rsid w:val="0034778E"/>
    <w:rsid w:val="00347A5A"/>
    <w:rsid w:val="003501E2"/>
    <w:rsid w:val="0035087D"/>
    <w:rsid w:val="00351E10"/>
    <w:rsid w:val="003528F1"/>
    <w:rsid w:val="003533F4"/>
    <w:rsid w:val="003536F6"/>
    <w:rsid w:val="00353765"/>
    <w:rsid w:val="0035388E"/>
    <w:rsid w:val="00353DD5"/>
    <w:rsid w:val="00355131"/>
    <w:rsid w:val="00355AEB"/>
    <w:rsid w:val="00355C52"/>
    <w:rsid w:val="00355F74"/>
    <w:rsid w:val="003560DB"/>
    <w:rsid w:val="003564DB"/>
    <w:rsid w:val="00356F87"/>
    <w:rsid w:val="00357DFE"/>
    <w:rsid w:val="00360CF3"/>
    <w:rsid w:val="00361A59"/>
    <w:rsid w:val="00363348"/>
    <w:rsid w:val="0036366B"/>
    <w:rsid w:val="00363857"/>
    <w:rsid w:val="00363D59"/>
    <w:rsid w:val="003640F7"/>
    <w:rsid w:val="00364315"/>
    <w:rsid w:val="00365D3A"/>
    <w:rsid w:val="00366314"/>
    <w:rsid w:val="003663C3"/>
    <w:rsid w:val="003664FF"/>
    <w:rsid w:val="00366BD2"/>
    <w:rsid w:val="003670B8"/>
    <w:rsid w:val="00367519"/>
    <w:rsid w:val="00367A7A"/>
    <w:rsid w:val="00370488"/>
    <w:rsid w:val="003704A3"/>
    <w:rsid w:val="003706F2"/>
    <w:rsid w:val="0037124F"/>
    <w:rsid w:val="00371A1B"/>
    <w:rsid w:val="003722B3"/>
    <w:rsid w:val="003724CE"/>
    <w:rsid w:val="0037252E"/>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F33"/>
    <w:rsid w:val="0039319C"/>
    <w:rsid w:val="00393577"/>
    <w:rsid w:val="00393CAE"/>
    <w:rsid w:val="00394194"/>
    <w:rsid w:val="0039458A"/>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6DE0"/>
    <w:rsid w:val="003D7566"/>
    <w:rsid w:val="003D7836"/>
    <w:rsid w:val="003D7D6E"/>
    <w:rsid w:val="003D7FB3"/>
    <w:rsid w:val="003E0224"/>
    <w:rsid w:val="003E09BB"/>
    <w:rsid w:val="003E0D76"/>
    <w:rsid w:val="003E159D"/>
    <w:rsid w:val="003E198A"/>
    <w:rsid w:val="003E20EA"/>
    <w:rsid w:val="003E210C"/>
    <w:rsid w:val="003E284B"/>
    <w:rsid w:val="003E290D"/>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343"/>
    <w:rsid w:val="003F7E51"/>
    <w:rsid w:val="00400002"/>
    <w:rsid w:val="00400054"/>
    <w:rsid w:val="0040025E"/>
    <w:rsid w:val="00400807"/>
    <w:rsid w:val="004016A3"/>
    <w:rsid w:val="00401B31"/>
    <w:rsid w:val="0040202B"/>
    <w:rsid w:val="0040279A"/>
    <w:rsid w:val="00402DE1"/>
    <w:rsid w:val="00402EEB"/>
    <w:rsid w:val="004037C2"/>
    <w:rsid w:val="00403DF5"/>
    <w:rsid w:val="00404041"/>
    <w:rsid w:val="004047DF"/>
    <w:rsid w:val="00404B43"/>
    <w:rsid w:val="00404BB0"/>
    <w:rsid w:val="00404C61"/>
    <w:rsid w:val="00405487"/>
    <w:rsid w:val="00405B8A"/>
    <w:rsid w:val="00405CE5"/>
    <w:rsid w:val="0040602B"/>
    <w:rsid w:val="004064D7"/>
    <w:rsid w:val="00406DF5"/>
    <w:rsid w:val="00406F35"/>
    <w:rsid w:val="004070A7"/>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FFA"/>
    <w:rsid w:val="00414229"/>
    <w:rsid w:val="00414246"/>
    <w:rsid w:val="004147A0"/>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88C"/>
    <w:rsid w:val="00422DCA"/>
    <w:rsid w:val="00423562"/>
    <w:rsid w:val="004236BF"/>
    <w:rsid w:val="00423BE1"/>
    <w:rsid w:val="00423F9F"/>
    <w:rsid w:val="00424AB2"/>
    <w:rsid w:val="00424E3A"/>
    <w:rsid w:val="004254D2"/>
    <w:rsid w:val="00425C43"/>
    <w:rsid w:val="00426149"/>
    <w:rsid w:val="004273FA"/>
    <w:rsid w:val="004275A7"/>
    <w:rsid w:val="004278E1"/>
    <w:rsid w:val="00430186"/>
    <w:rsid w:val="00430682"/>
    <w:rsid w:val="0043097D"/>
    <w:rsid w:val="00431017"/>
    <w:rsid w:val="00431C0B"/>
    <w:rsid w:val="00431EBD"/>
    <w:rsid w:val="0043269A"/>
    <w:rsid w:val="00432A42"/>
    <w:rsid w:val="00432E89"/>
    <w:rsid w:val="004333C2"/>
    <w:rsid w:val="0043448A"/>
    <w:rsid w:val="00434787"/>
    <w:rsid w:val="00434C13"/>
    <w:rsid w:val="00434C2C"/>
    <w:rsid w:val="004351CF"/>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152"/>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4548"/>
    <w:rsid w:val="00454598"/>
    <w:rsid w:val="00454717"/>
    <w:rsid w:val="00454AFE"/>
    <w:rsid w:val="00455004"/>
    <w:rsid w:val="00455047"/>
    <w:rsid w:val="00455111"/>
    <w:rsid w:val="00455354"/>
    <w:rsid w:val="0045558D"/>
    <w:rsid w:val="00455B70"/>
    <w:rsid w:val="00455BD3"/>
    <w:rsid w:val="00455E1C"/>
    <w:rsid w:val="00455E24"/>
    <w:rsid w:val="004561A8"/>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7F8"/>
    <w:rsid w:val="004647F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44F"/>
    <w:rsid w:val="00484537"/>
    <w:rsid w:val="00484F0F"/>
    <w:rsid w:val="00484F40"/>
    <w:rsid w:val="0048540C"/>
    <w:rsid w:val="004861B4"/>
    <w:rsid w:val="00486BD0"/>
    <w:rsid w:val="00486D00"/>
    <w:rsid w:val="00487263"/>
    <w:rsid w:val="0048734F"/>
    <w:rsid w:val="00487532"/>
    <w:rsid w:val="00487FE0"/>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1FB"/>
    <w:rsid w:val="004A16C1"/>
    <w:rsid w:val="004A1CE2"/>
    <w:rsid w:val="004A2823"/>
    <w:rsid w:val="004A3044"/>
    <w:rsid w:val="004A34D2"/>
    <w:rsid w:val="004A3CF6"/>
    <w:rsid w:val="004A4301"/>
    <w:rsid w:val="004A4D93"/>
    <w:rsid w:val="004A58EE"/>
    <w:rsid w:val="004A59B7"/>
    <w:rsid w:val="004A6051"/>
    <w:rsid w:val="004A623B"/>
    <w:rsid w:val="004A6A04"/>
    <w:rsid w:val="004A6A52"/>
    <w:rsid w:val="004B0A44"/>
    <w:rsid w:val="004B0F0B"/>
    <w:rsid w:val="004B11B7"/>
    <w:rsid w:val="004B2113"/>
    <w:rsid w:val="004B2197"/>
    <w:rsid w:val="004B28E0"/>
    <w:rsid w:val="004B298A"/>
    <w:rsid w:val="004B31C6"/>
    <w:rsid w:val="004B34C4"/>
    <w:rsid w:val="004B50CB"/>
    <w:rsid w:val="004B578D"/>
    <w:rsid w:val="004B5BE7"/>
    <w:rsid w:val="004B5E2D"/>
    <w:rsid w:val="004B6394"/>
    <w:rsid w:val="004B652A"/>
    <w:rsid w:val="004B66CD"/>
    <w:rsid w:val="004B6B5D"/>
    <w:rsid w:val="004B6C07"/>
    <w:rsid w:val="004B74D3"/>
    <w:rsid w:val="004B788E"/>
    <w:rsid w:val="004B7E5D"/>
    <w:rsid w:val="004C072C"/>
    <w:rsid w:val="004C1B39"/>
    <w:rsid w:val="004C2180"/>
    <w:rsid w:val="004C22F7"/>
    <w:rsid w:val="004C2B27"/>
    <w:rsid w:val="004C3219"/>
    <w:rsid w:val="004C38BD"/>
    <w:rsid w:val="004C3929"/>
    <w:rsid w:val="004C3BDA"/>
    <w:rsid w:val="004C47DF"/>
    <w:rsid w:val="004C4DED"/>
    <w:rsid w:val="004C5212"/>
    <w:rsid w:val="004C580A"/>
    <w:rsid w:val="004C5D6F"/>
    <w:rsid w:val="004C5E63"/>
    <w:rsid w:val="004C5EF0"/>
    <w:rsid w:val="004C5FEC"/>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D1"/>
    <w:rsid w:val="004D6120"/>
    <w:rsid w:val="004D62A3"/>
    <w:rsid w:val="004D6826"/>
    <w:rsid w:val="004D6D7F"/>
    <w:rsid w:val="004D6FC4"/>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5736"/>
    <w:rsid w:val="004E58ED"/>
    <w:rsid w:val="004E5A3C"/>
    <w:rsid w:val="004E5AA8"/>
    <w:rsid w:val="004E5B36"/>
    <w:rsid w:val="004E5D5D"/>
    <w:rsid w:val="004E6045"/>
    <w:rsid w:val="004E6F43"/>
    <w:rsid w:val="004E702F"/>
    <w:rsid w:val="004E7200"/>
    <w:rsid w:val="004E787E"/>
    <w:rsid w:val="004F0960"/>
    <w:rsid w:val="004F0A5C"/>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EC"/>
    <w:rsid w:val="0050112F"/>
    <w:rsid w:val="0050160F"/>
    <w:rsid w:val="00501ABD"/>
    <w:rsid w:val="0050284E"/>
    <w:rsid w:val="00502993"/>
    <w:rsid w:val="00502AF3"/>
    <w:rsid w:val="00502FCD"/>
    <w:rsid w:val="0050306F"/>
    <w:rsid w:val="00503CA9"/>
    <w:rsid w:val="00504DF9"/>
    <w:rsid w:val="00505DCB"/>
    <w:rsid w:val="00505DE1"/>
    <w:rsid w:val="0050703E"/>
    <w:rsid w:val="005075CA"/>
    <w:rsid w:val="00507B06"/>
    <w:rsid w:val="00507BF1"/>
    <w:rsid w:val="005100E0"/>
    <w:rsid w:val="0051047A"/>
    <w:rsid w:val="0051074C"/>
    <w:rsid w:val="00510DE9"/>
    <w:rsid w:val="00510F21"/>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5B2"/>
    <w:rsid w:val="005365FF"/>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1098"/>
    <w:rsid w:val="00551598"/>
    <w:rsid w:val="0055162B"/>
    <w:rsid w:val="00551BFF"/>
    <w:rsid w:val="00551C3A"/>
    <w:rsid w:val="00551D68"/>
    <w:rsid w:val="00551DFF"/>
    <w:rsid w:val="005525C9"/>
    <w:rsid w:val="00552B3E"/>
    <w:rsid w:val="00553730"/>
    <w:rsid w:val="00554D57"/>
    <w:rsid w:val="005551AA"/>
    <w:rsid w:val="0055583B"/>
    <w:rsid w:val="0055636A"/>
    <w:rsid w:val="005564CA"/>
    <w:rsid w:val="00556827"/>
    <w:rsid w:val="005568EA"/>
    <w:rsid w:val="00557140"/>
    <w:rsid w:val="00557984"/>
    <w:rsid w:val="00560677"/>
    <w:rsid w:val="005609DF"/>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2B3"/>
    <w:rsid w:val="00564704"/>
    <w:rsid w:val="00564712"/>
    <w:rsid w:val="0056524A"/>
    <w:rsid w:val="005654BB"/>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069"/>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9BD"/>
    <w:rsid w:val="005B1E45"/>
    <w:rsid w:val="005B21C4"/>
    <w:rsid w:val="005B2A28"/>
    <w:rsid w:val="005B2E64"/>
    <w:rsid w:val="005B3621"/>
    <w:rsid w:val="005B3CD9"/>
    <w:rsid w:val="005B48A8"/>
    <w:rsid w:val="005B4948"/>
    <w:rsid w:val="005B501D"/>
    <w:rsid w:val="005B54CC"/>
    <w:rsid w:val="005B660E"/>
    <w:rsid w:val="005B74AD"/>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E45"/>
    <w:rsid w:val="005C7F3E"/>
    <w:rsid w:val="005D06D3"/>
    <w:rsid w:val="005D0C3B"/>
    <w:rsid w:val="005D1051"/>
    <w:rsid w:val="005D1606"/>
    <w:rsid w:val="005D2044"/>
    <w:rsid w:val="005D2917"/>
    <w:rsid w:val="005D2EB2"/>
    <w:rsid w:val="005D2F48"/>
    <w:rsid w:val="005D399C"/>
    <w:rsid w:val="005D3B32"/>
    <w:rsid w:val="005D3BD0"/>
    <w:rsid w:val="005D4643"/>
    <w:rsid w:val="005D464B"/>
    <w:rsid w:val="005D466F"/>
    <w:rsid w:val="005D49F0"/>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E5BD6"/>
    <w:rsid w:val="005E72A0"/>
    <w:rsid w:val="005F0984"/>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B65"/>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2A"/>
    <w:rsid w:val="006258D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7E9C"/>
    <w:rsid w:val="00677F26"/>
    <w:rsid w:val="006800EE"/>
    <w:rsid w:val="006802A7"/>
    <w:rsid w:val="0068118C"/>
    <w:rsid w:val="006811C9"/>
    <w:rsid w:val="006812CE"/>
    <w:rsid w:val="006826C1"/>
    <w:rsid w:val="00682C89"/>
    <w:rsid w:val="006832B8"/>
    <w:rsid w:val="0068331A"/>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F9A"/>
    <w:rsid w:val="006A34E4"/>
    <w:rsid w:val="006A3A5A"/>
    <w:rsid w:val="006A4043"/>
    <w:rsid w:val="006A426A"/>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E76"/>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93B"/>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B90"/>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4DFE"/>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B1D"/>
    <w:rsid w:val="00727DDC"/>
    <w:rsid w:val="007302AE"/>
    <w:rsid w:val="00730CD6"/>
    <w:rsid w:val="00730F74"/>
    <w:rsid w:val="0073114B"/>
    <w:rsid w:val="00732151"/>
    <w:rsid w:val="00732C4B"/>
    <w:rsid w:val="007339EC"/>
    <w:rsid w:val="007341F8"/>
    <w:rsid w:val="00734236"/>
    <w:rsid w:val="00734952"/>
    <w:rsid w:val="00734990"/>
    <w:rsid w:val="00734FF5"/>
    <w:rsid w:val="007351F2"/>
    <w:rsid w:val="007356B8"/>
    <w:rsid w:val="00735B78"/>
    <w:rsid w:val="00735DA7"/>
    <w:rsid w:val="007368B4"/>
    <w:rsid w:val="007378E0"/>
    <w:rsid w:val="00737C51"/>
    <w:rsid w:val="00737D92"/>
    <w:rsid w:val="00740529"/>
    <w:rsid w:val="00740876"/>
    <w:rsid w:val="00741247"/>
    <w:rsid w:val="00741358"/>
    <w:rsid w:val="00741626"/>
    <w:rsid w:val="0074182F"/>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2A4F"/>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1A3"/>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E2E"/>
    <w:rsid w:val="00766ECC"/>
    <w:rsid w:val="007672F3"/>
    <w:rsid w:val="007676EE"/>
    <w:rsid w:val="007677B5"/>
    <w:rsid w:val="007678B1"/>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44C"/>
    <w:rsid w:val="00776FE5"/>
    <w:rsid w:val="00777101"/>
    <w:rsid w:val="007774E7"/>
    <w:rsid w:val="0077768C"/>
    <w:rsid w:val="00777696"/>
    <w:rsid w:val="00777FF4"/>
    <w:rsid w:val="00780251"/>
    <w:rsid w:val="007804FE"/>
    <w:rsid w:val="00780AFD"/>
    <w:rsid w:val="00780CD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2C8"/>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047"/>
    <w:rsid w:val="007D7CFC"/>
    <w:rsid w:val="007E021D"/>
    <w:rsid w:val="007E0812"/>
    <w:rsid w:val="007E18DF"/>
    <w:rsid w:val="007E2C36"/>
    <w:rsid w:val="007E2E07"/>
    <w:rsid w:val="007E3309"/>
    <w:rsid w:val="007E350D"/>
    <w:rsid w:val="007E3A0A"/>
    <w:rsid w:val="007E3ACA"/>
    <w:rsid w:val="007E496E"/>
    <w:rsid w:val="007E564D"/>
    <w:rsid w:val="007E5B6E"/>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471"/>
    <w:rsid w:val="007F369E"/>
    <w:rsid w:val="007F3AC1"/>
    <w:rsid w:val="007F3B1B"/>
    <w:rsid w:val="007F4976"/>
    <w:rsid w:val="007F4B92"/>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57D"/>
    <w:rsid w:val="00816AD6"/>
    <w:rsid w:val="00817063"/>
    <w:rsid w:val="0081766B"/>
    <w:rsid w:val="008178B7"/>
    <w:rsid w:val="008179A1"/>
    <w:rsid w:val="008179E1"/>
    <w:rsid w:val="00817D12"/>
    <w:rsid w:val="00820037"/>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6D7"/>
    <w:rsid w:val="00823FEA"/>
    <w:rsid w:val="008241CE"/>
    <w:rsid w:val="00824953"/>
    <w:rsid w:val="00825240"/>
    <w:rsid w:val="0082532C"/>
    <w:rsid w:val="00825595"/>
    <w:rsid w:val="00825B43"/>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C43"/>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94E"/>
    <w:rsid w:val="00863A41"/>
    <w:rsid w:val="00863F8A"/>
    <w:rsid w:val="00863FE3"/>
    <w:rsid w:val="00864241"/>
    <w:rsid w:val="0086468A"/>
    <w:rsid w:val="00864FA1"/>
    <w:rsid w:val="008650BE"/>
    <w:rsid w:val="0086633B"/>
    <w:rsid w:val="00866442"/>
    <w:rsid w:val="00866495"/>
    <w:rsid w:val="00866881"/>
    <w:rsid w:val="00866931"/>
    <w:rsid w:val="00867512"/>
    <w:rsid w:val="008678A3"/>
    <w:rsid w:val="00867C13"/>
    <w:rsid w:val="00867C1D"/>
    <w:rsid w:val="0087033C"/>
    <w:rsid w:val="00870B93"/>
    <w:rsid w:val="00871064"/>
    <w:rsid w:val="008715ED"/>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6B"/>
    <w:rsid w:val="0088107D"/>
    <w:rsid w:val="00881475"/>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73"/>
    <w:rsid w:val="008A3F9D"/>
    <w:rsid w:val="008A4B42"/>
    <w:rsid w:val="008A5474"/>
    <w:rsid w:val="008A5C9A"/>
    <w:rsid w:val="008A6005"/>
    <w:rsid w:val="008A614F"/>
    <w:rsid w:val="008A61DD"/>
    <w:rsid w:val="008A6A55"/>
    <w:rsid w:val="008A6DF0"/>
    <w:rsid w:val="008A6F6E"/>
    <w:rsid w:val="008A73C4"/>
    <w:rsid w:val="008A768D"/>
    <w:rsid w:val="008A7888"/>
    <w:rsid w:val="008A78D9"/>
    <w:rsid w:val="008A796E"/>
    <w:rsid w:val="008B0783"/>
    <w:rsid w:val="008B0862"/>
    <w:rsid w:val="008B088C"/>
    <w:rsid w:val="008B0991"/>
    <w:rsid w:val="008B1303"/>
    <w:rsid w:val="008B1BF5"/>
    <w:rsid w:val="008B263F"/>
    <w:rsid w:val="008B2686"/>
    <w:rsid w:val="008B3045"/>
    <w:rsid w:val="008B3AFB"/>
    <w:rsid w:val="008B44F6"/>
    <w:rsid w:val="008B47A6"/>
    <w:rsid w:val="008B56B9"/>
    <w:rsid w:val="008B672C"/>
    <w:rsid w:val="008B74F7"/>
    <w:rsid w:val="008C065F"/>
    <w:rsid w:val="008C0743"/>
    <w:rsid w:val="008C0B4C"/>
    <w:rsid w:val="008C0D9F"/>
    <w:rsid w:val="008C11F0"/>
    <w:rsid w:val="008C1DBA"/>
    <w:rsid w:val="008C24E7"/>
    <w:rsid w:val="008C2500"/>
    <w:rsid w:val="008C2CAC"/>
    <w:rsid w:val="008C2E00"/>
    <w:rsid w:val="008C3095"/>
    <w:rsid w:val="008C3B1E"/>
    <w:rsid w:val="008C3C57"/>
    <w:rsid w:val="008C3E2A"/>
    <w:rsid w:val="008C45BD"/>
    <w:rsid w:val="008C4B19"/>
    <w:rsid w:val="008C515F"/>
    <w:rsid w:val="008C5207"/>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C2"/>
    <w:rsid w:val="008E7214"/>
    <w:rsid w:val="008E7884"/>
    <w:rsid w:val="008E7D6E"/>
    <w:rsid w:val="008F1056"/>
    <w:rsid w:val="008F2E8D"/>
    <w:rsid w:val="008F32BA"/>
    <w:rsid w:val="008F361D"/>
    <w:rsid w:val="008F387B"/>
    <w:rsid w:val="008F3952"/>
    <w:rsid w:val="008F3B97"/>
    <w:rsid w:val="008F3DD9"/>
    <w:rsid w:val="008F4814"/>
    <w:rsid w:val="008F4DA6"/>
    <w:rsid w:val="008F538E"/>
    <w:rsid w:val="008F59C9"/>
    <w:rsid w:val="008F5A20"/>
    <w:rsid w:val="008F5ABA"/>
    <w:rsid w:val="008F673D"/>
    <w:rsid w:val="008F6833"/>
    <w:rsid w:val="008F71AB"/>
    <w:rsid w:val="008F7905"/>
    <w:rsid w:val="008F7989"/>
    <w:rsid w:val="00901F1D"/>
    <w:rsid w:val="00902002"/>
    <w:rsid w:val="009020B3"/>
    <w:rsid w:val="009028E8"/>
    <w:rsid w:val="00902E5C"/>
    <w:rsid w:val="0090363E"/>
    <w:rsid w:val="009046E5"/>
    <w:rsid w:val="009047C5"/>
    <w:rsid w:val="009056E6"/>
    <w:rsid w:val="00907FF6"/>
    <w:rsid w:val="00910683"/>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20B"/>
    <w:rsid w:val="00931365"/>
    <w:rsid w:val="00931451"/>
    <w:rsid w:val="009314FA"/>
    <w:rsid w:val="0093194F"/>
    <w:rsid w:val="00931BF3"/>
    <w:rsid w:val="00931C55"/>
    <w:rsid w:val="00933333"/>
    <w:rsid w:val="0093349A"/>
    <w:rsid w:val="009338BA"/>
    <w:rsid w:val="00933FCB"/>
    <w:rsid w:val="009342B6"/>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70CAB"/>
    <w:rsid w:val="009710E5"/>
    <w:rsid w:val="00971441"/>
    <w:rsid w:val="009715D4"/>
    <w:rsid w:val="0097179A"/>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608C"/>
    <w:rsid w:val="009A6F49"/>
    <w:rsid w:val="009A6FDF"/>
    <w:rsid w:val="009A715F"/>
    <w:rsid w:val="009A76D6"/>
    <w:rsid w:val="009B011D"/>
    <w:rsid w:val="009B073C"/>
    <w:rsid w:val="009B0B78"/>
    <w:rsid w:val="009B2374"/>
    <w:rsid w:val="009B2466"/>
    <w:rsid w:val="009B2A8C"/>
    <w:rsid w:val="009B2E29"/>
    <w:rsid w:val="009B3163"/>
    <w:rsid w:val="009B366C"/>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369D"/>
    <w:rsid w:val="009F36FE"/>
    <w:rsid w:val="009F3924"/>
    <w:rsid w:val="009F452A"/>
    <w:rsid w:val="009F4990"/>
    <w:rsid w:val="009F4F25"/>
    <w:rsid w:val="009F59C2"/>
    <w:rsid w:val="009F5A5A"/>
    <w:rsid w:val="009F6123"/>
    <w:rsid w:val="009F7235"/>
    <w:rsid w:val="009F7263"/>
    <w:rsid w:val="009F76EA"/>
    <w:rsid w:val="009F78EB"/>
    <w:rsid w:val="009F7F32"/>
    <w:rsid w:val="009F7FEB"/>
    <w:rsid w:val="00A003D5"/>
    <w:rsid w:val="00A005CD"/>
    <w:rsid w:val="00A0156A"/>
    <w:rsid w:val="00A01852"/>
    <w:rsid w:val="00A0188B"/>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36D"/>
    <w:rsid w:val="00A1069F"/>
    <w:rsid w:val="00A107F8"/>
    <w:rsid w:val="00A10AAD"/>
    <w:rsid w:val="00A10ACA"/>
    <w:rsid w:val="00A10D08"/>
    <w:rsid w:val="00A11E78"/>
    <w:rsid w:val="00A12355"/>
    <w:rsid w:val="00A127D2"/>
    <w:rsid w:val="00A13CF5"/>
    <w:rsid w:val="00A143EC"/>
    <w:rsid w:val="00A149E8"/>
    <w:rsid w:val="00A149F3"/>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91E"/>
    <w:rsid w:val="00A34538"/>
    <w:rsid w:val="00A34677"/>
    <w:rsid w:val="00A3535E"/>
    <w:rsid w:val="00A3540F"/>
    <w:rsid w:val="00A35630"/>
    <w:rsid w:val="00A35914"/>
    <w:rsid w:val="00A35A0D"/>
    <w:rsid w:val="00A36189"/>
    <w:rsid w:val="00A36362"/>
    <w:rsid w:val="00A37551"/>
    <w:rsid w:val="00A37A2D"/>
    <w:rsid w:val="00A37E73"/>
    <w:rsid w:val="00A37FB6"/>
    <w:rsid w:val="00A409E2"/>
    <w:rsid w:val="00A40ACB"/>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9F1"/>
    <w:rsid w:val="00A57DDD"/>
    <w:rsid w:val="00A57EB2"/>
    <w:rsid w:val="00A6009E"/>
    <w:rsid w:val="00A60265"/>
    <w:rsid w:val="00A60314"/>
    <w:rsid w:val="00A60B1F"/>
    <w:rsid w:val="00A60B4A"/>
    <w:rsid w:val="00A613E5"/>
    <w:rsid w:val="00A6160B"/>
    <w:rsid w:val="00A6195E"/>
    <w:rsid w:val="00A61C60"/>
    <w:rsid w:val="00A62589"/>
    <w:rsid w:val="00A62AD0"/>
    <w:rsid w:val="00A62C3A"/>
    <w:rsid w:val="00A6319C"/>
    <w:rsid w:val="00A63812"/>
    <w:rsid w:val="00A63DF7"/>
    <w:rsid w:val="00A6454D"/>
    <w:rsid w:val="00A64F18"/>
    <w:rsid w:val="00A64F2F"/>
    <w:rsid w:val="00A65505"/>
    <w:rsid w:val="00A65AA4"/>
    <w:rsid w:val="00A6611E"/>
    <w:rsid w:val="00A6634D"/>
    <w:rsid w:val="00A668BA"/>
    <w:rsid w:val="00A66FA7"/>
    <w:rsid w:val="00A67E16"/>
    <w:rsid w:val="00A67E2C"/>
    <w:rsid w:val="00A67EB1"/>
    <w:rsid w:val="00A703CC"/>
    <w:rsid w:val="00A7074F"/>
    <w:rsid w:val="00A70C5C"/>
    <w:rsid w:val="00A710A2"/>
    <w:rsid w:val="00A71859"/>
    <w:rsid w:val="00A719D1"/>
    <w:rsid w:val="00A71EA7"/>
    <w:rsid w:val="00A71F53"/>
    <w:rsid w:val="00A730AD"/>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61C8"/>
    <w:rsid w:val="00A863CA"/>
    <w:rsid w:val="00A86817"/>
    <w:rsid w:val="00A86E0B"/>
    <w:rsid w:val="00A874BB"/>
    <w:rsid w:val="00A87CE5"/>
    <w:rsid w:val="00A90C54"/>
    <w:rsid w:val="00A90F12"/>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2000"/>
    <w:rsid w:val="00AB2216"/>
    <w:rsid w:val="00AB3202"/>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B7A7D"/>
    <w:rsid w:val="00AC02AA"/>
    <w:rsid w:val="00AC0537"/>
    <w:rsid w:val="00AC07E3"/>
    <w:rsid w:val="00AC0A84"/>
    <w:rsid w:val="00AC1508"/>
    <w:rsid w:val="00AC15E4"/>
    <w:rsid w:val="00AC1957"/>
    <w:rsid w:val="00AC2A0B"/>
    <w:rsid w:val="00AC2BEE"/>
    <w:rsid w:val="00AC2E53"/>
    <w:rsid w:val="00AC35E4"/>
    <w:rsid w:val="00AC39C5"/>
    <w:rsid w:val="00AC484F"/>
    <w:rsid w:val="00AC4B20"/>
    <w:rsid w:val="00AC56F2"/>
    <w:rsid w:val="00AC71C3"/>
    <w:rsid w:val="00AC7212"/>
    <w:rsid w:val="00AC7862"/>
    <w:rsid w:val="00AC7B88"/>
    <w:rsid w:val="00AD0547"/>
    <w:rsid w:val="00AD09F7"/>
    <w:rsid w:val="00AD11E3"/>
    <w:rsid w:val="00AD1EFA"/>
    <w:rsid w:val="00AD2072"/>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DC5"/>
    <w:rsid w:val="00AE7686"/>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1078"/>
    <w:rsid w:val="00B011A7"/>
    <w:rsid w:val="00B011A9"/>
    <w:rsid w:val="00B01BAF"/>
    <w:rsid w:val="00B01C36"/>
    <w:rsid w:val="00B020EB"/>
    <w:rsid w:val="00B024ED"/>
    <w:rsid w:val="00B026B8"/>
    <w:rsid w:val="00B02DA1"/>
    <w:rsid w:val="00B02EB3"/>
    <w:rsid w:val="00B02FCB"/>
    <w:rsid w:val="00B033F8"/>
    <w:rsid w:val="00B03C1E"/>
    <w:rsid w:val="00B04400"/>
    <w:rsid w:val="00B04835"/>
    <w:rsid w:val="00B0515B"/>
    <w:rsid w:val="00B05A55"/>
    <w:rsid w:val="00B05DE1"/>
    <w:rsid w:val="00B06595"/>
    <w:rsid w:val="00B06798"/>
    <w:rsid w:val="00B0749C"/>
    <w:rsid w:val="00B07A58"/>
    <w:rsid w:val="00B10109"/>
    <w:rsid w:val="00B10720"/>
    <w:rsid w:val="00B10776"/>
    <w:rsid w:val="00B1085E"/>
    <w:rsid w:val="00B10FD1"/>
    <w:rsid w:val="00B119AE"/>
    <w:rsid w:val="00B1219D"/>
    <w:rsid w:val="00B12469"/>
    <w:rsid w:val="00B12735"/>
    <w:rsid w:val="00B12F44"/>
    <w:rsid w:val="00B13C48"/>
    <w:rsid w:val="00B13E35"/>
    <w:rsid w:val="00B13EC0"/>
    <w:rsid w:val="00B14102"/>
    <w:rsid w:val="00B14D32"/>
    <w:rsid w:val="00B1554C"/>
    <w:rsid w:val="00B1557C"/>
    <w:rsid w:val="00B155DC"/>
    <w:rsid w:val="00B15766"/>
    <w:rsid w:val="00B15E4A"/>
    <w:rsid w:val="00B15E5D"/>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875"/>
    <w:rsid w:val="00B27BB5"/>
    <w:rsid w:val="00B3008D"/>
    <w:rsid w:val="00B30A94"/>
    <w:rsid w:val="00B30E11"/>
    <w:rsid w:val="00B30EAE"/>
    <w:rsid w:val="00B30EEB"/>
    <w:rsid w:val="00B31423"/>
    <w:rsid w:val="00B319B1"/>
    <w:rsid w:val="00B321C1"/>
    <w:rsid w:val="00B323E0"/>
    <w:rsid w:val="00B32DC0"/>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3449"/>
    <w:rsid w:val="00B4364A"/>
    <w:rsid w:val="00B4387A"/>
    <w:rsid w:val="00B43AFE"/>
    <w:rsid w:val="00B43C14"/>
    <w:rsid w:val="00B43DA1"/>
    <w:rsid w:val="00B43F98"/>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AE8"/>
    <w:rsid w:val="00B52FA2"/>
    <w:rsid w:val="00B54D8F"/>
    <w:rsid w:val="00B55857"/>
    <w:rsid w:val="00B55C69"/>
    <w:rsid w:val="00B56851"/>
    <w:rsid w:val="00B569D4"/>
    <w:rsid w:val="00B56BA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6D1"/>
    <w:rsid w:val="00B90A49"/>
    <w:rsid w:val="00B90A73"/>
    <w:rsid w:val="00B90ABE"/>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116"/>
    <w:rsid w:val="00BE3442"/>
    <w:rsid w:val="00BE37CD"/>
    <w:rsid w:val="00BE42D6"/>
    <w:rsid w:val="00BE47B2"/>
    <w:rsid w:val="00BE48C7"/>
    <w:rsid w:val="00BE4C4F"/>
    <w:rsid w:val="00BE4F66"/>
    <w:rsid w:val="00BE522D"/>
    <w:rsid w:val="00BE5238"/>
    <w:rsid w:val="00BE6074"/>
    <w:rsid w:val="00BE6860"/>
    <w:rsid w:val="00BE6938"/>
    <w:rsid w:val="00BE6EDD"/>
    <w:rsid w:val="00BE7257"/>
    <w:rsid w:val="00BF020D"/>
    <w:rsid w:val="00BF0609"/>
    <w:rsid w:val="00BF0E64"/>
    <w:rsid w:val="00BF0EE8"/>
    <w:rsid w:val="00BF131B"/>
    <w:rsid w:val="00BF1DD2"/>
    <w:rsid w:val="00BF22BF"/>
    <w:rsid w:val="00BF23A3"/>
    <w:rsid w:val="00BF2A7E"/>
    <w:rsid w:val="00BF3331"/>
    <w:rsid w:val="00BF3521"/>
    <w:rsid w:val="00BF3A45"/>
    <w:rsid w:val="00BF436F"/>
    <w:rsid w:val="00BF4484"/>
    <w:rsid w:val="00BF519C"/>
    <w:rsid w:val="00BF5C05"/>
    <w:rsid w:val="00BF5CB4"/>
    <w:rsid w:val="00BF6FC6"/>
    <w:rsid w:val="00BF77A5"/>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7DD"/>
    <w:rsid w:val="00C238F4"/>
    <w:rsid w:val="00C23A99"/>
    <w:rsid w:val="00C23FBF"/>
    <w:rsid w:val="00C245EE"/>
    <w:rsid w:val="00C24AE1"/>
    <w:rsid w:val="00C24B8D"/>
    <w:rsid w:val="00C24BD7"/>
    <w:rsid w:val="00C24EF2"/>
    <w:rsid w:val="00C24FD5"/>
    <w:rsid w:val="00C25813"/>
    <w:rsid w:val="00C26D76"/>
    <w:rsid w:val="00C27143"/>
    <w:rsid w:val="00C272CE"/>
    <w:rsid w:val="00C27490"/>
    <w:rsid w:val="00C27712"/>
    <w:rsid w:val="00C27D37"/>
    <w:rsid w:val="00C30038"/>
    <w:rsid w:val="00C30658"/>
    <w:rsid w:val="00C309E8"/>
    <w:rsid w:val="00C32017"/>
    <w:rsid w:val="00C32571"/>
    <w:rsid w:val="00C325CD"/>
    <w:rsid w:val="00C3322E"/>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654F"/>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582"/>
    <w:rsid w:val="00C657F4"/>
    <w:rsid w:val="00C6598D"/>
    <w:rsid w:val="00C660FE"/>
    <w:rsid w:val="00C66119"/>
    <w:rsid w:val="00C66292"/>
    <w:rsid w:val="00C6636F"/>
    <w:rsid w:val="00C66D0A"/>
    <w:rsid w:val="00C66F21"/>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A0031"/>
    <w:rsid w:val="00CA0413"/>
    <w:rsid w:val="00CA043A"/>
    <w:rsid w:val="00CA0E51"/>
    <w:rsid w:val="00CA1691"/>
    <w:rsid w:val="00CA257C"/>
    <w:rsid w:val="00CA2738"/>
    <w:rsid w:val="00CA2D2E"/>
    <w:rsid w:val="00CA2F26"/>
    <w:rsid w:val="00CA3C3A"/>
    <w:rsid w:val="00CA41E7"/>
    <w:rsid w:val="00CA4A99"/>
    <w:rsid w:val="00CA5520"/>
    <w:rsid w:val="00CA5812"/>
    <w:rsid w:val="00CA5BD4"/>
    <w:rsid w:val="00CA5C14"/>
    <w:rsid w:val="00CA7500"/>
    <w:rsid w:val="00CA76FC"/>
    <w:rsid w:val="00CA7E7B"/>
    <w:rsid w:val="00CB0028"/>
    <w:rsid w:val="00CB0236"/>
    <w:rsid w:val="00CB0DC1"/>
    <w:rsid w:val="00CB144F"/>
    <w:rsid w:val="00CB1969"/>
    <w:rsid w:val="00CB19E3"/>
    <w:rsid w:val="00CB1DC1"/>
    <w:rsid w:val="00CB29D5"/>
    <w:rsid w:val="00CB2C3A"/>
    <w:rsid w:val="00CB2D38"/>
    <w:rsid w:val="00CB4137"/>
    <w:rsid w:val="00CB4A29"/>
    <w:rsid w:val="00CB4ADD"/>
    <w:rsid w:val="00CB4BF5"/>
    <w:rsid w:val="00CB52D0"/>
    <w:rsid w:val="00CB5302"/>
    <w:rsid w:val="00CB5578"/>
    <w:rsid w:val="00CB5671"/>
    <w:rsid w:val="00CB591C"/>
    <w:rsid w:val="00CB5943"/>
    <w:rsid w:val="00CB61B3"/>
    <w:rsid w:val="00CB6F83"/>
    <w:rsid w:val="00CB72AE"/>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3FF"/>
    <w:rsid w:val="00CD4506"/>
    <w:rsid w:val="00CD520A"/>
    <w:rsid w:val="00CD520B"/>
    <w:rsid w:val="00CD592E"/>
    <w:rsid w:val="00CD5982"/>
    <w:rsid w:val="00CD5A1A"/>
    <w:rsid w:val="00CD5A3C"/>
    <w:rsid w:val="00CD6988"/>
    <w:rsid w:val="00CD76F8"/>
    <w:rsid w:val="00CD7EFA"/>
    <w:rsid w:val="00CE020E"/>
    <w:rsid w:val="00CE02C2"/>
    <w:rsid w:val="00CE0566"/>
    <w:rsid w:val="00CE1030"/>
    <w:rsid w:val="00CE1CD4"/>
    <w:rsid w:val="00CE1E29"/>
    <w:rsid w:val="00CE207C"/>
    <w:rsid w:val="00CE2761"/>
    <w:rsid w:val="00CE28FC"/>
    <w:rsid w:val="00CE2EAF"/>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35D0"/>
    <w:rsid w:val="00CF3B57"/>
    <w:rsid w:val="00CF3DD5"/>
    <w:rsid w:val="00CF42D1"/>
    <w:rsid w:val="00CF481B"/>
    <w:rsid w:val="00CF4AF7"/>
    <w:rsid w:val="00CF4D20"/>
    <w:rsid w:val="00CF6295"/>
    <w:rsid w:val="00CF70C2"/>
    <w:rsid w:val="00CF73F8"/>
    <w:rsid w:val="00CF75C1"/>
    <w:rsid w:val="00CF7928"/>
    <w:rsid w:val="00CF7CA2"/>
    <w:rsid w:val="00D00471"/>
    <w:rsid w:val="00D00684"/>
    <w:rsid w:val="00D00911"/>
    <w:rsid w:val="00D00A8E"/>
    <w:rsid w:val="00D00DE0"/>
    <w:rsid w:val="00D00F79"/>
    <w:rsid w:val="00D012BF"/>
    <w:rsid w:val="00D01760"/>
    <w:rsid w:val="00D02380"/>
    <w:rsid w:val="00D030BD"/>
    <w:rsid w:val="00D0368E"/>
    <w:rsid w:val="00D0393E"/>
    <w:rsid w:val="00D03AC3"/>
    <w:rsid w:val="00D03D2D"/>
    <w:rsid w:val="00D03E7B"/>
    <w:rsid w:val="00D0401A"/>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1060D"/>
    <w:rsid w:val="00D10E7C"/>
    <w:rsid w:val="00D11182"/>
    <w:rsid w:val="00D1137B"/>
    <w:rsid w:val="00D11807"/>
    <w:rsid w:val="00D11DB3"/>
    <w:rsid w:val="00D12D82"/>
    <w:rsid w:val="00D12F77"/>
    <w:rsid w:val="00D1306E"/>
    <w:rsid w:val="00D134CD"/>
    <w:rsid w:val="00D13527"/>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E8"/>
    <w:rsid w:val="00D224E1"/>
    <w:rsid w:val="00D227ED"/>
    <w:rsid w:val="00D22DC8"/>
    <w:rsid w:val="00D22F86"/>
    <w:rsid w:val="00D24626"/>
    <w:rsid w:val="00D2477B"/>
    <w:rsid w:val="00D24BBC"/>
    <w:rsid w:val="00D24FE1"/>
    <w:rsid w:val="00D2522A"/>
    <w:rsid w:val="00D2531C"/>
    <w:rsid w:val="00D2553E"/>
    <w:rsid w:val="00D25CFA"/>
    <w:rsid w:val="00D26853"/>
    <w:rsid w:val="00D2737C"/>
    <w:rsid w:val="00D2742F"/>
    <w:rsid w:val="00D2754F"/>
    <w:rsid w:val="00D27681"/>
    <w:rsid w:val="00D277C5"/>
    <w:rsid w:val="00D279D9"/>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3DF"/>
    <w:rsid w:val="00D357F3"/>
    <w:rsid w:val="00D357FA"/>
    <w:rsid w:val="00D35C0E"/>
    <w:rsid w:val="00D36415"/>
    <w:rsid w:val="00D373A8"/>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5E8D"/>
    <w:rsid w:val="00D5616F"/>
    <w:rsid w:val="00D57940"/>
    <w:rsid w:val="00D6015F"/>
    <w:rsid w:val="00D60327"/>
    <w:rsid w:val="00D61384"/>
    <w:rsid w:val="00D6140F"/>
    <w:rsid w:val="00D61526"/>
    <w:rsid w:val="00D61F81"/>
    <w:rsid w:val="00D6276C"/>
    <w:rsid w:val="00D62BE6"/>
    <w:rsid w:val="00D63766"/>
    <w:rsid w:val="00D63912"/>
    <w:rsid w:val="00D63923"/>
    <w:rsid w:val="00D6451B"/>
    <w:rsid w:val="00D64B57"/>
    <w:rsid w:val="00D651A1"/>
    <w:rsid w:val="00D65DEA"/>
    <w:rsid w:val="00D66579"/>
    <w:rsid w:val="00D6727F"/>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249"/>
    <w:rsid w:val="00D73419"/>
    <w:rsid w:val="00D73CA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B57"/>
    <w:rsid w:val="00D82CE5"/>
    <w:rsid w:val="00D830CF"/>
    <w:rsid w:val="00D8318E"/>
    <w:rsid w:val="00D831E3"/>
    <w:rsid w:val="00D8342C"/>
    <w:rsid w:val="00D852EE"/>
    <w:rsid w:val="00D85494"/>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594"/>
    <w:rsid w:val="00D967CB"/>
    <w:rsid w:val="00D968D4"/>
    <w:rsid w:val="00D96EE0"/>
    <w:rsid w:val="00D97871"/>
    <w:rsid w:val="00D97ACE"/>
    <w:rsid w:val="00D97BD1"/>
    <w:rsid w:val="00D97D05"/>
    <w:rsid w:val="00D97DAD"/>
    <w:rsid w:val="00DA06B8"/>
    <w:rsid w:val="00DA14A9"/>
    <w:rsid w:val="00DA2164"/>
    <w:rsid w:val="00DA2616"/>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786"/>
    <w:rsid w:val="00DC3EAB"/>
    <w:rsid w:val="00DC478F"/>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07D"/>
    <w:rsid w:val="00DE0159"/>
    <w:rsid w:val="00DE064A"/>
    <w:rsid w:val="00DE082D"/>
    <w:rsid w:val="00DE1410"/>
    <w:rsid w:val="00DE14A6"/>
    <w:rsid w:val="00DE20C6"/>
    <w:rsid w:val="00DE3119"/>
    <w:rsid w:val="00DE3FB3"/>
    <w:rsid w:val="00DE3FF0"/>
    <w:rsid w:val="00DE4105"/>
    <w:rsid w:val="00DE41C4"/>
    <w:rsid w:val="00DE5189"/>
    <w:rsid w:val="00DE7108"/>
    <w:rsid w:val="00DE73C5"/>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4021"/>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4B0F"/>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5D9"/>
    <w:rsid w:val="00E27720"/>
    <w:rsid w:val="00E27801"/>
    <w:rsid w:val="00E27988"/>
    <w:rsid w:val="00E3044A"/>
    <w:rsid w:val="00E30E49"/>
    <w:rsid w:val="00E314A5"/>
    <w:rsid w:val="00E3174A"/>
    <w:rsid w:val="00E31A4A"/>
    <w:rsid w:val="00E3223E"/>
    <w:rsid w:val="00E3290A"/>
    <w:rsid w:val="00E32AE4"/>
    <w:rsid w:val="00E3344A"/>
    <w:rsid w:val="00E33B29"/>
    <w:rsid w:val="00E33B62"/>
    <w:rsid w:val="00E3403D"/>
    <w:rsid w:val="00E344BD"/>
    <w:rsid w:val="00E34E6C"/>
    <w:rsid w:val="00E353E2"/>
    <w:rsid w:val="00E36345"/>
    <w:rsid w:val="00E368BD"/>
    <w:rsid w:val="00E36C86"/>
    <w:rsid w:val="00E36CEB"/>
    <w:rsid w:val="00E36D6F"/>
    <w:rsid w:val="00E37387"/>
    <w:rsid w:val="00E37595"/>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6F8"/>
    <w:rsid w:val="00E46BBC"/>
    <w:rsid w:val="00E4712B"/>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08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4CD"/>
    <w:rsid w:val="00E65E70"/>
    <w:rsid w:val="00E66087"/>
    <w:rsid w:val="00E66A24"/>
    <w:rsid w:val="00E66D79"/>
    <w:rsid w:val="00E66FF9"/>
    <w:rsid w:val="00E6706F"/>
    <w:rsid w:val="00E67856"/>
    <w:rsid w:val="00E679C8"/>
    <w:rsid w:val="00E701D9"/>
    <w:rsid w:val="00E70314"/>
    <w:rsid w:val="00E724E7"/>
    <w:rsid w:val="00E72B41"/>
    <w:rsid w:val="00E7336C"/>
    <w:rsid w:val="00E7347B"/>
    <w:rsid w:val="00E73792"/>
    <w:rsid w:val="00E73D03"/>
    <w:rsid w:val="00E74040"/>
    <w:rsid w:val="00E7471C"/>
    <w:rsid w:val="00E7498A"/>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FCD"/>
    <w:rsid w:val="00EA5051"/>
    <w:rsid w:val="00EA560B"/>
    <w:rsid w:val="00EA5669"/>
    <w:rsid w:val="00EA56A9"/>
    <w:rsid w:val="00EA5CC6"/>
    <w:rsid w:val="00EA5F2C"/>
    <w:rsid w:val="00EA63EF"/>
    <w:rsid w:val="00EA6D1E"/>
    <w:rsid w:val="00EA7420"/>
    <w:rsid w:val="00EB0A89"/>
    <w:rsid w:val="00EB1573"/>
    <w:rsid w:val="00EB1910"/>
    <w:rsid w:val="00EB227B"/>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9AB"/>
    <w:rsid w:val="00EC0B18"/>
    <w:rsid w:val="00EC0E84"/>
    <w:rsid w:val="00EC16E2"/>
    <w:rsid w:val="00EC1BA3"/>
    <w:rsid w:val="00EC1CE7"/>
    <w:rsid w:val="00EC26F1"/>
    <w:rsid w:val="00EC2989"/>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7FB"/>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744"/>
    <w:rsid w:val="00F02BFD"/>
    <w:rsid w:val="00F02D25"/>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D7C"/>
    <w:rsid w:val="00F16E4F"/>
    <w:rsid w:val="00F17244"/>
    <w:rsid w:val="00F17280"/>
    <w:rsid w:val="00F17500"/>
    <w:rsid w:val="00F20226"/>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1D4"/>
    <w:rsid w:val="00F45921"/>
    <w:rsid w:val="00F45B14"/>
    <w:rsid w:val="00F45B91"/>
    <w:rsid w:val="00F45E78"/>
    <w:rsid w:val="00F46639"/>
    <w:rsid w:val="00F46DBB"/>
    <w:rsid w:val="00F476FD"/>
    <w:rsid w:val="00F47716"/>
    <w:rsid w:val="00F50183"/>
    <w:rsid w:val="00F50D92"/>
    <w:rsid w:val="00F5160A"/>
    <w:rsid w:val="00F51765"/>
    <w:rsid w:val="00F51A51"/>
    <w:rsid w:val="00F51BC6"/>
    <w:rsid w:val="00F51CB4"/>
    <w:rsid w:val="00F52236"/>
    <w:rsid w:val="00F52324"/>
    <w:rsid w:val="00F52950"/>
    <w:rsid w:val="00F52C9D"/>
    <w:rsid w:val="00F533F1"/>
    <w:rsid w:val="00F5417E"/>
    <w:rsid w:val="00F55679"/>
    <w:rsid w:val="00F56091"/>
    <w:rsid w:val="00F561E3"/>
    <w:rsid w:val="00F565E6"/>
    <w:rsid w:val="00F56AFA"/>
    <w:rsid w:val="00F56FEA"/>
    <w:rsid w:val="00F575E2"/>
    <w:rsid w:val="00F579FF"/>
    <w:rsid w:val="00F600E0"/>
    <w:rsid w:val="00F605EC"/>
    <w:rsid w:val="00F60A75"/>
    <w:rsid w:val="00F60F60"/>
    <w:rsid w:val="00F612CE"/>
    <w:rsid w:val="00F6133C"/>
    <w:rsid w:val="00F623D7"/>
    <w:rsid w:val="00F624A7"/>
    <w:rsid w:val="00F62AB6"/>
    <w:rsid w:val="00F63CAC"/>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6C11"/>
    <w:rsid w:val="00F77021"/>
    <w:rsid w:val="00F7724A"/>
    <w:rsid w:val="00F77E61"/>
    <w:rsid w:val="00F77E9A"/>
    <w:rsid w:val="00F80221"/>
    <w:rsid w:val="00F8037F"/>
    <w:rsid w:val="00F80C81"/>
    <w:rsid w:val="00F81229"/>
    <w:rsid w:val="00F81265"/>
    <w:rsid w:val="00F815AC"/>
    <w:rsid w:val="00F8187D"/>
    <w:rsid w:val="00F82784"/>
    <w:rsid w:val="00F82912"/>
    <w:rsid w:val="00F83A43"/>
    <w:rsid w:val="00F83B33"/>
    <w:rsid w:val="00F83CAE"/>
    <w:rsid w:val="00F840BF"/>
    <w:rsid w:val="00F8427A"/>
    <w:rsid w:val="00F843DF"/>
    <w:rsid w:val="00F84899"/>
    <w:rsid w:val="00F85284"/>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DBC"/>
    <w:rsid w:val="00F93E41"/>
    <w:rsid w:val="00F94206"/>
    <w:rsid w:val="00F94644"/>
    <w:rsid w:val="00F952E4"/>
    <w:rsid w:val="00F9537B"/>
    <w:rsid w:val="00F9576A"/>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A7C5F"/>
    <w:rsid w:val="00FA7C9A"/>
    <w:rsid w:val="00FB033F"/>
    <w:rsid w:val="00FB04B3"/>
    <w:rsid w:val="00FB12E3"/>
    <w:rsid w:val="00FB1570"/>
    <w:rsid w:val="00FB193B"/>
    <w:rsid w:val="00FB1FBC"/>
    <w:rsid w:val="00FB27B7"/>
    <w:rsid w:val="00FB28F1"/>
    <w:rsid w:val="00FB35E3"/>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50D"/>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141E"/>
    <w:rsid w:val="00FE144E"/>
    <w:rsid w:val="00FE1768"/>
    <w:rsid w:val="00FE24F4"/>
    <w:rsid w:val="00FE2560"/>
    <w:rsid w:val="00FE29AD"/>
    <w:rsid w:val="00FE35D0"/>
    <w:rsid w:val="00FE42ED"/>
    <w:rsid w:val="00FE4E06"/>
    <w:rsid w:val="00FE55A7"/>
    <w:rsid w:val="00FE5C5A"/>
    <w:rsid w:val="00FE6432"/>
    <w:rsid w:val="00FE72A0"/>
    <w:rsid w:val="00FE76F9"/>
    <w:rsid w:val="00FF0050"/>
    <w:rsid w:val="00FF0075"/>
    <w:rsid w:val="00FF045F"/>
    <w:rsid w:val="00FF07E2"/>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8656475">
      <w:bodyDiv w:val="1"/>
      <w:marLeft w:val="0"/>
      <w:marRight w:val="0"/>
      <w:marTop w:val="0"/>
      <w:marBottom w:val="0"/>
      <w:divBdr>
        <w:top w:val="none" w:sz="0" w:space="0" w:color="auto"/>
        <w:left w:val="none" w:sz="0" w:space="0" w:color="auto"/>
        <w:bottom w:val="none" w:sz="0" w:space="0" w:color="auto"/>
        <w:right w:val="none" w:sz="0" w:space="0" w:color="auto"/>
      </w:divBdr>
      <w:divsChild>
        <w:div w:id="1892040334">
          <w:marLeft w:val="0"/>
          <w:marRight w:val="0"/>
          <w:marTop w:val="0"/>
          <w:marBottom w:val="0"/>
          <w:divBdr>
            <w:top w:val="none" w:sz="0" w:space="0" w:color="auto"/>
            <w:left w:val="none" w:sz="0" w:space="0" w:color="auto"/>
            <w:bottom w:val="none" w:sz="0" w:space="0" w:color="auto"/>
            <w:right w:val="none" w:sz="0" w:space="0" w:color="auto"/>
          </w:divBdr>
          <w:divsChild>
            <w:div w:id="934049036">
              <w:marLeft w:val="0"/>
              <w:marRight w:val="0"/>
              <w:marTop w:val="0"/>
              <w:marBottom w:val="0"/>
              <w:divBdr>
                <w:top w:val="none" w:sz="0" w:space="0" w:color="auto"/>
                <w:left w:val="none" w:sz="0" w:space="0" w:color="auto"/>
                <w:bottom w:val="none" w:sz="0" w:space="0" w:color="auto"/>
                <w:right w:val="none" w:sz="0" w:space="0" w:color="auto"/>
              </w:divBdr>
              <w:divsChild>
                <w:div w:id="16041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199E50E-0451-4014-B157-3B17140B3313}"/>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45</TotalTime>
  <Pages>21</Pages>
  <Words>8542</Words>
  <Characters>46983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7</cp:revision>
  <cp:lastPrinted>2020-01-30T15:05:00Z</cp:lastPrinted>
  <dcterms:created xsi:type="dcterms:W3CDTF">2021-08-24T15:40:00Z</dcterms:created>
  <dcterms:modified xsi:type="dcterms:W3CDTF">2021-08-24T16:56:00Z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