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A06D8" w14:textId="77777777" w:rsidR="00A71CEA" w:rsidRPr="00A03A61" w:rsidRDefault="00A71CEA" w:rsidP="00A71CEA">
      <w:pPr>
        <w:jc w:val="right"/>
        <w:rPr>
          <w:rFonts w:ascii="Arial" w:hAnsi="Arial" w:cs="Arial"/>
          <w:b/>
          <w:color w:val="000000" w:themeColor="text1"/>
          <w:sz w:val="16"/>
          <w:szCs w:val="16"/>
          <w:lang w:eastAsia="es-ES"/>
        </w:rPr>
      </w:pPr>
      <w:r w:rsidRPr="00A03A61">
        <w:rPr>
          <w:rFonts w:ascii="Arial" w:hAnsi="Arial" w:cs="Arial"/>
          <w:b/>
          <w:color w:val="000000" w:themeColor="text1"/>
          <w:sz w:val="16"/>
          <w:szCs w:val="16"/>
          <w:lang w:eastAsia="es-ES"/>
        </w:rPr>
        <w:t>CCE-DES-FM-17</w:t>
      </w:r>
    </w:p>
    <w:p w14:paraId="36BB2BCB" w14:textId="77777777" w:rsidR="00B8408D" w:rsidRPr="00A03A61" w:rsidRDefault="00B8408D" w:rsidP="00B8408D">
      <w:pPr>
        <w:pStyle w:val="Textoindependiente"/>
        <w:spacing w:before="3"/>
        <w:rPr>
          <w:b/>
          <w:bCs/>
          <w:sz w:val="16"/>
        </w:rPr>
      </w:pPr>
    </w:p>
    <w:p w14:paraId="24F38834" w14:textId="77777777" w:rsidR="005C5C68" w:rsidRPr="00A03A61" w:rsidRDefault="005C5C68" w:rsidP="005C5C68">
      <w:pPr>
        <w:jc w:val="both"/>
        <w:rPr>
          <w:rFonts w:ascii="Arial" w:eastAsia="Calibri" w:hAnsi="Arial" w:cs="Arial"/>
          <w:bCs/>
          <w:sz w:val="20"/>
          <w:szCs w:val="20"/>
        </w:rPr>
      </w:pPr>
    </w:p>
    <w:p w14:paraId="740F95D6" w14:textId="77777777" w:rsidR="00E5012F" w:rsidRPr="00742BED" w:rsidRDefault="00E5012F" w:rsidP="00E5012F">
      <w:pPr>
        <w:jc w:val="both"/>
        <w:rPr>
          <w:rFonts w:ascii="Arial" w:eastAsia="Calibri" w:hAnsi="Arial" w:cs="Arial"/>
          <w:b/>
          <w:sz w:val="22"/>
          <w:lang w:val="es-ES_tradnl"/>
        </w:rPr>
      </w:pPr>
      <w:r w:rsidRPr="00742BED">
        <w:rPr>
          <w:rFonts w:ascii="Arial" w:eastAsia="Calibri" w:hAnsi="Arial" w:cs="Arial"/>
          <w:b/>
          <w:sz w:val="22"/>
          <w:lang w:val="es-ES_tradnl"/>
        </w:rPr>
        <w:t>CONCURSO DE MÉRITOS – Concepto – Modalidades</w:t>
      </w:r>
    </w:p>
    <w:p w14:paraId="14F427D9" w14:textId="77777777" w:rsidR="00E5012F" w:rsidRPr="00742BED" w:rsidRDefault="00E5012F" w:rsidP="00E5012F">
      <w:pPr>
        <w:jc w:val="both"/>
        <w:rPr>
          <w:rFonts w:ascii="Arial" w:eastAsia="Calibri" w:hAnsi="Arial" w:cs="Arial"/>
          <w:b/>
          <w:sz w:val="22"/>
          <w:lang w:val="es-ES_tradnl"/>
        </w:rPr>
      </w:pPr>
    </w:p>
    <w:p w14:paraId="75A976C9" w14:textId="77777777" w:rsidR="00E5012F" w:rsidRPr="00742BED" w:rsidRDefault="00E5012F" w:rsidP="00015F47">
      <w:pPr>
        <w:spacing w:after="120"/>
        <w:jc w:val="both"/>
        <w:rPr>
          <w:rFonts w:ascii="Arial" w:hAnsi="Arial" w:cs="Arial"/>
          <w:color w:val="000000" w:themeColor="text1"/>
          <w:sz w:val="20"/>
          <w:szCs w:val="20"/>
          <w:lang w:val="es-ES_tradnl"/>
        </w:rPr>
      </w:pPr>
      <w:r w:rsidRPr="00742BED">
        <w:rPr>
          <w:rFonts w:ascii="Arial" w:hAnsi="Arial" w:cs="Arial"/>
          <w:color w:val="000000" w:themeColor="text1"/>
          <w:sz w:val="20"/>
          <w:szCs w:val="20"/>
          <w:lang w:val="es-ES_tradnl"/>
        </w:rPr>
        <w:t xml:space="preserve">El </w:t>
      </w:r>
      <w:r w:rsidRPr="00742BED">
        <w:rPr>
          <w:rFonts w:ascii="Arial" w:hAnsi="Arial" w:cs="Arial"/>
          <w:i/>
          <w:iCs/>
          <w:color w:val="000000" w:themeColor="text1"/>
          <w:sz w:val="20"/>
          <w:szCs w:val="20"/>
          <w:lang w:val="es-ES_tradnl"/>
        </w:rPr>
        <w:t xml:space="preserve">concurso de méritos </w:t>
      </w:r>
      <w:r w:rsidRPr="00742BED">
        <w:rPr>
          <w:rFonts w:ascii="Arial" w:hAnsi="Arial" w:cs="Arial"/>
          <w:color w:val="000000" w:themeColor="text1"/>
          <w:sz w:val="20"/>
          <w:szCs w:val="20"/>
          <w:lang w:val="es-ES_tradnl"/>
        </w:rPr>
        <w:t>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w:t>
      </w:r>
    </w:p>
    <w:p w14:paraId="6899649F" w14:textId="77777777" w:rsidR="00E5012F" w:rsidRPr="00742BED" w:rsidRDefault="00E5012F" w:rsidP="00E5012F">
      <w:pPr>
        <w:jc w:val="both"/>
        <w:rPr>
          <w:rFonts w:ascii="Arial" w:hAnsi="Arial" w:cs="Arial"/>
          <w:color w:val="000000" w:themeColor="text1"/>
          <w:sz w:val="20"/>
          <w:szCs w:val="20"/>
          <w:lang w:val="es-ES_tradnl"/>
        </w:rPr>
      </w:pPr>
      <w:r w:rsidRPr="00742BED">
        <w:rPr>
          <w:rFonts w:ascii="Arial" w:hAnsi="Arial" w:cs="Arial"/>
          <w:color w:val="000000" w:themeColor="text1"/>
          <w:sz w:val="20"/>
          <w:szCs w:val="20"/>
          <w:lang w:val="es-ES_tradnl"/>
        </w:rPr>
        <w:t xml:space="preserve">El Libro 2, Parte 2, Título 1, Capítulo 2, Sección 1, Subsección 3 del Decreto 1082 de 2015, regula las distintas modalidades del concurso de méritos: i) concurso de méritos abierto o sin precalificación, ii) concurso de méritos cerrado o con precalificación y iii) concurso de méritos «para la selección de consultores de diseño, planos, anteproyectos y proyectos arquitectónicos». El primero está regulado en los artículos 2.2.1.2.1.3.1. y 2.2.1.2.1.3.2. </w:t>
      </w:r>
      <w:r w:rsidRPr="00742BED">
        <w:rPr>
          <w:rFonts w:ascii="Arial" w:hAnsi="Arial" w:cs="Arial"/>
          <w:i/>
          <w:iCs/>
          <w:color w:val="000000" w:themeColor="text1"/>
          <w:sz w:val="20"/>
          <w:szCs w:val="20"/>
          <w:lang w:val="es-ES_tradnl"/>
        </w:rPr>
        <w:t>ibídem</w:t>
      </w:r>
      <w:r w:rsidRPr="00742BED">
        <w:rPr>
          <w:rFonts w:ascii="Arial" w:hAnsi="Arial" w:cs="Arial"/>
          <w:color w:val="000000" w:themeColor="text1"/>
          <w:sz w:val="20"/>
          <w:szCs w:val="20"/>
          <w:lang w:val="es-ES_tradnl"/>
        </w:rPr>
        <w:t xml:space="preserve">. El segundo, además de los dos artículos anteriores, lo regulan los artículos 2.2.1.2.1.3.3. a 2.2.1.2.1.3.7. </w:t>
      </w:r>
      <w:proofErr w:type="spellStart"/>
      <w:r w:rsidRPr="00742BED">
        <w:rPr>
          <w:rFonts w:ascii="Arial" w:hAnsi="Arial" w:cs="Arial"/>
          <w:i/>
          <w:iCs/>
          <w:color w:val="000000" w:themeColor="text1"/>
          <w:sz w:val="20"/>
          <w:szCs w:val="20"/>
          <w:lang w:val="es-ES_tradnl"/>
        </w:rPr>
        <w:t>ejusdem</w:t>
      </w:r>
      <w:proofErr w:type="spellEnd"/>
      <w:r w:rsidRPr="00742BED">
        <w:rPr>
          <w:rFonts w:ascii="Arial" w:hAnsi="Arial" w:cs="Arial"/>
          <w:color w:val="000000" w:themeColor="text1"/>
          <w:sz w:val="20"/>
          <w:szCs w:val="20"/>
          <w:lang w:val="es-ES_tradnl"/>
        </w:rPr>
        <w:t>. El tercero lo regulan los artículos 2.2.1.2.1.3.8. a 2.2.1.2.1.3.25. del mencionado Decreto.</w:t>
      </w:r>
    </w:p>
    <w:p w14:paraId="5FB6189A" w14:textId="77777777" w:rsidR="00E5012F" w:rsidRPr="00742BED" w:rsidRDefault="00E5012F" w:rsidP="00E5012F">
      <w:pPr>
        <w:jc w:val="both"/>
        <w:rPr>
          <w:rFonts w:ascii="Arial" w:eastAsia="Calibri" w:hAnsi="Arial" w:cs="Arial"/>
          <w:b/>
          <w:sz w:val="22"/>
          <w:lang w:val="es-ES_tradnl"/>
        </w:rPr>
      </w:pPr>
    </w:p>
    <w:p w14:paraId="67DAC660" w14:textId="77777777" w:rsidR="00E5012F" w:rsidRPr="002B40B7" w:rsidRDefault="00E5012F" w:rsidP="00E5012F">
      <w:pPr>
        <w:jc w:val="both"/>
        <w:rPr>
          <w:rFonts w:ascii="Arial" w:eastAsia="Calibri" w:hAnsi="Arial" w:cs="Arial"/>
          <w:b/>
          <w:sz w:val="22"/>
          <w:szCs w:val="22"/>
          <w:lang w:val="es-ES_tradnl"/>
        </w:rPr>
      </w:pPr>
      <w:r w:rsidRPr="002B40B7">
        <w:rPr>
          <w:rFonts w:ascii="Arial" w:eastAsia="Calibri" w:hAnsi="Arial" w:cs="Arial"/>
          <w:b/>
          <w:sz w:val="22"/>
          <w:szCs w:val="22"/>
          <w:lang w:val="es-ES_tradnl"/>
        </w:rPr>
        <w:t xml:space="preserve">CONCURSO DE MÉRITOS – Decreto 1082 de 2015 – </w:t>
      </w:r>
      <w:r w:rsidRPr="00015F47">
        <w:rPr>
          <w:rFonts w:ascii="Arial" w:hAnsi="Arial" w:cs="Arial"/>
          <w:b/>
          <w:color w:val="000000" w:themeColor="text1"/>
          <w:sz w:val="22"/>
          <w:szCs w:val="22"/>
          <w:lang w:val="es-ES_tradnl"/>
        </w:rPr>
        <w:t xml:space="preserve">artículo 2.2.1.2.1.3.2 – </w:t>
      </w:r>
      <w:r w:rsidRPr="002B40B7">
        <w:rPr>
          <w:rFonts w:ascii="Arial" w:eastAsia="Calibri" w:hAnsi="Arial" w:cs="Arial"/>
          <w:b/>
          <w:sz w:val="22"/>
          <w:szCs w:val="22"/>
          <w:lang w:val="es-ES_tradnl"/>
        </w:rPr>
        <w:t>Suspensión provisional</w:t>
      </w:r>
    </w:p>
    <w:p w14:paraId="4EF9496F" w14:textId="77777777" w:rsidR="00E5012F" w:rsidRPr="00015F47" w:rsidRDefault="00E5012F" w:rsidP="00015F47">
      <w:pPr>
        <w:jc w:val="both"/>
        <w:rPr>
          <w:rFonts w:ascii="Arial" w:eastAsia="Calibri" w:hAnsi="Arial" w:cs="Arial"/>
          <w:b/>
          <w:sz w:val="20"/>
          <w:szCs w:val="20"/>
          <w:lang w:val="es-ES_tradnl"/>
        </w:rPr>
      </w:pPr>
    </w:p>
    <w:p w14:paraId="1A0258D2" w14:textId="2FA67CDC" w:rsidR="00015F47" w:rsidRPr="00015F47" w:rsidRDefault="00015F47" w:rsidP="00015F47">
      <w:pPr>
        <w:spacing w:before="120" w:after="120"/>
        <w:jc w:val="both"/>
        <w:rPr>
          <w:rFonts w:ascii="Arial" w:hAnsi="Arial" w:cs="Arial"/>
          <w:color w:val="000000" w:themeColor="text1"/>
          <w:sz w:val="20"/>
          <w:szCs w:val="20"/>
          <w:lang w:val="es-ES_tradnl"/>
        </w:rPr>
      </w:pPr>
      <w:r w:rsidRPr="00015F47">
        <w:rPr>
          <w:rFonts w:ascii="Arial" w:hAnsi="Arial" w:cs="Arial"/>
          <w:color w:val="000000" w:themeColor="text1"/>
          <w:sz w:val="20"/>
          <w:szCs w:val="20"/>
          <w:lang w:val="es-ES_tradnl"/>
        </w:rPr>
        <w:t>De este modo, el Consejo de Estado consideró que los numerales 3, 4 y 5 vulneraban el artículo 5, numeral 4, último inciso, de la Ley 1150 de 2007, pues señaló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de lo contencioso administrativo explicó que la verificación de la coherencia del precio con la disponibilidad presupuestal y la necesidad de que se logre un acuerdo en relación con el mismo desconocía el principio de selección objetiva, convirtiendo el precio en un factor de selección. En lo que respecta al artículo 6, este violaría especialmente el artículo 25.18 del Estatuto General y el artículo 5 de la Ley 1150 de 2007, pues la declaratoria de desierta solo procede cuando no es posible la selección objetiva del contratista.</w:t>
      </w:r>
    </w:p>
    <w:p w14:paraId="1B777C50" w14:textId="77777777" w:rsidR="00E5012F" w:rsidRPr="00015F47" w:rsidRDefault="00E5012F" w:rsidP="00015F47">
      <w:pPr>
        <w:jc w:val="both"/>
        <w:rPr>
          <w:rFonts w:ascii="Arial" w:eastAsia="Calibri" w:hAnsi="Arial" w:cs="Arial"/>
          <w:color w:val="000000" w:themeColor="text1"/>
          <w:sz w:val="20"/>
          <w:szCs w:val="20"/>
          <w:lang w:val="es-ES_tradnl"/>
        </w:rPr>
      </w:pPr>
      <w:r w:rsidRPr="00015F47">
        <w:rPr>
          <w:rFonts w:ascii="Arial" w:hAnsi="Arial" w:cs="Arial"/>
          <w:color w:val="000000" w:themeColor="text1"/>
          <w:sz w:val="20"/>
          <w:szCs w:val="20"/>
          <w:lang w:val="es-ES_tradnl"/>
        </w:rPr>
        <w:t xml:space="preserve">En consecuencia, </w:t>
      </w:r>
      <w:r w:rsidRPr="00015F47">
        <w:rPr>
          <w:rFonts w:ascii="Arial" w:eastAsia="Calibri" w:hAnsi="Arial" w:cs="Arial"/>
          <w:color w:val="000000" w:themeColor="text1"/>
          <w:sz w:val="20"/>
          <w:szCs w:val="20"/>
          <w:lang w:val="es-ES_tradnl"/>
        </w:rPr>
        <w:t>con los autos de suspensión provisional, el concurso de méritos abierto debía desarrollarse aplicando únicamente los numerales 1 y 2 del</w:t>
      </w:r>
      <w:r w:rsidRPr="00015F47">
        <w:rPr>
          <w:rFonts w:ascii="Arial" w:hAnsi="Arial" w:cs="Arial"/>
          <w:color w:val="000000" w:themeColor="text1"/>
          <w:sz w:val="20"/>
          <w:szCs w:val="20"/>
          <w:lang w:val="es-ES_tradnl"/>
        </w:rPr>
        <w:t xml:space="preserve"> artículo 2.2.1.2.1.3.2 del Decreto 1082 de 2015. Por lo tanto, </w:t>
      </w:r>
      <w:r w:rsidRPr="00015F47">
        <w:rPr>
          <w:rFonts w:ascii="Arial" w:hAnsi="Arial" w:cs="Arial"/>
          <w:i/>
          <w:iCs/>
          <w:color w:val="000000" w:themeColor="text1"/>
          <w:sz w:val="20"/>
          <w:szCs w:val="20"/>
          <w:lang w:val="es-ES_tradnl"/>
        </w:rPr>
        <w:t>siempre que estuviera dentro del presupuesto oficial</w:t>
      </w:r>
      <w:r w:rsidRPr="00015F47">
        <w:rPr>
          <w:rFonts w:ascii="Arial" w:hAnsi="Arial" w:cs="Arial"/>
          <w:color w:val="000000" w:themeColor="text1"/>
          <w:sz w:val="20"/>
          <w:szCs w:val="20"/>
          <w:lang w:val="es-ES_tradnl"/>
        </w:rPr>
        <w:t>, la entidad estatal debía adjudicar el contrato al proponente que ocupara el primer puesto en el orden de elegibilidad, independientemente del valor ofrecido</w:t>
      </w:r>
      <w:r w:rsidRPr="00015F47">
        <w:rPr>
          <w:rFonts w:ascii="Arial" w:eastAsia="Calibri" w:hAnsi="Arial" w:cs="Arial"/>
          <w:color w:val="000000" w:themeColor="text1"/>
          <w:sz w:val="20"/>
          <w:szCs w:val="20"/>
          <w:lang w:val="es-ES_tradnl"/>
        </w:rPr>
        <w:t>.</w:t>
      </w:r>
    </w:p>
    <w:p w14:paraId="51E8BC63" w14:textId="77777777" w:rsidR="00E5012F" w:rsidRPr="00015F47" w:rsidRDefault="00E5012F" w:rsidP="00015F47">
      <w:pPr>
        <w:jc w:val="both"/>
        <w:rPr>
          <w:rFonts w:ascii="Arial" w:eastAsia="Calibri" w:hAnsi="Arial" w:cs="Arial"/>
          <w:b/>
          <w:color w:val="000000" w:themeColor="text1"/>
          <w:sz w:val="20"/>
          <w:szCs w:val="20"/>
          <w:lang w:val="es-ES_tradnl"/>
        </w:rPr>
      </w:pPr>
    </w:p>
    <w:p w14:paraId="479F0D98" w14:textId="4494B454" w:rsidR="00015F47" w:rsidRPr="00015F47" w:rsidRDefault="00E5012F" w:rsidP="00015F47">
      <w:pPr>
        <w:jc w:val="both"/>
        <w:rPr>
          <w:rFonts w:ascii="Arial" w:eastAsia="Calibri" w:hAnsi="Arial" w:cs="Arial"/>
          <w:b/>
          <w:sz w:val="22"/>
          <w:szCs w:val="22"/>
          <w:lang w:val="es-ES_tradnl"/>
        </w:rPr>
      </w:pPr>
      <w:r w:rsidRPr="00015F47">
        <w:rPr>
          <w:rFonts w:ascii="Arial" w:eastAsia="Calibri" w:hAnsi="Arial" w:cs="Arial"/>
          <w:b/>
          <w:sz w:val="22"/>
          <w:szCs w:val="22"/>
          <w:lang w:val="es-ES_tradnl"/>
        </w:rPr>
        <w:t xml:space="preserve">CONCURSO DE MÉRITOS – Decreto 1082 de 2015 – </w:t>
      </w:r>
      <w:r w:rsidRPr="00015F47">
        <w:rPr>
          <w:rFonts w:ascii="Arial" w:hAnsi="Arial" w:cs="Arial"/>
          <w:b/>
          <w:color w:val="000000" w:themeColor="text1"/>
          <w:sz w:val="22"/>
          <w:szCs w:val="22"/>
          <w:lang w:val="es-ES_tradnl"/>
        </w:rPr>
        <w:t xml:space="preserve">artículo 2.2.1.2.1.3.2 – </w:t>
      </w:r>
      <w:r w:rsidRPr="00015F47">
        <w:rPr>
          <w:rFonts w:ascii="Arial" w:eastAsia="Calibri" w:hAnsi="Arial" w:cs="Arial"/>
          <w:b/>
          <w:sz w:val="22"/>
          <w:szCs w:val="22"/>
          <w:lang w:val="es-ES_tradnl"/>
        </w:rPr>
        <w:t>Decreto 399 de 2021 – Artículo 2</w:t>
      </w:r>
    </w:p>
    <w:p w14:paraId="792BA371" w14:textId="77777777" w:rsidR="00E5012F" w:rsidRPr="00015F47" w:rsidRDefault="00E5012F" w:rsidP="00015F47">
      <w:pPr>
        <w:jc w:val="both"/>
        <w:rPr>
          <w:rFonts w:ascii="Arial" w:hAnsi="Arial" w:cs="Arial"/>
          <w:color w:val="000000" w:themeColor="text1"/>
          <w:sz w:val="20"/>
          <w:szCs w:val="20"/>
          <w:lang w:val="es-ES_tradnl"/>
        </w:rPr>
      </w:pPr>
    </w:p>
    <w:p w14:paraId="3AC885DC" w14:textId="2F3F93DE" w:rsidR="00015F47" w:rsidRPr="00015F47" w:rsidRDefault="00015F47" w:rsidP="00015F47">
      <w:pPr>
        <w:spacing w:after="120"/>
        <w:jc w:val="both"/>
        <w:rPr>
          <w:rFonts w:ascii="Arial" w:eastAsia="Calibri" w:hAnsi="Arial" w:cs="Arial"/>
          <w:color w:val="000000" w:themeColor="text1"/>
          <w:sz w:val="20"/>
          <w:szCs w:val="20"/>
          <w:lang w:val="es-ES_tradnl"/>
        </w:rPr>
      </w:pPr>
      <w:r w:rsidRPr="00015F47">
        <w:rPr>
          <w:rFonts w:ascii="Arial" w:eastAsia="Calibri" w:hAnsi="Arial" w:cs="Arial"/>
          <w:color w:val="000000" w:themeColor="text1"/>
          <w:sz w:val="20"/>
          <w:szCs w:val="20"/>
          <w:lang w:val="es-ES_tradnl"/>
        </w:rPr>
        <w:t>Como se observa, el artículo 2 del Decreto 399 de 2021 reformó la reglamentación del concurso de méritos, para adecuarla a los pronunciamientos del Consejo de Estado que habían suspendido provisionalmente algunos numerales del artículo 2.2.1.2.1.3.2. del Decreto 1082 de 2015. A diferencia de lo que establecía este artículo en su redacción inicial, con la entrada en vigor del artículo 2 del Decreto 399 de 2021 se observan los siguientes cambios:</w:t>
      </w:r>
    </w:p>
    <w:p w14:paraId="39C42F80" w14:textId="77777777" w:rsidR="00015F47" w:rsidRPr="00015F47" w:rsidRDefault="00015F47" w:rsidP="00015F47">
      <w:pPr>
        <w:spacing w:before="120" w:after="120"/>
        <w:ind w:firstLine="709"/>
        <w:jc w:val="both"/>
        <w:rPr>
          <w:rFonts w:ascii="Arial" w:eastAsia="Calibri" w:hAnsi="Arial" w:cs="Arial"/>
          <w:color w:val="000000" w:themeColor="text1"/>
          <w:sz w:val="20"/>
          <w:szCs w:val="20"/>
          <w:lang w:val="es-ES_tradnl"/>
        </w:rPr>
      </w:pPr>
      <w:r w:rsidRPr="00015F47">
        <w:rPr>
          <w:rFonts w:ascii="Arial" w:eastAsia="Calibri" w:hAnsi="Arial" w:cs="Arial"/>
          <w:color w:val="000000" w:themeColor="text1"/>
          <w:sz w:val="20"/>
          <w:szCs w:val="20"/>
          <w:lang w:val="es-ES_tradnl"/>
        </w:rPr>
        <w:lastRenderedPageBreak/>
        <w:t>i) El informe de evaluación, que la entidad debe publicar durante tres (3) días hábiles, debe contener ya no solamente la calificación técnica y el orden de elegibilidad, sino «[…] la evaluación de las ofertas frente a todos los requisitos exigidos en el pliego de condiciones, incluyendo los requisitos habilitantes y los de asignación de puntaje». Esta nueva disposición permite que los interesados ejerzan su derecho a conocer el informe de evaluación y a formular las observaciones que consideren pertinentes.</w:t>
      </w:r>
    </w:p>
    <w:p w14:paraId="365F0E87" w14:textId="77777777" w:rsidR="00015F47" w:rsidRPr="00015F47" w:rsidRDefault="00015F47" w:rsidP="00015F47">
      <w:pPr>
        <w:spacing w:before="120" w:after="120"/>
        <w:ind w:firstLine="709"/>
        <w:jc w:val="both"/>
        <w:rPr>
          <w:rFonts w:ascii="Arial" w:eastAsia="Calibri" w:hAnsi="Arial" w:cs="Arial"/>
          <w:color w:val="000000" w:themeColor="text1"/>
          <w:sz w:val="20"/>
          <w:szCs w:val="20"/>
          <w:lang w:val="es-ES_tradnl"/>
        </w:rPr>
      </w:pPr>
      <w:r w:rsidRPr="00015F47">
        <w:rPr>
          <w:rFonts w:ascii="Arial" w:eastAsia="Calibri" w:hAnsi="Arial" w:cs="Arial"/>
          <w:color w:val="000000" w:themeColor="text1"/>
          <w:sz w:val="20"/>
          <w:szCs w:val="20"/>
          <w:lang w:val="es-ES_tradnl"/>
        </w:rPr>
        <w:t>ii)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En su lugar, señala que «Una vez resueltas las observaciones al informe de evaluación, la entidad adjudicará el contrato mediante acto administrativo al oferente que haya cumplido todos los requisitos exigidos en el pliego de condiciones y haya obtenido el mayor puntaje». O sea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77BD2064" w14:textId="77777777" w:rsidR="00015F47" w:rsidRPr="00015F47" w:rsidRDefault="00015F47" w:rsidP="00015F47">
      <w:pPr>
        <w:spacing w:before="120" w:after="120"/>
        <w:ind w:firstLine="709"/>
        <w:jc w:val="both"/>
        <w:rPr>
          <w:rFonts w:ascii="Arial" w:eastAsia="Calibri" w:hAnsi="Arial" w:cs="Arial"/>
          <w:color w:val="000000" w:themeColor="text1"/>
          <w:sz w:val="20"/>
          <w:szCs w:val="20"/>
          <w:lang w:val="es-ES_tradnl"/>
        </w:rPr>
      </w:pPr>
      <w:r w:rsidRPr="00015F47">
        <w:rPr>
          <w:rFonts w:ascii="Arial" w:eastAsia="Calibri" w:hAnsi="Arial" w:cs="Arial"/>
          <w:color w:val="000000" w:themeColor="text1"/>
          <w:sz w:val="20"/>
          <w:szCs w:val="20"/>
          <w:lang w:val="es-ES_tradnl"/>
        </w:rPr>
        <w:t>iii)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w:t>
      </w:r>
    </w:p>
    <w:p w14:paraId="4968A12E" w14:textId="77777777" w:rsidR="00E5012F" w:rsidRPr="00742BED" w:rsidRDefault="00E5012F" w:rsidP="00E5012F">
      <w:pPr>
        <w:jc w:val="both"/>
        <w:rPr>
          <w:rFonts w:ascii="Arial" w:eastAsia="Calibri" w:hAnsi="Arial" w:cs="Arial"/>
          <w:b/>
          <w:sz w:val="22"/>
          <w:lang w:val="es-ES_tradnl"/>
        </w:rPr>
      </w:pPr>
    </w:p>
    <w:p w14:paraId="1ED341D9" w14:textId="7A6CC012" w:rsidR="00E5012F" w:rsidRDefault="00E5012F" w:rsidP="00E5012F">
      <w:pPr>
        <w:jc w:val="both"/>
        <w:rPr>
          <w:rFonts w:ascii="Arial" w:eastAsia="Calibri" w:hAnsi="Arial" w:cs="Arial"/>
          <w:color w:val="000000" w:themeColor="text1"/>
          <w:sz w:val="20"/>
          <w:szCs w:val="20"/>
          <w:lang w:val="es-ES_tradnl"/>
        </w:rPr>
      </w:pPr>
    </w:p>
    <w:p w14:paraId="39115FEF" w14:textId="6A9A3527" w:rsidR="00E5012F" w:rsidRDefault="00E5012F" w:rsidP="00E5012F">
      <w:pPr>
        <w:jc w:val="both"/>
        <w:rPr>
          <w:rFonts w:ascii="Arial" w:eastAsia="Calibri" w:hAnsi="Arial" w:cs="Arial"/>
          <w:color w:val="000000" w:themeColor="text1"/>
          <w:sz w:val="20"/>
          <w:szCs w:val="20"/>
          <w:lang w:val="es-ES_tradnl"/>
        </w:rPr>
      </w:pPr>
    </w:p>
    <w:p w14:paraId="38F6177F" w14:textId="53F0466A" w:rsidR="00E5012F" w:rsidRDefault="00E5012F" w:rsidP="00E5012F">
      <w:pPr>
        <w:jc w:val="both"/>
        <w:rPr>
          <w:rFonts w:ascii="Arial" w:eastAsia="Calibri" w:hAnsi="Arial" w:cs="Arial"/>
          <w:color w:val="000000" w:themeColor="text1"/>
          <w:sz w:val="20"/>
          <w:szCs w:val="20"/>
          <w:lang w:val="es-ES_tradnl"/>
        </w:rPr>
      </w:pPr>
    </w:p>
    <w:p w14:paraId="43CA4432" w14:textId="41A71D63" w:rsidR="00E5012F" w:rsidRDefault="00E5012F" w:rsidP="00E5012F">
      <w:pPr>
        <w:jc w:val="both"/>
        <w:rPr>
          <w:rFonts w:ascii="Arial" w:eastAsia="Calibri" w:hAnsi="Arial" w:cs="Arial"/>
          <w:color w:val="000000" w:themeColor="text1"/>
          <w:sz w:val="20"/>
          <w:szCs w:val="20"/>
          <w:lang w:val="es-ES_tradnl"/>
        </w:rPr>
      </w:pPr>
    </w:p>
    <w:p w14:paraId="431F3608" w14:textId="1F68AD4C" w:rsidR="00E5012F" w:rsidRDefault="00E5012F" w:rsidP="00E5012F">
      <w:pPr>
        <w:jc w:val="both"/>
        <w:rPr>
          <w:rFonts w:ascii="Arial" w:eastAsia="Calibri" w:hAnsi="Arial" w:cs="Arial"/>
          <w:color w:val="000000" w:themeColor="text1"/>
          <w:sz w:val="20"/>
          <w:szCs w:val="20"/>
          <w:lang w:val="es-ES_tradnl"/>
        </w:rPr>
      </w:pPr>
    </w:p>
    <w:p w14:paraId="0DCCEEAA" w14:textId="09ECB020" w:rsidR="00E5012F" w:rsidRDefault="00E5012F" w:rsidP="00E5012F">
      <w:pPr>
        <w:jc w:val="both"/>
        <w:rPr>
          <w:rFonts w:ascii="Arial" w:eastAsia="Calibri" w:hAnsi="Arial" w:cs="Arial"/>
          <w:color w:val="000000" w:themeColor="text1"/>
          <w:sz w:val="20"/>
          <w:szCs w:val="20"/>
          <w:lang w:val="es-ES_tradnl"/>
        </w:rPr>
      </w:pPr>
    </w:p>
    <w:p w14:paraId="582D7039" w14:textId="6237282D" w:rsidR="00E5012F" w:rsidRDefault="00E5012F" w:rsidP="00E5012F">
      <w:pPr>
        <w:jc w:val="both"/>
        <w:rPr>
          <w:rFonts w:ascii="Arial" w:eastAsia="Calibri" w:hAnsi="Arial" w:cs="Arial"/>
          <w:color w:val="000000" w:themeColor="text1"/>
          <w:sz w:val="20"/>
          <w:szCs w:val="20"/>
          <w:lang w:val="es-ES_tradnl"/>
        </w:rPr>
      </w:pPr>
    </w:p>
    <w:p w14:paraId="790D2EA5" w14:textId="09C36A27" w:rsidR="00E5012F" w:rsidRDefault="00E5012F" w:rsidP="00E5012F">
      <w:pPr>
        <w:jc w:val="both"/>
        <w:rPr>
          <w:rFonts w:ascii="Arial" w:eastAsia="Calibri" w:hAnsi="Arial" w:cs="Arial"/>
          <w:color w:val="000000" w:themeColor="text1"/>
          <w:sz w:val="20"/>
          <w:szCs w:val="20"/>
          <w:lang w:val="es-ES_tradnl"/>
        </w:rPr>
      </w:pPr>
    </w:p>
    <w:p w14:paraId="28CC1789" w14:textId="38AFB38B" w:rsidR="00E5012F" w:rsidRDefault="00E5012F" w:rsidP="00E5012F">
      <w:pPr>
        <w:jc w:val="both"/>
        <w:rPr>
          <w:rFonts w:ascii="Arial" w:eastAsia="Calibri" w:hAnsi="Arial" w:cs="Arial"/>
          <w:color w:val="000000" w:themeColor="text1"/>
          <w:sz w:val="20"/>
          <w:szCs w:val="20"/>
          <w:lang w:val="es-ES_tradnl"/>
        </w:rPr>
      </w:pPr>
    </w:p>
    <w:p w14:paraId="4787ADFE" w14:textId="3B2AC297" w:rsidR="00E5012F" w:rsidRDefault="00E5012F" w:rsidP="00E5012F">
      <w:pPr>
        <w:jc w:val="both"/>
        <w:rPr>
          <w:rFonts w:ascii="Arial" w:eastAsia="Calibri" w:hAnsi="Arial" w:cs="Arial"/>
          <w:color w:val="000000" w:themeColor="text1"/>
          <w:sz w:val="20"/>
          <w:szCs w:val="20"/>
          <w:lang w:val="es-ES_tradnl"/>
        </w:rPr>
      </w:pPr>
    </w:p>
    <w:p w14:paraId="7277E21C" w14:textId="7C2A4268" w:rsidR="00E5012F" w:rsidRDefault="00E5012F" w:rsidP="00E5012F">
      <w:pPr>
        <w:jc w:val="both"/>
        <w:rPr>
          <w:rFonts w:ascii="Arial" w:eastAsia="Calibri" w:hAnsi="Arial" w:cs="Arial"/>
          <w:color w:val="000000" w:themeColor="text1"/>
          <w:sz w:val="20"/>
          <w:szCs w:val="20"/>
          <w:lang w:val="es-ES_tradnl"/>
        </w:rPr>
      </w:pPr>
    </w:p>
    <w:p w14:paraId="7C4281E5" w14:textId="1E7E209C" w:rsidR="00E5012F" w:rsidRDefault="00E5012F" w:rsidP="00E5012F">
      <w:pPr>
        <w:jc w:val="both"/>
        <w:rPr>
          <w:rFonts w:ascii="Arial" w:eastAsia="Calibri" w:hAnsi="Arial" w:cs="Arial"/>
          <w:color w:val="000000" w:themeColor="text1"/>
          <w:sz w:val="20"/>
          <w:szCs w:val="20"/>
          <w:lang w:val="es-ES_tradnl"/>
        </w:rPr>
      </w:pPr>
    </w:p>
    <w:p w14:paraId="67B5C23B" w14:textId="42E94F2A" w:rsidR="00E5012F" w:rsidRDefault="00E5012F" w:rsidP="00E5012F">
      <w:pPr>
        <w:jc w:val="both"/>
        <w:rPr>
          <w:rFonts w:ascii="Arial" w:eastAsia="Calibri" w:hAnsi="Arial" w:cs="Arial"/>
          <w:color w:val="000000" w:themeColor="text1"/>
          <w:sz w:val="20"/>
          <w:szCs w:val="20"/>
          <w:lang w:val="es-ES_tradnl"/>
        </w:rPr>
      </w:pPr>
    </w:p>
    <w:p w14:paraId="0B8ED028" w14:textId="00D45677" w:rsidR="00E5012F" w:rsidRDefault="00E5012F" w:rsidP="00E5012F">
      <w:pPr>
        <w:jc w:val="both"/>
        <w:rPr>
          <w:rFonts w:ascii="Arial" w:eastAsia="Calibri" w:hAnsi="Arial" w:cs="Arial"/>
          <w:color w:val="000000" w:themeColor="text1"/>
          <w:sz w:val="20"/>
          <w:szCs w:val="20"/>
          <w:lang w:val="es-ES_tradnl"/>
        </w:rPr>
      </w:pPr>
    </w:p>
    <w:p w14:paraId="6D05D517" w14:textId="13CCC699" w:rsidR="00E5012F" w:rsidRDefault="00E5012F" w:rsidP="00E5012F">
      <w:pPr>
        <w:jc w:val="both"/>
        <w:rPr>
          <w:rFonts w:ascii="Arial" w:eastAsia="Calibri" w:hAnsi="Arial" w:cs="Arial"/>
          <w:color w:val="000000" w:themeColor="text1"/>
          <w:sz w:val="20"/>
          <w:szCs w:val="20"/>
          <w:lang w:val="es-ES_tradnl"/>
        </w:rPr>
      </w:pPr>
    </w:p>
    <w:p w14:paraId="31EBA889" w14:textId="38AD5827" w:rsidR="00E5012F" w:rsidRDefault="00E5012F" w:rsidP="00E5012F">
      <w:pPr>
        <w:jc w:val="both"/>
        <w:rPr>
          <w:rFonts w:ascii="Arial" w:eastAsia="Calibri" w:hAnsi="Arial" w:cs="Arial"/>
          <w:color w:val="000000" w:themeColor="text1"/>
          <w:sz w:val="20"/>
          <w:szCs w:val="20"/>
          <w:lang w:val="es-ES_tradnl"/>
        </w:rPr>
      </w:pPr>
    </w:p>
    <w:p w14:paraId="6D1B9579" w14:textId="564243D5" w:rsidR="00E5012F" w:rsidRDefault="00E5012F" w:rsidP="00E5012F">
      <w:pPr>
        <w:jc w:val="both"/>
        <w:rPr>
          <w:rFonts w:ascii="Arial" w:eastAsia="Calibri" w:hAnsi="Arial" w:cs="Arial"/>
          <w:color w:val="000000" w:themeColor="text1"/>
          <w:sz w:val="20"/>
          <w:szCs w:val="20"/>
          <w:lang w:val="es-ES_tradnl"/>
        </w:rPr>
      </w:pPr>
    </w:p>
    <w:p w14:paraId="47312C67" w14:textId="44814615" w:rsidR="00E5012F" w:rsidRDefault="00E5012F" w:rsidP="00E5012F">
      <w:pPr>
        <w:jc w:val="both"/>
        <w:rPr>
          <w:rFonts w:ascii="Arial" w:eastAsia="Calibri" w:hAnsi="Arial" w:cs="Arial"/>
          <w:color w:val="000000" w:themeColor="text1"/>
          <w:sz w:val="20"/>
          <w:szCs w:val="20"/>
          <w:lang w:val="es-ES_tradnl"/>
        </w:rPr>
      </w:pPr>
    </w:p>
    <w:p w14:paraId="2E6A653A" w14:textId="42BA347E" w:rsidR="00E5012F" w:rsidRDefault="00E5012F" w:rsidP="00E5012F">
      <w:pPr>
        <w:jc w:val="both"/>
        <w:rPr>
          <w:rFonts w:ascii="Arial" w:eastAsia="Calibri" w:hAnsi="Arial" w:cs="Arial"/>
          <w:color w:val="000000" w:themeColor="text1"/>
          <w:sz w:val="20"/>
          <w:szCs w:val="20"/>
          <w:lang w:val="es-ES_tradnl"/>
        </w:rPr>
      </w:pPr>
    </w:p>
    <w:p w14:paraId="7C7C981E" w14:textId="77777777" w:rsidR="00E5012F" w:rsidRPr="00742BED" w:rsidRDefault="00E5012F" w:rsidP="00E5012F">
      <w:pPr>
        <w:jc w:val="both"/>
        <w:rPr>
          <w:rFonts w:ascii="Arial" w:eastAsia="Calibri" w:hAnsi="Arial" w:cs="Arial"/>
          <w:color w:val="000000" w:themeColor="text1"/>
          <w:sz w:val="20"/>
          <w:szCs w:val="20"/>
          <w:lang w:val="es-ES_tradnl"/>
        </w:rPr>
      </w:pPr>
    </w:p>
    <w:p w14:paraId="1710D337" w14:textId="77777777" w:rsidR="00B8408D" w:rsidRPr="00A03A61" w:rsidRDefault="00B8408D" w:rsidP="00187312">
      <w:pPr>
        <w:jc w:val="both"/>
        <w:rPr>
          <w:rFonts w:ascii="Arial" w:eastAsia="Calibri" w:hAnsi="Arial" w:cs="Arial"/>
          <w:b/>
          <w:sz w:val="22"/>
          <w:szCs w:val="22"/>
        </w:rPr>
      </w:pPr>
    </w:p>
    <w:p w14:paraId="75AC480E" w14:textId="4AC351ED" w:rsidR="008214EE" w:rsidRPr="008214EE" w:rsidRDefault="008214EE" w:rsidP="00110542">
      <w:pPr>
        <w:jc w:val="right"/>
      </w:pPr>
      <w:r w:rsidRPr="008214EE">
        <w:lastRenderedPageBreak/>
        <w:fldChar w:fldCharType="begin"/>
      </w:r>
      <w:r w:rsidRPr="008214EE">
        <w:instrText xml:space="preserve"> INCLUDEPICTURE "/var/folders/tb/0fmk9b510f57pz5rwhv8lnpw0000gp/T/com.microsoft.Word/WebArchiveCopyPasteTempFiles/page1image38831536" \* MERGEFORMATINET </w:instrText>
      </w:r>
      <w:r w:rsidRPr="008214EE">
        <w:fldChar w:fldCharType="separate"/>
      </w:r>
      <w:r w:rsidRPr="008214EE">
        <w:rPr>
          <w:noProof/>
        </w:rPr>
        <w:drawing>
          <wp:inline distT="0" distB="0" distL="0" distR="0" wp14:anchorId="13DBE351" wp14:editId="273581DA">
            <wp:extent cx="2406015" cy="613410"/>
            <wp:effectExtent l="0" t="0" r="0" b="0"/>
            <wp:docPr id="4" name="Imagen 4" descr="page1image3883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8315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6015" cy="613410"/>
                    </a:xfrm>
                    <a:prstGeom prst="rect">
                      <a:avLst/>
                    </a:prstGeom>
                    <a:noFill/>
                    <a:ln>
                      <a:noFill/>
                    </a:ln>
                  </pic:spPr>
                </pic:pic>
              </a:graphicData>
            </a:graphic>
          </wp:inline>
        </w:drawing>
      </w:r>
      <w:r w:rsidRPr="008214EE">
        <w:fldChar w:fldCharType="end"/>
      </w:r>
    </w:p>
    <w:p w14:paraId="1957FB31" w14:textId="45B70D59" w:rsidR="00B8408D" w:rsidRDefault="00B8408D" w:rsidP="00B8408D">
      <w:pPr>
        <w:pStyle w:val="Textoindependiente"/>
        <w:rPr>
          <w:b/>
          <w:color w:val="000000" w:themeColor="text1"/>
          <w:sz w:val="22"/>
          <w:szCs w:val="22"/>
          <w:lang w:val="pt-BR"/>
        </w:rPr>
      </w:pPr>
    </w:p>
    <w:p w14:paraId="1A87E14E" w14:textId="77777777" w:rsidR="000B5851" w:rsidRPr="00A03A61" w:rsidRDefault="000B5851" w:rsidP="00B8408D">
      <w:pPr>
        <w:pStyle w:val="Textoindependiente"/>
        <w:rPr>
          <w:b/>
          <w:color w:val="000000" w:themeColor="text1"/>
          <w:sz w:val="22"/>
          <w:szCs w:val="22"/>
          <w:lang w:val="pt-BR"/>
        </w:rPr>
      </w:pPr>
    </w:p>
    <w:p w14:paraId="5F4C454A" w14:textId="06E17845" w:rsidR="00B8408D" w:rsidRPr="00A03A61" w:rsidRDefault="00B8408D" w:rsidP="00187312">
      <w:pPr>
        <w:pStyle w:val="Textoindependiente"/>
        <w:rPr>
          <w:color w:val="000000" w:themeColor="text1"/>
          <w:sz w:val="22"/>
          <w:szCs w:val="22"/>
        </w:rPr>
      </w:pPr>
      <w:r w:rsidRPr="00A03A61">
        <w:rPr>
          <w:color w:val="000000" w:themeColor="text1"/>
          <w:sz w:val="22"/>
          <w:szCs w:val="22"/>
        </w:rPr>
        <w:t>Señor</w:t>
      </w:r>
      <w:r w:rsidR="004E5D5C">
        <w:rPr>
          <w:color w:val="000000" w:themeColor="text1"/>
          <w:sz w:val="22"/>
          <w:szCs w:val="22"/>
        </w:rPr>
        <w:t>a</w:t>
      </w:r>
    </w:p>
    <w:p w14:paraId="0C0B1475" w14:textId="65B54977" w:rsidR="00B8408D" w:rsidRPr="00A03A61" w:rsidRDefault="008214EE" w:rsidP="0085443D">
      <w:pPr>
        <w:pStyle w:val="Ttulo1"/>
        <w:spacing w:before="37" w:line="253" w:lineRule="exact"/>
        <w:rPr>
          <w:rFonts w:ascii="Arial" w:hAnsi="Arial" w:cs="Arial"/>
          <w:b/>
          <w:bCs/>
          <w:color w:val="000000" w:themeColor="text1"/>
          <w:sz w:val="22"/>
          <w:szCs w:val="22"/>
        </w:rPr>
      </w:pPr>
      <w:r>
        <w:rPr>
          <w:rFonts w:ascii="Arial" w:hAnsi="Arial" w:cs="Arial"/>
          <w:b/>
          <w:bCs/>
          <w:color w:val="000000" w:themeColor="text1"/>
          <w:sz w:val="22"/>
          <w:szCs w:val="22"/>
        </w:rPr>
        <w:t>XXXX</w:t>
      </w:r>
    </w:p>
    <w:p w14:paraId="201C878D" w14:textId="55A448EF" w:rsidR="00B8408D" w:rsidRPr="00A03A61" w:rsidRDefault="004E5D5C" w:rsidP="0085443D">
      <w:pPr>
        <w:pStyle w:val="Textoindependiente"/>
        <w:rPr>
          <w:color w:val="000000" w:themeColor="text1"/>
          <w:sz w:val="22"/>
          <w:szCs w:val="22"/>
        </w:rPr>
      </w:pPr>
      <w:r>
        <w:rPr>
          <w:color w:val="000000" w:themeColor="text1"/>
          <w:sz w:val="22"/>
          <w:szCs w:val="22"/>
        </w:rPr>
        <w:t xml:space="preserve">Pereira, Risaralda </w:t>
      </w:r>
    </w:p>
    <w:p w14:paraId="7BBE1EE7" w14:textId="69DB3C3C" w:rsidR="00B8408D" w:rsidRDefault="00B8408D" w:rsidP="00B8408D">
      <w:pPr>
        <w:pStyle w:val="Textoindependiente"/>
        <w:spacing w:before="1"/>
        <w:rPr>
          <w:color w:val="000000" w:themeColor="text1"/>
          <w:sz w:val="22"/>
          <w:szCs w:val="22"/>
        </w:rPr>
      </w:pPr>
    </w:p>
    <w:p w14:paraId="1AA2ADE7" w14:textId="77777777" w:rsidR="000B5851" w:rsidRPr="00A03A61" w:rsidRDefault="000B5851" w:rsidP="00B8408D">
      <w:pPr>
        <w:pStyle w:val="Textoindependiente"/>
        <w:spacing w:before="1"/>
        <w:rPr>
          <w:color w:val="000000" w:themeColor="text1"/>
          <w:sz w:val="22"/>
          <w:szCs w:val="22"/>
        </w:rPr>
      </w:pPr>
    </w:p>
    <w:p w14:paraId="47B477FC" w14:textId="74C44EF6" w:rsidR="00B8408D" w:rsidRPr="00A03A61" w:rsidRDefault="0085443D" w:rsidP="00187312">
      <w:pPr>
        <w:pStyle w:val="Ttulo1"/>
        <w:spacing w:before="0"/>
        <w:ind w:left="2124"/>
        <w:rPr>
          <w:rFonts w:ascii="Arial" w:hAnsi="Arial" w:cs="Arial"/>
          <w:b/>
          <w:bCs/>
          <w:color w:val="000000" w:themeColor="text1"/>
          <w:sz w:val="22"/>
          <w:szCs w:val="22"/>
        </w:rPr>
      </w:pPr>
      <w:r w:rsidRPr="00A03A61">
        <w:rPr>
          <w:rFonts w:ascii="Arial" w:hAnsi="Arial" w:cs="Arial"/>
          <w:b/>
          <w:bCs/>
          <w:color w:val="000000" w:themeColor="text1"/>
          <w:sz w:val="22"/>
          <w:szCs w:val="22"/>
        </w:rPr>
        <w:t xml:space="preserve">    </w:t>
      </w:r>
      <w:r w:rsidR="00B8408D" w:rsidRPr="00A03A61">
        <w:rPr>
          <w:rFonts w:ascii="Arial" w:hAnsi="Arial" w:cs="Arial"/>
          <w:b/>
          <w:bCs/>
          <w:color w:val="000000" w:themeColor="text1"/>
          <w:sz w:val="22"/>
          <w:szCs w:val="22"/>
        </w:rPr>
        <w:t xml:space="preserve">Concepto C ‒ </w:t>
      </w:r>
      <w:r w:rsidR="004E5D5C">
        <w:rPr>
          <w:rFonts w:ascii="Arial" w:hAnsi="Arial" w:cs="Arial"/>
          <w:b/>
          <w:bCs/>
          <w:color w:val="000000" w:themeColor="text1"/>
          <w:sz w:val="22"/>
          <w:szCs w:val="22"/>
        </w:rPr>
        <w:t>367</w:t>
      </w:r>
      <w:r w:rsidR="00B8408D" w:rsidRPr="00A03A61">
        <w:rPr>
          <w:rFonts w:ascii="Arial" w:hAnsi="Arial" w:cs="Arial"/>
          <w:b/>
          <w:bCs/>
          <w:color w:val="000000" w:themeColor="text1"/>
          <w:sz w:val="22"/>
          <w:szCs w:val="22"/>
        </w:rPr>
        <w:t xml:space="preserve"> de 2021</w:t>
      </w:r>
    </w:p>
    <w:p w14:paraId="4F6AB5E1" w14:textId="77777777" w:rsidR="00B8408D" w:rsidRPr="00A03A61" w:rsidRDefault="00B8408D" w:rsidP="00B8408D">
      <w:pPr>
        <w:pStyle w:val="Textoindependiente"/>
        <w:spacing w:before="6"/>
        <w:rPr>
          <w:b/>
          <w:sz w:val="22"/>
          <w:szCs w:val="22"/>
        </w:rPr>
      </w:pPr>
    </w:p>
    <w:tbl>
      <w:tblPr>
        <w:tblStyle w:val="TableNormal"/>
        <w:tblW w:w="9440" w:type="dxa"/>
        <w:tblLayout w:type="fixed"/>
        <w:tblLook w:val="01E0" w:firstRow="1" w:lastRow="1" w:firstColumn="1" w:lastColumn="1" w:noHBand="0" w:noVBand="0"/>
      </w:tblPr>
      <w:tblGrid>
        <w:gridCol w:w="2277"/>
        <w:gridCol w:w="7163"/>
      </w:tblGrid>
      <w:tr w:rsidR="00B8408D" w:rsidRPr="00E06DF7" w14:paraId="0BCBECD7" w14:textId="77777777" w:rsidTr="00BD6EA9">
        <w:trPr>
          <w:trHeight w:val="514"/>
        </w:trPr>
        <w:tc>
          <w:tcPr>
            <w:tcW w:w="2277" w:type="dxa"/>
          </w:tcPr>
          <w:p w14:paraId="4BD0648F" w14:textId="77777777" w:rsidR="00B8408D" w:rsidRPr="00E06DF7" w:rsidRDefault="00B8408D" w:rsidP="00187312">
            <w:pPr>
              <w:pStyle w:val="TableParagraph"/>
              <w:spacing w:line="246" w:lineRule="exact"/>
              <w:ind w:left="0"/>
              <w:rPr>
                <w:b/>
              </w:rPr>
            </w:pPr>
            <w:r w:rsidRPr="00E06DF7">
              <w:rPr>
                <w:b/>
              </w:rPr>
              <w:t>Temas:</w:t>
            </w:r>
          </w:p>
        </w:tc>
        <w:tc>
          <w:tcPr>
            <w:tcW w:w="7163" w:type="dxa"/>
          </w:tcPr>
          <w:p w14:paraId="14AEAA67" w14:textId="65659424" w:rsidR="00DB0B26" w:rsidRPr="00E06DF7" w:rsidRDefault="00F773A6" w:rsidP="00A54650">
            <w:pPr>
              <w:pStyle w:val="Textoindependiente"/>
              <w:jc w:val="both"/>
              <w:rPr>
                <w:bCs/>
                <w:sz w:val="22"/>
                <w:szCs w:val="22"/>
              </w:rPr>
            </w:pPr>
            <w:r w:rsidRPr="00E06DF7">
              <w:rPr>
                <w:rFonts w:eastAsia="Calibri"/>
                <w:bCs/>
                <w:sz w:val="22"/>
                <w:szCs w:val="22"/>
                <w:lang w:val="es-ES_tradnl"/>
              </w:rPr>
              <w:t xml:space="preserve">CONCURSO DE MÉRITOS – Concepto – Modalidades / CONCURSO DE MÉRITOS – Decreto 1082 de 2015 – </w:t>
            </w:r>
            <w:r w:rsidRPr="00E06DF7">
              <w:rPr>
                <w:bCs/>
                <w:color w:val="000000" w:themeColor="text1"/>
                <w:sz w:val="22"/>
                <w:szCs w:val="22"/>
                <w:lang w:val="es-ES_tradnl"/>
              </w:rPr>
              <w:t xml:space="preserve">artículo 2.2.1.2.1.3.2 – </w:t>
            </w:r>
            <w:r w:rsidRPr="00E06DF7">
              <w:rPr>
                <w:rFonts w:eastAsia="Calibri"/>
                <w:bCs/>
                <w:sz w:val="22"/>
                <w:szCs w:val="22"/>
                <w:lang w:val="es-ES_tradnl"/>
              </w:rPr>
              <w:t xml:space="preserve">Suspensión provisional / CONCURSO DE MÉRITOS – Decreto 1082 de 2015 – </w:t>
            </w:r>
            <w:r w:rsidRPr="00E06DF7">
              <w:rPr>
                <w:bCs/>
                <w:color w:val="000000" w:themeColor="text1"/>
                <w:sz w:val="22"/>
                <w:szCs w:val="22"/>
                <w:lang w:val="es-ES_tradnl"/>
              </w:rPr>
              <w:t xml:space="preserve">artículo 2.2.1.2.1.3.2 – </w:t>
            </w:r>
            <w:r w:rsidRPr="00E06DF7">
              <w:rPr>
                <w:rFonts w:eastAsia="Calibri"/>
                <w:bCs/>
                <w:sz w:val="22"/>
                <w:szCs w:val="22"/>
                <w:lang w:val="es-ES_tradnl"/>
              </w:rPr>
              <w:t>Decreto 399 de 2021 – Artículo 2</w:t>
            </w:r>
          </w:p>
        </w:tc>
      </w:tr>
      <w:tr w:rsidR="00B8408D" w:rsidRPr="00E06DF7" w14:paraId="1E53D192" w14:textId="77777777" w:rsidTr="00187312">
        <w:trPr>
          <w:trHeight w:val="279"/>
        </w:trPr>
        <w:tc>
          <w:tcPr>
            <w:tcW w:w="2277" w:type="dxa"/>
          </w:tcPr>
          <w:p w14:paraId="2949A928" w14:textId="77777777" w:rsidR="00B8408D" w:rsidRPr="00E06DF7" w:rsidRDefault="00B8408D" w:rsidP="00187312">
            <w:pPr>
              <w:pStyle w:val="TableParagraph"/>
              <w:spacing w:before="56"/>
              <w:ind w:left="0"/>
              <w:rPr>
                <w:b/>
              </w:rPr>
            </w:pPr>
            <w:r w:rsidRPr="00E06DF7">
              <w:rPr>
                <w:b/>
              </w:rPr>
              <w:t>Radicación:</w:t>
            </w:r>
          </w:p>
        </w:tc>
        <w:tc>
          <w:tcPr>
            <w:tcW w:w="7163" w:type="dxa"/>
          </w:tcPr>
          <w:p w14:paraId="09EB2E17" w14:textId="2E91D323" w:rsidR="00B8408D" w:rsidRPr="00E06DF7" w:rsidRDefault="00B8408D" w:rsidP="000E4860">
            <w:pPr>
              <w:pStyle w:val="TableParagraph"/>
              <w:tabs>
                <w:tab w:val="left" w:pos="2230"/>
                <w:tab w:val="left" w:pos="2812"/>
                <w:tab w:val="left" w:pos="3552"/>
                <w:tab w:val="left" w:pos="4939"/>
              </w:tabs>
              <w:spacing w:before="56" w:line="250" w:lineRule="atLeast"/>
              <w:ind w:left="0" w:right="200"/>
            </w:pPr>
            <w:r w:rsidRPr="00E06DF7">
              <w:rPr>
                <w:rFonts w:eastAsia="Calibri"/>
                <w:bCs/>
                <w:color w:val="000000" w:themeColor="text1"/>
              </w:rPr>
              <w:t>Respuesta a consulta</w:t>
            </w:r>
            <w:r w:rsidR="006E36F6" w:rsidRPr="00E06DF7">
              <w:rPr>
                <w:rFonts w:eastAsia="Calibri"/>
              </w:rPr>
              <w:t xml:space="preserve"> P20210</w:t>
            </w:r>
            <w:r w:rsidR="004E5D5C" w:rsidRPr="00E06DF7">
              <w:rPr>
                <w:rFonts w:eastAsia="Calibri"/>
              </w:rPr>
              <w:t>609005070</w:t>
            </w:r>
          </w:p>
        </w:tc>
      </w:tr>
    </w:tbl>
    <w:p w14:paraId="109B7DC6" w14:textId="77777777" w:rsidR="00B8408D" w:rsidRPr="00A03A61" w:rsidRDefault="00B8408D" w:rsidP="00B8408D">
      <w:pPr>
        <w:pStyle w:val="Textoindependiente"/>
        <w:rPr>
          <w:b/>
          <w:sz w:val="22"/>
          <w:szCs w:val="22"/>
        </w:rPr>
      </w:pPr>
    </w:p>
    <w:p w14:paraId="3834BD18" w14:textId="77777777" w:rsidR="00B8408D" w:rsidRPr="00A03A61" w:rsidRDefault="00B8408D" w:rsidP="00B8408D">
      <w:pPr>
        <w:pStyle w:val="Textoindependiente"/>
        <w:spacing w:before="4" w:line="276" w:lineRule="auto"/>
        <w:rPr>
          <w:b/>
          <w:sz w:val="22"/>
          <w:szCs w:val="22"/>
        </w:rPr>
      </w:pPr>
    </w:p>
    <w:p w14:paraId="5A4702FB" w14:textId="312A5182" w:rsidR="00B8408D" w:rsidRPr="00A03A61" w:rsidRDefault="00B8408D" w:rsidP="00B8408D">
      <w:pPr>
        <w:pStyle w:val="Textoindependiente"/>
        <w:spacing w:line="276" w:lineRule="auto"/>
        <w:rPr>
          <w:sz w:val="22"/>
          <w:szCs w:val="22"/>
        </w:rPr>
      </w:pPr>
      <w:r w:rsidRPr="00A03A61">
        <w:rPr>
          <w:sz w:val="22"/>
          <w:szCs w:val="22"/>
        </w:rPr>
        <w:t>Estimad</w:t>
      </w:r>
      <w:r w:rsidR="004E5D5C">
        <w:rPr>
          <w:sz w:val="22"/>
          <w:szCs w:val="22"/>
        </w:rPr>
        <w:t>a</w:t>
      </w:r>
      <w:r w:rsidRPr="00A03A61">
        <w:rPr>
          <w:sz w:val="22"/>
          <w:szCs w:val="22"/>
        </w:rPr>
        <w:t xml:space="preserve"> </w:t>
      </w:r>
      <w:proofErr w:type="spellStart"/>
      <w:r w:rsidRPr="00A03A61">
        <w:rPr>
          <w:sz w:val="22"/>
          <w:szCs w:val="22"/>
        </w:rPr>
        <w:t>señor</w:t>
      </w:r>
      <w:r w:rsidR="004E5D5C">
        <w:rPr>
          <w:sz w:val="22"/>
          <w:szCs w:val="22"/>
        </w:rPr>
        <w:t>a</w:t>
      </w:r>
      <w:r w:rsidR="008214EE">
        <w:rPr>
          <w:sz w:val="22"/>
          <w:szCs w:val="22"/>
        </w:rPr>
        <w:t>XXXXX</w:t>
      </w:r>
      <w:proofErr w:type="spellEnd"/>
      <w:r w:rsidRPr="00A03A61">
        <w:rPr>
          <w:sz w:val="22"/>
          <w:szCs w:val="22"/>
        </w:rPr>
        <w:t>:</w:t>
      </w:r>
    </w:p>
    <w:p w14:paraId="714A390A" w14:textId="77777777" w:rsidR="00B8408D" w:rsidRPr="00A03A61" w:rsidRDefault="00B8408D" w:rsidP="00B8408D">
      <w:pPr>
        <w:pStyle w:val="Textoindependiente"/>
        <w:spacing w:before="1" w:line="276" w:lineRule="auto"/>
        <w:rPr>
          <w:sz w:val="22"/>
          <w:szCs w:val="22"/>
        </w:rPr>
      </w:pPr>
    </w:p>
    <w:p w14:paraId="3C5B71F6" w14:textId="65D132C4" w:rsidR="004E2E77" w:rsidRPr="00A03A61" w:rsidRDefault="00B8408D" w:rsidP="004E2E77">
      <w:pPr>
        <w:pStyle w:val="Textoindependiente"/>
        <w:spacing w:line="276" w:lineRule="auto"/>
        <w:jc w:val="both"/>
        <w:rPr>
          <w:sz w:val="22"/>
          <w:szCs w:val="22"/>
        </w:rPr>
      </w:pPr>
      <w:r w:rsidRPr="00A03A61">
        <w:rPr>
          <w:sz w:val="22"/>
          <w:szCs w:val="22"/>
        </w:rPr>
        <w:t>En ejercicio de la competencia otorgada por el numeral 8 del artículo 11 y el numeral 5 del artículo 3 del Decreto Ley 4170 de 2011, la Agencia Nacional de Contratación</w:t>
      </w:r>
      <w:r w:rsidRPr="00A03A61">
        <w:rPr>
          <w:spacing w:val="-3"/>
          <w:sz w:val="22"/>
          <w:szCs w:val="22"/>
        </w:rPr>
        <w:t xml:space="preserve"> </w:t>
      </w:r>
      <w:r w:rsidRPr="00A03A61">
        <w:rPr>
          <w:sz w:val="22"/>
          <w:szCs w:val="22"/>
        </w:rPr>
        <w:t xml:space="preserve">Pública </w:t>
      </w:r>
      <w:r w:rsidR="00D81CA8" w:rsidRPr="00A03A61">
        <w:rPr>
          <w:sz w:val="22"/>
          <w:szCs w:val="22"/>
        </w:rPr>
        <w:t>–</w:t>
      </w:r>
      <w:r w:rsidRPr="00A03A61">
        <w:rPr>
          <w:sz w:val="22"/>
          <w:szCs w:val="22"/>
        </w:rPr>
        <w:t xml:space="preserve"> Colombia Compra Eficiente responde su consulta del </w:t>
      </w:r>
      <w:r w:rsidR="004E5D5C">
        <w:rPr>
          <w:sz w:val="22"/>
          <w:szCs w:val="22"/>
        </w:rPr>
        <w:t>9 de junio</w:t>
      </w:r>
      <w:r w:rsidRPr="00A03A61">
        <w:rPr>
          <w:sz w:val="22"/>
          <w:szCs w:val="22"/>
        </w:rPr>
        <w:t xml:space="preserve"> de 2021.</w:t>
      </w:r>
    </w:p>
    <w:p w14:paraId="063B1515" w14:textId="4AF6BA6F" w:rsidR="004E2E77" w:rsidRDefault="004E2E77" w:rsidP="004E2E77">
      <w:pPr>
        <w:pStyle w:val="Textoindependiente"/>
        <w:spacing w:line="276" w:lineRule="auto"/>
        <w:jc w:val="both"/>
        <w:rPr>
          <w:sz w:val="22"/>
          <w:szCs w:val="22"/>
        </w:rPr>
      </w:pPr>
    </w:p>
    <w:p w14:paraId="13C74649" w14:textId="0614CFEE" w:rsidR="00B8408D" w:rsidRPr="00A03A61" w:rsidRDefault="00B8408D" w:rsidP="004E2E77">
      <w:pPr>
        <w:pStyle w:val="Textoindependiente"/>
        <w:numPr>
          <w:ilvl w:val="0"/>
          <w:numId w:val="21"/>
        </w:numPr>
        <w:spacing w:line="276" w:lineRule="auto"/>
        <w:ind w:left="360"/>
        <w:jc w:val="both"/>
        <w:rPr>
          <w:sz w:val="22"/>
          <w:szCs w:val="22"/>
        </w:rPr>
      </w:pPr>
      <w:r w:rsidRPr="00A03A61">
        <w:rPr>
          <w:b/>
          <w:bCs/>
          <w:color w:val="000000" w:themeColor="text1"/>
          <w:sz w:val="22"/>
          <w:szCs w:val="22"/>
        </w:rPr>
        <w:t>Problema</w:t>
      </w:r>
      <w:r w:rsidRPr="00A03A61">
        <w:rPr>
          <w:b/>
          <w:bCs/>
          <w:color w:val="000000" w:themeColor="text1"/>
          <w:spacing w:val="-2"/>
          <w:sz w:val="22"/>
          <w:szCs w:val="22"/>
        </w:rPr>
        <w:t xml:space="preserve"> </w:t>
      </w:r>
      <w:r w:rsidRPr="00A03A61">
        <w:rPr>
          <w:b/>
          <w:bCs/>
          <w:color w:val="000000" w:themeColor="text1"/>
          <w:sz w:val="22"/>
          <w:szCs w:val="22"/>
        </w:rPr>
        <w:t>planteado</w:t>
      </w:r>
    </w:p>
    <w:p w14:paraId="67799CA0" w14:textId="77777777" w:rsidR="006E36F6" w:rsidRPr="00A03A61" w:rsidRDefault="006E36F6" w:rsidP="006E36F6">
      <w:pPr>
        <w:pStyle w:val="Textoindependiente"/>
        <w:spacing w:line="276" w:lineRule="auto"/>
        <w:ind w:left="360"/>
        <w:jc w:val="both"/>
        <w:rPr>
          <w:sz w:val="22"/>
          <w:szCs w:val="22"/>
        </w:rPr>
      </w:pPr>
    </w:p>
    <w:p w14:paraId="54DEFEC0" w14:textId="714454CD" w:rsidR="00AC0C2F" w:rsidRPr="00A03A61" w:rsidRDefault="002F6A04" w:rsidP="006E36F6">
      <w:pPr>
        <w:pStyle w:val="NormalWeb"/>
        <w:spacing w:before="0" w:beforeAutospacing="0" w:after="0" w:afterAutospacing="0" w:line="276" w:lineRule="auto"/>
        <w:jc w:val="both"/>
        <w:rPr>
          <w:rFonts w:ascii="Arial" w:hAnsi="Arial" w:cs="Arial"/>
          <w:sz w:val="22"/>
          <w:szCs w:val="22"/>
        </w:rPr>
      </w:pPr>
      <w:r w:rsidRPr="00A03A61">
        <w:rPr>
          <w:rFonts w:ascii="Arial" w:hAnsi="Arial" w:cs="Arial"/>
          <w:sz w:val="22"/>
          <w:szCs w:val="22"/>
        </w:rPr>
        <w:t>Usted realiza l</w:t>
      </w:r>
      <w:r w:rsidR="006E36F6" w:rsidRPr="00A03A61">
        <w:rPr>
          <w:rFonts w:ascii="Arial" w:hAnsi="Arial" w:cs="Arial"/>
          <w:sz w:val="22"/>
          <w:szCs w:val="22"/>
        </w:rPr>
        <w:t>a</w:t>
      </w:r>
      <w:r w:rsidR="004E5D5C">
        <w:rPr>
          <w:rFonts w:ascii="Arial" w:hAnsi="Arial" w:cs="Arial"/>
          <w:sz w:val="22"/>
          <w:szCs w:val="22"/>
        </w:rPr>
        <w:t>s siguientes preguntas</w:t>
      </w:r>
      <w:r w:rsidR="006E36F6" w:rsidRPr="00A03A61">
        <w:rPr>
          <w:rFonts w:ascii="Arial" w:hAnsi="Arial" w:cs="Arial"/>
          <w:sz w:val="22"/>
          <w:szCs w:val="22"/>
        </w:rPr>
        <w:t xml:space="preserve">: </w:t>
      </w:r>
    </w:p>
    <w:p w14:paraId="6214AAD6" w14:textId="04F11474" w:rsidR="00C23CFD" w:rsidRPr="008D7F99" w:rsidRDefault="002F6A04" w:rsidP="008D7F99">
      <w:pPr>
        <w:pStyle w:val="NormalWeb"/>
        <w:numPr>
          <w:ilvl w:val="0"/>
          <w:numId w:val="22"/>
        </w:numPr>
        <w:jc w:val="both"/>
        <w:rPr>
          <w:rFonts w:ascii="Arial" w:hAnsi="Arial" w:cs="Arial"/>
          <w:sz w:val="22"/>
          <w:szCs w:val="22"/>
        </w:rPr>
      </w:pPr>
      <w:r w:rsidRPr="008D7F99">
        <w:rPr>
          <w:rFonts w:ascii="Arial" w:hAnsi="Arial" w:cs="Arial"/>
          <w:sz w:val="22"/>
          <w:szCs w:val="22"/>
        </w:rPr>
        <w:t>«</w:t>
      </w:r>
      <w:r w:rsidR="004E5D5C" w:rsidRPr="008D7F99">
        <w:rPr>
          <w:rFonts w:ascii="Arial" w:hAnsi="Arial" w:cs="Arial"/>
          <w:sz w:val="22"/>
          <w:szCs w:val="22"/>
        </w:rPr>
        <w:t xml:space="preserve">¿Cual es momento correcto </w:t>
      </w:r>
      <w:r w:rsidR="00C23CFD" w:rsidRPr="008D7F99">
        <w:rPr>
          <w:rFonts w:ascii="Arial" w:hAnsi="Arial" w:cs="Arial"/>
          <w:sz w:val="22"/>
          <w:szCs w:val="22"/>
        </w:rPr>
        <w:t>según</w:t>
      </w:r>
      <w:r w:rsidR="004E5D5C" w:rsidRPr="008D7F99">
        <w:rPr>
          <w:rFonts w:ascii="Arial" w:hAnsi="Arial" w:cs="Arial"/>
          <w:sz w:val="22"/>
          <w:szCs w:val="22"/>
        </w:rPr>
        <w:t xml:space="preserve"> la ley y el reglamento para la apertura del sobre </w:t>
      </w:r>
      <w:r w:rsidR="00C23CFD" w:rsidRPr="008D7F99">
        <w:rPr>
          <w:rFonts w:ascii="Arial" w:hAnsi="Arial" w:cs="Arial"/>
          <w:sz w:val="22"/>
          <w:szCs w:val="22"/>
        </w:rPr>
        <w:t>económico</w:t>
      </w:r>
      <w:r w:rsidR="004E5D5C" w:rsidRPr="008D7F99">
        <w:rPr>
          <w:rFonts w:ascii="Arial" w:hAnsi="Arial" w:cs="Arial"/>
          <w:sz w:val="22"/>
          <w:szCs w:val="22"/>
        </w:rPr>
        <w:t xml:space="preserve"> del Concurso de </w:t>
      </w:r>
      <w:r w:rsidR="00C23CFD" w:rsidRPr="008D7F99">
        <w:rPr>
          <w:rFonts w:ascii="Arial" w:hAnsi="Arial" w:cs="Arial"/>
          <w:sz w:val="22"/>
          <w:szCs w:val="22"/>
        </w:rPr>
        <w:t>Méritos</w:t>
      </w:r>
      <w:r w:rsidR="004E5D5C" w:rsidRPr="008D7F99">
        <w:rPr>
          <w:rFonts w:ascii="Arial" w:hAnsi="Arial" w:cs="Arial"/>
          <w:sz w:val="22"/>
          <w:szCs w:val="22"/>
        </w:rPr>
        <w:t xml:space="preserve"> (pliego tipo de </w:t>
      </w:r>
      <w:r w:rsidR="00C23CFD" w:rsidRPr="008D7F99">
        <w:rPr>
          <w:rFonts w:ascii="Arial" w:hAnsi="Arial" w:cs="Arial"/>
          <w:sz w:val="22"/>
          <w:szCs w:val="22"/>
        </w:rPr>
        <w:t>interventoría</w:t>
      </w:r>
      <w:r w:rsidR="004E5D5C" w:rsidRPr="008D7F99">
        <w:rPr>
          <w:rFonts w:ascii="Arial" w:hAnsi="Arial" w:cs="Arial"/>
          <w:sz w:val="22"/>
          <w:szCs w:val="22"/>
        </w:rPr>
        <w:t xml:space="preserve"> de transporte)?».</w:t>
      </w:r>
    </w:p>
    <w:p w14:paraId="012D8195" w14:textId="0FA6DB5B" w:rsidR="000B5851" w:rsidRPr="000B5851" w:rsidRDefault="004E5D5C" w:rsidP="000B5851">
      <w:pPr>
        <w:pStyle w:val="NormalWeb"/>
        <w:numPr>
          <w:ilvl w:val="0"/>
          <w:numId w:val="22"/>
        </w:numPr>
        <w:jc w:val="both"/>
        <w:rPr>
          <w:rFonts w:ascii="Arial" w:hAnsi="Arial" w:cs="Arial"/>
          <w:sz w:val="22"/>
          <w:szCs w:val="22"/>
        </w:rPr>
      </w:pPr>
      <w:r w:rsidRPr="008D7F99">
        <w:rPr>
          <w:rFonts w:ascii="Arial" w:hAnsi="Arial" w:cs="Arial"/>
          <w:sz w:val="22"/>
          <w:szCs w:val="22"/>
        </w:rPr>
        <w:t xml:space="preserve">«¿Es viable abrir el sobre </w:t>
      </w:r>
      <w:r w:rsidR="00C23CFD" w:rsidRPr="008D7F99">
        <w:rPr>
          <w:rFonts w:ascii="Arial" w:hAnsi="Arial" w:cs="Arial"/>
          <w:sz w:val="22"/>
          <w:szCs w:val="22"/>
        </w:rPr>
        <w:t>económico</w:t>
      </w:r>
      <w:r w:rsidRPr="008D7F99">
        <w:rPr>
          <w:rFonts w:ascii="Arial" w:hAnsi="Arial" w:cs="Arial"/>
          <w:sz w:val="22"/>
          <w:szCs w:val="22"/>
        </w:rPr>
        <w:t xml:space="preserve"> a la par con el sobre 1 y 2?</w:t>
      </w:r>
      <w:r w:rsidR="002F6A04" w:rsidRPr="008D7F99">
        <w:rPr>
          <w:rFonts w:ascii="Arial" w:hAnsi="Arial" w:cs="Arial"/>
          <w:sz w:val="22"/>
          <w:szCs w:val="22"/>
        </w:rPr>
        <w:t>».</w:t>
      </w:r>
    </w:p>
    <w:p w14:paraId="592A06C0" w14:textId="73F97910" w:rsidR="00B8408D" w:rsidRPr="00A03A61" w:rsidRDefault="00B8408D" w:rsidP="004E2E77">
      <w:pPr>
        <w:pStyle w:val="Ttulo1"/>
        <w:keepNext w:val="0"/>
        <w:keepLines w:val="0"/>
        <w:widowControl w:val="0"/>
        <w:numPr>
          <w:ilvl w:val="0"/>
          <w:numId w:val="21"/>
        </w:numPr>
        <w:tabs>
          <w:tab w:val="left" w:pos="586"/>
        </w:tabs>
        <w:autoSpaceDE w:val="0"/>
        <w:autoSpaceDN w:val="0"/>
        <w:spacing w:before="0"/>
        <w:ind w:left="360"/>
        <w:jc w:val="both"/>
        <w:rPr>
          <w:rFonts w:ascii="Arial" w:hAnsi="Arial" w:cs="Arial"/>
          <w:b/>
          <w:bCs/>
          <w:sz w:val="22"/>
          <w:szCs w:val="22"/>
        </w:rPr>
      </w:pPr>
      <w:r w:rsidRPr="00A03A61">
        <w:rPr>
          <w:rFonts w:ascii="Arial" w:hAnsi="Arial" w:cs="Arial"/>
          <w:b/>
          <w:bCs/>
          <w:color w:val="000000" w:themeColor="text1"/>
          <w:sz w:val="22"/>
          <w:szCs w:val="22"/>
        </w:rPr>
        <w:t>Consideraciones</w:t>
      </w:r>
    </w:p>
    <w:p w14:paraId="3C51D9BA" w14:textId="77777777" w:rsidR="00B8408D" w:rsidRPr="00A03A61" w:rsidRDefault="00B8408D" w:rsidP="00B8408D">
      <w:pPr>
        <w:pStyle w:val="Textoindependiente"/>
        <w:rPr>
          <w:b/>
          <w:sz w:val="22"/>
          <w:szCs w:val="22"/>
        </w:rPr>
      </w:pPr>
    </w:p>
    <w:p w14:paraId="5EF3D7FF" w14:textId="77777777" w:rsidR="00AC0C2F" w:rsidRPr="00A03A61" w:rsidRDefault="00AC0C2F" w:rsidP="00E43A90">
      <w:pPr>
        <w:spacing w:before="120" w:after="120" w:line="276" w:lineRule="auto"/>
        <w:jc w:val="both"/>
        <w:rPr>
          <w:rFonts w:ascii="Arial" w:hAnsi="Arial" w:cs="Arial"/>
          <w:bCs/>
          <w:sz w:val="22"/>
        </w:rPr>
      </w:pPr>
      <w:r w:rsidRPr="00A03A61">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6463E6B8" w14:textId="77777777" w:rsidR="00E43A90" w:rsidRDefault="001B235C" w:rsidP="00E43A90">
      <w:pPr>
        <w:spacing w:before="120" w:after="120" w:line="276" w:lineRule="auto"/>
        <w:jc w:val="both"/>
        <w:rPr>
          <w:rFonts w:ascii="Arial" w:hAnsi="Arial" w:cs="Arial"/>
          <w:sz w:val="22"/>
          <w:szCs w:val="22"/>
        </w:rPr>
      </w:pPr>
      <w:bookmarkStart w:id="0" w:name="_Hlk61701014"/>
      <w:bookmarkStart w:id="1" w:name="_Hlk62136649"/>
      <w:r w:rsidRPr="00A03A61">
        <w:rPr>
          <w:rFonts w:ascii="Arial" w:hAnsi="Arial" w:cs="Arial"/>
          <w:sz w:val="22"/>
          <w:lang w:val="es-ES"/>
        </w:rPr>
        <w:lastRenderedPageBreak/>
        <w:tab/>
      </w:r>
      <w:bookmarkEnd w:id="0"/>
      <w:bookmarkEnd w:id="1"/>
      <w:r w:rsidRPr="00A03A61">
        <w:rPr>
          <w:rFonts w:ascii="Arial" w:hAnsi="Arial" w:cs="Arial"/>
          <w:sz w:val="22"/>
          <w:lang w:val="es-ES"/>
        </w:rPr>
        <w:t>Para resolver las preguntas del peticionario se desarrollarán los siguientes temas</w:t>
      </w:r>
      <w:r w:rsidR="00B8408D" w:rsidRPr="00A03A61">
        <w:rPr>
          <w:rFonts w:ascii="Arial" w:hAnsi="Arial" w:cs="Arial"/>
          <w:sz w:val="22"/>
          <w:szCs w:val="22"/>
        </w:rPr>
        <w:t xml:space="preserve">: </w:t>
      </w:r>
      <w:r w:rsidR="006E36F6" w:rsidRPr="00A03A61">
        <w:rPr>
          <w:rFonts w:ascii="Arial" w:hAnsi="Arial" w:cs="Arial"/>
          <w:sz w:val="22"/>
          <w:szCs w:val="22"/>
        </w:rPr>
        <w:t>i)</w:t>
      </w:r>
      <w:r w:rsidRPr="00A03A61">
        <w:rPr>
          <w:rFonts w:ascii="Arial" w:hAnsi="Arial" w:cs="Arial"/>
          <w:sz w:val="22"/>
          <w:szCs w:val="22"/>
        </w:rPr>
        <w:t xml:space="preserve"> </w:t>
      </w:r>
      <w:r w:rsidR="00C23CFD">
        <w:rPr>
          <w:rFonts w:ascii="Arial" w:hAnsi="Arial" w:cs="Arial"/>
          <w:sz w:val="22"/>
          <w:szCs w:val="22"/>
        </w:rPr>
        <w:t xml:space="preserve">procedimiento del concurso de méritos después de los autos de suspensión provisional del Consejo de Estado y posterior a la expedición del Decreto 399 de 2021 y ii) naturaleza jurídica de los documentos tipo. </w:t>
      </w:r>
    </w:p>
    <w:p w14:paraId="43B3B38F" w14:textId="35801543" w:rsidR="00AE0358" w:rsidRDefault="00C23CFD" w:rsidP="00364DC1">
      <w:pPr>
        <w:spacing w:before="120" w:after="120" w:line="276" w:lineRule="auto"/>
        <w:ind w:firstLine="709"/>
        <w:jc w:val="both"/>
        <w:rPr>
          <w:rFonts w:ascii="Arial" w:eastAsia="Calibri" w:hAnsi="Arial" w:cs="Arial"/>
          <w:b/>
          <w:bCs/>
          <w:color w:val="000000" w:themeColor="text1"/>
          <w:sz w:val="22"/>
        </w:rPr>
      </w:pPr>
      <w:r w:rsidRPr="00742BED">
        <w:rPr>
          <w:rFonts w:ascii="Arial" w:eastAsia="Calibri" w:hAnsi="Arial" w:cs="Arial"/>
          <w:color w:val="000000" w:themeColor="text1"/>
          <w:sz w:val="22"/>
          <w:szCs w:val="22"/>
          <w:lang w:val="es-ES_tradnl"/>
        </w:rPr>
        <w:t>Es importante destacar que la Agencia Nacional de Contratación Pública – Colombia Compra Eficiente se pronunció</w:t>
      </w:r>
      <w:r>
        <w:rPr>
          <w:rFonts w:ascii="Arial" w:eastAsia="Calibri" w:hAnsi="Arial" w:cs="Arial"/>
          <w:color w:val="000000" w:themeColor="text1"/>
          <w:sz w:val="22"/>
          <w:szCs w:val="22"/>
          <w:lang w:val="es-ES_tradnl"/>
        </w:rPr>
        <w:t xml:space="preserve"> en </w:t>
      </w:r>
      <w:r w:rsidRPr="00742BED">
        <w:rPr>
          <w:rFonts w:ascii="Arial" w:eastAsia="Calibri" w:hAnsi="Arial" w:cs="Arial"/>
          <w:color w:val="000000" w:themeColor="text1"/>
          <w:sz w:val="22"/>
          <w:lang w:val="es-ES_tradnl"/>
        </w:rPr>
        <w:t>los conceptos C-124 del 25 de marzo de 2020, C-406 y C-477 del 13 de julio de 2020</w:t>
      </w:r>
      <w:r w:rsidR="00EE1291">
        <w:rPr>
          <w:rFonts w:ascii="Arial" w:eastAsia="Calibri" w:hAnsi="Arial" w:cs="Arial"/>
          <w:color w:val="000000" w:themeColor="text1"/>
          <w:sz w:val="22"/>
          <w:lang w:val="es-ES_tradnl"/>
        </w:rPr>
        <w:t>,</w:t>
      </w:r>
      <w:r w:rsidRPr="00742BED">
        <w:rPr>
          <w:rFonts w:ascii="Arial" w:eastAsia="Calibri" w:hAnsi="Arial" w:cs="Arial"/>
          <w:color w:val="000000" w:themeColor="text1"/>
          <w:sz w:val="22"/>
          <w:lang w:val="es-ES_tradnl"/>
        </w:rPr>
        <w:t xml:space="preserve"> C-612 del 2 de octubre de 2020 y C-761 del 5 de enero de 2021, en los cuales analizó la forma como se debe desarrollar el concurso de méritos, luego de los pronunciamientos del Consejo de Estado que suspendieron provisionalmente algunos numerales del artículo 2.2.1.2.1.3.2. del Decreto 1082 de 2015. </w:t>
      </w:r>
    </w:p>
    <w:p w14:paraId="41A421C6" w14:textId="77777777" w:rsidR="00364DC1" w:rsidRDefault="00364DC1" w:rsidP="00364DC1">
      <w:pPr>
        <w:tabs>
          <w:tab w:val="left" w:pos="426"/>
        </w:tabs>
        <w:jc w:val="both"/>
        <w:rPr>
          <w:rFonts w:ascii="Arial" w:eastAsia="Calibri" w:hAnsi="Arial" w:cs="Arial"/>
          <w:b/>
          <w:bCs/>
          <w:color w:val="000000" w:themeColor="text1"/>
          <w:sz w:val="22"/>
        </w:rPr>
      </w:pPr>
    </w:p>
    <w:p w14:paraId="5BD6C4B3" w14:textId="77AEE325" w:rsidR="00137BD0" w:rsidRDefault="00EE1291" w:rsidP="00137BD0">
      <w:pPr>
        <w:tabs>
          <w:tab w:val="left" w:pos="426"/>
        </w:tabs>
        <w:spacing w:line="276" w:lineRule="auto"/>
        <w:jc w:val="both"/>
        <w:rPr>
          <w:rFonts w:ascii="Arial" w:hAnsi="Arial" w:cs="Arial"/>
          <w:b/>
          <w:bCs/>
          <w:sz w:val="22"/>
          <w:szCs w:val="22"/>
        </w:rPr>
      </w:pPr>
      <w:r>
        <w:rPr>
          <w:rFonts w:ascii="Arial" w:eastAsia="Calibri" w:hAnsi="Arial" w:cs="Arial"/>
          <w:b/>
          <w:bCs/>
          <w:color w:val="000000" w:themeColor="text1"/>
          <w:sz w:val="22"/>
        </w:rPr>
        <w:t xml:space="preserve">2.1. </w:t>
      </w:r>
      <w:r w:rsidR="00E43A90">
        <w:rPr>
          <w:rFonts w:ascii="Arial" w:eastAsia="Calibri" w:hAnsi="Arial" w:cs="Arial"/>
          <w:b/>
          <w:bCs/>
          <w:color w:val="000000" w:themeColor="text1"/>
          <w:sz w:val="22"/>
        </w:rPr>
        <w:t>P</w:t>
      </w:r>
      <w:r w:rsidR="00C23CFD" w:rsidRPr="008D7F99">
        <w:rPr>
          <w:rFonts w:ascii="Arial" w:eastAsia="Calibri" w:hAnsi="Arial" w:cs="Arial"/>
          <w:b/>
          <w:bCs/>
          <w:color w:val="000000" w:themeColor="text1"/>
          <w:sz w:val="22"/>
        </w:rPr>
        <w:t xml:space="preserve">rocedimiento del concurso de méritos </w:t>
      </w:r>
      <w:r w:rsidR="00C23CFD" w:rsidRPr="008D7F99">
        <w:rPr>
          <w:rFonts w:ascii="Arial" w:hAnsi="Arial" w:cs="Arial"/>
          <w:b/>
          <w:bCs/>
          <w:sz w:val="22"/>
          <w:szCs w:val="22"/>
        </w:rPr>
        <w:t>después de los autos de suspensión provisional del Consejo de Estado y posterior a la expedición del Decreto 399 de 2021</w:t>
      </w:r>
    </w:p>
    <w:p w14:paraId="0F1155DB" w14:textId="77777777" w:rsidR="00364DC1" w:rsidRPr="008D7F99" w:rsidRDefault="00364DC1" w:rsidP="00364DC1">
      <w:pPr>
        <w:tabs>
          <w:tab w:val="left" w:pos="426"/>
        </w:tabs>
        <w:jc w:val="both"/>
        <w:rPr>
          <w:rFonts w:ascii="Arial" w:eastAsia="Calibri" w:hAnsi="Arial" w:cs="Arial"/>
          <w:b/>
          <w:bCs/>
          <w:color w:val="000000" w:themeColor="text1"/>
          <w:sz w:val="22"/>
        </w:rPr>
      </w:pPr>
    </w:p>
    <w:p w14:paraId="36DE0870" w14:textId="77777777" w:rsidR="00C23CFD" w:rsidRPr="00742BED" w:rsidRDefault="00C23CFD" w:rsidP="002E44D9">
      <w:pPr>
        <w:spacing w:before="120" w:after="120" w:line="276" w:lineRule="auto"/>
        <w:jc w:val="both"/>
        <w:rPr>
          <w:rFonts w:ascii="Arial" w:hAnsi="Arial" w:cs="Arial"/>
          <w:color w:val="000000" w:themeColor="text1"/>
          <w:sz w:val="22"/>
          <w:lang w:val="es-ES_tradnl"/>
        </w:rPr>
      </w:pPr>
      <w:r w:rsidRPr="00742BED">
        <w:rPr>
          <w:rFonts w:ascii="Arial" w:hAnsi="Arial" w:cs="Arial"/>
          <w:color w:val="000000" w:themeColor="text1"/>
          <w:sz w:val="22"/>
          <w:lang w:val="es-ES_tradnl"/>
        </w:rPr>
        <w:t xml:space="preserve">El </w:t>
      </w:r>
      <w:r w:rsidRPr="00742BED">
        <w:rPr>
          <w:rFonts w:ascii="Arial" w:hAnsi="Arial" w:cs="Arial"/>
          <w:i/>
          <w:iCs/>
          <w:color w:val="000000" w:themeColor="text1"/>
          <w:sz w:val="22"/>
          <w:lang w:val="es-ES_tradnl"/>
        </w:rPr>
        <w:t xml:space="preserve">concurso de méritos </w:t>
      </w:r>
      <w:r w:rsidRPr="00742BED">
        <w:rPr>
          <w:rFonts w:ascii="Arial" w:hAnsi="Arial" w:cs="Arial"/>
          <w:color w:val="000000" w:themeColor="text1"/>
          <w:sz w:val="22"/>
          <w:lang w:val="es-ES_tradnl"/>
        </w:rPr>
        <w:t>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w:t>
      </w:r>
    </w:p>
    <w:p w14:paraId="7EF68A13" w14:textId="77777777" w:rsidR="00C23CFD" w:rsidRPr="00742BED" w:rsidRDefault="00C23CFD" w:rsidP="002E44D9">
      <w:pPr>
        <w:spacing w:before="120" w:after="120" w:line="276" w:lineRule="auto"/>
        <w:ind w:firstLine="709"/>
        <w:jc w:val="both"/>
        <w:rPr>
          <w:rFonts w:ascii="Arial" w:hAnsi="Arial" w:cs="Arial"/>
          <w:color w:val="000000" w:themeColor="text1"/>
          <w:sz w:val="22"/>
          <w:lang w:val="es-ES_tradnl"/>
        </w:rPr>
      </w:pPr>
      <w:r w:rsidRPr="00742BED">
        <w:rPr>
          <w:rFonts w:ascii="Arial" w:hAnsi="Arial" w:cs="Arial"/>
          <w:color w:val="000000" w:themeColor="text1"/>
          <w:sz w:val="22"/>
          <w:lang w:val="es-ES_tradnl"/>
        </w:rPr>
        <w:t xml:space="preserve">El Libro 2, Parte 2, Título 1, Capítulo 2, Sección 1, Subsección 3 del Decreto 1082 de 2015, regula las distintas modalidades del concurso de méritos: i) concurso de méritos abierto o sin precalificación, ii) concurso de méritos cerrado o con precalificación y iii) concurso de méritos «para la selección de consultores de diseño, planos, anteproyectos y proyectos arquitectónicos». El primero está regulado en los artículos 2.2.1.2.1.3.1. y 2.2.1.2.1.3.2. </w:t>
      </w:r>
      <w:r w:rsidRPr="00742BED">
        <w:rPr>
          <w:rFonts w:ascii="Arial" w:hAnsi="Arial" w:cs="Arial"/>
          <w:i/>
          <w:iCs/>
          <w:color w:val="000000" w:themeColor="text1"/>
          <w:sz w:val="22"/>
          <w:lang w:val="es-ES_tradnl"/>
        </w:rPr>
        <w:t>ibídem</w:t>
      </w:r>
      <w:r w:rsidRPr="00742BED">
        <w:rPr>
          <w:rFonts w:ascii="Arial" w:hAnsi="Arial" w:cs="Arial"/>
          <w:color w:val="000000" w:themeColor="text1"/>
          <w:sz w:val="22"/>
          <w:lang w:val="es-ES_tradnl"/>
        </w:rPr>
        <w:t xml:space="preserve">. El segundo, además de los dos artículos anteriores, lo regulan los artículos 2.2.1.2.1.3.3. a 2.2.1.2.1.3.7. </w:t>
      </w:r>
      <w:proofErr w:type="spellStart"/>
      <w:r w:rsidRPr="00742BED">
        <w:rPr>
          <w:rFonts w:ascii="Arial" w:hAnsi="Arial" w:cs="Arial"/>
          <w:i/>
          <w:iCs/>
          <w:color w:val="000000" w:themeColor="text1"/>
          <w:sz w:val="22"/>
          <w:lang w:val="es-ES_tradnl"/>
        </w:rPr>
        <w:t>ejusdem</w:t>
      </w:r>
      <w:proofErr w:type="spellEnd"/>
      <w:r w:rsidRPr="00742BED">
        <w:rPr>
          <w:rFonts w:ascii="Arial" w:hAnsi="Arial" w:cs="Arial"/>
          <w:color w:val="000000" w:themeColor="text1"/>
          <w:sz w:val="22"/>
          <w:lang w:val="es-ES_tradnl"/>
        </w:rPr>
        <w:t>. El tercero lo regulan los artículos 2.2.1.2.1.3.8. a 2.2.1.2.1.3.25. del mencionado Decreto.</w:t>
      </w:r>
    </w:p>
    <w:p w14:paraId="531BEF7D" w14:textId="77777777" w:rsidR="00C23CFD" w:rsidRPr="00742BED" w:rsidRDefault="00C23CFD" w:rsidP="002E44D9">
      <w:pPr>
        <w:spacing w:before="120" w:after="120" w:line="276" w:lineRule="auto"/>
        <w:ind w:firstLine="709"/>
        <w:jc w:val="both"/>
        <w:rPr>
          <w:rFonts w:ascii="Arial" w:hAnsi="Arial" w:cs="Arial"/>
          <w:color w:val="000000" w:themeColor="text1"/>
          <w:sz w:val="22"/>
          <w:lang w:val="es-ES_tradnl"/>
        </w:rPr>
      </w:pPr>
      <w:r w:rsidRPr="00742BED">
        <w:rPr>
          <w:rFonts w:ascii="Arial" w:hAnsi="Arial" w:cs="Arial"/>
          <w:color w:val="000000" w:themeColor="text1"/>
          <w:sz w:val="22"/>
          <w:lang w:val="es-ES_tradnl"/>
        </w:rPr>
        <w:t xml:space="preserve">Ahora bien, </w:t>
      </w:r>
      <w:bookmarkStart w:id="2" w:name="_Hlk43918348"/>
      <w:r w:rsidRPr="00742BED">
        <w:rPr>
          <w:rFonts w:ascii="Arial" w:hAnsi="Arial" w:cs="Arial"/>
          <w:color w:val="000000" w:themeColor="text1"/>
          <w:sz w:val="22"/>
          <w:lang w:val="es-ES_tradnl"/>
        </w:rPr>
        <w:t>la Sección Tercera del Consejo de Estado, en autos del 25 de julio de 2018</w:t>
      </w:r>
      <w:r w:rsidRPr="00742BED">
        <w:rPr>
          <w:rStyle w:val="Refdenotaalpie"/>
          <w:rFonts w:ascii="Arial" w:hAnsi="Arial" w:cs="Arial"/>
          <w:color w:val="000000" w:themeColor="text1"/>
          <w:sz w:val="22"/>
          <w:lang w:val="es-ES_tradnl"/>
        </w:rPr>
        <w:footnoteReference w:id="1"/>
      </w:r>
      <w:r w:rsidRPr="00742BED">
        <w:rPr>
          <w:rFonts w:ascii="Arial" w:hAnsi="Arial" w:cs="Arial"/>
          <w:color w:val="000000" w:themeColor="text1"/>
          <w:sz w:val="22"/>
          <w:lang w:val="es-ES_tradnl"/>
        </w:rPr>
        <w:t xml:space="preserve"> y del 20 de febrero de 2019</w:t>
      </w:r>
      <w:r w:rsidRPr="00742BED">
        <w:rPr>
          <w:rStyle w:val="Refdenotaalpie"/>
          <w:rFonts w:ascii="Arial" w:hAnsi="Arial" w:cs="Arial"/>
          <w:color w:val="000000" w:themeColor="text1"/>
          <w:sz w:val="22"/>
          <w:lang w:val="es-ES_tradnl"/>
        </w:rPr>
        <w:footnoteReference w:id="2"/>
      </w:r>
      <w:r w:rsidRPr="00742BED">
        <w:rPr>
          <w:rFonts w:ascii="Arial" w:hAnsi="Arial" w:cs="Arial"/>
          <w:color w:val="000000" w:themeColor="text1"/>
          <w:sz w:val="22"/>
          <w:lang w:val="es-ES_tradnl"/>
        </w:rPr>
        <w:t xml:space="preserve">, suspendió provisionalmente, por un lado, el numeral 6 del artículo 2.2.1.2.1.3.2. del Decreto 1082 de 2015 y, por el otro, los numerales 3, 4 y 5 de </w:t>
      </w:r>
      <w:r w:rsidRPr="00742BED">
        <w:rPr>
          <w:rFonts w:ascii="Arial" w:hAnsi="Arial" w:cs="Arial"/>
          <w:color w:val="000000" w:themeColor="text1"/>
          <w:sz w:val="22"/>
          <w:lang w:val="es-ES_tradnl"/>
        </w:rPr>
        <w:lastRenderedPageBreak/>
        <w:t>la misma disposición. Las normas suspendidas regulaban el concurso de méritos abierto o sin precalificación</w:t>
      </w:r>
      <w:bookmarkEnd w:id="2"/>
      <w:r w:rsidRPr="00742BED">
        <w:rPr>
          <w:rFonts w:ascii="Arial" w:hAnsi="Arial" w:cs="Arial"/>
          <w:color w:val="000000" w:themeColor="text1"/>
          <w:sz w:val="22"/>
          <w:lang w:val="es-ES_tradnl"/>
        </w:rPr>
        <w:t xml:space="preserve">. El texto de estos numerales disponía lo siguiente: </w:t>
      </w:r>
    </w:p>
    <w:p w14:paraId="5AB28705" w14:textId="6E0407A9" w:rsidR="00C23CFD" w:rsidRPr="00742BED" w:rsidRDefault="002E44D9" w:rsidP="00C23CFD">
      <w:pPr>
        <w:pStyle w:val="Sinespaciado"/>
        <w:spacing w:after="120"/>
        <w:ind w:left="709" w:right="709"/>
        <w:jc w:val="both"/>
        <w:rPr>
          <w:rFonts w:ascii="Arial" w:hAnsi="Arial" w:cs="Arial"/>
          <w:color w:val="000000" w:themeColor="text1"/>
          <w:sz w:val="21"/>
          <w:szCs w:val="21"/>
          <w:lang w:val="es-ES_tradnl"/>
        </w:rPr>
      </w:pPr>
      <w:r w:rsidRPr="002E44D9">
        <w:rPr>
          <w:rFonts w:ascii="Arial" w:hAnsi="Arial" w:cs="Arial"/>
          <w:color w:val="000000" w:themeColor="text1"/>
          <w:sz w:val="21"/>
          <w:szCs w:val="21"/>
          <w:lang w:val="es-ES_tradnl"/>
        </w:rPr>
        <w:t>«</w:t>
      </w:r>
      <w:r w:rsidR="00C23CFD" w:rsidRPr="00742BED">
        <w:rPr>
          <w:rFonts w:ascii="Arial" w:hAnsi="Arial" w:cs="Arial"/>
          <w:color w:val="000000" w:themeColor="text1"/>
          <w:sz w:val="21"/>
          <w:szCs w:val="21"/>
          <w:lang w:val="es-ES_tradnl"/>
        </w:rPr>
        <w:t>Artículo 2.2.1.2.1.3.2. Procedimiento del concurso de méritos. Además de las reglas generales previstas en la ley y en el presente título, las siguientes reglas son aplicables al concurso de méritos abierto o con precalificación:</w:t>
      </w:r>
    </w:p>
    <w:p w14:paraId="0DF2ABDA" w14:textId="77777777" w:rsidR="00C23CFD" w:rsidRPr="00742BED" w:rsidRDefault="00C23CFD" w:rsidP="00C23CFD">
      <w:pPr>
        <w:pStyle w:val="Sinespaciado"/>
        <w:spacing w:after="120"/>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31B7864A" w14:textId="77777777" w:rsidR="00C23CFD" w:rsidRPr="00742BED" w:rsidRDefault="00C23CFD" w:rsidP="00C23CFD">
      <w:pPr>
        <w:pStyle w:val="Sinespaciado"/>
        <w:spacing w:after="120"/>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2. La Entidad Estatal debe publicar durante tres (3) días hábiles el informe de evaluación, el cual debe contener la calificación técnica y el orden de elegibilidad.</w:t>
      </w:r>
    </w:p>
    <w:p w14:paraId="68A79248" w14:textId="77777777" w:rsidR="00C23CFD" w:rsidRPr="00742BED" w:rsidRDefault="00C23CFD" w:rsidP="00C23CFD">
      <w:pPr>
        <w:pStyle w:val="Sinespaciado"/>
        <w:spacing w:after="120"/>
        <w:ind w:left="709" w:right="709"/>
        <w:jc w:val="both"/>
        <w:rPr>
          <w:rFonts w:ascii="Arial" w:hAnsi="Arial" w:cs="Arial"/>
          <w:i/>
          <w:color w:val="000000" w:themeColor="text1"/>
          <w:sz w:val="21"/>
          <w:szCs w:val="21"/>
          <w:lang w:val="es-ES_tradnl"/>
        </w:rPr>
      </w:pPr>
      <w:r w:rsidRPr="00742BED">
        <w:rPr>
          <w:rFonts w:ascii="Arial" w:hAnsi="Arial" w:cs="Arial"/>
          <w:i/>
          <w:color w:val="000000" w:themeColor="text1"/>
          <w:sz w:val="21"/>
          <w:szCs w:val="21"/>
          <w:lang w:val="es-ES_tradnl"/>
        </w:rPr>
        <w:t>3. La Entidad Estatal debe revisar la oferta económica y verificar que está en el rango del valor estimado consignado en los documentos y estudios previos y del presupuesto asignado para el contrato.</w:t>
      </w:r>
    </w:p>
    <w:p w14:paraId="7FA3C658" w14:textId="77777777" w:rsidR="00C23CFD" w:rsidRPr="00742BED" w:rsidRDefault="00C23CFD" w:rsidP="00C23CFD">
      <w:pPr>
        <w:pStyle w:val="Sinespaciado"/>
        <w:spacing w:after="120"/>
        <w:ind w:left="709" w:right="709"/>
        <w:jc w:val="both"/>
        <w:rPr>
          <w:rFonts w:ascii="Arial" w:hAnsi="Arial" w:cs="Arial"/>
          <w:i/>
          <w:color w:val="000000" w:themeColor="text1"/>
          <w:sz w:val="21"/>
          <w:szCs w:val="21"/>
          <w:lang w:val="es-ES_tradnl"/>
        </w:rPr>
      </w:pPr>
      <w:r w:rsidRPr="00742BED">
        <w:rPr>
          <w:rFonts w:ascii="Arial" w:hAnsi="Arial" w:cs="Arial"/>
          <w:i/>
          <w:color w:val="000000" w:themeColor="text1"/>
          <w:sz w:val="21"/>
          <w:szCs w:val="21"/>
          <w:lang w:val="es-ES_tradnl"/>
        </w:rPr>
        <w:t xml:space="preserve">4. La Entidad Estatal debe revisar con el oferente calificado en el primer lugar de elegibilidad la coherencia y consistencia entre: i) la necesidad identificada por la Entidad Estatal y el alcance de la oferta; ii) la </w:t>
      </w:r>
      <w:proofErr w:type="gramStart"/>
      <w:r w:rsidRPr="00742BED">
        <w:rPr>
          <w:rFonts w:ascii="Arial" w:hAnsi="Arial" w:cs="Arial"/>
          <w:i/>
          <w:color w:val="000000" w:themeColor="text1"/>
          <w:sz w:val="21"/>
          <w:szCs w:val="21"/>
          <w:lang w:val="es-ES_tradnl"/>
        </w:rPr>
        <w:t>consultoría ofrecida y el precio ofrecido</w:t>
      </w:r>
      <w:proofErr w:type="gramEnd"/>
      <w:r w:rsidRPr="00742BED">
        <w:rPr>
          <w:rFonts w:ascii="Arial" w:hAnsi="Arial" w:cs="Arial"/>
          <w:i/>
          <w:color w:val="000000" w:themeColor="text1"/>
          <w:sz w:val="21"/>
          <w:szCs w:val="21"/>
          <w:lang w:val="es-ES_tradnl"/>
        </w:rPr>
        <w:t xml:space="preserve">, y iii) el precio ofrecido y la disponibilidad presupuestal del respectivo Proceso de Contratación. Si la Entidad Estatal y el oferente llegan a un acuerdo sobre el alcance y el valor del contrato, dejarán constancia </w:t>
      </w:r>
      <w:proofErr w:type="gramStart"/>
      <w:r w:rsidRPr="00742BED">
        <w:rPr>
          <w:rFonts w:ascii="Arial" w:hAnsi="Arial" w:cs="Arial"/>
          <w:i/>
          <w:color w:val="000000" w:themeColor="text1"/>
          <w:sz w:val="21"/>
          <w:szCs w:val="21"/>
          <w:lang w:val="es-ES_tradnl"/>
        </w:rPr>
        <w:t>del mismo</w:t>
      </w:r>
      <w:proofErr w:type="gramEnd"/>
      <w:r w:rsidRPr="00742BED">
        <w:rPr>
          <w:rFonts w:ascii="Arial" w:hAnsi="Arial" w:cs="Arial"/>
          <w:i/>
          <w:color w:val="000000" w:themeColor="text1"/>
          <w:sz w:val="21"/>
          <w:szCs w:val="21"/>
          <w:lang w:val="es-ES_tradnl"/>
        </w:rPr>
        <w:t xml:space="preserve"> y firmarán el contrato.</w:t>
      </w:r>
    </w:p>
    <w:p w14:paraId="48FD1747" w14:textId="77777777" w:rsidR="00C23CFD" w:rsidRPr="00742BED" w:rsidRDefault="00C23CFD" w:rsidP="00C23CFD">
      <w:pPr>
        <w:pStyle w:val="Sinespaciado"/>
        <w:spacing w:after="120"/>
        <w:ind w:left="709" w:right="709"/>
        <w:jc w:val="both"/>
        <w:rPr>
          <w:rFonts w:ascii="Arial" w:hAnsi="Arial" w:cs="Arial"/>
          <w:i/>
          <w:color w:val="000000" w:themeColor="text1"/>
          <w:sz w:val="21"/>
          <w:szCs w:val="21"/>
          <w:lang w:val="es-ES_tradnl"/>
        </w:rPr>
      </w:pPr>
      <w:r w:rsidRPr="00742BED">
        <w:rPr>
          <w:rFonts w:ascii="Arial" w:hAnsi="Arial" w:cs="Arial"/>
          <w:i/>
          <w:color w:val="000000" w:themeColor="text1"/>
          <w:sz w:val="21"/>
          <w:szCs w:val="21"/>
          <w:lang w:val="es-ES_tradnl"/>
        </w:rPr>
        <w:t xml:space="preserve">5. Si la Entidad Estatal y el oferente calificado en el primer lugar de elegibilidad no llegan a un acuerdo dejarán constancia de ello y la Entidad Estatal revisará con el oferente calificado en el segundo lugar de elegibilidad los aspectos a los que se refiere el numeral anterior. Si la Entidad Estatal y el oferente llegan a un acuerdo dejarán constancia </w:t>
      </w:r>
      <w:proofErr w:type="gramStart"/>
      <w:r w:rsidRPr="00742BED">
        <w:rPr>
          <w:rFonts w:ascii="Arial" w:hAnsi="Arial" w:cs="Arial"/>
          <w:i/>
          <w:color w:val="000000" w:themeColor="text1"/>
          <w:sz w:val="21"/>
          <w:szCs w:val="21"/>
          <w:lang w:val="es-ES_tradnl"/>
        </w:rPr>
        <w:t>del mismo</w:t>
      </w:r>
      <w:proofErr w:type="gramEnd"/>
      <w:r w:rsidRPr="00742BED">
        <w:rPr>
          <w:rFonts w:ascii="Arial" w:hAnsi="Arial" w:cs="Arial"/>
          <w:i/>
          <w:color w:val="000000" w:themeColor="text1"/>
          <w:sz w:val="21"/>
          <w:szCs w:val="21"/>
          <w:lang w:val="es-ES_tradnl"/>
        </w:rPr>
        <w:t xml:space="preserve"> y firmarán el contrato.</w:t>
      </w:r>
    </w:p>
    <w:p w14:paraId="3072DBA1" w14:textId="4ADA91CB" w:rsidR="00C23CFD" w:rsidRPr="00742BED" w:rsidRDefault="00C23CFD" w:rsidP="00C23CFD">
      <w:pPr>
        <w:pStyle w:val="Sinespaciado"/>
        <w:ind w:left="709" w:right="709"/>
        <w:jc w:val="both"/>
        <w:rPr>
          <w:rFonts w:ascii="Arial" w:hAnsi="Arial" w:cs="Arial"/>
          <w:color w:val="000000" w:themeColor="text1"/>
          <w:sz w:val="21"/>
          <w:szCs w:val="21"/>
          <w:lang w:val="es-ES_tradnl"/>
        </w:rPr>
      </w:pPr>
      <w:r w:rsidRPr="00742BED">
        <w:rPr>
          <w:rFonts w:ascii="Arial" w:hAnsi="Arial" w:cs="Arial"/>
          <w:i/>
          <w:color w:val="000000" w:themeColor="text1"/>
          <w:sz w:val="21"/>
          <w:szCs w:val="21"/>
          <w:lang w:val="es-ES_tradnl"/>
        </w:rPr>
        <w:t>6. Si la Entidad Estatal y el oferente calificado en el segundo lugar de elegibilidad no llegan a un acuerdo, la Entidad Estatal debe declarar desierto el Proceso de Contratación</w:t>
      </w:r>
      <w:r w:rsidRPr="00742BED">
        <w:rPr>
          <w:rFonts w:ascii="Arial" w:hAnsi="Arial" w:cs="Arial"/>
          <w:color w:val="000000" w:themeColor="text1"/>
          <w:sz w:val="21"/>
          <w:szCs w:val="21"/>
          <w:lang w:val="es-ES_tradnl"/>
        </w:rPr>
        <w:t>.</w:t>
      </w:r>
      <w:r w:rsidR="002E44D9" w:rsidRPr="00742BED">
        <w:rPr>
          <w:rFonts w:ascii="Arial" w:hAnsi="Arial" w:cs="Arial"/>
          <w:color w:val="000000" w:themeColor="text1"/>
          <w:sz w:val="22"/>
          <w:lang w:val="es-ES_tradnl"/>
        </w:rPr>
        <w:t>»</w:t>
      </w:r>
      <w:r w:rsidRPr="00742BED">
        <w:rPr>
          <w:rFonts w:ascii="Arial" w:hAnsi="Arial" w:cs="Arial"/>
          <w:color w:val="000000" w:themeColor="text1"/>
          <w:sz w:val="21"/>
          <w:szCs w:val="21"/>
          <w:lang w:val="es-ES_tradnl"/>
        </w:rPr>
        <w:t xml:space="preserve"> (Énfasis fuera de texto)</w:t>
      </w:r>
    </w:p>
    <w:p w14:paraId="41608B5A" w14:textId="77777777" w:rsidR="00C23CFD" w:rsidRPr="00742BED" w:rsidRDefault="00C23CFD" w:rsidP="00C23CFD">
      <w:pPr>
        <w:jc w:val="both"/>
        <w:rPr>
          <w:rFonts w:ascii="Arial" w:hAnsi="Arial" w:cs="Arial"/>
          <w:color w:val="000000" w:themeColor="text1"/>
          <w:sz w:val="22"/>
          <w:lang w:val="es-ES_tradnl"/>
        </w:rPr>
      </w:pPr>
    </w:p>
    <w:p w14:paraId="2FCEC9B2" w14:textId="4876A857" w:rsidR="00C23CFD" w:rsidRPr="00742BED" w:rsidRDefault="00C23CFD" w:rsidP="007766C8">
      <w:pPr>
        <w:spacing w:before="120" w:after="120" w:line="276" w:lineRule="auto"/>
        <w:ind w:firstLine="709"/>
        <w:jc w:val="both"/>
        <w:rPr>
          <w:rFonts w:ascii="Arial" w:hAnsi="Arial" w:cs="Arial"/>
          <w:color w:val="000000" w:themeColor="text1"/>
          <w:sz w:val="22"/>
          <w:lang w:val="es-ES_tradnl"/>
        </w:rPr>
      </w:pPr>
      <w:r w:rsidRPr="00742BED">
        <w:rPr>
          <w:rFonts w:ascii="Arial" w:hAnsi="Arial" w:cs="Arial"/>
          <w:color w:val="000000" w:themeColor="text1"/>
          <w:sz w:val="22"/>
          <w:lang w:val="es-ES_tradnl"/>
        </w:rPr>
        <w:t>Los citados numerales 3, 4 y 5 disponían la verificación del precio. Por un lado, los numerales 3 y 4 exigían que estuviera dentro del presupuesto disponible y que este aspecto fuera producto del acuerdo entre la entidad y el oferente calificado en primer lugar. Por otro lado, el numeral 5 disponía el procedimiento a seguir en el evento en que la entidad estatal y el calificado en primer orden de elegibilidad no llegaran a un acuerdo sobre el precio del contrato. Además, el numeral 6 solo permitía negociar el precio con el proponente que ocupara el segundo orden de elegibilidad, por lo que</w:t>
      </w:r>
      <w:r w:rsidR="007766C8">
        <w:rPr>
          <w:rFonts w:ascii="Arial" w:hAnsi="Arial" w:cs="Arial"/>
          <w:color w:val="000000" w:themeColor="text1"/>
          <w:sz w:val="22"/>
          <w:lang w:val="es-ES_tradnl"/>
        </w:rPr>
        <w:t>,</w:t>
      </w:r>
      <w:r w:rsidRPr="00742BED">
        <w:rPr>
          <w:rFonts w:ascii="Arial" w:hAnsi="Arial" w:cs="Arial"/>
          <w:color w:val="000000" w:themeColor="text1"/>
          <w:sz w:val="22"/>
          <w:lang w:val="es-ES_tradnl"/>
        </w:rPr>
        <w:t xml:space="preserve"> si no era posible llegar a un acuerdo con este, procedía la declaración de desierta. </w:t>
      </w:r>
    </w:p>
    <w:p w14:paraId="2B1C8EE0" w14:textId="21D8CB4F" w:rsidR="00C23CFD" w:rsidRPr="00742BED" w:rsidRDefault="007766C8" w:rsidP="007766C8">
      <w:pPr>
        <w:spacing w:before="120" w:after="120" w:line="276" w:lineRule="auto"/>
        <w:ind w:firstLine="709"/>
        <w:jc w:val="both"/>
        <w:rPr>
          <w:rFonts w:ascii="Arial" w:hAnsi="Arial" w:cs="Arial"/>
          <w:color w:val="000000" w:themeColor="text1"/>
          <w:sz w:val="22"/>
          <w:lang w:val="es-ES_tradnl"/>
        </w:rPr>
      </w:pPr>
      <w:bookmarkStart w:id="4" w:name="_Hlk43918393"/>
      <w:r>
        <w:rPr>
          <w:rFonts w:ascii="Arial" w:hAnsi="Arial" w:cs="Arial"/>
          <w:color w:val="000000" w:themeColor="text1"/>
          <w:sz w:val="22"/>
          <w:lang w:val="es-ES_tradnl"/>
        </w:rPr>
        <w:t>De este modo, el</w:t>
      </w:r>
      <w:r w:rsidR="00C23CFD" w:rsidRPr="00742BED">
        <w:rPr>
          <w:rFonts w:ascii="Arial" w:hAnsi="Arial" w:cs="Arial"/>
          <w:color w:val="000000" w:themeColor="text1"/>
          <w:sz w:val="22"/>
          <w:lang w:val="es-ES_tradnl"/>
        </w:rPr>
        <w:t xml:space="preserve"> Consejo de Estado consideró que los numerales 3, 4 y 5 v</w:t>
      </w:r>
      <w:r>
        <w:rPr>
          <w:rFonts w:ascii="Arial" w:hAnsi="Arial" w:cs="Arial"/>
          <w:color w:val="000000" w:themeColor="text1"/>
          <w:sz w:val="22"/>
          <w:lang w:val="es-ES_tradnl"/>
        </w:rPr>
        <w:t xml:space="preserve">ulneraban </w:t>
      </w:r>
      <w:r w:rsidR="00C23CFD" w:rsidRPr="00742BED">
        <w:rPr>
          <w:rFonts w:ascii="Arial" w:hAnsi="Arial" w:cs="Arial"/>
          <w:color w:val="000000" w:themeColor="text1"/>
          <w:sz w:val="22"/>
          <w:lang w:val="es-ES_tradnl"/>
        </w:rPr>
        <w:t xml:space="preserve">el artículo 5, numeral 4, último inciso, de la Ley 1150 de 2007, pues señaló que: </w:t>
      </w:r>
      <w:r w:rsidR="00C23CFD" w:rsidRPr="00742BED">
        <w:rPr>
          <w:rFonts w:ascii="Arial" w:hAnsi="Arial" w:cs="Arial"/>
          <w:color w:val="000000" w:themeColor="text1"/>
          <w:sz w:val="22"/>
          <w:lang w:val="es-ES_tradnl"/>
        </w:rPr>
        <w:lastRenderedPageBreak/>
        <w:t xml:space="preserve">«en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w:t>
      </w:r>
      <w:r>
        <w:rPr>
          <w:rFonts w:ascii="Arial" w:hAnsi="Arial" w:cs="Arial"/>
          <w:color w:val="000000" w:themeColor="text1"/>
          <w:sz w:val="22"/>
          <w:lang w:val="es-ES_tradnl"/>
        </w:rPr>
        <w:t>A</w:t>
      </w:r>
      <w:r w:rsidR="00C23CFD" w:rsidRPr="00742BED">
        <w:rPr>
          <w:rFonts w:ascii="Arial" w:hAnsi="Arial" w:cs="Arial"/>
          <w:color w:val="000000" w:themeColor="text1"/>
          <w:sz w:val="22"/>
          <w:lang w:val="es-ES_tradnl"/>
        </w:rPr>
        <w:t xml:space="preserve">lto </w:t>
      </w:r>
      <w:r>
        <w:rPr>
          <w:rFonts w:ascii="Arial" w:hAnsi="Arial" w:cs="Arial"/>
          <w:color w:val="000000" w:themeColor="text1"/>
          <w:sz w:val="22"/>
          <w:lang w:val="es-ES_tradnl"/>
        </w:rPr>
        <w:t>T</w:t>
      </w:r>
      <w:r w:rsidR="00C23CFD" w:rsidRPr="00742BED">
        <w:rPr>
          <w:rFonts w:ascii="Arial" w:hAnsi="Arial" w:cs="Arial"/>
          <w:color w:val="000000" w:themeColor="text1"/>
          <w:sz w:val="22"/>
          <w:lang w:val="es-ES_tradnl"/>
        </w:rPr>
        <w:t>ribunal</w:t>
      </w:r>
      <w:r>
        <w:rPr>
          <w:rFonts w:ascii="Arial" w:hAnsi="Arial" w:cs="Arial"/>
          <w:color w:val="000000" w:themeColor="text1"/>
          <w:sz w:val="22"/>
          <w:lang w:val="es-ES_tradnl"/>
        </w:rPr>
        <w:t xml:space="preserve"> de lo contencioso administrativo</w:t>
      </w:r>
      <w:r w:rsidR="00C23CFD" w:rsidRPr="00742BED">
        <w:rPr>
          <w:rFonts w:ascii="Arial" w:hAnsi="Arial" w:cs="Arial"/>
          <w:color w:val="000000" w:themeColor="text1"/>
          <w:sz w:val="22"/>
          <w:lang w:val="es-ES_tradnl"/>
        </w:rPr>
        <w:t xml:space="preserve"> explicó que la verificación de la coherencia del precio con la disponibilidad presupuestal y la necesidad de que se logre un acuerdo en relación con el mismo desconocía el principio de selección objetiva, convirtiendo el precio en un factor de selección</w:t>
      </w:r>
      <w:r w:rsidR="00C23CFD" w:rsidRPr="00742BED">
        <w:rPr>
          <w:rStyle w:val="Refdenotaalpie"/>
          <w:rFonts w:ascii="Arial" w:hAnsi="Arial" w:cs="Arial"/>
          <w:color w:val="000000" w:themeColor="text1"/>
          <w:sz w:val="22"/>
          <w:lang w:val="es-ES_tradnl"/>
        </w:rPr>
        <w:footnoteReference w:id="3"/>
      </w:r>
      <w:r w:rsidR="00C23CFD" w:rsidRPr="00742BED">
        <w:rPr>
          <w:rFonts w:ascii="Arial" w:hAnsi="Arial" w:cs="Arial"/>
          <w:color w:val="000000" w:themeColor="text1"/>
          <w:sz w:val="22"/>
          <w:lang w:val="es-ES_tradnl"/>
        </w:rPr>
        <w:t>. En lo que respecta al artículo 6, este violaría especialmente el artículo 25.18 del Estatuto General y el artículo 5 de la Ley 1150 de 2007, pues la declaratoria de desierta solo procede cuando no es posible la selección objetiva del contratista</w:t>
      </w:r>
      <w:bookmarkEnd w:id="4"/>
      <w:r w:rsidR="00C23CFD" w:rsidRPr="00742BED">
        <w:rPr>
          <w:rStyle w:val="Refdenotaalpie"/>
          <w:rFonts w:ascii="Arial" w:hAnsi="Arial" w:cs="Arial"/>
          <w:color w:val="000000" w:themeColor="text1"/>
          <w:sz w:val="22"/>
          <w:lang w:val="es-ES_tradnl"/>
        </w:rPr>
        <w:footnoteReference w:id="4"/>
      </w:r>
      <w:r w:rsidR="00C23CFD" w:rsidRPr="00742BED">
        <w:rPr>
          <w:rFonts w:ascii="Arial" w:hAnsi="Arial" w:cs="Arial"/>
          <w:color w:val="000000" w:themeColor="text1"/>
          <w:sz w:val="22"/>
          <w:lang w:val="es-ES_tradnl"/>
        </w:rPr>
        <w:t>.</w:t>
      </w:r>
    </w:p>
    <w:p w14:paraId="01A1FFB8" w14:textId="77777777" w:rsidR="00C23CFD" w:rsidRPr="00742BED" w:rsidRDefault="00C23CFD" w:rsidP="007766C8">
      <w:pPr>
        <w:spacing w:before="120" w:after="120" w:line="276" w:lineRule="auto"/>
        <w:ind w:firstLine="709"/>
        <w:jc w:val="both"/>
        <w:rPr>
          <w:rFonts w:ascii="Arial" w:hAnsi="Arial" w:cs="Arial"/>
          <w:color w:val="000000" w:themeColor="text1"/>
          <w:sz w:val="22"/>
          <w:lang w:val="es-ES_tradnl"/>
        </w:rPr>
      </w:pPr>
      <w:bookmarkStart w:id="5" w:name="_Hlk43916091"/>
      <w:r w:rsidRPr="00742BED">
        <w:rPr>
          <w:rFonts w:ascii="Arial" w:hAnsi="Arial" w:cs="Arial"/>
          <w:color w:val="000000" w:themeColor="text1"/>
          <w:sz w:val="22"/>
          <w:lang w:val="es-ES_tradnl"/>
        </w:rPr>
        <w:t xml:space="preserve">En consecuencia, </w:t>
      </w:r>
      <w:r w:rsidRPr="00742BED">
        <w:rPr>
          <w:rFonts w:ascii="Arial" w:eastAsia="Calibri" w:hAnsi="Arial" w:cs="Arial"/>
          <w:color w:val="000000" w:themeColor="text1"/>
          <w:sz w:val="22"/>
          <w:lang w:val="es-ES_tradnl"/>
        </w:rPr>
        <w:t>con los autos de suspensión provisional, el concurso de méritos abierto debía desarrollarse aplicando únicamente los numerales 1 y 2 del</w:t>
      </w:r>
      <w:r w:rsidRPr="00742BED">
        <w:rPr>
          <w:rFonts w:ascii="Arial" w:hAnsi="Arial" w:cs="Arial"/>
          <w:color w:val="000000" w:themeColor="text1"/>
          <w:sz w:val="22"/>
          <w:lang w:val="es-ES_tradnl"/>
        </w:rPr>
        <w:t xml:space="preserve"> artículo 2.2.1.2.1.3.2 del Decreto 1082 de 2015.</w:t>
      </w:r>
      <w:bookmarkStart w:id="6" w:name="_Hlk43916290"/>
      <w:bookmarkEnd w:id="5"/>
      <w:r w:rsidRPr="00742BED">
        <w:rPr>
          <w:rFonts w:ascii="Arial" w:hAnsi="Arial" w:cs="Arial"/>
          <w:color w:val="000000" w:themeColor="text1"/>
          <w:sz w:val="22"/>
          <w:lang w:val="es-ES_tradnl"/>
        </w:rPr>
        <w:t xml:space="preserve"> Por lo tanto, </w:t>
      </w:r>
      <w:r w:rsidRPr="00742BED">
        <w:rPr>
          <w:rFonts w:ascii="Arial" w:hAnsi="Arial" w:cs="Arial"/>
          <w:i/>
          <w:iCs/>
          <w:color w:val="000000" w:themeColor="text1"/>
          <w:sz w:val="22"/>
          <w:lang w:val="es-ES_tradnl"/>
        </w:rPr>
        <w:t>siempre que estuviera dentro del presupuesto oficial</w:t>
      </w:r>
      <w:r w:rsidRPr="00742BED">
        <w:rPr>
          <w:rFonts w:ascii="Arial" w:hAnsi="Arial" w:cs="Arial"/>
          <w:color w:val="000000" w:themeColor="text1"/>
          <w:sz w:val="22"/>
          <w:lang w:val="es-ES_tradnl"/>
        </w:rPr>
        <w:t>, la entidad estatal debía adjudicar el contrato al proponente que ocupara el primer puesto en el orden de elegibilidad, independientemente del valor ofrecido</w:t>
      </w:r>
      <w:r w:rsidRPr="00742BED">
        <w:rPr>
          <w:rFonts w:ascii="Arial" w:eastAsia="Calibri" w:hAnsi="Arial" w:cs="Arial"/>
          <w:color w:val="000000" w:themeColor="text1"/>
          <w:sz w:val="22"/>
          <w:lang w:val="es-ES_tradnl"/>
        </w:rPr>
        <w:t>.</w:t>
      </w:r>
    </w:p>
    <w:p w14:paraId="3EDBEF3D" w14:textId="0B4D03D9" w:rsidR="00C23CFD" w:rsidRPr="00742BED" w:rsidRDefault="00330BDF" w:rsidP="007766C8">
      <w:pPr>
        <w:spacing w:before="120"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 otro lado, e</w:t>
      </w:r>
      <w:r w:rsidR="00C23CFD" w:rsidRPr="00742BED">
        <w:rPr>
          <w:rFonts w:ascii="Arial" w:eastAsia="Calibri" w:hAnsi="Arial" w:cs="Arial"/>
          <w:color w:val="000000" w:themeColor="text1"/>
          <w:sz w:val="22"/>
          <w:lang w:val="es-ES_tradnl"/>
        </w:rPr>
        <w:t>l artículo 2 del Decreto 399 de 2021 modificó el artículo 2.2.1.2.1.3.2. del Decreto 1082 de 2015, en los siguientes términos:</w:t>
      </w:r>
    </w:p>
    <w:p w14:paraId="41A90115" w14:textId="4EC04521" w:rsidR="00C23CFD" w:rsidRPr="007766C8" w:rsidRDefault="007766C8" w:rsidP="00C23CFD">
      <w:pPr>
        <w:shd w:val="clear" w:color="auto" w:fill="FFFFFF"/>
        <w:ind w:left="709" w:right="709"/>
        <w:jc w:val="both"/>
        <w:rPr>
          <w:rFonts w:ascii="Arial" w:hAnsi="Arial" w:cs="Arial"/>
          <w:color w:val="000000" w:themeColor="text1"/>
          <w:sz w:val="21"/>
          <w:szCs w:val="21"/>
          <w:lang w:val="es-ES_tradnl"/>
        </w:rPr>
      </w:pPr>
      <w:r w:rsidRPr="007766C8">
        <w:rPr>
          <w:rFonts w:ascii="Arial" w:hAnsi="Arial" w:cs="Arial"/>
          <w:color w:val="000000" w:themeColor="text1"/>
          <w:sz w:val="21"/>
          <w:szCs w:val="21"/>
          <w:lang w:val="es-ES_tradnl"/>
        </w:rPr>
        <w:lastRenderedPageBreak/>
        <w:t>«</w:t>
      </w:r>
      <w:r w:rsidR="00C23CFD" w:rsidRPr="00742BED">
        <w:rPr>
          <w:rFonts w:ascii="Arial" w:hAnsi="Arial" w:cs="Arial"/>
          <w:color w:val="000000" w:themeColor="text1"/>
          <w:sz w:val="21"/>
          <w:szCs w:val="21"/>
          <w:lang w:val="es-ES_tradnl"/>
        </w:rPr>
        <w:t xml:space="preserve">Artículo 2. </w:t>
      </w:r>
      <w:r w:rsidR="00C23CFD" w:rsidRPr="007766C8">
        <w:rPr>
          <w:rFonts w:ascii="Arial" w:hAnsi="Arial" w:cs="Arial"/>
          <w:color w:val="000000" w:themeColor="text1"/>
          <w:sz w:val="21"/>
          <w:szCs w:val="21"/>
          <w:lang w:val="es-ES_tradnl"/>
        </w:rPr>
        <w:t>Modificación del artículo </w:t>
      </w:r>
      <w:hyperlink r:id="rId12" w:anchor="2.2.1.2.1.3.2" w:history="1">
        <w:r w:rsidR="00C23CFD" w:rsidRPr="007766C8">
          <w:rPr>
            <w:rStyle w:val="Hipervnculo"/>
            <w:rFonts w:ascii="Arial" w:eastAsia="Arial" w:hAnsi="Arial" w:cs="Arial"/>
            <w:color w:val="000000" w:themeColor="text1"/>
            <w:sz w:val="21"/>
            <w:szCs w:val="21"/>
            <w:u w:val="none"/>
            <w:lang w:val="es-ES_tradnl"/>
          </w:rPr>
          <w:t>2.2.1.2.1.3.2</w:t>
        </w:r>
      </w:hyperlink>
      <w:r w:rsidR="00C23CFD" w:rsidRPr="007766C8">
        <w:rPr>
          <w:rFonts w:ascii="Arial" w:hAnsi="Arial" w:cs="Arial"/>
          <w:color w:val="000000" w:themeColor="text1"/>
          <w:sz w:val="21"/>
          <w:szCs w:val="21"/>
          <w:lang w:val="es-ES_tradnl"/>
        </w:rPr>
        <w:t>. del Decreto 1082 de 2015, Único Reglamentario del Sector Administrativo de Planeación Nacional. Modifíquese el artículo 2.2.1.2.1.3.2. de la Subsección 3 de la Sección 1 del Capítulo 2 del Título 1 de la Parte 2 del Libro 2 del Decreto 1082 de 2015, Único Reglamentario del Sector Administrativo de Planeación Nacional, el cual quedará así:</w:t>
      </w:r>
    </w:p>
    <w:p w14:paraId="0B9B6670" w14:textId="77777777" w:rsidR="00C23CFD" w:rsidRPr="007766C8" w:rsidRDefault="00C23CFD" w:rsidP="00C23CFD">
      <w:pPr>
        <w:shd w:val="clear" w:color="auto" w:fill="FFFFFF"/>
        <w:ind w:left="709" w:right="709"/>
        <w:jc w:val="both"/>
        <w:rPr>
          <w:rFonts w:ascii="Arial" w:hAnsi="Arial" w:cs="Arial"/>
          <w:color w:val="000000" w:themeColor="text1"/>
          <w:sz w:val="21"/>
          <w:szCs w:val="21"/>
          <w:lang w:val="es-ES_tradnl"/>
        </w:rPr>
      </w:pPr>
      <w:r w:rsidRPr="007766C8">
        <w:rPr>
          <w:rFonts w:ascii="Arial" w:hAnsi="Arial" w:cs="Arial"/>
          <w:color w:val="000000" w:themeColor="text1"/>
          <w:sz w:val="21"/>
          <w:szCs w:val="21"/>
          <w:lang w:val="es-ES_tradnl"/>
        </w:rPr>
        <w:t> </w:t>
      </w:r>
    </w:p>
    <w:p w14:paraId="63B58810" w14:textId="4A6F9E8E" w:rsidR="00C23CFD" w:rsidRPr="00742BED" w:rsidRDefault="00881DCE" w:rsidP="00C23CFD">
      <w:pPr>
        <w:shd w:val="clear" w:color="auto" w:fill="FFFFFF"/>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C23CFD" w:rsidRPr="007766C8">
        <w:rPr>
          <w:rFonts w:ascii="Arial" w:hAnsi="Arial" w:cs="Arial"/>
          <w:color w:val="000000" w:themeColor="text1"/>
          <w:sz w:val="21"/>
          <w:szCs w:val="21"/>
          <w:lang w:val="es-ES_tradnl"/>
        </w:rPr>
        <w:t>Artículo 2.2.1.2.1.3.2. Procedimiento del concurso de méritos. Además de las reglas generales previstas en la ley y en el presente título, las siguientes reglas son aplicables al concurso de méritos abierto</w:t>
      </w:r>
      <w:r w:rsidR="00C23CFD" w:rsidRPr="00742BED">
        <w:rPr>
          <w:rFonts w:ascii="Arial" w:hAnsi="Arial" w:cs="Arial"/>
          <w:color w:val="000000" w:themeColor="text1"/>
          <w:sz w:val="21"/>
          <w:szCs w:val="21"/>
          <w:lang w:val="es-ES_tradnl"/>
        </w:rPr>
        <w:t xml:space="preserve"> o con precalificación:</w:t>
      </w:r>
    </w:p>
    <w:p w14:paraId="4631C28D" w14:textId="77777777" w:rsidR="00C23CFD" w:rsidRPr="00742BED" w:rsidRDefault="00C23CFD" w:rsidP="00C23CFD">
      <w:pPr>
        <w:shd w:val="clear" w:color="auto" w:fill="FFFFFF"/>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 </w:t>
      </w:r>
    </w:p>
    <w:p w14:paraId="7E0174E9" w14:textId="77777777" w:rsidR="00C23CFD" w:rsidRPr="00742BED" w:rsidRDefault="00C23CFD" w:rsidP="00C23CFD">
      <w:pPr>
        <w:shd w:val="clear" w:color="auto" w:fill="FFFFFF"/>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1. La Entidad Estatal en los pliegos de condiciones debe indicar la forma como calificará, entre otros, los siguientes criterios: a) la experiencia del interesado y del equipo de trabajo y b) la formación académica del equipo de trabajo.</w:t>
      </w:r>
    </w:p>
    <w:p w14:paraId="18EEF8BF" w14:textId="77777777" w:rsidR="00C23CFD" w:rsidRPr="00742BED" w:rsidRDefault="00C23CFD" w:rsidP="00C23CFD">
      <w:pPr>
        <w:shd w:val="clear" w:color="auto" w:fill="FFFFFF"/>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 </w:t>
      </w:r>
    </w:p>
    <w:p w14:paraId="22C972A8" w14:textId="77777777" w:rsidR="00C23CFD" w:rsidRPr="00742BED" w:rsidRDefault="00C23CFD" w:rsidP="00C23CFD">
      <w:pPr>
        <w:shd w:val="clear" w:color="auto" w:fill="FFFFFF"/>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2. La Entidad Estatal debe publicar durante tres (3) días hábiles el informe de evaluación, el cual debe contener la evaluación de las ofertas frente a todos los requisitos exigidos en el pliego de condiciones, incluyendo los requisitos habilitantes y los de asignación de puntaje.</w:t>
      </w:r>
    </w:p>
    <w:p w14:paraId="25406482" w14:textId="77777777" w:rsidR="00C23CFD" w:rsidRPr="00742BED" w:rsidRDefault="00C23CFD" w:rsidP="00C23CFD">
      <w:pPr>
        <w:shd w:val="clear" w:color="auto" w:fill="FFFFFF"/>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 </w:t>
      </w:r>
    </w:p>
    <w:p w14:paraId="325CA206" w14:textId="2DC515D1" w:rsidR="00C23CFD" w:rsidRPr="00742BED" w:rsidRDefault="00C23CFD" w:rsidP="00C23CFD">
      <w:pPr>
        <w:shd w:val="clear" w:color="auto" w:fill="FFFFFF"/>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3. Una vez resueltas las observaciones al informe de evaluación, la entidad adjudicará el contrato mediante acto administrativo al oferente que haya cumplido todos los requisitos exigidos en el pliego de condiciones y haya obtenido el mayor puntaje.</w:t>
      </w:r>
      <w:r w:rsidR="00881DCE">
        <w:rPr>
          <w:rFonts w:ascii="Arial" w:hAnsi="Arial" w:cs="Arial"/>
          <w:color w:val="000000" w:themeColor="text1"/>
          <w:sz w:val="21"/>
          <w:szCs w:val="21"/>
          <w:lang w:val="es-ES_tradnl"/>
        </w:rPr>
        <w:t>”</w:t>
      </w:r>
      <w:r w:rsidR="007766C8" w:rsidRPr="007766C8">
        <w:rPr>
          <w:rFonts w:ascii="Arial" w:hAnsi="Arial" w:cs="Arial"/>
          <w:color w:val="000000" w:themeColor="text1"/>
          <w:sz w:val="21"/>
          <w:szCs w:val="21"/>
          <w:lang w:val="es-ES_tradnl"/>
        </w:rPr>
        <w:t>»</w:t>
      </w:r>
    </w:p>
    <w:p w14:paraId="26C08F02" w14:textId="77777777" w:rsidR="00C23CFD" w:rsidRPr="00742BED" w:rsidRDefault="00C23CFD" w:rsidP="00C23CFD">
      <w:pPr>
        <w:rPr>
          <w:color w:val="000000" w:themeColor="text1"/>
          <w:lang w:val="es-ES_tradnl"/>
        </w:rPr>
      </w:pPr>
    </w:p>
    <w:p w14:paraId="443AF680" w14:textId="5B72E025" w:rsidR="00C23CFD" w:rsidRPr="00742BED" w:rsidRDefault="00C23CFD" w:rsidP="00881DCE">
      <w:pPr>
        <w:spacing w:before="120" w:after="120"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Como se observa, el artículo 2 del Decreto 399 de 2021 reformó la reglamentación del concurso de méritos, para adecuarla a los pronunciamientos del Consejo de Estado que habían suspendido provisionalmente algunos numerales del artículo 2.2.1.2.1.3.2. del Decreto 1082 de 2015</w:t>
      </w:r>
      <w:r w:rsidRPr="00742BED">
        <w:rPr>
          <w:rStyle w:val="Refdenotaalpie"/>
          <w:rFonts w:ascii="Arial" w:eastAsia="Calibri" w:hAnsi="Arial" w:cs="Arial"/>
          <w:color w:val="000000" w:themeColor="text1"/>
          <w:sz w:val="22"/>
          <w:lang w:val="es-ES_tradnl"/>
        </w:rPr>
        <w:footnoteReference w:id="5"/>
      </w:r>
      <w:r w:rsidRPr="00742BED">
        <w:rPr>
          <w:rFonts w:ascii="Arial" w:eastAsia="Calibri" w:hAnsi="Arial" w:cs="Arial"/>
          <w:color w:val="000000" w:themeColor="text1"/>
          <w:sz w:val="22"/>
          <w:lang w:val="es-ES_tradnl"/>
        </w:rPr>
        <w:t>. A diferencia de lo que establecía este artículo en su redacción inicial, con la entrada en vig</w:t>
      </w:r>
      <w:r w:rsidR="00881DCE">
        <w:rPr>
          <w:rFonts w:ascii="Arial" w:eastAsia="Calibri" w:hAnsi="Arial" w:cs="Arial"/>
          <w:color w:val="000000" w:themeColor="text1"/>
          <w:sz w:val="22"/>
          <w:lang w:val="es-ES_tradnl"/>
        </w:rPr>
        <w:t xml:space="preserve">or </w:t>
      </w:r>
      <w:r w:rsidRPr="00742BED">
        <w:rPr>
          <w:rFonts w:ascii="Arial" w:eastAsia="Calibri" w:hAnsi="Arial" w:cs="Arial"/>
          <w:color w:val="000000" w:themeColor="text1"/>
          <w:sz w:val="22"/>
          <w:lang w:val="es-ES_tradnl"/>
        </w:rPr>
        <w:t>del artículo 2 del Decreto 399 de 2021 se observan los siguientes cambios:</w:t>
      </w:r>
    </w:p>
    <w:p w14:paraId="250F5DE0" w14:textId="77777777" w:rsidR="00C23CFD" w:rsidRPr="00742BED" w:rsidRDefault="00C23CFD" w:rsidP="000E7A59">
      <w:pPr>
        <w:spacing w:before="120" w:after="120"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 xml:space="preserve">i) El informe de evaluación, que la entidad debe publicar durante tres (3) días hábiles, debe contener ya no solamente la calificación técnica y el orden de elegibilidad, sino «[…] la evaluación de las ofertas frente a todos los requisitos exigidos en el pliego de condiciones, incluyendo los requisitos habilitantes y los de asignación de puntaje». Esta nueva </w:t>
      </w:r>
      <w:r w:rsidRPr="00742BED">
        <w:rPr>
          <w:rFonts w:ascii="Arial" w:eastAsia="Calibri" w:hAnsi="Arial" w:cs="Arial"/>
          <w:color w:val="000000" w:themeColor="text1"/>
          <w:sz w:val="22"/>
          <w:lang w:val="es-ES_tradnl"/>
        </w:rPr>
        <w:lastRenderedPageBreak/>
        <w:t>disposición permite que los interesados ejerzan su derecho a conocer el informe de evaluación y a formular las observaciones que consideren pertinentes.</w:t>
      </w:r>
    </w:p>
    <w:p w14:paraId="599117E4" w14:textId="24995168" w:rsidR="00C23CFD" w:rsidRPr="00742BED" w:rsidRDefault="00C23CFD" w:rsidP="00BB2191">
      <w:pPr>
        <w:spacing w:before="120" w:after="120"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ii)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w:t>
      </w:r>
      <w:r w:rsidR="001B755F">
        <w:rPr>
          <w:rFonts w:ascii="Arial" w:eastAsia="Calibri" w:hAnsi="Arial" w:cs="Arial"/>
          <w:color w:val="000000" w:themeColor="text1"/>
          <w:sz w:val="22"/>
          <w:lang w:val="es-ES_tradnl"/>
        </w:rPr>
        <w:t>.</w:t>
      </w:r>
      <w:r w:rsidRPr="00742BED">
        <w:rPr>
          <w:rFonts w:ascii="Arial" w:eastAsia="Calibri" w:hAnsi="Arial" w:cs="Arial"/>
          <w:color w:val="000000" w:themeColor="text1"/>
          <w:sz w:val="22"/>
          <w:lang w:val="es-ES_tradnl"/>
        </w:rPr>
        <w:t xml:space="preserve"> </w:t>
      </w:r>
      <w:r w:rsidR="001B755F">
        <w:rPr>
          <w:rFonts w:ascii="Arial" w:eastAsia="Calibri" w:hAnsi="Arial" w:cs="Arial"/>
          <w:color w:val="000000" w:themeColor="text1"/>
          <w:sz w:val="22"/>
          <w:lang w:val="es-ES_tradnl"/>
        </w:rPr>
        <w:t>E</w:t>
      </w:r>
      <w:r w:rsidRPr="00742BED">
        <w:rPr>
          <w:rFonts w:ascii="Arial" w:eastAsia="Calibri" w:hAnsi="Arial" w:cs="Arial"/>
          <w:color w:val="000000" w:themeColor="text1"/>
          <w:sz w:val="22"/>
          <w:lang w:val="es-ES_tradnl"/>
        </w:rPr>
        <w:t>n su lugar,</w:t>
      </w:r>
      <w:r w:rsidR="001B755F">
        <w:rPr>
          <w:rFonts w:ascii="Arial" w:eastAsia="Calibri" w:hAnsi="Arial" w:cs="Arial"/>
          <w:color w:val="000000" w:themeColor="text1"/>
          <w:sz w:val="22"/>
          <w:lang w:val="es-ES_tradnl"/>
        </w:rPr>
        <w:t xml:space="preserve"> señala</w:t>
      </w:r>
      <w:r w:rsidRPr="00742BED">
        <w:rPr>
          <w:rFonts w:ascii="Arial" w:eastAsia="Calibri" w:hAnsi="Arial" w:cs="Arial"/>
          <w:color w:val="000000" w:themeColor="text1"/>
          <w:sz w:val="22"/>
          <w:lang w:val="es-ES_tradnl"/>
        </w:rPr>
        <w:t xml:space="preserve"> que «Una vez resueltas las observaciones al informe de evaluación, la entidad adjudicará el contrato mediante acto administrativo al oferente que haya cumplido todos los requisitos exigidos en el pliego de condiciones y haya obtenido el mayor puntaje». O sea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2E4E648A" w14:textId="77777777" w:rsidR="00C23CFD" w:rsidRPr="00742BED" w:rsidRDefault="00C23CFD" w:rsidP="00BB2191">
      <w:pPr>
        <w:spacing w:before="120" w:after="120"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iii)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w:t>
      </w:r>
    </w:p>
    <w:p w14:paraId="1073CC64" w14:textId="77777777" w:rsidR="00C23CFD" w:rsidRPr="00742BED" w:rsidRDefault="00C23CFD" w:rsidP="00BB2191">
      <w:pPr>
        <w:spacing w:before="120" w:after="120"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 xml:space="preserve">Un aspecto igualmente importante que introduce el Decreto 399 de 2021 y que incide sobre el trámite del concurso de méritos, tiene que ver con el contenido de los estudios y documentos previos que soportan el proceso de contratación. Recuérdese que el numeral 4 del artículo 2.2.1.1.2.1.1. del Decreto 1082 de 2015 establecía que la entidad estatal no debía «[…] publicar las variables utilizadas para calcular el valor estimado del contrato cuando la modalidad de selección del contratista sea en concurso de méritos». Pues bien, el artículo 1 del Decreto 399 de 2021 elimina esta prohibición, para garantizar que los interesados conozcan la información relacionada con el valor estimado del contrato en los concursos de méritos y potenciar la garantía de los principios de publicidad y transparencia. En efecto, así lo justifica el gobierno nacional en las consideraciones de dicho Decreto: </w:t>
      </w:r>
    </w:p>
    <w:p w14:paraId="2CC40F1F" w14:textId="572F2761" w:rsidR="00C23CFD" w:rsidRPr="00742BED" w:rsidRDefault="00BB2191" w:rsidP="00C23CFD">
      <w:pPr>
        <w:shd w:val="clear" w:color="auto" w:fill="FFFFFF"/>
        <w:ind w:left="709" w:right="709"/>
        <w:jc w:val="both"/>
        <w:rPr>
          <w:rFonts w:ascii="Arial" w:hAnsi="Arial" w:cs="Arial"/>
          <w:color w:val="000000" w:themeColor="text1"/>
          <w:sz w:val="21"/>
          <w:szCs w:val="21"/>
          <w:lang w:val="es-ES_tradnl"/>
        </w:rPr>
      </w:pPr>
      <w:r w:rsidRPr="00BB2191">
        <w:rPr>
          <w:rFonts w:ascii="Arial" w:hAnsi="Arial" w:cs="Arial"/>
          <w:color w:val="000000" w:themeColor="text1"/>
          <w:sz w:val="21"/>
          <w:szCs w:val="21"/>
          <w:lang w:val="es-ES_tradnl"/>
        </w:rPr>
        <w:t>«</w:t>
      </w:r>
      <w:r w:rsidR="00C23CFD" w:rsidRPr="00742BED">
        <w:rPr>
          <w:rFonts w:ascii="Arial" w:hAnsi="Arial" w:cs="Arial"/>
          <w:color w:val="000000" w:themeColor="text1"/>
          <w:sz w:val="21"/>
          <w:szCs w:val="21"/>
          <w:lang w:val="es-ES_tradnl"/>
        </w:rPr>
        <w:t xml:space="preserve">Que en consideración a la importancia de conocer los valores y criterios utilizados por las entidades estatales que sirvan de soporte para definir el valor estimado del contrato en la modalidad de selección de concurso de méritos, y </w:t>
      </w:r>
      <w:r w:rsidR="00C23CFD" w:rsidRPr="00742BED">
        <w:rPr>
          <w:rFonts w:ascii="Arial" w:hAnsi="Arial" w:cs="Arial"/>
          <w:color w:val="000000" w:themeColor="text1"/>
          <w:sz w:val="21"/>
          <w:szCs w:val="21"/>
          <w:lang w:val="es-ES_tradnl"/>
        </w:rPr>
        <w:lastRenderedPageBreak/>
        <w:t>ante la inexistencia de una reserva legal de esta información, es necesario eliminar la restricción respecto al deber de publicación de dichos análisis.</w:t>
      </w:r>
    </w:p>
    <w:p w14:paraId="7884E549" w14:textId="77777777" w:rsidR="00C23CFD" w:rsidRPr="00742BED" w:rsidRDefault="00C23CFD" w:rsidP="00C23CFD">
      <w:pPr>
        <w:shd w:val="clear" w:color="auto" w:fill="FFFFFF"/>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 </w:t>
      </w:r>
    </w:p>
    <w:p w14:paraId="1D5D173C" w14:textId="21B0B9B9" w:rsidR="00C23CFD" w:rsidRPr="00742BED" w:rsidRDefault="00C23CFD" w:rsidP="00C23CFD">
      <w:pPr>
        <w:shd w:val="clear" w:color="auto" w:fill="FFFFFF"/>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Que se considera conveniente dar publicidad a la forma como se calcula el valor del contrato en los concursos de méritos, con la finalidad de garantizar al máximo los principios de publicidad y transparencia. Además, para que los interesados, de conformidad con el artículo 8 de la Ley 1150 de 2007, puedan realizar observaciones al proyecto de pliego de condiciones, que debe incluir el valor estimado del contrato.</w:t>
      </w:r>
      <w:r w:rsidR="00BB2191" w:rsidRPr="00BB2191">
        <w:rPr>
          <w:rFonts w:ascii="Arial" w:hAnsi="Arial" w:cs="Arial"/>
          <w:color w:val="000000" w:themeColor="text1"/>
          <w:sz w:val="21"/>
          <w:szCs w:val="21"/>
          <w:lang w:val="es-ES_tradnl"/>
        </w:rPr>
        <w:t>»</w:t>
      </w:r>
      <w:r w:rsidRPr="00742BED">
        <w:rPr>
          <w:rFonts w:ascii="Arial" w:eastAsia="Calibri" w:hAnsi="Arial" w:cs="Arial"/>
          <w:color w:val="000000" w:themeColor="text1"/>
          <w:sz w:val="22"/>
          <w:lang w:val="es-ES_tradnl"/>
        </w:rPr>
        <w:t xml:space="preserve">  </w:t>
      </w:r>
    </w:p>
    <w:p w14:paraId="17511A10" w14:textId="77777777" w:rsidR="00C23CFD" w:rsidRPr="00742BED" w:rsidRDefault="00C23CFD" w:rsidP="00C23CFD">
      <w:pPr>
        <w:spacing w:line="276" w:lineRule="auto"/>
        <w:ind w:firstLine="709"/>
        <w:jc w:val="both"/>
        <w:rPr>
          <w:rFonts w:ascii="Arial" w:eastAsia="Calibri" w:hAnsi="Arial" w:cs="Arial"/>
          <w:color w:val="000000" w:themeColor="text1"/>
          <w:sz w:val="22"/>
          <w:lang w:val="es-ES_tradnl"/>
        </w:rPr>
      </w:pPr>
    </w:p>
    <w:p w14:paraId="0EA89A05" w14:textId="77777777" w:rsidR="001B755F" w:rsidRDefault="00C23CFD" w:rsidP="008D7F99">
      <w:pPr>
        <w:spacing w:after="120"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 xml:space="preserve">Por lo tanto, a partir de la entrada en </w:t>
      </w:r>
      <w:r w:rsidR="00BB2191">
        <w:rPr>
          <w:rFonts w:ascii="Arial" w:eastAsia="Calibri" w:hAnsi="Arial" w:cs="Arial"/>
          <w:color w:val="000000" w:themeColor="text1"/>
          <w:sz w:val="22"/>
          <w:lang w:val="es-ES_tradnl"/>
        </w:rPr>
        <w:t>vigor</w:t>
      </w:r>
      <w:r w:rsidRPr="00742BED">
        <w:rPr>
          <w:rFonts w:ascii="Arial" w:eastAsia="Calibri" w:hAnsi="Arial" w:cs="Arial"/>
          <w:color w:val="000000" w:themeColor="text1"/>
          <w:sz w:val="22"/>
          <w:lang w:val="es-ES_tradnl"/>
        </w:rPr>
        <w:t xml:space="preserve"> del Decreto 399 de 2021, las entidades estatales deben incluir en los estudios previos del concurso de méritos la información correspondiente a las variables empleadas para calcular el valor estimado del contrato, determinando así el presupuesto oficial. Además, los interesados pueden formular observaciones al proyecto de pliego de condiciones sobre este tema. Adicionalmente, en el pliego de condiciones deben establecerse con claridad los requisitos habilitantes y criterios de calificación con fundamento en los cuales la entidad estatal elaborará el informe de evaluación respectivo. Al respecto, se aclara que el Decreto 399 de 2021 en ningún caso contradice lo establecido en el artículo 5, numeral 4, de la Ley 1150 de 2007; norma que dispone que «En los procesos para la selección de consultores se hará uso de factores de calificación destinados a valorar los aspectos técnicos de la oferta o proyecto […]» y que «En ningún caso se podrá incluir el precio, como factor de escogencia para la selección de consultores». </w:t>
      </w:r>
    </w:p>
    <w:p w14:paraId="0E4A7081" w14:textId="28D4D7C0" w:rsidR="004C77DD" w:rsidRPr="00742BED" w:rsidRDefault="001B755F" w:rsidP="008D7F99">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Debe resaltarse que e</w:t>
      </w:r>
      <w:r w:rsidR="00C23CFD" w:rsidRPr="00742BED">
        <w:rPr>
          <w:rFonts w:ascii="Arial" w:eastAsia="Calibri" w:hAnsi="Arial" w:cs="Arial"/>
          <w:color w:val="000000" w:themeColor="text1"/>
          <w:sz w:val="22"/>
          <w:lang w:val="es-ES_tradnl"/>
        </w:rPr>
        <w:t>l hecho de que desaparezca la etapa en la cual la entidad estatal debía intentar un acuerdo sobre el alcance y el valor del contrato con el oferente calificado en el primer orden de elegibilidad no significa que se esté introduciendo el precio como factor de escogencia. Lo que se deduce del artículo 2 del Decreto 399 de 2021 es que en el pliego de condiciones debe quedar claramente establecido el presupuesto oficial, así como la prohibición de superarlo como requisito habilitante dentro del concurso de méritos. En consecuencia, cuando el valor de la oferta exceda dicho presupuesto oficial y tal inconsistencia no sea subsanada, deberá procederse con el rechazo y esto debe quedar consignado en el informe de evaluación</w:t>
      </w:r>
      <w:r w:rsidR="00C23CFD" w:rsidRPr="00742BED">
        <w:rPr>
          <w:rStyle w:val="Refdenotaalpie"/>
          <w:rFonts w:ascii="Arial" w:eastAsia="Calibri" w:hAnsi="Arial" w:cs="Arial"/>
          <w:color w:val="000000" w:themeColor="text1"/>
          <w:sz w:val="22"/>
          <w:lang w:val="es-ES_tradnl"/>
        </w:rPr>
        <w:footnoteReference w:id="6"/>
      </w:r>
      <w:r w:rsidR="00C23CFD" w:rsidRPr="00742BED">
        <w:rPr>
          <w:rFonts w:ascii="Arial" w:eastAsia="Calibri" w:hAnsi="Arial" w:cs="Arial"/>
          <w:color w:val="000000" w:themeColor="text1"/>
          <w:sz w:val="22"/>
          <w:lang w:val="es-ES_tradnl"/>
        </w:rPr>
        <w:t xml:space="preserve">. </w:t>
      </w:r>
    </w:p>
    <w:p w14:paraId="6EF1CF59" w14:textId="77777777" w:rsidR="00757D4E" w:rsidRDefault="00C23CFD" w:rsidP="00757D4E">
      <w:pPr>
        <w:spacing w:before="120" w:after="120" w:line="276" w:lineRule="auto"/>
        <w:ind w:firstLine="709"/>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lastRenderedPageBreak/>
        <w:t>Dicho de otro modo, una vez verificado el cumplimiento de los requisitos habilitantes –entre los cuales está no superar el presupuesto oficial– y de ponderar los factores de calificación, se deberá elaborar el informe de evaluación respectivo –el cual es susceptible de observaciones– y solo se podrá adjudicar el contrato a quien ocupe el primer orden de elegibilidad según los criterios de calificación. Esto significa que luego de resolver las observaciones al informe de evaluación y de quedar en firme este, ya la entidad estatal no puede revisar la conformidad de la oferta económica con el presupuesto oficial –pues esto debió hacerlo antes de publicar el informe de evaluación–, ni intentar un acuerdo sobre el precio, como sí lo permitían los numerales 4 y 5 del artículo 2.2.1.2.1.3.2. del Decreto 1082 de 2015 en su redacción inicial. Lo que procede una vez resueltas las observaciones al informe de evaluación es la adjudicación del contrato o la declaratoria de desierta, si ninguno de los oferentes cumple los requisitos establecidos en el pliego de condiciones.</w:t>
      </w:r>
    </w:p>
    <w:p w14:paraId="4EE67809" w14:textId="2A245A76" w:rsidR="004C77DD" w:rsidRPr="00742BED" w:rsidRDefault="00330BDF" w:rsidP="004C77DD">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Teniendo en cuenta el marco jurídico indicado, en relación con el funcionamiento del SECOP, vale la pena señalar que esta </w:t>
      </w:r>
      <w:r w:rsidR="004C77DD" w:rsidRPr="00742BED">
        <w:rPr>
          <w:rFonts w:ascii="Arial" w:eastAsia="Calibri" w:hAnsi="Arial" w:cs="Arial"/>
          <w:color w:val="000000" w:themeColor="text1"/>
          <w:sz w:val="22"/>
          <w:lang w:val="es-ES_tradnl"/>
        </w:rPr>
        <w:t>Agencia recientemente expidió la Circular Externa 002 del 8 de junio de 2021, donde estableció lo siguiente, en relación con la publicidad temporal de los concursos de méritos:</w:t>
      </w:r>
    </w:p>
    <w:p w14:paraId="7A97C736" w14:textId="77777777" w:rsidR="004C77DD" w:rsidRPr="00742BED" w:rsidRDefault="004C77DD" w:rsidP="004C77DD">
      <w:pPr>
        <w:spacing w:line="276" w:lineRule="auto"/>
        <w:ind w:firstLine="709"/>
        <w:jc w:val="both"/>
        <w:rPr>
          <w:rFonts w:ascii="Arial" w:eastAsia="Calibri" w:hAnsi="Arial" w:cs="Arial"/>
          <w:color w:val="000000" w:themeColor="text1"/>
          <w:sz w:val="22"/>
          <w:lang w:val="es-ES_tradnl"/>
        </w:rPr>
      </w:pPr>
    </w:p>
    <w:p w14:paraId="2BC24992" w14:textId="652CEC39" w:rsidR="004C77DD" w:rsidRPr="00742BED" w:rsidRDefault="00CB0116" w:rsidP="004C77DD">
      <w:pPr>
        <w:shd w:val="clear" w:color="auto" w:fill="FFFFFF"/>
        <w:spacing w:after="120"/>
        <w:ind w:left="709" w:right="709"/>
        <w:jc w:val="both"/>
        <w:rPr>
          <w:rFonts w:ascii="Arial" w:hAnsi="Arial" w:cs="Arial"/>
          <w:color w:val="000000" w:themeColor="text1"/>
          <w:sz w:val="21"/>
          <w:szCs w:val="21"/>
          <w:lang w:val="es-ES_tradnl"/>
        </w:rPr>
      </w:pPr>
      <w:r w:rsidRPr="00CB0116">
        <w:rPr>
          <w:rFonts w:ascii="Arial" w:hAnsi="Arial" w:cs="Arial"/>
          <w:color w:val="000000" w:themeColor="text1"/>
          <w:sz w:val="21"/>
          <w:szCs w:val="21"/>
          <w:lang w:val="es-ES_tradnl"/>
        </w:rPr>
        <w:t>«</w:t>
      </w:r>
      <w:r w:rsidR="004C77DD" w:rsidRPr="00742BED">
        <w:rPr>
          <w:rFonts w:ascii="Arial" w:hAnsi="Arial" w:cs="Arial"/>
          <w:color w:val="000000" w:themeColor="text1"/>
          <w:sz w:val="21"/>
          <w:szCs w:val="21"/>
          <w:lang w:val="es-ES_tradnl"/>
        </w:rPr>
        <w:t>Así las cosas, el Concurso de Méritos definido en el artículo 2.2.1.2.1.3.1. del Decreto 1082 de 2015, y de acuerdo con el procedimiento establecido en el artículo 2.2.1.2.1.3.2. modificado por el artículo 2 del Decreto 399 de 2021, deberá adelantarse y publicarse de manera temporal a través del Sistema Electrónico de Contratación Pública – SECOP I.</w:t>
      </w:r>
    </w:p>
    <w:p w14:paraId="578D2FB1" w14:textId="77777777" w:rsidR="004C77DD" w:rsidRPr="00742BED" w:rsidRDefault="004C77DD" w:rsidP="004C77DD">
      <w:pPr>
        <w:shd w:val="clear" w:color="auto" w:fill="FFFFFF"/>
        <w:spacing w:after="120"/>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En tal sentido, a las Entidades Estatales se les habilitará temporalmente el SECOP I para que publiquen los documentos del concurso de méritos abierto o con precalificación dentro de los tres (3) días siguientes a su expedición, como lo ordena el artículo 2.2.1.1.1.7.1. del Decreto 1082 de 2015.</w:t>
      </w:r>
    </w:p>
    <w:p w14:paraId="5E6B8858" w14:textId="77777777" w:rsidR="004C77DD" w:rsidRPr="00742BED" w:rsidRDefault="004C77DD" w:rsidP="004C77DD">
      <w:pPr>
        <w:shd w:val="clear" w:color="auto" w:fill="FFFFFF"/>
        <w:spacing w:after="120"/>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Los procedimientos de selección que se realicen utilizando los documentos tipo adoptados por la Agencia Nacional de Contratación Pública – Colombia Compra Eficiente, que se adelanten por la modalidad de selección de Concurso de Méritos, también se publicarán transitoriamente en la plataforma SECOP I, mientras se habilita el módulo de Concurso de Méritos en la plataforma SECOP II, teniendo en cuenta la regulación establecida en el Decreto 399 de 2021.</w:t>
      </w:r>
    </w:p>
    <w:p w14:paraId="5E5A7926" w14:textId="77777777" w:rsidR="004C77DD" w:rsidRPr="00742BED" w:rsidRDefault="004C77DD" w:rsidP="004C77DD">
      <w:pPr>
        <w:shd w:val="clear" w:color="auto" w:fill="FFFFFF"/>
        <w:spacing w:after="120"/>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Una vez la funcionalidad para la publicación de Concurso de Méritos (abierto o con precalificación) sea implementada en el SECOP II, notificaremos a todos nuestros usuarios a través de nuestros canales oficiales.</w:t>
      </w:r>
    </w:p>
    <w:p w14:paraId="4D321931" w14:textId="1A27CEE6" w:rsidR="00736116" w:rsidRPr="00742BED" w:rsidRDefault="004C77DD" w:rsidP="008D7F99">
      <w:pPr>
        <w:shd w:val="clear" w:color="auto" w:fill="FFFFFF"/>
        <w:ind w:left="709" w:right="709"/>
        <w:jc w:val="both"/>
        <w:rPr>
          <w:rFonts w:ascii="Arial" w:hAnsi="Arial" w:cs="Arial"/>
          <w:color w:val="000000" w:themeColor="text1"/>
          <w:sz w:val="21"/>
          <w:szCs w:val="21"/>
          <w:lang w:val="es-ES_tradnl"/>
        </w:rPr>
      </w:pPr>
      <w:r w:rsidRPr="00742BED">
        <w:rPr>
          <w:rFonts w:ascii="Arial" w:hAnsi="Arial" w:cs="Arial"/>
          <w:color w:val="000000" w:themeColor="text1"/>
          <w:sz w:val="21"/>
          <w:szCs w:val="21"/>
          <w:lang w:val="es-ES_tradnl"/>
        </w:rPr>
        <w:t>La habilitación de permisos en el SECOP I se verá reflejada a partir del 08 de junio 2021.</w:t>
      </w:r>
      <w:r w:rsidR="00CB0116" w:rsidRPr="00CB0116">
        <w:rPr>
          <w:rFonts w:ascii="Arial" w:hAnsi="Arial" w:cs="Arial"/>
          <w:color w:val="000000" w:themeColor="text1"/>
          <w:sz w:val="21"/>
          <w:szCs w:val="21"/>
          <w:lang w:val="es-ES_tradnl"/>
        </w:rPr>
        <w:t>»</w:t>
      </w:r>
    </w:p>
    <w:p w14:paraId="5C4344AF" w14:textId="77777777" w:rsidR="004C77DD" w:rsidRPr="00742BED" w:rsidRDefault="004C77DD" w:rsidP="004C77DD">
      <w:pPr>
        <w:spacing w:line="276" w:lineRule="auto"/>
        <w:jc w:val="both"/>
        <w:rPr>
          <w:rFonts w:ascii="Arial" w:eastAsia="Calibri" w:hAnsi="Arial" w:cs="Arial"/>
          <w:color w:val="000000" w:themeColor="text1"/>
          <w:sz w:val="22"/>
          <w:lang w:val="es-ES_tradnl"/>
        </w:rPr>
      </w:pPr>
    </w:p>
    <w:p w14:paraId="06BD8290" w14:textId="26924148" w:rsidR="00330BDF" w:rsidRDefault="004C77DD" w:rsidP="008D7F99">
      <w:pPr>
        <w:spacing w:line="276" w:lineRule="auto"/>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ab/>
        <w:t xml:space="preserve">Teniendo en cuenta lo establecido en la Circular citada, </w:t>
      </w:r>
      <w:r w:rsidR="00330BDF">
        <w:rPr>
          <w:rFonts w:ascii="Arial" w:eastAsia="Calibri" w:hAnsi="Arial" w:cs="Arial"/>
          <w:color w:val="000000" w:themeColor="text1"/>
          <w:sz w:val="22"/>
          <w:lang w:val="es-ES_tradnl"/>
        </w:rPr>
        <w:t>los concursos de méritos que realicen las entidades estatales deberán adelantarse transitoriamente en el SECOP I, mientras se realizan los ajustes en la plataforma del SECOP II, de manera que esta resulte armónica con el marco jurídico explicado. Además, vale la pena destacar que esto también aplica, como se señala en la Circular, para los concursos de méritos que se realicen utilizando los documentos tipo.</w:t>
      </w:r>
    </w:p>
    <w:bookmarkEnd w:id="6"/>
    <w:p w14:paraId="1F55067F" w14:textId="77777777" w:rsidR="00A012F5" w:rsidRDefault="00A012F5" w:rsidP="006256EA">
      <w:pPr>
        <w:pStyle w:val="Ttulo1"/>
        <w:keepNext w:val="0"/>
        <w:keepLines w:val="0"/>
        <w:widowControl w:val="0"/>
        <w:tabs>
          <w:tab w:val="left" w:pos="544"/>
        </w:tabs>
        <w:autoSpaceDE w:val="0"/>
        <w:autoSpaceDN w:val="0"/>
        <w:spacing w:before="0" w:line="276" w:lineRule="auto"/>
        <w:rPr>
          <w:rFonts w:ascii="Arial" w:hAnsi="Arial" w:cs="Arial"/>
          <w:b/>
          <w:bCs/>
          <w:color w:val="000000" w:themeColor="text1"/>
          <w:sz w:val="22"/>
          <w:szCs w:val="22"/>
        </w:rPr>
      </w:pPr>
    </w:p>
    <w:p w14:paraId="54F8B269" w14:textId="1628AD78" w:rsidR="00B8408D" w:rsidRDefault="00EE1291" w:rsidP="006256EA">
      <w:pPr>
        <w:pStyle w:val="Ttulo1"/>
        <w:keepNext w:val="0"/>
        <w:keepLines w:val="0"/>
        <w:widowControl w:val="0"/>
        <w:tabs>
          <w:tab w:val="left" w:pos="544"/>
        </w:tabs>
        <w:autoSpaceDE w:val="0"/>
        <w:autoSpaceDN w:val="0"/>
        <w:spacing w:before="0" w:line="276" w:lineRule="auto"/>
        <w:rPr>
          <w:rFonts w:ascii="Arial" w:hAnsi="Arial" w:cs="Arial"/>
          <w:b/>
          <w:bCs/>
          <w:color w:val="000000" w:themeColor="text1"/>
          <w:sz w:val="22"/>
          <w:szCs w:val="22"/>
        </w:rPr>
      </w:pPr>
      <w:r>
        <w:rPr>
          <w:rFonts w:ascii="Arial" w:hAnsi="Arial" w:cs="Arial"/>
          <w:b/>
          <w:bCs/>
          <w:color w:val="000000" w:themeColor="text1"/>
          <w:sz w:val="22"/>
          <w:szCs w:val="22"/>
        </w:rPr>
        <w:t>3</w:t>
      </w:r>
      <w:r w:rsidR="006256EA" w:rsidRPr="00A03A61">
        <w:rPr>
          <w:rFonts w:ascii="Arial" w:hAnsi="Arial" w:cs="Arial"/>
          <w:b/>
          <w:bCs/>
          <w:color w:val="000000" w:themeColor="text1"/>
          <w:sz w:val="22"/>
          <w:szCs w:val="22"/>
        </w:rPr>
        <w:t xml:space="preserve">. </w:t>
      </w:r>
      <w:r w:rsidR="00B8408D" w:rsidRPr="00A03A61">
        <w:rPr>
          <w:rFonts w:ascii="Arial" w:hAnsi="Arial" w:cs="Arial"/>
          <w:b/>
          <w:bCs/>
          <w:color w:val="000000" w:themeColor="text1"/>
          <w:sz w:val="22"/>
          <w:szCs w:val="22"/>
        </w:rPr>
        <w:t>Respuesta</w:t>
      </w:r>
    </w:p>
    <w:p w14:paraId="64832BDE" w14:textId="77777777" w:rsidR="004C4FEB" w:rsidRPr="00015F47" w:rsidRDefault="004C4FEB" w:rsidP="00015F47"/>
    <w:p w14:paraId="224F0C89" w14:textId="3193A3B8" w:rsidR="004C4FEB" w:rsidRPr="00015F47" w:rsidRDefault="00F773A6" w:rsidP="00015F47">
      <w:pPr>
        <w:pStyle w:val="NormalWeb"/>
        <w:spacing w:before="0" w:beforeAutospacing="0" w:after="0" w:afterAutospacing="0"/>
        <w:ind w:left="1077" w:right="709"/>
        <w:jc w:val="both"/>
        <w:rPr>
          <w:rFonts w:ascii="Arial" w:hAnsi="Arial" w:cs="Arial"/>
          <w:sz w:val="21"/>
          <w:szCs w:val="21"/>
        </w:rPr>
      </w:pPr>
      <w:r w:rsidRPr="00015F47">
        <w:rPr>
          <w:rFonts w:ascii="Arial" w:hAnsi="Arial" w:cs="Arial"/>
          <w:sz w:val="21"/>
          <w:szCs w:val="21"/>
        </w:rPr>
        <w:t>«¿Cual es momento correcto según la ley y el reglamento para la apertura del sobre económico del Concurso de Méritos (pliego tipo de interventoría de transporte)?».</w:t>
      </w:r>
    </w:p>
    <w:p w14:paraId="389D9497" w14:textId="77777777" w:rsidR="004C4FEB" w:rsidRPr="00015F47" w:rsidRDefault="004C4FEB" w:rsidP="00015F47">
      <w:pPr>
        <w:pStyle w:val="NormalWeb"/>
        <w:spacing w:before="0" w:beforeAutospacing="0" w:after="0" w:afterAutospacing="0"/>
        <w:ind w:left="1077" w:right="709"/>
        <w:jc w:val="both"/>
        <w:rPr>
          <w:rFonts w:ascii="Arial" w:hAnsi="Arial" w:cs="Arial"/>
          <w:sz w:val="21"/>
          <w:szCs w:val="21"/>
        </w:rPr>
      </w:pPr>
    </w:p>
    <w:p w14:paraId="28E70E5C" w14:textId="4B434F3F" w:rsidR="006E36F6" w:rsidRDefault="00F773A6" w:rsidP="004C4FEB">
      <w:pPr>
        <w:pStyle w:val="NormalWeb"/>
        <w:spacing w:before="0" w:beforeAutospacing="0" w:after="0" w:afterAutospacing="0"/>
        <w:ind w:left="1080" w:right="709"/>
        <w:jc w:val="both"/>
        <w:rPr>
          <w:rFonts w:ascii="Arial" w:hAnsi="Arial" w:cs="Arial"/>
          <w:sz w:val="21"/>
          <w:szCs w:val="21"/>
        </w:rPr>
      </w:pPr>
      <w:r w:rsidRPr="00015F47">
        <w:rPr>
          <w:rFonts w:ascii="Arial" w:hAnsi="Arial" w:cs="Arial"/>
          <w:sz w:val="21"/>
          <w:szCs w:val="21"/>
        </w:rPr>
        <w:t>«¿Es viable abrir el sobre económico a la par con el sobre 1 y 2?».</w:t>
      </w:r>
    </w:p>
    <w:p w14:paraId="7043F269" w14:textId="77777777" w:rsidR="00BD4AFF" w:rsidRPr="00015F47" w:rsidRDefault="00BD4AFF" w:rsidP="00015F47">
      <w:pPr>
        <w:pStyle w:val="NormalWeb"/>
        <w:spacing w:before="0" w:beforeAutospacing="0" w:after="0" w:afterAutospacing="0"/>
        <w:ind w:left="1080" w:right="709"/>
        <w:jc w:val="both"/>
        <w:rPr>
          <w:rFonts w:ascii="Arial" w:hAnsi="Arial" w:cs="Arial"/>
          <w:sz w:val="21"/>
          <w:szCs w:val="21"/>
        </w:rPr>
      </w:pPr>
    </w:p>
    <w:p w14:paraId="71F75798" w14:textId="59D88D60" w:rsidR="00D10946" w:rsidRPr="008D7F99" w:rsidRDefault="00F773A6" w:rsidP="00015F47">
      <w:pPr>
        <w:spacing w:before="120" w:after="120" w:line="276" w:lineRule="auto"/>
        <w:jc w:val="both"/>
        <w:rPr>
          <w:rFonts w:ascii="Arial" w:hAnsi="Arial" w:cs="Arial"/>
          <w:color w:val="201F1E"/>
          <w:sz w:val="22"/>
          <w:szCs w:val="22"/>
        </w:rPr>
      </w:pPr>
      <w:r w:rsidRPr="008D7F99">
        <w:rPr>
          <w:rFonts w:ascii="Arial" w:hAnsi="Arial" w:cs="Arial"/>
          <w:color w:val="000000"/>
          <w:sz w:val="22"/>
          <w:szCs w:val="22"/>
          <w:bdr w:val="none" w:sz="0" w:space="0" w:color="auto" w:frame="1"/>
        </w:rPr>
        <w:t>De conformidad con las anteriores consideraciones, es pertinente resaltar que normativamente no se ha previsto el momento en el que deba realizarse la apertura del sobre que contenga la oferta económica</w:t>
      </w:r>
      <w:r w:rsidR="00314F2B">
        <w:rPr>
          <w:rFonts w:ascii="Arial" w:hAnsi="Arial" w:cs="Arial"/>
          <w:color w:val="000000"/>
          <w:sz w:val="22"/>
          <w:szCs w:val="22"/>
          <w:bdr w:val="none" w:sz="0" w:space="0" w:color="auto" w:frame="1"/>
        </w:rPr>
        <w:t xml:space="preserve"> en la modalidad de concurso de méritos,</w:t>
      </w:r>
      <w:r w:rsidR="001A24A5">
        <w:rPr>
          <w:rFonts w:ascii="Arial" w:hAnsi="Arial" w:cs="Arial"/>
          <w:color w:val="000000"/>
          <w:sz w:val="22"/>
          <w:szCs w:val="22"/>
          <w:bdr w:val="none" w:sz="0" w:space="0" w:color="auto" w:frame="1"/>
        </w:rPr>
        <w:t xml:space="preserve"> ni siquiera que esta tenga que presentarse en un sobre independiente</w:t>
      </w:r>
      <w:r w:rsidRPr="008D7F99">
        <w:rPr>
          <w:rFonts w:ascii="Arial" w:hAnsi="Arial" w:cs="Arial"/>
          <w:color w:val="000000"/>
          <w:sz w:val="22"/>
          <w:szCs w:val="22"/>
          <w:bdr w:val="none" w:sz="0" w:space="0" w:color="auto" w:frame="1"/>
        </w:rPr>
        <w:t>. </w:t>
      </w:r>
      <w:r w:rsidR="0058574A">
        <w:rPr>
          <w:rFonts w:ascii="Arial" w:hAnsi="Arial" w:cs="Arial"/>
          <w:color w:val="000000"/>
          <w:sz w:val="22"/>
          <w:szCs w:val="22"/>
          <w:bdr w:val="none" w:sz="0" w:space="0" w:color="auto" w:frame="1"/>
        </w:rPr>
        <w:t>Sin embargo, de acuerdo con lo expuesto, esta Subdirección considera que</w:t>
      </w:r>
      <w:r w:rsidRPr="008D7F99">
        <w:rPr>
          <w:rFonts w:ascii="Arial" w:hAnsi="Arial" w:cs="Arial"/>
          <w:color w:val="000000"/>
          <w:sz w:val="22"/>
          <w:szCs w:val="22"/>
          <w:bdr w:val="none" w:sz="0" w:space="0" w:color="auto" w:frame="1"/>
        </w:rPr>
        <w:t xml:space="preserve"> en el concurso de méritos </w:t>
      </w:r>
      <w:r w:rsidR="0058574A">
        <w:rPr>
          <w:rFonts w:ascii="Arial" w:hAnsi="Arial" w:cs="Arial"/>
          <w:color w:val="000000"/>
          <w:sz w:val="22"/>
          <w:szCs w:val="22"/>
          <w:bdr w:val="none" w:sz="0" w:space="0" w:color="auto" w:frame="1"/>
        </w:rPr>
        <w:t>las ofertas económicas deben evaluarse</w:t>
      </w:r>
      <w:r w:rsidR="00314F2B">
        <w:rPr>
          <w:rFonts w:ascii="Arial" w:hAnsi="Arial" w:cs="Arial"/>
          <w:color w:val="000000"/>
          <w:sz w:val="22"/>
          <w:szCs w:val="22"/>
          <w:bdr w:val="none" w:sz="0" w:space="0" w:color="auto" w:frame="1"/>
        </w:rPr>
        <w:t>, aunque no asignen puntaje,</w:t>
      </w:r>
      <w:r w:rsidRPr="008D7F99">
        <w:rPr>
          <w:rFonts w:ascii="Arial" w:hAnsi="Arial" w:cs="Arial"/>
          <w:color w:val="000000"/>
          <w:sz w:val="22"/>
          <w:szCs w:val="22"/>
          <w:bdr w:val="none" w:sz="0" w:space="0" w:color="auto" w:frame="1"/>
        </w:rPr>
        <w:t xml:space="preserve"> </w:t>
      </w:r>
      <w:r w:rsidR="00B506F6">
        <w:rPr>
          <w:rFonts w:ascii="Arial" w:hAnsi="Arial" w:cs="Arial"/>
          <w:color w:val="000000"/>
          <w:sz w:val="22"/>
          <w:szCs w:val="22"/>
          <w:bdr w:val="none" w:sz="0" w:space="0" w:color="auto" w:frame="1"/>
        </w:rPr>
        <w:t>simultáneamente con</w:t>
      </w:r>
      <w:r w:rsidRPr="008D7F99">
        <w:rPr>
          <w:rFonts w:ascii="Arial" w:hAnsi="Arial" w:cs="Arial"/>
          <w:color w:val="000000"/>
          <w:sz w:val="22"/>
          <w:szCs w:val="22"/>
          <w:bdr w:val="none" w:sz="0" w:space="0" w:color="auto" w:frame="1"/>
        </w:rPr>
        <w:t xml:space="preserve"> los </w:t>
      </w:r>
      <w:r w:rsidR="00B506F6">
        <w:rPr>
          <w:rFonts w:ascii="Arial" w:hAnsi="Arial" w:cs="Arial"/>
          <w:color w:val="000000"/>
          <w:sz w:val="22"/>
          <w:szCs w:val="22"/>
          <w:bdr w:val="none" w:sz="0" w:space="0" w:color="auto" w:frame="1"/>
        </w:rPr>
        <w:t>demás requisitos</w:t>
      </w:r>
      <w:r w:rsidRPr="008D7F99">
        <w:rPr>
          <w:rFonts w:ascii="Arial" w:hAnsi="Arial" w:cs="Arial"/>
          <w:color w:val="000000"/>
          <w:sz w:val="22"/>
          <w:szCs w:val="22"/>
          <w:bdr w:val="none" w:sz="0" w:space="0" w:color="auto" w:frame="1"/>
        </w:rPr>
        <w:t xml:space="preserve"> habilitantes y ponderables,</w:t>
      </w:r>
      <w:r w:rsidR="00314F2B">
        <w:rPr>
          <w:rFonts w:ascii="Arial" w:hAnsi="Arial" w:cs="Arial"/>
          <w:color w:val="000000"/>
          <w:sz w:val="22"/>
          <w:szCs w:val="22"/>
          <w:bdr w:val="none" w:sz="0" w:space="0" w:color="auto" w:frame="1"/>
        </w:rPr>
        <w:t xml:space="preserve"> con la finalidad de determinar que estén acordes con el presupuesto oficial,</w:t>
      </w:r>
      <w:r w:rsidRPr="008D7F99">
        <w:rPr>
          <w:rFonts w:ascii="Arial" w:hAnsi="Arial" w:cs="Arial"/>
          <w:color w:val="000000"/>
          <w:sz w:val="22"/>
          <w:szCs w:val="22"/>
          <w:bdr w:val="none" w:sz="0" w:space="0" w:color="auto" w:frame="1"/>
        </w:rPr>
        <w:t xml:space="preserve"> </w:t>
      </w:r>
      <w:r w:rsidR="00B506F6">
        <w:rPr>
          <w:rFonts w:ascii="Arial" w:hAnsi="Arial" w:cs="Arial"/>
          <w:color w:val="000000"/>
          <w:sz w:val="22"/>
          <w:szCs w:val="22"/>
          <w:bdr w:val="none" w:sz="0" w:space="0" w:color="auto" w:frame="1"/>
        </w:rPr>
        <w:t>lo que resulta coherente con</w:t>
      </w:r>
      <w:r w:rsidRPr="008D7F99">
        <w:rPr>
          <w:rFonts w:ascii="Arial" w:hAnsi="Arial" w:cs="Arial"/>
          <w:color w:val="000000"/>
          <w:sz w:val="22"/>
          <w:szCs w:val="22"/>
          <w:bdr w:val="none" w:sz="0" w:space="0" w:color="auto" w:frame="1"/>
        </w:rPr>
        <w:t xml:space="preserve"> la jurisprudencia del Consejo de Estado </w:t>
      </w:r>
      <w:r w:rsidR="00503E5A">
        <w:rPr>
          <w:rFonts w:ascii="Arial" w:hAnsi="Arial" w:cs="Arial"/>
          <w:color w:val="000000"/>
          <w:sz w:val="22"/>
          <w:szCs w:val="22"/>
          <w:bdr w:val="none" w:sz="0" w:space="0" w:color="auto" w:frame="1"/>
        </w:rPr>
        <w:t>como con</w:t>
      </w:r>
      <w:r w:rsidR="00B506F6" w:rsidRPr="008D7F99">
        <w:rPr>
          <w:rFonts w:ascii="Arial" w:hAnsi="Arial" w:cs="Arial"/>
          <w:color w:val="000000"/>
          <w:sz w:val="22"/>
          <w:szCs w:val="22"/>
          <w:bdr w:val="none" w:sz="0" w:space="0" w:color="auto" w:frame="1"/>
        </w:rPr>
        <w:t xml:space="preserve"> </w:t>
      </w:r>
      <w:r w:rsidRPr="008D7F99">
        <w:rPr>
          <w:rFonts w:ascii="Arial" w:hAnsi="Arial" w:cs="Arial"/>
          <w:color w:val="000000"/>
          <w:sz w:val="22"/>
          <w:szCs w:val="22"/>
          <w:bdr w:val="none" w:sz="0" w:space="0" w:color="auto" w:frame="1"/>
        </w:rPr>
        <w:t>la nueva reglamentación sobre el procedimiento de concurso de méritos</w:t>
      </w:r>
      <w:r w:rsidR="00B506F6">
        <w:rPr>
          <w:rFonts w:ascii="Arial" w:hAnsi="Arial" w:cs="Arial"/>
          <w:color w:val="000000"/>
          <w:sz w:val="22"/>
          <w:szCs w:val="22"/>
          <w:bdr w:val="none" w:sz="0" w:space="0" w:color="auto" w:frame="1"/>
        </w:rPr>
        <w:t xml:space="preserve">. En efecto, </w:t>
      </w:r>
      <w:r w:rsidR="00D10946">
        <w:rPr>
          <w:rFonts w:ascii="Arial" w:eastAsia="Calibri" w:hAnsi="Arial" w:cs="Arial"/>
          <w:color w:val="000000" w:themeColor="text1"/>
          <w:sz w:val="22"/>
          <w:lang w:val="es-ES_tradnl"/>
        </w:rPr>
        <w:t xml:space="preserve">según </w:t>
      </w:r>
      <w:r w:rsidR="00D10946" w:rsidRPr="00742BED">
        <w:rPr>
          <w:rFonts w:ascii="Arial" w:eastAsia="Calibri" w:hAnsi="Arial" w:cs="Arial"/>
          <w:color w:val="000000" w:themeColor="text1"/>
          <w:sz w:val="22"/>
          <w:lang w:val="es-ES_tradnl"/>
        </w:rPr>
        <w:t xml:space="preserve">el artículo 2 del Decreto 399 de 2021 «Una vez resueltas las observaciones al informe de evaluación, la entidad adjudicará el contrato mediante acto administrativo al oferente que haya cumplido todos los requisitos exigidos en el pliego de condiciones y haya obtenido el mayor puntaje». </w:t>
      </w:r>
      <w:r w:rsidR="00D10946">
        <w:rPr>
          <w:rFonts w:ascii="Arial" w:eastAsia="Calibri" w:hAnsi="Arial" w:cs="Arial"/>
          <w:color w:val="000000" w:themeColor="text1"/>
          <w:sz w:val="22"/>
          <w:lang w:val="es-ES_tradnl"/>
        </w:rPr>
        <w:t xml:space="preserve">Es decir, </w:t>
      </w:r>
      <w:r w:rsidR="00D10946" w:rsidRPr="00742BED">
        <w:rPr>
          <w:rFonts w:ascii="Arial" w:eastAsia="Calibri" w:hAnsi="Arial" w:cs="Arial"/>
          <w:color w:val="000000" w:themeColor="text1"/>
          <w:sz w:val="22"/>
          <w:lang w:val="es-ES_tradnl"/>
        </w:rPr>
        <w:t>después de la respuesta a las observaciones del informe de evaluación ya la entidad estatal no debe</w:t>
      </w:r>
      <w:r w:rsidR="00503E5A">
        <w:rPr>
          <w:rFonts w:ascii="Arial" w:eastAsia="Calibri" w:hAnsi="Arial" w:cs="Arial"/>
          <w:color w:val="000000" w:themeColor="text1"/>
          <w:sz w:val="22"/>
          <w:lang w:val="es-ES_tradnl"/>
        </w:rPr>
        <w:t>, como sucedía antes,</w:t>
      </w:r>
      <w:r w:rsidR="00D10946" w:rsidRPr="00742BED">
        <w:rPr>
          <w:rFonts w:ascii="Arial" w:eastAsia="Calibri" w:hAnsi="Arial" w:cs="Arial"/>
          <w:color w:val="000000" w:themeColor="text1"/>
          <w:sz w:val="22"/>
          <w:lang w:val="es-ES_tradnl"/>
        </w:rPr>
        <w:t xml:space="preserve"> revisar que la oferta económica sea acorde </w:t>
      </w:r>
      <w:r w:rsidR="00503E5A">
        <w:rPr>
          <w:rFonts w:ascii="Arial" w:eastAsia="Calibri" w:hAnsi="Arial" w:cs="Arial"/>
          <w:color w:val="000000" w:themeColor="text1"/>
          <w:sz w:val="22"/>
          <w:lang w:val="es-ES_tradnl"/>
        </w:rPr>
        <w:t>con el</w:t>
      </w:r>
      <w:r w:rsidR="00D10946" w:rsidRPr="00742BED">
        <w:rPr>
          <w:rFonts w:ascii="Arial" w:eastAsia="Calibri" w:hAnsi="Arial" w:cs="Arial"/>
          <w:color w:val="000000" w:themeColor="text1"/>
          <w:sz w:val="22"/>
          <w:lang w:val="es-ES_tradnl"/>
        </w:rPr>
        <w:t xml:space="preserve">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663F2E47" w14:textId="77777777" w:rsidR="006E36F6" w:rsidRPr="00FE777A" w:rsidRDefault="006E36F6" w:rsidP="006E36F6">
      <w:pPr>
        <w:pStyle w:val="NormalWeb"/>
        <w:spacing w:before="0" w:beforeAutospacing="0" w:after="0" w:afterAutospacing="0"/>
        <w:jc w:val="both"/>
        <w:rPr>
          <w:rFonts w:ascii="Arial" w:hAnsi="Arial" w:cs="Arial"/>
          <w:color w:val="000000"/>
        </w:rPr>
      </w:pPr>
    </w:p>
    <w:p w14:paraId="0738C8F4" w14:textId="77777777" w:rsidR="00A71CEA" w:rsidRPr="00A03A61" w:rsidRDefault="00A71CEA" w:rsidP="00A71CEA">
      <w:pPr>
        <w:spacing w:line="276" w:lineRule="auto"/>
        <w:jc w:val="both"/>
        <w:rPr>
          <w:rFonts w:ascii="Arial" w:eastAsia="Calibri" w:hAnsi="Arial" w:cs="Arial"/>
          <w:color w:val="000000" w:themeColor="text1"/>
          <w:sz w:val="22"/>
          <w:szCs w:val="22"/>
        </w:rPr>
      </w:pPr>
      <w:r w:rsidRPr="00A03A61">
        <w:rPr>
          <w:rFonts w:ascii="Arial" w:eastAsia="Calibri" w:hAnsi="Arial" w:cs="Arial"/>
          <w:color w:val="000000" w:themeColor="text1"/>
          <w:sz w:val="22"/>
          <w:szCs w:val="22"/>
        </w:rPr>
        <w:t>Este concepto tiene el alcance previsto en el artículo 28 del Código de Procedimiento Administrativo y de lo Contencioso Administrativo.</w:t>
      </w:r>
    </w:p>
    <w:p w14:paraId="27A116DB" w14:textId="77777777" w:rsidR="00B55679" w:rsidRPr="00A03A61" w:rsidRDefault="00B55679" w:rsidP="00623378">
      <w:pPr>
        <w:jc w:val="both"/>
        <w:rPr>
          <w:rFonts w:ascii="Arial" w:eastAsia="Calibri" w:hAnsi="Arial" w:cs="Arial"/>
          <w:color w:val="000000" w:themeColor="text1"/>
          <w:sz w:val="22"/>
          <w:szCs w:val="22"/>
        </w:rPr>
      </w:pPr>
    </w:p>
    <w:p w14:paraId="1BD8E63C" w14:textId="77777777" w:rsidR="00A71CEA" w:rsidRPr="00A03A61" w:rsidRDefault="00A71CEA" w:rsidP="00A71CEA">
      <w:pPr>
        <w:jc w:val="both"/>
        <w:rPr>
          <w:rFonts w:ascii="Arial" w:hAnsi="Arial" w:cs="Arial"/>
          <w:color w:val="000000" w:themeColor="text1"/>
          <w:sz w:val="22"/>
          <w:szCs w:val="22"/>
          <w:lang w:eastAsia="es-CO"/>
        </w:rPr>
      </w:pPr>
      <w:r w:rsidRPr="00A03A61">
        <w:rPr>
          <w:rFonts w:ascii="Arial" w:hAnsi="Arial" w:cs="Arial"/>
          <w:color w:val="000000" w:themeColor="text1"/>
          <w:sz w:val="22"/>
          <w:szCs w:val="22"/>
          <w:lang w:eastAsia="es-CO"/>
        </w:rPr>
        <w:t>Atentamente,</w:t>
      </w:r>
    </w:p>
    <w:p w14:paraId="6B055B12" w14:textId="3F85B0D5" w:rsidR="00A71CEA" w:rsidRPr="00A03A61" w:rsidRDefault="008214EE" w:rsidP="00A71CEA">
      <w:pPr>
        <w:jc w:val="center"/>
        <w:rPr>
          <w:rFonts w:ascii="Arial" w:hAnsi="Arial" w:cs="Arial"/>
          <w:color w:val="000000" w:themeColor="text1"/>
          <w:sz w:val="22"/>
          <w:szCs w:val="22"/>
          <w:lang w:eastAsia="es-CO"/>
        </w:rPr>
      </w:pPr>
      <w:r w:rsidRPr="00FC4438">
        <w:rPr>
          <w:noProof/>
        </w:rPr>
        <w:lastRenderedPageBreak/>
        <w:drawing>
          <wp:inline distT="0" distB="0" distL="0" distR="0" wp14:anchorId="4C56587B" wp14:editId="278D4997">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14600" cy="1114425"/>
                    </a:xfrm>
                    <a:prstGeom prst="rect">
                      <a:avLst/>
                    </a:prstGeom>
                  </pic:spPr>
                </pic:pic>
              </a:graphicData>
            </a:graphic>
          </wp:inline>
        </w:drawing>
      </w:r>
    </w:p>
    <w:p w14:paraId="4783A21F" w14:textId="77777777" w:rsidR="00A71CEA" w:rsidRPr="00A03A61" w:rsidRDefault="00A71CEA" w:rsidP="00A71CEA">
      <w:pPr>
        <w:jc w:val="center"/>
        <w:rPr>
          <w:rFonts w:ascii="Arial" w:hAnsi="Arial" w:cs="Arial"/>
          <w:color w:val="000000" w:themeColor="text1"/>
          <w:sz w:val="22"/>
          <w:szCs w:val="22"/>
          <w:lang w:eastAsia="es-CO"/>
        </w:rPr>
      </w:pPr>
    </w:p>
    <w:p w14:paraId="1FEF5E59" w14:textId="77777777" w:rsidR="00A71CEA" w:rsidRPr="00A03A61" w:rsidRDefault="00A71CEA" w:rsidP="00A71CEA">
      <w:pPr>
        <w:jc w:val="center"/>
        <w:rPr>
          <w:rFonts w:ascii="Arial" w:hAnsi="Arial" w:cs="Arial"/>
          <w:color w:val="000000" w:themeColor="text1"/>
          <w:sz w:val="16"/>
          <w:szCs w:val="16"/>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71CEA" w:rsidRPr="00A03A61" w14:paraId="6FD066C0" w14:textId="77777777" w:rsidTr="007F1895">
        <w:trPr>
          <w:trHeight w:val="315"/>
        </w:trPr>
        <w:tc>
          <w:tcPr>
            <w:tcW w:w="812" w:type="dxa"/>
            <w:vAlign w:val="center"/>
            <w:hideMark/>
          </w:tcPr>
          <w:p w14:paraId="3D034311" w14:textId="77777777" w:rsidR="00A71CEA" w:rsidRPr="00A03A61" w:rsidRDefault="00A71CEA" w:rsidP="007F1895">
            <w:pPr>
              <w:rPr>
                <w:rFonts w:ascii="Arial" w:hAnsi="Arial" w:cs="Arial"/>
                <w:color w:val="000000" w:themeColor="text1"/>
                <w:sz w:val="16"/>
                <w:szCs w:val="16"/>
                <w:lang w:eastAsia="es-ES"/>
              </w:rPr>
            </w:pPr>
            <w:r w:rsidRPr="00A03A61">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130A8A2" w14:textId="77777777" w:rsidR="00A71CEA" w:rsidRPr="00A03A61" w:rsidRDefault="00A71CEA" w:rsidP="007F1895">
            <w:pPr>
              <w:rPr>
                <w:rFonts w:ascii="Arial" w:hAnsi="Arial" w:cs="Arial"/>
                <w:color w:val="000000" w:themeColor="text1"/>
                <w:sz w:val="16"/>
                <w:szCs w:val="16"/>
                <w:lang w:eastAsia="es-ES"/>
              </w:rPr>
            </w:pPr>
            <w:r w:rsidRPr="00A03A61">
              <w:rPr>
                <w:rFonts w:ascii="Arial" w:hAnsi="Arial" w:cs="Arial"/>
                <w:color w:val="000000" w:themeColor="text1"/>
                <w:sz w:val="16"/>
                <w:szCs w:val="16"/>
                <w:lang w:eastAsia="es-ES"/>
              </w:rPr>
              <w:t xml:space="preserve">Camilo Perdomo Villamil </w:t>
            </w:r>
          </w:p>
          <w:p w14:paraId="02C2374E" w14:textId="77777777" w:rsidR="00A71CEA" w:rsidRPr="00A03A61" w:rsidRDefault="00A71CEA" w:rsidP="007F1895">
            <w:pPr>
              <w:rPr>
                <w:rFonts w:ascii="Arial" w:hAnsi="Arial" w:cs="Arial"/>
                <w:color w:val="000000" w:themeColor="text1"/>
                <w:sz w:val="16"/>
                <w:szCs w:val="16"/>
                <w:lang w:eastAsia="es-ES"/>
              </w:rPr>
            </w:pPr>
            <w:r w:rsidRPr="00A03A61">
              <w:rPr>
                <w:rFonts w:ascii="Arial" w:hAnsi="Arial" w:cs="Arial"/>
                <w:color w:val="000000" w:themeColor="text1"/>
                <w:sz w:val="16"/>
                <w:szCs w:val="16"/>
                <w:lang w:eastAsia="es-ES"/>
              </w:rPr>
              <w:t>Contratista de la Subdirección de Gestión Contractual</w:t>
            </w:r>
          </w:p>
        </w:tc>
      </w:tr>
      <w:tr w:rsidR="00A71CEA" w:rsidRPr="00A03A61" w14:paraId="6CE7FA18" w14:textId="77777777" w:rsidTr="007F1895">
        <w:trPr>
          <w:trHeight w:val="330"/>
        </w:trPr>
        <w:tc>
          <w:tcPr>
            <w:tcW w:w="812" w:type="dxa"/>
            <w:vAlign w:val="center"/>
            <w:hideMark/>
          </w:tcPr>
          <w:p w14:paraId="2902D588" w14:textId="77777777" w:rsidR="00A71CEA" w:rsidRPr="00A03A61" w:rsidRDefault="00A71CEA" w:rsidP="007F1895">
            <w:pPr>
              <w:rPr>
                <w:rFonts w:ascii="Arial" w:hAnsi="Arial" w:cs="Arial"/>
                <w:color w:val="000000" w:themeColor="text1"/>
                <w:sz w:val="16"/>
                <w:szCs w:val="16"/>
                <w:lang w:eastAsia="es-ES"/>
              </w:rPr>
            </w:pPr>
            <w:r w:rsidRPr="00A03A61">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CB0244" w14:textId="77777777" w:rsidR="00E43A90" w:rsidRDefault="00E43A90" w:rsidP="00E43A90">
            <w:pPr>
              <w:rPr>
                <w:rFonts w:ascii="Arial" w:hAnsi="Arial" w:cs="Arial"/>
                <w:color w:val="000000" w:themeColor="text1"/>
                <w:sz w:val="16"/>
                <w:szCs w:val="16"/>
                <w:lang w:eastAsia="es-ES"/>
              </w:rPr>
            </w:pPr>
            <w:r>
              <w:rPr>
                <w:rFonts w:ascii="Arial" w:hAnsi="Arial" w:cs="Arial"/>
                <w:color w:val="000000" w:themeColor="text1"/>
                <w:sz w:val="16"/>
                <w:szCs w:val="16"/>
                <w:lang w:eastAsia="es-ES"/>
              </w:rPr>
              <w:t>Sebastián Ramírez Grisales</w:t>
            </w:r>
          </w:p>
          <w:p w14:paraId="15D02354" w14:textId="1E228A1A" w:rsidR="00A71CEA" w:rsidRPr="00A03A61" w:rsidRDefault="00E43A90" w:rsidP="00E43A90">
            <w:pPr>
              <w:rPr>
                <w:rFonts w:ascii="Arial" w:hAnsi="Arial" w:cs="Arial"/>
                <w:color w:val="000000" w:themeColor="text1"/>
                <w:sz w:val="16"/>
                <w:szCs w:val="16"/>
                <w:lang w:eastAsia="es-ES"/>
              </w:rPr>
            </w:pPr>
            <w:r w:rsidRPr="004D6EB0">
              <w:rPr>
                <w:rFonts w:ascii="Arial" w:hAnsi="Arial" w:cs="Arial"/>
                <w:color w:val="000000" w:themeColor="text1"/>
                <w:sz w:val="16"/>
                <w:szCs w:val="16"/>
                <w:lang w:eastAsia="es-ES"/>
              </w:rPr>
              <w:t>Gestor T1-15 de la Subdirección de Gestión Contractual</w:t>
            </w:r>
          </w:p>
        </w:tc>
      </w:tr>
      <w:tr w:rsidR="00A71CEA" w:rsidRPr="00A03A61" w14:paraId="4BA2BDE6" w14:textId="77777777" w:rsidTr="007F1895">
        <w:trPr>
          <w:trHeight w:val="300"/>
        </w:trPr>
        <w:tc>
          <w:tcPr>
            <w:tcW w:w="812" w:type="dxa"/>
            <w:vAlign w:val="center"/>
            <w:hideMark/>
          </w:tcPr>
          <w:p w14:paraId="1A726DD9" w14:textId="77777777" w:rsidR="00A71CEA" w:rsidRPr="00A03A61" w:rsidRDefault="00A71CEA" w:rsidP="007F1895">
            <w:pPr>
              <w:rPr>
                <w:rFonts w:ascii="Arial" w:hAnsi="Arial" w:cs="Arial"/>
                <w:color w:val="000000" w:themeColor="text1"/>
                <w:sz w:val="16"/>
                <w:szCs w:val="16"/>
                <w:lang w:eastAsia="es-ES"/>
              </w:rPr>
            </w:pPr>
            <w:r w:rsidRPr="00A03A61">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ECCC83" w14:textId="77777777" w:rsidR="00A71CEA" w:rsidRPr="00A03A61" w:rsidRDefault="00A71CEA" w:rsidP="007F1895">
            <w:pPr>
              <w:rPr>
                <w:rFonts w:ascii="Arial" w:hAnsi="Arial" w:cs="Arial"/>
                <w:color w:val="000000" w:themeColor="text1"/>
                <w:sz w:val="16"/>
                <w:szCs w:val="16"/>
                <w:lang w:eastAsia="es-ES"/>
              </w:rPr>
            </w:pPr>
            <w:r w:rsidRPr="00A03A61">
              <w:rPr>
                <w:rFonts w:ascii="Arial" w:hAnsi="Arial" w:cs="Arial"/>
                <w:color w:val="000000" w:themeColor="text1"/>
                <w:sz w:val="16"/>
                <w:szCs w:val="16"/>
                <w:lang w:eastAsia="es-ES"/>
              </w:rPr>
              <w:t>Jorge Augusto Tirado Navarro</w:t>
            </w:r>
          </w:p>
          <w:p w14:paraId="416E9DA6" w14:textId="77777777" w:rsidR="00A71CEA" w:rsidRPr="00A03A61" w:rsidRDefault="00A71CEA" w:rsidP="007F1895">
            <w:pPr>
              <w:rPr>
                <w:rFonts w:ascii="Arial" w:hAnsi="Arial" w:cs="Arial"/>
                <w:color w:val="000000" w:themeColor="text1"/>
                <w:sz w:val="16"/>
                <w:szCs w:val="16"/>
                <w:lang w:eastAsia="es-ES"/>
              </w:rPr>
            </w:pPr>
            <w:r w:rsidRPr="00A03A61">
              <w:rPr>
                <w:rFonts w:ascii="Arial" w:hAnsi="Arial" w:cs="Arial"/>
                <w:color w:val="000000" w:themeColor="text1"/>
                <w:sz w:val="16"/>
                <w:szCs w:val="16"/>
                <w:lang w:eastAsia="es-ES"/>
              </w:rPr>
              <w:t>Subdirector de Gestión Contractual ANCP – CCE</w:t>
            </w:r>
          </w:p>
        </w:tc>
      </w:tr>
    </w:tbl>
    <w:p w14:paraId="3D5BFD2B" w14:textId="77777777" w:rsidR="00A71CEA" w:rsidRPr="00A03A61" w:rsidRDefault="00A71CEA" w:rsidP="0085443D">
      <w:pPr>
        <w:rPr>
          <w:rFonts w:ascii="Arial" w:hAnsi="Arial" w:cs="Arial"/>
          <w:sz w:val="22"/>
          <w:szCs w:val="22"/>
        </w:rPr>
      </w:pPr>
    </w:p>
    <w:sectPr w:rsidR="00A71CEA" w:rsidRPr="00A03A61" w:rsidSect="007F1895">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F342" w14:textId="77777777" w:rsidR="00625B32" w:rsidRDefault="00625B32" w:rsidP="00A71CEA">
      <w:r>
        <w:separator/>
      </w:r>
    </w:p>
  </w:endnote>
  <w:endnote w:type="continuationSeparator" w:id="0">
    <w:p w14:paraId="4BBC32F5" w14:textId="77777777" w:rsidR="00625B32" w:rsidRDefault="00625B32" w:rsidP="00A7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B0DB" w14:textId="77777777" w:rsidR="00387886" w:rsidRDefault="00387886" w:rsidP="007F1895">
    <w:pPr>
      <w:pStyle w:val="Sinespaciado"/>
      <w:jc w:val="right"/>
      <w:rPr>
        <w:rFonts w:ascii="Arial" w:hAnsi="Arial" w:cs="Arial"/>
        <w:sz w:val="18"/>
        <w:szCs w:val="18"/>
      </w:rPr>
    </w:pPr>
  </w:p>
  <w:p w14:paraId="1A83C429" w14:textId="77777777" w:rsidR="00387886" w:rsidRDefault="00387886" w:rsidP="007F1895">
    <w:pPr>
      <w:pStyle w:val="Sinespaciado"/>
      <w:jc w:val="right"/>
      <w:rPr>
        <w:rFonts w:ascii="Arial" w:hAnsi="Arial" w:cs="Arial"/>
        <w:sz w:val="18"/>
        <w:szCs w:val="18"/>
      </w:rPr>
    </w:pPr>
  </w:p>
  <w:p w14:paraId="4C092373" w14:textId="77777777" w:rsidR="00387886" w:rsidRPr="008217B7" w:rsidRDefault="00387886"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15A1C25B" w14:textId="77777777" w:rsidR="00387886" w:rsidRDefault="00387886" w:rsidP="007F1895">
    <w:pPr>
      <w:pStyle w:val="Piedepgina"/>
      <w:jc w:val="center"/>
      <w:rPr>
        <w:lang w:val="es-ES"/>
      </w:rPr>
    </w:pPr>
    <w:r>
      <w:rPr>
        <w:noProof/>
      </w:rPr>
      <w:drawing>
        <wp:inline distT="0" distB="0" distL="0" distR="0" wp14:anchorId="1A50E6AF" wp14:editId="2CAE943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9A9CCC9" w14:textId="77777777" w:rsidR="00387886" w:rsidRPr="00E756AC" w:rsidRDefault="00387886" w:rsidP="007F1895">
    <w:pPr>
      <w:pStyle w:val="Piedepgina"/>
      <w:jc w:val="center"/>
      <w:rPr>
        <w:sz w:val="18"/>
        <w:szCs w:val="18"/>
        <w:lang w:val="es-ES"/>
      </w:rPr>
    </w:pPr>
  </w:p>
  <w:p w14:paraId="02222FE9" w14:textId="77777777" w:rsidR="00387886" w:rsidRPr="00E756AC" w:rsidRDefault="00387886"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7F7EB" w14:textId="77777777" w:rsidR="00625B32" w:rsidRDefault="00625B32" w:rsidP="00A71CEA">
      <w:r>
        <w:separator/>
      </w:r>
    </w:p>
  </w:footnote>
  <w:footnote w:type="continuationSeparator" w:id="0">
    <w:p w14:paraId="058BBFEB" w14:textId="77777777" w:rsidR="00625B32" w:rsidRDefault="00625B32" w:rsidP="00A71CEA">
      <w:r>
        <w:continuationSeparator/>
      </w:r>
    </w:p>
  </w:footnote>
  <w:footnote w:id="1">
    <w:p w14:paraId="2A6C236F" w14:textId="77777777" w:rsidR="00C23CFD" w:rsidRPr="00CF30C9" w:rsidRDefault="00C23CFD" w:rsidP="00C23CFD">
      <w:pPr>
        <w:pStyle w:val="Textonotapie"/>
        <w:ind w:firstLine="709"/>
        <w:jc w:val="both"/>
        <w:rPr>
          <w:rFonts w:ascii="Arial" w:hAnsi="Arial" w:cs="Arial"/>
          <w:color w:val="000000" w:themeColor="text1"/>
          <w:sz w:val="19"/>
          <w:szCs w:val="19"/>
        </w:rPr>
      </w:pPr>
      <w:r w:rsidRPr="00CF30C9">
        <w:rPr>
          <w:rStyle w:val="Refdenotaalpie"/>
          <w:rFonts w:ascii="Arial" w:hAnsi="Arial" w:cs="Arial"/>
          <w:color w:val="000000" w:themeColor="text1"/>
          <w:sz w:val="19"/>
          <w:szCs w:val="19"/>
        </w:rPr>
        <w:footnoteRef/>
      </w:r>
      <w:r w:rsidRPr="00CF30C9">
        <w:rPr>
          <w:rFonts w:ascii="Arial" w:hAnsi="Arial" w:cs="Arial"/>
          <w:color w:val="000000" w:themeColor="text1"/>
          <w:sz w:val="19"/>
          <w:szCs w:val="19"/>
        </w:rPr>
        <w:t xml:space="preserve"> CONSEJO DE ESTADO. Sección Tercera. Subsección A. Auto del 25 de julio de 2018. Rad. 56.165A. C.P. Marta Nubia Velásquez Rico. </w:t>
      </w:r>
    </w:p>
    <w:p w14:paraId="11981A4A" w14:textId="77777777" w:rsidR="00C23CFD" w:rsidRPr="00CF30C9" w:rsidRDefault="00C23CFD" w:rsidP="00C23CFD">
      <w:pPr>
        <w:pStyle w:val="Textonotapie"/>
        <w:ind w:firstLine="709"/>
        <w:jc w:val="both"/>
        <w:rPr>
          <w:rFonts w:ascii="Arial" w:hAnsi="Arial" w:cs="Arial"/>
          <w:color w:val="000000" w:themeColor="text1"/>
          <w:sz w:val="19"/>
          <w:szCs w:val="19"/>
          <w:lang w:val="es-ES"/>
        </w:rPr>
      </w:pPr>
    </w:p>
  </w:footnote>
  <w:footnote w:id="2">
    <w:p w14:paraId="13354EDE" w14:textId="77777777" w:rsidR="00C23CFD" w:rsidRPr="00CF30C9" w:rsidRDefault="00C23CFD" w:rsidP="00C23CFD">
      <w:pPr>
        <w:pStyle w:val="Textonotapie"/>
        <w:ind w:firstLine="709"/>
        <w:jc w:val="both"/>
        <w:rPr>
          <w:rFonts w:ascii="Arial" w:hAnsi="Arial" w:cs="Arial"/>
          <w:color w:val="000000" w:themeColor="text1"/>
          <w:sz w:val="19"/>
          <w:szCs w:val="19"/>
          <w:lang w:val="es-ES"/>
        </w:rPr>
      </w:pPr>
      <w:r w:rsidRPr="00CF30C9">
        <w:rPr>
          <w:rStyle w:val="Refdenotaalpie"/>
          <w:rFonts w:ascii="Arial" w:hAnsi="Arial" w:cs="Arial"/>
          <w:color w:val="000000" w:themeColor="text1"/>
          <w:sz w:val="19"/>
          <w:szCs w:val="19"/>
        </w:rPr>
        <w:footnoteRef/>
      </w:r>
      <w:r w:rsidRPr="00CF30C9">
        <w:rPr>
          <w:rFonts w:ascii="Arial" w:hAnsi="Arial" w:cs="Arial"/>
          <w:color w:val="000000" w:themeColor="text1"/>
          <w:sz w:val="19"/>
          <w:szCs w:val="19"/>
        </w:rPr>
        <w:t xml:space="preserve"> </w:t>
      </w:r>
      <w:bookmarkStart w:id="3" w:name="_Hlk43903111"/>
      <w:r w:rsidRPr="00CF30C9">
        <w:rPr>
          <w:rFonts w:ascii="Arial" w:hAnsi="Arial" w:cs="Arial"/>
          <w:color w:val="000000" w:themeColor="text1"/>
          <w:sz w:val="19"/>
          <w:szCs w:val="19"/>
        </w:rPr>
        <w:t>CONSEJO DE ESTADO. Sección Tercera. Subsección A. Auto del 20 de febrero de 2019. Rad. 61.463. C.P. Carlos Alberto Zambrano Barrera.</w:t>
      </w:r>
      <w:bookmarkEnd w:id="3"/>
    </w:p>
  </w:footnote>
  <w:footnote w:id="3">
    <w:p w14:paraId="7F1F6726" w14:textId="77777777" w:rsidR="00C23CFD" w:rsidRPr="00CF30C9" w:rsidRDefault="00C23CFD" w:rsidP="00C23CFD">
      <w:pPr>
        <w:pStyle w:val="Textonotapie"/>
        <w:ind w:firstLine="709"/>
        <w:jc w:val="both"/>
        <w:rPr>
          <w:rFonts w:ascii="Arial" w:hAnsi="Arial" w:cs="Arial"/>
          <w:sz w:val="19"/>
          <w:szCs w:val="19"/>
        </w:rPr>
      </w:pPr>
      <w:r w:rsidRPr="00CF30C9">
        <w:rPr>
          <w:rStyle w:val="Refdenotaalpie"/>
          <w:rFonts w:ascii="Arial" w:hAnsi="Arial" w:cs="Arial"/>
          <w:sz w:val="19"/>
          <w:szCs w:val="19"/>
        </w:rPr>
        <w:footnoteRef/>
      </w:r>
      <w:r w:rsidRPr="00CF30C9">
        <w:rPr>
          <w:rFonts w:ascii="Arial" w:hAnsi="Arial" w:cs="Arial"/>
          <w:sz w:val="19"/>
          <w:szCs w:val="19"/>
        </w:rPr>
        <w:t xml:space="preserve"> Sobre este aspecto, «[…] los numerales 3, 4 y 5 del artículo 2.2.1.2.1.3.2 del decreto acusado resultan violatorios del citado artículo 5, numeral 4, de la Ley 1150 de 2007, pues, en efecto, revisar la coherencia del «[…] precio ofrecido […]» con la disponibilidad presupuestal (núm. 4, art. 2.2.1.2.1.3.2), así como disponer que se debe llegar a un «acuerdo»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ningún caso el precio puede ser factor de escogencia bajo la modalidad del concurso de méritos.</w:t>
      </w:r>
    </w:p>
    <w:p w14:paraId="72C50819" w14:textId="77777777" w:rsidR="00C23CFD" w:rsidRPr="00CF30C9" w:rsidRDefault="00C23CFD" w:rsidP="00C23CFD">
      <w:pPr>
        <w:pStyle w:val="Textonotapie"/>
        <w:ind w:firstLine="709"/>
        <w:jc w:val="both"/>
        <w:rPr>
          <w:rFonts w:ascii="Arial" w:hAnsi="Arial" w:cs="Arial"/>
          <w:sz w:val="19"/>
          <w:szCs w:val="19"/>
        </w:rPr>
      </w:pPr>
      <w:r w:rsidRPr="00CF30C9">
        <w:rPr>
          <w:rFonts w:ascii="Arial" w:hAnsi="Arial" w:cs="Arial"/>
          <w:sz w:val="19"/>
          <w:szCs w:val="19"/>
        </w:rPr>
        <w:t>»Sumado a lo anterior, el Despacho encuentra que los numerales 4 y 5 del artículo 2.2.1.2.1.3.2 del decreto acusado violan lo dispuesto en el numeral 2 del artículo 25 de la ley 80 de 1993, pues es claro que se siguen «[…] trámites distintos y adicionales a los expresamente previstos […]» en la ley; en efecto, celebrar un «acuerdo»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porqué, luego de agotado todo el procedimiento de selección objetiva, se tenga que realizar un acuerdo sobre el precio ofrecido» (CONSEJO DE ESTADO. Sección Tercera. Subsección A. Auto del 20 de febrero de 2019. Rad. 61.463. C.P. Carlos Alberto Zambrano Barrera).</w:t>
      </w:r>
    </w:p>
    <w:p w14:paraId="0BD4AB7C" w14:textId="77777777" w:rsidR="00C23CFD" w:rsidRPr="00CF30C9" w:rsidRDefault="00C23CFD" w:rsidP="00C23CFD">
      <w:pPr>
        <w:pStyle w:val="Textonotapie"/>
        <w:ind w:firstLine="709"/>
        <w:jc w:val="both"/>
        <w:rPr>
          <w:rFonts w:ascii="Arial" w:hAnsi="Arial" w:cs="Arial"/>
          <w:sz w:val="19"/>
          <w:szCs w:val="19"/>
          <w:lang w:val="es-ES"/>
        </w:rPr>
      </w:pPr>
    </w:p>
  </w:footnote>
  <w:footnote w:id="4">
    <w:p w14:paraId="78C36605" w14:textId="77777777" w:rsidR="00C23CFD" w:rsidRPr="00CF30C9" w:rsidRDefault="00C23CFD" w:rsidP="00C23CFD">
      <w:pPr>
        <w:pStyle w:val="Textonotapie"/>
        <w:ind w:firstLine="709"/>
        <w:jc w:val="both"/>
        <w:rPr>
          <w:rFonts w:ascii="Arial" w:hAnsi="Arial" w:cs="Arial"/>
          <w:color w:val="000000" w:themeColor="text1"/>
          <w:sz w:val="19"/>
          <w:szCs w:val="19"/>
        </w:rPr>
      </w:pPr>
      <w:r w:rsidRPr="00CF30C9">
        <w:rPr>
          <w:rStyle w:val="Refdenotaalpie"/>
          <w:rFonts w:ascii="Arial" w:hAnsi="Arial" w:cs="Arial"/>
          <w:sz w:val="19"/>
          <w:szCs w:val="19"/>
        </w:rPr>
        <w:footnoteRef/>
      </w:r>
      <w:r w:rsidRPr="00CF30C9">
        <w:rPr>
          <w:rFonts w:ascii="Arial" w:hAnsi="Arial" w:cs="Arial"/>
          <w:sz w:val="19"/>
          <w:szCs w:val="19"/>
        </w:rPr>
        <w:t xml:space="preserve"> En efecto, «[…] cuando el numeral 6 del artículo 2.2.1.2.1.3.2 del Decreto 1082 de 2015 dispuso que la entidad estatal debe declarar desierto el concurso de méritos cuando aquella no llegue a un acuerdo con el segundo lugar de elegibilidad, sí excedió el contenido de los artículos 25 (numeral 18) de la Ley 80 de 1993 y 5 de la Ley 1150 de 2007, puesto que, se reitera, dado que el legislador previó dicha decisión para cuando se presentaran motivos que impidieran la selección objetiva, sin restringirlos» (</w:t>
      </w:r>
      <w:r w:rsidRPr="00CF30C9">
        <w:rPr>
          <w:rFonts w:ascii="Arial" w:hAnsi="Arial" w:cs="Arial"/>
          <w:color w:val="000000" w:themeColor="text1"/>
          <w:sz w:val="19"/>
          <w:szCs w:val="19"/>
        </w:rPr>
        <w:t>CONSEJO DE ESTADO. Sección Tercera. Subsección A. Auto del 25 de julio de 2018. Rad. 56.165A. C.P. Marta Nubia Velásquez Rico)</w:t>
      </w:r>
      <w:r w:rsidRPr="00CF30C9">
        <w:rPr>
          <w:rFonts w:ascii="Arial" w:hAnsi="Arial" w:cs="Arial"/>
          <w:sz w:val="19"/>
          <w:szCs w:val="19"/>
        </w:rPr>
        <w:t>.</w:t>
      </w:r>
    </w:p>
  </w:footnote>
  <w:footnote w:id="5">
    <w:p w14:paraId="28287D6C" w14:textId="76D323FF" w:rsidR="00C23CFD" w:rsidRPr="00CF30C9" w:rsidRDefault="00C23CFD" w:rsidP="00BB2191">
      <w:pPr>
        <w:ind w:firstLine="709"/>
        <w:jc w:val="both"/>
        <w:rPr>
          <w:rFonts w:ascii="Arial" w:hAnsi="Arial" w:cs="Arial"/>
          <w:sz w:val="19"/>
          <w:szCs w:val="19"/>
        </w:rPr>
      </w:pPr>
      <w:r w:rsidRPr="00CF30C9">
        <w:rPr>
          <w:rStyle w:val="Refdenotaalpie"/>
          <w:rFonts w:ascii="Arial" w:hAnsi="Arial" w:cs="Arial"/>
          <w:sz w:val="19"/>
          <w:szCs w:val="19"/>
        </w:rPr>
        <w:footnoteRef/>
      </w:r>
      <w:r w:rsidRPr="00CF30C9">
        <w:rPr>
          <w:rFonts w:ascii="Arial" w:hAnsi="Arial" w:cs="Arial"/>
          <w:sz w:val="19"/>
          <w:szCs w:val="19"/>
        </w:rPr>
        <w:t xml:space="preserve"> </w:t>
      </w:r>
      <w:r w:rsidRPr="00CF30C9">
        <w:rPr>
          <w:rFonts w:ascii="Arial" w:hAnsi="Arial" w:cs="Arial"/>
          <w:sz w:val="19"/>
          <w:szCs w:val="19"/>
          <w:lang w:val="es-ES"/>
        </w:rPr>
        <w:t>En efecto, dentro de las consideraciones que motivan el Decreto 399 de 2021 se lee la siguiente: «</w:t>
      </w:r>
      <w:r w:rsidRPr="00CF30C9">
        <w:rPr>
          <w:rFonts w:ascii="Arial" w:eastAsiaTheme="minorHAnsi" w:hAnsi="Arial" w:cs="Arial"/>
          <w:sz w:val="19"/>
          <w:szCs w:val="19"/>
          <w:lang w:val="es-ES" w:eastAsia="en-US"/>
        </w:rPr>
        <w:t xml:space="preserve">Que teniendo en cuenta que el Auto del 20 de febrero de 2019 </w:t>
      </w:r>
      <w:proofErr w:type="spellStart"/>
      <w:r w:rsidRPr="00CF30C9">
        <w:rPr>
          <w:rFonts w:ascii="Arial" w:eastAsiaTheme="minorHAnsi" w:hAnsi="Arial" w:cs="Arial"/>
          <w:sz w:val="19"/>
          <w:szCs w:val="19"/>
          <w:lang w:val="es-ES" w:eastAsia="en-US"/>
        </w:rPr>
        <w:t>Exp</w:t>
      </w:r>
      <w:proofErr w:type="spellEnd"/>
      <w:r w:rsidRPr="00CF30C9">
        <w:rPr>
          <w:rFonts w:ascii="Arial" w:eastAsiaTheme="minorHAnsi" w:hAnsi="Arial" w:cs="Arial"/>
          <w:sz w:val="19"/>
          <w:szCs w:val="19"/>
          <w:lang w:val="es-ES" w:eastAsia="en-US"/>
        </w:rPr>
        <w:t xml:space="preserve">. 61.463 de la Subsección A de la Sección Tercera del Consejo de Estado suspendió provisionalmente los numerales 3, 4 y 5 del artículo 2.2.1.2.1.3.2. del Decreto 1082 de 2015, Único Reglamentario del Sector Administrativo de Planeación Nacional y que el Auto del 25 de julio de 2018 </w:t>
      </w:r>
      <w:proofErr w:type="spellStart"/>
      <w:r w:rsidRPr="00CF30C9">
        <w:rPr>
          <w:rFonts w:ascii="Arial" w:eastAsiaTheme="minorHAnsi" w:hAnsi="Arial" w:cs="Arial"/>
          <w:sz w:val="19"/>
          <w:szCs w:val="19"/>
          <w:lang w:val="es-ES" w:eastAsia="en-US"/>
        </w:rPr>
        <w:t>Exp</w:t>
      </w:r>
      <w:proofErr w:type="spellEnd"/>
      <w:r w:rsidRPr="00CF30C9">
        <w:rPr>
          <w:rFonts w:ascii="Arial" w:eastAsiaTheme="minorHAnsi" w:hAnsi="Arial" w:cs="Arial"/>
          <w:sz w:val="19"/>
          <w:szCs w:val="19"/>
          <w:lang w:val="es-ES" w:eastAsia="en-US"/>
        </w:rPr>
        <w:t>. 56.165 de la Subsección A de la Sección Tercera del Consejo de Estado suspendió provisionalmente el numeral 6 de la misma disposición, los cuales están relacionados con las reglas aplicables al procedimiento de concurso de méritos, es necesario modificar dicho artículo para establecer las reglas aplicables a esta modalidad de selección».</w:t>
      </w:r>
    </w:p>
  </w:footnote>
  <w:footnote w:id="6">
    <w:p w14:paraId="34606CFB" w14:textId="77777777" w:rsidR="00C23CFD" w:rsidRPr="00CF30C9" w:rsidRDefault="00C23CFD" w:rsidP="00C23CFD">
      <w:pPr>
        <w:pStyle w:val="Textonotapie"/>
        <w:ind w:firstLine="708"/>
        <w:jc w:val="both"/>
        <w:rPr>
          <w:rFonts w:ascii="Arial" w:hAnsi="Arial" w:cs="Arial"/>
          <w:sz w:val="19"/>
          <w:szCs w:val="19"/>
        </w:rPr>
      </w:pPr>
      <w:r w:rsidRPr="00CF30C9">
        <w:rPr>
          <w:rStyle w:val="Refdenotaalpie"/>
          <w:rFonts w:ascii="Arial" w:hAnsi="Arial" w:cs="Arial"/>
          <w:sz w:val="19"/>
          <w:szCs w:val="19"/>
        </w:rPr>
        <w:footnoteRef/>
      </w:r>
      <w:r w:rsidRPr="00CF30C9">
        <w:rPr>
          <w:rFonts w:ascii="Arial" w:hAnsi="Arial" w:cs="Arial"/>
          <w:sz w:val="19"/>
          <w:szCs w:val="19"/>
        </w:rPr>
        <w:t xml:space="preserve"> Lo indicado es coherente con lo establecido en el artículo 25, numeral 6, de la Ley 80 de 1993 que establece que: «Artículo 25. Del principio de economía. En virtud de este principio: […] 6o. Las entidades estatales abrirán licitaciones e iniciarán procesos de suscripción de contratos, cuando existan las respectivas partidas o disponibilidades presupuestales».</w:t>
      </w:r>
    </w:p>
    <w:p w14:paraId="72419D5E" w14:textId="77777777" w:rsidR="00C23CFD" w:rsidRPr="00CF30C9" w:rsidRDefault="00C23CFD" w:rsidP="00C23CFD">
      <w:pPr>
        <w:pStyle w:val="Textonotapie"/>
        <w:ind w:firstLine="708"/>
        <w:jc w:val="both"/>
        <w:rPr>
          <w:rFonts w:ascii="Arial" w:hAnsi="Arial" w:cs="Arial"/>
          <w:sz w:val="19"/>
          <w:szCs w:val="19"/>
        </w:rPr>
      </w:pPr>
      <w:r w:rsidRPr="00CF30C9">
        <w:rPr>
          <w:rFonts w:ascii="Arial" w:hAnsi="Arial" w:cs="Arial"/>
          <w:sz w:val="19"/>
          <w:szCs w:val="19"/>
        </w:rPr>
        <w:t xml:space="preserve">Además, guarda armonía con lo establecido en el artículo 41 de la Ley 80 de 1993, respecto a los requisitos de perfeccionamiento y ejecución de los contratos estatales: «Artículo 41. Del perfeccionamiento del contrato. </w:t>
      </w:r>
      <w:r w:rsidRPr="00CF30C9">
        <w:rPr>
          <w:rFonts w:ascii="Arial" w:hAnsi="Arial" w:cs="Arial"/>
          <w:i/>
          <w:iCs/>
          <w:sz w:val="19"/>
          <w:szCs w:val="19"/>
        </w:rPr>
        <w:t>Los contratos del Estado se perfeccionan cuando se logre acuerdo sobre el objeto y la contraprestación y éste se eleve a escrito</w:t>
      </w:r>
      <w:r w:rsidRPr="00CF30C9">
        <w:rPr>
          <w:rFonts w:ascii="Arial" w:hAnsi="Arial" w:cs="Arial"/>
          <w:sz w:val="19"/>
          <w:szCs w:val="19"/>
        </w:rPr>
        <w:t>.</w:t>
      </w:r>
    </w:p>
    <w:p w14:paraId="5A3F043A" w14:textId="77777777" w:rsidR="00C23CFD" w:rsidRPr="00CF30C9" w:rsidRDefault="00C23CFD" w:rsidP="00C23CFD">
      <w:pPr>
        <w:pStyle w:val="Textonotapie"/>
        <w:ind w:firstLine="708"/>
        <w:jc w:val="both"/>
        <w:rPr>
          <w:rFonts w:ascii="Arial" w:hAnsi="Arial" w:cs="Arial"/>
          <w:sz w:val="19"/>
          <w:szCs w:val="19"/>
          <w:lang w:val="es-CO"/>
        </w:rPr>
      </w:pPr>
      <w:r w:rsidRPr="00CF30C9">
        <w:rPr>
          <w:rFonts w:ascii="Arial" w:hAnsi="Arial" w:cs="Arial"/>
          <w:sz w:val="19"/>
          <w:szCs w:val="19"/>
        </w:rPr>
        <w:t xml:space="preserve">»Para la ejecución se requerirá de la aprobación de la garantía y </w:t>
      </w:r>
      <w:r w:rsidRPr="00CF30C9">
        <w:rPr>
          <w:rFonts w:ascii="Arial" w:hAnsi="Arial" w:cs="Arial"/>
          <w:i/>
          <w:iCs/>
          <w:sz w:val="19"/>
          <w:szCs w:val="19"/>
        </w:rPr>
        <w:t>de la existencia de las disponibilidades presupuestales correspondientes</w:t>
      </w:r>
      <w:r w:rsidRPr="00CF30C9">
        <w:rPr>
          <w:rFonts w:ascii="Arial" w:hAnsi="Arial" w:cs="Arial"/>
          <w:sz w:val="19"/>
          <w:szCs w:val="19"/>
        </w:rPr>
        <w:t xml:space="preserve">,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 (Cursiva fuera de texto).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2914" w14:textId="77777777" w:rsidR="00387886" w:rsidRDefault="00387886">
    <w:pPr>
      <w:pStyle w:val="Encabezado"/>
    </w:pPr>
    <w:r>
      <w:rPr>
        <w:noProof/>
        <w:lang w:val="es-CO" w:eastAsia="es-CO"/>
      </w:rPr>
      <w:drawing>
        <wp:anchor distT="0" distB="0" distL="114300" distR="114300" simplePos="0" relativeHeight="251659264" behindDoc="1" locked="0" layoutInCell="1" allowOverlap="1" wp14:anchorId="096CAC25" wp14:editId="2914B42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626ACD"/>
    <w:multiLevelType w:val="hybridMultilevel"/>
    <w:tmpl w:val="F8206DF2"/>
    <w:lvl w:ilvl="0" w:tplc="6D143684">
      <w:start w:val="1"/>
      <w:numFmt w:val="upperRoman"/>
      <w:lvlText w:val="%1."/>
      <w:lvlJc w:val="left"/>
      <w:pPr>
        <w:ind w:left="1010" w:hanging="203"/>
      </w:pPr>
      <w:rPr>
        <w:rFonts w:ascii="Arial" w:eastAsia="Arial" w:hAnsi="Arial" w:cs="Arial" w:hint="default"/>
        <w:spacing w:val="-1"/>
        <w:w w:val="100"/>
        <w:sz w:val="21"/>
        <w:szCs w:val="21"/>
        <w:lang w:val="es-ES" w:eastAsia="es-ES" w:bidi="es-ES"/>
      </w:rPr>
    </w:lvl>
    <w:lvl w:ilvl="1" w:tplc="C218C684">
      <w:numFmt w:val="bullet"/>
      <w:lvlText w:val="•"/>
      <w:lvlJc w:val="left"/>
      <w:pPr>
        <w:ind w:left="1872" w:hanging="203"/>
      </w:pPr>
      <w:rPr>
        <w:rFonts w:hint="default"/>
        <w:lang w:val="es-ES" w:eastAsia="es-ES" w:bidi="es-ES"/>
      </w:rPr>
    </w:lvl>
    <w:lvl w:ilvl="2" w:tplc="455A0BF0">
      <w:numFmt w:val="bullet"/>
      <w:lvlText w:val="•"/>
      <w:lvlJc w:val="left"/>
      <w:pPr>
        <w:ind w:left="2724" w:hanging="203"/>
      </w:pPr>
      <w:rPr>
        <w:rFonts w:hint="default"/>
        <w:lang w:val="es-ES" w:eastAsia="es-ES" w:bidi="es-ES"/>
      </w:rPr>
    </w:lvl>
    <w:lvl w:ilvl="3" w:tplc="6E88D314">
      <w:numFmt w:val="bullet"/>
      <w:lvlText w:val="•"/>
      <w:lvlJc w:val="left"/>
      <w:pPr>
        <w:ind w:left="3576" w:hanging="203"/>
      </w:pPr>
      <w:rPr>
        <w:rFonts w:hint="default"/>
        <w:lang w:val="es-ES" w:eastAsia="es-ES" w:bidi="es-ES"/>
      </w:rPr>
    </w:lvl>
    <w:lvl w:ilvl="4" w:tplc="2F7C34D2">
      <w:numFmt w:val="bullet"/>
      <w:lvlText w:val="•"/>
      <w:lvlJc w:val="left"/>
      <w:pPr>
        <w:ind w:left="4428" w:hanging="203"/>
      </w:pPr>
      <w:rPr>
        <w:rFonts w:hint="default"/>
        <w:lang w:val="es-ES" w:eastAsia="es-ES" w:bidi="es-ES"/>
      </w:rPr>
    </w:lvl>
    <w:lvl w:ilvl="5" w:tplc="A95233E8">
      <w:numFmt w:val="bullet"/>
      <w:lvlText w:val="•"/>
      <w:lvlJc w:val="left"/>
      <w:pPr>
        <w:ind w:left="5280" w:hanging="203"/>
      </w:pPr>
      <w:rPr>
        <w:rFonts w:hint="default"/>
        <w:lang w:val="es-ES" w:eastAsia="es-ES" w:bidi="es-ES"/>
      </w:rPr>
    </w:lvl>
    <w:lvl w:ilvl="6" w:tplc="978EBA4C">
      <w:numFmt w:val="bullet"/>
      <w:lvlText w:val="•"/>
      <w:lvlJc w:val="left"/>
      <w:pPr>
        <w:ind w:left="6132" w:hanging="203"/>
      </w:pPr>
      <w:rPr>
        <w:rFonts w:hint="default"/>
        <w:lang w:val="es-ES" w:eastAsia="es-ES" w:bidi="es-ES"/>
      </w:rPr>
    </w:lvl>
    <w:lvl w:ilvl="7" w:tplc="7BACED10">
      <w:numFmt w:val="bullet"/>
      <w:lvlText w:val="•"/>
      <w:lvlJc w:val="left"/>
      <w:pPr>
        <w:ind w:left="6984" w:hanging="203"/>
      </w:pPr>
      <w:rPr>
        <w:rFonts w:hint="default"/>
        <w:lang w:val="es-ES" w:eastAsia="es-ES" w:bidi="es-ES"/>
      </w:rPr>
    </w:lvl>
    <w:lvl w:ilvl="8" w:tplc="1AC8AAB0">
      <w:numFmt w:val="bullet"/>
      <w:lvlText w:val="•"/>
      <w:lvlJc w:val="left"/>
      <w:pPr>
        <w:ind w:left="7836" w:hanging="203"/>
      </w:pPr>
      <w:rPr>
        <w:rFonts w:hint="default"/>
        <w:lang w:val="es-ES" w:eastAsia="es-ES" w:bidi="es-ES"/>
      </w:rPr>
    </w:lvl>
  </w:abstractNum>
  <w:abstractNum w:abstractNumId="2" w15:restartNumberingAfterBreak="0">
    <w:nsid w:val="061747B0"/>
    <w:multiLevelType w:val="hybridMultilevel"/>
    <w:tmpl w:val="E9A85940"/>
    <w:lvl w:ilvl="0" w:tplc="61E02558">
      <w:start w:val="1"/>
      <w:numFmt w:val="lowerRoman"/>
      <w:lvlText w:val="%1)"/>
      <w:lvlJc w:val="left"/>
      <w:pPr>
        <w:ind w:left="1080" w:hanging="720"/>
      </w:pPr>
      <w:rPr>
        <w:rFonts w:ascii="Arial" w:hAnsi="Arial" w:cs="Arial" w:hint="default"/>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3A168D"/>
    <w:multiLevelType w:val="hybridMultilevel"/>
    <w:tmpl w:val="B73C1D12"/>
    <w:lvl w:ilvl="0" w:tplc="9AF2AB20">
      <w:start w:val="1"/>
      <w:numFmt w:val="lowerLetter"/>
      <w:lvlText w:val="%1)"/>
      <w:lvlJc w:val="left"/>
      <w:pPr>
        <w:ind w:left="1010" w:hanging="268"/>
      </w:pPr>
      <w:rPr>
        <w:rFonts w:ascii="Arial" w:eastAsia="Arial" w:hAnsi="Arial" w:cs="Arial" w:hint="default"/>
        <w:w w:val="100"/>
        <w:sz w:val="21"/>
        <w:szCs w:val="21"/>
        <w:lang w:val="es-ES" w:eastAsia="es-ES" w:bidi="es-ES"/>
      </w:rPr>
    </w:lvl>
    <w:lvl w:ilvl="1" w:tplc="7590974C">
      <w:numFmt w:val="bullet"/>
      <w:lvlText w:val="•"/>
      <w:lvlJc w:val="left"/>
      <w:pPr>
        <w:ind w:left="1872" w:hanging="268"/>
      </w:pPr>
      <w:rPr>
        <w:rFonts w:hint="default"/>
        <w:lang w:val="es-ES" w:eastAsia="es-ES" w:bidi="es-ES"/>
      </w:rPr>
    </w:lvl>
    <w:lvl w:ilvl="2" w:tplc="DA2C68A4">
      <w:numFmt w:val="bullet"/>
      <w:lvlText w:val="•"/>
      <w:lvlJc w:val="left"/>
      <w:pPr>
        <w:ind w:left="2724" w:hanging="268"/>
      </w:pPr>
      <w:rPr>
        <w:rFonts w:hint="default"/>
        <w:lang w:val="es-ES" w:eastAsia="es-ES" w:bidi="es-ES"/>
      </w:rPr>
    </w:lvl>
    <w:lvl w:ilvl="3" w:tplc="B8C60F6C">
      <w:numFmt w:val="bullet"/>
      <w:lvlText w:val="•"/>
      <w:lvlJc w:val="left"/>
      <w:pPr>
        <w:ind w:left="3576" w:hanging="268"/>
      </w:pPr>
      <w:rPr>
        <w:rFonts w:hint="default"/>
        <w:lang w:val="es-ES" w:eastAsia="es-ES" w:bidi="es-ES"/>
      </w:rPr>
    </w:lvl>
    <w:lvl w:ilvl="4" w:tplc="F0381CAA">
      <w:numFmt w:val="bullet"/>
      <w:lvlText w:val="•"/>
      <w:lvlJc w:val="left"/>
      <w:pPr>
        <w:ind w:left="4428" w:hanging="268"/>
      </w:pPr>
      <w:rPr>
        <w:rFonts w:hint="default"/>
        <w:lang w:val="es-ES" w:eastAsia="es-ES" w:bidi="es-ES"/>
      </w:rPr>
    </w:lvl>
    <w:lvl w:ilvl="5" w:tplc="0D62EB56">
      <w:numFmt w:val="bullet"/>
      <w:lvlText w:val="•"/>
      <w:lvlJc w:val="left"/>
      <w:pPr>
        <w:ind w:left="5280" w:hanging="268"/>
      </w:pPr>
      <w:rPr>
        <w:rFonts w:hint="default"/>
        <w:lang w:val="es-ES" w:eastAsia="es-ES" w:bidi="es-ES"/>
      </w:rPr>
    </w:lvl>
    <w:lvl w:ilvl="6" w:tplc="02C828DC">
      <w:numFmt w:val="bullet"/>
      <w:lvlText w:val="•"/>
      <w:lvlJc w:val="left"/>
      <w:pPr>
        <w:ind w:left="6132" w:hanging="268"/>
      </w:pPr>
      <w:rPr>
        <w:rFonts w:hint="default"/>
        <w:lang w:val="es-ES" w:eastAsia="es-ES" w:bidi="es-ES"/>
      </w:rPr>
    </w:lvl>
    <w:lvl w:ilvl="7" w:tplc="CBD099F4">
      <w:numFmt w:val="bullet"/>
      <w:lvlText w:val="•"/>
      <w:lvlJc w:val="left"/>
      <w:pPr>
        <w:ind w:left="6984" w:hanging="268"/>
      </w:pPr>
      <w:rPr>
        <w:rFonts w:hint="default"/>
        <w:lang w:val="es-ES" w:eastAsia="es-ES" w:bidi="es-ES"/>
      </w:rPr>
    </w:lvl>
    <w:lvl w:ilvl="8" w:tplc="A8B6D9E2">
      <w:numFmt w:val="bullet"/>
      <w:lvlText w:val="•"/>
      <w:lvlJc w:val="left"/>
      <w:pPr>
        <w:ind w:left="7836" w:hanging="268"/>
      </w:pPr>
      <w:rPr>
        <w:rFonts w:hint="default"/>
        <w:lang w:val="es-ES" w:eastAsia="es-ES" w:bidi="es-ES"/>
      </w:rPr>
    </w:lvl>
  </w:abstractNum>
  <w:abstractNum w:abstractNumId="4" w15:restartNumberingAfterBreak="0">
    <w:nsid w:val="0CC16F09"/>
    <w:multiLevelType w:val="multilevel"/>
    <w:tmpl w:val="689213B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CA0D0B"/>
    <w:multiLevelType w:val="hybridMultilevel"/>
    <w:tmpl w:val="9B36D16A"/>
    <w:lvl w:ilvl="0" w:tplc="CFAEEA4A">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12C7E54"/>
    <w:multiLevelType w:val="hybridMultilevel"/>
    <w:tmpl w:val="33F00796"/>
    <w:lvl w:ilvl="0" w:tplc="6554C952">
      <w:start w:val="1"/>
      <w:numFmt w:val="lowerRoman"/>
      <w:lvlText w:val="%1)"/>
      <w:lvlJc w:val="left"/>
      <w:pPr>
        <w:ind w:left="1080" w:hanging="720"/>
      </w:pPr>
      <w:rPr>
        <w:rFonts w:ascii="Arial" w:eastAsia="Times New Roman" w:hAnsi="Arial" w:cs="Arial"/>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C00088"/>
    <w:multiLevelType w:val="hybridMultilevel"/>
    <w:tmpl w:val="639CE7F6"/>
    <w:lvl w:ilvl="0" w:tplc="B9CEC462">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B18261E"/>
    <w:multiLevelType w:val="hybridMultilevel"/>
    <w:tmpl w:val="0A70B606"/>
    <w:lvl w:ilvl="0" w:tplc="032E7668">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A718DA"/>
    <w:multiLevelType w:val="hybridMultilevel"/>
    <w:tmpl w:val="1FB85F8A"/>
    <w:lvl w:ilvl="0" w:tplc="A8041186">
      <w:start w:val="2"/>
      <w:numFmt w:val="decimal"/>
      <w:lvlText w:val="%1."/>
      <w:lvlJc w:val="left"/>
      <w:pPr>
        <w:ind w:left="1010" w:hanging="238"/>
      </w:pPr>
      <w:rPr>
        <w:rFonts w:ascii="Arial" w:eastAsia="Arial" w:hAnsi="Arial" w:cs="Arial" w:hint="default"/>
        <w:w w:val="100"/>
        <w:sz w:val="21"/>
        <w:szCs w:val="21"/>
        <w:lang w:val="es-ES" w:eastAsia="es-ES" w:bidi="es-ES"/>
      </w:rPr>
    </w:lvl>
    <w:lvl w:ilvl="1" w:tplc="AFD4D846">
      <w:numFmt w:val="bullet"/>
      <w:lvlText w:val="•"/>
      <w:lvlJc w:val="left"/>
      <w:pPr>
        <w:ind w:left="1872" w:hanging="238"/>
      </w:pPr>
      <w:rPr>
        <w:rFonts w:hint="default"/>
        <w:lang w:val="es-ES" w:eastAsia="es-ES" w:bidi="es-ES"/>
      </w:rPr>
    </w:lvl>
    <w:lvl w:ilvl="2" w:tplc="B404B1BE">
      <w:numFmt w:val="bullet"/>
      <w:lvlText w:val="•"/>
      <w:lvlJc w:val="left"/>
      <w:pPr>
        <w:ind w:left="2724" w:hanging="238"/>
      </w:pPr>
      <w:rPr>
        <w:rFonts w:hint="default"/>
        <w:lang w:val="es-ES" w:eastAsia="es-ES" w:bidi="es-ES"/>
      </w:rPr>
    </w:lvl>
    <w:lvl w:ilvl="3" w:tplc="700A9DA6">
      <w:numFmt w:val="bullet"/>
      <w:lvlText w:val="•"/>
      <w:lvlJc w:val="left"/>
      <w:pPr>
        <w:ind w:left="3576" w:hanging="238"/>
      </w:pPr>
      <w:rPr>
        <w:rFonts w:hint="default"/>
        <w:lang w:val="es-ES" w:eastAsia="es-ES" w:bidi="es-ES"/>
      </w:rPr>
    </w:lvl>
    <w:lvl w:ilvl="4" w:tplc="89D8A7D0">
      <w:numFmt w:val="bullet"/>
      <w:lvlText w:val="•"/>
      <w:lvlJc w:val="left"/>
      <w:pPr>
        <w:ind w:left="4428" w:hanging="238"/>
      </w:pPr>
      <w:rPr>
        <w:rFonts w:hint="default"/>
        <w:lang w:val="es-ES" w:eastAsia="es-ES" w:bidi="es-ES"/>
      </w:rPr>
    </w:lvl>
    <w:lvl w:ilvl="5" w:tplc="6DE699B0">
      <w:numFmt w:val="bullet"/>
      <w:lvlText w:val="•"/>
      <w:lvlJc w:val="left"/>
      <w:pPr>
        <w:ind w:left="5280" w:hanging="238"/>
      </w:pPr>
      <w:rPr>
        <w:rFonts w:hint="default"/>
        <w:lang w:val="es-ES" w:eastAsia="es-ES" w:bidi="es-ES"/>
      </w:rPr>
    </w:lvl>
    <w:lvl w:ilvl="6" w:tplc="81E6D9B8">
      <w:numFmt w:val="bullet"/>
      <w:lvlText w:val="•"/>
      <w:lvlJc w:val="left"/>
      <w:pPr>
        <w:ind w:left="6132" w:hanging="238"/>
      </w:pPr>
      <w:rPr>
        <w:rFonts w:hint="default"/>
        <w:lang w:val="es-ES" w:eastAsia="es-ES" w:bidi="es-ES"/>
      </w:rPr>
    </w:lvl>
    <w:lvl w:ilvl="7" w:tplc="F1D06D84">
      <w:numFmt w:val="bullet"/>
      <w:lvlText w:val="•"/>
      <w:lvlJc w:val="left"/>
      <w:pPr>
        <w:ind w:left="6984" w:hanging="238"/>
      </w:pPr>
      <w:rPr>
        <w:rFonts w:hint="default"/>
        <w:lang w:val="es-ES" w:eastAsia="es-ES" w:bidi="es-ES"/>
      </w:rPr>
    </w:lvl>
    <w:lvl w:ilvl="8" w:tplc="D658A6BE">
      <w:numFmt w:val="bullet"/>
      <w:lvlText w:val="•"/>
      <w:lvlJc w:val="left"/>
      <w:pPr>
        <w:ind w:left="7836" w:hanging="238"/>
      </w:pPr>
      <w:rPr>
        <w:rFonts w:hint="default"/>
        <w:lang w:val="es-ES" w:eastAsia="es-ES" w:bidi="es-ES"/>
      </w:rPr>
    </w:lvl>
  </w:abstractNum>
  <w:abstractNum w:abstractNumId="10" w15:restartNumberingAfterBreak="0">
    <w:nsid w:val="371E3CF4"/>
    <w:multiLevelType w:val="hybridMultilevel"/>
    <w:tmpl w:val="44E6A1F2"/>
    <w:lvl w:ilvl="0" w:tplc="032E7668">
      <w:start w:val="2"/>
      <w:numFmt w:val="lowerRoman"/>
      <w:lvlText w:val="%1)"/>
      <w:lvlJc w:val="left"/>
      <w:pPr>
        <w:ind w:left="1428" w:hanging="72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7BB3129"/>
    <w:multiLevelType w:val="hybridMultilevel"/>
    <w:tmpl w:val="639CE7F6"/>
    <w:lvl w:ilvl="0" w:tplc="B9CEC462">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41B27946"/>
    <w:multiLevelType w:val="multilevel"/>
    <w:tmpl w:val="8D822D46"/>
    <w:lvl w:ilvl="0">
      <w:start w:val="2"/>
      <w:numFmt w:val="decimal"/>
      <w:lvlText w:val="%1."/>
      <w:lvlJc w:val="left"/>
      <w:pPr>
        <w:ind w:left="360" w:hanging="360"/>
      </w:pPr>
      <w:rPr>
        <w:rFonts w:hint="default"/>
      </w:rPr>
    </w:lvl>
    <w:lvl w:ilvl="1">
      <w:start w:val="1"/>
      <w:numFmt w:val="decimal"/>
      <w:lvlText w:val="%1.%2."/>
      <w:lvlJc w:val="left"/>
      <w:pPr>
        <w:ind w:left="1740" w:hanging="72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9960" w:hanging="1800"/>
      </w:pPr>
      <w:rPr>
        <w:rFonts w:hint="default"/>
      </w:rPr>
    </w:lvl>
  </w:abstractNum>
  <w:abstractNum w:abstractNumId="13" w15:restartNumberingAfterBreak="0">
    <w:nsid w:val="4322434E"/>
    <w:multiLevelType w:val="hybridMultilevel"/>
    <w:tmpl w:val="44E6A1F2"/>
    <w:lvl w:ilvl="0" w:tplc="032E7668">
      <w:start w:val="2"/>
      <w:numFmt w:val="lowerRoman"/>
      <w:lvlText w:val="%1)"/>
      <w:lvlJc w:val="left"/>
      <w:pPr>
        <w:ind w:left="1428" w:hanging="72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5796B77"/>
    <w:multiLevelType w:val="hybridMultilevel"/>
    <w:tmpl w:val="C3C2806E"/>
    <w:lvl w:ilvl="0" w:tplc="852208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0964FC"/>
    <w:multiLevelType w:val="hybridMultilevel"/>
    <w:tmpl w:val="BBB4934E"/>
    <w:lvl w:ilvl="0" w:tplc="A6BA9EEA">
      <w:start w:val="1"/>
      <w:numFmt w:val="lowerLetter"/>
      <w:lvlText w:val="%1)"/>
      <w:lvlJc w:val="left"/>
      <w:pPr>
        <w:ind w:left="1010" w:hanging="255"/>
      </w:pPr>
      <w:rPr>
        <w:rFonts w:ascii="Arial" w:eastAsia="Arial" w:hAnsi="Arial" w:cs="Arial" w:hint="default"/>
        <w:w w:val="100"/>
        <w:sz w:val="21"/>
        <w:szCs w:val="21"/>
        <w:lang w:val="es-ES" w:eastAsia="es-ES" w:bidi="es-ES"/>
      </w:rPr>
    </w:lvl>
    <w:lvl w:ilvl="1" w:tplc="E7007492">
      <w:numFmt w:val="bullet"/>
      <w:lvlText w:val="•"/>
      <w:lvlJc w:val="left"/>
      <w:pPr>
        <w:ind w:left="1872" w:hanging="255"/>
      </w:pPr>
      <w:rPr>
        <w:rFonts w:hint="default"/>
        <w:lang w:val="es-ES" w:eastAsia="es-ES" w:bidi="es-ES"/>
      </w:rPr>
    </w:lvl>
    <w:lvl w:ilvl="2" w:tplc="7384F016">
      <w:numFmt w:val="bullet"/>
      <w:lvlText w:val="•"/>
      <w:lvlJc w:val="left"/>
      <w:pPr>
        <w:ind w:left="2724" w:hanging="255"/>
      </w:pPr>
      <w:rPr>
        <w:rFonts w:hint="default"/>
        <w:lang w:val="es-ES" w:eastAsia="es-ES" w:bidi="es-ES"/>
      </w:rPr>
    </w:lvl>
    <w:lvl w:ilvl="3" w:tplc="077212C8">
      <w:numFmt w:val="bullet"/>
      <w:lvlText w:val="•"/>
      <w:lvlJc w:val="left"/>
      <w:pPr>
        <w:ind w:left="3576" w:hanging="255"/>
      </w:pPr>
      <w:rPr>
        <w:rFonts w:hint="default"/>
        <w:lang w:val="es-ES" w:eastAsia="es-ES" w:bidi="es-ES"/>
      </w:rPr>
    </w:lvl>
    <w:lvl w:ilvl="4" w:tplc="F2F2D53E">
      <w:numFmt w:val="bullet"/>
      <w:lvlText w:val="•"/>
      <w:lvlJc w:val="left"/>
      <w:pPr>
        <w:ind w:left="4428" w:hanging="255"/>
      </w:pPr>
      <w:rPr>
        <w:rFonts w:hint="default"/>
        <w:lang w:val="es-ES" w:eastAsia="es-ES" w:bidi="es-ES"/>
      </w:rPr>
    </w:lvl>
    <w:lvl w:ilvl="5" w:tplc="2CA04538">
      <w:numFmt w:val="bullet"/>
      <w:lvlText w:val="•"/>
      <w:lvlJc w:val="left"/>
      <w:pPr>
        <w:ind w:left="5280" w:hanging="255"/>
      </w:pPr>
      <w:rPr>
        <w:rFonts w:hint="default"/>
        <w:lang w:val="es-ES" w:eastAsia="es-ES" w:bidi="es-ES"/>
      </w:rPr>
    </w:lvl>
    <w:lvl w:ilvl="6" w:tplc="0B005232">
      <w:numFmt w:val="bullet"/>
      <w:lvlText w:val="•"/>
      <w:lvlJc w:val="left"/>
      <w:pPr>
        <w:ind w:left="6132" w:hanging="255"/>
      </w:pPr>
      <w:rPr>
        <w:rFonts w:hint="default"/>
        <w:lang w:val="es-ES" w:eastAsia="es-ES" w:bidi="es-ES"/>
      </w:rPr>
    </w:lvl>
    <w:lvl w:ilvl="7" w:tplc="BC5E1D4A">
      <w:numFmt w:val="bullet"/>
      <w:lvlText w:val="•"/>
      <w:lvlJc w:val="left"/>
      <w:pPr>
        <w:ind w:left="6984" w:hanging="255"/>
      </w:pPr>
      <w:rPr>
        <w:rFonts w:hint="default"/>
        <w:lang w:val="es-ES" w:eastAsia="es-ES" w:bidi="es-ES"/>
      </w:rPr>
    </w:lvl>
    <w:lvl w:ilvl="8" w:tplc="1D943224">
      <w:numFmt w:val="bullet"/>
      <w:lvlText w:val="•"/>
      <w:lvlJc w:val="left"/>
      <w:pPr>
        <w:ind w:left="7836" w:hanging="255"/>
      </w:pPr>
      <w:rPr>
        <w:rFonts w:hint="default"/>
        <w:lang w:val="es-ES" w:eastAsia="es-ES" w:bidi="es-ES"/>
      </w:rPr>
    </w:lvl>
  </w:abstractNum>
  <w:abstractNum w:abstractNumId="16" w15:restartNumberingAfterBreak="0">
    <w:nsid w:val="584A47E2"/>
    <w:multiLevelType w:val="multilevel"/>
    <w:tmpl w:val="16669D16"/>
    <w:lvl w:ilvl="0">
      <w:start w:val="1"/>
      <w:numFmt w:val="decimal"/>
      <w:lvlText w:val="%1."/>
      <w:lvlJc w:val="left"/>
      <w:pPr>
        <w:ind w:left="585" w:hanging="285"/>
      </w:pPr>
      <w:rPr>
        <w:rFonts w:ascii="Arial" w:eastAsia="Arial" w:hAnsi="Arial" w:cs="Arial" w:hint="default"/>
        <w:b/>
        <w:bCs/>
        <w:color w:val="auto"/>
        <w:spacing w:val="-21"/>
        <w:w w:val="100"/>
        <w:sz w:val="22"/>
        <w:szCs w:val="22"/>
        <w:lang w:val="es-ES" w:eastAsia="es-ES" w:bidi="es-ES"/>
      </w:rPr>
    </w:lvl>
    <w:lvl w:ilvl="1">
      <w:start w:val="1"/>
      <w:numFmt w:val="decimal"/>
      <w:lvlText w:val="%1.%2."/>
      <w:lvlJc w:val="left"/>
      <w:pPr>
        <w:ind w:left="725" w:hanging="425"/>
      </w:pPr>
      <w:rPr>
        <w:rFonts w:ascii="Arial" w:eastAsia="Arial" w:hAnsi="Arial" w:cs="Arial" w:hint="default"/>
        <w:b/>
        <w:bCs/>
        <w:spacing w:val="-1"/>
        <w:w w:val="100"/>
        <w:sz w:val="22"/>
        <w:szCs w:val="22"/>
        <w:lang w:val="es-ES" w:eastAsia="es-ES" w:bidi="es-ES"/>
      </w:rPr>
    </w:lvl>
    <w:lvl w:ilvl="2">
      <w:start w:val="1"/>
      <w:numFmt w:val="lowerRoman"/>
      <w:lvlText w:val="%3."/>
      <w:lvlJc w:val="left"/>
      <w:pPr>
        <w:ind w:left="1728" w:hanging="720"/>
      </w:pPr>
      <w:rPr>
        <w:rFonts w:ascii="Arial" w:eastAsia="Arial" w:hAnsi="Arial" w:cs="Arial" w:hint="default"/>
        <w:spacing w:val="-3"/>
        <w:w w:val="100"/>
        <w:sz w:val="21"/>
        <w:szCs w:val="21"/>
        <w:lang w:val="es-ES" w:eastAsia="es-ES" w:bidi="es-ES"/>
      </w:rPr>
    </w:lvl>
    <w:lvl w:ilvl="3">
      <w:numFmt w:val="bullet"/>
      <w:lvlText w:val="•"/>
      <w:lvlJc w:val="left"/>
      <w:pPr>
        <w:ind w:left="2697" w:hanging="720"/>
      </w:pPr>
      <w:rPr>
        <w:rFonts w:hint="default"/>
        <w:lang w:val="es-ES" w:eastAsia="es-ES" w:bidi="es-ES"/>
      </w:rPr>
    </w:lvl>
    <w:lvl w:ilvl="4">
      <w:numFmt w:val="bullet"/>
      <w:lvlText w:val="•"/>
      <w:lvlJc w:val="left"/>
      <w:pPr>
        <w:ind w:left="3675" w:hanging="720"/>
      </w:pPr>
      <w:rPr>
        <w:rFonts w:hint="default"/>
        <w:lang w:val="es-ES" w:eastAsia="es-ES" w:bidi="es-ES"/>
      </w:rPr>
    </w:lvl>
    <w:lvl w:ilvl="5">
      <w:numFmt w:val="bullet"/>
      <w:lvlText w:val="•"/>
      <w:lvlJc w:val="left"/>
      <w:pPr>
        <w:ind w:left="4652" w:hanging="720"/>
      </w:pPr>
      <w:rPr>
        <w:rFonts w:hint="default"/>
        <w:lang w:val="es-ES" w:eastAsia="es-ES" w:bidi="es-ES"/>
      </w:rPr>
    </w:lvl>
    <w:lvl w:ilvl="6">
      <w:numFmt w:val="bullet"/>
      <w:lvlText w:val="•"/>
      <w:lvlJc w:val="left"/>
      <w:pPr>
        <w:ind w:left="5630" w:hanging="720"/>
      </w:pPr>
      <w:rPr>
        <w:rFonts w:hint="default"/>
        <w:lang w:val="es-ES" w:eastAsia="es-ES" w:bidi="es-ES"/>
      </w:rPr>
    </w:lvl>
    <w:lvl w:ilvl="7">
      <w:numFmt w:val="bullet"/>
      <w:lvlText w:val="•"/>
      <w:lvlJc w:val="left"/>
      <w:pPr>
        <w:ind w:left="6607" w:hanging="720"/>
      </w:pPr>
      <w:rPr>
        <w:rFonts w:hint="default"/>
        <w:lang w:val="es-ES" w:eastAsia="es-ES" w:bidi="es-ES"/>
      </w:rPr>
    </w:lvl>
    <w:lvl w:ilvl="8">
      <w:numFmt w:val="bullet"/>
      <w:lvlText w:val="•"/>
      <w:lvlJc w:val="left"/>
      <w:pPr>
        <w:ind w:left="7585" w:hanging="720"/>
      </w:pPr>
      <w:rPr>
        <w:rFonts w:hint="default"/>
        <w:lang w:val="es-ES" w:eastAsia="es-ES" w:bidi="es-ES"/>
      </w:rPr>
    </w:lvl>
  </w:abstractNum>
  <w:abstractNum w:abstractNumId="17" w15:restartNumberingAfterBreak="0">
    <w:nsid w:val="5A552591"/>
    <w:multiLevelType w:val="hybridMultilevel"/>
    <w:tmpl w:val="639CE7F6"/>
    <w:lvl w:ilvl="0" w:tplc="B9CEC462">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AB9383E"/>
    <w:multiLevelType w:val="hybridMultilevel"/>
    <w:tmpl w:val="1A660842"/>
    <w:lvl w:ilvl="0" w:tplc="360CDDE0">
      <w:start w:val="1"/>
      <w:numFmt w:val="decimal"/>
      <w:lvlText w:val="%1."/>
      <w:lvlJc w:val="left"/>
      <w:pPr>
        <w:ind w:left="660" w:hanging="360"/>
      </w:pPr>
      <w:rPr>
        <w:rFonts w:hint="default"/>
        <w:color w:val="000000" w:themeColor="text1"/>
      </w:rPr>
    </w:lvl>
    <w:lvl w:ilvl="1" w:tplc="080A0019">
      <w:start w:val="1"/>
      <w:numFmt w:val="lowerLetter"/>
      <w:lvlText w:val="%2."/>
      <w:lvlJc w:val="left"/>
      <w:pPr>
        <w:ind w:left="1380" w:hanging="360"/>
      </w:pPr>
    </w:lvl>
    <w:lvl w:ilvl="2" w:tplc="080A001B">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9" w15:restartNumberingAfterBreak="0">
    <w:nsid w:val="667F5C51"/>
    <w:multiLevelType w:val="multilevel"/>
    <w:tmpl w:val="8F7E7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80047E"/>
    <w:multiLevelType w:val="hybridMultilevel"/>
    <w:tmpl w:val="F4B8D518"/>
    <w:lvl w:ilvl="0" w:tplc="A2262576">
      <w:start w:val="3"/>
      <w:numFmt w:val="decimal"/>
      <w:lvlText w:val="%1."/>
      <w:lvlJc w:val="left"/>
      <w:pPr>
        <w:ind w:left="543" w:hanging="243"/>
      </w:pPr>
      <w:rPr>
        <w:rFonts w:ascii="Arial" w:eastAsia="Arial" w:hAnsi="Arial" w:cs="Arial" w:hint="default"/>
        <w:b/>
        <w:bCs/>
        <w:spacing w:val="-1"/>
        <w:w w:val="100"/>
        <w:sz w:val="22"/>
        <w:szCs w:val="22"/>
        <w:lang w:val="es-ES" w:eastAsia="es-ES" w:bidi="es-ES"/>
      </w:rPr>
    </w:lvl>
    <w:lvl w:ilvl="1" w:tplc="6214FDF0">
      <w:start w:val="1"/>
      <w:numFmt w:val="lowerRoman"/>
      <w:lvlText w:val="%2)"/>
      <w:lvlJc w:val="left"/>
      <w:pPr>
        <w:ind w:left="1010" w:hanging="190"/>
      </w:pPr>
      <w:rPr>
        <w:rFonts w:ascii="Arial" w:eastAsia="Arial" w:hAnsi="Arial" w:cs="Arial" w:hint="default"/>
        <w:w w:val="100"/>
        <w:sz w:val="21"/>
        <w:szCs w:val="21"/>
        <w:lang w:val="es-ES" w:eastAsia="es-ES" w:bidi="es-ES"/>
      </w:rPr>
    </w:lvl>
    <w:lvl w:ilvl="2" w:tplc="64BA9508">
      <w:numFmt w:val="bullet"/>
      <w:lvlText w:val="•"/>
      <w:lvlJc w:val="left"/>
      <w:pPr>
        <w:ind w:left="1966" w:hanging="190"/>
      </w:pPr>
      <w:rPr>
        <w:rFonts w:hint="default"/>
        <w:lang w:val="es-ES" w:eastAsia="es-ES" w:bidi="es-ES"/>
      </w:rPr>
    </w:lvl>
    <w:lvl w:ilvl="3" w:tplc="E1D2D3FA">
      <w:numFmt w:val="bullet"/>
      <w:lvlText w:val="•"/>
      <w:lvlJc w:val="left"/>
      <w:pPr>
        <w:ind w:left="2913" w:hanging="190"/>
      </w:pPr>
      <w:rPr>
        <w:rFonts w:hint="default"/>
        <w:lang w:val="es-ES" w:eastAsia="es-ES" w:bidi="es-ES"/>
      </w:rPr>
    </w:lvl>
    <w:lvl w:ilvl="4" w:tplc="D6286852">
      <w:numFmt w:val="bullet"/>
      <w:lvlText w:val="•"/>
      <w:lvlJc w:val="left"/>
      <w:pPr>
        <w:ind w:left="3860" w:hanging="190"/>
      </w:pPr>
      <w:rPr>
        <w:rFonts w:hint="default"/>
        <w:lang w:val="es-ES" w:eastAsia="es-ES" w:bidi="es-ES"/>
      </w:rPr>
    </w:lvl>
    <w:lvl w:ilvl="5" w:tplc="8AE6FCAE">
      <w:numFmt w:val="bullet"/>
      <w:lvlText w:val="•"/>
      <w:lvlJc w:val="left"/>
      <w:pPr>
        <w:ind w:left="4806" w:hanging="190"/>
      </w:pPr>
      <w:rPr>
        <w:rFonts w:hint="default"/>
        <w:lang w:val="es-ES" w:eastAsia="es-ES" w:bidi="es-ES"/>
      </w:rPr>
    </w:lvl>
    <w:lvl w:ilvl="6" w:tplc="5AA62E3C">
      <w:numFmt w:val="bullet"/>
      <w:lvlText w:val="•"/>
      <w:lvlJc w:val="left"/>
      <w:pPr>
        <w:ind w:left="5753" w:hanging="190"/>
      </w:pPr>
      <w:rPr>
        <w:rFonts w:hint="default"/>
        <w:lang w:val="es-ES" w:eastAsia="es-ES" w:bidi="es-ES"/>
      </w:rPr>
    </w:lvl>
    <w:lvl w:ilvl="7" w:tplc="110E97BA">
      <w:numFmt w:val="bullet"/>
      <w:lvlText w:val="•"/>
      <w:lvlJc w:val="left"/>
      <w:pPr>
        <w:ind w:left="6700" w:hanging="190"/>
      </w:pPr>
      <w:rPr>
        <w:rFonts w:hint="default"/>
        <w:lang w:val="es-ES" w:eastAsia="es-ES" w:bidi="es-ES"/>
      </w:rPr>
    </w:lvl>
    <w:lvl w:ilvl="8" w:tplc="4B2E7BD2">
      <w:numFmt w:val="bullet"/>
      <w:lvlText w:val="•"/>
      <w:lvlJc w:val="left"/>
      <w:pPr>
        <w:ind w:left="7646" w:hanging="190"/>
      </w:pPr>
      <w:rPr>
        <w:rFonts w:hint="default"/>
        <w:lang w:val="es-ES" w:eastAsia="es-ES" w:bidi="es-ES"/>
      </w:rPr>
    </w:lvl>
  </w:abstractNum>
  <w:abstractNum w:abstractNumId="21" w15:restartNumberingAfterBreak="0">
    <w:nsid w:val="799C33D4"/>
    <w:multiLevelType w:val="multilevel"/>
    <w:tmpl w:val="7020D8D4"/>
    <w:lvl w:ilvl="0">
      <w:start w:val="1"/>
      <w:numFmt w:val="decimal"/>
      <w:pStyle w:val="Ttulo"/>
      <w:lvlText w:val="11.%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2" w15:restartNumberingAfterBreak="0">
    <w:nsid w:val="7C8009A2"/>
    <w:multiLevelType w:val="multilevel"/>
    <w:tmpl w:val="173229A4"/>
    <w:lvl w:ilvl="0">
      <w:start w:val="1"/>
      <w:numFmt w:val="decimal"/>
      <w:lvlText w:val="%1."/>
      <w:lvlJc w:val="left"/>
      <w:pPr>
        <w:ind w:left="720" w:hanging="360"/>
      </w:pPr>
      <w:rPr>
        <w:rFonts w:hint="default"/>
        <w:b/>
        <w:bCs/>
        <w:color w:val="000000" w:themeColor="text1"/>
      </w:rPr>
    </w:lvl>
    <w:lvl w:ilvl="1">
      <w:start w:val="2"/>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1"/>
  </w:num>
  <w:num w:numId="4">
    <w:abstractNumId w:val="5"/>
  </w:num>
  <w:num w:numId="5">
    <w:abstractNumId w:val="1"/>
  </w:num>
  <w:num w:numId="6">
    <w:abstractNumId w:val="20"/>
  </w:num>
  <w:num w:numId="7">
    <w:abstractNumId w:val="15"/>
  </w:num>
  <w:num w:numId="8">
    <w:abstractNumId w:val="3"/>
  </w:num>
  <w:num w:numId="9">
    <w:abstractNumId w:val="9"/>
  </w:num>
  <w:num w:numId="10">
    <w:abstractNumId w:val="16"/>
  </w:num>
  <w:num w:numId="11">
    <w:abstractNumId w:val="8"/>
  </w:num>
  <w:num w:numId="12">
    <w:abstractNumId w:val="19"/>
  </w:num>
  <w:num w:numId="13">
    <w:abstractNumId w:val="18"/>
  </w:num>
  <w:num w:numId="14">
    <w:abstractNumId w:val="12"/>
  </w:num>
  <w:num w:numId="15">
    <w:abstractNumId w:val="4"/>
  </w:num>
  <w:num w:numId="16">
    <w:abstractNumId w:val="13"/>
  </w:num>
  <w:num w:numId="17">
    <w:abstractNumId w:val="17"/>
  </w:num>
  <w:num w:numId="18">
    <w:abstractNumId w:val="11"/>
  </w:num>
  <w:num w:numId="19">
    <w:abstractNumId w:val="7"/>
  </w:num>
  <w:num w:numId="20">
    <w:abstractNumId w:val="10"/>
  </w:num>
  <w:num w:numId="21">
    <w:abstractNumId w:val="22"/>
  </w:num>
  <w:num w:numId="22">
    <w:abstractNumId w:val="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EA"/>
    <w:rsid w:val="00001B57"/>
    <w:rsid w:val="00003DF0"/>
    <w:rsid w:val="00015CAC"/>
    <w:rsid w:val="00015F47"/>
    <w:rsid w:val="00036131"/>
    <w:rsid w:val="000533D7"/>
    <w:rsid w:val="00072333"/>
    <w:rsid w:val="00072C96"/>
    <w:rsid w:val="000755E1"/>
    <w:rsid w:val="00081827"/>
    <w:rsid w:val="00094B59"/>
    <w:rsid w:val="000A541F"/>
    <w:rsid w:val="000A5E3D"/>
    <w:rsid w:val="000A615D"/>
    <w:rsid w:val="000A6E7E"/>
    <w:rsid w:val="000A734C"/>
    <w:rsid w:val="000A7701"/>
    <w:rsid w:val="000B4AB7"/>
    <w:rsid w:val="000B5851"/>
    <w:rsid w:val="000B627E"/>
    <w:rsid w:val="000B62D1"/>
    <w:rsid w:val="000B6A48"/>
    <w:rsid w:val="000C7645"/>
    <w:rsid w:val="000D46A2"/>
    <w:rsid w:val="000E4860"/>
    <w:rsid w:val="000E7A59"/>
    <w:rsid w:val="000F2F6E"/>
    <w:rsid w:val="00110542"/>
    <w:rsid w:val="00112852"/>
    <w:rsid w:val="0011477D"/>
    <w:rsid w:val="00114CA7"/>
    <w:rsid w:val="0011553A"/>
    <w:rsid w:val="001244D7"/>
    <w:rsid w:val="00130030"/>
    <w:rsid w:val="00135CEA"/>
    <w:rsid w:val="0013760E"/>
    <w:rsid w:val="0013782C"/>
    <w:rsid w:val="00137BD0"/>
    <w:rsid w:val="00140A7F"/>
    <w:rsid w:val="0015117A"/>
    <w:rsid w:val="00154863"/>
    <w:rsid w:val="00161966"/>
    <w:rsid w:val="00175FAD"/>
    <w:rsid w:val="001764A8"/>
    <w:rsid w:val="00176C66"/>
    <w:rsid w:val="001820AA"/>
    <w:rsid w:val="00187312"/>
    <w:rsid w:val="001900DE"/>
    <w:rsid w:val="00195596"/>
    <w:rsid w:val="00196128"/>
    <w:rsid w:val="0019728C"/>
    <w:rsid w:val="001A24A5"/>
    <w:rsid w:val="001A7CA5"/>
    <w:rsid w:val="001B235C"/>
    <w:rsid w:val="001B755F"/>
    <w:rsid w:val="001C096E"/>
    <w:rsid w:val="001C0DFF"/>
    <w:rsid w:val="001C26EF"/>
    <w:rsid w:val="001E080C"/>
    <w:rsid w:val="001F5D6E"/>
    <w:rsid w:val="001F6F85"/>
    <w:rsid w:val="00201DB9"/>
    <w:rsid w:val="002057A4"/>
    <w:rsid w:val="00216826"/>
    <w:rsid w:val="00223F65"/>
    <w:rsid w:val="002343A7"/>
    <w:rsid w:val="0024505E"/>
    <w:rsid w:val="00252B4C"/>
    <w:rsid w:val="00256962"/>
    <w:rsid w:val="002577D8"/>
    <w:rsid w:val="00262AB2"/>
    <w:rsid w:val="00262DCF"/>
    <w:rsid w:val="00263999"/>
    <w:rsid w:val="0026403F"/>
    <w:rsid w:val="00265A2D"/>
    <w:rsid w:val="002663A9"/>
    <w:rsid w:val="0026761A"/>
    <w:rsid w:val="002676B8"/>
    <w:rsid w:val="00271499"/>
    <w:rsid w:val="002748E2"/>
    <w:rsid w:val="002762D1"/>
    <w:rsid w:val="00282D3F"/>
    <w:rsid w:val="002835AE"/>
    <w:rsid w:val="00290E90"/>
    <w:rsid w:val="00292743"/>
    <w:rsid w:val="002A75EC"/>
    <w:rsid w:val="002B19F5"/>
    <w:rsid w:val="002B40B7"/>
    <w:rsid w:val="002C1A0C"/>
    <w:rsid w:val="002D7B8D"/>
    <w:rsid w:val="002E44D9"/>
    <w:rsid w:val="002F6A04"/>
    <w:rsid w:val="00300B5B"/>
    <w:rsid w:val="00302B8D"/>
    <w:rsid w:val="00314F2B"/>
    <w:rsid w:val="003179E1"/>
    <w:rsid w:val="00322739"/>
    <w:rsid w:val="003233A2"/>
    <w:rsid w:val="00327D60"/>
    <w:rsid w:val="00330BDF"/>
    <w:rsid w:val="00336AC6"/>
    <w:rsid w:val="00337876"/>
    <w:rsid w:val="003447DE"/>
    <w:rsid w:val="00345FBC"/>
    <w:rsid w:val="0035154E"/>
    <w:rsid w:val="00353092"/>
    <w:rsid w:val="00353468"/>
    <w:rsid w:val="0035732E"/>
    <w:rsid w:val="0035746D"/>
    <w:rsid w:val="00360748"/>
    <w:rsid w:val="00364DC1"/>
    <w:rsid w:val="00365D3A"/>
    <w:rsid w:val="0037075E"/>
    <w:rsid w:val="0037178A"/>
    <w:rsid w:val="00373FD5"/>
    <w:rsid w:val="00380F1A"/>
    <w:rsid w:val="00384FE5"/>
    <w:rsid w:val="00387886"/>
    <w:rsid w:val="0039105F"/>
    <w:rsid w:val="00392411"/>
    <w:rsid w:val="0039530A"/>
    <w:rsid w:val="00396A0B"/>
    <w:rsid w:val="003A5C98"/>
    <w:rsid w:val="003A78C6"/>
    <w:rsid w:val="003C5DD6"/>
    <w:rsid w:val="003D2225"/>
    <w:rsid w:val="003D22F3"/>
    <w:rsid w:val="003D3DD4"/>
    <w:rsid w:val="003D5148"/>
    <w:rsid w:val="003D588A"/>
    <w:rsid w:val="003D58BB"/>
    <w:rsid w:val="003D73E9"/>
    <w:rsid w:val="003E248F"/>
    <w:rsid w:val="003E4FB0"/>
    <w:rsid w:val="003F1924"/>
    <w:rsid w:val="003F2B42"/>
    <w:rsid w:val="003F461C"/>
    <w:rsid w:val="003F7B87"/>
    <w:rsid w:val="003F7FB1"/>
    <w:rsid w:val="00401A82"/>
    <w:rsid w:val="00403054"/>
    <w:rsid w:val="004164FC"/>
    <w:rsid w:val="00424B46"/>
    <w:rsid w:val="00425732"/>
    <w:rsid w:val="00431654"/>
    <w:rsid w:val="004335C3"/>
    <w:rsid w:val="00451C32"/>
    <w:rsid w:val="00454997"/>
    <w:rsid w:val="0046507A"/>
    <w:rsid w:val="004710AE"/>
    <w:rsid w:val="00475DD2"/>
    <w:rsid w:val="00476147"/>
    <w:rsid w:val="00476544"/>
    <w:rsid w:val="0048044A"/>
    <w:rsid w:val="00480C45"/>
    <w:rsid w:val="0048469A"/>
    <w:rsid w:val="004853AF"/>
    <w:rsid w:val="00491FEA"/>
    <w:rsid w:val="004B0029"/>
    <w:rsid w:val="004B39F3"/>
    <w:rsid w:val="004C4FEB"/>
    <w:rsid w:val="004C6ABD"/>
    <w:rsid w:val="004C77DD"/>
    <w:rsid w:val="004D35AA"/>
    <w:rsid w:val="004D7DE2"/>
    <w:rsid w:val="004E2E77"/>
    <w:rsid w:val="004E4E33"/>
    <w:rsid w:val="004E5D5C"/>
    <w:rsid w:val="004E7410"/>
    <w:rsid w:val="004F2411"/>
    <w:rsid w:val="004F2E83"/>
    <w:rsid w:val="00502061"/>
    <w:rsid w:val="00503E5A"/>
    <w:rsid w:val="005119E2"/>
    <w:rsid w:val="00521FC6"/>
    <w:rsid w:val="00522726"/>
    <w:rsid w:val="00524B49"/>
    <w:rsid w:val="005303D7"/>
    <w:rsid w:val="00530EF6"/>
    <w:rsid w:val="00531E6B"/>
    <w:rsid w:val="005342DB"/>
    <w:rsid w:val="00542C9D"/>
    <w:rsid w:val="00547A9E"/>
    <w:rsid w:val="00554D93"/>
    <w:rsid w:val="0055529C"/>
    <w:rsid w:val="0056049D"/>
    <w:rsid w:val="00560BA2"/>
    <w:rsid w:val="00563519"/>
    <w:rsid w:val="00565AF2"/>
    <w:rsid w:val="005668C1"/>
    <w:rsid w:val="00570C7B"/>
    <w:rsid w:val="0057168B"/>
    <w:rsid w:val="00580C97"/>
    <w:rsid w:val="00580EDD"/>
    <w:rsid w:val="00584ECB"/>
    <w:rsid w:val="0058574A"/>
    <w:rsid w:val="00587130"/>
    <w:rsid w:val="00590067"/>
    <w:rsid w:val="00591EB1"/>
    <w:rsid w:val="0059390B"/>
    <w:rsid w:val="005A2602"/>
    <w:rsid w:val="005A5EFD"/>
    <w:rsid w:val="005B056E"/>
    <w:rsid w:val="005B14A6"/>
    <w:rsid w:val="005B76C7"/>
    <w:rsid w:val="005C5C68"/>
    <w:rsid w:val="005D1439"/>
    <w:rsid w:val="005D1A82"/>
    <w:rsid w:val="005D4FC8"/>
    <w:rsid w:val="005E481C"/>
    <w:rsid w:val="005E4AB2"/>
    <w:rsid w:val="005E66B0"/>
    <w:rsid w:val="005E672E"/>
    <w:rsid w:val="005E736D"/>
    <w:rsid w:val="005F04B8"/>
    <w:rsid w:val="005F1D9D"/>
    <w:rsid w:val="006065A9"/>
    <w:rsid w:val="00611B99"/>
    <w:rsid w:val="006142EC"/>
    <w:rsid w:val="00616CB8"/>
    <w:rsid w:val="00621CEE"/>
    <w:rsid w:val="00623378"/>
    <w:rsid w:val="006256EA"/>
    <w:rsid w:val="00625B32"/>
    <w:rsid w:val="0063407B"/>
    <w:rsid w:val="0063632C"/>
    <w:rsid w:val="006663C2"/>
    <w:rsid w:val="006747FD"/>
    <w:rsid w:val="00675349"/>
    <w:rsid w:val="006764F3"/>
    <w:rsid w:val="006769B8"/>
    <w:rsid w:val="00676D9E"/>
    <w:rsid w:val="00681BEB"/>
    <w:rsid w:val="00685E80"/>
    <w:rsid w:val="006870BE"/>
    <w:rsid w:val="00687BDD"/>
    <w:rsid w:val="006A34D3"/>
    <w:rsid w:val="006A5982"/>
    <w:rsid w:val="006B04C0"/>
    <w:rsid w:val="006B04F9"/>
    <w:rsid w:val="006C6997"/>
    <w:rsid w:val="006D2C01"/>
    <w:rsid w:val="006D3DBD"/>
    <w:rsid w:val="006D64B1"/>
    <w:rsid w:val="006E36F6"/>
    <w:rsid w:val="006F5928"/>
    <w:rsid w:val="0070332B"/>
    <w:rsid w:val="00703E5A"/>
    <w:rsid w:val="007118B2"/>
    <w:rsid w:val="00722642"/>
    <w:rsid w:val="007343B6"/>
    <w:rsid w:val="00736116"/>
    <w:rsid w:val="00745302"/>
    <w:rsid w:val="00746027"/>
    <w:rsid w:val="00746295"/>
    <w:rsid w:val="007474E3"/>
    <w:rsid w:val="00757D4E"/>
    <w:rsid w:val="00770A3E"/>
    <w:rsid w:val="00776374"/>
    <w:rsid w:val="007766C8"/>
    <w:rsid w:val="007820EF"/>
    <w:rsid w:val="0079126B"/>
    <w:rsid w:val="007A4AE6"/>
    <w:rsid w:val="007B2580"/>
    <w:rsid w:val="007B338F"/>
    <w:rsid w:val="007C5E25"/>
    <w:rsid w:val="007C65B9"/>
    <w:rsid w:val="007D0E95"/>
    <w:rsid w:val="007E4FA7"/>
    <w:rsid w:val="007E5394"/>
    <w:rsid w:val="007F1895"/>
    <w:rsid w:val="007F2F49"/>
    <w:rsid w:val="007F304E"/>
    <w:rsid w:val="007F3E47"/>
    <w:rsid w:val="007F6298"/>
    <w:rsid w:val="007F7557"/>
    <w:rsid w:val="007F7A62"/>
    <w:rsid w:val="007F7C03"/>
    <w:rsid w:val="00801CF8"/>
    <w:rsid w:val="008043C4"/>
    <w:rsid w:val="00804685"/>
    <w:rsid w:val="008072FF"/>
    <w:rsid w:val="008105BA"/>
    <w:rsid w:val="00811D01"/>
    <w:rsid w:val="00820F88"/>
    <w:rsid w:val="008214EE"/>
    <w:rsid w:val="008231BB"/>
    <w:rsid w:val="00827A2A"/>
    <w:rsid w:val="008312A3"/>
    <w:rsid w:val="00833D8C"/>
    <w:rsid w:val="00837D3C"/>
    <w:rsid w:val="00847BA2"/>
    <w:rsid w:val="0085443D"/>
    <w:rsid w:val="0087155A"/>
    <w:rsid w:val="0087449C"/>
    <w:rsid w:val="00880110"/>
    <w:rsid w:val="00881D58"/>
    <w:rsid w:val="00881DCE"/>
    <w:rsid w:val="008855C4"/>
    <w:rsid w:val="00891BFA"/>
    <w:rsid w:val="00892FA4"/>
    <w:rsid w:val="00897109"/>
    <w:rsid w:val="008B52AD"/>
    <w:rsid w:val="008C3F91"/>
    <w:rsid w:val="008C40DE"/>
    <w:rsid w:val="008C425C"/>
    <w:rsid w:val="008C5B45"/>
    <w:rsid w:val="008D5087"/>
    <w:rsid w:val="008D5645"/>
    <w:rsid w:val="008D7F99"/>
    <w:rsid w:val="008E21FD"/>
    <w:rsid w:val="008E60D2"/>
    <w:rsid w:val="008F088D"/>
    <w:rsid w:val="008F4324"/>
    <w:rsid w:val="008F6437"/>
    <w:rsid w:val="00920D95"/>
    <w:rsid w:val="0092222C"/>
    <w:rsid w:val="00923848"/>
    <w:rsid w:val="00930FAE"/>
    <w:rsid w:val="009332FC"/>
    <w:rsid w:val="0093646C"/>
    <w:rsid w:val="00960FD1"/>
    <w:rsid w:val="009649BF"/>
    <w:rsid w:val="00965D7F"/>
    <w:rsid w:val="00973FF7"/>
    <w:rsid w:val="009771C5"/>
    <w:rsid w:val="00980E1C"/>
    <w:rsid w:val="009835EF"/>
    <w:rsid w:val="00992791"/>
    <w:rsid w:val="00994DFC"/>
    <w:rsid w:val="0099768D"/>
    <w:rsid w:val="009A3A2B"/>
    <w:rsid w:val="009C289D"/>
    <w:rsid w:val="009D0381"/>
    <w:rsid w:val="009D4314"/>
    <w:rsid w:val="009D5279"/>
    <w:rsid w:val="009D7A61"/>
    <w:rsid w:val="009E36A9"/>
    <w:rsid w:val="009F1B3C"/>
    <w:rsid w:val="00A012BF"/>
    <w:rsid w:val="00A012F5"/>
    <w:rsid w:val="00A03A61"/>
    <w:rsid w:val="00A21E65"/>
    <w:rsid w:val="00A30CDD"/>
    <w:rsid w:val="00A32040"/>
    <w:rsid w:val="00A4095E"/>
    <w:rsid w:val="00A4457D"/>
    <w:rsid w:val="00A5027F"/>
    <w:rsid w:val="00A51E80"/>
    <w:rsid w:val="00A53195"/>
    <w:rsid w:val="00A54650"/>
    <w:rsid w:val="00A626F7"/>
    <w:rsid w:val="00A62BBF"/>
    <w:rsid w:val="00A64034"/>
    <w:rsid w:val="00A71CEA"/>
    <w:rsid w:val="00A83158"/>
    <w:rsid w:val="00A9164B"/>
    <w:rsid w:val="00A94237"/>
    <w:rsid w:val="00AA5749"/>
    <w:rsid w:val="00AB0071"/>
    <w:rsid w:val="00AB0AC0"/>
    <w:rsid w:val="00AB2CBD"/>
    <w:rsid w:val="00AB6125"/>
    <w:rsid w:val="00AB6DE8"/>
    <w:rsid w:val="00AC0C2F"/>
    <w:rsid w:val="00AC173D"/>
    <w:rsid w:val="00AC3C11"/>
    <w:rsid w:val="00AC44CB"/>
    <w:rsid w:val="00AC7423"/>
    <w:rsid w:val="00AD2763"/>
    <w:rsid w:val="00AD4216"/>
    <w:rsid w:val="00AD501B"/>
    <w:rsid w:val="00AD6DA5"/>
    <w:rsid w:val="00AE0358"/>
    <w:rsid w:val="00AF0ED8"/>
    <w:rsid w:val="00AF4156"/>
    <w:rsid w:val="00AF6237"/>
    <w:rsid w:val="00B0076F"/>
    <w:rsid w:val="00B01160"/>
    <w:rsid w:val="00B02D49"/>
    <w:rsid w:val="00B04DAB"/>
    <w:rsid w:val="00B06567"/>
    <w:rsid w:val="00B12F0E"/>
    <w:rsid w:val="00B2523E"/>
    <w:rsid w:val="00B26A90"/>
    <w:rsid w:val="00B315E0"/>
    <w:rsid w:val="00B31C5C"/>
    <w:rsid w:val="00B32B26"/>
    <w:rsid w:val="00B43119"/>
    <w:rsid w:val="00B506F6"/>
    <w:rsid w:val="00B52EF4"/>
    <w:rsid w:val="00B55679"/>
    <w:rsid w:val="00B5768A"/>
    <w:rsid w:val="00B63398"/>
    <w:rsid w:val="00B651A5"/>
    <w:rsid w:val="00B7045A"/>
    <w:rsid w:val="00B71711"/>
    <w:rsid w:val="00B73A62"/>
    <w:rsid w:val="00B81795"/>
    <w:rsid w:val="00B81F3F"/>
    <w:rsid w:val="00B8408D"/>
    <w:rsid w:val="00B8757F"/>
    <w:rsid w:val="00B913DC"/>
    <w:rsid w:val="00B937CA"/>
    <w:rsid w:val="00B93DD8"/>
    <w:rsid w:val="00B943F5"/>
    <w:rsid w:val="00BA084A"/>
    <w:rsid w:val="00BA1FBE"/>
    <w:rsid w:val="00BA3C72"/>
    <w:rsid w:val="00BA55C6"/>
    <w:rsid w:val="00BA75D3"/>
    <w:rsid w:val="00BA7F22"/>
    <w:rsid w:val="00BB0D17"/>
    <w:rsid w:val="00BB2191"/>
    <w:rsid w:val="00BB29B9"/>
    <w:rsid w:val="00BB32FE"/>
    <w:rsid w:val="00BB51F3"/>
    <w:rsid w:val="00BC0FB8"/>
    <w:rsid w:val="00BC1F98"/>
    <w:rsid w:val="00BC2159"/>
    <w:rsid w:val="00BC3923"/>
    <w:rsid w:val="00BD0F08"/>
    <w:rsid w:val="00BD4AFF"/>
    <w:rsid w:val="00BD6EA9"/>
    <w:rsid w:val="00BF18D6"/>
    <w:rsid w:val="00C014D3"/>
    <w:rsid w:val="00C1196F"/>
    <w:rsid w:val="00C15D6A"/>
    <w:rsid w:val="00C21A71"/>
    <w:rsid w:val="00C23CFD"/>
    <w:rsid w:val="00C276B8"/>
    <w:rsid w:val="00C33B62"/>
    <w:rsid w:val="00C35FD1"/>
    <w:rsid w:val="00C47437"/>
    <w:rsid w:val="00C50129"/>
    <w:rsid w:val="00C635D5"/>
    <w:rsid w:val="00C63CEA"/>
    <w:rsid w:val="00C640FF"/>
    <w:rsid w:val="00C64C2A"/>
    <w:rsid w:val="00C71ACE"/>
    <w:rsid w:val="00C71D3A"/>
    <w:rsid w:val="00C81BEB"/>
    <w:rsid w:val="00C87984"/>
    <w:rsid w:val="00C94735"/>
    <w:rsid w:val="00CB0116"/>
    <w:rsid w:val="00CB1C41"/>
    <w:rsid w:val="00CB3515"/>
    <w:rsid w:val="00CF30C9"/>
    <w:rsid w:val="00D0122C"/>
    <w:rsid w:val="00D039FB"/>
    <w:rsid w:val="00D04E67"/>
    <w:rsid w:val="00D10946"/>
    <w:rsid w:val="00D21902"/>
    <w:rsid w:val="00D25329"/>
    <w:rsid w:val="00D361AE"/>
    <w:rsid w:val="00D40D72"/>
    <w:rsid w:val="00D53EC8"/>
    <w:rsid w:val="00D54E70"/>
    <w:rsid w:val="00D60108"/>
    <w:rsid w:val="00D64ACD"/>
    <w:rsid w:val="00D70A03"/>
    <w:rsid w:val="00D7246A"/>
    <w:rsid w:val="00D738B2"/>
    <w:rsid w:val="00D750C2"/>
    <w:rsid w:val="00D76B34"/>
    <w:rsid w:val="00D774DE"/>
    <w:rsid w:val="00D77BB0"/>
    <w:rsid w:val="00D80564"/>
    <w:rsid w:val="00D811B8"/>
    <w:rsid w:val="00D81CA8"/>
    <w:rsid w:val="00D842C4"/>
    <w:rsid w:val="00D8449F"/>
    <w:rsid w:val="00D848EA"/>
    <w:rsid w:val="00D8778D"/>
    <w:rsid w:val="00D91930"/>
    <w:rsid w:val="00D95ECB"/>
    <w:rsid w:val="00DA2C5A"/>
    <w:rsid w:val="00DA352E"/>
    <w:rsid w:val="00DB0B26"/>
    <w:rsid w:val="00DB0FC7"/>
    <w:rsid w:val="00DC3B04"/>
    <w:rsid w:val="00DD0D94"/>
    <w:rsid w:val="00DD24FF"/>
    <w:rsid w:val="00DE736C"/>
    <w:rsid w:val="00DF2D7B"/>
    <w:rsid w:val="00E02A6A"/>
    <w:rsid w:val="00E06DF7"/>
    <w:rsid w:val="00E131F1"/>
    <w:rsid w:val="00E30C0A"/>
    <w:rsid w:val="00E32788"/>
    <w:rsid w:val="00E40483"/>
    <w:rsid w:val="00E43A90"/>
    <w:rsid w:val="00E441F5"/>
    <w:rsid w:val="00E46C4E"/>
    <w:rsid w:val="00E5012F"/>
    <w:rsid w:val="00E5645F"/>
    <w:rsid w:val="00E673A1"/>
    <w:rsid w:val="00E70647"/>
    <w:rsid w:val="00E833FA"/>
    <w:rsid w:val="00E903E2"/>
    <w:rsid w:val="00E90C94"/>
    <w:rsid w:val="00EA41E8"/>
    <w:rsid w:val="00EA513C"/>
    <w:rsid w:val="00EB27BA"/>
    <w:rsid w:val="00EB3066"/>
    <w:rsid w:val="00EB5133"/>
    <w:rsid w:val="00EB5AA1"/>
    <w:rsid w:val="00EB5F14"/>
    <w:rsid w:val="00EC07EF"/>
    <w:rsid w:val="00EC433E"/>
    <w:rsid w:val="00EC4E42"/>
    <w:rsid w:val="00ED1EBA"/>
    <w:rsid w:val="00ED3195"/>
    <w:rsid w:val="00ED63E2"/>
    <w:rsid w:val="00ED6C10"/>
    <w:rsid w:val="00ED7D9E"/>
    <w:rsid w:val="00EE1291"/>
    <w:rsid w:val="00EE54C6"/>
    <w:rsid w:val="00EE5E75"/>
    <w:rsid w:val="00EE66CC"/>
    <w:rsid w:val="00EF17B8"/>
    <w:rsid w:val="00EF1FC8"/>
    <w:rsid w:val="00F0401C"/>
    <w:rsid w:val="00F053F3"/>
    <w:rsid w:val="00F06565"/>
    <w:rsid w:val="00F10A2F"/>
    <w:rsid w:val="00F10D38"/>
    <w:rsid w:val="00F13BAE"/>
    <w:rsid w:val="00F3225B"/>
    <w:rsid w:val="00F3683B"/>
    <w:rsid w:val="00F37679"/>
    <w:rsid w:val="00F40BB1"/>
    <w:rsid w:val="00F45611"/>
    <w:rsid w:val="00F5219A"/>
    <w:rsid w:val="00F53CB0"/>
    <w:rsid w:val="00F55F52"/>
    <w:rsid w:val="00F6354C"/>
    <w:rsid w:val="00F66114"/>
    <w:rsid w:val="00F67268"/>
    <w:rsid w:val="00F773A6"/>
    <w:rsid w:val="00F779BA"/>
    <w:rsid w:val="00F80877"/>
    <w:rsid w:val="00F909BB"/>
    <w:rsid w:val="00F93FD8"/>
    <w:rsid w:val="00F96DEA"/>
    <w:rsid w:val="00FA2654"/>
    <w:rsid w:val="00FA42DC"/>
    <w:rsid w:val="00FA4CC2"/>
    <w:rsid w:val="00FB0FC6"/>
    <w:rsid w:val="00FB7F21"/>
    <w:rsid w:val="00FC2B81"/>
    <w:rsid w:val="00FC2EFC"/>
    <w:rsid w:val="00FC7033"/>
    <w:rsid w:val="00FD0147"/>
    <w:rsid w:val="00FD1489"/>
    <w:rsid w:val="00FD27D7"/>
    <w:rsid w:val="00FD3E77"/>
    <w:rsid w:val="00FD40D5"/>
    <w:rsid w:val="00FD68AB"/>
    <w:rsid w:val="00FD6D80"/>
    <w:rsid w:val="00FE06EC"/>
    <w:rsid w:val="00FE11D0"/>
    <w:rsid w:val="00FE777A"/>
    <w:rsid w:val="00FF0F91"/>
    <w:rsid w:val="00FF1F9E"/>
    <w:rsid w:val="00FF29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67A5"/>
  <w15:chartTrackingRefBased/>
  <w15:docId w15:val="{E97E14D6-0A90-404C-8C98-EB4AE606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F9E"/>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B840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F40BB1"/>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71CEA"/>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71CEA"/>
    <w:rPr>
      <w:szCs w:val="22"/>
      <w:lang w:val="es-MX"/>
    </w:rPr>
  </w:style>
  <w:style w:type="paragraph" w:styleId="Encabezado">
    <w:name w:val="header"/>
    <w:basedOn w:val="Normal"/>
    <w:link w:val="EncabezadoCar"/>
    <w:uiPriority w:val="99"/>
    <w:unhideWhenUsed/>
    <w:rsid w:val="00A71CEA"/>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A71CEA"/>
    <w:rPr>
      <w:szCs w:val="22"/>
      <w:lang w:val="es-MX"/>
    </w:rPr>
  </w:style>
  <w:style w:type="table" w:styleId="Tablaconcuadrcula">
    <w:name w:val="Table Grid"/>
    <w:basedOn w:val="Tablanormal"/>
    <w:uiPriority w:val="59"/>
    <w:rsid w:val="00A71C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A71CEA"/>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A71CEA"/>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71CE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A71CEA"/>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A71CEA"/>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71CEA"/>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A71CEA"/>
    <w:rPr>
      <w:vertAlign w:val="superscript"/>
    </w:rPr>
  </w:style>
  <w:style w:type="paragraph" w:styleId="Textoindependiente">
    <w:name w:val="Body Text"/>
    <w:basedOn w:val="Normal"/>
    <w:link w:val="TextoindependienteCar"/>
    <w:uiPriority w:val="1"/>
    <w:qFormat/>
    <w:rsid w:val="00A71CEA"/>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A71CEA"/>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A71CEA"/>
    <w:pPr>
      <w:spacing w:after="160" w:line="240" w:lineRule="exact"/>
    </w:pPr>
    <w:rPr>
      <w:rFonts w:asciiTheme="minorHAnsi" w:eastAsiaTheme="minorHAnsi" w:hAnsiTheme="minorHAnsi" w:cstheme="minorBidi"/>
      <w:vertAlign w:val="superscript"/>
      <w:lang w:eastAsia="en-US"/>
    </w:rPr>
  </w:style>
  <w:style w:type="character" w:customStyle="1" w:styleId="apple-converted-space">
    <w:name w:val="apple-converted-space"/>
    <w:basedOn w:val="Fuentedeprrafopredeter"/>
    <w:rsid w:val="00A71CEA"/>
  </w:style>
  <w:style w:type="paragraph" w:styleId="NormalWeb">
    <w:name w:val="Normal (Web)"/>
    <w:basedOn w:val="Normal"/>
    <w:link w:val="NormalWebCar"/>
    <w:uiPriority w:val="99"/>
    <w:unhideWhenUsed/>
    <w:rsid w:val="00524B49"/>
    <w:pPr>
      <w:spacing w:before="100" w:beforeAutospacing="1" w:after="100" w:afterAutospacing="1"/>
    </w:pPr>
  </w:style>
  <w:style w:type="character" w:styleId="Hipervnculo">
    <w:name w:val="Hyperlink"/>
    <w:basedOn w:val="Fuentedeprrafopredeter"/>
    <w:uiPriority w:val="99"/>
    <w:unhideWhenUsed/>
    <w:rsid w:val="00524B49"/>
    <w:rPr>
      <w:color w:val="0000FF"/>
      <w:u w:val="single"/>
    </w:rPr>
  </w:style>
  <w:style w:type="character" w:styleId="Hipervnculovisitado">
    <w:name w:val="FollowedHyperlink"/>
    <w:basedOn w:val="Fuentedeprrafopredeter"/>
    <w:uiPriority w:val="99"/>
    <w:semiHidden/>
    <w:unhideWhenUsed/>
    <w:rsid w:val="00524B49"/>
    <w:rPr>
      <w:color w:val="954F72" w:themeColor="followedHyperlink"/>
      <w:u w:val="single"/>
    </w:rPr>
  </w:style>
  <w:style w:type="character" w:customStyle="1" w:styleId="Ttulo2Car">
    <w:name w:val="Título 2 Car"/>
    <w:basedOn w:val="Fuentedeprrafopredeter"/>
    <w:link w:val="Ttulo2"/>
    <w:uiPriority w:val="9"/>
    <w:rsid w:val="00F40BB1"/>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F40BB1"/>
    <w:rPr>
      <w:b/>
      <w:bCs/>
    </w:rPr>
  </w:style>
  <w:style w:type="character" w:styleId="Refdecomentario">
    <w:name w:val="annotation reference"/>
    <w:basedOn w:val="Fuentedeprrafopredeter"/>
    <w:uiPriority w:val="99"/>
    <w:semiHidden/>
    <w:unhideWhenUsed/>
    <w:rsid w:val="00776374"/>
    <w:rPr>
      <w:sz w:val="16"/>
      <w:szCs w:val="16"/>
    </w:rPr>
  </w:style>
  <w:style w:type="paragraph" w:styleId="Textocomentario">
    <w:name w:val="annotation text"/>
    <w:basedOn w:val="Normal"/>
    <w:link w:val="TextocomentarioCar"/>
    <w:uiPriority w:val="99"/>
    <w:unhideWhenUsed/>
    <w:rsid w:val="00776374"/>
    <w:rPr>
      <w:sz w:val="20"/>
      <w:szCs w:val="20"/>
    </w:rPr>
  </w:style>
  <w:style w:type="character" w:customStyle="1" w:styleId="TextocomentarioCar">
    <w:name w:val="Texto comentario Car"/>
    <w:basedOn w:val="Fuentedeprrafopredeter"/>
    <w:link w:val="Textocomentario"/>
    <w:uiPriority w:val="99"/>
    <w:rsid w:val="00776374"/>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76374"/>
    <w:rPr>
      <w:b/>
      <w:bCs/>
    </w:rPr>
  </w:style>
  <w:style w:type="character" w:customStyle="1" w:styleId="AsuntodelcomentarioCar">
    <w:name w:val="Asunto del comentario Car"/>
    <w:basedOn w:val="TextocomentarioCar"/>
    <w:link w:val="Asuntodelcomentario"/>
    <w:uiPriority w:val="99"/>
    <w:semiHidden/>
    <w:rsid w:val="00776374"/>
    <w:rPr>
      <w:rFonts w:ascii="Times New Roman" w:eastAsia="Times New Roman" w:hAnsi="Times New Roman" w:cs="Times New Roman"/>
      <w:b/>
      <w:bCs/>
      <w:sz w:val="20"/>
      <w:szCs w:val="20"/>
      <w:lang w:eastAsia="es-MX"/>
    </w:rPr>
  </w:style>
  <w:style w:type="character" w:styleId="nfasis">
    <w:name w:val="Emphasis"/>
    <w:basedOn w:val="Fuentedeprrafopredeter"/>
    <w:uiPriority w:val="20"/>
    <w:qFormat/>
    <w:rsid w:val="00A012BF"/>
    <w:rPr>
      <w:i/>
      <w:iCs/>
    </w:rPr>
  </w:style>
  <w:style w:type="paragraph" w:styleId="Ttulo">
    <w:name w:val="Title"/>
    <w:aliases w:val="Cláusula 9"/>
    <w:basedOn w:val="Normal"/>
    <w:next w:val="Normal"/>
    <w:link w:val="TtuloCar"/>
    <w:uiPriority w:val="10"/>
    <w:qFormat/>
    <w:rsid w:val="00DD0D94"/>
    <w:pPr>
      <w:numPr>
        <w:numId w:val="3"/>
      </w:numPr>
      <w:spacing w:after="300"/>
      <w:contextualSpacing/>
      <w:jc w:val="both"/>
    </w:pPr>
    <w:rPr>
      <w:rFonts w:asciiTheme="majorHAnsi" w:eastAsiaTheme="majorEastAsia" w:hAnsiTheme="majorHAnsi" w:cstheme="majorBidi"/>
      <w:color w:val="AEAAAA" w:themeColor="background2" w:themeShade="BF"/>
      <w:spacing w:val="5"/>
      <w:kern w:val="28"/>
      <w:sz w:val="20"/>
      <w:szCs w:val="52"/>
      <w:lang w:val="es-MX" w:eastAsia="en-US"/>
    </w:rPr>
  </w:style>
  <w:style w:type="character" w:customStyle="1" w:styleId="TtuloCar">
    <w:name w:val="Título Car"/>
    <w:aliases w:val="Cláusula 9 Car"/>
    <w:basedOn w:val="Fuentedeprrafopredeter"/>
    <w:link w:val="Ttulo"/>
    <w:uiPriority w:val="10"/>
    <w:rsid w:val="00DD0D94"/>
    <w:rPr>
      <w:rFonts w:asciiTheme="majorHAnsi" w:eastAsiaTheme="majorEastAsia" w:hAnsiTheme="majorHAnsi" w:cstheme="majorBidi"/>
      <w:color w:val="AEAAAA" w:themeColor="background2" w:themeShade="BF"/>
      <w:spacing w:val="5"/>
      <w:kern w:val="28"/>
      <w:sz w:val="20"/>
      <w:szCs w:val="52"/>
      <w:lang w:val="es-MX"/>
    </w:rPr>
  </w:style>
  <w:style w:type="paragraph" w:customStyle="1" w:styleId="paragraph">
    <w:name w:val="paragraph"/>
    <w:basedOn w:val="Normal"/>
    <w:rsid w:val="00687BDD"/>
    <w:pPr>
      <w:spacing w:before="100" w:beforeAutospacing="1" w:after="100" w:afterAutospacing="1" w:line="276" w:lineRule="auto"/>
      <w:ind w:firstLine="709"/>
      <w:jc w:val="both"/>
    </w:pPr>
    <w:rPr>
      <w:lang w:eastAsia="es-ES_tradnl"/>
    </w:rPr>
  </w:style>
  <w:style w:type="character" w:customStyle="1" w:styleId="normaltextrun">
    <w:name w:val="normaltextrun"/>
    <w:basedOn w:val="Fuentedeprrafopredeter"/>
    <w:rsid w:val="00687BDD"/>
  </w:style>
  <w:style w:type="character" w:customStyle="1" w:styleId="eop">
    <w:name w:val="eop"/>
    <w:basedOn w:val="Fuentedeprrafopredeter"/>
    <w:rsid w:val="00687BDD"/>
  </w:style>
  <w:style w:type="character" w:styleId="Mencinsinresolver">
    <w:name w:val="Unresolved Mention"/>
    <w:basedOn w:val="Fuentedeprrafopredeter"/>
    <w:uiPriority w:val="99"/>
    <w:semiHidden/>
    <w:unhideWhenUsed/>
    <w:rsid w:val="00094B59"/>
    <w:rPr>
      <w:color w:val="605E5C"/>
      <w:shd w:val="clear" w:color="auto" w:fill="E1DFDD"/>
    </w:rPr>
  </w:style>
  <w:style w:type="character" w:customStyle="1" w:styleId="Ttulo1Car">
    <w:name w:val="Título 1 Car"/>
    <w:basedOn w:val="Fuentedeprrafopredeter"/>
    <w:link w:val="Ttulo1"/>
    <w:uiPriority w:val="9"/>
    <w:rsid w:val="00B8408D"/>
    <w:rPr>
      <w:rFonts w:asciiTheme="majorHAnsi" w:eastAsiaTheme="majorEastAsia" w:hAnsiTheme="majorHAnsi" w:cstheme="majorBidi"/>
      <w:color w:val="2F5496" w:themeColor="accent1" w:themeShade="BF"/>
      <w:sz w:val="32"/>
      <w:szCs w:val="32"/>
      <w:lang w:eastAsia="es-MX"/>
    </w:rPr>
  </w:style>
  <w:style w:type="table" w:customStyle="1" w:styleId="TableNormal">
    <w:name w:val="Table Normal"/>
    <w:uiPriority w:val="2"/>
    <w:semiHidden/>
    <w:unhideWhenUsed/>
    <w:qFormat/>
    <w:rsid w:val="00B8408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408D"/>
    <w:pPr>
      <w:widowControl w:val="0"/>
      <w:autoSpaceDE w:val="0"/>
      <w:autoSpaceDN w:val="0"/>
      <w:ind w:left="107"/>
    </w:pPr>
    <w:rPr>
      <w:rFonts w:ascii="Arial" w:eastAsia="Arial" w:hAnsi="Arial" w:cs="Arial"/>
      <w:sz w:val="22"/>
      <w:szCs w:val="22"/>
      <w:lang w:val="es-ES" w:eastAsia="es-ES" w:bidi="es-ES"/>
    </w:rPr>
  </w:style>
  <w:style w:type="character" w:customStyle="1" w:styleId="NormalWebCar">
    <w:name w:val="Normal (Web) Car"/>
    <w:link w:val="NormalWeb"/>
    <w:uiPriority w:val="99"/>
    <w:rsid w:val="006E36F6"/>
    <w:rPr>
      <w:rFonts w:ascii="Times New Roman" w:eastAsia="Times New Roman" w:hAnsi="Times New Roman" w:cs="Times New Roman"/>
      <w:lang w:eastAsia="es-MX"/>
    </w:rPr>
  </w:style>
  <w:style w:type="paragraph" w:styleId="Revisin">
    <w:name w:val="Revision"/>
    <w:hidden/>
    <w:uiPriority w:val="99"/>
    <w:semiHidden/>
    <w:rsid w:val="00015F47"/>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926">
      <w:bodyDiv w:val="1"/>
      <w:marLeft w:val="0"/>
      <w:marRight w:val="0"/>
      <w:marTop w:val="0"/>
      <w:marBottom w:val="0"/>
      <w:divBdr>
        <w:top w:val="none" w:sz="0" w:space="0" w:color="auto"/>
        <w:left w:val="none" w:sz="0" w:space="0" w:color="auto"/>
        <w:bottom w:val="none" w:sz="0" w:space="0" w:color="auto"/>
        <w:right w:val="none" w:sz="0" w:space="0" w:color="auto"/>
      </w:divBdr>
    </w:div>
    <w:div w:id="79760047">
      <w:bodyDiv w:val="1"/>
      <w:marLeft w:val="0"/>
      <w:marRight w:val="0"/>
      <w:marTop w:val="0"/>
      <w:marBottom w:val="0"/>
      <w:divBdr>
        <w:top w:val="none" w:sz="0" w:space="0" w:color="auto"/>
        <w:left w:val="none" w:sz="0" w:space="0" w:color="auto"/>
        <w:bottom w:val="none" w:sz="0" w:space="0" w:color="auto"/>
        <w:right w:val="none" w:sz="0" w:space="0" w:color="auto"/>
      </w:divBdr>
    </w:div>
    <w:div w:id="114636653">
      <w:bodyDiv w:val="1"/>
      <w:marLeft w:val="0"/>
      <w:marRight w:val="0"/>
      <w:marTop w:val="0"/>
      <w:marBottom w:val="0"/>
      <w:divBdr>
        <w:top w:val="none" w:sz="0" w:space="0" w:color="auto"/>
        <w:left w:val="none" w:sz="0" w:space="0" w:color="auto"/>
        <w:bottom w:val="none" w:sz="0" w:space="0" w:color="auto"/>
        <w:right w:val="none" w:sz="0" w:space="0" w:color="auto"/>
      </w:divBdr>
    </w:div>
    <w:div w:id="183596897">
      <w:bodyDiv w:val="1"/>
      <w:marLeft w:val="0"/>
      <w:marRight w:val="0"/>
      <w:marTop w:val="0"/>
      <w:marBottom w:val="0"/>
      <w:divBdr>
        <w:top w:val="none" w:sz="0" w:space="0" w:color="auto"/>
        <w:left w:val="none" w:sz="0" w:space="0" w:color="auto"/>
        <w:bottom w:val="none" w:sz="0" w:space="0" w:color="auto"/>
        <w:right w:val="none" w:sz="0" w:space="0" w:color="auto"/>
      </w:divBdr>
    </w:div>
    <w:div w:id="279412230">
      <w:bodyDiv w:val="1"/>
      <w:marLeft w:val="0"/>
      <w:marRight w:val="0"/>
      <w:marTop w:val="0"/>
      <w:marBottom w:val="0"/>
      <w:divBdr>
        <w:top w:val="none" w:sz="0" w:space="0" w:color="auto"/>
        <w:left w:val="none" w:sz="0" w:space="0" w:color="auto"/>
        <w:bottom w:val="none" w:sz="0" w:space="0" w:color="auto"/>
        <w:right w:val="none" w:sz="0" w:space="0" w:color="auto"/>
      </w:divBdr>
    </w:div>
    <w:div w:id="298219995">
      <w:bodyDiv w:val="1"/>
      <w:marLeft w:val="0"/>
      <w:marRight w:val="0"/>
      <w:marTop w:val="0"/>
      <w:marBottom w:val="0"/>
      <w:divBdr>
        <w:top w:val="none" w:sz="0" w:space="0" w:color="auto"/>
        <w:left w:val="none" w:sz="0" w:space="0" w:color="auto"/>
        <w:bottom w:val="none" w:sz="0" w:space="0" w:color="auto"/>
        <w:right w:val="none" w:sz="0" w:space="0" w:color="auto"/>
      </w:divBdr>
    </w:div>
    <w:div w:id="324893756">
      <w:bodyDiv w:val="1"/>
      <w:marLeft w:val="0"/>
      <w:marRight w:val="0"/>
      <w:marTop w:val="0"/>
      <w:marBottom w:val="0"/>
      <w:divBdr>
        <w:top w:val="none" w:sz="0" w:space="0" w:color="auto"/>
        <w:left w:val="none" w:sz="0" w:space="0" w:color="auto"/>
        <w:bottom w:val="none" w:sz="0" w:space="0" w:color="auto"/>
        <w:right w:val="none" w:sz="0" w:space="0" w:color="auto"/>
      </w:divBdr>
    </w:div>
    <w:div w:id="331495140">
      <w:bodyDiv w:val="1"/>
      <w:marLeft w:val="0"/>
      <w:marRight w:val="0"/>
      <w:marTop w:val="0"/>
      <w:marBottom w:val="0"/>
      <w:divBdr>
        <w:top w:val="none" w:sz="0" w:space="0" w:color="auto"/>
        <w:left w:val="none" w:sz="0" w:space="0" w:color="auto"/>
        <w:bottom w:val="none" w:sz="0" w:space="0" w:color="auto"/>
        <w:right w:val="none" w:sz="0" w:space="0" w:color="auto"/>
      </w:divBdr>
    </w:div>
    <w:div w:id="368529050">
      <w:bodyDiv w:val="1"/>
      <w:marLeft w:val="0"/>
      <w:marRight w:val="0"/>
      <w:marTop w:val="0"/>
      <w:marBottom w:val="0"/>
      <w:divBdr>
        <w:top w:val="none" w:sz="0" w:space="0" w:color="auto"/>
        <w:left w:val="none" w:sz="0" w:space="0" w:color="auto"/>
        <w:bottom w:val="none" w:sz="0" w:space="0" w:color="auto"/>
        <w:right w:val="none" w:sz="0" w:space="0" w:color="auto"/>
      </w:divBdr>
      <w:divsChild>
        <w:div w:id="1542283922">
          <w:marLeft w:val="0"/>
          <w:marRight w:val="0"/>
          <w:marTop w:val="0"/>
          <w:marBottom w:val="0"/>
          <w:divBdr>
            <w:top w:val="none" w:sz="0" w:space="0" w:color="auto"/>
            <w:left w:val="none" w:sz="0" w:space="0" w:color="auto"/>
            <w:bottom w:val="none" w:sz="0" w:space="0" w:color="auto"/>
            <w:right w:val="none" w:sz="0" w:space="0" w:color="auto"/>
          </w:divBdr>
          <w:divsChild>
            <w:div w:id="2051761181">
              <w:marLeft w:val="0"/>
              <w:marRight w:val="0"/>
              <w:marTop w:val="0"/>
              <w:marBottom w:val="0"/>
              <w:divBdr>
                <w:top w:val="none" w:sz="0" w:space="0" w:color="auto"/>
                <w:left w:val="none" w:sz="0" w:space="0" w:color="auto"/>
                <w:bottom w:val="none" w:sz="0" w:space="0" w:color="auto"/>
                <w:right w:val="none" w:sz="0" w:space="0" w:color="auto"/>
              </w:divBdr>
              <w:divsChild>
                <w:div w:id="12314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49182">
      <w:bodyDiv w:val="1"/>
      <w:marLeft w:val="0"/>
      <w:marRight w:val="0"/>
      <w:marTop w:val="0"/>
      <w:marBottom w:val="0"/>
      <w:divBdr>
        <w:top w:val="none" w:sz="0" w:space="0" w:color="auto"/>
        <w:left w:val="none" w:sz="0" w:space="0" w:color="auto"/>
        <w:bottom w:val="none" w:sz="0" w:space="0" w:color="auto"/>
        <w:right w:val="none" w:sz="0" w:space="0" w:color="auto"/>
      </w:divBdr>
    </w:div>
    <w:div w:id="392705629">
      <w:bodyDiv w:val="1"/>
      <w:marLeft w:val="0"/>
      <w:marRight w:val="0"/>
      <w:marTop w:val="0"/>
      <w:marBottom w:val="0"/>
      <w:divBdr>
        <w:top w:val="none" w:sz="0" w:space="0" w:color="auto"/>
        <w:left w:val="none" w:sz="0" w:space="0" w:color="auto"/>
        <w:bottom w:val="none" w:sz="0" w:space="0" w:color="auto"/>
        <w:right w:val="none" w:sz="0" w:space="0" w:color="auto"/>
      </w:divBdr>
    </w:div>
    <w:div w:id="486366192">
      <w:bodyDiv w:val="1"/>
      <w:marLeft w:val="0"/>
      <w:marRight w:val="0"/>
      <w:marTop w:val="0"/>
      <w:marBottom w:val="0"/>
      <w:divBdr>
        <w:top w:val="none" w:sz="0" w:space="0" w:color="auto"/>
        <w:left w:val="none" w:sz="0" w:space="0" w:color="auto"/>
        <w:bottom w:val="none" w:sz="0" w:space="0" w:color="auto"/>
        <w:right w:val="none" w:sz="0" w:space="0" w:color="auto"/>
      </w:divBdr>
      <w:divsChild>
        <w:div w:id="1352760980">
          <w:marLeft w:val="0"/>
          <w:marRight w:val="0"/>
          <w:marTop w:val="0"/>
          <w:marBottom w:val="0"/>
          <w:divBdr>
            <w:top w:val="none" w:sz="0" w:space="0" w:color="auto"/>
            <w:left w:val="none" w:sz="0" w:space="0" w:color="auto"/>
            <w:bottom w:val="none" w:sz="0" w:space="0" w:color="auto"/>
            <w:right w:val="none" w:sz="0" w:space="0" w:color="auto"/>
          </w:divBdr>
          <w:divsChild>
            <w:div w:id="1312324098">
              <w:marLeft w:val="0"/>
              <w:marRight w:val="0"/>
              <w:marTop w:val="0"/>
              <w:marBottom w:val="0"/>
              <w:divBdr>
                <w:top w:val="none" w:sz="0" w:space="0" w:color="auto"/>
                <w:left w:val="none" w:sz="0" w:space="0" w:color="auto"/>
                <w:bottom w:val="none" w:sz="0" w:space="0" w:color="auto"/>
                <w:right w:val="none" w:sz="0" w:space="0" w:color="auto"/>
              </w:divBdr>
              <w:divsChild>
                <w:div w:id="15849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7665">
      <w:bodyDiv w:val="1"/>
      <w:marLeft w:val="0"/>
      <w:marRight w:val="0"/>
      <w:marTop w:val="0"/>
      <w:marBottom w:val="0"/>
      <w:divBdr>
        <w:top w:val="none" w:sz="0" w:space="0" w:color="auto"/>
        <w:left w:val="none" w:sz="0" w:space="0" w:color="auto"/>
        <w:bottom w:val="none" w:sz="0" w:space="0" w:color="auto"/>
        <w:right w:val="none" w:sz="0" w:space="0" w:color="auto"/>
      </w:divBdr>
    </w:div>
    <w:div w:id="553198692">
      <w:bodyDiv w:val="1"/>
      <w:marLeft w:val="0"/>
      <w:marRight w:val="0"/>
      <w:marTop w:val="0"/>
      <w:marBottom w:val="0"/>
      <w:divBdr>
        <w:top w:val="none" w:sz="0" w:space="0" w:color="auto"/>
        <w:left w:val="none" w:sz="0" w:space="0" w:color="auto"/>
        <w:bottom w:val="none" w:sz="0" w:space="0" w:color="auto"/>
        <w:right w:val="none" w:sz="0" w:space="0" w:color="auto"/>
      </w:divBdr>
    </w:div>
    <w:div w:id="704448476">
      <w:bodyDiv w:val="1"/>
      <w:marLeft w:val="0"/>
      <w:marRight w:val="0"/>
      <w:marTop w:val="0"/>
      <w:marBottom w:val="0"/>
      <w:divBdr>
        <w:top w:val="none" w:sz="0" w:space="0" w:color="auto"/>
        <w:left w:val="none" w:sz="0" w:space="0" w:color="auto"/>
        <w:bottom w:val="none" w:sz="0" w:space="0" w:color="auto"/>
        <w:right w:val="none" w:sz="0" w:space="0" w:color="auto"/>
      </w:divBdr>
    </w:div>
    <w:div w:id="874738167">
      <w:bodyDiv w:val="1"/>
      <w:marLeft w:val="0"/>
      <w:marRight w:val="0"/>
      <w:marTop w:val="0"/>
      <w:marBottom w:val="0"/>
      <w:divBdr>
        <w:top w:val="none" w:sz="0" w:space="0" w:color="auto"/>
        <w:left w:val="none" w:sz="0" w:space="0" w:color="auto"/>
        <w:bottom w:val="none" w:sz="0" w:space="0" w:color="auto"/>
        <w:right w:val="none" w:sz="0" w:space="0" w:color="auto"/>
      </w:divBdr>
    </w:div>
    <w:div w:id="914783788">
      <w:bodyDiv w:val="1"/>
      <w:marLeft w:val="0"/>
      <w:marRight w:val="0"/>
      <w:marTop w:val="0"/>
      <w:marBottom w:val="0"/>
      <w:divBdr>
        <w:top w:val="none" w:sz="0" w:space="0" w:color="auto"/>
        <w:left w:val="none" w:sz="0" w:space="0" w:color="auto"/>
        <w:bottom w:val="none" w:sz="0" w:space="0" w:color="auto"/>
        <w:right w:val="none" w:sz="0" w:space="0" w:color="auto"/>
      </w:divBdr>
    </w:div>
    <w:div w:id="956109359">
      <w:bodyDiv w:val="1"/>
      <w:marLeft w:val="0"/>
      <w:marRight w:val="0"/>
      <w:marTop w:val="0"/>
      <w:marBottom w:val="0"/>
      <w:divBdr>
        <w:top w:val="none" w:sz="0" w:space="0" w:color="auto"/>
        <w:left w:val="none" w:sz="0" w:space="0" w:color="auto"/>
        <w:bottom w:val="none" w:sz="0" w:space="0" w:color="auto"/>
        <w:right w:val="none" w:sz="0" w:space="0" w:color="auto"/>
      </w:divBdr>
    </w:div>
    <w:div w:id="964624696">
      <w:bodyDiv w:val="1"/>
      <w:marLeft w:val="0"/>
      <w:marRight w:val="0"/>
      <w:marTop w:val="0"/>
      <w:marBottom w:val="0"/>
      <w:divBdr>
        <w:top w:val="none" w:sz="0" w:space="0" w:color="auto"/>
        <w:left w:val="none" w:sz="0" w:space="0" w:color="auto"/>
        <w:bottom w:val="none" w:sz="0" w:space="0" w:color="auto"/>
        <w:right w:val="none" w:sz="0" w:space="0" w:color="auto"/>
      </w:divBdr>
    </w:div>
    <w:div w:id="1038699974">
      <w:bodyDiv w:val="1"/>
      <w:marLeft w:val="0"/>
      <w:marRight w:val="0"/>
      <w:marTop w:val="0"/>
      <w:marBottom w:val="0"/>
      <w:divBdr>
        <w:top w:val="none" w:sz="0" w:space="0" w:color="auto"/>
        <w:left w:val="none" w:sz="0" w:space="0" w:color="auto"/>
        <w:bottom w:val="none" w:sz="0" w:space="0" w:color="auto"/>
        <w:right w:val="none" w:sz="0" w:space="0" w:color="auto"/>
      </w:divBdr>
    </w:div>
    <w:div w:id="1173640563">
      <w:bodyDiv w:val="1"/>
      <w:marLeft w:val="0"/>
      <w:marRight w:val="0"/>
      <w:marTop w:val="0"/>
      <w:marBottom w:val="0"/>
      <w:divBdr>
        <w:top w:val="none" w:sz="0" w:space="0" w:color="auto"/>
        <w:left w:val="none" w:sz="0" w:space="0" w:color="auto"/>
        <w:bottom w:val="none" w:sz="0" w:space="0" w:color="auto"/>
        <w:right w:val="none" w:sz="0" w:space="0" w:color="auto"/>
      </w:divBdr>
      <w:divsChild>
        <w:div w:id="236667670">
          <w:marLeft w:val="0"/>
          <w:marRight w:val="0"/>
          <w:marTop w:val="0"/>
          <w:marBottom w:val="0"/>
          <w:divBdr>
            <w:top w:val="none" w:sz="0" w:space="0" w:color="auto"/>
            <w:left w:val="none" w:sz="0" w:space="0" w:color="auto"/>
            <w:bottom w:val="none" w:sz="0" w:space="0" w:color="auto"/>
            <w:right w:val="none" w:sz="0" w:space="0" w:color="auto"/>
          </w:divBdr>
          <w:divsChild>
            <w:div w:id="444160927">
              <w:marLeft w:val="0"/>
              <w:marRight w:val="0"/>
              <w:marTop w:val="0"/>
              <w:marBottom w:val="0"/>
              <w:divBdr>
                <w:top w:val="none" w:sz="0" w:space="0" w:color="auto"/>
                <w:left w:val="none" w:sz="0" w:space="0" w:color="auto"/>
                <w:bottom w:val="none" w:sz="0" w:space="0" w:color="auto"/>
                <w:right w:val="none" w:sz="0" w:space="0" w:color="auto"/>
              </w:divBdr>
              <w:divsChild>
                <w:div w:id="20518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30790">
      <w:bodyDiv w:val="1"/>
      <w:marLeft w:val="0"/>
      <w:marRight w:val="0"/>
      <w:marTop w:val="0"/>
      <w:marBottom w:val="0"/>
      <w:divBdr>
        <w:top w:val="none" w:sz="0" w:space="0" w:color="auto"/>
        <w:left w:val="none" w:sz="0" w:space="0" w:color="auto"/>
        <w:bottom w:val="none" w:sz="0" w:space="0" w:color="auto"/>
        <w:right w:val="none" w:sz="0" w:space="0" w:color="auto"/>
      </w:divBdr>
    </w:div>
    <w:div w:id="1375883382">
      <w:bodyDiv w:val="1"/>
      <w:marLeft w:val="0"/>
      <w:marRight w:val="0"/>
      <w:marTop w:val="0"/>
      <w:marBottom w:val="0"/>
      <w:divBdr>
        <w:top w:val="none" w:sz="0" w:space="0" w:color="auto"/>
        <w:left w:val="none" w:sz="0" w:space="0" w:color="auto"/>
        <w:bottom w:val="none" w:sz="0" w:space="0" w:color="auto"/>
        <w:right w:val="none" w:sz="0" w:space="0" w:color="auto"/>
      </w:divBdr>
    </w:div>
    <w:div w:id="1447695202">
      <w:bodyDiv w:val="1"/>
      <w:marLeft w:val="0"/>
      <w:marRight w:val="0"/>
      <w:marTop w:val="0"/>
      <w:marBottom w:val="0"/>
      <w:divBdr>
        <w:top w:val="none" w:sz="0" w:space="0" w:color="auto"/>
        <w:left w:val="none" w:sz="0" w:space="0" w:color="auto"/>
        <w:bottom w:val="none" w:sz="0" w:space="0" w:color="auto"/>
        <w:right w:val="none" w:sz="0" w:space="0" w:color="auto"/>
      </w:divBdr>
      <w:divsChild>
        <w:div w:id="15740106">
          <w:marLeft w:val="0"/>
          <w:marRight w:val="0"/>
          <w:marTop w:val="0"/>
          <w:marBottom w:val="0"/>
          <w:divBdr>
            <w:top w:val="none" w:sz="0" w:space="0" w:color="auto"/>
            <w:left w:val="none" w:sz="0" w:space="0" w:color="auto"/>
            <w:bottom w:val="none" w:sz="0" w:space="0" w:color="auto"/>
            <w:right w:val="none" w:sz="0" w:space="0" w:color="auto"/>
          </w:divBdr>
        </w:div>
      </w:divsChild>
    </w:div>
    <w:div w:id="1486707341">
      <w:bodyDiv w:val="1"/>
      <w:marLeft w:val="0"/>
      <w:marRight w:val="0"/>
      <w:marTop w:val="0"/>
      <w:marBottom w:val="0"/>
      <w:divBdr>
        <w:top w:val="none" w:sz="0" w:space="0" w:color="auto"/>
        <w:left w:val="none" w:sz="0" w:space="0" w:color="auto"/>
        <w:bottom w:val="none" w:sz="0" w:space="0" w:color="auto"/>
        <w:right w:val="none" w:sz="0" w:space="0" w:color="auto"/>
      </w:divBdr>
      <w:divsChild>
        <w:div w:id="277177450">
          <w:marLeft w:val="0"/>
          <w:marRight w:val="0"/>
          <w:marTop w:val="0"/>
          <w:marBottom w:val="0"/>
          <w:divBdr>
            <w:top w:val="none" w:sz="0" w:space="0" w:color="auto"/>
            <w:left w:val="none" w:sz="0" w:space="0" w:color="auto"/>
            <w:bottom w:val="none" w:sz="0" w:space="0" w:color="auto"/>
            <w:right w:val="none" w:sz="0" w:space="0" w:color="auto"/>
          </w:divBdr>
          <w:divsChild>
            <w:div w:id="37970307">
              <w:marLeft w:val="0"/>
              <w:marRight w:val="0"/>
              <w:marTop w:val="0"/>
              <w:marBottom w:val="0"/>
              <w:divBdr>
                <w:top w:val="none" w:sz="0" w:space="0" w:color="auto"/>
                <w:left w:val="none" w:sz="0" w:space="0" w:color="auto"/>
                <w:bottom w:val="none" w:sz="0" w:space="0" w:color="auto"/>
                <w:right w:val="none" w:sz="0" w:space="0" w:color="auto"/>
              </w:divBdr>
              <w:divsChild>
                <w:div w:id="1223295099">
                  <w:marLeft w:val="0"/>
                  <w:marRight w:val="0"/>
                  <w:marTop w:val="0"/>
                  <w:marBottom w:val="0"/>
                  <w:divBdr>
                    <w:top w:val="none" w:sz="0" w:space="0" w:color="auto"/>
                    <w:left w:val="none" w:sz="0" w:space="0" w:color="auto"/>
                    <w:bottom w:val="none" w:sz="0" w:space="0" w:color="auto"/>
                    <w:right w:val="none" w:sz="0" w:space="0" w:color="auto"/>
                  </w:divBdr>
                  <w:divsChild>
                    <w:div w:id="11829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9270">
      <w:bodyDiv w:val="1"/>
      <w:marLeft w:val="0"/>
      <w:marRight w:val="0"/>
      <w:marTop w:val="0"/>
      <w:marBottom w:val="0"/>
      <w:divBdr>
        <w:top w:val="none" w:sz="0" w:space="0" w:color="auto"/>
        <w:left w:val="none" w:sz="0" w:space="0" w:color="auto"/>
        <w:bottom w:val="none" w:sz="0" w:space="0" w:color="auto"/>
        <w:right w:val="none" w:sz="0" w:space="0" w:color="auto"/>
      </w:divBdr>
    </w:div>
    <w:div w:id="1698769485">
      <w:bodyDiv w:val="1"/>
      <w:marLeft w:val="0"/>
      <w:marRight w:val="0"/>
      <w:marTop w:val="0"/>
      <w:marBottom w:val="0"/>
      <w:divBdr>
        <w:top w:val="none" w:sz="0" w:space="0" w:color="auto"/>
        <w:left w:val="none" w:sz="0" w:space="0" w:color="auto"/>
        <w:bottom w:val="none" w:sz="0" w:space="0" w:color="auto"/>
        <w:right w:val="none" w:sz="0" w:space="0" w:color="auto"/>
      </w:divBdr>
    </w:div>
    <w:div w:id="1770154424">
      <w:bodyDiv w:val="1"/>
      <w:marLeft w:val="0"/>
      <w:marRight w:val="0"/>
      <w:marTop w:val="0"/>
      <w:marBottom w:val="0"/>
      <w:divBdr>
        <w:top w:val="none" w:sz="0" w:space="0" w:color="auto"/>
        <w:left w:val="none" w:sz="0" w:space="0" w:color="auto"/>
        <w:bottom w:val="none" w:sz="0" w:space="0" w:color="auto"/>
        <w:right w:val="none" w:sz="0" w:space="0" w:color="auto"/>
      </w:divBdr>
    </w:div>
    <w:div w:id="1908418874">
      <w:bodyDiv w:val="1"/>
      <w:marLeft w:val="0"/>
      <w:marRight w:val="0"/>
      <w:marTop w:val="0"/>
      <w:marBottom w:val="0"/>
      <w:divBdr>
        <w:top w:val="none" w:sz="0" w:space="0" w:color="auto"/>
        <w:left w:val="none" w:sz="0" w:space="0" w:color="auto"/>
        <w:bottom w:val="none" w:sz="0" w:space="0" w:color="auto"/>
        <w:right w:val="none" w:sz="0" w:space="0" w:color="auto"/>
      </w:divBdr>
      <w:divsChild>
        <w:div w:id="793448235">
          <w:marLeft w:val="0"/>
          <w:marRight w:val="0"/>
          <w:marTop w:val="0"/>
          <w:marBottom w:val="0"/>
          <w:divBdr>
            <w:top w:val="none" w:sz="0" w:space="0" w:color="auto"/>
            <w:left w:val="none" w:sz="0" w:space="0" w:color="auto"/>
            <w:bottom w:val="none" w:sz="0" w:space="0" w:color="auto"/>
            <w:right w:val="none" w:sz="0" w:space="0" w:color="auto"/>
          </w:divBdr>
          <w:divsChild>
            <w:div w:id="1859854039">
              <w:marLeft w:val="0"/>
              <w:marRight w:val="0"/>
              <w:marTop w:val="0"/>
              <w:marBottom w:val="0"/>
              <w:divBdr>
                <w:top w:val="none" w:sz="0" w:space="0" w:color="auto"/>
                <w:left w:val="none" w:sz="0" w:space="0" w:color="auto"/>
                <w:bottom w:val="none" w:sz="0" w:space="0" w:color="auto"/>
                <w:right w:val="none" w:sz="0" w:space="0" w:color="auto"/>
              </w:divBdr>
              <w:divsChild>
                <w:div w:id="15611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7765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C52AE-CEDA-FD42-B40D-BD0DC712E3CF}">
  <ds:schemaRefs>
    <ds:schemaRef ds:uri="http://schemas.openxmlformats.org/officeDocument/2006/bibliography"/>
  </ds:schemaRefs>
</ds:datastoreItem>
</file>

<file path=customXml/itemProps2.xml><?xml version="1.0" encoding="utf-8"?>
<ds:datastoreItem xmlns:ds="http://schemas.openxmlformats.org/officeDocument/2006/customXml" ds:itemID="{B2B16CE3-A68C-4716-BC3A-9EBF917A5CA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986FD66-2417-42AA-936D-B10B1C42EFA6}">
  <ds:schemaRefs>
    <ds:schemaRef ds:uri="http://schemas.microsoft.com/sharepoint/v3/contenttype/forms"/>
  </ds:schemaRefs>
</ds:datastoreItem>
</file>

<file path=customXml/itemProps4.xml><?xml version="1.0" encoding="utf-8"?>
<ds:datastoreItem xmlns:ds="http://schemas.openxmlformats.org/officeDocument/2006/customXml" ds:itemID="{FEF2381E-0511-4786-8991-C97900E52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4295</Words>
  <Characters>23626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JUAN CAMILO VESGA BONILLA</cp:lastModifiedBy>
  <cp:revision>3</cp:revision>
  <dcterms:created xsi:type="dcterms:W3CDTF">2021-08-02T16:17:00Z</dcterms:created>
  <dcterms:modified xsi:type="dcterms:W3CDTF">2021-08-30T13:22:00Z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