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B28A" w14:textId="77777777" w:rsidR="00096005" w:rsidRDefault="00096005" w:rsidP="00096005">
      <w:pPr>
        <w:rPr>
          <w:rFonts w:ascii="Arial" w:hAnsi="Arial" w:cs="Arial"/>
          <w:bCs/>
          <w:color w:val="000000" w:themeColor="text1"/>
          <w:sz w:val="16"/>
          <w:szCs w:val="16"/>
          <w:lang w:val="es-ES_tradnl" w:eastAsia="es-ES"/>
        </w:rPr>
      </w:pPr>
      <w:bookmarkStart w:id="0" w:name="_Hlk28946138"/>
      <w:bookmarkStart w:id="1" w:name="_Hlk29548183"/>
    </w:p>
    <w:p w14:paraId="0D801DBF" w14:textId="77777777" w:rsidR="00096005" w:rsidRPr="00916C68" w:rsidRDefault="00096005" w:rsidP="00096005">
      <w:pPr>
        <w:jc w:val="right"/>
        <w:rPr>
          <w:rFonts w:ascii="Arial" w:eastAsia="Calibri" w:hAnsi="Arial" w:cs="Arial"/>
          <w:b/>
          <w:color w:val="000000" w:themeColor="text1"/>
          <w:sz w:val="20"/>
          <w:szCs w:val="20"/>
          <w:lang w:val="es-ES_tradnl"/>
        </w:rPr>
      </w:pPr>
      <w:r w:rsidRPr="00916C68">
        <w:rPr>
          <w:rFonts w:ascii="Arial" w:hAnsi="Arial" w:cs="Arial"/>
          <w:bCs/>
          <w:color w:val="000000" w:themeColor="text1"/>
          <w:sz w:val="16"/>
          <w:szCs w:val="16"/>
          <w:lang w:val="es-ES_tradnl" w:eastAsia="es-ES"/>
        </w:rPr>
        <w:t>CCE-DES-FM-17</w:t>
      </w:r>
    </w:p>
    <w:p w14:paraId="0701D20D" w14:textId="77777777" w:rsidR="00096005" w:rsidRPr="00916C68" w:rsidRDefault="00096005" w:rsidP="00096005">
      <w:pPr>
        <w:spacing w:after="200" w:line="276" w:lineRule="auto"/>
        <w:rPr>
          <w:rFonts w:ascii="Arial" w:hAnsi="Arial" w:cs="Arial"/>
          <w:b/>
          <w:color w:val="000000" w:themeColor="text1"/>
          <w:sz w:val="22"/>
          <w:szCs w:val="22"/>
          <w:lang w:val="es-ES_tradnl"/>
        </w:rPr>
      </w:pPr>
      <w:r w:rsidRPr="00916C68">
        <w:rPr>
          <w:rFonts w:ascii="Arial" w:hAnsi="Arial" w:cs="Arial"/>
          <w:b/>
          <w:color w:val="000000" w:themeColor="text1"/>
          <w:sz w:val="22"/>
          <w:szCs w:val="22"/>
          <w:lang w:val="es-ES_tradnl"/>
        </w:rPr>
        <w:t xml:space="preserve">DOCUMENTOS TIPO – Obligatoriedad – Alcance </w:t>
      </w:r>
    </w:p>
    <w:p w14:paraId="6BE3EFE5" w14:textId="77777777" w:rsidR="00096005" w:rsidRPr="00916C68" w:rsidRDefault="00096005" w:rsidP="00096005">
      <w:pPr>
        <w:spacing w:before="120"/>
        <w:jc w:val="both"/>
        <w:rPr>
          <w:rFonts w:ascii="Arial" w:hAnsi="Arial" w:cs="Arial"/>
          <w:color w:val="000000" w:themeColor="text1"/>
          <w:sz w:val="20"/>
          <w:szCs w:val="20"/>
        </w:rPr>
      </w:pPr>
      <w:r w:rsidRPr="00916C68">
        <w:rPr>
          <w:rFonts w:ascii="Arial" w:hAnsi="Arial" w:cs="Arial"/>
          <w:color w:val="000000" w:themeColor="text1"/>
          <w:sz w:val="20"/>
          <w:szCs w:val="20"/>
        </w:rPr>
        <w:t xml:space="preserve">De conformidad con lo establecido en la Ley 2022 de 2020, las resoluciones que adoptan los documentos tipo son de obligatorio cumplimiento para todas las entidades públicas sometidas al Estatuto General de Contratación de la Administración Pública, de modo que, salvo norma especial, los procesos deberán tramitarse a partir de los parámetros estandarizados en estos documentos. Sin embargo, es importante señalar que, en los casos en que no sea obligatorio su aplicación, estos documentos pueden servir como referente para los demás procesos de contratación, por tratarse de una buena práctica en materia de contratación estatal. </w:t>
      </w:r>
    </w:p>
    <w:p w14:paraId="227726B8" w14:textId="77777777" w:rsidR="00096005" w:rsidRPr="00916C68" w:rsidRDefault="00096005" w:rsidP="00096005">
      <w:pPr>
        <w:spacing w:line="276" w:lineRule="auto"/>
        <w:rPr>
          <w:rFonts w:ascii="Arial" w:hAnsi="Arial" w:cs="Arial"/>
          <w:b/>
          <w:color w:val="000000" w:themeColor="text1"/>
          <w:sz w:val="22"/>
          <w:szCs w:val="22"/>
          <w:lang w:val="es-ES_tradnl"/>
        </w:rPr>
      </w:pPr>
    </w:p>
    <w:p w14:paraId="50152481" w14:textId="77777777" w:rsidR="00096005" w:rsidRPr="00916C68" w:rsidRDefault="00096005" w:rsidP="00096005">
      <w:pPr>
        <w:spacing w:after="200" w:line="276" w:lineRule="auto"/>
        <w:rPr>
          <w:rFonts w:ascii="Arial" w:hAnsi="Arial" w:cs="Arial"/>
          <w:b/>
          <w:color w:val="000000" w:themeColor="text1"/>
          <w:sz w:val="22"/>
          <w:szCs w:val="22"/>
          <w:lang w:val="es-ES_tradnl"/>
        </w:rPr>
      </w:pPr>
      <w:r w:rsidRPr="00916C68">
        <w:rPr>
          <w:rFonts w:ascii="Arial" w:hAnsi="Arial" w:cs="Arial"/>
          <w:b/>
          <w:color w:val="000000" w:themeColor="text1"/>
          <w:sz w:val="22"/>
          <w:szCs w:val="22"/>
          <w:lang w:val="es-ES_tradnl"/>
        </w:rPr>
        <w:t xml:space="preserve">CONTRATACIÓN DIRECTA - Ley 1523 de 2015 – Exclusión – Ley 80 de 1993 </w:t>
      </w:r>
    </w:p>
    <w:p w14:paraId="56264387" w14:textId="77777777" w:rsidR="00096005" w:rsidRPr="00916C68" w:rsidRDefault="00096005" w:rsidP="00096005">
      <w:pPr>
        <w:spacing w:before="120"/>
        <w:jc w:val="both"/>
        <w:rPr>
          <w:rFonts w:ascii="Arial" w:eastAsia="Calibri" w:hAnsi="Arial" w:cs="Arial"/>
          <w:color w:val="000000" w:themeColor="text1"/>
          <w:sz w:val="20"/>
          <w:szCs w:val="20"/>
          <w:lang w:val="es-ES_tradnl"/>
        </w:rPr>
      </w:pPr>
      <w:r w:rsidRPr="00916C68">
        <w:rPr>
          <w:rFonts w:ascii="Arial" w:eastAsia="Calibri" w:hAnsi="Arial" w:cs="Arial"/>
          <w:color w:val="000000" w:themeColor="text1"/>
          <w:sz w:val="20"/>
          <w:szCs w:val="20"/>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    </w:t>
      </w:r>
    </w:p>
    <w:p w14:paraId="14F963A5" w14:textId="77777777" w:rsidR="00096005" w:rsidRPr="00916C68" w:rsidRDefault="00096005" w:rsidP="00096005">
      <w:pPr>
        <w:rPr>
          <w:rFonts w:ascii="Arial" w:hAnsi="Arial" w:cs="Arial"/>
          <w:b/>
          <w:color w:val="000000" w:themeColor="text1"/>
          <w:sz w:val="22"/>
          <w:szCs w:val="22"/>
          <w:lang w:val="es-ES_tradnl"/>
        </w:rPr>
      </w:pPr>
    </w:p>
    <w:p w14:paraId="3E705D00" w14:textId="77777777" w:rsidR="00096005" w:rsidRPr="00916C68" w:rsidRDefault="00096005" w:rsidP="00096005">
      <w:pPr>
        <w:spacing w:before="120"/>
        <w:jc w:val="both"/>
        <w:rPr>
          <w:rFonts w:ascii="Arial" w:hAnsi="Arial" w:cs="Arial"/>
          <w:b/>
          <w:sz w:val="22"/>
          <w:szCs w:val="22"/>
        </w:rPr>
      </w:pPr>
      <w:r w:rsidRPr="00916C68">
        <w:rPr>
          <w:rFonts w:ascii="Arial" w:hAnsi="Arial" w:cs="Arial"/>
          <w:b/>
          <w:sz w:val="22"/>
          <w:szCs w:val="22"/>
        </w:rPr>
        <w:t xml:space="preserve">ATENCIÓN, PREVENCIÓN O MITIGACIÓN DE EMERGENCIAS – Matriz 1 – Numeral 4 – Alcance </w:t>
      </w:r>
    </w:p>
    <w:p w14:paraId="77AC9B58" w14:textId="77777777" w:rsidR="00096005" w:rsidRPr="00916C68" w:rsidRDefault="00096005" w:rsidP="00096005">
      <w:pPr>
        <w:jc w:val="both"/>
        <w:rPr>
          <w:rFonts w:ascii="Arial" w:hAnsi="Arial" w:cs="Arial"/>
          <w:b/>
          <w:sz w:val="22"/>
          <w:szCs w:val="22"/>
        </w:rPr>
      </w:pPr>
    </w:p>
    <w:p w14:paraId="33D070B6" w14:textId="77777777" w:rsidR="00096005" w:rsidRPr="00916C68" w:rsidRDefault="00096005" w:rsidP="00096005">
      <w:pPr>
        <w:jc w:val="both"/>
        <w:rPr>
          <w:rFonts w:ascii="Arial" w:hAnsi="Arial" w:cs="Arial"/>
          <w:sz w:val="20"/>
          <w:szCs w:val="20"/>
        </w:rPr>
      </w:pPr>
      <w:r w:rsidRPr="00916C68">
        <w:rPr>
          <w:rFonts w:ascii="Arial" w:hAnsi="Arial" w:cs="Arial"/>
          <w:sz w:val="20"/>
          <w:szCs w:val="20"/>
        </w:rPr>
        <w:t xml:space="preserve">De todo lo anterior se tiene que,  la Ley 2022 de 2020 regula un supuesto distinto a la Ley 1523 de 2012,  pues aquella establece la aplicación  obligatoria de los documentos tipo los procesos de selección de obras públicas, interventoría para las obras públicas, interventoría para consultoría de estudios y diseños para obras públicas, consultoría en ingeniería para obras, mientras que la ley 1523 de 2012 establece un régimen especial aplicable para situaciones excepcionales, dadas en dicha normativa. </w:t>
      </w:r>
    </w:p>
    <w:p w14:paraId="5E80C5C4" w14:textId="77777777" w:rsidR="00096005" w:rsidRPr="00916C68" w:rsidRDefault="00096005" w:rsidP="00096005">
      <w:pPr>
        <w:spacing w:before="120"/>
        <w:jc w:val="both"/>
        <w:rPr>
          <w:rFonts w:ascii="Arial" w:hAnsi="Arial" w:cs="Arial"/>
          <w:sz w:val="20"/>
          <w:szCs w:val="20"/>
        </w:rPr>
      </w:pPr>
      <w:r w:rsidRPr="00916C68">
        <w:rPr>
          <w:rFonts w:ascii="Arial" w:hAnsi="Arial" w:cs="Arial"/>
          <w:sz w:val="20"/>
          <w:szCs w:val="20"/>
        </w:rPr>
        <w:t xml:space="preserve">La procedencia de la aplicación de los documentos tipo para atención, prevención o mitigación de emergencias está prevista exclusivamente  a eventos en los que se requiera la ejecución de dichas actividades en vías primarias o secundarias o terciarias o urbanas, que no deban ser contratadas bajo la modalidad de selección directa, tales como, aquellos casos en los que declarada la calamidad pública o la situación de desastre las entidades públicas correspondientes declaren la urgencia manifiesta de que trata el artículo 42 de la ley 80 de 1993. </w:t>
      </w:r>
    </w:p>
    <w:p w14:paraId="0D2FCD44" w14:textId="77777777" w:rsidR="00096005" w:rsidRPr="00916C68" w:rsidRDefault="00096005" w:rsidP="00096005">
      <w:pPr>
        <w:spacing w:after="200" w:line="276" w:lineRule="auto"/>
        <w:rPr>
          <w:rFonts w:ascii="Arial" w:hAnsi="Arial" w:cs="Arial"/>
          <w:sz w:val="20"/>
          <w:szCs w:val="20"/>
        </w:rPr>
      </w:pPr>
      <w:r w:rsidRPr="00916C68">
        <w:rPr>
          <w:rFonts w:ascii="Arial" w:hAnsi="Arial" w:cs="Arial"/>
          <w:sz w:val="20"/>
          <w:szCs w:val="20"/>
        </w:rPr>
        <w:br w:type="page"/>
      </w:r>
    </w:p>
    <w:bookmarkEnd w:id="0"/>
    <w:bookmarkEnd w:id="1"/>
    <w:p w14:paraId="49A1A9B0" w14:textId="3C4BEA24" w:rsidR="003F6098" w:rsidRPr="00096005" w:rsidRDefault="00CA6B7B" w:rsidP="00CA6B7B">
      <w:pPr>
        <w:spacing w:before="120"/>
        <w:jc w:val="right"/>
        <w:rPr>
          <w:rFonts w:ascii="Arial" w:eastAsia="Calibri" w:hAnsi="Arial" w:cs="Arial"/>
          <w:color w:val="000000" w:themeColor="text1"/>
          <w:sz w:val="22"/>
          <w:szCs w:val="22"/>
          <w:lang w:val="es-ES_tradnl"/>
        </w:rPr>
      </w:pPr>
      <w:r>
        <w:rPr>
          <w:noProof/>
          <w:lang w:eastAsia="es-CO"/>
        </w:rPr>
        <w:lastRenderedPageBreak/>
        <w:drawing>
          <wp:inline distT="0" distB="0" distL="0" distR="0" wp14:anchorId="47624676" wp14:editId="2035FF7A">
            <wp:extent cx="2790825" cy="742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742950"/>
                    </a:xfrm>
                    <a:prstGeom prst="rect">
                      <a:avLst/>
                    </a:prstGeom>
                  </pic:spPr>
                </pic:pic>
              </a:graphicData>
            </a:graphic>
          </wp:inline>
        </w:drawing>
      </w:r>
    </w:p>
    <w:p w14:paraId="4874F32C" w14:textId="77777777" w:rsidR="003F6098" w:rsidRPr="00096005" w:rsidRDefault="003F6098" w:rsidP="00096005">
      <w:pPr>
        <w:rPr>
          <w:rFonts w:ascii="Arial" w:hAnsi="Arial" w:cs="Arial"/>
          <w:color w:val="000000" w:themeColor="text1"/>
          <w:sz w:val="22"/>
          <w:szCs w:val="22"/>
          <w:lang w:val="es-ES_tradnl"/>
        </w:rPr>
      </w:pPr>
    </w:p>
    <w:p w14:paraId="7DD48F49" w14:textId="5296A04B" w:rsidR="00B95C30" w:rsidRPr="004A0905" w:rsidRDefault="00B95C30" w:rsidP="00096005">
      <w:pPr>
        <w:spacing w:line="276" w:lineRule="auto"/>
        <w:rPr>
          <w:rFonts w:ascii="Arial" w:eastAsia="Calibri" w:hAnsi="Arial" w:cs="Arial"/>
          <w:noProof/>
          <w:color w:val="000000" w:themeColor="text1"/>
          <w:sz w:val="20"/>
          <w:lang w:val="es-ES_tradnl"/>
        </w:rPr>
      </w:pPr>
      <w:r w:rsidRPr="004A0905">
        <w:rPr>
          <w:rFonts w:ascii="Arial" w:hAnsi="Arial" w:cs="Arial"/>
          <w:noProof/>
          <w:color w:val="000000" w:themeColor="text1"/>
          <w:sz w:val="22"/>
          <w:lang w:val="es-ES_tradnl"/>
        </w:rPr>
        <w:t xml:space="preserve">Bogotá D.C., </w:t>
      </w:r>
      <w:r w:rsidR="00CA6B7B">
        <w:rPr>
          <w:rFonts w:ascii="Arial" w:hAnsi="Arial" w:cs="Arial"/>
          <w:noProof/>
          <w:color w:val="000000" w:themeColor="text1"/>
          <w:sz w:val="22"/>
          <w:lang w:val="es-ES_tradnl"/>
        </w:rPr>
        <w:t>02 junio 2021</w:t>
      </w:r>
    </w:p>
    <w:p w14:paraId="6A8A869B" w14:textId="30C28F20" w:rsidR="00B95C30" w:rsidRPr="004A0905" w:rsidRDefault="00B95C30" w:rsidP="00B95C30">
      <w:pPr>
        <w:jc w:val="both"/>
        <w:rPr>
          <w:rFonts w:ascii="Arial" w:hAnsi="Arial" w:cs="Arial"/>
          <w:bCs/>
          <w:color w:val="000000" w:themeColor="text1"/>
          <w:sz w:val="22"/>
          <w:lang w:val="es-ES_tradnl"/>
        </w:rPr>
      </w:pPr>
    </w:p>
    <w:p w14:paraId="32F9970B" w14:textId="77777777" w:rsidR="00A25F2F" w:rsidRPr="004A0905" w:rsidRDefault="00A25F2F" w:rsidP="00B95C30">
      <w:pPr>
        <w:jc w:val="both"/>
        <w:rPr>
          <w:rFonts w:ascii="Arial" w:hAnsi="Arial" w:cs="Arial"/>
          <w:bCs/>
          <w:color w:val="000000" w:themeColor="text1"/>
          <w:sz w:val="22"/>
          <w:lang w:val="es-ES_tradnl"/>
        </w:rPr>
      </w:pPr>
    </w:p>
    <w:p w14:paraId="5F5AE9EF" w14:textId="34BC9CB7" w:rsidR="00B95C30" w:rsidRPr="004A0905" w:rsidRDefault="00BE4FBF" w:rsidP="00B95C30">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Señor</w:t>
      </w:r>
    </w:p>
    <w:p w14:paraId="3DCD58CE" w14:textId="79241F89" w:rsidR="00B95C30" w:rsidRDefault="003F5F66"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Darío Martínez </w:t>
      </w:r>
    </w:p>
    <w:p w14:paraId="078690D7" w14:textId="77F47271" w:rsidR="0031184C" w:rsidRDefault="003F5F66" w:rsidP="00B95C30">
      <w:pPr>
        <w:jc w:val="both"/>
        <w:rPr>
          <w:rFonts w:ascii="Arial" w:eastAsia="Calibri" w:hAnsi="Arial" w:cs="Arial"/>
          <w:bCs/>
          <w:color w:val="000000" w:themeColor="text1"/>
          <w:sz w:val="22"/>
          <w:lang w:val="es-ES_tradnl"/>
        </w:rPr>
      </w:pPr>
      <w:proofErr w:type="spellStart"/>
      <w:r>
        <w:rPr>
          <w:rFonts w:ascii="Arial" w:eastAsia="Calibri" w:hAnsi="Arial" w:cs="Arial"/>
          <w:bCs/>
          <w:color w:val="000000" w:themeColor="text1"/>
          <w:sz w:val="22"/>
          <w:lang w:val="es-ES_tradnl"/>
        </w:rPr>
        <w:t>Tame</w:t>
      </w:r>
      <w:proofErr w:type="spellEnd"/>
      <w:r>
        <w:rPr>
          <w:rFonts w:ascii="Arial" w:eastAsia="Calibri" w:hAnsi="Arial" w:cs="Arial"/>
          <w:bCs/>
          <w:color w:val="000000" w:themeColor="text1"/>
          <w:sz w:val="22"/>
          <w:lang w:val="es-ES_tradnl"/>
        </w:rPr>
        <w:t>, Arauca</w:t>
      </w:r>
    </w:p>
    <w:p w14:paraId="490C0C2D" w14:textId="6E3BE8CC" w:rsidR="00A25F2F" w:rsidRPr="004A0905" w:rsidRDefault="00A25F2F" w:rsidP="00B95C30">
      <w:pPr>
        <w:jc w:val="both"/>
        <w:rPr>
          <w:rFonts w:ascii="Arial" w:eastAsia="Calibri" w:hAnsi="Arial" w:cs="Arial"/>
          <w:color w:val="000000" w:themeColor="text1"/>
          <w:sz w:val="22"/>
          <w:lang w:val="es-ES_tradnl"/>
        </w:rPr>
      </w:pPr>
    </w:p>
    <w:p w14:paraId="0B5EBAC5" w14:textId="77777777" w:rsidR="00A25F2F" w:rsidRPr="004A0905" w:rsidRDefault="00A25F2F" w:rsidP="00B95C30">
      <w:pPr>
        <w:jc w:val="both"/>
        <w:rPr>
          <w:rFonts w:ascii="Arial" w:eastAsia="Calibri" w:hAnsi="Arial" w:cs="Arial"/>
          <w:color w:val="000000" w:themeColor="text1"/>
          <w:sz w:val="22"/>
          <w:lang w:val="es-ES_tradnl"/>
        </w:rPr>
      </w:pPr>
    </w:p>
    <w:p w14:paraId="12E66182" w14:textId="6EBD6379" w:rsidR="00B95C30" w:rsidRPr="004A0905" w:rsidRDefault="00A25F2F" w:rsidP="004004C2">
      <w:pPr>
        <w:rPr>
          <w:rFonts w:ascii="Arial" w:eastAsia="Calibri" w:hAnsi="Arial" w:cs="Arial"/>
          <w:b/>
          <w:bCs/>
          <w:color w:val="000000" w:themeColor="text1"/>
          <w:sz w:val="22"/>
          <w:lang w:val="es-ES_tradnl"/>
        </w:rPr>
      </w:pPr>
      <w:r w:rsidRPr="004A0905">
        <w:rPr>
          <w:rFonts w:ascii="Arial" w:eastAsia="Calibri" w:hAnsi="Arial" w:cs="Arial"/>
          <w:b/>
          <w:bCs/>
          <w:color w:val="000000" w:themeColor="text1"/>
          <w:sz w:val="22"/>
          <w:lang w:val="es-ES_tradnl"/>
        </w:rPr>
        <w:t xml:space="preserve">                                            </w:t>
      </w:r>
      <w:r w:rsidR="00B95C30" w:rsidRPr="004A0905">
        <w:rPr>
          <w:rFonts w:ascii="Arial" w:eastAsia="Calibri" w:hAnsi="Arial" w:cs="Arial"/>
          <w:b/>
          <w:bCs/>
          <w:color w:val="000000" w:themeColor="text1"/>
          <w:sz w:val="22"/>
          <w:lang w:val="es-ES_tradnl"/>
        </w:rPr>
        <w:t>Concepto C ‒</w:t>
      </w:r>
      <w:r w:rsidR="003F5F66">
        <w:rPr>
          <w:rFonts w:ascii="Arial" w:eastAsia="Calibri" w:hAnsi="Arial" w:cs="Arial"/>
          <w:b/>
          <w:bCs/>
          <w:color w:val="000000" w:themeColor="text1"/>
          <w:sz w:val="22"/>
          <w:lang w:val="es-ES_tradnl"/>
        </w:rPr>
        <w:t xml:space="preserve"> 256</w:t>
      </w:r>
      <w:r w:rsidR="00646D69">
        <w:rPr>
          <w:rFonts w:ascii="Arial" w:eastAsia="Calibri" w:hAnsi="Arial" w:cs="Arial"/>
          <w:b/>
          <w:bCs/>
          <w:color w:val="000000" w:themeColor="text1"/>
          <w:sz w:val="22"/>
          <w:lang w:val="es-ES_tradnl"/>
        </w:rPr>
        <w:t xml:space="preserve"> d</w:t>
      </w:r>
      <w:r w:rsidR="0031184C">
        <w:rPr>
          <w:rFonts w:ascii="Arial" w:eastAsia="Calibri" w:hAnsi="Arial" w:cs="Arial"/>
          <w:b/>
          <w:bCs/>
          <w:color w:val="000000" w:themeColor="text1"/>
          <w:sz w:val="22"/>
          <w:lang w:val="es-ES_tradnl"/>
        </w:rPr>
        <w:t>e 2021</w:t>
      </w:r>
    </w:p>
    <w:p w14:paraId="1BD594F9" w14:textId="77777777" w:rsidR="00B95C30" w:rsidRPr="004A090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A0905" w14:paraId="19DFC051" w14:textId="77777777" w:rsidTr="008F4163">
        <w:tc>
          <w:tcPr>
            <w:tcW w:w="2689" w:type="dxa"/>
          </w:tcPr>
          <w:p w14:paraId="6BC0D1AC" w14:textId="77777777" w:rsidR="00B95C30" w:rsidRPr="004A0905" w:rsidRDefault="00B95C30" w:rsidP="008F4163">
            <w:pPr>
              <w:jc w:val="both"/>
              <w:rPr>
                <w:rFonts w:ascii="Arial" w:eastAsia="Calibri" w:hAnsi="Arial" w:cs="Arial"/>
                <w:color w:val="000000" w:themeColor="text1"/>
                <w:sz w:val="22"/>
                <w:lang w:val="es-ES_tradnl"/>
              </w:rPr>
            </w:pPr>
            <w:r w:rsidRPr="004A0905">
              <w:rPr>
                <w:rFonts w:ascii="Arial" w:eastAsia="Calibri" w:hAnsi="Arial" w:cs="Arial"/>
                <w:b/>
                <w:color w:val="000000" w:themeColor="text1"/>
                <w:sz w:val="22"/>
                <w:lang w:val="es-ES_tradnl"/>
              </w:rPr>
              <w:t>Temas:</w:t>
            </w:r>
            <w:r w:rsidRPr="004A0905">
              <w:rPr>
                <w:rFonts w:ascii="Arial" w:eastAsia="Calibri" w:hAnsi="Arial" w:cs="Arial"/>
                <w:color w:val="000000" w:themeColor="text1"/>
                <w:sz w:val="22"/>
                <w:lang w:val="es-ES_tradnl"/>
              </w:rPr>
              <w:t xml:space="preserve">                                      </w:t>
            </w:r>
          </w:p>
        </w:tc>
        <w:tc>
          <w:tcPr>
            <w:tcW w:w="6237" w:type="dxa"/>
          </w:tcPr>
          <w:p w14:paraId="5F389CAF" w14:textId="3549FF06" w:rsidR="00B95C30" w:rsidRPr="003F6098" w:rsidRDefault="00096005" w:rsidP="003F6098">
            <w:pPr>
              <w:spacing w:before="120"/>
              <w:jc w:val="both"/>
              <w:rPr>
                <w:rFonts w:ascii="Arial" w:hAnsi="Arial" w:cs="Arial"/>
                <w:b/>
                <w:sz w:val="22"/>
                <w:szCs w:val="22"/>
              </w:rPr>
            </w:pPr>
            <w:r w:rsidRPr="00916C68">
              <w:rPr>
                <w:rFonts w:ascii="Arial" w:hAnsi="Arial" w:cs="Arial"/>
                <w:b/>
                <w:color w:val="000000" w:themeColor="text1"/>
                <w:sz w:val="22"/>
                <w:szCs w:val="22"/>
                <w:lang w:val="es-ES_tradnl"/>
              </w:rPr>
              <w:t xml:space="preserve">DOCUMENTOS TIPO – Obligatoriedad – Alcance </w:t>
            </w:r>
            <w:r>
              <w:rPr>
                <w:rFonts w:ascii="Arial" w:hAnsi="Arial" w:cs="Arial"/>
                <w:b/>
                <w:color w:val="000000" w:themeColor="text1"/>
                <w:sz w:val="22"/>
                <w:szCs w:val="22"/>
                <w:lang w:val="es-ES_tradnl"/>
              </w:rPr>
              <w:t xml:space="preserve">/ </w:t>
            </w:r>
            <w:r w:rsidRPr="00916C68">
              <w:rPr>
                <w:rFonts w:ascii="Arial" w:hAnsi="Arial" w:cs="Arial"/>
                <w:b/>
                <w:color w:val="000000" w:themeColor="text1"/>
                <w:sz w:val="22"/>
                <w:szCs w:val="22"/>
                <w:lang w:val="es-ES_tradnl"/>
              </w:rPr>
              <w:t>CONTRATACIÓN DIRECTA - Ley 1523 de 2015</w:t>
            </w:r>
            <w:r>
              <w:rPr>
                <w:rFonts w:ascii="Arial" w:hAnsi="Arial" w:cs="Arial"/>
                <w:b/>
                <w:color w:val="000000" w:themeColor="text1"/>
                <w:sz w:val="22"/>
                <w:szCs w:val="22"/>
                <w:lang w:val="es-ES_tradnl"/>
              </w:rPr>
              <w:t xml:space="preserve"> – Exclusión – Ley 80 de 1993 / </w:t>
            </w:r>
            <w:r w:rsidRPr="00916C68">
              <w:rPr>
                <w:rFonts w:ascii="Arial" w:hAnsi="Arial" w:cs="Arial"/>
                <w:b/>
                <w:sz w:val="22"/>
                <w:szCs w:val="22"/>
              </w:rPr>
              <w:t xml:space="preserve">ATENCIÓN, PREVENCIÓN O MITIGACIÓN DE EMERGENCIAS – Matriz 1 – Numeral 4 – Alcance </w:t>
            </w:r>
            <w:r>
              <w:rPr>
                <w:rFonts w:ascii="Arial" w:hAnsi="Arial" w:cs="Arial"/>
                <w:b/>
                <w:sz w:val="22"/>
                <w:szCs w:val="22"/>
              </w:rPr>
              <w:t>/</w:t>
            </w:r>
          </w:p>
        </w:tc>
      </w:tr>
      <w:tr w:rsidR="00B95C30" w:rsidRPr="004A0905" w14:paraId="27CD52AB" w14:textId="77777777" w:rsidTr="008F4163">
        <w:tc>
          <w:tcPr>
            <w:tcW w:w="2689" w:type="dxa"/>
          </w:tcPr>
          <w:p w14:paraId="37E195A1" w14:textId="1BA218D5" w:rsidR="00B95C30" w:rsidRPr="004A0905" w:rsidRDefault="00B95C30" w:rsidP="008F4163">
            <w:pPr>
              <w:spacing w:before="12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Radicación:</w:t>
            </w:r>
            <w:r w:rsidRPr="004A0905">
              <w:rPr>
                <w:rFonts w:ascii="Arial" w:eastAsia="Calibri" w:hAnsi="Arial" w:cs="Arial"/>
                <w:color w:val="000000" w:themeColor="text1"/>
                <w:sz w:val="22"/>
                <w:lang w:val="es-ES_tradnl"/>
              </w:rPr>
              <w:t xml:space="preserve">                              </w:t>
            </w:r>
          </w:p>
        </w:tc>
        <w:tc>
          <w:tcPr>
            <w:tcW w:w="6237" w:type="dxa"/>
          </w:tcPr>
          <w:p w14:paraId="09088B1B" w14:textId="1E791C6A" w:rsidR="00B95C30" w:rsidRPr="004A0905" w:rsidRDefault="00B95C30" w:rsidP="003F5F66">
            <w:pPr>
              <w:spacing w:before="120"/>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 xml:space="preserve">Respuesta a consulta # </w:t>
            </w:r>
            <w:r w:rsidR="00D31011" w:rsidRPr="004A0905">
              <w:rPr>
                <w:rFonts w:ascii="Arial" w:eastAsia="Calibri" w:hAnsi="Arial" w:cs="Arial"/>
                <w:color w:val="000000" w:themeColor="text1"/>
                <w:sz w:val="22"/>
                <w:lang w:val="es-ES_tradnl"/>
              </w:rPr>
              <w:t>P</w:t>
            </w:r>
            <w:r w:rsidR="0031184C" w:rsidRPr="0031184C">
              <w:rPr>
                <w:rFonts w:ascii="Arial" w:eastAsia="Calibri" w:hAnsi="Arial" w:cs="Arial"/>
                <w:color w:val="000000" w:themeColor="text1"/>
                <w:sz w:val="22"/>
                <w:lang w:val="es-ES_tradnl"/>
              </w:rPr>
              <w:t>20210</w:t>
            </w:r>
            <w:r w:rsidR="00646D69">
              <w:rPr>
                <w:rFonts w:ascii="Arial" w:eastAsia="Calibri" w:hAnsi="Arial" w:cs="Arial"/>
                <w:color w:val="000000" w:themeColor="text1"/>
                <w:sz w:val="22"/>
                <w:lang w:val="es-ES_tradnl"/>
              </w:rPr>
              <w:t>4</w:t>
            </w:r>
            <w:r w:rsidR="003F5F66">
              <w:rPr>
                <w:rFonts w:ascii="Arial" w:eastAsia="Calibri" w:hAnsi="Arial" w:cs="Arial"/>
                <w:color w:val="000000" w:themeColor="text1"/>
                <w:sz w:val="22"/>
                <w:lang w:val="es-ES_tradnl"/>
              </w:rPr>
              <w:t>21003273</w:t>
            </w:r>
          </w:p>
        </w:tc>
      </w:tr>
    </w:tbl>
    <w:p w14:paraId="6643BC73" w14:textId="3F5FD21B" w:rsidR="002E3C26" w:rsidRDefault="002E3C26" w:rsidP="003C3339">
      <w:pPr>
        <w:jc w:val="both"/>
        <w:rPr>
          <w:rFonts w:ascii="Arial" w:eastAsia="Calibri" w:hAnsi="Arial" w:cs="Arial"/>
          <w:color w:val="000000" w:themeColor="text1"/>
          <w:sz w:val="22"/>
          <w:lang w:val="es-ES_tradnl"/>
        </w:rPr>
      </w:pPr>
    </w:p>
    <w:p w14:paraId="5A0C315F" w14:textId="77777777" w:rsidR="00DC451D" w:rsidRDefault="00DC451D" w:rsidP="003C3339">
      <w:pPr>
        <w:jc w:val="both"/>
        <w:rPr>
          <w:rFonts w:ascii="Arial" w:eastAsia="Calibri" w:hAnsi="Arial" w:cs="Arial"/>
          <w:color w:val="000000" w:themeColor="text1"/>
          <w:sz w:val="22"/>
          <w:lang w:val="es-ES_tradnl"/>
        </w:rPr>
      </w:pPr>
    </w:p>
    <w:p w14:paraId="1CF4AEA0" w14:textId="399D5FCD" w:rsidR="003C3339" w:rsidRPr="004A0905" w:rsidRDefault="003C3339" w:rsidP="003C3339">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Estimad</w:t>
      </w:r>
      <w:r w:rsidR="005D2300">
        <w:rPr>
          <w:rFonts w:ascii="Arial" w:eastAsia="Calibri" w:hAnsi="Arial" w:cs="Arial"/>
          <w:color w:val="000000" w:themeColor="text1"/>
          <w:sz w:val="22"/>
          <w:lang w:val="es-ES_tradnl"/>
        </w:rPr>
        <w:t>o</w:t>
      </w:r>
      <w:r w:rsidRPr="004A0905">
        <w:rPr>
          <w:rFonts w:ascii="Arial" w:eastAsia="Calibri" w:hAnsi="Arial" w:cs="Arial"/>
          <w:color w:val="000000" w:themeColor="text1"/>
          <w:sz w:val="22"/>
          <w:lang w:val="es-ES_tradnl"/>
        </w:rPr>
        <w:t xml:space="preserve"> </w:t>
      </w:r>
      <w:r w:rsidR="0063732C" w:rsidRPr="004A0905">
        <w:rPr>
          <w:rFonts w:ascii="Arial" w:eastAsia="Calibri" w:hAnsi="Arial" w:cs="Arial"/>
          <w:color w:val="000000" w:themeColor="text1"/>
          <w:sz w:val="22"/>
          <w:lang w:val="es-ES_tradnl"/>
        </w:rPr>
        <w:t>señor</w:t>
      </w:r>
      <w:r w:rsidR="005D2300">
        <w:rPr>
          <w:rFonts w:ascii="Arial" w:eastAsia="Calibri" w:hAnsi="Arial" w:cs="Arial"/>
          <w:color w:val="000000" w:themeColor="text1"/>
          <w:sz w:val="22"/>
          <w:lang w:val="es-ES_tradnl"/>
        </w:rPr>
        <w:t xml:space="preserve"> Martínez</w:t>
      </w:r>
      <w:r w:rsidRPr="004A0905">
        <w:rPr>
          <w:rFonts w:ascii="Arial" w:eastAsia="Calibri" w:hAnsi="Arial" w:cs="Arial"/>
          <w:color w:val="000000" w:themeColor="text1"/>
          <w:sz w:val="22"/>
          <w:lang w:val="es-ES_tradnl"/>
        </w:rPr>
        <w:t>:</w:t>
      </w:r>
    </w:p>
    <w:p w14:paraId="1EAE5543" w14:textId="77777777" w:rsidR="00DD5B04" w:rsidRPr="004A0905" w:rsidRDefault="00DD5B04" w:rsidP="00DF76A2">
      <w:pPr>
        <w:jc w:val="both"/>
        <w:rPr>
          <w:rFonts w:ascii="Arial" w:eastAsia="Calibri" w:hAnsi="Arial" w:cs="Arial"/>
          <w:color w:val="000000" w:themeColor="text1"/>
          <w:sz w:val="22"/>
          <w:lang w:val="es-ES_tradnl"/>
        </w:rPr>
      </w:pPr>
    </w:p>
    <w:p w14:paraId="2109B2D3" w14:textId="1E7DB901" w:rsidR="00DD5B04" w:rsidRPr="004A0905" w:rsidRDefault="00DD5B04" w:rsidP="00DF76A2">
      <w:pPr>
        <w:spacing w:line="276" w:lineRule="auto"/>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4A0905">
        <w:rPr>
          <w:rFonts w:ascii="Arial" w:eastAsia="Calibri" w:hAnsi="Arial" w:cs="Arial"/>
          <w:color w:val="000000" w:themeColor="text1"/>
          <w:sz w:val="22"/>
          <w:lang w:val="es-ES_tradnl"/>
        </w:rPr>
        <w:t xml:space="preserve"> </w:t>
      </w:r>
      <w:r w:rsidRPr="004A0905">
        <w:rPr>
          <w:rFonts w:ascii="Arial" w:eastAsia="Calibri" w:hAnsi="Arial" w:cs="Arial"/>
          <w:color w:val="000000" w:themeColor="text1"/>
          <w:sz w:val="22"/>
          <w:lang w:val="es-ES_tradnl"/>
        </w:rPr>
        <w:t xml:space="preserve">responde su consulta del </w:t>
      </w:r>
      <w:r w:rsidR="009F0FF1">
        <w:rPr>
          <w:rFonts w:ascii="Arial" w:eastAsia="Calibri" w:hAnsi="Arial" w:cs="Arial"/>
          <w:color w:val="000000" w:themeColor="text1"/>
          <w:sz w:val="22"/>
          <w:lang w:val="es-ES_tradnl"/>
        </w:rPr>
        <w:t>20 de abril</w:t>
      </w:r>
      <w:r w:rsidRPr="004A0905">
        <w:rPr>
          <w:rFonts w:ascii="Arial" w:eastAsia="Calibri" w:hAnsi="Arial" w:cs="Arial"/>
          <w:color w:val="000000" w:themeColor="text1"/>
          <w:sz w:val="22"/>
          <w:lang w:val="es-ES_tradnl"/>
        </w:rPr>
        <w:t xml:space="preserve"> de</w:t>
      </w:r>
      <w:r w:rsidR="007E74BF" w:rsidRPr="004A0905">
        <w:rPr>
          <w:rFonts w:ascii="Arial" w:eastAsia="Calibri" w:hAnsi="Arial" w:cs="Arial"/>
          <w:color w:val="000000" w:themeColor="text1"/>
          <w:sz w:val="22"/>
          <w:lang w:val="es-ES_tradnl"/>
        </w:rPr>
        <w:t xml:space="preserve"> </w:t>
      </w:r>
      <w:r w:rsidRPr="004A0905">
        <w:rPr>
          <w:rFonts w:ascii="Arial" w:eastAsia="Calibri" w:hAnsi="Arial" w:cs="Arial"/>
          <w:color w:val="000000" w:themeColor="text1"/>
          <w:sz w:val="22"/>
          <w:lang w:val="es-ES_tradnl"/>
        </w:rPr>
        <w:t>202</w:t>
      </w:r>
      <w:r w:rsidR="00FB0880" w:rsidRPr="004A0905">
        <w:rPr>
          <w:rFonts w:ascii="Arial" w:eastAsia="Calibri" w:hAnsi="Arial" w:cs="Arial"/>
          <w:color w:val="000000" w:themeColor="text1"/>
          <w:sz w:val="22"/>
          <w:lang w:val="es-ES_tradnl"/>
        </w:rPr>
        <w:t>1</w:t>
      </w:r>
      <w:r w:rsidR="008C3C57" w:rsidRPr="004A0905">
        <w:rPr>
          <w:rFonts w:ascii="Arial" w:eastAsia="Calibri" w:hAnsi="Arial" w:cs="Arial"/>
          <w:color w:val="000000" w:themeColor="text1"/>
          <w:sz w:val="22"/>
          <w:lang w:val="es-ES_tradnl"/>
        </w:rPr>
        <w:t>.</w:t>
      </w:r>
    </w:p>
    <w:p w14:paraId="0C1E0712" w14:textId="77777777" w:rsidR="00DD5B04" w:rsidRPr="004A090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A090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 xml:space="preserve">Problema planteado </w:t>
      </w:r>
    </w:p>
    <w:p w14:paraId="224B43D3" w14:textId="77777777" w:rsidR="00DD5B04" w:rsidRPr="004A090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9D0132C" w14:textId="10A7A084" w:rsidR="004275A7" w:rsidRPr="002E3C26" w:rsidRDefault="00DD5B04" w:rsidP="00096005">
      <w:pPr>
        <w:spacing w:line="276" w:lineRule="auto"/>
        <w:jc w:val="both"/>
        <w:rPr>
          <w:rFonts w:ascii="Arial" w:hAnsi="Arial" w:cs="Arial"/>
          <w:color w:val="000000" w:themeColor="text1"/>
          <w:sz w:val="21"/>
          <w:szCs w:val="21"/>
          <w:lang w:val="es-ES_tradnl"/>
        </w:rPr>
      </w:pPr>
      <w:r w:rsidRPr="004A0905">
        <w:rPr>
          <w:rFonts w:ascii="Arial" w:hAnsi="Arial" w:cs="Arial"/>
          <w:color w:val="000000" w:themeColor="text1"/>
          <w:sz w:val="22"/>
          <w:lang w:val="es-ES_tradnl"/>
        </w:rPr>
        <w:t xml:space="preserve">Usted </w:t>
      </w:r>
      <w:r w:rsidR="00B422C0" w:rsidRPr="004A0905">
        <w:rPr>
          <w:rFonts w:ascii="Arial" w:hAnsi="Arial" w:cs="Arial"/>
          <w:color w:val="000000" w:themeColor="text1"/>
          <w:sz w:val="22"/>
          <w:lang w:val="es-ES_tradnl"/>
        </w:rPr>
        <w:t>formula</w:t>
      </w:r>
      <w:r w:rsidR="006D46A3" w:rsidRPr="004A0905">
        <w:rPr>
          <w:rFonts w:ascii="Arial" w:hAnsi="Arial" w:cs="Arial"/>
          <w:color w:val="000000" w:themeColor="text1"/>
          <w:sz w:val="22"/>
          <w:lang w:val="es-ES_tradnl"/>
        </w:rPr>
        <w:t xml:space="preserve"> la siguiente</w:t>
      </w:r>
      <w:r w:rsidR="00C028F5" w:rsidRPr="004A0905">
        <w:rPr>
          <w:rFonts w:ascii="Arial" w:hAnsi="Arial" w:cs="Arial"/>
          <w:color w:val="000000" w:themeColor="text1"/>
          <w:sz w:val="22"/>
          <w:lang w:val="es-ES_tradnl"/>
        </w:rPr>
        <w:t xml:space="preserve"> </w:t>
      </w:r>
      <w:r w:rsidR="002679AB">
        <w:rPr>
          <w:rFonts w:ascii="Arial" w:hAnsi="Arial" w:cs="Arial"/>
          <w:color w:val="000000" w:themeColor="text1"/>
          <w:sz w:val="22"/>
          <w:lang w:val="es-ES_tradnl"/>
        </w:rPr>
        <w:t>consulta</w:t>
      </w:r>
      <w:r w:rsidR="00AC46B0">
        <w:rPr>
          <w:rFonts w:ascii="Arial" w:hAnsi="Arial" w:cs="Arial"/>
          <w:color w:val="000000" w:themeColor="text1"/>
          <w:sz w:val="22"/>
          <w:lang w:val="es-ES_tradnl"/>
        </w:rPr>
        <w:t>:</w:t>
      </w:r>
      <w:r w:rsidR="00DE74BD">
        <w:rPr>
          <w:rFonts w:ascii="Arial" w:hAnsi="Arial" w:cs="Arial"/>
          <w:color w:val="000000" w:themeColor="text1"/>
          <w:sz w:val="21"/>
          <w:szCs w:val="21"/>
          <w:lang w:val="es-ES_tradnl"/>
        </w:rPr>
        <w:t xml:space="preserve"> </w:t>
      </w:r>
      <w:r w:rsidR="00F0435D" w:rsidRPr="002E3C26">
        <w:rPr>
          <w:rFonts w:ascii="Arial" w:hAnsi="Arial" w:cs="Arial"/>
          <w:color w:val="000000" w:themeColor="text1"/>
          <w:sz w:val="21"/>
          <w:szCs w:val="21"/>
          <w:lang w:val="es-ES_tradnl"/>
        </w:rPr>
        <w:t>«</w:t>
      </w:r>
      <w:r w:rsidR="003F5F66">
        <w:rPr>
          <w:rFonts w:ascii="Arial" w:hAnsi="Arial" w:cs="Arial"/>
          <w:color w:val="000000" w:themeColor="text1"/>
          <w:sz w:val="21"/>
          <w:szCs w:val="21"/>
          <w:lang w:val="es-ES_tradnl"/>
        </w:rPr>
        <w:t>E</w:t>
      </w:r>
      <w:r w:rsidR="003F5F66" w:rsidRPr="003F5F66">
        <w:rPr>
          <w:rFonts w:ascii="Arial" w:hAnsi="Arial" w:cs="Arial"/>
          <w:color w:val="000000" w:themeColor="text1"/>
          <w:sz w:val="21"/>
          <w:szCs w:val="21"/>
          <w:lang w:val="es-ES_tradnl"/>
        </w:rPr>
        <w:t>s obligatorio el uso de pliego tipo para la</w:t>
      </w:r>
      <w:r w:rsidR="003F5F66">
        <w:rPr>
          <w:rFonts w:ascii="Arial" w:hAnsi="Arial" w:cs="Arial"/>
          <w:color w:val="000000" w:themeColor="text1"/>
          <w:sz w:val="21"/>
          <w:szCs w:val="21"/>
          <w:lang w:val="es-ES_tradnl"/>
        </w:rPr>
        <w:t xml:space="preserve"> construcción de la aleta de un </w:t>
      </w:r>
      <w:r w:rsidR="003F5F66" w:rsidRPr="003F5F66">
        <w:rPr>
          <w:rFonts w:ascii="Arial" w:hAnsi="Arial" w:cs="Arial"/>
          <w:color w:val="000000" w:themeColor="text1"/>
          <w:sz w:val="21"/>
          <w:szCs w:val="21"/>
          <w:lang w:val="es-ES_tradnl"/>
        </w:rPr>
        <w:t>puente afectada por la ola invernal</w:t>
      </w:r>
      <w:proofErr w:type="gramStart"/>
      <w:r w:rsidR="003F5F66" w:rsidRPr="003F5F66">
        <w:rPr>
          <w:rFonts w:ascii="Arial" w:hAnsi="Arial" w:cs="Arial"/>
          <w:color w:val="000000" w:themeColor="text1"/>
          <w:sz w:val="21"/>
          <w:szCs w:val="21"/>
          <w:lang w:val="es-ES_tradnl"/>
        </w:rPr>
        <w:t>?</w:t>
      </w:r>
      <w:proofErr w:type="gramEnd"/>
      <w:r w:rsidR="003F5F66" w:rsidRPr="003F5F66">
        <w:rPr>
          <w:rFonts w:ascii="Arial" w:hAnsi="Arial" w:cs="Arial"/>
          <w:color w:val="000000" w:themeColor="text1"/>
          <w:sz w:val="21"/>
          <w:szCs w:val="21"/>
          <w:lang w:val="es-ES_tradnl"/>
        </w:rPr>
        <w:t xml:space="preserve"> teniendo en cuenta que </w:t>
      </w:r>
      <w:r w:rsidR="003F5F66">
        <w:rPr>
          <w:rFonts w:ascii="Arial" w:hAnsi="Arial" w:cs="Arial"/>
          <w:color w:val="000000" w:themeColor="text1"/>
          <w:sz w:val="21"/>
          <w:szCs w:val="21"/>
          <w:lang w:val="es-ES_tradnl"/>
        </w:rPr>
        <w:t xml:space="preserve">la modalidad de contratación es </w:t>
      </w:r>
      <w:r w:rsidR="003F5F66" w:rsidRPr="003F5F66">
        <w:rPr>
          <w:rFonts w:ascii="Arial" w:hAnsi="Arial" w:cs="Arial"/>
          <w:color w:val="000000" w:themeColor="text1"/>
          <w:sz w:val="21"/>
          <w:szCs w:val="21"/>
          <w:lang w:val="es-ES_tradnl"/>
        </w:rPr>
        <w:t>contratación directa derivada de una declarato</w:t>
      </w:r>
      <w:r w:rsidR="003F5F66">
        <w:rPr>
          <w:rFonts w:ascii="Arial" w:hAnsi="Arial" w:cs="Arial"/>
          <w:color w:val="000000" w:themeColor="text1"/>
          <w:sz w:val="21"/>
          <w:szCs w:val="21"/>
          <w:lang w:val="es-ES_tradnl"/>
        </w:rPr>
        <w:t xml:space="preserve">ria de calamidad </w:t>
      </w:r>
      <w:r w:rsidR="00DE74BD">
        <w:rPr>
          <w:rFonts w:ascii="Arial" w:hAnsi="Arial" w:cs="Arial"/>
          <w:color w:val="000000" w:themeColor="text1"/>
          <w:sz w:val="21"/>
          <w:szCs w:val="21"/>
          <w:lang w:val="es-ES_tradnl"/>
        </w:rPr>
        <w:t>pública</w:t>
      </w:r>
      <w:r w:rsidR="006D4AB2" w:rsidRPr="002E3C26">
        <w:rPr>
          <w:rFonts w:ascii="Arial" w:hAnsi="Arial" w:cs="Arial"/>
          <w:color w:val="000000" w:themeColor="text1"/>
          <w:sz w:val="21"/>
          <w:szCs w:val="21"/>
          <w:lang w:val="es-ES_tradnl"/>
        </w:rPr>
        <w:t>»</w:t>
      </w:r>
      <w:r w:rsidR="00AC46B0" w:rsidRPr="002E3C26">
        <w:rPr>
          <w:rFonts w:ascii="Arial" w:hAnsi="Arial" w:cs="Arial"/>
          <w:color w:val="000000" w:themeColor="text1"/>
          <w:sz w:val="21"/>
          <w:szCs w:val="21"/>
          <w:lang w:val="es-ES_tradnl"/>
        </w:rPr>
        <w:t xml:space="preserve">. </w:t>
      </w:r>
    </w:p>
    <w:p w14:paraId="0EA7C998" w14:textId="55ED9652" w:rsidR="006D4AB2" w:rsidRPr="004A0905" w:rsidRDefault="006D4AB2" w:rsidP="006D4AB2">
      <w:pPr>
        <w:ind w:left="709" w:right="709"/>
        <w:jc w:val="both"/>
        <w:rPr>
          <w:rFonts w:ascii="Arial" w:hAnsi="Arial" w:cs="Arial"/>
          <w:color w:val="000000" w:themeColor="text1"/>
          <w:sz w:val="21"/>
          <w:szCs w:val="21"/>
          <w:lang w:val="es-ES_tradnl"/>
        </w:rPr>
      </w:pPr>
    </w:p>
    <w:p w14:paraId="124D2DCA" w14:textId="77777777" w:rsidR="00DD5B04" w:rsidRPr="004A090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Consideraciones</w:t>
      </w:r>
    </w:p>
    <w:p w14:paraId="10371686" w14:textId="2C67C542" w:rsidR="00CA04D2" w:rsidRDefault="00CA04D2" w:rsidP="00DF76A2">
      <w:pPr>
        <w:spacing w:line="276" w:lineRule="auto"/>
        <w:jc w:val="both"/>
        <w:rPr>
          <w:rFonts w:ascii="Arial" w:eastAsia="Calibri" w:hAnsi="Arial" w:cs="Arial"/>
          <w:color w:val="000000" w:themeColor="text1"/>
          <w:sz w:val="22"/>
          <w:szCs w:val="22"/>
          <w:lang w:val="es-ES_tradnl"/>
        </w:rPr>
      </w:pPr>
    </w:p>
    <w:p w14:paraId="1BDA234B" w14:textId="50CC1AAF" w:rsidR="009F1336" w:rsidRDefault="002F2595" w:rsidP="009F1336">
      <w:pPr>
        <w:spacing w:after="120" w:line="276" w:lineRule="auto"/>
        <w:jc w:val="both"/>
        <w:rPr>
          <w:rFonts w:ascii="Arial" w:hAnsi="Arial" w:cs="Arial"/>
          <w:sz w:val="22"/>
        </w:rPr>
      </w:pPr>
      <w:r w:rsidRPr="002F2595">
        <w:rPr>
          <w:rFonts w:ascii="Arial" w:eastAsia="Calibri" w:hAnsi="Arial" w:cs="Arial"/>
          <w:color w:val="000000" w:themeColor="text1"/>
          <w:sz w:val="22"/>
          <w:szCs w:val="22"/>
          <w:lang w:val="es-ES_tradnl"/>
        </w:rPr>
        <w:t>La Agencia Nacional de Contratación Pública – Colombia Compra Eficiente responderá la consulta, luego de analizar los siguientes temas: i) ámbito de aplicación de la Ley 2022 de 2020; ii) situación de desastre y de calamidad pública como supuestos de urgencia manifiesta y exclusión parcial del régimen de contratación de la Administración pública;</w:t>
      </w:r>
      <w:r>
        <w:rPr>
          <w:rFonts w:ascii="Arial" w:eastAsia="Calibri" w:hAnsi="Arial" w:cs="Arial"/>
          <w:color w:val="000000" w:themeColor="text1"/>
          <w:sz w:val="22"/>
          <w:szCs w:val="22"/>
          <w:lang w:val="es-ES_tradnl"/>
        </w:rPr>
        <w:t xml:space="preserve"> y</w:t>
      </w:r>
      <w:r w:rsidRPr="002F2595">
        <w:rPr>
          <w:rFonts w:ascii="Arial" w:eastAsia="Calibri" w:hAnsi="Arial" w:cs="Arial"/>
          <w:color w:val="000000" w:themeColor="text1"/>
          <w:sz w:val="22"/>
          <w:szCs w:val="22"/>
          <w:lang w:val="es-ES_tradnl"/>
        </w:rPr>
        <w:t xml:space="preserve"> iii) alcance de la actividad consagrada en el numeral 4 de la «Matriz 1 – Experiencia» de </w:t>
      </w:r>
      <w:proofErr w:type="gramStart"/>
      <w:r w:rsidRPr="002F2595">
        <w:rPr>
          <w:rFonts w:ascii="Arial" w:eastAsia="Calibri" w:hAnsi="Arial" w:cs="Arial"/>
          <w:color w:val="000000" w:themeColor="text1"/>
          <w:sz w:val="22"/>
          <w:szCs w:val="22"/>
          <w:lang w:val="es-ES_tradnl"/>
        </w:rPr>
        <w:t>los</w:t>
      </w:r>
      <w:proofErr w:type="gramEnd"/>
      <w:r w:rsidRPr="002F2595">
        <w:rPr>
          <w:rFonts w:ascii="Arial" w:eastAsia="Calibri" w:hAnsi="Arial" w:cs="Arial"/>
          <w:color w:val="000000" w:themeColor="text1"/>
          <w:sz w:val="22"/>
          <w:szCs w:val="22"/>
          <w:lang w:val="es-ES_tradnl"/>
        </w:rPr>
        <w:t xml:space="preserve"> documentos tipo de infraestructura de transporte</w:t>
      </w:r>
      <w:r>
        <w:rPr>
          <w:rFonts w:ascii="Arial" w:eastAsia="Calibri" w:hAnsi="Arial" w:cs="Arial"/>
          <w:color w:val="000000" w:themeColor="text1"/>
          <w:sz w:val="22"/>
          <w:szCs w:val="22"/>
          <w:lang w:val="es-ES_tradnl"/>
        </w:rPr>
        <w:t>.</w:t>
      </w:r>
    </w:p>
    <w:p w14:paraId="0A8E13BE" w14:textId="09C59510" w:rsidR="009F1336" w:rsidRPr="00096005" w:rsidRDefault="009F1336" w:rsidP="00096005">
      <w:pPr>
        <w:spacing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 xml:space="preserve">La Agencia Nacional de Contratación Pública – Colombia Compra Eficiente se refirió al alcance de la Ley 2022 de 2020 en los conceptos C-076 de 2021, C – 112 de 7 de abril de 2021, y C – 108 de 29 de marzo de 2021. Además, </w:t>
      </w:r>
      <w:r>
        <w:rPr>
          <w:rFonts w:ascii="Arial" w:eastAsia="Calibri" w:hAnsi="Arial" w:cs="Arial"/>
          <w:color w:val="000000" w:themeColor="text1"/>
          <w:sz w:val="22"/>
          <w:lang w:val="es-ES_tradnl"/>
        </w:rPr>
        <w:t xml:space="preserve">en los conceptos </w:t>
      </w:r>
      <w:r w:rsidRPr="004336B8">
        <w:rPr>
          <w:rFonts w:ascii="Arial" w:eastAsia="Calibri" w:hAnsi="Arial" w:cs="Arial"/>
          <w:color w:val="000000" w:themeColor="text1"/>
          <w:sz w:val="22"/>
        </w:rPr>
        <w:t>C-135, C-241, C-257, C-269 y C-275 del 10 de abril de 2020</w:t>
      </w:r>
      <w:r>
        <w:rPr>
          <w:rFonts w:ascii="Arial" w:eastAsia="Calibri" w:hAnsi="Arial" w:cs="Arial"/>
          <w:color w:val="000000" w:themeColor="text1"/>
          <w:sz w:val="22"/>
        </w:rPr>
        <w:t xml:space="preserve">, </w:t>
      </w:r>
      <w:r>
        <w:rPr>
          <w:rFonts w:ascii="Arial" w:eastAsia="Calibri" w:hAnsi="Arial" w:cs="Arial"/>
          <w:color w:val="000000" w:themeColor="text1"/>
          <w:sz w:val="22"/>
          <w:lang w:val="es-ES_tradnl"/>
        </w:rPr>
        <w:t xml:space="preserve">C – 284 de 27 de mayo de 2020, C- 300 de 25 de abril de 2020,  C- 301 de 25 de abril de 2020,  C- 403 de 24 de junio de 2020, </w:t>
      </w:r>
      <w:r w:rsidRPr="004336B8">
        <w:rPr>
          <w:rFonts w:ascii="Arial" w:eastAsia="Calibri" w:hAnsi="Arial" w:cs="Arial"/>
          <w:color w:val="000000" w:themeColor="text1"/>
          <w:sz w:val="22"/>
        </w:rPr>
        <w:t>explicó que la declaración del estado de emergencia, calamidad pública o desastre no habilitan la contratación directa por sí solas,</w:t>
      </w:r>
      <w:r w:rsidR="001C5192">
        <w:rPr>
          <w:rFonts w:ascii="Arial" w:eastAsia="Calibri" w:hAnsi="Arial" w:cs="Arial"/>
          <w:color w:val="000000" w:themeColor="text1"/>
          <w:sz w:val="22"/>
        </w:rPr>
        <w:t xml:space="preserve"> pues</w:t>
      </w:r>
      <w:r w:rsidRPr="004336B8">
        <w:rPr>
          <w:rFonts w:ascii="Arial" w:eastAsia="Calibri" w:hAnsi="Arial" w:cs="Arial"/>
          <w:color w:val="000000" w:themeColor="text1"/>
          <w:sz w:val="22"/>
        </w:rPr>
        <w:t xml:space="preserve"> la causal prevista en el literal a) del numeral 4 del artículo 2 de la Ley 1150 de 2007 requiere la declaratoria de urgencia manifiesta conforme al artículo 42 de la Ley 80 de 1993</w:t>
      </w:r>
      <w:r>
        <w:rPr>
          <w:rFonts w:ascii="Arial" w:eastAsia="Calibri" w:hAnsi="Arial" w:cs="Arial"/>
          <w:color w:val="000000" w:themeColor="text1"/>
          <w:sz w:val="22"/>
        </w:rPr>
        <w:t>.</w:t>
      </w:r>
      <w:r>
        <w:rPr>
          <w:rFonts w:ascii="Arial" w:hAnsi="Arial" w:cs="Arial"/>
          <w:color w:val="000000" w:themeColor="text1"/>
          <w:sz w:val="22"/>
        </w:rPr>
        <w:t xml:space="preserve"> La tesis expuesta en estos conceptos se reitera a continuación y se complementa en lo pertinente:</w:t>
      </w:r>
    </w:p>
    <w:p w14:paraId="3C34E3A9" w14:textId="77777777" w:rsidR="00441AD4" w:rsidRDefault="00441AD4" w:rsidP="00DF76A2">
      <w:pPr>
        <w:spacing w:line="276" w:lineRule="auto"/>
        <w:jc w:val="both"/>
        <w:rPr>
          <w:rFonts w:ascii="Arial" w:eastAsia="Calibri" w:hAnsi="Arial" w:cs="Arial"/>
          <w:color w:val="000000" w:themeColor="text1"/>
          <w:sz w:val="22"/>
          <w:lang w:val="es-ES_tradnl"/>
        </w:rPr>
      </w:pPr>
    </w:p>
    <w:p w14:paraId="6ADE283E" w14:textId="77777777" w:rsidR="00441AD4" w:rsidRPr="00EE3295" w:rsidRDefault="00441AD4" w:rsidP="00441AD4">
      <w:pPr>
        <w:spacing w:line="276" w:lineRule="auto"/>
        <w:jc w:val="both"/>
        <w:rPr>
          <w:rFonts w:ascii="Arial" w:eastAsia="Calibri" w:hAnsi="Arial" w:cs="Arial"/>
          <w:b/>
          <w:bCs/>
          <w:sz w:val="22"/>
        </w:rPr>
      </w:pPr>
      <w:r>
        <w:rPr>
          <w:rFonts w:ascii="Arial" w:eastAsia="Calibri" w:hAnsi="Arial" w:cs="Arial"/>
          <w:b/>
          <w:bCs/>
          <w:sz w:val="22"/>
        </w:rPr>
        <w:t>2.1. Ámbito de aplicación de la Ley 2022 de 2020 en los documentos tipo de obra pública para infraestructura de transporte</w:t>
      </w:r>
    </w:p>
    <w:p w14:paraId="67BAC935" w14:textId="77777777" w:rsidR="00441AD4" w:rsidRDefault="00441AD4" w:rsidP="00441AD4">
      <w:pPr>
        <w:spacing w:line="276" w:lineRule="auto"/>
        <w:jc w:val="both"/>
        <w:rPr>
          <w:rFonts w:ascii="Arial" w:eastAsia="Calibri" w:hAnsi="Arial" w:cs="Arial"/>
          <w:sz w:val="22"/>
        </w:rPr>
      </w:pPr>
    </w:p>
    <w:p w14:paraId="03C5EBAC" w14:textId="587CE76E" w:rsidR="00441AD4" w:rsidRPr="00F35517" w:rsidRDefault="00441AD4" w:rsidP="00441AD4">
      <w:pPr>
        <w:shd w:val="clear" w:color="auto" w:fill="FFFFFF"/>
        <w:spacing w:line="276" w:lineRule="auto"/>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Los pliegos tipo aparecieron en nuestro ordenamiento jurídico en el 2007, cuando el legislador facultó al Gobierno Nacional para adoptarlos en la compra o suministro de bienes de características técnicas uniformes</w:t>
      </w:r>
      <w:r w:rsidRPr="00F35517">
        <w:rPr>
          <w:rStyle w:val="Refdenotaalpie"/>
          <w:rFonts w:ascii="Arial" w:hAnsi="Arial" w:cs="Arial"/>
          <w:color w:val="0D0D0D"/>
          <w:sz w:val="22"/>
          <w:szCs w:val="22"/>
          <w:bdr w:val="none" w:sz="0" w:space="0" w:color="auto" w:frame="1"/>
          <w:lang w:eastAsia="es-CO"/>
        </w:rPr>
        <w:footnoteReference w:id="2"/>
      </w:r>
      <w:r w:rsidRPr="00F35517">
        <w:rPr>
          <w:rFonts w:ascii="Arial" w:hAnsi="Arial" w:cs="Arial"/>
          <w:color w:val="0D0D0D"/>
          <w:sz w:val="22"/>
          <w:szCs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F35517">
        <w:rPr>
          <w:rStyle w:val="Refdenotaalpie"/>
          <w:rFonts w:ascii="Arial" w:hAnsi="Arial" w:cs="Arial"/>
          <w:color w:val="0D0D0D"/>
          <w:sz w:val="22"/>
          <w:szCs w:val="22"/>
          <w:bdr w:val="none" w:sz="0" w:space="0" w:color="auto" w:frame="1"/>
          <w:lang w:eastAsia="es-CO"/>
        </w:rPr>
        <w:footnoteReference w:id="3"/>
      </w:r>
      <w:r w:rsidRPr="00F35517">
        <w:rPr>
          <w:rFonts w:ascii="Arial" w:hAnsi="Arial" w:cs="Arial"/>
          <w:color w:val="0D0D0D"/>
          <w:sz w:val="22"/>
          <w:szCs w:val="22"/>
          <w:bdr w:val="none" w:sz="0" w:space="0" w:color="auto" w:frame="1"/>
          <w:lang w:eastAsia="es-CO"/>
        </w:rPr>
        <w:t>. </w:t>
      </w:r>
    </w:p>
    <w:p w14:paraId="5AEECACC" w14:textId="77777777" w:rsidR="00441AD4" w:rsidRPr="00F35517" w:rsidRDefault="00441AD4" w:rsidP="00441AD4">
      <w:pPr>
        <w:shd w:val="clear" w:color="auto" w:fill="FFFFFF"/>
        <w:spacing w:before="120" w:line="276" w:lineRule="auto"/>
        <w:ind w:firstLine="708"/>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 xml:space="preserve">La intención era agilizar y dar mayor transparencia a los procedimientos de selección, así como evitar el direccionamiento, razón por la cual –conforme a lo explicado en la exposición de motivos– </w:t>
      </w:r>
      <w:proofErr w:type="gramStart"/>
      <w:r w:rsidRPr="00F35517">
        <w:rPr>
          <w:rFonts w:ascii="Arial" w:hAnsi="Arial" w:cs="Arial"/>
          <w:color w:val="0D0D0D"/>
          <w:sz w:val="22"/>
          <w:szCs w:val="22"/>
          <w:bdr w:val="none" w:sz="0" w:space="0" w:color="auto" w:frame="1"/>
          <w:lang w:eastAsia="es-CO"/>
        </w:rPr>
        <w:t>«[</w:t>
      </w:r>
      <w:proofErr w:type="gramEnd"/>
      <w:r w:rsidRPr="00F35517">
        <w:rPr>
          <w:rFonts w:ascii="Arial" w:hAnsi="Arial" w:cs="Arial"/>
          <w:color w:val="0D0D0D"/>
          <w:sz w:val="22"/>
          <w:szCs w:val="22"/>
          <w:bdr w:val="none" w:sz="0" w:space="0" w:color="auto" w:frame="1"/>
          <w:lang w:eastAsia="es-CO"/>
        </w:rPr>
        <w:t>…] se asigna al Gobierno Nacional la facultad de estandarizar los pliegos de condiciones y términos de referencia de los contratos, medida que redundará en la agilidad y claridad de los procedimientos»</w:t>
      </w:r>
      <w:r w:rsidRPr="00F35517">
        <w:rPr>
          <w:rStyle w:val="Refdenotaalpie"/>
          <w:rFonts w:ascii="Arial" w:hAnsi="Arial" w:cs="Arial"/>
          <w:color w:val="0D0D0D"/>
          <w:sz w:val="22"/>
          <w:szCs w:val="22"/>
          <w:bdr w:val="none" w:sz="0" w:space="0" w:color="auto" w:frame="1"/>
          <w:lang w:eastAsia="es-CO"/>
        </w:rPr>
        <w:footnoteReference w:id="4"/>
      </w:r>
      <w:r w:rsidRPr="00F35517">
        <w:rPr>
          <w:rFonts w:ascii="Arial" w:hAnsi="Arial" w:cs="Arial"/>
          <w:color w:val="0D0D0D"/>
          <w:sz w:val="22"/>
          <w:szCs w:val="22"/>
          <w:bdr w:val="none" w:sz="0" w:space="0" w:color="auto" w:frame="1"/>
          <w:lang w:eastAsia="es-CO"/>
        </w:rPr>
        <w:t>. Sin embargo, en el texto aprobado, los pliegos tipo se limitaron a la adquisición o suministro de bienes de características técnicas uniformes</w:t>
      </w:r>
      <w:r w:rsidRPr="00F35517">
        <w:rPr>
          <w:rStyle w:val="Refdenotaalpie"/>
          <w:rFonts w:ascii="Arial" w:hAnsi="Arial" w:cs="Arial"/>
          <w:color w:val="0D0D0D"/>
          <w:sz w:val="22"/>
          <w:szCs w:val="22"/>
          <w:bdr w:val="none" w:sz="0" w:space="0" w:color="auto" w:frame="1"/>
          <w:lang w:eastAsia="es-CO"/>
        </w:rPr>
        <w:footnoteReference w:id="5"/>
      </w:r>
      <w:r w:rsidRPr="00F35517">
        <w:rPr>
          <w:rFonts w:ascii="Arial" w:hAnsi="Arial" w:cs="Arial"/>
          <w:color w:val="0D0D0D"/>
          <w:sz w:val="22"/>
          <w:szCs w:val="22"/>
          <w:bdr w:val="none" w:sz="0" w:space="0" w:color="auto" w:frame="1"/>
          <w:lang w:eastAsia="es-CO"/>
        </w:rPr>
        <w:t>. </w:t>
      </w:r>
    </w:p>
    <w:p w14:paraId="15E6DF7C" w14:textId="77777777" w:rsidR="00441AD4" w:rsidRPr="00F35517" w:rsidRDefault="00441AD4" w:rsidP="00441AD4">
      <w:pPr>
        <w:shd w:val="clear" w:color="auto" w:fill="FFFFFF"/>
        <w:spacing w:before="120" w:line="276" w:lineRule="auto"/>
        <w:ind w:firstLine="709"/>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lastRenderedPageBreak/>
        <w:t>Posteriormente, el artículo 2, parágrafo 7º, de la Ley 1150 de 2007, adicionado por el artículo 4 de la Ley 1882 de 2018, establece la obligatoriedad de la adopción de documentos tipo para algunos contratos, en los siguientes términos: </w:t>
      </w:r>
    </w:p>
    <w:p w14:paraId="551856B0" w14:textId="77777777" w:rsidR="00441AD4" w:rsidRPr="00F35517" w:rsidRDefault="00441AD4" w:rsidP="00441AD4">
      <w:pPr>
        <w:shd w:val="clear" w:color="auto" w:fill="FFFFFF"/>
        <w:spacing w:line="276" w:lineRule="auto"/>
        <w:ind w:firstLine="709"/>
        <w:jc w:val="both"/>
        <w:rPr>
          <w:rFonts w:ascii="Arial" w:hAnsi="Arial" w:cs="Arial"/>
          <w:color w:val="000000"/>
          <w:sz w:val="22"/>
          <w:szCs w:val="22"/>
          <w:lang w:eastAsia="es-CO"/>
        </w:rPr>
      </w:pPr>
    </w:p>
    <w:p w14:paraId="21C27216" w14:textId="77777777" w:rsidR="00441AD4" w:rsidRPr="00F35517" w:rsidRDefault="00441AD4" w:rsidP="00441AD4">
      <w:pPr>
        <w:shd w:val="clear" w:color="auto" w:fill="FFFFFF"/>
        <w:ind w:left="709" w:right="709"/>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F35517">
        <w:rPr>
          <w:rFonts w:ascii="Arial" w:hAnsi="Arial" w:cs="Arial"/>
          <w:i/>
          <w:iCs/>
          <w:color w:val="0D0D0D"/>
          <w:sz w:val="22"/>
          <w:szCs w:val="22"/>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F35517">
        <w:rPr>
          <w:rFonts w:ascii="Arial" w:hAnsi="Arial" w:cs="Arial"/>
          <w:color w:val="0D0D0D"/>
          <w:sz w:val="22"/>
          <w:szCs w:val="22"/>
          <w:bdr w:val="none" w:sz="0" w:space="0" w:color="auto" w:frame="1"/>
          <w:lang w:eastAsia="es-CO"/>
        </w:rPr>
        <w:t> […] </w:t>
      </w:r>
      <w:r w:rsidRPr="00F35517">
        <w:rPr>
          <w:rFonts w:ascii="Arial" w:hAnsi="Arial" w:cs="Arial"/>
          <w:i/>
          <w:iCs/>
          <w:color w:val="0D0D0D"/>
          <w:sz w:val="22"/>
          <w:szCs w:val="22"/>
          <w:bdr w:val="none" w:sz="0" w:space="0" w:color="auto" w:frame="1"/>
          <w:lang w:eastAsia="es-CO"/>
        </w:rPr>
        <w:t>teniendo en cuenta la naturaleza y cuantía de los contratos</w:t>
      </w:r>
      <w:r w:rsidRPr="00F35517">
        <w:rPr>
          <w:rFonts w:ascii="Arial" w:hAnsi="Arial" w:cs="Arial"/>
          <w:color w:val="0D0D0D"/>
          <w:sz w:val="22"/>
          <w:szCs w:val="22"/>
          <w:bdr w:val="none" w:sz="0" w:space="0" w:color="auto" w:frame="1"/>
          <w:lang w:eastAsia="es-CO"/>
        </w:rPr>
        <w:t> […]. (Énfasis fuera de texto) </w:t>
      </w:r>
    </w:p>
    <w:p w14:paraId="3B9F68CB" w14:textId="77777777" w:rsidR="00441AD4" w:rsidRPr="00F35517" w:rsidRDefault="00441AD4" w:rsidP="00441AD4">
      <w:pPr>
        <w:shd w:val="clear" w:color="auto" w:fill="FFFFFF"/>
        <w:spacing w:line="276" w:lineRule="auto"/>
        <w:ind w:left="709" w:right="709"/>
        <w:jc w:val="both"/>
        <w:rPr>
          <w:rFonts w:ascii="Arial" w:hAnsi="Arial" w:cs="Arial"/>
          <w:color w:val="000000"/>
          <w:sz w:val="22"/>
          <w:szCs w:val="22"/>
          <w:lang w:eastAsia="es-CO"/>
        </w:rPr>
      </w:pPr>
    </w:p>
    <w:p w14:paraId="6D84136D" w14:textId="77777777" w:rsidR="00441AD4" w:rsidRPr="00F35517" w:rsidRDefault="00441AD4" w:rsidP="00441AD4">
      <w:pPr>
        <w:shd w:val="clear" w:color="auto" w:fill="FFFFFF"/>
        <w:spacing w:line="276" w:lineRule="auto"/>
        <w:ind w:firstLine="708"/>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 xml:space="preserve">Sin embargo, </w:t>
      </w:r>
      <w:bookmarkStart w:id="2" w:name="_Hlk72774806"/>
      <w:r w:rsidRPr="00F35517">
        <w:rPr>
          <w:rFonts w:ascii="Arial" w:hAnsi="Arial" w:cs="Arial"/>
          <w:color w:val="0D0D0D"/>
          <w:sz w:val="22"/>
          <w:szCs w:val="22"/>
          <w:bdr w:val="none" w:sz="0" w:space="0" w:color="auto" w:frame="1"/>
          <w:lang w:eastAsia="es-CO"/>
        </w:rPr>
        <w:t>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bookmarkEnd w:id="2"/>
      <w:r w:rsidRPr="00F35517">
        <w:rPr>
          <w:rStyle w:val="Refdenotaalpie"/>
          <w:rFonts w:ascii="Arial" w:hAnsi="Arial" w:cs="Arial"/>
          <w:color w:val="0D0D0D"/>
          <w:sz w:val="22"/>
          <w:szCs w:val="22"/>
          <w:bdr w:val="none" w:sz="0" w:space="0" w:color="auto" w:frame="1"/>
          <w:lang w:eastAsia="es-CO"/>
        </w:rPr>
        <w:footnoteReference w:id="6"/>
      </w:r>
      <w:r w:rsidRPr="00F35517">
        <w:rPr>
          <w:rFonts w:ascii="Arial" w:hAnsi="Arial" w:cs="Arial"/>
          <w:color w:val="0D0D0D"/>
          <w:sz w:val="22"/>
          <w:szCs w:val="22"/>
          <w:bdr w:val="none" w:sz="0" w:space="0" w:color="auto" w:frame="1"/>
          <w:lang w:eastAsia="es-CO"/>
        </w:rPr>
        <w:t>.  </w:t>
      </w:r>
    </w:p>
    <w:p w14:paraId="7EEA3B13" w14:textId="77777777" w:rsidR="00441AD4" w:rsidRPr="00F35517" w:rsidRDefault="00441AD4" w:rsidP="00441AD4">
      <w:pPr>
        <w:shd w:val="clear" w:color="auto" w:fill="FFFFFF"/>
        <w:spacing w:before="120" w:line="276" w:lineRule="auto"/>
        <w:ind w:firstLine="703"/>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7AE9391E" w14:textId="4AB58D7D" w:rsidR="00441AD4" w:rsidRPr="00F35517" w:rsidRDefault="00441AD4" w:rsidP="00441AD4">
      <w:pPr>
        <w:shd w:val="clear" w:color="auto" w:fill="FFFFFF"/>
        <w:spacing w:before="120" w:line="276" w:lineRule="auto"/>
        <w:ind w:firstLine="705"/>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 xml:space="preserve">En ejercicio de la competencia conferida por el citado parágrafo, el Gobierno Nacional expidió el Decreto 342 de 2019, </w:t>
      </w:r>
      <w:r w:rsidR="00136244">
        <w:rPr>
          <w:rFonts w:ascii="Arial" w:hAnsi="Arial" w:cs="Arial"/>
          <w:color w:val="0D0D0D"/>
          <w:sz w:val="22"/>
          <w:szCs w:val="22"/>
          <w:bdr w:val="none" w:sz="0" w:space="0" w:color="auto" w:frame="1"/>
          <w:lang w:eastAsia="es-CO"/>
        </w:rPr>
        <w:t>mediante el cual</w:t>
      </w:r>
      <w:r w:rsidRPr="00F35517">
        <w:rPr>
          <w:rFonts w:ascii="Arial" w:hAnsi="Arial" w:cs="Arial"/>
          <w:color w:val="0D0D0D"/>
          <w:sz w:val="22"/>
          <w:szCs w:val="22"/>
          <w:bdr w:val="none" w:sz="0" w:space="0" w:color="auto" w:frame="1"/>
          <w:lang w:eastAsia="es-CO"/>
        </w:rPr>
        <w:t xml:space="preserv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60411F6B" w14:textId="77777777" w:rsidR="00441AD4" w:rsidRPr="00F35517" w:rsidRDefault="00441AD4" w:rsidP="00441AD4">
      <w:pPr>
        <w:shd w:val="clear" w:color="auto" w:fill="FFFFFF"/>
        <w:spacing w:before="120" w:line="276" w:lineRule="auto"/>
        <w:ind w:firstLine="705"/>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D5F3EE3" w14:textId="77777777" w:rsidR="00441AD4" w:rsidRPr="00F35517" w:rsidRDefault="00441AD4" w:rsidP="00441AD4">
      <w:pPr>
        <w:shd w:val="clear" w:color="auto" w:fill="FFFFFF"/>
        <w:spacing w:before="120" w:line="276" w:lineRule="auto"/>
        <w:ind w:firstLine="705"/>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09FC5D57" w14:textId="77777777" w:rsidR="00441AD4" w:rsidRPr="00F35517" w:rsidRDefault="00441AD4" w:rsidP="00441AD4">
      <w:pPr>
        <w:shd w:val="clear" w:color="auto" w:fill="FFFFFF"/>
        <w:spacing w:before="120" w:line="276" w:lineRule="auto"/>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lastRenderedPageBreak/>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31958209" w14:textId="77777777" w:rsidR="00441AD4" w:rsidRPr="00F35517" w:rsidRDefault="00441AD4" w:rsidP="00441AD4">
      <w:pPr>
        <w:shd w:val="clear" w:color="auto" w:fill="FFFFFF"/>
        <w:spacing w:before="120" w:line="276" w:lineRule="auto"/>
        <w:ind w:firstLine="708"/>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El Gobierno Nacional ejerció nuevamente la competencia prevista en el citado artículo 4 de la Ley 1882 de 2018, expidiendo el Decreto 2096 de 2019. A través de él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4FAA6C49" w14:textId="77777777" w:rsidR="00441AD4" w:rsidRPr="00F35517" w:rsidRDefault="00441AD4" w:rsidP="00441AD4">
      <w:pPr>
        <w:shd w:val="clear" w:color="auto" w:fill="FFFFFF"/>
        <w:spacing w:before="120" w:line="276" w:lineRule="auto"/>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            El artículo 2.2.1.2.6.2.2 del Decreto 1082 de 2015 contiene el listado de los documentos tipo aplicables a los procesos de selección abreviada de menor cuantía para la contratación de obra pública de infraestructura de transporte. Además, el 2.2.1.2.6.2.3 </w:t>
      </w:r>
      <w:proofErr w:type="spellStart"/>
      <w:r w:rsidRPr="00F35517">
        <w:rPr>
          <w:rFonts w:ascii="Arial" w:hAnsi="Arial" w:cs="Arial"/>
          <w:i/>
          <w:iCs/>
          <w:color w:val="0D0D0D"/>
          <w:sz w:val="22"/>
          <w:szCs w:val="22"/>
          <w:bdr w:val="none" w:sz="0" w:space="0" w:color="auto" w:frame="1"/>
          <w:lang w:eastAsia="es-CO"/>
        </w:rPr>
        <w:t>ibidem</w:t>
      </w:r>
      <w:proofErr w:type="spellEnd"/>
      <w:r w:rsidRPr="00F35517">
        <w:rPr>
          <w:rFonts w:ascii="Arial" w:hAnsi="Arial" w:cs="Arial"/>
          <w:color w:val="0D0D0D"/>
          <w:sz w:val="22"/>
          <w:szCs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5808FE44" w14:textId="77777777" w:rsidR="00441AD4" w:rsidRPr="00F35517" w:rsidRDefault="00441AD4" w:rsidP="00441AD4">
      <w:pPr>
        <w:shd w:val="clear" w:color="auto" w:fill="FFFFFF"/>
        <w:spacing w:before="120" w:line="276" w:lineRule="auto"/>
        <w:ind w:firstLine="708"/>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C0F570F" w14:textId="77777777" w:rsidR="00441AD4" w:rsidRPr="00F35517" w:rsidRDefault="00441AD4" w:rsidP="00441AD4">
      <w:pPr>
        <w:shd w:val="clear" w:color="auto" w:fill="FFFFFF"/>
        <w:spacing w:before="120" w:after="120" w:line="276" w:lineRule="auto"/>
        <w:ind w:firstLine="709"/>
        <w:jc w:val="both"/>
        <w:rPr>
          <w:rFonts w:ascii="Arial" w:hAnsi="Arial" w:cs="Arial"/>
          <w:color w:val="0D0D0D"/>
          <w:sz w:val="22"/>
          <w:szCs w:val="22"/>
          <w:bdr w:val="none" w:sz="0" w:space="0" w:color="auto" w:frame="1"/>
          <w:lang w:eastAsia="es-CO"/>
        </w:rPr>
      </w:pPr>
      <w:r w:rsidRPr="00F35517">
        <w:rPr>
          <w:rFonts w:ascii="Arial" w:hAnsi="Arial" w:cs="Arial"/>
          <w:color w:val="0D0D0D"/>
          <w:sz w:val="22"/>
          <w:szCs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238BCAEB" w14:textId="77777777" w:rsidR="00441AD4" w:rsidRPr="005146A0" w:rsidRDefault="00441AD4" w:rsidP="00441AD4">
      <w:pPr>
        <w:spacing w:line="276" w:lineRule="auto"/>
        <w:ind w:firstLine="708"/>
        <w:jc w:val="both"/>
        <w:rPr>
          <w:rFonts w:ascii="Arial" w:eastAsia="Calibri" w:hAnsi="Arial" w:cs="Arial"/>
          <w:sz w:val="22"/>
        </w:rPr>
      </w:pPr>
      <w:r w:rsidRPr="00F35517">
        <w:rPr>
          <w:rFonts w:ascii="Arial" w:hAnsi="Arial" w:cs="Arial"/>
          <w:color w:val="0D0D0D"/>
          <w:sz w:val="22"/>
          <w:szCs w:val="22"/>
          <w:bdr w:val="none" w:sz="0" w:space="0" w:color="auto" w:frame="1"/>
          <w:lang w:eastAsia="es-CO"/>
        </w:rPr>
        <w:t xml:space="preserve">Ahora bien, esta Agencia consciente de la afectación económica que causaron las medidas adoptadas para contener la pandemia COVID – 19 en el país, decide actualizar </w:t>
      </w:r>
      <w:r w:rsidRPr="00F35517">
        <w:rPr>
          <w:rFonts w:ascii="Arial" w:hAnsi="Arial" w:cs="Arial"/>
          <w:color w:val="0D0D0D"/>
          <w:sz w:val="22"/>
          <w:szCs w:val="22"/>
          <w:bdr w:val="none" w:sz="0" w:space="0" w:color="auto" w:frame="1"/>
          <w:lang w:eastAsia="es-CO"/>
        </w:rPr>
        <w:lastRenderedPageBreak/>
        <w:t>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 a través de las cuales se adoptan los documentos tipo de licitación de obra pública – versión 3 y de selección abreviada de menor cuantía – versión 2 de infraestructura de transporte, lo cuales son obligatorios a partir del 1º de enero de 2021.  </w:t>
      </w:r>
    </w:p>
    <w:p w14:paraId="44F46593" w14:textId="77777777" w:rsidR="00441AD4" w:rsidRDefault="00441AD4" w:rsidP="00441AD4">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Por tanto, de conformidad con lo establecido en la Ley 2022 de 2020, las resoluciones que adoptan los documentos tipo son de obligatorio cumplimiento para todas las entidades públicas sometidas al Estatuto General de Contratación de la Administración Pública, de modo que, salvo norma especial, los procesos deberán tramitarse a partir de los parámetros estandarizados en estos documentos. Sin embargo, es importante señalar que, en los casos en que no sea obligatorio su aplicación, estos documentos pueden servir como referente para los demás procesos de contratación, por tratarse de una buena práctica en materia de contratación estatal. </w:t>
      </w:r>
    </w:p>
    <w:p w14:paraId="6EE987D3" w14:textId="77777777" w:rsidR="00441AD4" w:rsidRDefault="00441AD4" w:rsidP="00441AD4">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Así, la Ley 2022 de 2020 modificó el artículo 4 de la Ley 1882 de 2018 que establece el contenido y obligatoriedad de los Documentos Tipo de todas las entidades sometidas al Estatuto General de Contratación de la Administración Pública. De este modo, su ámbito de aplicación se circunscribe a lo dispuesto en este artículo, por lo que no se observa modificación alguna a la Ley 1523 de 2012. Por tanto, corresponde determinar el ámbito de aplicación de esta ley para </w:t>
      </w:r>
      <w:bookmarkStart w:id="3" w:name="_Hlk72919677"/>
      <w:r>
        <w:rPr>
          <w:rFonts w:ascii="Arial" w:hAnsi="Arial" w:cs="Arial"/>
          <w:color w:val="000000" w:themeColor="text1"/>
          <w:sz w:val="22"/>
        </w:rPr>
        <w:t>establecer el alcance del numeral 4 de la «Matriz 1 – Experiencia» de los documentos tipo de infraestructura de transporte</w:t>
      </w:r>
      <w:bookmarkEnd w:id="3"/>
      <w:r>
        <w:rPr>
          <w:rFonts w:ascii="Arial" w:hAnsi="Arial" w:cs="Arial"/>
          <w:color w:val="000000" w:themeColor="text1"/>
          <w:sz w:val="22"/>
        </w:rPr>
        <w:t xml:space="preserve">, pues se refiere a una actividad similar al objeto de la Ley 1523 de 2012. </w:t>
      </w:r>
    </w:p>
    <w:p w14:paraId="100C982D" w14:textId="77777777" w:rsidR="00441AD4" w:rsidRDefault="00441AD4" w:rsidP="00441AD4">
      <w:pPr>
        <w:spacing w:line="276" w:lineRule="auto"/>
        <w:jc w:val="both"/>
        <w:rPr>
          <w:rFonts w:ascii="Arial" w:hAnsi="Arial" w:cs="Arial"/>
          <w:color w:val="000000" w:themeColor="text1"/>
          <w:sz w:val="22"/>
        </w:rPr>
      </w:pPr>
    </w:p>
    <w:p w14:paraId="4E36A6D3" w14:textId="77777777" w:rsidR="00441AD4" w:rsidRPr="001856E0" w:rsidRDefault="00441AD4" w:rsidP="00441AD4">
      <w:pPr>
        <w:spacing w:line="276" w:lineRule="auto"/>
        <w:jc w:val="both"/>
        <w:rPr>
          <w:rFonts w:ascii="Arial" w:eastAsia="Calibri" w:hAnsi="Arial" w:cs="Arial"/>
          <w:b/>
          <w:bCs/>
          <w:color w:val="000000" w:themeColor="text1"/>
          <w:sz w:val="22"/>
          <w:lang w:val="es-ES_tradnl"/>
        </w:rPr>
      </w:pPr>
      <w:r w:rsidRPr="001856E0">
        <w:rPr>
          <w:rFonts w:ascii="Arial" w:eastAsia="Calibri" w:hAnsi="Arial" w:cs="Arial"/>
          <w:b/>
          <w:bCs/>
          <w:color w:val="000000" w:themeColor="text1"/>
          <w:sz w:val="22"/>
          <w:lang w:val="es-ES_tradnl"/>
        </w:rPr>
        <w:t xml:space="preserve">2.2. </w:t>
      </w:r>
      <w:r>
        <w:rPr>
          <w:rFonts w:ascii="Arial" w:eastAsia="Calibri" w:hAnsi="Arial" w:cs="Arial"/>
          <w:b/>
          <w:bCs/>
          <w:color w:val="000000" w:themeColor="text1"/>
          <w:sz w:val="22"/>
          <w:lang w:val="es-ES_tradnl"/>
        </w:rPr>
        <w:t>Alcance de</w:t>
      </w:r>
      <w:r w:rsidRPr="001856E0">
        <w:rPr>
          <w:rFonts w:ascii="Arial" w:eastAsia="Calibri" w:hAnsi="Arial" w:cs="Arial"/>
          <w:b/>
          <w:bCs/>
          <w:color w:val="000000" w:themeColor="text1"/>
          <w:sz w:val="22"/>
          <w:lang w:val="es-ES_tradnl"/>
        </w:rPr>
        <w:t xml:space="preserve"> la Ley 1523 de 2012</w:t>
      </w:r>
      <w:r>
        <w:rPr>
          <w:rFonts w:ascii="Arial" w:eastAsia="Calibri" w:hAnsi="Arial" w:cs="Arial"/>
          <w:b/>
          <w:bCs/>
          <w:color w:val="000000" w:themeColor="text1"/>
          <w:sz w:val="22"/>
          <w:lang w:val="es-ES_tradnl"/>
        </w:rPr>
        <w:t xml:space="preserve">: declaraciones de la </w:t>
      </w:r>
      <w:r>
        <w:rPr>
          <w:rFonts w:ascii="Arial" w:eastAsia="Calibri" w:hAnsi="Arial" w:cs="Arial"/>
          <w:b/>
          <w:bCs/>
          <w:i/>
          <w:iCs/>
          <w:color w:val="000000" w:themeColor="text1"/>
          <w:sz w:val="22"/>
          <w:lang w:val="es-ES_tradnl"/>
        </w:rPr>
        <w:t>s</w:t>
      </w:r>
      <w:r w:rsidRPr="001856E0">
        <w:rPr>
          <w:rFonts w:ascii="Arial" w:eastAsia="Calibri" w:hAnsi="Arial" w:cs="Arial"/>
          <w:b/>
          <w:bCs/>
          <w:i/>
          <w:iCs/>
          <w:color w:val="000000" w:themeColor="text1"/>
          <w:sz w:val="22"/>
          <w:lang w:val="es-ES_tradnl"/>
        </w:rPr>
        <w:t>ituación de desastre</w:t>
      </w:r>
      <w:r w:rsidRPr="001856E0">
        <w:rPr>
          <w:rFonts w:ascii="Arial" w:eastAsia="Calibri" w:hAnsi="Arial" w:cs="Arial"/>
          <w:b/>
          <w:bCs/>
          <w:color w:val="000000" w:themeColor="text1"/>
          <w:sz w:val="22"/>
          <w:lang w:val="es-ES_tradnl"/>
        </w:rPr>
        <w:t xml:space="preserve"> y de </w:t>
      </w:r>
      <w:r w:rsidRPr="001856E0">
        <w:rPr>
          <w:rFonts w:ascii="Arial" w:eastAsia="Calibri" w:hAnsi="Arial" w:cs="Arial"/>
          <w:b/>
          <w:bCs/>
          <w:i/>
          <w:iCs/>
          <w:color w:val="000000" w:themeColor="text1"/>
          <w:sz w:val="22"/>
          <w:lang w:val="es-ES_tradnl"/>
        </w:rPr>
        <w:t>calamidad pública</w:t>
      </w:r>
      <w:r w:rsidRPr="001856E0">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como fundamento de causales de contratación directa y excepciones a la aplicación de la Ley 80 de 1993</w:t>
      </w:r>
    </w:p>
    <w:p w14:paraId="21AADA80" w14:textId="77777777" w:rsidR="00441AD4" w:rsidRPr="001856E0" w:rsidRDefault="00441AD4" w:rsidP="00441AD4">
      <w:pPr>
        <w:spacing w:line="276" w:lineRule="auto"/>
        <w:jc w:val="both"/>
        <w:rPr>
          <w:rFonts w:ascii="Arial" w:eastAsia="Calibri" w:hAnsi="Arial" w:cs="Arial"/>
          <w:color w:val="000000" w:themeColor="text1"/>
          <w:sz w:val="22"/>
          <w:lang w:val="es-ES_tradnl"/>
        </w:rPr>
      </w:pPr>
    </w:p>
    <w:p w14:paraId="328D1EEB" w14:textId="77777777" w:rsidR="00441AD4" w:rsidRDefault="00441AD4" w:rsidP="00441AD4">
      <w:pPr>
        <w:spacing w:line="276" w:lineRule="auto"/>
        <w:jc w:val="both"/>
        <w:rPr>
          <w:rFonts w:ascii="Arial" w:eastAsia="Calibri" w:hAnsi="Arial" w:cs="Arial"/>
          <w:color w:val="000000" w:themeColor="text1"/>
          <w:sz w:val="22"/>
          <w:lang w:val="es-ES_tradnl"/>
        </w:rPr>
      </w:pPr>
      <w:bookmarkStart w:id="4" w:name="_Hlk35876968"/>
      <w:r>
        <w:rPr>
          <w:rFonts w:ascii="Arial" w:eastAsia="Calibri" w:hAnsi="Arial" w:cs="Arial"/>
          <w:color w:val="000000" w:themeColor="text1"/>
          <w:sz w:val="22"/>
          <w:lang w:val="es-ES_tradnl"/>
        </w:rPr>
        <w:t xml:space="preserve">Para resolver la solicitud, es pertinente realizar algunas consideraciones sobre la Ley 1523 de 2012 y como esta norma no solo habilita la contratación directa, sino que también constituye una causal de exclusión de la Ley 80 de 1993. Esto como un paso previo para determinar el </w:t>
      </w:r>
      <w:bookmarkStart w:id="5" w:name="_Hlk72923039"/>
      <w:r>
        <w:rPr>
          <w:rFonts w:ascii="Arial" w:eastAsia="Calibri" w:hAnsi="Arial" w:cs="Arial"/>
          <w:color w:val="000000" w:themeColor="text1"/>
          <w:sz w:val="22"/>
          <w:lang w:val="es-ES_tradnl"/>
        </w:rPr>
        <w:t>alcance de la actividad consagrada en el numeral 4 de la «Matriz 1 – Experiencia» de los documentos tipo de infraestructura de transporte</w:t>
      </w:r>
      <w:bookmarkEnd w:id="5"/>
      <w:r>
        <w:rPr>
          <w:rFonts w:ascii="Arial" w:eastAsia="Calibri" w:hAnsi="Arial" w:cs="Arial"/>
          <w:color w:val="000000" w:themeColor="text1"/>
          <w:sz w:val="22"/>
          <w:lang w:val="es-ES_tradnl"/>
        </w:rPr>
        <w:t xml:space="preserve">. </w:t>
      </w:r>
    </w:p>
    <w:p w14:paraId="6AE7DC9C" w14:textId="77777777" w:rsidR="00441AD4" w:rsidRPr="001856E0" w:rsidRDefault="00441AD4" w:rsidP="00441AD4">
      <w:pPr>
        <w:spacing w:before="120" w:line="276" w:lineRule="auto"/>
        <w:jc w:val="both"/>
        <w:rPr>
          <w:color w:val="000000" w:themeColor="text1"/>
        </w:rPr>
      </w:pPr>
      <w:r>
        <w:rPr>
          <w:rFonts w:ascii="Arial" w:eastAsia="Calibri" w:hAnsi="Arial" w:cs="Arial"/>
          <w:color w:val="000000" w:themeColor="text1"/>
          <w:sz w:val="22"/>
          <w:lang w:val="es-ES_tradnl"/>
        </w:rPr>
        <w:tab/>
        <w:t>i) Es necesario tener cuenta que, en concordancia con la causal de contratación directa del artículo 2, numeral 4, litera a), de la Ley 1150 de 2007, e</w:t>
      </w:r>
      <w:r w:rsidRPr="001856E0">
        <w:rPr>
          <w:rFonts w:ascii="Arial" w:eastAsia="Calibri" w:hAnsi="Arial" w:cs="Arial"/>
          <w:color w:val="000000" w:themeColor="text1"/>
          <w:sz w:val="22"/>
          <w:lang w:val="es-ES_tradnl"/>
        </w:rPr>
        <w:t xml:space="preserve">l artículo 42 de la Ley 80 de 1993 dispone que la urgencia manifiesta se declara, entre otras tres (3) circunstancias, con la finalidad de </w:t>
      </w:r>
      <w:proofErr w:type="gramStart"/>
      <w:r w:rsidRPr="001856E0">
        <w:rPr>
          <w:rFonts w:ascii="Arial" w:eastAsia="Calibri" w:hAnsi="Arial" w:cs="Arial"/>
          <w:color w:val="000000" w:themeColor="text1"/>
          <w:sz w:val="22"/>
          <w:lang w:val="es-ES_tradnl"/>
        </w:rPr>
        <w:t>«[</w:t>
      </w:r>
      <w:proofErr w:type="gramEnd"/>
      <w:r w:rsidRPr="001856E0">
        <w:rPr>
          <w:rFonts w:ascii="Arial" w:eastAsia="Calibri" w:hAnsi="Arial" w:cs="Arial"/>
          <w:color w:val="000000" w:themeColor="text1"/>
          <w:sz w:val="22"/>
          <w:lang w:val="es-ES_tradnl"/>
        </w:rPr>
        <w:t>…] conjurar situaciones excepcionales relacionadas con hechos de calamidad o constitutivos de fuerza mayor o desastre que demanden actuaciones inmediatas […]»</w:t>
      </w:r>
      <w:bookmarkEnd w:id="4"/>
      <w:r w:rsidRPr="001856E0">
        <w:rPr>
          <w:rFonts w:ascii="Arial" w:eastAsia="Calibri" w:hAnsi="Arial" w:cs="Arial"/>
          <w:color w:val="000000" w:themeColor="text1"/>
          <w:sz w:val="22"/>
          <w:lang w:val="es-ES_tradnl"/>
        </w:rPr>
        <w:t xml:space="preserve">. Para delimitar estas expresiones, el </w:t>
      </w:r>
      <w:bookmarkStart w:id="6" w:name="_Hlk35880053"/>
      <w:r w:rsidRPr="001856E0">
        <w:rPr>
          <w:rFonts w:ascii="Arial" w:eastAsia="Calibri" w:hAnsi="Arial" w:cs="Arial"/>
          <w:color w:val="000000" w:themeColor="text1"/>
          <w:sz w:val="22"/>
          <w:lang w:val="es-ES_tradnl"/>
        </w:rPr>
        <w:t xml:space="preserve">artículo 28 del Código </w:t>
      </w:r>
      <w:r w:rsidRPr="001856E0">
        <w:rPr>
          <w:rFonts w:ascii="Arial" w:eastAsia="Calibri" w:hAnsi="Arial" w:cs="Arial"/>
          <w:color w:val="000000" w:themeColor="text1"/>
          <w:sz w:val="22"/>
          <w:lang w:val="es-ES_tradnl"/>
        </w:rPr>
        <w:lastRenderedPageBreak/>
        <w:t xml:space="preserve">Civil </w:t>
      </w:r>
      <w:bookmarkEnd w:id="6"/>
      <w:r w:rsidRPr="001856E0">
        <w:rPr>
          <w:rFonts w:ascii="Arial" w:eastAsia="Calibri" w:hAnsi="Arial" w:cs="Arial"/>
          <w:color w:val="000000" w:themeColor="text1"/>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Y resulta que en la medida en que la norma utiliza la conjunción «o», en principio asimilaría la </w:t>
      </w:r>
      <w:r w:rsidRPr="001856E0">
        <w:rPr>
          <w:rFonts w:ascii="Arial" w:eastAsia="Calibri" w:hAnsi="Arial" w:cs="Arial"/>
          <w:i/>
          <w:iCs/>
          <w:color w:val="000000" w:themeColor="text1"/>
          <w:sz w:val="22"/>
          <w:lang w:val="es-ES_tradnl"/>
        </w:rPr>
        <w:t>calamidad</w:t>
      </w:r>
      <w:r w:rsidRPr="001856E0">
        <w:rPr>
          <w:rFonts w:ascii="Arial" w:eastAsia="Calibri" w:hAnsi="Arial" w:cs="Arial"/>
          <w:color w:val="000000" w:themeColor="text1"/>
          <w:sz w:val="22"/>
          <w:lang w:val="es-ES_tradnl"/>
        </w:rPr>
        <w:t xml:space="preserve"> y el </w:t>
      </w:r>
      <w:r w:rsidRPr="001856E0">
        <w:rPr>
          <w:rFonts w:ascii="Arial" w:eastAsia="Calibri" w:hAnsi="Arial" w:cs="Arial"/>
          <w:i/>
          <w:iCs/>
          <w:color w:val="000000" w:themeColor="text1"/>
          <w:sz w:val="22"/>
          <w:lang w:val="es-ES_tradnl"/>
        </w:rPr>
        <w:t xml:space="preserve">desastre </w:t>
      </w:r>
      <w:r w:rsidRPr="001856E0">
        <w:rPr>
          <w:rFonts w:ascii="Arial" w:eastAsia="Calibri" w:hAnsi="Arial" w:cs="Arial"/>
          <w:color w:val="000000" w:themeColor="text1"/>
          <w:sz w:val="22"/>
          <w:lang w:val="es-ES_tradnl"/>
        </w:rPr>
        <w:t xml:space="preserve">con la </w:t>
      </w:r>
      <w:r w:rsidRPr="001856E0">
        <w:rPr>
          <w:rFonts w:ascii="Arial" w:eastAsia="Calibri" w:hAnsi="Arial" w:cs="Arial"/>
          <w:i/>
          <w:iCs/>
          <w:color w:val="000000" w:themeColor="text1"/>
          <w:sz w:val="22"/>
          <w:lang w:val="es-ES_tradnl"/>
        </w:rPr>
        <w:t>fuerza mayor</w:t>
      </w:r>
      <w:r w:rsidRPr="001856E0">
        <w:rPr>
          <w:rFonts w:ascii="Arial" w:eastAsia="Calibri" w:hAnsi="Arial" w:cs="Arial"/>
          <w:color w:val="000000" w:themeColor="text1"/>
          <w:sz w:val="22"/>
          <w:lang w:val="es-ES_tradnl"/>
        </w:rPr>
        <w:t xml:space="preserve"> o el </w:t>
      </w:r>
      <w:r w:rsidRPr="001856E0">
        <w:rPr>
          <w:rFonts w:ascii="Arial" w:eastAsia="Calibri" w:hAnsi="Arial" w:cs="Arial"/>
          <w:i/>
          <w:iCs/>
          <w:color w:val="000000" w:themeColor="text1"/>
          <w:sz w:val="22"/>
          <w:lang w:val="es-ES_tradnl"/>
        </w:rPr>
        <w:t>caso fortuito</w:t>
      </w:r>
      <w:r w:rsidRPr="001856E0">
        <w:rPr>
          <w:rFonts w:ascii="Arial" w:eastAsia="Calibri" w:hAnsi="Arial" w:cs="Arial"/>
          <w:color w:val="000000" w:themeColor="text1"/>
          <w:sz w:val="22"/>
          <w:lang w:val="es-ES_tradnl"/>
        </w:rPr>
        <w:t xml:space="preserve">. Al respecto, el artículo 64 del Código Civil define como tal </w:t>
      </w:r>
      <w:proofErr w:type="gramStart"/>
      <w:r w:rsidRPr="001856E0">
        <w:rPr>
          <w:rFonts w:ascii="Arial" w:eastAsia="Calibri" w:hAnsi="Arial" w:cs="Arial"/>
          <w:color w:val="000000" w:themeColor="text1"/>
          <w:sz w:val="22"/>
          <w:lang w:val="es-ES_tradnl"/>
        </w:rPr>
        <w:t>«[</w:t>
      </w:r>
      <w:proofErr w:type="gramEnd"/>
      <w:r w:rsidRPr="001856E0">
        <w:rPr>
          <w:rFonts w:ascii="Arial" w:eastAsia="Calibri" w:hAnsi="Arial" w:cs="Arial"/>
          <w:color w:val="000000" w:themeColor="text1"/>
          <w:sz w:val="22"/>
          <w:lang w:val="es-ES_tradnl"/>
        </w:rPr>
        <w:t xml:space="preserve">…] el imprevisto o que no es posible resistir, como un naufragio, un terremoto, </w:t>
      </w:r>
      <w:bookmarkStart w:id="7" w:name="_Hlk35871146"/>
      <w:r w:rsidRPr="001856E0">
        <w:rPr>
          <w:rFonts w:ascii="Arial" w:eastAsia="Calibri" w:hAnsi="Arial" w:cs="Arial"/>
          <w:color w:val="000000" w:themeColor="text1"/>
          <w:sz w:val="22"/>
          <w:lang w:val="es-ES_tradnl"/>
        </w:rPr>
        <w:t>el apresamiento de enemigos, los actos de autoridad ejercidos por un funcionario público</w:t>
      </w:r>
      <w:bookmarkEnd w:id="7"/>
      <w:r w:rsidRPr="001856E0">
        <w:rPr>
          <w:rFonts w:ascii="Arial" w:eastAsia="Calibri" w:hAnsi="Arial" w:cs="Arial"/>
          <w:color w:val="000000" w:themeColor="text1"/>
          <w:sz w:val="22"/>
          <w:lang w:val="es-ES_tradnl"/>
        </w:rPr>
        <w:t>, etc</w:t>
      </w:r>
      <w:r>
        <w:rPr>
          <w:rFonts w:ascii="Arial" w:eastAsia="Calibri" w:hAnsi="Arial" w:cs="Arial"/>
          <w:color w:val="000000" w:themeColor="text1"/>
          <w:sz w:val="22"/>
          <w:lang w:val="es-ES_tradnl"/>
        </w:rPr>
        <w:t>.</w:t>
      </w:r>
      <w:r w:rsidRPr="001856E0">
        <w:rPr>
          <w:rFonts w:ascii="Arial" w:eastAsia="Calibri" w:hAnsi="Arial" w:cs="Arial"/>
          <w:color w:val="000000" w:themeColor="text1"/>
          <w:sz w:val="22"/>
          <w:lang w:val="es-ES_tradnl"/>
        </w:rPr>
        <w:t>»</w:t>
      </w:r>
      <w:r w:rsidRPr="001856E0">
        <w:rPr>
          <w:rFonts w:ascii="Arial" w:eastAsia="Calibri" w:hAnsi="Arial" w:cs="Arial"/>
          <w:color w:val="000000" w:themeColor="text1"/>
          <w:sz w:val="21"/>
          <w:szCs w:val="21"/>
          <w:vertAlign w:val="superscript"/>
          <w:lang w:val="es-ES_tradnl"/>
        </w:rPr>
        <w:footnoteReference w:id="7"/>
      </w:r>
      <w:r w:rsidRPr="001856E0">
        <w:rPr>
          <w:rFonts w:ascii="Arial" w:eastAsia="Calibri" w:hAnsi="Arial" w:cs="Arial"/>
          <w:color w:val="000000" w:themeColor="text1"/>
          <w:sz w:val="21"/>
          <w:szCs w:val="21"/>
          <w:lang w:val="es-ES_tradnl"/>
        </w:rPr>
        <w:t>.</w:t>
      </w:r>
    </w:p>
    <w:p w14:paraId="5C073233"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w:t>
      </w:r>
      <w:r>
        <w:rPr>
          <w:rFonts w:ascii="Arial" w:eastAsia="Calibri" w:hAnsi="Arial" w:cs="Arial"/>
          <w:color w:val="000000" w:themeColor="text1"/>
          <w:sz w:val="22"/>
          <w:lang w:val="es-ES_tradnl"/>
        </w:rPr>
        <w:t xml:space="preserve"> </w:t>
      </w:r>
      <w:r w:rsidRPr="001856E0">
        <w:rPr>
          <w:rFonts w:ascii="Arial" w:eastAsia="Calibri" w:hAnsi="Arial" w:cs="Arial"/>
          <w:color w:val="000000" w:themeColor="text1"/>
          <w:sz w:val="22"/>
          <w:lang w:val="es-ES_tradnl"/>
        </w:rPr>
        <w:t xml:space="preserve">Conforme al significado natural de las palabras, parece que 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los definió </w:t>
      </w:r>
      <w:bookmarkStart w:id="8" w:name="_Hlk35879271"/>
      <w:r w:rsidRPr="001856E0">
        <w:rPr>
          <w:rFonts w:ascii="Arial" w:eastAsia="Calibri" w:hAnsi="Arial" w:cs="Arial"/>
          <w:color w:val="000000" w:themeColor="text1"/>
          <w:sz w:val="22"/>
          <w:lang w:val="es-ES_tradnl"/>
        </w:rPr>
        <w:t>el artículo 4, numerales 5 y 8, de la Ley 1523 de 2012</w:t>
      </w:r>
      <w:bookmarkEnd w:id="8"/>
      <w:r w:rsidRPr="001856E0">
        <w:rPr>
          <w:rFonts w:ascii="Arial" w:eastAsia="Calibri" w:hAnsi="Arial" w:cs="Arial"/>
          <w:color w:val="000000" w:themeColor="text1"/>
          <w:sz w:val="22"/>
          <w:lang w:val="es-ES_tradnl"/>
        </w:rPr>
        <w:t>:</w:t>
      </w:r>
    </w:p>
    <w:p w14:paraId="1B1DAD2A" w14:textId="77777777" w:rsidR="00441AD4" w:rsidRPr="001856E0" w:rsidRDefault="00441AD4" w:rsidP="00441AD4">
      <w:pPr>
        <w:spacing w:line="276" w:lineRule="auto"/>
        <w:jc w:val="both"/>
        <w:rPr>
          <w:rFonts w:ascii="Arial" w:eastAsia="Calibri" w:hAnsi="Arial" w:cs="Arial"/>
          <w:color w:val="000000" w:themeColor="text1"/>
          <w:sz w:val="22"/>
          <w:lang w:val="es-ES_tradnl"/>
        </w:rPr>
      </w:pPr>
    </w:p>
    <w:p w14:paraId="5C88E78B" w14:textId="77777777" w:rsidR="00441AD4" w:rsidRPr="001856E0" w:rsidRDefault="00441AD4" w:rsidP="00441AD4">
      <w:pPr>
        <w:ind w:left="709" w:right="709"/>
        <w:jc w:val="both"/>
        <w:rPr>
          <w:rFonts w:ascii="Arial" w:eastAsia="Calibri" w:hAnsi="Arial" w:cs="Arial"/>
          <w:color w:val="000000" w:themeColor="text1"/>
          <w:sz w:val="21"/>
          <w:szCs w:val="21"/>
          <w:lang w:val="es-ES_tradnl"/>
        </w:rPr>
      </w:pPr>
      <w:r w:rsidRPr="001856E0">
        <w:rPr>
          <w:rFonts w:ascii="Arial" w:eastAsia="Calibri" w:hAnsi="Arial" w:cs="Arial"/>
          <w:color w:val="000000" w:themeColor="text1"/>
          <w:sz w:val="21"/>
          <w:szCs w:val="21"/>
          <w:lang w:val="es-ES_tradnl"/>
        </w:rPr>
        <w:t>Art. 4. Para efectos de la presente ley se entenderá por:</w:t>
      </w:r>
    </w:p>
    <w:p w14:paraId="0B279DAF" w14:textId="77777777" w:rsidR="00441AD4" w:rsidRPr="001856E0" w:rsidRDefault="00441AD4" w:rsidP="00441AD4">
      <w:pPr>
        <w:spacing w:before="120"/>
        <w:ind w:left="709" w:right="709"/>
        <w:jc w:val="both"/>
        <w:rPr>
          <w:rFonts w:ascii="Arial" w:eastAsia="Calibri" w:hAnsi="Arial" w:cs="Arial"/>
          <w:color w:val="000000" w:themeColor="text1"/>
          <w:sz w:val="21"/>
          <w:szCs w:val="21"/>
          <w:lang w:val="es-ES_tradnl"/>
        </w:rPr>
      </w:pPr>
      <w:r w:rsidRPr="001856E0">
        <w:rPr>
          <w:rFonts w:ascii="Arial" w:eastAsia="Calibri" w:hAnsi="Arial" w:cs="Arial"/>
          <w:color w:val="000000" w:themeColor="text1"/>
          <w:sz w:val="21"/>
          <w:szCs w:val="21"/>
          <w:lang w:val="es-ES_tradnl"/>
        </w:rPr>
        <w:t>[…]</w:t>
      </w:r>
    </w:p>
    <w:p w14:paraId="09D9026B" w14:textId="77777777" w:rsidR="00441AD4" w:rsidRPr="001856E0" w:rsidRDefault="00441AD4" w:rsidP="00441AD4">
      <w:pPr>
        <w:spacing w:before="120"/>
        <w:ind w:left="709" w:right="709"/>
        <w:jc w:val="both"/>
        <w:rPr>
          <w:rFonts w:ascii="Arial" w:eastAsia="Calibri" w:hAnsi="Arial" w:cs="Arial"/>
          <w:color w:val="000000" w:themeColor="text1"/>
          <w:sz w:val="21"/>
          <w:szCs w:val="21"/>
          <w:lang w:val="es-ES_tradnl"/>
        </w:rPr>
      </w:pPr>
      <w:r w:rsidRPr="001856E0">
        <w:rPr>
          <w:rFonts w:ascii="Arial" w:eastAsia="Calibri" w:hAnsi="Arial" w:cs="Arial"/>
          <w:color w:val="000000" w:themeColor="text1"/>
          <w:sz w:val="21"/>
          <w:szCs w:val="21"/>
          <w:lang w:val="es-ES_tradnl"/>
        </w:rPr>
        <w:t xml:space="preserve">5. Calamidad pública: Es </w:t>
      </w:r>
      <w:bookmarkStart w:id="9" w:name="_Hlk35879333"/>
      <w:r w:rsidRPr="001856E0">
        <w:rPr>
          <w:rFonts w:ascii="Arial" w:eastAsia="Calibri" w:hAnsi="Arial" w:cs="Arial"/>
          <w:color w:val="000000" w:themeColor="text1"/>
          <w:sz w:val="21"/>
          <w:szCs w:val="21"/>
          <w:lang w:val="es-ES_tradnl"/>
        </w:rPr>
        <w:t xml:space="preserve">el resultado que se desencadena de la manifestación de uno o varios eventos naturales </w:t>
      </w:r>
      <w:bookmarkStart w:id="10" w:name="_Hlk35870820"/>
      <w:r w:rsidRPr="001856E0">
        <w:rPr>
          <w:rFonts w:ascii="Arial" w:eastAsia="Calibri" w:hAnsi="Arial" w:cs="Arial"/>
          <w:color w:val="000000" w:themeColor="text1"/>
          <w:sz w:val="21"/>
          <w:szCs w:val="21"/>
          <w:lang w:val="es-ES_tradnl"/>
        </w:rPr>
        <w:t xml:space="preserve">o antropogénicos no intencionales </w:t>
      </w:r>
      <w:bookmarkEnd w:id="10"/>
      <w:r w:rsidRPr="001856E0">
        <w:rPr>
          <w:rFonts w:ascii="Arial" w:eastAsia="Calibri" w:hAnsi="Arial" w:cs="Arial"/>
          <w:color w:val="000000" w:themeColor="text1"/>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9"/>
      <w:r w:rsidRPr="001856E0">
        <w:rPr>
          <w:rFonts w:ascii="Arial" w:eastAsia="Calibri" w:hAnsi="Arial" w:cs="Arial"/>
          <w:color w:val="000000" w:themeColor="text1"/>
          <w:sz w:val="21"/>
          <w:szCs w:val="21"/>
          <w:lang w:val="es-ES_tradnl"/>
        </w:rPr>
        <w:t>de la población, en el respectivo territorio, que exige al municipio, distrito o departamento ejecutar acciones de respuesta a la emergencia, rehabilitación y reconstrucción.</w:t>
      </w:r>
    </w:p>
    <w:p w14:paraId="653E6D0E" w14:textId="77777777" w:rsidR="00441AD4" w:rsidRPr="001856E0" w:rsidRDefault="00441AD4" w:rsidP="00441AD4">
      <w:pPr>
        <w:spacing w:before="120"/>
        <w:ind w:left="709" w:right="709"/>
        <w:jc w:val="both"/>
        <w:rPr>
          <w:rFonts w:ascii="Arial" w:eastAsia="Calibri" w:hAnsi="Arial" w:cs="Arial"/>
          <w:color w:val="000000" w:themeColor="text1"/>
          <w:sz w:val="21"/>
          <w:szCs w:val="21"/>
          <w:lang w:val="es-ES_tradnl"/>
        </w:rPr>
      </w:pPr>
      <w:r w:rsidRPr="001856E0">
        <w:rPr>
          <w:rFonts w:ascii="Arial" w:eastAsia="Calibri" w:hAnsi="Arial" w:cs="Arial"/>
          <w:color w:val="000000" w:themeColor="text1"/>
          <w:sz w:val="21"/>
          <w:szCs w:val="21"/>
          <w:lang w:val="es-ES_tradnl"/>
        </w:rPr>
        <w:t xml:space="preserve">[…] </w:t>
      </w:r>
    </w:p>
    <w:p w14:paraId="26EA960B" w14:textId="77777777" w:rsidR="00441AD4" w:rsidRPr="001856E0" w:rsidRDefault="00441AD4" w:rsidP="00441AD4">
      <w:pPr>
        <w:spacing w:before="120"/>
        <w:ind w:left="709" w:right="709"/>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108AE350" w14:textId="77777777" w:rsidR="00441AD4" w:rsidRPr="001856E0" w:rsidRDefault="00441AD4" w:rsidP="00441AD4">
      <w:pPr>
        <w:ind w:left="709" w:right="709"/>
        <w:jc w:val="both"/>
        <w:rPr>
          <w:rFonts w:ascii="Arial" w:eastAsia="Calibri" w:hAnsi="Arial" w:cs="Arial"/>
          <w:color w:val="000000" w:themeColor="text1"/>
          <w:sz w:val="22"/>
          <w:lang w:val="es-ES_tradnl"/>
        </w:rPr>
      </w:pPr>
    </w:p>
    <w:p w14:paraId="3B3F3A32" w14:textId="77777777" w:rsidR="00441AD4" w:rsidRPr="001856E0" w:rsidRDefault="00441AD4" w:rsidP="00441AD4">
      <w:pPr>
        <w:spacing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Esta norma debe armonizar</w:t>
      </w:r>
      <w:r>
        <w:rPr>
          <w:rFonts w:ascii="Arial" w:eastAsia="Calibri" w:hAnsi="Arial" w:cs="Arial"/>
          <w:color w:val="000000" w:themeColor="text1"/>
          <w:sz w:val="22"/>
          <w:lang w:val="es-ES_tradnl"/>
        </w:rPr>
        <w:t>se</w:t>
      </w:r>
      <w:r w:rsidRPr="001856E0">
        <w:rPr>
          <w:rFonts w:ascii="Arial" w:eastAsia="Calibri" w:hAnsi="Arial" w:cs="Arial"/>
          <w:color w:val="000000" w:themeColor="text1"/>
          <w:sz w:val="22"/>
          <w:lang w:val="es-ES_tradnl"/>
        </w:rPr>
        <w:t xml:space="preserve"> con los artículos 56 y 57 de la misma ley, que asignan la competencia para declarar la ocurrencia de una situación de </w:t>
      </w:r>
      <w:r w:rsidRPr="001856E0">
        <w:rPr>
          <w:rFonts w:ascii="Arial" w:eastAsia="Calibri" w:hAnsi="Arial" w:cs="Arial"/>
          <w:i/>
          <w:iCs/>
          <w:color w:val="000000" w:themeColor="text1"/>
          <w:sz w:val="22"/>
          <w:lang w:val="es-ES_tradnl"/>
        </w:rPr>
        <w:t>desastre</w:t>
      </w:r>
      <w:r w:rsidRPr="001856E0">
        <w:rPr>
          <w:rFonts w:ascii="Arial" w:eastAsia="Calibri" w:hAnsi="Arial" w:cs="Arial"/>
          <w:color w:val="000000" w:themeColor="text1"/>
          <w:sz w:val="22"/>
          <w:lang w:val="es-ES_tradnl"/>
        </w:rPr>
        <w:t xml:space="preserve"> o una situación de </w:t>
      </w:r>
      <w:r w:rsidRPr="001856E0">
        <w:rPr>
          <w:rFonts w:ascii="Arial" w:eastAsia="Calibri" w:hAnsi="Arial" w:cs="Arial"/>
          <w:i/>
          <w:iCs/>
          <w:color w:val="000000" w:themeColor="text1"/>
          <w:sz w:val="22"/>
          <w:lang w:val="es-ES_tradnl"/>
        </w:rPr>
        <w:t>calamidad pública</w:t>
      </w:r>
      <w:r w:rsidRPr="001856E0">
        <w:rPr>
          <w:rFonts w:ascii="Arial" w:eastAsia="Calibri" w:hAnsi="Arial" w:cs="Arial"/>
          <w:color w:val="000000" w:themeColor="text1"/>
          <w:sz w:val="22"/>
          <w:lang w:val="es-ES_tradnl"/>
        </w:rPr>
        <w:t xml:space="preserve">. Particularmente, disponen que al Presidente de la República le corresponde declarar la situación de </w:t>
      </w:r>
      <w:r w:rsidRPr="001856E0">
        <w:rPr>
          <w:rFonts w:ascii="Arial" w:eastAsia="Calibri" w:hAnsi="Arial" w:cs="Arial"/>
          <w:i/>
          <w:iCs/>
          <w:color w:val="000000" w:themeColor="text1"/>
          <w:sz w:val="22"/>
          <w:lang w:val="es-ES_tradnl"/>
        </w:rPr>
        <w:t>desastre</w:t>
      </w:r>
      <w:r w:rsidRPr="001856E0">
        <w:rPr>
          <w:rFonts w:ascii="Arial" w:eastAsia="Calibri" w:hAnsi="Arial" w:cs="Arial"/>
          <w:color w:val="000000" w:themeColor="text1"/>
          <w:sz w:val="22"/>
          <w:lang w:val="es-ES_tradnl"/>
        </w:rPr>
        <w:t>, tanto en el orden nacional, departamental, como en el municipal y distrital</w:t>
      </w:r>
      <w:r w:rsidRPr="001856E0">
        <w:rPr>
          <w:rStyle w:val="Refdenotaalpie"/>
          <w:rFonts w:ascii="Arial" w:eastAsia="Calibri" w:hAnsi="Arial" w:cs="Arial"/>
          <w:color w:val="000000" w:themeColor="text1"/>
          <w:sz w:val="22"/>
          <w:lang w:val="es-ES_tradnl"/>
        </w:rPr>
        <w:footnoteReference w:id="8"/>
      </w:r>
      <w:r w:rsidRPr="001856E0">
        <w:rPr>
          <w:rFonts w:ascii="Arial" w:eastAsia="Calibri" w:hAnsi="Arial" w:cs="Arial"/>
          <w:color w:val="000000" w:themeColor="text1"/>
          <w:sz w:val="22"/>
          <w:lang w:val="es-ES_tradnl"/>
        </w:rPr>
        <w:t xml:space="preserve">, facultad que no pueden ejercer los gobernadores y </w:t>
      </w:r>
      <w:r w:rsidRPr="001856E0">
        <w:rPr>
          <w:rFonts w:ascii="Arial" w:eastAsia="Calibri" w:hAnsi="Arial" w:cs="Arial"/>
          <w:color w:val="000000" w:themeColor="text1"/>
          <w:sz w:val="22"/>
          <w:lang w:val="es-ES_tradnl"/>
        </w:rPr>
        <w:lastRenderedPageBreak/>
        <w:t>alcaldes, porque la norma no les asignó esta competencia</w:t>
      </w:r>
      <w:r>
        <w:rPr>
          <w:rFonts w:ascii="Arial" w:eastAsia="Calibri" w:hAnsi="Arial" w:cs="Arial"/>
          <w:color w:val="000000" w:themeColor="text1"/>
          <w:sz w:val="22"/>
          <w:lang w:val="es-ES_tradnl"/>
        </w:rPr>
        <w:t>.</w:t>
      </w:r>
      <w:r w:rsidRPr="001856E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N</w:t>
      </w:r>
      <w:r w:rsidRPr="001856E0">
        <w:rPr>
          <w:rFonts w:ascii="Arial" w:eastAsia="Calibri" w:hAnsi="Arial" w:cs="Arial"/>
          <w:color w:val="000000" w:themeColor="text1"/>
          <w:sz w:val="22"/>
          <w:lang w:val="es-ES_tradnl"/>
        </w:rPr>
        <w:t xml:space="preserve">o obstante, a los gobernadores y alcaldes sí les corresponde declarar la </w:t>
      </w:r>
      <w:r w:rsidRPr="001856E0">
        <w:rPr>
          <w:rFonts w:ascii="Arial" w:eastAsia="Calibri" w:hAnsi="Arial" w:cs="Arial"/>
          <w:i/>
          <w:iCs/>
          <w:color w:val="000000" w:themeColor="text1"/>
          <w:sz w:val="22"/>
          <w:lang w:val="es-ES_tradnl"/>
        </w:rPr>
        <w:t>situación de calamidad pública</w:t>
      </w:r>
      <w:r w:rsidRPr="001856E0">
        <w:rPr>
          <w:rFonts w:ascii="Arial" w:eastAsia="Calibri" w:hAnsi="Arial" w:cs="Arial"/>
          <w:color w:val="000000" w:themeColor="text1"/>
          <w:sz w:val="22"/>
          <w:lang w:val="es-ES_tradnl"/>
        </w:rPr>
        <w:t>, en los respectivos ámbitos, facultad que, en cambio, no puede ejercer el presidente de la república</w:t>
      </w:r>
      <w:r w:rsidRPr="001856E0">
        <w:rPr>
          <w:rStyle w:val="Refdenotaalpie"/>
          <w:rFonts w:ascii="Arial" w:eastAsia="Calibri" w:hAnsi="Arial" w:cs="Arial"/>
          <w:color w:val="000000" w:themeColor="text1"/>
          <w:sz w:val="22"/>
          <w:lang w:val="es-ES_tradnl"/>
        </w:rPr>
        <w:footnoteReference w:id="9"/>
      </w:r>
      <w:r w:rsidRPr="001856E0">
        <w:rPr>
          <w:rFonts w:ascii="Arial" w:eastAsia="Calibri" w:hAnsi="Arial" w:cs="Arial"/>
          <w:color w:val="000000" w:themeColor="text1"/>
          <w:sz w:val="22"/>
          <w:lang w:val="es-ES_tradnl"/>
        </w:rPr>
        <w:t xml:space="preserve">. </w:t>
      </w:r>
    </w:p>
    <w:p w14:paraId="03A86A9B"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 xml:space="preserve">De esta manera, una vez se declara la situación de calamidad o la situación de desastre bajo los criterios señalados en el artículo 59 de la Ley 1523 de 2012, por parte de la autoridad competente, las demás entidades estatales –de conformidad con el artículo 42 de la Ley 80 de 1993– quedan facultadas para declarar, a continuación, la causal de contratación directa denominada «urgencia manifiesta», mediante un acto administrativo propio, autónomo, que tiene como fundamento fáctico y jurídico la declaración de situación de calamidad o la situación de desastre. </w:t>
      </w:r>
    </w:p>
    <w:p w14:paraId="6F0E78FF"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bookmarkStart w:id="11" w:name="_Hlk35959844"/>
      <w:r w:rsidRPr="001856E0">
        <w:rPr>
          <w:rFonts w:ascii="Arial" w:eastAsia="Calibri" w:hAnsi="Arial" w:cs="Arial"/>
          <w:color w:val="000000" w:themeColor="text1"/>
          <w:sz w:val="22"/>
          <w:lang w:val="es-ES_tradnl"/>
        </w:rPr>
        <w:t xml:space="preserve">Lo anterior significa que </w:t>
      </w:r>
      <w:bookmarkStart w:id="12" w:name="_Hlk35959859"/>
      <w:r w:rsidRPr="001856E0">
        <w:rPr>
          <w:rFonts w:ascii="Arial" w:eastAsia="Calibri" w:hAnsi="Arial" w:cs="Arial"/>
          <w:color w:val="000000" w:themeColor="text1"/>
          <w:sz w:val="22"/>
          <w:lang w:val="es-ES_tradnl"/>
        </w:rPr>
        <w:t xml:space="preserve">para contratar </w:t>
      </w:r>
      <w:bookmarkEnd w:id="11"/>
      <w:r w:rsidRPr="001856E0">
        <w:rPr>
          <w:rFonts w:ascii="Arial" w:eastAsia="Calibri" w:hAnsi="Arial" w:cs="Arial"/>
          <w:color w:val="000000" w:themeColor="text1"/>
          <w:sz w:val="22"/>
          <w:lang w:val="es-ES_tradnl"/>
        </w:rPr>
        <w:t>directamente no basta con la declaración de desastre o de calamidad</w:t>
      </w:r>
      <w:r>
        <w:rPr>
          <w:rFonts w:ascii="Arial" w:eastAsia="Calibri" w:hAnsi="Arial" w:cs="Arial"/>
          <w:color w:val="000000" w:themeColor="text1"/>
          <w:sz w:val="22"/>
          <w:lang w:val="es-ES_tradnl"/>
        </w:rPr>
        <w:t>.</w:t>
      </w:r>
      <w:r w:rsidRPr="001856E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S</w:t>
      </w:r>
      <w:r w:rsidRPr="001856E0">
        <w:rPr>
          <w:rFonts w:ascii="Arial" w:eastAsia="Calibri" w:hAnsi="Arial" w:cs="Arial"/>
          <w:color w:val="000000" w:themeColor="text1"/>
          <w:sz w:val="22"/>
          <w:lang w:val="es-ES_tradnl"/>
        </w:rPr>
        <w:t>e necesitan dos (2) actos administrativos, concurrentes, para que se pueda contratar directamente por urgencia manifiesta: i) el primero en el tiempo, la declaración de la situación de calamidad pública o la declaración de la situación de desastre, de conformidad con lo establecido en el Capítulo VI de la Ley 1523 de 2012; y ii) el segundo, la declaración propiamente dicha de «urgencia manifiesta», de que trata el art. 42 del Estatuto General de Contratación, amparado o fundamentado en la declaración previa del desastre o calamidad.</w:t>
      </w:r>
    </w:p>
    <w:p w14:paraId="1944D3C9"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 xml:space="preserve"> Sin el primer acto administrativo no es posible expedir el segundo</w:t>
      </w:r>
      <w:r>
        <w:rPr>
          <w:rFonts w:ascii="Arial" w:eastAsia="Calibri" w:hAnsi="Arial" w:cs="Arial"/>
          <w:color w:val="000000" w:themeColor="text1"/>
          <w:sz w:val="22"/>
          <w:lang w:val="es-ES_tradnl"/>
        </w:rPr>
        <w:t>.</w:t>
      </w:r>
      <w:r w:rsidRPr="001856E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w:t>
      </w:r>
      <w:r w:rsidRPr="001856E0">
        <w:rPr>
          <w:rFonts w:ascii="Arial" w:eastAsia="Calibri" w:hAnsi="Arial" w:cs="Arial"/>
          <w:color w:val="000000" w:themeColor="text1"/>
          <w:sz w:val="22"/>
          <w:lang w:val="es-ES_tradnl"/>
        </w:rPr>
        <w:t xml:space="preserv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007D9752"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lastRenderedPageBreak/>
        <w:t>Por lo tanto, como una autoridad diferente al presidente de la república, o al gobernador y el alcalde –por ejemplo, los ministros, directores o presidentes de agencias, directores de establecimientos públicos, de sociedades de economía mixta, etc</w:t>
      </w:r>
      <w:proofErr w:type="gramStart"/>
      <w:r w:rsidRPr="001856E0">
        <w:rPr>
          <w:rFonts w:ascii="Arial" w:eastAsia="Calibri" w:hAnsi="Arial" w:cs="Arial"/>
          <w:color w:val="000000" w:themeColor="text1"/>
          <w:sz w:val="22"/>
          <w:lang w:val="es-ES_tradnl"/>
        </w:rPr>
        <w:t>.–</w:t>
      </w:r>
      <w:proofErr w:type="gramEnd"/>
      <w:r w:rsidRPr="001856E0">
        <w:rPr>
          <w:rFonts w:ascii="Arial" w:eastAsia="Calibri" w:hAnsi="Arial" w:cs="Arial"/>
          <w:color w:val="000000" w:themeColor="text1"/>
          <w:sz w:val="22"/>
          <w:lang w:val="es-ES_tradnl"/>
        </w:rPr>
        <w:t>, carece de competencia para declarar cualquiera de estas dos situaciones, deben esperar a que se dicten los actos respectivos para fundamentar la declaración de urgencia manifiesta en la situación de desastre o en la situación de calamidad</w:t>
      </w:r>
      <w:bookmarkEnd w:id="12"/>
      <w:r w:rsidRPr="001856E0">
        <w:rPr>
          <w:rFonts w:ascii="Arial" w:eastAsia="Calibri" w:hAnsi="Arial" w:cs="Arial"/>
          <w:color w:val="000000" w:themeColor="text1"/>
          <w:sz w:val="22"/>
          <w:lang w:val="es-ES_tradnl"/>
        </w:rPr>
        <w:t xml:space="preserve">. Por lo anterior, cuando el artículo 42 de la Ley 80 de 1993 dispone que la urgencia manifiesta se declara –entre otras tres (3) causales– para </w:t>
      </w:r>
      <w:proofErr w:type="gramStart"/>
      <w:r w:rsidRPr="001856E0">
        <w:rPr>
          <w:rFonts w:ascii="Arial" w:eastAsia="Calibri" w:hAnsi="Arial" w:cs="Arial"/>
          <w:color w:val="000000" w:themeColor="text1"/>
          <w:sz w:val="22"/>
          <w:lang w:val="es-ES_tradnl"/>
        </w:rPr>
        <w:t>«[</w:t>
      </w:r>
      <w:proofErr w:type="gramEnd"/>
      <w:r w:rsidRPr="001856E0">
        <w:rPr>
          <w:rFonts w:ascii="Arial" w:eastAsia="Calibri" w:hAnsi="Arial" w:cs="Arial"/>
          <w:color w:val="000000" w:themeColor="text1"/>
          <w:sz w:val="22"/>
          <w:lang w:val="es-ES_tradnl"/>
        </w:rPr>
        <w:t xml:space="preserve">…] </w:t>
      </w:r>
      <w:bookmarkStart w:id="13" w:name="_Hlk35879915"/>
      <w:r w:rsidRPr="001856E0">
        <w:rPr>
          <w:rFonts w:ascii="Arial" w:eastAsia="Calibri" w:hAnsi="Arial" w:cs="Arial"/>
          <w:color w:val="000000" w:themeColor="text1"/>
          <w:sz w:val="22"/>
          <w:lang w:val="es-ES_tradnl"/>
        </w:rPr>
        <w:t>conjurar situaciones excepcionales relacionadas con hechos de calamidad o constitutivos de fuerza mayor o desastre que demanden actuaciones inmediatas</w:t>
      </w:r>
      <w:bookmarkEnd w:id="13"/>
      <w:r w:rsidRPr="001856E0">
        <w:rPr>
          <w:rFonts w:ascii="Arial" w:eastAsia="Calibri" w:hAnsi="Arial" w:cs="Arial"/>
          <w:color w:val="000000" w:themeColor="text1"/>
          <w:sz w:val="22"/>
          <w:lang w:val="es-ES_tradnl"/>
        </w:rPr>
        <w:t xml:space="preserve"> […]», las circunstancias de calamidad y desastre deben entenderse en los términos de la Ley 1523 de 2012, en la medida que forman una unidad jurídica completa.</w:t>
      </w:r>
    </w:p>
    <w:p w14:paraId="6D22DB56" w14:textId="77777777" w:rsidR="00441AD4" w:rsidRPr="005146A0" w:rsidRDefault="00441AD4" w:rsidP="00441AD4">
      <w:pPr>
        <w:spacing w:before="120" w:line="276" w:lineRule="auto"/>
        <w:jc w:val="both"/>
        <w:rPr>
          <w:rFonts w:ascii="Arial" w:eastAsia="Calibri" w:hAnsi="Arial" w:cs="Arial"/>
          <w:color w:val="000000" w:themeColor="text1"/>
          <w:sz w:val="22"/>
          <w:lang w:val="es-ES_tradnl"/>
        </w:rPr>
      </w:pPr>
      <w:r>
        <w:rPr>
          <w:rFonts w:ascii="Arial" w:eastAsia="Calibri" w:hAnsi="Arial" w:cs="Arial"/>
          <w:b/>
          <w:bCs/>
          <w:color w:val="000000" w:themeColor="text1"/>
          <w:sz w:val="22"/>
          <w:lang w:val="es-ES_tradnl"/>
        </w:rPr>
        <w:tab/>
      </w:r>
      <w:r w:rsidRPr="005146A0">
        <w:rPr>
          <w:rFonts w:ascii="Arial" w:eastAsia="Calibri" w:hAnsi="Arial" w:cs="Arial"/>
          <w:color w:val="000000" w:themeColor="text1"/>
          <w:sz w:val="22"/>
          <w:lang w:val="es-ES_tradnl"/>
        </w:rPr>
        <w:t xml:space="preserve">ii) 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 </w:t>
      </w:r>
    </w:p>
    <w:p w14:paraId="6D455512"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 xml:space="preserve">La interpretación de la norma supone tener en cuenta que, de conformidad con el artículo 47, se constituyó el </w:t>
      </w:r>
      <w:bookmarkStart w:id="14" w:name="_Hlk36225979"/>
      <w:r w:rsidRPr="001856E0">
        <w:rPr>
          <w:rFonts w:ascii="Arial" w:eastAsia="Calibri" w:hAnsi="Arial" w:cs="Arial"/>
          <w:color w:val="000000" w:themeColor="text1"/>
          <w:sz w:val="22"/>
          <w:lang w:val="es-ES_tradnl"/>
        </w:rPr>
        <w:t>Fondo Nacional de Gestión de Riesgo de Desastres</w:t>
      </w:r>
      <w:bookmarkEnd w:id="14"/>
      <w:r w:rsidRPr="001856E0">
        <w:rPr>
          <w:rFonts w:ascii="Arial" w:eastAsia="Calibri" w:hAnsi="Arial" w:cs="Arial"/>
          <w:color w:val="000000" w:themeColor="text1"/>
          <w:sz w:val="22"/>
          <w:lang w:val="es-ES_tradnl"/>
        </w:rPr>
        <w:t xml:space="preserve"> como un patrimonio autónomo –artículo 49–, administrado y representado en los términos del artículo 3° del Decreto 1547 de 1984 –modificado por el artículo 70 de Decreto-ley 919 de 1989</w:t>
      </w:r>
      <w:r w:rsidRPr="001856E0">
        <w:rPr>
          <w:rStyle w:val="Refdenotaalpie"/>
          <w:rFonts w:ascii="Arial" w:eastAsia="Calibri" w:hAnsi="Arial" w:cs="Arial"/>
          <w:color w:val="000000" w:themeColor="text1"/>
          <w:sz w:val="22"/>
          <w:lang w:val="es-ES_tradnl"/>
        </w:rPr>
        <w:footnoteReference w:id="10"/>
      </w:r>
      <w:r w:rsidRPr="001856E0">
        <w:rPr>
          <w:rFonts w:ascii="Arial" w:eastAsia="Calibri" w:hAnsi="Arial" w:cs="Arial"/>
          <w:color w:val="000000" w:themeColor="text1"/>
          <w:sz w:val="22"/>
          <w:lang w:val="es-ES_tradnl"/>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facultades especiales para atender situaciones de desastres y evitar la extensión de los efectos –parágrafo 3 del artículo 50–. </w:t>
      </w:r>
    </w:p>
    <w:p w14:paraId="17DD8F66" w14:textId="77777777" w:rsidR="00441AD4"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 xml:space="preserve">La disposición citada también establece que las entidades territoriales deben constituir sus propios </w:t>
      </w:r>
      <w:r w:rsidRPr="001856E0">
        <w:rPr>
          <w:rFonts w:ascii="Arial" w:eastAsia="Calibri" w:hAnsi="Arial" w:cs="Arial"/>
          <w:i/>
          <w:iCs/>
          <w:color w:val="000000" w:themeColor="text1"/>
          <w:sz w:val="22"/>
          <w:lang w:val="es-ES_tradnl"/>
        </w:rPr>
        <w:t>fondos de gestión del riesgo</w:t>
      </w:r>
      <w:r w:rsidRPr="001856E0">
        <w:rPr>
          <w:rFonts w:ascii="Arial" w:eastAsia="Calibri" w:hAnsi="Arial" w:cs="Arial"/>
          <w:color w:val="000000" w:themeColor="text1"/>
          <w:sz w:val="22"/>
          <w:lang w:val="es-ES_tradnl"/>
        </w:rPr>
        <w:t>, bajo el mismo esquema del Fondo Nacional, con el propósito de invertir, destinar y ejecutar sus recursos en la adopción de medidas de conocimiento y reducción del riesgo, preparación, respuesta, rehabilitación y reconstrucción en situaciones de desastre o calamidad pública –artículo 54</w:t>
      </w:r>
      <w:r w:rsidRPr="001856E0">
        <w:rPr>
          <w:rStyle w:val="Refdenotaalpie"/>
          <w:rFonts w:ascii="Arial" w:eastAsia="Calibri" w:hAnsi="Arial" w:cs="Arial"/>
          <w:color w:val="000000" w:themeColor="text1"/>
          <w:sz w:val="22"/>
          <w:lang w:val="es-ES_tradnl"/>
        </w:rPr>
        <w:footnoteReference w:id="11"/>
      </w:r>
      <w:r w:rsidRPr="001856E0">
        <w:rPr>
          <w:rFonts w:ascii="Arial" w:eastAsia="Calibri" w:hAnsi="Arial" w:cs="Arial"/>
          <w:color w:val="000000" w:themeColor="text1"/>
          <w:sz w:val="22"/>
          <w:lang w:val="es-ES_tradnl"/>
        </w:rPr>
        <w:t>–. En este contexto, el artículo 66 de la Ley 1523 de 2012 dispone lo siguiente:</w:t>
      </w:r>
    </w:p>
    <w:p w14:paraId="29D2F946" w14:textId="77777777" w:rsidR="00441AD4" w:rsidRPr="001856E0" w:rsidRDefault="00441AD4" w:rsidP="00441AD4">
      <w:pPr>
        <w:spacing w:line="276" w:lineRule="auto"/>
        <w:ind w:firstLine="708"/>
        <w:jc w:val="both"/>
        <w:rPr>
          <w:rFonts w:ascii="Arial" w:eastAsia="Calibri" w:hAnsi="Arial" w:cs="Arial"/>
          <w:color w:val="000000" w:themeColor="text1"/>
          <w:sz w:val="22"/>
          <w:lang w:val="es-ES_tradnl"/>
        </w:rPr>
      </w:pPr>
    </w:p>
    <w:p w14:paraId="1DB1B545" w14:textId="77777777" w:rsidR="00441AD4" w:rsidRPr="001856E0" w:rsidRDefault="00441AD4" w:rsidP="00441AD4">
      <w:pPr>
        <w:ind w:left="709" w:right="709"/>
        <w:jc w:val="both"/>
        <w:rPr>
          <w:rFonts w:ascii="Arial" w:eastAsia="Calibri" w:hAnsi="Arial" w:cs="Arial"/>
          <w:color w:val="000000" w:themeColor="text1"/>
          <w:sz w:val="21"/>
          <w:szCs w:val="21"/>
          <w:lang w:val="es-ES_tradnl"/>
        </w:rPr>
      </w:pPr>
      <w:r w:rsidRPr="001856E0">
        <w:rPr>
          <w:rFonts w:ascii="Arial" w:eastAsia="Calibri" w:hAnsi="Arial" w:cs="Arial"/>
          <w:color w:val="000000" w:themeColor="text1"/>
          <w:sz w:val="21"/>
          <w:szCs w:val="21"/>
          <w:lang w:val="es-ES_tradnl"/>
        </w:rPr>
        <w:t xml:space="preserve">Art. 66. Salvo lo dispuesto para los contratos de empréstito interno y externo, los contratos que celebre la sociedad fiduciaria para la ejecución de los bienes, derechos e intereses del </w:t>
      </w:r>
      <w:bookmarkStart w:id="16" w:name="_Hlk36227796"/>
      <w:r w:rsidRPr="001856E0">
        <w:rPr>
          <w:rFonts w:ascii="Arial" w:eastAsia="Calibri" w:hAnsi="Arial" w:cs="Arial"/>
          <w:color w:val="000000" w:themeColor="text1"/>
          <w:sz w:val="21"/>
          <w:szCs w:val="21"/>
          <w:lang w:val="es-ES_tradnl"/>
        </w:rPr>
        <w:t>Fondo Nacional de Gestión del Riesgo</w:t>
      </w:r>
      <w:bookmarkEnd w:id="16"/>
      <w:r w:rsidRPr="001856E0">
        <w:rPr>
          <w:rFonts w:ascii="Arial" w:eastAsia="Calibri" w:hAnsi="Arial" w:cs="Arial"/>
          <w:color w:val="000000" w:themeColor="text1"/>
          <w:sz w:val="21"/>
          <w:szCs w:val="21"/>
          <w:lang w:val="es-ES_tradnl"/>
        </w:rPr>
        <w:t xml:space="preserve"> o los celebrados </w:t>
      </w:r>
      <w:bookmarkStart w:id="17" w:name="_Hlk36227833"/>
      <w:r w:rsidRPr="001856E0">
        <w:rPr>
          <w:rFonts w:ascii="Arial" w:eastAsia="Calibri" w:hAnsi="Arial" w:cs="Arial"/>
          <w:color w:val="000000" w:themeColor="text1"/>
          <w:sz w:val="21"/>
          <w:szCs w:val="21"/>
          <w:lang w:val="es-ES_tradnl"/>
        </w:rPr>
        <w:t>por las entidades ejecutoras que reciban recursos provenientes de este fondo</w:t>
      </w:r>
      <w:bookmarkEnd w:id="17"/>
      <w:r w:rsidRPr="001856E0">
        <w:rPr>
          <w:rFonts w:ascii="Arial" w:eastAsia="Calibri" w:hAnsi="Arial" w:cs="Arial"/>
          <w:color w:val="000000" w:themeColor="text1"/>
          <w:sz w:val="21"/>
          <w:szCs w:val="21"/>
          <w:lang w:val="es-ES_tradnl"/>
        </w:rPr>
        <w:t xml:space="preserve"> o </w:t>
      </w:r>
      <w:bookmarkStart w:id="18" w:name="_Hlk36228014"/>
      <w:r w:rsidRPr="001856E0">
        <w:rPr>
          <w:rFonts w:ascii="Arial" w:eastAsia="Calibri" w:hAnsi="Arial" w:cs="Arial"/>
          <w:color w:val="000000" w:themeColor="text1"/>
          <w:sz w:val="21"/>
          <w:szCs w:val="21"/>
          <w:lang w:val="es-ES_tradnl"/>
        </w:rPr>
        <w:t>los celebrados por las entidades territoriales y sus fondos de gestión del riesgo</w:t>
      </w:r>
      <w:bookmarkEnd w:id="18"/>
      <w:r w:rsidRPr="001856E0">
        <w:rPr>
          <w:rFonts w:ascii="Arial" w:eastAsia="Calibri" w:hAnsi="Arial" w:cs="Arial"/>
          <w:color w:val="000000" w:themeColor="text1"/>
          <w:sz w:val="21"/>
          <w:szCs w:val="21"/>
          <w:lang w:val="es-ES_tradnl"/>
        </w:rPr>
        <w:t xml:space="preserve">, </w:t>
      </w:r>
      <w:bookmarkStart w:id="19" w:name="_Hlk36228190"/>
      <w:r w:rsidRPr="001856E0">
        <w:rPr>
          <w:rFonts w:ascii="Arial" w:eastAsia="Calibri" w:hAnsi="Arial" w:cs="Arial"/>
          <w:color w:val="000000" w:themeColor="text1"/>
          <w:sz w:val="21"/>
          <w:szCs w:val="21"/>
          <w:lang w:val="es-ES_tradnl"/>
        </w:rPr>
        <w:t xml:space="preserve">relacionados </w:t>
      </w:r>
      <w:bookmarkStart w:id="20" w:name="_Hlk36229456"/>
      <w:r w:rsidRPr="001856E0">
        <w:rPr>
          <w:rFonts w:ascii="Arial" w:eastAsia="Calibri" w:hAnsi="Arial" w:cs="Arial"/>
          <w:color w:val="000000" w:themeColor="text1"/>
          <w:sz w:val="21"/>
          <w:szCs w:val="21"/>
          <w:lang w:val="es-ES_tradnl"/>
        </w:rPr>
        <w:t>directamente con las actividades de respuesta, de rehabilitación y reconstrucción</w:t>
      </w:r>
      <w:bookmarkEnd w:id="20"/>
      <w:r w:rsidRPr="001856E0">
        <w:rPr>
          <w:rFonts w:ascii="Arial" w:eastAsia="Calibri" w:hAnsi="Arial" w:cs="Arial"/>
          <w:color w:val="000000" w:themeColor="text1"/>
          <w:sz w:val="21"/>
          <w:szCs w:val="21"/>
          <w:lang w:val="es-ES_tradnl"/>
        </w:rPr>
        <w:t xml:space="preserve"> de las zonas declaradas en situación de desastre o calamidad pública</w:t>
      </w:r>
      <w:bookmarkEnd w:id="19"/>
      <w:r w:rsidRPr="001856E0">
        <w:rPr>
          <w:rFonts w:ascii="Arial" w:eastAsia="Calibri" w:hAnsi="Arial" w:cs="Arial"/>
          <w:color w:val="000000" w:themeColor="text1"/>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4583CC71" w14:textId="77777777" w:rsidR="00441AD4" w:rsidRPr="001856E0" w:rsidRDefault="00441AD4" w:rsidP="00441AD4">
      <w:pPr>
        <w:spacing w:before="120"/>
        <w:ind w:left="709" w:right="709"/>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6C46E39D" w14:textId="77777777" w:rsidR="00441AD4" w:rsidRPr="001856E0" w:rsidRDefault="00441AD4" w:rsidP="00441AD4">
      <w:pPr>
        <w:spacing w:line="276" w:lineRule="auto"/>
        <w:jc w:val="both"/>
        <w:rPr>
          <w:rFonts w:ascii="Arial" w:eastAsia="Calibri" w:hAnsi="Arial" w:cs="Arial"/>
          <w:color w:val="000000" w:themeColor="text1"/>
          <w:sz w:val="22"/>
          <w:lang w:val="es-ES_tradnl"/>
        </w:rPr>
      </w:pPr>
    </w:p>
    <w:p w14:paraId="7696F2B2" w14:textId="77777777" w:rsidR="00441AD4" w:rsidRPr="001856E0" w:rsidRDefault="00441AD4" w:rsidP="00441AD4">
      <w:pPr>
        <w:spacing w:line="276" w:lineRule="auto"/>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ab/>
      </w:r>
      <w:bookmarkStart w:id="21" w:name="_Hlk37246222"/>
      <w:r w:rsidRPr="001856E0">
        <w:rPr>
          <w:rFonts w:ascii="Arial" w:eastAsia="Calibri" w:hAnsi="Arial" w:cs="Arial"/>
          <w:color w:val="000000" w:themeColor="text1"/>
          <w:sz w:val="22"/>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ii) por las entidades ejecutoras que reciban recursos provenientes de este fondo y iii) los celebrados por las entidades territoriales y sus fondos de gestión del riesgo. </w:t>
      </w:r>
    </w:p>
    <w:p w14:paraId="17E98FD3" w14:textId="77777777" w:rsidR="00441AD4" w:rsidRPr="001856E0" w:rsidRDefault="00441AD4" w:rsidP="00441AD4">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Cuando se declare la situación de desastre o la situación de calamidad pública, las instituciones mencionadas antes son las únicas excluidas de la Ley 80</w:t>
      </w:r>
      <w:r>
        <w:rPr>
          <w:rFonts w:ascii="Arial" w:eastAsia="Calibri" w:hAnsi="Arial" w:cs="Arial"/>
          <w:color w:val="000000" w:themeColor="text1"/>
          <w:sz w:val="22"/>
          <w:lang w:val="es-ES_tradnl"/>
        </w:rPr>
        <w:t>.</w:t>
      </w:r>
      <w:r w:rsidRPr="001856E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w:t>
      </w:r>
      <w:r w:rsidRPr="001856E0">
        <w:rPr>
          <w:rFonts w:ascii="Arial" w:eastAsia="Calibri" w:hAnsi="Arial" w:cs="Arial"/>
          <w:color w:val="000000" w:themeColor="text1"/>
          <w:sz w:val="22"/>
          <w:lang w:val="es-ES_tradnl"/>
        </w:rPr>
        <w:t xml:space="preserve">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r>
        <w:rPr>
          <w:rFonts w:ascii="Arial" w:eastAsia="Calibri" w:hAnsi="Arial" w:cs="Arial"/>
          <w:color w:val="000000" w:themeColor="text1"/>
          <w:sz w:val="22"/>
          <w:lang w:val="es-ES_tradnl"/>
        </w:rPr>
        <w:t>Incluso</w:t>
      </w:r>
      <w:r w:rsidRPr="001856E0">
        <w:rPr>
          <w:rFonts w:ascii="Arial" w:eastAsia="Calibri" w:hAnsi="Arial" w:cs="Arial"/>
          <w:color w:val="000000" w:themeColor="text1"/>
          <w:sz w:val="22"/>
          <w:lang w:val="es-ES_tradnl"/>
        </w:rPr>
        <w:t xml:space="preserve">, según el parágrafo del mismo artículo, sólo los contratos celebrados por las entidades territoriales se someten al control </w:t>
      </w:r>
      <w:r w:rsidRPr="001856E0">
        <w:rPr>
          <w:rFonts w:ascii="Arial" w:eastAsia="Calibri" w:hAnsi="Arial" w:cs="Arial"/>
          <w:color w:val="000000" w:themeColor="text1"/>
          <w:sz w:val="22"/>
          <w:lang w:val="es-ES_tradnl"/>
        </w:rPr>
        <w:lastRenderedPageBreak/>
        <w:t xml:space="preserve">fiscal, con independencia de que sean producto de la contratación directa; razón por la cual también recae sobre aquellos que son resultado de procesos de selección competitivos. </w:t>
      </w:r>
    </w:p>
    <w:p w14:paraId="581618BA" w14:textId="77777777" w:rsidR="00FB0A6F" w:rsidRDefault="00441AD4" w:rsidP="0045310B">
      <w:pPr>
        <w:spacing w:before="120" w:line="276" w:lineRule="auto"/>
        <w:ind w:firstLine="708"/>
        <w:jc w:val="both"/>
        <w:rPr>
          <w:rFonts w:ascii="Arial" w:eastAsia="Calibri" w:hAnsi="Arial" w:cs="Arial"/>
          <w:color w:val="000000" w:themeColor="text1"/>
          <w:sz w:val="22"/>
          <w:lang w:val="es-ES_tradnl"/>
        </w:rPr>
      </w:pPr>
      <w:r w:rsidRPr="001856E0">
        <w:rPr>
          <w:rFonts w:ascii="Arial" w:eastAsia="Calibri" w:hAnsi="Arial" w:cs="Arial"/>
          <w:color w:val="000000" w:themeColor="text1"/>
          <w:sz w:val="22"/>
          <w:lang w:val="es-ES_tradnl"/>
        </w:rPr>
        <w:t>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22" w:name="_Hlk36232417"/>
      <w:r w:rsidRPr="001856E0">
        <w:rPr>
          <w:rFonts w:ascii="Arial" w:eastAsia="Calibri" w:hAnsi="Arial" w:cs="Arial"/>
          <w:color w:val="000000" w:themeColor="text1"/>
          <w:sz w:val="22"/>
          <w:lang w:val="es-ES_tradnl"/>
        </w:rPr>
        <w:t>.</w:t>
      </w:r>
      <w:bookmarkEnd w:id="21"/>
      <w:bookmarkEnd w:id="22"/>
      <w:r>
        <w:rPr>
          <w:rFonts w:ascii="Arial" w:eastAsia="Calibri" w:hAnsi="Arial" w:cs="Arial"/>
          <w:color w:val="000000" w:themeColor="text1"/>
          <w:sz w:val="22"/>
          <w:lang w:val="es-ES_tradnl"/>
        </w:rPr>
        <w:t xml:space="preserve">   </w:t>
      </w:r>
    </w:p>
    <w:p w14:paraId="780E813C" w14:textId="77777777" w:rsidR="002968AB" w:rsidRDefault="002968AB" w:rsidP="002968AB">
      <w:pPr>
        <w:jc w:val="both"/>
        <w:rPr>
          <w:rFonts w:ascii="Arial" w:hAnsi="Arial" w:cs="Arial"/>
          <w:b/>
          <w:color w:val="000000" w:themeColor="text1"/>
          <w:sz w:val="22"/>
        </w:rPr>
      </w:pPr>
    </w:p>
    <w:p w14:paraId="63F59847" w14:textId="60640486" w:rsidR="002968AB" w:rsidRDefault="002968AB" w:rsidP="002968AB">
      <w:pPr>
        <w:jc w:val="both"/>
        <w:rPr>
          <w:rFonts w:ascii="Arial" w:hAnsi="Arial" w:cs="Arial"/>
          <w:b/>
          <w:bCs/>
          <w:sz w:val="22"/>
          <w:szCs w:val="22"/>
          <w:lang w:eastAsia="es-CO"/>
        </w:rPr>
      </w:pPr>
      <w:r>
        <w:rPr>
          <w:rFonts w:ascii="Arial" w:hAnsi="Arial" w:cs="Arial"/>
          <w:b/>
          <w:color w:val="000000" w:themeColor="text1"/>
          <w:sz w:val="22"/>
        </w:rPr>
        <w:t>2.3</w:t>
      </w:r>
      <w:proofErr w:type="gramStart"/>
      <w:r>
        <w:rPr>
          <w:rFonts w:ascii="Arial" w:hAnsi="Arial" w:cs="Arial"/>
          <w:b/>
          <w:color w:val="000000" w:themeColor="text1"/>
          <w:sz w:val="22"/>
        </w:rPr>
        <w:t xml:space="preserve">.  </w:t>
      </w:r>
      <w:bookmarkStart w:id="23" w:name="_Hlk72925066"/>
      <w:r>
        <w:rPr>
          <w:rFonts w:ascii="Arial" w:hAnsi="Arial" w:cs="Arial"/>
          <w:b/>
          <w:color w:val="000000" w:themeColor="text1"/>
          <w:sz w:val="22"/>
        </w:rPr>
        <w:t>A</w:t>
      </w:r>
      <w:r w:rsidRPr="007B71BB">
        <w:rPr>
          <w:rFonts w:ascii="Arial" w:hAnsi="Arial" w:cs="Arial"/>
          <w:b/>
          <w:color w:val="000000" w:themeColor="text1"/>
          <w:sz w:val="22"/>
        </w:rPr>
        <w:t>lcance</w:t>
      </w:r>
      <w:proofErr w:type="gramEnd"/>
      <w:r w:rsidRPr="007B71BB">
        <w:rPr>
          <w:rFonts w:ascii="Arial" w:hAnsi="Arial" w:cs="Arial"/>
          <w:b/>
          <w:color w:val="000000" w:themeColor="text1"/>
          <w:sz w:val="22"/>
        </w:rPr>
        <w:t xml:space="preserve"> de la actividad consagrada en el numeral 4 de la «Matriz 1 – Experiencia» de los documentos tipo de infraestructura de transporte</w:t>
      </w:r>
      <w:r w:rsidRPr="007B71BB" w:rsidDel="007B71BB">
        <w:rPr>
          <w:rFonts w:ascii="Arial" w:hAnsi="Arial" w:cs="Arial"/>
          <w:b/>
          <w:color w:val="000000" w:themeColor="text1"/>
          <w:sz w:val="22"/>
        </w:rPr>
        <w:t xml:space="preserve"> </w:t>
      </w:r>
      <w:bookmarkEnd w:id="23"/>
    </w:p>
    <w:p w14:paraId="5FDFBF25" w14:textId="77777777" w:rsidR="002968AB" w:rsidRPr="00704B3D" w:rsidRDefault="002968AB" w:rsidP="002968AB">
      <w:pPr>
        <w:jc w:val="both"/>
        <w:rPr>
          <w:rFonts w:ascii="Arial" w:hAnsi="Arial" w:cs="Arial"/>
          <w:b/>
          <w:bCs/>
          <w:sz w:val="22"/>
          <w:szCs w:val="22"/>
          <w:lang w:eastAsia="es-CO"/>
        </w:rPr>
      </w:pPr>
    </w:p>
    <w:p w14:paraId="25B4E91A" w14:textId="77777777" w:rsidR="002968AB" w:rsidRPr="00617A5B" w:rsidRDefault="002968AB" w:rsidP="002968AB">
      <w:pPr>
        <w:spacing w:line="276" w:lineRule="auto"/>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En relación con los documentos tipo de obra pública de infraestructura de transporte, de acuerdo con las condiciones fijadas en los «Documentos Base»,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14:paraId="285F4B2F" w14:textId="77777777"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 Para fijar las condiciones que deben cumplir los contratos aportados, en términos de actividades ejecutadas, las entidades deben utilizar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6AD42183" w14:textId="77777777"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En relación con el primer aspecto, por ser el objeto de su consulta, la Matriz 1 está constituida por ocho (8) tipos de obras de infraestructura de transporte, identificadas con un número y su descripción, los cuales son: </w:t>
      </w:r>
      <w:bookmarkStart w:id="24" w:name="_Hlk66742751"/>
      <w:r w:rsidRPr="00617A5B">
        <w:rPr>
          <w:rFonts w:ascii="Arial" w:eastAsia="Calibri" w:hAnsi="Arial" w:cs="Arial"/>
          <w:color w:val="000000" w:themeColor="text1"/>
          <w:sz w:val="22"/>
          <w:lang w:val="es-ES_tradnl"/>
        </w:rPr>
        <w:t>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w:t>
      </w:r>
      <w:bookmarkEnd w:id="24"/>
      <w:r w:rsidRPr="00617A5B">
        <w:rPr>
          <w:rFonts w:ascii="Arial" w:eastAsia="Calibri" w:hAnsi="Arial" w:cs="Arial"/>
          <w:color w:val="000000" w:themeColor="text1"/>
          <w:sz w:val="22"/>
          <w:lang w:val="es-ES_tradnl"/>
        </w:rPr>
        <w:t>. Estos determinan el marco para la aplicación de los documentos tipo, dado que comprenden todas aquellas actividades que constituyen obra pública de infraestructura de transporte y que han sido objeto de estandarización.</w:t>
      </w:r>
    </w:p>
    <w:p w14:paraId="67169DD1" w14:textId="77777777"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Con respecto a la actividad a contratar, la Matriz 1 establece cuáles corresponden a cada uno de los tipos de infraestructura mencionados, con el fin de que la entidad identifique aquellas en las cuales puede encuadrarse de mejor forma el objeto que pretende ejecutar y determinar los requisitos de experiencia exigibles. </w:t>
      </w:r>
    </w:p>
    <w:p w14:paraId="69B1453F" w14:textId="77777777"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lastRenderedPageBreak/>
        <w:t>Ahora, con relación al tipo de infraestructura «4. OBRAS EN VIAS PRIMARIAS O SECUNDARIAS O TERCIARIAS O URBANAS PARA ATENCIÓN, PREVENCIÓN O MITIGACIÓN DE EMERGENCIAS DIFERENTES A CONTRATACIÓN DIRECTA»</w:t>
      </w:r>
      <w:r>
        <w:rPr>
          <w:rFonts w:ascii="Arial" w:eastAsia="Calibri" w:hAnsi="Arial" w:cs="Arial"/>
          <w:color w:val="000000" w:themeColor="text1"/>
          <w:sz w:val="22"/>
          <w:lang w:val="es-ES_tradnl"/>
        </w:rPr>
        <w:t xml:space="preserve">, </w:t>
      </w:r>
      <w:r w:rsidRPr="00617A5B">
        <w:rPr>
          <w:rFonts w:ascii="Arial" w:eastAsia="Calibri" w:hAnsi="Arial" w:cs="Arial"/>
          <w:color w:val="000000" w:themeColor="text1"/>
          <w:sz w:val="22"/>
          <w:lang w:val="es-ES_tradnl"/>
        </w:rPr>
        <w:t>las versiones 1 y 2 de los Documentos tipo para infraestructura de transporte inicialmente estableci</w:t>
      </w:r>
      <w:r>
        <w:rPr>
          <w:rFonts w:ascii="Arial" w:eastAsia="Calibri" w:hAnsi="Arial" w:cs="Arial"/>
          <w:color w:val="000000" w:themeColor="text1"/>
          <w:sz w:val="22"/>
          <w:lang w:val="es-ES_tradnl"/>
        </w:rPr>
        <w:t>eron</w:t>
      </w:r>
      <w:r w:rsidRPr="00617A5B">
        <w:rPr>
          <w:rFonts w:ascii="Arial" w:eastAsia="Calibri" w:hAnsi="Arial" w:cs="Arial"/>
          <w:color w:val="000000" w:themeColor="text1"/>
          <w:sz w:val="22"/>
          <w:lang w:val="es-ES_tradnl"/>
        </w:rPr>
        <w:t xml:space="preserve"> la aplicación de los parámetros estandarizados en estos documentos a proyectos de atención de emergencia a ejecutar en obras en vías primarias, secundarias o terciarias. Es decir, se previó la aplicación de estos documentos tipo solo para aquellas obras </w:t>
      </w:r>
      <w:r w:rsidRPr="005146A0">
        <w:rPr>
          <w:rFonts w:ascii="Arial" w:eastAsia="Calibri" w:hAnsi="Arial" w:cs="Arial"/>
          <w:i/>
          <w:iCs/>
          <w:color w:val="000000" w:themeColor="text1"/>
          <w:sz w:val="22"/>
          <w:lang w:val="es-ES_tradnl"/>
        </w:rPr>
        <w:t>ex post</w:t>
      </w:r>
      <w:r w:rsidRPr="00617A5B">
        <w:rPr>
          <w:rFonts w:ascii="Arial" w:eastAsia="Calibri" w:hAnsi="Arial" w:cs="Arial"/>
          <w:color w:val="000000" w:themeColor="text1"/>
          <w:sz w:val="22"/>
          <w:lang w:val="es-ES_tradnl"/>
        </w:rPr>
        <w:t xml:space="preserve"> a la ocurrencia de una emergencia</w:t>
      </w:r>
      <w:r>
        <w:rPr>
          <w:rFonts w:ascii="Arial" w:eastAsia="Calibri" w:hAnsi="Arial" w:cs="Arial"/>
          <w:color w:val="000000" w:themeColor="text1"/>
          <w:sz w:val="22"/>
          <w:lang w:val="es-ES_tradnl"/>
        </w:rPr>
        <w:t>,</w:t>
      </w:r>
      <w:r w:rsidRPr="00617A5B">
        <w:rPr>
          <w:rFonts w:ascii="Arial" w:eastAsia="Calibri" w:hAnsi="Arial" w:cs="Arial"/>
          <w:color w:val="000000" w:themeColor="text1"/>
          <w:sz w:val="22"/>
          <w:lang w:val="es-ES_tradnl"/>
        </w:rPr>
        <w:t xml:space="preserve"> que fueran distintas a la declaratoria de una urgencia manifiesta y su contratación directa. </w:t>
      </w:r>
    </w:p>
    <w:p w14:paraId="50BA786C" w14:textId="77777777" w:rsidR="002968AB" w:rsidRDefault="002968AB" w:rsidP="002968AB">
      <w:pPr>
        <w:spacing w:before="120" w:line="276" w:lineRule="auto"/>
        <w:ind w:firstLine="708"/>
        <w:jc w:val="both"/>
        <w:rPr>
          <w:rFonts w:ascii="Arial" w:hAnsi="Arial" w:cs="Arial"/>
          <w:sz w:val="22"/>
        </w:rPr>
      </w:pPr>
      <w:r w:rsidRPr="00617A5B">
        <w:rPr>
          <w:rFonts w:ascii="Arial" w:eastAsia="Calibri" w:hAnsi="Arial" w:cs="Arial"/>
          <w:color w:val="000000" w:themeColor="text1"/>
          <w:sz w:val="22"/>
          <w:lang w:val="es-ES_tradnl"/>
        </w:rPr>
        <w:t xml:space="preserve">La nueva redacción </w:t>
      </w:r>
      <w:r>
        <w:rPr>
          <w:rFonts w:ascii="Arial" w:eastAsia="Calibri" w:hAnsi="Arial" w:cs="Arial"/>
          <w:color w:val="000000" w:themeColor="text1"/>
          <w:sz w:val="22"/>
          <w:lang w:val="es-ES_tradnl"/>
        </w:rPr>
        <w:t>de</w:t>
      </w:r>
      <w:r w:rsidRPr="00617A5B">
        <w:rPr>
          <w:rFonts w:ascii="Arial" w:eastAsia="Calibri" w:hAnsi="Arial" w:cs="Arial"/>
          <w:color w:val="000000" w:themeColor="text1"/>
          <w:sz w:val="22"/>
          <w:lang w:val="es-ES_tradnl"/>
        </w:rPr>
        <w:t xml:space="preserve"> la versión 3 de estos documentos tipo amplió el alcance de esta actividad pues, de un lado, además de las vías señaladas en </w:t>
      </w:r>
      <w:r>
        <w:rPr>
          <w:rFonts w:ascii="Arial" w:eastAsia="Calibri" w:hAnsi="Arial" w:cs="Arial"/>
          <w:color w:val="000000" w:themeColor="text1"/>
          <w:sz w:val="22"/>
          <w:lang w:val="es-ES_tradnl"/>
        </w:rPr>
        <w:t>los documentos tipo</w:t>
      </w:r>
      <w:r w:rsidRPr="00617A5B">
        <w:rPr>
          <w:rFonts w:ascii="Arial" w:eastAsia="Calibri" w:hAnsi="Arial" w:cs="Arial"/>
          <w:color w:val="000000" w:themeColor="text1"/>
          <w:sz w:val="22"/>
          <w:lang w:val="es-ES_tradnl"/>
        </w:rPr>
        <w:t xml:space="preserve"> anteriores</w:t>
      </w:r>
      <w:r>
        <w:rPr>
          <w:rFonts w:ascii="Arial" w:eastAsia="Calibri" w:hAnsi="Arial" w:cs="Arial"/>
          <w:color w:val="000000" w:themeColor="text1"/>
          <w:sz w:val="22"/>
          <w:lang w:val="es-ES_tradnl"/>
        </w:rPr>
        <w:t>,</w:t>
      </w:r>
      <w:r w:rsidRPr="00617A5B">
        <w:rPr>
          <w:rFonts w:ascii="Arial" w:eastAsia="Calibri" w:hAnsi="Arial" w:cs="Arial"/>
          <w:color w:val="000000" w:themeColor="text1"/>
          <w:sz w:val="22"/>
          <w:lang w:val="es-ES_tradnl"/>
        </w:rPr>
        <w:t xml:space="preserve"> incluyó las de naturaleza urbana y</w:t>
      </w:r>
      <w:r>
        <w:rPr>
          <w:rFonts w:ascii="Arial" w:eastAsia="Calibri" w:hAnsi="Arial" w:cs="Arial"/>
          <w:color w:val="000000" w:themeColor="text1"/>
          <w:sz w:val="22"/>
          <w:lang w:val="es-ES_tradnl"/>
        </w:rPr>
        <w:t>,</w:t>
      </w:r>
      <w:r w:rsidRPr="00617A5B">
        <w:rPr>
          <w:rFonts w:ascii="Arial" w:eastAsia="Calibri" w:hAnsi="Arial" w:cs="Arial"/>
          <w:color w:val="000000" w:themeColor="text1"/>
          <w:sz w:val="22"/>
          <w:lang w:val="es-ES_tradnl"/>
        </w:rPr>
        <w:t xml:space="preserve"> de otro, englobó además de la actividad de atención, las actividades de prevención o mitigación que son </w:t>
      </w:r>
      <w:r w:rsidRPr="005146A0">
        <w:rPr>
          <w:rFonts w:ascii="Arial" w:eastAsia="Calibri" w:hAnsi="Arial" w:cs="Arial"/>
          <w:i/>
          <w:iCs/>
          <w:color w:val="000000" w:themeColor="text1"/>
          <w:sz w:val="22"/>
          <w:lang w:val="es-ES_tradnl"/>
        </w:rPr>
        <w:t>ex ante</w:t>
      </w:r>
      <w:r w:rsidRPr="00617A5B">
        <w:rPr>
          <w:rFonts w:ascii="Arial" w:eastAsia="Calibri" w:hAnsi="Arial" w:cs="Arial"/>
          <w:color w:val="000000" w:themeColor="text1"/>
          <w:sz w:val="22"/>
          <w:lang w:val="es-ES_tradnl"/>
        </w:rPr>
        <w:t xml:space="preserve"> a la ocurrencia de la situación de emergencia. Esta modificación se sustenta en los objetivos específicos contenidos en el artículo 6 de la Ley 1523 de 2012, desarrollados en el Plan Nacional de Gestión del Riesgo de Desastres</w:t>
      </w:r>
      <w:r>
        <w:rPr>
          <w:rFonts w:ascii="Arial" w:eastAsia="Calibri" w:hAnsi="Arial" w:cs="Arial"/>
          <w:color w:val="000000" w:themeColor="text1"/>
          <w:sz w:val="22"/>
          <w:lang w:val="es-ES_tradnl"/>
        </w:rPr>
        <w:t>. Este plan corresponde a</w:t>
      </w:r>
      <w:r w:rsidRPr="00617A5B">
        <w:rPr>
          <w:rFonts w:ascii="Arial" w:eastAsia="Calibri" w:hAnsi="Arial" w:cs="Arial"/>
          <w:color w:val="000000" w:themeColor="text1"/>
          <w:sz w:val="22"/>
          <w:lang w:val="es-ES_tradnl"/>
        </w:rPr>
        <w:t xml:space="preserve"> una estrategia de desarrollo 2015-2025 – PNGRD donde se establece la importancia de la prevención o mitigación de desastres como actividades determinantes para la reducción del riesgo. Sobre el particular, el PNGRD señaló lo siguiente</w:t>
      </w:r>
      <w:r>
        <w:rPr>
          <w:rFonts w:ascii="Arial" w:hAnsi="Arial" w:cs="Arial"/>
          <w:sz w:val="22"/>
        </w:rPr>
        <w:t xml:space="preserve">: </w:t>
      </w:r>
    </w:p>
    <w:p w14:paraId="1CAAAEB6" w14:textId="77777777" w:rsidR="002968AB" w:rsidRDefault="002968AB" w:rsidP="002968AB">
      <w:pPr>
        <w:spacing w:line="276" w:lineRule="auto"/>
        <w:ind w:firstLine="708"/>
        <w:jc w:val="both"/>
        <w:rPr>
          <w:rFonts w:ascii="Arial" w:hAnsi="Arial" w:cs="Arial"/>
          <w:sz w:val="22"/>
        </w:rPr>
      </w:pPr>
    </w:p>
    <w:p w14:paraId="5AFD5009" w14:textId="77777777" w:rsidR="002968AB" w:rsidRDefault="002968AB" w:rsidP="002968AB">
      <w:pPr>
        <w:ind w:left="709" w:right="709"/>
        <w:jc w:val="both"/>
        <w:rPr>
          <w:rFonts w:ascii="Arial" w:hAnsi="Arial" w:cs="Arial"/>
          <w:sz w:val="21"/>
          <w:szCs w:val="21"/>
        </w:rPr>
      </w:pPr>
      <w:r w:rsidRPr="005146A0">
        <w:rPr>
          <w:rFonts w:ascii="Arial" w:hAnsi="Arial" w:cs="Arial"/>
          <w:sz w:val="21"/>
          <w:szCs w:val="21"/>
          <w:shd w:val="clear" w:color="auto" w:fill="FFFFFF"/>
        </w:rPr>
        <w:t>Reducción del riesgo:</w:t>
      </w:r>
      <w:r w:rsidRPr="00576DB6">
        <w:rPr>
          <w:rFonts w:ascii="Arial" w:hAnsi="Arial" w:cs="Arial"/>
          <w:b/>
          <w:bCs/>
          <w:sz w:val="21"/>
          <w:szCs w:val="21"/>
          <w:shd w:val="clear" w:color="auto" w:fill="FFFFFF"/>
        </w:rPr>
        <w:t> </w:t>
      </w:r>
      <w:r w:rsidRPr="00576DB6">
        <w:rPr>
          <w:rFonts w:ascii="Arial" w:hAnsi="Arial" w:cs="Arial"/>
          <w:sz w:val="21"/>
          <w:szCs w:val="21"/>
          <w:shd w:val="clear" w:color="auto" w:fill="FFFFFF"/>
        </w:rPr>
        <w:t>Es el proceso de la gestión del riesgo, está compuesto por la intervención dirigida a modificar o disminuir las condiciones de riesgo existentes, entiéndase: mitigación del riesgo y a evitar nuevo riesgo en el territorio, entiéndase: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 La reducción del riesgo la componen la intervención correctiva del riesgo existente, la intervención prospectiva de nuevo riesgo y la protección financiera</w:t>
      </w:r>
      <w:r>
        <w:rPr>
          <w:rFonts w:ascii="Arial" w:hAnsi="Arial" w:cs="Arial"/>
          <w:sz w:val="22"/>
        </w:rPr>
        <w:t>»</w:t>
      </w:r>
      <w:r w:rsidRPr="00576DB6">
        <w:rPr>
          <w:rFonts w:ascii="Arial" w:hAnsi="Arial" w:cs="Arial"/>
          <w:sz w:val="21"/>
          <w:szCs w:val="21"/>
          <w:shd w:val="clear" w:color="auto" w:fill="FFFFFF"/>
        </w:rPr>
        <w:t>.</w:t>
      </w:r>
    </w:p>
    <w:p w14:paraId="42F453E5" w14:textId="77777777" w:rsidR="002968AB" w:rsidRDefault="002968AB" w:rsidP="002968AB">
      <w:pPr>
        <w:spacing w:line="276" w:lineRule="auto"/>
        <w:ind w:firstLine="708"/>
        <w:jc w:val="both"/>
        <w:rPr>
          <w:rFonts w:ascii="Arial" w:eastAsia="Calibri" w:hAnsi="Arial" w:cs="Arial"/>
          <w:color w:val="000000" w:themeColor="text1"/>
          <w:sz w:val="22"/>
          <w:lang w:val="es-ES_tradnl"/>
        </w:rPr>
      </w:pPr>
    </w:p>
    <w:p w14:paraId="32433DE0" w14:textId="77777777" w:rsidR="002968AB" w:rsidRPr="00617A5B" w:rsidRDefault="002968AB" w:rsidP="002968AB">
      <w:pPr>
        <w:spacing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Así las cosas, dentro de los pilares de la política pública de gestión de desastres se encuentran como fundamentales, la reducción del riesgo, que se compone por la mitigación y prevención del riesgo. Lo anterior hizo imperiosa la inclusión de las actividades que integran este numeral de los documentos tipo, a efectos de estructurar una herramienta de contratación con mayor cobertura que favorezca los esfuerzos de anticorrupción que vienen impulsando el gobierno nacional con la implementación de los documentos tipo. </w:t>
      </w:r>
    </w:p>
    <w:p w14:paraId="58A9915E" w14:textId="6FBBE23D"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Ahora, debe señalarse que el alcance de este numeral se previó, tal como se observa de su denominación, para todos los proyectos de atención prevención o mitigación de emergencias conexas a obras en vías primarias, secundaria</w:t>
      </w:r>
      <w:r w:rsidR="00096005">
        <w:rPr>
          <w:rFonts w:ascii="Arial" w:eastAsia="Calibri" w:hAnsi="Arial" w:cs="Arial"/>
          <w:color w:val="000000" w:themeColor="text1"/>
          <w:sz w:val="22"/>
          <w:lang w:val="es-ES_tradnl"/>
        </w:rPr>
        <w:t>s</w:t>
      </w:r>
      <w:r w:rsidRPr="00617A5B">
        <w:rPr>
          <w:rFonts w:ascii="Arial" w:eastAsia="Calibri" w:hAnsi="Arial" w:cs="Arial"/>
          <w:color w:val="000000" w:themeColor="text1"/>
          <w:sz w:val="22"/>
          <w:lang w:val="es-ES_tradnl"/>
        </w:rPr>
        <w:t>, terciarias o urbanas</w:t>
      </w:r>
      <w:r>
        <w:rPr>
          <w:rFonts w:ascii="Arial" w:eastAsia="Calibri" w:hAnsi="Arial" w:cs="Arial"/>
          <w:color w:val="000000" w:themeColor="text1"/>
          <w:sz w:val="22"/>
          <w:lang w:val="es-ES_tradnl"/>
        </w:rPr>
        <w:t>.</w:t>
      </w:r>
      <w:r w:rsidRPr="00617A5B">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w:t>
      </w:r>
      <w:r w:rsidRPr="00617A5B">
        <w:rPr>
          <w:rFonts w:ascii="Arial" w:eastAsia="Calibri" w:hAnsi="Arial" w:cs="Arial"/>
          <w:color w:val="000000" w:themeColor="text1"/>
          <w:sz w:val="22"/>
          <w:lang w:val="es-ES_tradnl"/>
        </w:rPr>
        <w:t xml:space="preserve">s </w:t>
      </w:r>
      <w:r w:rsidRPr="00617A5B">
        <w:rPr>
          <w:rFonts w:ascii="Arial" w:eastAsia="Calibri" w:hAnsi="Arial" w:cs="Arial"/>
          <w:color w:val="000000" w:themeColor="text1"/>
          <w:sz w:val="22"/>
          <w:lang w:val="es-ES_tradnl"/>
        </w:rPr>
        <w:lastRenderedPageBreak/>
        <w:t>decir, no se trata de cualquier obra de atención prevención o mitigación de emergencias, este numeral es claro en se</w:t>
      </w:r>
      <w:r w:rsidR="00D5026E">
        <w:rPr>
          <w:rFonts w:ascii="Arial" w:eastAsia="Calibri" w:hAnsi="Arial" w:cs="Arial"/>
          <w:color w:val="000000" w:themeColor="text1"/>
          <w:sz w:val="22"/>
          <w:lang w:val="es-ES_tradnl"/>
        </w:rPr>
        <w:t>parar</w:t>
      </w:r>
      <w:r w:rsidRPr="00617A5B">
        <w:rPr>
          <w:rFonts w:ascii="Arial" w:eastAsia="Calibri" w:hAnsi="Arial" w:cs="Arial"/>
          <w:color w:val="000000" w:themeColor="text1"/>
          <w:sz w:val="22"/>
          <w:lang w:val="es-ES_tradnl"/>
        </w:rPr>
        <w:t xml:space="preserve"> su alcance en las actividades de esta naturaleza que se desarrollen o estén conexas a vías. </w:t>
      </w:r>
    </w:p>
    <w:p w14:paraId="7C3A9890" w14:textId="2C31A26E"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Además, de la literalidad del numeral </w:t>
      </w:r>
      <w:r>
        <w:rPr>
          <w:rFonts w:ascii="Arial" w:eastAsia="Calibri" w:hAnsi="Arial" w:cs="Arial"/>
          <w:color w:val="000000" w:themeColor="text1"/>
          <w:sz w:val="22"/>
          <w:lang w:val="es-ES_tradnl"/>
        </w:rPr>
        <w:t>citado</w:t>
      </w:r>
      <w:r w:rsidRPr="00617A5B">
        <w:rPr>
          <w:rFonts w:ascii="Arial" w:eastAsia="Calibri" w:hAnsi="Arial" w:cs="Arial"/>
          <w:color w:val="000000" w:themeColor="text1"/>
          <w:sz w:val="22"/>
          <w:lang w:val="es-ES_tradnl"/>
        </w:rPr>
        <w:t xml:space="preserve"> se colige que la aplicación de los documentos tipos en proyectos de infraestructura de transporte para la atención, prevención o mitigación de emergencias est</w:t>
      </w:r>
      <w:r>
        <w:rPr>
          <w:rFonts w:ascii="Arial" w:eastAsia="Calibri" w:hAnsi="Arial" w:cs="Arial"/>
          <w:color w:val="000000" w:themeColor="text1"/>
          <w:sz w:val="22"/>
          <w:lang w:val="es-ES_tradnl"/>
        </w:rPr>
        <w:t>á</w:t>
      </w:r>
      <w:r w:rsidRPr="00617A5B">
        <w:rPr>
          <w:rFonts w:ascii="Arial" w:eastAsia="Calibri" w:hAnsi="Arial" w:cs="Arial"/>
          <w:color w:val="000000" w:themeColor="text1"/>
          <w:sz w:val="22"/>
          <w:lang w:val="es-ES_tradnl"/>
        </w:rPr>
        <w:t xml:space="preserve"> circunscrita exclusivamente a aquellos casos en los que no esté previsto la modalidad de contratación directa producto de la declaratoria de una urgencia manifiesta. </w:t>
      </w:r>
      <w:r w:rsidR="00792C37">
        <w:rPr>
          <w:rFonts w:ascii="Arial" w:eastAsia="Calibri" w:hAnsi="Arial" w:cs="Arial"/>
          <w:color w:val="000000" w:themeColor="text1"/>
          <w:sz w:val="22"/>
          <w:lang w:val="es-ES_tradnl"/>
        </w:rPr>
        <w:t>Por ello</w:t>
      </w:r>
      <w:r w:rsidRPr="00617A5B">
        <w:rPr>
          <w:rFonts w:ascii="Arial" w:eastAsia="Calibri" w:hAnsi="Arial" w:cs="Arial"/>
          <w:color w:val="000000" w:themeColor="text1"/>
          <w:sz w:val="22"/>
          <w:lang w:val="es-ES_tradnl"/>
        </w:rPr>
        <w:t xml:space="preserve">, este numeral determinó </w:t>
      </w:r>
      <w:r>
        <w:rPr>
          <w:rFonts w:ascii="Arial" w:eastAsia="Calibri" w:hAnsi="Arial" w:cs="Arial"/>
          <w:color w:val="000000" w:themeColor="text1"/>
          <w:sz w:val="22"/>
          <w:lang w:val="es-ES_tradnl"/>
        </w:rPr>
        <w:t>la aplicación</w:t>
      </w:r>
      <w:r w:rsidRPr="00617A5B">
        <w:rPr>
          <w:rFonts w:ascii="Arial" w:eastAsia="Calibri" w:hAnsi="Arial" w:cs="Arial"/>
          <w:color w:val="000000" w:themeColor="text1"/>
          <w:sz w:val="22"/>
          <w:lang w:val="es-ES_tradnl"/>
        </w:rPr>
        <w:t xml:space="preserve"> de los documentos tipo para los proyectos referidos en los eventos en que no se configuren </w:t>
      </w:r>
      <w:r>
        <w:rPr>
          <w:rFonts w:ascii="Arial" w:eastAsia="Calibri" w:hAnsi="Arial" w:cs="Arial"/>
          <w:color w:val="000000" w:themeColor="text1"/>
          <w:sz w:val="22"/>
          <w:lang w:val="es-ES_tradnl"/>
        </w:rPr>
        <w:t>circunstancias como las descritas en el apartado 2.2 de este concepto</w:t>
      </w:r>
      <w:r w:rsidRPr="00617A5B">
        <w:rPr>
          <w:rFonts w:ascii="Arial" w:eastAsia="Calibri" w:hAnsi="Arial" w:cs="Arial"/>
          <w:color w:val="000000" w:themeColor="text1"/>
          <w:sz w:val="22"/>
          <w:lang w:val="es-ES_tradnl"/>
        </w:rPr>
        <w:t xml:space="preserve">. De modo que, si no se ha declarado el estado de emergencia o las situaciones de que trata la Ley 1523 de 2012, cualquier obra de infraestructura </w:t>
      </w:r>
      <w:r>
        <w:rPr>
          <w:rFonts w:ascii="Arial" w:eastAsia="Calibri" w:hAnsi="Arial" w:cs="Arial"/>
          <w:color w:val="000000" w:themeColor="text1"/>
          <w:sz w:val="22"/>
          <w:lang w:val="es-ES_tradnl"/>
        </w:rPr>
        <w:t>de transporte</w:t>
      </w:r>
      <w:r w:rsidRPr="00617A5B">
        <w:rPr>
          <w:rFonts w:ascii="Arial" w:eastAsia="Calibri" w:hAnsi="Arial" w:cs="Arial"/>
          <w:color w:val="000000" w:themeColor="text1"/>
          <w:sz w:val="22"/>
          <w:lang w:val="es-ES_tradnl"/>
        </w:rPr>
        <w:t xml:space="preserve"> deberá adelantarse conforme con los parámetros establecidos en los documentos</w:t>
      </w:r>
      <w:r>
        <w:rPr>
          <w:rFonts w:ascii="Arial" w:eastAsia="Calibri" w:hAnsi="Arial" w:cs="Arial"/>
          <w:color w:val="000000" w:themeColor="text1"/>
          <w:sz w:val="22"/>
          <w:lang w:val="es-ES_tradnl"/>
        </w:rPr>
        <w:t xml:space="preserve"> tipo</w:t>
      </w:r>
      <w:r w:rsidRPr="00617A5B">
        <w:rPr>
          <w:rFonts w:ascii="Arial" w:eastAsia="Calibri" w:hAnsi="Arial" w:cs="Arial"/>
          <w:color w:val="000000" w:themeColor="text1"/>
          <w:sz w:val="22"/>
          <w:lang w:val="es-ES_tradnl"/>
        </w:rPr>
        <w:t xml:space="preserve">. </w:t>
      </w:r>
    </w:p>
    <w:p w14:paraId="6EFBCF36" w14:textId="073129F6"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Adicionalmente, es importante señalar que la versión 3 introdujo una importante modificación </w:t>
      </w:r>
      <w:r>
        <w:rPr>
          <w:rFonts w:ascii="Arial" w:eastAsia="Calibri" w:hAnsi="Arial" w:cs="Arial"/>
          <w:color w:val="000000" w:themeColor="text1"/>
          <w:sz w:val="22"/>
          <w:lang w:val="es-ES_tradnl"/>
        </w:rPr>
        <w:t>al numeral 4 de la matriz de experiencia</w:t>
      </w:r>
      <w:r w:rsidRPr="00617A5B">
        <w:rPr>
          <w:rFonts w:ascii="Arial" w:eastAsia="Calibri" w:hAnsi="Arial" w:cs="Arial"/>
          <w:color w:val="000000" w:themeColor="text1"/>
          <w:sz w:val="22"/>
          <w:lang w:val="es-ES_tradnl"/>
        </w:rPr>
        <w:t xml:space="preserve">, al extender </w:t>
      </w:r>
      <w:r>
        <w:rPr>
          <w:rFonts w:ascii="Arial" w:eastAsia="Calibri" w:hAnsi="Arial" w:cs="Arial"/>
          <w:color w:val="000000" w:themeColor="text1"/>
          <w:sz w:val="22"/>
          <w:lang w:val="es-ES_tradnl"/>
        </w:rPr>
        <w:t>su</w:t>
      </w:r>
      <w:r w:rsidRPr="00617A5B">
        <w:rPr>
          <w:rFonts w:ascii="Arial" w:eastAsia="Calibri" w:hAnsi="Arial" w:cs="Arial"/>
          <w:color w:val="000000" w:themeColor="text1"/>
          <w:sz w:val="22"/>
          <w:lang w:val="es-ES_tradnl"/>
        </w:rPr>
        <w:t xml:space="preserve"> alcance a las obras de infraestructura encaminadas no solo a la atención sino además a la prevención o mitigación de emergencias, que no deban contratarse mediante modalidad de contratación directa. </w:t>
      </w:r>
      <w:r w:rsidR="00572E7A">
        <w:rPr>
          <w:rFonts w:ascii="Arial" w:eastAsia="Calibri" w:hAnsi="Arial" w:cs="Arial"/>
          <w:color w:val="000000" w:themeColor="text1"/>
          <w:sz w:val="22"/>
          <w:lang w:val="es-ES_tradnl"/>
        </w:rPr>
        <w:t>Así las cosas</w:t>
      </w:r>
      <w:r w:rsidRPr="00617A5B">
        <w:rPr>
          <w:rFonts w:ascii="Arial" w:eastAsia="Calibri" w:hAnsi="Arial" w:cs="Arial"/>
          <w:color w:val="000000" w:themeColor="text1"/>
          <w:sz w:val="22"/>
          <w:lang w:val="es-ES_tradnl"/>
        </w:rPr>
        <w:t xml:space="preserve">, para entender el alcance es pertinente aproximarse a las definiciones de los conceptos referidos. </w:t>
      </w:r>
    </w:p>
    <w:p w14:paraId="4D49310B" w14:textId="0423673C"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 xml:space="preserve">El numeral 9 del artículo 4 de la Ley 1523 de 2012 señaló que por emergencia debe entenderse toda «Situación caracterizada por la alteración o interrupción intensa y grave de las condiciones normales de funcionamiento u operación de una comunidad, causada por un evento adverso o por la inminencia del mismo, que obliga a una reacción inmediata y que requiere la respuesta de las instituciones del Estado, los medios de comunicación y de la comunidad en general». En las situaciones de emergencia existe un evento adverso </w:t>
      </w:r>
      <w:r>
        <w:rPr>
          <w:rFonts w:ascii="Arial" w:eastAsia="Calibri" w:hAnsi="Arial" w:cs="Arial"/>
          <w:color w:val="000000" w:themeColor="text1"/>
          <w:sz w:val="22"/>
          <w:lang w:val="es-ES_tradnl"/>
        </w:rPr>
        <w:t xml:space="preserve">e inminente </w:t>
      </w:r>
      <w:r w:rsidRPr="00617A5B">
        <w:rPr>
          <w:rFonts w:ascii="Arial" w:eastAsia="Calibri" w:hAnsi="Arial" w:cs="Arial"/>
          <w:color w:val="000000" w:themeColor="text1"/>
          <w:sz w:val="22"/>
          <w:lang w:val="es-ES_tradnl"/>
        </w:rPr>
        <w:t xml:space="preserve">que obliga a las entidades públicas a adoptar todas las medidas y acciones que den una respuesta inmediata a la misma. </w:t>
      </w:r>
      <w:r w:rsidR="00572E7A">
        <w:rPr>
          <w:rFonts w:ascii="Arial" w:eastAsia="Calibri" w:hAnsi="Arial" w:cs="Arial"/>
          <w:color w:val="000000" w:themeColor="text1"/>
          <w:sz w:val="22"/>
          <w:lang w:val="es-ES_tradnl"/>
        </w:rPr>
        <w:t>Así</w:t>
      </w:r>
      <w:r w:rsidRPr="00617A5B">
        <w:rPr>
          <w:rFonts w:ascii="Arial" w:eastAsia="Calibri" w:hAnsi="Arial" w:cs="Arial"/>
          <w:color w:val="000000" w:themeColor="text1"/>
          <w:sz w:val="22"/>
          <w:lang w:val="es-ES_tradnl"/>
        </w:rPr>
        <w:t xml:space="preserve">, la «atención de emergencias» </w:t>
      </w:r>
      <w:r>
        <w:rPr>
          <w:rFonts w:ascii="Arial" w:eastAsia="Calibri" w:hAnsi="Arial" w:cs="Arial"/>
          <w:color w:val="000000" w:themeColor="text1"/>
          <w:sz w:val="22"/>
          <w:lang w:val="es-ES_tradnl"/>
        </w:rPr>
        <w:t>alude</w:t>
      </w:r>
      <w:r w:rsidRPr="00617A5B">
        <w:rPr>
          <w:rFonts w:ascii="Arial" w:eastAsia="Calibri" w:hAnsi="Arial" w:cs="Arial"/>
          <w:color w:val="000000" w:themeColor="text1"/>
          <w:sz w:val="22"/>
          <w:lang w:val="es-ES_tradnl"/>
        </w:rPr>
        <w:t xml:space="preserve"> a aquellos proyectos o actividades que deban ejecutarse para responder o prestar asistencia de la emergencia, en vías primarias o secundarias o terciarias o urbanas, siempre que no deban contratarse mediante modalidad de contratación directa. </w:t>
      </w:r>
    </w:p>
    <w:p w14:paraId="0BEB5887" w14:textId="3C284A58"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t>En lo que respecta al término «prevención», el Diccionario de la Lengua Española hace referencia a la «preparación y disposición que se hace anticipadamente para evitar un riesgo o ejecutar algo»</w:t>
      </w:r>
      <w:r>
        <w:rPr>
          <w:rFonts w:ascii="Arial" w:eastAsia="Calibri" w:hAnsi="Arial" w:cs="Arial"/>
          <w:color w:val="000000" w:themeColor="text1"/>
          <w:sz w:val="22"/>
          <w:lang w:val="es-ES_tradnl"/>
        </w:rPr>
        <w:t>.</w:t>
      </w:r>
      <w:r w:rsidRPr="00617A5B">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w:t>
      </w:r>
      <w:r w:rsidRPr="00617A5B">
        <w:rPr>
          <w:rFonts w:ascii="Arial" w:eastAsia="Calibri" w:hAnsi="Arial" w:cs="Arial"/>
          <w:color w:val="000000" w:themeColor="text1"/>
          <w:sz w:val="22"/>
          <w:lang w:val="es-ES_tradnl"/>
        </w:rPr>
        <w:t>n este orden</w:t>
      </w:r>
      <w:r>
        <w:rPr>
          <w:rFonts w:ascii="Arial" w:eastAsia="Calibri" w:hAnsi="Arial" w:cs="Arial"/>
          <w:color w:val="000000" w:themeColor="text1"/>
          <w:sz w:val="22"/>
          <w:lang w:val="es-ES_tradnl"/>
        </w:rPr>
        <w:t xml:space="preserve"> de ideas</w:t>
      </w:r>
      <w:r w:rsidRPr="00617A5B">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el concepto alude</w:t>
      </w:r>
      <w:r w:rsidRPr="00617A5B">
        <w:rPr>
          <w:rFonts w:ascii="Arial" w:eastAsia="Calibri" w:hAnsi="Arial" w:cs="Arial"/>
          <w:color w:val="000000" w:themeColor="text1"/>
          <w:sz w:val="22"/>
          <w:lang w:val="es-ES_tradnl"/>
        </w:rPr>
        <w:t xml:space="preserve"> a todas las actividades que deban ejecutarse para evitar la materialización de la emergencia. Finalmente, en relación con el término «mitigación» </w:t>
      </w:r>
      <w:r>
        <w:rPr>
          <w:rFonts w:ascii="Arial" w:eastAsia="Calibri" w:hAnsi="Arial" w:cs="Arial"/>
          <w:color w:val="000000" w:themeColor="text1"/>
          <w:sz w:val="22"/>
          <w:lang w:val="es-ES_tradnl"/>
        </w:rPr>
        <w:t>corresponde a</w:t>
      </w:r>
      <w:r w:rsidRPr="00617A5B">
        <w:rPr>
          <w:rFonts w:ascii="Arial" w:eastAsia="Calibri" w:hAnsi="Arial" w:cs="Arial"/>
          <w:color w:val="000000" w:themeColor="text1"/>
          <w:sz w:val="22"/>
          <w:lang w:val="es-ES_tradnl"/>
        </w:rPr>
        <w:t xml:space="preserve"> todas aquellas intervenciones encaminadas a modificar, modera</w:t>
      </w:r>
      <w:r>
        <w:rPr>
          <w:rFonts w:ascii="Arial" w:eastAsia="Calibri" w:hAnsi="Arial" w:cs="Arial"/>
          <w:color w:val="000000" w:themeColor="text1"/>
          <w:sz w:val="22"/>
          <w:lang w:val="es-ES_tradnl"/>
        </w:rPr>
        <w:t>r</w:t>
      </w:r>
      <w:r w:rsidRPr="00617A5B">
        <w:rPr>
          <w:rFonts w:ascii="Arial" w:eastAsia="Calibri" w:hAnsi="Arial" w:cs="Arial"/>
          <w:color w:val="000000" w:themeColor="text1"/>
          <w:sz w:val="22"/>
          <w:lang w:val="es-ES_tradnl"/>
        </w:rPr>
        <w:t xml:space="preserve"> o disminuir las condiciones de la emergencia. Las obras en vías primarias, secundarias, terciarias o urbanas encaminadas a mitigar una </w:t>
      </w:r>
      <w:r w:rsidRPr="00396837">
        <w:rPr>
          <w:rFonts w:ascii="Arial" w:eastAsia="Calibri" w:hAnsi="Arial" w:cs="Arial"/>
          <w:color w:val="000000" w:themeColor="text1"/>
          <w:sz w:val="22"/>
          <w:lang w:val="es-ES_tradnl"/>
        </w:rPr>
        <w:t>emergencia</w:t>
      </w:r>
      <w:r w:rsidRPr="00617A5B">
        <w:rPr>
          <w:rFonts w:ascii="Arial" w:eastAsia="Calibri" w:hAnsi="Arial" w:cs="Arial"/>
          <w:color w:val="000000" w:themeColor="text1"/>
          <w:sz w:val="22"/>
          <w:lang w:val="es-ES_tradnl"/>
        </w:rPr>
        <w:t xml:space="preserve"> son anteriores a la situación adversa. </w:t>
      </w:r>
    </w:p>
    <w:p w14:paraId="5EAFEB3D" w14:textId="438F2E82" w:rsidR="002968AB" w:rsidRPr="00617A5B" w:rsidRDefault="002968AB" w:rsidP="002968AB">
      <w:pPr>
        <w:spacing w:before="120" w:line="276" w:lineRule="auto"/>
        <w:ind w:firstLine="708"/>
        <w:jc w:val="both"/>
        <w:rPr>
          <w:rFonts w:ascii="Arial" w:eastAsia="Calibri" w:hAnsi="Arial" w:cs="Arial"/>
          <w:color w:val="000000" w:themeColor="text1"/>
          <w:sz w:val="22"/>
          <w:lang w:val="es-ES_tradnl"/>
        </w:rPr>
      </w:pPr>
      <w:r w:rsidRPr="00617A5B">
        <w:rPr>
          <w:rFonts w:ascii="Arial" w:eastAsia="Calibri" w:hAnsi="Arial" w:cs="Arial"/>
          <w:color w:val="000000" w:themeColor="text1"/>
          <w:sz w:val="22"/>
          <w:lang w:val="es-ES_tradnl"/>
        </w:rPr>
        <w:lastRenderedPageBreak/>
        <w:t xml:space="preserve">De todo lo anterior se </w:t>
      </w:r>
      <w:r>
        <w:rPr>
          <w:rFonts w:ascii="Arial" w:eastAsia="Calibri" w:hAnsi="Arial" w:cs="Arial"/>
          <w:color w:val="000000" w:themeColor="text1"/>
          <w:sz w:val="22"/>
          <w:lang w:val="es-ES_tradnl"/>
        </w:rPr>
        <w:t>concluye</w:t>
      </w:r>
      <w:r w:rsidRPr="00617A5B">
        <w:rPr>
          <w:rFonts w:ascii="Arial" w:eastAsia="Calibri" w:hAnsi="Arial" w:cs="Arial"/>
          <w:color w:val="000000" w:themeColor="text1"/>
          <w:sz w:val="22"/>
          <w:lang w:val="es-ES_tradnl"/>
        </w:rPr>
        <w:t xml:space="preserve"> </w:t>
      </w:r>
      <w:bookmarkStart w:id="25" w:name="_Hlk72928188"/>
      <w:r w:rsidRPr="00617A5B">
        <w:rPr>
          <w:rFonts w:ascii="Arial" w:eastAsia="Calibri" w:hAnsi="Arial" w:cs="Arial"/>
          <w:color w:val="000000" w:themeColor="text1"/>
          <w:sz w:val="22"/>
          <w:lang w:val="es-ES_tradnl"/>
        </w:rPr>
        <w:t>que la Ley 2022 de 2020 regula un supuesto distinto a la Ley 1523 de 2012, pues aquella establece la aplicación obligatoria de los documentos tipo los procesos de selección de obras públicas, interventoría para las obras públicas, interventoría para consultoría de estudios y diseños para obras públicas, consultoría en ingeniería para obras</w:t>
      </w:r>
      <w:r>
        <w:rPr>
          <w:rFonts w:ascii="Arial" w:eastAsia="Calibri" w:hAnsi="Arial" w:cs="Arial"/>
          <w:color w:val="000000" w:themeColor="text1"/>
          <w:sz w:val="22"/>
          <w:lang w:val="es-ES_tradnl"/>
        </w:rPr>
        <w:t>, entre otros. Por otra parte,</w:t>
      </w:r>
      <w:r w:rsidRPr="00617A5B">
        <w:rPr>
          <w:rFonts w:ascii="Arial" w:eastAsia="Calibri" w:hAnsi="Arial" w:cs="Arial"/>
          <w:color w:val="000000" w:themeColor="text1"/>
          <w:sz w:val="22"/>
          <w:lang w:val="es-ES_tradnl"/>
        </w:rPr>
        <w:t xml:space="preserve"> la </w:t>
      </w:r>
      <w:r>
        <w:rPr>
          <w:rFonts w:ascii="Arial" w:eastAsia="Calibri" w:hAnsi="Arial" w:cs="Arial"/>
          <w:color w:val="000000" w:themeColor="text1"/>
          <w:sz w:val="22"/>
          <w:lang w:val="es-ES_tradnl"/>
        </w:rPr>
        <w:t>L</w:t>
      </w:r>
      <w:r w:rsidRPr="00617A5B">
        <w:rPr>
          <w:rFonts w:ascii="Arial" w:eastAsia="Calibri" w:hAnsi="Arial" w:cs="Arial"/>
          <w:color w:val="000000" w:themeColor="text1"/>
          <w:sz w:val="22"/>
          <w:lang w:val="es-ES_tradnl"/>
        </w:rPr>
        <w:t>ey 1523 de 2012 establece un régimen especial aplicable para situaciones excepcionales.</w:t>
      </w:r>
      <w:bookmarkEnd w:id="25"/>
      <w:r w:rsidRPr="00617A5B">
        <w:rPr>
          <w:rFonts w:ascii="Arial" w:eastAsia="Calibri" w:hAnsi="Arial" w:cs="Arial"/>
          <w:color w:val="000000" w:themeColor="text1"/>
          <w:sz w:val="22"/>
          <w:lang w:val="es-ES_tradnl"/>
        </w:rPr>
        <w:t xml:space="preserve"> </w:t>
      </w:r>
    </w:p>
    <w:p w14:paraId="1DE065D8" w14:textId="186E4E47" w:rsidR="002968AB" w:rsidRPr="005146A0" w:rsidRDefault="002968AB" w:rsidP="002968AB">
      <w:pPr>
        <w:spacing w:before="120" w:line="276" w:lineRule="auto"/>
        <w:ind w:firstLine="708"/>
        <w:jc w:val="both"/>
        <w:rPr>
          <w:rFonts w:ascii="Arial" w:hAnsi="Arial" w:cs="Arial"/>
          <w:color w:val="000000" w:themeColor="text1"/>
          <w:sz w:val="22"/>
        </w:rPr>
      </w:pPr>
      <w:bookmarkStart w:id="26" w:name="_Hlk73002663"/>
      <w:bookmarkStart w:id="27" w:name="_Hlk72928741"/>
      <w:r w:rsidRPr="00617A5B">
        <w:rPr>
          <w:rFonts w:ascii="Arial" w:eastAsia="Calibri" w:hAnsi="Arial" w:cs="Arial"/>
          <w:color w:val="000000" w:themeColor="text1"/>
          <w:sz w:val="22"/>
          <w:lang w:val="es-ES_tradnl"/>
        </w:rPr>
        <w:t>La aplicación de los documentos tipo para atención, prevención o mitigación de emergencias está prevista exclusivamente a eventos en los que se requiera la ejecución de dichas actividades en vías primarias o secundarias o terciarias o urbanas, que no deban contrata</w:t>
      </w:r>
      <w:r>
        <w:rPr>
          <w:rFonts w:ascii="Arial" w:eastAsia="Calibri" w:hAnsi="Arial" w:cs="Arial"/>
          <w:color w:val="000000" w:themeColor="text1"/>
          <w:sz w:val="22"/>
          <w:lang w:val="es-ES_tradnl"/>
        </w:rPr>
        <w:t>rse</w:t>
      </w:r>
      <w:r w:rsidRPr="00617A5B">
        <w:rPr>
          <w:rFonts w:ascii="Arial" w:eastAsia="Calibri" w:hAnsi="Arial" w:cs="Arial"/>
          <w:color w:val="000000" w:themeColor="text1"/>
          <w:sz w:val="22"/>
          <w:lang w:val="es-ES_tradnl"/>
        </w:rPr>
        <w:t xml:space="preserve"> bajo la modalidad de selección directa</w:t>
      </w:r>
      <w:r>
        <w:rPr>
          <w:rFonts w:ascii="Arial" w:eastAsia="Calibri" w:hAnsi="Arial" w:cs="Arial"/>
          <w:color w:val="000000" w:themeColor="text1"/>
          <w:sz w:val="22"/>
          <w:lang w:val="es-ES_tradnl"/>
        </w:rPr>
        <w:t>. A este último caso corresponden las circunstancias en que se</w:t>
      </w:r>
      <w:r w:rsidRPr="00617A5B">
        <w:rPr>
          <w:rFonts w:ascii="Arial" w:eastAsia="Calibri" w:hAnsi="Arial" w:cs="Arial"/>
          <w:color w:val="000000" w:themeColor="text1"/>
          <w:sz w:val="22"/>
          <w:lang w:val="es-ES_tradnl"/>
        </w:rPr>
        <w:t xml:space="preserve"> declar</w:t>
      </w:r>
      <w:r>
        <w:rPr>
          <w:rFonts w:ascii="Arial" w:eastAsia="Calibri" w:hAnsi="Arial" w:cs="Arial"/>
          <w:color w:val="000000" w:themeColor="text1"/>
          <w:sz w:val="22"/>
          <w:lang w:val="es-ES_tradnl"/>
        </w:rPr>
        <w:t>e</w:t>
      </w:r>
      <w:r w:rsidRPr="00617A5B">
        <w:rPr>
          <w:rFonts w:ascii="Arial" w:eastAsia="Calibri" w:hAnsi="Arial" w:cs="Arial"/>
          <w:color w:val="000000" w:themeColor="text1"/>
          <w:sz w:val="22"/>
          <w:lang w:val="es-ES_tradnl"/>
        </w:rPr>
        <w:t xml:space="preserve"> la calamidad pública o la situación de desastre</w:t>
      </w:r>
      <w:r>
        <w:rPr>
          <w:rFonts w:ascii="Arial" w:eastAsia="Calibri" w:hAnsi="Arial" w:cs="Arial"/>
          <w:color w:val="000000" w:themeColor="text1"/>
          <w:sz w:val="22"/>
          <w:lang w:val="es-ES_tradnl"/>
        </w:rPr>
        <w:t xml:space="preserve">, la cual fundamenta </w:t>
      </w:r>
      <w:r w:rsidRPr="00617A5B">
        <w:rPr>
          <w:rFonts w:ascii="Arial" w:eastAsia="Calibri" w:hAnsi="Arial" w:cs="Arial"/>
          <w:color w:val="000000" w:themeColor="text1"/>
          <w:sz w:val="22"/>
          <w:lang w:val="es-ES_tradnl"/>
        </w:rPr>
        <w:t xml:space="preserve">la urgencia manifiesta de que trata el artículo 42 de la </w:t>
      </w:r>
      <w:r>
        <w:rPr>
          <w:rFonts w:ascii="Arial" w:eastAsia="Calibri" w:hAnsi="Arial" w:cs="Arial"/>
          <w:color w:val="000000" w:themeColor="text1"/>
          <w:sz w:val="22"/>
          <w:lang w:val="es-ES_tradnl"/>
        </w:rPr>
        <w:t>L</w:t>
      </w:r>
      <w:r w:rsidRPr="00617A5B">
        <w:rPr>
          <w:rFonts w:ascii="Arial" w:eastAsia="Calibri" w:hAnsi="Arial" w:cs="Arial"/>
          <w:color w:val="000000" w:themeColor="text1"/>
          <w:sz w:val="22"/>
          <w:lang w:val="es-ES_tradnl"/>
        </w:rPr>
        <w:t>ey 80 de 1993.</w:t>
      </w:r>
      <w:r>
        <w:rPr>
          <w:rFonts w:ascii="Arial" w:eastAsia="Calibri" w:hAnsi="Arial" w:cs="Arial"/>
          <w:color w:val="000000" w:themeColor="text1"/>
          <w:sz w:val="22"/>
          <w:lang w:val="es-ES_tradnl"/>
        </w:rPr>
        <w:t xml:space="preserve"> </w:t>
      </w:r>
      <w:r w:rsidR="00B50D22">
        <w:rPr>
          <w:rFonts w:ascii="Arial" w:hAnsi="Arial" w:cs="Arial"/>
          <w:sz w:val="22"/>
          <w:szCs w:val="22"/>
        </w:rPr>
        <w:t xml:space="preserve">Conforme a </w:t>
      </w:r>
      <w:r>
        <w:rPr>
          <w:rFonts w:ascii="Arial" w:hAnsi="Arial" w:cs="Arial"/>
          <w:sz w:val="22"/>
          <w:szCs w:val="22"/>
        </w:rPr>
        <w:t xml:space="preserve">las circunstancias del caso concreto, la entidad contratante aplicará los documentos tipo o la Ley 1523 de 2012 dependiendo del </w:t>
      </w:r>
      <w:r w:rsidRPr="00552E2B">
        <w:rPr>
          <w:rFonts w:ascii="Arial" w:hAnsi="Arial" w:cs="Arial"/>
          <w:sz w:val="22"/>
          <w:szCs w:val="22"/>
        </w:rPr>
        <w:t xml:space="preserve">análisis </w:t>
      </w:r>
      <w:r>
        <w:rPr>
          <w:rFonts w:ascii="Arial" w:hAnsi="Arial" w:cs="Arial"/>
          <w:sz w:val="22"/>
          <w:szCs w:val="22"/>
        </w:rPr>
        <w:t>en la</w:t>
      </w:r>
      <w:r w:rsidRPr="00552E2B">
        <w:rPr>
          <w:rFonts w:ascii="Arial" w:hAnsi="Arial" w:cs="Arial"/>
          <w:sz w:val="22"/>
          <w:szCs w:val="22"/>
        </w:rPr>
        <w:t xml:space="preserve"> etapa previa de planeación</w:t>
      </w:r>
      <w:r w:rsidR="0048714F">
        <w:rPr>
          <w:rFonts w:ascii="Arial" w:hAnsi="Arial" w:cs="Arial"/>
          <w:sz w:val="22"/>
          <w:szCs w:val="22"/>
        </w:rPr>
        <w:t>, la</w:t>
      </w:r>
      <w:r w:rsidRPr="00552E2B">
        <w:rPr>
          <w:rFonts w:ascii="Arial" w:hAnsi="Arial" w:cs="Arial"/>
          <w:sz w:val="22"/>
          <w:szCs w:val="22"/>
        </w:rPr>
        <w:t xml:space="preserve"> estructuración del proceso de selección y </w:t>
      </w:r>
      <w:r>
        <w:rPr>
          <w:rFonts w:ascii="Arial" w:hAnsi="Arial" w:cs="Arial"/>
          <w:sz w:val="22"/>
          <w:szCs w:val="22"/>
        </w:rPr>
        <w:t>d</w:t>
      </w:r>
      <w:r w:rsidRPr="00552E2B">
        <w:rPr>
          <w:rFonts w:ascii="Arial" w:hAnsi="Arial" w:cs="Arial"/>
          <w:sz w:val="22"/>
          <w:szCs w:val="22"/>
        </w:rPr>
        <w:t>el proyecto en particular</w:t>
      </w:r>
      <w:bookmarkEnd w:id="26"/>
      <w:r w:rsidRPr="00552E2B">
        <w:rPr>
          <w:rFonts w:ascii="Arial" w:hAnsi="Arial" w:cs="Arial"/>
          <w:sz w:val="22"/>
          <w:szCs w:val="22"/>
        </w:rPr>
        <w:t>.</w:t>
      </w:r>
    </w:p>
    <w:bookmarkEnd w:id="27"/>
    <w:p w14:paraId="195ED068" w14:textId="07030C41" w:rsidR="0010496C" w:rsidRPr="00F421E7" w:rsidRDefault="00441AD4" w:rsidP="00096005">
      <w:pPr>
        <w:spacing w:line="276" w:lineRule="auto"/>
        <w:jc w:val="both"/>
        <w:rPr>
          <w:rFonts w:ascii="Arial" w:hAnsi="Arial" w:cs="Arial"/>
          <w:b/>
          <w:bCs/>
          <w:sz w:val="22"/>
          <w:szCs w:val="22"/>
          <w:lang w:eastAsia="es-CO"/>
        </w:rPr>
      </w:pPr>
      <w:r>
        <w:rPr>
          <w:rFonts w:ascii="Arial" w:eastAsia="Calibri" w:hAnsi="Arial" w:cs="Arial"/>
          <w:color w:val="000000" w:themeColor="text1"/>
          <w:sz w:val="22"/>
          <w:lang w:val="es-ES_tradnl"/>
        </w:rPr>
        <w:t xml:space="preserve"> </w:t>
      </w:r>
    </w:p>
    <w:p w14:paraId="5071167E" w14:textId="77777777" w:rsidR="008A6AA1" w:rsidRPr="004A0905" w:rsidRDefault="008A6AA1" w:rsidP="008A6AA1">
      <w:pPr>
        <w:tabs>
          <w:tab w:val="left" w:pos="0"/>
        </w:tabs>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3. Respuestas</w:t>
      </w:r>
    </w:p>
    <w:p w14:paraId="1D78D111" w14:textId="77777777" w:rsidR="008A6AA1" w:rsidRPr="004A0905" w:rsidRDefault="008A6AA1" w:rsidP="00096005">
      <w:pPr>
        <w:tabs>
          <w:tab w:val="left" w:pos="0"/>
        </w:tabs>
        <w:spacing w:line="276" w:lineRule="auto"/>
        <w:jc w:val="both"/>
        <w:rPr>
          <w:rFonts w:ascii="Arial" w:eastAsia="Calibri" w:hAnsi="Arial" w:cs="Arial"/>
          <w:color w:val="000000" w:themeColor="text1"/>
          <w:sz w:val="22"/>
          <w:lang w:val="es-ES_tradnl"/>
        </w:rPr>
      </w:pPr>
    </w:p>
    <w:p w14:paraId="4F71CBDE" w14:textId="45196C89" w:rsidR="003F5F66" w:rsidRPr="009F1DB8" w:rsidRDefault="003F5F66">
      <w:pPr>
        <w:ind w:left="709" w:right="709"/>
        <w:jc w:val="both"/>
        <w:rPr>
          <w:rFonts w:ascii="Arial" w:hAnsi="Arial" w:cs="Arial"/>
          <w:color w:val="000000" w:themeColor="text1"/>
          <w:sz w:val="21"/>
          <w:szCs w:val="21"/>
          <w:lang w:val="es-ES_tradnl"/>
        </w:rPr>
      </w:pPr>
      <w:r w:rsidRPr="009F1DB8">
        <w:rPr>
          <w:rFonts w:ascii="Arial" w:hAnsi="Arial" w:cs="Arial"/>
          <w:color w:val="000000" w:themeColor="text1"/>
          <w:sz w:val="21"/>
          <w:szCs w:val="21"/>
          <w:lang w:val="es-ES_tradnl"/>
        </w:rPr>
        <w:t>«Es obligatorio el uso de pliego tipo para la construcción de la aleta de un puente afectada por la ola invernal</w:t>
      </w:r>
      <w:proofErr w:type="gramStart"/>
      <w:r w:rsidRPr="009F1DB8">
        <w:rPr>
          <w:rFonts w:ascii="Arial" w:hAnsi="Arial" w:cs="Arial"/>
          <w:color w:val="000000" w:themeColor="text1"/>
          <w:sz w:val="21"/>
          <w:szCs w:val="21"/>
          <w:lang w:val="es-ES_tradnl"/>
        </w:rPr>
        <w:t>?</w:t>
      </w:r>
      <w:proofErr w:type="gramEnd"/>
      <w:r w:rsidRPr="009F1DB8">
        <w:rPr>
          <w:rFonts w:ascii="Arial" w:hAnsi="Arial" w:cs="Arial"/>
          <w:color w:val="000000" w:themeColor="text1"/>
          <w:sz w:val="21"/>
          <w:szCs w:val="21"/>
          <w:lang w:val="es-ES_tradnl"/>
        </w:rPr>
        <w:t xml:space="preserve"> teniendo en cuenta que la modalidad de contratación es contratación directa derivada de una declaratoria de calamidad pública». </w:t>
      </w:r>
    </w:p>
    <w:p w14:paraId="3A2C5D7E" w14:textId="77777777" w:rsidR="009F1DB8" w:rsidRDefault="009F1DB8" w:rsidP="00096005">
      <w:pPr>
        <w:spacing w:line="276" w:lineRule="auto"/>
        <w:jc w:val="both"/>
        <w:rPr>
          <w:rFonts w:ascii="Arial" w:hAnsi="Arial" w:cs="Arial"/>
          <w:sz w:val="21"/>
          <w:szCs w:val="21"/>
        </w:rPr>
      </w:pPr>
    </w:p>
    <w:p w14:paraId="788E3D54" w14:textId="69CC99AD" w:rsidR="00F53B8B" w:rsidRDefault="00415579" w:rsidP="009F1DB8">
      <w:pPr>
        <w:spacing w:before="120" w:line="276" w:lineRule="auto"/>
        <w:jc w:val="both"/>
        <w:rPr>
          <w:rFonts w:ascii="Arial" w:hAnsi="Arial" w:cs="Arial"/>
          <w:sz w:val="22"/>
          <w:szCs w:val="22"/>
        </w:rPr>
      </w:pPr>
      <w:r>
        <w:rPr>
          <w:rFonts w:ascii="Arial" w:eastAsia="Calibri" w:hAnsi="Arial" w:cs="Arial"/>
          <w:sz w:val="22"/>
          <w:lang w:val="es-ES_tradnl"/>
        </w:rPr>
        <w:t>En los casos en</w:t>
      </w:r>
      <w:r w:rsidR="009F1DB8">
        <w:rPr>
          <w:rFonts w:ascii="Arial" w:eastAsia="Calibri" w:hAnsi="Arial" w:cs="Arial"/>
          <w:sz w:val="22"/>
          <w:lang w:val="es-ES_tradnl"/>
        </w:rPr>
        <w:t xml:space="preserve"> que el objeto esté relacionado con alguna de las actividades en la matriz 1 de experiencia, los documentos tipo </w:t>
      </w:r>
      <w:r w:rsidR="009F1DB8">
        <w:rPr>
          <w:rFonts w:ascii="Arial" w:hAnsi="Arial" w:cs="Arial"/>
          <w:color w:val="0D0D0D"/>
          <w:sz w:val="22"/>
          <w:bdr w:val="none" w:sz="0" w:space="0" w:color="auto" w:frame="1"/>
          <w:lang w:eastAsia="es-CO"/>
        </w:rPr>
        <w:t>son</w:t>
      </w:r>
      <w:r w:rsidR="009F1DB8">
        <w:rPr>
          <w:rFonts w:ascii="Arial" w:eastAsia="Calibri" w:hAnsi="Arial" w:cs="Arial"/>
          <w:sz w:val="22"/>
          <w:lang w:val="es-ES_tradnl"/>
        </w:rPr>
        <w:t xml:space="preserve"> obligatorios para las entidades sometidas a la Ley 80 de 1993 que contraten la ejecución de obras públicas de infraestructura de transporte a través de licitación, selección abreviada de menor cuantía y mínima cuantía. Por lo tanto, las obras de infraestructura de transporte realizadas a través de contratación directa –como en el caso d</w:t>
      </w:r>
      <w:r w:rsidR="009F1DB8">
        <w:rPr>
          <w:rFonts w:ascii="Arial" w:eastAsia="Calibri" w:hAnsi="Arial" w:cs="Arial"/>
          <w:color w:val="000000" w:themeColor="text1"/>
          <w:sz w:val="22"/>
          <w:lang w:val="es-ES_tradnl"/>
        </w:rPr>
        <w:t xml:space="preserve">el artículo 2, numeral 4, litera a), de la Ley 1150 de 2007– o en el marco de regímenes exceptuados del Estatuto General de Contratación –como sucede, por ejemplo, respecto al art. 66 de la Ley 1523 de 2012– </w:t>
      </w:r>
      <w:r w:rsidR="009F1DB8">
        <w:rPr>
          <w:rFonts w:ascii="Arial" w:eastAsia="Calibri" w:hAnsi="Arial" w:cs="Arial"/>
          <w:sz w:val="22"/>
          <w:lang w:val="es-ES_tradnl"/>
        </w:rPr>
        <w:t>no existe obligación de aplicar los documentos tipo mencionados, sin perjuicio de que puedan utilizarse como un parámetro de buena práctica contractual en el sistema de compras públicas</w:t>
      </w:r>
      <w:r w:rsidR="00F53B8B">
        <w:rPr>
          <w:rFonts w:ascii="Arial" w:hAnsi="Arial" w:cs="Arial"/>
          <w:sz w:val="22"/>
          <w:szCs w:val="22"/>
        </w:rPr>
        <w:t xml:space="preserve">. </w:t>
      </w:r>
    </w:p>
    <w:p w14:paraId="7A7078F8" w14:textId="5341D63F" w:rsidR="00BB6D3F" w:rsidRDefault="00BB6D3F" w:rsidP="00096005">
      <w:pPr>
        <w:spacing w:before="120" w:line="276" w:lineRule="auto"/>
        <w:ind w:firstLine="708"/>
        <w:jc w:val="both"/>
        <w:rPr>
          <w:rFonts w:ascii="Arial" w:hAnsi="Arial" w:cs="Arial"/>
          <w:sz w:val="22"/>
          <w:szCs w:val="22"/>
        </w:rPr>
      </w:pPr>
      <w:r>
        <w:rPr>
          <w:rFonts w:ascii="Arial" w:hAnsi="Arial" w:cs="Arial"/>
          <w:sz w:val="22"/>
          <w:szCs w:val="22"/>
        </w:rPr>
        <w:t>Concretamente, l</w:t>
      </w:r>
      <w:r w:rsidRPr="00BB6D3F">
        <w:rPr>
          <w:rFonts w:ascii="Arial" w:hAnsi="Arial" w:cs="Arial"/>
          <w:sz w:val="22"/>
          <w:szCs w:val="22"/>
        </w:rPr>
        <w:t xml:space="preserve">a aplicación de los documentos tipo para atención, prevención o mitigación de emergencias está prevista exclusivamente a eventos en los que se requiera la ejecución de dichas actividades en vías primarias o secundarias o terciarias o urbanas, que no deban contratarse bajo la modalidad de selección directa. A este último caso corresponden las circunstancias en que se declare la calamidad pública o la situación de desastre, la cual fundamenta la urgencia manifiesta de que trata el artículo 42 de la Ley 80 de 1993. Conforme a las circunstancias del caso concreto, la entidad contratante aplicará </w:t>
      </w:r>
      <w:r w:rsidRPr="00BB6D3F">
        <w:rPr>
          <w:rFonts w:ascii="Arial" w:hAnsi="Arial" w:cs="Arial"/>
          <w:sz w:val="22"/>
          <w:szCs w:val="22"/>
        </w:rPr>
        <w:lastRenderedPageBreak/>
        <w:t>los documentos tipo o la Ley 1523 de 2012 dependiendo del análisis en la etapa previa de planeación, la estructuración del proceso de selección y del proyecto en particular</w:t>
      </w:r>
      <w:r>
        <w:rPr>
          <w:rFonts w:ascii="Arial" w:hAnsi="Arial" w:cs="Arial"/>
          <w:sz w:val="22"/>
          <w:szCs w:val="22"/>
        </w:rPr>
        <w:t>.</w:t>
      </w:r>
    </w:p>
    <w:p w14:paraId="15F6D99B" w14:textId="77777777" w:rsidR="00B80476" w:rsidRDefault="00B80476" w:rsidP="00B2754F">
      <w:pPr>
        <w:jc w:val="both"/>
        <w:rPr>
          <w:rFonts w:ascii="Arial" w:eastAsia="Calibri" w:hAnsi="Arial" w:cs="Arial"/>
          <w:color w:val="000000" w:themeColor="text1"/>
          <w:sz w:val="22"/>
          <w:szCs w:val="22"/>
          <w:lang w:val="es-ES_tradnl"/>
        </w:rPr>
      </w:pPr>
    </w:p>
    <w:p w14:paraId="7B2C921D" w14:textId="5AFFCB70" w:rsidR="00DD5B04" w:rsidRPr="004A0905" w:rsidRDefault="00DD5B04" w:rsidP="00DF76A2">
      <w:pPr>
        <w:spacing w:line="276" w:lineRule="auto"/>
        <w:jc w:val="both"/>
        <w:rPr>
          <w:rFonts w:ascii="Arial" w:hAnsi="Arial" w:cs="Arial"/>
          <w:color w:val="000000" w:themeColor="text1"/>
          <w:sz w:val="22"/>
          <w:lang w:val="es-ES_tradnl"/>
        </w:rPr>
      </w:pPr>
      <w:r w:rsidRPr="004A090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A090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Atentamente,</w:t>
      </w:r>
    </w:p>
    <w:p w14:paraId="4914DA25" w14:textId="77777777" w:rsidR="00A80849" w:rsidRPr="004A0905"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06471041" w:rsidR="00921304" w:rsidRPr="004A0905" w:rsidRDefault="00CA6B7B" w:rsidP="009F5A2A">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6F4754A5" wp14:editId="1E871F47">
            <wp:extent cx="260985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9" cy="979944"/>
                    </a:xfrm>
                    <a:prstGeom prst="rect">
                      <a:avLst/>
                    </a:prstGeom>
                  </pic:spPr>
                </pic:pic>
              </a:graphicData>
            </a:graphic>
          </wp:inline>
        </w:drawing>
      </w:r>
      <w:bookmarkStart w:id="28" w:name="_GoBack"/>
      <w:bookmarkEnd w:id="28"/>
    </w:p>
    <w:p w14:paraId="30AA3DC7" w14:textId="247A87EA" w:rsidR="00921304" w:rsidRPr="004A0905"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5CBAE239" w14:textId="77777777" w:rsidR="00425C43" w:rsidRPr="004A0905" w:rsidRDefault="00425C43" w:rsidP="00B37657">
      <w:pPr>
        <w:jc w:val="center"/>
        <w:rPr>
          <w:rFonts w:ascii="Arial" w:hAnsi="Arial" w:cs="Arial"/>
          <w:color w:val="000000" w:themeColor="text1"/>
          <w:sz w:val="18"/>
          <w:szCs w:val="20"/>
          <w:lang w:val="es-ES_tradnl" w:eastAsia="es-CO"/>
        </w:rPr>
      </w:pPr>
    </w:p>
    <w:p w14:paraId="49730030" w14:textId="217D35F3" w:rsidR="00DD5B04" w:rsidRPr="004A0905"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A0905" w14:paraId="0C7DC5F7" w14:textId="77777777" w:rsidTr="008F4163">
        <w:trPr>
          <w:trHeight w:val="315"/>
        </w:trPr>
        <w:tc>
          <w:tcPr>
            <w:tcW w:w="812" w:type="dxa"/>
            <w:vAlign w:val="center"/>
            <w:hideMark/>
          </w:tcPr>
          <w:p w14:paraId="5BDB1AC9" w14:textId="77777777"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ABD2031" w:rsidR="00DD5B04" w:rsidRPr="004A0905" w:rsidRDefault="005E38E9"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Nina María Padrón Ballestas </w:t>
            </w:r>
          </w:p>
          <w:p w14:paraId="240C71FD" w14:textId="31312C95"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Contratista</w:t>
            </w:r>
            <w:r w:rsidR="00FF0050" w:rsidRPr="004A0905">
              <w:rPr>
                <w:rFonts w:ascii="Arial" w:hAnsi="Arial" w:cs="Arial"/>
                <w:color w:val="000000" w:themeColor="text1"/>
                <w:sz w:val="16"/>
                <w:szCs w:val="16"/>
                <w:lang w:val="es-ES_tradnl" w:eastAsia="es-ES"/>
              </w:rPr>
              <w:t xml:space="preserve"> de la </w:t>
            </w:r>
            <w:r w:rsidRPr="004A0905">
              <w:rPr>
                <w:rFonts w:ascii="Arial" w:hAnsi="Arial" w:cs="Arial"/>
                <w:color w:val="000000" w:themeColor="text1"/>
                <w:sz w:val="16"/>
                <w:szCs w:val="16"/>
                <w:lang w:val="es-ES_tradnl" w:eastAsia="es-ES"/>
              </w:rPr>
              <w:t>Subdirección de Gestión Contractual</w:t>
            </w:r>
          </w:p>
        </w:tc>
      </w:tr>
      <w:tr w:rsidR="00DD5B04" w:rsidRPr="004A0905" w14:paraId="2F8FD650" w14:textId="77777777" w:rsidTr="008F4163">
        <w:trPr>
          <w:trHeight w:val="330"/>
        </w:trPr>
        <w:tc>
          <w:tcPr>
            <w:tcW w:w="812" w:type="dxa"/>
            <w:vAlign w:val="center"/>
            <w:hideMark/>
          </w:tcPr>
          <w:p w14:paraId="50203A0B" w14:textId="77777777"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50747FC1" w:rsidR="008623A7" w:rsidRPr="004A0905" w:rsidRDefault="003A01F8" w:rsidP="008623A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05D68AAC" w14:textId="1835FCE0" w:rsidR="002B08BA" w:rsidRDefault="005E38E9"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w:t>
            </w:r>
            <w:r w:rsidR="003D281F">
              <w:rPr>
                <w:rFonts w:ascii="Arial" w:hAnsi="Arial" w:cs="Arial"/>
                <w:color w:val="000000" w:themeColor="text1"/>
                <w:sz w:val="16"/>
                <w:szCs w:val="16"/>
                <w:lang w:val="es-ES_tradnl" w:eastAsia="es-ES"/>
              </w:rPr>
              <w:t xml:space="preserve">estor </w:t>
            </w:r>
            <w:r w:rsidR="005D726C">
              <w:rPr>
                <w:rFonts w:ascii="Arial" w:hAnsi="Arial" w:cs="Arial"/>
                <w:color w:val="000000" w:themeColor="text1"/>
                <w:sz w:val="16"/>
                <w:szCs w:val="16"/>
                <w:lang w:val="es-ES_tradnl" w:eastAsia="es-ES"/>
              </w:rPr>
              <w:t>T1-</w:t>
            </w:r>
            <w:r w:rsidR="003D281F">
              <w:rPr>
                <w:rFonts w:ascii="Arial" w:hAnsi="Arial" w:cs="Arial"/>
                <w:color w:val="000000" w:themeColor="text1"/>
                <w:sz w:val="16"/>
                <w:szCs w:val="16"/>
                <w:lang w:val="es-ES_tradnl" w:eastAsia="es-ES"/>
              </w:rPr>
              <w:t xml:space="preserve">15 </w:t>
            </w:r>
            <w:r w:rsidR="005D726C">
              <w:rPr>
                <w:rFonts w:ascii="Arial" w:hAnsi="Arial" w:cs="Arial"/>
                <w:color w:val="000000" w:themeColor="text1"/>
                <w:sz w:val="16"/>
                <w:szCs w:val="16"/>
                <w:lang w:val="es-ES_tradnl" w:eastAsia="es-ES"/>
              </w:rPr>
              <w:t>de la</w:t>
            </w:r>
            <w:r w:rsidR="003D281F">
              <w:rPr>
                <w:rFonts w:ascii="Arial" w:hAnsi="Arial" w:cs="Arial"/>
                <w:color w:val="000000" w:themeColor="text1"/>
                <w:sz w:val="16"/>
                <w:szCs w:val="16"/>
                <w:lang w:val="es-ES_tradnl" w:eastAsia="es-ES"/>
              </w:rPr>
              <w:t xml:space="preserve"> Subdirección de Gestión Contractual </w:t>
            </w:r>
          </w:p>
          <w:p w14:paraId="166B33F4" w14:textId="4FADED11" w:rsidR="002B08BA" w:rsidRDefault="002B08BA" w:rsidP="00C05A61">
            <w:pPr>
              <w:jc w:val="both"/>
              <w:rPr>
                <w:rFonts w:ascii="Arial" w:hAnsi="Arial" w:cs="Arial"/>
                <w:color w:val="000000" w:themeColor="text1"/>
                <w:sz w:val="16"/>
                <w:szCs w:val="16"/>
                <w:lang w:val="es-ES_tradnl" w:eastAsia="es-ES"/>
              </w:rPr>
            </w:pPr>
            <w:proofErr w:type="spellStart"/>
            <w:r>
              <w:rPr>
                <w:rFonts w:ascii="Arial" w:hAnsi="Arial" w:cs="Arial"/>
                <w:color w:val="000000" w:themeColor="text1"/>
                <w:sz w:val="16"/>
                <w:szCs w:val="16"/>
                <w:lang w:val="es-ES_tradnl" w:eastAsia="es-ES"/>
              </w:rPr>
              <w:t>Karlo</w:t>
            </w:r>
            <w:proofErr w:type="spellEnd"/>
            <w:r>
              <w:rPr>
                <w:rFonts w:ascii="Arial" w:hAnsi="Arial" w:cs="Arial"/>
                <w:color w:val="000000" w:themeColor="text1"/>
                <w:sz w:val="16"/>
                <w:szCs w:val="16"/>
                <w:lang w:val="es-ES_tradnl" w:eastAsia="es-ES"/>
              </w:rPr>
              <w:t xml:space="preserve"> Fernández </w:t>
            </w:r>
            <w:r w:rsidR="003B0595">
              <w:rPr>
                <w:rFonts w:ascii="Arial" w:hAnsi="Arial" w:cs="Arial"/>
                <w:color w:val="000000" w:themeColor="text1"/>
                <w:sz w:val="16"/>
                <w:szCs w:val="16"/>
                <w:lang w:val="es-ES_tradnl" w:eastAsia="es-ES"/>
              </w:rPr>
              <w:t xml:space="preserve">Cala </w:t>
            </w:r>
          </w:p>
          <w:p w14:paraId="130B3228" w14:textId="3B01872D" w:rsidR="002B08BA" w:rsidRPr="004A0905" w:rsidRDefault="005D726C"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T1-15 de la Dirección General</w:t>
            </w:r>
          </w:p>
        </w:tc>
      </w:tr>
      <w:tr w:rsidR="00DD5B04" w:rsidRPr="005E4B72" w14:paraId="0FCBCA4A" w14:textId="77777777" w:rsidTr="008F4163">
        <w:trPr>
          <w:trHeight w:val="300"/>
        </w:trPr>
        <w:tc>
          <w:tcPr>
            <w:tcW w:w="812" w:type="dxa"/>
            <w:vAlign w:val="center"/>
            <w:hideMark/>
          </w:tcPr>
          <w:p w14:paraId="3C1D943A" w14:textId="29B4D648" w:rsidR="00DD5B04" w:rsidRPr="004A0905"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A0905" w:rsidRDefault="00C05A61"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 xml:space="preserve">Jorge </w:t>
            </w:r>
            <w:r w:rsidR="00647A36" w:rsidRPr="004A0905">
              <w:rPr>
                <w:rFonts w:ascii="Arial" w:hAnsi="Arial" w:cs="Arial"/>
                <w:color w:val="000000" w:themeColor="text1"/>
                <w:sz w:val="16"/>
                <w:szCs w:val="16"/>
                <w:lang w:val="es-ES_tradnl" w:eastAsia="es-ES"/>
              </w:rPr>
              <w:t xml:space="preserve">Augusto </w:t>
            </w:r>
            <w:r w:rsidRPr="004A0905">
              <w:rPr>
                <w:rFonts w:ascii="Arial" w:hAnsi="Arial" w:cs="Arial"/>
                <w:color w:val="000000" w:themeColor="text1"/>
                <w:sz w:val="16"/>
                <w:szCs w:val="16"/>
                <w:lang w:val="es-ES_tradnl" w:eastAsia="es-ES"/>
              </w:rPr>
              <w:t>Tirado Navarro</w:t>
            </w:r>
          </w:p>
          <w:p w14:paraId="1ADC483B" w14:textId="384FAF72" w:rsidR="00DD5B04" w:rsidRPr="005E4B72" w:rsidRDefault="00DD5B04" w:rsidP="00DF76A2">
            <w:pPr>
              <w:jc w:val="both"/>
              <w:rPr>
                <w:rFonts w:ascii="Arial" w:hAnsi="Arial" w:cs="Arial"/>
                <w:color w:val="000000" w:themeColor="text1"/>
                <w:sz w:val="16"/>
                <w:szCs w:val="16"/>
                <w:lang w:val="es-ES_tradnl" w:eastAsia="es-ES"/>
              </w:rPr>
            </w:pPr>
            <w:r w:rsidRPr="004A0905">
              <w:rPr>
                <w:rFonts w:ascii="Arial" w:hAnsi="Arial" w:cs="Arial"/>
                <w:color w:val="000000" w:themeColor="text1"/>
                <w:sz w:val="16"/>
                <w:szCs w:val="16"/>
                <w:lang w:val="es-ES_tradnl" w:eastAsia="es-ES"/>
              </w:rPr>
              <w:t>Subdirector de Gestión Contractual</w:t>
            </w:r>
            <w:r w:rsidR="003D369D" w:rsidRPr="004A0905">
              <w:rPr>
                <w:rFonts w:ascii="Arial" w:hAnsi="Arial" w:cs="Arial"/>
                <w:color w:val="000000" w:themeColor="text1"/>
                <w:sz w:val="16"/>
                <w:szCs w:val="16"/>
                <w:lang w:val="es-ES_tradnl" w:eastAsia="es-ES"/>
              </w:rPr>
              <w:t xml:space="preserve"> ANCP – CCE</w:t>
            </w:r>
          </w:p>
        </w:tc>
      </w:tr>
    </w:tbl>
    <w:p w14:paraId="35B56F46" w14:textId="77777777" w:rsidR="00746E08" w:rsidRPr="005E4B72" w:rsidRDefault="00746E08" w:rsidP="00215B8E">
      <w:pPr>
        <w:jc w:val="both"/>
        <w:rPr>
          <w:rFonts w:ascii="Arial" w:hAnsi="Arial" w:cs="Arial"/>
          <w:lang w:val="es-ES_tradnl"/>
        </w:rPr>
      </w:pPr>
    </w:p>
    <w:p w14:paraId="4F16257E" w14:textId="77777777" w:rsidR="00F421E7" w:rsidRPr="005E4B72" w:rsidRDefault="00F421E7">
      <w:pPr>
        <w:jc w:val="both"/>
        <w:rPr>
          <w:rFonts w:ascii="Arial" w:hAnsi="Arial" w:cs="Arial"/>
          <w:lang w:val="es-ES_tradnl"/>
        </w:rPr>
      </w:pPr>
    </w:p>
    <w:sectPr w:rsidR="00F421E7" w:rsidRPr="005E4B7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EF60" w16cex:dateUtc="2021-05-27T15:13:00Z"/>
  <w16cex:commentExtensible w16cex:durableId="2459EF72" w16cex:dateUtc="2021-05-27T15:14:00Z"/>
  <w16cex:commentExtensible w16cex:durableId="245901A3" w16cex:dateUtc="2021-05-26T22:19:00Z"/>
  <w16cex:commentExtensible w16cex:durableId="24590950" w16cex:dateUtc="2021-05-26T22:52:00Z"/>
  <w16cex:commentExtensible w16cex:durableId="2459ECF1" w16cex:dateUtc="2021-05-27T15:03:00Z"/>
  <w16cex:commentExtensible w16cex:durableId="2459EDAB" w16cex:dateUtc="2021-05-27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5B8F1" w16cid:durableId="2459EF60"/>
  <w16cid:commentId w16cid:paraId="12D3485C" w16cid:durableId="2459EF72"/>
  <w16cid:commentId w16cid:paraId="14FB77B2" w16cid:durableId="245901A3"/>
  <w16cid:commentId w16cid:paraId="07B9E286" w16cid:durableId="24590950"/>
  <w16cid:commentId w16cid:paraId="0ECFDCED" w16cid:durableId="2459ECF1"/>
  <w16cid:commentId w16cid:paraId="4EA08D67" w16cid:durableId="2459ED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5A828" w14:textId="77777777" w:rsidR="006601C0" w:rsidRDefault="006601C0">
      <w:r>
        <w:separator/>
      </w:r>
    </w:p>
  </w:endnote>
  <w:endnote w:type="continuationSeparator" w:id="0">
    <w:p w14:paraId="51889FF5" w14:textId="77777777" w:rsidR="006601C0" w:rsidRDefault="006601C0">
      <w:r>
        <w:continuationSeparator/>
      </w:r>
    </w:p>
  </w:endnote>
  <w:endnote w:type="continuationNotice" w:id="1">
    <w:p w14:paraId="5B334BC2" w14:textId="77777777" w:rsidR="006601C0" w:rsidRDefault="00660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2A34" w14:textId="77777777" w:rsidR="008F4163" w:rsidRDefault="008F4163" w:rsidP="00322937">
    <w:pPr>
      <w:pStyle w:val="Sinespaciado"/>
      <w:jc w:val="right"/>
      <w:rPr>
        <w:rFonts w:ascii="Arial" w:hAnsi="Arial" w:cs="Arial"/>
        <w:sz w:val="18"/>
        <w:szCs w:val="18"/>
      </w:rPr>
    </w:pPr>
  </w:p>
  <w:p w14:paraId="7A3785F3" w14:textId="43103470"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A6B7B">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A6B7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02547" w14:textId="77777777" w:rsidR="006601C0" w:rsidRDefault="006601C0">
      <w:r>
        <w:separator/>
      </w:r>
    </w:p>
  </w:footnote>
  <w:footnote w:type="continuationSeparator" w:id="0">
    <w:p w14:paraId="4A048DAC" w14:textId="77777777" w:rsidR="006601C0" w:rsidRDefault="006601C0">
      <w:r>
        <w:continuationSeparator/>
      </w:r>
    </w:p>
  </w:footnote>
  <w:footnote w:type="continuationNotice" w:id="1">
    <w:p w14:paraId="6389B46C" w14:textId="77777777" w:rsidR="006601C0" w:rsidRDefault="006601C0"/>
  </w:footnote>
  <w:footnote w:id="2">
    <w:p w14:paraId="7867E553" w14:textId="77777777" w:rsidR="00441AD4" w:rsidRDefault="00441AD4" w:rsidP="00441AD4">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4D594C4" w14:textId="77777777" w:rsidR="00441AD4" w:rsidRDefault="00441AD4" w:rsidP="00441AD4">
      <w:pPr>
        <w:pStyle w:val="Textonotapie"/>
        <w:ind w:firstLine="709"/>
      </w:pPr>
    </w:p>
  </w:footnote>
  <w:footnote w:id="3">
    <w:p w14:paraId="50B90788" w14:textId="77777777" w:rsidR="00441AD4" w:rsidRDefault="00441AD4" w:rsidP="00441AD4">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Pr>
          <w:rFonts w:ascii="Arial" w:eastAsia="Times New Roman" w:hAnsi="Arial" w:cs="Arial"/>
          <w:color w:val="000000"/>
          <w:sz w:val="19"/>
          <w:szCs w:val="19"/>
          <w:bdr w:val="none" w:sz="0" w:space="0" w:color="auto" w:frame="1"/>
          <w:lang w:eastAsia="es-CO"/>
        </w:rPr>
        <w:t>Diario Oficial. Gaceta del Congreso 458 de 2005.  </w:t>
      </w:r>
    </w:p>
    <w:p w14:paraId="6562CE8F" w14:textId="77777777" w:rsidR="00441AD4" w:rsidRDefault="00441AD4" w:rsidP="00441AD4">
      <w:pPr>
        <w:pStyle w:val="Textonotapie"/>
        <w:ind w:firstLine="709"/>
      </w:pPr>
    </w:p>
  </w:footnote>
  <w:footnote w:id="4">
    <w:p w14:paraId="1A9B4235" w14:textId="77777777" w:rsidR="00441AD4" w:rsidRDefault="00441AD4" w:rsidP="00441AD4">
      <w:pPr>
        <w:pStyle w:val="Textonotapie"/>
        <w:ind w:firstLine="709"/>
      </w:pPr>
      <w:r>
        <w:rPr>
          <w:rStyle w:val="Refdenotaalpie"/>
        </w:rPr>
        <w:footnoteRef/>
      </w:r>
      <w:r>
        <w:t xml:space="preserve"> </w:t>
      </w:r>
      <w:r>
        <w:rPr>
          <w:rFonts w:ascii="Arial" w:hAnsi="Arial" w:cs="Arial"/>
          <w:sz w:val="19"/>
          <w:szCs w:val="19"/>
        </w:rPr>
        <w:t>Ibídem.</w:t>
      </w:r>
      <w:r>
        <w:t xml:space="preserve">  </w:t>
      </w:r>
    </w:p>
    <w:p w14:paraId="5147A134" w14:textId="77777777" w:rsidR="00441AD4" w:rsidRDefault="00441AD4" w:rsidP="00441AD4">
      <w:pPr>
        <w:pStyle w:val="Textonotapie"/>
        <w:ind w:firstLine="709"/>
      </w:pPr>
    </w:p>
  </w:footnote>
  <w:footnote w:id="5">
    <w:p w14:paraId="44001956" w14:textId="77777777" w:rsidR="00441AD4" w:rsidRDefault="00441AD4" w:rsidP="00441AD4">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Diario Oficial. Gaceta del Congreso 416 de 2007, Informe de Conciliación Senado. </w:t>
      </w:r>
    </w:p>
    <w:p w14:paraId="52D8E317" w14:textId="77777777" w:rsidR="00441AD4" w:rsidRDefault="00441AD4" w:rsidP="00441AD4">
      <w:pPr>
        <w:shd w:val="clear" w:color="auto" w:fill="FFFFFF"/>
        <w:ind w:firstLine="709"/>
        <w:jc w:val="both"/>
        <w:textAlignment w:val="baseline"/>
        <w:rPr>
          <w:rFonts w:ascii="Calibri" w:hAnsi="Calibri" w:cs="Calibri"/>
          <w:color w:val="000000"/>
          <w:sz w:val="20"/>
          <w:szCs w:val="20"/>
          <w:lang w:eastAsia="es-CO"/>
        </w:rPr>
      </w:pPr>
    </w:p>
  </w:footnote>
  <w:footnote w:id="6">
    <w:p w14:paraId="658CC3F1" w14:textId="77777777" w:rsidR="00441AD4" w:rsidRDefault="00441AD4" w:rsidP="00441AD4">
      <w:pPr>
        <w:shd w:val="clear" w:color="auto" w:fill="FFFFFF"/>
        <w:ind w:firstLine="709"/>
        <w:jc w:val="both"/>
        <w:textAlignment w:val="baseline"/>
        <w:rPr>
          <w:rFonts w:cs="Calibri"/>
          <w:color w:val="000000"/>
          <w:sz w:val="20"/>
          <w:szCs w:val="20"/>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445E58A" w14:textId="77777777" w:rsidR="00441AD4" w:rsidRDefault="00441AD4" w:rsidP="00441AD4">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883DC09" w14:textId="77777777" w:rsidR="00441AD4" w:rsidRDefault="00441AD4" w:rsidP="00441AD4">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59D3D9B" w14:textId="77777777" w:rsidR="00441AD4" w:rsidRDefault="00441AD4" w:rsidP="00441AD4">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C513236" w14:textId="77777777" w:rsidR="00441AD4" w:rsidRDefault="00441AD4" w:rsidP="00441AD4">
      <w:pPr>
        <w:shd w:val="clear" w:color="auto" w:fill="FFFFFF"/>
        <w:ind w:firstLine="708"/>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71FFFF5B" w14:textId="77777777" w:rsidR="00441AD4" w:rsidRDefault="00441AD4" w:rsidP="00441AD4">
      <w:pPr>
        <w:pStyle w:val="Textonotapie"/>
      </w:pPr>
    </w:p>
  </w:footnote>
  <w:footnote w:id="7">
    <w:p w14:paraId="04F439AD" w14:textId="77777777" w:rsidR="00441AD4" w:rsidRPr="001856E0" w:rsidRDefault="00441AD4" w:rsidP="00441AD4">
      <w:pPr>
        <w:spacing w:before="120"/>
        <w:ind w:firstLine="708"/>
        <w:jc w:val="both"/>
        <w:rPr>
          <w:rFonts w:ascii="Arial" w:eastAsia="Calibri" w:hAnsi="Arial" w:cs="Arial"/>
          <w:color w:val="000000" w:themeColor="text1"/>
          <w:sz w:val="19"/>
          <w:szCs w:val="19"/>
          <w:lang w:val="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_tradnl"/>
        </w:rPr>
        <w:t>La jurisprudencia delimita su sentido y alcance de la siguiente manera –</w:t>
      </w:r>
      <w:r w:rsidRPr="001856E0">
        <w:rPr>
          <w:rFonts w:ascii="Arial" w:hAnsi="Arial" w:cs="Arial"/>
          <w:color w:val="000000" w:themeColor="text1"/>
          <w:sz w:val="19"/>
          <w:szCs w:val="19"/>
          <w:lang w:val="es-ES"/>
        </w:rPr>
        <w:t>CORTE SUPREMA DE JUSTICIA. Sala de Casación Civil. Sentencia 20 de noviembre de 1989. MP. Alberto Ospina Botero. Publicada en la Gaceta Judicial. Tomo CXCVI. N° 2435. p. 93</w:t>
      </w:r>
      <w:r w:rsidRPr="001856E0">
        <w:rPr>
          <w:rFonts w:ascii="Arial" w:hAnsi="Arial" w:cs="Arial"/>
          <w:color w:val="000000" w:themeColor="text1"/>
          <w:sz w:val="19"/>
          <w:szCs w:val="19"/>
          <w:lang w:val="es-ES_tradnl"/>
        </w:rPr>
        <w:t>–:</w:t>
      </w:r>
    </w:p>
    <w:p w14:paraId="28555FD1" w14:textId="77777777" w:rsidR="00441AD4" w:rsidRPr="001856E0" w:rsidRDefault="00441AD4" w:rsidP="00441AD4">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«6. […] la fuerza mayor o caso fortuito se configura por la concurrencia de dos factores:</w:t>
      </w:r>
    </w:p>
    <w:p w14:paraId="6E4990B7" w14:textId="77777777" w:rsidR="00441AD4" w:rsidRPr="001856E0" w:rsidRDefault="00441AD4" w:rsidP="00441AD4">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1741BABD" w14:textId="77777777" w:rsidR="00441AD4" w:rsidRPr="001856E0" w:rsidRDefault="00441AD4" w:rsidP="00441AD4">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»b) Que el hecho sea irresistible, o sea, que el agente no pueda evitar su acaecimiento ni superar sus consecuencias.</w:t>
      </w:r>
    </w:p>
    <w:p w14:paraId="4FA59AAF" w14:textId="77777777" w:rsidR="00441AD4" w:rsidRPr="001856E0" w:rsidRDefault="00441AD4" w:rsidP="00441AD4">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1F2C03FE" w14:textId="77777777" w:rsidR="00441AD4" w:rsidRPr="001856E0" w:rsidRDefault="00441AD4" w:rsidP="00441AD4">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76A1E7A2" w14:textId="77777777" w:rsidR="00441AD4" w:rsidRPr="001856E0" w:rsidRDefault="00441AD4" w:rsidP="00441AD4">
      <w:pPr>
        <w:spacing w:before="120"/>
        <w:ind w:right="49"/>
        <w:jc w:val="both"/>
        <w:rPr>
          <w:rFonts w:ascii="Arial" w:eastAsia="Calibri" w:hAnsi="Arial" w:cs="Arial"/>
          <w:color w:val="000000" w:themeColor="text1"/>
          <w:sz w:val="19"/>
          <w:szCs w:val="19"/>
          <w:lang w:val="es-ES_tradnl"/>
        </w:rPr>
      </w:pPr>
      <w:r w:rsidRPr="001856E0">
        <w:rPr>
          <w:rFonts w:ascii="Arial" w:eastAsia="Calibri" w:hAnsi="Arial" w:cs="Arial"/>
          <w:color w:val="000000" w:themeColor="text1"/>
          <w:sz w:val="19"/>
          <w:szCs w:val="19"/>
          <w:lang w:val="es-ES_tradnl"/>
        </w:rPr>
        <w:t>[…]</w:t>
      </w:r>
    </w:p>
    <w:p w14:paraId="3C40332E" w14:textId="77777777" w:rsidR="00441AD4" w:rsidRPr="001856E0" w:rsidRDefault="00441AD4" w:rsidP="00441AD4">
      <w:pPr>
        <w:pStyle w:val="Textonotapie"/>
        <w:ind w:right="49"/>
        <w:jc w:val="both"/>
        <w:rPr>
          <w:rFonts w:ascii="Arial" w:hAnsi="Arial" w:cs="Arial"/>
          <w:color w:val="000000" w:themeColor="text1"/>
          <w:sz w:val="19"/>
          <w:szCs w:val="19"/>
          <w:lang w:val="es-CO"/>
        </w:rPr>
      </w:pPr>
      <w:r w:rsidRPr="001856E0">
        <w:rPr>
          <w:rFonts w:ascii="Arial" w:eastAsia="Calibri" w:hAnsi="Arial" w:cs="Arial"/>
          <w:color w:val="000000" w:themeColor="text1"/>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p>
  </w:footnote>
  <w:footnote w:id="8">
    <w:p w14:paraId="05F832F9"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r w:rsidRPr="001856E0">
        <w:rPr>
          <w:rFonts w:ascii="Arial" w:hAnsi="Arial" w:cs="Arial"/>
          <w:color w:val="000000" w:themeColor="text1"/>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1DC823F8"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»1. Nacional. Existirá una situación de desastre nacional:</w:t>
      </w:r>
    </w:p>
    <w:p w14:paraId="2218ACB3"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27A60D12"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»b). Cuando se hayan producido efectos adversos en uno (1) o más departamentos y su impacto rebase la capacidad técnica y los recursos de las administraciones departamentales y municipales involucradas.</w:t>
      </w:r>
    </w:p>
    <w:p w14:paraId="28502E4D"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270D13BF"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3BBB3CB6"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Fonts w:ascii="Arial" w:hAnsi="Arial" w:cs="Arial"/>
          <w:color w:val="000000" w:themeColor="text1"/>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9">
    <w:p w14:paraId="1914E00C" w14:textId="77777777" w:rsidR="00441AD4" w:rsidRPr="001856E0" w:rsidRDefault="00441AD4" w:rsidP="00441AD4">
      <w:pPr>
        <w:pStyle w:val="Textonotapie"/>
        <w:ind w:firstLine="708"/>
        <w:jc w:val="both"/>
        <w:rPr>
          <w:color w:val="000000" w:themeColor="text1"/>
        </w:rPr>
      </w:pPr>
    </w:p>
    <w:p w14:paraId="50E3DC3D" w14:textId="77777777" w:rsidR="00441AD4" w:rsidRPr="001856E0" w:rsidRDefault="00441AD4" w:rsidP="00441AD4">
      <w:pPr>
        <w:pStyle w:val="Textonotapie"/>
        <w:ind w:firstLine="708"/>
        <w:jc w:val="both"/>
        <w:rPr>
          <w:color w:val="000000" w:themeColor="text1"/>
          <w:lang w:val="es-CO"/>
        </w:rPr>
      </w:pPr>
      <w:r w:rsidRPr="001856E0">
        <w:rPr>
          <w:rStyle w:val="Refdenotaalpie"/>
          <w:color w:val="000000" w:themeColor="text1"/>
        </w:rPr>
        <w:footnoteRef/>
      </w:r>
      <w:r w:rsidRPr="001856E0">
        <w:rPr>
          <w:color w:val="000000" w:themeColor="text1"/>
        </w:rPr>
        <w:t xml:space="preserve"> «</w:t>
      </w:r>
      <w:r w:rsidRPr="001856E0">
        <w:rPr>
          <w:rFonts w:ascii="Arial" w:hAnsi="Arial" w:cs="Arial"/>
          <w:color w:val="000000" w:themeColor="text1"/>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0">
    <w:p w14:paraId="5084EC9F" w14:textId="77777777" w:rsidR="00441AD4" w:rsidRPr="001856E0" w:rsidRDefault="00441AD4" w:rsidP="00441AD4">
      <w:pPr>
        <w:pStyle w:val="Textonotapie"/>
        <w:ind w:firstLine="708"/>
        <w:jc w:val="both"/>
        <w:rPr>
          <w:rFonts w:ascii="Arial" w:hAnsi="Arial" w:cs="Arial"/>
          <w:color w:val="000000" w:themeColor="text1"/>
          <w:sz w:val="19"/>
          <w:szCs w:val="19"/>
          <w:lang w:val="es-ES"/>
        </w:rPr>
      </w:pPr>
      <w:r w:rsidRPr="001856E0">
        <w:rPr>
          <w:rStyle w:val="Refdenotaalpie"/>
          <w:color w:val="000000" w:themeColor="text1"/>
        </w:rPr>
        <w:footnoteRef/>
      </w:r>
      <w:r w:rsidRPr="001856E0">
        <w:rPr>
          <w:color w:val="000000" w:themeColor="text1"/>
        </w:rPr>
        <w:t xml:space="preserve"> </w:t>
      </w:r>
      <w:r w:rsidRPr="001856E0">
        <w:rPr>
          <w:rFonts w:ascii="Arial" w:hAnsi="Arial" w:cs="Arial"/>
          <w:color w:val="000000" w:themeColor="text1"/>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11">
    <w:p w14:paraId="16766F26" w14:textId="77777777" w:rsidR="00441AD4" w:rsidRPr="001856E0" w:rsidRDefault="00441AD4" w:rsidP="00441AD4">
      <w:pPr>
        <w:pStyle w:val="NormalWeb"/>
        <w:spacing w:before="0" w:beforeAutospacing="0" w:after="0" w:afterAutospacing="0"/>
        <w:ind w:firstLine="708"/>
        <w:jc w:val="both"/>
        <w:rPr>
          <w:rFonts w:ascii="Arial" w:hAnsi="Arial" w:cs="Arial"/>
          <w:color w:val="000000" w:themeColor="text1"/>
          <w:sz w:val="19"/>
          <w:szCs w:val="19"/>
        </w:rPr>
      </w:pPr>
    </w:p>
    <w:p w14:paraId="5892C10C" w14:textId="77777777" w:rsidR="00441AD4" w:rsidRPr="001856E0" w:rsidRDefault="00441AD4" w:rsidP="00441AD4">
      <w:pPr>
        <w:pStyle w:val="NormalWeb"/>
        <w:spacing w:before="0" w:beforeAutospacing="0" w:after="0" w:afterAutospacing="0"/>
        <w:ind w:firstLine="708"/>
        <w:jc w:val="both"/>
        <w:rPr>
          <w:rFonts w:ascii="Arial" w:hAnsi="Arial" w:cs="Arial"/>
          <w:color w:val="000000" w:themeColor="text1"/>
          <w:sz w:val="19"/>
          <w:szCs w:val="19"/>
          <w:lang w:eastAsia="es-ES_tradnl"/>
        </w:rPr>
      </w:pPr>
      <w:r w:rsidRPr="001856E0">
        <w:rPr>
          <w:rStyle w:val="Refdenotaalpie"/>
          <w:rFonts w:ascii="Arial" w:hAnsi="Arial" w:cs="Arial"/>
          <w:color w:val="000000" w:themeColor="text1"/>
          <w:sz w:val="19"/>
          <w:szCs w:val="19"/>
        </w:rPr>
        <w:footnoteRef/>
      </w:r>
      <w:r w:rsidRPr="001856E0">
        <w:rPr>
          <w:rFonts w:ascii="Arial" w:hAnsi="Arial" w:cs="Arial"/>
          <w:color w:val="000000" w:themeColor="text1"/>
          <w:sz w:val="19"/>
          <w:szCs w:val="19"/>
        </w:rPr>
        <w:t xml:space="preserve"> </w:t>
      </w:r>
      <w:bookmarkStart w:id="15" w:name="54"/>
      <w:r w:rsidRPr="001856E0">
        <w:rPr>
          <w:rFonts w:ascii="Arial" w:hAnsi="Arial" w:cs="Arial"/>
          <w:color w:val="000000" w:themeColor="text1"/>
          <w:sz w:val="19"/>
          <w:szCs w:val="19"/>
        </w:rPr>
        <w:t>«</w:t>
      </w:r>
      <w:r w:rsidRPr="001856E0">
        <w:rPr>
          <w:rFonts w:ascii="Arial" w:hAnsi="Arial" w:cs="Arial"/>
          <w:color w:val="000000" w:themeColor="text1"/>
          <w:sz w:val="19"/>
          <w:szCs w:val="19"/>
          <w:lang w:eastAsia="es-ES_tradnl"/>
        </w:rPr>
        <w:t>Artículo 54. Fondos territoriales.</w:t>
      </w:r>
      <w:bookmarkEnd w:id="15"/>
      <w:r w:rsidRPr="001856E0">
        <w:rPr>
          <w:rFonts w:ascii="Arial" w:hAnsi="Arial" w:cs="Arial"/>
          <w:color w:val="000000" w:themeColor="text1"/>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1104C4B3" w14:textId="77777777" w:rsidR="00441AD4" w:rsidRPr="001856E0" w:rsidRDefault="00441AD4" w:rsidP="00441AD4">
      <w:pPr>
        <w:ind w:firstLine="708"/>
        <w:jc w:val="both"/>
        <w:rPr>
          <w:rFonts w:ascii="Arial" w:hAnsi="Arial" w:cs="Arial"/>
          <w:color w:val="000000" w:themeColor="text1"/>
          <w:sz w:val="19"/>
          <w:szCs w:val="19"/>
        </w:rPr>
      </w:pPr>
      <w:r w:rsidRPr="001856E0">
        <w:rPr>
          <w:rFonts w:ascii="Arial" w:hAnsi="Arial" w:cs="Arial"/>
          <w:color w:val="000000" w:themeColor="text1"/>
          <w:sz w:val="19"/>
          <w:szCs w:val="19"/>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FD"/>
    <w:rsid w:val="00007E37"/>
    <w:rsid w:val="00010C40"/>
    <w:rsid w:val="000112B4"/>
    <w:rsid w:val="00011DCC"/>
    <w:rsid w:val="000122DF"/>
    <w:rsid w:val="00012532"/>
    <w:rsid w:val="00012B9E"/>
    <w:rsid w:val="00012F37"/>
    <w:rsid w:val="00012FBA"/>
    <w:rsid w:val="00013C6B"/>
    <w:rsid w:val="0001406B"/>
    <w:rsid w:val="000143F8"/>
    <w:rsid w:val="00014624"/>
    <w:rsid w:val="00015B44"/>
    <w:rsid w:val="00015E3E"/>
    <w:rsid w:val="00016081"/>
    <w:rsid w:val="000165AC"/>
    <w:rsid w:val="00016651"/>
    <w:rsid w:val="000171A2"/>
    <w:rsid w:val="00017B65"/>
    <w:rsid w:val="00020158"/>
    <w:rsid w:val="000207E0"/>
    <w:rsid w:val="000209E2"/>
    <w:rsid w:val="00020F8F"/>
    <w:rsid w:val="00021A95"/>
    <w:rsid w:val="0002256F"/>
    <w:rsid w:val="00023DAE"/>
    <w:rsid w:val="00024855"/>
    <w:rsid w:val="00024896"/>
    <w:rsid w:val="00025D0A"/>
    <w:rsid w:val="000263F0"/>
    <w:rsid w:val="00026407"/>
    <w:rsid w:val="00026608"/>
    <w:rsid w:val="00027787"/>
    <w:rsid w:val="000278D2"/>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DC3"/>
    <w:rsid w:val="000526F0"/>
    <w:rsid w:val="0005273D"/>
    <w:rsid w:val="00052B79"/>
    <w:rsid w:val="00052E4B"/>
    <w:rsid w:val="00052EA0"/>
    <w:rsid w:val="000536A7"/>
    <w:rsid w:val="000536E3"/>
    <w:rsid w:val="00053896"/>
    <w:rsid w:val="00053A00"/>
    <w:rsid w:val="0005474D"/>
    <w:rsid w:val="00054D74"/>
    <w:rsid w:val="00055CB9"/>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CDB"/>
    <w:rsid w:val="00092DCA"/>
    <w:rsid w:val="00093ECD"/>
    <w:rsid w:val="000942EB"/>
    <w:rsid w:val="00095B70"/>
    <w:rsid w:val="00095E38"/>
    <w:rsid w:val="00096005"/>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62F"/>
    <w:rsid w:val="000A3B49"/>
    <w:rsid w:val="000A46FE"/>
    <w:rsid w:val="000A47E6"/>
    <w:rsid w:val="000A52C0"/>
    <w:rsid w:val="000A5AAF"/>
    <w:rsid w:val="000A5F97"/>
    <w:rsid w:val="000A600A"/>
    <w:rsid w:val="000A648E"/>
    <w:rsid w:val="000A73BB"/>
    <w:rsid w:val="000A73E8"/>
    <w:rsid w:val="000A7EF4"/>
    <w:rsid w:val="000B081A"/>
    <w:rsid w:val="000B0A15"/>
    <w:rsid w:val="000B103F"/>
    <w:rsid w:val="000B1437"/>
    <w:rsid w:val="000B1470"/>
    <w:rsid w:val="000B244D"/>
    <w:rsid w:val="000B2B86"/>
    <w:rsid w:val="000B3051"/>
    <w:rsid w:val="000B419B"/>
    <w:rsid w:val="000B5781"/>
    <w:rsid w:val="000B5CB1"/>
    <w:rsid w:val="000B68EA"/>
    <w:rsid w:val="000B75F4"/>
    <w:rsid w:val="000C0185"/>
    <w:rsid w:val="000C0F81"/>
    <w:rsid w:val="000C128D"/>
    <w:rsid w:val="000C15EE"/>
    <w:rsid w:val="000C17A3"/>
    <w:rsid w:val="000C1D4B"/>
    <w:rsid w:val="000C2DC4"/>
    <w:rsid w:val="000C3260"/>
    <w:rsid w:val="000C3B77"/>
    <w:rsid w:val="000C3F6D"/>
    <w:rsid w:val="000C45DD"/>
    <w:rsid w:val="000C4F49"/>
    <w:rsid w:val="000C5861"/>
    <w:rsid w:val="000C5BDE"/>
    <w:rsid w:val="000C6076"/>
    <w:rsid w:val="000C639D"/>
    <w:rsid w:val="000C6C31"/>
    <w:rsid w:val="000C6DBC"/>
    <w:rsid w:val="000C6F79"/>
    <w:rsid w:val="000C7476"/>
    <w:rsid w:val="000C7480"/>
    <w:rsid w:val="000C7711"/>
    <w:rsid w:val="000C7AA2"/>
    <w:rsid w:val="000D0462"/>
    <w:rsid w:val="000D053D"/>
    <w:rsid w:val="000D0ED2"/>
    <w:rsid w:val="000D1CEB"/>
    <w:rsid w:val="000D2563"/>
    <w:rsid w:val="000D25BF"/>
    <w:rsid w:val="000D3582"/>
    <w:rsid w:val="000D3FDC"/>
    <w:rsid w:val="000D490B"/>
    <w:rsid w:val="000D4E38"/>
    <w:rsid w:val="000D50DB"/>
    <w:rsid w:val="000D6288"/>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6328"/>
    <w:rsid w:val="001163CF"/>
    <w:rsid w:val="001174C9"/>
    <w:rsid w:val="00117E69"/>
    <w:rsid w:val="00121103"/>
    <w:rsid w:val="00121A9B"/>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244"/>
    <w:rsid w:val="0013695C"/>
    <w:rsid w:val="00136BF7"/>
    <w:rsid w:val="00136C78"/>
    <w:rsid w:val="001378B9"/>
    <w:rsid w:val="00137E75"/>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2552"/>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3AF"/>
    <w:rsid w:val="001829CD"/>
    <w:rsid w:val="00182F01"/>
    <w:rsid w:val="001833C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530"/>
    <w:rsid w:val="001B5EF8"/>
    <w:rsid w:val="001B5F4C"/>
    <w:rsid w:val="001B71E8"/>
    <w:rsid w:val="001C07C6"/>
    <w:rsid w:val="001C19CD"/>
    <w:rsid w:val="001C22D5"/>
    <w:rsid w:val="001C2515"/>
    <w:rsid w:val="001C26FB"/>
    <w:rsid w:val="001C33C1"/>
    <w:rsid w:val="001C3801"/>
    <w:rsid w:val="001C3E30"/>
    <w:rsid w:val="001C3E5C"/>
    <w:rsid w:val="001C5072"/>
    <w:rsid w:val="001C5192"/>
    <w:rsid w:val="001C5B2A"/>
    <w:rsid w:val="001C600B"/>
    <w:rsid w:val="001C6476"/>
    <w:rsid w:val="001C6898"/>
    <w:rsid w:val="001C6DD8"/>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469"/>
    <w:rsid w:val="001E28A0"/>
    <w:rsid w:val="001E320D"/>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5EA6"/>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679AB"/>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454"/>
    <w:rsid w:val="00291784"/>
    <w:rsid w:val="002920DF"/>
    <w:rsid w:val="002929BB"/>
    <w:rsid w:val="00294368"/>
    <w:rsid w:val="00294B78"/>
    <w:rsid w:val="00295416"/>
    <w:rsid w:val="002956FB"/>
    <w:rsid w:val="00295949"/>
    <w:rsid w:val="00295D7C"/>
    <w:rsid w:val="0029624A"/>
    <w:rsid w:val="002968AB"/>
    <w:rsid w:val="00296922"/>
    <w:rsid w:val="00297098"/>
    <w:rsid w:val="002A05D4"/>
    <w:rsid w:val="002A06DB"/>
    <w:rsid w:val="002A09FF"/>
    <w:rsid w:val="002A0E60"/>
    <w:rsid w:val="002A1310"/>
    <w:rsid w:val="002A1A58"/>
    <w:rsid w:val="002A1B02"/>
    <w:rsid w:val="002A1C53"/>
    <w:rsid w:val="002A244B"/>
    <w:rsid w:val="002A28FC"/>
    <w:rsid w:val="002A2B44"/>
    <w:rsid w:val="002A2EA5"/>
    <w:rsid w:val="002A39B5"/>
    <w:rsid w:val="002A3D94"/>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EAB"/>
    <w:rsid w:val="002B5F2E"/>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9BB"/>
    <w:rsid w:val="002D1A9B"/>
    <w:rsid w:val="002D20F8"/>
    <w:rsid w:val="002D22BD"/>
    <w:rsid w:val="002D22C5"/>
    <w:rsid w:val="002D302A"/>
    <w:rsid w:val="002D36C6"/>
    <w:rsid w:val="002D37C1"/>
    <w:rsid w:val="002D444B"/>
    <w:rsid w:val="002D46B4"/>
    <w:rsid w:val="002D4A45"/>
    <w:rsid w:val="002D4B42"/>
    <w:rsid w:val="002D4B43"/>
    <w:rsid w:val="002D4BC1"/>
    <w:rsid w:val="002D5A1B"/>
    <w:rsid w:val="002D65BC"/>
    <w:rsid w:val="002E055C"/>
    <w:rsid w:val="002E1050"/>
    <w:rsid w:val="002E107E"/>
    <w:rsid w:val="002E18E5"/>
    <w:rsid w:val="002E1953"/>
    <w:rsid w:val="002E2C3F"/>
    <w:rsid w:val="002E2CB5"/>
    <w:rsid w:val="002E2D7D"/>
    <w:rsid w:val="002E32D0"/>
    <w:rsid w:val="002E3C26"/>
    <w:rsid w:val="002E3D76"/>
    <w:rsid w:val="002E40A1"/>
    <w:rsid w:val="002E48EC"/>
    <w:rsid w:val="002E4B44"/>
    <w:rsid w:val="002E4ECB"/>
    <w:rsid w:val="002E4F23"/>
    <w:rsid w:val="002E635A"/>
    <w:rsid w:val="002E6D68"/>
    <w:rsid w:val="002E7847"/>
    <w:rsid w:val="002F0073"/>
    <w:rsid w:val="002F1C67"/>
    <w:rsid w:val="002F2077"/>
    <w:rsid w:val="002F240B"/>
    <w:rsid w:val="002F2595"/>
    <w:rsid w:val="002F27DE"/>
    <w:rsid w:val="002F2F50"/>
    <w:rsid w:val="002F2FBC"/>
    <w:rsid w:val="002F33EC"/>
    <w:rsid w:val="002F34E3"/>
    <w:rsid w:val="002F3601"/>
    <w:rsid w:val="002F3C19"/>
    <w:rsid w:val="002F40E2"/>
    <w:rsid w:val="002F45F6"/>
    <w:rsid w:val="002F5A6F"/>
    <w:rsid w:val="002F692F"/>
    <w:rsid w:val="002F7575"/>
    <w:rsid w:val="002F7961"/>
    <w:rsid w:val="002F7B66"/>
    <w:rsid w:val="00300CB4"/>
    <w:rsid w:val="00300E24"/>
    <w:rsid w:val="003033BA"/>
    <w:rsid w:val="00303C19"/>
    <w:rsid w:val="003043A3"/>
    <w:rsid w:val="00304BD4"/>
    <w:rsid w:val="0030500A"/>
    <w:rsid w:val="003052EB"/>
    <w:rsid w:val="00305FCB"/>
    <w:rsid w:val="003063C3"/>
    <w:rsid w:val="003069DC"/>
    <w:rsid w:val="00306B44"/>
    <w:rsid w:val="00307C44"/>
    <w:rsid w:val="003100E1"/>
    <w:rsid w:val="0031088E"/>
    <w:rsid w:val="00310D01"/>
    <w:rsid w:val="00311376"/>
    <w:rsid w:val="0031184C"/>
    <w:rsid w:val="00311A1F"/>
    <w:rsid w:val="00311B47"/>
    <w:rsid w:val="00311D52"/>
    <w:rsid w:val="00312190"/>
    <w:rsid w:val="003125E0"/>
    <w:rsid w:val="0031271D"/>
    <w:rsid w:val="003132BB"/>
    <w:rsid w:val="00313337"/>
    <w:rsid w:val="00313447"/>
    <w:rsid w:val="00313748"/>
    <w:rsid w:val="00313EA3"/>
    <w:rsid w:val="00315365"/>
    <w:rsid w:val="00315457"/>
    <w:rsid w:val="003161A4"/>
    <w:rsid w:val="00316955"/>
    <w:rsid w:val="0031713F"/>
    <w:rsid w:val="0031720A"/>
    <w:rsid w:val="0031749B"/>
    <w:rsid w:val="003174CD"/>
    <w:rsid w:val="003174E5"/>
    <w:rsid w:val="00317C9D"/>
    <w:rsid w:val="00317CD2"/>
    <w:rsid w:val="00317D99"/>
    <w:rsid w:val="0032078D"/>
    <w:rsid w:val="00320ADF"/>
    <w:rsid w:val="0032137B"/>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096"/>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2D8B"/>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213C"/>
    <w:rsid w:val="003533F4"/>
    <w:rsid w:val="003536F6"/>
    <w:rsid w:val="00353DD5"/>
    <w:rsid w:val="00355131"/>
    <w:rsid w:val="00355F74"/>
    <w:rsid w:val="003560DB"/>
    <w:rsid w:val="003564DB"/>
    <w:rsid w:val="00356F87"/>
    <w:rsid w:val="00357E83"/>
    <w:rsid w:val="00360CF3"/>
    <w:rsid w:val="0036137C"/>
    <w:rsid w:val="00361A59"/>
    <w:rsid w:val="003622B1"/>
    <w:rsid w:val="00363348"/>
    <w:rsid w:val="00363857"/>
    <w:rsid w:val="00363D59"/>
    <w:rsid w:val="003640F7"/>
    <w:rsid w:val="00365D3A"/>
    <w:rsid w:val="003664FF"/>
    <w:rsid w:val="00366BD2"/>
    <w:rsid w:val="003670B8"/>
    <w:rsid w:val="003704A3"/>
    <w:rsid w:val="0037058F"/>
    <w:rsid w:val="003706F2"/>
    <w:rsid w:val="0037124F"/>
    <w:rsid w:val="00373827"/>
    <w:rsid w:val="0037401C"/>
    <w:rsid w:val="0037507B"/>
    <w:rsid w:val="00375C7C"/>
    <w:rsid w:val="00377027"/>
    <w:rsid w:val="00377135"/>
    <w:rsid w:val="00380272"/>
    <w:rsid w:val="003805DB"/>
    <w:rsid w:val="0038152A"/>
    <w:rsid w:val="00382BAD"/>
    <w:rsid w:val="003835FD"/>
    <w:rsid w:val="00383E91"/>
    <w:rsid w:val="00384DF1"/>
    <w:rsid w:val="00384FF3"/>
    <w:rsid w:val="00386456"/>
    <w:rsid w:val="003865A9"/>
    <w:rsid w:val="0039091C"/>
    <w:rsid w:val="0039092B"/>
    <w:rsid w:val="00390F32"/>
    <w:rsid w:val="0039135E"/>
    <w:rsid w:val="00391EFC"/>
    <w:rsid w:val="0039285D"/>
    <w:rsid w:val="0039319C"/>
    <w:rsid w:val="00393577"/>
    <w:rsid w:val="00393CAE"/>
    <w:rsid w:val="003945F4"/>
    <w:rsid w:val="00394EB5"/>
    <w:rsid w:val="003953B4"/>
    <w:rsid w:val="0039615F"/>
    <w:rsid w:val="003966A0"/>
    <w:rsid w:val="00396A29"/>
    <w:rsid w:val="00397FF0"/>
    <w:rsid w:val="003A01F8"/>
    <w:rsid w:val="003A0878"/>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A7A59"/>
    <w:rsid w:val="003B0341"/>
    <w:rsid w:val="003B0595"/>
    <w:rsid w:val="003B1961"/>
    <w:rsid w:val="003B1E57"/>
    <w:rsid w:val="003B2EF3"/>
    <w:rsid w:val="003B534F"/>
    <w:rsid w:val="003B5391"/>
    <w:rsid w:val="003B58CE"/>
    <w:rsid w:val="003B65D7"/>
    <w:rsid w:val="003B65E0"/>
    <w:rsid w:val="003B6BD4"/>
    <w:rsid w:val="003B6F4D"/>
    <w:rsid w:val="003B6FE7"/>
    <w:rsid w:val="003C0C0F"/>
    <w:rsid w:val="003C0D1F"/>
    <w:rsid w:val="003C116A"/>
    <w:rsid w:val="003C1AF4"/>
    <w:rsid w:val="003C1CB8"/>
    <w:rsid w:val="003C22DA"/>
    <w:rsid w:val="003C2550"/>
    <w:rsid w:val="003C287F"/>
    <w:rsid w:val="003C3251"/>
    <w:rsid w:val="003C3339"/>
    <w:rsid w:val="003C375A"/>
    <w:rsid w:val="003C4317"/>
    <w:rsid w:val="003C4C1F"/>
    <w:rsid w:val="003C4D9F"/>
    <w:rsid w:val="003C5247"/>
    <w:rsid w:val="003C5E8A"/>
    <w:rsid w:val="003C622C"/>
    <w:rsid w:val="003C6505"/>
    <w:rsid w:val="003C6EBA"/>
    <w:rsid w:val="003C6F43"/>
    <w:rsid w:val="003C73C7"/>
    <w:rsid w:val="003C7CFB"/>
    <w:rsid w:val="003D050B"/>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C15"/>
    <w:rsid w:val="003F23D1"/>
    <w:rsid w:val="003F2A86"/>
    <w:rsid w:val="003F300D"/>
    <w:rsid w:val="003F391F"/>
    <w:rsid w:val="003F3DE6"/>
    <w:rsid w:val="003F3FA1"/>
    <w:rsid w:val="003F4599"/>
    <w:rsid w:val="003F45E1"/>
    <w:rsid w:val="003F4F6C"/>
    <w:rsid w:val="003F559E"/>
    <w:rsid w:val="003F5F66"/>
    <w:rsid w:val="003F6098"/>
    <w:rsid w:val="003F6181"/>
    <w:rsid w:val="003F6BFC"/>
    <w:rsid w:val="003F6CE8"/>
    <w:rsid w:val="003F6D87"/>
    <w:rsid w:val="003F7343"/>
    <w:rsid w:val="00400002"/>
    <w:rsid w:val="00400054"/>
    <w:rsid w:val="004004C2"/>
    <w:rsid w:val="004016A3"/>
    <w:rsid w:val="00401B31"/>
    <w:rsid w:val="0040202B"/>
    <w:rsid w:val="00402DE1"/>
    <w:rsid w:val="00402EEB"/>
    <w:rsid w:val="004037C2"/>
    <w:rsid w:val="00404041"/>
    <w:rsid w:val="00404B43"/>
    <w:rsid w:val="00404C61"/>
    <w:rsid w:val="00405487"/>
    <w:rsid w:val="00405730"/>
    <w:rsid w:val="00405B8A"/>
    <w:rsid w:val="0040602B"/>
    <w:rsid w:val="0040606C"/>
    <w:rsid w:val="004060DC"/>
    <w:rsid w:val="00406DF5"/>
    <w:rsid w:val="00406F35"/>
    <w:rsid w:val="004077D0"/>
    <w:rsid w:val="00407A7A"/>
    <w:rsid w:val="00407ABC"/>
    <w:rsid w:val="00407F1E"/>
    <w:rsid w:val="0041060C"/>
    <w:rsid w:val="00410A8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579"/>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44C"/>
    <w:rsid w:val="00422DCA"/>
    <w:rsid w:val="00423D04"/>
    <w:rsid w:val="00423F9F"/>
    <w:rsid w:val="00425C43"/>
    <w:rsid w:val="004273FA"/>
    <w:rsid w:val="004275A7"/>
    <w:rsid w:val="00430186"/>
    <w:rsid w:val="00430F17"/>
    <w:rsid w:val="0043269A"/>
    <w:rsid w:val="004333C2"/>
    <w:rsid w:val="00434787"/>
    <w:rsid w:val="00434C13"/>
    <w:rsid w:val="00435703"/>
    <w:rsid w:val="00435BD5"/>
    <w:rsid w:val="00436323"/>
    <w:rsid w:val="0043683F"/>
    <w:rsid w:val="00436F40"/>
    <w:rsid w:val="004370FA"/>
    <w:rsid w:val="00440096"/>
    <w:rsid w:val="004403DD"/>
    <w:rsid w:val="00440CF3"/>
    <w:rsid w:val="00440DB0"/>
    <w:rsid w:val="00440DDC"/>
    <w:rsid w:val="00440FAD"/>
    <w:rsid w:val="00441291"/>
    <w:rsid w:val="00441AD4"/>
    <w:rsid w:val="00441E04"/>
    <w:rsid w:val="004420AB"/>
    <w:rsid w:val="004422D6"/>
    <w:rsid w:val="004427AC"/>
    <w:rsid w:val="00442C7D"/>
    <w:rsid w:val="00442D13"/>
    <w:rsid w:val="00442D4D"/>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71D"/>
    <w:rsid w:val="00452755"/>
    <w:rsid w:val="00452803"/>
    <w:rsid w:val="004529C6"/>
    <w:rsid w:val="00452EAD"/>
    <w:rsid w:val="0045310B"/>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BB1"/>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676B"/>
    <w:rsid w:val="0047773C"/>
    <w:rsid w:val="004777DF"/>
    <w:rsid w:val="00477C5F"/>
    <w:rsid w:val="00480050"/>
    <w:rsid w:val="0048011C"/>
    <w:rsid w:val="004808DE"/>
    <w:rsid w:val="00481AC4"/>
    <w:rsid w:val="00481DC1"/>
    <w:rsid w:val="00482507"/>
    <w:rsid w:val="0048268A"/>
    <w:rsid w:val="004831B1"/>
    <w:rsid w:val="004835CA"/>
    <w:rsid w:val="004836F8"/>
    <w:rsid w:val="004836FE"/>
    <w:rsid w:val="00484F0F"/>
    <w:rsid w:val="00484F40"/>
    <w:rsid w:val="0048540C"/>
    <w:rsid w:val="004861B4"/>
    <w:rsid w:val="00486226"/>
    <w:rsid w:val="00486BD0"/>
    <w:rsid w:val="00486D00"/>
    <w:rsid w:val="00486FF7"/>
    <w:rsid w:val="0048710D"/>
    <w:rsid w:val="0048714F"/>
    <w:rsid w:val="00487263"/>
    <w:rsid w:val="0048734F"/>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16C1"/>
    <w:rsid w:val="004A1CE2"/>
    <w:rsid w:val="004A34D2"/>
    <w:rsid w:val="004A4301"/>
    <w:rsid w:val="004A4587"/>
    <w:rsid w:val="004A45E5"/>
    <w:rsid w:val="004A4D93"/>
    <w:rsid w:val="004A58EE"/>
    <w:rsid w:val="004A59B7"/>
    <w:rsid w:val="004A6051"/>
    <w:rsid w:val="004A623B"/>
    <w:rsid w:val="004A6A04"/>
    <w:rsid w:val="004A6A52"/>
    <w:rsid w:val="004B0A44"/>
    <w:rsid w:val="004B0F0B"/>
    <w:rsid w:val="004B2197"/>
    <w:rsid w:val="004B28D9"/>
    <w:rsid w:val="004B298A"/>
    <w:rsid w:val="004B50CB"/>
    <w:rsid w:val="004B578D"/>
    <w:rsid w:val="004B5BE7"/>
    <w:rsid w:val="004B5E2D"/>
    <w:rsid w:val="004B6C07"/>
    <w:rsid w:val="004B74D3"/>
    <w:rsid w:val="004B755E"/>
    <w:rsid w:val="004B788E"/>
    <w:rsid w:val="004B7E5D"/>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2571"/>
    <w:rsid w:val="004D2F1B"/>
    <w:rsid w:val="004D31EE"/>
    <w:rsid w:val="004D36AF"/>
    <w:rsid w:val="004D3BD1"/>
    <w:rsid w:val="004D4BA1"/>
    <w:rsid w:val="004D584D"/>
    <w:rsid w:val="004D5A7E"/>
    <w:rsid w:val="004D6120"/>
    <w:rsid w:val="004D6826"/>
    <w:rsid w:val="004E023F"/>
    <w:rsid w:val="004E0546"/>
    <w:rsid w:val="004E0742"/>
    <w:rsid w:val="004E0C64"/>
    <w:rsid w:val="004E0F6B"/>
    <w:rsid w:val="004E133F"/>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2911"/>
    <w:rsid w:val="0050306F"/>
    <w:rsid w:val="00505DCB"/>
    <w:rsid w:val="005075CA"/>
    <w:rsid w:val="00507B06"/>
    <w:rsid w:val="00507BF1"/>
    <w:rsid w:val="0051074C"/>
    <w:rsid w:val="00510DE9"/>
    <w:rsid w:val="005111E2"/>
    <w:rsid w:val="00511231"/>
    <w:rsid w:val="00512931"/>
    <w:rsid w:val="00512C4F"/>
    <w:rsid w:val="00513042"/>
    <w:rsid w:val="0051334F"/>
    <w:rsid w:val="00513399"/>
    <w:rsid w:val="00513AF2"/>
    <w:rsid w:val="00514575"/>
    <w:rsid w:val="00514C03"/>
    <w:rsid w:val="00514D67"/>
    <w:rsid w:val="0051522A"/>
    <w:rsid w:val="00515515"/>
    <w:rsid w:val="0051635C"/>
    <w:rsid w:val="00516BB7"/>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2C8"/>
    <w:rsid w:val="00530405"/>
    <w:rsid w:val="00530522"/>
    <w:rsid w:val="005305E5"/>
    <w:rsid w:val="0053086F"/>
    <w:rsid w:val="00530CBA"/>
    <w:rsid w:val="00530F38"/>
    <w:rsid w:val="00531F26"/>
    <w:rsid w:val="0053277C"/>
    <w:rsid w:val="005327C0"/>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D57"/>
    <w:rsid w:val="005551AA"/>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FD"/>
    <w:rsid w:val="00571872"/>
    <w:rsid w:val="0057221F"/>
    <w:rsid w:val="00572421"/>
    <w:rsid w:val="00572539"/>
    <w:rsid w:val="00572E7A"/>
    <w:rsid w:val="00573355"/>
    <w:rsid w:val="0057337D"/>
    <w:rsid w:val="00573504"/>
    <w:rsid w:val="00573BA3"/>
    <w:rsid w:val="005746B2"/>
    <w:rsid w:val="00574708"/>
    <w:rsid w:val="00574D81"/>
    <w:rsid w:val="005756AA"/>
    <w:rsid w:val="0057696F"/>
    <w:rsid w:val="00576DB6"/>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8C3"/>
    <w:rsid w:val="00593EA2"/>
    <w:rsid w:val="00593F75"/>
    <w:rsid w:val="005940A0"/>
    <w:rsid w:val="00594210"/>
    <w:rsid w:val="0059429A"/>
    <w:rsid w:val="00594CBE"/>
    <w:rsid w:val="00596AF7"/>
    <w:rsid w:val="00596CCE"/>
    <w:rsid w:val="005A02DF"/>
    <w:rsid w:val="005A1976"/>
    <w:rsid w:val="005A2120"/>
    <w:rsid w:val="005A2501"/>
    <w:rsid w:val="005A2C80"/>
    <w:rsid w:val="005A3066"/>
    <w:rsid w:val="005A3B35"/>
    <w:rsid w:val="005A3C4B"/>
    <w:rsid w:val="005A3E5A"/>
    <w:rsid w:val="005A43F3"/>
    <w:rsid w:val="005A496F"/>
    <w:rsid w:val="005A4A56"/>
    <w:rsid w:val="005A4A9B"/>
    <w:rsid w:val="005A5608"/>
    <w:rsid w:val="005A5A3D"/>
    <w:rsid w:val="005A6035"/>
    <w:rsid w:val="005A6B75"/>
    <w:rsid w:val="005A6E00"/>
    <w:rsid w:val="005A718A"/>
    <w:rsid w:val="005A7885"/>
    <w:rsid w:val="005B0099"/>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247"/>
    <w:rsid w:val="005C7E45"/>
    <w:rsid w:val="005C7F3E"/>
    <w:rsid w:val="005D065E"/>
    <w:rsid w:val="005D06D3"/>
    <w:rsid w:val="005D0C3B"/>
    <w:rsid w:val="005D1051"/>
    <w:rsid w:val="005D1606"/>
    <w:rsid w:val="005D2044"/>
    <w:rsid w:val="005D209E"/>
    <w:rsid w:val="005D2300"/>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26C"/>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31AA"/>
    <w:rsid w:val="00623482"/>
    <w:rsid w:val="00623AC2"/>
    <w:rsid w:val="00623EBC"/>
    <w:rsid w:val="00625642"/>
    <w:rsid w:val="00626133"/>
    <w:rsid w:val="006266D7"/>
    <w:rsid w:val="00626D1E"/>
    <w:rsid w:val="00626D42"/>
    <w:rsid w:val="00626EE3"/>
    <w:rsid w:val="006274AD"/>
    <w:rsid w:val="00627519"/>
    <w:rsid w:val="00627532"/>
    <w:rsid w:val="006302AA"/>
    <w:rsid w:val="006307FD"/>
    <w:rsid w:val="006310C3"/>
    <w:rsid w:val="00631110"/>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443A"/>
    <w:rsid w:val="00654A38"/>
    <w:rsid w:val="00655301"/>
    <w:rsid w:val="00655371"/>
    <w:rsid w:val="00655507"/>
    <w:rsid w:val="00656855"/>
    <w:rsid w:val="00656C4B"/>
    <w:rsid w:val="006572A7"/>
    <w:rsid w:val="006573EA"/>
    <w:rsid w:val="006576FE"/>
    <w:rsid w:val="006601C0"/>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6127"/>
    <w:rsid w:val="00676AED"/>
    <w:rsid w:val="00677212"/>
    <w:rsid w:val="00677B26"/>
    <w:rsid w:val="00677F26"/>
    <w:rsid w:val="006800EE"/>
    <w:rsid w:val="006802A7"/>
    <w:rsid w:val="00680A86"/>
    <w:rsid w:val="006811C9"/>
    <w:rsid w:val="006812CE"/>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59A5"/>
    <w:rsid w:val="00695C0C"/>
    <w:rsid w:val="00696736"/>
    <w:rsid w:val="00696A05"/>
    <w:rsid w:val="00697665"/>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25C"/>
    <w:rsid w:val="006B08ED"/>
    <w:rsid w:val="006B2534"/>
    <w:rsid w:val="006B285B"/>
    <w:rsid w:val="006B2CB2"/>
    <w:rsid w:val="006B347D"/>
    <w:rsid w:val="006B3E19"/>
    <w:rsid w:val="006B4488"/>
    <w:rsid w:val="006B50C4"/>
    <w:rsid w:val="006B53AE"/>
    <w:rsid w:val="006B58B4"/>
    <w:rsid w:val="006B67AC"/>
    <w:rsid w:val="006B786A"/>
    <w:rsid w:val="006B7E4E"/>
    <w:rsid w:val="006C003A"/>
    <w:rsid w:val="006C0630"/>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AE6"/>
    <w:rsid w:val="006F36EA"/>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773F"/>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3040"/>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2029"/>
    <w:rsid w:val="00732151"/>
    <w:rsid w:val="007341D8"/>
    <w:rsid w:val="00734952"/>
    <w:rsid w:val="00734990"/>
    <w:rsid w:val="00734FF5"/>
    <w:rsid w:val="00735B78"/>
    <w:rsid w:val="00735DA7"/>
    <w:rsid w:val="00736700"/>
    <w:rsid w:val="007368B4"/>
    <w:rsid w:val="007378E0"/>
    <w:rsid w:val="00740529"/>
    <w:rsid w:val="00740876"/>
    <w:rsid w:val="00740AE7"/>
    <w:rsid w:val="00740F18"/>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23E"/>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2C37"/>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854"/>
    <w:rsid w:val="007B0E48"/>
    <w:rsid w:val="007B1D1B"/>
    <w:rsid w:val="007B21AA"/>
    <w:rsid w:val="007B2504"/>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4F3"/>
    <w:rsid w:val="007B59B7"/>
    <w:rsid w:val="007B655A"/>
    <w:rsid w:val="007B68ED"/>
    <w:rsid w:val="007B6C64"/>
    <w:rsid w:val="007B6CD8"/>
    <w:rsid w:val="007B6E0B"/>
    <w:rsid w:val="007B6EC8"/>
    <w:rsid w:val="007B6F81"/>
    <w:rsid w:val="007B7EA2"/>
    <w:rsid w:val="007C097D"/>
    <w:rsid w:val="007C0AF2"/>
    <w:rsid w:val="007C1672"/>
    <w:rsid w:val="007C17AE"/>
    <w:rsid w:val="007C312A"/>
    <w:rsid w:val="007C3570"/>
    <w:rsid w:val="007C3F3B"/>
    <w:rsid w:val="007C4241"/>
    <w:rsid w:val="007C425E"/>
    <w:rsid w:val="007C55FF"/>
    <w:rsid w:val="007C6339"/>
    <w:rsid w:val="007C753F"/>
    <w:rsid w:val="007C7C43"/>
    <w:rsid w:val="007C7F0D"/>
    <w:rsid w:val="007D06E3"/>
    <w:rsid w:val="007D09E4"/>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3EC5"/>
    <w:rsid w:val="008241CE"/>
    <w:rsid w:val="00825240"/>
    <w:rsid w:val="00825B43"/>
    <w:rsid w:val="0082633B"/>
    <w:rsid w:val="00826F71"/>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6C06"/>
    <w:rsid w:val="0085790B"/>
    <w:rsid w:val="008579B9"/>
    <w:rsid w:val="00857C95"/>
    <w:rsid w:val="00857E78"/>
    <w:rsid w:val="008605F5"/>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DBA"/>
    <w:rsid w:val="008C24E7"/>
    <w:rsid w:val="008C2500"/>
    <w:rsid w:val="008C2CAC"/>
    <w:rsid w:val="008C3C57"/>
    <w:rsid w:val="008C3E2A"/>
    <w:rsid w:val="008C45BD"/>
    <w:rsid w:val="008C4B19"/>
    <w:rsid w:val="008C4F47"/>
    <w:rsid w:val="008C5194"/>
    <w:rsid w:val="008C62D4"/>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CAE"/>
    <w:rsid w:val="008E5179"/>
    <w:rsid w:val="008E57FE"/>
    <w:rsid w:val="008E6598"/>
    <w:rsid w:val="008E7214"/>
    <w:rsid w:val="008E7497"/>
    <w:rsid w:val="008E7884"/>
    <w:rsid w:val="008E7D6E"/>
    <w:rsid w:val="008E7E04"/>
    <w:rsid w:val="008F1056"/>
    <w:rsid w:val="008F220A"/>
    <w:rsid w:val="008F2E8D"/>
    <w:rsid w:val="008F361D"/>
    <w:rsid w:val="008F387B"/>
    <w:rsid w:val="008F3DD9"/>
    <w:rsid w:val="008F4163"/>
    <w:rsid w:val="008F4814"/>
    <w:rsid w:val="008F4B18"/>
    <w:rsid w:val="008F4DA6"/>
    <w:rsid w:val="008F538E"/>
    <w:rsid w:val="008F5A20"/>
    <w:rsid w:val="008F5ABA"/>
    <w:rsid w:val="008F71AB"/>
    <w:rsid w:val="008F7905"/>
    <w:rsid w:val="008F7989"/>
    <w:rsid w:val="008F7F8D"/>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B4A"/>
    <w:rsid w:val="00923396"/>
    <w:rsid w:val="00923F56"/>
    <w:rsid w:val="00924770"/>
    <w:rsid w:val="00925346"/>
    <w:rsid w:val="00925743"/>
    <w:rsid w:val="0092579F"/>
    <w:rsid w:val="00926068"/>
    <w:rsid w:val="00927E8D"/>
    <w:rsid w:val="00927F23"/>
    <w:rsid w:val="009307CD"/>
    <w:rsid w:val="00931364"/>
    <w:rsid w:val="00931365"/>
    <w:rsid w:val="00931451"/>
    <w:rsid w:val="009314FA"/>
    <w:rsid w:val="0093194F"/>
    <w:rsid w:val="00931BF3"/>
    <w:rsid w:val="00931C55"/>
    <w:rsid w:val="00933333"/>
    <w:rsid w:val="0093349A"/>
    <w:rsid w:val="009338BA"/>
    <w:rsid w:val="00933FCB"/>
    <w:rsid w:val="009346C8"/>
    <w:rsid w:val="00934CEC"/>
    <w:rsid w:val="00934E69"/>
    <w:rsid w:val="00935CF8"/>
    <w:rsid w:val="00935E70"/>
    <w:rsid w:val="00935FEA"/>
    <w:rsid w:val="0093609A"/>
    <w:rsid w:val="00937401"/>
    <w:rsid w:val="009376FB"/>
    <w:rsid w:val="00937D6B"/>
    <w:rsid w:val="00940477"/>
    <w:rsid w:val="00940876"/>
    <w:rsid w:val="00940A53"/>
    <w:rsid w:val="00940F3C"/>
    <w:rsid w:val="009410E0"/>
    <w:rsid w:val="009419E9"/>
    <w:rsid w:val="00941A2D"/>
    <w:rsid w:val="00941FA9"/>
    <w:rsid w:val="00942DD0"/>
    <w:rsid w:val="009439B6"/>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F3A"/>
    <w:rsid w:val="00955539"/>
    <w:rsid w:val="0095780A"/>
    <w:rsid w:val="009578C3"/>
    <w:rsid w:val="009579E4"/>
    <w:rsid w:val="00957AA4"/>
    <w:rsid w:val="00957ACB"/>
    <w:rsid w:val="00957F27"/>
    <w:rsid w:val="00957F86"/>
    <w:rsid w:val="00960BDB"/>
    <w:rsid w:val="0096105C"/>
    <w:rsid w:val="009612BB"/>
    <w:rsid w:val="0096147D"/>
    <w:rsid w:val="00961D53"/>
    <w:rsid w:val="00961E5F"/>
    <w:rsid w:val="009625C6"/>
    <w:rsid w:val="009629B5"/>
    <w:rsid w:val="00962A50"/>
    <w:rsid w:val="00963550"/>
    <w:rsid w:val="00964138"/>
    <w:rsid w:val="009648D6"/>
    <w:rsid w:val="009649AE"/>
    <w:rsid w:val="00964B3F"/>
    <w:rsid w:val="00964C98"/>
    <w:rsid w:val="00967BEF"/>
    <w:rsid w:val="00971441"/>
    <w:rsid w:val="009715D4"/>
    <w:rsid w:val="0097179A"/>
    <w:rsid w:val="009731F4"/>
    <w:rsid w:val="009732A4"/>
    <w:rsid w:val="00973C05"/>
    <w:rsid w:val="0097494E"/>
    <w:rsid w:val="00974999"/>
    <w:rsid w:val="00974B58"/>
    <w:rsid w:val="00974CBD"/>
    <w:rsid w:val="00975445"/>
    <w:rsid w:val="009761ED"/>
    <w:rsid w:val="00976F77"/>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2041"/>
    <w:rsid w:val="009A2435"/>
    <w:rsid w:val="009A2653"/>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35AE"/>
    <w:rsid w:val="009B422F"/>
    <w:rsid w:val="009B46BC"/>
    <w:rsid w:val="009B4D1A"/>
    <w:rsid w:val="009B519D"/>
    <w:rsid w:val="009B558B"/>
    <w:rsid w:val="009B6D21"/>
    <w:rsid w:val="009B78ED"/>
    <w:rsid w:val="009C0D57"/>
    <w:rsid w:val="009C181C"/>
    <w:rsid w:val="009C1A44"/>
    <w:rsid w:val="009C1C7F"/>
    <w:rsid w:val="009C1EC7"/>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CB1"/>
    <w:rsid w:val="009E5E56"/>
    <w:rsid w:val="009E61EA"/>
    <w:rsid w:val="009E6990"/>
    <w:rsid w:val="009E6FEE"/>
    <w:rsid w:val="009E7924"/>
    <w:rsid w:val="009F00B9"/>
    <w:rsid w:val="009F05BF"/>
    <w:rsid w:val="009F060F"/>
    <w:rsid w:val="009F0781"/>
    <w:rsid w:val="009F0850"/>
    <w:rsid w:val="009F0FF1"/>
    <w:rsid w:val="009F1336"/>
    <w:rsid w:val="009F1BDF"/>
    <w:rsid w:val="009F1DB8"/>
    <w:rsid w:val="009F1EAE"/>
    <w:rsid w:val="009F369D"/>
    <w:rsid w:val="009F36FE"/>
    <w:rsid w:val="009F4990"/>
    <w:rsid w:val="009F4F25"/>
    <w:rsid w:val="009F59C2"/>
    <w:rsid w:val="009F5A2A"/>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809"/>
    <w:rsid w:val="00A17584"/>
    <w:rsid w:val="00A17769"/>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13AA"/>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7168"/>
    <w:rsid w:val="00A7723B"/>
    <w:rsid w:val="00A773C3"/>
    <w:rsid w:val="00A7793C"/>
    <w:rsid w:val="00A779BF"/>
    <w:rsid w:val="00A77D21"/>
    <w:rsid w:val="00A80085"/>
    <w:rsid w:val="00A8043B"/>
    <w:rsid w:val="00A80849"/>
    <w:rsid w:val="00A80DA0"/>
    <w:rsid w:val="00A81323"/>
    <w:rsid w:val="00A820CB"/>
    <w:rsid w:val="00A82342"/>
    <w:rsid w:val="00A8236F"/>
    <w:rsid w:val="00A83BEF"/>
    <w:rsid w:val="00A840C9"/>
    <w:rsid w:val="00A84443"/>
    <w:rsid w:val="00A8483D"/>
    <w:rsid w:val="00A8487F"/>
    <w:rsid w:val="00A849A3"/>
    <w:rsid w:val="00A84A0E"/>
    <w:rsid w:val="00A8575D"/>
    <w:rsid w:val="00A86E0B"/>
    <w:rsid w:val="00A90792"/>
    <w:rsid w:val="00A90F12"/>
    <w:rsid w:val="00A91DAA"/>
    <w:rsid w:val="00A91EFC"/>
    <w:rsid w:val="00A93101"/>
    <w:rsid w:val="00A93239"/>
    <w:rsid w:val="00A9413E"/>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3E8"/>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3F98"/>
    <w:rsid w:val="00AB49BC"/>
    <w:rsid w:val="00AB4DEE"/>
    <w:rsid w:val="00AB4E32"/>
    <w:rsid w:val="00AB5C19"/>
    <w:rsid w:val="00AB724B"/>
    <w:rsid w:val="00AB726C"/>
    <w:rsid w:val="00AB72B4"/>
    <w:rsid w:val="00AB7411"/>
    <w:rsid w:val="00AB7A7A"/>
    <w:rsid w:val="00AC02AA"/>
    <w:rsid w:val="00AC0537"/>
    <w:rsid w:val="00AC0A84"/>
    <w:rsid w:val="00AC1508"/>
    <w:rsid w:val="00AC2A0B"/>
    <w:rsid w:val="00AC2BEE"/>
    <w:rsid w:val="00AC2E53"/>
    <w:rsid w:val="00AC46B0"/>
    <w:rsid w:val="00AC484F"/>
    <w:rsid w:val="00AC4B20"/>
    <w:rsid w:val="00AC56F2"/>
    <w:rsid w:val="00AC71C3"/>
    <w:rsid w:val="00AD09F7"/>
    <w:rsid w:val="00AD0D42"/>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D2B"/>
    <w:rsid w:val="00B37657"/>
    <w:rsid w:val="00B37AFD"/>
    <w:rsid w:val="00B37B07"/>
    <w:rsid w:val="00B4046F"/>
    <w:rsid w:val="00B406B3"/>
    <w:rsid w:val="00B40A36"/>
    <w:rsid w:val="00B41BCA"/>
    <w:rsid w:val="00B41D39"/>
    <w:rsid w:val="00B422C0"/>
    <w:rsid w:val="00B426CA"/>
    <w:rsid w:val="00B426E1"/>
    <w:rsid w:val="00B43820"/>
    <w:rsid w:val="00B4387A"/>
    <w:rsid w:val="00B44746"/>
    <w:rsid w:val="00B44854"/>
    <w:rsid w:val="00B44BA5"/>
    <w:rsid w:val="00B4554E"/>
    <w:rsid w:val="00B458D0"/>
    <w:rsid w:val="00B46696"/>
    <w:rsid w:val="00B4792C"/>
    <w:rsid w:val="00B50CAE"/>
    <w:rsid w:val="00B50D22"/>
    <w:rsid w:val="00B512AD"/>
    <w:rsid w:val="00B5196C"/>
    <w:rsid w:val="00B525CB"/>
    <w:rsid w:val="00B52697"/>
    <w:rsid w:val="00B54215"/>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7FBF"/>
    <w:rsid w:val="00B7046D"/>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5ED6"/>
    <w:rsid w:val="00B9691F"/>
    <w:rsid w:val="00B96EEC"/>
    <w:rsid w:val="00B97392"/>
    <w:rsid w:val="00B976C7"/>
    <w:rsid w:val="00B97A73"/>
    <w:rsid w:val="00B97F6C"/>
    <w:rsid w:val="00BA0C54"/>
    <w:rsid w:val="00BA1382"/>
    <w:rsid w:val="00BA15E3"/>
    <w:rsid w:val="00BA1A8C"/>
    <w:rsid w:val="00BA20B6"/>
    <w:rsid w:val="00BA20D8"/>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6D3F"/>
    <w:rsid w:val="00BB7942"/>
    <w:rsid w:val="00BB7CD1"/>
    <w:rsid w:val="00BC0F33"/>
    <w:rsid w:val="00BC113C"/>
    <w:rsid w:val="00BC14A7"/>
    <w:rsid w:val="00BC17CC"/>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33E"/>
    <w:rsid w:val="00C12C62"/>
    <w:rsid w:val="00C12FB3"/>
    <w:rsid w:val="00C138BC"/>
    <w:rsid w:val="00C13D85"/>
    <w:rsid w:val="00C145FE"/>
    <w:rsid w:val="00C14639"/>
    <w:rsid w:val="00C14E82"/>
    <w:rsid w:val="00C14FF6"/>
    <w:rsid w:val="00C15A85"/>
    <w:rsid w:val="00C1637C"/>
    <w:rsid w:val="00C1641B"/>
    <w:rsid w:val="00C165FC"/>
    <w:rsid w:val="00C176D5"/>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3F11"/>
    <w:rsid w:val="00C4539B"/>
    <w:rsid w:val="00C45466"/>
    <w:rsid w:val="00C455C1"/>
    <w:rsid w:val="00C4581D"/>
    <w:rsid w:val="00C4635B"/>
    <w:rsid w:val="00C47472"/>
    <w:rsid w:val="00C500F0"/>
    <w:rsid w:val="00C504A7"/>
    <w:rsid w:val="00C506C9"/>
    <w:rsid w:val="00C50A16"/>
    <w:rsid w:val="00C51C9A"/>
    <w:rsid w:val="00C52C68"/>
    <w:rsid w:val="00C52D98"/>
    <w:rsid w:val="00C52DA1"/>
    <w:rsid w:val="00C53D24"/>
    <w:rsid w:val="00C54640"/>
    <w:rsid w:val="00C547A6"/>
    <w:rsid w:val="00C54A3A"/>
    <w:rsid w:val="00C55340"/>
    <w:rsid w:val="00C555D6"/>
    <w:rsid w:val="00C55C32"/>
    <w:rsid w:val="00C56A67"/>
    <w:rsid w:val="00C56CC2"/>
    <w:rsid w:val="00C56D8D"/>
    <w:rsid w:val="00C57498"/>
    <w:rsid w:val="00C5763C"/>
    <w:rsid w:val="00C5780C"/>
    <w:rsid w:val="00C5796B"/>
    <w:rsid w:val="00C57C64"/>
    <w:rsid w:val="00C60CE0"/>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65"/>
    <w:rsid w:val="00C672A3"/>
    <w:rsid w:val="00C672F1"/>
    <w:rsid w:val="00C673D0"/>
    <w:rsid w:val="00C6742E"/>
    <w:rsid w:val="00C67B0B"/>
    <w:rsid w:val="00C67C0E"/>
    <w:rsid w:val="00C70012"/>
    <w:rsid w:val="00C71E2A"/>
    <w:rsid w:val="00C733BA"/>
    <w:rsid w:val="00C760DC"/>
    <w:rsid w:val="00C8082B"/>
    <w:rsid w:val="00C80D1E"/>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0FB"/>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23B"/>
    <w:rsid w:val="00C959BD"/>
    <w:rsid w:val="00C95DFE"/>
    <w:rsid w:val="00C95F44"/>
    <w:rsid w:val="00C96D1B"/>
    <w:rsid w:val="00C97106"/>
    <w:rsid w:val="00C978D4"/>
    <w:rsid w:val="00CA0031"/>
    <w:rsid w:val="00CA0413"/>
    <w:rsid w:val="00CA043A"/>
    <w:rsid w:val="00CA04D2"/>
    <w:rsid w:val="00CA084B"/>
    <w:rsid w:val="00CA0E51"/>
    <w:rsid w:val="00CA1691"/>
    <w:rsid w:val="00CA22BA"/>
    <w:rsid w:val="00CA41E7"/>
    <w:rsid w:val="00CA4A99"/>
    <w:rsid w:val="00CA4AD7"/>
    <w:rsid w:val="00CA5520"/>
    <w:rsid w:val="00CA5812"/>
    <w:rsid w:val="00CA5BD4"/>
    <w:rsid w:val="00CA5C14"/>
    <w:rsid w:val="00CA6B7B"/>
    <w:rsid w:val="00CA76FC"/>
    <w:rsid w:val="00CA7E7B"/>
    <w:rsid w:val="00CB0236"/>
    <w:rsid w:val="00CB1881"/>
    <w:rsid w:val="00CB1969"/>
    <w:rsid w:val="00CB19E3"/>
    <w:rsid w:val="00CB2C3A"/>
    <w:rsid w:val="00CB2D38"/>
    <w:rsid w:val="00CB31B4"/>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C01"/>
    <w:rsid w:val="00CC0E68"/>
    <w:rsid w:val="00CC1409"/>
    <w:rsid w:val="00CC1780"/>
    <w:rsid w:val="00CC194E"/>
    <w:rsid w:val="00CC21AC"/>
    <w:rsid w:val="00CC232E"/>
    <w:rsid w:val="00CC2514"/>
    <w:rsid w:val="00CC2D34"/>
    <w:rsid w:val="00CC2F69"/>
    <w:rsid w:val="00CC315F"/>
    <w:rsid w:val="00CC3D38"/>
    <w:rsid w:val="00CC40C3"/>
    <w:rsid w:val="00CC4CB4"/>
    <w:rsid w:val="00CC4E5D"/>
    <w:rsid w:val="00CC50AE"/>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4506"/>
    <w:rsid w:val="00CD520B"/>
    <w:rsid w:val="00CD5663"/>
    <w:rsid w:val="00CD592E"/>
    <w:rsid w:val="00CD5982"/>
    <w:rsid w:val="00CD5A1A"/>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104A"/>
    <w:rsid w:val="00D21BB5"/>
    <w:rsid w:val="00D21FFC"/>
    <w:rsid w:val="00D223B6"/>
    <w:rsid w:val="00D223E8"/>
    <w:rsid w:val="00D224E1"/>
    <w:rsid w:val="00D22DC8"/>
    <w:rsid w:val="00D2477B"/>
    <w:rsid w:val="00D2522A"/>
    <w:rsid w:val="00D2531C"/>
    <w:rsid w:val="00D25428"/>
    <w:rsid w:val="00D2553E"/>
    <w:rsid w:val="00D2742F"/>
    <w:rsid w:val="00D2754F"/>
    <w:rsid w:val="00D277C5"/>
    <w:rsid w:val="00D279D9"/>
    <w:rsid w:val="00D31011"/>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026E"/>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7940"/>
    <w:rsid w:val="00D60327"/>
    <w:rsid w:val="00D61384"/>
    <w:rsid w:val="00D61526"/>
    <w:rsid w:val="00D61C39"/>
    <w:rsid w:val="00D61F81"/>
    <w:rsid w:val="00D620A6"/>
    <w:rsid w:val="00D62BE6"/>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90683"/>
    <w:rsid w:val="00D90B2A"/>
    <w:rsid w:val="00D911B3"/>
    <w:rsid w:val="00D91483"/>
    <w:rsid w:val="00D915C8"/>
    <w:rsid w:val="00D9310B"/>
    <w:rsid w:val="00D931F3"/>
    <w:rsid w:val="00D93726"/>
    <w:rsid w:val="00D937FC"/>
    <w:rsid w:val="00D93F3E"/>
    <w:rsid w:val="00D9405B"/>
    <w:rsid w:val="00D94942"/>
    <w:rsid w:val="00D95145"/>
    <w:rsid w:val="00D96594"/>
    <w:rsid w:val="00D967CB"/>
    <w:rsid w:val="00D968D4"/>
    <w:rsid w:val="00D96EE0"/>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4292"/>
    <w:rsid w:val="00DB5023"/>
    <w:rsid w:val="00DB6895"/>
    <w:rsid w:val="00DB6E46"/>
    <w:rsid w:val="00DB7117"/>
    <w:rsid w:val="00DB7760"/>
    <w:rsid w:val="00DB7DD4"/>
    <w:rsid w:val="00DC00B4"/>
    <w:rsid w:val="00DC0954"/>
    <w:rsid w:val="00DC0DF8"/>
    <w:rsid w:val="00DC15BA"/>
    <w:rsid w:val="00DC18CD"/>
    <w:rsid w:val="00DC1A68"/>
    <w:rsid w:val="00DC30B8"/>
    <w:rsid w:val="00DC451D"/>
    <w:rsid w:val="00DC478F"/>
    <w:rsid w:val="00DC62E5"/>
    <w:rsid w:val="00DC6D70"/>
    <w:rsid w:val="00DC6F33"/>
    <w:rsid w:val="00DC7349"/>
    <w:rsid w:val="00DD0EA9"/>
    <w:rsid w:val="00DD14D8"/>
    <w:rsid w:val="00DD1599"/>
    <w:rsid w:val="00DD16F1"/>
    <w:rsid w:val="00DD1B03"/>
    <w:rsid w:val="00DD1E43"/>
    <w:rsid w:val="00DD2A62"/>
    <w:rsid w:val="00DD2F2F"/>
    <w:rsid w:val="00DD2F7A"/>
    <w:rsid w:val="00DD3885"/>
    <w:rsid w:val="00DD5808"/>
    <w:rsid w:val="00DD5946"/>
    <w:rsid w:val="00DD5B04"/>
    <w:rsid w:val="00DD5DAE"/>
    <w:rsid w:val="00DD5EC6"/>
    <w:rsid w:val="00DD605F"/>
    <w:rsid w:val="00DD7024"/>
    <w:rsid w:val="00DD72A0"/>
    <w:rsid w:val="00DD735D"/>
    <w:rsid w:val="00DD7F7D"/>
    <w:rsid w:val="00DE0159"/>
    <w:rsid w:val="00DE064A"/>
    <w:rsid w:val="00DE082D"/>
    <w:rsid w:val="00DE1410"/>
    <w:rsid w:val="00DE20C6"/>
    <w:rsid w:val="00DE3119"/>
    <w:rsid w:val="00DE3E0B"/>
    <w:rsid w:val="00DE3FF0"/>
    <w:rsid w:val="00DE4105"/>
    <w:rsid w:val="00DE5189"/>
    <w:rsid w:val="00DE7108"/>
    <w:rsid w:val="00DE74BD"/>
    <w:rsid w:val="00DE78D1"/>
    <w:rsid w:val="00DE78FF"/>
    <w:rsid w:val="00DF0263"/>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2012A"/>
    <w:rsid w:val="00E205A2"/>
    <w:rsid w:val="00E20BA4"/>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2262"/>
    <w:rsid w:val="00E424C8"/>
    <w:rsid w:val="00E4251D"/>
    <w:rsid w:val="00E43D00"/>
    <w:rsid w:val="00E441EE"/>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2CE"/>
    <w:rsid w:val="00E60B5F"/>
    <w:rsid w:val="00E60D8D"/>
    <w:rsid w:val="00E60FF7"/>
    <w:rsid w:val="00E613AE"/>
    <w:rsid w:val="00E61429"/>
    <w:rsid w:val="00E61ABB"/>
    <w:rsid w:val="00E61FD7"/>
    <w:rsid w:val="00E623E6"/>
    <w:rsid w:val="00E630A2"/>
    <w:rsid w:val="00E630C0"/>
    <w:rsid w:val="00E63107"/>
    <w:rsid w:val="00E6312C"/>
    <w:rsid w:val="00E634E6"/>
    <w:rsid w:val="00E63DCE"/>
    <w:rsid w:val="00E64700"/>
    <w:rsid w:val="00E65074"/>
    <w:rsid w:val="00E65E70"/>
    <w:rsid w:val="00E66087"/>
    <w:rsid w:val="00E66D79"/>
    <w:rsid w:val="00E66F5A"/>
    <w:rsid w:val="00E66FF9"/>
    <w:rsid w:val="00E6706F"/>
    <w:rsid w:val="00E673A2"/>
    <w:rsid w:val="00E67856"/>
    <w:rsid w:val="00E679C8"/>
    <w:rsid w:val="00E70314"/>
    <w:rsid w:val="00E724E7"/>
    <w:rsid w:val="00E72B41"/>
    <w:rsid w:val="00E732C1"/>
    <w:rsid w:val="00E7347B"/>
    <w:rsid w:val="00E73792"/>
    <w:rsid w:val="00E73D03"/>
    <w:rsid w:val="00E7471C"/>
    <w:rsid w:val="00E7498A"/>
    <w:rsid w:val="00E7514E"/>
    <w:rsid w:val="00E76537"/>
    <w:rsid w:val="00E77784"/>
    <w:rsid w:val="00E77AF5"/>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6EB"/>
    <w:rsid w:val="00E90AEC"/>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221"/>
    <w:rsid w:val="00EA22FA"/>
    <w:rsid w:val="00EA2744"/>
    <w:rsid w:val="00EA37B9"/>
    <w:rsid w:val="00EA39F7"/>
    <w:rsid w:val="00EA3DC2"/>
    <w:rsid w:val="00EA434E"/>
    <w:rsid w:val="00EA4757"/>
    <w:rsid w:val="00EA560B"/>
    <w:rsid w:val="00EA5669"/>
    <w:rsid w:val="00EA57BD"/>
    <w:rsid w:val="00EA5CC6"/>
    <w:rsid w:val="00EA63EF"/>
    <w:rsid w:val="00EA7CBF"/>
    <w:rsid w:val="00EB0A89"/>
    <w:rsid w:val="00EB1573"/>
    <w:rsid w:val="00EB185F"/>
    <w:rsid w:val="00EB1910"/>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7B54"/>
    <w:rsid w:val="00EE7C47"/>
    <w:rsid w:val="00EE7C88"/>
    <w:rsid w:val="00EE7C8B"/>
    <w:rsid w:val="00EF0209"/>
    <w:rsid w:val="00EF0EA4"/>
    <w:rsid w:val="00EF1E97"/>
    <w:rsid w:val="00EF2436"/>
    <w:rsid w:val="00EF2547"/>
    <w:rsid w:val="00EF2942"/>
    <w:rsid w:val="00EF2B2B"/>
    <w:rsid w:val="00EF2E1C"/>
    <w:rsid w:val="00EF2FD6"/>
    <w:rsid w:val="00EF326A"/>
    <w:rsid w:val="00EF427A"/>
    <w:rsid w:val="00EF45DF"/>
    <w:rsid w:val="00EF4952"/>
    <w:rsid w:val="00EF498F"/>
    <w:rsid w:val="00EF4A42"/>
    <w:rsid w:val="00EF510C"/>
    <w:rsid w:val="00EF55C2"/>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A9"/>
    <w:rsid w:val="00F15505"/>
    <w:rsid w:val="00F15BFF"/>
    <w:rsid w:val="00F16E4F"/>
    <w:rsid w:val="00F17244"/>
    <w:rsid w:val="00F17383"/>
    <w:rsid w:val="00F20ECE"/>
    <w:rsid w:val="00F213A0"/>
    <w:rsid w:val="00F21D54"/>
    <w:rsid w:val="00F21EF4"/>
    <w:rsid w:val="00F23113"/>
    <w:rsid w:val="00F23255"/>
    <w:rsid w:val="00F23393"/>
    <w:rsid w:val="00F23759"/>
    <w:rsid w:val="00F24644"/>
    <w:rsid w:val="00F25947"/>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6"/>
    <w:rsid w:val="00F40F72"/>
    <w:rsid w:val="00F41596"/>
    <w:rsid w:val="00F41D8B"/>
    <w:rsid w:val="00F42121"/>
    <w:rsid w:val="00F421E7"/>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3B8B"/>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880"/>
    <w:rsid w:val="00FB0A6F"/>
    <w:rsid w:val="00FB0E05"/>
    <w:rsid w:val="00FB12E3"/>
    <w:rsid w:val="00FB1570"/>
    <w:rsid w:val="00FB193B"/>
    <w:rsid w:val="00FB1FBC"/>
    <w:rsid w:val="00FB27B7"/>
    <w:rsid w:val="00FB35E3"/>
    <w:rsid w:val="00FB4C98"/>
    <w:rsid w:val="00FB4CE3"/>
    <w:rsid w:val="00FB583C"/>
    <w:rsid w:val="00FB630E"/>
    <w:rsid w:val="00FB66DD"/>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72B1"/>
    <w:rsid w:val="00FD798D"/>
    <w:rsid w:val="00FE141E"/>
    <w:rsid w:val="00FE144E"/>
    <w:rsid w:val="00FE1768"/>
    <w:rsid w:val="00FE1DD5"/>
    <w:rsid w:val="00FE1E72"/>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0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413889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6071171-5225-4E90-9185-752701040F0E}"/>
</file>

<file path=customXml/itemProps4.xml><?xml version="1.0" encoding="utf-8"?>
<ds:datastoreItem xmlns:ds="http://schemas.openxmlformats.org/officeDocument/2006/customXml" ds:itemID="{43AB6247-0D5C-40EF-B256-F3786527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17</Pages>
  <Words>6197</Words>
  <Characters>34085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padron</cp:lastModifiedBy>
  <cp:revision>3</cp:revision>
  <cp:lastPrinted>2020-01-30T15:05:00Z</cp:lastPrinted>
  <dcterms:created xsi:type="dcterms:W3CDTF">2021-06-02T23:09:00Z</dcterms:created>
  <dcterms:modified xsi:type="dcterms:W3CDTF">2021-08-02T18:03:00Z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