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7225" w14:textId="3066CD13" w:rsidR="005A79FE" w:rsidRPr="00BF2545" w:rsidRDefault="005A79FE" w:rsidP="00BD5DA4">
      <w:pPr>
        <w:ind w:left="708" w:hanging="708"/>
        <w:jc w:val="right"/>
        <w:rPr>
          <w:rFonts w:ascii="Arial" w:eastAsia="Calibri" w:hAnsi="Arial" w:cs="Arial"/>
          <w:b/>
          <w:bCs/>
          <w:sz w:val="16"/>
          <w:szCs w:val="16"/>
        </w:rPr>
      </w:pPr>
      <w:r w:rsidRPr="00BF2545">
        <w:rPr>
          <w:rFonts w:ascii="Arial" w:eastAsia="Times New Roman" w:hAnsi="Arial" w:cs="Arial"/>
          <w:b/>
          <w:bCs/>
          <w:sz w:val="16"/>
          <w:szCs w:val="16"/>
          <w:lang w:eastAsia="es-ES"/>
        </w:rPr>
        <w:t>CCE-DES-FM-17</w:t>
      </w:r>
    </w:p>
    <w:p w14:paraId="3BC91189" w14:textId="77777777" w:rsidR="007504FC" w:rsidRPr="007504FC" w:rsidRDefault="007504FC" w:rsidP="007504FC">
      <w:pPr>
        <w:jc w:val="both"/>
        <w:rPr>
          <w:rFonts w:ascii="Arial" w:eastAsia="Calibri" w:hAnsi="Arial" w:cs="Arial"/>
          <w:b/>
          <w:color w:val="000000" w:themeColor="text1"/>
          <w:sz w:val="22"/>
          <w:lang w:val="es-ES_tradnl" w:eastAsia="es-ES_tradnl"/>
        </w:rPr>
      </w:pPr>
      <w:r w:rsidRPr="007504FC">
        <w:rPr>
          <w:rFonts w:ascii="Arial" w:eastAsia="Calibri" w:hAnsi="Arial" w:cs="Arial"/>
          <w:b/>
          <w:color w:val="000000" w:themeColor="text1"/>
          <w:sz w:val="22"/>
          <w:lang w:val="es-ES_tradnl" w:eastAsia="es-ES_tradnl"/>
        </w:rPr>
        <w:t>SELECCIÓN OBJETIVA – Concepto</w:t>
      </w:r>
    </w:p>
    <w:p w14:paraId="2BB2823F" w14:textId="77777777" w:rsidR="007504FC" w:rsidRPr="007504FC" w:rsidRDefault="007504FC" w:rsidP="007504FC">
      <w:pPr>
        <w:jc w:val="both"/>
        <w:rPr>
          <w:rFonts w:ascii="Arial" w:eastAsia="Calibri" w:hAnsi="Arial" w:cs="Arial"/>
          <w:color w:val="000000" w:themeColor="text1"/>
          <w:sz w:val="20"/>
          <w:szCs w:val="20"/>
          <w:lang w:val="es-ES_tradnl" w:eastAsia="es-ES_tradnl"/>
        </w:rPr>
      </w:pPr>
    </w:p>
    <w:p w14:paraId="7A3B7DAE" w14:textId="77777777" w:rsidR="007504FC" w:rsidRPr="007504FC" w:rsidRDefault="007504FC" w:rsidP="007504FC">
      <w:pPr>
        <w:jc w:val="both"/>
        <w:rPr>
          <w:rFonts w:ascii="Arial" w:eastAsia="Calibri" w:hAnsi="Arial" w:cs="Arial"/>
          <w:color w:val="000000" w:themeColor="text1"/>
          <w:sz w:val="20"/>
          <w:szCs w:val="20"/>
          <w:lang w:val="es-ES_tradnl" w:eastAsia="es-ES_tradnl"/>
        </w:rPr>
      </w:pPr>
      <w:r w:rsidRPr="007504FC">
        <w:rPr>
          <w:rFonts w:ascii="Arial" w:eastAsia="Calibri" w:hAnsi="Arial" w:cs="Arial"/>
          <w:color w:val="000000" w:themeColor="text1"/>
          <w:sz w:val="20"/>
          <w:szCs w:val="20"/>
          <w:lang w:val="es-ES_tradnl" w:eastAsia="es-ES_tradnl"/>
        </w:rPr>
        <w:t xml:space="preserve">Dado que la selección objetiva es uno de los principios medulares de la contratación estatal, la selección del futuro contratista no puede motivarse en razones subjetivas que afecten la imparcialidad de la entidad pública. Así lo determinó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w:t>
      </w:r>
    </w:p>
    <w:p w14:paraId="57517166" w14:textId="77777777" w:rsidR="007504FC" w:rsidRPr="007504FC" w:rsidRDefault="007504FC" w:rsidP="007504FC">
      <w:pPr>
        <w:jc w:val="both"/>
        <w:rPr>
          <w:rFonts w:ascii="Arial" w:eastAsia="Times New Roman" w:hAnsi="Arial" w:cs="Arial"/>
          <w:b/>
          <w:noProof/>
          <w:color w:val="000000" w:themeColor="text1"/>
          <w:sz w:val="22"/>
          <w:szCs w:val="24"/>
          <w:lang w:val="es-ES_tradnl" w:eastAsia="es-ES_tradnl"/>
        </w:rPr>
      </w:pPr>
    </w:p>
    <w:p w14:paraId="6A783330" w14:textId="77777777" w:rsidR="007504FC" w:rsidRPr="007504FC" w:rsidRDefault="007504FC" w:rsidP="007504FC">
      <w:pPr>
        <w:jc w:val="both"/>
        <w:rPr>
          <w:rFonts w:ascii="Arial" w:eastAsia="Times New Roman" w:hAnsi="Arial" w:cs="Arial"/>
          <w:b/>
          <w:noProof/>
          <w:color w:val="000000" w:themeColor="text1"/>
          <w:sz w:val="22"/>
          <w:szCs w:val="24"/>
          <w:lang w:val="es-ES_tradnl" w:eastAsia="es-ES_tradnl"/>
        </w:rPr>
      </w:pPr>
      <w:r w:rsidRPr="007504FC">
        <w:rPr>
          <w:rFonts w:ascii="Arial" w:eastAsia="Times New Roman" w:hAnsi="Arial" w:cs="Arial"/>
          <w:b/>
          <w:noProof/>
          <w:color w:val="000000" w:themeColor="text1"/>
          <w:sz w:val="22"/>
          <w:szCs w:val="24"/>
          <w:lang w:val="es-ES_tradnl" w:eastAsia="es-ES_tradnl"/>
        </w:rPr>
        <w:t xml:space="preserve">TRM – Tasa de cambio representativa del mercado – Noción </w:t>
      </w:r>
    </w:p>
    <w:p w14:paraId="2050B02D" w14:textId="77777777" w:rsidR="007504FC" w:rsidRPr="007504FC" w:rsidRDefault="007504FC" w:rsidP="007504FC">
      <w:pPr>
        <w:jc w:val="both"/>
        <w:rPr>
          <w:rFonts w:ascii="Arial" w:eastAsia="Times New Roman" w:hAnsi="Arial" w:cs="Arial"/>
          <w:noProof/>
          <w:color w:val="000000" w:themeColor="text1"/>
          <w:sz w:val="20"/>
          <w:szCs w:val="20"/>
          <w:lang w:val="es-ES_tradnl" w:eastAsia="es-ES_tradnl"/>
        </w:rPr>
      </w:pPr>
    </w:p>
    <w:p w14:paraId="52836BDD" w14:textId="77777777" w:rsidR="007504FC" w:rsidRPr="007504FC" w:rsidRDefault="007504FC" w:rsidP="007504FC">
      <w:pPr>
        <w:jc w:val="both"/>
        <w:rPr>
          <w:rFonts w:ascii="Arial" w:eastAsia="Times New Roman" w:hAnsi="Arial" w:cs="Arial"/>
          <w:color w:val="000000" w:themeColor="text1"/>
          <w:sz w:val="20"/>
          <w:szCs w:val="20"/>
          <w:lang w:val="es-ES_tradnl" w:eastAsia="es-ES_tradnl"/>
        </w:rPr>
      </w:pPr>
      <w:r w:rsidRPr="007504FC">
        <w:rPr>
          <w:rFonts w:ascii="Arial" w:eastAsia="Calibri" w:hAnsi="Arial" w:cs="Arial"/>
          <w:color w:val="000000" w:themeColor="text1"/>
          <w:sz w:val="20"/>
          <w:szCs w:val="20"/>
          <w:lang w:val="es-ES_tradnl" w:eastAsia="es-ES_tradnl"/>
        </w:rPr>
        <w:t>La Tasa de Cambio Representativa del Mercado – TRM «</w:t>
      </w:r>
      <w:r w:rsidRPr="007504FC">
        <w:rPr>
          <w:rFonts w:ascii="Arial" w:eastAsia="Times New Roman" w:hAnsi="Arial" w:cs="Arial"/>
          <w:sz w:val="20"/>
          <w:szCs w:val="20"/>
          <w:lang w:val="es-CO" w:eastAsia="es-ES_tradnl"/>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7504FC">
        <w:rPr>
          <w:rFonts w:ascii="Arial" w:eastAsia="Times New Roman" w:hAnsi="Arial" w:cs="Arial"/>
          <w:color w:val="000000" w:themeColor="text1"/>
          <w:sz w:val="20"/>
          <w:szCs w:val="20"/>
          <w:lang w:val="es-ES_tradnl" w:eastAsia="es-ES_tradnl"/>
        </w:rPr>
        <w:t xml:space="preserve">», definido por la Superintendencia Financiera, es decir, denota la relación entre la moneda colombiana y el dólar. </w:t>
      </w:r>
    </w:p>
    <w:p w14:paraId="16CDDBFF" w14:textId="77777777" w:rsidR="007504FC" w:rsidRPr="007504FC" w:rsidRDefault="007504FC" w:rsidP="007504FC">
      <w:pPr>
        <w:jc w:val="both"/>
        <w:rPr>
          <w:rFonts w:ascii="Arial" w:eastAsia="Times New Roman" w:hAnsi="Arial" w:cs="Arial"/>
          <w:color w:val="000000" w:themeColor="text1"/>
          <w:sz w:val="20"/>
          <w:szCs w:val="20"/>
          <w:lang w:val="es-ES_tradnl" w:eastAsia="es-ES_tradnl"/>
        </w:rPr>
      </w:pPr>
    </w:p>
    <w:p w14:paraId="727D8FE3" w14:textId="77777777" w:rsidR="007504FC" w:rsidRPr="007504FC" w:rsidRDefault="007504FC" w:rsidP="007504FC">
      <w:pPr>
        <w:jc w:val="both"/>
        <w:rPr>
          <w:rFonts w:ascii="Arial" w:eastAsia="Times New Roman" w:hAnsi="Arial" w:cs="Arial"/>
          <w:b/>
          <w:color w:val="000000" w:themeColor="text1"/>
          <w:sz w:val="22"/>
          <w:lang w:val="es-ES_tradnl" w:eastAsia="es-ES_tradnl"/>
        </w:rPr>
      </w:pPr>
      <w:r w:rsidRPr="007504FC">
        <w:rPr>
          <w:rFonts w:ascii="Arial" w:eastAsia="Times New Roman" w:hAnsi="Arial" w:cs="Arial"/>
          <w:b/>
          <w:color w:val="000000" w:themeColor="text1"/>
          <w:sz w:val="22"/>
          <w:lang w:val="es-ES_tradnl" w:eastAsia="es-ES_tradnl"/>
        </w:rPr>
        <w:t xml:space="preserve">DOCUMENTOS BASE – Alcance </w:t>
      </w:r>
    </w:p>
    <w:p w14:paraId="5605F7E4" w14:textId="77777777" w:rsidR="007504FC" w:rsidRPr="007504FC" w:rsidRDefault="007504FC" w:rsidP="007504FC">
      <w:pPr>
        <w:jc w:val="both"/>
        <w:rPr>
          <w:rFonts w:ascii="Arial" w:eastAsia="Times New Roman" w:hAnsi="Arial" w:cs="Arial"/>
          <w:color w:val="000000" w:themeColor="text1"/>
          <w:sz w:val="20"/>
          <w:szCs w:val="20"/>
          <w:lang w:val="es-ES_tradnl" w:eastAsia="es-ES_tradnl"/>
        </w:rPr>
      </w:pPr>
    </w:p>
    <w:p w14:paraId="01351758" w14:textId="52E6A5D6" w:rsidR="00BD5DA4" w:rsidRPr="007504FC" w:rsidRDefault="00BD5DA4" w:rsidP="007504FC">
      <w:pPr>
        <w:jc w:val="both"/>
        <w:rPr>
          <w:rFonts w:ascii="Arial" w:eastAsia="Times New Roman" w:hAnsi="Arial" w:cs="Arial"/>
          <w:color w:val="000000" w:themeColor="text1"/>
          <w:sz w:val="20"/>
          <w:szCs w:val="20"/>
          <w:lang w:val="es-CO" w:eastAsia="es-ES_tradnl"/>
        </w:rPr>
      </w:pPr>
      <w:r w:rsidRPr="00BD5DA4">
        <w:rPr>
          <w:rFonts w:ascii="Arial" w:eastAsia="Times New Roman" w:hAnsi="Arial" w:cs="Arial"/>
          <w:color w:val="000000" w:themeColor="text1"/>
          <w:sz w:val="20"/>
          <w:szCs w:val="20"/>
          <w:lang w:val="es-ES_tradnl" w:eastAsia="es-ES_tradnl"/>
        </w:rPr>
        <w:t xml:space="preserve">El documento base, como se infiere de su denominación, constituye el documento medular del documento tipo, pues contiene las reglas esenciales o condiciones que orientarán la actividad contractual referida, por lo que contiene las estipulaciones orientadoras de dicha actividad.  Esta característica hace que los demás documentos que conforman el documento tipo y las actuaciones que se adelantan en desarrollo del proceso de contratación deban ceñirse a lo establecido en aquel. </w:t>
      </w:r>
    </w:p>
    <w:p w14:paraId="32CB3E8D" w14:textId="77777777" w:rsidR="007504FC" w:rsidRPr="007504FC" w:rsidRDefault="007504FC" w:rsidP="007504FC">
      <w:pPr>
        <w:jc w:val="both"/>
        <w:rPr>
          <w:rFonts w:ascii="Arial" w:eastAsia="Times New Roman" w:hAnsi="Arial" w:cs="Arial"/>
          <w:color w:val="000000" w:themeColor="text1"/>
          <w:sz w:val="22"/>
          <w:lang w:val="es-ES_tradnl" w:eastAsia="es-ES_tradnl"/>
        </w:rPr>
      </w:pPr>
    </w:p>
    <w:p w14:paraId="3A2B6E55" w14:textId="77777777" w:rsidR="007504FC" w:rsidRPr="007504FC" w:rsidRDefault="007504FC" w:rsidP="007504FC">
      <w:pPr>
        <w:jc w:val="both"/>
        <w:rPr>
          <w:rFonts w:ascii="Arial" w:eastAsia="Times New Roman" w:hAnsi="Arial" w:cs="Arial"/>
          <w:b/>
          <w:color w:val="000000" w:themeColor="text1"/>
          <w:sz w:val="22"/>
          <w:lang w:val="es-ES_tradnl" w:eastAsia="es-ES_tradnl"/>
        </w:rPr>
      </w:pPr>
      <w:r w:rsidRPr="007504FC">
        <w:rPr>
          <w:rFonts w:ascii="Arial" w:eastAsia="Times New Roman" w:hAnsi="Arial" w:cs="Arial"/>
          <w:b/>
          <w:color w:val="000000" w:themeColor="text1"/>
          <w:sz w:val="22"/>
          <w:lang w:val="es-ES_tradnl" w:eastAsia="es-ES_tradnl"/>
        </w:rPr>
        <w:t xml:space="preserve">MÉTODOS DE PONDERACIÓN – Experiencia del proponente – Método aleatorio – TRM del documento base </w:t>
      </w:r>
    </w:p>
    <w:p w14:paraId="0A7249C6" w14:textId="77777777" w:rsidR="007504FC" w:rsidRPr="007504FC" w:rsidRDefault="007504FC" w:rsidP="007504FC">
      <w:pPr>
        <w:jc w:val="both"/>
        <w:rPr>
          <w:rFonts w:ascii="Arial" w:eastAsia="Times New Roman" w:hAnsi="Arial" w:cs="Arial"/>
          <w:color w:val="000000" w:themeColor="text1"/>
          <w:sz w:val="22"/>
          <w:lang w:val="es-ES_tradnl" w:eastAsia="es-ES_tradnl"/>
        </w:rPr>
      </w:pPr>
    </w:p>
    <w:p w14:paraId="5D84EE38" w14:textId="77777777" w:rsidR="007504FC" w:rsidRPr="007504FC" w:rsidRDefault="007504FC" w:rsidP="007504FC">
      <w:pPr>
        <w:spacing w:after="120"/>
        <w:jc w:val="both"/>
        <w:rPr>
          <w:rFonts w:ascii="Arial" w:eastAsia="Times New Roman" w:hAnsi="Arial" w:cs="Arial"/>
          <w:color w:val="000000" w:themeColor="text1"/>
          <w:sz w:val="20"/>
          <w:szCs w:val="20"/>
          <w:lang w:val="es-ES_tradnl" w:eastAsia="es-ES_tradnl"/>
        </w:rPr>
      </w:pPr>
      <w:r w:rsidRPr="007504FC">
        <w:rPr>
          <w:rFonts w:ascii="Arial" w:eastAsia="Times New Roman" w:hAnsi="Arial" w:cs="Arial"/>
          <w:color w:val="000000" w:themeColor="text1"/>
          <w:sz w:val="20"/>
          <w:szCs w:val="20"/>
          <w:lang w:val="es-ES_tradnl" w:eastAsia="es-ES_tradnl"/>
        </w:rPr>
        <w:t xml:space="preserve">Esta norma señaló que el informe de evaluación en un concurso de méritos debía contener la calificación técnica y el orden de elegibilidad de los proponentes, de modo que, para el momento de publicación del informe de evaluación inicial, para cumplir con el contenido establecido en el reglamento, lógicamente debe haberse evaluado previamente al proponente frente a todo el contenido de las ofertas, asignando el puntaje respectivo, y en consecuencia, también haberse escogido el método de ponderación, de modo que no podría tenerse en cuenta una TRM posterior a esta etapa del procedimiento, pues impediría cumplir con lo establecido en el reglamento para los procesos de concursos de méritos. De todo lo anterior, se tiene que la regla aplicable para escogencia del método aleatorio de evaluación del proponente es la contenida en el documento base, según la cual, «la TRM que la entidad utilizará para determinar el método de ponderación será la que rija el segundo día hábil después del cierre del proceso». </w:t>
      </w:r>
    </w:p>
    <w:p w14:paraId="25C9072A" w14:textId="4D082AA3" w:rsidR="00B211A2" w:rsidRDefault="00B211A2" w:rsidP="007504FC">
      <w:pPr>
        <w:spacing w:after="200" w:line="276" w:lineRule="auto"/>
        <w:rPr>
          <w:rFonts w:ascii="Arial" w:eastAsia="Times New Roman" w:hAnsi="Arial" w:cs="Arial"/>
          <w:color w:val="000000" w:themeColor="text1"/>
          <w:sz w:val="20"/>
          <w:szCs w:val="20"/>
          <w:lang w:val="es-ES_tradnl" w:eastAsia="es-ES_tradnl"/>
        </w:rPr>
      </w:pPr>
      <w:bookmarkStart w:id="0" w:name="_Hlk64030265"/>
    </w:p>
    <w:p w14:paraId="4D587EDD" w14:textId="5707C158" w:rsidR="007504FC" w:rsidRDefault="007504FC" w:rsidP="007504FC">
      <w:pPr>
        <w:spacing w:after="200" w:line="276" w:lineRule="auto"/>
        <w:rPr>
          <w:rFonts w:ascii="Arial" w:eastAsia="Times New Roman" w:hAnsi="Arial" w:cs="Arial"/>
          <w:color w:val="000000" w:themeColor="text1"/>
          <w:sz w:val="20"/>
          <w:szCs w:val="20"/>
          <w:lang w:val="es-ES_tradnl" w:eastAsia="es-ES_tradnl"/>
        </w:rPr>
      </w:pPr>
    </w:p>
    <w:p w14:paraId="5F913DBC" w14:textId="3C2993B1" w:rsidR="007504FC" w:rsidRDefault="007504FC" w:rsidP="007504FC">
      <w:pPr>
        <w:spacing w:after="200" w:line="276" w:lineRule="auto"/>
        <w:rPr>
          <w:rFonts w:ascii="Arial" w:eastAsia="Times New Roman" w:hAnsi="Arial" w:cs="Arial"/>
          <w:color w:val="000000" w:themeColor="text1"/>
          <w:sz w:val="20"/>
          <w:szCs w:val="20"/>
          <w:lang w:val="es-ES_tradnl" w:eastAsia="es-ES_tradnl"/>
        </w:rPr>
      </w:pPr>
    </w:p>
    <w:p w14:paraId="2213B59C" w14:textId="77777777" w:rsidR="007504FC" w:rsidRPr="007504FC" w:rsidRDefault="007504FC" w:rsidP="007504FC">
      <w:pPr>
        <w:spacing w:after="200" w:line="276" w:lineRule="auto"/>
        <w:rPr>
          <w:rFonts w:ascii="Arial" w:eastAsia="Times New Roman" w:hAnsi="Arial" w:cs="Arial"/>
          <w:color w:val="000000" w:themeColor="text1"/>
          <w:sz w:val="20"/>
          <w:szCs w:val="20"/>
          <w:lang w:val="es-ES_tradnl" w:eastAsia="es-ES_tradnl"/>
        </w:rPr>
      </w:pPr>
    </w:p>
    <w:p w14:paraId="140EDDD2" w14:textId="77777777" w:rsidR="00675434" w:rsidRDefault="00675434" w:rsidP="00B211A2">
      <w:pPr>
        <w:rPr>
          <w:rFonts w:ascii="Arial" w:hAnsi="Arial" w:cs="Arial"/>
          <w:sz w:val="22"/>
          <w:szCs w:val="20"/>
          <w:lang w:val="es-ES"/>
        </w:rPr>
      </w:pPr>
    </w:p>
    <w:p w14:paraId="25DF2432" w14:textId="77777777" w:rsidR="00675434" w:rsidRDefault="00675434" w:rsidP="00B211A2">
      <w:pPr>
        <w:rPr>
          <w:rFonts w:ascii="Arial" w:hAnsi="Arial" w:cs="Arial"/>
          <w:sz w:val="22"/>
          <w:szCs w:val="20"/>
          <w:lang w:val="es-ES"/>
        </w:rPr>
      </w:pPr>
    </w:p>
    <w:p w14:paraId="3B1CF6B2" w14:textId="30E18DE4" w:rsidR="00B211A2" w:rsidRPr="004374DE" w:rsidRDefault="00B211A2" w:rsidP="00B211A2">
      <w:pPr>
        <w:rPr>
          <w:rFonts w:ascii="Arial" w:eastAsia="Arial" w:hAnsi="Arial" w:cs="Arial"/>
          <w:b/>
          <w:bCs/>
          <w:sz w:val="22"/>
          <w:lang w:val="es-ES"/>
        </w:rPr>
      </w:pPr>
      <w:r w:rsidRPr="004374DE">
        <w:rPr>
          <w:rFonts w:ascii="Arial" w:hAnsi="Arial" w:cs="Arial"/>
          <w:sz w:val="22"/>
          <w:szCs w:val="20"/>
          <w:lang w:val="es-ES"/>
        </w:rPr>
        <w:t>Bogotá D.C.</w:t>
      </w:r>
      <w:bookmarkEnd w:id="0"/>
      <w:r w:rsidRPr="004374DE">
        <w:rPr>
          <w:rFonts w:ascii="Arial" w:hAnsi="Arial" w:cs="Arial"/>
          <w:sz w:val="22"/>
          <w:szCs w:val="20"/>
          <w:lang w:val="es-ES"/>
        </w:rPr>
        <w:t xml:space="preserve">, </w:t>
      </w:r>
      <w:r w:rsidR="00BD5DA4">
        <w:rPr>
          <w:rFonts w:ascii="Arial" w:eastAsia="Arial" w:hAnsi="Arial" w:cs="Arial"/>
          <w:b/>
          <w:bCs/>
          <w:sz w:val="22"/>
          <w:lang w:val="es-ES"/>
        </w:rPr>
        <w:t>27/07/2021</w:t>
      </w:r>
    </w:p>
    <w:p w14:paraId="6130E27A" w14:textId="77777777" w:rsidR="00B211A2" w:rsidRPr="004374DE" w:rsidRDefault="00B211A2" w:rsidP="00B211A2">
      <w:pPr>
        <w:spacing w:line="276" w:lineRule="auto"/>
        <w:rPr>
          <w:rFonts w:ascii="Arial" w:eastAsia="Arial" w:hAnsi="Arial" w:cs="Arial"/>
          <w:b/>
          <w:sz w:val="22"/>
          <w:lang w:val="es-ES"/>
        </w:rPr>
      </w:pPr>
    </w:p>
    <w:p w14:paraId="2B6D5E07" w14:textId="33866808" w:rsidR="00B211A2" w:rsidRPr="004374DE" w:rsidRDefault="00BD5DA4" w:rsidP="00B211A2">
      <w:pPr>
        <w:widowControl w:val="0"/>
        <w:autoSpaceDE w:val="0"/>
        <w:autoSpaceDN w:val="0"/>
        <w:ind w:left="302"/>
        <w:jc w:val="right"/>
        <w:rPr>
          <w:rFonts w:ascii="Arial" w:eastAsia="Arial" w:hAnsi="Arial" w:cs="Arial"/>
          <w:b/>
          <w:sz w:val="22"/>
          <w:lang w:val="es-ES"/>
        </w:rPr>
      </w:pPr>
      <w:r w:rsidRPr="00BD5DA4">
        <w:rPr>
          <w:rFonts w:ascii="Times New Roman" w:eastAsia="Arial MT" w:hAnsi="Arial MT" w:cs="Arial MT"/>
          <w:noProof/>
          <w:sz w:val="20"/>
          <w:lang w:val="es-ES"/>
        </w:rPr>
        <w:drawing>
          <wp:inline distT="0" distB="0" distL="0" distR="0" wp14:anchorId="4651D904" wp14:editId="4CFF4DB0">
            <wp:extent cx="2379945" cy="60883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79945" cy="608838"/>
                    </a:xfrm>
                    <a:prstGeom prst="rect">
                      <a:avLst/>
                    </a:prstGeom>
                  </pic:spPr>
                </pic:pic>
              </a:graphicData>
            </a:graphic>
          </wp:inline>
        </w:drawing>
      </w:r>
    </w:p>
    <w:p w14:paraId="2B231738" w14:textId="7C7C4AA8" w:rsidR="009E73B5" w:rsidRDefault="009E73B5" w:rsidP="00B211A2">
      <w:pPr>
        <w:jc w:val="both"/>
        <w:rPr>
          <w:rFonts w:ascii="Arial" w:eastAsia="Calibri" w:hAnsi="Arial" w:cs="Arial"/>
          <w:sz w:val="22"/>
        </w:rPr>
      </w:pPr>
    </w:p>
    <w:p w14:paraId="47490D96" w14:textId="77777777" w:rsidR="00675434" w:rsidRPr="00BF2545" w:rsidRDefault="00675434" w:rsidP="00B211A2">
      <w:pPr>
        <w:jc w:val="both"/>
        <w:rPr>
          <w:rFonts w:ascii="Arial" w:eastAsia="Calibri" w:hAnsi="Arial" w:cs="Arial"/>
          <w:sz w:val="22"/>
        </w:rPr>
      </w:pPr>
    </w:p>
    <w:p w14:paraId="2097EFDF" w14:textId="2253063F" w:rsidR="005A79FE" w:rsidRPr="00BF2545" w:rsidRDefault="005A79FE" w:rsidP="005A79FE">
      <w:pPr>
        <w:rPr>
          <w:rFonts w:ascii="Arial" w:eastAsia="Calibri" w:hAnsi="Arial" w:cs="Arial"/>
          <w:sz w:val="22"/>
        </w:rPr>
      </w:pPr>
      <w:r w:rsidRPr="00BF2545">
        <w:rPr>
          <w:rFonts w:ascii="Arial" w:eastAsia="Calibri" w:hAnsi="Arial" w:cs="Arial"/>
          <w:sz w:val="22"/>
        </w:rPr>
        <w:t>Señor</w:t>
      </w:r>
    </w:p>
    <w:p w14:paraId="7FDA027E" w14:textId="27C51308" w:rsidR="005A79FE" w:rsidRPr="00BF2545" w:rsidRDefault="00CB4BA0" w:rsidP="005A79FE">
      <w:pPr>
        <w:rPr>
          <w:rFonts w:ascii="Arial" w:eastAsia="Calibri" w:hAnsi="Arial" w:cs="Arial"/>
          <w:b/>
          <w:sz w:val="22"/>
        </w:rPr>
      </w:pPr>
      <w:proofErr w:type="spellStart"/>
      <w:r>
        <w:rPr>
          <w:rFonts w:ascii="Arial" w:eastAsia="Calibri" w:hAnsi="Arial" w:cs="Arial"/>
          <w:b/>
          <w:sz w:val="22"/>
        </w:rPr>
        <w:t>Yimmy</w:t>
      </w:r>
      <w:proofErr w:type="spellEnd"/>
      <w:r>
        <w:rPr>
          <w:rFonts w:ascii="Arial" w:eastAsia="Calibri" w:hAnsi="Arial" w:cs="Arial"/>
          <w:b/>
          <w:sz w:val="22"/>
        </w:rPr>
        <w:t xml:space="preserve"> Riascos</w:t>
      </w:r>
    </w:p>
    <w:p w14:paraId="699E9CB9" w14:textId="61EAFD21" w:rsidR="005A79FE" w:rsidRPr="00BF2545" w:rsidRDefault="00CB4BA0" w:rsidP="005A79FE">
      <w:pPr>
        <w:rPr>
          <w:rFonts w:ascii="Arial" w:eastAsia="Calibri" w:hAnsi="Arial" w:cs="Arial"/>
          <w:sz w:val="22"/>
        </w:rPr>
      </w:pPr>
      <w:r>
        <w:rPr>
          <w:rFonts w:ascii="Arial" w:eastAsia="Calibri" w:hAnsi="Arial" w:cs="Arial"/>
          <w:sz w:val="22"/>
        </w:rPr>
        <w:t>Bogotá D.C.</w:t>
      </w:r>
    </w:p>
    <w:p w14:paraId="3663B1CE" w14:textId="589B0563" w:rsidR="00BB755B" w:rsidRDefault="00BB755B" w:rsidP="005A79FE">
      <w:pPr>
        <w:rPr>
          <w:rFonts w:ascii="Arial" w:eastAsia="Calibri" w:hAnsi="Arial" w:cs="Arial"/>
          <w:sz w:val="22"/>
        </w:rPr>
      </w:pPr>
    </w:p>
    <w:p w14:paraId="4E2A9542" w14:textId="77777777" w:rsidR="00675434" w:rsidRPr="00BF2545" w:rsidRDefault="00675434" w:rsidP="005A79FE">
      <w:pPr>
        <w:rPr>
          <w:rFonts w:ascii="Arial" w:eastAsia="Calibri" w:hAnsi="Arial" w:cs="Arial"/>
          <w:sz w:val="22"/>
        </w:rPr>
      </w:pPr>
    </w:p>
    <w:p w14:paraId="04EF5647" w14:textId="66236ED5" w:rsidR="005A79FE" w:rsidRPr="00BF2545" w:rsidRDefault="003142D9" w:rsidP="003D2AED">
      <w:pPr>
        <w:rPr>
          <w:rFonts w:ascii="Arial" w:eastAsia="Calibri" w:hAnsi="Arial" w:cs="Arial"/>
          <w:b/>
          <w:sz w:val="22"/>
        </w:rPr>
      </w:pPr>
      <w:r w:rsidRPr="00BF2545">
        <w:rPr>
          <w:rFonts w:ascii="Arial" w:eastAsia="Calibri" w:hAnsi="Arial" w:cs="Arial"/>
          <w:b/>
          <w:sz w:val="22"/>
        </w:rPr>
        <w:t xml:space="preserve">                                            </w:t>
      </w:r>
      <w:r w:rsidR="005A79FE" w:rsidRPr="00BF2545">
        <w:rPr>
          <w:rFonts w:ascii="Arial" w:eastAsia="Calibri" w:hAnsi="Arial" w:cs="Arial"/>
          <w:b/>
          <w:sz w:val="22"/>
        </w:rPr>
        <w:t xml:space="preserve">Concepto C </w:t>
      </w:r>
      <w:r w:rsidR="00675434">
        <w:rPr>
          <w:rFonts w:ascii="Arial" w:eastAsia="Calibri" w:hAnsi="Arial" w:cs="Arial"/>
          <w:b/>
          <w:sz w:val="22"/>
        </w:rPr>
        <w:t>–</w:t>
      </w:r>
      <w:r w:rsidR="005A79FE" w:rsidRPr="00BF2545">
        <w:rPr>
          <w:rFonts w:ascii="Arial" w:eastAsia="Calibri" w:hAnsi="Arial" w:cs="Arial"/>
          <w:b/>
          <w:sz w:val="22"/>
        </w:rPr>
        <w:t xml:space="preserve"> </w:t>
      </w:r>
      <w:r w:rsidR="00CB4BA0">
        <w:rPr>
          <w:rFonts w:ascii="Arial" w:eastAsia="Calibri" w:hAnsi="Arial" w:cs="Arial"/>
          <w:b/>
          <w:sz w:val="22"/>
        </w:rPr>
        <w:t>373</w:t>
      </w:r>
      <w:r w:rsidR="005A79FE" w:rsidRPr="00BF2545">
        <w:rPr>
          <w:rFonts w:ascii="Arial" w:eastAsia="Calibri" w:hAnsi="Arial" w:cs="Arial"/>
          <w:b/>
          <w:sz w:val="22"/>
        </w:rPr>
        <w:t xml:space="preserve"> de 202</w:t>
      </w:r>
      <w:r w:rsidR="00CB4BA0">
        <w:rPr>
          <w:rFonts w:ascii="Arial" w:eastAsia="Calibri" w:hAnsi="Arial" w:cs="Arial"/>
          <w:b/>
          <w:sz w:val="22"/>
        </w:rPr>
        <w:t>1</w:t>
      </w:r>
    </w:p>
    <w:p w14:paraId="224B5EF8" w14:textId="77777777" w:rsidR="009E73B5" w:rsidRPr="00BF2545" w:rsidRDefault="009E73B5"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B4BA0" w:rsidRPr="00BF2545" w14:paraId="21699201" w14:textId="77777777" w:rsidTr="00875624">
        <w:tc>
          <w:tcPr>
            <w:tcW w:w="2689" w:type="dxa"/>
            <w:hideMark/>
          </w:tcPr>
          <w:p w14:paraId="26712367" w14:textId="77777777" w:rsidR="00CB4BA0" w:rsidRPr="00BF2545" w:rsidRDefault="00CB4BA0" w:rsidP="00CB4BA0">
            <w:pPr>
              <w:rPr>
                <w:rFonts w:ascii="Arial" w:eastAsia="Calibri" w:hAnsi="Arial" w:cs="Arial"/>
                <w:sz w:val="22"/>
              </w:rPr>
            </w:pPr>
            <w:r w:rsidRPr="00BF2545">
              <w:rPr>
                <w:rFonts w:ascii="Arial" w:eastAsia="Calibri" w:hAnsi="Arial" w:cs="Arial"/>
                <w:b/>
                <w:sz w:val="22"/>
              </w:rPr>
              <w:t>Temas:</w:t>
            </w:r>
            <w:r w:rsidRPr="00BF2545">
              <w:rPr>
                <w:rFonts w:ascii="Arial" w:eastAsia="Calibri" w:hAnsi="Arial" w:cs="Arial"/>
                <w:sz w:val="22"/>
              </w:rPr>
              <w:t xml:space="preserve">           </w:t>
            </w:r>
          </w:p>
          <w:p w14:paraId="5D67F5C4" w14:textId="77777777" w:rsidR="00CB4BA0" w:rsidRPr="00BF2545" w:rsidRDefault="00CB4BA0" w:rsidP="00CB4BA0">
            <w:pPr>
              <w:rPr>
                <w:rFonts w:ascii="Arial" w:eastAsia="Calibri" w:hAnsi="Arial" w:cs="Arial"/>
                <w:sz w:val="22"/>
              </w:rPr>
            </w:pPr>
            <w:r w:rsidRPr="00BF2545">
              <w:rPr>
                <w:rFonts w:ascii="Arial" w:eastAsia="Calibri" w:hAnsi="Arial" w:cs="Arial"/>
                <w:sz w:val="22"/>
              </w:rPr>
              <w:t xml:space="preserve">                           </w:t>
            </w:r>
          </w:p>
        </w:tc>
        <w:tc>
          <w:tcPr>
            <w:tcW w:w="6237" w:type="dxa"/>
          </w:tcPr>
          <w:p w14:paraId="784C47C0" w14:textId="785FDA4F" w:rsidR="00CB4BA0" w:rsidRPr="00BF2545" w:rsidRDefault="00CB4BA0">
            <w:pPr>
              <w:spacing w:after="120"/>
              <w:jc w:val="both"/>
              <w:rPr>
                <w:rFonts w:ascii="Arial" w:hAnsi="Arial" w:cs="Arial"/>
                <w:color w:val="000000"/>
                <w:sz w:val="22"/>
              </w:rPr>
            </w:pPr>
            <w:r w:rsidRPr="000A20AD">
              <w:rPr>
                <w:rFonts w:ascii="Arial" w:eastAsia="Calibri" w:hAnsi="Arial" w:cs="Arial"/>
                <w:color w:val="000000" w:themeColor="text1"/>
                <w:sz w:val="22"/>
                <w:lang w:val="es-ES_tradnl"/>
              </w:rPr>
              <w:t xml:space="preserve">SELECCIÓN OBJETIVA – Concepto </w:t>
            </w:r>
            <w:r w:rsidRPr="000A20AD">
              <w:rPr>
                <w:rFonts w:ascii="Arial" w:hAnsi="Arial" w:cs="Arial"/>
                <w:noProof/>
                <w:color w:val="000000" w:themeColor="text1"/>
                <w:sz w:val="22"/>
                <w:lang w:val="es-ES_tradnl"/>
              </w:rPr>
              <w:t>/ TASA DE CAMBIO REPRESENTATIVA DEL MERCADO – TRM – Noción</w:t>
            </w:r>
            <w:r w:rsidRPr="000A20AD">
              <w:rPr>
                <w:rFonts w:ascii="Arial" w:eastAsia="Calibri" w:hAnsi="Arial" w:cs="Arial"/>
                <w:bCs/>
                <w:sz w:val="22"/>
                <w:lang w:val="es-ES_tradnl"/>
              </w:rPr>
              <w:t xml:space="preserve"> / </w:t>
            </w:r>
            <w:r w:rsidRPr="000A20AD">
              <w:rPr>
                <w:rFonts w:ascii="Arial" w:hAnsi="Arial" w:cs="Arial"/>
                <w:color w:val="000000" w:themeColor="text1"/>
                <w:sz w:val="22"/>
                <w:lang w:val="es-ES_tradnl"/>
              </w:rPr>
              <w:t xml:space="preserve">DOCUMENTOS BASE – Alcance / MÉTODOS DE PONDERACIÓN – Experiencia del proponente – Método aleatorio – TRM del documento base </w:t>
            </w:r>
          </w:p>
        </w:tc>
      </w:tr>
      <w:tr w:rsidR="00CB4BA0" w:rsidRPr="00BF2545" w14:paraId="7C0A7D18" w14:textId="77777777" w:rsidTr="00F90FA9">
        <w:tc>
          <w:tcPr>
            <w:tcW w:w="2689" w:type="dxa"/>
          </w:tcPr>
          <w:p w14:paraId="6A12F093" w14:textId="77777777" w:rsidR="00CB4BA0" w:rsidRPr="00BF2545" w:rsidRDefault="00CB4BA0" w:rsidP="00CB4BA0">
            <w:pPr>
              <w:spacing w:before="60"/>
              <w:rPr>
                <w:rFonts w:ascii="Arial" w:eastAsia="Calibri" w:hAnsi="Arial" w:cs="Arial"/>
                <w:b/>
                <w:sz w:val="22"/>
              </w:rPr>
            </w:pPr>
            <w:r w:rsidRPr="00BF2545">
              <w:rPr>
                <w:rFonts w:ascii="Arial" w:eastAsia="Calibri" w:hAnsi="Arial" w:cs="Arial"/>
                <w:b/>
                <w:sz w:val="22"/>
              </w:rPr>
              <w:t>Radicación:</w:t>
            </w:r>
            <w:r w:rsidRPr="00BF2545">
              <w:rPr>
                <w:rFonts w:ascii="Arial" w:eastAsia="Calibri" w:hAnsi="Arial" w:cs="Arial"/>
                <w:sz w:val="22"/>
              </w:rPr>
              <w:t xml:space="preserve">                              </w:t>
            </w:r>
          </w:p>
        </w:tc>
        <w:tc>
          <w:tcPr>
            <w:tcW w:w="6237" w:type="dxa"/>
          </w:tcPr>
          <w:p w14:paraId="73A42ACA" w14:textId="2A85FC1F" w:rsidR="00CB4BA0" w:rsidRPr="00BF2545" w:rsidRDefault="00CB4BA0" w:rsidP="00CB4BA0">
            <w:pPr>
              <w:spacing w:before="60"/>
              <w:jc w:val="both"/>
              <w:rPr>
                <w:rFonts w:ascii="Arial" w:eastAsia="Calibri" w:hAnsi="Arial" w:cs="Arial"/>
                <w:sz w:val="22"/>
              </w:rPr>
            </w:pPr>
            <w:r w:rsidRPr="00BF2545">
              <w:rPr>
                <w:rFonts w:ascii="Arial" w:eastAsia="Calibri" w:hAnsi="Arial" w:cs="Arial"/>
                <w:sz w:val="22"/>
              </w:rPr>
              <w:t>Respuesta a consulta</w:t>
            </w:r>
            <w:r>
              <w:rPr>
                <w:rFonts w:ascii="Arial" w:eastAsia="Calibri" w:hAnsi="Arial" w:cs="Arial"/>
                <w:sz w:val="22"/>
              </w:rPr>
              <w:t xml:space="preserve"> </w:t>
            </w:r>
            <w:r w:rsidRPr="00CB4BA0">
              <w:rPr>
                <w:rFonts w:ascii="Arial" w:eastAsia="Calibri" w:hAnsi="Arial" w:cs="Arial"/>
                <w:sz w:val="22"/>
              </w:rPr>
              <w:t>P20210615005212</w:t>
            </w:r>
          </w:p>
        </w:tc>
      </w:tr>
    </w:tbl>
    <w:p w14:paraId="396DE958" w14:textId="4F14B0C4" w:rsidR="005A79FE" w:rsidRDefault="005A79FE" w:rsidP="00BD5DA4">
      <w:pPr>
        <w:jc w:val="both"/>
        <w:rPr>
          <w:rFonts w:ascii="Arial" w:eastAsia="Calibri" w:hAnsi="Arial" w:cs="Arial"/>
          <w:sz w:val="22"/>
        </w:rPr>
      </w:pPr>
    </w:p>
    <w:p w14:paraId="67CE36FA" w14:textId="77777777" w:rsidR="00675434" w:rsidRPr="00BF2545" w:rsidRDefault="00675434" w:rsidP="00BD5DA4">
      <w:pPr>
        <w:jc w:val="both"/>
        <w:rPr>
          <w:rFonts w:ascii="Arial" w:eastAsia="Calibri" w:hAnsi="Arial" w:cs="Arial"/>
          <w:sz w:val="22"/>
        </w:rPr>
      </w:pPr>
    </w:p>
    <w:p w14:paraId="657E7EE7" w14:textId="10470F59" w:rsidR="005A79FE" w:rsidRPr="00BF2545" w:rsidRDefault="005A79FE" w:rsidP="005A79FE">
      <w:pPr>
        <w:rPr>
          <w:rFonts w:ascii="Arial" w:eastAsia="Calibri" w:hAnsi="Arial" w:cs="Arial"/>
          <w:sz w:val="22"/>
        </w:rPr>
      </w:pPr>
      <w:r w:rsidRPr="00BF2545">
        <w:rPr>
          <w:rFonts w:ascii="Arial" w:eastAsia="Calibri" w:hAnsi="Arial" w:cs="Arial"/>
          <w:sz w:val="22"/>
        </w:rPr>
        <w:t>Estimad</w:t>
      </w:r>
      <w:r w:rsidR="00CB4BA0">
        <w:rPr>
          <w:rFonts w:ascii="Arial" w:eastAsia="Calibri" w:hAnsi="Arial" w:cs="Arial"/>
          <w:sz w:val="22"/>
        </w:rPr>
        <w:t>o</w:t>
      </w:r>
      <w:r w:rsidR="00626304" w:rsidRPr="00BF2545">
        <w:rPr>
          <w:rFonts w:ascii="Arial" w:eastAsia="Calibri" w:hAnsi="Arial" w:cs="Arial"/>
          <w:sz w:val="22"/>
        </w:rPr>
        <w:t xml:space="preserve"> señor </w:t>
      </w:r>
      <w:r w:rsidR="00CB4BA0">
        <w:rPr>
          <w:rFonts w:ascii="Arial" w:eastAsia="Calibri" w:hAnsi="Arial" w:cs="Arial"/>
          <w:sz w:val="22"/>
        </w:rPr>
        <w:t>Riascos</w:t>
      </w:r>
      <w:r w:rsidR="00675434">
        <w:rPr>
          <w:rFonts w:ascii="Arial" w:eastAsia="Calibri" w:hAnsi="Arial" w:cs="Arial"/>
          <w:sz w:val="22"/>
        </w:rPr>
        <w:t>:</w:t>
      </w:r>
    </w:p>
    <w:p w14:paraId="40D74C98" w14:textId="77777777" w:rsidR="005A79FE" w:rsidRPr="00BF2545" w:rsidRDefault="005A79FE" w:rsidP="005A79FE">
      <w:pPr>
        <w:rPr>
          <w:rFonts w:ascii="Arial" w:eastAsia="Calibri" w:hAnsi="Arial" w:cs="Arial"/>
          <w:sz w:val="22"/>
        </w:rPr>
      </w:pPr>
    </w:p>
    <w:p w14:paraId="1EA2338B" w14:textId="423087B6" w:rsidR="005A79FE" w:rsidRPr="00BF2545" w:rsidRDefault="00B06DB6" w:rsidP="0031564F">
      <w:pPr>
        <w:spacing w:line="276" w:lineRule="auto"/>
        <w:ind w:right="49"/>
        <w:jc w:val="both"/>
        <w:rPr>
          <w:rFonts w:ascii="Arial" w:eastAsia="Calibri" w:hAnsi="Arial" w:cs="Arial"/>
          <w:sz w:val="22"/>
        </w:rPr>
      </w:pPr>
      <w:r w:rsidRPr="00BF2545">
        <w:rPr>
          <w:rFonts w:ascii="Arial" w:eastAsia="Calibri" w:hAnsi="Arial" w:cs="Arial"/>
          <w:sz w:val="22"/>
        </w:rPr>
        <w:t>En ejercicio de la competencia otorgada por el numeral 8 del artículo 11 y el numeral 5 del artículo 3 del Decreto Ley 4170 de 2011, l</w:t>
      </w:r>
      <w:r w:rsidR="005A79FE" w:rsidRPr="00BF2545">
        <w:rPr>
          <w:rFonts w:ascii="Arial" w:eastAsia="Calibri" w:hAnsi="Arial" w:cs="Arial"/>
          <w:sz w:val="22"/>
        </w:rPr>
        <w:t xml:space="preserve">a Agencia Nacional de Contratación Pública </w:t>
      </w:r>
      <w:r w:rsidR="00675434">
        <w:rPr>
          <w:rFonts w:ascii="Arial" w:eastAsia="Calibri" w:hAnsi="Arial" w:cs="Arial"/>
          <w:sz w:val="22"/>
        </w:rPr>
        <w:t>–</w:t>
      </w:r>
      <w:r w:rsidR="005A79FE" w:rsidRPr="00BF2545">
        <w:rPr>
          <w:rFonts w:ascii="Arial" w:eastAsia="Calibri" w:hAnsi="Arial" w:cs="Arial"/>
          <w:sz w:val="22"/>
        </w:rPr>
        <w:t xml:space="preserve">Colombia Compra Eficiente responde </w:t>
      </w:r>
      <w:r w:rsidR="00CB5220">
        <w:rPr>
          <w:rFonts w:ascii="Arial" w:eastAsia="Calibri" w:hAnsi="Arial" w:cs="Arial"/>
          <w:sz w:val="22"/>
        </w:rPr>
        <w:t xml:space="preserve">a </w:t>
      </w:r>
      <w:r w:rsidR="005A79FE" w:rsidRPr="00BF2545">
        <w:rPr>
          <w:rFonts w:ascii="Arial" w:eastAsia="Calibri" w:hAnsi="Arial" w:cs="Arial"/>
          <w:sz w:val="22"/>
        </w:rPr>
        <w:t xml:space="preserve">su consulta del </w:t>
      </w:r>
      <w:r w:rsidR="00CB4BA0">
        <w:rPr>
          <w:rFonts w:ascii="Arial" w:eastAsia="Calibri" w:hAnsi="Arial" w:cs="Arial"/>
          <w:sz w:val="22"/>
        </w:rPr>
        <w:t>14</w:t>
      </w:r>
      <w:r w:rsidRPr="00BF2545">
        <w:rPr>
          <w:rFonts w:ascii="Arial" w:eastAsia="Calibri" w:hAnsi="Arial" w:cs="Arial"/>
          <w:sz w:val="22"/>
        </w:rPr>
        <w:t xml:space="preserve"> de </w:t>
      </w:r>
      <w:r w:rsidR="00CB4BA0">
        <w:rPr>
          <w:rFonts w:ascii="Arial" w:eastAsia="Calibri" w:hAnsi="Arial" w:cs="Arial"/>
          <w:sz w:val="22"/>
        </w:rPr>
        <w:t>junio</w:t>
      </w:r>
      <w:r w:rsidR="005A79FE" w:rsidRPr="00BF2545">
        <w:rPr>
          <w:rFonts w:ascii="Arial" w:eastAsia="Calibri" w:hAnsi="Arial" w:cs="Arial"/>
          <w:sz w:val="22"/>
        </w:rPr>
        <w:t xml:space="preserve"> de 20</w:t>
      </w:r>
      <w:r w:rsidR="00251051" w:rsidRPr="00BF2545">
        <w:rPr>
          <w:rFonts w:ascii="Arial" w:eastAsia="Calibri" w:hAnsi="Arial" w:cs="Arial"/>
          <w:sz w:val="22"/>
        </w:rPr>
        <w:t>2</w:t>
      </w:r>
      <w:r w:rsidR="00B211A2">
        <w:rPr>
          <w:rFonts w:ascii="Arial" w:eastAsia="Calibri" w:hAnsi="Arial" w:cs="Arial"/>
          <w:sz w:val="22"/>
        </w:rPr>
        <w:t>1</w:t>
      </w:r>
      <w:r w:rsidR="005A79FE" w:rsidRPr="00BF2545">
        <w:rPr>
          <w:rFonts w:ascii="Arial" w:eastAsia="Calibri" w:hAnsi="Arial" w:cs="Arial"/>
          <w:sz w:val="22"/>
        </w:rPr>
        <w:t xml:space="preserve">. </w:t>
      </w:r>
    </w:p>
    <w:p w14:paraId="4FA02A8B" w14:textId="77777777" w:rsidR="005A79FE" w:rsidRPr="00BF2545" w:rsidRDefault="005A79FE" w:rsidP="005A79FE">
      <w:pPr>
        <w:spacing w:line="276" w:lineRule="auto"/>
        <w:jc w:val="both"/>
        <w:rPr>
          <w:rFonts w:ascii="Arial" w:eastAsia="Calibri" w:hAnsi="Arial" w:cs="Arial"/>
          <w:sz w:val="22"/>
        </w:rPr>
      </w:pPr>
    </w:p>
    <w:p w14:paraId="4E8D0889" w14:textId="77777777" w:rsidR="005A79FE" w:rsidRPr="00BF2545"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BF2545">
        <w:rPr>
          <w:rFonts w:ascii="Arial" w:eastAsia="Calibri" w:hAnsi="Arial" w:cs="Arial"/>
          <w:b/>
          <w:sz w:val="22"/>
        </w:rPr>
        <w:t xml:space="preserve">Problemas planteados </w:t>
      </w:r>
    </w:p>
    <w:p w14:paraId="138D5B25" w14:textId="77777777" w:rsidR="005A79FE" w:rsidRPr="00BF2545" w:rsidRDefault="005A79FE" w:rsidP="005A79FE">
      <w:pPr>
        <w:tabs>
          <w:tab w:val="left" w:pos="426"/>
        </w:tabs>
        <w:spacing w:line="276" w:lineRule="auto"/>
        <w:jc w:val="both"/>
        <w:rPr>
          <w:rFonts w:ascii="Arial" w:eastAsia="Calibri" w:hAnsi="Arial" w:cs="Arial"/>
          <w:b/>
          <w:sz w:val="22"/>
        </w:rPr>
      </w:pPr>
    </w:p>
    <w:p w14:paraId="065CE355" w14:textId="26A6282F" w:rsidR="00CB4BA0" w:rsidRDefault="00675434" w:rsidP="00675434">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Respecto a</w:t>
      </w:r>
      <w:r w:rsidR="00CB4BA0" w:rsidRPr="004A0905">
        <w:rPr>
          <w:rFonts w:ascii="Arial" w:hAnsi="Arial" w:cs="Arial"/>
          <w:color w:val="000000" w:themeColor="text1"/>
          <w:sz w:val="22"/>
          <w:lang w:val="es-ES_tradnl"/>
        </w:rPr>
        <w:t xml:space="preserve"> </w:t>
      </w:r>
      <w:r w:rsidR="00CB4BA0">
        <w:rPr>
          <w:rFonts w:ascii="Arial" w:hAnsi="Arial" w:cs="Arial"/>
          <w:color w:val="000000" w:themeColor="text1"/>
          <w:sz w:val="22"/>
          <w:lang w:val="es-ES_tradnl"/>
        </w:rPr>
        <w:t>la regla para determinar el método de ponderación aplicable a contratos de interventoría de obra pública de infraestructura transporte</w:t>
      </w:r>
      <w:r>
        <w:rPr>
          <w:rFonts w:ascii="Arial" w:hAnsi="Arial" w:cs="Arial"/>
          <w:color w:val="000000" w:themeColor="text1"/>
          <w:sz w:val="22"/>
          <w:lang w:val="es-ES_tradnl"/>
        </w:rPr>
        <w:t>, usted manifiesta lo siguiente</w:t>
      </w:r>
      <w:r w:rsidR="00CB4BA0">
        <w:rPr>
          <w:rFonts w:ascii="Arial" w:hAnsi="Arial" w:cs="Arial"/>
          <w:color w:val="000000" w:themeColor="text1"/>
          <w:sz w:val="22"/>
          <w:lang w:val="es-ES_tradnl"/>
        </w:rPr>
        <w:t xml:space="preserve">: </w:t>
      </w:r>
    </w:p>
    <w:p w14:paraId="6164062A" w14:textId="77777777" w:rsidR="00675434" w:rsidRPr="004A0905" w:rsidRDefault="00675434" w:rsidP="00BD5DA4">
      <w:pPr>
        <w:spacing w:line="276" w:lineRule="auto"/>
        <w:jc w:val="both"/>
        <w:rPr>
          <w:rFonts w:ascii="Arial" w:hAnsi="Arial" w:cs="Arial"/>
          <w:color w:val="000000" w:themeColor="text1"/>
          <w:sz w:val="22"/>
          <w:lang w:val="es-ES_tradnl"/>
        </w:rPr>
      </w:pPr>
    </w:p>
    <w:p w14:paraId="09E8AF8F" w14:textId="4F606711" w:rsidR="00CB4BA0" w:rsidRPr="00CB4BA0" w:rsidRDefault="00CB2EE0" w:rsidP="00BD5DA4">
      <w:pPr>
        <w:tabs>
          <w:tab w:val="left" w:pos="426"/>
        </w:tabs>
        <w:spacing w:after="120"/>
        <w:ind w:left="709" w:right="709"/>
        <w:jc w:val="both"/>
        <w:rPr>
          <w:rFonts w:ascii="Arial" w:hAnsi="Arial" w:cs="Arial"/>
          <w:sz w:val="21"/>
          <w:szCs w:val="21"/>
        </w:rPr>
      </w:pPr>
      <w:r w:rsidRPr="00CB4BA0">
        <w:rPr>
          <w:rFonts w:ascii="Arial" w:eastAsia="Calibri" w:hAnsi="Arial" w:cs="Arial"/>
          <w:sz w:val="21"/>
          <w:szCs w:val="21"/>
        </w:rPr>
        <w:t>«</w:t>
      </w:r>
      <w:r w:rsidR="00CB4BA0" w:rsidRPr="00CB4BA0">
        <w:rPr>
          <w:rFonts w:ascii="Arial" w:eastAsia="Calibri" w:hAnsi="Arial" w:cs="Arial"/>
          <w:sz w:val="21"/>
          <w:szCs w:val="21"/>
          <w:lang w:val="es-ES"/>
        </w:rPr>
        <w:t>En el anexo 2 “Cronograma” de los documentos tipo V3</w:t>
      </w:r>
      <w:r w:rsidR="00FA7267">
        <w:rPr>
          <w:rFonts w:ascii="Arial" w:eastAsia="Calibri" w:hAnsi="Arial" w:cs="Arial"/>
          <w:sz w:val="21"/>
          <w:szCs w:val="21"/>
          <w:lang w:val="es-ES"/>
        </w:rPr>
        <w:t xml:space="preserve"> (sic)</w:t>
      </w:r>
      <w:r w:rsidR="00CB4BA0" w:rsidRPr="00CB4BA0">
        <w:rPr>
          <w:rFonts w:ascii="Arial" w:eastAsia="Calibri" w:hAnsi="Arial" w:cs="Arial"/>
          <w:sz w:val="21"/>
          <w:szCs w:val="21"/>
          <w:lang w:val="es-ES"/>
        </w:rPr>
        <w:t xml:space="preserve"> para Interventoría de obras, en la fila correspondiente a la publicación del informe de evaluación dice: “Tener presente que la evaluación de la experiencia del proponente se realizará con la TRM que rija al segundo día hábil luego de vencido el término del traslado del informe preliminar de evaluación” lo que indica que el puntaje correspondiente al componente de experiencia no podrá ser evaluado si no hasta después de la subsanación de los proponentes y así poder evitar actos colusorios en los procesos de esta modalidad; pero en el documento base o </w:t>
      </w:r>
      <w:r w:rsidR="00CB4BA0" w:rsidRPr="00CB4BA0">
        <w:rPr>
          <w:rFonts w:ascii="Arial" w:eastAsia="Calibri" w:hAnsi="Arial" w:cs="Arial"/>
          <w:sz w:val="21"/>
          <w:szCs w:val="21"/>
          <w:lang w:val="es-ES"/>
        </w:rPr>
        <w:lastRenderedPageBreak/>
        <w:t xml:space="preserve">pliego tipo de </w:t>
      </w:r>
      <w:proofErr w:type="spellStart"/>
      <w:r w:rsidR="00CB4BA0" w:rsidRPr="00CB4BA0">
        <w:rPr>
          <w:rFonts w:ascii="Arial" w:eastAsia="Calibri" w:hAnsi="Arial" w:cs="Arial"/>
          <w:sz w:val="21"/>
          <w:szCs w:val="21"/>
          <w:lang w:val="es-ES"/>
        </w:rPr>
        <w:t>Interventoria</w:t>
      </w:r>
      <w:proofErr w:type="spellEnd"/>
      <w:r w:rsidR="00FA7267">
        <w:rPr>
          <w:rFonts w:ascii="Arial" w:eastAsia="Calibri" w:hAnsi="Arial" w:cs="Arial"/>
          <w:sz w:val="21"/>
          <w:szCs w:val="21"/>
          <w:lang w:val="es-ES"/>
        </w:rPr>
        <w:t xml:space="preserve"> </w:t>
      </w:r>
      <w:r w:rsidR="00CB4BA0" w:rsidRPr="00CB4BA0">
        <w:rPr>
          <w:rFonts w:ascii="Arial" w:eastAsia="Calibri" w:hAnsi="Arial" w:cs="Arial"/>
          <w:sz w:val="21"/>
          <w:szCs w:val="21"/>
          <w:lang w:val="es-ES"/>
        </w:rPr>
        <w:t>V3</w:t>
      </w:r>
      <w:r w:rsidR="00FA7267">
        <w:rPr>
          <w:rFonts w:ascii="Arial" w:eastAsia="Calibri" w:hAnsi="Arial" w:cs="Arial"/>
          <w:sz w:val="21"/>
          <w:szCs w:val="21"/>
          <w:lang w:val="es-ES"/>
        </w:rPr>
        <w:t xml:space="preserve"> (sic)</w:t>
      </w:r>
      <w:r w:rsidR="00CB4BA0" w:rsidRPr="00CB4BA0">
        <w:rPr>
          <w:rFonts w:ascii="Arial" w:eastAsia="Calibri" w:hAnsi="Arial" w:cs="Arial"/>
          <w:sz w:val="21"/>
          <w:szCs w:val="21"/>
          <w:lang w:val="es-ES"/>
        </w:rPr>
        <w:t xml:space="preserve"> en el capítulo 4.1 FORMA DE VERIFICACIÓN Y ASIGNACIÓN DE PUNTAJE POR LA EXPERIENCIA DEL PROPONENTE Literal C dice “La TRM que la entidad utilizará para determinar el método de ponderación será la que rija el segundo día hábil después del cierre del proceso […] instrucción que es totalmente contradictoria con la impartida en el anexo 2 “Cronograma”; una vez identificada esta dualidad se presentan los siguientes interrogantes:</w:t>
      </w:r>
    </w:p>
    <w:p w14:paraId="28A11308" w14:textId="405EE8C4" w:rsidR="00CB4BA0" w:rsidRPr="00CB4BA0" w:rsidRDefault="00CB4BA0" w:rsidP="00BD5DA4">
      <w:pPr>
        <w:spacing w:after="120"/>
        <w:ind w:left="709" w:right="709"/>
        <w:jc w:val="both"/>
        <w:rPr>
          <w:rFonts w:ascii="Arial" w:hAnsi="Arial" w:cs="Arial"/>
          <w:sz w:val="21"/>
          <w:szCs w:val="21"/>
        </w:rPr>
      </w:pPr>
      <w:r w:rsidRPr="00CB4BA0">
        <w:rPr>
          <w:rFonts w:ascii="Arial" w:hAnsi="Arial" w:cs="Arial"/>
          <w:sz w:val="21"/>
          <w:szCs w:val="21"/>
        </w:rPr>
        <w:t>¿Con cuál de las 2 TRM se debe realizar la asignación de puntaje en el componente de experiencia, con la indicada en el anexo 2 “Cronograma” o con la indicada en el documento base pliego tipo de interventoría V3</w:t>
      </w:r>
      <w:r w:rsidR="003A4B1E">
        <w:rPr>
          <w:rFonts w:ascii="Arial" w:hAnsi="Arial" w:cs="Arial"/>
          <w:sz w:val="21"/>
          <w:szCs w:val="21"/>
        </w:rPr>
        <w:t xml:space="preserve"> (sic)</w:t>
      </w:r>
      <w:r w:rsidRPr="00CB4BA0">
        <w:rPr>
          <w:rFonts w:ascii="Arial" w:hAnsi="Arial" w:cs="Arial"/>
          <w:sz w:val="21"/>
          <w:szCs w:val="21"/>
        </w:rPr>
        <w:t>?</w:t>
      </w:r>
    </w:p>
    <w:p w14:paraId="4663DE04" w14:textId="1643285C" w:rsidR="00CB4BA0" w:rsidRPr="00CB4BA0" w:rsidRDefault="00CB4BA0" w:rsidP="00CB4BA0">
      <w:pPr>
        <w:ind w:left="709" w:right="709"/>
        <w:jc w:val="both"/>
        <w:rPr>
          <w:rFonts w:ascii="Arial" w:hAnsi="Arial" w:cs="Arial"/>
          <w:sz w:val="21"/>
          <w:szCs w:val="21"/>
        </w:rPr>
      </w:pPr>
      <w:r w:rsidRPr="00CB4BA0">
        <w:rPr>
          <w:rFonts w:ascii="Arial" w:hAnsi="Arial" w:cs="Arial"/>
          <w:sz w:val="21"/>
          <w:szCs w:val="21"/>
        </w:rPr>
        <w:t>¿Expedirán un nuevo documento base corregido o un nuevo formato anexo 2 corregido una vez resuelta la dicotomía evidenciada o en su defecto, la respuesta a este interrogante tendrá carácter vinculante obligatorio en los procesos de contratación de esta modalidad a partir de su expedición?»</w:t>
      </w:r>
      <w:r w:rsidR="00675434">
        <w:rPr>
          <w:rFonts w:ascii="Arial" w:hAnsi="Arial" w:cs="Arial"/>
          <w:sz w:val="21"/>
          <w:szCs w:val="21"/>
        </w:rPr>
        <w:t>.</w:t>
      </w:r>
    </w:p>
    <w:p w14:paraId="7EA5D57B" w14:textId="77777777" w:rsidR="00FA7267" w:rsidRPr="00BF2545" w:rsidRDefault="00FA7267" w:rsidP="005A79FE">
      <w:pPr>
        <w:tabs>
          <w:tab w:val="left" w:pos="426"/>
        </w:tabs>
        <w:spacing w:line="276" w:lineRule="auto"/>
        <w:jc w:val="both"/>
        <w:rPr>
          <w:rFonts w:ascii="Arial" w:eastAsia="Calibri" w:hAnsi="Arial" w:cs="Arial"/>
          <w:sz w:val="22"/>
        </w:rPr>
      </w:pPr>
    </w:p>
    <w:p w14:paraId="18C6DB19" w14:textId="11E7C1B2" w:rsidR="005A79FE" w:rsidRPr="00BF2545"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rPr>
      </w:pPr>
      <w:r w:rsidRPr="00BF2545">
        <w:rPr>
          <w:rFonts w:ascii="Arial" w:eastAsia="Calibri" w:hAnsi="Arial" w:cs="Arial"/>
          <w:b/>
          <w:sz w:val="22"/>
        </w:rPr>
        <w:t>Consideraciones</w:t>
      </w:r>
    </w:p>
    <w:p w14:paraId="02FE9605" w14:textId="77777777" w:rsidR="00604180" w:rsidRPr="00BF2545" w:rsidRDefault="00604180" w:rsidP="00604180">
      <w:pPr>
        <w:pStyle w:val="Prrafodelista"/>
        <w:tabs>
          <w:tab w:val="left" w:pos="426"/>
        </w:tabs>
        <w:spacing w:line="276" w:lineRule="auto"/>
        <w:ind w:left="284"/>
        <w:jc w:val="both"/>
        <w:rPr>
          <w:rFonts w:ascii="Arial" w:eastAsia="Calibri" w:hAnsi="Arial" w:cs="Arial"/>
          <w:b/>
          <w:sz w:val="22"/>
        </w:rPr>
      </w:pPr>
    </w:p>
    <w:p w14:paraId="0AF64760" w14:textId="77777777" w:rsidR="00CD29EC" w:rsidRPr="002A1310" w:rsidRDefault="00CD29EC" w:rsidP="00CD29EC">
      <w:pPr>
        <w:spacing w:line="276" w:lineRule="auto"/>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La Agencia Nacional de Contratación Pública – Colombia Compra Eficiente responderá la consulta, luego de analizar los siguientes temas: i)</w:t>
      </w:r>
      <w:r>
        <w:rPr>
          <w:rFonts w:ascii="Arial" w:eastAsia="Calibri" w:hAnsi="Arial" w:cs="Arial"/>
          <w:color w:val="000000" w:themeColor="text1"/>
          <w:sz w:val="22"/>
          <w:lang w:val="es-ES_tradnl"/>
        </w:rPr>
        <w:t xml:space="preserve"> métodos de ponderación de la experiencia, </w:t>
      </w:r>
      <w:proofErr w:type="spellStart"/>
      <w:r w:rsidRPr="004A0905">
        <w:rPr>
          <w:rFonts w:ascii="Arial" w:eastAsia="Calibri" w:hAnsi="Arial" w:cs="Arial"/>
          <w:color w:val="000000" w:themeColor="text1"/>
          <w:sz w:val="22"/>
          <w:lang w:val="es-ES_tradnl"/>
        </w:rPr>
        <w:t>ii</w:t>
      </w:r>
      <w:proofErr w:type="spellEnd"/>
      <w:r w:rsidRPr="004A090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consideraciones sobre la TRM</w:t>
      </w:r>
      <w:r w:rsidRPr="004A090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aplicable y</w:t>
      </w:r>
      <w:r w:rsidRPr="004A0905">
        <w:rPr>
          <w:rFonts w:ascii="Arial" w:eastAsia="Calibri" w:hAnsi="Arial" w:cs="Arial"/>
          <w:color w:val="000000" w:themeColor="text1"/>
          <w:sz w:val="22"/>
          <w:lang w:val="es-ES_tradnl"/>
        </w:rPr>
        <w:t xml:space="preserve"> </w:t>
      </w:r>
      <w:proofErr w:type="spellStart"/>
      <w:r w:rsidRPr="004A0905">
        <w:rPr>
          <w:rFonts w:ascii="Arial" w:eastAsia="Calibri" w:hAnsi="Arial" w:cs="Arial"/>
          <w:color w:val="000000" w:themeColor="text1"/>
          <w:sz w:val="22"/>
          <w:lang w:val="es-ES_tradnl"/>
        </w:rPr>
        <w:t>iii</w:t>
      </w:r>
      <w:proofErr w:type="spellEnd"/>
      <w:r w:rsidRPr="004A090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la regla para determinar el método de ponderación en </w:t>
      </w:r>
      <w:r w:rsidRPr="002A1310">
        <w:rPr>
          <w:rFonts w:ascii="Arial" w:eastAsia="Calibri" w:hAnsi="Arial" w:cs="Arial"/>
          <w:color w:val="000000" w:themeColor="text1"/>
          <w:sz w:val="22"/>
          <w:lang w:val="es-ES_tradnl"/>
        </w:rPr>
        <w:t xml:space="preserve">documento tipo de interventoría de obra pública de infraestructura. </w:t>
      </w:r>
    </w:p>
    <w:p w14:paraId="251CE759" w14:textId="4FE8DFC4" w:rsidR="00CD29EC" w:rsidRPr="004A0905" w:rsidRDefault="00CD29EC" w:rsidP="00CD29EC">
      <w:pPr>
        <w:spacing w:before="120" w:line="276" w:lineRule="auto"/>
        <w:ind w:firstLine="709"/>
        <w:jc w:val="both"/>
        <w:rPr>
          <w:rFonts w:ascii="Arial" w:eastAsia="Calibri" w:hAnsi="Arial" w:cs="Arial"/>
          <w:color w:val="000000" w:themeColor="text1"/>
          <w:sz w:val="22"/>
          <w:lang w:val="es-ES_tradnl"/>
        </w:rPr>
      </w:pPr>
      <w:r w:rsidRPr="002A1310">
        <w:rPr>
          <w:rFonts w:ascii="Arial" w:eastAsia="Calibri" w:hAnsi="Arial" w:cs="Arial"/>
          <w:color w:val="000000" w:themeColor="text1"/>
          <w:sz w:val="22"/>
          <w:lang w:val="es-ES_tradnl"/>
        </w:rPr>
        <w:t>Es importante destacar que la Agencia Nacional de Contratación Pública – Colombia Compra Eficiente se pronunció, en términos generales, sobre la aplicación de la Tasa de Cambio Representativa del Mercado – TRM</w:t>
      </w:r>
      <w:r>
        <w:rPr>
          <w:rFonts w:ascii="Arial" w:eastAsia="Calibri" w:hAnsi="Arial" w:cs="Arial"/>
          <w:color w:val="000000" w:themeColor="text1"/>
          <w:sz w:val="22"/>
          <w:lang w:val="es-ES_tradnl"/>
        </w:rPr>
        <w:t xml:space="preserve">, para efectos de </w:t>
      </w:r>
      <w:r w:rsidR="006542AC">
        <w:rPr>
          <w:rFonts w:ascii="Arial" w:eastAsia="Calibri" w:hAnsi="Arial" w:cs="Arial"/>
          <w:color w:val="000000" w:themeColor="text1"/>
          <w:sz w:val="22"/>
          <w:lang w:val="es-ES_tradnl"/>
        </w:rPr>
        <w:t>de</w:t>
      </w:r>
      <w:r>
        <w:rPr>
          <w:rFonts w:ascii="Arial" w:eastAsia="Calibri" w:hAnsi="Arial" w:cs="Arial"/>
          <w:color w:val="000000" w:themeColor="text1"/>
          <w:sz w:val="22"/>
          <w:lang w:val="es-ES_tradnl"/>
        </w:rPr>
        <w:t>terminar los métodos de ponderación de las propuestas en los procesos regidos por documentos tipo,</w:t>
      </w:r>
      <w:r w:rsidRPr="002A1310">
        <w:rPr>
          <w:rFonts w:ascii="Arial" w:eastAsia="Calibri" w:hAnsi="Arial" w:cs="Arial"/>
          <w:color w:val="000000" w:themeColor="text1"/>
          <w:sz w:val="22"/>
          <w:lang w:val="es-ES_tradnl"/>
        </w:rPr>
        <w:t xml:space="preserve"> en el concepto C-011 de 5 de enero de 2021. A su vez, en relación con la aplicación de </w:t>
      </w:r>
      <w:r>
        <w:rPr>
          <w:rFonts w:ascii="Arial" w:eastAsia="Calibri" w:hAnsi="Arial" w:cs="Arial"/>
          <w:color w:val="000000" w:themeColor="text1"/>
          <w:sz w:val="22"/>
          <w:lang w:val="es-ES_tradnl"/>
        </w:rPr>
        <w:t xml:space="preserve">los </w:t>
      </w:r>
      <w:r w:rsidRPr="002A1310">
        <w:rPr>
          <w:rFonts w:ascii="Arial" w:eastAsia="Calibri" w:hAnsi="Arial" w:cs="Arial"/>
          <w:color w:val="000000" w:themeColor="text1"/>
          <w:sz w:val="22"/>
          <w:lang w:val="es-ES_tradnl"/>
        </w:rPr>
        <w:t xml:space="preserve">métodos de ponderación </w:t>
      </w:r>
      <w:r>
        <w:rPr>
          <w:rFonts w:ascii="Arial" w:eastAsia="Calibri" w:hAnsi="Arial" w:cs="Arial"/>
          <w:color w:val="000000" w:themeColor="text1"/>
          <w:sz w:val="22"/>
          <w:lang w:val="es-ES_tradnl"/>
        </w:rPr>
        <w:t>en particular se pronunció e</w:t>
      </w:r>
      <w:r w:rsidRPr="002A1310">
        <w:rPr>
          <w:rFonts w:ascii="Arial" w:eastAsia="Calibri" w:hAnsi="Arial" w:cs="Arial"/>
          <w:color w:val="000000" w:themeColor="text1"/>
          <w:sz w:val="22"/>
          <w:lang w:val="es-ES_tradnl"/>
        </w:rPr>
        <w:t xml:space="preserve">n </w:t>
      </w:r>
      <w:r>
        <w:rPr>
          <w:rFonts w:ascii="Arial" w:eastAsia="Calibri" w:hAnsi="Arial" w:cs="Arial"/>
          <w:color w:val="000000" w:themeColor="text1"/>
          <w:sz w:val="22"/>
          <w:lang w:val="es-ES_tradnl"/>
        </w:rPr>
        <w:t xml:space="preserve">el </w:t>
      </w:r>
      <w:r w:rsidRPr="002A1310">
        <w:rPr>
          <w:rFonts w:ascii="Arial" w:eastAsia="Calibri" w:hAnsi="Arial" w:cs="Arial"/>
          <w:color w:val="000000" w:themeColor="text1"/>
          <w:sz w:val="22"/>
          <w:lang w:val="es-ES_tradnl"/>
        </w:rPr>
        <w:t>Concepto C-042 de</w:t>
      </w:r>
      <w:r>
        <w:rPr>
          <w:rFonts w:ascii="Arial" w:eastAsia="Calibri" w:hAnsi="Arial" w:cs="Arial"/>
          <w:color w:val="000000" w:themeColor="text1"/>
          <w:sz w:val="22"/>
          <w:lang w:val="es-ES_tradnl"/>
        </w:rPr>
        <w:t>l 3 de marzo</w:t>
      </w:r>
      <w:r w:rsidRPr="002A1310">
        <w:rPr>
          <w:rFonts w:ascii="Arial" w:eastAsia="Calibri" w:hAnsi="Arial" w:cs="Arial"/>
          <w:color w:val="000000" w:themeColor="text1"/>
          <w:sz w:val="22"/>
          <w:lang w:val="es-ES_tradnl"/>
        </w:rPr>
        <w:t xml:space="preserve"> 2021.</w:t>
      </w:r>
      <w:r>
        <w:rPr>
          <w:rFonts w:ascii="Arial" w:eastAsia="Calibri" w:hAnsi="Arial" w:cs="Arial"/>
          <w:color w:val="000000" w:themeColor="text1"/>
          <w:sz w:val="22"/>
          <w:lang w:val="es-ES_tradnl"/>
        </w:rPr>
        <w:t xml:space="preserve"> Finalmente, en el concepto C-174 del 26 de abril de 2021, esta Agencia se pronunció sobre la TRM que debe aplicar en los procesos de selección de los documentos tipo de interventoría de obra pública de infraestructura. </w:t>
      </w:r>
      <w:r w:rsidRPr="002A1310">
        <w:rPr>
          <w:rFonts w:ascii="Arial" w:eastAsia="Calibri" w:hAnsi="Arial" w:cs="Arial"/>
          <w:color w:val="000000" w:themeColor="text1"/>
          <w:sz w:val="22"/>
          <w:lang w:val="es-ES_tradnl"/>
        </w:rPr>
        <w:t>Algunas de las consideraciones de estos conceptos se reiteran a continuación.</w:t>
      </w:r>
    </w:p>
    <w:p w14:paraId="109C409F" w14:textId="5567BF25" w:rsidR="00440254" w:rsidRPr="00BF2545" w:rsidRDefault="00440254" w:rsidP="00B7508D">
      <w:pPr>
        <w:spacing w:line="276" w:lineRule="auto"/>
        <w:jc w:val="both"/>
        <w:rPr>
          <w:rFonts w:ascii="Arial" w:eastAsia="Calibri" w:hAnsi="Arial" w:cs="Arial"/>
          <w:sz w:val="22"/>
        </w:rPr>
      </w:pPr>
    </w:p>
    <w:p w14:paraId="4FB7ED3D" w14:textId="692AE003" w:rsidR="00CD29EC" w:rsidRPr="007504FC" w:rsidRDefault="00CD29EC" w:rsidP="00CD29EC">
      <w:pPr>
        <w:spacing w:line="276" w:lineRule="auto"/>
        <w:jc w:val="both"/>
        <w:rPr>
          <w:rFonts w:ascii="Arial" w:eastAsia="Calibri" w:hAnsi="Arial" w:cs="Arial"/>
          <w:b/>
          <w:bCs/>
          <w:color w:val="000000" w:themeColor="text1"/>
          <w:sz w:val="22"/>
          <w:lang w:val="es-ES_tradnl"/>
        </w:rPr>
      </w:pPr>
      <w:r w:rsidRPr="004A0905">
        <w:rPr>
          <w:rFonts w:ascii="Arial" w:eastAsia="Calibri" w:hAnsi="Arial" w:cs="Arial"/>
          <w:b/>
          <w:bCs/>
          <w:color w:val="000000" w:themeColor="text1"/>
          <w:sz w:val="22"/>
          <w:lang w:val="es-ES_tradnl"/>
        </w:rPr>
        <w:t xml:space="preserve">2.1. </w:t>
      </w:r>
      <w:r>
        <w:rPr>
          <w:rFonts w:ascii="Arial" w:eastAsia="Calibri" w:hAnsi="Arial" w:cs="Arial"/>
          <w:b/>
          <w:bCs/>
          <w:color w:val="000000" w:themeColor="text1"/>
          <w:sz w:val="22"/>
          <w:lang w:val="es-ES_tradnl"/>
        </w:rPr>
        <w:t xml:space="preserve">Consideraciones sobre los métodos de ponderación en los documentos tipo de interventoría de obra pública de transporte </w:t>
      </w:r>
    </w:p>
    <w:p w14:paraId="5C609940" w14:textId="77777777" w:rsidR="00675434" w:rsidRDefault="00675434" w:rsidP="00675434">
      <w:pPr>
        <w:spacing w:line="276" w:lineRule="auto"/>
        <w:jc w:val="both"/>
        <w:rPr>
          <w:rFonts w:ascii="Arial" w:eastAsia="Calibri" w:hAnsi="Arial" w:cs="Arial"/>
          <w:color w:val="000000" w:themeColor="text1"/>
          <w:sz w:val="22"/>
          <w:lang w:val="es-ES_tradnl"/>
        </w:rPr>
      </w:pPr>
    </w:p>
    <w:p w14:paraId="5E150DEE" w14:textId="21412CCE" w:rsidR="00CD29EC" w:rsidRDefault="00CD29EC" w:rsidP="00BD5DA4">
      <w:pPr>
        <w:spacing w:line="276" w:lineRule="auto"/>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Dado que la selección objetiva es uno de los principios medulares de la contratación estatal, la selección del futuro contratista no puede motivarse en razones subjetivas que afecten la imparcialidad de la en</w:t>
      </w:r>
      <w:r>
        <w:rPr>
          <w:rFonts w:ascii="Arial" w:eastAsia="Calibri" w:hAnsi="Arial" w:cs="Arial"/>
          <w:color w:val="000000" w:themeColor="text1"/>
          <w:sz w:val="22"/>
          <w:lang w:val="es-ES_tradnl"/>
        </w:rPr>
        <w:t xml:space="preserve">tidad pública. Así lo determinó </w:t>
      </w:r>
      <w:r w:rsidRPr="004A0905">
        <w:rPr>
          <w:rFonts w:ascii="Arial" w:eastAsia="Calibri" w:hAnsi="Arial" w:cs="Arial"/>
          <w:color w:val="000000" w:themeColor="text1"/>
          <w:sz w:val="22"/>
          <w:lang w:val="es-ES_tradnl"/>
        </w:rPr>
        <w:t>el primer inciso del artículo 5 de la Ley 1150 de 2007, indic</w:t>
      </w:r>
      <w:r>
        <w:rPr>
          <w:rFonts w:ascii="Arial" w:eastAsia="Calibri" w:hAnsi="Arial" w:cs="Arial"/>
          <w:color w:val="000000" w:themeColor="text1"/>
          <w:sz w:val="22"/>
          <w:lang w:val="es-ES_tradnl"/>
        </w:rPr>
        <w:t xml:space="preserve">ando </w:t>
      </w:r>
      <w:r w:rsidRPr="004A0905">
        <w:rPr>
          <w:rFonts w:ascii="Arial" w:eastAsia="Calibri" w:hAnsi="Arial" w:cs="Arial"/>
          <w:color w:val="000000" w:themeColor="text1"/>
          <w:sz w:val="22"/>
          <w:lang w:val="es-ES_tradnl"/>
        </w:rPr>
        <w:t xml:space="preserve">que «Es objetiva la selección en la cual la escogencia se haga al ofrecimiento más favorable a la entidad y a los fines que ella busca, sin tener en </w:t>
      </w:r>
      <w:r w:rsidRPr="004A0905">
        <w:rPr>
          <w:rFonts w:ascii="Arial" w:eastAsia="Calibri" w:hAnsi="Arial" w:cs="Arial"/>
          <w:color w:val="000000" w:themeColor="text1"/>
          <w:sz w:val="22"/>
          <w:lang w:val="es-ES_tradnl"/>
        </w:rPr>
        <w:lastRenderedPageBreak/>
        <w:t>consideración factores de afecto o de interés y, en general, cualquier clase de motivación subjetiva». En esta perspectiv</w:t>
      </w:r>
      <w:r>
        <w:rPr>
          <w:rFonts w:ascii="Arial" w:eastAsia="Calibri" w:hAnsi="Arial" w:cs="Arial"/>
          <w:color w:val="000000" w:themeColor="text1"/>
          <w:sz w:val="22"/>
          <w:lang w:val="es-ES_tradnl"/>
        </w:rPr>
        <w:t xml:space="preserve">a, los procesos de selección de contratistas se orientan por parámetros o criterios técnicos y objetivos que materializan el deber de selección objetiva, para que la actividad contractual se desarrolle desprovista de subjetividades y en contravía de la prevalencia del interés general. </w:t>
      </w:r>
    </w:p>
    <w:p w14:paraId="68C45C51" w14:textId="14148F22" w:rsidR="00CD29EC" w:rsidRDefault="0096278F" w:rsidP="00CD29EC">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Así las cosas</w:t>
      </w:r>
      <w:r w:rsidR="00CD29EC">
        <w:rPr>
          <w:rFonts w:ascii="Arial" w:eastAsia="Calibri" w:hAnsi="Arial" w:cs="Arial"/>
          <w:color w:val="000000" w:themeColor="text1"/>
          <w:sz w:val="22"/>
          <w:lang w:val="es-ES_tradnl"/>
        </w:rPr>
        <w:t xml:space="preserve">, los mecanismos para evaluar los criterios o factores de escogencia del futuro contratista, deben definirse con base en criterios objetivos e imparciales que garanticen la materialización de los principios que reglan la actuación contractual del Estado, puntualmente, el de selección objetiva. </w:t>
      </w:r>
    </w:p>
    <w:p w14:paraId="50168F1A" w14:textId="7E1F3398" w:rsidR="00CD29EC" w:rsidRDefault="00CD29EC" w:rsidP="00CD29EC">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Ahora, los métodos de ponderación de que trata el numeral 4.1. del documento base del documento tipo de interventoría de obra pública de infraestructura de transporte constituyen un mecanismo de evaluación de la experiencia del contratista, que cumple con el principio de selección objetiva. En este sentido, este numeral estableció 4 alternativas para asignar puntaje en relación con la experiencia de los proponentes: i) media con valor absoluto; </w:t>
      </w: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xml:space="preserve">) media geométrica; </w:t>
      </w:r>
      <w:proofErr w:type="spellStart"/>
      <w:r>
        <w:rPr>
          <w:rFonts w:ascii="Arial" w:eastAsia="Calibri" w:hAnsi="Arial" w:cs="Arial"/>
          <w:color w:val="000000" w:themeColor="text1"/>
          <w:sz w:val="22"/>
          <w:lang w:val="es-ES_tradnl"/>
        </w:rPr>
        <w:t>iii</w:t>
      </w:r>
      <w:proofErr w:type="spellEnd"/>
      <w:r>
        <w:rPr>
          <w:rFonts w:ascii="Arial" w:eastAsia="Calibri" w:hAnsi="Arial" w:cs="Arial"/>
          <w:color w:val="000000" w:themeColor="text1"/>
          <w:sz w:val="22"/>
          <w:lang w:val="es-ES_tradnl"/>
        </w:rPr>
        <w:t xml:space="preserve">) media aritmética alta y </w:t>
      </w:r>
      <w:proofErr w:type="spellStart"/>
      <w:r>
        <w:rPr>
          <w:rFonts w:ascii="Arial" w:eastAsia="Calibri" w:hAnsi="Arial" w:cs="Arial"/>
          <w:color w:val="000000" w:themeColor="text1"/>
          <w:sz w:val="22"/>
          <w:lang w:val="es-ES_tradnl"/>
        </w:rPr>
        <w:t>iv</w:t>
      </w:r>
      <w:proofErr w:type="spellEnd"/>
      <w:r>
        <w:rPr>
          <w:rFonts w:ascii="Arial" w:eastAsia="Calibri" w:hAnsi="Arial" w:cs="Arial"/>
          <w:color w:val="000000" w:themeColor="text1"/>
          <w:sz w:val="22"/>
          <w:lang w:val="es-ES_tradnl"/>
        </w:rPr>
        <w:t xml:space="preserve">) media aritmética baja, cuya selección es aleatoria, como se explicará más adelante. </w:t>
      </w:r>
    </w:p>
    <w:p w14:paraId="0C7CC612" w14:textId="77777777" w:rsidR="00CD29EC" w:rsidRPr="004A0905" w:rsidRDefault="00CD29EC" w:rsidP="00CD29EC">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Así, estos métodos permiten evaluar la experiencia del proponente con base en el valor del promedio de los contratos válidos que fueron aportados. De esta manera, cada método aplica una fórmula matemática que permite ponderar las propuestas de manera objetiva y transparente, con lo que se materializa el principio de selección objetiva. </w:t>
      </w:r>
    </w:p>
    <w:p w14:paraId="29C74A0D" w14:textId="77777777" w:rsidR="00CD29EC" w:rsidRPr="004A0905" w:rsidRDefault="00CD29EC" w:rsidP="00CD29EC">
      <w:pPr>
        <w:spacing w:line="276" w:lineRule="auto"/>
        <w:jc w:val="both"/>
        <w:rPr>
          <w:rFonts w:ascii="Arial" w:eastAsia="Calibri" w:hAnsi="Arial" w:cs="Arial"/>
          <w:b/>
          <w:bCs/>
          <w:color w:val="000000" w:themeColor="text1"/>
          <w:sz w:val="22"/>
          <w:lang w:val="es-ES_tradnl"/>
        </w:rPr>
      </w:pPr>
    </w:p>
    <w:p w14:paraId="5D70A053" w14:textId="77777777" w:rsidR="00CD29EC" w:rsidRDefault="00CD29EC" w:rsidP="00CD29EC">
      <w:pPr>
        <w:spacing w:line="276" w:lineRule="auto"/>
        <w:jc w:val="both"/>
        <w:rPr>
          <w:rFonts w:ascii="Arial" w:eastAsia="Calibri" w:hAnsi="Arial" w:cs="Arial"/>
          <w:b/>
          <w:bCs/>
          <w:color w:val="000000" w:themeColor="text1"/>
          <w:sz w:val="22"/>
          <w:lang w:val="es-ES_tradnl"/>
        </w:rPr>
      </w:pPr>
      <w:r w:rsidRPr="004A0905">
        <w:rPr>
          <w:rFonts w:ascii="Arial" w:eastAsia="Calibri" w:hAnsi="Arial" w:cs="Arial"/>
          <w:b/>
          <w:bCs/>
          <w:color w:val="000000" w:themeColor="text1"/>
          <w:sz w:val="22"/>
          <w:lang w:val="es-ES_tradnl"/>
        </w:rPr>
        <w:t xml:space="preserve">2.2. </w:t>
      </w:r>
      <w:r>
        <w:rPr>
          <w:rFonts w:ascii="Arial" w:eastAsia="Calibri" w:hAnsi="Arial" w:cs="Arial"/>
          <w:b/>
          <w:bCs/>
          <w:color w:val="000000" w:themeColor="text1"/>
          <w:sz w:val="22"/>
          <w:lang w:val="es-ES_tradnl"/>
        </w:rPr>
        <w:t xml:space="preserve">Tasa de Cambio Representativa del Mercado – TRM </w:t>
      </w:r>
    </w:p>
    <w:p w14:paraId="44C3748E" w14:textId="77777777" w:rsidR="00CD29EC" w:rsidRPr="004A0905" w:rsidRDefault="00CD29EC" w:rsidP="00CD29EC">
      <w:pPr>
        <w:spacing w:line="276" w:lineRule="auto"/>
        <w:jc w:val="both"/>
        <w:rPr>
          <w:rFonts w:ascii="Arial" w:eastAsia="Calibri" w:hAnsi="Arial" w:cs="Arial"/>
          <w:b/>
          <w:bCs/>
          <w:color w:val="000000" w:themeColor="text1"/>
          <w:sz w:val="22"/>
          <w:lang w:val="es-ES_tradnl"/>
        </w:rPr>
      </w:pPr>
    </w:p>
    <w:p w14:paraId="195B54B7" w14:textId="5D0C4CCF" w:rsidR="00CD29EC" w:rsidRDefault="00CD29EC" w:rsidP="00CD29EC">
      <w:pPr>
        <w:spacing w:after="120" w:line="276" w:lineRule="auto"/>
        <w:jc w:val="both"/>
        <w:rPr>
          <w:rFonts w:ascii="Arial" w:hAnsi="Arial" w:cs="Arial"/>
          <w:color w:val="000000" w:themeColor="text1"/>
          <w:sz w:val="22"/>
          <w:lang w:val="es-ES_tradnl"/>
        </w:rPr>
      </w:pPr>
      <w:r w:rsidRPr="00DB6895">
        <w:rPr>
          <w:rFonts w:ascii="Arial" w:eastAsia="Calibri" w:hAnsi="Arial" w:cs="Arial"/>
          <w:color w:val="000000" w:themeColor="text1"/>
          <w:sz w:val="22"/>
          <w:lang w:val="es-ES_tradnl"/>
        </w:rPr>
        <w:t>La Tasa de Cambio Representativa del Mercado –TRM</w:t>
      </w:r>
      <w:r w:rsidR="007A294F">
        <w:rPr>
          <w:rFonts w:ascii="Arial" w:eastAsia="Calibri" w:hAnsi="Arial" w:cs="Arial"/>
          <w:color w:val="000000" w:themeColor="text1"/>
          <w:sz w:val="22"/>
          <w:lang w:val="es-ES_tradnl"/>
        </w:rPr>
        <w:t>–</w:t>
      </w:r>
      <w:r w:rsidRPr="00DB6895">
        <w:rPr>
          <w:rFonts w:ascii="Arial" w:eastAsia="Calibri" w:hAnsi="Arial" w:cs="Arial"/>
          <w:color w:val="000000" w:themeColor="text1"/>
          <w:sz w:val="22"/>
          <w:lang w:val="es-ES_tradnl"/>
        </w:rPr>
        <w:t xml:space="preserve"> «</w:t>
      </w:r>
      <w:r w:rsidRPr="00DB6895">
        <w:rPr>
          <w:rFonts w:ascii="Arial" w:hAnsi="Arial" w:cs="Arial"/>
          <w:sz w:val="22"/>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007A294F" w:rsidRPr="00DB6895" w:rsidDel="007A294F">
        <w:rPr>
          <w:rStyle w:val="Refdenotaalpie"/>
          <w:rFonts w:ascii="Arial" w:hAnsi="Arial" w:cs="Arial"/>
          <w:color w:val="000000" w:themeColor="text1"/>
          <w:sz w:val="22"/>
          <w:lang w:val="es-ES_tradnl"/>
        </w:rPr>
        <w:t xml:space="preserve"> </w:t>
      </w:r>
      <w:r w:rsidRPr="00DB6895">
        <w:rPr>
          <w:rFonts w:ascii="Arial" w:hAnsi="Arial" w:cs="Arial"/>
          <w:color w:val="000000" w:themeColor="text1"/>
          <w:sz w:val="22"/>
          <w:lang w:val="es-ES_tradnl"/>
        </w:rPr>
        <w:t>»</w:t>
      </w:r>
      <w:r w:rsidR="007A294F" w:rsidRPr="00DB6895">
        <w:rPr>
          <w:rStyle w:val="Refdenotaalpie"/>
          <w:rFonts w:ascii="Arial" w:hAnsi="Arial" w:cs="Arial"/>
          <w:color w:val="000000" w:themeColor="text1"/>
          <w:sz w:val="22"/>
          <w:lang w:val="es-ES_tradnl"/>
        </w:rPr>
        <w:footnoteReference w:id="1"/>
      </w:r>
      <w:r>
        <w:rPr>
          <w:rFonts w:ascii="Arial" w:hAnsi="Arial" w:cs="Arial"/>
          <w:color w:val="000000" w:themeColor="text1"/>
          <w:sz w:val="22"/>
          <w:lang w:val="es-ES_tradnl"/>
        </w:rPr>
        <w:t>, definido por la Superintendencia Financiera, es decir, denota la relación entre la moneda colombiana y el dólar.</w:t>
      </w:r>
    </w:p>
    <w:p w14:paraId="5FCD9DE3" w14:textId="57BBC153" w:rsidR="00CD29EC" w:rsidRDefault="00CD29EC" w:rsidP="00CD29EC">
      <w:pPr>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 xml:space="preserve">Por su parte, el Banco de la República ha definido la tasa de cambio representativa del mercado como </w:t>
      </w:r>
      <w:r w:rsidRPr="00DB6895">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la cantidad de pesos colombianos por un dólar de los Estados Unidos</w:t>
      </w:r>
      <w:r w:rsidRPr="00DB6895">
        <w:rPr>
          <w:rFonts w:ascii="Arial" w:hAnsi="Arial" w:cs="Arial"/>
          <w:color w:val="000000" w:themeColor="text1"/>
          <w:sz w:val="22"/>
          <w:lang w:val="es-ES_tradnl"/>
        </w:rPr>
        <w:t>»</w:t>
      </w:r>
      <w:r w:rsidR="002B2430">
        <w:rPr>
          <w:rStyle w:val="Refdenotaalpie"/>
          <w:rFonts w:ascii="Arial" w:eastAsia="Calibri" w:hAnsi="Arial" w:cs="Arial"/>
          <w:color w:val="000000" w:themeColor="text1"/>
          <w:sz w:val="22"/>
          <w:lang w:val="es-ES_tradnl"/>
        </w:rPr>
        <w:footnoteReference w:id="2"/>
      </w:r>
      <w:r>
        <w:rPr>
          <w:rFonts w:ascii="Arial" w:hAnsi="Arial" w:cs="Arial"/>
          <w:color w:val="000000" w:themeColor="text1"/>
          <w:sz w:val="22"/>
          <w:lang w:val="es-ES_tradnl"/>
        </w:rPr>
        <w:t xml:space="preserve">. Es decir que es claro que la TRM es un valor que se origina en la fluctuación del mercado. </w:t>
      </w:r>
    </w:p>
    <w:p w14:paraId="6E2EEA26" w14:textId="77777777" w:rsidR="00CD29EC" w:rsidRPr="00DB6895" w:rsidRDefault="00CD29EC" w:rsidP="00CD29EC">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lastRenderedPageBreak/>
        <w:t xml:space="preserve">De lo anterior, se tiene que del documento tipo acudió a este valor como el criterio de escogencia del método aleatorio para evaluar la experiencia de los proponentes, porque su definición no depende de la discrecionalidad de la administración pública en cualquiera de sus órdenes y niveles, pues aunque se establece por la Superintendencia Financiera su determinación depende de las dinámicas del mercado de divisas, garantizando una escogencia aleatoria del método de ponderación aplicable para tal propósito, lo que dota de transparencia la evaluación de las ofertas. </w:t>
      </w:r>
    </w:p>
    <w:p w14:paraId="18D9A819" w14:textId="77777777" w:rsidR="00CD29EC" w:rsidRPr="004A0905" w:rsidRDefault="00CD29EC" w:rsidP="00CD29EC">
      <w:pPr>
        <w:spacing w:line="276" w:lineRule="auto"/>
        <w:jc w:val="both"/>
        <w:rPr>
          <w:rFonts w:ascii="Arial" w:eastAsia="Calibri" w:hAnsi="Arial" w:cs="Arial"/>
          <w:b/>
          <w:bCs/>
          <w:color w:val="000000" w:themeColor="text1"/>
          <w:sz w:val="22"/>
          <w:lang w:val="es-ES_tradnl"/>
        </w:rPr>
      </w:pPr>
    </w:p>
    <w:p w14:paraId="711276F5" w14:textId="77777777" w:rsidR="00CD29EC" w:rsidRPr="0022210B" w:rsidRDefault="00CD29EC" w:rsidP="00CD29EC">
      <w:pPr>
        <w:spacing w:line="276" w:lineRule="auto"/>
        <w:jc w:val="both"/>
        <w:rPr>
          <w:rFonts w:ascii="Arial" w:eastAsia="Calibri" w:hAnsi="Arial" w:cs="Arial"/>
          <w:b/>
          <w:bCs/>
          <w:color w:val="000000" w:themeColor="text1"/>
          <w:sz w:val="22"/>
          <w:lang w:val="es-ES_tradnl"/>
        </w:rPr>
      </w:pPr>
      <w:r w:rsidRPr="0022210B">
        <w:rPr>
          <w:rFonts w:ascii="Arial" w:eastAsia="Calibri" w:hAnsi="Arial" w:cs="Arial"/>
          <w:b/>
          <w:bCs/>
          <w:color w:val="000000" w:themeColor="text1"/>
          <w:sz w:val="22"/>
          <w:lang w:val="es-ES_tradnl"/>
        </w:rPr>
        <w:t xml:space="preserve">2.3. Regla </w:t>
      </w:r>
      <w:r>
        <w:rPr>
          <w:rFonts w:ascii="Arial" w:eastAsia="Calibri" w:hAnsi="Arial" w:cs="Arial"/>
          <w:b/>
          <w:bCs/>
          <w:color w:val="000000" w:themeColor="text1"/>
          <w:sz w:val="22"/>
          <w:lang w:val="es-ES_tradnl"/>
        </w:rPr>
        <w:t xml:space="preserve">para la </w:t>
      </w:r>
      <w:r w:rsidRPr="0022210B">
        <w:rPr>
          <w:rFonts w:ascii="Arial" w:eastAsia="Calibri" w:hAnsi="Arial" w:cs="Arial"/>
          <w:b/>
          <w:bCs/>
          <w:color w:val="000000" w:themeColor="text1"/>
          <w:sz w:val="22"/>
          <w:lang w:val="es-ES_tradnl"/>
        </w:rPr>
        <w:t xml:space="preserve">determinación </w:t>
      </w:r>
      <w:r>
        <w:rPr>
          <w:rFonts w:ascii="Arial" w:eastAsia="Calibri" w:hAnsi="Arial" w:cs="Arial"/>
          <w:b/>
          <w:bCs/>
          <w:color w:val="000000" w:themeColor="text1"/>
          <w:sz w:val="22"/>
          <w:lang w:val="es-ES_tradnl"/>
        </w:rPr>
        <w:t xml:space="preserve">del </w:t>
      </w:r>
      <w:r w:rsidRPr="0022210B">
        <w:rPr>
          <w:rFonts w:ascii="Arial" w:eastAsia="Calibri" w:hAnsi="Arial" w:cs="Arial"/>
          <w:b/>
          <w:bCs/>
          <w:color w:val="000000" w:themeColor="text1"/>
          <w:sz w:val="22"/>
          <w:lang w:val="es-ES_tradnl"/>
        </w:rPr>
        <w:t xml:space="preserve">método de ponderación </w:t>
      </w:r>
      <w:r>
        <w:rPr>
          <w:rFonts w:ascii="Arial" w:eastAsia="Calibri" w:hAnsi="Arial" w:cs="Arial"/>
          <w:b/>
          <w:bCs/>
          <w:color w:val="000000" w:themeColor="text1"/>
          <w:sz w:val="22"/>
          <w:lang w:val="es-ES_tradnl"/>
        </w:rPr>
        <w:t xml:space="preserve">de la experiencia </w:t>
      </w:r>
      <w:r w:rsidRPr="0022210B">
        <w:rPr>
          <w:rFonts w:ascii="Arial" w:eastAsia="Calibri" w:hAnsi="Arial" w:cs="Arial"/>
          <w:b/>
          <w:bCs/>
          <w:color w:val="000000" w:themeColor="text1"/>
          <w:sz w:val="22"/>
          <w:lang w:val="es-ES_tradnl"/>
        </w:rPr>
        <w:t xml:space="preserve">en </w:t>
      </w:r>
      <w:r>
        <w:rPr>
          <w:rFonts w:ascii="Arial" w:eastAsia="Calibri" w:hAnsi="Arial" w:cs="Arial"/>
          <w:b/>
          <w:bCs/>
          <w:color w:val="000000" w:themeColor="text1"/>
          <w:sz w:val="22"/>
          <w:lang w:val="es-ES_tradnl"/>
        </w:rPr>
        <w:t xml:space="preserve">el </w:t>
      </w:r>
      <w:r w:rsidRPr="0022210B">
        <w:rPr>
          <w:rFonts w:ascii="Arial" w:eastAsia="Calibri" w:hAnsi="Arial" w:cs="Arial"/>
          <w:b/>
          <w:bCs/>
          <w:color w:val="000000" w:themeColor="text1"/>
          <w:sz w:val="22"/>
          <w:lang w:val="es-ES_tradnl"/>
        </w:rPr>
        <w:t xml:space="preserve">documento tipo de interventoría de obra </w:t>
      </w:r>
      <w:r>
        <w:rPr>
          <w:rFonts w:ascii="Arial" w:eastAsia="Calibri" w:hAnsi="Arial" w:cs="Arial"/>
          <w:b/>
          <w:bCs/>
          <w:color w:val="000000" w:themeColor="text1"/>
          <w:sz w:val="22"/>
          <w:lang w:val="es-ES_tradnl"/>
        </w:rPr>
        <w:t>de infraestructura de transporte</w:t>
      </w:r>
    </w:p>
    <w:p w14:paraId="6C6A97D4" w14:textId="77777777" w:rsidR="00CD29EC" w:rsidRPr="004A0905" w:rsidRDefault="00CD29EC" w:rsidP="00CD29EC">
      <w:pPr>
        <w:spacing w:line="276" w:lineRule="auto"/>
        <w:jc w:val="both"/>
        <w:rPr>
          <w:rFonts w:ascii="Arial" w:eastAsia="Calibri" w:hAnsi="Arial" w:cs="Arial"/>
          <w:color w:val="000000" w:themeColor="text1"/>
          <w:sz w:val="22"/>
          <w:lang w:val="es-ES_tradnl"/>
        </w:rPr>
      </w:pPr>
    </w:p>
    <w:p w14:paraId="504F7F8C" w14:textId="77777777" w:rsidR="00CD29EC" w:rsidRDefault="00CD29EC" w:rsidP="00BD5DA4">
      <w:pPr>
        <w:spacing w:after="120" w:line="276" w:lineRule="auto"/>
        <w:jc w:val="both"/>
        <w:rPr>
          <w:rFonts w:ascii="Arial" w:eastAsia="Calibri" w:hAnsi="Arial" w:cs="Arial"/>
          <w:sz w:val="22"/>
        </w:rPr>
      </w:pPr>
      <w:r w:rsidRPr="00FA347E">
        <w:rPr>
          <w:rFonts w:ascii="Arial" w:eastAsia="Calibri" w:hAnsi="Arial" w:cs="Arial"/>
          <w:sz w:val="22"/>
        </w:rPr>
        <w:t xml:space="preserve">El documento base, en el numeral 4.1 señala los métodos de ponderación de la </w:t>
      </w:r>
      <w:r>
        <w:rPr>
          <w:rFonts w:ascii="Arial" w:eastAsia="Calibri" w:hAnsi="Arial" w:cs="Arial"/>
          <w:sz w:val="22"/>
        </w:rPr>
        <w:t>experiencia del proponente</w:t>
      </w:r>
      <w:r w:rsidRPr="00FA347E">
        <w:rPr>
          <w:rFonts w:ascii="Arial" w:eastAsia="Calibri" w:hAnsi="Arial" w:cs="Arial"/>
          <w:sz w:val="22"/>
        </w:rPr>
        <w:t xml:space="preserve"> presentando 4 alternativas: i) mediana con valor absoluto, </w:t>
      </w:r>
      <w:proofErr w:type="spellStart"/>
      <w:r w:rsidRPr="00FA347E">
        <w:rPr>
          <w:rFonts w:ascii="Arial" w:eastAsia="Calibri" w:hAnsi="Arial" w:cs="Arial"/>
          <w:sz w:val="22"/>
        </w:rPr>
        <w:t>ii</w:t>
      </w:r>
      <w:proofErr w:type="spellEnd"/>
      <w:r w:rsidRPr="00FA347E">
        <w:rPr>
          <w:rFonts w:ascii="Arial" w:eastAsia="Calibri" w:hAnsi="Arial" w:cs="Arial"/>
          <w:sz w:val="22"/>
        </w:rPr>
        <w:t xml:space="preserve">) media geométrica, </w:t>
      </w:r>
      <w:proofErr w:type="spellStart"/>
      <w:r w:rsidRPr="00FA347E">
        <w:rPr>
          <w:rFonts w:ascii="Arial" w:eastAsia="Calibri" w:hAnsi="Arial" w:cs="Arial"/>
          <w:sz w:val="22"/>
        </w:rPr>
        <w:t>iii</w:t>
      </w:r>
      <w:proofErr w:type="spellEnd"/>
      <w:r w:rsidRPr="00FA347E">
        <w:rPr>
          <w:rFonts w:ascii="Arial" w:eastAsia="Calibri" w:hAnsi="Arial" w:cs="Arial"/>
          <w:sz w:val="22"/>
        </w:rPr>
        <w:t xml:space="preserve">) media aritmética baja y </w:t>
      </w:r>
      <w:proofErr w:type="spellStart"/>
      <w:r w:rsidRPr="00FA347E">
        <w:rPr>
          <w:rFonts w:ascii="Arial" w:eastAsia="Calibri" w:hAnsi="Arial" w:cs="Arial"/>
          <w:sz w:val="22"/>
        </w:rPr>
        <w:t>iv</w:t>
      </w:r>
      <w:proofErr w:type="spellEnd"/>
      <w:r w:rsidRPr="00FA347E">
        <w:rPr>
          <w:rFonts w:ascii="Arial" w:eastAsia="Calibri" w:hAnsi="Arial" w:cs="Arial"/>
          <w:sz w:val="22"/>
        </w:rPr>
        <w:t>) me</w:t>
      </w:r>
      <w:r>
        <w:rPr>
          <w:rFonts w:ascii="Arial" w:eastAsia="Calibri" w:hAnsi="Arial" w:cs="Arial"/>
          <w:sz w:val="22"/>
        </w:rPr>
        <w:t>diana aritmética baja</w:t>
      </w:r>
      <w:r w:rsidRPr="00FA347E">
        <w:rPr>
          <w:rFonts w:ascii="Arial" w:eastAsia="Calibri" w:hAnsi="Arial" w:cs="Arial"/>
          <w:sz w:val="22"/>
        </w:rPr>
        <w:t xml:space="preserve">. </w:t>
      </w:r>
      <w:r>
        <w:rPr>
          <w:rFonts w:ascii="Arial" w:eastAsia="Calibri" w:hAnsi="Arial" w:cs="Arial"/>
          <w:sz w:val="22"/>
        </w:rPr>
        <w:t xml:space="preserve">La justificación </w:t>
      </w:r>
      <w:r w:rsidRPr="00F52285">
        <w:rPr>
          <w:rFonts w:ascii="Arial" w:eastAsia="Calibri" w:hAnsi="Arial" w:cs="Arial"/>
          <w:sz w:val="22"/>
        </w:rPr>
        <w:t xml:space="preserve">de estas fórmulas para asignar puntaje </w:t>
      </w:r>
      <w:r>
        <w:rPr>
          <w:rFonts w:ascii="Arial" w:eastAsia="Calibri" w:hAnsi="Arial" w:cs="Arial"/>
          <w:sz w:val="22"/>
        </w:rPr>
        <w:t xml:space="preserve">se presenta a continuación. </w:t>
      </w:r>
    </w:p>
    <w:p w14:paraId="14DD0E7B" w14:textId="77777777" w:rsidR="00CD29EC" w:rsidRPr="00F52285" w:rsidRDefault="00CD29EC" w:rsidP="00CD29EC">
      <w:pPr>
        <w:spacing w:line="276" w:lineRule="auto"/>
        <w:ind w:firstLine="709"/>
        <w:jc w:val="both"/>
        <w:rPr>
          <w:rFonts w:ascii="Arial" w:eastAsia="Calibri" w:hAnsi="Arial" w:cs="Arial"/>
          <w:sz w:val="22"/>
        </w:rPr>
      </w:pPr>
      <w:r>
        <w:rPr>
          <w:rFonts w:ascii="Arial" w:eastAsia="Calibri" w:hAnsi="Arial" w:cs="Arial"/>
          <w:sz w:val="22"/>
        </w:rPr>
        <w:t>En relación con</w:t>
      </w:r>
      <w:r w:rsidRPr="00F52285">
        <w:rPr>
          <w:rFonts w:ascii="Arial" w:eastAsia="Calibri" w:hAnsi="Arial" w:cs="Arial"/>
          <w:sz w:val="22"/>
        </w:rPr>
        <w:t xml:space="preserve"> </w:t>
      </w:r>
      <w:r>
        <w:rPr>
          <w:rFonts w:ascii="Arial" w:eastAsia="Calibri" w:hAnsi="Arial" w:cs="Arial"/>
          <w:sz w:val="22"/>
        </w:rPr>
        <w:t xml:space="preserve">la evaluación de la experiencia del proponente en los procesos de selección de interventoría para las obras públicas, el artículo 4 de la Ley 1882 de 2018, modificado por el artículo 1 de la Ley 2022 de 2020, señaló lo siguiente: </w:t>
      </w:r>
    </w:p>
    <w:p w14:paraId="7F813861" w14:textId="77777777" w:rsidR="00CD29EC" w:rsidRPr="00F52285" w:rsidRDefault="00CD29EC" w:rsidP="00CD29EC">
      <w:pPr>
        <w:spacing w:line="276" w:lineRule="auto"/>
        <w:jc w:val="both"/>
        <w:rPr>
          <w:rFonts w:ascii="Arial" w:eastAsia="Calibri" w:hAnsi="Arial" w:cs="Arial"/>
          <w:sz w:val="22"/>
        </w:rPr>
      </w:pPr>
    </w:p>
    <w:p w14:paraId="1B5CEE2E" w14:textId="77777777" w:rsidR="00CD29EC" w:rsidRDefault="00CD29EC" w:rsidP="00CD29EC">
      <w:pPr>
        <w:spacing w:after="120"/>
        <w:ind w:left="709" w:right="709"/>
        <w:jc w:val="both"/>
        <w:rPr>
          <w:rFonts w:ascii="Arial" w:eastAsia="Calibri" w:hAnsi="Arial" w:cs="Arial"/>
          <w:sz w:val="21"/>
          <w:szCs w:val="21"/>
        </w:rPr>
      </w:pPr>
      <w:r>
        <w:rPr>
          <w:rFonts w:ascii="Arial" w:eastAsia="Calibri" w:hAnsi="Arial" w:cs="Arial"/>
          <w:sz w:val="21"/>
          <w:szCs w:val="21"/>
        </w:rPr>
        <w:t xml:space="preserve">[…] Adiciónese el siguiente parágrafo al artículo 2° de la Ley 1150: </w:t>
      </w:r>
    </w:p>
    <w:p w14:paraId="572A27D0" w14:textId="59219A4E" w:rsidR="00CD29EC" w:rsidRPr="00C67265" w:rsidRDefault="00CD29EC" w:rsidP="00CD29EC">
      <w:pPr>
        <w:spacing w:after="120"/>
        <w:ind w:left="709" w:right="709"/>
        <w:jc w:val="both"/>
        <w:rPr>
          <w:rFonts w:ascii="Arial" w:eastAsia="Calibri" w:hAnsi="Arial" w:cs="Arial"/>
          <w:sz w:val="21"/>
          <w:szCs w:val="21"/>
        </w:rPr>
      </w:pPr>
      <w:r w:rsidRPr="00F52285">
        <w:rPr>
          <w:rFonts w:ascii="Arial" w:eastAsia="Calibri" w:hAnsi="Arial" w:cs="Arial"/>
          <w:sz w:val="21"/>
          <w:szCs w:val="21"/>
        </w:rPr>
        <w:t xml:space="preserve">[…] </w:t>
      </w:r>
      <w:r w:rsidRPr="00BE50D0">
        <w:rPr>
          <w:rFonts w:ascii="Arial" w:eastAsia="Calibri" w:hAnsi="Arial" w:cs="Arial"/>
          <w:sz w:val="21"/>
          <w:szCs w:val="21"/>
        </w:rPr>
        <w:t xml:space="preserve">Parágrafo 7. </w:t>
      </w:r>
      <w:r w:rsidRPr="00C67265">
        <w:rPr>
          <w:rFonts w:ascii="Arial" w:eastAsia="Calibri" w:hAnsi="Arial" w:cs="Arial"/>
          <w:sz w:val="21"/>
          <w:szCs w:val="21"/>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7462CE2" w14:textId="77777777" w:rsidR="00CD29EC" w:rsidRDefault="00CD29EC" w:rsidP="00CD29EC">
      <w:pPr>
        <w:spacing w:after="120"/>
        <w:ind w:left="709" w:right="709"/>
        <w:jc w:val="both"/>
        <w:rPr>
          <w:rFonts w:ascii="Arial" w:eastAsia="Calibri" w:hAnsi="Arial" w:cs="Arial"/>
          <w:sz w:val="21"/>
          <w:szCs w:val="21"/>
        </w:rPr>
      </w:pPr>
      <w:r w:rsidRPr="00C67265">
        <w:rPr>
          <w:rFonts w:ascii="Arial" w:eastAsia="Calibri" w:hAnsi="Arial" w:cs="Arial"/>
          <w:sz w:val="21"/>
          <w:szCs w:val="21"/>
        </w:rPr>
        <w:t xml:space="preserve">Dentro de estos documentos tipo, se establecerán los requisitos habilitantes, </w:t>
      </w:r>
      <w:r w:rsidRPr="009F5A2A">
        <w:rPr>
          <w:rFonts w:ascii="Arial" w:eastAsia="Calibri" w:hAnsi="Arial" w:cs="Arial"/>
          <w:i/>
          <w:iCs/>
          <w:sz w:val="21"/>
          <w:szCs w:val="21"/>
        </w:rPr>
        <w:t>factores técnicos, económicos y otros factores de escogencia, así como aquellos requisitos que, previa justificación, representen buenas prácticas contractuales que procuren el adecuado desarrollo de los principios que rigen la contratación pública</w:t>
      </w:r>
      <w:r>
        <w:rPr>
          <w:rFonts w:ascii="Arial" w:eastAsia="Calibri" w:hAnsi="Arial" w:cs="Arial"/>
          <w:i/>
          <w:iCs/>
          <w:sz w:val="21"/>
          <w:szCs w:val="21"/>
        </w:rPr>
        <w:t>.</w:t>
      </w:r>
      <w:r>
        <w:rPr>
          <w:rFonts w:ascii="Arial" w:eastAsia="Calibri" w:hAnsi="Arial" w:cs="Arial"/>
          <w:sz w:val="21"/>
          <w:szCs w:val="21"/>
        </w:rPr>
        <w:t xml:space="preserve"> </w:t>
      </w:r>
    </w:p>
    <w:p w14:paraId="2A34972B" w14:textId="77777777" w:rsidR="00CD29EC" w:rsidRDefault="00CD29EC" w:rsidP="00BD5DA4">
      <w:pPr>
        <w:ind w:left="709" w:right="709"/>
        <w:jc w:val="both"/>
        <w:rPr>
          <w:rFonts w:ascii="Arial" w:eastAsia="Calibri" w:hAnsi="Arial" w:cs="Arial"/>
          <w:sz w:val="21"/>
          <w:szCs w:val="21"/>
        </w:rPr>
      </w:pPr>
      <w:r w:rsidRPr="009F5A2A">
        <w:rPr>
          <w:rFonts w:ascii="Arial" w:eastAsia="Calibri" w:hAnsi="Arial" w:cs="Arial"/>
          <w:sz w:val="21"/>
          <w:szCs w:val="21"/>
        </w:rPr>
        <w:t xml:space="preserve">Con el ánimo de promover la descentralización, el empleo local, el desarrollo, los servicios e industria local, </w:t>
      </w:r>
      <w:r w:rsidRPr="009F5A2A">
        <w:rPr>
          <w:rFonts w:ascii="Arial" w:eastAsia="Calibri" w:hAnsi="Arial" w:cs="Arial"/>
          <w:i/>
          <w:iCs/>
          <w:sz w:val="21"/>
          <w:szCs w:val="21"/>
        </w:rPr>
        <w:t>en la adopción de los documentos tipo, se tendrá en cuenta</w:t>
      </w:r>
      <w:r w:rsidRPr="009F5A2A">
        <w:rPr>
          <w:rFonts w:ascii="Arial" w:eastAsia="Calibri" w:hAnsi="Arial" w:cs="Arial"/>
          <w:sz w:val="21"/>
          <w:szCs w:val="21"/>
        </w:rPr>
        <w:t xml:space="preserve"> las características propias de las regiones, </w:t>
      </w:r>
      <w:r w:rsidRPr="009F5A2A">
        <w:rPr>
          <w:rFonts w:ascii="Arial" w:eastAsia="Calibri" w:hAnsi="Arial" w:cs="Arial"/>
          <w:i/>
          <w:iCs/>
          <w:sz w:val="21"/>
          <w:szCs w:val="21"/>
        </w:rPr>
        <w:t>la cuantía</w:t>
      </w:r>
      <w:r w:rsidRPr="009F5A2A">
        <w:rPr>
          <w:rFonts w:ascii="Arial" w:eastAsia="Calibri" w:hAnsi="Arial" w:cs="Arial"/>
          <w:sz w:val="21"/>
          <w:szCs w:val="21"/>
        </w:rPr>
        <w:t xml:space="preserve">, el fomento de la economía local y </w:t>
      </w:r>
      <w:r w:rsidRPr="009F5A2A">
        <w:rPr>
          <w:rFonts w:ascii="Arial" w:eastAsia="Calibri" w:hAnsi="Arial" w:cs="Arial"/>
          <w:i/>
          <w:iCs/>
          <w:sz w:val="21"/>
          <w:szCs w:val="21"/>
        </w:rPr>
        <w:t>la naturaleza y especialidad de la contratación</w:t>
      </w:r>
      <w:r w:rsidRPr="009F5A2A">
        <w:rPr>
          <w:rFonts w:ascii="Arial" w:eastAsia="Calibri" w:hAnsi="Arial" w:cs="Arial"/>
          <w:sz w:val="21"/>
          <w:szCs w:val="21"/>
        </w:rPr>
        <w:t>. Para tal efecto se deberá llevar a cabo un proceso de capacitación para los municipios.</w:t>
      </w:r>
      <w:r>
        <w:rPr>
          <w:rFonts w:ascii="Arial" w:eastAsia="Calibri" w:hAnsi="Arial" w:cs="Arial"/>
          <w:i/>
          <w:iCs/>
          <w:sz w:val="21"/>
          <w:szCs w:val="21"/>
        </w:rPr>
        <w:t xml:space="preserve"> </w:t>
      </w:r>
      <w:r>
        <w:rPr>
          <w:rFonts w:ascii="Arial" w:eastAsia="Calibri" w:hAnsi="Arial" w:cs="Arial"/>
          <w:sz w:val="21"/>
          <w:szCs w:val="21"/>
        </w:rPr>
        <w:t>(Cursiva fuera del original).</w:t>
      </w:r>
    </w:p>
    <w:p w14:paraId="3E9827E2" w14:textId="77777777" w:rsidR="00CD29EC" w:rsidRPr="00F52285" w:rsidRDefault="00CD29EC" w:rsidP="00BD5DA4">
      <w:pPr>
        <w:spacing w:line="276" w:lineRule="auto"/>
        <w:ind w:left="709" w:right="709"/>
        <w:jc w:val="both"/>
        <w:rPr>
          <w:rFonts w:ascii="Arial" w:eastAsia="Calibri" w:hAnsi="Arial" w:cs="Arial"/>
          <w:sz w:val="22"/>
        </w:rPr>
      </w:pPr>
    </w:p>
    <w:p w14:paraId="6E3EEC14" w14:textId="77777777" w:rsidR="00CD29EC" w:rsidRDefault="00CD29EC" w:rsidP="00CD29EC">
      <w:pPr>
        <w:spacing w:after="120" w:line="276" w:lineRule="auto"/>
        <w:ind w:firstLine="709"/>
        <w:jc w:val="both"/>
        <w:rPr>
          <w:rFonts w:ascii="Arial" w:eastAsia="Calibri" w:hAnsi="Arial" w:cs="Arial"/>
          <w:sz w:val="22"/>
        </w:rPr>
      </w:pPr>
      <w:r>
        <w:rPr>
          <w:rFonts w:ascii="Arial" w:eastAsia="Calibri" w:hAnsi="Arial" w:cs="Arial"/>
          <w:sz w:val="22"/>
        </w:rPr>
        <w:t>La norma citada estableció ciertos contenidos que deben desarrollarse en los documentos tipo, señalando dentro de este catálogo los factores técnicos, económicos y otros factores de escogencia, para lo cual debe considerarse la cuantía, la naturaleza y especialidad de la contratación.</w:t>
      </w:r>
    </w:p>
    <w:p w14:paraId="7EF3B971" w14:textId="58F46677" w:rsidR="00CD29EC" w:rsidRPr="00F52285" w:rsidRDefault="00CD29EC" w:rsidP="00CD29EC">
      <w:pPr>
        <w:spacing w:after="120" w:line="276" w:lineRule="auto"/>
        <w:ind w:firstLine="709"/>
        <w:jc w:val="both"/>
        <w:rPr>
          <w:rFonts w:ascii="Arial" w:eastAsia="Calibri" w:hAnsi="Arial" w:cs="Arial"/>
          <w:sz w:val="22"/>
        </w:rPr>
      </w:pPr>
      <w:r>
        <w:rPr>
          <w:rFonts w:ascii="Arial" w:eastAsia="Calibri" w:hAnsi="Arial" w:cs="Arial"/>
          <w:sz w:val="22"/>
        </w:rPr>
        <w:lastRenderedPageBreak/>
        <w:t xml:space="preserve">En </w:t>
      </w:r>
      <w:r w:rsidR="0096278F">
        <w:rPr>
          <w:rFonts w:ascii="Arial" w:eastAsia="Calibri" w:hAnsi="Arial" w:cs="Arial"/>
          <w:sz w:val="22"/>
        </w:rPr>
        <w:t>armonía</w:t>
      </w:r>
      <w:r>
        <w:rPr>
          <w:rFonts w:ascii="Arial" w:eastAsia="Calibri" w:hAnsi="Arial" w:cs="Arial"/>
          <w:sz w:val="22"/>
        </w:rPr>
        <w:t xml:space="preserve"> con este mandato, el documento tipo de interventoría de obra pública, en relación con el método para evaluar la experiencia del proponente, en el literal c del numeral 4.1. del Documento base, </w:t>
      </w:r>
      <w:r w:rsidRPr="00F52285">
        <w:rPr>
          <w:rFonts w:ascii="Arial" w:eastAsia="Calibri" w:hAnsi="Arial" w:cs="Arial"/>
          <w:sz w:val="22"/>
        </w:rPr>
        <w:t>determin</w:t>
      </w:r>
      <w:r>
        <w:rPr>
          <w:rFonts w:ascii="Arial" w:eastAsia="Calibri" w:hAnsi="Arial" w:cs="Arial"/>
          <w:sz w:val="22"/>
        </w:rPr>
        <w:t>ó</w:t>
      </w:r>
      <w:r w:rsidRPr="00F52285">
        <w:rPr>
          <w:rFonts w:ascii="Arial" w:eastAsia="Calibri" w:hAnsi="Arial" w:cs="Arial"/>
          <w:sz w:val="22"/>
        </w:rPr>
        <w:t xml:space="preserve"> </w:t>
      </w:r>
      <w:r>
        <w:rPr>
          <w:rFonts w:ascii="Arial" w:eastAsia="Calibri" w:hAnsi="Arial" w:cs="Arial"/>
          <w:sz w:val="22"/>
        </w:rPr>
        <w:t>la selección aleatoria</w:t>
      </w:r>
      <w:r w:rsidRPr="00F52285">
        <w:rPr>
          <w:rFonts w:ascii="Arial" w:eastAsia="Calibri" w:hAnsi="Arial" w:cs="Arial"/>
          <w:sz w:val="22"/>
        </w:rPr>
        <w:t xml:space="preserve">, de acuerdo con la Tasa de Cambio Representativa del Mercado –TRM– </w:t>
      </w:r>
      <w:r>
        <w:rPr>
          <w:rFonts w:ascii="Arial" w:eastAsia="Calibri" w:hAnsi="Arial" w:cs="Arial"/>
          <w:sz w:val="22"/>
        </w:rPr>
        <w:t xml:space="preserve">que rija </w:t>
      </w:r>
      <w:r w:rsidRPr="00F52285">
        <w:rPr>
          <w:rFonts w:ascii="Arial" w:eastAsia="Calibri" w:hAnsi="Arial" w:cs="Arial"/>
          <w:sz w:val="22"/>
        </w:rPr>
        <w:t xml:space="preserve">del </w:t>
      </w:r>
      <w:r>
        <w:rPr>
          <w:rFonts w:ascii="Arial" w:eastAsia="Calibri" w:hAnsi="Arial" w:cs="Arial"/>
          <w:sz w:val="22"/>
        </w:rPr>
        <w:t>segundo día</w:t>
      </w:r>
      <w:r w:rsidRPr="00F52285">
        <w:rPr>
          <w:rFonts w:ascii="Arial" w:eastAsia="Calibri" w:hAnsi="Arial" w:cs="Arial"/>
          <w:sz w:val="22"/>
        </w:rPr>
        <w:t xml:space="preserve"> hábil </w:t>
      </w:r>
      <w:r>
        <w:rPr>
          <w:rFonts w:ascii="Arial" w:eastAsia="Calibri" w:hAnsi="Arial" w:cs="Arial"/>
          <w:sz w:val="22"/>
        </w:rPr>
        <w:t>después del cierre del proceso. En este sentido, l</w:t>
      </w:r>
      <w:r w:rsidRPr="00F52285">
        <w:rPr>
          <w:rFonts w:ascii="Arial" w:eastAsia="Calibri" w:hAnsi="Arial" w:cs="Arial"/>
          <w:sz w:val="22"/>
        </w:rPr>
        <w:t>a entidad debe tener en cuenta los centavos de la TRM para definir el método de ponderación</w:t>
      </w:r>
      <w:r>
        <w:rPr>
          <w:rFonts w:ascii="Arial" w:eastAsia="Calibri" w:hAnsi="Arial" w:cs="Arial"/>
          <w:sz w:val="22"/>
        </w:rPr>
        <w:t>,</w:t>
      </w:r>
      <w:r w:rsidRPr="00F52285">
        <w:rPr>
          <w:rFonts w:ascii="Arial" w:eastAsia="Calibri" w:hAnsi="Arial" w:cs="Arial"/>
          <w:sz w:val="22"/>
        </w:rPr>
        <w:t xml:space="preserve"> de acuerdo con los rangos del siguiente cuadro:</w:t>
      </w:r>
    </w:p>
    <w:p w14:paraId="671E1FC1" w14:textId="77777777" w:rsidR="00CD29EC" w:rsidRPr="00F52285" w:rsidRDefault="00CD29EC" w:rsidP="00CD29EC">
      <w:pPr>
        <w:spacing w:line="276" w:lineRule="auto"/>
        <w:ind w:firstLine="708"/>
        <w:jc w:val="both"/>
        <w:rPr>
          <w:rFonts w:ascii="Arial" w:eastAsia="Calibri" w:hAnsi="Arial" w:cs="Arial"/>
          <w:sz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2"/>
        <w:gridCol w:w="1115"/>
        <w:gridCol w:w="3273"/>
      </w:tblGrid>
      <w:tr w:rsidR="00CD29EC" w:rsidRPr="009973C9" w14:paraId="26BFE4D4" w14:textId="77777777" w:rsidTr="00A9077A">
        <w:trPr>
          <w:trHeight w:val="18"/>
          <w:jc w:val="center"/>
        </w:trPr>
        <w:tc>
          <w:tcPr>
            <w:tcW w:w="1622" w:type="dxa"/>
            <w:shd w:val="clear" w:color="auto" w:fill="262626" w:themeFill="text1" w:themeFillTint="D9"/>
            <w:vAlign w:val="center"/>
            <w:hideMark/>
          </w:tcPr>
          <w:p w14:paraId="09B52B20" w14:textId="77777777" w:rsidR="00CD29EC" w:rsidRPr="00846EB0" w:rsidRDefault="00CD29EC" w:rsidP="00A9077A">
            <w:pPr>
              <w:spacing w:line="276" w:lineRule="auto"/>
              <w:jc w:val="center"/>
              <w:rPr>
                <w:rFonts w:ascii="Arial" w:eastAsia="Arial,Calibri" w:hAnsi="Arial" w:cs="Arial"/>
                <w:b/>
                <w:bCs/>
                <w:color w:val="DBDBDB" w:themeColor="background1"/>
                <w:sz w:val="20"/>
                <w:szCs w:val="20"/>
              </w:rPr>
            </w:pPr>
            <w:r w:rsidRPr="00846EB0">
              <w:rPr>
                <w:rFonts w:ascii="Arial" w:hAnsi="Arial" w:cs="Arial"/>
                <w:b/>
                <w:bCs/>
                <w:color w:val="DBDBDB" w:themeColor="background1"/>
                <w:sz w:val="20"/>
                <w:szCs w:val="20"/>
              </w:rPr>
              <w:t>Rango</w:t>
            </w:r>
            <w:r w:rsidRPr="00846EB0">
              <w:rPr>
                <w:rFonts w:ascii="Arial" w:eastAsia="Arial,Calibri" w:hAnsi="Arial" w:cs="Arial"/>
                <w:b/>
                <w:bCs/>
                <w:color w:val="DBDBDB" w:themeColor="background1"/>
                <w:sz w:val="20"/>
                <w:szCs w:val="20"/>
              </w:rPr>
              <w:t xml:space="preserve"> </w:t>
            </w:r>
            <w:r w:rsidRPr="00846EB0">
              <w:rPr>
                <w:rFonts w:ascii="Arial" w:hAnsi="Arial" w:cs="Arial"/>
                <w:b/>
                <w:bCs/>
                <w:color w:val="DBDBDB" w:themeColor="background1"/>
                <w:sz w:val="20"/>
                <w:szCs w:val="20"/>
              </w:rPr>
              <w:t>(inclusive)</w:t>
            </w:r>
          </w:p>
        </w:tc>
        <w:tc>
          <w:tcPr>
            <w:tcW w:w="1115" w:type="dxa"/>
            <w:shd w:val="clear" w:color="auto" w:fill="262626" w:themeFill="text1" w:themeFillTint="D9"/>
            <w:vAlign w:val="center"/>
            <w:hideMark/>
          </w:tcPr>
          <w:p w14:paraId="06440F58" w14:textId="77777777" w:rsidR="00CD29EC" w:rsidRPr="00846EB0" w:rsidRDefault="00CD29EC" w:rsidP="00A9077A">
            <w:pPr>
              <w:spacing w:line="276" w:lineRule="auto"/>
              <w:jc w:val="center"/>
              <w:rPr>
                <w:rFonts w:ascii="Arial" w:eastAsia="Arial,Calibri" w:hAnsi="Arial" w:cs="Arial"/>
                <w:b/>
                <w:bCs/>
                <w:color w:val="DBDBDB" w:themeColor="background1"/>
                <w:sz w:val="20"/>
                <w:szCs w:val="20"/>
              </w:rPr>
            </w:pPr>
            <w:r w:rsidRPr="00846EB0">
              <w:rPr>
                <w:rFonts w:ascii="Arial" w:hAnsi="Arial" w:cs="Arial"/>
                <w:b/>
                <w:bCs/>
                <w:color w:val="DBDBDB" w:themeColor="background1"/>
                <w:sz w:val="20"/>
                <w:szCs w:val="20"/>
              </w:rPr>
              <w:t>Número</w:t>
            </w:r>
          </w:p>
        </w:tc>
        <w:tc>
          <w:tcPr>
            <w:tcW w:w="3273" w:type="dxa"/>
            <w:shd w:val="clear" w:color="auto" w:fill="262626" w:themeFill="text1" w:themeFillTint="D9"/>
            <w:vAlign w:val="center"/>
            <w:hideMark/>
          </w:tcPr>
          <w:p w14:paraId="7C0D5697" w14:textId="77777777" w:rsidR="00CD29EC" w:rsidRPr="00846EB0" w:rsidRDefault="00CD29EC" w:rsidP="00A9077A">
            <w:pPr>
              <w:spacing w:line="276" w:lineRule="auto"/>
              <w:jc w:val="center"/>
              <w:rPr>
                <w:rFonts w:ascii="Arial" w:eastAsia="Arial,Calibri" w:hAnsi="Arial" w:cs="Arial"/>
                <w:b/>
                <w:bCs/>
                <w:color w:val="DBDBDB" w:themeColor="background1"/>
                <w:sz w:val="20"/>
                <w:szCs w:val="20"/>
              </w:rPr>
            </w:pPr>
            <w:r w:rsidRPr="00846EB0">
              <w:rPr>
                <w:rFonts w:ascii="Arial" w:hAnsi="Arial" w:cs="Arial"/>
                <w:b/>
                <w:bCs/>
                <w:color w:val="DBDBDB" w:themeColor="background1"/>
                <w:sz w:val="20"/>
                <w:szCs w:val="20"/>
              </w:rPr>
              <w:t>Método</w:t>
            </w:r>
          </w:p>
        </w:tc>
      </w:tr>
      <w:tr w:rsidR="00CD29EC" w:rsidRPr="009973C9" w14:paraId="45793A5B" w14:textId="77777777" w:rsidTr="00A9077A">
        <w:trPr>
          <w:trHeight w:val="18"/>
          <w:jc w:val="center"/>
        </w:trPr>
        <w:tc>
          <w:tcPr>
            <w:tcW w:w="1622" w:type="dxa"/>
            <w:vAlign w:val="center"/>
            <w:hideMark/>
          </w:tcPr>
          <w:p w14:paraId="2ABA6A2A" w14:textId="77777777" w:rsidR="00CD29EC" w:rsidRPr="00846EB0" w:rsidRDefault="00CD29EC" w:rsidP="00A9077A">
            <w:pPr>
              <w:spacing w:line="276" w:lineRule="auto"/>
              <w:jc w:val="center"/>
              <w:rPr>
                <w:rFonts w:ascii="Arial" w:hAnsi="Arial" w:cs="Arial"/>
                <w:sz w:val="20"/>
                <w:szCs w:val="20"/>
              </w:rPr>
            </w:pPr>
            <w:r w:rsidRPr="00846EB0">
              <w:rPr>
                <w:rFonts w:ascii="Arial" w:hAnsi="Arial" w:cs="Arial"/>
                <w:sz w:val="20"/>
                <w:szCs w:val="20"/>
              </w:rPr>
              <w:t>De 0.00 a 0.24</w:t>
            </w:r>
          </w:p>
        </w:tc>
        <w:tc>
          <w:tcPr>
            <w:tcW w:w="1115" w:type="dxa"/>
            <w:vAlign w:val="center"/>
            <w:hideMark/>
          </w:tcPr>
          <w:p w14:paraId="4C879C3B" w14:textId="77777777" w:rsidR="00CD29EC" w:rsidRPr="00846EB0" w:rsidRDefault="00CD29EC" w:rsidP="00A9077A">
            <w:pPr>
              <w:spacing w:line="276" w:lineRule="auto"/>
              <w:jc w:val="center"/>
              <w:rPr>
                <w:rFonts w:ascii="Arial" w:eastAsia="Arial,Times New Roman" w:hAnsi="Arial" w:cs="Arial"/>
                <w:sz w:val="20"/>
                <w:szCs w:val="20"/>
              </w:rPr>
            </w:pPr>
            <w:r w:rsidRPr="00846EB0">
              <w:rPr>
                <w:rFonts w:ascii="Arial" w:hAnsi="Arial" w:cs="Arial"/>
                <w:sz w:val="20"/>
                <w:szCs w:val="20"/>
              </w:rPr>
              <w:t>1</w:t>
            </w:r>
          </w:p>
        </w:tc>
        <w:tc>
          <w:tcPr>
            <w:tcW w:w="3273" w:type="dxa"/>
            <w:vAlign w:val="center"/>
            <w:hideMark/>
          </w:tcPr>
          <w:p w14:paraId="09816E83" w14:textId="77777777" w:rsidR="00CD29EC" w:rsidRPr="00846EB0" w:rsidRDefault="00CD29EC" w:rsidP="00A9077A">
            <w:pPr>
              <w:spacing w:line="276" w:lineRule="auto"/>
              <w:jc w:val="both"/>
              <w:rPr>
                <w:rFonts w:ascii="Arial" w:eastAsia="Arial,Times New Roman" w:hAnsi="Arial" w:cs="Arial"/>
                <w:sz w:val="20"/>
                <w:szCs w:val="20"/>
              </w:rPr>
            </w:pPr>
            <w:r w:rsidRPr="00846EB0">
              <w:rPr>
                <w:rFonts w:ascii="Arial" w:hAnsi="Arial" w:cs="Arial"/>
                <w:sz w:val="20"/>
                <w:szCs w:val="20"/>
              </w:rPr>
              <w:t>Mediana con valor absoluto</w:t>
            </w:r>
          </w:p>
        </w:tc>
      </w:tr>
      <w:tr w:rsidR="00CD29EC" w:rsidRPr="009973C9" w14:paraId="6212D34A" w14:textId="77777777" w:rsidTr="00A9077A">
        <w:trPr>
          <w:trHeight w:val="37"/>
          <w:jc w:val="center"/>
        </w:trPr>
        <w:tc>
          <w:tcPr>
            <w:tcW w:w="1622" w:type="dxa"/>
            <w:vAlign w:val="center"/>
            <w:hideMark/>
          </w:tcPr>
          <w:p w14:paraId="56C099B0" w14:textId="77777777" w:rsidR="00CD29EC" w:rsidRPr="00846EB0" w:rsidRDefault="00CD29EC" w:rsidP="00A9077A">
            <w:pPr>
              <w:spacing w:line="276" w:lineRule="auto"/>
              <w:jc w:val="center"/>
              <w:rPr>
                <w:rFonts w:ascii="Arial" w:hAnsi="Arial" w:cs="Arial"/>
                <w:sz w:val="20"/>
                <w:szCs w:val="20"/>
              </w:rPr>
            </w:pPr>
            <w:r w:rsidRPr="00846EB0">
              <w:rPr>
                <w:rFonts w:ascii="Arial" w:hAnsi="Arial" w:cs="Arial"/>
                <w:sz w:val="20"/>
                <w:szCs w:val="20"/>
              </w:rPr>
              <w:t>De 0.25 a 0.49</w:t>
            </w:r>
          </w:p>
        </w:tc>
        <w:tc>
          <w:tcPr>
            <w:tcW w:w="1115" w:type="dxa"/>
            <w:vAlign w:val="center"/>
            <w:hideMark/>
          </w:tcPr>
          <w:p w14:paraId="35D4CC9B" w14:textId="77777777" w:rsidR="00CD29EC" w:rsidRPr="00846EB0" w:rsidRDefault="00CD29EC" w:rsidP="00A9077A">
            <w:pPr>
              <w:spacing w:line="276" w:lineRule="auto"/>
              <w:jc w:val="center"/>
              <w:rPr>
                <w:rFonts w:ascii="Arial" w:eastAsia="Arial,Times New Roman" w:hAnsi="Arial" w:cs="Arial"/>
                <w:sz w:val="20"/>
                <w:szCs w:val="20"/>
              </w:rPr>
            </w:pPr>
            <w:r w:rsidRPr="00846EB0">
              <w:rPr>
                <w:rFonts w:ascii="Arial" w:eastAsia="Arial,Times New Roman" w:hAnsi="Arial" w:cs="Arial"/>
                <w:sz w:val="20"/>
                <w:szCs w:val="20"/>
              </w:rPr>
              <w:t>2</w:t>
            </w:r>
          </w:p>
        </w:tc>
        <w:tc>
          <w:tcPr>
            <w:tcW w:w="3273" w:type="dxa"/>
            <w:vAlign w:val="center"/>
            <w:hideMark/>
          </w:tcPr>
          <w:p w14:paraId="3FBA1DB7" w14:textId="77777777" w:rsidR="00CD29EC" w:rsidRPr="00846EB0" w:rsidRDefault="00CD29EC" w:rsidP="00A9077A">
            <w:pPr>
              <w:spacing w:line="276" w:lineRule="auto"/>
              <w:jc w:val="both"/>
              <w:rPr>
                <w:rFonts w:ascii="Arial" w:eastAsia="Arial,Times New Roman" w:hAnsi="Arial" w:cs="Arial"/>
                <w:sz w:val="20"/>
                <w:szCs w:val="20"/>
              </w:rPr>
            </w:pPr>
            <w:r w:rsidRPr="00846EB0">
              <w:rPr>
                <w:rFonts w:ascii="Arial" w:hAnsi="Arial" w:cs="Arial"/>
                <w:sz w:val="20"/>
                <w:szCs w:val="20"/>
              </w:rPr>
              <w:t>Media geométrica</w:t>
            </w:r>
          </w:p>
        </w:tc>
      </w:tr>
      <w:tr w:rsidR="00CD29EC" w:rsidRPr="009973C9" w14:paraId="65A62533" w14:textId="77777777" w:rsidTr="00A9077A">
        <w:trPr>
          <w:trHeight w:val="18"/>
          <w:jc w:val="center"/>
        </w:trPr>
        <w:tc>
          <w:tcPr>
            <w:tcW w:w="1622" w:type="dxa"/>
            <w:vAlign w:val="center"/>
          </w:tcPr>
          <w:p w14:paraId="0740A79C" w14:textId="77777777" w:rsidR="00CD29EC" w:rsidRPr="00846EB0" w:rsidRDefault="00CD29EC" w:rsidP="00A9077A">
            <w:pPr>
              <w:spacing w:line="276" w:lineRule="auto"/>
              <w:jc w:val="center"/>
              <w:rPr>
                <w:rFonts w:ascii="Arial" w:hAnsi="Arial" w:cs="Arial"/>
                <w:sz w:val="20"/>
                <w:szCs w:val="20"/>
              </w:rPr>
            </w:pPr>
            <w:r w:rsidRPr="00846EB0">
              <w:rPr>
                <w:rFonts w:ascii="Arial" w:hAnsi="Arial" w:cs="Arial"/>
                <w:sz w:val="20"/>
                <w:szCs w:val="20"/>
              </w:rPr>
              <w:t>De 0.50 a 0.74</w:t>
            </w:r>
          </w:p>
        </w:tc>
        <w:tc>
          <w:tcPr>
            <w:tcW w:w="1115" w:type="dxa"/>
            <w:vAlign w:val="center"/>
          </w:tcPr>
          <w:p w14:paraId="566ACA76" w14:textId="77777777" w:rsidR="00CD29EC" w:rsidRPr="00846EB0" w:rsidRDefault="00CD29EC" w:rsidP="00A9077A">
            <w:pPr>
              <w:spacing w:line="276" w:lineRule="auto"/>
              <w:jc w:val="center"/>
              <w:rPr>
                <w:rFonts w:ascii="Arial" w:hAnsi="Arial" w:cs="Arial"/>
                <w:sz w:val="20"/>
                <w:szCs w:val="20"/>
              </w:rPr>
            </w:pPr>
            <w:r w:rsidRPr="00846EB0">
              <w:rPr>
                <w:rFonts w:ascii="Arial" w:hAnsi="Arial" w:cs="Arial"/>
                <w:sz w:val="20"/>
                <w:szCs w:val="20"/>
              </w:rPr>
              <w:t>3</w:t>
            </w:r>
          </w:p>
        </w:tc>
        <w:tc>
          <w:tcPr>
            <w:tcW w:w="3273" w:type="dxa"/>
            <w:vAlign w:val="center"/>
          </w:tcPr>
          <w:p w14:paraId="59E5F2F2" w14:textId="77777777" w:rsidR="00CD29EC" w:rsidRPr="00846EB0" w:rsidRDefault="00CD29EC" w:rsidP="00A9077A">
            <w:pPr>
              <w:spacing w:line="276" w:lineRule="auto"/>
              <w:jc w:val="both"/>
              <w:rPr>
                <w:rFonts w:ascii="Arial" w:hAnsi="Arial" w:cs="Arial"/>
                <w:sz w:val="20"/>
                <w:szCs w:val="20"/>
              </w:rPr>
            </w:pPr>
            <w:r w:rsidRPr="00846EB0">
              <w:rPr>
                <w:rFonts w:ascii="Arial" w:hAnsi="Arial" w:cs="Arial"/>
                <w:sz w:val="20"/>
                <w:szCs w:val="20"/>
              </w:rPr>
              <w:t>Media aritmética alta</w:t>
            </w:r>
          </w:p>
        </w:tc>
      </w:tr>
      <w:tr w:rsidR="00CD29EC" w:rsidRPr="009973C9" w14:paraId="0789EA49" w14:textId="77777777" w:rsidTr="00A9077A">
        <w:trPr>
          <w:trHeight w:val="18"/>
          <w:jc w:val="center"/>
        </w:trPr>
        <w:tc>
          <w:tcPr>
            <w:tcW w:w="1622" w:type="dxa"/>
            <w:vAlign w:val="center"/>
          </w:tcPr>
          <w:p w14:paraId="31EDF5F6" w14:textId="77777777" w:rsidR="00CD29EC" w:rsidRPr="00846EB0" w:rsidRDefault="00CD29EC" w:rsidP="00A9077A">
            <w:pPr>
              <w:spacing w:line="276" w:lineRule="auto"/>
              <w:jc w:val="center"/>
              <w:rPr>
                <w:rFonts w:ascii="Arial" w:hAnsi="Arial" w:cs="Arial"/>
                <w:sz w:val="20"/>
                <w:szCs w:val="20"/>
              </w:rPr>
            </w:pPr>
            <w:r w:rsidRPr="00846EB0">
              <w:rPr>
                <w:rFonts w:ascii="Arial" w:hAnsi="Arial" w:cs="Arial"/>
                <w:sz w:val="20"/>
                <w:szCs w:val="20"/>
              </w:rPr>
              <w:t>De 0.75 a 0.99</w:t>
            </w:r>
          </w:p>
        </w:tc>
        <w:tc>
          <w:tcPr>
            <w:tcW w:w="1115" w:type="dxa"/>
            <w:vAlign w:val="center"/>
          </w:tcPr>
          <w:p w14:paraId="1101AF71" w14:textId="77777777" w:rsidR="00CD29EC" w:rsidRPr="00846EB0" w:rsidRDefault="00CD29EC" w:rsidP="00A9077A">
            <w:pPr>
              <w:spacing w:line="276" w:lineRule="auto"/>
              <w:jc w:val="center"/>
              <w:rPr>
                <w:rFonts w:ascii="Arial" w:hAnsi="Arial" w:cs="Arial"/>
                <w:sz w:val="20"/>
                <w:szCs w:val="20"/>
              </w:rPr>
            </w:pPr>
            <w:r w:rsidRPr="00846EB0">
              <w:rPr>
                <w:rFonts w:ascii="Arial" w:hAnsi="Arial" w:cs="Arial"/>
                <w:sz w:val="20"/>
                <w:szCs w:val="20"/>
              </w:rPr>
              <w:t>4</w:t>
            </w:r>
          </w:p>
        </w:tc>
        <w:tc>
          <w:tcPr>
            <w:tcW w:w="3273" w:type="dxa"/>
            <w:vAlign w:val="center"/>
          </w:tcPr>
          <w:p w14:paraId="08B44A10" w14:textId="77777777" w:rsidR="00CD29EC" w:rsidRPr="00846EB0" w:rsidRDefault="00CD29EC" w:rsidP="00A9077A">
            <w:pPr>
              <w:spacing w:line="276" w:lineRule="auto"/>
              <w:jc w:val="both"/>
              <w:rPr>
                <w:rFonts w:ascii="Arial" w:hAnsi="Arial" w:cs="Arial"/>
                <w:sz w:val="20"/>
                <w:szCs w:val="20"/>
              </w:rPr>
            </w:pPr>
            <w:r w:rsidRPr="00846EB0">
              <w:rPr>
                <w:rFonts w:ascii="Arial" w:hAnsi="Arial" w:cs="Arial"/>
                <w:sz w:val="20"/>
                <w:szCs w:val="20"/>
              </w:rPr>
              <w:t>Media aritmética baja</w:t>
            </w:r>
          </w:p>
        </w:tc>
      </w:tr>
    </w:tbl>
    <w:p w14:paraId="50ED94E9" w14:textId="77777777" w:rsidR="00CD29EC" w:rsidRPr="00F52285" w:rsidRDefault="00CD29EC" w:rsidP="00CD29EC">
      <w:pPr>
        <w:spacing w:line="276" w:lineRule="auto"/>
        <w:ind w:firstLine="708"/>
        <w:jc w:val="both"/>
        <w:rPr>
          <w:rFonts w:ascii="Arial" w:eastAsia="Calibri" w:hAnsi="Arial" w:cs="Arial"/>
          <w:sz w:val="22"/>
        </w:rPr>
      </w:pPr>
    </w:p>
    <w:p w14:paraId="457696CB" w14:textId="330BD0DA" w:rsidR="00CD29EC" w:rsidRDefault="00CD29EC" w:rsidP="00CD29EC">
      <w:pPr>
        <w:spacing w:after="120" w:line="276" w:lineRule="auto"/>
        <w:ind w:firstLine="709"/>
        <w:jc w:val="both"/>
        <w:rPr>
          <w:rFonts w:ascii="Arial" w:eastAsia="Calibri" w:hAnsi="Arial" w:cs="Arial"/>
          <w:sz w:val="22"/>
        </w:rPr>
      </w:pPr>
      <w:r>
        <w:rPr>
          <w:rFonts w:ascii="Arial" w:eastAsia="Calibri" w:hAnsi="Arial" w:cs="Arial"/>
          <w:sz w:val="22"/>
        </w:rPr>
        <w:t>De conformidad con lo anterior</w:t>
      </w:r>
      <w:r w:rsidRPr="00F52285">
        <w:rPr>
          <w:rFonts w:ascii="Arial" w:eastAsia="Calibri" w:hAnsi="Arial" w:cs="Arial"/>
          <w:sz w:val="22"/>
        </w:rPr>
        <w:t xml:space="preserve">, se puede concluir que el método aleatorio para seleccionar la fórmula de ponderación de la oferta económica desestimula los actos de corrupción, puesto que no es posible manipular la TRM para conocer con anticipación la fórmula aplicable y poder adjudicar al proponente </w:t>
      </w:r>
      <w:r w:rsidR="0096278F">
        <w:rPr>
          <w:rFonts w:ascii="Arial" w:eastAsia="Calibri" w:hAnsi="Arial" w:cs="Arial"/>
          <w:sz w:val="22"/>
        </w:rPr>
        <w:t>por razones subjetivas</w:t>
      </w:r>
      <w:r w:rsidRPr="00F52285">
        <w:rPr>
          <w:rFonts w:ascii="Arial" w:eastAsia="Calibri" w:hAnsi="Arial" w:cs="Arial"/>
          <w:sz w:val="22"/>
        </w:rPr>
        <w:t xml:space="preserve">. </w:t>
      </w:r>
    </w:p>
    <w:p w14:paraId="7183D604" w14:textId="77777777" w:rsidR="00CD29EC" w:rsidRDefault="00CD29EC" w:rsidP="00CD29EC">
      <w:pPr>
        <w:spacing w:after="120" w:line="276" w:lineRule="auto"/>
        <w:ind w:firstLine="709"/>
        <w:jc w:val="both"/>
        <w:rPr>
          <w:rFonts w:ascii="Arial" w:eastAsia="Calibri" w:hAnsi="Arial" w:cs="Arial"/>
          <w:sz w:val="22"/>
        </w:rPr>
      </w:pPr>
      <w:r>
        <w:rPr>
          <w:rFonts w:ascii="Arial" w:eastAsia="Calibri" w:hAnsi="Arial" w:cs="Arial"/>
          <w:sz w:val="22"/>
        </w:rPr>
        <w:t xml:space="preserve">Hasta este punto resulta clara la justificación de la escogencia del método aleatorio a partir de la TRM como un mecanismo que desestimula los actos de corrupción en el proceso de evaluación de la experiencia de los proponentes y la regla aplicable para escoger el método aleatorio de ponderación de las ofertas del documento base, en el que se señaló que aquel se definía con fundamento en la TRM que rija el segundo día hábil después del cierre del proceso. </w:t>
      </w:r>
    </w:p>
    <w:p w14:paraId="69B64359" w14:textId="67580B11" w:rsidR="00CD29EC" w:rsidRDefault="00CD29EC" w:rsidP="00CD29EC">
      <w:pPr>
        <w:spacing w:after="120" w:line="276" w:lineRule="auto"/>
        <w:ind w:firstLine="709"/>
        <w:jc w:val="both"/>
        <w:rPr>
          <w:rFonts w:ascii="Arial" w:eastAsia="Calibri" w:hAnsi="Arial" w:cs="Arial"/>
          <w:sz w:val="22"/>
        </w:rPr>
      </w:pPr>
      <w:r>
        <w:rPr>
          <w:rFonts w:ascii="Arial" w:eastAsia="Calibri" w:hAnsi="Arial" w:cs="Arial"/>
          <w:sz w:val="22"/>
        </w:rPr>
        <w:t xml:space="preserve">No obstante, el </w:t>
      </w:r>
      <w:r w:rsidR="00021BB4">
        <w:rPr>
          <w:rFonts w:ascii="Arial" w:eastAsia="Calibri" w:hAnsi="Arial" w:cs="Arial"/>
          <w:sz w:val="22"/>
        </w:rPr>
        <w:t>«</w:t>
      </w:r>
      <w:r>
        <w:rPr>
          <w:rFonts w:ascii="Arial" w:eastAsia="Calibri" w:hAnsi="Arial" w:cs="Arial"/>
          <w:sz w:val="22"/>
        </w:rPr>
        <w:t xml:space="preserve">Anexo 2 ‒ </w:t>
      </w:r>
      <w:r w:rsidR="00021BB4">
        <w:rPr>
          <w:rFonts w:ascii="Arial" w:eastAsia="Calibri" w:hAnsi="Arial" w:cs="Arial"/>
          <w:sz w:val="22"/>
        </w:rPr>
        <w:t>C</w:t>
      </w:r>
      <w:r>
        <w:rPr>
          <w:rFonts w:ascii="Arial" w:eastAsia="Calibri" w:hAnsi="Arial" w:cs="Arial"/>
          <w:sz w:val="22"/>
        </w:rPr>
        <w:t>ronograma</w:t>
      </w:r>
      <w:r w:rsidR="00021BB4">
        <w:rPr>
          <w:rFonts w:ascii="Arial" w:eastAsia="Calibri" w:hAnsi="Arial" w:cs="Arial"/>
          <w:sz w:val="22"/>
        </w:rPr>
        <w:t>»</w:t>
      </w:r>
      <w:r>
        <w:rPr>
          <w:rFonts w:ascii="Arial" w:eastAsia="Calibri" w:hAnsi="Arial" w:cs="Arial"/>
          <w:sz w:val="22"/>
        </w:rPr>
        <w:t xml:space="preserve"> impropiamente señal</w:t>
      </w:r>
      <w:r w:rsidR="003A4B1E">
        <w:rPr>
          <w:rFonts w:ascii="Arial" w:eastAsia="Calibri" w:hAnsi="Arial" w:cs="Arial"/>
          <w:sz w:val="22"/>
        </w:rPr>
        <w:t>ó</w:t>
      </w:r>
      <w:r>
        <w:rPr>
          <w:rFonts w:ascii="Arial" w:eastAsia="Calibri" w:hAnsi="Arial" w:cs="Arial"/>
          <w:sz w:val="22"/>
        </w:rPr>
        <w:t xml:space="preserve"> una nota descontextualizada para escoger el método de ponderación que se aparta de lo establecido en el documento base, pues indicó que </w:t>
      </w:r>
      <w:r w:rsidRPr="009F5A2A">
        <w:rPr>
          <w:rFonts w:ascii="Arial" w:eastAsia="Calibri" w:hAnsi="Arial" w:cs="Arial"/>
          <w:sz w:val="22"/>
        </w:rPr>
        <w:t>la evaluación de la experiencia del proponente se realizar</w:t>
      </w:r>
      <w:r>
        <w:rPr>
          <w:rFonts w:ascii="Arial" w:eastAsia="Calibri" w:hAnsi="Arial" w:cs="Arial"/>
          <w:sz w:val="22"/>
        </w:rPr>
        <w:t>ía</w:t>
      </w:r>
      <w:r w:rsidRPr="009F5A2A">
        <w:rPr>
          <w:rFonts w:ascii="Arial" w:eastAsia="Calibri" w:hAnsi="Arial" w:cs="Arial"/>
          <w:sz w:val="22"/>
        </w:rPr>
        <w:t xml:space="preserve"> con la TRM que rija al segundo día hábil luego de vencido el término de traslado del informe preliminar de evaluación. </w:t>
      </w:r>
      <w:r>
        <w:rPr>
          <w:rFonts w:ascii="Arial" w:eastAsia="Calibri" w:hAnsi="Arial" w:cs="Arial"/>
          <w:sz w:val="22"/>
        </w:rPr>
        <w:t xml:space="preserve">De lo anterior se colige que los apartes señalados establecen dos reglas de escogencia del método de ponderación de ofertas distintas. </w:t>
      </w:r>
    </w:p>
    <w:p w14:paraId="10429CC1" w14:textId="77777777" w:rsidR="00CD29EC" w:rsidRDefault="00CD29EC" w:rsidP="00CD29EC">
      <w:pPr>
        <w:spacing w:after="120" w:line="276" w:lineRule="auto"/>
        <w:ind w:firstLine="709"/>
        <w:jc w:val="both"/>
        <w:rPr>
          <w:rFonts w:ascii="Arial" w:eastAsia="Calibri" w:hAnsi="Arial" w:cs="Arial"/>
          <w:sz w:val="22"/>
        </w:rPr>
      </w:pPr>
      <w:r>
        <w:rPr>
          <w:rFonts w:ascii="Arial" w:eastAsia="Calibri" w:hAnsi="Arial" w:cs="Arial"/>
          <w:sz w:val="22"/>
        </w:rPr>
        <w:t xml:space="preserve">Esta circunstancia hace que surjan dudas para interpretar cuál es la regla aplicable para escoger el método aleatorio para evaluar la experiencia en las ofertas. De modo que, resulta pertinente definir la regla aplicable para determinar el método de ponderación referido. En este sentido, en primer lugar, se tiene que el documento tipo referido, conforme con lo señalado en la Resolución No. 256 de 2020, en el artículo 2, señaló los documentos integrantes de los documentos tipo así: i) Documento base del pliego tipo, </w:t>
      </w:r>
      <w:proofErr w:type="spellStart"/>
      <w:r>
        <w:rPr>
          <w:rFonts w:ascii="Arial" w:eastAsia="Calibri" w:hAnsi="Arial" w:cs="Arial"/>
          <w:sz w:val="22"/>
        </w:rPr>
        <w:t>ii</w:t>
      </w:r>
      <w:proofErr w:type="spellEnd"/>
      <w:r>
        <w:rPr>
          <w:rFonts w:ascii="Arial" w:eastAsia="Calibri" w:hAnsi="Arial" w:cs="Arial"/>
          <w:sz w:val="22"/>
        </w:rPr>
        <w:t xml:space="preserve">) anexos, </w:t>
      </w:r>
      <w:proofErr w:type="spellStart"/>
      <w:r>
        <w:rPr>
          <w:rFonts w:ascii="Arial" w:eastAsia="Calibri" w:hAnsi="Arial" w:cs="Arial"/>
          <w:sz w:val="22"/>
        </w:rPr>
        <w:t>iii</w:t>
      </w:r>
      <w:proofErr w:type="spellEnd"/>
      <w:r>
        <w:rPr>
          <w:rFonts w:ascii="Arial" w:eastAsia="Calibri" w:hAnsi="Arial" w:cs="Arial"/>
          <w:sz w:val="22"/>
        </w:rPr>
        <w:t xml:space="preserve">) formatos </w:t>
      </w:r>
      <w:proofErr w:type="spellStart"/>
      <w:r>
        <w:rPr>
          <w:rFonts w:ascii="Arial" w:eastAsia="Calibri" w:hAnsi="Arial" w:cs="Arial"/>
          <w:sz w:val="22"/>
        </w:rPr>
        <w:t>iv</w:t>
      </w:r>
      <w:proofErr w:type="spellEnd"/>
      <w:r>
        <w:rPr>
          <w:rFonts w:ascii="Arial" w:eastAsia="Calibri" w:hAnsi="Arial" w:cs="Arial"/>
          <w:sz w:val="22"/>
        </w:rPr>
        <w:t xml:space="preserve">) matrices y v) formularios. </w:t>
      </w:r>
    </w:p>
    <w:p w14:paraId="66844F69" w14:textId="15A6B27C" w:rsidR="00CD29EC" w:rsidRDefault="00CD29EC" w:rsidP="00CD29EC">
      <w:pPr>
        <w:spacing w:after="120" w:line="276" w:lineRule="auto"/>
        <w:ind w:firstLine="709"/>
        <w:jc w:val="both"/>
        <w:rPr>
          <w:rFonts w:ascii="Arial" w:eastAsia="Calibri" w:hAnsi="Arial" w:cs="Arial"/>
          <w:sz w:val="22"/>
        </w:rPr>
      </w:pPr>
      <w:r>
        <w:rPr>
          <w:rFonts w:ascii="Arial" w:eastAsia="Calibri" w:hAnsi="Arial" w:cs="Arial"/>
          <w:sz w:val="22"/>
        </w:rPr>
        <w:lastRenderedPageBreak/>
        <w:t>El documento base, como se infiere de su denominación, constituye el documento medular del documento tipo, pues contiene las reglas esenciales o condiciones que orientarán la actividad contractual referida</w:t>
      </w:r>
      <w:r w:rsidR="0096278F">
        <w:rPr>
          <w:rFonts w:ascii="Arial" w:eastAsia="Calibri" w:hAnsi="Arial" w:cs="Arial"/>
          <w:sz w:val="22"/>
        </w:rPr>
        <w:t>, por lo que</w:t>
      </w:r>
      <w:r>
        <w:rPr>
          <w:rFonts w:ascii="Arial" w:eastAsia="Calibri" w:hAnsi="Arial" w:cs="Arial"/>
          <w:sz w:val="22"/>
        </w:rPr>
        <w:t xml:space="preserve"> contiene las estipulaciones orientadoras de dicha actividad.  Esta característica hace que los demás documentos que conforman el documento tipo y las actuaciones que se adelantan en desarrollo del proceso de contratación deban ceñirse a lo establecido en aquel. </w:t>
      </w:r>
    </w:p>
    <w:p w14:paraId="7CE74AEE" w14:textId="77777777" w:rsidR="00CD29EC" w:rsidRDefault="00CD29EC" w:rsidP="00CD29EC">
      <w:pPr>
        <w:spacing w:line="276" w:lineRule="auto"/>
        <w:ind w:firstLine="709"/>
        <w:jc w:val="both"/>
        <w:rPr>
          <w:rFonts w:ascii="Arial" w:eastAsia="Calibri" w:hAnsi="Arial" w:cs="Arial"/>
          <w:sz w:val="22"/>
        </w:rPr>
      </w:pPr>
      <w:r>
        <w:rPr>
          <w:rFonts w:ascii="Arial" w:eastAsia="Calibri" w:hAnsi="Arial" w:cs="Arial"/>
          <w:sz w:val="22"/>
        </w:rPr>
        <w:t xml:space="preserve">Ahora, si se revisa el documento base en su integridad se encuentra que en este se estableció como metodología para escoger el método aleatorio de evaluación de experiencia de los proponentes, la regla según la cual la TRM aplicable sería la que rija el segundo día hábil después del cierre del proceso. En efecto, el documento base en el capítulo relacionado con los criterios de asignación de puntaje y, en concreto, frente a la evaluación de la experiencia del proponente estableció: </w:t>
      </w:r>
    </w:p>
    <w:p w14:paraId="503279DB" w14:textId="77777777" w:rsidR="00CD29EC" w:rsidRDefault="00CD29EC" w:rsidP="00CD29EC">
      <w:pPr>
        <w:spacing w:line="276" w:lineRule="auto"/>
        <w:ind w:firstLine="709"/>
        <w:jc w:val="both"/>
        <w:rPr>
          <w:rFonts w:ascii="Arial" w:eastAsia="Calibri" w:hAnsi="Arial" w:cs="Arial"/>
          <w:sz w:val="22"/>
        </w:rPr>
      </w:pPr>
    </w:p>
    <w:p w14:paraId="3B79A7E4" w14:textId="4984A563" w:rsidR="00CD29EC" w:rsidRPr="005E38E9" w:rsidRDefault="00CD29EC" w:rsidP="00CD29EC">
      <w:pPr>
        <w:spacing w:after="120"/>
        <w:ind w:left="567" w:right="567"/>
        <w:jc w:val="both"/>
        <w:rPr>
          <w:rFonts w:ascii="Arial" w:hAnsi="Arial" w:cs="Arial"/>
          <w:b/>
          <w:bCs/>
          <w:color w:val="000000" w:themeColor="text1"/>
          <w:sz w:val="21"/>
          <w:szCs w:val="21"/>
          <w:lang w:val="es-ES_tradnl"/>
        </w:rPr>
      </w:pPr>
      <w:r w:rsidRPr="005E38E9">
        <w:rPr>
          <w:rFonts w:ascii="Arial" w:hAnsi="Arial" w:cs="Arial"/>
          <w:color w:val="000000" w:themeColor="text1"/>
          <w:sz w:val="21"/>
          <w:szCs w:val="21"/>
          <w:lang w:val="es-ES_tradnl"/>
        </w:rPr>
        <w:t xml:space="preserve">«[…] </w:t>
      </w:r>
      <w:r w:rsidRPr="005E38E9">
        <w:rPr>
          <w:rFonts w:ascii="Arial" w:hAnsi="Arial" w:cs="Arial"/>
          <w:b/>
          <w:bCs/>
          <w:color w:val="000000" w:themeColor="text1"/>
          <w:sz w:val="21"/>
          <w:szCs w:val="21"/>
          <w:lang w:val="es-ES_tradnl"/>
        </w:rPr>
        <w:t>4.1.</w:t>
      </w:r>
      <w:r>
        <w:rPr>
          <w:rFonts w:ascii="Arial" w:hAnsi="Arial" w:cs="Arial"/>
          <w:b/>
          <w:bCs/>
          <w:color w:val="000000" w:themeColor="text1"/>
          <w:sz w:val="21"/>
          <w:szCs w:val="21"/>
          <w:lang w:val="es-ES_tradnl"/>
        </w:rPr>
        <w:t xml:space="preserve"> </w:t>
      </w:r>
      <w:r w:rsidRPr="005E38E9">
        <w:rPr>
          <w:rFonts w:ascii="Arial" w:hAnsi="Arial" w:cs="Arial"/>
          <w:b/>
          <w:bCs/>
          <w:color w:val="000000" w:themeColor="text1"/>
          <w:sz w:val="21"/>
          <w:szCs w:val="21"/>
          <w:lang w:val="es-ES_tradnl"/>
        </w:rPr>
        <w:t>FORMAS DE VERIFICACIÓN Y ASIGNACIÓN DE PUNTAJE POR LA EXPERIENCIA DEL PROPONENTE</w:t>
      </w:r>
    </w:p>
    <w:p w14:paraId="452AADCB" w14:textId="77777777" w:rsidR="00CD29EC" w:rsidRPr="005E38E9" w:rsidRDefault="00CD29EC" w:rsidP="00CD29EC">
      <w:pPr>
        <w:ind w:left="567" w:right="567"/>
        <w:jc w:val="both"/>
        <w:rPr>
          <w:rFonts w:ascii="Arial" w:hAnsi="Arial" w:cs="Arial"/>
          <w:color w:val="000000" w:themeColor="text1"/>
          <w:sz w:val="21"/>
          <w:szCs w:val="21"/>
          <w:lang w:val="es-ES_tradnl"/>
        </w:rPr>
      </w:pPr>
      <w:r w:rsidRPr="005E38E9">
        <w:rPr>
          <w:rFonts w:ascii="Arial" w:hAnsi="Arial" w:cs="Arial"/>
          <w:color w:val="000000" w:themeColor="text1"/>
          <w:sz w:val="21"/>
          <w:szCs w:val="21"/>
          <w:lang w:val="es-ES_tradnl"/>
        </w:rPr>
        <w:t xml:space="preserve">La entidad evaluará la experiencia del proponente de acuerdo con los siguientes pasos: </w:t>
      </w:r>
    </w:p>
    <w:p w14:paraId="115A2807" w14:textId="77777777" w:rsidR="00CD29EC" w:rsidRPr="005E38E9" w:rsidRDefault="00CD29EC" w:rsidP="00CD29EC">
      <w:pPr>
        <w:spacing w:after="120"/>
        <w:ind w:left="567" w:right="567"/>
        <w:jc w:val="both"/>
        <w:rPr>
          <w:rFonts w:ascii="Arial" w:hAnsi="Arial" w:cs="Arial"/>
          <w:color w:val="000000" w:themeColor="text1"/>
          <w:sz w:val="21"/>
          <w:szCs w:val="21"/>
          <w:lang w:val="es-ES_tradnl"/>
        </w:rPr>
      </w:pPr>
      <w:r w:rsidRPr="005E38E9">
        <w:rPr>
          <w:rFonts w:ascii="Arial" w:hAnsi="Arial" w:cs="Arial"/>
          <w:color w:val="000000" w:themeColor="text1"/>
          <w:sz w:val="21"/>
          <w:szCs w:val="21"/>
          <w:lang w:val="es-ES_tradnl"/>
        </w:rPr>
        <w:t xml:space="preserve">[…] </w:t>
      </w:r>
    </w:p>
    <w:p w14:paraId="4ABE61DE" w14:textId="77777777" w:rsidR="00CD29EC" w:rsidRPr="005E38E9" w:rsidRDefault="00CD29EC" w:rsidP="00CD29EC">
      <w:pPr>
        <w:spacing w:after="120"/>
        <w:ind w:left="567" w:right="567"/>
        <w:jc w:val="both"/>
        <w:rPr>
          <w:rFonts w:ascii="Arial" w:hAnsi="Arial" w:cs="Arial"/>
          <w:color w:val="000000" w:themeColor="text1"/>
          <w:sz w:val="21"/>
          <w:szCs w:val="21"/>
          <w:lang w:val="es-ES_tradnl"/>
        </w:rPr>
      </w:pPr>
      <w:r w:rsidRPr="005E38E9">
        <w:rPr>
          <w:rFonts w:ascii="Arial" w:hAnsi="Arial" w:cs="Arial"/>
          <w:color w:val="000000" w:themeColor="text1"/>
          <w:sz w:val="21"/>
          <w:szCs w:val="21"/>
          <w:lang w:val="es-ES_tradnl"/>
        </w:rPr>
        <w:t xml:space="preserve">C. </w:t>
      </w:r>
      <w:r w:rsidRPr="005E38E9">
        <w:rPr>
          <w:rFonts w:ascii="Arial" w:eastAsia="Arial" w:hAnsi="Arial" w:cs="Arial"/>
          <w:sz w:val="21"/>
          <w:szCs w:val="21"/>
          <w:lang w:eastAsia="es-ES"/>
        </w:rPr>
        <w:t xml:space="preserve">Posteriormente, se seleccionará un método aleatorio en función de la Tasa de cambio Representativa del Mercado (TRM) certificada por la Superintendencia Financiera de Colombia </w:t>
      </w:r>
      <w:r w:rsidRPr="005E38E9">
        <w:rPr>
          <w:rFonts w:ascii="Arial" w:eastAsia="Arial" w:hAnsi="Arial" w:cs="Arial"/>
          <w:sz w:val="21"/>
          <w:szCs w:val="21"/>
          <w:highlight w:val="lightGray"/>
          <w:lang w:eastAsia="es-ES"/>
        </w:rPr>
        <w:t xml:space="preserve">[en su sitio web: </w:t>
      </w:r>
      <w:hyperlink r:id="rId12" w:history="1">
        <w:r w:rsidRPr="005E38E9">
          <w:rPr>
            <w:rFonts w:ascii="Arial" w:eastAsia="Arial" w:hAnsi="Arial" w:cs="Arial"/>
            <w:sz w:val="21"/>
            <w:szCs w:val="21"/>
            <w:highlight w:val="lightGray"/>
            <w:lang w:eastAsia="es-ES"/>
          </w:rPr>
          <w:t>https://www.superfinanciera.gov.co/publicacion/60819</w:t>
        </w:r>
      </w:hyperlink>
      <w:r w:rsidRPr="005E38E9">
        <w:rPr>
          <w:rFonts w:ascii="Arial" w:eastAsia="Arial" w:hAnsi="Arial" w:cs="Arial"/>
          <w:sz w:val="21"/>
          <w:szCs w:val="21"/>
          <w:highlight w:val="lightGray"/>
          <w:lang w:eastAsia="es-ES"/>
        </w:rPr>
        <w:t>]</w:t>
      </w:r>
      <w:r w:rsidRPr="005E38E9">
        <w:rPr>
          <w:rFonts w:ascii="Arial" w:eastAsia="Arial" w:hAnsi="Arial" w:cs="Arial"/>
          <w:sz w:val="21"/>
          <w:szCs w:val="21"/>
          <w:lang w:eastAsia="es-ES"/>
        </w:rPr>
        <w:t>.</w:t>
      </w:r>
    </w:p>
    <w:p w14:paraId="04BD6CE0" w14:textId="77777777" w:rsidR="00CD29EC" w:rsidRPr="00A91EFC" w:rsidRDefault="00CD29EC" w:rsidP="00CD29EC">
      <w:pPr>
        <w:ind w:left="567" w:right="567"/>
        <w:jc w:val="both"/>
        <w:rPr>
          <w:rFonts w:ascii="Arial" w:hAnsi="Arial" w:cs="Arial"/>
          <w:color w:val="000000" w:themeColor="text1"/>
          <w:sz w:val="21"/>
          <w:szCs w:val="21"/>
          <w:lang w:val="es-ES_tradnl"/>
        </w:rPr>
      </w:pPr>
      <w:r w:rsidRPr="005E38E9">
        <w:rPr>
          <w:rFonts w:ascii="Arial" w:eastAsia="Arial" w:hAnsi="Arial" w:cs="Arial"/>
          <w:sz w:val="21"/>
          <w:szCs w:val="21"/>
          <w:lang w:eastAsia="es-ES"/>
        </w:rPr>
        <w:t xml:space="preserve">La TRM que la entidad utilizará para determinar el método de ponderación será la que </w:t>
      </w:r>
      <w:r w:rsidRPr="005E38E9">
        <w:rPr>
          <w:rFonts w:ascii="Arial" w:eastAsia="Arial" w:hAnsi="Arial" w:cs="Arial"/>
          <w:i/>
          <w:iCs/>
          <w:sz w:val="21"/>
          <w:szCs w:val="21"/>
          <w:lang w:eastAsia="es-ES"/>
        </w:rPr>
        <w:t>rija el segundo día hábil después del cierre del proceso</w:t>
      </w:r>
      <w:r w:rsidRPr="005E38E9">
        <w:rPr>
          <w:rFonts w:ascii="Arial" w:eastAsia="Arial" w:hAnsi="Arial" w:cs="Arial"/>
          <w:sz w:val="21"/>
          <w:szCs w:val="21"/>
          <w:lang w:eastAsia="es-ES"/>
        </w:rPr>
        <w:t>. Esto es, la que la Superintendencia publique en horas de la tarde del día hábil siguiente a la fecha efectiva del cierre del proceso</w:t>
      </w:r>
      <w:r w:rsidRPr="00753A7F">
        <w:rPr>
          <w:rFonts w:ascii="Arial" w:eastAsia="Arial" w:hAnsi="Arial" w:cs="Arial"/>
          <w:sz w:val="21"/>
          <w:szCs w:val="21"/>
          <w:lang w:eastAsia="es-ES"/>
        </w:rPr>
        <w:t xml:space="preserve">. </w:t>
      </w:r>
      <w:r w:rsidRPr="009F5A2A">
        <w:rPr>
          <w:rFonts w:ascii="Arial" w:eastAsia="Arial" w:hAnsi="Arial" w:cs="Arial"/>
          <w:sz w:val="21"/>
          <w:szCs w:val="21"/>
          <w:highlight w:val="lightGray"/>
          <w:lang w:eastAsia="es-ES"/>
        </w:rPr>
        <w:t>[Por ejemplo, si el cierre del proceso se realiza el 10 de febrero, la TRM que se usará para determinar el método de evaluación será la del 12 de febrero, que se publica en la tarde del 11 de febrero]</w:t>
      </w:r>
      <w:r w:rsidRPr="00753A7F">
        <w:rPr>
          <w:rFonts w:ascii="Arial" w:eastAsia="Arial" w:hAnsi="Arial" w:cs="Arial"/>
          <w:sz w:val="21"/>
          <w:szCs w:val="21"/>
          <w:lang w:eastAsia="es-ES"/>
        </w:rPr>
        <w:t xml:space="preserve"> […</w:t>
      </w:r>
      <w:r w:rsidRPr="00A91EFC">
        <w:rPr>
          <w:rFonts w:ascii="Arial" w:hAnsi="Arial" w:cs="Arial"/>
          <w:color w:val="000000" w:themeColor="text1"/>
          <w:sz w:val="21"/>
          <w:szCs w:val="21"/>
          <w:lang w:val="es-ES_tradnl"/>
        </w:rPr>
        <w:t xml:space="preserve">]». </w:t>
      </w:r>
    </w:p>
    <w:p w14:paraId="72067E13" w14:textId="77777777" w:rsidR="00CD29EC" w:rsidRPr="00BD5DA4" w:rsidRDefault="00CD29EC" w:rsidP="00BD5DA4">
      <w:pPr>
        <w:spacing w:line="276" w:lineRule="auto"/>
        <w:ind w:left="567" w:right="567"/>
        <w:jc w:val="both"/>
        <w:rPr>
          <w:rFonts w:ascii="Arial" w:hAnsi="Arial" w:cs="Arial"/>
          <w:color w:val="000000" w:themeColor="text1"/>
          <w:sz w:val="22"/>
          <w:lang w:val="es-ES_tradnl"/>
        </w:rPr>
      </w:pPr>
    </w:p>
    <w:p w14:paraId="7E1FA1A6" w14:textId="371A01CF" w:rsidR="00CD29EC" w:rsidRPr="009F5A2A" w:rsidRDefault="00CD29EC" w:rsidP="00CD29EC">
      <w:pPr>
        <w:spacing w:after="120" w:line="276" w:lineRule="auto"/>
        <w:ind w:firstLine="567"/>
        <w:jc w:val="both"/>
        <w:rPr>
          <w:rFonts w:ascii="Arial" w:eastAsia="Calibri" w:hAnsi="Arial" w:cs="Arial"/>
          <w:sz w:val="22"/>
        </w:rPr>
      </w:pPr>
      <w:r>
        <w:rPr>
          <w:rFonts w:ascii="Arial" w:eastAsia="Calibri" w:hAnsi="Arial" w:cs="Arial"/>
          <w:sz w:val="22"/>
        </w:rPr>
        <w:t xml:space="preserve">En armonía con lo anterior, </w:t>
      </w:r>
      <w:r w:rsidRPr="009F5A2A">
        <w:rPr>
          <w:rFonts w:ascii="Arial" w:eastAsia="Calibri" w:hAnsi="Arial" w:cs="Arial"/>
          <w:sz w:val="22"/>
        </w:rPr>
        <w:t>del aparte tra</w:t>
      </w:r>
      <w:r w:rsidR="0096278F">
        <w:rPr>
          <w:rFonts w:ascii="Arial" w:eastAsia="Calibri" w:hAnsi="Arial" w:cs="Arial"/>
          <w:sz w:val="22"/>
        </w:rPr>
        <w:t>n</w:t>
      </w:r>
      <w:r w:rsidRPr="009F5A2A">
        <w:rPr>
          <w:rFonts w:ascii="Arial" w:eastAsia="Calibri" w:hAnsi="Arial" w:cs="Arial"/>
          <w:sz w:val="22"/>
        </w:rPr>
        <w:t xml:space="preserve">scrito se tiene que la TRM aplicable para escoger el método aleatorio de evaluación de la experiencia del proponente es la del segundo día hábil después </w:t>
      </w:r>
      <w:r>
        <w:rPr>
          <w:rFonts w:ascii="Arial" w:eastAsia="Calibri" w:hAnsi="Arial" w:cs="Arial"/>
          <w:sz w:val="22"/>
        </w:rPr>
        <w:t>d</w:t>
      </w:r>
      <w:r w:rsidRPr="009F5A2A">
        <w:rPr>
          <w:rFonts w:ascii="Arial" w:eastAsia="Calibri" w:hAnsi="Arial" w:cs="Arial"/>
          <w:sz w:val="22"/>
        </w:rPr>
        <w:t>el cierre del proceso</w:t>
      </w:r>
      <w:r>
        <w:rPr>
          <w:rFonts w:ascii="Arial" w:eastAsia="Calibri" w:hAnsi="Arial" w:cs="Arial"/>
          <w:sz w:val="22"/>
        </w:rPr>
        <w:t>, regla establecida de forma clara en el documento base e, incluso, para efectos de mayor claridad ejemplificada de forma precisa</w:t>
      </w:r>
      <w:r w:rsidRPr="009F5A2A">
        <w:rPr>
          <w:rFonts w:ascii="Arial" w:eastAsia="Calibri" w:hAnsi="Arial" w:cs="Arial"/>
          <w:sz w:val="22"/>
        </w:rPr>
        <w:t xml:space="preserve">. </w:t>
      </w:r>
      <w:r>
        <w:rPr>
          <w:rFonts w:ascii="Arial" w:eastAsia="Calibri" w:hAnsi="Arial" w:cs="Arial"/>
          <w:sz w:val="22"/>
        </w:rPr>
        <w:t>Sin embargo, l</w:t>
      </w:r>
      <w:r w:rsidRPr="009F5A2A">
        <w:rPr>
          <w:rFonts w:ascii="Arial" w:eastAsia="Calibri" w:hAnsi="Arial" w:cs="Arial"/>
          <w:sz w:val="22"/>
        </w:rPr>
        <w:t xml:space="preserve">a disparidad con esta regla que se observa en el </w:t>
      </w:r>
      <w:r w:rsidR="00021BB4">
        <w:rPr>
          <w:rFonts w:ascii="Arial" w:eastAsia="Calibri" w:hAnsi="Arial" w:cs="Arial"/>
          <w:sz w:val="22"/>
        </w:rPr>
        <w:t>«</w:t>
      </w:r>
      <w:r>
        <w:rPr>
          <w:rFonts w:ascii="Arial" w:eastAsia="Calibri" w:hAnsi="Arial" w:cs="Arial"/>
          <w:sz w:val="22"/>
        </w:rPr>
        <w:t>A</w:t>
      </w:r>
      <w:r w:rsidRPr="009F5A2A">
        <w:rPr>
          <w:rFonts w:ascii="Arial" w:eastAsia="Calibri" w:hAnsi="Arial" w:cs="Arial"/>
          <w:sz w:val="22"/>
        </w:rPr>
        <w:t>nexo 2</w:t>
      </w:r>
      <w:r>
        <w:rPr>
          <w:rFonts w:ascii="Arial" w:eastAsia="Calibri" w:hAnsi="Arial" w:cs="Arial"/>
          <w:sz w:val="22"/>
        </w:rPr>
        <w:t xml:space="preserve"> ‒</w:t>
      </w:r>
      <w:r w:rsidRPr="009F5A2A">
        <w:rPr>
          <w:rFonts w:ascii="Arial" w:eastAsia="Calibri" w:hAnsi="Arial" w:cs="Arial"/>
          <w:sz w:val="22"/>
        </w:rPr>
        <w:t xml:space="preserve"> </w:t>
      </w:r>
      <w:r w:rsidR="00021BB4">
        <w:rPr>
          <w:rFonts w:ascii="Arial" w:eastAsia="Calibri" w:hAnsi="Arial" w:cs="Arial"/>
          <w:sz w:val="22"/>
        </w:rPr>
        <w:t>C</w:t>
      </w:r>
      <w:r w:rsidRPr="009F5A2A">
        <w:rPr>
          <w:rFonts w:ascii="Arial" w:eastAsia="Calibri" w:hAnsi="Arial" w:cs="Arial"/>
          <w:sz w:val="22"/>
        </w:rPr>
        <w:t>ronograma</w:t>
      </w:r>
      <w:r w:rsidR="00021BB4">
        <w:rPr>
          <w:rFonts w:ascii="Arial" w:eastAsia="Calibri" w:hAnsi="Arial" w:cs="Arial"/>
          <w:sz w:val="22"/>
        </w:rPr>
        <w:t>»</w:t>
      </w:r>
      <w:r>
        <w:rPr>
          <w:rFonts w:ascii="Arial" w:eastAsia="Calibri" w:hAnsi="Arial" w:cs="Arial"/>
          <w:sz w:val="22"/>
        </w:rPr>
        <w:t>, donde se estableció una nota descontextualizada,</w:t>
      </w:r>
      <w:r w:rsidRPr="009F5A2A">
        <w:rPr>
          <w:rFonts w:ascii="Arial" w:eastAsia="Calibri" w:hAnsi="Arial" w:cs="Arial"/>
          <w:sz w:val="22"/>
        </w:rPr>
        <w:t xml:space="preserve"> se debió a un error involuntario de la </w:t>
      </w:r>
      <w:r>
        <w:rPr>
          <w:rFonts w:ascii="Arial" w:eastAsia="Calibri" w:hAnsi="Arial" w:cs="Arial"/>
          <w:sz w:val="22"/>
        </w:rPr>
        <w:t>Agencia</w:t>
      </w:r>
      <w:r w:rsidRPr="009F5A2A">
        <w:rPr>
          <w:rFonts w:ascii="Arial" w:eastAsia="Calibri" w:hAnsi="Arial" w:cs="Arial"/>
          <w:sz w:val="22"/>
        </w:rPr>
        <w:t>,</w:t>
      </w:r>
      <w:r>
        <w:rPr>
          <w:rFonts w:ascii="Arial" w:eastAsia="Calibri" w:hAnsi="Arial" w:cs="Arial"/>
          <w:sz w:val="22"/>
        </w:rPr>
        <w:t xml:space="preserve"> quien valoró la posibilidad de utilizar criterios distintos para definir el método de ponderación de la experiencia del proponente. Sin embargo, la Agencia optó, como se estableció con claridad, por la regla señalada en los párrafos acabados de transcribir</w:t>
      </w:r>
      <w:r w:rsidRPr="009F5A2A">
        <w:rPr>
          <w:rFonts w:ascii="Arial" w:eastAsia="Calibri" w:hAnsi="Arial" w:cs="Arial"/>
          <w:sz w:val="22"/>
        </w:rPr>
        <w:t xml:space="preserve">. </w:t>
      </w:r>
    </w:p>
    <w:p w14:paraId="1E895C29" w14:textId="7BC435F7" w:rsidR="00CD29EC" w:rsidRDefault="00CD29EC" w:rsidP="00CD29EC">
      <w:pPr>
        <w:spacing w:line="276" w:lineRule="auto"/>
        <w:jc w:val="both"/>
        <w:rPr>
          <w:rFonts w:ascii="Arial" w:hAnsi="Arial" w:cs="Arial"/>
          <w:color w:val="000000" w:themeColor="text1"/>
          <w:sz w:val="22"/>
          <w:lang w:val="es-ES_tradnl"/>
        </w:rPr>
      </w:pPr>
      <w:r w:rsidRPr="00B141BD">
        <w:rPr>
          <w:rFonts w:ascii="Arial" w:hAnsi="Arial" w:cs="Arial"/>
          <w:color w:val="000000" w:themeColor="text1"/>
          <w:sz w:val="22"/>
          <w:lang w:val="es-ES_tradnl"/>
        </w:rPr>
        <w:tab/>
      </w:r>
      <w:r>
        <w:rPr>
          <w:rFonts w:ascii="Arial" w:hAnsi="Arial" w:cs="Arial"/>
          <w:color w:val="000000" w:themeColor="text1"/>
          <w:sz w:val="22"/>
          <w:lang w:val="es-ES_tradnl"/>
        </w:rPr>
        <w:t xml:space="preserve">De otro lado, conviene </w:t>
      </w:r>
      <w:r w:rsidRPr="00B141BD">
        <w:rPr>
          <w:rFonts w:ascii="Arial" w:hAnsi="Arial" w:cs="Arial"/>
          <w:color w:val="000000" w:themeColor="text1"/>
          <w:sz w:val="22"/>
          <w:lang w:val="es-ES_tradnl"/>
        </w:rPr>
        <w:t xml:space="preserve">señalar que, para el caso del documento tipo de interventoría de obra pública de infraestructura de transporte, la </w:t>
      </w:r>
      <w:r>
        <w:rPr>
          <w:rFonts w:ascii="Arial" w:hAnsi="Arial" w:cs="Arial"/>
          <w:color w:val="000000" w:themeColor="text1"/>
          <w:sz w:val="22"/>
          <w:lang w:val="es-ES_tradnl"/>
        </w:rPr>
        <w:t>nota señalada</w:t>
      </w:r>
      <w:r w:rsidRPr="00B141BD">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en </w:t>
      </w:r>
      <w:r w:rsidRPr="00B141BD">
        <w:rPr>
          <w:rFonts w:ascii="Arial" w:hAnsi="Arial" w:cs="Arial"/>
          <w:color w:val="000000" w:themeColor="text1"/>
          <w:sz w:val="22"/>
          <w:lang w:val="es-ES_tradnl"/>
        </w:rPr>
        <w:t xml:space="preserve">el </w:t>
      </w:r>
      <w:r w:rsidR="00021BB4">
        <w:rPr>
          <w:rFonts w:ascii="Arial" w:hAnsi="Arial" w:cs="Arial"/>
          <w:color w:val="000000" w:themeColor="text1"/>
          <w:sz w:val="22"/>
          <w:lang w:val="es-ES_tradnl"/>
        </w:rPr>
        <w:t>«</w:t>
      </w:r>
      <w:r>
        <w:rPr>
          <w:rFonts w:ascii="Arial" w:hAnsi="Arial" w:cs="Arial"/>
          <w:color w:val="000000" w:themeColor="text1"/>
          <w:sz w:val="22"/>
          <w:lang w:val="es-ES_tradnl"/>
        </w:rPr>
        <w:t xml:space="preserve">Anexo 2 ‒ </w:t>
      </w:r>
      <w:r w:rsidR="00021BB4">
        <w:rPr>
          <w:rFonts w:ascii="Arial" w:hAnsi="Arial" w:cs="Arial"/>
          <w:color w:val="000000" w:themeColor="text1"/>
          <w:sz w:val="22"/>
          <w:lang w:val="es-ES_tradnl"/>
        </w:rPr>
        <w:lastRenderedPageBreak/>
        <w:t>C</w:t>
      </w:r>
      <w:r w:rsidRPr="00B141BD">
        <w:rPr>
          <w:rFonts w:ascii="Arial" w:hAnsi="Arial" w:cs="Arial"/>
          <w:color w:val="000000" w:themeColor="text1"/>
          <w:sz w:val="22"/>
          <w:lang w:val="es-ES_tradnl"/>
        </w:rPr>
        <w:t>ronograma</w:t>
      </w:r>
      <w:r w:rsidR="00021BB4">
        <w:rPr>
          <w:rFonts w:ascii="Arial" w:hAnsi="Arial" w:cs="Arial"/>
          <w:color w:val="000000" w:themeColor="text1"/>
          <w:sz w:val="22"/>
          <w:lang w:val="es-ES_tradnl"/>
        </w:rPr>
        <w:t>»</w:t>
      </w:r>
      <w:r w:rsidRPr="00B141BD">
        <w:rPr>
          <w:rFonts w:ascii="Arial" w:hAnsi="Arial" w:cs="Arial"/>
          <w:color w:val="000000" w:themeColor="text1"/>
          <w:sz w:val="22"/>
          <w:lang w:val="es-ES_tradnl"/>
        </w:rPr>
        <w:t xml:space="preserve"> no </w:t>
      </w:r>
      <w:r w:rsidR="007504FC">
        <w:rPr>
          <w:rFonts w:ascii="Arial" w:hAnsi="Arial" w:cs="Arial"/>
          <w:color w:val="000000" w:themeColor="text1"/>
          <w:sz w:val="22"/>
          <w:lang w:val="es-ES_tradnl"/>
        </w:rPr>
        <w:t xml:space="preserve">era </w:t>
      </w:r>
      <w:r>
        <w:rPr>
          <w:rFonts w:ascii="Arial" w:hAnsi="Arial" w:cs="Arial"/>
          <w:color w:val="000000" w:themeColor="text1"/>
          <w:sz w:val="22"/>
          <w:lang w:val="es-ES_tradnl"/>
        </w:rPr>
        <w:t>procedente y de hecho tal posibilidad fue descartada precisamente, pues resultaba in</w:t>
      </w:r>
      <w:r w:rsidRPr="00B141BD">
        <w:rPr>
          <w:rFonts w:ascii="Arial" w:hAnsi="Arial" w:cs="Arial"/>
          <w:color w:val="000000" w:themeColor="text1"/>
          <w:sz w:val="22"/>
          <w:lang w:val="es-ES_tradnl"/>
        </w:rPr>
        <w:t>compatible con lo dispuesto en el artículo 2.2.1.2.1.3.2.</w:t>
      </w:r>
      <w:r>
        <w:rPr>
          <w:rFonts w:ascii="Arial" w:hAnsi="Arial" w:cs="Arial"/>
          <w:color w:val="000000" w:themeColor="text1"/>
          <w:sz w:val="22"/>
          <w:lang w:val="es-ES_tradnl"/>
        </w:rPr>
        <w:t>,</w:t>
      </w:r>
      <w:r w:rsidRPr="00B141BD">
        <w:rPr>
          <w:rFonts w:ascii="Arial" w:hAnsi="Arial" w:cs="Arial"/>
          <w:color w:val="000000" w:themeColor="text1"/>
          <w:sz w:val="22"/>
          <w:lang w:val="es-ES_tradnl"/>
        </w:rPr>
        <w:t xml:space="preserve"> numera</w:t>
      </w:r>
      <w:r>
        <w:rPr>
          <w:rFonts w:ascii="Arial" w:hAnsi="Arial" w:cs="Arial"/>
          <w:color w:val="000000" w:themeColor="text1"/>
          <w:sz w:val="22"/>
          <w:lang w:val="es-ES_tradnl"/>
        </w:rPr>
        <w:t>l</w:t>
      </w:r>
      <w:r w:rsidRPr="00B141BD">
        <w:rPr>
          <w:rFonts w:ascii="Arial" w:hAnsi="Arial" w:cs="Arial"/>
          <w:color w:val="000000" w:themeColor="text1"/>
          <w:sz w:val="22"/>
          <w:lang w:val="es-ES_tradnl"/>
        </w:rPr>
        <w:t xml:space="preserve"> 2</w:t>
      </w:r>
      <w:r>
        <w:rPr>
          <w:rFonts w:ascii="Arial" w:hAnsi="Arial" w:cs="Arial"/>
          <w:color w:val="000000" w:themeColor="text1"/>
          <w:sz w:val="22"/>
          <w:lang w:val="es-ES_tradnl"/>
        </w:rPr>
        <w:t>,</w:t>
      </w:r>
      <w:r w:rsidRPr="00B141BD">
        <w:rPr>
          <w:rFonts w:ascii="Arial" w:hAnsi="Arial" w:cs="Arial"/>
          <w:color w:val="000000" w:themeColor="text1"/>
          <w:sz w:val="22"/>
          <w:lang w:val="es-ES_tradnl"/>
        </w:rPr>
        <w:t xml:space="preserve"> del Decreto 1082 de 2015, </w:t>
      </w:r>
      <w:r>
        <w:rPr>
          <w:rFonts w:ascii="Arial" w:hAnsi="Arial" w:cs="Arial"/>
          <w:color w:val="000000" w:themeColor="text1"/>
          <w:sz w:val="22"/>
          <w:lang w:val="es-ES_tradnl"/>
        </w:rPr>
        <w:t xml:space="preserve">que regulaba el procedimiento del concurso de méritos, estableciendo para el momento en que se expidió este documento tipo: </w:t>
      </w:r>
    </w:p>
    <w:p w14:paraId="16A1584E" w14:textId="77777777" w:rsidR="00CD29EC" w:rsidRDefault="00CD29EC" w:rsidP="00CD29EC">
      <w:pPr>
        <w:jc w:val="both"/>
        <w:rPr>
          <w:rFonts w:ascii="Arial" w:hAnsi="Arial" w:cs="Arial"/>
          <w:color w:val="000000" w:themeColor="text1"/>
          <w:sz w:val="22"/>
          <w:lang w:val="es-ES_tradnl"/>
        </w:rPr>
      </w:pPr>
    </w:p>
    <w:p w14:paraId="46C55FC8" w14:textId="77777777" w:rsidR="00CD29EC" w:rsidRPr="00CD29EC" w:rsidRDefault="00CD29EC" w:rsidP="00CD29EC">
      <w:pPr>
        <w:ind w:left="567" w:right="567"/>
        <w:jc w:val="both"/>
        <w:rPr>
          <w:rFonts w:ascii="Arial" w:hAnsi="Arial" w:cs="Arial"/>
          <w:i/>
          <w:color w:val="000000" w:themeColor="text1"/>
          <w:sz w:val="21"/>
          <w:szCs w:val="21"/>
          <w:shd w:val="clear" w:color="auto" w:fill="FFFFFF"/>
        </w:rPr>
      </w:pPr>
      <w:r w:rsidRPr="00CD29EC">
        <w:rPr>
          <w:rFonts w:ascii="Arial" w:hAnsi="Arial" w:cs="Arial"/>
          <w:i/>
          <w:color w:val="000000" w:themeColor="text1"/>
          <w:sz w:val="21"/>
          <w:szCs w:val="21"/>
          <w:lang w:val="es-ES_tradnl"/>
        </w:rPr>
        <w:t>«</w:t>
      </w:r>
      <w:r w:rsidRPr="00CD29EC">
        <w:rPr>
          <w:rStyle w:val="Textoennegrita"/>
          <w:rFonts w:ascii="Arial" w:hAnsi="Arial" w:cs="Arial"/>
          <w:i/>
          <w:color w:val="000000" w:themeColor="text1"/>
          <w:sz w:val="21"/>
          <w:szCs w:val="21"/>
          <w:shd w:val="clear" w:color="auto" w:fill="FFFFFF"/>
        </w:rPr>
        <w:t>Artículo 2.2.1.2.1.3.2. </w:t>
      </w:r>
      <w:r w:rsidRPr="00CD29EC">
        <w:rPr>
          <w:rStyle w:val="nfasis"/>
          <w:rFonts w:ascii="Arial" w:hAnsi="Arial" w:cs="Arial"/>
          <w:bCs/>
          <w:color w:val="000000" w:themeColor="text1"/>
          <w:sz w:val="21"/>
          <w:szCs w:val="21"/>
          <w:shd w:val="clear" w:color="auto" w:fill="FFFFFF"/>
        </w:rPr>
        <w:t>Procedimiento del concurso de méritos.</w:t>
      </w:r>
      <w:r w:rsidRPr="00CD29EC">
        <w:rPr>
          <w:rStyle w:val="nfasis"/>
          <w:rFonts w:ascii="Arial" w:hAnsi="Arial" w:cs="Arial"/>
          <w:color w:val="000000" w:themeColor="text1"/>
          <w:sz w:val="21"/>
          <w:szCs w:val="21"/>
          <w:shd w:val="clear" w:color="auto" w:fill="FFFFFF"/>
        </w:rPr>
        <w:t> </w:t>
      </w:r>
      <w:r w:rsidRPr="00CD29EC">
        <w:rPr>
          <w:rFonts w:ascii="Arial" w:hAnsi="Arial" w:cs="Arial"/>
          <w:i/>
          <w:color w:val="000000" w:themeColor="text1"/>
          <w:sz w:val="21"/>
          <w:szCs w:val="21"/>
          <w:shd w:val="clear" w:color="auto" w:fill="FFFFFF"/>
        </w:rPr>
        <w:t>Además de las reglas generales previstas en la ley y en el presente título, las siguientes reglas son aplicables al concurso de méritos abierto o con precalificación:</w:t>
      </w:r>
    </w:p>
    <w:p w14:paraId="1CF86562" w14:textId="77777777" w:rsidR="00CD29EC" w:rsidRPr="00CD29EC" w:rsidRDefault="00CD29EC" w:rsidP="00CD29EC">
      <w:pPr>
        <w:ind w:left="567" w:right="567"/>
        <w:jc w:val="both"/>
        <w:rPr>
          <w:rFonts w:ascii="Arial" w:hAnsi="Arial" w:cs="Arial"/>
          <w:i/>
          <w:color w:val="000000" w:themeColor="text1"/>
          <w:sz w:val="21"/>
          <w:szCs w:val="21"/>
          <w:shd w:val="clear" w:color="auto" w:fill="FFFFFF"/>
        </w:rPr>
      </w:pPr>
    </w:p>
    <w:p w14:paraId="00561F65" w14:textId="43B920CB" w:rsidR="00CD29EC" w:rsidRPr="00CD29EC" w:rsidRDefault="00CD29EC" w:rsidP="00CD29EC">
      <w:pPr>
        <w:ind w:left="567" w:right="567"/>
        <w:jc w:val="both"/>
        <w:rPr>
          <w:rFonts w:ascii="Arial" w:hAnsi="Arial" w:cs="Arial"/>
          <w:i/>
          <w:color w:val="000000" w:themeColor="text1"/>
          <w:sz w:val="21"/>
          <w:szCs w:val="21"/>
          <w:shd w:val="clear" w:color="auto" w:fill="FFFFFF"/>
        </w:rPr>
      </w:pPr>
      <w:r w:rsidRPr="00CD29EC">
        <w:rPr>
          <w:rFonts w:ascii="Arial" w:hAnsi="Arial" w:cs="Arial"/>
          <w:i/>
          <w:color w:val="000000" w:themeColor="text1"/>
          <w:sz w:val="21"/>
          <w:szCs w:val="21"/>
          <w:shd w:val="clear" w:color="auto" w:fill="FFFFFF"/>
        </w:rPr>
        <w:t>[…] 2.    La Entidad Estatal debe publicar durante tres (3) días hábiles el informe de evaluación, el cual debe contener la calificación técnica y el orden de elegibilidad</w:t>
      </w:r>
      <w:r w:rsidR="00021BB4">
        <w:rPr>
          <w:rFonts w:ascii="Arial" w:hAnsi="Arial" w:cs="Arial"/>
          <w:i/>
          <w:color w:val="000000" w:themeColor="text1"/>
          <w:sz w:val="21"/>
          <w:szCs w:val="21"/>
          <w:shd w:val="clear" w:color="auto" w:fill="FFFFFF"/>
        </w:rPr>
        <w:t xml:space="preserve"> </w:t>
      </w:r>
      <w:r w:rsidRPr="00CD29EC">
        <w:rPr>
          <w:rFonts w:ascii="Arial" w:hAnsi="Arial" w:cs="Arial"/>
          <w:i/>
          <w:color w:val="000000" w:themeColor="text1"/>
          <w:sz w:val="21"/>
          <w:szCs w:val="21"/>
          <w:shd w:val="clear" w:color="auto" w:fill="FFFFFF"/>
        </w:rPr>
        <w:t>[…]</w:t>
      </w:r>
      <w:r w:rsidRPr="00CD29EC">
        <w:rPr>
          <w:rFonts w:ascii="Arial" w:hAnsi="Arial" w:cs="Arial"/>
          <w:i/>
          <w:color w:val="000000" w:themeColor="text1"/>
          <w:sz w:val="21"/>
          <w:szCs w:val="21"/>
          <w:lang w:val="es-ES_tradnl"/>
        </w:rPr>
        <w:t>».</w:t>
      </w:r>
    </w:p>
    <w:p w14:paraId="02FF216A" w14:textId="77777777" w:rsidR="00CD29EC" w:rsidRDefault="00CD29EC" w:rsidP="00BD5DA4">
      <w:pPr>
        <w:spacing w:line="276" w:lineRule="auto"/>
        <w:jc w:val="both"/>
        <w:rPr>
          <w:rFonts w:ascii="Arial" w:hAnsi="Arial" w:cs="Arial"/>
          <w:color w:val="000000" w:themeColor="text1"/>
          <w:sz w:val="22"/>
          <w:lang w:val="es-ES_tradnl"/>
        </w:rPr>
      </w:pPr>
    </w:p>
    <w:p w14:paraId="6ACC362F" w14:textId="77777777" w:rsidR="009F6E1F" w:rsidRDefault="00CD29EC" w:rsidP="009F6E1F">
      <w:pPr>
        <w:spacing w:after="120" w:line="276" w:lineRule="auto"/>
        <w:ind w:firstLine="567"/>
        <w:jc w:val="both"/>
        <w:rPr>
          <w:rFonts w:ascii="Arial" w:hAnsi="Arial" w:cs="Arial"/>
          <w:color w:val="000000" w:themeColor="text1"/>
          <w:sz w:val="21"/>
          <w:szCs w:val="21"/>
          <w:lang w:val="es-ES_tradnl"/>
        </w:rPr>
      </w:pPr>
      <w:r>
        <w:rPr>
          <w:rFonts w:ascii="Arial" w:hAnsi="Arial" w:cs="Arial"/>
          <w:color w:val="000000" w:themeColor="text1"/>
          <w:sz w:val="22"/>
          <w:lang w:val="es-ES_tradnl"/>
        </w:rPr>
        <w:t>Esta norma</w:t>
      </w:r>
      <w:r w:rsidRPr="00B141BD">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señaló que </w:t>
      </w:r>
      <w:r w:rsidRPr="00B141BD">
        <w:rPr>
          <w:rFonts w:ascii="Arial" w:hAnsi="Arial" w:cs="Arial"/>
          <w:color w:val="000000" w:themeColor="text1"/>
          <w:sz w:val="22"/>
          <w:lang w:val="es-ES_tradnl"/>
        </w:rPr>
        <w:t xml:space="preserve">el informe de evaluación </w:t>
      </w:r>
      <w:r>
        <w:rPr>
          <w:rFonts w:ascii="Arial" w:hAnsi="Arial" w:cs="Arial"/>
          <w:color w:val="000000" w:themeColor="text1"/>
          <w:sz w:val="22"/>
          <w:lang w:val="es-ES_tradnl"/>
        </w:rPr>
        <w:t xml:space="preserve">en un concurso de méritos </w:t>
      </w:r>
      <w:r w:rsidRPr="00B141BD">
        <w:rPr>
          <w:rFonts w:ascii="Arial" w:hAnsi="Arial" w:cs="Arial"/>
          <w:color w:val="000000" w:themeColor="text1"/>
          <w:sz w:val="22"/>
          <w:lang w:val="es-ES_tradnl"/>
        </w:rPr>
        <w:t>de</w:t>
      </w:r>
      <w:r>
        <w:rPr>
          <w:rFonts w:ascii="Arial" w:hAnsi="Arial" w:cs="Arial"/>
          <w:color w:val="000000" w:themeColor="text1"/>
          <w:sz w:val="22"/>
          <w:lang w:val="es-ES_tradnl"/>
        </w:rPr>
        <w:t>bía</w:t>
      </w:r>
      <w:r w:rsidRPr="00B141BD">
        <w:rPr>
          <w:rFonts w:ascii="Arial" w:hAnsi="Arial" w:cs="Arial"/>
          <w:color w:val="000000" w:themeColor="text1"/>
          <w:sz w:val="22"/>
          <w:lang w:val="es-ES_tradnl"/>
        </w:rPr>
        <w:t xml:space="preserve"> contener la calificación técnica y el orden de elegibilidad</w:t>
      </w:r>
      <w:r>
        <w:rPr>
          <w:rFonts w:ascii="Arial" w:hAnsi="Arial" w:cs="Arial"/>
          <w:color w:val="000000" w:themeColor="text1"/>
          <w:sz w:val="22"/>
          <w:lang w:val="es-ES_tradnl"/>
        </w:rPr>
        <w:t xml:space="preserve"> de los proponentes, de modo que, para el momento de publicación del informe de evaluación inicial, para cumplir con el contenido establecido en el reglamento, lógicamente debe haberse evaluado previamente al proponente frente a todo el contenido de las ofertas, asignando el puntaje respectivo, y en consecuencia, también haberse escogido el método de ponderación, de modo que no podría tenerse en cuenta una TRM posterior a esta etapa del procedimiento, pues impediría cumplir con lo establecido en el reglamento para los procesos de concursos de méritos</w:t>
      </w:r>
      <w:r>
        <w:rPr>
          <w:rStyle w:val="Refdenotaalpie"/>
          <w:rFonts w:ascii="Arial" w:hAnsi="Arial" w:cs="Arial"/>
          <w:color w:val="000000" w:themeColor="text1"/>
          <w:sz w:val="22"/>
          <w:lang w:val="es-ES_tradnl"/>
        </w:rPr>
        <w:footnoteReference w:id="3"/>
      </w:r>
      <w:r>
        <w:rPr>
          <w:rFonts w:ascii="Arial" w:hAnsi="Arial" w:cs="Arial"/>
          <w:color w:val="000000" w:themeColor="text1"/>
          <w:sz w:val="22"/>
          <w:lang w:val="es-ES_tradnl"/>
        </w:rPr>
        <w:t xml:space="preserve">. De todo lo anterior, se tiene que la regla aplicable para escogencia del método aleatorio de evaluación del proponente es la contenida en el documento base, según la cual, </w:t>
      </w:r>
      <w:r w:rsidRPr="00611DA7">
        <w:rPr>
          <w:rFonts w:ascii="Arial" w:hAnsi="Arial" w:cs="Arial"/>
          <w:color w:val="000000" w:themeColor="text1"/>
          <w:sz w:val="21"/>
          <w:szCs w:val="21"/>
          <w:lang w:val="es-ES_tradnl"/>
        </w:rPr>
        <w:t>«</w:t>
      </w:r>
      <w:r>
        <w:rPr>
          <w:rFonts w:ascii="Arial" w:hAnsi="Arial" w:cs="Arial"/>
          <w:color w:val="000000" w:themeColor="text1"/>
          <w:sz w:val="22"/>
          <w:lang w:val="es-ES_tradnl"/>
        </w:rPr>
        <w:t>l</w:t>
      </w:r>
      <w:r w:rsidRPr="001345AE">
        <w:rPr>
          <w:rFonts w:ascii="Arial" w:hAnsi="Arial" w:cs="Arial"/>
          <w:color w:val="000000" w:themeColor="text1"/>
          <w:sz w:val="22"/>
          <w:lang w:val="es-ES_tradnl"/>
        </w:rPr>
        <w:t>a TRM que la entidad utilizará para determinar el método de ponderación será la que rija el segundo día hábil después del cierre del proceso</w:t>
      </w:r>
      <w:r w:rsidRPr="00611DA7">
        <w:rPr>
          <w:rFonts w:ascii="Arial" w:hAnsi="Arial" w:cs="Arial"/>
          <w:color w:val="000000" w:themeColor="text1"/>
          <w:sz w:val="21"/>
          <w:szCs w:val="21"/>
          <w:lang w:val="es-ES_tradnl"/>
        </w:rPr>
        <w:t>»</w:t>
      </w:r>
      <w:r>
        <w:rPr>
          <w:rFonts w:ascii="Arial" w:hAnsi="Arial" w:cs="Arial"/>
          <w:color w:val="000000" w:themeColor="text1"/>
          <w:sz w:val="21"/>
          <w:szCs w:val="21"/>
          <w:lang w:val="es-ES_tradnl"/>
        </w:rPr>
        <w:t xml:space="preserve">. </w:t>
      </w:r>
    </w:p>
    <w:p w14:paraId="7561FFAF" w14:textId="7109F006" w:rsidR="003A4B1E" w:rsidRDefault="00CD29EC" w:rsidP="003A4B1E">
      <w:pPr>
        <w:spacing w:line="276" w:lineRule="auto"/>
        <w:ind w:firstLine="567"/>
        <w:jc w:val="both"/>
        <w:rPr>
          <w:rFonts w:ascii="Times New Roman" w:eastAsia="Times New Roman" w:hAnsi="Times New Roman" w:cs="Times New Roman"/>
          <w:sz w:val="22"/>
          <w:lang w:val="es-CO" w:eastAsia="es-MX"/>
        </w:rPr>
      </w:pPr>
      <w:r w:rsidRPr="00DD76E7">
        <w:rPr>
          <w:rFonts w:ascii="Arial" w:hAnsi="Arial" w:cs="Arial"/>
          <w:color w:val="000000" w:themeColor="text1"/>
          <w:sz w:val="22"/>
          <w:lang w:val="es-ES_tradnl"/>
        </w:rPr>
        <w:lastRenderedPageBreak/>
        <w:t xml:space="preserve">Finalmente, </w:t>
      </w:r>
      <w:r w:rsidR="00021BB4">
        <w:rPr>
          <w:rFonts w:ascii="Arial" w:hAnsi="Arial" w:cs="Arial"/>
          <w:color w:val="000000" w:themeColor="text1"/>
          <w:sz w:val="22"/>
          <w:lang w:val="es-ES_tradnl"/>
        </w:rPr>
        <w:t>con el objetivo</w:t>
      </w:r>
      <w:r w:rsidRPr="00DD76E7">
        <w:rPr>
          <w:rFonts w:ascii="Arial" w:hAnsi="Arial" w:cs="Arial"/>
          <w:color w:val="000000" w:themeColor="text1"/>
          <w:sz w:val="22"/>
          <w:lang w:val="es-ES_tradnl"/>
        </w:rPr>
        <w:t xml:space="preserve"> de resolver la inconsistencia </w:t>
      </w:r>
      <w:r w:rsidR="007504FC">
        <w:rPr>
          <w:rFonts w:ascii="Arial" w:hAnsi="Arial" w:cs="Arial"/>
          <w:color w:val="000000" w:themeColor="text1"/>
          <w:sz w:val="22"/>
          <w:lang w:val="es-ES_tradnl"/>
        </w:rPr>
        <w:t>presentada en</w:t>
      </w:r>
      <w:r w:rsidRPr="00DD76E7">
        <w:rPr>
          <w:rFonts w:ascii="Arial" w:hAnsi="Arial" w:cs="Arial"/>
          <w:color w:val="000000" w:themeColor="text1"/>
          <w:sz w:val="22"/>
          <w:lang w:val="es-ES_tradnl"/>
        </w:rPr>
        <w:t xml:space="preserve"> el </w:t>
      </w:r>
      <w:r w:rsidR="00021BB4">
        <w:rPr>
          <w:rFonts w:ascii="Arial" w:hAnsi="Arial" w:cs="Arial"/>
          <w:color w:val="000000" w:themeColor="text1"/>
          <w:sz w:val="22"/>
          <w:lang w:val="es-ES_tradnl"/>
        </w:rPr>
        <w:t>«</w:t>
      </w:r>
      <w:r w:rsidRPr="00DD76E7">
        <w:rPr>
          <w:rFonts w:ascii="Arial" w:eastAsia="Calibri" w:hAnsi="Arial" w:cs="Arial"/>
          <w:sz w:val="22"/>
        </w:rPr>
        <w:t xml:space="preserve">Anexo 2 ‒ </w:t>
      </w:r>
      <w:r w:rsidR="00021BB4">
        <w:rPr>
          <w:rFonts w:ascii="Arial" w:eastAsia="Calibri" w:hAnsi="Arial" w:cs="Arial"/>
          <w:sz w:val="22"/>
        </w:rPr>
        <w:t>C</w:t>
      </w:r>
      <w:r w:rsidRPr="00DD76E7">
        <w:rPr>
          <w:rFonts w:ascii="Arial" w:eastAsia="Calibri" w:hAnsi="Arial" w:cs="Arial"/>
          <w:sz w:val="22"/>
        </w:rPr>
        <w:t>ronograma</w:t>
      </w:r>
      <w:r w:rsidR="00021BB4">
        <w:rPr>
          <w:rFonts w:ascii="Arial" w:eastAsia="Calibri" w:hAnsi="Arial" w:cs="Arial"/>
          <w:sz w:val="22"/>
        </w:rPr>
        <w:t>»</w:t>
      </w:r>
      <w:r w:rsidR="00DD76E7">
        <w:rPr>
          <w:rFonts w:ascii="Arial" w:eastAsia="Calibri" w:hAnsi="Arial" w:cs="Arial"/>
          <w:sz w:val="22"/>
        </w:rPr>
        <w:t xml:space="preserve"> de los documentos tipo de interventoría, </w:t>
      </w:r>
      <w:r w:rsidRPr="00DD76E7">
        <w:rPr>
          <w:rFonts w:ascii="Arial" w:eastAsia="Calibri" w:hAnsi="Arial" w:cs="Arial"/>
          <w:sz w:val="22"/>
        </w:rPr>
        <w:t>esta Agencia expidió la Resolución 161 del 17 de junio de 2021</w:t>
      </w:r>
      <w:r w:rsidR="00DD76E7">
        <w:rPr>
          <w:rStyle w:val="Refdenotaalpie"/>
          <w:rFonts w:ascii="Arial" w:eastAsia="Calibri" w:hAnsi="Arial" w:cs="Arial"/>
          <w:sz w:val="22"/>
        </w:rPr>
        <w:footnoteReference w:id="4"/>
      </w:r>
      <w:r w:rsidR="00021BB4">
        <w:rPr>
          <w:rFonts w:ascii="Arial" w:eastAsia="Calibri" w:hAnsi="Arial" w:cs="Arial"/>
          <w:sz w:val="22"/>
        </w:rPr>
        <w:t>. Particularmente, el</w:t>
      </w:r>
      <w:r w:rsidRPr="00DD76E7">
        <w:rPr>
          <w:rFonts w:ascii="Arial" w:eastAsia="Calibri" w:hAnsi="Arial" w:cs="Arial"/>
          <w:sz w:val="22"/>
        </w:rPr>
        <w:t xml:space="preserve"> artículo 27 </w:t>
      </w:r>
      <w:r w:rsidR="00021BB4">
        <w:rPr>
          <w:rFonts w:ascii="Arial" w:eastAsia="Calibri" w:hAnsi="Arial" w:cs="Arial"/>
          <w:sz w:val="22"/>
        </w:rPr>
        <w:t>dispuso que</w:t>
      </w:r>
      <w:r w:rsidRPr="00DD76E7">
        <w:rPr>
          <w:rFonts w:ascii="Arial" w:eastAsia="Calibri" w:hAnsi="Arial" w:cs="Arial"/>
          <w:sz w:val="22"/>
        </w:rPr>
        <w:t>:</w:t>
      </w:r>
      <w:r w:rsidRPr="00DD76E7">
        <w:rPr>
          <w:rFonts w:ascii="Times New Roman" w:eastAsia="Times New Roman" w:hAnsi="Times New Roman" w:cs="Times New Roman"/>
          <w:sz w:val="22"/>
          <w:lang w:val="es-CO" w:eastAsia="es-MX"/>
        </w:rPr>
        <w:t xml:space="preserve"> </w:t>
      </w:r>
    </w:p>
    <w:p w14:paraId="2A98A3A7" w14:textId="77777777" w:rsidR="003A4B1E" w:rsidRPr="003A4B1E" w:rsidRDefault="003A4B1E" w:rsidP="003A4B1E">
      <w:pPr>
        <w:spacing w:line="276" w:lineRule="auto"/>
        <w:ind w:firstLine="567"/>
        <w:jc w:val="both"/>
        <w:rPr>
          <w:rFonts w:ascii="Times New Roman" w:eastAsia="Times New Roman" w:hAnsi="Times New Roman" w:cs="Times New Roman"/>
          <w:sz w:val="22"/>
          <w:lang w:val="es-CO" w:eastAsia="es-MX"/>
        </w:rPr>
      </w:pPr>
    </w:p>
    <w:p w14:paraId="6524F13E" w14:textId="7CFDDD86" w:rsidR="00CD29EC" w:rsidRPr="00DD76E7" w:rsidRDefault="00CD29EC" w:rsidP="00DD76E7">
      <w:pPr>
        <w:spacing w:after="120"/>
        <w:ind w:left="709" w:right="709"/>
        <w:jc w:val="both"/>
        <w:rPr>
          <w:rFonts w:ascii="Arial" w:eastAsia="Calibri" w:hAnsi="Arial" w:cs="Arial"/>
          <w:sz w:val="21"/>
          <w:szCs w:val="21"/>
          <w:lang w:val="es-CO"/>
        </w:rPr>
      </w:pPr>
      <w:proofErr w:type="spellStart"/>
      <w:r w:rsidRPr="00DD76E7">
        <w:rPr>
          <w:rFonts w:ascii="Arial" w:eastAsia="Calibri" w:hAnsi="Arial" w:cs="Arial"/>
          <w:b/>
          <w:bCs/>
          <w:sz w:val="21"/>
          <w:szCs w:val="21"/>
          <w:lang w:val="es-CO"/>
        </w:rPr>
        <w:t>Artículo</w:t>
      </w:r>
      <w:proofErr w:type="spellEnd"/>
      <w:r w:rsidRPr="00DD76E7">
        <w:rPr>
          <w:rFonts w:ascii="Arial" w:eastAsia="Calibri" w:hAnsi="Arial" w:cs="Arial"/>
          <w:b/>
          <w:bCs/>
          <w:sz w:val="21"/>
          <w:szCs w:val="21"/>
          <w:lang w:val="es-CO"/>
        </w:rPr>
        <w:t xml:space="preserve"> 27 -MODIFÍQUESE EL ANEXO 2 -CRONOGRA</w:t>
      </w:r>
      <w:r w:rsidR="00DD76E7">
        <w:rPr>
          <w:rFonts w:ascii="Arial" w:eastAsia="Calibri" w:hAnsi="Arial" w:cs="Arial"/>
          <w:b/>
          <w:bCs/>
          <w:sz w:val="21"/>
          <w:szCs w:val="21"/>
          <w:lang w:val="es-CO"/>
        </w:rPr>
        <w:t>M</w:t>
      </w:r>
      <w:r w:rsidRPr="00DD76E7">
        <w:rPr>
          <w:rFonts w:ascii="Arial" w:eastAsia="Calibri" w:hAnsi="Arial" w:cs="Arial"/>
          <w:b/>
          <w:bCs/>
          <w:sz w:val="21"/>
          <w:szCs w:val="21"/>
          <w:lang w:val="es-CO"/>
        </w:rPr>
        <w:t>A DE LOS DOCU</w:t>
      </w:r>
      <w:r w:rsidR="00DD76E7">
        <w:rPr>
          <w:rFonts w:ascii="Arial" w:eastAsia="Calibri" w:hAnsi="Arial" w:cs="Arial"/>
          <w:b/>
          <w:bCs/>
          <w:sz w:val="21"/>
          <w:szCs w:val="21"/>
          <w:lang w:val="es-CO"/>
        </w:rPr>
        <w:t>M</w:t>
      </w:r>
      <w:r w:rsidRPr="00DD76E7">
        <w:rPr>
          <w:rFonts w:ascii="Arial" w:eastAsia="Calibri" w:hAnsi="Arial" w:cs="Arial"/>
          <w:b/>
          <w:bCs/>
          <w:sz w:val="21"/>
          <w:szCs w:val="21"/>
          <w:lang w:val="es-CO"/>
        </w:rPr>
        <w:t>ENTOS TIPO DE INTERVENTORÍA DE OBRA PÚBLICA DE INFRAESTRUCTURA DE TRANSPORTE:</w:t>
      </w:r>
      <w:r w:rsidRPr="00DD76E7">
        <w:rPr>
          <w:rFonts w:ascii="Arial" w:eastAsia="Calibri" w:hAnsi="Arial" w:cs="Arial"/>
          <w:sz w:val="21"/>
          <w:szCs w:val="21"/>
          <w:lang w:val="es-CO"/>
        </w:rPr>
        <w:t xml:space="preserve"> </w:t>
      </w:r>
      <w:proofErr w:type="spellStart"/>
      <w:r w:rsidRPr="00DD76E7">
        <w:rPr>
          <w:rFonts w:ascii="Arial" w:eastAsia="Calibri" w:hAnsi="Arial" w:cs="Arial"/>
          <w:sz w:val="21"/>
          <w:szCs w:val="21"/>
          <w:lang w:val="es-CO"/>
        </w:rPr>
        <w:t>Modifíquese</w:t>
      </w:r>
      <w:proofErr w:type="spellEnd"/>
      <w:r w:rsidRPr="00DD76E7">
        <w:rPr>
          <w:rFonts w:ascii="Arial" w:eastAsia="Calibri" w:hAnsi="Arial" w:cs="Arial"/>
          <w:sz w:val="21"/>
          <w:szCs w:val="21"/>
          <w:lang w:val="es-CO"/>
        </w:rPr>
        <w:t xml:space="preserve"> el Anexo 2 - Cronograma de los documentos tipo de </w:t>
      </w:r>
      <w:proofErr w:type="spellStart"/>
      <w:r w:rsidRPr="00DD76E7">
        <w:rPr>
          <w:rFonts w:ascii="Arial" w:eastAsia="Calibri" w:hAnsi="Arial" w:cs="Arial"/>
          <w:sz w:val="21"/>
          <w:szCs w:val="21"/>
          <w:lang w:val="es-CO"/>
        </w:rPr>
        <w:t>interventoría</w:t>
      </w:r>
      <w:proofErr w:type="spellEnd"/>
      <w:r w:rsidRPr="00DD76E7">
        <w:rPr>
          <w:rFonts w:ascii="Arial" w:eastAsia="Calibri" w:hAnsi="Arial" w:cs="Arial"/>
          <w:sz w:val="21"/>
          <w:szCs w:val="21"/>
          <w:lang w:val="es-CO"/>
        </w:rPr>
        <w:t xml:space="preserve"> de obra </w:t>
      </w:r>
      <w:proofErr w:type="spellStart"/>
      <w:r w:rsidRPr="00DD76E7">
        <w:rPr>
          <w:rFonts w:ascii="Arial" w:eastAsia="Calibri" w:hAnsi="Arial" w:cs="Arial"/>
          <w:sz w:val="21"/>
          <w:szCs w:val="21"/>
          <w:lang w:val="es-CO"/>
        </w:rPr>
        <w:t>pública</w:t>
      </w:r>
      <w:proofErr w:type="spellEnd"/>
      <w:r w:rsidRPr="00DD76E7">
        <w:rPr>
          <w:rFonts w:ascii="Arial" w:eastAsia="Calibri" w:hAnsi="Arial" w:cs="Arial"/>
          <w:sz w:val="21"/>
          <w:szCs w:val="21"/>
          <w:lang w:val="es-CO"/>
        </w:rPr>
        <w:t xml:space="preserve"> de infraestructura de transporte adelantados bajo la modalidad de concurso de </w:t>
      </w:r>
      <w:proofErr w:type="spellStart"/>
      <w:r w:rsidRPr="00DD76E7">
        <w:rPr>
          <w:rFonts w:ascii="Arial" w:eastAsia="Calibri" w:hAnsi="Arial" w:cs="Arial"/>
          <w:sz w:val="21"/>
          <w:szCs w:val="21"/>
          <w:lang w:val="es-CO"/>
        </w:rPr>
        <w:t>méritos</w:t>
      </w:r>
      <w:proofErr w:type="spellEnd"/>
      <w:r w:rsidRPr="00DD76E7">
        <w:rPr>
          <w:rFonts w:ascii="Arial" w:eastAsia="Calibri" w:hAnsi="Arial" w:cs="Arial"/>
          <w:sz w:val="21"/>
          <w:szCs w:val="21"/>
          <w:lang w:val="es-CO"/>
        </w:rPr>
        <w:t xml:space="preserve">, adoptados mediante la </w:t>
      </w:r>
      <w:proofErr w:type="spellStart"/>
      <w:r w:rsidRPr="00DD76E7">
        <w:rPr>
          <w:rFonts w:ascii="Arial" w:eastAsia="Calibri" w:hAnsi="Arial" w:cs="Arial"/>
          <w:sz w:val="21"/>
          <w:szCs w:val="21"/>
          <w:lang w:val="es-CO"/>
        </w:rPr>
        <w:t>Resolución</w:t>
      </w:r>
      <w:proofErr w:type="spellEnd"/>
      <w:r w:rsidRPr="00DD76E7">
        <w:rPr>
          <w:rFonts w:ascii="Arial" w:eastAsia="Calibri" w:hAnsi="Arial" w:cs="Arial"/>
          <w:sz w:val="21"/>
          <w:szCs w:val="21"/>
          <w:lang w:val="es-CO"/>
        </w:rPr>
        <w:t xml:space="preserve"> 256 del 11 de diciembre de 2020. </w:t>
      </w:r>
    </w:p>
    <w:p w14:paraId="6D1AEB37" w14:textId="43508350" w:rsidR="003A4B1E" w:rsidRDefault="00CD29EC" w:rsidP="003A4B1E">
      <w:pPr>
        <w:ind w:left="709" w:right="709"/>
        <w:jc w:val="both"/>
        <w:rPr>
          <w:rFonts w:ascii="Arial" w:eastAsia="Calibri" w:hAnsi="Arial" w:cs="Arial"/>
          <w:sz w:val="21"/>
          <w:szCs w:val="21"/>
          <w:lang w:val="es-CO"/>
        </w:rPr>
      </w:pPr>
      <w:r w:rsidRPr="00CD29EC">
        <w:rPr>
          <w:rFonts w:ascii="Arial" w:eastAsia="Calibri" w:hAnsi="Arial" w:cs="Arial"/>
          <w:sz w:val="21"/>
          <w:szCs w:val="21"/>
          <w:lang w:val="es-CO"/>
        </w:rPr>
        <w:t xml:space="preserve">EI Anexo 2 - Cronograma para los documentos tipo de </w:t>
      </w:r>
      <w:proofErr w:type="spellStart"/>
      <w:r w:rsidRPr="00CD29EC">
        <w:rPr>
          <w:rFonts w:ascii="Arial" w:eastAsia="Calibri" w:hAnsi="Arial" w:cs="Arial"/>
          <w:sz w:val="21"/>
          <w:szCs w:val="21"/>
          <w:lang w:val="es-CO"/>
        </w:rPr>
        <w:t>interventoría</w:t>
      </w:r>
      <w:proofErr w:type="spellEnd"/>
      <w:r w:rsidRPr="00CD29EC">
        <w:rPr>
          <w:rFonts w:ascii="Arial" w:eastAsia="Calibri" w:hAnsi="Arial" w:cs="Arial"/>
          <w:sz w:val="21"/>
          <w:szCs w:val="21"/>
          <w:lang w:val="es-CO"/>
        </w:rPr>
        <w:t xml:space="preserve"> de obra </w:t>
      </w:r>
      <w:proofErr w:type="spellStart"/>
      <w:r w:rsidRPr="00CD29EC">
        <w:rPr>
          <w:rFonts w:ascii="Arial" w:eastAsia="Calibri" w:hAnsi="Arial" w:cs="Arial"/>
          <w:sz w:val="21"/>
          <w:szCs w:val="21"/>
          <w:lang w:val="es-CO"/>
        </w:rPr>
        <w:t>pública</w:t>
      </w:r>
      <w:proofErr w:type="spellEnd"/>
      <w:r w:rsidRPr="00CD29EC">
        <w:rPr>
          <w:rFonts w:ascii="Arial" w:eastAsia="Calibri" w:hAnsi="Arial" w:cs="Arial"/>
          <w:sz w:val="21"/>
          <w:szCs w:val="21"/>
          <w:lang w:val="es-CO"/>
        </w:rPr>
        <w:t xml:space="preserve"> de infraestructura de transporte, se adjunta como anexo 24. </w:t>
      </w:r>
    </w:p>
    <w:p w14:paraId="02CA7433" w14:textId="77777777" w:rsidR="003A4B1E" w:rsidRPr="00BD5DA4" w:rsidRDefault="003A4B1E" w:rsidP="00BD5DA4">
      <w:pPr>
        <w:spacing w:line="276" w:lineRule="auto"/>
        <w:ind w:left="709" w:right="709"/>
        <w:jc w:val="both"/>
        <w:rPr>
          <w:rFonts w:ascii="Arial" w:eastAsia="Calibri" w:hAnsi="Arial" w:cs="Arial"/>
          <w:sz w:val="22"/>
          <w:lang w:val="es-CO"/>
        </w:rPr>
      </w:pPr>
    </w:p>
    <w:p w14:paraId="15E186F7" w14:textId="2A088960" w:rsidR="003A4B1E" w:rsidRDefault="00DD76E7" w:rsidP="003A4B1E">
      <w:pPr>
        <w:spacing w:after="120" w:line="276" w:lineRule="auto"/>
        <w:ind w:firstLine="709"/>
        <w:jc w:val="both"/>
        <w:rPr>
          <w:rFonts w:ascii="Arial" w:hAnsi="Arial" w:cs="Arial"/>
          <w:color w:val="000000" w:themeColor="text1"/>
          <w:sz w:val="21"/>
          <w:szCs w:val="21"/>
          <w:lang w:val="es-ES_tradnl"/>
        </w:rPr>
      </w:pPr>
      <w:r w:rsidRPr="00DD76E7">
        <w:rPr>
          <w:rFonts w:ascii="Arial" w:eastAsia="Calibri" w:hAnsi="Arial" w:cs="Arial"/>
          <w:sz w:val="22"/>
          <w:lang w:val="es-CO"/>
        </w:rPr>
        <w:t xml:space="preserve">De esta manera, la Resolución 161 de 2021 </w:t>
      </w:r>
      <w:r>
        <w:rPr>
          <w:rFonts w:ascii="Arial" w:eastAsia="Calibri" w:hAnsi="Arial" w:cs="Arial"/>
          <w:sz w:val="22"/>
          <w:lang w:val="es-CO"/>
        </w:rPr>
        <w:t xml:space="preserve">introduce una nueva versión del </w:t>
      </w:r>
      <w:r w:rsidR="00021BB4">
        <w:rPr>
          <w:rFonts w:ascii="Arial" w:eastAsia="Calibri" w:hAnsi="Arial" w:cs="Arial"/>
          <w:sz w:val="22"/>
          <w:lang w:val="es-CO"/>
        </w:rPr>
        <w:t>«</w:t>
      </w:r>
      <w:r>
        <w:rPr>
          <w:rFonts w:ascii="Arial" w:eastAsia="Calibri" w:hAnsi="Arial" w:cs="Arial"/>
          <w:sz w:val="22"/>
          <w:lang w:val="es-CO"/>
        </w:rPr>
        <w:t>Anexo 2 – Cronograma</w:t>
      </w:r>
      <w:r w:rsidR="00021BB4">
        <w:rPr>
          <w:rFonts w:ascii="Arial" w:eastAsia="Calibri" w:hAnsi="Arial" w:cs="Arial"/>
          <w:sz w:val="22"/>
          <w:lang w:val="es-CO"/>
        </w:rPr>
        <w:t>»</w:t>
      </w:r>
      <w:r>
        <w:rPr>
          <w:rFonts w:ascii="Arial" w:eastAsia="Calibri" w:hAnsi="Arial" w:cs="Arial"/>
          <w:sz w:val="22"/>
          <w:lang w:val="es-CO"/>
        </w:rPr>
        <w:t xml:space="preserve"> de los documentos tipo de interventoría de obra pública de infraestructura de transporte, </w:t>
      </w:r>
      <w:r w:rsidR="009F6E1F">
        <w:rPr>
          <w:rFonts w:ascii="Arial" w:eastAsia="Calibri" w:hAnsi="Arial" w:cs="Arial"/>
          <w:sz w:val="22"/>
          <w:lang w:val="es-CO"/>
        </w:rPr>
        <w:t>eliminando la inconsistencia identificada por el peticionario</w:t>
      </w:r>
      <w:r w:rsidR="00021BB4">
        <w:rPr>
          <w:rFonts w:ascii="Arial" w:eastAsia="Calibri" w:hAnsi="Arial" w:cs="Arial"/>
          <w:sz w:val="22"/>
          <w:lang w:val="es-CO"/>
        </w:rPr>
        <w:t>.</w:t>
      </w:r>
      <w:r w:rsidR="009F6E1F">
        <w:rPr>
          <w:rFonts w:ascii="Arial" w:eastAsia="Calibri" w:hAnsi="Arial" w:cs="Arial"/>
          <w:sz w:val="22"/>
          <w:lang w:val="es-CO"/>
        </w:rPr>
        <w:t xml:space="preserve"> </w:t>
      </w:r>
      <w:r w:rsidR="00021BB4">
        <w:rPr>
          <w:rFonts w:ascii="Arial" w:eastAsia="Calibri" w:hAnsi="Arial" w:cs="Arial"/>
          <w:sz w:val="22"/>
          <w:lang w:val="es-CO"/>
        </w:rPr>
        <w:t>D</w:t>
      </w:r>
      <w:r w:rsidR="009F6E1F">
        <w:rPr>
          <w:rFonts w:ascii="Arial" w:eastAsia="Calibri" w:hAnsi="Arial" w:cs="Arial"/>
          <w:sz w:val="22"/>
          <w:lang w:val="es-CO"/>
        </w:rPr>
        <w:t>e esta manera</w:t>
      </w:r>
      <w:r w:rsidR="00A1593B">
        <w:rPr>
          <w:rFonts w:ascii="Arial" w:eastAsia="Calibri" w:hAnsi="Arial" w:cs="Arial"/>
          <w:sz w:val="22"/>
          <w:lang w:val="es-CO"/>
        </w:rPr>
        <w:t>,</w:t>
      </w:r>
      <w:r w:rsidR="009F6E1F">
        <w:rPr>
          <w:rFonts w:ascii="Arial" w:eastAsia="Calibri" w:hAnsi="Arial" w:cs="Arial"/>
          <w:sz w:val="22"/>
          <w:lang w:val="es-CO"/>
        </w:rPr>
        <w:t xml:space="preserve"> las reglas aplicables para determinar la TRM</w:t>
      </w:r>
      <w:r w:rsidR="009F6E1F">
        <w:rPr>
          <w:rFonts w:ascii="Arial" w:hAnsi="Arial" w:cs="Arial"/>
          <w:color w:val="000000" w:themeColor="text1"/>
          <w:sz w:val="21"/>
          <w:szCs w:val="21"/>
          <w:lang w:val="es-ES_tradnl"/>
        </w:rPr>
        <w:t xml:space="preserve"> son las consagradas en el numeral </w:t>
      </w:r>
      <w:r w:rsidR="009F6E1F" w:rsidRPr="009F6E1F">
        <w:rPr>
          <w:rFonts w:ascii="Arial" w:hAnsi="Arial" w:cs="Arial"/>
          <w:color w:val="000000" w:themeColor="text1"/>
          <w:sz w:val="21"/>
          <w:szCs w:val="21"/>
          <w:lang w:val="es-ES_tradnl"/>
        </w:rPr>
        <w:t>4.1. FORMAS DE VERIFICACIÓN Y ASIGNACIÓN DE PUNTAJE POR LA EXPERIENCIA DEL PROPONENTE</w:t>
      </w:r>
      <w:r w:rsidR="009F6E1F">
        <w:rPr>
          <w:rFonts w:ascii="Arial" w:hAnsi="Arial" w:cs="Arial"/>
          <w:color w:val="000000" w:themeColor="text1"/>
          <w:sz w:val="21"/>
          <w:szCs w:val="21"/>
          <w:lang w:val="es-ES_tradnl"/>
        </w:rPr>
        <w:t xml:space="preserve"> del documento base de interventoría, es decir, la TRM que </w:t>
      </w:r>
      <w:r w:rsidR="009F6E1F" w:rsidRPr="009F6E1F">
        <w:rPr>
          <w:rFonts w:ascii="Arial" w:hAnsi="Arial" w:cs="Arial"/>
          <w:color w:val="000000" w:themeColor="text1"/>
          <w:sz w:val="21"/>
          <w:szCs w:val="21"/>
        </w:rPr>
        <w:t>rija el segundo día hábil después del cierre del proceso</w:t>
      </w:r>
      <w:r w:rsidR="009F6E1F">
        <w:rPr>
          <w:rFonts w:ascii="Arial" w:hAnsi="Arial" w:cs="Arial"/>
          <w:color w:val="000000" w:themeColor="text1"/>
          <w:sz w:val="21"/>
          <w:szCs w:val="21"/>
          <w:lang w:val="es-ES_tradnl"/>
        </w:rPr>
        <w:t xml:space="preserve">. </w:t>
      </w:r>
    </w:p>
    <w:p w14:paraId="3974C27D" w14:textId="2F91FFC3" w:rsidR="003A4B1E" w:rsidRDefault="003A4B1E" w:rsidP="00BD5DA4">
      <w:pPr>
        <w:spacing w:line="276" w:lineRule="auto"/>
        <w:ind w:firstLine="709"/>
        <w:jc w:val="both"/>
        <w:rPr>
          <w:rFonts w:ascii="Arial" w:hAnsi="Arial" w:cs="Arial"/>
          <w:color w:val="49A4EF" w:themeColor="text2" w:themeTint="99"/>
          <w:sz w:val="21"/>
          <w:szCs w:val="21"/>
          <w:lang w:val="es-ES_tradnl"/>
        </w:rPr>
      </w:pPr>
      <w:r w:rsidRPr="003A4B1E">
        <w:rPr>
          <w:rFonts w:ascii="Arial" w:hAnsi="Arial" w:cs="Arial"/>
          <w:color w:val="000000" w:themeColor="text1"/>
          <w:sz w:val="21"/>
          <w:szCs w:val="21"/>
          <w:lang w:val="es-ES_tradnl"/>
        </w:rPr>
        <w:t>Para su conocimiento</w:t>
      </w:r>
      <w:r>
        <w:rPr>
          <w:rFonts w:ascii="Arial" w:hAnsi="Arial" w:cs="Arial"/>
          <w:color w:val="000000" w:themeColor="text1"/>
          <w:sz w:val="21"/>
          <w:szCs w:val="21"/>
          <w:lang w:val="es-ES_tradnl"/>
        </w:rPr>
        <w:t>, remitimos copia de la Resolución 161 de 2021</w:t>
      </w:r>
      <w:r w:rsidRPr="003A4B1E">
        <w:t xml:space="preserve"> </w:t>
      </w:r>
      <w:r w:rsidRPr="003A4B1E">
        <w:rPr>
          <w:rFonts w:ascii="Arial" w:hAnsi="Arial" w:cs="Arial"/>
          <w:color w:val="000000" w:themeColor="text1"/>
          <w:sz w:val="21"/>
          <w:szCs w:val="21"/>
          <w:lang w:val="es-ES_tradnl"/>
        </w:rPr>
        <w:t xml:space="preserve">y </w:t>
      </w:r>
      <w:r w:rsidR="00E94551">
        <w:rPr>
          <w:rFonts w:ascii="Arial" w:hAnsi="Arial" w:cs="Arial"/>
          <w:color w:val="000000" w:themeColor="text1"/>
          <w:sz w:val="21"/>
          <w:szCs w:val="21"/>
          <w:lang w:val="es-ES_tradnl"/>
        </w:rPr>
        <w:t>d</w:t>
      </w:r>
      <w:r>
        <w:rPr>
          <w:rFonts w:ascii="Arial" w:hAnsi="Arial" w:cs="Arial"/>
          <w:color w:val="000000" w:themeColor="text1"/>
          <w:sz w:val="21"/>
          <w:szCs w:val="21"/>
          <w:lang w:val="es-ES_tradnl"/>
        </w:rPr>
        <w:t xml:space="preserve">el anexo 24 </w:t>
      </w:r>
      <w:proofErr w:type="gramStart"/>
      <w:r>
        <w:rPr>
          <w:rFonts w:ascii="Arial" w:hAnsi="Arial" w:cs="Arial"/>
          <w:color w:val="000000" w:themeColor="text1"/>
          <w:sz w:val="21"/>
          <w:szCs w:val="21"/>
          <w:lang w:val="es-ES_tradnl"/>
        </w:rPr>
        <w:t xml:space="preserve">de </w:t>
      </w:r>
      <w:r w:rsidR="00E94551">
        <w:rPr>
          <w:rFonts w:ascii="Arial" w:hAnsi="Arial" w:cs="Arial"/>
          <w:color w:val="000000" w:themeColor="text1"/>
          <w:sz w:val="21"/>
          <w:szCs w:val="21"/>
          <w:lang w:val="es-ES_tradnl"/>
        </w:rPr>
        <w:t xml:space="preserve"> este</w:t>
      </w:r>
      <w:proofErr w:type="gramEnd"/>
      <w:r w:rsidR="00E94551">
        <w:rPr>
          <w:rFonts w:ascii="Arial" w:hAnsi="Arial" w:cs="Arial"/>
          <w:color w:val="000000" w:themeColor="text1"/>
          <w:sz w:val="21"/>
          <w:szCs w:val="21"/>
          <w:lang w:val="es-ES_tradnl"/>
        </w:rPr>
        <w:t xml:space="preserve"> acto administrativo</w:t>
      </w:r>
      <w:r w:rsidRPr="003A4B1E">
        <w:rPr>
          <w:rFonts w:ascii="Arial" w:hAnsi="Arial" w:cs="Arial"/>
          <w:color w:val="000000" w:themeColor="text1"/>
          <w:sz w:val="21"/>
          <w:szCs w:val="21"/>
          <w:lang w:val="es-ES_tradnl"/>
        </w:rPr>
        <w:t>. Estos documentos pueden consulta</w:t>
      </w:r>
      <w:r w:rsidR="00E94551">
        <w:rPr>
          <w:rFonts w:ascii="Arial" w:hAnsi="Arial" w:cs="Arial"/>
          <w:color w:val="000000" w:themeColor="text1"/>
          <w:sz w:val="21"/>
          <w:szCs w:val="21"/>
          <w:lang w:val="es-ES_tradnl"/>
        </w:rPr>
        <w:t>r</w:t>
      </w:r>
      <w:r w:rsidRPr="003A4B1E">
        <w:rPr>
          <w:rFonts w:ascii="Arial" w:hAnsi="Arial" w:cs="Arial"/>
          <w:color w:val="000000" w:themeColor="text1"/>
          <w:sz w:val="21"/>
          <w:szCs w:val="21"/>
          <w:lang w:val="es-ES_tradnl"/>
        </w:rPr>
        <w:t>s</w:t>
      </w:r>
      <w:r w:rsidR="00E94551">
        <w:rPr>
          <w:rFonts w:ascii="Arial" w:hAnsi="Arial" w:cs="Arial"/>
          <w:color w:val="000000" w:themeColor="text1"/>
          <w:sz w:val="21"/>
          <w:szCs w:val="21"/>
          <w:lang w:val="es-ES_tradnl"/>
        </w:rPr>
        <w:t>e</w:t>
      </w:r>
      <w:r w:rsidRPr="003A4B1E">
        <w:rPr>
          <w:rFonts w:ascii="Arial" w:hAnsi="Arial" w:cs="Arial"/>
          <w:color w:val="000000" w:themeColor="text1"/>
          <w:sz w:val="21"/>
          <w:szCs w:val="21"/>
          <w:lang w:val="es-ES_tradnl"/>
        </w:rPr>
        <w:t xml:space="preserve"> en la página web de Colombia Compra Eficiente, disponible</w:t>
      </w:r>
      <w:r w:rsidR="00E94551">
        <w:rPr>
          <w:rFonts w:ascii="Arial" w:hAnsi="Arial" w:cs="Arial"/>
          <w:color w:val="000000" w:themeColor="text1"/>
          <w:sz w:val="21"/>
          <w:szCs w:val="21"/>
          <w:lang w:val="es-ES_tradnl"/>
        </w:rPr>
        <w:t>s</w:t>
      </w:r>
      <w:r w:rsidRPr="003A4B1E">
        <w:rPr>
          <w:rFonts w:ascii="Arial" w:hAnsi="Arial" w:cs="Arial"/>
          <w:color w:val="000000" w:themeColor="text1"/>
          <w:sz w:val="21"/>
          <w:szCs w:val="21"/>
          <w:lang w:val="es-ES_tradnl"/>
        </w:rPr>
        <w:t xml:space="preserve"> en el siguiente enlace: </w:t>
      </w:r>
      <w:hyperlink r:id="rId13" w:history="1">
        <w:r w:rsidRPr="003A4B1E">
          <w:rPr>
            <w:rStyle w:val="Hipervnculo"/>
            <w:rFonts w:ascii="Arial" w:hAnsi="Arial" w:cs="Arial"/>
            <w:color w:val="0E63A8" w:themeColor="text2"/>
            <w:sz w:val="21"/>
            <w:szCs w:val="21"/>
            <w:lang w:val="es-ES_tradnl"/>
          </w:rPr>
          <w:t>https://www.colombiacompra.gov.co/documentos-tipo/documentos-tipo</w:t>
        </w:r>
      </w:hyperlink>
      <w:r w:rsidR="00021BB4" w:rsidRPr="00BD5DA4">
        <w:rPr>
          <w:rStyle w:val="Hipervnculo"/>
          <w:rFonts w:ascii="Arial" w:hAnsi="Arial" w:cs="Arial"/>
          <w:color w:val="auto"/>
          <w:sz w:val="21"/>
          <w:szCs w:val="21"/>
          <w:u w:val="none"/>
          <w:lang w:val="es-ES_tradnl"/>
        </w:rPr>
        <w:t>.</w:t>
      </w:r>
    </w:p>
    <w:p w14:paraId="1A92DAF3" w14:textId="77777777" w:rsidR="007504FC" w:rsidRPr="003A4B1E" w:rsidRDefault="007504FC" w:rsidP="00BD5DA4">
      <w:pPr>
        <w:spacing w:line="276" w:lineRule="auto"/>
        <w:ind w:firstLine="709"/>
        <w:jc w:val="both"/>
        <w:rPr>
          <w:rFonts w:ascii="Arial" w:hAnsi="Arial" w:cs="Arial"/>
          <w:color w:val="49A4EF" w:themeColor="text2" w:themeTint="99"/>
          <w:sz w:val="21"/>
          <w:szCs w:val="21"/>
          <w:lang w:val="es-ES_tradnl"/>
        </w:rPr>
      </w:pPr>
    </w:p>
    <w:p w14:paraId="5D99A3C6" w14:textId="547F8287" w:rsidR="005A79FE" w:rsidRPr="00BF2545" w:rsidRDefault="005A79FE" w:rsidP="00D166ED">
      <w:pPr>
        <w:pStyle w:val="Prrafodelista"/>
        <w:numPr>
          <w:ilvl w:val="0"/>
          <w:numId w:val="6"/>
        </w:numPr>
        <w:tabs>
          <w:tab w:val="left" w:pos="284"/>
        </w:tabs>
        <w:spacing w:line="276" w:lineRule="auto"/>
        <w:ind w:left="284" w:hanging="284"/>
        <w:jc w:val="both"/>
        <w:rPr>
          <w:rFonts w:ascii="Arial" w:eastAsia="Calibri" w:hAnsi="Arial" w:cs="Arial"/>
          <w:sz w:val="22"/>
        </w:rPr>
      </w:pPr>
      <w:r w:rsidRPr="00BF2545">
        <w:rPr>
          <w:rFonts w:ascii="Arial" w:eastAsia="Calibri" w:hAnsi="Arial" w:cs="Arial"/>
          <w:b/>
          <w:sz w:val="22"/>
        </w:rPr>
        <w:t>Respuesta</w:t>
      </w:r>
      <w:r w:rsidR="003A4B1E">
        <w:rPr>
          <w:rFonts w:ascii="Arial" w:eastAsia="Calibri" w:hAnsi="Arial" w:cs="Arial"/>
          <w:b/>
          <w:sz w:val="22"/>
        </w:rPr>
        <w:t>s</w:t>
      </w:r>
    </w:p>
    <w:p w14:paraId="6A2CCB9A" w14:textId="77777777" w:rsidR="005A79FE" w:rsidRPr="005B6B25" w:rsidRDefault="005A79FE" w:rsidP="00260104">
      <w:pPr>
        <w:spacing w:line="276" w:lineRule="auto"/>
        <w:ind w:left="709" w:right="709"/>
        <w:jc w:val="both"/>
        <w:rPr>
          <w:rFonts w:ascii="Arial" w:eastAsia="Calibri" w:hAnsi="Arial" w:cs="Arial"/>
          <w:i/>
          <w:sz w:val="21"/>
          <w:szCs w:val="21"/>
        </w:rPr>
      </w:pPr>
    </w:p>
    <w:p w14:paraId="6D73B221" w14:textId="342FC42A" w:rsidR="005B6B25" w:rsidRPr="005B6B25" w:rsidRDefault="00E94551" w:rsidP="005B6B25">
      <w:pPr>
        <w:ind w:left="709" w:right="709"/>
        <w:jc w:val="both"/>
        <w:rPr>
          <w:rFonts w:ascii="Arial" w:eastAsia="Calibri" w:hAnsi="Arial" w:cs="Arial"/>
          <w:sz w:val="21"/>
          <w:szCs w:val="21"/>
        </w:rPr>
      </w:pPr>
      <w:r>
        <w:rPr>
          <w:rFonts w:ascii="Arial" w:eastAsia="Calibri" w:hAnsi="Arial" w:cs="Arial"/>
          <w:sz w:val="21"/>
          <w:szCs w:val="21"/>
        </w:rPr>
        <w:t xml:space="preserve">i) </w:t>
      </w:r>
      <w:r w:rsidR="00C37CD6" w:rsidRPr="005B6B25">
        <w:rPr>
          <w:rFonts w:ascii="Arial" w:eastAsia="Calibri" w:hAnsi="Arial" w:cs="Arial"/>
          <w:sz w:val="21"/>
          <w:szCs w:val="21"/>
        </w:rPr>
        <w:t>«</w:t>
      </w:r>
      <w:r w:rsidR="005B6B25" w:rsidRPr="005B6B25">
        <w:rPr>
          <w:rFonts w:ascii="Arial" w:eastAsia="Calibri" w:hAnsi="Arial" w:cs="Arial"/>
          <w:sz w:val="21"/>
          <w:szCs w:val="21"/>
        </w:rPr>
        <w:t>¿</w:t>
      </w:r>
      <w:r w:rsidR="003A4B1E" w:rsidRPr="003A4B1E">
        <w:rPr>
          <w:rFonts w:ascii="Arial" w:eastAsia="Calibri" w:hAnsi="Arial" w:cs="Arial"/>
          <w:sz w:val="21"/>
          <w:szCs w:val="21"/>
        </w:rPr>
        <w:t>Con cuál de las 2 TRM se debe realizar la asignación de puntaje en el componente de experiencia, con la indicada en el anexo 2 “Cronograma” o con la indicada en el documento base pliego tipo de interventoría V3 (sic)?</w:t>
      </w:r>
      <w:r w:rsidR="003A4B1E">
        <w:rPr>
          <w:rFonts w:ascii="Arial" w:eastAsia="Calibri" w:hAnsi="Arial" w:cs="Arial"/>
          <w:sz w:val="21"/>
          <w:szCs w:val="21"/>
        </w:rPr>
        <w:t>»</w:t>
      </w:r>
      <w:r>
        <w:rPr>
          <w:rFonts w:ascii="Arial" w:eastAsia="Calibri" w:hAnsi="Arial" w:cs="Arial"/>
          <w:sz w:val="21"/>
          <w:szCs w:val="21"/>
        </w:rPr>
        <w:t>.</w:t>
      </w:r>
    </w:p>
    <w:p w14:paraId="4BCE019C" w14:textId="77777777" w:rsidR="003A4B1E" w:rsidRDefault="003A4B1E" w:rsidP="003A4B1E">
      <w:pPr>
        <w:spacing w:line="276" w:lineRule="auto"/>
        <w:jc w:val="both"/>
        <w:rPr>
          <w:rFonts w:ascii="Arial" w:hAnsi="Arial" w:cs="Arial"/>
          <w:color w:val="000000" w:themeColor="text1"/>
          <w:sz w:val="22"/>
          <w:lang w:val="es-ES_tradnl"/>
        </w:rPr>
      </w:pPr>
    </w:p>
    <w:p w14:paraId="5C77F546" w14:textId="3E2C9DC4" w:rsidR="003A4B1E" w:rsidRDefault="003A4B1E" w:rsidP="003A4B1E">
      <w:pPr>
        <w:spacing w:line="276" w:lineRule="auto"/>
        <w:jc w:val="both"/>
        <w:rPr>
          <w:rFonts w:ascii="Arial" w:hAnsi="Arial" w:cs="Arial"/>
          <w:color w:val="000000" w:themeColor="text1"/>
          <w:sz w:val="22"/>
          <w:lang w:val="es-ES_tradnl"/>
        </w:rPr>
      </w:pPr>
      <w:r w:rsidRPr="009F5A2A">
        <w:rPr>
          <w:rFonts w:ascii="Arial" w:hAnsi="Arial" w:cs="Arial"/>
          <w:color w:val="000000" w:themeColor="text1"/>
          <w:sz w:val="22"/>
          <w:lang w:val="es-ES_tradnl"/>
        </w:rPr>
        <w:t>De conformidad con las consideraciones anteriores y lo establecido en los documentos tipo, «</w:t>
      </w:r>
      <w:r>
        <w:rPr>
          <w:rFonts w:ascii="Arial" w:hAnsi="Arial" w:cs="Arial"/>
          <w:color w:val="000000" w:themeColor="text1"/>
          <w:sz w:val="22"/>
          <w:lang w:val="es-ES_tradnl"/>
        </w:rPr>
        <w:t>l</w:t>
      </w:r>
      <w:r w:rsidRPr="001345AE">
        <w:rPr>
          <w:rFonts w:ascii="Arial" w:hAnsi="Arial" w:cs="Arial"/>
          <w:color w:val="000000" w:themeColor="text1"/>
          <w:sz w:val="22"/>
          <w:lang w:val="es-ES_tradnl"/>
        </w:rPr>
        <w:t>a TRM que la entidad utilizará para determinar el método de ponderación será la que rija el segundo día hábil después del cierre del proceso</w:t>
      </w:r>
      <w:r w:rsidRPr="009F5A2A">
        <w:rPr>
          <w:rFonts w:ascii="Arial" w:hAnsi="Arial" w:cs="Arial"/>
          <w:color w:val="000000" w:themeColor="text1"/>
          <w:sz w:val="22"/>
          <w:lang w:val="es-ES_tradnl"/>
        </w:rPr>
        <w:t>»</w:t>
      </w:r>
      <w:r>
        <w:rPr>
          <w:rFonts w:ascii="Arial" w:hAnsi="Arial" w:cs="Arial"/>
          <w:color w:val="000000" w:themeColor="text1"/>
          <w:sz w:val="22"/>
          <w:lang w:val="es-ES_tradnl"/>
        </w:rPr>
        <w:t>.</w:t>
      </w:r>
    </w:p>
    <w:p w14:paraId="50AD46C3" w14:textId="77777777" w:rsidR="003A4B1E" w:rsidRDefault="003A4B1E" w:rsidP="003A4B1E">
      <w:pPr>
        <w:spacing w:line="276" w:lineRule="auto"/>
        <w:jc w:val="both"/>
        <w:rPr>
          <w:rFonts w:ascii="Arial" w:hAnsi="Arial" w:cs="Arial"/>
          <w:color w:val="000000" w:themeColor="text1"/>
          <w:sz w:val="22"/>
          <w:lang w:val="es-ES_tradnl"/>
        </w:rPr>
      </w:pPr>
    </w:p>
    <w:p w14:paraId="3404FB62" w14:textId="454FDD33" w:rsidR="003A4B1E" w:rsidRDefault="00E94551" w:rsidP="003A4B1E">
      <w:pPr>
        <w:ind w:left="709" w:right="709"/>
        <w:jc w:val="both"/>
        <w:rPr>
          <w:rFonts w:ascii="Arial" w:hAnsi="Arial" w:cs="Arial"/>
          <w:sz w:val="21"/>
          <w:szCs w:val="21"/>
        </w:rPr>
      </w:pPr>
      <w:proofErr w:type="spellStart"/>
      <w:r>
        <w:rPr>
          <w:rFonts w:ascii="Arial" w:hAnsi="Arial" w:cs="Arial"/>
          <w:sz w:val="21"/>
          <w:szCs w:val="21"/>
        </w:rPr>
        <w:lastRenderedPageBreak/>
        <w:t>ii</w:t>
      </w:r>
      <w:proofErr w:type="spellEnd"/>
      <w:r>
        <w:rPr>
          <w:rFonts w:ascii="Arial" w:hAnsi="Arial" w:cs="Arial"/>
          <w:sz w:val="21"/>
          <w:szCs w:val="21"/>
        </w:rPr>
        <w:t xml:space="preserve">) </w:t>
      </w:r>
      <w:r w:rsidR="003A4B1E">
        <w:rPr>
          <w:rFonts w:ascii="Arial" w:hAnsi="Arial" w:cs="Arial"/>
          <w:sz w:val="21"/>
          <w:szCs w:val="21"/>
        </w:rPr>
        <w:t>«</w:t>
      </w:r>
      <w:r w:rsidR="003A4B1E" w:rsidRPr="00CB4BA0">
        <w:rPr>
          <w:rFonts w:ascii="Arial" w:hAnsi="Arial" w:cs="Arial"/>
          <w:sz w:val="21"/>
          <w:szCs w:val="21"/>
        </w:rPr>
        <w:t>¿Expedirán un nuevo documento base corregido o un nuevo formato anexo 2 corregido una vez resuelta la dicotomía evidenciada o en su defecto, la respuesta a este interrogante tendrá carácter vinculante obligatorio en los procesos de contratación de esta modalidad a partir de su expedición?»</w:t>
      </w:r>
      <w:r>
        <w:rPr>
          <w:rFonts w:ascii="Arial" w:hAnsi="Arial" w:cs="Arial"/>
          <w:sz w:val="21"/>
          <w:szCs w:val="21"/>
        </w:rPr>
        <w:t>.</w:t>
      </w:r>
    </w:p>
    <w:p w14:paraId="3A9F5222" w14:textId="77777777" w:rsidR="007504FC" w:rsidRDefault="007504FC" w:rsidP="007504FC">
      <w:pPr>
        <w:spacing w:after="120" w:line="276" w:lineRule="auto"/>
        <w:ind w:firstLine="709"/>
        <w:jc w:val="both"/>
        <w:rPr>
          <w:rFonts w:ascii="Arial" w:eastAsia="Calibri" w:hAnsi="Arial" w:cs="Arial"/>
          <w:sz w:val="22"/>
          <w:lang w:val="es-CO"/>
        </w:rPr>
      </w:pPr>
    </w:p>
    <w:p w14:paraId="07B739D2" w14:textId="003D525B" w:rsidR="004523B8" w:rsidRDefault="00E94551" w:rsidP="00BD5DA4">
      <w:pPr>
        <w:spacing w:line="276" w:lineRule="auto"/>
        <w:jc w:val="both"/>
        <w:rPr>
          <w:rFonts w:ascii="Arial" w:hAnsi="Arial" w:cs="Arial"/>
          <w:color w:val="000000" w:themeColor="text1"/>
          <w:sz w:val="21"/>
          <w:szCs w:val="21"/>
          <w:lang w:val="es-ES_tradnl"/>
        </w:rPr>
      </w:pPr>
      <w:r>
        <w:rPr>
          <w:rFonts w:ascii="Arial" w:eastAsia="Calibri" w:hAnsi="Arial" w:cs="Arial"/>
          <w:sz w:val="22"/>
          <w:lang w:val="es-CO"/>
        </w:rPr>
        <w:t>L</w:t>
      </w:r>
      <w:r w:rsidRPr="00E94551">
        <w:rPr>
          <w:rFonts w:ascii="Arial" w:eastAsia="Calibri" w:hAnsi="Arial" w:cs="Arial"/>
          <w:sz w:val="22"/>
          <w:lang w:val="es-CO"/>
        </w:rPr>
        <w:t>a Resolución 161 de 2021 introduce una nueva versión del «Anexo 2 – Cronograma» de los documentos tipo de interventoría de obra pública de infraestructura de transporte, eliminando la inconsistencia identificada por el peticionario. De esta manera</w:t>
      </w:r>
      <w:r w:rsidR="00A1593B">
        <w:rPr>
          <w:rFonts w:ascii="Arial" w:eastAsia="Calibri" w:hAnsi="Arial" w:cs="Arial"/>
          <w:sz w:val="22"/>
          <w:lang w:val="es-CO"/>
        </w:rPr>
        <w:t>,</w:t>
      </w:r>
      <w:r w:rsidRPr="00E94551">
        <w:rPr>
          <w:rFonts w:ascii="Arial" w:eastAsia="Calibri" w:hAnsi="Arial" w:cs="Arial"/>
          <w:sz w:val="22"/>
          <w:lang w:val="es-CO"/>
        </w:rPr>
        <w:t xml:space="preserve"> las reglas aplicables para determinar la TRM</w:t>
      </w:r>
      <w:r w:rsidRPr="00E94551">
        <w:rPr>
          <w:rFonts w:ascii="Arial" w:eastAsia="Calibri" w:hAnsi="Arial" w:cs="Arial"/>
          <w:sz w:val="22"/>
          <w:lang w:val="es-ES_tradnl"/>
        </w:rPr>
        <w:t xml:space="preserve"> son las consagradas en el numeral 4.1. FORMAS DE VERIFICACIÓN Y ASIGNACIÓN DE PUNTAJE POR LA EXPERIENCIA DEL PROPONENTE del documento base de interventoría, es decir, la TRM que </w:t>
      </w:r>
      <w:r w:rsidRPr="00E94551">
        <w:rPr>
          <w:rFonts w:ascii="Arial" w:eastAsia="Calibri" w:hAnsi="Arial" w:cs="Arial"/>
          <w:sz w:val="22"/>
        </w:rPr>
        <w:t>rija el segundo día hábil después del cierre del proceso</w:t>
      </w:r>
      <w:r w:rsidR="007504FC">
        <w:rPr>
          <w:rFonts w:ascii="Arial" w:hAnsi="Arial" w:cs="Arial"/>
          <w:color w:val="000000" w:themeColor="text1"/>
          <w:sz w:val="21"/>
          <w:szCs w:val="21"/>
          <w:lang w:val="es-ES_tradnl"/>
        </w:rPr>
        <w:t xml:space="preserve">. </w:t>
      </w:r>
    </w:p>
    <w:p w14:paraId="272B41CA" w14:textId="77777777" w:rsidR="00E94551" w:rsidRPr="007504FC" w:rsidRDefault="00E94551">
      <w:pPr>
        <w:spacing w:after="120" w:line="276" w:lineRule="auto"/>
        <w:ind w:firstLine="709"/>
        <w:jc w:val="both"/>
        <w:rPr>
          <w:rFonts w:ascii="Arial" w:hAnsi="Arial" w:cs="Arial"/>
          <w:color w:val="000000" w:themeColor="text1"/>
          <w:sz w:val="21"/>
          <w:szCs w:val="21"/>
          <w:lang w:val="es-ES_tradnl"/>
        </w:rPr>
      </w:pPr>
    </w:p>
    <w:p w14:paraId="5F429EFF" w14:textId="77777777" w:rsidR="005A79FE" w:rsidRPr="00BF2545" w:rsidRDefault="005A79FE" w:rsidP="00BF4E81">
      <w:pPr>
        <w:spacing w:before="120" w:after="120" w:line="276" w:lineRule="auto"/>
        <w:jc w:val="both"/>
        <w:rPr>
          <w:rFonts w:ascii="Arial" w:eastAsia="Calibri" w:hAnsi="Arial" w:cs="Arial"/>
          <w:sz w:val="22"/>
        </w:rPr>
      </w:pPr>
      <w:r w:rsidRPr="00BF2545">
        <w:rPr>
          <w:rFonts w:ascii="Arial" w:eastAsia="Calibri" w:hAnsi="Arial" w:cs="Arial"/>
          <w:sz w:val="22"/>
        </w:rPr>
        <w:t>Este concepto tiene el alcance previsto en el artículo 28 del Código de Procedimiento Administrativo y de lo Contencioso Administrativo.</w:t>
      </w:r>
    </w:p>
    <w:p w14:paraId="19DA8DDB" w14:textId="77777777" w:rsidR="005A79FE" w:rsidRPr="00BF2545" w:rsidRDefault="005A79FE" w:rsidP="005A79FE">
      <w:pPr>
        <w:spacing w:line="276" w:lineRule="auto"/>
        <w:jc w:val="both"/>
        <w:rPr>
          <w:rFonts w:ascii="Arial" w:eastAsia="Calibri" w:hAnsi="Arial" w:cs="Arial"/>
          <w:sz w:val="22"/>
        </w:rPr>
      </w:pPr>
    </w:p>
    <w:p w14:paraId="18AAB28D" w14:textId="77777777" w:rsidR="005A79FE" w:rsidRPr="00BF2545" w:rsidRDefault="005A79FE" w:rsidP="005A79FE">
      <w:pPr>
        <w:rPr>
          <w:rFonts w:ascii="Arial" w:eastAsia="Times New Roman" w:hAnsi="Arial" w:cs="Arial"/>
          <w:sz w:val="22"/>
          <w:lang w:eastAsia="es-CO"/>
        </w:rPr>
      </w:pPr>
      <w:r w:rsidRPr="1D8946CE">
        <w:rPr>
          <w:rFonts w:ascii="Arial" w:eastAsia="Times New Roman" w:hAnsi="Arial" w:cs="Arial"/>
          <w:sz w:val="22"/>
          <w:lang w:eastAsia="es-CO"/>
        </w:rPr>
        <w:t>Atentamente,</w:t>
      </w:r>
    </w:p>
    <w:p w14:paraId="67909B52" w14:textId="193067F2" w:rsidR="005A79FE" w:rsidRPr="00BF2545" w:rsidRDefault="00BD5DA4" w:rsidP="1D8946CE">
      <w:pPr>
        <w:jc w:val="center"/>
      </w:pPr>
      <w:r>
        <w:rPr>
          <w:noProof/>
        </w:rPr>
        <w:drawing>
          <wp:inline distT="0" distB="0" distL="0" distR="0" wp14:anchorId="71106BAE" wp14:editId="1DFFD7F7">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a:stretch>
                      <a:fillRect/>
                    </a:stretch>
                  </pic:blipFill>
                  <pic:spPr>
                    <a:xfrm>
                      <a:off x="0" y="0"/>
                      <a:ext cx="2514600" cy="1114425"/>
                    </a:xfrm>
                    <a:prstGeom prst="rect">
                      <a:avLst/>
                    </a:prstGeom>
                  </pic:spPr>
                </pic:pic>
              </a:graphicData>
            </a:graphic>
          </wp:inline>
        </w:drawing>
      </w:r>
    </w:p>
    <w:p w14:paraId="2EEB0FD1" w14:textId="1B407A68" w:rsidR="1D8946CE" w:rsidRDefault="1D8946CE" w:rsidP="1D8946CE">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211A2" w:rsidRPr="00E61113" w14:paraId="10501535" w14:textId="77777777" w:rsidTr="00EF4E43">
        <w:trPr>
          <w:trHeight w:val="315"/>
        </w:trPr>
        <w:tc>
          <w:tcPr>
            <w:tcW w:w="812" w:type="dxa"/>
            <w:vAlign w:val="center"/>
            <w:hideMark/>
          </w:tcPr>
          <w:p w14:paraId="4C6E53F6"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F97DBA9"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David Torres Rojas</w:t>
            </w:r>
          </w:p>
          <w:p w14:paraId="3FD2AD53"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Contratista de la Subdirección de Gestión Contractual</w:t>
            </w:r>
          </w:p>
        </w:tc>
      </w:tr>
      <w:tr w:rsidR="00B211A2" w:rsidRPr="00E61113" w14:paraId="1AFD260B" w14:textId="77777777" w:rsidTr="00EF4E43">
        <w:trPr>
          <w:trHeight w:val="330"/>
        </w:trPr>
        <w:tc>
          <w:tcPr>
            <w:tcW w:w="812" w:type="dxa"/>
            <w:vAlign w:val="center"/>
            <w:hideMark/>
          </w:tcPr>
          <w:p w14:paraId="6B4A53BD"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C0ABCD" w14:textId="77777777" w:rsidR="00CB4BA0" w:rsidRPr="00337B9F" w:rsidRDefault="00CB4BA0" w:rsidP="00CB4BA0">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Juan David Montoya Penagos</w:t>
            </w:r>
          </w:p>
          <w:p w14:paraId="2394B554" w14:textId="2D8BB12A" w:rsidR="00B211A2" w:rsidRPr="00E61113" w:rsidRDefault="00CB4BA0" w:rsidP="00CB4BA0">
            <w:pPr>
              <w:jc w:val="both"/>
              <w:rPr>
                <w:rFonts w:ascii="Arial" w:hAnsi="Arial" w:cs="Arial"/>
                <w:color w:val="000000" w:themeColor="text1"/>
                <w:sz w:val="16"/>
                <w:szCs w:val="16"/>
                <w:lang w:val="es-ES" w:eastAsia="es-ES"/>
              </w:rPr>
            </w:pPr>
            <w:r w:rsidRPr="00337B9F">
              <w:rPr>
                <w:rFonts w:ascii="Arial" w:hAnsi="Arial" w:cs="Arial"/>
                <w:color w:val="000000" w:themeColor="text1"/>
                <w:sz w:val="16"/>
                <w:szCs w:val="16"/>
                <w:lang w:val="es-ES_tradnl" w:eastAsia="es-ES"/>
              </w:rPr>
              <w:t>Gestor T1-15 de la Subdirección de Gestión Contractual</w:t>
            </w:r>
          </w:p>
        </w:tc>
      </w:tr>
      <w:tr w:rsidR="00B211A2" w:rsidRPr="00E61113" w14:paraId="7FEBEE03" w14:textId="77777777" w:rsidTr="00EF4E43">
        <w:trPr>
          <w:trHeight w:val="300"/>
        </w:trPr>
        <w:tc>
          <w:tcPr>
            <w:tcW w:w="812" w:type="dxa"/>
            <w:vAlign w:val="center"/>
            <w:hideMark/>
          </w:tcPr>
          <w:p w14:paraId="7CA93541"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26D06D6"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Jorge Augusto Tirado Navarro</w:t>
            </w:r>
          </w:p>
          <w:p w14:paraId="2BABFBE9"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Subdirector de Gestión Contractual ANCP – CCE</w:t>
            </w:r>
          </w:p>
        </w:tc>
      </w:tr>
      <w:tr w:rsidR="000943CF" w:rsidRPr="00E61113" w14:paraId="08AD3354" w14:textId="77777777" w:rsidTr="00EF4E43">
        <w:trPr>
          <w:trHeight w:val="300"/>
        </w:trPr>
        <w:tc>
          <w:tcPr>
            <w:tcW w:w="812" w:type="dxa"/>
            <w:vAlign w:val="center"/>
          </w:tcPr>
          <w:p w14:paraId="71EACC35" w14:textId="43A7F624" w:rsidR="000943CF" w:rsidRPr="00E61113" w:rsidRDefault="000943CF" w:rsidP="00EF4E43">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Anexos:    </w:t>
            </w:r>
          </w:p>
        </w:tc>
        <w:tc>
          <w:tcPr>
            <w:tcW w:w="4413" w:type="dxa"/>
            <w:tcBorders>
              <w:top w:val="dotted" w:sz="4" w:space="0" w:color="7F7F7F" w:themeColor="text1" w:themeTint="80"/>
              <w:left w:val="nil"/>
              <w:bottom w:val="dotted" w:sz="4" w:space="0" w:color="7F7F7F" w:themeColor="text1" w:themeTint="80"/>
              <w:right w:val="nil"/>
            </w:tcBorders>
            <w:vAlign w:val="center"/>
          </w:tcPr>
          <w:p w14:paraId="209A9BD2" w14:textId="77777777" w:rsidR="000943CF" w:rsidRDefault="000943CF" w:rsidP="00EF4E43">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Resolución 161 de 2021.</w:t>
            </w:r>
          </w:p>
          <w:p w14:paraId="57A8FADF" w14:textId="793208AA" w:rsidR="000943CF" w:rsidRPr="00E61113" w:rsidRDefault="007B189F" w:rsidP="00EF4E43">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Anexo 24 de la Resolución 161 de 2021.</w:t>
            </w:r>
          </w:p>
        </w:tc>
      </w:tr>
    </w:tbl>
    <w:p w14:paraId="7EBF297E" w14:textId="77777777" w:rsidR="007B0854" w:rsidRPr="00F1336F" w:rsidRDefault="007B0854" w:rsidP="00CA287E">
      <w:pPr>
        <w:jc w:val="both"/>
        <w:rPr>
          <w:rFonts w:ascii="Arial" w:eastAsia="Calibri" w:hAnsi="Arial" w:cs="Arial"/>
          <w:sz w:val="2"/>
          <w:szCs w:val="2"/>
        </w:rPr>
      </w:pPr>
    </w:p>
    <w:sectPr w:rsidR="007B0854" w:rsidRPr="00F1336F" w:rsidSect="008F6A28">
      <w:headerReference w:type="default" r:id="rId15"/>
      <w:footerReference w:type="default" r:id="rId16"/>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DF44" w14:textId="77777777" w:rsidR="003102ED" w:rsidRDefault="003102ED">
      <w:r>
        <w:separator/>
      </w:r>
    </w:p>
  </w:endnote>
  <w:endnote w:type="continuationSeparator" w:id="0">
    <w:p w14:paraId="30C5F367" w14:textId="77777777" w:rsidR="003102ED" w:rsidRDefault="0031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Calibri">
    <w:altName w:val="Arial"/>
    <w:charset w:val="00"/>
    <w:family w:val="roman"/>
    <w:pitch w:val="default"/>
  </w:font>
  <w:font w:name="Arial,Times New Roman">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CACC" w14:textId="77777777" w:rsidR="00021CDC" w:rsidRDefault="00021CDC" w:rsidP="007B0854">
    <w:pPr>
      <w:pStyle w:val="Sinespaciado"/>
      <w:jc w:val="center"/>
      <w:rPr>
        <w:rFonts w:ascii="Arial" w:hAnsi="Arial" w:cs="Arial"/>
        <w:sz w:val="18"/>
        <w:szCs w:val="18"/>
      </w:rPr>
    </w:pPr>
  </w:p>
  <w:p w14:paraId="312C4A14" w14:textId="085EFAD3" w:rsidR="00021CDC" w:rsidRPr="005A79FE" w:rsidRDefault="00021CD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4593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45933">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021CDC" w:rsidRDefault="3FB0ED2D" w:rsidP="007B0854">
    <w:pPr>
      <w:pStyle w:val="Piedepgina"/>
      <w:jc w:val="center"/>
      <w:rPr>
        <w:lang w:val="es-ES"/>
      </w:rPr>
    </w:pPr>
    <w:r>
      <w:rPr>
        <w:noProof/>
        <w:lang w:val="en-US"/>
      </w:rPr>
      <w:drawing>
        <wp:inline distT="0" distB="0" distL="0" distR="0" wp14:anchorId="608B196D" wp14:editId="22A3089D">
          <wp:extent cx="4241994" cy="595165"/>
          <wp:effectExtent l="0" t="0" r="6350" b="0"/>
          <wp:docPr id="118628570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64DDAB8E" w:rsidR="00021CDC" w:rsidRDefault="00021CDC" w:rsidP="007B0854">
    <w:pPr>
      <w:pStyle w:val="Piedepgina"/>
      <w:jc w:val="center"/>
      <w:rPr>
        <w:lang w:val="es-ES"/>
      </w:rPr>
    </w:pPr>
  </w:p>
  <w:p w14:paraId="270B5050" w14:textId="77777777" w:rsidR="00021CDC" w:rsidRPr="007B0854" w:rsidRDefault="00021CD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67EE" w14:textId="77777777" w:rsidR="003102ED" w:rsidRDefault="003102ED">
      <w:r>
        <w:separator/>
      </w:r>
    </w:p>
  </w:footnote>
  <w:footnote w:type="continuationSeparator" w:id="0">
    <w:p w14:paraId="578B10E2" w14:textId="77777777" w:rsidR="003102ED" w:rsidRDefault="003102ED">
      <w:r>
        <w:continuationSeparator/>
      </w:r>
    </w:p>
  </w:footnote>
  <w:footnote w:id="1">
    <w:p w14:paraId="1E5F9129" w14:textId="77777777" w:rsidR="007A294F" w:rsidRPr="00753A7F" w:rsidRDefault="007A294F" w:rsidP="007A294F">
      <w:pPr>
        <w:pStyle w:val="Textonotapie"/>
        <w:ind w:firstLine="708"/>
        <w:jc w:val="both"/>
        <w:rPr>
          <w:rFonts w:ascii="Arial" w:hAnsi="Arial" w:cs="Arial"/>
          <w:sz w:val="19"/>
          <w:szCs w:val="19"/>
        </w:rPr>
      </w:pPr>
      <w:r w:rsidRPr="009F5A2A">
        <w:rPr>
          <w:rStyle w:val="Refdenotaalpie"/>
          <w:rFonts w:ascii="Arial" w:hAnsi="Arial" w:cs="Arial"/>
          <w:sz w:val="19"/>
          <w:szCs w:val="19"/>
        </w:rPr>
        <w:footnoteRef/>
      </w:r>
      <w:r w:rsidRPr="009F5A2A">
        <w:rPr>
          <w:rFonts w:ascii="Arial" w:hAnsi="Arial" w:cs="Arial"/>
          <w:sz w:val="19"/>
          <w:szCs w:val="19"/>
        </w:rPr>
        <w:t xml:space="preserve"> Circular Reglamentaria Externa – DOAM- 146 de 4 de noviembre de 202, expedida por la ju</w:t>
      </w:r>
      <w:r w:rsidRPr="00753A7F">
        <w:rPr>
          <w:rFonts w:ascii="Arial" w:hAnsi="Arial" w:cs="Arial"/>
          <w:sz w:val="19"/>
          <w:szCs w:val="19"/>
        </w:rPr>
        <w:t>n</w:t>
      </w:r>
      <w:r w:rsidRPr="009F5A2A">
        <w:rPr>
          <w:rFonts w:ascii="Arial" w:hAnsi="Arial" w:cs="Arial"/>
          <w:sz w:val="19"/>
          <w:szCs w:val="19"/>
        </w:rPr>
        <w:t>t</w:t>
      </w:r>
      <w:r w:rsidRPr="00753A7F">
        <w:rPr>
          <w:rFonts w:ascii="Arial" w:hAnsi="Arial" w:cs="Arial"/>
          <w:sz w:val="19"/>
          <w:szCs w:val="19"/>
        </w:rPr>
        <w:t>a</w:t>
      </w:r>
      <w:r w:rsidRPr="009F5A2A">
        <w:rPr>
          <w:rFonts w:ascii="Arial" w:hAnsi="Arial" w:cs="Arial"/>
          <w:sz w:val="19"/>
          <w:szCs w:val="19"/>
        </w:rPr>
        <w:t xml:space="preserve"> directiva del Banco de la República de Colombia. </w:t>
      </w:r>
    </w:p>
    <w:p w14:paraId="53508ECF" w14:textId="77777777" w:rsidR="007A294F" w:rsidRPr="009F5A2A" w:rsidRDefault="007A294F" w:rsidP="007A294F">
      <w:pPr>
        <w:pStyle w:val="Textonotapie"/>
        <w:ind w:firstLine="708"/>
        <w:jc w:val="both"/>
        <w:rPr>
          <w:rFonts w:ascii="Arial" w:hAnsi="Arial" w:cs="Arial"/>
          <w:sz w:val="19"/>
          <w:szCs w:val="19"/>
        </w:rPr>
      </w:pPr>
    </w:p>
  </w:footnote>
  <w:footnote w:id="2">
    <w:p w14:paraId="0D7DE8F4" w14:textId="77777777" w:rsidR="002B2430" w:rsidRPr="009F5A2A" w:rsidRDefault="002B2430" w:rsidP="002B2430">
      <w:pPr>
        <w:pStyle w:val="Textonotapie"/>
        <w:ind w:firstLine="708"/>
        <w:jc w:val="both"/>
        <w:rPr>
          <w:rFonts w:ascii="Arial" w:hAnsi="Arial" w:cs="Arial"/>
          <w:sz w:val="19"/>
          <w:szCs w:val="19"/>
        </w:rPr>
      </w:pPr>
      <w:r w:rsidRPr="009F5A2A">
        <w:rPr>
          <w:rStyle w:val="Refdenotaalpie"/>
          <w:rFonts w:ascii="Arial" w:hAnsi="Arial" w:cs="Arial"/>
          <w:sz w:val="19"/>
          <w:szCs w:val="19"/>
        </w:rPr>
        <w:footnoteRef/>
      </w:r>
      <w:r w:rsidRPr="009F5A2A">
        <w:rPr>
          <w:rFonts w:ascii="Arial" w:hAnsi="Arial" w:cs="Arial"/>
          <w:sz w:val="19"/>
          <w:szCs w:val="19"/>
        </w:rPr>
        <w:t xml:space="preserve"> </w:t>
      </w:r>
      <w:hyperlink r:id="rId1" w:history="1">
        <w:r w:rsidRPr="009F5A2A">
          <w:rPr>
            <w:rStyle w:val="Hipervnculo"/>
            <w:rFonts w:ascii="Arial" w:hAnsi="Arial" w:cs="Arial"/>
            <w:color w:val="auto"/>
            <w:sz w:val="19"/>
            <w:szCs w:val="19"/>
          </w:rPr>
          <w:t>https://www.banrep.gov.co/es/estadisticas/trm</w:t>
        </w:r>
      </w:hyperlink>
      <w:r w:rsidRPr="009F5A2A">
        <w:rPr>
          <w:rFonts w:ascii="Arial" w:hAnsi="Arial" w:cs="Arial"/>
          <w:sz w:val="19"/>
          <w:szCs w:val="19"/>
        </w:rPr>
        <w:t xml:space="preserve"> </w:t>
      </w:r>
    </w:p>
  </w:footnote>
  <w:footnote w:id="3">
    <w:p w14:paraId="14570345" w14:textId="77777777" w:rsidR="00CD29EC" w:rsidRPr="00024855" w:rsidRDefault="00CD29EC" w:rsidP="00CD29EC">
      <w:pPr>
        <w:pStyle w:val="Textonotapie"/>
        <w:ind w:firstLine="708"/>
        <w:jc w:val="both"/>
        <w:rPr>
          <w:rFonts w:ascii="Arial" w:hAnsi="Arial" w:cs="Arial"/>
          <w:sz w:val="19"/>
          <w:szCs w:val="19"/>
        </w:rPr>
      </w:pPr>
      <w:r w:rsidRPr="009F5A2A">
        <w:rPr>
          <w:rStyle w:val="Refdenotaalpie"/>
          <w:rFonts w:ascii="Arial" w:hAnsi="Arial" w:cs="Arial"/>
          <w:sz w:val="19"/>
          <w:szCs w:val="19"/>
        </w:rPr>
        <w:footnoteRef/>
      </w:r>
      <w:r w:rsidRPr="009F5A2A">
        <w:rPr>
          <w:rFonts w:ascii="Arial" w:hAnsi="Arial" w:cs="Arial"/>
          <w:sz w:val="19"/>
          <w:szCs w:val="19"/>
        </w:rPr>
        <w:t xml:space="preserve"> Cabe destacar que el argumento anterior también resulta aplicable</w:t>
      </w:r>
      <w:r>
        <w:rPr>
          <w:rFonts w:ascii="Arial" w:hAnsi="Arial" w:cs="Arial"/>
          <w:sz w:val="19"/>
          <w:szCs w:val="19"/>
        </w:rPr>
        <w:t xml:space="preserve"> y, con mayor razón,</w:t>
      </w:r>
      <w:r w:rsidRPr="009F5A2A">
        <w:rPr>
          <w:rFonts w:ascii="Arial" w:hAnsi="Arial" w:cs="Arial"/>
          <w:sz w:val="19"/>
          <w:szCs w:val="19"/>
        </w:rPr>
        <w:t xml:space="preserve"> al marco jurídico actual, de acuerdo con la modificación que realizó el Decreto </w:t>
      </w:r>
      <w:r>
        <w:rPr>
          <w:rFonts w:ascii="Arial" w:hAnsi="Arial" w:cs="Arial"/>
          <w:sz w:val="19"/>
          <w:szCs w:val="19"/>
        </w:rPr>
        <w:t xml:space="preserve">399 del 13 de abril de 2021, entre otros, al artículo </w:t>
      </w:r>
      <w:r w:rsidRPr="00024855">
        <w:rPr>
          <w:rFonts w:ascii="Arial" w:hAnsi="Arial" w:cs="Arial"/>
          <w:sz w:val="19"/>
          <w:szCs w:val="19"/>
        </w:rPr>
        <w:t xml:space="preserve">2.2.1.2.1.3.2. </w:t>
      </w:r>
      <w:r>
        <w:rPr>
          <w:rFonts w:ascii="Arial" w:hAnsi="Arial" w:cs="Arial"/>
          <w:sz w:val="19"/>
          <w:szCs w:val="19"/>
        </w:rPr>
        <w:t xml:space="preserve">del Decreto 1082 de 2015, que quedó de la siguiente manera: «Artículo </w:t>
      </w:r>
      <w:r w:rsidRPr="00024855">
        <w:rPr>
          <w:rFonts w:ascii="Arial" w:hAnsi="Arial" w:cs="Arial"/>
          <w:sz w:val="19"/>
          <w:szCs w:val="19"/>
        </w:rPr>
        <w:t>2.2.1.2.1.3.2.</w:t>
      </w:r>
      <w:r>
        <w:rPr>
          <w:rFonts w:ascii="Arial" w:hAnsi="Arial" w:cs="Arial"/>
          <w:sz w:val="19"/>
          <w:szCs w:val="19"/>
        </w:rPr>
        <w:t xml:space="preserve"> </w:t>
      </w:r>
      <w:r w:rsidRPr="00024855">
        <w:rPr>
          <w:rFonts w:ascii="Arial" w:hAnsi="Arial" w:cs="Arial"/>
          <w:sz w:val="19"/>
          <w:szCs w:val="19"/>
        </w:rPr>
        <w:t>Procedimiento del concurso de méritos. Además de las reglas generales previstas en la ley y en el presente título, las siguientes reglas son aplicables al concurso de méritos abierto o con precalificación:</w:t>
      </w:r>
    </w:p>
    <w:p w14:paraId="69253638" w14:textId="77777777" w:rsidR="00CD29EC" w:rsidRPr="00024855" w:rsidRDefault="00CD29EC" w:rsidP="00CD29EC">
      <w:pPr>
        <w:pStyle w:val="Textonotapie"/>
        <w:ind w:firstLine="708"/>
        <w:jc w:val="both"/>
        <w:rPr>
          <w:rFonts w:ascii="Arial" w:hAnsi="Arial" w:cs="Arial"/>
          <w:sz w:val="19"/>
          <w:szCs w:val="19"/>
        </w:rPr>
      </w:pPr>
      <w:r>
        <w:rPr>
          <w:rFonts w:ascii="Arial" w:hAnsi="Arial" w:cs="Arial"/>
          <w:sz w:val="19"/>
          <w:szCs w:val="19"/>
        </w:rPr>
        <w:t>»</w:t>
      </w:r>
      <w:r w:rsidRPr="00024855">
        <w:rPr>
          <w:rFonts w:ascii="Arial" w:hAnsi="Arial" w:cs="Arial"/>
          <w:sz w:val="19"/>
          <w:szCs w:val="19"/>
        </w:rPr>
        <w:t>1. La Entidad Estatal en los pliegos de condiciones debe indicar la forma como calificará, entre otros, los siguientes criterios: a) la experiencia del interesado y del equipo de trabajo y b) la formación académica del equipo de trabajo.</w:t>
      </w:r>
    </w:p>
    <w:p w14:paraId="539DFF79" w14:textId="77777777" w:rsidR="00CD29EC" w:rsidRPr="00024855" w:rsidRDefault="00CD29EC" w:rsidP="00CD29EC">
      <w:pPr>
        <w:pStyle w:val="Textonotapie"/>
        <w:ind w:firstLine="708"/>
        <w:jc w:val="both"/>
        <w:rPr>
          <w:rFonts w:ascii="Arial" w:hAnsi="Arial" w:cs="Arial"/>
          <w:sz w:val="19"/>
          <w:szCs w:val="19"/>
        </w:rPr>
      </w:pPr>
      <w:r>
        <w:rPr>
          <w:rFonts w:ascii="Arial" w:hAnsi="Arial" w:cs="Arial"/>
          <w:sz w:val="19"/>
          <w:szCs w:val="19"/>
        </w:rPr>
        <w:t>»</w:t>
      </w:r>
      <w:r w:rsidRPr="009F5A2A">
        <w:rPr>
          <w:rFonts w:ascii="Arial" w:hAnsi="Arial" w:cs="Arial"/>
          <w:i/>
          <w:iCs/>
          <w:sz w:val="19"/>
          <w:szCs w:val="19"/>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r w:rsidRPr="00024855">
        <w:rPr>
          <w:rFonts w:ascii="Arial" w:hAnsi="Arial" w:cs="Arial"/>
          <w:sz w:val="19"/>
          <w:szCs w:val="19"/>
        </w:rPr>
        <w:t>.</w:t>
      </w:r>
    </w:p>
    <w:p w14:paraId="6F5EABD5" w14:textId="19227E5D" w:rsidR="00CD29EC" w:rsidRDefault="00CD29EC" w:rsidP="00CD29EC">
      <w:pPr>
        <w:pStyle w:val="Textonotapie"/>
        <w:ind w:firstLine="708"/>
        <w:jc w:val="both"/>
        <w:rPr>
          <w:rFonts w:ascii="Arial" w:hAnsi="Arial" w:cs="Arial"/>
          <w:sz w:val="19"/>
          <w:szCs w:val="19"/>
        </w:rPr>
      </w:pPr>
      <w:r>
        <w:rPr>
          <w:rFonts w:ascii="Arial" w:hAnsi="Arial" w:cs="Arial"/>
          <w:sz w:val="19"/>
          <w:szCs w:val="19"/>
        </w:rPr>
        <w:t>»</w:t>
      </w:r>
      <w:r w:rsidRPr="00024855">
        <w:rPr>
          <w:rFonts w:ascii="Arial" w:hAnsi="Arial" w:cs="Arial"/>
          <w:sz w:val="19"/>
          <w:szCs w:val="19"/>
        </w:rPr>
        <w:t>3. Una vez resueltas las observaciones al informe de evaluación, la entidad adjudicará el contrato mediante acto administrativo al oferente que haya cumplido todos los requisitos exigidos en el pliego de condiciones y haya obtenido el mayor puntaje</w:t>
      </w:r>
      <w:r>
        <w:rPr>
          <w:rFonts w:ascii="Arial" w:hAnsi="Arial" w:cs="Arial"/>
          <w:sz w:val="19"/>
          <w:szCs w:val="19"/>
        </w:rPr>
        <w:t>»</w:t>
      </w:r>
      <w:r w:rsidRPr="00024855">
        <w:rPr>
          <w:rFonts w:ascii="Arial" w:hAnsi="Arial" w:cs="Arial"/>
          <w:sz w:val="19"/>
          <w:szCs w:val="19"/>
        </w:rPr>
        <w:t>.</w:t>
      </w:r>
      <w:r>
        <w:rPr>
          <w:rFonts w:ascii="Arial" w:hAnsi="Arial" w:cs="Arial"/>
          <w:sz w:val="19"/>
          <w:szCs w:val="19"/>
        </w:rPr>
        <w:t xml:space="preserve"> (Cursiva fuera del original). </w:t>
      </w:r>
    </w:p>
    <w:p w14:paraId="5B56709B" w14:textId="77777777" w:rsidR="00DD76E7" w:rsidRPr="009F5A2A" w:rsidRDefault="00DD76E7" w:rsidP="00CD29EC">
      <w:pPr>
        <w:pStyle w:val="Textonotapie"/>
        <w:ind w:firstLine="708"/>
        <w:jc w:val="both"/>
        <w:rPr>
          <w:rFonts w:ascii="Arial" w:hAnsi="Arial" w:cs="Arial"/>
          <w:sz w:val="19"/>
          <w:szCs w:val="19"/>
          <w:lang w:val="es-CO"/>
        </w:rPr>
      </w:pPr>
    </w:p>
  </w:footnote>
  <w:footnote w:id="4">
    <w:p w14:paraId="27CBB254" w14:textId="5CF626F6" w:rsidR="00DD76E7" w:rsidRPr="00DD76E7" w:rsidRDefault="00DD76E7" w:rsidP="00DD76E7">
      <w:pPr>
        <w:pStyle w:val="Textonotapie"/>
        <w:ind w:firstLine="708"/>
        <w:jc w:val="both"/>
        <w:rPr>
          <w:rFonts w:ascii="Arial" w:hAnsi="Arial" w:cs="Arial"/>
          <w:sz w:val="19"/>
          <w:szCs w:val="19"/>
          <w:lang w:val="es-CO"/>
        </w:rPr>
      </w:pPr>
      <w:r w:rsidRPr="00DD76E7">
        <w:rPr>
          <w:rStyle w:val="Refdenotaalpie"/>
          <w:rFonts w:ascii="Arial" w:hAnsi="Arial" w:cs="Arial"/>
          <w:sz w:val="19"/>
          <w:szCs w:val="19"/>
        </w:rPr>
        <w:footnoteRef/>
      </w:r>
      <w:r w:rsidRPr="00DD76E7">
        <w:rPr>
          <w:rFonts w:ascii="Arial" w:hAnsi="Arial" w:cs="Arial"/>
          <w:sz w:val="19"/>
          <w:szCs w:val="19"/>
        </w:rPr>
        <w:t xml:space="preserve"> Se aclara que la Resolución 161 de 2021 empezará a regir </w:t>
      </w:r>
      <w:r>
        <w:rPr>
          <w:rFonts w:ascii="Arial" w:hAnsi="Arial" w:cs="Arial"/>
          <w:sz w:val="19"/>
          <w:szCs w:val="19"/>
        </w:rPr>
        <w:t xml:space="preserve">desde </w:t>
      </w:r>
      <w:r w:rsidRPr="00DD76E7">
        <w:rPr>
          <w:rFonts w:ascii="Arial" w:hAnsi="Arial" w:cs="Arial"/>
          <w:sz w:val="19"/>
          <w:szCs w:val="19"/>
        </w:rPr>
        <w:t xml:space="preserve">el 28 de junio de 2021. Sin embargo, </w:t>
      </w:r>
      <w:r w:rsidRPr="00DD76E7">
        <w:rPr>
          <w:rFonts w:ascii="Arial" w:hAnsi="Arial" w:cs="Arial"/>
          <w:sz w:val="19"/>
          <w:szCs w:val="19"/>
          <w:lang w:val="es-CO"/>
        </w:rPr>
        <w:t xml:space="preserve">las entidades estatales </w:t>
      </w:r>
      <w:proofErr w:type="spellStart"/>
      <w:r w:rsidRPr="00DD76E7">
        <w:rPr>
          <w:rFonts w:ascii="Arial" w:hAnsi="Arial" w:cs="Arial"/>
          <w:sz w:val="19"/>
          <w:szCs w:val="19"/>
          <w:lang w:val="es-CO"/>
        </w:rPr>
        <w:t>podrán</w:t>
      </w:r>
      <w:proofErr w:type="spellEnd"/>
      <w:r w:rsidRPr="00DD76E7">
        <w:rPr>
          <w:rFonts w:ascii="Arial" w:hAnsi="Arial" w:cs="Arial"/>
          <w:sz w:val="19"/>
          <w:szCs w:val="19"/>
          <w:lang w:val="es-CO"/>
        </w:rPr>
        <w:t xml:space="preserve"> discrecionalmente aplicar las modificaciones dispuestas en dicha </w:t>
      </w:r>
      <w:proofErr w:type="spellStart"/>
      <w:r w:rsidRPr="00DD76E7">
        <w:rPr>
          <w:rFonts w:ascii="Arial" w:hAnsi="Arial" w:cs="Arial"/>
          <w:sz w:val="19"/>
          <w:szCs w:val="19"/>
          <w:lang w:val="es-CO"/>
        </w:rPr>
        <w:t>Resolución</w:t>
      </w:r>
      <w:proofErr w:type="spellEnd"/>
      <w:r w:rsidRPr="00DD76E7">
        <w:rPr>
          <w:rFonts w:ascii="Arial" w:hAnsi="Arial" w:cs="Arial"/>
          <w:sz w:val="19"/>
          <w:szCs w:val="19"/>
          <w:lang w:val="es-CO"/>
        </w:rPr>
        <w:t xml:space="preserve">, a los procesos cuyo aviso de convocatoria o </w:t>
      </w:r>
      <w:proofErr w:type="spellStart"/>
      <w:r w:rsidRPr="00DD76E7">
        <w:rPr>
          <w:rFonts w:ascii="Arial" w:hAnsi="Arial" w:cs="Arial"/>
          <w:sz w:val="19"/>
          <w:szCs w:val="19"/>
          <w:lang w:val="es-CO"/>
        </w:rPr>
        <w:t>invitación</w:t>
      </w:r>
      <w:proofErr w:type="spellEnd"/>
      <w:r w:rsidRPr="00DD76E7">
        <w:rPr>
          <w:rFonts w:ascii="Arial" w:hAnsi="Arial" w:cs="Arial"/>
          <w:sz w:val="19"/>
          <w:szCs w:val="19"/>
          <w:lang w:val="es-CO"/>
        </w:rPr>
        <w:t xml:space="preserve"> se publique</w:t>
      </w:r>
      <w:r>
        <w:rPr>
          <w:rFonts w:ascii="Arial" w:hAnsi="Arial" w:cs="Arial"/>
          <w:sz w:val="19"/>
          <w:szCs w:val="19"/>
          <w:lang w:val="es-CO"/>
        </w:rPr>
        <w:t>n</w:t>
      </w:r>
      <w:r w:rsidRPr="00DD76E7">
        <w:rPr>
          <w:rFonts w:ascii="Arial" w:hAnsi="Arial" w:cs="Arial"/>
          <w:sz w:val="19"/>
          <w:szCs w:val="19"/>
          <w:lang w:val="es-CO"/>
        </w:rPr>
        <w:t xml:space="preserve"> </w:t>
      </w:r>
      <w:proofErr w:type="spellStart"/>
      <w:r w:rsidRPr="00DD76E7">
        <w:rPr>
          <w:rFonts w:ascii="Arial" w:hAnsi="Arial" w:cs="Arial"/>
          <w:sz w:val="19"/>
          <w:szCs w:val="19"/>
          <w:lang w:val="es-CO"/>
        </w:rPr>
        <w:t>después</w:t>
      </w:r>
      <w:proofErr w:type="spellEnd"/>
      <w:r w:rsidRPr="00DD76E7">
        <w:rPr>
          <w:rFonts w:ascii="Arial" w:hAnsi="Arial" w:cs="Arial"/>
          <w:sz w:val="19"/>
          <w:szCs w:val="19"/>
          <w:lang w:val="es-CO"/>
        </w:rPr>
        <w:t xml:space="preserve"> de la fecha de</w:t>
      </w:r>
      <w:r>
        <w:rPr>
          <w:rFonts w:ascii="Arial" w:hAnsi="Arial" w:cs="Arial"/>
          <w:sz w:val="19"/>
          <w:szCs w:val="19"/>
          <w:lang w:val="es-CO"/>
        </w:rPr>
        <w:t xml:space="preserve"> publicación de </w:t>
      </w:r>
      <w:r w:rsidR="009F6E1F">
        <w:rPr>
          <w:rFonts w:ascii="Arial" w:hAnsi="Arial" w:cs="Arial"/>
          <w:sz w:val="19"/>
          <w:szCs w:val="19"/>
          <w:lang w:val="es-CO"/>
        </w:rPr>
        <w:t>la referida Resolución.</w:t>
      </w:r>
    </w:p>
    <w:p w14:paraId="40CDBA48" w14:textId="4C851243" w:rsidR="00DD76E7" w:rsidRPr="00DD76E7" w:rsidRDefault="00DD76E7" w:rsidP="00DD76E7">
      <w:pPr>
        <w:pStyle w:val="Textonotapie"/>
        <w:ind w:firstLine="708"/>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021CDC" w:rsidRDefault="00021CDC">
    <w:pPr>
      <w:pStyle w:val="Encabezado"/>
    </w:pPr>
  </w:p>
  <w:p w14:paraId="6A4C7F2C" w14:textId="7D093DBB" w:rsidR="00021CDC" w:rsidRDefault="00021CDC">
    <w:pPr>
      <w:pStyle w:val="Encabezado"/>
    </w:pPr>
  </w:p>
  <w:p w14:paraId="055F2E1F" w14:textId="0B935ADD" w:rsidR="00021CDC" w:rsidRDefault="00021CDC">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021CDC" w:rsidRDefault="00021CDC">
    <w:pPr>
      <w:pStyle w:val="Encabezado"/>
    </w:pPr>
  </w:p>
  <w:p w14:paraId="3D323BDB" w14:textId="04AF0DE6" w:rsidR="00021CDC" w:rsidRDefault="00021CDC">
    <w:pPr>
      <w:pStyle w:val="Encabezado"/>
    </w:pPr>
  </w:p>
  <w:p w14:paraId="6520770B" w14:textId="18EB07B5" w:rsidR="00021CDC" w:rsidRDefault="00021C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6E2"/>
    <w:rsid w:val="0001070F"/>
    <w:rsid w:val="00011653"/>
    <w:rsid w:val="00015D67"/>
    <w:rsid w:val="00016393"/>
    <w:rsid w:val="000163F4"/>
    <w:rsid w:val="000168F2"/>
    <w:rsid w:val="000179EC"/>
    <w:rsid w:val="00020C17"/>
    <w:rsid w:val="00021BA0"/>
    <w:rsid w:val="00021BB4"/>
    <w:rsid w:val="00021CDC"/>
    <w:rsid w:val="000220A5"/>
    <w:rsid w:val="00022A52"/>
    <w:rsid w:val="00026984"/>
    <w:rsid w:val="00026AD9"/>
    <w:rsid w:val="00032DCA"/>
    <w:rsid w:val="00033CF0"/>
    <w:rsid w:val="00033E2B"/>
    <w:rsid w:val="0003447F"/>
    <w:rsid w:val="00046724"/>
    <w:rsid w:val="000532C4"/>
    <w:rsid w:val="00057EB5"/>
    <w:rsid w:val="00057FD0"/>
    <w:rsid w:val="00070127"/>
    <w:rsid w:val="0007021E"/>
    <w:rsid w:val="00072050"/>
    <w:rsid w:val="0007328A"/>
    <w:rsid w:val="00080076"/>
    <w:rsid w:val="00080A05"/>
    <w:rsid w:val="00084236"/>
    <w:rsid w:val="00086C0F"/>
    <w:rsid w:val="000906E8"/>
    <w:rsid w:val="000932D8"/>
    <w:rsid w:val="000937BF"/>
    <w:rsid w:val="000942EB"/>
    <w:rsid w:val="000943CF"/>
    <w:rsid w:val="000959D5"/>
    <w:rsid w:val="00096682"/>
    <w:rsid w:val="00096DB7"/>
    <w:rsid w:val="00097648"/>
    <w:rsid w:val="000A14E4"/>
    <w:rsid w:val="000A417F"/>
    <w:rsid w:val="000A7150"/>
    <w:rsid w:val="000A797D"/>
    <w:rsid w:val="000B07E5"/>
    <w:rsid w:val="000B103F"/>
    <w:rsid w:val="000B5DBE"/>
    <w:rsid w:val="000B7B6A"/>
    <w:rsid w:val="000C007D"/>
    <w:rsid w:val="000C0421"/>
    <w:rsid w:val="000C097B"/>
    <w:rsid w:val="000C2A7B"/>
    <w:rsid w:val="000C2DAC"/>
    <w:rsid w:val="000C5B99"/>
    <w:rsid w:val="000C6C4A"/>
    <w:rsid w:val="000D40BF"/>
    <w:rsid w:val="000D4D6F"/>
    <w:rsid w:val="000D5A3E"/>
    <w:rsid w:val="000D71A8"/>
    <w:rsid w:val="000E0B48"/>
    <w:rsid w:val="000E3C6E"/>
    <w:rsid w:val="000F14C5"/>
    <w:rsid w:val="000F14E8"/>
    <w:rsid w:val="000F2324"/>
    <w:rsid w:val="000F7991"/>
    <w:rsid w:val="00103388"/>
    <w:rsid w:val="001033F9"/>
    <w:rsid w:val="00103487"/>
    <w:rsid w:val="00103915"/>
    <w:rsid w:val="0010427D"/>
    <w:rsid w:val="00104887"/>
    <w:rsid w:val="00104CCA"/>
    <w:rsid w:val="0010569C"/>
    <w:rsid w:val="00105AA5"/>
    <w:rsid w:val="0010606F"/>
    <w:rsid w:val="00106CF3"/>
    <w:rsid w:val="00107907"/>
    <w:rsid w:val="00107A9F"/>
    <w:rsid w:val="001100A0"/>
    <w:rsid w:val="00111C43"/>
    <w:rsid w:val="00112E3A"/>
    <w:rsid w:val="001139C4"/>
    <w:rsid w:val="00122B23"/>
    <w:rsid w:val="00124EE9"/>
    <w:rsid w:val="00131912"/>
    <w:rsid w:val="00137317"/>
    <w:rsid w:val="00137384"/>
    <w:rsid w:val="00137FFA"/>
    <w:rsid w:val="001410E7"/>
    <w:rsid w:val="00146CF4"/>
    <w:rsid w:val="001470FF"/>
    <w:rsid w:val="001501ED"/>
    <w:rsid w:val="00152687"/>
    <w:rsid w:val="001537D9"/>
    <w:rsid w:val="001600FC"/>
    <w:rsid w:val="001606BC"/>
    <w:rsid w:val="00165686"/>
    <w:rsid w:val="001676F9"/>
    <w:rsid w:val="00167E26"/>
    <w:rsid w:val="0017055B"/>
    <w:rsid w:val="001746BF"/>
    <w:rsid w:val="00175159"/>
    <w:rsid w:val="00175AD3"/>
    <w:rsid w:val="00177217"/>
    <w:rsid w:val="00180FC9"/>
    <w:rsid w:val="001823EF"/>
    <w:rsid w:val="00182B89"/>
    <w:rsid w:val="00182F10"/>
    <w:rsid w:val="00183DAD"/>
    <w:rsid w:val="00184A9A"/>
    <w:rsid w:val="00191781"/>
    <w:rsid w:val="001956FF"/>
    <w:rsid w:val="001974DF"/>
    <w:rsid w:val="001A6980"/>
    <w:rsid w:val="001B0EBB"/>
    <w:rsid w:val="001B3E78"/>
    <w:rsid w:val="001B484A"/>
    <w:rsid w:val="001B55CE"/>
    <w:rsid w:val="001B5DC2"/>
    <w:rsid w:val="001C3BBA"/>
    <w:rsid w:val="001C6D55"/>
    <w:rsid w:val="001C7B98"/>
    <w:rsid w:val="001D0C1D"/>
    <w:rsid w:val="001D3405"/>
    <w:rsid w:val="001D3A34"/>
    <w:rsid w:val="001D7441"/>
    <w:rsid w:val="001D7D74"/>
    <w:rsid w:val="001E1EB0"/>
    <w:rsid w:val="001E3D09"/>
    <w:rsid w:val="001F1063"/>
    <w:rsid w:val="001F3B61"/>
    <w:rsid w:val="001F3CA1"/>
    <w:rsid w:val="001F44C7"/>
    <w:rsid w:val="001F61EC"/>
    <w:rsid w:val="002007E4"/>
    <w:rsid w:val="00204060"/>
    <w:rsid w:val="002106F2"/>
    <w:rsid w:val="00214F6C"/>
    <w:rsid w:val="0021641A"/>
    <w:rsid w:val="0022315F"/>
    <w:rsid w:val="0022539D"/>
    <w:rsid w:val="00232C17"/>
    <w:rsid w:val="00234B84"/>
    <w:rsid w:val="00234DE9"/>
    <w:rsid w:val="002410DA"/>
    <w:rsid w:val="002419E6"/>
    <w:rsid w:val="0024379B"/>
    <w:rsid w:val="00246D30"/>
    <w:rsid w:val="002475B4"/>
    <w:rsid w:val="002507A6"/>
    <w:rsid w:val="00250D76"/>
    <w:rsid w:val="00251051"/>
    <w:rsid w:val="002520F2"/>
    <w:rsid w:val="002523E8"/>
    <w:rsid w:val="00252696"/>
    <w:rsid w:val="00254156"/>
    <w:rsid w:val="002555D1"/>
    <w:rsid w:val="0025635E"/>
    <w:rsid w:val="00260104"/>
    <w:rsid w:val="00260F19"/>
    <w:rsid w:val="00261126"/>
    <w:rsid w:val="00262458"/>
    <w:rsid w:val="00262A15"/>
    <w:rsid w:val="00262DC5"/>
    <w:rsid w:val="00270A35"/>
    <w:rsid w:val="00277461"/>
    <w:rsid w:val="002818D9"/>
    <w:rsid w:val="00284EF3"/>
    <w:rsid w:val="0029141D"/>
    <w:rsid w:val="00292004"/>
    <w:rsid w:val="002941B4"/>
    <w:rsid w:val="0029709A"/>
    <w:rsid w:val="002A2CB2"/>
    <w:rsid w:val="002A7E7F"/>
    <w:rsid w:val="002B1089"/>
    <w:rsid w:val="002B13FB"/>
    <w:rsid w:val="002B22A8"/>
    <w:rsid w:val="002B2430"/>
    <w:rsid w:val="002B74EA"/>
    <w:rsid w:val="002B7754"/>
    <w:rsid w:val="002C0A42"/>
    <w:rsid w:val="002C1B22"/>
    <w:rsid w:val="002C209A"/>
    <w:rsid w:val="002C3B82"/>
    <w:rsid w:val="002C407E"/>
    <w:rsid w:val="002D3326"/>
    <w:rsid w:val="002D4D6D"/>
    <w:rsid w:val="002D54AB"/>
    <w:rsid w:val="002E051A"/>
    <w:rsid w:val="002E21A1"/>
    <w:rsid w:val="002E3BB5"/>
    <w:rsid w:val="002E4430"/>
    <w:rsid w:val="002E6CCC"/>
    <w:rsid w:val="002F1094"/>
    <w:rsid w:val="002F420A"/>
    <w:rsid w:val="002F60E9"/>
    <w:rsid w:val="002F656D"/>
    <w:rsid w:val="002F707C"/>
    <w:rsid w:val="0030017E"/>
    <w:rsid w:val="003033BA"/>
    <w:rsid w:val="00303F15"/>
    <w:rsid w:val="00305891"/>
    <w:rsid w:val="00305F5C"/>
    <w:rsid w:val="003070FD"/>
    <w:rsid w:val="003102ED"/>
    <w:rsid w:val="003116BF"/>
    <w:rsid w:val="00311E31"/>
    <w:rsid w:val="003142D9"/>
    <w:rsid w:val="0031445E"/>
    <w:rsid w:val="003151A6"/>
    <w:rsid w:val="0031564F"/>
    <w:rsid w:val="00320BEC"/>
    <w:rsid w:val="0032273F"/>
    <w:rsid w:val="00322AEA"/>
    <w:rsid w:val="00324F88"/>
    <w:rsid w:val="00325957"/>
    <w:rsid w:val="003263F6"/>
    <w:rsid w:val="003279DB"/>
    <w:rsid w:val="0033151A"/>
    <w:rsid w:val="00334F3C"/>
    <w:rsid w:val="0033631F"/>
    <w:rsid w:val="0033706B"/>
    <w:rsid w:val="00340E9A"/>
    <w:rsid w:val="00343DE4"/>
    <w:rsid w:val="0034680A"/>
    <w:rsid w:val="00355762"/>
    <w:rsid w:val="0035627B"/>
    <w:rsid w:val="003607C1"/>
    <w:rsid w:val="00366B8E"/>
    <w:rsid w:val="00366F62"/>
    <w:rsid w:val="00367706"/>
    <w:rsid w:val="0037224F"/>
    <w:rsid w:val="00372947"/>
    <w:rsid w:val="00375E2B"/>
    <w:rsid w:val="003800A7"/>
    <w:rsid w:val="00381D5F"/>
    <w:rsid w:val="0038234D"/>
    <w:rsid w:val="00386456"/>
    <w:rsid w:val="0039188D"/>
    <w:rsid w:val="00392BAF"/>
    <w:rsid w:val="003932DC"/>
    <w:rsid w:val="003956A9"/>
    <w:rsid w:val="003957CA"/>
    <w:rsid w:val="003A0FA4"/>
    <w:rsid w:val="003A41FF"/>
    <w:rsid w:val="003A4B1E"/>
    <w:rsid w:val="003A4D93"/>
    <w:rsid w:val="003A4F7E"/>
    <w:rsid w:val="003A581E"/>
    <w:rsid w:val="003A6781"/>
    <w:rsid w:val="003B749D"/>
    <w:rsid w:val="003B77F7"/>
    <w:rsid w:val="003C256C"/>
    <w:rsid w:val="003C49EE"/>
    <w:rsid w:val="003C4D17"/>
    <w:rsid w:val="003D2AED"/>
    <w:rsid w:val="003D2FFF"/>
    <w:rsid w:val="003D77D3"/>
    <w:rsid w:val="003E136E"/>
    <w:rsid w:val="003E62CC"/>
    <w:rsid w:val="003E755F"/>
    <w:rsid w:val="003F1591"/>
    <w:rsid w:val="003F3C8A"/>
    <w:rsid w:val="003F5631"/>
    <w:rsid w:val="00400483"/>
    <w:rsid w:val="00401EF7"/>
    <w:rsid w:val="00403A40"/>
    <w:rsid w:val="00410C57"/>
    <w:rsid w:val="00411141"/>
    <w:rsid w:val="004126D3"/>
    <w:rsid w:val="00415491"/>
    <w:rsid w:val="00415C9E"/>
    <w:rsid w:val="0041681D"/>
    <w:rsid w:val="00417A9D"/>
    <w:rsid w:val="00417CF7"/>
    <w:rsid w:val="004207C6"/>
    <w:rsid w:val="0042202D"/>
    <w:rsid w:val="00424B4C"/>
    <w:rsid w:val="0042698D"/>
    <w:rsid w:val="004305E6"/>
    <w:rsid w:val="00435165"/>
    <w:rsid w:val="00435A7C"/>
    <w:rsid w:val="004363DD"/>
    <w:rsid w:val="00436EB4"/>
    <w:rsid w:val="004371B1"/>
    <w:rsid w:val="00440254"/>
    <w:rsid w:val="004416A0"/>
    <w:rsid w:val="004422D6"/>
    <w:rsid w:val="00446A22"/>
    <w:rsid w:val="004515B4"/>
    <w:rsid w:val="004523B8"/>
    <w:rsid w:val="0046006D"/>
    <w:rsid w:val="00467232"/>
    <w:rsid w:val="00480EE1"/>
    <w:rsid w:val="00483658"/>
    <w:rsid w:val="00493B3C"/>
    <w:rsid w:val="0049402B"/>
    <w:rsid w:val="00496EDD"/>
    <w:rsid w:val="004A08A8"/>
    <w:rsid w:val="004A2F90"/>
    <w:rsid w:val="004A34D2"/>
    <w:rsid w:val="004A4E5D"/>
    <w:rsid w:val="004B1CEC"/>
    <w:rsid w:val="004B4015"/>
    <w:rsid w:val="004B40B0"/>
    <w:rsid w:val="004B5ABC"/>
    <w:rsid w:val="004B6480"/>
    <w:rsid w:val="004B7530"/>
    <w:rsid w:val="004C064E"/>
    <w:rsid w:val="004C3F00"/>
    <w:rsid w:val="004C68A1"/>
    <w:rsid w:val="004D3D92"/>
    <w:rsid w:val="004D6F87"/>
    <w:rsid w:val="004E0818"/>
    <w:rsid w:val="004E3410"/>
    <w:rsid w:val="004E4273"/>
    <w:rsid w:val="004F1B2B"/>
    <w:rsid w:val="004F5ACE"/>
    <w:rsid w:val="004F6DFE"/>
    <w:rsid w:val="00500B75"/>
    <w:rsid w:val="00501D22"/>
    <w:rsid w:val="00503316"/>
    <w:rsid w:val="0050419F"/>
    <w:rsid w:val="0051074C"/>
    <w:rsid w:val="00513AF2"/>
    <w:rsid w:val="0051714B"/>
    <w:rsid w:val="00521BD5"/>
    <w:rsid w:val="00524299"/>
    <w:rsid w:val="00524E94"/>
    <w:rsid w:val="00526287"/>
    <w:rsid w:val="00530603"/>
    <w:rsid w:val="005317CF"/>
    <w:rsid w:val="00531BA7"/>
    <w:rsid w:val="005358E8"/>
    <w:rsid w:val="00536209"/>
    <w:rsid w:val="0054119B"/>
    <w:rsid w:val="0054413A"/>
    <w:rsid w:val="00545933"/>
    <w:rsid w:val="00550EE5"/>
    <w:rsid w:val="0055334C"/>
    <w:rsid w:val="00553E74"/>
    <w:rsid w:val="005546DA"/>
    <w:rsid w:val="005564CA"/>
    <w:rsid w:val="0056008D"/>
    <w:rsid w:val="00561092"/>
    <w:rsid w:val="00565771"/>
    <w:rsid w:val="00566A3D"/>
    <w:rsid w:val="00573A49"/>
    <w:rsid w:val="00593B1E"/>
    <w:rsid w:val="00594337"/>
    <w:rsid w:val="0059529F"/>
    <w:rsid w:val="00596E3F"/>
    <w:rsid w:val="00597A66"/>
    <w:rsid w:val="005A0F62"/>
    <w:rsid w:val="005A3A23"/>
    <w:rsid w:val="005A4CBD"/>
    <w:rsid w:val="005A6079"/>
    <w:rsid w:val="005A79FE"/>
    <w:rsid w:val="005A7D64"/>
    <w:rsid w:val="005A7F32"/>
    <w:rsid w:val="005B014E"/>
    <w:rsid w:val="005B0D91"/>
    <w:rsid w:val="005B0E7C"/>
    <w:rsid w:val="005B0F06"/>
    <w:rsid w:val="005B5F34"/>
    <w:rsid w:val="005B6B25"/>
    <w:rsid w:val="005B7A31"/>
    <w:rsid w:val="005C0FEE"/>
    <w:rsid w:val="005C20D2"/>
    <w:rsid w:val="005C5176"/>
    <w:rsid w:val="005D0969"/>
    <w:rsid w:val="005D0D8C"/>
    <w:rsid w:val="005D1784"/>
    <w:rsid w:val="005D1B1D"/>
    <w:rsid w:val="005D2F21"/>
    <w:rsid w:val="005D5BAC"/>
    <w:rsid w:val="005E1D2F"/>
    <w:rsid w:val="005E2A4B"/>
    <w:rsid w:val="005E45AE"/>
    <w:rsid w:val="005E57A0"/>
    <w:rsid w:val="005E6249"/>
    <w:rsid w:val="005E6734"/>
    <w:rsid w:val="005F37E4"/>
    <w:rsid w:val="005F63C3"/>
    <w:rsid w:val="005F64B7"/>
    <w:rsid w:val="00604180"/>
    <w:rsid w:val="006048D4"/>
    <w:rsid w:val="00604D12"/>
    <w:rsid w:val="00611EDE"/>
    <w:rsid w:val="00613924"/>
    <w:rsid w:val="006156B8"/>
    <w:rsid w:val="00616AA8"/>
    <w:rsid w:val="00617E23"/>
    <w:rsid w:val="00620D9A"/>
    <w:rsid w:val="006221BF"/>
    <w:rsid w:val="00622929"/>
    <w:rsid w:val="006233C8"/>
    <w:rsid w:val="006244D1"/>
    <w:rsid w:val="00624862"/>
    <w:rsid w:val="00625958"/>
    <w:rsid w:val="00626304"/>
    <w:rsid w:val="006341D3"/>
    <w:rsid w:val="0063426E"/>
    <w:rsid w:val="00634D73"/>
    <w:rsid w:val="006358AA"/>
    <w:rsid w:val="00635D90"/>
    <w:rsid w:val="0063612F"/>
    <w:rsid w:val="006362F6"/>
    <w:rsid w:val="00636ADB"/>
    <w:rsid w:val="00640202"/>
    <w:rsid w:val="00645B79"/>
    <w:rsid w:val="00647642"/>
    <w:rsid w:val="00647FB3"/>
    <w:rsid w:val="00651F4D"/>
    <w:rsid w:val="00654038"/>
    <w:rsid w:val="006542AC"/>
    <w:rsid w:val="00654BF5"/>
    <w:rsid w:val="00655371"/>
    <w:rsid w:val="00660D4A"/>
    <w:rsid w:val="00664066"/>
    <w:rsid w:val="00664A41"/>
    <w:rsid w:val="006652C5"/>
    <w:rsid w:val="00665559"/>
    <w:rsid w:val="0066683C"/>
    <w:rsid w:val="006678DC"/>
    <w:rsid w:val="006713FC"/>
    <w:rsid w:val="00675434"/>
    <w:rsid w:val="00676132"/>
    <w:rsid w:val="006839FB"/>
    <w:rsid w:val="00686F15"/>
    <w:rsid w:val="00690310"/>
    <w:rsid w:val="006913CF"/>
    <w:rsid w:val="006935DC"/>
    <w:rsid w:val="00693D14"/>
    <w:rsid w:val="00695B02"/>
    <w:rsid w:val="00695EA3"/>
    <w:rsid w:val="0069616C"/>
    <w:rsid w:val="00697665"/>
    <w:rsid w:val="006A003C"/>
    <w:rsid w:val="006A03EA"/>
    <w:rsid w:val="006A397F"/>
    <w:rsid w:val="006A7FD0"/>
    <w:rsid w:val="006B5BFE"/>
    <w:rsid w:val="006B5F26"/>
    <w:rsid w:val="006B6446"/>
    <w:rsid w:val="006C11EC"/>
    <w:rsid w:val="006C5D24"/>
    <w:rsid w:val="006C6F6C"/>
    <w:rsid w:val="006D005F"/>
    <w:rsid w:val="006D320C"/>
    <w:rsid w:val="006D6D4B"/>
    <w:rsid w:val="006D7687"/>
    <w:rsid w:val="006E0572"/>
    <w:rsid w:val="006E2124"/>
    <w:rsid w:val="006F052E"/>
    <w:rsid w:val="006F05AE"/>
    <w:rsid w:val="006F0D49"/>
    <w:rsid w:val="006F3AD0"/>
    <w:rsid w:val="006F3C5B"/>
    <w:rsid w:val="006F5204"/>
    <w:rsid w:val="006F5F94"/>
    <w:rsid w:val="006F7416"/>
    <w:rsid w:val="00700417"/>
    <w:rsid w:val="00700637"/>
    <w:rsid w:val="00701506"/>
    <w:rsid w:val="0070168F"/>
    <w:rsid w:val="00703917"/>
    <w:rsid w:val="0070419B"/>
    <w:rsid w:val="00704F9F"/>
    <w:rsid w:val="00705631"/>
    <w:rsid w:val="00710E82"/>
    <w:rsid w:val="00713430"/>
    <w:rsid w:val="0071460B"/>
    <w:rsid w:val="00717EA0"/>
    <w:rsid w:val="0072351E"/>
    <w:rsid w:val="007246BC"/>
    <w:rsid w:val="007276CA"/>
    <w:rsid w:val="007302DD"/>
    <w:rsid w:val="0073214A"/>
    <w:rsid w:val="0073440A"/>
    <w:rsid w:val="00736AF6"/>
    <w:rsid w:val="00741FD0"/>
    <w:rsid w:val="00742DD2"/>
    <w:rsid w:val="007464C3"/>
    <w:rsid w:val="00746C97"/>
    <w:rsid w:val="00747283"/>
    <w:rsid w:val="007504FC"/>
    <w:rsid w:val="007508F1"/>
    <w:rsid w:val="00750E95"/>
    <w:rsid w:val="00750F6A"/>
    <w:rsid w:val="0075378F"/>
    <w:rsid w:val="00754877"/>
    <w:rsid w:val="00754A02"/>
    <w:rsid w:val="0075647A"/>
    <w:rsid w:val="00760BD6"/>
    <w:rsid w:val="007611C4"/>
    <w:rsid w:val="007634AD"/>
    <w:rsid w:val="00764473"/>
    <w:rsid w:val="00770C09"/>
    <w:rsid w:val="00775FF9"/>
    <w:rsid w:val="0077777E"/>
    <w:rsid w:val="0078122E"/>
    <w:rsid w:val="00785FE5"/>
    <w:rsid w:val="007901EB"/>
    <w:rsid w:val="0079027B"/>
    <w:rsid w:val="00790E5D"/>
    <w:rsid w:val="007912F2"/>
    <w:rsid w:val="00793831"/>
    <w:rsid w:val="007A294F"/>
    <w:rsid w:val="007A2B3C"/>
    <w:rsid w:val="007A535A"/>
    <w:rsid w:val="007A65FC"/>
    <w:rsid w:val="007B024B"/>
    <w:rsid w:val="007B0854"/>
    <w:rsid w:val="007B189F"/>
    <w:rsid w:val="007B3077"/>
    <w:rsid w:val="007B4FF4"/>
    <w:rsid w:val="007B5076"/>
    <w:rsid w:val="007B5792"/>
    <w:rsid w:val="007C0005"/>
    <w:rsid w:val="007C1CD2"/>
    <w:rsid w:val="007C5074"/>
    <w:rsid w:val="007C556D"/>
    <w:rsid w:val="007C6E6A"/>
    <w:rsid w:val="007C7894"/>
    <w:rsid w:val="007D67B0"/>
    <w:rsid w:val="007E4A10"/>
    <w:rsid w:val="007E76DE"/>
    <w:rsid w:val="007E793E"/>
    <w:rsid w:val="007F2F65"/>
    <w:rsid w:val="007F6B5F"/>
    <w:rsid w:val="007F6E4B"/>
    <w:rsid w:val="007F72CB"/>
    <w:rsid w:val="007F7889"/>
    <w:rsid w:val="00801AC5"/>
    <w:rsid w:val="00803048"/>
    <w:rsid w:val="0080324F"/>
    <w:rsid w:val="00804FEB"/>
    <w:rsid w:val="00807423"/>
    <w:rsid w:val="00811C9C"/>
    <w:rsid w:val="00814BCE"/>
    <w:rsid w:val="00814ED2"/>
    <w:rsid w:val="00814F99"/>
    <w:rsid w:val="00816739"/>
    <w:rsid w:val="008212B7"/>
    <w:rsid w:val="0082279C"/>
    <w:rsid w:val="00822F3D"/>
    <w:rsid w:val="00823963"/>
    <w:rsid w:val="008248AA"/>
    <w:rsid w:val="008250D2"/>
    <w:rsid w:val="00825115"/>
    <w:rsid w:val="008258CF"/>
    <w:rsid w:val="00830385"/>
    <w:rsid w:val="00830CDE"/>
    <w:rsid w:val="0083119B"/>
    <w:rsid w:val="0083254D"/>
    <w:rsid w:val="00832C7F"/>
    <w:rsid w:val="00836EAB"/>
    <w:rsid w:val="00840C17"/>
    <w:rsid w:val="0084429A"/>
    <w:rsid w:val="0085092D"/>
    <w:rsid w:val="008522FB"/>
    <w:rsid w:val="00852EBF"/>
    <w:rsid w:val="008552FB"/>
    <w:rsid w:val="008566F8"/>
    <w:rsid w:val="0085720F"/>
    <w:rsid w:val="008639E7"/>
    <w:rsid w:val="0086672C"/>
    <w:rsid w:val="008668CA"/>
    <w:rsid w:val="008701A2"/>
    <w:rsid w:val="00871196"/>
    <w:rsid w:val="00872A43"/>
    <w:rsid w:val="00873912"/>
    <w:rsid w:val="00875624"/>
    <w:rsid w:val="00877E95"/>
    <w:rsid w:val="00881840"/>
    <w:rsid w:val="008820D9"/>
    <w:rsid w:val="00882B32"/>
    <w:rsid w:val="00882FBB"/>
    <w:rsid w:val="008866E2"/>
    <w:rsid w:val="00886854"/>
    <w:rsid w:val="0089026E"/>
    <w:rsid w:val="00891114"/>
    <w:rsid w:val="00893DA8"/>
    <w:rsid w:val="00894786"/>
    <w:rsid w:val="008957F9"/>
    <w:rsid w:val="008A0E32"/>
    <w:rsid w:val="008A2287"/>
    <w:rsid w:val="008B14DE"/>
    <w:rsid w:val="008B5052"/>
    <w:rsid w:val="008B540B"/>
    <w:rsid w:val="008B573F"/>
    <w:rsid w:val="008B5A7F"/>
    <w:rsid w:val="008B6C27"/>
    <w:rsid w:val="008C5043"/>
    <w:rsid w:val="008D16FC"/>
    <w:rsid w:val="008D1A50"/>
    <w:rsid w:val="008D280F"/>
    <w:rsid w:val="008D55B2"/>
    <w:rsid w:val="008D7C48"/>
    <w:rsid w:val="008E15D0"/>
    <w:rsid w:val="008E197C"/>
    <w:rsid w:val="008E1C15"/>
    <w:rsid w:val="008E3D30"/>
    <w:rsid w:val="008E5170"/>
    <w:rsid w:val="008E541E"/>
    <w:rsid w:val="008E58F0"/>
    <w:rsid w:val="008E5A50"/>
    <w:rsid w:val="008E66DF"/>
    <w:rsid w:val="008F0915"/>
    <w:rsid w:val="008F1081"/>
    <w:rsid w:val="008F37B6"/>
    <w:rsid w:val="008F3EB4"/>
    <w:rsid w:val="008F6A28"/>
    <w:rsid w:val="008F7FD6"/>
    <w:rsid w:val="00900B9E"/>
    <w:rsid w:val="009047C5"/>
    <w:rsid w:val="00904AF1"/>
    <w:rsid w:val="0090545B"/>
    <w:rsid w:val="00906480"/>
    <w:rsid w:val="0091455C"/>
    <w:rsid w:val="009155EA"/>
    <w:rsid w:val="00921D38"/>
    <w:rsid w:val="009228F3"/>
    <w:rsid w:val="00922D56"/>
    <w:rsid w:val="00925566"/>
    <w:rsid w:val="00925BE9"/>
    <w:rsid w:val="00927C0F"/>
    <w:rsid w:val="0093384C"/>
    <w:rsid w:val="00935A2D"/>
    <w:rsid w:val="0094233A"/>
    <w:rsid w:val="00945D4E"/>
    <w:rsid w:val="0094641D"/>
    <w:rsid w:val="00947539"/>
    <w:rsid w:val="00950C4E"/>
    <w:rsid w:val="0095385A"/>
    <w:rsid w:val="00955413"/>
    <w:rsid w:val="00955F41"/>
    <w:rsid w:val="0096050B"/>
    <w:rsid w:val="009606E0"/>
    <w:rsid w:val="0096071B"/>
    <w:rsid w:val="0096278F"/>
    <w:rsid w:val="00963D72"/>
    <w:rsid w:val="00967962"/>
    <w:rsid w:val="009721E6"/>
    <w:rsid w:val="0097455A"/>
    <w:rsid w:val="009823C6"/>
    <w:rsid w:val="0098485F"/>
    <w:rsid w:val="009875B8"/>
    <w:rsid w:val="009933FD"/>
    <w:rsid w:val="00996E00"/>
    <w:rsid w:val="00997084"/>
    <w:rsid w:val="009A0375"/>
    <w:rsid w:val="009A1768"/>
    <w:rsid w:val="009A3BF9"/>
    <w:rsid w:val="009A52AA"/>
    <w:rsid w:val="009B1241"/>
    <w:rsid w:val="009C19F6"/>
    <w:rsid w:val="009C2731"/>
    <w:rsid w:val="009C53DB"/>
    <w:rsid w:val="009D22EB"/>
    <w:rsid w:val="009D2DE6"/>
    <w:rsid w:val="009D36E9"/>
    <w:rsid w:val="009D46D8"/>
    <w:rsid w:val="009D54EC"/>
    <w:rsid w:val="009D5A1F"/>
    <w:rsid w:val="009D7209"/>
    <w:rsid w:val="009E182F"/>
    <w:rsid w:val="009E2A00"/>
    <w:rsid w:val="009E73B5"/>
    <w:rsid w:val="009F0EAF"/>
    <w:rsid w:val="009F4136"/>
    <w:rsid w:val="009F4333"/>
    <w:rsid w:val="009F48F4"/>
    <w:rsid w:val="009F5D49"/>
    <w:rsid w:val="009F6E1F"/>
    <w:rsid w:val="009F7CCD"/>
    <w:rsid w:val="00A00FAE"/>
    <w:rsid w:val="00A032E4"/>
    <w:rsid w:val="00A03364"/>
    <w:rsid w:val="00A05FF2"/>
    <w:rsid w:val="00A0718D"/>
    <w:rsid w:val="00A07EEB"/>
    <w:rsid w:val="00A1387B"/>
    <w:rsid w:val="00A139F2"/>
    <w:rsid w:val="00A1593B"/>
    <w:rsid w:val="00A1714F"/>
    <w:rsid w:val="00A211FC"/>
    <w:rsid w:val="00A24560"/>
    <w:rsid w:val="00A24EF7"/>
    <w:rsid w:val="00A3196D"/>
    <w:rsid w:val="00A34538"/>
    <w:rsid w:val="00A37884"/>
    <w:rsid w:val="00A456B2"/>
    <w:rsid w:val="00A515E6"/>
    <w:rsid w:val="00A51AA1"/>
    <w:rsid w:val="00A542A7"/>
    <w:rsid w:val="00A605AF"/>
    <w:rsid w:val="00A617A0"/>
    <w:rsid w:val="00A62ADA"/>
    <w:rsid w:val="00A63500"/>
    <w:rsid w:val="00A64EAE"/>
    <w:rsid w:val="00A65B7F"/>
    <w:rsid w:val="00A667D7"/>
    <w:rsid w:val="00A67218"/>
    <w:rsid w:val="00A70DE5"/>
    <w:rsid w:val="00A71686"/>
    <w:rsid w:val="00A737E6"/>
    <w:rsid w:val="00A7446C"/>
    <w:rsid w:val="00A80765"/>
    <w:rsid w:val="00A850E7"/>
    <w:rsid w:val="00A853AE"/>
    <w:rsid w:val="00A947EE"/>
    <w:rsid w:val="00A975D9"/>
    <w:rsid w:val="00AA1802"/>
    <w:rsid w:val="00AA1D5A"/>
    <w:rsid w:val="00AA2184"/>
    <w:rsid w:val="00AA23B9"/>
    <w:rsid w:val="00AA442B"/>
    <w:rsid w:val="00AA4FB7"/>
    <w:rsid w:val="00AA753E"/>
    <w:rsid w:val="00AC04D1"/>
    <w:rsid w:val="00AC5186"/>
    <w:rsid w:val="00AC6C82"/>
    <w:rsid w:val="00AD0DBE"/>
    <w:rsid w:val="00AE1106"/>
    <w:rsid w:val="00AE170B"/>
    <w:rsid w:val="00AE27A7"/>
    <w:rsid w:val="00AE6988"/>
    <w:rsid w:val="00AE74BA"/>
    <w:rsid w:val="00AF1C89"/>
    <w:rsid w:val="00AF3754"/>
    <w:rsid w:val="00AF3810"/>
    <w:rsid w:val="00AF3C99"/>
    <w:rsid w:val="00AF48A6"/>
    <w:rsid w:val="00AF5DB0"/>
    <w:rsid w:val="00B011AD"/>
    <w:rsid w:val="00B041C1"/>
    <w:rsid w:val="00B04570"/>
    <w:rsid w:val="00B04E5A"/>
    <w:rsid w:val="00B05082"/>
    <w:rsid w:val="00B05685"/>
    <w:rsid w:val="00B06DB6"/>
    <w:rsid w:val="00B07020"/>
    <w:rsid w:val="00B07C93"/>
    <w:rsid w:val="00B104FB"/>
    <w:rsid w:val="00B172AB"/>
    <w:rsid w:val="00B20E92"/>
    <w:rsid w:val="00B211A2"/>
    <w:rsid w:val="00B21853"/>
    <w:rsid w:val="00B22E22"/>
    <w:rsid w:val="00B33DF3"/>
    <w:rsid w:val="00B375EF"/>
    <w:rsid w:val="00B4148A"/>
    <w:rsid w:val="00B42D84"/>
    <w:rsid w:val="00B44319"/>
    <w:rsid w:val="00B52277"/>
    <w:rsid w:val="00B525CB"/>
    <w:rsid w:val="00B52845"/>
    <w:rsid w:val="00B606AE"/>
    <w:rsid w:val="00B60E21"/>
    <w:rsid w:val="00B63CB2"/>
    <w:rsid w:val="00B64D86"/>
    <w:rsid w:val="00B7127D"/>
    <w:rsid w:val="00B71667"/>
    <w:rsid w:val="00B725F6"/>
    <w:rsid w:val="00B728A5"/>
    <w:rsid w:val="00B73DEE"/>
    <w:rsid w:val="00B745E8"/>
    <w:rsid w:val="00B7508D"/>
    <w:rsid w:val="00B765CD"/>
    <w:rsid w:val="00B8232B"/>
    <w:rsid w:val="00B82A8E"/>
    <w:rsid w:val="00B841C8"/>
    <w:rsid w:val="00B84CB5"/>
    <w:rsid w:val="00B85735"/>
    <w:rsid w:val="00B862F6"/>
    <w:rsid w:val="00B9264D"/>
    <w:rsid w:val="00B959E7"/>
    <w:rsid w:val="00B97FF3"/>
    <w:rsid w:val="00BA028A"/>
    <w:rsid w:val="00BA09D6"/>
    <w:rsid w:val="00BB0477"/>
    <w:rsid w:val="00BB12D1"/>
    <w:rsid w:val="00BB226F"/>
    <w:rsid w:val="00BB2EC5"/>
    <w:rsid w:val="00BB4ECC"/>
    <w:rsid w:val="00BB567C"/>
    <w:rsid w:val="00BB73C3"/>
    <w:rsid w:val="00BB755B"/>
    <w:rsid w:val="00BB76C8"/>
    <w:rsid w:val="00BC0435"/>
    <w:rsid w:val="00BC0553"/>
    <w:rsid w:val="00BC17AA"/>
    <w:rsid w:val="00BC2763"/>
    <w:rsid w:val="00BC2896"/>
    <w:rsid w:val="00BC56BA"/>
    <w:rsid w:val="00BC5A6A"/>
    <w:rsid w:val="00BD1364"/>
    <w:rsid w:val="00BD24F7"/>
    <w:rsid w:val="00BD4192"/>
    <w:rsid w:val="00BD5028"/>
    <w:rsid w:val="00BD5B82"/>
    <w:rsid w:val="00BD5D80"/>
    <w:rsid w:val="00BD5DA4"/>
    <w:rsid w:val="00BD6190"/>
    <w:rsid w:val="00BD78FE"/>
    <w:rsid w:val="00BE22FC"/>
    <w:rsid w:val="00BE60D0"/>
    <w:rsid w:val="00BE704E"/>
    <w:rsid w:val="00BF0970"/>
    <w:rsid w:val="00BF2545"/>
    <w:rsid w:val="00BF27E9"/>
    <w:rsid w:val="00BF4330"/>
    <w:rsid w:val="00BF4E81"/>
    <w:rsid w:val="00BF7D79"/>
    <w:rsid w:val="00BF7EFE"/>
    <w:rsid w:val="00C02F60"/>
    <w:rsid w:val="00C041A1"/>
    <w:rsid w:val="00C0607F"/>
    <w:rsid w:val="00C06443"/>
    <w:rsid w:val="00C07F86"/>
    <w:rsid w:val="00C11FB6"/>
    <w:rsid w:val="00C12677"/>
    <w:rsid w:val="00C1503B"/>
    <w:rsid w:val="00C1508A"/>
    <w:rsid w:val="00C157B3"/>
    <w:rsid w:val="00C2341D"/>
    <w:rsid w:val="00C2713D"/>
    <w:rsid w:val="00C31F87"/>
    <w:rsid w:val="00C33B1D"/>
    <w:rsid w:val="00C33C41"/>
    <w:rsid w:val="00C37CD6"/>
    <w:rsid w:val="00C44259"/>
    <w:rsid w:val="00C449B5"/>
    <w:rsid w:val="00C467D5"/>
    <w:rsid w:val="00C525B1"/>
    <w:rsid w:val="00C61414"/>
    <w:rsid w:val="00C74E01"/>
    <w:rsid w:val="00C7673C"/>
    <w:rsid w:val="00C80B17"/>
    <w:rsid w:val="00C80CC4"/>
    <w:rsid w:val="00C846CA"/>
    <w:rsid w:val="00C857EB"/>
    <w:rsid w:val="00C871F2"/>
    <w:rsid w:val="00C878AF"/>
    <w:rsid w:val="00CA0BCB"/>
    <w:rsid w:val="00CA287E"/>
    <w:rsid w:val="00CB2EE0"/>
    <w:rsid w:val="00CB4BA0"/>
    <w:rsid w:val="00CB5220"/>
    <w:rsid w:val="00CB55AE"/>
    <w:rsid w:val="00CC00CD"/>
    <w:rsid w:val="00CC2924"/>
    <w:rsid w:val="00CC55CA"/>
    <w:rsid w:val="00CC7AF3"/>
    <w:rsid w:val="00CC7BF7"/>
    <w:rsid w:val="00CD29EC"/>
    <w:rsid w:val="00CD4BD4"/>
    <w:rsid w:val="00CD50BF"/>
    <w:rsid w:val="00CD5662"/>
    <w:rsid w:val="00CE302E"/>
    <w:rsid w:val="00CE3D07"/>
    <w:rsid w:val="00CE5926"/>
    <w:rsid w:val="00CE5E8A"/>
    <w:rsid w:val="00CF16F1"/>
    <w:rsid w:val="00CF1DE5"/>
    <w:rsid w:val="00CF3376"/>
    <w:rsid w:val="00CF6C19"/>
    <w:rsid w:val="00D02615"/>
    <w:rsid w:val="00D05F08"/>
    <w:rsid w:val="00D060D9"/>
    <w:rsid w:val="00D06F4E"/>
    <w:rsid w:val="00D10462"/>
    <w:rsid w:val="00D12206"/>
    <w:rsid w:val="00D1409A"/>
    <w:rsid w:val="00D15F65"/>
    <w:rsid w:val="00D166ED"/>
    <w:rsid w:val="00D16E39"/>
    <w:rsid w:val="00D206E0"/>
    <w:rsid w:val="00D2317B"/>
    <w:rsid w:val="00D23C6A"/>
    <w:rsid w:val="00D30F2E"/>
    <w:rsid w:val="00D3287F"/>
    <w:rsid w:val="00D34BCF"/>
    <w:rsid w:val="00D35852"/>
    <w:rsid w:val="00D41929"/>
    <w:rsid w:val="00D41B41"/>
    <w:rsid w:val="00D44542"/>
    <w:rsid w:val="00D44F0A"/>
    <w:rsid w:val="00D45D55"/>
    <w:rsid w:val="00D45EEC"/>
    <w:rsid w:val="00D52976"/>
    <w:rsid w:val="00D562FD"/>
    <w:rsid w:val="00D6191F"/>
    <w:rsid w:val="00D704A0"/>
    <w:rsid w:val="00D7084A"/>
    <w:rsid w:val="00D72434"/>
    <w:rsid w:val="00D72E9D"/>
    <w:rsid w:val="00D735B3"/>
    <w:rsid w:val="00D805B5"/>
    <w:rsid w:val="00D82CE5"/>
    <w:rsid w:val="00D83433"/>
    <w:rsid w:val="00D85416"/>
    <w:rsid w:val="00D8715A"/>
    <w:rsid w:val="00D91972"/>
    <w:rsid w:val="00D929D2"/>
    <w:rsid w:val="00D92AE4"/>
    <w:rsid w:val="00D9409C"/>
    <w:rsid w:val="00DA04A8"/>
    <w:rsid w:val="00DA1A54"/>
    <w:rsid w:val="00DA247F"/>
    <w:rsid w:val="00DA2867"/>
    <w:rsid w:val="00DA3E41"/>
    <w:rsid w:val="00DA40B9"/>
    <w:rsid w:val="00DA41EF"/>
    <w:rsid w:val="00DA5AB1"/>
    <w:rsid w:val="00DA628E"/>
    <w:rsid w:val="00DA66DC"/>
    <w:rsid w:val="00DB3E34"/>
    <w:rsid w:val="00DB47CE"/>
    <w:rsid w:val="00DC14ED"/>
    <w:rsid w:val="00DC37CA"/>
    <w:rsid w:val="00DC61AE"/>
    <w:rsid w:val="00DC62E5"/>
    <w:rsid w:val="00DD3749"/>
    <w:rsid w:val="00DD5D6D"/>
    <w:rsid w:val="00DD735D"/>
    <w:rsid w:val="00DD76E7"/>
    <w:rsid w:val="00DE0165"/>
    <w:rsid w:val="00DE3119"/>
    <w:rsid w:val="00DF1911"/>
    <w:rsid w:val="00DF1D7F"/>
    <w:rsid w:val="00DF236B"/>
    <w:rsid w:val="00DF23C3"/>
    <w:rsid w:val="00DF49D0"/>
    <w:rsid w:val="00DF68EA"/>
    <w:rsid w:val="00E00354"/>
    <w:rsid w:val="00E01C96"/>
    <w:rsid w:val="00E07C89"/>
    <w:rsid w:val="00E10662"/>
    <w:rsid w:val="00E13AB8"/>
    <w:rsid w:val="00E14B7A"/>
    <w:rsid w:val="00E153BC"/>
    <w:rsid w:val="00E20D99"/>
    <w:rsid w:val="00E23B95"/>
    <w:rsid w:val="00E2472C"/>
    <w:rsid w:val="00E275B7"/>
    <w:rsid w:val="00E33B62"/>
    <w:rsid w:val="00E33D54"/>
    <w:rsid w:val="00E41962"/>
    <w:rsid w:val="00E41FFD"/>
    <w:rsid w:val="00E45D0D"/>
    <w:rsid w:val="00E46676"/>
    <w:rsid w:val="00E47C8D"/>
    <w:rsid w:val="00E50CC8"/>
    <w:rsid w:val="00E537BA"/>
    <w:rsid w:val="00E53AA3"/>
    <w:rsid w:val="00E54157"/>
    <w:rsid w:val="00E55936"/>
    <w:rsid w:val="00E57BE1"/>
    <w:rsid w:val="00E612C4"/>
    <w:rsid w:val="00E63CE1"/>
    <w:rsid w:val="00E65C4D"/>
    <w:rsid w:val="00E6688D"/>
    <w:rsid w:val="00E67FB4"/>
    <w:rsid w:val="00E70E8F"/>
    <w:rsid w:val="00E71097"/>
    <w:rsid w:val="00E719C4"/>
    <w:rsid w:val="00E72CB0"/>
    <w:rsid w:val="00E73B9B"/>
    <w:rsid w:val="00E75AA7"/>
    <w:rsid w:val="00E7650B"/>
    <w:rsid w:val="00E80D5C"/>
    <w:rsid w:val="00E8248F"/>
    <w:rsid w:val="00E839DE"/>
    <w:rsid w:val="00E92505"/>
    <w:rsid w:val="00E93B7C"/>
    <w:rsid w:val="00E94551"/>
    <w:rsid w:val="00E96FEF"/>
    <w:rsid w:val="00E9736C"/>
    <w:rsid w:val="00EA0305"/>
    <w:rsid w:val="00EB4C32"/>
    <w:rsid w:val="00EB52F9"/>
    <w:rsid w:val="00EB56E7"/>
    <w:rsid w:val="00EB5E43"/>
    <w:rsid w:val="00EB6EED"/>
    <w:rsid w:val="00EB6FDF"/>
    <w:rsid w:val="00EB7A4F"/>
    <w:rsid w:val="00EC09DC"/>
    <w:rsid w:val="00EC6F95"/>
    <w:rsid w:val="00EC7AB6"/>
    <w:rsid w:val="00EC7ECE"/>
    <w:rsid w:val="00ED188C"/>
    <w:rsid w:val="00ED4B0B"/>
    <w:rsid w:val="00ED7016"/>
    <w:rsid w:val="00EE2950"/>
    <w:rsid w:val="00EE3756"/>
    <w:rsid w:val="00EE38D3"/>
    <w:rsid w:val="00EE3A7F"/>
    <w:rsid w:val="00EE5C04"/>
    <w:rsid w:val="00EE5E75"/>
    <w:rsid w:val="00EE61A7"/>
    <w:rsid w:val="00EE6BB2"/>
    <w:rsid w:val="00EF0642"/>
    <w:rsid w:val="00EF3464"/>
    <w:rsid w:val="00EF77D0"/>
    <w:rsid w:val="00F03F66"/>
    <w:rsid w:val="00F05587"/>
    <w:rsid w:val="00F1150C"/>
    <w:rsid w:val="00F1336F"/>
    <w:rsid w:val="00F147B5"/>
    <w:rsid w:val="00F16C24"/>
    <w:rsid w:val="00F20EE9"/>
    <w:rsid w:val="00F2125B"/>
    <w:rsid w:val="00F24959"/>
    <w:rsid w:val="00F25A7F"/>
    <w:rsid w:val="00F25FB2"/>
    <w:rsid w:val="00F35E5B"/>
    <w:rsid w:val="00F361AA"/>
    <w:rsid w:val="00F419DB"/>
    <w:rsid w:val="00F43B09"/>
    <w:rsid w:val="00F44584"/>
    <w:rsid w:val="00F455CE"/>
    <w:rsid w:val="00F46295"/>
    <w:rsid w:val="00F4748A"/>
    <w:rsid w:val="00F5169E"/>
    <w:rsid w:val="00F536F9"/>
    <w:rsid w:val="00F572FF"/>
    <w:rsid w:val="00F610DD"/>
    <w:rsid w:val="00F64F23"/>
    <w:rsid w:val="00F654D5"/>
    <w:rsid w:val="00F70B2A"/>
    <w:rsid w:val="00F84899"/>
    <w:rsid w:val="00F851BD"/>
    <w:rsid w:val="00F859F0"/>
    <w:rsid w:val="00F85BA1"/>
    <w:rsid w:val="00F90188"/>
    <w:rsid w:val="00F90EFE"/>
    <w:rsid w:val="00F90FA9"/>
    <w:rsid w:val="00F9437D"/>
    <w:rsid w:val="00F95785"/>
    <w:rsid w:val="00F957F4"/>
    <w:rsid w:val="00FA0F93"/>
    <w:rsid w:val="00FA2385"/>
    <w:rsid w:val="00FA5544"/>
    <w:rsid w:val="00FA7267"/>
    <w:rsid w:val="00FB016F"/>
    <w:rsid w:val="00FB1066"/>
    <w:rsid w:val="00FB16F4"/>
    <w:rsid w:val="00FB1A15"/>
    <w:rsid w:val="00FC08BA"/>
    <w:rsid w:val="00FC2F62"/>
    <w:rsid w:val="00FC34A0"/>
    <w:rsid w:val="00FC5FAF"/>
    <w:rsid w:val="00FC7599"/>
    <w:rsid w:val="00FD23EB"/>
    <w:rsid w:val="00FD2F3D"/>
    <w:rsid w:val="00FD5B88"/>
    <w:rsid w:val="00FD72D9"/>
    <w:rsid w:val="00FE12E4"/>
    <w:rsid w:val="00FE141E"/>
    <w:rsid w:val="00FE517A"/>
    <w:rsid w:val="00FE5A92"/>
    <w:rsid w:val="00FE5E73"/>
    <w:rsid w:val="00FE6A0D"/>
    <w:rsid w:val="00FF0E1F"/>
    <w:rsid w:val="00FF0F94"/>
    <w:rsid w:val="00FF3927"/>
    <w:rsid w:val="00FF3B12"/>
    <w:rsid w:val="00FF41F4"/>
    <w:rsid w:val="00FF764A"/>
    <w:rsid w:val="1D8946CE"/>
    <w:rsid w:val="2B4A71B1"/>
    <w:rsid w:val="307B3D81"/>
    <w:rsid w:val="30D1FDA0"/>
    <w:rsid w:val="34E4CC3D"/>
    <w:rsid w:val="3FB0ED2D"/>
    <w:rsid w:val="50BC7C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E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 w:type="character" w:customStyle="1" w:styleId="Mencinsinresolver1">
    <w:name w:val="Mención sin resolver1"/>
    <w:basedOn w:val="Fuentedeprrafopredeter"/>
    <w:uiPriority w:val="99"/>
    <w:semiHidden/>
    <w:unhideWhenUsed/>
    <w:rsid w:val="00625958"/>
    <w:rPr>
      <w:color w:val="605E5C"/>
      <w:shd w:val="clear" w:color="auto" w:fill="E1DFDD"/>
    </w:rPr>
  </w:style>
  <w:style w:type="table" w:customStyle="1" w:styleId="Tablaconcuadrcula1">
    <w:name w:val="Tabla con cuadrícula1"/>
    <w:basedOn w:val="Tablanormal"/>
    <w:next w:val="Tablaconcuadrcula"/>
    <w:uiPriority w:val="59"/>
    <w:rsid w:val="00B211A2"/>
    <w:pPr>
      <w:spacing w:after="0" w:line="240" w:lineRule="auto"/>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CD29EC"/>
    <w:pPr>
      <w:spacing w:after="160" w:line="240" w:lineRule="exact"/>
    </w:pPr>
    <w:rPr>
      <w:sz w:val="22"/>
      <w:vertAlign w:val="superscript"/>
      <w:lang w:val="es-CO"/>
    </w:rPr>
  </w:style>
  <w:style w:type="character" w:styleId="Mencinsinresolver">
    <w:name w:val="Unresolved Mention"/>
    <w:basedOn w:val="Fuentedeprrafopredeter"/>
    <w:uiPriority w:val="99"/>
    <w:semiHidden/>
    <w:unhideWhenUsed/>
    <w:rsid w:val="003A4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3261803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585696880">
      <w:bodyDiv w:val="1"/>
      <w:marLeft w:val="0"/>
      <w:marRight w:val="0"/>
      <w:marTop w:val="0"/>
      <w:marBottom w:val="0"/>
      <w:divBdr>
        <w:top w:val="none" w:sz="0" w:space="0" w:color="auto"/>
        <w:left w:val="none" w:sz="0" w:space="0" w:color="auto"/>
        <w:bottom w:val="none" w:sz="0" w:space="0" w:color="auto"/>
        <w:right w:val="none" w:sz="0" w:space="0" w:color="auto"/>
      </w:divBdr>
      <w:divsChild>
        <w:div w:id="1661038164">
          <w:marLeft w:val="0"/>
          <w:marRight w:val="0"/>
          <w:marTop w:val="0"/>
          <w:marBottom w:val="0"/>
          <w:divBdr>
            <w:top w:val="none" w:sz="0" w:space="0" w:color="auto"/>
            <w:left w:val="none" w:sz="0" w:space="0" w:color="auto"/>
            <w:bottom w:val="none" w:sz="0" w:space="0" w:color="auto"/>
            <w:right w:val="none" w:sz="0" w:space="0" w:color="auto"/>
          </w:divBdr>
          <w:divsChild>
            <w:div w:id="806163170">
              <w:marLeft w:val="0"/>
              <w:marRight w:val="0"/>
              <w:marTop w:val="0"/>
              <w:marBottom w:val="0"/>
              <w:divBdr>
                <w:top w:val="none" w:sz="0" w:space="0" w:color="auto"/>
                <w:left w:val="none" w:sz="0" w:space="0" w:color="auto"/>
                <w:bottom w:val="none" w:sz="0" w:space="0" w:color="auto"/>
                <w:right w:val="none" w:sz="0" w:space="0" w:color="auto"/>
              </w:divBdr>
              <w:divsChild>
                <w:div w:id="8460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3632">
      <w:bodyDiv w:val="1"/>
      <w:marLeft w:val="0"/>
      <w:marRight w:val="0"/>
      <w:marTop w:val="0"/>
      <w:marBottom w:val="0"/>
      <w:divBdr>
        <w:top w:val="none" w:sz="0" w:space="0" w:color="auto"/>
        <w:left w:val="none" w:sz="0" w:space="0" w:color="auto"/>
        <w:bottom w:val="none" w:sz="0" w:space="0" w:color="auto"/>
        <w:right w:val="none" w:sz="0" w:space="0" w:color="auto"/>
      </w:divBdr>
    </w:div>
    <w:div w:id="721945294">
      <w:bodyDiv w:val="1"/>
      <w:marLeft w:val="0"/>
      <w:marRight w:val="0"/>
      <w:marTop w:val="0"/>
      <w:marBottom w:val="0"/>
      <w:divBdr>
        <w:top w:val="none" w:sz="0" w:space="0" w:color="auto"/>
        <w:left w:val="none" w:sz="0" w:space="0" w:color="auto"/>
        <w:bottom w:val="none" w:sz="0" w:space="0" w:color="auto"/>
        <w:right w:val="none" w:sz="0" w:space="0" w:color="auto"/>
      </w:divBdr>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71964638">
      <w:bodyDiv w:val="1"/>
      <w:marLeft w:val="0"/>
      <w:marRight w:val="0"/>
      <w:marTop w:val="0"/>
      <w:marBottom w:val="0"/>
      <w:divBdr>
        <w:top w:val="none" w:sz="0" w:space="0" w:color="auto"/>
        <w:left w:val="none" w:sz="0" w:space="0" w:color="auto"/>
        <w:bottom w:val="none" w:sz="0" w:space="0" w:color="auto"/>
        <w:right w:val="none" w:sz="0" w:space="0" w:color="auto"/>
      </w:divBdr>
      <w:divsChild>
        <w:div w:id="916131246">
          <w:marLeft w:val="0"/>
          <w:marRight w:val="0"/>
          <w:marTop w:val="0"/>
          <w:marBottom w:val="0"/>
          <w:divBdr>
            <w:top w:val="none" w:sz="0" w:space="0" w:color="auto"/>
            <w:left w:val="none" w:sz="0" w:space="0" w:color="auto"/>
            <w:bottom w:val="none" w:sz="0" w:space="0" w:color="auto"/>
            <w:right w:val="none" w:sz="0" w:space="0" w:color="auto"/>
          </w:divBdr>
          <w:divsChild>
            <w:div w:id="1427460069">
              <w:marLeft w:val="0"/>
              <w:marRight w:val="0"/>
              <w:marTop w:val="0"/>
              <w:marBottom w:val="0"/>
              <w:divBdr>
                <w:top w:val="none" w:sz="0" w:space="0" w:color="auto"/>
                <w:left w:val="none" w:sz="0" w:space="0" w:color="auto"/>
                <w:bottom w:val="none" w:sz="0" w:space="0" w:color="auto"/>
                <w:right w:val="none" w:sz="0" w:space="0" w:color="auto"/>
              </w:divBdr>
              <w:divsChild>
                <w:div w:id="20243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590768913">
      <w:bodyDiv w:val="1"/>
      <w:marLeft w:val="0"/>
      <w:marRight w:val="0"/>
      <w:marTop w:val="0"/>
      <w:marBottom w:val="0"/>
      <w:divBdr>
        <w:top w:val="none" w:sz="0" w:space="0" w:color="auto"/>
        <w:left w:val="none" w:sz="0" w:space="0" w:color="auto"/>
        <w:bottom w:val="none" w:sz="0" w:space="0" w:color="auto"/>
        <w:right w:val="none" w:sz="0" w:space="0" w:color="auto"/>
      </w:divBdr>
      <w:divsChild>
        <w:div w:id="276721758">
          <w:marLeft w:val="0"/>
          <w:marRight w:val="0"/>
          <w:marTop w:val="0"/>
          <w:marBottom w:val="0"/>
          <w:divBdr>
            <w:top w:val="none" w:sz="0" w:space="0" w:color="auto"/>
            <w:left w:val="none" w:sz="0" w:space="0" w:color="auto"/>
            <w:bottom w:val="none" w:sz="0" w:space="0" w:color="auto"/>
            <w:right w:val="none" w:sz="0" w:space="0" w:color="auto"/>
          </w:divBdr>
          <w:divsChild>
            <w:div w:id="2105571524">
              <w:marLeft w:val="0"/>
              <w:marRight w:val="0"/>
              <w:marTop w:val="0"/>
              <w:marBottom w:val="0"/>
              <w:divBdr>
                <w:top w:val="none" w:sz="0" w:space="0" w:color="auto"/>
                <w:left w:val="none" w:sz="0" w:space="0" w:color="auto"/>
                <w:bottom w:val="none" w:sz="0" w:space="0" w:color="auto"/>
                <w:right w:val="none" w:sz="0" w:space="0" w:color="auto"/>
              </w:divBdr>
              <w:divsChild>
                <w:div w:id="1305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1694838346">
      <w:bodyDiv w:val="1"/>
      <w:marLeft w:val="0"/>
      <w:marRight w:val="0"/>
      <w:marTop w:val="0"/>
      <w:marBottom w:val="0"/>
      <w:divBdr>
        <w:top w:val="none" w:sz="0" w:space="0" w:color="auto"/>
        <w:left w:val="none" w:sz="0" w:space="0" w:color="auto"/>
        <w:bottom w:val="none" w:sz="0" w:space="0" w:color="auto"/>
        <w:right w:val="none" w:sz="0" w:space="0" w:color="auto"/>
      </w:divBdr>
    </w:div>
    <w:div w:id="1897812255">
      <w:bodyDiv w:val="1"/>
      <w:marLeft w:val="0"/>
      <w:marRight w:val="0"/>
      <w:marTop w:val="0"/>
      <w:marBottom w:val="0"/>
      <w:divBdr>
        <w:top w:val="none" w:sz="0" w:space="0" w:color="auto"/>
        <w:left w:val="none" w:sz="0" w:space="0" w:color="auto"/>
        <w:bottom w:val="none" w:sz="0" w:space="0" w:color="auto"/>
        <w:right w:val="none" w:sz="0" w:space="0" w:color="auto"/>
      </w:divBdr>
      <w:divsChild>
        <w:div w:id="872423779">
          <w:marLeft w:val="0"/>
          <w:marRight w:val="0"/>
          <w:marTop w:val="0"/>
          <w:marBottom w:val="0"/>
          <w:divBdr>
            <w:top w:val="none" w:sz="0" w:space="0" w:color="auto"/>
            <w:left w:val="none" w:sz="0" w:space="0" w:color="auto"/>
            <w:bottom w:val="none" w:sz="0" w:space="0" w:color="auto"/>
            <w:right w:val="none" w:sz="0" w:space="0" w:color="auto"/>
          </w:divBdr>
          <w:divsChild>
            <w:div w:id="171918198">
              <w:marLeft w:val="0"/>
              <w:marRight w:val="0"/>
              <w:marTop w:val="0"/>
              <w:marBottom w:val="0"/>
              <w:divBdr>
                <w:top w:val="none" w:sz="0" w:space="0" w:color="auto"/>
                <w:left w:val="none" w:sz="0" w:space="0" w:color="auto"/>
                <w:bottom w:val="none" w:sz="0" w:space="0" w:color="auto"/>
                <w:right w:val="none" w:sz="0" w:space="0" w:color="auto"/>
              </w:divBdr>
              <w:divsChild>
                <w:div w:id="7703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documentos-tipo/documentos-tip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erfinanciera.gov.co/publicacion/608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5765C-EBF7-4844-BBD9-F9F45EC7704D}">
  <ds:schemaRefs>
    <ds:schemaRef ds:uri="http://schemas.openxmlformats.org/officeDocument/2006/bibliography"/>
  </ds:schemaRefs>
</ds:datastoreItem>
</file>

<file path=customXml/itemProps2.xml><?xml version="1.0" encoding="utf-8"?>
<ds:datastoreItem xmlns:ds="http://schemas.openxmlformats.org/officeDocument/2006/customXml" ds:itemID="{A0DF68A8-DDE3-4645-8CC2-B2693BCF156D}"/>
</file>

<file path=customXml/itemProps3.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10</Pages>
  <Words>3550</Words>
  <Characters>19525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 Rojas</cp:lastModifiedBy>
  <cp:revision>2</cp:revision>
  <dcterms:created xsi:type="dcterms:W3CDTF">2021-08-02T16:29:00Z</dcterms:created>
  <dcterms:modified xsi:type="dcterms:W3CDTF">2021-08-02T16:29:00Z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