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3066CD13" w:rsidR="005A79FE" w:rsidRPr="00B47E74" w:rsidRDefault="005A79FE" w:rsidP="00CC17D1">
      <w:pPr>
        <w:ind w:left="708" w:hanging="708"/>
        <w:jc w:val="right"/>
        <w:rPr>
          <w:rFonts w:ascii="Arial" w:eastAsia="Calibri" w:hAnsi="Arial" w:cs="Arial"/>
          <w:b/>
          <w:bCs/>
          <w:sz w:val="16"/>
          <w:szCs w:val="16"/>
          <w:lang w:val="es-ES"/>
        </w:rPr>
      </w:pPr>
      <w:r w:rsidRPr="00B47E74">
        <w:rPr>
          <w:rFonts w:ascii="Arial" w:hAnsi="Arial" w:cs="Arial"/>
          <w:b/>
          <w:bCs/>
          <w:sz w:val="16"/>
          <w:szCs w:val="16"/>
          <w:lang w:val="es-ES" w:eastAsia="es-ES"/>
        </w:rPr>
        <w:t>CCE-DES-FM-17</w:t>
      </w:r>
    </w:p>
    <w:p w14:paraId="5AB2E6C6" w14:textId="77777777" w:rsidR="001877D3" w:rsidRPr="001877D3" w:rsidRDefault="001877D3" w:rsidP="001877D3">
      <w:pPr>
        <w:widowControl w:val="0"/>
        <w:autoSpaceDE w:val="0"/>
        <w:autoSpaceDN w:val="0"/>
        <w:ind w:left="4825"/>
        <w:rPr>
          <w:rFonts w:eastAsia="Arial" w:hAnsi="Arial" w:cs="Arial"/>
          <w:sz w:val="20"/>
          <w:lang w:val="es-ES"/>
        </w:rPr>
      </w:pPr>
    </w:p>
    <w:p w14:paraId="1C4C2C59" w14:textId="77777777" w:rsidR="001877D3" w:rsidRPr="001877D3" w:rsidRDefault="001877D3" w:rsidP="001877D3">
      <w:pPr>
        <w:widowControl w:val="0"/>
        <w:autoSpaceDE w:val="0"/>
        <w:autoSpaceDN w:val="0"/>
        <w:spacing w:line="259" w:lineRule="auto"/>
        <w:jc w:val="both"/>
        <w:rPr>
          <w:rFonts w:ascii="Arial" w:eastAsia="Calibri" w:hAnsi="Arial" w:cs="Arial"/>
          <w:b/>
          <w:sz w:val="22"/>
        </w:rPr>
      </w:pPr>
      <w:r w:rsidRPr="001877D3">
        <w:rPr>
          <w:rFonts w:ascii="Arial" w:eastAsia="Calibri" w:hAnsi="Arial" w:cs="Arial"/>
          <w:b/>
          <w:sz w:val="22"/>
        </w:rPr>
        <w:t>DOCUMENTOS TIPO – Fundamento jurídico</w:t>
      </w:r>
    </w:p>
    <w:p w14:paraId="2BB2823F" w14:textId="77777777" w:rsidR="007504FC" w:rsidRPr="00B47E74" w:rsidRDefault="007504FC" w:rsidP="007504FC">
      <w:pPr>
        <w:jc w:val="both"/>
        <w:rPr>
          <w:rFonts w:ascii="Arial" w:eastAsia="Calibri" w:hAnsi="Arial" w:cs="Arial"/>
          <w:color w:val="000000" w:themeColor="text1"/>
          <w:sz w:val="20"/>
          <w:szCs w:val="20"/>
          <w:lang w:val="es-ES" w:eastAsia="es-ES_tradnl"/>
        </w:rPr>
      </w:pPr>
    </w:p>
    <w:p w14:paraId="33912DE3" w14:textId="77777777" w:rsidR="001877D3" w:rsidRPr="001877D3" w:rsidRDefault="001877D3" w:rsidP="001877D3">
      <w:pPr>
        <w:widowControl w:val="0"/>
        <w:autoSpaceDE w:val="0"/>
        <w:autoSpaceDN w:val="0"/>
        <w:jc w:val="both"/>
        <w:rPr>
          <w:rFonts w:ascii="Arial" w:eastAsia="Calibri" w:hAnsi="Arial" w:cs="Arial"/>
          <w:bCs/>
          <w:sz w:val="20"/>
          <w:szCs w:val="20"/>
          <w:lang w:val="es-ES_tradnl"/>
        </w:rPr>
      </w:pPr>
      <w:r w:rsidRPr="001877D3">
        <w:rPr>
          <w:rFonts w:ascii="Arial" w:eastAsia="Calibri" w:hAnsi="Arial" w:cs="Arial"/>
          <w:bCs/>
          <w:sz w:val="20"/>
          <w:szCs w:val="20"/>
          <w:lang w:val="es-ES_tradnl"/>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1877D3">
        <w:rPr>
          <w:rFonts w:ascii="Arial" w:eastAsia="Calibri" w:hAnsi="Arial" w:cs="Arial"/>
          <w:bCs/>
          <w:sz w:val="20"/>
          <w:szCs w:val="20"/>
          <w:lang w:val="es-ES_tradnl"/>
        </w:rPr>
        <w:t>ii</w:t>
      </w:r>
      <w:proofErr w:type="spellEnd"/>
      <w:r w:rsidRPr="001877D3">
        <w:rPr>
          <w:rFonts w:ascii="Arial" w:eastAsia="Calibri" w:hAnsi="Arial" w:cs="Arial"/>
          <w:bCs/>
          <w:sz w:val="20"/>
          <w:szCs w:val="20"/>
          <w:lang w:val="es-ES_tradnl"/>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1877D3">
        <w:rPr>
          <w:rFonts w:ascii="Arial" w:eastAsia="Calibri" w:hAnsi="Arial" w:cs="Arial"/>
          <w:bCs/>
          <w:sz w:val="20"/>
          <w:szCs w:val="20"/>
          <w:lang w:val="es-ES_tradnl"/>
        </w:rPr>
        <w:t>iii</w:t>
      </w:r>
      <w:proofErr w:type="spellEnd"/>
      <w:r w:rsidRPr="001877D3">
        <w:rPr>
          <w:rFonts w:ascii="Arial" w:eastAsia="Calibri" w:hAnsi="Arial" w:cs="Arial"/>
          <w:bCs/>
          <w:sz w:val="20"/>
          <w:szCs w:val="20"/>
          <w:lang w:val="es-ES_tradnl"/>
        </w:rPr>
        <w:t xml:space="preserve">) la implementación de procesos de capacitación en los municipios para la utilización de los documentos tipo buscando el desarrollo de la economía local; y </w:t>
      </w:r>
      <w:proofErr w:type="spellStart"/>
      <w:r w:rsidRPr="001877D3">
        <w:rPr>
          <w:rFonts w:ascii="Arial" w:eastAsia="Calibri" w:hAnsi="Arial" w:cs="Arial"/>
          <w:bCs/>
          <w:sz w:val="20"/>
          <w:szCs w:val="20"/>
          <w:lang w:val="es-ES_tradnl"/>
        </w:rPr>
        <w:t>iv</w:t>
      </w:r>
      <w:proofErr w:type="spellEnd"/>
      <w:r w:rsidRPr="001877D3">
        <w:rPr>
          <w:rFonts w:ascii="Arial" w:eastAsia="Calibri" w:hAnsi="Arial" w:cs="Arial"/>
          <w:bCs/>
          <w:sz w:val="20"/>
          <w:szCs w:val="20"/>
          <w:lang w:val="es-ES_tradnl"/>
        </w:rPr>
        <w:t xml:space="preserve">)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57517166" w14:textId="77777777" w:rsidR="007504FC" w:rsidRPr="00B47E74" w:rsidRDefault="007504FC" w:rsidP="007504FC">
      <w:pPr>
        <w:jc w:val="both"/>
        <w:rPr>
          <w:rFonts w:ascii="Arial" w:hAnsi="Arial" w:cs="Arial"/>
          <w:b/>
          <w:color w:val="000000" w:themeColor="text1"/>
          <w:sz w:val="22"/>
          <w:lang w:val="es-ES" w:eastAsia="es-ES_tradnl"/>
        </w:rPr>
      </w:pPr>
    </w:p>
    <w:p w14:paraId="001EF271" w14:textId="1AF8184D" w:rsidR="001877D3" w:rsidRPr="001877D3" w:rsidRDefault="001877D3" w:rsidP="001877D3">
      <w:pPr>
        <w:widowControl w:val="0"/>
        <w:autoSpaceDE w:val="0"/>
        <w:autoSpaceDN w:val="0"/>
        <w:spacing w:line="259" w:lineRule="auto"/>
        <w:jc w:val="both"/>
        <w:rPr>
          <w:rFonts w:ascii="Arial" w:eastAsia="Calibri" w:hAnsi="Arial" w:cs="Arial"/>
          <w:b/>
          <w:color w:val="000000"/>
          <w:sz w:val="22"/>
        </w:rPr>
      </w:pPr>
      <w:r w:rsidRPr="001877D3">
        <w:rPr>
          <w:rFonts w:ascii="Arial" w:eastAsia="Calibri" w:hAnsi="Arial" w:cs="Arial"/>
          <w:b/>
          <w:color w:val="000000"/>
          <w:sz w:val="22"/>
        </w:rPr>
        <w:t>INALTERABILIDAD – Documentos tipo – Licitación pública</w:t>
      </w:r>
    </w:p>
    <w:p w14:paraId="2050B02D" w14:textId="77777777" w:rsidR="007504FC" w:rsidRPr="00B47E74" w:rsidRDefault="007504FC" w:rsidP="007504FC">
      <w:pPr>
        <w:jc w:val="both"/>
        <w:rPr>
          <w:rFonts w:ascii="Arial" w:hAnsi="Arial" w:cs="Arial"/>
          <w:color w:val="000000" w:themeColor="text1"/>
          <w:sz w:val="20"/>
          <w:szCs w:val="20"/>
          <w:lang w:val="es-ES" w:eastAsia="es-ES_tradnl"/>
        </w:rPr>
      </w:pPr>
    </w:p>
    <w:p w14:paraId="470F3F9C" w14:textId="28091F51" w:rsidR="00CC17D1" w:rsidRDefault="00CC17D1" w:rsidP="00CC17D1">
      <w:pPr>
        <w:jc w:val="both"/>
        <w:rPr>
          <w:rFonts w:ascii="Arial" w:eastAsia="Calibri" w:hAnsi="Arial" w:cs="Arial"/>
          <w:bCs/>
          <w:color w:val="000000" w:themeColor="text1"/>
          <w:sz w:val="20"/>
          <w:szCs w:val="20"/>
          <w:lang w:eastAsia="es-ES_tradnl"/>
        </w:rPr>
      </w:pPr>
      <w:r w:rsidRPr="00CC17D1">
        <w:rPr>
          <w:rFonts w:ascii="Arial" w:eastAsia="Calibri" w:hAnsi="Arial" w:cs="Arial"/>
          <w:bCs/>
          <w:color w:val="000000" w:themeColor="text1"/>
          <w:sz w:val="20"/>
          <w:szCs w:val="20"/>
          <w:lang w:eastAsia="es-ES_tradnl"/>
        </w:rPr>
        <w:t xml:space="preserve">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w:t>
      </w:r>
      <w:r w:rsidRPr="00CC17D1">
        <w:rPr>
          <w:rFonts w:ascii="Arial" w:eastAsia="Calibri" w:hAnsi="Arial" w:cs="Arial"/>
          <w:bCs/>
          <w:color w:val="000000" w:themeColor="text1"/>
          <w:sz w:val="20"/>
          <w:szCs w:val="20"/>
          <w:lang w:eastAsia="es-ES_tradnl"/>
        </w:rPr>
        <w:t>tipo.</w:t>
      </w:r>
      <w:r w:rsidRPr="00CC17D1">
        <w:rPr>
          <w:rFonts w:ascii="Arial" w:eastAsia="Calibri" w:hAnsi="Arial" w:cs="Arial"/>
          <w:bCs/>
          <w:color w:val="000000" w:themeColor="text1"/>
          <w:sz w:val="20"/>
          <w:szCs w:val="20"/>
          <w:lang w:eastAsia="es-ES_tradnl"/>
        </w:rPr>
        <w:t xml:space="preserve"> En consecuencia, las condiciones que sean establecidas en los documentos que adopte la Agencia, en ejercicio del mandato establecido en el artículo 1 de la Ley 2022 de 2020, como se explicó en el numeral anterior, son de obligatorio cumplimiento para las entidades sometidas al Estatuto General de Contratación de la Administración pública que adelanten procesos que deban regirse por su contenido y no pueden variarse los requisitos fijados en ellos. </w:t>
      </w:r>
    </w:p>
    <w:p w14:paraId="01032E83" w14:textId="77777777" w:rsidR="00CC17D1" w:rsidRPr="00CC17D1" w:rsidRDefault="00CC17D1" w:rsidP="00CC17D1">
      <w:pPr>
        <w:jc w:val="both"/>
        <w:rPr>
          <w:rFonts w:ascii="Arial" w:eastAsia="Calibri" w:hAnsi="Arial" w:cs="Arial"/>
          <w:bCs/>
          <w:color w:val="000000" w:themeColor="text1"/>
          <w:sz w:val="20"/>
          <w:szCs w:val="20"/>
          <w:lang w:eastAsia="es-ES_tradnl"/>
        </w:rPr>
      </w:pPr>
    </w:p>
    <w:p w14:paraId="5ACB9438" w14:textId="721C0106" w:rsidR="001877D3" w:rsidRDefault="00CC17D1" w:rsidP="001877D3">
      <w:pPr>
        <w:jc w:val="both"/>
        <w:rPr>
          <w:rFonts w:ascii="Arial" w:eastAsia="Calibri" w:hAnsi="Arial" w:cs="Arial"/>
          <w:bCs/>
          <w:color w:val="000000" w:themeColor="text1"/>
          <w:sz w:val="20"/>
          <w:szCs w:val="20"/>
          <w:lang w:eastAsia="es-ES_tradnl"/>
        </w:rPr>
      </w:pPr>
      <w:r w:rsidRPr="00CC17D1">
        <w:rPr>
          <w:rFonts w:ascii="Arial" w:eastAsia="Calibri" w:hAnsi="Arial" w:cs="Arial"/>
          <w:bCs/>
          <w:color w:val="000000" w:themeColor="text1"/>
          <w:sz w:val="20"/>
          <w:szCs w:val="20"/>
          <w:lang w:eastAsia="es-ES_tradnl"/>
        </w:rPr>
        <w:t xml:space="preserve">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37602E2E" w14:textId="77777777" w:rsidR="00CC17D1" w:rsidRDefault="00CC17D1" w:rsidP="001877D3">
      <w:pPr>
        <w:jc w:val="both"/>
        <w:rPr>
          <w:rFonts w:ascii="Arial" w:eastAsia="Calibri" w:hAnsi="Arial" w:cs="Arial"/>
          <w:bCs/>
          <w:color w:val="000000" w:themeColor="text1"/>
          <w:sz w:val="20"/>
          <w:szCs w:val="20"/>
          <w:lang w:eastAsia="es-ES_tradnl"/>
        </w:rPr>
      </w:pPr>
    </w:p>
    <w:p w14:paraId="34E6D304" w14:textId="3D936662" w:rsidR="001877D3" w:rsidRPr="001877D3" w:rsidRDefault="001877D3" w:rsidP="001877D3">
      <w:pPr>
        <w:jc w:val="both"/>
        <w:rPr>
          <w:rFonts w:ascii="Arial" w:eastAsia="Calibri" w:hAnsi="Arial" w:cs="Arial"/>
          <w:bCs/>
          <w:color w:val="000000" w:themeColor="text1"/>
          <w:sz w:val="20"/>
          <w:szCs w:val="20"/>
          <w:lang w:eastAsia="es-ES_tradnl"/>
        </w:rPr>
      </w:pPr>
      <w:r>
        <w:rPr>
          <w:rStyle w:val="normaltextrun"/>
          <w:rFonts w:ascii="Arial" w:hAnsi="Arial" w:cs="Arial"/>
          <w:b/>
          <w:bCs/>
          <w:color w:val="000000"/>
          <w:sz w:val="22"/>
          <w:szCs w:val="22"/>
          <w:shd w:val="clear" w:color="auto" w:fill="FFFFFF"/>
          <w:lang w:val="es-MX"/>
        </w:rPr>
        <w:t>PERSONAS CON DISCAPACIDAD – Puntaje adicional – Fundamento normativo</w:t>
      </w:r>
      <w:r>
        <w:rPr>
          <w:rStyle w:val="eop"/>
          <w:rFonts w:ascii="Arial" w:hAnsi="Arial" w:cs="Arial"/>
          <w:color w:val="000000"/>
          <w:sz w:val="22"/>
          <w:szCs w:val="22"/>
          <w:shd w:val="clear" w:color="auto" w:fill="FFFFFF"/>
        </w:rPr>
        <w:t> </w:t>
      </w:r>
    </w:p>
    <w:p w14:paraId="5605F7E4" w14:textId="77777777" w:rsidR="007504FC" w:rsidRPr="00B47E74" w:rsidRDefault="007504FC" w:rsidP="007504FC">
      <w:pPr>
        <w:jc w:val="both"/>
        <w:rPr>
          <w:rFonts w:ascii="Arial" w:hAnsi="Arial" w:cs="Arial"/>
          <w:color w:val="000000" w:themeColor="text1"/>
          <w:sz w:val="20"/>
          <w:szCs w:val="20"/>
          <w:lang w:val="es-ES" w:eastAsia="es-ES_tradnl"/>
        </w:rPr>
      </w:pPr>
    </w:p>
    <w:p w14:paraId="2C2A6BD9" w14:textId="77777777" w:rsidR="00CC17D1" w:rsidRDefault="00CC17D1" w:rsidP="007504FC">
      <w:pPr>
        <w:jc w:val="both"/>
        <w:rPr>
          <w:rStyle w:val="normaltextrun"/>
          <w:rFonts w:ascii="Arial" w:hAnsi="Arial" w:cs="Arial"/>
          <w:color w:val="000000"/>
          <w:sz w:val="20"/>
          <w:szCs w:val="20"/>
          <w:shd w:val="clear" w:color="auto" w:fill="FFFFFF"/>
          <w:lang w:val="es-MX"/>
        </w:rPr>
      </w:pPr>
      <w:r w:rsidRPr="00CC17D1">
        <w:rPr>
          <w:rStyle w:val="normaltextrun"/>
          <w:rFonts w:ascii="Arial" w:hAnsi="Arial" w:cs="Arial"/>
          <w:color w:val="000000"/>
          <w:sz w:val="20"/>
          <w:szCs w:val="20"/>
          <w:shd w:val="clear" w:color="auto" w:fill="FFFFFF"/>
          <w:lang w:val="es-MX"/>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p>
    <w:p w14:paraId="32CB3E8D" w14:textId="7FD86868" w:rsidR="007504FC" w:rsidRPr="00B47E74" w:rsidRDefault="00CC17D1" w:rsidP="007504FC">
      <w:pPr>
        <w:jc w:val="both"/>
        <w:rPr>
          <w:rFonts w:ascii="Arial" w:hAnsi="Arial" w:cs="Arial"/>
          <w:color w:val="000000" w:themeColor="text1"/>
          <w:sz w:val="22"/>
          <w:lang w:val="es-ES" w:eastAsia="es-ES_tradnl"/>
        </w:rPr>
      </w:pPr>
      <w:r w:rsidRPr="00CC17D1">
        <w:rPr>
          <w:rStyle w:val="normaltextrun"/>
          <w:rFonts w:ascii="Arial" w:hAnsi="Arial" w:cs="Arial"/>
          <w:color w:val="000000"/>
          <w:sz w:val="20"/>
          <w:szCs w:val="20"/>
          <w:shd w:val="clear" w:color="auto" w:fill="FFFFFF"/>
          <w:lang w:val="es-MX"/>
        </w:rPr>
        <w:t xml:space="preserve"> </w:t>
      </w:r>
    </w:p>
    <w:p w14:paraId="2F3474D1" w14:textId="2833AFC3" w:rsidR="007504FC" w:rsidRPr="001877D3" w:rsidRDefault="001877D3" w:rsidP="001877D3">
      <w:pPr>
        <w:rPr>
          <w:b/>
          <w:bCs/>
        </w:rPr>
      </w:pPr>
      <w:r w:rsidRPr="001877D3">
        <w:rPr>
          <w:rFonts w:ascii="Arial" w:hAnsi="Arial" w:cs="Arial"/>
          <w:b/>
          <w:bCs/>
          <w:color w:val="000000"/>
          <w:sz w:val="22"/>
          <w:shd w:val="clear" w:color="auto" w:fill="FFFFFF"/>
        </w:rPr>
        <w:t>PUNTAJE ADICIONAL – Personas con discapacidad – Requisitos – Acreditación – Formato 8</w:t>
      </w:r>
    </w:p>
    <w:p w14:paraId="0A7249C6" w14:textId="77777777" w:rsidR="007504FC" w:rsidRPr="00B47E74" w:rsidRDefault="007504FC" w:rsidP="007504FC">
      <w:pPr>
        <w:jc w:val="both"/>
        <w:rPr>
          <w:rFonts w:ascii="Arial" w:hAnsi="Arial" w:cs="Arial"/>
          <w:color w:val="000000" w:themeColor="text1"/>
          <w:sz w:val="22"/>
          <w:lang w:val="es-ES" w:eastAsia="es-ES_tradnl"/>
        </w:rPr>
      </w:pPr>
    </w:p>
    <w:p w14:paraId="0B0AB07F" w14:textId="1E59D3EF" w:rsidR="0083363F" w:rsidRDefault="001877D3" w:rsidP="001877D3">
      <w:pPr>
        <w:spacing w:after="200"/>
        <w:jc w:val="both"/>
        <w:rPr>
          <w:rFonts w:ascii="Arial" w:hAnsi="Arial" w:cs="Arial"/>
          <w:color w:val="000000" w:themeColor="text1"/>
          <w:sz w:val="20"/>
          <w:szCs w:val="20"/>
          <w:lang w:eastAsia="es-ES_tradnl"/>
        </w:rPr>
      </w:pPr>
      <w:bookmarkStart w:id="0" w:name="_Hlk64030265"/>
      <w:r>
        <w:rPr>
          <w:rFonts w:ascii="Arial" w:hAnsi="Arial" w:cs="Arial"/>
          <w:color w:val="000000" w:themeColor="text1"/>
          <w:sz w:val="20"/>
          <w:szCs w:val="20"/>
          <w:lang w:eastAsia="es-ES_tradnl"/>
        </w:rPr>
        <w:lastRenderedPageBreak/>
        <w:t>[…]</w:t>
      </w:r>
      <w:r w:rsidR="00CC17D1">
        <w:rPr>
          <w:rFonts w:ascii="Arial" w:hAnsi="Arial" w:cs="Arial"/>
          <w:color w:val="000000" w:themeColor="text1"/>
          <w:sz w:val="20"/>
          <w:szCs w:val="20"/>
          <w:lang w:eastAsia="es-ES_tradnl"/>
        </w:rPr>
        <w:t xml:space="preserve"> </w:t>
      </w:r>
      <w:r w:rsidR="00CC17D1" w:rsidRPr="00CC17D1">
        <w:rPr>
          <w:rFonts w:ascii="Arial" w:hAnsi="Arial" w:cs="Arial"/>
          <w:color w:val="000000" w:themeColor="text1"/>
          <w:sz w:val="20"/>
          <w:szCs w:val="20"/>
          <w:lang w:val="es-MX" w:eastAsia="es-ES_tradnl"/>
        </w:rPr>
        <w:t xml:space="preserve">para que un proponente obtenga el puntaje de vinculación de personas con discapacidad deberá cumplir con lo previsto en el apartado 4.4 del documento base. En este contexto, i) debe certificar el número total de trabajadores vinculados a la planta de personal del proponente o sus integrantes a la fecha de cierre del proceso de selección, mediante la suscripción del «Formato 8 – Vinculación de personas con discapacidad» y </w:t>
      </w:r>
      <w:proofErr w:type="spellStart"/>
      <w:r w:rsidR="00CC17D1" w:rsidRPr="00CC17D1">
        <w:rPr>
          <w:rFonts w:ascii="Arial" w:hAnsi="Arial" w:cs="Arial"/>
          <w:color w:val="000000" w:themeColor="text1"/>
          <w:sz w:val="20"/>
          <w:szCs w:val="20"/>
          <w:lang w:val="es-MX" w:eastAsia="es-ES_tradnl"/>
        </w:rPr>
        <w:t>ii</w:t>
      </w:r>
      <w:proofErr w:type="spellEnd"/>
      <w:r w:rsidR="00CC17D1" w:rsidRPr="00CC17D1">
        <w:rPr>
          <w:rFonts w:ascii="Arial" w:hAnsi="Arial" w:cs="Arial"/>
          <w:color w:val="000000" w:themeColor="text1"/>
          <w:sz w:val="20"/>
          <w:szCs w:val="20"/>
          <w:lang w:val="es-MX" w:eastAsia="es-ES_tradnl"/>
        </w:rPr>
        <w:t>) aportar el certificado del Ministerio de Trabajo en el que se acredite el número mínimo de personas con discapacidad en la planta de personal, el cual deberá estar vigente a la fecha de cierre del proceso de selección.</w:t>
      </w:r>
    </w:p>
    <w:p w14:paraId="6B6059F2" w14:textId="77777777" w:rsidR="0083363F" w:rsidRDefault="0083363F">
      <w:pPr>
        <w:spacing w:after="200" w:line="276" w:lineRule="auto"/>
        <w:rPr>
          <w:rFonts w:ascii="Arial" w:hAnsi="Arial" w:cs="Arial"/>
          <w:color w:val="000000" w:themeColor="text1"/>
          <w:sz w:val="20"/>
          <w:szCs w:val="20"/>
          <w:lang w:eastAsia="es-ES_tradnl"/>
        </w:rPr>
      </w:pPr>
      <w:r>
        <w:rPr>
          <w:rFonts w:ascii="Arial" w:hAnsi="Arial" w:cs="Arial"/>
          <w:color w:val="000000" w:themeColor="text1"/>
          <w:sz w:val="20"/>
          <w:szCs w:val="20"/>
          <w:lang w:eastAsia="es-ES_tradnl"/>
        </w:rPr>
        <w:br w:type="page"/>
      </w:r>
    </w:p>
    <w:p w14:paraId="79C907A9" w14:textId="77777777" w:rsidR="001877D3" w:rsidRPr="00CC17D1" w:rsidRDefault="001877D3" w:rsidP="00CC17D1">
      <w:pPr>
        <w:jc w:val="both"/>
        <w:rPr>
          <w:rFonts w:ascii="Arial" w:hAnsi="Arial" w:cs="Arial"/>
          <w:color w:val="000000" w:themeColor="text1"/>
          <w:sz w:val="22"/>
          <w:szCs w:val="22"/>
          <w:lang w:val="es-ES" w:eastAsia="es-ES_tradnl"/>
        </w:rPr>
      </w:pPr>
    </w:p>
    <w:p w14:paraId="3421BBB9" w14:textId="77777777" w:rsidR="001877D3" w:rsidRPr="00CC17D1" w:rsidRDefault="001877D3" w:rsidP="00CC17D1">
      <w:pPr>
        <w:spacing w:line="276" w:lineRule="auto"/>
        <w:rPr>
          <w:rFonts w:ascii="Arial" w:hAnsi="Arial" w:cs="Arial"/>
          <w:color w:val="000000" w:themeColor="text1"/>
          <w:sz w:val="22"/>
          <w:szCs w:val="22"/>
          <w:lang w:val="es-ES" w:eastAsia="es-ES_tradnl"/>
        </w:rPr>
      </w:pPr>
    </w:p>
    <w:p w14:paraId="3B1CF6B2" w14:textId="254A587B" w:rsidR="00B211A2" w:rsidRPr="00B47E74" w:rsidRDefault="001877D3" w:rsidP="00B211A2">
      <w:pPr>
        <w:rPr>
          <w:rFonts w:ascii="Arial" w:eastAsia="Arial" w:hAnsi="Arial" w:cs="Arial"/>
          <w:b/>
          <w:bCs/>
          <w:sz w:val="22"/>
          <w:lang w:val="es-ES"/>
        </w:rPr>
      </w:pPr>
      <w:r w:rsidRPr="00B47E74">
        <w:rPr>
          <w:rFonts w:ascii="Arial" w:hAnsi="Arial" w:cs="Arial"/>
          <w:sz w:val="22"/>
          <w:szCs w:val="20"/>
          <w:lang w:val="es-ES"/>
        </w:rPr>
        <w:t>Bogotá D.C.</w:t>
      </w:r>
      <w:bookmarkEnd w:id="0"/>
      <w:r w:rsidR="00B211A2" w:rsidRPr="00B47E74">
        <w:rPr>
          <w:rFonts w:ascii="Arial" w:hAnsi="Arial" w:cs="Arial"/>
          <w:sz w:val="22"/>
          <w:szCs w:val="20"/>
          <w:lang w:val="es-ES"/>
        </w:rPr>
        <w:t xml:space="preserve">, </w:t>
      </w:r>
      <w:r w:rsidR="00C93BC4">
        <w:rPr>
          <w:rFonts w:ascii="Arial" w:eastAsia="Arial" w:hAnsi="Arial" w:cs="Arial"/>
          <w:b/>
          <w:bCs/>
          <w:sz w:val="22"/>
          <w:lang w:val="es-ES"/>
        </w:rPr>
        <w:t>02/08/2021</w:t>
      </w:r>
    </w:p>
    <w:p w14:paraId="6130E27A" w14:textId="77777777" w:rsidR="00B211A2" w:rsidRPr="00CC17D1" w:rsidRDefault="00B211A2" w:rsidP="00B211A2">
      <w:pPr>
        <w:spacing w:line="276" w:lineRule="auto"/>
        <w:rPr>
          <w:rFonts w:ascii="Arial" w:eastAsia="Arial" w:hAnsi="Arial" w:cs="Arial"/>
          <w:bCs/>
          <w:sz w:val="22"/>
          <w:lang w:val="es-ES"/>
        </w:rPr>
      </w:pPr>
    </w:p>
    <w:p w14:paraId="2B231738" w14:textId="30E0160F" w:rsidR="009E73B5" w:rsidRDefault="00C93BC4" w:rsidP="00C93BC4">
      <w:pPr>
        <w:jc w:val="right"/>
        <w:rPr>
          <w:rFonts w:ascii="Arial" w:eastAsia="Calibri" w:hAnsi="Arial" w:cs="Arial"/>
          <w:sz w:val="22"/>
          <w:lang w:val="es-ES"/>
        </w:rPr>
      </w:pPr>
      <w:r>
        <w:rPr>
          <w:noProof/>
          <w:sz w:val="20"/>
        </w:rPr>
        <w:drawing>
          <wp:inline distT="0" distB="0" distL="0" distR="0" wp14:anchorId="1FBB066F" wp14:editId="64F280A7">
            <wp:extent cx="2379945" cy="60883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22EF3331" w14:textId="77777777" w:rsidR="0083363F" w:rsidRPr="00B47E74" w:rsidRDefault="0083363F" w:rsidP="00B211A2">
      <w:pPr>
        <w:jc w:val="both"/>
        <w:rPr>
          <w:rFonts w:ascii="Arial" w:eastAsia="Calibri" w:hAnsi="Arial" w:cs="Arial"/>
          <w:sz w:val="22"/>
          <w:lang w:val="es-ES"/>
        </w:rPr>
      </w:pPr>
    </w:p>
    <w:p w14:paraId="2097EFDF" w14:textId="0995A1DC" w:rsidR="005A79FE" w:rsidRPr="00B47E74" w:rsidRDefault="005A79FE" w:rsidP="005A79FE">
      <w:pPr>
        <w:rPr>
          <w:rFonts w:ascii="Arial" w:eastAsia="Calibri" w:hAnsi="Arial" w:cs="Arial"/>
          <w:sz w:val="22"/>
          <w:lang w:val="es-ES"/>
        </w:rPr>
      </w:pPr>
      <w:r w:rsidRPr="00B47E74">
        <w:rPr>
          <w:rFonts w:ascii="Arial" w:eastAsia="Calibri" w:hAnsi="Arial" w:cs="Arial"/>
          <w:sz w:val="22"/>
          <w:lang w:val="es-ES"/>
        </w:rPr>
        <w:t>Señor</w:t>
      </w:r>
      <w:r w:rsidR="00B47E74" w:rsidRPr="00B47E74">
        <w:rPr>
          <w:rFonts w:ascii="Arial" w:eastAsia="Calibri" w:hAnsi="Arial" w:cs="Arial"/>
          <w:sz w:val="22"/>
          <w:lang w:val="es-ES"/>
        </w:rPr>
        <w:t>a</w:t>
      </w:r>
    </w:p>
    <w:p w14:paraId="7FDA027E" w14:textId="5B503AC9" w:rsidR="005A79FE" w:rsidRPr="00B47E74" w:rsidRDefault="0083363F" w:rsidP="005A79FE">
      <w:pPr>
        <w:rPr>
          <w:rFonts w:ascii="Arial" w:eastAsia="Calibri" w:hAnsi="Arial" w:cs="Arial"/>
          <w:b/>
          <w:sz w:val="22"/>
          <w:lang w:val="es-ES"/>
        </w:rPr>
      </w:pPr>
      <w:r w:rsidRPr="00B47E74">
        <w:rPr>
          <w:rFonts w:ascii="Arial" w:eastAsia="Calibri" w:hAnsi="Arial" w:cs="Arial"/>
          <w:b/>
          <w:sz w:val="22"/>
          <w:lang w:val="es-ES"/>
        </w:rPr>
        <w:t>María</w:t>
      </w:r>
      <w:r w:rsidR="00B47E74" w:rsidRPr="00B47E74">
        <w:rPr>
          <w:rFonts w:ascii="Arial" w:eastAsia="Calibri" w:hAnsi="Arial" w:cs="Arial"/>
          <w:b/>
          <w:sz w:val="22"/>
          <w:lang w:val="es-ES"/>
        </w:rPr>
        <w:t xml:space="preserve"> Gabriela Sandoval Guti</w:t>
      </w:r>
      <w:r w:rsidR="00B47E74">
        <w:rPr>
          <w:rFonts w:ascii="Arial" w:eastAsia="Calibri" w:hAnsi="Arial" w:cs="Arial"/>
          <w:b/>
          <w:sz w:val="22"/>
          <w:lang w:val="es-ES"/>
        </w:rPr>
        <w:t>é</w:t>
      </w:r>
      <w:r w:rsidR="00B47E74" w:rsidRPr="00B47E74">
        <w:rPr>
          <w:rFonts w:ascii="Arial" w:eastAsia="Calibri" w:hAnsi="Arial" w:cs="Arial"/>
          <w:b/>
          <w:sz w:val="22"/>
          <w:lang w:val="es-ES"/>
        </w:rPr>
        <w:t xml:space="preserve">rrez </w:t>
      </w:r>
    </w:p>
    <w:p w14:paraId="699E9CB9" w14:textId="61EAFD21" w:rsidR="005A79FE" w:rsidRPr="00B47E74" w:rsidRDefault="00CB4BA0" w:rsidP="005A79FE">
      <w:pPr>
        <w:rPr>
          <w:rFonts w:ascii="Arial" w:eastAsia="Calibri" w:hAnsi="Arial" w:cs="Arial"/>
          <w:sz w:val="22"/>
          <w:lang w:val="es-ES"/>
        </w:rPr>
      </w:pPr>
      <w:r w:rsidRPr="00B47E74">
        <w:rPr>
          <w:rFonts w:ascii="Arial" w:eastAsia="Calibri" w:hAnsi="Arial" w:cs="Arial"/>
          <w:sz w:val="22"/>
          <w:lang w:val="es-ES"/>
        </w:rPr>
        <w:t>Bogotá D.C.</w:t>
      </w:r>
    </w:p>
    <w:p w14:paraId="3663B1CE" w14:textId="4D8B9892" w:rsidR="00BB755B" w:rsidRDefault="00BB755B" w:rsidP="005A79FE">
      <w:pPr>
        <w:rPr>
          <w:rFonts w:ascii="Arial" w:eastAsia="Calibri" w:hAnsi="Arial" w:cs="Arial"/>
          <w:sz w:val="22"/>
          <w:lang w:val="es-ES"/>
        </w:rPr>
      </w:pPr>
    </w:p>
    <w:p w14:paraId="7F68F499" w14:textId="77777777" w:rsidR="0083363F" w:rsidRPr="00B47E74" w:rsidRDefault="0083363F" w:rsidP="005A79FE">
      <w:pPr>
        <w:rPr>
          <w:rFonts w:ascii="Arial" w:eastAsia="Calibri" w:hAnsi="Arial" w:cs="Arial"/>
          <w:sz w:val="22"/>
          <w:lang w:val="es-ES"/>
        </w:rPr>
      </w:pPr>
    </w:p>
    <w:p w14:paraId="04EF5647" w14:textId="1179FCC8" w:rsidR="005A79FE" w:rsidRPr="00B47E74" w:rsidRDefault="003142D9" w:rsidP="003D2AED">
      <w:pPr>
        <w:rPr>
          <w:rFonts w:ascii="Arial" w:eastAsia="Calibri" w:hAnsi="Arial" w:cs="Arial"/>
          <w:b/>
          <w:sz w:val="22"/>
          <w:lang w:val="es-ES"/>
        </w:rPr>
      </w:pPr>
      <w:r w:rsidRPr="00B47E74">
        <w:rPr>
          <w:rFonts w:ascii="Arial" w:eastAsia="Calibri" w:hAnsi="Arial" w:cs="Arial"/>
          <w:b/>
          <w:sz w:val="22"/>
          <w:lang w:val="es-ES"/>
        </w:rPr>
        <w:t xml:space="preserve">                                            </w:t>
      </w:r>
      <w:r w:rsidR="005A79FE" w:rsidRPr="00B47E74">
        <w:rPr>
          <w:rFonts w:ascii="Arial" w:eastAsia="Calibri" w:hAnsi="Arial" w:cs="Arial"/>
          <w:b/>
          <w:sz w:val="22"/>
          <w:lang w:val="es-ES"/>
        </w:rPr>
        <w:t xml:space="preserve">Concepto C </w:t>
      </w:r>
      <w:r w:rsidR="0083363F">
        <w:rPr>
          <w:rFonts w:ascii="Arial" w:eastAsia="Calibri" w:hAnsi="Arial" w:cs="Arial"/>
          <w:b/>
          <w:sz w:val="22"/>
          <w:lang w:val="es-ES"/>
        </w:rPr>
        <w:t>–</w:t>
      </w:r>
      <w:r w:rsidR="005A79FE" w:rsidRPr="00B47E74">
        <w:rPr>
          <w:rFonts w:ascii="Arial" w:eastAsia="Calibri" w:hAnsi="Arial" w:cs="Arial"/>
          <w:b/>
          <w:sz w:val="22"/>
          <w:lang w:val="es-ES"/>
        </w:rPr>
        <w:t xml:space="preserve"> </w:t>
      </w:r>
      <w:r w:rsidR="006A5E16">
        <w:rPr>
          <w:rFonts w:ascii="Arial" w:eastAsia="Calibri" w:hAnsi="Arial" w:cs="Arial"/>
          <w:b/>
          <w:sz w:val="22"/>
          <w:lang w:val="es-ES"/>
        </w:rPr>
        <w:t>383</w:t>
      </w:r>
      <w:r w:rsidR="005A79FE" w:rsidRPr="00B47E74">
        <w:rPr>
          <w:rFonts w:ascii="Arial" w:eastAsia="Calibri" w:hAnsi="Arial" w:cs="Arial"/>
          <w:b/>
          <w:sz w:val="22"/>
          <w:lang w:val="es-ES"/>
        </w:rPr>
        <w:t xml:space="preserve"> de 202</w:t>
      </w:r>
      <w:r w:rsidR="00CB4BA0" w:rsidRPr="00B47E74">
        <w:rPr>
          <w:rFonts w:ascii="Arial" w:eastAsia="Calibri" w:hAnsi="Arial" w:cs="Arial"/>
          <w:b/>
          <w:sz w:val="22"/>
          <w:lang w:val="es-ES"/>
        </w:rPr>
        <w:t>1</w:t>
      </w:r>
    </w:p>
    <w:p w14:paraId="224B5EF8" w14:textId="77777777" w:rsidR="009E73B5" w:rsidRPr="00B47E74" w:rsidRDefault="009E73B5" w:rsidP="005A79FE">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4BA0" w:rsidRPr="001877D3" w14:paraId="21699201" w14:textId="77777777" w:rsidTr="00875624">
        <w:tc>
          <w:tcPr>
            <w:tcW w:w="2689" w:type="dxa"/>
            <w:hideMark/>
          </w:tcPr>
          <w:p w14:paraId="26712367" w14:textId="77777777" w:rsidR="00CB4BA0" w:rsidRPr="001877D3" w:rsidRDefault="00CB4BA0" w:rsidP="001877D3">
            <w:pPr>
              <w:jc w:val="both"/>
              <w:rPr>
                <w:rFonts w:ascii="Arial" w:eastAsia="Calibri" w:hAnsi="Arial" w:cs="Arial"/>
                <w:b/>
                <w:sz w:val="22"/>
                <w:lang w:val="es-ES"/>
              </w:rPr>
            </w:pPr>
            <w:r w:rsidRPr="001877D3">
              <w:rPr>
                <w:rFonts w:ascii="Arial" w:eastAsia="Calibri" w:hAnsi="Arial" w:cs="Arial"/>
                <w:b/>
                <w:sz w:val="22"/>
                <w:lang w:val="es-ES"/>
              </w:rPr>
              <w:t xml:space="preserve">Temas:           </w:t>
            </w:r>
          </w:p>
          <w:p w14:paraId="5D67F5C4" w14:textId="77777777" w:rsidR="00CB4BA0" w:rsidRPr="001877D3" w:rsidRDefault="00CB4BA0" w:rsidP="001877D3">
            <w:pPr>
              <w:jc w:val="both"/>
              <w:rPr>
                <w:rFonts w:ascii="Arial" w:eastAsia="Calibri" w:hAnsi="Arial" w:cs="Arial"/>
                <w:b/>
                <w:sz w:val="22"/>
                <w:lang w:val="es-ES"/>
              </w:rPr>
            </w:pPr>
            <w:r w:rsidRPr="001877D3">
              <w:rPr>
                <w:rFonts w:ascii="Arial" w:eastAsia="Calibri" w:hAnsi="Arial" w:cs="Arial"/>
                <w:b/>
                <w:sz w:val="22"/>
                <w:lang w:val="es-ES"/>
              </w:rPr>
              <w:t xml:space="preserve">                           </w:t>
            </w:r>
          </w:p>
        </w:tc>
        <w:tc>
          <w:tcPr>
            <w:tcW w:w="6237" w:type="dxa"/>
          </w:tcPr>
          <w:p w14:paraId="784C47C0" w14:textId="0FE33C08" w:rsidR="00CB4BA0" w:rsidRPr="001877D3" w:rsidRDefault="001877D3" w:rsidP="00CC17D1">
            <w:pPr>
              <w:spacing w:after="120"/>
              <w:jc w:val="both"/>
              <w:rPr>
                <w:rFonts w:ascii="Arial" w:hAnsi="Arial" w:cs="Arial"/>
                <w:b/>
                <w:color w:val="000000"/>
                <w:sz w:val="22"/>
                <w:lang w:val="es-ES"/>
              </w:rPr>
            </w:pPr>
            <w:r w:rsidRPr="001877D3">
              <w:rPr>
                <w:rFonts w:ascii="Arial" w:hAnsi="Arial" w:cs="Arial"/>
                <w:bCs/>
                <w:color w:val="000000"/>
                <w:sz w:val="22"/>
              </w:rPr>
              <w:t xml:space="preserve">DOCUMENTOS TIPO – Fundamento jurídico / INALTERABILIDAD – Documentos tipo – Licitación pública / </w:t>
            </w:r>
            <w:r w:rsidRPr="001877D3">
              <w:rPr>
                <w:rFonts w:ascii="Arial" w:hAnsi="Arial" w:cs="Arial"/>
                <w:bCs/>
                <w:color w:val="000000"/>
                <w:sz w:val="22"/>
                <w:lang w:val="es-MX"/>
              </w:rPr>
              <w:t>PERSONAS CON DISCAPACIDAD – Puntaje adicional – Fundamento normativo</w:t>
            </w:r>
            <w:r w:rsidRPr="001877D3">
              <w:rPr>
                <w:rFonts w:ascii="Arial" w:hAnsi="Arial" w:cs="Arial"/>
                <w:bCs/>
                <w:color w:val="000000"/>
                <w:sz w:val="22"/>
              </w:rPr>
              <w:t> / PUNTAJE ADICIONAL – Personas con discapacidad – Requisitos – Acreditación – Formato 8</w:t>
            </w:r>
          </w:p>
        </w:tc>
      </w:tr>
      <w:tr w:rsidR="00CB4BA0" w:rsidRPr="00B47E74" w14:paraId="7C0A7D18" w14:textId="77777777" w:rsidTr="00F90FA9">
        <w:tc>
          <w:tcPr>
            <w:tcW w:w="2689" w:type="dxa"/>
          </w:tcPr>
          <w:p w14:paraId="6A12F093" w14:textId="77777777" w:rsidR="00CB4BA0" w:rsidRPr="00B47E74" w:rsidRDefault="00CB4BA0" w:rsidP="00CB4BA0">
            <w:pPr>
              <w:spacing w:before="60"/>
              <w:rPr>
                <w:rFonts w:ascii="Arial" w:eastAsia="Calibri" w:hAnsi="Arial" w:cs="Arial"/>
                <w:b/>
                <w:sz w:val="22"/>
                <w:lang w:val="es-ES"/>
              </w:rPr>
            </w:pPr>
            <w:r w:rsidRPr="00B47E74">
              <w:rPr>
                <w:rFonts w:ascii="Arial" w:eastAsia="Calibri" w:hAnsi="Arial" w:cs="Arial"/>
                <w:b/>
                <w:sz w:val="22"/>
                <w:lang w:val="es-ES"/>
              </w:rPr>
              <w:t>Radicación:</w:t>
            </w:r>
            <w:r w:rsidRPr="00B47E74">
              <w:rPr>
                <w:rFonts w:ascii="Arial" w:eastAsia="Calibri" w:hAnsi="Arial" w:cs="Arial"/>
                <w:sz w:val="22"/>
                <w:lang w:val="es-ES"/>
              </w:rPr>
              <w:t xml:space="preserve">                              </w:t>
            </w:r>
          </w:p>
        </w:tc>
        <w:tc>
          <w:tcPr>
            <w:tcW w:w="6237" w:type="dxa"/>
          </w:tcPr>
          <w:p w14:paraId="73A42ACA" w14:textId="4A6E28AB" w:rsidR="00CB4BA0" w:rsidRPr="00B47E74" w:rsidRDefault="00CB4BA0" w:rsidP="00CB4BA0">
            <w:pPr>
              <w:spacing w:before="60"/>
              <w:jc w:val="both"/>
              <w:rPr>
                <w:rFonts w:ascii="Arial" w:eastAsia="Calibri" w:hAnsi="Arial" w:cs="Arial"/>
                <w:sz w:val="22"/>
                <w:lang w:val="es-ES"/>
              </w:rPr>
            </w:pPr>
            <w:r w:rsidRPr="00B47E74">
              <w:rPr>
                <w:rFonts w:ascii="Arial" w:eastAsia="Calibri" w:hAnsi="Arial" w:cs="Arial"/>
                <w:sz w:val="22"/>
                <w:lang w:val="es-ES"/>
              </w:rPr>
              <w:t xml:space="preserve">Respuesta a consulta </w:t>
            </w:r>
            <w:r w:rsidR="00B47E74" w:rsidRPr="00B47E74">
              <w:rPr>
                <w:rFonts w:ascii="Arial" w:eastAsia="Calibri" w:hAnsi="Arial" w:cs="Arial"/>
                <w:sz w:val="22"/>
                <w:lang w:val="es-ES"/>
              </w:rPr>
              <w:t>P20210617005316</w:t>
            </w:r>
          </w:p>
        </w:tc>
      </w:tr>
    </w:tbl>
    <w:p w14:paraId="396DE958" w14:textId="72B5D117" w:rsidR="005A79FE" w:rsidRDefault="005A79FE" w:rsidP="0083363F">
      <w:pPr>
        <w:jc w:val="both"/>
        <w:rPr>
          <w:rFonts w:ascii="Arial" w:eastAsia="Calibri" w:hAnsi="Arial" w:cs="Arial"/>
          <w:sz w:val="22"/>
          <w:lang w:val="es-ES"/>
        </w:rPr>
      </w:pPr>
    </w:p>
    <w:p w14:paraId="442348A1" w14:textId="77777777" w:rsidR="0083363F" w:rsidRPr="00B47E74" w:rsidRDefault="0083363F" w:rsidP="00CC17D1">
      <w:pPr>
        <w:jc w:val="both"/>
        <w:rPr>
          <w:rFonts w:ascii="Arial" w:eastAsia="Calibri" w:hAnsi="Arial" w:cs="Arial"/>
          <w:sz w:val="22"/>
          <w:lang w:val="es-ES"/>
        </w:rPr>
      </w:pPr>
    </w:p>
    <w:p w14:paraId="657E7EE7" w14:textId="4837531D" w:rsidR="005A79FE" w:rsidRPr="00B47E74" w:rsidRDefault="005A79FE" w:rsidP="005A79FE">
      <w:pPr>
        <w:rPr>
          <w:rFonts w:ascii="Arial" w:eastAsia="Calibri" w:hAnsi="Arial" w:cs="Arial"/>
          <w:sz w:val="22"/>
          <w:lang w:val="es-ES"/>
        </w:rPr>
      </w:pPr>
      <w:r w:rsidRPr="00B47E74">
        <w:rPr>
          <w:rFonts w:ascii="Arial" w:eastAsia="Calibri" w:hAnsi="Arial" w:cs="Arial"/>
          <w:sz w:val="22"/>
          <w:lang w:val="es-ES"/>
        </w:rPr>
        <w:t>Estimad</w:t>
      </w:r>
      <w:r w:rsidR="00B47E74" w:rsidRPr="00B47E74">
        <w:rPr>
          <w:rFonts w:ascii="Arial" w:eastAsia="Calibri" w:hAnsi="Arial" w:cs="Arial"/>
          <w:sz w:val="22"/>
          <w:lang w:val="es-ES"/>
        </w:rPr>
        <w:t>a</w:t>
      </w:r>
      <w:r w:rsidR="00626304" w:rsidRPr="00B47E74">
        <w:rPr>
          <w:rFonts w:ascii="Arial" w:eastAsia="Calibri" w:hAnsi="Arial" w:cs="Arial"/>
          <w:sz w:val="22"/>
          <w:lang w:val="es-ES"/>
        </w:rPr>
        <w:t xml:space="preserve"> señor</w:t>
      </w:r>
      <w:r w:rsidR="00B47E74">
        <w:rPr>
          <w:rFonts w:ascii="Arial" w:eastAsia="Calibri" w:hAnsi="Arial" w:cs="Arial"/>
          <w:sz w:val="22"/>
          <w:lang w:val="es-ES"/>
        </w:rPr>
        <w:t>a</w:t>
      </w:r>
      <w:r w:rsidR="00626304" w:rsidRPr="00B47E74">
        <w:rPr>
          <w:rFonts w:ascii="Arial" w:eastAsia="Calibri" w:hAnsi="Arial" w:cs="Arial"/>
          <w:sz w:val="22"/>
          <w:lang w:val="es-ES"/>
        </w:rPr>
        <w:t xml:space="preserve"> </w:t>
      </w:r>
      <w:r w:rsidR="00B47E74" w:rsidRPr="00B47E74">
        <w:rPr>
          <w:rFonts w:ascii="Arial" w:eastAsia="Calibri" w:hAnsi="Arial" w:cs="Arial"/>
          <w:sz w:val="22"/>
          <w:lang w:val="es-ES"/>
        </w:rPr>
        <w:t>Sandoval Gutiérrez</w:t>
      </w:r>
      <w:r w:rsidR="00B47E74">
        <w:rPr>
          <w:rFonts w:ascii="Arial" w:eastAsia="Calibri" w:hAnsi="Arial" w:cs="Arial"/>
          <w:sz w:val="22"/>
          <w:lang w:val="es-ES"/>
        </w:rPr>
        <w:t xml:space="preserve"> </w:t>
      </w:r>
    </w:p>
    <w:p w14:paraId="40D74C98" w14:textId="77777777" w:rsidR="005A79FE" w:rsidRPr="00B47E74" w:rsidRDefault="005A79FE" w:rsidP="005A79FE">
      <w:pPr>
        <w:rPr>
          <w:rFonts w:ascii="Arial" w:eastAsia="Calibri" w:hAnsi="Arial" w:cs="Arial"/>
          <w:sz w:val="22"/>
          <w:lang w:val="es-ES"/>
        </w:rPr>
      </w:pPr>
    </w:p>
    <w:p w14:paraId="1EA2338B" w14:textId="01583BE3" w:rsidR="005A79FE" w:rsidRPr="00B47E74" w:rsidRDefault="00B06DB6" w:rsidP="0031564F">
      <w:pPr>
        <w:spacing w:line="276" w:lineRule="auto"/>
        <w:ind w:right="49"/>
        <w:jc w:val="both"/>
        <w:rPr>
          <w:rFonts w:ascii="Arial" w:eastAsia="Calibri" w:hAnsi="Arial" w:cs="Arial"/>
          <w:sz w:val="22"/>
          <w:lang w:val="es-ES"/>
        </w:rPr>
      </w:pPr>
      <w:r w:rsidRPr="00B47E74">
        <w:rPr>
          <w:rFonts w:ascii="Arial" w:eastAsia="Calibri" w:hAnsi="Arial" w:cs="Arial"/>
          <w:sz w:val="22"/>
          <w:lang w:val="es-ES"/>
        </w:rPr>
        <w:t>En ejercicio de la competencia otorgada por el numeral 8 del artículo 11 y el numeral 5 del artículo 3 del Decreto Ley 4170 de 2011, l</w:t>
      </w:r>
      <w:r w:rsidR="005A79FE" w:rsidRPr="00B47E74">
        <w:rPr>
          <w:rFonts w:ascii="Arial" w:eastAsia="Calibri" w:hAnsi="Arial" w:cs="Arial"/>
          <w:sz w:val="22"/>
          <w:lang w:val="es-ES"/>
        </w:rPr>
        <w:t xml:space="preserve">a Agencia Nacional de Contratación Pública </w:t>
      </w:r>
      <w:r w:rsidR="00C71B25">
        <w:rPr>
          <w:rFonts w:ascii="Arial" w:eastAsia="Calibri" w:hAnsi="Arial" w:cs="Arial"/>
          <w:sz w:val="22"/>
          <w:lang w:val="es-ES"/>
        </w:rPr>
        <w:t xml:space="preserve">– </w:t>
      </w:r>
      <w:r w:rsidR="005A79FE" w:rsidRPr="00B47E74">
        <w:rPr>
          <w:rFonts w:ascii="Arial" w:eastAsia="Calibri" w:hAnsi="Arial" w:cs="Arial"/>
          <w:sz w:val="22"/>
          <w:lang w:val="es-ES"/>
        </w:rPr>
        <w:t xml:space="preserve">Colombia Compra Eficiente responde </w:t>
      </w:r>
      <w:r w:rsidR="00CB5220" w:rsidRPr="00B47E74">
        <w:rPr>
          <w:rFonts w:ascii="Arial" w:eastAsia="Calibri" w:hAnsi="Arial" w:cs="Arial"/>
          <w:sz w:val="22"/>
          <w:lang w:val="es-ES"/>
        </w:rPr>
        <w:t xml:space="preserve">a </w:t>
      </w:r>
      <w:r w:rsidR="005A79FE" w:rsidRPr="00B47E74">
        <w:rPr>
          <w:rFonts w:ascii="Arial" w:eastAsia="Calibri" w:hAnsi="Arial" w:cs="Arial"/>
          <w:sz w:val="22"/>
          <w:lang w:val="es-ES"/>
        </w:rPr>
        <w:t xml:space="preserve">su consulta del </w:t>
      </w:r>
      <w:r w:rsidR="00CB4BA0" w:rsidRPr="00B47E74">
        <w:rPr>
          <w:rFonts w:ascii="Arial" w:eastAsia="Calibri" w:hAnsi="Arial" w:cs="Arial"/>
          <w:sz w:val="22"/>
          <w:lang w:val="es-ES"/>
        </w:rPr>
        <w:t>1</w:t>
      </w:r>
      <w:r w:rsidR="00B47E74">
        <w:rPr>
          <w:rFonts w:ascii="Arial" w:eastAsia="Calibri" w:hAnsi="Arial" w:cs="Arial"/>
          <w:sz w:val="22"/>
          <w:lang w:val="es-ES"/>
        </w:rPr>
        <w:t>7</w:t>
      </w:r>
      <w:r w:rsidRPr="00B47E74">
        <w:rPr>
          <w:rFonts w:ascii="Arial" w:eastAsia="Calibri" w:hAnsi="Arial" w:cs="Arial"/>
          <w:sz w:val="22"/>
          <w:lang w:val="es-ES"/>
        </w:rPr>
        <w:t xml:space="preserve"> de </w:t>
      </w:r>
      <w:r w:rsidR="00CB4BA0" w:rsidRPr="00B47E74">
        <w:rPr>
          <w:rFonts w:ascii="Arial" w:eastAsia="Calibri" w:hAnsi="Arial" w:cs="Arial"/>
          <w:sz w:val="22"/>
          <w:lang w:val="es-ES"/>
        </w:rPr>
        <w:t>junio</w:t>
      </w:r>
      <w:r w:rsidR="005A79FE" w:rsidRPr="00B47E74">
        <w:rPr>
          <w:rFonts w:ascii="Arial" w:eastAsia="Calibri" w:hAnsi="Arial" w:cs="Arial"/>
          <w:sz w:val="22"/>
          <w:lang w:val="es-ES"/>
        </w:rPr>
        <w:t xml:space="preserve"> de 20</w:t>
      </w:r>
      <w:r w:rsidR="00251051" w:rsidRPr="00B47E74">
        <w:rPr>
          <w:rFonts w:ascii="Arial" w:eastAsia="Calibri" w:hAnsi="Arial" w:cs="Arial"/>
          <w:sz w:val="22"/>
          <w:lang w:val="es-ES"/>
        </w:rPr>
        <w:t>2</w:t>
      </w:r>
      <w:r w:rsidR="00B211A2" w:rsidRPr="00B47E74">
        <w:rPr>
          <w:rFonts w:ascii="Arial" w:eastAsia="Calibri" w:hAnsi="Arial" w:cs="Arial"/>
          <w:sz w:val="22"/>
          <w:lang w:val="es-ES"/>
        </w:rPr>
        <w:t>1</w:t>
      </w:r>
      <w:r w:rsidR="005A79FE" w:rsidRPr="00B47E74">
        <w:rPr>
          <w:rFonts w:ascii="Arial" w:eastAsia="Calibri" w:hAnsi="Arial" w:cs="Arial"/>
          <w:sz w:val="22"/>
          <w:lang w:val="es-ES"/>
        </w:rPr>
        <w:t xml:space="preserve">. </w:t>
      </w:r>
    </w:p>
    <w:p w14:paraId="4FA02A8B" w14:textId="77777777" w:rsidR="005A79FE" w:rsidRPr="00B47E74" w:rsidRDefault="005A79FE" w:rsidP="005A79FE">
      <w:pPr>
        <w:spacing w:line="276" w:lineRule="auto"/>
        <w:jc w:val="both"/>
        <w:rPr>
          <w:rFonts w:ascii="Arial" w:eastAsia="Calibri" w:hAnsi="Arial" w:cs="Arial"/>
          <w:sz w:val="22"/>
          <w:lang w:val="es-ES"/>
        </w:rPr>
      </w:pPr>
    </w:p>
    <w:p w14:paraId="4E8D0889" w14:textId="77777777" w:rsidR="005A79FE" w:rsidRPr="00B47E74"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lang w:val="es-ES"/>
        </w:rPr>
      </w:pPr>
      <w:r w:rsidRPr="00B47E74">
        <w:rPr>
          <w:rFonts w:ascii="Arial" w:eastAsia="Calibri" w:hAnsi="Arial" w:cs="Arial"/>
          <w:b/>
          <w:sz w:val="22"/>
          <w:lang w:val="es-ES"/>
        </w:rPr>
        <w:t xml:space="preserve">Problemas planteados </w:t>
      </w:r>
    </w:p>
    <w:p w14:paraId="138D5B25" w14:textId="77777777" w:rsidR="005A79FE" w:rsidRPr="00B47E74" w:rsidRDefault="005A79FE" w:rsidP="005A79FE">
      <w:pPr>
        <w:tabs>
          <w:tab w:val="left" w:pos="426"/>
        </w:tabs>
        <w:spacing w:line="276" w:lineRule="auto"/>
        <w:jc w:val="both"/>
        <w:rPr>
          <w:rFonts w:ascii="Arial" w:eastAsia="Calibri" w:hAnsi="Arial" w:cs="Arial"/>
          <w:b/>
          <w:sz w:val="22"/>
          <w:lang w:val="es-ES"/>
        </w:rPr>
      </w:pPr>
    </w:p>
    <w:p w14:paraId="2A2A1AEC" w14:textId="30FE2ECF" w:rsidR="00B47E74" w:rsidRDefault="00CB4BA0" w:rsidP="0070299B">
      <w:pPr>
        <w:spacing w:line="276" w:lineRule="auto"/>
        <w:jc w:val="both"/>
        <w:rPr>
          <w:rFonts w:ascii="Arial" w:hAnsi="Arial" w:cs="Arial"/>
          <w:color w:val="000000" w:themeColor="text1"/>
          <w:sz w:val="22"/>
          <w:lang w:val="es-ES"/>
        </w:rPr>
      </w:pPr>
      <w:r w:rsidRPr="00B47E74">
        <w:rPr>
          <w:rFonts w:ascii="Arial" w:hAnsi="Arial" w:cs="Arial"/>
          <w:color w:val="000000" w:themeColor="text1"/>
          <w:sz w:val="22"/>
          <w:lang w:val="es-ES"/>
        </w:rPr>
        <w:t xml:space="preserve">Usted formula </w:t>
      </w:r>
      <w:r w:rsidR="00B47E74">
        <w:rPr>
          <w:rFonts w:ascii="Arial" w:hAnsi="Arial" w:cs="Arial"/>
          <w:color w:val="000000" w:themeColor="text1"/>
          <w:sz w:val="22"/>
          <w:lang w:val="es-ES"/>
        </w:rPr>
        <w:t>una</w:t>
      </w:r>
      <w:r w:rsidRPr="00B47E74">
        <w:rPr>
          <w:rFonts w:ascii="Arial" w:hAnsi="Arial" w:cs="Arial"/>
          <w:color w:val="000000" w:themeColor="text1"/>
          <w:sz w:val="22"/>
          <w:lang w:val="es-ES"/>
        </w:rPr>
        <w:t xml:space="preserve"> consulta relacionada con</w:t>
      </w:r>
      <w:r w:rsidR="00B47E74">
        <w:rPr>
          <w:rFonts w:ascii="Arial" w:hAnsi="Arial" w:cs="Arial"/>
          <w:color w:val="000000" w:themeColor="text1"/>
          <w:sz w:val="22"/>
          <w:lang w:val="es-ES"/>
        </w:rPr>
        <w:t xml:space="preserve"> </w:t>
      </w:r>
      <w:r w:rsidR="006739FF">
        <w:rPr>
          <w:rFonts w:ascii="Arial" w:hAnsi="Arial" w:cs="Arial"/>
          <w:color w:val="000000" w:themeColor="text1"/>
          <w:sz w:val="22"/>
          <w:lang w:val="es-ES"/>
        </w:rPr>
        <w:t>el certificado expedido por</w:t>
      </w:r>
      <w:r w:rsidR="00B47E74">
        <w:rPr>
          <w:rFonts w:ascii="Arial" w:hAnsi="Arial" w:cs="Arial"/>
          <w:color w:val="000000" w:themeColor="text1"/>
          <w:sz w:val="22"/>
          <w:lang w:val="es-ES"/>
        </w:rPr>
        <w:t xml:space="preserve"> el Ministerio</w:t>
      </w:r>
      <w:r w:rsidR="006739FF">
        <w:rPr>
          <w:rFonts w:ascii="Arial" w:hAnsi="Arial" w:cs="Arial"/>
          <w:color w:val="000000" w:themeColor="text1"/>
          <w:sz w:val="22"/>
          <w:lang w:val="es-ES"/>
        </w:rPr>
        <w:t xml:space="preserve"> de Trabajo, para el otorgamiento del puntaje </w:t>
      </w:r>
      <w:r w:rsidR="00B47E74">
        <w:rPr>
          <w:rFonts w:ascii="Arial" w:hAnsi="Arial" w:cs="Arial"/>
          <w:color w:val="000000" w:themeColor="text1"/>
          <w:sz w:val="22"/>
          <w:lang w:val="es-ES"/>
        </w:rPr>
        <w:t>de</w:t>
      </w:r>
      <w:r w:rsidR="006739FF">
        <w:rPr>
          <w:rFonts w:ascii="Arial" w:hAnsi="Arial" w:cs="Arial"/>
          <w:color w:val="000000" w:themeColor="text1"/>
          <w:sz w:val="22"/>
          <w:lang w:val="es-ES"/>
        </w:rPr>
        <w:t>l</w:t>
      </w:r>
      <w:r w:rsidR="00B47E74">
        <w:rPr>
          <w:rFonts w:ascii="Arial" w:hAnsi="Arial" w:cs="Arial"/>
          <w:color w:val="000000" w:themeColor="text1"/>
          <w:sz w:val="22"/>
          <w:lang w:val="es-ES"/>
        </w:rPr>
        <w:t xml:space="preserve"> numeral </w:t>
      </w:r>
      <w:r w:rsidR="00B47E74" w:rsidRPr="00B47E74">
        <w:rPr>
          <w:rFonts w:ascii="Arial" w:hAnsi="Arial" w:cs="Arial"/>
          <w:color w:val="000000" w:themeColor="text1"/>
          <w:sz w:val="22"/>
          <w:lang w:val="es-ES"/>
        </w:rPr>
        <w:t>«4.4. VINCULACIÓN DE PERSONAS CON DISCAPACIDAD»</w:t>
      </w:r>
      <w:r w:rsidRPr="00B47E74">
        <w:rPr>
          <w:rFonts w:ascii="Arial" w:hAnsi="Arial" w:cs="Arial"/>
          <w:color w:val="000000" w:themeColor="text1"/>
          <w:sz w:val="22"/>
          <w:lang w:val="es-ES"/>
        </w:rPr>
        <w:t xml:space="preserve"> </w:t>
      </w:r>
      <w:r w:rsidR="00B47E74">
        <w:rPr>
          <w:rFonts w:ascii="Arial" w:hAnsi="Arial" w:cs="Arial"/>
          <w:color w:val="000000" w:themeColor="text1"/>
          <w:sz w:val="22"/>
          <w:lang w:val="es-ES"/>
        </w:rPr>
        <w:t xml:space="preserve">de los </w:t>
      </w:r>
      <w:r w:rsidR="000B2A0E">
        <w:rPr>
          <w:rFonts w:ascii="Arial" w:hAnsi="Arial" w:cs="Arial"/>
          <w:color w:val="000000" w:themeColor="text1"/>
          <w:sz w:val="22"/>
          <w:lang w:val="es-ES"/>
        </w:rPr>
        <w:t>«Documentos Tipo – Versión 3»</w:t>
      </w:r>
      <w:r w:rsidR="00B47E74">
        <w:rPr>
          <w:rFonts w:ascii="Arial" w:hAnsi="Arial" w:cs="Arial"/>
          <w:color w:val="000000" w:themeColor="text1"/>
          <w:sz w:val="22"/>
          <w:lang w:val="es-ES"/>
        </w:rPr>
        <w:t xml:space="preserve"> de licitación pública</w:t>
      </w:r>
      <w:r w:rsidR="00D22C78">
        <w:rPr>
          <w:rFonts w:ascii="Arial" w:hAnsi="Arial" w:cs="Arial"/>
          <w:color w:val="000000" w:themeColor="text1"/>
          <w:sz w:val="22"/>
          <w:lang w:val="es-ES"/>
        </w:rPr>
        <w:t xml:space="preserve"> para obras</w:t>
      </w:r>
      <w:r w:rsidR="00B47E74">
        <w:rPr>
          <w:rFonts w:ascii="Arial" w:hAnsi="Arial" w:cs="Arial"/>
          <w:color w:val="000000" w:themeColor="text1"/>
          <w:sz w:val="22"/>
          <w:lang w:val="es-ES"/>
        </w:rPr>
        <w:t xml:space="preserve"> de infraestructura de transporte. En particular, manifiesta que la entidad contratante incluyó una nota en </w:t>
      </w:r>
      <w:r w:rsidR="006739FF">
        <w:rPr>
          <w:rFonts w:ascii="Arial" w:hAnsi="Arial" w:cs="Arial"/>
          <w:color w:val="000000" w:themeColor="text1"/>
          <w:sz w:val="22"/>
          <w:lang w:val="es-ES"/>
        </w:rPr>
        <w:t xml:space="preserve">dicho numeral </w:t>
      </w:r>
      <w:r w:rsidR="00B47E74">
        <w:rPr>
          <w:rFonts w:ascii="Arial" w:hAnsi="Arial" w:cs="Arial"/>
          <w:color w:val="000000" w:themeColor="text1"/>
          <w:sz w:val="22"/>
          <w:lang w:val="es-ES"/>
        </w:rPr>
        <w:t xml:space="preserve">que consagra lo siguiente: </w:t>
      </w:r>
    </w:p>
    <w:p w14:paraId="42DBDAE8" w14:textId="77777777" w:rsidR="0070299B" w:rsidRDefault="0070299B" w:rsidP="00CC17D1">
      <w:pPr>
        <w:spacing w:line="276" w:lineRule="auto"/>
        <w:jc w:val="both"/>
        <w:rPr>
          <w:rFonts w:ascii="Arial" w:hAnsi="Arial" w:cs="Arial"/>
          <w:color w:val="000000" w:themeColor="text1"/>
          <w:sz w:val="22"/>
          <w:lang w:val="es-ES"/>
        </w:rPr>
      </w:pPr>
    </w:p>
    <w:p w14:paraId="367C2F77" w14:textId="609AC6EB" w:rsidR="00B47E74" w:rsidRDefault="00B47E74" w:rsidP="00CC17D1">
      <w:pPr>
        <w:ind w:left="709" w:right="709"/>
        <w:jc w:val="both"/>
        <w:rPr>
          <w:rFonts w:ascii="Arial" w:hAnsi="Arial" w:cs="Arial"/>
          <w:color w:val="000000" w:themeColor="text1"/>
          <w:sz w:val="21"/>
          <w:szCs w:val="21"/>
        </w:rPr>
      </w:pPr>
      <w:r w:rsidRPr="00B47E74">
        <w:rPr>
          <w:rFonts w:ascii="Arial" w:hAnsi="Arial" w:cs="Arial"/>
          <w:color w:val="000000" w:themeColor="text1"/>
          <w:sz w:val="21"/>
          <w:szCs w:val="21"/>
        </w:rPr>
        <w:t xml:space="preserve">NOTA: Para las certificaciones que hayan vencido durante el término de la emergencia sanitaria por COVID19 decretada por el Gobierno Nacional, conforme lo indicado en el artículo 8 del Decreto 491 de 2020, para efectos de la acreditación de VINCULACION DE PERSONAS CON DISCAPACIDAD, la </w:t>
      </w:r>
      <w:r w:rsidRPr="00B47E74">
        <w:rPr>
          <w:rFonts w:ascii="Arial" w:hAnsi="Arial" w:cs="Arial"/>
          <w:color w:val="000000" w:themeColor="text1"/>
          <w:sz w:val="21"/>
          <w:szCs w:val="21"/>
        </w:rPr>
        <w:lastRenderedPageBreak/>
        <w:t>entidad permitirá que el proponente adjunte el certificado expedido por el Ministerio de Trabajo junto con la solicitud de renovación donde se evidencie el recibido por parte de dicho Ministerio. Lo anterior, teniendo en cuenta que el Ministerio de trabajo mediante Resolución 1294 de 14 de julio de 2020 levantó los términos de la suspensión a partir del 21 de julio de 2020 pero se presentan retrasos en la expedición de los documentos</w:t>
      </w:r>
      <w:r w:rsidR="006739FF">
        <w:rPr>
          <w:rFonts w:ascii="Arial" w:hAnsi="Arial" w:cs="Arial"/>
          <w:color w:val="000000" w:themeColor="text1"/>
          <w:sz w:val="21"/>
          <w:szCs w:val="21"/>
        </w:rPr>
        <w:t>.</w:t>
      </w:r>
    </w:p>
    <w:p w14:paraId="1FDB9930" w14:textId="77777777" w:rsidR="0070299B" w:rsidRDefault="0070299B" w:rsidP="00CC17D1">
      <w:pPr>
        <w:ind w:firstLine="708"/>
        <w:jc w:val="both"/>
        <w:rPr>
          <w:rFonts w:ascii="Arial" w:hAnsi="Arial" w:cs="Arial"/>
          <w:color w:val="000000" w:themeColor="text1"/>
          <w:sz w:val="22"/>
        </w:rPr>
      </w:pPr>
    </w:p>
    <w:p w14:paraId="42DC4EC6" w14:textId="27712CD5" w:rsidR="005A79FE" w:rsidRPr="006739FF" w:rsidRDefault="006739FF" w:rsidP="00CC17D1">
      <w:pPr>
        <w:spacing w:line="276" w:lineRule="auto"/>
        <w:ind w:firstLine="708"/>
        <w:jc w:val="both"/>
        <w:rPr>
          <w:rFonts w:ascii="Arial" w:eastAsia="Batang" w:hAnsi="Arial" w:cs="Arial"/>
          <w:color w:val="000000" w:themeColor="text1"/>
          <w:sz w:val="22"/>
        </w:rPr>
      </w:pPr>
      <w:r>
        <w:rPr>
          <w:rFonts w:ascii="Arial" w:hAnsi="Arial" w:cs="Arial"/>
          <w:color w:val="000000" w:themeColor="text1"/>
          <w:sz w:val="22"/>
        </w:rPr>
        <w:t>Teniendo en cuenta que el</w:t>
      </w:r>
      <w:r w:rsidR="00CC25D4">
        <w:rPr>
          <w:rFonts w:ascii="Arial" w:hAnsi="Arial" w:cs="Arial"/>
          <w:color w:val="000000" w:themeColor="text1"/>
          <w:sz w:val="22"/>
        </w:rPr>
        <w:t xml:space="preserve"> </w:t>
      </w:r>
      <w:r>
        <w:rPr>
          <w:rFonts w:ascii="Arial" w:hAnsi="Arial" w:cs="Arial"/>
          <w:color w:val="000000" w:themeColor="text1"/>
          <w:sz w:val="22"/>
        </w:rPr>
        <w:t xml:space="preserve">numeral </w:t>
      </w:r>
      <w:r w:rsidRPr="00B47E74">
        <w:rPr>
          <w:rFonts w:ascii="Arial" w:hAnsi="Arial" w:cs="Arial"/>
          <w:color w:val="000000" w:themeColor="text1"/>
          <w:sz w:val="22"/>
          <w:lang w:val="es-ES"/>
        </w:rPr>
        <w:t>«4.4. VINCULACIÓN DE PERSONAS CON DISCAPACIDAD»</w:t>
      </w:r>
      <w:r>
        <w:rPr>
          <w:rFonts w:ascii="Arial" w:hAnsi="Arial" w:cs="Arial"/>
          <w:color w:val="000000" w:themeColor="text1"/>
          <w:sz w:val="22"/>
          <w:lang w:val="es-ES"/>
        </w:rPr>
        <w:t xml:space="preserve"> del</w:t>
      </w:r>
      <w:r>
        <w:rPr>
          <w:rFonts w:ascii="Arial" w:hAnsi="Arial" w:cs="Arial"/>
          <w:color w:val="000000" w:themeColor="text1"/>
          <w:sz w:val="22"/>
        </w:rPr>
        <w:t xml:space="preserve"> documento base señala que el certificado debe estar vigente a la fecha del cierre del proceso de selección, usted realiza las siguientes preguntas: i) «</w:t>
      </w:r>
      <w:r w:rsidRPr="006739FF">
        <w:rPr>
          <w:rFonts w:ascii="Arial" w:hAnsi="Arial" w:cs="Arial"/>
          <w:color w:val="000000" w:themeColor="text1"/>
          <w:sz w:val="22"/>
        </w:rPr>
        <w:t xml:space="preserve">¿para </w:t>
      </w:r>
      <w:proofErr w:type="spellStart"/>
      <w:r w:rsidRPr="006739FF">
        <w:rPr>
          <w:rFonts w:ascii="Arial" w:hAnsi="Arial" w:cs="Arial"/>
          <w:color w:val="000000" w:themeColor="text1"/>
          <w:sz w:val="22"/>
        </w:rPr>
        <w:t>que</w:t>
      </w:r>
      <w:proofErr w:type="spellEnd"/>
      <w:r w:rsidRPr="006739FF">
        <w:rPr>
          <w:rFonts w:ascii="Arial" w:hAnsi="Arial" w:cs="Arial"/>
          <w:color w:val="000000" w:themeColor="text1"/>
          <w:sz w:val="22"/>
        </w:rPr>
        <w:t xml:space="preserve"> entonces colocar el párrafo denominado NOTA?</w:t>
      </w:r>
      <w:r>
        <w:rPr>
          <w:rFonts w:ascii="Arial" w:hAnsi="Arial" w:cs="Arial"/>
          <w:color w:val="000000" w:themeColor="text1"/>
          <w:sz w:val="22"/>
        </w:rPr>
        <w:t xml:space="preserve">», </w:t>
      </w:r>
      <w:proofErr w:type="spellStart"/>
      <w:r>
        <w:rPr>
          <w:rFonts w:ascii="Arial" w:hAnsi="Arial" w:cs="Arial"/>
          <w:color w:val="000000" w:themeColor="text1"/>
          <w:sz w:val="22"/>
        </w:rPr>
        <w:t>ii</w:t>
      </w:r>
      <w:proofErr w:type="spellEnd"/>
      <w:r>
        <w:rPr>
          <w:rFonts w:ascii="Arial" w:hAnsi="Arial" w:cs="Arial"/>
          <w:color w:val="000000" w:themeColor="text1"/>
          <w:sz w:val="22"/>
        </w:rPr>
        <w:t>) «</w:t>
      </w:r>
      <w:r w:rsidRPr="006739FF">
        <w:rPr>
          <w:rFonts w:ascii="Arial" w:hAnsi="Arial" w:cs="Arial"/>
          <w:color w:val="000000" w:themeColor="text1"/>
          <w:sz w:val="22"/>
        </w:rPr>
        <w:t>¿acaso el pliego de condiciones</w:t>
      </w:r>
      <w:r>
        <w:rPr>
          <w:rFonts w:ascii="Arial" w:hAnsi="Arial" w:cs="Arial"/>
          <w:color w:val="000000" w:themeColor="text1"/>
          <w:sz w:val="22"/>
        </w:rPr>
        <w:t xml:space="preserve"> </w:t>
      </w:r>
      <w:r w:rsidRPr="006739FF">
        <w:rPr>
          <w:rFonts w:ascii="Arial" w:hAnsi="Arial" w:cs="Arial"/>
          <w:color w:val="000000" w:themeColor="text1"/>
          <w:sz w:val="22"/>
        </w:rPr>
        <w:t>induce al error al proponente?</w:t>
      </w:r>
      <w:r>
        <w:rPr>
          <w:rFonts w:ascii="Arial" w:hAnsi="Arial" w:cs="Arial"/>
          <w:color w:val="000000" w:themeColor="text1"/>
          <w:sz w:val="22"/>
        </w:rPr>
        <w:t xml:space="preserve">» y </w:t>
      </w:r>
      <w:r w:rsidR="00CC25D4">
        <w:rPr>
          <w:rFonts w:ascii="Arial" w:hAnsi="Arial" w:cs="Arial"/>
          <w:color w:val="000000" w:themeColor="text1"/>
          <w:sz w:val="22"/>
        </w:rPr>
        <w:t>«</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w:t>
      </w:r>
      <w:r w:rsidRPr="006739FF">
        <w:rPr>
          <w:rFonts w:ascii="Arial" w:hAnsi="Arial" w:cs="Arial"/>
          <w:color w:val="000000" w:themeColor="text1"/>
          <w:sz w:val="22"/>
        </w:rPr>
        <w:t>¿Acaso la entidad se equivoca y en esta instancia no quiere corregir dicha situación?</w:t>
      </w:r>
      <w:r>
        <w:rPr>
          <w:rFonts w:ascii="Arial" w:hAnsi="Arial" w:cs="Arial"/>
          <w:color w:val="000000" w:themeColor="text1"/>
          <w:sz w:val="22"/>
        </w:rPr>
        <w:t>»</w:t>
      </w:r>
      <w:r w:rsidR="0026690B">
        <w:rPr>
          <w:rFonts w:ascii="Arial" w:hAnsi="Arial" w:cs="Arial"/>
          <w:color w:val="000000" w:themeColor="text1"/>
          <w:sz w:val="22"/>
        </w:rPr>
        <w:t>.</w:t>
      </w:r>
    </w:p>
    <w:p w14:paraId="7EA5D57B" w14:textId="77777777" w:rsidR="00FA7267" w:rsidRPr="00B47E74" w:rsidRDefault="00FA7267" w:rsidP="005A79FE">
      <w:pPr>
        <w:tabs>
          <w:tab w:val="left" w:pos="426"/>
        </w:tabs>
        <w:spacing w:line="276" w:lineRule="auto"/>
        <w:jc w:val="both"/>
        <w:rPr>
          <w:rFonts w:ascii="Arial" w:eastAsia="Calibri" w:hAnsi="Arial" w:cs="Arial"/>
          <w:sz w:val="22"/>
          <w:lang w:val="es-ES"/>
        </w:rPr>
      </w:pPr>
    </w:p>
    <w:p w14:paraId="18C6DB19" w14:textId="11E7C1B2" w:rsidR="005A79FE" w:rsidRPr="00B47E74"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lang w:val="es-ES"/>
        </w:rPr>
      </w:pPr>
      <w:r w:rsidRPr="00B47E74">
        <w:rPr>
          <w:rFonts w:ascii="Arial" w:eastAsia="Calibri" w:hAnsi="Arial" w:cs="Arial"/>
          <w:b/>
          <w:sz w:val="22"/>
          <w:lang w:val="es-ES"/>
        </w:rPr>
        <w:t>Consideraciones</w:t>
      </w:r>
    </w:p>
    <w:p w14:paraId="02FE9605" w14:textId="77777777" w:rsidR="00604180" w:rsidRPr="00B47E74" w:rsidRDefault="00604180" w:rsidP="00604180">
      <w:pPr>
        <w:pStyle w:val="Prrafodelista"/>
        <w:tabs>
          <w:tab w:val="left" w:pos="426"/>
        </w:tabs>
        <w:spacing w:line="276" w:lineRule="auto"/>
        <w:ind w:left="284"/>
        <w:jc w:val="both"/>
        <w:rPr>
          <w:rFonts w:ascii="Arial" w:eastAsia="Calibri" w:hAnsi="Arial" w:cs="Arial"/>
          <w:b/>
          <w:sz w:val="22"/>
          <w:lang w:val="es-ES"/>
        </w:rPr>
      </w:pPr>
    </w:p>
    <w:p w14:paraId="6AC4C916" w14:textId="59A444A9" w:rsidR="006739FF" w:rsidRPr="006739FF" w:rsidRDefault="006739FF" w:rsidP="001A05B1">
      <w:pPr>
        <w:spacing w:after="120" w:line="276" w:lineRule="auto"/>
        <w:jc w:val="both"/>
        <w:rPr>
          <w:rFonts w:ascii="Arial" w:eastAsia="Calibri" w:hAnsi="Arial" w:cs="Arial"/>
          <w:color w:val="000000" w:themeColor="text1"/>
          <w:sz w:val="22"/>
          <w:lang w:val="es-ES"/>
        </w:rPr>
      </w:pPr>
      <w:r w:rsidRPr="006739FF">
        <w:rPr>
          <w:rFonts w:ascii="Arial" w:eastAsia="Calibri" w:hAnsi="Arial" w:cs="Arial"/>
          <w:color w:val="000000" w:themeColor="text1"/>
          <w:sz w:val="22"/>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739FF">
        <w:rPr>
          <w:rFonts w:ascii="Arial" w:eastAsia="Calibri" w:hAnsi="Arial" w:cs="Arial"/>
          <w:color w:val="000000" w:themeColor="text1"/>
          <w:sz w:val="22"/>
        </w:rPr>
        <w:t> </w:t>
      </w:r>
    </w:p>
    <w:p w14:paraId="1A633E77" w14:textId="77777777" w:rsidR="006739FF" w:rsidRPr="006739FF" w:rsidRDefault="006739FF" w:rsidP="006739FF">
      <w:pPr>
        <w:spacing w:after="120" w:line="276" w:lineRule="auto"/>
        <w:ind w:firstLine="709"/>
        <w:jc w:val="both"/>
        <w:rPr>
          <w:rFonts w:ascii="Arial" w:eastAsia="Calibri" w:hAnsi="Arial" w:cs="Arial"/>
          <w:color w:val="000000" w:themeColor="text1"/>
          <w:sz w:val="22"/>
        </w:rPr>
      </w:pPr>
      <w:r w:rsidRPr="006739FF">
        <w:rPr>
          <w:rFonts w:ascii="Arial" w:eastAsia="Calibri" w:hAnsi="Arial" w:cs="Arial"/>
          <w:color w:val="000000" w:themeColor="text1"/>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739FF">
        <w:rPr>
          <w:rFonts w:ascii="Arial" w:eastAsia="Calibri" w:hAnsi="Arial" w:cs="Arial"/>
          <w:color w:val="000000" w:themeColor="text1"/>
          <w:sz w:val="22"/>
          <w:lang w:val="es-MX"/>
        </w:rPr>
        <w:t> de todos los partícipes de la contratación estatal.</w:t>
      </w:r>
      <w:r w:rsidRPr="006739FF">
        <w:rPr>
          <w:rFonts w:ascii="Arial" w:eastAsia="Calibri" w:hAnsi="Arial" w:cs="Arial"/>
          <w:color w:val="000000" w:themeColor="text1"/>
          <w:sz w:val="22"/>
        </w:rPr>
        <w:t> </w:t>
      </w:r>
    </w:p>
    <w:p w14:paraId="6C601D3D" w14:textId="192376A1" w:rsidR="006739FF" w:rsidRDefault="006739FF" w:rsidP="006739FF">
      <w:pPr>
        <w:spacing w:after="120" w:line="276" w:lineRule="auto"/>
        <w:ind w:firstLine="709"/>
        <w:jc w:val="both"/>
        <w:rPr>
          <w:rFonts w:ascii="Arial" w:eastAsia="Calibri" w:hAnsi="Arial" w:cs="Arial"/>
          <w:color w:val="000000" w:themeColor="text1"/>
          <w:sz w:val="22"/>
        </w:rPr>
      </w:pPr>
      <w:r w:rsidRPr="006739FF">
        <w:rPr>
          <w:rFonts w:ascii="Arial" w:eastAsia="Calibri"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739FF">
        <w:rPr>
          <w:rFonts w:ascii="Arial" w:eastAsia="Calibri" w:hAnsi="Arial" w:cs="Arial"/>
          <w:color w:val="000000" w:themeColor="text1"/>
          <w:sz w:val="22"/>
          <w:vertAlign w:val="superscript"/>
          <w:lang w:val="es-ES"/>
        </w:rPr>
        <w:t>1</w:t>
      </w:r>
      <w:r w:rsidRPr="006739FF">
        <w:rPr>
          <w:rFonts w:ascii="Arial" w:eastAsia="Calibri" w:hAnsi="Arial" w:cs="Arial"/>
          <w:color w:val="000000" w:themeColor="text1"/>
          <w:sz w:val="22"/>
          <w:lang w:val="es-ES"/>
        </w:rPr>
        <w:t>. Esta competencia de interpretación de normas generales, por definición, no puede extenderse a la resolución de controversias, ni a brindar asesorías sobre casos puntuales. Esto en la medida en </w:t>
      </w:r>
      <w:proofErr w:type="gramStart"/>
      <w:r w:rsidRPr="006739FF">
        <w:rPr>
          <w:rFonts w:ascii="Arial" w:eastAsia="Calibri" w:hAnsi="Arial" w:cs="Arial"/>
          <w:color w:val="000000" w:themeColor="text1"/>
          <w:sz w:val="22"/>
          <w:lang w:val="es-ES"/>
        </w:rPr>
        <w:t>que</w:t>
      </w:r>
      <w:proofErr w:type="gramEnd"/>
      <w:r w:rsidRPr="006739FF">
        <w:rPr>
          <w:rFonts w:ascii="Arial" w:eastAsia="Calibri" w:hAnsi="Arial" w:cs="Arial"/>
          <w:color w:val="000000" w:themeColor="text1"/>
          <w:sz w:val="22"/>
          <w:lang w:val="es-ES"/>
        </w:rPr>
        <w:t>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r w:rsidRPr="006739FF">
        <w:rPr>
          <w:rFonts w:ascii="Arial" w:eastAsia="Calibri" w:hAnsi="Arial" w:cs="Arial"/>
          <w:color w:val="000000" w:themeColor="text1"/>
          <w:sz w:val="22"/>
        </w:rPr>
        <w:t> </w:t>
      </w:r>
    </w:p>
    <w:p w14:paraId="008AB783" w14:textId="30D7587A" w:rsidR="006739FF" w:rsidRDefault="006739FF" w:rsidP="006739FF">
      <w:pPr>
        <w:spacing w:after="120" w:line="276" w:lineRule="auto"/>
        <w:ind w:firstLine="709"/>
        <w:jc w:val="both"/>
        <w:rPr>
          <w:rFonts w:ascii="Arial" w:eastAsia="Calibri" w:hAnsi="Arial" w:cs="Arial"/>
          <w:color w:val="000000" w:themeColor="text1"/>
          <w:sz w:val="22"/>
        </w:rPr>
      </w:pPr>
      <w:r w:rsidRPr="006739FF">
        <w:rPr>
          <w:rFonts w:ascii="Arial" w:eastAsia="Calibri" w:hAnsi="Arial" w:cs="Arial"/>
          <w:color w:val="000000" w:themeColor="text1"/>
          <w:sz w:val="22"/>
          <w:lang w:val="es-MX"/>
        </w:rPr>
        <w:t>Sin perjuicio de lo anterior, </w:t>
      </w:r>
      <w:r w:rsidRPr="006739FF">
        <w:rPr>
          <w:rFonts w:ascii="Arial" w:eastAsia="Calibri" w:hAnsi="Arial" w:cs="Arial"/>
          <w:color w:val="000000" w:themeColor="text1"/>
          <w:sz w:val="22"/>
          <w:lang w:val="es-ES"/>
        </w:rPr>
        <w:t xml:space="preserve">la Subdirección –dentro de los límites de sus atribuciones, esto es, haciendo abstracción del caso particular expuesto por el peticionario– </w:t>
      </w:r>
      <w:r w:rsidRPr="006739FF">
        <w:rPr>
          <w:rFonts w:ascii="Arial" w:eastAsia="Calibri" w:hAnsi="Arial" w:cs="Arial"/>
          <w:color w:val="000000" w:themeColor="text1"/>
          <w:sz w:val="22"/>
          <w:lang w:val="es-ES"/>
        </w:rPr>
        <w:lastRenderedPageBreak/>
        <w:t>resolverá la consulta conforme a las normas generales en materia de contratación estatal. </w:t>
      </w:r>
      <w:r>
        <w:rPr>
          <w:rFonts w:ascii="Arial" w:eastAsia="Calibri" w:hAnsi="Arial" w:cs="Arial"/>
          <w:color w:val="000000" w:themeColor="text1"/>
          <w:sz w:val="22"/>
        </w:rPr>
        <w:t>Bajo ese entendido, se analizarán los siguientes temas</w:t>
      </w:r>
      <w:r w:rsidR="001A05B1">
        <w:rPr>
          <w:rFonts w:ascii="Arial" w:eastAsia="Calibri" w:hAnsi="Arial" w:cs="Arial"/>
          <w:color w:val="000000" w:themeColor="text1"/>
          <w:sz w:val="22"/>
        </w:rPr>
        <w:t xml:space="preserve">: i) contexto normativo de los documentos tipo de licitación de obra pública de infraestructura de transporte, </w:t>
      </w:r>
      <w:proofErr w:type="spellStart"/>
      <w:r w:rsidR="001A05B1">
        <w:rPr>
          <w:rFonts w:ascii="Arial" w:eastAsia="Calibri" w:hAnsi="Arial" w:cs="Arial"/>
          <w:color w:val="000000" w:themeColor="text1"/>
          <w:sz w:val="22"/>
        </w:rPr>
        <w:t>ii</w:t>
      </w:r>
      <w:proofErr w:type="spellEnd"/>
      <w:r w:rsidR="001A05B1">
        <w:rPr>
          <w:rFonts w:ascii="Arial" w:eastAsia="Calibri" w:hAnsi="Arial" w:cs="Arial"/>
          <w:color w:val="000000" w:themeColor="text1"/>
          <w:sz w:val="22"/>
        </w:rPr>
        <w:t xml:space="preserve">) el principio de inalterabilidad de los documentos tipo expedidos por Colombia Compra Eficiente y </w:t>
      </w:r>
      <w:proofErr w:type="spellStart"/>
      <w:r w:rsidR="001A05B1">
        <w:rPr>
          <w:rFonts w:ascii="Arial" w:eastAsia="Calibri" w:hAnsi="Arial" w:cs="Arial"/>
          <w:color w:val="000000" w:themeColor="text1"/>
          <w:sz w:val="22"/>
        </w:rPr>
        <w:t>iii</w:t>
      </w:r>
      <w:proofErr w:type="spellEnd"/>
      <w:r w:rsidR="001A05B1">
        <w:rPr>
          <w:rFonts w:ascii="Arial" w:eastAsia="Calibri" w:hAnsi="Arial" w:cs="Arial"/>
          <w:color w:val="000000" w:themeColor="text1"/>
          <w:sz w:val="22"/>
        </w:rPr>
        <w:t xml:space="preserve">) la forma de acreditación para obtener el puntaje de vinculación de trabajadores en situación de discapacidad. </w:t>
      </w:r>
    </w:p>
    <w:p w14:paraId="506A1F41" w14:textId="55A274C1" w:rsidR="001A05B1" w:rsidRDefault="001A05B1" w:rsidP="001A05B1">
      <w:pPr>
        <w:spacing w:after="120" w:line="276" w:lineRule="auto"/>
        <w:ind w:firstLine="709"/>
        <w:jc w:val="both"/>
        <w:rPr>
          <w:rFonts w:ascii="Arial" w:hAnsi="Arial" w:cs="Arial"/>
          <w:color w:val="000000"/>
          <w:sz w:val="22"/>
          <w:bdr w:val="none" w:sz="0" w:space="0" w:color="auto" w:frame="1"/>
        </w:rPr>
      </w:pPr>
      <w:r w:rsidRPr="001A05B1">
        <w:rPr>
          <w:rFonts w:ascii="Arial" w:hAnsi="Arial" w:cs="Arial"/>
          <w:color w:val="000000"/>
          <w:sz w:val="22"/>
          <w:bdr w:val="none" w:sz="0" w:space="0" w:color="auto" w:frame="1"/>
          <w:lang w:val="es-ES"/>
        </w:rPr>
        <w:t>La Agencia Nacional de Contratación Pública – Colombia Compra Eficiente</w:t>
      </w:r>
      <w:r>
        <w:rPr>
          <w:rFonts w:ascii="Arial" w:hAnsi="Arial" w:cs="Arial"/>
          <w:color w:val="000000"/>
          <w:sz w:val="22"/>
          <w:bdr w:val="none" w:sz="0" w:space="0" w:color="auto" w:frame="1"/>
          <w:lang w:val="es-ES"/>
        </w:rPr>
        <w:t xml:space="preserve"> </w:t>
      </w:r>
      <w:r w:rsidRPr="001A05B1">
        <w:rPr>
          <w:rFonts w:ascii="Arial" w:hAnsi="Arial" w:cs="Arial"/>
          <w:color w:val="000000"/>
          <w:sz w:val="22"/>
          <w:bdr w:val="none" w:sz="0" w:space="0" w:color="auto" w:frame="1"/>
          <w:lang w:val="es-ES"/>
        </w:rPr>
        <w:t>en los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w:t>
      </w:r>
      <w:r>
        <w:rPr>
          <w:rFonts w:ascii="Arial" w:hAnsi="Arial" w:cs="Arial"/>
          <w:color w:val="000000"/>
          <w:sz w:val="22"/>
          <w:bdr w:val="none" w:sz="0" w:space="0" w:color="auto" w:frame="1"/>
          <w:lang w:val="es-ES"/>
        </w:rPr>
        <w:t>-</w:t>
      </w:r>
      <w:r w:rsidRPr="001A05B1">
        <w:rPr>
          <w:rFonts w:ascii="Arial" w:hAnsi="Arial" w:cs="Arial"/>
          <w:color w:val="000000"/>
          <w:sz w:val="22"/>
          <w:bdr w:val="none" w:sz="0" w:space="0" w:color="auto" w:frame="1"/>
          <w:lang w:val="es-ES"/>
        </w:rPr>
        <w:t>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C- 501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w:t>
      </w:r>
      <w:r>
        <w:rPr>
          <w:rFonts w:ascii="Arial" w:hAnsi="Arial" w:cs="Arial"/>
          <w:color w:val="000000"/>
          <w:sz w:val="22"/>
          <w:bdr w:val="none" w:sz="0" w:space="0" w:color="auto" w:frame="1"/>
          <w:lang w:val="es-ES"/>
        </w:rPr>
        <w:t xml:space="preserve">, </w:t>
      </w:r>
      <w:r w:rsidRPr="001A05B1">
        <w:rPr>
          <w:rFonts w:ascii="Arial" w:hAnsi="Arial" w:cs="Arial"/>
          <w:color w:val="000000"/>
          <w:sz w:val="22"/>
          <w:bdr w:val="none" w:sz="0" w:space="0" w:color="auto" w:frame="1"/>
          <w:lang w:val="es-ES"/>
        </w:rPr>
        <w:t>C-204 del 6 de mayo de 2021</w:t>
      </w:r>
      <w:r w:rsidR="00EA5734">
        <w:rPr>
          <w:rFonts w:ascii="Arial" w:hAnsi="Arial" w:cs="Arial"/>
          <w:color w:val="000000"/>
          <w:sz w:val="22"/>
          <w:bdr w:val="none" w:sz="0" w:space="0" w:color="auto" w:frame="1"/>
          <w:lang w:val="es-ES"/>
        </w:rPr>
        <w:t xml:space="preserve">, C-215 del 12 de mayo de 2021 </w:t>
      </w:r>
      <w:r>
        <w:rPr>
          <w:rFonts w:ascii="Arial" w:hAnsi="Arial" w:cs="Arial"/>
          <w:color w:val="000000"/>
          <w:sz w:val="22"/>
          <w:bdr w:val="none" w:sz="0" w:space="0" w:color="auto" w:frame="1"/>
          <w:lang w:val="es-ES"/>
        </w:rPr>
        <w:t xml:space="preserve">y C-287 del 18 de junio de 2021, </w:t>
      </w:r>
      <w:r w:rsidRPr="001A05B1">
        <w:rPr>
          <w:rFonts w:ascii="Arial" w:hAnsi="Arial" w:cs="Arial"/>
          <w:color w:val="000000"/>
          <w:sz w:val="22"/>
          <w:bdr w:val="none" w:sz="0" w:space="0" w:color="auto" w:frame="1"/>
        </w:rPr>
        <w:t>explicó el principio de inalterabilidad de los documentos tipo y sus excepciones.</w:t>
      </w:r>
    </w:p>
    <w:p w14:paraId="109C409F" w14:textId="0489D142" w:rsidR="00440254" w:rsidRDefault="001A05B1" w:rsidP="00D22C78">
      <w:pPr>
        <w:spacing w:line="276" w:lineRule="auto"/>
        <w:ind w:firstLine="709"/>
        <w:jc w:val="both"/>
        <w:rPr>
          <w:rFonts w:ascii="Arial" w:hAnsi="Arial" w:cs="Arial"/>
          <w:color w:val="000000"/>
          <w:sz w:val="22"/>
          <w:bdr w:val="none" w:sz="0" w:space="0" w:color="auto" w:frame="1"/>
          <w:lang w:val="es-ES"/>
        </w:rPr>
      </w:pPr>
      <w:r>
        <w:rPr>
          <w:rFonts w:ascii="Arial" w:hAnsi="Arial" w:cs="Arial"/>
          <w:color w:val="000000"/>
          <w:sz w:val="22"/>
          <w:bdr w:val="none" w:sz="0" w:space="0" w:color="auto" w:frame="1"/>
        </w:rPr>
        <w:t xml:space="preserve">Por otro lado, esta Agencia </w:t>
      </w:r>
      <w:r w:rsidRPr="001A05B1">
        <w:rPr>
          <w:rFonts w:ascii="Arial" w:hAnsi="Arial" w:cs="Arial"/>
          <w:color w:val="000000"/>
          <w:sz w:val="22"/>
          <w:bdr w:val="none" w:sz="0" w:space="0" w:color="auto" w:frame="1"/>
          <w:lang w:val="es-MX"/>
        </w:rPr>
        <w:t>en el concepto con radicado No. 4201912000004631 de 10 de julio de 2019, reiterado y desarrollado en los conceptos con 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C-669 del 20 de noviembre de 2020, C-676 del 27 de noviembre de 2020</w:t>
      </w:r>
      <w:r>
        <w:rPr>
          <w:rFonts w:ascii="Arial" w:hAnsi="Arial" w:cs="Arial"/>
          <w:color w:val="000000"/>
          <w:sz w:val="22"/>
          <w:bdr w:val="none" w:sz="0" w:space="0" w:color="auto" w:frame="1"/>
        </w:rPr>
        <w:t xml:space="preserve">, </w:t>
      </w:r>
      <w:r w:rsidRPr="001A05B1">
        <w:rPr>
          <w:rFonts w:ascii="Arial" w:hAnsi="Arial" w:cs="Arial"/>
          <w:color w:val="000000"/>
          <w:sz w:val="22"/>
          <w:bdr w:val="none" w:sz="0" w:space="0" w:color="auto" w:frame="1"/>
          <w:lang w:val="es-MX"/>
        </w:rPr>
        <w:t>C-747 del 15 de diciembre de 2020</w:t>
      </w:r>
      <w:r>
        <w:rPr>
          <w:rFonts w:ascii="Arial" w:hAnsi="Arial" w:cs="Arial"/>
          <w:color w:val="000000"/>
          <w:sz w:val="22"/>
          <w:bdr w:val="none" w:sz="0" w:space="0" w:color="auto" w:frame="1"/>
        </w:rPr>
        <w:t xml:space="preserve"> y C-119 de</w:t>
      </w:r>
      <w:r w:rsidR="00D84B15">
        <w:rPr>
          <w:rFonts w:ascii="Arial" w:hAnsi="Arial" w:cs="Arial"/>
          <w:color w:val="000000"/>
          <w:sz w:val="22"/>
          <w:bdr w:val="none" w:sz="0" w:space="0" w:color="auto" w:frame="1"/>
        </w:rPr>
        <w:t>l 30 de marzo de 2021</w:t>
      </w:r>
      <w:r w:rsidRPr="001A05B1">
        <w:rPr>
          <w:rFonts w:ascii="Arial" w:hAnsi="Arial" w:cs="Arial"/>
          <w:color w:val="000000"/>
          <w:sz w:val="22"/>
          <w:bdr w:val="none" w:sz="0" w:space="0" w:color="auto" w:frame="1"/>
          <w:lang w:val="es-MX"/>
        </w:rPr>
        <w:t xml:space="preserve">,  estudió los requisitos para acreditar </w:t>
      </w:r>
      <w:r w:rsidRPr="001A05B1">
        <w:rPr>
          <w:rFonts w:ascii="Arial" w:hAnsi="Arial" w:cs="Arial"/>
          <w:color w:val="000000"/>
          <w:sz w:val="22"/>
          <w:bdr w:val="none" w:sz="0" w:space="0" w:color="auto" w:frame="1"/>
          <w:lang w:val="es-MX"/>
        </w:rPr>
        <w:lastRenderedPageBreak/>
        <w:t>el personal en situación de discapacidad</w:t>
      </w:r>
      <w:r>
        <w:rPr>
          <w:rFonts w:ascii="Arial" w:hAnsi="Arial" w:cs="Arial"/>
          <w:color w:val="000000"/>
          <w:sz w:val="22"/>
          <w:bdr w:val="none" w:sz="0" w:space="0" w:color="auto" w:frame="1"/>
        </w:rPr>
        <w:t>. Las tesis</w:t>
      </w:r>
      <w:r w:rsidR="00D84B15">
        <w:rPr>
          <w:rFonts w:ascii="Arial" w:hAnsi="Arial" w:cs="Arial"/>
          <w:color w:val="000000"/>
          <w:sz w:val="22"/>
          <w:bdr w:val="none" w:sz="0" w:space="0" w:color="auto" w:frame="1"/>
        </w:rPr>
        <w:t xml:space="preserve"> </w:t>
      </w:r>
      <w:r>
        <w:rPr>
          <w:rFonts w:ascii="Arial" w:hAnsi="Arial" w:cs="Arial"/>
          <w:color w:val="000000"/>
          <w:sz w:val="22"/>
          <w:bdr w:val="none" w:sz="0" w:space="0" w:color="auto" w:frame="1"/>
        </w:rPr>
        <w:t>desarrolladas en estos conceptos se reiteran en lo</w:t>
      </w:r>
      <w:r w:rsidR="00D84B15">
        <w:rPr>
          <w:rFonts w:ascii="Arial" w:hAnsi="Arial" w:cs="Arial"/>
          <w:color w:val="000000"/>
          <w:sz w:val="22"/>
          <w:bdr w:val="none" w:sz="0" w:space="0" w:color="auto" w:frame="1"/>
        </w:rPr>
        <w:t xml:space="preserve"> pertinente a continuación, </w:t>
      </w:r>
      <w:r w:rsidR="00D84B15" w:rsidRPr="00D84B15">
        <w:rPr>
          <w:rFonts w:ascii="Arial" w:hAnsi="Arial" w:cs="Arial"/>
          <w:color w:val="000000"/>
          <w:sz w:val="22"/>
          <w:bdr w:val="none" w:sz="0" w:space="0" w:color="auto" w:frame="1"/>
          <w:lang w:val="es-ES"/>
        </w:rPr>
        <w:t>haciendo especial énfasis en los documentos tipo adoptados mediante la Resolución No. 240 del 27 de noviembre 2020:</w:t>
      </w:r>
    </w:p>
    <w:p w14:paraId="362D8594" w14:textId="77777777" w:rsidR="00D22C78" w:rsidRDefault="00D22C78" w:rsidP="00CC17D1">
      <w:pPr>
        <w:spacing w:line="276" w:lineRule="auto"/>
        <w:ind w:firstLine="709"/>
        <w:jc w:val="both"/>
        <w:rPr>
          <w:rFonts w:ascii="Arial" w:hAnsi="Arial" w:cs="Arial"/>
          <w:color w:val="000000"/>
          <w:sz w:val="22"/>
          <w:bdr w:val="none" w:sz="0" w:space="0" w:color="auto" w:frame="1"/>
          <w:lang w:val="es-ES"/>
        </w:rPr>
      </w:pPr>
    </w:p>
    <w:p w14:paraId="4D711A95" w14:textId="77777777" w:rsidR="00EA5734" w:rsidRPr="00EA5734" w:rsidRDefault="00EA5734" w:rsidP="00EA5734">
      <w:pPr>
        <w:spacing w:line="276" w:lineRule="auto"/>
        <w:jc w:val="both"/>
        <w:rPr>
          <w:rFonts w:ascii="Arial" w:eastAsia="Calibri" w:hAnsi="Arial" w:cs="Arial"/>
          <w:b/>
          <w:bCs/>
          <w:sz w:val="22"/>
          <w:lang w:eastAsia="es-ES_tradnl"/>
        </w:rPr>
      </w:pPr>
      <w:r w:rsidRPr="00EA5734">
        <w:rPr>
          <w:rFonts w:ascii="Arial" w:eastAsia="Calibri" w:hAnsi="Arial" w:cs="Arial"/>
          <w:b/>
          <w:bCs/>
          <w:sz w:val="22"/>
          <w:lang w:eastAsia="es-ES_tradnl"/>
        </w:rPr>
        <w:t xml:space="preserve">2.1. </w:t>
      </w:r>
      <w:bookmarkStart w:id="1" w:name="_Hlk71621749"/>
      <w:r w:rsidRPr="00EA5734">
        <w:rPr>
          <w:rFonts w:ascii="Arial" w:eastAsia="Calibri" w:hAnsi="Arial" w:cs="Arial"/>
          <w:b/>
          <w:bCs/>
          <w:sz w:val="22"/>
          <w:lang w:eastAsia="es-ES_tradnl"/>
        </w:rPr>
        <w:t xml:space="preserve">Fundamentos jurídicos para la expedición de los documentos tipo de infraestructura de transporte </w:t>
      </w:r>
    </w:p>
    <w:bookmarkEnd w:id="1"/>
    <w:p w14:paraId="07159316" w14:textId="77777777" w:rsidR="00EA5734" w:rsidRPr="00EA5734" w:rsidRDefault="00EA5734" w:rsidP="00EA5734">
      <w:pPr>
        <w:spacing w:line="276" w:lineRule="auto"/>
        <w:jc w:val="both"/>
        <w:rPr>
          <w:rFonts w:ascii="Arial" w:eastAsia="Calibri" w:hAnsi="Arial" w:cs="Arial"/>
          <w:b/>
          <w:bCs/>
          <w:sz w:val="22"/>
          <w:lang w:eastAsia="es-ES_tradnl"/>
        </w:rPr>
      </w:pPr>
    </w:p>
    <w:p w14:paraId="34D68AF6" w14:textId="77777777" w:rsidR="007144EF" w:rsidRPr="0043040E" w:rsidRDefault="007144EF" w:rsidP="007144EF">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259DC74D" w14:textId="77777777" w:rsidR="007144EF" w:rsidRPr="0043040E" w:rsidRDefault="007144EF" w:rsidP="007144E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30F396D6" w14:textId="77777777" w:rsidR="007144EF" w:rsidRDefault="007144EF" w:rsidP="007144EF">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0BEE5C9F" w14:textId="77777777" w:rsidR="007144EF" w:rsidRPr="0043040E" w:rsidRDefault="007144EF" w:rsidP="007144EF">
      <w:pPr>
        <w:shd w:val="clear" w:color="auto" w:fill="FFFFFF"/>
        <w:spacing w:line="276" w:lineRule="auto"/>
        <w:ind w:firstLine="709"/>
        <w:jc w:val="both"/>
        <w:rPr>
          <w:rFonts w:ascii="Arial" w:hAnsi="Arial" w:cs="Arial"/>
          <w:color w:val="000000"/>
          <w:sz w:val="22"/>
          <w:lang w:eastAsia="es-CO"/>
        </w:rPr>
      </w:pPr>
    </w:p>
    <w:p w14:paraId="5264012C" w14:textId="77777777" w:rsidR="007144EF" w:rsidRDefault="007144EF" w:rsidP="007144EF">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 xml:space="preserve">Parágrafo 7°. El Gobierno nacional adoptará documentos tipo para los pliegos de condiciones de los procesos de selección de obras públicas, interventoría para las obras públicas, interventoría para consultoría de estudios y diseños </w:t>
      </w:r>
      <w:r w:rsidRPr="0043040E">
        <w:rPr>
          <w:rFonts w:ascii="Arial" w:hAnsi="Arial" w:cs="Arial"/>
          <w:color w:val="0D0D0D"/>
          <w:sz w:val="21"/>
          <w:szCs w:val="21"/>
          <w:bdr w:val="none" w:sz="0" w:space="0" w:color="auto" w:frame="1"/>
          <w:lang w:eastAsia="es-CO"/>
        </w:rPr>
        <w:lastRenderedPageBreak/>
        <w:t>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618DE4C7" w14:textId="77777777" w:rsidR="007144EF" w:rsidRPr="00346E84" w:rsidRDefault="007144EF" w:rsidP="007144EF">
      <w:pPr>
        <w:shd w:val="clear" w:color="auto" w:fill="FFFFFF"/>
        <w:spacing w:line="276" w:lineRule="auto"/>
        <w:ind w:left="709" w:right="709"/>
        <w:jc w:val="both"/>
        <w:rPr>
          <w:rFonts w:ascii="Arial" w:hAnsi="Arial" w:cs="Arial"/>
          <w:color w:val="000000"/>
          <w:sz w:val="22"/>
          <w:lang w:eastAsia="es-CO"/>
        </w:rPr>
      </w:pPr>
    </w:p>
    <w:p w14:paraId="1B8E806F" w14:textId="77777777" w:rsidR="007144EF" w:rsidRPr="0043040E" w:rsidRDefault="007144EF" w:rsidP="007144EF">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43040E">
        <w:rPr>
          <w:rFonts w:ascii="Arial" w:hAnsi="Arial" w:cs="Arial"/>
          <w:color w:val="0D0D0D"/>
          <w:sz w:val="22"/>
          <w:bdr w:val="none" w:sz="0" w:space="0" w:color="auto" w:frame="1"/>
          <w:lang w:eastAsia="es-CO"/>
        </w:rPr>
        <w:t>ii</w:t>
      </w:r>
      <w:proofErr w:type="spellEnd"/>
      <w:r w:rsidRPr="0043040E">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43040E">
        <w:rPr>
          <w:rFonts w:ascii="Arial" w:hAnsi="Arial" w:cs="Arial"/>
          <w:color w:val="0D0D0D"/>
          <w:sz w:val="22"/>
          <w:bdr w:val="none" w:sz="0" w:space="0" w:color="auto" w:frame="1"/>
          <w:lang w:eastAsia="es-CO"/>
        </w:rPr>
        <w:t>iii</w:t>
      </w:r>
      <w:proofErr w:type="spellEnd"/>
      <w:r w:rsidRPr="0043040E">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43040E">
        <w:rPr>
          <w:rFonts w:ascii="Arial" w:hAnsi="Arial" w:cs="Arial"/>
          <w:color w:val="0D0D0D"/>
          <w:sz w:val="22"/>
          <w:bdr w:val="none" w:sz="0" w:space="0" w:color="auto" w:frame="1"/>
          <w:lang w:eastAsia="es-CO"/>
        </w:rPr>
        <w:t>iv</w:t>
      </w:r>
      <w:proofErr w:type="spellEnd"/>
      <w:r w:rsidRPr="0043040E">
        <w:rPr>
          <w:rFonts w:ascii="Arial" w:hAnsi="Arial" w:cs="Arial"/>
          <w:color w:val="0D0D0D"/>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44E1E982" w14:textId="77777777" w:rsidR="007144EF" w:rsidRPr="0043040E" w:rsidRDefault="007144EF" w:rsidP="007144EF">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29C7E922" w14:textId="77777777" w:rsidR="007144EF" w:rsidRPr="0043040E" w:rsidRDefault="007144EF" w:rsidP="007144E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75478D13" w14:textId="77777777" w:rsidR="007144EF" w:rsidRPr="0043040E" w:rsidRDefault="007144EF" w:rsidP="007144E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54FBF5EE" w14:textId="77777777" w:rsidR="007144EF" w:rsidRPr="0043040E" w:rsidRDefault="007144EF" w:rsidP="007144EF">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6116982E" w14:textId="77777777" w:rsidR="007144EF" w:rsidRPr="0043040E" w:rsidRDefault="007144EF" w:rsidP="007144EF">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w:t>
      </w:r>
      <w:r w:rsidRPr="0043040E">
        <w:rPr>
          <w:rFonts w:ascii="Arial" w:hAnsi="Arial" w:cs="Arial"/>
          <w:color w:val="0D0D0D"/>
          <w:sz w:val="22"/>
          <w:bdr w:val="none" w:sz="0" w:space="0" w:color="auto" w:frame="1"/>
          <w:lang w:eastAsia="es-CO"/>
        </w:rPr>
        <w:lastRenderedPageBreak/>
        <w:t>de licitación de obra pública de infraestructura de transporte y se deroga la Resolución 1798 de 2019».  </w:t>
      </w:r>
    </w:p>
    <w:p w14:paraId="3AD90C0E" w14:textId="77777777" w:rsidR="007144EF" w:rsidRPr="0043040E" w:rsidRDefault="007144EF" w:rsidP="007144E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Pr>
          <w:rFonts w:ascii="Arial" w:hAnsi="Arial" w:cs="Arial"/>
          <w:color w:val="0D0D0D"/>
          <w:sz w:val="22"/>
          <w:bdr w:val="none" w:sz="0" w:space="0" w:color="auto" w:frame="1"/>
          <w:lang w:eastAsia="es-CO"/>
        </w:rPr>
        <w:t>Mediante ese Decreto</w:t>
      </w:r>
      <w:r w:rsidRPr="0043040E">
        <w:rPr>
          <w:rFonts w:ascii="Arial" w:hAnsi="Arial" w:cs="Arial"/>
          <w:color w:val="0D0D0D"/>
          <w:sz w:val="22"/>
          <w:bdr w:val="none" w:sz="0" w:space="0" w:color="auto" w:frame="1"/>
          <w:lang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33B04BC7" w14:textId="77777777" w:rsidR="007144EF" w:rsidRPr="0043040E" w:rsidRDefault="007144EF" w:rsidP="007144EF">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El artículo 2.2.1.2.6.2.2 del Decreto</w:t>
      </w:r>
      <w:r>
        <w:rPr>
          <w:rFonts w:ascii="Arial" w:hAnsi="Arial" w:cs="Arial"/>
          <w:color w:val="0D0D0D"/>
          <w:sz w:val="22"/>
          <w:bdr w:val="none" w:sz="0" w:space="0" w:color="auto" w:frame="1"/>
          <w:lang w:eastAsia="es-CO"/>
        </w:rPr>
        <w:t xml:space="preserve"> mencionado</w:t>
      </w:r>
      <w:r w:rsidRPr="0043040E">
        <w:rPr>
          <w:rFonts w:ascii="Arial" w:hAnsi="Arial" w:cs="Arial"/>
          <w:color w:val="0D0D0D"/>
          <w:sz w:val="22"/>
          <w:bdr w:val="none" w:sz="0" w:space="0" w:color="auto" w:frame="1"/>
          <w:lang w:eastAsia="es-CO"/>
        </w:rPr>
        <w:t xml:space="preserve"> contiene el listado de los documentos tipo aplicables a los procesos de selección abreviada de menor cuantía para la contratación de obra pública de infraestructura de transporte. Además, el 2.2.1.2.6.2.3 </w:t>
      </w:r>
      <w:r w:rsidRPr="0043040E">
        <w:rPr>
          <w:rFonts w:ascii="Arial" w:hAnsi="Arial" w:cs="Arial"/>
          <w:i/>
          <w:iCs/>
          <w:color w:val="0D0D0D"/>
          <w:sz w:val="22"/>
          <w:bdr w:val="none" w:sz="0" w:space="0" w:color="auto" w:frame="1"/>
          <w:lang w:eastAsia="es-CO"/>
        </w:rPr>
        <w:t>ibidem</w:t>
      </w:r>
      <w:r w:rsidRPr="0043040E">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0D57F134" w14:textId="77777777" w:rsidR="007144EF" w:rsidRPr="0043040E" w:rsidRDefault="007144EF" w:rsidP="007144E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01CD1E8D" w14:textId="77777777" w:rsidR="007144EF" w:rsidRDefault="007144EF" w:rsidP="007144E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w:t>
      </w:r>
    </w:p>
    <w:p w14:paraId="3519C5B7" w14:textId="77777777" w:rsidR="007144EF" w:rsidRPr="0043040E" w:rsidRDefault="007144EF" w:rsidP="007144EF">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w:t>
      </w:r>
    </w:p>
    <w:p w14:paraId="35541C96" w14:textId="1BA8967E" w:rsidR="00EA5734" w:rsidRPr="00EA5734" w:rsidRDefault="007144EF" w:rsidP="00CC17D1">
      <w:pPr>
        <w:pStyle w:val="Normal11pt"/>
        <w:spacing w:before="120" w:line="276" w:lineRule="auto"/>
        <w:ind w:left="0" w:firstLine="709"/>
        <w:rPr>
          <w:rFonts w:eastAsia="Calibri"/>
        </w:rPr>
      </w:pPr>
      <w:r w:rsidRPr="0043040E">
        <w:rPr>
          <w:color w:val="0D0D0D"/>
          <w:bdr w:val="none" w:sz="0" w:space="0" w:color="auto" w:frame="1"/>
          <w:lang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w:t>
      </w:r>
      <w:r>
        <w:rPr>
          <w:color w:val="0D0D0D"/>
          <w:bdr w:val="none" w:sz="0" w:space="0" w:color="auto" w:frame="1"/>
          <w:lang w:eastAsia="es-CO"/>
        </w:rPr>
        <w:t xml:space="preserve"> </w:t>
      </w:r>
      <w:r w:rsidRPr="00C761D6">
        <w:rPr>
          <w:color w:val="0D0D0D"/>
          <w:bdr w:val="none" w:sz="0" w:space="0" w:color="auto" w:frame="1"/>
          <w:lang w:eastAsia="es-CO"/>
        </w:rPr>
        <w:t>bajo la competencia prevista en la Ley 2022 de 2020,</w:t>
      </w:r>
      <w:r w:rsidRPr="0043040E">
        <w:rPr>
          <w:color w:val="0D0D0D"/>
          <w:bdr w:val="none" w:sz="0" w:space="0" w:color="auto" w:frame="1"/>
          <w:lang w:eastAsia="es-CO"/>
        </w:rPr>
        <w:t xml:space="preserve"> Colombia Compra Eficiente expid</w:t>
      </w:r>
      <w:r>
        <w:rPr>
          <w:color w:val="0D0D0D"/>
          <w:bdr w:val="none" w:sz="0" w:space="0" w:color="auto" w:frame="1"/>
          <w:lang w:eastAsia="es-CO"/>
        </w:rPr>
        <w:t>ió</w:t>
      </w:r>
      <w:r w:rsidRPr="0043040E">
        <w:rPr>
          <w:color w:val="0D0D0D"/>
          <w:bdr w:val="none" w:sz="0" w:space="0" w:color="auto" w:frame="1"/>
          <w:lang w:eastAsia="es-CO"/>
        </w:rPr>
        <w:t xml:space="preserve"> las Resoluciones No. 240 y 241 del 27 de </w:t>
      </w:r>
      <w:r w:rsidRPr="0043040E">
        <w:rPr>
          <w:color w:val="0D0D0D"/>
          <w:bdr w:val="none" w:sz="0" w:space="0" w:color="auto" w:frame="1"/>
          <w:lang w:eastAsia="es-CO"/>
        </w:rPr>
        <w:lastRenderedPageBreak/>
        <w:t xml:space="preserve">noviembre 2020 </w:t>
      </w:r>
      <w:r w:rsidR="00B56DED">
        <w:rPr>
          <w:color w:val="0D0D0D"/>
          <w:bdr w:val="none" w:sz="0" w:space="0" w:color="auto" w:frame="1"/>
          <w:lang w:eastAsia="es-CO"/>
        </w:rPr>
        <w:t>mediante</w:t>
      </w:r>
      <w:r w:rsidRPr="0043040E">
        <w:rPr>
          <w:color w:val="0D0D0D"/>
          <w:bdr w:val="none" w:sz="0" w:space="0" w:color="auto" w:frame="1"/>
          <w:lang w:eastAsia="es-CO"/>
        </w:rPr>
        <w:t xml:space="preserve"> las cuales se adopta</w:t>
      </w:r>
      <w:r>
        <w:rPr>
          <w:color w:val="0D0D0D"/>
          <w:bdr w:val="none" w:sz="0" w:space="0" w:color="auto" w:frame="1"/>
          <w:lang w:eastAsia="es-CO"/>
        </w:rPr>
        <w:t>ro</w:t>
      </w:r>
      <w:r w:rsidRPr="0043040E">
        <w:rPr>
          <w:color w:val="0D0D0D"/>
          <w:bdr w:val="none" w:sz="0" w:space="0" w:color="auto" w:frame="1"/>
          <w:lang w:eastAsia="es-CO"/>
        </w:rPr>
        <w:t>n los documentos tipo de licitación de obra pública – versión 3 y de selección abreviada de menor cuantía – versión 2 de infraestructura de transporte, lo</w:t>
      </w:r>
      <w:r>
        <w:rPr>
          <w:color w:val="0D0D0D"/>
          <w:bdr w:val="none" w:sz="0" w:space="0" w:color="auto" w:frame="1"/>
          <w:lang w:eastAsia="es-CO"/>
        </w:rPr>
        <w:t>s</w:t>
      </w:r>
      <w:r w:rsidRPr="0043040E">
        <w:rPr>
          <w:color w:val="0D0D0D"/>
          <w:bdr w:val="none" w:sz="0" w:space="0" w:color="auto" w:frame="1"/>
          <w:lang w:eastAsia="es-CO"/>
        </w:rPr>
        <w:t xml:space="preserve"> cuales son obligatorios a partir del 1º de enero de 2021.</w:t>
      </w:r>
      <w:r>
        <w:rPr>
          <w:color w:val="0D0D0D"/>
          <w:bdr w:val="none" w:sz="0" w:space="0" w:color="auto" w:frame="1"/>
          <w:lang w:eastAsia="es-CO"/>
        </w:rPr>
        <w:t xml:space="preserve"> Incluso, con la expedición de la Ley de Emprendimiento, estos se ajustaron </w:t>
      </w:r>
      <w:r w:rsidR="00B56DED">
        <w:rPr>
          <w:color w:val="0D0D0D"/>
          <w:bdr w:val="none" w:sz="0" w:space="0" w:color="auto" w:frame="1"/>
          <w:lang w:eastAsia="es-CO"/>
        </w:rPr>
        <w:t>mediante la expedición d</w:t>
      </w:r>
      <w:r>
        <w:rPr>
          <w:color w:val="0D0D0D"/>
          <w:bdr w:val="none" w:sz="0" w:space="0" w:color="auto" w:frame="1"/>
          <w:lang w:eastAsia="es-CO"/>
        </w:rPr>
        <w:t>e la Resolución No. 161 del 17 de junio de 2021, «</w:t>
      </w:r>
      <w:r w:rsidRPr="00E65E7F">
        <w:rPr>
          <w:color w:val="0D0D0D"/>
          <w:bdr w:val="none" w:sz="0" w:space="0" w:color="auto" w:frame="1"/>
          <w:lang w:eastAsia="es-CO"/>
        </w:rPr>
        <w:t xml:space="preserve">Por la cual se modifican los documentos tipo adoptados por la Agencia Nacional de Contratación Pública </w:t>
      </w:r>
      <w:r>
        <w:rPr>
          <w:color w:val="0D0D0D"/>
          <w:bdr w:val="none" w:sz="0" w:space="0" w:color="auto" w:frame="1"/>
          <w:lang w:eastAsia="es-CO"/>
        </w:rPr>
        <w:t>–</w:t>
      </w:r>
      <w:r w:rsidRPr="00E65E7F">
        <w:rPr>
          <w:color w:val="0D0D0D"/>
          <w:bdr w:val="none" w:sz="0" w:space="0" w:color="auto" w:frame="1"/>
          <w:lang w:eastAsia="es-CO"/>
        </w:rPr>
        <w:t xml:space="preserve"> Colombia Compra Eficiente</w:t>
      </w:r>
      <w:r>
        <w:rPr>
          <w:color w:val="0D0D0D"/>
          <w:bdr w:val="none" w:sz="0" w:space="0" w:color="auto" w:frame="1"/>
          <w:lang w:eastAsia="es-CO"/>
        </w:rPr>
        <w:t>», la cual rige para los procedimientos de selección cuya invitación o aviso de convocatoria se publique a partir del 28 de junio de 2021.</w:t>
      </w:r>
      <w:r w:rsidRPr="0043040E">
        <w:rPr>
          <w:color w:val="0D0D0D"/>
          <w:bdr w:val="none" w:sz="0" w:space="0" w:color="auto" w:frame="1"/>
          <w:lang w:eastAsia="es-CO"/>
        </w:rPr>
        <w:t xml:space="preserve"> </w:t>
      </w:r>
      <w:bookmarkStart w:id="2" w:name="_Hlk71625212"/>
      <w:r w:rsidR="00EA5734" w:rsidRPr="00EA5734">
        <w:rPr>
          <w:rFonts w:eastAsia="Calibri"/>
        </w:rPr>
        <w:t xml:space="preserve"> </w:t>
      </w:r>
    </w:p>
    <w:bookmarkEnd w:id="2"/>
    <w:p w14:paraId="76D97B75" w14:textId="77777777" w:rsidR="00EA5734" w:rsidRPr="00EA5734" w:rsidRDefault="00EA5734" w:rsidP="00EA5734">
      <w:pPr>
        <w:spacing w:line="276" w:lineRule="auto"/>
        <w:ind w:firstLine="708"/>
        <w:jc w:val="both"/>
        <w:rPr>
          <w:rFonts w:ascii="Arial" w:eastAsia="Calibri" w:hAnsi="Arial" w:cs="Arial"/>
          <w:sz w:val="22"/>
          <w:lang w:val="es-ES_tradnl" w:eastAsia="es-ES_tradnl"/>
        </w:rPr>
      </w:pPr>
    </w:p>
    <w:p w14:paraId="106236F6" w14:textId="77777777" w:rsidR="00EA5734" w:rsidRPr="00EA5734" w:rsidRDefault="00EA5734" w:rsidP="00EA5734">
      <w:pPr>
        <w:shd w:val="clear" w:color="auto" w:fill="FFFFFF"/>
        <w:spacing w:line="276" w:lineRule="auto"/>
        <w:jc w:val="both"/>
        <w:textAlignment w:val="baseline"/>
        <w:rPr>
          <w:rFonts w:ascii="Arial" w:hAnsi="Arial" w:cs="Arial"/>
          <w:b/>
          <w:bCs/>
          <w:color w:val="000000"/>
          <w:sz w:val="22"/>
          <w:lang w:eastAsia="es-CO"/>
        </w:rPr>
      </w:pPr>
      <w:r w:rsidRPr="00EA5734">
        <w:rPr>
          <w:rFonts w:ascii="Arial" w:hAnsi="Arial" w:cs="Arial"/>
          <w:b/>
          <w:bCs/>
          <w:color w:val="000000"/>
          <w:sz w:val="22"/>
          <w:lang w:eastAsia="es-CO"/>
        </w:rPr>
        <w:t xml:space="preserve">2.2. Inalterabilidad de los «Documentos Tipo – Versión 3» de licitación para obra pública de infraestructura de transporte y sus excepciones </w:t>
      </w:r>
    </w:p>
    <w:p w14:paraId="22E32DCC" w14:textId="77777777" w:rsidR="00EA5734" w:rsidRPr="00EA5734" w:rsidRDefault="00EA5734" w:rsidP="00EA5734">
      <w:pPr>
        <w:shd w:val="clear" w:color="auto" w:fill="FFFFFF"/>
        <w:spacing w:line="276" w:lineRule="auto"/>
        <w:textAlignment w:val="baseline"/>
        <w:rPr>
          <w:rFonts w:ascii="Arial" w:hAnsi="Arial" w:cs="Arial"/>
          <w:b/>
          <w:bCs/>
          <w:color w:val="000000"/>
          <w:sz w:val="22"/>
          <w:lang w:eastAsia="es-CO"/>
        </w:rPr>
      </w:pPr>
    </w:p>
    <w:p w14:paraId="0060A7F5" w14:textId="7EC0EB9B" w:rsidR="00EA5734" w:rsidRPr="00EA5734" w:rsidRDefault="00EA5734" w:rsidP="00EA5734">
      <w:pPr>
        <w:shd w:val="clear" w:color="auto" w:fill="FFFFFF"/>
        <w:spacing w:line="276" w:lineRule="auto"/>
        <w:jc w:val="both"/>
        <w:textAlignment w:val="baseline"/>
        <w:rPr>
          <w:rFonts w:ascii="Arial" w:hAnsi="Arial" w:cs="Arial"/>
          <w:b/>
          <w:bCs/>
          <w:color w:val="000000"/>
          <w:sz w:val="22"/>
          <w:lang w:eastAsia="es-CO"/>
        </w:rPr>
      </w:pPr>
      <w:r w:rsidRPr="00EA5734">
        <w:rPr>
          <w:rFonts w:ascii="Arial" w:hAnsi="Arial" w:cs="Arial"/>
          <w:bCs/>
          <w:sz w:val="22"/>
          <w:lang w:val="es-ES_tradnl" w:eastAsia="es-ES_tradnl"/>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EA5734">
        <w:rPr>
          <w:rFonts w:ascii="Arial" w:hAnsi="Arial" w:cs="Arial"/>
          <w:bCs/>
          <w:sz w:val="22"/>
          <w:vertAlign w:val="superscript"/>
          <w:lang w:val="es-ES_tradnl" w:eastAsia="es-ES_tradnl"/>
        </w:rPr>
        <w:footnoteReference w:id="6"/>
      </w:r>
      <w:r w:rsidRPr="00EA5734">
        <w:rPr>
          <w:rFonts w:ascii="Arial" w:hAnsi="Arial" w:cs="Arial"/>
          <w:bCs/>
          <w:sz w:val="22"/>
          <w:lang w:val="es-ES_tradnl" w:eastAsia="es-ES_tradnl"/>
        </w:rPr>
        <w:t>. En consecuencia</w:t>
      </w:r>
      <w:bookmarkStart w:id="3" w:name="_Hlk64290904"/>
      <w:r w:rsidRPr="00EA5734">
        <w:rPr>
          <w:rFonts w:ascii="Arial" w:hAnsi="Arial" w:cs="Arial"/>
          <w:bCs/>
          <w:sz w:val="22"/>
          <w:lang w:val="es-ES_tradnl" w:eastAsia="es-ES_tradnl"/>
        </w:rPr>
        <w:t xml:space="preserve">, las condiciones que sean establecidas en los documentos que adopte </w:t>
      </w:r>
      <w:r w:rsidR="00426992">
        <w:rPr>
          <w:rFonts w:ascii="Arial" w:hAnsi="Arial" w:cs="Arial"/>
          <w:bCs/>
          <w:sz w:val="22"/>
          <w:lang w:val="es-ES_tradnl" w:eastAsia="es-ES_tradnl"/>
        </w:rPr>
        <w:t>la Agencia</w:t>
      </w:r>
      <w:r w:rsidRPr="00EA5734">
        <w:rPr>
          <w:rFonts w:ascii="Arial" w:hAnsi="Arial" w:cs="Arial"/>
          <w:bCs/>
          <w:sz w:val="22"/>
          <w:lang w:val="es-ES_tradnl" w:eastAsia="es-ES_tradnl"/>
        </w:rPr>
        <w:t xml:space="preserve">, en ejercicio del mandato establecido en el artículo 1 de la Ley 2022 de 2020, como se </w:t>
      </w:r>
      <w:r w:rsidR="0073557B">
        <w:rPr>
          <w:rFonts w:ascii="Arial" w:hAnsi="Arial" w:cs="Arial"/>
          <w:bCs/>
          <w:sz w:val="22"/>
          <w:lang w:val="es-ES_tradnl" w:eastAsia="es-ES_tradnl"/>
        </w:rPr>
        <w:t>explicó</w:t>
      </w:r>
      <w:r w:rsidR="0073557B" w:rsidRPr="00EA5734">
        <w:rPr>
          <w:rFonts w:ascii="Arial" w:hAnsi="Arial" w:cs="Arial"/>
          <w:bCs/>
          <w:sz w:val="22"/>
          <w:lang w:val="es-ES_tradnl" w:eastAsia="es-ES_tradnl"/>
        </w:rPr>
        <w:t xml:space="preserve"> </w:t>
      </w:r>
      <w:r w:rsidRPr="00EA5734">
        <w:rPr>
          <w:rFonts w:ascii="Arial" w:hAnsi="Arial" w:cs="Arial"/>
          <w:bCs/>
          <w:sz w:val="22"/>
          <w:lang w:val="es-ES_tradnl" w:eastAsia="es-ES_tradnl"/>
        </w:rPr>
        <w:t xml:space="preserve">en el numeral anterior, son de obligatorio cumplimiento para las entidades sometidas al Estatuto General de Contratación de la Administración pública que adelanten procesos que deban regirse por su contenido y no pueden variarse los requisitos </w:t>
      </w:r>
      <w:r w:rsidR="0073557B" w:rsidRPr="00EA5734">
        <w:rPr>
          <w:rFonts w:ascii="Arial" w:hAnsi="Arial" w:cs="Arial"/>
          <w:bCs/>
          <w:sz w:val="22"/>
          <w:lang w:val="es-ES_tradnl" w:eastAsia="es-ES_tradnl"/>
        </w:rPr>
        <w:t xml:space="preserve">fijados </w:t>
      </w:r>
      <w:r w:rsidRPr="00EA5734">
        <w:rPr>
          <w:rFonts w:ascii="Arial" w:hAnsi="Arial" w:cs="Arial"/>
          <w:bCs/>
          <w:sz w:val="22"/>
          <w:lang w:val="es-ES_tradnl" w:eastAsia="es-ES_tradnl"/>
        </w:rPr>
        <w:t>en ellos.</w:t>
      </w:r>
      <w:bookmarkEnd w:id="3"/>
      <w:r w:rsidRPr="00EA5734">
        <w:rPr>
          <w:rFonts w:ascii="Arial" w:hAnsi="Arial" w:cs="Arial"/>
          <w:bCs/>
          <w:sz w:val="22"/>
          <w:lang w:val="es-ES_tradnl" w:eastAsia="es-ES_tradnl"/>
        </w:rPr>
        <w:t xml:space="preserve"> </w:t>
      </w:r>
    </w:p>
    <w:p w14:paraId="17180200" w14:textId="77777777" w:rsidR="00EA5734" w:rsidRPr="00EA5734" w:rsidRDefault="00EA5734" w:rsidP="00EA5734">
      <w:pPr>
        <w:spacing w:before="120" w:line="276" w:lineRule="auto"/>
        <w:ind w:firstLine="709"/>
        <w:jc w:val="both"/>
        <w:rPr>
          <w:rFonts w:ascii="Arial" w:hAnsi="Arial" w:cs="Arial"/>
          <w:bCs/>
          <w:sz w:val="22"/>
          <w:lang w:val="es-ES_tradnl" w:eastAsia="es-ES_tradnl"/>
        </w:rPr>
      </w:pPr>
      <w:r w:rsidRPr="00EA5734">
        <w:rPr>
          <w:rFonts w:ascii="Arial" w:hAnsi="Arial" w:cs="Arial"/>
          <w:bCs/>
          <w:sz w:val="22"/>
          <w:lang w:val="es-ES_tradnl" w:eastAsia="es-ES_tradnl"/>
        </w:rPr>
        <w:t xml:space="preserve">Esta prohibición la ratifica el artículo 3 de la Resolución No. 240 de 2020, por medio de las que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0F1182FC" w14:textId="77777777" w:rsidR="00EA5734" w:rsidRPr="00EA5734" w:rsidRDefault="00EA5734" w:rsidP="00EA5734">
      <w:pPr>
        <w:spacing w:before="120" w:line="276" w:lineRule="auto"/>
        <w:ind w:firstLine="708"/>
        <w:jc w:val="both"/>
        <w:rPr>
          <w:rFonts w:ascii="Arial" w:hAnsi="Arial" w:cs="Arial"/>
          <w:bCs/>
          <w:sz w:val="22"/>
          <w:lang w:val="es-ES_tradnl" w:eastAsia="es-ES_tradnl"/>
        </w:rPr>
      </w:pPr>
      <w:r w:rsidRPr="00EA5734">
        <w:rPr>
          <w:rFonts w:ascii="Arial" w:hAnsi="Arial" w:cs="Arial"/>
          <w:bCs/>
          <w:sz w:val="22"/>
          <w:lang w:val="es-ES_tradnl" w:eastAsia="es-ES_tradnl"/>
        </w:rPr>
        <w:t xml:space="preserve">Además, las entidades estatales deben garantizar el </w:t>
      </w:r>
      <w:r w:rsidRPr="00EA5734">
        <w:rPr>
          <w:rFonts w:ascii="Arial" w:hAnsi="Arial" w:cs="Arial"/>
          <w:bCs/>
          <w:i/>
          <w:iCs/>
          <w:sz w:val="22"/>
          <w:lang w:val="es-ES_tradnl" w:eastAsia="es-ES_tradnl"/>
        </w:rPr>
        <w:t>principio de economía</w:t>
      </w:r>
      <w:r w:rsidRPr="00EA5734">
        <w:rPr>
          <w:rFonts w:ascii="Arial" w:hAnsi="Arial" w:cs="Arial"/>
          <w:bCs/>
          <w:sz w:val="22"/>
          <w:lang w:val="es-ES_tradnl" w:eastAsia="es-ES_tradnl"/>
        </w:rPr>
        <w:t xml:space="preserve">, del cual se desprende que no pueden exigir documentos o requisitos más allá de los que permitan la Constitución, la ley y los reglamentos. Este postulado ha encontrado eco no solo en la </w:t>
      </w:r>
      <w:r w:rsidRPr="00EA5734">
        <w:rPr>
          <w:rFonts w:ascii="Arial" w:hAnsi="Arial" w:cs="Arial"/>
          <w:bCs/>
          <w:sz w:val="22"/>
          <w:lang w:val="es-ES_tradnl" w:eastAsia="es-ES_tradnl"/>
        </w:rPr>
        <w:lastRenderedPageBreak/>
        <w:t>contratación estatal</w:t>
      </w:r>
      <w:r w:rsidRPr="00EA5734">
        <w:rPr>
          <w:rFonts w:ascii="Arial" w:hAnsi="Arial" w:cs="Arial"/>
          <w:bCs/>
          <w:sz w:val="22"/>
          <w:vertAlign w:val="superscript"/>
          <w:lang w:val="es-ES_tradnl" w:eastAsia="es-ES_tradnl"/>
        </w:rPr>
        <w:footnoteReference w:id="7"/>
      </w:r>
      <w:r w:rsidRPr="00EA5734">
        <w:rPr>
          <w:rFonts w:ascii="Arial" w:hAnsi="Arial" w:cs="Arial"/>
          <w:bCs/>
          <w:sz w:val="22"/>
          <w:lang w:val="es-ES_tradnl" w:eastAsia="es-ES_tradnl"/>
        </w:rPr>
        <w:t xml:space="preserve"> sino además en la normativa </w:t>
      </w:r>
      <w:proofErr w:type="spellStart"/>
      <w:r w:rsidRPr="00EA5734">
        <w:rPr>
          <w:rFonts w:ascii="Arial" w:hAnsi="Arial" w:cs="Arial"/>
          <w:bCs/>
          <w:sz w:val="22"/>
          <w:lang w:val="es-ES_tradnl" w:eastAsia="es-ES_tradnl"/>
        </w:rPr>
        <w:t>antitrámites</w:t>
      </w:r>
      <w:proofErr w:type="spellEnd"/>
      <w:r w:rsidRPr="00EA5734">
        <w:rPr>
          <w:rFonts w:ascii="Arial" w:hAnsi="Arial" w:cs="Arial"/>
          <w:bCs/>
          <w:sz w:val="22"/>
          <w:lang w:val="es-ES_tradnl" w:eastAsia="es-ES_tradnl"/>
        </w:rPr>
        <w:t>, pues se inscribe dentro de la tendencia de simplificación y racionalización de los procedimientos administrativos</w:t>
      </w:r>
      <w:r w:rsidRPr="00EA5734">
        <w:rPr>
          <w:rFonts w:ascii="Arial" w:hAnsi="Arial" w:cs="Arial"/>
          <w:bCs/>
          <w:sz w:val="22"/>
          <w:vertAlign w:val="superscript"/>
          <w:lang w:val="es-ES_tradnl" w:eastAsia="es-ES_tradnl"/>
        </w:rPr>
        <w:footnoteReference w:id="8"/>
      </w:r>
      <w:r w:rsidRPr="00EA5734">
        <w:rPr>
          <w:rFonts w:ascii="Arial" w:hAnsi="Arial" w:cs="Arial"/>
          <w:bCs/>
          <w:sz w:val="22"/>
          <w:lang w:val="es-ES_tradnl" w:eastAsia="es-ES_tradnl"/>
        </w:rPr>
        <w:t>. De ahí que cuando las autoridades solicitan la entrega de documentación innecesaria, menoscaban el principio de economía.</w:t>
      </w:r>
    </w:p>
    <w:p w14:paraId="689D88EC" w14:textId="77777777" w:rsidR="00EE1ECA" w:rsidRDefault="00EA5734" w:rsidP="00EA5734">
      <w:pPr>
        <w:spacing w:before="120" w:line="276" w:lineRule="auto"/>
        <w:ind w:firstLine="709"/>
        <w:jc w:val="both"/>
        <w:rPr>
          <w:rFonts w:ascii="Arial" w:hAnsi="Arial" w:cs="Arial"/>
          <w:sz w:val="22"/>
          <w:lang w:eastAsia="es-ES_tradnl"/>
        </w:rPr>
      </w:pPr>
      <w:r w:rsidRPr="00EA5734">
        <w:rPr>
          <w:rFonts w:ascii="Arial" w:hAnsi="Arial" w:cs="Arial"/>
          <w:sz w:val="22"/>
          <w:lang w:eastAsia="es-ES_tradnl"/>
        </w:rPr>
        <w:t>Por su parte, la parte introductoria de los documentos tipo dispone que los aspectos incluidos en corchetes y resaltado gris –</w:t>
      </w:r>
      <w:r w:rsidRPr="00EA5734">
        <w:rPr>
          <w:rFonts w:ascii="Arial" w:hAnsi="Arial" w:cs="Arial"/>
          <w:sz w:val="22"/>
          <w:highlight w:val="lightGray"/>
          <w:lang w:eastAsia="es-ES_tradnl"/>
        </w:rPr>
        <w:t>[texto de ejemplo]</w:t>
      </w:r>
      <w:r w:rsidRPr="00EA5734">
        <w:rPr>
          <w:rFonts w:ascii="Arial" w:hAnsi="Arial" w:cs="Arial"/>
          <w:sz w:val="22"/>
          <w:lang w:eastAsia="es-ES_tradn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3B74797C" w14:textId="72E09441" w:rsidR="00EA5734" w:rsidRPr="00EA5734" w:rsidRDefault="00EA5734" w:rsidP="00EA5734">
      <w:pPr>
        <w:spacing w:before="120" w:line="276" w:lineRule="auto"/>
        <w:ind w:firstLine="709"/>
        <w:jc w:val="both"/>
        <w:rPr>
          <w:rFonts w:ascii="Arial" w:hAnsi="Arial" w:cs="Arial"/>
          <w:bCs/>
          <w:sz w:val="22"/>
          <w:lang w:eastAsia="es-ES_tradnl"/>
        </w:rPr>
      </w:pPr>
      <w:r w:rsidRPr="00EA5734">
        <w:rPr>
          <w:rFonts w:ascii="Arial" w:hAnsi="Arial" w:cs="Arial"/>
          <w:bCs/>
          <w:sz w:val="22"/>
          <w:lang w:eastAsia="es-ES_tradnl"/>
        </w:rPr>
        <w:t>Debe precisarse que la entidad</w:t>
      </w:r>
      <w:r w:rsidR="00074E24">
        <w:rPr>
          <w:rFonts w:ascii="Arial" w:hAnsi="Arial" w:cs="Arial"/>
          <w:bCs/>
          <w:sz w:val="22"/>
          <w:lang w:eastAsia="es-ES_tradnl"/>
        </w:rPr>
        <w:t>,</w:t>
      </w:r>
      <w:r w:rsidRPr="00EA5734">
        <w:rPr>
          <w:rFonts w:ascii="Arial" w:hAnsi="Arial" w:cs="Arial"/>
          <w:bCs/>
          <w:sz w:val="22"/>
          <w:lang w:eastAsia="es-ES_tradnl"/>
        </w:rPr>
        <w:t xml:space="preserve">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7E6569BA" w14:textId="1BEC3902" w:rsidR="00EA5734" w:rsidRPr="00EA5734" w:rsidRDefault="00EA5734" w:rsidP="00EA5734">
      <w:pPr>
        <w:spacing w:before="120" w:line="276" w:lineRule="auto"/>
        <w:ind w:firstLine="709"/>
        <w:jc w:val="both"/>
        <w:rPr>
          <w:rFonts w:ascii="Arial" w:hAnsi="Arial" w:cs="Arial"/>
          <w:sz w:val="22"/>
          <w:lang w:eastAsia="es-ES_tradnl"/>
        </w:rPr>
      </w:pPr>
      <w:r w:rsidRPr="00EA5734">
        <w:rPr>
          <w:rFonts w:ascii="Arial" w:hAnsi="Arial" w:cs="Arial"/>
          <w:sz w:val="22"/>
          <w:lang w:eastAsia="es-ES_tradnl"/>
        </w:rPr>
        <w:t>Además, el artículo 4 de la Resolución No. 240 de 2020 prevé los eventos en los que el objeto contractual incluye bienes o servicios adicionales a la obra pública de infraestructura de transporte</w:t>
      </w:r>
      <w:r w:rsidRPr="00EA5734">
        <w:rPr>
          <w:rFonts w:ascii="Arial" w:hAnsi="Arial" w:cs="Arial"/>
          <w:sz w:val="22"/>
          <w:vertAlign w:val="superscript"/>
          <w:lang w:eastAsia="es-ES_tradnl"/>
        </w:rPr>
        <w:footnoteReference w:id="9"/>
      </w:r>
      <w:r w:rsidRPr="00EA5734">
        <w:rPr>
          <w:rFonts w:ascii="Arial" w:hAnsi="Arial" w:cs="Arial"/>
          <w:sz w:val="22"/>
          <w:lang w:eastAsia="es-ES_tradnl"/>
        </w:rPr>
        <w:t xml:space="preserve">. En este caso, la entidad estatal puede complementar </w:t>
      </w:r>
      <w:r w:rsidRPr="00EA5734">
        <w:rPr>
          <w:rFonts w:ascii="Arial" w:hAnsi="Arial" w:cs="Arial"/>
          <w:sz w:val="22"/>
          <w:lang w:eastAsia="es-ES_tradnl"/>
        </w:rPr>
        <w:lastRenderedPageBreak/>
        <w:t>experiencia adicional para evaluar la idoneidad respecto de los bienes o servicios ajenos a la obra pública</w:t>
      </w:r>
      <w:r w:rsidR="004F6BC8">
        <w:rPr>
          <w:rFonts w:ascii="Arial" w:hAnsi="Arial" w:cs="Arial"/>
          <w:sz w:val="22"/>
          <w:lang w:eastAsia="es-ES_tradnl"/>
        </w:rPr>
        <w:t>.</w:t>
      </w:r>
      <w:r w:rsidRPr="00EA5734">
        <w:rPr>
          <w:rFonts w:ascii="Arial" w:hAnsi="Arial" w:cs="Arial"/>
          <w:sz w:val="22"/>
          <w:lang w:eastAsia="es-ES_tradnl"/>
        </w:rPr>
        <w:t xml:space="preserve"> </w:t>
      </w:r>
      <w:r w:rsidR="004F6BC8">
        <w:rPr>
          <w:rFonts w:ascii="Arial" w:hAnsi="Arial" w:cs="Arial"/>
          <w:sz w:val="22"/>
          <w:lang w:eastAsia="es-ES_tradnl"/>
        </w:rPr>
        <w:t>N</w:t>
      </w:r>
      <w:r w:rsidRPr="00EA5734">
        <w:rPr>
          <w:rFonts w:ascii="Arial" w:hAnsi="Arial" w:cs="Arial"/>
          <w:sz w:val="22"/>
          <w:lang w:eastAsia="es-ES_tradnl"/>
        </w:rPr>
        <w:t xml:space="preserve">o obstante, deberá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EA5734">
        <w:rPr>
          <w:rFonts w:ascii="Arial" w:hAnsi="Arial" w:cs="Arial"/>
          <w:sz w:val="22"/>
          <w:lang w:eastAsia="es-ES_tradnl"/>
        </w:rPr>
        <w:t>ii</w:t>
      </w:r>
      <w:proofErr w:type="spellEnd"/>
      <w:r w:rsidRPr="00EA5734">
        <w:rPr>
          <w:rFonts w:ascii="Arial" w:hAnsi="Arial" w:cs="Arial"/>
          <w:sz w:val="22"/>
          <w:lang w:eastAsia="es-ES_tradnl"/>
        </w:rPr>
        <w:t xml:space="preserve">) conservar los requisitos exigidos en los documentos tipo, </w:t>
      </w:r>
      <w:proofErr w:type="spellStart"/>
      <w:r w:rsidRPr="00EA5734">
        <w:rPr>
          <w:rFonts w:ascii="Arial" w:hAnsi="Arial" w:cs="Arial"/>
          <w:sz w:val="22"/>
          <w:lang w:eastAsia="es-ES_tradnl"/>
        </w:rPr>
        <w:t>iii</w:t>
      </w:r>
      <w:proofErr w:type="spellEnd"/>
      <w:r w:rsidRPr="00EA5734">
        <w:rPr>
          <w:rFonts w:ascii="Arial" w:hAnsi="Arial" w:cs="Arial"/>
          <w:sz w:val="22"/>
          <w:lang w:eastAsia="es-ES_tradnl"/>
        </w:rPr>
        <w:t xml:space="preserve">) abstenerse de pedir experiencia exclusiva con entidades estatales, experiencia previa en un territorio específico, limitada en el tiempo o que incluya volúmenes o cantidades de obra específica, y </w:t>
      </w:r>
      <w:proofErr w:type="spellStart"/>
      <w:r w:rsidRPr="00EA5734">
        <w:rPr>
          <w:rFonts w:ascii="Arial" w:hAnsi="Arial" w:cs="Arial"/>
          <w:sz w:val="22"/>
          <w:lang w:eastAsia="es-ES_tradnl"/>
        </w:rPr>
        <w:t>iv</w:t>
      </w:r>
      <w:proofErr w:type="spellEnd"/>
      <w:r w:rsidRPr="00EA5734">
        <w:rPr>
          <w:rFonts w:ascii="Arial" w:hAnsi="Arial" w:cs="Arial"/>
          <w:sz w:val="22"/>
          <w:lang w:eastAsia="es-ES_tradnl"/>
        </w:rPr>
        <w:t xml:space="preserve">) clasificar la experiencia requerida solo hasta el tercer nivel del Clasificador de Bienes y Servicios e incluir exclusivamente los códigos que estén relacionados directamente con el objeto a contratar. </w:t>
      </w:r>
    </w:p>
    <w:p w14:paraId="1396030D" w14:textId="77777777" w:rsidR="00EA5734" w:rsidRPr="00EA5734" w:rsidRDefault="00EA5734" w:rsidP="00EA5734">
      <w:pPr>
        <w:spacing w:before="120" w:line="276" w:lineRule="auto"/>
        <w:ind w:firstLine="709"/>
        <w:jc w:val="both"/>
        <w:rPr>
          <w:rFonts w:ascii="Arial" w:hAnsi="Arial" w:cs="Arial"/>
          <w:bCs/>
          <w:sz w:val="22"/>
          <w:lang w:eastAsia="es-ES_tradnl"/>
        </w:rPr>
      </w:pPr>
      <w:r w:rsidRPr="00EA5734">
        <w:rPr>
          <w:rFonts w:ascii="Arial" w:hAnsi="Arial" w:cs="Arial"/>
          <w:bCs/>
          <w:sz w:val="22"/>
          <w:lang w:eastAsia="es-ES_tradnl"/>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7CFFD493" w14:textId="4CF1F818" w:rsidR="00EA5734" w:rsidRDefault="00EA5734" w:rsidP="00FB29E0">
      <w:pPr>
        <w:spacing w:before="120" w:line="276" w:lineRule="auto"/>
        <w:ind w:firstLine="709"/>
        <w:jc w:val="both"/>
        <w:rPr>
          <w:rFonts w:ascii="Arial" w:hAnsi="Arial" w:cs="Arial"/>
          <w:bCs/>
          <w:sz w:val="22"/>
          <w:lang w:eastAsia="es-ES_tradnl"/>
        </w:rPr>
      </w:pPr>
      <w:r w:rsidRPr="00EA5734">
        <w:rPr>
          <w:rFonts w:ascii="Arial" w:hAnsi="Arial" w:cs="Arial"/>
          <w:bCs/>
          <w:sz w:val="22"/>
          <w:lang w:eastAsia="es-ES_tradnl"/>
        </w:rPr>
        <w:t xml:space="preserve">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el proceso de selección.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9C7914C" w14:textId="635CF981" w:rsidR="009C6F2E" w:rsidRPr="00EA6172" w:rsidRDefault="009C6F2E">
      <w:pPr>
        <w:spacing w:before="120" w:line="276" w:lineRule="auto"/>
        <w:ind w:firstLine="709"/>
        <w:jc w:val="both"/>
        <w:rPr>
          <w:rFonts w:ascii="Arial" w:hAnsi="Arial" w:cs="Arial"/>
          <w:sz w:val="22"/>
          <w:lang w:eastAsia="es-ES_tradnl"/>
        </w:rPr>
      </w:pPr>
      <w:r>
        <w:rPr>
          <w:rFonts w:ascii="Arial" w:hAnsi="Arial" w:cs="Arial"/>
          <w:sz w:val="22"/>
          <w:lang w:eastAsia="es-ES_tradnl"/>
        </w:rPr>
        <w:t>De esta manera, el principio de inalterabilidad es un criterio transversal al procedimiento de selección. De conformidad con las reglas de interpretación del pliego de condiciones, el numeral 1.17, literal I, del documento base dispone que «</w:t>
      </w:r>
      <w:r w:rsidRPr="000913ED">
        <w:rPr>
          <w:rFonts w:ascii="Arial" w:hAnsi="Arial" w:cs="Arial"/>
          <w:sz w:val="22"/>
          <w:lang w:eastAsia="es-ES_tradnl"/>
        </w:rPr>
        <w:t xml:space="preserve">Los Documentos </w:t>
      </w:r>
      <w:r w:rsidRPr="000913ED">
        <w:rPr>
          <w:rFonts w:ascii="Arial" w:hAnsi="Arial" w:cs="Arial"/>
          <w:sz w:val="22"/>
          <w:lang w:eastAsia="es-ES_tradnl"/>
        </w:rPr>
        <w:lastRenderedPageBreak/>
        <w:t>Tipo son inalterables y no se podrán incluir o modificar los Anexos, Formatos y Formularios, ni exigir soportes o requisitos adicionales; salvo cuando se permita en forma expresa, es decir, en los aspectos incluidos en corchetes y resaltados en gris</w:t>
      </w:r>
      <w:r>
        <w:rPr>
          <w:rFonts w:ascii="Arial" w:hAnsi="Arial" w:cs="Arial"/>
          <w:sz w:val="22"/>
          <w:lang w:eastAsia="es-ES_tradnl"/>
        </w:rPr>
        <w:t>»</w:t>
      </w:r>
      <w:r w:rsidRPr="000913ED">
        <w:rPr>
          <w:rFonts w:ascii="Arial" w:hAnsi="Arial" w:cs="Arial"/>
          <w:sz w:val="22"/>
          <w:lang w:eastAsia="es-ES_tradnl"/>
        </w:rPr>
        <w:t>.</w:t>
      </w:r>
      <w:r>
        <w:rPr>
          <w:rFonts w:ascii="Arial" w:hAnsi="Arial" w:cs="Arial"/>
          <w:sz w:val="22"/>
          <w:lang w:eastAsia="es-ES_tradnl"/>
        </w:rPr>
        <w:t xml:space="preserve"> Incluso, literal E </w:t>
      </w:r>
      <w:r w:rsidRPr="00C761D6">
        <w:rPr>
          <w:rFonts w:ascii="Arial" w:hAnsi="Arial" w:cs="Arial"/>
          <w:i/>
          <w:iCs/>
          <w:sz w:val="22"/>
          <w:lang w:eastAsia="es-ES_tradnl"/>
        </w:rPr>
        <w:t>ibidem</w:t>
      </w:r>
      <w:r>
        <w:rPr>
          <w:rFonts w:ascii="Arial" w:hAnsi="Arial" w:cs="Arial"/>
          <w:sz w:val="22"/>
          <w:lang w:eastAsia="es-ES_tradnl"/>
        </w:rPr>
        <w:t xml:space="preserve"> prescribe que «</w:t>
      </w:r>
      <w:r w:rsidRPr="00415DAE">
        <w:rPr>
          <w:rFonts w:ascii="Arial" w:hAnsi="Arial" w:cs="Arial"/>
          <w:sz w:val="22"/>
          <w:lang w:eastAsia="es-ES_tradnl"/>
        </w:rPr>
        <w:t>En caso de contradicción entre el contenido establecido en los Documentos Tipo y el incluido por la entidad, proponentes o contratista en los documentos del proceso, primará lo señalado en los Documentos Tipo</w:t>
      </w:r>
      <w:r>
        <w:rPr>
          <w:rFonts w:ascii="Arial" w:hAnsi="Arial" w:cs="Arial"/>
          <w:sz w:val="22"/>
          <w:lang w:eastAsia="es-ES_tradnl"/>
        </w:rPr>
        <w:t>»</w:t>
      </w:r>
      <w:r w:rsidRPr="00415DAE">
        <w:rPr>
          <w:rFonts w:ascii="Arial" w:hAnsi="Arial" w:cs="Arial"/>
          <w:sz w:val="22"/>
          <w:lang w:eastAsia="es-ES_tradnl"/>
        </w:rPr>
        <w:t>.</w:t>
      </w:r>
      <w:r w:rsidR="00710CFF">
        <w:rPr>
          <w:rFonts w:ascii="Arial" w:hAnsi="Arial" w:cs="Arial"/>
          <w:sz w:val="22"/>
          <w:lang w:eastAsia="es-ES_tradnl"/>
        </w:rPr>
        <w:t xml:space="preserve">  </w:t>
      </w:r>
    </w:p>
    <w:p w14:paraId="1F6F385D" w14:textId="77777777" w:rsidR="00FB29E0" w:rsidRPr="00EA5734" w:rsidRDefault="00FB29E0" w:rsidP="00CC17D1">
      <w:pPr>
        <w:spacing w:line="276" w:lineRule="auto"/>
        <w:ind w:firstLine="709"/>
        <w:jc w:val="both"/>
        <w:rPr>
          <w:rFonts w:ascii="Arial" w:hAnsi="Arial" w:cs="Arial"/>
          <w:bCs/>
          <w:sz w:val="22"/>
          <w:lang w:eastAsia="es-ES_tradnl"/>
        </w:rPr>
      </w:pPr>
    </w:p>
    <w:p w14:paraId="50A1F393" w14:textId="017B551F" w:rsidR="00904ECB" w:rsidRDefault="003F2DA2" w:rsidP="00CC17D1">
      <w:pPr>
        <w:spacing w:line="276" w:lineRule="auto"/>
        <w:jc w:val="both"/>
        <w:rPr>
          <w:rFonts w:ascii="Arial" w:hAnsi="Arial" w:cs="Arial"/>
          <w:b/>
          <w:color w:val="000000"/>
          <w:sz w:val="22"/>
          <w:bdr w:val="none" w:sz="0" w:space="0" w:color="auto" w:frame="1"/>
        </w:rPr>
      </w:pPr>
      <w:r w:rsidRPr="00904ECB">
        <w:rPr>
          <w:rFonts w:ascii="Arial" w:hAnsi="Arial" w:cs="Arial"/>
          <w:b/>
          <w:color w:val="000000"/>
          <w:sz w:val="22"/>
          <w:bdr w:val="none" w:sz="0" w:space="0" w:color="auto" w:frame="1"/>
        </w:rPr>
        <w:t>2.</w:t>
      </w:r>
      <w:r w:rsidR="00FB29E0">
        <w:rPr>
          <w:rFonts w:ascii="Arial" w:hAnsi="Arial" w:cs="Arial"/>
          <w:b/>
          <w:color w:val="000000"/>
          <w:sz w:val="22"/>
          <w:bdr w:val="none" w:sz="0" w:space="0" w:color="auto" w:frame="1"/>
        </w:rPr>
        <w:t>3</w:t>
      </w:r>
      <w:r w:rsidRPr="00904ECB">
        <w:rPr>
          <w:rFonts w:ascii="Arial" w:hAnsi="Arial" w:cs="Arial"/>
          <w:b/>
          <w:color w:val="000000"/>
          <w:sz w:val="22"/>
          <w:bdr w:val="none" w:sz="0" w:space="0" w:color="auto" w:frame="1"/>
        </w:rPr>
        <w:t>.</w:t>
      </w:r>
      <w:r w:rsidR="00904ECB" w:rsidRPr="00904ECB">
        <w:rPr>
          <w:rFonts w:ascii="Arial" w:hAnsi="Arial" w:cs="Arial"/>
          <w:b/>
          <w:color w:val="000000"/>
          <w:sz w:val="22"/>
          <w:bdr w:val="none" w:sz="0" w:space="0" w:color="auto" w:frame="1"/>
        </w:rPr>
        <w:t xml:space="preserve"> Acreditación para obtener el puntaje de vinculación de trabajadores en situación de discapacidad</w:t>
      </w:r>
    </w:p>
    <w:p w14:paraId="37E51B07" w14:textId="77777777" w:rsidR="00F15F29" w:rsidRDefault="00F15F29" w:rsidP="00CC17D1">
      <w:pPr>
        <w:jc w:val="both"/>
        <w:rPr>
          <w:rFonts w:ascii="Arial" w:hAnsi="Arial" w:cs="Arial"/>
          <w:b/>
          <w:color w:val="000000"/>
          <w:sz w:val="22"/>
          <w:bdr w:val="none" w:sz="0" w:space="0" w:color="auto" w:frame="1"/>
        </w:rPr>
      </w:pPr>
    </w:p>
    <w:p w14:paraId="7F86DB86" w14:textId="77777777" w:rsidR="000B3B86" w:rsidRDefault="000B3B86" w:rsidP="00CC17D1">
      <w:pPr>
        <w:spacing w:line="276" w:lineRule="auto"/>
        <w:jc w:val="both"/>
        <w:rPr>
          <w:rFonts w:ascii="Arial" w:hAnsi="Arial" w:cs="Arial"/>
          <w:color w:val="000000" w:themeColor="text1"/>
          <w:sz w:val="22"/>
        </w:rPr>
      </w:pPr>
      <w:bookmarkStart w:id="4" w:name="_Hlk60826619"/>
      <w:r>
        <w:rPr>
          <w:rFonts w:ascii="Arial" w:hAnsi="Arial" w:cs="Arial"/>
          <w:color w:val="000000" w:themeColor="text1"/>
          <w:sz w:val="22"/>
        </w:rPr>
        <w:t>Con la Ley Estatutaria 1618 de 2013, el legislador garantizó el ejercicio de los derechos de las personas con discapacidad</w:t>
      </w:r>
      <w:r>
        <w:rPr>
          <w:rStyle w:val="Refdenotaalpie"/>
          <w:rFonts w:ascii="Arial" w:hAnsi="Arial" w:cs="Arial"/>
          <w:color w:val="000000" w:themeColor="text1"/>
          <w:sz w:val="21"/>
          <w:szCs w:val="21"/>
        </w:rPr>
        <w:footnoteReference w:id="10"/>
      </w:r>
      <w:r>
        <w:rPr>
          <w:rFonts w:ascii="Arial" w:hAnsi="Arial" w:cs="Arial"/>
          <w:color w:val="000000" w:themeColor="text1"/>
          <w:sz w:val="21"/>
          <w:szCs w:val="21"/>
        </w:rPr>
        <w:t>. Por ello, el</w:t>
      </w:r>
      <w:r>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14:paraId="73A09FFC" w14:textId="77777777" w:rsidR="000B3B86" w:rsidRDefault="000B3B86" w:rsidP="000B3B86">
      <w:pPr>
        <w:jc w:val="both"/>
        <w:rPr>
          <w:rFonts w:ascii="Arial" w:hAnsi="Arial" w:cs="Arial"/>
          <w:color w:val="000000" w:themeColor="text1"/>
          <w:sz w:val="22"/>
        </w:rPr>
      </w:pPr>
    </w:p>
    <w:p w14:paraId="74266D92" w14:textId="77777777" w:rsidR="000B3B86" w:rsidRDefault="000B3B86" w:rsidP="000B3B86">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14670F4" w14:textId="77777777" w:rsidR="000B3B86" w:rsidRDefault="000B3B86" w:rsidP="000B3B86">
      <w:pPr>
        <w:ind w:left="709" w:right="709"/>
        <w:jc w:val="both"/>
        <w:rPr>
          <w:rFonts w:ascii="Arial" w:hAnsi="Arial" w:cs="Arial"/>
          <w:color w:val="000000" w:themeColor="text1"/>
          <w:sz w:val="21"/>
          <w:szCs w:val="21"/>
        </w:rPr>
      </w:pPr>
      <w:r>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667FE4F" w14:textId="77777777" w:rsidR="000B3B86" w:rsidRDefault="000B3B86" w:rsidP="000B3B86">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w:t>
      </w:r>
    </w:p>
    <w:p w14:paraId="5E93E2FB" w14:textId="77777777" w:rsidR="000B3B86" w:rsidRDefault="000B3B86" w:rsidP="000B3B86">
      <w:pPr>
        <w:ind w:left="708" w:right="709"/>
        <w:jc w:val="both"/>
        <w:rPr>
          <w:rFonts w:ascii="Arial" w:hAnsi="Arial" w:cs="Arial"/>
          <w:color w:val="000000" w:themeColor="text1"/>
          <w:sz w:val="21"/>
          <w:szCs w:val="21"/>
        </w:rPr>
      </w:pPr>
      <w:r>
        <w:rPr>
          <w:rFonts w:ascii="Arial" w:hAnsi="Arial" w:cs="Arial"/>
          <w:color w:val="000000" w:themeColor="text1"/>
          <w:sz w:val="21"/>
          <w:szCs w:val="21"/>
        </w:rPr>
        <w:t xml:space="preserve">8. Los </w:t>
      </w:r>
      <w:proofErr w:type="gramStart"/>
      <w:r>
        <w:rPr>
          <w:rFonts w:ascii="Arial" w:hAnsi="Arial" w:cs="Arial"/>
          <w:color w:val="000000" w:themeColor="text1"/>
          <w:sz w:val="21"/>
          <w:szCs w:val="21"/>
        </w:rPr>
        <w:t>gobiernos nacional</w:t>
      </w:r>
      <w:proofErr w:type="gramEnd"/>
      <w:r>
        <w:rPr>
          <w:rFonts w:ascii="Arial" w:hAnsi="Arial" w:cs="Arial"/>
          <w:color w:val="000000" w:themeColor="text1"/>
          <w:sz w:val="21"/>
          <w:szCs w:val="21"/>
        </w:rPr>
        <w:t>, departamentales, distritales y municipales, deberán fijar mediante decreto reglamentario, en los procesos de selección de los contratistas y proveedores, un sistema de preferencias a favor de las personas con discapacidad.</w:t>
      </w:r>
    </w:p>
    <w:p w14:paraId="6A77AB0E" w14:textId="77777777" w:rsidR="000B3B86" w:rsidRDefault="000B3B86" w:rsidP="000B3B86">
      <w:pPr>
        <w:spacing w:line="276" w:lineRule="auto"/>
        <w:jc w:val="both"/>
        <w:rPr>
          <w:rFonts w:ascii="Arial" w:hAnsi="Arial" w:cs="Arial"/>
          <w:color w:val="000000" w:themeColor="text1"/>
          <w:sz w:val="22"/>
        </w:rPr>
      </w:pPr>
      <w:r>
        <w:rPr>
          <w:rFonts w:ascii="Arial" w:hAnsi="Arial" w:cs="Arial"/>
          <w:color w:val="000000" w:themeColor="text1"/>
          <w:sz w:val="22"/>
        </w:rPr>
        <w:t xml:space="preserve">  </w:t>
      </w:r>
    </w:p>
    <w:p w14:paraId="0BEA19F2" w14:textId="77777777" w:rsidR="000B3B86" w:rsidRDefault="000B3B86" w:rsidP="000B3B86">
      <w:pPr>
        <w:spacing w:line="276" w:lineRule="auto"/>
        <w:ind w:firstLine="709"/>
        <w:jc w:val="both"/>
        <w:rPr>
          <w:rFonts w:ascii="Arial" w:hAnsi="Arial" w:cs="Arial"/>
          <w:color w:val="000000" w:themeColor="text1"/>
          <w:sz w:val="22"/>
        </w:rPr>
      </w:pPr>
      <w:bookmarkStart w:id="5" w:name="_Hlk78783360"/>
      <w:r>
        <w:rPr>
          <w:rFonts w:ascii="Arial" w:hAnsi="Arial" w:cs="Arial"/>
          <w:color w:val="000000" w:themeColor="text1"/>
          <w:sz w:val="22"/>
        </w:rPr>
        <w:t xml:space="preserve">Para estos efectos, el Gobierno Nacional expidió el Decreto 392 de 2018, «Por el cual se reglamentan los numerales 1 y 8 del artículo 13 de la Ley 1618 de 2013, sobre </w:t>
      </w:r>
      <w:r>
        <w:rPr>
          <w:rFonts w:ascii="Arial" w:hAnsi="Arial" w:cs="Arial"/>
          <w:color w:val="000000" w:themeColor="text1"/>
          <w:sz w:val="22"/>
        </w:rPr>
        <w:lastRenderedPageBreak/>
        <w:t xml:space="preserve">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 </w:t>
      </w:r>
      <w:bookmarkEnd w:id="5"/>
      <w:r>
        <w:rPr>
          <w:rFonts w:ascii="Arial" w:eastAsia="Calibri" w:hAnsi="Arial" w:cs="Arial"/>
          <w:color w:val="000000" w:themeColor="text1"/>
          <w:sz w:val="22"/>
          <w:lang w:val="es-ES"/>
        </w:rPr>
        <w:t xml:space="preserve">De esta manera, adicionó el artículo </w:t>
      </w:r>
      <w:bookmarkStart w:id="6" w:name="_Hlk76741673"/>
      <w:r w:rsidRPr="00615494">
        <w:rPr>
          <w:rFonts w:ascii="Arial" w:eastAsia="Calibri" w:hAnsi="Arial" w:cs="Arial"/>
          <w:color w:val="000000" w:themeColor="text1"/>
          <w:sz w:val="22"/>
          <w:lang w:val="es-ES"/>
        </w:rPr>
        <w:t>2.2.1.2.4.2.6</w:t>
      </w:r>
      <w:r>
        <w:rPr>
          <w:rFonts w:ascii="Arial" w:eastAsia="Calibri" w:hAnsi="Arial" w:cs="Arial"/>
          <w:color w:val="000000" w:themeColor="text1"/>
          <w:sz w:val="22"/>
          <w:lang w:val="es-ES"/>
        </w:rPr>
        <w:t xml:space="preserve"> al Decreto 1082 de 2015</w:t>
      </w:r>
      <w:bookmarkEnd w:id="6"/>
      <w:r>
        <w:rPr>
          <w:rFonts w:ascii="Arial" w:eastAsia="Calibri" w:hAnsi="Arial" w:cs="Arial"/>
          <w:color w:val="000000" w:themeColor="text1"/>
          <w:sz w:val="22"/>
          <w:lang w:val="es-ES"/>
        </w:rPr>
        <w:t xml:space="preserve">, el cual dispone lo siguiente: </w:t>
      </w:r>
    </w:p>
    <w:p w14:paraId="2EF214EF" w14:textId="77777777" w:rsidR="000B3B86" w:rsidRDefault="000B3B86" w:rsidP="000B3B86">
      <w:pPr>
        <w:jc w:val="both"/>
        <w:rPr>
          <w:rFonts w:ascii="Arial" w:hAnsi="Arial" w:cs="Arial"/>
          <w:color w:val="000000" w:themeColor="text1"/>
          <w:sz w:val="22"/>
        </w:rPr>
      </w:pPr>
    </w:p>
    <w:p w14:paraId="1819DB42" w14:textId="77777777" w:rsidR="000B3B86" w:rsidRDefault="000B3B86" w:rsidP="000B3B86">
      <w:pPr>
        <w:spacing w:after="120"/>
        <w:ind w:left="709" w:right="709"/>
        <w:jc w:val="both"/>
        <w:rPr>
          <w:rFonts w:ascii="Arial" w:hAnsi="Arial" w:cs="Arial"/>
          <w:color w:val="000000" w:themeColor="text1"/>
          <w:sz w:val="21"/>
          <w:szCs w:val="21"/>
          <w:lang w:eastAsia="es-CO"/>
        </w:rPr>
      </w:pPr>
      <w:r>
        <w:rPr>
          <w:rFonts w:ascii="Arial" w:hAnsi="Arial" w:cs="Arial"/>
          <w:color w:val="000000" w:themeColor="text1"/>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2FD42ED" w14:textId="77777777" w:rsidR="000B3B86" w:rsidRDefault="000B3B86" w:rsidP="000B3B86">
      <w:pPr>
        <w:spacing w:after="120"/>
        <w:ind w:left="709" w:right="709"/>
        <w:jc w:val="both"/>
        <w:rPr>
          <w:rFonts w:ascii="Arial" w:hAnsi="Arial" w:cs="Arial"/>
          <w:color w:val="000000" w:themeColor="text1"/>
          <w:sz w:val="21"/>
          <w:szCs w:val="21"/>
          <w:lang w:eastAsia="es-CO"/>
        </w:rPr>
      </w:pPr>
      <w:r>
        <w:rPr>
          <w:rFonts w:ascii="Arial" w:hAnsi="Arial" w:cs="Arial"/>
          <w:color w:val="000000" w:themeColor="text1"/>
          <w:sz w:val="21"/>
          <w:szCs w:val="21"/>
          <w:lang w:eastAsia="es-CO"/>
        </w:rPr>
        <w:t xml:space="preserve">1. </w:t>
      </w:r>
      <w:bookmarkStart w:id="7" w:name="_Hlk47271597"/>
      <w:r>
        <w:rPr>
          <w:rFonts w:ascii="Arial" w:hAnsi="Arial" w:cs="Arial"/>
          <w:color w:val="000000" w:themeColor="text1"/>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7"/>
      <w:r>
        <w:rPr>
          <w:rFonts w:ascii="Arial" w:hAnsi="Arial" w:cs="Arial"/>
          <w:color w:val="000000" w:themeColor="text1"/>
          <w:sz w:val="21"/>
          <w:szCs w:val="21"/>
          <w:lang w:eastAsia="es-CO"/>
        </w:rPr>
        <w:t>.</w:t>
      </w:r>
    </w:p>
    <w:p w14:paraId="38FD50AB" w14:textId="77777777" w:rsidR="000B3B86" w:rsidRDefault="000B3B86" w:rsidP="000B3B86">
      <w:pPr>
        <w:ind w:left="709" w:right="709"/>
        <w:jc w:val="both"/>
        <w:rPr>
          <w:rFonts w:ascii="Arial" w:hAnsi="Arial" w:cs="Arial"/>
          <w:color w:val="000000" w:themeColor="text1"/>
          <w:sz w:val="21"/>
          <w:szCs w:val="21"/>
          <w:lang w:eastAsia="es-CO"/>
        </w:rPr>
      </w:pPr>
      <w:r>
        <w:rPr>
          <w:rFonts w:ascii="Arial" w:hAnsi="Arial" w:cs="Arial"/>
          <w:color w:val="000000" w:themeColor="text1"/>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690C9067" w14:textId="77777777" w:rsidR="000B3B86" w:rsidRDefault="000B3B86" w:rsidP="000B3B86">
      <w:pPr>
        <w:spacing w:line="276" w:lineRule="auto"/>
        <w:jc w:val="both"/>
        <w:rPr>
          <w:rFonts w:ascii="Arial" w:hAnsi="Arial" w:cs="Arial"/>
          <w:color w:val="000000" w:themeColor="text1"/>
          <w:sz w:val="22"/>
        </w:rPr>
      </w:pPr>
    </w:p>
    <w:p w14:paraId="220CA8EB" w14:textId="77777777" w:rsidR="000B3B86" w:rsidRDefault="000B3B86" w:rsidP="000B3B8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Respecto al </w:t>
      </w:r>
      <w:r>
        <w:rPr>
          <w:rFonts w:ascii="Arial" w:hAnsi="Arial" w:cs="Arial"/>
          <w:i/>
          <w:iCs/>
          <w:color w:val="000000" w:themeColor="text1"/>
          <w:sz w:val="22"/>
        </w:rPr>
        <w:t>primer requisito</w:t>
      </w:r>
      <w:r>
        <w:rPr>
          <w:rFonts w:ascii="Arial" w:hAnsi="Arial" w:cs="Arial"/>
          <w:color w:val="000000" w:themeColor="text1"/>
          <w:sz w:val="22"/>
        </w:rPr>
        <w:t xml:space="preserve">,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w:t>
      </w:r>
      <w:r>
        <w:rPr>
          <w:rFonts w:ascii="Arial" w:hAnsi="Arial" w:cs="Arial"/>
          <w:i/>
          <w:iCs/>
          <w:color w:val="000000" w:themeColor="text1"/>
          <w:sz w:val="22"/>
        </w:rPr>
        <w:t>proponentes singulares</w:t>
      </w:r>
      <w:r>
        <w:rPr>
          <w:rFonts w:ascii="Arial" w:hAnsi="Arial" w:cs="Arial"/>
          <w:color w:val="000000" w:themeColor="text1"/>
          <w:sz w:val="22"/>
        </w:rPr>
        <w:t xml:space="preserve">, la acreditación del número total de trabajadores vinculados en la planta de personal se realizará a través de certificación emitida por: i) la persona natural o </w:t>
      </w:r>
      <w:proofErr w:type="spellStart"/>
      <w:r>
        <w:rPr>
          <w:rFonts w:ascii="Arial" w:hAnsi="Arial" w:cs="Arial"/>
          <w:color w:val="000000" w:themeColor="text1"/>
          <w:sz w:val="22"/>
        </w:rPr>
        <w:t>ii</w:t>
      </w:r>
      <w:proofErr w:type="spellEnd"/>
      <w:r>
        <w:rPr>
          <w:rFonts w:ascii="Arial" w:hAnsi="Arial" w:cs="Arial"/>
          <w:color w:val="000000" w:themeColor="text1"/>
          <w:sz w:val="22"/>
        </w:rPr>
        <w:t xml:space="preserve">) el representante legal de la persona jurídica o su revisor fiscal cuando esté obligado a tenerlo. Por su parte, cuando se trate de </w:t>
      </w:r>
      <w:r>
        <w:rPr>
          <w:rFonts w:ascii="Arial" w:hAnsi="Arial" w:cs="Arial"/>
          <w:i/>
          <w:iCs/>
          <w:color w:val="000000" w:themeColor="text1"/>
          <w:sz w:val="22"/>
        </w:rPr>
        <w:t>proponentes plurales</w:t>
      </w:r>
      <w:r>
        <w:rPr>
          <w:rFonts w:ascii="Arial" w:hAnsi="Arial" w:cs="Arial"/>
          <w:color w:val="000000" w:themeColor="text1"/>
          <w:sz w:val="22"/>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14:paraId="5AB90F9E" w14:textId="77777777" w:rsidR="000B3B86" w:rsidRDefault="000B3B86" w:rsidP="000B3B8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lo anterior es necesario tener en cuenta que esta condición es propia de la persona que pretende acreditar la obtención del puntaje de acuerdo con su naturaleza jurídica. En efecto, cuando el numeral 1 del artículo </w:t>
      </w:r>
      <w:r w:rsidRPr="00615494">
        <w:rPr>
          <w:rFonts w:ascii="Arial" w:eastAsia="Calibri" w:hAnsi="Arial" w:cs="Arial"/>
          <w:color w:val="000000" w:themeColor="text1"/>
          <w:sz w:val="22"/>
          <w:lang w:val="es-ES"/>
        </w:rPr>
        <w:t>2.2.1.2.4.2.6</w:t>
      </w:r>
      <w:r>
        <w:rPr>
          <w:rFonts w:ascii="Arial" w:eastAsia="Calibri" w:hAnsi="Arial" w:cs="Arial"/>
          <w:color w:val="000000" w:themeColor="text1"/>
          <w:sz w:val="22"/>
          <w:lang w:val="es-ES"/>
        </w:rPr>
        <w:t xml:space="preserve"> del Decreto 1082 de 2015 se refiere a</w:t>
      </w:r>
      <w:r>
        <w:rPr>
          <w:rFonts w:ascii="Arial" w:hAnsi="Arial" w:cs="Arial"/>
          <w:color w:val="000000" w:themeColor="text1"/>
          <w:sz w:val="22"/>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w:t>
      </w:r>
      <w:r>
        <w:rPr>
          <w:rFonts w:ascii="Arial" w:hAnsi="Arial" w:cs="Arial"/>
          <w:color w:val="000000" w:themeColor="text1"/>
          <w:sz w:val="22"/>
        </w:rPr>
        <w:lastRenderedPageBreak/>
        <w:t>califica el oferente y se refiere también a los integrantes de las estructuras plurales mencionadas.</w:t>
      </w:r>
    </w:p>
    <w:p w14:paraId="08990ED9" w14:textId="77777777" w:rsidR="000B3B86" w:rsidRDefault="000B3B86" w:rsidP="000B3B86">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Pr>
          <w:rFonts w:ascii="Arial" w:eastAsia="Calibri" w:hAnsi="Arial" w:cs="Arial"/>
          <w:iCs/>
          <w:color w:val="000000" w:themeColor="text1"/>
          <w:sz w:val="22"/>
        </w:rPr>
        <w:t>o</w:t>
      </w:r>
      <w:r>
        <w:rPr>
          <w:rFonts w:ascii="Arial" w:eastAsia="Calibri" w:hAnsi="Arial" w:cs="Arial"/>
          <w:color w:val="000000" w:themeColor="text1"/>
          <w:sz w:val="22"/>
        </w:rPr>
        <w:t xml:space="preserve"> sus integrantes a la fecha de cierre del procedimiento de selección.</w:t>
      </w:r>
    </w:p>
    <w:p w14:paraId="72DB4444" w14:textId="77777777" w:rsidR="000B3B86" w:rsidRDefault="000B3B86" w:rsidP="000B3B86">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De conformidad con la disyunción prevista en el numeral 1 del artículo </w:t>
      </w:r>
      <w:r w:rsidRPr="00615494">
        <w:rPr>
          <w:rFonts w:ascii="Arial" w:eastAsia="Calibri" w:hAnsi="Arial" w:cs="Arial"/>
          <w:color w:val="000000" w:themeColor="text1"/>
          <w:sz w:val="22"/>
          <w:lang w:val="es-ES"/>
        </w:rPr>
        <w:t>2.2.1.2.4.2.6</w:t>
      </w:r>
      <w:r>
        <w:rPr>
          <w:rFonts w:ascii="Arial" w:eastAsia="Calibri" w:hAnsi="Arial" w:cs="Arial"/>
          <w:color w:val="000000" w:themeColor="text1"/>
          <w:sz w:val="22"/>
          <w:lang w:val="es-ES"/>
        </w:rPr>
        <w:t xml:space="preserve"> </w:t>
      </w:r>
      <w:r>
        <w:rPr>
          <w:rFonts w:ascii="Arial" w:eastAsia="Calibri" w:hAnsi="Arial" w:cs="Arial"/>
          <w:color w:val="000000" w:themeColor="text1"/>
          <w:sz w:val="22"/>
        </w:rPr>
        <w:t>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Pr>
          <w:rStyle w:val="Refdenotaalpie"/>
          <w:rFonts w:ascii="Arial" w:eastAsia="Calibri" w:hAnsi="Arial" w:cs="Arial"/>
          <w:color w:val="000000" w:themeColor="text1"/>
          <w:sz w:val="22"/>
        </w:rPr>
        <w:footnoteReference w:id="11"/>
      </w:r>
      <w:r>
        <w:rPr>
          <w:rFonts w:ascii="Arial" w:eastAsia="Calibri" w:hAnsi="Arial" w:cs="Arial"/>
          <w:color w:val="000000" w:themeColor="text1"/>
          <w:sz w:val="22"/>
        </w:rPr>
        <w:t>.</w:t>
      </w:r>
    </w:p>
    <w:p w14:paraId="60D6CFB3" w14:textId="77777777" w:rsidR="000B3B86" w:rsidRDefault="000B3B86" w:rsidP="000B3B86">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todo caso, el parágrafo del artículo </w:t>
      </w:r>
      <w:r w:rsidRPr="00615494">
        <w:rPr>
          <w:rFonts w:ascii="Arial" w:eastAsia="Calibri" w:hAnsi="Arial" w:cs="Arial"/>
          <w:color w:val="000000" w:themeColor="text1"/>
          <w:sz w:val="22"/>
          <w:lang w:val="es-ES"/>
        </w:rPr>
        <w:t>2.2.1.2.4.2.6</w:t>
      </w:r>
      <w:r>
        <w:rPr>
          <w:rFonts w:ascii="Arial" w:hAnsi="Arial" w:cs="Arial"/>
          <w:color w:val="000000" w:themeColor="text1"/>
          <w:sz w:val="22"/>
        </w:rPr>
        <w:t xml:space="preserve"> del Decreto 1082 de 2015 dispone que «</w:t>
      </w:r>
      <w:r>
        <w:rPr>
          <w:rFonts w:ascii="Arial" w:hAnsi="Arial" w:cs="Arial"/>
          <w:color w:val="000000" w:themeColor="text1"/>
          <w:sz w:val="22"/>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Pr>
          <w:rFonts w:ascii="Arial" w:hAnsi="Arial" w:cs="Arial"/>
          <w:color w:val="000000" w:themeColor="text1"/>
          <w:sz w:val="22"/>
        </w:rPr>
        <w:t xml:space="preserve"> Esto significa que el cumplimiento de los requisitos establecidos en el Decreto 392 de 2019 lo acredita el integrante de la estructura plural que aporte </w:t>
      </w:r>
      <w:proofErr w:type="spellStart"/>
      <w:r>
        <w:rPr>
          <w:rFonts w:ascii="Arial" w:hAnsi="Arial" w:cs="Arial"/>
          <w:color w:val="000000" w:themeColor="text1"/>
          <w:sz w:val="22"/>
        </w:rPr>
        <w:t>mas</w:t>
      </w:r>
      <w:proofErr w:type="spellEnd"/>
      <w:r>
        <w:rPr>
          <w:rFonts w:ascii="Arial" w:hAnsi="Arial" w:cs="Arial"/>
          <w:color w:val="000000" w:themeColor="text1"/>
          <w:sz w:val="22"/>
        </w:rPr>
        <w:t xml:space="preserve">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2BEAEE8E" w14:textId="77777777" w:rsidR="000B3B86" w:rsidRDefault="000B3B86" w:rsidP="000B3B8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Para la acreditación del </w:t>
      </w:r>
      <w:r>
        <w:rPr>
          <w:rFonts w:ascii="Arial" w:hAnsi="Arial" w:cs="Arial"/>
          <w:i/>
          <w:iCs/>
          <w:color w:val="000000" w:themeColor="text1"/>
          <w:sz w:val="22"/>
        </w:rPr>
        <w:t>segundo requisito</w:t>
      </w:r>
      <w:r>
        <w:rPr>
          <w:rFonts w:ascii="Arial" w:hAnsi="Arial" w:cs="Arial"/>
          <w:color w:val="000000" w:themeColor="text1"/>
          <w:sz w:val="22"/>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6ECE7FF8" w14:textId="737D4114" w:rsidR="000B3B86" w:rsidRDefault="000B3B86" w:rsidP="000B3B86">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Del artículo 2.2.1.2.4.2.6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03104AC1" w14:textId="77777777" w:rsidR="000B3B86" w:rsidRDefault="000B3B86" w:rsidP="000B3B86">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231072C1" w14:textId="77777777" w:rsidR="000B3B86" w:rsidRDefault="000B3B86" w:rsidP="000B3B86">
      <w:pPr>
        <w:spacing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rPr>
        <w:t xml:space="preserve">Como se explicó </w:t>
      </w:r>
      <w:r w:rsidRPr="00096DAA">
        <w:rPr>
          <w:rFonts w:ascii="Arial" w:hAnsi="Arial" w:cs="Arial"/>
          <w:i/>
          <w:iCs/>
          <w:color w:val="000000" w:themeColor="text1"/>
          <w:sz w:val="22"/>
        </w:rPr>
        <w:t>ut supra</w:t>
      </w:r>
      <w:r>
        <w:rPr>
          <w:rFonts w:ascii="Arial" w:hAnsi="Arial" w:cs="Arial"/>
          <w:color w:val="000000" w:themeColor="text1"/>
          <w:sz w:val="22"/>
        </w:rPr>
        <w:t xml:space="preserve">, </w:t>
      </w:r>
      <w:r>
        <w:rPr>
          <w:rFonts w:ascii="Arial" w:eastAsia="Calibri" w:hAnsi="Arial" w:cs="Arial"/>
          <w:color w:val="000000" w:themeColor="text1"/>
          <w:sz w:val="22"/>
          <w:lang w:val="es-ES"/>
        </w:rPr>
        <w:t xml:space="preserve">el artículo </w:t>
      </w:r>
      <w:r w:rsidRPr="00615494">
        <w:rPr>
          <w:rFonts w:ascii="Arial" w:eastAsia="Calibri" w:hAnsi="Arial" w:cs="Arial"/>
          <w:color w:val="000000" w:themeColor="text1"/>
          <w:sz w:val="22"/>
          <w:lang w:val="es-ES"/>
        </w:rPr>
        <w:t>2.2.1.2.4.2.6</w:t>
      </w:r>
      <w:r>
        <w:rPr>
          <w:rFonts w:ascii="Arial" w:eastAsia="Calibri" w:hAnsi="Arial" w:cs="Arial"/>
          <w:color w:val="000000" w:themeColor="text1"/>
          <w:sz w:val="22"/>
          <w:lang w:val="es-ES"/>
        </w:rPr>
        <w:t xml:space="preserve">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«Documentos Tipo – Versión 3» de licitación para obras públicas de infraestructura de transporte, adoptados en la Resolución 240 del 27 de noviembre de 2020 y modificados por la Resolución 161 del 17 de junio de 2021. Para estos efectos, el apartado 4.4 del documento base dispone lo siguiente:</w:t>
      </w:r>
    </w:p>
    <w:p w14:paraId="490F2923" w14:textId="77777777" w:rsidR="000B3B86" w:rsidRDefault="000B3B86" w:rsidP="000B3B86">
      <w:pPr>
        <w:spacing w:line="276" w:lineRule="auto"/>
        <w:ind w:firstLine="708"/>
        <w:jc w:val="both"/>
        <w:rPr>
          <w:rFonts w:ascii="Arial" w:eastAsia="Calibri" w:hAnsi="Arial" w:cs="Arial"/>
          <w:color w:val="000000" w:themeColor="text1"/>
          <w:sz w:val="22"/>
          <w:lang w:val="es-ES"/>
        </w:rPr>
      </w:pPr>
    </w:p>
    <w:p w14:paraId="65A9F815" w14:textId="77777777" w:rsidR="000B3B86" w:rsidRPr="003B3AFE" w:rsidRDefault="000B3B86" w:rsidP="000B3B86">
      <w:pPr>
        <w:spacing w:after="120"/>
        <w:ind w:left="709" w:right="709"/>
        <w:jc w:val="both"/>
        <w:rPr>
          <w:rFonts w:ascii="Arial" w:eastAsia="Calibri" w:hAnsi="Arial" w:cs="Arial"/>
          <w:color w:val="000000" w:themeColor="text1"/>
          <w:sz w:val="21"/>
          <w:szCs w:val="21"/>
        </w:rPr>
      </w:pPr>
      <w:r w:rsidRPr="003B3AFE">
        <w:rPr>
          <w:rFonts w:ascii="Arial" w:eastAsia="Calibri" w:hAnsi="Arial" w:cs="Arial"/>
          <w:color w:val="000000" w:themeColor="text1"/>
          <w:sz w:val="21"/>
          <w:szCs w:val="21"/>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449F2BB3" w14:textId="77777777" w:rsidR="000B3B86" w:rsidRPr="003B3AFE" w:rsidRDefault="000B3B86" w:rsidP="000B3B86">
      <w:pPr>
        <w:spacing w:after="120"/>
        <w:ind w:left="709" w:right="709"/>
        <w:jc w:val="both"/>
        <w:rPr>
          <w:rFonts w:ascii="Arial" w:eastAsia="Calibri" w:hAnsi="Arial" w:cs="Arial"/>
          <w:color w:val="000000" w:themeColor="text1"/>
          <w:sz w:val="21"/>
          <w:szCs w:val="21"/>
        </w:rPr>
      </w:pPr>
      <w:r w:rsidRPr="003B3AFE">
        <w:rPr>
          <w:rFonts w:ascii="Arial" w:eastAsia="Calibri" w:hAnsi="Arial" w:cs="Arial"/>
          <w:color w:val="000000" w:themeColor="text1"/>
          <w:sz w:val="21"/>
          <w:szCs w:val="21"/>
        </w:rPr>
        <w:t xml:space="preserve">Para esto debe presentar: i) el Formato 8 – Vinculación de personas con discapacidad – suscrito por la persona natural, el representante legal o el revisor fiscal, según corresponda en el cual certifique el número total de trabajadores </w:t>
      </w:r>
      <w:r w:rsidRPr="003B3AFE">
        <w:rPr>
          <w:rFonts w:ascii="Arial" w:eastAsia="Calibri" w:hAnsi="Arial" w:cs="Arial"/>
          <w:color w:val="000000" w:themeColor="text1"/>
          <w:sz w:val="21"/>
          <w:szCs w:val="21"/>
        </w:rPr>
        <w:lastRenderedPageBreak/>
        <w:t xml:space="preserve">vinculados a la planta de personal del Proponente o sus integrantes a la fecha de cierre del proceso de selección </w:t>
      </w:r>
      <w:proofErr w:type="spellStart"/>
      <w:r w:rsidRPr="003B3AFE">
        <w:rPr>
          <w:rFonts w:ascii="Arial" w:eastAsia="Calibri" w:hAnsi="Arial" w:cs="Arial"/>
          <w:color w:val="000000" w:themeColor="text1"/>
          <w:sz w:val="21"/>
          <w:szCs w:val="21"/>
        </w:rPr>
        <w:t>ii</w:t>
      </w:r>
      <w:proofErr w:type="spellEnd"/>
      <w:r w:rsidRPr="003B3AFE">
        <w:rPr>
          <w:rFonts w:ascii="Arial" w:eastAsia="Calibri" w:hAnsi="Arial" w:cs="Arial"/>
          <w:color w:val="000000" w:themeColor="text1"/>
          <w:sz w:val="21"/>
          <w:szCs w:val="21"/>
        </w:rPr>
        <w:t>) acreditar el número mínimo de personas con discapacidad en su planta de personal, de conformidad con lo señalado en el certificado expedido por el Ministerio de Trabajo, el cual deberá estar vigente a la fecha de cierre del proceso de selección.</w:t>
      </w:r>
    </w:p>
    <w:p w14:paraId="295C4559" w14:textId="77777777" w:rsidR="000B3B86" w:rsidRPr="003B3AFE" w:rsidRDefault="000B3B86" w:rsidP="000B3B86">
      <w:pPr>
        <w:spacing w:after="120"/>
        <w:ind w:left="709" w:right="709"/>
        <w:jc w:val="both"/>
        <w:rPr>
          <w:rFonts w:ascii="Arial" w:eastAsia="Calibri" w:hAnsi="Arial" w:cs="Arial"/>
          <w:color w:val="000000" w:themeColor="text1"/>
          <w:sz w:val="21"/>
          <w:szCs w:val="21"/>
        </w:rPr>
      </w:pPr>
      <w:r w:rsidRPr="003B3AFE">
        <w:rPr>
          <w:rFonts w:ascii="Arial" w:eastAsia="Calibri" w:hAnsi="Arial" w:cs="Arial"/>
          <w:color w:val="000000" w:themeColor="text1"/>
          <w:sz w:val="21"/>
          <w:szCs w:val="21"/>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53DD4092" w14:textId="77777777" w:rsidR="000B3B86" w:rsidRDefault="000B3B86" w:rsidP="000B3B86">
      <w:pPr>
        <w:ind w:left="709" w:right="709"/>
        <w:jc w:val="both"/>
        <w:rPr>
          <w:rFonts w:ascii="Arial" w:eastAsia="Calibri" w:hAnsi="Arial" w:cs="Arial"/>
          <w:color w:val="000000" w:themeColor="text1"/>
          <w:sz w:val="22"/>
          <w:lang w:val="es-ES"/>
        </w:rPr>
      </w:pPr>
      <w:r w:rsidRPr="003B3AFE">
        <w:rPr>
          <w:rFonts w:ascii="Arial" w:eastAsia="Calibri" w:hAnsi="Arial" w:cs="Arial"/>
          <w:color w:val="000000" w:themeColor="text1"/>
          <w:sz w:val="21"/>
          <w:szCs w:val="21"/>
        </w:rPr>
        <w:t>El Formato 8, en el caso de los proponentes plurales, debe suscribirse por la persona natural o el representante legal de la persona jurídica que aporte como mínimo el cuarenta por ciento (40%) de la experiencia requerida para el proceso de contratación</w:t>
      </w:r>
      <w:r>
        <w:rPr>
          <w:rFonts w:ascii="Arial" w:eastAsia="Calibri" w:hAnsi="Arial" w:cs="Arial"/>
          <w:color w:val="000000" w:themeColor="text1"/>
          <w:sz w:val="22"/>
          <w:lang w:val="es-ES"/>
        </w:rPr>
        <w:t>.</w:t>
      </w:r>
    </w:p>
    <w:p w14:paraId="6A0307B0" w14:textId="77777777" w:rsidR="000B3B86" w:rsidRDefault="000B3B86" w:rsidP="000B3B86">
      <w:pPr>
        <w:spacing w:line="276" w:lineRule="auto"/>
        <w:ind w:left="709" w:right="709"/>
        <w:jc w:val="both"/>
        <w:rPr>
          <w:rFonts w:ascii="Arial" w:eastAsia="Calibri" w:hAnsi="Arial" w:cs="Arial"/>
          <w:color w:val="000000" w:themeColor="text1"/>
          <w:sz w:val="22"/>
          <w:lang w:val="es-ES"/>
        </w:rPr>
      </w:pPr>
    </w:p>
    <w:p w14:paraId="114AE54C" w14:textId="2BBE1D6F" w:rsidR="000B3B86" w:rsidRPr="00CC17D1" w:rsidRDefault="000B3B86" w:rsidP="00CC17D1">
      <w:pPr>
        <w:spacing w:line="276" w:lineRule="auto"/>
        <w:ind w:firstLine="709"/>
        <w:jc w:val="both"/>
        <w:rPr>
          <w:rFonts w:ascii="Arial" w:eastAsia="Calibri" w:hAnsi="Arial" w:cs="Arial"/>
          <w:sz w:val="22"/>
        </w:rPr>
      </w:pPr>
      <w:r w:rsidRPr="00CC17D1">
        <w:rPr>
          <w:rFonts w:ascii="Arial" w:eastAsia="Calibri" w:hAnsi="Arial" w:cs="Arial"/>
          <w:sz w:val="22"/>
        </w:rPr>
        <w:t xml:space="preserve">Para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CC17D1">
        <w:rPr>
          <w:rFonts w:ascii="Arial" w:eastAsia="Calibri" w:hAnsi="Arial" w:cs="Arial"/>
          <w:color w:val="000000" w:themeColor="text1"/>
          <w:sz w:val="22"/>
          <w:lang w:val="es-ES"/>
        </w:rPr>
        <w:t>artículo 2.2.1.2.4.2.6 del Decreto 1082 de 2015</w:t>
      </w:r>
      <w:r w:rsidRPr="00CC17D1">
        <w:rPr>
          <w:rFonts w:ascii="Arial" w:eastAsia="Calibri" w:hAnsi="Arial" w:cs="Arial"/>
          <w:sz w:val="22"/>
        </w:rPr>
        <w:t>. Por lo demás, junto al formato, el oferente también debe entregar el certificado del Ministerio de Trabajo que acredite el número mínimo de personas con discapacidad en su planta de personal</w:t>
      </w:r>
      <w:r w:rsidR="00D1742A" w:rsidRPr="00797A23">
        <w:rPr>
          <w:rFonts w:ascii="Arial" w:eastAsia="Calibri" w:hAnsi="Arial" w:cs="Arial"/>
          <w:sz w:val="22"/>
        </w:rPr>
        <w:t>, el cual deberá estar vigente a la fecha de cierre del proceso de selección</w:t>
      </w:r>
      <w:r w:rsidRPr="00CC17D1">
        <w:rPr>
          <w:rFonts w:ascii="Arial" w:eastAsia="Calibri" w:hAnsi="Arial" w:cs="Arial"/>
          <w:sz w:val="22"/>
        </w:rPr>
        <w:t xml:space="preserve">. </w:t>
      </w:r>
    </w:p>
    <w:bookmarkEnd w:id="4"/>
    <w:p w14:paraId="698DD70E" w14:textId="77777777" w:rsidR="001877D3" w:rsidRPr="00CC25D4" w:rsidRDefault="001877D3" w:rsidP="00CC17D1">
      <w:pPr>
        <w:spacing w:line="276" w:lineRule="auto"/>
        <w:jc w:val="both"/>
        <w:rPr>
          <w:rFonts w:ascii="Arial" w:hAnsi="Arial" w:cs="Arial"/>
          <w:sz w:val="22"/>
          <w:lang w:eastAsia="es-ES_tradnl"/>
        </w:rPr>
      </w:pPr>
    </w:p>
    <w:p w14:paraId="5D99A3C6" w14:textId="547F8287" w:rsidR="005A79FE" w:rsidRPr="00B47E74"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lang w:val="es-ES"/>
        </w:rPr>
      </w:pPr>
      <w:r w:rsidRPr="00B47E74">
        <w:rPr>
          <w:rFonts w:ascii="Arial" w:eastAsia="Calibri" w:hAnsi="Arial" w:cs="Arial"/>
          <w:b/>
          <w:sz w:val="22"/>
          <w:lang w:val="es-ES"/>
        </w:rPr>
        <w:t>Respuesta</w:t>
      </w:r>
      <w:r w:rsidR="003A4B1E" w:rsidRPr="00B47E74">
        <w:rPr>
          <w:rFonts w:ascii="Arial" w:eastAsia="Calibri" w:hAnsi="Arial" w:cs="Arial"/>
          <w:b/>
          <w:sz w:val="22"/>
          <w:lang w:val="es-ES"/>
        </w:rPr>
        <w:t>s</w:t>
      </w:r>
    </w:p>
    <w:p w14:paraId="6A2CCB9A" w14:textId="77777777" w:rsidR="005A79FE" w:rsidRPr="00B47E74" w:rsidRDefault="005A79FE" w:rsidP="00260104">
      <w:pPr>
        <w:spacing w:line="276" w:lineRule="auto"/>
        <w:ind w:left="709" w:right="709"/>
        <w:jc w:val="both"/>
        <w:rPr>
          <w:rFonts w:ascii="Arial" w:eastAsia="Calibri" w:hAnsi="Arial" w:cs="Arial"/>
          <w:i/>
          <w:sz w:val="21"/>
          <w:szCs w:val="21"/>
          <w:lang w:val="es-ES"/>
        </w:rPr>
      </w:pPr>
    </w:p>
    <w:p w14:paraId="4C16C303" w14:textId="77777777" w:rsidR="003A0514" w:rsidRPr="00CC17D1" w:rsidRDefault="003A0514" w:rsidP="00CC17D1">
      <w:pPr>
        <w:ind w:left="709" w:right="709"/>
        <w:jc w:val="both"/>
        <w:rPr>
          <w:rFonts w:ascii="Arial" w:hAnsi="Arial" w:cs="Arial"/>
          <w:color w:val="000000" w:themeColor="text1"/>
          <w:sz w:val="21"/>
          <w:szCs w:val="21"/>
          <w:lang w:val="es-ES"/>
        </w:rPr>
      </w:pPr>
      <w:r w:rsidRPr="00CC17D1">
        <w:rPr>
          <w:rFonts w:ascii="Arial" w:hAnsi="Arial" w:cs="Arial"/>
          <w:color w:val="000000" w:themeColor="text1"/>
          <w:sz w:val="21"/>
          <w:szCs w:val="21"/>
          <w:lang w:val="es-ES"/>
        </w:rPr>
        <w:t xml:space="preserve">Usted formula una consulta relacionada con el certificado expedido por el Ministerio de Trabajo, para el otorgamiento del puntaje del numeral «4.4. VINCULACIÓN DE PERSONAS CON DISCAPACIDAD» de los «Documentos Tipo – Versión 3» de licitación pública para obras de infraestructura de transporte. En particular, manifiesta que la entidad contratante incluyó una nota en dicho numeral que consagra lo siguiente: </w:t>
      </w:r>
    </w:p>
    <w:p w14:paraId="204425BB" w14:textId="77777777" w:rsidR="003A0514" w:rsidRPr="00CC17D1" w:rsidRDefault="003A0514" w:rsidP="00CC17D1">
      <w:pPr>
        <w:ind w:left="709" w:right="709"/>
        <w:jc w:val="both"/>
        <w:rPr>
          <w:rFonts w:ascii="Arial" w:hAnsi="Arial" w:cs="Arial"/>
          <w:color w:val="000000" w:themeColor="text1"/>
          <w:sz w:val="21"/>
          <w:szCs w:val="21"/>
          <w:lang w:val="es-ES"/>
        </w:rPr>
      </w:pPr>
    </w:p>
    <w:p w14:paraId="71683007" w14:textId="77777777" w:rsidR="003A0514" w:rsidRPr="00D12D5A" w:rsidRDefault="003A0514" w:rsidP="00CC17D1">
      <w:pPr>
        <w:ind w:left="1418" w:right="1418"/>
        <w:jc w:val="both"/>
        <w:rPr>
          <w:rFonts w:ascii="Arial" w:hAnsi="Arial" w:cs="Arial"/>
          <w:color w:val="000000" w:themeColor="text1"/>
          <w:sz w:val="21"/>
          <w:szCs w:val="21"/>
        </w:rPr>
      </w:pPr>
      <w:r w:rsidRPr="00D12D5A">
        <w:rPr>
          <w:rFonts w:ascii="Arial" w:hAnsi="Arial" w:cs="Arial"/>
          <w:color w:val="000000" w:themeColor="text1"/>
          <w:sz w:val="21"/>
          <w:szCs w:val="21"/>
        </w:rPr>
        <w:t xml:space="preserve">NOTA: Para las certificaciones que hayan vencido durante el término de la emergencia sanitaria por COVID19 decretada por el Gobierno Nacional, conforme lo indicado en el artículo 8 del Decreto 491 de 2020, para efectos de la acreditación de VINCULACION DE PERSONAS CON DISCAPACIDAD, la entidad permitirá que el proponente adjunte el certificado expedido por el Ministerio de Trabajo junto con la solicitud de renovación donde se evidencie el recibido por parte de dicho </w:t>
      </w:r>
      <w:r w:rsidRPr="00D12D5A">
        <w:rPr>
          <w:rFonts w:ascii="Arial" w:hAnsi="Arial" w:cs="Arial"/>
          <w:color w:val="000000" w:themeColor="text1"/>
          <w:sz w:val="21"/>
          <w:szCs w:val="21"/>
        </w:rPr>
        <w:lastRenderedPageBreak/>
        <w:t>Ministerio. Lo anterior, teniendo en cuenta que el Ministerio de trabajo mediante Resolución 1294 de 14 de julio de 2020 levantó los términos de la suspensión a partir del 21 de julio de 2020 pero se presentan retrasos en la expedición de los documentos.</w:t>
      </w:r>
    </w:p>
    <w:p w14:paraId="4507661E" w14:textId="77777777" w:rsidR="003A0514" w:rsidRPr="00CC17D1" w:rsidRDefault="003A0514" w:rsidP="00CC17D1">
      <w:pPr>
        <w:ind w:left="709" w:right="709" w:firstLine="708"/>
        <w:jc w:val="both"/>
        <w:rPr>
          <w:rFonts w:ascii="Arial" w:hAnsi="Arial" w:cs="Arial"/>
          <w:color w:val="000000" w:themeColor="text1"/>
          <w:sz w:val="21"/>
          <w:szCs w:val="21"/>
        </w:rPr>
      </w:pPr>
    </w:p>
    <w:p w14:paraId="47E56431" w14:textId="77777777" w:rsidR="003A0514" w:rsidRPr="006739FF" w:rsidRDefault="003A0514" w:rsidP="00CC17D1">
      <w:pPr>
        <w:ind w:left="709" w:right="709"/>
        <w:jc w:val="both"/>
        <w:rPr>
          <w:rFonts w:ascii="Arial" w:eastAsia="Batang" w:hAnsi="Arial" w:cs="Arial"/>
          <w:color w:val="000000" w:themeColor="text1"/>
          <w:sz w:val="22"/>
        </w:rPr>
      </w:pPr>
      <w:r w:rsidRPr="00CC17D1">
        <w:rPr>
          <w:rFonts w:ascii="Arial" w:hAnsi="Arial" w:cs="Arial"/>
          <w:color w:val="000000" w:themeColor="text1"/>
          <w:sz w:val="21"/>
          <w:szCs w:val="21"/>
        </w:rPr>
        <w:t xml:space="preserve">Teniendo en cuenta que el numeral </w:t>
      </w:r>
      <w:r w:rsidRPr="00CC17D1">
        <w:rPr>
          <w:rFonts w:ascii="Arial" w:hAnsi="Arial" w:cs="Arial"/>
          <w:color w:val="000000" w:themeColor="text1"/>
          <w:sz w:val="21"/>
          <w:szCs w:val="21"/>
          <w:lang w:val="es-ES"/>
        </w:rPr>
        <w:t>«4.4. VINCULACIÓN DE PERSONAS CON DISCAPACIDAD» del</w:t>
      </w:r>
      <w:r w:rsidRPr="00CC17D1">
        <w:rPr>
          <w:rFonts w:ascii="Arial" w:hAnsi="Arial" w:cs="Arial"/>
          <w:color w:val="000000" w:themeColor="text1"/>
          <w:sz w:val="21"/>
          <w:szCs w:val="21"/>
        </w:rPr>
        <w:t xml:space="preserve"> documento base señala que el certificado debe estar vigente a la fecha del cierre del proceso de selección, usted realiza las siguientes preguntas: i) «¿para </w:t>
      </w:r>
      <w:proofErr w:type="spellStart"/>
      <w:r w:rsidRPr="00CC17D1">
        <w:rPr>
          <w:rFonts w:ascii="Arial" w:hAnsi="Arial" w:cs="Arial"/>
          <w:color w:val="000000" w:themeColor="text1"/>
          <w:sz w:val="21"/>
          <w:szCs w:val="21"/>
        </w:rPr>
        <w:t>que</w:t>
      </w:r>
      <w:proofErr w:type="spellEnd"/>
      <w:r w:rsidRPr="00CC17D1">
        <w:rPr>
          <w:rFonts w:ascii="Arial" w:hAnsi="Arial" w:cs="Arial"/>
          <w:color w:val="000000" w:themeColor="text1"/>
          <w:sz w:val="21"/>
          <w:szCs w:val="21"/>
        </w:rPr>
        <w:t xml:space="preserve"> entonces colocar el párrafo denominado NOTA?», </w:t>
      </w:r>
      <w:proofErr w:type="spellStart"/>
      <w:r w:rsidRPr="00CC17D1">
        <w:rPr>
          <w:rFonts w:ascii="Arial" w:hAnsi="Arial" w:cs="Arial"/>
          <w:color w:val="000000" w:themeColor="text1"/>
          <w:sz w:val="21"/>
          <w:szCs w:val="21"/>
        </w:rPr>
        <w:t>ii</w:t>
      </w:r>
      <w:proofErr w:type="spellEnd"/>
      <w:r w:rsidRPr="00CC17D1">
        <w:rPr>
          <w:rFonts w:ascii="Arial" w:hAnsi="Arial" w:cs="Arial"/>
          <w:color w:val="000000" w:themeColor="text1"/>
          <w:sz w:val="21"/>
          <w:szCs w:val="21"/>
        </w:rPr>
        <w:t>) «¿acaso el pliego de condiciones induce al error al proponente?» y «</w:t>
      </w:r>
      <w:proofErr w:type="spellStart"/>
      <w:r w:rsidRPr="00CC17D1">
        <w:rPr>
          <w:rFonts w:ascii="Arial" w:hAnsi="Arial" w:cs="Arial"/>
          <w:color w:val="000000" w:themeColor="text1"/>
          <w:sz w:val="21"/>
          <w:szCs w:val="21"/>
        </w:rPr>
        <w:t>iii</w:t>
      </w:r>
      <w:proofErr w:type="spellEnd"/>
      <w:r w:rsidRPr="00CC17D1">
        <w:rPr>
          <w:rFonts w:ascii="Arial" w:hAnsi="Arial" w:cs="Arial"/>
          <w:color w:val="000000" w:themeColor="text1"/>
          <w:sz w:val="21"/>
          <w:szCs w:val="21"/>
        </w:rPr>
        <w:t>) ¿Acaso la entidad se equivoca y en esta instancia no quiere corregir dicha situación?».</w:t>
      </w:r>
    </w:p>
    <w:p w14:paraId="4BCE019C" w14:textId="77777777" w:rsidR="003A4B1E" w:rsidRPr="00B47E74" w:rsidRDefault="003A4B1E" w:rsidP="00CC17D1">
      <w:pPr>
        <w:ind w:left="709" w:right="709"/>
        <w:jc w:val="both"/>
        <w:rPr>
          <w:rFonts w:ascii="Arial" w:hAnsi="Arial" w:cs="Arial"/>
          <w:color w:val="000000" w:themeColor="text1"/>
          <w:sz w:val="22"/>
          <w:lang w:val="es-ES"/>
        </w:rPr>
      </w:pPr>
    </w:p>
    <w:p w14:paraId="07B739D2" w14:textId="07A154D9" w:rsidR="004523B8" w:rsidRDefault="00CC25D4" w:rsidP="006F7BE3">
      <w:pPr>
        <w:spacing w:after="120" w:line="276" w:lineRule="auto"/>
        <w:jc w:val="both"/>
        <w:rPr>
          <w:rFonts w:ascii="Arial" w:hAnsi="Arial" w:cs="Arial"/>
          <w:sz w:val="22"/>
        </w:rPr>
      </w:pPr>
      <w:r w:rsidRPr="00CC25D4">
        <w:rPr>
          <w:rFonts w:ascii="Arial" w:hAnsi="Arial" w:cs="Arial"/>
          <w:color w:val="000000" w:themeColor="text1"/>
          <w:sz w:val="22"/>
        </w:rPr>
        <w:t>Por las razones expuestas en la parte considerativa de este concepto, haciendo abstracción del caso particular expuesto en la consulta</w:t>
      </w:r>
      <w:r w:rsidR="003A4B1E" w:rsidRPr="00B47E74">
        <w:rPr>
          <w:rFonts w:ascii="Arial" w:hAnsi="Arial" w:cs="Arial"/>
          <w:color w:val="000000" w:themeColor="text1"/>
          <w:sz w:val="22"/>
          <w:lang w:val="es-ES"/>
        </w:rPr>
        <w:t xml:space="preserve">, </w:t>
      </w:r>
      <w:bookmarkStart w:id="8" w:name="_Hlk78783394"/>
      <w:r>
        <w:rPr>
          <w:rFonts w:ascii="Arial" w:hAnsi="Arial" w:cs="Arial"/>
          <w:sz w:val="22"/>
        </w:rPr>
        <w:t>para que un proponente obtenga el puntaje de vinculación de personas con discapacidad deberá</w:t>
      </w:r>
      <w:r w:rsidR="003B4BA4">
        <w:rPr>
          <w:rFonts w:ascii="Arial" w:hAnsi="Arial" w:cs="Arial"/>
          <w:sz w:val="22"/>
        </w:rPr>
        <w:t xml:space="preserve"> cumplir </w:t>
      </w:r>
      <w:r w:rsidR="003918C0">
        <w:rPr>
          <w:rFonts w:ascii="Arial" w:hAnsi="Arial" w:cs="Arial"/>
          <w:sz w:val="22"/>
        </w:rPr>
        <w:t xml:space="preserve">con lo previsto en </w:t>
      </w:r>
      <w:r w:rsidR="003918C0">
        <w:rPr>
          <w:rFonts w:ascii="Arial" w:eastAsia="Calibri" w:hAnsi="Arial" w:cs="Arial"/>
          <w:color w:val="000000" w:themeColor="text1"/>
          <w:sz w:val="22"/>
          <w:lang w:val="es-ES"/>
        </w:rPr>
        <w:t>el apartado 4.4 del documento base</w:t>
      </w:r>
      <w:r w:rsidR="0088761D">
        <w:rPr>
          <w:rFonts w:ascii="Arial" w:hAnsi="Arial" w:cs="Arial"/>
          <w:sz w:val="22"/>
        </w:rPr>
        <w:t xml:space="preserve">. En este contexto, </w:t>
      </w:r>
      <w:r w:rsidR="000D21B6">
        <w:rPr>
          <w:rFonts w:ascii="Arial" w:hAnsi="Arial" w:cs="Arial"/>
          <w:sz w:val="22"/>
        </w:rPr>
        <w:t xml:space="preserve">i) </w:t>
      </w:r>
      <w:r w:rsidR="0088761D">
        <w:rPr>
          <w:rFonts w:ascii="Arial" w:hAnsi="Arial" w:cs="Arial"/>
          <w:sz w:val="22"/>
        </w:rPr>
        <w:t xml:space="preserve">debe </w:t>
      </w:r>
      <w:r>
        <w:rPr>
          <w:rFonts w:ascii="Arial" w:hAnsi="Arial" w:cs="Arial"/>
          <w:sz w:val="22"/>
        </w:rPr>
        <w:t xml:space="preserve">certificar </w:t>
      </w:r>
      <w:r w:rsidRPr="00523637">
        <w:rPr>
          <w:rFonts w:ascii="Arial" w:hAnsi="Arial" w:cs="Arial"/>
          <w:sz w:val="22"/>
          <w:lang w:eastAsia="es-ES_tradnl"/>
        </w:rPr>
        <w:t>el número total de trabajadores vinculados a la planta de personal del proponente o sus integrantes a la fecha de cierre del proceso de selección</w:t>
      </w:r>
      <w:r>
        <w:rPr>
          <w:rFonts w:ascii="Arial" w:hAnsi="Arial" w:cs="Arial"/>
          <w:sz w:val="22"/>
          <w:lang w:eastAsia="es-ES_tradnl"/>
        </w:rPr>
        <w:t xml:space="preserve">, mediante la suscripción del </w:t>
      </w:r>
      <w:r>
        <w:rPr>
          <w:rFonts w:ascii="Arial" w:hAnsi="Arial" w:cs="Arial"/>
          <w:sz w:val="22"/>
        </w:rPr>
        <w:t>«Formato 8 –</w:t>
      </w:r>
      <w:r w:rsidRPr="009360B7">
        <w:t xml:space="preserve"> </w:t>
      </w:r>
      <w:r w:rsidRPr="009360B7">
        <w:rPr>
          <w:rFonts w:ascii="Arial" w:hAnsi="Arial" w:cs="Arial"/>
          <w:sz w:val="22"/>
        </w:rPr>
        <w:t>Vinculación de personas con</w:t>
      </w:r>
      <w:r>
        <w:rPr>
          <w:rFonts w:ascii="Arial" w:hAnsi="Arial" w:cs="Arial"/>
          <w:sz w:val="22"/>
        </w:rPr>
        <w:t xml:space="preserve"> discapacidad» y</w:t>
      </w:r>
      <w:r w:rsidR="000D21B6">
        <w:rPr>
          <w:rFonts w:ascii="Arial" w:hAnsi="Arial" w:cs="Arial"/>
          <w:sz w:val="22"/>
        </w:rPr>
        <w:t xml:space="preserve"> </w:t>
      </w:r>
      <w:proofErr w:type="spellStart"/>
      <w:r w:rsidR="000D21B6">
        <w:rPr>
          <w:rFonts w:ascii="Arial" w:hAnsi="Arial" w:cs="Arial"/>
          <w:sz w:val="22"/>
        </w:rPr>
        <w:t>ii</w:t>
      </w:r>
      <w:proofErr w:type="spellEnd"/>
      <w:r w:rsidR="000D21B6">
        <w:rPr>
          <w:rFonts w:ascii="Arial" w:hAnsi="Arial" w:cs="Arial"/>
          <w:sz w:val="22"/>
        </w:rPr>
        <w:t>)</w:t>
      </w:r>
      <w:r>
        <w:rPr>
          <w:rFonts w:ascii="Arial" w:hAnsi="Arial" w:cs="Arial"/>
          <w:sz w:val="22"/>
        </w:rPr>
        <w:t xml:space="preserve"> </w:t>
      </w:r>
      <w:r w:rsidR="0088761D">
        <w:rPr>
          <w:rFonts w:ascii="Arial" w:hAnsi="Arial" w:cs="Arial"/>
          <w:sz w:val="22"/>
        </w:rPr>
        <w:t>aportar</w:t>
      </w:r>
      <w:r>
        <w:rPr>
          <w:rFonts w:ascii="Arial" w:hAnsi="Arial" w:cs="Arial"/>
          <w:sz w:val="22"/>
        </w:rPr>
        <w:t xml:space="preserve"> el certificado d</w:t>
      </w:r>
      <w:r w:rsidRPr="00B62411">
        <w:rPr>
          <w:rFonts w:ascii="Arial" w:hAnsi="Arial" w:cs="Arial"/>
          <w:sz w:val="22"/>
        </w:rPr>
        <w:t>el Ministerio de Trab</w:t>
      </w:r>
      <w:r>
        <w:rPr>
          <w:rFonts w:ascii="Arial" w:hAnsi="Arial" w:cs="Arial"/>
          <w:sz w:val="22"/>
        </w:rPr>
        <w:t xml:space="preserve">ajo en el que se acredite </w:t>
      </w:r>
      <w:r w:rsidRPr="00523637">
        <w:rPr>
          <w:rFonts w:ascii="Arial" w:hAnsi="Arial" w:cs="Arial"/>
          <w:sz w:val="22"/>
        </w:rPr>
        <w:t xml:space="preserve">el número mínimo de personas con discapacidad en </w:t>
      </w:r>
      <w:r>
        <w:rPr>
          <w:rFonts w:ascii="Arial" w:hAnsi="Arial" w:cs="Arial"/>
          <w:sz w:val="22"/>
        </w:rPr>
        <w:t>la</w:t>
      </w:r>
      <w:r w:rsidRPr="00523637">
        <w:rPr>
          <w:rFonts w:ascii="Arial" w:hAnsi="Arial" w:cs="Arial"/>
          <w:sz w:val="22"/>
        </w:rPr>
        <w:t xml:space="preserve"> planta de personal</w:t>
      </w:r>
      <w:r>
        <w:rPr>
          <w:rFonts w:ascii="Arial" w:hAnsi="Arial" w:cs="Arial"/>
          <w:sz w:val="22"/>
        </w:rPr>
        <w:t>, el cual deberá</w:t>
      </w:r>
      <w:r w:rsidRPr="00CC25D4">
        <w:rPr>
          <w:rFonts w:ascii="Arial" w:hAnsi="Arial" w:cs="Arial"/>
          <w:sz w:val="21"/>
          <w:szCs w:val="21"/>
          <w:lang w:eastAsia="es-CO"/>
        </w:rPr>
        <w:t xml:space="preserve"> </w:t>
      </w:r>
      <w:r w:rsidRPr="00523637">
        <w:rPr>
          <w:rFonts w:ascii="Arial" w:hAnsi="Arial" w:cs="Arial"/>
          <w:sz w:val="22"/>
        </w:rPr>
        <w:t>estar vigente a la fecha de cierre del proceso de selección.</w:t>
      </w:r>
    </w:p>
    <w:bookmarkEnd w:id="8"/>
    <w:p w14:paraId="697BC7CD" w14:textId="0377BFB0" w:rsidR="009E4551" w:rsidRDefault="009E4551" w:rsidP="00CC17D1">
      <w:pPr>
        <w:spacing w:after="120" w:line="276" w:lineRule="auto"/>
        <w:ind w:firstLine="708"/>
        <w:jc w:val="both"/>
        <w:rPr>
          <w:rFonts w:ascii="Arial" w:hAnsi="Arial" w:cs="Arial"/>
          <w:sz w:val="22"/>
        </w:rPr>
      </w:pPr>
      <w:r>
        <w:rPr>
          <w:rFonts w:ascii="Arial" w:hAnsi="Arial" w:cs="Arial"/>
          <w:sz w:val="22"/>
          <w:lang w:eastAsia="es-ES_tradnl"/>
        </w:rPr>
        <w:t>En todo caso, es necesario tener en cuenta que el principio de inalterabilidad es un criterio transversal al procedimiento de selección. De conformidad con las reglas de interpretación del pliego de condiciones, el numeral 1.17, literal I, del documento base dispone que «</w:t>
      </w:r>
      <w:r w:rsidRPr="000913ED">
        <w:rPr>
          <w:rFonts w:ascii="Arial" w:hAnsi="Arial" w:cs="Arial"/>
          <w:sz w:val="22"/>
          <w:lang w:eastAsia="es-ES_tradnl"/>
        </w:rPr>
        <w:t>Los Documentos Tipo son inalterables y no se podrán incluir o modificar los Anexos, Formatos y Formularios, ni exigir soportes o requisitos adicionales; salvo cuando se permita en forma expresa, es decir, en los aspectos incluidos en corchetes y resaltados en gris</w:t>
      </w:r>
      <w:r>
        <w:rPr>
          <w:rFonts w:ascii="Arial" w:hAnsi="Arial" w:cs="Arial"/>
          <w:sz w:val="22"/>
          <w:lang w:eastAsia="es-ES_tradnl"/>
        </w:rPr>
        <w:t>»</w:t>
      </w:r>
      <w:r w:rsidRPr="000913ED">
        <w:rPr>
          <w:rFonts w:ascii="Arial" w:hAnsi="Arial" w:cs="Arial"/>
          <w:sz w:val="22"/>
          <w:lang w:eastAsia="es-ES_tradnl"/>
        </w:rPr>
        <w:t>.</w:t>
      </w:r>
      <w:r>
        <w:rPr>
          <w:rFonts w:ascii="Arial" w:hAnsi="Arial" w:cs="Arial"/>
          <w:sz w:val="22"/>
          <w:lang w:eastAsia="es-ES_tradnl"/>
        </w:rPr>
        <w:t xml:space="preserve"> Incluso, literal E </w:t>
      </w:r>
      <w:r w:rsidRPr="00C761D6">
        <w:rPr>
          <w:rFonts w:ascii="Arial" w:hAnsi="Arial" w:cs="Arial"/>
          <w:i/>
          <w:iCs/>
          <w:sz w:val="22"/>
          <w:lang w:eastAsia="es-ES_tradnl"/>
        </w:rPr>
        <w:t>ibidem</w:t>
      </w:r>
      <w:r>
        <w:rPr>
          <w:rFonts w:ascii="Arial" w:hAnsi="Arial" w:cs="Arial"/>
          <w:sz w:val="22"/>
          <w:lang w:eastAsia="es-ES_tradnl"/>
        </w:rPr>
        <w:t xml:space="preserve"> prescribe que «</w:t>
      </w:r>
      <w:r w:rsidRPr="00415DAE">
        <w:rPr>
          <w:rFonts w:ascii="Arial" w:hAnsi="Arial" w:cs="Arial"/>
          <w:sz w:val="22"/>
          <w:lang w:eastAsia="es-ES_tradnl"/>
        </w:rPr>
        <w:t>En caso de contradicción entre el contenido establecido en los Documentos Tipo y el incluido por la entidad, proponentes o contratista en los documentos del proceso, primará lo señalado en los Documentos Tipo</w:t>
      </w:r>
      <w:r>
        <w:rPr>
          <w:rFonts w:ascii="Arial" w:hAnsi="Arial" w:cs="Arial"/>
          <w:sz w:val="22"/>
          <w:lang w:eastAsia="es-ES_tradnl"/>
        </w:rPr>
        <w:t>»</w:t>
      </w:r>
      <w:r w:rsidRPr="00415DAE">
        <w:rPr>
          <w:rFonts w:ascii="Arial" w:hAnsi="Arial" w:cs="Arial"/>
          <w:sz w:val="22"/>
          <w:lang w:eastAsia="es-ES_tradnl"/>
        </w:rPr>
        <w:t>.</w:t>
      </w:r>
    </w:p>
    <w:p w14:paraId="316CC2E5" w14:textId="77777777" w:rsidR="003A0514" w:rsidRPr="00CC25D4" w:rsidRDefault="003A0514" w:rsidP="00CC17D1">
      <w:pPr>
        <w:spacing w:line="276" w:lineRule="auto"/>
        <w:ind w:firstLine="709"/>
        <w:jc w:val="both"/>
        <w:rPr>
          <w:rFonts w:ascii="Arial" w:hAnsi="Arial" w:cs="Arial"/>
          <w:sz w:val="22"/>
          <w:lang w:eastAsia="es-ES_tradnl"/>
        </w:rPr>
      </w:pPr>
    </w:p>
    <w:p w14:paraId="5F429EFF" w14:textId="77777777" w:rsidR="005A79FE" w:rsidRPr="00B47E74" w:rsidRDefault="005A79FE" w:rsidP="00CC17D1">
      <w:pPr>
        <w:spacing w:after="120" w:line="276" w:lineRule="auto"/>
        <w:jc w:val="both"/>
        <w:rPr>
          <w:rFonts w:ascii="Arial" w:eastAsia="Calibri" w:hAnsi="Arial" w:cs="Arial"/>
          <w:sz w:val="22"/>
          <w:lang w:val="es-ES"/>
        </w:rPr>
      </w:pPr>
      <w:r w:rsidRPr="00B47E74">
        <w:rPr>
          <w:rFonts w:ascii="Arial" w:eastAsia="Calibri" w:hAnsi="Arial" w:cs="Arial"/>
          <w:sz w:val="22"/>
          <w:lang w:val="es-ES"/>
        </w:rPr>
        <w:t>Este concepto tiene el alcance previsto en el artículo 28 del Código de Procedimiento Administrativo y de lo Contencioso Administrativo.</w:t>
      </w:r>
    </w:p>
    <w:p w14:paraId="19DA8DDB" w14:textId="77777777" w:rsidR="005A79FE" w:rsidRPr="00B47E74" w:rsidRDefault="005A79FE" w:rsidP="005A79FE">
      <w:pPr>
        <w:spacing w:line="276" w:lineRule="auto"/>
        <w:jc w:val="both"/>
        <w:rPr>
          <w:rFonts w:ascii="Arial" w:eastAsia="Calibri" w:hAnsi="Arial" w:cs="Arial"/>
          <w:sz w:val="22"/>
          <w:lang w:val="es-ES"/>
        </w:rPr>
      </w:pPr>
    </w:p>
    <w:p w14:paraId="18AAB28D" w14:textId="77777777" w:rsidR="005A79FE" w:rsidRPr="00B47E74" w:rsidRDefault="005A79FE" w:rsidP="005A79FE">
      <w:pPr>
        <w:rPr>
          <w:rFonts w:ascii="Arial" w:hAnsi="Arial" w:cs="Arial"/>
          <w:sz w:val="22"/>
          <w:lang w:val="es-ES" w:eastAsia="es-CO"/>
        </w:rPr>
      </w:pPr>
      <w:r w:rsidRPr="00B47E74">
        <w:rPr>
          <w:rFonts w:ascii="Arial" w:hAnsi="Arial" w:cs="Arial"/>
          <w:sz w:val="22"/>
          <w:lang w:val="es-ES" w:eastAsia="es-CO"/>
        </w:rPr>
        <w:t>Atentamente,</w:t>
      </w:r>
    </w:p>
    <w:p w14:paraId="67909B52" w14:textId="58626B5D" w:rsidR="005A79FE" w:rsidRPr="00B47E74" w:rsidRDefault="00C93BC4" w:rsidP="1D8946CE">
      <w:pPr>
        <w:jc w:val="center"/>
        <w:rPr>
          <w:lang w:val="es-ES"/>
        </w:rPr>
      </w:pPr>
      <w:r>
        <w:rPr>
          <w:noProof/>
        </w:rPr>
        <w:lastRenderedPageBreak/>
        <w:drawing>
          <wp:inline distT="0" distB="0" distL="0" distR="0" wp14:anchorId="52BDAE51" wp14:editId="51D549F8">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2EEB0FD1" w14:textId="1B407A68" w:rsidR="1D8946CE" w:rsidRPr="00B47E74" w:rsidRDefault="1D8946CE" w:rsidP="1D8946CE">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941"/>
      </w:tblGrid>
      <w:tr w:rsidR="00B211A2" w:rsidRPr="00B47E74" w14:paraId="10501535" w14:textId="77777777" w:rsidTr="00B47E74">
        <w:trPr>
          <w:trHeight w:val="315"/>
        </w:trPr>
        <w:tc>
          <w:tcPr>
            <w:tcW w:w="812" w:type="dxa"/>
            <w:vAlign w:val="center"/>
            <w:hideMark/>
          </w:tcPr>
          <w:p w14:paraId="4C6E53F6"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Elaboró:</w:t>
            </w:r>
          </w:p>
        </w:tc>
        <w:tc>
          <w:tcPr>
            <w:tcW w:w="4941" w:type="dxa"/>
            <w:tcBorders>
              <w:top w:val="nil"/>
              <w:left w:val="nil"/>
              <w:bottom w:val="dotted" w:sz="4" w:space="0" w:color="7F7F7F" w:themeColor="text1" w:themeTint="80"/>
              <w:right w:val="nil"/>
            </w:tcBorders>
            <w:vAlign w:val="center"/>
            <w:hideMark/>
          </w:tcPr>
          <w:p w14:paraId="3F97DBA9"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David Torres Rojas</w:t>
            </w:r>
          </w:p>
          <w:p w14:paraId="3FD2AD53"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Contratista de la Subdirección de Gestión Contractual</w:t>
            </w:r>
          </w:p>
        </w:tc>
      </w:tr>
      <w:tr w:rsidR="00B211A2" w:rsidRPr="00B47E74" w14:paraId="1AFD260B" w14:textId="77777777" w:rsidTr="00B47E74">
        <w:trPr>
          <w:trHeight w:val="330"/>
        </w:trPr>
        <w:tc>
          <w:tcPr>
            <w:tcW w:w="812" w:type="dxa"/>
            <w:vAlign w:val="center"/>
            <w:hideMark/>
          </w:tcPr>
          <w:p w14:paraId="6B4A53BD"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Revisó:</w:t>
            </w:r>
          </w:p>
        </w:tc>
        <w:tc>
          <w:tcPr>
            <w:tcW w:w="4941" w:type="dxa"/>
            <w:tcBorders>
              <w:top w:val="dotted" w:sz="4" w:space="0" w:color="7F7F7F" w:themeColor="text1" w:themeTint="80"/>
              <w:left w:val="nil"/>
              <w:bottom w:val="dotted" w:sz="4" w:space="0" w:color="7F7F7F" w:themeColor="text1" w:themeTint="80"/>
              <w:right w:val="nil"/>
            </w:tcBorders>
            <w:vAlign w:val="center"/>
            <w:hideMark/>
          </w:tcPr>
          <w:p w14:paraId="4FC0ABCD" w14:textId="77777777" w:rsidR="00CB4BA0" w:rsidRPr="00B47E74" w:rsidRDefault="00CB4BA0" w:rsidP="00CB4BA0">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Juan David Montoya Penagos</w:t>
            </w:r>
          </w:p>
          <w:p w14:paraId="2394B554" w14:textId="2D8BB12A" w:rsidR="00B211A2" w:rsidRPr="00B47E74" w:rsidRDefault="00CB4BA0" w:rsidP="00CB4BA0">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Gestor T1-15 de la Subdirección de Gestión Contractual</w:t>
            </w:r>
          </w:p>
        </w:tc>
      </w:tr>
      <w:tr w:rsidR="00B211A2" w:rsidRPr="00B47E74" w14:paraId="7FEBEE03" w14:textId="77777777" w:rsidTr="00B47E74">
        <w:trPr>
          <w:trHeight w:val="300"/>
        </w:trPr>
        <w:tc>
          <w:tcPr>
            <w:tcW w:w="812" w:type="dxa"/>
            <w:vAlign w:val="center"/>
            <w:hideMark/>
          </w:tcPr>
          <w:p w14:paraId="7CA93541"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Aprobó:</w:t>
            </w:r>
          </w:p>
        </w:tc>
        <w:tc>
          <w:tcPr>
            <w:tcW w:w="4941" w:type="dxa"/>
            <w:tcBorders>
              <w:top w:val="dotted" w:sz="4" w:space="0" w:color="7F7F7F" w:themeColor="text1" w:themeTint="80"/>
              <w:left w:val="nil"/>
              <w:bottom w:val="dotted" w:sz="4" w:space="0" w:color="7F7F7F" w:themeColor="text1" w:themeTint="80"/>
              <w:right w:val="nil"/>
            </w:tcBorders>
            <w:vAlign w:val="center"/>
            <w:hideMark/>
          </w:tcPr>
          <w:p w14:paraId="026D06D6"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Jorge Augusto Tirado Navarro</w:t>
            </w:r>
          </w:p>
          <w:p w14:paraId="2BABFBE9" w14:textId="77777777" w:rsidR="00B211A2" w:rsidRPr="00B47E74" w:rsidRDefault="00B211A2" w:rsidP="00EF4E43">
            <w:pPr>
              <w:jc w:val="both"/>
              <w:rPr>
                <w:rFonts w:ascii="Arial" w:hAnsi="Arial" w:cs="Arial"/>
                <w:color w:val="000000" w:themeColor="text1"/>
                <w:sz w:val="16"/>
                <w:szCs w:val="16"/>
                <w:lang w:val="es-ES" w:eastAsia="es-ES"/>
              </w:rPr>
            </w:pPr>
            <w:r w:rsidRPr="00B47E74">
              <w:rPr>
                <w:rFonts w:ascii="Arial" w:hAnsi="Arial" w:cs="Arial"/>
                <w:color w:val="000000" w:themeColor="text1"/>
                <w:sz w:val="16"/>
                <w:szCs w:val="16"/>
                <w:lang w:val="es-ES" w:eastAsia="es-ES"/>
              </w:rPr>
              <w:t>Subdirector de Gestión Contractual ANCP – CCE</w:t>
            </w:r>
          </w:p>
        </w:tc>
      </w:tr>
    </w:tbl>
    <w:p w14:paraId="7EBF297E" w14:textId="77777777" w:rsidR="007B0854" w:rsidRPr="00B47E74" w:rsidRDefault="007B0854" w:rsidP="00CA287E">
      <w:pPr>
        <w:jc w:val="both"/>
        <w:rPr>
          <w:rFonts w:ascii="Arial" w:eastAsia="Calibri" w:hAnsi="Arial" w:cs="Arial"/>
          <w:sz w:val="2"/>
          <w:szCs w:val="2"/>
          <w:lang w:val="es-ES"/>
        </w:rPr>
      </w:pPr>
    </w:p>
    <w:sectPr w:rsidR="007B0854" w:rsidRPr="00B47E74" w:rsidSect="008F6A28">
      <w:headerReference w:type="default" r:id="rId13"/>
      <w:footerReference w:type="default" r:id="rId14"/>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D114" w14:textId="77777777" w:rsidR="00CF1B42" w:rsidRDefault="00CF1B42">
      <w:r>
        <w:separator/>
      </w:r>
    </w:p>
  </w:endnote>
  <w:endnote w:type="continuationSeparator" w:id="0">
    <w:p w14:paraId="6A399AAF" w14:textId="77777777" w:rsidR="00CF1B42" w:rsidRDefault="00CF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ACC" w14:textId="77777777" w:rsidR="00021CDC" w:rsidRDefault="00021CDC" w:rsidP="007B0854">
    <w:pPr>
      <w:pStyle w:val="Sinespaciado"/>
      <w:jc w:val="center"/>
      <w:rPr>
        <w:rFonts w:ascii="Arial" w:hAnsi="Arial" w:cs="Arial"/>
        <w:sz w:val="18"/>
        <w:szCs w:val="18"/>
      </w:rPr>
    </w:pPr>
  </w:p>
  <w:p w14:paraId="312C4A14" w14:textId="085EFAD3" w:rsidR="00021CDC" w:rsidRPr="005A79FE" w:rsidRDefault="00021CD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21CDC" w:rsidRDefault="3FB0ED2D" w:rsidP="007B0854">
    <w:pPr>
      <w:pStyle w:val="Piedepgina"/>
      <w:jc w:val="center"/>
      <w:rPr>
        <w:lang w:val="es-ES"/>
      </w:rPr>
    </w:pPr>
    <w:r>
      <w:rPr>
        <w:noProof/>
        <w:lang w:val="en-US"/>
      </w:rPr>
      <w:drawing>
        <wp:inline distT="0" distB="0" distL="0" distR="0" wp14:anchorId="608B196D" wp14:editId="22A3089D">
          <wp:extent cx="4241994" cy="595165"/>
          <wp:effectExtent l="0" t="0" r="6350" b="0"/>
          <wp:docPr id="118628570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021CDC" w:rsidRDefault="00021CDC" w:rsidP="007B0854">
    <w:pPr>
      <w:pStyle w:val="Piedepgina"/>
      <w:jc w:val="center"/>
      <w:rPr>
        <w:lang w:val="es-ES"/>
      </w:rPr>
    </w:pPr>
  </w:p>
  <w:p w14:paraId="270B5050" w14:textId="77777777" w:rsidR="00021CDC" w:rsidRPr="007B0854" w:rsidRDefault="00021CD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7B05" w14:textId="77777777" w:rsidR="00CF1B42" w:rsidRDefault="00CF1B42">
      <w:r>
        <w:separator/>
      </w:r>
    </w:p>
  </w:footnote>
  <w:footnote w:type="continuationSeparator" w:id="0">
    <w:p w14:paraId="49732196" w14:textId="77777777" w:rsidR="00CF1B42" w:rsidRDefault="00CF1B42">
      <w:r>
        <w:continuationSeparator/>
      </w:r>
    </w:p>
  </w:footnote>
  <w:footnote w:id="1">
    <w:p w14:paraId="22DA2F59" w14:textId="77777777" w:rsidR="007144EF" w:rsidRDefault="007144EF" w:rsidP="007144EF">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27573F34" w14:textId="77777777" w:rsidR="007144EF" w:rsidRDefault="007144EF" w:rsidP="007144EF">
      <w:pPr>
        <w:pStyle w:val="Textonotapie"/>
        <w:ind w:firstLine="709"/>
      </w:pPr>
    </w:p>
  </w:footnote>
  <w:footnote w:id="2">
    <w:p w14:paraId="59206782" w14:textId="77777777" w:rsidR="007144EF" w:rsidRDefault="007144EF" w:rsidP="007144EF">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4B2FDA37" w14:textId="77777777" w:rsidR="007144EF" w:rsidRDefault="007144EF" w:rsidP="007144EF">
      <w:pPr>
        <w:pStyle w:val="Textonotapie"/>
        <w:ind w:firstLine="709"/>
      </w:pPr>
    </w:p>
  </w:footnote>
  <w:footnote w:id="3">
    <w:p w14:paraId="05D350B7" w14:textId="77777777" w:rsidR="007144EF" w:rsidRDefault="007144EF" w:rsidP="007144EF">
      <w:pPr>
        <w:pStyle w:val="Textonotapie"/>
        <w:ind w:firstLine="709"/>
      </w:pPr>
      <w:r>
        <w:rPr>
          <w:rStyle w:val="Refdenotaalpie"/>
        </w:rPr>
        <w:footnoteRef/>
      </w:r>
      <w:r>
        <w:t xml:space="preserve"> </w:t>
      </w:r>
      <w:proofErr w:type="spellStart"/>
      <w:r w:rsidRPr="0043040E">
        <w:rPr>
          <w:rFonts w:ascii="Arial" w:hAnsi="Arial" w:cs="Arial"/>
          <w:sz w:val="19"/>
          <w:szCs w:val="19"/>
        </w:rPr>
        <w:t>Ibídem</w:t>
      </w:r>
      <w:proofErr w:type="spellEnd"/>
      <w:r w:rsidRPr="0043040E">
        <w:rPr>
          <w:rFonts w:ascii="Arial" w:hAnsi="Arial" w:cs="Arial"/>
          <w:sz w:val="19"/>
          <w:szCs w:val="19"/>
        </w:rPr>
        <w:t>.</w:t>
      </w:r>
      <w:r w:rsidRPr="0043040E">
        <w:t xml:space="preserve">  </w:t>
      </w:r>
    </w:p>
    <w:p w14:paraId="16CC4311" w14:textId="77777777" w:rsidR="007144EF" w:rsidRDefault="007144EF" w:rsidP="007144EF">
      <w:pPr>
        <w:pStyle w:val="Textonotapie"/>
        <w:ind w:firstLine="709"/>
      </w:pPr>
    </w:p>
  </w:footnote>
  <w:footnote w:id="4">
    <w:p w14:paraId="35359AB3" w14:textId="77777777" w:rsidR="007144EF" w:rsidRDefault="007144EF" w:rsidP="007144EF">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647C8F5B" w14:textId="77777777" w:rsidR="007144EF" w:rsidRPr="0043040E" w:rsidRDefault="007144EF" w:rsidP="007144EF">
      <w:pPr>
        <w:shd w:val="clear" w:color="auto" w:fill="FFFFFF"/>
        <w:ind w:firstLine="709"/>
        <w:jc w:val="both"/>
        <w:textAlignment w:val="baseline"/>
        <w:rPr>
          <w:rFonts w:ascii="Calibri" w:hAnsi="Calibri" w:cs="Calibri"/>
          <w:color w:val="000000"/>
          <w:sz w:val="20"/>
          <w:szCs w:val="20"/>
          <w:lang w:eastAsia="es-CO"/>
        </w:rPr>
      </w:pPr>
    </w:p>
  </w:footnote>
  <w:footnote w:id="5">
    <w:p w14:paraId="19947718" w14:textId="77777777" w:rsidR="007144EF" w:rsidRPr="0043040E" w:rsidRDefault="007144EF" w:rsidP="007144EF">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FA98FCF" w14:textId="77777777" w:rsidR="007144EF" w:rsidRPr="0043040E" w:rsidRDefault="007144EF" w:rsidP="007144EF">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»Dentro</w:t>
      </w:r>
      <w:proofErr w:type="gramEnd"/>
      <w:r w:rsidRPr="0043040E">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6FEEBF6" w14:textId="77777777" w:rsidR="007144EF" w:rsidRPr="0043040E" w:rsidRDefault="007144EF" w:rsidP="007144EF">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»Con</w:t>
      </w:r>
      <w:proofErr w:type="gramEnd"/>
      <w:r w:rsidRPr="0043040E">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CAF2EA3" w14:textId="77777777" w:rsidR="007144EF" w:rsidRPr="0043040E" w:rsidRDefault="007144EF" w:rsidP="007144EF">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79CD6C4" w14:textId="77777777" w:rsidR="007144EF" w:rsidRPr="0043040E" w:rsidRDefault="007144EF" w:rsidP="007144EF">
      <w:pPr>
        <w:shd w:val="clear" w:color="auto" w:fill="FFFFFF"/>
        <w:ind w:firstLine="708"/>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»En</w:t>
      </w:r>
      <w:proofErr w:type="gramEnd"/>
      <w:r w:rsidRPr="0043040E">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6E7F5D9" w14:textId="77777777" w:rsidR="007144EF" w:rsidRDefault="007144EF" w:rsidP="007144EF">
      <w:pPr>
        <w:pStyle w:val="Textonotapie"/>
      </w:pPr>
    </w:p>
  </w:footnote>
  <w:footnote w:id="6">
    <w:p w14:paraId="1AD1184D" w14:textId="77777777" w:rsidR="00EA5734" w:rsidRPr="00EA5734" w:rsidRDefault="00EA5734" w:rsidP="00EA5734">
      <w:pPr>
        <w:pStyle w:val="Textonotapie"/>
        <w:ind w:firstLine="708"/>
        <w:jc w:val="both"/>
        <w:rPr>
          <w:rFonts w:ascii="Arial" w:hAnsi="Arial" w:cs="Arial"/>
          <w:sz w:val="19"/>
          <w:szCs w:val="19"/>
        </w:rPr>
      </w:pPr>
      <w:r w:rsidRPr="00EA5734">
        <w:rPr>
          <w:rStyle w:val="Refdenotaalpie"/>
          <w:rFonts w:ascii="Arial" w:hAnsi="Arial" w:cs="Arial"/>
          <w:sz w:val="19"/>
          <w:szCs w:val="19"/>
        </w:rPr>
        <w:footnoteRef/>
      </w:r>
      <w:r w:rsidRPr="00EA5734">
        <w:rPr>
          <w:rFonts w:ascii="Arial" w:hAnsi="Arial" w:cs="Arial"/>
          <w:sz w:val="19"/>
          <w:szCs w:val="19"/>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29E13A5" w14:textId="77777777" w:rsidR="00EA5734" w:rsidRPr="00EA5734" w:rsidRDefault="00EA5734" w:rsidP="00EA5734">
      <w:pPr>
        <w:pStyle w:val="Textonotapie"/>
        <w:ind w:firstLine="708"/>
        <w:rPr>
          <w:rFonts w:ascii="Arial" w:hAnsi="Arial" w:cs="Arial"/>
          <w:sz w:val="19"/>
          <w:szCs w:val="19"/>
          <w:lang w:val="es-CO"/>
        </w:rPr>
      </w:pPr>
      <w:r w:rsidRPr="00EA5734">
        <w:rPr>
          <w:rFonts w:ascii="Arial" w:hAnsi="Arial" w:cs="Arial"/>
          <w:sz w:val="19"/>
          <w:szCs w:val="19"/>
        </w:rPr>
        <w:t xml:space="preserve"> </w:t>
      </w:r>
    </w:p>
  </w:footnote>
  <w:footnote w:id="7">
    <w:p w14:paraId="65647A54" w14:textId="77777777" w:rsidR="00EA5734" w:rsidRPr="00EA5734" w:rsidRDefault="00EA5734" w:rsidP="00EA5734">
      <w:pPr>
        <w:pStyle w:val="Textonotapie"/>
        <w:ind w:firstLine="709"/>
        <w:jc w:val="both"/>
        <w:rPr>
          <w:rFonts w:ascii="Arial" w:hAnsi="Arial" w:cs="Arial"/>
          <w:color w:val="000000" w:themeColor="text1"/>
          <w:sz w:val="19"/>
          <w:szCs w:val="19"/>
        </w:rPr>
      </w:pPr>
      <w:r w:rsidRPr="00EA5734">
        <w:rPr>
          <w:rStyle w:val="Refdenotaalpie"/>
          <w:rFonts w:ascii="Arial" w:hAnsi="Arial" w:cs="Arial"/>
          <w:color w:val="000000" w:themeColor="text1"/>
          <w:sz w:val="19"/>
          <w:szCs w:val="19"/>
        </w:rPr>
        <w:footnoteRef/>
      </w:r>
      <w:r w:rsidRPr="00EA5734">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AB5DD1A" w14:textId="77777777" w:rsidR="00EA5734" w:rsidRPr="00EA5734" w:rsidRDefault="00EA5734" w:rsidP="00EA5734">
      <w:pPr>
        <w:pStyle w:val="Textonotapie"/>
        <w:ind w:firstLine="709"/>
        <w:jc w:val="both"/>
        <w:rPr>
          <w:rFonts w:ascii="Arial" w:hAnsi="Arial" w:cs="Arial"/>
          <w:color w:val="000000" w:themeColor="text1"/>
          <w:sz w:val="19"/>
          <w:szCs w:val="19"/>
        </w:rPr>
      </w:pPr>
    </w:p>
  </w:footnote>
  <w:footnote w:id="8">
    <w:p w14:paraId="0DF02091" w14:textId="77777777" w:rsidR="00EA5734" w:rsidRPr="00EA5734" w:rsidRDefault="00EA5734" w:rsidP="00EA5734">
      <w:pPr>
        <w:ind w:firstLine="709"/>
        <w:jc w:val="both"/>
        <w:rPr>
          <w:rFonts w:ascii="Arial" w:hAnsi="Arial" w:cs="Arial"/>
          <w:color w:val="000000" w:themeColor="text1"/>
          <w:sz w:val="19"/>
          <w:szCs w:val="19"/>
          <w:lang w:val="es-ES"/>
        </w:rPr>
      </w:pPr>
      <w:r w:rsidRPr="00EA5734">
        <w:rPr>
          <w:rStyle w:val="Refdenotaalpie"/>
          <w:rFonts w:ascii="Arial" w:hAnsi="Arial" w:cs="Arial"/>
          <w:color w:val="000000" w:themeColor="text1"/>
          <w:sz w:val="19"/>
          <w:szCs w:val="19"/>
        </w:rPr>
        <w:footnoteRef/>
      </w:r>
      <w:r w:rsidRPr="00EA5734">
        <w:rPr>
          <w:rFonts w:ascii="Arial" w:hAnsi="Arial" w:cs="Arial"/>
          <w:color w:val="000000" w:themeColor="text1"/>
          <w:sz w:val="19"/>
          <w:szCs w:val="19"/>
        </w:rPr>
        <w:t xml:space="preserve"> </w:t>
      </w:r>
      <w:r w:rsidRPr="00EA5734">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501E004A" w14:textId="77777777" w:rsidR="00EA5734" w:rsidRPr="00EA5734" w:rsidRDefault="00EA5734" w:rsidP="00EA5734">
      <w:pPr>
        <w:ind w:firstLine="709"/>
        <w:jc w:val="both"/>
        <w:rPr>
          <w:rFonts w:ascii="Arial" w:hAnsi="Arial" w:cs="Arial"/>
          <w:color w:val="000000" w:themeColor="text1"/>
          <w:sz w:val="19"/>
          <w:szCs w:val="19"/>
          <w:lang w:val="es-ES"/>
        </w:rPr>
      </w:pPr>
    </w:p>
  </w:footnote>
  <w:footnote w:id="9">
    <w:p w14:paraId="29FDF7C4" w14:textId="77777777" w:rsidR="00EA5734" w:rsidRPr="00EA5734" w:rsidRDefault="00EA5734" w:rsidP="00EA5734">
      <w:pPr>
        <w:pStyle w:val="Textonotapie"/>
        <w:ind w:firstLine="708"/>
        <w:jc w:val="both"/>
        <w:rPr>
          <w:rFonts w:ascii="Arial" w:hAnsi="Arial" w:cs="Arial"/>
          <w:sz w:val="19"/>
          <w:szCs w:val="19"/>
        </w:rPr>
      </w:pPr>
      <w:r w:rsidRPr="00EA5734">
        <w:rPr>
          <w:rStyle w:val="Refdenotaalpie"/>
          <w:rFonts w:ascii="Arial" w:hAnsi="Arial" w:cs="Arial"/>
          <w:sz w:val="19"/>
          <w:szCs w:val="19"/>
        </w:rPr>
        <w:footnoteRef/>
      </w:r>
      <w:r w:rsidRPr="00EA5734">
        <w:rPr>
          <w:rFonts w:ascii="Arial" w:hAnsi="Arial" w:cs="Arial"/>
          <w:sz w:val="19"/>
          <w:szCs w:val="19"/>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0F16EEBA" w14:textId="77777777" w:rsidR="00EA5734" w:rsidRPr="00EA5734" w:rsidRDefault="00EA5734" w:rsidP="00EA5734">
      <w:pPr>
        <w:pStyle w:val="Textonotapie"/>
        <w:ind w:firstLine="708"/>
        <w:jc w:val="both"/>
        <w:rPr>
          <w:rFonts w:ascii="Arial" w:hAnsi="Arial" w:cs="Arial"/>
          <w:sz w:val="19"/>
          <w:szCs w:val="19"/>
        </w:rPr>
      </w:pPr>
      <w:r w:rsidRPr="00EA5734">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7DD104D9" w14:textId="77777777" w:rsidR="00EA5734" w:rsidRPr="00EA5734" w:rsidRDefault="00EA5734" w:rsidP="00EA5734">
      <w:pPr>
        <w:pStyle w:val="Textonotapie"/>
        <w:ind w:firstLine="708"/>
        <w:jc w:val="both"/>
        <w:rPr>
          <w:rFonts w:ascii="Arial" w:hAnsi="Arial" w:cs="Arial"/>
          <w:sz w:val="19"/>
          <w:szCs w:val="19"/>
        </w:rPr>
      </w:pPr>
      <w:r w:rsidRPr="00EA5734">
        <w:rPr>
          <w:rFonts w:ascii="Arial" w:hAnsi="Arial" w:cs="Arial"/>
          <w:sz w:val="19"/>
          <w:szCs w:val="19"/>
        </w:rPr>
        <w:t xml:space="preserve">»2. Conservar los requisitos exigidos en los Documentos Tipo.  </w:t>
      </w:r>
    </w:p>
    <w:p w14:paraId="56B3EA46" w14:textId="77777777" w:rsidR="00EA5734" w:rsidRPr="00EA5734" w:rsidRDefault="00EA5734" w:rsidP="00EA5734">
      <w:pPr>
        <w:pStyle w:val="Textonotapie"/>
        <w:ind w:firstLine="708"/>
        <w:jc w:val="both"/>
        <w:rPr>
          <w:rFonts w:ascii="Arial" w:hAnsi="Arial" w:cs="Arial"/>
          <w:sz w:val="19"/>
          <w:szCs w:val="19"/>
        </w:rPr>
      </w:pPr>
      <w:r w:rsidRPr="00EA5734">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4F2F5991" w14:textId="77777777" w:rsidR="00EA5734" w:rsidRPr="00EA5734" w:rsidRDefault="00EA5734" w:rsidP="00EA5734">
      <w:pPr>
        <w:pStyle w:val="Textonotapie"/>
        <w:ind w:firstLine="708"/>
        <w:jc w:val="both"/>
        <w:rPr>
          <w:rFonts w:ascii="Arial" w:hAnsi="Arial" w:cs="Arial"/>
          <w:sz w:val="19"/>
          <w:szCs w:val="19"/>
          <w:lang w:val="es-CO"/>
        </w:rPr>
      </w:pPr>
      <w:r w:rsidRPr="00EA5734">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footnote>
  <w:footnote w:id="10">
    <w:p w14:paraId="014B5FD7" w14:textId="77777777" w:rsidR="000B3B86" w:rsidRDefault="000B3B86" w:rsidP="000B3B86">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w:t>
      </w:r>
      <w:r>
        <w:rPr>
          <w:rFonts w:ascii="Arial" w:hAnsi="Arial" w:cs="Arial"/>
          <w:color w:val="000000" w:themeColor="text1"/>
          <w:sz w:val="19"/>
          <w:szCs w:val="19"/>
        </w:rPr>
        <w:t>Ley 1618 de 2013</w:t>
      </w:r>
      <w:r>
        <w:rPr>
          <w:color w:val="000000" w:themeColor="text1"/>
          <w:sz w:val="19"/>
          <w:szCs w:val="19"/>
        </w:rPr>
        <w:t>: «A</w:t>
      </w:r>
      <w:r>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11">
    <w:p w14:paraId="43A87CAB" w14:textId="77777777" w:rsidR="000B3B86" w:rsidRDefault="000B3B86" w:rsidP="000B3B86">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w:t>
      </w:r>
      <w:r>
        <w:rPr>
          <w:rFonts w:ascii="Arial" w:hAnsi="Arial" w:cs="Arial"/>
          <w:color w:val="000000" w:themeColor="text1"/>
          <w:sz w:val="19"/>
          <w:szCs w:val="19"/>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31C3837D" w14:textId="77777777" w:rsidR="000B3B86" w:rsidRDefault="000B3B86" w:rsidP="000B3B8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021CDC" w:rsidRDefault="00021CDC">
    <w:pPr>
      <w:pStyle w:val="Encabezado"/>
    </w:pPr>
  </w:p>
  <w:p w14:paraId="6A4C7F2C" w14:textId="7D093DBB" w:rsidR="00021CDC" w:rsidRDefault="00021CDC">
    <w:pPr>
      <w:pStyle w:val="Encabezado"/>
    </w:pPr>
  </w:p>
  <w:p w14:paraId="055F2E1F" w14:textId="0B935ADD" w:rsidR="00021CDC" w:rsidRDefault="00021CDC">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21CDC" w:rsidRDefault="00021CDC">
    <w:pPr>
      <w:pStyle w:val="Encabezado"/>
    </w:pPr>
  </w:p>
  <w:p w14:paraId="3D323BDB" w14:textId="04AF0DE6" w:rsidR="00021CDC" w:rsidRDefault="00021CDC">
    <w:pPr>
      <w:pStyle w:val="Encabezado"/>
    </w:pPr>
  </w:p>
  <w:p w14:paraId="6520770B" w14:textId="18EB07B5" w:rsidR="00021CDC" w:rsidRDefault="00021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3F4"/>
    <w:rsid w:val="000168F2"/>
    <w:rsid w:val="000179EC"/>
    <w:rsid w:val="00020C17"/>
    <w:rsid w:val="00021BA0"/>
    <w:rsid w:val="00021CDC"/>
    <w:rsid w:val="000220A5"/>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74E24"/>
    <w:rsid w:val="00080076"/>
    <w:rsid w:val="00080A05"/>
    <w:rsid w:val="00084236"/>
    <w:rsid w:val="00086C0F"/>
    <w:rsid w:val="000906E8"/>
    <w:rsid w:val="000913ED"/>
    <w:rsid w:val="000932D8"/>
    <w:rsid w:val="000937BF"/>
    <w:rsid w:val="000942EB"/>
    <w:rsid w:val="000943CF"/>
    <w:rsid w:val="000959D5"/>
    <w:rsid w:val="00096682"/>
    <w:rsid w:val="00096DB7"/>
    <w:rsid w:val="00097648"/>
    <w:rsid w:val="000A14E4"/>
    <w:rsid w:val="000A417F"/>
    <w:rsid w:val="000A7150"/>
    <w:rsid w:val="000A797D"/>
    <w:rsid w:val="000B07E5"/>
    <w:rsid w:val="000B103F"/>
    <w:rsid w:val="000B2A0E"/>
    <w:rsid w:val="000B3B86"/>
    <w:rsid w:val="000B5DBE"/>
    <w:rsid w:val="000B7B6A"/>
    <w:rsid w:val="000C007D"/>
    <w:rsid w:val="000C0421"/>
    <w:rsid w:val="000C097B"/>
    <w:rsid w:val="000C2A7B"/>
    <w:rsid w:val="000C2DAC"/>
    <w:rsid w:val="000C5B99"/>
    <w:rsid w:val="000C6C4A"/>
    <w:rsid w:val="000D21B6"/>
    <w:rsid w:val="000D40BF"/>
    <w:rsid w:val="000D4D6F"/>
    <w:rsid w:val="000D5A3E"/>
    <w:rsid w:val="000D71A8"/>
    <w:rsid w:val="000E0B48"/>
    <w:rsid w:val="000E3C6E"/>
    <w:rsid w:val="000F14C5"/>
    <w:rsid w:val="000F14E8"/>
    <w:rsid w:val="000F2324"/>
    <w:rsid w:val="000F7991"/>
    <w:rsid w:val="00103388"/>
    <w:rsid w:val="001033F9"/>
    <w:rsid w:val="00103487"/>
    <w:rsid w:val="00103915"/>
    <w:rsid w:val="0010427D"/>
    <w:rsid w:val="00104887"/>
    <w:rsid w:val="00104CCA"/>
    <w:rsid w:val="0010569C"/>
    <w:rsid w:val="00105AA5"/>
    <w:rsid w:val="0010606F"/>
    <w:rsid w:val="00106CF3"/>
    <w:rsid w:val="00107907"/>
    <w:rsid w:val="00107A9F"/>
    <w:rsid w:val="001100A0"/>
    <w:rsid w:val="00111C43"/>
    <w:rsid w:val="00112E3A"/>
    <w:rsid w:val="001139C4"/>
    <w:rsid w:val="00122B23"/>
    <w:rsid w:val="00124EE9"/>
    <w:rsid w:val="00131912"/>
    <w:rsid w:val="00137317"/>
    <w:rsid w:val="00137384"/>
    <w:rsid w:val="00137FFA"/>
    <w:rsid w:val="001410E7"/>
    <w:rsid w:val="00146CF4"/>
    <w:rsid w:val="001470FF"/>
    <w:rsid w:val="001501ED"/>
    <w:rsid w:val="001600FC"/>
    <w:rsid w:val="001606BC"/>
    <w:rsid w:val="00165686"/>
    <w:rsid w:val="001676F9"/>
    <w:rsid w:val="00167E26"/>
    <w:rsid w:val="0017055B"/>
    <w:rsid w:val="001746BF"/>
    <w:rsid w:val="00175159"/>
    <w:rsid w:val="00175AD3"/>
    <w:rsid w:val="00177217"/>
    <w:rsid w:val="00180FC9"/>
    <w:rsid w:val="001823EF"/>
    <w:rsid w:val="00182B89"/>
    <w:rsid w:val="00182F10"/>
    <w:rsid w:val="00183DAD"/>
    <w:rsid w:val="00184A9A"/>
    <w:rsid w:val="001877D3"/>
    <w:rsid w:val="00191781"/>
    <w:rsid w:val="001956FF"/>
    <w:rsid w:val="001974DF"/>
    <w:rsid w:val="001A05B1"/>
    <w:rsid w:val="001A6980"/>
    <w:rsid w:val="001B0EBB"/>
    <w:rsid w:val="001B3E78"/>
    <w:rsid w:val="001B484A"/>
    <w:rsid w:val="001B55CE"/>
    <w:rsid w:val="001B5DC2"/>
    <w:rsid w:val="001C3BBA"/>
    <w:rsid w:val="001C43D8"/>
    <w:rsid w:val="001C6D55"/>
    <w:rsid w:val="001C7B98"/>
    <w:rsid w:val="001D0C1D"/>
    <w:rsid w:val="001D3405"/>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11C8"/>
    <w:rsid w:val="00232C17"/>
    <w:rsid w:val="00234B84"/>
    <w:rsid w:val="00234DE9"/>
    <w:rsid w:val="002409A3"/>
    <w:rsid w:val="002410DA"/>
    <w:rsid w:val="002419E6"/>
    <w:rsid w:val="0024379B"/>
    <w:rsid w:val="00246258"/>
    <w:rsid w:val="00246D30"/>
    <w:rsid w:val="002475B4"/>
    <w:rsid w:val="00247C9B"/>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6690B"/>
    <w:rsid w:val="00270A35"/>
    <w:rsid w:val="002818D9"/>
    <w:rsid w:val="00284EF3"/>
    <w:rsid w:val="0029141D"/>
    <w:rsid w:val="00292004"/>
    <w:rsid w:val="002941B4"/>
    <w:rsid w:val="0029709A"/>
    <w:rsid w:val="002A2CB2"/>
    <w:rsid w:val="002A7B9F"/>
    <w:rsid w:val="002A7E7F"/>
    <w:rsid w:val="002B1089"/>
    <w:rsid w:val="002B13FB"/>
    <w:rsid w:val="002B22A8"/>
    <w:rsid w:val="002B74EA"/>
    <w:rsid w:val="002B7754"/>
    <w:rsid w:val="002C0A42"/>
    <w:rsid w:val="002C1B22"/>
    <w:rsid w:val="002C209A"/>
    <w:rsid w:val="002C3B82"/>
    <w:rsid w:val="002C407E"/>
    <w:rsid w:val="002D3326"/>
    <w:rsid w:val="002D4D6D"/>
    <w:rsid w:val="002D54AB"/>
    <w:rsid w:val="002E051A"/>
    <w:rsid w:val="002E21A1"/>
    <w:rsid w:val="002E3BB5"/>
    <w:rsid w:val="002E4430"/>
    <w:rsid w:val="002E6CCC"/>
    <w:rsid w:val="002F1094"/>
    <w:rsid w:val="002F420A"/>
    <w:rsid w:val="002F60E9"/>
    <w:rsid w:val="002F656D"/>
    <w:rsid w:val="002F707C"/>
    <w:rsid w:val="0030017E"/>
    <w:rsid w:val="003033BA"/>
    <w:rsid w:val="00303F15"/>
    <w:rsid w:val="00305891"/>
    <w:rsid w:val="00305F5C"/>
    <w:rsid w:val="003070FD"/>
    <w:rsid w:val="003116BF"/>
    <w:rsid w:val="00311E31"/>
    <w:rsid w:val="003142D9"/>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6F62"/>
    <w:rsid w:val="00367706"/>
    <w:rsid w:val="0037224F"/>
    <w:rsid w:val="00372947"/>
    <w:rsid w:val="00375E2B"/>
    <w:rsid w:val="003800A7"/>
    <w:rsid w:val="00381D5F"/>
    <w:rsid w:val="0038234D"/>
    <w:rsid w:val="00386456"/>
    <w:rsid w:val="0039188D"/>
    <w:rsid w:val="003918C0"/>
    <w:rsid w:val="00392BAF"/>
    <w:rsid w:val="003932DC"/>
    <w:rsid w:val="003956A9"/>
    <w:rsid w:val="003957CA"/>
    <w:rsid w:val="003A0514"/>
    <w:rsid w:val="003A0FA4"/>
    <w:rsid w:val="003A41FF"/>
    <w:rsid w:val="003A4B1E"/>
    <w:rsid w:val="003A4D93"/>
    <w:rsid w:val="003A4F7E"/>
    <w:rsid w:val="003A581E"/>
    <w:rsid w:val="003A6781"/>
    <w:rsid w:val="003B4BA4"/>
    <w:rsid w:val="003B749D"/>
    <w:rsid w:val="003B77F7"/>
    <w:rsid w:val="003C256C"/>
    <w:rsid w:val="003C49EE"/>
    <w:rsid w:val="003C4D17"/>
    <w:rsid w:val="003D2AED"/>
    <w:rsid w:val="003D2FFF"/>
    <w:rsid w:val="003D77D3"/>
    <w:rsid w:val="003E136E"/>
    <w:rsid w:val="003E174F"/>
    <w:rsid w:val="003E62CC"/>
    <w:rsid w:val="003E755F"/>
    <w:rsid w:val="003F1591"/>
    <w:rsid w:val="003F2DA2"/>
    <w:rsid w:val="003F3C8A"/>
    <w:rsid w:val="003F5631"/>
    <w:rsid w:val="00400483"/>
    <w:rsid w:val="00401EF7"/>
    <w:rsid w:val="00403A40"/>
    <w:rsid w:val="00410C57"/>
    <w:rsid w:val="00411141"/>
    <w:rsid w:val="004126D3"/>
    <w:rsid w:val="00415491"/>
    <w:rsid w:val="00415C9E"/>
    <w:rsid w:val="00415DAE"/>
    <w:rsid w:val="0041681D"/>
    <w:rsid w:val="00417A9D"/>
    <w:rsid w:val="00417CF7"/>
    <w:rsid w:val="004207C6"/>
    <w:rsid w:val="0042202D"/>
    <w:rsid w:val="00424B4C"/>
    <w:rsid w:val="0042698D"/>
    <w:rsid w:val="00426992"/>
    <w:rsid w:val="004305E6"/>
    <w:rsid w:val="00435165"/>
    <w:rsid w:val="00435A7C"/>
    <w:rsid w:val="004363DD"/>
    <w:rsid w:val="00436EB4"/>
    <w:rsid w:val="004371B1"/>
    <w:rsid w:val="00440254"/>
    <w:rsid w:val="004416A0"/>
    <w:rsid w:val="004422D6"/>
    <w:rsid w:val="00446A22"/>
    <w:rsid w:val="004515B4"/>
    <w:rsid w:val="004523B8"/>
    <w:rsid w:val="0046006D"/>
    <w:rsid w:val="00464FF3"/>
    <w:rsid w:val="00467232"/>
    <w:rsid w:val="00480EE1"/>
    <w:rsid w:val="00483658"/>
    <w:rsid w:val="00493B3C"/>
    <w:rsid w:val="0049402B"/>
    <w:rsid w:val="00496EDD"/>
    <w:rsid w:val="004A08A8"/>
    <w:rsid w:val="004A2F90"/>
    <w:rsid w:val="004A34D2"/>
    <w:rsid w:val="004A4E5D"/>
    <w:rsid w:val="004B1CEC"/>
    <w:rsid w:val="004B4015"/>
    <w:rsid w:val="004B40B0"/>
    <w:rsid w:val="004B5ABC"/>
    <w:rsid w:val="004B6480"/>
    <w:rsid w:val="004B7530"/>
    <w:rsid w:val="004C064E"/>
    <w:rsid w:val="004C3F00"/>
    <w:rsid w:val="004C68A1"/>
    <w:rsid w:val="004D3D92"/>
    <w:rsid w:val="004D6F87"/>
    <w:rsid w:val="004E0818"/>
    <w:rsid w:val="004E3410"/>
    <w:rsid w:val="004E4273"/>
    <w:rsid w:val="004F1B2B"/>
    <w:rsid w:val="004F5ACE"/>
    <w:rsid w:val="004F6BC8"/>
    <w:rsid w:val="004F6DFE"/>
    <w:rsid w:val="00500B75"/>
    <w:rsid w:val="00501D22"/>
    <w:rsid w:val="0050419F"/>
    <w:rsid w:val="0051074C"/>
    <w:rsid w:val="00513AF2"/>
    <w:rsid w:val="0051714B"/>
    <w:rsid w:val="005175F9"/>
    <w:rsid w:val="00521BD5"/>
    <w:rsid w:val="00523637"/>
    <w:rsid w:val="00524299"/>
    <w:rsid w:val="00524E94"/>
    <w:rsid w:val="00526287"/>
    <w:rsid w:val="00530603"/>
    <w:rsid w:val="005317CF"/>
    <w:rsid w:val="00531BA7"/>
    <w:rsid w:val="005358E8"/>
    <w:rsid w:val="00536209"/>
    <w:rsid w:val="0054119B"/>
    <w:rsid w:val="0054413A"/>
    <w:rsid w:val="00545933"/>
    <w:rsid w:val="00550EE5"/>
    <w:rsid w:val="0055334C"/>
    <w:rsid w:val="00553E74"/>
    <w:rsid w:val="005546DA"/>
    <w:rsid w:val="005564CA"/>
    <w:rsid w:val="0056008D"/>
    <w:rsid w:val="00561092"/>
    <w:rsid w:val="00565771"/>
    <w:rsid w:val="00566A3D"/>
    <w:rsid w:val="00573A49"/>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6B25"/>
    <w:rsid w:val="005B7A31"/>
    <w:rsid w:val="005C0FEE"/>
    <w:rsid w:val="005C20D2"/>
    <w:rsid w:val="005C5176"/>
    <w:rsid w:val="005D0969"/>
    <w:rsid w:val="005D0D8C"/>
    <w:rsid w:val="005D1784"/>
    <w:rsid w:val="005D1B1D"/>
    <w:rsid w:val="005D2F21"/>
    <w:rsid w:val="005D5BAC"/>
    <w:rsid w:val="005E1D2F"/>
    <w:rsid w:val="005E2A4B"/>
    <w:rsid w:val="005E45AE"/>
    <w:rsid w:val="005E57A0"/>
    <w:rsid w:val="005E6249"/>
    <w:rsid w:val="005E6734"/>
    <w:rsid w:val="005F37E4"/>
    <w:rsid w:val="005F63C3"/>
    <w:rsid w:val="005F64B7"/>
    <w:rsid w:val="00604180"/>
    <w:rsid w:val="006048D4"/>
    <w:rsid w:val="00604D12"/>
    <w:rsid w:val="00611EDE"/>
    <w:rsid w:val="00613924"/>
    <w:rsid w:val="006156B8"/>
    <w:rsid w:val="00616AA8"/>
    <w:rsid w:val="00617E23"/>
    <w:rsid w:val="00620D9A"/>
    <w:rsid w:val="006221BF"/>
    <w:rsid w:val="00622929"/>
    <w:rsid w:val="006233C8"/>
    <w:rsid w:val="006244D1"/>
    <w:rsid w:val="00624862"/>
    <w:rsid w:val="00625958"/>
    <w:rsid w:val="00626304"/>
    <w:rsid w:val="006341D3"/>
    <w:rsid w:val="0063426E"/>
    <w:rsid w:val="00634D73"/>
    <w:rsid w:val="006358AA"/>
    <w:rsid w:val="00635D90"/>
    <w:rsid w:val="0063612F"/>
    <w:rsid w:val="006362F6"/>
    <w:rsid w:val="00636ADB"/>
    <w:rsid w:val="00640202"/>
    <w:rsid w:val="00645B79"/>
    <w:rsid w:val="00647642"/>
    <w:rsid w:val="00647FB3"/>
    <w:rsid w:val="00651F4D"/>
    <w:rsid w:val="00654038"/>
    <w:rsid w:val="00654BF5"/>
    <w:rsid w:val="00655371"/>
    <w:rsid w:val="00660D4A"/>
    <w:rsid w:val="00664066"/>
    <w:rsid w:val="00664A41"/>
    <w:rsid w:val="006652C5"/>
    <w:rsid w:val="00665559"/>
    <w:rsid w:val="0066683C"/>
    <w:rsid w:val="006678DC"/>
    <w:rsid w:val="006713FC"/>
    <w:rsid w:val="006739FF"/>
    <w:rsid w:val="00676132"/>
    <w:rsid w:val="006839FB"/>
    <w:rsid w:val="00686F15"/>
    <w:rsid w:val="00690310"/>
    <w:rsid w:val="006913CF"/>
    <w:rsid w:val="006935DC"/>
    <w:rsid w:val="00693D14"/>
    <w:rsid w:val="00695B02"/>
    <w:rsid w:val="00695EA3"/>
    <w:rsid w:val="0069616C"/>
    <w:rsid w:val="00697665"/>
    <w:rsid w:val="006A003C"/>
    <w:rsid w:val="006A03EA"/>
    <w:rsid w:val="006A397F"/>
    <w:rsid w:val="006A5E16"/>
    <w:rsid w:val="006A7FD0"/>
    <w:rsid w:val="006B5BFE"/>
    <w:rsid w:val="006B5F26"/>
    <w:rsid w:val="006B6446"/>
    <w:rsid w:val="006C11EC"/>
    <w:rsid w:val="006C5D24"/>
    <w:rsid w:val="006C6F6C"/>
    <w:rsid w:val="006D005F"/>
    <w:rsid w:val="006D320C"/>
    <w:rsid w:val="006D6D4B"/>
    <w:rsid w:val="006D7687"/>
    <w:rsid w:val="006E0572"/>
    <w:rsid w:val="006E2124"/>
    <w:rsid w:val="006F052E"/>
    <w:rsid w:val="006F05AE"/>
    <w:rsid w:val="006F0D49"/>
    <w:rsid w:val="006F244A"/>
    <w:rsid w:val="006F3AD0"/>
    <w:rsid w:val="006F3C5B"/>
    <w:rsid w:val="006F5204"/>
    <w:rsid w:val="006F5F94"/>
    <w:rsid w:val="006F7416"/>
    <w:rsid w:val="006F7BE3"/>
    <w:rsid w:val="00700417"/>
    <w:rsid w:val="00700637"/>
    <w:rsid w:val="00701506"/>
    <w:rsid w:val="0070168F"/>
    <w:rsid w:val="0070299B"/>
    <w:rsid w:val="00703917"/>
    <w:rsid w:val="0070419B"/>
    <w:rsid w:val="00704F9F"/>
    <w:rsid w:val="00705631"/>
    <w:rsid w:val="00710CFF"/>
    <w:rsid w:val="00710E82"/>
    <w:rsid w:val="00713430"/>
    <w:rsid w:val="007144EF"/>
    <w:rsid w:val="0071460B"/>
    <w:rsid w:val="00717EA0"/>
    <w:rsid w:val="0072351E"/>
    <w:rsid w:val="007246BC"/>
    <w:rsid w:val="007276CA"/>
    <w:rsid w:val="007302DD"/>
    <w:rsid w:val="0073214A"/>
    <w:rsid w:val="0073440A"/>
    <w:rsid w:val="0073557B"/>
    <w:rsid w:val="00736AF6"/>
    <w:rsid w:val="00741FD0"/>
    <w:rsid w:val="00742DD2"/>
    <w:rsid w:val="007464C3"/>
    <w:rsid w:val="00746C97"/>
    <w:rsid w:val="00747283"/>
    <w:rsid w:val="007504FC"/>
    <w:rsid w:val="007508F1"/>
    <w:rsid w:val="00750E95"/>
    <w:rsid w:val="00750F6A"/>
    <w:rsid w:val="0075378F"/>
    <w:rsid w:val="00754877"/>
    <w:rsid w:val="00754A02"/>
    <w:rsid w:val="0075647A"/>
    <w:rsid w:val="00760BD6"/>
    <w:rsid w:val="007611C4"/>
    <w:rsid w:val="007634AD"/>
    <w:rsid w:val="00764473"/>
    <w:rsid w:val="00770C09"/>
    <w:rsid w:val="00775FF9"/>
    <w:rsid w:val="0077777E"/>
    <w:rsid w:val="0078122E"/>
    <w:rsid w:val="00785FE5"/>
    <w:rsid w:val="007901EB"/>
    <w:rsid w:val="0079027B"/>
    <w:rsid w:val="00790E5D"/>
    <w:rsid w:val="007912F2"/>
    <w:rsid w:val="00793831"/>
    <w:rsid w:val="00797A23"/>
    <w:rsid w:val="007A2B3C"/>
    <w:rsid w:val="007A535A"/>
    <w:rsid w:val="007A65FC"/>
    <w:rsid w:val="007B024B"/>
    <w:rsid w:val="007B0854"/>
    <w:rsid w:val="007B189F"/>
    <w:rsid w:val="007B3077"/>
    <w:rsid w:val="007B4FF4"/>
    <w:rsid w:val="007B5076"/>
    <w:rsid w:val="007B5792"/>
    <w:rsid w:val="007C0005"/>
    <w:rsid w:val="007C1CD2"/>
    <w:rsid w:val="007C5074"/>
    <w:rsid w:val="007C556D"/>
    <w:rsid w:val="007C6E6A"/>
    <w:rsid w:val="007C7894"/>
    <w:rsid w:val="007D67B0"/>
    <w:rsid w:val="007E4A10"/>
    <w:rsid w:val="007E76DE"/>
    <w:rsid w:val="007E793E"/>
    <w:rsid w:val="007F2F65"/>
    <w:rsid w:val="007F6B5F"/>
    <w:rsid w:val="007F6E4B"/>
    <w:rsid w:val="007F72CB"/>
    <w:rsid w:val="007F7889"/>
    <w:rsid w:val="00801AC5"/>
    <w:rsid w:val="00803048"/>
    <w:rsid w:val="0080324F"/>
    <w:rsid w:val="00804FEB"/>
    <w:rsid w:val="00807423"/>
    <w:rsid w:val="00811C9C"/>
    <w:rsid w:val="00814BCE"/>
    <w:rsid w:val="00814ED2"/>
    <w:rsid w:val="00814F99"/>
    <w:rsid w:val="00816739"/>
    <w:rsid w:val="008212B7"/>
    <w:rsid w:val="0082279C"/>
    <w:rsid w:val="00822F3D"/>
    <w:rsid w:val="00823963"/>
    <w:rsid w:val="008248AA"/>
    <w:rsid w:val="008250D2"/>
    <w:rsid w:val="00825115"/>
    <w:rsid w:val="008258CF"/>
    <w:rsid w:val="00830385"/>
    <w:rsid w:val="00830CDE"/>
    <w:rsid w:val="0083119B"/>
    <w:rsid w:val="0083254D"/>
    <w:rsid w:val="00832C7F"/>
    <w:rsid w:val="0083363F"/>
    <w:rsid w:val="00836EAB"/>
    <w:rsid w:val="00840C17"/>
    <w:rsid w:val="0084429A"/>
    <w:rsid w:val="0085092D"/>
    <w:rsid w:val="008522FB"/>
    <w:rsid w:val="00852EBF"/>
    <w:rsid w:val="008552FB"/>
    <w:rsid w:val="008566F8"/>
    <w:rsid w:val="0085720F"/>
    <w:rsid w:val="008639E7"/>
    <w:rsid w:val="0086672C"/>
    <w:rsid w:val="008668CA"/>
    <w:rsid w:val="008701A2"/>
    <w:rsid w:val="00871196"/>
    <w:rsid w:val="00872A43"/>
    <w:rsid w:val="00873912"/>
    <w:rsid w:val="00875624"/>
    <w:rsid w:val="00877E95"/>
    <w:rsid w:val="00881840"/>
    <w:rsid w:val="008820D9"/>
    <w:rsid w:val="00882B32"/>
    <w:rsid w:val="00882FBB"/>
    <w:rsid w:val="008866E2"/>
    <w:rsid w:val="00886854"/>
    <w:rsid w:val="0088761D"/>
    <w:rsid w:val="0089026E"/>
    <w:rsid w:val="00891114"/>
    <w:rsid w:val="00893DA8"/>
    <w:rsid w:val="008957F9"/>
    <w:rsid w:val="008A0E32"/>
    <w:rsid w:val="008A2287"/>
    <w:rsid w:val="008B14DE"/>
    <w:rsid w:val="008B5052"/>
    <w:rsid w:val="008B540B"/>
    <w:rsid w:val="008B573F"/>
    <w:rsid w:val="008B5A7F"/>
    <w:rsid w:val="008B6C27"/>
    <w:rsid w:val="008C5043"/>
    <w:rsid w:val="008C5076"/>
    <w:rsid w:val="008D16FC"/>
    <w:rsid w:val="008D1A50"/>
    <w:rsid w:val="008D280F"/>
    <w:rsid w:val="008D55B2"/>
    <w:rsid w:val="008D7C48"/>
    <w:rsid w:val="008E15D0"/>
    <w:rsid w:val="008E197C"/>
    <w:rsid w:val="008E1C15"/>
    <w:rsid w:val="008E3D30"/>
    <w:rsid w:val="008E5170"/>
    <w:rsid w:val="008E541E"/>
    <w:rsid w:val="008E58F0"/>
    <w:rsid w:val="008E5A50"/>
    <w:rsid w:val="008E66DF"/>
    <w:rsid w:val="008F0915"/>
    <w:rsid w:val="008F1081"/>
    <w:rsid w:val="008F37B6"/>
    <w:rsid w:val="008F3EB4"/>
    <w:rsid w:val="008F6A28"/>
    <w:rsid w:val="008F7FD6"/>
    <w:rsid w:val="00900B9E"/>
    <w:rsid w:val="009047C5"/>
    <w:rsid w:val="00904AF1"/>
    <w:rsid w:val="00904ECB"/>
    <w:rsid w:val="0090545B"/>
    <w:rsid w:val="00906480"/>
    <w:rsid w:val="0091455C"/>
    <w:rsid w:val="009155EA"/>
    <w:rsid w:val="00921D38"/>
    <w:rsid w:val="009228F3"/>
    <w:rsid w:val="00922D56"/>
    <w:rsid w:val="00925566"/>
    <w:rsid w:val="00925BE9"/>
    <w:rsid w:val="00927C0F"/>
    <w:rsid w:val="0093384C"/>
    <w:rsid w:val="00935A2D"/>
    <w:rsid w:val="0094233A"/>
    <w:rsid w:val="00945D4E"/>
    <w:rsid w:val="0094641D"/>
    <w:rsid w:val="00947539"/>
    <w:rsid w:val="00950C4E"/>
    <w:rsid w:val="0095385A"/>
    <w:rsid w:val="00955413"/>
    <w:rsid w:val="0095571D"/>
    <w:rsid w:val="00955F41"/>
    <w:rsid w:val="0096050B"/>
    <w:rsid w:val="009606E0"/>
    <w:rsid w:val="0096071B"/>
    <w:rsid w:val="00963D72"/>
    <w:rsid w:val="00967962"/>
    <w:rsid w:val="009721E6"/>
    <w:rsid w:val="0097455A"/>
    <w:rsid w:val="00980514"/>
    <w:rsid w:val="009823C6"/>
    <w:rsid w:val="0098485F"/>
    <w:rsid w:val="009875B8"/>
    <w:rsid w:val="009933FD"/>
    <w:rsid w:val="00996E00"/>
    <w:rsid w:val="00997084"/>
    <w:rsid w:val="009A0375"/>
    <w:rsid w:val="009A1768"/>
    <w:rsid w:val="009A3BF9"/>
    <w:rsid w:val="009A52AA"/>
    <w:rsid w:val="009B1241"/>
    <w:rsid w:val="009C19F6"/>
    <w:rsid w:val="009C2731"/>
    <w:rsid w:val="009C53DB"/>
    <w:rsid w:val="009C6F2E"/>
    <w:rsid w:val="009D22EB"/>
    <w:rsid w:val="009D2DE6"/>
    <w:rsid w:val="009D36E9"/>
    <w:rsid w:val="009D46D8"/>
    <w:rsid w:val="009D54EC"/>
    <w:rsid w:val="009D5A1F"/>
    <w:rsid w:val="009D7209"/>
    <w:rsid w:val="009E182F"/>
    <w:rsid w:val="009E2A00"/>
    <w:rsid w:val="009E4551"/>
    <w:rsid w:val="009E73B5"/>
    <w:rsid w:val="009F0EAF"/>
    <w:rsid w:val="009F4136"/>
    <w:rsid w:val="009F4333"/>
    <w:rsid w:val="009F48F4"/>
    <w:rsid w:val="009F5D49"/>
    <w:rsid w:val="009F6E1F"/>
    <w:rsid w:val="009F7CCD"/>
    <w:rsid w:val="00A00FAE"/>
    <w:rsid w:val="00A03179"/>
    <w:rsid w:val="00A032E4"/>
    <w:rsid w:val="00A03364"/>
    <w:rsid w:val="00A05FF2"/>
    <w:rsid w:val="00A0718D"/>
    <w:rsid w:val="00A07EEB"/>
    <w:rsid w:val="00A1387B"/>
    <w:rsid w:val="00A139F2"/>
    <w:rsid w:val="00A1714F"/>
    <w:rsid w:val="00A211FC"/>
    <w:rsid w:val="00A24560"/>
    <w:rsid w:val="00A24EF7"/>
    <w:rsid w:val="00A3196D"/>
    <w:rsid w:val="00A34538"/>
    <w:rsid w:val="00A37884"/>
    <w:rsid w:val="00A456B2"/>
    <w:rsid w:val="00A515E6"/>
    <w:rsid w:val="00A51AA1"/>
    <w:rsid w:val="00A542A7"/>
    <w:rsid w:val="00A605AF"/>
    <w:rsid w:val="00A617A0"/>
    <w:rsid w:val="00A62ADA"/>
    <w:rsid w:val="00A63500"/>
    <w:rsid w:val="00A64EAE"/>
    <w:rsid w:val="00A65B7F"/>
    <w:rsid w:val="00A667D7"/>
    <w:rsid w:val="00A67218"/>
    <w:rsid w:val="00A70DE5"/>
    <w:rsid w:val="00A71686"/>
    <w:rsid w:val="00A737E6"/>
    <w:rsid w:val="00A7446C"/>
    <w:rsid w:val="00A80765"/>
    <w:rsid w:val="00A850E7"/>
    <w:rsid w:val="00A947EE"/>
    <w:rsid w:val="00A975D9"/>
    <w:rsid w:val="00AA1802"/>
    <w:rsid w:val="00AA1D5A"/>
    <w:rsid w:val="00AA2184"/>
    <w:rsid w:val="00AA23B9"/>
    <w:rsid w:val="00AA442B"/>
    <w:rsid w:val="00AA4FB7"/>
    <w:rsid w:val="00AA753E"/>
    <w:rsid w:val="00AC04D1"/>
    <w:rsid w:val="00AC5186"/>
    <w:rsid w:val="00AC63A3"/>
    <w:rsid w:val="00AC6C82"/>
    <w:rsid w:val="00AD0DBE"/>
    <w:rsid w:val="00AE1106"/>
    <w:rsid w:val="00AE170B"/>
    <w:rsid w:val="00AE27A7"/>
    <w:rsid w:val="00AE6988"/>
    <w:rsid w:val="00AE74BA"/>
    <w:rsid w:val="00AF1C89"/>
    <w:rsid w:val="00AF3754"/>
    <w:rsid w:val="00AF3810"/>
    <w:rsid w:val="00AF3C99"/>
    <w:rsid w:val="00AF48A6"/>
    <w:rsid w:val="00AF5DB0"/>
    <w:rsid w:val="00B011AD"/>
    <w:rsid w:val="00B041C1"/>
    <w:rsid w:val="00B04570"/>
    <w:rsid w:val="00B04E5A"/>
    <w:rsid w:val="00B05082"/>
    <w:rsid w:val="00B05685"/>
    <w:rsid w:val="00B05905"/>
    <w:rsid w:val="00B06DB6"/>
    <w:rsid w:val="00B07020"/>
    <w:rsid w:val="00B07C93"/>
    <w:rsid w:val="00B104FB"/>
    <w:rsid w:val="00B13853"/>
    <w:rsid w:val="00B172AB"/>
    <w:rsid w:val="00B20E92"/>
    <w:rsid w:val="00B211A2"/>
    <w:rsid w:val="00B21853"/>
    <w:rsid w:val="00B22E22"/>
    <w:rsid w:val="00B33DF3"/>
    <w:rsid w:val="00B375EF"/>
    <w:rsid w:val="00B4148A"/>
    <w:rsid w:val="00B42D84"/>
    <w:rsid w:val="00B44319"/>
    <w:rsid w:val="00B47E74"/>
    <w:rsid w:val="00B52277"/>
    <w:rsid w:val="00B525CB"/>
    <w:rsid w:val="00B52845"/>
    <w:rsid w:val="00B56DED"/>
    <w:rsid w:val="00B606AE"/>
    <w:rsid w:val="00B60E21"/>
    <w:rsid w:val="00B6141C"/>
    <w:rsid w:val="00B61C19"/>
    <w:rsid w:val="00B63CB2"/>
    <w:rsid w:val="00B64D86"/>
    <w:rsid w:val="00B7127D"/>
    <w:rsid w:val="00B71667"/>
    <w:rsid w:val="00B725F6"/>
    <w:rsid w:val="00B728A5"/>
    <w:rsid w:val="00B73DEE"/>
    <w:rsid w:val="00B745E8"/>
    <w:rsid w:val="00B7508D"/>
    <w:rsid w:val="00B765CD"/>
    <w:rsid w:val="00B81B34"/>
    <w:rsid w:val="00B8232B"/>
    <w:rsid w:val="00B82A8E"/>
    <w:rsid w:val="00B841C8"/>
    <w:rsid w:val="00B84CB5"/>
    <w:rsid w:val="00B85735"/>
    <w:rsid w:val="00B862F6"/>
    <w:rsid w:val="00B9264D"/>
    <w:rsid w:val="00B959E7"/>
    <w:rsid w:val="00B97181"/>
    <w:rsid w:val="00B97FF3"/>
    <w:rsid w:val="00BA028A"/>
    <w:rsid w:val="00BA09D6"/>
    <w:rsid w:val="00BA5652"/>
    <w:rsid w:val="00BB0477"/>
    <w:rsid w:val="00BB12D1"/>
    <w:rsid w:val="00BB226F"/>
    <w:rsid w:val="00BB2EC5"/>
    <w:rsid w:val="00BB4ECC"/>
    <w:rsid w:val="00BB567C"/>
    <w:rsid w:val="00BB73C3"/>
    <w:rsid w:val="00BB755B"/>
    <w:rsid w:val="00BB76C8"/>
    <w:rsid w:val="00BC0435"/>
    <w:rsid w:val="00BC0553"/>
    <w:rsid w:val="00BC17AA"/>
    <w:rsid w:val="00BC2763"/>
    <w:rsid w:val="00BC2896"/>
    <w:rsid w:val="00BC56BA"/>
    <w:rsid w:val="00BC5A6A"/>
    <w:rsid w:val="00BD1364"/>
    <w:rsid w:val="00BD24F7"/>
    <w:rsid w:val="00BD4192"/>
    <w:rsid w:val="00BD5028"/>
    <w:rsid w:val="00BD5B82"/>
    <w:rsid w:val="00BD5D80"/>
    <w:rsid w:val="00BD6190"/>
    <w:rsid w:val="00BD78FE"/>
    <w:rsid w:val="00BE22FC"/>
    <w:rsid w:val="00BE60D0"/>
    <w:rsid w:val="00BE704E"/>
    <w:rsid w:val="00BF0970"/>
    <w:rsid w:val="00BF2545"/>
    <w:rsid w:val="00BF27E9"/>
    <w:rsid w:val="00BF4330"/>
    <w:rsid w:val="00BF4E81"/>
    <w:rsid w:val="00BF7D79"/>
    <w:rsid w:val="00BF7EFE"/>
    <w:rsid w:val="00C02F60"/>
    <w:rsid w:val="00C041A1"/>
    <w:rsid w:val="00C0607F"/>
    <w:rsid w:val="00C06443"/>
    <w:rsid w:val="00C07F86"/>
    <w:rsid w:val="00C11FB6"/>
    <w:rsid w:val="00C12677"/>
    <w:rsid w:val="00C1503B"/>
    <w:rsid w:val="00C1508A"/>
    <w:rsid w:val="00C157B3"/>
    <w:rsid w:val="00C2341D"/>
    <w:rsid w:val="00C2713D"/>
    <w:rsid w:val="00C31F87"/>
    <w:rsid w:val="00C33B1D"/>
    <w:rsid w:val="00C33C41"/>
    <w:rsid w:val="00C37CD6"/>
    <w:rsid w:val="00C41534"/>
    <w:rsid w:val="00C44259"/>
    <w:rsid w:val="00C449B5"/>
    <w:rsid w:val="00C467D5"/>
    <w:rsid w:val="00C525B1"/>
    <w:rsid w:val="00C61414"/>
    <w:rsid w:val="00C71B25"/>
    <w:rsid w:val="00C74E01"/>
    <w:rsid w:val="00C7673C"/>
    <w:rsid w:val="00C80B17"/>
    <w:rsid w:val="00C80CC4"/>
    <w:rsid w:val="00C846CA"/>
    <w:rsid w:val="00C857EB"/>
    <w:rsid w:val="00C871F2"/>
    <w:rsid w:val="00C878AF"/>
    <w:rsid w:val="00C93BC4"/>
    <w:rsid w:val="00CA0BCB"/>
    <w:rsid w:val="00CA287E"/>
    <w:rsid w:val="00CB2EE0"/>
    <w:rsid w:val="00CB373A"/>
    <w:rsid w:val="00CB4BA0"/>
    <w:rsid w:val="00CB5220"/>
    <w:rsid w:val="00CB55AE"/>
    <w:rsid w:val="00CC00CD"/>
    <w:rsid w:val="00CC17D1"/>
    <w:rsid w:val="00CC25D4"/>
    <w:rsid w:val="00CC2924"/>
    <w:rsid w:val="00CC55CA"/>
    <w:rsid w:val="00CC7AF3"/>
    <w:rsid w:val="00CC7BF7"/>
    <w:rsid w:val="00CD29EC"/>
    <w:rsid w:val="00CD4BD4"/>
    <w:rsid w:val="00CD50BF"/>
    <w:rsid w:val="00CD5662"/>
    <w:rsid w:val="00CE302E"/>
    <w:rsid w:val="00CE3D07"/>
    <w:rsid w:val="00CE5926"/>
    <w:rsid w:val="00CE5E8A"/>
    <w:rsid w:val="00CF16F1"/>
    <w:rsid w:val="00CF1B42"/>
    <w:rsid w:val="00CF1DE5"/>
    <w:rsid w:val="00CF3376"/>
    <w:rsid w:val="00CF6C19"/>
    <w:rsid w:val="00D02615"/>
    <w:rsid w:val="00D05F08"/>
    <w:rsid w:val="00D060D9"/>
    <w:rsid w:val="00D06F4E"/>
    <w:rsid w:val="00D10462"/>
    <w:rsid w:val="00D12206"/>
    <w:rsid w:val="00D12D5A"/>
    <w:rsid w:val="00D1409A"/>
    <w:rsid w:val="00D15F65"/>
    <w:rsid w:val="00D166ED"/>
    <w:rsid w:val="00D16E39"/>
    <w:rsid w:val="00D1742A"/>
    <w:rsid w:val="00D206E0"/>
    <w:rsid w:val="00D22C78"/>
    <w:rsid w:val="00D2317B"/>
    <w:rsid w:val="00D23C6A"/>
    <w:rsid w:val="00D30F2E"/>
    <w:rsid w:val="00D3287F"/>
    <w:rsid w:val="00D34BCF"/>
    <w:rsid w:val="00D35852"/>
    <w:rsid w:val="00D41929"/>
    <w:rsid w:val="00D41B41"/>
    <w:rsid w:val="00D44542"/>
    <w:rsid w:val="00D44F0A"/>
    <w:rsid w:val="00D45D55"/>
    <w:rsid w:val="00D45EEC"/>
    <w:rsid w:val="00D52976"/>
    <w:rsid w:val="00D562FD"/>
    <w:rsid w:val="00D6191F"/>
    <w:rsid w:val="00D704A0"/>
    <w:rsid w:val="00D7084A"/>
    <w:rsid w:val="00D72434"/>
    <w:rsid w:val="00D72E9D"/>
    <w:rsid w:val="00D735B3"/>
    <w:rsid w:val="00D805B5"/>
    <w:rsid w:val="00D82CE5"/>
    <w:rsid w:val="00D83433"/>
    <w:rsid w:val="00D835DE"/>
    <w:rsid w:val="00D84B15"/>
    <w:rsid w:val="00D85416"/>
    <w:rsid w:val="00D8715A"/>
    <w:rsid w:val="00D91972"/>
    <w:rsid w:val="00D929D2"/>
    <w:rsid w:val="00D92AE4"/>
    <w:rsid w:val="00D9409C"/>
    <w:rsid w:val="00DA04A8"/>
    <w:rsid w:val="00DA1A54"/>
    <w:rsid w:val="00DA247F"/>
    <w:rsid w:val="00DA2867"/>
    <w:rsid w:val="00DA3E41"/>
    <w:rsid w:val="00DA40B9"/>
    <w:rsid w:val="00DA41EF"/>
    <w:rsid w:val="00DA5AB1"/>
    <w:rsid w:val="00DA628E"/>
    <w:rsid w:val="00DA66DC"/>
    <w:rsid w:val="00DB3E34"/>
    <w:rsid w:val="00DB47CE"/>
    <w:rsid w:val="00DC14ED"/>
    <w:rsid w:val="00DC37CA"/>
    <w:rsid w:val="00DC61AE"/>
    <w:rsid w:val="00DC62E5"/>
    <w:rsid w:val="00DD3749"/>
    <w:rsid w:val="00DD5D6D"/>
    <w:rsid w:val="00DD735D"/>
    <w:rsid w:val="00DD76E7"/>
    <w:rsid w:val="00DE0165"/>
    <w:rsid w:val="00DE3119"/>
    <w:rsid w:val="00DF1911"/>
    <w:rsid w:val="00DF1D7F"/>
    <w:rsid w:val="00DF236B"/>
    <w:rsid w:val="00DF23C3"/>
    <w:rsid w:val="00DF49D0"/>
    <w:rsid w:val="00DF68EA"/>
    <w:rsid w:val="00E00354"/>
    <w:rsid w:val="00E01C96"/>
    <w:rsid w:val="00E07C89"/>
    <w:rsid w:val="00E10662"/>
    <w:rsid w:val="00E13AB8"/>
    <w:rsid w:val="00E14B7A"/>
    <w:rsid w:val="00E153BC"/>
    <w:rsid w:val="00E20D99"/>
    <w:rsid w:val="00E23B95"/>
    <w:rsid w:val="00E2472C"/>
    <w:rsid w:val="00E275B7"/>
    <w:rsid w:val="00E33B62"/>
    <w:rsid w:val="00E33D54"/>
    <w:rsid w:val="00E41962"/>
    <w:rsid w:val="00E41FFD"/>
    <w:rsid w:val="00E45D0D"/>
    <w:rsid w:val="00E46676"/>
    <w:rsid w:val="00E47C8D"/>
    <w:rsid w:val="00E50CC8"/>
    <w:rsid w:val="00E537BA"/>
    <w:rsid w:val="00E53AA3"/>
    <w:rsid w:val="00E54157"/>
    <w:rsid w:val="00E55936"/>
    <w:rsid w:val="00E57BE1"/>
    <w:rsid w:val="00E612C4"/>
    <w:rsid w:val="00E63CE1"/>
    <w:rsid w:val="00E65C4D"/>
    <w:rsid w:val="00E6688D"/>
    <w:rsid w:val="00E67FB4"/>
    <w:rsid w:val="00E70E8F"/>
    <w:rsid w:val="00E71097"/>
    <w:rsid w:val="00E719C4"/>
    <w:rsid w:val="00E72CB0"/>
    <w:rsid w:val="00E73B9B"/>
    <w:rsid w:val="00E75AA7"/>
    <w:rsid w:val="00E7650B"/>
    <w:rsid w:val="00E80D5C"/>
    <w:rsid w:val="00E8248F"/>
    <w:rsid w:val="00E839DE"/>
    <w:rsid w:val="00E92505"/>
    <w:rsid w:val="00E93B7C"/>
    <w:rsid w:val="00E96FEF"/>
    <w:rsid w:val="00E9736C"/>
    <w:rsid w:val="00EA0305"/>
    <w:rsid w:val="00EA5734"/>
    <w:rsid w:val="00EA6172"/>
    <w:rsid w:val="00EB4C32"/>
    <w:rsid w:val="00EB52F9"/>
    <w:rsid w:val="00EB56E7"/>
    <w:rsid w:val="00EB5E43"/>
    <w:rsid w:val="00EB6EED"/>
    <w:rsid w:val="00EB6FDF"/>
    <w:rsid w:val="00EB7A4F"/>
    <w:rsid w:val="00EC09DC"/>
    <w:rsid w:val="00EC6F95"/>
    <w:rsid w:val="00EC7AB6"/>
    <w:rsid w:val="00EC7ECE"/>
    <w:rsid w:val="00ED188C"/>
    <w:rsid w:val="00ED4B0B"/>
    <w:rsid w:val="00ED7016"/>
    <w:rsid w:val="00EE1ECA"/>
    <w:rsid w:val="00EE2950"/>
    <w:rsid w:val="00EE3756"/>
    <w:rsid w:val="00EE38D3"/>
    <w:rsid w:val="00EE3A7F"/>
    <w:rsid w:val="00EE5C04"/>
    <w:rsid w:val="00EE5E75"/>
    <w:rsid w:val="00EE61A7"/>
    <w:rsid w:val="00EE6BB2"/>
    <w:rsid w:val="00EF0642"/>
    <w:rsid w:val="00EF3464"/>
    <w:rsid w:val="00EF77D0"/>
    <w:rsid w:val="00F03F66"/>
    <w:rsid w:val="00F05587"/>
    <w:rsid w:val="00F1150C"/>
    <w:rsid w:val="00F1336F"/>
    <w:rsid w:val="00F147B5"/>
    <w:rsid w:val="00F15F29"/>
    <w:rsid w:val="00F16C24"/>
    <w:rsid w:val="00F20EE9"/>
    <w:rsid w:val="00F2125B"/>
    <w:rsid w:val="00F24959"/>
    <w:rsid w:val="00F25A7F"/>
    <w:rsid w:val="00F25FB2"/>
    <w:rsid w:val="00F35E5B"/>
    <w:rsid w:val="00F361AA"/>
    <w:rsid w:val="00F419DB"/>
    <w:rsid w:val="00F43B09"/>
    <w:rsid w:val="00F44584"/>
    <w:rsid w:val="00F455CE"/>
    <w:rsid w:val="00F46295"/>
    <w:rsid w:val="00F4748A"/>
    <w:rsid w:val="00F5169E"/>
    <w:rsid w:val="00F536F9"/>
    <w:rsid w:val="00F572FF"/>
    <w:rsid w:val="00F610DD"/>
    <w:rsid w:val="00F64F23"/>
    <w:rsid w:val="00F654D5"/>
    <w:rsid w:val="00F70B2A"/>
    <w:rsid w:val="00F84899"/>
    <w:rsid w:val="00F851BD"/>
    <w:rsid w:val="00F859F0"/>
    <w:rsid w:val="00F85BA1"/>
    <w:rsid w:val="00F90188"/>
    <w:rsid w:val="00F90EFE"/>
    <w:rsid w:val="00F90FA9"/>
    <w:rsid w:val="00F9437D"/>
    <w:rsid w:val="00F95785"/>
    <w:rsid w:val="00F957F4"/>
    <w:rsid w:val="00FA0F93"/>
    <w:rsid w:val="00FA2385"/>
    <w:rsid w:val="00FA5544"/>
    <w:rsid w:val="00FA7267"/>
    <w:rsid w:val="00FB016F"/>
    <w:rsid w:val="00FB1066"/>
    <w:rsid w:val="00FB16F4"/>
    <w:rsid w:val="00FB1A15"/>
    <w:rsid w:val="00FB29E0"/>
    <w:rsid w:val="00FC08BA"/>
    <w:rsid w:val="00FC2F62"/>
    <w:rsid w:val="00FC34A0"/>
    <w:rsid w:val="00FC5FAF"/>
    <w:rsid w:val="00FC7599"/>
    <w:rsid w:val="00FD23EB"/>
    <w:rsid w:val="00FD2F3D"/>
    <w:rsid w:val="00FD5B88"/>
    <w:rsid w:val="00FD72D9"/>
    <w:rsid w:val="00FD737C"/>
    <w:rsid w:val="00FE12E4"/>
    <w:rsid w:val="00FE141E"/>
    <w:rsid w:val="00FE517A"/>
    <w:rsid w:val="00FE5A92"/>
    <w:rsid w:val="00FE5E73"/>
    <w:rsid w:val="00FE6A0D"/>
    <w:rsid w:val="00FF0E1F"/>
    <w:rsid w:val="00FF0F94"/>
    <w:rsid w:val="00FF3927"/>
    <w:rsid w:val="00FF3B12"/>
    <w:rsid w:val="00FF41F4"/>
    <w:rsid w:val="00FF764A"/>
    <w:rsid w:val="1D8946CE"/>
    <w:rsid w:val="2B4A71B1"/>
    <w:rsid w:val="307B3D81"/>
    <w:rsid w:val="30D1FDA0"/>
    <w:rsid w:val="34E4CC3D"/>
    <w:rsid w:val="3FB0ED2D"/>
    <w:rsid w:val="50BC7C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D3"/>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EA5734"/>
    <w:pPr>
      <w:keepNext/>
      <w:keepLines/>
      <w:spacing w:before="40"/>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Batang"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Batang"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Batang"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Batang"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Batang"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Batang"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character" w:customStyle="1" w:styleId="Mencinsinresolver1">
    <w:name w:val="Mención sin resolver1"/>
    <w:basedOn w:val="Fuentedeprrafopredeter"/>
    <w:uiPriority w:val="99"/>
    <w:semiHidden/>
    <w:unhideWhenUsed/>
    <w:rsid w:val="00625958"/>
    <w:rPr>
      <w:color w:val="605E5C"/>
      <w:shd w:val="clear" w:color="auto" w:fill="E1DFDD"/>
    </w:rPr>
  </w:style>
  <w:style w:type="table" w:customStyle="1" w:styleId="Tablaconcuadrcula1">
    <w:name w:val="Tabla con cuadrícula1"/>
    <w:basedOn w:val="Tablanormal"/>
    <w:next w:val="Tablaconcuadrcula"/>
    <w:uiPriority w:val="59"/>
    <w:rsid w:val="00B211A2"/>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CD29EC"/>
    <w:pPr>
      <w:spacing w:after="160" w:line="240" w:lineRule="exact"/>
    </w:pPr>
    <w:rPr>
      <w:rFonts w:asciiTheme="minorHAnsi" w:eastAsia="Batang" w:hAnsiTheme="minorHAnsi" w:cstheme="minorBidi"/>
      <w:sz w:val="22"/>
      <w:szCs w:val="22"/>
      <w:vertAlign w:val="superscript"/>
      <w:lang w:eastAsia="en-US"/>
    </w:rPr>
  </w:style>
  <w:style w:type="character" w:styleId="Mencinsinresolver">
    <w:name w:val="Unresolved Mention"/>
    <w:basedOn w:val="Fuentedeprrafopredeter"/>
    <w:uiPriority w:val="99"/>
    <w:semiHidden/>
    <w:unhideWhenUsed/>
    <w:rsid w:val="003A4B1E"/>
    <w:rPr>
      <w:color w:val="605E5C"/>
      <w:shd w:val="clear" w:color="auto" w:fill="E1DFDD"/>
    </w:rPr>
  </w:style>
  <w:style w:type="character" w:customStyle="1" w:styleId="normaltextrun">
    <w:name w:val="normaltextrun"/>
    <w:basedOn w:val="Fuentedeprrafopredeter"/>
    <w:rsid w:val="001A05B1"/>
  </w:style>
  <w:style w:type="character" w:customStyle="1" w:styleId="Ttulo2Car">
    <w:name w:val="Título 2 Car"/>
    <w:basedOn w:val="Fuentedeprrafopredeter"/>
    <w:link w:val="Ttulo2"/>
    <w:uiPriority w:val="9"/>
    <w:semiHidden/>
    <w:rsid w:val="00EA5734"/>
    <w:rPr>
      <w:rFonts w:asciiTheme="majorHAnsi" w:eastAsiaTheme="majorEastAsia" w:hAnsiTheme="majorHAnsi" w:cstheme="majorBidi"/>
      <w:color w:val="365F91" w:themeColor="accent1" w:themeShade="BF"/>
      <w:sz w:val="26"/>
      <w:szCs w:val="26"/>
      <w:lang w:val="es-MX"/>
    </w:rPr>
  </w:style>
  <w:style w:type="character" w:customStyle="1" w:styleId="eop">
    <w:name w:val="eop"/>
    <w:basedOn w:val="Fuentedeprrafopredeter"/>
    <w:rsid w:val="001877D3"/>
  </w:style>
  <w:style w:type="paragraph" w:customStyle="1" w:styleId="Normal11pt">
    <w:name w:val="Normal + 11 pt"/>
    <w:aliases w:val="Negro,Justificado,Izquierda:  -0,95 cm,Derecha:  0,04 cm"/>
    <w:basedOn w:val="Normal"/>
    <w:uiPriority w:val="99"/>
    <w:rsid w:val="007144EF"/>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7865">
      <w:bodyDiv w:val="1"/>
      <w:marLeft w:val="0"/>
      <w:marRight w:val="0"/>
      <w:marTop w:val="0"/>
      <w:marBottom w:val="0"/>
      <w:divBdr>
        <w:top w:val="none" w:sz="0" w:space="0" w:color="auto"/>
        <w:left w:val="none" w:sz="0" w:space="0" w:color="auto"/>
        <w:bottom w:val="none" w:sz="0" w:space="0" w:color="auto"/>
        <w:right w:val="none" w:sz="0" w:space="0" w:color="auto"/>
      </w:divBdr>
    </w:div>
    <w:div w:id="125662627">
      <w:bodyDiv w:val="1"/>
      <w:marLeft w:val="0"/>
      <w:marRight w:val="0"/>
      <w:marTop w:val="0"/>
      <w:marBottom w:val="0"/>
      <w:divBdr>
        <w:top w:val="none" w:sz="0" w:space="0" w:color="auto"/>
        <w:left w:val="none" w:sz="0" w:space="0" w:color="auto"/>
        <w:bottom w:val="none" w:sz="0" w:space="0" w:color="auto"/>
        <w:right w:val="none" w:sz="0" w:space="0" w:color="auto"/>
      </w:divBdr>
    </w:div>
    <w:div w:id="144710094">
      <w:bodyDiv w:val="1"/>
      <w:marLeft w:val="0"/>
      <w:marRight w:val="0"/>
      <w:marTop w:val="0"/>
      <w:marBottom w:val="0"/>
      <w:divBdr>
        <w:top w:val="none" w:sz="0" w:space="0" w:color="auto"/>
        <w:left w:val="none" w:sz="0" w:space="0" w:color="auto"/>
        <w:bottom w:val="none" w:sz="0" w:space="0" w:color="auto"/>
        <w:right w:val="none" w:sz="0" w:space="0" w:color="auto"/>
      </w:divBdr>
    </w:div>
    <w:div w:id="2326180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400255131">
      <w:bodyDiv w:val="1"/>
      <w:marLeft w:val="0"/>
      <w:marRight w:val="0"/>
      <w:marTop w:val="0"/>
      <w:marBottom w:val="0"/>
      <w:divBdr>
        <w:top w:val="none" w:sz="0" w:space="0" w:color="auto"/>
        <w:left w:val="none" w:sz="0" w:space="0" w:color="auto"/>
        <w:bottom w:val="none" w:sz="0" w:space="0" w:color="auto"/>
        <w:right w:val="none" w:sz="0" w:space="0" w:color="auto"/>
      </w:divBdr>
    </w:div>
    <w:div w:id="459886334">
      <w:bodyDiv w:val="1"/>
      <w:marLeft w:val="0"/>
      <w:marRight w:val="0"/>
      <w:marTop w:val="0"/>
      <w:marBottom w:val="0"/>
      <w:divBdr>
        <w:top w:val="none" w:sz="0" w:space="0" w:color="auto"/>
        <w:left w:val="none" w:sz="0" w:space="0" w:color="auto"/>
        <w:bottom w:val="none" w:sz="0" w:space="0" w:color="auto"/>
        <w:right w:val="none" w:sz="0" w:space="0" w:color="auto"/>
      </w:divBdr>
    </w:div>
    <w:div w:id="585696880">
      <w:bodyDiv w:val="1"/>
      <w:marLeft w:val="0"/>
      <w:marRight w:val="0"/>
      <w:marTop w:val="0"/>
      <w:marBottom w:val="0"/>
      <w:divBdr>
        <w:top w:val="none" w:sz="0" w:space="0" w:color="auto"/>
        <w:left w:val="none" w:sz="0" w:space="0" w:color="auto"/>
        <w:bottom w:val="none" w:sz="0" w:space="0" w:color="auto"/>
        <w:right w:val="none" w:sz="0" w:space="0" w:color="auto"/>
      </w:divBdr>
      <w:divsChild>
        <w:div w:id="1661038164">
          <w:marLeft w:val="0"/>
          <w:marRight w:val="0"/>
          <w:marTop w:val="0"/>
          <w:marBottom w:val="0"/>
          <w:divBdr>
            <w:top w:val="none" w:sz="0" w:space="0" w:color="auto"/>
            <w:left w:val="none" w:sz="0" w:space="0" w:color="auto"/>
            <w:bottom w:val="none" w:sz="0" w:space="0" w:color="auto"/>
            <w:right w:val="none" w:sz="0" w:space="0" w:color="auto"/>
          </w:divBdr>
          <w:divsChild>
            <w:div w:id="806163170">
              <w:marLeft w:val="0"/>
              <w:marRight w:val="0"/>
              <w:marTop w:val="0"/>
              <w:marBottom w:val="0"/>
              <w:divBdr>
                <w:top w:val="none" w:sz="0" w:space="0" w:color="auto"/>
                <w:left w:val="none" w:sz="0" w:space="0" w:color="auto"/>
                <w:bottom w:val="none" w:sz="0" w:space="0" w:color="auto"/>
                <w:right w:val="none" w:sz="0" w:space="0" w:color="auto"/>
              </w:divBdr>
              <w:divsChild>
                <w:div w:id="846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3632">
      <w:bodyDiv w:val="1"/>
      <w:marLeft w:val="0"/>
      <w:marRight w:val="0"/>
      <w:marTop w:val="0"/>
      <w:marBottom w:val="0"/>
      <w:divBdr>
        <w:top w:val="none" w:sz="0" w:space="0" w:color="auto"/>
        <w:left w:val="none" w:sz="0" w:space="0" w:color="auto"/>
        <w:bottom w:val="none" w:sz="0" w:space="0" w:color="auto"/>
        <w:right w:val="none" w:sz="0" w:space="0" w:color="auto"/>
      </w:divBdr>
    </w:div>
    <w:div w:id="68363361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907959466">
      <w:bodyDiv w:val="1"/>
      <w:marLeft w:val="0"/>
      <w:marRight w:val="0"/>
      <w:marTop w:val="0"/>
      <w:marBottom w:val="0"/>
      <w:divBdr>
        <w:top w:val="none" w:sz="0" w:space="0" w:color="auto"/>
        <w:left w:val="none" w:sz="0" w:space="0" w:color="auto"/>
        <w:bottom w:val="none" w:sz="0" w:space="0" w:color="auto"/>
        <w:right w:val="none" w:sz="0" w:space="0" w:color="auto"/>
      </w:divBdr>
    </w:div>
    <w:div w:id="1005791339">
      <w:bodyDiv w:val="1"/>
      <w:marLeft w:val="0"/>
      <w:marRight w:val="0"/>
      <w:marTop w:val="0"/>
      <w:marBottom w:val="0"/>
      <w:divBdr>
        <w:top w:val="none" w:sz="0" w:space="0" w:color="auto"/>
        <w:left w:val="none" w:sz="0" w:space="0" w:color="auto"/>
        <w:bottom w:val="none" w:sz="0" w:space="0" w:color="auto"/>
        <w:right w:val="none" w:sz="0" w:space="0" w:color="auto"/>
      </w:divBdr>
      <w:divsChild>
        <w:div w:id="1400709807">
          <w:marLeft w:val="0"/>
          <w:marRight w:val="0"/>
          <w:marTop w:val="0"/>
          <w:marBottom w:val="0"/>
          <w:divBdr>
            <w:top w:val="none" w:sz="0" w:space="0" w:color="auto"/>
            <w:left w:val="none" w:sz="0" w:space="0" w:color="auto"/>
            <w:bottom w:val="none" w:sz="0" w:space="0" w:color="auto"/>
            <w:right w:val="none" w:sz="0" w:space="0" w:color="auto"/>
          </w:divBdr>
        </w:div>
        <w:div w:id="491943859">
          <w:marLeft w:val="0"/>
          <w:marRight w:val="0"/>
          <w:marTop w:val="0"/>
          <w:marBottom w:val="0"/>
          <w:divBdr>
            <w:top w:val="none" w:sz="0" w:space="0" w:color="auto"/>
            <w:left w:val="none" w:sz="0" w:space="0" w:color="auto"/>
            <w:bottom w:val="none" w:sz="0" w:space="0" w:color="auto"/>
            <w:right w:val="none" w:sz="0" w:space="0" w:color="auto"/>
          </w:divBdr>
        </w:div>
        <w:div w:id="900561199">
          <w:marLeft w:val="0"/>
          <w:marRight w:val="0"/>
          <w:marTop w:val="0"/>
          <w:marBottom w:val="0"/>
          <w:divBdr>
            <w:top w:val="none" w:sz="0" w:space="0" w:color="auto"/>
            <w:left w:val="none" w:sz="0" w:space="0" w:color="auto"/>
            <w:bottom w:val="none" w:sz="0" w:space="0" w:color="auto"/>
            <w:right w:val="none" w:sz="0" w:space="0" w:color="auto"/>
          </w:divBdr>
        </w:div>
      </w:divsChild>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148280679">
      <w:bodyDiv w:val="1"/>
      <w:marLeft w:val="0"/>
      <w:marRight w:val="0"/>
      <w:marTop w:val="0"/>
      <w:marBottom w:val="0"/>
      <w:divBdr>
        <w:top w:val="none" w:sz="0" w:space="0" w:color="auto"/>
        <w:left w:val="none" w:sz="0" w:space="0" w:color="auto"/>
        <w:bottom w:val="none" w:sz="0" w:space="0" w:color="auto"/>
        <w:right w:val="none" w:sz="0" w:space="0" w:color="auto"/>
      </w:divBdr>
    </w:div>
    <w:div w:id="1183932028">
      <w:bodyDiv w:val="1"/>
      <w:marLeft w:val="0"/>
      <w:marRight w:val="0"/>
      <w:marTop w:val="0"/>
      <w:marBottom w:val="0"/>
      <w:divBdr>
        <w:top w:val="none" w:sz="0" w:space="0" w:color="auto"/>
        <w:left w:val="none" w:sz="0" w:space="0" w:color="auto"/>
        <w:bottom w:val="none" w:sz="0" w:space="0" w:color="auto"/>
        <w:right w:val="none" w:sz="0" w:space="0" w:color="auto"/>
      </w:divBdr>
    </w:div>
    <w:div w:id="1264999234">
      <w:bodyDiv w:val="1"/>
      <w:marLeft w:val="0"/>
      <w:marRight w:val="0"/>
      <w:marTop w:val="0"/>
      <w:marBottom w:val="0"/>
      <w:divBdr>
        <w:top w:val="none" w:sz="0" w:space="0" w:color="auto"/>
        <w:left w:val="none" w:sz="0" w:space="0" w:color="auto"/>
        <w:bottom w:val="none" w:sz="0" w:space="0" w:color="auto"/>
        <w:right w:val="none" w:sz="0" w:space="0" w:color="auto"/>
      </w:divBdr>
    </w:div>
    <w:div w:id="1291009689">
      <w:bodyDiv w:val="1"/>
      <w:marLeft w:val="0"/>
      <w:marRight w:val="0"/>
      <w:marTop w:val="0"/>
      <w:marBottom w:val="0"/>
      <w:divBdr>
        <w:top w:val="none" w:sz="0" w:space="0" w:color="auto"/>
        <w:left w:val="none" w:sz="0" w:space="0" w:color="auto"/>
        <w:bottom w:val="none" w:sz="0" w:space="0" w:color="auto"/>
        <w:right w:val="none" w:sz="0" w:space="0" w:color="auto"/>
      </w:divBdr>
    </w:div>
    <w:div w:id="1393649913">
      <w:bodyDiv w:val="1"/>
      <w:marLeft w:val="0"/>
      <w:marRight w:val="0"/>
      <w:marTop w:val="0"/>
      <w:marBottom w:val="0"/>
      <w:divBdr>
        <w:top w:val="none" w:sz="0" w:space="0" w:color="auto"/>
        <w:left w:val="none" w:sz="0" w:space="0" w:color="auto"/>
        <w:bottom w:val="none" w:sz="0" w:space="0" w:color="auto"/>
        <w:right w:val="none" w:sz="0" w:space="0" w:color="auto"/>
      </w:divBdr>
    </w:div>
    <w:div w:id="1459496716">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64024648">
      <w:bodyDiv w:val="1"/>
      <w:marLeft w:val="0"/>
      <w:marRight w:val="0"/>
      <w:marTop w:val="0"/>
      <w:marBottom w:val="0"/>
      <w:divBdr>
        <w:top w:val="none" w:sz="0" w:space="0" w:color="auto"/>
        <w:left w:val="none" w:sz="0" w:space="0" w:color="auto"/>
        <w:bottom w:val="none" w:sz="0" w:space="0" w:color="auto"/>
        <w:right w:val="none" w:sz="0" w:space="0" w:color="auto"/>
      </w:divBdr>
    </w:div>
    <w:div w:id="1571964638">
      <w:bodyDiv w:val="1"/>
      <w:marLeft w:val="0"/>
      <w:marRight w:val="0"/>
      <w:marTop w:val="0"/>
      <w:marBottom w:val="0"/>
      <w:divBdr>
        <w:top w:val="none" w:sz="0" w:space="0" w:color="auto"/>
        <w:left w:val="none" w:sz="0" w:space="0" w:color="auto"/>
        <w:bottom w:val="none" w:sz="0" w:space="0" w:color="auto"/>
        <w:right w:val="none" w:sz="0" w:space="0" w:color="auto"/>
      </w:divBdr>
      <w:divsChild>
        <w:div w:id="916131246">
          <w:marLeft w:val="0"/>
          <w:marRight w:val="0"/>
          <w:marTop w:val="0"/>
          <w:marBottom w:val="0"/>
          <w:divBdr>
            <w:top w:val="none" w:sz="0" w:space="0" w:color="auto"/>
            <w:left w:val="none" w:sz="0" w:space="0" w:color="auto"/>
            <w:bottom w:val="none" w:sz="0" w:space="0" w:color="auto"/>
            <w:right w:val="none" w:sz="0" w:space="0" w:color="auto"/>
          </w:divBdr>
          <w:divsChild>
            <w:div w:id="1427460069">
              <w:marLeft w:val="0"/>
              <w:marRight w:val="0"/>
              <w:marTop w:val="0"/>
              <w:marBottom w:val="0"/>
              <w:divBdr>
                <w:top w:val="none" w:sz="0" w:space="0" w:color="auto"/>
                <w:left w:val="none" w:sz="0" w:space="0" w:color="auto"/>
                <w:bottom w:val="none" w:sz="0" w:space="0" w:color="auto"/>
                <w:right w:val="none" w:sz="0" w:space="0" w:color="auto"/>
              </w:divBdr>
              <w:divsChild>
                <w:div w:id="20243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586957211">
      <w:bodyDiv w:val="1"/>
      <w:marLeft w:val="0"/>
      <w:marRight w:val="0"/>
      <w:marTop w:val="0"/>
      <w:marBottom w:val="0"/>
      <w:divBdr>
        <w:top w:val="none" w:sz="0" w:space="0" w:color="auto"/>
        <w:left w:val="none" w:sz="0" w:space="0" w:color="auto"/>
        <w:bottom w:val="none" w:sz="0" w:space="0" w:color="auto"/>
        <w:right w:val="none" w:sz="0" w:space="0" w:color="auto"/>
      </w:divBdr>
    </w:div>
    <w:div w:id="1590768913">
      <w:bodyDiv w:val="1"/>
      <w:marLeft w:val="0"/>
      <w:marRight w:val="0"/>
      <w:marTop w:val="0"/>
      <w:marBottom w:val="0"/>
      <w:divBdr>
        <w:top w:val="none" w:sz="0" w:space="0" w:color="auto"/>
        <w:left w:val="none" w:sz="0" w:space="0" w:color="auto"/>
        <w:bottom w:val="none" w:sz="0" w:space="0" w:color="auto"/>
        <w:right w:val="none" w:sz="0" w:space="0" w:color="auto"/>
      </w:divBdr>
      <w:divsChild>
        <w:div w:id="276721758">
          <w:marLeft w:val="0"/>
          <w:marRight w:val="0"/>
          <w:marTop w:val="0"/>
          <w:marBottom w:val="0"/>
          <w:divBdr>
            <w:top w:val="none" w:sz="0" w:space="0" w:color="auto"/>
            <w:left w:val="none" w:sz="0" w:space="0" w:color="auto"/>
            <w:bottom w:val="none" w:sz="0" w:space="0" w:color="auto"/>
            <w:right w:val="none" w:sz="0" w:space="0" w:color="auto"/>
          </w:divBdr>
          <w:divsChild>
            <w:div w:id="2105571524">
              <w:marLeft w:val="0"/>
              <w:marRight w:val="0"/>
              <w:marTop w:val="0"/>
              <w:marBottom w:val="0"/>
              <w:divBdr>
                <w:top w:val="none" w:sz="0" w:space="0" w:color="auto"/>
                <w:left w:val="none" w:sz="0" w:space="0" w:color="auto"/>
                <w:bottom w:val="none" w:sz="0" w:space="0" w:color="auto"/>
                <w:right w:val="none" w:sz="0" w:space="0" w:color="auto"/>
              </w:divBdr>
              <w:divsChild>
                <w:div w:id="1305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27542479">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1705902586">
      <w:bodyDiv w:val="1"/>
      <w:marLeft w:val="0"/>
      <w:marRight w:val="0"/>
      <w:marTop w:val="0"/>
      <w:marBottom w:val="0"/>
      <w:divBdr>
        <w:top w:val="none" w:sz="0" w:space="0" w:color="auto"/>
        <w:left w:val="none" w:sz="0" w:space="0" w:color="auto"/>
        <w:bottom w:val="none" w:sz="0" w:space="0" w:color="auto"/>
        <w:right w:val="none" w:sz="0" w:space="0" w:color="auto"/>
      </w:divBdr>
    </w:div>
    <w:div w:id="1772041225">
      <w:bodyDiv w:val="1"/>
      <w:marLeft w:val="0"/>
      <w:marRight w:val="0"/>
      <w:marTop w:val="0"/>
      <w:marBottom w:val="0"/>
      <w:divBdr>
        <w:top w:val="none" w:sz="0" w:space="0" w:color="auto"/>
        <w:left w:val="none" w:sz="0" w:space="0" w:color="auto"/>
        <w:bottom w:val="none" w:sz="0" w:space="0" w:color="auto"/>
        <w:right w:val="none" w:sz="0" w:space="0" w:color="auto"/>
      </w:divBdr>
    </w:div>
    <w:div w:id="1787768256">
      <w:bodyDiv w:val="1"/>
      <w:marLeft w:val="0"/>
      <w:marRight w:val="0"/>
      <w:marTop w:val="0"/>
      <w:marBottom w:val="0"/>
      <w:divBdr>
        <w:top w:val="none" w:sz="0" w:space="0" w:color="auto"/>
        <w:left w:val="none" w:sz="0" w:space="0" w:color="auto"/>
        <w:bottom w:val="none" w:sz="0" w:space="0" w:color="auto"/>
        <w:right w:val="none" w:sz="0" w:space="0" w:color="auto"/>
      </w:divBdr>
    </w:div>
    <w:div w:id="1845895776">
      <w:bodyDiv w:val="1"/>
      <w:marLeft w:val="0"/>
      <w:marRight w:val="0"/>
      <w:marTop w:val="0"/>
      <w:marBottom w:val="0"/>
      <w:divBdr>
        <w:top w:val="none" w:sz="0" w:space="0" w:color="auto"/>
        <w:left w:val="none" w:sz="0" w:space="0" w:color="auto"/>
        <w:bottom w:val="none" w:sz="0" w:space="0" w:color="auto"/>
        <w:right w:val="none" w:sz="0" w:space="0" w:color="auto"/>
      </w:divBdr>
    </w:div>
    <w:div w:id="1858425844">
      <w:bodyDiv w:val="1"/>
      <w:marLeft w:val="0"/>
      <w:marRight w:val="0"/>
      <w:marTop w:val="0"/>
      <w:marBottom w:val="0"/>
      <w:divBdr>
        <w:top w:val="none" w:sz="0" w:space="0" w:color="auto"/>
        <w:left w:val="none" w:sz="0" w:space="0" w:color="auto"/>
        <w:bottom w:val="none" w:sz="0" w:space="0" w:color="auto"/>
        <w:right w:val="none" w:sz="0" w:space="0" w:color="auto"/>
      </w:divBdr>
    </w:div>
    <w:div w:id="1897812255">
      <w:bodyDiv w:val="1"/>
      <w:marLeft w:val="0"/>
      <w:marRight w:val="0"/>
      <w:marTop w:val="0"/>
      <w:marBottom w:val="0"/>
      <w:divBdr>
        <w:top w:val="none" w:sz="0" w:space="0" w:color="auto"/>
        <w:left w:val="none" w:sz="0" w:space="0" w:color="auto"/>
        <w:bottom w:val="none" w:sz="0" w:space="0" w:color="auto"/>
        <w:right w:val="none" w:sz="0" w:space="0" w:color="auto"/>
      </w:divBdr>
      <w:divsChild>
        <w:div w:id="872423779">
          <w:marLeft w:val="0"/>
          <w:marRight w:val="0"/>
          <w:marTop w:val="0"/>
          <w:marBottom w:val="0"/>
          <w:divBdr>
            <w:top w:val="none" w:sz="0" w:space="0" w:color="auto"/>
            <w:left w:val="none" w:sz="0" w:space="0" w:color="auto"/>
            <w:bottom w:val="none" w:sz="0" w:space="0" w:color="auto"/>
            <w:right w:val="none" w:sz="0" w:space="0" w:color="auto"/>
          </w:divBdr>
          <w:divsChild>
            <w:div w:id="171918198">
              <w:marLeft w:val="0"/>
              <w:marRight w:val="0"/>
              <w:marTop w:val="0"/>
              <w:marBottom w:val="0"/>
              <w:divBdr>
                <w:top w:val="none" w:sz="0" w:space="0" w:color="auto"/>
                <w:left w:val="none" w:sz="0" w:space="0" w:color="auto"/>
                <w:bottom w:val="none" w:sz="0" w:space="0" w:color="auto"/>
                <w:right w:val="none" w:sz="0" w:space="0" w:color="auto"/>
              </w:divBdr>
              <w:divsChild>
                <w:div w:id="7703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81731">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 w:id="2095976436">
      <w:bodyDiv w:val="1"/>
      <w:marLeft w:val="0"/>
      <w:marRight w:val="0"/>
      <w:marTop w:val="0"/>
      <w:marBottom w:val="0"/>
      <w:divBdr>
        <w:top w:val="none" w:sz="0" w:space="0" w:color="auto"/>
        <w:left w:val="none" w:sz="0" w:space="0" w:color="auto"/>
        <w:bottom w:val="none" w:sz="0" w:space="0" w:color="auto"/>
        <w:right w:val="none" w:sz="0" w:space="0" w:color="auto"/>
      </w:divBdr>
    </w:div>
    <w:div w:id="2103986451">
      <w:bodyDiv w:val="1"/>
      <w:marLeft w:val="0"/>
      <w:marRight w:val="0"/>
      <w:marTop w:val="0"/>
      <w:marBottom w:val="0"/>
      <w:divBdr>
        <w:top w:val="none" w:sz="0" w:space="0" w:color="auto"/>
        <w:left w:val="none" w:sz="0" w:space="0" w:color="auto"/>
        <w:bottom w:val="none" w:sz="0" w:space="0" w:color="auto"/>
        <w:right w:val="none" w:sz="0" w:space="0" w:color="auto"/>
      </w:divBdr>
      <w:divsChild>
        <w:div w:id="1427000698">
          <w:marLeft w:val="0"/>
          <w:marRight w:val="0"/>
          <w:marTop w:val="0"/>
          <w:marBottom w:val="0"/>
          <w:divBdr>
            <w:top w:val="none" w:sz="0" w:space="0" w:color="auto"/>
            <w:left w:val="none" w:sz="0" w:space="0" w:color="auto"/>
            <w:bottom w:val="none" w:sz="0" w:space="0" w:color="auto"/>
            <w:right w:val="none" w:sz="0" w:space="0" w:color="auto"/>
          </w:divBdr>
        </w:div>
        <w:div w:id="1354301522">
          <w:marLeft w:val="0"/>
          <w:marRight w:val="0"/>
          <w:marTop w:val="0"/>
          <w:marBottom w:val="0"/>
          <w:divBdr>
            <w:top w:val="none" w:sz="0" w:space="0" w:color="auto"/>
            <w:left w:val="none" w:sz="0" w:space="0" w:color="auto"/>
            <w:bottom w:val="none" w:sz="0" w:space="0" w:color="auto"/>
            <w:right w:val="none" w:sz="0" w:space="0" w:color="auto"/>
          </w:divBdr>
        </w:div>
        <w:div w:id="106005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5765C-EBF7-4844-BBD9-F9F45EC7704D}">
  <ds:schemaRefs>
    <ds:schemaRef ds:uri="http://schemas.openxmlformats.org/officeDocument/2006/bibliography"/>
  </ds:schemaRefs>
</ds:datastoreItem>
</file>

<file path=customXml/itemProps2.xml><?xml version="1.0" encoding="utf-8"?>
<ds:datastoreItem xmlns:ds="http://schemas.openxmlformats.org/officeDocument/2006/customXml" ds:itemID="{0D585FDD-54AB-434D-B8E9-3B7A992AE29F}"/>
</file>

<file path=customXml/itemProps3.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95</TotalTime>
  <Pages>19</Pages>
  <Words>6768</Words>
  <Characters>37226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6</cp:revision>
  <dcterms:created xsi:type="dcterms:W3CDTF">2021-07-30T21:42:00Z</dcterms:created>
  <dcterms:modified xsi:type="dcterms:W3CDTF">2021-08-02T15:57:00Z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