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E4C3" w14:textId="072A9CE0" w:rsidR="00DA4E96" w:rsidRDefault="00214878" w:rsidP="002106C7">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r w:rsidRPr="00D35139">
        <w:rPr>
          <w:rFonts w:ascii="Arial" w:hAnsi="Arial" w:cs="Arial"/>
          <w:b/>
          <w:sz w:val="16"/>
          <w:szCs w:val="16"/>
          <w:lang w:eastAsia="es-ES"/>
        </w:rPr>
        <w:t>CCE-DES-FM-17</w:t>
      </w:r>
      <w:bookmarkEnd w:id="0"/>
      <w:bookmarkEnd w:id="1"/>
    </w:p>
    <w:p w14:paraId="2CF79EBE" w14:textId="15CCA5C0" w:rsidR="00E47159" w:rsidRPr="000B02D8" w:rsidRDefault="00E47159" w:rsidP="00E47159">
      <w:pPr>
        <w:rPr>
          <w:rFonts w:ascii="Arial" w:hAnsi="Arial" w:cs="Arial"/>
          <w:b/>
          <w:bCs/>
          <w:color w:val="000000" w:themeColor="text1"/>
          <w:sz w:val="22"/>
          <w:lang w:val="es-ES"/>
        </w:rPr>
      </w:pPr>
      <w:r>
        <w:rPr>
          <w:rFonts w:ascii="Arial" w:eastAsia="Calibri" w:hAnsi="Arial" w:cs="Arial"/>
          <w:b/>
          <w:sz w:val="22"/>
          <w:lang w:val="es-CO"/>
        </w:rPr>
        <w:t>DOCUMENTOS TIPO</w:t>
      </w:r>
      <w:r w:rsidR="004247E7" w:rsidRPr="004247E7">
        <w:rPr>
          <w:rFonts w:ascii="Arial" w:eastAsia="Calibri" w:hAnsi="Arial" w:cs="Arial"/>
          <w:b/>
          <w:sz w:val="22"/>
          <w:lang w:val="es-CO"/>
        </w:rPr>
        <w:t xml:space="preserve"> </w:t>
      </w:r>
      <w:r w:rsidR="006B421D" w:rsidRPr="004247E7">
        <w:rPr>
          <w:rFonts w:ascii="Arial" w:eastAsia="Calibri" w:hAnsi="Arial" w:cs="Arial"/>
          <w:b/>
          <w:sz w:val="22"/>
          <w:lang w:val="es-CO"/>
        </w:rPr>
        <w:t>–</w:t>
      </w:r>
      <w:r w:rsidR="006B421D">
        <w:rPr>
          <w:rFonts w:ascii="Arial" w:eastAsia="Arial" w:hAnsi="Arial" w:cs="Arial"/>
          <w:b/>
          <w:bCs/>
          <w:color w:val="000000"/>
          <w:sz w:val="22"/>
          <w:lang w:val="es-ES_tradnl"/>
        </w:rPr>
        <w:t xml:space="preserve"> </w:t>
      </w:r>
      <w:r w:rsidR="006B421D" w:rsidRPr="004247E7">
        <w:rPr>
          <w:rFonts w:ascii="Arial" w:eastAsia="Calibri" w:hAnsi="Arial" w:cs="Arial"/>
          <w:b/>
          <w:sz w:val="22"/>
          <w:lang w:val="es-CO"/>
        </w:rPr>
        <w:t>Fundamento</w:t>
      </w:r>
      <w:r w:rsidR="00873F44" w:rsidRPr="0021701A">
        <w:rPr>
          <w:rFonts w:ascii="Arial" w:eastAsia="Arial" w:hAnsi="Arial" w:cs="Arial"/>
          <w:b/>
          <w:bCs/>
          <w:color w:val="000000"/>
          <w:sz w:val="22"/>
          <w:lang w:val="es-ES_tradnl"/>
        </w:rPr>
        <w:t xml:space="preserve"> normativo</w:t>
      </w:r>
      <w:r w:rsidR="00873F44">
        <w:rPr>
          <w:rFonts w:ascii="Arial" w:eastAsia="Arial" w:hAnsi="Arial" w:cs="Arial"/>
          <w:b/>
          <w:bCs/>
          <w:color w:val="000000"/>
          <w:sz w:val="22"/>
          <w:lang w:val="es-ES_tradnl"/>
        </w:rPr>
        <w:t xml:space="preserve"> </w:t>
      </w:r>
      <w:r w:rsidR="00873F44" w:rsidRPr="004247E7">
        <w:rPr>
          <w:rFonts w:ascii="Arial" w:eastAsia="Calibri" w:hAnsi="Arial" w:cs="Arial"/>
          <w:b/>
          <w:sz w:val="22"/>
          <w:lang w:val="es-CO"/>
        </w:rPr>
        <w:t>–</w:t>
      </w:r>
      <w:r w:rsidR="00873F44">
        <w:rPr>
          <w:rFonts w:ascii="Arial" w:hAnsi="Arial" w:cs="Arial"/>
          <w:b/>
          <w:bCs/>
          <w:color w:val="000000" w:themeColor="text1"/>
          <w:sz w:val="22"/>
          <w:lang w:val="es-ES"/>
        </w:rPr>
        <w:t xml:space="preserve"> </w:t>
      </w:r>
      <w:r>
        <w:rPr>
          <w:rFonts w:ascii="Arial" w:hAnsi="Arial" w:cs="Arial"/>
          <w:b/>
          <w:bCs/>
          <w:color w:val="000000" w:themeColor="text1"/>
          <w:sz w:val="22"/>
          <w:lang w:val="es-ES"/>
        </w:rPr>
        <w:t>Interventoría</w:t>
      </w:r>
      <w:r w:rsidR="000B02D8">
        <w:rPr>
          <w:rFonts w:ascii="Arial" w:hAnsi="Arial" w:cs="Arial"/>
          <w:b/>
          <w:bCs/>
          <w:color w:val="000000" w:themeColor="text1"/>
          <w:sz w:val="22"/>
          <w:lang w:val="es-ES"/>
        </w:rPr>
        <w:t xml:space="preserve"> – Obra </w:t>
      </w:r>
      <w:r w:rsidRPr="009C7D09">
        <w:rPr>
          <w:rFonts w:ascii="Arial" w:eastAsia="Calibri" w:hAnsi="Arial" w:cs="Arial"/>
          <w:b/>
          <w:bCs/>
          <w:color w:val="000000" w:themeColor="text1"/>
          <w:sz w:val="22"/>
          <w:lang w:val="es-ES_tradnl"/>
        </w:rPr>
        <w:t>públic</w:t>
      </w:r>
      <w:r>
        <w:rPr>
          <w:rFonts w:ascii="Arial" w:eastAsia="Calibri" w:hAnsi="Arial" w:cs="Arial"/>
          <w:b/>
          <w:bCs/>
          <w:color w:val="000000" w:themeColor="text1"/>
          <w:sz w:val="22"/>
          <w:lang w:val="es-ES_tradnl"/>
        </w:rPr>
        <w:t>a</w:t>
      </w:r>
      <w:r w:rsidRPr="009C7D09">
        <w:rPr>
          <w:rFonts w:ascii="Arial" w:eastAsia="Calibri" w:hAnsi="Arial" w:cs="Arial"/>
          <w:b/>
          <w:bCs/>
          <w:color w:val="000000" w:themeColor="text1"/>
          <w:sz w:val="22"/>
          <w:lang w:val="es-ES_tradnl"/>
        </w:rPr>
        <w:t xml:space="preserve"> de infraestructura de transporte</w:t>
      </w:r>
      <w:r>
        <w:rPr>
          <w:rFonts w:ascii="Arial" w:eastAsia="Calibri" w:hAnsi="Arial" w:cs="Arial"/>
          <w:b/>
          <w:bCs/>
          <w:color w:val="000000" w:themeColor="text1"/>
          <w:sz w:val="22"/>
          <w:lang w:val="es-ES_tradnl"/>
        </w:rPr>
        <w:t xml:space="preserve"> </w:t>
      </w:r>
    </w:p>
    <w:p w14:paraId="1634432E" w14:textId="77777777" w:rsidR="00E47159" w:rsidRPr="00873F44" w:rsidRDefault="00E47159" w:rsidP="00E47159">
      <w:pPr>
        <w:rPr>
          <w:rFonts w:ascii="Arial" w:eastAsia="Calibri" w:hAnsi="Arial" w:cs="Arial"/>
          <w:b/>
          <w:sz w:val="22"/>
          <w:lang w:val="es-ES_tradnl"/>
        </w:rPr>
      </w:pPr>
    </w:p>
    <w:p w14:paraId="1F64CFA8" w14:textId="67244C05" w:rsidR="004F30B3" w:rsidRPr="00873F44" w:rsidRDefault="00E47159" w:rsidP="006B421D">
      <w:pPr>
        <w:jc w:val="both"/>
        <w:rPr>
          <w:rFonts w:ascii="Arial" w:eastAsia="Calibri" w:hAnsi="Arial" w:cs="Arial"/>
          <w:color w:val="000000"/>
          <w:sz w:val="20"/>
          <w:szCs w:val="20"/>
          <w:lang w:val="es-ES_tradnl" w:eastAsia="es-ES"/>
        </w:rPr>
      </w:pPr>
      <w:r w:rsidRPr="00873F44">
        <w:rPr>
          <w:sz w:val="20"/>
          <w:szCs w:val="20"/>
        </w:rPr>
        <w:t xml:space="preserve">[...] </w:t>
      </w:r>
      <w:r w:rsidR="00873F44" w:rsidRPr="00873F44">
        <w:rPr>
          <w:rFonts w:ascii="Arial" w:eastAsia="Calibri" w:hAnsi="Arial" w:cs="Arial"/>
          <w:color w:val="000000"/>
          <w:sz w:val="20"/>
          <w:szCs w:val="20"/>
          <w:lang w:val="es-ES_tradnl" w:eastAsia="es-ES"/>
        </w:rPr>
        <w:t>la Resolución 256 del 11 de diciembre de 2020, «por la cual se adoptan los documentos tipo para los procesos de selección de concursos de méritos, para contratar la interventoría de obras públicas de infraestructura de transporte» se adoptó en vigencia de la Ley 2022 de 2020. En tal sentido, este documento tipo, resulta obligatorio para todas las entidades sometidas al Estatuto General de Contratación de la Administración Pública, que adelanten procesos de concursos de méritos para contratar la interventoría de cualquiera de los proyectos señalados en la «Matriz 1 – Experiencia». Lo anterior se deriva de lo dispuesto en el «documento base» del documento tipo de interventoría, al prescribir que:</w:t>
      </w:r>
    </w:p>
    <w:p w14:paraId="4565AA50" w14:textId="77777777" w:rsidR="00873F44" w:rsidRPr="00873F44" w:rsidRDefault="00873F44" w:rsidP="006B421D">
      <w:pPr>
        <w:ind w:left="709" w:right="709"/>
        <w:jc w:val="both"/>
        <w:rPr>
          <w:rFonts w:ascii="Arial" w:eastAsia="Calibri" w:hAnsi="Arial" w:cs="Arial"/>
          <w:color w:val="000000"/>
          <w:sz w:val="20"/>
          <w:szCs w:val="20"/>
          <w:lang w:val="es-ES_tradnl" w:eastAsia="es-ES"/>
        </w:rPr>
      </w:pPr>
      <w:r w:rsidRPr="00873F44">
        <w:rPr>
          <w:rFonts w:ascii="Arial" w:eastAsia="Calibri" w:hAnsi="Arial" w:cs="Arial"/>
          <w:color w:val="000000"/>
          <w:sz w:val="20"/>
          <w:szCs w:val="20"/>
          <w:lang w:val="es-ES_tradnl" w:eastAsia="es-ES"/>
        </w:rPr>
        <w:t>Este documento tipo aplica a los procesos de interventoría de obras públicas de infraestructuras de transporte celebrados en cualquiera de sus modalidades de 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14:paraId="5446FC63" w14:textId="46700E4A" w:rsidR="00E47159" w:rsidRPr="00873F44" w:rsidRDefault="00E47159" w:rsidP="00E47159">
      <w:pPr>
        <w:pStyle w:val="Textoindependiente"/>
        <w:spacing w:after="0" w:line="240" w:lineRule="auto"/>
        <w:rPr>
          <w:sz w:val="20"/>
          <w:szCs w:val="20"/>
          <w:lang w:val="es-ES_tradnl"/>
        </w:rPr>
      </w:pPr>
    </w:p>
    <w:p w14:paraId="18576450" w14:textId="0611029C" w:rsidR="00E47159" w:rsidRDefault="004247E7" w:rsidP="00965265">
      <w:pPr>
        <w:rPr>
          <w:rFonts w:ascii="Arial" w:eastAsia="Calibri" w:hAnsi="Arial" w:cs="Arial"/>
          <w:b/>
          <w:sz w:val="22"/>
          <w:lang w:val="es-CO"/>
        </w:rPr>
      </w:pPr>
      <w:r w:rsidRPr="00E47159">
        <w:rPr>
          <w:rFonts w:ascii="Arial" w:eastAsia="Calibri" w:hAnsi="Arial" w:cs="Arial"/>
          <w:b/>
          <w:sz w:val="22"/>
          <w:lang w:val="es-CO"/>
        </w:rPr>
        <w:t xml:space="preserve">DOCUMENTOS TIPO – </w:t>
      </w:r>
      <w:r w:rsidR="00E47159" w:rsidRPr="00E47159">
        <w:rPr>
          <w:rFonts w:ascii="Arial" w:eastAsia="Calibri" w:hAnsi="Arial" w:cs="Arial"/>
          <w:b/>
          <w:sz w:val="22"/>
          <w:lang w:val="es-CO"/>
        </w:rPr>
        <w:t xml:space="preserve">Interventoría </w:t>
      </w:r>
      <w:r w:rsidR="00965265">
        <w:rPr>
          <w:rFonts w:ascii="Arial" w:eastAsia="Calibri" w:hAnsi="Arial" w:cs="Arial"/>
          <w:b/>
          <w:sz w:val="22"/>
          <w:lang w:val="es-CO"/>
        </w:rPr>
        <w:t>–</w:t>
      </w:r>
      <w:r w:rsidR="00E47159" w:rsidRPr="00E47159">
        <w:rPr>
          <w:rFonts w:ascii="Arial" w:eastAsia="Calibri" w:hAnsi="Arial" w:cs="Arial"/>
          <w:b/>
          <w:sz w:val="22"/>
          <w:lang w:val="es-CO"/>
        </w:rPr>
        <w:t xml:space="preserve"> </w:t>
      </w:r>
      <w:r w:rsidR="00965265">
        <w:rPr>
          <w:rFonts w:ascii="Arial" w:eastAsia="Calibri" w:hAnsi="Arial" w:cs="Arial"/>
          <w:b/>
          <w:sz w:val="22"/>
          <w:lang w:val="es-CO"/>
        </w:rPr>
        <w:t>O</w:t>
      </w:r>
      <w:r w:rsidR="00E47159" w:rsidRPr="00E47159">
        <w:rPr>
          <w:rFonts w:ascii="Arial" w:eastAsia="Calibri" w:hAnsi="Arial" w:cs="Arial"/>
          <w:b/>
          <w:sz w:val="22"/>
          <w:lang w:val="es-CO"/>
        </w:rPr>
        <w:t xml:space="preserve">bra pública de infraestructura de transporte – Método de ponderación </w:t>
      </w:r>
      <w:r w:rsidR="002553EE">
        <w:rPr>
          <w:rFonts w:ascii="Arial" w:eastAsia="Calibri" w:hAnsi="Arial" w:cs="Arial"/>
          <w:b/>
          <w:sz w:val="22"/>
          <w:lang w:val="es-CO"/>
        </w:rPr>
        <w:t xml:space="preserve">experiencia </w:t>
      </w:r>
      <w:r w:rsidR="00E47159" w:rsidRPr="00E47159">
        <w:rPr>
          <w:rFonts w:ascii="Arial" w:eastAsia="Calibri" w:hAnsi="Arial" w:cs="Arial"/>
          <w:b/>
          <w:sz w:val="22"/>
          <w:lang w:val="es-CO"/>
        </w:rPr>
        <w:t xml:space="preserve">– Selección aleatoria – </w:t>
      </w:r>
      <w:proofErr w:type="spellStart"/>
      <w:r w:rsidR="00E47159" w:rsidRPr="00E47159">
        <w:rPr>
          <w:rFonts w:ascii="Arial" w:eastAsia="Calibri" w:hAnsi="Arial" w:cs="Arial"/>
          <w:b/>
          <w:sz w:val="22"/>
          <w:lang w:val="es-CO"/>
        </w:rPr>
        <w:t>T</w:t>
      </w:r>
      <w:r w:rsidR="00965265">
        <w:rPr>
          <w:rFonts w:ascii="Arial" w:eastAsia="Calibri" w:hAnsi="Arial" w:cs="Arial"/>
          <w:b/>
          <w:sz w:val="22"/>
          <w:lang w:val="es-CO"/>
        </w:rPr>
        <w:t>rm</w:t>
      </w:r>
      <w:proofErr w:type="spellEnd"/>
    </w:p>
    <w:p w14:paraId="22EB4B1C" w14:textId="77777777" w:rsidR="00E47159" w:rsidRPr="00E47159" w:rsidRDefault="00E47159" w:rsidP="00965265">
      <w:pPr>
        <w:rPr>
          <w:rFonts w:ascii="Arial" w:eastAsia="Calibri" w:hAnsi="Arial" w:cs="Arial"/>
          <w:b/>
          <w:sz w:val="22"/>
          <w:lang w:val="es-CO"/>
        </w:rPr>
      </w:pPr>
    </w:p>
    <w:p w14:paraId="29DC8CCB" w14:textId="380ED316" w:rsidR="00E47159" w:rsidRPr="004F30B3" w:rsidRDefault="004B5A38" w:rsidP="00965265">
      <w:pPr>
        <w:jc w:val="both"/>
        <w:rPr>
          <w:rFonts w:ascii="Arial" w:eastAsia="Arial" w:hAnsi="Arial" w:cs="Arial"/>
          <w:sz w:val="20"/>
          <w:szCs w:val="20"/>
          <w:lang w:val="es-ES" w:eastAsia="es-ES" w:bidi="es-ES"/>
        </w:rPr>
      </w:pPr>
      <w:r w:rsidRPr="00E47159">
        <w:rPr>
          <w:rFonts w:ascii="Arial" w:eastAsia="Arial" w:hAnsi="Arial" w:cs="Arial"/>
          <w:sz w:val="20"/>
          <w:szCs w:val="20"/>
          <w:lang w:val="es-ES" w:eastAsia="es-ES" w:bidi="es-ES"/>
        </w:rPr>
        <w:t>[…]</w:t>
      </w:r>
      <w:r w:rsidR="004247E7" w:rsidRPr="00E47159">
        <w:rPr>
          <w:rFonts w:ascii="Arial" w:eastAsia="Arial" w:hAnsi="Arial" w:cs="Arial"/>
          <w:sz w:val="20"/>
          <w:szCs w:val="20"/>
          <w:lang w:val="es-ES" w:eastAsia="es-ES" w:bidi="es-ES"/>
        </w:rPr>
        <w:t xml:space="preserve"> </w:t>
      </w:r>
      <w:r w:rsidR="004F30B3" w:rsidRPr="004F30B3">
        <w:rPr>
          <w:rFonts w:ascii="Arial" w:eastAsia="Calibri" w:hAnsi="Arial" w:cs="Arial"/>
          <w:color w:val="000000"/>
          <w:sz w:val="20"/>
          <w:szCs w:val="20"/>
          <w:lang w:val="es-ES_tradnl"/>
        </w:rPr>
        <w:t>en los procedimientos de concurso de méritos para la escogencia de interventores de obra pública de infraestructura de transporte adelantados con documentos tipo, la experiencia del proponente debe ser ponderada, de acuerdo con un método aleatorio, a efectos de determinar el puntaje que le corresponde.</w:t>
      </w:r>
      <w:r w:rsidR="004F30B3" w:rsidRPr="004F30B3">
        <w:rPr>
          <w:rFonts w:ascii="Arial" w:eastAsia="Calibri" w:hAnsi="Arial" w:cs="Arial"/>
          <w:sz w:val="20"/>
          <w:szCs w:val="20"/>
        </w:rPr>
        <w:t xml:space="preserve"> Al respecto, el Documento Base, establece cuatro (</w:t>
      </w:r>
      <w:r w:rsidR="004F30B3" w:rsidRPr="004F30B3">
        <w:rPr>
          <w:rFonts w:ascii="Arial" w:eastAsia="Calibri" w:hAnsi="Arial" w:cs="Arial"/>
          <w:color w:val="000000"/>
          <w:sz w:val="20"/>
          <w:szCs w:val="20"/>
          <w:lang w:val="es-ES_tradnl"/>
        </w:rPr>
        <w:t>4) alternativas para ponderar la experiencia de los proponentes, aplicables según la TRM que rija en el momento indicado en los apartes citados, dando lugar a la aplicación de alguno de los siguientes métodos: i) media con valor absoluto; ii) media geométrica; iii) media aritmética alta y iv) media aritmética baja, cuya selección es aleatoria</w:t>
      </w:r>
    </w:p>
    <w:p w14:paraId="58E2D9D0" w14:textId="77777777" w:rsidR="004F30B3" w:rsidRPr="004F30B3" w:rsidRDefault="00E47159" w:rsidP="00965265">
      <w:pPr>
        <w:jc w:val="both"/>
        <w:rPr>
          <w:rFonts w:ascii="Arial" w:eastAsia="Calibri" w:hAnsi="Arial" w:cs="Arial"/>
          <w:color w:val="000000"/>
          <w:sz w:val="20"/>
          <w:szCs w:val="20"/>
          <w:lang w:val="es-ES_tradnl"/>
        </w:rPr>
      </w:pPr>
      <w:r w:rsidRPr="004F30B3">
        <w:rPr>
          <w:rFonts w:ascii="Arial" w:eastAsia="Arial" w:hAnsi="Arial" w:cs="Arial"/>
          <w:sz w:val="20"/>
          <w:szCs w:val="20"/>
          <w:lang w:val="es-ES" w:eastAsia="es-ES" w:bidi="es-ES"/>
        </w:rPr>
        <w:t xml:space="preserve">[…] </w:t>
      </w:r>
      <w:r w:rsidR="004F30B3" w:rsidRPr="004F30B3">
        <w:rPr>
          <w:rFonts w:ascii="Arial" w:eastAsia="Calibri" w:hAnsi="Arial" w:cs="Arial"/>
          <w:color w:val="000000"/>
          <w:sz w:val="20"/>
          <w:szCs w:val="20"/>
          <w:lang w:val="es-ES_tradnl"/>
        </w:rPr>
        <w:t xml:space="preserve">en los procesos de concurso de méritos, dentro de los que se encuentran los adelantados con documentos tipo de interventoría de obra pública de infraestructura de transporte, el precio no es un factor de escogencia, en atención al mandato expreso dispuesto en el inciso final del numeral 4° del artículo 5° de la Ley 1150 de 2007. </w:t>
      </w:r>
    </w:p>
    <w:p w14:paraId="11CAEE7C" w14:textId="77777777" w:rsidR="004F30B3" w:rsidRPr="004F30B3" w:rsidRDefault="004F30B3" w:rsidP="00965265">
      <w:pPr>
        <w:jc w:val="both"/>
        <w:rPr>
          <w:rFonts w:ascii="Arial" w:eastAsia="Calibri" w:hAnsi="Arial" w:cs="Arial"/>
          <w:color w:val="000000"/>
          <w:sz w:val="20"/>
          <w:szCs w:val="20"/>
          <w:lang w:val="es-ES_tradnl"/>
        </w:rPr>
      </w:pPr>
      <w:r w:rsidRPr="004F30B3">
        <w:rPr>
          <w:rFonts w:ascii="Arial" w:eastAsia="Calibri" w:hAnsi="Arial" w:cs="Arial"/>
          <w:color w:val="000000"/>
          <w:sz w:val="20"/>
          <w:szCs w:val="20"/>
          <w:lang w:val="es-ES_tradnl"/>
        </w:rPr>
        <w:t xml:space="preserve">En ese sentido, la oferta económica no es un factor que otorgue puntaje en el marco de los procesos de concurso de méritos, esto a diferencia, por ejemplo, de los procesos de licitación de obra pública de infraestructura de transporte, para los que esta Agencia ha expedido distintos documentos tipo, en los que de conformidad con el literal a) del numeral 2° del artículo 5° de la Ley 1150 de 2007, se ha establecido la oferta económica como factor ponderable, no siendo por tanto subsanable, sometiendo además la evaluación de la misma a métodos de ponderación de escogencia aleatoria con base en la TRM, de manera análoga a los dispuesto en el Documento Base adoptado por la Resolución No. 256 de 2020. </w:t>
      </w:r>
    </w:p>
    <w:p w14:paraId="312BD06F" w14:textId="77777777" w:rsidR="004F30B3" w:rsidRPr="004F30B3" w:rsidRDefault="004F30B3" w:rsidP="00965265">
      <w:pPr>
        <w:jc w:val="both"/>
        <w:rPr>
          <w:rFonts w:ascii="Arial" w:eastAsia="Calibri" w:hAnsi="Arial" w:cs="Arial"/>
          <w:color w:val="000000"/>
          <w:sz w:val="20"/>
          <w:szCs w:val="20"/>
          <w:lang w:val="es-ES_tradnl"/>
        </w:rPr>
      </w:pPr>
      <w:r w:rsidRPr="004F30B3">
        <w:rPr>
          <w:rFonts w:ascii="Arial" w:eastAsia="Calibri" w:hAnsi="Arial" w:cs="Arial"/>
          <w:color w:val="000000"/>
          <w:sz w:val="20"/>
          <w:szCs w:val="20"/>
          <w:lang w:val="es-ES_tradnl"/>
        </w:rPr>
        <w:t xml:space="preserve">En consecuencia, de acuerdo con lo anterior, se reitera que en los concursos de méritos adelantados con documentos tipo de interventoría de obra pública de infraestructura de transporte lo que se pondera o evalúa con puntos es la experiencia del proponente, lo que se realiza acudiendo a alguno de los métodos de ponderación explicados con anterioridad. </w:t>
      </w:r>
    </w:p>
    <w:p w14:paraId="04340F2E" w14:textId="6DBDC4D2" w:rsidR="004247E7" w:rsidRDefault="004247E7" w:rsidP="00965265">
      <w:pPr>
        <w:tabs>
          <w:tab w:val="left" w:pos="0"/>
        </w:tabs>
        <w:jc w:val="both"/>
        <w:rPr>
          <w:rFonts w:ascii="Arial" w:eastAsia="Arial" w:hAnsi="Arial" w:cs="Arial"/>
          <w:sz w:val="20"/>
          <w:szCs w:val="20"/>
          <w:lang w:val="es-ES_tradnl" w:eastAsia="es-ES" w:bidi="es-ES"/>
        </w:rPr>
      </w:pPr>
    </w:p>
    <w:p w14:paraId="2434AA52" w14:textId="77777777" w:rsidR="004F30B3" w:rsidRPr="004F30B3" w:rsidRDefault="004F30B3" w:rsidP="004F30B3">
      <w:pPr>
        <w:tabs>
          <w:tab w:val="left" w:pos="0"/>
        </w:tabs>
        <w:jc w:val="both"/>
        <w:rPr>
          <w:rFonts w:eastAsia="Times New Roman"/>
          <w:bCs/>
          <w:sz w:val="20"/>
          <w:szCs w:val="20"/>
          <w:highlight w:val="yellow"/>
          <w:lang w:eastAsia="es-CO"/>
        </w:rPr>
      </w:pPr>
    </w:p>
    <w:p w14:paraId="70E49230" w14:textId="2E4C8420" w:rsidR="003A4E98" w:rsidRDefault="003A4E98" w:rsidP="003A4E98">
      <w:pPr>
        <w:jc w:val="right"/>
        <w:rPr>
          <w:rFonts w:ascii="Arial" w:eastAsia="Calibri" w:hAnsi="Arial" w:cs="Arial"/>
          <w:sz w:val="22"/>
        </w:rPr>
      </w:pPr>
      <w:r w:rsidRPr="003A4E98">
        <w:rPr>
          <w:rFonts w:ascii="Arial" w:eastAsia="Calibri" w:hAnsi="Arial" w:cs="Arial"/>
          <w:noProof/>
          <w:sz w:val="22"/>
          <w:lang w:val="en-US"/>
        </w:rPr>
        <w:lastRenderedPageBreak/>
        <w:drawing>
          <wp:inline distT="0" distB="0" distL="0" distR="0" wp14:anchorId="6CD3B65E" wp14:editId="4C1525BB">
            <wp:extent cx="3439795" cy="828675"/>
            <wp:effectExtent l="0" t="0" r="825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344" cy="832180"/>
                    </a:xfrm>
                    <a:prstGeom prst="rect">
                      <a:avLst/>
                    </a:prstGeom>
                    <a:noFill/>
                    <a:ln>
                      <a:noFill/>
                    </a:ln>
                  </pic:spPr>
                </pic:pic>
              </a:graphicData>
            </a:graphic>
          </wp:inline>
        </w:drawing>
      </w:r>
    </w:p>
    <w:p w14:paraId="0074AF94" w14:textId="77777777" w:rsidR="003A4E98" w:rsidRDefault="003A4E98" w:rsidP="00DF0F8E">
      <w:pPr>
        <w:rPr>
          <w:rFonts w:ascii="Arial" w:eastAsia="Calibri" w:hAnsi="Arial" w:cs="Arial"/>
          <w:sz w:val="22"/>
        </w:rPr>
      </w:pPr>
    </w:p>
    <w:p w14:paraId="6A62E3F1" w14:textId="3F2BD589" w:rsidR="003A4E98" w:rsidRPr="003A4E98" w:rsidRDefault="003A4E98" w:rsidP="00DF0F8E">
      <w:pPr>
        <w:rPr>
          <w:rFonts w:ascii="ArialMT" w:hAnsi="ArialMT" w:cs="ArialMT"/>
          <w:color w:val="4E4D4D"/>
          <w:sz w:val="22"/>
          <w:lang w:val="en-US"/>
        </w:rPr>
      </w:pPr>
      <w:r w:rsidRPr="003A4E98">
        <w:rPr>
          <w:rFonts w:ascii="ArialMT" w:hAnsi="ArialMT" w:cs="ArialMT"/>
          <w:color w:val="4E4D4D"/>
          <w:sz w:val="22"/>
          <w:lang w:val="en-US"/>
        </w:rPr>
        <w:t>Bogotá, 19 Agosto 2021</w:t>
      </w:r>
    </w:p>
    <w:p w14:paraId="0FABB354" w14:textId="77777777" w:rsidR="003A4E98" w:rsidRDefault="003A4E98" w:rsidP="00DF0F8E">
      <w:pPr>
        <w:rPr>
          <w:rFonts w:ascii="Arial" w:eastAsia="Calibri" w:hAnsi="Arial" w:cs="Arial"/>
          <w:sz w:val="22"/>
        </w:rPr>
      </w:pPr>
    </w:p>
    <w:p w14:paraId="1F3E67BB" w14:textId="055A0AF4" w:rsidR="00AF1718" w:rsidRPr="00E91076" w:rsidRDefault="00AF1718" w:rsidP="00DF0F8E">
      <w:pPr>
        <w:rPr>
          <w:rFonts w:ascii="Arial" w:eastAsia="Calibri" w:hAnsi="Arial" w:cs="Arial"/>
          <w:sz w:val="22"/>
        </w:rPr>
      </w:pPr>
      <w:r w:rsidRPr="00E91076">
        <w:rPr>
          <w:rFonts w:ascii="Arial" w:eastAsia="Calibri" w:hAnsi="Arial" w:cs="Arial"/>
          <w:sz w:val="22"/>
        </w:rPr>
        <w:t>Señor</w:t>
      </w:r>
      <w:r w:rsidR="00196CF5">
        <w:rPr>
          <w:rFonts w:ascii="Arial" w:eastAsia="Calibri" w:hAnsi="Arial" w:cs="Arial"/>
          <w:sz w:val="22"/>
        </w:rPr>
        <w:t>a</w:t>
      </w:r>
    </w:p>
    <w:p w14:paraId="479972ED" w14:textId="2BB05507" w:rsidR="00AF1718" w:rsidRPr="00E91076" w:rsidRDefault="00F13F00" w:rsidP="00DF0F8E">
      <w:pPr>
        <w:rPr>
          <w:rFonts w:ascii="Arial" w:eastAsia="Calibri" w:hAnsi="Arial" w:cs="Arial"/>
          <w:sz w:val="22"/>
          <w:lang w:val="es-ES"/>
        </w:rPr>
      </w:pPr>
      <w:r>
        <w:rPr>
          <w:rFonts w:ascii="Arial" w:eastAsia="Calibri" w:hAnsi="Arial" w:cs="Arial"/>
          <w:sz w:val="22"/>
          <w:lang w:val="es-ES"/>
        </w:rPr>
        <w:t xml:space="preserve">Paula Andrea Carvajal Rodríguez </w:t>
      </w:r>
      <w:r w:rsidR="00866AEB" w:rsidRPr="00E91076">
        <w:rPr>
          <w:rFonts w:ascii="Arial" w:eastAsia="Calibri" w:hAnsi="Arial" w:cs="Arial"/>
          <w:sz w:val="22"/>
          <w:lang w:val="es-ES"/>
        </w:rPr>
        <w:t xml:space="preserve"> </w:t>
      </w:r>
    </w:p>
    <w:p w14:paraId="49A4DDE9" w14:textId="130F5023" w:rsidR="00866AEB" w:rsidRPr="00E91076" w:rsidRDefault="00F13F00" w:rsidP="00DF0F8E">
      <w:pPr>
        <w:rPr>
          <w:rFonts w:ascii="Arial" w:eastAsia="Calibri" w:hAnsi="Arial" w:cs="Arial"/>
          <w:sz w:val="22"/>
          <w:lang w:val="es-ES"/>
        </w:rPr>
      </w:pPr>
      <w:r>
        <w:rPr>
          <w:rFonts w:ascii="Arial" w:eastAsia="Calibri" w:hAnsi="Arial" w:cs="Arial"/>
          <w:sz w:val="22"/>
          <w:lang w:val="es-ES"/>
        </w:rPr>
        <w:t xml:space="preserve">Bogotá D.C </w:t>
      </w:r>
    </w:p>
    <w:p w14:paraId="38C44013" w14:textId="1320B27D" w:rsidR="002330A3" w:rsidRPr="00E91076" w:rsidRDefault="002330A3" w:rsidP="00DF0F8E">
      <w:pPr>
        <w:rPr>
          <w:rFonts w:ascii="Arial" w:eastAsia="Calibri" w:hAnsi="Arial" w:cs="Arial"/>
          <w:sz w:val="22"/>
          <w:lang w:val="es-ES"/>
        </w:rPr>
      </w:pPr>
    </w:p>
    <w:p w14:paraId="050026FD" w14:textId="77777777" w:rsidR="004D6F1F" w:rsidRPr="00E91076" w:rsidRDefault="004D6F1F" w:rsidP="00DF0F8E">
      <w:pPr>
        <w:rPr>
          <w:rFonts w:ascii="Arial" w:eastAsia="Calibri" w:hAnsi="Arial" w:cs="Arial"/>
          <w:b/>
          <w:sz w:val="22"/>
          <w:lang w:val="es-ES"/>
        </w:rPr>
      </w:pPr>
    </w:p>
    <w:p w14:paraId="4E74460C" w14:textId="77777777" w:rsidR="002330A3" w:rsidRPr="00E91076" w:rsidRDefault="002330A3" w:rsidP="00DF0F8E">
      <w:pPr>
        <w:rPr>
          <w:rFonts w:ascii="Arial" w:eastAsia="Calibri" w:hAnsi="Arial" w:cs="Arial"/>
          <w:sz w:val="22"/>
        </w:rPr>
      </w:pPr>
    </w:p>
    <w:p w14:paraId="25167302" w14:textId="77777777" w:rsidR="00A60A14" w:rsidRPr="00E91076" w:rsidRDefault="00A60A14" w:rsidP="00DF0F8E">
      <w:pPr>
        <w:rPr>
          <w:rFonts w:ascii="Arial" w:eastAsia="Calibri" w:hAnsi="Arial" w:cs="Arial"/>
          <w:sz w:val="22"/>
        </w:rPr>
      </w:pPr>
    </w:p>
    <w:p w14:paraId="64DAC2D7" w14:textId="7DAEC916" w:rsidR="00AF1718" w:rsidRPr="00E91076" w:rsidRDefault="00F13F00" w:rsidP="00DF0F8E">
      <w:pPr>
        <w:ind w:left="2124" w:firstLine="570"/>
        <w:rPr>
          <w:rFonts w:ascii="Arial" w:eastAsia="Calibri" w:hAnsi="Arial" w:cs="Arial"/>
          <w:b/>
          <w:sz w:val="22"/>
        </w:rPr>
      </w:pPr>
      <w:r>
        <w:rPr>
          <w:rFonts w:ascii="Arial" w:eastAsia="Calibri" w:hAnsi="Arial" w:cs="Arial"/>
          <w:b/>
          <w:sz w:val="22"/>
        </w:rPr>
        <w:t>Concepto C- 402</w:t>
      </w:r>
      <w:r w:rsidR="00AF1718" w:rsidRPr="00E91076">
        <w:rPr>
          <w:rFonts w:ascii="Arial" w:eastAsia="Calibri" w:hAnsi="Arial" w:cs="Arial"/>
          <w:b/>
          <w:sz w:val="22"/>
        </w:rPr>
        <w:t xml:space="preserve"> de 2021</w:t>
      </w:r>
    </w:p>
    <w:p w14:paraId="37719CA8" w14:textId="77777777" w:rsidR="00AF1718" w:rsidRPr="00E91076"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E91076" w14:paraId="00B1888F" w14:textId="77777777" w:rsidTr="00A60A14">
        <w:tc>
          <w:tcPr>
            <w:tcW w:w="2689" w:type="dxa"/>
            <w:hideMark/>
          </w:tcPr>
          <w:p w14:paraId="1C9397C0" w14:textId="5CD0567D" w:rsidR="00AF1718" w:rsidRPr="00E91076" w:rsidRDefault="00AF1718" w:rsidP="00DF0F8E">
            <w:pPr>
              <w:rPr>
                <w:rFonts w:ascii="Arial" w:eastAsia="Calibri" w:hAnsi="Arial" w:cs="Arial"/>
                <w:sz w:val="22"/>
              </w:rPr>
            </w:pPr>
            <w:r w:rsidRPr="00E91076">
              <w:rPr>
                <w:rFonts w:ascii="Arial" w:eastAsia="Calibri" w:hAnsi="Arial" w:cs="Arial"/>
                <w:b/>
                <w:sz w:val="22"/>
              </w:rPr>
              <w:t>Temas:</w:t>
            </w:r>
            <w:r w:rsidRPr="00E91076">
              <w:rPr>
                <w:rFonts w:ascii="Arial" w:eastAsia="Calibri" w:hAnsi="Arial" w:cs="Arial"/>
                <w:sz w:val="22"/>
              </w:rPr>
              <w:t xml:space="preserve">  </w:t>
            </w:r>
          </w:p>
          <w:p w14:paraId="6531557F" w14:textId="3F92F245" w:rsidR="00AF1718" w:rsidRPr="00E91076" w:rsidRDefault="00AF1718" w:rsidP="00DF0F8E">
            <w:pPr>
              <w:rPr>
                <w:rFonts w:ascii="Arial" w:eastAsia="Calibri" w:hAnsi="Arial" w:cs="Arial"/>
                <w:sz w:val="22"/>
              </w:rPr>
            </w:pPr>
            <w:r w:rsidRPr="00E91076">
              <w:rPr>
                <w:rFonts w:ascii="Arial" w:eastAsia="Calibri" w:hAnsi="Arial" w:cs="Arial"/>
                <w:sz w:val="22"/>
              </w:rPr>
              <w:t xml:space="preserve"> </w:t>
            </w:r>
          </w:p>
        </w:tc>
        <w:tc>
          <w:tcPr>
            <w:tcW w:w="6237" w:type="dxa"/>
            <w:hideMark/>
          </w:tcPr>
          <w:p w14:paraId="35B012F1" w14:textId="77777777" w:rsidR="00196CF5" w:rsidRPr="00196CF5" w:rsidRDefault="00196CF5" w:rsidP="00196CF5">
            <w:pPr>
              <w:jc w:val="both"/>
              <w:rPr>
                <w:rFonts w:ascii="Arial" w:eastAsia="Calibri" w:hAnsi="Arial" w:cs="Arial"/>
                <w:sz w:val="22"/>
                <w:lang w:val="es-CO"/>
              </w:rPr>
            </w:pPr>
            <w:r w:rsidRPr="00196CF5">
              <w:rPr>
                <w:rFonts w:ascii="Arial" w:eastAsia="Calibri" w:hAnsi="Arial" w:cs="Arial"/>
                <w:sz w:val="22"/>
                <w:lang w:val="es-CO"/>
              </w:rPr>
              <w:t>DOCUMENTOS TIPO –</w:t>
            </w:r>
            <w:r w:rsidRPr="00196CF5">
              <w:rPr>
                <w:rFonts w:ascii="Arial" w:eastAsia="Arial" w:hAnsi="Arial" w:cs="Arial"/>
                <w:bCs/>
                <w:color w:val="000000"/>
                <w:sz w:val="22"/>
                <w:lang w:val="es-ES_tradnl"/>
              </w:rPr>
              <w:t xml:space="preserve"> </w:t>
            </w:r>
            <w:r w:rsidRPr="00196CF5">
              <w:rPr>
                <w:rFonts w:ascii="Arial" w:hAnsi="Arial" w:cs="Arial"/>
                <w:bCs/>
                <w:color w:val="000000" w:themeColor="text1"/>
                <w:sz w:val="22"/>
                <w:lang w:val="es-ES"/>
              </w:rPr>
              <w:t xml:space="preserve">Interventoría </w:t>
            </w:r>
            <w:r w:rsidRPr="00196CF5">
              <w:rPr>
                <w:rFonts w:ascii="Arial" w:eastAsia="Calibri" w:hAnsi="Arial" w:cs="Arial"/>
                <w:bCs/>
                <w:color w:val="000000" w:themeColor="text1"/>
                <w:sz w:val="22"/>
                <w:lang w:val="es-ES_tradnl"/>
              </w:rPr>
              <w:t xml:space="preserve">de obra pública de infraestructura de transporte </w:t>
            </w:r>
            <w:r w:rsidRPr="00196CF5">
              <w:rPr>
                <w:rFonts w:ascii="Arial" w:eastAsia="Calibri" w:hAnsi="Arial" w:cs="Arial"/>
                <w:sz w:val="22"/>
                <w:lang w:val="es-CO"/>
              </w:rPr>
              <w:t xml:space="preserve">– </w:t>
            </w:r>
            <w:r w:rsidRPr="00196CF5">
              <w:rPr>
                <w:rFonts w:ascii="Arial" w:eastAsia="Arial" w:hAnsi="Arial" w:cs="Arial"/>
                <w:bCs/>
                <w:color w:val="000000"/>
                <w:sz w:val="22"/>
                <w:lang w:val="es-ES_tradnl"/>
              </w:rPr>
              <w:t>Fundamento normativo</w:t>
            </w:r>
            <w:r w:rsidR="007C5CF1" w:rsidRPr="00196CF5">
              <w:rPr>
                <w:rFonts w:ascii="Arial" w:eastAsia="Calibri" w:hAnsi="Arial" w:cs="Arial"/>
                <w:sz w:val="22"/>
                <w:lang w:val="es-CO"/>
              </w:rPr>
              <w:t xml:space="preserve"> – </w:t>
            </w:r>
            <w:r w:rsidRPr="00196CF5">
              <w:rPr>
                <w:rFonts w:ascii="Arial" w:eastAsia="Calibri" w:hAnsi="Arial" w:cs="Arial"/>
                <w:sz w:val="22"/>
                <w:lang w:val="es-CO"/>
              </w:rPr>
              <w:t>DOCUMENTOS TIPO – Interventoría de obra pública de infraestructura de transporte – Método de ponderación – Selección aleatoria – TRM.</w:t>
            </w:r>
          </w:p>
          <w:p w14:paraId="49CF9B1E" w14:textId="77777777" w:rsidR="00362FC9" w:rsidRDefault="00362FC9" w:rsidP="00196CF5">
            <w:pPr>
              <w:rPr>
                <w:rFonts w:ascii="Arial" w:eastAsia="Calibri" w:hAnsi="Arial" w:cs="Arial"/>
                <w:sz w:val="22"/>
              </w:rPr>
            </w:pPr>
          </w:p>
          <w:p w14:paraId="30A9E48B" w14:textId="69E32356" w:rsidR="00196CF5" w:rsidRPr="00E91076" w:rsidRDefault="00196CF5" w:rsidP="00196CF5">
            <w:pPr>
              <w:rPr>
                <w:rFonts w:ascii="Arial" w:eastAsia="Calibri" w:hAnsi="Arial" w:cs="Arial"/>
                <w:sz w:val="22"/>
              </w:rPr>
            </w:pPr>
          </w:p>
        </w:tc>
      </w:tr>
      <w:tr w:rsidR="00AF1718" w:rsidRPr="00E91076" w14:paraId="0E180394" w14:textId="77777777" w:rsidTr="00A60A14">
        <w:tc>
          <w:tcPr>
            <w:tcW w:w="2689" w:type="dxa"/>
          </w:tcPr>
          <w:p w14:paraId="35D0842E" w14:textId="46837F9C" w:rsidR="00AF1718" w:rsidRPr="00E91076" w:rsidRDefault="00AF1718" w:rsidP="00DF0F8E">
            <w:pPr>
              <w:rPr>
                <w:rFonts w:ascii="Arial" w:eastAsia="Calibri" w:hAnsi="Arial" w:cs="Arial"/>
                <w:b/>
                <w:sz w:val="22"/>
              </w:rPr>
            </w:pPr>
            <w:r w:rsidRPr="00E91076">
              <w:rPr>
                <w:rFonts w:ascii="Arial" w:eastAsia="Calibri" w:hAnsi="Arial" w:cs="Arial"/>
                <w:b/>
                <w:sz w:val="22"/>
              </w:rPr>
              <w:t>Radicación:</w:t>
            </w:r>
            <w:r w:rsidRPr="00E91076">
              <w:rPr>
                <w:rFonts w:ascii="Arial" w:eastAsia="Calibri" w:hAnsi="Arial" w:cs="Arial"/>
                <w:sz w:val="22"/>
              </w:rPr>
              <w:t xml:space="preserve"> </w:t>
            </w:r>
          </w:p>
        </w:tc>
        <w:tc>
          <w:tcPr>
            <w:tcW w:w="6237" w:type="dxa"/>
          </w:tcPr>
          <w:p w14:paraId="1B6BB553" w14:textId="606137FC" w:rsidR="00AF1718" w:rsidRPr="00E91076" w:rsidRDefault="00FF6BBB" w:rsidP="00143A66">
            <w:pPr>
              <w:jc w:val="both"/>
              <w:rPr>
                <w:rFonts w:ascii="Arial" w:eastAsia="Calibri" w:hAnsi="Arial" w:cs="Arial"/>
                <w:sz w:val="22"/>
              </w:rPr>
            </w:pPr>
            <w:r w:rsidRPr="00E91076">
              <w:rPr>
                <w:rFonts w:ascii="Arial" w:eastAsia="Calibri" w:hAnsi="Arial" w:cs="Arial"/>
                <w:sz w:val="22"/>
              </w:rPr>
              <w:t>Respuesta a consulta</w:t>
            </w:r>
            <w:r w:rsidR="00F13F00">
              <w:rPr>
                <w:rFonts w:ascii="Arial" w:eastAsia="Calibri" w:hAnsi="Arial" w:cs="Arial"/>
                <w:sz w:val="22"/>
              </w:rPr>
              <w:t xml:space="preserve"> P2021070</w:t>
            </w:r>
            <w:r w:rsidR="00AC0DBD">
              <w:rPr>
                <w:rFonts w:ascii="Arial" w:eastAsia="Calibri" w:hAnsi="Arial" w:cs="Arial"/>
                <w:sz w:val="22"/>
              </w:rPr>
              <w:t>6005922</w:t>
            </w:r>
            <w:r w:rsidR="002330A3" w:rsidRPr="00E91076">
              <w:rPr>
                <w:rFonts w:ascii="Arial" w:eastAsia="Calibri" w:hAnsi="Arial" w:cs="Arial"/>
                <w:sz w:val="22"/>
              </w:rPr>
              <w:t xml:space="preserve">. </w:t>
            </w:r>
          </w:p>
        </w:tc>
      </w:tr>
    </w:tbl>
    <w:p w14:paraId="4A4DF0C0" w14:textId="77777777" w:rsidR="00AF1718" w:rsidRPr="00E91076" w:rsidRDefault="00AF1718" w:rsidP="00DF0F8E">
      <w:pPr>
        <w:jc w:val="both"/>
        <w:rPr>
          <w:rFonts w:ascii="Arial" w:eastAsia="Calibri" w:hAnsi="Arial" w:cs="Arial"/>
          <w:sz w:val="22"/>
        </w:rPr>
      </w:pPr>
    </w:p>
    <w:p w14:paraId="2B19C121" w14:textId="77777777" w:rsidR="00AF1718" w:rsidRPr="00E91076" w:rsidRDefault="00AF1718" w:rsidP="00DF0F8E">
      <w:pPr>
        <w:rPr>
          <w:rFonts w:ascii="Arial" w:eastAsia="Calibri" w:hAnsi="Arial" w:cs="Arial"/>
          <w:sz w:val="22"/>
        </w:rPr>
      </w:pPr>
    </w:p>
    <w:p w14:paraId="1612DE7D" w14:textId="31D2C819" w:rsidR="00AF1718" w:rsidRPr="00E91076" w:rsidRDefault="00196CF5" w:rsidP="008B1764">
      <w:pPr>
        <w:spacing w:line="276" w:lineRule="auto"/>
        <w:rPr>
          <w:rFonts w:ascii="Arial" w:eastAsia="Calibri" w:hAnsi="Arial" w:cs="Arial"/>
          <w:sz w:val="22"/>
        </w:rPr>
      </w:pPr>
      <w:r>
        <w:rPr>
          <w:rFonts w:ascii="Arial" w:eastAsia="Calibri" w:hAnsi="Arial" w:cs="Arial"/>
          <w:sz w:val="22"/>
        </w:rPr>
        <w:t>Estimada</w:t>
      </w:r>
      <w:r w:rsidR="00391E67">
        <w:rPr>
          <w:rFonts w:ascii="Arial" w:eastAsia="Calibri" w:hAnsi="Arial" w:cs="Arial"/>
          <w:sz w:val="22"/>
        </w:rPr>
        <w:t xml:space="preserve"> señor</w:t>
      </w:r>
      <w:r>
        <w:rPr>
          <w:rFonts w:ascii="Arial" w:eastAsia="Calibri" w:hAnsi="Arial" w:cs="Arial"/>
          <w:sz w:val="22"/>
        </w:rPr>
        <w:t>a</w:t>
      </w:r>
      <w:r w:rsidR="00391E67">
        <w:rPr>
          <w:rFonts w:ascii="Arial" w:eastAsia="Calibri" w:hAnsi="Arial" w:cs="Arial"/>
          <w:sz w:val="22"/>
        </w:rPr>
        <w:t xml:space="preserve"> </w:t>
      </w:r>
      <w:r>
        <w:rPr>
          <w:rFonts w:ascii="Arial" w:eastAsia="Calibri" w:hAnsi="Arial" w:cs="Arial"/>
          <w:sz w:val="22"/>
        </w:rPr>
        <w:t>Carvajal</w:t>
      </w:r>
      <w:r w:rsidR="00AF1718" w:rsidRPr="00E91076">
        <w:rPr>
          <w:rFonts w:ascii="Arial" w:eastAsia="Calibri" w:hAnsi="Arial" w:cs="Arial"/>
          <w:sz w:val="22"/>
        </w:rPr>
        <w:t>,</w:t>
      </w:r>
    </w:p>
    <w:p w14:paraId="6CEE3088" w14:textId="77777777" w:rsidR="00AF1718" w:rsidRPr="00E91076" w:rsidRDefault="00AF1718" w:rsidP="008B1764">
      <w:pPr>
        <w:spacing w:line="276" w:lineRule="auto"/>
        <w:rPr>
          <w:rFonts w:ascii="Arial" w:eastAsia="Calibri" w:hAnsi="Arial" w:cs="Arial"/>
          <w:sz w:val="22"/>
        </w:rPr>
      </w:pPr>
    </w:p>
    <w:p w14:paraId="1A0A2BD6" w14:textId="07B5D5D5" w:rsidR="00AF1718" w:rsidRPr="00E91076" w:rsidRDefault="00AF1718" w:rsidP="008B1764">
      <w:pPr>
        <w:spacing w:line="276" w:lineRule="auto"/>
        <w:jc w:val="both"/>
        <w:rPr>
          <w:rFonts w:ascii="Arial" w:eastAsia="Calibri" w:hAnsi="Arial" w:cs="Arial"/>
          <w:sz w:val="22"/>
        </w:rPr>
      </w:pPr>
      <w:r w:rsidRPr="00E91076">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E91076">
        <w:rPr>
          <w:rFonts w:ascii="Arial" w:eastAsia="Calibri" w:hAnsi="Arial" w:cs="Arial"/>
          <w:sz w:val="22"/>
        </w:rPr>
        <w:t>te responde su consulta</w:t>
      </w:r>
      <w:r w:rsidR="00AC0DBD">
        <w:rPr>
          <w:rFonts w:ascii="Arial" w:eastAsia="Calibri" w:hAnsi="Arial" w:cs="Arial"/>
          <w:sz w:val="22"/>
        </w:rPr>
        <w:t xml:space="preserve"> del 6</w:t>
      </w:r>
      <w:r w:rsidR="00391E67">
        <w:rPr>
          <w:rFonts w:ascii="Arial" w:eastAsia="Calibri" w:hAnsi="Arial" w:cs="Arial"/>
          <w:sz w:val="22"/>
        </w:rPr>
        <w:t xml:space="preserve"> de jul</w:t>
      </w:r>
      <w:r w:rsidR="00866AEB" w:rsidRPr="00E91076">
        <w:rPr>
          <w:rFonts w:ascii="Arial" w:eastAsia="Calibri" w:hAnsi="Arial" w:cs="Arial"/>
          <w:sz w:val="22"/>
        </w:rPr>
        <w:t>io</w:t>
      </w:r>
      <w:r w:rsidRPr="00E91076">
        <w:rPr>
          <w:rFonts w:ascii="Arial" w:eastAsia="Calibri" w:hAnsi="Arial" w:cs="Arial"/>
          <w:sz w:val="22"/>
        </w:rPr>
        <w:t xml:space="preserve"> de 2021.</w:t>
      </w:r>
    </w:p>
    <w:p w14:paraId="0423D3E8" w14:textId="77777777" w:rsidR="00735EB6" w:rsidRPr="00E91076" w:rsidRDefault="00735EB6" w:rsidP="008B1764">
      <w:pPr>
        <w:spacing w:line="276" w:lineRule="auto"/>
        <w:jc w:val="both"/>
        <w:rPr>
          <w:rFonts w:ascii="Arial" w:eastAsia="Calibri" w:hAnsi="Arial" w:cs="Arial"/>
          <w:sz w:val="22"/>
        </w:rPr>
      </w:pPr>
    </w:p>
    <w:p w14:paraId="2B178A13" w14:textId="536B6F6C" w:rsidR="00AF1718" w:rsidRPr="00E91076" w:rsidRDefault="00AF1718" w:rsidP="008B1764">
      <w:pPr>
        <w:pStyle w:val="Prrafodelista"/>
        <w:tabs>
          <w:tab w:val="left" w:pos="284"/>
        </w:tabs>
        <w:spacing w:line="276" w:lineRule="auto"/>
        <w:ind w:left="0"/>
        <w:jc w:val="both"/>
        <w:rPr>
          <w:rFonts w:ascii="Arial" w:eastAsia="Calibri" w:hAnsi="Arial" w:cs="Arial"/>
          <w:b/>
          <w:sz w:val="22"/>
        </w:rPr>
      </w:pPr>
      <w:r w:rsidRPr="00E91076">
        <w:rPr>
          <w:rFonts w:ascii="Arial" w:eastAsia="Calibri" w:hAnsi="Arial" w:cs="Arial"/>
          <w:b/>
          <w:sz w:val="22"/>
        </w:rPr>
        <w:t>1. Problema planteado</w:t>
      </w:r>
      <w:r w:rsidR="00566674" w:rsidRPr="00E91076">
        <w:rPr>
          <w:rFonts w:ascii="Arial" w:eastAsia="Calibri" w:hAnsi="Arial" w:cs="Arial"/>
          <w:b/>
          <w:sz w:val="22"/>
        </w:rPr>
        <w:t>.</w:t>
      </w:r>
    </w:p>
    <w:p w14:paraId="26CBCC38" w14:textId="77777777" w:rsidR="00735EB6" w:rsidRPr="00E91076" w:rsidRDefault="00735EB6" w:rsidP="008B1764">
      <w:pPr>
        <w:tabs>
          <w:tab w:val="left" w:pos="426"/>
        </w:tabs>
        <w:spacing w:line="276" w:lineRule="auto"/>
        <w:jc w:val="both"/>
        <w:rPr>
          <w:rFonts w:ascii="Arial" w:eastAsia="Calibri" w:hAnsi="Arial" w:cs="Arial"/>
          <w:sz w:val="22"/>
        </w:rPr>
      </w:pPr>
      <w:bookmarkStart w:id="4" w:name="_Hlk68679800"/>
    </w:p>
    <w:p w14:paraId="0B17B321" w14:textId="01769163" w:rsidR="009604E6" w:rsidRPr="00E91076" w:rsidRDefault="00AF1718" w:rsidP="008B1764">
      <w:pPr>
        <w:tabs>
          <w:tab w:val="left" w:pos="426"/>
        </w:tabs>
        <w:spacing w:line="276" w:lineRule="auto"/>
        <w:jc w:val="both"/>
        <w:rPr>
          <w:rFonts w:ascii="Arial" w:eastAsia="Calibri" w:hAnsi="Arial" w:cs="Arial"/>
          <w:sz w:val="22"/>
        </w:rPr>
      </w:pPr>
      <w:r w:rsidRPr="00E91076">
        <w:rPr>
          <w:rFonts w:ascii="Arial" w:eastAsia="Calibri" w:hAnsi="Arial" w:cs="Arial"/>
          <w:sz w:val="22"/>
        </w:rPr>
        <w:t xml:space="preserve">En relación </w:t>
      </w:r>
      <w:r w:rsidR="00AC0DBD">
        <w:rPr>
          <w:rFonts w:ascii="Arial" w:hAnsi="Arial" w:cs="Arial"/>
          <w:color w:val="000000" w:themeColor="text1"/>
          <w:sz w:val="22"/>
          <w:lang w:val="es-ES_tradnl"/>
        </w:rPr>
        <w:t xml:space="preserve">a </w:t>
      </w:r>
      <w:r w:rsidR="00AC0DBD" w:rsidRPr="009C7D09">
        <w:rPr>
          <w:rFonts w:ascii="Arial" w:hAnsi="Arial" w:cs="Arial"/>
          <w:color w:val="000000" w:themeColor="text1"/>
          <w:sz w:val="22"/>
          <w:lang w:val="es-ES_tradnl"/>
        </w:rPr>
        <w:t>los Documentos Tipo de Interventoría de Obra Pública de Infraestructura de Transporte</w:t>
      </w:r>
      <w:r w:rsidR="00AC0DBD">
        <w:rPr>
          <w:rFonts w:ascii="Arial" w:eastAsia="Calibri" w:hAnsi="Arial" w:cs="Arial"/>
          <w:sz w:val="22"/>
          <w:lang w:val="es-ES"/>
        </w:rPr>
        <w:t>,</w:t>
      </w:r>
      <w:r w:rsidR="00391E67">
        <w:rPr>
          <w:rFonts w:ascii="Arial" w:eastAsia="Calibri" w:hAnsi="Arial" w:cs="Arial"/>
          <w:sz w:val="22"/>
        </w:rPr>
        <w:t xml:space="preserve"> </w:t>
      </w:r>
      <w:r w:rsidR="00391E67" w:rsidRPr="00E91076">
        <w:rPr>
          <w:rFonts w:ascii="Arial" w:eastAsia="Calibri" w:hAnsi="Arial" w:cs="Arial"/>
          <w:sz w:val="22"/>
        </w:rPr>
        <w:t>usted</w:t>
      </w:r>
      <w:r w:rsidRPr="00E91076">
        <w:rPr>
          <w:rFonts w:ascii="Arial" w:eastAsia="Calibri" w:hAnsi="Arial" w:cs="Arial"/>
          <w:sz w:val="22"/>
        </w:rPr>
        <w:t xml:space="preserve"> realiza la siguiente pregunta: </w:t>
      </w:r>
    </w:p>
    <w:p w14:paraId="17B6C4CE" w14:textId="77777777" w:rsidR="009604E6" w:rsidRPr="00E91076" w:rsidRDefault="009604E6" w:rsidP="008B1764">
      <w:pPr>
        <w:tabs>
          <w:tab w:val="left" w:pos="426"/>
        </w:tabs>
        <w:spacing w:line="276" w:lineRule="auto"/>
        <w:jc w:val="both"/>
        <w:rPr>
          <w:rFonts w:ascii="Arial" w:eastAsia="Calibri" w:hAnsi="Arial" w:cs="Arial"/>
          <w:sz w:val="22"/>
        </w:rPr>
      </w:pPr>
    </w:p>
    <w:p w14:paraId="6D8452C6" w14:textId="40F9D884" w:rsidR="00AF1718" w:rsidRPr="00E91076" w:rsidRDefault="00AF1718" w:rsidP="00196CF5">
      <w:pPr>
        <w:tabs>
          <w:tab w:val="left" w:pos="426"/>
        </w:tabs>
        <w:ind w:left="709" w:right="709"/>
        <w:jc w:val="both"/>
        <w:rPr>
          <w:rFonts w:ascii="Arial" w:eastAsia="Calibri" w:hAnsi="Arial" w:cs="Arial"/>
          <w:sz w:val="21"/>
          <w:szCs w:val="21"/>
        </w:rPr>
      </w:pPr>
      <w:r w:rsidRPr="00E91076">
        <w:rPr>
          <w:rFonts w:ascii="Arial" w:eastAsia="Calibri" w:hAnsi="Arial" w:cs="Arial"/>
          <w:sz w:val="21"/>
          <w:szCs w:val="21"/>
        </w:rPr>
        <w:t>«</w:t>
      </w:r>
      <w:r w:rsidR="003D338B">
        <w:rPr>
          <w:rFonts w:ascii="Arial" w:eastAsia="Calibri" w:hAnsi="Arial" w:cs="Arial"/>
          <w:sz w:val="21"/>
          <w:szCs w:val="21"/>
        </w:rPr>
        <w:t>De acuerdo con el documento base o pliego tipo de interventoría, en el 4.1 FORMA DE VERIFICACIÓN Y ASIGNACIÓN DE PUNTAJE POR LA EXPERIENCIA DEL PROPONENTE en el literal C indica método de ponderación evaluación económica que será determinado por la TRM, solicito me aclaré si para este tipo de proceso aplica, puesto que solo se otorga puntaje técnico y el mayor puntaje será al que se le evalué la oferta económica</w:t>
      </w:r>
      <w:r w:rsidRPr="00E91076">
        <w:rPr>
          <w:rFonts w:ascii="Arial" w:eastAsia="Calibri" w:hAnsi="Arial" w:cs="Arial"/>
          <w:sz w:val="21"/>
          <w:szCs w:val="21"/>
        </w:rPr>
        <w:t>»</w:t>
      </w:r>
      <w:bookmarkEnd w:id="4"/>
      <w:r w:rsidRPr="00E91076">
        <w:rPr>
          <w:rFonts w:ascii="Arial" w:eastAsia="Calibri" w:hAnsi="Arial" w:cs="Arial"/>
          <w:sz w:val="21"/>
          <w:szCs w:val="21"/>
        </w:rPr>
        <w:t>.</w:t>
      </w:r>
    </w:p>
    <w:p w14:paraId="36F521E3" w14:textId="5D5872F0" w:rsidR="00735EB6" w:rsidRPr="00E91076" w:rsidRDefault="00735EB6" w:rsidP="008B1764">
      <w:pPr>
        <w:tabs>
          <w:tab w:val="left" w:pos="426"/>
        </w:tabs>
        <w:spacing w:line="276" w:lineRule="auto"/>
        <w:jc w:val="both"/>
        <w:rPr>
          <w:rFonts w:ascii="Arial" w:eastAsia="Calibri" w:hAnsi="Arial" w:cs="Arial"/>
          <w:sz w:val="22"/>
        </w:rPr>
      </w:pPr>
    </w:p>
    <w:p w14:paraId="686E487D" w14:textId="5F37D90E" w:rsidR="00A83FFE" w:rsidRDefault="00E7138C" w:rsidP="008B1764">
      <w:pPr>
        <w:tabs>
          <w:tab w:val="left" w:pos="426"/>
        </w:tabs>
        <w:spacing w:line="276" w:lineRule="auto"/>
        <w:jc w:val="both"/>
        <w:rPr>
          <w:rFonts w:ascii="Arial" w:eastAsia="Calibri" w:hAnsi="Arial" w:cs="Arial"/>
          <w:b/>
          <w:sz w:val="22"/>
        </w:rPr>
      </w:pPr>
      <w:r w:rsidRPr="005238E2">
        <w:rPr>
          <w:rFonts w:ascii="Arial" w:eastAsia="Calibri" w:hAnsi="Arial" w:cs="Arial"/>
          <w:b/>
          <w:sz w:val="22"/>
        </w:rPr>
        <w:t>2. Consideraciones</w:t>
      </w:r>
      <w:r w:rsidR="005D0519" w:rsidRPr="005238E2">
        <w:rPr>
          <w:rFonts w:ascii="Arial" w:eastAsia="Calibri" w:hAnsi="Arial" w:cs="Arial"/>
          <w:b/>
          <w:sz w:val="22"/>
        </w:rPr>
        <w:t>.</w:t>
      </w:r>
    </w:p>
    <w:p w14:paraId="7C8ED87B" w14:textId="77777777" w:rsidR="0021701A" w:rsidRDefault="0021701A" w:rsidP="008B1764">
      <w:pPr>
        <w:tabs>
          <w:tab w:val="left" w:pos="426"/>
        </w:tabs>
        <w:spacing w:line="276" w:lineRule="auto"/>
        <w:jc w:val="both"/>
        <w:rPr>
          <w:rFonts w:ascii="Arial" w:eastAsia="Calibri" w:hAnsi="Arial" w:cs="Arial"/>
          <w:b/>
          <w:sz w:val="22"/>
        </w:rPr>
      </w:pPr>
    </w:p>
    <w:p w14:paraId="01479CBE" w14:textId="136D2FCF" w:rsidR="00AD3670" w:rsidRPr="0021701A" w:rsidRDefault="0021701A" w:rsidP="0021701A">
      <w:pPr>
        <w:tabs>
          <w:tab w:val="left" w:pos="426"/>
        </w:tabs>
        <w:spacing w:line="276" w:lineRule="auto"/>
        <w:jc w:val="both"/>
        <w:rPr>
          <w:rFonts w:ascii="Arial" w:eastAsia="Calibri" w:hAnsi="Arial" w:cs="Arial"/>
          <w:b/>
          <w:sz w:val="22"/>
        </w:rPr>
      </w:pPr>
      <w:r w:rsidRPr="009C7D09">
        <w:rPr>
          <w:rFonts w:ascii="Arial" w:eastAsia="Calibri" w:hAnsi="Arial" w:cs="Arial"/>
          <w:color w:val="000000" w:themeColor="text1"/>
          <w:sz w:val="22"/>
          <w:lang w:val="es-ES_tradnl"/>
        </w:rPr>
        <w:t>La Agencia Nacional de Contratación Pública – Colombia Compra Eficiente se pronunció sobre la regulación relacionada con la elección y aplicación del método</w:t>
      </w:r>
      <w:r>
        <w:rPr>
          <w:rFonts w:ascii="Arial" w:eastAsia="Calibri" w:hAnsi="Arial" w:cs="Arial"/>
          <w:color w:val="000000" w:themeColor="text1"/>
          <w:sz w:val="22"/>
          <w:lang w:val="es-ES_tradnl"/>
        </w:rPr>
        <w:t xml:space="preserve"> </w:t>
      </w:r>
      <w:r w:rsidRPr="009C7D09">
        <w:rPr>
          <w:rFonts w:ascii="Arial" w:eastAsia="Calibri" w:hAnsi="Arial" w:cs="Arial"/>
          <w:color w:val="000000" w:themeColor="text1"/>
          <w:sz w:val="22"/>
          <w:lang w:val="es-ES_tradnl"/>
        </w:rPr>
        <w:t>de ponderación</w:t>
      </w:r>
      <w:r>
        <w:rPr>
          <w:rFonts w:ascii="Arial" w:eastAsia="Calibri" w:hAnsi="Arial" w:cs="Arial"/>
          <w:color w:val="000000" w:themeColor="text1"/>
          <w:sz w:val="22"/>
          <w:lang w:val="es-ES_tradnl"/>
        </w:rPr>
        <w:t xml:space="preserve"> de ofertas</w:t>
      </w:r>
      <w:r w:rsidRPr="009C7D09">
        <w:rPr>
          <w:rFonts w:ascii="Arial" w:eastAsia="Calibri" w:hAnsi="Arial" w:cs="Arial"/>
          <w:color w:val="000000" w:themeColor="text1"/>
          <w:sz w:val="22"/>
          <w:lang w:val="es-ES_tradnl"/>
        </w:rPr>
        <w:t xml:space="preserve"> en procesos contractuales regidos por documentos tipo mediante los conceptos C-193 del 6 de abril de 2020, C-279 del 18 de mayo de 2020, C-349 del 23 de junio de 2020, C-431 del 9 de julio de 2020, C-793 del 20 de enero de 2021, C-810 del 8 de febrero de 2021, C-011 del 17 de febrero de 2021, C-042 del 3 de marzo de </w:t>
      </w:r>
      <w:r>
        <w:rPr>
          <w:rFonts w:ascii="Arial" w:eastAsia="Calibri" w:hAnsi="Arial" w:cs="Arial"/>
          <w:color w:val="000000" w:themeColor="text1"/>
          <w:sz w:val="22"/>
          <w:lang w:val="es-ES_tradnl"/>
        </w:rPr>
        <w:t xml:space="preserve">2021, </w:t>
      </w:r>
      <w:r w:rsidRPr="009C7D09">
        <w:rPr>
          <w:rFonts w:ascii="Arial" w:eastAsia="Calibri" w:hAnsi="Arial" w:cs="Arial"/>
          <w:color w:val="000000" w:themeColor="text1"/>
          <w:sz w:val="22"/>
          <w:lang w:val="es-ES_tradnl"/>
        </w:rPr>
        <w:t>C-174 del 26 de abril de 2021</w:t>
      </w:r>
      <w:r>
        <w:rPr>
          <w:rFonts w:ascii="Arial" w:eastAsia="Calibri" w:hAnsi="Arial" w:cs="Arial"/>
          <w:color w:val="000000" w:themeColor="text1"/>
          <w:sz w:val="22"/>
          <w:lang w:val="es-ES_tradnl"/>
        </w:rPr>
        <w:t xml:space="preserve"> y C-332 del 07 de mayo de 2021.</w:t>
      </w:r>
      <w:r w:rsidR="009604E6" w:rsidRPr="00E91076">
        <w:rPr>
          <w:rFonts w:ascii="Arial" w:hAnsi="Arial" w:cs="Arial"/>
          <w:color w:val="000000" w:themeColor="text1"/>
          <w:sz w:val="22"/>
          <w:lang w:val="es-ES_tradnl"/>
        </w:rPr>
        <w:t xml:space="preserve"> </w:t>
      </w:r>
      <w:r w:rsidR="0003324A" w:rsidRPr="00E91076">
        <w:rPr>
          <w:rFonts w:ascii="Arial" w:hAnsi="Arial" w:cs="Arial"/>
          <w:color w:val="000000" w:themeColor="text1"/>
          <w:sz w:val="22"/>
          <w:lang w:val="es-ES_tradnl"/>
        </w:rPr>
        <w:t>La tesis propuesta en estos conceptos se reitera a continuación</w:t>
      </w:r>
      <w:r w:rsidR="00C65DCF" w:rsidRPr="00E91076">
        <w:rPr>
          <w:rFonts w:ascii="Arial" w:hAnsi="Arial" w:cs="Arial"/>
          <w:color w:val="000000" w:themeColor="text1"/>
          <w:sz w:val="22"/>
          <w:lang w:val="es-ES_tradnl"/>
        </w:rPr>
        <w:t>.</w:t>
      </w:r>
    </w:p>
    <w:p w14:paraId="29CE44B1" w14:textId="4544740E" w:rsidR="006D0AAC" w:rsidRDefault="006D0AAC" w:rsidP="006D0AAC">
      <w:pPr>
        <w:rPr>
          <w:rFonts w:ascii="Arial" w:hAnsi="Arial" w:cs="Arial"/>
          <w:color w:val="000000" w:themeColor="text1"/>
          <w:sz w:val="22"/>
          <w:lang w:val="es-ES_tradnl"/>
        </w:rPr>
      </w:pPr>
    </w:p>
    <w:p w14:paraId="6DE81953" w14:textId="77777777" w:rsidR="0021701A" w:rsidRPr="0021701A" w:rsidRDefault="0021701A" w:rsidP="0021701A">
      <w:pPr>
        <w:spacing w:line="276" w:lineRule="auto"/>
        <w:jc w:val="both"/>
        <w:rPr>
          <w:rFonts w:ascii="Arial" w:eastAsia="Arial" w:hAnsi="Arial" w:cs="Arial"/>
          <w:b/>
          <w:bCs/>
          <w:color w:val="000000"/>
          <w:sz w:val="22"/>
          <w:lang w:val="es-ES_tradnl"/>
        </w:rPr>
      </w:pPr>
      <w:r w:rsidRPr="0021701A">
        <w:rPr>
          <w:rFonts w:ascii="Arial" w:eastAsia="Arial" w:hAnsi="Arial" w:cs="Arial"/>
          <w:b/>
          <w:bCs/>
          <w:color w:val="000000"/>
          <w:sz w:val="22"/>
          <w:lang w:val="es-ES_tradnl"/>
        </w:rPr>
        <w:t>2.1. Fundamento normativo de los documentos tipo. En particular el documento tipo para interventoría de obras de infraestructura de transporte</w:t>
      </w:r>
    </w:p>
    <w:p w14:paraId="7C206EDF" w14:textId="77777777" w:rsidR="0021701A" w:rsidRPr="0021701A" w:rsidRDefault="0021701A" w:rsidP="0021701A">
      <w:pPr>
        <w:jc w:val="both"/>
        <w:rPr>
          <w:rFonts w:ascii="Arial" w:eastAsia="Calibri" w:hAnsi="Arial" w:cs="Arial"/>
          <w:color w:val="000000"/>
          <w:sz w:val="22"/>
          <w:lang w:val="es-ES_tradnl"/>
        </w:rPr>
      </w:pPr>
    </w:p>
    <w:p w14:paraId="034A6C9B" w14:textId="18DD8FF8" w:rsidR="0021701A" w:rsidRPr="0021701A" w:rsidRDefault="0021701A" w:rsidP="0021701A">
      <w:pPr>
        <w:spacing w:after="120" w:line="276" w:lineRule="auto"/>
        <w:jc w:val="both"/>
        <w:rPr>
          <w:rFonts w:ascii="Arial" w:eastAsia="Calibri" w:hAnsi="Arial" w:cs="Arial"/>
          <w:color w:val="000000"/>
          <w:sz w:val="22"/>
          <w:lang w:val="es-ES_tradnl"/>
        </w:rPr>
      </w:pPr>
      <w:r w:rsidRPr="0021701A">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21701A">
        <w:rPr>
          <w:rFonts w:ascii="Arial" w:eastAsia="Calibri" w:hAnsi="Arial" w:cs="Arial"/>
          <w:color w:val="000000"/>
          <w:sz w:val="22"/>
          <w:vertAlign w:val="superscript"/>
          <w:lang w:val="es-ES_tradnl"/>
        </w:rPr>
        <w:footnoteReference w:id="1"/>
      </w:r>
      <w:r w:rsidRPr="0021701A">
        <w:rPr>
          <w:rFonts w:ascii="Arial" w:eastAsia="Calibri" w:hAnsi="Arial" w:cs="Arial"/>
          <w:color w:val="000000"/>
          <w:sz w:val="22"/>
          <w:lang w:val="es-ES_tradnl"/>
        </w:rPr>
        <w:t>, que facultó al gobierno nacional para expedirlos, pero solo cuando se tratara de la adquisición o suministro de bienes y servicios de características técnicas uniformes y de común utilización</w:t>
      </w:r>
      <w:r w:rsidR="00221AE0">
        <w:rPr>
          <w:rFonts w:ascii="Arial" w:eastAsia="Calibri" w:hAnsi="Arial" w:cs="Arial"/>
          <w:color w:val="000000"/>
          <w:sz w:val="22"/>
          <w:lang w:val="es-ES_tradnl"/>
        </w:rPr>
        <w:t>;</w:t>
      </w:r>
      <w:r w:rsidR="002965A6">
        <w:rPr>
          <w:rFonts w:ascii="Arial" w:eastAsia="Calibri" w:hAnsi="Arial" w:cs="Arial"/>
          <w:color w:val="000000"/>
          <w:sz w:val="22"/>
          <w:lang w:val="es-ES_tradnl"/>
        </w:rPr>
        <w:t xml:space="preserve"> facultad que aún no ha sido ejercida</w:t>
      </w:r>
      <w:r w:rsidRPr="0021701A">
        <w:rPr>
          <w:rFonts w:ascii="Arial" w:eastAsia="Calibri" w:hAnsi="Arial" w:cs="Arial"/>
          <w:color w:val="000000"/>
          <w:sz w:val="22"/>
          <w:lang w:val="es-ES_tradnl"/>
        </w:rPr>
        <w:t xml:space="preserve">. </w:t>
      </w:r>
    </w:p>
    <w:p w14:paraId="59353912" w14:textId="77777777" w:rsidR="0021701A" w:rsidRPr="0021701A" w:rsidRDefault="0021701A" w:rsidP="00196CF5">
      <w:pPr>
        <w:spacing w:before="120" w:after="120" w:line="276" w:lineRule="auto"/>
        <w:ind w:firstLine="709"/>
        <w:jc w:val="both"/>
        <w:rPr>
          <w:rFonts w:ascii="Arial" w:eastAsia="Calibri" w:hAnsi="Arial" w:cs="Arial"/>
          <w:color w:val="000000"/>
          <w:sz w:val="22"/>
          <w:lang w:val="es-ES_tradnl"/>
        </w:rPr>
      </w:pPr>
      <w:r w:rsidRPr="0021701A">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Es importante señalar que en virtud de la Ley 1882 de 2018 se expidieron varios documentos tipo para el sector de infraestructura de transporte y, por tanto, es importante explicar el procedimiento previsto en dicho cuerpo normativo. </w:t>
      </w:r>
    </w:p>
    <w:p w14:paraId="69DB3B4F" w14:textId="77777777" w:rsidR="0021701A" w:rsidRPr="0021701A" w:rsidRDefault="0021701A" w:rsidP="0021701A">
      <w:pPr>
        <w:spacing w:before="120" w:after="120" w:line="276" w:lineRule="auto"/>
        <w:ind w:firstLine="708"/>
        <w:jc w:val="both"/>
        <w:rPr>
          <w:rFonts w:ascii="Arial" w:eastAsia="Calibri" w:hAnsi="Arial" w:cs="Arial"/>
          <w:color w:val="000000"/>
          <w:sz w:val="22"/>
          <w:lang w:val="es-ES_tradnl"/>
        </w:rPr>
      </w:pPr>
      <w:r w:rsidRPr="0021701A">
        <w:rPr>
          <w:rFonts w:ascii="Arial" w:eastAsia="Calibri"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21701A">
        <w:rPr>
          <w:rFonts w:ascii="Arial" w:eastAsia="Calibri" w:hAnsi="Arial" w:cs="Arial"/>
          <w:color w:val="000000"/>
          <w:sz w:val="22"/>
          <w:vertAlign w:val="superscript"/>
          <w:lang w:val="es-ES_tradnl"/>
        </w:rPr>
        <w:footnoteReference w:id="2"/>
      </w:r>
      <w:r w:rsidRPr="0021701A">
        <w:rPr>
          <w:rFonts w:ascii="Arial" w:eastAsia="Calibri" w:hAnsi="Arial" w:cs="Arial"/>
          <w:color w:val="000000"/>
          <w:sz w:val="22"/>
          <w:lang w:val="es-ES_tradnl"/>
        </w:rPr>
        <w:t>.</w:t>
      </w:r>
    </w:p>
    <w:p w14:paraId="1A7F3964" w14:textId="38F3816B" w:rsidR="0021701A" w:rsidRPr="0021701A" w:rsidRDefault="0021701A" w:rsidP="00196CF5">
      <w:pPr>
        <w:spacing w:before="120" w:after="120" w:line="276" w:lineRule="auto"/>
        <w:ind w:firstLine="709"/>
        <w:jc w:val="both"/>
        <w:rPr>
          <w:rFonts w:ascii="Arial" w:eastAsia="Calibri" w:hAnsi="Arial" w:cs="Arial"/>
          <w:color w:val="000000"/>
          <w:sz w:val="22"/>
          <w:lang w:val="es-ES_tradnl"/>
        </w:rPr>
      </w:pPr>
      <w:r w:rsidRPr="0021701A">
        <w:rPr>
          <w:rFonts w:ascii="Arial" w:eastAsia="Calibri" w:hAnsi="Arial" w:cs="Arial"/>
          <w:color w:val="000000"/>
          <w:sz w:val="22"/>
          <w:lang w:val="es-ES_tradnl"/>
        </w:rPr>
        <w:lastRenderedPageBreak/>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estos efectos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1DC97631" w14:textId="7E1B9983" w:rsidR="0021701A" w:rsidRPr="0021701A" w:rsidRDefault="0021701A" w:rsidP="00196CF5">
      <w:pPr>
        <w:spacing w:before="120" w:after="120" w:line="276" w:lineRule="auto"/>
        <w:ind w:firstLine="709"/>
        <w:jc w:val="both"/>
        <w:rPr>
          <w:rFonts w:ascii="Arial" w:eastAsia="Calibri" w:hAnsi="Arial" w:cs="Arial"/>
          <w:color w:val="000000"/>
          <w:sz w:val="22"/>
          <w:lang w:val="es-ES_tradnl"/>
        </w:rPr>
      </w:pPr>
      <w:r w:rsidRPr="0021701A">
        <w:rPr>
          <w:rFonts w:ascii="Arial" w:eastAsia="Calibri" w:hAnsi="Arial" w:cs="Arial"/>
          <w:color w:val="000000"/>
          <w:sz w:val="22"/>
          <w:lang w:val="es-ES_tradnl"/>
        </w:rPr>
        <w:t xml:space="preserve">De la norma descrita se desprendía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54C7E681" w14:textId="4B7945C2" w:rsidR="0021701A" w:rsidRPr="0021701A" w:rsidRDefault="0021701A" w:rsidP="00196CF5">
      <w:pPr>
        <w:spacing w:before="120" w:after="120" w:line="276" w:lineRule="auto"/>
        <w:ind w:firstLine="709"/>
        <w:jc w:val="both"/>
        <w:rPr>
          <w:rFonts w:ascii="Arial" w:eastAsia="Calibri" w:hAnsi="Arial" w:cs="Arial"/>
          <w:color w:val="000000"/>
          <w:sz w:val="22"/>
          <w:lang w:val="es-ES_tradnl"/>
        </w:rPr>
      </w:pPr>
      <w:r w:rsidRPr="0021701A">
        <w:rPr>
          <w:rFonts w:ascii="Arial" w:eastAsia="Calibri" w:hAnsi="Arial" w:cs="Arial"/>
          <w:color w:val="000000"/>
          <w:sz w:val="22"/>
          <w:lang w:val="es-ES_tradnl"/>
        </w:rPr>
        <w:t xml:space="preserve">Esta norma fue estudiada por la Corte Constitucional en la sentencia C-119 de 2020. Al respecto, indicó que la adopción de los documentos tipo no afectaba la autonomía de las entidades territoriales, en cuanto la estandarización se predicaba de los requisitos habilitantes </w:t>
      </w:r>
      <w:bookmarkStart w:id="5" w:name="_Hlk48665985"/>
      <w:r w:rsidRPr="0021701A">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5"/>
      <w:r w:rsidRPr="0021701A">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21701A">
        <w:rPr>
          <w:rFonts w:ascii="Arial" w:eastAsia="Calibri" w:hAnsi="Arial" w:cs="Arial"/>
          <w:color w:val="000000"/>
          <w:sz w:val="22"/>
          <w:vertAlign w:val="superscript"/>
          <w:lang w:val="es-ES_tradnl"/>
        </w:rPr>
        <w:footnoteReference w:id="3"/>
      </w:r>
      <w:r w:rsidRPr="0021701A">
        <w:rPr>
          <w:rFonts w:ascii="Arial" w:eastAsia="Calibri" w:hAnsi="Arial" w:cs="Arial"/>
          <w:color w:val="000000"/>
          <w:sz w:val="22"/>
          <w:lang w:val="es-ES_tradnl"/>
        </w:rPr>
        <w:t>.</w:t>
      </w:r>
    </w:p>
    <w:p w14:paraId="13E2BF41" w14:textId="1EAAC81C" w:rsidR="0021701A" w:rsidRPr="0021701A" w:rsidRDefault="0021701A" w:rsidP="005858C8">
      <w:pPr>
        <w:spacing w:before="120" w:after="120" w:line="276" w:lineRule="auto"/>
        <w:ind w:firstLine="709"/>
        <w:jc w:val="both"/>
        <w:rPr>
          <w:rFonts w:ascii="Arial" w:eastAsia="Calibri" w:hAnsi="Arial" w:cs="Arial"/>
          <w:color w:val="000000"/>
          <w:sz w:val="22"/>
          <w:lang w:val="es-ES_tradnl"/>
        </w:rPr>
      </w:pPr>
      <w:r w:rsidRPr="0021701A">
        <w:rPr>
          <w:rFonts w:ascii="Arial" w:eastAsia="Calibri" w:hAnsi="Arial" w:cs="Arial"/>
          <w:color w:val="000000"/>
          <w:sz w:val="22"/>
          <w:lang w:val="es-ES_tradnl"/>
        </w:rPr>
        <w:lastRenderedPageBreak/>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esta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7CCFD2A9" w14:textId="6BDB9118" w:rsidR="0021701A" w:rsidRPr="0021701A" w:rsidRDefault="0021701A" w:rsidP="005858C8">
      <w:pPr>
        <w:spacing w:before="120" w:after="120" w:line="276" w:lineRule="auto"/>
        <w:ind w:firstLine="709"/>
        <w:jc w:val="both"/>
        <w:rPr>
          <w:rFonts w:ascii="Arial" w:eastAsia="Calibri" w:hAnsi="Arial" w:cs="Arial"/>
          <w:sz w:val="22"/>
          <w:lang w:val="es-ES_tradnl"/>
        </w:rPr>
      </w:pPr>
      <w:r w:rsidRPr="0021701A">
        <w:rPr>
          <w:rFonts w:ascii="Arial" w:eastAsia="Calibri" w:hAnsi="Arial" w:cs="Arial"/>
          <w:color w:val="000000"/>
          <w:sz w:val="22"/>
          <w:lang w:val="es-ES_tradnl"/>
        </w:rPr>
        <w:t xml:space="preserve">Explicado el proceso para adoptar los documentos tipo en virtud de la Ley 1882 de 2018 y estudiada su constitucionalidad, de acuerdo con el pronunciamiento de la Corte Constitucional, a </w:t>
      </w:r>
      <w:r w:rsidR="00BB59B6" w:rsidRPr="0021701A">
        <w:rPr>
          <w:rFonts w:ascii="Arial" w:eastAsia="Calibri" w:hAnsi="Arial" w:cs="Arial"/>
          <w:color w:val="000000"/>
          <w:sz w:val="22"/>
          <w:lang w:val="es-ES_tradnl"/>
        </w:rPr>
        <w:t>continuación,</w:t>
      </w:r>
      <w:r w:rsidRPr="0021701A">
        <w:rPr>
          <w:rFonts w:ascii="Arial" w:eastAsia="Calibri" w:hAnsi="Arial" w:cs="Arial"/>
          <w:color w:val="000000"/>
          <w:sz w:val="22"/>
          <w:lang w:val="es-ES_tradnl"/>
        </w:rPr>
        <w:t xml:space="preserve"> se identificarán los documentos tipo adoptados por el gobierno nacional en virtud de esta ley. </w:t>
      </w:r>
      <w:r w:rsidRPr="0021701A">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4BD1AA7C" w14:textId="77777777" w:rsidR="0021701A" w:rsidRPr="0021701A" w:rsidRDefault="0021701A" w:rsidP="005858C8">
      <w:pPr>
        <w:spacing w:before="120" w:after="120" w:line="276" w:lineRule="auto"/>
        <w:ind w:firstLine="709"/>
        <w:jc w:val="both"/>
        <w:rPr>
          <w:rFonts w:ascii="Arial" w:eastAsia="Calibri" w:hAnsi="Arial" w:cs="Arial"/>
          <w:color w:val="000000"/>
          <w:sz w:val="22"/>
          <w:lang w:val="es-ES_tradnl"/>
        </w:rPr>
      </w:pPr>
      <w:r w:rsidRPr="0021701A">
        <w:rPr>
          <w:rFonts w:ascii="Arial" w:eastAsia="Calibri" w:hAnsi="Arial" w:cs="Arial"/>
          <w:sz w:val="22"/>
          <w:lang w:val="es-ES_tradnl"/>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21701A" w:rsidDel="00A434AB">
        <w:rPr>
          <w:rFonts w:ascii="Arial" w:eastAsia="Calibri" w:hAnsi="Arial" w:cs="Arial"/>
          <w:sz w:val="22"/>
          <w:lang w:val="es-ES_tradnl"/>
        </w:rPr>
        <w:t xml:space="preserve"> </w:t>
      </w:r>
      <w:r w:rsidRPr="0021701A">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6" w:name="_Hlk37841850"/>
      <w:r w:rsidRPr="0021701A">
        <w:rPr>
          <w:rFonts w:ascii="Arial" w:eastAsia="Calibri" w:hAnsi="Arial" w:cs="Arial"/>
          <w:sz w:val="22"/>
          <w:lang w:val="es-ES_tradnl"/>
        </w:rPr>
        <w:t xml:space="preserve">– Colombia Compra Eficiente, </w:t>
      </w:r>
      <w:bookmarkEnd w:id="6"/>
      <w:r w:rsidRPr="0021701A">
        <w:rPr>
          <w:rFonts w:ascii="Arial" w:eastAsia="Calibri" w:hAnsi="Arial" w:cs="Arial"/>
          <w:sz w:val="22"/>
          <w:lang w:val="es-ES_tradnl"/>
        </w:rPr>
        <w:t>por medio de la Resolución 1798 de 1 de abril de 2019 –derogada por la Resolución 045 del 14 de febrero de 2020–, la Resolución 044 del 14 de febrero de 2020 y la Resolución 094 del 21 de mayo de 2020.</w:t>
      </w:r>
    </w:p>
    <w:p w14:paraId="45863216" w14:textId="6F4153F0" w:rsidR="0021701A" w:rsidRPr="0021701A" w:rsidRDefault="0021701A" w:rsidP="005858C8">
      <w:pPr>
        <w:spacing w:before="120" w:after="120" w:line="276" w:lineRule="auto"/>
        <w:ind w:firstLine="709"/>
        <w:jc w:val="both"/>
        <w:rPr>
          <w:rFonts w:ascii="Arial" w:eastAsia="Calibri" w:hAnsi="Arial" w:cs="Arial"/>
          <w:color w:val="000000"/>
          <w:sz w:val="22"/>
          <w:lang w:val="es-ES_tradnl" w:eastAsia="es-ES"/>
        </w:rPr>
      </w:pPr>
      <w:r w:rsidRPr="0021701A">
        <w:rPr>
          <w:rFonts w:ascii="Arial" w:eastAsia="Calibri" w:hAnsi="Arial" w:cs="Arial"/>
          <w:color w:val="000000"/>
          <w:sz w:val="22"/>
          <w:lang w:val="es-ES_tradnl" w:eastAsia="es-ES"/>
        </w:rPr>
        <w:t>Por otra parte</w:t>
      </w:r>
      <w:r w:rsidRPr="0021701A">
        <w:rPr>
          <w:rFonts w:ascii="Arial" w:eastAsia="Calibri" w:hAnsi="Arial" w:cs="Arial"/>
          <w:i/>
          <w:iCs/>
          <w:color w:val="000000"/>
          <w:sz w:val="22"/>
          <w:lang w:val="es-ES_tradnl" w:eastAsia="es-ES"/>
        </w:rPr>
        <w:t>,</w:t>
      </w:r>
      <w:r w:rsidRPr="0021701A">
        <w:rPr>
          <w:rFonts w:ascii="Arial" w:eastAsia="Calibri" w:hAnsi="Arial" w:cs="Arial"/>
          <w:color w:val="000000"/>
          <w:sz w:val="22"/>
          <w:lang w:val="es-ES_tradnl" w:eastAsia="es-ES"/>
        </w:rPr>
        <w:t xml:space="preserve"> debe tenerse en cuenta que </w:t>
      </w:r>
      <w:r w:rsidR="002553EE">
        <w:rPr>
          <w:rFonts w:ascii="Arial" w:eastAsia="Calibri" w:hAnsi="Arial" w:cs="Arial"/>
          <w:color w:val="000000"/>
          <w:sz w:val="22"/>
          <w:lang w:val="es-ES_tradnl" w:eastAsia="es-ES"/>
        </w:rPr>
        <w:t xml:space="preserve">el 22 de julio de 2020 fue expedida la Ley 2022 de 2020 </w:t>
      </w:r>
      <w:r w:rsidR="002553EE" w:rsidRPr="002553EE">
        <w:rPr>
          <w:rFonts w:ascii="Arial" w:eastAsia="Calibri" w:hAnsi="Arial" w:cs="Arial"/>
          <w:color w:val="000000"/>
          <w:sz w:val="22"/>
          <w:lang w:val="es-ES_tradnl" w:eastAsia="es-ES"/>
        </w:rPr>
        <w:t>«Por la cual modifica el artículo 4 de la ley 1882 de 2018 y se dictan otras disposiciones». En su artículo 1, esta norma modificó el Artículo 4 de la Ley 1882 de 2018</w:t>
      </w:r>
      <w:r w:rsidR="001B4158">
        <w:rPr>
          <w:rStyle w:val="Refdenotaalpie"/>
          <w:rFonts w:ascii="Arial" w:eastAsia="Calibri" w:hAnsi="Arial" w:cs="Arial"/>
          <w:color w:val="000000"/>
          <w:sz w:val="22"/>
          <w:lang w:val="es-ES_tradnl" w:eastAsia="es-ES"/>
        </w:rPr>
        <w:footnoteReference w:id="4"/>
      </w:r>
      <w:r w:rsidR="002553EE" w:rsidRPr="002553EE">
        <w:rPr>
          <w:rFonts w:ascii="Arial" w:eastAsia="Calibri" w:hAnsi="Arial" w:cs="Arial"/>
          <w:color w:val="000000"/>
          <w:sz w:val="22"/>
          <w:lang w:val="es-ES_tradnl" w:eastAsia="es-ES"/>
        </w:rPr>
        <w:t xml:space="preserve">, </w:t>
      </w:r>
      <w:r w:rsidR="002553EE" w:rsidRPr="002553EE">
        <w:rPr>
          <w:rFonts w:ascii="Arial" w:eastAsia="Calibri" w:hAnsi="Arial" w:cs="Arial"/>
          <w:color w:val="000000"/>
          <w:sz w:val="22"/>
          <w:lang w:val="es-ES_tradnl" w:eastAsia="es-ES"/>
        </w:rPr>
        <w:lastRenderedPageBreak/>
        <w:t>estableciendo a cargo de esta Agencia la adopción de documentos tipo que serán de obligatorio cumplimiento en la actividad contractual de todas las entidades sometidas al Estatuto General de Contratación de la Administración Pública.</w:t>
      </w:r>
      <w:r w:rsidRPr="0021701A">
        <w:rPr>
          <w:rFonts w:ascii="Arial" w:eastAsia="Calibri" w:hAnsi="Arial" w:cs="Arial"/>
          <w:color w:val="000000"/>
          <w:sz w:val="22"/>
          <w:lang w:val="es-ES_tradnl"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Además, con fundamento en esta ley, expidió la Resolución 240 del 27 de noviembre de 2020, «Por la cual se actualizan los Documentos Tipo para los procesos de selección de licitación de obra pública de infraestructura de transporte y se deroga la Resolución 0045 de 2020». </w:t>
      </w:r>
    </w:p>
    <w:p w14:paraId="483C4411" w14:textId="77777777" w:rsidR="0021701A" w:rsidRPr="0021701A" w:rsidRDefault="0021701A" w:rsidP="005858C8">
      <w:pPr>
        <w:spacing w:before="120" w:after="120" w:line="276" w:lineRule="auto"/>
        <w:ind w:firstLine="709"/>
        <w:jc w:val="both"/>
        <w:rPr>
          <w:rFonts w:ascii="Arial" w:eastAsia="Calibri" w:hAnsi="Arial" w:cs="Arial"/>
          <w:color w:val="000000"/>
          <w:sz w:val="22"/>
          <w:lang w:val="es-ES_tradnl" w:eastAsia="es-ES"/>
        </w:rPr>
      </w:pPr>
      <w:r w:rsidRPr="0021701A">
        <w:rPr>
          <w:rFonts w:ascii="Arial" w:eastAsia="Calibri" w:hAnsi="Arial" w:cs="Arial"/>
          <w:color w:val="000000"/>
          <w:sz w:val="22"/>
          <w:lang w:val="es-ES_tradnl"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B0C245B" w14:textId="28E9F27A" w:rsidR="0021701A" w:rsidRPr="0021701A" w:rsidRDefault="00C82EB9" w:rsidP="005858C8">
      <w:pPr>
        <w:spacing w:before="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De lo anterior se desprende</w:t>
      </w:r>
      <w:r w:rsidR="004765EB">
        <w:rPr>
          <w:rFonts w:ascii="Arial" w:eastAsia="Calibri" w:hAnsi="Arial" w:cs="Arial"/>
          <w:color w:val="000000"/>
          <w:sz w:val="22"/>
          <w:lang w:val="es-ES_tradnl" w:eastAsia="es-ES"/>
        </w:rPr>
        <w:t xml:space="preserve"> que</w:t>
      </w:r>
      <w:r w:rsidR="0021701A" w:rsidRPr="0021701A">
        <w:rPr>
          <w:rFonts w:ascii="Arial" w:eastAsia="Calibri" w:hAnsi="Arial" w:cs="Arial"/>
          <w:color w:val="000000"/>
          <w:sz w:val="22"/>
          <w:lang w:val="es-ES_tradnl" w:eastAsia="es-ES"/>
        </w:rPr>
        <w:t xml:space="preserve"> la Resolución 256 del 11 de diciembre de 2020, «por la cual se adoptan los documentos tipo para los procesos de selección de concursos de méritos, para contratar la interventoría de obras públicas de infraestructura de transporte» se adoptó en vigencia de la Ley 2022 de 2020. En tal sentido, este documento tipo</w:t>
      </w:r>
      <w:r w:rsidR="00EF2D2A" w:rsidRPr="00EF2D2A">
        <w:rPr>
          <w:rFonts w:ascii="Arial" w:eastAsia="Calibri" w:hAnsi="Arial" w:cs="Arial"/>
          <w:color w:val="000000"/>
          <w:sz w:val="22"/>
          <w:lang w:val="es-ES_tradnl" w:eastAsia="es-ES"/>
        </w:rPr>
        <w:t xml:space="preserve">, </w:t>
      </w:r>
      <w:r w:rsidR="0021701A" w:rsidRPr="0021701A">
        <w:rPr>
          <w:rFonts w:ascii="Arial" w:eastAsia="Calibri" w:hAnsi="Arial" w:cs="Arial"/>
          <w:color w:val="000000"/>
          <w:sz w:val="22"/>
          <w:lang w:val="es-ES_tradnl" w:eastAsia="es-ES"/>
        </w:rPr>
        <w:t>resulta obligatorio para todas las entidades sometidas al Estatuto General de Contratación de la Administración Pública, que adelanten procesos de concursos de méritos para contratar la interventoría de cualquiera de los proyectos señalados en la «Matriz 1 – Experiencia». Lo anterior se deriva de lo dispuesto en el «documento base» del documento tipo de interventoría, al prescribir que:</w:t>
      </w:r>
    </w:p>
    <w:p w14:paraId="2BDB8B48" w14:textId="77777777" w:rsidR="0021701A" w:rsidRPr="0021701A" w:rsidRDefault="0021701A" w:rsidP="0021701A">
      <w:pPr>
        <w:spacing w:line="276" w:lineRule="auto"/>
        <w:ind w:firstLine="709"/>
        <w:jc w:val="both"/>
        <w:rPr>
          <w:rFonts w:ascii="Arial" w:eastAsia="Calibri" w:hAnsi="Arial" w:cs="Arial"/>
          <w:color w:val="000000"/>
          <w:sz w:val="22"/>
          <w:lang w:val="es-ES_tradnl" w:eastAsia="es-ES"/>
        </w:rPr>
      </w:pPr>
    </w:p>
    <w:p w14:paraId="207B02EE" w14:textId="77777777" w:rsidR="0021701A" w:rsidRPr="0021701A" w:rsidRDefault="0021701A" w:rsidP="0021701A">
      <w:pPr>
        <w:ind w:left="709" w:right="709"/>
        <w:jc w:val="both"/>
        <w:rPr>
          <w:rFonts w:ascii="Arial" w:eastAsia="Calibri" w:hAnsi="Arial" w:cs="Arial"/>
          <w:color w:val="000000"/>
          <w:sz w:val="21"/>
          <w:szCs w:val="21"/>
          <w:lang w:val="es-ES_tradnl" w:eastAsia="es-ES"/>
        </w:rPr>
      </w:pPr>
      <w:r w:rsidRPr="0021701A">
        <w:rPr>
          <w:rFonts w:ascii="Arial" w:eastAsia="Calibri" w:hAnsi="Arial" w:cs="Arial"/>
          <w:color w:val="000000"/>
          <w:sz w:val="21"/>
          <w:szCs w:val="21"/>
          <w:lang w:val="es-ES_tradnl" w:eastAsia="es-ES"/>
        </w:rPr>
        <w:t xml:space="preserve">Este documento tipo aplica a los procesos de interventoría de obras públicas de infraestructuras de transporte celebrados en cualquiera de sus modalidades de selección, que correspondan con las actividades definidas en la Matriz 1 – </w:t>
      </w:r>
      <w:r w:rsidRPr="0021701A">
        <w:rPr>
          <w:rFonts w:ascii="Arial" w:eastAsia="Calibri" w:hAnsi="Arial" w:cs="Arial"/>
          <w:color w:val="000000"/>
          <w:sz w:val="21"/>
          <w:szCs w:val="21"/>
          <w:lang w:val="es-ES_tradnl" w:eastAsia="es-ES"/>
        </w:rPr>
        <w:lastRenderedPageBreak/>
        <w:t>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14:paraId="2A2C19A9" w14:textId="77777777" w:rsidR="0021701A" w:rsidRPr="0021701A" w:rsidRDefault="0021701A" w:rsidP="0021701A">
      <w:pPr>
        <w:spacing w:line="276" w:lineRule="auto"/>
        <w:jc w:val="both"/>
        <w:rPr>
          <w:rFonts w:ascii="Arial" w:eastAsia="Calibri" w:hAnsi="Arial" w:cs="Arial"/>
          <w:color w:val="000000"/>
          <w:sz w:val="22"/>
          <w:lang w:val="es-ES_tradnl" w:eastAsia="es-ES"/>
        </w:rPr>
      </w:pPr>
    </w:p>
    <w:p w14:paraId="78E140E2" w14:textId="38E28483" w:rsidR="0021701A" w:rsidRPr="00B56841" w:rsidRDefault="0021701A" w:rsidP="005858C8">
      <w:pPr>
        <w:spacing w:line="276" w:lineRule="auto"/>
        <w:ind w:firstLine="709"/>
        <w:jc w:val="both"/>
        <w:rPr>
          <w:rFonts w:ascii="Arial" w:eastAsia="Calibri" w:hAnsi="Arial" w:cs="Arial"/>
          <w:color w:val="000000"/>
          <w:sz w:val="22"/>
          <w:lang w:eastAsia="es-ES"/>
        </w:rPr>
      </w:pPr>
      <w:r w:rsidRPr="0021701A">
        <w:rPr>
          <w:rFonts w:ascii="Arial" w:eastAsia="Calibri" w:hAnsi="Arial" w:cs="Arial"/>
          <w:color w:val="000000"/>
          <w:sz w:val="22"/>
          <w:lang w:val="es-ES_tradnl" w:eastAsia="es-ES"/>
        </w:rPr>
        <w:t>En tal sentido, siempre que se vaya a contratar la interventoría de alguno de los proyectos señalados en la «Matriz 1 – Experiencia» y la modalidad de selección aplicable sea el concurso de méritos, las entidades estatales deben aplicar este documento tipo, aca</w:t>
      </w:r>
      <w:r w:rsidR="005858C8">
        <w:rPr>
          <w:rFonts w:ascii="Arial" w:eastAsia="Calibri" w:hAnsi="Arial" w:cs="Arial"/>
          <w:color w:val="000000"/>
          <w:sz w:val="22"/>
          <w:lang w:val="es-ES_tradnl" w:eastAsia="es-ES"/>
        </w:rPr>
        <w:t xml:space="preserve">tando su contenido obligatorio. </w:t>
      </w:r>
      <w:r w:rsidR="00040613">
        <w:rPr>
          <w:rFonts w:ascii="Arial" w:eastAsia="Calibri" w:hAnsi="Arial" w:cs="Arial"/>
          <w:color w:val="000000"/>
          <w:sz w:val="22"/>
          <w:lang w:eastAsia="es-ES"/>
        </w:rPr>
        <w:t>De esta manera</w:t>
      </w:r>
      <w:r w:rsidR="001765CF">
        <w:rPr>
          <w:rFonts w:ascii="Arial" w:eastAsia="Calibri" w:hAnsi="Arial" w:cs="Arial"/>
          <w:color w:val="000000"/>
          <w:sz w:val="22"/>
          <w:lang w:eastAsia="es-ES"/>
        </w:rPr>
        <w:t>, la Matriz 1 – Experiencia</w:t>
      </w:r>
      <w:r w:rsidR="00040613">
        <w:rPr>
          <w:rFonts w:ascii="Arial" w:eastAsia="Calibri" w:hAnsi="Arial" w:cs="Arial"/>
          <w:color w:val="000000"/>
          <w:sz w:val="22"/>
          <w:lang w:eastAsia="es-ES"/>
        </w:rPr>
        <w:t>,</w:t>
      </w:r>
      <w:r w:rsidR="001765CF">
        <w:rPr>
          <w:rFonts w:ascii="Arial" w:eastAsia="Calibri" w:hAnsi="Arial" w:cs="Arial"/>
          <w:color w:val="000000"/>
          <w:sz w:val="22"/>
          <w:lang w:eastAsia="es-ES"/>
        </w:rPr>
        <w:t xml:space="preserve"> entre otras finalidad</w:t>
      </w:r>
      <w:r w:rsidR="00040613">
        <w:rPr>
          <w:rFonts w:ascii="Arial" w:eastAsia="Calibri" w:hAnsi="Arial" w:cs="Arial"/>
          <w:color w:val="000000"/>
          <w:sz w:val="22"/>
          <w:lang w:eastAsia="es-ES"/>
        </w:rPr>
        <w:t>es</w:t>
      </w:r>
      <w:r w:rsidR="001765CF">
        <w:rPr>
          <w:rFonts w:ascii="Arial" w:eastAsia="Calibri" w:hAnsi="Arial" w:cs="Arial"/>
          <w:color w:val="000000"/>
          <w:sz w:val="22"/>
          <w:lang w:eastAsia="es-ES"/>
        </w:rPr>
        <w:t>, sirve como criterio para establecer el ámbito de aplicación de los documentos tipo, en los términos explicados con anterioridad.</w:t>
      </w:r>
    </w:p>
    <w:p w14:paraId="0459B732" w14:textId="6316CC61" w:rsidR="0021701A" w:rsidRPr="0021701A" w:rsidRDefault="0021701A" w:rsidP="0021701A">
      <w:pPr>
        <w:jc w:val="both"/>
        <w:rPr>
          <w:rFonts w:ascii="Arial" w:eastAsia="Calibri" w:hAnsi="Arial" w:cs="Arial"/>
          <w:b/>
          <w:bCs/>
          <w:color w:val="000000"/>
          <w:sz w:val="22"/>
          <w:lang w:val="es-ES_tradnl"/>
        </w:rPr>
      </w:pPr>
    </w:p>
    <w:p w14:paraId="00D5BC14" w14:textId="383E104E" w:rsidR="0021701A" w:rsidRPr="0021701A" w:rsidRDefault="0021701A" w:rsidP="0021701A">
      <w:pPr>
        <w:spacing w:line="276" w:lineRule="auto"/>
        <w:jc w:val="both"/>
        <w:rPr>
          <w:rFonts w:ascii="Arial" w:eastAsia="Calibri" w:hAnsi="Arial" w:cs="Arial"/>
          <w:b/>
          <w:bCs/>
          <w:color w:val="000000"/>
          <w:sz w:val="22"/>
          <w:lang w:val="es-ES_tradnl"/>
        </w:rPr>
      </w:pPr>
      <w:r w:rsidRPr="0021701A">
        <w:rPr>
          <w:rFonts w:ascii="Arial" w:eastAsia="Calibri" w:hAnsi="Arial" w:cs="Arial"/>
          <w:b/>
          <w:bCs/>
          <w:color w:val="000000"/>
          <w:sz w:val="22"/>
          <w:lang w:val="es-ES"/>
        </w:rPr>
        <w:t>2.</w:t>
      </w:r>
      <w:r w:rsidR="00864BE4">
        <w:rPr>
          <w:rFonts w:ascii="Arial" w:eastAsia="Calibri" w:hAnsi="Arial" w:cs="Arial"/>
          <w:b/>
          <w:bCs/>
          <w:color w:val="000000"/>
          <w:sz w:val="22"/>
          <w:lang w:val="es-ES"/>
        </w:rPr>
        <w:t>2</w:t>
      </w:r>
      <w:r w:rsidRPr="0021701A">
        <w:rPr>
          <w:rFonts w:ascii="Arial" w:eastAsia="Calibri" w:hAnsi="Arial" w:cs="Arial"/>
          <w:b/>
          <w:bCs/>
          <w:color w:val="000000"/>
          <w:sz w:val="22"/>
          <w:lang w:val="es-ES"/>
        </w:rPr>
        <w:t xml:space="preserve">. Ponderación de </w:t>
      </w:r>
      <w:r w:rsidR="001D1029">
        <w:rPr>
          <w:rFonts w:ascii="Arial" w:eastAsia="Calibri" w:hAnsi="Arial" w:cs="Arial"/>
          <w:b/>
          <w:bCs/>
          <w:color w:val="000000"/>
          <w:sz w:val="22"/>
          <w:lang w:val="es-ES"/>
        </w:rPr>
        <w:t xml:space="preserve">los </w:t>
      </w:r>
      <w:r w:rsidRPr="0021701A">
        <w:rPr>
          <w:rFonts w:ascii="Arial" w:eastAsia="Calibri" w:hAnsi="Arial" w:cs="Arial"/>
          <w:b/>
          <w:bCs/>
          <w:color w:val="000000"/>
          <w:sz w:val="22"/>
          <w:lang w:val="es-ES_tradnl"/>
        </w:rPr>
        <w:t xml:space="preserve">factores de evaluación en los documentos tipo </w:t>
      </w:r>
      <w:r w:rsidR="00864BE4" w:rsidRPr="0021701A">
        <w:rPr>
          <w:rFonts w:ascii="Arial" w:eastAsia="Calibri" w:hAnsi="Arial" w:cs="Arial"/>
          <w:b/>
          <w:bCs/>
          <w:color w:val="000000"/>
          <w:sz w:val="22"/>
          <w:lang w:val="es-ES_tradnl"/>
        </w:rPr>
        <w:t>de</w:t>
      </w:r>
      <w:r w:rsidR="001D1029">
        <w:rPr>
          <w:rFonts w:ascii="Arial" w:eastAsia="Calibri" w:hAnsi="Arial" w:cs="Arial"/>
          <w:b/>
          <w:bCs/>
          <w:color w:val="000000"/>
          <w:sz w:val="22"/>
          <w:lang w:val="es-ES_tradnl"/>
        </w:rPr>
        <w:t xml:space="preserve"> concurso de méritos para la</w:t>
      </w:r>
      <w:r w:rsidR="00864BE4" w:rsidRPr="0021701A">
        <w:rPr>
          <w:rFonts w:ascii="Arial" w:eastAsia="Calibri" w:hAnsi="Arial" w:cs="Arial"/>
          <w:b/>
          <w:bCs/>
          <w:color w:val="000000"/>
          <w:sz w:val="22"/>
          <w:lang w:val="es-ES_tradnl"/>
        </w:rPr>
        <w:t xml:space="preserve"> interventoría</w:t>
      </w:r>
      <w:r w:rsidRPr="0021701A">
        <w:rPr>
          <w:rFonts w:ascii="Arial" w:eastAsia="Calibri" w:hAnsi="Arial" w:cs="Arial"/>
          <w:b/>
          <w:bCs/>
          <w:color w:val="000000"/>
          <w:sz w:val="22"/>
          <w:lang w:val="es-ES_tradnl"/>
        </w:rPr>
        <w:t xml:space="preserve"> de obras pública</w:t>
      </w:r>
      <w:r w:rsidR="001D1029">
        <w:rPr>
          <w:rFonts w:ascii="Arial" w:eastAsia="Calibri" w:hAnsi="Arial" w:cs="Arial"/>
          <w:b/>
          <w:bCs/>
          <w:color w:val="000000"/>
          <w:sz w:val="22"/>
          <w:lang w:val="es-ES_tradnl"/>
        </w:rPr>
        <w:t>s</w:t>
      </w:r>
      <w:r w:rsidRPr="0021701A">
        <w:rPr>
          <w:rFonts w:ascii="Arial" w:eastAsia="Calibri" w:hAnsi="Arial" w:cs="Arial"/>
          <w:b/>
          <w:bCs/>
          <w:color w:val="000000"/>
          <w:sz w:val="22"/>
          <w:lang w:val="es-ES_tradnl"/>
        </w:rPr>
        <w:t xml:space="preserve"> de infraestructura de transporte</w:t>
      </w:r>
      <w:r w:rsidR="00BB59B6">
        <w:rPr>
          <w:rFonts w:ascii="Arial" w:eastAsia="Calibri" w:hAnsi="Arial" w:cs="Arial"/>
          <w:b/>
          <w:bCs/>
          <w:color w:val="000000"/>
          <w:sz w:val="22"/>
          <w:lang w:val="es-ES_tradnl"/>
        </w:rPr>
        <w:t xml:space="preserve"> </w:t>
      </w:r>
    </w:p>
    <w:p w14:paraId="229D069C" w14:textId="77777777" w:rsidR="0021701A" w:rsidRPr="0021701A" w:rsidRDefault="0021701A" w:rsidP="0021701A">
      <w:pPr>
        <w:jc w:val="both"/>
        <w:rPr>
          <w:rFonts w:ascii="Arial" w:eastAsia="Calibri" w:hAnsi="Arial" w:cs="Arial"/>
          <w:b/>
          <w:bCs/>
          <w:color w:val="000000"/>
          <w:sz w:val="22"/>
          <w:lang w:val="es-ES_tradnl"/>
        </w:rPr>
      </w:pPr>
    </w:p>
    <w:p w14:paraId="7D13631D" w14:textId="2DDD7A2F" w:rsidR="0021701A" w:rsidRPr="0021701A" w:rsidRDefault="00EF2D2A" w:rsidP="0021701A">
      <w:pPr>
        <w:keepNext/>
        <w:spacing w:after="120" w:line="276" w:lineRule="auto"/>
        <w:jc w:val="both"/>
        <w:outlineLvl w:val="0"/>
        <w:rPr>
          <w:rFonts w:ascii="Arial" w:eastAsia="Calibri" w:hAnsi="Arial" w:cs="Arial"/>
          <w:sz w:val="22"/>
          <w:lang w:val="es-CO"/>
        </w:rPr>
      </w:pPr>
      <w:r>
        <w:rPr>
          <w:rFonts w:ascii="Arial" w:eastAsia="Calibri" w:hAnsi="Arial" w:cs="Arial"/>
          <w:sz w:val="22"/>
          <w:lang w:val="es-ES_tradnl"/>
        </w:rPr>
        <w:t>E</w:t>
      </w:r>
      <w:r w:rsidR="0021701A" w:rsidRPr="0021701A">
        <w:rPr>
          <w:rFonts w:ascii="Arial" w:eastAsia="Calibri" w:hAnsi="Arial" w:cs="Arial"/>
          <w:sz w:val="22"/>
          <w:lang w:val="es-CO"/>
        </w:rPr>
        <w:t xml:space="preserve">l </w:t>
      </w:r>
      <w:r>
        <w:rPr>
          <w:rFonts w:ascii="Arial" w:eastAsia="Calibri" w:hAnsi="Arial" w:cs="Arial"/>
          <w:sz w:val="22"/>
          <w:lang w:val="es-CO"/>
        </w:rPr>
        <w:t>numeral 4° del artículo 5°</w:t>
      </w:r>
      <w:r w:rsidR="0021701A" w:rsidRPr="0021701A">
        <w:rPr>
          <w:rFonts w:ascii="Arial" w:eastAsia="Calibri" w:hAnsi="Arial" w:cs="Arial"/>
          <w:sz w:val="22"/>
          <w:lang w:val="es-CO"/>
        </w:rPr>
        <w:t xml:space="preserve"> de la Ley 1150 de 2007 contiene una regulación especial del deber de selección objetiva aplicable a procesos de selección de consultores. </w:t>
      </w:r>
      <w:r>
        <w:rPr>
          <w:rFonts w:ascii="Arial" w:eastAsia="Calibri" w:hAnsi="Arial" w:cs="Arial"/>
          <w:sz w:val="22"/>
          <w:lang w:val="es-CO"/>
        </w:rPr>
        <w:t xml:space="preserve">Esta disposición </w:t>
      </w:r>
      <w:r w:rsidR="0021701A" w:rsidRPr="0021701A">
        <w:rPr>
          <w:rFonts w:ascii="Arial" w:eastAsia="Calibri" w:hAnsi="Arial" w:cs="Arial"/>
          <w:sz w:val="22"/>
          <w:lang w:val="es-CO"/>
        </w:rPr>
        <w:t xml:space="preserve">indica que en estos procesos la escogencia se hará con base en factores de calificación destinados a valorar los aspectos técnicos de la oferta, permitiéndose valorar la experiencia específica del oferente y su equipo de trabajo, proscribiéndose además el precio como factor de evaluación. </w:t>
      </w:r>
    </w:p>
    <w:p w14:paraId="6BCE5013" w14:textId="40044C63" w:rsidR="0021701A" w:rsidRPr="0021701A" w:rsidRDefault="0021701A" w:rsidP="005858C8">
      <w:pPr>
        <w:keepNext/>
        <w:spacing w:before="120" w:after="120" w:line="276" w:lineRule="auto"/>
        <w:ind w:firstLine="709"/>
        <w:jc w:val="both"/>
        <w:outlineLvl w:val="0"/>
        <w:rPr>
          <w:rFonts w:ascii="Arial" w:eastAsia="Calibri" w:hAnsi="Arial" w:cs="Arial"/>
          <w:sz w:val="22"/>
          <w:lang w:val="es-CO"/>
        </w:rPr>
      </w:pPr>
      <w:r w:rsidRPr="0021701A">
        <w:rPr>
          <w:rFonts w:ascii="Arial" w:eastAsia="Calibri" w:hAnsi="Arial" w:cs="Arial"/>
          <w:sz w:val="22"/>
          <w:lang w:val="es-CO"/>
        </w:rPr>
        <w:t xml:space="preserve">El procedimiento de selección de concurso de méritos, aplicable para la escogencia de consultores, está reglamentado por el artículo 2.2.1.2.1.3.2. del Decreto 1082 de 2015, recientemente modificado por el Decreto 399 de 2021.  El numeral 1 de dicha norma señala que: «1. La Entidad Estatal en los pliegos de condiciones debe indicar la forma como calificará, entre otros, los siguientes criterios: </w:t>
      </w:r>
      <w:r w:rsidRPr="0021701A">
        <w:rPr>
          <w:rFonts w:ascii="Arial" w:eastAsia="Calibri" w:hAnsi="Arial" w:cs="Arial"/>
          <w:i/>
          <w:iCs/>
          <w:sz w:val="22"/>
          <w:lang w:val="es-CO"/>
        </w:rPr>
        <w:t>a) la experiencia del interesado y del equipo de trabajo y b) la formación académica del equipo de trabajo»</w:t>
      </w:r>
      <w:r w:rsidRPr="0021701A">
        <w:rPr>
          <w:rFonts w:ascii="Arial" w:eastAsia="Calibri" w:hAnsi="Arial" w:cs="Arial"/>
          <w:sz w:val="22"/>
          <w:lang w:val="es-CO"/>
        </w:rPr>
        <w:t xml:space="preserve"> </w:t>
      </w:r>
      <w:r w:rsidR="001D1029">
        <w:rPr>
          <w:rFonts w:ascii="Arial" w:eastAsia="Calibri" w:hAnsi="Arial" w:cs="Arial"/>
          <w:sz w:val="22"/>
          <w:lang w:val="es-CO"/>
        </w:rPr>
        <w:t>(</w:t>
      </w:r>
      <w:r w:rsidRPr="0021701A">
        <w:rPr>
          <w:rFonts w:ascii="Arial" w:eastAsia="Calibri" w:hAnsi="Arial" w:cs="Arial"/>
          <w:sz w:val="22"/>
          <w:lang w:val="es-CO"/>
        </w:rPr>
        <w:t>énfasis fuera de texto</w:t>
      </w:r>
      <w:r w:rsidR="001D1029">
        <w:rPr>
          <w:rFonts w:ascii="Arial" w:eastAsia="Calibri" w:hAnsi="Arial" w:cs="Arial"/>
          <w:sz w:val="22"/>
          <w:lang w:val="es-CO"/>
        </w:rPr>
        <w:t>)</w:t>
      </w:r>
      <w:r w:rsidRPr="0021701A">
        <w:rPr>
          <w:rFonts w:ascii="Arial" w:eastAsia="Calibri" w:hAnsi="Arial" w:cs="Arial"/>
          <w:sz w:val="22"/>
          <w:lang w:val="es-CO"/>
        </w:rPr>
        <w:t>. Conforme a esto, los factores ponderables en un proceso de selección de concurso de méritos –esto es, los que determinan la escogencia entre los proponentes habilitados–, son l</w:t>
      </w:r>
      <w:r w:rsidR="001D1029">
        <w:rPr>
          <w:rFonts w:ascii="Arial" w:eastAsia="Calibri" w:hAnsi="Arial" w:cs="Arial"/>
          <w:sz w:val="22"/>
          <w:lang w:val="es-CO"/>
        </w:rPr>
        <w:t>os indicados en la norma citada, sin perjuicio de que existan otros establecidos por la ley, de manera que de acuerdo con este marco jurídico en los pliegos de condiciones se definirán los criterios de asignación de puntaje.</w:t>
      </w:r>
      <w:r w:rsidRPr="0021701A">
        <w:rPr>
          <w:rFonts w:ascii="Arial" w:eastAsia="Calibri" w:hAnsi="Arial" w:cs="Arial"/>
          <w:sz w:val="22"/>
          <w:lang w:val="es-CO"/>
        </w:rPr>
        <w:t xml:space="preserve">  </w:t>
      </w:r>
    </w:p>
    <w:p w14:paraId="64E2C6C9" w14:textId="5CD54B79" w:rsidR="0021701A" w:rsidRPr="0021701A" w:rsidRDefault="0021701A" w:rsidP="005858C8">
      <w:pPr>
        <w:spacing w:before="120" w:line="276" w:lineRule="auto"/>
        <w:ind w:firstLine="709"/>
        <w:jc w:val="both"/>
        <w:rPr>
          <w:rFonts w:ascii="Calibri" w:eastAsia="Calibri" w:hAnsi="Calibri" w:cs="Times New Roman"/>
          <w:b/>
          <w:smallCaps/>
          <w:sz w:val="22"/>
        </w:rPr>
      </w:pPr>
      <w:r w:rsidRPr="0021701A">
        <w:rPr>
          <w:rFonts w:ascii="Arial" w:eastAsia="Calibri" w:hAnsi="Arial" w:cs="Arial"/>
          <w:sz w:val="22"/>
          <w:lang w:val="es-CO"/>
        </w:rPr>
        <w:t>De acuerdo con esta</w:t>
      </w:r>
      <w:r w:rsidRPr="0021701A">
        <w:rPr>
          <w:rFonts w:ascii="Arial" w:eastAsia="Calibri" w:hAnsi="Arial" w:cs="Arial"/>
          <w:sz w:val="22"/>
          <w:szCs w:val="20"/>
          <w:lang w:val="es-CO"/>
        </w:rPr>
        <w:t xml:space="preserve"> normativa, en los documentos </w:t>
      </w:r>
      <w:r w:rsidRPr="0021701A">
        <w:rPr>
          <w:rFonts w:ascii="Arial" w:eastAsia="Calibri" w:hAnsi="Arial" w:cs="Arial"/>
          <w:sz w:val="22"/>
        </w:rPr>
        <w:t xml:space="preserve">tipo de </w:t>
      </w:r>
      <w:r w:rsidR="001D1029">
        <w:rPr>
          <w:rFonts w:ascii="Arial" w:eastAsia="Calibri" w:hAnsi="Arial" w:cs="Arial"/>
          <w:sz w:val="22"/>
        </w:rPr>
        <w:t xml:space="preserve">concursos de méritos para la </w:t>
      </w:r>
      <w:r w:rsidRPr="0021701A">
        <w:rPr>
          <w:rFonts w:ascii="Arial" w:eastAsia="Calibri" w:hAnsi="Arial" w:cs="Arial"/>
          <w:sz w:val="22"/>
        </w:rPr>
        <w:t xml:space="preserve">interventoría </w:t>
      </w:r>
      <w:r w:rsidR="001D1029">
        <w:rPr>
          <w:rFonts w:ascii="Arial" w:eastAsia="Calibri" w:hAnsi="Arial" w:cs="Arial"/>
          <w:sz w:val="22"/>
        </w:rPr>
        <w:t>de</w:t>
      </w:r>
      <w:r w:rsidR="001D1029" w:rsidRPr="0021701A">
        <w:rPr>
          <w:rFonts w:ascii="Arial" w:eastAsia="Calibri" w:hAnsi="Arial" w:cs="Arial"/>
          <w:sz w:val="22"/>
        </w:rPr>
        <w:t xml:space="preserve"> </w:t>
      </w:r>
      <w:r w:rsidRPr="0021701A">
        <w:rPr>
          <w:rFonts w:ascii="Arial" w:eastAsia="Calibri" w:hAnsi="Arial" w:cs="Arial"/>
          <w:sz w:val="22"/>
        </w:rPr>
        <w:t>obra</w:t>
      </w:r>
      <w:r w:rsidR="001D1029">
        <w:rPr>
          <w:rFonts w:ascii="Arial" w:eastAsia="Calibri" w:hAnsi="Arial" w:cs="Arial"/>
          <w:sz w:val="22"/>
        </w:rPr>
        <w:t>s</w:t>
      </w:r>
      <w:r w:rsidRPr="0021701A">
        <w:rPr>
          <w:rFonts w:ascii="Arial" w:eastAsia="Calibri" w:hAnsi="Arial" w:cs="Arial"/>
          <w:sz w:val="22"/>
        </w:rPr>
        <w:t xml:space="preserve"> pública</w:t>
      </w:r>
      <w:r w:rsidR="001D1029">
        <w:rPr>
          <w:rFonts w:ascii="Arial" w:eastAsia="Calibri" w:hAnsi="Arial" w:cs="Arial"/>
          <w:sz w:val="22"/>
        </w:rPr>
        <w:t>s</w:t>
      </w:r>
      <w:r w:rsidRPr="0021701A">
        <w:rPr>
          <w:rFonts w:ascii="Arial" w:eastAsia="Calibri" w:hAnsi="Arial" w:cs="Arial"/>
          <w:sz w:val="22"/>
        </w:rPr>
        <w:t xml:space="preserve"> de </w:t>
      </w:r>
      <w:r w:rsidRPr="0021701A">
        <w:rPr>
          <w:rFonts w:ascii="Arial" w:eastAsia="Calibri" w:hAnsi="Arial" w:cs="Arial"/>
          <w:sz w:val="22"/>
          <w:lang w:val="es-CO"/>
        </w:rPr>
        <w:t>infraestructura de transporte adoptados por esta Agencia, se consideran la experiencia del proponente y del equipo de trabajo como factores de evaluación. Esto se aprecia en el Capítulo IV del Documento Base, en el que se señala que la entidad calificará las ofertas que hayan</w:t>
      </w:r>
      <w:r w:rsidRPr="0021701A">
        <w:rPr>
          <w:rFonts w:ascii="Arial" w:eastAsia="Calibri" w:hAnsi="Arial" w:cs="Arial"/>
          <w:sz w:val="22"/>
        </w:rPr>
        <w:t xml:space="preserve"> cumplido los requisitos habilitantes con los siguientes criterios de evaluación y puntajes: i) Experiencia del proponente ii) Equipo de trabajo (personal clave evaluable) iii) Apoyo a la industria nacional y iv) vinculación de personas con discapacidad, así:</w:t>
      </w:r>
    </w:p>
    <w:p w14:paraId="6AF0FDC9" w14:textId="77777777" w:rsidR="0021701A" w:rsidRPr="0021701A" w:rsidRDefault="0021701A" w:rsidP="0021701A">
      <w:pPr>
        <w:rPr>
          <w:rFonts w:ascii="Calibri" w:eastAsia="Calibri" w:hAnsi="Calibri" w:cs="Times New Roman"/>
          <w:lang w:val="es-CO"/>
        </w:rPr>
      </w:pPr>
    </w:p>
    <w:tbl>
      <w:tblPr>
        <w:tblW w:w="5647" w:type="dxa"/>
        <w:tblInd w:w="1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1702"/>
      </w:tblGrid>
      <w:tr w:rsidR="0021701A" w:rsidRPr="0021701A" w14:paraId="29C97BF2" w14:textId="77777777" w:rsidTr="00955CE9">
        <w:trPr>
          <w:trHeight w:val="300"/>
        </w:trPr>
        <w:tc>
          <w:tcPr>
            <w:tcW w:w="3945" w:type="dxa"/>
            <w:tcBorders>
              <w:top w:val="double" w:sz="6" w:space="0" w:color="auto"/>
              <w:left w:val="double" w:sz="6" w:space="0" w:color="auto"/>
              <w:bottom w:val="single" w:sz="6" w:space="0" w:color="auto"/>
              <w:right w:val="single" w:sz="6" w:space="0" w:color="auto"/>
            </w:tcBorders>
            <w:shd w:val="clear" w:color="auto" w:fill="404040"/>
            <w:vAlign w:val="center"/>
            <w:hideMark/>
          </w:tcPr>
          <w:p w14:paraId="3A44F005" w14:textId="77777777" w:rsidR="0021701A" w:rsidRPr="0021701A" w:rsidRDefault="0021701A" w:rsidP="0021701A">
            <w:pPr>
              <w:jc w:val="center"/>
              <w:textAlignment w:val="baseline"/>
              <w:rPr>
                <w:rFonts w:ascii="Segoe UI" w:eastAsia="Times New Roman" w:hAnsi="Segoe UI" w:cs="Segoe UI"/>
                <w:sz w:val="20"/>
                <w:szCs w:val="20"/>
                <w:lang w:val="es-CO" w:eastAsia="es-CO"/>
              </w:rPr>
            </w:pPr>
            <w:r w:rsidRPr="0021701A">
              <w:rPr>
                <w:rFonts w:ascii="Arial" w:eastAsia="Times New Roman" w:hAnsi="Arial" w:cs="Arial"/>
                <w:b/>
                <w:bCs/>
                <w:color w:val="FFFFFF"/>
                <w:sz w:val="20"/>
                <w:szCs w:val="20"/>
                <w:lang w:val="es-CO" w:eastAsia="es-CO"/>
              </w:rPr>
              <w:t>Concepto</w:t>
            </w:r>
            <w:r w:rsidRPr="0021701A">
              <w:rPr>
                <w:rFonts w:ascii="Arial" w:eastAsia="Times New Roman" w:hAnsi="Arial" w:cs="Arial"/>
                <w:color w:val="FFFFFF"/>
                <w:sz w:val="20"/>
                <w:szCs w:val="20"/>
                <w:lang w:val="es-CO" w:eastAsia="es-CO"/>
              </w:rPr>
              <w:t> </w:t>
            </w:r>
          </w:p>
        </w:tc>
        <w:tc>
          <w:tcPr>
            <w:tcW w:w="1702" w:type="dxa"/>
            <w:tcBorders>
              <w:top w:val="double" w:sz="6" w:space="0" w:color="auto"/>
              <w:left w:val="single" w:sz="6" w:space="0" w:color="auto"/>
              <w:bottom w:val="single" w:sz="6" w:space="0" w:color="auto"/>
              <w:right w:val="double" w:sz="6" w:space="0" w:color="auto"/>
            </w:tcBorders>
            <w:shd w:val="clear" w:color="auto" w:fill="404040"/>
            <w:vAlign w:val="center"/>
            <w:hideMark/>
          </w:tcPr>
          <w:p w14:paraId="01B8CE28" w14:textId="77777777" w:rsidR="0021701A" w:rsidRPr="0021701A" w:rsidRDefault="0021701A" w:rsidP="0021701A">
            <w:pPr>
              <w:jc w:val="center"/>
              <w:textAlignment w:val="baseline"/>
              <w:rPr>
                <w:rFonts w:ascii="Segoe UI" w:eastAsia="Times New Roman" w:hAnsi="Segoe UI" w:cs="Segoe UI"/>
                <w:sz w:val="20"/>
                <w:szCs w:val="20"/>
                <w:lang w:val="es-CO" w:eastAsia="es-CO"/>
              </w:rPr>
            </w:pPr>
            <w:r w:rsidRPr="0021701A">
              <w:rPr>
                <w:rFonts w:ascii="Arial" w:eastAsia="Times New Roman" w:hAnsi="Arial" w:cs="Arial"/>
                <w:b/>
                <w:bCs/>
                <w:color w:val="FFFFFF"/>
                <w:sz w:val="20"/>
                <w:szCs w:val="20"/>
                <w:lang w:val="es-CO" w:eastAsia="es-CO"/>
              </w:rPr>
              <w:t>Puntaje máximo</w:t>
            </w:r>
            <w:r w:rsidRPr="0021701A">
              <w:rPr>
                <w:rFonts w:ascii="Arial" w:eastAsia="Times New Roman" w:hAnsi="Arial" w:cs="Arial"/>
                <w:color w:val="FFFFFF"/>
                <w:sz w:val="20"/>
                <w:szCs w:val="20"/>
                <w:lang w:val="es-CO" w:eastAsia="es-CO"/>
              </w:rPr>
              <w:t> </w:t>
            </w:r>
          </w:p>
        </w:tc>
      </w:tr>
      <w:tr w:rsidR="0021701A" w:rsidRPr="0021701A" w14:paraId="3B787B4B" w14:textId="77777777" w:rsidTr="00955CE9">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31A4BB39" w14:textId="77777777" w:rsidR="0021701A" w:rsidRPr="0021701A" w:rsidRDefault="0021701A" w:rsidP="0021701A">
            <w:pPr>
              <w:jc w:val="both"/>
              <w:textAlignment w:val="baseline"/>
              <w:rPr>
                <w:rFonts w:ascii="Segoe UI" w:eastAsia="Times New Roman" w:hAnsi="Segoe UI" w:cs="Segoe UI"/>
                <w:sz w:val="20"/>
                <w:szCs w:val="20"/>
                <w:lang w:val="es-CO" w:eastAsia="es-CO"/>
              </w:rPr>
            </w:pPr>
            <w:r w:rsidRPr="0021701A">
              <w:rPr>
                <w:rFonts w:ascii="Arial" w:eastAsia="Times New Roman" w:hAnsi="Arial" w:cs="Arial"/>
                <w:sz w:val="20"/>
                <w:szCs w:val="20"/>
                <w:lang w:val="es-ES" w:eastAsia="es-CO"/>
              </w:rPr>
              <w:t>Experiencia del proponente</w:t>
            </w:r>
            <w:r w:rsidRPr="0021701A">
              <w:rPr>
                <w:rFonts w:ascii="Arial" w:eastAsia="Times New Roman" w:hAnsi="Arial" w:cs="Arial"/>
                <w:sz w:val="20"/>
                <w:szCs w:val="20"/>
                <w:lang w:val="es-CO"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17AF4F0E" w14:textId="77777777" w:rsidR="0021701A" w:rsidRPr="0021701A" w:rsidRDefault="0021701A" w:rsidP="0021701A">
            <w:pPr>
              <w:jc w:val="center"/>
              <w:textAlignment w:val="baseline"/>
              <w:rPr>
                <w:rFonts w:ascii="Segoe UI" w:eastAsia="Times New Roman" w:hAnsi="Segoe UI" w:cs="Segoe UI"/>
                <w:sz w:val="20"/>
                <w:szCs w:val="20"/>
                <w:lang w:val="es-CO" w:eastAsia="es-CO"/>
              </w:rPr>
            </w:pPr>
            <w:r w:rsidRPr="0021701A">
              <w:rPr>
                <w:rFonts w:ascii="Arial" w:eastAsia="Times New Roman" w:hAnsi="Arial" w:cs="Arial"/>
                <w:sz w:val="20"/>
                <w:szCs w:val="20"/>
                <w:lang w:val="es-CO" w:eastAsia="es-CO"/>
              </w:rPr>
              <w:t>69 </w:t>
            </w:r>
          </w:p>
        </w:tc>
      </w:tr>
      <w:tr w:rsidR="0021701A" w:rsidRPr="0021701A" w14:paraId="4AE25DDB" w14:textId="77777777" w:rsidTr="00955CE9">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181EB05C" w14:textId="77777777" w:rsidR="0021701A" w:rsidRPr="0021701A" w:rsidRDefault="0021701A" w:rsidP="0021701A">
            <w:pPr>
              <w:jc w:val="both"/>
              <w:textAlignment w:val="baseline"/>
              <w:rPr>
                <w:rFonts w:ascii="Segoe UI" w:eastAsia="Times New Roman" w:hAnsi="Segoe UI" w:cs="Segoe UI"/>
                <w:sz w:val="20"/>
                <w:szCs w:val="20"/>
                <w:lang w:val="es-CO" w:eastAsia="es-CO"/>
              </w:rPr>
            </w:pPr>
            <w:r w:rsidRPr="0021701A">
              <w:rPr>
                <w:rFonts w:ascii="Arial" w:eastAsia="Times New Roman" w:hAnsi="Arial" w:cs="Arial"/>
                <w:sz w:val="20"/>
                <w:szCs w:val="20"/>
                <w:lang w:val="es-ES" w:eastAsia="es-CO"/>
              </w:rPr>
              <w:t>Equipo de trabajo (personal clave evaluable)</w:t>
            </w:r>
            <w:r w:rsidRPr="0021701A">
              <w:rPr>
                <w:rFonts w:ascii="Arial" w:eastAsia="Times New Roman" w:hAnsi="Arial" w:cs="Arial"/>
                <w:sz w:val="20"/>
                <w:szCs w:val="20"/>
                <w:lang w:val="es-CO"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6C60712B" w14:textId="77777777" w:rsidR="0021701A" w:rsidRPr="0021701A" w:rsidRDefault="0021701A" w:rsidP="0021701A">
            <w:pPr>
              <w:jc w:val="center"/>
              <w:textAlignment w:val="baseline"/>
              <w:rPr>
                <w:rFonts w:ascii="Segoe UI" w:eastAsia="Times New Roman" w:hAnsi="Segoe UI" w:cs="Segoe UI"/>
                <w:sz w:val="20"/>
                <w:szCs w:val="20"/>
                <w:lang w:val="es-CO" w:eastAsia="es-CO"/>
              </w:rPr>
            </w:pPr>
            <w:r w:rsidRPr="0021701A">
              <w:rPr>
                <w:rFonts w:ascii="Arial" w:eastAsia="Times New Roman" w:hAnsi="Arial" w:cs="Arial"/>
                <w:sz w:val="20"/>
                <w:szCs w:val="20"/>
                <w:lang w:val="es-ES" w:eastAsia="es-CO"/>
              </w:rPr>
              <w:t>10</w:t>
            </w:r>
            <w:r w:rsidRPr="0021701A">
              <w:rPr>
                <w:rFonts w:ascii="Arial" w:eastAsia="Times New Roman" w:hAnsi="Arial" w:cs="Arial"/>
                <w:sz w:val="20"/>
                <w:szCs w:val="20"/>
                <w:lang w:val="es-CO" w:eastAsia="es-CO"/>
              </w:rPr>
              <w:t> </w:t>
            </w:r>
          </w:p>
        </w:tc>
      </w:tr>
      <w:tr w:rsidR="0021701A" w:rsidRPr="0021701A" w14:paraId="6EB41E64" w14:textId="77777777" w:rsidTr="00955CE9">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69376F4D" w14:textId="77777777" w:rsidR="0021701A" w:rsidRPr="0021701A" w:rsidRDefault="0021701A" w:rsidP="0021701A">
            <w:pPr>
              <w:jc w:val="both"/>
              <w:textAlignment w:val="baseline"/>
              <w:rPr>
                <w:rFonts w:ascii="Segoe UI" w:eastAsia="Times New Roman" w:hAnsi="Segoe UI" w:cs="Segoe UI"/>
                <w:sz w:val="20"/>
                <w:szCs w:val="20"/>
                <w:lang w:val="es-CO" w:eastAsia="es-CO"/>
              </w:rPr>
            </w:pPr>
            <w:r w:rsidRPr="0021701A">
              <w:rPr>
                <w:rFonts w:ascii="Arial" w:eastAsia="Times New Roman" w:hAnsi="Arial" w:cs="Arial"/>
                <w:sz w:val="20"/>
                <w:szCs w:val="20"/>
                <w:lang w:val="es-ES" w:eastAsia="es-CO"/>
              </w:rPr>
              <w:t>Apoyo a la industria nacional</w:t>
            </w:r>
            <w:r w:rsidRPr="0021701A">
              <w:rPr>
                <w:rFonts w:ascii="Arial" w:eastAsia="Times New Roman" w:hAnsi="Arial" w:cs="Arial"/>
                <w:sz w:val="20"/>
                <w:szCs w:val="20"/>
                <w:lang w:val="es-CO"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0EB5C786" w14:textId="77777777" w:rsidR="0021701A" w:rsidRPr="0021701A" w:rsidRDefault="0021701A" w:rsidP="0021701A">
            <w:pPr>
              <w:jc w:val="center"/>
              <w:textAlignment w:val="baseline"/>
              <w:rPr>
                <w:rFonts w:ascii="Segoe UI" w:eastAsia="Times New Roman" w:hAnsi="Segoe UI" w:cs="Segoe UI"/>
                <w:sz w:val="20"/>
                <w:szCs w:val="20"/>
                <w:lang w:val="es-CO" w:eastAsia="es-CO"/>
              </w:rPr>
            </w:pPr>
            <w:r w:rsidRPr="0021701A">
              <w:rPr>
                <w:rFonts w:ascii="Arial" w:eastAsia="Times New Roman" w:hAnsi="Arial" w:cs="Arial"/>
                <w:sz w:val="20"/>
                <w:szCs w:val="20"/>
                <w:lang w:val="es-ES" w:eastAsia="es-CO"/>
              </w:rPr>
              <w:t>20</w:t>
            </w:r>
            <w:r w:rsidRPr="0021701A">
              <w:rPr>
                <w:rFonts w:ascii="Arial" w:eastAsia="Times New Roman" w:hAnsi="Arial" w:cs="Arial"/>
                <w:sz w:val="20"/>
                <w:szCs w:val="20"/>
                <w:lang w:val="es-CO" w:eastAsia="es-CO"/>
              </w:rPr>
              <w:t> </w:t>
            </w:r>
          </w:p>
        </w:tc>
      </w:tr>
      <w:tr w:rsidR="0021701A" w:rsidRPr="0021701A" w14:paraId="4757D9CC" w14:textId="77777777" w:rsidTr="00955CE9">
        <w:trPr>
          <w:trHeight w:val="16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0EFEE3CF" w14:textId="77777777" w:rsidR="0021701A" w:rsidRPr="0021701A" w:rsidRDefault="0021701A" w:rsidP="0021701A">
            <w:pPr>
              <w:jc w:val="both"/>
              <w:textAlignment w:val="baseline"/>
              <w:rPr>
                <w:rFonts w:ascii="Segoe UI" w:eastAsia="Times New Roman" w:hAnsi="Segoe UI" w:cs="Segoe UI"/>
                <w:sz w:val="20"/>
                <w:szCs w:val="20"/>
                <w:lang w:val="es-CO" w:eastAsia="es-CO"/>
              </w:rPr>
            </w:pPr>
            <w:r w:rsidRPr="0021701A">
              <w:rPr>
                <w:rFonts w:ascii="Arial" w:eastAsia="Times New Roman" w:hAnsi="Arial" w:cs="Arial"/>
                <w:sz w:val="20"/>
                <w:szCs w:val="20"/>
                <w:lang w:val="es-ES" w:eastAsia="es-CO"/>
              </w:rPr>
              <w:t>Vinculación de personas con discapacidad</w:t>
            </w:r>
            <w:r w:rsidRPr="0021701A">
              <w:rPr>
                <w:rFonts w:ascii="Arial" w:eastAsia="Times New Roman" w:hAnsi="Arial" w:cs="Arial"/>
                <w:sz w:val="20"/>
                <w:szCs w:val="20"/>
                <w:lang w:val="es-CO"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63762AE1" w14:textId="77777777" w:rsidR="0021701A" w:rsidRPr="0021701A" w:rsidRDefault="0021701A" w:rsidP="0021701A">
            <w:pPr>
              <w:jc w:val="center"/>
              <w:textAlignment w:val="baseline"/>
              <w:rPr>
                <w:rFonts w:ascii="Segoe UI" w:eastAsia="Times New Roman" w:hAnsi="Segoe UI" w:cs="Segoe UI"/>
                <w:sz w:val="20"/>
                <w:szCs w:val="20"/>
                <w:lang w:val="es-CO" w:eastAsia="es-CO"/>
              </w:rPr>
            </w:pPr>
            <w:r w:rsidRPr="0021701A">
              <w:rPr>
                <w:rFonts w:ascii="Arial" w:eastAsia="Times New Roman" w:hAnsi="Arial" w:cs="Arial"/>
                <w:sz w:val="20"/>
                <w:szCs w:val="20"/>
                <w:lang w:val="es-ES" w:eastAsia="es-CO"/>
              </w:rPr>
              <w:t>1</w:t>
            </w:r>
            <w:r w:rsidRPr="0021701A">
              <w:rPr>
                <w:rFonts w:ascii="Arial" w:eastAsia="Times New Roman" w:hAnsi="Arial" w:cs="Arial"/>
                <w:sz w:val="20"/>
                <w:szCs w:val="20"/>
                <w:lang w:val="es-CO" w:eastAsia="es-CO"/>
              </w:rPr>
              <w:t> </w:t>
            </w:r>
          </w:p>
        </w:tc>
      </w:tr>
    </w:tbl>
    <w:p w14:paraId="104B3BB5" w14:textId="77777777" w:rsidR="0021701A" w:rsidRPr="0021701A" w:rsidRDefault="0021701A" w:rsidP="0021701A">
      <w:pPr>
        <w:spacing w:line="254" w:lineRule="atLeast"/>
        <w:jc w:val="both"/>
        <w:rPr>
          <w:rFonts w:ascii="Arial" w:eastAsia="Times New Roman" w:hAnsi="Arial" w:cs="Arial"/>
          <w:sz w:val="22"/>
          <w:lang w:val="es-CO" w:eastAsia="es-ES_tradnl"/>
        </w:rPr>
      </w:pPr>
    </w:p>
    <w:p w14:paraId="313E4501" w14:textId="7FF359D0" w:rsidR="0021701A" w:rsidRPr="0021701A" w:rsidRDefault="0021701A" w:rsidP="0021701A">
      <w:pPr>
        <w:spacing w:after="120" w:line="276" w:lineRule="auto"/>
        <w:ind w:firstLine="709"/>
        <w:jc w:val="both"/>
        <w:rPr>
          <w:rFonts w:ascii="Arial" w:eastAsia="Calibri" w:hAnsi="Arial" w:cs="Arial"/>
          <w:color w:val="000000"/>
          <w:sz w:val="22"/>
          <w:lang w:val="es-ES_tradnl"/>
        </w:rPr>
      </w:pPr>
      <w:r w:rsidRPr="0021701A">
        <w:rPr>
          <w:rFonts w:ascii="Arial" w:eastAsia="Times New Roman" w:hAnsi="Arial" w:cs="Arial"/>
          <w:color w:val="000000"/>
          <w:sz w:val="22"/>
          <w:szCs w:val="24"/>
          <w:lang w:val="es-ES_tradnl" w:eastAsia="es-ES_tradnl"/>
        </w:rPr>
        <w:t xml:space="preserve">En atención a la </w:t>
      </w:r>
      <w:r w:rsidR="001D1029">
        <w:rPr>
          <w:rFonts w:ascii="Arial" w:eastAsia="Times New Roman" w:hAnsi="Arial" w:cs="Arial"/>
          <w:color w:val="000000"/>
          <w:sz w:val="22"/>
          <w:szCs w:val="24"/>
          <w:lang w:val="es-ES_tradnl" w:eastAsia="es-ES_tradnl"/>
        </w:rPr>
        <w:t>modalidad de selección y, particularmente, de acuerdo con la naturaleza del contrato a celebrar</w:t>
      </w:r>
      <w:r w:rsidRPr="0021701A">
        <w:rPr>
          <w:rFonts w:ascii="Arial" w:eastAsia="Times New Roman" w:hAnsi="Arial" w:cs="Arial"/>
          <w:color w:val="000000"/>
          <w:sz w:val="22"/>
          <w:szCs w:val="24"/>
          <w:lang w:val="es-ES_tradnl" w:eastAsia="es-ES_tradnl"/>
        </w:rPr>
        <w:t>,</w:t>
      </w:r>
      <w:r w:rsidR="001D1029">
        <w:rPr>
          <w:rFonts w:ascii="Arial" w:eastAsia="Times New Roman" w:hAnsi="Arial" w:cs="Arial"/>
          <w:color w:val="000000"/>
          <w:sz w:val="22"/>
          <w:szCs w:val="24"/>
          <w:lang w:val="es-ES_tradnl" w:eastAsia="es-ES_tradnl"/>
        </w:rPr>
        <w:t xml:space="preserve"> esto es, por tratarse de una consultoría, </w:t>
      </w:r>
      <w:r w:rsidR="00777151">
        <w:rPr>
          <w:rFonts w:ascii="Arial" w:eastAsia="Times New Roman" w:hAnsi="Arial" w:cs="Arial"/>
          <w:color w:val="000000"/>
          <w:sz w:val="22"/>
          <w:szCs w:val="24"/>
          <w:lang w:val="es-ES_tradnl" w:eastAsia="es-ES_tradnl"/>
        </w:rPr>
        <w:t>género del que hace parte la interventoría</w:t>
      </w:r>
      <w:r w:rsidR="00777151">
        <w:rPr>
          <w:rStyle w:val="Refdenotaalpie"/>
          <w:rFonts w:ascii="Arial" w:eastAsia="Times New Roman" w:hAnsi="Arial" w:cs="Arial"/>
          <w:color w:val="000000"/>
          <w:sz w:val="22"/>
          <w:szCs w:val="24"/>
          <w:lang w:val="es-ES_tradnl" w:eastAsia="es-ES_tradnl"/>
        </w:rPr>
        <w:footnoteReference w:id="5"/>
      </w:r>
      <w:r w:rsidR="00777151">
        <w:rPr>
          <w:rFonts w:ascii="Arial" w:eastAsia="Times New Roman" w:hAnsi="Arial" w:cs="Arial"/>
          <w:color w:val="000000"/>
          <w:sz w:val="22"/>
          <w:szCs w:val="24"/>
          <w:lang w:val="es-ES_tradnl" w:eastAsia="es-ES_tradnl"/>
        </w:rPr>
        <w:t xml:space="preserve">, </w:t>
      </w:r>
      <w:r w:rsidRPr="0021701A">
        <w:rPr>
          <w:rFonts w:ascii="Arial" w:eastAsia="Times New Roman" w:hAnsi="Arial" w:cs="Arial"/>
          <w:color w:val="000000"/>
          <w:sz w:val="22"/>
          <w:szCs w:val="24"/>
          <w:lang w:val="es-ES_tradnl" w:eastAsia="es-ES_tradnl"/>
        </w:rPr>
        <w:t xml:space="preserve">no se tiene en cuenta el precio como factor de evaluación, a diferencia </w:t>
      </w:r>
      <w:r w:rsidR="006D67D5">
        <w:rPr>
          <w:rFonts w:ascii="Arial" w:eastAsia="Times New Roman" w:hAnsi="Arial" w:cs="Arial"/>
          <w:color w:val="000000"/>
          <w:sz w:val="22"/>
          <w:szCs w:val="24"/>
          <w:lang w:val="es-ES_tradnl" w:eastAsia="es-ES_tradnl"/>
        </w:rPr>
        <w:t>de lo que ocurre, por ejemplo, en una licitación pública, una selección abreviada o un proceso de mínima cuantía</w:t>
      </w:r>
      <w:r w:rsidRPr="0021701A">
        <w:rPr>
          <w:rFonts w:ascii="Arial" w:eastAsia="Times New Roman" w:hAnsi="Arial" w:cs="Arial"/>
          <w:color w:val="000000"/>
          <w:sz w:val="22"/>
          <w:szCs w:val="24"/>
          <w:lang w:val="es-ES_tradnl" w:eastAsia="es-ES_tradnl"/>
        </w:rPr>
        <w:t xml:space="preserve">. </w:t>
      </w:r>
      <w:r w:rsidRPr="0021701A">
        <w:rPr>
          <w:rFonts w:ascii="Arial" w:eastAsia="Calibri" w:hAnsi="Arial" w:cs="Arial"/>
          <w:color w:val="000000"/>
          <w:sz w:val="22"/>
          <w:lang w:val="es-ES_tradnl"/>
        </w:rPr>
        <w:t xml:space="preserve">Por tanto, de conformidad con el inciso final del </w:t>
      </w:r>
      <w:r w:rsidR="00EA7CF6">
        <w:rPr>
          <w:rFonts w:ascii="Arial" w:eastAsia="Calibri" w:hAnsi="Arial" w:cs="Arial"/>
          <w:sz w:val="22"/>
          <w:lang w:val="es-CO"/>
        </w:rPr>
        <w:t>numeral 4° del artículo 5°</w:t>
      </w:r>
      <w:r w:rsidR="00EA7CF6" w:rsidRPr="0021701A">
        <w:rPr>
          <w:rFonts w:ascii="Arial" w:eastAsia="Calibri" w:hAnsi="Arial" w:cs="Arial"/>
          <w:sz w:val="22"/>
          <w:lang w:val="es-CO"/>
        </w:rPr>
        <w:t xml:space="preserve"> de la Ley 1150 de 2007</w:t>
      </w:r>
      <w:r w:rsidRPr="0021701A">
        <w:rPr>
          <w:rFonts w:ascii="Arial" w:eastAsia="Calibri" w:hAnsi="Arial" w:cs="Arial"/>
          <w:color w:val="000000"/>
          <w:sz w:val="22"/>
          <w:lang w:val="es-ES_tradnl"/>
        </w:rPr>
        <w:t xml:space="preserve">, la oferta económica </w:t>
      </w:r>
      <w:r w:rsidR="00D12156">
        <w:rPr>
          <w:rFonts w:ascii="Arial" w:eastAsia="Calibri" w:hAnsi="Arial" w:cs="Arial"/>
          <w:color w:val="000000"/>
          <w:sz w:val="22"/>
          <w:lang w:val="es-ES_tradnl"/>
        </w:rPr>
        <w:t>no será factor de escogencia para la selección de consultores, por lo que no será un criterio de asignación de puntaje</w:t>
      </w:r>
      <w:r w:rsidR="0044760A">
        <w:rPr>
          <w:rStyle w:val="Refdenotaalpie"/>
          <w:rFonts w:ascii="Arial" w:eastAsia="Calibri" w:hAnsi="Arial" w:cs="Arial"/>
          <w:color w:val="000000"/>
          <w:sz w:val="22"/>
          <w:lang w:val="es-ES_tradnl"/>
        </w:rPr>
        <w:footnoteReference w:id="6"/>
      </w:r>
      <w:r w:rsidRPr="0021701A">
        <w:rPr>
          <w:rFonts w:ascii="Arial" w:eastAsia="Calibri" w:hAnsi="Arial" w:cs="Arial"/>
          <w:color w:val="000000"/>
          <w:sz w:val="22"/>
          <w:lang w:val="es-ES_tradnl"/>
        </w:rPr>
        <w:t>.</w:t>
      </w:r>
    </w:p>
    <w:p w14:paraId="3CE9FE52" w14:textId="61A42E00" w:rsidR="0021701A" w:rsidRPr="0021701A" w:rsidRDefault="00A864F9" w:rsidP="00B71D4E">
      <w:pPr>
        <w:spacing w:before="120" w:after="120" w:line="276" w:lineRule="auto"/>
        <w:ind w:firstLine="709"/>
        <w:jc w:val="both"/>
        <w:rPr>
          <w:rFonts w:ascii="Arial" w:eastAsia="Calibri" w:hAnsi="Arial" w:cs="Arial"/>
          <w:bCs/>
          <w:color w:val="000000"/>
          <w:sz w:val="22"/>
          <w:lang w:val="es-ES_tradnl" w:eastAsia="es-ES_tradnl"/>
        </w:rPr>
      </w:pPr>
      <w:r>
        <w:rPr>
          <w:rFonts w:ascii="Arial" w:eastAsia="Calibri" w:hAnsi="Arial" w:cs="Arial"/>
          <w:color w:val="000000"/>
          <w:sz w:val="22"/>
          <w:lang w:val="es-ES_tradnl"/>
        </w:rPr>
        <w:t xml:space="preserve">Habiendo aclarado el </w:t>
      </w:r>
      <w:r w:rsidR="002347A0">
        <w:rPr>
          <w:rFonts w:ascii="Arial" w:eastAsia="Calibri" w:hAnsi="Arial" w:cs="Arial"/>
          <w:color w:val="000000"/>
          <w:sz w:val="22"/>
          <w:lang w:val="es-ES_tradnl"/>
        </w:rPr>
        <w:t>punto</w:t>
      </w:r>
      <w:r>
        <w:rPr>
          <w:rFonts w:ascii="Arial" w:eastAsia="Calibri" w:hAnsi="Arial" w:cs="Arial"/>
          <w:color w:val="000000"/>
          <w:sz w:val="22"/>
          <w:lang w:val="es-ES_tradnl"/>
        </w:rPr>
        <w:t xml:space="preserve"> anterior, cabe señalar que e</w:t>
      </w:r>
      <w:r w:rsidR="0021701A" w:rsidRPr="0021701A">
        <w:rPr>
          <w:rFonts w:ascii="Arial" w:eastAsia="Calibri" w:hAnsi="Arial" w:cs="Arial"/>
          <w:color w:val="000000"/>
          <w:sz w:val="22"/>
          <w:lang w:val="es-ES_tradnl"/>
        </w:rPr>
        <w:t>l Documento Base</w:t>
      </w:r>
      <w:r>
        <w:rPr>
          <w:rFonts w:ascii="Arial" w:eastAsia="Calibri" w:hAnsi="Arial" w:cs="Arial"/>
          <w:color w:val="000000"/>
          <w:sz w:val="22"/>
          <w:lang w:val="es-ES_tradnl"/>
        </w:rPr>
        <w:t xml:space="preserve"> de los documentos tipo de concurso de méritos para contratar la interventoría de obras de infraestructura de transporte</w:t>
      </w:r>
      <w:r w:rsidR="0021701A" w:rsidRPr="0021701A">
        <w:rPr>
          <w:rFonts w:ascii="Arial" w:eastAsia="Calibri" w:hAnsi="Arial" w:cs="Arial"/>
          <w:color w:val="000000"/>
          <w:sz w:val="22"/>
          <w:lang w:val="es-ES_tradnl"/>
        </w:rPr>
        <w:t xml:space="preserve">, en lo relativo a la evaluación de la experiencia del proponente, </w:t>
      </w:r>
      <w:r w:rsidR="0021701A" w:rsidRPr="0021701A">
        <w:rPr>
          <w:rFonts w:ascii="Arial" w:eastAsia="Calibri" w:hAnsi="Arial" w:cs="Arial"/>
          <w:color w:val="000000"/>
          <w:sz w:val="22"/>
          <w:lang w:val="es-ES_tradnl"/>
        </w:rPr>
        <w:lastRenderedPageBreak/>
        <w:t xml:space="preserve">establece un método de ponderación de los requisitos de este factor de asignación de puntaje. Al respecto, el numeral 4.1, en los literales A y B del </w:t>
      </w:r>
      <w:r>
        <w:rPr>
          <w:rFonts w:ascii="Arial" w:eastAsia="Calibri" w:hAnsi="Arial" w:cs="Arial"/>
          <w:color w:val="000000"/>
          <w:sz w:val="22"/>
          <w:lang w:val="es-ES_tradnl"/>
        </w:rPr>
        <w:t xml:space="preserve">documento tipo </w:t>
      </w:r>
      <w:r w:rsidR="0021701A" w:rsidRPr="0021701A">
        <w:rPr>
          <w:rFonts w:ascii="Arial" w:eastAsia="Calibri" w:hAnsi="Arial" w:cs="Arial"/>
          <w:bCs/>
          <w:color w:val="000000"/>
          <w:sz w:val="22"/>
          <w:lang w:val="es-ES_tradnl" w:eastAsia="es-ES_tradnl"/>
        </w:rPr>
        <w:t>estudiado establecen:</w:t>
      </w:r>
    </w:p>
    <w:p w14:paraId="77CE6A26" w14:textId="77777777" w:rsidR="0021701A" w:rsidRPr="0021701A" w:rsidRDefault="0021701A" w:rsidP="0021701A">
      <w:pPr>
        <w:spacing w:line="276" w:lineRule="auto"/>
        <w:ind w:firstLine="708"/>
        <w:jc w:val="both"/>
        <w:rPr>
          <w:rFonts w:ascii="Arial" w:eastAsia="Calibri" w:hAnsi="Arial" w:cs="Arial"/>
          <w:bCs/>
          <w:color w:val="000000"/>
          <w:sz w:val="22"/>
          <w:lang w:val="es-ES_tradnl" w:eastAsia="es-ES_tradnl"/>
        </w:rPr>
      </w:pPr>
    </w:p>
    <w:p w14:paraId="44CB3641" w14:textId="77777777" w:rsidR="0021701A" w:rsidRPr="0021701A" w:rsidRDefault="0021701A" w:rsidP="0021701A">
      <w:pPr>
        <w:ind w:left="709" w:right="709"/>
        <w:jc w:val="both"/>
        <w:rPr>
          <w:rFonts w:ascii="Arial" w:eastAsia="Calibri" w:hAnsi="Arial" w:cs="Arial"/>
          <w:bCs/>
          <w:color w:val="000000"/>
          <w:sz w:val="21"/>
          <w:szCs w:val="21"/>
          <w:lang w:val="es-ES_tradnl" w:eastAsia="es-ES_tradnl"/>
        </w:rPr>
      </w:pPr>
      <w:r w:rsidRPr="0021701A">
        <w:rPr>
          <w:rFonts w:ascii="Arial" w:eastAsia="Calibri" w:hAnsi="Arial" w:cs="Arial"/>
          <w:bCs/>
          <w:color w:val="000000"/>
          <w:sz w:val="21"/>
          <w:szCs w:val="21"/>
          <w:lang w:val="es-ES_tradnl" w:eastAsia="es-ES_tradnl"/>
        </w:rPr>
        <w:t>A. El proponente cumplirá con la exigencia mínima de experiencia prevista en el numeral 3.8.1, de acuerdo con lo anterior, si el proponente debió subsanar el cumplimiento de la experiencia mínima no será susceptible de puntuación, por lo que obtendrá cero (0) puntos por este criterio de evaluación.</w:t>
      </w:r>
    </w:p>
    <w:p w14:paraId="42ED3E98" w14:textId="77777777" w:rsidR="0021701A" w:rsidRPr="0021701A" w:rsidRDefault="0021701A" w:rsidP="0021701A">
      <w:pPr>
        <w:ind w:left="709" w:right="709"/>
        <w:jc w:val="both"/>
        <w:rPr>
          <w:rFonts w:ascii="Arial" w:eastAsia="Calibri" w:hAnsi="Arial" w:cs="Arial"/>
          <w:color w:val="000000"/>
          <w:sz w:val="21"/>
          <w:szCs w:val="21"/>
          <w:lang w:val="es-ES_tradnl"/>
        </w:rPr>
      </w:pPr>
    </w:p>
    <w:p w14:paraId="22872509" w14:textId="738C8F04" w:rsidR="0021701A" w:rsidRPr="0021701A" w:rsidRDefault="0021701A" w:rsidP="0021701A">
      <w:pPr>
        <w:ind w:left="709" w:right="709"/>
        <w:jc w:val="both"/>
        <w:rPr>
          <w:rFonts w:ascii="Arial" w:eastAsia="Calibri" w:hAnsi="Arial" w:cs="Arial"/>
          <w:color w:val="000000"/>
          <w:sz w:val="21"/>
          <w:szCs w:val="21"/>
          <w:lang w:val="es-ES_tradnl"/>
        </w:rPr>
      </w:pPr>
      <w:r w:rsidRPr="0021701A">
        <w:rPr>
          <w:rFonts w:ascii="Arial" w:eastAsia="Calibri" w:hAnsi="Arial" w:cs="Arial"/>
          <w:color w:val="000000"/>
          <w:sz w:val="21"/>
          <w:szCs w:val="21"/>
          <w:lang w:val="es-ES_tradnl"/>
        </w:rPr>
        <w:t xml:space="preserve">B. </w:t>
      </w:r>
      <w:r w:rsidRPr="0021701A">
        <w:rPr>
          <w:rFonts w:ascii="Arial" w:eastAsia="Times New Roman" w:hAnsi="Arial" w:cs="Arial"/>
          <w:color w:val="000000"/>
          <w:sz w:val="21"/>
          <w:szCs w:val="21"/>
          <w:shd w:val="clear" w:color="auto" w:fill="FFFFFF"/>
          <w:lang w:val="es-CO" w:eastAsia="es-ES_tradnl"/>
        </w:rPr>
        <w:t>Para la asignación de puntaje,</w:t>
      </w:r>
      <w:r w:rsidR="00041EFA">
        <w:rPr>
          <w:rFonts w:ascii="Arial" w:eastAsia="Times New Roman" w:hAnsi="Arial" w:cs="Arial"/>
          <w:color w:val="000000"/>
          <w:sz w:val="21"/>
          <w:szCs w:val="21"/>
          <w:shd w:val="clear" w:color="auto" w:fill="FFFFFF"/>
          <w:lang w:val="es-CO" w:eastAsia="es-ES_tradnl"/>
        </w:rPr>
        <w:t xml:space="preserve"> </w:t>
      </w:r>
      <w:r w:rsidRPr="0021701A">
        <w:rPr>
          <w:rFonts w:ascii="Arial" w:eastAsia="Times New Roman" w:hAnsi="Arial" w:cs="Arial"/>
          <w:color w:val="000000"/>
          <w:sz w:val="21"/>
          <w:szCs w:val="21"/>
          <w:shd w:val="clear" w:color="auto" w:fill="FFFFFF"/>
          <w:lang w:val="es-CO" w:eastAsia="es-ES_tradnl"/>
        </w:rPr>
        <w:t>se tomará</w:t>
      </w:r>
      <w:r w:rsidR="00041EFA">
        <w:rPr>
          <w:rFonts w:ascii="Arial" w:eastAsia="Times New Roman" w:hAnsi="Arial" w:cs="Arial"/>
          <w:color w:val="000000"/>
          <w:sz w:val="21"/>
          <w:szCs w:val="21"/>
          <w:shd w:val="clear" w:color="auto" w:fill="FFFFFF"/>
          <w:lang w:val="es-CO" w:eastAsia="es-ES_tradnl"/>
        </w:rPr>
        <w:t xml:space="preserve"> </w:t>
      </w:r>
      <w:r w:rsidRPr="0021701A">
        <w:rPr>
          <w:rFonts w:ascii="Arial" w:eastAsia="Times New Roman" w:hAnsi="Arial" w:cs="Arial"/>
          <w:color w:val="000000"/>
          <w:sz w:val="21"/>
          <w:szCs w:val="21"/>
          <w:shd w:val="clear" w:color="auto" w:fill="FFFFFF"/>
          <w:lang w:val="es-CO" w:eastAsia="es-ES_tradnl"/>
        </w:rPr>
        <w:t>el promedio</w:t>
      </w:r>
      <w:r w:rsidR="00041EFA">
        <w:rPr>
          <w:rFonts w:ascii="Arial" w:eastAsia="Times New Roman" w:hAnsi="Arial" w:cs="Arial"/>
          <w:color w:val="000000"/>
          <w:sz w:val="21"/>
          <w:szCs w:val="21"/>
          <w:shd w:val="clear" w:color="auto" w:fill="FFFFFF"/>
          <w:lang w:val="es-CO" w:eastAsia="es-ES_tradnl"/>
        </w:rPr>
        <w:t xml:space="preserve"> </w:t>
      </w:r>
      <w:r w:rsidRPr="0021701A">
        <w:rPr>
          <w:rFonts w:ascii="Arial" w:eastAsia="Times New Roman" w:hAnsi="Arial" w:cs="Arial"/>
          <w:color w:val="000000"/>
          <w:sz w:val="21"/>
          <w:szCs w:val="21"/>
          <w:shd w:val="clear" w:color="auto" w:fill="FFFFFF"/>
          <w:lang w:val="es-CO" w:eastAsia="es-ES_tradnl"/>
        </w:rPr>
        <w:t>de los</w:t>
      </w:r>
      <w:r w:rsidR="00041EFA">
        <w:rPr>
          <w:rFonts w:ascii="Arial" w:eastAsia="Times New Roman" w:hAnsi="Arial" w:cs="Arial"/>
          <w:color w:val="000000"/>
          <w:sz w:val="21"/>
          <w:szCs w:val="21"/>
          <w:shd w:val="clear" w:color="auto" w:fill="FFFFFF"/>
          <w:lang w:val="es-CO" w:eastAsia="es-ES_tradnl"/>
        </w:rPr>
        <w:t xml:space="preserve"> </w:t>
      </w:r>
      <w:r w:rsidRPr="0021701A">
        <w:rPr>
          <w:rFonts w:ascii="Arial" w:eastAsia="Times New Roman" w:hAnsi="Arial" w:cs="Arial"/>
          <w:color w:val="000000"/>
          <w:sz w:val="21"/>
          <w:szCs w:val="21"/>
          <w:shd w:val="clear" w:color="auto" w:fill="FFFFFF"/>
          <w:lang w:val="es-CO" w:eastAsia="es-ES_tradnl"/>
        </w:rPr>
        <w:t>contratos válidos aportados expresados en</w:t>
      </w:r>
      <w:r w:rsidR="00041EFA">
        <w:rPr>
          <w:rFonts w:ascii="Arial" w:eastAsia="Times New Roman" w:hAnsi="Arial" w:cs="Arial"/>
          <w:color w:val="000000"/>
          <w:sz w:val="21"/>
          <w:szCs w:val="21"/>
          <w:shd w:val="clear" w:color="auto" w:fill="FFFFFF"/>
          <w:lang w:val="es-CO" w:eastAsia="es-ES_tradnl"/>
        </w:rPr>
        <w:t xml:space="preserve"> </w:t>
      </w:r>
      <w:r w:rsidRPr="0021701A">
        <w:rPr>
          <w:rFonts w:ascii="Arial" w:eastAsia="Calibri" w:hAnsi="Arial" w:cs="Arial"/>
          <w:color w:val="000000"/>
          <w:sz w:val="21"/>
          <w:szCs w:val="21"/>
          <w:lang w:val="es-ES_tradnl"/>
        </w:rPr>
        <w:t>SMMLV</w:t>
      </w:r>
      <w:r w:rsidR="00041EFA">
        <w:rPr>
          <w:rFonts w:ascii="Arial" w:eastAsia="Calibri" w:hAnsi="Arial" w:cs="Arial"/>
          <w:color w:val="000000"/>
          <w:sz w:val="21"/>
          <w:szCs w:val="21"/>
          <w:lang w:val="es-ES_tradnl"/>
        </w:rPr>
        <w:t xml:space="preserve"> </w:t>
      </w:r>
      <w:r w:rsidRPr="0021701A">
        <w:rPr>
          <w:rFonts w:ascii="Arial" w:eastAsia="Calibri" w:hAnsi="Arial" w:cs="Arial"/>
          <w:color w:val="000000"/>
          <w:sz w:val="21"/>
          <w:szCs w:val="21"/>
          <w:lang w:val="es-ES_tradnl"/>
        </w:rPr>
        <w:t>registrados en el RUP o en</w:t>
      </w:r>
      <w:r w:rsidR="00041EFA">
        <w:rPr>
          <w:rFonts w:ascii="Arial" w:eastAsia="Calibri" w:hAnsi="Arial" w:cs="Arial"/>
          <w:color w:val="000000"/>
          <w:sz w:val="21"/>
          <w:szCs w:val="21"/>
          <w:lang w:val="es-ES_tradnl"/>
        </w:rPr>
        <w:t xml:space="preserve"> </w:t>
      </w:r>
      <w:r w:rsidRPr="0021701A">
        <w:rPr>
          <w:rFonts w:ascii="Arial" w:eastAsia="Calibri" w:hAnsi="Arial" w:cs="Arial"/>
          <w:color w:val="000000"/>
          <w:sz w:val="21"/>
          <w:szCs w:val="21"/>
          <w:lang w:val="es-ES_tradnl"/>
        </w:rPr>
        <w:t>alguno de los documentos válidos señalados en el numeral 10.1.5,</w:t>
      </w:r>
      <w:r w:rsidR="00041EFA">
        <w:rPr>
          <w:rFonts w:ascii="Arial" w:eastAsia="Calibri" w:hAnsi="Arial" w:cs="Arial"/>
          <w:color w:val="000000"/>
          <w:sz w:val="21"/>
          <w:szCs w:val="21"/>
          <w:lang w:val="es-ES_tradnl"/>
        </w:rPr>
        <w:t xml:space="preserve"> </w:t>
      </w:r>
      <w:r w:rsidRPr="0021701A">
        <w:rPr>
          <w:rFonts w:ascii="Arial" w:eastAsia="Calibri" w:hAnsi="Arial" w:cs="Arial"/>
          <w:color w:val="000000"/>
          <w:sz w:val="21"/>
          <w:szCs w:val="21"/>
          <w:lang w:val="es-ES_tradnl"/>
        </w:rPr>
        <w:t>que acredite su experiencia relacionada en el RUP, y que</w:t>
      </w:r>
      <w:r w:rsidR="00041EFA">
        <w:rPr>
          <w:rFonts w:ascii="Arial" w:eastAsia="Calibri" w:hAnsi="Arial" w:cs="Arial"/>
          <w:color w:val="000000"/>
          <w:sz w:val="21"/>
          <w:szCs w:val="21"/>
          <w:lang w:val="es-ES_tradnl"/>
        </w:rPr>
        <w:t xml:space="preserve"> </w:t>
      </w:r>
      <w:r w:rsidRPr="0021701A">
        <w:rPr>
          <w:rFonts w:ascii="Arial" w:eastAsia="Calibri" w:hAnsi="Arial" w:cs="Arial"/>
          <w:color w:val="000000"/>
          <w:sz w:val="21"/>
          <w:szCs w:val="21"/>
          <w:lang w:val="es-ES_tradnl"/>
        </w:rPr>
        <w:t>en total</w:t>
      </w:r>
      <w:r w:rsidR="00041EFA">
        <w:rPr>
          <w:rFonts w:ascii="Arial" w:eastAsia="Calibri" w:hAnsi="Arial" w:cs="Arial"/>
          <w:color w:val="000000"/>
          <w:sz w:val="21"/>
          <w:szCs w:val="21"/>
          <w:lang w:val="es-ES_tradnl"/>
        </w:rPr>
        <w:t xml:space="preserve"> </w:t>
      </w:r>
      <w:r w:rsidRPr="0021701A">
        <w:rPr>
          <w:rFonts w:ascii="Arial" w:eastAsia="Calibri" w:hAnsi="Arial" w:cs="Arial"/>
          <w:color w:val="000000"/>
          <w:sz w:val="21"/>
          <w:szCs w:val="21"/>
          <w:lang w:val="es-ES_tradnl"/>
        </w:rPr>
        <w:t>hayan cumplido con lo mencionado en el literal A de esta sección.</w:t>
      </w:r>
      <w:r w:rsidR="00041EFA">
        <w:rPr>
          <w:rFonts w:ascii="Arial" w:eastAsia="Calibri" w:hAnsi="Arial" w:cs="Arial"/>
          <w:color w:val="000000"/>
          <w:sz w:val="21"/>
          <w:szCs w:val="21"/>
          <w:lang w:val="es-ES_tradnl"/>
        </w:rPr>
        <w:t xml:space="preserve"> </w:t>
      </w:r>
      <w:r w:rsidRPr="0021701A">
        <w:rPr>
          <w:rFonts w:ascii="Arial" w:eastAsia="Calibri" w:hAnsi="Arial" w:cs="Arial"/>
          <w:color w:val="000000"/>
          <w:sz w:val="21"/>
          <w:szCs w:val="21"/>
          <w:lang w:val="es-ES_tradnl"/>
        </w:rPr>
        <w:t>Dicho</w:t>
      </w:r>
      <w:r w:rsidR="00041EFA">
        <w:rPr>
          <w:rFonts w:ascii="Arial" w:eastAsia="Calibri" w:hAnsi="Arial" w:cs="Arial"/>
          <w:color w:val="000000"/>
          <w:sz w:val="21"/>
          <w:szCs w:val="21"/>
          <w:lang w:val="es-ES_tradnl"/>
        </w:rPr>
        <w:t xml:space="preserve"> </w:t>
      </w:r>
      <w:r w:rsidRPr="0021701A">
        <w:rPr>
          <w:rFonts w:ascii="Arial" w:eastAsia="Calibri" w:hAnsi="Arial" w:cs="Arial"/>
          <w:color w:val="000000"/>
          <w:sz w:val="21"/>
          <w:szCs w:val="21"/>
          <w:lang w:val="es-ES_tradnl"/>
        </w:rPr>
        <w:t>promedio</w:t>
      </w:r>
      <w:r w:rsidR="00041EFA">
        <w:rPr>
          <w:rFonts w:ascii="Arial" w:eastAsia="Calibri" w:hAnsi="Arial" w:cs="Arial"/>
          <w:color w:val="000000"/>
          <w:sz w:val="21"/>
          <w:szCs w:val="21"/>
          <w:lang w:val="es-ES_tradnl"/>
        </w:rPr>
        <w:t xml:space="preserve"> </w:t>
      </w:r>
      <w:r w:rsidRPr="0021701A">
        <w:rPr>
          <w:rFonts w:ascii="Arial" w:eastAsia="Calibri" w:hAnsi="Arial" w:cs="Arial"/>
          <w:color w:val="000000"/>
          <w:sz w:val="21"/>
          <w:szCs w:val="21"/>
          <w:lang w:val="es-ES_tradnl"/>
        </w:rPr>
        <w:t>será el valor que lo hará participar para la asignación del puntaje,</w:t>
      </w:r>
      <w:r w:rsidR="00041EFA">
        <w:rPr>
          <w:rFonts w:ascii="Arial" w:eastAsia="Calibri" w:hAnsi="Arial" w:cs="Arial"/>
          <w:color w:val="000000"/>
          <w:sz w:val="21"/>
          <w:szCs w:val="21"/>
          <w:lang w:val="es-ES_tradnl"/>
        </w:rPr>
        <w:t xml:space="preserve"> </w:t>
      </w:r>
      <w:r w:rsidRPr="0021701A">
        <w:rPr>
          <w:rFonts w:ascii="Arial" w:eastAsia="Calibri" w:hAnsi="Arial" w:cs="Arial"/>
          <w:color w:val="000000"/>
          <w:sz w:val="21"/>
          <w:szCs w:val="21"/>
          <w:lang w:val="es-ES_tradnl"/>
        </w:rPr>
        <w:t>según se detalla en esta sección</w:t>
      </w:r>
      <w:r w:rsidR="00041EFA">
        <w:rPr>
          <w:rFonts w:ascii="Arial" w:eastAsia="Times New Roman" w:hAnsi="Arial" w:cs="Arial"/>
          <w:color w:val="000000"/>
          <w:sz w:val="21"/>
          <w:szCs w:val="21"/>
          <w:shd w:val="clear" w:color="auto" w:fill="FFFFFF"/>
          <w:lang w:val="es-CO" w:eastAsia="es-ES_tradnl"/>
        </w:rPr>
        <w:t>.</w:t>
      </w:r>
    </w:p>
    <w:p w14:paraId="35A49F9D" w14:textId="77777777" w:rsidR="0021701A" w:rsidRPr="0021701A" w:rsidRDefault="0021701A" w:rsidP="0021701A">
      <w:pPr>
        <w:spacing w:line="276" w:lineRule="auto"/>
        <w:ind w:firstLine="708"/>
        <w:jc w:val="both"/>
        <w:rPr>
          <w:rFonts w:ascii="Arial" w:eastAsia="Times New Roman" w:hAnsi="Arial" w:cs="Arial"/>
          <w:color w:val="000000"/>
          <w:sz w:val="22"/>
          <w:lang w:eastAsia="es-ES_tradnl"/>
        </w:rPr>
      </w:pPr>
    </w:p>
    <w:p w14:paraId="25A5416C" w14:textId="658E1742" w:rsidR="0021701A" w:rsidRPr="0021701A" w:rsidRDefault="0021701A" w:rsidP="00BF5880">
      <w:pPr>
        <w:spacing w:line="276" w:lineRule="auto"/>
        <w:ind w:firstLine="709"/>
        <w:jc w:val="both"/>
        <w:rPr>
          <w:rFonts w:ascii="Arial" w:eastAsia="Times New Roman" w:hAnsi="Arial" w:cs="Arial"/>
          <w:color w:val="000000"/>
          <w:sz w:val="22"/>
          <w:lang w:eastAsia="es-ES_tradnl"/>
        </w:rPr>
      </w:pPr>
      <w:r w:rsidRPr="0021701A">
        <w:rPr>
          <w:rFonts w:ascii="Arial" w:eastAsia="Times New Roman" w:hAnsi="Arial" w:cs="Arial"/>
          <w:color w:val="000000"/>
          <w:sz w:val="22"/>
          <w:lang w:eastAsia="es-ES_tradnl"/>
        </w:rPr>
        <w:t xml:space="preserve">Conforme indican estos literales, la valoración de la experiencia del proponente, de cara a la asignación del puntaje correspondiente </w:t>
      </w:r>
      <w:r w:rsidR="00A864F9">
        <w:rPr>
          <w:rFonts w:ascii="Arial" w:eastAsia="Times New Roman" w:hAnsi="Arial" w:cs="Arial"/>
          <w:color w:val="000000"/>
          <w:sz w:val="22"/>
          <w:lang w:eastAsia="es-ES_tradnl"/>
        </w:rPr>
        <w:t>por</w:t>
      </w:r>
      <w:r w:rsidRPr="0021701A">
        <w:rPr>
          <w:rFonts w:ascii="Arial" w:eastAsia="Times New Roman" w:hAnsi="Arial" w:cs="Arial"/>
          <w:color w:val="000000"/>
          <w:sz w:val="22"/>
          <w:lang w:eastAsia="es-ES_tradnl"/>
        </w:rPr>
        <w:t xml:space="preserve"> este factor de evaluación, debe </w:t>
      </w:r>
      <w:r w:rsidR="00170D3D" w:rsidRPr="0021701A">
        <w:rPr>
          <w:rFonts w:ascii="Arial" w:eastAsia="Times New Roman" w:hAnsi="Arial" w:cs="Arial"/>
          <w:color w:val="000000"/>
          <w:sz w:val="22"/>
          <w:lang w:eastAsia="es-ES_tradnl"/>
        </w:rPr>
        <w:t>hacerse de</w:t>
      </w:r>
      <w:r w:rsidRPr="0021701A">
        <w:rPr>
          <w:rFonts w:ascii="Arial" w:eastAsia="Times New Roman" w:hAnsi="Arial" w:cs="Arial"/>
          <w:color w:val="000000"/>
          <w:sz w:val="22"/>
          <w:lang w:eastAsia="es-ES_tradnl"/>
        </w:rPr>
        <w:t xml:space="preserve"> acuerdo con el promedio de los valores de los contratos </w:t>
      </w:r>
      <w:r w:rsidR="00A864F9">
        <w:rPr>
          <w:rFonts w:ascii="Arial" w:eastAsia="Times New Roman" w:hAnsi="Arial" w:cs="Arial"/>
          <w:color w:val="000000"/>
          <w:sz w:val="22"/>
          <w:lang w:eastAsia="es-ES_tradnl"/>
        </w:rPr>
        <w:t xml:space="preserve">aportados para acreditar experiencia, </w:t>
      </w:r>
      <w:r w:rsidRPr="0021701A">
        <w:rPr>
          <w:rFonts w:ascii="Arial" w:eastAsia="Times New Roman" w:hAnsi="Arial" w:cs="Arial"/>
          <w:color w:val="000000"/>
          <w:sz w:val="22"/>
          <w:lang w:eastAsia="es-ES_tradnl"/>
        </w:rPr>
        <w:t>expresados en SMMLV. Para determinar el puntaje que corresponde al proponente por este factor de evaluación, el referido valor promedio de los contratos aportados para acreditar la experiencia, conforme indican los literales C y D del numeral 4.1., debe ser objeto de ponderación de acuerdo con alguno de los métodos señalados en el Documento Base, cuya escogencia debe hacerse de manera aleatoria, a partir de la Tasa Representativa del Mercado–TRM–. Al respecto los literales C y D del numeral 4.1 señalan:</w:t>
      </w:r>
    </w:p>
    <w:p w14:paraId="4FCB83FB" w14:textId="77777777" w:rsidR="0021701A" w:rsidRPr="0021701A" w:rsidRDefault="0021701A" w:rsidP="0021701A">
      <w:pPr>
        <w:ind w:left="709" w:right="709"/>
        <w:contextualSpacing/>
        <w:jc w:val="both"/>
        <w:rPr>
          <w:rFonts w:ascii="Arial" w:eastAsia="Arial" w:hAnsi="Arial" w:cs="Arial"/>
          <w:sz w:val="21"/>
          <w:szCs w:val="21"/>
          <w:lang w:eastAsia="es-ES"/>
        </w:rPr>
      </w:pPr>
    </w:p>
    <w:p w14:paraId="470CC083" w14:textId="1EEEAFB0" w:rsidR="00BF5880" w:rsidRDefault="0021701A" w:rsidP="00BF5880">
      <w:pPr>
        <w:spacing w:after="120"/>
        <w:ind w:left="709" w:right="709"/>
        <w:contextualSpacing/>
        <w:jc w:val="both"/>
        <w:rPr>
          <w:rFonts w:ascii="Arial" w:eastAsia="Arial" w:hAnsi="Arial" w:cs="Arial"/>
          <w:sz w:val="21"/>
          <w:szCs w:val="21"/>
          <w:lang w:eastAsia="es-ES"/>
        </w:rPr>
      </w:pPr>
      <w:r w:rsidRPr="0021701A">
        <w:rPr>
          <w:rFonts w:ascii="Arial" w:eastAsia="Arial" w:hAnsi="Arial" w:cs="Arial"/>
          <w:sz w:val="21"/>
          <w:szCs w:val="21"/>
          <w:lang w:eastAsia="es-ES"/>
        </w:rPr>
        <w:t xml:space="preserve">C. Posteriormente, se seleccionará un método aleatorio en función de la Tasa de cambio Representativa del Mercado (TRM) certificada por la Superintendencia Financiera de Colombia </w:t>
      </w:r>
      <w:r w:rsidRPr="0021701A">
        <w:rPr>
          <w:rFonts w:ascii="Arial" w:eastAsia="Arial" w:hAnsi="Arial" w:cs="Arial"/>
          <w:sz w:val="21"/>
          <w:szCs w:val="21"/>
          <w:highlight w:val="lightGray"/>
          <w:lang w:eastAsia="es-ES"/>
        </w:rPr>
        <w:t xml:space="preserve">[en su sitio web: </w:t>
      </w:r>
      <w:hyperlink r:id="rId12" w:history="1">
        <w:r w:rsidRPr="0021701A">
          <w:rPr>
            <w:rFonts w:ascii="Arial" w:eastAsia="Arial" w:hAnsi="Arial" w:cs="Arial"/>
            <w:sz w:val="21"/>
            <w:szCs w:val="21"/>
            <w:highlight w:val="lightGray"/>
            <w:lang w:eastAsia="es-ES"/>
          </w:rPr>
          <w:t>https://www.superfinanciera.gov.co/publicacion/60819</w:t>
        </w:r>
      </w:hyperlink>
      <w:r w:rsidRPr="0021701A">
        <w:rPr>
          <w:rFonts w:ascii="Arial" w:eastAsia="Arial" w:hAnsi="Arial" w:cs="Arial"/>
          <w:sz w:val="21"/>
          <w:szCs w:val="21"/>
          <w:highlight w:val="lightGray"/>
          <w:lang w:eastAsia="es-ES"/>
        </w:rPr>
        <w:t>]</w:t>
      </w:r>
      <w:r w:rsidRPr="0021701A">
        <w:rPr>
          <w:rFonts w:ascii="Arial" w:eastAsia="Arial" w:hAnsi="Arial" w:cs="Arial"/>
          <w:sz w:val="21"/>
          <w:szCs w:val="21"/>
          <w:lang w:eastAsia="es-ES"/>
        </w:rPr>
        <w:t>.</w:t>
      </w:r>
    </w:p>
    <w:p w14:paraId="45D6A451" w14:textId="77777777" w:rsidR="00BF5880" w:rsidRPr="0021701A" w:rsidRDefault="00BF5880" w:rsidP="00BF5880">
      <w:pPr>
        <w:spacing w:after="120"/>
        <w:ind w:left="709" w:right="709"/>
        <w:contextualSpacing/>
        <w:jc w:val="both"/>
        <w:rPr>
          <w:rFonts w:ascii="Arial" w:eastAsia="Arial" w:hAnsi="Arial" w:cs="Arial"/>
          <w:sz w:val="21"/>
          <w:szCs w:val="21"/>
          <w:lang w:eastAsia="es-ES"/>
        </w:rPr>
      </w:pPr>
    </w:p>
    <w:p w14:paraId="0169C052" w14:textId="51584EFA" w:rsidR="0021701A" w:rsidRDefault="0021701A" w:rsidP="00BF5880">
      <w:pPr>
        <w:spacing w:after="120"/>
        <w:ind w:left="709" w:right="709"/>
        <w:contextualSpacing/>
        <w:jc w:val="both"/>
        <w:rPr>
          <w:rFonts w:ascii="Arial" w:eastAsia="Arial" w:hAnsi="Arial" w:cs="Arial"/>
          <w:sz w:val="21"/>
          <w:szCs w:val="21"/>
          <w:highlight w:val="lightGray"/>
          <w:lang w:eastAsia="es-ES"/>
        </w:rPr>
      </w:pPr>
      <w:r w:rsidRPr="0021701A">
        <w:rPr>
          <w:rFonts w:ascii="Arial" w:eastAsia="Arial" w:hAnsi="Arial" w:cs="Arial"/>
          <w:sz w:val="21"/>
          <w:szCs w:val="21"/>
          <w:lang w:eastAsia="es-ES"/>
        </w:rPr>
        <w:t xml:space="preserve">La TRM que la entidad utilizará para determinar el método de ponderación será la que </w:t>
      </w:r>
      <w:r w:rsidRPr="0021701A">
        <w:rPr>
          <w:rFonts w:ascii="Arial" w:eastAsia="Arial" w:hAnsi="Arial" w:cs="Arial"/>
          <w:i/>
          <w:iCs/>
          <w:sz w:val="21"/>
          <w:szCs w:val="21"/>
          <w:lang w:eastAsia="es-ES"/>
        </w:rPr>
        <w:t>rija el segundo día hábil después del cierre del proceso</w:t>
      </w:r>
      <w:r w:rsidRPr="0021701A">
        <w:rPr>
          <w:rFonts w:ascii="Arial" w:eastAsia="Arial" w:hAnsi="Arial" w:cs="Arial"/>
          <w:sz w:val="21"/>
          <w:szCs w:val="21"/>
          <w:lang w:eastAsia="es-ES"/>
        </w:rPr>
        <w:t xml:space="preserve">. Esto es, la que la Superintendencia publique en horas de la tarde del día hábil siguiente a la fecha efectiva del cierre del proceso. </w:t>
      </w:r>
      <w:r w:rsidRPr="0021701A">
        <w:rPr>
          <w:rFonts w:ascii="Arial" w:eastAsia="Arial" w:hAnsi="Arial" w:cs="Arial"/>
          <w:sz w:val="21"/>
          <w:szCs w:val="21"/>
          <w:highlight w:val="lightGray"/>
          <w:lang w:eastAsia="es-ES"/>
        </w:rPr>
        <w:t>[Por ejemplo, si el cierre del proceso se realiza el 10 de febrero, la TRM que se usará para determinar el método de evaluación será la del 12 de febrero, que se publica en la tarde del 11 de febrero]</w:t>
      </w:r>
      <w:r w:rsidRPr="0021701A">
        <w:rPr>
          <w:rFonts w:ascii="Arial" w:eastAsia="Arial" w:hAnsi="Arial" w:cs="Arial"/>
          <w:sz w:val="21"/>
          <w:szCs w:val="21"/>
          <w:lang w:eastAsia="es-ES"/>
        </w:rPr>
        <w:t xml:space="preserve"> </w:t>
      </w:r>
    </w:p>
    <w:p w14:paraId="43DA9FD7" w14:textId="77777777" w:rsidR="00BF5880" w:rsidRPr="00BF5880" w:rsidRDefault="00BF5880" w:rsidP="00BF5880">
      <w:pPr>
        <w:spacing w:after="120"/>
        <w:ind w:left="709" w:right="709"/>
        <w:contextualSpacing/>
        <w:jc w:val="both"/>
        <w:rPr>
          <w:rFonts w:ascii="Arial" w:eastAsia="Arial" w:hAnsi="Arial" w:cs="Arial"/>
          <w:sz w:val="21"/>
          <w:szCs w:val="21"/>
          <w:highlight w:val="lightGray"/>
          <w:lang w:eastAsia="es-ES"/>
        </w:rPr>
      </w:pPr>
    </w:p>
    <w:p w14:paraId="5103BE2A" w14:textId="77777777" w:rsidR="0021701A" w:rsidRPr="0021701A" w:rsidRDefault="0021701A" w:rsidP="0021701A">
      <w:pPr>
        <w:ind w:left="709" w:right="709"/>
        <w:contextualSpacing/>
        <w:jc w:val="both"/>
        <w:rPr>
          <w:rFonts w:ascii="Arial" w:eastAsia="Arial" w:hAnsi="Arial" w:cs="Arial"/>
          <w:sz w:val="21"/>
          <w:szCs w:val="21"/>
          <w:lang w:eastAsia="es-ES"/>
        </w:rPr>
      </w:pPr>
      <w:r w:rsidRPr="0021701A">
        <w:rPr>
          <w:rFonts w:ascii="Arial" w:eastAsia="Arial" w:hAnsi="Arial" w:cs="Arial"/>
          <w:sz w:val="21"/>
          <w:szCs w:val="21"/>
          <w:lang w:eastAsia="es-ES"/>
        </w:rPr>
        <w:t>El método de ponderación se determinará de acuerdo con los rangos del siguiente cuadro, en función de la parte decimal -centavos- de la TRM:</w:t>
      </w:r>
    </w:p>
    <w:p w14:paraId="17A329D4" w14:textId="77777777" w:rsidR="0021701A" w:rsidRPr="0021701A" w:rsidRDefault="0021701A" w:rsidP="0021701A">
      <w:pPr>
        <w:ind w:left="720"/>
        <w:contextualSpacing/>
        <w:jc w:val="both"/>
        <w:rPr>
          <w:rFonts w:ascii="Arial" w:eastAsia="Arial" w:hAnsi="Arial" w:cs="Arial"/>
          <w:sz w:val="20"/>
          <w:szCs w:val="20"/>
          <w:lang w:eastAsia="es-ES"/>
        </w:rPr>
      </w:pPr>
      <w:r w:rsidRPr="0021701A">
        <w:rPr>
          <w:rFonts w:ascii="Arial" w:eastAsia="Arial" w:hAnsi="Arial" w:cs="Arial"/>
          <w:sz w:val="20"/>
          <w:szCs w:val="20"/>
          <w:lang w:eastAsia="es-ES"/>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21701A" w:rsidRPr="0021701A" w14:paraId="626F2EDB" w14:textId="77777777" w:rsidTr="0021701A">
        <w:trPr>
          <w:trHeight w:val="18"/>
          <w:jc w:val="center"/>
        </w:trPr>
        <w:tc>
          <w:tcPr>
            <w:tcW w:w="1622" w:type="dxa"/>
            <w:shd w:val="clear" w:color="auto" w:fill="262626"/>
            <w:vAlign w:val="center"/>
            <w:hideMark/>
          </w:tcPr>
          <w:p w14:paraId="69885D6A" w14:textId="77777777" w:rsidR="0021701A" w:rsidRPr="0021701A" w:rsidRDefault="0021701A" w:rsidP="0021701A">
            <w:pPr>
              <w:jc w:val="center"/>
              <w:rPr>
                <w:rFonts w:ascii="Arial" w:eastAsia="Arial,Calibri" w:hAnsi="Arial" w:cs="Arial"/>
                <w:b/>
                <w:bCs/>
                <w:color w:val="FFFFFF"/>
                <w:sz w:val="20"/>
                <w:szCs w:val="20"/>
              </w:rPr>
            </w:pPr>
            <w:r w:rsidRPr="0021701A">
              <w:rPr>
                <w:rFonts w:ascii="Arial" w:eastAsia="Calibri" w:hAnsi="Arial" w:cs="Arial"/>
                <w:b/>
                <w:bCs/>
                <w:color w:val="FFFFFF"/>
                <w:sz w:val="20"/>
                <w:szCs w:val="20"/>
              </w:rPr>
              <w:t>Rango</w:t>
            </w:r>
            <w:r w:rsidRPr="0021701A">
              <w:rPr>
                <w:rFonts w:ascii="Arial" w:eastAsia="Arial,Calibri" w:hAnsi="Arial" w:cs="Arial"/>
                <w:b/>
                <w:bCs/>
                <w:color w:val="FFFFFF"/>
                <w:sz w:val="20"/>
                <w:szCs w:val="20"/>
              </w:rPr>
              <w:t xml:space="preserve"> </w:t>
            </w:r>
            <w:r w:rsidRPr="0021701A">
              <w:rPr>
                <w:rFonts w:ascii="Arial" w:eastAsia="Calibri" w:hAnsi="Arial" w:cs="Arial"/>
                <w:b/>
                <w:bCs/>
                <w:color w:val="FFFFFF"/>
                <w:sz w:val="20"/>
                <w:szCs w:val="20"/>
              </w:rPr>
              <w:t>(inclusive)</w:t>
            </w:r>
          </w:p>
        </w:tc>
        <w:tc>
          <w:tcPr>
            <w:tcW w:w="1115" w:type="dxa"/>
            <w:shd w:val="clear" w:color="auto" w:fill="262626"/>
            <w:vAlign w:val="center"/>
            <w:hideMark/>
          </w:tcPr>
          <w:p w14:paraId="2F749C93" w14:textId="77777777" w:rsidR="0021701A" w:rsidRPr="0021701A" w:rsidRDefault="0021701A" w:rsidP="0021701A">
            <w:pPr>
              <w:jc w:val="center"/>
              <w:rPr>
                <w:rFonts w:ascii="Arial" w:eastAsia="Arial,Calibri" w:hAnsi="Arial" w:cs="Arial"/>
                <w:b/>
                <w:bCs/>
                <w:color w:val="FFFFFF"/>
                <w:sz w:val="20"/>
                <w:szCs w:val="20"/>
              </w:rPr>
            </w:pPr>
            <w:r w:rsidRPr="0021701A">
              <w:rPr>
                <w:rFonts w:ascii="Arial" w:eastAsia="Calibri" w:hAnsi="Arial" w:cs="Arial"/>
                <w:b/>
                <w:bCs/>
                <w:color w:val="FFFFFF"/>
                <w:sz w:val="20"/>
                <w:szCs w:val="20"/>
              </w:rPr>
              <w:t>Número</w:t>
            </w:r>
          </w:p>
        </w:tc>
        <w:tc>
          <w:tcPr>
            <w:tcW w:w="3273" w:type="dxa"/>
            <w:shd w:val="clear" w:color="auto" w:fill="262626"/>
            <w:vAlign w:val="center"/>
            <w:hideMark/>
          </w:tcPr>
          <w:p w14:paraId="27A790EA" w14:textId="77777777" w:rsidR="0021701A" w:rsidRPr="0021701A" w:rsidRDefault="0021701A" w:rsidP="0021701A">
            <w:pPr>
              <w:jc w:val="center"/>
              <w:rPr>
                <w:rFonts w:ascii="Arial" w:eastAsia="Arial,Calibri" w:hAnsi="Arial" w:cs="Arial"/>
                <w:b/>
                <w:bCs/>
                <w:color w:val="FFFFFF"/>
                <w:sz w:val="20"/>
                <w:szCs w:val="20"/>
              </w:rPr>
            </w:pPr>
            <w:r w:rsidRPr="0021701A">
              <w:rPr>
                <w:rFonts w:ascii="Arial" w:eastAsia="Calibri" w:hAnsi="Arial" w:cs="Arial"/>
                <w:b/>
                <w:bCs/>
                <w:color w:val="FFFFFF"/>
                <w:sz w:val="20"/>
                <w:szCs w:val="20"/>
              </w:rPr>
              <w:t>Método</w:t>
            </w:r>
          </w:p>
        </w:tc>
      </w:tr>
      <w:tr w:rsidR="0021701A" w:rsidRPr="0021701A" w14:paraId="38EA0DD2" w14:textId="77777777" w:rsidTr="00955CE9">
        <w:trPr>
          <w:trHeight w:val="18"/>
          <w:jc w:val="center"/>
        </w:trPr>
        <w:tc>
          <w:tcPr>
            <w:tcW w:w="1622" w:type="dxa"/>
            <w:vAlign w:val="center"/>
            <w:hideMark/>
          </w:tcPr>
          <w:p w14:paraId="5E657D32" w14:textId="77777777" w:rsidR="0021701A" w:rsidRPr="0021701A" w:rsidRDefault="0021701A" w:rsidP="0021701A">
            <w:pPr>
              <w:jc w:val="center"/>
              <w:rPr>
                <w:rFonts w:ascii="Arial" w:eastAsia="Calibri" w:hAnsi="Arial" w:cs="Arial"/>
                <w:sz w:val="20"/>
                <w:szCs w:val="20"/>
              </w:rPr>
            </w:pPr>
            <w:r w:rsidRPr="0021701A">
              <w:rPr>
                <w:rFonts w:ascii="Arial" w:eastAsia="Calibri" w:hAnsi="Arial" w:cs="Arial"/>
                <w:sz w:val="20"/>
                <w:szCs w:val="20"/>
              </w:rPr>
              <w:t>De 0.00 a 0.24</w:t>
            </w:r>
          </w:p>
        </w:tc>
        <w:tc>
          <w:tcPr>
            <w:tcW w:w="1115" w:type="dxa"/>
            <w:vAlign w:val="center"/>
            <w:hideMark/>
          </w:tcPr>
          <w:p w14:paraId="7680C7BE" w14:textId="77777777" w:rsidR="0021701A" w:rsidRPr="0021701A" w:rsidRDefault="0021701A" w:rsidP="0021701A">
            <w:pPr>
              <w:jc w:val="center"/>
              <w:rPr>
                <w:rFonts w:ascii="Arial" w:eastAsia="Arial,Times New Roman" w:hAnsi="Arial" w:cs="Arial"/>
                <w:sz w:val="20"/>
                <w:szCs w:val="20"/>
              </w:rPr>
            </w:pPr>
            <w:r w:rsidRPr="0021701A">
              <w:rPr>
                <w:rFonts w:ascii="Arial" w:eastAsia="Calibri" w:hAnsi="Arial" w:cs="Arial"/>
                <w:sz w:val="20"/>
                <w:szCs w:val="20"/>
              </w:rPr>
              <w:t>1</w:t>
            </w:r>
          </w:p>
        </w:tc>
        <w:tc>
          <w:tcPr>
            <w:tcW w:w="3273" w:type="dxa"/>
            <w:vAlign w:val="center"/>
            <w:hideMark/>
          </w:tcPr>
          <w:p w14:paraId="457BC965" w14:textId="77777777" w:rsidR="0021701A" w:rsidRPr="0021701A" w:rsidRDefault="0021701A" w:rsidP="0021701A">
            <w:pPr>
              <w:jc w:val="center"/>
              <w:rPr>
                <w:rFonts w:ascii="Arial" w:eastAsia="Arial,Times New Roman" w:hAnsi="Arial" w:cs="Arial"/>
                <w:sz w:val="20"/>
                <w:szCs w:val="20"/>
              </w:rPr>
            </w:pPr>
            <w:r w:rsidRPr="0021701A">
              <w:rPr>
                <w:rFonts w:ascii="Arial" w:eastAsia="Calibri" w:hAnsi="Arial" w:cs="Arial"/>
                <w:sz w:val="20"/>
                <w:szCs w:val="20"/>
              </w:rPr>
              <w:t>Mediana con valor absoluto</w:t>
            </w:r>
          </w:p>
        </w:tc>
      </w:tr>
      <w:tr w:rsidR="0021701A" w:rsidRPr="0021701A" w14:paraId="32073F3F" w14:textId="77777777" w:rsidTr="00955CE9">
        <w:trPr>
          <w:trHeight w:val="37"/>
          <w:jc w:val="center"/>
        </w:trPr>
        <w:tc>
          <w:tcPr>
            <w:tcW w:w="1622" w:type="dxa"/>
            <w:vAlign w:val="center"/>
            <w:hideMark/>
          </w:tcPr>
          <w:p w14:paraId="0620FADF" w14:textId="77777777" w:rsidR="0021701A" w:rsidRPr="0021701A" w:rsidRDefault="0021701A" w:rsidP="0021701A">
            <w:pPr>
              <w:jc w:val="center"/>
              <w:rPr>
                <w:rFonts w:ascii="Arial" w:eastAsia="Calibri" w:hAnsi="Arial" w:cs="Arial"/>
                <w:sz w:val="20"/>
                <w:szCs w:val="20"/>
              </w:rPr>
            </w:pPr>
            <w:r w:rsidRPr="0021701A">
              <w:rPr>
                <w:rFonts w:ascii="Arial" w:eastAsia="Calibri" w:hAnsi="Arial" w:cs="Arial"/>
                <w:sz w:val="20"/>
                <w:szCs w:val="20"/>
              </w:rPr>
              <w:t>De 0.25 a 0.49</w:t>
            </w:r>
          </w:p>
        </w:tc>
        <w:tc>
          <w:tcPr>
            <w:tcW w:w="1115" w:type="dxa"/>
            <w:vAlign w:val="center"/>
            <w:hideMark/>
          </w:tcPr>
          <w:p w14:paraId="3A44FEB9" w14:textId="77777777" w:rsidR="0021701A" w:rsidRPr="0021701A" w:rsidRDefault="0021701A" w:rsidP="0021701A">
            <w:pPr>
              <w:jc w:val="center"/>
              <w:rPr>
                <w:rFonts w:ascii="Arial" w:eastAsia="Arial,Times New Roman" w:hAnsi="Arial" w:cs="Arial"/>
                <w:sz w:val="20"/>
                <w:szCs w:val="20"/>
              </w:rPr>
            </w:pPr>
            <w:r w:rsidRPr="0021701A">
              <w:rPr>
                <w:rFonts w:ascii="Arial" w:eastAsia="Arial,Times New Roman" w:hAnsi="Arial" w:cs="Arial"/>
                <w:sz w:val="20"/>
                <w:szCs w:val="20"/>
              </w:rPr>
              <w:t>2</w:t>
            </w:r>
          </w:p>
        </w:tc>
        <w:tc>
          <w:tcPr>
            <w:tcW w:w="3273" w:type="dxa"/>
            <w:vAlign w:val="center"/>
            <w:hideMark/>
          </w:tcPr>
          <w:p w14:paraId="03ECE484" w14:textId="77777777" w:rsidR="0021701A" w:rsidRPr="0021701A" w:rsidRDefault="0021701A" w:rsidP="0021701A">
            <w:pPr>
              <w:jc w:val="center"/>
              <w:rPr>
                <w:rFonts w:ascii="Arial" w:eastAsia="Arial,Times New Roman" w:hAnsi="Arial" w:cs="Arial"/>
                <w:sz w:val="20"/>
                <w:szCs w:val="20"/>
              </w:rPr>
            </w:pPr>
            <w:r w:rsidRPr="0021701A">
              <w:rPr>
                <w:rFonts w:ascii="Arial" w:eastAsia="Calibri" w:hAnsi="Arial" w:cs="Arial"/>
                <w:sz w:val="20"/>
                <w:szCs w:val="20"/>
              </w:rPr>
              <w:t>Media geométrica</w:t>
            </w:r>
          </w:p>
        </w:tc>
      </w:tr>
      <w:tr w:rsidR="0021701A" w:rsidRPr="0021701A" w14:paraId="464BB1CD" w14:textId="77777777" w:rsidTr="00955CE9">
        <w:trPr>
          <w:trHeight w:val="18"/>
          <w:jc w:val="center"/>
        </w:trPr>
        <w:tc>
          <w:tcPr>
            <w:tcW w:w="1622" w:type="dxa"/>
            <w:vAlign w:val="center"/>
          </w:tcPr>
          <w:p w14:paraId="5B121C91" w14:textId="77777777" w:rsidR="0021701A" w:rsidRPr="0021701A" w:rsidRDefault="0021701A" w:rsidP="0021701A">
            <w:pPr>
              <w:jc w:val="center"/>
              <w:rPr>
                <w:rFonts w:ascii="Arial" w:eastAsia="Calibri" w:hAnsi="Arial" w:cs="Arial"/>
                <w:sz w:val="20"/>
                <w:szCs w:val="20"/>
              </w:rPr>
            </w:pPr>
            <w:r w:rsidRPr="0021701A">
              <w:rPr>
                <w:rFonts w:ascii="Arial" w:eastAsia="Calibri" w:hAnsi="Arial" w:cs="Arial"/>
                <w:sz w:val="20"/>
                <w:szCs w:val="20"/>
              </w:rPr>
              <w:t>De 0.50 a 0.74</w:t>
            </w:r>
          </w:p>
        </w:tc>
        <w:tc>
          <w:tcPr>
            <w:tcW w:w="1115" w:type="dxa"/>
            <w:vAlign w:val="center"/>
          </w:tcPr>
          <w:p w14:paraId="60DEC7DB" w14:textId="77777777" w:rsidR="0021701A" w:rsidRPr="0021701A" w:rsidRDefault="0021701A" w:rsidP="0021701A">
            <w:pPr>
              <w:jc w:val="center"/>
              <w:rPr>
                <w:rFonts w:ascii="Arial" w:eastAsia="Calibri" w:hAnsi="Arial" w:cs="Arial"/>
                <w:sz w:val="20"/>
                <w:szCs w:val="20"/>
              </w:rPr>
            </w:pPr>
            <w:r w:rsidRPr="0021701A">
              <w:rPr>
                <w:rFonts w:ascii="Arial" w:eastAsia="Calibri" w:hAnsi="Arial" w:cs="Arial"/>
                <w:sz w:val="20"/>
                <w:szCs w:val="20"/>
              </w:rPr>
              <w:t>3</w:t>
            </w:r>
          </w:p>
        </w:tc>
        <w:tc>
          <w:tcPr>
            <w:tcW w:w="3273" w:type="dxa"/>
            <w:vAlign w:val="center"/>
          </w:tcPr>
          <w:p w14:paraId="5DA60CF3" w14:textId="77777777" w:rsidR="0021701A" w:rsidRPr="0021701A" w:rsidRDefault="0021701A" w:rsidP="0021701A">
            <w:pPr>
              <w:jc w:val="center"/>
              <w:rPr>
                <w:rFonts w:ascii="Arial" w:eastAsia="Calibri" w:hAnsi="Arial" w:cs="Arial"/>
                <w:sz w:val="20"/>
                <w:szCs w:val="20"/>
              </w:rPr>
            </w:pPr>
            <w:r w:rsidRPr="0021701A">
              <w:rPr>
                <w:rFonts w:ascii="Arial" w:eastAsia="Calibri" w:hAnsi="Arial" w:cs="Arial"/>
                <w:sz w:val="20"/>
                <w:szCs w:val="20"/>
              </w:rPr>
              <w:t>Media aritmética alta</w:t>
            </w:r>
          </w:p>
        </w:tc>
      </w:tr>
      <w:tr w:rsidR="0021701A" w:rsidRPr="0021701A" w14:paraId="7084A445" w14:textId="77777777" w:rsidTr="00955CE9">
        <w:trPr>
          <w:trHeight w:val="18"/>
          <w:jc w:val="center"/>
        </w:trPr>
        <w:tc>
          <w:tcPr>
            <w:tcW w:w="1622" w:type="dxa"/>
            <w:vAlign w:val="center"/>
          </w:tcPr>
          <w:p w14:paraId="60F0D20C" w14:textId="77777777" w:rsidR="0021701A" w:rsidRPr="0021701A" w:rsidRDefault="0021701A" w:rsidP="0021701A">
            <w:pPr>
              <w:jc w:val="center"/>
              <w:rPr>
                <w:rFonts w:ascii="Arial" w:eastAsia="Calibri" w:hAnsi="Arial" w:cs="Arial"/>
                <w:sz w:val="20"/>
                <w:szCs w:val="20"/>
              </w:rPr>
            </w:pPr>
            <w:r w:rsidRPr="0021701A">
              <w:rPr>
                <w:rFonts w:ascii="Arial" w:eastAsia="Calibri" w:hAnsi="Arial" w:cs="Arial"/>
                <w:sz w:val="20"/>
                <w:szCs w:val="20"/>
              </w:rPr>
              <w:lastRenderedPageBreak/>
              <w:t>De 0.75 a 0.99</w:t>
            </w:r>
          </w:p>
        </w:tc>
        <w:tc>
          <w:tcPr>
            <w:tcW w:w="1115" w:type="dxa"/>
            <w:vAlign w:val="center"/>
          </w:tcPr>
          <w:p w14:paraId="11B708A1" w14:textId="77777777" w:rsidR="0021701A" w:rsidRPr="0021701A" w:rsidRDefault="0021701A" w:rsidP="0021701A">
            <w:pPr>
              <w:jc w:val="center"/>
              <w:rPr>
                <w:rFonts w:ascii="Arial" w:eastAsia="Calibri" w:hAnsi="Arial" w:cs="Arial"/>
                <w:sz w:val="20"/>
                <w:szCs w:val="20"/>
              </w:rPr>
            </w:pPr>
            <w:r w:rsidRPr="0021701A">
              <w:rPr>
                <w:rFonts w:ascii="Arial" w:eastAsia="Calibri" w:hAnsi="Arial" w:cs="Arial"/>
                <w:sz w:val="20"/>
                <w:szCs w:val="20"/>
              </w:rPr>
              <w:t>4</w:t>
            </w:r>
          </w:p>
        </w:tc>
        <w:tc>
          <w:tcPr>
            <w:tcW w:w="3273" w:type="dxa"/>
            <w:vAlign w:val="center"/>
          </w:tcPr>
          <w:p w14:paraId="35D2BC0A" w14:textId="77777777" w:rsidR="0021701A" w:rsidRPr="0021701A" w:rsidRDefault="0021701A" w:rsidP="0021701A">
            <w:pPr>
              <w:jc w:val="center"/>
              <w:rPr>
                <w:rFonts w:ascii="Arial" w:eastAsia="Calibri" w:hAnsi="Arial" w:cs="Arial"/>
                <w:sz w:val="20"/>
                <w:szCs w:val="20"/>
              </w:rPr>
            </w:pPr>
            <w:r w:rsidRPr="0021701A">
              <w:rPr>
                <w:rFonts w:ascii="Arial" w:eastAsia="Calibri" w:hAnsi="Arial" w:cs="Arial"/>
                <w:sz w:val="20"/>
                <w:szCs w:val="20"/>
              </w:rPr>
              <w:t>Media aritmética baja</w:t>
            </w:r>
          </w:p>
        </w:tc>
      </w:tr>
    </w:tbl>
    <w:p w14:paraId="2B9EE6B3" w14:textId="77777777" w:rsidR="0021701A" w:rsidRPr="0021701A" w:rsidRDefault="0021701A" w:rsidP="0021701A">
      <w:pPr>
        <w:ind w:left="720"/>
        <w:contextualSpacing/>
        <w:jc w:val="both"/>
        <w:rPr>
          <w:rFonts w:ascii="Arial" w:eastAsia="Arial" w:hAnsi="Arial" w:cs="Arial"/>
          <w:sz w:val="20"/>
          <w:szCs w:val="20"/>
          <w:lang w:eastAsia="es-ES"/>
        </w:rPr>
      </w:pPr>
    </w:p>
    <w:p w14:paraId="0A052FC8" w14:textId="77777777" w:rsidR="0021701A" w:rsidRPr="0021701A" w:rsidRDefault="0021701A" w:rsidP="0021701A">
      <w:pPr>
        <w:spacing w:after="200"/>
        <w:ind w:left="709" w:right="709"/>
        <w:contextualSpacing/>
        <w:jc w:val="both"/>
        <w:rPr>
          <w:rFonts w:ascii="Arial" w:eastAsia="Arial" w:hAnsi="Arial" w:cs="Arial"/>
          <w:sz w:val="21"/>
          <w:szCs w:val="21"/>
          <w:lang w:eastAsia="es-ES"/>
        </w:rPr>
      </w:pPr>
      <w:r w:rsidRPr="0021701A">
        <w:rPr>
          <w:rFonts w:ascii="Arial" w:eastAsia="Arial" w:hAnsi="Arial" w:cs="Arial"/>
          <w:sz w:val="21"/>
          <w:szCs w:val="21"/>
          <w:lang w:eastAsia="es-ES"/>
        </w:rPr>
        <w:t xml:space="preserve">D. Dependiendo del método aleatorio establecido según la TRM, cada uno de los proponentes habilitados participarán con el </w:t>
      </w:r>
      <w:r w:rsidRPr="0021701A">
        <w:rPr>
          <w:rFonts w:ascii="Arial" w:eastAsia="Arial" w:hAnsi="Arial" w:cs="Arial"/>
          <w:i/>
          <w:iCs/>
          <w:sz w:val="21"/>
          <w:szCs w:val="21"/>
          <w:lang w:eastAsia="es-ES"/>
        </w:rPr>
        <w:t>valor del promedio de los contratos válidos aportados</w:t>
      </w:r>
      <w:r w:rsidRPr="0021701A">
        <w:rPr>
          <w:rFonts w:ascii="Arial" w:eastAsia="Arial" w:hAnsi="Arial" w:cs="Arial"/>
          <w:sz w:val="21"/>
          <w:szCs w:val="21"/>
          <w:lang w:eastAsia="es-ES"/>
        </w:rPr>
        <w:t xml:space="preserve"> según la metodología descrita para cada alternativa. </w:t>
      </w:r>
    </w:p>
    <w:p w14:paraId="04D61659" w14:textId="77777777" w:rsidR="00864BE4" w:rsidRDefault="00864BE4" w:rsidP="00864BE4">
      <w:pPr>
        <w:spacing w:before="120" w:after="120" w:line="276" w:lineRule="auto"/>
        <w:jc w:val="both"/>
        <w:rPr>
          <w:rFonts w:ascii="Arial" w:eastAsia="Calibri" w:hAnsi="Arial" w:cs="Arial"/>
          <w:color w:val="000000"/>
          <w:sz w:val="22"/>
        </w:rPr>
      </w:pPr>
    </w:p>
    <w:p w14:paraId="0406BB77" w14:textId="7F025FE1" w:rsidR="0021701A" w:rsidRPr="0021701A" w:rsidRDefault="0021701A" w:rsidP="00BF5880">
      <w:pPr>
        <w:spacing w:after="120" w:line="276" w:lineRule="auto"/>
        <w:ind w:firstLine="709"/>
        <w:jc w:val="both"/>
        <w:rPr>
          <w:rFonts w:ascii="Arial" w:eastAsia="Calibri" w:hAnsi="Arial" w:cs="Arial"/>
          <w:color w:val="000000"/>
          <w:sz w:val="22"/>
          <w:lang w:val="es-ES_tradnl"/>
        </w:rPr>
      </w:pPr>
      <w:r w:rsidRPr="0021701A">
        <w:rPr>
          <w:rFonts w:ascii="Arial" w:eastAsia="Calibri" w:hAnsi="Arial" w:cs="Arial"/>
          <w:color w:val="000000"/>
          <w:sz w:val="22"/>
          <w:lang w:val="es-ES_tradnl"/>
        </w:rPr>
        <w:t>Como se aprecia, en los procedimientos de concurso de méritos para la escogencia de interventores de obra pública de infraestructura de transporte adelantados con documentos tipo, la experiencia del proponente debe ser ponderada, de acuerdo con un método aleatorio, a efectos de determinar el puntaje que le corresponde.</w:t>
      </w:r>
      <w:r w:rsidRPr="0021701A">
        <w:rPr>
          <w:rFonts w:ascii="Arial" w:eastAsia="Calibri" w:hAnsi="Arial" w:cs="Arial"/>
          <w:sz w:val="22"/>
        </w:rPr>
        <w:t xml:space="preserve"> Al respecto, el Documento Base, establece cuatro (</w:t>
      </w:r>
      <w:r w:rsidRPr="0021701A">
        <w:rPr>
          <w:rFonts w:ascii="Arial" w:eastAsia="Calibri" w:hAnsi="Arial" w:cs="Arial"/>
          <w:color w:val="000000"/>
          <w:sz w:val="22"/>
          <w:lang w:val="es-ES_tradnl"/>
        </w:rPr>
        <w:t>4) alternativas para ponderar la experiencia de los proponentes, aplicables según la TRM que rija</w:t>
      </w:r>
      <w:r w:rsidR="00A864F9">
        <w:rPr>
          <w:rFonts w:ascii="Arial" w:eastAsia="Calibri" w:hAnsi="Arial" w:cs="Arial"/>
          <w:color w:val="000000"/>
          <w:sz w:val="22"/>
          <w:lang w:val="es-ES_tradnl"/>
        </w:rPr>
        <w:t xml:space="preserve"> en el momento indicado en los apartes citados, dando lugar a la aplicación de alguno de los siguientes métodos</w:t>
      </w:r>
      <w:r w:rsidRPr="0021701A">
        <w:rPr>
          <w:rFonts w:ascii="Arial" w:eastAsia="Calibri" w:hAnsi="Arial" w:cs="Arial"/>
          <w:color w:val="000000"/>
          <w:sz w:val="22"/>
          <w:lang w:val="es-ES_tradnl"/>
        </w:rPr>
        <w:t>: i) media con valor absoluto; ii) media geométrica; iii) media aritmética alta y iv) media aritmética baja, cuya selección es aleatoria</w:t>
      </w:r>
      <w:r w:rsidR="00380B61">
        <w:rPr>
          <w:rFonts w:ascii="Arial" w:eastAsia="Calibri" w:hAnsi="Arial" w:cs="Arial"/>
          <w:color w:val="000000"/>
          <w:sz w:val="22"/>
          <w:lang w:val="es-ES_tradnl"/>
        </w:rPr>
        <w:t xml:space="preserve">. </w:t>
      </w:r>
      <w:r w:rsidRPr="0021701A">
        <w:rPr>
          <w:rFonts w:ascii="Arial" w:eastAsia="Calibri" w:hAnsi="Arial" w:cs="Arial"/>
          <w:color w:val="000000"/>
          <w:sz w:val="22"/>
          <w:lang w:val="es-ES_tradnl"/>
        </w:rPr>
        <w:t xml:space="preserve"> </w:t>
      </w:r>
    </w:p>
    <w:p w14:paraId="1152735D" w14:textId="77777777" w:rsidR="0021701A" w:rsidRPr="0021701A" w:rsidRDefault="0021701A" w:rsidP="00BF5880">
      <w:pPr>
        <w:spacing w:before="120" w:after="120" w:line="276" w:lineRule="auto"/>
        <w:ind w:firstLine="709"/>
        <w:jc w:val="both"/>
        <w:rPr>
          <w:rFonts w:ascii="Arial" w:eastAsia="Calibri" w:hAnsi="Arial" w:cs="Arial"/>
          <w:color w:val="000000"/>
          <w:sz w:val="22"/>
          <w:lang w:val="es-ES_tradnl"/>
        </w:rPr>
      </w:pPr>
      <w:r w:rsidRPr="0021701A">
        <w:rPr>
          <w:rFonts w:ascii="Arial" w:eastAsia="Calibri" w:hAnsi="Arial" w:cs="Arial"/>
          <w:color w:val="000000"/>
          <w:sz w:val="22"/>
          <w:lang w:val="es-ES_tradnl"/>
        </w:rPr>
        <w:t>La Tasa de Cambio Representativa del Mercado – TRM «</w:t>
      </w:r>
      <w:r w:rsidRPr="0021701A">
        <w:rPr>
          <w:rFonts w:ascii="Arial" w:eastAsia="Calibri" w:hAnsi="Arial" w:cs="Arial"/>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21701A">
        <w:rPr>
          <w:rFonts w:ascii="Arial" w:eastAsia="Calibri" w:hAnsi="Arial" w:cs="Arial"/>
          <w:color w:val="000000"/>
          <w:sz w:val="22"/>
          <w:lang w:val="es-ES_tradnl"/>
        </w:rPr>
        <w:t>»</w:t>
      </w:r>
      <w:r w:rsidRPr="0021701A">
        <w:rPr>
          <w:rFonts w:ascii="Arial" w:eastAsia="Calibri" w:hAnsi="Arial" w:cs="Arial"/>
          <w:color w:val="000000"/>
          <w:sz w:val="22"/>
          <w:vertAlign w:val="superscript"/>
          <w:lang w:val="es-ES_tradnl"/>
        </w:rPr>
        <w:t xml:space="preserve"> </w:t>
      </w:r>
      <w:r w:rsidRPr="0021701A">
        <w:rPr>
          <w:rFonts w:ascii="Arial" w:eastAsia="Calibri" w:hAnsi="Arial" w:cs="Arial"/>
          <w:color w:val="000000"/>
          <w:sz w:val="22"/>
          <w:vertAlign w:val="superscript"/>
          <w:lang w:val="es-ES_tradnl"/>
        </w:rPr>
        <w:footnoteReference w:id="7"/>
      </w:r>
      <w:r w:rsidRPr="0021701A">
        <w:rPr>
          <w:rFonts w:ascii="Arial" w:eastAsia="Calibri" w:hAnsi="Arial" w:cs="Arial"/>
          <w:color w:val="000000"/>
          <w:sz w:val="22"/>
          <w:lang w:val="es-ES_tradnl"/>
        </w:rPr>
        <w:t>,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21701A">
        <w:rPr>
          <w:rFonts w:ascii="Arial" w:eastAsia="Calibri" w:hAnsi="Arial" w:cs="Arial"/>
          <w:color w:val="000000"/>
          <w:sz w:val="22"/>
          <w:vertAlign w:val="superscript"/>
          <w:lang w:val="es-ES_tradnl"/>
        </w:rPr>
        <w:footnoteReference w:id="8"/>
      </w:r>
      <w:r w:rsidRPr="0021701A">
        <w:rPr>
          <w:rFonts w:ascii="Arial" w:eastAsia="Calibri" w:hAnsi="Arial" w:cs="Arial"/>
          <w:color w:val="000000"/>
          <w:sz w:val="22"/>
          <w:lang w:val="es-ES_tradnl"/>
        </w:rPr>
        <w:t xml:space="preserve">». Es decir que, es claro que la TRM es un valor que se origina en la fluctuación del mercado. </w:t>
      </w:r>
    </w:p>
    <w:p w14:paraId="232073EE" w14:textId="109DD660" w:rsidR="0021701A" w:rsidRPr="0021701A" w:rsidRDefault="0021701A" w:rsidP="00BF5880">
      <w:pPr>
        <w:spacing w:before="120" w:after="120" w:line="276" w:lineRule="auto"/>
        <w:ind w:firstLine="709"/>
        <w:jc w:val="both"/>
        <w:rPr>
          <w:rFonts w:ascii="Arial" w:eastAsia="Calibri" w:hAnsi="Arial" w:cs="Arial"/>
          <w:color w:val="000000"/>
          <w:sz w:val="22"/>
          <w:lang w:val="es-ES_tradnl"/>
        </w:rPr>
      </w:pPr>
      <w:r w:rsidRPr="0021701A">
        <w:rPr>
          <w:rFonts w:ascii="Arial" w:eastAsia="Calibri" w:hAnsi="Arial" w:cs="Arial"/>
          <w:color w:val="000000"/>
          <w:sz w:val="22"/>
          <w:lang w:val="es-ES_tradnl"/>
        </w:rPr>
        <w:t xml:space="preserve">De lo anterior, se tiene que el documento tipo acudió a este valor como criterio </w:t>
      </w:r>
      <w:r w:rsidR="00B13745">
        <w:rPr>
          <w:rFonts w:ascii="Arial" w:eastAsia="Calibri" w:hAnsi="Arial" w:cs="Arial"/>
          <w:color w:val="000000"/>
          <w:sz w:val="22"/>
          <w:lang w:val="es-ES_tradnl"/>
        </w:rPr>
        <w:t>para definir la</w:t>
      </w:r>
      <w:r w:rsidR="00B13745" w:rsidRPr="0021701A">
        <w:rPr>
          <w:rFonts w:ascii="Arial" w:eastAsia="Calibri" w:hAnsi="Arial" w:cs="Arial"/>
          <w:color w:val="000000"/>
          <w:sz w:val="22"/>
          <w:lang w:val="es-ES_tradnl"/>
        </w:rPr>
        <w:t xml:space="preserve"> </w:t>
      </w:r>
      <w:r w:rsidRPr="0021701A">
        <w:rPr>
          <w:rFonts w:ascii="Arial" w:eastAsia="Calibri" w:hAnsi="Arial" w:cs="Arial"/>
          <w:color w:val="000000"/>
          <w:sz w:val="22"/>
          <w:lang w:val="es-ES_tradnl"/>
        </w:rPr>
        <w:t xml:space="preserve">escogencia del método aleatorio para evaluar la experiencia de los proponentes, porque su definición no depende de la discrecionalidad de la administración pública en cualquiera de sus órdenes y niveles, pues aunque se establece y certifica por parte de la Superintendencia Financiera, su determinación depende de las dinámicas del mercado de divisas, garantizando una escogencia aleatoria del método de ponderación aplicable para tal propósito, lo que dota de transparencia la evaluación de las ofertas. </w:t>
      </w:r>
    </w:p>
    <w:p w14:paraId="2F0C2D54" w14:textId="796D5D0F" w:rsidR="0021701A" w:rsidRPr="0021701A" w:rsidRDefault="0021701A" w:rsidP="000E3501">
      <w:pPr>
        <w:spacing w:before="120" w:after="120" w:line="276" w:lineRule="auto"/>
        <w:ind w:firstLine="709"/>
        <w:jc w:val="both"/>
        <w:rPr>
          <w:rFonts w:ascii="Arial" w:eastAsia="Calibri" w:hAnsi="Arial" w:cs="Arial"/>
          <w:sz w:val="22"/>
        </w:rPr>
      </w:pPr>
      <w:r w:rsidRPr="0021701A">
        <w:rPr>
          <w:rFonts w:ascii="Arial" w:eastAsia="Calibri" w:hAnsi="Arial" w:cs="Arial"/>
          <w:sz w:val="22"/>
        </w:rPr>
        <w:t xml:space="preserve">De acuerdo con el literal C transcrito, </w:t>
      </w:r>
      <w:r w:rsidR="004F7B52">
        <w:rPr>
          <w:rFonts w:ascii="Arial" w:eastAsia="Calibri" w:hAnsi="Arial" w:cs="Arial"/>
          <w:sz w:val="22"/>
        </w:rPr>
        <w:t xml:space="preserve">se reitera que </w:t>
      </w:r>
      <w:r w:rsidRPr="0021701A">
        <w:rPr>
          <w:rFonts w:ascii="Arial" w:eastAsia="Calibri" w:hAnsi="Arial" w:cs="Arial"/>
          <w:sz w:val="22"/>
        </w:rPr>
        <w:t xml:space="preserve">la regla aplicable para escoger el método aleatorio de ponderación de las ofertas del documento base, indica que la TRM que determinará el método de ponderación a aplicar es la que rija el segundo día hábil después del cierre del proceso. </w:t>
      </w:r>
    </w:p>
    <w:p w14:paraId="3B811111" w14:textId="675676EC" w:rsidR="0021701A" w:rsidRPr="0021701A" w:rsidRDefault="004F7B52" w:rsidP="000E3501">
      <w:pPr>
        <w:spacing w:before="120" w:after="120" w:line="276" w:lineRule="auto"/>
        <w:ind w:firstLine="708"/>
        <w:jc w:val="both"/>
        <w:rPr>
          <w:rFonts w:ascii="Arial" w:eastAsia="Calibri" w:hAnsi="Arial" w:cs="Arial"/>
          <w:color w:val="000000"/>
          <w:sz w:val="22"/>
          <w:lang w:val="es-ES_tradnl"/>
        </w:rPr>
      </w:pPr>
      <w:r w:rsidRPr="004F7B52">
        <w:rPr>
          <w:rFonts w:ascii="Arial" w:eastAsia="Calibri" w:hAnsi="Arial" w:cs="Arial"/>
          <w:color w:val="000000"/>
          <w:sz w:val="22"/>
          <w:lang w:val="es-ES_tradnl"/>
        </w:rPr>
        <w:lastRenderedPageBreak/>
        <w:t xml:space="preserve">En relación con </w:t>
      </w:r>
      <w:r w:rsidR="0021701A" w:rsidRPr="0021701A">
        <w:rPr>
          <w:rFonts w:ascii="Arial" w:eastAsia="Calibri" w:hAnsi="Arial" w:cs="Arial"/>
          <w:color w:val="000000"/>
          <w:sz w:val="22"/>
          <w:lang w:val="es-ES_tradnl"/>
        </w:rPr>
        <w:t>la inquietud planteada en la consulta</w:t>
      </w:r>
      <w:r>
        <w:rPr>
          <w:rFonts w:ascii="Arial" w:eastAsia="Calibri" w:hAnsi="Arial" w:cs="Arial"/>
          <w:color w:val="000000"/>
          <w:sz w:val="22"/>
          <w:lang w:val="es-ES_tradnl"/>
        </w:rPr>
        <w:t>,</w:t>
      </w:r>
      <w:r w:rsidR="0021701A" w:rsidRPr="0021701A">
        <w:rPr>
          <w:rFonts w:ascii="Arial" w:eastAsia="Calibri" w:hAnsi="Arial" w:cs="Arial"/>
          <w:color w:val="000000"/>
          <w:sz w:val="22"/>
          <w:lang w:val="es-ES_tradnl"/>
        </w:rPr>
        <w:t xml:space="preserve"> </w:t>
      </w:r>
      <w:r w:rsidR="003404C9">
        <w:rPr>
          <w:rFonts w:ascii="Arial" w:eastAsia="Calibri" w:hAnsi="Arial" w:cs="Arial"/>
          <w:color w:val="000000"/>
          <w:sz w:val="22"/>
          <w:lang w:val="es-ES_tradnl"/>
        </w:rPr>
        <w:t>se precisa que</w:t>
      </w:r>
      <w:r w:rsidR="00B13745">
        <w:rPr>
          <w:rFonts w:ascii="Arial" w:eastAsia="Calibri" w:hAnsi="Arial" w:cs="Arial"/>
          <w:color w:val="000000"/>
          <w:sz w:val="22"/>
          <w:lang w:val="es-ES_tradnl"/>
        </w:rPr>
        <w:t>,</w:t>
      </w:r>
      <w:r w:rsidR="003404C9">
        <w:rPr>
          <w:rFonts w:ascii="Arial" w:eastAsia="Calibri" w:hAnsi="Arial" w:cs="Arial"/>
          <w:color w:val="000000"/>
          <w:sz w:val="22"/>
          <w:lang w:val="es-ES_tradnl"/>
        </w:rPr>
        <w:t xml:space="preserve"> d</w:t>
      </w:r>
      <w:r w:rsidR="0021701A" w:rsidRPr="0021701A">
        <w:rPr>
          <w:rFonts w:ascii="Arial" w:eastAsia="Calibri" w:hAnsi="Arial" w:cs="Arial"/>
          <w:color w:val="000000"/>
          <w:sz w:val="22"/>
          <w:lang w:val="es-ES_tradnl"/>
        </w:rPr>
        <w:t xml:space="preserve">e acuerdo con las consideraciones </w:t>
      </w:r>
      <w:r>
        <w:rPr>
          <w:rFonts w:ascii="Arial" w:eastAsia="Calibri" w:hAnsi="Arial" w:cs="Arial"/>
          <w:color w:val="000000"/>
          <w:sz w:val="22"/>
          <w:lang w:val="es-ES_tradnl"/>
        </w:rPr>
        <w:t xml:space="preserve">antes </w:t>
      </w:r>
      <w:r w:rsidR="0021701A" w:rsidRPr="0021701A">
        <w:rPr>
          <w:rFonts w:ascii="Arial" w:eastAsia="Calibri" w:hAnsi="Arial" w:cs="Arial"/>
          <w:color w:val="000000"/>
          <w:sz w:val="22"/>
          <w:lang w:val="es-ES_tradnl"/>
        </w:rPr>
        <w:t>expuestas</w:t>
      </w:r>
      <w:r>
        <w:rPr>
          <w:rFonts w:ascii="Arial" w:eastAsia="Calibri" w:hAnsi="Arial" w:cs="Arial"/>
          <w:color w:val="000000"/>
          <w:sz w:val="22"/>
          <w:lang w:val="es-ES_tradnl"/>
        </w:rPr>
        <w:t>,</w:t>
      </w:r>
      <w:r w:rsidR="0021701A" w:rsidRPr="0021701A">
        <w:rPr>
          <w:rFonts w:ascii="Arial" w:eastAsia="Calibri" w:hAnsi="Arial" w:cs="Arial"/>
          <w:color w:val="000000"/>
          <w:sz w:val="22"/>
          <w:lang w:val="es-ES_tradnl"/>
        </w:rPr>
        <w:t xml:space="preserve"> </w:t>
      </w:r>
      <w:r w:rsidR="00E47159">
        <w:rPr>
          <w:rFonts w:ascii="Arial" w:eastAsia="Calibri" w:hAnsi="Arial" w:cs="Arial"/>
          <w:color w:val="000000"/>
          <w:sz w:val="22"/>
          <w:lang w:val="es-ES_tradnl"/>
        </w:rPr>
        <w:t>la peticionaria</w:t>
      </w:r>
      <w:r w:rsidR="0021701A" w:rsidRPr="0021701A">
        <w:rPr>
          <w:rFonts w:ascii="Arial" w:eastAsia="Calibri" w:hAnsi="Arial" w:cs="Arial"/>
          <w:color w:val="000000"/>
          <w:sz w:val="22"/>
          <w:lang w:val="es-ES_tradnl"/>
        </w:rPr>
        <w:t xml:space="preserve"> parte de una premisa errada, relativa a que la oferta económica es un factor ponderable </w:t>
      </w:r>
      <w:r w:rsidR="00B13745">
        <w:rPr>
          <w:rFonts w:ascii="Arial" w:eastAsia="Calibri" w:hAnsi="Arial" w:cs="Arial"/>
          <w:color w:val="000000"/>
          <w:sz w:val="22"/>
          <w:lang w:val="es-ES_tradnl"/>
        </w:rPr>
        <w:t xml:space="preserve">o de asignación de puntaje en estos procedimientos de selección </w:t>
      </w:r>
      <w:r w:rsidR="0021701A" w:rsidRPr="0021701A">
        <w:rPr>
          <w:rFonts w:ascii="Arial" w:eastAsia="Calibri" w:hAnsi="Arial" w:cs="Arial"/>
          <w:color w:val="000000"/>
          <w:sz w:val="22"/>
          <w:lang w:val="es-ES_tradnl"/>
        </w:rPr>
        <w:t>y que</w:t>
      </w:r>
      <w:r w:rsidR="00B13745">
        <w:rPr>
          <w:rFonts w:ascii="Arial" w:eastAsia="Calibri" w:hAnsi="Arial" w:cs="Arial"/>
          <w:color w:val="000000"/>
          <w:sz w:val="22"/>
          <w:lang w:val="es-ES_tradnl"/>
        </w:rPr>
        <w:t xml:space="preserve">, por tanto, se relaciona con </w:t>
      </w:r>
      <w:r w:rsidR="0021701A" w:rsidRPr="0021701A">
        <w:rPr>
          <w:rFonts w:ascii="Arial" w:eastAsia="Calibri" w:hAnsi="Arial" w:cs="Arial"/>
          <w:color w:val="000000"/>
          <w:sz w:val="22"/>
          <w:lang w:val="es-ES_tradnl"/>
        </w:rPr>
        <w:t xml:space="preserve">la escogencia del método de ponderación. </w:t>
      </w:r>
      <w:r w:rsidR="00B13745">
        <w:rPr>
          <w:rFonts w:ascii="Arial" w:eastAsia="Calibri" w:hAnsi="Arial" w:cs="Arial"/>
          <w:color w:val="000000"/>
          <w:sz w:val="22"/>
          <w:lang w:val="es-ES_tradnl"/>
        </w:rPr>
        <w:t xml:space="preserve">La premisa es errada, pues, como se explicó, </w:t>
      </w:r>
      <w:r w:rsidR="0021701A" w:rsidRPr="0021701A">
        <w:rPr>
          <w:rFonts w:ascii="Arial" w:eastAsia="Calibri" w:hAnsi="Arial" w:cs="Arial"/>
          <w:color w:val="000000"/>
          <w:sz w:val="22"/>
          <w:lang w:val="es-ES_tradnl"/>
        </w:rPr>
        <w:t xml:space="preserve">en los procesos de concurso de méritos, dentro de los que se encuentran los adelantados con documentos tipo de interventoría de obra pública de infraestructura de transporte, el precio no es un factor de escogencia, en atención al mandato expreso dispuesto en el inciso final del </w:t>
      </w:r>
      <w:r w:rsidR="003404C9">
        <w:rPr>
          <w:rFonts w:ascii="Arial" w:eastAsia="Calibri" w:hAnsi="Arial" w:cs="Arial"/>
          <w:color w:val="000000"/>
          <w:sz w:val="22"/>
          <w:lang w:val="es-ES_tradnl"/>
        </w:rPr>
        <w:t xml:space="preserve">numeral 4° del artículo 5° </w:t>
      </w:r>
      <w:r w:rsidR="0021701A" w:rsidRPr="0021701A">
        <w:rPr>
          <w:rFonts w:ascii="Arial" w:eastAsia="Calibri" w:hAnsi="Arial" w:cs="Arial"/>
          <w:color w:val="000000"/>
          <w:sz w:val="22"/>
          <w:lang w:val="es-ES_tradnl"/>
        </w:rPr>
        <w:t xml:space="preserve">de la Ley 1150 de 2007. </w:t>
      </w:r>
    </w:p>
    <w:p w14:paraId="61788AFF" w14:textId="35C97753" w:rsidR="0021701A" w:rsidRPr="0021701A" w:rsidRDefault="0021701A" w:rsidP="000E3501">
      <w:pPr>
        <w:spacing w:before="120" w:after="120" w:line="276" w:lineRule="auto"/>
        <w:ind w:firstLine="709"/>
        <w:jc w:val="both"/>
        <w:rPr>
          <w:rFonts w:ascii="Arial" w:eastAsia="Calibri" w:hAnsi="Arial" w:cs="Arial"/>
          <w:color w:val="000000"/>
          <w:sz w:val="22"/>
          <w:lang w:val="es-ES_tradnl"/>
        </w:rPr>
      </w:pPr>
      <w:r w:rsidRPr="0021701A">
        <w:rPr>
          <w:rFonts w:ascii="Arial" w:eastAsia="Calibri" w:hAnsi="Arial" w:cs="Arial"/>
          <w:color w:val="000000"/>
          <w:sz w:val="22"/>
          <w:lang w:val="es-ES_tradnl"/>
        </w:rPr>
        <w:t>En ese sentido, la oferta económica no es un factor que otorgue puntaje en el marco de los procesos de concurso de méritos</w:t>
      </w:r>
      <w:r w:rsidR="003404C9">
        <w:rPr>
          <w:rFonts w:ascii="Arial" w:eastAsia="Calibri" w:hAnsi="Arial" w:cs="Arial"/>
          <w:color w:val="000000"/>
          <w:sz w:val="22"/>
          <w:lang w:val="es-ES_tradnl"/>
        </w:rPr>
        <w:t>, e</w:t>
      </w:r>
      <w:r w:rsidRPr="0021701A">
        <w:rPr>
          <w:rFonts w:ascii="Arial" w:eastAsia="Calibri" w:hAnsi="Arial" w:cs="Arial"/>
          <w:color w:val="000000"/>
          <w:sz w:val="22"/>
          <w:lang w:val="es-ES_tradnl"/>
        </w:rPr>
        <w:t>sto a diferencia</w:t>
      </w:r>
      <w:r w:rsidR="00B13745">
        <w:rPr>
          <w:rFonts w:ascii="Arial" w:eastAsia="Calibri" w:hAnsi="Arial" w:cs="Arial"/>
          <w:color w:val="000000"/>
          <w:sz w:val="22"/>
          <w:lang w:val="es-ES_tradnl"/>
        </w:rPr>
        <w:t>, por ejemplo,</w:t>
      </w:r>
      <w:r w:rsidRPr="0021701A">
        <w:rPr>
          <w:rFonts w:ascii="Arial" w:eastAsia="Calibri" w:hAnsi="Arial" w:cs="Arial"/>
          <w:color w:val="000000"/>
          <w:sz w:val="22"/>
          <w:lang w:val="es-ES_tradnl"/>
        </w:rPr>
        <w:t xml:space="preserve"> de los procesos de licitación de obra pública de infraestructura de transporte, para los que esta Agencia ha expedido distintos documentos tipo, en los que de conformidad con el literal a) del </w:t>
      </w:r>
      <w:r w:rsidR="003404C9">
        <w:rPr>
          <w:rFonts w:ascii="Arial" w:eastAsia="Calibri" w:hAnsi="Arial" w:cs="Arial"/>
          <w:color w:val="000000"/>
          <w:sz w:val="22"/>
          <w:lang w:val="es-ES_tradnl"/>
        </w:rPr>
        <w:t xml:space="preserve">numeral 2° del artículo 5° </w:t>
      </w:r>
      <w:r w:rsidRPr="0021701A">
        <w:rPr>
          <w:rFonts w:ascii="Arial" w:eastAsia="Calibri" w:hAnsi="Arial" w:cs="Arial"/>
          <w:color w:val="000000"/>
          <w:sz w:val="22"/>
          <w:lang w:val="es-ES_tradnl"/>
        </w:rPr>
        <w:t xml:space="preserve">de la Ley 1150 de 2007, se ha establecido la oferta económica como factor ponderable, no siendo por tanto subsanable, sometiendo además </w:t>
      </w:r>
      <w:r w:rsidR="00B13745">
        <w:rPr>
          <w:rFonts w:ascii="Arial" w:eastAsia="Calibri" w:hAnsi="Arial" w:cs="Arial"/>
          <w:color w:val="000000"/>
          <w:sz w:val="22"/>
          <w:lang w:val="es-ES_tradnl"/>
        </w:rPr>
        <w:t>la evaluación de la misma</w:t>
      </w:r>
      <w:r w:rsidRPr="0021701A">
        <w:rPr>
          <w:rFonts w:ascii="Arial" w:eastAsia="Calibri" w:hAnsi="Arial" w:cs="Arial"/>
          <w:color w:val="000000"/>
          <w:sz w:val="22"/>
          <w:lang w:val="es-ES_tradnl"/>
        </w:rPr>
        <w:t xml:space="preserve"> a métodos de ponderación de escogencia aleatoria con base en la TRM, de manera análoga a los dispuesto en el Documento Base adoptado por la Resolución No. 256 de 2020. </w:t>
      </w:r>
    </w:p>
    <w:p w14:paraId="104F78EE" w14:textId="0CF38140" w:rsidR="0021701A" w:rsidRPr="0021701A" w:rsidRDefault="003404C9" w:rsidP="000E3501">
      <w:pPr>
        <w:spacing w:before="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 xml:space="preserve">En </w:t>
      </w:r>
      <w:r w:rsidR="00D832AF">
        <w:rPr>
          <w:rFonts w:ascii="Arial" w:eastAsia="Calibri" w:hAnsi="Arial" w:cs="Arial"/>
          <w:color w:val="000000"/>
          <w:sz w:val="22"/>
          <w:lang w:val="es-ES_tradnl"/>
        </w:rPr>
        <w:t>consecuencia,</w:t>
      </w:r>
      <w:r>
        <w:rPr>
          <w:rFonts w:ascii="Arial" w:eastAsia="Calibri" w:hAnsi="Arial" w:cs="Arial"/>
          <w:color w:val="000000"/>
          <w:sz w:val="22"/>
          <w:lang w:val="es-ES_tradnl"/>
        </w:rPr>
        <w:t xml:space="preserve"> d</w:t>
      </w:r>
      <w:r w:rsidR="0021701A" w:rsidRPr="0021701A">
        <w:rPr>
          <w:rFonts w:ascii="Arial" w:eastAsia="Calibri" w:hAnsi="Arial" w:cs="Arial"/>
          <w:color w:val="000000"/>
          <w:sz w:val="22"/>
          <w:lang w:val="es-ES_tradnl"/>
        </w:rPr>
        <w:t xml:space="preserve">e acuerdo con lo anterior, se reitera que en los concursos de méritos adelantados con documentos tipo de interventoría de obra pública de infraestructura de transporte lo que se pondera </w:t>
      </w:r>
      <w:r w:rsidR="00B13745">
        <w:rPr>
          <w:rFonts w:ascii="Arial" w:eastAsia="Calibri" w:hAnsi="Arial" w:cs="Arial"/>
          <w:color w:val="000000"/>
          <w:sz w:val="22"/>
          <w:lang w:val="es-ES_tradnl"/>
        </w:rPr>
        <w:t>o evalúa con puntos es la experiencia del proponente, lo que se realiza acudiendo a alguno de los métodos de ponderación explicados con anterioridad</w:t>
      </w:r>
      <w:r w:rsidR="0021701A" w:rsidRPr="0021701A">
        <w:rPr>
          <w:rFonts w:ascii="Arial" w:eastAsia="Calibri" w:hAnsi="Arial" w:cs="Arial"/>
          <w:color w:val="000000"/>
          <w:sz w:val="22"/>
          <w:lang w:val="es-ES_tradnl"/>
        </w:rPr>
        <w:t xml:space="preserve">. </w:t>
      </w:r>
    </w:p>
    <w:p w14:paraId="6E2507CA" w14:textId="77777777" w:rsidR="0021701A" w:rsidRPr="00E91076" w:rsidRDefault="0021701A" w:rsidP="006D0AAC">
      <w:pPr>
        <w:rPr>
          <w:rFonts w:ascii="Arial" w:eastAsia="Calibri" w:hAnsi="Arial" w:cs="Arial"/>
          <w:sz w:val="22"/>
          <w:lang w:val="es-ES_tradnl"/>
        </w:rPr>
      </w:pPr>
    </w:p>
    <w:p w14:paraId="50ACAD28" w14:textId="5BAFCD2C" w:rsidR="00305947" w:rsidRPr="00E91076" w:rsidRDefault="00305947" w:rsidP="00E71381">
      <w:pPr>
        <w:spacing w:line="276" w:lineRule="auto"/>
        <w:jc w:val="both"/>
        <w:rPr>
          <w:rFonts w:ascii="Arial" w:eastAsia="Calibri" w:hAnsi="Arial" w:cs="Arial"/>
          <w:b/>
          <w:sz w:val="22"/>
        </w:rPr>
      </w:pPr>
      <w:r w:rsidRPr="00E91076">
        <w:rPr>
          <w:rFonts w:ascii="Arial" w:eastAsia="Calibri" w:hAnsi="Arial" w:cs="Arial"/>
          <w:b/>
          <w:sz w:val="22"/>
        </w:rPr>
        <w:t>3. Respuesta</w:t>
      </w:r>
      <w:r w:rsidR="001D0521" w:rsidRPr="00E91076">
        <w:rPr>
          <w:rFonts w:ascii="Arial" w:eastAsia="Calibri" w:hAnsi="Arial" w:cs="Arial"/>
          <w:b/>
          <w:sz w:val="22"/>
        </w:rPr>
        <w:t xml:space="preserve">. </w:t>
      </w:r>
    </w:p>
    <w:p w14:paraId="552F3E2D" w14:textId="77777777" w:rsidR="00AB177F" w:rsidRPr="00E91076" w:rsidRDefault="00AB177F" w:rsidP="00AB177F">
      <w:pPr>
        <w:tabs>
          <w:tab w:val="left" w:pos="426"/>
        </w:tabs>
        <w:spacing w:line="276" w:lineRule="auto"/>
        <w:jc w:val="both"/>
        <w:rPr>
          <w:rFonts w:ascii="Arial" w:eastAsia="Calibri" w:hAnsi="Arial" w:cs="Arial"/>
          <w:sz w:val="22"/>
        </w:rPr>
      </w:pPr>
    </w:p>
    <w:p w14:paraId="4E7CC015" w14:textId="31086C98" w:rsidR="00B04EDB" w:rsidRDefault="00D832AF" w:rsidP="00D832AF">
      <w:pPr>
        <w:tabs>
          <w:tab w:val="left" w:pos="426"/>
        </w:tabs>
        <w:ind w:left="709" w:right="709"/>
        <w:jc w:val="both"/>
        <w:rPr>
          <w:rFonts w:ascii="Arial" w:eastAsia="Calibri" w:hAnsi="Arial" w:cs="Arial"/>
          <w:sz w:val="21"/>
          <w:szCs w:val="21"/>
        </w:rPr>
      </w:pPr>
      <w:r w:rsidRPr="00E91076">
        <w:rPr>
          <w:rFonts w:ascii="Arial" w:eastAsia="Calibri" w:hAnsi="Arial" w:cs="Arial"/>
          <w:sz w:val="21"/>
          <w:szCs w:val="21"/>
        </w:rPr>
        <w:t>«</w:t>
      </w:r>
      <w:r>
        <w:rPr>
          <w:rFonts w:ascii="Arial" w:eastAsia="Calibri" w:hAnsi="Arial" w:cs="Arial"/>
          <w:sz w:val="21"/>
          <w:szCs w:val="21"/>
        </w:rPr>
        <w:t>De acuerdo con el documento base o pliego tipo de interventoría, en el 4.1 FORMA DE VERIFICACIÓN Y ASIGNACIÓN DE PUNTAJE POR LA EXPERIENCIA DEL PROPONENTE en el literal C indica método de ponderación evaluación económica que será determinado por la TRM, solicito me aclaré si para este tipo de proceso aplica, puesto que solo se otorga puntaje técnico y el mayor puntaje será al que se le evalué la oferta económica</w:t>
      </w:r>
      <w:r w:rsidRPr="00E91076">
        <w:rPr>
          <w:rFonts w:ascii="Arial" w:eastAsia="Calibri" w:hAnsi="Arial" w:cs="Arial"/>
          <w:sz w:val="21"/>
          <w:szCs w:val="21"/>
        </w:rPr>
        <w:t>».</w:t>
      </w:r>
    </w:p>
    <w:p w14:paraId="2B3ADE8F" w14:textId="77777777" w:rsidR="00D832AF" w:rsidRPr="00D832AF" w:rsidRDefault="00D832AF" w:rsidP="00D832AF">
      <w:pPr>
        <w:tabs>
          <w:tab w:val="left" w:pos="426"/>
        </w:tabs>
        <w:ind w:left="709" w:right="709"/>
        <w:jc w:val="both"/>
        <w:rPr>
          <w:rFonts w:ascii="Arial" w:eastAsia="Calibri" w:hAnsi="Arial" w:cs="Arial"/>
          <w:sz w:val="21"/>
          <w:szCs w:val="21"/>
        </w:rPr>
      </w:pPr>
    </w:p>
    <w:p w14:paraId="70FE655F" w14:textId="74B21C69" w:rsidR="00662D79" w:rsidRDefault="005E55D7" w:rsidP="000E3501">
      <w:pPr>
        <w:spacing w:after="120" w:line="276" w:lineRule="auto"/>
        <w:jc w:val="both"/>
        <w:rPr>
          <w:rFonts w:ascii="Arial" w:eastAsia="Calibri" w:hAnsi="Arial" w:cs="Arial"/>
          <w:color w:val="000000"/>
          <w:sz w:val="22"/>
          <w:lang w:val="es-ES_tradnl"/>
        </w:rPr>
      </w:pPr>
      <w:r w:rsidRPr="005238E2">
        <w:rPr>
          <w:rFonts w:ascii="Arial" w:hAnsi="Arial" w:cs="Arial"/>
          <w:sz w:val="22"/>
        </w:rPr>
        <w:t>Conforme a las consideraci</w:t>
      </w:r>
      <w:r w:rsidR="00621149" w:rsidRPr="005238E2">
        <w:rPr>
          <w:rFonts w:ascii="Arial" w:hAnsi="Arial" w:cs="Arial"/>
          <w:sz w:val="22"/>
        </w:rPr>
        <w:t>one</w:t>
      </w:r>
      <w:r w:rsidR="00606730" w:rsidRPr="005238E2">
        <w:rPr>
          <w:rFonts w:ascii="Arial" w:hAnsi="Arial" w:cs="Arial"/>
          <w:sz w:val="22"/>
        </w:rPr>
        <w:t>s an</w:t>
      </w:r>
      <w:r w:rsidR="00424964" w:rsidRPr="005238E2">
        <w:rPr>
          <w:rFonts w:ascii="Arial" w:hAnsi="Arial" w:cs="Arial"/>
          <w:sz w:val="22"/>
        </w:rPr>
        <w:t xml:space="preserve">tes indicadas </w:t>
      </w:r>
      <w:r w:rsidR="00722D5C">
        <w:rPr>
          <w:rFonts w:ascii="Arial" w:hAnsi="Arial" w:cs="Arial"/>
          <w:sz w:val="22"/>
        </w:rPr>
        <w:t xml:space="preserve">y al tenor del </w:t>
      </w:r>
      <w:r w:rsidR="00722D5C">
        <w:rPr>
          <w:rFonts w:ascii="Arial" w:eastAsia="Calibri" w:hAnsi="Arial" w:cs="Arial"/>
          <w:color w:val="000000"/>
          <w:sz w:val="22"/>
          <w:lang w:val="es-ES_tradnl"/>
        </w:rPr>
        <w:t xml:space="preserve">numeral 4° del artículo 5° </w:t>
      </w:r>
      <w:r w:rsidR="00722D5C" w:rsidRPr="0021701A">
        <w:rPr>
          <w:rFonts w:ascii="Arial" w:eastAsia="Calibri" w:hAnsi="Arial" w:cs="Arial"/>
          <w:color w:val="000000"/>
          <w:sz w:val="22"/>
          <w:lang w:val="es-ES_tradnl"/>
        </w:rPr>
        <w:t>de la Ley 1150 de 2007</w:t>
      </w:r>
      <w:r w:rsidR="00722D5C">
        <w:rPr>
          <w:rFonts w:ascii="Arial" w:eastAsia="Calibri" w:hAnsi="Arial" w:cs="Arial"/>
          <w:color w:val="000000"/>
          <w:sz w:val="22"/>
          <w:lang w:val="es-ES_tradnl"/>
        </w:rPr>
        <w:t xml:space="preserve">, </w:t>
      </w:r>
      <w:r w:rsidR="00635151">
        <w:rPr>
          <w:rFonts w:ascii="Arial" w:hAnsi="Arial" w:cs="Arial"/>
          <w:color w:val="000000" w:themeColor="text1"/>
          <w:sz w:val="22"/>
          <w:lang w:val="es-CO"/>
        </w:rPr>
        <w:t>t</w:t>
      </w:r>
      <w:r w:rsidR="00662D79">
        <w:rPr>
          <w:rFonts w:ascii="Arial" w:hAnsi="Arial" w:cs="Arial"/>
          <w:color w:val="000000" w:themeColor="text1"/>
          <w:sz w:val="22"/>
          <w:lang w:val="es-CO"/>
        </w:rPr>
        <w:t xml:space="preserve">ratándose de la </w:t>
      </w:r>
      <w:r w:rsidR="00662D79" w:rsidRPr="0021701A">
        <w:rPr>
          <w:rFonts w:ascii="Arial" w:eastAsia="Calibri" w:hAnsi="Arial" w:cs="Arial"/>
          <w:bCs/>
          <w:color w:val="000000"/>
          <w:sz w:val="22"/>
          <w:lang w:val="es-ES"/>
        </w:rPr>
        <w:t xml:space="preserve">ponderación de </w:t>
      </w:r>
      <w:r w:rsidR="00662D79" w:rsidRPr="0021701A">
        <w:rPr>
          <w:rFonts w:ascii="Arial" w:eastAsia="Calibri" w:hAnsi="Arial" w:cs="Arial"/>
          <w:bCs/>
          <w:color w:val="000000"/>
          <w:sz w:val="22"/>
          <w:lang w:val="es-ES_tradnl"/>
        </w:rPr>
        <w:t xml:space="preserve">factores de evaluación en los documentos tipo </w:t>
      </w:r>
      <w:r w:rsidR="00662D79" w:rsidRPr="00662D79">
        <w:rPr>
          <w:rFonts w:ascii="Arial" w:eastAsia="Calibri" w:hAnsi="Arial" w:cs="Arial"/>
          <w:bCs/>
          <w:color w:val="000000"/>
          <w:sz w:val="22"/>
          <w:lang w:val="es-ES_tradnl"/>
        </w:rPr>
        <w:t>de interventoría</w:t>
      </w:r>
      <w:r w:rsidR="00662D79" w:rsidRPr="0021701A">
        <w:rPr>
          <w:rFonts w:ascii="Arial" w:eastAsia="Calibri" w:hAnsi="Arial" w:cs="Arial"/>
          <w:bCs/>
          <w:color w:val="000000"/>
          <w:sz w:val="22"/>
          <w:lang w:val="es-ES_tradnl"/>
        </w:rPr>
        <w:t xml:space="preserve"> de obras pública de infraestructura de transporte</w:t>
      </w:r>
      <w:r w:rsidR="00662D79">
        <w:rPr>
          <w:rFonts w:ascii="Arial" w:eastAsia="Calibri" w:hAnsi="Arial" w:cs="Arial"/>
          <w:bCs/>
          <w:color w:val="000000"/>
          <w:sz w:val="22"/>
          <w:lang w:val="es-ES_tradnl"/>
        </w:rPr>
        <w:t xml:space="preserve">, </w:t>
      </w:r>
      <w:r w:rsidR="00635151" w:rsidRPr="00265C4F">
        <w:rPr>
          <w:rFonts w:ascii="Arial" w:hAnsi="Arial" w:cs="Arial"/>
          <w:color w:val="000000" w:themeColor="text1"/>
          <w:sz w:val="22"/>
          <w:lang w:val="es-CO"/>
        </w:rPr>
        <w:t xml:space="preserve">se reitera </w:t>
      </w:r>
      <w:r w:rsidR="00A70ECB">
        <w:rPr>
          <w:rFonts w:ascii="Arial" w:hAnsi="Arial" w:cs="Arial"/>
          <w:color w:val="000000" w:themeColor="text1"/>
          <w:sz w:val="22"/>
          <w:lang w:val="es-CO"/>
        </w:rPr>
        <w:t xml:space="preserve">que, </w:t>
      </w:r>
      <w:r w:rsidR="00662D79" w:rsidRPr="0021701A">
        <w:rPr>
          <w:rFonts w:ascii="Arial" w:eastAsia="Calibri" w:hAnsi="Arial" w:cs="Arial"/>
          <w:color w:val="000000"/>
          <w:sz w:val="22"/>
          <w:lang w:val="es-ES_tradnl"/>
        </w:rPr>
        <w:t>en los procesos de concurso de méritos el precio no es un factor de escogencia</w:t>
      </w:r>
      <w:r w:rsidR="00662D79">
        <w:rPr>
          <w:rFonts w:ascii="Arial" w:eastAsia="Calibri" w:hAnsi="Arial" w:cs="Arial"/>
          <w:color w:val="000000"/>
          <w:sz w:val="22"/>
          <w:lang w:val="es-ES_tradnl"/>
        </w:rPr>
        <w:t xml:space="preserve">, </w:t>
      </w:r>
      <w:r w:rsidR="00D73C64">
        <w:rPr>
          <w:rFonts w:ascii="Arial" w:eastAsia="Calibri" w:hAnsi="Arial" w:cs="Arial"/>
          <w:color w:val="000000"/>
          <w:sz w:val="22"/>
          <w:lang w:val="es-ES_tradnl"/>
        </w:rPr>
        <w:t>razón por la cual la oferta económica no asigna puntos en estos procedimientos de selección</w:t>
      </w:r>
      <w:r w:rsidR="00662D79">
        <w:rPr>
          <w:rFonts w:ascii="Arial" w:eastAsia="Calibri" w:hAnsi="Arial" w:cs="Arial"/>
          <w:color w:val="000000"/>
          <w:sz w:val="22"/>
          <w:lang w:val="es-ES_tradnl"/>
        </w:rPr>
        <w:t xml:space="preserve">. </w:t>
      </w:r>
    </w:p>
    <w:p w14:paraId="2FB7084A" w14:textId="437E1C62" w:rsidR="00E5678C" w:rsidRDefault="00B96762" w:rsidP="000E3501">
      <w:pPr>
        <w:pStyle w:val="Prrafodelista"/>
        <w:tabs>
          <w:tab w:val="left" w:pos="426"/>
        </w:tabs>
        <w:spacing w:before="120" w:after="120" w:line="276" w:lineRule="auto"/>
        <w:ind w:left="0" w:firstLine="709"/>
        <w:contextualSpacing w:val="0"/>
        <w:jc w:val="both"/>
        <w:rPr>
          <w:rFonts w:ascii="Arial" w:eastAsia="Times New Roman" w:hAnsi="Arial" w:cs="Arial"/>
          <w:color w:val="000000"/>
          <w:sz w:val="22"/>
          <w:lang w:eastAsia="es-ES_tradnl"/>
        </w:rPr>
      </w:pPr>
      <w:r>
        <w:rPr>
          <w:rFonts w:ascii="Arial" w:eastAsia="Calibri" w:hAnsi="Arial" w:cs="Arial"/>
          <w:color w:val="000000" w:themeColor="text1"/>
          <w:sz w:val="22"/>
          <w:lang w:val="es-CO"/>
        </w:rPr>
        <w:t>De esta manera, e</w:t>
      </w:r>
      <w:r w:rsidR="00722D5C">
        <w:rPr>
          <w:rFonts w:ascii="Arial" w:eastAsia="Calibri" w:hAnsi="Arial" w:cs="Arial"/>
          <w:color w:val="000000" w:themeColor="text1"/>
          <w:sz w:val="22"/>
          <w:lang w:val="es-CO"/>
        </w:rPr>
        <w:t xml:space="preserve">n </w:t>
      </w:r>
      <w:r w:rsidR="004F7B52">
        <w:rPr>
          <w:rFonts w:ascii="Arial" w:eastAsia="Calibri" w:hAnsi="Arial" w:cs="Arial"/>
          <w:color w:val="000000" w:themeColor="text1"/>
          <w:sz w:val="22"/>
          <w:lang w:val="es-CO"/>
        </w:rPr>
        <w:t>virtud d</w:t>
      </w:r>
      <w:r w:rsidR="00A70ECB">
        <w:rPr>
          <w:rFonts w:ascii="Arial" w:eastAsia="Calibri" w:hAnsi="Arial" w:cs="Arial"/>
          <w:color w:val="000000" w:themeColor="text1"/>
          <w:sz w:val="22"/>
          <w:lang w:val="es-CO"/>
        </w:rPr>
        <w:t>el numeral 4.1 del «Documento B</w:t>
      </w:r>
      <w:r w:rsidR="00722D5C">
        <w:rPr>
          <w:rFonts w:ascii="Arial" w:eastAsia="Calibri" w:hAnsi="Arial" w:cs="Arial"/>
          <w:color w:val="000000" w:themeColor="text1"/>
          <w:sz w:val="22"/>
          <w:lang w:val="es-CO"/>
        </w:rPr>
        <w:t>ase</w:t>
      </w:r>
      <w:r w:rsidR="00A70ECB">
        <w:rPr>
          <w:rFonts w:ascii="Arial" w:eastAsia="Calibri" w:hAnsi="Arial" w:cs="Arial"/>
          <w:color w:val="000000" w:themeColor="text1"/>
          <w:sz w:val="22"/>
          <w:lang w:val="es-CO"/>
        </w:rPr>
        <w:t>»</w:t>
      </w:r>
      <w:r w:rsidR="00722D5C">
        <w:rPr>
          <w:rFonts w:ascii="Arial" w:eastAsia="Calibri" w:hAnsi="Arial" w:cs="Arial"/>
          <w:color w:val="000000" w:themeColor="text1"/>
          <w:sz w:val="22"/>
          <w:lang w:val="es-CO"/>
        </w:rPr>
        <w:t xml:space="preserve"> </w:t>
      </w:r>
      <w:r w:rsidR="00722D5C" w:rsidRPr="0021701A">
        <w:rPr>
          <w:rFonts w:ascii="Arial" w:eastAsia="Calibri" w:hAnsi="Arial" w:cs="Arial"/>
          <w:sz w:val="22"/>
          <w:lang w:val="es-CO"/>
        </w:rPr>
        <w:t>la entidad calificará las ofertas que hayan</w:t>
      </w:r>
      <w:r w:rsidR="00722D5C" w:rsidRPr="0021701A">
        <w:rPr>
          <w:rFonts w:ascii="Arial" w:eastAsia="Calibri" w:hAnsi="Arial" w:cs="Arial"/>
          <w:sz w:val="22"/>
        </w:rPr>
        <w:t xml:space="preserve"> cumplido los requisitos habilitantes con los siguientes criterios de evaluación y puntajes: i) Experiencia del proponente ii) Equipo de trabajo </w:t>
      </w:r>
      <w:r w:rsidR="00722D5C" w:rsidRPr="0021701A">
        <w:rPr>
          <w:rFonts w:ascii="Arial" w:eastAsia="Calibri" w:hAnsi="Arial" w:cs="Arial"/>
          <w:sz w:val="22"/>
        </w:rPr>
        <w:lastRenderedPageBreak/>
        <w:t>(personal clave evaluable) iii) Apoyo a la industria nacional y iv) vinculación de personas con discapacidad</w:t>
      </w:r>
      <w:r>
        <w:rPr>
          <w:rFonts w:ascii="Arial" w:eastAsia="Calibri" w:hAnsi="Arial" w:cs="Arial"/>
          <w:sz w:val="22"/>
        </w:rPr>
        <w:t>. En tal sentido, el puntaje por</w:t>
      </w:r>
      <w:r w:rsidR="00722D5C">
        <w:rPr>
          <w:rFonts w:ascii="Arial" w:eastAsia="Calibri" w:hAnsi="Arial" w:cs="Arial"/>
          <w:sz w:val="22"/>
        </w:rPr>
        <w:t xml:space="preserve"> la experiencia del proponente </w:t>
      </w:r>
      <w:r>
        <w:rPr>
          <w:rFonts w:ascii="Arial" w:eastAsia="Calibri" w:hAnsi="Arial" w:cs="Arial"/>
          <w:sz w:val="22"/>
        </w:rPr>
        <w:t xml:space="preserve">se </w:t>
      </w:r>
      <w:r w:rsidR="00722D5C">
        <w:rPr>
          <w:rFonts w:ascii="Arial" w:eastAsia="Times New Roman" w:hAnsi="Arial" w:cs="Arial"/>
          <w:color w:val="000000"/>
          <w:sz w:val="22"/>
          <w:lang w:eastAsia="es-ES_tradnl"/>
        </w:rPr>
        <w:t>asignar</w:t>
      </w:r>
      <w:r>
        <w:rPr>
          <w:rFonts w:ascii="Arial" w:eastAsia="Times New Roman" w:hAnsi="Arial" w:cs="Arial"/>
          <w:color w:val="000000"/>
          <w:sz w:val="22"/>
          <w:lang w:eastAsia="es-ES_tradnl"/>
        </w:rPr>
        <w:t>á</w:t>
      </w:r>
      <w:r w:rsidR="00722D5C">
        <w:rPr>
          <w:rFonts w:ascii="Arial" w:eastAsia="Times New Roman" w:hAnsi="Arial" w:cs="Arial"/>
          <w:color w:val="000000"/>
          <w:sz w:val="22"/>
          <w:lang w:eastAsia="es-ES_tradnl"/>
        </w:rPr>
        <w:t xml:space="preserve"> de acuerdo</w:t>
      </w:r>
      <w:r w:rsidR="00722D5C" w:rsidRPr="0021701A">
        <w:rPr>
          <w:rFonts w:ascii="Arial" w:eastAsia="Times New Roman" w:hAnsi="Arial" w:cs="Arial"/>
          <w:color w:val="000000"/>
          <w:sz w:val="22"/>
          <w:lang w:eastAsia="es-ES_tradnl"/>
        </w:rPr>
        <w:t xml:space="preserve"> con el promedio de los valores de los contratos</w:t>
      </w:r>
      <w:r>
        <w:rPr>
          <w:rFonts w:ascii="Arial" w:eastAsia="Times New Roman" w:hAnsi="Arial" w:cs="Arial"/>
          <w:color w:val="000000"/>
          <w:sz w:val="22"/>
          <w:lang w:eastAsia="es-ES_tradnl"/>
        </w:rPr>
        <w:t xml:space="preserve"> aportados por el oferente para acreditar experiencia,</w:t>
      </w:r>
      <w:r w:rsidR="00722D5C" w:rsidRPr="0021701A">
        <w:rPr>
          <w:rFonts w:ascii="Arial" w:eastAsia="Times New Roman" w:hAnsi="Arial" w:cs="Arial"/>
          <w:color w:val="000000"/>
          <w:sz w:val="22"/>
          <w:lang w:eastAsia="es-ES_tradnl"/>
        </w:rPr>
        <w:t xml:space="preserve"> expresados en SMMLV. Para determinar el puntaje que corresponde al proponente por este factor de evaluación, el referido valor promedio de los contratos aportados para acreditar la experiencia, debe ser objeto de ponderación de acuer</w:t>
      </w:r>
      <w:r w:rsidR="00A70ECB">
        <w:rPr>
          <w:rFonts w:ascii="Arial" w:eastAsia="Times New Roman" w:hAnsi="Arial" w:cs="Arial"/>
          <w:color w:val="000000"/>
          <w:sz w:val="22"/>
          <w:lang w:eastAsia="es-ES_tradnl"/>
        </w:rPr>
        <w:t xml:space="preserve">do con alguno de los métodos </w:t>
      </w:r>
      <w:r w:rsidR="00722D5C" w:rsidRPr="0021701A">
        <w:rPr>
          <w:rFonts w:ascii="Arial" w:eastAsia="Times New Roman" w:hAnsi="Arial" w:cs="Arial"/>
          <w:color w:val="000000"/>
          <w:sz w:val="22"/>
          <w:lang w:eastAsia="es-ES_tradnl"/>
        </w:rPr>
        <w:t xml:space="preserve">señalados en el Documento Base, cuya escogencia debe hacerse de manera aleatoria, a partir de la Tasa Representativa del Mercado–TRM–. </w:t>
      </w:r>
    </w:p>
    <w:p w14:paraId="5D8FA29C" w14:textId="2F35E2B6" w:rsidR="00722D5C" w:rsidRPr="009E0233" w:rsidRDefault="00BB59B6" w:rsidP="00A70ECB">
      <w:pPr>
        <w:pStyle w:val="Prrafodelista"/>
        <w:tabs>
          <w:tab w:val="left" w:pos="426"/>
        </w:tabs>
        <w:spacing w:before="120" w:line="276" w:lineRule="auto"/>
        <w:ind w:left="0" w:firstLine="709"/>
        <w:jc w:val="both"/>
        <w:rPr>
          <w:rFonts w:ascii="Arial" w:eastAsia="Times New Roman" w:hAnsi="Arial" w:cs="Arial"/>
          <w:i/>
          <w:color w:val="000000"/>
          <w:sz w:val="22"/>
          <w:lang w:val="es-ES_tradnl" w:eastAsia="es-ES_tradnl"/>
        </w:rPr>
      </w:pPr>
      <w:r>
        <w:rPr>
          <w:rFonts w:ascii="Arial" w:eastAsia="Times New Roman" w:hAnsi="Arial" w:cs="Arial"/>
          <w:color w:val="000000"/>
          <w:sz w:val="22"/>
          <w:lang w:eastAsia="es-ES_tradnl"/>
        </w:rPr>
        <w:t>En consecuencia</w:t>
      </w:r>
      <w:r w:rsidR="002724E5">
        <w:rPr>
          <w:rFonts w:ascii="Arial" w:eastAsia="Times New Roman" w:hAnsi="Arial" w:cs="Arial"/>
          <w:color w:val="000000"/>
          <w:sz w:val="22"/>
          <w:lang w:eastAsia="es-ES_tradnl"/>
        </w:rPr>
        <w:t>,</w:t>
      </w:r>
      <w:r>
        <w:rPr>
          <w:rFonts w:ascii="Arial" w:eastAsia="Times New Roman" w:hAnsi="Arial" w:cs="Arial"/>
          <w:color w:val="000000"/>
          <w:sz w:val="22"/>
          <w:lang w:eastAsia="es-ES_tradnl"/>
        </w:rPr>
        <w:t xml:space="preserve"> el método de ponderación que será determinado por la TRM, es la forma mediante la cual la entidad evaluar</w:t>
      </w:r>
      <w:r w:rsidR="004F7B52">
        <w:rPr>
          <w:rFonts w:ascii="Arial" w:eastAsia="Times New Roman" w:hAnsi="Arial" w:cs="Arial"/>
          <w:color w:val="000000"/>
          <w:sz w:val="22"/>
          <w:lang w:eastAsia="es-ES_tradnl"/>
        </w:rPr>
        <w:t>á</w:t>
      </w:r>
      <w:r>
        <w:rPr>
          <w:rFonts w:ascii="Arial" w:eastAsia="Times New Roman" w:hAnsi="Arial" w:cs="Arial"/>
          <w:color w:val="000000"/>
          <w:sz w:val="22"/>
          <w:lang w:eastAsia="es-ES_tradnl"/>
        </w:rPr>
        <w:t xml:space="preserve"> y asignar</w:t>
      </w:r>
      <w:r w:rsidR="004F7B52">
        <w:rPr>
          <w:rFonts w:ascii="Arial" w:eastAsia="Times New Roman" w:hAnsi="Arial" w:cs="Arial"/>
          <w:color w:val="000000"/>
          <w:sz w:val="22"/>
          <w:lang w:eastAsia="es-ES_tradnl"/>
        </w:rPr>
        <w:t>á</w:t>
      </w:r>
      <w:r>
        <w:rPr>
          <w:rFonts w:ascii="Arial" w:eastAsia="Times New Roman" w:hAnsi="Arial" w:cs="Arial"/>
          <w:color w:val="000000"/>
          <w:sz w:val="22"/>
          <w:lang w:eastAsia="es-ES_tradnl"/>
        </w:rPr>
        <w:t xml:space="preserve"> puntaje al factor experiencia</w:t>
      </w:r>
      <w:r w:rsidR="00B96762">
        <w:rPr>
          <w:rFonts w:ascii="Arial" w:eastAsia="Times New Roman" w:hAnsi="Arial" w:cs="Arial"/>
          <w:color w:val="000000"/>
          <w:sz w:val="22"/>
          <w:lang w:eastAsia="es-ES_tradnl"/>
        </w:rPr>
        <w:t xml:space="preserve"> del proponente</w:t>
      </w:r>
      <w:r>
        <w:rPr>
          <w:rFonts w:ascii="Arial" w:eastAsia="Times New Roman" w:hAnsi="Arial" w:cs="Arial"/>
          <w:color w:val="000000"/>
          <w:sz w:val="22"/>
          <w:lang w:eastAsia="es-ES_tradnl"/>
        </w:rPr>
        <w:t xml:space="preserve"> en los procesos de </w:t>
      </w:r>
      <w:r w:rsidR="00B96762">
        <w:rPr>
          <w:rFonts w:ascii="Arial" w:eastAsia="Times New Roman" w:hAnsi="Arial" w:cs="Arial"/>
          <w:color w:val="000000"/>
          <w:sz w:val="22"/>
          <w:lang w:eastAsia="es-ES_tradnl"/>
        </w:rPr>
        <w:t xml:space="preserve">concurso de méritos para contratar la </w:t>
      </w:r>
      <w:r>
        <w:rPr>
          <w:rFonts w:ascii="Arial" w:eastAsia="Times New Roman" w:hAnsi="Arial" w:cs="Arial"/>
          <w:color w:val="000000"/>
          <w:sz w:val="22"/>
          <w:lang w:eastAsia="es-ES_tradnl"/>
        </w:rPr>
        <w:t>interventoría de obra</w:t>
      </w:r>
      <w:r w:rsidR="00B96762">
        <w:rPr>
          <w:rFonts w:ascii="Arial" w:eastAsia="Times New Roman" w:hAnsi="Arial" w:cs="Arial"/>
          <w:color w:val="000000"/>
          <w:sz w:val="22"/>
          <w:lang w:eastAsia="es-ES_tradnl"/>
        </w:rPr>
        <w:t>s</w:t>
      </w:r>
      <w:r>
        <w:rPr>
          <w:rFonts w:ascii="Arial" w:eastAsia="Times New Roman" w:hAnsi="Arial" w:cs="Arial"/>
          <w:color w:val="000000"/>
          <w:sz w:val="22"/>
          <w:lang w:eastAsia="es-ES_tradnl"/>
        </w:rPr>
        <w:t xml:space="preserve"> </w:t>
      </w:r>
      <w:r w:rsidR="009E0233">
        <w:rPr>
          <w:rFonts w:ascii="Arial" w:eastAsia="Times New Roman" w:hAnsi="Arial" w:cs="Arial"/>
          <w:color w:val="000000"/>
          <w:sz w:val="22"/>
          <w:lang w:eastAsia="es-ES_tradnl"/>
        </w:rPr>
        <w:t>pública</w:t>
      </w:r>
      <w:r w:rsidR="00B96762">
        <w:rPr>
          <w:rFonts w:ascii="Arial" w:eastAsia="Times New Roman" w:hAnsi="Arial" w:cs="Arial"/>
          <w:color w:val="000000"/>
          <w:sz w:val="22"/>
          <w:lang w:eastAsia="es-ES_tradnl"/>
        </w:rPr>
        <w:t>s</w:t>
      </w:r>
      <w:r>
        <w:rPr>
          <w:rFonts w:ascii="Arial" w:eastAsia="Times New Roman" w:hAnsi="Arial" w:cs="Arial"/>
          <w:color w:val="000000"/>
          <w:sz w:val="22"/>
          <w:lang w:eastAsia="es-ES_tradnl"/>
        </w:rPr>
        <w:t xml:space="preserve"> de infraestructura de transporte, </w:t>
      </w:r>
      <w:r w:rsidR="00040613">
        <w:rPr>
          <w:rFonts w:ascii="Arial" w:eastAsia="Times New Roman" w:hAnsi="Arial" w:cs="Arial"/>
          <w:color w:val="000000"/>
          <w:sz w:val="22"/>
          <w:lang w:eastAsia="es-ES_tradnl"/>
        </w:rPr>
        <w:t>por tanto, no tiene relación con la evaluación de las ofertas económicas, toda vez que, como se explicó</w:t>
      </w:r>
      <w:r w:rsidR="00B14FF5">
        <w:rPr>
          <w:rFonts w:ascii="Arial" w:eastAsia="Times New Roman" w:hAnsi="Arial" w:cs="Arial"/>
          <w:color w:val="000000"/>
          <w:sz w:val="22"/>
          <w:lang w:eastAsia="es-ES_tradnl"/>
        </w:rPr>
        <w:t>,</w:t>
      </w:r>
      <w:r w:rsidR="00040613">
        <w:rPr>
          <w:rFonts w:ascii="Arial" w:eastAsia="Times New Roman" w:hAnsi="Arial" w:cs="Arial"/>
          <w:color w:val="000000"/>
          <w:sz w:val="22"/>
          <w:lang w:eastAsia="es-ES_tradnl"/>
        </w:rPr>
        <w:t xml:space="preserve"> el </w:t>
      </w:r>
      <w:r w:rsidR="00040613" w:rsidRPr="00B56841">
        <w:rPr>
          <w:rFonts w:ascii="Arial" w:eastAsia="Times New Roman" w:hAnsi="Arial" w:cs="Arial"/>
          <w:color w:val="000000"/>
          <w:sz w:val="22"/>
          <w:lang w:eastAsia="es-ES_tradnl"/>
        </w:rPr>
        <w:t>precio no se puede incluir como factor de escogencia para la selección de consultores</w:t>
      </w:r>
      <w:r w:rsidR="00040613">
        <w:rPr>
          <w:rFonts w:ascii="Arial" w:eastAsia="Times New Roman" w:hAnsi="Arial" w:cs="Arial"/>
          <w:color w:val="000000"/>
          <w:sz w:val="22"/>
          <w:lang w:eastAsia="es-ES_tradnl"/>
        </w:rPr>
        <w:t xml:space="preserve">. </w:t>
      </w:r>
    </w:p>
    <w:p w14:paraId="6BDF52EC" w14:textId="77777777" w:rsidR="00722D5C" w:rsidRPr="00755127" w:rsidRDefault="00722D5C" w:rsidP="00722D5C">
      <w:pPr>
        <w:pStyle w:val="Prrafodelista"/>
        <w:tabs>
          <w:tab w:val="left" w:pos="426"/>
        </w:tabs>
        <w:spacing w:line="276" w:lineRule="auto"/>
        <w:ind w:left="0"/>
        <w:jc w:val="both"/>
        <w:rPr>
          <w:rFonts w:ascii="Arial" w:eastAsia="Calibri" w:hAnsi="Arial" w:cs="Arial"/>
          <w:color w:val="000000" w:themeColor="text1"/>
          <w:sz w:val="22"/>
          <w:lang w:val="es-ES_tradnl"/>
        </w:rPr>
      </w:pPr>
    </w:p>
    <w:p w14:paraId="426B5DCA" w14:textId="3B5623DB" w:rsidR="00214878" w:rsidRPr="00E91076" w:rsidRDefault="00214878" w:rsidP="00C21E1B">
      <w:pPr>
        <w:spacing w:line="276" w:lineRule="auto"/>
        <w:jc w:val="both"/>
        <w:rPr>
          <w:rFonts w:ascii="Arial" w:eastAsia="Calibri" w:hAnsi="Arial" w:cs="Arial"/>
          <w:sz w:val="22"/>
        </w:rPr>
      </w:pPr>
      <w:r w:rsidRPr="00E91076">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E91076" w:rsidRDefault="0002551F" w:rsidP="00C21E1B">
      <w:pPr>
        <w:spacing w:line="276" w:lineRule="auto"/>
        <w:jc w:val="both"/>
        <w:rPr>
          <w:rFonts w:ascii="Arial" w:eastAsia="Calibri" w:hAnsi="Arial" w:cs="Arial"/>
          <w:sz w:val="22"/>
        </w:rPr>
      </w:pPr>
    </w:p>
    <w:p w14:paraId="2D31E5AC" w14:textId="5CAE9096" w:rsidR="00214878" w:rsidRPr="00E91076" w:rsidRDefault="00214878" w:rsidP="00E71381">
      <w:pPr>
        <w:spacing w:line="276" w:lineRule="auto"/>
        <w:jc w:val="both"/>
        <w:rPr>
          <w:rFonts w:ascii="Arial" w:eastAsia="Calibri" w:hAnsi="Arial" w:cs="Arial"/>
          <w:sz w:val="22"/>
        </w:rPr>
      </w:pPr>
      <w:r w:rsidRPr="00E91076">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3996B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E91076" w:rsidRDefault="00214878" w:rsidP="00E71381">
      <w:pPr>
        <w:spacing w:line="276" w:lineRule="auto"/>
        <w:rPr>
          <w:rFonts w:ascii="Arial" w:eastAsia="Times New Roman" w:hAnsi="Arial" w:cs="Arial"/>
          <w:sz w:val="22"/>
          <w:lang w:eastAsia="es-CO"/>
        </w:rPr>
      </w:pPr>
      <w:r w:rsidRPr="00E91076">
        <w:rPr>
          <w:rFonts w:ascii="Arial" w:eastAsia="Times New Roman" w:hAnsi="Arial" w:cs="Arial"/>
          <w:sz w:val="22"/>
          <w:lang w:eastAsia="es-CO"/>
        </w:rPr>
        <w:t>Atentamente,</w:t>
      </w:r>
    </w:p>
    <w:p w14:paraId="57FC6667" w14:textId="3B44DB4D" w:rsidR="009C0366" w:rsidRPr="00E91076" w:rsidRDefault="003A4E98" w:rsidP="00D35139">
      <w:pPr>
        <w:spacing w:line="276" w:lineRule="auto"/>
        <w:jc w:val="center"/>
        <w:rPr>
          <w:rFonts w:ascii="Arial" w:hAnsi="Arial" w:cs="Arial"/>
          <w:noProof/>
          <w:lang w:val="en-US"/>
        </w:rPr>
      </w:pPr>
      <w:r>
        <w:rPr>
          <w:rFonts w:ascii="Arial" w:hAnsi="Arial" w:cs="Arial"/>
          <w:noProof/>
          <w:lang w:val="en-US"/>
        </w:rPr>
        <w:drawing>
          <wp:inline distT="0" distB="0" distL="0" distR="0" wp14:anchorId="5B9DFF53" wp14:editId="2F515903">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E91076" w14:paraId="2E979D08" w14:textId="77777777" w:rsidTr="00C968EC">
        <w:trPr>
          <w:trHeight w:val="315"/>
        </w:trPr>
        <w:tc>
          <w:tcPr>
            <w:tcW w:w="812" w:type="dxa"/>
            <w:vAlign w:val="center"/>
          </w:tcPr>
          <w:p w14:paraId="1606F074"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E91076" w:rsidRDefault="008D7064"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 xml:space="preserve">Jorge Alberto García Calume </w:t>
            </w:r>
            <w:r w:rsidR="00A60725" w:rsidRPr="00E91076">
              <w:rPr>
                <w:rFonts w:ascii="Arial" w:eastAsia="Times New Roman" w:hAnsi="Arial" w:cs="Arial"/>
                <w:sz w:val="14"/>
                <w:szCs w:val="14"/>
                <w:lang w:eastAsia="es-ES"/>
              </w:rPr>
              <w:t xml:space="preserve"> </w:t>
            </w:r>
          </w:p>
          <w:p w14:paraId="6995B041" w14:textId="5DBB425B" w:rsidR="00214878" w:rsidRPr="00E91076" w:rsidRDefault="00A60725" w:rsidP="004B2EF6">
            <w:pPr>
              <w:rPr>
                <w:rFonts w:ascii="Arial" w:eastAsia="Times New Roman" w:hAnsi="Arial" w:cs="Arial"/>
                <w:sz w:val="14"/>
                <w:szCs w:val="14"/>
                <w:lang w:eastAsia="es-ES"/>
              </w:rPr>
            </w:pPr>
            <w:r w:rsidRPr="00E91076">
              <w:rPr>
                <w:rFonts w:ascii="Arial" w:eastAsia="Times New Roman" w:hAnsi="Arial" w:cs="Arial"/>
                <w:sz w:val="14"/>
                <w:szCs w:val="14"/>
                <w:lang w:eastAsia="es-ES"/>
              </w:rPr>
              <w:t>Contratista</w:t>
            </w:r>
            <w:r w:rsidR="004B2EF6" w:rsidRPr="00E91076">
              <w:rPr>
                <w:rFonts w:ascii="Arial" w:eastAsia="Times New Roman" w:hAnsi="Arial" w:cs="Arial"/>
                <w:sz w:val="14"/>
                <w:szCs w:val="14"/>
                <w:lang w:eastAsia="es-ES"/>
              </w:rPr>
              <w:t xml:space="preserve"> de la Subdirección de Gestión Contractual </w:t>
            </w:r>
            <w:r w:rsidRPr="00E91076">
              <w:rPr>
                <w:rFonts w:ascii="Arial" w:eastAsia="Times New Roman" w:hAnsi="Arial" w:cs="Arial"/>
                <w:sz w:val="14"/>
                <w:szCs w:val="14"/>
                <w:lang w:eastAsia="es-ES"/>
              </w:rPr>
              <w:t xml:space="preserve"> </w:t>
            </w:r>
          </w:p>
        </w:tc>
      </w:tr>
      <w:tr w:rsidR="00CA7FEF" w:rsidRPr="00E91076" w14:paraId="1EFBDAAD" w14:textId="77777777" w:rsidTr="00C968EC">
        <w:trPr>
          <w:trHeight w:val="330"/>
        </w:trPr>
        <w:tc>
          <w:tcPr>
            <w:tcW w:w="812" w:type="dxa"/>
            <w:vAlign w:val="center"/>
          </w:tcPr>
          <w:p w14:paraId="09701992"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199EE643" w:rsidR="0014392D" w:rsidRPr="00E91076" w:rsidRDefault="00E522C5" w:rsidP="00DF0F8E">
            <w:pPr>
              <w:rPr>
                <w:rFonts w:ascii="Arial" w:hAnsi="Arial" w:cs="Arial"/>
                <w:sz w:val="14"/>
                <w:szCs w:val="14"/>
                <w:lang w:eastAsia="es-ES"/>
              </w:rPr>
            </w:pPr>
            <w:r w:rsidRPr="00E91076">
              <w:rPr>
                <w:rFonts w:ascii="Arial" w:hAnsi="Arial" w:cs="Arial"/>
                <w:sz w:val="14"/>
                <w:szCs w:val="14"/>
                <w:lang w:eastAsia="es-ES"/>
              </w:rPr>
              <w:t xml:space="preserve">Sebastián Ramírez Grisales </w:t>
            </w:r>
            <w:r w:rsidR="006E54A1" w:rsidRPr="00E91076">
              <w:rPr>
                <w:rFonts w:ascii="Arial" w:hAnsi="Arial" w:cs="Arial"/>
                <w:sz w:val="14"/>
                <w:szCs w:val="14"/>
                <w:lang w:eastAsia="es-ES"/>
              </w:rPr>
              <w:t xml:space="preserve"> </w:t>
            </w:r>
          </w:p>
          <w:p w14:paraId="6B6BBB43" w14:textId="0283B2E3" w:rsidR="00214878" w:rsidRPr="00E91076"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E91076" w:rsidRDefault="0014392D" w:rsidP="00DF0F8E">
            <w:pPr>
              <w:rPr>
                <w:rFonts w:ascii="Arial" w:hAnsi="Arial" w:cs="Arial"/>
                <w:sz w:val="14"/>
                <w:szCs w:val="14"/>
                <w:lang w:eastAsia="es-ES"/>
              </w:rPr>
            </w:pPr>
            <w:r w:rsidRPr="00E91076">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806F37">
      <w:pPr>
        <w:spacing w:before="120" w:after="160" w:line="276" w:lineRule="auto"/>
        <w:rPr>
          <w:rFonts w:ascii="Arial" w:hAnsi="Arial" w:cs="Arial"/>
        </w:rPr>
      </w:pPr>
    </w:p>
    <w:sectPr w:rsidR="00737DB6" w:rsidRPr="0014392D" w:rsidSect="00214878">
      <w:headerReference w:type="default" r:id="rId14"/>
      <w:footerReference w:type="default" r:id="rId15"/>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21B7" w14:textId="77777777" w:rsidR="00B06E86" w:rsidRDefault="00B06E86">
      <w:r>
        <w:separator/>
      </w:r>
    </w:p>
  </w:endnote>
  <w:endnote w:type="continuationSeparator" w:id="0">
    <w:p w14:paraId="18D574B9" w14:textId="77777777" w:rsidR="00B06E86" w:rsidRDefault="00B0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Calibri">
    <w:altName w:val="Arial"/>
    <w:charset w:val="00"/>
    <w:family w:val="roman"/>
    <w:pitch w:val="default"/>
  </w:font>
  <w:font w:name="Arial,Times New Roma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0F4EC662"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A4E98">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A4E98">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587A" w14:textId="77777777" w:rsidR="00B06E86" w:rsidRDefault="00B06E86">
      <w:r>
        <w:separator/>
      </w:r>
    </w:p>
  </w:footnote>
  <w:footnote w:type="continuationSeparator" w:id="0">
    <w:p w14:paraId="3E1056FA" w14:textId="77777777" w:rsidR="00B06E86" w:rsidRDefault="00B06E86">
      <w:r>
        <w:continuationSeparator/>
      </w:r>
    </w:p>
  </w:footnote>
  <w:footnote w:id="1">
    <w:p w14:paraId="53DEFE41" w14:textId="77777777" w:rsidR="0021701A" w:rsidRPr="00B56841" w:rsidRDefault="0021701A" w:rsidP="00777151">
      <w:pPr>
        <w:pStyle w:val="Textonotapie"/>
        <w:ind w:firstLine="709"/>
        <w:jc w:val="both"/>
        <w:rPr>
          <w:rFonts w:ascii="Arial" w:hAnsi="Arial" w:cs="Arial"/>
          <w:color w:val="000000" w:themeColor="text1"/>
          <w:sz w:val="19"/>
          <w:szCs w:val="19"/>
        </w:rPr>
      </w:pPr>
      <w:r w:rsidRPr="00B56841">
        <w:rPr>
          <w:rStyle w:val="Refdenotaalpie"/>
          <w:rFonts w:ascii="Arial" w:hAnsi="Arial" w:cs="Arial"/>
          <w:color w:val="000000" w:themeColor="text1"/>
          <w:sz w:val="19"/>
          <w:szCs w:val="19"/>
        </w:rPr>
        <w:footnoteRef/>
      </w:r>
      <w:r w:rsidRPr="00B56841">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2CCCDB81" w14:textId="77777777" w:rsidR="0021701A" w:rsidRPr="00B56841" w:rsidRDefault="0021701A">
      <w:pPr>
        <w:pStyle w:val="Textonotapie"/>
        <w:ind w:firstLine="709"/>
        <w:jc w:val="both"/>
        <w:rPr>
          <w:rFonts w:ascii="Arial" w:hAnsi="Arial" w:cs="Arial"/>
          <w:color w:val="000000" w:themeColor="text1"/>
          <w:sz w:val="19"/>
          <w:szCs w:val="19"/>
          <w:lang w:val="es-CO"/>
        </w:rPr>
      </w:pPr>
    </w:p>
  </w:footnote>
  <w:footnote w:id="2">
    <w:p w14:paraId="4A0DC02D" w14:textId="77777777" w:rsidR="0021701A" w:rsidRPr="00B56841" w:rsidRDefault="0021701A">
      <w:pPr>
        <w:pStyle w:val="Textonotapie"/>
        <w:ind w:firstLine="709"/>
        <w:jc w:val="both"/>
        <w:rPr>
          <w:rFonts w:ascii="Arial" w:hAnsi="Arial" w:cs="Arial"/>
          <w:color w:val="000000" w:themeColor="text1"/>
          <w:sz w:val="19"/>
          <w:szCs w:val="19"/>
        </w:rPr>
      </w:pPr>
      <w:r w:rsidRPr="00B56841">
        <w:rPr>
          <w:rStyle w:val="Refdenotaalpie"/>
          <w:rFonts w:ascii="Arial" w:hAnsi="Arial" w:cs="Arial"/>
          <w:color w:val="000000" w:themeColor="text1"/>
          <w:sz w:val="19"/>
          <w:szCs w:val="19"/>
        </w:rPr>
        <w:footnoteRef/>
      </w:r>
      <w:r w:rsidRPr="00B56841">
        <w:rPr>
          <w:rFonts w:ascii="Arial" w:hAnsi="Arial" w:cs="Arial"/>
          <w:color w:val="000000" w:themeColor="text1"/>
          <w:sz w:val="19"/>
          <w:szCs w:val="19"/>
        </w:rPr>
        <w:t xml:space="preserve"> </w:t>
      </w:r>
      <w:r w:rsidRPr="00B56841">
        <w:rPr>
          <w:rFonts w:ascii="Arial" w:hAnsi="Arial" w:cs="Arial"/>
          <w:color w:val="000000" w:themeColor="text1"/>
          <w:sz w:val="19"/>
          <w:szCs w:val="19"/>
          <w:lang w:val="es-CO"/>
        </w:rPr>
        <w:t xml:space="preserve">Ley 1882 de 2018: «Artículo 4. </w:t>
      </w:r>
      <w:r w:rsidRPr="00B56841">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C924FCC" w14:textId="77777777" w:rsidR="0021701A" w:rsidRPr="00B56841" w:rsidRDefault="0021701A">
      <w:pPr>
        <w:pStyle w:val="Textonotapie"/>
        <w:ind w:firstLine="709"/>
        <w:jc w:val="both"/>
        <w:rPr>
          <w:rFonts w:ascii="Arial" w:hAnsi="Arial" w:cs="Arial"/>
          <w:color w:val="000000" w:themeColor="text1"/>
          <w:sz w:val="19"/>
          <w:szCs w:val="19"/>
          <w:lang w:val="es-CO"/>
        </w:rPr>
      </w:pPr>
      <w:proofErr w:type="gramStart"/>
      <w:r w:rsidRPr="00B56841">
        <w:rPr>
          <w:rFonts w:ascii="Arial" w:hAnsi="Arial" w:cs="Arial"/>
          <w:color w:val="000000" w:themeColor="text1"/>
          <w:sz w:val="19"/>
          <w:szCs w:val="19"/>
          <w:lang w:val="es-CO"/>
        </w:rPr>
        <w:t>»La</w:t>
      </w:r>
      <w:proofErr w:type="gramEnd"/>
      <w:r w:rsidRPr="00B56841">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640C0998" w14:textId="68F709C9" w:rsidR="0021701A" w:rsidRPr="00B56841" w:rsidRDefault="0021701A">
      <w:pPr>
        <w:pStyle w:val="Textonotapie"/>
        <w:ind w:firstLine="709"/>
        <w:jc w:val="both"/>
        <w:rPr>
          <w:rFonts w:ascii="Arial" w:hAnsi="Arial" w:cs="Arial"/>
          <w:color w:val="000000" w:themeColor="text1"/>
          <w:sz w:val="19"/>
          <w:szCs w:val="19"/>
          <w:lang w:val="es-CO"/>
        </w:rPr>
      </w:pPr>
      <w:proofErr w:type="gramStart"/>
      <w:r w:rsidRPr="00B56841">
        <w:rPr>
          <w:rFonts w:ascii="Arial" w:hAnsi="Arial" w:cs="Arial"/>
          <w:color w:val="000000" w:themeColor="text1"/>
          <w:sz w:val="19"/>
          <w:szCs w:val="19"/>
          <w:lang w:val="es-CO"/>
        </w:rPr>
        <w:t>»Los</w:t>
      </w:r>
      <w:proofErr w:type="gramEnd"/>
      <w:r w:rsidRPr="00B56841">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p w14:paraId="683F6292" w14:textId="77777777" w:rsidR="005858C8" w:rsidRPr="00B56841" w:rsidRDefault="005858C8">
      <w:pPr>
        <w:pStyle w:val="Textonotapie"/>
        <w:ind w:firstLine="709"/>
        <w:jc w:val="both"/>
        <w:rPr>
          <w:rFonts w:ascii="Arial" w:hAnsi="Arial" w:cs="Arial"/>
          <w:color w:val="000000" w:themeColor="text1"/>
          <w:sz w:val="19"/>
          <w:szCs w:val="19"/>
          <w:lang w:val="es-CO"/>
        </w:rPr>
      </w:pPr>
    </w:p>
  </w:footnote>
  <w:footnote w:id="3">
    <w:p w14:paraId="3CD8E6CF" w14:textId="77777777" w:rsidR="0021701A" w:rsidRPr="00B56841" w:rsidRDefault="0021701A">
      <w:pPr>
        <w:pStyle w:val="Textonotapie"/>
        <w:ind w:firstLine="709"/>
        <w:jc w:val="both"/>
        <w:rPr>
          <w:rFonts w:ascii="Arial" w:hAnsi="Arial" w:cs="Arial"/>
          <w:color w:val="000000" w:themeColor="text1"/>
          <w:sz w:val="19"/>
          <w:szCs w:val="19"/>
        </w:rPr>
      </w:pPr>
      <w:r w:rsidRPr="00B56841">
        <w:rPr>
          <w:rStyle w:val="Refdenotaalpie"/>
          <w:rFonts w:ascii="Arial" w:hAnsi="Arial" w:cs="Arial"/>
          <w:color w:val="000000" w:themeColor="text1"/>
          <w:sz w:val="19"/>
          <w:szCs w:val="19"/>
        </w:rPr>
        <w:footnoteRef/>
      </w:r>
      <w:r w:rsidRPr="00B56841">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4">
    <w:p w14:paraId="11EB769E" w14:textId="11324C11" w:rsidR="001B4158" w:rsidRPr="00B56841" w:rsidRDefault="001B4158">
      <w:pPr>
        <w:pStyle w:val="Textonotapie"/>
        <w:ind w:firstLine="708"/>
        <w:jc w:val="both"/>
        <w:rPr>
          <w:rFonts w:ascii="Arial" w:hAnsi="Arial" w:cs="Arial"/>
          <w:color w:val="000000" w:themeColor="text1"/>
          <w:sz w:val="19"/>
          <w:szCs w:val="19"/>
        </w:rPr>
      </w:pPr>
      <w:r w:rsidRPr="00B56841">
        <w:rPr>
          <w:rStyle w:val="Refdenotaalpie"/>
          <w:rFonts w:ascii="Arial" w:hAnsi="Arial" w:cs="Arial"/>
          <w:color w:val="000000" w:themeColor="text1"/>
          <w:sz w:val="19"/>
          <w:szCs w:val="19"/>
        </w:rPr>
        <w:footnoteRef/>
      </w:r>
      <w:r w:rsidRPr="00B56841">
        <w:rPr>
          <w:rFonts w:ascii="Arial" w:hAnsi="Arial" w:cs="Arial"/>
          <w:color w:val="000000" w:themeColor="text1"/>
          <w:sz w:val="19"/>
          <w:szCs w:val="19"/>
        </w:rPr>
        <w:t xml:space="preserve"> «Artículo 4º. Adiciónese el siguiente parágrafo al artículo 2º de la Ley 1150 de 2007. </w:t>
      </w:r>
    </w:p>
    <w:p w14:paraId="16D31B8E" w14:textId="721C3881" w:rsidR="001B4158" w:rsidRPr="00B56841" w:rsidRDefault="001B4158" w:rsidP="00B56841">
      <w:pPr>
        <w:pStyle w:val="Textonotapie"/>
        <w:ind w:firstLine="708"/>
        <w:jc w:val="both"/>
        <w:rPr>
          <w:rFonts w:ascii="Arial" w:hAnsi="Arial" w:cs="Arial"/>
          <w:color w:val="000000" w:themeColor="text1"/>
          <w:sz w:val="19"/>
          <w:szCs w:val="19"/>
        </w:rPr>
      </w:pPr>
      <w:proofErr w:type="gramStart"/>
      <w:r w:rsidRPr="00B56841">
        <w:rPr>
          <w:rFonts w:ascii="Arial" w:hAnsi="Arial" w:cs="Arial"/>
          <w:color w:val="000000" w:themeColor="text1"/>
          <w:sz w:val="19"/>
          <w:szCs w:val="19"/>
        </w:rPr>
        <w:t>»Parágrafo</w:t>
      </w:r>
      <w:proofErr w:type="gramEnd"/>
      <w:r w:rsidRPr="00B56841">
        <w:rPr>
          <w:rFonts w:ascii="Arial" w:hAnsi="Arial" w:cs="Arial"/>
          <w:color w:val="000000" w:themeColor="text1"/>
          <w:sz w:val="19"/>
          <w:szCs w:val="19"/>
        </w:rPr>
        <w:t xml:space="preserve">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footnote>
  <w:footnote w:id="5">
    <w:p w14:paraId="06596821" w14:textId="08AC67FA" w:rsidR="00777151" w:rsidRPr="00B56841" w:rsidRDefault="00777151" w:rsidP="00B56841">
      <w:pPr>
        <w:pStyle w:val="Textonotapie"/>
        <w:ind w:firstLine="708"/>
        <w:jc w:val="both"/>
        <w:rPr>
          <w:rFonts w:ascii="Arial" w:hAnsi="Arial" w:cs="Arial"/>
          <w:color w:val="000000" w:themeColor="text1"/>
          <w:sz w:val="19"/>
          <w:szCs w:val="19"/>
        </w:rPr>
      </w:pPr>
      <w:r w:rsidRPr="00B56841">
        <w:rPr>
          <w:rStyle w:val="Refdenotaalpie"/>
          <w:rFonts w:ascii="Arial" w:hAnsi="Arial" w:cs="Arial"/>
          <w:color w:val="000000" w:themeColor="text1"/>
          <w:sz w:val="19"/>
          <w:szCs w:val="19"/>
        </w:rPr>
        <w:footnoteRef/>
      </w:r>
      <w:r w:rsidRPr="00B56841">
        <w:rPr>
          <w:rFonts w:ascii="Arial" w:hAnsi="Arial" w:cs="Arial"/>
          <w:color w:val="000000" w:themeColor="text1"/>
          <w:sz w:val="19"/>
          <w:szCs w:val="19"/>
        </w:rPr>
        <w:t xml:space="preserve"> </w:t>
      </w:r>
      <w:bookmarkStart w:id="7" w:name="32"/>
      <w:r>
        <w:rPr>
          <w:rFonts w:ascii="Arial" w:hAnsi="Arial" w:cs="Arial"/>
          <w:color w:val="000000" w:themeColor="text1"/>
          <w:sz w:val="19"/>
          <w:szCs w:val="19"/>
        </w:rPr>
        <w:t>«</w:t>
      </w:r>
      <w:r w:rsidRPr="00B56841">
        <w:rPr>
          <w:rFonts w:ascii="Arial" w:hAnsi="Arial" w:cs="Arial"/>
          <w:color w:val="000000" w:themeColor="text1"/>
          <w:sz w:val="19"/>
          <w:szCs w:val="19"/>
        </w:rPr>
        <w:t>A</w:t>
      </w:r>
      <w:r>
        <w:rPr>
          <w:rFonts w:ascii="Arial" w:hAnsi="Arial" w:cs="Arial"/>
          <w:color w:val="000000" w:themeColor="text1"/>
          <w:sz w:val="19"/>
          <w:szCs w:val="19"/>
        </w:rPr>
        <w:t>rtículo</w:t>
      </w:r>
      <w:r w:rsidRPr="00B56841">
        <w:rPr>
          <w:rFonts w:ascii="Arial" w:hAnsi="Arial" w:cs="Arial"/>
          <w:color w:val="000000" w:themeColor="text1"/>
          <w:sz w:val="19"/>
          <w:szCs w:val="19"/>
        </w:rPr>
        <w:t xml:space="preserve"> 32. </w:t>
      </w:r>
      <w:r w:rsidRPr="00777151">
        <w:rPr>
          <w:rFonts w:ascii="Arial" w:hAnsi="Arial" w:cs="Arial"/>
          <w:color w:val="000000" w:themeColor="text1"/>
          <w:sz w:val="19"/>
          <w:szCs w:val="19"/>
        </w:rPr>
        <w:t>de los contratos estatales</w:t>
      </w:r>
      <w:r w:rsidRPr="00B56841">
        <w:rPr>
          <w:rFonts w:ascii="Arial" w:hAnsi="Arial" w:cs="Arial"/>
          <w:color w:val="000000" w:themeColor="text1"/>
          <w:sz w:val="19"/>
          <w:szCs w:val="19"/>
        </w:rPr>
        <w:t>.</w:t>
      </w:r>
      <w:bookmarkEnd w:id="7"/>
      <w:r w:rsidRPr="00B56841">
        <w:rPr>
          <w:rFonts w:ascii="Arial" w:hAnsi="Arial" w:cs="Arial"/>
          <w:color w:val="000000" w:themeColor="text1"/>
          <w:sz w:val="19"/>
          <w:szCs w:val="19"/>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7D67986A" w14:textId="2BD27520" w:rsidR="00777151" w:rsidRPr="00B56841" w:rsidRDefault="00777151" w:rsidP="00B56841">
      <w:pPr>
        <w:pStyle w:val="Textonotapie"/>
        <w:ind w:firstLine="708"/>
        <w:jc w:val="both"/>
        <w:rPr>
          <w:rFonts w:ascii="Arial" w:hAnsi="Arial" w:cs="Arial"/>
          <w:color w:val="000000" w:themeColor="text1"/>
          <w:sz w:val="19"/>
          <w:szCs w:val="19"/>
        </w:rPr>
      </w:pPr>
      <w:r w:rsidRPr="00B56841">
        <w:rPr>
          <w:rFonts w:ascii="Arial" w:hAnsi="Arial" w:cs="Arial"/>
          <w:color w:val="000000" w:themeColor="text1"/>
          <w:sz w:val="19"/>
          <w:szCs w:val="19"/>
        </w:rPr>
        <w:t>[…]</w:t>
      </w:r>
    </w:p>
    <w:p w14:paraId="17C743E5" w14:textId="591DA1A8" w:rsidR="00777151" w:rsidRPr="00B56841" w:rsidRDefault="00777151" w:rsidP="00B56841">
      <w:pPr>
        <w:pStyle w:val="Textonotapie"/>
        <w:ind w:firstLine="708"/>
        <w:jc w:val="both"/>
        <w:rPr>
          <w:rFonts w:ascii="Arial" w:hAnsi="Arial" w:cs="Arial"/>
          <w:color w:val="000000" w:themeColor="text1"/>
          <w:sz w:val="19"/>
          <w:szCs w:val="19"/>
          <w:lang w:val="es-CO"/>
        </w:rPr>
      </w:pPr>
      <w:proofErr w:type="gramStart"/>
      <w:r>
        <w:rPr>
          <w:rFonts w:ascii="Arial" w:hAnsi="Arial" w:cs="Arial"/>
          <w:color w:val="000000" w:themeColor="text1"/>
          <w:sz w:val="19"/>
          <w:szCs w:val="19"/>
          <w:lang w:val="es-CO"/>
        </w:rPr>
        <w:t>»</w:t>
      </w:r>
      <w:r w:rsidRPr="00B56841">
        <w:rPr>
          <w:rFonts w:ascii="Arial" w:hAnsi="Arial" w:cs="Arial"/>
          <w:color w:val="000000" w:themeColor="text1"/>
          <w:sz w:val="19"/>
          <w:szCs w:val="19"/>
          <w:lang w:val="es-CO"/>
        </w:rPr>
        <w:t>2o.</w:t>
      </w:r>
      <w:proofErr w:type="gramEnd"/>
      <w:r w:rsidRPr="00B56841">
        <w:rPr>
          <w:rFonts w:ascii="Arial" w:hAnsi="Arial" w:cs="Arial"/>
          <w:color w:val="000000" w:themeColor="text1"/>
          <w:sz w:val="19"/>
          <w:szCs w:val="19"/>
          <w:lang w:val="es-CO"/>
        </w:rPr>
        <w:t xml:space="preserve"> Contrato de Consultoría.</w:t>
      </w:r>
    </w:p>
    <w:p w14:paraId="3A2527A6" w14:textId="77777777" w:rsidR="00777151" w:rsidRPr="00B56841" w:rsidRDefault="00777151" w:rsidP="00B56841">
      <w:pPr>
        <w:pStyle w:val="Textonotapie"/>
        <w:ind w:firstLine="708"/>
        <w:jc w:val="both"/>
        <w:rPr>
          <w:rFonts w:ascii="Arial" w:hAnsi="Arial" w:cs="Arial"/>
          <w:color w:val="000000" w:themeColor="text1"/>
          <w:sz w:val="19"/>
          <w:szCs w:val="19"/>
          <w:lang w:val="es-CO"/>
        </w:rPr>
      </w:pPr>
      <w:r w:rsidRPr="00B56841">
        <w:rPr>
          <w:rFonts w:ascii="Arial" w:hAnsi="Arial" w:cs="Arial"/>
          <w:color w:val="000000" w:themeColor="text1"/>
          <w:sz w:val="19"/>
          <w:szCs w:val="19"/>
          <w:lang w:val="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D850332" w14:textId="77777777" w:rsidR="00777151" w:rsidRPr="00B56841" w:rsidRDefault="00777151" w:rsidP="00B56841">
      <w:pPr>
        <w:pStyle w:val="Textonotapie"/>
        <w:ind w:firstLine="708"/>
        <w:jc w:val="both"/>
        <w:rPr>
          <w:rFonts w:ascii="Arial" w:hAnsi="Arial" w:cs="Arial"/>
          <w:color w:val="000000" w:themeColor="text1"/>
          <w:sz w:val="19"/>
          <w:szCs w:val="19"/>
          <w:lang w:val="es-CO"/>
        </w:rPr>
      </w:pPr>
      <w:r w:rsidRPr="00B56841">
        <w:rPr>
          <w:rFonts w:ascii="Arial" w:hAnsi="Arial" w:cs="Arial"/>
          <w:i/>
          <w:iCs/>
          <w:color w:val="000000" w:themeColor="text1"/>
          <w:sz w:val="19"/>
          <w:szCs w:val="19"/>
          <w:lang w:val="es-CO"/>
        </w:rPr>
        <w:t>Son también contratos de consultoría los que tienen por objeto la interventoría</w:t>
      </w:r>
      <w:r w:rsidRPr="00B56841">
        <w:rPr>
          <w:rFonts w:ascii="Arial" w:hAnsi="Arial" w:cs="Arial"/>
          <w:color w:val="000000" w:themeColor="text1"/>
          <w:sz w:val="19"/>
          <w:szCs w:val="19"/>
          <w:lang w:val="es-CO"/>
        </w:rPr>
        <w:t>, asesoría, gerencia de obra o de proyectos, dirección, programación y la ejecución de diseños, planos, anteproyectos y proyectos.</w:t>
      </w:r>
    </w:p>
    <w:p w14:paraId="43E40D23" w14:textId="747732A4" w:rsidR="00777151" w:rsidRDefault="00777151" w:rsidP="00777151">
      <w:pPr>
        <w:pStyle w:val="Textonotapie"/>
        <w:ind w:firstLine="708"/>
        <w:jc w:val="both"/>
        <w:rPr>
          <w:rFonts w:ascii="Arial" w:hAnsi="Arial" w:cs="Arial"/>
          <w:color w:val="000000" w:themeColor="text1"/>
          <w:sz w:val="19"/>
          <w:szCs w:val="19"/>
          <w:lang w:val="es-CO"/>
        </w:rPr>
      </w:pPr>
      <w:r w:rsidRPr="00B56841">
        <w:rPr>
          <w:rFonts w:ascii="Arial" w:hAnsi="Arial" w:cs="Arial"/>
          <w:color w:val="000000" w:themeColor="text1"/>
          <w:sz w:val="19"/>
          <w:szCs w:val="19"/>
          <w:lang w:val="es-CO"/>
        </w:rPr>
        <w:t>Ninguna orden del interventor de una obra podrá darse verbalmente. Es obligatorio para el interventor entregar por escrito sus órdenes o sugerencias y ellas deben enmarcarse dentro de los términos del respectivo contrato</w:t>
      </w:r>
      <w:r>
        <w:rPr>
          <w:rFonts w:ascii="Arial" w:hAnsi="Arial" w:cs="Arial"/>
          <w:color w:val="000000" w:themeColor="text1"/>
          <w:sz w:val="19"/>
          <w:szCs w:val="19"/>
          <w:lang w:val="es-CO"/>
        </w:rPr>
        <w:t xml:space="preserve"> (Cursiva fuera del original).</w:t>
      </w:r>
    </w:p>
    <w:p w14:paraId="1BDEA7AE" w14:textId="77777777" w:rsidR="0044760A" w:rsidRPr="00B56841" w:rsidRDefault="0044760A" w:rsidP="00B56841">
      <w:pPr>
        <w:pStyle w:val="Textonotapie"/>
        <w:ind w:firstLine="708"/>
        <w:jc w:val="both"/>
        <w:rPr>
          <w:rFonts w:ascii="Arial" w:hAnsi="Arial" w:cs="Arial"/>
          <w:color w:val="000000" w:themeColor="text1"/>
          <w:sz w:val="19"/>
          <w:szCs w:val="19"/>
          <w:lang w:val="es-CO"/>
        </w:rPr>
      </w:pPr>
    </w:p>
  </w:footnote>
  <w:footnote w:id="6">
    <w:p w14:paraId="553EF3B7" w14:textId="4ABBFF2C" w:rsidR="0044760A" w:rsidRPr="00B56841" w:rsidRDefault="0044760A" w:rsidP="00B56841">
      <w:pPr>
        <w:pStyle w:val="Textonotapie"/>
        <w:ind w:firstLine="708"/>
        <w:jc w:val="both"/>
        <w:rPr>
          <w:rFonts w:ascii="Arial" w:hAnsi="Arial" w:cs="Arial"/>
          <w:color w:val="000000" w:themeColor="text1"/>
          <w:sz w:val="19"/>
          <w:szCs w:val="19"/>
          <w:lang w:val="es-CO"/>
        </w:rPr>
      </w:pPr>
      <w:r>
        <w:rPr>
          <w:rStyle w:val="Refdenotaalpie"/>
        </w:rPr>
        <w:footnoteRef/>
      </w:r>
      <w:r>
        <w:t xml:space="preserve"> </w:t>
      </w:r>
      <w:r w:rsidRPr="00B56841">
        <w:rPr>
          <w:rFonts w:ascii="Arial" w:hAnsi="Arial" w:cs="Arial"/>
          <w:color w:val="000000" w:themeColor="text1"/>
          <w:sz w:val="19"/>
          <w:szCs w:val="19"/>
          <w:lang w:val="es-CO"/>
        </w:rPr>
        <w:t>Ley 1150 de 2007. «</w:t>
      </w:r>
      <w:bookmarkStart w:id="8" w:name="5"/>
      <w:r>
        <w:rPr>
          <w:rFonts w:ascii="Arial" w:hAnsi="Arial" w:cs="Arial"/>
          <w:color w:val="000000" w:themeColor="text1"/>
          <w:sz w:val="19"/>
          <w:szCs w:val="19"/>
          <w:lang w:val="es-CO"/>
        </w:rPr>
        <w:t>A</w:t>
      </w:r>
      <w:r w:rsidRPr="0044760A">
        <w:rPr>
          <w:rFonts w:ascii="Arial" w:hAnsi="Arial" w:cs="Arial"/>
          <w:color w:val="000000" w:themeColor="text1"/>
          <w:sz w:val="19"/>
          <w:szCs w:val="19"/>
          <w:lang w:val="es-CO"/>
        </w:rPr>
        <w:t xml:space="preserve">rtículo 5o. </w:t>
      </w:r>
      <w:r>
        <w:rPr>
          <w:rFonts w:ascii="Arial" w:hAnsi="Arial" w:cs="Arial"/>
          <w:color w:val="000000" w:themeColor="text1"/>
          <w:sz w:val="19"/>
          <w:szCs w:val="19"/>
          <w:lang w:val="es-CO"/>
        </w:rPr>
        <w:t>D</w:t>
      </w:r>
      <w:r w:rsidRPr="0044760A">
        <w:rPr>
          <w:rFonts w:ascii="Arial" w:hAnsi="Arial" w:cs="Arial"/>
          <w:color w:val="000000" w:themeColor="text1"/>
          <w:sz w:val="19"/>
          <w:szCs w:val="19"/>
          <w:lang w:val="es-CO"/>
        </w:rPr>
        <w:t>e la selección objetiva</w:t>
      </w:r>
      <w:r w:rsidRPr="00B56841">
        <w:rPr>
          <w:rFonts w:ascii="Arial" w:hAnsi="Arial" w:cs="Arial"/>
          <w:color w:val="000000" w:themeColor="text1"/>
          <w:sz w:val="19"/>
          <w:szCs w:val="19"/>
          <w:lang w:val="es-CO"/>
        </w:rPr>
        <w:t>.</w:t>
      </w:r>
      <w:bookmarkEnd w:id="8"/>
      <w:r w:rsidRPr="00B56841">
        <w:rPr>
          <w:rFonts w:ascii="Arial" w:hAnsi="Arial" w:cs="Arial"/>
          <w:color w:val="000000" w:themeColor="text1"/>
          <w:sz w:val="19"/>
          <w:szCs w:val="19"/>
          <w:lang w:val="es-CO"/>
        </w:rPr>
        <w:t>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202B0B79" w14:textId="7B4EFF36" w:rsidR="0044760A" w:rsidRPr="00B56841" w:rsidRDefault="0044760A" w:rsidP="00B56841">
      <w:pPr>
        <w:pStyle w:val="Textonotapie"/>
        <w:ind w:firstLine="708"/>
        <w:jc w:val="both"/>
        <w:rPr>
          <w:rFonts w:ascii="Arial" w:hAnsi="Arial" w:cs="Arial"/>
          <w:color w:val="000000" w:themeColor="text1"/>
          <w:sz w:val="19"/>
          <w:szCs w:val="19"/>
          <w:lang w:val="es-CO"/>
        </w:rPr>
      </w:pPr>
      <w:r w:rsidRPr="00B56841">
        <w:rPr>
          <w:rFonts w:ascii="Arial" w:hAnsi="Arial" w:cs="Arial"/>
          <w:color w:val="000000" w:themeColor="text1"/>
          <w:sz w:val="19"/>
          <w:szCs w:val="19"/>
          <w:lang w:val="es-CO"/>
        </w:rPr>
        <w:t>[…]</w:t>
      </w:r>
    </w:p>
    <w:p w14:paraId="0D7938FC" w14:textId="77777777" w:rsidR="0044760A" w:rsidRDefault="0044760A" w:rsidP="0044760A">
      <w:pPr>
        <w:pStyle w:val="Textonotapie"/>
        <w:ind w:firstLine="708"/>
        <w:jc w:val="both"/>
        <w:rPr>
          <w:rFonts w:ascii="Arial" w:hAnsi="Arial" w:cs="Arial"/>
          <w:color w:val="000000" w:themeColor="text1"/>
          <w:sz w:val="19"/>
          <w:szCs w:val="19"/>
          <w:lang w:val="es-CO"/>
        </w:rPr>
      </w:pPr>
      <w:r w:rsidRPr="00B56841">
        <w:rPr>
          <w:rFonts w:ascii="Arial" w:hAnsi="Arial" w:cs="Arial"/>
          <w:color w:val="000000" w:themeColor="text1"/>
          <w:sz w:val="19"/>
          <w:szCs w:val="19"/>
          <w:lang w:val="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20A1B294" w14:textId="519D7ACA" w:rsidR="0044760A" w:rsidRPr="00B56841" w:rsidRDefault="0044760A" w:rsidP="00B56841">
      <w:pPr>
        <w:pStyle w:val="Textonotapie"/>
        <w:ind w:firstLine="708"/>
        <w:jc w:val="both"/>
        <w:rPr>
          <w:rFonts w:ascii="Arial" w:hAnsi="Arial" w:cs="Arial"/>
          <w:color w:val="000000" w:themeColor="text1"/>
          <w:sz w:val="19"/>
          <w:szCs w:val="19"/>
          <w:lang w:val="es-CO"/>
        </w:rPr>
      </w:pPr>
      <w:proofErr w:type="gramStart"/>
      <w:r>
        <w:rPr>
          <w:rFonts w:ascii="Arial" w:hAnsi="Arial" w:cs="Arial"/>
          <w:color w:val="000000" w:themeColor="text1"/>
          <w:sz w:val="19"/>
          <w:szCs w:val="19"/>
          <w:lang w:val="es-CO"/>
        </w:rPr>
        <w:t>»</w:t>
      </w:r>
      <w:r w:rsidRPr="0044760A">
        <w:rPr>
          <w:rFonts w:ascii="Arial" w:hAnsi="Arial" w:cs="Arial"/>
          <w:color w:val="000000" w:themeColor="text1"/>
          <w:sz w:val="19"/>
          <w:szCs w:val="19"/>
          <w:lang w:val="es-CO"/>
        </w:rPr>
        <w:t>En</w:t>
      </w:r>
      <w:proofErr w:type="gramEnd"/>
      <w:r w:rsidRPr="0044760A">
        <w:rPr>
          <w:rFonts w:ascii="Arial" w:hAnsi="Arial" w:cs="Arial"/>
          <w:color w:val="000000" w:themeColor="text1"/>
          <w:sz w:val="19"/>
          <w:szCs w:val="19"/>
          <w:lang w:val="es-CO"/>
        </w:rPr>
        <w:t xml:space="preserve"> ningún caso se podrá incluir el precio, como factor de escogencia para la selección de consultores</w:t>
      </w:r>
      <w:r w:rsidRPr="00B56841">
        <w:rPr>
          <w:rFonts w:ascii="Arial" w:hAnsi="Arial" w:cs="Arial"/>
          <w:color w:val="000000" w:themeColor="text1"/>
          <w:sz w:val="19"/>
          <w:szCs w:val="19"/>
          <w:lang w:val="es-CO"/>
        </w:rPr>
        <w:t>».</w:t>
      </w:r>
    </w:p>
  </w:footnote>
  <w:footnote w:id="7">
    <w:p w14:paraId="41522B90" w14:textId="77777777" w:rsidR="0021701A" w:rsidRPr="00B56841" w:rsidRDefault="0021701A">
      <w:pPr>
        <w:pStyle w:val="Textonotapie"/>
        <w:ind w:firstLine="708"/>
        <w:jc w:val="both"/>
        <w:rPr>
          <w:rFonts w:ascii="Arial" w:hAnsi="Arial" w:cs="Arial"/>
          <w:color w:val="000000" w:themeColor="text1"/>
          <w:sz w:val="19"/>
          <w:szCs w:val="19"/>
        </w:rPr>
      </w:pPr>
      <w:r w:rsidRPr="00B56841">
        <w:rPr>
          <w:rStyle w:val="Refdenotaalpie"/>
          <w:rFonts w:ascii="Arial" w:hAnsi="Arial" w:cs="Arial"/>
          <w:color w:val="000000" w:themeColor="text1"/>
          <w:sz w:val="19"/>
          <w:szCs w:val="19"/>
        </w:rPr>
        <w:footnoteRef/>
      </w:r>
      <w:r w:rsidRPr="00B56841">
        <w:rPr>
          <w:rFonts w:ascii="Arial" w:hAnsi="Arial" w:cs="Arial"/>
          <w:color w:val="000000" w:themeColor="text1"/>
          <w:sz w:val="19"/>
          <w:szCs w:val="19"/>
        </w:rPr>
        <w:t xml:space="preserve"> Circular Reglamentaria Externa – DOAM- 146 de 4 de noviembre de 2020, expedida por la junta directiva del Banco de la República de Colombia. </w:t>
      </w:r>
    </w:p>
    <w:p w14:paraId="085E06A3" w14:textId="77777777" w:rsidR="0021701A" w:rsidRPr="00B56841" w:rsidRDefault="0021701A">
      <w:pPr>
        <w:pStyle w:val="Textonotapie"/>
        <w:ind w:firstLine="708"/>
        <w:jc w:val="both"/>
        <w:rPr>
          <w:rFonts w:ascii="Arial" w:hAnsi="Arial" w:cs="Arial"/>
          <w:color w:val="000000" w:themeColor="text1"/>
          <w:sz w:val="19"/>
          <w:szCs w:val="19"/>
        </w:rPr>
      </w:pPr>
    </w:p>
  </w:footnote>
  <w:footnote w:id="8">
    <w:p w14:paraId="1A314E18" w14:textId="77777777" w:rsidR="0021701A" w:rsidRPr="00B56841" w:rsidRDefault="0021701A">
      <w:pPr>
        <w:pStyle w:val="Textonotapie"/>
        <w:ind w:firstLine="708"/>
        <w:jc w:val="both"/>
        <w:rPr>
          <w:rFonts w:ascii="Arial" w:hAnsi="Arial" w:cs="Arial"/>
          <w:color w:val="000000" w:themeColor="text1"/>
          <w:sz w:val="19"/>
          <w:szCs w:val="19"/>
        </w:rPr>
      </w:pPr>
      <w:r w:rsidRPr="00B56841">
        <w:rPr>
          <w:rStyle w:val="Refdenotaalpie"/>
          <w:rFonts w:ascii="Arial" w:hAnsi="Arial" w:cs="Arial"/>
          <w:color w:val="000000" w:themeColor="text1"/>
          <w:sz w:val="19"/>
          <w:szCs w:val="19"/>
        </w:rPr>
        <w:footnoteRef/>
      </w:r>
      <w:r w:rsidRPr="00B56841">
        <w:rPr>
          <w:rFonts w:ascii="Arial" w:hAnsi="Arial" w:cs="Arial"/>
          <w:color w:val="000000" w:themeColor="text1"/>
          <w:sz w:val="19"/>
          <w:szCs w:val="19"/>
        </w:rPr>
        <w:t xml:space="preserve"> </w:t>
      </w:r>
      <w:hyperlink r:id="rId1" w:history="1">
        <w:r w:rsidRPr="00B56841">
          <w:rPr>
            <w:rStyle w:val="Hipervnculo"/>
            <w:rFonts w:ascii="Arial" w:hAnsi="Arial" w:cs="Arial"/>
            <w:color w:val="000000" w:themeColor="text1"/>
            <w:sz w:val="19"/>
            <w:szCs w:val="19"/>
          </w:rPr>
          <w:t>https://www.banrep.gov.co/es/estadisticas/trm</w:t>
        </w:r>
      </w:hyperlink>
      <w:r w:rsidRPr="00B56841">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5DF9"/>
    <w:rsid w:val="000162C3"/>
    <w:rsid w:val="00016DCE"/>
    <w:rsid w:val="00023000"/>
    <w:rsid w:val="00023BA8"/>
    <w:rsid w:val="00023BE4"/>
    <w:rsid w:val="00023C87"/>
    <w:rsid w:val="0002551F"/>
    <w:rsid w:val="00031FC6"/>
    <w:rsid w:val="0003324A"/>
    <w:rsid w:val="00033B21"/>
    <w:rsid w:val="00033DAE"/>
    <w:rsid w:val="00035210"/>
    <w:rsid w:val="00036204"/>
    <w:rsid w:val="00040613"/>
    <w:rsid w:val="00041EFA"/>
    <w:rsid w:val="00043688"/>
    <w:rsid w:val="0004523D"/>
    <w:rsid w:val="00056788"/>
    <w:rsid w:val="00060398"/>
    <w:rsid w:val="00064E2F"/>
    <w:rsid w:val="00065BD4"/>
    <w:rsid w:val="000709B9"/>
    <w:rsid w:val="00071AD4"/>
    <w:rsid w:val="00074108"/>
    <w:rsid w:val="00086C1E"/>
    <w:rsid w:val="00091F03"/>
    <w:rsid w:val="0009351A"/>
    <w:rsid w:val="000942EB"/>
    <w:rsid w:val="000950AA"/>
    <w:rsid w:val="000A3D48"/>
    <w:rsid w:val="000A711E"/>
    <w:rsid w:val="000A785D"/>
    <w:rsid w:val="000B02D8"/>
    <w:rsid w:val="000B103F"/>
    <w:rsid w:val="000B2127"/>
    <w:rsid w:val="000B6AB4"/>
    <w:rsid w:val="000C0959"/>
    <w:rsid w:val="000C19E1"/>
    <w:rsid w:val="000D02B3"/>
    <w:rsid w:val="000D0CE3"/>
    <w:rsid w:val="000D3A92"/>
    <w:rsid w:val="000D4A92"/>
    <w:rsid w:val="000E1BF2"/>
    <w:rsid w:val="000E3501"/>
    <w:rsid w:val="000E40FE"/>
    <w:rsid w:val="000E4B5C"/>
    <w:rsid w:val="000E699E"/>
    <w:rsid w:val="000E6C0B"/>
    <w:rsid w:val="000E730C"/>
    <w:rsid w:val="000F14E8"/>
    <w:rsid w:val="000F18A6"/>
    <w:rsid w:val="00101D47"/>
    <w:rsid w:val="00103915"/>
    <w:rsid w:val="00110320"/>
    <w:rsid w:val="001103A2"/>
    <w:rsid w:val="001128A8"/>
    <w:rsid w:val="00113958"/>
    <w:rsid w:val="00121CD3"/>
    <w:rsid w:val="00122B23"/>
    <w:rsid w:val="001233CA"/>
    <w:rsid w:val="00123889"/>
    <w:rsid w:val="00125924"/>
    <w:rsid w:val="001353DC"/>
    <w:rsid w:val="0013568D"/>
    <w:rsid w:val="0013799F"/>
    <w:rsid w:val="00137BCE"/>
    <w:rsid w:val="00137FFA"/>
    <w:rsid w:val="00141FAC"/>
    <w:rsid w:val="001428A2"/>
    <w:rsid w:val="001437AF"/>
    <w:rsid w:val="0014392D"/>
    <w:rsid w:val="00143A66"/>
    <w:rsid w:val="001507BA"/>
    <w:rsid w:val="00161B7E"/>
    <w:rsid w:val="00166B32"/>
    <w:rsid w:val="0017007F"/>
    <w:rsid w:val="00170D3D"/>
    <w:rsid w:val="00175FDC"/>
    <w:rsid w:val="001765CF"/>
    <w:rsid w:val="0018007B"/>
    <w:rsid w:val="001821C5"/>
    <w:rsid w:val="0018522E"/>
    <w:rsid w:val="00193EFC"/>
    <w:rsid w:val="00196CF5"/>
    <w:rsid w:val="001A695E"/>
    <w:rsid w:val="001A7009"/>
    <w:rsid w:val="001B4158"/>
    <w:rsid w:val="001B493A"/>
    <w:rsid w:val="001C01AC"/>
    <w:rsid w:val="001C12E3"/>
    <w:rsid w:val="001C47C6"/>
    <w:rsid w:val="001C5F61"/>
    <w:rsid w:val="001C67D0"/>
    <w:rsid w:val="001C6B55"/>
    <w:rsid w:val="001D0521"/>
    <w:rsid w:val="001D1029"/>
    <w:rsid w:val="001E0106"/>
    <w:rsid w:val="001E0955"/>
    <w:rsid w:val="001E0B25"/>
    <w:rsid w:val="001E3A55"/>
    <w:rsid w:val="001E62AF"/>
    <w:rsid w:val="001E7DB9"/>
    <w:rsid w:val="001F2A9C"/>
    <w:rsid w:val="002002A3"/>
    <w:rsid w:val="00202F2E"/>
    <w:rsid w:val="002106C7"/>
    <w:rsid w:val="0021312A"/>
    <w:rsid w:val="00213765"/>
    <w:rsid w:val="00214878"/>
    <w:rsid w:val="0021701A"/>
    <w:rsid w:val="00220DCB"/>
    <w:rsid w:val="00221AE0"/>
    <w:rsid w:val="00224AFF"/>
    <w:rsid w:val="00230492"/>
    <w:rsid w:val="00231C01"/>
    <w:rsid w:val="002330A3"/>
    <w:rsid w:val="002346FC"/>
    <w:rsid w:val="002347A0"/>
    <w:rsid w:val="00234B84"/>
    <w:rsid w:val="00237377"/>
    <w:rsid w:val="002411E9"/>
    <w:rsid w:val="00242ED7"/>
    <w:rsid w:val="0024480D"/>
    <w:rsid w:val="002454B3"/>
    <w:rsid w:val="00250EB5"/>
    <w:rsid w:val="00251EE8"/>
    <w:rsid w:val="00254868"/>
    <w:rsid w:val="002553EE"/>
    <w:rsid w:val="00255AFA"/>
    <w:rsid w:val="00256635"/>
    <w:rsid w:val="00261507"/>
    <w:rsid w:val="0026156A"/>
    <w:rsid w:val="0026186C"/>
    <w:rsid w:val="00261A2E"/>
    <w:rsid w:val="002630D9"/>
    <w:rsid w:val="00264997"/>
    <w:rsid w:val="002706B4"/>
    <w:rsid w:val="002706C7"/>
    <w:rsid w:val="002724E5"/>
    <w:rsid w:val="0027359F"/>
    <w:rsid w:val="00280E65"/>
    <w:rsid w:val="00286DB6"/>
    <w:rsid w:val="00287A42"/>
    <w:rsid w:val="002918F7"/>
    <w:rsid w:val="002932EB"/>
    <w:rsid w:val="00293C69"/>
    <w:rsid w:val="00294025"/>
    <w:rsid w:val="00294A08"/>
    <w:rsid w:val="002965A6"/>
    <w:rsid w:val="002A36A9"/>
    <w:rsid w:val="002A3B51"/>
    <w:rsid w:val="002A4D54"/>
    <w:rsid w:val="002A72FB"/>
    <w:rsid w:val="002B0967"/>
    <w:rsid w:val="002B1F1E"/>
    <w:rsid w:val="002B3D4E"/>
    <w:rsid w:val="002C3D5A"/>
    <w:rsid w:val="002C71CA"/>
    <w:rsid w:val="002C7E55"/>
    <w:rsid w:val="002C7E5B"/>
    <w:rsid w:val="002D1AA6"/>
    <w:rsid w:val="002D7662"/>
    <w:rsid w:val="002D7A0C"/>
    <w:rsid w:val="002E1753"/>
    <w:rsid w:val="002E590A"/>
    <w:rsid w:val="002E6F9C"/>
    <w:rsid w:val="002E7375"/>
    <w:rsid w:val="002E79A9"/>
    <w:rsid w:val="002F2195"/>
    <w:rsid w:val="002F33C3"/>
    <w:rsid w:val="003011A3"/>
    <w:rsid w:val="00303001"/>
    <w:rsid w:val="003033BA"/>
    <w:rsid w:val="00305947"/>
    <w:rsid w:val="00306259"/>
    <w:rsid w:val="003067C4"/>
    <w:rsid w:val="00313908"/>
    <w:rsid w:val="003159B5"/>
    <w:rsid w:val="00315C98"/>
    <w:rsid w:val="00323084"/>
    <w:rsid w:val="00323E51"/>
    <w:rsid w:val="0033055F"/>
    <w:rsid w:val="0033352A"/>
    <w:rsid w:val="00333DBC"/>
    <w:rsid w:val="00337968"/>
    <w:rsid w:val="003404C9"/>
    <w:rsid w:val="00341A74"/>
    <w:rsid w:val="0034680A"/>
    <w:rsid w:val="003471F9"/>
    <w:rsid w:val="0034781E"/>
    <w:rsid w:val="00352311"/>
    <w:rsid w:val="003544BB"/>
    <w:rsid w:val="00356E6F"/>
    <w:rsid w:val="003600DB"/>
    <w:rsid w:val="00362481"/>
    <w:rsid w:val="00362FC9"/>
    <w:rsid w:val="00363113"/>
    <w:rsid w:val="003644CA"/>
    <w:rsid w:val="003657FD"/>
    <w:rsid w:val="00372B16"/>
    <w:rsid w:val="003739B8"/>
    <w:rsid w:val="003751BE"/>
    <w:rsid w:val="00376566"/>
    <w:rsid w:val="00380B61"/>
    <w:rsid w:val="00385468"/>
    <w:rsid w:val="00386456"/>
    <w:rsid w:val="00387590"/>
    <w:rsid w:val="00391E67"/>
    <w:rsid w:val="00392F03"/>
    <w:rsid w:val="003945B8"/>
    <w:rsid w:val="00395355"/>
    <w:rsid w:val="00395C94"/>
    <w:rsid w:val="003A1AAE"/>
    <w:rsid w:val="003A4E98"/>
    <w:rsid w:val="003A581E"/>
    <w:rsid w:val="003B0B5A"/>
    <w:rsid w:val="003B4F39"/>
    <w:rsid w:val="003C0C02"/>
    <w:rsid w:val="003C43B0"/>
    <w:rsid w:val="003C7776"/>
    <w:rsid w:val="003D14E8"/>
    <w:rsid w:val="003D2AA2"/>
    <w:rsid w:val="003D338B"/>
    <w:rsid w:val="003D4BB2"/>
    <w:rsid w:val="003D78B1"/>
    <w:rsid w:val="003D7DB6"/>
    <w:rsid w:val="003E4ED2"/>
    <w:rsid w:val="003F2F99"/>
    <w:rsid w:val="003F58D0"/>
    <w:rsid w:val="003F6F8C"/>
    <w:rsid w:val="00400DDE"/>
    <w:rsid w:val="00405662"/>
    <w:rsid w:val="00410870"/>
    <w:rsid w:val="004110F1"/>
    <w:rsid w:val="00414A77"/>
    <w:rsid w:val="00416B88"/>
    <w:rsid w:val="00417402"/>
    <w:rsid w:val="00420BEF"/>
    <w:rsid w:val="004247E7"/>
    <w:rsid w:val="00424964"/>
    <w:rsid w:val="0043152C"/>
    <w:rsid w:val="00431C82"/>
    <w:rsid w:val="00432163"/>
    <w:rsid w:val="00434BC9"/>
    <w:rsid w:val="004422D6"/>
    <w:rsid w:val="00443F10"/>
    <w:rsid w:val="00445F18"/>
    <w:rsid w:val="0044760A"/>
    <w:rsid w:val="004513E8"/>
    <w:rsid w:val="00462527"/>
    <w:rsid w:val="00467950"/>
    <w:rsid w:val="00471F8D"/>
    <w:rsid w:val="004765EB"/>
    <w:rsid w:val="00476A47"/>
    <w:rsid w:val="00477B6D"/>
    <w:rsid w:val="00483490"/>
    <w:rsid w:val="00487048"/>
    <w:rsid w:val="0048706D"/>
    <w:rsid w:val="00490869"/>
    <w:rsid w:val="0049197E"/>
    <w:rsid w:val="00493EF0"/>
    <w:rsid w:val="004A34D2"/>
    <w:rsid w:val="004A51B7"/>
    <w:rsid w:val="004B2EF6"/>
    <w:rsid w:val="004B5A38"/>
    <w:rsid w:val="004B6213"/>
    <w:rsid w:val="004B62BE"/>
    <w:rsid w:val="004C0588"/>
    <w:rsid w:val="004C35C3"/>
    <w:rsid w:val="004C56C4"/>
    <w:rsid w:val="004C64DF"/>
    <w:rsid w:val="004D021E"/>
    <w:rsid w:val="004D2202"/>
    <w:rsid w:val="004D2FE0"/>
    <w:rsid w:val="004D6F1F"/>
    <w:rsid w:val="004E2DEA"/>
    <w:rsid w:val="004E420A"/>
    <w:rsid w:val="004E6117"/>
    <w:rsid w:val="004F1A74"/>
    <w:rsid w:val="004F30B3"/>
    <w:rsid w:val="004F39DB"/>
    <w:rsid w:val="004F3CEB"/>
    <w:rsid w:val="004F3E22"/>
    <w:rsid w:val="004F4C0F"/>
    <w:rsid w:val="004F7B52"/>
    <w:rsid w:val="0050193D"/>
    <w:rsid w:val="00501AD2"/>
    <w:rsid w:val="00504976"/>
    <w:rsid w:val="00504B90"/>
    <w:rsid w:val="00507B55"/>
    <w:rsid w:val="0051074C"/>
    <w:rsid w:val="00512714"/>
    <w:rsid w:val="00513AF2"/>
    <w:rsid w:val="0051416A"/>
    <w:rsid w:val="00517832"/>
    <w:rsid w:val="00517F60"/>
    <w:rsid w:val="00520337"/>
    <w:rsid w:val="005238E2"/>
    <w:rsid w:val="00525C51"/>
    <w:rsid w:val="005356EA"/>
    <w:rsid w:val="0053681E"/>
    <w:rsid w:val="00536F1C"/>
    <w:rsid w:val="0054229C"/>
    <w:rsid w:val="005427CF"/>
    <w:rsid w:val="00542E18"/>
    <w:rsid w:val="0054413A"/>
    <w:rsid w:val="00546CA7"/>
    <w:rsid w:val="00550FD8"/>
    <w:rsid w:val="00553EAD"/>
    <w:rsid w:val="005564CA"/>
    <w:rsid w:val="00557C64"/>
    <w:rsid w:val="0056302E"/>
    <w:rsid w:val="005637B5"/>
    <w:rsid w:val="005641FB"/>
    <w:rsid w:val="00565602"/>
    <w:rsid w:val="00566674"/>
    <w:rsid w:val="00572EF9"/>
    <w:rsid w:val="005776D4"/>
    <w:rsid w:val="005858C8"/>
    <w:rsid w:val="005909E4"/>
    <w:rsid w:val="005A3893"/>
    <w:rsid w:val="005A4AEC"/>
    <w:rsid w:val="005A7711"/>
    <w:rsid w:val="005B0CD4"/>
    <w:rsid w:val="005B11C6"/>
    <w:rsid w:val="005B57CE"/>
    <w:rsid w:val="005C275C"/>
    <w:rsid w:val="005C50CF"/>
    <w:rsid w:val="005C7CDD"/>
    <w:rsid w:val="005D0519"/>
    <w:rsid w:val="005D1B45"/>
    <w:rsid w:val="005D25BD"/>
    <w:rsid w:val="005D69B0"/>
    <w:rsid w:val="005E3FDC"/>
    <w:rsid w:val="005E46CB"/>
    <w:rsid w:val="005E55D7"/>
    <w:rsid w:val="005E5AD9"/>
    <w:rsid w:val="00600AC5"/>
    <w:rsid w:val="00604F33"/>
    <w:rsid w:val="00606730"/>
    <w:rsid w:val="006072DA"/>
    <w:rsid w:val="00615A40"/>
    <w:rsid w:val="0062065E"/>
    <w:rsid w:val="00621149"/>
    <w:rsid w:val="0062127A"/>
    <w:rsid w:val="00621E35"/>
    <w:rsid w:val="0062303B"/>
    <w:rsid w:val="00635151"/>
    <w:rsid w:val="00636072"/>
    <w:rsid w:val="00642B0D"/>
    <w:rsid w:val="00644299"/>
    <w:rsid w:val="00645D51"/>
    <w:rsid w:val="006535D1"/>
    <w:rsid w:val="00654AA6"/>
    <w:rsid w:val="00655371"/>
    <w:rsid w:val="00656629"/>
    <w:rsid w:val="00662A05"/>
    <w:rsid w:val="00662D79"/>
    <w:rsid w:val="006735A6"/>
    <w:rsid w:val="006754C6"/>
    <w:rsid w:val="00676EE8"/>
    <w:rsid w:val="00685F97"/>
    <w:rsid w:val="00687EC0"/>
    <w:rsid w:val="00690936"/>
    <w:rsid w:val="00697665"/>
    <w:rsid w:val="006A7FD0"/>
    <w:rsid w:val="006B0278"/>
    <w:rsid w:val="006B3A0D"/>
    <w:rsid w:val="006B421D"/>
    <w:rsid w:val="006B6ED7"/>
    <w:rsid w:val="006C0BAA"/>
    <w:rsid w:val="006C1231"/>
    <w:rsid w:val="006C68E6"/>
    <w:rsid w:val="006D0AAC"/>
    <w:rsid w:val="006D1878"/>
    <w:rsid w:val="006D32A2"/>
    <w:rsid w:val="006D67D5"/>
    <w:rsid w:val="006D7687"/>
    <w:rsid w:val="006D79C0"/>
    <w:rsid w:val="006D7AF0"/>
    <w:rsid w:val="006E0572"/>
    <w:rsid w:val="006E54A1"/>
    <w:rsid w:val="006F0276"/>
    <w:rsid w:val="00700D9E"/>
    <w:rsid w:val="00704381"/>
    <w:rsid w:val="00705631"/>
    <w:rsid w:val="0071707F"/>
    <w:rsid w:val="00722D5C"/>
    <w:rsid w:val="00726845"/>
    <w:rsid w:val="00727C3C"/>
    <w:rsid w:val="00734B73"/>
    <w:rsid w:val="00735EB6"/>
    <w:rsid w:val="00737DB6"/>
    <w:rsid w:val="007424A8"/>
    <w:rsid w:val="00742DD2"/>
    <w:rsid w:val="00744529"/>
    <w:rsid w:val="007452CF"/>
    <w:rsid w:val="0075010E"/>
    <w:rsid w:val="00751379"/>
    <w:rsid w:val="00754451"/>
    <w:rsid w:val="00755127"/>
    <w:rsid w:val="0075647A"/>
    <w:rsid w:val="00756B38"/>
    <w:rsid w:val="007575ED"/>
    <w:rsid w:val="007609E9"/>
    <w:rsid w:val="007618B2"/>
    <w:rsid w:val="007634AD"/>
    <w:rsid w:val="00764F47"/>
    <w:rsid w:val="0076517D"/>
    <w:rsid w:val="00771390"/>
    <w:rsid w:val="00777151"/>
    <w:rsid w:val="007810C3"/>
    <w:rsid w:val="0078122E"/>
    <w:rsid w:val="00781AA8"/>
    <w:rsid w:val="0078365A"/>
    <w:rsid w:val="0078391E"/>
    <w:rsid w:val="0079134A"/>
    <w:rsid w:val="00795113"/>
    <w:rsid w:val="007A645F"/>
    <w:rsid w:val="007A6A34"/>
    <w:rsid w:val="007B0854"/>
    <w:rsid w:val="007C5CF1"/>
    <w:rsid w:val="007D220F"/>
    <w:rsid w:val="007D2317"/>
    <w:rsid w:val="007D3323"/>
    <w:rsid w:val="007E193F"/>
    <w:rsid w:val="007E24A0"/>
    <w:rsid w:val="007E331A"/>
    <w:rsid w:val="007E6D71"/>
    <w:rsid w:val="007E7112"/>
    <w:rsid w:val="007F1C74"/>
    <w:rsid w:val="007F5937"/>
    <w:rsid w:val="007F7255"/>
    <w:rsid w:val="007F72CB"/>
    <w:rsid w:val="00801F73"/>
    <w:rsid w:val="00802FF0"/>
    <w:rsid w:val="008065A8"/>
    <w:rsid w:val="00806F37"/>
    <w:rsid w:val="00810875"/>
    <w:rsid w:val="00811EDD"/>
    <w:rsid w:val="008146D6"/>
    <w:rsid w:val="00816B40"/>
    <w:rsid w:val="008229F3"/>
    <w:rsid w:val="00824A6D"/>
    <w:rsid w:val="00826F8B"/>
    <w:rsid w:val="00830498"/>
    <w:rsid w:val="0083119B"/>
    <w:rsid w:val="00835C7D"/>
    <w:rsid w:val="008369AB"/>
    <w:rsid w:val="00836EAB"/>
    <w:rsid w:val="00837C23"/>
    <w:rsid w:val="008431E7"/>
    <w:rsid w:val="00844741"/>
    <w:rsid w:val="0084692D"/>
    <w:rsid w:val="0085092D"/>
    <w:rsid w:val="00851A0C"/>
    <w:rsid w:val="00854B8E"/>
    <w:rsid w:val="00860B66"/>
    <w:rsid w:val="008615FD"/>
    <w:rsid w:val="00862405"/>
    <w:rsid w:val="00863745"/>
    <w:rsid w:val="00864BE4"/>
    <w:rsid w:val="008662E2"/>
    <w:rsid w:val="00866AEB"/>
    <w:rsid w:val="00871A33"/>
    <w:rsid w:val="008735FF"/>
    <w:rsid w:val="00873F44"/>
    <w:rsid w:val="00874B3D"/>
    <w:rsid w:val="00884F75"/>
    <w:rsid w:val="008865C0"/>
    <w:rsid w:val="0088776A"/>
    <w:rsid w:val="008903AE"/>
    <w:rsid w:val="00893375"/>
    <w:rsid w:val="008941DC"/>
    <w:rsid w:val="00894712"/>
    <w:rsid w:val="00896CE7"/>
    <w:rsid w:val="00896EE0"/>
    <w:rsid w:val="008A0886"/>
    <w:rsid w:val="008A29B2"/>
    <w:rsid w:val="008A56B5"/>
    <w:rsid w:val="008A7BB3"/>
    <w:rsid w:val="008B1764"/>
    <w:rsid w:val="008B5890"/>
    <w:rsid w:val="008B79E0"/>
    <w:rsid w:val="008C2A2A"/>
    <w:rsid w:val="008C449B"/>
    <w:rsid w:val="008C5FE5"/>
    <w:rsid w:val="008D7064"/>
    <w:rsid w:val="008E121D"/>
    <w:rsid w:val="008E1608"/>
    <w:rsid w:val="008E1C15"/>
    <w:rsid w:val="008E3555"/>
    <w:rsid w:val="008E68C3"/>
    <w:rsid w:val="008F53F4"/>
    <w:rsid w:val="00901339"/>
    <w:rsid w:val="00902872"/>
    <w:rsid w:val="009047C5"/>
    <w:rsid w:val="00905611"/>
    <w:rsid w:val="009101AA"/>
    <w:rsid w:val="00911BF7"/>
    <w:rsid w:val="0091275E"/>
    <w:rsid w:val="00913B77"/>
    <w:rsid w:val="00916DB5"/>
    <w:rsid w:val="00921955"/>
    <w:rsid w:val="009242C9"/>
    <w:rsid w:val="00924B66"/>
    <w:rsid w:val="00932ABE"/>
    <w:rsid w:val="00941B45"/>
    <w:rsid w:val="00941BB1"/>
    <w:rsid w:val="00947945"/>
    <w:rsid w:val="00951524"/>
    <w:rsid w:val="0095385A"/>
    <w:rsid w:val="00954AC6"/>
    <w:rsid w:val="009604E6"/>
    <w:rsid w:val="0096190A"/>
    <w:rsid w:val="00965006"/>
    <w:rsid w:val="00965265"/>
    <w:rsid w:val="00966013"/>
    <w:rsid w:val="00966595"/>
    <w:rsid w:val="00971321"/>
    <w:rsid w:val="00975427"/>
    <w:rsid w:val="009769F6"/>
    <w:rsid w:val="00981254"/>
    <w:rsid w:val="009859D4"/>
    <w:rsid w:val="0098629E"/>
    <w:rsid w:val="009A7EAF"/>
    <w:rsid w:val="009B2E85"/>
    <w:rsid w:val="009B3E7E"/>
    <w:rsid w:val="009B42A9"/>
    <w:rsid w:val="009C0366"/>
    <w:rsid w:val="009C2258"/>
    <w:rsid w:val="009C50D0"/>
    <w:rsid w:val="009C50DA"/>
    <w:rsid w:val="009C56E5"/>
    <w:rsid w:val="009E0233"/>
    <w:rsid w:val="009F12D8"/>
    <w:rsid w:val="009F2FEF"/>
    <w:rsid w:val="00A06772"/>
    <w:rsid w:val="00A074BF"/>
    <w:rsid w:val="00A0798E"/>
    <w:rsid w:val="00A12E39"/>
    <w:rsid w:val="00A1500F"/>
    <w:rsid w:val="00A17103"/>
    <w:rsid w:val="00A23EDF"/>
    <w:rsid w:val="00A241AD"/>
    <w:rsid w:val="00A24322"/>
    <w:rsid w:val="00A24560"/>
    <w:rsid w:val="00A24FCF"/>
    <w:rsid w:val="00A25C0C"/>
    <w:rsid w:val="00A27285"/>
    <w:rsid w:val="00A31BC6"/>
    <w:rsid w:val="00A34538"/>
    <w:rsid w:val="00A37819"/>
    <w:rsid w:val="00A43B4B"/>
    <w:rsid w:val="00A44694"/>
    <w:rsid w:val="00A45F5D"/>
    <w:rsid w:val="00A47BA8"/>
    <w:rsid w:val="00A50EA1"/>
    <w:rsid w:val="00A537D4"/>
    <w:rsid w:val="00A54843"/>
    <w:rsid w:val="00A54FA1"/>
    <w:rsid w:val="00A562DC"/>
    <w:rsid w:val="00A5668B"/>
    <w:rsid w:val="00A60725"/>
    <w:rsid w:val="00A60A14"/>
    <w:rsid w:val="00A620C8"/>
    <w:rsid w:val="00A64ADC"/>
    <w:rsid w:val="00A67F5B"/>
    <w:rsid w:val="00A70ECB"/>
    <w:rsid w:val="00A737CD"/>
    <w:rsid w:val="00A8084F"/>
    <w:rsid w:val="00A83FFE"/>
    <w:rsid w:val="00A864F9"/>
    <w:rsid w:val="00A8663D"/>
    <w:rsid w:val="00A95A3C"/>
    <w:rsid w:val="00A95E66"/>
    <w:rsid w:val="00AA442B"/>
    <w:rsid w:val="00AA6D04"/>
    <w:rsid w:val="00AA707B"/>
    <w:rsid w:val="00AB177F"/>
    <w:rsid w:val="00AB31E7"/>
    <w:rsid w:val="00AB3864"/>
    <w:rsid w:val="00AB7B09"/>
    <w:rsid w:val="00AC0DBD"/>
    <w:rsid w:val="00AD0EDA"/>
    <w:rsid w:val="00AD3670"/>
    <w:rsid w:val="00AE3C7C"/>
    <w:rsid w:val="00AF16AE"/>
    <w:rsid w:val="00AF1718"/>
    <w:rsid w:val="00AF2440"/>
    <w:rsid w:val="00AF798A"/>
    <w:rsid w:val="00B004FA"/>
    <w:rsid w:val="00B04EDB"/>
    <w:rsid w:val="00B06E86"/>
    <w:rsid w:val="00B11CB1"/>
    <w:rsid w:val="00B13745"/>
    <w:rsid w:val="00B14FF5"/>
    <w:rsid w:val="00B159A0"/>
    <w:rsid w:val="00B2165B"/>
    <w:rsid w:val="00B22E22"/>
    <w:rsid w:val="00B26B8B"/>
    <w:rsid w:val="00B333CE"/>
    <w:rsid w:val="00B33532"/>
    <w:rsid w:val="00B36A7A"/>
    <w:rsid w:val="00B36C98"/>
    <w:rsid w:val="00B41E72"/>
    <w:rsid w:val="00B44CCE"/>
    <w:rsid w:val="00B525CB"/>
    <w:rsid w:val="00B53388"/>
    <w:rsid w:val="00B56418"/>
    <w:rsid w:val="00B56841"/>
    <w:rsid w:val="00B61BDD"/>
    <w:rsid w:val="00B61FD8"/>
    <w:rsid w:val="00B6341B"/>
    <w:rsid w:val="00B63CB2"/>
    <w:rsid w:val="00B65ABA"/>
    <w:rsid w:val="00B71D4E"/>
    <w:rsid w:val="00B74072"/>
    <w:rsid w:val="00B77832"/>
    <w:rsid w:val="00B851DC"/>
    <w:rsid w:val="00B93513"/>
    <w:rsid w:val="00B96762"/>
    <w:rsid w:val="00BA62F5"/>
    <w:rsid w:val="00BA71CD"/>
    <w:rsid w:val="00BA753C"/>
    <w:rsid w:val="00BB2C01"/>
    <w:rsid w:val="00BB59B6"/>
    <w:rsid w:val="00BC1B41"/>
    <w:rsid w:val="00BD0D6C"/>
    <w:rsid w:val="00BD1EF0"/>
    <w:rsid w:val="00BD422F"/>
    <w:rsid w:val="00BD5D8F"/>
    <w:rsid w:val="00BD78FE"/>
    <w:rsid w:val="00BE0EDB"/>
    <w:rsid w:val="00BE2C3A"/>
    <w:rsid w:val="00BF1906"/>
    <w:rsid w:val="00BF46F6"/>
    <w:rsid w:val="00BF5880"/>
    <w:rsid w:val="00BF624E"/>
    <w:rsid w:val="00C03DC6"/>
    <w:rsid w:val="00C07C55"/>
    <w:rsid w:val="00C1017B"/>
    <w:rsid w:val="00C14C9E"/>
    <w:rsid w:val="00C15E76"/>
    <w:rsid w:val="00C17D54"/>
    <w:rsid w:val="00C21E1B"/>
    <w:rsid w:val="00C22B69"/>
    <w:rsid w:val="00C30E82"/>
    <w:rsid w:val="00C343AD"/>
    <w:rsid w:val="00C34B22"/>
    <w:rsid w:val="00C35F7C"/>
    <w:rsid w:val="00C371A6"/>
    <w:rsid w:val="00C5124A"/>
    <w:rsid w:val="00C5128E"/>
    <w:rsid w:val="00C523AA"/>
    <w:rsid w:val="00C528E6"/>
    <w:rsid w:val="00C65DCF"/>
    <w:rsid w:val="00C67FE4"/>
    <w:rsid w:val="00C7160E"/>
    <w:rsid w:val="00C720DD"/>
    <w:rsid w:val="00C762CE"/>
    <w:rsid w:val="00C82EB9"/>
    <w:rsid w:val="00C913C9"/>
    <w:rsid w:val="00C914CD"/>
    <w:rsid w:val="00C93A8A"/>
    <w:rsid w:val="00C93EB1"/>
    <w:rsid w:val="00C968EC"/>
    <w:rsid w:val="00CA3F2F"/>
    <w:rsid w:val="00CA6816"/>
    <w:rsid w:val="00CA7FEF"/>
    <w:rsid w:val="00CB345A"/>
    <w:rsid w:val="00CC00CD"/>
    <w:rsid w:val="00CC1660"/>
    <w:rsid w:val="00CC3E1F"/>
    <w:rsid w:val="00CC7BB6"/>
    <w:rsid w:val="00CC7FF4"/>
    <w:rsid w:val="00CD3ACB"/>
    <w:rsid w:val="00CD5C88"/>
    <w:rsid w:val="00CE14B9"/>
    <w:rsid w:val="00CE1F6E"/>
    <w:rsid w:val="00CE20F7"/>
    <w:rsid w:val="00CE3521"/>
    <w:rsid w:val="00CE352A"/>
    <w:rsid w:val="00CE675D"/>
    <w:rsid w:val="00CF10C1"/>
    <w:rsid w:val="00CF2489"/>
    <w:rsid w:val="00CF2BDE"/>
    <w:rsid w:val="00CF2E86"/>
    <w:rsid w:val="00CF415E"/>
    <w:rsid w:val="00D10643"/>
    <w:rsid w:val="00D10740"/>
    <w:rsid w:val="00D10E69"/>
    <w:rsid w:val="00D117C5"/>
    <w:rsid w:val="00D12156"/>
    <w:rsid w:val="00D1627F"/>
    <w:rsid w:val="00D1676F"/>
    <w:rsid w:val="00D16E39"/>
    <w:rsid w:val="00D2531F"/>
    <w:rsid w:val="00D25BEF"/>
    <w:rsid w:val="00D25C34"/>
    <w:rsid w:val="00D309A0"/>
    <w:rsid w:val="00D35139"/>
    <w:rsid w:val="00D41357"/>
    <w:rsid w:val="00D433FD"/>
    <w:rsid w:val="00D44475"/>
    <w:rsid w:val="00D51773"/>
    <w:rsid w:val="00D52F10"/>
    <w:rsid w:val="00D5523A"/>
    <w:rsid w:val="00D5689F"/>
    <w:rsid w:val="00D6212C"/>
    <w:rsid w:val="00D72E9D"/>
    <w:rsid w:val="00D73C64"/>
    <w:rsid w:val="00D73D97"/>
    <w:rsid w:val="00D74CDA"/>
    <w:rsid w:val="00D77683"/>
    <w:rsid w:val="00D802C1"/>
    <w:rsid w:val="00D81907"/>
    <w:rsid w:val="00D82CE5"/>
    <w:rsid w:val="00D832AF"/>
    <w:rsid w:val="00D84EE3"/>
    <w:rsid w:val="00D92430"/>
    <w:rsid w:val="00DA3351"/>
    <w:rsid w:val="00DA4E96"/>
    <w:rsid w:val="00DA5AB1"/>
    <w:rsid w:val="00DA740E"/>
    <w:rsid w:val="00DB36AB"/>
    <w:rsid w:val="00DB614C"/>
    <w:rsid w:val="00DC0452"/>
    <w:rsid w:val="00DC5121"/>
    <w:rsid w:val="00DC62E5"/>
    <w:rsid w:val="00DD07F7"/>
    <w:rsid w:val="00DD1B27"/>
    <w:rsid w:val="00DD20BA"/>
    <w:rsid w:val="00DD30CE"/>
    <w:rsid w:val="00DD735D"/>
    <w:rsid w:val="00DE3119"/>
    <w:rsid w:val="00DE3CA6"/>
    <w:rsid w:val="00DE51C3"/>
    <w:rsid w:val="00DF02DC"/>
    <w:rsid w:val="00DF0F8E"/>
    <w:rsid w:val="00DF236B"/>
    <w:rsid w:val="00DF248A"/>
    <w:rsid w:val="00DF2D13"/>
    <w:rsid w:val="00DF6F90"/>
    <w:rsid w:val="00E13AB8"/>
    <w:rsid w:val="00E13F01"/>
    <w:rsid w:val="00E144B9"/>
    <w:rsid w:val="00E16729"/>
    <w:rsid w:val="00E27C85"/>
    <w:rsid w:val="00E31B50"/>
    <w:rsid w:val="00E33B62"/>
    <w:rsid w:val="00E357DC"/>
    <w:rsid w:val="00E429C9"/>
    <w:rsid w:val="00E44E00"/>
    <w:rsid w:val="00E4609B"/>
    <w:rsid w:val="00E47159"/>
    <w:rsid w:val="00E522C5"/>
    <w:rsid w:val="00E53964"/>
    <w:rsid w:val="00E5678C"/>
    <w:rsid w:val="00E57323"/>
    <w:rsid w:val="00E57B05"/>
    <w:rsid w:val="00E602F2"/>
    <w:rsid w:val="00E63AED"/>
    <w:rsid w:val="00E65F49"/>
    <w:rsid w:val="00E6610F"/>
    <w:rsid w:val="00E67ED7"/>
    <w:rsid w:val="00E70041"/>
    <w:rsid w:val="00E71381"/>
    <w:rsid w:val="00E7138C"/>
    <w:rsid w:val="00E7285F"/>
    <w:rsid w:val="00E7595D"/>
    <w:rsid w:val="00E80C82"/>
    <w:rsid w:val="00E817E1"/>
    <w:rsid w:val="00E90F4B"/>
    <w:rsid w:val="00E91076"/>
    <w:rsid w:val="00E93373"/>
    <w:rsid w:val="00EA4E7D"/>
    <w:rsid w:val="00EA76D7"/>
    <w:rsid w:val="00EA7CF6"/>
    <w:rsid w:val="00ED7FE6"/>
    <w:rsid w:val="00EE4614"/>
    <w:rsid w:val="00EF2D2A"/>
    <w:rsid w:val="00EF7D7B"/>
    <w:rsid w:val="00EF7DB4"/>
    <w:rsid w:val="00F01D75"/>
    <w:rsid w:val="00F03745"/>
    <w:rsid w:val="00F05293"/>
    <w:rsid w:val="00F05E4F"/>
    <w:rsid w:val="00F13A3B"/>
    <w:rsid w:val="00F13F00"/>
    <w:rsid w:val="00F22044"/>
    <w:rsid w:val="00F36A58"/>
    <w:rsid w:val="00F4285A"/>
    <w:rsid w:val="00F444A4"/>
    <w:rsid w:val="00F45FE4"/>
    <w:rsid w:val="00F57426"/>
    <w:rsid w:val="00F617C8"/>
    <w:rsid w:val="00F63E8C"/>
    <w:rsid w:val="00F64252"/>
    <w:rsid w:val="00F70C89"/>
    <w:rsid w:val="00F7402A"/>
    <w:rsid w:val="00F74D1D"/>
    <w:rsid w:val="00F75297"/>
    <w:rsid w:val="00F77524"/>
    <w:rsid w:val="00F8291A"/>
    <w:rsid w:val="00F82CE2"/>
    <w:rsid w:val="00F83681"/>
    <w:rsid w:val="00F8436F"/>
    <w:rsid w:val="00F84899"/>
    <w:rsid w:val="00F859F0"/>
    <w:rsid w:val="00F9050C"/>
    <w:rsid w:val="00F974BA"/>
    <w:rsid w:val="00FA0C11"/>
    <w:rsid w:val="00FA7689"/>
    <w:rsid w:val="00FA7D4C"/>
    <w:rsid w:val="00FA7D6F"/>
    <w:rsid w:val="00FB0241"/>
    <w:rsid w:val="00FB0FEA"/>
    <w:rsid w:val="00FB289E"/>
    <w:rsid w:val="00FB46F8"/>
    <w:rsid w:val="00FC180A"/>
    <w:rsid w:val="00FE141E"/>
    <w:rsid w:val="00FE159E"/>
    <w:rsid w:val="00FE2316"/>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26148117">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financiera.gov.co/publicacion/608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5B760A-3B73-4E62-8E81-B5335C3674AF}">
  <ds:schemaRefs>
    <ds:schemaRef ds:uri="http://schemas.openxmlformats.org/officeDocument/2006/bibliography"/>
  </ds:schemaRefs>
</ds:datastoreItem>
</file>

<file path=customXml/itemProps3.xml><?xml version="1.0" encoding="utf-8"?>
<ds:datastoreItem xmlns:ds="http://schemas.openxmlformats.org/officeDocument/2006/customXml" ds:itemID="{FF94822A-551B-42BD-A6CE-0A0EC0761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8E3A6-77E7-4328-9AEA-266054033C2E}">
  <ds:schemaRefs>
    <ds:schemaRef ds:uri="a6cb9e4b-f1d1-4245-83ec-6cad768d538a"/>
    <ds:schemaRef ds:uri="http://purl.org/dc/dcmitype/"/>
    <ds:schemaRef ds:uri="9d85dbaf-23eb-4e57-a637-93dcacc8b1a1"/>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4495</Words>
  <Characters>24724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dcterms:created xsi:type="dcterms:W3CDTF">2021-08-30T17:15:00Z</dcterms:created>
  <dcterms:modified xsi:type="dcterms:W3CDTF">2021-08-30T17:15:00Z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