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38DED1F5" w:rsidR="00DD5B04" w:rsidRDefault="00202924" w:rsidP="006F4EE5">
      <w:pPr>
        <w:jc w:val="right"/>
        <w:rPr>
          <w:rFonts w:ascii="Arial" w:hAnsi="Arial" w:cs="Arial"/>
          <w:bCs/>
          <w:color w:val="000000" w:themeColor="text1"/>
          <w:sz w:val="16"/>
          <w:szCs w:val="16"/>
          <w:lang w:eastAsia="es-ES"/>
        </w:rPr>
      </w:pPr>
      <w:bookmarkStart w:id="0" w:name="_Hlk28946138"/>
      <w:bookmarkStart w:id="1" w:name="_Hlk29548183"/>
      <w:bookmarkStart w:id="2" w:name="_Hlk53205539"/>
      <w:r w:rsidRPr="006C15D5">
        <w:rPr>
          <w:rFonts w:ascii="Arial" w:hAnsi="Arial" w:cs="Arial"/>
          <w:bCs/>
          <w:color w:val="000000" w:themeColor="text1"/>
          <w:sz w:val="16"/>
          <w:szCs w:val="16"/>
          <w:lang w:eastAsia="es-ES"/>
        </w:rPr>
        <w:t>CCE-DES-FM-17</w:t>
      </w:r>
    </w:p>
    <w:p w14:paraId="572975C0" w14:textId="77777777" w:rsidR="00417F7A" w:rsidRPr="00781A1B" w:rsidRDefault="00417F7A" w:rsidP="006F4EE5">
      <w:pPr>
        <w:jc w:val="right"/>
        <w:rPr>
          <w:rFonts w:ascii="Arial" w:eastAsia="Calibri" w:hAnsi="Arial" w:cs="Arial"/>
          <w:b/>
          <w:color w:val="000000" w:themeColor="text1"/>
          <w:sz w:val="20"/>
          <w:szCs w:val="20"/>
          <w:lang w:val="es-ES_tradnl"/>
        </w:rPr>
      </w:pPr>
    </w:p>
    <w:p w14:paraId="2BB0B513" w14:textId="690904C6" w:rsidR="00967445" w:rsidRDefault="00967445" w:rsidP="00967445">
      <w:pPr>
        <w:jc w:val="both"/>
        <w:rPr>
          <w:rFonts w:ascii="Arial" w:eastAsia="Calibri" w:hAnsi="Arial" w:cs="Arial"/>
          <w:b/>
          <w:sz w:val="22"/>
        </w:rPr>
      </w:pPr>
      <w:bookmarkStart w:id="3" w:name="_Hlk53205460"/>
      <w:bookmarkEnd w:id="0"/>
      <w:bookmarkEnd w:id="1"/>
      <w:r w:rsidRPr="00DC3720">
        <w:rPr>
          <w:rFonts w:ascii="Arial" w:eastAsia="Calibri" w:hAnsi="Arial" w:cs="Arial"/>
          <w:b/>
          <w:sz w:val="22"/>
        </w:rPr>
        <w:t>DOCUMENTOS TIPO –</w:t>
      </w:r>
      <w:r>
        <w:rPr>
          <w:rFonts w:ascii="Arial" w:eastAsia="Calibri" w:hAnsi="Arial" w:cs="Arial"/>
          <w:b/>
          <w:sz w:val="22"/>
        </w:rPr>
        <w:t xml:space="preserve"> Agua potable y saneamiento básico – obra pública por licitación</w:t>
      </w:r>
      <w:r w:rsidR="003D1734">
        <w:rPr>
          <w:rFonts w:ascii="Arial" w:eastAsia="Calibri" w:hAnsi="Arial" w:cs="Arial"/>
          <w:b/>
          <w:sz w:val="22"/>
        </w:rPr>
        <w:t xml:space="preserve"> </w:t>
      </w:r>
    </w:p>
    <w:p w14:paraId="351F6728" w14:textId="77777777" w:rsidR="00967445" w:rsidRDefault="00967445" w:rsidP="00967445">
      <w:pPr>
        <w:jc w:val="both"/>
        <w:rPr>
          <w:rFonts w:ascii="Arial" w:eastAsia="Calibri" w:hAnsi="Arial" w:cs="Arial"/>
          <w:b/>
          <w:sz w:val="22"/>
        </w:rPr>
      </w:pPr>
    </w:p>
    <w:p w14:paraId="10C5276D" w14:textId="4C1FA6A7" w:rsidR="00967445" w:rsidRPr="007803E8" w:rsidRDefault="005076E2" w:rsidP="005076E2">
      <w:pPr>
        <w:jc w:val="both"/>
        <w:rPr>
          <w:rFonts w:ascii="Arial" w:eastAsia="Calibri" w:hAnsi="Arial" w:cs="Arial"/>
          <w:bCs/>
          <w:color w:val="000000" w:themeColor="text1"/>
          <w:sz w:val="20"/>
          <w:szCs w:val="20"/>
          <w:lang w:val="es-ES"/>
        </w:rPr>
      </w:pPr>
      <w:r w:rsidRPr="005076E2">
        <w:rPr>
          <w:rFonts w:ascii="Arial" w:eastAsia="Calibri" w:hAnsi="Arial" w:cs="Arial"/>
          <w:bCs/>
          <w:color w:val="000000" w:themeColor="text1"/>
          <w:sz w:val="20"/>
          <w:szCs w:val="20"/>
          <w:lang w:val="es-ES"/>
        </w:rPr>
        <w:t>Los documentos tipo son instrumentos que buscan desarrollar medidas de fortalecimiento, eficiencia y transparencia para realizar y aprovechar las grandes inversiones en materia de infraestructura de agua potable y saneamiento básico que se realizan o se realizarán en el país. En este sentido, estos documentos tipo tienen por objetivo una tipología contractual específica: la obra pública, concretamente, para los proyectos de infraestructura de agua potable y saneamiento básico que se celebren bajo la modalidad de licitación pública. Para tales efectos, entiéndase por contrato de obra pública aquellos que celebren las entidades estatales para la construcción, mantenimiento, instalación y, en general, para la realización de cualquier otro trabajo material sobre bienes inmuebles, cualquiera que sea la modalidad de ejecución</w:t>
      </w:r>
      <w:r w:rsidR="00967445">
        <w:rPr>
          <w:rFonts w:ascii="Arial" w:eastAsia="Calibri" w:hAnsi="Arial" w:cs="Arial"/>
          <w:bCs/>
          <w:color w:val="000000" w:themeColor="text1"/>
          <w:sz w:val="20"/>
          <w:szCs w:val="20"/>
          <w:lang w:val="es-ES"/>
        </w:rPr>
        <w:t xml:space="preserve">. […] </w:t>
      </w:r>
      <w:r w:rsidRPr="005076E2">
        <w:rPr>
          <w:rFonts w:ascii="Arial" w:eastAsia="Calibri" w:hAnsi="Arial" w:cs="Arial"/>
          <w:bCs/>
          <w:color w:val="000000" w:themeColor="text1"/>
          <w:sz w:val="20"/>
          <w:szCs w:val="20"/>
          <w:lang w:val="es-ES"/>
        </w:rPr>
        <w:t>según lo establece el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La implementación de estos documentos es obligatoria en los procedimientos de selección cuyo aviso de convocatoria se publique a partir del 11 de diciembre de 2020</w:t>
      </w:r>
      <w:r w:rsidR="00967445">
        <w:rPr>
          <w:rFonts w:ascii="Arial" w:eastAsia="Calibri" w:hAnsi="Arial" w:cs="Arial"/>
          <w:bCs/>
          <w:color w:val="000000" w:themeColor="text1"/>
          <w:sz w:val="20"/>
          <w:szCs w:val="20"/>
          <w:lang w:val="es-ES"/>
        </w:rPr>
        <w:t>.</w:t>
      </w:r>
    </w:p>
    <w:p w14:paraId="4D9C7B95" w14:textId="77777777" w:rsidR="00967445" w:rsidRDefault="00967445" w:rsidP="002D45B6">
      <w:pPr>
        <w:jc w:val="both"/>
        <w:rPr>
          <w:rFonts w:ascii="Arial" w:eastAsia="Calibri" w:hAnsi="Arial" w:cs="Arial"/>
          <w:b/>
          <w:bCs/>
          <w:sz w:val="22"/>
          <w:lang w:val="es-CO"/>
        </w:rPr>
      </w:pPr>
    </w:p>
    <w:p w14:paraId="555952FB" w14:textId="474BCF1E" w:rsidR="004251AA" w:rsidRPr="004251AA" w:rsidRDefault="004251AA" w:rsidP="004251AA">
      <w:pPr>
        <w:jc w:val="both"/>
        <w:rPr>
          <w:rFonts w:ascii="Arial" w:eastAsia="Calibri" w:hAnsi="Arial" w:cs="Arial"/>
          <w:b/>
          <w:sz w:val="22"/>
        </w:rPr>
      </w:pPr>
      <w:r w:rsidRPr="004251AA">
        <w:rPr>
          <w:rFonts w:ascii="Arial" w:eastAsia="Calibri" w:hAnsi="Arial" w:cs="Arial"/>
          <w:b/>
          <w:sz w:val="22"/>
        </w:rPr>
        <w:t xml:space="preserve">SUBSANABILIDAD – Regla – Requisitos habilitantes – </w:t>
      </w:r>
      <w:r>
        <w:rPr>
          <w:rFonts w:ascii="Arial" w:eastAsia="Calibri" w:hAnsi="Arial" w:cs="Arial"/>
          <w:b/>
          <w:sz w:val="22"/>
        </w:rPr>
        <w:t>Ley 1882 de 2018</w:t>
      </w:r>
    </w:p>
    <w:p w14:paraId="5ED15327" w14:textId="77777777" w:rsidR="004251AA" w:rsidRPr="004251AA" w:rsidRDefault="004251AA" w:rsidP="004251AA">
      <w:pPr>
        <w:jc w:val="both"/>
        <w:rPr>
          <w:rFonts w:ascii="Arial" w:eastAsia="Calibri" w:hAnsi="Arial" w:cs="Arial"/>
          <w:b/>
          <w:sz w:val="22"/>
        </w:rPr>
      </w:pPr>
    </w:p>
    <w:p w14:paraId="1F6FF58F" w14:textId="6C157018" w:rsidR="004251AA" w:rsidRPr="004251AA" w:rsidRDefault="005076E2" w:rsidP="005076E2">
      <w:pPr>
        <w:spacing w:after="120"/>
        <w:jc w:val="both"/>
        <w:rPr>
          <w:rFonts w:ascii="Arial" w:eastAsia="Calibri" w:hAnsi="Arial" w:cs="Arial"/>
          <w:bCs/>
          <w:color w:val="000000" w:themeColor="text1"/>
          <w:sz w:val="20"/>
          <w:szCs w:val="20"/>
          <w:lang w:val="es-ES"/>
        </w:rPr>
      </w:pPr>
      <w:r w:rsidRPr="005076E2">
        <w:rPr>
          <w:rFonts w:ascii="Arial" w:eastAsia="Calibri" w:hAnsi="Arial" w:cs="Arial"/>
          <w:bCs/>
          <w:color w:val="000000" w:themeColor="text1"/>
          <w:sz w:val="20"/>
          <w:szCs w:val="20"/>
          <w:lang w:val="es-ES"/>
        </w:rPr>
        <w:t>La regla de subsanabilidad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w:t>
      </w:r>
      <w:r w:rsidR="004251AA" w:rsidRPr="004251AA">
        <w:rPr>
          <w:rFonts w:ascii="Arial" w:eastAsia="Calibri" w:hAnsi="Arial" w:cs="Arial"/>
          <w:bCs/>
          <w:color w:val="000000" w:themeColor="text1"/>
          <w:sz w:val="20"/>
          <w:szCs w:val="20"/>
          <w:lang w:val="es-ES"/>
        </w:rPr>
        <w:t>.</w:t>
      </w:r>
    </w:p>
    <w:p w14:paraId="252C2221" w14:textId="54CCB1C0" w:rsidR="004251AA" w:rsidRPr="004251AA" w:rsidRDefault="004251AA" w:rsidP="004251AA">
      <w:pPr>
        <w:jc w:val="both"/>
        <w:rPr>
          <w:rFonts w:ascii="Arial" w:eastAsia="Calibri" w:hAnsi="Arial" w:cs="Arial"/>
          <w:bCs/>
          <w:color w:val="000000" w:themeColor="text1"/>
          <w:sz w:val="20"/>
          <w:szCs w:val="20"/>
          <w:lang w:val="es-ES"/>
        </w:rPr>
      </w:pPr>
      <w:r w:rsidRPr="004251AA">
        <w:rPr>
          <w:rFonts w:ascii="Arial" w:eastAsia="Calibri" w:hAnsi="Arial" w:cs="Arial"/>
          <w:bCs/>
          <w:color w:val="000000" w:themeColor="text1"/>
          <w:sz w:val="20"/>
          <w:szCs w:val="20"/>
          <w:lang w:val="es-ES"/>
        </w:rPr>
        <w:t xml:space="preserve">[…] Esta Subdirección se ha pronunciado en diversas oportunidades acerca del alcance de la regla de la subsanabilidad, contenida actualmente en el parágrafo 1 del artículo 5 de la Ley 1150 de 2007, modificado por el artículo 4 de la Ley 1882 de 2018. </w:t>
      </w:r>
      <w:r w:rsidR="005076E2" w:rsidRPr="005076E2">
        <w:rPr>
          <w:rFonts w:ascii="Arial" w:eastAsia="Calibri" w:hAnsi="Arial" w:cs="Arial"/>
          <w:bCs/>
          <w:color w:val="000000" w:themeColor="text1"/>
          <w:sz w:val="20"/>
          <w:szCs w:val="20"/>
          <w:lang w:val="es-ES"/>
        </w:rPr>
        <w:t>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2AE95B1E" w14:textId="77777777" w:rsidR="004251AA" w:rsidRDefault="004251AA" w:rsidP="002D45B6">
      <w:pPr>
        <w:jc w:val="both"/>
        <w:rPr>
          <w:rFonts w:ascii="Arial" w:eastAsia="Calibri" w:hAnsi="Arial" w:cs="Arial"/>
          <w:b/>
          <w:bCs/>
          <w:sz w:val="22"/>
          <w:lang w:val="es-CO"/>
        </w:rPr>
      </w:pPr>
    </w:p>
    <w:p w14:paraId="59B4316F" w14:textId="1A82E71F" w:rsidR="00356AF3" w:rsidRPr="00443D80" w:rsidRDefault="00356AF3" w:rsidP="002D45B6">
      <w:pPr>
        <w:jc w:val="both"/>
        <w:rPr>
          <w:rFonts w:ascii="Arial" w:eastAsia="Calibri" w:hAnsi="Arial" w:cs="Arial"/>
          <w:b/>
          <w:bCs/>
          <w:sz w:val="22"/>
          <w:lang w:val="es-CO"/>
        </w:rPr>
      </w:pPr>
      <w:r w:rsidRPr="27F111B0">
        <w:rPr>
          <w:rFonts w:ascii="Arial" w:eastAsia="Calibri" w:hAnsi="Arial" w:cs="Arial"/>
          <w:b/>
          <w:bCs/>
          <w:sz w:val="22"/>
          <w:lang w:val="es-CO"/>
        </w:rPr>
        <w:t>REGISTRO ÚNICO DE PROPONENTES – Firmeza – Acto administrativo – Inscripción</w:t>
      </w:r>
    </w:p>
    <w:p w14:paraId="70D95DB1" w14:textId="77777777" w:rsidR="00356AF3" w:rsidRPr="00443D80" w:rsidRDefault="00356AF3" w:rsidP="002D45B6">
      <w:pPr>
        <w:jc w:val="both"/>
        <w:rPr>
          <w:rFonts w:ascii="Arial" w:hAnsi="Arial" w:cs="Arial"/>
          <w:sz w:val="20"/>
          <w:szCs w:val="20"/>
          <w:lang w:val="es-CO"/>
        </w:rPr>
      </w:pPr>
    </w:p>
    <w:p w14:paraId="5DEC3E7E" w14:textId="17E42E24" w:rsidR="00356AF3" w:rsidRPr="00443D80" w:rsidRDefault="00356AF3" w:rsidP="002D45B6">
      <w:pPr>
        <w:spacing w:after="120"/>
        <w:jc w:val="both"/>
        <w:rPr>
          <w:rFonts w:ascii="Arial" w:eastAsia="Calibri" w:hAnsi="Arial" w:cs="Arial"/>
          <w:sz w:val="20"/>
          <w:szCs w:val="20"/>
          <w:lang w:val="es-CO"/>
        </w:rPr>
      </w:pPr>
      <w:r w:rsidRPr="00443D80">
        <w:rPr>
          <w:rFonts w:ascii="Arial" w:eastAsia="Calibri" w:hAnsi="Arial" w:cs="Arial"/>
          <w:sz w:val="20"/>
          <w:szCs w:val="20"/>
          <w:lang w:val="es-CO"/>
        </w:rPr>
        <w:t xml:space="preserve">[…] </w:t>
      </w:r>
      <w:r w:rsidR="005076E2" w:rsidRPr="005076E2">
        <w:rPr>
          <w:rFonts w:ascii="Arial" w:eastAsia="Calibri" w:hAnsi="Arial" w:cs="Arial"/>
          <w:sz w:val="20"/>
          <w:szCs w:val="20"/>
          <w:lang w:val="es-CO"/>
        </w:rPr>
        <w:t>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w:t>
      </w:r>
      <w:r w:rsidR="005076E2">
        <w:rPr>
          <w:rFonts w:ascii="Arial" w:eastAsia="Calibri" w:hAnsi="Arial" w:cs="Arial"/>
          <w:sz w:val="20"/>
          <w:szCs w:val="20"/>
          <w:lang w:val="es-CO"/>
        </w:rPr>
        <w:t>.</w:t>
      </w:r>
    </w:p>
    <w:p w14:paraId="4B2656E4" w14:textId="269B32DE" w:rsidR="00356AF3" w:rsidRPr="00443D80" w:rsidRDefault="00356AF3" w:rsidP="002D45B6">
      <w:pPr>
        <w:jc w:val="both"/>
        <w:rPr>
          <w:rFonts w:ascii="Arial" w:hAnsi="Arial" w:cs="Arial"/>
          <w:sz w:val="20"/>
          <w:szCs w:val="20"/>
          <w:lang w:val="es-CO"/>
        </w:rPr>
      </w:pPr>
      <w:r w:rsidRPr="00443D80">
        <w:rPr>
          <w:rFonts w:ascii="Arial" w:eastAsia="Calibri" w:hAnsi="Arial" w:cs="Arial"/>
          <w:sz w:val="20"/>
          <w:szCs w:val="20"/>
          <w:lang w:val="es-CO"/>
        </w:rPr>
        <w:t xml:space="preserve">Así </w:t>
      </w:r>
      <w:r w:rsidR="002519A5">
        <w:rPr>
          <w:rFonts w:ascii="Arial" w:eastAsia="Calibri" w:hAnsi="Arial" w:cs="Arial"/>
          <w:sz w:val="20"/>
          <w:szCs w:val="20"/>
          <w:lang w:val="es-CO"/>
        </w:rPr>
        <w:t>las cosas</w:t>
      </w:r>
      <w:r w:rsidRPr="00443D80">
        <w:rPr>
          <w:rFonts w:ascii="Arial" w:eastAsia="Calibri" w:hAnsi="Arial" w:cs="Arial"/>
          <w:sz w:val="20"/>
          <w:szCs w:val="20"/>
          <w:lang w:val="es-CO"/>
        </w:rPr>
        <w:t>, la firmeza del RUP es una condición de ejecutoriedad, para consolidar los efectos del acto administrativo de inscripción […]</w:t>
      </w:r>
    </w:p>
    <w:p w14:paraId="18E050FB" w14:textId="77777777" w:rsidR="00356AF3" w:rsidRPr="00443D80" w:rsidRDefault="00356AF3" w:rsidP="002D45B6">
      <w:pPr>
        <w:pStyle w:val="Prrafodelista"/>
        <w:ind w:left="0"/>
        <w:jc w:val="both"/>
        <w:rPr>
          <w:rFonts w:ascii="Arial" w:eastAsia="Calibri" w:hAnsi="Arial" w:cs="Arial"/>
          <w:sz w:val="20"/>
          <w:szCs w:val="20"/>
          <w:lang w:val="es-CO"/>
        </w:rPr>
      </w:pPr>
    </w:p>
    <w:p w14:paraId="708F7317" w14:textId="0F972FBC" w:rsidR="00356AF3" w:rsidRPr="00443D80" w:rsidRDefault="00356AF3" w:rsidP="002D45B6">
      <w:pPr>
        <w:jc w:val="both"/>
        <w:rPr>
          <w:rFonts w:ascii="Arial" w:eastAsia="Calibri" w:hAnsi="Arial" w:cs="Arial"/>
          <w:b/>
          <w:bCs/>
          <w:color w:val="000000" w:themeColor="text1"/>
          <w:sz w:val="22"/>
          <w:lang w:val="es-CO"/>
        </w:rPr>
      </w:pPr>
      <w:r w:rsidRPr="27F111B0">
        <w:rPr>
          <w:rFonts w:ascii="Arial" w:eastAsia="Calibri" w:hAnsi="Arial" w:cs="Arial"/>
          <w:b/>
          <w:bCs/>
          <w:sz w:val="22"/>
          <w:lang w:val="es-CO"/>
        </w:rPr>
        <w:lastRenderedPageBreak/>
        <w:t xml:space="preserve">REGISTRO ÚNICO DE PROPONENTES – Renovación – Firmeza – Información </w:t>
      </w:r>
      <w:r w:rsidRPr="27F111B0">
        <w:rPr>
          <w:rFonts w:ascii="Arial" w:eastAsia="Calibri" w:hAnsi="Arial" w:cs="Arial"/>
          <w:b/>
          <w:bCs/>
          <w:color w:val="000000" w:themeColor="text1"/>
          <w:sz w:val="22"/>
          <w:lang w:val="es-CO"/>
        </w:rPr>
        <w:t>– Evaluación</w:t>
      </w:r>
    </w:p>
    <w:p w14:paraId="4A3F2540" w14:textId="77777777" w:rsidR="00356AF3" w:rsidRPr="0067793C" w:rsidRDefault="00356AF3" w:rsidP="002D45B6">
      <w:pPr>
        <w:jc w:val="both"/>
        <w:rPr>
          <w:rFonts w:ascii="Arial" w:hAnsi="Arial" w:cs="Arial"/>
          <w:sz w:val="20"/>
          <w:szCs w:val="20"/>
          <w:lang w:val="es-CO"/>
        </w:rPr>
      </w:pPr>
    </w:p>
    <w:p w14:paraId="7384F7AA" w14:textId="7EADC55F" w:rsidR="00356AF3" w:rsidRDefault="005076E2" w:rsidP="002D45B6">
      <w:pPr>
        <w:jc w:val="both"/>
        <w:rPr>
          <w:rFonts w:ascii="Arial" w:eastAsia="Calibri" w:hAnsi="Arial" w:cs="Arial"/>
          <w:sz w:val="20"/>
          <w:szCs w:val="20"/>
          <w:lang w:val="es-CO"/>
        </w:rPr>
      </w:pPr>
      <w:r w:rsidRPr="005076E2">
        <w:rPr>
          <w:rFonts w:ascii="Arial" w:eastAsia="Calibri" w:hAnsi="Arial" w:cs="Arial"/>
          <w:sz w:val="20"/>
          <w:szCs w:val="20"/>
          <w:lang w:val="es-CO"/>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r w:rsidR="00356AF3" w:rsidRPr="0067793C">
        <w:rPr>
          <w:rFonts w:ascii="Arial" w:eastAsia="Calibri" w:hAnsi="Arial" w:cs="Arial"/>
          <w:sz w:val="20"/>
          <w:szCs w:val="20"/>
          <w:lang w:val="es-CO"/>
        </w:rPr>
        <w:t>.</w:t>
      </w:r>
    </w:p>
    <w:p w14:paraId="5CAD74AA" w14:textId="056188AF" w:rsidR="00356AF3" w:rsidRDefault="00356AF3" w:rsidP="002D45B6">
      <w:pPr>
        <w:jc w:val="both"/>
        <w:rPr>
          <w:rFonts w:ascii="Arial" w:eastAsia="Calibri" w:hAnsi="Arial" w:cs="Arial"/>
          <w:sz w:val="20"/>
          <w:szCs w:val="20"/>
          <w:lang w:val="es-CO"/>
        </w:rPr>
      </w:pPr>
    </w:p>
    <w:p w14:paraId="09C55CC5" w14:textId="1D47EFEE" w:rsidR="00356AF3" w:rsidRPr="00356AF3" w:rsidRDefault="00356AF3" w:rsidP="002D45B6">
      <w:pPr>
        <w:jc w:val="both"/>
        <w:rPr>
          <w:rFonts w:ascii="Arial" w:eastAsia="Calibri" w:hAnsi="Arial" w:cs="Arial"/>
          <w:b/>
          <w:bCs/>
          <w:sz w:val="22"/>
          <w:lang w:val="es-CO"/>
        </w:rPr>
      </w:pPr>
      <w:r w:rsidRPr="00356AF3">
        <w:rPr>
          <w:rFonts w:ascii="Arial" w:eastAsia="Calibri" w:hAnsi="Arial" w:cs="Arial"/>
          <w:b/>
          <w:bCs/>
          <w:sz w:val="22"/>
          <w:lang w:val="es-CO"/>
        </w:rPr>
        <w:t>DOCUMENTOS TIPO – Causal de rechazo – Literal G, del numeral 1.15 – Inscripción – Renovación – Firmeza</w:t>
      </w:r>
    </w:p>
    <w:p w14:paraId="311CE429" w14:textId="77777777" w:rsidR="00356AF3" w:rsidRPr="0067793C" w:rsidRDefault="00356AF3" w:rsidP="002D45B6">
      <w:pPr>
        <w:jc w:val="both"/>
        <w:rPr>
          <w:rFonts w:ascii="Arial" w:eastAsia="Calibri" w:hAnsi="Arial" w:cs="Arial"/>
          <w:sz w:val="20"/>
          <w:szCs w:val="20"/>
          <w:lang w:val="es-CO"/>
        </w:rPr>
      </w:pPr>
    </w:p>
    <w:p w14:paraId="13AA6B2C" w14:textId="21674051" w:rsidR="00356AF3" w:rsidRPr="00356AF3" w:rsidRDefault="00356AF3" w:rsidP="002D45B6">
      <w:pPr>
        <w:spacing w:after="120"/>
        <w:jc w:val="both"/>
        <w:rPr>
          <w:rFonts w:ascii="Arial" w:hAnsi="Arial" w:cs="Arial"/>
          <w:color w:val="000000" w:themeColor="text1"/>
          <w:sz w:val="20"/>
          <w:szCs w:val="20"/>
          <w:lang w:val="es-CO"/>
        </w:rPr>
      </w:pPr>
      <w:r w:rsidRPr="00356AF3">
        <w:rPr>
          <w:rFonts w:ascii="Arial" w:hAnsi="Arial" w:cs="Arial"/>
          <w:color w:val="000000" w:themeColor="text1"/>
          <w:sz w:val="20"/>
          <w:szCs w:val="20"/>
          <w:lang w:val="es-CO"/>
        </w:rPr>
        <w:t xml:space="preserve">Una vez analizado el marco jurídico respecto a la firmeza del RUP y los trámites de </w:t>
      </w:r>
      <w:r w:rsidRPr="00356AF3">
        <w:rPr>
          <w:rFonts w:ascii="Arial" w:hAnsi="Arial" w:cs="Arial"/>
          <w:i/>
          <w:iCs/>
          <w:color w:val="000000" w:themeColor="text1"/>
          <w:sz w:val="20"/>
          <w:szCs w:val="20"/>
          <w:lang w:val="es-CO"/>
        </w:rPr>
        <w:t xml:space="preserve">inscripción </w:t>
      </w:r>
      <w:r w:rsidRPr="00356AF3">
        <w:rPr>
          <w:rFonts w:ascii="Arial" w:hAnsi="Arial" w:cs="Arial"/>
          <w:color w:val="000000" w:themeColor="text1"/>
          <w:sz w:val="20"/>
          <w:szCs w:val="20"/>
          <w:lang w:val="es-CO"/>
        </w:rPr>
        <w:t xml:space="preserve">y </w:t>
      </w:r>
      <w:r w:rsidRPr="00356AF3">
        <w:rPr>
          <w:rFonts w:ascii="Arial" w:hAnsi="Arial" w:cs="Arial"/>
          <w:i/>
          <w:iCs/>
          <w:color w:val="000000" w:themeColor="text1"/>
          <w:sz w:val="20"/>
          <w:szCs w:val="20"/>
          <w:lang w:val="es-CO"/>
        </w:rPr>
        <w:t>renovación</w:t>
      </w:r>
      <w:r w:rsidRPr="00356AF3">
        <w:rPr>
          <w:rFonts w:ascii="Arial" w:hAnsi="Arial" w:cs="Arial"/>
          <w:color w:val="000000" w:themeColor="text1"/>
          <w:sz w:val="20"/>
          <w:szCs w:val="20"/>
          <w:lang w:val="es-CO"/>
        </w:rPr>
        <w:t xml:space="preserve"> del registro, es posible estudiar de manera contextualizada la causal de rechazo del literal G del numeral 1.15 […] «Que el Proponente no acredite la presentación de la información para </w:t>
      </w:r>
      <w:r w:rsidRPr="00356AF3">
        <w:rPr>
          <w:rFonts w:ascii="Arial" w:hAnsi="Arial" w:cs="Arial"/>
          <w:i/>
          <w:iCs/>
          <w:color w:val="000000" w:themeColor="text1"/>
          <w:sz w:val="20"/>
          <w:szCs w:val="20"/>
          <w:lang w:val="es-CO"/>
        </w:rPr>
        <w:t>renovar</w:t>
      </w:r>
      <w:r w:rsidRPr="00356AF3">
        <w:rPr>
          <w:rFonts w:ascii="Arial" w:hAnsi="Arial" w:cs="Arial"/>
          <w:color w:val="000000" w:themeColor="text1"/>
          <w:sz w:val="20"/>
          <w:szCs w:val="20"/>
          <w:lang w:val="es-CO"/>
        </w:rPr>
        <w:t xml:space="preserve"> el Registro Único de Proponentes (RUP) a más tardar el quinto día hábil del mes de abril de cada año»</w:t>
      </w:r>
    </w:p>
    <w:p w14:paraId="309C5921" w14:textId="6BE39206" w:rsidR="00356AF3" w:rsidRDefault="00356AF3" w:rsidP="005076E2">
      <w:pPr>
        <w:tabs>
          <w:tab w:val="left" w:pos="0"/>
        </w:tabs>
        <w:spacing w:after="120"/>
        <w:jc w:val="both"/>
        <w:rPr>
          <w:rFonts w:ascii="Arial" w:eastAsia="Calibri" w:hAnsi="Arial" w:cs="Arial"/>
          <w:color w:val="000000" w:themeColor="text1"/>
          <w:sz w:val="20"/>
          <w:szCs w:val="20"/>
          <w:lang w:val="es-CO"/>
        </w:rPr>
      </w:pPr>
      <w:r>
        <w:rPr>
          <w:rFonts w:ascii="Arial" w:hAnsi="Arial" w:cs="Arial"/>
          <w:color w:val="000000" w:themeColor="text1"/>
          <w:sz w:val="20"/>
          <w:szCs w:val="20"/>
          <w:lang w:val="es-CO"/>
        </w:rPr>
        <w:t xml:space="preserve">[…] </w:t>
      </w:r>
      <w:r w:rsidR="005076E2" w:rsidRPr="005076E2">
        <w:rPr>
          <w:rFonts w:ascii="Arial" w:hAnsi="Arial" w:cs="Arial"/>
          <w:color w:val="000000" w:themeColor="text1"/>
          <w:sz w:val="20"/>
          <w:szCs w:val="20"/>
          <w:lang w:val="es-CO"/>
        </w:rPr>
        <w:t xml:space="preserve">ello no quiere decir que la causal se extienda a los supuestos en los que el proponente realiza una nueva inscripción, 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nueva inscripción puede participar en los procedimientos de selección, incluidos los regidos por los documentos tipo. </w:t>
      </w:r>
      <w:r w:rsidRPr="00356AF3">
        <w:rPr>
          <w:rFonts w:ascii="Arial" w:hAnsi="Arial" w:cs="Arial"/>
          <w:color w:val="000000" w:themeColor="text1"/>
          <w:sz w:val="20"/>
          <w:szCs w:val="20"/>
          <w:lang w:val="es-CO"/>
        </w:rPr>
        <w:t>Lo anterior resulta coherente y más preciso con lo regulado en la causal de rechazo del literal «F» de los mismos documentos tipo, que establece: «</w:t>
      </w:r>
      <w:r w:rsidRPr="00356AF3">
        <w:rPr>
          <w:rFonts w:ascii="Arial" w:eastAsia="Arial" w:hAnsi="Arial" w:cs="Arial"/>
          <w:color w:val="000000" w:themeColor="text1"/>
          <w:sz w:val="20"/>
          <w:szCs w:val="20"/>
          <w:lang w:eastAsia="es-CO"/>
        </w:rPr>
        <w:t xml:space="preserve">Que la </w:t>
      </w:r>
      <w:r w:rsidRPr="00356AF3">
        <w:rPr>
          <w:rFonts w:ascii="Arial" w:eastAsia="Arial" w:hAnsi="Arial" w:cs="Arial"/>
          <w:i/>
          <w:color w:val="000000" w:themeColor="text1"/>
          <w:sz w:val="20"/>
          <w:szCs w:val="20"/>
          <w:lang w:eastAsia="es-CO"/>
        </w:rPr>
        <w:t>inscripción</w:t>
      </w:r>
      <w:r w:rsidRPr="00356AF3">
        <w:rPr>
          <w:rFonts w:ascii="Arial" w:eastAsia="Arial" w:hAnsi="Arial" w:cs="Arial"/>
          <w:color w:val="000000" w:themeColor="text1"/>
          <w:sz w:val="20"/>
          <w:szCs w:val="20"/>
          <w:lang w:eastAsia="es-CO"/>
        </w:rPr>
        <w:t xml:space="preserve"> en el Registro Único de Proponentes (RUP</w:t>
      </w:r>
      <w:r w:rsidRPr="00356AF3">
        <w:rPr>
          <w:rFonts w:ascii="Arial" w:eastAsia="Arial,Calibri" w:hAnsi="Arial" w:cs="Arial"/>
          <w:color w:val="000000" w:themeColor="text1"/>
          <w:sz w:val="20"/>
          <w:szCs w:val="20"/>
          <w:lang w:eastAsia="es-CO"/>
        </w:rPr>
        <w:t>)</w:t>
      </w:r>
      <w:r w:rsidRPr="00356AF3">
        <w:rPr>
          <w:rFonts w:ascii="Arial" w:eastAsia="Arial" w:hAnsi="Arial" w:cs="Arial"/>
          <w:color w:val="000000" w:themeColor="text1"/>
          <w:sz w:val="20"/>
          <w:szCs w:val="20"/>
          <w:lang w:eastAsia="es-CO"/>
        </w:rPr>
        <w:t xml:space="preserve"> que realice el Proponente por primera vez </w:t>
      </w:r>
      <w:r w:rsidRPr="00356AF3">
        <w:rPr>
          <w:rFonts w:ascii="Arial" w:eastAsia="Arial" w:hAnsi="Arial" w:cs="Arial"/>
          <w:b/>
          <w:bCs/>
          <w:color w:val="000000" w:themeColor="text1"/>
          <w:sz w:val="20"/>
          <w:szCs w:val="20"/>
          <w:lang w:eastAsia="es-CO"/>
        </w:rPr>
        <w:t>o cuando han cesado los efectos y debe volver a inscribirse, no esté en firme en la fecha prevista para el cierre del Proceso de Contratación</w:t>
      </w:r>
      <w:r w:rsidRPr="00356AF3">
        <w:rPr>
          <w:rFonts w:ascii="Arial" w:eastAsia="Arial" w:hAnsi="Arial" w:cs="Arial"/>
          <w:color w:val="000000" w:themeColor="text1"/>
          <w:sz w:val="20"/>
          <w:szCs w:val="20"/>
          <w:lang w:eastAsia="es-CO"/>
        </w:rPr>
        <w:t xml:space="preserve">» (negrilla fuera del original). En efecto, como se deriva de la pregunta de la peticionaria, el supuesto que advierte en los documentos tipo debe analizarse de conformidad con esta causal de rechazo, que regula de forma directa dicho evento. 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356AF3">
        <w:rPr>
          <w:rFonts w:ascii="Arial" w:eastAsia="Calibri" w:hAnsi="Arial" w:cs="Arial"/>
          <w:color w:val="000000" w:themeColor="text1"/>
          <w:sz w:val="20"/>
          <w:szCs w:val="20"/>
          <w:lang w:val="es-CO"/>
        </w:rPr>
        <w:t>«Durante el término otorgado para subsanar las ofertas, los proponentes no podrán acreditar circunstancias ocurridas con posterioridad al cierre del proceso»</w:t>
      </w:r>
      <w:r w:rsidR="00BB307F">
        <w:rPr>
          <w:rFonts w:ascii="Arial" w:eastAsia="Calibri" w:hAnsi="Arial" w:cs="Arial"/>
          <w:color w:val="000000" w:themeColor="text1"/>
          <w:sz w:val="20"/>
          <w:szCs w:val="20"/>
          <w:lang w:val="es-CO"/>
        </w:rPr>
        <w:t>.</w:t>
      </w:r>
    </w:p>
    <w:p w14:paraId="3AAAB973" w14:textId="77777777" w:rsidR="00BB307F" w:rsidRPr="00356AF3" w:rsidRDefault="00BB307F" w:rsidP="002D45B6">
      <w:pPr>
        <w:jc w:val="both"/>
        <w:rPr>
          <w:rFonts w:ascii="Arial" w:hAnsi="Arial" w:cs="Arial"/>
          <w:color w:val="000000" w:themeColor="text1"/>
          <w:sz w:val="20"/>
          <w:szCs w:val="20"/>
          <w:lang w:val="es-CO"/>
        </w:rPr>
      </w:pPr>
    </w:p>
    <w:p w14:paraId="2044CC45" w14:textId="77777777" w:rsidR="002D45B6" w:rsidRDefault="002D45B6">
      <w:pPr>
        <w:spacing w:after="200" w:line="276" w:lineRule="auto"/>
        <w:rPr>
          <w:rFonts w:ascii="Arial" w:hAnsi="Arial" w:cs="Arial"/>
          <w:color w:val="000000" w:themeColor="text1"/>
          <w:sz w:val="22"/>
        </w:rPr>
      </w:pPr>
    </w:p>
    <w:p w14:paraId="23810187" w14:textId="77777777" w:rsidR="00590A19" w:rsidRDefault="00590A19">
      <w:pPr>
        <w:spacing w:after="200" w:line="276" w:lineRule="auto"/>
        <w:rPr>
          <w:rFonts w:ascii="Arial" w:hAnsi="Arial" w:cs="Arial"/>
          <w:color w:val="000000" w:themeColor="text1"/>
          <w:sz w:val="22"/>
        </w:rPr>
      </w:pPr>
      <w:r>
        <w:rPr>
          <w:rFonts w:ascii="Arial" w:hAnsi="Arial" w:cs="Arial"/>
          <w:color w:val="000000" w:themeColor="text1"/>
          <w:sz w:val="22"/>
        </w:rPr>
        <w:br w:type="page"/>
      </w:r>
    </w:p>
    <w:p w14:paraId="6AD7DB31" w14:textId="59785678" w:rsidR="00DB789A" w:rsidRDefault="00301302" w:rsidP="00301302">
      <w:pPr>
        <w:jc w:val="right"/>
        <w:rPr>
          <w:rFonts w:ascii="Arial" w:hAnsi="Arial" w:cs="Arial"/>
          <w:b/>
          <w:color w:val="000000" w:themeColor="text1"/>
          <w:sz w:val="22"/>
        </w:rPr>
      </w:pPr>
      <w:r w:rsidRPr="00301302">
        <w:rPr>
          <w:rFonts w:ascii="Arial" w:hAnsi="Arial" w:cs="Arial"/>
          <w:b/>
          <w:color w:val="000000" w:themeColor="text1"/>
          <w:sz w:val="22"/>
        </w:rPr>
        <w:lastRenderedPageBreak/>
        <w:drawing>
          <wp:inline distT="0" distB="0" distL="0" distR="0" wp14:anchorId="789A1FE8" wp14:editId="4BC6F56D">
            <wp:extent cx="1447800" cy="34290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1447800" cy="342900"/>
                    </a:xfrm>
                    <a:prstGeom prst="rect">
                      <a:avLst/>
                    </a:prstGeom>
                  </pic:spPr>
                </pic:pic>
              </a:graphicData>
            </a:graphic>
          </wp:inline>
        </w:drawing>
      </w:r>
    </w:p>
    <w:p w14:paraId="44C7DD95" w14:textId="4EC78D7F" w:rsidR="00301302" w:rsidRDefault="00301302" w:rsidP="00301302">
      <w:pPr>
        <w:jc w:val="both"/>
        <w:rPr>
          <w:rFonts w:ascii="Arial" w:hAnsi="Arial" w:cs="Arial"/>
          <w:b/>
          <w:color w:val="000000" w:themeColor="text1"/>
          <w:sz w:val="22"/>
        </w:rPr>
      </w:pPr>
      <w:r>
        <w:rPr>
          <w:rFonts w:ascii="0åY¡˛" w:hAnsi="0åY¡˛" w:cs="0åY¡˛"/>
          <w:color w:val="4E4D4D"/>
          <w:sz w:val="22"/>
          <w:lang w:val="es-ES_tradnl"/>
        </w:rPr>
        <w:t>Bogot</w:t>
      </w:r>
      <w:r>
        <w:rPr>
          <w:rFonts w:ascii="0åY¡˛" w:hAnsi="0åY¡˛" w:cs="0åY¡˛"/>
          <w:color w:val="4E4D4D"/>
          <w:sz w:val="22"/>
          <w:lang w:val="es-ES_tradnl"/>
        </w:rPr>
        <w:t>á</w:t>
      </w:r>
      <w:r>
        <w:rPr>
          <w:rFonts w:ascii="0åY¡˛" w:hAnsi="0åY¡˛" w:cs="0åY¡˛"/>
          <w:color w:val="4E4D4D"/>
          <w:sz w:val="22"/>
          <w:lang w:val="es-ES_tradnl"/>
        </w:rPr>
        <w:t>, 08 Julio 2021</w:t>
      </w:r>
    </w:p>
    <w:p w14:paraId="6C10C909" w14:textId="77777777" w:rsidR="00301302" w:rsidRPr="0083487C" w:rsidRDefault="00301302" w:rsidP="00301302">
      <w:pPr>
        <w:jc w:val="both"/>
        <w:rPr>
          <w:rFonts w:ascii="Arial" w:hAnsi="Arial" w:cs="Arial"/>
          <w:b/>
          <w:color w:val="000000" w:themeColor="text1"/>
          <w:sz w:val="22"/>
        </w:rPr>
      </w:pPr>
    </w:p>
    <w:p w14:paraId="74A475A6" w14:textId="2E96D17A" w:rsidR="00DD5B04" w:rsidRPr="00781A1B" w:rsidRDefault="00DD5B04" w:rsidP="00751FFB">
      <w:pPr>
        <w:tabs>
          <w:tab w:val="left" w:pos="1535"/>
        </w:tabs>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Señor</w:t>
      </w:r>
    </w:p>
    <w:p w14:paraId="6011130B" w14:textId="51ADA4C0" w:rsidR="00AE1990" w:rsidRPr="00781A1B" w:rsidRDefault="004764A6"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Rodrigo Paul Jiménez Martínez </w:t>
      </w:r>
    </w:p>
    <w:p w14:paraId="03294061" w14:textId="603E61D4" w:rsidR="00DD5B04" w:rsidRDefault="004764A6" w:rsidP="00DF76A2">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Riohacha, La Guajira</w:t>
      </w:r>
    </w:p>
    <w:p w14:paraId="1C6BD50A" w14:textId="77777777" w:rsidR="0083487C" w:rsidRPr="00781A1B" w:rsidRDefault="0083487C" w:rsidP="00DF76A2">
      <w:pPr>
        <w:jc w:val="both"/>
        <w:rPr>
          <w:rFonts w:ascii="Arial" w:eastAsia="Calibri" w:hAnsi="Arial" w:cs="Arial"/>
          <w:color w:val="000000" w:themeColor="text1"/>
          <w:sz w:val="22"/>
          <w:lang w:val="es-ES_tradnl"/>
        </w:rPr>
      </w:pPr>
    </w:p>
    <w:p w14:paraId="60978A0D" w14:textId="1E8170C7" w:rsidR="00DD5B04" w:rsidRDefault="00DD5B04" w:rsidP="002A1A58">
      <w:pPr>
        <w:jc w:val="center"/>
        <w:rPr>
          <w:rFonts w:ascii="Arial" w:eastAsia="Calibri" w:hAnsi="Arial" w:cs="Arial"/>
          <w:b/>
          <w:bCs/>
          <w:color w:val="000000" w:themeColor="text1"/>
          <w:sz w:val="22"/>
          <w:lang w:val="es-ES_tradnl"/>
        </w:rPr>
      </w:pPr>
      <w:r w:rsidRPr="00781A1B">
        <w:rPr>
          <w:rFonts w:ascii="Arial" w:eastAsia="Calibri" w:hAnsi="Arial" w:cs="Arial"/>
          <w:b/>
          <w:bCs/>
          <w:color w:val="000000" w:themeColor="text1"/>
          <w:sz w:val="22"/>
          <w:lang w:val="es-ES_tradnl"/>
        </w:rPr>
        <w:t>Concepto C</w:t>
      </w:r>
      <w:r w:rsidR="00FE144E"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w:t>
      </w:r>
      <w:r w:rsidR="00A47C58">
        <w:rPr>
          <w:rFonts w:ascii="Arial" w:eastAsia="Calibri" w:hAnsi="Arial" w:cs="Arial"/>
          <w:b/>
          <w:bCs/>
          <w:color w:val="000000" w:themeColor="text1"/>
          <w:sz w:val="22"/>
          <w:lang w:val="es-ES_tradnl"/>
        </w:rPr>
        <w:t xml:space="preserve"> </w:t>
      </w:r>
      <w:r w:rsidR="004764A6">
        <w:rPr>
          <w:rFonts w:ascii="Arial" w:eastAsia="Calibri" w:hAnsi="Arial" w:cs="Arial"/>
          <w:b/>
          <w:bCs/>
          <w:color w:val="000000" w:themeColor="text1"/>
          <w:sz w:val="22"/>
          <w:lang w:val="es-ES_tradnl"/>
        </w:rPr>
        <w:t>329</w:t>
      </w:r>
      <w:r w:rsidR="00B52697" w:rsidRPr="00781A1B">
        <w:rPr>
          <w:rFonts w:ascii="Arial" w:eastAsia="Calibri" w:hAnsi="Arial" w:cs="Arial"/>
          <w:b/>
          <w:bCs/>
          <w:color w:val="000000" w:themeColor="text1"/>
          <w:sz w:val="22"/>
          <w:lang w:val="es-ES_tradnl"/>
        </w:rPr>
        <w:t xml:space="preserve"> </w:t>
      </w:r>
      <w:r w:rsidRPr="00781A1B">
        <w:rPr>
          <w:rFonts w:ascii="Arial" w:eastAsia="Calibri" w:hAnsi="Arial" w:cs="Arial"/>
          <w:b/>
          <w:bCs/>
          <w:color w:val="000000" w:themeColor="text1"/>
          <w:sz w:val="22"/>
          <w:lang w:val="es-ES_tradnl"/>
        </w:rPr>
        <w:t>de 202</w:t>
      </w:r>
      <w:r w:rsidR="004764A6">
        <w:rPr>
          <w:rFonts w:ascii="Arial" w:eastAsia="Calibri" w:hAnsi="Arial" w:cs="Arial"/>
          <w:b/>
          <w:bCs/>
          <w:color w:val="000000" w:themeColor="text1"/>
          <w:sz w:val="22"/>
          <w:lang w:val="es-ES_tradnl"/>
        </w:rPr>
        <w:t>1</w:t>
      </w:r>
    </w:p>
    <w:p w14:paraId="42713058" w14:textId="77777777" w:rsidR="002F0E06" w:rsidRPr="00781A1B"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781A1B" w14:paraId="10318206" w14:textId="77777777" w:rsidTr="002B477C">
        <w:trPr>
          <w:trHeight w:val="1174"/>
        </w:trPr>
        <w:tc>
          <w:tcPr>
            <w:tcW w:w="2689" w:type="dxa"/>
          </w:tcPr>
          <w:p w14:paraId="3FE8DF90" w14:textId="2D5BC58F"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b/>
                <w:color w:val="000000" w:themeColor="text1"/>
                <w:sz w:val="22"/>
                <w:lang w:val="es-ES_tradnl"/>
              </w:rPr>
              <w:t>Temas:</w:t>
            </w:r>
            <w:r w:rsidR="00E15943">
              <w:rPr>
                <w:rFonts w:ascii="Arial" w:eastAsia="Calibri" w:hAnsi="Arial" w:cs="Arial"/>
                <w:color w:val="000000" w:themeColor="text1"/>
                <w:sz w:val="22"/>
                <w:lang w:val="es-ES_tradnl"/>
              </w:rPr>
              <w:t xml:space="preserve"> </w:t>
            </w:r>
          </w:p>
        </w:tc>
        <w:tc>
          <w:tcPr>
            <w:tcW w:w="6237" w:type="dxa"/>
          </w:tcPr>
          <w:p w14:paraId="63D57D37" w14:textId="4BA4ECBA" w:rsidR="006274B9" w:rsidRPr="002D45B6" w:rsidRDefault="00967445" w:rsidP="00F3418B">
            <w:pPr>
              <w:spacing w:before="120"/>
              <w:jc w:val="both"/>
              <w:rPr>
                <w:rFonts w:ascii="Arial" w:eastAsia="Calibri" w:hAnsi="Arial" w:cs="Arial"/>
                <w:color w:val="000000" w:themeColor="text1"/>
                <w:sz w:val="22"/>
                <w:highlight w:val="yellow"/>
                <w:lang w:val="es-ES_tradnl"/>
              </w:rPr>
            </w:pPr>
            <w:r w:rsidRPr="00967445">
              <w:rPr>
                <w:rFonts w:ascii="Arial" w:eastAsia="Calibri" w:hAnsi="Arial" w:cs="Arial"/>
                <w:sz w:val="22"/>
                <w:lang w:val="es-CO"/>
              </w:rPr>
              <w:t>DOCUMENTOS TIPO – Agua potable y saneamiento básico – obra pública por licitación</w:t>
            </w:r>
            <w:r>
              <w:rPr>
                <w:rFonts w:ascii="Arial" w:eastAsia="Calibri" w:hAnsi="Arial" w:cs="Arial"/>
                <w:sz w:val="22"/>
                <w:lang w:val="es-CO"/>
              </w:rPr>
              <w:t xml:space="preserve"> /</w:t>
            </w:r>
            <w:r w:rsidR="004251AA">
              <w:rPr>
                <w:rFonts w:ascii="Arial" w:eastAsia="Calibri" w:hAnsi="Arial" w:cs="Arial"/>
                <w:sz w:val="22"/>
                <w:lang w:val="es-CO"/>
              </w:rPr>
              <w:t xml:space="preserve"> </w:t>
            </w:r>
            <w:r w:rsidR="004251AA" w:rsidRPr="004251AA">
              <w:rPr>
                <w:rFonts w:ascii="Arial" w:eastAsia="Calibri" w:hAnsi="Arial" w:cs="Arial"/>
                <w:sz w:val="22"/>
                <w:lang w:val="es-CO"/>
              </w:rPr>
              <w:t>SUBSANABILIDAD – Regla – Requisitos habilitantes – Ley 1882 de 2018</w:t>
            </w:r>
            <w:r w:rsidR="00B13CA8">
              <w:rPr>
                <w:rFonts w:ascii="Arial" w:eastAsia="Calibri" w:hAnsi="Arial" w:cs="Arial"/>
                <w:sz w:val="22"/>
                <w:lang w:val="es-CO"/>
              </w:rPr>
              <w:t xml:space="preserve"> /</w:t>
            </w:r>
            <w:r>
              <w:rPr>
                <w:rFonts w:ascii="Arial" w:eastAsia="Calibri" w:hAnsi="Arial" w:cs="Arial"/>
                <w:sz w:val="22"/>
                <w:lang w:val="es-CO"/>
              </w:rPr>
              <w:t xml:space="preserve"> </w:t>
            </w:r>
            <w:r w:rsidR="002D45B6" w:rsidRPr="002D45B6">
              <w:rPr>
                <w:rFonts w:ascii="Arial" w:eastAsia="Calibri" w:hAnsi="Arial" w:cs="Arial"/>
                <w:sz w:val="22"/>
                <w:lang w:val="es-CO"/>
              </w:rPr>
              <w:t xml:space="preserve">REGISTRO ÚNICO DE PROPONENTES – Firmeza – Acto administrativo – Inscripción / REGISTRO ÚNICO DE PROPONENTES – Renovación – Firmeza – Información </w:t>
            </w:r>
            <w:r w:rsidR="002D45B6" w:rsidRPr="002D45B6">
              <w:rPr>
                <w:rFonts w:ascii="Arial" w:eastAsia="Calibri" w:hAnsi="Arial" w:cs="Arial"/>
                <w:color w:val="000000" w:themeColor="text1"/>
                <w:sz w:val="22"/>
                <w:lang w:val="es-CO"/>
              </w:rPr>
              <w:t xml:space="preserve">– Evaluación / </w:t>
            </w:r>
            <w:r w:rsidR="002D45B6" w:rsidRPr="002D45B6">
              <w:rPr>
                <w:rFonts w:ascii="Arial" w:eastAsia="Calibri" w:hAnsi="Arial" w:cs="Arial"/>
                <w:sz w:val="22"/>
                <w:lang w:val="es-CO"/>
              </w:rPr>
              <w:t xml:space="preserve">DOCUMENTOS TIPO – Causal de rechazo – Literal G, del numeral 1.15 – Inscripción – Renovación – Firmeza </w:t>
            </w:r>
          </w:p>
        </w:tc>
      </w:tr>
      <w:tr w:rsidR="00DD5B04" w:rsidRPr="00781A1B" w14:paraId="60E06E0C" w14:textId="77777777" w:rsidTr="00F02B6E">
        <w:tc>
          <w:tcPr>
            <w:tcW w:w="2689" w:type="dxa"/>
          </w:tcPr>
          <w:p w14:paraId="5655C7E4" w14:textId="4455350B" w:rsidR="00DD5B04" w:rsidRPr="00781A1B" w:rsidRDefault="00DD5B04" w:rsidP="00DF76A2">
            <w:pPr>
              <w:spacing w:before="12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Radicación:</w:t>
            </w:r>
            <w:r w:rsidR="00E15943">
              <w:rPr>
                <w:rFonts w:ascii="Arial" w:eastAsia="Calibri" w:hAnsi="Arial" w:cs="Arial"/>
                <w:color w:val="000000" w:themeColor="text1"/>
                <w:sz w:val="22"/>
                <w:lang w:val="es-ES_tradnl"/>
              </w:rPr>
              <w:t xml:space="preserve"> </w:t>
            </w:r>
          </w:p>
        </w:tc>
        <w:tc>
          <w:tcPr>
            <w:tcW w:w="6237" w:type="dxa"/>
          </w:tcPr>
          <w:p w14:paraId="33E25A02" w14:textId="0AF85B19"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Respuesta</w:t>
            </w:r>
            <w:r w:rsidR="008100F7" w:rsidRPr="00781A1B">
              <w:rPr>
                <w:rFonts w:ascii="Arial" w:eastAsia="Calibri" w:hAnsi="Arial" w:cs="Arial"/>
                <w:color w:val="000000" w:themeColor="text1"/>
                <w:sz w:val="22"/>
                <w:lang w:val="es-ES_tradnl"/>
              </w:rPr>
              <w:t xml:space="preserve"> </w:t>
            </w:r>
            <w:r w:rsidR="00CA5812" w:rsidRPr="00781A1B">
              <w:rPr>
                <w:rFonts w:ascii="Arial" w:eastAsia="Calibri" w:hAnsi="Arial" w:cs="Arial"/>
                <w:color w:val="000000" w:themeColor="text1"/>
                <w:sz w:val="22"/>
                <w:lang w:val="es-ES_tradnl"/>
              </w:rPr>
              <w:t xml:space="preserve">a </w:t>
            </w:r>
            <w:r w:rsidR="00704A57">
              <w:rPr>
                <w:rFonts w:ascii="Arial" w:eastAsia="Calibri" w:hAnsi="Arial" w:cs="Arial"/>
                <w:color w:val="000000" w:themeColor="text1"/>
                <w:sz w:val="22"/>
                <w:lang w:val="es-ES_tradnl"/>
              </w:rPr>
              <w:t xml:space="preserve">la </w:t>
            </w:r>
            <w:r w:rsidRPr="00781A1B">
              <w:rPr>
                <w:rFonts w:ascii="Arial" w:eastAsia="Calibri" w:hAnsi="Arial" w:cs="Arial"/>
                <w:color w:val="000000" w:themeColor="text1"/>
                <w:sz w:val="22"/>
                <w:lang w:val="es-ES_tradnl"/>
              </w:rPr>
              <w:t xml:space="preserve">consulta </w:t>
            </w:r>
            <w:r w:rsidR="00E14D1F" w:rsidRPr="00E14D1F">
              <w:rPr>
                <w:rFonts w:ascii="Arial" w:eastAsia="Calibri" w:hAnsi="Arial" w:cs="Arial"/>
                <w:color w:val="000000" w:themeColor="text1"/>
                <w:sz w:val="22"/>
                <w:lang w:val="es-ES_tradnl"/>
              </w:rPr>
              <w:t>P</w:t>
            </w:r>
            <w:r w:rsidR="004764A6" w:rsidRPr="004764A6">
              <w:rPr>
                <w:rFonts w:ascii="Arial" w:eastAsia="Calibri" w:hAnsi="Arial" w:cs="Arial"/>
                <w:color w:val="000000" w:themeColor="text1"/>
                <w:sz w:val="22"/>
                <w:lang w:val="es-ES_tradnl"/>
              </w:rPr>
              <w:t>20210525004533</w:t>
            </w:r>
          </w:p>
          <w:p w14:paraId="0DA3D2F3" w14:textId="77777777" w:rsidR="00DD5B04" w:rsidRPr="00781A1B" w:rsidRDefault="00DD5B04" w:rsidP="00DF76A2">
            <w:pPr>
              <w:spacing w:before="120"/>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 </w:t>
            </w:r>
          </w:p>
        </w:tc>
      </w:tr>
    </w:tbl>
    <w:p w14:paraId="30BB5B67" w14:textId="270FDF1E" w:rsidR="00DD5B04" w:rsidRPr="00781A1B" w:rsidRDefault="00DD5B04" w:rsidP="00DF76A2">
      <w:pPr>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Estimad</w:t>
      </w:r>
      <w:r w:rsidR="004764A6">
        <w:rPr>
          <w:rFonts w:ascii="Arial" w:eastAsia="Calibri" w:hAnsi="Arial" w:cs="Arial"/>
          <w:color w:val="000000" w:themeColor="text1"/>
          <w:sz w:val="22"/>
          <w:lang w:val="es-ES_tradnl"/>
        </w:rPr>
        <w:t>o</w:t>
      </w:r>
      <w:r w:rsidRPr="00781A1B">
        <w:rPr>
          <w:rFonts w:ascii="Arial" w:eastAsia="Calibri" w:hAnsi="Arial" w:cs="Arial"/>
          <w:color w:val="000000" w:themeColor="text1"/>
          <w:sz w:val="22"/>
          <w:lang w:val="es-ES_tradnl"/>
        </w:rPr>
        <w:t xml:space="preserve"> señor </w:t>
      </w:r>
      <w:r w:rsidR="004764A6">
        <w:rPr>
          <w:rFonts w:ascii="Arial" w:eastAsia="Calibri" w:hAnsi="Arial" w:cs="Arial"/>
          <w:color w:val="000000" w:themeColor="text1"/>
          <w:sz w:val="22"/>
          <w:lang w:val="es-ES_tradnl"/>
        </w:rPr>
        <w:t>Jiménez,</w:t>
      </w:r>
    </w:p>
    <w:p w14:paraId="1EAE5543" w14:textId="77777777" w:rsidR="00DD5B04" w:rsidRPr="00781A1B" w:rsidRDefault="00DD5B04" w:rsidP="00DF76A2">
      <w:pPr>
        <w:jc w:val="both"/>
        <w:rPr>
          <w:rFonts w:ascii="Arial" w:eastAsia="Calibri" w:hAnsi="Arial" w:cs="Arial"/>
          <w:color w:val="000000" w:themeColor="text1"/>
          <w:sz w:val="22"/>
          <w:lang w:val="es-ES_tradnl"/>
        </w:rPr>
      </w:pPr>
    </w:p>
    <w:p w14:paraId="2109B2D3" w14:textId="57184A0F" w:rsidR="00DD5B04" w:rsidRPr="00781A1B" w:rsidRDefault="00DD5B04" w:rsidP="00DF76A2">
      <w:pPr>
        <w:spacing w:line="276" w:lineRule="auto"/>
        <w:jc w:val="both"/>
        <w:rPr>
          <w:rFonts w:ascii="Arial" w:eastAsia="Calibri" w:hAnsi="Arial" w:cs="Arial"/>
          <w:color w:val="000000" w:themeColor="text1"/>
          <w:sz w:val="22"/>
          <w:lang w:val="es-ES_tradnl"/>
        </w:rPr>
      </w:pPr>
      <w:r w:rsidRPr="00781A1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60A92">
        <w:rPr>
          <w:rFonts w:ascii="Arial" w:eastAsia="Calibri" w:hAnsi="Arial" w:cs="Arial"/>
          <w:color w:val="000000" w:themeColor="text1"/>
          <w:sz w:val="22"/>
          <w:lang w:val="es-ES_tradnl"/>
        </w:rPr>
        <w:t>–</w:t>
      </w:r>
      <w:r w:rsidRPr="00781A1B">
        <w:rPr>
          <w:rFonts w:ascii="Arial" w:eastAsia="Calibri" w:hAnsi="Arial" w:cs="Arial"/>
          <w:color w:val="000000" w:themeColor="text1"/>
          <w:sz w:val="22"/>
          <w:lang w:val="es-ES_tradnl"/>
        </w:rPr>
        <w:t xml:space="preserve"> Colombia Compra Eficiente responde su consulta</w:t>
      </w:r>
      <w:r w:rsidR="0083487C">
        <w:rPr>
          <w:rFonts w:ascii="Arial" w:eastAsia="Calibri" w:hAnsi="Arial" w:cs="Arial"/>
          <w:color w:val="000000" w:themeColor="text1"/>
          <w:sz w:val="22"/>
          <w:lang w:val="es-ES_tradnl"/>
        </w:rPr>
        <w:t xml:space="preserve"> del </w:t>
      </w:r>
      <w:r w:rsidR="004764A6">
        <w:rPr>
          <w:rFonts w:ascii="Arial" w:eastAsia="Calibri" w:hAnsi="Arial" w:cs="Arial"/>
          <w:color w:val="000000" w:themeColor="text1"/>
          <w:sz w:val="22"/>
          <w:lang w:val="es-ES_tradnl"/>
        </w:rPr>
        <w:t>24</w:t>
      </w:r>
      <w:r w:rsidR="00510DDE">
        <w:rPr>
          <w:rFonts w:ascii="Arial" w:eastAsia="Calibri" w:hAnsi="Arial" w:cs="Arial"/>
          <w:color w:val="000000" w:themeColor="text1"/>
          <w:sz w:val="22"/>
          <w:lang w:val="es-ES_tradnl"/>
        </w:rPr>
        <w:t xml:space="preserve"> de </w:t>
      </w:r>
      <w:r w:rsidR="004764A6">
        <w:rPr>
          <w:rFonts w:ascii="Arial" w:eastAsia="Calibri" w:hAnsi="Arial" w:cs="Arial"/>
          <w:color w:val="000000" w:themeColor="text1"/>
          <w:sz w:val="22"/>
          <w:lang w:val="es-ES_tradnl"/>
        </w:rPr>
        <w:t>mayo</w:t>
      </w:r>
      <w:r w:rsidR="0083487C">
        <w:rPr>
          <w:rFonts w:ascii="Arial" w:eastAsia="Calibri" w:hAnsi="Arial" w:cs="Arial"/>
          <w:color w:val="000000" w:themeColor="text1"/>
          <w:sz w:val="22"/>
          <w:lang w:val="es-ES_tradnl"/>
        </w:rPr>
        <w:t xml:space="preserve"> de 202</w:t>
      </w:r>
      <w:r w:rsidR="004764A6">
        <w:rPr>
          <w:rFonts w:ascii="Arial" w:eastAsia="Calibri" w:hAnsi="Arial" w:cs="Arial"/>
          <w:color w:val="000000" w:themeColor="text1"/>
          <w:sz w:val="22"/>
          <w:lang w:val="es-ES_tradnl"/>
        </w:rPr>
        <w:t>1</w:t>
      </w:r>
      <w:r w:rsidR="00FD4AF3" w:rsidRPr="00781A1B">
        <w:rPr>
          <w:rFonts w:ascii="Arial" w:eastAsia="Calibri" w:hAnsi="Arial" w:cs="Arial"/>
          <w:color w:val="000000" w:themeColor="text1"/>
          <w:sz w:val="22"/>
          <w:lang w:val="es-ES_tradnl"/>
        </w:rPr>
        <w:t>.</w:t>
      </w:r>
    </w:p>
    <w:p w14:paraId="0C1E0712" w14:textId="77777777" w:rsidR="00DD5B04" w:rsidRPr="00781A1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81A1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 xml:space="preserve">Problema planteado </w:t>
      </w:r>
    </w:p>
    <w:p w14:paraId="224B43D3" w14:textId="116EDCCC" w:rsidR="00DD5B0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BEAE915" w14:textId="7F95189A" w:rsidR="004764A6" w:rsidRDefault="004764A6" w:rsidP="00E14D1F">
      <w:pPr>
        <w:tabs>
          <w:tab w:val="left" w:pos="426"/>
        </w:tabs>
        <w:spacing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El</w:t>
      </w:r>
      <w:r w:rsidR="00510DDE" w:rsidRPr="00E14D1F">
        <w:rPr>
          <w:rFonts w:ascii="Arial" w:eastAsia="Calibri" w:hAnsi="Arial" w:cs="Arial"/>
          <w:bCs/>
          <w:color w:val="000000" w:themeColor="text1"/>
          <w:sz w:val="22"/>
          <w:lang w:val="es-ES_tradnl"/>
        </w:rPr>
        <w:t xml:space="preserve"> peticionari</w:t>
      </w:r>
      <w:r>
        <w:rPr>
          <w:rFonts w:ascii="Arial" w:eastAsia="Calibri" w:hAnsi="Arial" w:cs="Arial"/>
          <w:bCs/>
          <w:color w:val="000000" w:themeColor="text1"/>
          <w:sz w:val="22"/>
          <w:lang w:val="es-ES_tradnl"/>
        </w:rPr>
        <w:t>o</w:t>
      </w:r>
      <w:r w:rsidR="00510DDE" w:rsidRPr="00E14D1F">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hizo</w:t>
      </w:r>
      <w:r w:rsidR="00510DDE" w:rsidRPr="00E14D1F">
        <w:rPr>
          <w:rFonts w:ascii="Arial" w:eastAsia="Calibri" w:hAnsi="Arial" w:cs="Arial"/>
          <w:bCs/>
          <w:color w:val="000000" w:themeColor="text1"/>
          <w:sz w:val="22"/>
          <w:lang w:val="es-ES_tradnl"/>
        </w:rPr>
        <w:t xml:space="preserve"> </w:t>
      </w:r>
      <w:r w:rsidR="00F9003D" w:rsidRPr="00E14D1F">
        <w:rPr>
          <w:rFonts w:ascii="Arial" w:eastAsia="Calibri" w:hAnsi="Arial" w:cs="Arial"/>
          <w:bCs/>
          <w:color w:val="000000" w:themeColor="text1"/>
          <w:sz w:val="22"/>
          <w:lang w:val="es-ES_tradnl"/>
        </w:rPr>
        <w:t>la</w:t>
      </w:r>
      <w:r w:rsidR="00E14D1F" w:rsidRPr="00E14D1F">
        <w:rPr>
          <w:rFonts w:ascii="Arial" w:eastAsia="Calibri" w:hAnsi="Arial" w:cs="Arial"/>
          <w:bCs/>
          <w:color w:val="000000" w:themeColor="text1"/>
          <w:sz w:val="22"/>
          <w:lang w:val="es-ES_tradnl"/>
        </w:rPr>
        <w:t>s</w:t>
      </w:r>
      <w:r w:rsidR="00F9003D" w:rsidRPr="00E14D1F">
        <w:rPr>
          <w:rFonts w:ascii="Arial" w:eastAsia="Calibri" w:hAnsi="Arial" w:cs="Arial"/>
          <w:bCs/>
          <w:color w:val="000000" w:themeColor="text1"/>
          <w:sz w:val="22"/>
          <w:lang w:val="es-ES_tradnl"/>
        </w:rPr>
        <w:t xml:space="preserve"> siguiente</w:t>
      </w:r>
      <w:r w:rsidR="00E14D1F" w:rsidRPr="00E14D1F">
        <w:rPr>
          <w:rFonts w:ascii="Arial" w:eastAsia="Calibri" w:hAnsi="Arial" w:cs="Arial"/>
          <w:bCs/>
          <w:color w:val="000000" w:themeColor="text1"/>
          <w:sz w:val="22"/>
          <w:lang w:val="es-ES_tradnl"/>
        </w:rPr>
        <w:t>s</w:t>
      </w:r>
      <w:r w:rsidR="00F9003D" w:rsidRPr="00E14D1F">
        <w:rPr>
          <w:rFonts w:ascii="Arial" w:eastAsia="Calibri" w:hAnsi="Arial" w:cs="Arial"/>
          <w:bCs/>
          <w:color w:val="000000" w:themeColor="text1"/>
          <w:sz w:val="22"/>
          <w:lang w:val="es-ES_tradnl"/>
        </w:rPr>
        <w:t xml:space="preserve"> pregunta</w:t>
      </w:r>
      <w:r w:rsidR="00E14D1F" w:rsidRPr="00E14D1F">
        <w:rPr>
          <w:rFonts w:ascii="Arial" w:eastAsia="Calibri" w:hAnsi="Arial" w:cs="Arial"/>
          <w:bCs/>
          <w:color w:val="000000" w:themeColor="text1"/>
          <w:sz w:val="22"/>
          <w:lang w:val="es-ES_tradnl"/>
        </w:rPr>
        <w:t>s</w:t>
      </w:r>
      <w:r>
        <w:rPr>
          <w:rFonts w:ascii="Arial" w:eastAsia="Calibri" w:hAnsi="Arial" w:cs="Arial"/>
          <w:bCs/>
          <w:color w:val="000000" w:themeColor="text1"/>
          <w:sz w:val="22"/>
          <w:lang w:val="es-ES_tradnl"/>
        </w:rPr>
        <w:t xml:space="preserve"> en relación con los documentos tipo del sector de agua potable y saneamiento básico: </w:t>
      </w:r>
    </w:p>
    <w:p w14:paraId="3D578F49" w14:textId="794AB227" w:rsidR="004764A6" w:rsidRPr="004D60AC" w:rsidRDefault="00E14D1F"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4764A6" w:rsidRPr="004D60AC">
        <w:rPr>
          <w:rFonts w:ascii="Arial" w:eastAsia="Calibri" w:hAnsi="Arial" w:cs="Arial"/>
          <w:bCs/>
          <w:color w:val="000000" w:themeColor="text1"/>
          <w:sz w:val="21"/>
          <w:szCs w:val="21"/>
          <w:lang w:val="es-ES_tradnl"/>
        </w:rPr>
        <w:t>Ante la existencia de diferencias sustanciales entre el pliego Tipo, elaborado por CCE para el Sector de Agua Potable y Saneamiento Básico; y la ley 1882 de 2018, 1150 de 2007 o el decreto 1082 de 2015, Que mandato debo aplicar, lo expuesto en el Pliego Tipo o lo indicado en la norma</w:t>
      </w:r>
      <w:r w:rsidR="004764A6" w:rsidRPr="004D60AC">
        <w:rPr>
          <w:rFonts w:ascii="Arial" w:hAnsi="Arial" w:cs="Arial"/>
          <w:color w:val="000000"/>
          <w:sz w:val="21"/>
          <w:szCs w:val="21"/>
        </w:rPr>
        <w:t>»</w:t>
      </w:r>
      <w:r w:rsidR="004764A6" w:rsidRPr="004D60AC">
        <w:rPr>
          <w:rFonts w:ascii="Arial" w:eastAsia="Calibri" w:hAnsi="Arial" w:cs="Arial"/>
          <w:bCs/>
          <w:color w:val="000000" w:themeColor="text1"/>
          <w:sz w:val="21"/>
          <w:szCs w:val="21"/>
          <w:lang w:val="es-ES_tradnl"/>
        </w:rPr>
        <w:t xml:space="preserve">. </w:t>
      </w:r>
    </w:p>
    <w:p w14:paraId="27B19300" w14:textId="2A65CF30"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E270BF" w:rsidRPr="004D60AC">
        <w:rPr>
          <w:rFonts w:ascii="Arial" w:eastAsia="Calibri" w:hAnsi="Arial" w:cs="Arial"/>
          <w:bCs/>
          <w:color w:val="000000" w:themeColor="text1"/>
          <w:sz w:val="21"/>
          <w:szCs w:val="21"/>
          <w:lang w:val="es-ES_tradnl"/>
        </w:rPr>
        <w:t xml:space="preserve">Teniendo en cuenta que el RUP tiene como finalidad el registro, para efectos de publicidad, de la experiencia, capacidad jurídica e indicadores financieros y organizacionales de los proponentes, cual es la finalidad de establecer una limitante, que no está en la ley, mediante la cual se proscribe la posibilidad de que los proponentes que se </w:t>
      </w:r>
      <w:r w:rsidR="004D60AC" w:rsidRPr="004D60AC">
        <w:rPr>
          <w:rFonts w:ascii="Arial" w:eastAsia="Calibri" w:hAnsi="Arial" w:cs="Arial"/>
          <w:bCs/>
          <w:color w:val="000000" w:themeColor="text1"/>
          <w:sz w:val="21"/>
          <w:szCs w:val="21"/>
          <w:lang w:val="es-ES_tradnl"/>
        </w:rPr>
        <w:t>inscriben</w:t>
      </w:r>
      <w:r w:rsidR="00E270BF" w:rsidRPr="004D60AC">
        <w:rPr>
          <w:rFonts w:ascii="Arial" w:eastAsia="Calibri" w:hAnsi="Arial" w:cs="Arial"/>
          <w:bCs/>
          <w:color w:val="000000" w:themeColor="text1"/>
          <w:sz w:val="21"/>
          <w:szCs w:val="21"/>
          <w:lang w:val="es-ES_tradnl"/>
        </w:rPr>
        <w:t xml:space="preserve"> por primera vez en el RUP, </w:t>
      </w:r>
      <w:r w:rsidR="00E270BF" w:rsidRPr="004D60AC">
        <w:rPr>
          <w:rFonts w:ascii="Arial" w:eastAsia="Calibri" w:hAnsi="Arial" w:cs="Arial"/>
          <w:bCs/>
          <w:color w:val="000000" w:themeColor="text1"/>
          <w:sz w:val="21"/>
          <w:szCs w:val="21"/>
          <w:lang w:val="es-ES_tradnl"/>
        </w:rPr>
        <w:lastRenderedPageBreak/>
        <w:t>pueden participar en procesos de selección, cuando el mencionado documento no se encuentra en firme al cierre del proceso de selección?</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62612B42" w14:textId="1F0A5784"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53344F" w:rsidRPr="004D60AC">
        <w:rPr>
          <w:rFonts w:ascii="Arial" w:eastAsia="Calibri" w:hAnsi="Arial" w:cs="Arial"/>
          <w:bCs/>
          <w:color w:val="000000" w:themeColor="text1"/>
          <w:sz w:val="21"/>
          <w:szCs w:val="21"/>
          <w:lang w:val="es-ES_tradnl"/>
        </w:rPr>
        <w:t>Teniendo en cuenta lo dispuesto en las reglas de subsanabilidad por la normatividad vigente y lo sostenido por esta misma corporación a través de sus conceptos, con fundamento en que normatividad se debe exigir que el RUP esté en firme al momento del cierre del proceso, ¿No se estaría eliminando la posibilidad de que éste adquiera firmeza hasta antes de que termine el traslado del informe de requisitos habilitantes?</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44C56F06" w14:textId="278DEE6B"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53344F" w:rsidRPr="004D60AC">
        <w:rPr>
          <w:rFonts w:ascii="Arial" w:eastAsia="Calibri" w:hAnsi="Arial" w:cs="Arial"/>
          <w:bCs/>
          <w:color w:val="000000" w:themeColor="text1"/>
          <w:sz w:val="21"/>
          <w:szCs w:val="21"/>
          <w:lang w:val="es-ES_tradnl"/>
        </w:rPr>
        <w:t>Existe una contradicción entre los dispuesto en los literales f y g del numeral 1.15, denominado las causales de rechazo del pliego de condiciones tipo de Colombia</w:t>
      </w:r>
      <w:r w:rsidR="0053344F" w:rsidRPr="004D60AC">
        <w:rPr>
          <w:sz w:val="21"/>
          <w:szCs w:val="21"/>
        </w:rPr>
        <w:t xml:space="preserve"> </w:t>
      </w:r>
      <w:r w:rsidR="0053344F" w:rsidRPr="004D60AC">
        <w:rPr>
          <w:rFonts w:ascii="Arial" w:eastAsia="Calibri" w:hAnsi="Arial" w:cs="Arial"/>
          <w:bCs/>
          <w:color w:val="000000" w:themeColor="text1"/>
          <w:sz w:val="21"/>
          <w:szCs w:val="21"/>
          <w:lang w:val="es-ES_tradnl"/>
        </w:rPr>
        <w:t>compra eficiente, para el sector de Agua Potable y Saneamiento Básico; y lo señalado en el numeral 5 de la ley 1882, teniendo en cuenta que esta norme permite que se subsanen aquellos aspectos subsanables hasta el término del traslado del informe de requisitos habilitantes</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6541102B" w14:textId="7B5588AE"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4D60AC" w:rsidRPr="004D60AC">
        <w:rPr>
          <w:rFonts w:ascii="Arial" w:eastAsia="Calibri" w:hAnsi="Arial" w:cs="Arial"/>
          <w:bCs/>
          <w:color w:val="000000" w:themeColor="text1"/>
          <w:sz w:val="21"/>
          <w:szCs w:val="21"/>
          <w:lang w:val="es-ES_tradnl"/>
        </w:rPr>
        <w:t>Teniendo en cuenta que, la fecha señalada por la Ley respecto de la renovación del RUP, se debe realizar hasta el quinto día hábil del mes de abril del año correspondiente, en el caso, en que los proponentes realicen la diligencia hasta ese último día y el cierre del proceso de selección sea días posteriores, no sería perjudicial, solicitar que el RUP se encuentre en firme durante el término del traslado, ¿teniendo en cuenta que en dicha situación la firmeza nunca se alcanzaría?</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0C163D68" w14:textId="1B696DDB"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4D60AC" w:rsidRPr="004D60AC">
        <w:rPr>
          <w:rFonts w:ascii="Arial" w:eastAsia="Calibri" w:hAnsi="Arial" w:cs="Arial"/>
          <w:bCs/>
          <w:color w:val="000000" w:themeColor="text1"/>
          <w:sz w:val="21"/>
          <w:szCs w:val="21"/>
          <w:lang w:val="es-ES_tradnl"/>
        </w:rPr>
        <w:t>En la situación anterior, no serían excluyentes entre sí, solicitar las siguientes dos situaciones: 1. Que la Renovación del RUP se realice dentro del término establecido por la ley y 2. Que este RUP adquiera firmeza dentro del Término del traslado del informe</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4C3E74F4" w14:textId="07C93FA8" w:rsidR="004764A6" w:rsidRPr="004D60AC"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1"/>
          <w:szCs w:val="21"/>
        </w:rPr>
      </w:pPr>
      <w:r w:rsidRPr="004D60AC">
        <w:rPr>
          <w:rFonts w:ascii="Arial" w:eastAsia="Calibri" w:hAnsi="Arial" w:cs="Arial"/>
          <w:bCs/>
          <w:color w:val="000000" w:themeColor="text1"/>
          <w:sz w:val="21"/>
          <w:szCs w:val="21"/>
          <w:lang w:val="es-ES_tradnl"/>
        </w:rPr>
        <w:t>«</w:t>
      </w:r>
      <w:r w:rsidR="004D60AC" w:rsidRPr="004D60AC">
        <w:t xml:space="preserve"> </w:t>
      </w:r>
      <w:r w:rsidR="004D60AC" w:rsidRPr="004D60AC">
        <w:rPr>
          <w:rFonts w:ascii="Arial" w:eastAsia="Calibri" w:hAnsi="Arial" w:cs="Arial"/>
          <w:bCs/>
          <w:color w:val="000000" w:themeColor="text1"/>
          <w:sz w:val="21"/>
          <w:szCs w:val="21"/>
          <w:lang w:val="es-ES_tradnl"/>
        </w:rPr>
        <w:t>La causal de Rechazo establecida en el literal “F. Que la inscripción en el Registro Único de Proponentes (RUP) que realice el proponente por primera vez o cuando han cesado los efectos y debe volver a inscribirse, no esté en firme en la fecha prevista para el cierre del proceso de contratación” del pliego de condicione Tipo para el Sector de Agua Potable y Saneamiento Básico, no sería Contraria a la oportunidad dada por la norma, cuando establece que el RUP puede adquirir firmeza durante el traslado del informe de evaluación, incluso cuando el proponente se inscribe por primera vez</w:t>
      </w:r>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13199AFF" w14:textId="25BFA3FE" w:rsidR="004764A6" w:rsidRPr="004764A6" w:rsidRDefault="004764A6" w:rsidP="005076E2">
      <w:pPr>
        <w:pStyle w:val="Prrafodelista"/>
        <w:numPr>
          <w:ilvl w:val="0"/>
          <w:numId w:val="29"/>
        </w:numPr>
        <w:tabs>
          <w:tab w:val="left" w:pos="426"/>
        </w:tabs>
        <w:spacing w:after="120"/>
        <w:ind w:left="709" w:right="616" w:firstLine="0"/>
        <w:jc w:val="both"/>
        <w:rPr>
          <w:rFonts w:ascii="Arial" w:hAnsi="Arial" w:cs="Arial"/>
          <w:i/>
          <w:iCs/>
          <w:color w:val="000000"/>
          <w:sz w:val="22"/>
        </w:rPr>
      </w:pPr>
      <w:r w:rsidRPr="004D60AC">
        <w:rPr>
          <w:rFonts w:ascii="Arial" w:eastAsia="Calibri" w:hAnsi="Arial" w:cs="Arial"/>
          <w:bCs/>
          <w:color w:val="000000" w:themeColor="text1"/>
          <w:sz w:val="21"/>
          <w:szCs w:val="21"/>
          <w:lang w:val="es-ES_tradnl"/>
        </w:rPr>
        <w:t>«</w:t>
      </w:r>
      <w:proofErr w:type="gramStart"/>
      <w:r w:rsidR="004D60AC" w:rsidRPr="004D60AC">
        <w:rPr>
          <w:rFonts w:ascii="Arial" w:eastAsia="Calibri" w:hAnsi="Arial" w:cs="Arial"/>
          <w:bCs/>
          <w:color w:val="000000" w:themeColor="text1"/>
          <w:sz w:val="21"/>
          <w:szCs w:val="21"/>
          <w:lang w:val="es-ES_tradnl"/>
        </w:rPr>
        <w:t>Una entidad puede inaplicar la causal de Rechazo antes señalada, por considerarla jurídicamente contraria a la ley, siempre que la jurisprudencia ha recalcado que la</w:t>
      </w:r>
      <w:r w:rsidR="004D60AC">
        <w:rPr>
          <w:rFonts w:ascii="Arial" w:eastAsia="Calibri" w:hAnsi="Arial" w:cs="Arial"/>
          <w:bCs/>
          <w:color w:val="000000" w:themeColor="text1"/>
          <w:sz w:val="21"/>
          <w:szCs w:val="21"/>
          <w:lang w:val="es-ES_tradnl"/>
        </w:rPr>
        <w:t>s</w:t>
      </w:r>
      <w:r w:rsidR="004D60AC" w:rsidRPr="004D60AC">
        <w:rPr>
          <w:rFonts w:ascii="Arial" w:eastAsia="Calibri" w:hAnsi="Arial" w:cs="Arial"/>
          <w:bCs/>
          <w:color w:val="000000" w:themeColor="text1"/>
          <w:sz w:val="21"/>
          <w:szCs w:val="21"/>
          <w:lang w:val="es-ES_tradnl"/>
        </w:rPr>
        <w:t xml:space="preserve"> causales de rechazo son taxativas, y las mismas se pueden establecer siempre que no sean contrarias a ley?</w:t>
      </w:r>
      <w:proofErr w:type="gramEnd"/>
      <w:r w:rsidRPr="004D60AC">
        <w:rPr>
          <w:rFonts w:ascii="Arial" w:hAnsi="Arial" w:cs="Arial"/>
          <w:color w:val="000000"/>
          <w:sz w:val="21"/>
          <w:szCs w:val="21"/>
        </w:rPr>
        <w:t>»</w:t>
      </w:r>
      <w:r w:rsidRPr="004D60AC">
        <w:rPr>
          <w:rFonts w:ascii="Arial" w:eastAsia="Calibri" w:hAnsi="Arial" w:cs="Arial"/>
          <w:bCs/>
          <w:color w:val="000000" w:themeColor="text1"/>
          <w:sz w:val="21"/>
          <w:szCs w:val="21"/>
          <w:lang w:val="es-ES_tradnl"/>
        </w:rPr>
        <w:t xml:space="preserve">. </w:t>
      </w:r>
    </w:p>
    <w:p w14:paraId="3C2ECFFE" w14:textId="77777777" w:rsidR="00F02BFD" w:rsidRPr="00781A1B" w:rsidRDefault="00F02BFD" w:rsidP="00E14D1F">
      <w:pPr>
        <w:spacing w:line="276" w:lineRule="auto"/>
        <w:jc w:val="both"/>
        <w:rPr>
          <w:rFonts w:ascii="Arial" w:hAnsi="Arial" w:cs="Arial"/>
          <w:color w:val="000000" w:themeColor="text1"/>
          <w:sz w:val="22"/>
          <w:lang w:val="es-ES_tradnl"/>
        </w:rPr>
      </w:pPr>
    </w:p>
    <w:p w14:paraId="124D2DCA" w14:textId="34B6BFC3" w:rsidR="00DD5B0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Consideraciones</w:t>
      </w:r>
    </w:p>
    <w:p w14:paraId="61E77A3F" w14:textId="6A62C6A9" w:rsidR="00E15943" w:rsidRDefault="00E15943" w:rsidP="00E15943">
      <w:pPr>
        <w:tabs>
          <w:tab w:val="left" w:pos="0"/>
          <w:tab w:val="left" w:pos="284"/>
        </w:tabs>
        <w:jc w:val="both"/>
        <w:rPr>
          <w:rFonts w:ascii="Arial" w:eastAsia="Calibri" w:hAnsi="Arial" w:cs="Arial"/>
          <w:b/>
          <w:color w:val="000000" w:themeColor="text1"/>
          <w:sz w:val="22"/>
          <w:lang w:val="es-ES_tradnl"/>
        </w:rPr>
      </w:pPr>
    </w:p>
    <w:p w14:paraId="6A6C3349" w14:textId="6BA917D9" w:rsidR="00E15943" w:rsidRDefault="00E15943" w:rsidP="0057252F">
      <w:pPr>
        <w:spacing w:line="276" w:lineRule="auto"/>
        <w:jc w:val="both"/>
        <w:rPr>
          <w:rFonts w:ascii="Arial" w:hAnsi="Arial" w:cs="Arial"/>
          <w:sz w:val="22"/>
        </w:rPr>
      </w:pPr>
      <w:r w:rsidRPr="00A71876">
        <w:rPr>
          <w:rFonts w:ascii="Arial" w:hAnsi="Arial" w:cs="Arial"/>
          <w:sz w:val="22"/>
        </w:rPr>
        <w:t>Para responder la</w:t>
      </w:r>
      <w:r w:rsidR="00840F68">
        <w:rPr>
          <w:rFonts w:ascii="Arial" w:hAnsi="Arial" w:cs="Arial"/>
          <w:sz w:val="22"/>
        </w:rPr>
        <w:t xml:space="preserve">s </w:t>
      </w:r>
      <w:r w:rsidRPr="00A71876">
        <w:rPr>
          <w:rFonts w:ascii="Arial" w:hAnsi="Arial" w:cs="Arial"/>
          <w:sz w:val="22"/>
        </w:rPr>
        <w:t>pregunta</w:t>
      </w:r>
      <w:r w:rsidR="00840F68">
        <w:rPr>
          <w:rFonts w:ascii="Arial" w:hAnsi="Arial" w:cs="Arial"/>
          <w:sz w:val="22"/>
        </w:rPr>
        <w:t>s</w:t>
      </w:r>
      <w:r w:rsidRPr="00A71876">
        <w:rPr>
          <w:rFonts w:ascii="Arial" w:hAnsi="Arial" w:cs="Arial"/>
          <w:sz w:val="22"/>
        </w:rPr>
        <w:t xml:space="preserve"> </w:t>
      </w:r>
      <w:r w:rsidR="00594B5F">
        <w:rPr>
          <w:rFonts w:ascii="Arial" w:hAnsi="Arial" w:cs="Arial"/>
          <w:sz w:val="22"/>
        </w:rPr>
        <w:t>planteadas</w:t>
      </w:r>
      <w:r w:rsidR="00840F68">
        <w:rPr>
          <w:rFonts w:ascii="Arial" w:hAnsi="Arial" w:cs="Arial"/>
          <w:sz w:val="22"/>
        </w:rPr>
        <w:t xml:space="preserve">, </w:t>
      </w:r>
      <w:r w:rsidR="00594B5F">
        <w:rPr>
          <w:rFonts w:ascii="Arial" w:hAnsi="Arial" w:cs="Arial"/>
          <w:sz w:val="22"/>
        </w:rPr>
        <w:t xml:space="preserve">se analizarán los siguientes temas que aclaran los aspectos generales de las inquietudes del peticionario y </w:t>
      </w:r>
      <w:r w:rsidR="00577162">
        <w:rPr>
          <w:rFonts w:ascii="Arial" w:hAnsi="Arial" w:cs="Arial"/>
          <w:sz w:val="22"/>
        </w:rPr>
        <w:t>después</w:t>
      </w:r>
      <w:r w:rsidR="00594B5F">
        <w:rPr>
          <w:rFonts w:ascii="Arial" w:hAnsi="Arial" w:cs="Arial"/>
          <w:sz w:val="22"/>
        </w:rPr>
        <w:t xml:space="preserve"> se dará respuesta concreta a cada pregunta, con base en el análisis expuesto. Los temas son</w:t>
      </w:r>
      <w:r w:rsidR="00FC790C">
        <w:rPr>
          <w:rFonts w:ascii="Arial" w:hAnsi="Arial" w:cs="Arial"/>
          <w:sz w:val="22"/>
        </w:rPr>
        <w:t xml:space="preserve">: </w:t>
      </w:r>
      <w:r w:rsidR="00840F68">
        <w:rPr>
          <w:rFonts w:ascii="Arial" w:hAnsi="Arial" w:cs="Arial"/>
          <w:sz w:val="22"/>
        </w:rPr>
        <w:t xml:space="preserve">i) </w:t>
      </w:r>
      <w:r w:rsidR="00BD17D2">
        <w:rPr>
          <w:rFonts w:ascii="Arial" w:eastAsia="Calibri" w:hAnsi="Arial" w:cs="Arial"/>
          <w:color w:val="000000"/>
          <w:sz w:val="22"/>
          <w:lang w:eastAsia="en-GB"/>
        </w:rPr>
        <w:t>los d</w:t>
      </w:r>
      <w:r w:rsidR="000A74A5" w:rsidRPr="000A74A5">
        <w:rPr>
          <w:rFonts w:ascii="Arial" w:eastAsia="Calibri" w:hAnsi="Arial" w:cs="Arial"/>
          <w:color w:val="000000"/>
          <w:sz w:val="22"/>
          <w:lang w:eastAsia="en-GB"/>
        </w:rPr>
        <w:t xml:space="preserve">ocumentos tipo de </w:t>
      </w:r>
      <w:r w:rsidR="000A74A5" w:rsidRPr="004251AA">
        <w:rPr>
          <w:rFonts w:ascii="Arial" w:hAnsi="Arial" w:cs="Arial"/>
          <w:sz w:val="22"/>
        </w:rPr>
        <w:t xml:space="preserve">licitación pública para obra de infraestructura de agua potable y </w:t>
      </w:r>
      <w:r w:rsidR="000A74A5" w:rsidRPr="004251AA">
        <w:rPr>
          <w:rFonts w:ascii="Arial" w:hAnsi="Arial" w:cs="Arial"/>
          <w:sz w:val="22"/>
        </w:rPr>
        <w:lastRenderedPageBreak/>
        <w:t>saneamiento básico;</w:t>
      </w:r>
      <w:r w:rsidR="000A74A5" w:rsidRPr="000A74A5">
        <w:rPr>
          <w:rFonts w:ascii="Arial" w:hAnsi="Arial" w:cs="Arial"/>
          <w:sz w:val="22"/>
        </w:rPr>
        <w:t xml:space="preserve"> </w:t>
      </w:r>
      <w:r w:rsidR="000A74A5">
        <w:rPr>
          <w:rFonts w:ascii="Arial" w:hAnsi="Arial" w:cs="Arial"/>
          <w:sz w:val="22"/>
        </w:rPr>
        <w:t xml:space="preserve">ii) </w:t>
      </w:r>
      <w:r w:rsidR="00BD17D2">
        <w:rPr>
          <w:rFonts w:ascii="Arial" w:hAnsi="Arial" w:cs="Arial"/>
          <w:sz w:val="22"/>
        </w:rPr>
        <w:t>l</w:t>
      </w:r>
      <w:r w:rsidR="004251AA" w:rsidRPr="004251AA">
        <w:rPr>
          <w:rFonts w:ascii="Arial" w:hAnsi="Arial" w:cs="Arial"/>
          <w:sz w:val="22"/>
        </w:rPr>
        <w:t>a subsanabilidad de las ofertas en los procesos de selección después de la ley 1882 de 2018</w:t>
      </w:r>
      <w:r w:rsidR="004251AA">
        <w:rPr>
          <w:rFonts w:ascii="Arial" w:hAnsi="Arial" w:cs="Arial"/>
          <w:sz w:val="22"/>
        </w:rPr>
        <w:t xml:space="preserve"> y iii)</w:t>
      </w:r>
      <w:r w:rsidR="004251AA" w:rsidRPr="004251AA">
        <w:rPr>
          <w:rFonts w:ascii="Arial" w:hAnsi="Arial" w:cs="Arial"/>
          <w:sz w:val="22"/>
        </w:rPr>
        <w:t xml:space="preserve"> </w:t>
      </w:r>
      <w:r w:rsidR="00BD17D2">
        <w:rPr>
          <w:rFonts w:ascii="Arial" w:hAnsi="Arial" w:cs="Arial"/>
          <w:sz w:val="22"/>
        </w:rPr>
        <w:t>la r</w:t>
      </w:r>
      <w:r w:rsidR="00840F68" w:rsidRPr="000A74A5">
        <w:rPr>
          <w:rFonts w:ascii="Arial" w:hAnsi="Arial" w:cs="Arial"/>
          <w:sz w:val="22"/>
        </w:rPr>
        <w:t>enovación del Regist</w:t>
      </w:r>
      <w:r w:rsidR="00840F68" w:rsidRPr="00840F68">
        <w:rPr>
          <w:rFonts w:ascii="Arial" w:hAnsi="Arial" w:cs="Arial"/>
          <w:sz w:val="22"/>
        </w:rPr>
        <w:t>ro Único de Proponentes – RUP y sus efectos durante la verificación de la información</w:t>
      </w:r>
      <w:r w:rsidR="00B3263D">
        <w:rPr>
          <w:rFonts w:ascii="Arial" w:hAnsi="Arial" w:cs="Arial"/>
          <w:sz w:val="22"/>
        </w:rPr>
        <w:t>, donde también se analiza la</w:t>
      </w:r>
      <w:r w:rsidR="00840F68" w:rsidRPr="00840F68">
        <w:rPr>
          <w:rFonts w:ascii="Arial" w:hAnsi="Arial" w:cs="Arial"/>
          <w:sz w:val="22"/>
        </w:rPr>
        <w:t xml:space="preserve"> causal de rechazo del literal G del numeral 1.15 de los documentos tipo para licitación de obra</w:t>
      </w:r>
      <w:r w:rsidR="004251AA">
        <w:rPr>
          <w:rFonts w:ascii="Arial" w:hAnsi="Arial" w:cs="Arial"/>
          <w:sz w:val="22"/>
        </w:rPr>
        <w:t xml:space="preserve"> de infraestructura de agua potable y saneamiento básico. </w:t>
      </w:r>
    </w:p>
    <w:p w14:paraId="574362AD" w14:textId="4F2D694E" w:rsidR="00FC790C" w:rsidRDefault="00FC790C" w:rsidP="0057252F">
      <w:pPr>
        <w:spacing w:line="276" w:lineRule="auto"/>
        <w:jc w:val="both"/>
        <w:rPr>
          <w:rFonts w:ascii="Arial" w:hAnsi="Arial" w:cs="Arial"/>
          <w:sz w:val="22"/>
        </w:rPr>
      </w:pPr>
    </w:p>
    <w:p w14:paraId="70479DAA" w14:textId="77777777" w:rsidR="000A74A5" w:rsidRPr="00ED72CC" w:rsidRDefault="000A74A5" w:rsidP="000A74A5">
      <w:pPr>
        <w:spacing w:line="276" w:lineRule="auto"/>
        <w:jc w:val="both"/>
        <w:rPr>
          <w:rFonts w:ascii="Arial" w:eastAsia="Calibri" w:hAnsi="Arial" w:cs="Arial"/>
          <w:b/>
          <w:bCs/>
          <w:color w:val="000000"/>
          <w:sz w:val="22"/>
          <w:lang w:eastAsia="en-GB"/>
        </w:rPr>
      </w:pPr>
      <w:r w:rsidRPr="00ED72CC">
        <w:rPr>
          <w:rFonts w:ascii="Arial" w:eastAsia="Calibri" w:hAnsi="Arial" w:cs="Arial"/>
          <w:b/>
          <w:bCs/>
          <w:color w:val="000000"/>
          <w:sz w:val="22"/>
          <w:lang w:eastAsia="en-GB"/>
        </w:rPr>
        <w:t>2.1. Documentos tipo de licitación pública para obra de infraestructura de agua potable y saneamiento básico</w:t>
      </w:r>
    </w:p>
    <w:p w14:paraId="06786F55" w14:textId="77777777" w:rsidR="000A74A5" w:rsidRPr="00ED72CC" w:rsidRDefault="000A74A5" w:rsidP="000A74A5">
      <w:pPr>
        <w:spacing w:line="276" w:lineRule="auto"/>
        <w:jc w:val="both"/>
        <w:rPr>
          <w:rFonts w:ascii="Arial" w:eastAsia="Calibri" w:hAnsi="Arial" w:cs="Arial"/>
          <w:b/>
          <w:bCs/>
          <w:color w:val="000000" w:themeColor="text1"/>
          <w:sz w:val="22"/>
        </w:rPr>
      </w:pPr>
    </w:p>
    <w:p w14:paraId="5553CAFF" w14:textId="1F13C0FF" w:rsidR="000A74A5" w:rsidRPr="00ED72CC" w:rsidRDefault="000A74A5" w:rsidP="000A74A5">
      <w:pPr>
        <w:spacing w:after="120" w:line="276" w:lineRule="auto"/>
        <w:ind w:right="51"/>
        <w:jc w:val="both"/>
        <w:rPr>
          <w:rFonts w:ascii="Arial" w:eastAsia="Calibri" w:hAnsi="Arial" w:cs="Arial"/>
          <w:sz w:val="22"/>
        </w:rPr>
      </w:pPr>
      <w:r w:rsidRPr="003C589D">
        <w:rPr>
          <w:rFonts w:ascii="Arial" w:eastAsia="Calibri" w:hAnsi="Arial" w:cs="Arial"/>
          <w:sz w:val="22"/>
        </w:rPr>
        <w:t>La Agencia Nacional de Contratación Pública – Colombia Compra Eficiente, con fundamento en el artículo 1 de la Ley 2022 de 2020, expidió las Resoluciones No. 248 y 249 del 1 de diciembre de 2020, «Por la cual se adoptan los documentos tipo para los procesos de licitación pública para obras de infraestructura de agua potable y saneamiento básico» y «Por la cual se adoptan los documentos tipo para los procesos de licitación pública para obras de infraestructura de agua potable y saneamiento básico en la modalidad de llave en mano»</w:t>
      </w:r>
      <w:r w:rsidR="007B1984">
        <w:rPr>
          <w:rFonts w:ascii="Arial" w:eastAsia="Calibri" w:hAnsi="Arial" w:cs="Arial"/>
          <w:sz w:val="22"/>
        </w:rPr>
        <w:t>, respectivamente</w:t>
      </w:r>
      <w:r w:rsidRPr="003C589D">
        <w:rPr>
          <w:rFonts w:ascii="Arial" w:eastAsia="Calibri" w:hAnsi="Arial" w:cs="Arial"/>
          <w:sz w:val="22"/>
        </w:rPr>
        <w:t xml:space="preserve">. De acuerdo con la mesa de trabajo virtual realizada el 26 de noviembre de 2020 por esta Agencia con </w:t>
      </w:r>
      <w:r w:rsidRPr="003C589D">
        <w:rPr>
          <w:rFonts w:ascii="Arial" w:eastAsia="Calibri" w:hAnsi="Arial" w:cs="Arial"/>
          <w:color w:val="000000"/>
          <w:sz w:val="22"/>
          <w:shd w:val="clear" w:color="auto" w:fill="FFFFFF"/>
          <w:lang w:val="es-ES"/>
        </w:rPr>
        <w:t>el Ministerio de Vivienda, Ciudad y Territorio,</w:t>
      </w:r>
      <w:r w:rsidRPr="003C589D">
        <w:rPr>
          <w:rFonts w:ascii="Arial" w:eastAsia="Calibri" w:hAnsi="Arial" w:cs="Arial"/>
          <w:sz w:val="22"/>
        </w:rPr>
        <w:t xml:space="preserve"> </w:t>
      </w:r>
      <w:r w:rsidR="00C8105F">
        <w:rPr>
          <w:rFonts w:ascii="Arial" w:eastAsia="Calibri" w:hAnsi="Arial" w:cs="Arial"/>
          <w:sz w:val="22"/>
        </w:rPr>
        <w:t xml:space="preserve">entidad especializada en la materia, </w:t>
      </w:r>
      <w:r w:rsidRPr="003C589D">
        <w:rPr>
          <w:rFonts w:ascii="Arial" w:eastAsia="Calibri" w:hAnsi="Arial" w:cs="Arial"/>
          <w:sz w:val="22"/>
        </w:rPr>
        <w:t>se decidió que la fecha de implementación de estos documentos tipo sería a partir del 11 de diciembre de 202</w:t>
      </w:r>
      <w:r w:rsidR="007B1984">
        <w:rPr>
          <w:rFonts w:ascii="Arial" w:eastAsia="Calibri" w:hAnsi="Arial" w:cs="Arial"/>
          <w:sz w:val="22"/>
        </w:rPr>
        <w:t>0</w:t>
      </w:r>
      <w:r w:rsidRPr="003C589D">
        <w:rPr>
          <w:rFonts w:ascii="Arial" w:eastAsia="Calibri" w:hAnsi="Arial" w:cs="Arial"/>
          <w:sz w:val="22"/>
        </w:rPr>
        <w:t xml:space="preserve">, esto es, son obligatorios a partir de esa fecha. </w:t>
      </w:r>
    </w:p>
    <w:p w14:paraId="0A9F7E8B" w14:textId="53DFAFA8" w:rsidR="000A74A5" w:rsidRPr="00ED72CC" w:rsidRDefault="000A74A5" w:rsidP="000A74A5">
      <w:pPr>
        <w:spacing w:before="120" w:line="276" w:lineRule="auto"/>
        <w:ind w:firstLine="708"/>
        <w:jc w:val="both"/>
        <w:rPr>
          <w:rFonts w:ascii="Arial" w:eastAsia="Calibri" w:hAnsi="Arial" w:cs="Arial"/>
          <w:sz w:val="22"/>
        </w:rPr>
      </w:pPr>
      <w:r w:rsidRPr="00ED72CC">
        <w:rPr>
          <w:rFonts w:ascii="Arial" w:eastAsia="Calibri" w:hAnsi="Arial" w:cs="Arial"/>
          <w:sz w:val="22"/>
        </w:rPr>
        <w:t>Los documentos tipo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23C64F2C" w14:textId="0BFE1CAF" w:rsidR="000A74A5" w:rsidRPr="00ED72CC" w:rsidRDefault="000A74A5" w:rsidP="000A74A5">
      <w:pPr>
        <w:spacing w:before="120" w:line="276" w:lineRule="auto"/>
        <w:ind w:firstLine="708"/>
        <w:jc w:val="both"/>
        <w:rPr>
          <w:rFonts w:ascii="Arial" w:eastAsia="Calibri" w:hAnsi="Arial" w:cs="Arial"/>
          <w:sz w:val="22"/>
        </w:rPr>
      </w:pPr>
      <w:r w:rsidRPr="00ED72CC">
        <w:rPr>
          <w:rFonts w:ascii="Arial" w:eastAsia="Calibri" w:hAnsi="Arial" w:cs="Arial"/>
          <w:sz w:val="22"/>
        </w:rPr>
        <w:t xml:space="preserve">Además, por disposición expresa de la Ley 2022 de 2020, los «Documentos tipo» adoptados por la Agencia Nacional de Contratación Pública, son de obligatorio cumplimiento por todas las entidades públicas, cuyo régimen de contratación </w:t>
      </w:r>
      <w:r w:rsidR="007B1984">
        <w:rPr>
          <w:rFonts w:ascii="Arial" w:eastAsia="Calibri" w:hAnsi="Arial" w:cs="Arial"/>
          <w:sz w:val="22"/>
        </w:rPr>
        <w:t>sea el</w:t>
      </w:r>
      <w:r w:rsidRPr="00ED72CC">
        <w:rPr>
          <w:rFonts w:ascii="Arial" w:eastAsia="Calibri" w:hAnsi="Arial" w:cs="Arial"/>
          <w:sz w:val="22"/>
        </w:rPr>
        <w:t xml:space="preserve"> Estatuto General de la Contratación de la Administración Pública ‒EGCAP‒. </w:t>
      </w:r>
      <w:r w:rsidR="007B1984" w:rsidRPr="00ED72CC">
        <w:rPr>
          <w:rFonts w:ascii="Arial" w:eastAsia="Calibri" w:hAnsi="Arial" w:cs="Arial"/>
          <w:sz w:val="22"/>
        </w:rPr>
        <w:t xml:space="preserve">Esta obligatoriedad implica que las autoridades deben implementar los documentos tipo </w:t>
      </w:r>
      <w:r w:rsidR="007B1984">
        <w:rPr>
          <w:rFonts w:ascii="Arial" w:eastAsia="Calibri" w:hAnsi="Arial" w:cs="Arial"/>
          <w:sz w:val="22"/>
        </w:rPr>
        <w:t xml:space="preserve">para los procesos contractuales </w:t>
      </w:r>
      <w:r w:rsidR="007B1984" w:rsidRPr="00ED72CC">
        <w:rPr>
          <w:rFonts w:ascii="Arial" w:eastAsia="Calibri" w:hAnsi="Arial" w:cs="Arial"/>
          <w:sz w:val="22"/>
        </w:rPr>
        <w:t xml:space="preserve">que </w:t>
      </w:r>
      <w:r w:rsidR="007B1984">
        <w:rPr>
          <w:rFonts w:ascii="Arial" w:eastAsia="Calibri" w:hAnsi="Arial" w:cs="Arial"/>
          <w:sz w:val="22"/>
        </w:rPr>
        <w:t xml:space="preserve">se </w:t>
      </w:r>
      <w:r w:rsidR="007B1984" w:rsidRPr="00ED72CC">
        <w:rPr>
          <w:rFonts w:ascii="Arial" w:eastAsia="Calibri" w:hAnsi="Arial" w:cs="Arial"/>
          <w:sz w:val="22"/>
        </w:rPr>
        <w:t xml:space="preserve">encuentren dentro de su ámbito de aplicación, </w:t>
      </w:r>
      <w:r w:rsidR="007B1984">
        <w:rPr>
          <w:rFonts w:ascii="Arial" w:eastAsia="Calibri" w:hAnsi="Arial" w:cs="Arial"/>
          <w:sz w:val="22"/>
        </w:rPr>
        <w:t>observando, además, la regla de su</w:t>
      </w:r>
      <w:r w:rsidR="007B1984" w:rsidRPr="00ED72CC">
        <w:rPr>
          <w:rFonts w:ascii="Arial" w:eastAsia="Calibri" w:hAnsi="Arial" w:cs="Arial"/>
          <w:sz w:val="22"/>
        </w:rPr>
        <w:t xml:space="preserve"> «inalterabilidad». Esto </w:t>
      </w:r>
      <w:r w:rsidR="007B1984">
        <w:rPr>
          <w:rFonts w:ascii="Arial" w:eastAsia="Calibri" w:hAnsi="Arial" w:cs="Arial"/>
          <w:sz w:val="22"/>
        </w:rPr>
        <w:t xml:space="preserve">último </w:t>
      </w:r>
      <w:r w:rsidR="007B1984" w:rsidRPr="00ED72CC">
        <w:rPr>
          <w:rFonts w:ascii="Arial" w:eastAsia="Calibri" w:hAnsi="Arial" w:cs="Arial"/>
          <w:sz w:val="22"/>
        </w:rPr>
        <w:t xml:space="preserve">significa que las entidades públicas carecen de la facultad de modificarlos, con excepción de aquellos aspectos que pueden diligenciar, es decir, las descripciones que están incluidas entre corchetes y resaltadas en </w:t>
      </w:r>
      <w:r w:rsidR="007B1984" w:rsidRPr="00ED72CC">
        <w:rPr>
          <w:rFonts w:ascii="Arial" w:eastAsia="Calibri" w:hAnsi="Arial" w:cs="Arial"/>
          <w:sz w:val="22"/>
        </w:rPr>
        <w:lastRenderedPageBreak/>
        <w:t>gris</w:t>
      </w:r>
      <w:r w:rsidR="007B1984">
        <w:rPr>
          <w:rFonts w:ascii="Arial" w:eastAsia="Calibri" w:hAnsi="Arial" w:cs="Arial"/>
          <w:sz w:val="22"/>
        </w:rPr>
        <w:t>, por lo que su contenido solo puede ser variado en los aspectos que los mismos documentos tipo permit</w:t>
      </w:r>
      <w:r w:rsidR="00C46E6E">
        <w:rPr>
          <w:rFonts w:ascii="Arial" w:eastAsia="Calibri" w:hAnsi="Arial" w:cs="Arial"/>
          <w:sz w:val="22"/>
        </w:rPr>
        <w:t>a</w:t>
      </w:r>
      <w:r w:rsidR="007B1984">
        <w:rPr>
          <w:rFonts w:ascii="Arial" w:eastAsia="Calibri" w:hAnsi="Arial" w:cs="Arial"/>
          <w:sz w:val="22"/>
        </w:rPr>
        <w:t>n su modificación.</w:t>
      </w:r>
    </w:p>
    <w:p w14:paraId="09D81910" w14:textId="3882A0AB" w:rsidR="000A74A5" w:rsidRPr="00ED72CC" w:rsidRDefault="000A74A5" w:rsidP="000A74A5">
      <w:pPr>
        <w:spacing w:before="120" w:line="276" w:lineRule="auto"/>
        <w:ind w:firstLine="709"/>
        <w:jc w:val="both"/>
        <w:rPr>
          <w:rFonts w:ascii="Arial" w:eastAsia="Calibri" w:hAnsi="Arial" w:cs="Arial"/>
          <w:sz w:val="22"/>
        </w:rPr>
      </w:pPr>
      <w:r w:rsidRPr="00ED72CC">
        <w:rPr>
          <w:rFonts w:ascii="Arial" w:eastAsia="Calibri" w:hAnsi="Arial" w:cs="Arial"/>
          <w:sz w:val="22"/>
        </w:rPr>
        <w:t>Los documentos tipo son instrumentos que buscan desarrollar medidas de fortalecimiento, eficiencia y transparencia para realizar y aprovechar las grandes inversiones en materia de infraestructura de agua potable y saneamiento básico que se realizan o se realizarán en el país. En este sentido, estos documentos tipo tienen por objetivo una tipología contractual específica: la obra pública</w:t>
      </w:r>
      <w:r w:rsidR="007B1984">
        <w:rPr>
          <w:rFonts w:ascii="Arial" w:eastAsia="Calibri" w:hAnsi="Arial" w:cs="Arial"/>
          <w:sz w:val="22"/>
        </w:rPr>
        <w:t>, concretamente,</w:t>
      </w:r>
      <w:r w:rsidRPr="00ED72CC">
        <w:rPr>
          <w:rFonts w:ascii="Arial" w:eastAsia="Calibri" w:hAnsi="Arial" w:cs="Arial"/>
          <w:sz w:val="22"/>
        </w:rPr>
        <w:t xml:space="preserve"> para los proyectos de infraestructura de agua potable y saneamiento básico </w:t>
      </w:r>
      <w:r w:rsidR="007B1984">
        <w:rPr>
          <w:rFonts w:ascii="Arial" w:eastAsia="Calibri" w:hAnsi="Arial" w:cs="Arial"/>
          <w:sz w:val="22"/>
        </w:rPr>
        <w:t xml:space="preserve">que se celebren </w:t>
      </w:r>
      <w:r w:rsidRPr="00ED72CC">
        <w:rPr>
          <w:rFonts w:ascii="Arial" w:eastAsia="Calibri" w:hAnsi="Arial" w:cs="Arial"/>
          <w:sz w:val="22"/>
        </w:rPr>
        <w:t xml:space="preserve">bajo la modalidad de licitación pública. </w:t>
      </w:r>
    </w:p>
    <w:p w14:paraId="424638A1" w14:textId="335ECF11" w:rsidR="000A74A5" w:rsidRPr="00ED72CC" w:rsidRDefault="000A74A5" w:rsidP="000A74A5">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ED72CC">
        <w:rPr>
          <w:rFonts w:ascii="Arial" w:hAnsi="Arial" w:cs="Arial"/>
          <w:color w:val="000000"/>
          <w:sz w:val="22"/>
          <w:szCs w:val="22"/>
          <w:bdr w:val="none" w:sz="0" w:space="0" w:color="auto" w:frame="1"/>
        </w:rPr>
        <w:t>Para tales efectos, entiéndase por contrato de obra pública aquellos que celebren las entidades estatales para la construcción, mantenimiento, instalación y, en general, para la realización de cualquier otro trabajo material sobre bienes inmuebles, cualquiera que sea la modalidad de ejecución</w:t>
      </w:r>
      <w:r w:rsidR="007B1984">
        <w:rPr>
          <w:rFonts w:ascii="Arial" w:hAnsi="Arial" w:cs="Arial"/>
          <w:color w:val="000000"/>
          <w:sz w:val="22"/>
          <w:szCs w:val="22"/>
          <w:bdr w:val="none" w:sz="0" w:space="0" w:color="auto" w:frame="1"/>
        </w:rPr>
        <w:t xml:space="preserve"> y pago</w:t>
      </w:r>
      <w:r w:rsidRPr="00ED72CC">
        <w:rPr>
          <w:rStyle w:val="Refdenotaalpie"/>
          <w:rFonts w:ascii="Arial" w:hAnsi="Arial" w:cs="Arial"/>
          <w:color w:val="000000"/>
          <w:sz w:val="22"/>
          <w:szCs w:val="22"/>
          <w:bdr w:val="none" w:sz="0" w:space="0" w:color="auto" w:frame="1"/>
        </w:rPr>
        <w:footnoteReference w:id="2"/>
      </w:r>
      <w:r w:rsidRPr="00ED72CC">
        <w:rPr>
          <w:rFonts w:ascii="Arial" w:hAnsi="Arial" w:cs="Arial"/>
          <w:color w:val="000000"/>
          <w:sz w:val="22"/>
          <w:szCs w:val="22"/>
          <w:bdr w:val="none" w:sz="0" w:space="0" w:color="auto" w:frame="1"/>
        </w:rPr>
        <w:t xml:space="preserve">. </w:t>
      </w:r>
    </w:p>
    <w:p w14:paraId="1AF74CB6" w14:textId="77777777" w:rsidR="000A74A5" w:rsidRPr="00ED72CC" w:rsidRDefault="000A74A5" w:rsidP="000A74A5">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sidRPr="00ED72CC">
        <w:rPr>
          <w:rFonts w:ascii="Arial" w:hAnsi="Arial" w:cs="Arial"/>
          <w:color w:val="000000"/>
          <w:sz w:val="22"/>
          <w:szCs w:val="22"/>
          <w:bdr w:val="none" w:sz="0" w:space="0" w:color="auto" w:frame="1"/>
        </w:rPr>
        <w:t>Por tal motivo, según lo establece el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r w:rsidRPr="00ED72CC">
        <w:rPr>
          <w:rFonts w:ascii="Arial" w:eastAsia="Calibri" w:hAnsi="Arial" w:cs="Arial"/>
          <w:sz w:val="22"/>
          <w:szCs w:val="22"/>
          <w:lang w:val="es-MX" w:eastAsia="en-US"/>
        </w:rPr>
        <w:t>La implementación de estos documentos es obligatoria en los procedimientos de selección cuyo aviso de convocatoria se publique a partir del 11 de diciembre de 2020, como lo establece el artículo 6.</w:t>
      </w:r>
    </w:p>
    <w:p w14:paraId="35B10A2B" w14:textId="030A3111" w:rsidR="000A74A5" w:rsidRPr="000A74A5" w:rsidRDefault="000A74A5" w:rsidP="000A74A5">
      <w:pPr>
        <w:pStyle w:val="xmsonospacing"/>
        <w:spacing w:before="120" w:beforeAutospacing="0" w:after="0" w:afterAutospacing="0" w:line="276" w:lineRule="auto"/>
        <w:ind w:firstLine="708"/>
        <w:jc w:val="both"/>
        <w:rPr>
          <w:rFonts w:ascii="Arial" w:eastAsia="Calibri" w:hAnsi="Arial" w:cs="Arial"/>
          <w:sz w:val="22"/>
          <w:szCs w:val="22"/>
          <w:lang w:val="es-MX" w:eastAsia="en-US"/>
        </w:rPr>
      </w:pPr>
      <w:r w:rsidRPr="00ED72CC">
        <w:rPr>
          <w:rFonts w:ascii="Arial" w:hAnsi="Arial" w:cs="Arial"/>
          <w:color w:val="000000"/>
          <w:sz w:val="22"/>
          <w:szCs w:val="22"/>
          <w:bdr w:val="none" w:sz="0" w:space="0" w:color="auto" w:frame="1"/>
        </w:rPr>
        <w:t>Además, de conformidad con el artículo 3, los documentos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r w:rsidRPr="00ED72CC">
        <w:rPr>
          <w:rFonts w:ascii="Arial" w:eastAsia="Calibri" w:hAnsi="Arial" w:cs="Arial"/>
          <w:sz w:val="22"/>
          <w:szCs w:val="22"/>
          <w:lang w:val="es-MX" w:eastAsia="en-US"/>
        </w:rPr>
        <w:t xml:space="preserve"> </w:t>
      </w:r>
    </w:p>
    <w:p w14:paraId="218E6F11" w14:textId="77777777" w:rsidR="000A74A5" w:rsidRDefault="000A74A5" w:rsidP="00FC790C">
      <w:pPr>
        <w:pStyle w:val="Prrafodelista"/>
        <w:spacing w:line="276" w:lineRule="auto"/>
        <w:ind w:left="0"/>
        <w:jc w:val="both"/>
        <w:rPr>
          <w:rFonts w:ascii="Arial" w:hAnsi="Arial" w:cs="Arial"/>
          <w:b/>
          <w:sz w:val="22"/>
          <w:lang w:val="es-CO"/>
        </w:rPr>
      </w:pPr>
    </w:p>
    <w:p w14:paraId="6B8461C6" w14:textId="5338649B" w:rsidR="00211349" w:rsidRPr="00211349" w:rsidRDefault="00FC790C" w:rsidP="004251AA">
      <w:pPr>
        <w:pStyle w:val="Ttulo1"/>
        <w:tabs>
          <w:tab w:val="left" w:pos="0"/>
        </w:tabs>
        <w:spacing w:line="276" w:lineRule="auto"/>
        <w:ind w:left="0" w:right="49" w:firstLine="0"/>
        <w:jc w:val="both"/>
      </w:pPr>
      <w:r w:rsidRPr="00211349">
        <w:rPr>
          <w:lang w:val="es-CO"/>
        </w:rPr>
        <w:t>2</w:t>
      </w:r>
      <w:r w:rsidRPr="00211349">
        <w:rPr>
          <w:rFonts w:eastAsiaTheme="minorHAnsi"/>
          <w:bCs w:val="0"/>
          <w:lang w:val="es-CO"/>
        </w:rPr>
        <w:t>.</w:t>
      </w:r>
      <w:r w:rsidR="00967445" w:rsidRPr="00211349">
        <w:rPr>
          <w:rFonts w:eastAsiaTheme="minorHAnsi"/>
          <w:bCs w:val="0"/>
          <w:lang w:val="es-CO"/>
        </w:rPr>
        <w:t>2</w:t>
      </w:r>
      <w:r w:rsidRPr="00211349">
        <w:rPr>
          <w:rFonts w:eastAsiaTheme="minorHAnsi"/>
          <w:bCs w:val="0"/>
          <w:lang w:val="es-CO"/>
        </w:rPr>
        <w:t xml:space="preserve">. </w:t>
      </w:r>
      <w:r w:rsidR="0070739B">
        <w:rPr>
          <w:rFonts w:eastAsiaTheme="minorHAnsi"/>
          <w:bCs w:val="0"/>
          <w:lang w:val="es-CO"/>
        </w:rPr>
        <w:t>La s</w:t>
      </w:r>
      <w:r w:rsidR="00211349" w:rsidRPr="00211349">
        <w:rPr>
          <w:rFonts w:eastAsiaTheme="minorHAnsi"/>
          <w:bCs w:val="0"/>
          <w:lang w:val="es-CO"/>
        </w:rPr>
        <w:t>ubsanabilidad de las ofertas en los procesos de selección después de la ley 1882 de 2018</w:t>
      </w:r>
      <w:r w:rsidR="00211349" w:rsidRPr="00211349">
        <w:t xml:space="preserve"> </w:t>
      </w:r>
    </w:p>
    <w:p w14:paraId="50A7C910" w14:textId="458DB14A" w:rsidR="00211349" w:rsidRDefault="00211349" w:rsidP="00211349">
      <w:pPr>
        <w:widowControl w:val="0"/>
        <w:autoSpaceDE w:val="0"/>
        <w:autoSpaceDN w:val="0"/>
        <w:spacing w:before="3"/>
        <w:rPr>
          <w:rFonts w:ascii="Arial" w:eastAsia="Arial" w:hAnsi="Arial" w:cs="Arial"/>
          <w:b/>
          <w:sz w:val="25"/>
          <w:lang w:val="es-ES"/>
        </w:rPr>
      </w:pPr>
    </w:p>
    <w:p w14:paraId="11634A7E" w14:textId="639B0472" w:rsidR="009709E6" w:rsidRPr="009709E6" w:rsidRDefault="009709E6" w:rsidP="0070739B">
      <w:pPr>
        <w:pStyle w:val="Textoindependiente"/>
        <w:ind w:right="49"/>
        <w:jc w:val="both"/>
        <w:rPr>
          <w:rFonts w:ascii="Arial" w:eastAsia="Calibri" w:hAnsi="Arial" w:cs="Arial"/>
          <w:lang w:eastAsia="en-US"/>
        </w:rPr>
      </w:pPr>
      <w:r w:rsidRPr="009709E6">
        <w:rPr>
          <w:rFonts w:ascii="Arial" w:eastAsia="Calibri" w:hAnsi="Arial" w:cs="Arial"/>
          <w:lang w:eastAsia="en-US"/>
        </w:rPr>
        <w:t xml:space="preserve">La regla de subsanabilidad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w:t>
      </w:r>
      <w:r w:rsidRPr="009709E6">
        <w:rPr>
          <w:rFonts w:ascii="Arial" w:eastAsia="Calibri" w:hAnsi="Arial" w:cs="Arial"/>
          <w:lang w:eastAsia="en-US"/>
        </w:rPr>
        <w:lastRenderedPageBreak/>
        <w:t>incurre en los documentos contentivos de la oferta. Así lo ha establecido el Consejo de Estado, en los siguientes términos:</w:t>
      </w:r>
    </w:p>
    <w:p w14:paraId="67D73028" w14:textId="5359D2C6" w:rsidR="00211349" w:rsidRPr="00211349" w:rsidRDefault="009709E6" w:rsidP="0070739B">
      <w:pPr>
        <w:tabs>
          <w:tab w:val="left" w:pos="567"/>
        </w:tabs>
        <w:ind w:left="709" w:right="709"/>
        <w:jc w:val="both"/>
        <w:rPr>
          <w:rFonts w:ascii="Arial" w:hAnsi="Arial" w:cs="Arial"/>
          <w:sz w:val="21"/>
          <w:szCs w:val="21"/>
          <w:lang w:val="es-CO"/>
        </w:rPr>
      </w:pPr>
      <w:r w:rsidRPr="009709E6">
        <w:rPr>
          <w:rFonts w:ascii="Arial" w:hAnsi="Arial" w:cs="Arial"/>
          <w:sz w:val="21"/>
          <w:szCs w:val="21"/>
          <w:lang w:val="es-CO"/>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w:t>
      </w:r>
      <w:r>
        <w:rPr>
          <w:rFonts w:ascii="Arial" w:hAnsi="Arial" w:cs="Arial"/>
          <w:sz w:val="21"/>
          <w:szCs w:val="21"/>
          <w:lang w:val="es-CO"/>
        </w:rPr>
        <w:t>s</w:t>
      </w:r>
      <w:r>
        <w:rPr>
          <w:rStyle w:val="Refdenotaalpie"/>
          <w:rFonts w:ascii="Arial" w:hAnsi="Arial" w:cs="Arial"/>
          <w:sz w:val="21"/>
          <w:szCs w:val="21"/>
          <w:lang w:val="es-CO"/>
        </w:rPr>
        <w:footnoteReference w:id="3"/>
      </w:r>
      <w:r w:rsidR="007B77F3">
        <w:rPr>
          <w:rFonts w:ascii="Arial" w:hAnsi="Arial" w:cs="Arial"/>
          <w:sz w:val="21"/>
          <w:szCs w:val="21"/>
          <w:lang w:val="es-CO"/>
        </w:rPr>
        <w:t xml:space="preserve">. </w:t>
      </w:r>
    </w:p>
    <w:p w14:paraId="18914995" w14:textId="77777777" w:rsidR="009709E6" w:rsidRDefault="009709E6" w:rsidP="009709E6">
      <w:pPr>
        <w:widowControl w:val="0"/>
        <w:autoSpaceDE w:val="0"/>
        <w:autoSpaceDN w:val="0"/>
        <w:spacing w:line="276" w:lineRule="auto"/>
        <w:ind w:left="100" w:right="533" w:firstLine="708"/>
        <w:jc w:val="both"/>
        <w:rPr>
          <w:rFonts w:ascii="Arial" w:eastAsia="Arial" w:hAnsi="Arial" w:cs="Arial"/>
          <w:sz w:val="22"/>
          <w:lang w:val="es-ES"/>
        </w:rPr>
      </w:pPr>
    </w:p>
    <w:p w14:paraId="0BB6C11E" w14:textId="2E9F14EE" w:rsidR="009709E6" w:rsidRDefault="009709E6" w:rsidP="005076E2">
      <w:pPr>
        <w:widowControl w:val="0"/>
        <w:autoSpaceDE w:val="0"/>
        <w:autoSpaceDN w:val="0"/>
        <w:spacing w:line="276" w:lineRule="auto"/>
        <w:ind w:left="100" w:right="49" w:firstLine="609"/>
        <w:jc w:val="both"/>
        <w:rPr>
          <w:rFonts w:ascii="Arial" w:eastAsia="Calibri" w:hAnsi="Arial" w:cs="Arial"/>
          <w:sz w:val="22"/>
          <w:lang w:val="es-CO"/>
        </w:rPr>
      </w:pPr>
      <w:r w:rsidRPr="009709E6">
        <w:rPr>
          <w:rFonts w:ascii="Arial" w:eastAsia="Calibri" w:hAnsi="Arial" w:cs="Arial"/>
          <w:sz w:val="22"/>
          <w:lang w:val="es-CO"/>
        </w:rPr>
        <w:t xml:space="preserve">Esta Subdirección se ha pronunciado en diversas oportunidades acerca del alcance de la regla de la subsanabilidad, contenida actualmente en el parágrafo 1 del artículo 5 de la Ley 1150 de 2007, modificado por el artículo </w:t>
      </w:r>
      <w:r w:rsidR="00C47349">
        <w:rPr>
          <w:rFonts w:ascii="Arial" w:eastAsia="Calibri" w:hAnsi="Arial" w:cs="Arial"/>
          <w:sz w:val="22"/>
          <w:lang w:val="es-CO"/>
        </w:rPr>
        <w:t>5</w:t>
      </w:r>
      <w:r w:rsidRPr="009709E6">
        <w:rPr>
          <w:rFonts w:ascii="Arial" w:eastAsia="Calibri" w:hAnsi="Arial" w:cs="Arial"/>
          <w:sz w:val="22"/>
          <w:lang w:val="es-CO"/>
        </w:rPr>
        <w:t xml:space="preserve"> de la Ley 1882 de 2018</w:t>
      </w:r>
      <w:r w:rsidR="0070739B">
        <w:rPr>
          <w:rStyle w:val="Refdenotaalpie"/>
          <w:rFonts w:ascii="Arial" w:eastAsia="Calibri" w:hAnsi="Arial" w:cs="Arial"/>
          <w:sz w:val="22"/>
          <w:lang w:val="es-CO"/>
        </w:rPr>
        <w:footnoteReference w:id="4"/>
      </w:r>
      <w:r w:rsidRPr="009709E6">
        <w:rPr>
          <w:rFonts w:ascii="Arial" w:eastAsia="Calibri" w:hAnsi="Arial" w:cs="Arial"/>
          <w:sz w:val="22"/>
          <w:lang w:val="es-CO"/>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w:t>
      </w:r>
      <w:r w:rsidR="007B77F3">
        <w:rPr>
          <w:rFonts w:ascii="Arial" w:eastAsia="Calibri" w:hAnsi="Arial" w:cs="Arial"/>
          <w:sz w:val="22"/>
          <w:lang w:val="es-CO"/>
        </w:rPr>
        <w:t>,</w:t>
      </w:r>
      <w:r w:rsidRPr="009709E6">
        <w:rPr>
          <w:rFonts w:ascii="Arial" w:eastAsia="Calibri" w:hAnsi="Arial" w:cs="Arial"/>
          <w:sz w:val="22"/>
          <w:lang w:val="es-CO"/>
        </w:rPr>
        <w:t xml:space="preserve"> por ejemplo, la prohibición de permitir la entrega de la garantía de seriedad de la oferta que no fue aportada con la propuesta y de permitir la acreditación de circunstancias ocurridas con posterioridad al cierre del proceso.</w:t>
      </w:r>
    </w:p>
    <w:p w14:paraId="1350515D" w14:textId="09CC1ECC" w:rsidR="0070739B" w:rsidRPr="0070739B" w:rsidRDefault="007B77F3" w:rsidP="005076E2">
      <w:pPr>
        <w:widowControl w:val="0"/>
        <w:autoSpaceDE w:val="0"/>
        <w:autoSpaceDN w:val="0"/>
        <w:spacing w:before="120" w:line="276" w:lineRule="auto"/>
        <w:ind w:left="100" w:right="49" w:firstLine="609"/>
        <w:jc w:val="both"/>
        <w:rPr>
          <w:rFonts w:ascii="Arial" w:eastAsia="Arial" w:hAnsi="Arial" w:cs="Arial"/>
          <w:sz w:val="22"/>
          <w:lang w:val="es-ES"/>
        </w:rPr>
      </w:pPr>
      <w:r>
        <w:rPr>
          <w:rFonts w:ascii="Arial" w:eastAsia="Calibri" w:hAnsi="Arial" w:cs="Arial"/>
          <w:sz w:val="22"/>
          <w:lang w:val="es-CO"/>
        </w:rPr>
        <w:t xml:space="preserve">En este sentido, bajo la normativa actual que regula la subsanabilidad de las ofertas debe </w:t>
      </w:r>
      <w:r w:rsidR="00646B5D">
        <w:rPr>
          <w:rFonts w:ascii="Arial" w:eastAsia="Calibri" w:hAnsi="Arial" w:cs="Arial"/>
          <w:sz w:val="22"/>
          <w:lang w:val="es-CO"/>
        </w:rPr>
        <w:t>tenerse</w:t>
      </w:r>
      <w:r>
        <w:rPr>
          <w:rFonts w:ascii="Arial" w:eastAsia="Calibri" w:hAnsi="Arial" w:cs="Arial"/>
          <w:sz w:val="22"/>
          <w:lang w:val="es-CO"/>
        </w:rPr>
        <w:t xml:space="preserve"> en cuenta que </w:t>
      </w:r>
      <w:r>
        <w:rPr>
          <w:rFonts w:ascii="Arial" w:eastAsia="Arial" w:hAnsi="Arial" w:cs="Arial"/>
          <w:sz w:val="22"/>
          <w:lang w:val="es-ES"/>
        </w:rPr>
        <w:t>e</w:t>
      </w:r>
      <w:r w:rsidR="0070739B" w:rsidRPr="0070739B">
        <w:rPr>
          <w:rFonts w:ascii="Arial" w:eastAsia="Arial" w:hAnsi="Arial" w:cs="Arial"/>
          <w:sz w:val="22"/>
          <w:lang w:val="es-ES"/>
        </w:rPr>
        <w:t>l</w:t>
      </w:r>
      <w:r w:rsidR="0070739B" w:rsidRPr="0070739B">
        <w:rPr>
          <w:rFonts w:ascii="Arial" w:eastAsia="Arial" w:hAnsi="Arial" w:cs="Arial"/>
          <w:spacing w:val="-12"/>
          <w:sz w:val="22"/>
          <w:lang w:val="es-ES"/>
        </w:rPr>
        <w:t xml:space="preserve"> </w:t>
      </w:r>
      <w:r w:rsidR="0070739B" w:rsidRPr="0070739B">
        <w:rPr>
          <w:rFonts w:ascii="Arial" w:eastAsia="Arial" w:hAnsi="Arial" w:cs="Arial"/>
          <w:sz w:val="22"/>
          <w:lang w:val="es-ES"/>
        </w:rPr>
        <w:t>legislador</w:t>
      </w:r>
      <w:r w:rsidR="0070739B" w:rsidRPr="0070739B">
        <w:rPr>
          <w:rFonts w:ascii="Arial" w:eastAsia="Arial" w:hAnsi="Arial" w:cs="Arial"/>
          <w:spacing w:val="-12"/>
          <w:sz w:val="22"/>
          <w:lang w:val="es-ES"/>
        </w:rPr>
        <w:t xml:space="preserve"> </w:t>
      </w:r>
      <w:r w:rsidR="0070739B" w:rsidRPr="0070739B">
        <w:rPr>
          <w:rFonts w:ascii="Arial" w:eastAsia="Arial" w:hAnsi="Arial" w:cs="Arial"/>
          <w:sz w:val="22"/>
          <w:lang w:val="es-ES"/>
        </w:rPr>
        <w:t>expidió</w:t>
      </w:r>
      <w:r w:rsidR="0070739B" w:rsidRPr="0070739B">
        <w:rPr>
          <w:rFonts w:ascii="Arial" w:eastAsia="Arial" w:hAnsi="Arial" w:cs="Arial"/>
          <w:spacing w:val="-13"/>
          <w:sz w:val="22"/>
          <w:lang w:val="es-ES"/>
        </w:rPr>
        <w:t xml:space="preserve"> </w:t>
      </w:r>
      <w:r w:rsidR="0070739B" w:rsidRPr="0070739B">
        <w:rPr>
          <w:rFonts w:ascii="Arial" w:eastAsia="Arial" w:hAnsi="Arial" w:cs="Arial"/>
          <w:sz w:val="22"/>
          <w:lang w:val="es-ES"/>
        </w:rPr>
        <w:t>la</w:t>
      </w:r>
      <w:r w:rsidR="0070739B" w:rsidRPr="0070739B">
        <w:rPr>
          <w:rFonts w:ascii="Arial" w:eastAsia="Arial" w:hAnsi="Arial" w:cs="Arial"/>
          <w:spacing w:val="-12"/>
          <w:sz w:val="22"/>
          <w:lang w:val="es-ES"/>
        </w:rPr>
        <w:t xml:space="preserve"> </w:t>
      </w:r>
      <w:r w:rsidR="0070739B" w:rsidRPr="0070739B">
        <w:rPr>
          <w:rFonts w:ascii="Arial" w:eastAsia="Arial" w:hAnsi="Arial" w:cs="Arial"/>
          <w:sz w:val="22"/>
          <w:lang w:val="es-ES"/>
        </w:rPr>
        <w:t>Ley</w:t>
      </w:r>
      <w:r w:rsidR="0070739B" w:rsidRPr="0070739B">
        <w:rPr>
          <w:rFonts w:ascii="Arial" w:eastAsia="Arial" w:hAnsi="Arial" w:cs="Arial"/>
          <w:spacing w:val="-13"/>
          <w:sz w:val="22"/>
          <w:lang w:val="es-ES"/>
        </w:rPr>
        <w:t xml:space="preserve"> </w:t>
      </w:r>
      <w:r w:rsidR="0070739B" w:rsidRPr="0070739B">
        <w:rPr>
          <w:rFonts w:ascii="Arial" w:eastAsia="Arial" w:hAnsi="Arial" w:cs="Arial"/>
          <w:sz w:val="22"/>
          <w:lang w:val="es-ES"/>
        </w:rPr>
        <w:t>1882</w:t>
      </w:r>
      <w:r w:rsidR="0070739B" w:rsidRPr="0070739B">
        <w:rPr>
          <w:rFonts w:ascii="Arial" w:eastAsia="Arial" w:hAnsi="Arial" w:cs="Arial"/>
          <w:spacing w:val="-13"/>
          <w:sz w:val="22"/>
          <w:lang w:val="es-ES"/>
        </w:rPr>
        <w:t xml:space="preserve"> </w:t>
      </w:r>
      <w:r w:rsidR="0070739B" w:rsidRPr="0070739B">
        <w:rPr>
          <w:rFonts w:ascii="Arial" w:eastAsia="Arial" w:hAnsi="Arial" w:cs="Arial"/>
          <w:sz w:val="22"/>
          <w:lang w:val="es-ES"/>
        </w:rPr>
        <w:t>de</w:t>
      </w:r>
      <w:r w:rsidR="0070739B" w:rsidRPr="0070739B">
        <w:rPr>
          <w:rFonts w:ascii="Arial" w:eastAsia="Arial" w:hAnsi="Arial" w:cs="Arial"/>
          <w:spacing w:val="-12"/>
          <w:sz w:val="22"/>
          <w:lang w:val="es-ES"/>
        </w:rPr>
        <w:t xml:space="preserve"> </w:t>
      </w:r>
      <w:r w:rsidR="0070739B" w:rsidRPr="0070739B">
        <w:rPr>
          <w:rFonts w:ascii="Arial" w:eastAsia="Arial" w:hAnsi="Arial" w:cs="Arial"/>
          <w:sz w:val="22"/>
          <w:lang w:val="es-ES"/>
        </w:rPr>
        <w:t>2018,</w:t>
      </w:r>
      <w:r w:rsidR="0070739B" w:rsidRPr="0070739B">
        <w:rPr>
          <w:rFonts w:ascii="Arial" w:eastAsia="Arial" w:hAnsi="Arial" w:cs="Arial"/>
          <w:spacing w:val="-13"/>
          <w:sz w:val="22"/>
          <w:lang w:val="es-ES"/>
        </w:rPr>
        <w:t xml:space="preserve"> </w:t>
      </w:r>
      <w:r w:rsidR="0070739B" w:rsidRPr="0070739B">
        <w:rPr>
          <w:rFonts w:ascii="Arial" w:eastAsia="Arial" w:hAnsi="Arial" w:cs="Arial"/>
          <w:sz w:val="22"/>
          <w:lang w:val="es-ES"/>
        </w:rPr>
        <w:t>con</w:t>
      </w:r>
      <w:r w:rsidR="0070739B" w:rsidRPr="0070739B">
        <w:rPr>
          <w:rFonts w:ascii="Arial" w:eastAsia="Arial" w:hAnsi="Arial" w:cs="Arial"/>
          <w:spacing w:val="-12"/>
          <w:sz w:val="22"/>
          <w:lang w:val="es-ES"/>
        </w:rPr>
        <w:t xml:space="preserve"> </w:t>
      </w:r>
      <w:r w:rsidR="0070739B" w:rsidRPr="0070739B">
        <w:rPr>
          <w:rFonts w:ascii="Arial" w:eastAsia="Arial" w:hAnsi="Arial" w:cs="Arial"/>
          <w:sz w:val="22"/>
          <w:lang w:val="es-ES"/>
        </w:rPr>
        <w:t>la</w:t>
      </w:r>
      <w:r w:rsidR="0070739B" w:rsidRPr="0070739B">
        <w:rPr>
          <w:rFonts w:ascii="Arial" w:eastAsia="Arial" w:hAnsi="Arial" w:cs="Arial"/>
          <w:spacing w:val="-13"/>
          <w:sz w:val="22"/>
          <w:lang w:val="es-ES"/>
        </w:rPr>
        <w:t xml:space="preserve"> </w:t>
      </w:r>
      <w:r w:rsidR="0070739B" w:rsidRPr="0070739B">
        <w:rPr>
          <w:rFonts w:ascii="Arial" w:eastAsia="Arial" w:hAnsi="Arial" w:cs="Arial"/>
          <w:sz w:val="22"/>
          <w:lang w:val="es-ES"/>
        </w:rPr>
        <w:t xml:space="preserve">finalidad de introducir cambios y ajustes para fortalecer la contratación pública. </w:t>
      </w:r>
      <w:r w:rsidR="00C47349">
        <w:rPr>
          <w:rFonts w:ascii="Arial" w:eastAsia="Arial" w:hAnsi="Arial" w:cs="Arial"/>
          <w:sz w:val="22"/>
          <w:lang w:val="es-ES"/>
        </w:rPr>
        <w:t>En este sentido, e</w:t>
      </w:r>
      <w:r w:rsidR="0070739B" w:rsidRPr="0070739B">
        <w:rPr>
          <w:rFonts w:ascii="Arial" w:eastAsia="Arial" w:hAnsi="Arial" w:cs="Arial"/>
          <w:sz w:val="22"/>
          <w:lang w:val="es-ES"/>
        </w:rPr>
        <w:t xml:space="preserve">l artículo 5 </w:t>
      </w:r>
      <w:r w:rsidR="00646B5D">
        <w:rPr>
          <w:rFonts w:ascii="Arial" w:eastAsia="Arial" w:hAnsi="Arial" w:cs="Arial"/>
          <w:sz w:val="22"/>
          <w:lang w:val="es-ES"/>
        </w:rPr>
        <w:t xml:space="preserve">de dicha ley </w:t>
      </w:r>
      <w:r w:rsidR="0070739B" w:rsidRPr="0070739B">
        <w:rPr>
          <w:rFonts w:ascii="Arial" w:eastAsia="Arial" w:hAnsi="Arial" w:cs="Arial"/>
          <w:sz w:val="22"/>
          <w:lang w:val="es-ES"/>
        </w:rPr>
        <w:t xml:space="preserve">modificó el parágrafo 1º del artículo 5 de la Ley 1150 de 2007 </w:t>
      </w:r>
      <w:r w:rsidR="00646B5D">
        <w:rPr>
          <w:rFonts w:ascii="Arial" w:eastAsia="Arial" w:hAnsi="Arial" w:cs="Arial"/>
          <w:sz w:val="22"/>
          <w:lang w:val="es-ES"/>
        </w:rPr>
        <w:t>e incluyó 3 parágrafos adicionales:</w:t>
      </w:r>
    </w:p>
    <w:p w14:paraId="0B4E28C4" w14:textId="77777777" w:rsidR="0070739B" w:rsidRPr="0070739B" w:rsidRDefault="0070739B" w:rsidP="0070739B">
      <w:pPr>
        <w:widowControl w:val="0"/>
        <w:autoSpaceDE w:val="0"/>
        <w:autoSpaceDN w:val="0"/>
        <w:spacing w:before="3"/>
        <w:rPr>
          <w:rFonts w:ascii="Arial" w:eastAsia="Arial" w:hAnsi="Arial" w:cs="Arial"/>
          <w:sz w:val="25"/>
          <w:lang w:val="es-ES"/>
        </w:rPr>
      </w:pPr>
    </w:p>
    <w:p w14:paraId="0DB4B100" w14:textId="67C2DE4E" w:rsidR="00646B5D" w:rsidRPr="000078FE" w:rsidRDefault="00F52094" w:rsidP="005076E2">
      <w:pPr>
        <w:widowControl w:val="0"/>
        <w:autoSpaceDE w:val="0"/>
        <w:autoSpaceDN w:val="0"/>
        <w:spacing w:after="120"/>
        <w:ind w:left="709" w:right="709"/>
        <w:jc w:val="both"/>
        <w:rPr>
          <w:rFonts w:ascii="Arial" w:eastAsia="Arial" w:hAnsi="Arial" w:cs="Arial"/>
          <w:sz w:val="21"/>
          <w:szCs w:val="21"/>
          <w:lang w:val="es-ES"/>
        </w:rPr>
      </w:pPr>
      <w:r>
        <w:rPr>
          <w:rFonts w:ascii="Arial" w:eastAsia="Arial" w:hAnsi="Arial" w:cs="Arial"/>
          <w:sz w:val="21"/>
          <w:szCs w:val="21"/>
          <w:lang w:val="es-ES"/>
        </w:rPr>
        <w:t>«</w:t>
      </w:r>
      <w:r w:rsidR="00646B5D" w:rsidRPr="00C46E6E">
        <w:rPr>
          <w:rFonts w:ascii="Arial" w:eastAsia="Arial" w:hAnsi="Arial" w:cs="Arial"/>
          <w:sz w:val="21"/>
          <w:szCs w:val="21"/>
          <w:lang w:val="es-ES"/>
        </w:rPr>
        <w:t>ARTÍCULO 5o. Modifíquese el parágrafo 1 e inclúyanse los parágrafos 3, 4 y 5 de artículo 5o de la Ley 1150 de 2007, los cuales quedarán así:</w:t>
      </w:r>
    </w:p>
    <w:p w14:paraId="0AA350F1" w14:textId="59352B16" w:rsidR="00646B5D" w:rsidRPr="00301B31" w:rsidRDefault="00F52094" w:rsidP="005076E2">
      <w:pPr>
        <w:widowControl w:val="0"/>
        <w:autoSpaceDE w:val="0"/>
        <w:autoSpaceDN w:val="0"/>
        <w:spacing w:after="12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00646B5D" w:rsidRPr="00C46E6E">
        <w:rPr>
          <w:rFonts w:ascii="Arial" w:eastAsia="Arial" w:hAnsi="Arial" w:cs="Arial"/>
          <w:sz w:val="21"/>
          <w:szCs w:val="21"/>
          <w:lang w:val="es-ES"/>
        </w:rPr>
        <w:t>Artículo</w:t>
      </w:r>
      <w:proofErr w:type="gramEnd"/>
      <w:r w:rsidR="00646B5D" w:rsidRPr="00C46E6E">
        <w:rPr>
          <w:rFonts w:ascii="Arial" w:eastAsia="Arial" w:hAnsi="Arial" w:cs="Arial"/>
          <w:sz w:val="21"/>
          <w:szCs w:val="21"/>
          <w:lang w:val="es-ES"/>
        </w:rPr>
        <w:t xml:space="preserve"> 5o. De la selección objetiva.</w:t>
      </w:r>
    </w:p>
    <w:p w14:paraId="59CB7C2D" w14:textId="4A3E3802" w:rsidR="00646B5D" w:rsidRPr="00301B31" w:rsidRDefault="00646B5D" w:rsidP="005076E2">
      <w:pPr>
        <w:widowControl w:val="0"/>
        <w:autoSpaceDE w:val="0"/>
        <w:autoSpaceDN w:val="0"/>
        <w:spacing w:after="120"/>
        <w:ind w:left="709" w:right="709"/>
        <w:jc w:val="both"/>
        <w:rPr>
          <w:rFonts w:ascii="Arial" w:eastAsia="Arial" w:hAnsi="Arial" w:cs="Arial"/>
          <w:sz w:val="21"/>
          <w:szCs w:val="21"/>
          <w:lang w:val="es-ES"/>
        </w:rPr>
      </w:pPr>
      <w:r>
        <w:rPr>
          <w:rFonts w:ascii="Arial" w:eastAsia="Arial" w:hAnsi="Arial" w:cs="Arial"/>
          <w:sz w:val="21"/>
          <w:szCs w:val="21"/>
          <w:lang w:val="es-ES"/>
        </w:rPr>
        <w:t>»</w:t>
      </w:r>
      <w:r w:rsidRPr="00C46E6E">
        <w:rPr>
          <w:rFonts w:ascii="Arial" w:eastAsia="Arial" w:hAnsi="Arial" w:cs="Arial"/>
          <w:sz w:val="21"/>
          <w:szCs w:val="21"/>
          <w:lang w:val="es-ES"/>
        </w:rPr>
        <w:t>(...)</w:t>
      </w:r>
    </w:p>
    <w:p w14:paraId="1A434967" w14:textId="21DA2EB2" w:rsidR="00646B5D" w:rsidRPr="00B3263D" w:rsidRDefault="00646B5D" w:rsidP="005076E2">
      <w:pPr>
        <w:widowControl w:val="0"/>
        <w:autoSpaceDE w:val="0"/>
        <w:autoSpaceDN w:val="0"/>
        <w:spacing w:after="12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Pr="00C46E6E">
        <w:rPr>
          <w:rFonts w:ascii="Arial" w:eastAsia="Arial" w:hAnsi="Arial" w:cs="Arial"/>
          <w:sz w:val="21"/>
          <w:szCs w:val="21"/>
          <w:lang w:val="es-ES"/>
        </w:rPr>
        <w:t>PARÁGRAFO</w:t>
      </w:r>
      <w:proofErr w:type="gramEnd"/>
      <w:r w:rsidRPr="00C46E6E">
        <w:rPr>
          <w:rFonts w:ascii="Arial" w:eastAsia="Arial" w:hAnsi="Arial" w:cs="Arial"/>
          <w:sz w:val="21"/>
          <w:szCs w:val="21"/>
          <w:lang w:val="es-ES"/>
        </w:rPr>
        <w:t xml:space="preserve"> 1. La ausencia de </w:t>
      </w:r>
      <w:r w:rsidRPr="00301B31">
        <w:rPr>
          <w:rFonts w:ascii="Arial" w:eastAsia="Arial" w:hAnsi="Arial" w:cs="Arial"/>
          <w:sz w:val="21"/>
          <w:szCs w:val="21"/>
          <w:lang w:val="es-ES"/>
        </w:rPr>
        <w:t>requisitos o la falta de documentos referentes a la futura contratación o al proponente, no necesarios para la comparación de las propuestas no servirán de título suficiente para el rechazo de los ofrecimientos hechos. En consecuencia, todos aquellos requi</w:t>
      </w:r>
      <w:r w:rsidRPr="000078FE">
        <w:rPr>
          <w:rFonts w:ascii="Arial" w:eastAsia="Arial" w:hAnsi="Arial" w:cs="Arial"/>
          <w:sz w:val="21"/>
          <w:szCs w:val="21"/>
          <w:lang w:val="es-ES"/>
        </w:rPr>
        <w:t>sitos de la propuesta que no afecten la asignación d</w:t>
      </w:r>
      <w:r w:rsidRPr="00D00083">
        <w:rPr>
          <w:rFonts w:ascii="Arial" w:eastAsia="Arial" w:hAnsi="Arial" w:cs="Arial"/>
          <w:sz w:val="21"/>
          <w:szCs w:val="21"/>
          <w:lang w:val="es-ES"/>
        </w:rPr>
        <w:t xml:space="preserve">e </w:t>
      </w:r>
      <w:proofErr w:type="gramStart"/>
      <w:r w:rsidRPr="00D00083">
        <w:rPr>
          <w:rFonts w:ascii="Arial" w:eastAsia="Arial" w:hAnsi="Arial" w:cs="Arial"/>
          <w:sz w:val="21"/>
          <w:szCs w:val="21"/>
          <w:lang w:val="es-ES"/>
        </w:rPr>
        <w:t>puntaje,</w:t>
      </w:r>
      <w:proofErr w:type="gramEnd"/>
      <w:r w:rsidRPr="00D00083">
        <w:rPr>
          <w:rFonts w:ascii="Arial" w:eastAsia="Arial" w:hAnsi="Arial" w:cs="Arial"/>
          <w:sz w:val="21"/>
          <w:szCs w:val="21"/>
          <w:lang w:val="es-ES"/>
        </w:rPr>
        <w:t xml:space="preserve"> deberán ser solicitados por </w:t>
      </w:r>
      <w:r w:rsidRPr="00D00083">
        <w:rPr>
          <w:rFonts w:ascii="Arial" w:eastAsia="Arial" w:hAnsi="Arial" w:cs="Arial"/>
          <w:sz w:val="21"/>
          <w:szCs w:val="21"/>
          <w:lang w:val="es-ES"/>
        </w:rPr>
        <w:lastRenderedPageBreak/>
        <w:t>las entidades estatales y deberán ser entregados por los proponentes hasta el término de traslado del informe de evaluación que corresponda a cada modalidad de selección, salvo lo dispuesto para el proceso de Mínima c</w:t>
      </w:r>
      <w:r w:rsidRPr="00216B86">
        <w:rPr>
          <w:rFonts w:ascii="Arial" w:eastAsia="Arial" w:hAnsi="Arial" w:cs="Arial"/>
          <w:sz w:val="21"/>
          <w:szCs w:val="21"/>
          <w:lang w:val="es-ES"/>
        </w:rPr>
        <w:t xml:space="preserve">uantía y para el proceso de selección a través del sistema de subasta. Serán rechazadas las ofertas de aquellos proponentes que no suministren la información y la </w:t>
      </w:r>
      <w:r w:rsidRPr="003D3292">
        <w:rPr>
          <w:rFonts w:ascii="Arial" w:eastAsia="Arial" w:hAnsi="Arial" w:cs="Arial"/>
          <w:sz w:val="21"/>
          <w:szCs w:val="21"/>
          <w:lang w:val="es-ES"/>
        </w:rPr>
        <w:t>documentación solicitada por la entidad estatal hasta el plazo anteriormente señalado.</w:t>
      </w:r>
    </w:p>
    <w:p w14:paraId="67A22607" w14:textId="144ECDB0" w:rsidR="00646B5D" w:rsidRPr="000078FE" w:rsidRDefault="00646B5D" w:rsidP="005076E2">
      <w:pPr>
        <w:widowControl w:val="0"/>
        <w:autoSpaceDE w:val="0"/>
        <w:autoSpaceDN w:val="0"/>
        <w:spacing w:after="12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Pr="00C46E6E">
        <w:rPr>
          <w:rFonts w:ascii="Arial" w:eastAsia="Arial" w:hAnsi="Arial" w:cs="Arial"/>
          <w:sz w:val="21"/>
          <w:szCs w:val="21"/>
          <w:lang w:val="es-ES"/>
        </w:rPr>
        <w:t>Durante</w:t>
      </w:r>
      <w:proofErr w:type="gramEnd"/>
      <w:r w:rsidRPr="00C46E6E">
        <w:rPr>
          <w:rFonts w:ascii="Arial" w:eastAsia="Arial" w:hAnsi="Arial" w:cs="Arial"/>
          <w:sz w:val="21"/>
          <w:szCs w:val="21"/>
          <w:lang w:val="es-ES"/>
        </w:rPr>
        <w:t xml:space="preserve"> el término otorgado para subsanar las ofertas, los proponentes no podrán acreditar circunstancias ocurridas con posterioridad al cierre del proceso.</w:t>
      </w:r>
    </w:p>
    <w:p w14:paraId="72D9E986" w14:textId="2E358B37" w:rsidR="00646B5D" w:rsidRPr="00301B31" w:rsidRDefault="00646B5D" w:rsidP="005076E2">
      <w:pPr>
        <w:widowControl w:val="0"/>
        <w:autoSpaceDE w:val="0"/>
        <w:autoSpaceDN w:val="0"/>
        <w:spacing w:after="120"/>
        <w:ind w:left="709" w:right="709"/>
        <w:jc w:val="both"/>
        <w:rPr>
          <w:rFonts w:ascii="Arial" w:eastAsia="Arial" w:hAnsi="Arial" w:cs="Arial"/>
          <w:sz w:val="21"/>
          <w:szCs w:val="21"/>
          <w:lang w:val="es-ES"/>
        </w:rPr>
      </w:pPr>
      <w:r>
        <w:rPr>
          <w:rFonts w:ascii="Arial" w:eastAsia="Arial" w:hAnsi="Arial" w:cs="Arial"/>
          <w:sz w:val="21"/>
          <w:szCs w:val="21"/>
          <w:lang w:val="es-ES"/>
        </w:rPr>
        <w:t>»</w:t>
      </w:r>
      <w:r w:rsidRPr="00C46E6E">
        <w:rPr>
          <w:rFonts w:ascii="Arial" w:eastAsia="Arial" w:hAnsi="Arial" w:cs="Arial"/>
          <w:sz w:val="21"/>
          <w:szCs w:val="21"/>
          <w:lang w:val="es-ES"/>
        </w:rPr>
        <w:t>(...)</w:t>
      </w:r>
    </w:p>
    <w:p w14:paraId="40990F44" w14:textId="572A923F" w:rsidR="00646B5D" w:rsidRPr="000078FE" w:rsidRDefault="00646B5D" w:rsidP="005076E2">
      <w:pPr>
        <w:widowControl w:val="0"/>
        <w:autoSpaceDE w:val="0"/>
        <w:autoSpaceDN w:val="0"/>
        <w:spacing w:after="12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Pr="00C46E6E">
        <w:rPr>
          <w:rFonts w:ascii="Arial" w:eastAsia="Arial" w:hAnsi="Arial" w:cs="Arial"/>
          <w:sz w:val="21"/>
          <w:szCs w:val="21"/>
          <w:lang w:val="es-ES"/>
        </w:rPr>
        <w:t>PARÁGRAFO</w:t>
      </w:r>
      <w:proofErr w:type="gramEnd"/>
      <w:r w:rsidRPr="00C46E6E">
        <w:rPr>
          <w:rFonts w:ascii="Arial" w:eastAsia="Arial" w:hAnsi="Arial" w:cs="Arial"/>
          <w:sz w:val="21"/>
          <w:szCs w:val="21"/>
          <w:lang w:val="es-ES"/>
        </w:rPr>
        <w:t xml:space="preserve"> 3. La no entrega de la garantía de</w:t>
      </w:r>
      <w:r w:rsidRPr="00301B31">
        <w:rPr>
          <w:rFonts w:ascii="Arial" w:eastAsia="Arial" w:hAnsi="Arial" w:cs="Arial"/>
          <w:sz w:val="21"/>
          <w:szCs w:val="21"/>
          <w:lang w:val="es-ES"/>
        </w:rPr>
        <w:t xml:space="preserve"> seriedad junto con la propuesta no será subsanable y será causal de rechazo de </w:t>
      </w:r>
      <w:proofErr w:type="gramStart"/>
      <w:r w:rsidRPr="00301B31">
        <w:rPr>
          <w:rFonts w:ascii="Arial" w:eastAsia="Arial" w:hAnsi="Arial" w:cs="Arial"/>
          <w:sz w:val="21"/>
          <w:szCs w:val="21"/>
          <w:lang w:val="es-ES"/>
        </w:rPr>
        <w:t>la misma</w:t>
      </w:r>
      <w:proofErr w:type="gramEnd"/>
      <w:r w:rsidRPr="00301B31">
        <w:rPr>
          <w:rFonts w:ascii="Arial" w:eastAsia="Arial" w:hAnsi="Arial" w:cs="Arial"/>
          <w:sz w:val="21"/>
          <w:szCs w:val="21"/>
          <w:lang w:val="es-ES"/>
        </w:rPr>
        <w:t>.</w:t>
      </w:r>
    </w:p>
    <w:p w14:paraId="498F1466" w14:textId="17396FDA" w:rsidR="00646B5D" w:rsidRPr="00D00083" w:rsidRDefault="00646B5D" w:rsidP="005076E2">
      <w:pPr>
        <w:widowControl w:val="0"/>
        <w:autoSpaceDE w:val="0"/>
        <w:autoSpaceDN w:val="0"/>
        <w:spacing w:after="12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Pr="00C46E6E">
        <w:rPr>
          <w:rFonts w:ascii="Arial" w:eastAsia="Arial" w:hAnsi="Arial" w:cs="Arial"/>
          <w:sz w:val="21"/>
          <w:szCs w:val="21"/>
          <w:lang w:val="es-ES"/>
        </w:rPr>
        <w:t>PARÁGRAFO</w:t>
      </w:r>
      <w:proofErr w:type="gramEnd"/>
      <w:r w:rsidRPr="00C46E6E">
        <w:rPr>
          <w:rFonts w:ascii="Arial" w:eastAsia="Arial" w:hAnsi="Arial" w:cs="Arial"/>
          <w:sz w:val="21"/>
          <w:szCs w:val="21"/>
          <w:lang w:val="es-ES"/>
        </w:rPr>
        <w:t xml:space="preserve"> 4. En aquellos procesos de selección en los que se utilice el mecanismo de subasta, los documentos referentes a la futura contratación o al proponente, no </w:t>
      </w:r>
      <w:r w:rsidRPr="000078FE">
        <w:rPr>
          <w:rFonts w:ascii="Arial" w:eastAsia="Arial" w:hAnsi="Arial" w:cs="Arial"/>
          <w:sz w:val="21"/>
          <w:szCs w:val="21"/>
          <w:lang w:val="es-ES"/>
        </w:rPr>
        <w:t>necesarios para la comparación de las propuestas, deberán ser solicitados hasta el momento previo a su realización.</w:t>
      </w:r>
    </w:p>
    <w:p w14:paraId="250F0ABA" w14:textId="62A908EC" w:rsidR="0070739B" w:rsidRPr="00C46E6E" w:rsidRDefault="00646B5D" w:rsidP="005076E2">
      <w:pPr>
        <w:widowControl w:val="0"/>
        <w:autoSpaceDE w:val="0"/>
        <w:autoSpaceDN w:val="0"/>
        <w:ind w:left="709" w:right="709"/>
        <w:jc w:val="both"/>
        <w:rPr>
          <w:rFonts w:ascii="Arial" w:eastAsia="Arial" w:hAnsi="Arial" w:cs="Arial"/>
          <w:sz w:val="21"/>
          <w:szCs w:val="21"/>
          <w:lang w:val="es-ES"/>
        </w:rPr>
      </w:pPr>
      <w:proofErr w:type="gramStart"/>
      <w:r>
        <w:rPr>
          <w:rFonts w:ascii="Arial" w:eastAsia="Arial" w:hAnsi="Arial" w:cs="Arial"/>
          <w:sz w:val="21"/>
          <w:szCs w:val="21"/>
          <w:lang w:val="es-ES"/>
        </w:rPr>
        <w:t>»</w:t>
      </w:r>
      <w:r w:rsidRPr="00C46E6E">
        <w:rPr>
          <w:rFonts w:ascii="Arial" w:eastAsia="Arial" w:hAnsi="Arial" w:cs="Arial"/>
          <w:sz w:val="21"/>
          <w:szCs w:val="21"/>
          <w:lang w:val="es-ES"/>
        </w:rPr>
        <w:t>PARÁGRAFO</w:t>
      </w:r>
      <w:proofErr w:type="gramEnd"/>
      <w:r w:rsidRPr="00C46E6E">
        <w:rPr>
          <w:rFonts w:ascii="Arial" w:eastAsia="Arial" w:hAnsi="Arial" w:cs="Arial"/>
          <w:sz w:val="21"/>
          <w:szCs w:val="21"/>
          <w:lang w:val="es-ES"/>
        </w:rPr>
        <w:t xml:space="preserve"> 5. En los procesos de contratación, las entidades estatales deberán aceptar la experiencia adquirida por los </w:t>
      </w:r>
      <w:r w:rsidRPr="000078FE">
        <w:rPr>
          <w:rFonts w:ascii="Arial" w:eastAsia="Arial" w:hAnsi="Arial" w:cs="Arial"/>
          <w:sz w:val="21"/>
          <w:szCs w:val="21"/>
          <w:lang w:val="es-ES"/>
        </w:rPr>
        <w:t>proponentes a través de la ejecución de contratos con particulares</w:t>
      </w:r>
      <w:r>
        <w:rPr>
          <w:rFonts w:ascii="Arial" w:eastAsia="Arial" w:hAnsi="Arial" w:cs="Arial"/>
          <w:sz w:val="21"/>
          <w:szCs w:val="21"/>
          <w:lang w:val="es-ES"/>
        </w:rPr>
        <w:t>»</w:t>
      </w:r>
      <w:r w:rsidRPr="00C46E6E">
        <w:rPr>
          <w:rFonts w:ascii="Arial" w:eastAsia="Arial" w:hAnsi="Arial" w:cs="Arial"/>
          <w:sz w:val="21"/>
          <w:szCs w:val="21"/>
          <w:lang w:val="es-ES"/>
        </w:rPr>
        <w:t>.</w:t>
      </w:r>
    </w:p>
    <w:p w14:paraId="4D1B5736" w14:textId="77777777" w:rsidR="0070739B" w:rsidRPr="0070739B" w:rsidRDefault="0070739B">
      <w:pPr>
        <w:widowControl w:val="0"/>
        <w:autoSpaceDE w:val="0"/>
        <w:autoSpaceDN w:val="0"/>
        <w:rPr>
          <w:rFonts w:ascii="Arial" w:eastAsia="Arial" w:hAnsi="Arial" w:cs="Arial"/>
          <w:sz w:val="22"/>
          <w:lang w:val="es-ES"/>
        </w:rPr>
      </w:pPr>
    </w:p>
    <w:p w14:paraId="0C1ED802" w14:textId="798FB620" w:rsidR="00BE7D31" w:rsidRPr="0070739B" w:rsidRDefault="00646B5D" w:rsidP="005076E2">
      <w:pPr>
        <w:widowControl w:val="0"/>
        <w:autoSpaceDE w:val="0"/>
        <w:autoSpaceDN w:val="0"/>
        <w:spacing w:line="276" w:lineRule="auto"/>
        <w:ind w:left="102" w:right="51" w:firstLine="607"/>
        <w:jc w:val="both"/>
        <w:rPr>
          <w:rFonts w:ascii="Arial" w:eastAsia="Arial" w:hAnsi="Arial" w:cs="Arial"/>
          <w:sz w:val="22"/>
          <w:lang w:val="es-ES"/>
        </w:rPr>
      </w:pPr>
      <w:r>
        <w:rPr>
          <w:rFonts w:ascii="Arial" w:eastAsia="Arial" w:hAnsi="Arial" w:cs="Arial"/>
          <w:sz w:val="22"/>
          <w:lang w:val="es-ES"/>
        </w:rPr>
        <w:t>En relación con esta disposición debe destacarse que</w:t>
      </w:r>
      <w:r w:rsidR="0070739B" w:rsidRPr="0070739B">
        <w:rPr>
          <w:rFonts w:ascii="Arial" w:eastAsia="Arial" w:hAnsi="Arial" w:cs="Arial"/>
          <w:sz w:val="22"/>
          <w:lang w:val="es-ES"/>
        </w:rPr>
        <w:t>:</w:t>
      </w:r>
      <w:r w:rsidR="0070739B" w:rsidRPr="0070739B">
        <w:rPr>
          <w:rFonts w:ascii="Arial" w:eastAsia="Arial" w:hAnsi="Arial" w:cs="Arial"/>
          <w:spacing w:val="-15"/>
          <w:sz w:val="22"/>
          <w:lang w:val="es-ES"/>
        </w:rPr>
        <w:t xml:space="preserve"> </w:t>
      </w:r>
      <w:r w:rsidR="0070739B" w:rsidRPr="0070739B">
        <w:rPr>
          <w:rFonts w:ascii="Arial" w:eastAsia="Arial" w:hAnsi="Arial" w:cs="Arial"/>
          <w:sz w:val="22"/>
          <w:lang w:val="es-ES"/>
        </w:rPr>
        <w:t>i)</w:t>
      </w:r>
      <w:r w:rsidR="0070739B" w:rsidRPr="0070739B">
        <w:rPr>
          <w:rFonts w:ascii="Arial" w:eastAsia="Arial" w:hAnsi="Arial" w:cs="Arial"/>
          <w:spacing w:val="-16"/>
          <w:sz w:val="22"/>
          <w:lang w:val="es-ES"/>
        </w:rPr>
        <w:t xml:space="preserve"> </w:t>
      </w:r>
      <w:r w:rsidR="0070739B" w:rsidRPr="0070739B">
        <w:rPr>
          <w:rFonts w:ascii="Arial" w:eastAsia="Arial" w:hAnsi="Arial" w:cs="Arial"/>
          <w:sz w:val="22"/>
          <w:lang w:val="es-ES"/>
        </w:rPr>
        <w:t>mantiene</w:t>
      </w:r>
      <w:r w:rsidR="0070739B" w:rsidRPr="0070739B">
        <w:rPr>
          <w:rFonts w:ascii="Arial" w:eastAsia="Arial" w:hAnsi="Arial" w:cs="Arial"/>
          <w:spacing w:val="-15"/>
          <w:sz w:val="22"/>
          <w:lang w:val="es-ES"/>
        </w:rPr>
        <w:t xml:space="preserve"> </w:t>
      </w:r>
      <w:r w:rsidR="0070739B" w:rsidRPr="0070739B">
        <w:rPr>
          <w:rFonts w:ascii="Arial" w:eastAsia="Arial" w:hAnsi="Arial" w:cs="Arial"/>
          <w:sz w:val="22"/>
          <w:lang w:val="es-ES"/>
        </w:rPr>
        <w:t>el</w:t>
      </w:r>
      <w:r w:rsidR="0070739B" w:rsidRPr="0070739B">
        <w:rPr>
          <w:rFonts w:ascii="Arial" w:eastAsia="Arial" w:hAnsi="Arial" w:cs="Arial"/>
          <w:spacing w:val="-16"/>
          <w:sz w:val="22"/>
          <w:lang w:val="es-ES"/>
        </w:rPr>
        <w:t xml:space="preserve"> </w:t>
      </w:r>
      <w:r w:rsidR="0070739B" w:rsidRPr="0070739B">
        <w:rPr>
          <w:rFonts w:ascii="Arial" w:eastAsia="Arial" w:hAnsi="Arial" w:cs="Arial"/>
          <w:sz w:val="22"/>
          <w:lang w:val="es-ES"/>
        </w:rPr>
        <w:t>criterio</w:t>
      </w:r>
      <w:r w:rsidR="0070739B" w:rsidRPr="0070739B">
        <w:rPr>
          <w:rFonts w:ascii="Arial" w:eastAsia="Arial" w:hAnsi="Arial" w:cs="Arial"/>
          <w:spacing w:val="-15"/>
          <w:sz w:val="22"/>
          <w:lang w:val="es-ES"/>
        </w:rPr>
        <w:t xml:space="preserve"> </w:t>
      </w:r>
      <w:r w:rsidR="0070739B" w:rsidRPr="0070739B">
        <w:rPr>
          <w:rFonts w:ascii="Arial" w:eastAsia="Arial" w:hAnsi="Arial" w:cs="Arial"/>
          <w:sz w:val="22"/>
          <w:lang w:val="es-ES"/>
        </w:rPr>
        <w:t>de</w:t>
      </w:r>
      <w:r w:rsidR="0070739B" w:rsidRPr="0070739B">
        <w:rPr>
          <w:rFonts w:ascii="Arial" w:eastAsia="Arial" w:hAnsi="Arial" w:cs="Arial"/>
          <w:spacing w:val="-16"/>
          <w:sz w:val="22"/>
          <w:lang w:val="es-ES"/>
        </w:rPr>
        <w:t xml:space="preserve"> </w:t>
      </w:r>
      <w:r w:rsidR="0070739B" w:rsidRPr="0070739B">
        <w:rPr>
          <w:rFonts w:ascii="Arial" w:eastAsia="Arial" w:hAnsi="Arial" w:cs="Arial"/>
          <w:sz w:val="22"/>
          <w:lang w:val="es-ES"/>
        </w:rPr>
        <w:t>la</w:t>
      </w:r>
      <w:r w:rsidR="0070739B" w:rsidRPr="0070739B">
        <w:rPr>
          <w:rFonts w:ascii="Arial" w:eastAsia="Arial" w:hAnsi="Arial" w:cs="Arial"/>
          <w:spacing w:val="-16"/>
          <w:sz w:val="22"/>
          <w:lang w:val="es-ES"/>
        </w:rPr>
        <w:t xml:space="preserve"> </w:t>
      </w:r>
      <w:r w:rsidR="0070739B" w:rsidRPr="0070739B">
        <w:rPr>
          <w:rFonts w:ascii="Arial" w:eastAsia="Arial" w:hAnsi="Arial" w:cs="Arial"/>
          <w:sz w:val="22"/>
          <w:lang w:val="es-ES"/>
        </w:rPr>
        <w:t>Ley</w:t>
      </w:r>
      <w:r w:rsidR="0070739B" w:rsidRPr="0070739B">
        <w:rPr>
          <w:rFonts w:ascii="Arial" w:eastAsia="Arial" w:hAnsi="Arial" w:cs="Arial"/>
          <w:spacing w:val="-15"/>
          <w:sz w:val="22"/>
          <w:lang w:val="es-ES"/>
        </w:rPr>
        <w:t xml:space="preserve"> </w:t>
      </w:r>
      <w:r w:rsidR="0070739B" w:rsidRPr="0070739B">
        <w:rPr>
          <w:rFonts w:ascii="Arial" w:eastAsia="Arial" w:hAnsi="Arial" w:cs="Arial"/>
          <w:sz w:val="22"/>
          <w:lang w:val="es-ES"/>
        </w:rPr>
        <w:t>80</w:t>
      </w:r>
      <w:r w:rsidR="0070739B" w:rsidRPr="0070739B">
        <w:rPr>
          <w:rFonts w:ascii="Arial" w:eastAsia="Arial" w:hAnsi="Arial" w:cs="Arial"/>
          <w:spacing w:val="-16"/>
          <w:sz w:val="22"/>
          <w:lang w:val="es-ES"/>
        </w:rPr>
        <w:t xml:space="preserve"> </w:t>
      </w:r>
      <w:r w:rsidR="0070739B" w:rsidRPr="0070739B">
        <w:rPr>
          <w:rFonts w:ascii="Arial" w:eastAsia="Arial" w:hAnsi="Arial" w:cs="Arial"/>
          <w:sz w:val="22"/>
          <w:lang w:val="es-ES"/>
        </w:rPr>
        <w:t>de</w:t>
      </w:r>
      <w:r w:rsidR="0070739B" w:rsidRPr="0070739B">
        <w:rPr>
          <w:rFonts w:ascii="Arial" w:eastAsia="Arial" w:hAnsi="Arial" w:cs="Arial"/>
          <w:spacing w:val="-15"/>
          <w:sz w:val="22"/>
          <w:lang w:val="es-ES"/>
        </w:rPr>
        <w:t xml:space="preserve"> </w:t>
      </w:r>
      <w:r w:rsidR="0070739B" w:rsidRPr="0070739B">
        <w:rPr>
          <w:rFonts w:ascii="Arial" w:eastAsia="Arial" w:hAnsi="Arial" w:cs="Arial"/>
          <w:sz w:val="22"/>
          <w:lang w:val="es-ES"/>
        </w:rPr>
        <w:t>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tres aspectos que se analizarán a continuación</w:t>
      </w:r>
      <w:r w:rsidR="0070739B">
        <w:rPr>
          <w:rFonts w:ascii="Arial" w:eastAsia="Arial" w:hAnsi="Arial" w:cs="Arial"/>
          <w:sz w:val="22"/>
          <w:lang w:val="es-ES"/>
        </w:rPr>
        <w:t xml:space="preserve">. </w:t>
      </w:r>
    </w:p>
    <w:p w14:paraId="0E726F96" w14:textId="2AB79AB7" w:rsidR="0070739B" w:rsidRDefault="0070739B" w:rsidP="0070739B">
      <w:pPr>
        <w:pStyle w:val="Textoindependiente"/>
        <w:spacing w:before="120"/>
        <w:ind w:right="49" w:firstLine="709"/>
        <w:jc w:val="both"/>
        <w:rPr>
          <w:rFonts w:ascii="Arial" w:eastAsia="Arial" w:hAnsi="Arial" w:cs="Arial"/>
          <w:lang w:val="es-ES"/>
        </w:rPr>
      </w:pPr>
      <w:r w:rsidRPr="0070739B">
        <w:rPr>
          <w:rFonts w:ascii="Arial" w:eastAsia="Arial" w:hAnsi="Arial" w:cs="Arial"/>
          <w:lang w:val="es-ES"/>
        </w:rPr>
        <w:t xml:space="preserve">El </w:t>
      </w:r>
      <w:r w:rsidRPr="0070739B">
        <w:rPr>
          <w:rFonts w:ascii="Arial" w:eastAsia="Arial" w:hAnsi="Arial" w:cs="Arial"/>
          <w:i/>
          <w:lang w:val="es-ES"/>
        </w:rPr>
        <w:t xml:space="preserve">primero </w:t>
      </w:r>
      <w:r w:rsidRPr="0070739B">
        <w:rPr>
          <w:rFonts w:ascii="Arial" w:eastAsia="Arial" w:hAnsi="Arial" w:cs="Arial"/>
          <w:lang w:val="es-ES"/>
        </w:rPr>
        <w:t>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w:t>
      </w:r>
      <w:r>
        <w:rPr>
          <w:rFonts w:ascii="Arial" w:eastAsia="Arial" w:hAnsi="Arial" w:cs="Arial"/>
          <w:lang w:val="es-ES"/>
        </w:rPr>
        <w:t xml:space="preserve"> subasta</w:t>
      </w:r>
      <w:r>
        <w:rPr>
          <w:rStyle w:val="Refdenotaalpie"/>
          <w:rFonts w:ascii="Arial" w:eastAsia="Arial" w:hAnsi="Arial" w:cs="Arial"/>
          <w:lang w:val="es-ES"/>
        </w:rPr>
        <w:footnoteReference w:id="5"/>
      </w:r>
      <w:r>
        <w:rPr>
          <w:rFonts w:ascii="Arial" w:eastAsia="Arial" w:hAnsi="Arial" w:cs="Arial"/>
          <w:lang w:val="es-ES"/>
        </w:rPr>
        <w:t xml:space="preserve">, </w:t>
      </w:r>
      <w:r w:rsidRPr="0070739B">
        <w:rPr>
          <w:rFonts w:ascii="Arial" w:eastAsia="Arial" w:hAnsi="Arial" w:cs="Arial"/>
          <w:lang w:val="es-ES"/>
        </w:rPr>
        <w:t xml:space="preserve">pues en el caso </w:t>
      </w:r>
      <w:r w:rsidRPr="0070739B">
        <w:rPr>
          <w:rFonts w:ascii="Arial" w:eastAsia="Arial" w:hAnsi="Arial" w:cs="Arial"/>
          <w:lang w:val="es-ES"/>
        </w:rPr>
        <w:lastRenderedPageBreak/>
        <w:t>de que se utilice la subasta, los documentos o requisitos subsanables</w:t>
      </w:r>
      <w:r w:rsidRPr="0070739B">
        <w:rPr>
          <w:rFonts w:ascii="Arial" w:eastAsia="Arial" w:hAnsi="Arial" w:cs="Arial"/>
          <w:spacing w:val="-13"/>
          <w:lang w:val="es-ES"/>
        </w:rPr>
        <w:t xml:space="preserve"> </w:t>
      </w:r>
      <w:r w:rsidRPr="0070739B">
        <w:rPr>
          <w:rFonts w:ascii="Arial" w:eastAsia="Arial" w:hAnsi="Arial" w:cs="Arial"/>
          <w:lang w:val="es-ES"/>
        </w:rPr>
        <w:t>pueden</w:t>
      </w:r>
      <w:r w:rsidRPr="0070739B">
        <w:rPr>
          <w:rFonts w:ascii="Arial" w:eastAsia="Arial" w:hAnsi="Arial" w:cs="Arial"/>
          <w:spacing w:val="-12"/>
          <w:lang w:val="es-ES"/>
        </w:rPr>
        <w:t xml:space="preserve"> </w:t>
      </w:r>
      <w:r w:rsidRPr="0070739B">
        <w:rPr>
          <w:rFonts w:ascii="Arial" w:eastAsia="Arial" w:hAnsi="Arial" w:cs="Arial"/>
          <w:lang w:val="es-ES"/>
        </w:rPr>
        <w:t>y</w:t>
      </w:r>
      <w:r w:rsidRPr="0070739B">
        <w:rPr>
          <w:rFonts w:ascii="Arial" w:eastAsia="Arial" w:hAnsi="Arial" w:cs="Arial"/>
          <w:spacing w:val="-12"/>
          <w:lang w:val="es-ES"/>
        </w:rPr>
        <w:t xml:space="preserve"> </w:t>
      </w:r>
      <w:r w:rsidRPr="0070739B">
        <w:rPr>
          <w:rFonts w:ascii="Arial" w:eastAsia="Arial" w:hAnsi="Arial" w:cs="Arial"/>
          <w:lang w:val="es-ES"/>
        </w:rPr>
        <w:t>deben</w:t>
      </w:r>
      <w:r w:rsidRPr="0070739B">
        <w:rPr>
          <w:rFonts w:ascii="Arial" w:eastAsia="Arial" w:hAnsi="Arial" w:cs="Arial"/>
          <w:spacing w:val="-12"/>
          <w:lang w:val="es-ES"/>
        </w:rPr>
        <w:t xml:space="preserve"> </w:t>
      </w:r>
      <w:r w:rsidRPr="0070739B">
        <w:rPr>
          <w:rFonts w:ascii="Arial" w:eastAsia="Arial" w:hAnsi="Arial" w:cs="Arial"/>
          <w:lang w:val="es-ES"/>
        </w:rPr>
        <w:t>solicitarse,</w:t>
      </w:r>
      <w:r w:rsidRPr="0070739B">
        <w:rPr>
          <w:rFonts w:ascii="Arial" w:eastAsia="Arial" w:hAnsi="Arial" w:cs="Arial"/>
          <w:spacing w:val="-12"/>
          <w:lang w:val="es-ES"/>
        </w:rPr>
        <w:t xml:space="preserve"> </w:t>
      </w:r>
      <w:r w:rsidRPr="0070739B">
        <w:rPr>
          <w:rFonts w:ascii="Arial" w:eastAsia="Arial" w:hAnsi="Arial" w:cs="Arial"/>
          <w:lang w:val="es-ES"/>
        </w:rPr>
        <w:t>como</w:t>
      </w:r>
      <w:r w:rsidRPr="0070739B">
        <w:rPr>
          <w:rFonts w:ascii="Arial" w:eastAsia="Arial" w:hAnsi="Arial" w:cs="Arial"/>
          <w:spacing w:val="-12"/>
          <w:lang w:val="es-ES"/>
        </w:rPr>
        <w:t xml:space="preserve"> </w:t>
      </w:r>
      <w:r w:rsidRPr="0070739B">
        <w:rPr>
          <w:rFonts w:ascii="Arial" w:eastAsia="Arial" w:hAnsi="Arial" w:cs="Arial"/>
          <w:lang w:val="es-ES"/>
        </w:rPr>
        <w:t>límite</w:t>
      </w:r>
      <w:r w:rsidRPr="0070739B">
        <w:rPr>
          <w:rFonts w:ascii="Arial" w:eastAsia="Arial" w:hAnsi="Arial" w:cs="Arial"/>
          <w:spacing w:val="-12"/>
          <w:lang w:val="es-ES"/>
        </w:rPr>
        <w:t xml:space="preserve"> </w:t>
      </w:r>
      <w:r w:rsidRPr="0070739B">
        <w:rPr>
          <w:rFonts w:ascii="Arial" w:eastAsia="Arial" w:hAnsi="Arial" w:cs="Arial"/>
          <w:lang w:val="es-ES"/>
        </w:rPr>
        <w:t>final,</w:t>
      </w:r>
      <w:r w:rsidRPr="0070739B">
        <w:rPr>
          <w:rFonts w:ascii="Arial" w:eastAsia="Arial" w:hAnsi="Arial" w:cs="Arial"/>
          <w:spacing w:val="-13"/>
          <w:lang w:val="es-ES"/>
        </w:rPr>
        <w:t xml:space="preserve"> </w:t>
      </w:r>
      <w:r w:rsidRPr="0070739B">
        <w:rPr>
          <w:rFonts w:ascii="Arial" w:eastAsia="Arial" w:hAnsi="Arial" w:cs="Arial"/>
          <w:lang w:val="es-ES"/>
        </w:rPr>
        <w:t>hasta</w:t>
      </w:r>
      <w:r w:rsidRPr="0070739B">
        <w:rPr>
          <w:rFonts w:ascii="Arial" w:eastAsia="Arial" w:hAnsi="Arial" w:cs="Arial"/>
          <w:spacing w:val="-12"/>
          <w:lang w:val="es-ES"/>
        </w:rPr>
        <w:t xml:space="preserve"> </w:t>
      </w:r>
      <w:r w:rsidRPr="0070739B">
        <w:rPr>
          <w:rFonts w:ascii="Arial" w:eastAsia="Arial" w:hAnsi="Arial" w:cs="Arial"/>
          <w:lang w:val="es-ES"/>
        </w:rPr>
        <w:t>el</w:t>
      </w:r>
      <w:r w:rsidRPr="0070739B">
        <w:rPr>
          <w:rFonts w:ascii="Arial" w:eastAsia="Arial" w:hAnsi="Arial" w:cs="Arial"/>
          <w:spacing w:val="-12"/>
          <w:lang w:val="es-ES"/>
        </w:rPr>
        <w:t xml:space="preserve"> </w:t>
      </w:r>
      <w:r w:rsidRPr="0070739B">
        <w:rPr>
          <w:rFonts w:ascii="Arial" w:eastAsia="Arial" w:hAnsi="Arial" w:cs="Arial"/>
          <w:lang w:val="es-ES"/>
        </w:rPr>
        <w:t>momento</w:t>
      </w:r>
      <w:r w:rsidRPr="0070739B">
        <w:rPr>
          <w:rFonts w:ascii="Arial" w:eastAsia="Arial" w:hAnsi="Arial" w:cs="Arial"/>
          <w:spacing w:val="-12"/>
          <w:lang w:val="es-ES"/>
        </w:rPr>
        <w:t xml:space="preserve"> </w:t>
      </w:r>
      <w:r w:rsidRPr="0070739B">
        <w:rPr>
          <w:rFonts w:ascii="Arial" w:eastAsia="Arial" w:hAnsi="Arial" w:cs="Arial"/>
          <w:lang w:val="es-ES"/>
        </w:rPr>
        <w:t>previo</w:t>
      </w:r>
      <w:r w:rsidRPr="0070739B">
        <w:rPr>
          <w:rFonts w:ascii="Arial" w:eastAsia="Arial" w:hAnsi="Arial" w:cs="Arial"/>
          <w:spacing w:val="-12"/>
          <w:lang w:val="es-ES"/>
        </w:rPr>
        <w:t xml:space="preserve"> </w:t>
      </w:r>
      <w:r w:rsidRPr="0070739B">
        <w:rPr>
          <w:rFonts w:ascii="Arial" w:eastAsia="Arial" w:hAnsi="Arial" w:cs="Arial"/>
          <w:lang w:val="es-ES"/>
        </w:rPr>
        <w:t>a</w:t>
      </w:r>
      <w:r w:rsidRPr="0070739B">
        <w:rPr>
          <w:rFonts w:ascii="Arial" w:eastAsia="Arial" w:hAnsi="Arial" w:cs="Arial"/>
          <w:spacing w:val="-12"/>
          <w:lang w:val="es-ES"/>
        </w:rPr>
        <w:t xml:space="preserve"> </w:t>
      </w:r>
      <w:r w:rsidRPr="0070739B">
        <w:rPr>
          <w:rFonts w:ascii="Arial" w:eastAsia="Arial" w:hAnsi="Arial" w:cs="Arial"/>
          <w:lang w:val="es-ES"/>
        </w:rPr>
        <w:t>su realización.</w:t>
      </w:r>
    </w:p>
    <w:p w14:paraId="6F1DFD4A" w14:textId="194AD526" w:rsidR="00BE7D31" w:rsidRPr="00BE7D31" w:rsidRDefault="00BE7D31" w:rsidP="00BE7D31">
      <w:pPr>
        <w:widowControl w:val="0"/>
        <w:autoSpaceDE w:val="0"/>
        <w:autoSpaceDN w:val="0"/>
        <w:spacing w:before="70" w:line="276" w:lineRule="auto"/>
        <w:ind w:left="100" w:right="49" w:firstLine="709"/>
        <w:jc w:val="both"/>
        <w:rPr>
          <w:rFonts w:ascii="Arial" w:eastAsia="Arial" w:hAnsi="Arial" w:cs="Arial"/>
          <w:sz w:val="22"/>
          <w:lang w:val="es-ES"/>
        </w:rPr>
      </w:pPr>
      <w:r w:rsidRPr="00BE7D31">
        <w:rPr>
          <w:rFonts w:ascii="Arial" w:eastAsia="Arial" w:hAnsi="Arial" w:cs="Arial"/>
          <w:sz w:val="22"/>
          <w:lang w:val="es-ES"/>
        </w:rPr>
        <w:t xml:space="preserve">Frente a la regla general, la norma fijó un límite </w:t>
      </w:r>
      <w:r w:rsidR="00840582">
        <w:rPr>
          <w:rFonts w:ascii="Arial" w:eastAsia="Arial" w:hAnsi="Arial" w:cs="Arial"/>
          <w:sz w:val="22"/>
          <w:lang w:val="es-ES"/>
        </w:rPr>
        <w:t>máximo</w:t>
      </w:r>
      <w:r w:rsidRPr="00BE7D31">
        <w:rPr>
          <w:rFonts w:ascii="Arial" w:eastAsia="Arial" w:hAnsi="Arial" w:cs="Arial"/>
          <w:sz w:val="22"/>
          <w:lang w:val="es-ES"/>
        </w:rPr>
        <w:t xml:space="preserve"> para que la Administración solicite y para que los oferentes subsanen los requisitos o documentos que puedan y deban ser subsanados. Lo anterior no impide, y la norma no lo hace, que la Administración requiera al proponente antes de publicar el informe de evaluación y que los oferentes los aporten, incluso, previamente –antes del traslado del informe de evaluació</w:t>
      </w:r>
      <w:r w:rsidR="00646B5D">
        <w:rPr>
          <w:rFonts w:ascii="Arial" w:eastAsia="Arial" w:hAnsi="Arial" w:cs="Arial"/>
          <w:sz w:val="22"/>
          <w:lang w:val="es-ES"/>
        </w:rPr>
        <w:t>n‒</w:t>
      </w:r>
      <w:r w:rsidRPr="00BE7D31">
        <w:rPr>
          <w:rFonts w:ascii="Arial" w:eastAsia="Arial" w:hAnsi="Arial" w:cs="Arial"/>
          <w:sz w:val="22"/>
          <w:lang w:val="es-ES"/>
        </w:rPr>
        <w:t>, sin perjuicio de que, en todo caso, lo puedan hacer hasta el momento en que termine el traslado del informe de</w:t>
      </w:r>
      <w:r w:rsidRPr="00BE7D31">
        <w:rPr>
          <w:rFonts w:ascii="Arial" w:eastAsia="Arial" w:hAnsi="Arial" w:cs="Arial"/>
          <w:spacing w:val="-11"/>
          <w:sz w:val="22"/>
          <w:lang w:val="es-ES"/>
        </w:rPr>
        <w:t xml:space="preserve"> </w:t>
      </w:r>
      <w:r w:rsidRPr="00BE7D31">
        <w:rPr>
          <w:rFonts w:ascii="Arial" w:eastAsia="Arial" w:hAnsi="Arial" w:cs="Arial"/>
          <w:sz w:val="22"/>
          <w:lang w:val="es-ES"/>
        </w:rPr>
        <w:t>evaluación.</w:t>
      </w:r>
    </w:p>
    <w:p w14:paraId="6C8ADF90" w14:textId="496085C9" w:rsidR="00BE7D31" w:rsidRDefault="00BE7D31" w:rsidP="00BE7D31">
      <w:pPr>
        <w:widowControl w:val="0"/>
        <w:autoSpaceDE w:val="0"/>
        <w:autoSpaceDN w:val="0"/>
        <w:spacing w:before="120" w:line="276" w:lineRule="auto"/>
        <w:ind w:left="100" w:right="49" w:firstLine="708"/>
        <w:jc w:val="both"/>
        <w:rPr>
          <w:rFonts w:ascii="Arial" w:eastAsia="Arial" w:hAnsi="Arial" w:cs="Arial"/>
          <w:sz w:val="22"/>
          <w:lang w:val="es-ES"/>
        </w:rPr>
      </w:pPr>
      <w:r w:rsidRPr="00BE7D31">
        <w:rPr>
          <w:rFonts w:ascii="Arial" w:eastAsia="Arial" w:hAnsi="Arial" w:cs="Arial"/>
          <w:sz w:val="22"/>
          <w:lang w:val="es-ES"/>
        </w:rPr>
        <w:t>En efecto, la redacción de la norma permite que la Administración solicite a los oferentes</w:t>
      </w:r>
      <w:r w:rsidRPr="00BE7D31">
        <w:rPr>
          <w:rFonts w:ascii="Arial" w:eastAsia="Arial" w:hAnsi="Arial" w:cs="Arial"/>
          <w:spacing w:val="-16"/>
          <w:sz w:val="22"/>
          <w:lang w:val="es-ES"/>
        </w:rPr>
        <w:t xml:space="preserve"> </w:t>
      </w:r>
      <w:r w:rsidRPr="00BE7D31">
        <w:rPr>
          <w:rFonts w:ascii="Arial" w:eastAsia="Arial" w:hAnsi="Arial" w:cs="Arial"/>
          <w:sz w:val="22"/>
          <w:lang w:val="es-ES"/>
        </w:rPr>
        <w:t>subsanar</w:t>
      </w:r>
      <w:r w:rsidRPr="00BE7D31">
        <w:rPr>
          <w:rFonts w:ascii="Arial" w:eastAsia="Arial" w:hAnsi="Arial" w:cs="Arial"/>
          <w:spacing w:val="-15"/>
          <w:sz w:val="22"/>
          <w:lang w:val="es-ES"/>
        </w:rPr>
        <w:t xml:space="preserve"> </w:t>
      </w:r>
      <w:r w:rsidRPr="00BE7D31">
        <w:rPr>
          <w:rFonts w:ascii="Arial" w:eastAsia="Arial" w:hAnsi="Arial" w:cs="Arial"/>
          <w:sz w:val="22"/>
          <w:lang w:val="es-ES"/>
        </w:rPr>
        <w:t>y</w:t>
      </w:r>
      <w:r w:rsidRPr="00BE7D31">
        <w:rPr>
          <w:rFonts w:ascii="Arial" w:eastAsia="Arial" w:hAnsi="Arial" w:cs="Arial"/>
          <w:spacing w:val="-16"/>
          <w:sz w:val="22"/>
          <w:lang w:val="es-ES"/>
        </w:rPr>
        <w:t xml:space="preserve"> </w:t>
      </w:r>
      <w:r w:rsidRPr="00BE7D31">
        <w:rPr>
          <w:rFonts w:ascii="Arial" w:eastAsia="Arial" w:hAnsi="Arial" w:cs="Arial"/>
          <w:sz w:val="22"/>
          <w:lang w:val="es-ES"/>
        </w:rPr>
        <w:t>que</w:t>
      </w:r>
      <w:r w:rsidRPr="00BE7D31">
        <w:rPr>
          <w:rFonts w:ascii="Arial" w:eastAsia="Arial" w:hAnsi="Arial" w:cs="Arial"/>
          <w:spacing w:val="-15"/>
          <w:sz w:val="22"/>
          <w:lang w:val="es-ES"/>
        </w:rPr>
        <w:t xml:space="preserve"> </w:t>
      </w:r>
      <w:r w:rsidRPr="00BE7D31">
        <w:rPr>
          <w:rFonts w:ascii="Arial" w:eastAsia="Arial" w:hAnsi="Arial" w:cs="Arial"/>
          <w:sz w:val="22"/>
          <w:lang w:val="es-ES"/>
        </w:rPr>
        <w:t>estos</w:t>
      </w:r>
      <w:r w:rsidRPr="00BE7D31">
        <w:rPr>
          <w:rFonts w:ascii="Arial" w:eastAsia="Arial" w:hAnsi="Arial" w:cs="Arial"/>
          <w:spacing w:val="-16"/>
          <w:sz w:val="22"/>
          <w:lang w:val="es-ES"/>
        </w:rPr>
        <w:t xml:space="preserve"> </w:t>
      </w:r>
      <w:r w:rsidRPr="00BE7D31">
        <w:rPr>
          <w:rFonts w:ascii="Arial" w:eastAsia="Arial" w:hAnsi="Arial" w:cs="Arial"/>
          <w:sz w:val="22"/>
          <w:lang w:val="es-ES"/>
        </w:rPr>
        <w:t>lo</w:t>
      </w:r>
      <w:r w:rsidRPr="00BE7D31">
        <w:rPr>
          <w:rFonts w:ascii="Arial" w:eastAsia="Arial" w:hAnsi="Arial" w:cs="Arial"/>
          <w:spacing w:val="-15"/>
          <w:sz w:val="22"/>
          <w:lang w:val="es-ES"/>
        </w:rPr>
        <w:t xml:space="preserve"> </w:t>
      </w:r>
      <w:r w:rsidRPr="00BE7D31">
        <w:rPr>
          <w:rFonts w:ascii="Arial" w:eastAsia="Arial" w:hAnsi="Arial" w:cs="Arial"/>
          <w:sz w:val="22"/>
          <w:lang w:val="es-ES"/>
        </w:rPr>
        <w:t>hagan</w:t>
      </w:r>
      <w:r w:rsidRPr="00BE7D31">
        <w:rPr>
          <w:rFonts w:ascii="Arial" w:eastAsia="Arial" w:hAnsi="Arial" w:cs="Arial"/>
          <w:spacing w:val="-16"/>
          <w:sz w:val="22"/>
          <w:lang w:val="es-ES"/>
        </w:rPr>
        <w:t xml:space="preserve"> </w:t>
      </w:r>
      <w:r w:rsidRPr="00BE7D31">
        <w:rPr>
          <w:rFonts w:ascii="Arial" w:eastAsia="Arial" w:hAnsi="Arial" w:cs="Arial"/>
          <w:sz w:val="22"/>
          <w:lang w:val="es-ES"/>
        </w:rPr>
        <w:t>hasta</w:t>
      </w:r>
      <w:r w:rsidRPr="00BE7D31">
        <w:rPr>
          <w:rFonts w:ascii="Arial" w:eastAsia="Arial" w:hAnsi="Arial" w:cs="Arial"/>
          <w:spacing w:val="-15"/>
          <w:sz w:val="22"/>
          <w:lang w:val="es-ES"/>
        </w:rPr>
        <w:t xml:space="preserve"> </w:t>
      </w:r>
      <w:r w:rsidRPr="00BE7D31">
        <w:rPr>
          <w:rFonts w:ascii="Arial" w:eastAsia="Arial" w:hAnsi="Arial" w:cs="Arial"/>
          <w:sz w:val="22"/>
          <w:lang w:val="es-ES"/>
        </w:rPr>
        <w:t>antes</w:t>
      </w:r>
      <w:r w:rsidRPr="00BE7D31">
        <w:rPr>
          <w:rFonts w:ascii="Arial" w:eastAsia="Arial" w:hAnsi="Arial" w:cs="Arial"/>
          <w:spacing w:val="-16"/>
          <w:sz w:val="22"/>
          <w:lang w:val="es-ES"/>
        </w:rPr>
        <w:t xml:space="preserve"> </w:t>
      </w:r>
      <w:r w:rsidRPr="00BE7D31">
        <w:rPr>
          <w:rFonts w:ascii="Arial" w:eastAsia="Arial" w:hAnsi="Arial" w:cs="Arial"/>
          <w:sz w:val="22"/>
          <w:lang w:val="es-ES"/>
        </w:rPr>
        <w:t>del</w:t>
      </w:r>
      <w:r w:rsidRPr="00BE7D31">
        <w:rPr>
          <w:rFonts w:ascii="Arial" w:eastAsia="Arial" w:hAnsi="Arial" w:cs="Arial"/>
          <w:spacing w:val="-15"/>
          <w:sz w:val="22"/>
          <w:lang w:val="es-ES"/>
        </w:rPr>
        <w:t xml:space="preserve"> </w:t>
      </w:r>
      <w:r w:rsidRPr="00BE7D31">
        <w:rPr>
          <w:rFonts w:ascii="Arial" w:eastAsia="Arial" w:hAnsi="Arial" w:cs="Arial"/>
          <w:sz w:val="22"/>
          <w:lang w:val="es-ES"/>
        </w:rPr>
        <w:t>término</w:t>
      </w:r>
      <w:r w:rsidRPr="00BE7D31">
        <w:rPr>
          <w:rFonts w:ascii="Arial" w:eastAsia="Arial" w:hAnsi="Arial" w:cs="Arial"/>
          <w:spacing w:val="-15"/>
          <w:sz w:val="22"/>
          <w:lang w:val="es-ES"/>
        </w:rPr>
        <w:t xml:space="preserve"> </w:t>
      </w:r>
      <w:r w:rsidRPr="00BE7D31">
        <w:rPr>
          <w:rFonts w:ascii="Arial" w:eastAsia="Arial" w:hAnsi="Arial" w:cs="Arial"/>
          <w:sz w:val="22"/>
          <w:lang w:val="es-ES"/>
        </w:rPr>
        <w:t>del</w:t>
      </w:r>
      <w:r w:rsidRPr="00BE7D31">
        <w:rPr>
          <w:rFonts w:ascii="Arial" w:eastAsia="Arial" w:hAnsi="Arial" w:cs="Arial"/>
          <w:spacing w:val="-16"/>
          <w:sz w:val="22"/>
          <w:lang w:val="es-ES"/>
        </w:rPr>
        <w:t xml:space="preserve"> </w:t>
      </w:r>
      <w:r w:rsidRPr="00BE7D31">
        <w:rPr>
          <w:rFonts w:ascii="Arial" w:eastAsia="Arial" w:hAnsi="Arial" w:cs="Arial"/>
          <w:sz w:val="22"/>
          <w:lang w:val="es-ES"/>
        </w:rPr>
        <w:t>traslado</w:t>
      </w:r>
      <w:r w:rsidRPr="00BE7D31">
        <w:rPr>
          <w:rFonts w:ascii="Arial" w:eastAsia="Arial" w:hAnsi="Arial" w:cs="Arial"/>
          <w:spacing w:val="-14"/>
          <w:sz w:val="22"/>
          <w:lang w:val="es-ES"/>
        </w:rPr>
        <w:t xml:space="preserve"> </w:t>
      </w:r>
      <w:r w:rsidRPr="00BE7D31">
        <w:rPr>
          <w:rFonts w:ascii="Arial" w:eastAsia="Arial" w:hAnsi="Arial" w:cs="Arial"/>
          <w:sz w:val="22"/>
          <w:lang w:val="es-ES"/>
        </w:rPr>
        <w:t>del</w:t>
      </w:r>
      <w:r w:rsidRPr="00BE7D31">
        <w:rPr>
          <w:rFonts w:ascii="Arial" w:eastAsia="Arial" w:hAnsi="Arial" w:cs="Arial"/>
          <w:spacing w:val="-16"/>
          <w:sz w:val="22"/>
          <w:lang w:val="es-ES"/>
        </w:rPr>
        <w:t xml:space="preserve"> </w:t>
      </w:r>
      <w:r w:rsidRPr="00BE7D31">
        <w:rPr>
          <w:rFonts w:ascii="Arial" w:eastAsia="Arial" w:hAnsi="Arial" w:cs="Arial"/>
          <w:sz w:val="22"/>
          <w:lang w:val="es-ES"/>
        </w:rPr>
        <w:t>informe de evaluación: “</w:t>
      </w:r>
      <w:r w:rsidRPr="00BE7D31">
        <w:rPr>
          <w:rFonts w:ascii="Arial" w:eastAsia="Arial" w:hAnsi="Arial" w:cs="Arial"/>
          <w:i/>
          <w:sz w:val="22"/>
          <w:lang w:val="es-ES"/>
        </w:rPr>
        <w:t>deberán ser solicitados por las entidades estatales y deberán ser entregados por los proponentes hasta el término de traslado del informe de evaluación que corresponda a cada modalidad de</w:t>
      </w:r>
      <w:r w:rsidRPr="00BE7D31">
        <w:rPr>
          <w:rFonts w:ascii="Arial" w:eastAsia="Arial" w:hAnsi="Arial" w:cs="Arial"/>
          <w:i/>
          <w:spacing w:val="-7"/>
          <w:sz w:val="22"/>
          <w:lang w:val="es-ES"/>
        </w:rPr>
        <w:t xml:space="preserve"> </w:t>
      </w:r>
      <w:r w:rsidRPr="00BE7D31">
        <w:rPr>
          <w:rFonts w:ascii="Arial" w:eastAsia="Arial" w:hAnsi="Arial" w:cs="Arial"/>
          <w:i/>
          <w:sz w:val="22"/>
          <w:lang w:val="es-ES"/>
        </w:rPr>
        <w:t>selección</w:t>
      </w:r>
      <w:r w:rsidRPr="00BE7D31">
        <w:rPr>
          <w:rFonts w:ascii="Arial" w:eastAsia="Arial" w:hAnsi="Arial" w:cs="Arial"/>
          <w:sz w:val="22"/>
          <w:lang w:val="es-ES"/>
        </w:rPr>
        <w:t>”.</w:t>
      </w:r>
    </w:p>
    <w:p w14:paraId="72B06451" w14:textId="77777777" w:rsidR="00BE7D31" w:rsidRPr="00BE7D31" w:rsidRDefault="00BE7D31" w:rsidP="00BE7D31">
      <w:pPr>
        <w:widowControl w:val="0"/>
        <w:autoSpaceDE w:val="0"/>
        <w:autoSpaceDN w:val="0"/>
        <w:spacing w:before="119" w:line="276" w:lineRule="auto"/>
        <w:ind w:left="100" w:right="49" w:firstLine="709"/>
        <w:jc w:val="both"/>
        <w:rPr>
          <w:rFonts w:ascii="Arial" w:eastAsia="Arial" w:hAnsi="Arial" w:cs="Arial"/>
          <w:sz w:val="22"/>
          <w:lang w:val="es-ES"/>
        </w:rPr>
      </w:pPr>
      <w:r w:rsidRPr="00BE7D31">
        <w:rPr>
          <w:rFonts w:ascii="Arial" w:eastAsia="Arial" w:hAnsi="Arial" w:cs="Arial"/>
          <w:sz w:val="22"/>
          <w:lang w:val="es-ES"/>
        </w:rPr>
        <w:t>Como se indicó previamente, la regla general respecto a la oportunidad para subsanar tiene como excepción, entre otras cosas, el término especial establecido en los procesos de selección abreviada mediante subasta inversa, para la cual el artículo 5 de la Ley 1882 de 2018, adicionó el parágrafo 4 al artículo 5 de la Ley 1150 de 2007, en donde se precisa esta regla en los siguientes términos:</w:t>
      </w:r>
    </w:p>
    <w:p w14:paraId="740578F9" w14:textId="77777777" w:rsidR="00BE7D31" w:rsidRPr="00BE7D31" w:rsidRDefault="00BE7D31" w:rsidP="00BE7D31">
      <w:pPr>
        <w:widowControl w:val="0"/>
        <w:autoSpaceDE w:val="0"/>
        <w:autoSpaceDN w:val="0"/>
        <w:spacing w:before="8"/>
        <w:rPr>
          <w:rFonts w:ascii="Arial" w:eastAsia="Arial" w:hAnsi="Arial" w:cs="Arial"/>
          <w:sz w:val="25"/>
          <w:lang w:val="es-ES"/>
        </w:rPr>
      </w:pPr>
    </w:p>
    <w:p w14:paraId="10FEEAE9" w14:textId="77777777" w:rsidR="00BE7D31" w:rsidRPr="00BE7D31" w:rsidRDefault="00BE7D31">
      <w:pPr>
        <w:widowControl w:val="0"/>
        <w:autoSpaceDE w:val="0"/>
        <w:autoSpaceDN w:val="0"/>
        <w:ind w:left="810" w:right="1243"/>
        <w:jc w:val="both"/>
        <w:rPr>
          <w:rFonts w:ascii="Arial" w:eastAsia="Arial" w:hAnsi="Arial" w:cs="Arial"/>
          <w:sz w:val="21"/>
          <w:lang w:val="es-ES"/>
        </w:rPr>
      </w:pPr>
      <w:r w:rsidRPr="00BE7D31">
        <w:rPr>
          <w:rFonts w:ascii="Arial" w:eastAsia="Arial" w:hAnsi="Arial" w:cs="Arial"/>
          <w:sz w:val="21"/>
          <w:lang w:val="es-ES"/>
        </w:rPr>
        <w:t xml:space="preserve">Parágrafo 4°. En aquellos procesos de selección en los que se utilice el mecanismo de subasta, los documentos referentes a la futura contratación o al proponente, no necesarios para la comparación de las propuestas, </w:t>
      </w:r>
      <w:r w:rsidRPr="00BE7D31">
        <w:rPr>
          <w:rFonts w:ascii="Arial" w:eastAsia="Arial" w:hAnsi="Arial" w:cs="Arial"/>
          <w:i/>
          <w:sz w:val="21"/>
          <w:lang w:val="es-ES"/>
        </w:rPr>
        <w:t>deberán ser solicitados hasta el momento previo a su realización</w:t>
      </w:r>
      <w:r w:rsidRPr="00BE7D31">
        <w:rPr>
          <w:rFonts w:ascii="Arial" w:eastAsia="Arial" w:hAnsi="Arial" w:cs="Arial"/>
          <w:sz w:val="21"/>
          <w:lang w:val="es-ES"/>
        </w:rPr>
        <w:t>. (Cursiva fuera del</w:t>
      </w:r>
      <w:r w:rsidRPr="00BE7D31">
        <w:rPr>
          <w:rFonts w:ascii="Arial" w:eastAsia="Arial" w:hAnsi="Arial" w:cs="Arial"/>
          <w:spacing w:val="-3"/>
          <w:sz w:val="21"/>
          <w:lang w:val="es-ES"/>
        </w:rPr>
        <w:t xml:space="preserve"> </w:t>
      </w:r>
      <w:r w:rsidRPr="00BE7D31">
        <w:rPr>
          <w:rFonts w:ascii="Arial" w:eastAsia="Arial" w:hAnsi="Arial" w:cs="Arial"/>
          <w:sz w:val="21"/>
          <w:lang w:val="es-ES"/>
        </w:rPr>
        <w:t>original)</w:t>
      </w:r>
    </w:p>
    <w:p w14:paraId="16F93D46" w14:textId="77777777" w:rsidR="00BE7D31" w:rsidRPr="00BE7D31" w:rsidRDefault="00BE7D31" w:rsidP="005076E2">
      <w:pPr>
        <w:widowControl w:val="0"/>
        <w:autoSpaceDE w:val="0"/>
        <w:autoSpaceDN w:val="0"/>
        <w:spacing w:line="276" w:lineRule="auto"/>
        <w:ind w:left="100" w:right="49" w:firstLine="708"/>
        <w:jc w:val="both"/>
        <w:rPr>
          <w:rFonts w:ascii="Arial" w:eastAsia="Arial" w:hAnsi="Arial" w:cs="Arial"/>
          <w:sz w:val="22"/>
          <w:lang w:val="es-ES"/>
        </w:rPr>
      </w:pPr>
    </w:p>
    <w:p w14:paraId="7B415DCF" w14:textId="77777777" w:rsidR="00BE7D31" w:rsidRPr="00BE7D31" w:rsidRDefault="00BE7D31" w:rsidP="005076E2">
      <w:pPr>
        <w:widowControl w:val="0"/>
        <w:autoSpaceDE w:val="0"/>
        <w:autoSpaceDN w:val="0"/>
        <w:spacing w:line="276" w:lineRule="auto"/>
        <w:ind w:left="102" w:right="49" w:firstLine="709"/>
        <w:jc w:val="both"/>
        <w:rPr>
          <w:rFonts w:ascii="Arial" w:eastAsia="Arial" w:hAnsi="Arial" w:cs="Arial"/>
          <w:sz w:val="22"/>
          <w:lang w:val="es-ES"/>
        </w:rPr>
      </w:pPr>
      <w:r w:rsidRPr="00BE7D31">
        <w:rPr>
          <w:rFonts w:ascii="Arial" w:eastAsia="Arial" w:hAnsi="Arial" w:cs="Arial"/>
          <w:sz w:val="22"/>
          <w:lang w:val="es-ES"/>
        </w:rPr>
        <w:t xml:space="preserve">De otro lado, el </w:t>
      </w:r>
      <w:r w:rsidRPr="00BE7D31">
        <w:rPr>
          <w:rFonts w:ascii="Arial" w:eastAsia="Arial" w:hAnsi="Arial" w:cs="Arial"/>
          <w:i/>
          <w:sz w:val="22"/>
          <w:lang w:val="es-ES"/>
        </w:rPr>
        <w:t xml:space="preserve">segundo </w:t>
      </w:r>
      <w:r w:rsidRPr="00BE7D31">
        <w:rPr>
          <w:rFonts w:ascii="Arial" w:eastAsia="Arial" w:hAnsi="Arial" w:cs="Arial"/>
          <w:sz w:val="22"/>
          <w:lang w:val="es-ES"/>
        </w:rPr>
        <w:t xml:space="preserve">cambio importante de la Ley 1882 de 2018 fue la introducción de un criterio material, directamente relacionado con los aspectos subsanables: </w:t>
      </w:r>
      <w:r w:rsidRPr="00BE7D31">
        <w:rPr>
          <w:rFonts w:ascii="Arial" w:eastAsia="Arial" w:hAnsi="Arial" w:cs="Arial"/>
          <w:i/>
          <w:sz w:val="22"/>
          <w:lang w:val="es-ES"/>
        </w:rPr>
        <w:t>«los proponentes no podrán acreditar circunstancias ocurridas con posterioridad al cierre del proceso»</w:t>
      </w:r>
      <w:r w:rsidRPr="005076E2">
        <w:rPr>
          <w:rFonts w:ascii="Arial" w:eastAsia="Arial" w:hAnsi="Arial" w:cs="Arial"/>
          <w:bCs/>
          <w:i/>
          <w:sz w:val="22"/>
          <w:lang w:val="es-ES"/>
        </w:rPr>
        <w:t>.</w:t>
      </w:r>
      <w:r w:rsidRPr="00BE7D31">
        <w:rPr>
          <w:rFonts w:ascii="Arial" w:eastAsia="Arial" w:hAnsi="Arial" w:cs="Arial"/>
          <w:b/>
          <w:i/>
          <w:sz w:val="22"/>
          <w:lang w:val="es-ES"/>
        </w:rPr>
        <w:t xml:space="preserve"> </w:t>
      </w:r>
      <w:r w:rsidRPr="00BE7D31">
        <w:rPr>
          <w:rFonts w:ascii="Arial" w:eastAsia="Arial" w:hAnsi="Arial" w:cs="Arial"/>
          <w:sz w:val="22"/>
          <w:lang w:val="es-ES"/>
        </w:rPr>
        <w:t xml:space="preserve">Lo anterior ofrece dos aspectos que merecen clarificación: </w:t>
      </w:r>
      <w:r w:rsidRPr="00BE7D31">
        <w:rPr>
          <w:rFonts w:ascii="Arial" w:eastAsia="Arial" w:hAnsi="Arial" w:cs="Arial"/>
          <w:i/>
          <w:sz w:val="22"/>
          <w:lang w:val="es-ES"/>
        </w:rPr>
        <w:t>primero</w:t>
      </w:r>
      <w:r w:rsidRPr="00BE7D31">
        <w:rPr>
          <w:rFonts w:ascii="Arial" w:eastAsia="Arial" w:hAnsi="Arial" w:cs="Arial"/>
          <w:sz w:val="22"/>
          <w:lang w:val="es-ES"/>
        </w:rPr>
        <w:t xml:space="preserve">, qué debe entenderse por circunstancias ocurridas con posterioridad; y </w:t>
      </w:r>
      <w:r w:rsidRPr="00BE7D31">
        <w:rPr>
          <w:rFonts w:ascii="Arial" w:eastAsia="Arial" w:hAnsi="Arial" w:cs="Arial"/>
          <w:i/>
          <w:sz w:val="22"/>
          <w:lang w:val="es-ES"/>
        </w:rPr>
        <w:t>segundo</w:t>
      </w:r>
      <w:r w:rsidRPr="00BE7D31">
        <w:rPr>
          <w:rFonts w:ascii="Arial" w:eastAsia="Arial" w:hAnsi="Arial" w:cs="Arial"/>
          <w:sz w:val="22"/>
          <w:lang w:val="es-ES"/>
        </w:rPr>
        <w:t>, qué es el cierre del proceso.</w:t>
      </w:r>
    </w:p>
    <w:p w14:paraId="60B732A0" w14:textId="73AA5459" w:rsidR="00BE7D31" w:rsidRDefault="00BE7D31" w:rsidP="00BE7D31">
      <w:pPr>
        <w:pStyle w:val="Textoindependiente"/>
        <w:spacing w:before="120"/>
        <w:ind w:right="49" w:firstLine="709"/>
        <w:jc w:val="both"/>
        <w:rPr>
          <w:rFonts w:ascii="Arial" w:eastAsia="Arial" w:hAnsi="Arial" w:cs="Arial"/>
          <w:lang w:val="es-ES" w:eastAsia="en-US"/>
        </w:rPr>
      </w:pPr>
      <w:r w:rsidRPr="00BE7D31">
        <w:rPr>
          <w:rFonts w:ascii="Arial" w:eastAsia="Arial" w:hAnsi="Arial" w:cs="Arial"/>
          <w:lang w:val="es-ES" w:eastAsia="en-US"/>
        </w:rPr>
        <w:t>La Sala de Consulta y Servicio Civil del Consejo de Estado ya había tenido la oportunidad de precisar estas expresiones, a propósito de un concepto en el que se refirió al artículo 10 del derogado Decreto 2474 de 2008</w:t>
      </w:r>
      <w:r>
        <w:rPr>
          <w:rFonts w:ascii="Arial" w:eastAsia="Arial" w:hAnsi="Arial" w:cs="Arial"/>
          <w:lang w:val="es-ES" w:eastAsia="en-US"/>
        </w:rPr>
        <w:t>,</w:t>
      </w:r>
      <w:r w:rsidR="00BE13E6">
        <w:rPr>
          <w:rFonts w:ascii="Arial" w:eastAsia="Arial" w:hAnsi="Arial" w:cs="Arial"/>
          <w:lang w:val="es-ES" w:eastAsia="en-US"/>
        </w:rPr>
        <w:t xml:space="preserve"> </w:t>
      </w:r>
      <w:r w:rsidRPr="00BE7D31">
        <w:rPr>
          <w:rFonts w:ascii="Arial" w:eastAsia="Arial" w:hAnsi="Arial" w:cs="Arial"/>
          <w:lang w:val="es-ES" w:eastAsia="en-US"/>
        </w:rPr>
        <w:t>que había determinado que en</w:t>
      </w:r>
      <w:r w:rsidRPr="00BE7D31">
        <w:rPr>
          <w:rFonts w:ascii="Arial" w:eastAsia="Arial" w:hAnsi="Arial" w:cs="Arial"/>
          <w:spacing w:val="-15"/>
          <w:lang w:val="es-ES" w:eastAsia="en-US"/>
        </w:rPr>
        <w:t xml:space="preserve"> </w:t>
      </w:r>
      <w:r w:rsidRPr="00BE7D31">
        <w:rPr>
          <w:rFonts w:ascii="Arial" w:eastAsia="Arial" w:hAnsi="Arial" w:cs="Arial"/>
          <w:lang w:val="es-ES" w:eastAsia="en-US"/>
        </w:rPr>
        <w:t>ningún</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caso</w:t>
      </w:r>
      <w:r w:rsidRPr="00BE7D31">
        <w:rPr>
          <w:rFonts w:ascii="Arial" w:eastAsia="Arial" w:hAnsi="Arial" w:cs="Arial"/>
          <w:spacing w:val="-15"/>
          <w:lang w:val="es-ES" w:eastAsia="en-US"/>
        </w:rPr>
        <w:t xml:space="preserve"> </w:t>
      </w:r>
      <w:r w:rsidRPr="00BE7D31">
        <w:rPr>
          <w:rFonts w:ascii="Arial" w:eastAsia="Arial" w:hAnsi="Arial" w:cs="Arial"/>
          <w:lang w:val="es-ES" w:eastAsia="en-US"/>
        </w:rPr>
        <w:t>la</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entidad</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podía</w:t>
      </w:r>
      <w:r w:rsidRPr="00BE7D31">
        <w:rPr>
          <w:rFonts w:ascii="Arial" w:eastAsia="Arial" w:hAnsi="Arial" w:cs="Arial"/>
          <w:spacing w:val="-15"/>
          <w:lang w:val="es-ES" w:eastAsia="en-US"/>
        </w:rPr>
        <w:t xml:space="preserve"> </w:t>
      </w:r>
      <w:r w:rsidRPr="00BE7D31">
        <w:rPr>
          <w:rFonts w:ascii="Arial" w:eastAsia="Arial" w:hAnsi="Arial" w:cs="Arial"/>
          <w:lang w:val="es-ES" w:eastAsia="en-US"/>
        </w:rPr>
        <w:t>permitir</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que</w:t>
      </w:r>
      <w:r w:rsidRPr="00BE7D31">
        <w:rPr>
          <w:rFonts w:ascii="Arial" w:eastAsia="Arial" w:hAnsi="Arial" w:cs="Arial"/>
          <w:spacing w:val="-15"/>
          <w:lang w:val="es-ES" w:eastAsia="en-US"/>
        </w:rPr>
        <w:t xml:space="preserve"> </w:t>
      </w:r>
      <w:r w:rsidRPr="00BE7D31">
        <w:rPr>
          <w:rFonts w:ascii="Arial" w:eastAsia="Arial" w:hAnsi="Arial" w:cs="Arial"/>
          <w:lang w:val="es-ES" w:eastAsia="en-US"/>
        </w:rPr>
        <w:t>se</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acreditaran</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circunstancias</w:t>
      </w:r>
      <w:r w:rsidRPr="00BE7D31">
        <w:rPr>
          <w:rFonts w:ascii="Arial" w:eastAsia="Arial" w:hAnsi="Arial" w:cs="Arial"/>
          <w:spacing w:val="-15"/>
          <w:lang w:val="es-ES" w:eastAsia="en-US"/>
        </w:rPr>
        <w:t xml:space="preserve"> </w:t>
      </w:r>
      <w:r w:rsidRPr="00BE7D31">
        <w:rPr>
          <w:rFonts w:ascii="Arial" w:eastAsia="Arial" w:hAnsi="Arial" w:cs="Arial"/>
          <w:lang w:val="es-ES" w:eastAsia="en-US"/>
        </w:rPr>
        <w:t>ocurridas</w:t>
      </w:r>
      <w:r w:rsidRPr="00BE7D31">
        <w:rPr>
          <w:rFonts w:ascii="Arial" w:eastAsia="Arial" w:hAnsi="Arial" w:cs="Arial"/>
          <w:spacing w:val="-14"/>
          <w:lang w:val="es-ES" w:eastAsia="en-US"/>
        </w:rPr>
        <w:t xml:space="preserve"> </w:t>
      </w:r>
      <w:r w:rsidRPr="00BE7D31">
        <w:rPr>
          <w:rFonts w:ascii="Arial" w:eastAsia="Arial" w:hAnsi="Arial" w:cs="Arial"/>
          <w:lang w:val="es-ES" w:eastAsia="en-US"/>
        </w:rPr>
        <w:t>con posterioridad al cierre del proceso. El Consejo de Estado precisó que por cierre del proceso</w:t>
      </w:r>
      <w:r w:rsidRPr="00BE7D31">
        <w:rPr>
          <w:rFonts w:ascii="Arial" w:eastAsia="Arial" w:hAnsi="Arial" w:cs="Arial"/>
          <w:spacing w:val="-5"/>
          <w:lang w:val="es-ES" w:eastAsia="en-US"/>
        </w:rPr>
        <w:t xml:space="preserve"> </w:t>
      </w:r>
      <w:r w:rsidRPr="00BE7D31">
        <w:rPr>
          <w:rFonts w:ascii="Arial" w:eastAsia="Arial" w:hAnsi="Arial" w:cs="Arial"/>
          <w:lang w:val="es-ES" w:eastAsia="en-US"/>
        </w:rPr>
        <w:t>debe</w:t>
      </w:r>
      <w:r w:rsidRPr="00BE7D31">
        <w:rPr>
          <w:rFonts w:ascii="Arial" w:eastAsia="Arial" w:hAnsi="Arial" w:cs="Arial"/>
          <w:spacing w:val="-5"/>
          <w:lang w:val="es-ES" w:eastAsia="en-US"/>
        </w:rPr>
        <w:t xml:space="preserve"> </w:t>
      </w:r>
      <w:r w:rsidRPr="00BE7D31">
        <w:rPr>
          <w:rFonts w:ascii="Arial" w:eastAsia="Arial" w:hAnsi="Arial" w:cs="Arial"/>
          <w:lang w:val="es-ES" w:eastAsia="en-US"/>
        </w:rPr>
        <w:lastRenderedPageBreak/>
        <w:t>entenderse</w:t>
      </w:r>
      <w:r w:rsidRPr="00BE7D31">
        <w:rPr>
          <w:rFonts w:ascii="Arial" w:eastAsia="Arial" w:hAnsi="Arial" w:cs="Arial"/>
          <w:spacing w:val="-4"/>
          <w:lang w:val="es-ES" w:eastAsia="en-US"/>
        </w:rPr>
        <w:t xml:space="preserve"> </w:t>
      </w:r>
      <w:r w:rsidRPr="00BE7D31">
        <w:rPr>
          <w:rFonts w:ascii="Arial" w:eastAsia="Arial" w:hAnsi="Arial" w:cs="Arial"/>
          <w:lang w:val="es-ES" w:eastAsia="en-US"/>
        </w:rPr>
        <w:t>el</w:t>
      </w:r>
      <w:r w:rsidRPr="00BE7D31">
        <w:rPr>
          <w:rFonts w:ascii="Arial" w:eastAsia="Arial" w:hAnsi="Arial" w:cs="Arial"/>
          <w:spacing w:val="-5"/>
          <w:lang w:val="es-ES" w:eastAsia="en-US"/>
        </w:rPr>
        <w:t xml:space="preserve"> </w:t>
      </w:r>
      <w:r w:rsidRPr="00BE7D31">
        <w:rPr>
          <w:rFonts w:ascii="Arial" w:eastAsia="Arial" w:hAnsi="Arial" w:cs="Arial"/>
          <w:lang w:val="es-ES" w:eastAsia="en-US"/>
        </w:rPr>
        <w:t>vencimiento</w:t>
      </w:r>
      <w:r w:rsidRPr="00BE7D31">
        <w:rPr>
          <w:rFonts w:ascii="Arial" w:eastAsia="Arial" w:hAnsi="Arial" w:cs="Arial"/>
          <w:spacing w:val="-4"/>
          <w:lang w:val="es-ES" w:eastAsia="en-US"/>
        </w:rPr>
        <w:t xml:space="preserve"> </w:t>
      </w:r>
      <w:r w:rsidRPr="00BE7D31">
        <w:rPr>
          <w:rFonts w:ascii="Arial" w:eastAsia="Arial" w:hAnsi="Arial" w:cs="Arial"/>
          <w:lang w:val="es-ES" w:eastAsia="en-US"/>
        </w:rPr>
        <w:t>del</w:t>
      </w:r>
      <w:r w:rsidRPr="00BE7D31">
        <w:rPr>
          <w:rFonts w:ascii="Arial" w:eastAsia="Arial" w:hAnsi="Arial" w:cs="Arial"/>
          <w:spacing w:val="-5"/>
          <w:lang w:val="es-ES" w:eastAsia="en-US"/>
        </w:rPr>
        <w:t xml:space="preserve"> </w:t>
      </w:r>
      <w:r w:rsidRPr="00BE7D31">
        <w:rPr>
          <w:rFonts w:ascii="Arial" w:eastAsia="Arial" w:hAnsi="Arial" w:cs="Arial"/>
          <w:lang w:val="es-ES" w:eastAsia="en-US"/>
        </w:rPr>
        <w:t>plazo</w:t>
      </w:r>
      <w:r w:rsidRPr="00BE7D31">
        <w:rPr>
          <w:rFonts w:ascii="Arial" w:eastAsia="Arial" w:hAnsi="Arial" w:cs="Arial"/>
          <w:spacing w:val="-4"/>
          <w:lang w:val="es-ES" w:eastAsia="en-US"/>
        </w:rPr>
        <w:t xml:space="preserve"> </w:t>
      </w:r>
      <w:r w:rsidRPr="00BE7D31">
        <w:rPr>
          <w:rFonts w:ascii="Arial" w:eastAsia="Arial" w:hAnsi="Arial" w:cs="Arial"/>
          <w:lang w:val="es-ES" w:eastAsia="en-US"/>
        </w:rPr>
        <w:t>para</w:t>
      </w:r>
      <w:r w:rsidRPr="00BE7D31">
        <w:rPr>
          <w:rFonts w:ascii="Arial" w:eastAsia="Arial" w:hAnsi="Arial" w:cs="Arial"/>
          <w:spacing w:val="-5"/>
          <w:lang w:val="es-ES" w:eastAsia="en-US"/>
        </w:rPr>
        <w:t xml:space="preserve"> </w:t>
      </w:r>
      <w:r w:rsidRPr="00BE7D31">
        <w:rPr>
          <w:rFonts w:ascii="Arial" w:eastAsia="Arial" w:hAnsi="Arial" w:cs="Arial"/>
          <w:lang w:val="es-ES" w:eastAsia="en-US"/>
        </w:rPr>
        <w:t>la</w:t>
      </w:r>
      <w:r w:rsidRPr="00BE7D31">
        <w:rPr>
          <w:rFonts w:ascii="Arial" w:eastAsia="Arial" w:hAnsi="Arial" w:cs="Arial"/>
          <w:spacing w:val="-4"/>
          <w:lang w:val="es-ES" w:eastAsia="en-US"/>
        </w:rPr>
        <w:t xml:space="preserve"> </w:t>
      </w:r>
      <w:r w:rsidRPr="00BE7D31">
        <w:rPr>
          <w:rFonts w:ascii="Arial" w:eastAsia="Arial" w:hAnsi="Arial" w:cs="Arial"/>
          <w:lang w:val="es-ES" w:eastAsia="en-US"/>
        </w:rPr>
        <w:t>presentación</w:t>
      </w:r>
      <w:r w:rsidRPr="00BE7D31">
        <w:rPr>
          <w:rFonts w:ascii="Arial" w:eastAsia="Arial" w:hAnsi="Arial" w:cs="Arial"/>
          <w:spacing w:val="-5"/>
          <w:lang w:val="es-ES" w:eastAsia="en-US"/>
        </w:rPr>
        <w:t xml:space="preserve"> </w:t>
      </w:r>
      <w:r w:rsidRPr="00BE7D31">
        <w:rPr>
          <w:rFonts w:ascii="Arial" w:eastAsia="Arial" w:hAnsi="Arial" w:cs="Arial"/>
          <w:lang w:val="es-ES" w:eastAsia="en-US"/>
        </w:rPr>
        <w:t>de</w:t>
      </w:r>
      <w:r w:rsidRPr="00BE7D31">
        <w:rPr>
          <w:rFonts w:ascii="Arial" w:eastAsia="Arial" w:hAnsi="Arial" w:cs="Arial"/>
          <w:spacing w:val="-4"/>
          <w:lang w:val="es-ES" w:eastAsia="en-US"/>
        </w:rPr>
        <w:t xml:space="preserve"> </w:t>
      </w:r>
      <w:r w:rsidRPr="00BE7D31">
        <w:rPr>
          <w:rFonts w:ascii="Arial" w:eastAsia="Arial" w:hAnsi="Arial" w:cs="Arial"/>
          <w:lang w:val="es-ES" w:eastAsia="en-US"/>
        </w:rPr>
        <w:t>las</w:t>
      </w:r>
      <w:r w:rsidRPr="00BE7D31">
        <w:rPr>
          <w:rFonts w:ascii="Arial" w:eastAsia="Arial" w:hAnsi="Arial" w:cs="Arial"/>
          <w:spacing w:val="-5"/>
          <w:lang w:val="es-ES" w:eastAsia="en-US"/>
        </w:rPr>
        <w:t xml:space="preserve"> </w:t>
      </w:r>
      <w:r w:rsidRPr="00BE7D31">
        <w:rPr>
          <w:rFonts w:ascii="Arial" w:eastAsia="Arial" w:hAnsi="Arial" w:cs="Arial"/>
          <w:lang w:val="es-ES" w:eastAsia="en-US"/>
        </w:rPr>
        <w:t>ofertas</w:t>
      </w:r>
      <w:r w:rsidRPr="00BE7D31">
        <w:rPr>
          <w:rFonts w:ascii="Arial" w:eastAsia="Arial" w:hAnsi="Arial" w:cs="Arial"/>
          <w:spacing w:val="-4"/>
          <w:lang w:val="es-ES" w:eastAsia="en-US"/>
        </w:rPr>
        <w:t xml:space="preserve"> </w:t>
      </w:r>
      <w:r w:rsidRPr="00BE7D31">
        <w:rPr>
          <w:rFonts w:ascii="Arial" w:eastAsia="Arial" w:hAnsi="Arial" w:cs="Arial"/>
          <w:lang w:val="es-ES" w:eastAsia="en-US"/>
        </w:rPr>
        <w:t xml:space="preserve">y que lo subsanable son las circunstancias que ocurrieron con anterioridad a </w:t>
      </w:r>
      <w:proofErr w:type="gramStart"/>
      <w:r w:rsidRPr="00BE7D31">
        <w:rPr>
          <w:rFonts w:ascii="Arial" w:eastAsia="Arial" w:hAnsi="Arial" w:cs="Arial"/>
          <w:lang w:val="es-ES" w:eastAsia="en-US"/>
        </w:rPr>
        <w:t>esa</w:t>
      </w:r>
      <w:r w:rsidR="00424EC2">
        <w:rPr>
          <w:rFonts w:ascii="Arial" w:eastAsia="Arial" w:hAnsi="Arial" w:cs="Arial"/>
          <w:lang w:val="es-ES" w:eastAsia="en-US"/>
        </w:rPr>
        <w:t xml:space="preserve"> </w:t>
      </w:r>
      <w:r w:rsidRPr="00BE7D31">
        <w:rPr>
          <w:rFonts w:ascii="Arial" w:eastAsia="Arial" w:hAnsi="Arial" w:cs="Arial"/>
          <w:spacing w:val="-36"/>
          <w:lang w:val="es-ES" w:eastAsia="en-US"/>
        </w:rPr>
        <w:t xml:space="preserve"> </w:t>
      </w:r>
      <w:r w:rsidRPr="00BE7D31">
        <w:rPr>
          <w:rFonts w:ascii="Arial" w:eastAsia="Arial" w:hAnsi="Arial" w:cs="Arial"/>
          <w:lang w:val="es-ES" w:eastAsia="en-US"/>
        </w:rPr>
        <w:t>fecha</w:t>
      </w:r>
      <w:proofErr w:type="gramEnd"/>
      <w:r>
        <w:rPr>
          <w:rStyle w:val="Refdenotaalpie"/>
          <w:rFonts w:ascii="Arial" w:eastAsia="Arial" w:hAnsi="Arial" w:cs="Arial"/>
          <w:lang w:val="es-ES" w:eastAsia="en-US"/>
        </w:rPr>
        <w:footnoteReference w:id="6"/>
      </w:r>
      <w:r>
        <w:rPr>
          <w:rFonts w:ascii="Arial" w:eastAsia="Arial" w:hAnsi="Arial" w:cs="Arial"/>
          <w:lang w:val="es-ES" w:eastAsia="en-US"/>
        </w:rPr>
        <w:t>.</w:t>
      </w:r>
    </w:p>
    <w:p w14:paraId="46491BED" w14:textId="66DFDF74" w:rsidR="00BE7D31" w:rsidRPr="00BE7D31" w:rsidRDefault="00BE7D31" w:rsidP="005076E2">
      <w:pPr>
        <w:widowControl w:val="0"/>
        <w:autoSpaceDE w:val="0"/>
        <w:autoSpaceDN w:val="0"/>
        <w:spacing w:before="120" w:after="120" w:line="276" w:lineRule="auto"/>
        <w:ind w:right="51" w:firstLine="709"/>
        <w:jc w:val="both"/>
        <w:rPr>
          <w:rFonts w:ascii="Arial" w:eastAsia="Arial" w:hAnsi="Arial" w:cs="Arial"/>
          <w:sz w:val="22"/>
          <w:lang w:val="es-ES"/>
        </w:rPr>
      </w:pPr>
      <w:r w:rsidRPr="00BE7D31">
        <w:rPr>
          <w:rFonts w:ascii="Arial" w:eastAsia="Arial" w:hAnsi="Arial" w:cs="Arial"/>
          <w:sz w:val="22"/>
          <w:lang w:val="es-ES"/>
        </w:rPr>
        <w:t>De conformidad con el artículo 5 de la Ley 1882 de 2018, lo subsanable es la prueba de todas las circunstancias ocurridas antes del vencimiento del término para presentar las ofertas, lo que implica la prohibición de acreditar circunstancias ocurridas con posterioridad al «cierre del proceso». Lo anterior evita, por ejemplo, que se presenten oferentes que no cumplían con los requisitos para participar al momento de presentar</w:t>
      </w:r>
      <w:r w:rsidRPr="00BE7D31">
        <w:rPr>
          <w:rFonts w:ascii="Arial" w:eastAsia="Arial" w:hAnsi="Arial" w:cs="Arial"/>
          <w:spacing w:val="-17"/>
          <w:sz w:val="22"/>
          <w:lang w:val="es-ES"/>
        </w:rPr>
        <w:t xml:space="preserve"> </w:t>
      </w:r>
      <w:r w:rsidRPr="00BE7D31">
        <w:rPr>
          <w:rFonts w:ascii="Arial" w:eastAsia="Arial" w:hAnsi="Arial" w:cs="Arial"/>
          <w:sz w:val="22"/>
          <w:lang w:val="es-ES"/>
        </w:rPr>
        <w:t>las</w:t>
      </w:r>
      <w:r w:rsidRPr="00BE7D31">
        <w:rPr>
          <w:rFonts w:ascii="Arial" w:eastAsia="Arial" w:hAnsi="Arial" w:cs="Arial"/>
          <w:spacing w:val="-17"/>
          <w:sz w:val="22"/>
          <w:lang w:val="es-ES"/>
        </w:rPr>
        <w:t xml:space="preserve"> </w:t>
      </w:r>
      <w:r w:rsidRPr="00BE7D31">
        <w:rPr>
          <w:rFonts w:ascii="Arial" w:eastAsia="Arial" w:hAnsi="Arial" w:cs="Arial"/>
          <w:sz w:val="22"/>
          <w:lang w:val="es-ES"/>
        </w:rPr>
        <w:t>ofertas,</w:t>
      </w:r>
      <w:r w:rsidRPr="00BE7D31">
        <w:rPr>
          <w:rFonts w:ascii="Arial" w:eastAsia="Arial" w:hAnsi="Arial" w:cs="Arial"/>
          <w:spacing w:val="-17"/>
          <w:sz w:val="22"/>
          <w:lang w:val="es-ES"/>
        </w:rPr>
        <w:t xml:space="preserve"> </w:t>
      </w:r>
      <w:r w:rsidRPr="00BE7D31">
        <w:rPr>
          <w:rFonts w:ascii="Arial" w:eastAsia="Arial" w:hAnsi="Arial" w:cs="Arial"/>
          <w:sz w:val="22"/>
          <w:lang w:val="es-ES"/>
        </w:rPr>
        <w:t>y</w:t>
      </w:r>
      <w:r w:rsidRPr="00BE7D31">
        <w:rPr>
          <w:rFonts w:ascii="Arial" w:eastAsia="Arial" w:hAnsi="Arial" w:cs="Arial"/>
          <w:spacing w:val="-17"/>
          <w:sz w:val="22"/>
          <w:lang w:val="es-ES"/>
        </w:rPr>
        <w:t xml:space="preserve"> </w:t>
      </w:r>
      <w:r w:rsidRPr="00BE7D31">
        <w:rPr>
          <w:rFonts w:ascii="Arial" w:eastAsia="Arial" w:hAnsi="Arial" w:cs="Arial"/>
          <w:sz w:val="22"/>
          <w:lang w:val="es-ES"/>
        </w:rPr>
        <w:t>pretendan</w:t>
      </w:r>
      <w:r w:rsidRPr="00BE7D31">
        <w:rPr>
          <w:rFonts w:ascii="Arial" w:eastAsia="Arial" w:hAnsi="Arial" w:cs="Arial"/>
          <w:spacing w:val="-17"/>
          <w:sz w:val="22"/>
          <w:lang w:val="es-ES"/>
        </w:rPr>
        <w:t xml:space="preserve"> </w:t>
      </w:r>
      <w:r w:rsidRPr="00BE7D31">
        <w:rPr>
          <w:rFonts w:ascii="Arial" w:eastAsia="Arial" w:hAnsi="Arial" w:cs="Arial"/>
          <w:sz w:val="22"/>
          <w:lang w:val="es-ES"/>
        </w:rPr>
        <w:t>cumplirlos</w:t>
      </w:r>
      <w:r w:rsidRPr="00BE7D31">
        <w:rPr>
          <w:rFonts w:ascii="Arial" w:eastAsia="Arial" w:hAnsi="Arial" w:cs="Arial"/>
          <w:spacing w:val="-16"/>
          <w:sz w:val="22"/>
          <w:lang w:val="es-ES"/>
        </w:rPr>
        <w:t xml:space="preserve"> </w:t>
      </w:r>
      <w:r w:rsidRPr="00BE7D31">
        <w:rPr>
          <w:rFonts w:ascii="Arial" w:eastAsia="Arial" w:hAnsi="Arial" w:cs="Arial"/>
          <w:sz w:val="22"/>
          <w:lang w:val="es-ES"/>
        </w:rPr>
        <w:t>durante</w:t>
      </w:r>
      <w:r w:rsidRPr="00BE7D31">
        <w:rPr>
          <w:rFonts w:ascii="Arial" w:eastAsia="Arial" w:hAnsi="Arial" w:cs="Arial"/>
          <w:spacing w:val="-17"/>
          <w:sz w:val="22"/>
          <w:lang w:val="es-ES"/>
        </w:rPr>
        <w:t xml:space="preserve"> </w:t>
      </w:r>
      <w:r w:rsidRPr="00BE7D31">
        <w:rPr>
          <w:rFonts w:ascii="Arial" w:eastAsia="Arial" w:hAnsi="Arial" w:cs="Arial"/>
          <w:sz w:val="22"/>
          <w:lang w:val="es-ES"/>
        </w:rPr>
        <w:t>el</w:t>
      </w:r>
      <w:r w:rsidRPr="00BE7D31">
        <w:rPr>
          <w:rFonts w:ascii="Arial" w:eastAsia="Arial" w:hAnsi="Arial" w:cs="Arial"/>
          <w:spacing w:val="-17"/>
          <w:sz w:val="22"/>
          <w:lang w:val="es-ES"/>
        </w:rPr>
        <w:t xml:space="preserve"> </w:t>
      </w:r>
      <w:r w:rsidRPr="00BE7D31">
        <w:rPr>
          <w:rFonts w:ascii="Arial" w:eastAsia="Arial" w:hAnsi="Arial" w:cs="Arial"/>
          <w:sz w:val="22"/>
          <w:lang w:val="es-ES"/>
        </w:rPr>
        <w:t>proceso</w:t>
      </w:r>
      <w:r w:rsidRPr="00BE7D31">
        <w:rPr>
          <w:rFonts w:ascii="Arial" w:eastAsia="Arial" w:hAnsi="Arial" w:cs="Arial"/>
          <w:spacing w:val="-17"/>
          <w:sz w:val="22"/>
          <w:lang w:val="es-ES"/>
        </w:rPr>
        <w:t xml:space="preserve"> </w:t>
      </w:r>
      <w:r w:rsidRPr="00BE7D31">
        <w:rPr>
          <w:rFonts w:ascii="Arial" w:eastAsia="Arial" w:hAnsi="Arial" w:cs="Arial"/>
          <w:sz w:val="22"/>
          <w:lang w:val="es-ES"/>
        </w:rPr>
        <w:t>de</w:t>
      </w:r>
      <w:r w:rsidRPr="00BE7D31">
        <w:rPr>
          <w:rFonts w:ascii="Arial" w:eastAsia="Arial" w:hAnsi="Arial" w:cs="Arial"/>
          <w:spacing w:val="-17"/>
          <w:sz w:val="22"/>
          <w:lang w:val="es-ES"/>
        </w:rPr>
        <w:t xml:space="preserve"> </w:t>
      </w:r>
      <w:r w:rsidRPr="00BE7D31">
        <w:rPr>
          <w:rFonts w:ascii="Arial" w:eastAsia="Arial" w:hAnsi="Arial" w:cs="Arial"/>
          <w:sz w:val="22"/>
          <w:lang w:val="es-ES"/>
        </w:rPr>
        <w:t>selección</w:t>
      </w:r>
      <w:r w:rsidRPr="00BE7D31">
        <w:rPr>
          <w:rFonts w:ascii="Arial" w:eastAsia="Arial" w:hAnsi="Arial" w:cs="Arial"/>
          <w:spacing w:val="-16"/>
          <w:sz w:val="22"/>
          <w:lang w:val="es-ES"/>
        </w:rPr>
        <w:t xml:space="preserve"> </w:t>
      </w:r>
      <w:r w:rsidRPr="00BE7D31">
        <w:rPr>
          <w:rFonts w:ascii="Arial" w:eastAsia="Arial" w:hAnsi="Arial" w:cs="Arial"/>
          <w:sz w:val="22"/>
          <w:lang w:val="es-ES"/>
        </w:rPr>
        <w:t>o,</w:t>
      </w:r>
      <w:r w:rsidRPr="00BE7D31">
        <w:rPr>
          <w:rFonts w:ascii="Arial" w:eastAsia="Arial" w:hAnsi="Arial" w:cs="Arial"/>
          <w:spacing w:val="-17"/>
          <w:sz w:val="22"/>
          <w:lang w:val="es-ES"/>
        </w:rPr>
        <w:t xml:space="preserve"> </w:t>
      </w:r>
      <w:r w:rsidRPr="00BE7D31">
        <w:rPr>
          <w:rFonts w:ascii="Arial" w:eastAsia="Arial" w:hAnsi="Arial" w:cs="Arial"/>
          <w:sz w:val="22"/>
          <w:lang w:val="es-ES"/>
        </w:rPr>
        <w:t>inclusive, que se puedan variar condiciones de la oferta una vez</w:t>
      </w:r>
      <w:r w:rsidRPr="00BE7D31">
        <w:rPr>
          <w:rFonts w:ascii="Arial" w:eastAsia="Arial" w:hAnsi="Arial" w:cs="Arial"/>
          <w:spacing w:val="-17"/>
          <w:sz w:val="22"/>
          <w:lang w:val="es-ES"/>
        </w:rPr>
        <w:t xml:space="preserve"> </w:t>
      </w:r>
      <w:r w:rsidRPr="00BE7D31">
        <w:rPr>
          <w:rFonts w:ascii="Arial" w:eastAsia="Arial" w:hAnsi="Arial" w:cs="Arial"/>
          <w:sz w:val="22"/>
          <w:lang w:val="es-ES"/>
        </w:rPr>
        <w:t>presentada.</w:t>
      </w:r>
    </w:p>
    <w:p w14:paraId="3F32459F" w14:textId="7C9BEC0C" w:rsidR="00BE7D31" w:rsidRDefault="00BE7D31" w:rsidP="005076E2">
      <w:pPr>
        <w:widowControl w:val="0"/>
        <w:autoSpaceDE w:val="0"/>
        <w:autoSpaceDN w:val="0"/>
        <w:spacing w:after="120" w:line="276" w:lineRule="auto"/>
        <w:ind w:right="51" w:firstLine="709"/>
        <w:jc w:val="both"/>
        <w:rPr>
          <w:rFonts w:ascii="Arial" w:eastAsia="Arial" w:hAnsi="Arial" w:cs="Arial"/>
          <w:sz w:val="22"/>
          <w:lang w:val="es-ES"/>
        </w:rPr>
      </w:pPr>
      <w:r w:rsidRPr="00BE7D31">
        <w:rPr>
          <w:rFonts w:ascii="Arial" w:eastAsia="Arial" w:hAnsi="Arial" w:cs="Arial"/>
          <w:sz w:val="22"/>
          <w:lang w:val="es-ES"/>
        </w:rPr>
        <w:t>Un</w:t>
      </w:r>
      <w:r w:rsidRPr="00BE7D31">
        <w:rPr>
          <w:rFonts w:ascii="Arial" w:eastAsia="Arial" w:hAnsi="Arial" w:cs="Arial"/>
          <w:spacing w:val="-16"/>
          <w:sz w:val="22"/>
          <w:lang w:val="es-ES"/>
        </w:rPr>
        <w:t xml:space="preserve"> </w:t>
      </w:r>
      <w:r w:rsidRPr="00BE7D31">
        <w:rPr>
          <w:rFonts w:ascii="Arial" w:eastAsia="Arial" w:hAnsi="Arial" w:cs="Arial"/>
          <w:sz w:val="22"/>
          <w:lang w:val="es-ES"/>
        </w:rPr>
        <w:t>mejor</w:t>
      </w:r>
      <w:r w:rsidRPr="00BE7D31">
        <w:rPr>
          <w:rFonts w:ascii="Arial" w:eastAsia="Arial" w:hAnsi="Arial" w:cs="Arial"/>
          <w:spacing w:val="-16"/>
          <w:sz w:val="22"/>
          <w:lang w:val="es-ES"/>
        </w:rPr>
        <w:t xml:space="preserve"> </w:t>
      </w:r>
      <w:r w:rsidRPr="00BE7D31">
        <w:rPr>
          <w:rFonts w:ascii="Arial" w:eastAsia="Arial" w:hAnsi="Arial" w:cs="Arial"/>
          <w:sz w:val="22"/>
          <w:lang w:val="es-ES"/>
        </w:rPr>
        <w:t>entendimiento</w:t>
      </w:r>
      <w:r w:rsidRPr="00BE7D31">
        <w:rPr>
          <w:rFonts w:ascii="Arial" w:eastAsia="Arial" w:hAnsi="Arial" w:cs="Arial"/>
          <w:spacing w:val="-15"/>
          <w:sz w:val="22"/>
          <w:lang w:val="es-ES"/>
        </w:rPr>
        <w:t xml:space="preserve"> </w:t>
      </w:r>
      <w:r w:rsidRPr="00BE7D31">
        <w:rPr>
          <w:rFonts w:ascii="Arial" w:eastAsia="Arial" w:hAnsi="Arial" w:cs="Arial"/>
          <w:sz w:val="22"/>
          <w:lang w:val="es-ES"/>
        </w:rPr>
        <w:t>del</w:t>
      </w:r>
      <w:r w:rsidRPr="00BE7D31">
        <w:rPr>
          <w:rFonts w:ascii="Arial" w:eastAsia="Arial" w:hAnsi="Arial" w:cs="Arial"/>
          <w:spacing w:val="-16"/>
          <w:sz w:val="22"/>
          <w:lang w:val="es-ES"/>
        </w:rPr>
        <w:t xml:space="preserve"> </w:t>
      </w:r>
      <w:r w:rsidRPr="00BE7D31">
        <w:rPr>
          <w:rFonts w:ascii="Arial" w:eastAsia="Arial" w:hAnsi="Arial" w:cs="Arial"/>
          <w:sz w:val="22"/>
          <w:lang w:val="es-ES"/>
        </w:rPr>
        <w:t>significado</w:t>
      </w:r>
      <w:r w:rsidRPr="00BE7D31">
        <w:rPr>
          <w:rFonts w:ascii="Arial" w:eastAsia="Arial" w:hAnsi="Arial" w:cs="Arial"/>
          <w:spacing w:val="-15"/>
          <w:sz w:val="22"/>
          <w:lang w:val="es-ES"/>
        </w:rPr>
        <w:t xml:space="preserve"> </w:t>
      </w:r>
      <w:r w:rsidRPr="00BE7D31">
        <w:rPr>
          <w:rFonts w:ascii="Arial" w:eastAsia="Arial" w:hAnsi="Arial" w:cs="Arial"/>
          <w:sz w:val="22"/>
          <w:lang w:val="es-ES"/>
        </w:rPr>
        <w:t>de</w:t>
      </w:r>
      <w:r w:rsidRPr="00BE7D31">
        <w:rPr>
          <w:rFonts w:ascii="Arial" w:eastAsia="Arial" w:hAnsi="Arial" w:cs="Arial"/>
          <w:spacing w:val="-16"/>
          <w:sz w:val="22"/>
          <w:lang w:val="es-ES"/>
        </w:rPr>
        <w:t xml:space="preserve"> </w:t>
      </w:r>
      <w:r w:rsidRPr="00BE7D31">
        <w:rPr>
          <w:rFonts w:ascii="Arial" w:eastAsia="Arial" w:hAnsi="Arial" w:cs="Arial"/>
          <w:sz w:val="22"/>
          <w:lang w:val="es-ES"/>
        </w:rPr>
        <w:t>la</w:t>
      </w:r>
      <w:r w:rsidRPr="00BE7D31">
        <w:rPr>
          <w:rFonts w:ascii="Arial" w:eastAsia="Arial" w:hAnsi="Arial" w:cs="Arial"/>
          <w:spacing w:val="-16"/>
          <w:sz w:val="22"/>
          <w:lang w:val="es-ES"/>
        </w:rPr>
        <w:t xml:space="preserve"> </w:t>
      </w:r>
      <w:r w:rsidRPr="00BE7D31">
        <w:rPr>
          <w:rFonts w:ascii="Arial" w:eastAsia="Arial" w:hAnsi="Arial" w:cs="Arial"/>
          <w:sz w:val="22"/>
          <w:lang w:val="es-ES"/>
        </w:rPr>
        <w:t>expresión</w:t>
      </w:r>
      <w:r w:rsidRPr="00BE7D31">
        <w:rPr>
          <w:rFonts w:ascii="Arial" w:eastAsia="Arial" w:hAnsi="Arial" w:cs="Arial"/>
          <w:spacing w:val="-16"/>
          <w:sz w:val="22"/>
          <w:lang w:val="es-ES"/>
        </w:rPr>
        <w:t xml:space="preserve"> </w:t>
      </w:r>
      <w:r w:rsidRPr="00BE7D31">
        <w:rPr>
          <w:rFonts w:ascii="Arial" w:eastAsia="Arial" w:hAnsi="Arial" w:cs="Arial"/>
          <w:sz w:val="22"/>
          <w:lang w:val="es-ES"/>
        </w:rPr>
        <w:t>«circunstancias</w:t>
      </w:r>
      <w:r w:rsidRPr="00BE7D31">
        <w:rPr>
          <w:rFonts w:ascii="Arial" w:eastAsia="Arial" w:hAnsi="Arial" w:cs="Arial"/>
          <w:spacing w:val="-14"/>
          <w:sz w:val="22"/>
          <w:lang w:val="es-ES"/>
        </w:rPr>
        <w:t xml:space="preserve"> </w:t>
      </w:r>
      <w:r w:rsidRPr="00BE7D31">
        <w:rPr>
          <w:rFonts w:ascii="Arial" w:eastAsia="Arial" w:hAnsi="Arial" w:cs="Arial"/>
          <w:sz w:val="22"/>
          <w:lang w:val="es-ES"/>
        </w:rPr>
        <w:t>ocurridas con</w:t>
      </w:r>
      <w:r w:rsidRPr="00BE7D31">
        <w:rPr>
          <w:rFonts w:ascii="Arial" w:eastAsia="Arial" w:hAnsi="Arial" w:cs="Arial"/>
          <w:spacing w:val="-18"/>
          <w:sz w:val="22"/>
          <w:lang w:val="es-ES"/>
        </w:rPr>
        <w:t xml:space="preserve"> </w:t>
      </w:r>
      <w:r w:rsidRPr="00BE7D31">
        <w:rPr>
          <w:rFonts w:ascii="Arial" w:eastAsia="Arial" w:hAnsi="Arial" w:cs="Arial"/>
          <w:sz w:val="22"/>
          <w:lang w:val="es-ES"/>
        </w:rPr>
        <w:t>posterioridad</w:t>
      </w:r>
      <w:r w:rsidRPr="00BE7D31">
        <w:rPr>
          <w:rFonts w:ascii="Arial" w:eastAsia="Arial" w:hAnsi="Arial" w:cs="Arial"/>
          <w:spacing w:val="-17"/>
          <w:sz w:val="22"/>
          <w:lang w:val="es-ES"/>
        </w:rPr>
        <w:t xml:space="preserve"> </w:t>
      </w:r>
      <w:r w:rsidRPr="00BE7D31">
        <w:rPr>
          <w:rFonts w:ascii="Arial" w:eastAsia="Arial" w:hAnsi="Arial" w:cs="Arial"/>
          <w:sz w:val="22"/>
          <w:lang w:val="es-ES"/>
        </w:rPr>
        <w:t>al</w:t>
      </w:r>
      <w:r w:rsidRPr="00BE7D31">
        <w:rPr>
          <w:rFonts w:ascii="Arial" w:eastAsia="Arial" w:hAnsi="Arial" w:cs="Arial"/>
          <w:spacing w:val="-18"/>
          <w:sz w:val="22"/>
          <w:lang w:val="es-ES"/>
        </w:rPr>
        <w:t xml:space="preserve"> </w:t>
      </w:r>
      <w:r w:rsidRPr="00BE7D31">
        <w:rPr>
          <w:rFonts w:ascii="Arial" w:eastAsia="Arial" w:hAnsi="Arial" w:cs="Arial"/>
          <w:sz w:val="22"/>
          <w:lang w:val="es-ES"/>
        </w:rPr>
        <w:t>cierre</w:t>
      </w:r>
      <w:r w:rsidRPr="00BE7D31">
        <w:rPr>
          <w:rFonts w:ascii="Arial" w:eastAsia="Arial" w:hAnsi="Arial" w:cs="Arial"/>
          <w:spacing w:val="-17"/>
          <w:sz w:val="22"/>
          <w:lang w:val="es-ES"/>
        </w:rPr>
        <w:t xml:space="preserve"> </w:t>
      </w:r>
      <w:r w:rsidRPr="00BE7D31">
        <w:rPr>
          <w:rFonts w:ascii="Arial" w:eastAsia="Arial" w:hAnsi="Arial" w:cs="Arial"/>
          <w:sz w:val="22"/>
          <w:lang w:val="es-ES"/>
        </w:rPr>
        <w:t>del</w:t>
      </w:r>
      <w:r w:rsidRPr="00BE7D31">
        <w:rPr>
          <w:rFonts w:ascii="Arial" w:eastAsia="Arial" w:hAnsi="Arial" w:cs="Arial"/>
          <w:spacing w:val="-18"/>
          <w:sz w:val="22"/>
          <w:lang w:val="es-ES"/>
        </w:rPr>
        <w:t xml:space="preserve"> </w:t>
      </w:r>
      <w:r w:rsidRPr="00BE7D31">
        <w:rPr>
          <w:rFonts w:ascii="Arial" w:eastAsia="Arial" w:hAnsi="Arial" w:cs="Arial"/>
          <w:sz w:val="22"/>
          <w:lang w:val="es-ES"/>
        </w:rPr>
        <w:t>proceso»</w:t>
      </w:r>
      <w:r w:rsidRPr="00BE7D31">
        <w:rPr>
          <w:rFonts w:ascii="Arial" w:eastAsia="Arial" w:hAnsi="Arial" w:cs="Arial"/>
          <w:spacing w:val="-17"/>
          <w:sz w:val="22"/>
          <w:lang w:val="es-ES"/>
        </w:rPr>
        <w:t xml:space="preserve"> </w:t>
      </w:r>
      <w:r w:rsidRPr="00BE7D31">
        <w:rPr>
          <w:rFonts w:ascii="Arial" w:eastAsia="Arial" w:hAnsi="Arial" w:cs="Arial"/>
          <w:sz w:val="22"/>
          <w:lang w:val="es-ES"/>
        </w:rPr>
        <w:t>lleva</w:t>
      </w:r>
      <w:r w:rsidRPr="00BE7D31">
        <w:rPr>
          <w:rFonts w:ascii="Arial" w:eastAsia="Arial" w:hAnsi="Arial" w:cs="Arial"/>
          <w:spacing w:val="-18"/>
          <w:sz w:val="22"/>
          <w:lang w:val="es-ES"/>
        </w:rPr>
        <w:t xml:space="preserve"> </w:t>
      </w:r>
      <w:r w:rsidRPr="00BE7D31">
        <w:rPr>
          <w:rFonts w:ascii="Arial" w:eastAsia="Arial" w:hAnsi="Arial" w:cs="Arial"/>
          <w:sz w:val="22"/>
          <w:lang w:val="es-ES"/>
        </w:rPr>
        <w:t>necesariamente</w:t>
      </w:r>
      <w:r w:rsidRPr="00BE7D31">
        <w:rPr>
          <w:rFonts w:ascii="Arial" w:eastAsia="Arial" w:hAnsi="Arial" w:cs="Arial"/>
          <w:spacing w:val="-17"/>
          <w:sz w:val="22"/>
          <w:lang w:val="es-ES"/>
        </w:rPr>
        <w:t xml:space="preserve"> </w:t>
      </w:r>
      <w:r w:rsidRPr="00BE7D31">
        <w:rPr>
          <w:rFonts w:ascii="Arial" w:eastAsia="Arial" w:hAnsi="Arial" w:cs="Arial"/>
          <w:sz w:val="22"/>
          <w:lang w:val="es-ES"/>
        </w:rPr>
        <w:t>a</w:t>
      </w:r>
      <w:r w:rsidRPr="00BE7D31">
        <w:rPr>
          <w:rFonts w:ascii="Arial" w:eastAsia="Arial" w:hAnsi="Arial" w:cs="Arial"/>
          <w:spacing w:val="-17"/>
          <w:sz w:val="22"/>
          <w:lang w:val="es-ES"/>
        </w:rPr>
        <w:t xml:space="preserve"> </w:t>
      </w:r>
      <w:r w:rsidRPr="00BE7D31">
        <w:rPr>
          <w:rFonts w:ascii="Arial" w:eastAsia="Arial" w:hAnsi="Arial" w:cs="Arial"/>
          <w:sz w:val="22"/>
          <w:lang w:val="es-ES"/>
        </w:rPr>
        <w:t>distinguir</w:t>
      </w:r>
      <w:r w:rsidRPr="00BE7D31">
        <w:rPr>
          <w:rFonts w:ascii="Arial" w:eastAsia="Arial" w:hAnsi="Arial" w:cs="Arial"/>
          <w:spacing w:val="-18"/>
          <w:sz w:val="22"/>
          <w:lang w:val="es-ES"/>
        </w:rPr>
        <w:t xml:space="preserve"> </w:t>
      </w:r>
      <w:r w:rsidRPr="00BE7D31">
        <w:rPr>
          <w:rFonts w:ascii="Arial" w:eastAsia="Arial" w:hAnsi="Arial" w:cs="Arial"/>
          <w:sz w:val="22"/>
          <w:lang w:val="es-ES"/>
        </w:rPr>
        <w:t>entre</w:t>
      </w:r>
      <w:r w:rsidRPr="00BE7D31">
        <w:rPr>
          <w:rFonts w:ascii="Arial" w:eastAsia="Arial" w:hAnsi="Arial" w:cs="Arial"/>
          <w:spacing w:val="-17"/>
          <w:sz w:val="22"/>
          <w:lang w:val="es-ES"/>
        </w:rPr>
        <w:t xml:space="preserve"> </w:t>
      </w:r>
      <w:r w:rsidRPr="00BE7D31">
        <w:rPr>
          <w:rFonts w:ascii="Arial" w:eastAsia="Arial" w:hAnsi="Arial" w:cs="Arial"/>
          <w:sz w:val="22"/>
          <w:lang w:val="es-ES"/>
        </w:rPr>
        <w:t>la</w:t>
      </w:r>
      <w:r w:rsidRPr="00BE7D31">
        <w:rPr>
          <w:rFonts w:ascii="Arial" w:eastAsia="Arial" w:hAnsi="Arial" w:cs="Arial"/>
          <w:spacing w:val="-18"/>
          <w:sz w:val="22"/>
          <w:lang w:val="es-ES"/>
        </w:rPr>
        <w:t xml:space="preserve"> </w:t>
      </w:r>
      <w:r w:rsidRPr="00BE7D31">
        <w:rPr>
          <w:rFonts w:ascii="Arial" w:eastAsia="Arial" w:hAnsi="Arial" w:cs="Arial"/>
          <w:sz w:val="22"/>
          <w:lang w:val="es-ES"/>
        </w:rPr>
        <w:t>prueba de</w:t>
      </w:r>
      <w:r w:rsidRPr="00BE7D31">
        <w:rPr>
          <w:rFonts w:ascii="Arial" w:eastAsia="Arial" w:hAnsi="Arial" w:cs="Arial"/>
          <w:spacing w:val="-8"/>
          <w:sz w:val="22"/>
          <w:lang w:val="es-ES"/>
        </w:rPr>
        <w:t xml:space="preserve"> </w:t>
      </w:r>
      <w:r w:rsidRPr="00BE7D31">
        <w:rPr>
          <w:rFonts w:ascii="Arial" w:eastAsia="Arial" w:hAnsi="Arial" w:cs="Arial"/>
          <w:sz w:val="22"/>
          <w:lang w:val="es-ES"/>
        </w:rPr>
        <w:t>un</w:t>
      </w:r>
      <w:r w:rsidRPr="00BE7D31">
        <w:rPr>
          <w:rFonts w:ascii="Arial" w:eastAsia="Arial" w:hAnsi="Arial" w:cs="Arial"/>
          <w:spacing w:val="-8"/>
          <w:sz w:val="22"/>
          <w:lang w:val="es-ES"/>
        </w:rPr>
        <w:t xml:space="preserve"> </w:t>
      </w:r>
      <w:r w:rsidRPr="00BE7D31">
        <w:rPr>
          <w:rFonts w:ascii="Arial" w:eastAsia="Arial" w:hAnsi="Arial" w:cs="Arial"/>
          <w:sz w:val="22"/>
          <w:lang w:val="es-ES"/>
        </w:rPr>
        <w:t>hecho</w:t>
      </w:r>
      <w:r w:rsidRPr="00BE7D31">
        <w:rPr>
          <w:rFonts w:ascii="Arial" w:eastAsia="Arial" w:hAnsi="Arial" w:cs="Arial"/>
          <w:spacing w:val="-7"/>
          <w:sz w:val="22"/>
          <w:lang w:val="es-ES"/>
        </w:rPr>
        <w:t xml:space="preserve"> </w:t>
      </w:r>
      <w:r w:rsidRPr="00BE7D31">
        <w:rPr>
          <w:rFonts w:ascii="Arial" w:eastAsia="Arial" w:hAnsi="Arial" w:cs="Arial"/>
          <w:sz w:val="22"/>
          <w:lang w:val="es-ES"/>
        </w:rPr>
        <w:t>y</w:t>
      </w:r>
      <w:r w:rsidRPr="00BE7D31">
        <w:rPr>
          <w:rFonts w:ascii="Arial" w:eastAsia="Arial" w:hAnsi="Arial" w:cs="Arial"/>
          <w:spacing w:val="-8"/>
          <w:sz w:val="22"/>
          <w:lang w:val="es-ES"/>
        </w:rPr>
        <w:t xml:space="preserve"> </w:t>
      </w:r>
      <w:r w:rsidRPr="00BE7D31">
        <w:rPr>
          <w:rFonts w:ascii="Arial" w:eastAsia="Arial" w:hAnsi="Arial" w:cs="Arial"/>
          <w:sz w:val="22"/>
          <w:lang w:val="es-ES"/>
        </w:rPr>
        <w:t>el</w:t>
      </w:r>
      <w:r w:rsidRPr="00BE7D31">
        <w:rPr>
          <w:rFonts w:ascii="Arial" w:eastAsia="Arial" w:hAnsi="Arial" w:cs="Arial"/>
          <w:spacing w:val="-7"/>
          <w:sz w:val="22"/>
          <w:lang w:val="es-ES"/>
        </w:rPr>
        <w:t xml:space="preserve"> </w:t>
      </w:r>
      <w:r w:rsidRPr="00BE7D31">
        <w:rPr>
          <w:rFonts w:ascii="Arial" w:eastAsia="Arial" w:hAnsi="Arial" w:cs="Arial"/>
          <w:sz w:val="22"/>
          <w:lang w:val="es-ES"/>
        </w:rPr>
        <w:t>hecho</w:t>
      </w:r>
      <w:r w:rsidRPr="00BE7D31">
        <w:rPr>
          <w:rFonts w:ascii="Arial" w:eastAsia="Arial" w:hAnsi="Arial" w:cs="Arial"/>
          <w:spacing w:val="-8"/>
          <w:sz w:val="22"/>
          <w:lang w:val="es-ES"/>
        </w:rPr>
        <w:t xml:space="preserve"> </w:t>
      </w:r>
      <w:r w:rsidRPr="00BE7D31">
        <w:rPr>
          <w:rFonts w:ascii="Arial" w:eastAsia="Arial" w:hAnsi="Arial" w:cs="Arial"/>
          <w:sz w:val="22"/>
          <w:lang w:val="es-ES"/>
        </w:rPr>
        <w:t>mismo.</w:t>
      </w:r>
      <w:r w:rsidRPr="00BE7D31">
        <w:rPr>
          <w:rFonts w:ascii="Arial" w:eastAsia="Arial" w:hAnsi="Arial" w:cs="Arial"/>
          <w:spacing w:val="-7"/>
          <w:sz w:val="22"/>
          <w:lang w:val="es-ES"/>
        </w:rPr>
        <w:t xml:space="preserve"> </w:t>
      </w:r>
      <w:r w:rsidRPr="00BE7D31">
        <w:rPr>
          <w:rFonts w:ascii="Arial" w:eastAsia="Arial" w:hAnsi="Arial" w:cs="Arial"/>
          <w:sz w:val="22"/>
          <w:lang w:val="es-ES"/>
        </w:rPr>
        <w:t>En</w:t>
      </w:r>
      <w:r w:rsidRPr="00BE7D31">
        <w:rPr>
          <w:rFonts w:ascii="Arial" w:eastAsia="Arial" w:hAnsi="Arial" w:cs="Arial"/>
          <w:spacing w:val="-8"/>
          <w:sz w:val="22"/>
          <w:lang w:val="es-ES"/>
        </w:rPr>
        <w:t xml:space="preserve"> </w:t>
      </w:r>
      <w:r w:rsidRPr="00BE7D31">
        <w:rPr>
          <w:rFonts w:ascii="Arial" w:eastAsia="Arial" w:hAnsi="Arial" w:cs="Arial"/>
          <w:sz w:val="22"/>
          <w:lang w:val="es-ES"/>
        </w:rPr>
        <w:t>el</w:t>
      </w:r>
      <w:r w:rsidRPr="00BE7D31">
        <w:rPr>
          <w:rFonts w:ascii="Arial" w:eastAsia="Arial" w:hAnsi="Arial" w:cs="Arial"/>
          <w:spacing w:val="-7"/>
          <w:sz w:val="22"/>
          <w:lang w:val="es-ES"/>
        </w:rPr>
        <w:t xml:space="preserve"> </w:t>
      </w:r>
      <w:r w:rsidRPr="00BE7D31">
        <w:rPr>
          <w:rFonts w:ascii="Arial" w:eastAsia="Arial" w:hAnsi="Arial" w:cs="Arial"/>
          <w:sz w:val="22"/>
          <w:lang w:val="es-ES"/>
        </w:rPr>
        <w:t>caso</w:t>
      </w:r>
      <w:r w:rsidRPr="00BE7D31">
        <w:rPr>
          <w:rFonts w:ascii="Arial" w:eastAsia="Arial" w:hAnsi="Arial" w:cs="Arial"/>
          <w:spacing w:val="-8"/>
          <w:sz w:val="22"/>
          <w:lang w:val="es-ES"/>
        </w:rPr>
        <w:t xml:space="preserve"> </w:t>
      </w:r>
      <w:r w:rsidRPr="00BE7D31">
        <w:rPr>
          <w:rFonts w:ascii="Arial" w:eastAsia="Arial" w:hAnsi="Arial" w:cs="Arial"/>
          <w:sz w:val="22"/>
          <w:lang w:val="es-ES"/>
        </w:rPr>
        <w:t>de</w:t>
      </w:r>
      <w:r w:rsidRPr="00BE7D31">
        <w:rPr>
          <w:rFonts w:ascii="Arial" w:eastAsia="Arial" w:hAnsi="Arial" w:cs="Arial"/>
          <w:spacing w:val="-7"/>
          <w:sz w:val="22"/>
          <w:lang w:val="es-ES"/>
        </w:rPr>
        <w:t xml:space="preserve"> </w:t>
      </w:r>
      <w:r w:rsidRPr="00BE7D31">
        <w:rPr>
          <w:rFonts w:ascii="Arial" w:eastAsia="Arial" w:hAnsi="Arial" w:cs="Arial"/>
          <w:sz w:val="22"/>
          <w:lang w:val="es-ES"/>
        </w:rPr>
        <w:t>la</w:t>
      </w:r>
      <w:r w:rsidRPr="00BE7D31">
        <w:rPr>
          <w:rFonts w:ascii="Arial" w:eastAsia="Arial" w:hAnsi="Arial" w:cs="Arial"/>
          <w:spacing w:val="-8"/>
          <w:sz w:val="22"/>
          <w:lang w:val="es-ES"/>
        </w:rPr>
        <w:t xml:space="preserve"> </w:t>
      </w:r>
      <w:r w:rsidRPr="00BE7D31">
        <w:rPr>
          <w:rFonts w:ascii="Arial" w:eastAsia="Arial" w:hAnsi="Arial" w:cs="Arial"/>
          <w:sz w:val="22"/>
          <w:lang w:val="es-ES"/>
        </w:rPr>
        <w:t>subsanabilidad</w:t>
      </w:r>
      <w:r w:rsidRPr="00BE7D31">
        <w:rPr>
          <w:rFonts w:ascii="Arial" w:eastAsia="Arial" w:hAnsi="Arial" w:cs="Arial"/>
          <w:spacing w:val="-7"/>
          <w:sz w:val="22"/>
          <w:lang w:val="es-ES"/>
        </w:rPr>
        <w:t xml:space="preserve"> </w:t>
      </w:r>
      <w:r w:rsidRPr="00BE7D31">
        <w:rPr>
          <w:rFonts w:ascii="Arial" w:eastAsia="Arial" w:hAnsi="Arial" w:cs="Arial"/>
          <w:sz w:val="22"/>
          <w:lang w:val="es-ES"/>
        </w:rPr>
        <w:t>de</w:t>
      </w:r>
      <w:r w:rsidRPr="00BE7D31">
        <w:rPr>
          <w:rFonts w:ascii="Arial" w:eastAsia="Arial" w:hAnsi="Arial" w:cs="Arial"/>
          <w:spacing w:val="-8"/>
          <w:sz w:val="22"/>
          <w:lang w:val="es-ES"/>
        </w:rPr>
        <w:t xml:space="preserve"> </w:t>
      </w:r>
      <w:r w:rsidRPr="00BE7D31">
        <w:rPr>
          <w:rFonts w:ascii="Arial" w:eastAsia="Arial" w:hAnsi="Arial" w:cs="Arial"/>
          <w:sz w:val="22"/>
          <w:lang w:val="es-ES"/>
        </w:rPr>
        <w:t>las</w:t>
      </w:r>
      <w:r w:rsidRPr="00BE7D31">
        <w:rPr>
          <w:rFonts w:ascii="Arial" w:eastAsia="Arial" w:hAnsi="Arial" w:cs="Arial"/>
          <w:spacing w:val="-7"/>
          <w:sz w:val="22"/>
          <w:lang w:val="es-ES"/>
        </w:rPr>
        <w:t xml:space="preserve"> </w:t>
      </w:r>
      <w:r w:rsidRPr="00BE7D31">
        <w:rPr>
          <w:rFonts w:ascii="Arial" w:eastAsia="Arial" w:hAnsi="Arial" w:cs="Arial"/>
          <w:sz w:val="22"/>
          <w:lang w:val="es-ES"/>
        </w:rPr>
        <w:t>ofertas,</w:t>
      </w:r>
      <w:r w:rsidRPr="00BE7D31">
        <w:rPr>
          <w:rFonts w:ascii="Arial" w:eastAsia="Arial" w:hAnsi="Arial" w:cs="Arial"/>
          <w:spacing w:val="-8"/>
          <w:sz w:val="22"/>
          <w:lang w:val="es-ES"/>
        </w:rPr>
        <w:t xml:space="preserve"> </w:t>
      </w:r>
      <w:r w:rsidRPr="00BE7D31">
        <w:rPr>
          <w:rFonts w:ascii="Arial" w:eastAsia="Arial" w:hAnsi="Arial" w:cs="Arial"/>
          <w:sz w:val="22"/>
          <w:lang w:val="es-ES"/>
        </w:rPr>
        <w:t>una</w:t>
      </w:r>
      <w:r w:rsidRPr="00BE7D31">
        <w:rPr>
          <w:rFonts w:ascii="Arial" w:eastAsia="Arial" w:hAnsi="Arial" w:cs="Arial"/>
          <w:spacing w:val="-7"/>
          <w:sz w:val="22"/>
          <w:lang w:val="es-ES"/>
        </w:rPr>
        <w:t xml:space="preserve"> </w:t>
      </w:r>
      <w:r w:rsidRPr="00BE7D31">
        <w:rPr>
          <w:rFonts w:ascii="Arial" w:eastAsia="Arial" w:hAnsi="Arial" w:cs="Arial"/>
          <w:sz w:val="22"/>
          <w:lang w:val="es-ES"/>
        </w:rPr>
        <w:t>cosa es</w:t>
      </w:r>
      <w:r w:rsidRPr="00BE7D31">
        <w:rPr>
          <w:rFonts w:ascii="Arial" w:eastAsia="Arial" w:hAnsi="Arial" w:cs="Arial"/>
          <w:spacing w:val="-12"/>
          <w:sz w:val="22"/>
          <w:lang w:val="es-ES"/>
        </w:rPr>
        <w:t xml:space="preserve"> </w:t>
      </w:r>
      <w:r w:rsidRPr="00BE7D31">
        <w:rPr>
          <w:rFonts w:ascii="Arial" w:eastAsia="Arial" w:hAnsi="Arial" w:cs="Arial"/>
          <w:sz w:val="22"/>
          <w:lang w:val="es-ES"/>
        </w:rPr>
        <w:t>el</w:t>
      </w:r>
      <w:r w:rsidRPr="00BE7D31">
        <w:rPr>
          <w:rFonts w:ascii="Arial" w:eastAsia="Arial" w:hAnsi="Arial" w:cs="Arial"/>
          <w:spacing w:val="-12"/>
          <w:sz w:val="22"/>
          <w:lang w:val="es-ES"/>
        </w:rPr>
        <w:t xml:space="preserve"> </w:t>
      </w:r>
      <w:r w:rsidRPr="00BE7D31">
        <w:rPr>
          <w:rFonts w:ascii="Arial" w:eastAsia="Arial" w:hAnsi="Arial" w:cs="Arial"/>
          <w:sz w:val="22"/>
          <w:lang w:val="es-ES"/>
        </w:rPr>
        <w:t>requisito</w:t>
      </w:r>
      <w:r w:rsidRPr="00BE7D31">
        <w:rPr>
          <w:rFonts w:ascii="Arial" w:eastAsia="Arial" w:hAnsi="Arial" w:cs="Arial"/>
          <w:spacing w:val="-12"/>
          <w:sz w:val="22"/>
          <w:lang w:val="es-ES"/>
        </w:rPr>
        <w:t xml:space="preserve"> </w:t>
      </w:r>
      <w:r w:rsidRPr="00BE7D31">
        <w:rPr>
          <w:rFonts w:ascii="Arial" w:eastAsia="Arial" w:hAnsi="Arial" w:cs="Arial"/>
          <w:sz w:val="22"/>
          <w:lang w:val="es-ES"/>
        </w:rPr>
        <w:t>habilitante</w:t>
      </w:r>
      <w:r w:rsidRPr="00BE7D31">
        <w:rPr>
          <w:rFonts w:ascii="Arial" w:eastAsia="Arial" w:hAnsi="Arial" w:cs="Arial"/>
          <w:spacing w:val="-11"/>
          <w:sz w:val="22"/>
          <w:lang w:val="es-ES"/>
        </w:rPr>
        <w:t xml:space="preserve"> </w:t>
      </w:r>
      <w:r w:rsidRPr="00BE7D31">
        <w:rPr>
          <w:rFonts w:ascii="Arial" w:eastAsia="Arial" w:hAnsi="Arial" w:cs="Arial"/>
          <w:sz w:val="22"/>
          <w:lang w:val="es-ES"/>
        </w:rPr>
        <w:t>o</w:t>
      </w:r>
      <w:r w:rsidRPr="00BE7D31">
        <w:rPr>
          <w:rFonts w:ascii="Arial" w:eastAsia="Arial" w:hAnsi="Arial" w:cs="Arial"/>
          <w:spacing w:val="-12"/>
          <w:sz w:val="22"/>
          <w:lang w:val="es-ES"/>
        </w:rPr>
        <w:t xml:space="preserve"> </w:t>
      </w:r>
      <w:r w:rsidRPr="00BE7D31">
        <w:rPr>
          <w:rFonts w:ascii="Arial" w:eastAsia="Arial" w:hAnsi="Arial" w:cs="Arial"/>
          <w:sz w:val="22"/>
          <w:lang w:val="es-ES"/>
        </w:rPr>
        <w:t>el</w:t>
      </w:r>
      <w:r w:rsidRPr="00BE7D31">
        <w:rPr>
          <w:rFonts w:ascii="Arial" w:eastAsia="Arial" w:hAnsi="Arial" w:cs="Arial"/>
          <w:spacing w:val="-12"/>
          <w:sz w:val="22"/>
          <w:lang w:val="es-ES"/>
        </w:rPr>
        <w:t xml:space="preserve"> </w:t>
      </w:r>
      <w:r w:rsidRPr="00BE7D31">
        <w:rPr>
          <w:rFonts w:ascii="Arial" w:eastAsia="Arial" w:hAnsi="Arial" w:cs="Arial"/>
          <w:sz w:val="22"/>
          <w:lang w:val="es-ES"/>
        </w:rPr>
        <w:t>elemento</w:t>
      </w:r>
      <w:r w:rsidRPr="00BE7D31">
        <w:rPr>
          <w:rFonts w:ascii="Arial" w:eastAsia="Arial" w:hAnsi="Arial" w:cs="Arial"/>
          <w:spacing w:val="-11"/>
          <w:sz w:val="22"/>
          <w:lang w:val="es-ES"/>
        </w:rPr>
        <w:t xml:space="preserve"> </w:t>
      </w:r>
      <w:r w:rsidRPr="00BE7D31">
        <w:rPr>
          <w:rFonts w:ascii="Arial" w:eastAsia="Arial" w:hAnsi="Arial" w:cs="Arial"/>
          <w:sz w:val="22"/>
          <w:lang w:val="es-ES"/>
        </w:rPr>
        <w:t>de</w:t>
      </w:r>
      <w:r w:rsidRPr="00BE7D31">
        <w:rPr>
          <w:rFonts w:ascii="Arial" w:eastAsia="Arial" w:hAnsi="Arial" w:cs="Arial"/>
          <w:spacing w:val="-11"/>
          <w:sz w:val="22"/>
          <w:lang w:val="es-ES"/>
        </w:rPr>
        <w:t xml:space="preserve"> </w:t>
      </w:r>
      <w:r w:rsidRPr="00BE7D31">
        <w:rPr>
          <w:rFonts w:ascii="Arial" w:eastAsia="Arial" w:hAnsi="Arial" w:cs="Arial"/>
          <w:sz w:val="22"/>
          <w:lang w:val="es-ES"/>
        </w:rPr>
        <w:t>la</w:t>
      </w:r>
      <w:r w:rsidRPr="00BE7D31">
        <w:rPr>
          <w:rFonts w:ascii="Arial" w:eastAsia="Arial" w:hAnsi="Arial" w:cs="Arial"/>
          <w:spacing w:val="-12"/>
          <w:sz w:val="22"/>
          <w:lang w:val="es-ES"/>
        </w:rPr>
        <w:t xml:space="preserve"> </w:t>
      </w:r>
      <w:r w:rsidRPr="00BE7D31">
        <w:rPr>
          <w:rFonts w:ascii="Arial" w:eastAsia="Arial" w:hAnsi="Arial" w:cs="Arial"/>
          <w:sz w:val="22"/>
          <w:lang w:val="es-ES"/>
        </w:rPr>
        <w:t>propuesta</w:t>
      </w:r>
      <w:r w:rsidRPr="00BE7D31">
        <w:rPr>
          <w:rFonts w:ascii="Arial" w:eastAsia="Arial" w:hAnsi="Arial" w:cs="Arial"/>
          <w:spacing w:val="-11"/>
          <w:sz w:val="22"/>
          <w:lang w:val="es-ES"/>
        </w:rPr>
        <w:t xml:space="preserve"> </w:t>
      </w:r>
      <w:r w:rsidRPr="00BE7D31">
        <w:rPr>
          <w:rFonts w:ascii="Arial" w:eastAsia="Arial" w:hAnsi="Arial" w:cs="Arial"/>
          <w:sz w:val="22"/>
          <w:lang w:val="es-ES"/>
        </w:rPr>
        <w:t>y</w:t>
      </w:r>
      <w:r w:rsidRPr="00BE7D31">
        <w:rPr>
          <w:rFonts w:ascii="Arial" w:eastAsia="Arial" w:hAnsi="Arial" w:cs="Arial"/>
          <w:spacing w:val="-12"/>
          <w:sz w:val="22"/>
          <w:lang w:val="es-ES"/>
        </w:rPr>
        <w:t xml:space="preserve"> </w:t>
      </w:r>
      <w:r w:rsidRPr="00BE7D31">
        <w:rPr>
          <w:rFonts w:ascii="Arial" w:eastAsia="Arial" w:hAnsi="Arial" w:cs="Arial"/>
          <w:sz w:val="22"/>
          <w:lang w:val="es-ES"/>
        </w:rPr>
        <w:t>otra</w:t>
      </w:r>
      <w:r w:rsidRPr="00BE7D31">
        <w:rPr>
          <w:rFonts w:ascii="Arial" w:eastAsia="Arial" w:hAnsi="Arial" w:cs="Arial"/>
          <w:spacing w:val="-12"/>
          <w:sz w:val="22"/>
          <w:lang w:val="es-ES"/>
        </w:rPr>
        <w:t xml:space="preserve"> </w:t>
      </w:r>
      <w:r w:rsidRPr="00BE7D31">
        <w:rPr>
          <w:rFonts w:ascii="Arial" w:eastAsia="Arial" w:hAnsi="Arial" w:cs="Arial"/>
          <w:sz w:val="22"/>
          <w:lang w:val="es-ES"/>
        </w:rPr>
        <w:t>su</w:t>
      </w:r>
      <w:r w:rsidRPr="00BE7D31">
        <w:rPr>
          <w:rFonts w:ascii="Arial" w:eastAsia="Arial" w:hAnsi="Arial" w:cs="Arial"/>
          <w:spacing w:val="-12"/>
          <w:sz w:val="22"/>
          <w:lang w:val="es-ES"/>
        </w:rPr>
        <w:t xml:space="preserve"> </w:t>
      </w:r>
      <w:r w:rsidRPr="00BE7D31">
        <w:rPr>
          <w:rFonts w:ascii="Arial" w:eastAsia="Arial" w:hAnsi="Arial" w:cs="Arial"/>
          <w:sz w:val="22"/>
          <w:lang w:val="es-ES"/>
        </w:rPr>
        <w:t>prueba.</w:t>
      </w:r>
      <w:r w:rsidRPr="00BE7D31">
        <w:rPr>
          <w:rFonts w:ascii="Arial" w:eastAsia="Arial" w:hAnsi="Arial" w:cs="Arial"/>
          <w:spacing w:val="-11"/>
          <w:sz w:val="22"/>
          <w:lang w:val="es-ES"/>
        </w:rPr>
        <w:t xml:space="preserve"> </w:t>
      </w:r>
      <w:r w:rsidRPr="00BE7D31">
        <w:rPr>
          <w:rFonts w:ascii="Arial" w:eastAsia="Arial" w:hAnsi="Arial" w:cs="Arial"/>
          <w:sz w:val="22"/>
          <w:lang w:val="es-ES"/>
        </w:rPr>
        <w:t>Lo</w:t>
      </w:r>
      <w:r w:rsidRPr="00BE7D31">
        <w:rPr>
          <w:rFonts w:ascii="Arial" w:eastAsia="Arial" w:hAnsi="Arial" w:cs="Arial"/>
          <w:spacing w:val="-11"/>
          <w:sz w:val="22"/>
          <w:lang w:val="es-ES"/>
        </w:rPr>
        <w:t xml:space="preserve"> </w:t>
      </w:r>
      <w:r w:rsidRPr="00BE7D31">
        <w:rPr>
          <w:rFonts w:ascii="Arial" w:eastAsia="Arial" w:hAnsi="Arial" w:cs="Arial"/>
          <w:sz w:val="22"/>
          <w:lang w:val="es-ES"/>
        </w:rPr>
        <w:t>que</w:t>
      </w:r>
      <w:r w:rsidRPr="00BE7D31">
        <w:rPr>
          <w:rFonts w:ascii="Arial" w:eastAsia="Arial" w:hAnsi="Arial" w:cs="Arial"/>
          <w:spacing w:val="-12"/>
          <w:sz w:val="22"/>
          <w:lang w:val="es-ES"/>
        </w:rPr>
        <w:t xml:space="preserve"> </w:t>
      </w:r>
      <w:r w:rsidRPr="00BE7D31">
        <w:rPr>
          <w:rFonts w:ascii="Arial" w:eastAsia="Arial" w:hAnsi="Arial" w:cs="Arial"/>
          <w:sz w:val="22"/>
          <w:lang w:val="es-ES"/>
        </w:rPr>
        <w:t>prohíbe la norma es que se subsanen requisitos que no estaban cumplidos al momento de presentar la oferta, o en palabras de la ley, que se acrediten hechos que ocurrieron después del cierre del</w:t>
      </w:r>
      <w:r w:rsidRPr="00BE7D31">
        <w:rPr>
          <w:rFonts w:ascii="Arial" w:eastAsia="Arial" w:hAnsi="Arial" w:cs="Arial"/>
          <w:spacing w:val="-5"/>
          <w:sz w:val="22"/>
          <w:lang w:val="es-ES"/>
        </w:rPr>
        <w:t xml:space="preserve"> </w:t>
      </w:r>
      <w:r w:rsidRPr="00BE7D31">
        <w:rPr>
          <w:rFonts w:ascii="Arial" w:eastAsia="Arial" w:hAnsi="Arial" w:cs="Arial"/>
          <w:sz w:val="22"/>
          <w:lang w:val="es-ES"/>
        </w:rPr>
        <w:t>proceso.</w:t>
      </w:r>
      <w:r>
        <w:rPr>
          <w:rFonts w:ascii="Arial" w:eastAsia="Arial" w:hAnsi="Arial" w:cs="Arial"/>
          <w:sz w:val="22"/>
          <w:lang w:val="es-ES"/>
        </w:rPr>
        <w:t xml:space="preserve"> </w:t>
      </w:r>
      <w:r w:rsidRPr="00BE7D31">
        <w:rPr>
          <w:rFonts w:ascii="Arial" w:eastAsia="Arial" w:hAnsi="Arial" w:cs="Arial"/>
          <w:sz w:val="22"/>
          <w:lang w:val="es-ES"/>
        </w:rPr>
        <w:t>Por ejemplo</w:t>
      </w:r>
      <w:r>
        <w:rPr>
          <w:rFonts w:ascii="Arial" w:eastAsia="Arial" w:hAnsi="Arial" w:cs="Arial"/>
          <w:sz w:val="22"/>
          <w:lang w:val="es-ES"/>
        </w:rPr>
        <w:t xml:space="preserve">, </w:t>
      </w:r>
      <w:r w:rsidRPr="00BE7D31">
        <w:rPr>
          <w:rFonts w:ascii="Arial" w:eastAsia="Arial" w:hAnsi="Arial" w:cs="Arial"/>
          <w:sz w:val="22"/>
          <w:lang w:val="es-ES"/>
        </w:rPr>
        <w:t>si un oferente olvidó adjuntar con su propuesta el certificado que da cuenta de su inscripción en el RUP, el requisito será subsanable siempre que la prueba allegada demuestre que el hecho, esto es, la inscripción en el registro ocurrió con anterioridad al cierre del proceso y que para antes de dicho momento estaba en firme</w:t>
      </w:r>
      <w:r>
        <w:rPr>
          <w:rFonts w:ascii="Arial" w:eastAsia="Arial" w:hAnsi="Arial" w:cs="Arial"/>
          <w:sz w:val="22"/>
          <w:lang w:val="es-ES"/>
        </w:rPr>
        <w:t>.</w:t>
      </w:r>
    </w:p>
    <w:p w14:paraId="65128A4B" w14:textId="650D5EAA" w:rsidR="0070739B" w:rsidRDefault="002A6355" w:rsidP="005076E2">
      <w:pPr>
        <w:widowControl w:val="0"/>
        <w:autoSpaceDE w:val="0"/>
        <w:autoSpaceDN w:val="0"/>
        <w:spacing w:line="276" w:lineRule="auto"/>
        <w:ind w:right="49" w:firstLine="709"/>
        <w:jc w:val="both"/>
        <w:rPr>
          <w:rFonts w:ascii="Arial" w:eastAsia="Arial" w:hAnsi="Arial" w:cs="Arial"/>
          <w:sz w:val="22"/>
          <w:lang w:val="es-ES"/>
        </w:rPr>
      </w:pPr>
      <w:r w:rsidRPr="002A6355">
        <w:rPr>
          <w:rFonts w:ascii="Arial" w:eastAsia="Arial" w:hAnsi="Arial" w:cs="Arial"/>
          <w:sz w:val="22"/>
          <w:lang w:val="es-ES"/>
        </w:rPr>
        <w:t xml:space="preserve">La </w:t>
      </w:r>
      <w:r w:rsidRPr="002A6355">
        <w:rPr>
          <w:rFonts w:ascii="Arial" w:eastAsia="Arial" w:hAnsi="Arial" w:cs="Arial"/>
          <w:i/>
          <w:sz w:val="22"/>
          <w:lang w:val="es-ES"/>
        </w:rPr>
        <w:t xml:space="preserve">tercera </w:t>
      </w:r>
      <w:r w:rsidRPr="002A6355">
        <w:rPr>
          <w:rFonts w:ascii="Arial" w:eastAsia="Arial" w:hAnsi="Arial" w:cs="Arial"/>
          <w:sz w:val="22"/>
          <w:lang w:val="es-ES"/>
        </w:rPr>
        <w:t>modificación relevante que introdujo la Ley 1882 de 2018 sobre la regla de subsanabilidad, es la correspondiente a la garantía de seriedad. El parágrafo 3 del artículo 5 de la Ley 1150 de 2007, adicionado por el artículo 5 de la Ley 1882 de 2018, excluye</w:t>
      </w:r>
      <w:r w:rsidRPr="002A6355">
        <w:rPr>
          <w:rFonts w:ascii="Arial" w:eastAsia="Arial" w:hAnsi="Arial" w:cs="Arial"/>
          <w:spacing w:val="-14"/>
          <w:sz w:val="22"/>
          <w:lang w:val="es-ES"/>
        </w:rPr>
        <w:t xml:space="preserve"> </w:t>
      </w:r>
      <w:r w:rsidRPr="002A6355">
        <w:rPr>
          <w:rFonts w:ascii="Arial" w:eastAsia="Arial" w:hAnsi="Arial" w:cs="Arial"/>
          <w:sz w:val="22"/>
          <w:lang w:val="es-ES"/>
        </w:rPr>
        <w:t>expresamente</w:t>
      </w:r>
      <w:r w:rsidRPr="002A6355">
        <w:rPr>
          <w:rFonts w:ascii="Arial" w:eastAsia="Arial" w:hAnsi="Arial" w:cs="Arial"/>
          <w:spacing w:val="-14"/>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posibilidad</w:t>
      </w:r>
      <w:r w:rsidRPr="002A6355">
        <w:rPr>
          <w:rFonts w:ascii="Arial" w:eastAsia="Arial" w:hAnsi="Arial" w:cs="Arial"/>
          <w:spacing w:val="-14"/>
          <w:sz w:val="22"/>
          <w:lang w:val="es-ES"/>
        </w:rPr>
        <w:t xml:space="preserve"> </w:t>
      </w:r>
      <w:r w:rsidRPr="002A6355">
        <w:rPr>
          <w:rFonts w:ascii="Arial" w:eastAsia="Arial" w:hAnsi="Arial" w:cs="Arial"/>
          <w:sz w:val="22"/>
          <w:lang w:val="es-ES"/>
        </w:rPr>
        <w:t>de</w:t>
      </w:r>
      <w:r w:rsidRPr="002A6355">
        <w:rPr>
          <w:rFonts w:ascii="Arial" w:eastAsia="Arial" w:hAnsi="Arial" w:cs="Arial"/>
          <w:spacing w:val="-14"/>
          <w:sz w:val="22"/>
          <w:lang w:val="es-ES"/>
        </w:rPr>
        <w:t xml:space="preserve"> </w:t>
      </w:r>
      <w:r w:rsidRPr="002A6355">
        <w:rPr>
          <w:rFonts w:ascii="Arial" w:eastAsia="Arial" w:hAnsi="Arial" w:cs="Arial"/>
          <w:sz w:val="22"/>
          <w:lang w:val="es-ES"/>
        </w:rPr>
        <w:t>subsanar</w:t>
      </w:r>
      <w:r w:rsidRPr="002A6355">
        <w:rPr>
          <w:rFonts w:ascii="Arial" w:eastAsia="Arial" w:hAnsi="Arial" w:cs="Arial"/>
          <w:spacing w:val="-15"/>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falencia</w:t>
      </w:r>
      <w:r w:rsidRPr="002A6355">
        <w:rPr>
          <w:rFonts w:ascii="Arial" w:eastAsia="Arial" w:hAnsi="Arial" w:cs="Arial"/>
          <w:spacing w:val="-13"/>
          <w:sz w:val="22"/>
          <w:lang w:val="es-ES"/>
        </w:rPr>
        <w:t xml:space="preserve"> </w:t>
      </w:r>
      <w:r w:rsidRPr="002A6355">
        <w:rPr>
          <w:rFonts w:ascii="Arial" w:eastAsia="Arial" w:hAnsi="Arial" w:cs="Arial"/>
          <w:sz w:val="22"/>
          <w:lang w:val="es-ES"/>
        </w:rPr>
        <w:t>de</w:t>
      </w:r>
      <w:r w:rsidRPr="002A6355">
        <w:rPr>
          <w:rFonts w:ascii="Arial" w:eastAsia="Arial" w:hAnsi="Arial" w:cs="Arial"/>
          <w:spacing w:val="-14"/>
          <w:sz w:val="22"/>
          <w:lang w:val="es-ES"/>
        </w:rPr>
        <w:t xml:space="preserve"> </w:t>
      </w:r>
      <w:r w:rsidRPr="002A6355">
        <w:rPr>
          <w:rFonts w:ascii="Arial" w:eastAsia="Arial" w:hAnsi="Arial" w:cs="Arial"/>
          <w:sz w:val="22"/>
          <w:lang w:val="es-ES"/>
        </w:rPr>
        <w:t>no</w:t>
      </w:r>
      <w:r w:rsidRPr="002A6355">
        <w:rPr>
          <w:rFonts w:ascii="Arial" w:eastAsia="Arial" w:hAnsi="Arial" w:cs="Arial"/>
          <w:spacing w:val="-14"/>
          <w:sz w:val="22"/>
          <w:lang w:val="es-ES"/>
        </w:rPr>
        <w:t xml:space="preserve"> </w:t>
      </w:r>
      <w:r w:rsidRPr="002A6355">
        <w:rPr>
          <w:rFonts w:ascii="Arial" w:eastAsia="Arial" w:hAnsi="Arial" w:cs="Arial"/>
          <w:sz w:val="22"/>
          <w:lang w:val="es-ES"/>
        </w:rPr>
        <w:t>aportar</w:t>
      </w:r>
      <w:r w:rsidRPr="002A6355">
        <w:rPr>
          <w:rFonts w:ascii="Arial" w:eastAsia="Arial" w:hAnsi="Arial" w:cs="Arial"/>
          <w:spacing w:val="-14"/>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garantía</w:t>
      </w:r>
      <w:r w:rsidRPr="002A6355">
        <w:rPr>
          <w:rFonts w:ascii="Arial" w:eastAsia="Arial" w:hAnsi="Arial" w:cs="Arial"/>
          <w:spacing w:val="-14"/>
          <w:sz w:val="22"/>
          <w:lang w:val="es-ES"/>
        </w:rPr>
        <w:t xml:space="preserve"> </w:t>
      </w:r>
      <w:r w:rsidRPr="002A6355">
        <w:rPr>
          <w:rFonts w:ascii="Arial" w:eastAsia="Arial" w:hAnsi="Arial" w:cs="Arial"/>
          <w:sz w:val="22"/>
          <w:lang w:val="es-ES"/>
        </w:rPr>
        <w:t xml:space="preserve">de seriedad de seriedad junto con la propuesta. </w:t>
      </w:r>
      <w:r w:rsidR="00424EC2">
        <w:rPr>
          <w:rFonts w:ascii="Arial" w:eastAsia="Arial" w:hAnsi="Arial" w:cs="Arial"/>
          <w:sz w:val="22"/>
          <w:lang w:val="es-ES"/>
        </w:rPr>
        <w:t>En efecto, e</w:t>
      </w:r>
      <w:r w:rsidRPr="002A6355">
        <w:rPr>
          <w:rFonts w:ascii="Arial" w:eastAsia="Arial" w:hAnsi="Arial" w:cs="Arial"/>
          <w:sz w:val="22"/>
          <w:lang w:val="es-ES"/>
        </w:rPr>
        <w:t>l parágrafo 3 de la norma mencionada</w:t>
      </w:r>
      <w:r w:rsidRPr="002A6355">
        <w:rPr>
          <w:rFonts w:ascii="Arial" w:eastAsia="Arial" w:hAnsi="Arial" w:cs="Arial"/>
          <w:spacing w:val="-15"/>
          <w:sz w:val="22"/>
          <w:lang w:val="es-ES"/>
        </w:rPr>
        <w:t xml:space="preserve"> </w:t>
      </w:r>
      <w:r w:rsidRPr="002A6355">
        <w:rPr>
          <w:rFonts w:ascii="Arial" w:eastAsia="Arial" w:hAnsi="Arial" w:cs="Arial"/>
          <w:sz w:val="22"/>
          <w:lang w:val="es-ES"/>
        </w:rPr>
        <w:t>establece:</w:t>
      </w:r>
      <w:r w:rsidRPr="002A6355">
        <w:rPr>
          <w:rFonts w:ascii="Arial" w:eastAsia="Arial" w:hAnsi="Arial" w:cs="Arial"/>
          <w:spacing w:val="-14"/>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no</w:t>
      </w:r>
      <w:r w:rsidRPr="002A6355">
        <w:rPr>
          <w:rFonts w:ascii="Arial" w:eastAsia="Arial" w:hAnsi="Arial" w:cs="Arial"/>
          <w:spacing w:val="-14"/>
          <w:sz w:val="22"/>
          <w:lang w:val="es-ES"/>
        </w:rPr>
        <w:t xml:space="preserve"> </w:t>
      </w:r>
      <w:r w:rsidRPr="002A6355">
        <w:rPr>
          <w:rFonts w:ascii="Arial" w:eastAsia="Arial" w:hAnsi="Arial" w:cs="Arial"/>
          <w:sz w:val="22"/>
          <w:lang w:val="es-ES"/>
        </w:rPr>
        <w:t>entrega</w:t>
      </w:r>
      <w:r w:rsidRPr="002A6355">
        <w:rPr>
          <w:rFonts w:ascii="Arial" w:eastAsia="Arial" w:hAnsi="Arial" w:cs="Arial"/>
          <w:spacing w:val="-14"/>
          <w:sz w:val="22"/>
          <w:lang w:val="es-ES"/>
        </w:rPr>
        <w:t xml:space="preserve"> </w:t>
      </w:r>
      <w:r w:rsidRPr="002A6355">
        <w:rPr>
          <w:rFonts w:ascii="Arial" w:eastAsia="Arial" w:hAnsi="Arial" w:cs="Arial"/>
          <w:sz w:val="22"/>
          <w:lang w:val="es-ES"/>
        </w:rPr>
        <w:t>de</w:t>
      </w:r>
      <w:r w:rsidRPr="002A6355">
        <w:rPr>
          <w:rFonts w:ascii="Arial" w:eastAsia="Arial" w:hAnsi="Arial" w:cs="Arial"/>
          <w:spacing w:val="-14"/>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garantía</w:t>
      </w:r>
      <w:r w:rsidRPr="002A6355">
        <w:rPr>
          <w:rFonts w:ascii="Arial" w:eastAsia="Arial" w:hAnsi="Arial" w:cs="Arial"/>
          <w:spacing w:val="-14"/>
          <w:sz w:val="22"/>
          <w:lang w:val="es-ES"/>
        </w:rPr>
        <w:t xml:space="preserve"> </w:t>
      </w:r>
      <w:r w:rsidRPr="002A6355">
        <w:rPr>
          <w:rFonts w:ascii="Arial" w:eastAsia="Arial" w:hAnsi="Arial" w:cs="Arial"/>
          <w:sz w:val="22"/>
          <w:lang w:val="es-ES"/>
        </w:rPr>
        <w:t>de</w:t>
      </w:r>
      <w:r w:rsidRPr="002A6355">
        <w:rPr>
          <w:rFonts w:ascii="Arial" w:eastAsia="Arial" w:hAnsi="Arial" w:cs="Arial"/>
          <w:spacing w:val="-14"/>
          <w:sz w:val="22"/>
          <w:lang w:val="es-ES"/>
        </w:rPr>
        <w:t xml:space="preserve"> </w:t>
      </w:r>
      <w:r w:rsidRPr="002A6355">
        <w:rPr>
          <w:rFonts w:ascii="Arial" w:eastAsia="Arial" w:hAnsi="Arial" w:cs="Arial"/>
          <w:sz w:val="22"/>
          <w:lang w:val="es-ES"/>
        </w:rPr>
        <w:t>seriedad</w:t>
      </w:r>
      <w:r w:rsidRPr="002A6355">
        <w:rPr>
          <w:rFonts w:ascii="Arial" w:eastAsia="Arial" w:hAnsi="Arial" w:cs="Arial"/>
          <w:spacing w:val="-15"/>
          <w:sz w:val="22"/>
          <w:lang w:val="es-ES"/>
        </w:rPr>
        <w:t xml:space="preserve"> </w:t>
      </w:r>
      <w:r w:rsidRPr="002A6355">
        <w:rPr>
          <w:rFonts w:ascii="Arial" w:eastAsia="Arial" w:hAnsi="Arial" w:cs="Arial"/>
          <w:sz w:val="22"/>
          <w:lang w:val="es-ES"/>
        </w:rPr>
        <w:t>junto</w:t>
      </w:r>
      <w:r w:rsidRPr="002A6355">
        <w:rPr>
          <w:rFonts w:ascii="Arial" w:eastAsia="Arial" w:hAnsi="Arial" w:cs="Arial"/>
          <w:spacing w:val="-14"/>
          <w:sz w:val="22"/>
          <w:lang w:val="es-ES"/>
        </w:rPr>
        <w:t xml:space="preserve"> </w:t>
      </w:r>
      <w:r w:rsidRPr="002A6355">
        <w:rPr>
          <w:rFonts w:ascii="Arial" w:eastAsia="Arial" w:hAnsi="Arial" w:cs="Arial"/>
          <w:sz w:val="22"/>
          <w:lang w:val="es-ES"/>
        </w:rPr>
        <w:t>con</w:t>
      </w:r>
      <w:r w:rsidRPr="002A6355">
        <w:rPr>
          <w:rFonts w:ascii="Arial" w:eastAsia="Arial" w:hAnsi="Arial" w:cs="Arial"/>
          <w:spacing w:val="-15"/>
          <w:sz w:val="22"/>
          <w:lang w:val="es-ES"/>
        </w:rPr>
        <w:t xml:space="preserve"> </w:t>
      </w:r>
      <w:r w:rsidRPr="002A6355">
        <w:rPr>
          <w:rFonts w:ascii="Arial" w:eastAsia="Arial" w:hAnsi="Arial" w:cs="Arial"/>
          <w:sz w:val="22"/>
          <w:lang w:val="es-ES"/>
        </w:rPr>
        <w:t>la</w:t>
      </w:r>
      <w:r w:rsidRPr="002A6355">
        <w:rPr>
          <w:rFonts w:ascii="Arial" w:eastAsia="Arial" w:hAnsi="Arial" w:cs="Arial"/>
          <w:spacing w:val="-14"/>
          <w:sz w:val="22"/>
          <w:lang w:val="es-ES"/>
        </w:rPr>
        <w:t xml:space="preserve"> </w:t>
      </w:r>
      <w:r w:rsidRPr="002A6355">
        <w:rPr>
          <w:rFonts w:ascii="Arial" w:eastAsia="Arial" w:hAnsi="Arial" w:cs="Arial"/>
          <w:sz w:val="22"/>
          <w:lang w:val="es-ES"/>
        </w:rPr>
        <w:t xml:space="preserve">propuesta no será subsanable y será causal de rechazo de </w:t>
      </w:r>
      <w:proofErr w:type="gramStart"/>
      <w:r w:rsidR="004251AA">
        <w:rPr>
          <w:rFonts w:ascii="Arial" w:eastAsia="Arial" w:hAnsi="Arial" w:cs="Arial"/>
          <w:sz w:val="22"/>
          <w:lang w:val="es-ES"/>
        </w:rPr>
        <w:t>la misma</w:t>
      </w:r>
      <w:proofErr w:type="gramEnd"/>
      <w:r w:rsidRPr="002A6355">
        <w:rPr>
          <w:rFonts w:ascii="Arial" w:eastAsia="Arial" w:hAnsi="Arial" w:cs="Arial"/>
          <w:sz w:val="22"/>
          <w:lang w:val="es-ES"/>
        </w:rPr>
        <w:t>».</w:t>
      </w:r>
      <w:r w:rsidR="0070739B">
        <w:rPr>
          <w:rFonts w:ascii="Arial" w:eastAsia="Arial" w:hAnsi="Arial" w:cs="Arial"/>
          <w:sz w:val="22"/>
          <w:lang w:val="es-ES"/>
        </w:rPr>
        <w:t xml:space="preserve"> </w:t>
      </w:r>
    </w:p>
    <w:p w14:paraId="192E611E" w14:textId="77777777" w:rsidR="007B1984" w:rsidRPr="009709E6" w:rsidRDefault="007B1984" w:rsidP="004251AA">
      <w:pPr>
        <w:widowControl w:val="0"/>
        <w:autoSpaceDE w:val="0"/>
        <w:autoSpaceDN w:val="0"/>
        <w:spacing w:line="276" w:lineRule="auto"/>
        <w:ind w:left="100" w:right="49"/>
        <w:jc w:val="both"/>
        <w:rPr>
          <w:rFonts w:ascii="Arial" w:eastAsia="Arial" w:hAnsi="Arial" w:cs="Arial"/>
          <w:sz w:val="22"/>
          <w:lang w:val="es-ES"/>
        </w:rPr>
      </w:pPr>
    </w:p>
    <w:p w14:paraId="742C6BDB" w14:textId="4CF59F23" w:rsidR="00FC790C" w:rsidRPr="00265C4F" w:rsidRDefault="00211349" w:rsidP="00FC790C">
      <w:pPr>
        <w:pStyle w:val="Prrafodelista"/>
        <w:spacing w:line="276" w:lineRule="auto"/>
        <w:ind w:left="0"/>
        <w:jc w:val="both"/>
        <w:rPr>
          <w:rFonts w:ascii="Arial" w:hAnsi="Arial" w:cs="Arial"/>
          <w:b/>
          <w:sz w:val="22"/>
          <w:lang w:val="es-CO"/>
        </w:rPr>
      </w:pPr>
      <w:r>
        <w:rPr>
          <w:rFonts w:ascii="Arial" w:hAnsi="Arial" w:cs="Arial"/>
          <w:b/>
          <w:sz w:val="22"/>
          <w:lang w:val="es-CO"/>
        </w:rPr>
        <w:t xml:space="preserve">2.3 </w:t>
      </w:r>
      <w:r w:rsidR="00FC790C" w:rsidRPr="000078FE">
        <w:rPr>
          <w:rFonts w:ascii="Arial" w:hAnsi="Arial" w:cs="Arial"/>
          <w:b/>
          <w:sz w:val="22"/>
          <w:lang w:val="es-CO"/>
        </w:rPr>
        <w:t xml:space="preserve">Renovación del Registro Único de Proponentes – RUP y sus efectos durante la verificación de la </w:t>
      </w:r>
      <w:r w:rsidR="00FC790C" w:rsidRPr="00D00083">
        <w:rPr>
          <w:rFonts w:ascii="Arial" w:hAnsi="Arial" w:cs="Arial"/>
          <w:b/>
          <w:sz w:val="22"/>
          <w:lang w:val="es-CO"/>
        </w:rPr>
        <w:t>información</w:t>
      </w:r>
      <w:r w:rsidR="00356AF3" w:rsidRPr="00D00083">
        <w:rPr>
          <w:rFonts w:ascii="Arial" w:hAnsi="Arial" w:cs="Arial"/>
          <w:b/>
          <w:sz w:val="22"/>
          <w:lang w:val="es-CO"/>
        </w:rPr>
        <w:t xml:space="preserve">. Análisis de la causal de rechazo del </w:t>
      </w:r>
      <w:r w:rsidR="00356AF3" w:rsidRPr="007E3DC4">
        <w:rPr>
          <w:rFonts w:ascii="Arial" w:eastAsia="Calibri" w:hAnsi="Arial" w:cs="Arial"/>
          <w:b/>
          <w:color w:val="000000" w:themeColor="text1"/>
          <w:sz w:val="22"/>
          <w:lang w:val="es-CO"/>
        </w:rPr>
        <w:t xml:space="preserve">literal G del numeral 1.15 de los documentos tipo para </w:t>
      </w:r>
      <w:r w:rsidR="00594B5F" w:rsidRPr="007E3DC4">
        <w:rPr>
          <w:rFonts w:ascii="Arial" w:eastAsia="Calibri" w:hAnsi="Arial" w:cs="Arial"/>
          <w:b/>
          <w:color w:val="000000" w:themeColor="text1"/>
          <w:sz w:val="22"/>
          <w:lang w:val="es-CO"/>
        </w:rPr>
        <w:t>infraestructura de agua potable y saneamiento básico</w:t>
      </w:r>
      <w:r w:rsidR="00594B5F">
        <w:rPr>
          <w:rFonts w:ascii="Arial" w:eastAsia="Calibri" w:hAnsi="Arial" w:cs="Arial"/>
          <w:b/>
          <w:color w:val="000000" w:themeColor="text1"/>
          <w:sz w:val="22"/>
          <w:lang w:val="es-CO"/>
        </w:rPr>
        <w:t xml:space="preserve"> </w:t>
      </w:r>
    </w:p>
    <w:p w14:paraId="67329DCD" w14:textId="77777777" w:rsidR="00FC790C" w:rsidRPr="00265C4F" w:rsidRDefault="00FC790C" w:rsidP="00FC790C">
      <w:pPr>
        <w:pStyle w:val="Prrafodelista"/>
        <w:spacing w:line="276" w:lineRule="auto"/>
        <w:ind w:left="0"/>
        <w:jc w:val="both"/>
        <w:rPr>
          <w:rFonts w:ascii="Arial" w:hAnsi="Arial" w:cs="Arial"/>
          <w:b/>
          <w:sz w:val="22"/>
          <w:lang w:val="es-CO"/>
        </w:rPr>
      </w:pPr>
    </w:p>
    <w:p w14:paraId="1BDCBB62" w14:textId="2B26F974" w:rsidR="00FC790C" w:rsidRPr="00265C4F" w:rsidRDefault="00FC790C" w:rsidP="00FC790C">
      <w:pPr>
        <w:spacing w:after="120" w:line="276" w:lineRule="auto"/>
        <w:jc w:val="both"/>
        <w:rPr>
          <w:rFonts w:ascii="Arial" w:eastAsia="Calibri" w:hAnsi="Arial" w:cs="Arial"/>
          <w:sz w:val="22"/>
          <w:lang w:val="es-CO"/>
        </w:rPr>
      </w:pPr>
      <w:r w:rsidRPr="00265C4F">
        <w:rPr>
          <w:rFonts w:ascii="Arial" w:eastAsia="Calibri" w:hAnsi="Arial" w:cs="Arial"/>
          <w:sz w:val="22"/>
          <w:lang w:val="es-CO"/>
        </w:rPr>
        <w:lastRenderedPageBreak/>
        <w:t>Las problemáticas asociadas al RUP, relacionadas con la firmeza de la inscripción, renovación y actualización fueron tratadas por la Agencia en los siguientes conceptos: C – 005  del 14 de febrero de 2020</w:t>
      </w:r>
      <w:r>
        <w:rPr>
          <w:rFonts w:ascii="Arial" w:eastAsia="Calibri" w:hAnsi="Arial" w:cs="Arial"/>
          <w:sz w:val="22"/>
          <w:lang w:val="es-CO"/>
        </w:rPr>
        <w:t>,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w:t>
      </w:r>
      <w:r w:rsidR="00FE2558">
        <w:rPr>
          <w:rFonts w:ascii="Arial" w:eastAsia="Calibri" w:hAnsi="Arial" w:cs="Arial"/>
          <w:sz w:val="22"/>
          <w:lang w:val="es-CO"/>
        </w:rPr>
        <w:t>,</w:t>
      </w:r>
      <w:r>
        <w:rPr>
          <w:rFonts w:ascii="Arial" w:eastAsia="Calibri" w:hAnsi="Arial" w:cs="Arial"/>
          <w:sz w:val="22"/>
          <w:lang w:val="es-CO"/>
        </w:rPr>
        <w:t xml:space="preserve"> C–786 del 19 de enero de 2021</w:t>
      </w:r>
      <w:r w:rsidR="00FE2558">
        <w:rPr>
          <w:rFonts w:ascii="Arial" w:eastAsia="Calibri" w:hAnsi="Arial" w:cs="Arial"/>
          <w:sz w:val="22"/>
          <w:lang w:val="es-CO"/>
        </w:rPr>
        <w:t xml:space="preserve"> y C-800 de 01 de febrero de 2021</w:t>
      </w:r>
      <w:r>
        <w:rPr>
          <w:rFonts w:ascii="Arial" w:eastAsia="Calibri" w:hAnsi="Arial" w:cs="Arial"/>
          <w:sz w:val="22"/>
          <w:lang w:val="es-CO"/>
        </w:rPr>
        <w:t>. Las consideraciones expuestas en dichos conceptos se reiteran a continuación</w:t>
      </w:r>
      <w:r w:rsidRPr="00265C4F">
        <w:rPr>
          <w:rFonts w:ascii="Arial" w:eastAsia="Calibri" w:hAnsi="Arial" w:cs="Arial"/>
          <w:sz w:val="22"/>
          <w:lang w:val="es-CO"/>
        </w:rPr>
        <w:t>.</w:t>
      </w:r>
    </w:p>
    <w:p w14:paraId="7E0D6661" w14:textId="776C192C" w:rsidR="00FC790C" w:rsidRPr="00265C4F" w:rsidRDefault="00FC790C" w:rsidP="00FC790C">
      <w:pPr>
        <w:spacing w:after="120" w:line="276" w:lineRule="auto"/>
        <w:ind w:firstLine="709"/>
        <w:jc w:val="both"/>
        <w:rPr>
          <w:rFonts w:ascii="Arial" w:hAnsi="Arial" w:cs="Arial"/>
          <w:sz w:val="22"/>
          <w:lang w:val="es-CO"/>
        </w:rPr>
      </w:pPr>
      <w:r w:rsidRPr="00265C4F">
        <w:rPr>
          <w:rFonts w:ascii="Arial" w:hAnsi="Arial" w:cs="Arial"/>
          <w:sz w:val="22"/>
          <w:lang w:val="es-CO"/>
        </w:rPr>
        <w:t>Las cámaras de comercio, de acuerdo con el artículo 6.1 de la Ley 1150 de 2007 y con el artículo 2.2.1.1.1.5.3. del Decreto 1082 de 2015, verifica</w:t>
      </w:r>
      <w:r w:rsidR="00FE2558">
        <w:rPr>
          <w:rFonts w:ascii="Arial" w:hAnsi="Arial" w:cs="Arial"/>
          <w:sz w:val="22"/>
          <w:lang w:val="es-CO"/>
        </w:rPr>
        <w:t>n</w:t>
      </w:r>
      <w:r w:rsidRPr="00265C4F">
        <w:rPr>
          <w:rFonts w:ascii="Arial" w:hAnsi="Arial" w:cs="Arial"/>
          <w:sz w:val="22"/>
          <w:lang w:val="es-CO"/>
        </w:rPr>
        <w:t xml:space="preserve"> y certifica</w:t>
      </w:r>
      <w:r w:rsidR="00FE2558">
        <w:rPr>
          <w:rFonts w:ascii="Arial" w:hAnsi="Arial" w:cs="Arial"/>
          <w:sz w:val="22"/>
          <w:lang w:val="es-CO"/>
        </w:rPr>
        <w:t>n</w:t>
      </w:r>
      <w:r w:rsidRPr="00265C4F">
        <w:rPr>
          <w:rFonts w:ascii="Arial" w:hAnsi="Arial" w:cs="Arial"/>
          <w:sz w:val="22"/>
          <w:lang w:val="es-CO"/>
        </w:rPr>
        <w:t xml:space="preserve"> los requisitos habilitantes de experiencia, capacidad jurídica, capacidad financiera y de organización. De acuerdo con lo establecido en el numeral 6.3 de la Ley 1150 de 2007, la cámara de comercio verifica la información aportada por el proponente, publica el acto de inscripción del Registro Único de Proponentes, contra el </w:t>
      </w:r>
      <w:r w:rsidR="003E250E">
        <w:rPr>
          <w:rFonts w:ascii="Arial" w:hAnsi="Arial" w:cs="Arial"/>
          <w:sz w:val="22"/>
          <w:lang w:val="es-CO"/>
        </w:rPr>
        <w:t>que</w:t>
      </w:r>
      <w:r w:rsidRPr="00265C4F">
        <w:rPr>
          <w:rFonts w:ascii="Arial" w:hAnsi="Arial" w:cs="Arial"/>
          <w:sz w:val="22"/>
          <w:lang w:val="es-CO"/>
        </w:rPr>
        <w:t xml:space="preserve"> cualquier persona p</w:t>
      </w:r>
      <w:r w:rsidR="00FE2558">
        <w:rPr>
          <w:rFonts w:ascii="Arial" w:hAnsi="Arial" w:cs="Arial"/>
          <w:sz w:val="22"/>
          <w:lang w:val="es-CO"/>
        </w:rPr>
        <w:t>uede</w:t>
      </w:r>
      <w:r w:rsidRPr="00265C4F">
        <w:rPr>
          <w:rFonts w:ascii="Arial" w:hAnsi="Arial" w:cs="Arial"/>
          <w:sz w:val="22"/>
          <w:lang w:val="es-CO"/>
        </w:rPr>
        <w:t xml:space="preserve"> interponer recurso de reposición dentro de los diez </w:t>
      </w:r>
      <w:r>
        <w:rPr>
          <w:rFonts w:ascii="Arial" w:hAnsi="Arial" w:cs="Arial"/>
          <w:sz w:val="22"/>
          <w:lang w:val="es-CO"/>
        </w:rPr>
        <w:t>–</w:t>
      </w:r>
      <w:r w:rsidRPr="00265C4F">
        <w:rPr>
          <w:rFonts w:ascii="Arial" w:hAnsi="Arial" w:cs="Arial"/>
          <w:sz w:val="22"/>
          <w:lang w:val="es-CO"/>
        </w:rPr>
        <w:t>10</w:t>
      </w:r>
      <w:r>
        <w:rPr>
          <w:rFonts w:ascii="Arial" w:hAnsi="Arial" w:cs="Arial"/>
          <w:sz w:val="22"/>
          <w:lang w:val="es-CO"/>
        </w:rPr>
        <w:t>–</w:t>
      </w:r>
      <w:r w:rsidRPr="00265C4F">
        <w:rPr>
          <w:rFonts w:ascii="Arial" w:hAnsi="Arial" w:cs="Arial"/>
          <w:sz w:val="22"/>
          <w:lang w:val="es-CO"/>
        </w:rPr>
        <w:t xml:space="preserve"> días hábiles siguientes contados 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7"/>
      </w:r>
      <w:r w:rsidRPr="00265C4F">
        <w:rPr>
          <w:rFonts w:ascii="Arial" w:hAnsi="Arial" w:cs="Arial"/>
          <w:sz w:val="22"/>
          <w:lang w:val="es-CO"/>
        </w:rPr>
        <w:t xml:space="preserve">. En </w:t>
      </w:r>
      <w:r w:rsidRPr="00265C4F">
        <w:rPr>
          <w:rFonts w:ascii="Arial" w:hAnsi="Arial" w:cs="Arial"/>
          <w:sz w:val="22"/>
          <w:lang w:val="es-CO"/>
        </w:rPr>
        <w:lastRenderedPageBreak/>
        <w:t>firme el acto administrativo que realiza la inscripción en el Registro Único de Proponentes se podrá demandar su nulidad sin que la presentación de la demanda suspenda la inscripción del RUP.</w:t>
      </w:r>
    </w:p>
    <w:p w14:paraId="631D97E3" w14:textId="265AB258" w:rsidR="00FC790C" w:rsidRPr="00265C4F" w:rsidRDefault="00FC790C" w:rsidP="00FC790C">
      <w:pPr>
        <w:spacing w:line="276" w:lineRule="auto"/>
        <w:ind w:firstLine="708"/>
        <w:jc w:val="both"/>
        <w:rPr>
          <w:rFonts w:ascii="Arial" w:eastAsia="Calibri" w:hAnsi="Arial" w:cs="Arial"/>
          <w:sz w:val="22"/>
          <w:lang w:val="es-CO"/>
        </w:rPr>
      </w:pPr>
      <w:r w:rsidRPr="00265C4F">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w:t>
      </w:r>
      <w:r w:rsidR="007E409F">
        <w:rPr>
          <w:rFonts w:ascii="Arial" w:eastAsia="Calibri" w:hAnsi="Arial" w:cs="Arial"/>
          <w:sz w:val="22"/>
          <w:lang w:val="es-CO"/>
        </w:rPr>
        <w:t>,</w:t>
      </w:r>
      <w:r w:rsidRPr="00265C4F">
        <w:rPr>
          <w:rFonts w:ascii="Arial" w:eastAsia="Calibri" w:hAnsi="Arial" w:cs="Arial"/>
          <w:sz w:val="22"/>
          <w:lang w:val="es-CO"/>
        </w:rPr>
        <w:t xml:space="preserve"> de lo contrario cesan los efectos del RUP</w:t>
      </w:r>
      <w:r w:rsidRPr="00265C4F">
        <w:rPr>
          <w:rStyle w:val="Refdenotaalpie"/>
          <w:rFonts w:ascii="Arial" w:eastAsia="Calibri" w:hAnsi="Arial" w:cs="Arial"/>
          <w:sz w:val="22"/>
          <w:lang w:val="es-CO"/>
        </w:rPr>
        <w:footnoteReference w:id="8"/>
      </w:r>
      <w:r w:rsidRPr="00265C4F">
        <w:rPr>
          <w:rFonts w:ascii="Arial" w:eastAsia="Calibri" w:hAnsi="Arial" w:cs="Arial"/>
          <w:sz w:val="22"/>
          <w:lang w:val="es-CO"/>
        </w:rPr>
        <w:t xml:space="preserve">. </w:t>
      </w:r>
      <w:r>
        <w:rPr>
          <w:rFonts w:ascii="Arial" w:eastAsia="Calibri" w:hAnsi="Arial" w:cs="Arial"/>
          <w:sz w:val="22"/>
          <w:lang w:val="es-CO"/>
        </w:rPr>
        <w:t>Además</w:t>
      </w:r>
      <w:r w:rsidRPr="00265C4F">
        <w:rPr>
          <w:rFonts w:ascii="Arial" w:eastAsia="Calibri" w:hAnsi="Arial" w:cs="Arial"/>
          <w:sz w:val="22"/>
          <w:lang w:val="es-CO"/>
        </w:rPr>
        <w:t>, el Consejo de Estado en sentencia del 19 de septiembre de 2019 señaló la finalidad de la renovación del RUP y las consecuencias de no hacerlo en el término previsto:</w:t>
      </w:r>
    </w:p>
    <w:p w14:paraId="0158DB07" w14:textId="77777777" w:rsidR="00FC790C" w:rsidRPr="00265C4F" w:rsidRDefault="00FC790C" w:rsidP="00FC790C">
      <w:pPr>
        <w:spacing w:line="276" w:lineRule="auto"/>
        <w:jc w:val="both"/>
        <w:rPr>
          <w:rFonts w:ascii="Arial" w:eastAsia="Calibri" w:hAnsi="Arial" w:cs="Arial"/>
          <w:sz w:val="22"/>
          <w:lang w:val="es-CO"/>
        </w:rPr>
      </w:pPr>
    </w:p>
    <w:p w14:paraId="48D73CD0" w14:textId="77777777" w:rsidR="00FC790C" w:rsidRPr="00265C4F" w:rsidRDefault="00FC790C" w:rsidP="00FC790C">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0444C3EB" w14:textId="77777777" w:rsidR="00FC790C" w:rsidRPr="00077733" w:rsidRDefault="00FC790C" w:rsidP="00FC790C">
      <w:pPr>
        <w:tabs>
          <w:tab w:val="left" w:pos="567"/>
        </w:tabs>
        <w:ind w:left="709" w:right="709"/>
        <w:jc w:val="both"/>
        <w:rPr>
          <w:rFonts w:ascii="Arial" w:hAnsi="Arial" w:cs="Arial"/>
          <w:sz w:val="16"/>
          <w:szCs w:val="16"/>
          <w:lang w:val="es-CO"/>
        </w:rPr>
      </w:pPr>
    </w:p>
    <w:p w14:paraId="5D1CD0D5" w14:textId="77777777" w:rsidR="00FC790C" w:rsidRPr="00265C4F" w:rsidRDefault="00FC790C" w:rsidP="00FC790C">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Ante ese panorama, </w:t>
      </w:r>
      <w:bookmarkStart w:id="4" w:name="_Hlk20983873"/>
      <w:r w:rsidRPr="00265C4F">
        <w:rPr>
          <w:rFonts w:ascii="Arial" w:hAnsi="Arial" w:cs="Arial"/>
          <w:sz w:val="21"/>
          <w:szCs w:val="21"/>
          <w:lang w:val="es-CO"/>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9"/>
      </w:r>
      <w:r w:rsidRPr="00265C4F">
        <w:rPr>
          <w:rFonts w:ascii="Arial" w:hAnsi="Arial" w:cs="Arial"/>
          <w:sz w:val="21"/>
          <w:szCs w:val="21"/>
          <w:lang w:val="es-CO"/>
        </w:rPr>
        <w:t xml:space="preserve">.  </w:t>
      </w:r>
    </w:p>
    <w:bookmarkEnd w:id="4"/>
    <w:p w14:paraId="358459A4" w14:textId="77777777" w:rsidR="00FC790C" w:rsidRPr="00265C4F" w:rsidRDefault="00FC790C" w:rsidP="00FC790C">
      <w:pPr>
        <w:jc w:val="both"/>
        <w:rPr>
          <w:rFonts w:ascii="Arial" w:eastAsia="Calibri" w:hAnsi="Arial" w:cs="Arial"/>
          <w:sz w:val="22"/>
          <w:lang w:val="es-CO"/>
        </w:rPr>
      </w:pPr>
      <w:r w:rsidRPr="00265C4F">
        <w:rPr>
          <w:rFonts w:ascii="Arial" w:eastAsia="Calibri" w:hAnsi="Arial" w:cs="Arial"/>
          <w:sz w:val="22"/>
          <w:lang w:val="es-CO"/>
        </w:rPr>
        <w:t xml:space="preserve"> </w:t>
      </w:r>
    </w:p>
    <w:p w14:paraId="316FAF63" w14:textId="090E9F7B"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Conforme </w:t>
      </w:r>
      <w:r w:rsidR="007E3DC4">
        <w:rPr>
          <w:rFonts w:ascii="Arial" w:eastAsia="Calibri" w:hAnsi="Arial" w:cs="Arial"/>
          <w:sz w:val="22"/>
          <w:lang w:val="es-CO"/>
        </w:rPr>
        <w:t>con</w:t>
      </w:r>
      <w:r w:rsidRPr="00265C4F">
        <w:rPr>
          <w:rFonts w:ascii="Arial" w:eastAsia="Calibri" w:hAnsi="Arial" w:cs="Arial"/>
          <w:sz w:val="22"/>
          <w:lang w:val="es-CO"/>
        </w:rPr>
        <w:t xml:space="preserve"> lo anterior, en armonía con lo señalado en el artículo 2.2.1.1.1.5.1. del Decreto 1082 de 2015, </w:t>
      </w:r>
      <w:r w:rsidRPr="00265C4F">
        <w:rPr>
          <w:rFonts w:ascii="Arial" w:eastAsia="Calibri" w:hAnsi="Arial" w:cs="Arial"/>
          <w:i/>
          <w:sz w:val="22"/>
          <w:lang w:val="es-CO"/>
        </w:rPr>
        <w:t>si el proponente</w:t>
      </w:r>
      <w:r w:rsidRPr="00265C4F">
        <w:rPr>
          <w:rFonts w:ascii="Arial" w:eastAsia="Calibri" w:hAnsi="Arial" w:cs="Arial"/>
          <w:sz w:val="22"/>
          <w:lang w:val="es-CO"/>
        </w:rPr>
        <w:t xml:space="preserve"> </w:t>
      </w:r>
      <w:r w:rsidRPr="00265C4F">
        <w:rPr>
          <w:rFonts w:ascii="Arial" w:eastAsia="Calibri" w:hAnsi="Arial" w:cs="Arial"/>
          <w:i/>
          <w:sz w:val="22"/>
          <w:lang w:val="es-CO"/>
        </w:rPr>
        <w:t xml:space="preserve">no presenta la información para renovar su </w:t>
      </w:r>
      <w:r w:rsidRPr="00265C4F">
        <w:rPr>
          <w:rFonts w:ascii="Arial" w:eastAsia="Calibri" w:hAnsi="Arial" w:cs="Arial"/>
          <w:i/>
          <w:sz w:val="22"/>
          <w:lang w:val="es-CO"/>
        </w:rPr>
        <w:lastRenderedPageBreak/>
        <w:t>registro</w:t>
      </w:r>
      <w:r w:rsidRPr="00265C4F">
        <w:rPr>
          <w:rFonts w:ascii="Arial" w:eastAsia="Calibri" w:hAnsi="Arial" w:cs="Arial"/>
          <w:sz w:val="22"/>
          <w:lang w:val="es-CO"/>
        </w:rPr>
        <w:t xml:space="preserve"> antes del quinto día hábil del mes de abril de cada año, cesa</w:t>
      </w:r>
      <w:r w:rsidR="00FE2558">
        <w:rPr>
          <w:rFonts w:ascii="Arial" w:eastAsia="Calibri" w:hAnsi="Arial" w:cs="Arial"/>
          <w:sz w:val="22"/>
          <w:lang w:val="es-CO"/>
        </w:rPr>
        <w:t>n</w:t>
      </w:r>
      <w:r w:rsidRPr="00265C4F">
        <w:rPr>
          <w:rFonts w:ascii="Arial" w:eastAsia="Calibri" w:hAnsi="Arial" w:cs="Arial"/>
          <w:sz w:val="22"/>
          <w:lang w:val="es-CO"/>
        </w:rPr>
        <w:t xml:space="preserve">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24A83565" w14:textId="6B7E295A"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Tratándose del trámite de </w:t>
      </w:r>
      <w:r w:rsidRPr="00265C4F">
        <w:rPr>
          <w:rFonts w:ascii="Arial" w:eastAsia="Calibri" w:hAnsi="Arial" w:cs="Arial"/>
          <w:i/>
          <w:sz w:val="22"/>
          <w:lang w:val="es-CO"/>
        </w:rPr>
        <w:t>renovación,</w:t>
      </w:r>
      <w:r w:rsidRPr="00265C4F">
        <w:rPr>
          <w:rFonts w:ascii="Arial" w:eastAsia="Calibri" w:hAnsi="Arial" w:cs="Arial"/>
          <w:sz w:val="22"/>
          <w:lang w:val="es-CO"/>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w:t>
      </w:r>
      <w:r>
        <w:rPr>
          <w:rFonts w:ascii="Arial" w:eastAsia="Calibri" w:hAnsi="Arial" w:cs="Arial"/>
          <w:sz w:val="22"/>
          <w:lang w:val="es-CO"/>
        </w:rPr>
        <w:t xml:space="preserve">. De esta manera, </w:t>
      </w:r>
      <w:r w:rsidRPr="00265C4F">
        <w:rPr>
          <w:rFonts w:ascii="Arial" w:eastAsia="Calibri" w:hAnsi="Arial" w:cs="Arial"/>
          <w:sz w:val="22"/>
          <w:lang w:val="es-CO"/>
        </w:rPr>
        <w:t xml:space="preserve">en el período comprendido entre el momento de la solicitud de renovación y el momento de la firmeza de la nueva información, se permite que </w:t>
      </w:r>
      <w:r w:rsidR="00FE2558">
        <w:rPr>
          <w:rFonts w:ascii="Arial" w:eastAsia="Calibri" w:hAnsi="Arial" w:cs="Arial"/>
          <w:sz w:val="22"/>
          <w:lang w:val="es-CO"/>
        </w:rPr>
        <w:t>haga valer</w:t>
      </w:r>
      <w:r w:rsidRPr="00265C4F">
        <w:rPr>
          <w:rFonts w:ascii="Arial" w:eastAsia="Calibri" w:hAnsi="Arial" w:cs="Arial"/>
          <w:sz w:val="22"/>
          <w:lang w:val="es-CO"/>
        </w:rPr>
        <w:t xml:space="preserve"> la información del RUP que está en firme antes de iniciar el trámite de renovación, cuyos efectos no han cesado por encontrarse vigente.</w:t>
      </w:r>
    </w:p>
    <w:p w14:paraId="641521A8" w14:textId="62055DC6" w:rsidR="00FC790C" w:rsidRPr="00265C4F" w:rsidRDefault="00FC790C" w:rsidP="00FC790C">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Así las cosas, para verificar que los efectos del RUP no han cesado, es necesario que el certificado contenga la anotación de que el inscrito, a más tardar el quinto día hábil de abril de cada año,</w:t>
      </w:r>
      <w:r w:rsidRPr="00265C4F" w:rsidDel="00B14FC4">
        <w:rPr>
          <w:rFonts w:ascii="Arial" w:eastAsia="Calibri" w:hAnsi="Arial" w:cs="Arial"/>
          <w:sz w:val="22"/>
          <w:lang w:val="es-CO"/>
        </w:rPr>
        <w:t xml:space="preserve"> </w:t>
      </w:r>
      <w:r w:rsidRPr="00265C4F">
        <w:rPr>
          <w:rFonts w:ascii="Arial" w:eastAsia="Calibri" w:hAnsi="Arial" w:cs="Arial"/>
          <w:sz w:val="22"/>
          <w:lang w:val="es-CO"/>
        </w:rPr>
        <w:t>radicó ante la cámara de comercio los documentos para la renovación. En todo caso, si tal circunstancia no estuviere inscrita en el certificado, se podrá acreditar a través del medio documental expedido por la cámara de comercio correspondiente</w:t>
      </w:r>
      <w:r>
        <w:rPr>
          <w:rFonts w:ascii="Arial" w:eastAsia="Calibri" w:hAnsi="Arial" w:cs="Arial"/>
          <w:sz w:val="22"/>
          <w:lang w:val="es-CO"/>
        </w:rPr>
        <w:t>.</w:t>
      </w:r>
      <w:r w:rsidRPr="00265C4F">
        <w:rPr>
          <w:rFonts w:ascii="Arial" w:eastAsia="Calibri" w:hAnsi="Arial" w:cs="Arial"/>
          <w:sz w:val="22"/>
          <w:lang w:val="es-CO"/>
        </w:rPr>
        <w:t xml:space="preserve"> </w:t>
      </w:r>
      <w:r>
        <w:rPr>
          <w:rFonts w:ascii="Arial" w:eastAsia="Calibri" w:hAnsi="Arial" w:cs="Arial"/>
          <w:sz w:val="22"/>
          <w:lang w:val="es-CO"/>
        </w:rPr>
        <w:t>A</w:t>
      </w:r>
      <w:r w:rsidRPr="00265C4F">
        <w:rPr>
          <w:rFonts w:ascii="Arial" w:eastAsia="Calibri" w:hAnsi="Arial" w:cs="Arial"/>
          <w:sz w:val="22"/>
          <w:lang w:val="es-CO"/>
        </w:rPr>
        <w:t xml:space="preserve">sí, por no </w:t>
      </w:r>
      <w:r>
        <w:rPr>
          <w:rFonts w:ascii="Arial" w:eastAsia="Calibri" w:hAnsi="Arial" w:cs="Arial"/>
          <w:sz w:val="22"/>
          <w:lang w:val="es-CO"/>
        </w:rPr>
        <w:t>existir</w:t>
      </w:r>
      <w:r w:rsidRPr="00265C4F">
        <w:rPr>
          <w:rFonts w:ascii="Arial" w:eastAsia="Calibri" w:hAnsi="Arial" w:cs="Arial"/>
          <w:sz w:val="22"/>
          <w:lang w:val="es-CO"/>
        </w:rPr>
        <w:t xml:space="preserve"> tarifa legal que permita establecer la forma de acreditar el trámite de renovación, la entidad estatal debe verificar que el documento aportado por el proponente ofrezca certeza sobre el estado del trámite. </w:t>
      </w:r>
    </w:p>
    <w:p w14:paraId="6B156553" w14:textId="1E269DBD"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Dicho esto, la firmeza del acto de inscripción, renovación y actualización del RUP debe armonizarse con las prescripciones establecidas para la generalidad de los actos administrativos, esto es, de acuerdo con el artículo 87 de la Ley 1437 de 2011</w:t>
      </w:r>
      <w:r w:rsidRPr="00265C4F">
        <w:rPr>
          <w:rStyle w:val="Refdenotaalpie"/>
          <w:rFonts w:ascii="Arial" w:eastAsia="Calibri" w:hAnsi="Arial" w:cs="Arial"/>
          <w:sz w:val="22"/>
          <w:lang w:val="es-CO"/>
        </w:rPr>
        <w:footnoteReference w:id="10"/>
      </w:r>
      <w:r w:rsidRPr="00265C4F">
        <w:rPr>
          <w:rFonts w:ascii="Arial" w:eastAsia="Calibri" w:hAnsi="Arial" w:cs="Arial"/>
          <w:sz w:val="22"/>
          <w:lang w:val="es-CO"/>
        </w:rPr>
        <w:t xml:space="preserve">. Conforme a lo anterior, la persona natural o jurídica podrá presentarse a los procedimientos de selección cuando el acto administrativo que realiza la inscripción del RUP se encuentra en firme, porque es un requisito para las </w:t>
      </w:r>
      <w:r w:rsidR="00986CC5" w:rsidRPr="00986CC5">
        <w:rPr>
          <w:rFonts w:ascii="Arial" w:eastAsia="Calibri" w:hAnsi="Arial" w:cs="Arial"/>
          <w:sz w:val="22"/>
          <w:lang w:val="es-CO"/>
        </w:rPr>
        <w:t xml:space="preserve">personas naturales o jurídicas nacionales o </w:t>
      </w:r>
      <w:r w:rsidR="00986CC5" w:rsidRPr="00986CC5">
        <w:rPr>
          <w:rFonts w:ascii="Arial" w:eastAsia="Calibri" w:hAnsi="Arial" w:cs="Arial"/>
          <w:sz w:val="22"/>
          <w:lang w:val="es-CO"/>
        </w:rPr>
        <w:lastRenderedPageBreak/>
        <w:t>extranjeras domiciliadas o con sucursal en Colombia</w:t>
      </w:r>
      <w:r w:rsidRPr="00265C4F">
        <w:rPr>
          <w:rFonts w:ascii="Arial" w:eastAsia="Calibri" w:hAnsi="Arial" w:cs="Arial"/>
          <w:sz w:val="22"/>
          <w:lang w:val="es-CO"/>
        </w:rPr>
        <w:t>, que aspiran celebrar contratos con las entidades estatales, estar inscritas en él, salvo las excepciones establecidas en la ley.</w:t>
      </w:r>
      <w:r w:rsidR="001E1868">
        <w:rPr>
          <w:rFonts w:ascii="Arial" w:eastAsia="Calibri" w:hAnsi="Arial" w:cs="Arial"/>
          <w:sz w:val="22"/>
          <w:lang w:val="es-CO"/>
        </w:rPr>
        <w:t xml:space="preserve"> 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w:t>
      </w:r>
      <w:r w:rsidRPr="00265C4F">
        <w:rPr>
          <w:rFonts w:ascii="Arial" w:eastAsia="Calibri" w:hAnsi="Arial" w:cs="Arial"/>
          <w:sz w:val="22"/>
          <w:lang w:val="es-CO"/>
        </w:rPr>
        <w:t xml:space="preserve"> </w:t>
      </w:r>
    </w:p>
    <w:p w14:paraId="2EDD23D4" w14:textId="3E852EC8"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Así </w:t>
      </w:r>
      <w:r w:rsidR="005D22B7">
        <w:rPr>
          <w:rFonts w:ascii="Arial" w:eastAsia="Calibri" w:hAnsi="Arial" w:cs="Arial"/>
          <w:sz w:val="22"/>
          <w:lang w:val="es-CO"/>
        </w:rPr>
        <w:t>las cosas</w:t>
      </w:r>
      <w:r w:rsidRPr="00265C4F">
        <w:rPr>
          <w:rFonts w:ascii="Arial" w:eastAsia="Calibri" w:hAnsi="Arial" w:cs="Arial"/>
          <w:sz w:val="22"/>
          <w:lang w:val="es-CO"/>
        </w:rPr>
        <w:t>,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lang w:val="es-CO"/>
        </w:rPr>
        <w:footnoteReference w:id="11"/>
      </w:r>
      <w:r w:rsidRPr="00265C4F">
        <w:rPr>
          <w:rFonts w:ascii="Arial" w:eastAsia="Calibri" w:hAnsi="Arial" w:cs="Arial"/>
          <w:sz w:val="22"/>
          <w:lang w:val="es-CO"/>
        </w:rPr>
        <w:t xml:space="preserve">. </w:t>
      </w:r>
    </w:p>
    <w:p w14:paraId="74B44D76"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440C92B7"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31655138" w14:textId="7777777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16E9A9E9" w14:textId="3E374087"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En relación con la </w:t>
      </w:r>
      <w:r w:rsidRPr="005076E2">
        <w:rPr>
          <w:rFonts w:ascii="Arial" w:eastAsia="Calibri" w:hAnsi="Arial" w:cs="Arial"/>
          <w:b/>
          <w:bCs/>
          <w:i/>
          <w:iCs/>
          <w:sz w:val="22"/>
          <w:lang w:val="es-CO"/>
        </w:rPr>
        <w:t>inscripción</w:t>
      </w:r>
      <w:r w:rsidRPr="00265C4F">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w:t>
      </w:r>
      <w:r w:rsidRPr="00265C4F">
        <w:rPr>
          <w:rFonts w:ascii="Arial" w:eastAsia="Calibri" w:hAnsi="Arial" w:cs="Arial"/>
          <w:sz w:val="22"/>
          <w:lang w:val="es-CO"/>
        </w:rPr>
        <w:lastRenderedPageBreak/>
        <w:t>5 de la Ley 1882 de 2018</w:t>
      </w:r>
      <w:r w:rsidRPr="00265C4F">
        <w:rPr>
          <w:rStyle w:val="Refdenotaalpie"/>
          <w:rFonts w:ascii="Arial" w:eastAsia="Calibri" w:hAnsi="Arial" w:cs="Arial"/>
          <w:sz w:val="22"/>
          <w:lang w:val="es-CO"/>
        </w:rPr>
        <w:footnoteReference w:id="12"/>
      </w:r>
      <w:r w:rsidRPr="00265C4F">
        <w:rPr>
          <w:rFonts w:ascii="Arial" w:eastAsia="Calibri" w:hAnsi="Arial" w:cs="Arial"/>
          <w:sz w:val="22"/>
          <w:lang w:val="es-CO"/>
        </w:rPr>
        <w:t>, que establece que los proponentes no pueden acreditar circunstancias ocurridas con posterioridad al cierre del proceso</w:t>
      </w:r>
      <w:r w:rsidR="009A7B73">
        <w:rPr>
          <w:rFonts w:ascii="Arial" w:eastAsia="Calibri" w:hAnsi="Arial" w:cs="Arial"/>
          <w:sz w:val="22"/>
          <w:lang w:val="es-CO"/>
        </w:rPr>
        <w:t>.</w:t>
      </w:r>
      <w:r w:rsidRPr="00265C4F">
        <w:rPr>
          <w:rFonts w:ascii="Arial" w:eastAsia="Calibri" w:hAnsi="Arial" w:cs="Arial"/>
          <w:sz w:val="22"/>
          <w:lang w:val="es-CO"/>
        </w:rPr>
        <w:t xml:space="preserve"> </w:t>
      </w:r>
      <w:r w:rsidR="009A7B73">
        <w:rPr>
          <w:rFonts w:ascii="Arial" w:eastAsia="Calibri" w:hAnsi="Arial" w:cs="Arial"/>
          <w:sz w:val="22"/>
          <w:lang w:val="es-CO"/>
        </w:rPr>
        <w:t>En armonía con lo anterior,</w:t>
      </w:r>
      <w:r w:rsidR="004B5960">
        <w:rPr>
          <w:rFonts w:ascii="Arial" w:eastAsia="Calibri" w:hAnsi="Arial" w:cs="Arial"/>
          <w:sz w:val="22"/>
          <w:lang w:val="es-CO"/>
        </w:rPr>
        <w:t xml:space="preserve"> como se expuso en el acápite previo,</w:t>
      </w:r>
      <w:r w:rsidR="009A7B73">
        <w:rPr>
          <w:rFonts w:ascii="Arial" w:eastAsia="Calibri" w:hAnsi="Arial" w:cs="Arial"/>
          <w:sz w:val="22"/>
          <w:lang w:val="es-CO"/>
        </w:rPr>
        <w:t xml:space="preserve"> l</w:t>
      </w:r>
      <w:r w:rsidRPr="00265C4F">
        <w:rPr>
          <w:rFonts w:ascii="Arial" w:eastAsia="Calibri" w:hAnsi="Arial" w:cs="Arial"/>
          <w:sz w:val="22"/>
          <w:lang w:val="es-CO"/>
        </w:rPr>
        <w:t>a Sala de Consulta y Servicio Civil del Consejo de Estado interpretó una norma de igual contenido a la anterior</w:t>
      </w:r>
      <w:r w:rsidRPr="00265C4F">
        <w:rPr>
          <w:rStyle w:val="Refdenotaalpie"/>
          <w:rFonts w:ascii="Arial" w:eastAsia="Calibri" w:hAnsi="Arial" w:cs="Arial"/>
          <w:sz w:val="22"/>
          <w:lang w:val="es-CO"/>
        </w:rPr>
        <w:footnoteReference w:id="13"/>
      </w:r>
      <w:r w:rsidRPr="00265C4F">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w:t>
      </w:r>
      <w:r w:rsidR="00404EA6">
        <w:rPr>
          <w:rFonts w:ascii="Arial" w:eastAsia="Calibri" w:hAnsi="Arial" w:cs="Arial"/>
          <w:sz w:val="22"/>
          <w:lang w:val="es-CO"/>
        </w:rPr>
        <w:t>en</w:t>
      </w:r>
      <w:r w:rsidRPr="00265C4F">
        <w:rPr>
          <w:rFonts w:ascii="Arial" w:eastAsia="Calibri" w:hAnsi="Arial" w:cs="Arial"/>
          <w:sz w:val="22"/>
          <w:lang w:val="es-CO"/>
        </w:rPr>
        <w:t xml:space="preserve">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debe estar en firme, pues solo así se materializa y produce efectos la inscripción</w:t>
      </w:r>
      <w:r w:rsidRPr="00265C4F">
        <w:rPr>
          <w:rStyle w:val="Refdenotaalpie"/>
          <w:rFonts w:ascii="Arial" w:eastAsia="Calibri" w:hAnsi="Arial" w:cs="Arial"/>
          <w:sz w:val="22"/>
          <w:lang w:val="es-CO"/>
        </w:rPr>
        <w:footnoteReference w:id="14"/>
      </w:r>
      <w:r w:rsidRPr="00265C4F">
        <w:rPr>
          <w:rFonts w:ascii="Arial" w:eastAsia="Calibri" w:hAnsi="Arial" w:cs="Arial"/>
          <w:sz w:val="22"/>
          <w:lang w:val="es-CO"/>
        </w:rPr>
        <w:t xml:space="preserve">. </w:t>
      </w:r>
    </w:p>
    <w:p w14:paraId="1D281DF2" w14:textId="65E2F2C2" w:rsidR="00FC790C" w:rsidRPr="00265C4F" w:rsidRDefault="00FC790C" w:rsidP="00FC790C">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Por lo tanto, si la cámara de comercio expide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en el RUP después del cierre</w:t>
      </w:r>
      <w:r>
        <w:rPr>
          <w:rFonts w:ascii="Arial" w:eastAsia="Calibri" w:hAnsi="Arial" w:cs="Arial"/>
          <w:sz w:val="22"/>
          <w:lang w:val="es-CO"/>
        </w:rPr>
        <w:t xml:space="preserve"> del procedimiento de selección</w:t>
      </w:r>
      <w:r w:rsidRPr="00265C4F">
        <w:rPr>
          <w:rFonts w:ascii="Arial" w:eastAsia="Calibri" w:hAnsi="Arial" w:cs="Arial"/>
          <w:sz w:val="22"/>
          <w:lang w:val="es-CO"/>
        </w:rPr>
        <w:t xml:space="preserve">, </w:t>
      </w:r>
      <w:r w:rsidR="00B82246">
        <w:rPr>
          <w:rFonts w:ascii="Arial" w:eastAsia="Calibri" w:hAnsi="Arial" w:cs="Arial"/>
          <w:sz w:val="22"/>
          <w:lang w:val="es-CO"/>
        </w:rPr>
        <w:t>por</w:t>
      </w:r>
      <w:r w:rsidRPr="00265C4F">
        <w:rPr>
          <w:rFonts w:ascii="Arial" w:eastAsia="Calibri" w:hAnsi="Arial" w:cs="Arial"/>
          <w:sz w:val="22"/>
          <w:lang w:val="es-CO"/>
        </w:rPr>
        <w:t xml:space="preserv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w:t>
      </w:r>
      <w:r w:rsidRPr="00265C4F">
        <w:rPr>
          <w:rFonts w:ascii="Arial" w:eastAsia="Calibri" w:hAnsi="Arial" w:cs="Arial"/>
          <w:sz w:val="22"/>
          <w:lang w:val="es-CO"/>
        </w:rPr>
        <w:lastRenderedPageBreak/>
        <w:t>proceso, reiterando que la inscripción debe estar en firme antes del cierre</w:t>
      </w:r>
      <w:r w:rsidR="00B82246">
        <w:rPr>
          <w:rFonts w:ascii="Arial" w:eastAsia="Calibri" w:hAnsi="Arial" w:cs="Arial"/>
          <w:sz w:val="22"/>
          <w:lang w:val="es-CO"/>
        </w:rPr>
        <w:t>. Lo anterior teniendo en cuenta que</w:t>
      </w:r>
      <w:r w:rsidRPr="00265C4F">
        <w:rPr>
          <w:rFonts w:ascii="Arial" w:eastAsia="Calibri" w:hAnsi="Arial" w:cs="Arial"/>
          <w:sz w:val="22"/>
          <w:lang w:val="es-CO"/>
        </w:rPr>
        <w:t xml:space="preserve"> la inscripción solo se materializa y es oponible a terceros cuando el acto administrativo está en firme.</w:t>
      </w:r>
    </w:p>
    <w:p w14:paraId="27119FA3" w14:textId="42A82D9B" w:rsidR="00FC790C" w:rsidRDefault="00FC790C" w:rsidP="00FC790C">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5076E2">
        <w:rPr>
          <w:rFonts w:ascii="Arial" w:hAnsi="Arial" w:cs="Arial"/>
          <w:b/>
          <w:bCs/>
          <w:i/>
          <w:iCs/>
          <w:color w:val="000000" w:themeColor="text1"/>
          <w:sz w:val="22"/>
          <w:lang w:val="es-CO"/>
        </w:rPr>
        <w:t>renovación</w:t>
      </w:r>
      <w:r w:rsidRPr="00265C4F">
        <w:rPr>
          <w:rFonts w:ascii="Arial" w:hAnsi="Arial" w:cs="Arial"/>
          <w:i/>
          <w:iCs/>
          <w:color w:val="000000" w:themeColor="text1"/>
          <w:sz w:val="22"/>
          <w:lang w:val="es-CO"/>
        </w:rPr>
        <w:t>,</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 xml:space="preserve">la persona que </w:t>
      </w:r>
      <w:r w:rsidRPr="005076E2">
        <w:rPr>
          <w:rFonts w:ascii="Arial" w:eastAsia="Calibri" w:hAnsi="Arial" w:cs="Arial"/>
          <w:i/>
          <w:iCs/>
          <w:color w:val="000000" w:themeColor="text1"/>
          <w:sz w:val="22"/>
          <w:lang w:val="es-CO"/>
        </w:rPr>
        <w:t>presentó la información</w:t>
      </w:r>
      <w:r w:rsidRPr="00265C4F">
        <w:rPr>
          <w:rFonts w:ascii="Arial" w:eastAsia="Calibri" w:hAnsi="Arial" w:cs="Arial"/>
          <w:color w:val="000000" w:themeColor="text1"/>
          <w:sz w:val="22"/>
          <w:lang w:val="es-CO"/>
        </w:rPr>
        <w:t xml:space="preserve"> para renovar su registro antes del quinto día hábil de abril de cada año, cumpliendo el requisito del artículo 2.2.1.1.1.5.1. y pese a que la renovación no esté en firme, </w:t>
      </w:r>
      <w:r>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D</w:t>
      </w:r>
      <w:r w:rsidRPr="00265C4F">
        <w:rPr>
          <w:rFonts w:ascii="Arial" w:eastAsia="Calibri" w:hAnsi="Arial" w:cs="Arial"/>
          <w:color w:val="000000" w:themeColor="text1"/>
          <w:sz w:val="22"/>
          <w:lang w:val="es-CO"/>
        </w:rPr>
        <w:t xml:space="preserve">e </w:t>
      </w:r>
      <w:r>
        <w:rPr>
          <w:rFonts w:ascii="Arial" w:eastAsia="Calibri" w:hAnsi="Arial" w:cs="Arial"/>
          <w:color w:val="000000" w:themeColor="text1"/>
          <w:sz w:val="22"/>
          <w:lang w:val="es-CO"/>
        </w:rPr>
        <w:t xml:space="preserve">esta </w:t>
      </w:r>
      <w:r w:rsidRPr="00265C4F">
        <w:rPr>
          <w:rFonts w:ascii="Arial" w:eastAsia="Calibri" w:hAnsi="Arial" w:cs="Arial"/>
          <w:color w:val="000000" w:themeColor="text1"/>
          <w:sz w:val="22"/>
          <w:lang w:val="es-CO"/>
        </w:rPr>
        <w:t>manera</w:t>
      </w:r>
      <w:r>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sidR="009A7B73">
        <w:rPr>
          <w:rFonts w:ascii="Arial" w:eastAsia="Calibri" w:hAnsi="Arial" w:cs="Arial"/>
          <w:color w:val="000000" w:themeColor="text1"/>
          <w:sz w:val="22"/>
          <w:lang w:val="es-CO"/>
        </w:rPr>
        <w:t xml:space="preserve">. En efecto, </w:t>
      </w:r>
      <w:r w:rsidRPr="00265C4F">
        <w:rPr>
          <w:rFonts w:ascii="Arial" w:eastAsia="Calibri" w:hAnsi="Arial" w:cs="Arial"/>
          <w:color w:val="000000" w:themeColor="text1"/>
          <w:sz w:val="22"/>
          <w:lang w:val="es-CO"/>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A25F812" w14:textId="30064E01" w:rsidR="00FC790C" w:rsidRDefault="00FC790C" w:rsidP="00FC790C">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685722">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w:t>
      </w:r>
      <w:r w:rsidR="00796974">
        <w:rPr>
          <w:rFonts w:ascii="Arial" w:eastAsia="Calibri" w:hAnsi="Arial" w:cs="Arial"/>
          <w:color w:val="000000" w:themeColor="text1"/>
          <w:sz w:val="22"/>
          <w:lang w:val="es-CO"/>
        </w:rPr>
        <w:t>. Por el contrario,</w:t>
      </w:r>
      <w:r>
        <w:rPr>
          <w:rFonts w:ascii="Arial" w:eastAsia="Calibri" w:hAnsi="Arial" w:cs="Arial"/>
          <w:color w:val="000000" w:themeColor="text1"/>
          <w:sz w:val="22"/>
          <w:lang w:val="es-CO"/>
        </w:rPr>
        <w:t xml:space="preserv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que no estaba en firme para el cierre del proceso</w:t>
      </w:r>
      <w:r w:rsidR="00796974">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independientemente de que </w:t>
      </w:r>
      <w:r w:rsidRPr="001A5539">
        <w:rPr>
          <w:rFonts w:ascii="Arial" w:eastAsia="Calibri" w:hAnsi="Arial" w:cs="Arial"/>
          <w:color w:val="000000" w:themeColor="text1"/>
          <w:sz w:val="22"/>
          <w:lang w:val="es-CO"/>
        </w:rPr>
        <w:t xml:space="preserve">este </w:t>
      </w:r>
      <w:r w:rsidRPr="00685722">
        <w:rPr>
          <w:rFonts w:ascii="Arial" w:eastAsia="Calibri" w:hAnsi="Arial" w:cs="Arial"/>
          <w:color w:val="000000" w:themeColor="text1"/>
          <w:sz w:val="22"/>
          <w:lang w:val="es-CO"/>
        </w:rPr>
        <w:t xml:space="preserve">nuevo RUP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 xml:space="preserve">orezca o perjudique al interesado. </w:t>
      </w:r>
      <w:r w:rsidR="00796974">
        <w:rPr>
          <w:rFonts w:ascii="Arial" w:eastAsia="Calibri" w:hAnsi="Arial" w:cs="Arial"/>
          <w:color w:val="000000" w:themeColor="text1"/>
          <w:sz w:val="22"/>
          <w:lang w:val="es-CO"/>
        </w:rPr>
        <w:t>Lo anterior, teniendo cuenta que</w:t>
      </w:r>
      <w:r>
        <w:rPr>
          <w:rFonts w:ascii="Arial" w:eastAsia="Calibri" w:hAnsi="Arial" w:cs="Arial"/>
          <w:color w:val="000000" w:themeColor="text1"/>
          <w:sz w:val="22"/>
          <w:lang w:val="es-CO"/>
        </w:rPr>
        <w:t xml:space="preserve"> de la norma comentada se sigue que la evaluación se debe realizar conforme a las circunstancias ocurridas con anterioridad al cierre del proceso.</w:t>
      </w:r>
    </w:p>
    <w:p w14:paraId="6597D35D" w14:textId="3EB52025" w:rsidR="00FC790C" w:rsidRDefault="007E409F" w:rsidP="007156E1">
      <w:pPr>
        <w:tabs>
          <w:tab w:val="left" w:pos="0"/>
        </w:tabs>
        <w:spacing w:after="120" w:line="276" w:lineRule="auto"/>
        <w:jc w:val="both"/>
        <w:rPr>
          <w:rFonts w:ascii="Arial" w:hAnsi="Arial" w:cs="Arial"/>
          <w:color w:val="000000" w:themeColor="text1"/>
          <w:sz w:val="22"/>
          <w:lang w:val="es-CO"/>
        </w:rPr>
      </w:pPr>
      <w:r>
        <w:rPr>
          <w:rFonts w:ascii="Arial" w:hAnsi="Arial" w:cs="Arial"/>
          <w:color w:val="000000" w:themeColor="text1"/>
          <w:sz w:val="22"/>
          <w:lang w:val="es-CO"/>
        </w:rPr>
        <w:tab/>
        <w:t xml:space="preserve">Una vez analizado el marco jurídico respecto a la firmeza del RUP y los trámites de </w:t>
      </w:r>
      <w:r>
        <w:rPr>
          <w:rFonts w:ascii="Arial" w:hAnsi="Arial" w:cs="Arial"/>
          <w:i/>
          <w:iCs/>
          <w:color w:val="000000" w:themeColor="text1"/>
          <w:sz w:val="22"/>
          <w:lang w:val="es-CO"/>
        </w:rPr>
        <w:t xml:space="preserve">inscripción </w:t>
      </w:r>
      <w:r>
        <w:rPr>
          <w:rFonts w:ascii="Arial" w:hAnsi="Arial" w:cs="Arial"/>
          <w:color w:val="000000" w:themeColor="text1"/>
          <w:sz w:val="22"/>
          <w:lang w:val="es-CO"/>
        </w:rPr>
        <w:t xml:space="preserve">y </w:t>
      </w:r>
      <w:r>
        <w:rPr>
          <w:rFonts w:ascii="Arial" w:hAnsi="Arial" w:cs="Arial"/>
          <w:i/>
          <w:iCs/>
          <w:color w:val="000000" w:themeColor="text1"/>
          <w:sz w:val="22"/>
          <w:lang w:val="es-CO"/>
        </w:rPr>
        <w:t>renovación</w:t>
      </w:r>
      <w:r>
        <w:rPr>
          <w:rFonts w:ascii="Arial" w:hAnsi="Arial" w:cs="Arial"/>
          <w:color w:val="000000" w:themeColor="text1"/>
          <w:sz w:val="22"/>
          <w:lang w:val="es-CO"/>
        </w:rPr>
        <w:t xml:space="preserve"> del registro, es posible estudiar de manera contextualizada la causal de rechazo </w:t>
      </w:r>
      <w:r w:rsidRPr="007E409F">
        <w:rPr>
          <w:rFonts w:ascii="Arial" w:hAnsi="Arial" w:cs="Arial"/>
          <w:color w:val="000000" w:themeColor="text1"/>
          <w:sz w:val="22"/>
          <w:lang w:val="es-CO"/>
        </w:rPr>
        <w:t xml:space="preserve">del literal G del numeral 1.15 de los documentos tipo para licitación de </w:t>
      </w:r>
      <w:r w:rsidRPr="007E409F">
        <w:rPr>
          <w:rFonts w:ascii="Arial" w:hAnsi="Arial" w:cs="Arial"/>
          <w:color w:val="000000" w:themeColor="text1"/>
          <w:sz w:val="22"/>
          <w:lang w:val="es-CO"/>
        </w:rPr>
        <w:lastRenderedPageBreak/>
        <w:t xml:space="preserve">obra pública de infraestructura </w:t>
      </w:r>
      <w:r w:rsidR="00AD2D3F">
        <w:rPr>
          <w:rFonts w:ascii="Arial" w:hAnsi="Arial" w:cs="Arial"/>
          <w:color w:val="000000" w:themeColor="text1"/>
          <w:sz w:val="22"/>
          <w:lang w:val="es-CO"/>
        </w:rPr>
        <w:t>para agua potable y saneamiento básico</w:t>
      </w:r>
      <w:r>
        <w:rPr>
          <w:rFonts w:ascii="Arial" w:hAnsi="Arial" w:cs="Arial"/>
          <w:color w:val="000000" w:themeColor="text1"/>
          <w:sz w:val="22"/>
          <w:lang w:val="es-CO"/>
        </w:rPr>
        <w:t xml:space="preserve">, </w:t>
      </w:r>
      <w:r w:rsidR="00AD2D3F">
        <w:rPr>
          <w:rFonts w:ascii="Arial" w:hAnsi="Arial" w:cs="Arial"/>
          <w:color w:val="000000" w:themeColor="text1"/>
          <w:sz w:val="22"/>
          <w:lang w:val="es-CO"/>
        </w:rPr>
        <w:t>asunto aludido en la consulta que se resuelve</w:t>
      </w:r>
      <w:r>
        <w:rPr>
          <w:rFonts w:ascii="Arial" w:hAnsi="Arial" w:cs="Arial"/>
          <w:color w:val="000000" w:themeColor="text1"/>
          <w:sz w:val="22"/>
          <w:lang w:val="es-CO"/>
        </w:rPr>
        <w:t xml:space="preserve">. Dicha causal establece: </w:t>
      </w:r>
      <w:r w:rsidR="007156E1">
        <w:rPr>
          <w:rFonts w:ascii="Arial" w:hAnsi="Arial" w:cs="Arial"/>
          <w:color w:val="000000" w:themeColor="text1"/>
          <w:sz w:val="22"/>
          <w:lang w:val="es-CO"/>
        </w:rPr>
        <w:t>«</w:t>
      </w:r>
      <w:r w:rsidR="007156E1" w:rsidRPr="007156E1">
        <w:rPr>
          <w:rFonts w:ascii="Arial" w:hAnsi="Arial" w:cs="Arial"/>
          <w:color w:val="000000" w:themeColor="text1"/>
          <w:sz w:val="22"/>
          <w:lang w:val="es-CO"/>
        </w:rPr>
        <w:t xml:space="preserve">Que el Proponente no acredite la presentación de la información para </w:t>
      </w:r>
      <w:r w:rsidR="007156E1" w:rsidRPr="007156E1">
        <w:rPr>
          <w:rFonts w:ascii="Arial" w:hAnsi="Arial" w:cs="Arial"/>
          <w:i/>
          <w:iCs/>
          <w:color w:val="000000" w:themeColor="text1"/>
          <w:sz w:val="22"/>
          <w:lang w:val="es-CO"/>
        </w:rPr>
        <w:t>renovar</w:t>
      </w:r>
      <w:r w:rsidR="007156E1" w:rsidRPr="007156E1">
        <w:rPr>
          <w:rFonts w:ascii="Arial" w:hAnsi="Arial" w:cs="Arial"/>
          <w:color w:val="000000" w:themeColor="text1"/>
          <w:sz w:val="22"/>
          <w:lang w:val="es-CO"/>
        </w:rPr>
        <w:t xml:space="preserve"> el Registro Único de Proponentes (RUP) a más tardar el quinto día hábil del mes de abril de cada año</w:t>
      </w:r>
      <w:r w:rsidR="00AD2D3F">
        <w:rPr>
          <w:rFonts w:ascii="Arial" w:hAnsi="Arial" w:cs="Arial"/>
          <w:color w:val="000000" w:themeColor="text1"/>
          <w:sz w:val="22"/>
          <w:lang w:val="es-CO"/>
        </w:rPr>
        <w:t xml:space="preserve"> o en la fecha que establezca la ley o reglamento, si fuera una distinta</w:t>
      </w:r>
      <w:r w:rsidR="007156E1">
        <w:rPr>
          <w:rFonts w:ascii="Arial" w:hAnsi="Arial" w:cs="Arial"/>
          <w:color w:val="000000" w:themeColor="text1"/>
          <w:sz w:val="22"/>
          <w:lang w:val="es-CO"/>
        </w:rPr>
        <w:t>»</w:t>
      </w:r>
      <w:r w:rsidR="007156E1" w:rsidRPr="007156E1">
        <w:rPr>
          <w:rFonts w:ascii="Arial" w:hAnsi="Arial" w:cs="Arial"/>
          <w:color w:val="000000" w:themeColor="text1"/>
          <w:sz w:val="22"/>
          <w:lang w:val="es-CO"/>
        </w:rPr>
        <w:t>.</w:t>
      </w:r>
    </w:p>
    <w:p w14:paraId="58BCE88C" w14:textId="4A7E2EC1" w:rsidR="007156E1" w:rsidRDefault="007156E1" w:rsidP="007156E1">
      <w:pPr>
        <w:tabs>
          <w:tab w:val="left" w:pos="0"/>
        </w:tabs>
        <w:spacing w:after="120" w:line="276" w:lineRule="auto"/>
        <w:jc w:val="both"/>
        <w:rPr>
          <w:rFonts w:ascii="Arial" w:hAnsi="Arial" w:cs="Arial"/>
          <w:color w:val="000000" w:themeColor="text1"/>
          <w:sz w:val="22"/>
          <w:lang w:val="es-CO"/>
        </w:rPr>
      </w:pPr>
      <w:r>
        <w:rPr>
          <w:rFonts w:ascii="Arial" w:hAnsi="Arial" w:cs="Arial"/>
          <w:sz w:val="22"/>
        </w:rPr>
        <w:tab/>
        <w:t xml:space="preserve">En efecto, esta causal de rechazo debe interpretarse razonablemente de conformidad con el marco jurídico analizado respecto al trámite de renovación, cuyo régimen quedó expuesto </w:t>
      </w:r>
      <w:r w:rsidR="002519A5">
        <w:rPr>
          <w:rFonts w:ascii="Arial" w:hAnsi="Arial" w:cs="Arial"/>
          <w:sz w:val="22"/>
        </w:rPr>
        <w:t xml:space="preserve">en </w:t>
      </w:r>
      <w:r>
        <w:rPr>
          <w:rFonts w:ascii="Arial" w:hAnsi="Arial" w:cs="Arial"/>
          <w:sz w:val="22"/>
        </w:rPr>
        <w:t xml:space="preserve">detalle. </w:t>
      </w:r>
      <w:r w:rsidRPr="005076E2">
        <w:rPr>
          <w:rFonts w:ascii="Arial" w:hAnsi="Arial" w:cs="Arial"/>
          <w:sz w:val="22"/>
        </w:rPr>
        <w:t xml:space="preserve">En este sentido, esta causal de rechazo </w:t>
      </w:r>
      <w:r w:rsidR="00AD2D3F" w:rsidRPr="005076E2">
        <w:rPr>
          <w:rFonts w:ascii="Arial" w:hAnsi="Arial" w:cs="Arial"/>
          <w:sz w:val="22"/>
        </w:rPr>
        <w:t xml:space="preserve">se </w:t>
      </w:r>
      <w:r w:rsidRPr="005076E2">
        <w:rPr>
          <w:rFonts w:ascii="Arial" w:hAnsi="Arial" w:cs="Arial"/>
          <w:sz w:val="22"/>
        </w:rPr>
        <w:t>aplica en los supuestos en que el proponente al momento del cierre del proceso no tenga un RUP vigente y en firme</w:t>
      </w:r>
      <w:r>
        <w:rPr>
          <w:rFonts w:ascii="Arial" w:hAnsi="Arial" w:cs="Arial"/>
          <w:sz w:val="22"/>
        </w:rPr>
        <w:t xml:space="preserve">, de ahí que conforme a las disposiciones estudiadas con anterioridad se deba rechazar al proponente que no cumpla con el deber establecido en el artículo </w:t>
      </w:r>
      <w:r w:rsidRPr="00265C4F">
        <w:rPr>
          <w:rFonts w:ascii="Arial" w:eastAsia="Calibri" w:hAnsi="Arial" w:cs="Arial"/>
          <w:color w:val="000000" w:themeColor="text1"/>
          <w:sz w:val="22"/>
          <w:lang w:val="es-CO"/>
        </w:rPr>
        <w:t>2.2.1.1.1.5.1.</w:t>
      </w:r>
      <w:r>
        <w:rPr>
          <w:rFonts w:ascii="Arial" w:eastAsia="Calibri" w:hAnsi="Arial" w:cs="Arial"/>
          <w:color w:val="000000" w:themeColor="text1"/>
          <w:sz w:val="22"/>
          <w:lang w:val="es-CO"/>
        </w:rPr>
        <w:t xml:space="preserve"> del decreto 1082 </w:t>
      </w:r>
      <w:r w:rsidR="004B5960">
        <w:rPr>
          <w:rFonts w:ascii="Arial" w:eastAsia="Calibri" w:hAnsi="Arial" w:cs="Arial"/>
          <w:color w:val="000000" w:themeColor="text1"/>
          <w:sz w:val="22"/>
          <w:lang w:val="es-CO"/>
        </w:rPr>
        <w:t>de 2015</w:t>
      </w:r>
      <w:r>
        <w:rPr>
          <w:rFonts w:ascii="Arial" w:eastAsia="Calibri" w:hAnsi="Arial" w:cs="Arial"/>
          <w:color w:val="000000" w:themeColor="text1"/>
          <w:sz w:val="22"/>
          <w:lang w:val="es-CO"/>
        </w:rPr>
        <w:t xml:space="preserve">, esto es, que no haya presentado la información para renovar el RUP a </w:t>
      </w:r>
      <w:r w:rsidRPr="007156E1">
        <w:rPr>
          <w:rFonts w:ascii="Arial" w:hAnsi="Arial" w:cs="Arial"/>
          <w:color w:val="000000" w:themeColor="text1"/>
          <w:sz w:val="22"/>
          <w:lang w:val="es-CO"/>
        </w:rPr>
        <w:t>más tardar el quinto día hábil del mes de abril de cada año</w:t>
      </w:r>
      <w:r>
        <w:rPr>
          <w:rFonts w:ascii="Arial" w:hAnsi="Arial" w:cs="Arial"/>
          <w:color w:val="000000" w:themeColor="text1"/>
          <w:sz w:val="22"/>
          <w:lang w:val="es-CO"/>
        </w:rPr>
        <w:t>.</w:t>
      </w:r>
    </w:p>
    <w:p w14:paraId="78CC9D81" w14:textId="393FBC22" w:rsidR="006343B8" w:rsidRDefault="007156E1" w:rsidP="007156E1">
      <w:pPr>
        <w:tabs>
          <w:tab w:val="left" w:pos="0"/>
        </w:tabs>
        <w:spacing w:after="120" w:line="276" w:lineRule="auto"/>
        <w:jc w:val="both"/>
        <w:rPr>
          <w:rFonts w:ascii="Arial" w:hAnsi="Arial" w:cs="Arial"/>
          <w:color w:val="000000" w:themeColor="text1"/>
          <w:sz w:val="22"/>
          <w:lang w:val="es-CO"/>
        </w:rPr>
      </w:pPr>
      <w:r>
        <w:rPr>
          <w:rFonts w:ascii="Arial" w:hAnsi="Arial" w:cs="Arial"/>
          <w:color w:val="000000" w:themeColor="text1"/>
          <w:sz w:val="22"/>
          <w:lang w:val="es-CO"/>
        </w:rPr>
        <w:tab/>
        <w:t xml:space="preserve">No obstante, ello no quiere decir que la causal se extienda a los supuestos en </w:t>
      </w:r>
      <w:r w:rsidR="005C3465">
        <w:rPr>
          <w:rFonts w:ascii="Arial" w:hAnsi="Arial" w:cs="Arial"/>
          <w:color w:val="000000" w:themeColor="text1"/>
          <w:sz w:val="22"/>
          <w:lang w:val="es-CO"/>
        </w:rPr>
        <w:t xml:space="preserve">los </w:t>
      </w:r>
      <w:r>
        <w:rPr>
          <w:rFonts w:ascii="Arial" w:hAnsi="Arial" w:cs="Arial"/>
          <w:color w:val="000000" w:themeColor="text1"/>
          <w:sz w:val="22"/>
          <w:lang w:val="es-CO"/>
        </w:rPr>
        <w:t xml:space="preserve">que el proponente realiza una nueva </w:t>
      </w:r>
      <w:r>
        <w:rPr>
          <w:rFonts w:ascii="Arial" w:hAnsi="Arial" w:cs="Arial"/>
          <w:i/>
          <w:iCs/>
          <w:color w:val="000000" w:themeColor="text1"/>
          <w:sz w:val="22"/>
          <w:lang w:val="es-CO"/>
        </w:rPr>
        <w:t>inscripción</w:t>
      </w:r>
      <w:r>
        <w:rPr>
          <w:rFonts w:ascii="Arial" w:hAnsi="Arial" w:cs="Arial"/>
          <w:color w:val="000000" w:themeColor="text1"/>
          <w:sz w:val="22"/>
          <w:lang w:val="es-CO"/>
        </w:rPr>
        <w:t>,</w:t>
      </w:r>
      <w:r>
        <w:rPr>
          <w:rFonts w:ascii="Arial" w:hAnsi="Arial" w:cs="Arial"/>
          <w:i/>
          <w:iCs/>
          <w:color w:val="000000" w:themeColor="text1"/>
          <w:sz w:val="22"/>
          <w:lang w:val="es-CO"/>
        </w:rPr>
        <w:t xml:space="preserve"> </w:t>
      </w:r>
      <w:r>
        <w:rPr>
          <w:rFonts w:ascii="Arial" w:hAnsi="Arial" w:cs="Arial"/>
          <w:color w:val="000000" w:themeColor="text1"/>
          <w:sz w:val="22"/>
          <w:lang w:val="es-CO"/>
        </w:rPr>
        <w:t>debido a que un RUP que tenía con anterioridad dejó de producir efectos, toda vez que el proponente incumplió el deber de renovar el registro a tiempo. En efecto, como se indicó con anterioridad</w:t>
      </w:r>
      <w:r w:rsidR="008F6155">
        <w:rPr>
          <w:rFonts w:ascii="Arial" w:hAnsi="Arial" w:cs="Arial"/>
          <w:color w:val="000000" w:themeColor="text1"/>
          <w:sz w:val="22"/>
          <w:lang w:val="es-CO"/>
        </w:rPr>
        <w:t>,</w:t>
      </w:r>
      <w:r>
        <w:rPr>
          <w:rFonts w:ascii="Arial" w:hAnsi="Arial" w:cs="Arial"/>
          <w:color w:val="000000" w:themeColor="text1"/>
          <w:sz w:val="22"/>
          <w:lang w:val="es-CO"/>
        </w:rPr>
        <w:t xml:space="preserve"> en dichos casos el proponente debe inscribirse nuevamente en el registro, de manera que una vez esté en firme la </w:t>
      </w:r>
      <w:r>
        <w:rPr>
          <w:rFonts w:ascii="Arial" w:hAnsi="Arial" w:cs="Arial"/>
          <w:i/>
          <w:iCs/>
          <w:color w:val="000000" w:themeColor="text1"/>
          <w:sz w:val="22"/>
          <w:lang w:val="es-CO"/>
        </w:rPr>
        <w:t xml:space="preserve">nueva inscripción </w:t>
      </w:r>
      <w:r>
        <w:rPr>
          <w:rFonts w:ascii="Arial" w:hAnsi="Arial" w:cs="Arial"/>
          <w:color w:val="000000" w:themeColor="text1"/>
          <w:sz w:val="22"/>
          <w:lang w:val="es-CO"/>
        </w:rPr>
        <w:t>puede participar en los procedimientos de selección, inclui</w:t>
      </w:r>
      <w:r w:rsidR="006343B8">
        <w:rPr>
          <w:rFonts w:ascii="Arial" w:hAnsi="Arial" w:cs="Arial"/>
          <w:color w:val="000000" w:themeColor="text1"/>
          <w:sz w:val="22"/>
          <w:lang w:val="es-CO"/>
        </w:rPr>
        <w:t xml:space="preserve">dos los regidos por los documentos tipo. </w:t>
      </w:r>
    </w:p>
    <w:p w14:paraId="4B6A419D" w14:textId="65D48CCF" w:rsidR="006343B8" w:rsidRDefault="006343B8" w:rsidP="00840F68">
      <w:pPr>
        <w:tabs>
          <w:tab w:val="left" w:pos="0"/>
        </w:tabs>
        <w:spacing w:line="276" w:lineRule="auto"/>
        <w:jc w:val="both"/>
        <w:rPr>
          <w:rFonts w:ascii="Arial" w:eastAsia="Calibri" w:hAnsi="Arial" w:cs="Arial"/>
          <w:color w:val="000000" w:themeColor="text1"/>
          <w:sz w:val="22"/>
          <w:lang w:val="es-CO"/>
        </w:rPr>
      </w:pPr>
      <w:r>
        <w:rPr>
          <w:rFonts w:ascii="Arial" w:hAnsi="Arial" w:cs="Arial"/>
          <w:color w:val="000000" w:themeColor="text1"/>
          <w:sz w:val="22"/>
          <w:lang w:val="es-CO"/>
        </w:rPr>
        <w:tab/>
        <w:t>Lo anterior resulta coherente y más preciso con lo regulado en la causal de rechazo del literal «</w:t>
      </w:r>
      <w:r w:rsidR="005C3465">
        <w:rPr>
          <w:rFonts w:ascii="Arial" w:hAnsi="Arial" w:cs="Arial"/>
          <w:color w:val="000000" w:themeColor="text1"/>
          <w:sz w:val="22"/>
          <w:lang w:val="es-CO"/>
        </w:rPr>
        <w:t>F</w:t>
      </w:r>
      <w:r>
        <w:rPr>
          <w:rFonts w:ascii="Arial" w:hAnsi="Arial" w:cs="Arial"/>
          <w:color w:val="000000" w:themeColor="text1"/>
          <w:sz w:val="22"/>
          <w:lang w:val="es-CO"/>
        </w:rPr>
        <w:t>» de los mismos documentos tipo,</w:t>
      </w:r>
      <w:r w:rsidR="00AD2D3F">
        <w:rPr>
          <w:rFonts w:ascii="Arial" w:hAnsi="Arial" w:cs="Arial"/>
          <w:color w:val="000000" w:themeColor="text1"/>
          <w:sz w:val="22"/>
          <w:lang w:val="es-CO"/>
        </w:rPr>
        <w:t xml:space="preserve"> también referida en la consulta,</w:t>
      </w:r>
      <w:r>
        <w:rPr>
          <w:rFonts w:ascii="Arial" w:hAnsi="Arial" w:cs="Arial"/>
          <w:color w:val="000000" w:themeColor="text1"/>
          <w:sz w:val="22"/>
          <w:lang w:val="es-CO"/>
        </w:rPr>
        <w:t xml:space="preserve"> que establece</w:t>
      </w:r>
      <w:r w:rsidRPr="006343B8">
        <w:rPr>
          <w:rFonts w:ascii="Arial" w:hAnsi="Arial" w:cs="Arial"/>
          <w:color w:val="000000" w:themeColor="text1"/>
          <w:sz w:val="22"/>
          <w:lang w:val="es-CO"/>
        </w:rPr>
        <w:t xml:space="preserve">: </w:t>
      </w:r>
      <w:r>
        <w:rPr>
          <w:rFonts w:ascii="Arial" w:hAnsi="Arial" w:cs="Arial"/>
          <w:color w:val="000000" w:themeColor="text1"/>
          <w:sz w:val="22"/>
          <w:lang w:val="es-CO"/>
        </w:rPr>
        <w:t>«</w:t>
      </w:r>
      <w:r w:rsidRPr="006343B8">
        <w:rPr>
          <w:rFonts w:ascii="Arial" w:eastAsia="Arial" w:hAnsi="Arial" w:cs="Arial"/>
          <w:color w:val="000000" w:themeColor="text1"/>
          <w:sz w:val="22"/>
          <w:lang w:eastAsia="es-CO"/>
        </w:rPr>
        <w:t xml:space="preserve">Que la </w:t>
      </w:r>
      <w:r w:rsidRPr="006343B8">
        <w:rPr>
          <w:rFonts w:ascii="Arial" w:eastAsia="Arial" w:hAnsi="Arial" w:cs="Arial"/>
          <w:i/>
          <w:color w:val="000000" w:themeColor="text1"/>
          <w:sz w:val="22"/>
          <w:lang w:eastAsia="es-CO"/>
        </w:rPr>
        <w:t>inscripción</w:t>
      </w:r>
      <w:r w:rsidRPr="006343B8">
        <w:rPr>
          <w:rFonts w:ascii="Arial" w:eastAsia="Arial" w:hAnsi="Arial" w:cs="Arial"/>
          <w:color w:val="000000" w:themeColor="text1"/>
          <w:sz w:val="22"/>
          <w:lang w:eastAsia="es-CO"/>
        </w:rPr>
        <w:t xml:space="preserve"> en el Registro Único de Proponentes (RUP</w:t>
      </w:r>
      <w:r w:rsidRPr="006343B8">
        <w:rPr>
          <w:rFonts w:ascii="Arial" w:eastAsia="Arial,Calibri" w:hAnsi="Arial" w:cs="Arial"/>
          <w:color w:val="000000" w:themeColor="text1"/>
          <w:sz w:val="22"/>
          <w:lang w:eastAsia="es-CO"/>
        </w:rPr>
        <w:t>)</w:t>
      </w:r>
      <w:r w:rsidRPr="006343B8">
        <w:rPr>
          <w:rFonts w:ascii="Arial" w:eastAsia="Arial" w:hAnsi="Arial" w:cs="Arial"/>
          <w:color w:val="000000" w:themeColor="text1"/>
          <w:sz w:val="22"/>
          <w:lang w:eastAsia="es-CO"/>
        </w:rPr>
        <w:t xml:space="preserve"> que realice el Proponente por primera vez </w:t>
      </w:r>
      <w:r w:rsidRPr="005076E2">
        <w:rPr>
          <w:rFonts w:ascii="Arial" w:eastAsia="Arial" w:hAnsi="Arial" w:cs="Arial"/>
          <w:i/>
          <w:iCs/>
          <w:color w:val="000000" w:themeColor="text1"/>
          <w:sz w:val="22"/>
          <w:lang w:eastAsia="es-CO"/>
        </w:rPr>
        <w:t xml:space="preserve">o cuando han cesado los efectos y debe volver a inscribirse, no esté en firme en la fecha prevista para el cierre del </w:t>
      </w:r>
      <w:r w:rsidR="00AD2D3F" w:rsidRPr="005076E2">
        <w:rPr>
          <w:rFonts w:ascii="Arial" w:eastAsia="Arial" w:hAnsi="Arial" w:cs="Arial"/>
          <w:i/>
          <w:iCs/>
          <w:color w:val="000000" w:themeColor="text1"/>
          <w:sz w:val="22"/>
          <w:lang w:eastAsia="es-CO"/>
        </w:rPr>
        <w:t>p</w:t>
      </w:r>
      <w:r w:rsidRPr="005076E2">
        <w:rPr>
          <w:rFonts w:ascii="Arial" w:eastAsia="Arial" w:hAnsi="Arial" w:cs="Arial"/>
          <w:i/>
          <w:iCs/>
          <w:color w:val="000000" w:themeColor="text1"/>
          <w:sz w:val="22"/>
          <w:lang w:eastAsia="es-CO"/>
        </w:rPr>
        <w:t xml:space="preserve">roceso de </w:t>
      </w:r>
      <w:r w:rsidR="00AD2D3F" w:rsidRPr="005076E2">
        <w:rPr>
          <w:rFonts w:ascii="Arial" w:eastAsia="Arial" w:hAnsi="Arial" w:cs="Arial"/>
          <w:i/>
          <w:iCs/>
          <w:color w:val="000000" w:themeColor="text1"/>
          <w:sz w:val="22"/>
          <w:lang w:eastAsia="es-CO"/>
        </w:rPr>
        <w:t>c</w:t>
      </w:r>
      <w:r w:rsidRPr="005076E2">
        <w:rPr>
          <w:rFonts w:ascii="Arial" w:eastAsia="Arial" w:hAnsi="Arial" w:cs="Arial"/>
          <w:i/>
          <w:iCs/>
          <w:color w:val="000000" w:themeColor="text1"/>
          <w:sz w:val="22"/>
          <w:lang w:eastAsia="es-CO"/>
        </w:rPr>
        <w:t>ontratación</w:t>
      </w:r>
      <w:r>
        <w:rPr>
          <w:rFonts w:ascii="Arial" w:eastAsia="Arial" w:hAnsi="Arial" w:cs="Arial"/>
          <w:color w:val="000000" w:themeColor="text1"/>
          <w:sz w:val="22"/>
          <w:lang w:eastAsia="es-CO"/>
        </w:rPr>
        <w:t>» (</w:t>
      </w:r>
      <w:r w:rsidR="004B5960">
        <w:rPr>
          <w:rFonts w:ascii="Arial" w:eastAsia="Arial" w:hAnsi="Arial" w:cs="Arial"/>
          <w:color w:val="000000" w:themeColor="text1"/>
          <w:sz w:val="22"/>
          <w:lang w:eastAsia="es-CO"/>
        </w:rPr>
        <w:t xml:space="preserve">Cursiva </w:t>
      </w:r>
      <w:r>
        <w:rPr>
          <w:rFonts w:ascii="Arial" w:eastAsia="Arial" w:hAnsi="Arial" w:cs="Arial"/>
          <w:color w:val="000000" w:themeColor="text1"/>
          <w:sz w:val="22"/>
          <w:lang w:eastAsia="es-CO"/>
        </w:rPr>
        <w:t>fuera del original)</w:t>
      </w:r>
      <w:r w:rsidRPr="006343B8">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En efecto, como se deriva de la</w:t>
      </w:r>
      <w:r w:rsidR="00AD2D3F">
        <w:rPr>
          <w:rFonts w:ascii="Arial" w:eastAsia="Arial" w:hAnsi="Arial" w:cs="Arial"/>
          <w:color w:val="000000" w:themeColor="text1"/>
          <w:sz w:val="22"/>
          <w:lang w:eastAsia="es-CO"/>
        </w:rPr>
        <w:t>s</w:t>
      </w:r>
      <w:r>
        <w:rPr>
          <w:rFonts w:ascii="Arial" w:eastAsia="Arial" w:hAnsi="Arial" w:cs="Arial"/>
          <w:color w:val="000000" w:themeColor="text1"/>
          <w:sz w:val="22"/>
          <w:lang w:eastAsia="es-CO"/>
        </w:rPr>
        <w:t xml:space="preserve"> pregunta</w:t>
      </w:r>
      <w:r w:rsidR="00AD2D3F">
        <w:rPr>
          <w:rFonts w:ascii="Arial" w:eastAsia="Arial" w:hAnsi="Arial" w:cs="Arial"/>
          <w:color w:val="000000" w:themeColor="text1"/>
          <w:sz w:val="22"/>
          <w:lang w:eastAsia="es-CO"/>
        </w:rPr>
        <w:t>s</w:t>
      </w:r>
      <w:r>
        <w:rPr>
          <w:rFonts w:ascii="Arial" w:eastAsia="Arial" w:hAnsi="Arial" w:cs="Arial"/>
          <w:color w:val="000000" w:themeColor="text1"/>
          <w:sz w:val="22"/>
          <w:lang w:eastAsia="es-CO"/>
        </w:rPr>
        <w:t xml:space="preserve"> de la </w:t>
      </w:r>
      <w:r w:rsidR="00AD2D3F">
        <w:rPr>
          <w:rFonts w:ascii="Arial" w:eastAsia="Arial" w:hAnsi="Arial" w:cs="Arial"/>
          <w:color w:val="000000" w:themeColor="text1"/>
          <w:sz w:val="22"/>
          <w:lang w:eastAsia="es-CO"/>
        </w:rPr>
        <w:t>consulta</w:t>
      </w:r>
      <w:r>
        <w:rPr>
          <w:rFonts w:ascii="Arial" w:eastAsia="Arial" w:hAnsi="Arial" w:cs="Arial"/>
          <w:color w:val="000000" w:themeColor="text1"/>
          <w:sz w:val="22"/>
          <w:lang w:eastAsia="es-CO"/>
        </w:rPr>
        <w:t xml:space="preserve">, el supuesto que advierte en los documentos tipo debe analizarse de conformidad con esta causal de rechazo, que regula de forma directa dicho evento. </w:t>
      </w:r>
      <w:r w:rsidR="008F6155">
        <w:rPr>
          <w:rFonts w:ascii="Arial" w:eastAsia="Arial" w:hAnsi="Arial" w:cs="Arial"/>
          <w:color w:val="000000" w:themeColor="text1"/>
          <w:sz w:val="22"/>
          <w:lang w:eastAsia="es-CO"/>
        </w:rPr>
        <w:t>En este sentido</w:t>
      </w:r>
      <w:r>
        <w:rPr>
          <w:rFonts w:ascii="Arial" w:eastAsia="Arial" w:hAnsi="Arial" w:cs="Arial"/>
          <w:color w:val="000000" w:themeColor="text1"/>
          <w:sz w:val="22"/>
          <w:lang w:eastAsia="es-CO"/>
        </w:rPr>
        <w:t>, cuando el proponente incumple su deber de renovar su registro en el RUP y los efectos han cesado, debe volver a inscribirse, supuesto en el cual podrá participar siempre que su registro</w:t>
      </w:r>
      <w:r w:rsidRPr="006343B8">
        <w:rPr>
          <w:rFonts w:ascii="Arial" w:eastAsia="Arial" w:hAnsi="Arial" w:cs="Arial"/>
          <w:color w:val="000000" w:themeColor="text1"/>
          <w:sz w:val="22"/>
          <w:lang w:eastAsia="es-CO"/>
        </w:rPr>
        <w:t xml:space="preserve"> </w:t>
      </w:r>
      <w:r>
        <w:rPr>
          <w:rFonts w:ascii="Arial" w:eastAsia="Arial" w:hAnsi="Arial" w:cs="Arial"/>
          <w:color w:val="000000" w:themeColor="text1"/>
          <w:sz w:val="22"/>
          <w:lang w:eastAsia="es-CO"/>
        </w:rPr>
        <w:t xml:space="preserve">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Pr>
          <w:rFonts w:ascii="Arial" w:eastAsia="Calibri" w:hAnsi="Arial" w:cs="Arial"/>
          <w:color w:val="000000" w:themeColor="text1"/>
          <w:sz w:val="22"/>
          <w:lang w:val="es-CO"/>
        </w:rPr>
        <w:t>«</w:t>
      </w:r>
      <w:r w:rsidRPr="00685722">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p>
    <w:p w14:paraId="3A12895C" w14:textId="5C140D56" w:rsidR="00FC790C" w:rsidRDefault="006343B8" w:rsidP="00877254">
      <w:pPr>
        <w:widowControl w:val="0"/>
        <w:autoSpaceDE w:val="0"/>
        <w:autoSpaceDN w:val="0"/>
        <w:spacing w:after="120" w:line="276" w:lineRule="auto"/>
        <w:jc w:val="both"/>
        <w:rPr>
          <w:rFonts w:ascii="Arial" w:eastAsia="Calibri" w:hAnsi="Arial" w:cs="Arial"/>
          <w:b/>
          <w:color w:val="000000" w:themeColor="text1"/>
          <w:sz w:val="22"/>
          <w:lang w:val="es-ES_tradnl"/>
        </w:rPr>
      </w:pPr>
      <w:r>
        <w:rPr>
          <w:rFonts w:ascii="Arial" w:eastAsia="Calibri" w:hAnsi="Arial" w:cs="Arial"/>
          <w:color w:val="000000" w:themeColor="text1"/>
          <w:sz w:val="22"/>
          <w:lang w:val="es-CO"/>
        </w:rPr>
        <w:lastRenderedPageBreak/>
        <w:tab/>
      </w:r>
    </w:p>
    <w:p w14:paraId="37CA9805" w14:textId="5498174C" w:rsidR="00DD5B04" w:rsidRPr="00781A1B" w:rsidRDefault="004177A6" w:rsidP="002C5D0F">
      <w:pPr>
        <w:tabs>
          <w:tab w:val="left" w:pos="0"/>
        </w:tabs>
        <w:spacing w:line="276" w:lineRule="auto"/>
        <w:jc w:val="both"/>
        <w:rPr>
          <w:rFonts w:ascii="Arial" w:eastAsia="Calibri" w:hAnsi="Arial" w:cs="Arial"/>
          <w:b/>
          <w:color w:val="000000" w:themeColor="text1"/>
          <w:sz w:val="22"/>
          <w:lang w:val="es-ES_tradnl"/>
        </w:rPr>
      </w:pPr>
      <w:r w:rsidRPr="00781A1B">
        <w:rPr>
          <w:rFonts w:ascii="Arial" w:eastAsia="Calibri" w:hAnsi="Arial" w:cs="Arial"/>
          <w:b/>
          <w:color w:val="000000" w:themeColor="text1"/>
          <w:sz w:val="22"/>
          <w:lang w:val="es-ES_tradnl"/>
        </w:rPr>
        <w:t>3</w:t>
      </w:r>
      <w:r w:rsidR="00B011A9" w:rsidRPr="00781A1B">
        <w:rPr>
          <w:rFonts w:ascii="Arial" w:eastAsia="Calibri" w:hAnsi="Arial" w:cs="Arial"/>
          <w:b/>
          <w:color w:val="000000" w:themeColor="text1"/>
          <w:sz w:val="22"/>
          <w:lang w:val="es-ES_tradnl"/>
        </w:rPr>
        <w:t xml:space="preserve">. </w:t>
      </w:r>
      <w:r w:rsidR="00DD5B04" w:rsidRPr="00781A1B">
        <w:rPr>
          <w:rFonts w:ascii="Arial" w:eastAsia="Calibri" w:hAnsi="Arial" w:cs="Arial"/>
          <w:b/>
          <w:color w:val="000000" w:themeColor="text1"/>
          <w:sz w:val="22"/>
          <w:lang w:val="es-ES_tradnl"/>
        </w:rPr>
        <w:t>Respuesta</w:t>
      </w:r>
      <w:r w:rsidR="00BE13E6">
        <w:rPr>
          <w:rFonts w:ascii="Arial" w:eastAsia="Calibri" w:hAnsi="Arial" w:cs="Arial"/>
          <w:b/>
          <w:color w:val="000000" w:themeColor="text1"/>
          <w:sz w:val="22"/>
          <w:lang w:val="es-ES_tradnl"/>
        </w:rPr>
        <w:t>s</w:t>
      </w:r>
    </w:p>
    <w:p w14:paraId="0B74D5B8" w14:textId="5B5B8028" w:rsidR="00C4581D" w:rsidRPr="00781A1B" w:rsidRDefault="00C4581D" w:rsidP="00DF76A2">
      <w:pPr>
        <w:tabs>
          <w:tab w:val="left" w:pos="0"/>
        </w:tabs>
        <w:spacing w:line="276" w:lineRule="auto"/>
        <w:jc w:val="both"/>
        <w:rPr>
          <w:rFonts w:ascii="Arial" w:eastAsia="Calibri" w:hAnsi="Arial" w:cs="Arial"/>
          <w:color w:val="000000" w:themeColor="text1"/>
          <w:sz w:val="22"/>
          <w:lang w:val="es-ES_tradnl"/>
        </w:rPr>
      </w:pPr>
    </w:p>
    <w:p w14:paraId="63579736" w14:textId="456D4D56"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eastAsia="Calibri" w:hAnsi="Arial" w:cs="Arial"/>
          <w:bCs/>
          <w:color w:val="000000" w:themeColor="text1"/>
          <w:sz w:val="21"/>
          <w:szCs w:val="21"/>
          <w:lang w:val="es-ES_tradnl"/>
        </w:rPr>
        <w:t>«</w:t>
      </w:r>
      <w:r w:rsidRPr="004D60AC">
        <w:rPr>
          <w:rFonts w:ascii="Arial" w:hAnsi="Arial" w:cs="Arial"/>
          <w:color w:val="000000"/>
          <w:sz w:val="21"/>
          <w:szCs w:val="21"/>
        </w:rPr>
        <w:t xml:space="preserve">Ante la existencia de diferencias sustanciales entre el pliego Tipo, elaborado por CCE para el Sector de Agua Potable y Saneamiento Básico; y la ley 1882 de 2018, 1150 de 2007 o el decreto 1082 de 2015, Que mandato debo aplicar, lo expuesto en el Pliego Tipo o lo indicado en la norma». </w:t>
      </w:r>
    </w:p>
    <w:p w14:paraId="471CA006" w14:textId="3033D54E" w:rsidR="004D60AC" w:rsidRDefault="004D60AC" w:rsidP="005076E2">
      <w:pPr>
        <w:tabs>
          <w:tab w:val="left" w:pos="709"/>
        </w:tabs>
        <w:ind w:left="709" w:right="616"/>
        <w:jc w:val="both"/>
        <w:rPr>
          <w:rFonts w:ascii="Arial" w:hAnsi="Arial" w:cs="Arial"/>
          <w:color w:val="000000"/>
          <w:sz w:val="21"/>
          <w:szCs w:val="21"/>
        </w:rPr>
      </w:pPr>
    </w:p>
    <w:p w14:paraId="4F8AE3FB" w14:textId="5054D324" w:rsidR="004D60AC" w:rsidRPr="004D60AC" w:rsidRDefault="00322939" w:rsidP="005076E2">
      <w:pPr>
        <w:tabs>
          <w:tab w:val="left" w:pos="709"/>
        </w:tabs>
        <w:spacing w:line="276" w:lineRule="auto"/>
        <w:ind w:right="4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Según las consideraciones que anteceden</w:t>
      </w:r>
      <w:r w:rsidR="00821651">
        <w:rPr>
          <w:rFonts w:ascii="Arial" w:eastAsia="Arial" w:hAnsi="Arial" w:cs="Arial"/>
          <w:color w:val="000000"/>
          <w:sz w:val="22"/>
          <w:lang w:val="es-ES" w:eastAsia="es-ES" w:bidi="es-ES"/>
        </w:rPr>
        <w:t>,</w:t>
      </w:r>
      <w:r>
        <w:rPr>
          <w:rFonts w:ascii="Arial" w:eastAsia="Arial" w:hAnsi="Arial" w:cs="Arial"/>
          <w:color w:val="000000"/>
          <w:sz w:val="22"/>
          <w:lang w:val="es-ES" w:eastAsia="es-ES" w:bidi="es-ES"/>
        </w:rPr>
        <w:t xml:space="preserve"> no existe contradicción entre la regla de subsanabilidad de las ofertas </w:t>
      </w:r>
      <w:r w:rsidR="00821651">
        <w:rPr>
          <w:rFonts w:ascii="Arial" w:eastAsia="Arial" w:hAnsi="Arial" w:cs="Arial"/>
          <w:color w:val="000000"/>
          <w:sz w:val="22"/>
          <w:lang w:val="es-ES" w:eastAsia="es-ES" w:bidi="es-ES"/>
        </w:rPr>
        <w:t>dispuesta</w:t>
      </w:r>
      <w:r>
        <w:rPr>
          <w:rFonts w:ascii="Arial" w:eastAsia="Arial" w:hAnsi="Arial" w:cs="Arial"/>
          <w:color w:val="000000"/>
          <w:sz w:val="22"/>
          <w:lang w:val="es-ES" w:eastAsia="es-ES" w:bidi="es-ES"/>
        </w:rPr>
        <w:t xml:space="preserve"> en</w:t>
      </w:r>
      <w:r w:rsidR="00821651">
        <w:rPr>
          <w:rFonts w:ascii="Arial" w:eastAsia="Arial" w:hAnsi="Arial" w:cs="Arial"/>
          <w:color w:val="000000"/>
          <w:sz w:val="22"/>
          <w:lang w:val="es-ES" w:eastAsia="es-ES" w:bidi="es-ES"/>
        </w:rPr>
        <w:t xml:space="preserve"> la </w:t>
      </w:r>
      <w:r>
        <w:rPr>
          <w:rFonts w:ascii="Arial" w:eastAsia="Arial" w:hAnsi="Arial" w:cs="Arial"/>
          <w:color w:val="000000"/>
          <w:sz w:val="22"/>
          <w:lang w:val="es-ES" w:eastAsia="es-ES" w:bidi="es-ES"/>
        </w:rPr>
        <w:t xml:space="preserve">Ley 1882 de 2018 y las causales de rechazo relacionadas con la inscripción y firmeza del RUP previstas en el documento base de los documentos tipo </w:t>
      </w:r>
      <w:r w:rsidR="00821651">
        <w:rPr>
          <w:rFonts w:ascii="Arial" w:eastAsia="Arial" w:hAnsi="Arial" w:cs="Arial"/>
          <w:color w:val="000000"/>
          <w:sz w:val="22"/>
          <w:lang w:val="es-ES" w:eastAsia="es-ES" w:bidi="es-ES"/>
        </w:rPr>
        <w:t>licitación de obra de infraestructura de agua potable y saneamiento básico</w:t>
      </w:r>
      <w:r>
        <w:rPr>
          <w:rFonts w:ascii="Arial" w:eastAsia="Arial" w:hAnsi="Arial" w:cs="Arial"/>
          <w:color w:val="000000"/>
          <w:sz w:val="22"/>
          <w:lang w:val="es-ES" w:eastAsia="es-ES" w:bidi="es-ES"/>
        </w:rPr>
        <w:t>, toda vez que su aplicación</w:t>
      </w:r>
      <w:r w:rsidR="00821651">
        <w:rPr>
          <w:rFonts w:ascii="Arial" w:eastAsia="Arial" w:hAnsi="Arial" w:cs="Arial"/>
          <w:color w:val="000000"/>
          <w:sz w:val="22"/>
          <w:lang w:val="es-ES" w:eastAsia="es-ES" w:bidi="es-ES"/>
        </w:rPr>
        <w:t xml:space="preserve"> e interpretación</w:t>
      </w:r>
      <w:r>
        <w:rPr>
          <w:rFonts w:ascii="Arial" w:eastAsia="Arial" w:hAnsi="Arial" w:cs="Arial"/>
          <w:color w:val="000000"/>
          <w:sz w:val="22"/>
          <w:lang w:val="es-ES" w:eastAsia="es-ES" w:bidi="es-ES"/>
        </w:rPr>
        <w:t xml:space="preserve"> siguen la regla legal según la cual, </w:t>
      </w:r>
      <w:r w:rsidRPr="00BE7D31">
        <w:rPr>
          <w:rFonts w:ascii="Arial" w:eastAsia="Arial" w:hAnsi="Arial" w:cs="Arial"/>
          <w:i/>
          <w:sz w:val="22"/>
          <w:lang w:val="es-ES"/>
        </w:rPr>
        <w:t>«los proponentes no podrán acreditar circunstancias ocurridas con posterioridad al cierre del proceso»</w:t>
      </w:r>
      <w:r w:rsidR="00821651">
        <w:rPr>
          <w:rFonts w:ascii="Arial" w:eastAsia="Arial" w:hAnsi="Arial" w:cs="Arial"/>
          <w:i/>
          <w:sz w:val="22"/>
          <w:lang w:val="es-ES"/>
        </w:rPr>
        <w:t>.</w:t>
      </w:r>
      <w:r>
        <w:rPr>
          <w:rFonts w:ascii="Arial" w:eastAsia="Arial" w:hAnsi="Arial" w:cs="Arial"/>
          <w:color w:val="000000"/>
          <w:sz w:val="22"/>
          <w:lang w:val="es-ES" w:eastAsia="es-ES" w:bidi="es-ES"/>
        </w:rPr>
        <w:t xml:space="preserve">  </w:t>
      </w:r>
    </w:p>
    <w:p w14:paraId="7A14C591" w14:textId="77777777" w:rsidR="004D60AC" w:rsidRPr="004D60AC" w:rsidRDefault="004D60AC" w:rsidP="005076E2">
      <w:pPr>
        <w:tabs>
          <w:tab w:val="left" w:pos="709"/>
        </w:tabs>
        <w:ind w:left="709" w:right="616"/>
        <w:jc w:val="both"/>
        <w:rPr>
          <w:rFonts w:ascii="Arial" w:hAnsi="Arial" w:cs="Arial"/>
          <w:color w:val="000000"/>
          <w:sz w:val="21"/>
          <w:szCs w:val="21"/>
        </w:rPr>
      </w:pPr>
    </w:p>
    <w:p w14:paraId="3250E5A2" w14:textId="7CB0796D"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«Teniendo en cuenta que el RUP tiene como finalidad el registro, para efectos de publicidad, de la experiencia, capacidad jurídica e indicadores financieros y organizacionales de los proponentes, cual es la finalidad de establecer una limitante, que no está en la ley, mediante la cual se proscribe la posibilidad de que los proponentes que se inscriben por primera vez en el RUP, pueden participar en procesos de selección, cuando el mencionado documento no se encuentra en firme al cierre del proceso de selección?». </w:t>
      </w:r>
    </w:p>
    <w:p w14:paraId="7876D3A6" w14:textId="77777777" w:rsidR="004D60AC" w:rsidRDefault="004D60AC" w:rsidP="005076E2">
      <w:pPr>
        <w:tabs>
          <w:tab w:val="left" w:pos="709"/>
        </w:tabs>
        <w:ind w:right="616"/>
        <w:jc w:val="both"/>
        <w:rPr>
          <w:rFonts w:ascii="Arial" w:eastAsia="Arial" w:hAnsi="Arial" w:cs="Arial"/>
          <w:color w:val="000000"/>
          <w:sz w:val="22"/>
          <w:lang w:val="es-ES" w:eastAsia="es-ES" w:bidi="es-ES"/>
        </w:rPr>
      </w:pPr>
    </w:p>
    <w:p w14:paraId="16CEDB41" w14:textId="4D687FFD" w:rsidR="00821651" w:rsidRPr="004D60AC" w:rsidRDefault="00376D1C" w:rsidP="005076E2">
      <w:pPr>
        <w:tabs>
          <w:tab w:val="left" w:pos="709"/>
        </w:tabs>
        <w:spacing w:line="276" w:lineRule="auto"/>
        <w:ind w:right="4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De acuerdo con</w:t>
      </w:r>
      <w:r w:rsidR="00821651">
        <w:rPr>
          <w:rFonts w:ascii="Arial" w:eastAsia="Arial" w:hAnsi="Arial" w:cs="Arial"/>
          <w:color w:val="000000"/>
          <w:sz w:val="22"/>
          <w:lang w:val="es-ES" w:eastAsia="es-ES" w:bidi="es-ES"/>
        </w:rPr>
        <w:t xml:space="preserve"> las consideraciones que anteceden, debe advertirse que la inscripción en el RUP, para los casos en que es obligatorio, no s</w:t>
      </w:r>
      <w:r w:rsidR="003405AD">
        <w:rPr>
          <w:rFonts w:ascii="Arial" w:eastAsia="Arial" w:hAnsi="Arial" w:cs="Arial"/>
          <w:color w:val="000000"/>
          <w:sz w:val="22"/>
          <w:lang w:val="es-ES" w:eastAsia="es-ES" w:bidi="es-ES"/>
        </w:rPr>
        <w:t>o</w:t>
      </w:r>
      <w:r w:rsidR="00821651">
        <w:rPr>
          <w:rFonts w:ascii="Arial" w:eastAsia="Arial" w:hAnsi="Arial" w:cs="Arial"/>
          <w:color w:val="000000"/>
          <w:sz w:val="22"/>
          <w:lang w:val="es-ES" w:eastAsia="es-ES" w:bidi="es-ES"/>
        </w:rPr>
        <w:t xml:space="preserve">lo tiene efectos de publicidad, sino que constituye un requisito que habilita la capacidad legal de las personas para poder </w:t>
      </w:r>
      <w:r w:rsidR="003405AD">
        <w:rPr>
          <w:rFonts w:ascii="Arial" w:eastAsia="Arial" w:hAnsi="Arial" w:cs="Arial"/>
          <w:color w:val="000000"/>
          <w:sz w:val="22"/>
          <w:lang w:val="es-ES" w:eastAsia="es-ES" w:bidi="es-ES"/>
        </w:rPr>
        <w:t xml:space="preserve">participar en los procedimientos de selección y </w:t>
      </w:r>
      <w:r w:rsidR="00821651">
        <w:rPr>
          <w:rFonts w:ascii="Arial" w:eastAsia="Arial" w:hAnsi="Arial" w:cs="Arial"/>
          <w:color w:val="000000"/>
          <w:sz w:val="22"/>
          <w:lang w:val="es-ES" w:eastAsia="es-ES" w:bidi="es-ES"/>
        </w:rPr>
        <w:t>celebrar contratos con el Estado</w:t>
      </w:r>
      <w:r w:rsidR="00863FD3">
        <w:rPr>
          <w:rFonts w:ascii="Arial" w:eastAsia="Arial" w:hAnsi="Arial" w:cs="Arial"/>
          <w:color w:val="000000"/>
          <w:sz w:val="22"/>
          <w:lang w:val="es-ES" w:eastAsia="es-ES" w:bidi="es-ES"/>
        </w:rPr>
        <w:t>, según el artículo 6 de la Ley 1150 de 2007</w:t>
      </w:r>
      <w:r w:rsidR="00A360DF">
        <w:rPr>
          <w:rStyle w:val="Refdenotaalpie"/>
          <w:rFonts w:ascii="Arial" w:eastAsia="Arial" w:hAnsi="Arial" w:cs="Arial"/>
          <w:color w:val="000000"/>
          <w:sz w:val="22"/>
          <w:lang w:val="es-ES" w:eastAsia="es-ES" w:bidi="es-ES"/>
        </w:rPr>
        <w:footnoteReference w:id="15"/>
      </w:r>
      <w:r w:rsidR="00821651">
        <w:rPr>
          <w:rFonts w:ascii="Arial" w:eastAsia="Arial" w:hAnsi="Arial" w:cs="Arial"/>
          <w:color w:val="000000"/>
          <w:sz w:val="22"/>
          <w:lang w:val="es-ES" w:eastAsia="es-ES" w:bidi="es-ES"/>
        </w:rPr>
        <w:t xml:space="preserve">. En consecuencia, toda persona obligada a estar inscrita en el RUP para poder celebrar un contrato </w:t>
      </w:r>
      <w:r w:rsidR="00863FD3">
        <w:rPr>
          <w:rFonts w:ascii="Arial" w:eastAsia="Arial" w:hAnsi="Arial" w:cs="Arial"/>
          <w:color w:val="000000"/>
          <w:sz w:val="22"/>
          <w:lang w:val="es-ES" w:eastAsia="es-ES" w:bidi="es-ES"/>
        </w:rPr>
        <w:t>estatal</w:t>
      </w:r>
      <w:r w:rsidR="00B860C6">
        <w:rPr>
          <w:rFonts w:ascii="Arial" w:eastAsia="Arial" w:hAnsi="Arial" w:cs="Arial"/>
          <w:color w:val="000000"/>
          <w:sz w:val="22"/>
          <w:lang w:val="es-ES" w:eastAsia="es-ES" w:bidi="es-ES"/>
        </w:rPr>
        <w:t>,</w:t>
      </w:r>
      <w:r w:rsidR="003405AD">
        <w:rPr>
          <w:rFonts w:ascii="Arial" w:eastAsia="Arial" w:hAnsi="Arial" w:cs="Arial"/>
          <w:color w:val="000000"/>
          <w:sz w:val="22"/>
          <w:lang w:val="es-ES" w:eastAsia="es-ES" w:bidi="es-ES"/>
        </w:rPr>
        <w:t xml:space="preserve"> donde resulte exigible este </w:t>
      </w:r>
      <w:r w:rsidR="00C31E1A">
        <w:rPr>
          <w:rFonts w:ascii="Arial" w:eastAsia="Arial" w:hAnsi="Arial" w:cs="Arial"/>
          <w:color w:val="000000"/>
          <w:sz w:val="22"/>
          <w:lang w:val="es-ES" w:eastAsia="es-ES" w:bidi="es-ES"/>
        </w:rPr>
        <w:t>requisito</w:t>
      </w:r>
      <w:r w:rsidR="00B860C6">
        <w:rPr>
          <w:rFonts w:ascii="Arial" w:eastAsia="Arial" w:hAnsi="Arial" w:cs="Arial"/>
          <w:color w:val="000000"/>
          <w:sz w:val="22"/>
          <w:lang w:val="es-ES" w:eastAsia="es-ES" w:bidi="es-ES"/>
        </w:rPr>
        <w:t>,</w:t>
      </w:r>
      <w:r w:rsidR="00821651">
        <w:rPr>
          <w:rFonts w:ascii="Arial" w:eastAsia="Arial" w:hAnsi="Arial" w:cs="Arial"/>
          <w:color w:val="000000"/>
          <w:sz w:val="22"/>
          <w:lang w:val="es-ES" w:eastAsia="es-ES" w:bidi="es-ES"/>
        </w:rPr>
        <w:t xml:space="preserve"> debe tener </w:t>
      </w:r>
      <w:r w:rsidR="00C31E1A">
        <w:rPr>
          <w:rFonts w:ascii="Arial" w:eastAsia="Arial" w:hAnsi="Arial" w:cs="Arial"/>
          <w:color w:val="000000"/>
          <w:sz w:val="22"/>
          <w:lang w:val="es-ES" w:eastAsia="es-ES" w:bidi="es-ES"/>
        </w:rPr>
        <w:t xml:space="preserve">vigente y </w:t>
      </w:r>
      <w:r w:rsidR="00821651">
        <w:rPr>
          <w:rFonts w:ascii="Arial" w:eastAsia="Arial" w:hAnsi="Arial" w:cs="Arial"/>
          <w:color w:val="000000"/>
          <w:sz w:val="22"/>
          <w:lang w:val="es-ES" w:eastAsia="es-ES" w:bidi="es-ES"/>
        </w:rPr>
        <w:t>en firme la inscripción</w:t>
      </w:r>
      <w:r w:rsidR="003405AD">
        <w:rPr>
          <w:rFonts w:ascii="Arial" w:eastAsia="Arial" w:hAnsi="Arial" w:cs="Arial"/>
          <w:color w:val="000000"/>
          <w:sz w:val="22"/>
          <w:lang w:val="es-ES" w:eastAsia="es-ES" w:bidi="es-ES"/>
        </w:rPr>
        <w:t xml:space="preserve"> antes del cierre del proceso</w:t>
      </w:r>
      <w:r w:rsidR="00C31E1A">
        <w:rPr>
          <w:rFonts w:ascii="Arial" w:eastAsia="Arial" w:hAnsi="Arial" w:cs="Arial"/>
          <w:color w:val="000000"/>
          <w:sz w:val="22"/>
          <w:lang w:val="es-ES" w:eastAsia="es-ES" w:bidi="es-ES"/>
        </w:rPr>
        <w:t>, toda vez que la firmeza consolida los efectos jurídicos del acto. En este sentido,</w:t>
      </w:r>
      <w:r w:rsidR="003405AD">
        <w:rPr>
          <w:rFonts w:ascii="Arial" w:eastAsia="Arial" w:hAnsi="Arial" w:cs="Arial"/>
          <w:color w:val="000000"/>
          <w:sz w:val="22"/>
          <w:lang w:val="es-ES" w:eastAsia="es-ES" w:bidi="es-ES"/>
        </w:rPr>
        <w:t xml:space="preserve"> </w:t>
      </w:r>
      <w:r w:rsidR="00C31E1A">
        <w:rPr>
          <w:rFonts w:ascii="Arial" w:eastAsia="Arial" w:hAnsi="Arial" w:cs="Arial"/>
          <w:color w:val="000000"/>
          <w:sz w:val="22"/>
          <w:lang w:val="es-ES" w:eastAsia="es-ES" w:bidi="es-ES"/>
        </w:rPr>
        <w:t>s</w:t>
      </w:r>
      <w:r w:rsidR="00863FD3">
        <w:rPr>
          <w:rFonts w:ascii="Arial" w:eastAsia="Arial" w:hAnsi="Arial" w:cs="Arial"/>
          <w:color w:val="000000"/>
          <w:sz w:val="22"/>
          <w:lang w:val="es-ES" w:eastAsia="es-ES" w:bidi="es-ES"/>
        </w:rPr>
        <w:t xml:space="preserve">i el acto administrativo de inscripción en el RUP no está en firme antes del cierre del proceso de selección, la persona participante estaría afectada por un vicio que afecta su capacidad legal para contratar con </w:t>
      </w:r>
      <w:r w:rsidR="00863FD3">
        <w:rPr>
          <w:rFonts w:ascii="Arial" w:eastAsia="Arial" w:hAnsi="Arial" w:cs="Arial"/>
          <w:color w:val="000000"/>
          <w:sz w:val="22"/>
          <w:lang w:val="es-ES" w:eastAsia="es-ES" w:bidi="es-ES"/>
        </w:rPr>
        <w:lastRenderedPageBreak/>
        <w:t>el Estado</w:t>
      </w:r>
      <w:r w:rsidR="00C31E1A">
        <w:rPr>
          <w:rFonts w:ascii="Arial" w:eastAsia="Arial" w:hAnsi="Arial" w:cs="Arial"/>
          <w:color w:val="000000"/>
          <w:sz w:val="22"/>
          <w:lang w:val="es-ES" w:eastAsia="es-ES" w:bidi="es-ES"/>
        </w:rPr>
        <w:t>, ante el incumplimiento de este requisito de orden legal</w:t>
      </w:r>
      <w:r w:rsidR="00863FD3">
        <w:rPr>
          <w:rFonts w:ascii="Arial" w:eastAsia="Arial" w:hAnsi="Arial" w:cs="Arial"/>
          <w:color w:val="000000"/>
          <w:sz w:val="22"/>
          <w:lang w:val="es-ES" w:eastAsia="es-ES" w:bidi="es-ES"/>
        </w:rPr>
        <w:t xml:space="preserve"> y, en consecuencia, </w:t>
      </w:r>
      <w:r w:rsidR="00C31E1A">
        <w:rPr>
          <w:rFonts w:ascii="Arial" w:eastAsia="Arial" w:hAnsi="Arial" w:cs="Arial"/>
          <w:color w:val="000000"/>
          <w:sz w:val="22"/>
          <w:lang w:val="es-ES" w:eastAsia="es-ES" w:bidi="es-ES"/>
        </w:rPr>
        <w:t>no se puede tener como habilitado por afectarse su capacidad jurídica.</w:t>
      </w:r>
      <w:r w:rsidR="00863FD3">
        <w:rPr>
          <w:rFonts w:ascii="Arial" w:eastAsia="Arial" w:hAnsi="Arial" w:cs="Arial"/>
          <w:color w:val="000000"/>
          <w:sz w:val="22"/>
          <w:lang w:val="es-ES" w:eastAsia="es-ES" w:bidi="es-ES"/>
        </w:rPr>
        <w:t xml:space="preserve">  </w:t>
      </w:r>
      <w:r w:rsidR="00821651">
        <w:rPr>
          <w:rFonts w:ascii="Arial" w:eastAsia="Arial" w:hAnsi="Arial" w:cs="Arial"/>
          <w:color w:val="000000"/>
          <w:sz w:val="22"/>
          <w:lang w:val="es-ES" w:eastAsia="es-ES" w:bidi="es-ES"/>
        </w:rPr>
        <w:t xml:space="preserve"> </w:t>
      </w:r>
    </w:p>
    <w:p w14:paraId="192F37D9" w14:textId="77777777" w:rsidR="004D60AC" w:rsidRPr="00821651" w:rsidRDefault="004D60AC" w:rsidP="005076E2">
      <w:pPr>
        <w:tabs>
          <w:tab w:val="left" w:pos="709"/>
        </w:tabs>
        <w:ind w:left="709" w:right="616"/>
        <w:jc w:val="both"/>
        <w:rPr>
          <w:rFonts w:ascii="Arial" w:hAnsi="Arial" w:cs="Arial"/>
          <w:color w:val="000000"/>
          <w:sz w:val="21"/>
          <w:szCs w:val="21"/>
          <w:lang w:val="es-ES"/>
        </w:rPr>
      </w:pPr>
    </w:p>
    <w:p w14:paraId="64864AB8" w14:textId="6ECD787E"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«Teniendo en cuenta lo dispuesto en las reglas de subsanabilidad por la normatividad vigente y lo sostenido por esta misma corporación a través de sus conceptos, con fundamento en que normatividad se debe exigir que el RUP esté en firme al momento del cierre del proceso, ¿No se estaría eliminando la posibilidad de que éste adquiera firmeza hasta antes de que termine el traslado del informe de requisitos habilitantes?». </w:t>
      </w:r>
    </w:p>
    <w:p w14:paraId="48BB7F71" w14:textId="77777777" w:rsidR="005076E2" w:rsidRDefault="005076E2" w:rsidP="005076E2">
      <w:pPr>
        <w:tabs>
          <w:tab w:val="left" w:pos="709"/>
        </w:tabs>
        <w:spacing w:line="276" w:lineRule="auto"/>
        <w:ind w:right="49"/>
        <w:jc w:val="both"/>
        <w:rPr>
          <w:rFonts w:ascii="Arial" w:eastAsia="Arial" w:hAnsi="Arial" w:cs="Arial"/>
          <w:color w:val="000000"/>
          <w:sz w:val="22"/>
          <w:lang w:val="es-ES" w:eastAsia="es-ES" w:bidi="es-ES"/>
        </w:rPr>
      </w:pPr>
    </w:p>
    <w:p w14:paraId="5BFB0EF2" w14:textId="39889B53" w:rsidR="004D60AC" w:rsidRPr="004D60AC" w:rsidRDefault="002A4067" w:rsidP="005076E2">
      <w:pPr>
        <w:tabs>
          <w:tab w:val="left" w:pos="709"/>
        </w:tabs>
        <w:spacing w:line="276" w:lineRule="auto"/>
        <w:ind w:right="4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De conformidad con</w:t>
      </w:r>
      <w:r w:rsidR="00863FD3">
        <w:rPr>
          <w:rFonts w:ascii="Arial" w:eastAsia="Arial" w:hAnsi="Arial" w:cs="Arial"/>
          <w:color w:val="000000"/>
          <w:sz w:val="22"/>
          <w:lang w:val="es-ES" w:eastAsia="es-ES" w:bidi="es-ES"/>
        </w:rPr>
        <w:t xml:space="preserve"> lo explicado en las </w:t>
      </w:r>
      <w:r w:rsidR="003714F1">
        <w:rPr>
          <w:rFonts w:ascii="Arial" w:eastAsia="Arial" w:hAnsi="Arial" w:cs="Arial"/>
          <w:color w:val="000000"/>
          <w:sz w:val="22"/>
          <w:lang w:val="es-ES" w:eastAsia="es-ES" w:bidi="es-ES"/>
        </w:rPr>
        <w:t>consideraciones</w:t>
      </w:r>
      <w:r w:rsidR="00863FD3">
        <w:rPr>
          <w:rFonts w:ascii="Arial" w:eastAsia="Arial" w:hAnsi="Arial" w:cs="Arial"/>
          <w:color w:val="000000"/>
          <w:sz w:val="22"/>
          <w:lang w:val="es-ES" w:eastAsia="es-ES" w:bidi="es-ES"/>
        </w:rPr>
        <w:t xml:space="preserve"> anteriores, los fundamentos normativos para exigir la firmeza del RUP al cierre del proceso son: el artículo 6 de la Ley 1150 de 2007, el artículo 5 de la Ley 1882 de 2018, el artículo 87 de la Ley 1</w:t>
      </w:r>
      <w:r w:rsidR="003714F1">
        <w:rPr>
          <w:rFonts w:ascii="Arial" w:eastAsia="Arial" w:hAnsi="Arial" w:cs="Arial"/>
          <w:color w:val="000000"/>
          <w:sz w:val="22"/>
          <w:lang w:val="es-ES" w:eastAsia="es-ES" w:bidi="es-ES"/>
        </w:rPr>
        <w:t>437 de 2011 y los artículos pertinentes que reglamentan la inscripción, renovación y actualización del RUP del Decreto 1082 de 2015.</w:t>
      </w:r>
      <w:r w:rsidR="00863FD3">
        <w:rPr>
          <w:rFonts w:ascii="Arial" w:eastAsia="Arial" w:hAnsi="Arial" w:cs="Arial"/>
          <w:color w:val="000000"/>
          <w:sz w:val="22"/>
          <w:lang w:val="es-ES" w:eastAsia="es-ES" w:bidi="es-ES"/>
        </w:rPr>
        <w:t xml:space="preserve"> </w:t>
      </w:r>
    </w:p>
    <w:p w14:paraId="5B9473E8" w14:textId="77777777" w:rsidR="004D60AC" w:rsidRPr="004D60AC" w:rsidRDefault="004D60AC" w:rsidP="005076E2">
      <w:pPr>
        <w:tabs>
          <w:tab w:val="left" w:pos="709"/>
        </w:tabs>
        <w:ind w:left="709" w:right="616"/>
        <w:jc w:val="both"/>
        <w:rPr>
          <w:rFonts w:ascii="Arial" w:hAnsi="Arial" w:cs="Arial"/>
          <w:color w:val="000000"/>
          <w:sz w:val="21"/>
          <w:szCs w:val="21"/>
        </w:rPr>
      </w:pPr>
    </w:p>
    <w:p w14:paraId="0EED7101" w14:textId="3F4ED284"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«Existe una contradicción entre los dispuesto en los literales f y g del numeral 1.15, denominado las causales de rechazo del pliego de condiciones tipo de Colombia compra eficiente, para el sector de Agua Potable y Saneamiento Básico; y lo señalado en el numeral 5 de la ley 1882, teniendo en cuenta que esta norm</w:t>
      </w:r>
      <w:r w:rsidR="003714F1">
        <w:rPr>
          <w:rFonts w:ascii="Arial" w:hAnsi="Arial" w:cs="Arial"/>
          <w:color w:val="000000"/>
          <w:sz w:val="21"/>
          <w:szCs w:val="21"/>
        </w:rPr>
        <w:t>a</w:t>
      </w:r>
      <w:r w:rsidRPr="004D60AC">
        <w:rPr>
          <w:rFonts w:ascii="Arial" w:hAnsi="Arial" w:cs="Arial"/>
          <w:color w:val="000000"/>
          <w:sz w:val="21"/>
          <w:szCs w:val="21"/>
        </w:rPr>
        <w:t xml:space="preserve"> permite que se subsanen aquellos aspectos subsanables hasta el término del traslado del informe de requisitos habilitantes». </w:t>
      </w:r>
    </w:p>
    <w:p w14:paraId="6BEB94D1" w14:textId="77777777" w:rsidR="004D60AC" w:rsidRDefault="004D60AC" w:rsidP="005076E2">
      <w:pPr>
        <w:pStyle w:val="Prrafodelista"/>
        <w:tabs>
          <w:tab w:val="left" w:pos="709"/>
        </w:tabs>
        <w:ind w:left="709" w:right="616"/>
        <w:contextualSpacing w:val="0"/>
        <w:jc w:val="both"/>
        <w:rPr>
          <w:rFonts w:ascii="Arial" w:hAnsi="Arial" w:cs="Arial"/>
          <w:color w:val="000000"/>
          <w:sz w:val="21"/>
          <w:szCs w:val="21"/>
        </w:rPr>
      </w:pPr>
    </w:p>
    <w:p w14:paraId="349295D3" w14:textId="366EC1FD" w:rsidR="003714F1" w:rsidRPr="000078FE" w:rsidRDefault="003714F1" w:rsidP="005076E2">
      <w:pPr>
        <w:tabs>
          <w:tab w:val="left" w:pos="709"/>
        </w:tabs>
        <w:spacing w:line="276" w:lineRule="auto"/>
        <w:ind w:right="49"/>
        <w:jc w:val="both"/>
        <w:rPr>
          <w:rFonts w:ascii="Arial" w:eastAsia="Arial" w:hAnsi="Arial" w:cs="Arial"/>
          <w:iCs/>
          <w:color w:val="000000"/>
          <w:sz w:val="22"/>
          <w:lang w:val="es-ES" w:eastAsia="es-ES" w:bidi="es-ES"/>
        </w:rPr>
      </w:pPr>
      <w:r>
        <w:rPr>
          <w:rFonts w:ascii="Arial" w:eastAsia="Arial" w:hAnsi="Arial" w:cs="Arial"/>
          <w:color w:val="000000"/>
          <w:sz w:val="22"/>
          <w:lang w:val="es-ES" w:eastAsia="es-ES" w:bidi="es-ES"/>
        </w:rPr>
        <w:t xml:space="preserve">Según las consideraciones que anteceden, no existe contradicción entre la regla de subsanabilidad de las ofertas dispuesta en la Ley 1882 de 2018 y las causales de rechazo F. y G. del numeral 1.15 del documento base de los pliegos tipo para la licitación de obra de infraestructura de agua potable y saneamiento básico, relacionadas con la inscripción y firmeza del RUP para participar en el proceso de selección,  toda vez que, su aplicación e interpretación siguen la regla legal según la cual, </w:t>
      </w:r>
      <w:r w:rsidRPr="00BE7D31">
        <w:rPr>
          <w:rFonts w:ascii="Arial" w:eastAsia="Arial" w:hAnsi="Arial" w:cs="Arial"/>
          <w:i/>
          <w:sz w:val="22"/>
          <w:lang w:val="es-ES"/>
        </w:rPr>
        <w:t>«los proponentes no podrán acreditar circunstancias ocurridas con posterioridad al cierre del proceso»</w:t>
      </w:r>
      <w:r>
        <w:rPr>
          <w:rFonts w:ascii="Arial" w:eastAsia="Arial" w:hAnsi="Arial" w:cs="Arial"/>
          <w:i/>
          <w:sz w:val="22"/>
          <w:lang w:val="es-ES"/>
        </w:rPr>
        <w:t>.</w:t>
      </w:r>
      <w:r w:rsidR="00B860C6">
        <w:rPr>
          <w:rFonts w:ascii="Arial" w:eastAsia="Arial" w:hAnsi="Arial" w:cs="Arial"/>
          <w:i/>
          <w:sz w:val="22"/>
          <w:lang w:val="es-ES"/>
        </w:rPr>
        <w:t xml:space="preserve"> </w:t>
      </w:r>
      <w:r w:rsidR="00B860C6">
        <w:rPr>
          <w:rFonts w:ascii="Arial" w:eastAsia="Arial" w:hAnsi="Arial" w:cs="Arial"/>
          <w:iCs/>
          <w:sz w:val="22"/>
          <w:lang w:val="es-ES"/>
        </w:rPr>
        <w:t>En todo caso, se remite al peticionario las consideraciones donde se analizó el alcance y aplicación de estas casuales de rechazo.</w:t>
      </w:r>
    </w:p>
    <w:p w14:paraId="4CEC55F4" w14:textId="77777777" w:rsidR="004D60AC" w:rsidRPr="003714F1" w:rsidRDefault="004D60AC" w:rsidP="005076E2">
      <w:pPr>
        <w:tabs>
          <w:tab w:val="left" w:pos="709"/>
        </w:tabs>
        <w:ind w:right="616"/>
        <w:jc w:val="both"/>
        <w:rPr>
          <w:rFonts w:ascii="Arial" w:hAnsi="Arial" w:cs="Arial"/>
          <w:color w:val="000000"/>
          <w:sz w:val="21"/>
          <w:szCs w:val="21"/>
          <w:lang w:val="es-ES"/>
        </w:rPr>
      </w:pPr>
    </w:p>
    <w:p w14:paraId="4614E604" w14:textId="63BBF791"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«Teniendo en cuenta que, la fecha señalada por la Ley respecto de la renovación del RUP, se debe realizar hasta el quinto día hábil del mes de abril del año correspondiente, en el caso, en que los proponentes realicen la diligencia hasta ese último día y el cierre del proceso de selección sea días posteriores, no sería perjudicial, solicitar que el RUP se encuentre en firme durante el término del traslado, ¿teniendo en cuenta que en dicha situación la firmeza nunca se alcanzaría?». </w:t>
      </w:r>
    </w:p>
    <w:p w14:paraId="3D15708F" w14:textId="1D357BCE" w:rsidR="004D60AC" w:rsidRDefault="004D60AC" w:rsidP="005076E2">
      <w:pPr>
        <w:tabs>
          <w:tab w:val="left" w:pos="709"/>
        </w:tabs>
        <w:ind w:right="616"/>
        <w:jc w:val="both"/>
        <w:rPr>
          <w:rFonts w:ascii="Arial" w:eastAsia="Arial" w:hAnsi="Arial" w:cs="Arial"/>
          <w:color w:val="000000"/>
          <w:sz w:val="22"/>
          <w:lang w:val="es-ES" w:eastAsia="es-ES" w:bidi="es-ES"/>
        </w:rPr>
      </w:pPr>
    </w:p>
    <w:p w14:paraId="27DB5565" w14:textId="750D4012" w:rsidR="003714F1" w:rsidRDefault="003714F1" w:rsidP="005076E2">
      <w:pPr>
        <w:tabs>
          <w:tab w:val="left" w:pos="709"/>
        </w:tabs>
        <w:spacing w:line="276" w:lineRule="auto"/>
        <w:ind w:right="191"/>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lastRenderedPageBreak/>
        <w:t xml:space="preserve">Según lo expuesto en las consideraciones anteriores, </w:t>
      </w:r>
      <w:r w:rsidR="00B8707C">
        <w:rPr>
          <w:rFonts w:ascii="Arial" w:hAnsi="Arial" w:cs="Arial"/>
          <w:color w:val="000000" w:themeColor="text1"/>
          <w:sz w:val="22"/>
          <w:lang w:val="es-CO"/>
        </w:rPr>
        <w:t>t</w:t>
      </w:r>
      <w:r w:rsidR="00B8707C" w:rsidRPr="00E87DEA">
        <w:rPr>
          <w:rFonts w:ascii="Arial" w:hAnsi="Arial" w:cs="Arial"/>
          <w:color w:val="000000" w:themeColor="text1"/>
          <w:sz w:val="22"/>
          <w:lang w:val="es-CO"/>
        </w:rPr>
        <w:t>ratándose del</w:t>
      </w:r>
      <w:r w:rsidR="00B8707C" w:rsidRPr="00265C4F">
        <w:rPr>
          <w:rFonts w:ascii="Arial" w:hAnsi="Arial" w:cs="Arial"/>
          <w:color w:val="000000" w:themeColor="text1"/>
          <w:sz w:val="22"/>
          <w:lang w:val="es-CO"/>
        </w:rPr>
        <w:t xml:space="preserve"> trámite de </w:t>
      </w:r>
      <w:r w:rsidR="00B8707C" w:rsidRPr="00352DCA">
        <w:rPr>
          <w:rFonts w:ascii="Arial" w:hAnsi="Arial" w:cs="Arial"/>
          <w:b/>
          <w:bCs/>
          <w:i/>
          <w:iCs/>
          <w:color w:val="000000" w:themeColor="text1"/>
          <w:sz w:val="22"/>
          <w:lang w:val="es-CO"/>
        </w:rPr>
        <w:t>renovación</w:t>
      </w:r>
      <w:r w:rsidR="00B8707C" w:rsidRPr="00265C4F">
        <w:rPr>
          <w:rFonts w:ascii="Arial" w:hAnsi="Arial" w:cs="Arial"/>
          <w:i/>
          <w:iCs/>
          <w:color w:val="000000" w:themeColor="text1"/>
          <w:sz w:val="22"/>
          <w:lang w:val="es-CO"/>
        </w:rPr>
        <w:t>,</w:t>
      </w:r>
      <w:r w:rsidR="00B8707C" w:rsidRPr="00265C4F">
        <w:rPr>
          <w:rFonts w:ascii="Arial" w:hAnsi="Arial" w:cs="Arial"/>
          <w:color w:val="000000" w:themeColor="text1"/>
          <w:sz w:val="22"/>
          <w:lang w:val="es-CO"/>
        </w:rPr>
        <w:t xml:space="preserve"> se reitera lo expresado en el sentido de que </w:t>
      </w:r>
      <w:r w:rsidR="00B8707C" w:rsidRPr="00265C4F">
        <w:rPr>
          <w:rFonts w:ascii="Arial" w:eastAsia="Calibri" w:hAnsi="Arial" w:cs="Arial"/>
          <w:color w:val="000000" w:themeColor="text1"/>
          <w:sz w:val="22"/>
          <w:lang w:val="es-CO"/>
        </w:rPr>
        <w:t xml:space="preserve">la persona que </w:t>
      </w:r>
      <w:r w:rsidR="00B8707C" w:rsidRPr="00352DCA">
        <w:rPr>
          <w:rFonts w:ascii="Arial" w:eastAsia="Calibri" w:hAnsi="Arial" w:cs="Arial"/>
          <w:i/>
          <w:iCs/>
          <w:color w:val="000000" w:themeColor="text1"/>
          <w:sz w:val="22"/>
          <w:lang w:val="es-CO"/>
        </w:rPr>
        <w:t>presentó la información</w:t>
      </w:r>
      <w:r w:rsidR="00B8707C" w:rsidRPr="00265C4F">
        <w:rPr>
          <w:rFonts w:ascii="Arial" w:eastAsia="Calibri" w:hAnsi="Arial" w:cs="Arial"/>
          <w:color w:val="000000" w:themeColor="text1"/>
          <w:sz w:val="22"/>
          <w:lang w:val="es-CO"/>
        </w:rPr>
        <w:t xml:space="preserve"> para renovar su registro antes del quinto día hábil de abril de cada año, cumpliendo el requisito del artículo 2.2.1.1.1.5.1. y pese a que la renovación no esté en firme, </w:t>
      </w:r>
      <w:r w:rsidR="00B8707C">
        <w:rPr>
          <w:rFonts w:ascii="Arial" w:eastAsia="Calibri" w:hAnsi="Arial" w:cs="Arial"/>
          <w:color w:val="000000" w:themeColor="text1"/>
          <w:sz w:val="22"/>
          <w:lang w:val="es-CO"/>
        </w:rPr>
        <w:t xml:space="preserve">es decir, mientras esté en trámite el proceso de renovación, </w:t>
      </w:r>
      <w:r w:rsidR="00B8707C" w:rsidRPr="00265C4F">
        <w:rPr>
          <w:rFonts w:ascii="Arial" w:eastAsia="Calibri" w:hAnsi="Arial" w:cs="Arial"/>
          <w:color w:val="000000" w:themeColor="text1"/>
          <w:sz w:val="22"/>
          <w:lang w:val="es-CO"/>
        </w:rPr>
        <w:t>puede participar en los procedimientos de selección, debiéndose tener en cuenta la información «antigua»</w:t>
      </w:r>
      <w:r w:rsidR="00B8707C">
        <w:rPr>
          <w:rFonts w:ascii="Arial" w:eastAsia="Calibri" w:hAnsi="Arial" w:cs="Arial"/>
          <w:color w:val="000000" w:themeColor="text1"/>
          <w:sz w:val="22"/>
          <w:lang w:val="es-CO"/>
        </w:rPr>
        <w:t>.</w:t>
      </w:r>
      <w:r w:rsidR="00B8707C" w:rsidRPr="00265C4F">
        <w:rPr>
          <w:rFonts w:ascii="Arial" w:eastAsia="Calibri" w:hAnsi="Arial" w:cs="Arial"/>
          <w:color w:val="000000" w:themeColor="text1"/>
          <w:sz w:val="22"/>
          <w:lang w:val="es-CO"/>
        </w:rPr>
        <w:t xml:space="preserve"> </w:t>
      </w:r>
      <w:r w:rsidR="00B8707C">
        <w:rPr>
          <w:rFonts w:ascii="Arial" w:eastAsia="Calibri" w:hAnsi="Arial" w:cs="Arial"/>
          <w:color w:val="000000" w:themeColor="text1"/>
          <w:sz w:val="22"/>
          <w:lang w:val="es-CO"/>
        </w:rPr>
        <w:t>D</w:t>
      </w:r>
      <w:r w:rsidR="00B8707C" w:rsidRPr="00265C4F">
        <w:rPr>
          <w:rFonts w:ascii="Arial" w:eastAsia="Calibri" w:hAnsi="Arial" w:cs="Arial"/>
          <w:color w:val="000000" w:themeColor="text1"/>
          <w:sz w:val="22"/>
          <w:lang w:val="es-CO"/>
        </w:rPr>
        <w:t xml:space="preserve">e </w:t>
      </w:r>
      <w:r w:rsidR="00B8707C">
        <w:rPr>
          <w:rFonts w:ascii="Arial" w:eastAsia="Calibri" w:hAnsi="Arial" w:cs="Arial"/>
          <w:color w:val="000000" w:themeColor="text1"/>
          <w:sz w:val="22"/>
          <w:lang w:val="es-CO"/>
        </w:rPr>
        <w:t xml:space="preserve">esta </w:t>
      </w:r>
      <w:r w:rsidR="00B8707C" w:rsidRPr="00265C4F">
        <w:rPr>
          <w:rFonts w:ascii="Arial" w:eastAsia="Calibri" w:hAnsi="Arial" w:cs="Arial"/>
          <w:color w:val="000000" w:themeColor="text1"/>
          <w:sz w:val="22"/>
          <w:lang w:val="es-CO"/>
        </w:rPr>
        <w:t>manera</w:t>
      </w:r>
      <w:r w:rsidR="00B8707C">
        <w:rPr>
          <w:rFonts w:ascii="Arial" w:eastAsia="Calibri" w:hAnsi="Arial" w:cs="Arial"/>
          <w:color w:val="000000" w:themeColor="text1"/>
          <w:sz w:val="22"/>
          <w:lang w:val="es-CO"/>
        </w:rPr>
        <w:t xml:space="preserve">, </w:t>
      </w:r>
      <w:r w:rsidR="00B8707C" w:rsidRPr="00265C4F">
        <w:rPr>
          <w:rFonts w:ascii="Arial" w:eastAsia="Calibri" w:hAnsi="Arial" w:cs="Arial"/>
          <w:color w:val="000000" w:themeColor="text1"/>
          <w:sz w:val="22"/>
          <w:lang w:val="es-CO"/>
        </w:rPr>
        <w:t>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sidR="00B8707C">
        <w:rPr>
          <w:rFonts w:ascii="Arial" w:eastAsia="Calibri" w:hAnsi="Arial" w:cs="Arial"/>
          <w:color w:val="000000" w:themeColor="text1"/>
          <w:sz w:val="22"/>
          <w:lang w:val="es-CO"/>
        </w:rPr>
        <w:t xml:space="preserve">. En efecto, </w:t>
      </w:r>
      <w:r w:rsidR="00B8707C" w:rsidRPr="00265C4F">
        <w:rPr>
          <w:rFonts w:ascii="Arial" w:eastAsia="Calibri" w:hAnsi="Arial" w:cs="Arial"/>
          <w:color w:val="000000" w:themeColor="text1"/>
          <w:sz w:val="22"/>
          <w:lang w:val="es-CO"/>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60DE5AD" w14:textId="77777777" w:rsidR="004D60AC" w:rsidRPr="004D60AC" w:rsidRDefault="004D60AC" w:rsidP="005076E2">
      <w:pPr>
        <w:tabs>
          <w:tab w:val="left" w:pos="709"/>
        </w:tabs>
        <w:ind w:right="616"/>
        <w:jc w:val="both"/>
        <w:rPr>
          <w:rFonts w:ascii="Arial" w:eastAsia="Arial" w:hAnsi="Arial" w:cs="Arial"/>
          <w:color w:val="000000"/>
          <w:sz w:val="22"/>
          <w:lang w:val="es-ES" w:eastAsia="es-ES" w:bidi="es-ES"/>
        </w:rPr>
      </w:pPr>
    </w:p>
    <w:p w14:paraId="2AC8F934" w14:textId="108F41C9"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«En la situación anterior, no serían excluyentes entre sí, solicitar las siguientes dos situaciones: 1. Que la Renovación del RUP se realice dentro del término establecido por la ley y 2. Que este RUP adquiera firmeza dentro del Término del traslado del informe». </w:t>
      </w:r>
    </w:p>
    <w:p w14:paraId="613CD954" w14:textId="540802B8" w:rsidR="004D60AC" w:rsidRDefault="004D60AC" w:rsidP="005076E2">
      <w:pPr>
        <w:tabs>
          <w:tab w:val="left" w:pos="709"/>
        </w:tabs>
        <w:ind w:right="616"/>
        <w:jc w:val="both"/>
        <w:rPr>
          <w:rFonts w:ascii="Arial" w:eastAsia="Arial" w:hAnsi="Arial" w:cs="Arial"/>
          <w:color w:val="000000"/>
          <w:sz w:val="22"/>
          <w:lang w:val="es-ES" w:eastAsia="es-ES" w:bidi="es-ES"/>
        </w:rPr>
      </w:pPr>
    </w:p>
    <w:p w14:paraId="525D3777" w14:textId="34BF2B76" w:rsidR="00B72AA2" w:rsidRPr="004D60AC" w:rsidRDefault="00B72AA2" w:rsidP="000078FE">
      <w:pPr>
        <w:tabs>
          <w:tab w:val="left" w:pos="709"/>
        </w:tabs>
        <w:spacing w:after="120" w:line="276" w:lineRule="auto"/>
        <w:ind w:right="4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t>Se reitera</w:t>
      </w:r>
      <w:r w:rsidR="000078FE">
        <w:rPr>
          <w:rFonts w:ascii="Arial" w:eastAsia="Arial" w:hAnsi="Arial" w:cs="Arial"/>
          <w:color w:val="000000"/>
          <w:sz w:val="22"/>
          <w:lang w:val="es-ES" w:eastAsia="es-ES" w:bidi="es-ES"/>
        </w:rPr>
        <w:t xml:space="preserve"> que</w:t>
      </w:r>
      <w:r>
        <w:rPr>
          <w:rFonts w:ascii="Arial" w:eastAsia="Arial" w:hAnsi="Arial" w:cs="Arial"/>
          <w:color w:val="000000"/>
          <w:sz w:val="22"/>
          <w:lang w:val="es-ES" w:eastAsia="es-ES" w:bidi="es-ES"/>
        </w:rPr>
        <w:t xml:space="preserve"> cuando </w:t>
      </w:r>
      <w:r w:rsidRPr="00265C4F">
        <w:rPr>
          <w:rFonts w:ascii="Arial" w:eastAsia="Calibri" w:hAnsi="Arial" w:cs="Arial"/>
          <w:color w:val="000000" w:themeColor="text1"/>
          <w:sz w:val="22"/>
          <w:lang w:val="es-CO"/>
        </w:rPr>
        <w:t xml:space="preserve">la renovación no esté en firme, </w:t>
      </w:r>
      <w:r>
        <w:rPr>
          <w:rFonts w:ascii="Arial" w:eastAsia="Calibri" w:hAnsi="Arial" w:cs="Arial"/>
          <w:color w:val="000000" w:themeColor="text1"/>
          <w:sz w:val="22"/>
          <w:lang w:val="es-CO"/>
        </w:rPr>
        <w:t xml:space="preserve">es decir, mientras esté en trámite el proceso de renovación, </w:t>
      </w:r>
      <w:r w:rsidR="000078FE">
        <w:rPr>
          <w:rFonts w:ascii="Arial" w:eastAsia="Calibri" w:hAnsi="Arial" w:cs="Arial"/>
          <w:color w:val="000000" w:themeColor="text1"/>
          <w:sz w:val="22"/>
          <w:lang w:val="es-CO"/>
        </w:rPr>
        <w:t xml:space="preserve">siempre que el proponente haya </w:t>
      </w:r>
      <w:r w:rsidR="000078FE" w:rsidRPr="005076E2">
        <w:rPr>
          <w:rFonts w:ascii="Arial" w:eastAsia="Calibri" w:hAnsi="Arial" w:cs="Arial"/>
          <w:color w:val="000000" w:themeColor="text1"/>
          <w:sz w:val="22"/>
          <w:lang w:val="es-CO"/>
        </w:rPr>
        <w:t>present</w:t>
      </w:r>
      <w:r w:rsidR="000078FE">
        <w:rPr>
          <w:rFonts w:ascii="Arial" w:eastAsia="Calibri" w:hAnsi="Arial" w:cs="Arial"/>
          <w:color w:val="000000" w:themeColor="text1"/>
          <w:sz w:val="22"/>
          <w:lang w:val="es-CO"/>
        </w:rPr>
        <w:t>ado</w:t>
      </w:r>
      <w:r w:rsidR="000078FE" w:rsidRPr="005076E2">
        <w:rPr>
          <w:rFonts w:ascii="Arial" w:eastAsia="Calibri" w:hAnsi="Arial" w:cs="Arial"/>
          <w:color w:val="000000" w:themeColor="text1"/>
          <w:sz w:val="22"/>
          <w:lang w:val="es-CO"/>
        </w:rPr>
        <w:t xml:space="preserve"> la información</w:t>
      </w:r>
      <w:r w:rsidR="000078FE" w:rsidRPr="000078FE">
        <w:rPr>
          <w:rFonts w:ascii="Arial" w:eastAsia="Calibri" w:hAnsi="Arial" w:cs="Arial"/>
          <w:color w:val="000000" w:themeColor="text1"/>
          <w:sz w:val="22"/>
          <w:lang w:val="es-CO"/>
        </w:rPr>
        <w:t xml:space="preserve"> </w:t>
      </w:r>
      <w:r w:rsidR="000078FE" w:rsidRPr="00265C4F">
        <w:rPr>
          <w:rFonts w:ascii="Arial" w:eastAsia="Calibri" w:hAnsi="Arial" w:cs="Arial"/>
          <w:color w:val="000000" w:themeColor="text1"/>
          <w:sz w:val="22"/>
          <w:lang w:val="es-CO"/>
        </w:rPr>
        <w:t>para renovar su registro antes del quinto día hábil de abril de cada año</w:t>
      </w:r>
      <w:r w:rsidR="000078FE">
        <w:rPr>
          <w:rFonts w:ascii="Arial" w:eastAsia="Calibri" w:hAnsi="Arial" w:cs="Arial"/>
          <w:color w:val="000000" w:themeColor="text1"/>
          <w:sz w:val="22"/>
          <w:lang w:val="es-CO"/>
        </w:rPr>
        <w:t>,</w:t>
      </w:r>
      <w:r w:rsidR="000078FE" w:rsidRPr="00265C4F">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puede participar en los procedimientos de selección, debiéndose tener en cuenta la información «antigua»</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D</w:t>
      </w:r>
      <w:r w:rsidRPr="00265C4F">
        <w:rPr>
          <w:rFonts w:ascii="Arial" w:eastAsia="Calibri" w:hAnsi="Arial" w:cs="Arial"/>
          <w:color w:val="000000" w:themeColor="text1"/>
          <w:sz w:val="22"/>
          <w:lang w:val="es-CO"/>
        </w:rPr>
        <w:t xml:space="preserve">e </w:t>
      </w:r>
      <w:r>
        <w:rPr>
          <w:rFonts w:ascii="Arial" w:eastAsia="Calibri" w:hAnsi="Arial" w:cs="Arial"/>
          <w:color w:val="000000" w:themeColor="text1"/>
          <w:sz w:val="22"/>
          <w:lang w:val="es-CO"/>
        </w:rPr>
        <w:t xml:space="preserve">esta </w:t>
      </w:r>
      <w:r w:rsidRPr="00265C4F">
        <w:rPr>
          <w:rFonts w:ascii="Arial" w:eastAsia="Calibri" w:hAnsi="Arial" w:cs="Arial"/>
          <w:color w:val="000000" w:themeColor="text1"/>
          <w:sz w:val="22"/>
          <w:lang w:val="es-CO"/>
        </w:rPr>
        <w:t>manera</w:t>
      </w:r>
      <w:r>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 xml:space="preserve">en el período comprendido entre el momento de la solicitud de renovación y el de su firmeza, se debe emplear la información del RUP que está en firme antes de iniciar el trámite de renovación, cuyos efectos no </w:t>
      </w:r>
      <w:r w:rsidR="000078FE">
        <w:rPr>
          <w:rFonts w:ascii="Arial" w:eastAsia="Calibri" w:hAnsi="Arial" w:cs="Arial"/>
          <w:color w:val="000000" w:themeColor="text1"/>
          <w:sz w:val="22"/>
          <w:lang w:val="es-CO"/>
        </w:rPr>
        <w:t>habrían</w:t>
      </w:r>
      <w:r w:rsidR="000078FE" w:rsidRPr="00265C4F">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 xml:space="preserve">cesado y se </w:t>
      </w:r>
      <w:r w:rsidR="000078FE">
        <w:rPr>
          <w:rFonts w:ascii="Arial" w:eastAsia="Calibri" w:hAnsi="Arial" w:cs="Arial"/>
          <w:color w:val="000000" w:themeColor="text1"/>
          <w:sz w:val="22"/>
          <w:lang w:val="es-CO"/>
        </w:rPr>
        <w:t>encontraría</w:t>
      </w:r>
      <w:r w:rsidR="000078FE" w:rsidRPr="00265C4F">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vigente.</w:t>
      </w:r>
    </w:p>
    <w:p w14:paraId="62DB7C15" w14:textId="77777777" w:rsidR="004D60AC" w:rsidRPr="004D60AC" w:rsidRDefault="004D60AC" w:rsidP="005076E2">
      <w:pPr>
        <w:tabs>
          <w:tab w:val="left" w:pos="709"/>
        </w:tabs>
        <w:ind w:left="709" w:right="616"/>
        <w:jc w:val="both"/>
        <w:rPr>
          <w:rFonts w:ascii="Arial" w:hAnsi="Arial" w:cs="Arial"/>
          <w:color w:val="000000"/>
          <w:sz w:val="21"/>
          <w:szCs w:val="21"/>
        </w:rPr>
      </w:pPr>
    </w:p>
    <w:p w14:paraId="7B0CF9E2" w14:textId="6A3BED49" w:rsid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 La causal de Rechazo establecida en el literal “F. Que la inscripción en el Registro Único de Proponentes (RUP) que realice el proponente por primera vez o cuando han cesado los efectos y debe volver a inscribirse, no esté en firme en la fecha prevista para el cierre del proceso de contratación” del pliego de condicione Tipo para el Sector de Agua Potable y Saneamiento Básico, no sería Contraria a la oportunidad dada por la norma, cuando establece que el RUP puede adquirir firmeza durante el traslado del informe de evaluación, incluso cuando el proponente se inscribe por primera vez». </w:t>
      </w:r>
    </w:p>
    <w:p w14:paraId="19A9183B" w14:textId="77777777" w:rsidR="004D60AC" w:rsidRDefault="004D60AC" w:rsidP="005076E2">
      <w:pPr>
        <w:tabs>
          <w:tab w:val="left" w:pos="709"/>
        </w:tabs>
        <w:ind w:right="616"/>
        <w:jc w:val="both"/>
        <w:rPr>
          <w:rFonts w:ascii="Arial" w:eastAsia="Arial" w:hAnsi="Arial" w:cs="Arial"/>
          <w:color w:val="000000"/>
          <w:sz w:val="22"/>
          <w:lang w:val="es-ES" w:eastAsia="es-ES" w:bidi="es-ES"/>
        </w:rPr>
      </w:pPr>
    </w:p>
    <w:p w14:paraId="0D4DBF20" w14:textId="14DE9663" w:rsidR="00B72AA2" w:rsidRPr="004D60AC" w:rsidRDefault="00B72AA2" w:rsidP="005076E2">
      <w:pPr>
        <w:tabs>
          <w:tab w:val="left" w:pos="709"/>
        </w:tabs>
        <w:spacing w:line="276" w:lineRule="auto"/>
        <w:ind w:right="49"/>
        <w:jc w:val="both"/>
        <w:rPr>
          <w:rFonts w:ascii="Arial" w:eastAsia="Arial" w:hAnsi="Arial" w:cs="Arial"/>
          <w:color w:val="000000"/>
          <w:sz w:val="22"/>
          <w:lang w:val="es-ES" w:eastAsia="es-ES" w:bidi="es-ES"/>
        </w:rPr>
      </w:pPr>
      <w:r>
        <w:rPr>
          <w:rFonts w:ascii="Arial" w:eastAsia="Arial" w:hAnsi="Arial" w:cs="Arial"/>
          <w:color w:val="000000"/>
          <w:sz w:val="22"/>
          <w:lang w:val="es-ES" w:eastAsia="es-ES" w:bidi="es-ES"/>
        </w:rPr>
        <w:lastRenderedPageBreak/>
        <w:t xml:space="preserve">Según las consideraciones que anteceden, no existe contradicción entre la regla de subsanabilidad de las ofertas dispuesta en la Ley 1882 de 2018 y la causal de rechazo F. del numeral 1.15 del documento base de los pliegos tipo para la licitación de obra de infraestructura de agua potable y saneamiento básico, relacionada con la inscripción y firmeza del RUP para participar en el proceso de selección,  toda vez que, su aplicación e interpretación sigue la regla legal según la cual, </w:t>
      </w:r>
      <w:r w:rsidRPr="00BE7D31">
        <w:rPr>
          <w:rFonts w:ascii="Arial" w:eastAsia="Arial" w:hAnsi="Arial" w:cs="Arial"/>
          <w:i/>
          <w:sz w:val="22"/>
          <w:lang w:val="es-ES"/>
        </w:rPr>
        <w:t>«los proponentes no podrán acreditar circunstancias ocurridas con posterioridad al cierre del proceso»</w:t>
      </w:r>
      <w:r>
        <w:rPr>
          <w:rFonts w:ascii="Arial" w:eastAsia="Arial" w:hAnsi="Arial" w:cs="Arial"/>
          <w:i/>
          <w:sz w:val="22"/>
          <w:lang w:val="es-ES"/>
        </w:rPr>
        <w:t>.</w:t>
      </w:r>
    </w:p>
    <w:p w14:paraId="180AFFAF" w14:textId="77777777" w:rsidR="004D60AC" w:rsidRPr="00B72AA2" w:rsidRDefault="004D60AC" w:rsidP="005076E2">
      <w:pPr>
        <w:tabs>
          <w:tab w:val="left" w:pos="709"/>
        </w:tabs>
        <w:ind w:left="709" w:right="616"/>
        <w:jc w:val="both"/>
        <w:rPr>
          <w:rFonts w:ascii="Arial" w:hAnsi="Arial" w:cs="Arial"/>
          <w:color w:val="000000"/>
          <w:sz w:val="21"/>
          <w:szCs w:val="21"/>
          <w:lang w:val="es-ES"/>
        </w:rPr>
      </w:pPr>
    </w:p>
    <w:p w14:paraId="3BDB4392" w14:textId="77777777" w:rsidR="004D60AC" w:rsidRPr="004D60AC" w:rsidRDefault="004D60AC" w:rsidP="005076E2">
      <w:pPr>
        <w:pStyle w:val="Prrafodelista"/>
        <w:numPr>
          <w:ilvl w:val="0"/>
          <w:numId w:val="30"/>
        </w:numPr>
        <w:tabs>
          <w:tab w:val="left" w:pos="709"/>
        </w:tabs>
        <w:ind w:left="709" w:right="616" w:firstLine="0"/>
        <w:contextualSpacing w:val="0"/>
        <w:jc w:val="both"/>
        <w:rPr>
          <w:rFonts w:ascii="Arial" w:hAnsi="Arial" w:cs="Arial"/>
          <w:color w:val="000000"/>
          <w:sz w:val="21"/>
          <w:szCs w:val="21"/>
        </w:rPr>
      </w:pPr>
      <w:r w:rsidRPr="004D60AC">
        <w:rPr>
          <w:rFonts w:ascii="Arial" w:hAnsi="Arial" w:cs="Arial"/>
          <w:color w:val="000000"/>
          <w:sz w:val="21"/>
          <w:szCs w:val="21"/>
        </w:rPr>
        <w:t xml:space="preserve">«Una entidad puede inaplicar la causal de Rechazo antes señalada, por considerarla jurídicamente contraria a la ley, siempre que la jurisprudencia ha recalcado que las causales de rechazo son taxativas, y las mismas se pueden establecer siempre que no sean contrarias a ley?». </w:t>
      </w:r>
    </w:p>
    <w:p w14:paraId="68F8E23F" w14:textId="77777777" w:rsidR="004D60AC" w:rsidRDefault="004D60AC" w:rsidP="005076E2">
      <w:pPr>
        <w:tabs>
          <w:tab w:val="left" w:pos="709"/>
        </w:tabs>
        <w:ind w:right="616"/>
        <w:jc w:val="both"/>
        <w:rPr>
          <w:rFonts w:ascii="Arial" w:eastAsia="Arial" w:hAnsi="Arial" w:cs="Arial"/>
          <w:color w:val="000000"/>
          <w:sz w:val="22"/>
          <w:lang w:val="es-ES" w:eastAsia="es-ES" w:bidi="es-ES"/>
        </w:rPr>
      </w:pPr>
    </w:p>
    <w:p w14:paraId="2B04D696" w14:textId="77777777" w:rsidR="00B72AA2" w:rsidRPr="00B72AA2" w:rsidRDefault="00B72AA2" w:rsidP="00B72AA2">
      <w:pPr>
        <w:tabs>
          <w:tab w:val="left" w:pos="709"/>
        </w:tabs>
        <w:spacing w:after="120" w:line="276" w:lineRule="auto"/>
        <w:ind w:right="49"/>
        <w:jc w:val="both"/>
        <w:rPr>
          <w:rFonts w:ascii="Arial" w:eastAsia="Arial" w:hAnsi="Arial" w:cs="Arial"/>
          <w:color w:val="000000"/>
          <w:sz w:val="22"/>
          <w:lang w:val="es-ES" w:eastAsia="es-ES" w:bidi="es-ES"/>
        </w:rPr>
      </w:pPr>
      <w:r w:rsidRPr="00B72AA2">
        <w:rPr>
          <w:rFonts w:ascii="Arial" w:eastAsia="Calibri" w:hAnsi="Arial" w:cs="Arial"/>
          <w:bCs/>
          <w:color w:val="000000" w:themeColor="text1"/>
          <w:sz w:val="22"/>
          <w:lang w:val="es-ES"/>
        </w:rPr>
        <w:t>Según las consideraciones que anteceden, no existe contradicción entre la regla de subsanabilidad de las ofertas dispuesta en la Ley 1882 de 2018 y la causal de rechazo F. del numeral 1.15 del documento base de los pliegos tipo para la licitación de obra de infraestructura de agua potable y saneamiento básico, relacionada con la inscripción y firmeza del RUP para participar en el proceso de selección,  toda vez que, su aplicación e interpretación sigue la regla legal según la cual,</w:t>
      </w:r>
      <w:r w:rsidRPr="00B72AA2">
        <w:rPr>
          <w:rFonts w:ascii="Arial" w:eastAsia="Arial" w:hAnsi="Arial" w:cs="Arial"/>
          <w:color w:val="000000"/>
          <w:sz w:val="22"/>
          <w:lang w:val="es-ES" w:eastAsia="es-ES" w:bidi="es-ES"/>
        </w:rPr>
        <w:t xml:space="preserve"> </w:t>
      </w:r>
      <w:r w:rsidRPr="00BE7D31">
        <w:rPr>
          <w:rFonts w:ascii="Arial" w:eastAsia="Arial" w:hAnsi="Arial" w:cs="Arial"/>
          <w:i/>
          <w:sz w:val="22"/>
          <w:lang w:val="es-ES"/>
        </w:rPr>
        <w:t>«los proponentes no podrán acreditar circunstancias ocurridas con posterioridad al cierre del proceso»</w:t>
      </w:r>
      <w:r w:rsidRPr="00B72AA2">
        <w:rPr>
          <w:rFonts w:ascii="Arial" w:eastAsia="Arial" w:hAnsi="Arial" w:cs="Arial"/>
          <w:i/>
          <w:sz w:val="22"/>
          <w:lang w:val="es-ES"/>
        </w:rPr>
        <w:t>.</w:t>
      </w:r>
    </w:p>
    <w:p w14:paraId="6F3F1D65" w14:textId="5844E539" w:rsidR="004D60AC" w:rsidRPr="00B72AA2" w:rsidRDefault="003405AD" w:rsidP="00B72AA2">
      <w:pPr>
        <w:tabs>
          <w:tab w:val="left" w:pos="426"/>
        </w:tabs>
        <w:spacing w:after="120" w:line="276" w:lineRule="auto"/>
        <w:ind w:right="49"/>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000078FE">
        <w:rPr>
          <w:rFonts w:ascii="Arial" w:eastAsia="Calibri" w:hAnsi="Arial" w:cs="Arial"/>
          <w:bCs/>
          <w:color w:val="000000" w:themeColor="text1"/>
          <w:sz w:val="22"/>
          <w:lang w:val="es-ES"/>
        </w:rPr>
        <w:tab/>
      </w:r>
      <w:r w:rsidR="00B72AA2" w:rsidRPr="00B72AA2">
        <w:rPr>
          <w:rFonts w:ascii="Arial" w:eastAsia="Calibri" w:hAnsi="Arial" w:cs="Arial"/>
          <w:bCs/>
          <w:color w:val="000000" w:themeColor="text1"/>
          <w:sz w:val="22"/>
          <w:lang w:val="es-ES"/>
        </w:rPr>
        <w:t>Así mismo téngase en cuenta que</w:t>
      </w:r>
      <w:r w:rsidR="00B72AA2">
        <w:rPr>
          <w:rFonts w:ascii="Arial" w:eastAsia="Calibri" w:hAnsi="Arial" w:cs="Arial"/>
          <w:bCs/>
          <w:color w:val="000000" w:themeColor="text1"/>
          <w:sz w:val="22"/>
          <w:lang w:val="es-ES"/>
        </w:rPr>
        <w:t>, por disposición de la Ley 2022 de 2020,</w:t>
      </w:r>
      <w:r w:rsidR="00B72AA2" w:rsidRPr="00B72AA2">
        <w:rPr>
          <w:rFonts w:ascii="Arial" w:eastAsia="Calibri" w:hAnsi="Arial" w:cs="Arial"/>
          <w:bCs/>
          <w:color w:val="000000" w:themeColor="text1"/>
          <w:sz w:val="22"/>
          <w:lang w:val="es-ES"/>
        </w:rPr>
        <w:t xml:space="preserve"> </w:t>
      </w:r>
      <w:r w:rsidR="00B72AA2" w:rsidRPr="00B72AA2">
        <w:rPr>
          <w:rFonts w:ascii="Arial" w:hAnsi="Arial" w:cs="Arial"/>
          <w:color w:val="000000"/>
          <w:sz w:val="22"/>
          <w:bdr w:val="none" w:sz="0" w:space="0" w:color="auto" w:frame="1"/>
        </w:rPr>
        <w:t>los documentos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p>
    <w:p w14:paraId="34234E6F" w14:textId="08567129" w:rsidR="00B3381F" w:rsidRPr="00B72AA2" w:rsidRDefault="00B3381F" w:rsidP="00BB307F">
      <w:pPr>
        <w:tabs>
          <w:tab w:val="left" w:pos="709"/>
          <w:tab w:val="left" w:pos="851"/>
        </w:tabs>
        <w:spacing w:line="276" w:lineRule="auto"/>
        <w:jc w:val="both"/>
        <w:rPr>
          <w:rFonts w:ascii="Arial" w:hAnsi="Arial" w:cs="Arial"/>
          <w:sz w:val="22"/>
        </w:rPr>
      </w:pPr>
    </w:p>
    <w:p w14:paraId="7B2C921D" w14:textId="3030BB0D" w:rsidR="00DD5B04" w:rsidRDefault="00DD5B04" w:rsidP="005B1151">
      <w:pPr>
        <w:tabs>
          <w:tab w:val="left" w:pos="426"/>
        </w:tabs>
        <w:spacing w:after="120" w:line="276" w:lineRule="auto"/>
        <w:jc w:val="both"/>
        <w:rPr>
          <w:rFonts w:ascii="Arial" w:hAnsi="Arial" w:cs="Arial"/>
          <w:color w:val="000000" w:themeColor="text1"/>
          <w:sz w:val="22"/>
          <w:lang w:val="es-ES_tradnl"/>
        </w:rPr>
      </w:pPr>
      <w:r w:rsidRPr="00781A1B">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3DA953CC" w14:textId="77777777" w:rsidR="0036498C" w:rsidRPr="00E23980" w:rsidRDefault="0036498C" w:rsidP="0036498C">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240099EB" w14:textId="3B42C950" w:rsidR="0036498C" w:rsidRDefault="00301302" w:rsidP="0036498C">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C31C474" wp14:editId="6C4A4711">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461D99EC" w14:textId="77777777" w:rsidR="0036498C" w:rsidRPr="007C0BD7" w:rsidRDefault="0036498C" w:rsidP="0036498C">
      <w:pPr>
        <w:pStyle w:val="NormalWeb"/>
        <w:spacing w:before="0" w:beforeAutospacing="0" w:after="0" w:afterAutospacing="0" w:line="276" w:lineRule="auto"/>
        <w:rPr>
          <w:rFonts w:ascii="Arial" w:hAnsi="Arial" w:cs="Arial"/>
          <w:color w:val="000000" w:themeColor="text1"/>
          <w:sz w:val="14"/>
          <w:szCs w:val="1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498C" w:rsidRPr="007C0BD7" w14:paraId="7F21A223" w14:textId="77777777" w:rsidTr="00EC569A">
        <w:trPr>
          <w:trHeight w:val="160"/>
        </w:trPr>
        <w:tc>
          <w:tcPr>
            <w:tcW w:w="812" w:type="dxa"/>
            <w:vAlign w:val="center"/>
            <w:hideMark/>
          </w:tcPr>
          <w:p w14:paraId="78A6CC7F"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2001534" w14:textId="77777777" w:rsidR="0036498C" w:rsidRPr="007C0BD7" w:rsidRDefault="0036498C" w:rsidP="00EC569A">
            <w:pPr>
              <w:jc w:val="both"/>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Felipe Bastidas Paredes</w:t>
            </w:r>
          </w:p>
          <w:p w14:paraId="483A497A"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lastRenderedPageBreak/>
              <w:t>Contratista de la Subdirección de Gestión Contractual</w:t>
            </w:r>
          </w:p>
        </w:tc>
      </w:tr>
      <w:tr w:rsidR="0036498C" w:rsidRPr="007C0BD7" w14:paraId="42701837" w14:textId="77777777" w:rsidTr="00EC569A">
        <w:trPr>
          <w:trHeight w:val="330"/>
        </w:trPr>
        <w:tc>
          <w:tcPr>
            <w:tcW w:w="812" w:type="dxa"/>
            <w:vAlign w:val="center"/>
            <w:hideMark/>
          </w:tcPr>
          <w:p w14:paraId="48560A3B"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D35A78"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Sebastián Ramírez Grisales</w:t>
            </w:r>
          </w:p>
          <w:p w14:paraId="5DAC9F82" w14:textId="419D2FD1" w:rsidR="0036498C" w:rsidRPr="0036498C" w:rsidRDefault="0036498C" w:rsidP="00EC569A">
            <w:pPr>
              <w:jc w:val="both"/>
              <w:rPr>
                <w:rFonts w:ascii="Arial" w:hAnsi="Arial" w:cs="Arial"/>
                <w:color w:val="000000" w:themeColor="text1"/>
                <w:sz w:val="14"/>
                <w:szCs w:val="14"/>
                <w:lang w:val="es-ES" w:eastAsia="es-ES"/>
              </w:rPr>
            </w:pPr>
            <w:r w:rsidRPr="007C0BD7">
              <w:rPr>
                <w:rFonts w:ascii="Arial" w:hAnsi="Arial" w:cs="Arial"/>
                <w:color w:val="000000"/>
                <w:sz w:val="14"/>
                <w:szCs w:val="14"/>
                <w:shd w:val="clear" w:color="auto" w:fill="FFFFFF"/>
              </w:rPr>
              <w:t>Gestor T1-15 de la </w:t>
            </w:r>
            <w:r w:rsidRPr="007C0BD7">
              <w:rPr>
                <w:rFonts w:ascii="Arial" w:hAnsi="Arial" w:cs="Arial"/>
                <w:color w:val="000000" w:themeColor="text1"/>
                <w:sz w:val="14"/>
                <w:szCs w:val="14"/>
                <w:lang w:val="es-ES" w:eastAsia="es-ES"/>
              </w:rPr>
              <w:t>Subdirección de Gestión Contractual</w:t>
            </w:r>
          </w:p>
        </w:tc>
      </w:tr>
      <w:tr w:rsidR="0036498C" w:rsidRPr="007C0BD7" w14:paraId="27687A51" w14:textId="77777777" w:rsidTr="00EC569A">
        <w:trPr>
          <w:trHeight w:val="300"/>
        </w:trPr>
        <w:tc>
          <w:tcPr>
            <w:tcW w:w="812" w:type="dxa"/>
            <w:vAlign w:val="center"/>
            <w:hideMark/>
          </w:tcPr>
          <w:p w14:paraId="615DD596"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D7D300"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Jorge Augusto Tirado Navarro</w:t>
            </w:r>
          </w:p>
          <w:p w14:paraId="5DC69C56" w14:textId="77777777" w:rsidR="0036498C" w:rsidRPr="007C0BD7" w:rsidRDefault="0036498C" w:rsidP="00EC569A">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 xml:space="preserve">Subdirector de Gestión Contractual </w:t>
            </w:r>
            <w:r w:rsidRPr="007C0BD7">
              <w:rPr>
                <w:rFonts w:ascii="Arial" w:hAnsi="Arial" w:cs="Arial"/>
                <w:color w:val="000000" w:themeColor="text1"/>
                <w:sz w:val="14"/>
                <w:szCs w:val="14"/>
                <w:lang w:eastAsia="es-ES"/>
              </w:rPr>
              <w:t>ANCP – CCE</w:t>
            </w:r>
          </w:p>
        </w:tc>
      </w:tr>
    </w:tbl>
    <w:p w14:paraId="6E293E8E" w14:textId="77777777" w:rsidR="0036498C" w:rsidRPr="00E23980" w:rsidRDefault="0036498C" w:rsidP="0036498C">
      <w:pPr>
        <w:jc w:val="both"/>
        <w:rPr>
          <w:rFonts w:ascii="Arial" w:hAnsi="Arial" w:cs="Arial"/>
          <w:lang w:val="es-ES_tradnl"/>
        </w:rPr>
      </w:pPr>
    </w:p>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3CF03" w14:textId="77777777" w:rsidR="004B7CDD" w:rsidRDefault="004B7CDD">
      <w:r>
        <w:separator/>
      </w:r>
    </w:p>
  </w:endnote>
  <w:endnote w:type="continuationSeparator" w:id="0">
    <w:p w14:paraId="62F5D118" w14:textId="77777777" w:rsidR="004B7CDD" w:rsidRDefault="004B7CDD">
      <w:r>
        <w:continuationSeparator/>
      </w:r>
    </w:p>
  </w:endnote>
  <w:endnote w:type="continuationNotice" w:id="1">
    <w:p w14:paraId="7FFF2F7A" w14:textId="77777777" w:rsidR="004B7CDD" w:rsidRDefault="004B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Calibri">
    <w:altName w:val="Times New Roman"/>
    <w:panose1 w:val="020B0604020202020204"/>
    <w:charset w:val="00"/>
    <w:family w:val="roman"/>
    <w:pitch w:val="default"/>
  </w:font>
  <w:font w:name="0åY¡˛">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29C2" w14:textId="77777777" w:rsidR="00BD7516" w:rsidRPr="00EC6D8D" w:rsidRDefault="00BD7516" w:rsidP="00BD7516">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color w:val="7F7F7F"/>
        <w:sz w:val="16"/>
        <w:szCs w:val="16"/>
      </w:rPr>
      <w:t>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color w:val="7F7F7F"/>
        <w:sz w:val="16"/>
        <w:szCs w:val="16"/>
      </w:rPr>
      <w:t>9</w:t>
    </w:r>
    <w:r w:rsidRPr="00EC6D8D">
      <w:rPr>
        <w:rFonts w:ascii="Arial" w:hAnsi="Arial" w:cs="Arial"/>
        <w:b/>
        <w:bCs/>
        <w:color w:val="7F7F7F"/>
        <w:sz w:val="16"/>
        <w:szCs w:val="16"/>
      </w:rPr>
      <w:fldChar w:fldCharType="end"/>
    </w:r>
  </w:p>
  <w:p w14:paraId="5090C075" w14:textId="77777777" w:rsidR="00BD7516" w:rsidRDefault="00BD7516" w:rsidP="00BD7516">
    <w:pPr>
      <w:pStyle w:val="Piedepgina"/>
      <w:jc w:val="center"/>
      <w:rPr>
        <w:lang w:val="es-ES"/>
      </w:rPr>
    </w:pPr>
    <w:r>
      <w:rPr>
        <w:noProof/>
        <w:lang w:val="es-CO" w:eastAsia="es-CO"/>
      </w:rPr>
      <w:drawing>
        <wp:inline distT="0" distB="0" distL="0" distR="0" wp14:anchorId="01526B33" wp14:editId="51E72625">
          <wp:extent cx="3700130" cy="519139"/>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C341F32" w14:textId="77777777" w:rsidR="00BD7516" w:rsidRDefault="00BD7516" w:rsidP="00BD7516">
    <w:pPr>
      <w:pStyle w:val="Piedepgina"/>
      <w:jc w:val="center"/>
      <w:rPr>
        <w:lang w:val="es-ES"/>
      </w:rPr>
    </w:pPr>
  </w:p>
  <w:p w14:paraId="569DA112" w14:textId="77777777" w:rsidR="00BD7516" w:rsidRPr="007B0854" w:rsidRDefault="00BD7516" w:rsidP="00BD7516">
    <w:pPr>
      <w:pStyle w:val="Piedepgina"/>
      <w:jc w:val="center"/>
      <w:rPr>
        <w:lang w:val="es-ES"/>
      </w:rPr>
    </w:pPr>
  </w:p>
  <w:p w14:paraId="78391C8E" w14:textId="77777777" w:rsidR="00BD7516" w:rsidRDefault="00BD7516" w:rsidP="00BD7516"/>
  <w:p w14:paraId="277C6AA5" w14:textId="77777777" w:rsidR="001D2BCA" w:rsidRDefault="001D2B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A8EAF" w14:textId="77777777" w:rsidR="004B7CDD" w:rsidRDefault="004B7CDD">
      <w:r>
        <w:separator/>
      </w:r>
    </w:p>
  </w:footnote>
  <w:footnote w:type="continuationSeparator" w:id="0">
    <w:p w14:paraId="6F31FA37" w14:textId="77777777" w:rsidR="004B7CDD" w:rsidRDefault="004B7CDD">
      <w:r>
        <w:continuationSeparator/>
      </w:r>
    </w:p>
  </w:footnote>
  <w:footnote w:type="continuationNotice" w:id="1">
    <w:p w14:paraId="4F4DD52C" w14:textId="77777777" w:rsidR="004B7CDD" w:rsidRDefault="004B7CDD"/>
  </w:footnote>
  <w:footnote w:id="2">
    <w:p w14:paraId="6933F808" w14:textId="77777777" w:rsidR="000A74A5" w:rsidRPr="005076E2" w:rsidRDefault="000A74A5" w:rsidP="005076E2">
      <w:pPr>
        <w:pStyle w:val="Textonotapie"/>
        <w:ind w:firstLine="709"/>
        <w:jc w:val="both"/>
        <w:rPr>
          <w:rFonts w:ascii="Arial" w:hAnsi="Arial" w:cs="Arial"/>
          <w:color w:val="000000" w:themeColor="text1"/>
          <w:sz w:val="19"/>
          <w:szCs w:val="19"/>
          <w:lang w:val="es-CO"/>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w:t>
      </w:r>
      <w:r w:rsidRPr="005076E2">
        <w:rPr>
          <w:rFonts w:ascii="Arial" w:hAnsi="Arial" w:cs="Arial"/>
          <w:color w:val="000000" w:themeColor="text1"/>
          <w:sz w:val="19"/>
          <w:szCs w:val="19"/>
          <w:lang w:val="es-CO"/>
        </w:rPr>
        <w:t>Ley 80 de 1993. Artículo 32, numeral 1.</w:t>
      </w:r>
    </w:p>
  </w:footnote>
  <w:footnote w:id="3">
    <w:p w14:paraId="1AA093C6" w14:textId="3D9C4686" w:rsidR="009709E6" w:rsidRPr="00D00083" w:rsidRDefault="009709E6" w:rsidP="005076E2">
      <w:pPr>
        <w:pStyle w:val="Textonotapie"/>
        <w:ind w:firstLine="708"/>
        <w:jc w:val="both"/>
        <w:rPr>
          <w:rFonts w:ascii="Arial" w:eastAsia="Times New Roman" w:hAnsi="Arial" w:cs="Arial"/>
          <w:color w:val="000000" w:themeColor="text1"/>
          <w:sz w:val="19"/>
          <w:szCs w:val="19"/>
          <w:lang w:eastAsia="es-CO"/>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Consejo de Estado. Sala de Consulta y Servicio Civil. Concepto del 20 de mayo de 2010. Exp. 1.992. C.P. Enrique José Arboleda Perdomo.</w:t>
      </w:r>
    </w:p>
    <w:p w14:paraId="2F4A6882" w14:textId="77777777" w:rsidR="00BE13E6" w:rsidRPr="00A360DF" w:rsidRDefault="00BE13E6" w:rsidP="005076E2">
      <w:pPr>
        <w:pStyle w:val="Textonotapie"/>
        <w:ind w:firstLine="708"/>
        <w:jc w:val="both"/>
        <w:rPr>
          <w:rFonts w:ascii="Arial" w:eastAsia="Times New Roman" w:hAnsi="Arial" w:cs="Arial"/>
          <w:color w:val="000000" w:themeColor="text1"/>
          <w:sz w:val="19"/>
          <w:szCs w:val="19"/>
          <w:lang w:eastAsia="es-CO"/>
        </w:rPr>
      </w:pPr>
    </w:p>
  </w:footnote>
  <w:footnote w:id="4">
    <w:p w14:paraId="14F0625D" w14:textId="4E992411" w:rsidR="0070739B" w:rsidRPr="00D00083" w:rsidRDefault="0070739B" w:rsidP="005076E2">
      <w:pPr>
        <w:pStyle w:val="Textonotapie"/>
        <w:ind w:firstLine="708"/>
        <w:jc w:val="both"/>
        <w:rPr>
          <w:rFonts w:ascii="Arial" w:eastAsia="Times New Roman" w:hAnsi="Arial" w:cs="Arial"/>
          <w:color w:val="000000" w:themeColor="text1"/>
          <w:sz w:val="19"/>
          <w:szCs w:val="19"/>
          <w:lang w:eastAsia="es-CO"/>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Ver conceptos: C-008 del  4 de mayo de 2020, C-267 del 4 de mayo de 2020, C-283 del 4 de mayo de 2020, C-</w:t>
      </w:r>
      <w:r w:rsidRPr="00D00083">
        <w:rPr>
          <w:rFonts w:ascii="Arial" w:eastAsia="Times New Roman" w:hAnsi="Arial" w:cs="Arial"/>
          <w:color w:val="000000" w:themeColor="text1"/>
          <w:sz w:val="19"/>
          <w:szCs w:val="19"/>
          <w:lang w:eastAsia="es-CO"/>
        </w:rPr>
        <w:t>365 del 30 de junio de 2020 y C-730 del 14 de diciembre del 2020 y C-779 de 18 de enero de 2021.</w:t>
      </w:r>
    </w:p>
  </w:footnote>
  <w:footnote w:id="5">
    <w:p w14:paraId="2C231CC4" w14:textId="0A979D61" w:rsidR="0070739B" w:rsidRPr="00A360DF" w:rsidRDefault="0070739B" w:rsidP="005076E2">
      <w:pPr>
        <w:pStyle w:val="Textonotapie"/>
        <w:ind w:firstLine="708"/>
        <w:jc w:val="both"/>
        <w:rPr>
          <w:rFonts w:ascii="Arial" w:eastAsia="Times New Roman" w:hAnsi="Arial" w:cs="Arial"/>
          <w:color w:val="000000" w:themeColor="text1"/>
          <w:sz w:val="19"/>
          <w:szCs w:val="19"/>
          <w:lang w:eastAsia="es-CO"/>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 xml:space="preserve">Ley 1150 de 2007, artículo 5, parágrafo 4°: «En aquellos procesos de selección en los que se utilice el mecanismo de subasta, los documentos </w:t>
      </w:r>
      <w:r w:rsidRPr="00A360DF">
        <w:rPr>
          <w:rFonts w:ascii="Arial" w:eastAsia="Times New Roman" w:hAnsi="Arial" w:cs="Arial"/>
          <w:color w:val="000000" w:themeColor="text1"/>
          <w:sz w:val="19"/>
          <w:szCs w:val="19"/>
          <w:lang w:eastAsia="es-CO"/>
        </w:rPr>
        <w:t>referentes a la futura contratación o a proponente, no necesarios para la comparación de las propuestas, deberán ser solicitados hasta el momento previo a su realización».</w:t>
      </w:r>
    </w:p>
    <w:p w14:paraId="757D51ED" w14:textId="77777777" w:rsidR="0070739B" w:rsidRPr="00A360DF" w:rsidRDefault="0070739B" w:rsidP="005076E2">
      <w:pPr>
        <w:pStyle w:val="Textonotapie"/>
        <w:ind w:firstLine="708"/>
        <w:jc w:val="both"/>
        <w:rPr>
          <w:rFonts w:ascii="Arial" w:eastAsia="Times New Roman" w:hAnsi="Arial" w:cs="Arial"/>
          <w:color w:val="000000" w:themeColor="text1"/>
          <w:sz w:val="19"/>
          <w:szCs w:val="19"/>
          <w:lang w:eastAsia="es-CO"/>
        </w:rPr>
      </w:pPr>
    </w:p>
  </w:footnote>
  <w:footnote w:id="6">
    <w:p w14:paraId="1C934EB0" w14:textId="102B7EC0" w:rsidR="00BE7D31" w:rsidRPr="00A360DF" w:rsidRDefault="00BE7D31" w:rsidP="000078FE">
      <w:pPr>
        <w:ind w:firstLine="810"/>
        <w:jc w:val="both"/>
        <w:rPr>
          <w:rFonts w:ascii="Arial" w:eastAsia="Times New Roman" w:hAnsi="Arial" w:cs="Arial"/>
          <w:color w:val="000000" w:themeColor="text1"/>
          <w:sz w:val="19"/>
          <w:szCs w:val="19"/>
          <w:lang w:eastAsia="es-CO"/>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Consejo de Estado, Sala de Consulta y Servicio Civil, concepto del 6 de noviembre de 2008.</w:t>
      </w:r>
      <w:r w:rsidRPr="00D00083">
        <w:rPr>
          <w:rFonts w:ascii="Arial" w:eastAsia="Times New Roman" w:hAnsi="Arial" w:cs="Arial"/>
          <w:color w:val="000000" w:themeColor="text1"/>
          <w:sz w:val="19"/>
          <w:szCs w:val="19"/>
          <w:lang w:eastAsia="es-CO"/>
        </w:rPr>
        <w:t xml:space="preserve"> </w:t>
      </w:r>
      <w:r w:rsidRPr="00A360DF">
        <w:rPr>
          <w:rFonts w:ascii="Arial" w:eastAsia="Times New Roman" w:hAnsi="Arial" w:cs="Arial"/>
          <w:color w:val="000000" w:themeColor="text1"/>
          <w:sz w:val="19"/>
          <w:szCs w:val="19"/>
          <w:lang w:eastAsia="es-CO"/>
        </w:rPr>
        <w:t>C.P. William Zambrano Cetina.</w:t>
      </w:r>
      <w:r w:rsidR="007E3DC4" w:rsidRPr="00A360DF">
        <w:rPr>
          <w:rFonts w:ascii="Arial" w:eastAsia="Times New Roman" w:hAnsi="Arial" w:cs="Arial"/>
          <w:color w:val="000000" w:themeColor="text1"/>
          <w:sz w:val="19"/>
          <w:szCs w:val="19"/>
          <w:lang w:eastAsia="es-CO"/>
        </w:rPr>
        <w:t xml:space="preserve"> </w:t>
      </w:r>
      <w:r w:rsidRPr="00A360DF">
        <w:rPr>
          <w:rFonts w:ascii="Arial" w:eastAsia="Times New Roman" w:hAnsi="Arial" w:cs="Arial"/>
          <w:color w:val="000000" w:themeColor="text1"/>
          <w:sz w:val="19"/>
          <w:szCs w:val="19"/>
          <w:lang w:eastAsia="es-CO"/>
        </w:rPr>
        <w:t>Rad. 2008-00079-00(1927).</w:t>
      </w:r>
    </w:p>
    <w:p w14:paraId="75207477" w14:textId="5A3E643E" w:rsidR="00BE7D31" w:rsidRPr="005076E2" w:rsidRDefault="00BE7D31" w:rsidP="005076E2">
      <w:pPr>
        <w:pStyle w:val="Textonotapie"/>
        <w:jc w:val="both"/>
        <w:rPr>
          <w:rFonts w:ascii="Arial" w:hAnsi="Arial" w:cs="Arial"/>
          <w:color w:val="000000" w:themeColor="text1"/>
          <w:sz w:val="19"/>
          <w:szCs w:val="19"/>
        </w:rPr>
      </w:pPr>
    </w:p>
  </w:footnote>
  <w:footnote w:id="7">
    <w:p w14:paraId="79643D91" w14:textId="77777777" w:rsidR="002B5B6B" w:rsidRPr="00A360DF" w:rsidRDefault="002B5B6B" w:rsidP="000078FE">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0078FE">
        <w:rPr>
          <w:rStyle w:val="Refdenotaalpie"/>
          <w:rFonts w:ascii="Arial" w:eastAsiaTheme="minorHAnsi" w:hAnsi="Arial" w:cs="Arial"/>
          <w:color w:val="000000" w:themeColor="text1"/>
          <w:sz w:val="19"/>
          <w:szCs w:val="19"/>
          <w:lang w:eastAsia="en-US"/>
        </w:rPr>
        <w:footnoteRef/>
      </w:r>
      <w:r w:rsidRPr="000078FE">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w:t>
      </w:r>
      <w:r w:rsidRPr="00A360DF">
        <w:rPr>
          <w:rFonts w:ascii="Arial" w:hAnsi="Arial" w:cs="Arial"/>
          <w:color w:val="000000" w:themeColor="text1"/>
          <w:sz w:val="19"/>
          <w:szCs w:val="19"/>
          <w:lang w:val="es-MX"/>
        </w:rPr>
        <w:t>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159AD27F" w14:textId="77777777" w:rsidR="002B5B6B" w:rsidRPr="00A360DF" w:rsidRDefault="002B5B6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F8A1E7C" w14:textId="77777777" w:rsidR="002B5B6B" w:rsidRPr="00A360DF" w:rsidRDefault="002B5B6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0C07EC6" w14:textId="77777777" w:rsidR="002B5B6B" w:rsidRPr="00A360DF" w:rsidRDefault="002B5B6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13CC31FF" w14:textId="77777777" w:rsidR="002B5B6B" w:rsidRPr="00A360DF" w:rsidRDefault="002B5B6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BA6C2BB" w14:textId="77777777" w:rsidR="002B5B6B" w:rsidRPr="00A360DF" w:rsidRDefault="002B5B6B">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67893129" w14:textId="77777777" w:rsidR="002B5B6B" w:rsidRPr="00A360DF" w:rsidRDefault="002B5B6B">
      <w:pPr>
        <w:pStyle w:val="NormalWeb"/>
        <w:spacing w:before="0" w:beforeAutospacing="0" w:after="0" w:afterAutospacing="0"/>
        <w:ind w:firstLine="708"/>
        <w:jc w:val="both"/>
        <w:rPr>
          <w:rFonts w:ascii="Arial" w:hAnsi="Arial" w:cs="Arial"/>
          <w:color w:val="000000" w:themeColor="text1"/>
          <w:sz w:val="19"/>
          <w:szCs w:val="19"/>
          <w:lang w:val="es-MX"/>
        </w:rPr>
      </w:pPr>
      <w:r w:rsidRPr="00A360DF">
        <w:rPr>
          <w:rFonts w:ascii="Arial" w:hAnsi="Arial" w:cs="Arial"/>
          <w:color w:val="000000" w:themeColor="text1"/>
          <w:sz w:val="19"/>
          <w:szCs w:val="19"/>
          <w:lang w:val="es-MX"/>
        </w:rPr>
        <w:t>»La información contenida en el registro es pública y su consulta será gratuita».</w:t>
      </w:r>
    </w:p>
    <w:p w14:paraId="152FD8B3" w14:textId="77777777" w:rsidR="002B5B6B" w:rsidRPr="00A360DF" w:rsidRDefault="002B5B6B">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8">
    <w:p w14:paraId="67990698" w14:textId="77777777" w:rsidR="002B5B6B" w:rsidRPr="000078FE" w:rsidRDefault="002B5B6B">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eastAsia="Times New Roman" w:hAnsi="Arial" w:cs="Arial"/>
          <w:color w:val="000000" w:themeColor="text1"/>
          <w:sz w:val="19"/>
          <w:szCs w:val="19"/>
          <w:lang w:eastAsia="es-CO"/>
        </w:rPr>
        <w:t>«Artículo 2.2.1.1.1.5.1. Inscripción, renovación, actualización y cancelación del RUP.</w:t>
      </w:r>
    </w:p>
    <w:p w14:paraId="749EDE91" w14:textId="77777777" w:rsidR="002B5B6B" w:rsidRPr="00A360DF" w:rsidRDefault="002B5B6B">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w:t>
      </w:r>
    </w:p>
    <w:p w14:paraId="0DCD495B" w14:textId="77777777" w:rsidR="002B5B6B" w:rsidRPr="00A360DF" w:rsidRDefault="002B5B6B">
      <w:pPr>
        <w:pStyle w:val="Textonotapie"/>
        <w:ind w:firstLine="708"/>
        <w:jc w:val="both"/>
        <w:rPr>
          <w:rFonts w:ascii="Arial" w:eastAsia="Times New Roman" w:hAnsi="Arial" w:cs="Arial"/>
          <w:color w:val="000000" w:themeColor="text1"/>
          <w:sz w:val="19"/>
          <w:szCs w:val="19"/>
          <w:lang w:eastAsia="es-CO"/>
        </w:rPr>
      </w:pPr>
      <w:r w:rsidRPr="00A360DF">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783D219" w14:textId="77777777" w:rsidR="002B5B6B" w:rsidRPr="00A360DF" w:rsidRDefault="002B5B6B">
      <w:pPr>
        <w:pStyle w:val="Textonotapie"/>
        <w:ind w:firstLine="708"/>
        <w:jc w:val="both"/>
        <w:rPr>
          <w:rFonts w:ascii="Arial" w:eastAsia="Times New Roman" w:hAnsi="Arial" w:cs="Arial"/>
          <w:color w:val="000000" w:themeColor="text1"/>
          <w:sz w:val="19"/>
          <w:szCs w:val="19"/>
          <w:lang w:eastAsia="es-CO"/>
        </w:rPr>
      </w:pPr>
    </w:p>
  </w:footnote>
  <w:footnote w:id="9">
    <w:p w14:paraId="371FB8BD" w14:textId="77777777" w:rsidR="002B5B6B" w:rsidRPr="00A360DF" w:rsidRDefault="002B5B6B">
      <w:pPr>
        <w:pStyle w:val="Textonotapie"/>
        <w:ind w:firstLine="708"/>
        <w:jc w:val="both"/>
        <w:rPr>
          <w:rFonts w:ascii="Arial" w:eastAsia="Times New Roman" w:hAnsi="Arial" w:cs="Arial"/>
          <w:color w:val="000000" w:themeColor="text1"/>
          <w:sz w:val="19"/>
          <w:szCs w:val="19"/>
          <w:lang w:eastAsia="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eastAsia="es-CO"/>
        </w:rPr>
        <w:t>Consejo de Estado. Sección Tercera. Subsección A. Sentencia del 19 de septi</w:t>
      </w:r>
      <w:r w:rsidRPr="00D00083">
        <w:rPr>
          <w:rFonts w:ascii="Arial" w:eastAsia="Times New Roman" w:hAnsi="Arial" w:cs="Arial"/>
          <w:color w:val="000000" w:themeColor="text1"/>
          <w:sz w:val="19"/>
          <w:szCs w:val="19"/>
          <w:lang w:eastAsia="es-CO"/>
        </w:rPr>
        <w:t>embre de 2019. Exp. 59.432. C.P. Marta Nubia Velásquez Rico.</w:t>
      </w:r>
    </w:p>
    <w:p w14:paraId="56FEF237" w14:textId="77777777" w:rsidR="002B5B6B" w:rsidRPr="00A360DF" w:rsidRDefault="002B5B6B">
      <w:pPr>
        <w:pStyle w:val="Textonotapie"/>
        <w:ind w:firstLine="708"/>
        <w:jc w:val="both"/>
        <w:rPr>
          <w:rFonts w:ascii="Arial" w:hAnsi="Arial" w:cs="Arial"/>
          <w:color w:val="000000" w:themeColor="text1"/>
          <w:sz w:val="19"/>
          <w:szCs w:val="19"/>
          <w:lang w:val="es-CO"/>
        </w:rPr>
      </w:pPr>
    </w:p>
  </w:footnote>
  <w:footnote w:id="10">
    <w:p w14:paraId="0D9F13BB" w14:textId="77777777" w:rsidR="002B5B6B" w:rsidRPr="00D00083" w:rsidRDefault="002B5B6B">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«Artículo 87. Firmeza de los actos administrativos. Los actos administrativos quedarán en firme: </w:t>
      </w:r>
    </w:p>
    <w:p w14:paraId="2AC4A80E" w14:textId="77777777" w:rsidR="002B5B6B" w:rsidRPr="00A360DF" w:rsidRDefault="002B5B6B">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56FE0A0" w14:textId="77777777" w:rsidR="002B5B6B" w:rsidRPr="00A360DF" w:rsidRDefault="002B5B6B">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4009352A" w14:textId="77777777" w:rsidR="002B5B6B" w:rsidRPr="00A360DF" w:rsidRDefault="002B5B6B">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3C495A55" w14:textId="77777777" w:rsidR="002B5B6B" w:rsidRPr="00A360DF" w:rsidRDefault="002B5B6B">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 xml:space="preserve">»4. Desde el día siguiente al de la notificación de la aceptación del desistimiento de los recursos. </w:t>
      </w:r>
    </w:p>
    <w:p w14:paraId="651B530E" w14:textId="77777777" w:rsidR="002B5B6B" w:rsidRPr="00A360DF" w:rsidRDefault="002B5B6B">
      <w:pPr>
        <w:pStyle w:val="Textonotapie"/>
        <w:ind w:firstLine="709"/>
        <w:jc w:val="both"/>
        <w:rPr>
          <w:rFonts w:ascii="Arial" w:hAnsi="Arial" w:cs="Arial"/>
          <w:color w:val="000000" w:themeColor="text1"/>
          <w:sz w:val="19"/>
          <w:szCs w:val="19"/>
          <w:lang w:val="es-CO"/>
        </w:rPr>
      </w:pPr>
      <w:r w:rsidRPr="00A360DF">
        <w:rPr>
          <w:rFonts w:ascii="Arial" w:hAnsi="Arial" w:cs="Arial"/>
          <w:color w:val="000000" w:themeColor="text1"/>
          <w:sz w:val="19"/>
          <w:szCs w:val="19"/>
          <w:lang w:val="es-CO"/>
        </w:rPr>
        <w:t>»5. Desde el día siguiente al de la protocolización a que alude el artículo 85 para el silencio administrativo positivo».</w:t>
      </w:r>
    </w:p>
    <w:p w14:paraId="644E3AAB" w14:textId="77777777" w:rsidR="002B5B6B" w:rsidRPr="00A360DF" w:rsidRDefault="002B5B6B">
      <w:pPr>
        <w:pStyle w:val="Textonotapie"/>
        <w:ind w:firstLine="709"/>
        <w:jc w:val="both"/>
        <w:rPr>
          <w:rFonts w:ascii="Arial" w:hAnsi="Arial" w:cs="Arial"/>
          <w:color w:val="000000" w:themeColor="text1"/>
          <w:sz w:val="19"/>
          <w:szCs w:val="19"/>
          <w:lang w:val="es-CO"/>
        </w:rPr>
      </w:pPr>
    </w:p>
  </w:footnote>
  <w:footnote w:id="11">
    <w:p w14:paraId="282D9242" w14:textId="77777777" w:rsidR="002B5B6B" w:rsidRPr="00A360DF" w:rsidRDefault="002B5B6B">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 xml:space="preserve">Consejo de </w:t>
      </w:r>
      <w:r w:rsidRPr="00D00083">
        <w:rPr>
          <w:rFonts w:ascii="Arial" w:hAnsi="Arial" w:cs="Arial"/>
          <w:color w:val="000000" w:themeColor="text1"/>
          <w:sz w:val="19"/>
          <w:szCs w:val="19"/>
          <w:lang w:val="es-CO"/>
        </w:rPr>
        <w:t>Estado. Sección Cuarta. Sentencia del 19 de noviembre de 1999. Exp. 9.453. CP. Daniel Manrique Guzmán.</w:t>
      </w:r>
    </w:p>
    <w:p w14:paraId="7750A32C" w14:textId="77777777" w:rsidR="002B5B6B" w:rsidRPr="00A360DF" w:rsidRDefault="002B5B6B">
      <w:pPr>
        <w:pStyle w:val="Textonotapie"/>
        <w:jc w:val="both"/>
        <w:rPr>
          <w:rFonts w:ascii="Arial" w:hAnsi="Arial" w:cs="Arial"/>
          <w:color w:val="000000" w:themeColor="text1"/>
          <w:sz w:val="19"/>
          <w:szCs w:val="19"/>
        </w:rPr>
      </w:pPr>
    </w:p>
  </w:footnote>
  <w:footnote w:id="12">
    <w:p w14:paraId="6B90CDD6"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eastAsia="Times New Roman" w:hAnsi="Arial" w:cs="Arial"/>
          <w:color w:val="000000" w:themeColor="text1"/>
          <w:sz w:val="19"/>
          <w:szCs w:val="19"/>
          <w:lang w:val="es-CO" w:eastAsia="es-ES_tradnl"/>
        </w:rPr>
        <w:t>Ley 1882 de 2018: «Artículo 5. Modifíquese el Parágrafo 1 e inclúyanse los parágrafos 3, 4 y 5 de artículo 5° de la Ley 1150 de 2007, los cuales queda</w:t>
      </w:r>
      <w:r w:rsidRPr="00A360DF">
        <w:rPr>
          <w:rFonts w:ascii="Arial" w:eastAsia="Times New Roman" w:hAnsi="Arial" w:cs="Arial"/>
          <w:color w:val="000000" w:themeColor="text1"/>
          <w:sz w:val="19"/>
          <w:szCs w:val="19"/>
          <w:lang w:val="es-CO" w:eastAsia="es-ES_tradnl"/>
        </w:rPr>
        <w:t xml:space="preserve">rán así: </w:t>
      </w:r>
    </w:p>
    <w:p w14:paraId="2D357883"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775D1779"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»Artículo 5°. De la selección objetiva. </w:t>
      </w:r>
    </w:p>
    <w:p w14:paraId="495A6DA6"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 </w:t>
      </w:r>
    </w:p>
    <w:p w14:paraId="2D2D5A57"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FEF77B3" w14:textId="77777777" w:rsidR="002B5B6B" w:rsidRPr="00A360DF" w:rsidRDefault="002B5B6B">
      <w:pPr>
        <w:ind w:firstLine="709"/>
        <w:jc w:val="both"/>
        <w:rPr>
          <w:rFonts w:ascii="Arial" w:eastAsia="Times New Roman" w:hAnsi="Arial" w:cs="Arial"/>
          <w:color w:val="000000" w:themeColor="text1"/>
          <w:sz w:val="19"/>
          <w:szCs w:val="19"/>
          <w:lang w:val="es-CO" w:eastAsia="es-ES_tradnl"/>
        </w:rPr>
      </w:pPr>
      <w:r w:rsidRPr="00A360DF">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A360DF">
        <w:rPr>
          <w:rFonts w:ascii="Arial" w:eastAsia="Times New Roman" w:hAnsi="Arial" w:cs="Arial"/>
          <w:color w:val="000000" w:themeColor="text1"/>
          <w:sz w:val="19"/>
          <w:szCs w:val="19"/>
          <w:lang w:val="es-CO" w:eastAsia="es-ES_tradnl"/>
        </w:rPr>
        <w:t xml:space="preserve"> (cursiva fuera de texto).</w:t>
      </w:r>
    </w:p>
    <w:p w14:paraId="60CFDB6D" w14:textId="77777777" w:rsidR="002B5B6B" w:rsidRPr="00A360DF" w:rsidRDefault="002B5B6B">
      <w:pPr>
        <w:pStyle w:val="Textonotapie"/>
        <w:jc w:val="both"/>
        <w:rPr>
          <w:rFonts w:ascii="Arial" w:hAnsi="Arial" w:cs="Arial"/>
          <w:color w:val="000000" w:themeColor="text1"/>
          <w:sz w:val="19"/>
          <w:szCs w:val="19"/>
        </w:rPr>
      </w:pPr>
    </w:p>
  </w:footnote>
  <w:footnote w:id="13">
    <w:p w14:paraId="2121D6CA" w14:textId="77777777" w:rsidR="002B5B6B" w:rsidRPr="00A360DF" w:rsidRDefault="002B5B6B">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A360DF">
        <w:rPr>
          <w:rFonts w:ascii="Arial" w:hAnsi="Arial" w:cs="Arial"/>
          <w:color w:val="000000" w:themeColor="text1"/>
          <w:sz w:val="19"/>
          <w:szCs w:val="19"/>
          <w:lang w:val="es-CO"/>
        </w:rPr>
        <w:t xml:space="preserve">rta, </w:t>
      </w:r>
      <w:r w:rsidRPr="00A360DF">
        <w:rPr>
          <w:rFonts w:ascii="Arial" w:hAnsi="Arial" w:cs="Arial"/>
          <w:i/>
          <w:iCs/>
          <w:color w:val="000000" w:themeColor="text1"/>
          <w:sz w:val="19"/>
          <w:szCs w:val="19"/>
          <w:lang w:val="es-CO"/>
        </w:rPr>
        <w:t>ni que se acrediten circunstancias ocurridas con posterioridad al cierre del proceso»</w:t>
      </w:r>
      <w:r w:rsidRPr="00A360DF">
        <w:rPr>
          <w:rFonts w:ascii="Arial" w:hAnsi="Arial" w:cs="Arial"/>
          <w:color w:val="000000" w:themeColor="text1"/>
          <w:sz w:val="19"/>
          <w:szCs w:val="19"/>
          <w:lang w:val="es-CO"/>
        </w:rPr>
        <w:t xml:space="preserve"> (cursiva fuera de texto).</w:t>
      </w:r>
    </w:p>
    <w:p w14:paraId="2A39D655" w14:textId="77777777" w:rsidR="002B5B6B" w:rsidRPr="00A360DF" w:rsidRDefault="002B5B6B">
      <w:pPr>
        <w:pStyle w:val="Textonotapie"/>
        <w:ind w:firstLine="709"/>
        <w:jc w:val="both"/>
        <w:rPr>
          <w:rFonts w:ascii="Arial" w:hAnsi="Arial" w:cs="Arial"/>
          <w:color w:val="000000" w:themeColor="text1"/>
          <w:sz w:val="19"/>
          <w:szCs w:val="19"/>
        </w:rPr>
      </w:pPr>
    </w:p>
  </w:footnote>
  <w:footnote w:id="14">
    <w:p w14:paraId="07E03148" w14:textId="77777777" w:rsidR="002B5B6B" w:rsidRPr="00A360DF" w:rsidRDefault="002B5B6B">
      <w:pPr>
        <w:pStyle w:val="Textonotapie"/>
        <w:ind w:firstLine="709"/>
        <w:jc w:val="both"/>
        <w:rPr>
          <w:rFonts w:ascii="Arial" w:hAnsi="Arial" w:cs="Arial"/>
          <w:color w:val="000000" w:themeColor="text1"/>
          <w:sz w:val="19"/>
          <w:szCs w:val="19"/>
          <w:lang w:val="es-CO"/>
        </w:rPr>
      </w:pPr>
      <w:r w:rsidRPr="000078FE">
        <w:rPr>
          <w:rStyle w:val="Refdenotaalpie"/>
          <w:rFonts w:ascii="Arial" w:hAnsi="Arial" w:cs="Arial"/>
          <w:color w:val="000000" w:themeColor="text1"/>
          <w:sz w:val="19"/>
          <w:szCs w:val="19"/>
        </w:rPr>
        <w:footnoteRef/>
      </w:r>
      <w:r w:rsidRPr="000078FE">
        <w:rPr>
          <w:rFonts w:ascii="Arial" w:hAnsi="Arial" w:cs="Arial"/>
          <w:color w:val="000000" w:themeColor="text1"/>
          <w:sz w:val="19"/>
          <w:szCs w:val="19"/>
        </w:rPr>
        <w:t xml:space="preserve"> </w:t>
      </w:r>
      <w:r w:rsidRPr="000078FE">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A360DF">
        <w:rPr>
          <w:rFonts w:ascii="Arial" w:hAnsi="Arial" w:cs="Arial"/>
          <w:color w:val="000000" w:themeColor="text1"/>
          <w:sz w:val="19"/>
          <w:szCs w:val="19"/>
          <w:lang w:val="es-CO"/>
        </w:rPr>
        <w:t>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3ECF45B0" w14:textId="77777777" w:rsidR="002B5B6B" w:rsidRPr="00A360DF" w:rsidRDefault="002B5B6B">
      <w:pPr>
        <w:pStyle w:val="Textonotapie"/>
        <w:jc w:val="both"/>
        <w:rPr>
          <w:rFonts w:ascii="Arial" w:hAnsi="Arial" w:cs="Arial"/>
          <w:color w:val="000000" w:themeColor="text1"/>
          <w:sz w:val="19"/>
          <w:szCs w:val="19"/>
        </w:rPr>
      </w:pPr>
    </w:p>
  </w:footnote>
  <w:footnote w:id="15">
    <w:p w14:paraId="5FADDC9A" w14:textId="49BD5D90" w:rsidR="00A360DF" w:rsidRPr="005076E2" w:rsidRDefault="00A360DF" w:rsidP="005076E2">
      <w:pPr>
        <w:pStyle w:val="Textonotapie"/>
        <w:ind w:firstLine="708"/>
        <w:jc w:val="both"/>
        <w:rPr>
          <w:rFonts w:ascii="Arial" w:hAnsi="Arial" w:cs="Arial"/>
          <w:color w:val="000000" w:themeColor="text1"/>
          <w:sz w:val="19"/>
          <w:szCs w:val="19"/>
        </w:rPr>
      </w:pPr>
      <w:r w:rsidRPr="005076E2">
        <w:rPr>
          <w:rStyle w:val="Refdenotaalpie"/>
          <w:rFonts w:ascii="Arial" w:hAnsi="Arial" w:cs="Arial"/>
          <w:color w:val="000000" w:themeColor="text1"/>
          <w:sz w:val="19"/>
          <w:szCs w:val="19"/>
        </w:rPr>
        <w:footnoteRef/>
      </w:r>
      <w:r w:rsidRPr="005076E2">
        <w:rPr>
          <w:rFonts w:ascii="Arial" w:hAnsi="Arial" w:cs="Arial"/>
          <w:color w:val="000000" w:themeColor="text1"/>
          <w:sz w:val="19"/>
          <w:szCs w:val="19"/>
        </w:rPr>
        <w:t xml:space="preserve"> Así lo establece el inciso primero del 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B5B6B" w:rsidRDefault="002B5B6B">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A7C300" w14:textId="77777777" w:rsidR="001D2BCA" w:rsidRDefault="001D2BCA"/>
  <w:p w14:paraId="1F697779" w14:textId="77777777" w:rsidR="001D2BCA" w:rsidRDefault="001D2BCA"/>
  <w:p w14:paraId="6319BA84" w14:textId="77777777" w:rsidR="001D2BCA" w:rsidRDefault="001D2BCA"/>
  <w:p w14:paraId="061020BD" w14:textId="77777777" w:rsidR="001D2BCA" w:rsidRDefault="001D2BCA"/>
  <w:p w14:paraId="5C594E5A" w14:textId="77777777" w:rsidR="001D2BCA" w:rsidRDefault="001D2BCA"/>
  <w:p w14:paraId="0A8C070D" w14:textId="77777777" w:rsidR="001D2BCA" w:rsidRDefault="001D2B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A33206"/>
    <w:multiLevelType w:val="multilevel"/>
    <w:tmpl w:val="1168432E"/>
    <w:lvl w:ilvl="0">
      <w:start w:val="1"/>
      <w:numFmt w:val="decimal"/>
      <w:lvlText w:val="%1."/>
      <w:lvlJc w:val="left"/>
      <w:pPr>
        <w:ind w:left="385" w:hanging="284"/>
      </w:pPr>
      <w:rPr>
        <w:rFonts w:ascii="Arial" w:eastAsia="Arial" w:hAnsi="Arial" w:cs="Arial" w:hint="default"/>
        <w:b/>
        <w:bCs/>
        <w:spacing w:val="-22"/>
        <w:w w:val="100"/>
        <w:sz w:val="22"/>
        <w:szCs w:val="22"/>
        <w:lang w:val="es-ES" w:eastAsia="en-US" w:bidi="ar-SA"/>
      </w:rPr>
    </w:lvl>
    <w:lvl w:ilvl="1">
      <w:start w:val="1"/>
      <w:numFmt w:val="decimal"/>
      <w:lvlText w:val="%1.%2."/>
      <w:lvlJc w:val="left"/>
      <w:pPr>
        <w:ind w:left="101" w:hanging="452"/>
      </w:pPr>
      <w:rPr>
        <w:rFonts w:ascii="Arial" w:eastAsia="Arial" w:hAnsi="Arial" w:cs="Arial" w:hint="default"/>
        <w:b/>
        <w:bCs/>
        <w:spacing w:val="-1"/>
        <w:w w:val="100"/>
        <w:sz w:val="22"/>
        <w:szCs w:val="22"/>
        <w:lang w:val="es-ES" w:eastAsia="en-US" w:bidi="ar-SA"/>
      </w:rPr>
    </w:lvl>
    <w:lvl w:ilvl="2">
      <w:numFmt w:val="bullet"/>
      <w:lvlText w:val="•"/>
      <w:lvlJc w:val="left"/>
      <w:pPr>
        <w:ind w:left="1353" w:hanging="452"/>
      </w:pPr>
      <w:rPr>
        <w:rFonts w:hint="default"/>
        <w:lang w:val="es-ES" w:eastAsia="en-US" w:bidi="ar-SA"/>
      </w:rPr>
    </w:lvl>
    <w:lvl w:ilvl="3">
      <w:numFmt w:val="bullet"/>
      <w:lvlText w:val="•"/>
      <w:lvlJc w:val="left"/>
      <w:pPr>
        <w:ind w:left="2326" w:hanging="452"/>
      </w:pPr>
      <w:rPr>
        <w:rFonts w:hint="default"/>
        <w:lang w:val="es-ES" w:eastAsia="en-US" w:bidi="ar-SA"/>
      </w:rPr>
    </w:lvl>
    <w:lvl w:ilvl="4">
      <w:numFmt w:val="bullet"/>
      <w:lvlText w:val="•"/>
      <w:lvlJc w:val="left"/>
      <w:pPr>
        <w:ind w:left="3300" w:hanging="452"/>
      </w:pPr>
      <w:rPr>
        <w:rFonts w:hint="default"/>
        <w:lang w:val="es-ES" w:eastAsia="en-US" w:bidi="ar-SA"/>
      </w:rPr>
    </w:lvl>
    <w:lvl w:ilvl="5">
      <w:numFmt w:val="bullet"/>
      <w:lvlText w:val="•"/>
      <w:lvlJc w:val="left"/>
      <w:pPr>
        <w:ind w:left="4273" w:hanging="452"/>
      </w:pPr>
      <w:rPr>
        <w:rFonts w:hint="default"/>
        <w:lang w:val="es-ES" w:eastAsia="en-US" w:bidi="ar-SA"/>
      </w:rPr>
    </w:lvl>
    <w:lvl w:ilvl="6">
      <w:numFmt w:val="bullet"/>
      <w:lvlText w:val="•"/>
      <w:lvlJc w:val="left"/>
      <w:pPr>
        <w:ind w:left="5246" w:hanging="452"/>
      </w:pPr>
      <w:rPr>
        <w:rFonts w:hint="default"/>
        <w:lang w:val="es-ES" w:eastAsia="en-US" w:bidi="ar-SA"/>
      </w:rPr>
    </w:lvl>
    <w:lvl w:ilvl="7">
      <w:numFmt w:val="bullet"/>
      <w:lvlText w:val="•"/>
      <w:lvlJc w:val="left"/>
      <w:pPr>
        <w:ind w:left="6220" w:hanging="452"/>
      </w:pPr>
      <w:rPr>
        <w:rFonts w:hint="default"/>
        <w:lang w:val="es-ES" w:eastAsia="en-US" w:bidi="ar-SA"/>
      </w:rPr>
    </w:lvl>
    <w:lvl w:ilvl="8">
      <w:numFmt w:val="bullet"/>
      <w:lvlText w:val="•"/>
      <w:lvlJc w:val="left"/>
      <w:pPr>
        <w:ind w:left="7193" w:hanging="452"/>
      </w:pPr>
      <w:rPr>
        <w:rFonts w:hint="default"/>
        <w:lang w:val="es-ES" w:eastAsia="en-US" w:bidi="ar-SA"/>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EF16C1"/>
    <w:multiLevelType w:val="hybridMultilevel"/>
    <w:tmpl w:val="46C44B48"/>
    <w:lvl w:ilvl="0" w:tplc="7E143CF2">
      <w:start w:val="1"/>
      <w:numFmt w:val="lowerRoman"/>
      <w:lvlText w:val="%1)"/>
      <w:lvlJc w:val="left"/>
      <w:pPr>
        <w:ind w:left="101" w:hanging="182"/>
      </w:pPr>
      <w:rPr>
        <w:rFonts w:ascii="Arial" w:eastAsia="Arial" w:hAnsi="Arial" w:cs="Arial" w:hint="default"/>
        <w:spacing w:val="-1"/>
        <w:w w:val="100"/>
        <w:sz w:val="22"/>
        <w:szCs w:val="22"/>
        <w:lang w:val="es-ES" w:eastAsia="en-US" w:bidi="ar-SA"/>
      </w:rPr>
    </w:lvl>
    <w:lvl w:ilvl="1" w:tplc="5BD21320">
      <w:numFmt w:val="bullet"/>
      <w:lvlText w:val="•"/>
      <w:lvlJc w:val="left"/>
      <w:pPr>
        <w:ind w:left="1004" w:hanging="182"/>
      </w:pPr>
      <w:rPr>
        <w:rFonts w:hint="default"/>
        <w:lang w:val="es-ES" w:eastAsia="en-US" w:bidi="ar-SA"/>
      </w:rPr>
    </w:lvl>
    <w:lvl w:ilvl="2" w:tplc="39C22170">
      <w:numFmt w:val="bullet"/>
      <w:lvlText w:val="•"/>
      <w:lvlJc w:val="left"/>
      <w:pPr>
        <w:ind w:left="1908" w:hanging="182"/>
      </w:pPr>
      <w:rPr>
        <w:rFonts w:hint="default"/>
        <w:lang w:val="es-ES" w:eastAsia="en-US" w:bidi="ar-SA"/>
      </w:rPr>
    </w:lvl>
    <w:lvl w:ilvl="3" w:tplc="07E413FC">
      <w:numFmt w:val="bullet"/>
      <w:lvlText w:val="•"/>
      <w:lvlJc w:val="left"/>
      <w:pPr>
        <w:ind w:left="2812" w:hanging="182"/>
      </w:pPr>
      <w:rPr>
        <w:rFonts w:hint="default"/>
        <w:lang w:val="es-ES" w:eastAsia="en-US" w:bidi="ar-SA"/>
      </w:rPr>
    </w:lvl>
    <w:lvl w:ilvl="4" w:tplc="F55C5E08">
      <w:numFmt w:val="bullet"/>
      <w:lvlText w:val="•"/>
      <w:lvlJc w:val="left"/>
      <w:pPr>
        <w:ind w:left="3716" w:hanging="182"/>
      </w:pPr>
      <w:rPr>
        <w:rFonts w:hint="default"/>
        <w:lang w:val="es-ES" w:eastAsia="en-US" w:bidi="ar-SA"/>
      </w:rPr>
    </w:lvl>
    <w:lvl w:ilvl="5" w:tplc="CA22F148">
      <w:numFmt w:val="bullet"/>
      <w:lvlText w:val="•"/>
      <w:lvlJc w:val="left"/>
      <w:pPr>
        <w:ind w:left="4620" w:hanging="182"/>
      </w:pPr>
      <w:rPr>
        <w:rFonts w:hint="default"/>
        <w:lang w:val="es-ES" w:eastAsia="en-US" w:bidi="ar-SA"/>
      </w:rPr>
    </w:lvl>
    <w:lvl w:ilvl="6" w:tplc="F2AAF1E2">
      <w:numFmt w:val="bullet"/>
      <w:lvlText w:val="•"/>
      <w:lvlJc w:val="left"/>
      <w:pPr>
        <w:ind w:left="5524" w:hanging="182"/>
      </w:pPr>
      <w:rPr>
        <w:rFonts w:hint="default"/>
        <w:lang w:val="es-ES" w:eastAsia="en-US" w:bidi="ar-SA"/>
      </w:rPr>
    </w:lvl>
    <w:lvl w:ilvl="7" w:tplc="117E9542">
      <w:numFmt w:val="bullet"/>
      <w:lvlText w:val="•"/>
      <w:lvlJc w:val="left"/>
      <w:pPr>
        <w:ind w:left="6428" w:hanging="182"/>
      </w:pPr>
      <w:rPr>
        <w:rFonts w:hint="default"/>
        <w:lang w:val="es-ES" w:eastAsia="en-US" w:bidi="ar-SA"/>
      </w:rPr>
    </w:lvl>
    <w:lvl w:ilvl="8" w:tplc="A0A8E7C6">
      <w:numFmt w:val="bullet"/>
      <w:lvlText w:val="•"/>
      <w:lvlJc w:val="left"/>
      <w:pPr>
        <w:ind w:left="7332" w:hanging="182"/>
      </w:pPr>
      <w:rPr>
        <w:rFonts w:hint="default"/>
        <w:lang w:val="es-ES" w:eastAsia="en-US" w:bidi="ar-SA"/>
      </w:r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26859"/>
    <w:multiLevelType w:val="hybridMultilevel"/>
    <w:tmpl w:val="E81ABE8C"/>
    <w:lvl w:ilvl="0" w:tplc="5BA8D098">
      <w:start w:val="1"/>
      <w:numFmt w:val="decimal"/>
      <w:lvlText w:val="%1."/>
      <w:lvlJc w:val="left"/>
      <w:pPr>
        <w:ind w:left="420" w:hanging="360"/>
      </w:pPr>
      <w:rPr>
        <w:rFonts w:eastAsia="Calibri" w:hint="default"/>
        <w:i w:val="0"/>
        <w:color w:val="000000" w:themeColor="text1"/>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A191ADC"/>
    <w:multiLevelType w:val="hybridMultilevel"/>
    <w:tmpl w:val="E81ABE8C"/>
    <w:lvl w:ilvl="0" w:tplc="5BA8D098">
      <w:start w:val="1"/>
      <w:numFmt w:val="decimal"/>
      <w:lvlText w:val="%1."/>
      <w:lvlJc w:val="left"/>
      <w:pPr>
        <w:ind w:left="420" w:hanging="360"/>
      </w:pPr>
      <w:rPr>
        <w:rFonts w:eastAsia="Calibri" w:hint="default"/>
        <w:i w:val="0"/>
        <w:color w:val="000000" w:themeColor="text1"/>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6"/>
  </w:num>
  <w:num w:numId="4">
    <w:abstractNumId w:val="20"/>
  </w:num>
  <w:num w:numId="5">
    <w:abstractNumId w:val="2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8"/>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
  </w:num>
  <w:num w:numId="20">
    <w:abstractNumId w:val="27"/>
  </w:num>
  <w:num w:numId="21">
    <w:abstractNumId w:val="18"/>
  </w:num>
  <w:num w:numId="22">
    <w:abstractNumId w:val="7"/>
  </w:num>
  <w:num w:numId="23">
    <w:abstractNumId w:val="5"/>
  </w:num>
  <w:num w:numId="24">
    <w:abstractNumId w:val="13"/>
  </w:num>
  <w:num w:numId="25">
    <w:abstractNumId w:val="22"/>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9"/>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671F"/>
    <w:rsid w:val="00007750"/>
    <w:rsid w:val="000077FD"/>
    <w:rsid w:val="000078FE"/>
    <w:rsid w:val="00007E37"/>
    <w:rsid w:val="00010C40"/>
    <w:rsid w:val="00011DCC"/>
    <w:rsid w:val="00012B9E"/>
    <w:rsid w:val="00013102"/>
    <w:rsid w:val="00013C6B"/>
    <w:rsid w:val="0001406B"/>
    <w:rsid w:val="00014624"/>
    <w:rsid w:val="00015D85"/>
    <w:rsid w:val="00016081"/>
    <w:rsid w:val="000165AC"/>
    <w:rsid w:val="00016651"/>
    <w:rsid w:val="000169F4"/>
    <w:rsid w:val="000171A2"/>
    <w:rsid w:val="00017B65"/>
    <w:rsid w:val="00020158"/>
    <w:rsid w:val="000207E0"/>
    <w:rsid w:val="00020C96"/>
    <w:rsid w:val="00020F8F"/>
    <w:rsid w:val="00021143"/>
    <w:rsid w:val="00021A95"/>
    <w:rsid w:val="0002256F"/>
    <w:rsid w:val="00023DAE"/>
    <w:rsid w:val="000245A2"/>
    <w:rsid w:val="000263F0"/>
    <w:rsid w:val="00026407"/>
    <w:rsid w:val="00026608"/>
    <w:rsid w:val="0003035E"/>
    <w:rsid w:val="000315E1"/>
    <w:rsid w:val="0003236E"/>
    <w:rsid w:val="00032C75"/>
    <w:rsid w:val="0003339A"/>
    <w:rsid w:val="000341F2"/>
    <w:rsid w:val="00036E03"/>
    <w:rsid w:val="00040CF7"/>
    <w:rsid w:val="00041029"/>
    <w:rsid w:val="00042961"/>
    <w:rsid w:val="00042C25"/>
    <w:rsid w:val="00042D03"/>
    <w:rsid w:val="00042E0C"/>
    <w:rsid w:val="00043086"/>
    <w:rsid w:val="000430A0"/>
    <w:rsid w:val="000439DE"/>
    <w:rsid w:val="00043CA5"/>
    <w:rsid w:val="0004418C"/>
    <w:rsid w:val="00044204"/>
    <w:rsid w:val="000449D4"/>
    <w:rsid w:val="00046A63"/>
    <w:rsid w:val="00046C09"/>
    <w:rsid w:val="0004716A"/>
    <w:rsid w:val="000504DE"/>
    <w:rsid w:val="00051074"/>
    <w:rsid w:val="00052EA0"/>
    <w:rsid w:val="0005474D"/>
    <w:rsid w:val="00055CB9"/>
    <w:rsid w:val="00055D0E"/>
    <w:rsid w:val="0005702F"/>
    <w:rsid w:val="00061D06"/>
    <w:rsid w:val="0006274E"/>
    <w:rsid w:val="00062CDD"/>
    <w:rsid w:val="00064CAE"/>
    <w:rsid w:val="00064FA7"/>
    <w:rsid w:val="00065195"/>
    <w:rsid w:val="00066632"/>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4A5"/>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666D"/>
    <w:rsid w:val="000F7E8F"/>
    <w:rsid w:val="001000FB"/>
    <w:rsid w:val="00102605"/>
    <w:rsid w:val="00103570"/>
    <w:rsid w:val="00103915"/>
    <w:rsid w:val="001050A9"/>
    <w:rsid w:val="001051E5"/>
    <w:rsid w:val="00105A74"/>
    <w:rsid w:val="00105AEF"/>
    <w:rsid w:val="00106259"/>
    <w:rsid w:val="00107436"/>
    <w:rsid w:val="001078CE"/>
    <w:rsid w:val="00107E36"/>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168"/>
    <w:rsid w:val="00121BAB"/>
    <w:rsid w:val="00121E3C"/>
    <w:rsid w:val="00122B23"/>
    <w:rsid w:val="00122B7E"/>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EC"/>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5E49"/>
    <w:rsid w:val="00176D25"/>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267"/>
    <w:rsid w:val="001A7591"/>
    <w:rsid w:val="001B0444"/>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E30"/>
    <w:rsid w:val="001C3E5C"/>
    <w:rsid w:val="001C4B50"/>
    <w:rsid w:val="001C5072"/>
    <w:rsid w:val="001C5B2A"/>
    <w:rsid w:val="001C600B"/>
    <w:rsid w:val="001C6898"/>
    <w:rsid w:val="001C6DD8"/>
    <w:rsid w:val="001C70AC"/>
    <w:rsid w:val="001D12D1"/>
    <w:rsid w:val="001D15DF"/>
    <w:rsid w:val="001D1B40"/>
    <w:rsid w:val="001D2BCA"/>
    <w:rsid w:val="001D31A0"/>
    <w:rsid w:val="001D338E"/>
    <w:rsid w:val="001D43EA"/>
    <w:rsid w:val="001D56E9"/>
    <w:rsid w:val="001D796A"/>
    <w:rsid w:val="001D7A84"/>
    <w:rsid w:val="001E1868"/>
    <w:rsid w:val="001E1D38"/>
    <w:rsid w:val="001E39D2"/>
    <w:rsid w:val="001E70FB"/>
    <w:rsid w:val="001E780A"/>
    <w:rsid w:val="001E7B35"/>
    <w:rsid w:val="001F0FA0"/>
    <w:rsid w:val="001F1349"/>
    <w:rsid w:val="001F1CF2"/>
    <w:rsid w:val="001F2356"/>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06E15"/>
    <w:rsid w:val="0021069B"/>
    <w:rsid w:val="002110EB"/>
    <w:rsid w:val="00211338"/>
    <w:rsid w:val="00211349"/>
    <w:rsid w:val="00211388"/>
    <w:rsid w:val="0021148C"/>
    <w:rsid w:val="0021201A"/>
    <w:rsid w:val="00213A1F"/>
    <w:rsid w:val="00213C63"/>
    <w:rsid w:val="00214741"/>
    <w:rsid w:val="0021539A"/>
    <w:rsid w:val="00215852"/>
    <w:rsid w:val="00215BF0"/>
    <w:rsid w:val="00216264"/>
    <w:rsid w:val="00216B86"/>
    <w:rsid w:val="00217DB8"/>
    <w:rsid w:val="00221078"/>
    <w:rsid w:val="002221CE"/>
    <w:rsid w:val="00222BE8"/>
    <w:rsid w:val="00222C1B"/>
    <w:rsid w:val="00226055"/>
    <w:rsid w:val="0022613F"/>
    <w:rsid w:val="00226236"/>
    <w:rsid w:val="002270C9"/>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31D7"/>
    <w:rsid w:val="00244058"/>
    <w:rsid w:val="00244B53"/>
    <w:rsid w:val="00245E07"/>
    <w:rsid w:val="00247712"/>
    <w:rsid w:val="00251866"/>
    <w:rsid w:val="002519A5"/>
    <w:rsid w:val="00251A9F"/>
    <w:rsid w:val="00252492"/>
    <w:rsid w:val="00252B35"/>
    <w:rsid w:val="00253A02"/>
    <w:rsid w:val="00253B81"/>
    <w:rsid w:val="002554DE"/>
    <w:rsid w:val="002556AF"/>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1D29"/>
    <w:rsid w:val="002929BB"/>
    <w:rsid w:val="002940C5"/>
    <w:rsid w:val="00297098"/>
    <w:rsid w:val="002A05D4"/>
    <w:rsid w:val="002A0E60"/>
    <w:rsid w:val="002A1776"/>
    <w:rsid w:val="002A1A58"/>
    <w:rsid w:val="002A1B02"/>
    <w:rsid w:val="002A1C53"/>
    <w:rsid w:val="002A28FC"/>
    <w:rsid w:val="002A2EA5"/>
    <w:rsid w:val="002A3844"/>
    <w:rsid w:val="002A3D94"/>
    <w:rsid w:val="002A4067"/>
    <w:rsid w:val="002A4736"/>
    <w:rsid w:val="002A4AB6"/>
    <w:rsid w:val="002A5FA3"/>
    <w:rsid w:val="002A6355"/>
    <w:rsid w:val="002A733D"/>
    <w:rsid w:val="002A7EF2"/>
    <w:rsid w:val="002A7F6D"/>
    <w:rsid w:val="002B02C8"/>
    <w:rsid w:val="002B0753"/>
    <w:rsid w:val="002B1342"/>
    <w:rsid w:val="002B1F85"/>
    <w:rsid w:val="002B27C8"/>
    <w:rsid w:val="002B2A7F"/>
    <w:rsid w:val="002B330B"/>
    <w:rsid w:val="002B477C"/>
    <w:rsid w:val="002B48DB"/>
    <w:rsid w:val="002B4B34"/>
    <w:rsid w:val="002B541A"/>
    <w:rsid w:val="002B5B6B"/>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1302"/>
    <w:rsid w:val="00301B31"/>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720A"/>
    <w:rsid w:val="00317C9D"/>
    <w:rsid w:val="00317CD2"/>
    <w:rsid w:val="0032078D"/>
    <w:rsid w:val="0032137B"/>
    <w:rsid w:val="003213B2"/>
    <w:rsid w:val="00321FA3"/>
    <w:rsid w:val="003227D3"/>
    <w:rsid w:val="00322937"/>
    <w:rsid w:val="00322939"/>
    <w:rsid w:val="003244BD"/>
    <w:rsid w:val="00325D98"/>
    <w:rsid w:val="0032700F"/>
    <w:rsid w:val="00327A5C"/>
    <w:rsid w:val="0033092C"/>
    <w:rsid w:val="0033122A"/>
    <w:rsid w:val="003315AC"/>
    <w:rsid w:val="003316CE"/>
    <w:rsid w:val="00331932"/>
    <w:rsid w:val="00333F77"/>
    <w:rsid w:val="0033463A"/>
    <w:rsid w:val="00335B15"/>
    <w:rsid w:val="00335B21"/>
    <w:rsid w:val="00336104"/>
    <w:rsid w:val="00336729"/>
    <w:rsid w:val="0033726D"/>
    <w:rsid w:val="00337CA8"/>
    <w:rsid w:val="003405AD"/>
    <w:rsid w:val="0034177C"/>
    <w:rsid w:val="00342345"/>
    <w:rsid w:val="00342C27"/>
    <w:rsid w:val="003432C8"/>
    <w:rsid w:val="003434B3"/>
    <w:rsid w:val="00343536"/>
    <w:rsid w:val="00343CAA"/>
    <w:rsid w:val="00343EFB"/>
    <w:rsid w:val="00344760"/>
    <w:rsid w:val="0034621E"/>
    <w:rsid w:val="0034680A"/>
    <w:rsid w:val="00346C62"/>
    <w:rsid w:val="003501E2"/>
    <w:rsid w:val="00351E10"/>
    <w:rsid w:val="00352601"/>
    <w:rsid w:val="0035294D"/>
    <w:rsid w:val="003536F6"/>
    <w:rsid w:val="00353DD5"/>
    <w:rsid w:val="00355131"/>
    <w:rsid w:val="00356AF3"/>
    <w:rsid w:val="00362095"/>
    <w:rsid w:val="00363080"/>
    <w:rsid w:val="00363857"/>
    <w:rsid w:val="00363D59"/>
    <w:rsid w:val="0036498C"/>
    <w:rsid w:val="003650AE"/>
    <w:rsid w:val="003653C5"/>
    <w:rsid w:val="00365D3A"/>
    <w:rsid w:val="003664FF"/>
    <w:rsid w:val="003670B8"/>
    <w:rsid w:val="003706F2"/>
    <w:rsid w:val="0037124F"/>
    <w:rsid w:val="003714F1"/>
    <w:rsid w:val="0037507B"/>
    <w:rsid w:val="00375C7C"/>
    <w:rsid w:val="00376D1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4"/>
    <w:rsid w:val="0039615F"/>
    <w:rsid w:val="00396A2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1734"/>
    <w:rsid w:val="003D2894"/>
    <w:rsid w:val="003D2A67"/>
    <w:rsid w:val="003D2B3C"/>
    <w:rsid w:val="003D3292"/>
    <w:rsid w:val="003D3B2E"/>
    <w:rsid w:val="003D49CB"/>
    <w:rsid w:val="003D6724"/>
    <w:rsid w:val="003D6B8F"/>
    <w:rsid w:val="003D6C30"/>
    <w:rsid w:val="003D7566"/>
    <w:rsid w:val="003E159D"/>
    <w:rsid w:val="003E250E"/>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7343"/>
    <w:rsid w:val="00400002"/>
    <w:rsid w:val="00400054"/>
    <w:rsid w:val="00401B31"/>
    <w:rsid w:val="0040202B"/>
    <w:rsid w:val="00402DE1"/>
    <w:rsid w:val="004037C2"/>
    <w:rsid w:val="00404B43"/>
    <w:rsid w:val="00404EA6"/>
    <w:rsid w:val="00404EBA"/>
    <w:rsid w:val="00405487"/>
    <w:rsid w:val="0040602B"/>
    <w:rsid w:val="00407A7A"/>
    <w:rsid w:val="00407ABC"/>
    <w:rsid w:val="00407F1E"/>
    <w:rsid w:val="00410886"/>
    <w:rsid w:val="00410A88"/>
    <w:rsid w:val="00411317"/>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17F7A"/>
    <w:rsid w:val="004200EE"/>
    <w:rsid w:val="00421838"/>
    <w:rsid w:val="00421FCB"/>
    <w:rsid w:val="00422A38"/>
    <w:rsid w:val="00422DCA"/>
    <w:rsid w:val="004230B6"/>
    <w:rsid w:val="00423F9F"/>
    <w:rsid w:val="00424EC2"/>
    <w:rsid w:val="004251AA"/>
    <w:rsid w:val="00425C43"/>
    <w:rsid w:val="004273FA"/>
    <w:rsid w:val="00430186"/>
    <w:rsid w:val="00430848"/>
    <w:rsid w:val="004317F6"/>
    <w:rsid w:val="0043269A"/>
    <w:rsid w:val="004333C2"/>
    <w:rsid w:val="00434787"/>
    <w:rsid w:val="0043683F"/>
    <w:rsid w:val="00436F40"/>
    <w:rsid w:val="00440DB0"/>
    <w:rsid w:val="00440FAD"/>
    <w:rsid w:val="004420AB"/>
    <w:rsid w:val="004422D6"/>
    <w:rsid w:val="00442CE8"/>
    <w:rsid w:val="00442D4D"/>
    <w:rsid w:val="00443D27"/>
    <w:rsid w:val="004444ED"/>
    <w:rsid w:val="00446037"/>
    <w:rsid w:val="00446046"/>
    <w:rsid w:val="0044642F"/>
    <w:rsid w:val="0044772C"/>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4959"/>
    <w:rsid w:val="00475C5A"/>
    <w:rsid w:val="00475C9C"/>
    <w:rsid w:val="004764A6"/>
    <w:rsid w:val="0047676B"/>
    <w:rsid w:val="0047773C"/>
    <w:rsid w:val="00480050"/>
    <w:rsid w:val="004808DE"/>
    <w:rsid w:val="00481AC4"/>
    <w:rsid w:val="00481DC1"/>
    <w:rsid w:val="00482507"/>
    <w:rsid w:val="0048268A"/>
    <w:rsid w:val="004835CA"/>
    <w:rsid w:val="004836F8"/>
    <w:rsid w:val="004836FE"/>
    <w:rsid w:val="0048459A"/>
    <w:rsid w:val="00484E57"/>
    <w:rsid w:val="00484F0F"/>
    <w:rsid w:val="004861B4"/>
    <w:rsid w:val="00486BD0"/>
    <w:rsid w:val="00486D00"/>
    <w:rsid w:val="00487263"/>
    <w:rsid w:val="0048734F"/>
    <w:rsid w:val="0049029D"/>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659"/>
    <w:rsid w:val="004A6A52"/>
    <w:rsid w:val="004B0F0B"/>
    <w:rsid w:val="004B2197"/>
    <w:rsid w:val="004B298A"/>
    <w:rsid w:val="004B465B"/>
    <w:rsid w:val="004B578D"/>
    <w:rsid w:val="004B5960"/>
    <w:rsid w:val="004B5BE7"/>
    <w:rsid w:val="004B5E2D"/>
    <w:rsid w:val="004B6C07"/>
    <w:rsid w:val="004B788E"/>
    <w:rsid w:val="004B7CDD"/>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545E"/>
    <w:rsid w:val="004D584D"/>
    <w:rsid w:val="004D60AC"/>
    <w:rsid w:val="004D6826"/>
    <w:rsid w:val="004E01E5"/>
    <w:rsid w:val="004E023F"/>
    <w:rsid w:val="004E0742"/>
    <w:rsid w:val="004E0C64"/>
    <w:rsid w:val="004E0F6B"/>
    <w:rsid w:val="004E2084"/>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50047D"/>
    <w:rsid w:val="0050062F"/>
    <w:rsid w:val="0050165B"/>
    <w:rsid w:val="005022A0"/>
    <w:rsid w:val="0050284E"/>
    <w:rsid w:val="00504590"/>
    <w:rsid w:val="00505E35"/>
    <w:rsid w:val="005075CA"/>
    <w:rsid w:val="005076E2"/>
    <w:rsid w:val="0051074C"/>
    <w:rsid w:val="00510DDE"/>
    <w:rsid w:val="00512C4F"/>
    <w:rsid w:val="00513042"/>
    <w:rsid w:val="00513399"/>
    <w:rsid w:val="00513AF2"/>
    <w:rsid w:val="00514575"/>
    <w:rsid w:val="00514C03"/>
    <w:rsid w:val="00514D67"/>
    <w:rsid w:val="00515515"/>
    <w:rsid w:val="00516C5B"/>
    <w:rsid w:val="0051758E"/>
    <w:rsid w:val="00517612"/>
    <w:rsid w:val="00517CFB"/>
    <w:rsid w:val="00520899"/>
    <w:rsid w:val="00520922"/>
    <w:rsid w:val="00523903"/>
    <w:rsid w:val="005239B6"/>
    <w:rsid w:val="005246E7"/>
    <w:rsid w:val="00524BE2"/>
    <w:rsid w:val="00524CC0"/>
    <w:rsid w:val="00524FD2"/>
    <w:rsid w:val="00525621"/>
    <w:rsid w:val="00526431"/>
    <w:rsid w:val="00527E57"/>
    <w:rsid w:val="00530405"/>
    <w:rsid w:val="00530522"/>
    <w:rsid w:val="005305E5"/>
    <w:rsid w:val="00530F38"/>
    <w:rsid w:val="00531F26"/>
    <w:rsid w:val="0053277C"/>
    <w:rsid w:val="005327C0"/>
    <w:rsid w:val="00533101"/>
    <w:rsid w:val="0053344F"/>
    <w:rsid w:val="00533CA9"/>
    <w:rsid w:val="00534EFB"/>
    <w:rsid w:val="00534F60"/>
    <w:rsid w:val="00536053"/>
    <w:rsid w:val="005369E6"/>
    <w:rsid w:val="005371AC"/>
    <w:rsid w:val="00537672"/>
    <w:rsid w:val="0053772F"/>
    <w:rsid w:val="00537B77"/>
    <w:rsid w:val="00537DC6"/>
    <w:rsid w:val="005425A2"/>
    <w:rsid w:val="0054275A"/>
    <w:rsid w:val="0054413A"/>
    <w:rsid w:val="00544288"/>
    <w:rsid w:val="005446BB"/>
    <w:rsid w:val="00545208"/>
    <w:rsid w:val="00545E30"/>
    <w:rsid w:val="00546C9B"/>
    <w:rsid w:val="005474EA"/>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696F"/>
    <w:rsid w:val="00577162"/>
    <w:rsid w:val="0058040C"/>
    <w:rsid w:val="00580D6D"/>
    <w:rsid w:val="005813DE"/>
    <w:rsid w:val="00581796"/>
    <w:rsid w:val="00581B45"/>
    <w:rsid w:val="00582480"/>
    <w:rsid w:val="0058290E"/>
    <w:rsid w:val="00582CAB"/>
    <w:rsid w:val="0058375E"/>
    <w:rsid w:val="00584233"/>
    <w:rsid w:val="005845B1"/>
    <w:rsid w:val="005855AE"/>
    <w:rsid w:val="00585CA8"/>
    <w:rsid w:val="00586412"/>
    <w:rsid w:val="005864B9"/>
    <w:rsid w:val="00586870"/>
    <w:rsid w:val="00590A19"/>
    <w:rsid w:val="00591C03"/>
    <w:rsid w:val="00591E2A"/>
    <w:rsid w:val="005923C4"/>
    <w:rsid w:val="00593F75"/>
    <w:rsid w:val="005940A0"/>
    <w:rsid w:val="00594B5F"/>
    <w:rsid w:val="00596AF7"/>
    <w:rsid w:val="00596CC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B75"/>
    <w:rsid w:val="005A6E00"/>
    <w:rsid w:val="005A7068"/>
    <w:rsid w:val="005A718A"/>
    <w:rsid w:val="005B029F"/>
    <w:rsid w:val="005B1151"/>
    <w:rsid w:val="005B12B2"/>
    <w:rsid w:val="005B143B"/>
    <w:rsid w:val="005B1E45"/>
    <w:rsid w:val="005B21C4"/>
    <w:rsid w:val="005B4948"/>
    <w:rsid w:val="005B501D"/>
    <w:rsid w:val="005B54CC"/>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2B7"/>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725"/>
    <w:rsid w:val="006231AA"/>
    <w:rsid w:val="00623482"/>
    <w:rsid w:val="00623AC2"/>
    <w:rsid w:val="00623E60"/>
    <w:rsid w:val="0062650C"/>
    <w:rsid w:val="006266D7"/>
    <w:rsid w:val="006271DB"/>
    <w:rsid w:val="006274AD"/>
    <w:rsid w:val="006274B9"/>
    <w:rsid w:val="00627532"/>
    <w:rsid w:val="006302AA"/>
    <w:rsid w:val="006310C3"/>
    <w:rsid w:val="0063161E"/>
    <w:rsid w:val="00631BB5"/>
    <w:rsid w:val="00631DD0"/>
    <w:rsid w:val="00632201"/>
    <w:rsid w:val="00633DBF"/>
    <w:rsid w:val="00634122"/>
    <w:rsid w:val="006343B8"/>
    <w:rsid w:val="00635E32"/>
    <w:rsid w:val="006365DE"/>
    <w:rsid w:val="00637836"/>
    <w:rsid w:val="00637C26"/>
    <w:rsid w:val="00641078"/>
    <w:rsid w:val="00641242"/>
    <w:rsid w:val="006433D5"/>
    <w:rsid w:val="0064382E"/>
    <w:rsid w:val="00644C9B"/>
    <w:rsid w:val="00646B20"/>
    <w:rsid w:val="00646B5D"/>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24D"/>
    <w:rsid w:val="00665863"/>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30F2"/>
    <w:rsid w:val="0068553E"/>
    <w:rsid w:val="0068562B"/>
    <w:rsid w:val="00685E7B"/>
    <w:rsid w:val="00686551"/>
    <w:rsid w:val="00690839"/>
    <w:rsid w:val="006908DB"/>
    <w:rsid w:val="00691DE9"/>
    <w:rsid w:val="00691EAA"/>
    <w:rsid w:val="006935BF"/>
    <w:rsid w:val="00693772"/>
    <w:rsid w:val="00694160"/>
    <w:rsid w:val="00695C0C"/>
    <w:rsid w:val="00695E3E"/>
    <w:rsid w:val="00696A05"/>
    <w:rsid w:val="00697665"/>
    <w:rsid w:val="00697C9A"/>
    <w:rsid w:val="00697E68"/>
    <w:rsid w:val="006A0274"/>
    <w:rsid w:val="006A072C"/>
    <w:rsid w:val="006A2A43"/>
    <w:rsid w:val="006A2F9A"/>
    <w:rsid w:val="006A34E4"/>
    <w:rsid w:val="006A3A5A"/>
    <w:rsid w:val="006A44CF"/>
    <w:rsid w:val="006A457D"/>
    <w:rsid w:val="006A55EE"/>
    <w:rsid w:val="006A575B"/>
    <w:rsid w:val="006A59DE"/>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3CA8"/>
    <w:rsid w:val="006E437F"/>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5631"/>
    <w:rsid w:val="00705F62"/>
    <w:rsid w:val="0070739B"/>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50075"/>
    <w:rsid w:val="00750382"/>
    <w:rsid w:val="0075094E"/>
    <w:rsid w:val="00750FB5"/>
    <w:rsid w:val="00751FFB"/>
    <w:rsid w:val="007522E8"/>
    <w:rsid w:val="007531E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4F2"/>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974"/>
    <w:rsid w:val="00796E80"/>
    <w:rsid w:val="00797832"/>
    <w:rsid w:val="007979AD"/>
    <w:rsid w:val="00797A9C"/>
    <w:rsid w:val="007A2341"/>
    <w:rsid w:val="007A38A1"/>
    <w:rsid w:val="007A3B52"/>
    <w:rsid w:val="007A3BBE"/>
    <w:rsid w:val="007A4031"/>
    <w:rsid w:val="007B0313"/>
    <w:rsid w:val="007B0854"/>
    <w:rsid w:val="007B1984"/>
    <w:rsid w:val="007B1D1B"/>
    <w:rsid w:val="007B32F7"/>
    <w:rsid w:val="007B3659"/>
    <w:rsid w:val="007B4632"/>
    <w:rsid w:val="007B46A2"/>
    <w:rsid w:val="007B4828"/>
    <w:rsid w:val="007B4D4A"/>
    <w:rsid w:val="007B5428"/>
    <w:rsid w:val="007B655A"/>
    <w:rsid w:val="007B68FF"/>
    <w:rsid w:val="007B6AE4"/>
    <w:rsid w:val="007B6C64"/>
    <w:rsid w:val="007B6EC8"/>
    <w:rsid w:val="007B6F81"/>
    <w:rsid w:val="007B77F3"/>
    <w:rsid w:val="007B7EA2"/>
    <w:rsid w:val="007C097D"/>
    <w:rsid w:val="007C1672"/>
    <w:rsid w:val="007C3F3B"/>
    <w:rsid w:val="007C55FF"/>
    <w:rsid w:val="007C6339"/>
    <w:rsid w:val="007C7C43"/>
    <w:rsid w:val="007C7F0D"/>
    <w:rsid w:val="007D1134"/>
    <w:rsid w:val="007D23F7"/>
    <w:rsid w:val="007D2566"/>
    <w:rsid w:val="007D3693"/>
    <w:rsid w:val="007D408B"/>
    <w:rsid w:val="007D481A"/>
    <w:rsid w:val="007D58C5"/>
    <w:rsid w:val="007D5DE8"/>
    <w:rsid w:val="007D6316"/>
    <w:rsid w:val="007D7596"/>
    <w:rsid w:val="007D7996"/>
    <w:rsid w:val="007D7CFC"/>
    <w:rsid w:val="007E0B68"/>
    <w:rsid w:val="007E24B7"/>
    <w:rsid w:val="007E2C36"/>
    <w:rsid w:val="007E350D"/>
    <w:rsid w:val="007E3DC4"/>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F90"/>
    <w:rsid w:val="007F32F1"/>
    <w:rsid w:val="007F3320"/>
    <w:rsid w:val="007F3AC1"/>
    <w:rsid w:val="007F4976"/>
    <w:rsid w:val="007F5A56"/>
    <w:rsid w:val="007F616E"/>
    <w:rsid w:val="007F6B46"/>
    <w:rsid w:val="007F72CB"/>
    <w:rsid w:val="007F7635"/>
    <w:rsid w:val="007F785F"/>
    <w:rsid w:val="007F7E36"/>
    <w:rsid w:val="0080108C"/>
    <w:rsid w:val="0080150F"/>
    <w:rsid w:val="0080153A"/>
    <w:rsid w:val="008022C9"/>
    <w:rsid w:val="00802F9E"/>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651"/>
    <w:rsid w:val="008217B7"/>
    <w:rsid w:val="00821A62"/>
    <w:rsid w:val="0082239B"/>
    <w:rsid w:val="0082292E"/>
    <w:rsid w:val="00822D06"/>
    <w:rsid w:val="0082348D"/>
    <w:rsid w:val="008236BE"/>
    <w:rsid w:val="008241CE"/>
    <w:rsid w:val="00825240"/>
    <w:rsid w:val="00825C62"/>
    <w:rsid w:val="00827CC0"/>
    <w:rsid w:val="00831026"/>
    <w:rsid w:val="0083119B"/>
    <w:rsid w:val="00831BAE"/>
    <w:rsid w:val="0083263E"/>
    <w:rsid w:val="00833430"/>
    <w:rsid w:val="0083417F"/>
    <w:rsid w:val="00834188"/>
    <w:rsid w:val="0083487C"/>
    <w:rsid w:val="00834EBA"/>
    <w:rsid w:val="00835140"/>
    <w:rsid w:val="00835143"/>
    <w:rsid w:val="00835741"/>
    <w:rsid w:val="00836E74"/>
    <w:rsid w:val="00836EAB"/>
    <w:rsid w:val="00837937"/>
    <w:rsid w:val="00837D82"/>
    <w:rsid w:val="008405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42FE"/>
    <w:rsid w:val="008557DC"/>
    <w:rsid w:val="00856C06"/>
    <w:rsid w:val="0085790B"/>
    <w:rsid w:val="00857C95"/>
    <w:rsid w:val="00857E78"/>
    <w:rsid w:val="0086122C"/>
    <w:rsid w:val="00861310"/>
    <w:rsid w:val="00861D59"/>
    <w:rsid w:val="00861F53"/>
    <w:rsid w:val="008630A6"/>
    <w:rsid w:val="00863F8A"/>
    <w:rsid w:val="00863FD3"/>
    <w:rsid w:val="00863FE3"/>
    <w:rsid w:val="00864241"/>
    <w:rsid w:val="008642C0"/>
    <w:rsid w:val="0086468A"/>
    <w:rsid w:val="008650BE"/>
    <w:rsid w:val="0086633B"/>
    <w:rsid w:val="00866931"/>
    <w:rsid w:val="00866A25"/>
    <w:rsid w:val="00867512"/>
    <w:rsid w:val="0087033C"/>
    <w:rsid w:val="008718A2"/>
    <w:rsid w:val="00871E3C"/>
    <w:rsid w:val="00872F97"/>
    <w:rsid w:val="00873C24"/>
    <w:rsid w:val="00874607"/>
    <w:rsid w:val="00874915"/>
    <w:rsid w:val="00874B89"/>
    <w:rsid w:val="00875403"/>
    <w:rsid w:val="00876215"/>
    <w:rsid w:val="00877254"/>
    <w:rsid w:val="00877932"/>
    <w:rsid w:val="00880D97"/>
    <w:rsid w:val="0088106B"/>
    <w:rsid w:val="0088107D"/>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74E"/>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18AA"/>
    <w:rsid w:val="008D1A2A"/>
    <w:rsid w:val="008D34E5"/>
    <w:rsid w:val="008D35D9"/>
    <w:rsid w:val="008D3B85"/>
    <w:rsid w:val="008D3F3D"/>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69F8"/>
    <w:rsid w:val="008F7989"/>
    <w:rsid w:val="008F79F0"/>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6C93"/>
    <w:rsid w:val="00937401"/>
    <w:rsid w:val="00937D6B"/>
    <w:rsid w:val="00940477"/>
    <w:rsid w:val="00940876"/>
    <w:rsid w:val="00940A53"/>
    <w:rsid w:val="00940F3C"/>
    <w:rsid w:val="009410E0"/>
    <w:rsid w:val="00942464"/>
    <w:rsid w:val="009444B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67445"/>
    <w:rsid w:val="00970964"/>
    <w:rsid w:val="009709E6"/>
    <w:rsid w:val="00971441"/>
    <w:rsid w:val="009715D4"/>
    <w:rsid w:val="00974B58"/>
    <w:rsid w:val="00975757"/>
    <w:rsid w:val="009761ED"/>
    <w:rsid w:val="009769B4"/>
    <w:rsid w:val="0098022F"/>
    <w:rsid w:val="009810DE"/>
    <w:rsid w:val="0098427D"/>
    <w:rsid w:val="00984567"/>
    <w:rsid w:val="009865D5"/>
    <w:rsid w:val="00986CC5"/>
    <w:rsid w:val="00987C77"/>
    <w:rsid w:val="00990345"/>
    <w:rsid w:val="0099119C"/>
    <w:rsid w:val="0099137A"/>
    <w:rsid w:val="0099211C"/>
    <w:rsid w:val="00995119"/>
    <w:rsid w:val="009953AD"/>
    <w:rsid w:val="00996E1E"/>
    <w:rsid w:val="00997392"/>
    <w:rsid w:val="0099747C"/>
    <w:rsid w:val="0099771C"/>
    <w:rsid w:val="009A01E4"/>
    <w:rsid w:val="009A030E"/>
    <w:rsid w:val="009A0A33"/>
    <w:rsid w:val="009A2435"/>
    <w:rsid w:val="009A38AB"/>
    <w:rsid w:val="009A3D47"/>
    <w:rsid w:val="009A3E03"/>
    <w:rsid w:val="009A5356"/>
    <w:rsid w:val="009A5468"/>
    <w:rsid w:val="009A5D99"/>
    <w:rsid w:val="009A608C"/>
    <w:rsid w:val="009A6E4A"/>
    <w:rsid w:val="009A6FDF"/>
    <w:rsid w:val="009A76D6"/>
    <w:rsid w:val="009A7B73"/>
    <w:rsid w:val="009B1575"/>
    <w:rsid w:val="009B2E29"/>
    <w:rsid w:val="009B3402"/>
    <w:rsid w:val="009B3F6A"/>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388E"/>
    <w:rsid w:val="009F59C2"/>
    <w:rsid w:val="009F5E7F"/>
    <w:rsid w:val="009F6992"/>
    <w:rsid w:val="009F76EA"/>
    <w:rsid w:val="009F78EB"/>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754"/>
    <w:rsid w:val="00A069E0"/>
    <w:rsid w:val="00A06E4A"/>
    <w:rsid w:val="00A078FB"/>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1658"/>
    <w:rsid w:val="00A31910"/>
    <w:rsid w:val="00A31C3E"/>
    <w:rsid w:val="00A34538"/>
    <w:rsid w:val="00A3470C"/>
    <w:rsid w:val="00A3540F"/>
    <w:rsid w:val="00A35630"/>
    <w:rsid w:val="00A360DF"/>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4443"/>
    <w:rsid w:val="00A8487F"/>
    <w:rsid w:val="00A85762"/>
    <w:rsid w:val="00A8754C"/>
    <w:rsid w:val="00A90AD6"/>
    <w:rsid w:val="00A90F12"/>
    <w:rsid w:val="00A93101"/>
    <w:rsid w:val="00A93223"/>
    <w:rsid w:val="00A9366C"/>
    <w:rsid w:val="00A94293"/>
    <w:rsid w:val="00A94BDE"/>
    <w:rsid w:val="00A94F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011"/>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3F"/>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2735"/>
    <w:rsid w:val="00B13CA8"/>
    <w:rsid w:val="00B13E35"/>
    <w:rsid w:val="00B13EC0"/>
    <w:rsid w:val="00B14102"/>
    <w:rsid w:val="00B14D32"/>
    <w:rsid w:val="00B1557C"/>
    <w:rsid w:val="00B155DC"/>
    <w:rsid w:val="00B15766"/>
    <w:rsid w:val="00B1666A"/>
    <w:rsid w:val="00B1686D"/>
    <w:rsid w:val="00B16C66"/>
    <w:rsid w:val="00B17447"/>
    <w:rsid w:val="00B1771D"/>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63D"/>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AA2"/>
    <w:rsid w:val="00B72B91"/>
    <w:rsid w:val="00B73019"/>
    <w:rsid w:val="00B7315F"/>
    <w:rsid w:val="00B7423D"/>
    <w:rsid w:val="00B74D05"/>
    <w:rsid w:val="00B763EC"/>
    <w:rsid w:val="00B777FA"/>
    <w:rsid w:val="00B77850"/>
    <w:rsid w:val="00B7796B"/>
    <w:rsid w:val="00B81964"/>
    <w:rsid w:val="00B81E6F"/>
    <w:rsid w:val="00B82123"/>
    <w:rsid w:val="00B82246"/>
    <w:rsid w:val="00B8225B"/>
    <w:rsid w:val="00B82BB5"/>
    <w:rsid w:val="00B851E4"/>
    <w:rsid w:val="00B854CE"/>
    <w:rsid w:val="00B85681"/>
    <w:rsid w:val="00B860C6"/>
    <w:rsid w:val="00B86672"/>
    <w:rsid w:val="00B8675F"/>
    <w:rsid w:val="00B86877"/>
    <w:rsid w:val="00B8695D"/>
    <w:rsid w:val="00B86E66"/>
    <w:rsid w:val="00B8707C"/>
    <w:rsid w:val="00B873BA"/>
    <w:rsid w:val="00B8746F"/>
    <w:rsid w:val="00B87706"/>
    <w:rsid w:val="00B9129E"/>
    <w:rsid w:val="00B91B8E"/>
    <w:rsid w:val="00B922C5"/>
    <w:rsid w:val="00B92531"/>
    <w:rsid w:val="00B92618"/>
    <w:rsid w:val="00B92B69"/>
    <w:rsid w:val="00B92CC6"/>
    <w:rsid w:val="00B9326F"/>
    <w:rsid w:val="00B935C9"/>
    <w:rsid w:val="00B93E3D"/>
    <w:rsid w:val="00B95464"/>
    <w:rsid w:val="00B95BCF"/>
    <w:rsid w:val="00B95E3D"/>
    <w:rsid w:val="00B9691F"/>
    <w:rsid w:val="00B976C7"/>
    <w:rsid w:val="00BA0C54"/>
    <w:rsid w:val="00BA0C6B"/>
    <w:rsid w:val="00BA1382"/>
    <w:rsid w:val="00BA20D8"/>
    <w:rsid w:val="00BA22FC"/>
    <w:rsid w:val="00BA2F30"/>
    <w:rsid w:val="00BA4771"/>
    <w:rsid w:val="00BA7370"/>
    <w:rsid w:val="00BA778B"/>
    <w:rsid w:val="00BB0888"/>
    <w:rsid w:val="00BB0E9B"/>
    <w:rsid w:val="00BB2841"/>
    <w:rsid w:val="00BB2DB4"/>
    <w:rsid w:val="00BB300F"/>
    <w:rsid w:val="00BB307F"/>
    <w:rsid w:val="00BB32C9"/>
    <w:rsid w:val="00BB35C5"/>
    <w:rsid w:val="00BB4C8E"/>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17D2"/>
    <w:rsid w:val="00BD2063"/>
    <w:rsid w:val="00BD33D9"/>
    <w:rsid w:val="00BD3DEA"/>
    <w:rsid w:val="00BD3E97"/>
    <w:rsid w:val="00BD52FE"/>
    <w:rsid w:val="00BD62CF"/>
    <w:rsid w:val="00BD7516"/>
    <w:rsid w:val="00BD78FE"/>
    <w:rsid w:val="00BE0767"/>
    <w:rsid w:val="00BE12D7"/>
    <w:rsid w:val="00BE13E6"/>
    <w:rsid w:val="00BE18C4"/>
    <w:rsid w:val="00BE18DA"/>
    <w:rsid w:val="00BE26C0"/>
    <w:rsid w:val="00BE4578"/>
    <w:rsid w:val="00BE47B2"/>
    <w:rsid w:val="00BE48C7"/>
    <w:rsid w:val="00BE4F66"/>
    <w:rsid w:val="00BE5238"/>
    <w:rsid w:val="00BE7257"/>
    <w:rsid w:val="00BE7D31"/>
    <w:rsid w:val="00BF020D"/>
    <w:rsid w:val="00BF16A2"/>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1F12"/>
    <w:rsid w:val="00C12150"/>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E1A"/>
    <w:rsid w:val="00C31FCD"/>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6E6E"/>
    <w:rsid w:val="00C47349"/>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4A64"/>
    <w:rsid w:val="00C65151"/>
    <w:rsid w:val="00C66119"/>
    <w:rsid w:val="00C66292"/>
    <w:rsid w:val="00C672A3"/>
    <w:rsid w:val="00C672F1"/>
    <w:rsid w:val="00C673D0"/>
    <w:rsid w:val="00C71E2A"/>
    <w:rsid w:val="00C72F84"/>
    <w:rsid w:val="00C733BA"/>
    <w:rsid w:val="00C76401"/>
    <w:rsid w:val="00C8082B"/>
    <w:rsid w:val="00C8105F"/>
    <w:rsid w:val="00C81A88"/>
    <w:rsid w:val="00C81D46"/>
    <w:rsid w:val="00C82298"/>
    <w:rsid w:val="00C8294F"/>
    <w:rsid w:val="00C833B4"/>
    <w:rsid w:val="00C84284"/>
    <w:rsid w:val="00C8447D"/>
    <w:rsid w:val="00C8508E"/>
    <w:rsid w:val="00C861FC"/>
    <w:rsid w:val="00C9005E"/>
    <w:rsid w:val="00C9011D"/>
    <w:rsid w:val="00C90CA9"/>
    <w:rsid w:val="00C917B1"/>
    <w:rsid w:val="00C9193C"/>
    <w:rsid w:val="00C91B77"/>
    <w:rsid w:val="00C920E2"/>
    <w:rsid w:val="00C93765"/>
    <w:rsid w:val="00C93877"/>
    <w:rsid w:val="00C93D8C"/>
    <w:rsid w:val="00C959BD"/>
    <w:rsid w:val="00C96DBF"/>
    <w:rsid w:val="00C9737D"/>
    <w:rsid w:val="00CA0031"/>
    <w:rsid w:val="00CA0413"/>
    <w:rsid w:val="00CA043A"/>
    <w:rsid w:val="00CA41E7"/>
    <w:rsid w:val="00CA42F4"/>
    <w:rsid w:val="00CA5812"/>
    <w:rsid w:val="00CA5BD4"/>
    <w:rsid w:val="00CA5C14"/>
    <w:rsid w:val="00CA69E7"/>
    <w:rsid w:val="00CA7E7B"/>
    <w:rsid w:val="00CB2D38"/>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D5C"/>
    <w:rsid w:val="00CE3E14"/>
    <w:rsid w:val="00CE4362"/>
    <w:rsid w:val="00CE44C7"/>
    <w:rsid w:val="00CE53CC"/>
    <w:rsid w:val="00CE5F10"/>
    <w:rsid w:val="00CE65A7"/>
    <w:rsid w:val="00CE6EC4"/>
    <w:rsid w:val="00CE7F26"/>
    <w:rsid w:val="00CF1E1D"/>
    <w:rsid w:val="00CF335E"/>
    <w:rsid w:val="00CF35D0"/>
    <w:rsid w:val="00CF369E"/>
    <w:rsid w:val="00CF3DD5"/>
    <w:rsid w:val="00CF4AF7"/>
    <w:rsid w:val="00CF4D20"/>
    <w:rsid w:val="00CF59B1"/>
    <w:rsid w:val="00CF73F8"/>
    <w:rsid w:val="00CF7928"/>
    <w:rsid w:val="00D00083"/>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2EF"/>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A50"/>
    <w:rsid w:val="00D41858"/>
    <w:rsid w:val="00D422DB"/>
    <w:rsid w:val="00D42AC2"/>
    <w:rsid w:val="00D438B8"/>
    <w:rsid w:val="00D44B93"/>
    <w:rsid w:val="00D4515F"/>
    <w:rsid w:val="00D466C9"/>
    <w:rsid w:val="00D52E2F"/>
    <w:rsid w:val="00D52F59"/>
    <w:rsid w:val="00D53E3E"/>
    <w:rsid w:val="00D5616F"/>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E99"/>
    <w:rsid w:val="00D766C7"/>
    <w:rsid w:val="00D7692B"/>
    <w:rsid w:val="00D76B1E"/>
    <w:rsid w:val="00D7734F"/>
    <w:rsid w:val="00D8044C"/>
    <w:rsid w:val="00D805D6"/>
    <w:rsid w:val="00D80D4C"/>
    <w:rsid w:val="00D8184D"/>
    <w:rsid w:val="00D81A7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B03CC"/>
    <w:rsid w:val="00DB14F0"/>
    <w:rsid w:val="00DB1745"/>
    <w:rsid w:val="00DB1AFF"/>
    <w:rsid w:val="00DB219A"/>
    <w:rsid w:val="00DB4292"/>
    <w:rsid w:val="00DB600E"/>
    <w:rsid w:val="00DB7117"/>
    <w:rsid w:val="00DB7760"/>
    <w:rsid w:val="00DB789A"/>
    <w:rsid w:val="00DB7DD4"/>
    <w:rsid w:val="00DC0954"/>
    <w:rsid w:val="00DC15BA"/>
    <w:rsid w:val="00DC18CD"/>
    <w:rsid w:val="00DC1A68"/>
    <w:rsid w:val="00DC1F2B"/>
    <w:rsid w:val="00DC30B8"/>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0D3"/>
    <w:rsid w:val="00DE69E9"/>
    <w:rsid w:val="00DF0263"/>
    <w:rsid w:val="00DF1E36"/>
    <w:rsid w:val="00DF236B"/>
    <w:rsid w:val="00DF25D3"/>
    <w:rsid w:val="00DF2DC4"/>
    <w:rsid w:val="00DF3889"/>
    <w:rsid w:val="00DF3CC9"/>
    <w:rsid w:val="00DF4451"/>
    <w:rsid w:val="00DF461D"/>
    <w:rsid w:val="00DF499D"/>
    <w:rsid w:val="00DF49FF"/>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280D"/>
    <w:rsid w:val="00E1397F"/>
    <w:rsid w:val="00E13AB8"/>
    <w:rsid w:val="00E1482E"/>
    <w:rsid w:val="00E14D1F"/>
    <w:rsid w:val="00E15943"/>
    <w:rsid w:val="00E1699C"/>
    <w:rsid w:val="00E16B7B"/>
    <w:rsid w:val="00E16E75"/>
    <w:rsid w:val="00E23137"/>
    <w:rsid w:val="00E241E9"/>
    <w:rsid w:val="00E257C3"/>
    <w:rsid w:val="00E25CB3"/>
    <w:rsid w:val="00E25DA4"/>
    <w:rsid w:val="00E26CB8"/>
    <w:rsid w:val="00E26FCF"/>
    <w:rsid w:val="00E26FF6"/>
    <w:rsid w:val="00E270BF"/>
    <w:rsid w:val="00E27165"/>
    <w:rsid w:val="00E3044A"/>
    <w:rsid w:val="00E31A4A"/>
    <w:rsid w:val="00E3332A"/>
    <w:rsid w:val="00E3344A"/>
    <w:rsid w:val="00E33B29"/>
    <w:rsid w:val="00E33B62"/>
    <w:rsid w:val="00E3403D"/>
    <w:rsid w:val="00E34E6C"/>
    <w:rsid w:val="00E353E2"/>
    <w:rsid w:val="00E36345"/>
    <w:rsid w:val="00E36B2F"/>
    <w:rsid w:val="00E36C86"/>
    <w:rsid w:val="00E36CEB"/>
    <w:rsid w:val="00E379AD"/>
    <w:rsid w:val="00E40430"/>
    <w:rsid w:val="00E40690"/>
    <w:rsid w:val="00E4143A"/>
    <w:rsid w:val="00E424C8"/>
    <w:rsid w:val="00E4251D"/>
    <w:rsid w:val="00E43D00"/>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700"/>
    <w:rsid w:val="00E65074"/>
    <w:rsid w:val="00E65E70"/>
    <w:rsid w:val="00E66087"/>
    <w:rsid w:val="00E66FF9"/>
    <w:rsid w:val="00E67856"/>
    <w:rsid w:val="00E709B8"/>
    <w:rsid w:val="00E724E7"/>
    <w:rsid w:val="00E7347B"/>
    <w:rsid w:val="00E73D03"/>
    <w:rsid w:val="00E740D4"/>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996"/>
    <w:rsid w:val="00EA2744"/>
    <w:rsid w:val="00EA37B9"/>
    <w:rsid w:val="00EA3DC2"/>
    <w:rsid w:val="00EA4757"/>
    <w:rsid w:val="00EA5513"/>
    <w:rsid w:val="00EA560B"/>
    <w:rsid w:val="00EA5669"/>
    <w:rsid w:val="00EA63EF"/>
    <w:rsid w:val="00EA7C5A"/>
    <w:rsid w:val="00EB0A89"/>
    <w:rsid w:val="00EB1910"/>
    <w:rsid w:val="00EB2E97"/>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63"/>
    <w:rsid w:val="00F12AF8"/>
    <w:rsid w:val="00F148B7"/>
    <w:rsid w:val="00F15505"/>
    <w:rsid w:val="00F15BFF"/>
    <w:rsid w:val="00F213A0"/>
    <w:rsid w:val="00F21D54"/>
    <w:rsid w:val="00F23113"/>
    <w:rsid w:val="00F23255"/>
    <w:rsid w:val="00F24644"/>
    <w:rsid w:val="00F2532E"/>
    <w:rsid w:val="00F30400"/>
    <w:rsid w:val="00F30DFF"/>
    <w:rsid w:val="00F33830"/>
    <w:rsid w:val="00F3418B"/>
    <w:rsid w:val="00F346ED"/>
    <w:rsid w:val="00F34945"/>
    <w:rsid w:val="00F34E1E"/>
    <w:rsid w:val="00F368FF"/>
    <w:rsid w:val="00F37068"/>
    <w:rsid w:val="00F40992"/>
    <w:rsid w:val="00F41596"/>
    <w:rsid w:val="00F41A61"/>
    <w:rsid w:val="00F41D8B"/>
    <w:rsid w:val="00F42121"/>
    <w:rsid w:val="00F428B4"/>
    <w:rsid w:val="00F43064"/>
    <w:rsid w:val="00F4345D"/>
    <w:rsid w:val="00F4387B"/>
    <w:rsid w:val="00F45B91"/>
    <w:rsid w:val="00F46639"/>
    <w:rsid w:val="00F50183"/>
    <w:rsid w:val="00F50D92"/>
    <w:rsid w:val="00F51765"/>
    <w:rsid w:val="00F51A03"/>
    <w:rsid w:val="00F51A51"/>
    <w:rsid w:val="00F51CB4"/>
    <w:rsid w:val="00F51CFD"/>
    <w:rsid w:val="00F52094"/>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A3C"/>
    <w:rsid w:val="00F66EE1"/>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A3F"/>
    <w:rsid w:val="00F91CB2"/>
    <w:rsid w:val="00F921F9"/>
    <w:rsid w:val="00F9289C"/>
    <w:rsid w:val="00F94644"/>
    <w:rsid w:val="00F9537B"/>
    <w:rsid w:val="00F954E2"/>
    <w:rsid w:val="00F95FAA"/>
    <w:rsid w:val="00F96027"/>
    <w:rsid w:val="00F963FC"/>
    <w:rsid w:val="00FA015F"/>
    <w:rsid w:val="00FA144D"/>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183"/>
    <w:rsid w:val="00FC5CF4"/>
    <w:rsid w:val="00FC6A39"/>
    <w:rsid w:val="00FC790C"/>
    <w:rsid w:val="00FC79AB"/>
    <w:rsid w:val="00FC7DAC"/>
    <w:rsid w:val="00FD04AE"/>
    <w:rsid w:val="00FD107C"/>
    <w:rsid w:val="00FD1994"/>
    <w:rsid w:val="00FD393C"/>
    <w:rsid w:val="00FD4AF3"/>
    <w:rsid w:val="00FD5509"/>
    <w:rsid w:val="00FD5FD6"/>
    <w:rsid w:val="00FD798D"/>
    <w:rsid w:val="00FE141E"/>
    <w:rsid w:val="00FE144E"/>
    <w:rsid w:val="00FE2558"/>
    <w:rsid w:val="00FE2560"/>
    <w:rsid w:val="00FE35D0"/>
    <w:rsid w:val="00FE42ED"/>
    <w:rsid w:val="00FE55A7"/>
    <w:rsid w:val="00FE5C5A"/>
    <w:rsid w:val="00FE6432"/>
    <w:rsid w:val="00FE72A0"/>
    <w:rsid w:val="00FF0050"/>
    <w:rsid w:val="00FF045F"/>
    <w:rsid w:val="00FF13D4"/>
    <w:rsid w:val="00FF31F5"/>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9"/>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paragraph" w:customStyle="1" w:styleId="xmsonospacing">
    <w:name w:val="x_msonospacing"/>
    <w:basedOn w:val="Normal"/>
    <w:rsid w:val="000A74A5"/>
    <w:pPr>
      <w:spacing w:before="100" w:beforeAutospacing="1" w:after="100" w:afterAutospacing="1"/>
    </w:pPr>
    <w:rPr>
      <w:rFonts w:ascii="Times New Roman" w:eastAsia="Times New Roman" w:hAnsi="Times New Roman" w:cs="Times New Roman"/>
      <w:szCs w:val="24"/>
      <w:lang w:val="es-CO" w:eastAsia="es-MX"/>
    </w:rPr>
  </w:style>
  <w:style w:type="numbering" w:customStyle="1" w:styleId="Sinlista1">
    <w:name w:val="Sin lista1"/>
    <w:next w:val="Sinlista"/>
    <w:uiPriority w:val="99"/>
    <w:semiHidden/>
    <w:unhideWhenUsed/>
    <w:rsid w:val="00211349"/>
  </w:style>
  <w:style w:type="table" w:customStyle="1" w:styleId="TableNormal">
    <w:name w:val="Table Normal"/>
    <w:uiPriority w:val="2"/>
    <w:semiHidden/>
    <w:unhideWhenUsed/>
    <w:qFormat/>
    <w:rsid w:val="00211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1349"/>
    <w:pPr>
      <w:widowControl w:val="0"/>
      <w:autoSpaceDE w:val="0"/>
      <w:autoSpaceDN w:val="0"/>
    </w:pPr>
    <w:rPr>
      <w:rFonts w:ascii="Arial" w:eastAsia="Arial" w:hAnsi="Arial" w:cs="Arial"/>
      <w:sz w:val="22"/>
      <w:lang w:val="es-ES"/>
    </w:rPr>
  </w:style>
  <w:style w:type="character" w:customStyle="1" w:styleId="NormalWebCar">
    <w:name w:val="Normal (Web) Car"/>
    <w:link w:val="NormalWeb"/>
    <w:uiPriority w:val="99"/>
    <w:rsid w:val="0036498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152">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205064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83827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916846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9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463C4F6-9DB1-4999-BD26-61F53EF8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19</TotalTime>
  <Pages>22</Pages>
  <Words>7946</Words>
  <Characters>43707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4</cp:revision>
  <cp:lastPrinted>2020-01-30T15:05:00Z</cp:lastPrinted>
  <dcterms:created xsi:type="dcterms:W3CDTF">2021-07-08T22:03:00Z</dcterms:created>
  <dcterms:modified xsi:type="dcterms:W3CDTF">2021-07-09T14:47:00Z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