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D4128C"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D4128C">
        <w:rPr>
          <w:rFonts w:ascii="Arial" w:hAnsi="Arial" w:cs="Arial"/>
          <w:bCs/>
          <w:color w:val="000000" w:themeColor="text1"/>
          <w:sz w:val="16"/>
          <w:szCs w:val="16"/>
          <w:lang w:val="es-ES_tradnl" w:eastAsia="es-ES"/>
        </w:rPr>
        <w:t>CCE-DES-FM-17</w:t>
      </w:r>
      <w:bookmarkEnd w:id="0"/>
      <w:bookmarkEnd w:id="1"/>
    </w:p>
    <w:p w14:paraId="17A05F16" w14:textId="77777777" w:rsidR="00580772" w:rsidRPr="00D4128C" w:rsidRDefault="00580772" w:rsidP="00E52CE7">
      <w:pPr>
        <w:jc w:val="both"/>
        <w:rPr>
          <w:rFonts w:ascii="Arial" w:eastAsia="Calibri" w:hAnsi="Arial" w:cs="Arial"/>
          <w:b/>
          <w:color w:val="000000" w:themeColor="text1"/>
          <w:sz w:val="22"/>
          <w:lang w:val="es-ES_tradnl"/>
        </w:rPr>
      </w:pPr>
    </w:p>
    <w:p w14:paraId="64996323" w14:textId="77777777" w:rsidR="00FA3247" w:rsidRPr="009C6262" w:rsidRDefault="00FA3247" w:rsidP="00FA3247">
      <w:pPr>
        <w:jc w:val="both"/>
        <w:rPr>
          <w:rFonts w:ascii="Arial" w:eastAsia="Calibri" w:hAnsi="Arial" w:cs="Arial"/>
          <w:b/>
          <w:color w:val="000000" w:themeColor="text1"/>
          <w:sz w:val="22"/>
          <w:szCs w:val="22"/>
          <w:lang w:val="es-ES_tradnl"/>
        </w:rPr>
      </w:pPr>
      <w:r w:rsidRPr="009C6262">
        <w:rPr>
          <w:rFonts w:ascii="Arial" w:eastAsia="Calibri" w:hAnsi="Arial" w:cs="Arial"/>
          <w:b/>
          <w:color w:val="000000" w:themeColor="text1"/>
          <w:sz w:val="22"/>
          <w:szCs w:val="22"/>
          <w:lang w:val="es-ES_tradnl"/>
        </w:rPr>
        <w:t xml:space="preserve">DISTRIBUCIÓN DE RIESGOS – Deber legal </w:t>
      </w:r>
    </w:p>
    <w:p w14:paraId="6B7D3012" w14:textId="77777777" w:rsidR="00FA3247" w:rsidRPr="00D4128C" w:rsidRDefault="00FA3247" w:rsidP="00FA3247">
      <w:pPr>
        <w:jc w:val="both"/>
        <w:rPr>
          <w:rFonts w:ascii="Arial" w:eastAsia="Calibri" w:hAnsi="Arial" w:cs="Arial"/>
          <w:color w:val="000000" w:themeColor="text1"/>
          <w:sz w:val="22"/>
          <w:highlight w:val="yellow"/>
          <w:lang w:val="es-ES_tradnl"/>
        </w:rPr>
      </w:pPr>
    </w:p>
    <w:p w14:paraId="63D31DE9" w14:textId="75E6DBA9" w:rsidR="00FA3247" w:rsidRPr="00D4128C" w:rsidRDefault="00C83A0B" w:rsidP="00FA3247">
      <w:pPr>
        <w:jc w:val="both"/>
        <w:rPr>
          <w:rFonts w:ascii="Arial" w:hAnsi="Arial" w:cs="Arial"/>
          <w:color w:val="000000" w:themeColor="text1"/>
          <w:sz w:val="20"/>
          <w:szCs w:val="20"/>
          <w:highlight w:val="yellow"/>
          <w:lang w:val="es-ES_tradnl"/>
        </w:rPr>
      </w:pPr>
      <w:r w:rsidRPr="00C83A0B">
        <w:rPr>
          <w:rFonts w:ascii="Arial" w:hAnsi="Arial" w:cs="Arial"/>
          <w:color w:val="000000" w:themeColor="text1"/>
          <w:sz w:val="20"/>
          <w:szCs w:val="20"/>
          <w:lang w:val="es-ES_tradnl"/>
        </w:rPr>
        <w:t>En materia de contratación pública, el marco normativo ha establecido el deber de las entidades públicas de incluir en los pliegos de condiciones o sus equivalentes la estimación, tipificación y asignación de riesgos previsibles involucrados en la contratación. Esto, con el fin de administrarlos, controlarlos, gestionarlos, mitigarlos y efectuar una distribución proporcional entre las partes, «actividad que debe sujetarse a un criterio de justicia y equidad, al tiempo que corresponde ejercerse con apego a los principios y reglas constitucionales y legales que orientan la actividad contractual del Estado». La Ley 1150 de 2007, en su artículo 4, regula la materia,</w:t>
      </w:r>
      <w:r w:rsidR="009C6262">
        <w:rPr>
          <w:rFonts w:ascii="Arial" w:hAnsi="Arial" w:cs="Arial"/>
          <w:color w:val="000000" w:themeColor="text1"/>
          <w:sz w:val="20"/>
          <w:szCs w:val="20"/>
          <w:lang w:val="es-ES_tradnl"/>
        </w:rPr>
        <w:t xml:space="preserve"> […].</w:t>
      </w:r>
    </w:p>
    <w:p w14:paraId="106BA5FD" w14:textId="77777777" w:rsidR="00C83A0B" w:rsidRDefault="00C83A0B" w:rsidP="00FA3247">
      <w:pPr>
        <w:jc w:val="both"/>
        <w:rPr>
          <w:rFonts w:ascii="Arial" w:hAnsi="Arial" w:cs="Arial"/>
          <w:b/>
          <w:color w:val="000000" w:themeColor="text1"/>
          <w:sz w:val="22"/>
          <w:szCs w:val="22"/>
          <w:highlight w:val="yellow"/>
          <w:lang w:val="es-ES_tradnl"/>
        </w:rPr>
      </w:pPr>
    </w:p>
    <w:p w14:paraId="352F7160" w14:textId="05EDD75C" w:rsidR="00FA3247" w:rsidRPr="003F7699" w:rsidRDefault="00FA3247" w:rsidP="00FA3247">
      <w:pPr>
        <w:jc w:val="both"/>
        <w:rPr>
          <w:rFonts w:ascii="Arial" w:hAnsi="Arial" w:cs="Arial"/>
          <w:b/>
          <w:color w:val="000000" w:themeColor="text1"/>
          <w:sz w:val="22"/>
          <w:szCs w:val="22"/>
          <w:lang w:val="es-ES_tradnl"/>
        </w:rPr>
      </w:pPr>
      <w:r w:rsidRPr="003F7699">
        <w:rPr>
          <w:rFonts w:ascii="Arial" w:hAnsi="Arial" w:cs="Arial"/>
          <w:b/>
          <w:color w:val="000000" w:themeColor="text1"/>
          <w:sz w:val="22"/>
          <w:szCs w:val="22"/>
          <w:lang w:val="es-ES_tradnl"/>
        </w:rPr>
        <w:t xml:space="preserve">AUDIENCIA DE ASIGNACIÓN DE RIESGOS – Marco normativo – Licitación pública </w:t>
      </w:r>
    </w:p>
    <w:p w14:paraId="781D41C5" w14:textId="77777777" w:rsidR="00FA3247" w:rsidRPr="00D4128C" w:rsidRDefault="00FA3247" w:rsidP="00FA3247">
      <w:pPr>
        <w:jc w:val="both"/>
        <w:rPr>
          <w:rFonts w:ascii="Arial" w:hAnsi="Arial" w:cs="Arial"/>
          <w:b/>
          <w:color w:val="000000" w:themeColor="text1"/>
          <w:sz w:val="20"/>
          <w:szCs w:val="20"/>
          <w:highlight w:val="yellow"/>
          <w:lang w:val="es-ES_tradnl"/>
        </w:rPr>
      </w:pPr>
    </w:p>
    <w:p w14:paraId="08926EAF" w14:textId="632AB2D8" w:rsidR="00FA3247" w:rsidRDefault="003F7699" w:rsidP="00FA3247">
      <w:pPr>
        <w:jc w:val="both"/>
        <w:rPr>
          <w:rFonts w:ascii="Arial" w:hAnsi="Arial" w:cs="Arial"/>
          <w:color w:val="000000" w:themeColor="text1"/>
          <w:sz w:val="20"/>
          <w:szCs w:val="20"/>
          <w:lang w:val="es-ES_tradnl"/>
        </w:rPr>
      </w:pPr>
      <w:r w:rsidRPr="003F7699">
        <w:rPr>
          <w:rFonts w:ascii="Arial" w:hAnsi="Arial" w:cs="Arial"/>
          <w:color w:val="000000" w:themeColor="text1"/>
          <w:sz w:val="20"/>
          <w:szCs w:val="20"/>
          <w:lang w:val="es-ES_tradnl"/>
        </w:rPr>
        <w:t xml:space="preserve">De la lectura de este precepto se deduce que en los procedimientos de licitación pública las entidades estatales deben incorporar en el pliego de condicione la estimación, tipificación y asignación de los riesgos previsibles. Además de lo anterior, tienen la obligación de definir un momento para que los oferentes y la entidad estatal revisen la asignación de los riesgos, con el fin de determinar su distribución definitiva. En efecto, el artículo 30, numeral 4, de la Ley 80 de 1993, modificado por el artículo 220 del Decreto-Ley 019 de 2012, indica que en los procesos de licitación pública se debe revisar en audiencia la asignación de riesgos previsibles, con el fin de establecer su estimación, tipificación y asignación definitiva. </w:t>
      </w:r>
      <w:r w:rsidR="00225943">
        <w:rPr>
          <w:rFonts w:ascii="Arial" w:hAnsi="Arial" w:cs="Arial"/>
          <w:color w:val="000000" w:themeColor="text1"/>
          <w:sz w:val="20"/>
          <w:szCs w:val="20"/>
          <w:lang w:val="es-ES_tradnl"/>
        </w:rPr>
        <w:t>[…]</w:t>
      </w:r>
      <w:r w:rsidR="00022B62">
        <w:rPr>
          <w:rFonts w:ascii="Arial" w:hAnsi="Arial" w:cs="Arial"/>
          <w:color w:val="000000" w:themeColor="text1"/>
          <w:sz w:val="20"/>
          <w:szCs w:val="20"/>
          <w:lang w:val="es-ES_tradnl"/>
        </w:rPr>
        <w:t>.</w:t>
      </w:r>
    </w:p>
    <w:p w14:paraId="54191891" w14:textId="77777777" w:rsidR="00FA3247" w:rsidRPr="00D4128C" w:rsidRDefault="00FA3247" w:rsidP="00FA3247">
      <w:pPr>
        <w:jc w:val="both"/>
        <w:rPr>
          <w:rFonts w:ascii="Arial" w:hAnsi="Arial" w:cs="Arial"/>
          <w:color w:val="000000" w:themeColor="text1"/>
          <w:sz w:val="20"/>
          <w:szCs w:val="20"/>
          <w:highlight w:val="yellow"/>
          <w:lang w:val="es-ES_tradnl"/>
        </w:rPr>
      </w:pPr>
    </w:p>
    <w:p w14:paraId="61D061F1" w14:textId="77777777" w:rsidR="00FA3247" w:rsidRPr="005D40B4" w:rsidRDefault="00FA3247" w:rsidP="00FA3247">
      <w:pPr>
        <w:jc w:val="both"/>
        <w:rPr>
          <w:rFonts w:ascii="Arial" w:hAnsi="Arial" w:cs="Arial"/>
          <w:b/>
          <w:color w:val="000000" w:themeColor="text1"/>
          <w:sz w:val="22"/>
          <w:szCs w:val="22"/>
          <w:lang w:val="es-ES_tradnl"/>
        </w:rPr>
      </w:pPr>
      <w:r w:rsidRPr="005D40B4">
        <w:rPr>
          <w:rFonts w:ascii="Arial" w:hAnsi="Arial" w:cs="Arial"/>
          <w:b/>
          <w:color w:val="000000" w:themeColor="text1"/>
          <w:sz w:val="22"/>
          <w:szCs w:val="22"/>
          <w:lang w:val="es-ES_tradnl"/>
        </w:rPr>
        <w:t>AUDIENCIA DE ASIGNACIÓN DE RIESGOS – Participación del proponente</w:t>
      </w:r>
    </w:p>
    <w:p w14:paraId="124A50A4" w14:textId="77777777" w:rsidR="00FA3247" w:rsidRPr="00D4128C" w:rsidRDefault="00FA3247" w:rsidP="00FA3247">
      <w:pPr>
        <w:jc w:val="both"/>
        <w:rPr>
          <w:rFonts w:ascii="Arial" w:hAnsi="Arial" w:cs="Arial"/>
          <w:b/>
          <w:color w:val="000000" w:themeColor="text1"/>
          <w:sz w:val="20"/>
          <w:szCs w:val="20"/>
          <w:highlight w:val="yellow"/>
          <w:lang w:val="es-ES_tradnl"/>
        </w:rPr>
      </w:pPr>
    </w:p>
    <w:p w14:paraId="6B13742B" w14:textId="781BE5E7" w:rsidR="00FA3247" w:rsidRPr="00D4128C" w:rsidRDefault="005D40B4" w:rsidP="00022B62">
      <w:pPr>
        <w:jc w:val="both"/>
        <w:rPr>
          <w:rFonts w:ascii="Arial" w:hAnsi="Arial" w:cs="Arial"/>
          <w:color w:val="000000" w:themeColor="text1"/>
          <w:sz w:val="20"/>
          <w:szCs w:val="20"/>
          <w:highlight w:val="yellow"/>
          <w:lang w:val="es-ES_tradnl"/>
        </w:rPr>
      </w:pPr>
      <w:r w:rsidRPr="005D40B4">
        <w:rPr>
          <w:rFonts w:ascii="Arial" w:hAnsi="Arial" w:cs="Arial"/>
          <w:color w:val="000000" w:themeColor="text1"/>
          <w:sz w:val="20"/>
          <w:szCs w:val="20"/>
          <w:lang w:val="es-ES_tradnl"/>
        </w:rPr>
        <w:t xml:space="preserve">Así las cosas, la participación en la audiencia de asignación de riesgos en los procesos de licitación pública es un derecho del futuro proponente, que puede o no ejercer.  El efecto práctico de su inasistencia no es otro que la aceptación de los riesgos en la forma que lo haya establecido la entidad pública contratante. Lo señalado significa </w:t>
      </w:r>
      <w:proofErr w:type="gramStart"/>
      <w:r w:rsidRPr="005D40B4">
        <w:rPr>
          <w:rFonts w:ascii="Arial" w:hAnsi="Arial" w:cs="Arial"/>
          <w:color w:val="000000" w:themeColor="text1"/>
          <w:sz w:val="20"/>
          <w:szCs w:val="20"/>
          <w:lang w:val="es-ES_tradnl"/>
        </w:rPr>
        <w:t>que</w:t>
      </w:r>
      <w:proofErr w:type="gramEnd"/>
      <w:r w:rsidRPr="005D40B4">
        <w:rPr>
          <w:rFonts w:ascii="Arial" w:hAnsi="Arial" w:cs="Arial"/>
          <w:color w:val="000000" w:themeColor="text1"/>
          <w:sz w:val="20"/>
          <w:szCs w:val="20"/>
          <w:lang w:val="es-ES_tradnl"/>
        </w:rPr>
        <w:t xml:space="preserve"> si el futuro proponente no acude a la audiencia de asignación de riesgos y tampoco efectúa las observaciones respectivas durante la etapa establecida en el pliego de condiciones para tal efecto, se produce una aceptación de la forma en que los riesgos han sido estimados, tipificados y distribuidos a las partes, lo cual tendrá repercusión en todas las etapas del proceso de contratación. De ahí la importancia de que los posibles oferentes conozcan la distribución de los riesgos y puedan tener la oportunidad de revisarlos y objetarlos.  En caso de que se concrete el riesgo, estos deberán asumirse de la manera en que fueron dispuestos y aceptados por las partes. </w:t>
      </w:r>
      <w:r>
        <w:rPr>
          <w:rFonts w:ascii="Arial" w:hAnsi="Arial" w:cs="Arial"/>
          <w:color w:val="000000" w:themeColor="text1"/>
          <w:sz w:val="20"/>
          <w:szCs w:val="20"/>
          <w:lang w:val="es-ES_tradnl"/>
        </w:rPr>
        <w:t>[…]</w:t>
      </w:r>
      <w:r w:rsidR="00022B62">
        <w:rPr>
          <w:rFonts w:ascii="Arial" w:hAnsi="Arial" w:cs="Arial"/>
          <w:color w:val="000000" w:themeColor="text1"/>
          <w:sz w:val="20"/>
          <w:szCs w:val="20"/>
          <w:lang w:val="es-ES_tradnl"/>
        </w:rPr>
        <w:t>.</w:t>
      </w:r>
    </w:p>
    <w:p w14:paraId="645C7DFF" w14:textId="77777777" w:rsidR="00FA3247" w:rsidRPr="00D4128C" w:rsidRDefault="00FA3247" w:rsidP="00FA3247">
      <w:pPr>
        <w:jc w:val="both"/>
        <w:rPr>
          <w:rFonts w:ascii="Arial" w:hAnsi="Arial" w:cs="Arial"/>
          <w:color w:val="000000" w:themeColor="text1"/>
          <w:sz w:val="20"/>
          <w:szCs w:val="20"/>
          <w:highlight w:val="yellow"/>
          <w:lang w:val="es-ES_tradnl"/>
        </w:rPr>
      </w:pPr>
    </w:p>
    <w:p w14:paraId="70936F10" w14:textId="3CA27B57" w:rsidR="005D40B4" w:rsidRPr="005D40B4" w:rsidRDefault="005D40B4" w:rsidP="005D40B4">
      <w:pPr>
        <w:jc w:val="both"/>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OPORTUNIDAD</w:t>
      </w:r>
      <w:r w:rsidRPr="005D40B4">
        <w:rPr>
          <w:rFonts w:ascii="Arial" w:hAnsi="Arial" w:cs="Arial"/>
          <w:b/>
          <w:color w:val="000000" w:themeColor="text1"/>
          <w:sz w:val="22"/>
          <w:szCs w:val="22"/>
          <w:lang w:val="es-ES_tradnl"/>
        </w:rPr>
        <w:t xml:space="preserve"> – </w:t>
      </w:r>
      <w:r>
        <w:rPr>
          <w:rFonts w:ascii="Arial" w:hAnsi="Arial" w:cs="Arial"/>
          <w:b/>
          <w:color w:val="000000" w:themeColor="text1"/>
          <w:sz w:val="22"/>
          <w:szCs w:val="22"/>
          <w:lang w:val="es-ES_tradnl"/>
        </w:rPr>
        <w:t>Audiencia de asignación de riesgos</w:t>
      </w:r>
      <w:r w:rsidR="004746F8">
        <w:rPr>
          <w:rFonts w:ascii="Arial" w:hAnsi="Arial" w:cs="Arial"/>
          <w:b/>
          <w:color w:val="000000" w:themeColor="text1"/>
          <w:sz w:val="22"/>
          <w:szCs w:val="22"/>
          <w:lang w:val="es-ES_tradnl"/>
        </w:rPr>
        <w:t xml:space="preserve"> – Carácter preclusivo</w:t>
      </w:r>
    </w:p>
    <w:p w14:paraId="0D2DF5F4" w14:textId="40628F13" w:rsidR="004602E2" w:rsidRDefault="004602E2">
      <w:pPr>
        <w:tabs>
          <w:tab w:val="left" w:pos="709"/>
        </w:tabs>
        <w:jc w:val="both"/>
        <w:rPr>
          <w:rFonts w:ascii="Arial" w:eastAsia="Calibri" w:hAnsi="Arial" w:cs="Arial"/>
          <w:color w:val="000000" w:themeColor="text1"/>
          <w:sz w:val="22"/>
          <w:szCs w:val="22"/>
          <w:lang w:val="es-ES_tradnl"/>
        </w:rPr>
      </w:pPr>
    </w:p>
    <w:p w14:paraId="201796E8" w14:textId="733B7F65" w:rsidR="004746F8" w:rsidRPr="00022B62" w:rsidRDefault="004746F8" w:rsidP="00022B62">
      <w:pPr>
        <w:tabs>
          <w:tab w:val="left" w:pos="709"/>
        </w:tabs>
        <w:jc w:val="both"/>
        <w:rPr>
          <w:rFonts w:ascii="Arial" w:eastAsia="Calibri" w:hAnsi="Arial" w:cs="Arial"/>
          <w:color w:val="000000" w:themeColor="text1"/>
          <w:sz w:val="20"/>
          <w:szCs w:val="20"/>
          <w:lang w:val="es-ES_tradnl"/>
        </w:rPr>
      </w:pPr>
      <w:r w:rsidRPr="00022B62">
        <w:rPr>
          <w:rFonts w:ascii="Arial" w:eastAsia="Calibri" w:hAnsi="Arial" w:cs="Arial"/>
          <w:color w:val="000000" w:themeColor="text1"/>
          <w:sz w:val="20"/>
          <w:szCs w:val="20"/>
          <w:lang w:val="es-ES_tradnl"/>
        </w:rPr>
        <w:t xml:space="preserve">Al tratarse de una audiencia obligatoria dentro de la licitación y al establecerse un término específico para su realización, la audiencia de asignación de riesgos debe efectuarse en el plazo definido en la ley. Aunque las entidades estatales tienen discrecionalidad para indicar la fecha exacta de la misma dentro de los tres días siguientes al inicio del plazo para la presentación de las ofertas, no pueden exceder este período. Esto en la medida en que el artículo 6 de la Constitución hace responsables a los servidores públicos, entre otras circunstancias, por «extralimitación en el ejercicio de sus funciones» y el artículo 25, numeral 1, de la Ley 80 de 1993 –que desarrolla el principio de economía– dispone: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w:t>
      </w:r>
      <w:r w:rsidRPr="00022B62">
        <w:rPr>
          <w:rFonts w:ascii="Arial" w:eastAsia="Calibri" w:hAnsi="Arial" w:cs="Arial"/>
          <w:color w:val="000000" w:themeColor="text1"/>
          <w:sz w:val="20"/>
          <w:szCs w:val="20"/>
          <w:lang w:val="es-ES_tradnl"/>
        </w:rPr>
        <w:lastRenderedPageBreak/>
        <w:t>impulso oficioso a las actuaciones». A partir de este mandato puede concluirse que el término de tres días siguientes al inicio del plazo de la licitación, para realizar la audiencia de asignación de riesgos, se integra como término preclusivo al pliego de condiciones, exigiendo que en tal marco temporal se fije el momento de la audiencia de asignación de riesgos y prohibiendo su realización en una fecha posterior.</w:t>
      </w:r>
    </w:p>
    <w:p w14:paraId="06A89A23" w14:textId="447DC6F2" w:rsidR="004602E2" w:rsidRDefault="004602E2" w:rsidP="00B2086F">
      <w:pPr>
        <w:spacing w:line="259" w:lineRule="auto"/>
        <w:rPr>
          <w:rFonts w:ascii="Arial" w:hAnsi="Arial" w:cs="Arial"/>
          <w:noProof/>
          <w:color w:val="000000" w:themeColor="text1"/>
          <w:sz w:val="22"/>
          <w:szCs w:val="22"/>
          <w:lang w:val="es-ES_tradnl"/>
        </w:rPr>
      </w:pPr>
    </w:p>
    <w:p w14:paraId="24A7C0FB" w14:textId="18C70CFA" w:rsidR="004746F8" w:rsidRPr="005D40B4" w:rsidRDefault="004746F8" w:rsidP="004746F8">
      <w:pPr>
        <w:jc w:val="both"/>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NULIDAD</w:t>
      </w:r>
      <w:r w:rsidRPr="005D40B4">
        <w:rPr>
          <w:rFonts w:ascii="Arial" w:hAnsi="Arial" w:cs="Arial"/>
          <w:b/>
          <w:color w:val="000000" w:themeColor="text1"/>
          <w:sz w:val="22"/>
          <w:szCs w:val="22"/>
          <w:lang w:val="es-ES_tradnl"/>
        </w:rPr>
        <w:t xml:space="preserve"> –</w:t>
      </w:r>
      <w:r>
        <w:rPr>
          <w:rFonts w:ascii="Arial" w:hAnsi="Arial" w:cs="Arial"/>
          <w:b/>
          <w:color w:val="000000" w:themeColor="text1"/>
          <w:sz w:val="22"/>
          <w:szCs w:val="22"/>
          <w:lang w:val="es-ES_tradnl"/>
        </w:rPr>
        <w:t xml:space="preserve"> Términos preclusivos – Irregularidades</w:t>
      </w:r>
    </w:p>
    <w:p w14:paraId="28461BDD" w14:textId="2D050A2F" w:rsidR="004746F8" w:rsidRDefault="004746F8" w:rsidP="00B2086F">
      <w:pPr>
        <w:spacing w:line="259" w:lineRule="auto"/>
        <w:rPr>
          <w:rFonts w:ascii="Arial" w:hAnsi="Arial" w:cs="Arial"/>
          <w:noProof/>
          <w:color w:val="000000" w:themeColor="text1"/>
          <w:sz w:val="22"/>
          <w:szCs w:val="22"/>
          <w:lang w:val="es-ES_tradnl"/>
        </w:rPr>
      </w:pPr>
    </w:p>
    <w:p w14:paraId="35647EE6" w14:textId="6D586E47" w:rsidR="004746F8" w:rsidRPr="00022B62" w:rsidRDefault="004746F8" w:rsidP="00022B62">
      <w:pPr>
        <w:jc w:val="both"/>
        <w:rPr>
          <w:rFonts w:ascii="Arial" w:hAnsi="Arial" w:cs="Arial"/>
          <w:noProof/>
          <w:color w:val="000000" w:themeColor="text1"/>
          <w:sz w:val="20"/>
          <w:szCs w:val="20"/>
          <w:lang w:val="es-ES_tradnl"/>
        </w:rPr>
      </w:pPr>
      <w:r w:rsidRPr="00022B62">
        <w:rPr>
          <w:rFonts w:ascii="Arial" w:hAnsi="Arial" w:cs="Arial"/>
          <w:noProof/>
          <w:color w:val="000000" w:themeColor="text1"/>
          <w:sz w:val="20"/>
          <w:szCs w:val="20"/>
          <w:lang w:val="es-ES_tradnl"/>
        </w:rPr>
        <w:t>La omisión de las etapas de la licitación o el desconocimiento del carácter preclusivo y perentorio de las mismas puede originar un vicio de nulidad de la adjudicación, pues las etapas previas a la expedición del acto administrativo constituyen formalidades que deben cumplirse, como elemento de validez de este. De lo contrario, quedará viciado por expedición en forma irregular, como lo establece el artículo 137 de la Ley 1437 de 2011. Este vicio se presenta cuando la Administración no observa los requisitos previos y concomitantes a la expedición del acto administrativo. Como ha dicho la doctrina: «[…] la inobservancia de las “formas” y requisitos del procedimiento administrativo se traduce en un defecto de preparación de la voluntad administrativa (así la defensa en juicio en el procedimiento administrativo; la licitación pública para las contrataciones; el concurso para la provisión de cargos), […]».</w:t>
      </w:r>
    </w:p>
    <w:p w14:paraId="664E57DF" w14:textId="77777777" w:rsidR="004746F8" w:rsidRDefault="004746F8" w:rsidP="004E039E">
      <w:pPr>
        <w:spacing w:line="276" w:lineRule="auto"/>
        <w:jc w:val="both"/>
        <w:rPr>
          <w:rFonts w:ascii="Arial" w:hAnsi="Arial" w:cs="Arial"/>
          <w:noProof/>
          <w:color w:val="000000" w:themeColor="text1"/>
          <w:sz w:val="22"/>
          <w:lang w:val="es-ES_tradnl"/>
        </w:rPr>
      </w:pPr>
    </w:p>
    <w:p w14:paraId="1543305E" w14:textId="77777777" w:rsidR="00022B62" w:rsidRDefault="00022B62" w:rsidP="004E039E">
      <w:pPr>
        <w:spacing w:line="276" w:lineRule="auto"/>
        <w:jc w:val="both"/>
        <w:rPr>
          <w:rFonts w:ascii="Arial" w:hAnsi="Arial" w:cs="Arial"/>
          <w:noProof/>
          <w:color w:val="000000" w:themeColor="text1"/>
          <w:sz w:val="22"/>
          <w:lang w:val="es-ES_tradnl"/>
        </w:rPr>
      </w:pPr>
    </w:p>
    <w:p w14:paraId="097385F9" w14:textId="77777777" w:rsidR="00022B62" w:rsidRDefault="00022B62" w:rsidP="004E039E">
      <w:pPr>
        <w:spacing w:line="276" w:lineRule="auto"/>
        <w:jc w:val="both"/>
        <w:rPr>
          <w:rFonts w:ascii="Arial" w:hAnsi="Arial" w:cs="Arial"/>
          <w:noProof/>
          <w:color w:val="000000" w:themeColor="text1"/>
          <w:sz w:val="22"/>
          <w:lang w:val="es-ES_tradnl"/>
        </w:rPr>
      </w:pPr>
    </w:p>
    <w:p w14:paraId="5A55D39D" w14:textId="77777777" w:rsidR="00022B62" w:rsidRDefault="00022B62" w:rsidP="004E039E">
      <w:pPr>
        <w:spacing w:line="276" w:lineRule="auto"/>
        <w:jc w:val="both"/>
        <w:rPr>
          <w:rFonts w:ascii="Arial" w:hAnsi="Arial" w:cs="Arial"/>
          <w:noProof/>
          <w:color w:val="000000" w:themeColor="text1"/>
          <w:sz w:val="22"/>
          <w:lang w:val="es-ES_tradnl"/>
        </w:rPr>
      </w:pPr>
    </w:p>
    <w:p w14:paraId="168F59E0" w14:textId="77777777" w:rsidR="00022B62" w:rsidRDefault="00022B62" w:rsidP="004E039E">
      <w:pPr>
        <w:spacing w:line="276" w:lineRule="auto"/>
        <w:jc w:val="both"/>
        <w:rPr>
          <w:rFonts w:ascii="Arial" w:hAnsi="Arial" w:cs="Arial"/>
          <w:noProof/>
          <w:color w:val="000000" w:themeColor="text1"/>
          <w:sz w:val="22"/>
          <w:lang w:val="es-ES_tradnl"/>
        </w:rPr>
      </w:pPr>
    </w:p>
    <w:p w14:paraId="4CA9429B" w14:textId="77777777" w:rsidR="00022B62" w:rsidRDefault="00022B62" w:rsidP="004E039E">
      <w:pPr>
        <w:spacing w:line="276" w:lineRule="auto"/>
        <w:jc w:val="both"/>
        <w:rPr>
          <w:rFonts w:ascii="Arial" w:hAnsi="Arial" w:cs="Arial"/>
          <w:noProof/>
          <w:color w:val="000000" w:themeColor="text1"/>
          <w:sz w:val="22"/>
          <w:lang w:val="es-ES_tradnl"/>
        </w:rPr>
      </w:pPr>
    </w:p>
    <w:p w14:paraId="389084C9" w14:textId="77777777" w:rsidR="00022B62" w:rsidRDefault="00022B62" w:rsidP="004E039E">
      <w:pPr>
        <w:spacing w:line="276" w:lineRule="auto"/>
        <w:jc w:val="both"/>
        <w:rPr>
          <w:rFonts w:ascii="Arial" w:hAnsi="Arial" w:cs="Arial"/>
          <w:noProof/>
          <w:color w:val="000000" w:themeColor="text1"/>
          <w:sz w:val="22"/>
          <w:lang w:val="es-ES_tradnl"/>
        </w:rPr>
      </w:pPr>
    </w:p>
    <w:p w14:paraId="706052C8" w14:textId="77777777" w:rsidR="00022B62" w:rsidRDefault="00022B62" w:rsidP="004E039E">
      <w:pPr>
        <w:spacing w:line="276" w:lineRule="auto"/>
        <w:jc w:val="both"/>
        <w:rPr>
          <w:rFonts w:ascii="Arial" w:hAnsi="Arial" w:cs="Arial"/>
          <w:noProof/>
          <w:color w:val="000000" w:themeColor="text1"/>
          <w:sz w:val="22"/>
          <w:lang w:val="es-ES_tradnl"/>
        </w:rPr>
      </w:pPr>
    </w:p>
    <w:p w14:paraId="6073C74A" w14:textId="77777777" w:rsidR="00022B62" w:rsidRDefault="00022B62" w:rsidP="004E039E">
      <w:pPr>
        <w:spacing w:line="276" w:lineRule="auto"/>
        <w:jc w:val="both"/>
        <w:rPr>
          <w:rFonts w:ascii="Arial" w:hAnsi="Arial" w:cs="Arial"/>
          <w:noProof/>
          <w:color w:val="000000" w:themeColor="text1"/>
          <w:sz w:val="22"/>
          <w:lang w:val="es-ES_tradnl"/>
        </w:rPr>
      </w:pPr>
    </w:p>
    <w:p w14:paraId="2F528E1D" w14:textId="77777777" w:rsidR="00022B62" w:rsidRDefault="00022B62" w:rsidP="004E039E">
      <w:pPr>
        <w:spacing w:line="276" w:lineRule="auto"/>
        <w:jc w:val="both"/>
        <w:rPr>
          <w:rFonts w:ascii="Arial" w:hAnsi="Arial" w:cs="Arial"/>
          <w:noProof/>
          <w:color w:val="000000" w:themeColor="text1"/>
          <w:sz w:val="22"/>
          <w:lang w:val="es-ES_tradnl"/>
        </w:rPr>
      </w:pPr>
    </w:p>
    <w:p w14:paraId="05E770AB" w14:textId="77777777" w:rsidR="00022B62" w:rsidRDefault="00022B62" w:rsidP="004E039E">
      <w:pPr>
        <w:spacing w:line="276" w:lineRule="auto"/>
        <w:jc w:val="both"/>
        <w:rPr>
          <w:rFonts w:ascii="Arial" w:hAnsi="Arial" w:cs="Arial"/>
          <w:noProof/>
          <w:color w:val="000000" w:themeColor="text1"/>
          <w:sz w:val="22"/>
          <w:lang w:val="es-ES_tradnl"/>
        </w:rPr>
      </w:pPr>
    </w:p>
    <w:p w14:paraId="3A63E3C3" w14:textId="77777777" w:rsidR="00022B62" w:rsidRDefault="00022B62" w:rsidP="004E039E">
      <w:pPr>
        <w:spacing w:line="276" w:lineRule="auto"/>
        <w:jc w:val="both"/>
        <w:rPr>
          <w:rFonts w:ascii="Arial" w:hAnsi="Arial" w:cs="Arial"/>
          <w:noProof/>
          <w:color w:val="000000" w:themeColor="text1"/>
          <w:sz w:val="22"/>
          <w:lang w:val="es-ES_tradnl"/>
        </w:rPr>
      </w:pPr>
    </w:p>
    <w:p w14:paraId="29FAA296" w14:textId="77777777" w:rsidR="00022B62" w:rsidRDefault="00022B62" w:rsidP="004E039E">
      <w:pPr>
        <w:spacing w:line="276" w:lineRule="auto"/>
        <w:jc w:val="both"/>
        <w:rPr>
          <w:rFonts w:ascii="Arial" w:hAnsi="Arial" w:cs="Arial"/>
          <w:noProof/>
          <w:color w:val="000000" w:themeColor="text1"/>
          <w:sz w:val="22"/>
          <w:lang w:val="es-ES_tradnl"/>
        </w:rPr>
      </w:pPr>
    </w:p>
    <w:p w14:paraId="0FF30546" w14:textId="77777777" w:rsidR="00022B62" w:rsidRDefault="00022B62" w:rsidP="004E039E">
      <w:pPr>
        <w:spacing w:line="276" w:lineRule="auto"/>
        <w:jc w:val="both"/>
        <w:rPr>
          <w:rFonts w:ascii="Arial" w:hAnsi="Arial" w:cs="Arial"/>
          <w:noProof/>
          <w:color w:val="000000" w:themeColor="text1"/>
          <w:sz w:val="22"/>
          <w:lang w:val="es-ES_tradnl"/>
        </w:rPr>
      </w:pPr>
    </w:p>
    <w:p w14:paraId="103047F7" w14:textId="77777777" w:rsidR="00022B62" w:rsidRDefault="00022B62" w:rsidP="004E039E">
      <w:pPr>
        <w:spacing w:line="276" w:lineRule="auto"/>
        <w:jc w:val="both"/>
        <w:rPr>
          <w:rFonts w:ascii="Arial" w:hAnsi="Arial" w:cs="Arial"/>
          <w:noProof/>
          <w:color w:val="000000" w:themeColor="text1"/>
          <w:sz w:val="22"/>
          <w:lang w:val="es-ES_tradnl"/>
        </w:rPr>
      </w:pPr>
    </w:p>
    <w:p w14:paraId="2FD2063D" w14:textId="77777777" w:rsidR="00022B62" w:rsidRDefault="00022B62" w:rsidP="004E039E">
      <w:pPr>
        <w:spacing w:line="276" w:lineRule="auto"/>
        <w:jc w:val="both"/>
        <w:rPr>
          <w:rFonts w:ascii="Arial" w:hAnsi="Arial" w:cs="Arial"/>
          <w:noProof/>
          <w:color w:val="000000" w:themeColor="text1"/>
          <w:sz w:val="22"/>
          <w:lang w:val="es-ES_tradnl"/>
        </w:rPr>
      </w:pPr>
    </w:p>
    <w:p w14:paraId="487AA009" w14:textId="77777777" w:rsidR="00022B62" w:rsidRDefault="00022B62" w:rsidP="004E039E">
      <w:pPr>
        <w:spacing w:line="276" w:lineRule="auto"/>
        <w:jc w:val="both"/>
        <w:rPr>
          <w:rFonts w:ascii="Arial" w:hAnsi="Arial" w:cs="Arial"/>
          <w:noProof/>
          <w:color w:val="000000" w:themeColor="text1"/>
          <w:sz w:val="22"/>
          <w:lang w:val="es-ES_tradnl"/>
        </w:rPr>
      </w:pPr>
    </w:p>
    <w:p w14:paraId="5C979ACE" w14:textId="77777777" w:rsidR="00022B62" w:rsidRDefault="00022B62" w:rsidP="004E039E">
      <w:pPr>
        <w:spacing w:line="276" w:lineRule="auto"/>
        <w:jc w:val="both"/>
        <w:rPr>
          <w:rFonts w:ascii="Arial" w:hAnsi="Arial" w:cs="Arial"/>
          <w:noProof/>
          <w:color w:val="000000" w:themeColor="text1"/>
          <w:sz w:val="22"/>
          <w:lang w:val="es-ES_tradnl"/>
        </w:rPr>
      </w:pPr>
    </w:p>
    <w:p w14:paraId="00E9944B" w14:textId="77777777" w:rsidR="00022B62" w:rsidRDefault="00022B62" w:rsidP="004E039E">
      <w:pPr>
        <w:spacing w:line="276" w:lineRule="auto"/>
        <w:jc w:val="both"/>
        <w:rPr>
          <w:rFonts w:ascii="Arial" w:hAnsi="Arial" w:cs="Arial"/>
          <w:noProof/>
          <w:color w:val="000000" w:themeColor="text1"/>
          <w:sz w:val="22"/>
          <w:lang w:val="es-ES_tradnl"/>
        </w:rPr>
      </w:pPr>
    </w:p>
    <w:p w14:paraId="1793DE54" w14:textId="77777777" w:rsidR="00022B62" w:rsidRDefault="00022B62" w:rsidP="004E039E">
      <w:pPr>
        <w:spacing w:line="276" w:lineRule="auto"/>
        <w:jc w:val="both"/>
        <w:rPr>
          <w:rFonts w:ascii="Arial" w:hAnsi="Arial" w:cs="Arial"/>
          <w:noProof/>
          <w:color w:val="000000" w:themeColor="text1"/>
          <w:sz w:val="22"/>
          <w:lang w:val="es-ES_tradnl"/>
        </w:rPr>
      </w:pPr>
    </w:p>
    <w:p w14:paraId="074FA152" w14:textId="77777777" w:rsidR="00022B62" w:rsidRDefault="00022B62" w:rsidP="004E039E">
      <w:pPr>
        <w:spacing w:line="276" w:lineRule="auto"/>
        <w:jc w:val="both"/>
        <w:rPr>
          <w:rFonts w:ascii="Arial" w:hAnsi="Arial" w:cs="Arial"/>
          <w:noProof/>
          <w:color w:val="000000" w:themeColor="text1"/>
          <w:sz w:val="22"/>
          <w:lang w:val="es-ES_tradnl"/>
        </w:rPr>
      </w:pPr>
    </w:p>
    <w:p w14:paraId="4E7EAB6C" w14:textId="77777777" w:rsidR="00022B62" w:rsidRDefault="00022B62" w:rsidP="004E039E">
      <w:pPr>
        <w:spacing w:line="276" w:lineRule="auto"/>
        <w:jc w:val="both"/>
        <w:rPr>
          <w:rFonts w:ascii="Arial" w:hAnsi="Arial" w:cs="Arial"/>
          <w:noProof/>
          <w:color w:val="000000" w:themeColor="text1"/>
          <w:sz w:val="22"/>
          <w:lang w:val="es-ES_tradnl"/>
        </w:rPr>
      </w:pPr>
    </w:p>
    <w:p w14:paraId="009DABEB" w14:textId="77777777" w:rsidR="00022B62" w:rsidRDefault="00022B62" w:rsidP="004E039E">
      <w:pPr>
        <w:spacing w:line="276" w:lineRule="auto"/>
        <w:jc w:val="both"/>
        <w:rPr>
          <w:rFonts w:ascii="Arial" w:hAnsi="Arial" w:cs="Arial"/>
          <w:noProof/>
          <w:color w:val="000000" w:themeColor="text1"/>
          <w:sz w:val="22"/>
          <w:lang w:val="es-ES_tradnl"/>
        </w:rPr>
      </w:pPr>
    </w:p>
    <w:p w14:paraId="11A90C82" w14:textId="77777777" w:rsidR="00022B62" w:rsidRDefault="00022B62" w:rsidP="004E039E">
      <w:pPr>
        <w:spacing w:line="276" w:lineRule="auto"/>
        <w:jc w:val="both"/>
        <w:rPr>
          <w:rFonts w:ascii="Arial" w:hAnsi="Arial" w:cs="Arial"/>
          <w:noProof/>
          <w:color w:val="000000" w:themeColor="text1"/>
          <w:sz w:val="22"/>
          <w:lang w:val="es-ES_tradnl"/>
        </w:rPr>
      </w:pPr>
    </w:p>
    <w:p w14:paraId="5B431892" w14:textId="77777777" w:rsidR="00022B62" w:rsidRDefault="00022B62" w:rsidP="004E039E">
      <w:pPr>
        <w:spacing w:line="276" w:lineRule="auto"/>
        <w:jc w:val="both"/>
        <w:rPr>
          <w:rFonts w:ascii="Arial" w:hAnsi="Arial" w:cs="Arial"/>
          <w:noProof/>
          <w:color w:val="000000" w:themeColor="text1"/>
          <w:sz w:val="22"/>
          <w:lang w:val="es-ES_tradnl"/>
        </w:rPr>
      </w:pPr>
    </w:p>
    <w:p w14:paraId="39F5AF12" w14:textId="77777777" w:rsidR="00022B62" w:rsidRDefault="00022B62" w:rsidP="004E039E">
      <w:pPr>
        <w:spacing w:line="276" w:lineRule="auto"/>
        <w:jc w:val="both"/>
        <w:rPr>
          <w:rFonts w:ascii="Arial" w:hAnsi="Arial" w:cs="Arial"/>
          <w:noProof/>
          <w:color w:val="000000" w:themeColor="text1"/>
          <w:sz w:val="22"/>
          <w:lang w:val="es-ES_tradnl"/>
        </w:rPr>
      </w:pPr>
    </w:p>
    <w:p w14:paraId="7E3D536C" w14:textId="7AD3B182" w:rsidR="004E039E" w:rsidRPr="00D4128C" w:rsidRDefault="004E039E" w:rsidP="004E039E">
      <w:pPr>
        <w:spacing w:line="276" w:lineRule="auto"/>
        <w:jc w:val="both"/>
        <w:rPr>
          <w:rFonts w:ascii="Arial" w:eastAsia="Calibri" w:hAnsi="Arial" w:cs="Arial"/>
          <w:noProof/>
          <w:color w:val="000000" w:themeColor="text1"/>
          <w:sz w:val="20"/>
          <w:lang w:val="es-ES_tradnl"/>
        </w:rPr>
      </w:pPr>
      <w:r w:rsidRPr="00D4128C">
        <w:rPr>
          <w:rFonts w:ascii="Arial" w:hAnsi="Arial" w:cs="Arial"/>
          <w:noProof/>
          <w:color w:val="000000" w:themeColor="text1"/>
          <w:sz w:val="22"/>
          <w:lang w:val="es-ES_tradnl"/>
        </w:rPr>
        <w:lastRenderedPageBreak/>
        <w:t xml:space="preserve">Bogotá D.C., </w:t>
      </w:r>
      <w:r w:rsidR="002D2F88">
        <w:rPr>
          <w:rFonts w:ascii="Arial" w:hAnsi="Arial" w:cs="Arial"/>
          <w:b/>
          <w:color w:val="000000" w:themeColor="text1"/>
          <w:sz w:val="22"/>
          <w:lang w:val="es-ES_tradnl"/>
        </w:rPr>
        <w:t>31/08/2021</w:t>
      </w:r>
      <w:r w:rsidR="00E86985">
        <w:rPr>
          <w:rFonts w:ascii="Arial" w:hAnsi="Arial" w:cs="Arial"/>
          <w:b/>
          <w:color w:val="000000" w:themeColor="text1"/>
          <w:sz w:val="22"/>
          <w:lang w:val="es-ES_tradnl"/>
        </w:rPr>
        <w:t xml:space="preserve"> 16:53:03</w:t>
      </w:r>
    </w:p>
    <w:p w14:paraId="51E4DF2D" w14:textId="344B149E" w:rsidR="002D2F88" w:rsidRDefault="002D2F88" w:rsidP="002D2F88">
      <w:pPr>
        <w:jc w:val="right"/>
      </w:pPr>
      <w:r>
        <w:fldChar w:fldCharType="begin"/>
      </w:r>
      <w:r>
        <w:instrText xml:space="preserve"> INCLUDEPICTURE "/var/folders/z2/mpmwzz0s3w31yr1_fh2qtrr80000gn/T/com.microsoft.Word/WebArchiveCopyPasteTempFiles/page1image2387097920" \* MERGEFORMATINET </w:instrText>
      </w:r>
      <w:r>
        <w:fldChar w:fldCharType="separate"/>
      </w:r>
      <w:r>
        <w:rPr>
          <w:noProof/>
        </w:rPr>
        <w:drawing>
          <wp:inline distT="0" distB="0" distL="0" distR="0" wp14:anchorId="68AD0D52" wp14:editId="6EEDCFD5">
            <wp:extent cx="2401570" cy="612775"/>
            <wp:effectExtent l="0" t="0" r="0" b="0"/>
            <wp:docPr id="4" name="Imagen 4" descr="page1image238709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870979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12775"/>
                    </a:xfrm>
                    <a:prstGeom prst="rect">
                      <a:avLst/>
                    </a:prstGeom>
                    <a:noFill/>
                    <a:ln>
                      <a:noFill/>
                    </a:ln>
                  </pic:spPr>
                </pic:pic>
              </a:graphicData>
            </a:graphic>
          </wp:inline>
        </w:drawing>
      </w:r>
      <w:r>
        <w:fldChar w:fldCharType="end"/>
      </w:r>
    </w:p>
    <w:p w14:paraId="346D0E32" w14:textId="77777777" w:rsidR="00022B62" w:rsidRDefault="00022B62" w:rsidP="00B95C30">
      <w:pPr>
        <w:jc w:val="both"/>
        <w:rPr>
          <w:rFonts w:ascii="Arial" w:hAnsi="Arial" w:cs="Arial"/>
          <w:b/>
          <w:color w:val="000000" w:themeColor="text1"/>
          <w:sz w:val="22"/>
          <w:lang w:val="es-ES_tradnl"/>
        </w:rPr>
      </w:pPr>
    </w:p>
    <w:p w14:paraId="5F5AE9EF" w14:textId="5B284F0A" w:rsidR="00B95C30" w:rsidRPr="00D4128C" w:rsidRDefault="00B95C30" w:rsidP="00B95C30">
      <w:pPr>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Señor</w:t>
      </w:r>
    </w:p>
    <w:p w14:paraId="3DCD58CE" w14:textId="37382072" w:rsidR="00B95C30" w:rsidRPr="00D4128C" w:rsidRDefault="005E63C1" w:rsidP="00B95C30">
      <w:pPr>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Jorge Ortega</w:t>
      </w:r>
    </w:p>
    <w:p w14:paraId="09D4AEA8" w14:textId="1F724DE3" w:rsidR="00B95C30" w:rsidRPr="00D4128C" w:rsidRDefault="008C2BC1" w:rsidP="00B95C30">
      <w:pPr>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Bogotá, D.C.</w:t>
      </w:r>
    </w:p>
    <w:p w14:paraId="3F3D1203" w14:textId="77777777" w:rsidR="00B95C30" w:rsidRPr="00D4128C" w:rsidRDefault="00B95C30" w:rsidP="00B95C30">
      <w:pPr>
        <w:jc w:val="both"/>
        <w:rPr>
          <w:rFonts w:ascii="Arial" w:eastAsia="Calibri" w:hAnsi="Arial" w:cs="Arial"/>
          <w:color w:val="000000" w:themeColor="text1"/>
          <w:sz w:val="22"/>
          <w:lang w:val="es-ES_tradnl"/>
        </w:rPr>
      </w:pPr>
    </w:p>
    <w:p w14:paraId="24E8D2A9" w14:textId="77777777" w:rsidR="00B95C30" w:rsidRPr="00D4128C" w:rsidRDefault="00B95C30" w:rsidP="00B95C30">
      <w:pPr>
        <w:jc w:val="both"/>
        <w:rPr>
          <w:rFonts w:ascii="Arial" w:eastAsia="Calibri" w:hAnsi="Arial" w:cs="Arial"/>
          <w:color w:val="000000" w:themeColor="text1"/>
          <w:sz w:val="22"/>
          <w:lang w:val="es-ES_tradnl"/>
        </w:rPr>
      </w:pPr>
    </w:p>
    <w:p w14:paraId="12E66182" w14:textId="6E637CA9" w:rsidR="00B95C30" w:rsidRPr="00D4128C" w:rsidRDefault="007D0CE3" w:rsidP="00852C30">
      <w:pPr>
        <w:rPr>
          <w:rFonts w:ascii="Arial" w:eastAsia="Calibri" w:hAnsi="Arial" w:cs="Arial"/>
          <w:b/>
          <w:bCs/>
          <w:color w:val="000000" w:themeColor="text1"/>
          <w:sz w:val="22"/>
          <w:lang w:val="es-ES_tradnl"/>
        </w:rPr>
      </w:pPr>
      <w:r w:rsidRPr="00D4128C">
        <w:rPr>
          <w:rFonts w:ascii="Arial" w:eastAsia="Calibri" w:hAnsi="Arial" w:cs="Arial"/>
          <w:b/>
          <w:bCs/>
          <w:color w:val="000000" w:themeColor="text1"/>
          <w:sz w:val="22"/>
          <w:lang w:val="es-ES_tradnl"/>
        </w:rPr>
        <w:t xml:space="preserve">                                            </w:t>
      </w:r>
      <w:r w:rsidR="00B95C30" w:rsidRPr="00D4128C">
        <w:rPr>
          <w:rFonts w:ascii="Arial" w:eastAsia="Calibri" w:hAnsi="Arial" w:cs="Arial"/>
          <w:b/>
          <w:bCs/>
          <w:color w:val="000000" w:themeColor="text1"/>
          <w:sz w:val="22"/>
          <w:lang w:val="es-ES_tradnl"/>
        </w:rPr>
        <w:t xml:space="preserve">Concepto C ‒ </w:t>
      </w:r>
      <w:r w:rsidR="005E63C1" w:rsidRPr="00D4128C">
        <w:rPr>
          <w:rFonts w:ascii="Arial" w:eastAsia="Calibri" w:hAnsi="Arial" w:cs="Arial"/>
          <w:b/>
          <w:bCs/>
          <w:color w:val="000000" w:themeColor="text1"/>
          <w:sz w:val="22"/>
          <w:lang w:val="es-ES_tradnl"/>
        </w:rPr>
        <w:t>378</w:t>
      </w:r>
      <w:r w:rsidR="00B95C30" w:rsidRPr="00D4128C">
        <w:rPr>
          <w:rFonts w:ascii="Arial" w:eastAsia="Calibri" w:hAnsi="Arial" w:cs="Arial"/>
          <w:b/>
          <w:bCs/>
          <w:color w:val="000000" w:themeColor="text1"/>
          <w:sz w:val="22"/>
          <w:lang w:val="es-ES_tradnl"/>
        </w:rPr>
        <w:t xml:space="preserve"> de 202</w:t>
      </w:r>
      <w:r w:rsidR="00C56976" w:rsidRPr="00D4128C">
        <w:rPr>
          <w:rFonts w:ascii="Arial" w:eastAsia="Calibri" w:hAnsi="Arial" w:cs="Arial"/>
          <w:b/>
          <w:bCs/>
          <w:color w:val="000000" w:themeColor="text1"/>
          <w:sz w:val="22"/>
          <w:lang w:val="es-ES_tradnl"/>
        </w:rPr>
        <w:t>1</w:t>
      </w:r>
    </w:p>
    <w:p w14:paraId="1BD594F9" w14:textId="77777777" w:rsidR="00B95C30" w:rsidRPr="00D4128C"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4128C" w14:paraId="19DFC051" w14:textId="77777777" w:rsidTr="00DF6CCA">
        <w:tc>
          <w:tcPr>
            <w:tcW w:w="2689" w:type="dxa"/>
          </w:tcPr>
          <w:p w14:paraId="6BC0D1AC" w14:textId="77777777" w:rsidR="00B95C30" w:rsidRPr="00D4128C" w:rsidRDefault="00B95C30" w:rsidP="00DF6CCA">
            <w:pPr>
              <w:jc w:val="both"/>
              <w:rPr>
                <w:rFonts w:ascii="Arial" w:eastAsia="Calibri" w:hAnsi="Arial" w:cs="Arial"/>
                <w:color w:val="000000" w:themeColor="text1"/>
                <w:sz w:val="22"/>
                <w:lang w:val="es-ES_tradnl"/>
              </w:rPr>
            </w:pPr>
            <w:r w:rsidRPr="00D4128C">
              <w:rPr>
                <w:rFonts w:ascii="Arial" w:eastAsia="Calibri" w:hAnsi="Arial" w:cs="Arial"/>
                <w:b/>
                <w:color w:val="000000" w:themeColor="text1"/>
                <w:sz w:val="22"/>
                <w:lang w:val="es-ES_tradnl"/>
              </w:rPr>
              <w:t>Temas:</w:t>
            </w:r>
            <w:r w:rsidRPr="00D4128C">
              <w:rPr>
                <w:rFonts w:ascii="Arial" w:eastAsia="Calibri" w:hAnsi="Arial" w:cs="Arial"/>
                <w:color w:val="000000" w:themeColor="text1"/>
                <w:sz w:val="22"/>
                <w:lang w:val="es-ES_tradnl"/>
              </w:rPr>
              <w:t xml:space="preserve">                                      </w:t>
            </w:r>
          </w:p>
        </w:tc>
        <w:tc>
          <w:tcPr>
            <w:tcW w:w="6237" w:type="dxa"/>
          </w:tcPr>
          <w:p w14:paraId="5F389CAF" w14:textId="185C2B08" w:rsidR="00B95C30" w:rsidRPr="004746F8" w:rsidRDefault="00000C1D" w:rsidP="00B37F6B">
            <w:pPr>
              <w:jc w:val="both"/>
              <w:rPr>
                <w:rFonts w:ascii="Arial" w:eastAsia="Calibri" w:hAnsi="Arial" w:cs="Arial"/>
                <w:b/>
                <w:bCs/>
                <w:color w:val="000000" w:themeColor="text1"/>
                <w:sz w:val="22"/>
                <w:lang w:val="es-ES_tradnl"/>
              </w:rPr>
            </w:pPr>
            <w:r w:rsidRPr="004746F8">
              <w:rPr>
                <w:rFonts w:ascii="Arial" w:eastAsia="Calibri" w:hAnsi="Arial" w:cs="Arial"/>
                <w:color w:val="000000" w:themeColor="text1"/>
                <w:sz w:val="22"/>
                <w:lang w:val="es-ES_tradnl"/>
              </w:rPr>
              <w:t>DISTRIBUCIÓN DE RIESGOS – Deber legal / AUDIENCIA DE ASIGNACIÓN DE RIESGOS – Marco normativo</w:t>
            </w:r>
            <w:r w:rsidR="008C0882">
              <w:rPr>
                <w:rFonts w:ascii="Arial" w:eastAsia="Calibri" w:hAnsi="Arial" w:cs="Arial"/>
                <w:color w:val="000000" w:themeColor="text1"/>
                <w:sz w:val="22"/>
                <w:lang w:val="es-ES_tradnl"/>
              </w:rPr>
              <w:t xml:space="preserve"> – L</w:t>
            </w:r>
            <w:r w:rsidRPr="004746F8">
              <w:rPr>
                <w:rFonts w:ascii="Arial" w:eastAsia="Calibri" w:hAnsi="Arial" w:cs="Arial"/>
                <w:color w:val="000000" w:themeColor="text1"/>
                <w:sz w:val="22"/>
                <w:lang w:val="es-ES_tradnl"/>
              </w:rPr>
              <w:t>icitación pública</w:t>
            </w:r>
            <w:r w:rsidR="008C0882">
              <w:rPr>
                <w:rFonts w:ascii="Arial" w:eastAsia="Calibri" w:hAnsi="Arial" w:cs="Arial"/>
                <w:color w:val="000000" w:themeColor="text1"/>
                <w:sz w:val="22"/>
                <w:lang w:val="es-ES_tradnl"/>
              </w:rPr>
              <w:t xml:space="preserve"> </w:t>
            </w:r>
            <w:r w:rsidRPr="004746F8">
              <w:rPr>
                <w:rFonts w:ascii="Arial" w:eastAsia="Calibri" w:hAnsi="Arial" w:cs="Arial"/>
                <w:color w:val="000000" w:themeColor="text1"/>
                <w:sz w:val="22"/>
                <w:lang w:val="es-ES_tradnl"/>
              </w:rPr>
              <w:t>/</w:t>
            </w:r>
            <w:r w:rsidR="008C0882">
              <w:rPr>
                <w:rFonts w:ascii="Arial" w:eastAsia="Calibri" w:hAnsi="Arial" w:cs="Arial"/>
                <w:color w:val="000000" w:themeColor="text1"/>
                <w:sz w:val="22"/>
                <w:lang w:val="es-ES_tradnl"/>
              </w:rPr>
              <w:t xml:space="preserve"> </w:t>
            </w:r>
            <w:r w:rsidRPr="004746F8">
              <w:rPr>
                <w:rFonts w:ascii="Arial" w:eastAsia="Calibri" w:hAnsi="Arial" w:cs="Arial"/>
                <w:color w:val="000000" w:themeColor="text1"/>
                <w:sz w:val="22"/>
                <w:lang w:val="es-ES_tradnl"/>
              </w:rPr>
              <w:t>AUDIENCIA DE ASIGNACIÓN DE RIESGOS – participación del proponente</w:t>
            </w:r>
            <w:r w:rsidR="008C0882">
              <w:rPr>
                <w:rFonts w:ascii="Arial" w:eastAsia="Calibri" w:hAnsi="Arial" w:cs="Arial"/>
                <w:color w:val="000000" w:themeColor="text1"/>
                <w:sz w:val="22"/>
                <w:lang w:val="es-ES_tradnl"/>
              </w:rPr>
              <w:t xml:space="preserve"> / </w:t>
            </w:r>
            <w:r w:rsidR="008C0882" w:rsidRPr="008C0882">
              <w:rPr>
                <w:rFonts w:ascii="Arial" w:eastAsia="Calibri" w:hAnsi="Arial" w:cs="Arial"/>
                <w:color w:val="000000" w:themeColor="text1"/>
                <w:sz w:val="22"/>
                <w:lang w:val="es-ES_tradnl"/>
              </w:rPr>
              <w:t>OPORTUNIDAD – Audiencia de asignación de riesgos – Carácter preclusivo</w:t>
            </w:r>
            <w:r w:rsidR="008C0882">
              <w:rPr>
                <w:rFonts w:ascii="Arial" w:eastAsia="Calibri" w:hAnsi="Arial" w:cs="Arial"/>
                <w:color w:val="000000" w:themeColor="text1"/>
                <w:sz w:val="22"/>
                <w:lang w:val="es-ES_tradnl"/>
              </w:rPr>
              <w:t xml:space="preserve"> / </w:t>
            </w:r>
            <w:r w:rsidR="008C0882" w:rsidRPr="008C0882">
              <w:rPr>
                <w:rFonts w:ascii="Arial" w:eastAsia="Calibri" w:hAnsi="Arial" w:cs="Arial"/>
                <w:color w:val="000000" w:themeColor="text1"/>
                <w:sz w:val="22"/>
                <w:lang w:val="es-ES_tradnl"/>
              </w:rPr>
              <w:t>NULIDAD – Términos preclusivos – Irregularidades</w:t>
            </w:r>
            <w:r w:rsidR="008C0882">
              <w:rPr>
                <w:rFonts w:ascii="Arial" w:eastAsia="Calibri" w:hAnsi="Arial" w:cs="Arial"/>
                <w:color w:val="000000" w:themeColor="text1"/>
                <w:sz w:val="22"/>
                <w:lang w:val="es-ES_tradnl"/>
              </w:rPr>
              <w:t>.</w:t>
            </w:r>
          </w:p>
        </w:tc>
      </w:tr>
      <w:tr w:rsidR="00B95C30" w:rsidRPr="00D4128C" w14:paraId="27CD52AB" w14:textId="77777777" w:rsidTr="00DF6CCA">
        <w:tc>
          <w:tcPr>
            <w:tcW w:w="2689" w:type="dxa"/>
          </w:tcPr>
          <w:p w14:paraId="37E195A1" w14:textId="4C368209" w:rsidR="00B95C30" w:rsidRPr="00D4128C" w:rsidRDefault="00B95C30" w:rsidP="00DF6CCA">
            <w:pPr>
              <w:spacing w:before="120"/>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Radicación:</w:t>
            </w:r>
            <w:r w:rsidRPr="00D4128C">
              <w:rPr>
                <w:rFonts w:ascii="Arial" w:eastAsia="Calibri" w:hAnsi="Arial" w:cs="Arial"/>
                <w:color w:val="000000" w:themeColor="text1"/>
                <w:sz w:val="22"/>
                <w:lang w:val="es-ES_tradnl"/>
              </w:rPr>
              <w:t xml:space="preserve">                              </w:t>
            </w:r>
          </w:p>
        </w:tc>
        <w:tc>
          <w:tcPr>
            <w:tcW w:w="6237" w:type="dxa"/>
          </w:tcPr>
          <w:p w14:paraId="09088B1B" w14:textId="32464578" w:rsidR="00B95C30" w:rsidRPr="00D4128C" w:rsidRDefault="00B95C30" w:rsidP="00DF6CCA">
            <w:pPr>
              <w:spacing w:before="120"/>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 xml:space="preserve">Respuesta a consulta # </w:t>
            </w:r>
            <w:r w:rsidR="00D45590" w:rsidRPr="00D4128C">
              <w:rPr>
                <w:rFonts w:ascii="Arial" w:eastAsia="Calibri" w:hAnsi="Arial" w:cs="Arial"/>
                <w:color w:val="000000" w:themeColor="text1"/>
                <w:sz w:val="22"/>
                <w:lang w:val="es-ES_tradnl"/>
              </w:rPr>
              <w:t>P20210716006311</w:t>
            </w:r>
          </w:p>
        </w:tc>
      </w:tr>
    </w:tbl>
    <w:p w14:paraId="4B7A51C2" w14:textId="77777777" w:rsidR="00F809F8" w:rsidRPr="00D4128C" w:rsidRDefault="00F809F8" w:rsidP="003C3339">
      <w:pPr>
        <w:jc w:val="both"/>
        <w:rPr>
          <w:rFonts w:ascii="Arial" w:eastAsia="Calibri" w:hAnsi="Arial" w:cs="Arial"/>
          <w:color w:val="000000" w:themeColor="text1"/>
          <w:sz w:val="22"/>
          <w:lang w:val="es-ES_tradnl"/>
        </w:rPr>
      </w:pPr>
    </w:p>
    <w:p w14:paraId="33ECF62F" w14:textId="77777777" w:rsidR="00F809F8" w:rsidRPr="00D4128C" w:rsidRDefault="00F809F8" w:rsidP="003C3339">
      <w:pPr>
        <w:jc w:val="both"/>
        <w:rPr>
          <w:rFonts w:ascii="Arial" w:eastAsia="Calibri" w:hAnsi="Arial" w:cs="Arial"/>
          <w:color w:val="000000" w:themeColor="text1"/>
          <w:sz w:val="22"/>
          <w:lang w:val="es-ES_tradnl"/>
        </w:rPr>
      </w:pPr>
    </w:p>
    <w:p w14:paraId="1CF4AEA0" w14:textId="2DA20C55" w:rsidR="003C3339" w:rsidRPr="00D4128C" w:rsidRDefault="003C3339" w:rsidP="003C3339">
      <w:pPr>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Estimad</w:t>
      </w:r>
      <w:r w:rsidR="009A0215" w:rsidRPr="00D4128C">
        <w:rPr>
          <w:rFonts w:ascii="Arial" w:eastAsia="Calibri" w:hAnsi="Arial" w:cs="Arial"/>
          <w:color w:val="000000" w:themeColor="text1"/>
          <w:sz w:val="22"/>
          <w:lang w:val="es-ES_tradnl"/>
        </w:rPr>
        <w:t>o</w:t>
      </w:r>
      <w:r w:rsidRPr="00D4128C">
        <w:rPr>
          <w:rFonts w:ascii="Arial" w:eastAsia="Calibri" w:hAnsi="Arial" w:cs="Arial"/>
          <w:color w:val="000000" w:themeColor="text1"/>
          <w:sz w:val="22"/>
          <w:lang w:val="es-ES_tradnl"/>
        </w:rPr>
        <w:t xml:space="preserve"> </w:t>
      </w:r>
      <w:r w:rsidR="00677E9C" w:rsidRPr="00D4128C">
        <w:rPr>
          <w:rFonts w:ascii="Arial" w:eastAsia="Calibri" w:hAnsi="Arial" w:cs="Arial"/>
          <w:color w:val="000000" w:themeColor="text1"/>
          <w:sz w:val="22"/>
          <w:lang w:val="es-ES_tradnl"/>
        </w:rPr>
        <w:t xml:space="preserve">señor </w:t>
      </w:r>
      <w:r w:rsidR="001E41B8" w:rsidRPr="00D4128C">
        <w:rPr>
          <w:rFonts w:ascii="Arial" w:eastAsia="Calibri" w:hAnsi="Arial" w:cs="Arial"/>
          <w:color w:val="000000" w:themeColor="text1"/>
          <w:sz w:val="22"/>
          <w:lang w:val="es-ES_tradnl"/>
        </w:rPr>
        <w:t>Ortega</w:t>
      </w:r>
      <w:r w:rsidRPr="00D4128C">
        <w:rPr>
          <w:rFonts w:ascii="Arial" w:eastAsia="Calibri" w:hAnsi="Arial" w:cs="Arial"/>
          <w:color w:val="000000" w:themeColor="text1"/>
          <w:sz w:val="22"/>
          <w:lang w:val="es-ES_tradnl"/>
        </w:rPr>
        <w:t>:</w:t>
      </w:r>
    </w:p>
    <w:p w14:paraId="1EAE5543" w14:textId="77777777" w:rsidR="00DD5B04" w:rsidRPr="00D4128C" w:rsidRDefault="00DD5B04" w:rsidP="00DF76A2">
      <w:pPr>
        <w:jc w:val="both"/>
        <w:rPr>
          <w:rFonts w:ascii="Arial" w:eastAsia="Calibri" w:hAnsi="Arial" w:cs="Arial"/>
          <w:color w:val="000000" w:themeColor="text1"/>
          <w:sz w:val="22"/>
          <w:lang w:val="es-ES_tradnl"/>
        </w:rPr>
      </w:pPr>
    </w:p>
    <w:p w14:paraId="2109B2D3" w14:textId="73A6EFA3" w:rsidR="00DD5B04" w:rsidRPr="00D4128C" w:rsidRDefault="00DD5B04" w:rsidP="00DF76A2">
      <w:pPr>
        <w:spacing w:line="276" w:lineRule="auto"/>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D4128C">
        <w:rPr>
          <w:rFonts w:ascii="Arial" w:eastAsia="Calibri" w:hAnsi="Arial" w:cs="Arial"/>
          <w:color w:val="000000" w:themeColor="text1"/>
          <w:sz w:val="22"/>
          <w:lang w:val="es-ES_tradnl"/>
        </w:rPr>
        <w:t xml:space="preserve"> </w:t>
      </w:r>
      <w:r w:rsidRPr="00D4128C">
        <w:rPr>
          <w:rFonts w:ascii="Arial" w:eastAsia="Calibri" w:hAnsi="Arial" w:cs="Arial"/>
          <w:color w:val="000000" w:themeColor="text1"/>
          <w:sz w:val="22"/>
          <w:lang w:val="es-ES_tradnl"/>
        </w:rPr>
        <w:t>la Agencia Nacional de Contratación Pública ― Colombia Compra Eficiente</w:t>
      </w:r>
      <w:r w:rsidR="008C3C57" w:rsidRPr="00D4128C">
        <w:rPr>
          <w:rFonts w:ascii="Arial" w:eastAsia="Calibri" w:hAnsi="Arial" w:cs="Arial"/>
          <w:color w:val="000000" w:themeColor="text1"/>
          <w:sz w:val="22"/>
          <w:lang w:val="es-ES_tradnl"/>
        </w:rPr>
        <w:t xml:space="preserve"> </w:t>
      </w:r>
      <w:r w:rsidRPr="00D4128C">
        <w:rPr>
          <w:rFonts w:ascii="Arial" w:eastAsia="Calibri" w:hAnsi="Arial" w:cs="Arial"/>
          <w:color w:val="000000" w:themeColor="text1"/>
          <w:sz w:val="22"/>
          <w:lang w:val="es-ES_tradnl"/>
        </w:rPr>
        <w:t xml:space="preserve">responde su consulta del </w:t>
      </w:r>
      <w:r w:rsidR="001E41B8" w:rsidRPr="00D4128C">
        <w:rPr>
          <w:rFonts w:ascii="Arial" w:eastAsia="Calibri" w:hAnsi="Arial" w:cs="Arial"/>
          <w:color w:val="000000" w:themeColor="text1"/>
          <w:sz w:val="22"/>
          <w:lang w:val="es-ES_tradnl"/>
        </w:rPr>
        <w:t>16</w:t>
      </w:r>
      <w:r w:rsidR="00FD4AF3" w:rsidRPr="00D4128C">
        <w:rPr>
          <w:rFonts w:ascii="Arial" w:eastAsia="Calibri" w:hAnsi="Arial" w:cs="Arial"/>
          <w:color w:val="000000" w:themeColor="text1"/>
          <w:sz w:val="22"/>
          <w:lang w:val="es-ES_tradnl"/>
        </w:rPr>
        <w:t xml:space="preserve"> de </w:t>
      </w:r>
      <w:r w:rsidR="001E41B8" w:rsidRPr="00D4128C">
        <w:rPr>
          <w:rFonts w:ascii="Arial" w:eastAsia="Calibri" w:hAnsi="Arial" w:cs="Arial"/>
          <w:color w:val="000000" w:themeColor="text1"/>
          <w:sz w:val="22"/>
          <w:lang w:val="es-ES_tradnl"/>
        </w:rPr>
        <w:t>julio</w:t>
      </w:r>
      <w:r w:rsidRPr="00D4128C">
        <w:rPr>
          <w:rFonts w:ascii="Arial" w:eastAsia="Calibri" w:hAnsi="Arial" w:cs="Arial"/>
          <w:color w:val="000000" w:themeColor="text1"/>
          <w:sz w:val="22"/>
          <w:lang w:val="es-ES_tradnl"/>
        </w:rPr>
        <w:t xml:space="preserve"> del</w:t>
      </w:r>
      <w:r w:rsidR="007E74BF" w:rsidRPr="00D4128C">
        <w:rPr>
          <w:rFonts w:ascii="Arial" w:eastAsia="Calibri" w:hAnsi="Arial" w:cs="Arial"/>
          <w:color w:val="000000" w:themeColor="text1"/>
          <w:sz w:val="22"/>
          <w:lang w:val="es-ES_tradnl"/>
        </w:rPr>
        <w:t xml:space="preserve"> </w:t>
      </w:r>
      <w:r w:rsidRPr="00D4128C">
        <w:rPr>
          <w:rFonts w:ascii="Arial" w:eastAsia="Calibri" w:hAnsi="Arial" w:cs="Arial"/>
          <w:color w:val="000000" w:themeColor="text1"/>
          <w:sz w:val="22"/>
          <w:lang w:val="es-ES_tradnl"/>
        </w:rPr>
        <w:t>202</w:t>
      </w:r>
      <w:r w:rsidR="004673A8" w:rsidRPr="00D4128C">
        <w:rPr>
          <w:rFonts w:ascii="Arial" w:eastAsia="Calibri" w:hAnsi="Arial" w:cs="Arial"/>
          <w:color w:val="000000" w:themeColor="text1"/>
          <w:sz w:val="22"/>
          <w:lang w:val="es-ES_tradnl"/>
        </w:rPr>
        <w:t>1</w:t>
      </w:r>
      <w:r w:rsidR="008C3C57" w:rsidRPr="00D4128C">
        <w:rPr>
          <w:rFonts w:ascii="Arial" w:eastAsia="Calibri" w:hAnsi="Arial" w:cs="Arial"/>
          <w:color w:val="000000" w:themeColor="text1"/>
          <w:sz w:val="22"/>
          <w:lang w:val="es-ES_tradnl"/>
        </w:rPr>
        <w:t>.</w:t>
      </w:r>
    </w:p>
    <w:p w14:paraId="0C1E0712" w14:textId="77777777" w:rsidR="00DD5B04" w:rsidRPr="00D4128C"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D4128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 xml:space="preserve">Problema planteado </w:t>
      </w:r>
    </w:p>
    <w:p w14:paraId="224B43D3" w14:textId="77777777" w:rsidR="00DD5B04" w:rsidRPr="00D4128C"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78201F7E" w:rsidR="00443B55" w:rsidRPr="00D4128C" w:rsidRDefault="00DD5B04" w:rsidP="0099583D">
      <w:pPr>
        <w:spacing w:line="276" w:lineRule="auto"/>
        <w:jc w:val="both"/>
        <w:rPr>
          <w:rFonts w:ascii="Arial" w:hAnsi="Arial" w:cs="Arial"/>
          <w:color w:val="000000" w:themeColor="text1"/>
          <w:sz w:val="22"/>
          <w:lang w:val="es-ES_tradnl"/>
        </w:rPr>
      </w:pPr>
      <w:r w:rsidRPr="00D4128C">
        <w:rPr>
          <w:rFonts w:ascii="Arial" w:hAnsi="Arial" w:cs="Arial"/>
          <w:color w:val="000000" w:themeColor="text1"/>
          <w:sz w:val="22"/>
          <w:lang w:val="es-ES_tradnl"/>
        </w:rPr>
        <w:t xml:space="preserve">Usted </w:t>
      </w:r>
      <w:r w:rsidR="00467D1D" w:rsidRPr="00D4128C">
        <w:rPr>
          <w:rFonts w:ascii="Arial" w:hAnsi="Arial" w:cs="Arial"/>
          <w:color w:val="000000" w:themeColor="text1"/>
          <w:sz w:val="22"/>
          <w:lang w:val="es-ES_tradnl"/>
        </w:rPr>
        <w:t>realiza</w:t>
      </w:r>
      <w:r w:rsidR="006D46A3" w:rsidRPr="00D4128C">
        <w:rPr>
          <w:rFonts w:ascii="Arial" w:hAnsi="Arial" w:cs="Arial"/>
          <w:color w:val="000000" w:themeColor="text1"/>
          <w:sz w:val="22"/>
          <w:lang w:val="es-ES_tradnl"/>
        </w:rPr>
        <w:t xml:space="preserve"> la siguiente </w:t>
      </w:r>
      <w:r w:rsidR="00B46915" w:rsidRPr="00D4128C">
        <w:rPr>
          <w:rFonts w:ascii="Arial" w:hAnsi="Arial" w:cs="Arial"/>
          <w:color w:val="000000" w:themeColor="text1"/>
          <w:sz w:val="22"/>
          <w:lang w:val="es-ES_tradnl"/>
        </w:rPr>
        <w:t>consulta</w:t>
      </w:r>
      <w:r w:rsidR="000314BD" w:rsidRPr="00D4128C">
        <w:rPr>
          <w:rFonts w:ascii="Arial" w:hAnsi="Arial" w:cs="Arial"/>
          <w:color w:val="000000" w:themeColor="text1"/>
          <w:sz w:val="22"/>
          <w:lang w:val="es-ES_tradnl"/>
        </w:rPr>
        <w:t>:</w:t>
      </w:r>
      <w:r w:rsidR="007E18DF" w:rsidRPr="00D4128C">
        <w:rPr>
          <w:rFonts w:ascii="Arial" w:hAnsi="Arial" w:cs="Arial"/>
          <w:color w:val="000000" w:themeColor="text1"/>
          <w:sz w:val="22"/>
          <w:lang w:val="es-ES_tradnl"/>
        </w:rPr>
        <w:t xml:space="preserve"> </w:t>
      </w:r>
    </w:p>
    <w:p w14:paraId="559EE20C" w14:textId="77777777" w:rsidR="00443B55" w:rsidRPr="00D4128C" w:rsidRDefault="00443B55" w:rsidP="0099583D">
      <w:pPr>
        <w:spacing w:line="276" w:lineRule="auto"/>
        <w:jc w:val="both"/>
        <w:rPr>
          <w:rFonts w:ascii="Arial" w:hAnsi="Arial" w:cs="Arial"/>
          <w:color w:val="000000" w:themeColor="text1"/>
          <w:sz w:val="22"/>
          <w:lang w:val="es-ES_tradnl"/>
        </w:rPr>
      </w:pPr>
    </w:p>
    <w:p w14:paraId="4E5BD951" w14:textId="77777777" w:rsidR="00E554CF" w:rsidRPr="00D4128C" w:rsidRDefault="00E554CF" w:rsidP="00E554CF">
      <w:pPr>
        <w:ind w:left="709" w:right="709"/>
        <w:jc w:val="both"/>
        <w:rPr>
          <w:rFonts w:ascii="Arial" w:hAnsi="Arial" w:cs="Arial"/>
          <w:color w:val="000000" w:themeColor="text1"/>
          <w:sz w:val="21"/>
          <w:szCs w:val="21"/>
          <w:lang w:val="es-ES_tradnl"/>
        </w:rPr>
      </w:pPr>
      <w:r w:rsidRPr="00D4128C">
        <w:rPr>
          <w:rFonts w:ascii="Arial" w:hAnsi="Arial" w:cs="Arial"/>
          <w:color w:val="000000" w:themeColor="text1"/>
          <w:sz w:val="21"/>
          <w:szCs w:val="21"/>
          <w:lang w:val="es-ES_tradnl"/>
        </w:rPr>
        <w:t>«Solicito su valiosa colaboración para aclarar, si es posible realizar la Audiencia de Riesgos en el proceso de Licitación Pública, entre la publicación de pliegos definitivos y hasta antes de la entrega de las ofertas.</w:t>
      </w:r>
    </w:p>
    <w:p w14:paraId="06DB19F0" w14:textId="77777777" w:rsidR="00E554CF" w:rsidRPr="00D4128C" w:rsidRDefault="00E554CF" w:rsidP="00E554CF">
      <w:pPr>
        <w:ind w:left="709" w:right="709"/>
        <w:jc w:val="both"/>
        <w:rPr>
          <w:rFonts w:ascii="Arial" w:hAnsi="Arial" w:cs="Arial"/>
          <w:color w:val="000000" w:themeColor="text1"/>
          <w:sz w:val="21"/>
          <w:szCs w:val="21"/>
          <w:lang w:val="es-ES_tradnl"/>
        </w:rPr>
      </w:pPr>
    </w:p>
    <w:p w14:paraId="7CCB9A1B" w14:textId="49763A7D" w:rsidR="00E554CF" w:rsidRPr="00D4128C" w:rsidRDefault="00402236" w:rsidP="00E554CF">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r w:rsidR="00E554CF" w:rsidRPr="00D4128C">
        <w:rPr>
          <w:rFonts w:ascii="Arial" w:hAnsi="Arial" w:cs="Arial"/>
          <w:color w:val="000000" w:themeColor="text1"/>
          <w:sz w:val="21"/>
          <w:szCs w:val="21"/>
          <w:lang w:val="es-ES_tradnl"/>
        </w:rPr>
        <w:t>Teniendo</w:t>
      </w:r>
      <w:proofErr w:type="gramEnd"/>
      <w:r w:rsidR="00E554CF" w:rsidRPr="00D4128C">
        <w:rPr>
          <w:rFonts w:ascii="Arial" w:hAnsi="Arial" w:cs="Arial"/>
          <w:color w:val="000000" w:themeColor="text1"/>
          <w:sz w:val="21"/>
          <w:szCs w:val="21"/>
          <w:lang w:val="es-ES_tradnl"/>
        </w:rPr>
        <w:t xml:space="preserve"> en cuenta que la ley menciona que debe hacerse dentro de los tres (3) </w:t>
      </w:r>
      <w:r w:rsidRPr="00D4128C">
        <w:rPr>
          <w:rFonts w:ascii="Arial" w:hAnsi="Arial" w:cs="Arial"/>
          <w:color w:val="000000" w:themeColor="text1"/>
          <w:sz w:val="21"/>
          <w:szCs w:val="21"/>
          <w:lang w:val="es-ES_tradnl"/>
        </w:rPr>
        <w:t>días</w:t>
      </w:r>
      <w:r w:rsidR="00E554CF" w:rsidRPr="00D4128C">
        <w:rPr>
          <w:rFonts w:ascii="Arial" w:hAnsi="Arial" w:cs="Arial"/>
          <w:color w:val="000000" w:themeColor="text1"/>
          <w:sz w:val="21"/>
          <w:szCs w:val="21"/>
          <w:lang w:val="es-ES_tradnl"/>
        </w:rPr>
        <w:t xml:space="preserve"> siguientes a la </w:t>
      </w:r>
      <w:r w:rsidRPr="00D4128C">
        <w:rPr>
          <w:rFonts w:ascii="Arial" w:hAnsi="Arial" w:cs="Arial"/>
          <w:color w:val="000000" w:themeColor="text1"/>
          <w:sz w:val="21"/>
          <w:szCs w:val="21"/>
          <w:lang w:val="es-ES_tradnl"/>
        </w:rPr>
        <w:t>publicación</w:t>
      </w:r>
      <w:r w:rsidR="00E554CF" w:rsidRPr="00D4128C">
        <w:rPr>
          <w:rFonts w:ascii="Arial" w:hAnsi="Arial" w:cs="Arial"/>
          <w:color w:val="000000" w:themeColor="text1"/>
          <w:sz w:val="21"/>
          <w:szCs w:val="21"/>
          <w:lang w:val="es-ES_tradnl"/>
        </w:rPr>
        <w:t xml:space="preserve"> del pliego definitivo.</w:t>
      </w:r>
    </w:p>
    <w:p w14:paraId="64D13736" w14:textId="77777777" w:rsidR="00402236" w:rsidRPr="00D4128C" w:rsidRDefault="00402236" w:rsidP="00E554CF">
      <w:pPr>
        <w:ind w:left="709" w:right="709"/>
        <w:jc w:val="both"/>
        <w:rPr>
          <w:rFonts w:ascii="Arial" w:hAnsi="Arial" w:cs="Arial"/>
          <w:color w:val="000000" w:themeColor="text1"/>
          <w:sz w:val="21"/>
          <w:szCs w:val="21"/>
          <w:lang w:val="es-ES_tradnl"/>
        </w:rPr>
      </w:pPr>
    </w:p>
    <w:p w14:paraId="29E400B6" w14:textId="2426EB8A" w:rsidR="00E554CF" w:rsidRPr="00D4128C" w:rsidRDefault="00A16D8E" w:rsidP="00E554CF">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r w:rsidR="00E554CF" w:rsidRPr="00D4128C">
        <w:rPr>
          <w:rFonts w:ascii="Arial" w:hAnsi="Arial" w:cs="Arial"/>
          <w:color w:val="000000" w:themeColor="text1"/>
          <w:sz w:val="21"/>
          <w:szCs w:val="21"/>
          <w:lang w:val="es-ES_tradnl"/>
        </w:rPr>
        <w:t>¿</w:t>
      </w:r>
      <w:proofErr w:type="gramEnd"/>
      <w:r w:rsidR="00E554CF" w:rsidRPr="00D4128C">
        <w:rPr>
          <w:rFonts w:ascii="Arial" w:hAnsi="Arial" w:cs="Arial"/>
          <w:color w:val="000000" w:themeColor="text1"/>
          <w:sz w:val="21"/>
          <w:szCs w:val="21"/>
          <w:lang w:val="es-ES_tradnl"/>
        </w:rPr>
        <w:t>Se puede hacer en otra fecha antes de la entrega de ofertas?</w:t>
      </w:r>
    </w:p>
    <w:p w14:paraId="352E0CDE" w14:textId="77777777" w:rsidR="00402236" w:rsidRPr="00D4128C" w:rsidRDefault="00402236" w:rsidP="00E554CF">
      <w:pPr>
        <w:ind w:left="709" w:right="709"/>
        <w:jc w:val="both"/>
        <w:rPr>
          <w:rFonts w:ascii="Arial" w:hAnsi="Arial" w:cs="Arial"/>
          <w:color w:val="000000" w:themeColor="text1"/>
          <w:sz w:val="21"/>
          <w:szCs w:val="21"/>
          <w:lang w:val="es-ES_tradnl"/>
        </w:rPr>
      </w:pPr>
    </w:p>
    <w:p w14:paraId="2AFC062F" w14:textId="0426DA63" w:rsidR="00E554CF" w:rsidRPr="00D4128C" w:rsidRDefault="00A16D8E" w:rsidP="00E554CF">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r w:rsidR="00E554CF" w:rsidRPr="00D4128C">
        <w:rPr>
          <w:rFonts w:ascii="Arial" w:hAnsi="Arial" w:cs="Arial"/>
          <w:color w:val="000000" w:themeColor="text1"/>
          <w:sz w:val="21"/>
          <w:szCs w:val="21"/>
          <w:lang w:val="es-ES_tradnl"/>
        </w:rPr>
        <w:t>¿</w:t>
      </w:r>
      <w:proofErr w:type="gramEnd"/>
      <w:r w:rsidR="00E554CF" w:rsidRPr="00D4128C">
        <w:rPr>
          <w:rFonts w:ascii="Arial" w:hAnsi="Arial" w:cs="Arial"/>
          <w:color w:val="000000" w:themeColor="text1"/>
          <w:sz w:val="21"/>
          <w:szCs w:val="21"/>
          <w:lang w:val="es-ES_tradnl"/>
        </w:rPr>
        <w:t xml:space="preserve">Qué pasa si no se hace la audiencia dentro de los tres (3) </w:t>
      </w:r>
      <w:r w:rsidR="00402236" w:rsidRPr="00D4128C">
        <w:rPr>
          <w:rFonts w:ascii="Arial" w:hAnsi="Arial" w:cs="Arial"/>
          <w:color w:val="000000" w:themeColor="text1"/>
          <w:sz w:val="21"/>
          <w:szCs w:val="21"/>
          <w:lang w:val="es-ES_tradnl"/>
        </w:rPr>
        <w:t>días</w:t>
      </w:r>
      <w:r w:rsidR="00E554CF" w:rsidRPr="00D4128C">
        <w:rPr>
          <w:rFonts w:ascii="Arial" w:hAnsi="Arial" w:cs="Arial"/>
          <w:color w:val="000000" w:themeColor="text1"/>
          <w:sz w:val="21"/>
          <w:szCs w:val="21"/>
          <w:lang w:val="es-ES_tradnl"/>
        </w:rPr>
        <w:t xml:space="preserve"> mencionados?</w:t>
      </w:r>
    </w:p>
    <w:p w14:paraId="68789A96" w14:textId="77777777" w:rsidR="00402236" w:rsidRPr="00D4128C" w:rsidRDefault="00402236" w:rsidP="00E554CF">
      <w:pPr>
        <w:ind w:left="709" w:right="709"/>
        <w:jc w:val="both"/>
        <w:rPr>
          <w:rFonts w:ascii="Arial" w:hAnsi="Arial" w:cs="Arial"/>
          <w:color w:val="000000" w:themeColor="text1"/>
          <w:sz w:val="21"/>
          <w:szCs w:val="21"/>
          <w:lang w:val="es-ES_tradnl"/>
        </w:rPr>
      </w:pPr>
    </w:p>
    <w:p w14:paraId="1D0C9BCC" w14:textId="23773DC0" w:rsidR="0050703E" w:rsidRPr="00D4128C" w:rsidRDefault="00A16D8E" w:rsidP="00E554CF">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r w:rsidR="00E554CF" w:rsidRPr="00D4128C">
        <w:rPr>
          <w:rFonts w:ascii="Arial" w:hAnsi="Arial" w:cs="Arial"/>
          <w:color w:val="000000" w:themeColor="text1"/>
          <w:sz w:val="21"/>
          <w:szCs w:val="21"/>
          <w:lang w:val="es-ES_tradnl"/>
        </w:rPr>
        <w:t>¿</w:t>
      </w:r>
      <w:proofErr w:type="gramEnd"/>
      <w:r w:rsidR="00E554CF" w:rsidRPr="00D4128C">
        <w:rPr>
          <w:rFonts w:ascii="Arial" w:hAnsi="Arial" w:cs="Arial"/>
          <w:color w:val="000000" w:themeColor="text1"/>
          <w:sz w:val="21"/>
          <w:szCs w:val="21"/>
          <w:lang w:val="es-ES_tradnl"/>
        </w:rPr>
        <w:t xml:space="preserve">De no hacerse la audiencia dentro de los mencionados 3 </w:t>
      </w:r>
      <w:r w:rsidR="00402236" w:rsidRPr="00D4128C">
        <w:rPr>
          <w:rFonts w:ascii="Arial" w:hAnsi="Arial" w:cs="Arial"/>
          <w:color w:val="000000" w:themeColor="text1"/>
          <w:sz w:val="21"/>
          <w:szCs w:val="21"/>
          <w:lang w:val="es-ES_tradnl"/>
        </w:rPr>
        <w:t>días</w:t>
      </w:r>
      <w:r w:rsidR="00E554CF" w:rsidRPr="00D4128C">
        <w:rPr>
          <w:rFonts w:ascii="Arial" w:hAnsi="Arial" w:cs="Arial"/>
          <w:color w:val="000000" w:themeColor="text1"/>
          <w:sz w:val="21"/>
          <w:szCs w:val="21"/>
          <w:lang w:val="es-ES_tradnl"/>
        </w:rPr>
        <w:t xml:space="preserve">, se genera </w:t>
      </w:r>
      <w:r w:rsidR="00402236" w:rsidRPr="00D4128C">
        <w:rPr>
          <w:rFonts w:ascii="Arial" w:hAnsi="Arial" w:cs="Arial"/>
          <w:color w:val="000000" w:themeColor="text1"/>
          <w:sz w:val="21"/>
          <w:szCs w:val="21"/>
          <w:lang w:val="es-ES_tradnl"/>
        </w:rPr>
        <w:t>algún</w:t>
      </w:r>
      <w:r w:rsidR="00E554CF" w:rsidRPr="00D4128C">
        <w:rPr>
          <w:rFonts w:ascii="Arial" w:hAnsi="Arial" w:cs="Arial"/>
          <w:color w:val="000000" w:themeColor="text1"/>
          <w:sz w:val="21"/>
          <w:szCs w:val="21"/>
          <w:lang w:val="es-ES_tradnl"/>
        </w:rPr>
        <w:t xml:space="preserve"> tipo de nulidad absoluta o relativa para el proceso?</w:t>
      </w:r>
      <w:r w:rsidRPr="00D4128C">
        <w:rPr>
          <w:rFonts w:ascii="Arial" w:hAnsi="Arial" w:cs="Arial"/>
          <w:color w:val="000000" w:themeColor="text1"/>
          <w:sz w:val="21"/>
          <w:szCs w:val="21"/>
          <w:lang w:val="es-ES_tradnl"/>
        </w:rPr>
        <w:t>»</w:t>
      </w:r>
    </w:p>
    <w:p w14:paraId="7316D498" w14:textId="37A2FBB2" w:rsidR="00BD53A0" w:rsidRDefault="00BD53A0" w:rsidP="00B2086F">
      <w:pPr>
        <w:spacing w:line="276" w:lineRule="auto"/>
        <w:ind w:left="709" w:right="709"/>
        <w:jc w:val="both"/>
        <w:rPr>
          <w:rFonts w:ascii="Arial" w:hAnsi="Arial" w:cs="Arial"/>
          <w:color w:val="000000" w:themeColor="text1"/>
          <w:sz w:val="22"/>
          <w:szCs w:val="22"/>
          <w:lang w:val="es-ES_tradnl"/>
        </w:rPr>
      </w:pPr>
    </w:p>
    <w:p w14:paraId="029EB821" w14:textId="1E0A8E7A" w:rsidR="00C800FA" w:rsidRDefault="00C800FA" w:rsidP="00B2086F">
      <w:pPr>
        <w:spacing w:line="276" w:lineRule="auto"/>
        <w:ind w:left="709" w:right="709"/>
        <w:jc w:val="both"/>
        <w:rPr>
          <w:rFonts w:ascii="Arial" w:hAnsi="Arial" w:cs="Arial"/>
          <w:color w:val="000000" w:themeColor="text1"/>
          <w:sz w:val="22"/>
          <w:szCs w:val="22"/>
          <w:lang w:val="es-ES_tradnl"/>
        </w:rPr>
      </w:pPr>
    </w:p>
    <w:p w14:paraId="1608928D" w14:textId="77777777" w:rsidR="00C800FA" w:rsidRPr="00D4128C" w:rsidRDefault="00C800FA" w:rsidP="00B2086F">
      <w:pPr>
        <w:spacing w:line="276" w:lineRule="auto"/>
        <w:ind w:left="709" w:right="709"/>
        <w:jc w:val="both"/>
        <w:rPr>
          <w:rFonts w:ascii="Arial" w:hAnsi="Arial" w:cs="Arial"/>
          <w:color w:val="000000" w:themeColor="text1"/>
          <w:sz w:val="22"/>
          <w:szCs w:val="22"/>
          <w:lang w:val="es-ES_tradnl"/>
        </w:rPr>
      </w:pPr>
    </w:p>
    <w:p w14:paraId="124D2DCA" w14:textId="77777777" w:rsidR="00DD5B04" w:rsidRPr="00D4128C"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Consideraciones</w:t>
      </w:r>
    </w:p>
    <w:p w14:paraId="7D050D2E" w14:textId="4381E36A" w:rsidR="00435703" w:rsidRPr="00D4128C" w:rsidRDefault="00435703" w:rsidP="00DF76A2">
      <w:pPr>
        <w:spacing w:line="276" w:lineRule="auto"/>
        <w:jc w:val="both"/>
        <w:rPr>
          <w:rFonts w:ascii="Arial" w:eastAsia="Calibri" w:hAnsi="Arial" w:cs="Arial"/>
          <w:color w:val="000000" w:themeColor="text1"/>
          <w:sz w:val="22"/>
          <w:szCs w:val="22"/>
          <w:lang w:val="es-ES_tradnl"/>
        </w:rPr>
      </w:pPr>
    </w:p>
    <w:p w14:paraId="1506862A" w14:textId="09C861B0" w:rsidR="00127F73" w:rsidRPr="00D4128C" w:rsidRDefault="00127F73" w:rsidP="00127F73">
      <w:pPr>
        <w:spacing w:after="120" w:line="276" w:lineRule="auto"/>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Para</w:t>
      </w:r>
      <w:r w:rsidRPr="00D4128C">
        <w:rPr>
          <w:rFonts w:ascii="Arial" w:eastAsia="Calibri" w:hAnsi="Arial" w:cs="Arial"/>
          <w:color w:val="000000"/>
          <w:sz w:val="22"/>
          <w:lang w:val="es-ES_tradnl" w:eastAsia="en-GB"/>
        </w:rPr>
        <w:t xml:space="preserve"> abordar los interrogantes planteados se analizarán los siguientes temas: </w:t>
      </w:r>
      <w:r w:rsidRPr="00D4128C">
        <w:rPr>
          <w:rFonts w:ascii="Arial" w:eastAsia="Calibri" w:hAnsi="Arial" w:cs="Arial"/>
          <w:color w:val="000000" w:themeColor="text1"/>
          <w:sz w:val="22"/>
          <w:lang w:val="es-ES_tradnl"/>
        </w:rPr>
        <w:t>i) la audiencia de asignación de riesgos en</w:t>
      </w:r>
      <w:r w:rsidR="005B0187" w:rsidRPr="00D4128C">
        <w:rPr>
          <w:rFonts w:ascii="Arial" w:eastAsia="Calibri" w:hAnsi="Arial" w:cs="Arial"/>
          <w:color w:val="000000" w:themeColor="text1"/>
          <w:sz w:val="22"/>
          <w:lang w:val="es-ES_tradnl"/>
        </w:rPr>
        <w:t xml:space="preserve"> la licitación </w:t>
      </w:r>
      <w:r w:rsidRPr="00D4128C">
        <w:rPr>
          <w:rFonts w:ascii="Arial" w:eastAsia="Calibri" w:hAnsi="Arial" w:cs="Arial"/>
          <w:color w:val="000000" w:themeColor="text1"/>
          <w:sz w:val="22"/>
          <w:lang w:val="es-ES_tradnl"/>
        </w:rPr>
        <w:t xml:space="preserve">pública y ii) </w:t>
      </w:r>
      <w:r w:rsidR="0045454D" w:rsidRPr="00D4128C">
        <w:rPr>
          <w:rFonts w:ascii="Arial" w:eastAsia="Calibri" w:hAnsi="Arial" w:cs="Arial"/>
          <w:color w:val="000000" w:themeColor="text1"/>
          <w:sz w:val="22"/>
          <w:lang w:val="es-ES_tradnl"/>
        </w:rPr>
        <w:t>efectos del carácter preclusivo de las etapas en la validez del procedimiento contractual</w:t>
      </w:r>
      <w:r w:rsidR="00E82408">
        <w:rPr>
          <w:rFonts w:ascii="Arial" w:eastAsia="Calibri" w:hAnsi="Arial" w:cs="Arial"/>
          <w:color w:val="000000" w:themeColor="text1"/>
          <w:sz w:val="22"/>
          <w:lang w:val="es-ES_tradnl"/>
        </w:rPr>
        <w:t xml:space="preserve">, a partir de la consideración de la oportunidad de la audiencia de asignación de riesgos. </w:t>
      </w:r>
    </w:p>
    <w:p w14:paraId="17ADF5AB" w14:textId="0B4549F7" w:rsidR="00C6079C" w:rsidRPr="00D4128C" w:rsidRDefault="00127F73" w:rsidP="002F4F20">
      <w:pPr>
        <w:tabs>
          <w:tab w:val="left" w:pos="426"/>
        </w:tabs>
        <w:spacing w:before="120" w:line="276" w:lineRule="auto"/>
        <w:ind w:firstLine="709"/>
        <w:jc w:val="both"/>
        <w:rPr>
          <w:rFonts w:ascii="Arial" w:eastAsia="Calibri" w:hAnsi="Arial" w:cs="Arial"/>
          <w:color w:val="000000" w:themeColor="text1"/>
          <w:sz w:val="22"/>
          <w:lang w:val="es-ES_tradnl"/>
        </w:rPr>
      </w:pPr>
      <w:r w:rsidRPr="00D4128C">
        <w:rPr>
          <w:rFonts w:ascii="Arial" w:eastAsia="Calibri" w:hAnsi="Arial" w:cs="Arial"/>
          <w:color w:val="000000"/>
          <w:sz w:val="22"/>
          <w:lang w:val="es-ES_tradnl" w:eastAsia="en-GB"/>
        </w:rPr>
        <w:t>La Agencia Nacional de Contratación Pública – Colombia Compra Eficiente</w:t>
      </w:r>
      <w:r w:rsidR="0089075B" w:rsidRPr="00D4128C">
        <w:rPr>
          <w:rFonts w:ascii="Arial" w:eastAsia="Calibri" w:hAnsi="Arial" w:cs="Arial"/>
          <w:color w:val="000000"/>
          <w:sz w:val="22"/>
          <w:lang w:val="es-ES_tradnl" w:eastAsia="en-GB"/>
        </w:rPr>
        <w:t xml:space="preserve"> se pronunció sobre la audiencia de asignación de riesgos en la licitación pública</w:t>
      </w:r>
      <w:r w:rsidRPr="00D4128C">
        <w:rPr>
          <w:rFonts w:ascii="Arial" w:eastAsia="Calibri" w:hAnsi="Arial" w:cs="Arial"/>
          <w:color w:val="000000"/>
          <w:sz w:val="22"/>
          <w:lang w:val="es-ES_tradnl" w:eastAsia="en-GB"/>
        </w:rPr>
        <w:t xml:space="preserve"> </w:t>
      </w:r>
      <w:r w:rsidR="005F29AE" w:rsidRPr="00D4128C">
        <w:rPr>
          <w:rFonts w:ascii="Arial" w:eastAsia="Calibri" w:hAnsi="Arial" w:cs="Arial"/>
          <w:color w:val="000000" w:themeColor="text1"/>
          <w:sz w:val="22"/>
          <w:lang w:val="es-ES_tradnl"/>
        </w:rPr>
        <w:t>en el concepto</w:t>
      </w:r>
      <w:r w:rsidR="00E0404F" w:rsidRPr="00D4128C">
        <w:rPr>
          <w:rFonts w:ascii="Arial" w:eastAsia="Calibri" w:hAnsi="Arial" w:cs="Arial"/>
          <w:color w:val="000000" w:themeColor="text1"/>
          <w:sz w:val="22"/>
          <w:lang w:val="es-ES_tradnl"/>
        </w:rPr>
        <w:t xml:space="preserve"> con radicado No. 2201913000009072 del 9 de diciembre de 20</w:t>
      </w:r>
      <w:r w:rsidR="007A6B35" w:rsidRPr="00D4128C">
        <w:rPr>
          <w:rFonts w:ascii="Arial" w:eastAsia="Calibri" w:hAnsi="Arial" w:cs="Arial"/>
          <w:color w:val="000000" w:themeColor="text1"/>
          <w:sz w:val="22"/>
          <w:lang w:val="es-ES_tradnl"/>
        </w:rPr>
        <w:t>19</w:t>
      </w:r>
      <w:r w:rsidR="00C1209D" w:rsidRPr="00D4128C">
        <w:rPr>
          <w:rFonts w:ascii="Arial" w:eastAsia="Calibri" w:hAnsi="Arial" w:cs="Arial"/>
          <w:color w:val="000000" w:themeColor="text1"/>
          <w:sz w:val="22"/>
          <w:lang w:val="es-ES_tradnl"/>
        </w:rPr>
        <w:t>. Así mismo, se refirió a este tema en los conceptos C-</w:t>
      </w:r>
      <w:r w:rsidR="00EA7FD4" w:rsidRPr="00D4128C">
        <w:rPr>
          <w:rFonts w:ascii="Arial" w:eastAsia="Calibri" w:hAnsi="Arial" w:cs="Arial"/>
          <w:color w:val="000000" w:themeColor="text1"/>
          <w:sz w:val="22"/>
          <w:lang w:val="es-ES_tradnl"/>
        </w:rPr>
        <w:t>201 del 13 de abril de 2020</w:t>
      </w:r>
      <w:r w:rsidR="00BA0345" w:rsidRPr="00D4128C">
        <w:rPr>
          <w:rFonts w:ascii="Arial" w:eastAsia="Calibri" w:hAnsi="Arial" w:cs="Arial"/>
          <w:color w:val="000000" w:themeColor="text1"/>
          <w:sz w:val="22"/>
          <w:lang w:val="es-ES_tradnl"/>
        </w:rPr>
        <w:t xml:space="preserve"> y C-725 del </w:t>
      </w:r>
      <w:r w:rsidR="00BD14C9" w:rsidRPr="00D4128C">
        <w:rPr>
          <w:rFonts w:ascii="Arial" w:eastAsia="Calibri" w:hAnsi="Arial" w:cs="Arial"/>
          <w:color w:val="000000" w:themeColor="text1"/>
          <w:sz w:val="22"/>
          <w:lang w:val="es-ES_tradnl"/>
        </w:rPr>
        <w:t>14 de diciembre del mismo año</w:t>
      </w:r>
      <w:r w:rsidRPr="00D4128C">
        <w:rPr>
          <w:rFonts w:ascii="Arial" w:eastAsia="Calibri" w:hAnsi="Arial" w:cs="Arial"/>
          <w:color w:val="000000" w:themeColor="text1"/>
          <w:sz w:val="22"/>
          <w:lang w:val="es-ES_tradnl"/>
        </w:rPr>
        <w:t>. Las tesis expuestas en dichos conceptos se reiteran a continuación</w:t>
      </w:r>
      <w:r w:rsidR="000C2EE0">
        <w:rPr>
          <w:rFonts w:ascii="Arial" w:eastAsia="Calibri" w:hAnsi="Arial" w:cs="Arial"/>
          <w:color w:val="000000" w:themeColor="text1"/>
          <w:sz w:val="22"/>
          <w:lang w:val="es-ES_tradnl"/>
        </w:rPr>
        <w:t xml:space="preserve"> y se complementan</w:t>
      </w:r>
      <w:r w:rsidR="00B54BF6">
        <w:rPr>
          <w:rFonts w:ascii="Arial" w:eastAsia="Calibri" w:hAnsi="Arial" w:cs="Arial"/>
          <w:color w:val="000000" w:themeColor="text1"/>
          <w:sz w:val="22"/>
          <w:lang w:val="es-ES_tradnl"/>
        </w:rPr>
        <w:t xml:space="preserve"> con algunas consideraciones relacionadas con el contenido de la consulta.</w:t>
      </w:r>
    </w:p>
    <w:p w14:paraId="6CEA8CC1" w14:textId="77777777" w:rsidR="002F4F20" w:rsidRPr="00D4128C" w:rsidRDefault="002F4F20" w:rsidP="002F4F20">
      <w:pPr>
        <w:tabs>
          <w:tab w:val="left" w:pos="426"/>
        </w:tabs>
        <w:spacing w:line="276" w:lineRule="auto"/>
        <w:jc w:val="both"/>
        <w:rPr>
          <w:rFonts w:ascii="Arial" w:eastAsia="Calibri" w:hAnsi="Arial" w:cs="Arial"/>
          <w:b/>
          <w:color w:val="000000" w:themeColor="text1"/>
          <w:sz w:val="22"/>
          <w:lang w:val="es-ES_tradnl"/>
        </w:rPr>
      </w:pPr>
    </w:p>
    <w:p w14:paraId="08067C45" w14:textId="2929F732" w:rsidR="002F4F20" w:rsidRPr="00D4128C" w:rsidRDefault="002F4F20" w:rsidP="002F4F20">
      <w:pPr>
        <w:tabs>
          <w:tab w:val="left" w:pos="426"/>
        </w:tabs>
        <w:spacing w:line="276" w:lineRule="auto"/>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 xml:space="preserve">2.1. Audiencia de asignación de riesgos en </w:t>
      </w:r>
      <w:r w:rsidR="00B54BF6">
        <w:rPr>
          <w:rFonts w:ascii="Arial" w:eastAsia="Calibri" w:hAnsi="Arial" w:cs="Arial"/>
          <w:b/>
          <w:color w:val="000000" w:themeColor="text1"/>
          <w:sz w:val="22"/>
          <w:lang w:val="es-ES_tradnl"/>
        </w:rPr>
        <w:t>la licitación pública</w:t>
      </w:r>
      <w:r w:rsidRPr="00D4128C">
        <w:rPr>
          <w:rFonts w:ascii="Arial" w:eastAsia="Calibri" w:hAnsi="Arial" w:cs="Arial"/>
          <w:b/>
          <w:color w:val="000000" w:themeColor="text1"/>
          <w:sz w:val="22"/>
          <w:lang w:val="es-ES_tradnl"/>
        </w:rPr>
        <w:t xml:space="preserve"> </w:t>
      </w:r>
    </w:p>
    <w:p w14:paraId="7BDA133E" w14:textId="77777777" w:rsidR="002F4F20" w:rsidRPr="00D4128C" w:rsidRDefault="002F4F20" w:rsidP="002F4F20">
      <w:pPr>
        <w:spacing w:line="276" w:lineRule="auto"/>
        <w:jc w:val="both"/>
        <w:rPr>
          <w:rFonts w:ascii="Arial" w:eastAsia="Calibri" w:hAnsi="Arial" w:cs="Arial"/>
          <w:color w:val="000000" w:themeColor="text1"/>
          <w:sz w:val="22"/>
          <w:lang w:val="es-ES_tradnl"/>
        </w:rPr>
      </w:pPr>
    </w:p>
    <w:p w14:paraId="782129DB" w14:textId="1A5C40D7" w:rsidR="002F4F20" w:rsidRPr="00D4128C" w:rsidRDefault="002F4F20" w:rsidP="002F4F20">
      <w:pPr>
        <w:spacing w:line="276" w:lineRule="auto"/>
        <w:jc w:val="both"/>
        <w:rPr>
          <w:rFonts w:ascii="ArialMT" w:hAnsi="ArialMT"/>
          <w:color w:val="000000" w:themeColor="text1"/>
          <w:sz w:val="22"/>
          <w:lang w:val="es-ES_tradnl"/>
        </w:rPr>
      </w:pPr>
      <w:r w:rsidRPr="00D4128C">
        <w:rPr>
          <w:rFonts w:ascii="Arial" w:eastAsia="Calibri" w:hAnsi="Arial" w:cs="Arial"/>
          <w:color w:val="000000" w:themeColor="text1"/>
          <w:sz w:val="22"/>
          <w:lang w:val="es-ES_tradnl"/>
        </w:rPr>
        <w:t>En</w:t>
      </w:r>
      <w:r w:rsidRPr="00D4128C">
        <w:rPr>
          <w:rFonts w:ascii="ArialMT" w:hAnsi="ArialMT"/>
          <w:color w:val="000000" w:themeColor="text1"/>
          <w:sz w:val="22"/>
          <w:lang w:val="es-ES_tradnl"/>
        </w:rPr>
        <w:t xml:space="preserve"> materia de contratación pública, el marco normativo ha establecido el deber de las entidades públicas de incluir en los pliegos de condiciones o sus equivalentes</w:t>
      </w:r>
      <w:r w:rsidR="00264C99">
        <w:rPr>
          <w:rFonts w:ascii="ArialMT" w:hAnsi="ArialMT"/>
          <w:color w:val="000000" w:themeColor="text1"/>
          <w:sz w:val="22"/>
          <w:lang w:val="es-ES_tradnl"/>
        </w:rPr>
        <w:t xml:space="preserve"> </w:t>
      </w:r>
      <w:r w:rsidRPr="00D4128C">
        <w:rPr>
          <w:rFonts w:ascii="ArialMT" w:hAnsi="ArialMT"/>
          <w:color w:val="000000" w:themeColor="text1"/>
          <w:sz w:val="22"/>
          <w:lang w:val="es-ES_tradnl"/>
        </w:rPr>
        <w:t>la estimación, tipificación y asignación de riesgos previsibles involucrados en la contratación. Esto, con el fin de administrarlos, controlarlos, gestionarlos, mitigarlos y efectuar una distribución proporcional entre las partes, «actividad que debe sujetarse a un criterio de justicia y equidad, al tiempo que corresponde ejercerse con apego a los principios y reglas constitucionales y legales que orientan la actividad contractual del Estado</w:t>
      </w:r>
      <w:r w:rsidRPr="00D4128C">
        <w:rPr>
          <w:rFonts w:ascii="Arial" w:eastAsia="Calibri" w:hAnsi="Arial" w:cs="Arial"/>
          <w:color w:val="000000" w:themeColor="text1"/>
          <w:sz w:val="22"/>
          <w:lang w:val="es-ES_tradnl"/>
        </w:rPr>
        <w:t>»</w:t>
      </w:r>
      <w:r w:rsidRPr="00D4128C">
        <w:rPr>
          <w:rFonts w:ascii="Arial" w:hAnsi="Arial" w:cs="Arial"/>
          <w:vertAlign w:val="superscript"/>
          <w:lang w:val="es-ES_tradnl"/>
        </w:rPr>
        <w:footnoteReference w:id="2"/>
      </w:r>
      <w:r w:rsidRPr="00D4128C">
        <w:rPr>
          <w:rFonts w:ascii="Arial" w:eastAsia="Calibri" w:hAnsi="Arial" w:cs="Arial"/>
          <w:color w:val="000000" w:themeColor="text1"/>
          <w:sz w:val="22"/>
          <w:lang w:val="es-ES_tradnl"/>
        </w:rPr>
        <w:t xml:space="preserve">. </w:t>
      </w:r>
      <w:r w:rsidRPr="00D4128C">
        <w:rPr>
          <w:rFonts w:ascii="ArialMT" w:hAnsi="ArialMT"/>
          <w:color w:val="000000" w:themeColor="text1"/>
          <w:sz w:val="22"/>
          <w:lang w:val="es-ES_tradnl"/>
        </w:rPr>
        <w:t>La Ley 1150 de 2007, en su artículo 4, regula la materia</w:t>
      </w:r>
      <w:r w:rsidR="00476253">
        <w:rPr>
          <w:rFonts w:ascii="ArialMT" w:hAnsi="ArialMT"/>
          <w:color w:val="000000" w:themeColor="text1"/>
          <w:sz w:val="22"/>
          <w:lang w:val="es-ES_tradnl"/>
        </w:rPr>
        <w:t xml:space="preserve">, prescribiendo </w:t>
      </w:r>
      <w:r w:rsidRPr="00D4128C">
        <w:rPr>
          <w:rFonts w:ascii="ArialMT" w:hAnsi="ArialMT"/>
          <w:color w:val="000000" w:themeColor="text1"/>
          <w:sz w:val="22"/>
          <w:lang w:val="es-ES_tradnl"/>
        </w:rPr>
        <w:t xml:space="preserve">lo siguiente: </w:t>
      </w:r>
    </w:p>
    <w:p w14:paraId="2B4FABF9" w14:textId="77777777" w:rsidR="002F4F20" w:rsidRPr="00D4128C" w:rsidRDefault="002F4F20" w:rsidP="002F4F20">
      <w:pPr>
        <w:spacing w:line="276" w:lineRule="auto"/>
        <w:ind w:firstLine="709"/>
        <w:jc w:val="both"/>
        <w:rPr>
          <w:rFonts w:ascii="ArialMT" w:hAnsi="ArialMT"/>
          <w:color w:val="000000" w:themeColor="text1"/>
          <w:sz w:val="19"/>
          <w:szCs w:val="19"/>
          <w:lang w:val="es-ES_tradnl"/>
        </w:rPr>
      </w:pPr>
    </w:p>
    <w:p w14:paraId="2A853B36" w14:textId="0FCA5A29" w:rsidR="002F4F20" w:rsidRPr="00D4128C" w:rsidRDefault="002F4F20" w:rsidP="002F4F20">
      <w:pPr>
        <w:ind w:left="709" w:right="709"/>
        <w:jc w:val="both"/>
        <w:rPr>
          <w:rFonts w:ascii="Arial" w:hAnsi="Arial" w:cs="Arial"/>
          <w:color w:val="000000" w:themeColor="text1"/>
          <w:sz w:val="19"/>
          <w:szCs w:val="19"/>
          <w:lang w:val="es-ES_tradnl"/>
        </w:rPr>
      </w:pPr>
      <w:r w:rsidRPr="00D4128C">
        <w:rPr>
          <w:rFonts w:ascii="Arial" w:hAnsi="Arial" w:cs="Arial"/>
          <w:color w:val="000000" w:themeColor="text1"/>
          <w:sz w:val="19"/>
          <w:szCs w:val="19"/>
          <w:lang w:val="es-ES_tradnl"/>
        </w:rPr>
        <w:t>Los pliegos de condiciones o sus equivalentes deberán incluir la estimación, tipificación y asignación de los riesgos previsibles involucrados en la contratación.</w:t>
      </w:r>
    </w:p>
    <w:p w14:paraId="543D5298" w14:textId="77777777" w:rsidR="002F4F20" w:rsidRPr="00D4128C" w:rsidRDefault="002F4F20" w:rsidP="002F4F20">
      <w:pPr>
        <w:ind w:left="709" w:right="709"/>
        <w:jc w:val="both"/>
        <w:rPr>
          <w:rFonts w:ascii="Arial" w:hAnsi="Arial" w:cs="Arial"/>
          <w:color w:val="000000" w:themeColor="text1"/>
          <w:sz w:val="19"/>
          <w:szCs w:val="19"/>
          <w:lang w:val="es-ES_tradnl"/>
        </w:rPr>
      </w:pPr>
    </w:p>
    <w:p w14:paraId="4F96721A" w14:textId="77777777" w:rsidR="002F4F20" w:rsidRPr="00D4128C" w:rsidRDefault="002F4F20" w:rsidP="002F4F20">
      <w:pPr>
        <w:ind w:left="709" w:right="709"/>
        <w:jc w:val="both"/>
        <w:rPr>
          <w:rFonts w:ascii="Arial" w:hAnsi="Arial" w:cs="Arial"/>
          <w:color w:val="000000" w:themeColor="text1"/>
          <w:sz w:val="19"/>
          <w:szCs w:val="19"/>
          <w:lang w:val="es-ES_tradnl"/>
        </w:rPr>
      </w:pPr>
      <w:r w:rsidRPr="00D4128C">
        <w:rPr>
          <w:rFonts w:ascii="Arial" w:hAnsi="Arial" w:cs="Arial"/>
          <w:color w:val="000000" w:themeColor="text1"/>
          <w:sz w:val="19"/>
          <w:szCs w:val="19"/>
          <w:lang w:val="es-ES_tradnl"/>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p>
    <w:p w14:paraId="59A423F7" w14:textId="77777777" w:rsidR="002F4F20" w:rsidRPr="00D4128C" w:rsidRDefault="002F4F20" w:rsidP="002F4F20">
      <w:pPr>
        <w:spacing w:line="276" w:lineRule="auto"/>
        <w:ind w:left="709" w:right="709"/>
        <w:jc w:val="both"/>
        <w:rPr>
          <w:rFonts w:ascii="Arial" w:eastAsia="Calibri" w:hAnsi="Arial" w:cs="Arial"/>
          <w:color w:val="000000"/>
          <w:sz w:val="21"/>
          <w:szCs w:val="21"/>
          <w:lang w:val="es-ES_tradnl"/>
        </w:rPr>
      </w:pPr>
    </w:p>
    <w:p w14:paraId="0F237DF5" w14:textId="2C4E247F" w:rsidR="002F4F20" w:rsidRPr="00D4128C" w:rsidRDefault="002F4F20" w:rsidP="00CD2415">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De la lectura de este precepto se deduce que</w:t>
      </w:r>
      <w:r w:rsidR="00F25418">
        <w:rPr>
          <w:rFonts w:ascii="ArialMT" w:hAnsi="ArialMT"/>
          <w:color w:val="000000" w:themeColor="text1"/>
          <w:sz w:val="22"/>
          <w:lang w:val="es-ES_tradnl"/>
        </w:rPr>
        <w:t xml:space="preserve"> </w:t>
      </w:r>
      <w:r w:rsidRPr="00D4128C">
        <w:rPr>
          <w:rFonts w:ascii="ArialMT" w:hAnsi="ArialMT"/>
          <w:color w:val="000000" w:themeColor="text1"/>
          <w:sz w:val="22"/>
          <w:lang w:val="es-ES_tradnl"/>
        </w:rPr>
        <w:t xml:space="preserve">en los </w:t>
      </w:r>
      <w:r w:rsidR="00360711">
        <w:rPr>
          <w:rFonts w:ascii="ArialMT" w:hAnsi="ArialMT"/>
          <w:color w:val="000000" w:themeColor="text1"/>
          <w:sz w:val="22"/>
          <w:lang w:val="es-ES_tradnl"/>
        </w:rPr>
        <w:t>procedimientos de licitación pública</w:t>
      </w:r>
      <w:r w:rsidRPr="00D4128C">
        <w:rPr>
          <w:rFonts w:ascii="ArialMT" w:hAnsi="ArialMT"/>
          <w:color w:val="000000" w:themeColor="text1"/>
          <w:sz w:val="22"/>
          <w:lang w:val="es-ES_tradnl"/>
        </w:rPr>
        <w:t xml:space="preserve"> las entidades estatales deben incorporar en </w:t>
      </w:r>
      <w:r w:rsidR="00360711">
        <w:rPr>
          <w:rFonts w:ascii="ArialMT" w:hAnsi="ArialMT"/>
          <w:color w:val="000000" w:themeColor="text1"/>
          <w:sz w:val="22"/>
          <w:lang w:val="es-ES_tradnl"/>
        </w:rPr>
        <w:t>el</w:t>
      </w:r>
      <w:r w:rsidRPr="00D4128C">
        <w:rPr>
          <w:rFonts w:ascii="ArialMT" w:hAnsi="ArialMT"/>
          <w:color w:val="000000" w:themeColor="text1"/>
          <w:sz w:val="22"/>
          <w:lang w:val="es-ES_tradnl"/>
        </w:rPr>
        <w:t xml:space="preserve"> pliego de condicione la estimación, tipificación y asignación de los riesgos previsibles. </w:t>
      </w:r>
      <w:r w:rsidR="001C661E">
        <w:rPr>
          <w:rFonts w:ascii="ArialMT" w:hAnsi="ArialMT"/>
          <w:color w:val="000000" w:themeColor="text1"/>
          <w:sz w:val="22"/>
          <w:lang w:val="es-ES_tradnl"/>
        </w:rPr>
        <w:t>A</w:t>
      </w:r>
      <w:r w:rsidRPr="00D4128C">
        <w:rPr>
          <w:rFonts w:ascii="ArialMT" w:hAnsi="ArialMT"/>
          <w:color w:val="000000" w:themeColor="text1"/>
          <w:sz w:val="22"/>
          <w:lang w:val="es-ES_tradnl"/>
        </w:rPr>
        <w:t xml:space="preserve">demás de lo anterior, </w:t>
      </w:r>
      <w:r w:rsidR="00F25418">
        <w:rPr>
          <w:rFonts w:ascii="ArialMT" w:hAnsi="ArialMT"/>
          <w:color w:val="000000" w:themeColor="text1"/>
          <w:sz w:val="22"/>
          <w:lang w:val="es-ES_tradnl"/>
        </w:rPr>
        <w:t>tienen la obligación</w:t>
      </w:r>
      <w:r w:rsidRPr="00D4128C">
        <w:rPr>
          <w:rFonts w:ascii="ArialMT" w:hAnsi="ArialMT"/>
          <w:color w:val="000000" w:themeColor="text1"/>
          <w:sz w:val="22"/>
          <w:lang w:val="es-ES_tradnl"/>
        </w:rPr>
        <w:t xml:space="preserve"> de </w:t>
      </w:r>
      <w:r w:rsidR="00AB75B8">
        <w:rPr>
          <w:rFonts w:ascii="ArialMT" w:hAnsi="ArialMT"/>
          <w:color w:val="000000" w:themeColor="text1"/>
          <w:sz w:val="22"/>
          <w:lang w:val="es-ES_tradnl"/>
        </w:rPr>
        <w:t>definir</w:t>
      </w:r>
      <w:r w:rsidRPr="00D4128C">
        <w:rPr>
          <w:rFonts w:ascii="ArialMT" w:hAnsi="ArialMT"/>
          <w:color w:val="000000" w:themeColor="text1"/>
          <w:sz w:val="22"/>
          <w:lang w:val="es-ES_tradnl"/>
        </w:rPr>
        <w:t xml:space="preserve"> un </w:t>
      </w:r>
      <w:r w:rsidR="00AB75B8">
        <w:rPr>
          <w:rFonts w:ascii="ArialMT" w:hAnsi="ArialMT"/>
          <w:color w:val="000000" w:themeColor="text1"/>
          <w:sz w:val="22"/>
          <w:lang w:val="es-ES_tradnl"/>
        </w:rPr>
        <w:t>momento</w:t>
      </w:r>
      <w:r w:rsidRPr="00D4128C">
        <w:rPr>
          <w:rFonts w:ascii="ArialMT" w:hAnsi="ArialMT"/>
          <w:color w:val="000000" w:themeColor="text1"/>
          <w:sz w:val="22"/>
          <w:lang w:val="es-ES_tradnl"/>
        </w:rPr>
        <w:t xml:space="preserve"> para que los oferentes y la entidad</w:t>
      </w:r>
      <w:r w:rsidR="00AB75B8">
        <w:rPr>
          <w:rFonts w:ascii="ArialMT" w:hAnsi="ArialMT"/>
          <w:color w:val="000000" w:themeColor="text1"/>
          <w:sz w:val="22"/>
          <w:lang w:val="es-ES_tradnl"/>
        </w:rPr>
        <w:t xml:space="preserve"> estatal</w:t>
      </w:r>
      <w:r w:rsidRPr="00D4128C">
        <w:rPr>
          <w:rFonts w:ascii="ArialMT" w:hAnsi="ArialMT"/>
          <w:color w:val="000000" w:themeColor="text1"/>
          <w:sz w:val="22"/>
          <w:lang w:val="es-ES_tradnl"/>
        </w:rPr>
        <w:t xml:space="preserve"> revisen la </w:t>
      </w:r>
      <w:r w:rsidRPr="00D4128C">
        <w:rPr>
          <w:rFonts w:ascii="ArialMT" w:hAnsi="ArialMT"/>
          <w:color w:val="000000" w:themeColor="text1"/>
          <w:sz w:val="22"/>
          <w:lang w:val="es-ES_tradnl"/>
        </w:rPr>
        <w:lastRenderedPageBreak/>
        <w:t>asignación de los riesgos, con el fin de determinar su distribución definitiva</w:t>
      </w:r>
      <w:r w:rsidR="00CD2415">
        <w:rPr>
          <w:rFonts w:ascii="ArialMT" w:hAnsi="ArialMT"/>
          <w:color w:val="000000" w:themeColor="text1"/>
          <w:sz w:val="22"/>
          <w:lang w:val="es-ES_tradnl"/>
        </w:rPr>
        <w:t xml:space="preserve">. </w:t>
      </w:r>
      <w:r w:rsidRPr="00D4128C">
        <w:rPr>
          <w:rFonts w:ascii="ArialMT" w:hAnsi="ArialMT"/>
          <w:color w:val="000000" w:themeColor="text1"/>
          <w:sz w:val="22"/>
          <w:lang w:val="es-ES_tradnl"/>
        </w:rPr>
        <w:t xml:space="preserve">En </w:t>
      </w:r>
      <w:r w:rsidR="00CD2415">
        <w:rPr>
          <w:rFonts w:ascii="ArialMT" w:hAnsi="ArialMT"/>
          <w:color w:val="000000" w:themeColor="text1"/>
          <w:sz w:val="22"/>
          <w:lang w:val="es-ES_tradnl"/>
        </w:rPr>
        <w:t>efecto</w:t>
      </w:r>
      <w:r w:rsidRPr="00D4128C">
        <w:rPr>
          <w:rFonts w:ascii="ArialMT" w:hAnsi="ArialMT"/>
          <w:color w:val="000000" w:themeColor="text1"/>
          <w:sz w:val="22"/>
          <w:lang w:val="es-ES_tradnl"/>
        </w:rPr>
        <w:t>, el artículo 30</w:t>
      </w:r>
      <w:r w:rsidR="00CD2415">
        <w:rPr>
          <w:rFonts w:ascii="ArialMT" w:hAnsi="ArialMT"/>
          <w:color w:val="000000" w:themeColor="text1"/>
          <w:sz w:val="22"/>
          <w:lang w:val="es-ES_tradnl"/>
        </w:rPr>
        <w:t>,</w:t>
      </w:r>
      <w:r w:rsidRPr="00D4128C">
        <w:rPr>
          <w:rFonts w:ascii="ArialMT" w:hAnsi="ArialMT"/>
          <w:color w:val="000000" w:themeColor="text1"/>
          <w:sz w:val="22"/>
          <w:lang w:val="es-ES_tradnl"/>
        </w:rPr>
        <w:t xml:space="preserve"> numeral 4</w:t>
      </w:r>
      <w:r w:rsidR="00CD2415">
        <w:rPr>
          <w:rFonts w:ascii="ArialMT" w:hAnsi="ArialMT"/>
          <w:color w:val="000000" w:themeColor="text1"/>
          <w:sz w:val="22"/>
          <w:lang w:val="es-ES_tradnl"/>
        </w:rPr>
        <w:t>,</w:t>
      </w:r>
      <w:r w:rsidRPr="00D4128C">
        <w:rPr>
          <w:rFonts w:ascii="ArialMT" w:hAnsi="ArialMT"/>
          <w:color w:val="000000" w:themeColor="text1"/>
          <w:sz w:val="22"/>
          <w:lang w:val="es-ES_tradnl"/>
        </w:rPr>
        <w:t xml:space="preserve"> de la Ley 80 de 1993, modificado por el artículo 220 del Decreto</w:t>
      </w:r>
      <w:r w:rsidR="00CD2415">
        <w:rPr>
          <w:rFonts w:ascii="ArialMT" w:hAnsi="ArialMT"/>
          <w:color w:val="000000" w:themeColor="text1"/>
          <w:sz w:val="22"/>
          <w:lang w:val="es-ES_tradnl"/>
        </w:rPr>
        <w:t>-Ley</w:t>
      </w:r>
      <w:r w:rsidRPr="00D4128C">
        <w:rPr>
          <w:rFonts w:ascii="ArialMT" w:hAnsi="ArialMT"/>
          <w:color w:val="000000" w:themeColor="text1"/>
          <w:sz w:val="22"/>
          <w:lang w:val="es-ES_tradnl"/>
        </w:rPr>
        <w:t xml:space="preserve"> 019 de 2012, indica que en los procesos de licitación pública se debe revisar en audiencia la asignación de riesgos previsibles, con el fin de establecer su estimación, tipificación y asignación definitiva. Al respecto, esta norma dispone lo siguiente:</w:t>
      </w:r>
    </w:p>
    <w:p w14:paraId="5FA3D3A1" w14:textId="3A635DF6"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La licitación se efectuará conforme a las siguientes reglas:</w:t>
      </w:r>
    </w:p>
    <w:p w14:paraId="2AFAA719"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6CE93B3A" w14:textId="77777777"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4o. &lt;Numeral modificado por el artículo 220 del Decreto 19 de 2012. El nuevo texto es el siguiente:&gt;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4 de la Ley 1150 de 2007 con el fin de establecer su tipificación, estimación y asignación definitiva.</w:t>
      </w:r>
    </w:p>
    <w:p w14:paraId="4A921568"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614C2200" w14:textId="77777777"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40C1576E"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5443F359" w14:textId="77777777"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 xml:space="preserve">Lo anterior no impide </w:t>
      </w:r>
      <w:proofErr w:type="gramStart"/>
      <w:r w:rsidRPr="00D4128C">
        <w:rPr>
          <w:rFonts w:ascii="Arial" w:eastAsia="Calibri" w:hAnsi="Arial" w:cs="Arial"/>
          <w:color w:val="000000"/>
          <w:sz w:val="19"/>
          <w:szCs w:val="19"/>
          <w:lang w:val="es-ES_tradnl"/>
        </w:rPr>
        <w:t>que</w:t>
      </w:r>
      <w:proofErr w:type="gramEnd"/>
      <w:r w:rsidRPr="00D4128C">
        <w:rPr>
          <w:rFonts w:ascii="Arial" w:eastAsia="Calibri" w:hAnsi="Arial" w:cs="Arial"/>
          <w:color w:val="000000"/>
          <w:sz w:val="19"/>
          <w:szCs w:val="19"/>
          <w:lang w:val="es-ES_tradnl"/>
        </w:rPr>
        <w:t xml:space="preserve"> dentro del plazo de la licitación, cualquier interesado pueda solicitar aclaraciones adicionales que la entidad contratante responderá mediante comunicación escrita, la cual remitirá al interesado y publicará en el SECOP para conocimiento público.</w:t>
      </w:r>
    </w:p>
    <w:p w14:paraId="4DDB75BF" w14:textId="77777777" w:rsidR="002F4F20" w:rsidRPr="00D4128C" w:rsidRDefault="002F4F20" w:rsidP="002F4F20">
      <w:pPr>
        <w:spacing w:line="276" w:lineRule="auto"/>
        <w:ind w:left="709" w:right="709"/>
        <w:jc w:val="both"/>
        <w:rPr>
          <w:rFonts w:ascii="Arial" w:eastAsia="Calibri" w:hAnsi="Arial" w:cs="Arial"/>
          <w:color w:val="000000"/>
          <w:sz w:val="21"/>
          <w:szCs w:val="21"/>
          <w:lang w:val="es-ES_tradnl"/>
        </w:rPr>
      </w:pPr>
    </w:p>
    <w:p w14:paraId="7741071C" w14:textId="2557B770" w:rsidR="002F4F20" w:rsidRPr="00D4128C" w:rsidRDefault="002F4F20" w:rsidP="002F4F20">
      <w:pPr>
        <w:spacing w:after="120" w:line="276" w:lineRule="auto"/>
        <w:jc w:val="both"/>
        <w:rPr>
          <w:rFonts w:ascii="ArialMT" w:hAnsi="ArialMT"/>
          <w:color w:val="000000" w:themeColor="text1"/>
          <w:sz w:val="22"/>
          <w:lang w:val="es-ES_tradnl"/>
        </w:rPr>
      </w:pPr>
      <w:r w:rsidRPr="00D4128C">
        <w:rPr>
          <w:rFonts w:ascii="ArialMT" w:hAnsi="ArialMT"/>
          <w:color w:val="000000" w:themeColor="text1"/>
          <w:sz w:val="22"/>
          <w:lang w:val="es-ES_tradnl"/>
        </w:rPr>
        <w:tab/>
      </w:r>
      <w:r w:rsidR="000E7C97">
        <w:rPr>
          <w:rFonts w:ascii="ArialMT" w:hAnsi="ArialMT"/>
          <w:color w:val="000000" w:themeColor="text1"/>
          <w:sz w:val="22"/>
          <w:lang w:val="es-ES_tradnl"/>
        </w:rPr>
        <w:t>Por su parte, e</w:t>
      </w:r>
      <w:r w:rsidRPr="00D4128C">
        <w:rPr>
          <w:rFonts w:ascii="ArialMT" w:hAnsi="ArialMT"/>
          <w:color w:val="000000" w:themeColor="text1"/>
          <w:sz w:val="22"/>
          <w:lang w:val="es-ES_tradnl"/>
        </w:rPr>
        <w:t xml:space="preserve">l artículo 2.2.1.1.2.1.3 del Decreto 1082 de 2015 establece que los pliegos de condiciones deben contener, entre otros aspectos, </w:t>
      </w:r>
      <w:r w:rsidRPr="00D4128C">
        <w:rPr>
          <w:rFonts w:ascii="Arial" w:eastAsia="Calibri" w:hAnsi="Arial" w:cs="Arial"/>
          <w:color w:val="000000" w:themeColor="text1"/>
          <w:sz w:val="21"/>
          <w:szCs w:val="21"/>
          <w:lang w:val="es-ES_tradnl"/>
        </w:rPr>
        <w:t>«</w:t>
      </w:r>
      <w:r w:rsidRPr="00D4128C">
        <w:rPr>
          <w:rFonts w:ascii="ArialMT" w:hAnsi="ArialMT"/>
          <w:color w:val="000000" w:themeColor="text1"/>
          <w:sz w:val="22"/>
          <w:lang w:val="es-ES_tradnl"/>
        </w:rPr>
        <w:t>los Riesgos asociados al contrato, la forma de mitigarlos y la asignación del Riesgo entre las partes contratantes</w:t>
      </w:r>
      <w:r w:rsidRPr="00D4128C">
        <w:rPr>
          <w:rFonts w:ascii="ArialMT" w:hAnsi="ArialMT"/>
          <w:color w:val="000000" w:themeColor="text1"/>
          <w:sz w:val="22"/>
          <w:vertAlign w:val="superscript"/>
          <w:lang w:val="es-ES_tradnl"/>
        </w:rPr>
        <w:t>»</w:t>
      </w:r>
      <w:r w:rsidRPr="00D4128C">
        <w:rPr>
          <w:rFonts w:ascii="ArialMT" w:hAnsi="ArialMT"/>
          <w:color w:val="000000" w:themeColor="text1"/>
          <w:sz w:val="22"/>
          <w:lang w:val="es-ES_tradnl"/>
        </w:rPr>
        <w:t>. Así mismo, el artículo 2.2.1.2.1.1.2. del Decreto 1082 de 2015 fijó dos audiencias públicas obligatorias en la licitación pública: i) la de asignación de riesgos y ii) la de adjudicación. En relación con la primera, indicó que la entidad estatal debe presentar el análisis de riesgos efectuado y hacer la asignación de riesgos definitiva</w:t>
      </w:r>
      <w:r w:rsidRPr="00D4128C">
        <w:rPr>
          <w:rStyle w:val="Refdenotaalpie"/>
          <w:rFonts w:ascii="ArialMT" w:hAnsi="ArialMT"/>
          <w:color w:val="000000" w:themeColor="text1"/>
          <w:sz w:val="22"/>
          <w:lang w:val="es-ES_tradnl"/>
        </w:rPr>
        <w:footnoteReference w:id="3"/>
      </w:r>
      <w:r w:rsidRPr="00D4128C">
        <w:rPr>
          <w:rFonts w:ascii="ArialMT" w:hAnsi="ArialMT"/>
          <w:color w:val="000000" w:themeColor="text1"/>
          <w:sz w:val="22"/>
          <w:lang w:val="es-ES_tradnl"/>
        </w:rPr>
        <w:t xml:space="preserve"> y, en caso de ser necesario, debe precisar el alcance y contenido del pliego de condiciones. </w:t>
      </w:r>
    </w:p>
    <w:p w14:paraId="14BABE80" w14:textId="34897E08"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Bajo estos parámetros normativos, es claro que la </w:t>
      </w:r>
      <w:r w:rsidR="00BF64A3" w:rsidRPr="00D4128C">
        <w:rPr>
          <w:rFonts w:ascii="ArialMT" w:hAnsi="ArialMT"/>
          <w:color w:val="000000" w:themeColor="text1"/>
          <w:sz w:val="22"/>
          <w:lang w:val="es-ES_tradnl"/>
        </w:rPr>
        <w:t>tipificación</w:t>
      </w:r>
      <w:r w:rsidR="00BF64A3">
        <w:rPr>
          <w:rFonts w:ascii="ArialMT" w:hAnsi="ArialMT"/>
          <w:color w:val="000000" w:themeColor="text1"/>
          <w:sz w:val="22"/>
          <w:lang w:val="es-ES_tradnl"/>
        </w:rPr>
        <w:t xml:space="preserve">, </w:t>
      </w:r>
      <w:r w:rsidRPr="00D4128C">
        <w:rPr>
          <w:rFonts w:ascii="ArialMT" w:hAnsi="ArialMT"/>
          <w:color w:val="000000" w:themeColor="text1"/>
          <w:sz w:val="22"/>
          <w:lang w:val="es-ES_tradnl"/>
        </w:rPr>
        <w:t>estimación</w:t>
      </w:r>
      <w:r w:rsidR="00BF64A3">
        <w:rPr>
          <w:rFonts w:ascii="ArialMT" w:hAnsi="ArialMT"/>
          <w:color w:val="000000" w:themeColor="text1"/>
          <w:sz w:val="22"/>
          <w:lang w:val="es-ES_tradnl"/>
        </w:rPr>
        <w:t xml:space="preserve"> </w:t>
      </w:r>
      <w:r w:rsidRPr="00D4128C">
        <w:rPr>
          <w:rFonts w:ascii="ArialMT" w:hAnsi="ArialMT"/>
          <w:color w:val="000000" w:themeColor="text1"/>
          <w:sz w:val="22"/>
          <w:lang w:val="es-ES_tradnl"/>
        </w:rPr>
        <w:t xml:space="preserve">y asignación de los riesgos es un deber que les corresponde a las entidades públicas </w:t>
      </w:r>
      <w:r w:rsidR="00A96EC5">
        <w:rPr>
          <w:rFonts w:ascii="ArialMT" w:hAnsi="ArialMT"/>
          <w:color w:val="000000" w:themeColor="text1"/>
          <w:sz w:val="22"/>
          <w:lang w:val="es-ES_tradnl"/>
        </w:rPr>
        <w:t>cumplir</w:t>
      </w:r>
      <w:r w:rsidRPr="00D4128C">
        <w:rPr>
          <w:rFonts w:ascii="ArialMT" w:hAnsi="ArialMT"/>
          <w:color w:val="000000" w:themeColor="text1"/>
          <w:sz w:val="22"/>
          <w:lang w:val="es-ES_tradnl"/>
        </w:rPr>
        <w:t xml:space="preserve"> en los pliegos de condiciones o sus equivalentes. Su finalidad es determinar los riesgos previsibles que se pueden materializar en el proceso de selección y durante la ejecución </w:t>
      </w:r>
      <w:r w:rsidRPr="00D4128C">
        <w:rPr>
          <w:rFonts w:ascii="ArialMT" w:hAnsi="ArialMT"/>
          <w:color w:val="000000" w:themeColor="text1"/>
          <w:sz w:val="22"/>
          <w:lang w:val="es-ES_tradnl"/>
        </w:rPr>
        <w:lastRenderedPageBreak/>
        <w:t xml:space="preserve">del contrato, </w:t>
      </w:r>
      <w:r w:rsidR="00D07790">
        <w:rPr>
          <w:rFonts w:ascii="ArialMT" w:hAnsi="ArialMT"/>
          <w:color w:val="000000" w:themeColor="text1"/>
          <w:sz w:val="22"/>
          <w:lang w:val="es-ES_tradnl"/>
        </w:rPr>
        <w:t>para</w:t>
      </w:r>
      <w:r w:rsidRPr="00D4128C">
        <w:rPr>
          <w:rFonts w:ascii="ArialMT" w:hAnsi="ArialMT"/>
          <w:color w:val="000000" w:themeColor="text1"/>
          <w:sz w:val="22"/>
          <w:lang w:val="es-ES_tradnl"/>
        </w:rPr>
        <w:t xml:space="preserve"> establecer cuál de las partes debe asumir cada riesgo</w:t>
      </w:r>
      <w:r w:rsidR="00A96EC5">
        <w:rPr>
          <w:rFonts w:ascii="ArialMT" w:hAnsi="ArialMT"/>
          <w:color w:val="000000" w:themeColor="text1"/>
          <w:sz w:val="22"/>
          <w:lang w:val="es-ES_tradnl"/>
        </w:rPr>
        <w:t>,</w:t>
      </w:r>
      <w:r w:rsidRPr="00D4128C">
        <w:rPr>
          <w:rFonts w:ascii="ArialMT" w:hAnsi="ArialMT"/>
          <w:color w:val="000000" w:themeColor="text1"/>
          <w:sz w:val="22"/>
          <w:lang w:val="es-ES_tradnl"/>
        </w:rPr>
        <w:t xml:space="preserve"> conforme a </w:t>
      </w:r>
      <w:r w:rsidR="00A96EC5">
        <w:rPr>
          <w:rFonts w:ascii="ArialMT" w:hAnsi="ArialMT"/>
          <w:color w:val="000000" w:themeColor="text1"/>
          <w:sz w:val="22"/>
          <w:lang w:val="es-ES_tradnl"/>
        </w:rPr>
        <w:t>la</w:t>
      </w:r>
      <w:r w:rsidRPr="00D4128C">
        <w:rPr>
          <w:rFonts w:ascii="ArialMT" w:hAnsi="ArialMT"/>
          <w:color w:val="000000" w:themeColor="text1"/>
          <w:sz w:val="22"/>
          <w:lang w:val="es-ES_tradnl"/>
        </w:rPr>
        <w:t xml:space="preserve"> capacidad</w:t>
      </w:r>
      <w:r w:rsidR="00A96EC5">
        <w:rPr>
          <w:rFonts w:ascii="ArialMT" w:hAnsi="ArialMT"/>
          <w:color w:val="000000" w:themeColor="text1"/>
          <w:sz w:val="22"/>
          <w:lang w:val="es-ES_tradnl"/>
        </w:rPr>
        <w:t xml:space="preserve"> que tenga</w:t>
      </w:r>
      <w:r w:rsidRPr="00D4128C">
        <w:rPr>
          <w:rFonts w:ascii="ArialMT" w:hAnsi="ArialMT"/>
          <w:color w:val="000000" w:themeColor="text1"/>
          <w:sz w:val="22"/>
          <w:lang w:val="es-ES_tradnl"/>
        </w:rPr>
        <w:t xml:space="preserve"> para soportarlo, gestionarlo y administrarlo. </w:t>
      </w:r>
    </w:p>
    <w:p w14:paraId="5B2AFBC1" w14:textId="0F1390B8" w:rsidR="002F4F20" w:rsidRPr="00D4128C" w:rsidRDefault="002F4F20" w:rsidP="002F4F20">
      <w:pPr>
        <w:spacing w:after="120" w:line="276" w:lineRule="auto"/>
        <w:ind w:firstLine="709"/>
        <w:jc w:val="both"/>
        <w:rPr>
          <w:rFonts w:ascii="Arial" w:eastAsia="Calibri" w:hAnsi="Arial" w:cs="Arial"/>
          <w:color w:val="000000"/>
          <w:sz w:val="22"/>
          <w:lang w:val="es-ES_tradnl"/>
        </w:rPr>
      </w:pPr>
      <w:r w:rsidRPr="00D4128C">
        <w:rPr>
          <w:rFonts w:ascii="ArialMT" w:hAnsi="ArialMT"/>
          <w:color w:val="000000" w:themeColor="text1"/>
          <w:sz w:val="22"/>
          <w:lang w:val="es-ES_tradnl"/>
        </w:rPr>
        <w:t>La audiencia de asignación de riesgo</w:t>
      </w:r>
      <w:r w:rsidR="00D07790">
        <w:rPr>
          <w:rFonts w:ascii="ArialMT" w:hAnsi="ArialMT"/>
          <w:color w:val="000000" w:themeColor="text1"/>
          <w:sz w:val="22"/>
          <w:lang w:val="es-ES_tradnl"/>
        </w:rPr>
        <w:t>s</w:t>
      </w:r>
      <w:r w:rsidRPr="00D4128C">
        <w:rPr>
          <w:rFonts w:ascii="ArialMT" w:hAnsi="ArialMT"/>
          <w:color w:val="000000" w:themeColor="text1"/>
          <w:sz w:val="22"/>
          <w:lang w:val="es-ES_tradnl"/>
        </w:rPr>
        <w:t xml:space="preserve"> no fue prevista</w:t>
      </w:r>
      <w:r w:rsidR="00FC42A2">
        <w:rPr>
          <w:rFonts w:ascii="ArialMT" w:hAnsi="ArialMT"/>
          <w:color w:val="000000" w:themeColor="text1"/>
          <w:sz w:val="22"/>
          <w:lang w:val="es-ES_tradnl"/>
        </w:rPr>
        <w:t xml:space="preserve"> como obligatoria</w:t>
      </w:r>
      <w:r w:rsidRPr="00D4128C">
        <w:rPr>
          <w:rFonts w:ascii="ArialMT" w:hAnsi="ArialMT"/>
          <w:color w:val="000000" w:themeColor="text1"/>
          <w:sz w:val="22"/>
          <w:lang w:val="es-ES_tradnl"/>
        </w:rPr>
        <w:t xml:space="preserve"> para todos los procesos de selección, sino únicamente </w:t>
      </w:r>
      <w:r w:rsidR="00FC42A2">
        <w:rPr>
          <w:rFonts w:ascii="ArialMT" w:hAnsi="ArialMT"/>
          <w:color w:val="000000" w:themeColor="text1"/>
          <w:sz w:val="22"/>
          <w:lang w:val="es-ES_tradnl"/>
        </w:rPr>
        <w:t>para</w:t>
      </w:r>
      <w:r w:rsidRPr="00D4128C">
        <w:rPr>
          <w:rFonts w:ascii="ArialMT" w:hAnsi="ArialMT"/>
          <w:color w:val="000000" w:themeColor="text1"/>
          <w:sz w:val="22"/>
          <w:lang w:val="es-ES_tradnl"/>
        </w:rPr>
        <w:t xml:space="preserve"> la licitación pública</w:t>
      </w:r>
      <w:r w:rsidR="00FC42A2">
        <w:rPr>
          <w:rFonts w:ascii="ArialMT" w:hAnsi="ArialMT"/>
          <w:color w:val="000000" w:themeColor="text1"/>
          <w:sz w:val="22"/>
          <w:lang w:val="es-ES_tradnl"/>
        </w:rPr>
        <w:t xml:space="preserve">. </w:t>
      </w:r>
      <w:r w:rsidRPr="00D4128C">
        <w:rPr>
          <w:rFonts w:ascii="Arial" w:eastAsia="Calibri" w:hAnsi="Arial" w:cs="Arial"/>
          <w:color w:val="000000"/>
          <w:sz w:val="22"/>
          <w:lang w:val="es-ES_tradnl"/>
        </w:rPr>
        <w:t>Su propósito</w:t>
      </w:r>
      <w:r w:rsidRPr="00D4128C">
        <w:rPr>
          <w:rFonts w:ascii="ArialMT" w:hAnsi="ArialMT"/>
          <w:color w:val="000000" w:themeColor="text1"/>
          <w:sz w:val="22"/>
          <w:lang w:val="es-ES_tradnl"/>
        </w:rPr>
        <w:t xml:space="preserve"> es que los oferentes y la entidad revisen, en un espacio de diálogo, la asignación de los riesgos que previamente se han incluido en el pliego de condiciones. De esta manera, podrán identificar y valorar los riesgos previsibles del contrato, así como designar a la parte contractual que tendrá la responsabilidad de tomar las medidas para prevenir y mitigar el riesgo, </w:t>
      </w:r>
      <w:r w:rsidRPr="00D4128C">
        <w:rPr>
          <w:rFonts w:ascii="Arial" w:eastAsia="Calibri" w:hAnsi="Arial" w:cs="Arial"/>
          <w:color w:val="000000"/>
          <w:sz w:val="22"/>
          <w:lang w:val="es-ES_tradnl"/>
        </w:rPr>
        <w:t xml:space="preserve">con el fin de establecer su distribución definitiva. </w:t>
      </w:r>
    </w:p>
    <w:p w14:paraId="1B09115A" w14:textId="77777777"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Ahora bien, aunque la audiencia de asignación de riesgos es obligatoria en los procesos de licitación pública, lo cierto es que dicha obligatoriedad tiene que ver con la necesidad de realizarla por parte de la entidad pública, más no con la asistencia a la misma por parte de los futuros oferentes. Ello es así, por cuanto los preceptos normativos señalados nada establecieron sobre la obligación de asistir por parte de los eventuales interesados. </w:t>
      </w:r>
    </w:p>
    <w:p w14:paraId="4A57BEA0" w14:textId="0C43F2EB" w:rsidR="002F4F20" w:rsidRPr="00D4128C" w:rsidRDefault="002F4F20" w:rsidP="00471524">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Lo expuesto encuentra sustento en el documento CONPES 3714 de 2011</w:t>
      </w:r>
      <w:r w:rsidR="00496986" w:rsidRPr="00D4128C">
        <w:rPr>
          <w:rStyle w:val="Refdenotaalpie"/>
          <w:rFonts w:ascii="ArialMT" w:hAnsi="ArialMT"/>
          <w:color w:val="000000" w:themeColor="text1"/>
          <w:sz w:val="22"/>
          <w:lang w:val="es-ES_tradnl"/>
        </w:rPr>
        <w:footnoteReference w:id="4"/>
      </w:r>
      <w:r w:rsidRPr="00D4128C">
        <w:rPr>
          <w:rFonts w:ascii="ArialMT" w:hAnsi="ArialMT"/>
          <w:color w:val="000000" w:themeColor="text1"/>
          <w:sz w:val="22"/>
          <w:lang w:val="es-ES_tradnl"/>
        </w:rPr>
        <w:t xml:space="preserve"> que expidió el Gobierno Nacional en el Marco de la Política de Contratación Pública. En virtud de dicho documento, se establecen</w:t>
      </w:r>
      <w:r w:rsidR="00DF089E">
        <w:rPr>
          <w:rFonts w:ascii="ArialMT" w:hAnsi="ArialMT"/>
          <w:color w:val="000000" w:themeColor="text1"/>
          <w:sz w:val="22"/>
          <w:lang w:val="es-ES_tradnl"/>
        </w:rPr>
        <w:t xml:space="preserve"> </w:t>
      </w:r>
      <w:r w:rsidRPr="00D4128C">
        <w:rPr>
          <w:rFonts w:ascii="ArialMT" w:hAnsi="ArialMT"/>
          <w:color w:val="000000" w:themeColor="text1"/>
          <w:sz w:val="22"/>
          <w:lang w:val="es-ES_tradnl"/>
        </w:rPr>
        <w:t>lineamientos básicos para el entendimiento del concepto de riesgo previsible respecto de las adquisiciones sometidas al Estatuto General de Contratación de la Administración Pública.</w:t>
      </w:r>
      <w:r w:rsidR="00471524">
        <w:rPr>
          <w:rFonts w:ascii="ArialMT" w:hAnsi="ArialMT"/>
          <w:color w:val="000000" w:themeColor="text1"/>
          <w:sz w:val="22"/>
          <w:lang w:val="es-ES_tradnl"/>
        </w:rPr>
        <w:t xml:space="preserve"> E</w:t>
      </w:r>
      <w:r w:rsidRPr="00D4128C">
        <w:rPr>
          <w:rFonts w:ascii="ArialMT" w:hAnsi="ArialMT"/>
          <w:color w:val="000000" w:themeColor="text1"/>
          <w:sz w:val="22"/>
          <w:lang w:val="es-ES_tradnl"/>
        </w:rPr>
        <w:t>s viable concluir</w:t>
      </w:r>
      <w:r w:rsidR="00471524">
        <w:rPr>
          <w:rFonts w:ascii="ArialMT" w:hAnsi="ArialMT"/>
          <w:color w:val="000000" w:themeColor="text1"/>
          <w:sz w:val="22"/>
          <w:lang w:val="es-ES_tradnl"/>
        </w:rPr>
        <w:t xml:space="preserve"> entonces</w:t>
      </w:r>
      <w:r w:rsidRPr="00D4128C">
        <w:rPr>
          <w:rFonts w:ascii="ArialMT" w:hAnsi="ArialMT"/>
          <w:color w:val="000000" w:themeColor="text1"/>
          <w:sz w:val="22"/>
          <w:lang w:val="es-ES_tradnl"/>
        </w:rPr>
        <w:t xml:space="preserve"> que la asistencia a dicha audiencia es una potestad del proponente y no una obligación</w:t>
      </w:r>
      <w:r w:rsidR="00DF089E">
        <w:rPr>
          <w:rFonts w:ascii="ArialMT" w:hAnsi="ArialMT"/>
          <w:color w:val="000000" w:themeColor="text1"/>
          <w:sz w:val="22"/>
          <w:lang w:val="es-ES_tradnl"/>
        </w:rPr>
        <w:t>.</w:t>
      </w:r>
    </w:p>
    <w:p w14:paraId="2338CAE8" w14:textId="1AE4DD53"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El Manual de Administración de Riesgos para el Proceso de Contratación expedido por Colombia Compra Eficiente reitera el deber </w:t>
      </w:r>
      <w:r w:rsidR="004E692E">
        <w:rPr>
          <w:rFonts w:ascii="ArialMT" w:hAnsi="ArialMT"/>
          <w:color w:val="000000" w:themeColor="text1"/>
          <w:sz w:val="22"/>
          <w:lang w:val="es-ES_tradnl"/>
        </w:rPr>
        <w:t>de efectuar la audiencia de asignación de riesgos en la licitación pública</w:t>
      </w:r>
      <w:r w:rsidR="004E692E">
        <w:rPr>
          <w:rStyle w:val="Refdenotaalpie"/>
          <w:rFonts w:ascii="ArialMT" w:hAnsi="ArialMT"/>
          <w:color w:val="000000" w:themeColor="text1"/>
          <w:sz w:val="22"/>
          <w:lang w:val="es-ES_tradnl"/>
        </w:rPr>
        <w:footnoteReference w:id="5"/>
      </w:r>
      <w:r w:rsidRPr="00D4128C">
        <w:rPr>
          <w:rFonts w:ascii="ArialMT" w:hAnsi="ArialMT"/>
          <w:color w:val="000000" w:themeColor="text1"/>
          <w:sz w:val="22"/>
          <w:lang w:val="es-ES_tradnl"/>
        </w:rPr>
        <w:t xml:space="preserve">. En efecto, dispone que la entidad estatal, en los procesos de licitación pública, deben adelantar una audiencia de asignación de riesgos, en la cual deben presentar el análisis de riesgos efectuado, la matriz incluida en los pliegos y revisar la asignación de los riesgos. </w:t>
      </w:r>
    </w:p>
    <w:p w14:paraId="54CCE465" w14:textId="1789D3A8"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De acuerdo con la normativa que rige la materia y los lineamientos del </w:t>
      </w:r>
      <w:r w:rsidR="00EF0FE1">
        <w:rPr>
          <w:rFonts w:ascii="ArialMT" w:hAnsi="ArialMT"/>
          <w:color w:val="000000" w:themeColor="text1"/>
          <w:sz w:val="22"/>
          <w:lang w:val="es-ES_tradnl"/>
        </w:rPr>
        <w:t>g</w:t>
      </w:r>
      <w:r w:rsidRPr="00D4128C">
        <w:rPr>
          <w:rFonts w:ascii="ArialMT" w:hAnsi="ArialMT"/>
          <w:color w:val="000000" w:themeColor="text1"/>
          <w:sz w:val="22"/>
          <w:lang w:val="es-ES_tradnl"/>
        </w:rPr>
        <w:t xml:space="preserve">obierno </w:t>
      </w:r>
      <w:r w:rsidR="00EF0FE1">
        <w:rPr>
          <w:rFonts w:ascii="ArialMT" w:hAnsi="ArialMT"/>
          <w:color w:val="000000" w:themeColor="text1"/>
          <w:sz w:val="22"/>
          <w:lang w:val="es-ES_tradnl"/>
        </w:rPr>
        <w:t>n</w:t>
      </w:r>
      <w:r w:rsidRPr="00D4128C">
        <w:rPr>
          <w:rFonts w:ascii="ArialMT" w:hAnsi="ArialMT"/>
          <w:color w:val="000000" w:themeColor="text1"/>
          <w:sz w:val="22"/>
          <w:lang w:val="es-ES_tradnl"/>
        </w:rPr>
        <w:t xml:space="preserve">acional, </w:t>
      </w:r>
      <w:r w:rsidR="00EF0FE1" w:rsidRPr="00D4128C">
        <w:rPr>
          <w:rFonts w:ascii="ArialMT" w:hAnsi="ArialMT"/>
          <w:color w:val="000000" w:themeColor="text1"/>
          <w:sz w:val="22"/>
          <w:lang w:val="es-ES_tradnl"/>
        </w:rPr>
        <w:t>se concluye entonces</w:t>
      </w:r>
      <w:r w:rsidR="00EF0FE1">
        <w:rPr>
          <w:rFonts w:ascii="ArialMT" w:hAnsi="ArialMT"/>
          <w:color w:val="000000" w:themeColor="text1"/>
          <w:sz w:val="22"/>
          <w:lang w:val="es-ES_tradnl"/>
        </w:rPr>
        <w:t xml:space="preserve"> que,</w:t>
      </w:r>
      <w:r w:rsidR="00EF0FE1" w:rsidRPr="00D4128C">
        <w:rPr>
          <w:rFonts w:ascii="ArialMT" w:hAnsi="ArialMT"/>
          <w:color w:val="000000" w:themeColor="text1"/>
          <w:sz w:val="22"/>
          <w:lang w:val="es-ES_tradnl"/>
        </w:rPr>
        <w:t xml:space="preserve"> </w:t>
      </w:r>
      <w:r w:rsidRPr="00D4128C">
        <w:rPr>
          <w:rFonts w:ascii="ArialMT" w:hAnsi="ArialMT"/>
          <w:color w:val="000000" w:themeColor="text1"/>
          <w:sz w:val="22"/>
          <w:lang w:val="es-ES_tradnl"/>
        </w:rPr>
        <w:t>cuando se trate de procesos de licitación pública,</w:t>
      </w:r>
      <w:r w:rsidR="00EF0FE1">
        <w:rPr>
          <w:rFonts w:ascii="ArialMT" w:hAnsi="ArialMT"/>
          <w:color w:val="000000" w:themeColor="text1"/>
          <w:sz w:val="22"/>
          <w:lang w:val="es-ES_tradnl"/>
        </w:rPr>
        <w:t xml:space="preserve"> </w:t>
      </w:r>
      <w:r w:rsidRPr="00D4128C">
        <w:rPr>
          <w:rFonts w:ascii="ArialMT" w:hAnsi="ArialMT"/>
          <w:color w:val="000000" w:themeColor="text1"/>
          <w:sz w:val="22"/>
          <w:lang w:val="es-ES_tradnl"/>
        </w:rPr>
        <w:t xml:space="preserve">existe una obligación en cabeza de la entidad estatal de incluir un espacio de diálogo sobre los riesgos, que se desarrollará en audiencia especial. Con ello se busca que la entidad y los futuros proponentes, de manera conjunta, revisen la asignación de riesgos efectuada en los pliegos de condiciones. Por ello, la obligación que se asigna en esta materia recae </w:t>
      </w:r>
      <w:r w:rsidRPr="00D4128C">
        <w:rPr>
          <w:rFonts w:ascii="ArialMT" w:hAnsi="ArialMT"/>
          <w:color w:val="000000" w:themeColor="text1"/>
          <w:sz w:val="22"/>
          <w:lang w:val="es-ES_tradnl"/>
        </w:rPr>
        <w:lastRenderedPageBreak/>
        <w:t xml:space="preserve">en la entidad pública, dirigida a incluir dentro del pliego de condiciones un momento determinado para tratar el asunto. </w:t>
      </w:r>
    </w:p>
    <w:p w14:paraId="5362E6C9" w14:textId="77777777"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Respecto del futuro proponente, en cambio, la audiencia de asignación de riesgos representa el derecho de discutir esa estimación, tipificación y distribución de los riesgos. De esta manera, los eventuales interesados podrán complementar o controvertir la información plasmada por la entidad, de acuerdo con sus conocimientos especiales sobre el objeto a contratar y su ejecución. Ello, sin perjuicio de las demás oportunidades establecidas en el pliego de condiciones para presentar observaciones al mismo. </w:t>
      </w:r>
    </w:p>
    <w:p w14:paraId="143C7CAC" w14:textId="77777777" w:rsidR="002F4F20" w:rsidRPr="00D4128C" w:rsidRDefault="002F4F20" w:rsidP="00D06CFD">
      <w:pPr>
        <w:spacing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Lo anterior obedece a que esta distribución de riesgos debe efectuarse con base en las reglas constitucionales y legales, es decir, debe estar sujeta a criterios de justicia y equidad, permitiendo a las partes su revisión conjunta, para que no se presenten arbitrariedades en su asignación. Sobre este punto, el Consejo de Estado ha señalado lo siguiente: </w:t>
      </w:r>
    </w:p>
    <w:p w14:paraId="1E034967" w14:textId="77777777" w:rsidR="00D06CFD" w:rsidRDefault="00D06CFD" w:rsidP="002F4F20">
      <w:pPr>
        <w:ind w:left="709" w:right="709"/>
        <w:jc w:val="both"/>
        <w:rPr>
          <w:rFonts w:ascii="Arial" w:eastAsia="Calibri" w:hAnsi="Arial" w:cs="Arial"/>
          <w:color w:val="000000"/>
          <w:sz w:val="19"/>
          <w:szCs w:val="19"/>
          <w:lang w:val="es-ES_tradnl"/>
        </w:rPr>
      </w:pPr>
    </w:p>
    <w:p w14:paraId="6F87892E" w14:textId="73CD1749"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 desde antes de la expedición de la referida preceptiva, a la luz de los dictados de la Ley 80 de 1993, por vía de la interpretación a los alcances de lo dispuesto por el numeral 5 del artículo 24, se avizoraba que cualquier esquema de distribución de riesgos en el campo contractual del Estado debía contener previsiones y reglas justas, claras y objetivas que permitieran ofrecimientos de la misma índole. De igual forma, se habrían de definir con exactitud las condiciones de costo y calidad de los bienes necesarios para la ejecución del contrato, no se incluirían condiciones y exigencias de imposible cumplimiento y no se establecerían reglas que permitieran ofrecimientos de extensión ilimitada.</w:t>
      </w:r>
    </w:p>
    <w:p w14:paraId="3DA69A7A"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3B812265" w14:textId="77777777"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 xml:space="preserve">Siguiendo esa misma línea de pensamiento, tampoco resultaría ajustado a derecho atender a un sistema de distribución de riesgos cuya materialización se </w:t>
      </w:r>
      <w:proofErr w:type="gramStart"/>
      <w:r w:rsidRPr="00D4128C">
        <w:rPr>
          <w:rFonts w:ascii="Arial" w:eastAsia="Calibri" w:hAnsi="Arial" w:cs="Arial"/>
          <w:color w:val="000000"/>
          <w:sz w:val="19"/>
          <w:szCs w:val="19"/>
          <w:lang w:val="es-ES_tradnl"/>
        </w:rPr>
        <w:t>derivara</w:t>
      </w:r>
      <w:proofErr w:type="gramEnd"/>
      <w:r w:rsidRPr="00D4128C">
        <w:rPr>
          <w:rFonts w:ascii="Arial" w:eastAsia="Calibri" w:hAnsi="Arial" w:cs="Arial"/>
          <w:color w:val="000000"/>
          <w:sz w:val="19"/>
          <w:szCs w:val="19"/>
          <w:lang w:val="es-ES_tradnl"/>
        </w:rPr>
        <w:t xml:space="preserve"> directamente de la voluntad exclusiva de la entidad contratante y que tuviera la virtualidad de afectar la normal ejecución del contrato. Tal sería el caso de los supuestos de incumplimiento contractual o de la ocurrencia de circunstancias constitutivas de ruptura del equilibrio económico del contrato originadas en la actuación de la Administración contratante como se presentaría en los eventos del ejercicio del ius variandi o del hecho del príncipe</w:t>
      </w:r>
      <w:r w:rsidRPr="00D4128C">
        <w:rPr>
          <w:rStyle w:val="Refdenotaalpie"/>
          <w:rFonts w:ascii="Arial" w:eastAsia="Calibri" w:hAnsi="Arial" w:cs="Arial"/>
          <w:color w:val="000000"/>
          <w:sz w:val="19"/>
          <w:szCs w:val="19"/>
          <w:lang w:val="es-ES_tradnl"/>
        </w:rPr>
        <w:footnoteReference w:id="6"/>
      </w:r>
      <w:r w:rsidRPr="00D4128C">
        <w:rPr>
          <w:rFonts w:ascii="Arial" w:eastAsia="Calibri" w:hAnsi="Arial" w:cs="Arial"/>
          <w:color w:val="000000"/>
          <w:sz w:val="19"/>
          <w:szCs w:val="19"/>
          <w:lang w:val="es-ES_tradnl"/>
        </w:rPr>
        <w:t xml:space="preserve">. </w:t>
      </w:r>
    </w:p>
    <w:p w14:paraId="641161FE"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09E93D4B" w14:textId="7B9F9BEB" w:rsidR="002F4F20" w:rsidRPr="00D4128C" w:rsidRDefault="002F4F20" w:rsidP="008A043A">
      <w:pPr>
        <w:spacing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Así las cosas, la participación en la audiencia de asignación de riesgos en los procesos de licitación pública es un derecho del futuro proponente, que puede o no ejercer.  El efecto práctico de su inasistencia no es otro que la aceptación de los riesgos en la forma que lo haya establecido la entidad pública contratante. Lo señalado significa </w:t>
      </w:r>
      <w:proofErr w:type="gramStart"/>
      <w:r w:rsidRPr="00D4128C">
        <w:rPr>
          <w:rFonts w:ascii="ArialMT" w:hAnsi="ArialMT"/>
          <w:color w:val="000000" w:themeColor="text1"/>
          <w:sz w:val="22"/>
          <w:lang w:val="es-ES_tradnl"/>
        </w:rPr>
        <w:t>que</w:t>
      </w:r>
      <w:proofErr w:type="gramEnd"/>
      <w:r w:rsidRPr="00D4128C">
        <w:rPr>
          <w:rFonts w:ascii="ArialMT" w:hAnsi="ArialMT"/>
          <w:color w:val="000000" w:themeColor="text1"/>
          <w:sz w:val="22"/>
          <w:lang w:val="es-ES_tradnl"/>
        </w:rPr>
        <w:t xml:space="preserve"> si el futuro proponente no acude a la audiencia de asignación de riesgos y tampoco efectúa las observaciones respectivas durante la etapa establecida en el pliego de condiciones para tal efecto, se produce una aceptación de la forma en que los riesgos han sido estimados, tipificados y distribuidos a las partes, lo cual tendrá repercusión en todas las etapas del proceso de contratación. De ahí la importancia de que los posibles oferentes conozcan la </w:t>
      </w:r>
      <w:r w:rsidRPr="00D4128C">
        <w:rPr>
          <w:rFonts w:ascii="ArialMT" w:hAnsi="ArialMT"/>
          <w:color w:val="000000" w:themeColor="text1"/>
          <w:sz w:val="22"/>
          <w:lang w:val="es-ES_tradnl"/>
        </w:rPr>
        <w:lastRenderedPageBreak/>
        <w:t xml:space="preserve">distribución de los riesgos y puedan tener la oportunidad de revisarlos y objetarlos.  En caso de que se concrete el riesgo, estos deberán asumirse de la manera en que fueron dispuestos y aceptados por las partes. Así lo ha indicado el Consejo de Estado: </w:t>
      </w:r>
    </w:p>
    <w:p w14:paraId="70FC2B2C" w14:textId="77777777" w:rsidR="00BB5790" w:rsidRDefault="00BB5790" w:rsidP="002F4F20">
      <w:pPr>
        <w:ind w:left="709" w:right="709"/>
        <w:jc w:val="both"/>
        <w:rPr>
          <w:rFonts w:ascii="Arial" w:eastAsia="Calibri" w:hAnsi="Arial" w:cs="Arial"/>
          <w:color w:val="000000"/>
          <w:sz w:val="19"/>
          <w:szCs w:val="19"/>
          <w:lang w:val="es-ES_tradnl"/>
        </w:rPr>
      </w:pPr>
    </w:p>
    <w:p w14:paraId="53E12EED" w14:textId="19B93392" w:rsidR="002F4F20" w:rsidRPr="00D4128C" w:rsidRDefault="002F4F20" w:rsidP="002F4F20">
      <w:pPr>
        <w:ind w:left="709" w:right="709"/>
        <w:jc w:val="both"/>
        <w:rPr>
          <w:rFonts w:ascii="Arial" w:eastAsia="Calibri" w:hAnsi="Arial" w:cs="Arial"/>
          <w:color w:val="000000"/>
          <w:sz w:val="19"/>
          <w:szCs w:val="19"/>
          <w:lang w:val="es-ES_tradnl"/>
        </w:rPr>
      </w:pPr>
      <w:r w:rsidRPr="00D4128C">
        <w:rPr>
          <w:rFonts w:ascii="Arial" w:eastAsia="Calibri" w:hAnsi="Arial" w:cs="Arial"/>
          <w:color w:val="000000"/>
          <w:sz w:val="19"/>
          <w:szCs w:val="19"/>
          <w:lang w:val="es-ES_tradnl"/>
        </w:rPr>
        <w:t xml:space="preserve">[…] si el riesgo que acontece </w:t>
      </w:r>
      <w:proofErr w:type="gramStart"/>
      <w:r w:rsidRPr="00D4128C">
        <w:rPr>
          <w:rFonts w:ascii="Arial" w:eastAsia="Calibri" w:hAnsi="Arial" w:cs="Arial"/>
          <w:color w:val="000000"/>
          <w:sz w:val="19"/>
          <w:szCs w:val="19"/>
          <w:lang w:val="es-ES_tradnl"/>
        </w:rPr>
        <w:t>se enmarca dentro de</w:t>
      </w:r>
      <w:proofErr w:type="gramEnd"/>
      <w:r w:rsidRPr="00D4128C">
        <w:rPr>
          <w:rFonts w:ascii="Arial" w:eastAsia="Calibri" w:hAnsi="Arial" w:cs="Arial"/>
          <w:color w:val="000000"/>
          <w:sz w:val="19"/>
          <w:szCs w:val="19"/>
          <w:lang w:val="es-ES_tradnl"/>
        </w:rPr>
        <w:t xml:space="preserve"> los linderos de la respectiva tipificación, valoración y asignación, no habrá lugar a alegar la ruptura del equilibrio económico del contrato por cuenta de su ocurrencia, bajo la comprensión de que el mismo ya fue cubierto por la respectiva matriz y corresponderá asumirlo a quien allí se haya dispuesto en la estimación acordada</w:t>
      </w:r>
      <w:r w:rsidRPr="00D4128C">
        <w:rPr>
          <w:rStyle w:val="Refdenotaalpie"/>
          <w:rFonts w:ascii="Arial" w:eastAsia="Calibri" w:hAnsi="Arial" w:cs="Arial"/>
          <w:color w:val="000000"/>
          <w:sz w:val="19"/>
          <w:szCs w:val="19"/>
          <w:lang w:val="es-ES_tradnl"/>
        </w:rPr>
        <w:footnoteReference w:id="7"/>
      </w:r>
      <w:r w:rsidRPr="00D4128C">
        <w:rPr>
          <w:rFonts w:ascii="Arial" w:eastAsia="Calibri" w:hAnsi="Arial" w:cs="Arial"/>
          <w:color w:val="000000"/>
          <w:sz w:val="19"/>
          <w:szCs w:val="19"/>
          <w:lang w:val="es-ES_tradnl"/>
        </w:rPr>
        <w:t>.</w:t>
      </w:r>
    </w:p>
    <w:p w14:paraId="00D21B49" w14:textId="77777777" w:rsidR="002F4F20" w:rsidRPr="00D4128C" w:rsidRDefault="002F4F20" w:rsidP="002F4F20">
      <w:pPr>
        <w:ind w:left="709" w:right="709"/>
        <w:jc w:val="both"/>
        <w:rPr>
          <w:rFonts w:ascii="Arial" w:eastAsia="Calibri" w:hAnsi="Arial" w:cs="Arial"/>
          <w:color w:val="000000"/>
          <w:sz w:val="19"/>
          <w:szCs w:val="19"/>
          <w:lang w:val="es-ES_tradnl"/>
        </w:rPr>
      </w:pPr>
    </w:p>
    <w:p w14:paraId="176D6330" w14:textId="77777777" w:rsidR="002F4F20" w:rsidRPr="00D4128C" w:rsidRDefault="002F4F20" w:rsidP="002F4F20">
      <w:pPr>
        <w:spacing w:after="120" w:line="276" w:lineRule="auto"/>
        <w:ind w:firstLine="709"/>
        <w:jc w:val="both"/>
        <w:rPr>
          <w:rFonts w:ascii="ArialMT" w:hAnsi="ArialMT"/>
          <w:color w:val="000000" w:themeColor="text1"/>
          <w:sz w:val="22"/>
          <w:lang w:val="es-ES_tradnl"/>
        </w:rPr>
      </w:pPr>
      <w:r w:rsidRPr="00D4128C">
        <w:rPr>
          <w:rFonts w:ascii="ArialMT" w:hAnsi="ArialMT"/>
          <w:color w:val="000000" w:themeColor="text1"/>
          <w:sz w:val="22"/>
          <w:lang w:val="es-ES_tradnl"/>
        </w:rPr>
        <w:t xml:space="preserve">Así las cosas, la asistencia a la audiencia de asignación de riesgos es un derecho del futuro proponente y no una obligación. Por tal motivo no puede ser una causal que implique el rechazo de la oferta o impida la presentación de </w:t>
      </w:r>
      <w:proofErr w:type="gramStart"/>
      <w:r w:rsidRPr="00D4128C">
        <w:rPr>
          <w:rFonts w:ascii="ArialMT" w:hAnsi="ArialMT"/>
          <w:color w:val="000000" w:themeColor="text1"/>
          <w:sz w:val="22"/>
          <w:lang w:val="es-ES_tradnl"/>
        </w:rPr>
        <w:t>la misma</w:t>
      </w:r>
      <w:proofErr w:type="gramEnd"/>
      <w:r w:rsidRPr="00D4128C">
        <w:rPr>
          <w:rFonts w:ascii="ArialMT" w:hAnsi="ArialMT"/>
          <w:color w:val="000000" w:themeColor="text1"/>
          <w:sz w:val="22"/>
          <w:lang w:val="es-ES_tradnl"/>
        </w:rPr>
        <w:t xml:space="preserve">. Sin embargo, se reitera que la inasistencia a la audiencia implica la aceptación por parte del oferente de la forma en la que han sido estimados, tipificados y distribuidos los riesgos por parte de la entidad pública. </w:t>
      </w:r>
    </w:p>
    <w:p w14:paraId="5A82ED99" w14:textId="04CCADE5" w:rsidR="002F4F20" w:rsidRPr="00D4128C" w:rsidRDefault="002F4F20" w:rsidP="00966343">
      <w:pPr>
        <w:tabs>
          <w:tab w:val="left" w:pos="426"/>
        </w:tabs>
        <w:spacing w:line="276" w:lineRule="auto"/>
        <w:ind w:right="51" w:firstLine="709"/>
        <w:jc w:val="both"/>
        <w:rPr>
          <w:rFonts w:ascii="Arial" w:eastAsia="Calibri" w:hAnsi="Arial" w:cs="Arial"/>
          <w:color w:val="000000" w:themeColor="text1"/>
          <w:sz w:val="22"/>
          <w:lang w:val="es-ES_tradnl"/>
        </w:rPr>
      </w:pPr>
      <w:r w:rsidRPr="00D4128C">
        <w:rPr>
          <w:rFonts w:ascii="ArialMT" w:hAnsi="ArialMT"/>
          <w:color w:val="000000" w:themeColor="text1"/>
          <w:sz w:val="22"/>
          <w:lang w:val="es-ES_tradnl"/>
        </w:rPr>
        <w:t>Finalmente, en lo que atañe</w:t>
      </w:r>
      <w:r w:rsidRPr="00D4128C">
        <w:rPr>
          <w:rFonts w:ascii="Arial" w:eastAsia="Calibri" w:hAnsi="Arial" w:cs="Arial"/>
          <w:color w:val="000000"/>
          <w:sz w:val="22"/>
          <w:lang w:val="es-ES_tradnl"/>
        </w:rPr>
        <w:t xml:space="preserve"> a los demás procesos de selección diferentes de la licitación pública, la realización de la audiencia de asignación de riesgos no es obligatoria. No obstante, la entidad podrá</w:t>
      </w:r>
      <w:r w:rsidRPr="00D4128C">
        <w:rPr>
          <w:rFonts w:ascii="Arial" w:eastAsia="Calibri" w:hAnsi="Arial" w:cs="Arial"/>
          <w:color w:val="000000" w:themeColor="text1"/>
          <w:sz w:val="22"/>
          <w:lang w:val="es-ES_tradnl"/>
        </w:rPr>
        <w:t xml:space="preserve"> determinar si se realiza y, en cualquier caso, siempre deberá atender y considerar las solicitudes que efectúen los futuros proponentes sobre la estimación, tipificación y distribución de los riesgos establecidos en los pliegos de condiciones</w:t>
      </w:r>
      <w:r w:rsidR="00E522B5">
        <w:rPr>
          <w:rFonts w:ascii="Arial" w:eastAsia="Calibri" w:hAnsi="Arial" w:cs="Arial"/>
          <w:color w:val="000000" w:themeColor="text1"/>
          <w:sz w:val="22"/>
          <w:lang w:val="es-ES_tradnl"/>
        </w:rPr>
        <w:t xml:space="preserve"> o documentos equivalentes.</w:t>
      </w:r>
      <w:r w:rsidRPr="00D4128C">
        <w:rPr>
          <w:rFonts w:ascii="Arial" w:eastAsia="Calibri" w:hAnsi="Arial" w:cs="Arial"/>
          <w:color w:val="000000" w:themeColor="text1"/>
          <w:sz w:val="22"/>
          <w:lang w:val="es-ES_tradnl"/>
        </w:rPr>
        <w:t xml:space="preserve"> </w:t>
      </w:r>
    </w:p>
    <w:p w14:paraId="73E675FF" w14:textId="77777777" w:rsidR="00966343" w:rsidRPr="00D4128C" w:rsidRDefault="00966343" w:rsidP="00695E6A">
      <w:pPr>
        <w:tabs>
          <w:tab w:val="left" w:pos="426"/>
        </w:tabs>
        <w:spacing w:line="276" w:lineRule="auto"/>
        <w:jc w:val="both"/>
        <w:rPr>
          <w:rFonts w:ascii="Arial" w:eastAsia="Calibri" w:hAnsi="Arial" w:cs="Arial"/>
          <w:b/>
          <w:color w:val="000000" w:themeColor="text1"/>
          <w:sz w:val="22"/>
          <w:lang w:val="es-ES_tradnl"/>
        </w:rPr>
      </w:pPr>
    </w:p>
    <w:p w14:paraId="1617284B" w14:textId="3C6B0B41" w:rsidR="00695E6A" w:rsidRPr="00D4128C" w:rsidRDefault="00695E6A" w:rsidP="00695E6A">
      <w:pPr>
        <w:tabs>
          <w:tab w:val="left" w:pos="426"/>
        </w:tabs>
        <w:spacing w:line="276" w:lineRule="auto"/>
        <w:jc w:val="both"/>
        <w:rPr>
          <w:rFonts w:ascii="Arial" w:eastAsia="Calibri" w:hAnsi="Arial" w:cs="Arial"/>
          <w:b/>
          <w:color w:val="000000" w:themeColor="text1"/>
          <w:sz w:val="22"/>
          <w:lang w:val="es-ES_tradnl"/>
        </w:rPr>
      </w:pPr>
      <w:r w:rsidRPr="00D4128C">
        <w:rPr>
          <w:rFonts w:ascii="Arial" w:eastAsia="Calibri" w:hAnsi="Arial" w:cs="Arial"/>
          <w:b/>
          <w:color w:val="000000" w:themeColor="text1"/>
          <w:sz w:val="22"/>
          <w:lang w:val="es-ES_tradnl"/>
        </w:rPr>
        <w:t>2.</w:t>
      </w:r>
      <w:r w:rsidR="00E522B5">
        <w:rPr>
          <w:rFonts w:ascii="Arial" w:eastAsia="Calibri" w:hAnsi="Arial" w:cs="Arial"/>
          <w:b/>
          <w:color w:val="000000" w:themeColor="text1"/>
          <w:sz w:val="22"/>
          <w:lang w:val="es-ES_tradnl"/>
        </w:rPr>
        <w:t>2</w:t>
      </w:r>
      <w:r w:rsidRPr="00D4128C">
        <w:rPr>
          <w:rFonts w:ascii="Arial" w:eastAsia="Calibri" w:hAnsi="Arial" w:cs="Arial"/>
          <w:b/>
          <w:color w:val="000000" w:themeColor="text1"/>
          <w:sz w:val="22"/>
          <w:lang w:val="es-ES_tradnl"/>
        </w:rPr>
        <w:t xml:space="preserve">. Carácter preclusivo </w:t>
      </w:r>
      <w:r w:rsidR="00392992" w:rsidRPr="00D4128C">
        <w:rPr>
          <w:rFonts w:ascii="Arial" w:eastAsia="Calibri" w:hAnsi="Arial" w:cs="Arial"/>
          <w:b/>
          <w:color w:val="000000" w:themeColor="text1"/>
          <w:sz w:val="22"/>
          <w:lang w:val="es-ES_tradnl"/>
        </w:rPr>
        <w:t xml:space="preserve">de las etapas del procedimiento contractual. </w:t>
      </w:r>
      <w:r w:rsidR="00A71F99" w:rsidRPr="00D4128C">
        <w:rPr>
          <w:rFonts w:ascii="Arial" w:eastAsia="Calibri" w:hAnsi="Arial" w:cs="Arial"/>
          <w:b/>
          <w:color w:val="000000" w:themeColor="text1"/>
          <w:sz w:val="22"/>
          <w:lang w:val="es-ES_tradnl"/>
        </w:rPr>
        <w:t>El caso de la audiencia de asignación de riesgos en la licitación pública</w:t>
      </w:r>
    </w:p>
    <w:p w14:paraId="32CEAD72" w14:textId="77777777" w:rsidR="00966343" w:rsidRPr="00D4128C" w:rsidRDefault="00966343" w:rsidP="00966343">
      <w:pPr>
        <w:tabs>
          <w:tab w:val="left" w:pos="426"/>
        </w:tabs>
        <w:spacing w:line="276" w:lineRule="auto"/>
        <w:jc w:val="both"/>
        <w:rPr>
          <w:rFonts w:ascii="Arial" w:eastAsia="Calibri" w:hAnsi="Arial" w:cs="Arial"/>
          <w:color w:val="000000" w:themeColor="text1"/>
          <w:sz w:val="22"/>
          <w:lang w:val="es-ES_tradnl"/>
        </w:rPr>
      </w:pPr>
    </w:p>
    <w:p w14:paraId="1C544879" w14:textId="77777777" w:rsidR="00A17448" w:rsidRPr="00D4128C" w:rsidRDefault="00A71F99" w:rsidP="00A17448">
      <w:pPr>
        <w:tabs>
          <w:tab w:val="left" w:pos="426"/>
        </w:tabs>
        <w:spacing w:line="276" w:lineRule="auto"/>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 xml:space="preserve">Según se indicó, el artículo </w:t>
      </w:r>
      <w:r w:rsidR="002750CB" w:rsidRPr="00D4128C">
        <w:rPr>
          <w:rFonts w:ascii="Arial" w:eastAsia="Calibri" w:hAnsi="Arial" w:cs="Arial"/>
          <w:color w:val="000000" w:themeColor="text1"/>
          <w:sz w:val="22"/>
          <w:lang w:val="es-ES_tradnl"/>
        </w:rPr>
        <w:t xml:space="preserve">30, numeral 4, de la Ley 80 de 1993, </w:t>
      </w:r>
      <w:r w:rsidR="00840920" w:rsidRPr="00D4128C">
        <w:rPr>
          <w:rFonts w:ascii="Arial" w:eastAsia="Calibri" w:hAnsi="Arial" w:cs="Arial"/>
          <w:color w:val="000000" w:themeColor="text1"/>
          <w:sz w:val="22"/>
          <w:lang w:val="es-ES_tradnl"/>
        </w:rPr>
        <w:t xml:space="preserve">modificado por el artículo 220 del Decreto 019 de 2012, establece que </w:t>
      </w:r>
      <w:r w:rsidR="00CB7D4E" w:rsidRPr="00D4128C">
        <w:rPr>
          <w:rFonts w:ascii="Arial" w:eastAsia="Calibri" w:hAnsi="Arial" w:cs="Arial"/>
          <w:color w:val="000000" w:themeColor="text1"/>
          <w:sz w:val="22"/>
          <w:lang w:val="es-ES_tradnl"/>
        </w:rPr>
        <w:t xml:space="preserve">«Dentro de los tres (3) días hábiles siguientes al inicio del plazo para la presentación de propuestas y a solicitud de cualquiera de las personas interesadas en el proceso» se realizará </w:t>
      </w:r>
      <w:r w:rsidR="00085380" w:rsidRPr="00D4128C">
        <w:rPr>
          <w:rFonts w:ascii="Arial" w:eastAsia="Calibri" w:hAnsi="Arial" w:cs="Arial"/>
          <w:color w:val="000000" w:themeColor="text1"/>
          <w:sz w:val="22"/>
          <w:lang w:val="es-ES_tradnl"/>
        </w:rPr>
        <w:t xml:space="preserve">una audiencia para esclarecer el contenido del pliego de condiciones y que </w:t>
      </w:r>
      <w:r w:rsidR="00AA53E1" w:rsidRPr="00D4128C">
        <w:rPr>
          <w:rFonts w:ascii="Arial" w:eastAsia="Calibri" w:hAnsi="Arial" w:cs="Arial"/>
          <w:color w:val="000000" w:themeColor="text1"/>
          <w:sz w:val="22"/>
          <w:lang w:val="es-ES_tradnl"/>
        </w:rPr>
        <w:t>«En la misma audiencia se revisará la asignación de riesgos que trata el artículo 4 de la Ley 1150 de 2007 con el fin de establecer su tipificación, estimación y asignación definitiva».</w:t>
      </w:r>
      <w:r w:rsidR="00A23B97" w:rsidRPr="00D4128C">
        <w:rPr>
          <w:rFonts w:ascii="Arial" w:eastAsia="Calibri" w:hAnsi="Arial" w:cs="Arial"/>
          <w:color w:val="000000" w:themeColor="text1"/>
          <w:sz w:val="22"/>
          <w:lang w:val="es-ES_tradnl"/>
        </w:rPr>
        <w:t xml:space="preserve"> De la redacción de</w:t>
      </w:r>
      <w:r w:rsidR="00DF5FD7" w:rsidRPr="00D4128C">
        <w:rPr>
          <w:rFonts w:ascii="Arial" w:eastAsia="Calibri" w:hAnsi="Arial" w:cs="Arial"/>
          <w:color w:val="000000" w:themeColor="text1"/>
          <w:sz w:val="22"/>
          <w:lang w:val="es-ES_tradnl"/>
        </w:rPr>
        <w:t xml:space="preserve"> dicho</w:t>
      </w:r>
      <w:r w:rsidR="00A23B97" w:rsidRPr="00D4128C">
        <w:rPr>
          <w:rFonts w:ascii="Arial" w:eastAsia="Calibri" w:hAnsi="Arial" w:cs="Arial"/>
          <w:color w:val="000000" w:themeColor="text1"/>
          <w:sz w:val="22"/>
          <w:lang w:val="es-ES_tradnl"/>
        </w:rPr>
        <w:t xml:space="preserve"> precepto puede concluirse que la oportunidad para llevar a cabo la audiencia de asignación de riesgos</w:t>
      </w:r>
      <w:r w:rsidR="009055CE" w:rsidRPr="00D4128C">
        <w:rPr>
          <w:rFonts w:ascii="Arial" w:eastAsia="Calibri" w:hAnsi="Arial" w:cs="Arial"/>
          <w:color w:val="000000" w:themeColor="text1"/>
          <w:sz w:val="22"/>
          <w:lang w:val="es-ES_tradnl"/>
        </w:rPr>
        <w:t xml:space="preserve"> en la licitación pública es la misma </w:t>
      </w:r>
      <w:r w:rsidR="002C1B20" w:rsidRPr="00D4128C">
        <w:rPr>
          <w:rFonts w:ascii="Arial" w:eastAsia="Calibri" w:hAnsi="Arial" w:cs="Arial"/>
          <w:color w:val="000000" w:themeColor="text1"/>
          <w:sz w:val="22"/>
          <w:lang w:val="es-ES_tradnl"/>
        </w:rPr>
        <w:t>que para la audiencia que puede su</w:t>
      </w:r>
      <w:r w:rsidR="00CA3B2C" w:rsidRPr="00D4128C">
        <w:rPr>
          <w:rFonts w:ascii="Arial" w:eastAsia="Calibri" w:hAnsi="Arial" w:cs="Arial"/>
          <w:color w:val="000000" w:themeColor="text1"/>
          <w:sz w:val="22"/>
          <w:lang w:val="es-ES_tradnl"/>
        </w:rPr>
        <w:t xml:space="preserve">rtirse para precisar el alcance y contenido del pliego de condiciones, es decir, los tres (3) días hábiles siguientes </w:t>
      </w:r>
      <w:r w:rsidR="00896C70" w:rsidRPr="00D4128C">
        <w:rPr>
          <w:rFonts w:ascii="Arial" w:eastAsia="Calibri" w:hAnsi="Arial" w:cs="Arial"/>
          <w:color w:val="000000" w:themeColor="text1"/>
          <w:sz w:val="22"/>
          <w:lang w:val="es-ES_tradnl"/>
        </w:rPr>
        <w:t>al inicio del plazo para la presentación de las ofertas.</w:t>
      </w:r>
    </w:p>
    <w:p w14:paraId="1C5FFD51" w14:textId="6FA4BF0D" w:rsidR="00FF6D70" w:rsidRDefault="0032159C" w:rsidP="00FF6D70">
      <w:pPr>
        <w:tabs>
          <w:tab w:val="left" w:pos="426"/>
        </w:tabs>
        <w:spacing w:before="120" w:line="276" w:lineRule="auto"/>
        <w:ind w:firstLine="709"/>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Antes de la expedición del Decreto</w:t>
      </w:r>
      <w:r w:rsidR="003F7FF4">
        <w:rPr>
          <w:rFonts w:ascii="Arial" w:eastAsia="Calibri" w:hAnsi="Arial" w:cs="Arial"/>
          <w:color w:val="000000" w:themeColor="text1"/>
          <w:sz w:val="22"/>
          <w:lang w:val="es-ES_tradnl"/>
        </w:rPr>
        <w:t>-Ley</w:t>
      </w:r>
      <w:r w:rsidRPr="00D4128C">
        <w:rPr>
          <w:rFonts w:ascii="Arial" w:eastAsia="Calibri" w:hAnsi="Arial" w:cs="Arial"/>
          <w:color w:val="000000" w:themeColor="text1"/>
          <w:sz w:val="22"/>
          <w:lang w:val="es-ES_tradnl"/>
        </w:rPr>
        <w:t xml:space="preserve"> 019 de 201</w:t>
      </w:r>
      <w:r w:rsidR="00312A47" w:rsidRPr="00D4128C">
        <w:rPr>
          <w:rFonts w:ascii="Arial" w:eastAsia="Calibri" w:hAnsi="Arial" w:cs="Arial"/>
          <w:color w:val="000000" w:themeColor="text1"/>
          <w:sz w:val="22"/>
          <w:lang w:val="es-ES_tradnl"/>
        </w:rPr>
        <w:t xml:space="preserve">2 </w:t>
      </w:r>
      <w:r w:rsidR="001F22B9" w:rsidRPr="00D4128C">
        <w:rPr>
          <w:rFonts w:ascii="Arial" w:eastAsia="Calibri" w:hAnsi="Arial" w:cs="Arial"/>
          <w:color w:val="000000" w:themeColor="text1"/>
          <w:sz w:val="22"/>
          <w:lang w:val="es-ES_tradnl"/>
        </w:rPr>
        <w:t xml:space="preserve">se presentaba una </w:t>
      </w:r>
      <w:r w:rsidR="001C0933" w:rsidRPr="00D4128C">
        <w:rPr>
          <w:rFonts w:ascii="Arial" w:eastAsia="Calibri" w:hAnsi="Arial" w:cs="Arial"/>
          <w:color w:val="000000" w:themeColor="text1"/>
          <w:sz w:val="22"/>
          <w:lang w:val="es-ES_tradnl"/>
        </w:rPr>
        <w:t>discusión</w:t>
      </w:r>
      <w:r w:rsidR="00312A47" w:rsidRPr="00D4128C">
        <w:rPr>
          <w:rFonts w:ascii="Arial" w:eastAsia="Calibri" w:hAnsi="Arial" w:cs="Arial"/>
          <w:color w:val="000000" w:themeColor="text1"/>
          <w:sz w:val="22"/>
          <w:lang w:val="es-ES_tradnl"/>
        </w:rPr>
        <w:t xml:space="preserve"> acerca del plazo en el cual debía realizarse la audiencia de asignación de riesgos</w:t>
      </w:r>
      <w:r w:rsidR="00AE340C" w:rsidRPr="00D4128C">
        <w:rPr>
          <w:rFonts w:ascii="Arial" w:eastAsia="Calibri" w:hAnsi="Arial" w:cs="Arial"/>
          <w:color w:val="000000" w:themeColor="text1"/>
          <w:sz w:val="22"/>
          <w:lang w:val="es-ES_tradnl"/>
        </w:rPr>
        <w:t xml:space="preserve">, pues el </w:t>
      </w:r>
      <w:r w:rsidR="00AE340C" w:rsidRPr="00D4128C">
        <w:rPr>
          <w:rFonts w:ascii="Arial" w:eastAsia="Calibri" w:hAnsi="Arial" w:cs="Arial"/>
          <w:color w:val="000000" w:themeColor="text1"/>
          <w:sz w:val="22"/>
          <w:lang w:val="es-ES_tradnl"/>
        </w:rPr>
        <w:lastRenderedPageBreak/>
        <w:t xml:space="preserve">artículo </w:t>
      </w:r>
      <w:r w:rsidR="003F37F9" w:rsidRPr="00D4128C">
        <w:rPr>
          <w:rFonts w:ascii="Arial" w:eastAsia="Calibri" w:hAnsi="Arial" w:cs="Arial"/>
          <w:color w:val="000000" w:themeColor="text1"/>
          <w:sz w:val="22"/>
          <w:lang w:val="es-ES_tradnl"/>
        </w:rPr>
        <w:t>4 de la Ley 1150 de 200</w:t>
      </w:r>
      <w:r w:rsidR="002E2DA4" w:rsidRPr="00D4128C">
        <w:rPr>
          <w:rFonts w:ascii="Arial" w:eastAsia="Calibri" w:hAnsi="Arial" w:cs="Arial"/>
          <w:color w:val="000000" w:themeColor="text1"/>
          <w:sz w:val="22"/>
          <w:lang w:val="es-ES_tradnl"/>
        </w:rPr>
        <w:t xml:space="preserve">7 </w:t>
      </w:r>
      <w:r w:rsidR="001C0933" w:rsidRPr="00D4128C">
        <w:rPr>
          <w:rFonts w:ascii="Arial" w:eastAsia="Calibri" w:hAnsi="Arial" w:cs="Arial"/>
          <w:color w:val="000000" w:themeColor="text1"/>
          <w:sz w:val="22"/>
          <w:lang w:val="es-ES_tradnl"/>
        </w:rPr>
        <w:t xml:space="preserve">la </w:t>
      </w:r>
      <w:r w:rsidR="002E2DA4" w:rsidRPr="00D4128C">
        <w:rPr>
          <w:rFonts w:ascii="Arial" w:eastAsia="Calibri" w:hAnsi="Arial" w:cs="Arial"/>
          <w:color w:val="000000" w:themeColor="text1"/>
          <w:sz w:val="22"/>
          <w:lang w:val="es-ES_tradnl"/>
        </w:rPr>
        <w:t>hizo</w:t>
      </w:r>
      <w:r w:rsidR="00902EA6" w:rsidRPr="00D4128C">
        <w:rPr>
          <w:rFonts w:ascii="Arial" w:eastAsia="Calibri" w:hAnsi="Arial" w:cs="Arial"/>
          <w:color w:val="000000" w:themeColor="text1"/>
          <w:sz w:val="22"/>
          <w:lang w:val="es-ES_tradnl"/>
        </w:rPr>
        <w:t xml:space="preserve"> obligatoria</w:t>
      </w:r>
      <w:r w:rsidR="001304FE" w:rsidRPr="00D4128C">
        <w:rPr>
          <w:rFonts w:ascii="Arial" w:eastAsia="Calibri" w:hAnsi="Arial" w:cs="Arial"/>
          <w:color w:val="000000" w:themeColor="text1"/>
          <w:sz w:val="22"/>
          <w:lang w:val="es-ES_tradnl"/>
        </w:rPr>
        <w:t xml:space="preserve">, indicando que </w:t>
      </w:r>
      <w:r w:rsidR="00A17448" w:rsidRPr="00D4128C">
        <w:rPr>
          <w:rFonts w:ascii="Arial" w:eastAsia="Calibri" w:hAnsi="Arial" w:cs="Arial"/>
          <w:color w:val="000000" w:themeColor="text1"/>
          <w:sz w:val="22"/>
          <w:lang w:val="es-ES_tradnl"/>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000204B7" w:rsidRPr="00D4128C">
        <w:rPr>
          <w:rFonts w:ascii="Arial" w:eastAsia="Calibri" w:hAnsi="Arial" w:cs="Arial"/>
          <w:color w:val="000000" w:themeColor="text1"/>
          <w:sz w:val="22"/>
          <w:lang w:val="es-ES_tradnl"/>
        </w:rPr>
        <w:t xml:space="preserve">, otorgando discrecionalidad a las </w:t>
      </w:r>
      <w:r w:rsidR="00A318DD" w:rsidRPr="00D4128C">
        <w:rPr>
          <w:rFonts w:ascii="Arial" w:eastAsia="Calibri" w:hAnsi="Arial" w:cs="Arial"/>
          <w:color w:val="000000" w:themeColor="text1"/>
          <w:sz w:val="22"/>
          <w:lang w:val="es-ES_tradnl"/>
        </w:rPr>
        <w:t xml:space="preserve">entidades públicas para establecer </w:t>
      </w:r>
      <w:r w:rsidR="00130C0E" w:rsidRPr="00D4128C">
        <w:rPr>
          <w:rFonts w:ascii="Arial" w:eastAsia="Calibri" w:hAnsi="Arial" w:cs="Arial"/>
          <w:color w:val="000000" w:themeColor="text1"/>
          <w:sz w:val="22"/>
          <w:lang w:val="es-ES_tradnl"/>
        </w:rPr>
        <w:t xml:space="preserve">la oportunidad de dicha audiencia. Por otra parte, la redacción </w:t>
      </w:r>
      <w:r w:rsidR="00A927D5" w:rsidRPr="00D4128C">
        <w:rPr>
          <w:rFonts w:ascii="Arial" w:eastAsia="Calibri" w:hAnsi="Arial" w:cs="Arial"/>
          <w:color w:val="000000" w:themeColor="text1"/>
          <w:sz w:val="22"/>
          <w:lang w:val="es-ES_tradnl"/>
        </w:rPr>
        <w:t xml:space="preserve">de </w:t>
      </w:r>
      <w:r w:rsidR="002F2198">
        <w:rPr>
          <w:rFonts w:ascii="Arial" w:eastAsia="Calibri" w:hAnsi="Arial" w:cs="Arial"/>
          <w:color w:val="000000" w:themeColor="text1"/>
          <w:sz w:val="22"/>
          <w:lang w:val="es-ES_tradnl"/>
        </w:rPr>
        <w:t xml:space="preserve">ese </w:t>
      </w:r>
      <w:r w:rsidR="00A927D5" w:rsidRPr="00D4128C">
        <w:rPr>
          <w:rFonts w:ascii="Arial" w:eastAsia="Calibri" w:hAnsi="Arial" w:cs="Arial"/>
          <w:color w:val="000000" w:themeColor="text1"/>
          <w:sz w:val="22"/>
          <w:lang w:val="es-ES_tradnl"/>
        </w:rPr>
        <w:t>entonces</w:t>
      </w:r>
      <w:r w:rsidR="00130C0E" w:rsidRPr="00D4128C">
        <w:rPr>
          <w:rFonts w:ascii="Arial" w:eastAsia="Calibri" w:hAnsi="Arial" w:cs="Arial"/>
          <w:color w:val="000000" w:themeColor="text1"/>
          <w:sz w:val="22"/>
          <w:lang w:val="es-ES_tradnl"/>
        </w:rPr>
        <w:t xml:space="preserve"> del artículo 30, numeral 4, de la Ley 80 de 1993 no definía un término </w:t>
      </w:r>
      <w:r w:rsidR="00E412AC" w:rsidRPr="00D4128C">
        <w:rPr>
          <w:rFonts w:ascii="Arial" w:eastAsia="Calibri" w:hAnsi="Arial" w:cs="Arial"/>
          <w:color w:val="000000" w:themeColor="text1"/>
          <w:sz w:val="22"/>
          <w:lang w:val="es-ES_tradnl"/>
        </w:rPr>
        <w:t>para esta audiencia, sino solo para la de aclaraciones al contenido y alcance del pliego de condiciones</w:t>
      </w:r>
      <w:r w:rsidR="00E412AC" w:rsidRPr="00D4128C">
        <w:rPr>
          <w:rStyle w:val="Refdenotaalpie"/>
          <w:rFonts w:ascii="Arial" w:eastAsia="Calibri" w:hAnsi="Arial" w:cs="Arial"/>
          <w:color w:val="000000" w:themeColor="text1"/>
          <w:sz w:val="22"/>
          <w:lang w:val="es-ES_tradnl"/>
        </w:rPr>
        <w:footnoteReference w:id="8"/>
      </w:r>
      <w:r w:rsidR="00E412AC" w:rsidRPr="00D4128C">
        <w:rPr>
          <w:rFonts w:ascii="Arial" w:eastAsia="Calibri" w:hAnsi="Arial" w:cs="Arial"/>
          <w:color w:val="000000" w:themeColor="text1"/>
          <w:sz w:val="22"/>
          <w:lang w:val="es-ES_tradnl"/>
        </w:rPr>
        <w:t>.</w:t>
      </w:r>
    </w:p>
    <w:p w14:paraId="1DB09EE0" w14:textId="6EB12186" w:rsidR="00D4128C" w:rsidRPr="00D4128C" w:rsidRDefault="00C767C7" w:rsidP="00FF6D70">
      <w:pPr>
        <w:tabs>
          <w:tab w:val="left" w:pos="426"/>
        </w:tabs>
        <w:spacing w:before="120" w:line="276" w:lineRule="auto"/>
        <w:ind w:firstLine="709"/>
        <w:jc w:val="both"/>
        <w:rPr>
          <w:rFonts w:ascii="Arial" w:eastAsia="Calibri" w:hAnsi="Arial" w:cs="Arial"/>
          <w:color w:val="000000" w:themeColor="text1"/>
          <w:sz w:val="22"/>
          <w:lang w:val="es-ES_tradnl"/>
        </w:rPr>
      </w:pPr>
      <w:r w:rsidRPr="00D4128C">
        <w:rPr>
          <w:rFonts w:ascii="Arial" w:eastAsia="Calibri" w:hAnsi="Arial" w:cs="Arial"/>
          <w:color w:val="000000" w:themeColor="text1"/>
          <w:sz w:val="22"/>
          <w:lang w:val="es-ES_tradnl"/>
        </w:rPr>
        <w:t>Ta</w:t>
      </w:r>
      <w:r w:rsidR="0002662D" w:rsidRPr="00D4128C">
        <w:rPr>
          <w:rFonts w:ascii="Arial" w:eastAsia="Calibri" w:hAnsi="Arial" w:cs="Arial"/>
          <w:color w:val="000000" w:themeColor="text1"/>
          <w:sz w:val="22"/>
          <w:lang w:val="es-ES_tradnl"/>
        </w:rPr>
        <w:t>n grande</w:t>
      </w:r>
      <w:r w:rsidRPr="00D4128C">
        <w:rPr>
          <w:rFonts w:ascii="Arial" w:eastAsia="Calibri" w:hAnsi="Arial" w:cs="Arial"/>
          <w:color w:val="000000" w:themeColor="text1"/>
          <w:sz w:val="22"/>
          <w:lang w:val="es-ES_tradnl"/>
        </w:rPr>
        <w:t xml:space="preserve"> fue</w:t>
      </w:r>
      <w:r w:rsidR="0030780C" w:rsidRPr="00D4128C">
        <w:rPr>
          <w:rFonts w:ascii="Arial" w:eastAsia="Calibri" w:hAnsi="Arial" w:cs="Arial"/>
          <w:color w:val="000000" w:themeColor="text1"/>
          <w:sz w:val="22"/>
          <w:lang w:val="es-ES_tradnl"/>
        </w:rPr>
        <w:t xml:space="preserve"> el estado de incertidumbre que </w:t>
      </w:r>
      <w:r w:rsidR="00CE446A" w:rsidRPr="00D4128C">
        <w:rPr>
          <w:rFonts w:ascii="Arial" w:eastAsia="Calibri" w:hAnsi="Arial" w:cs="Arial"/>
          <w:color w:val="000000" w:themeColor="text1"/>
          <w:sz w:val="22"/>
          <w:lang w:val="es-ES_tradnl"/>
        </w:rPr>
        <w:t xml:space="preserve">el gobierno nacional, en </w:t>
      </w:r>
      <w:r w:rsidR="0030780C" w:rsidRPr="00D4128C">
        <w:rPr>
          <w:rFonts w:ascii="Arial" w:eastAsia="Calibri" w:hAnsi="Arial" w:cs="Arial"/>
          <w:color w:val="000000" w:themeColor="text1"/>
          <w:sz w:val="22"/>
          <w:lang w:val="es-ES_tradnl"/>
        </w:rPr>
        <w:t xml:space="preserve">el </w:t>
      </w:r>
      <w:r w:rsidR="005575B1" w:rsidRPr="00D4128C">
        <w:rPr>
          <w:rFonts w:ascii="Arial" w:eastAsia="Calibri" w:hAnsi="Arial" w:cs="Arial"/>
          <w:color w:val="000000" w:themeColor="text1"/>
          <w:sz w:val="22"/>
          <w:lang w:val="es-ES_tradnl"/>
        </w:rPr>
        <w:t xml:space="preserve">parágrafo del </w:t>
      </w:r>
      <w:r w:rsidR="00CE446A" w:rsidRPr="00D4128C">
        <w:rPr>
          <w:rFonts w:ascii="Arial" w:eastAsia="Calibri" w:hAnsi="Arial" w:cs="Arial"/>
          <w:color w:val="000000" w:themeColor="text1"/>
          <w:sz w:val="22"/>
          <w:lang w:val="es-ES_tradnl"/>
        </w:rPr>
        <w:t>artículo</w:t>
      </w:r>
      <w:r w:rsidR="005575B1" w:rsidRPr="00D4128C">
        <w:rPr>
          <w:rFonts w:ascii="Arial" w:eastAsia="Calibri" w:hAnsi="Arial" w:cs="Arial"/>
          <w:color w:val="000000" w:themeColor="text1"/>
          <w:sz w:val="22"/>
          <w:lang w:val="es-ES_tradnl"/>
        </w:rPr>
        <w:t xml:space="preserve"> 88 del </w:t>
      </w:r>
      <w:r w:rsidR="0030780C" w:rsidRPr="00D4128C">
        <w:rPr>
          <w:rFonts w:ascii="Arial" w:eastAsia="Calibri" w:hAnsi="Arial" w:cs="Arial"/>
          <w:color w:val="000000" w:themeColor="text1"/>
          <w:sz w:val="22"/>
          <w:lang w:val="es-ES_tradnl"/>
        </w:rPr>
        <w:t>Decreto 2474 de 2008</w:t>
      </w:r>
      <w:r w:rsidR="005575B1" w:rsidRPr="00D4128C">
        <w:rPr>
          <w:rFonts w:ascii="Arial" w:eastAsia="Calibri" w:hAnsi="Arial" w:cs="Arial"/>
          <w:color w:val="000000" w:themeColor="text1"/>
          <w:sz w:val="22"/>
          <w:lang w:val="es-ES_tradnl"/>
        </w:rPr>
        <w:t xml:space="preserve">, </w:t>
      </w:r>
      <w:r w:rsidR="00644610" w:rsidRPr="00D4128C">
        <w:rPr>
          <w:rFonts w:ascii="Arial" w:eastAsia="Calibri" w:hAnsi="Arial" w:cs="Arial"/>
          <w:color w:val="000000" w:themeColor="text1"/>
          <w:sz w:val="22"/>
          <w:lang w:val="es-ES_tradnl"/>
        </w:rPr>
        <w:t>intentó aclarar el asunto, señalando que la audiencia de asignación de riesgos</w:t>
      </w:r>
      <w:r w:rsidR="009D10D7" w:rsidRPr="00D4128C">
        <w:rPr>
          <w:rFonts w:ascii="Arial" w:eastAsia="Calibri" w:hAnsi="Arial" w:cs="Arial"/>
          <w:color w:val="000000" w:themeColor="text1"/>
          <w:sz w:val="22"/>
          <w:lang w:val="es-ES_tradnl"/>
        </w:rPr>
        <w:t>, a criterio de la entidad estatal, «podría coincidir»</w:t>
      </w:r>
      <w:r w:rsidR="00447F7C" w:rsidRPr="00D4128C">
        <w:rPr>
          <w:rFonts w:ascii="Arial" w:eastAsia="Calibri" w:hAnsi="Arial" w:cs="Arial"/>
          <w:color w:val="000000" w:themeColor="text1"/>
          <w:sz w:val="22"/>
          <w:lang w:val="es-ES_tradnl"/>
        </w:rPr>
        <w:t xml:space="preserve"> con la audienci</w:t>
      </w:r>
      <w:r w:rsidR="0001121B" w:rsidRPr="00D4128C">
        <w:rPr>
          <w:rFonts w:ascii="Arial" w:eastAsia="Calibri" w:hAnsi="Arial" w:cs="Arial"/>
          <w:color w:val="000000" w:themeColor="text1"/>
          <w:sz w:val="22"/>
          <w:lang w:val="es-ES_tradnl"/>
        </w:rPr>
        <w:t>a prevista en el artículo 30, numeral 4 de</w:t>
      </w:r>
      <w:r w:rsidR="00A148A5" w:rsidRPr="00D4128C">
        <w:rPr>
          <w:rFonts w:ascii="Arial" w:eastAsia="Calibri" w:hAnsi="Arial" w:cs="Arial"/>
          <w:color w:val="000000" w:themeColor="text1"/>
          <w:sz w:val="22"/>
          <w:lang w:val="es-ES_tradnl"/>
        </w:rPr>
        <w:t xml:space="preserve"> la Ley 80 de 1993</w:t>
      </w:r>
      <w:r w:rsidR="008030C6" w:rsidRPr="00D4128C">
        <w:rPr>
          <w:rFonts w:ascii="Arial" w:eastAsia="Calibri" w:hAnsi="Arial" w:cs="Arial"/>
          <w:color w:val="000000" w:themeColor="text1"/>
          <w:sz w:val="22"/>
          <w:lang w:val="es-ES_tradnl"/>
        </w:rPr>
        <w:t>,</w:t>
      </w:r>
      <w:r w:rsidR="00A148A5" w:rsidRPr="00D4128C">
        <w:rPr>
          <w:rFonts w:ascii="Arial" w:eastAsia="Calibri" w:hAnsi="Arial" w:cs="Arial"/>
          <w:color w:val="000000" w:themeColor="text1"/>
          <w:sz w:val="22"/>
          <w:lang w:val="es-ES_tradnl"/>
        </w:rPr>
        <w:t xml:space="preserve"> pero que la mencionada audiencia de asignación de riesgos podía</w:t>
      </w:r>
      <w:r w:rsidR="008030C6" w:rsidRPr="00D4128C">
        <w:rPr>
          <w:rFonts w:ascii="Arial" w:eastAsia="Calibri" w:hAnsi="Arial" w:cs="Arial"/>
          <w:color w:val="000000" w:themeColor="text1"/>
          <w:sz w:val="22"/>
          <w:lang w:val="es-ES_tradnl"/>
        </w:rPr>
        <w:t xml:space="preserve"> también</w:t>
      </w:r>
      <w:r w:rsidR="00A148A5" w:rsidRPr="00D4128C">
        <w:rPr>
          <w:rFonts w:ascii="Arial" w:eastAsia="Calibri" w:hAnsi="Arial" w:cs="Arial"/>
          <w:color w:val="000000" w:themeColor="text1"/>
          <w:sz w:val="22"/>
          <w:lang w:val="es-ES_tradnl"/>
        </w:rPr>
        <w:t xml:space="preserve"> «realizarse de manera previa a la apertura del proceso».</w:t>
      </w:r>
      <w:r w:rsidR="008167FE" w:rsidRPr="00D4128C">
        <w:rPr>
          <w:rFonts w:ascii="Arial" w:eastAsia="Calibri" w:hAnsi="Arial" w:cs="Arial"/>
          <w:color w:val="000000" w:themeColor="text1"/>
          <w:sz w:val="22"/>
          <w:lang w:val="es-ES_tradnl"/>
        </w:rPr>
        <w:t xml:space="preserve"> Sin embargo, en vez de zanjar la discusión, </w:t>
      </w:r>
      <w:r w:rsidR="00162891" w:rsidRPr="00D4128C">
        <w:rPr>
          <w:rFonts w:ascii="Arial" w:eastAsia="Calibri" w:hAnsi="Arial" w:cs="Arial"/>
          <w:color w:val="000000" w:themeColor="text1"/>
          <w:sz w:val="22"/>
          <w:lang w:val="es-ES_tradnl"/>
        </w:rPr>
        <w:t>la</w:t>
      </w:r>
      <w:r w:rsidR="0002662D" w:rsidRPr="00D4128C">
        <w:rPr>
          <w:rFonts w:ascii="Arial" w:eastAsia="Calibri" w:hAnsi="Arial" w:cs="Arial"/>
          <w:color w:val="000000" w:themeColor="text1"/>
          <w:sz w:val="22"/>
          <w:lang w:val="es-ES_tradnl"/>
        </w:rPr>
        <w:t xml:space="preserve"> avivó</w:t>
      </w:r>
      <w:r w:rsidR="00162891" w:rsidRPr="00D4128C">
        <w:rPr>
          <w:rFonts w:ascii="Arial" w:eastAsia="Calibri" w:hAnsi="Arial" w:cs="Arial"/>
          <w:color w:val="000000" w:themeColor="text1"/>
          <w:sz w:val="22"/>
          <w:lang w:val="es-ES_tradnl"/>
        </w:rPr>
        <w:t xml:space="preserve"> aún más</w:t>
      </w:r>
      <w:r w:rsidR="007D26C9" w:rsidRPr="00D4128C">
        <w:rPr>
          <w:rFonts w:ascii="Arial" w:eastAsia="Calibri" w:hAnsi="Arial" w:cs="Arial"/>
          <w:color w:val="000000" w:themeColor="text1"/>
          <w:sz w:val="22"/>
          <w:lang w:val="es-ES_tradnl"/>
        </w:rPr>
        <w:t>, motivando la demanda de nulidad en contra de</w:t>
      </w:r>
      <w:r w:rsidR="00017F33" w:rsidRPr="00D4128C">
        <w:rPr>
          <w:rFonts w:ascii="Arial" w:eastAsia="Calibri" w:hAnsi="Arial" w:cs="Arial"/>
          <w:color w:val="000000" w:themeColor="text1"/>
          <w:sz w:val="22"/>
          <w:lang w:val="es-ES_tradnl"/>
        </w:rPr>
        <w:t xml:space="preserve"> dicho parágrafo</w:t>
      </w:r>
      <w:r w:rsidR="00024003" w:rsidRPr="00D4128C">
        <w:rPr>
          <w:rFonts w:ascii="Arial" w:eastAsia="Calibri" w:hAnsi="Arial" w:cs="Arial"/>
          <w:color w:val="000000" w:themeColor="text1"/>
          <w:sz w:val="22"/>
          <w:lang w:val="es-ES_tradnl"/>
        </w:rPr>
        <w:t>. E</w:t>
      </w:r>
      <w:r w:rsidR="00C30F97" w:rsidRPr="00D4128C">
        <w:rPr>
          <w:rFonts w:ascii="Arial" w:eastAsia="Calibri" w:hAnsi="Arial" w:cs="Arial"/>
          <w:color w:val="000000" w:themeColor="text1"/>
          <w:sz w:val="22"/>
          <w:lang w:val="es-ES_tradnl"/>
        </w:rPr>
        <w:t>l Consejo de Estado</w:t>
      </w:r>
      <w:r w:rsidR="00024003" w:rsidRPr="00D4128C">
        <w:rPr>
          <w:rFonts w:ascii="Arial" w:eastAsia="Calibri" w:hAnsi="Arial" w:cs="Arial"/>
          <w:color w:val="000000" w:themeColor="text1"/>
          <w:sz w:val="22"/>
          <w:lang w:val="es-ES_tradnl"/>
        </w:rPr>
        <w:t>, al tramitar el proceso,</w:t>
      </w:r>
      <w:r w:rsidR="00C30F97" w:rsidRPr="00D4128C">
        <w:rPr>
          <w:rFonts w:ascii="Arial" w:eastAsia="Calibri" w:hAnsi="Arial" w:cs="Arial"/>
          <w:color w:val="000000" w:themeColor="text1"/>
          <w:sz w:val="22"/>
          <w:lang w:val="es-ES_tradnl"/>
        </w:rPr>
        <w:t xml:space="preserve"> suspendió provisionalmente </w:t>
      </w:r>
      <w:r w:rsidR="00366F68" w:rsidRPr="00D4128C">
        <w:rPr>
          <w:rFonts w:ascii="Arial" w:eastAsia="Calibri" w:hAnsi="Arial" w:cs="Arial"/>
          <w:color w:val="000000" w:themeColor="text1"/>
          <w:sz w:val="22"/>
          <w:lang w:val="es-ES_tradnl"/>
        </w:rPr>
        <w:t xml:space="preserve">el apartado del parágrafo que permitía que la audiencia de asignación de riesgos coincidiera con la </w:t>
      </w:r>
      <w:r w:rsidR="00F16ACD" w:rsidRPr="00D4128C">
        <w:rPr>
          <w:rFonts w:ascii="Arial" w:eastAsia="Calibri" w:hAnsi="Arial" w:cs="Arial"/>
          <w:color w:val="000000" w:themeColor="text1"/>
          <w:sz w:val="22"/>
          <w:lang w:val="es-ES_tradnl"/>
        </w:rPr>
        <w:t>de aclaraciones al pliego de condiciones</w:t>
      </w:r>
      <w:r w:rsidR="00F16ACD" w:rsidRPr="00D4128C">
        <w:rPr>
          <w:rStyle w:val="Refdenotaalpie"/>
          <w:rFonts w:ascii="Arial" w:eastAsia="Calibri" w:hAnsi="Arial" w:cs="Arial"/>
          <w:color w:val="000000" w:themeColor="text1"/>
          <w:sz w:val="22"/>
          <w:lang w:val="es-ES_tradnl"/>
        </w:rPr>
        <w:footnoteReference w:id="9"/>
      </w:r>
      <w:r w:rsidR="00F16ACD" w:rsidRPr="00D4128C">
        <w:rPr>
          <w:rFonts w:ascii="Arial" w:eastAsia="Calibri" w:hAnsi="Arial" w:cs="Arial"/>
          <w:color w:val="000000" w:themeColor="text1"/>
          <w:sz w:val="22"/>
          <w:lang w:val="es-ES_tradnl"/>
        </w:rPr>
        <w:t>.</w:t>
      </w:r>
      <w:r w:rsidR="00A148A5" w:rsidRPr="00D4128C">
        <w:rPr>
          <w:rFonts w:ascii="Arial" w:eastAsia="Calibri" w:hAnsi="Arial" w:cs="Arial"/>
          <w:color w:val="000000" w:themeColor="text1"/>
          <w:sz w:val="22"/>
          <w:lang w:val="es-ES_tradnl"/>
        </w:rPr>
        <w:t xml:space="preserve"> </w:t>
      </w:r>
      <w:r w:rsidR="00C02C06" w:rsidRPr="00D4128C">
        <w:rPr>
          <w:rFonts w:ascii="Arial" w:eastAsia="Calibri" w:hAnsi="Arial" w:cs="Arial"/>
          <w:color w:val="000000" w:themeColor="text1"/>
          <w:sz w:val="22"/>
          <w:lang w:val="es-ES_tradnl"/>
        </w:rPr>
        <w:t>El efecto de la suspensión provisional consistió en afirmar que la entidad estatal podía establecer</w:t>
      </w:r>
      <w:r w:rsidR="00CA37E7" w:rsidRPr="00D4128C">
        <w:rPr>
          <w:rFonts w:ascii="Arial" w:eastAsia="Calibri" w:hAnsi="Arial" w:cs="Arial"/>
          <w:color w:val="000000" w:themeColor="text1"/>
          <w:sz w:val="22"/>
          <w:lang w:val="es-ES_tradnl"/>
        </w:rPr>
        <w:t xml:space="preserve"> discrecionalmente en el pliego de condiciones</w:t>
      </w:r>
      <w:r w:rsidR="00C02C06" w:rsidRPr="00D4128C">
        <w:rPr>
          <w:rFonts w:ascii="Arial" w:eastAsia="Calibri" w:hAnsi="Arial" w:cs="Arial"/>
          <w:color w:val="000000" w:themeColor="text1"/>
          <w:sz w:val="22"/>
          <w:lang w:val="es-ES_tradnl"/>
        </w:rPr>
        <w:t xml:space="preserve"> la etapa </w:t>
      </w:r>
      <w:r w:rsidR="00CA37E7" w:rsidRPr="00D4128C">
        <w:rPr>
          <w:rFonts w:ascii="Arial" w:eastAsia="Calibri" w:hAnsi="Arial" w:cs="Arial"/>
          <w:color w:val="000000" w:themeColor="text1"/>
          <w:sz w:val="22"/>
          <w:lang w:val="es-ES_tradnl"/>
        </w:rPr>
        <w:t>de la audiencia de asignación de riesgos, siempre que esta no superara la fecha de apertura del proceso de selección</w:t>
      </w:r>
      <w:r w:rsidR="00986906" w:rsidRPr="00D4128C">
        <w:rPr>
          <w:rFonts w:ascii="Arial" w:eastAsia="Calibri" w:hAnsi="Arial" w:cs="Arial"/>
          <w:color w:val="000000" w:themeColor="text1"/>
          <w:sz w:val="22"/>
          <w:lang w:val="es-ES_tradnl"/>
        </w:rPr>
        <w:t xml:space="preserve">. </w:t>
      </w:r>
      <w:r w:rsidR="00BB14FF" w:rsidRPr="00D4128C">
        <w:rPr>
          <w:rFonts w:ascii="Arial" w:eastAsia="Calibri" w:hAnsi="Arial" w:cs="Arial"/>
          <w:color w:val="000000" w:themeColor="text1"/>
          <w:sz w:val="22"/>
          <w:lang w:val="es-ES_tradnl"/>
        </w:rPr>
        <w:t xml:space="preserve">Por tal razón, en el auto del 1 de abril de 2009, la Sección Tercera del Consejo de Estado </w:t>
      </w:r>
      <w:r w:rsidR="00663A33">
        <w:rPr>
          <w:rFonts w:ascii="Arial" w:eastAsia="Calibri" w:hAnsi="Arial" w:cs="Arial"/>
          <w:color w:val="000000" w:themeColor="text1"/>
          <w:sz w:val="22"/>
          <w:lang w:val="es-ES_tradnl"/>
        </w:rPr>
        <w:t>indicó</w:t>
      </w:r>
      <w:r w:rsidR="00D4128C" w:rsidRPr="00D4128C">
        <w:rPr>
          <w:rFonts w:ascii="Arial" w:eastAsia="Calibri" w:hAnsi="Arial" w:cs="Arial"/>
          <w:color w:val="000000" w:themeColor="text1"/>
          <w:sz w:val="22"/>
          <w:lang w:val="es-ES_tradnl"/>
        </w:rPr>
        <w:t xml:space="preserve"> lo siguiente: </w:t>
      </w:r>
    </w:p>
    <w:p w14:paraId="2D5C9503" w14:textId="77777777"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p>
    <w:p w14:paraId="1FC06F54" w14:textId="177CE633"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r w:rsidRPr="00D4128C">
        <w:rPr>
          <w:rFonts w:ascii="Arial" w:hAnsi="Arial" w:cs="Arial"/>
          <w:sz w:val="21"/>
          <w:szCs w:val="21"/>
          <w:lang w:val="es-ES_tradnl"/>
        </w:rPr>
        <w:t xml:space="preserve">Para la Sala, asiste razón al actor en cuanto que el parágrafo del artículo 88 del Decreto 2474 de 2008 resulta notoriamente ilegal, por cuanto modifica la regla contemplada en el inciso segundo del artículo 4 de la Ley 1150 de 2007. </w:t>
      </w:r>
    </w:p>
    <w:p w14:paraId="6ADD0F39" w14:textId="77777777"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p>
    <w:p w14:paraId="347BBCE9" w14:textId="03942440"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r w:rsidRPr="00D4128C">
        <w:rPr>
          <w:rFonts w:ascii="Arial" w:hAnsi="Arial" w:cs="Arial"/>
          <w:sz w:val="21"/>
          <w:szCs w:val="21"/>
          <w:lang w:val="es-ES_tradnl"/>
        </w:rPr>
        <w:lastRenderedPageBreak/>
        <w:t xml:space="preserve">En efecto, del paralelo del texto de las disposiciones en conflicto, se observa que el Legislador, en el inciso segundo del artículo 4 de la Ley 1150 de 2007, nítidamente estableció que el momento para la asignación definitiva de los riesgos debía señalarse </w:t>
      </w:r>
      <w:r w:rsidR="00303D63">
        <w:rPr>
          <w:rFonts w:ascii="Arial" w:hAnsi="Arial" w:cs="Arial"/>
          <w:sz w:val="21"/>
          <w:szCs w:val="21"/>
          <w:lang w:val="es-ES_tradnl"/>
        </w:rPr>
        <w:t>«</w:t>
      </w:r>
      <w:r w:rsidRPr="00D4128C">
        <w:rPr>
          <w:rFonts w:ascii="Arial" w:hAnsi="Arial" w:cs="Arial"/>
          <w:sz w:val="21"/>
          <w:szCs w:val="21"/>
          <w:lang w:val="es-ES_tradnl"/>
        </w:rPr>
        <w:t>con anterioridad a la presentación de las ofertas</w:t>
      </w:r>
      <w:r w:rsidR="00303D63">
        <w:rPr>
          <w:rFonts w:ascii="Arial" w:hAnsi="Arial" w:cs="Arial"/>
          <w:sz w:val="21"/>
          <w:szCs w:val="21"/>
          <w:lang w:val="es-ES_tradnl"/>
        </w:rPr>
        <w:t>»</w:t>
      </w:r>
      <w:r w:rsidRPr="00D4128C">
        <w:rPr>
          <w:rFonts w:ascii="Arial" w:hAnsi="Arial" w:cs="Arial"/>
          <w:sz w:val="21"/>
          <w:szCs w:val="21"/>
          <w:lang w:val="es-ES_tradnl"/>
        </w:rPr>
        <w:t xml:space="preserve">, o sea, para que se efectuase en forma previa al comienzo del plazo de la </w:t>
      </w:r>
      <w:r w:rsidR="007208C5" w:rsidRPr="00D4128C">
        <w:rPr>
          <w:rFonts w:ascii="Arial" w:hAnsi="Arial" w:cs="Arial"/>
          <w:sz w:val="21"/>
          <w:szCs w:val="21"/>
          <w:lang w:val="es-ES_tradnl"/>
        </w:rPr>
        <w:t>licitación</w:t>
      </w:r>
      <w:r w:rsidRPr="00D4128C">
        <w:rPr>
          <w:rFonts w:ascii="Arial" w:hAnsi="Arial" w:cs="Arial"/>
          <w:sz w:val="21"/>
          <w:szCs w:val="21"/>
          <w:lang w:val="es-ES_tradnl"/>
        </w:rPr>
        <w:t xml:space="preserve">, pues iniciado </w:t>
      </w:r>
      <w:r w:rsidR="007208C5" w:rsidRPr="00D4128C">
        <w:rPr>
          <w:rFonts w:ascii="Arial" w:hAnsi="Arial" w:cs="Arial"/>
          <w:sz w:val="21"/>
          <w:szCs w:val="21"/>
          <w:lang w:val="es-ES_tradnl"/>
        </w:rPr>
        <w:t>éste</w:t>
      </w:r>
      <w:r w:rsidRPr="00D4128C">
        <w:rPr>
          <w:rFonts w:ascii="Arial" w:hAnsi="Arial" w:cs="Arial"/>
          <w:sz w:val="21"/>
          <w:szCs w:val="21"/>
          <w:lang w:val="es-ES_tradnl"/>
        </w:rPr>
        <w:t xml:space="preserve"> ya es posible para los oferentes formular sus propuestas a la </w:t>
      </w:r>
      <w:r w:rsidR="007208C5" w:rsidRPr="00D4128C">
        <w:rPr>
          <w:rFonts w:ascii="Arial" w:hAnsi="Arial" w:cs="Arial"/>
          <w:sz w:val="21"/>
          <w:szCs w:val="21"/>
          <w:lang w:val="es-ES_tradnl"/>
        </w:rPr>
        <w:t>Administración</w:t>
      </w:r>
      <w:r w:rsidRPr="00D4128C">
        <w:rPr>
          <w:rFonts w:ascii="Arial" w:hAnsi="Arial" w:cs="Arial"/>
          <w:sz w:val="21"/>
          <w:szCs w:val="21"/>
          <w:lang w:val="es-ES_tradnl"/>
        </w:rPr>
        <w:t xml:space="preserve">; mientras el Gobierno Nacional, en el </w:t>
      </w:r>
      <w:r w:rsidR="007208C5" w:rsidRPr="00D4128C">
        <w:rPr>
          <w:rFonts w:ascii="Arial" w:hAnsi="Arial" w:cs="Arial"/>
          <w:sz w:val="21"/>
          <w:szCs w:val="21"/>
          <w:lang w:val="es-ES_tradnl"/>
        </w:rPr>
        <w:t>parágrafo</w:t>
      </w:r>
      <w:r w:rsidRPr="00D4128C">
        <w:rPr>
          <w:rFonts w:ascii="Arial" w:hAnsi="Arial" w:cs="Arial"/>
          <w:sz w:val="21"/>
          <w:szCs w:val="21"/>
          <w:lang w:val="es-ES_tradnl"/>
        </w:rPr>
        <w:t xml:space="preserve"> del </w:t>
      </w:r>
      <w:r w:rsidR="007208C5" w:rsidRPr="00D4128C">
        <w:rPr>
          <w:rFonts w:ascii="Arial" w:hAnsi="Arial" w:cs="Arial"/>
          <w:sz w:val="21"/>
          <w:szCs w:val="21"/>
          <w:lang w:val="es-ES_tradnl"/>
        </w:rPr>
        <w:t>artículo</w:t>
      </w:r>
      <w:r w:rsidRPr="00D4128C">
        <w:rPr>
          <w:rFonts w:ascii="Arial" w:hAnsi="Arial" w:cs="Arial"/>
          <w:sz w:val="21"/>
          <w:szCs w:val="21"/>
          <w:lang w:val="es-ES_tradnl"/>
        </w:rPr>
        <w:t xml:space="preserve"> 88 del Decreto 2474 de 2008, dejó a criterio de la entidad fijar la </w:t>
      </w:r>
      <w:r w:rsidR="007208C5" w:rsidRPr="00D4128C">
        <w:rPr>
          <w:rFonts w:ascii="Arial" w:hAnsi="Arial" w:cs="Arial"/>
          <w:sz w:val="21"/>
          <w:szCs w:val="21"/>
          <w:lang w:val="es-ES_tradnl"/>
        </w:rPr>
        <w:t>realización</w:t>
      </w:r>
      <w:r w:rsidRPr="00D4128C">
        <w:rPr>
          <w:rFonts w:ascii="Arial" w:hAnsi="Arial" w:cs="Arial"/>
          <w:sz w:val="21"/>
          <w:szCs w:val="21"/>
          <w:lang w:val="es-ES_tradnl"/>
        </w:rPr>
        <w:t xml:space="preserve"> de la audiencia para ese </w:t>
      </w:r>
      <w:r w:rsidR="007208C5" w:rsidRPr="00D4128C">
        <w:rPr>
          <w:rFonts w:ascii="Arial" w:hAnsi="Arial" w:cs="Arial"/>
          <w:sz w:val="21"/>
          <w:szCs w:val="21"/>
          <w:lang w:val="es-ES_tradnl"/>
        </w:rPr>
        <w:t>propósito</w:t>
      </w:r>
      <w:r w:rsidRPr="00D4128C">
        <w:rPr>
          <w:rFonts w:ascii="Arial" w:hAnsi="Arial" w:cs="Arial"/>
          <w:sz w:val="21"/>
          <w:szCs w:val="21"/>
          <w:lang w:val="es-ES_tradnl"/>
        </w:rPr>
        <w:t xml:space="preserve"> coincidiendo con aquella de que trata el numeral 4 del </w:t>
      </w:r>
      <w:r w:rsidR="007208C5" w:rsidRPr="00D4128C">
        <w:rPr>
          <w:rFonts w:ascii="Arial" w:hAnsi="Arial" w:cs="Arial"/>
          <w:sz w:val="21"/>
          <w:szCs w:val="21"/>
          <w:lang w:val="es-ES_tradnl"/>
        </w:rPr>
        <w:t>artículo</w:t>
      </w:r>
      <w:r w:rsidRPr="00D4128C">
        <w:rPr>
          <w:rFonts w:ascii="Arial" w:hAnsi="Arial" w:cs="Arial"/>
          <w:sz w:val="21"/>
          <w:szCs w:val="21"/>
          <w:lang w:val="es-ES_tradnl"/>
        </w:rPr>
        <w:t xml:space="preserve"> 30 de la Ley 80 de 1993, esto es, dentro de los tres (3) </w:t>
      </w:r>
      <w:r w:rsidR="007208C5" w:rsidRPr="00D4128C">
        <w:rPr>
          <w:rFonts w:ascii="Arial" w:hAnsi="Arial" w:cs="Arial"/>
          <w:sz w:val="21"/>
          <w:szCs w:val="21"/>
          <w:lang w:val="es-ES_tradnl"/>
        </w:rPr>
        <w:t>días</w:t>
      </w:r>
      <w:r w:rsidRPr="00D4128C">
        <w:rPr>
          <w:rFonts w:ascii="Arial" w:hAnsi="Arial" w:cs="Arial"/>
          <w:sz w:val="21"/>
          <w:szCs w:val="21"/>
          <w:lang w:val="es-ES_tradnl"/>
        </w:rPr>
        <w:t xml:space="preserve"> siguientes al inicio del plazo para la </w:t>
      </w:r>
      <w:r w:rsidR="007208C5" w:rsidRPr="00D4128C">
        <w:rPr>
          <w:rFonts w:ascii="Arial" w:hAnsi="Arial" w:cs="Arial"/>
          <w:sz w:val="21"/>
          <w:szCs w:val="21"/>
          <w:lang w:val="es-ES_tradnl"/>
        </w:rPr>
        <w:t>presentación</w:t>
      </w:r>
      <w:r w:rsidRPr="00D4128C">
        <w:rPr>
          <w:rFonts w:ascii="Arial" w:hAnsi="Arial" w:cs="Arial"/>
          <w:sz w:val="21"/>
          <w:szCs w:val="21"/>
          <w:lang w:val="es-ES_tradnl"/>
        </w:rPr>
        <w:t xml:space="preserve"> de las ofertas, de donde, sin mayores elucubraciones o razonamientos, surge una </w:t>
      </w:r>
      <w:r w:rsidR="007208C5" w:rsidRPr="00D4128C">
        <w:rPr>
          <w:rFonts w:ascii="Arial" w:hAnsi="Arial" w:cs="Arial"/>
          <w:sz w:val="21"/>
          <w:szCs w:val="21"/>
          <w:lang w:val="es-ES_tradnl"/>
        </w:rPr>
        <w:t>modificación</w:t>
      </w:r>
      <w:r w:rsidRPr="00D4128C">
        <w:rPr>
          <w:rFonts w:ascii="Arial" w:hAnsi="Arial" w:cs="Arial"/>
          <w:sz w:val="21"/>
          <w:szCs w:val="21"/>
          <w:lang w:val="es-ES_tradnl"/>
        </w:rPr>
        <w:t xml:space="preserve"> y </w:t>
      </w:r>
      <w:r w:rsidR="007208C5" w:rsidRPr="00D4128C">
        <w:rPr>
          <w:rFonts w:ascii="Arial" w:hAnsi="Arial" w:cs="Arial"/>
          <w:sz w:val="21"/>
          <w:szCs w:val="21"/>
          <w:lang w:val="es-ES_tradnl"/>
        </w:rPr>
        <w:t>contradicción</w:t>
      </w:r>
      <w:r w:rsidRPr="00D4128C">
        <w:rPr>
          <w:rFonts w:ascii="Arial" w:hAnsi="Arial" w:cs="Arial"/>
          <w:sz w:val="21"/>
          <w:szCs w:val="21"/>
          <w:lang w:val="es-ES_tradnl"/>
        </w:rPr>
        <w:t xml:space="preserve"> a lo regulado en la ley. </w:t>
      </w:r>
    </w:p>
    <w:p w14:paraId="6D7F4F4A" w14:textId="77777777"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p>
    <w:p w14:paraId="0A0B16DB" w14:textId="6AF347D3" w:rsidR="00D4128C" w:rsidRPr="00D4128C" w:rsidRDefault="00D4128C" w:rsidP="00D4128C">
      <w:pPr>
        <w:pStyle w:val="NormalWeb"/>
        <w:spacing w:before="0" w:beforeAutospacing="0" w:after="0" w:afterAutospacing="0"/>
        <w:ind w:left="709" w:right="709"/>
        <w:jc w:val="both"/>
        <w:rPr>
          <w:rFonts w:ascii="Arial" w:hAnsi="Arial" w:cs="Arial"/>
          <w:sz w:val="21"/>
          <w:szCs w:val="21"/>
          <w:lang w:val="es-ES_tradnl"/>
        </w:rPr>
      </w:pPr>
      <w:r w:rsidRPr="00D4128C">
        <w:rPr>
          <w:rFonts w:ascii="Arial" w:hAnsi="Arial" w:cs="Arial"/>
          <w:sz w:val="21"/>
          <w:szCs w:val="21"/>
          <w:lang w:val="es-ES_tradnl"/>
        </w:rPr>
        <w:t xml:space="preserve">Por consiguiente, la Sala decretará la medida cautelar solicitada, pero </w:t>
      </w:r>
      <w:r w:rsidR="00303D63" w:rsidRPr="00D4128C">
        <w:rPr>
          <w:rFonts w:ascii="Arial" w:hAnsi="Arial" w:cs="Arial"/>
          <w:sz w:val="21"/>
          <w:szCs w:val="21"/>
          <w:lang w:val="es-ES_tradnl"/>
        </w:rPr>
        <w:t>sólo</w:t>
      </w:r>
      <w:r w:rsidRPr="00D4128C">
        <w:rPr>
          <w:rFonts w:ascii="Arial" w:hAnsi="Arial" w:cs="Arial"/>
          <w:sz w:val="21"/>
          <w:szCs w:val="21"/>
          <w:lang w:val="es-ES_tradnl"/>
        </w:rPr>
        <w:t xml:space="preserve"> respecto de la </w:t>
      </w:r>
      <w:r w:rsidR="00303D63" w:rsidRPr="00D4128C">
        <w:rPr>
          <w:rFonts w:ascii="Arial" w:hAnsi="Arial" w:cs="Arial"/>
          <w:sz w:val="21"/>
          <w:szCs w:val="21"/>
          <w:lang w:val="es-ES_tradnl"/>
        </w:rPr>
        <w:t>expresión</w:t>
      </w:r>
      <w:r w:rsidRPr="00D4128C">
        <w:rPr>
          <w:rFonts w:ascii="Arial" w:hAnsi="Arial" w:cs="Arial"/>
          <w:sz w:val="21"/>
          <w:szCs w:val="21"/>
          <w:lang w:val="es-ES_tradnl"/>
        </w:rPr>
        <w:t xml:space="preserve"> </w:t>
      </w:r>
      <w:r w:rsidR="00303D63">
        <w:rPr>
          <w:rFonts w:ascii="Arial" w:hAnsi="Arial" w:cs="Arial"/>
          <w:i/>
          <w:iCs/>
          <w:sz w:val="21"/>
          <w:szCs w:val="21"/>
          <w:lang w:val="es-ES_tradnl"/>
        </w:rPr>
        <w:t>«</w:t>
      </w:r>
      <w:r w:rsidRPr="00D4128C">
        <w:rPr>
          <w:rFonts w:ascii="Arial" w:hAnsi="Arial" w:cs="Arial"/>
          <w:i/>
          <w:iCs/>
          <w:sz w:val="21"/>
          <w:szCs w:val="21"/>
          <w:lang w:val="es-ES_tradnl"/>
        </w:rPr>
        <w:t xml:space="preserve">A criterio de la entidad, (...) </w:t>
      </w:r>
      <w:r w:rsidR="00303D63" w:rsidRPr="00D4128C">
        <w:rPr>
          <w:rFonts w:ascii="Arial" w:hAnsi="Arial" w:cs="Arial"/>
          <w:i/>
          <w:iCs/>
          <w:sz w:val="21"/>
          <w:szCs w:val="21"/>
          <w:lang w:val="es-ES_tradnl"/>
        </w:rPr>
        <w:t>podrá</w:t>
      </w:r>
      <w:r w:rsidRPr="00D4128C">
        <w:rPr>
          <w:rFonts w:ascii="Arial" w:hAnsi="Arial" w:cs="Arial"/>
          <w:i/>
          <w:iCs/>
          <w:sz w:val="21"/>
          <w:szCs w:val="21"/>
          <w:lang w:val="es-ES_tradnl"/>
        </w:rPr>
        <w:t xml:space="preserve"> coincidir con aquella de que trata el numeral 4 del </w:t>
      </w:r>
      <w:r w:rsidR="00303D63" w:rsidRPr="00D4128C">
        <w:rPr>
          <w:rFonts w:ascii="Arial" w:hAnsi="Arial" w:cs="Arial"/>
          <w:i/>
          <w:iCs/>
          <w:sz w:val="21"/>
          <w:szCs w:val="21"/>
          <w:lang w:val="es-ES_tradnl"/>
        </w:rPr>
        <w:t>artículo</w:t>
      </w:r>
      <w:r w:rsidRPr="00D4128C">
        <w:rPr>
          <w:rFonts w:ascii="Arial" w:hAnsi="Arial" w:cs="Arial"/>
          <w:i/>
          <w:iCs/>
          <w:sz w:val="21"/>
          <w:szCs w:val="21"/>
          <w:lang w:val="es-ES_tradnl"/>
        </w:rPr>
        <w:t xml:space="preserve"> 30 de la Ley 80 de 1993, o...</w:t>
      </w:r>
      <w:r w:rsidR="00303D63">
        <w:rPr>
          <w:rFonts w:ascii="Arial" w:hAnsi="Arial" w:cs="Arial"/>
          <w:i/>
          <w:iCs/>
          <w:sz w:val="21"/>
          <w:szCs w:val="21"/>
          <w:lang w:val="es-ES_tradnl"/>
        </w:rPr>
        <w:t>»</w:t>
      </w:r>
      <w:r w:rsidRPr="00D4128C">
        <w:rPr>
          <w:rFonts w:ascii="Arial" w:hAnsi="Arial" w:cs="Arial"/>
          <w:i/>
          <w:iCs/>
          <w:sz w:val="21"/>
          <w:szCs w:val="21"/>
          <w:lang w:val="es-ES_tradnl"/>
        </w:rPr>
        <w:t xml:space="preserve"> </w:t>
      </w:r>
      <w:r w:rsidRPr="00D4128C">
        <w:rPr>
          <w:rFonts w:ascii="Arial" w:hAnsi="Arial" w:cs="Arial"/>
          <w:sz w:val="21"/>
          <w:szCs w:val="21"/>
          <w:lang w:val="es-ES_tradnl"/>
        </w:rPr>
        <w:t xml:space="preserve">del </w:t>
      </w:r>
      <w:r w:rsidR="00303D63" w:rsidRPr="00D4128C">
        <w:rPr>
          <w:rFonts w:ascii="Arial" w:hAnsi="Arial" w:cs="Arial"/>
          <w:sz w:val="21"/>
          <w:szCs w:val="21"/>
          <w:lang w:val="es-ES_tradnl"/>
        </w:rPr>
        <w:t>parágrafo</w:t>
      </w:r>
      <w:r w:rsidRPr="00D4128C">
        <w:rPr>
          <w:rFonts w:ascii="Arial" w:hAnsi="Arial" w:cs="Arial"/>
          <w:sz w:val="21"/>
          <w:szCs w:val="21"/>
          <w:lang w:val="es-ES_tradnl"/>
        </w:rPr>
        <w:t xml:space="preserve"> del </w:t>
      </w:r>
      <w:r w:rsidR="00303D63" w:rsidRPr="00D4128C">
        <w:rPr>
          <w:rFonts w:ascii="Arial" w:hAnsi="Arial" w:cs="Arial"/>
          <w:sz w:val="21"/>
          <w:szCs w:val="21"/>
          <w:lang w:val="es-ES_tradnl"/>
        </w:rPr>
        <w:t>artículo</w:t>
      </w:r>
      <w:r w:rsidRPr="00D4128C">
        <w:rPr>
          <w:rFonts w:ascii="Arial" w:hAnsi="Arial" w:cs="Arial"/>
          <w:sz w:val="21"/>
          <w:szCs w:val="21"/>
          <w:lang w:val="es-ES_tradnl"/>
        </w:rPr>
        <w:t xml:space="preserve"> 88 del Decreto 2474 de 2008, y no en </w:t>
      </w:r>
      <w:r w:rsidR="00303D63" w:rsidRPr="00D4128C">
        <w:rPr>
          <w:rFonts w:ascii="Arial" w:hAnsi="Arial" w:cs="Arial"/>
          <w:sz w:val="21"/>
          <w:szCs w:val="21"/>
          <w:lang w:val="es-ES_tradnl"/>
        </w:rPr>
        <w:t>relación</w:t>
      </w:r>
      <w:r w:rsidRPr="00D4128C">
        <w:rPr>
          <w:rFonts w:ascii="Arial" w:hAnsi="Arial" w:cs="Arial"/>
          <w:sz w:val="21"/>
          <w:szCs w:val="21"/>
          <w:lang w:val="es-ES_tradnl"/>
        </w:rPr>
        <w:t xml:space="preserve"> con la </w:t>
      </w:r>
      <w:r w:rsidR="00303D63" w:rsidRPr="00D4128C">
        <w:rPr>
          <w:rFonts w:ascii="Arial" w:hAnsi="Arial" w:cs="Arial"/>
          <w:sz w:val="21"/>
          <w:szCs w:val="21"/>
          <w:lang w:val="es-ES_tradnl"/>
        </w:rPr>
        <w:t>expresión</w:t>
      </w:r>
      <w:r w:rsidRPr="00D4128C">
        <w:rPr>
          <w:rFonts w:ascii="Arial" w:hAnsi="Arial" w:cs="Arial"/>
          <w:sz w:val="21"/>
          <w:szCs w:val="21"/>
          <w:lang w:val="es-ES_tradnl"/>
        </w:rPr>
        <w:t xml:space="preserve"> restante del mismo, esto es, </w:t>
      </w:r>
      <w:r w:rsidR="00303D63">
        <w:rPr>
          <w:rFonts w:ascii="Arial" w:hAnsi="Arial" w:cs="Arial"/>
          <w:i/>
          <w:iCs/>
          <w:sz w:val="21"/>
          <w:szCs w:val="21"/>
          <w:lang w:val="es-ES_tradnl"/>
        </w:rPr>
        <w:t>«</w:t>
      </w:r>
      <w:r w:rsidRPr="00D4128C">
        <w:rPr>
          <w:rFonts w:ascii="Arial" w:hAnsi="Arial" w:cs="Arial"/>
          <w:i/>
          <w:iCs/>
          <w:sz w:val="21"/>
          <w:szCs w:val="21"/>
          <w:lang w:val="es-ES_tradnl"/>
        </w:rPr>
        <w:t xml:space="preserve">...la audiencia a que se refiere el presente </w:t>
      </w:r>
      <w:r w:rsidR="00303D63" w:rsidRPr="00D4128C">
        <w:rPr>
          <w:rFonts w:ascii="Arial" w:hAnsi="Arial" w:cs="Arial"/>
          <w:i/>
          <w:iCs/>
          <w:sz w:val="21"/>
          <w:szCs w:val="21"/>
          <w:lang w:val="es-ES_tradnl"/>
        </w:rPr>
        <w:t>artículo</w:t>
      </w:r>
      <w:r w:rsidRPr="00D4128C">
        <w:rPr>
          <w:rFonts w:ascii="Arial" w:hAnsi="Arial" w:cs="Arial"/>
          <w:i/>
          <w:iCs/>
          <w:sz w:val="21"/>
          <w:szCs w:val="21"/>
          <w:lang w:val="es-ES_tradnl"/>
        </w:rPr>
        <w:t xml:space="preserve"> (...) realizarse de manera previa a la apertura del proceso...</w:t>
      </w:r>
      <w:r w:rsidR="00303D63">
        <w:rPr>
          <w:rFonts w:ascii="Arial" w:hAnsi="Arial" w:cs="Arial"/>
          <w:i/>
          <w:iCs/>
          <w:sz w:val="21"/>
          <w:szCs w:val="21"/>
          <w:lang w:val="es-ES_tradnl"/>
        </w:rPr>
        <w:t>»</w:t>
      </w:r>
      <w:r w:rsidRPr="00D4128C">
        <w:rPr>
          <w:rFonts w:ascii="Arial" w:hAnsi="Arial" w:cs="Arial"/>
          <w:sz w:val="21"/>
          <w:szCs w:val="21"/>
          <w:lang w:val="es-ES_tradnl"/>
        </w:rPr>
        <w:t xml:space="preserve">, pues irrumpe, con meridiana claridad, que </w:t>
      </w:r>
      <w:r w:rsidR="00303D63" w:rsidRPr="00D4128C">
        <w:rPr>
          <w:rFonts w:ascii="Arial" w:hAnsi="Arial" w:cs="Arial"/>
          <w:sz w:val="21"/>
          <w:szCs w:val="21"/>
          <w:lang w:val="es-ES_tradnl"/>
        </w:rPr>
        <w:t>únicamente</w:t>
      </w:r>
      <w:r w:rsidRPr="00D4128C">
        <w:rPr>
          <w:rFonts w:ascii="Arial" w:hAnsi="Arial" w:cs="Arial"/>
          <w:sz w:val="21"/>
          <w:szCs w:val="21"/>
          <w:lang w:val="es-ES_tradnl"/>
        </w:rPr>
        <w:t xml:space="preserve"> lo contenido en la primera </w:t>
      </w:r>
      <w:r w:rsidR="00303D63" w:rsidRPr="00D4128C">
        <w:rPr>
          <w:rFonts w:ascii="Arial" w:hAnsi="Arial" w:cs="Arial"/>
          <w:sz w:val="21"/>
          <w:szCs w:val="21"/>
          <w:lang w:val="es-ES_tradnl"/>
        </w:rPr>
        <w:t>expresión</w:t>
      </w:r>
      <w:r w:rsidRPr="00D4128C">
        <w:rPr>
          <w:rFonts w:ascii="Arial" w:hAnsi="Arial" w:cs="Arial"/>
          <w:sz w:val="21"/>
          <w:szCs w:val="21"/>
          <w:lang w:val="es-ES_tradnl"/>
        </w:rPr>
        <w:t xml:space="preserve"> se opone a la norma que se invoca como infringida. </w:t>
      </w:r>
    </w:p>
    <w:p w14:paraId="60A8F221" w14:textId="77777777" w:rsidR="00D33063" w:rsidRDefault="00D33063" w:rsidP="00FF6D70">
      <w:pPr>
        <w:tabs>
          <w:tab w:val="left" w:pos="426"/>
        </w:tabs>
        <w:spacing w:line="276" w:lineRule="auto"/>
        <w:ind w:firstLine="709"/>
        <w:jc w:val="both"/>
        <w:rPr>
          <w:rFonts w:ascii="Arial" w:eastAsia="Calibri" w:hAnsi="Arial" w:cs="Arial"/>
          <w:color w:val="000000" w:themeColor="text1"/>
          <w:sz w:val="22"/>
          <w:lang w:val="es-ES_tradnl"/>
        </w:rPr>
      </w:pPr>
    </w:p>
    <w:p w14:paraId="08842881" w14:textId="578D6A06" w:rsidR="00FF6D70" w:rsidRDefault="00DC7EA8" w:rsidP="00FF6D70">
      <w:pPr>
        <w:tabs>
          <w:tab w:val="left" w:pos="426"/>
        </w:tabs>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Obsérvese que para el alto tribunal</w:t>
      </w:r>
      <w:r w:rsidR="00570638">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el apartado normativo suspendido, contenido en el parágrafo del artículo 88 del Decreto 2474 de 2008</w:t>
      </w:r>
      <w:r w:rsidR="00570638">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podría considerarse en su momento violatorio del artículo 4 de la Ley 1150 de 2007, porque aquella norma reglamentaria permitía que la entidad estatal estableciera que la audiencia de asignación de riesgos podía coincidir en el tiempo con la de aclaraciones al pliego de condiciones, es decir</w:t>
      </w:r>
      <w:r w:rsidR="00570638">
        <w:rPr>
          <w:rFonts w:ascii="Arial" w:eastAsia="Calibri" w:hAnsi="Arial" w:cs="Arial"/>
          <w:color w:val="000000" w:themeColor="text1"/>
          <w:sz w:val="22"/>
          <w:lang w:val="es-ES_tradnl"/>
        </w:rPr>
        <w:t xml:space="preserve">, que </w:t>
      </w:r>
      <w:r w:rsidR="00EB64FB">
        <w:rPr>
          <w:rFonts w:ascii="Arial" w:eastAsia="Calibri" w:hAnsi="Arial" w:cs="Arial"/>
          <w:color w:val="000000" w:themeColor="text1"/>
          <w:sz w:val="22"/>
          <w:lang w:val="es-ES_tradnl"/>
        </w:rPr>
        <w:t xml:space="preserve">facultaba que </w:t>
      </w:r>
      <w:r w:rsidR="00570638">
        <w:rPr>
          <w:rFonts w:ascii="Arial" w:eastAsia="Calibri" w:hAnsi="Arial" w:cs="Arial"/>
          <w:color w:val="000000" w:themeColor="text1"/>
          <w:sz w:val="22"/>
          <w:lang w:val="es-ES_tradnl"/>
        </w:rPr>
        <w:t>se realizara dentro de los tres días siguientes al inicio del plazo de la licitación.</w:t>
      </w:r>
      <w:r w:rsidR="0035658F">
        <w:rPr>
          <w:rFonts w:ascii="Arial" w:eastAsia="Calibri" w:hAnsi="Arial" w:cs="Arial"/>
          <w:color w:val="000000" w:themeColor="text1"/>
          <w:sz w:val="22"/>
          <w:lang w:val="es-ES_tradnl"/>
        </w:rPr>
        <w:t xml:space="preserve"> Según el Consejo de Estado esta previsión se apartaba del artículo 4 de la Ley 1150 de 2007, porque este exige que la audiencia de asignación de riesgos </w:t>
      </w:r>
      <w:r w:rsidR="00636DA6">
        <w:rPr>
          <w:rFonts w:ascii="Arial" w:eastAsia="Calibri" w:hAnsi="Arial" w:cs="Arial"/>
          <w:color w:val="000000" w:themeColor="text1"/>
          <w:sz w:val="22"/>
          <w:lang w:val="es-ES_tradnl"/>
        </w:rPr>
        <w:t>se efectúe «</w:t>
      </w:r>
      <w:r w:rsidR="00636DA6" w:rsidRPr="00636DA6">
        <w:rPr>
          <w:rFonts w:ascii="Arial" w:eastAsia="Calibri" w:hAnsi="Arial" w:cs="Arial"/>
          <w:color w:val="000000" w:themeColor="text1"/>
          <w:sz w:val="22"/>
          <w:lang w:val="es-ES_tradnl"/>
        </w:rPr>
        <w:t>con anterioridad a la presentación de las ofertas</w:t>
      </w:r>
      <w:r w:rsidR="00636DA6">
        <w:rPr>
          <w:rFonts w:ascii="Arial" w:eastAsia="Calibri" w:hAnsi="Arial" w:cs="Arial"/>
          <w:color w:val="000000" w:themeColor="text1"/>
          <w:sz w:val="22"/>
          <w:lang w:val="es-ES_tradnl"/>
        </w:rPr>
        <w:t>». Por consiguiente, si se lleva a cabo después de iniciado el plazo de la licitación</w:t>
      </w:r>
      <w:r w:rsidR="00AB4376">
        <w:rPr>
          <w:rFonts w:ascii="Arial" w:eastAsia="Calibri" w:hAnsi="Arial" w:cs="Arial"/>
          <w:color w:val="000000" w:themeColor="text1"/>
          <w:sz w:val="22"/>
          <w:lang w:val="es-ES_tradnl"/>
        </w:rPr>
        <w:t xml:space="preserve"> se contraría tal mandato, porque</w:t>
      </w:r>
      <w:r w:rsidR="0045792E">
        <w:rPr>
          <w:rFonts w:ascii="Arial" w:eastAsia="Calibri" w:hAnsi="Arial" w:cs="Arial"/>
          <w:color w:val="000000" w:themeColor="text1"/>
          <w:sz w:val="22"/>
          <w:lang w:val="es-ES_tradnl"/>
        </w:rPr>
        <w:t>,</w:t>
      </w:r>
      <w:r w:rsidR="00AB4376">
        <w:rPr>
          <w:rFonts w:ascii="Arial" w:eastAsia="Calibri" w:hAnsi="Arial" w:cs="Arial"/>
          <w:color w:val="000000" w:themeColor="text1"/>
          <w:sz w:val="22"/>
          <w:lang w:val="es-ES_tradnl"/>
        </w:rPr>
        <w:t xml:space="preserve"> como dentro de este período</w:t>
      </w:r>
      <w:r w:rsidR="000A1D37">
        <w:rPr>
          <w:rFonts w:ascii="Arial" w:eastAsia="Calibri" w:hAnsi="Arial" w:cs="Arial"/>
          <w:color w:val="000000" w:themeColor="text1"/>
          <w:sz w:val="22"/>
          <w:lang w:val="es-ES_tradnl"/>
        </w:rPr>
        <w:t xml:space="preserve"> </w:t>
      </w:r>
      <w:r w:rsidR="0045792E">
        <w:rPr>
          <w:rFonts w:ascii="Arial" w:eastAsia="Calibri" w:hAnsi="Arial" w:cs="Arial"/>
          <w:color w:val="000000" w:themeColor="text1"/>
          <w:sz w:val="22"/>
          <w:lang w:val="es-ES_tradnl"/>
        </w:rPr>
        <w:t>es posible</w:t>
      </w:r>
      <w:r w:rsidR="00AB4376">
        <w:rPr>
          <w:rFonts w:ascii="Arial" w:eastAsia="Calibri" w:hAnsi="Arial" w:cs="Arial"/>
          <w:color w:val="000000" w:themeColor="text1"/>
          <w:sz w:val="22"/>
          <w:lang w:val="es-ES_tradnl"/>
        </w:rPr>
        <w:t xml:space="preserve"> presentar</w:t>
      </w:r>
      <w:r w:rsidR="0045792E">
        <w:rPr>
          <w:rFonts w:ascii="Arial" w:eastAsia="Calibri" w:hAnsi="Arial" w:cs="Arial"/>
          <w:color w:val="000000" w:themeColor="text1"/>
          <w:sz w:val="22"/>
          <w:lang w:val="es-ES_tradnl"/>
        </w:rPr>
        <w:t xml:space="preserve"> </w:t>
      </w:r>
      <w:r w:rsidR="00AB4376">
        <w:rPr>
          <w:rFonts w:ascii="Arial" w:eastAsia="Calibri" w:hAnsi="Arial" w:cs="Arial"/>
          <w:color w:val="000000" w:themeColor="text1"/>
          <w:sz w:val="22"/>
          <w:lang w:val="es-ES_tradnl"/>
        </w:rPr>
        <w:t xml:space="preserve">las ofertas, podría darse el caso en que </w:t>
      </w:r>
      <w:r w:rsidR="000A1D37">
        <w:rPr>
          <w:rFonts w:ascii="Arial" w:eastAsia="Calibri" w:hAnsi="Arial" w:cs="Arial"/>
          <w:color w:val="000000" w:themeColor="text1"/>
          <w:sz w:val="22"/>
          <w:lang w:val="es-ES_tradnl"/>
        </w:rPr>
        <w:t>la entidad pública reciba propuesta</w:t>
      </w:r>
      <w:r w:rsidR="003315C6">
        <w:rPr>
          <w:rFonts w:ascii="Arial" w:eastAsia="Calibri" w:hAnsi="Arial" w:cs="Arial"/>
          <w:color w:val="000000" w:themeColor="text1"/>
          <w:sz w:val="22"/>
          <w:lang w:val="es-ES_tradnl"/>
        </w:rPr>
        <w:t>s</w:t>
      </w:r>
      <w:r w:rsidR="000A1D37">
        <w:rPr>
          <w:rFonts w:ascii="Arial" w:eastAsia="Calibri" w:hAnsi="Arial" w:cs="Arial"/>
          <w:color w:val="000000" w:themeColor="text1"/>
          <w:sz w:val="22"/>
          <w:lang w:val="es-ES_tradnl"/>
        </w:rPr>
        <w:t xml:space="preserve"> antes de la audiencia de asignación de riesgos.</w:t>
      </w:r>
    </w:p>
    <w:p w14:paraId="1110E5D2" w14:textId="60C41E24" w:rsidR="00FF6D70" w:rsidRDefault="00C13CCB" w:rsidP="00FF6D70">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Fue</w:t>
      </w:r>
      <w:r w:rsidR="00F97CF8">
        <w:rPr>
          <w:rFonts w:ascii="Arial" w:eastAsia="Calibri" w:hAnsi="Arial" w:cs="Arial"/>
          <w:color w:val="000000" w:themeColor="text1"/>
          <w:sz w:val="22"/>
          <w:lang w:val="es-ES_tradnl"/>
        </w:rPr>
        <w:t xml:space="preserve"> en este contexto en el que</w:t>
      </w:r>
      <w:r w:rsidR="00332557">
        <w:rPr>
          <w:rFonts w:ascii="Arial" w:eastAsia="Calibri" w:hAnsi="Arial" w:cs="Arial"/>
          <w:color w:val="000000" w:themeColor="text1"/>
          <w:sz w:val="22"/>
          <w:lang w:val="es-ES_tradnl"/>
        </w:rPr>
        <w:t>, años más tarde,</w:t>
      </w:r>
      <w:r w:rsidR="00F97CF8">
        <w:rPr>
          <w:rFonts w:ascii="Arial" w:eastAsia="Calibri" w:hAnsi="Arial" w:cs="Arial"/>
          <w:color w:val="000000" w:themeColor="text1"/>
          <w:sz w:val="22"/>
          <w:lang w:val="es-ES_tradnl"/>
        </w:rPr>
        <w:t xml:space="preserve"> </w:t>
      </w:r>
      <w:proofErr w:type="gramStart"/>
      <w:r w:rsidR="00F97CF8">
        <w:rPr>
          <w:rFonts w:ascii="Arial" w:eastAsia="Calibri" w:hAnsi="Arial" w:cs="Arial"/>
          <w:color w:val="000000" w:themeColor="text1"/>
          <w:sz w:val="22"/>
          <w:lang w:val="es-ES_tradnl"/>
        </w:rPr>
        <w:t>entr</w:t>
      </w:r>
      <w:r>
        <w:rPr>
          <w:rFonts w:ascii="Arial" w:eastAsia="Calibri" w:hAnsi="Arial" w:cs="Arial"/>
          <w:color w:val="000000" w:themeColor="text1"/>
          <w:sz w:val="22"/>
          <w:lang w:val="es-ES_tradnl"/>
        </w:rPr>
        <w:t>ó</w:t>
      </w:r>
      <w:r w:rsidR="00F97CF8">
        <w:rPr>
          <w:rFonts w:ascii="Arial" w:eastAsia="Calibri" w:hAnsi="Arial" w:cs="Arial"/>
          <w:color w:val="000000" w:themeColor="text1"/>
          <w:sz w:val="22"/>
          <w:lang w:val="es-ES_tradnl"/>
        </w:rPr>
        <w:t xml:space="preserve"> en vigencia</w:t>
      </w:r>
      <w:proofErr w:type="gramEnd"/>
      <w:r w:rsidR="00F97CF8">
        <w:rPr>
          <w:rFonts w:ascii="Arial" w:eastAsia="Calibri" w:hAnsi="Arial" w:cs="Arial"/>
          <w:color w:val="000000" w:themeColor="text1"/>
          <w:sz w:val="22"/>
          <w:lang w:val="es-ES_tradnl"/>
        </w:rPr>
        <w:t xml:space="preserve"> el artículo</w:t>
      </w:r>
      <w:r w:rsidR="009A5D9E">
        <w:rPr>
          <w:rFonts w:ascii="Arial" w:eastAsia="Calibri" w:hAnsi="Arial" w:cs="Arial"/>
          <w:color w:val="000000" w:themeColor="text1"/>
          <w:sz w:val="22"/>
          <w:lang w:val="es-ES_tradnl"/>
        </w:rPr>
        <w:t xml:space="preserve"> 220 del Decreto</w:t>
      </w:r>
      <w:r w:rsidR="00985DF8">
        <w:rPr>
          <w:rFonts w:ascii="Arial" w:eastAsia="Calibri" w:hAnsi="Arial" w:cs="Arial"/>
          <w:color w:val="000000" w:themeColor="text1"/>
          <w:sz w:val="22"/>
          <w:lang w:val="es-ES_tradnl"/>
        </w:rPr>
        <w:t>-</w:t>
      </w:r>
      <w:r w:rsidR="009A5D9E">
        <w:rPr>
          <w:rFonts w:ascii="Arial" w:eastAsia="Calibri" w:hAnsi="Arial" w:cs="Arial"/>
          <w:color w:val="000000" w:themeColor="text1"/>
          <w:sz w:val="22"/>
          <w:lang w:val="es-ES_tradnl"/>
        </w:rPr>
        <w:t>Ley</w:t>
      </w:r>
      <w:r w:rsidR="00985DF8">
        <w:rPr>
          <w:rFonts w:ascii="Arial" w:eastAsia="Calibri" w:hAnsi="Arial" w:cs="Arial"/>
          <w:color w:val="000000" w:themeColor="text1"/>
          <w:sz w:val="22"/>
          <w:lang w:val="es-ES_tradnl"/>
        </w:rPr>
        <w:t xml:space="preserve"> 019 de 2012, con el cual, en criterio de esta Agencia, se aclaró la discusión a la que se ha hecho referencia en los párrafos anteriores.</w:t>
      </w:r>
      <w:r>
        <w:rPr>
          <w:rFonts w:ascii="Arial" w:eastAsia="Calibri" w:hAnsi="Arial" w:cs="Arial"/>
          <w:color w:val="000000" w:themeColor="text1"/>
          <w:sz w:val="22"/>
          <w:lang w:val="es-ES_tradnl"/>
        </w:rPr>
        <w:t xml:space="preserve"> Esto por cuanto</w:t>
      </w:r>
      <w:r w:rsidR="00303F5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el </w:t>
      </w:r>
      <w:r w:rsidR="001A6A4B">
        <w:rPr>
          <w:rFonts w:ascii="Arial" w:eastAsia="Calibri" w:hAnsi="Arial" w:cs="Arial"/>
          <w:color w:val="000000" w:themeColor="text1"/>
          <w:sz w:val="22"/>
          <w:lang w:val="es-ES_tradnl"/>
        </w:rPr>
        <w:t>artículo en comento indicó que «en la misma audiencia»</w:t>
      </w:r>
      <w:r w:rsidR="00E22F9A">
        <w:rPr>
          <w:rFonts w:ascii="Arial" w:eastAsia="Calibri" w:hAnsi="Arial" w:cs="Arial"/>
          <w:color w:val="000000" w:themeColor="text1"/>
          <w:sz w:val="22"/>
          <w:lang w:val="es-ES_tradnl"/>
        </w:rPr>
        <w:t>,</w:t>
      </w:r>
      <w:r w:rsidR="001A6A4B">
        <w:rPr>
          <w:rFonts w:ascii="Arial" w:eastAsia="Calibri" w:hAnsi="Arial" w:cs="Arial"/>
          <w:color w:val="000000" w:themeColor="text1"/>
          <w:sz w:val="22"/>
          <w:lang w:val="es-ES_tradnl"/>
        </w:rPr>
        <w:t xml:space="preserve"> realizada</w:t>
      </w:r>
      <w:r w:rsidR="0020435D">
        <w:rPr>
          <w:rFonts w:ascii="Arial" w:eastAsia="Calibri" w:hAnsi="Arial" w:cs="Arial"/>
          <w:color w:val="000000" w:themeColor="text1"/>
          <w:sz w:val="22"/>
          <w:lang w:val="es-ES_tradnl"/>
        </w:rPr>
        <w:t xml:space="preserve"> dentro de los tres días siguientes al inicio del plazo para la presentación de las ofertas, se </w:t>
      </w:r>
      <w:r w:rsidR="00531B3C">
        <w:rPr>
          <w:rFonts w:ascii="Arial" w:eastAsia="Calibri" w:hAnsi="Arial" w:cs="Arial"/>
          <w:color w:val="000000" w:themeColor="text1"/>
          <w:sz w:val="22"/>
          <w:lang w:val="es-ES_tradnl"/>
        </w:rPr>
        <w:t xml:space="preserve">debe revisar la asignación de los </w:t>
      </w:r>
      <w:r w:rsidR="00531B3C">
        <w:rPr>
          <w:rFonts w:ascii="Arial" w:eastAsia="Calibri" w:hAnsi="Arial" w:cs="Arial"/>
          <w:color w:val="000000" w:themeColor="text1"/>
          <w:sz w:val="22"/>
          <w:lang w:val="es-ES_tradnl"/>
        </w:rPr>
        <w:lastRenderedPageBreak/>
        <w:t>riesgos, tal como lo ordena el artículo 4 de la Ley 1150 de 2007</w:t>
      </w:r>
      <w:r w:rsidR="004900D4">
        <w:rPr>
          <w:rStyle w:val="Refdenotaalpie"/>
          <w:rFonts w:ascii="Arial" w:eastAsia="Calibri" w:hAnsi="Arial" w:cs="Arial"/>
          <w:color w:val="000000" w:themeColor="text1"/>
          <w:sz w:val="22"/>
          <w:lang w:val="es-ES_tradnl"/>
        </w:rPr>
        <w:footnoteReference w:id="10"/>
      </w:r>
      <w:r w:rsidR="00531B3C">
        <w:rPr>
          <w:rFonts w:ascii="Arial" w:eastAsia="Calibri" w:hAnsi="Arial" w:cs="Arial"/>
          <w:color w:val="000000" w:themeColor="text1"/>
          <w:sz w:val="22"/>
          <w:lang w:val="es-ES_tradnl"/>
        </w:rPr>
        <w:t>.</w:t>
      </w:r>
      <w:r w:rsidR="00303F5B">
        <w:rPr>
          <w:rFonts w:ascii="Arial" w:eastAsia="Calibri" w:hAnsi="Arial" w:cs="Arial"/>
          <w:color w:val="000000" w:themeColor="text1"/>
          <w:sz w:val="22"/>
          <w:lang w:val="es-ES_tradnl"/>
        </w:rPr>
        <w:t xml:space="preserve"> Dicho de otro modo, el gobierno nacional</w:t>
      </w:r>
      <w:r w:rsidR="00E22F9A">
        <w:rPr>
          <w:rFonts w:ascii="Arial" w:eastAsia="Calibri" w:hAnsi="Arial" w:cs="Arial"/>
          <w:color w:val="000000" w:themeColor="text1"/>
          <w:sz w:val="22"/>
          <w:lang w:val="es-ES_tradnl"/>
        </w:rPr>
        <w:t>,</w:t>
      </w:r>
      <w:r w:rsidR="00303F5B">
        <w:rPr>
          <w:rFonts w:ascii="Arial" w:eastAsia="Calibri" w:hAnsi="Arial" w:cs="Arial"/>
          <w:color w:val="000000" w:themeColor="text1"/>
          <w:sz w:val="22"/>
          <w:lang w:val="es-ES_tradnl"/>
        </w:rPr>
        <w:t xml:space="preserve"> en un decreto con fuerza de ley</w:t>
      </w:r>
      <w:r w:rsidR="00E22F9A">
        <w:rPr>
          <w:rFonts w:ascii="Arial" w:eastAsia="Calibri" w:hAnsi="Arial" w:cs="Arial"/>
          <w:color w:val="000000" w:themeColor="text1"/>
          <w:sz w:val="22"/>
          <w:lang w:val="es-ES_tradnl"/>
        </w:rPr>
        <w:t>,</w:t>
      </w:r>
      <w:r w:rsidR="00303F5B">
        <w:rPr>
          <w:rFonts w:ascii="Arial" w:eastAsia="Calibri" w:hAnsi="Arial" w:cs="Arial"/>
          <w:color w:val="000000" w:themeColor="text1"/>
          <w:sz w:val="22"/>
          <w:lang w:val="es-ES_tradnl"/>
        </w:rPr>
        <w:t xml:space="preserve"> reiteró la norma suspendida provisionalmente por el Consejo de Estado</w:t>
      </w:r>
      <w:r w:rsidR="000B7425">
        <w:rPr>
          <w:rFonts w:ascii="Arial" w:eastAsia="Calibri" w:hAnsi="Arial" w:cs="Arial"/>
          <w:color w:val="000000" w:themeColor="text1"/>
          <w:sz w:val="22"/>
          <w:lang w:val="es-ES_tradnl"/>
        </w:rPr>
        <w:t>. Sin embargo, con ello no se reprodujo un acto administrativo suspendido, pues se trató de una fuente del derecho distinta</w:t>
      </w:r>
      <w:r w:rsidR="00E22F9A">
        <w:rPr>
          <w:rFonts w:ascii="Arial" w:eastAsia="Calibri" w:hAnsi="Arial" w:cs="Arial"/>
          <w:color w:val="000000" w:themeColor="text1"/>
          <w:sz w:val="22"/>
          <w:lang w:val="es-ES_tradnl"/>
        </w:rPr>
        <w:t>: una ley.</w:t>
      </w:r>
      <w:r w:rsidR="0095557B">
        <w:rPr>
          <w:rFonts w:ascii="Arial" w:eastAsia="Calibri" w:hAnsi="Arial" w:cs="Arial"/>
          <w:color w:val="000000" w:themeColor="text1"/>
          <w:sz w:val="22"/>
          <w:lang w:val="es-ES_tradnl"/>
        </w:rPr>
        <w:t xml:space="preserve"> Además, con esta norma no se contradice el artículo 4 de la Ley 1150 de 2007, porque en este precepto el legislador </w:t>
      </w:r>
      <w:r w:rsidR="004727C4">
        <w:rPr>
          <w:rFonts w:ascii="Arial" w:eastAsia="Calibri" w:hAnsi="Arial" w:cs="Arial"/>
          <w:color w:val="000000" w:themeColor="text1"/>
          <w:sz w:val="22"/>
          <w:lang w:val="es-ES_tradnl"/>
        </w:rPr>
        <w:t>exige que la audiencia de asignación de riesgos se realice antes de la presentación de las ofertas</w:t>
      </w:r>
      <w:r w:rsidR="00813339">
        <w:rPr>
          <w:rFonts w:ascii="Arial" w:eastAsia="Calibri" w:hAnsi="Arial" w:cs="Arial"/>
          <w:color w:val="000000" w:themeColor="text1"/>
          <w:sz w:val="22"/>
          <w:lang w:val="es-ES_tradnl"/>
        </w:rPr>
        <w:t xml:space="preserve"> –o sea, antes de que se cumpla esta </w:t>
      </w:r>
      <w:r w:rsidR="00813339" w:rsidRPr="00EB70D2">
        <w:rPr>
          <w:rFonts w:ascii="Arial" w:eastAsia="Calibri" w:hAnsi="Arial" w:cs="Arial"/>
          <w:i/>
          <w:iCs/>
          <w:color w:val="000000" w:themeColor="text1"/>
          <w:sz w:val="22"/>
          <w:lang w:val="es-ES_tradnl"/>
        </w:rPr>
        <w:t>condición</w:t>
      </w:r>
      <w:r w:rsidR="00813339">
        <w:rPr>
          <w:rFonts w:ascii="Arial" w:eastAsia="Calibri" w:hAnsi="Arial" w:cs="Arial"/>
          <w:color w:val="000000" w:themeColor="text1"/>
          <w:sz w:val="22"/>
          <w:lang w:val="es-ES_tradnl"/>
        </w:rPr>
        <w:t>–, pero no prohíbe que se surta dentro de los tres días siguientes al inicio del plazo de la licitación.</w:t>
      </w:r>
    </w:p>
    <w:p w14:paraId="7FBD34B9" w14:textId="77777777" w:rsidR="00FF6D70" w:rsidRDefault="00D33F45" w:rsidP="00FF6D70">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consecuencia, no cabe duda de que en la actualidad las entidades estatales deben definir</w:t>
      </w:r>
      <w:r w:rsidR="0039080D">
        <w:rPr>
          <w:rFonts w:ascii="Arial" w:eastAsia="Calibri" w:hAnsi="Arial" w:cs="Arial"/>
          <w:color w:val="000000" w:themeColor="text1"/>
          <w:sz w:val="22"/>
          <w:lang w:val="es-ES_tradnl"/>
        </w:rPr>
        <w:t xml:space="preserve"> en el pliego de condiciones un momento comprendido dentro de los tres días posteriores al inicio del plazo de la licitación para </w:t>
      </w:r>
      <w:r w:rsidR="00CB7183">
        <w:rPr>
          <w:rFonts w:ascii="Arial" w:eastAsia="Calibri" w:hAnsi="Arial" w:cs="Arial"/>
          <w:color w:val="000000" w:themeColor="text1"/>
          <w:sz w:val="22"/>
          <w:lang w:val="es-ES_tradnl"/>
        </w:rPr>
        <w:t>efectuar la audiencia de asignación de riesgos</w:t>
      </w:r>
      <w:r w:rsidR="00BF422D">
        <w:rPr>
          <w:rFonts w:ascii="Arial" w:eastAsia="Calibri" w:hAnsi="Arial" w:cs="Arial"/>
          <w:color w:val="000000" w:themeColor="text1"/>
          <w:sz w:val="22"/>
          <w:lang w:val="es-ES_tradnl"/>
        </w:rPr>
        <w:t xml:space="preserve"> y que en esta misma audiencia se puede </w:t>
      </w:r>
      <w:r w:rsidR="00916EFF" w:rsidRPr="00916EFF">
        <w:rPr>
          <w:rFonts w:ascii="Arial" w:eastAsia="Calibri" w:hAnsi="Arial" w:cs="Arial"/>
          <w:color w:val="000000" w:themeColor="text1"/>
          <w:sz w:val="22"/>
          <w:lang w:val="es-ES_tradnl"/>
        </w:rPr>
        <w:t>precisar el contenido y alcance de los pliegos de condiciones</w:t>
      </w:r>
      <w:r w:rsidR="00CB7183">
        <w:rPr>
          <w:rFonts w:ascii="Arial" w:eastAsia="Calibri" w:hAnsi="Arial" w:cs="Arial"/>
          <w:color w:val="000000" w:themeColor="text1"/>
          <w:sz w:val="22"/>
          <w:lang w:val="es-ES_tradnl"/>
        </w:rPr>
        <w:t>.</w:t>
      </w:r>
      <w:r w:rsidR="00BF422D">
        <w:rPr>
          <w:rFonts w:ascii="Arial" w:eastAsia="Calibri" w:hAnsi="Arial" w:cs="Arial"/>
          <w:color w:val="000000" w:themeColor="text1"/>
          <w:sz w:val="22"/>
          <w:lang w:val="es-ES_tradnl"/>
        </w:rPr>
        <w:t xml:space="preserve"> Además, conviene recordar que </w:t>
      </w:r>
      <w:r w:rsidR="006A409A">
        <w:rPr>
          <w:rFonts w:ascii="Arial" w:eastAsia="Calibri" w:hAnsi="Arial" w:cs="Arial"/>
          <w:color w:val="000000" w:themeColor="text1"/>
          <w:sz w:val="22"/>
          <w:lang w:val="es-ES_tradnl"/>
        </w:rPr>
        <w:t xml:space="preserve">la </w:t>
      </w:r>
      <w:r w:rsidR="00BF422D">
        <w:rPr>
          <w:rFonts w:ascii="Arial" w:eastAsia="Calibri" w:hAnsi="Arial" w:cs="Arial"/>
          <w:color w:val="000000" w:themeColor="text1"/>
          <w:sz w:val="22"/>
          <w:lang w:val="es-ES_tradnl"/>
        </w:rPr>
        <w:t>audiencia</w:t>
      </w:r>
      <w:r w:rsidR="006A409A">
        <w:rPr>
          <w:rFonts w:ascii="Arial" w:eastAsia="Calibri" w:hAnsi="Arial" w:cs="Arial"/>
          <w:color w:val="000000" w:themeColor="text1"/>
          <w:sz w:val="22"/>
          <w:lang w:val="es-ES_tradnl"/>
        </w:rPr>
        <w:t xml:space="preserve"> de asignación de riesgos es</w:t>
      </w:r>
      <w:r w:rsidR="00BF422D">
        <w:rPr>
          <w:rFonts w:ascii="Arial" w:eastAsia="Calibri" w:hAnsi="Arial" w:cs="Arial"/>
          <w:color w:val="000000" w:themeColor="text1"/>
          <w:sz w:val="22"/>
          <w:lang w:val="es-ES_tradnl"/>
        </w:rPr>
        <w:t xml:space="preserve"> </w:t>
      </w:r>
      <w:r w:rsidR="00BF422D">
        <w:rPr>
          <w:rFonts w:ascii="Arial" w:eastAsia="Calibri" w:hAnsi="Arial" w:cs="Arial"/>
          <w:i/>
          <w:iCs/>
          <w:color w:val="000000" w:themeColor="text1"/>
          <w:sz w:val="22"/>
          <w:lang w:val="es-ES_tradnl"/>
        </w:rPr>
        <w:t xml:space="preserve">obligatoria </w:t>
      </w:r>
      <w:r w:rsidR="00BF422D">
        <w:rPr>
          <w:rFonts w:ascii="Arial" w:eastAsia="Calibri" w:hAnsi="Arial" w:cs="Arial"/>
          <w:color w:val="000000" w:themeColor="text1"/>
          <w:sz w:val="22"/>
          <w:lang w:val="es-ES_tradnl"/>
        </w:rPr>
        <w:t>dentro de la licitación</w:t>
      </w:r>
      <w:r w:rsidR="006A409A">
        <w:rPr>
          <w:rFonts w:ascii="Arial" w:eastAsia="Calibri" w:hAnsi="Arial" w:cs="Arial"/>
          <w:color w:val="000000" w:themeColor="text1"/>
          <w:sz w:val="22"/>
          <w:lang w:val="es-ES_tradnl"/>
        </w:rPr>
        <w:t xml:space="preserve"> pública. Así se infiere del artículo 4 de la Ley 1150 de 2007</w:t>
      </w:r>
      <w:r w:rsidR="00C90CDA">
        <w:rPr>
          <w:rFonts w:ascii="Arial" w:eastAsia="Calibri" w:hAnsi="Arial" w:cs="Arial"/>
          <w:color w:val="000000" w:themeColor="text1"/>
          <w:sz w:val="22"/>
          <w:lang w:val="es-ES_tradnl"/>
        </w:rPr>
        <w:t xml:space="preserve">, que emplea el verbo «deberán», al referirse a la inclusión de la oportunidad de aquella en el pliego de condiciones, así como del artículo </w:t>
      </w:r>
      <w:r w:rsidR="00166742" w:rsidRPr="00166742">
        <w:rPr>
          <w:rFonts w:ascii="Arial" w:eastAsia="Calibri" w:hAnsi="Arial" w:cs="Arial"/>
          <w:color w:val="000000" w:themeColor="text1"/>
          <w:sz w:val="22"/>
          <w:lang w:val="es-ES_tradnl"/>
        </w:rPr>
        <w:t>2.2.1.2.1.1.2.</w:t>
      </w:r>
      <w:r w:rsidR="00166742">
        <w:rPr>
          <w:rFonts w:ascii="Arial" w:eastAsia="Calibri" w:hAnsi="Arial" w:cs="Arial"/>
          <w:color w:val="000000" w:themeColor="text1"/>
          <w:sz w:val="22"/>
          <w:lang w:val="es-ES_tradnl"/>
        </w:rPr>
        <w:t xml:space="preserve"> del Decreto 1082 de 2015, que</w:t>
      </w:r>
      <w:r w:rsidR="00314A1A">
        <w:rPr>
          <w:rFonts w:ascii="Arial" w:eastAsia="Calibri" w:hAnsi="Arial" w:cs="Arial"/>
          <w:color w:val="000000" w:themeColor="text1"/>
          <w:sz w:val="22"/>
          <w:lang w:val="es-ES_tradnl"/>
        </w:rPr>
        <w:t>, de manera categórica, establece: «</w:t>
      </w:r>
      <w:r w:rsidR="00314A1A" w:rsidRPr="00314A1A">
        <w:rPr>
          <w:rFonts w:ascii="Arial" w:eastAsia="Calibri" w:hAnsi="Arial" w:cs="Arial"/>
          <w:color w:val="000000" w:themeColor="text1"/>
          <w:sz w:val="22"/>
          <w:lang w:val="es-ES_tradnl"/>
        </w:rPr>
        <w:t>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r w:rsidR="00314A1A">
        <w:rPr>
          <w:rFonts w:ascii="Arial" w:eastAsia="Calibri" w:hAnsi="Arial" w:cs="Arial"/>
          <w:color w:val="000000" w:themeColor="text1"/>
          <w:sz w:val="22"/>
          <w:lang w:val="es-ES_tradnl"/>
        </w:rPr>
        <w:t>»</w:t>
      </w:r>
      <w:r w:rsidR="00314A1A" w:rsidRPr="00314A1A">
        <w:rPr>
          <w:rFonts w:ascii="Arial" w:eastAsia="Calibri" w:hAnsi="Arial" w:cs="Arial"/>
          <w:color w:val="000000" w:themeColor="text1"/>
          <w:sz w:val="22"/>
          <w:lang w:val="es-ES_tradnl"/>
        </w:rPr>
        <w:t>.</w:t>
      </w:r>
    </w:p>
    <w:p w14:paraId="61438A63" w14:textId="77777777" w:rsidR="00FF6D70" w:rsidRDefault="00EB43BB" w:rsidP="00FF6D70">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Al tratarse de una audiencia obligatoria dentro de la licitación y al establecerse un término</w:t>
      </w:r>
      <w:r w:rsidR="000E7B03">
        <w:rPr>
          <w:rFonts w:ascii="Arial" w:eastAsia="Calibri" w:hAnsi="Arial" w:cs="Arial"/>
          <w:color w:val="000000" w:themeColor="text1"/>
          <w:sz w:val="22"/>
          <w:lang w:val="es-ES_tradnl"/>
        </w:rPr>
        <w:t xml:space="preserve"> específico</w:t>
      </w:r>
      <w:r>
        <w:rPr>
          <w:rFonts w:ascii="Arial" w:eastAsia="Calibri" w:hAnsi="Arial" w:cs="Arial"/>
          <w:color w:val="000000" w:themeColor="text1"/>
          <w:sz w:val="22"/>
          <w:lang w:val="es-ES_tradnl"/>
        </w:rPr>
        <w:t xml:space="preserve"> para su realización, la audiencia de asignación de riesgos debe efectuarse </w:t>
      </w:r>
      <w:r w:rsidR="000E7B03">
        <w:rPr>
          <w:rFonts w:ascii="Arial" w:eastAsia="Calibri" w:hAnsi="Arial" w:cs="Arial"/>
          <w:color w:val="000000" w:themeColor="text1"/>
          <w:sz w:val="22"/>
          <w:lang w:val="es-ES_tradnl"/>
        </w:rPr>
        <w:t xml:space="preserve">en el plazo definido en la ley. Aunque las entidades estatales </w:t>
      </w:r>
      <w:r w:rsidR="00AE3434">
        <w:rPr>
          <w:rFonts w:ascii="Arial" w:eastAsia="Calibri" w:hAnsi="Arial" w:cs="Arial"/>
          <w:color w:val="000000" w:themeColor="text1"/>
          <w:sz w:val="22"/>
          <w:lang w:val="es-ES_tradnl"/>
        </w:rPr>
        <w:t xml:space="preserve">tienen discrecionalidad para </w:t>
      </w:r>
      <w:r w:rsidR="006F58BB">
        <w:rPr>
          <w:rFonts w:ascii="Arial" w:eastAsia="Calibri" w:hAnsi="Arial" w:cs="Arial"/>
          <w:color w:val="000000" w:themeColor="text1"/>
          <w:sz w:val="22"/>
          <w:lang w:val="es-ES_tradnl"/>
        </w:rPr>
        <w:t>indicar</w:t>
      </w:r>
      <w:r w:rsidR="00AE3434">
        <w:rPr>
          <w:rFonts w:ascii="Arial" w:eastAsia="Calibri" w:hAnsi="Arial" w:cs="Arial"/>
          <w:color w:val="000000" w:themeColor="text1"/>
          <w:sz w:val="22"/>
          <w:lang w:val="es-ES_tradnl"/>
        </w:rPr>
        <w:t xml:space="preserve"> la fecha exacta</w:t>
      </w:r>
      <w:r w:rsidR="00CD5B33">
        <w:rPr>
          <w:rFonts w:ascii="Arial" w:eastAsia="Calibri" w:hAnsi="Arial" w:cs="Arial"/>
          <w:color w:val="000000" w:themeColor="text1"/>
          <w:sz w:val="22"/>
          <w:lang w:val="es-ES_tradnl"/>
        </w:rPr>
        <w:t xml:space="preserve"> de la misma</w:t>
      </w:r>
      <w:r w:rsidR="00AE3434">
        <w:rPr>
          <w:rFonts w:ascii="Arial" w:eastAsia="Calibri" w:hAnsi="Arial" w:cs="Arial"/>
          <w:color w:val="000000" w:themeColor="text1"/>
          <w:sz w:val="22"/>
          <w:lang w:val="es-ES_tradnl"/>
        </w:rPr>
        <w:t xml:space="preserve"> </w:t>
      </w:r>
      <w:r w:rsidR="00AE3434" w:rsidRPr="00AE3434">
        <w:rPr>
          <w:rFonts w:ascii="Arial" w:eastAsia="Calibri" w:hAnsi="Arial" w:cs="Arial"/>
          <w:i/>
          <w:iCs/>
          <w:color w:val="000000" w:themeColor="text1"/>
          <w:sz w:val="22"/>
          <w:lang w:val="es-ES_tradnl"/>
        </w:rPr>
        <w:t>dentro</w:t>
      </w:r>
      <w:r w:rsidR="00AE3434">
        <w:rPr>
          <w:rFonts w:ascii="Arial" w:eastAsia="Calibri" w:hAnsi="Arial" w:cs="Arial"/>
          <w:color w:val="000000" w:themeColor="text1"/>
          <w:sz w:val="22"/>
          <w:lang w:val="es-ES_tradnl"/>
        </w:rPr>
        <w:t xml:space="preserve"> de los tres días siguientes al inicio del plazo para la presentación de las ofertas, no pueden </w:t>
      </w:r>
      <w:r w:rsidR="00FB2F28">
        <w:rPr>
          <w:rFonts w:ascii="Arial" w:eastAsia="Calibri" w:hAnsi="Arial" w:cs="Arial"/>
          <w:color w:val="000000" w:themeColor="text1"/>
          <w:sz w:val="22"/>
          <w:lang w:val="es-ES_tradnl"/>
        </w:rPr>
        <w:t>exceder este período.</w:t>
      </w:r>
      <w:r w:rsidR="006F58BB">
        <w:rPr>
          <w:rFonts w:ascii="Arial" w:eastAsia="Calibri" w:hAnsi="Arial" w:cs="Arial"/>
          <w:color w:val="000000" w:themeColor="text1"/>
          <w:sz w:val="22"/>
          <w:lang w:val="es-ES_tradnl"/>
        </w:rPr>
        <w:t xml:space="preserve"> Esto en la medida en que el artículo 6</w:t>
      </w:r>
      <w:r w:rsidR="00A6489C">
        <w:rPr>
          <w:rFonts w:ascii="Arial" w:eastAsia="Calibri" w:hAnsi="Arial" w:cs="Arial"/>
          <w:color w:val="000000" w:themeColor="text1"/>
          <w:sz w:val="22"/>
          <w:lang w:val="es-ES_tradnl"/>
        </w:rPr>
        <w:t xml:space="preserve"> de la Constitución hace responsables a los servidores públicos, entre otras circunstancias, </w:t>
      </w:r>
      <w:r w:rsidR="00173121">
        <w:rPr>
          <w:rFonts w:ascii="Arial" w:eastAsia="Calibri" w:hAnsi="Arial" w:cs="Arial"/>
          <w:color w:val="000000" w:themeColor="text1"/>
          <w:sz w:val="22"/>
          <w:lang w:val="es-ES_tradnl"/>
        </w:rPr>
        <w:t xml:space="preserve">por </w:t>
      </w:r>
      <w:r w:rsidR="00A6489C">
        <w:rPr>
          <w:rFonts w:ascii="Arial" w:eastAsia="Calibri" w:hAnsi="Arial" w:cs="Arial"/>
          <w:color w:val="000000" w:themeColor="text1"/>
          <w:sz w:val="22"/>
          <w:lang w:val="es-ES_tradnl"/>
        </w:rPr>
        <w:t>«</w:t>
      </w:r>
      <w:r w:rsidR="00A6489C" w:rsidRPr="00A6489C">
        <w:rPr>
          <w:rFonts w:ascii="Arial" w:eastAsia="Calibri" w:hAnsi="Arial" w:cs="Arial"/>
          <w:color w:val="000000" w:themeColor="text1"/>
          <w:sz w:val="22"/>
          <w:lang w:val="es-ES_tradnl"/>
        </w:rPr>
        <w:t>extralimitación en el ejercicio de sus funciones</w:t>
      </w:r>
      <w:r w:rsidR="00173121">
        <w:rPr>
          <w:rFonts w:ascii="Arial" w:eastAsia="Calibri" w:hAnsi="Arial" w:cs="Arial"/>
          <w:color w:val="000000" w:themeColor="text1"/>
          <w:sz w:val="22"/>
          <w:lang w:val="es-ES_tradnl"/>
        </w:rPr>
        <w:t>» y</w:t>
      </w:r>
      <w:r w:rsidR="00332B20">
        <w:rPr>
          <w:rFonts w:ascii="Arial" w:eastAsia="Calibri" w:hAnsi="Arial" w:cs="Arial"/>
          <w:color w:val="000000" w:themeColor="text1"/>
          <w:sz w:val="22"/>
          <w:lang w:val="es-ES_tradnl"/>
        </w:rPr>
        <w:t xml:space="preserve"> </w:t>
      </w:r>
      <w:r w:rsidR="00173121">
        <w:rPr>
          <w:rFonts w:ascii="Arial" w:eastAsia="Calibri" w:hAnsi="Arial" w:cs="Arial"/>
          <w:color w:val="000000" w:themeColor="text1"/>
          <w:sz w:val="22"/>
          <w:lang w:val="es-ES_tradnl"/>
        </w:rPr>
        <w:t>el artículo 25, numeral 1, de la Ley 80 de 1993 –que desarrolla el principio de economía–</w:t>
      </w:r>
      <w:r w:rsidR="00CE126F">
        <w:rPr>
          <w:rFonts w:ascii="Arial" w:eastAsia="Calibri" w:hAnsi="Arial" w:cs="Arial"/>
          <w:color w:val="000000" w:themeColor="text1"/>
          <w:sz w:val="22"/>
          <w:lang w:val="es-ES_tradnl"/>
        </w:rPr>
        <w:t xml:space="preserve"> dispone: «</w:t>
      </w:r>
      <w:r w:rsidR="00CE126F" w:rsidRPr="00CE126F">
        <w:rPr>
          <w:rFonts w:ascii="Arial" w:eastAsia="Calibri" w:hAnsi="Arial" w:cs="Arial"/>
          <w:color w:val="000000" w:themeColor="text1"/>
          <w:sz w:val="22"/>
          <w:lang w:val="es-ES_tradnl"/>
        </w:rPr>
        <w:t xml:space="preserve">En las normas de selección y en los pliegos de condiciones para la escogencia de contratistas, se cumplirán y establecerán los procedimientos y etapas estrictamente necesarios para asegurar la selección objetiva de la propuesta más favorable. Para este </w:t>
      </w:r>
      <w:r w:rsidR="00CE126F" w:rsidRPr="00CE126F">
        <w:rPr>
          <w:rFonts w:ascii="Arial" w:eastAsia="Calibri" w:hAnsi="Arial" w:cs="Arial"/>
          <w:color w:val="000000" w:themeColor="text1"/>
          <w:sz w:val="22"/>
          <w:lang w:val="es-ES_tradnl"/>
        </w:rPr>
        <w:lastRenderedPageBreak/>
        <w:t>propósito, se señalarán términos preclusivos y perentorios para las diferentes etapas de la selección y las autoridades darán impulso oficioso a las actuaciones</w:t>
      </w:r>
      <w:r w:rsidR="009A7FB7">
        <w:rPr>
          <w:rFonts w:ascii="Arial" w:eastAsia="Calibri" w:hAnsi="Arial" w:cs="Arial"/>
          <w:color w:val="000000" w:themeColor="text1"/>
          <w:sz w:val="22"/>
          <w:lang w:val="es-ES_tradnl"/>
        </w:rPr>
        <w:t>»</w:t>
      </w:r>
      <w:r w:rsidR="00CE126F" w:rsidRPr="00CE126F">
        <w:rPr>
          <w:rFonts w:ascii="Arial" w:eastAsia="Calibri" w:hAnsi="Arial" w:cs="Arial"/>
          <w:color w:val="000000" w:themeColor="text1"/>
          <w:sz w:val="22"/>
          <w:lang w:val="es-ES_tradnl"/>
        </w:rPr>
        <w:t>.</w:t>
      </w:r>
      <w:r w:rsidR="005216B4">
        <w:rPr>
          <w:rFonts w:ascii="Arial" w:eastAsia="Calibri" w:hAnsi="Arial" w:cs="Arial"/>
          <w:color w:val="000000" w:themeColor="text1"/>
          <w:sz w:val="22"/>
          <w:lang w:val="es-ES_tradnl"/>
        </w:rPr>
        <w:t xml:space="preserve"> A partir de este mandato puede concluirse que el término</w:t>
      </w:r>
      <w:r w:rsidR="00F51427">
        <w:rPr>
          <w:rFonts w:ascii="Arial" w:eastAsia="Calibri" w:hAnsi="Arial" w:cs="Arial"/>
          <w:color w:val="000000" w:themeColor="text1"/>
          <w:sz w:val="22"/>
          <w:lang w:val="es-ES_tradnl"/>
        </w:rPr>
        <w:t xml:space="preserve"> de tres días siguientes al inicio del plazo de la licitación, para realizar la audiencia de asignación de riesgos, se integra como término preclusivo </w:t>
      </w:r>
      <w:r w:rsidR="00B457AA">
        <w:rPr>
          <w:rFonts w:ascii="Arial" w:eastAsia="Calibri" w:hAnsi="Arial" w:cs="Arial"/>
          <w:color w:val="000000" w:themeColor="text1"/>
          <w:sz w:val="22"/>
          <w:lang w:val="es-ES_tradnl"/>
        </w:rPr>
        <w:t>al pliego de condiciones, exigiendo que en tal marco temporal se fije</w:t>
      </w:r>
      <w:r w:rsidR="003B2136">
        <w:rPr>
          <w:rFonts w:ascii="Arial" w:eastAsia="Calibri" w:hAnsi="Arial" w:cs="Arial"/>
          <w:color w:val="000000" w:themeColor="text1"/>
          <w:sz w:val="22"/>
          <w:lang w:val="es-ES_tradnl"/>
        </w:rPr>
        <w:t xml:space="preserve"> el momento </w:t>
      </w:r>
      <w:r w:rsidR="00B457AA">
        <w:rPr>
          <w:rFonts w:ascii="Arial" w:eastAsia="Calibri" w:hAnsi="Arial" w:cs="Arial"/>
          <w:color w:val="000000" w:themeColor="text1"/>
          <w:sz w:val="22"/>
          <w:lang w:val="es-ES_tradnl"/>
        </w:rPr>
        <w:t xml:space="preserve">de </w:t>
      </w:r>
      <w:r w:rsidR="003B2136">
        <w:rPr>
          <w:rFonts w:ascii="Arial" w:eastAsia="Calibri" w:hAnsi="Arial" w:cs="Arial"/>
          <w:color w:val="000000" w:themeColor="text1"/>
          <w:sz w:val="22"/>
          <w:lang w:val="es-ES_tradnl"/>
        </w:rPr>
        <w:t>la</w:t>
      </w:r>
      <w:r w:rsidR="00B457AA">
        <w:rPr>
          <w:rFonts w:ascii="Arial" w:eastAsia="Calibri" w:hAnsi="Arial" w:cs="Arial"/>
          <w:color w:val="000000" w:themeColor="text1"/>
          <w:sz w:val="22"/>
          <w:lang w:val="es-ES_tradnl"/>
        </w:rPr>
        <w:t xml:space="preserve"> audiencia de asignación de riesgos y prohibiendo su realización en una fecha posterior.</w:t>
      </w:r>
    </w:p>
    <w:p w14:paraId="2E69D051" w14:textId="77777777" w:rsidR="00FF6D70" w:rsidRDefault="00F053C4" w:rsidP="00FF6D70">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omisión de las etapas de la licitación o </w:t>
      </w:r>
      <w:r w:rsidR="003E2B57">
        <w:rPr>
          <w:rFonts w:ascii="Arial" w:eastAsia="Calibri" w:hAnsi="Arial" w:cs="Arial"/>
          <w:color w:val="000000" w:themeColor="text1"/>
          <w:sz w:val="22"/>
          <w:lang w:val="es-ES_tradnl"/>
        </w:rPr>
        <w:t xml:space="preserve">el desconocimiento </w:t>
      </w:r>
      <w:r>
        <w:rPr>
          <w:rFonts w:ascii="Arial" w:eastAsia="Calibri" w:hAnsi="Arial" w:cs="Arial"/>
          <w:color w:val="000000" w:themeColor="text1"/>
          <w:sz w:val="22"/>
          <w:lang w:val="es-ES_tradnl"/>
        </w:rPr>
        <w:t>del carácter preclusivo</w:t>
      </w:r>
      <w:r w:rsidR="0005361D">
        <w:rPr>
          <w:rFonts w:ascii="Arial" w:eastAsia="Calibri" w:hAnsi="Arial" w:cs="Arial"/>
          <w:color w:val="000000" w:themeColor="text1"/>
          <w:sz w:val="22"/>
          <w:lang w:val="es-ES_tradnl"/>
        </w:rPr>
        <w:t xml:space="preserve"> y perentorio</w:t>
      </w:r>
      <w:r>
        <w:rPr>
          <w:rFonts w:ascii="Arial" w:eastAsia="Calibri" w:hAnsi="Arial" w:cs="Arial"/>
          <w:color w:val="000000" w:themeColor="text1"/>
          <w:sz w:val="22"/>
          <w:lang w:val="es-ES_tradnl"/>
        </w:rPr>
        <w:t xml:space="preserve"> de l</w:t>
      </w:r>
      <w:r w:rsidR="0005361D">
        <w:rPr>
          <w:rFonts w:ascii="Arial" w:eastAsia="Calibri" w:hAnsi="Arial" w:cs="Arial"/>
          <w:color w:val="000000" w:themeColor="text1"/>
          <w:sz w:val="22"/>
          <w:lang w:val="es-ES_tradnl"/>
        </w:rPr>
        <w:t>a</w:t>
      </w:r>
      <w:r>
        <w:rPr>
          <w:rFonts w:ascii="Arial" w:eastAsia="Calibri" w:hAnsi="Arial" w:cs="Arial"/>
          <w:color w:val="000000" w:themeColor="text1"/>
          <w:sz w:val="22"/>
          <w:lang w:val="es-ES_tradnl"/>
        </w:rPr>
        <w:t xml:space="preserve">s </w:t>
      </w:r>
      <w:r w:rsidR="008B7D6D">
        <w:rPr>
          <w:rFonts w:ascii="Arial" w:eastAsia="Calibri" w:hAnsi="Arial" w:cs="Arial"/>
          <w:color w:val="000000" w:themeColor="text1"/>
          <w:sz w:val="22"/>
          <w:lang w:val="es-ES_tradnl"/>
        </w:rPr>
        <w:t>mismas</w:t>
      </w:r>
      <w:r w:rsidR="0005361D">
        <w:rPr>
          <w:rFonts w:ascii="Arial" w:eastAsia="Calibri" w:hAnsi="Arial" w:cs="Arial"/>
          <w:color w:val="000000" w:themeColor="text1"/>
          <w:sz w:val="22"/>
          <w:lang w:val="es-ES_tradnl"/>
        </w:rPr>
        <w:t xml:space="preserve"> puede </w:t>
      </w:r>
      <w:r w:rsidR="00B901CA">
        <w:rPr>
          <w:rFonts w:ascii="Arial" w:eastAsia="Calibri" w:hAnsi="Arial" w:cs="Arial"/>
          <w:color w:val="000000" w:themeColor="text1"/>
          <w:sz w:val="22"/>
          <w:lang w:val="es-ES_tradnl"/>
        </w:rPr>
        <w:t>originar</w:t>
      </w:r>
      <w:r w:rsidR="00D90274">
        <w:rPr>
          <w:rFonts w:ascii="Arial" w:eastAsia="Calibri" w:hAnsi="Arial" w:cs="Arial"/>
          <w:color w:val="000000" w:themeColor="text1"/>
          <w:sz w:val="22"/>
          <w:lang w:val="es-ES_tradnl"/>
        </w:rPr>
        <w:t xml:space="preserve"> un vicio de nulidad</w:t>
      </w:r>
      <w:r w:rsidR="005B7A9F">
        <w:rPr>
          <w:rFonts w:ascii="Arial" w:eastAsia="Calibri" w:hAnsi="Arial" w:cs="Arial"/>
          <w:color w:val="000000" w:themeColor="text1"/>
          <w:sz w:val="22"/>
          <w:lang w:val="es-ES_tradnl"/>
        </w:rPr>
        <w:t xml:space="preserve"> de la adjudicación</w:t>
      </w:r>
      <w:r w:rsidR="00BE3E65">
        <w:rPr>
          <w:rFonts w:ascii="Arial" w:eastAsia="Calibri" w:hAnsi="Arial" w:cs="Arial"/>
          <w:color w:val="000000" w:themeColor="text1"/>
          <w:sz w:val="22"/>
          <w:lang w:val="es-ES_tradnl"/>
        </w:rPr>
        <w:t>, pues las etapas previas a la expedición del acto administrativo constituyen formalida</w:t>
      </w:r>
      <w:r w:rsidR="000B0F3B">
        <w:rPr>
          <w:rFonts w:ascii="Arial" w:eastAsia="Calibri" w:hAnsi="Arial" w:cs="Arial"/>
          <w:color w:val="000000" w:themeColor="text1"/>
          <w:sz w:val="22"/>
          <w:lang w:val="es-ES_tradnl"/>
        </w:rPr>
        <w:t>des que deben cumplirse</w:t>
      </w:r>
      <w:r w:rsidR="00D90274">
        <w:rPr>
          <w:rFonts w:ascii="Arial" w:eastAsia="Calibri" w:hAnsi="Arial" w:cs="Arial"/>
          <w:color w:val="000000" w:themeColor="text1"/>
          <w:sz w:val="22"/>
          <w:lang w:val="es-ES_tradnl"/>
        </w:rPr>
        <w:t>,</w:t>
      </w:r>
      <w:r w:rsidR="000B0F3B">
        <w:rPr>
          <w:rFonts w:ascii="Arial" w:eastAsia="Calibri" w:hAnsi="Arial" w:cs="Arial"/>
          <w:color w:val="000000" w:themeColor="text1"/>
          <w:sz w:val="22"/>
          <w:lang w:val="es-ES_tradnl"/>
        </w:rPr>
        <w:t xml:space="preserve"> como elemento de validez de este.</w:t>
      </w:r>
      <w:r w:rsidR="00D90274">
        <w:rPr>
          <w:rFonts w:ascii="Arial" w:eastAsia="Calibri" w:hAnsi="Arial" w:cs="Arial"/>
          <w:color w:val="000000" w:themeColor="text1"/>
          <w:sz w:val="22"/>
          <w:lang w:val="es-ES_tradnl"/>
        </w:rPr>
        <w:t xml:space="preserve"> </w:t>
      </w:r>
      <w:r w:rsidR="00C362D1">
        <w:rPr>
          <w:rFonts w:ascii="Arial" w:eastAsia="Calibri" w:hAnsi="Arial" w:cs="Arial"/>
          <w:color w:val="000000" w:themeColor="text1"/>
          <w:sz w:val="22"/>
          <w:lang w:val="es-ES_tradnl"/>
        </w:rPr>
        <w:t>De lo contrario,</w:t>
      </w:r>
      <w:r w:rsidR="00CF4E9C">
        <w:rPr>
          <w:rFonts w:ascii="Arial" w:eastAsia="Calibri" w:hAnsi="Arial" w:cs="Arial"/>
          <w:color w:val="000000" w:themeColor="text1"/>
          <w:sz w:val="22"/>
          <w:lang w:val="es-ES_tradnl"/>
        </w:rPr>
        <w:t xml:space="preserve"> </w:t>
      </w:r>
      <w:r w:rsidR="00C362D1">
        <w:rPr>
          <w:rFonts w:ascii="Arial" w:eastAsia="Calibri" w:hAnsi="Arial" w:cs="Arial"/>
          <w:color w:val="000000" w:themeColor="text1"/>
          <w:sz w:val="22"/>
          <w:lang w:val="es-ES_tradnl"/>
        </w:rPr>
        <w:t>quedará viciado por expedición en forma irregular, como lo establece el artículo 13</w:t>
      </w:r>
      <w:r w:rsidR="00800016">
        <w:rPr>
          <w:rFonts w:ascii="Arial" w:eastAsia="Calibri" w:hAnsi="Arial" w:cs="Arial"/>
          <w:color w:val="000000" w:themeColor="text1"/>
          <w:sz w:val="22"/>
          <w:lang w:val="es-ES_tradnl"/>
        </w:rPr>
        <w:t>7</w:t>
      </w:r>
      <w:r w:rsidR="00C362D1">
        <w:rPr>
          <w:rFonts w:ascii="Arial" w:eastAsia="Calibri" w:hAnsi="Arial" w:cs="Arial"/>
          <w:color w:val="000000" w:themeColor="text1"/>
          <w:sz w:val="22"/>
          <w:lang w:val="es-ES_tradnl"/>
        </w:rPr>
        <w:t xml:space="preserve"> de la Ley 1437 de 2011</w:t>
      </w:r>
      <w:r w:rsidR="00800016">
        <w:rPr>
          <w:rStyle w:val="Refdenotaalpie"/>
          <w:rFonts w:ascii="Arial" w:eastAsia="Calibri" w:hAnsi="Arial" w:cs="Arial"/>
          <w:color w:val="000000" w:themeColor="text1"/>
          <w:sz w:val="22"/>
          <w:lang w:val="es-ES_tradnl"/>
        </w:rPr>
        <w:footnoteReference w:id="11"/>
      </w:r>
      <w:r w:rsidR="00C362D1">
        <w:rPr>
          <w:rFonts w:ascii="Arial" w:eastAsia="Calibri" w:hAnsi="Arial" w:cs="Arial"/>
          <w:color w:val="000000" w:themeColor="text1"/>
          <w:sz w:val="22"/>
          <w:lang w:val="es-ES_tradnl"/>
        </w:rPr>
        <w:t>.</w:t>
      </w:r>
      <w:r w:rsidR="00B71461">
        <w:rPr>
          <w:rFonts w:ascii="Arial" w:eastAsia="Calibri" w:hAnsi="Arial" w:cs="Arial"/>
          <w:color w:val="000000" w:themeColor="text1"/>
          <w:sz w:val="22"/>
          <w:lang w:val="es-ES_tradnl"/>
        </w:rPr>
        <w:t xml:space="preserve"> </w:t>
      </w:r>
      <w:r w:rsidR="002D0052">
        <w:rPr>
          <w:rFonts w:ascii="Arial" w:eastAsia="Calibri" w:hAnsi="Arial" w:cs="Arial"/>
          <w:color w:val="000000" w:themeColor="text1"/>
          <w:sz w:val="22"/>
          <w:lang w:val="es-ES_tradnl"/>
        </w:rPr>
        <w:t>Este vicio se presenta cuando la Administración no observa</w:t>
      </w:r>
      <w:r w:rsidR="00E612EE">
        <w:rPr>
          <w:rFonts w:ascii="Arial" w:eastAsia="Calibri" w:hAnsi="Arial" w:cs="Arial"/>
          <w:color w:val="000000" w:themeColor="text1"/>
          <w:sz w:val="22"/>
          <w:lang w:val="es-ES_tradnl"/>
        </w:rPr>
        <w:t xml:space="preserve"> los requisitos previos y concomitantes a la expedición del acto administrativo.</w:t>
      </w:r>
      <w:r w:rsidR="00AF3532">
        <w:rPr>
          <w:rFonts w:ascii="Arial" w:eastAsia="Calibri" w:hAnsi="Arial" w:cs="Arial"/>
          <w:color w:val="000000" w:themeColor="text1"/>
          <w:sz w:val="22"/>
          <w:lang w:val="es-ES_tradnl"/>
        </w:rPr>
        <w:t xml:space="preserve"> Como ha dicho la doctrina:</w:t>
      </w:r>
      <w:r w:rsidR="004A5553">
        <w:rPr>
          <w:rFonts w:ascii="Arial" w:eastAsia="Calibri" w:hAnsi="Arial" w:cs="Arial"/>
          <w:color w:val="000000" w:themeColor="text1"/>
          <w:sz w:val="22"/>
          <w:lang w:val="es-ES_tradnl"/>
        </w:rPr>
        <w:t xml:space="preserve"> «[…]</w:t>
      </w:r>
      <w:r w:rsidR="004A5553" w:rsidRPr="004A5553">
        <w:rPr>
          <w:rFonts w:ascii="Arial" w:eastAsia="Calibri" w:hAnsi="Arial" w:cs="Arial"/>
          <w:color w:val="000000" w:themeColor="text1"/>
          <w:sz w:val="22"/>
          <w:lang w:val="es-ES_tradnl"/>
        </w:rPr>
        <w:t xml:space="preserve"> la inobservancia de las “formas” y requisitos del procedimiento administrativo se traduce en un defecto de preparación de la voluntad</w:t>
      </w:r>
      <w:r w:rsidR="004A5553">
        <w:rPr>
          <w:rFonts w:ascii="Arial" w:eastAsia="Calibri" w:hAnsi="Arial" w:cs="Arial"/>
          <w:color w:val="000000" w:themeColor="text1"/>
          <w:sz w:val="22"/>
          <w:lang w:val="es-ES_tradnl"/>
        </w:rPr>
        <w:t xml:space="preserve"> </w:t>
      </w:r>
      <w:r w:rsidR="004A5553" w:rsidRPr="004A5553">
        <w:rPr>
          <w:rFonts w:ascii="Arial" w:eastAsia="Calibri" w:hAnsi="Arial" w:cs="Arial"/>
          <w:color w:val="000000" w:themeColor="text1"/>
          <w:sz w:val="22"/>
          <w:lang w:val="es-ES_tradnl"/>
        </w:rPr>
        <w:t>administrativa (así la defensa en juicio en el procedimiento administrativo; la</w:t>
      </w:r>
      <w:r w:rsidR="004A5553">
        <w:rPr>
          <w:rFonts w:ascii="Arial" w:eastAsia="Calibri" w:hAnsi="Arial" w:cs="Arial"/>
          <w:color w:val="000000" w:themeColor="text1"/>
          <w:sz w:val="22"/>
          <w:lang w:val="es-ES_tradnl"/>
        </w:rPr>
        <w:t xml:space="preserve"> </w:t>
      </w:r>
      <w:r w:rsidR="004A5553" w:rsidRPr="004A5553">
        <w:rPr>
          <w:rFonts w:ascii="Arial" w:eastAsia="Calibri" w:hAnsi="Arial" w:cs="Arial"/>
          <w:color w:val="000000" w:themeColor="text1"/>
          <w:sz w:val="22"/>
          <w:lang w:val="es-ES_tradnl"/>
        </w:rPr>
        <w:t xml:space="preserve">licitación pública para las contrataciones; el concurso para la provisión de cargos), </w:t>
      </w:r>
      <w:r w:rsidR="00D4405C">
        <w:rPr>
          <w:rFonts w:ascii="Arial" w:eastAsia="Calibri" w:hAnsi="Arial" w:cs="Arial"/>
          <w:color w:val="000000" w:themeColor="text1"/>
          <w:sz w:val="22"/>
          <w:lang w:val="es-ES_tradnl"/>
        </w:rPr>
        <w:t>[…]</w:t>
      </w:r>
      <w:r w:rsidR="004A5553">
        <w:rPr>
          <w:rFonts w:ascii="Arial" w:eastAsia="Calibri" w:hAnsi="Arial" w:cs="Arial"/>
          <w:color w:val="000000" w:themeColor="text1"/>
          <w:sz w:val="22"/>
          <w:lang w:val="es-ES_tradnl"/>
        </w:rPr>
        <w:t>»</w:t>
      </w:r>
      <w:r w:rsidR="004A5553">
        <w:rPr>
          <w:rStyle w:val="Refdenotaalpie"/>
          <w:rFonts w:ascii="Arial" w:eastAsia="Calibri" w:hAnsi="Arial" w:cs="Arial"/>
          <w:color w:val="000000" w:themeColor="text1"/>
          <w:sz w:val="22"/>
          <w:lang w:val="es-ES_tradnl"/>
        </w:rPr>
        <w:footnoteReference w:id="12"/>
      </w:r>
      <w:r w:rsidR="004A5553" w:rsidRPr="004A5553">
        <w:rPr>
          <w:rFonts w:ascii="Arial" w:eastAsia="Calibri" w:hAnsi="Arial" w:cs="Arial"/>
          <w:color w:val="000000" w:themeColor="text1"/>
          <w:sz w:val="22"/>
          <w:lang w:val="es-ES_tradnl"/>
        </w:rPr>
        <w:t xml:space="preserve">. </w:t>
      </w:r>
    </w:p>
    <w:p w14:paraId="3A40E535" w14:textId="3B68614E" w:rsidR="00F053C4" w:rsidRDefault="00FF041A" w:rsidP="00FF6D70">
      <w:pPr>
        <w:tabs>
          <w:tab w:val="left" w:pos="426"/>
        </w:tabs>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Aunque el artículo 49 de la Ley 80 de 1993 establece que «</w:t>
      </w:r>
      <w:r w:rsidRPr="00FF041A">
        <w:rPr>
          <w:rFonts w:ascii="Arial" w:eastAsia="Calibri" w:hAnsi="Arial" w:cs="Arial"/>
          <w:color w:val="000000" w:themeColor="text1"/>
          <w:sz w:val="22"/>
          <w:lang w:val="es-ES_tradnl"/>
        </w:rPr>
        <w:t xml:space="preserve">Ante la ocurrencia de vicios </w:t>
      </w:r>
      <w:r w:rsidRPr="00FF041A">
        <w:rPr>
          <w:rFonts w:ascii="Arial" w:eastAsia="Calibri" w:hAnsi="Arial" w:cs="Arial"/>
          <w:i/>
          <w:iCs/>
          <w:color w:val="000000" w:themeColor="text1"/>
          <w:sz w:val="22"/>
          <w:lang w:val="es-ES_tradnl"/>
        </w:rPr>
        <w:t>que no constituyan causales de nulidad</w:t>
      </w:r>
      <w:r w:rsidRPr="00FF041A">
        <w:rPr>
          <w:rFonts w:ascii="Arial" w:eastAsia="Calibri" w:hAnsi="Arial" w:cs="Arial"/>
          <w:color w:val="000000" w:themeColor="text1"/>
          <w:sz w:val="22"/>
          <w:lang w:val="es-ES_tradnl"/>
        </w:rPr>
        <w:t xml:space="preserve"> y cuando las necesidades del servicio lo exijan o las reglas de la buena administración lo aconsejen, el jefe o representante legal de la entidad, en acto motivado, podrá sanear el correspondiente vicio</w:t>
      </w:r>
      <w:r>
        <w:rPr>
          <w:rFonts w:ascii="Arial" w:eastAsia="Calibri" w:hAnsi="Arial" w:cs="Arial"/>
          <w:color w:val="000000" w:themeColor="text1"/>
          <w:sz w:val="22"/>
          <w:lang w:val="es-ES_tradnl"/>
        </w:rPr>
        <w:t>» (énfasis fuera de texto), debe advertirse que este artículo condiciona dicha facultad de saneamiento de los defectos formales a que los vicios «no constituyan causales de nulidad».</w:t>
      </w:r>
      <w:r w:rsidR="000B0F3B">
        <w:rPr>
          <w:rFonts w:ascii="Arial" w:eastAsia="Calibri" w:hAnsi="Arial" w:cs="Arial"/>
          <w:color w:val="000000" w:themeColor="text1"/>
          <w:sz w:val="22"/>
          <w:lang w:val="es-ES_tradnl"/>
        </w:rPr>
        <w:t xml:space="preserve"> </w:t>
      </w:r>
      <w:r w:rsidR="00433997">
        <w:rPr>
          <w:rFonts w:ascii="Arial" w:eastAsia="Calibri" w:hAnsi="Arial" w:cs="Arial"/>
          <w:color w:val="000000" w:themeColor="text1"/>
          <w:sz w:val="22"/>
          <w:lang w:val="es-ES_tradnl"/>
        </w:rPr>
        <w:t>Desde esta perspectiva,</w:t>
      </w:r>
      <w:r w:rsidR="003A6C1B">
        <w:rPr>
          <w:rFonts w:ascii="Arial" w:eastAsia="Calibri" w:hAnsi="Arial" w:cs="Arial"/>
          <w:color w:val="000000" w:themeColor="text1"/>
          <w:sz w:val="22"/>
          <w:lang w:val="es-ES_tradnl"/>
        </w:rPr>
        <w:t xml:space="preserve"> </w:t>
      </w:r>
      <w:r w:rsidR="00376A8A">
        <w:rPr>
          <w:rFonts w:ascii="Arial" w:eastAsia="Calibri" w:hAnsi="Arial" w:cs="Arial"/>
          <w:color w:val="000000" w:themeColor="text1"/>
          <w:sz w:val="22"/>
          <w:lang w:val="es-ES_tradnl"/>
        </w:rPr>
        <w:t xml:space="preserve">en principio </w:t>
      </w:r>
      <w:r w:rsidR="003A6C1B">
        <w:rPr>
          <w:rFonts w:ascii="Arial" w:eastAsia="Calibri" w:hAnsi="Arial" w:cs="Arial"/>
          <w:color w:val="000000" w:themeColor="text1"/>
          <w:sz w:val="22"/>
          <w:lang w:val="es-ES_tradnl"/>
        </w:rPr>
        <w:t xml:space="preserve">el </w:t>
      </w:r>
      <w:r w:rsidR="00420718">
        <w:rPr>
          <w:rFonts w:ascii="Arial" w:eastAsia="Calibri" w:hAnsi="Arial" w:cs="Arial"/>
          <w:color w:val="000000" w:themeColor="text1"/>
          <w:sz w:val="22"/>
          <w:lang w:val="es-ES_tradnl"/>
        </w:rPr>
        <w:t>fenecimiento</w:t>
      </w:r>
      <w:r w:rsidR="003A6C1B">
        <w:rPr>
          <w:rFonts w:ascii="Arial" w:eastAsia="Calibri" w:hAnsi="Arial" w:cs="Arial"/>
          <w:color w:val="000000" w:themeColor="text1"/>
          <w:sz w:val="22"/>
          <w:lang w:val="es-ES_tradnl"/>
        </w:rPr>
        <w:t xml:space="preserve"> de los términos establecidos en la ley como plazos </w:t>
      </w:r>
      <w:r w:rsidR="00376A8A">
        <w:rPr>
          <w:rFonts w:ascii="Arial" w:eastAsia="Calibri" w:hAnsi="Arial" w:cs="Arial"/>
          <w:color w:val="000000" w:themeColor="text1"/>
          <w:sz w:val="22"/>
          <w:lang w:val="es-ES_tradnl"/>
        </w:rPr>
        <w:t>preclusivos</w:t>
      </w:r>
      <w:r w:rsidR="003A6C1B">
        <w:rPr>
          <w:rFonts w:ascii="Arial" w:eastAsia="Calibri" w:hAnsi="Arial" w:cs="Arial"/>
          <w:color w:val="000000" w:themeColor="text1"/>
          <w:sz w:val="22"/>
          <w:lang w:val="es-ES_tradnl"/>
        </w:rPr>
        <w:t xml:space="preserve"> y perentorios no permite</w:t>
      </w:r>
      <w:r w:rsidR="00376A8A">
        <w:rPr>
          <w:rFonts w:ascii="Arial" w:eastAsia="Calibri" w:hAnsi="Arial" w:cs="Arial"/>
          <w:color w:val="000000" w:themeColor="text1"/>
          <w:sz w:val="22"/>
          <w:lang w:val="es-ES_tradnl"/>
        </w:rPr>
        <w:t xml:space="preserve"> sanear el defecto formal, ya que, según se indicó, aquello genera un vicio de nulidad por expedición en forma irregular. Así lo ha interpretado el Consejo de Estado</w:t>
      </w:r>
      <w:r w:rsidR="00FB3157">
        <w:rPr>
          <w:rStyle w:val="Refdenotaalpie"/>
          <w:rFonts w:ascii="Arial" w:eastAsia="Calibri" w:hAnsi="Arial" w:cs="Arial"/>
          <w:color w:val="000000" w:themeColor="text1"/>
          <w:sz w:val="22"/>
          <w:lang w:val="es-ES_tradnl"/>
        </w:rPr>
        <w:footnoteReference w:id="13"/>
      </w:r>
      <w:r w:rsidR="00DB4A12">
        <w:rPr>
          <w:rFonts w:ascii="Arial" w:eastAsia="Calibri" w:hAnsi="Arial" w:cs="Arial"/>
          <w:color w:val="000000" w:themeColor="text1"/>
          <w:sz w:val="22"/>
          <w:lang w:val="es-ES_tradnl"/>
        </w:rPr>
        <w:t>:</w:t>
      </w:r>
    </w:p>
    <w:p w14:paraId="713104DB" w14:textId="00944AC9" w:rsidR="00DB4A12" w:rsidRPr="00FB3157" w:rsidRDefault="00DB4A12" w:rsidP="00FB3157">
      <w:pPr>
        <w:tabs>
          <w:tab w:val="left" w:pos="426"/>
        </w:tabs>
        <w:ind w:left="709" w:right="709" w:firstLine="425"/>
        <w:jc w:val="both"/>
        <w:rPr>
          <w:rFonts w:ascii="Arial" w:eastAsia="Calibri" w:hAnsi="Arial" w:cs="Arial"/>
          <w:color w:val="000000" w:themeColor="text1"/>
          <w:sz w:val="21"/>
          <w:szCs w:val="21"/>
          <w:lang w:val="es-ES_tradnl"/>
        </w:rPr>
      </w:pPr>
    </w:p>
    <w:p w14:paraId="79B0C065" w14:textId="04A1B244" w:rsidR="00DB4A12" w:rsidRPr="00FB3157" w:rsidRDefault="00DB4A12" w:rsidP="00FF6D70">
      <w:pPr>
        <w:pStyle w:val="BodyText21"/>
        <w:tabs>
          <w:tab w:val="left" w:pos="1068"/>
        </w:tabs>
        <w:autoSpaceDE/>
        <w:spacing w:line="240" w:lineRule="auto"/>
        <w:ind w:left="709" w:right="709"/>
        <w:rPr>
          <w:sz w:val="21"/>
          <w:szCs w:val="21"/>
        </w:rPr>
      </w:pPr>
      <w:r w:rsidRPr="00FB3157">
        <w:rPr>
          <w:sz w:val="21"/>
          <w:szCs w:val="21"/>
        </w:rPr>
        <w:t xml:space="preserve">[…] Le asiste razón a la parte demandante en el sentido que </w:t>
      </w:r>
      <w:bookmarkStart w:id="2" w:name="_Hlk8980017"/>
      <w:r w:rsidRPr="00FB3157">
        <w:rPr>
          <w:sz w:val="21"/>
          <w:szCs w:val="21"/>
        </w:rPr>
        <w:t xml:space="preserve">la competencia de la administración en materia contractual es reglada, por lo </w:t>
      </w:r>
      <w:proofErr w:type="gramStart"/>
      <w:r w:rsidRPr="00FB3157">
        <w:rPr>
          <w:sz w:val="21"/>
          <w:szCs w:val="21"/>
        </w:rPr>
        <w:t>que</w:t>
      </w:r>
      <w:proofErr w:type="gramEnd"/>
      <w:r w:rsidRPr="00FB3157">
        <w:rPr>
          <w:sz w:val="21"/>
          <w:szCs w:val="21"/>
        </w:rPr>
        <w:t xml:space="preserve"> si bien el </w:t>
      </w:r>
      <w:proofErr w:type="spellStart"/>
      <w:r w:rsidRPr="00FB3157">
        <w:rPr>
          <w:sz w:val="21"/>
          <w:szCs w:val="21"/>
        </w:rPr>
        <w:t>Invías</w:t>
      </w:r>
      <w:proofErr w:type="spellEnd"/>
      <w:r w:rsidRPr="00FB3157">
        <w:rPr>
          <w:sz w:val="21"/>
          <w:szCs w:val="21"/>
        </w:rPr>
        <w:t xml:space="preserve"> </w:t>
      </w:r>
      <w:r w:rsidRPr="00FB3157">
        <w:rPr>
          <w:sz w:val="21"/>
          <w:szCs w:val="21"/>
        </w:rPr>
        <w:lastRenderedPageBreak/>
        <w:t xml:space="preserve">sí contaba con la facultad de sanear irregularidades o vicios que se presentaren en el proceso de selección, debía procurar ejercer esta potestad de forma que se respetaran los plazos establecidos en los términos de referencia, dado su carácter preclusivo y perentorio. Sobre el particular, la Sección ha sido clara en el sentido de que la preclusivididad y perentoriedad de los términos del proceso de selección es plenamente predicable en los asuntos propios de la actividad contractual regidos por la Ley 80 de 1993, </w:t>
      </w:r>
      <w:r w:rsidR="002929D5">
        <w:rPr>
          <w:sz w:val="21"/>
          <w:szCs w:val="21"/>
        </w:rPr>
        <w:t>[…]</w:t>
      </w:r>
      <w:r w:rsidRPr="00FB3157">
        <w:rPr>
          <w:sz w:val="21"/>
          <w:szCs w:val="21"/>
        </w:rPr>
        <w:t xml:space="preserve">. </w:t>
      </w:r>
      <w:bookmarkEnd w:id="2"/>
      <w:r w:rsidRPr="00FB3157">
        <w:rPr>
          <w:sz w:val="21"/>
          <w:szCs w:val="21"/>
        </w:rPr>
        <w:t>En concreto se ha sostenido</w:t>
      </w:r>
      <w:r w:rsidRPr="00FB3157">
        <w:rPr>
          <w:rStyle w:val="Refdenotaalpie"/>
          <w:rFonts w:eastAsia="Arial"/>
          <w:sz w:val="21"/>
          <w:szCs w:val="21"/>
        </w:rPr>
        <w:footnoteReference w:id="14"/>
      </w:r>
      <w:r w:rsidRPr="00FB3157">
        <w:rPr>
          <w:sz w:val="21"/>
          <w:szCs w:val="21"/>
        </w:rPr>
        <w:t>:</w:t>
      </w:r>
    </w:p>
    <w:p w14:paraId="0CD1CD3E" w14:textId="77777777" w:rsidR="00DB4A12" w:rsidRPr="00FB3157" w:rsidRDefault="00DB4A12" w:rsidP="00FF6D70">
      <w:pPr>
        <w:pStyle w:val="BodyText21"/>
        <w:tabs>
          <w:tab w:val="left" w:pos="1068"/>
        </w:tabs>
        <w:autoSpaceDE/>
        <w:spacing w:line="240" w:lineRule="auto"/>
        <w:ind w:left="709" w:right="709"/>
        <w:rPr>
          <w:sz w:val="21"/>
          <w:szCs w:val="21"/>
        </w:rPr>
      </w:pPr>
    </w:p>
    <w:p w14:paraId="67BB8263" w14:textId="0B77ACD8" w:rsidR="00DB4A12" w:rsidRPr="00FB3157" w:rsidRDefault="00DB4A12" w:rsidP="00FF6D70">
      <w:pPr>
        <w:pStyle w:val="BodyText21"/>
        <w:tabs>
          <w:tab w:val="left" w:pos="1068"/>
        </w:tabs>
        <w:autoSpaceDE/>
        <w:spacing w:line="240" w:lineRule="auto"/>
        <w:ind w:left="709" w:right="709"/>
        <w:rPr>
          <w:i/>
          <w:sz w:val="21"/>
          <w:szCs w:val="21"/>
        </w:rPr>
      </w:pPr>
      <w:r w:rsidRPr="00FB3157">
        <w:rPr>
          <w:i/>
          <w:sz w:val="21"/>
          <w:szCs w:val="21"/>
        </w:rPr>
        <w:t xml:space="preserve">La exigencia prevista en el estatuto </w:t>
      </w:r>
      <w:proofErr w:type="gramStart"/>
      <w:r w:rsidRPr="00FB3157">
        <w:rPr>
          <w:i/>
          <w:sz w:val="21"/>
          <w:szCs w:val="21"/>
        </w:rPr>
        <w:t>anterior,</w:t>
      </w:r>
      <w:proofErr w:type="gramEnd"/>
      <w:r w:rsidRPr="00FB3157">
        <w:rPr>
          <w:i/>
          <w:sz w:val="21"/>
          <w:szCs w:val="21"/>
        </w:rPr>
        <w:t xml:space="preserve"> no difería para nada de lo que sucede hoy en día, pues, el artículo 25 de la Ley 80 enseña que los términos para las diferentes etapas de selección son preclusivos y perentorios. Transcurrido el tiempo indicado en los pliegos o en la ley para realizar determinada actividad sin que esta se hubiere cumplido, se habrá perdido la oportunidad para efectuarla, por cuanto el término una vez vencido no puede revivirse. </w:t>
      </w:r>
      <w:r w:rsidR="002929D5">
        <w:rPr>
          <w:i/>
          <w:sz w:val="21"/>
          <w:szCs w:val="21"/>
        </w:rPr>
        <w:t xml:space="preserve">[…] </w:t>
      </w:r>
      <w:r w:rsidR="00FB3157">
        <w:rPr>
          <w:iCs/>
          <w:sz w:val="21"/>
          <w:szCs w:val="21"/>
        </w:rPr>
        <w:t>(énfasis del texto original)</w:t>
      </w:r>
      <w:r w:rsidRPr="00FB3157">
        <w:rPr>
          <w:i/>
          <w:sz w:val="21"/>
          <w:szCs w:val="21"/>
        </w:rPr>
        <w:t>.</w:t>
      </w:r>
    </w:p>
    <w:p w14:paraId="44E792D5" w14:textId="77777777" w:rsidR="00FF6D70" w:rsidRDefault="00FF6D70" w:rsidP="00FF6D70">
      <w:pPr>
        <w:tabs>
          <w:tab w:val="left" w:pos="426"/>
        </w:tabs>
        <w:spacing w:line="276" w:lineRule="auto"/>
        <w:ind w:firstLine="425"/>
        <w:jc w:val="both"/>
        <w:rPr>
          <w:rFonts w:ascii="Arial" w:eastAsia="Calibri" w:hAnsi="Arial" w:cs="Arial"/>
          <w:color w:val="000000" w:themeColor="text1"/>
          <w:sz w:val="22"/>
          <w:lang w:val="es-ES_tradnl"/>
        </w:rPr>
      </w:pPr>
    </w:p>
    <w:p w14:paraId="649A50FF" w14:textId="3B2993F7" w:rsidR="00607AFE" w:rsidRDefault="008768A9" w:rsidP="00EA79BB">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Estas irregularidades pueden afectar no solo los actos administrativos expedidos dentro del procedimiento de selección, sino también el contrato. En efecto, el artículo </w:t>
      </w:r>
      <w:r w:rsidR="00607AFE">
        <w:rPr>
          <w:rFonts w:ascii="Arial" w:eastAsia="Calibri" w:hAnsi="Arial" w:cs="Arial"/>
          <w:color w:val="000000" w:themeColor="text1"/>
          <w:sz w:val="22"/>
          <w:lang w:val="es-ES_tradnl"/>
        </w:rPr>
        <w:t>44</w:t>
      </w:r>
      <w:r w:rsidR="00EA79BB">
        <w:rPr>
          <w:rFonts w:ascii="Arial" w:eastAsia="Calibri" w:hAnsi="Arial" w:cs="Arial"/>
          <w:color w:val="000000" w:themeColor="text1"/>
          <w:sz w:val="22"/>
          <w:lang w:val="es-ES_tradnl"/>
        </w:rPr>
        <w:t>, numeral 4,</w:t>
      </w:r>
      <w:r w:rsidR="00607AFE">
        <w:rPr>
          <w:rFonts w:ascii="Arial" w:eastAsia="Calibri" w:hAnsi="Arial" w:cs="Arial"/>
          <w:color w:val="000000" w:themeColor="text1"/>
          <w:sz w:val="22"/>
          <w:lang w:val="es-ES_tradnl"/>
        </w:rPr>
        <w:t xml:space="preserve"> de la Ley 80 de 1993</w:t>
      </w:r>
      <w:r w:rsidR="00497439">
        <w:rPr>
          <w:rFonts w:ascii="Arial" w:eastAsia="Calibri" w:hAnsi="Arial" w:cs="Arial"/>
          <w:color w:val="000000" w:themeColor="text1"/>
          <w:sz w:val="22"/>
          <w:lang w:val="es-ES_tradnl"/>
        </w:rPr>
        <w:t xml:space="preserve">, </w:t>
      </w:r>
      <w:r w:rsidR="00607AFE">
        <w:rPr>
          <w:rFonts w:ascii="Arial" w:eastAsia="Calibri" w:hAnsi="Arial" w:cs="Arial"/>
          <w:color w:val="000000" w:themeColor="text1"/>
          <w:sz w:val="22"/>
          <w:lang w:val="es-ES_tradnl"/>
        </w:rPr>
        <w:t>establece que «</w:t>
      </w:r>
      <w:r w:rsidR="00607AFE" w:rsidRPr="00607AFE">
        <w:rPr>
          <w:rFonts w:ascii="Arial" w:eastAsia="Calibri" w:hAnsi="Arial" w:cs="Arial"/>
          <w:color w:val="000000" w:themeColor="text1"/>
          <w:sz w:val="22"/>
          <w:lang w:val="es-ES_tradnl"/>
        </w:rPr>
        <w:t>Los contratos del Estado son</w:t>
      </w:r>
      <w:r w:rsidR="00EA79BB">
        <w:rPr>
          <w:rFonts w:ascii="Arial" w:eastAsia="Calibri" w:hAnsi="Arial" w:cs="Arial"/>
          <w:color w:val="000000" w:themeColor="text1"/>
          <w:sz w:val="22"/>
          <w:lang w:val="es-ES_tradnl"/>
        </w:rPr>
        <w:t xml:space="preserve"> </w:t>
      </w:r>
      <w:r w:rsidR="00607AFE" w:rsidRPr="00607AFE">
        <w:rPr>
          <w:rFonts w:ascii="Arial" w:eastAsia="Calibri" w:hAnsi="Arial" w:cs="Arial"/>
          <w:color w:val="000000" w:themeColor="text1"/>
          <w:sz w:val="22"/>
          <w:lang w:val="es-ES_tradnl"/>
        </w:rPr>
        <w:t>absolutamente nulos en los casos previstos en el derecho común y además cuando</w:t>
      </w:r>
      <w:r w:rsidR="00C3025F">
        <w:rPr>
          <w:rFonts w:ascii="Arial" w:eastAsia="Calibri" w:hAnsi="Arial" w:cs="Arial"/>
          <w:color w:val="000000" w:themeColor="text1"/>
          <w:sz w:val="22"/>
          <w:lang w:val="es-ES_tradnl"/>
        </w:rPr>
        <w:t xml:space="preserve"> […] </w:t>
      </w:r>
      <w:r w:rsidR="00607AFE" w:rsidRPr="00607AFE">
        <w:rPr>
          <w:rFonts w:ascii="Arial" w:eastAsia="Calibri" w:hAnsi="Arial" w:cs="Arial"/>
          <w:color w:val="000000" w:themeColor="text1"/>
          <w:sz w:val="22"/>
          <w:lang w:val="es-ES_tradnl"/>
        </w:rPr>
        <w:t>Se declaren nulos los actos administrativos en que se fundamenten</w:t>
      </w:r>
      <w:r w:rsidR="00607AFE">
        <w:rPr>
          <w:rFonts w:ascii="Arial" w:eastAsia="Calibri" w:hAnsi="Arial" w:cs="Arial"/>
          <w:color w:val="000000" w:themeColor="text1"/>
          <w:sz w:val="22"/>
          <w:lang w:val="es-ES_tradnl"/>
        </w:rPr>
        <w:t>».</w:t>
      </w:r>
      <w:r w:rsidR="00C3025F">
        <w:rPr>
          <w:rFonts w:ascii="Arial" w:eastAsia="Calibri" w:hAnsi="Arial" w:cs="Arial"/>
          <w:color w:val="000000" w:themeColor="text1"/>
          <w:sz w:val="22"/>
          <w:lang w:val="es-ES_tradnl"/>
        </w:rPr>
        <w:t xml:space="preserve"> A partir de estas consideraciones, </w:t>
      </w:r>
      <w:r w:rsidR="0085641B">
        <w:rPr>
          <w:rFonts w:ascii="Arial" w:eastAsia="Calibri" w:hAnsi="Arial" w:cs="Arial"/>
          <w:color w:val="000000" w:themeColor="text1"/>
          <w:sz w:val="22"/>
          <w:lang w:val="es-ES_tradnl"/>
        </w:rPr>
        <w:t xml:space="preserve">se concluye que, en atención al carácter preclusivo y perentorio de los términos de la licitación pública, la audiencia de </w:t>
      </w:r>
      <w:r w:rsidR="00911F26">
        <w:rPr>
          <w:rFonts w:ascii="Arial" w:eastAsia="Calibri" w:hAnsi="Arial" w:cs="Arial"/>
          <w:color w:val="000000" w:themeColor="text1"/>
          <w:sz w:val="22"/>
          <w:lang w:val="es-ES_tradnl"/>
        </w:rPr>
        <w:t>asignación de riesgos debe efectuarse a más tardar al tercer día posterior al inicio del plazo para presentar ofertas</w:t>
      </w:r>
      <w:r w:rsidR="000C2E2D">
        <w:rPr>
          <w:rFonts w:ascii="Arial" w:eastAsia="Calibri" w:hAnsi="Arial" w:cs="Arial"/>
          <w:color w:val="000000" w:themeColor="text1"/>
          <w:sz w:val="22"/>
          <w:lang w:val="es-ES_tradnl"/>
        </w:rPr>
        <w:t>, pues de lo contrario puede configurarse una irregularidad formal en el procedimiento</w:t>
      </w:r>
      <w:r w:rsidR="00C92EE5">
        <w:rPr>
          <w:rFonts w:ascii="Arial" w:eastAsia="Calibri" w:hAnsi="Arial" w:cs="Arial"/>
          <w:color w:val="000000" w:themeColor="text1"/>
          <w:sz w:val="22"/>
          <w:lang w:val="es-ES_tradnl"/>
        </w:rPr>
        <w:t xml:space="preserve"> y por tanto un vicio de nulidad de los actos administrativos posteriores, así como del contrato estatal.</w:t>
      </w:r>
      <w:r w:rsidR="009B0F53">
        <w:rPr>
          <w:rFonts w:ascii="Arial" w:eastAsia="Calibri" w:hAnsi="Arial" w:cs="Arial"/>
          <w:color w:val="000000" w:themeColor="text1"/>
          <w:sz w:val="22"/>
          <w:lang w:val="es-ES_tradnl"/>
        </w:rPr>
        <w:t xml:space="preserve"> </w:t>
      </w:r>
    </w:p>
    <w:p w14:paraId="6FC061B4" w14:textId="77777777" w:rsidR="00966343" w:rsidRPr="00D4128C" w:rsidRDefault="00966343" w:rsidP="00966343">
      <w:pPr>
        <w:tabs>
          <w:tab w:val="left" w:pos="426"/>
        </w:tabs>
        <w:spacing w:line="276" w:lineRule="auto"/>
        <w:jc w:val="both"/>
        <w:rPr>
          <w:rFonts w:ascii="Arial" w:eastAsia="Calibri" w:hAnsi="Arial" w:cs="Arial"/>
          <w:color w:val="000000" w:themeColor="text1"/>
          <w:sz w:val="22"/>
          <w:lang w:val="es-ES_tradnl"/>
        </w:rPr>
      </w:pPr>
    </w:p>
    <w:p w14:paraId="37CA9805" w14:textId="34681302" w:rsidR="00DD5B04" w:rsidRPr="00D4128C" w:rsidRDefault="004177A6" w:rsidP="004D1C27">
      <w:pPr>
        <w:spacing w:line="276" w:lineRule="auto"/>
        <w:jc w:val="both"/>
        <w:rPr>
          <w:rFonts w:ascii="Arial" w:hAnsi="Arial" w:cs="Arial"/>
          <w:sz w:val="22"/>
          <w:lang w:val="es-ES_tradnl"/>
        </w:rPr>
      </w:pPr>
      <w:r w:rsidRPr="00D4128C">
        <w:rPr>
          <w:rFonts w:ascii="Arial" w:eastAsia="Calibri" w:hAnsi="Arial" w:cs="Arial"/>
          <w:b/>
          <w:color w:val="000000" w:themeColor="text1"/>
          <w:sz w:val="22"/>
          <w:lang w:val="es-ES_tradnl"/>
        </w:rPr>
        <w:t>3</w:t>
      </w:r>
      <w:r w:rsidR="00B011A9" w:rsidRPr="00D4128C">
        <w:rPr>
          <w:rFonts w:ascii="Arial" w:eastAsia="Calibri" w:hAnsi="Arial" w:cs="Arial"/>
          <w:b/>
          <w:color w:val="000000" w:themeColor="text1"/>
          <w:sz w:val="22"/>
          <w:lang w:val="es-ES_tradnl"/>
        </w:rPr>
        <w:t xml:space="preserve">. </w:t>
      </w:r>
      <w:r w:rsidR="00DD5B04" w:rsidRPr="00D4128C">
        <w:rPr>
          <w:rFonts w:ascii="Arial" w:eastAsia="Calibri" w:hAnsi="Arial" w:cs="Arial"/>
          <w:b/>
          <w:color w:val="000000" w:themeColor="text1"/>
          <w:sz w:val="22"/>
          <w:lang w:val="es-ES_tradnl"/>
        </w:rPr>
        <w:t>Respuest</w:t>
      </w:r>
      <w:r w:rsidR="00BF0E64" w:rsidRPr="00D4128C">
        <w:rPr>
          <w:rFonts w:ascii="Arial" w:eastAsia="Calibri" w:hAnsi="Arial" w:cs="Arial"/>
          <w:b/>
          <w:color w:val="000000" w:themeColor="text1"/>
          <w:sz w:val="22"/>
          <w:lang w:val="es-ES_tradnl"/>
        </w:rPr>
        <w:t>a</w:t>
      </w:r>
    </w:p>
    <w:p w14:paraId="0B74D5B8" w14:textId="259D6A1D" w:rsidR="00C4581D" w:rsidRPr="00D4128C" w:rsidRDefault="00C4581D" w:rsidP="00510DE9">
      <w:pPr>
        <w:tabs>
          <w:tab w:val="left" w:pos="0"/>
        </w:tabs>
        <w:jc w:val="both"/>
        <w:rPr>
          <w:rFonts w:ascii="Arial" w:eastAsia="Calibri" w:hAnsi="Arial" w:cs="Arial"/>
          <w:color w:val="000000" w:themeColor="text1"/>
          <w:sz w:val="22"/>
          <w:lang w:val="es-ES_tradnl"/>
        </w:rPr>
      </w:pPr>
    </w:p>
    <w:p w14:paraId="1E411F66" w14:textId="77777777" w:rsidR="00A16D8E" w:rsidRPr="00D4128C" w:rsidRDefault="00A16D8E" w:rsidP="00A16D8E">
      <w:pPr>
        <w:ind w:left="709" w:right="709"/>
        <w:jc w:val="both"/>
        <w:rPr>
          <w:rFonts w:ascii="Arial" w:hAnsi="Arial" w:cs="Arial"/>
          <w:color w:val="000000" w:themeColor="text1"/>
          <w:sz w:val="21"/>
          <w:szCs w:val="21"/>
          <w:lang w:val="es-ES_tradnl"/>
        </w:rPr>
      </w:pPr>
      <w:r w:rsidRPr="00D4128C">
        <w:rPr>
          <w:rFonts w:ascii="Arial" w:hAnsi="Arial" w:cs="Arial"/>
          <w:color w:val="000000" w:themeColor="text1"/>
          <w:sz w:val="21"/>
          <w:szCs w:val="21"/>
          <w:lang w:val="es-ES_tradnl"/>
        </w:rPr>
        <w:t>«Solicito su valiosa colaboración para aclarar, si es posible realizar la Audiencia de Riesgos en el proceso de Licitación Pública, entre la publicación de pliegos definitivos y hasta antes de la entrega de las ofertas.</w:t>
      </w:r>
    </w:p>
    <w:p w14:paraId="435E44A0" w14:textId="77777777" w:rsidR="00A16D8E" w:rsidRPr="00D4128C" w:rsidRDefault="00A16D8E" w:rsidP="00A16D8E">
      <w:pPr>
        <w:ind w:left="709" w:right="709"/>
        <w:jc w:val="both"/>
        <w:rPr>
          <w:rFonts w:ascii="Arial" w:hAnsi="Arial" w:cs="Arial"/>
          <w:color w:val="000000" w:themeColor="text1"/>
          <w:sz w:val="21"/>
          <w:szCs w:val="21"/>
          <w:lang w:val="es-ES_tradnl"/>
        </w:rPr>
      </w:pPr>
    </w:p>
    <w:p w14:paraId="127B8D49" w14:textId="77777777" w:rsidR="00A16D8E" w:rsidRPr="00D4128C" w:rsidRDefault="00A16D8E" w:rsidP="00A16D8E">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»Teniendo</w:t>
      </w:r>
      <w:proofErr w:type="gramEnd"/>
      <w:r w:rsidRPr="00D4128C">
        <w:rPr>
          <w:rFonts w:ascii="Arial" w:hAnsi="Arial" w:cs="Arial"/>
          <w:color w:val="000000" w:themeColor="text1"/>
          <w:sz w:val="21"/>
          <w:szCs w:val="21"/>
          <w:lang w:val="es-ES_tradnl"/>
        </w:rPr>
        <w:t xml:space="preserve"> en cuenta que la ley menciona que debe hacerse dentro de los tres (3) días siguientes a la publicación del pliego definitivo.</w:t>
      </w:r>
    </w:p>
    <w:p w14:paraId="28E7F739" w14:textId="77777777" w:rsidR="00A16D8E" w:rsidRPr="00D4128C" w:rsidRDefault="00A16D8E" w:rsidP="00A16D8E">
      <w:pPr>
        <w:ind w:left="709" w:right="709"/>
        <w:jc w:val="both"/>
        <w:rPr>
          <w:rFonts w:ascii="Arial" w:hAnsi="Arial" w:cs="Arial"/>
          <w:color w:val="000000" w:themeColor="text1"/>
          <w:sz w:val="21"/>
          <w:szCs w:val="21"/>
          <w:lang w:val="es-ES_tradnl"/>
        </w:rPr>
      </w:pPr>
    </w:p>
    <w:p w14:paraId="6604070B" w14:textId="77777777" w:rsidR="00A16D8E" w:rsidRPr="00D4128C" w:rsidRDefault="00A16D8E" w:rsidP="00A16D8E">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proofErr w:type="gramEnd"/>
      <w:r w:rsidRPr="00D4128C">
        <w:rPr>
          <w:rFonts w:ascii="Arial" w:hAnsi="Arial" w:cs="Arial"/>
          <w:color w:val="000000" w:themeColor="text1"/>
          <w:sz w:val="21"/>
          <w:szCs w:val="21"/>
          <w:lang w:val="es-ES_tradnl"/>
        </w:rPr>
        <w:t>Se puede hacer en otra fecha antes de la entrega de ofertas?</w:t>
      </w:r>
    </w:p>
    <w:p w14:paraId="438F19D2" w14:textId="77777777" w:rsidR="00A16D8E" w:rsidRPr="00D4128C" w:rsidRDefault="00A16D8E" w:rsidP="00A16D8E">
      <w:pPr>
        <w:ind w:left="709" w:right="709"/>
        <w:jc w:val="both"/>
        <w:rPr>
          <w:rFonts w:ascii="Arial" w:hAnsi="Arial" w:cs="Arial"/>
          <w:color w:val="000000" w:themeColor="text1"/>
          <w:sz w:val="21"/>
          <w:szCs w:val="21"/>
          <w:lang w:val="es-ES_tradnl"/>
        </w:rPr>
      </w:pPr>
    </w:p>
    <w:p w14:paraId="63DE6B8C" w14:textId="77777777" w:rsidR="00A16D8E" w:rsidRPr="00D4128C" w:rsidRDefault="00A16D8E" w:rsidP="00A16D8E">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proofErr w:type="gramEnd"/>
      <w:r w:rsidRPr="00D4128C">
        <w:rPr>
          <w:rFonts w:ascii="Arial" w:hAnsi="Arial" w:cs="Arial"/>
          <w:color w:val="000000" w:themeColor="text1"/>
          <w:sz w:val="21"/>
          <w:szCs w:val="21"/>
          <w:lang w:val="es-ES_tradnl"/>
        </w:rPr>
        <w:t>Qué pasa si no se hace la audiencia dentro de los tres (3) días mencionados?</w:t>
      </w:r>
    </w:p>
    <w:p w14:paraId="66D0C707" w14:textId="77777777" w:rsidR="00A16D8E" w:rsidRPr="00D4128C" w:rsidRDefault="00A16D8E" w:rsidP="00A16D8E">
      <w:pPr>
        <w:ind w:left="709" w:right="709"/>
        <w:jc w:val="both"/>
        <w:rPr>
          <w:rFonts w:ascii="Arial" w:hAnsi="Arial" w:cs="Arial"/>
          <w:color w:val="000000" w:themeColor="text1"/>
          <w:sz w:val="21"/>
          <w:szCs w:val="21"/>
          <w:lang w:val="es-ES_tradnl"/>
        </w:rPr>
      </w:pPr>
    </w:p>
    <w:p w14:paraId="72704A55" w14:textId="77777777" w:rsidR="00A16D8E" w:rsidRPr="00D4128C" w:rsidRDefault="00A16D8E" w:rsidP="00A16D8E">
      <w:pPr>
        <w:ind w:left="709" w:right="709"/>
        <w:jc w:val="both"/>
        <w:rPr>
          <w:rFonts w:ascii="Arial" w:hAnsi="Arial" w:cs="Arial"/>
          <w:color w:val="000000" w:themeColor="text1"/>
          <w:sz w:val="21"/>
          <w:szCs w:val="21"/>
          <w:lang w:val="es-ES_tradnl"/>
        </w:rPr>
      </w:pPr>
      <w:proofErr w:type="gramStart"/>
      <w:r w:rsidRPr="00D4128C">
        <w:rPr>
          <w:rFonts w:ascii="Arial" w:hAnsi="Arial" w:cs="Arial"/>
          <w:color w:val="000000" w:themeColor="text1"/>
          <w:sz w:val="21"/>
          <w:szCs w:val="21"/>
          <w:lang w:val="es-ES_tradnl"/>
        </w:rPr>
        <w:t>»¿</w:t>
      </w:r>
      <w:proofErr w:type="gramEnd"/>
      <w:r w:rsidRPr="00D4128C">
        <w:rPr>
          <w:rFonts w:ascii="Arial" w:hAnsi="Arial" w:cs="Arial"/>
          <w:color w:val="000000" w:themeColor="text1"/>
          <w:sz w:val="21"/>
          <w:szCs w:val="21"/>
          <w:lang w:val="es-ES_tradnl"/>
        </w:rPr>
        <w:t>De no hacerse la audiencia dentro de los mencionados 3 días, se genera algún tipo de nulidad absoluta o relativa para el proceso?»</w:t>
      </w:r>
    </w:p>
    <w:p w14:paraId="5DC474EA" w14:textId="485B8382" w:rsidR="006F1CB4" w:rsidRDefault="006F1CB4" w:rsidP="007B7183">
      <w:pPr>
        <w:spacing w:line="276" w:lineRule="auto"/>
        <w:jc w:val="both"/>
        <w:rPr>
          <w:rFonts w:ascii="Arial" w:hAnsi="Arial" w:cs="Arial"/>
          <w:sz w:val="22"/>
          <w:lang w:val="es-ES_tradnl"/>
        </w:rPr>
      </w:pPr>
    </w:p>
    <w:p w14:paraId="5F507618" w14:textId="278E7753" w:rsidR="006F582D" w:rsidRDefault="006F582D" w:rsidP="006F582D">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 audiencia de asignación de riesgos en la licitación pública</w:t>
      </w:r>
      <w:r w:rsidR="00F04070">
        <w:rPr>
          <w:rFonts w:ascii="Arial" w:eastAsia="Calibri" w:hAnsi="Arial" w:cs="Arial"/>
          <w:color w:val="000000" w:themeColor="text1"/>
          <w:sz w:val="22"/>
          <w:lang w:val="es-ES_tradnl"/>
        </w:rPr>
        <w:t xml:space="preserve"> es obligatoria y</w:t>
      </w:r>
      <w:r>
        <w:rPr>
          <w:rFonts w:ascii="Arial" w:eastAsia="Calibri" w:hAnsi="Arial" w:cs="Arial"/>
          <w:color w:val="000000" w:themeColor="text1"/>
          <w:sz w:val="22"/>
          <w:lang w:val="es-ES_tradnl"/>
        </w:rPr>
        <w:t xml:space="preserve"> se debe realizar dentro de los tres (3) días</w:t>
      </w:r>
      <w:r w:rsidR="00F04070">
        <w:rPr>
          <w:rFonts w:ascii="Arial" w:eastAsia="Calibri" w:hAnsi="Arial" w:cs="Arial"/>
          <w:color w:val="000000" w:themeColor="text1"/>
          <w:sz w:val="22"/>
          <w:lang w:val="es-ES_tradnl"/>
        </w:rPr>
        <w:t xml:space="preserve"> hábiles</w:t>
      </w:r>
      <w:r>
        <w:rPr>
          <w:rFonts w:ascii="Arial" w:eastAsia="Calibri" w:hAnsi="Arial" w:cs="Arial"/>
          <w:color w:val="000000" w:themeColor="text1"/>
          <w:sz w:val="22"/>
          <w:lang w:val="es-ES_tradnl"/>
        </w:rPr>
        <w:t xml:space="preserve"> siguientes al inicio del plazo para presentar ofertas. </w:t>
      </w:r>
      <w:r w:rsidR="003C60E4">
        <w:rPr>
          <w:rFonts w:ascii="Arial" w:eastAsia="Calibri" w:hAnsi="Arial" w:cs="Arial"/>
          <w:color w:val="000000" w:themeColor="text1"/>
          <w:sz w:val="22"/>
          <w:lang w:val="es-ES_tradnl"/>
        </w:rPr>
        <w:t>L</w:t>
      </w:r>
      <w:r w:rsidR="008041C5">
        <w:rPr>
          <w:rFonts w:ascii="Arial" w:eastAsia="Calibri" w:hAnsi="Arial" w:cs="Arial"/>
          <w:color w:val="000000" w:themeColor="text1"/>
          <w:sz w:val="22"/>
          <w:lang w:val="es-ES_tradnl"/>
        </w:rPr>
        <w:t>as entidades estatales tienen discrecionalidad para definir en el pliego de condiciones el momento para adelantarla –de acuerdo con el artículo 4 de la Ley 1150 de 2007–</w:t>
      </w:r>
      <w:r w:rsidR="003C60E4">
        <w:rPr>
          <w:rFonts w:ascii="Arial" w:eastAsia="Calibri" w:hAnsi="Arial" w:cs="Arial"/>
          <w:color w:val="000000" w:themeColor="text1"/>
          <w:sz w:val="22"/>
          <w:lang w:val="es-ES_tradnl"/>
        </w:rPr>
        <w:t xml:space="preserve">, pero deben respetar el término preclusivo y perentorio establecido en el artículo </w:t>
      </w:r>
      <w:r w:rsidR="00CC7935">
        <w:rPr>
          <w:rFonts w:ascii="Arial" w:eastAsia="Calibri" w:hAnsi="Arial" w:cs="Arial"/>
          <w:color w:val="000000" w:themeColor="text1"/>
          <w:sz w:val="22"/>
          <w:lang w:val="es-ES_tradnl"/>
        </w:rPr>
        <w:t>30, numeral 4, de la Ley 80 de 1993, modificado por el artículo 220 del Decreto-Ley 019 de 2012</w:t>
      </w:r>
      <w:r w:rsidR="00000FE8">
        <w:rPr>
          <w:rFonts w:ascii="Arial" w:eastAsia="Calibri" w:hAnsi="Arial" w:cs="Arial"/>
          <w:color w:val="000000" w:themeColor="text1"/>
          <w:sz w:val="22"/>
          <w:lang w:val="es-ES_tradnl"/>
        </w:rPr>
        <w:t>. Aunque la declaratoria de nulidad es un aspecto que está sujeto al análisis probatorio</w:t>
      </w:r>
      <w:r w:rsidR="00DA7374">
        <w:rPr>
          <w:rFonts w:ascii="Arial" w:eastAsia="Calibri" w:hAnsi="Arial" w:cs="Arial"/>
          <w:color w:val="000000" w:themeColor="text1"/>
          <w:sz w:val="22"/>
          <w:lang w:val="es-ES_tradnl"/>
        </w:rPr>
        <w:t xml:space="preserve"> y a la valoración del órgano competente –no pudiéndose determinar </w:t>
      </w:r>
      <w:r w:rsidR="00DA7374" w:rsidRPr="00E527D6">
        <w:rPr>
          <w:rFonts w:ascii="Arial" w:eastAsia="Calibri" w:hAnsi="Arial" w:cs="Arial"/>
          <w:i/>
          <w:iCs/>
          <w:color w:val="000000" w:themeColor="text1"/>
          <w:sz w:val="22"/>
          <w:lang w:val="es-ES_tradnl"/>
        </w:rPr>
        <w:t>a priori</w:t>
      </w:r>
      <w:r w:rsidR="00DA7374">
        <w:rPr>
          <w:rFonts w:ascii="Arial" w:eastAsia="Calibri" w:hAnsi="Arial" w:cs="Arial"/>
          <w:color w:val="000000" w:themeColor="text1"/>
          <w:sz w:val="22"/>
          <w:lang w:val="es-ES_tradnl"/>
        </w:rPr>
        <w:t xml:space="preserve"> </w:t>
      </w:r>
      <w:r w:rsidR="00E527D6">
        <w:rPr>
          <w:rFonts w:ascii="Arial" w:eastAsia="Calibri" w:hAnsi="Arial" w:cs="Arial"/>
          <w:color w:val="000000" w:themeColor="text1"/>
          <w:sz w:val="22"/>
          <w:lang w:val="es-ES_tradnl"/>
        </w:rPr>
        <w:t>para todos los casos, en el ámbito consultivo–</w:t>
      </w:r>
      <w:r w:rsidR="00014065">
        <w:rPr>
          <w:rFonts w:ascii="Arial" w:eastAsia="Calibri" w:hAnsi="Arial" w:cs="Arial"/>
          <w:color w:val="000000" w:themeColor="text1"/>
          <w:sz w:val="22"/>
          <w:lang w:val="es-ES_tradnl"/>
        </w:rPr>
        <w:t xml:space="preserve">, inobservar el término previsto en el </w:t>
      </w:r>
      <w:r w:rsidR="00320B9E">
        <w:rPr>
          <w:rFonts w:ascii="Arial" w:eastAsia="Calibri" w:hAnsi="Arial" w:cs="Arial"/>
          <w:color w:val="000000" w:themeColor="text1"/>
          <w:sz w:val="22"/>
          <w:lang w:val="es-ES_tradnl"/>
        </w:rPr>
        <w:t>referido artículo puede afectar la validez de los actos administrativos del procedimiento licitatorio, así como del contrato posteriormente celebrado</w:t>
      </w:r>
      <w:r w:rsidR="003C75CA">
        <w:rPr>
          <w:rFonts w:ascii="Arial" w:eastAsia="Calibri" w:hAnsi="Arial" w:cs="Arial"/>
          <w:color w:val="000000" w:themeColor="text1"/>
          <w:sz w:val="22"/>
          <w:lang w:val="es-ES_tradnl"/>
        </w:rPr>
        <w:t>, de conformidad con los artículos 25, numeral</w:t>
      </w:r>
      <w:r w:rsidR="00E36446">
        <w:rPr>
          <w:rFonts w:ascii="Arial" w:eastAsia="Calibri" w:hAnsi="Arial" w:cs="Arial"/>
          <w:color w:val="000000" w:themeColor="text1"/>
          <w:sz w:val="22"/>
          <w:lang w:val="es-ES_tradnl"/>
        </w:rPr>
        <w:t xml:space="preserve"> 1 y 44, numeral 4, de la Ley 80 de 1993 y 137 de la Ley 1437 de 2011.</w:t>
      </w:r>
    </w:p>
    <w:p w14:paraId="7D90474A" w14:textId="0F29978E" w:rsidR="005831D9" w:rsidRPr="00D4128C" w:rsidRDefault="005831D9" w:rsidP="00E34B9D">
      <w:pPr>
        <w:spacing w:after="120"/>
        <w:ind w:right="709"/>
        <w:jc w:val="both"/>
        <w:rPr>
          <w:rFonts w:ascii="Arial" w:hAnsi="Arial" w:cs="Arial"/>
          <w:color w:val="000000" w:themeColor="text1"/>
          <w:sz w:val="21"/>
          <w:szCs w:val="21"/>
          <w:lang w:val="es-ES_tradnl"/>
        </w:rPr>
      </w:pPr>
    </w:p>
    <w:p w14:paraId="7B2C921D" w14:textId="0383AF9A" w:rsidR="00DD5B04" w:rsidRPr="00D4128C" w:rsidRDefault="00DD5B04" w:rsidP="00DF76A2">
      <w:pPr>
        <w:spacing w:line="276" w:lineRule="auto"/>
        <w:jc w:val="both"/>
        <w:rPr>
          <w:rFonts w:ascii="Arial" w:hAnsi="Arial" w:cs="Arial"/>
          <w:color w:val="000000" w:themeColor="text1"/>
          <w:sz w:val="22"/>
          <w:lang w:val="es-ES_tradnl"/>
        </w:rPr>
      </w:pPr>
      <w:r w:rsidRPr="00D4128C">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D4128C"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D4128C"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4128C">
        <w:rPr>
          <w:rFonts w:ascii="Arial" w:hAnsi="Arial" w:cs="Arial"/>
          <w:color w:val="000000" w:themeColor="text1"/>
          <w:sz w:val="22"/>
          <w:szCs w:val="22"/>
          <w:lang w:val="es-ES_tradnl"/>
        </w:rPr>
        <w:t>Atentamente,</w:t>
      </w:r>
    </w:p>
    <w:p w14:paraId="692FC307" w14:textId="210AA6B5" w:rsidR="00921304" w:rsidRPr="00D4128C"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77AAF44" w:rsidR="00921304" w:rsidRPr="00D4128C" w:rsidRDefault="006A1B1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8A2A3FD" wp14:editId="3279E40C">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D4128C" w:rsidRDefault="00425C43" w:rsidP="00B37657">
      <w:pPr>
        <w:jc w:val="center"/>
        <w:rPr>
          <w:rFonts w:ascii="Arial" w:hAnsi="Arial" w:cs="Arial"/>
          <w:color w:val="000000" w:themeColor="text1"/>
          <w:sz w:val="18"/>
          <w:szCs w:val="20"/>
          <w:lang w:val="es-ES_tradnl" w:eastAsia="es-CO"/>
        </w:rPr>
      </w:pPr>
    </w:p>
    <w:p w14:paraId="49730030" w14:textId="217D35F3" w:rsidR="00DD5B04" w:rsidRPr="00D4128C"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128C" w14:paraId="0C7DC5F7" w14:textId="77777777" w:rsidTr="00DF6CCA">
        <w:trPr>
          <w:trHeight w:val="315"/>
        </w:trPr>
        <w:tc>
          <w:tcPr>
            <w:tcW w:w="812" w:type="dxa"/>
            <w:vAlign w:val="center"/>
            <w:hideMark/>
          </w:tcPr>
          <w:p w14:paraId="5BDB1AC9" w14:textId="77777777" w:rsidR="00DD5B04" w:rsidRPr="00D4128C" w:rsidRDefault="00DD5B04" w:rsidP="00DF76A2">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D4128C" w:rsidRDefault="00DD5B04" w:rsidP="00DF76A2">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Cristian Andrés Díaz Díez</w:t>
            </w:r>
          </w:p>
          <w:p w14:paraId="240C71FD" w14:textId="31312C95" w:rsidR="00DD5B04" w:rsidRPr="00D4128C" w:rsidRDefault="00DD5B04" w:rsidP="00DF76A2">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Contratista</w:t>
            </w:r>
            <w:r w:rsidR="00FF0050" w:rsidRPr="00D4128C">
              <w:rPr>
                <w:rFonts w:ascii="Arial" w:hAnsi="Arial" w:cs="Arial"/>
                <w:color w:val="000000" w:themeColor="text1"/>
                <w:sz w:val="16"/>
                <w:szCs w:val="16"/>
                <w:lang w:val="es-ES_tradnl" w:eastAsia="es-ES"/>
              </w:rPr>
              <w:t xml:space="preserve"> de la </w:t>
            </w:r>
            <w:r w:rsidRPr="00D4128C">
              <w:rPr>
                <w:rFonts w:ascii="Arial" w:hAnsi="Arial" w:cs="Arial"/>
                <w:color w:val="000000" w:themeColor="text1"/>
                <w:sz w:val="16"/>
                <w:szCs w:val="16"/>
                <w:lang w:val="es-ES_tradnl" w:eastAsia="es-ES"/>
              </w:rPr>
              <w:t>Subdirección de Gestión Contractual</w:t>
            </w:r>
          </w:p>
        </w:tc>
      </w:tr>
      <w:tr w:rsidR="00DD5B04" w:rsidRPr="00D4128C" w14:paraId="2F8FD650" w14:textId="77777777" w:rsidTr="00DF6CCA">
        <w:trPr>
          <w:trHeight w:val="330"/>
        </w:trPr>
        <w:tc>
          <w:tcPr>
            <w:tcW w:w="812" w:type="dxa"/>
            <w:vAlign w:val="center"/>
            <w:hideMark/>
          </w:tcPr>
          <w:p w14:paraId="50203A0B" w14:textId="77777777" w:rsidR="00DD5B04" w:rsidRPr="00D4128C" w:rsidRDefault="00DD5B04" w:rsidP="00DF76A2">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487F64" w14:textId="77777777" w:rsidR="00995B3A" w:rsidRPr="00D4128C" w:rsidRDefault="00995B3A" w:rsidP="00995B3A">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Juan David Montoya Penagos</w:t>
            </w:r>
          </w:p>
          <w:p w14:paraId="130B3228" w14:textId="174BE431" w:rsidR="00DD5B04" w:rsidRPr="00D4128C" w:rsidRDefault="00995B3A" w:rsidP="00995B3A">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Gestor T1-15 de la Subdirección de Gestión Contractual</w:t>
            </w:r>
          </w:p>
        </w:tc>
      </w:tr>
      <w:tr w:rsidR="00DD5B04" w:rsidRPr="00D4128C" w14:paraId="0FCBCA4A" w14:textId="77777777" w:rsidTr="00DF6CCA">
        <w:trPr>
          <w:trHeight w:val="300"/>
        </w:trPr>
        <w:tc>
          <w:tcPr>
            <w:tcW w:w="812" w:type="dxa"/>
            <w:vAlign w:val="center"/>
            <w:hideMark/>
          </w:tcPr>
          <w:p w14:paraId="3C1D943A" w14:textId="77777777" w:rsidR="00DD5B04" w:rsidRPr="00D4128C" w:rsidRDefault="00DD5B04" w:rsidP="00DF76A2">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D4128C" w:rsidRDefault="00134E7E" w:rsidP="00134E7E">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Jorge Augusto Tirado Navarro</w:t>
            </w:r>
          </w:p>
          <w:p w14:paraId="1ADC483B" w14:textId="1C385A7F" w:rsidR="00DD5B04" w:rsidRPr="00D4128C" w:rsidRDefault="00134E7E" w:rsidP="00134E7E">
            <w:pPr>
              <w:jc w:val="both"/>
              <w:rPr>
                <w:rFonts w:ascii="Arial" w:hAnsi="Arial" w:cs="Arial"/>
                <w:color w:val="000000" w:themeColor="text1"/>
                <w:sz w:val="16"/>
                <w:szCs w:val="16"/>
                <w:lang w:val="es-ES_tradnl" w:eastAsia="es-ES"/>
              </w:rPr>
            </w:pPr>
            <w:r w:rsidRPr="00D4128C">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D4128C" w:rsidRDefault="00746E08" w:rsidP="00215B8E">
      <w:pPr>
        <w:jc w:val="both"/>
        <w:rPr>
          <w:rFonts w:ascii="Arial" w:hAnsi="Arial" w:cs="Arial"/>
          <w:lang w:val="es-ES_tradnl"/>
        </w:rPr>
      </w:pPr>
    </w:p>
    <w:sectPr w:rsidR="00746E08" w:rsidRPr="00D4128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C471" w14:textId="77777777" w:rsidR="00445B09" w:rsidRDefault="00445B09">
      <w:r>
        <w:separator/>
      </w:r>
    </w:p>
  </w:endnote>
  <w:endnote w:type="continuationSeparator" w:id="0">
    <w:p w14:paraId="19E0FFB5" w14:textId="77777777" w:rsidR="00445B09" w:rsidRDefault="00445B09">
      <w:r>
        <w:continuationSeparator/>
      </w:r>
    </w:p>
  </w:endnote>
  <w:endnote w:type="continuationNotice" w:id="1">
    <w:p w14:paraId="14B8A836" w14:textId="77777777" w:rsidR="00445B09" w:rsidRDefault="0044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BA99" w14:textId="77777777" w:rsidR="00445B09" w:rsidRDefault="00445B09">
      <w:r>
        <w:separator/>
      </w:r>
    </w:p>
  </w:footnote>
  <w:footnote w:type="continuationSeparator" w:id="0">
    <w:p w14:paraId="5774CAFC" w14:textId="77777777" w:rsidR="00445B09" w:rsidRDefault="00445B09">
      <w:r>
        <w:continuationSeparator/>
      </w:r>
    </w:p>
  </w:footnote>
  <w:footnote w:type="continuationNotice" w:id="1">
    <w:p w14:paraId="1C812988" w14:textId="77777777" w:rsidR="00445B09" w:rsidRDefault="00445B09"/>
  </w:footnote>
  <w:footnote w:id="2">
    <w:p w14:paraId="6BE1DEA8" w14:textId="1600D1E2" w:rsidR="002F4F20" w:rsidRPr="00827F1D" w:rsidRDefault="002F4F20" w:rsidP="00827F1D">
      <w:pPr>
        <w:pStyle w:val="Textonotapie"/>
        <w:ind w:firstLine="709"/>
        <w:jc w:val="both"/>
        <w:rPr>
          <w:rFonts w:ascii="Arial" w:hAnsi="Arial" w:cs="Arial"/>
          <w:sz w:val="19"/>
          <w:szCs w:val="19"/>
          <w:lang w:val="es-CO"/>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CO"/>
        </w:rPr>
        <w:t>Consejo de Estado</w:t>
      </w:r>
      <w:r w:rsidR="00E5511A" w:rsidRPr="00827F1D">
        <w:rPr>
          <w:rFonts w:ascii="Arial" w:hAnsi="Arial" w:cs="Arial"/>
          <w:sz w:val="19"/>
          <w:szCs w:val="19"/>
          <w:lang w:val="es-CO"/>
        </w:rPr>
        <w:t xml:space="preserve">. </w:t>
      </w:r>
      <w:r w:rsidRPr="00827F1D">
        <w:rPr>
          <w:rFonts w:ascii="Arial" w:hAnsi="Arial" w:cs="Arial"/>
          <w:sz w:val="19"/>
          <w:szCs w:val="19"/>
          <w:lang w:val="es-CO"/>
        </w:rPr>
        <w:t>Sección Tercera</w:t>
      </w:r>
      <w:r w:rsidR="00E5511A" w:rsidRPr="00827F1D">
        <w:rPr>
          <w:rFonts w:ascii="Arial" w:hAnsi="Arial" w:cs="Arial"/>
          <w:sz w:val="19"/>
          <w:szCs w:val="19"/>
          <w:lang w:val="es-CO"/>
        </w:rPr>
        <w:t xml:space="preserve">. </w:t>
      </w:r>
      <w:r w:rsidRPr="00827F1D">
        <w:rPr>
          <w:rFonts w:ascii="Arial" w:hAnsi="Arial" w:cs="Arial"/>
          <w:sz w:val="19"/>
          <w:szCs w:val="19"/>
          <w:lang w:val="es-CO"/>
        </w:rPr>
        <w:t>Sentencia del 23 de marzo de 2017. C</w:t>
      </w:r>
      <w:r w:rsidR="00E5511A" w:rsidRPr="00827F1D">
        <w:rPr>
          <w:rFonts w:ascii="Arial" w:hAnsi="Arial" w:cs="Arial"/>
          <w:sz w:val="19"/>
          <w:szCs w:val="19"/>
          <w:lang w:val="es-CO"/>
        </w:rPr>
        <w:t xml:space="preserve">onsejera </w:t>
      </w:r>
      <w:r w:rsidRPr="00827F1D">
        <w:rPr>
          <w:rFonts w:ascii="Arial" w:hAnsi="Arial" w:cs="Arial"/>
          <w:sz w:val="19"/>
          <w:szCs w:val="19"/>
          <w:lang w:val="es-CO"/>
        </w:rPr>
        <w:t>P</w:t>
      </w:r>
      <w:r w:rsidR="00E5511A" w:rsidRPr="00827F1D">
        <w:rPr>
          <w:rFonts w:ascii="Arial" w:hAnsi="Arial" w:cs="Arial"/>
          <w:sz w:val="19"/>
          <w:szCs w:val="19"/>
          <w:lang w:val="es-CO"/>
        </w:rPr>
        <w:t>onente</w:t>
      </w:r>
      <w:r w:rsidRPr="00827F1D">
        <w:rPr>
          <w:rFonts w:ascii="Arial" w:hAnsi="Arial" w:cs="Arial"/>
          <w:sz w:val="19"/>
          <w:szCs w:val="19"/>
          <w:lang w:val="es-CO"/>
        </w:rPr>
        <w:t>: Marta Nubia Velásquez Rico. Exp</w:t>
      </w:r>
      <w:r w:rsidR="00E5511A" w:rsidRPr="00827F1D">
        <w:rPr>
          <w:rFonts w:ascii="Arial" w:hAnsi="Arial" w:cs="Arial"/>
          <w:sz w:val="19"/>
          <w:szCs w:val="19"/>
          <w:lang w:val="es-CO"/>
        </w:rPr>
        <w:t xml:space="preserve">ediente: </w:t>
      </w:r>
      <w:r w:rsidRPr="00827F1D">
        <w:rPr>
          <w:rFonts w:ascii="Arial" w:hAnsi="Arial" w:cs="Arial"/>
          <w:sz w:val="19"/>
          <w:szCs w:val="19"/>
          <w:lang w:val="es-CO"/>
        </w:rPr>
        <w:t>51526</w:t>
      </w:r>
      <w:r w:rsidR="00E5511A" w:rsidRPr="00827F1D">
        <w:rPr>
          <w:rFonts w:ascii="Arial" w:hAnsi="Arial" w:cs="Arial"/>
          <w:sz w:val="19"/>
          <w:szCs w:val="19"/>
          <w:lang w:val="es-CO"/>
        </w:rPr>
        <w:t>.</w:t>
      </w:r>
    </w:p>
  </w:footnote>
  <w:footnote w:id="3">
    <w:p w14:paraId="5327D3E8" w14:textId="7DFE10C0" w:rsidR="002F4F20" w:rsidRPr="00827F1D" w:rsidRDefault="002F4F20" w:rsidP="00827F1D">
      <w:pPr>
        <w:pStyle w:val="Textonotapie"/>
        <w:ind w:firstLine="709"/>
        <w:jc w:val="both"/>
        <w:rPr>
          <w:rFonts w:ascii="Arial" w:hAnsi="Arial" w:cs="Arial"/>
          <w:sz w:val="19"/>
          <w:szCs w:val="19"/>
        </w:rPr>
      </w:pPr>
      <w:r w:rsidRPr="00827F1D">
        <w:rPr>
          <w:rFonts w:ascii="Arial" w:hAnsi="Arial" w:cs="Arial"/>
          <w:sz w:val="19"/>
          <w:szCs w:val="19"/>
          <w:vertAlign w:val="superscript"/>
        </w:rPr>
        <w:footnoteRef/>
      </w:r>
      <w:r w:rsidRPr="00827F1D">
        <w:rPr>
          <w:rFonts w:ascii="Arial" w:hAnsi="Arial" w:cs="Arial"/>
          <w:sz w:val="19"/>
          <w:szCs w:val="19"/>
          <w:vertAlign w:val="superscript"/>
        </w:rPr>
        <w:t xml:space="preserve"> </w:t>
      </w:r>
      <w:r w:rsidR="0099522B" w:rsidRPr="00827F1D">
        <w:rPr>
          <w:rFonts w:ascii="Arial" w:hAnsi="Arial" w:cs="Arial"/>
          <w:sz w:val="19"/>
          <w:szCs w:val="19"/>
          <w:vertAlign w:val="superscript"/>
        </w:rPr>
        <w:t>«</w:t>
      </w:r>
      <w:r w:rsidRPr="00827F1D">
        <w:rPr>
          <w:rFonts w:ascii="Arial" w:hAnsi="Arial" w:cs="Arial"/>
          <w:sz w:val="19"/>
          <w:szCs w:val="19"/>
        </w:rPr>
        <w:t>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39F9554E" w14:textId="1CA40F6B" w:rsidR="002F4F20" w:rsidRPr="00827F1D" w:rsidRDefault="0099522B" w:rsidP="00827F1D">
      <w:pPr>
        <w:pStyle w:val="Textonotapie"/>
        <w:ind w:firstLine="709"/>
        <w:jc w:val="both"/>
        <w:rPr>
          <w:rFonts w:ascii="Arial" w:hAnsi="Arial" w:cs="Arial"/>
          <w:sz w:val="19"/>
          <w:szCs w:val="19"/>
        </w:rPr>
      </w:pPr>
      <w:r w:rsidRPr="00827F1D">
        <w:rPr>
          <w:rFonts w:ascii="Arial" w:hAnsi="Arial" w:cs="Arial"/>
          <w:sz w:val="19"/>
          <w:szCs w:val="19"/>
        </w:rPr>
        <w:t>»</w:t>
      </w:r>
      <w:r w:rsidR="002F4F20" w:rsidRPr="00827F1D">
        <w:rPr>
          <w:rFonts w:ascii="Arial" w:hAnsi="Arial" w:cs="Arial"/>
          <w:sz w:val="19"/>
          <w:szCs w:val="19"/>
        </w:rPr>
        <w:t>En la audiencia de asignación de Riesgos, la Entidad Estatal debe presentar el análisis de Riesgos efectuado y hacer la asignación de Riesgos definitiva.</w:t>
      </w:r>
    </w:p>
    <w:p w14:paraId="5CF04A3F" w14:textId="5B57BF7D" w:rsidR="0099522B" w:rsidRPr="00827F1D" w:rsidRDefault="0099522B" w:rsidP="00827F1D">
      <w:pPr>
        <w:pStyle w:val="Textonotapie"/>
        <w:ind w:firstLine="709"/>
        <w:jc w:val="both"/>
        <w:rPr>
          <w:rFonts w:ascii="Arial" w:hAnsi="Arial" w:cs="Arial"/>
          <w:sz w:val="19"/>
          <w:szCs w:val="19"/>
          <w:lang w:val="es-CO"/>
        </w:rPr>
      </w:pPr>
      <w:r w:rsidRPr="00827F1D">
        <w:rPr>
          <w:rFonts w:ascii="Arial" w:hAnsi="Arial" w:cs="Arial"/>
          <w:sz w:val="19"/>
          <w:szCs w:val="19"/>
        </w:rPr>
        <w:t>»[…]».</w:t>
      </w:r>
    </w:p>
  </w:footnote>
  <w:footnote w:id="4">
    <w:p w14:paraId="7C3BCBB3" w14:textId="15599080" w:rsidR="00496986" w:rsidRPr="00827F1D" w:rsidRDefault="00496986"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https://colombiacompra.gov.co/sites/default/files/normativas/conpes3714.pdf</w:t>
      </w:r>
    </w:p>
  </w:footnote>
  <w:footnote w:id="5">
    <w:p w14:paraId="214735F3" w14:textId="77777777" w:rsidR="00827F1D" w:rsidRDefault="00827F1D" w:rsidP="00827F1D">
      <w:pPr>
        <w:pStyle w:val="Textonotapie"/>
        <w:ind w:firstLine="709"/>
        <w:jc w:val="both"/>
        <w:rPr>
          <w:rFonts w:ascii="Arial" w:hAnsi="Arial"/>
          <w:sz w:val="19"/>
          <w:szCs w:val="19"/>
        </w:rPr>
      </w:pPr>
    </w:p>
    <w:p w14:paraId="590B7E03" w14:textId="37931988" w:rsidR="004E692E" w:rsidRPr="00827F1D" w:rsidRDefault="004E692E" w:rsidP="00827F1D">
      <w:pPr>
        <w:pStyle w:val="Textonotapie"/>
        <w:ind w:firstLine="709"/>
        <w:jc w:val="both"/>
        <w:rPr>
          <w:rFonts w:ascii="Arial" w:hAnsi="Arial"/>
          <w:sz w:val="19"/>
          <w:szCs w:val="19"/>
          <w:lang w:val="es-ES"/>
        </w:rPr>
      </w:pPr>
      <w:r w:rsidRPr="00827F1D">
        <w:rPr>
          <w:rStyle w:val="Refdenotaalpie"/>
          <w:rFonts w:ascii="Arial" w:hAnsi="Arial"/>
          <w:sz w:val="19"/>
          <w:szCs w:val="19"/>
        </w:rPr>
        <w:footnoteRef/>
      </w:r>
      <w:r w:rsidR="00827F1D" w:rsidRPr="00827F1D">
        <w:rPr>
          <w:rFonts w:ascii="Arial" w:hAnsi="Arial"/>
          <w:sz w:val="19"/>
          <w:szCs w:val="19"/>
        </w:rPr>
        <w:t>https://colombiacompra.gov.co/sites/cce_public/files/cce_documents/cce_manual_cobertura_riesgo.pdf</w:t>
      </w:r>
    </w:p>
  </w:footnote>
  <w:footnote w:id="6">
    <w:p w14:paraId="2D4A6C00" w14:textId="77777777" w:rsidR="002F4F20" w:rsidRPr="00827F1D" w:rsidRDefault="002F4F20" w:rsidP="00827F1D">
      <w:pPr>
        <w:pStyle w:val="Textonotapie"/>
        <w:ind w:firstLine="709"/>
        <w:jc w:val="both"/>
        <w:rPr>
          <w:rFonts w:ascii="Arial" w:hAnsi="Arial" w:cs="Arial"/>
          <w:sz w:val="19"/>
          <w:szCs w:val="19"/>
          <w:lang w:val="es-CO"/>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CO"/>
        </w:rPr>
        <w:t>Consejo de Estado. Sección Tercera, Sentencia del 23 de marzo de 2017. C.P: Marta Nubia Velásquez Rico. Exp.51526</w:t>
      </w:r>
    </w:p>
  </w:footnote>
  <w:footnote w:id="7">
    <w:p w14:paraId="1B1E0D99" w14:textId="77777777" w:rsidR="002F4F20" w:rsidRPr="00827F1D" w:rsidRDefault="002F4F20" w:rsidP="00827F1D">
      <w:pPr>
        <w:pStyle w:val="Textonotapie"/>
        <w:ind w:firstLine="709"/>
        <w:jc w:val="both"/>
        <w:rPr>
          <w:rFonts w:ascii="Arial" w:hAnsi="Arial" w:cs="Arial"/>
          <w:sz w:val="19"/>
          <w:szCs w:val="19"/>
          <w:lang w:val="es-CO"/>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CO"/>
        </w:rPr>
        <w:t xml:space="preserve">Ibídem </w:t>
      </w:r>
    </w:p>
  </w:footnote>
  <w:footnote w:id="8">
    <w:p w14:paraId="6F624432" w14:textId="746AC571" w:rsidR="00C405FE" w:rsidRPr="00827F1D" w:rsidRDefault="00E412AC"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ES"/>
        </w:rPr>
        <w:t xml:space="preserve">En efecto, el referido numeral </w:t>
      </w:r>
      <w:r w:rsidR="00C405FE" w:rsidRPr="00827F1D">
        <w:rPr>
          <w:rFonts w:ascii="Arial" w:hAnsi="Arial" w:cs="Arial"/>
          <w:sz w:val="19"/>
          <w:szCs w:val="19"/>
          <w:lang w:val="es-ES"/>
        </w:rPr>
        <w:t>establecía: «Dentro de los tres (3) días hábiles siguientes al inicio del plazo para la presentación de propuestas y a solicitud de cualquiera de las personas que retiraron pliegos de condiciones, se celebrará una audiencia con el objeto de precisar el contenido y alcance de los mencionados documentos y de oír a los interesados, de lo cual se levantará un acta suscrita por los intervinientes.</w:t>
      </w:r>
    </w:p>
    <w:p w14:paraId="38BA4080" w14:textId="3F258892" w:rsidR="00C405FE" w:rsidRPr="00827F1D" w:rsidRDefault="004C183D" w:rsidP="00827F1D">
      <w:pPr>
        <w:pStyle w:val="Textonotapie"/>
        <w:ind w:firstLine="709"/>
        <w:jc w:val="both"/>
        <w:rPr>
          <w:rFonts w:ascii="Arial" w:hAnsi="Arial" w:cs="Arial"/>
          <w:sz w:val="19"/>
          <w:szCs w:val="19"/>
          <w:lang w:val="es-ES"/>
        </w:rPr>
      </w:pPr>
      <w:r w:rsidRPr="00827F1D">
        <w:rPr>
          <w:rFonts w:ascii="Arial" w:hAnsi="Arial" w:cs="Arial"/>
          <w:sz w:val="19"/>
          <w:szCs w:val="19"/>
          <w:lang w:val="es-ES"/>
        </w:rPr>
        <w:t>»</w:t>
      </w:r>
      <w:r w:rsidR="00C405FE" w:rsidRPr="00827F1D">
        <w:rPr>
          <w:rFonts w:ascii="Arial" w:hAnsi="Arial" w:cs="Arial"/>
          <w:sz w:val="19"/>
          <w:szCs w:val="19"/>
          <w:lang w:val="es-ES"/>
        </w:rPr>
        <w:t>Como resultado de lo debatido en la audiencia y cuando resulte conveniente, el jefe o representante de la entidad expedirá las modificaciones pertinentes a dichos documentos y prorrogará, si fuere necesario, el plazo de la licitación hasta por seis (6) días hábiles.</w:t>
      </w:r>
    </w:p>
    <w:p w14:paraId="0125990A" w14:textId="6A521F28" w:rsidR="00E412AC" w:rsidRPr="00827F1D" w:rsidRDefault="004C183D" w:rsidP="00827F1D">
      <w:pPr>
        <w:pStyle w:val="Textonotapie"/>
        <w:ind w:firstLine="709"/>
        <w:jc w:val="both"/>
        <w:rPr>
          <w:rFonts w:ascii="Arial" w:hAnsi="Arial" w:cs="Arial"/>
          <w:sz w:val="19"/>
          <w:szCs w:val="19"/>
          <w:lang w:val="es-ES"/>
        </w:rPr>
      </w:pPr>
      <w:r w:rsidRPr="00827F1D">
        <w:rPr>
          <w:rFonts w:ascii="Arial" w:hAnsi="Arial" w:cs="Arial"/>
          <w:sz w:val="19"/>
          <w:szCs w:val="19"/>
          <w:lang w:val="es-ES"/>
        </w:rPr>
        <w:t>»</w:t>
      </w:r>
      <w:r w:rsidR="00C405FE" w:rsidRPr="00827F1D">
        <w:rPr>
          <w:rFonts w:ascii="Arial" w:hAnsi="Arial" w:cs="Arial"/>
          <w:sz w:val="19"/>
          <w:szCs w:val="19"/>
          <w:lang w:val="es-ES"/>
        </w:rPr>
        <w:t>Lo anterior no impide que dentro del plazo de la licitación, cualquier interesado pueda solicitar aclaraciones adicionales que la entidad contratante responderá mediante comunicación escrita, copia de la cual enviará a todos y cada una de las personas que retiraron pliegos</w:t>
      </w:r>
      <w:r w:rsidRPr="00827F1D">
        <w:rPr>
          <w:rFonts w:ascii="Arial" w:hAnsi="Arial" w:cs="Arial"/>
          <w:sz w:val="19"/>
          <w:szCs w:val="19"/>
          <w:lang w:val="es-ES"/>
        </w:rPr>
        <w:t>»</w:t>
      </w:r>
      <w:r w:rsidR="00C405FE" w:rsidRPr="00827F1D">
        <w:rPr>
          <w:rFonts w:ascii="Arial" w:hAnsi="Arial" w:cs="Arial"/>
          <w:sz w:val="19"/>
          <w:szCs w:val="19"/>
          <w:lang w:val="es-ES"/>
        </w:rPr>
        <w:t>.</w:t>
      </w:r>
    </w:p>
  </w:footnote>
  <w:footnote w:id="9">
    <w:p w14:paraId="114F8FC4" w14:textId="12061F67" w:rsidR="00F16ACD" w:rsidRPr="00827F1D" w:rsidRDefault="00F16ACD"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00FB4C9F" w:rsidRPr="00827F1D">
        <w:rPr>
          <w:rFonts w:ascii="Arial" w:hAnsi="Arial" w:cs="Arial"/>
          <w:sz w:val="19"/>
          <w:szCs w:val="19"/>
        </w:rPr>
        <w:t xml:space="preserve">Así se lee en la decisión: </w:t>
      </w:r>
      <w:r w:rsidR="00D261E5" w:rsidRPr="00827F1D">
        <w:rPr>
          <w:rFonts w:ascii="Arial" w:hAnsi="Arial" w:cs="Arial"/>
          <w:sz w:val="19"/>
          <w:szCs w:val="19"/>
        </w:rPr>
        <w:t>«</w:t>
      </w:r>
      <w:r w:rsidR="00D261E5" w:rsidRPr="00827F1D">
        <w:rPr>
          <w:rFonts w:ascii="Arial" w:hAnsi="Arial" w:cs="Arial"/>
          <w:sz w:val="19"/>
          <w:szCs w:val="19"/>
          <w:lang w:val="es-ES"/>
        </w:rPr>
        <w:t>DECRÉTASE la suspensión provisional de los efectos de la expresión demandada del parágrafo del artículo 88 del Decreto 2474 de 2008: “A criterio de la entidad, (...) podrá coincidir con aquella de que trata el numeral 4 del artículo 30 de la Ley 80 de 1993, o...</w:t>
      </w:r>
      <w:r w:rsidR="005B48BD" w:rsidRPr="00827F1D">
        <w:rPr>
          <w:rFonts w:ascii="Arial" w:hAnsi="Arial" w:cs="Arial"/>
          <w:sz w:val="19"/>
          <w:szCs w:val="19"/>
          <w:lang w:val="es-ES"/>
        </w:rPr>
        <w:t>”</w:t>
      </w:r>
      <w:r w:rsidR="00D261E5" w:rsidRPr="00827F1D">
        <w:rPr>
          <w:rFonts w:ascii="Arial" w:hAnsi="Arial" w:cs="Arial"/>
          <w:sz w:val="19"/>
          <w:szCs w:val="19"/>
          <w:lang w:val="es-ES"/>
        </w:rPr>
        <w:t xml:space="preserve">» (Consejo de Estado. </w:t>
      </w:r>
      <w:r w:rsidR="005B48BD" w:rsidRPr="00827F1D">
        <w:rPr>
          <w:rFonts w:ascii="Arial" w:hAnsi="Arial" w:cs="Arial"/>
          <w:sz w:val="19"/>
          <w:szCs w:val="19"/>
          <w:lang w:val="es-ES"/>
        </w:rPr>
        <w:t xml:space="preserve">Sección Tercera. </w:t>
      </w:r>
      <w:r w:rsidR="00EF3FAE" w:rsidRPr="00827F1D">
        <w:rPr>
          <w:rFonts w:ascii="Arial" w:hAnsi="Arial" w:cs="Arial"/>
          <w:sz w:val="19"/>
          <w:szCs w:val="19"/>
          <w:lang w:val="es-ES"/>
        </w:rPr>
        <w:t xml:space="preserve">Auto del 1 de abril de 2009. Consejera Ponente: Ruth Stella Correa Palacio. </w:t>
      </w:r>
      <w:r w:rsidR="00FB4C9F" w:rsidRPr="00827F1D">
        <w:rPr>
          <w:rFonts w:ascii="Arial" w:hAnsi="Arial" w:cs="Arial"/>
          <w:sz w:val="19"/>
          <w:szCs w:val="19"/>
          <w:lang w:val="es-ES"/>
        </w:rPr>
        <w:t>Expediente: 36476). Esta medida fue confirmada</w:t>
      </w:r>
      <w:r w:rsidR="00B95786" w:rsidRPr="00827F1D">
        <w:rPr>
          <w:rFonts w:ascii="Arial" w:hAnsi="Arial" w:cs="Arial"/>
          <w:sz w:val="19"/>
          <w:szCs w:val="19"/>
          <w:lang w:val="es-ES"/>
        </w:rPr>
        <w:t xml:space="preserve"> en el Auto del 27 de mayo de 2009, dentro del mismo expediente.</w:t>
      </w:r>
    </w:p>
  </w:footnote>
  <w:footnote w:id="10">
    <w:p w14:paraId="5EC53FD1" w14:textId="1E382DB0" w:rsidR="004900D4" w:rsidRPr="00827F1D" w:rsidRDefault="004900D4"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ES"/>
        </w:rPr>
        <w:t xml:space="preserve">Esta también ha sido la interpretación de la doctrina en la materia. Cfr. DÁVILA VINUEZA, Luis Guillermo. </w:t>
      </w:r>
      <w:r w:rsidR="00B85341" w:rsidRPr="00827F1D">
        <w:rPr>
          <w:rFonts w:ascii="Arial" w:hAnsi="Arial" w:cs="Arial"/>
          <w:sz w:val="19"/>
          <w:szCs w:val="19"/>
          <w:lang w:val="es-ES"/>
        </w:rPr>
        <w:t xml:space="preserve">Régimen jurídico de la contratación estatal. </w:t>
      </w:r>
      <w:r w:rsidR="00494E00" w:rsidRPr="00827F1D">
        <w:rPr>
          <w:rFonts w:ascii="Arial" w:hAnsi="Arial" w:cs="Arial"/>
          <w:sz w:val="19"/>
          <w:szCs w:val="19"/>
          <w:lang w:val="es-ES"/>
        </w:rPr>
        <w:t>3</w:t>
      </w:r>
      <w:r w:rsidR="00BA6E9B" w:rsidRPr="00827F1D">
        <w:rPr>
          <w:rFonts w:ascii="Arial" w:hAnsi="Arial" w:cs="Arial"/>
          <w:sz w:val="19"/>
          <w:szCs w:val="19"/>
          <w:lang w:val="es-ES"/>
        </w:rPr>
        <w:t xml:space="preserve">ª ed. </w:t>
      </w:r>
      <w:r w:rsidR="00B85341" w:rsidRPr="00827F1D">
        <w:rPr>
          <w:rFonts w:ascii="Arial" w:hAnsi="Arial" w:cs="Arial"/>
          <w:sz w:val="19"/>
          <w:szCs w:val="19"/>
          <w:lang w:val="es-ES"/>
        </w:rPr>
        <w:t>Bogotá: Legis, 2016</w:t>
      </w:r>
      <w:r w:rsidR="006B723F" w:rsidRPr="00827F1D">
        <w:rPr>
          <w:rFonts w:ascii="Arial" w:hAnsi="Arial" w:cs="Arial"/>
          <w:sz w:val="19"/>
          <w:szCs w:val="19"/>
          <w:lang w:val="es-ES"/>
        </w:rPr>
        <w:t>, quien afirma que</w:t>
      </w:r>
      <w:r w:rsidR="001751D8" w:rsidRPr="00827F1D">
        <w:rPr>
          <w:rFonts w:ascii="Arial" w:hAnsi="Arial" w:cs="Arial"/>
          <w:sz w:val="19"/>
          <w:szCs w:val="19"/>
          <w:lang w:val="es-ES"/>
        </w:rPr>
        <w:t xml:space="preserve"> el artículo 220 del Decreto 019 de 2012 establece que el momento de la audiencia de </w:t>
      </w:r>
      <w:r w:rsidR="00912462" w:rsidRPr="00827F1D">
        <w:rPr>
          <w:rFonts w:ascii="Arial" w:hAnsi="Arial" w:cs="Arial"/>
          <w:sz w:val="19"/>
          <w:szCs w:val="19"/>
          <w:lang w:val="es-ES"/>
        </w:rPr>
        <w:t>asignación de riesgos debe ser el mismo que el de la audiencia de aclaraciones al pliego de condiciones (</w:t>
      </w:r>
      <w:r w:rsidR="00B85341" w:rsidRPr="00827F1D">
        <w:rPr>
          <w:rFonts w:ascii="Arial" w:hAnsi="Arial" w:cs="Arial"/>
          <w:sz w:val="19"/>
          <w:szCs w:val="19"/>
          <w:lang w:val="es-ES"/>
        </w:rPr>
        <w:t>p. 431</w:t>
      </w:r>
      <w:r w:rsidR="00912462" w:rsidRPr="00827F1D">
        <w:rPr>
          <w:rFonts w:ascii="Arial" w:hAnsi="Arial" w:cs="Arial"/>
          <w:sz w:val="19"/>
          <w:szCs w:val="19"/>
          <w:lang w:val="es-ES"/>
        </w:rPr>
        <w:t>).</w:t>
      </w:r>
      <w:r w:rsidR="00B55230" w:rsidRPr="00827F1D">
        <w:rPr>
          <w:rFonts w:ascii="Arial" w:hAnsi="Arial" w:cs="Arial"/>
          <w:sz w:val="19"/>
          <w:szCs w:val="19"/>
          <w:lang w:val="es-ES"/>
        </w:rPr>
        <w:t xml:space="preserve"> En similar sentido, </w:t>
      </w:r>
      <w:r w:rsidR="0008205A" w:rsidRPr="00827F1D">
        <w:rPr>
          <w:rFonts w:ascii="Arial" w:hAnsi="Arial" w:cs="Arial"/>
          <w:sz w:val="19"/>
          <w:szCs w:val="19"/>
          <w:lang w:val="es-ES"/>
        </w:rPr>
        <w:t xml:space="preserve">Matallana sostiene que «En aplicación del artículo 220 del Decreto 019 de 2012 la audiencia de discusión de </w:t>
      </w:r>
      <w:r w:rsidR="00005639" w:rsidRPr="00827F1D">
        <w:rPr>
          <w:rFonts w:ascii="Arial" w:hAnsi="Arial" w:cs="Arial"/>
          <w:sz w:val="19"/>
          <w:szCs w:val="19"/>
          <w:lang w:val="es-ES"/>
        </w:rPr>
        <w:t xml:space="preserve">distribución de riesgos se programará conjuntamente con la audiencia de aclaraciones» (MATALLANA CAMACHO, Ernesto. </w:t>
      </w:r>
      <w:r w:rsidR="00812EB8" w:rsidRPr="00827F1D">
        <w:rPr>
          <w:rFonts w:ascii="Arial" w:hAnsi="Arial" w:cs="Arial"/>
          <w:sz w:val="19"/>
          <w:szCs w:val="19"/>
          <w:lang w:val="es-ES"/>
        </w:rPr>
        <w:t xml:space="preserve">Manual de contratación de la Administración pública. </w:t>
      </w:r>
      <w:r w:rsidR="00BE028B" w:rsidRPr="00827F1D">
        <w:rPr>
          <w:rFonts w:ascii="Arial" w:hAnsi="Arial" w:cs="Arial"/>
          <w:sz w:val="19"/>
          <w:szCs w:val="19"/>
          <w:lang w:val="es-ES"/>
        </w:rPr>
        <w:t xml:space="preserve">Reforma de la Ley 80 de 1993. 4ª ed. Bogotá: Universidad Externado de Colombia, 2015. p. </w:t>
      </w:r>
      <w:r w:rsidR="00812EB8" w:rsidRPr="00827F1D">
        <w:rPr>
          <w:rFonts w:ascii="Arial" w:hAnsi="Arial" w:cs="Arial"/>
          <w:sz w:val="19"/>
          <w:szCs w:val="19"/>
          <w:lang w:val="es-ES"/>
        </w:rPr>
        <w:t>595.</w:t>
      </w:r>
    </w:p>
  </w:footnote>
  <w:footnote w:id="11">
    <w:p w14:paraId="688AD855" w14:textId="73813C27" w:rsidR="00800016" w:rsidRPr="00827F1D" w:rsidRDefault="00800016" w:rsidP="00827F1D">
      <w:pPr>
        <w:ind w:firstLine="709"/>
        <w:jc w:val="both"/>
        <w:rPr>
          <w:rFonts w:ascii="Arial" w:eastAsiaTheme="minorHAnsi" w:hAnsi="Arial" w:cs="Arial"/>
          <w:sz w:val="19"/>
          <w:szCs w:val="19"/>
          <w:lang w:val="es-ES" w:eastAsia="en-U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Pr="00827F1D">
        <w:rPr>
          <w:rFonts w:ascii="Arial" w:hAnsi="Arial" w:cs="Arial"/>
          <w:sz w:val="19"/>
          <w:szCs w:val="19"/>
          <w:lang w:val="es-ES"/>
        </w:rPr>
        <w:t>Esta norma indica que la nulidad del acto administrativo «</w:t>
      </w:r>
      <w:r w:rsidRPr="00827F1D">
        <w:rPr>
          <w:rFonts w:ascii="Arial" w:eastAsiaTheme="minorHAnsi" w:hAnsi="Arial" w:cs="Arial"/>
          <w:sz w:val="19"/>
          <w:szCs w:val="19"/>
          <w:lang w:val="es-ES" w:eastAsia="en-US"/>
        </w:rPr>
        <w:t xml:space="preserve">Procederá cuando hayan sido expedidos con infracción de las normas en que deberían fundarse, o sin competencia, </w:t>
      </w:r>
      <w:r w:rsidRPr="00827F1D">
        <w:rPr>
          <w:rFonts w:ascii="Arial" w:eastAsiaTheme="minorHAnsi" w:hAnsi="Arial" w:cs="Arial"/>
          <w:i/>
          <w:iCs/>
          <w:sz w:val="19"/>
          <w:szCs w:val="19"/>
          <w:lang w:val="es-ES" w:eastAsia="en-US"/>
        </w:rPr>
        <w:t>o en forma irregular</w:t>
      </w:r>
      <w:r w:rsidRPr="00827F1D">
        <w:rPr>
          <w:rFonts w:ascii="Arial" w:eastAsiaTheme="minorHAnsi" w:hAnsi="Arial" w:cs="Arial"/>
          <w:sz w:val="19"/>
          <w:szCs w:val="19"/>
          <w:lang w:val="es-ES" w:eastAsia="en-US"/>
        </w:rPr>
        <w:t>, o con desconocimiento del derecho de audiencia y defensa, o mediante falsa motivación, o con desviación de las atribuciones propias de quien los profirió»</w:t>
      </w:r>
      <w:r w:rsidR="000A7AA2" w:rsidRPr="00827F1D">
        <w:rPr>
          <w:rFonts w:ascii="Arial" w:eastAsiaTheme="minorHAnsi" w:hAnsi="Arial" w:cs="Arial"/>
          <w:sz w:val="19"/>
          <w:szCs w:val="19"/>
          <w:lang w:val="es-ES" w:eastAsia="en-US"/>
        </w:rPr>
        <w:t xml:space="preserve"> (énfasis fuera de texto)</w:t>
      </w:r>
      <w:r w:rsidRPr="00827F1D">
        <w:rPr>
          <w:rFonts w:ascii="Arial" w:eastAsiaTheme="minorHAnsi" w:hAnsi="Arial" w:cs="Arial"/>
          <w:sz w:val="19"/>
          <w:szCs w:val="19"/>
          <w:lang w:val="es-ES" w:eastAsia="en-US"/>
        </w:rPr>
        <w:t>.</w:t>
      </w:r>
    </w:p>
    <w:p w14:paraId="3601A9D9" w14:textId="319A23D9" w:rsidR="00800016" w:rsidRPr="00827F1D" w:rsidRDefault="00800016" w:rsidP="00827F1D">
      <w:pPr>
        <w:pStyle w:val="Textonotapie"/>
        <w:ind w:firstLine="709"/>
        <w:jc w:val="both"/>
        <w:rPr>
          <w:rFonts w:ascii="Arial" w:hAnsi="Arial" w:cs="Arial"/>
          <w:sz w:val="19"/>
          <w:szCs w:val="19"/>
          <w:lang w:val="es-ES"/>
        </w:rPr>
      </w:pPr>
    </w:p>
  </w:footnote>
  <w:footnote w:id="12">
    <w:p w14:paraId="3DF0CF6B" w14:textId="6F3F7094" w:rsidR="004A5553" w:rsidRPr="00827F1D" w:rsidRDefault="004A5553"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00B94D8A" w:rsidRPr="00827F1D">
        <w:rPr>
          <w:rFonts w:ascii="Arial" w:hAnsi="Arial" w:cs="Arial"/>
          <w:sz w:val="19"/>
          <w:szCs w:val="19"/>
          <w:lang w:val="es-ES"/>
        </w:rPr>
        <w:t xml:space="preserve">GORDILLO, Agustín. </w:t>
      </w:r>
      <w:r w:rsidR="00874555" w:rsidRPr="00827F1D">
        <w:rPr>
          <w:rFonts w:ascii="Arial" w:hAnsi="Arial" w:cs="Arial"/>
          <w:sz w:val="19"/>
          <w:szCs w:val="19"/>
          <w:lang w:val="es-ES"/>
        </w:rPr>
        <w:t xml:space="preserve">Tratado de </w:t>
      </w:r>
      <w:r w:rsidR="008B7D6D" w:rsidRPr="00827F1D">
        <w:rPr>
          <w:rFonts w:ascii="Arial" w:hAnsi="Arial" w:cs="Arial"/>
          <w:sz w:val="19"/>
          <w:szCs w:val="19"/>
          <w:lang w:val="es-ES"/>
        </w:rPr>
        <w:t>d</w:t>
      </w:r>
      <w:r w:rsidR="00874555" w:rsidRPr="00827F1D">
        <w:rPr>
          <w:rFonts w:ascii="Arial" w:hAnsi="Arial" w:cs="Arial"/>
          <w:sz w:val="19"/>
          <w:szCs w:val="19"/>
          <w:lang w:val="es-ES"/>
        </w:rPr>
        <w:t xml:space="preserve">erecho administrativo y obras selectas. </w:t>
      </w:r>
      <w:r w:rsidR="00094E81" w:rsidRPr="00827F1D">
        <w:rPr>
          <w:rFonts w:ascii="Arial" w:hAnsi="Arial" w:cs="Arial"/>
          <w:sz w:val="19"/>
          <w:szCs w:val="19"/>
          <w:lang w:val="es-ES"/>
        </w:rPr>
        <w:t xml:space="preserve">Tomo 5. Primeras obras. Libro II. El acto administrativo. </w:t>
      </w:r>
      <w:r w:rsidR="008B7D6D" w:rsidRPr="00827F1D">
        <w:rPr>
          <w:rFonts w:ascii="Arial" w:hAnsi="Arial" w:cs="Arial"/>
          <w:sz w:val="19"/>
          <w:szCs w:val="19"/>
          <w:lang w:val="es-ES"/>
        </w:rPr>
        <w:t xml:space="preserve">Buenos Aires: Fundación de Derecho Administrativo, 2012. </w:t>
      </w:r>
      <w:r w:rsidR="00B94D8A" w:rsidRPr="00827F1D">
        <w:rPr>
          <w:rFonts w:ascii="Arial" w:hAnsi="Arial" w:cs="Arial"/>
          <w:sz w:val="19"/>
          <w:szCs w:val="19"/>
          <w:lang w:val="es-ES"/>
        </w:rPr>
        <w:t>p. EAA-IV</w:t>
      </w:r>
      <w:r w:rsidR="00060BCA" w:rsidRPr="00827F1D">
        <w:rPr>
          <w:rFonts w:ascii="Arial" w:hAnsi="Arial" w:cs="Arial"/>
          <w:sz w:val="19"/>
          <w:szCs w:val="19"/>
          <w:lang w:val="es-ES"/>
        </w:rPr>
        <w:t xml:space="preserve">-29. </w:t>
      </w:r>
    </w:p>
  </w:footnote>
  <w:footnote w:id="13">
    <w:p w14:paraId="5349E4FA" w14:textId="2AC55989" w:rsidR="00FB3157" w:rsidRPr="00827F1D" w:rsidRDefault="00FB3157" w:rsidP="00827F1D">
      <w:pPr>
        <w:pStyle w:val="Textonotapie"/>
        <w:ind w:firstLine="709"/>
        <w:jc w:val="both"/>
        <w:rPr>
          <w:rFonts w:ascii="Arial" w:hAnsi="Arial" w:cs="Arial"/>
          <w:sz w:val="19"/>
          <w:szCs w:val="19"/>
          <w:lang w:val="es-ES"/>
        </w:rPr>
      </w:pPr>
      <w:r w:rsidRPr="00827F1D">
        <w:rPr>
          <w:rStyle w:val="Refdenotaalpie"/>
          <w:rFonts w:ascii="Arial" w:hAnsi="Arial" w:cs="Arial"/>
          <w:sz w:val="19"/>
          <w:szCs w:val="19"/>
        </w:rPr>
        <w:footnoteRef/>
      </w:r>
      <w:r w:rsidRPr="00827F1D">
        <w:rPr>
          <w:rFonts w:ascii="Arial" w:hAnsi="Arial" w:cs="Arial"/>
          <w:sz w:val="19"/>
          <w:szCs w:val="19"/>
        </w:rPr>
        <w:t xml:space="preserve"> </w:t>
      </w:r>
      <w:r w:rsidR="002C6EF1" w:rsidRPr="00827F1D">
        <w:rPr>
          <w:rFonts w:ascii="Arial" w:hAnsi="Arial" w:cs="Arial"/>
          <w:sz w:val="19"/>
          <w:szCs w:val="19"/>
        </w:rPr>
        <w:t xml:space="preserve">Consejo de Estado. Sección Tercera. </w:t>
      </w:r>
      <w:r w:rsidR="00EB3D29" w:rsidRPr="00827F1D">
        <w:rPr>
          <w:rFonts w:ascii="Arial" w:hAnsi="Arial" w:cs="Arial"/>
          <w:sz w:val="19"/>
          <w:szCs w:val="19"/>
        </w:rPr>
        <w:t>Sentencia del 28 de mayo de 2015.</w:t>
      </w:r>
      <w:r w:rsidR="008F74CC" w:rsidRPr="00827F1D">
        <w:rPr>
          <w:rFonts w:ascii="Arial" w:hAnsi="Arial" w:cs="Arial"/>
          <w:sz w:val="19"/>
          <w:szCs w:val="19"/>
        </w:rPr>
        <w:t xml:space="preserve"> Consejero Ponente: </w:t>
      </w:r>
      <w:r w:rsidR="00741409" w:rsidRPr="00827F1D">
        <w:rPr>
          <w:rFonts w:ascii="Arial" w:eastAsia="Calibri" w:hAnsi="Arial" w:cs="Arial"/>
          <w:bCs/>
          <w:sz w:val="19"/>
          <w:szCs w:val="19"/>
          <w:lang w:val="es-CO"/>
        </w:rPr>
        <w:t>Danilo Rojas Betancourth</w:t>
      </w:r>
      <w:r w:rsidR="00FA7779" w:rsidRPr="00827F1D">
        <w:rPr>
          <w:rFonts w:ascii="Arial" w:eastAsia="Calibri" w:hAnsi="Arial" w:cs="Arial"/>
          <w:bCs/>
          <w:sz w:val="19"/>
          <w:szCs w:val="19"/>
          <w:lang w:val="es-CO"/>
        </w:rPr>
        <w:t xml:space="preserve">. Expediente: </w:t>
      </w:r>
      <w:r w:rsidR="008F74CC" w:rsidRPr="00827F1D">
        <w:rPr>
          <w:rFonts w:ascii="Arial" w:eastAsia="Calibri" w:hAnsi="Arial" w:cs="Arial"/>
          <w:bCs/>
          <w:sz w:val="19"/>
          <w:szCs w:val="19"/>
          <w:lang w:val="es-CO"/>
        </w:rPr>
        <w:t>28239.</w:t>
      </w:r>
    </w:p>
  </w:footnote>
  <w:footnote w:id="14">
    <w:p w14:paraId="1F85F904" w14:textId="216172E7" w:rsidR="00DB4A12" w:rsidRPr="00827F1D" w:rsidRDefault="00DB4A12" w:rsidP="00827F1D">
      <w:pPr>
        <w:pStyle w:val="Textonotapie"/>
        <w:ind w:firstLine="709"/>
        <w:jc w:val="both"/>
        <w:rPr>
          <w:rFonts w:ascii="Arial" w:hAnsi="Arial" w:cs="Arial"/>
          <w:sz w:val="19"/>
          <w:szCs w:val="19"/>
        </w:rPr>
      </w:pPr>
      <w:r w:rsidRPr="00827F1D">
        <w:rPr>
          <w:rStyle w:val="Refdenotaalpie"/>
          <w:rFonts w:ascii="Arial" w:hAnsi="Arial" w:cs="Arial"/>
          <w:sz w:val="19"/>
          <w:szCs w:val="19"/>
        </w:rPr>
        <w:footnoteRef/>
      </w:r>
      <w:r w:rsidRPr="00827F1D">
        <w:rPr>
          <w:rFonts w:ascii="Arial" w:hAnsi="Arial" w:cs="Arial"/>
          <w:sz w:val="19"/>
          <w:szCs w:val="19"/>
        </w:rPr>
        <w:t xml:space="preserve"> Consejo de Estado</w:t>
      </w:r>
      <w:r w:rsidR="008F74CC" w:rsidRPr="00827F1D">
        <w:rPr>
          <w:rFonts w:ascii="Arial" w:hAnsi="Arial" w:cs="Arial"/>
          <w:sz w:val="19"/>
          <w:szCs w:val="19"/>
        </w:rPr>
        <w:t xml:space="preserve">. </w:t>
      </w:r>
      <w:r w:rsidRPr="00827F1D">
        <w:rPr>
          <w:rFonts w:ascii="Arial" w:hAnsi="Arial" w:cs="Arial"/>
          <w:sz w:val="19"/>
          <w:szCs w:val="19"/>
        </w:rPr>
        <w:t>Sección Tercera</w:t>
      </w:r>
      <w:r w:rsidR="008F74CC" w:rsidRPr="00827F1D">
        <w:rPr>
          <w:rFonts w:ascii="Arial" w:hAnsi="Arial" w:cs="Arial"/>
          <w:sz w:val="19"/>
          <w:szCs w:val="19"/>
        </w:rPr>
        <w:t>. S</w:t>
      </w:r>
      <w:r w:rsidRPr="00827F1D">
        <w:rPr>
          <w:rFonts w:ascii="Arial" w:hAnsi="Arial" w:cs="Arial"/>
          <w:sz w:val="19"/>
          <w:szCs w:val="19"/>
        </w:rPr>
        <w:t xml:space="preserve">entencia del 21 de abril del 2004, </w:t>
      </w:r>
      <w:r w:rsidR="006224C0" w:rsidRPr="00827F1D">
        <w:rPr>
          <w:rFonts w:ascii="Arial" w:hAnsi="Arial" w:cs="Arial"/>
          <w:sz w:val="19"/>
          <w:szCs w:val="19"/>
        </w:rPr>
        <w:t xml:space="preserve">Consejero Pontente: Ramiro Saavedra Becerra. Expediente: </w:t>
      </w:r>
      <w:r w:rsidRPr="00827F1D">
        <w:rPr>
          <w:rFonts w:ascii="Arial" w:hAnsi="Arial" w:cs="Arial"/>
          <w:sz w:val="19"/>
          <w:szCs w:val="19"/>
        </w:rPr>
        <w:t>12960</w:t>
      </w:r>
      <w:r w:rsidR="006224C0" w:rsidRPr="00827F1D">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1D"/>
    <w:rsid w:val="00000FE8"/>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639"/>
    <w:rsid w:val="000059D3"/>
    <w:rsid w:val="00005B6D"/>
    <w:rsid w:val="0000600A"/>
    <w:rsid w:val="00006081"/>
    <w:rsid w:val="0000712E"/>
    <w:rsid w:val="00007564"/>
    <w:rsid w:val="00007750"/>
    <w:rsid w:val="000077FD"/>
    <w:rsid w:val="00007E37"/>
    <w:rsid w:val="000107EA"/>
    <w:rsid w:val="00010C40"/>
    <w:rsid w:val="0001121B"/>
    <w:rsid w:val="000112B4"/>
    <w:rsid w:val="00011634"/>
    <w:rsid w:val="00011DCC"/>
    <w:rsid w:val="00012532"/>
    <w:rsid w:val="00012B9E"/>
    <w:rsid w:val="00012FBA"/>
    <w:rsid w:val="000138ED"/>
    <w:rsid w:val="00013C6B"/>
    <w:rsid w:val="00014065"/>
    <w:rsid w:val="0001406B"/>
    <w:rsid w:val="000143F8"/>
    <w:rsid w:val="00014624"/>
    <w:rsid w:val="00015B44"/>
    <w:rsid w:val="00015CEE"/>
    <w:rsid w:val="00016081"/>
    <w:rsid w:val="000165AC"/>
    <w:rsid w:val="00016651"/>
    <w:rsid w:val="00016FE3"/>
    <w:rsid w:val="000171A2"/>
    <w:rsid w:val="00017B65"/>
    <w:rsid w:val="00017F33"/>
    <w:rsid w:val="00020158"/>
    <w:rsid w:val="000204B7"/>
    <w:rsid w:val="000207E0"/>
    <w:rsid w:val="000209E2"/>
    <w:rsid w:val="00020F8F"/>
    <w:rsid w:val="00021A95"/>
    <w:rsid w:val="0002256F"/>
    <w:rsid w:val="00022B62"/>
    <w:rsid w:val="00023746"/>
    <w:rsid w:val="00023DAE"/>
    <w:rsid w:val="00024003"/>
    <w:rsid w:val="00024896"/>
    <w:rsid w:val="00025254"/>
    <w:rsid w:val="00025D0A"/>
    <w:rsid w:val="000263F0"/>
    <w:rsid w:val="00026407"/>
    <w:rsid w:val="00026608"/>
    <w:rsid w:val="0002662D"/>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B26"/>
    <w:rsid w:val="00036E03"/>
    <w:rsid w:val="000373D1"/>
    <w:rsid w:val="000406DB"/>
    <w:rsid w:val="0004094D"/>
    <w:rsid w:val="00041029"/>
    <w:rsid w:val="00041141"/>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1D"/>
    <w:rsid w:val="000536A7"/>
    <w:rsid w:val="000536E3"/>
    <w:rsid w:val="00053896"/>
    <w:rsid w:val="0005463D"/>
    <w:rsid w:val="0005474D"/>
    <w:rsid w:val="00055CB9"/>
    <w:rsid w:val="000566BB"/>
    <w:rsid w:val="00056CD0"/>
    <w:rsid w:val="00056F66"/>
    <w:rsid w:val="0005702F"/>
    <w:rsid w:val="0006089F"/>
    <w:rsid w:val="00060BCA"/>
    <w:rsid w:val="00061010"/>
    <w:rsid w:val="00061D06"/>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05A"/>
    <w:rsid w:val="00082303"/>
    <w:rsid w:val="00082B74"/>
    <w:rsid w:val="00083099"/>
    <w:rsid w:val="00083452"/>
    <w:rsid w:val="00083B4A"/>
    <w:rsid w:val="00083DE2"/>
    <w:rsid w:val="00083EDC"/>
    <w:rsid w:val="000842BE"/>
    <w:rsid w:val="00084B97"/>
    <w:rsid w:val="0008510E"/>
    <w:rsid w:val="000852D8"/>
    <w:rsid w:val="00085380"/>
    <w:rsid w:val="000856DE"/>
    <w:rsid w:val="00085F17"/>
    <w:rsid w:val="00085FB0"/>
    <w:rsid w:val="00085FB3"/>
    <w:rsid w:val="00086822"/>
    <w:rsid w:val="0008686B"/>
    <w:rsid w:val="0008699D"/>
    <w:rsid w:val="00086B2A"/>
    <w:rsid w:val="00086ED2"/>
    <w:rsid w:val="000874F7"/>
    <w:rsid w:val="000914D6"/>
    <w:rsid w:val="00091569"/>
    <w:rsid w:val="0009222D"/>
    <w:rsid w:val="00092CDB"/>
    <w:rsid w:val="00092DCA"/>
    <w:rsid w:val="00093CE0"/>
    <w:rsid w:val="00093D14"/>
    <w:rsid w:val="000942EB"/>
    <w:rsid w:val="00094E81"/>
    <w:rsid w:val="00095B70"/>
    <w:rsid w:val="0009617E"/>
    <w:rsid w:val="0009628D"/>
    <w:rsid w:val="0009670F"/>
    <w:rsid w:val="00097342"/>
    <w:rsid w:val="000979CF"/>
    <w:rsid w:val="00097FCD"/>
    <w:rsid w:val="000A03C8"/>
    <w:rsid w:val="000A05F2"/>
    <w:rsid w:val="000A06C4"/>
    <w:rsid w:val="000A0861"/>
    <w:rsid w:val="000A0ED1"/>
    <w:rsid w:val="000A12DB"/>
    <w:rsid w:val="000A1576"/>
    <w:rsid w:val="000A17C8"/>
    <w:rsid w:val="000A1B74"/>
    <w:rsid w:val="000A1D37"/>
    <w:rsid w:val="000A20D7"/>
    <w:rsid w:val="000A2128"/>
    <w:rsid w:val="000A362F"/>
    <w:rsid w:val="000A3B49"/>
    <w:rsid w:val="000A47E6"/>
    <w:rsid w:val="000A52C0"/>
    <w:rsid w:val="000A5AAF"/>
    <w:rsid w:val="000A5F97"/>
    <w:rsid w:val="000A648E"/>
    <w:rsid w:val="000A73BB"/>
    <w:rsid w:val="000A7AA2"/>
    <w:rsid w:val="000A7BFD"/>
    <w:rsid w:val="000A7EF4"/>
    <w:rsid w:val="000B0A15"/>
    <w:rsid w:val="000B0F3B"/>
    <w:rsid w:val="000B103F"/>
    <w:rsid w:val="000B1437"/>
    <w:rsid w:val="000B1470"/>
    <w:rsid w:val="000B244D"/>
    <w:rsid w:val="000B2570"/>
    <w:rsid w:val="000B2B86"/>
    <w:rsid w:val="000B3051"/>
    <w:rsid w:val="000B419B"/>
    <w:rsid w:val="000B5781"/>
    <w:rsid w:val="000B5CB1"/>
    <w:rsid w:val="000B6C36"/>
    <w:rsid w:val="000B6D08"/>
    <w:rsid w:val="000B7425"/>
    <w:rsid w:val="000C0185"/>
    <w:rsid w:val="000C0867"/>
    <w:rsid w:val="000C0F81"/>
    <w:rsid w:val="000C128D"/>
    <w:rsid w:val="000C17A3"/>
    <w:rsid w:val="000C1D4B"/>
    <w:rsid w:val="000C2CC9"/>
    <w:rsid w:val="000C2DC4"/>
    <w:rsid w:val="000C2E2D"/>
    <w:rsid w:val="000C2EE0"/>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BE1"/>
    <w:rsid w:val="000E7B03"/>
    <w:rsid w:val="000E7C97"/>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B58"/>
    <w:rsid w:val="00104F1C"/>
    <w:rsid w:val="001051E5"/>
    <w:rsid w:val="00105A74"/>
    <w:rsid w:val="00105ACB"/>
    <w:rsid w:val="00105AEF"/>
    <w:rsid w:val="00105DDD"/>
    <w:rsid w:val="00106259"/>
    <w:rsid w:val="001068EB"/>
    <w:rsid w:val="001078CE"/>
    <w:rsid w:val="00107FBF"/>
    <w:rsid w:val="00110BA7"/>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73"/>
    <w:rsid w:val="00127FF6"/>
    <w:rsid w:val="00130355"/>
    <w:rsid w:val="00130365"/>
    <w:rsid w:val="001304FE"/>
    <w:rsid w:val="00130C0E"/>
    <w:rsid w:val="0013182D"/>
    <w:rsid w:val="00131B5A"/>
    <w:rsid w:val="00131CA8"/>
    <w:rsid w:val="00132C30"/>
    <w:rsid w:val="00132EFD"/>
    <w:rsid w:val="00133AED"/>
    <w:rsid w:val="00134285"/>
    <w:rsid w:val="00134878"/>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B2"/>
    <w:rsid w:val="00152EDD"/>
    <w:rsid w:val="00153491"/>
    <w:rsid w:val="0015361C"/>
    <w:rsid w:val="0015372F"/>
    <w:rsid w:val="00153BFB"/>
    <w:rsid w:val="0015407E"/>
    <w:rsid w:val="0015448E"/>
    <w:rsid w:val="00154A6F"/>
    <w:rsid w:val="00155D08"/>
    <w:rsid w:val="00155F93"/>
    <w:rsid w:val="00156BE5"/>
    <w:rsid w:val="00157232"/>
    <w:rsid w:val="00160401"/>
    <w:rsid w:val="00160D4E"/>
    <w:rsid w:val="00160DF9"/>
    <w:rsid w:val="00161DDA"/>
    <w:rsid w:val="00161E62"/>
    <w:rsid w:val="00161F1C"/>
    <w:rsid w:val="0016200B"/>
    <w:rsid w:val="00162013"/>
    <w:rsid w:val="0016229A"/>
    <w:rsid w:val="00162891"/>
    <w:rsid w:val="00163D7A"/>
    <w:rsid w:val="00163E3A"/>
    <w:rsid w:val="00164281"/>
    <w:rsid w:val="00164AC8"/>
    <w:rsid w:val="00165703"/>
    <w:rsid w:val="00166742"/>
    <w:rsid w:val="0016685F"/>
    <w:rsid w:val="0016712F"/>
    <w:rsid w:val="00167503"/>
    <w:rsid w:val="001676A9"/>
    <w:rsid w:val="00167A15"/>
    <w:rsid w:val="00167A50"/>
    <w:rsid w:val="00167DF5"/>
    <w:rsid w:val="00170001"/>
    <w:rsid w:val="00171717"/>
    <w:rsid w:val="00172198"/>
    <w:rsid w:val="001722A3"/>
    <w:rsid w:val="00172612"/>
    <w:rsid w:val="00172817"/>
    <w:rsid w:val="00172944"/>
    <w:rsid w:val="00173121"/>
    <w:rsid w:val="001734E3"/>
    <w:rsid w:val="001742BF"/>
    <w:rsid w:val="001747DB"/>
    <w:rsid w:val="001751D8"/>
    <w:rsid w:val="00175E49"/>
    <w:rsid w:val="0017649F"/>
    <w:rsid w:val="001764FD"/>
    <w:rsid w:val="0017655D"/>
    <w:rsid w:val="00176ED3"/>
    <w:rsid w:val="001805C1"/>
    <w:rsid w:val="001807B6"/>
    <w:rsid w:val="00180A2E"/>
    <w:rsid w:val="001813AF"/>
    <w:rsid w:val="001829CD"/>
    <w:rsid w:val="00182F01"/>
    <w:rsid w:val="00183FCD"/>
    <w:rsid w:val="00184F27"/>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3372"/>
    <w:rsid w:val="001A433C"/>
    <w:rsid w:val="001A4A9B"/>
    <w:rsid w:val="001A4DAF"/>
    <w:rsid w:val="001A54CD"/>
    <w:rsid w:val="001A66DF"/>
    <w:rsid w:val="001A67D0"/>
    <w:rsid w:val="001A6863"/>
    <w:rsid w:val="001A6A4B"/>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32AB"/>
    <w:rsid w:val="001B449C"/>
    <w:rsid w:val="001B4AA2"/>
    <w:rsid w:val="001B4ADE"/>
    <w:rsid w:val="001B5EF8"/>
    <w:rsid w:val="001B615D"/>
    <w:rsid w:val="001C04E6"/>
    <w:rsid w:val="001C07C6"/>
    <w:rsid w:val="001C0933"/>
    <w:rsid w:val="001C19CD"/>
    <w:rsid w:val="001C22D5"/>
    <w:rsid w:val="001C2394"/>
    <w:rsid w:val="001C2515"/>
    <w:rsid w:val="001C26FB"/>
    <w:rsid w:val="001C2BE4"/>
    <w:rsid w:val="001C2CA1"/>
    <w:rsid w:val="001C33C1"/>
    <w:rsid w:val="001C3E30"/>
    <w:rsid w:val="001C3E5C"/>
    <w:rsid w:val="001C5072"/>
    <w:rsid w:val="001C5B2A"/>
    <w:rsid w:val="001C600B"/>
    <w:rsid w:val="001C661E"/>
    <w:rsid w:val="001C6898"/>
    <w:rsid w:val="001C6DD8"/>
    <w:rsid w:val="001C6DFF"/>
    <w:rsid w:val="001C7C7B"/>
    <w:rsid w:val="001D068D"/>
    <w:rsid w:val="001D0EC9"/>
    <w:rsid w:val="001D12D1"/>
    <w:rsid w:val="001D15DF"/>
    <w:rsid w:val="001D30F3"/>
    <w:rsid w:val="001D31A0"/>
    <w:rsid w:val="001D338E"/>
    <w:rsid w:val="001D3675"/>
    <w:rsid w:val="001D4F13"/>
    <w:rsid w:val="001D56E9"/>
    <w:rsid w:val="001D5922"/>
    <w:rsid w:val="001D5EE1"/>
    <w:rsid w:val="001D796A"/>
    <w:rsid w:val="001D7A84"/>
    <w:rsid w:val="001D7C79"/>
    <w:rsid w:val="001E003B"/>
    <w:rsid w:val="001E1050"/>
    <w:rsid w:val="001E123F"/>
    <w:rsid w:val="001E12FF"/>
    <w:rsid w:val="001E1CC4"/>
    <w:rsid w:val="001E1D38"/>
    <w:rsid w:val="001E28A0"/>
    <w:rsid w:val="001E2ECF"/>
    <w:rsid w:val="001E3F3C"/>
    <w:rsid w:val="001E41B8"/>
    <w:rsid w:val="001E4258"/>
    <w:rsid w:val="001E44EA"/>
    <w:rsid w:val="001E5AEF"/>
    <w:rsid w:val="001E5D6A"/>
    <w:rsid w:val="001E6A94"/>
    <w:rsid w:val="001E70FB"/>
    <w:rsid w:val="001E780A"/>
    <w:rsid w:val="001F0FA0"/>
    <w:rsid w:val="001F1349"/>
    <w:rsid w:val="001F1863"/>
    <w:rsid w:val="001F22B9"/>
    <w:rsid w:val="001F2356"/>
    <w:rsid w:val="001F25CA"/>
    <w:rsid w:val="001F2A68"/>
    <w:rsid w:val="001F4773"/>
    <w:rsid w:val="001F5008"/>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0B0"/>
    <w:rsid w:val="002042D8"/>
    <w:rsid w:val="0020435D"/>
    <w:rsid w:val="00204515"/>
    <w:rsid w:val="00204A2E"/>
    <w:rsid w:val="00204BF5"/>
    <w:rsid w:val="00204E6B"/>
    <w:rsid w:val="00204EF3"/>
    <w:rsid w:val="00204FB5"/>
    <w:rsid w:val="002053EF"/>
    <w:rsid w:val="00205719"/>
    <w:rsid w:val="002058D4"/>
    <w:rsid w:val="00205D13"/>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5943"/>
    <w:rsid w:val="00226055"/>
    <w:rsid w:val="0022613F"/>
    <w:rsid w:val="00226236"/>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0539"/>
    <w:rsid w:val="00241146"/>
    <w:rsid w:val="0024120F"/>
    <w:rsid w:val="0024131D"/>
    <w:rsid w:val="002415B8"/>
    <w:rsid w:val="00242D62"/>
    <w:rsid w:val="00242EC6"/>
    <w:rsid w:val="002430BF"/>
    <w:rsid w:val="002430D0"/>
    <w:rsid w:val="002431D7"/>
    <w:rsid w:val="00244058"/>
    <w:rsid w:val="00245718"/>
    <w:rsid w:val="00245DB2"/>
    <w:rsid w:val="00245E07"/>
    <w:rsid w:val="00246AEC"/>
    <w:rsid w:val="00247712"/>
    <w:rsid w:val="00247874"/>
    <w:rsid w:val="00247F95"/>
    <w:rsid w:val="00250EC6"/>
    <w:rsid w:val="002515C7"/>
    <w:rsid w:val="00251866"/>
    <w:rsid w:val="00251A9F"/>
    <w:rsid w:val="00252492"/>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D48"/>
    <w:rsid w:val="00261EC0"/>
    <w:rsid w:val="0026231B"/>
    <w:rsid w:val="00262881"/>
    <w:rsid w:val="00263101"/>
    <w:rsid w:val="002631D1"/>
    <w:rsid w:val="00263201"/>
    <w:rsid w:val="00263224"/>
    <w:rsid w:val="002634CA"/>
    <w:rsid w:val="00263A37"/>
    <w:rsid w:val="00264646"/>
    <w:rsid w:val="0026478A"/>
    <w:rsid w:val="0026480D"/>
    <w:rsid w:val="00264C99"/>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0CB"/>
    <w:rsid w:val="00275423"/>
    <w:rsid w:val="00275BB1"/>
    <w:rsid w:val="00277933"/>
    <w:rsid w:val="002779C3"/>
    <w:rsid w:val="00277F8D"/>
    <w:rsid w:val="00277FA7"/>
    <w:rsid w:val="00280046"/>
    <w:rsid w:val="00280B4F"/>
    <w:rsid w:val="00280F3D"/>
    <w:rsid w:val="0028106A"/>
    <w:rsid w:val="00281EB4"/>
    <w:rsid w:val="0028227B"/>
    <w:rsid w:val="00282D74"/>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CEC"/>
    <w:rsid w:val="002870F9"/>
    <w:rsid w:val="002871A9"/>
    <w:rsid w:val="00287505"/>
    <w:rsid w:val="00287D71"/>
    <w:rsid w:val="00290781"/>
    <w:rsid w:val="00291784"/>
    <w:rsid w:val="00291AE7"/>
    <w:rsid w:val="002920DF"/>
    <w:rsid w:val="0029273C"/>
    <w:rsid w:val="002929BB"/>
    <w:rsid w:val="002929D5"/>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404"/>
    <w:rsid w:val="002B39BE"/>
    <w:rsid w:val="002B438C"/>
    <w:rsid w:val="002B48DB"/>
    <w:rsid w:val="002B4B34"/>
    <w:rsid w:val="002B51B0"/>
    <w:rsid w:val="002B541A"/>
    <w:rsid w:val="002B5EAB"/>
    <w:rsid w:val="002B6407"/>
    <w:rsid w:val="002B6416"/>
    <w:rsid w:val="002B6459"/>
    <w:rsid w:val="002B657F"/>
    <w:rsid w:val="002B7014"/>
    <w:rsid w:val="002B73B0"/>
    <w:rsid w:val="002C157B"/>
    <w:rsid w:val="002C1B20"/>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EF1"/>
    <w:rsid w:val="002C6F77"/>
    <w:rsid w:val="002C704D"/>
    <w:rsid w:val="002C7E86"/>
    <w:rsid w:val="002D0052"/>
    <w:rsid w:val="002D0845"/>
    <w:rsid w:val="002D0933"/>
    <w:rsid w:val="002D0CE3"/>
    <w:rsid w:val="002D13CC"/>
    <w:rsid w:val="002D154B"/>
    <w:rsid w:val="002D19BB"/>
    <w:rsid w:val="002D1A9B"/>
    <w:rsid w:val="002D20F8"/>
    <w:rsid w:val="002D22BD"/>
    <w:rsid w:val="002D22C5"/>
    <w:rsid w:val="002D2F86"/>
    <w:rsid w:val="002D2F88"/>
    <w:rsid w:val="002D3003"/>
    <w:rsid w:val="002D302A"/>
    <w:rsid w:val="002D3552"/>
    <w:rsid w:val="002D36C6"/>
    <w:rsid w:val="002D3749"/>
    <w:rsid w:val="002D37C1"/>
    <w:rsid w:val="002D3822"/>
    <w:rsid w:val="002D3DC1"/>
    <w:rsid w:val="002D444B"/>
    <w:rsid w:val="002D4A45"/>
    <w:rsid w:val="002D4B42"/>
    <w:rsid w:val="002D4B43"/>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2CB5"/>
    <w:rsid w:val="002E2D7D"/>
    <w:rsid w:val="002E2DA4"/>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198"/>
    <w:rsid w:val="002F240B"/>
    <w:rsid w:val="002F26B7"/>
    <w:rsid w:val="002F2F50"/>
    <w:rsid w:val="002F33EC"/>
    <w:rsid w:val="002F34E3"/>
    <w:rsid w:val="002F3601"/>
    <w:rsid w:val="002F3776"/>
    <w:rsid w:val="002F3A37"/>
    <w:rsid w:val="002F45F6"/>
    <w:rsid w:val="002F4B0A"/>
    <w:rsid w:val="002F4F20"/>
    <w:rsid w:val="002F5A6F"/>
    <w:rsid w:val="002F692F"/>
    <w:rsid w:val="002F7012"/>
    <w:rsid w:val="002F7B66"/>
    <w:rsid w:val="00300CB4"/>
    <w:rsid w:val="00300E24"/>
    <w:rsid w:val="003033BA"/>
    <w:rsid w:val="00303771"/>
    <w:rsid w:val="00303BAF"/>
    <w:rsid w:val="00303C19"/>
    <w:rsid w:val="00303D63"/>
    <w:rsid w:val="00303F5B"/>
    <w:rsid w:val="003043A3"/>
    <w:rsid w:val="00304BD4"/>
    <w:rsid w:val="0030500A"/>
    <w:rsid w:val="003052EB"/>
    <w:rsid w:val="003056D2"/>
    <w:rsid w:val="00305FCB"/>
    <w:rsid w:val="003063C3"/>
    <w:rsid w:val="003069DC"/>
    <w:rsid w:val="00306B44"/>
    <w:rsid w:val="0030780C"/>
    <w:rsid w:val="00307BE8"/>
    <w:rsid w:val="00307C44"/>
    <w:rsid w:val="0031088E"/>
    <w:rsid w:val="00310D01"/>
    <w:rsid w:val="00311376"/>
    <w:rsid w:val="00311A1F"/>
    <w:rsid w:val="00311B47"/>
    <w:rsid w:val="00311D52"/>
    <w:rsid w:val="00312015"/>
    <w:rsid w:val="00312190"/>
    <w:rsid w:val="003125E0"/>
    <w:rsid w:val="0031271D"/>
    <w:rsid w:val="003129FB"/>
    <w:rsid w:val="00312A47"/>
    <w:rsid w:val="003132BB"/>
    <w:rsid w:val="00313337"/>
    <w:rsid w:val="00313447"/>
    <w:rsid w:val="00313748"/>
    <w:rsid w:val="00313EA3"/>
    <w:rsid w:val="00314A1A"/>
    <w:rsid w:val="00315365"/>
    <w:rsid w:val="00315457"/>
    <w:rsid w:val="003161A4"/>
    <w:rsid w:val="00316955"/>
    <w:rsid w:val="0031720A"/>
    <w:rsid w:val="0031749B"/>
    <w:rsid w:val="003174E5"/>
    <w:rsid w:val="00317C9D"/>
    <w:rsid w:val="00317CD2"/>
    <w:rsid w:val="00317D99"/>
    <w:rsid w:val="0032078D"/>
    <w:rsid w:val="00320ADF"/>
    <w:rsid w:val="00320B9E"/>
    <w:rsid w:val="0032137B"/>
    <w:rsid w:val="0032159C"/>
    <w:rsid w:val="00321741"/>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5C6"/>
    <w:rsid w:val="00331932"/>
    <w:rsid w:val="00332382"/>
    <w:rsid w:val="00332453"/>
    <w:rsid w:val="0033251B"/>
    <w:rsid w:val="00332557"/>
    <w:rsid w:val="00332B20"/>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C52"/>
    <w:rsid w:val="00355F74"/>
    <w:rsid w:val="003560DB"/>
    <w:rsid w:val="003564DB"/>
    <w:rsid w:val="0035658F"/>
    <w:rsid w:val="00356F0B"/>
    <w:rsid w:val="00356F87"/>
    <w:rsid w:val="00360711"/>
    <w:rsid w:val="00360CF3"/>
    <w:rsid w:val="00361A59"/>
    <w:rsid w:val="00363348"/>
    <w:rsid w:val="0036366B"/>
    <w:rsid w:val="00363857"/>
    <w:rsid w:val="00363D59"/>
    <w:rsid w:val="003640F7"/>
    <w:rsid w:val="00365D3A"/>
    <w:rsid w:val="00366314"/>
    <w:rsid w:val="003664FF"/>
    <w:rsid w:val="00366BD2"/>
    <w:rsid w:val="00366F68"/>
    <w:rsid w:val="003670B8"/>
    <w:rsid w:val="00367519"/>
    <w:rsid w:val="00367A7A"/>
    <w:rsid w:val="00370488"/>
    <w:rsid w:val="003704A3"/>
    <w:rsid w:val="003706F2"/>
    <w:rsid w:val="0037124F"/>
    <w:rsid w:val="003722B3"/>
    <w:rsid w:val="003724CE"/>
    <w:rsid w:val="00373827"/>
    <w:rsid w:val="00373C6B"/>
    <w:rsid w:val="0037401C"/>
    <w:rsid w:val="00374D49"/>
    <w:rsid w:val="0037507B"/>
    <w:rsid w:val="00375179"/>
    <w:rsid w:val="00375627"/>
    <w:rsid w:val="00375C7C"/>
    <w:rsid w:val="00376A8A"/>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80D"/>
    <w:rsid w:val="0039092B"/>
    <w:rsid w:val="00390DB1"/>
    <w:rsid w:val="00390F32"/>
    <w:rsid w:val="0039135E"/>
    <w:rsid w:val="00392992"/>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6C1B"/>
    <w:rsid w:val="003A72F5"/>
    <w:rsid w:val="003A73C1"/>
    <w:rsid w:val="003A73EE"/>
    <w:rsid w:val="003A7464"/>
    <w:rsid w:val="003A78E5"/>
    <w:rsid w:val="003B0341"/>
    <w:rsid w:val="003B0A10"/>
    <w:rsid w:val="003B1E57"/>
    <w:rsid w:val="003B2136"/>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0E4"/>
    <w:rsid w:val="003C6191"/>
    <w:rsid w:val="003C622C"/>
    <w:rsid w:val="003C64C7"/>
    <w:rsid w:val="003C6505"/>
    <w:rsid w:val="003C65A6"/>
    <w:rsid w:val="003C6CDC"/>
    <w:rsid w:val="003C73C7"/>
    <w:rsid w:val="003C75CA"/>
    <w:rsid w:val="003C76DF"/>
    <w:rsid w:val="003C7CFB"/>
    <w:rsid w:val="003C7E50"/>
    <w:rsid w:val="003D0236"/>
    <w:rsid w:val="003D050B"/>
    <w:rsid w:val="003D0B98"/>
    <w:rsid w:val="003D0C38"/>
    <w:rsid w:val="003D0C3C"/>
    <w:rsid w:val="003D0CE1"/>
    <w:rsid w:val="003D0DE5"/>
    <w:rsid w:val="003D125B"/>
    <w:rsid w:val="003D1351"/>
    <w:rsid w:val="003D21C1"/>
    <w:rsid w:val="003D273E"/>
    <w:rsid w:val="003D3A07"/>
    <w:rsid w:val="003D3B15"/>
    <w:rsid w:val="003D3B2E"/>
    <w:rsid w:val="003D4101"/>
    <w:rsid w:val="003D484D"/>
    <w:rsid w:val="003D49CB"/>
    <w:rsid w:val="003D6864"/>
    <w:rsid w:val="003D6B8F"/>
    <w:rsid w:val="003D70D5"/>
    <w:rsid w:val="003D7336"/>
    <w:rsid w:val="003D7566"/>
    <w:rsid w:val="003D7C41"/>
    <w:rsid w:val="003D7FB3"/>
    <w:rsid w:val="003E0224"/>
    <w:rsid w:val="003E09BB"/>
    <w:rsid w:val="003E159D"/>
    <w:rsid w:val="003E20EA"/>
    <w:rsid w:val="003E210C"/>
    <w:rsid w:val="003E2B57"/>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AB6"/>
    <w:rsid w:val="003E6E0B"/>
    <w:rsid w:val="003E71CD"/>
    <w:rsid w:val="003E72F0"/>
    <w:rsid w:val="003E763B"/>
    <w:rsid w:val="003E7890"/>
    <w:rsid w:val="003E78DA"/>
    <w:rsid w:val="003E7A8B"/>
    <w:rsid w:val="003F01CC"/>
    <w:rsid w:val="003F060E"/>
    <w:rsid w:val="003F0F7F"/>
    <w:rsid w:val="003F115C"/>
    <w:rsid w:val="003F155A"/>
    <w:rsid w:val="003F16E9"/>
    <w:rsid w:val="003F300D"/>
    <w:rsid w:val="003F37F9"/>
    <w:rsid w:val="003F391F"/>
    <w:rsid w:val="003F4599"/>
    <w:rsid w:val="003F45E1"/>
    <w:rsid w:val="003F4F6C"/>
    <w:rsid w:val="003F559E"/>
    <w:rsid w:val="003F6181"/>
    <w:rsid w:val="003F6BFC"/>
    <w:rsid w:val="003F7343"/>
    <w:rsid w:val="003F7699"/>
    <w:rsid w:val="003F7FF4"/>
    <w:rsid w:val="00400002"/>
    <w:rsid w:val="00400054"/>
    <w:rsid w:val="004016A3"/>
    <w:rsid w:val="004017F3"/>
    <w:rsid w:val="00401AAC"/>
    <w:rsid w:val="00401B31"/>
    <w:rsid w:val="0040202B"/>
    <w:rsid w:val="00402236"/>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A7A"/>
    <w:rsid w:val="00407ABC"/>
    <w:rsid w:val="00407F1E"/>
    <w:rsid w:val="00410497"/>
    <w:rsid w:val="004107C1"/>
    <w:rsid w:val="00410A88"/>
    <w:rsid w:val="00411317"/>
    <w:rsid w:val="00411692"/>
    <w:rsid w:val="00411A9E"/>
    <w:rsid w:val="0041259F"/>
    <w:rsid w:val="0041260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5E0D"/>
    <w:rsid w:val="004160A2"/>
    <w:rsid w:val="004163EA"/>
    <w:rsid w:val="00416641"/>
    <w:rsid w:val="00416CB0"/>
    <w:rsid w:val="004170D7"/>
    <w:rsid w:val="004177A6"/>
    <w:rsid w:val="00417C23"/>
    <w:rsid w:val="00417EFD"/>
    <w:rsid w:val="004200EE"/>
    <w:rsid w:val="00420718"/>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3997"/>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09"/>
    <w:rsid w:val="00445B5B"/>
    <w:rsid w:val="00446037"/>
    <w:rsid w:val="00446268"/>
    <w:rsid w:val="0044642F"/>
    <w:rsid w:val="0044772C"/>
    <w:rsid w:val="00447D53"/>
    <w:rsid w:val="00447F7C"/>
    <w:rsid w:val="00450846"/>
    <w:rsid w:val="00451A52"/>
    <w:rsid w:val="0045271D"/>
    <w:rsid w:val="00452755"/>
    <w:rsid w:val="00452803"/>
    <w:rsid w:val="004529C6"/>
    <w:rsid w:val="00452EAD"/>
    <w:rsid w:val="004533D1"/>
    <w:rsid w:val="004534D1"/>
    <w:rsid w:val="004540C4"/>
    <w:rsid w:val="00454548"/>
    <w:rsid w:val="0045454D"/>
    <w:rsid w:val="00454717"/>
    <w:rsid w:val="00454AFE"/>
    <w:rsid w:val="00455004"/>
    <w:rsid w:val="00455047"/>
    <w:rsid w:val="00455354"/>
    <w:rsid w:val="0045558D"/>
    <w:rsid w:val="00455B70"/>
    <w:rsid w:val="00455BD3"/>
    <w:rsid w:val="00456970"/>
    <w:rsid w:val="00456BB1"/>
    <w:rsid w:val="00456CD4"/>
    <w:rsid w:val="00456DDB"/>
    <w:rsid w:val="00457031"/>
    <w:rsid w:val="0045704D"/>
    <w:rsid w:val="0045792E"/>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27E"/>
    <w:rsid w:val="00471524"/>
    <w:rsid w:val="00471D8F"/>
    <w:rsid w:val="00471DF7"/>
    <w:rsid w:val="004727B0"/>
    <w:rsid w:val="004727C4"/>
    <w:rsid w:val="004734CF"/>
    <w:rsid w:val="004734E9"/>
    <w:rsid w:val="004737EA"/>
    <w:rsid w:val="004746F8"/>
    <w:rsid w:val="00474709"/>
    <w:rsid w:val="00475C5A"/>
    <w:rsid w:val="00475C9C"/>
    <w:rsid w:val="00476253"/>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DE8"/>
    <w:rsid w:val="004835CA"/>
    <w:rsid w:val="004836F8"/>
    <w:rsid w:val="004836FE"/>
    <w:rsid w:val="0048498B"/>
    <w:rsid w:val="00484F0F"/>
    <w:rsid w:val="00484F40"/>
    <w:rsid w:val="0048540C"/>
    <w:rsid w:val="0048576F"/>
    <w:rsid w:val="004861B4"/>
    <w:rsid w:val="00486BD0"/>
    <w:rsid w:val="00486D00"/>
    <w:rsid w:val="00487263"/>
    <w:rsid w:val="0048734F"/>
    <w:rsid w:val="00487532"/>
    <w:rsid w:val="004900D4"/>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4E00"/>
    <w:rsid w:val="004951A1"/>
    <w:rsid w:val="0049530F"/>
    <w:rsid w:val="004957D0"/>
    <w:rsid w:val="00496664"/>
    <w:rsid w:val="00496786"/>
    <w:rsid w:val="0049695B"/>
    <w:rsid w:val="00496986"/>
    <w:rsid w:val="00496B9C"/>
    <w:rsid w:val="00496D8F"/>
    <w:rsid w:val="00497439"/>
    <w:rsid w:val="00497463"/>
    <w:rsid w:val="00497610"/>
    <w:rsid w:val="004978F6"/>
    <w:rsid w:val="004A054C"/>
    <w:rsid w:val="004A08D1"/>
    <w:rsid w:val="004A1040"/>
    <w:rsid w:val="004A16C1"/>
    <w:rsid w:val="004A1CE2"/>
    <w:rsid w:val="004A30EB"/>
    <w:rsid w:val="004A34D2"/>
    <w:rsid w:val="004A3898"/>
    <w:rsid w:val="004A3BE5"/>
    <w:rsid w:val="004A4301"/>
    <w:rsid w:val="004A4D93"/>
    <w:rsid w:val="004A5553"/>
    <w:rsid w:val="004A58EE"/>
    <w:rsid w:val="004A59B7"/>
    <w:rsid w:val="004A6051"/>
    <w:rsid w:val="004A623B"/>
    <w:rsid w:val="004A6A04"/>
    <w:rsid w:val="004A6A52"/>
    <w:rsid w:val="004B0A44"/>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394"/>
    <w:rsid w:val="004B66CD"/>
    <w:rsid w:val="004B6C07"/>
    <w:rsid w:val="004B74D3"/>
    <w:rsid w:val="004B788E"/>
    <w:rsid w:val="004B7E5D"/>
    <w:rsid w:val="004C072C"/>
    <w:rsid w:val="004C183D"/>
    <w:rsid w:val="004C186F"/>
    <w:rsid w:val="004C2180"/>
    <w:rsid w:val="004C22F7"/>
    <w:rsid w:val="004C2B27"/>
    <w:rsid w:val="004C3219"/>
    <w:rsid w:val="004C3929"/>
    <w:rsid w:val="004C3BDA"/>
    <w:rsid w:val="004C4DED"/>
    <w:rsid w:val="004C5212"/>
    <w:rsid w:val="004C580A"/>
    <w:rsid w:val="004C5EF0"/>
    <w:rsid w:val="004C64C9"/>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45A"/>
    <w:rsid w:val="004D31EE"/>
    <w:rsid w:val="004D36AF"/>
    <w:rsid w:val="004D3BD1"/>
    <w:rsid w:val="004D46F2"/>
    <w:rsid w:val="004D4720"/>
    <w:rsid w:val="004D4BA1"/>
    <w:rsid w:val="004D4EC1"/>
    <w:rsid w:val="004D584D"/>
    <w:rsid w:val="004D5A7E"/>
    <w:rsid w:val="004D5CD1"/>
    <w:rsid w:val="004D6120"/>
    <w:rsid w:val="004D6826"/>
    <w:rsid w:val="004D6D7F"/>
    <w:rsid w:val="004E023F"/>
    <w:rsid w:val="004E039E"/>
    <w:rsid w:val="004E0546"/>
    <w:rsid w:val="004E0742"/>
    <w:rsid w:val="004E0C64"/>
    <w:rsid w:val="004E0F6B"/>
    <w:rsid w:val="004E10F5"/>
    <w:rsid w:val="004E1545"/>
    <w:rsid w:val="004E1F1C"/>
    <w:rsid w:val="004E2A35"/>
    <w:rsid w:val="004E2F40"/>
    <w:rsid w:val="004E40CE"/>
    <w:rsid w:val="004E5736"/>
    <w:rsid w:val="004E5A3C"/>
    <w:rsid w:val="004E5AA8"/>
    <w:rsid w:val="004E5B36"/>
    <w:rsid w:val="004E5D20"/>
    <w:rsid w:val="004E5D5D"/>
    <w:rsid w:val="004E6045"/>
    <w:rsid w:val="004E692E"/>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D9"/>
    <w:rsid w:val="005209FC"/>
    <w:rsid w:val="005216B4"/>
    <w:rsid w:val="00521A30"/>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532"/>
    <w:rsid w:val="00527703"/>
    <w:rsid w:val="00527DEB"/>
    <w:rsid w:val="00527E57"/>
    <w:rsid w:val="00527F2C"/>
    <w:rsid w:val="00530405"/>
    <w:rsid w:val="00530522"/>
    <w:rsid w:val="005305E5"/>
    <w:rsid w:val="00530CBA"/>
    <w:rsid w:val="00530F38"/>
    <w:rsid w:val="00531B3C"/>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37E15"/>
    <w:rsid w:val="005403D6"/>
    <w:rsid w:val="00540C4C"/>
    <w:rsid w:val="00540C95"/>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1098"/>
    <w:rsid w:val="00551598"/>
    <w:rsid w:val="0055162B"/>
    <w:rsid w:val="00551BFF"/>
    <w:rsid w:val="00551D68"/>
    <w:rsid w:val="00551DFF"/>
    <w:rsid w:val="005525C9"/>
    <w:rsid w:val="0055291B"/>
    <w:rsid w:val="00552B3E"/>
    <w:rsid w:val="005531BB"/>
    <w:rsid w:val="005542DB"/>
    <w:rsid w:val="00554D57"/>
    <w:rsid w:val="005551AA"/>
    <w:rsid w:val="0055583B"/>
    <w:rsid w:val="0055636A"/>
    <w:rsid w:val="005564CA"/>
    <w:rsid w:val="005568EA"/>
    <w:rsid w:val="00557140"/>
    <w:rsid w:val="005575B1"/>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638"/>
    <w:rsid w:val="005707E3"/>
    <w:rsid w:val="00570A26"/>
    <w:rsid w:val="00570CFD"/>
    <w:rsid w:val="0057118A"/>
    <w:rsid w:val="00571872"/>
    <w:rsid w:val="0057221F"/>
    <w:rsid w:val="00572539"/>
    <w:rsid w:val="00573355"/>
    <w:rsid w:val="0057337D"/>
    <w:rsid w:val="00573504"/>
    <w:rsid w:val="00573BA3"/>
    <w:rsid w:val="00573C8C"/>
    <w:rsid w:val="005745F3"/>
    <w:rsid w:val="00574708"/>
    <w:rsid w:val="00574D81"/>
    <w:rsid w:val="0057564E"/>
    <w:rsid w:val="005756AA"/>
    <w:rsid w:val="0057696F"/>
    <w:rsid w:val="005774FE"/>
    <w:rsid w:val="0058040C"/>
    <w:rsid w:val="00580772"/>
    <w:rsid w:val="00580D6D"/>
    <w:rsid w:val="005813DE"/>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2B3"/>
    <w:rsid w:val="00594462"/>
    <w:rsid w:val="00594CBE"/>
    <w:rsid w:val="00596AF7"/>
    <w:rsid w:val="00596CCE"/>
    <w:rsid w:val="005A123E"/>
    <w:rsid w:val="005A1976"/>
    <w:rsid w:val="005A2120"/>
    <w:rsid w:val="005A2323"/>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87"/>
    <w:rsid w:val="005B01F9"/>
    <w:rsid w:val="005B0293"/>
    <w:rsid w:val="005B10DC"/>
    <w:rsid w:val="005B12B2"/>
    <w:rsid w:val="005B143B"/>
    <w:rsid w:val="005B19BD"/>
    <w:rsid w:val="005B1E45"/>
    <w:rsid w:val="005B21C4"/>
    <w:rsid w:val="005B2A28"/>
    <w:rsid w:val="005B332A"/>
    <w:rsid w:val="005B3621"/>
    <w:rsid w:val="005B3CD9"/>
    <w:rsid w:val="005B48BD"/>
    <w:rsid w:val="005B4948"/>
    <w:rsid w:val="005B501D"/>
    <w:rsid w:val="005B54CC"/>
    <w:rsid w:val="005B74AD"/>
    <w:rsid w:val="005B7A9F"/>
    <w:rsid w:val="005B7E96"/>
    <w:rsid w:val="005C0429"/>
    <w:rsid w:val="005C084F"/>
    <w:rsid w:val="005C0968"/>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86"/>
    <w:rsid w:val="005C7E45"/>
    <w:rsid w:val="005C7F3E"/>
    <w:rsid w:val="005D06D3"/>
    <w:rsid w:val="005D0A75"/>
    <w:rsid w:val="005D0C3B"/>
    <w:rsid w:val="005D0E86"/>
    <w:rsid w:val="005D1051"/>
    <w:rsid w:val="005D1606"/>
    <w:rsid w:val="005D2044"/>
    <w:rsid w:val="005D2917"/>
    <w:rsid w:val="005D2EB2"/>
    <w:rsid w:val="005D2F48"/>
    <w:rsid w:val="005D3B32"/>
    <w:rsid w:val="005D40B4"/>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73D"/>
    <w:rsid w:val="005E30AC"/>
    <w:rsid w:val="005E3278"/>
    <w:rsid w:val="005E3456"/>
    <w:rsid w:val="005E363B"/>
    <w:rsid w:val="005E3736"/>
    <w:rsid w:val="005E62D7"/>
    <w:rsid w:val="005E63C1"/>
    <w:rsid w:val="005F1EF1"/>
    <w:rsid w:val="005F1FA9"/>
    <w:rsid w:val="005F287D"/>
    <w:rsid w:val="005F29AE"/>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6ED9"/>
    <w:rsid w:val="00607996"/>
    <w:rsid w:val="00607A37"/>
    <w:rsid w:val="00607AFE"/>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425"/>
    <w:rsid w:val="00621D0C"/>
    <w:rsid w:val="00622470"/>
    <w:rsid w:val="006224C0"/>
    <w:rsid w:val="00622725"/>
    <w:rsid w:val="0062296B"/>
    <w:rsid w:val="006231AA"/>
    <w:rsid w:val="00623482"/>
    <w:rsid w:val="00623AC2"/>
    <w:rsid w:val="00623EBC"/>
    <w:rsid w:val="0062452A"/>
    <w:rsid w:val="006266D7"/>
    <w:rsid w:val="00626D42"/>
    <w:rsid w:val="00626EE3"/>
    <w:rsid w:val="006271CF"/>
    <w:rsid w:val="006272DE"/>
    <w:rsid w:val="006274AD"/>
    <w:rsid w:val="00627519"/>
    <w:rsid w:val="00627532"/>
    <w:rsid w:val="006302AA"/>
    <w:rsid w:val="006310C3"/>
    <w:rsid w:val="0063161E"/>
    <w:rsid w:val="00631660"/>
    <w:rsid w:val="00631908"/>
    <w:rsid w:val="00631BB5"/>
    <w:rsid w:val="00631DD0"/>
    <w:rsid w:val="00633DBF"/>
    <w:rsid w:val="00634122"/>
    <w:rsid w:val="00634261"/>
    <w:rsid w:val="00635C2B"/>
    <w:rsid w:val="00635E32"/>
    <w:rsid w:val="00636018"/>
    <w:rsid w:val="006360FC"/>
    <w:rsid w:val="006364DB"/>
    <w:rsid w:val="006365DE"/>
    <w:rsid w:val="00636BE4"/>
    <w:rsid w:val="00636DA6"/>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4610"/>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5A"/>
    <w:rsid w:val="00661A38"/>
    <w:rsid w:val="0066272D"/>
    <w:rsid w:val="00662E58"/>
    <w:rsid w:val="00662F39"/>
    <w:rsid w:val="0066339A"/>
    <w:rsid w:val="006635A0"/>
    <w:rsid w:val="00663A33"/>
    <w:rsid w:val="00664351"/>
    <w:rsid w:val="00665875"/>
    <w:rsid w:val="00665968"/>
    <w:rsid w:val="00665BF7"/>
    <w:rsid w:val="00666027"/>
    <w:rsid w:val="00666178"/>
    <w:rsid w:val="0066639E"/>
    <w:rsid w:val="00666473"/>
    <w:rsid w:val="0066665E"/>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59A5"/>
    <w:rsid w:val="00695C0C"/>
    <w:rsid w:val="00695E6A"/>
    <w:rsid w:val="00696736"/>
    <w:rsid w:val="00696A05"/>
    <w:rsid w:val="00697665"/>
    <w:rsid w:val="006979BF"/>
    <w:rsid w:val="00697C9A"/>
    <w:rsid w:val="00697E68"/>
    <w:rsid w:val="00697FC1"/>
    <w:rsid w:val="006A0274"/>
    <w:rsid w:val="006A0706"/>
    <w:rsid w:val="006A0F2B"/>
    <w:rsid w:val="006A103E"/>
    <w:rsid w:val="006A1B15"/>
    <w:rsid w:val="006A27BC"/>
    <w:rsid w:val="006A2A43"/>
    <w:rsid w:val="006A2BF1"/>
    <w:rsid w:val="006A2C3A"/>
    <w:rsid w:val="006A2F9A"/>
    <w:rsid w:val="006A34E4"/>
    <w:rsid w:val="006A3A5A"/>
    <w:rsid w:val="006A409A"/>
    <w:rsid w:val="006A44CF"/>
    <w:rsid w:val="006A457D"/>
    <w:rsid w:val="006A4C06"/>
    <w:rsid w:val="006A4C33"/>
    <w:rsid w:val="006A5426"/>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23F"/>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278D"/>
    <w:rsid w:val="006C37CA"/>
    <w:rsid w:val="006C40D2"/>
    <w:rsid w:val="006C4BBD"/>
    <w:rsid w:val="006C4C26"/>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602F"/>
    <w:rsid w:val="006E6720"/>
    <w:rsid w:val="006E6F90"/>
    <w:rsid w:val="006E7275"/>
    <w:rsid w:val="006E77B8"/>
    <w:rsid w:val="006E7BE1"/>
    <w:rsid w:val="006E7E0B"/>
    <w:rsid w:val="006F13BA"/>
    <w:rsid w:val="006F15CC"/>
    <w:rsid w:val="006F15F6"/>
    <w:rsid w:val="006F1CB4"/>
    <w:rsid w:val="006F1F32"/>
    <w:rsid w:val="006F36EA"/>
    <w:rsid w:val="006F4147"/>
    <w:rsid w:val="006F4315"/>
    <w:rsid w:val="006F4CB0"/>
    <w:rsid w:val="006F4F78"/>
    <w:rsid w:val="006F547E"/>
    <w:rsid w:val="006F582D"/>
    <w:rsid w:val="006F58BB"/>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3A8"/>
    <w:rsid w:val="007146DF"/>
    <w:rsid w:val="00714DCA"/>
    <w:rsid w:val="00715BBF"/>
    <w:rsid w:val="00715C29"/>
    <w:rsid w:val="00715CBD"/>
    <w:rsid w:val="00715EAA"/>
    <w:rsid w:val="00716CAD"/>
    <w:rsid w:val="00716F18"/>
    <w:rsid w:val="00717363"/>
    <w:rsid w:val="00717786"/>
    <w:rsid w:val="00717AB6"/>
    <w:rsid w:val="00717ACB"/>
    <w:rsid w:val="007208A8"/>
    <w:rsid w:val="007208C5"/>
    <w:rsid w:val="0072123A"/>
    <w:rsid w:val="0072138B"/>
    <w:rsid w:val="00721BFF"/>
    <w:rsid w:val="00723475"/>
    <w:rsid w:val="007235BD"/>
    <w:rsid w:val="007236C4"/>
    <w:rsid w:val="007242A2"/>
    <w:rsid w:val="00724635"/>
    <w:rsid w:val="00724F21"/>
    <w:rsid w:val="00725134"/>
    <w:rsid w:val="00725447"/>
    <w:rsid w:val="00725530"/>
    <w:rsid w:val="0072554B"/>
    <w:rsid w:val="00725AFD"/>
    <w:rsid w:val="00726603"/>
    <w:rsid w:val="007270EF"/>
    <w:rsid w:val="00727B1D"/>
    <w:rsid w:val="00727DDC"/>
    <w:rsid w:val="007301ED"/>
    <w:rsid w:val="00730CD6"/>
    <w:rsid w:val="00730F74"/>
    <w:rsid w:val="0073114B"/>
    <w:rsid w:val="00732151"/>
    <w:rsid w:val="007339EC"/>
    <w:rsid w:val="00733EE1"/>
    <w:rsid w:val="00734236"/>
    <w:rsid w:val="00734952"/>
    <w:rsid w:val="00734990"/>
    <w:rsid w:val="00734FF5"/>
    <w:rsid w:val="007356B8"/>
    <w:rsid w:val="00735B78"/>
    <w:rsid w:val="00735D85"/>
    <w:rsid w:val="00735DA7"/>
    <w:rsid w:val="007368B4"/>
    <w:rsid w:val="0073741B"/>
    <w:rsid w:val="007378E0"/>
    <w:rsid w:val="00737D92"/>
    <w:rsid w:val="00740529"/>
    <w:rsid w:val="00740876"/>
    <w:rsid w:val="00741358"/>
    <w:rsid w:val="00741409"/>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ABF"/>
    <w:rsid w:val="00777FF4"/>
    <w:rsid w:val="00780251"/>
    <w:rsid w:val="007804FE"/>
    <w:rsid w:val="00780AFD"/>
    <w:rsid w:val="00780BA8"/>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6B35"/>
    <w:rsid w:val="007A717B"/>
    <w:rsid w:val="007B0313"/>
    <w:rsid w:val="007B0854"/>
    <w:rsid w:val="007B0E48"/>
    <w:rsid w:val="007B1162"/>
    <w:rsid w:val="007B1A0E"/>
    <w:rsid w:val="007B1D1B"/>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6C9"/>
    <w:rsid w:val="007D2C18"/>
    <w:rsid w:val="007D2D74"/>
    <w:rsid w:val="007D3693"/>
    <w:rsid w:val="007D3C20"/>
    <w:rsid w:val="007D3C6D"/>
    <w:rsid w:val="007D3EE2"/>
    <w:rsid w:val="007D42D3"/>
    <w:rsid w:val="007D481A"/>
    <w:rsid w:val="007D4ED0"/>
    <w:rsid w:val="007D5648"/>
    <w:rsid w:val="007D58C5"/>
    <w:rsid w:val="007D5BC9"/>
    <w:rsid w:val="007D5DE8"/>
    <w:rsid w:val="007D6102"/>
    <w:rsid w:val="007D7CFC"/>
    <w:rsid w:val="007E05D9"/>
    <w:rsid w:val="007E0812"/>
    <w:rsid w:val="007E1541"/>
    <w:rsid w:val="007E18DF"/>
    <w:rsid w:val="007E2C36"/>
    <w:rsid w:val="007E3309"/>
    <w:rsid w:val="007E350D"/>
    <w:rsid w:val="007E3A0A"/>
    <w:rsid w:val="007E3ACA"/>
    <w:rsid w:val="007E496E"/>
    <w:rsid w:val="007E5034"/>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016"/>
    <w:rsid w:val="00800E6D"/>
    <w:rsid w:val="008014D9"/>
    <w:rsid w:val="0080150F"/>
    <w:rsid w:val="0080153A"/>
    <w:rsid w:val="00801A2A"/>
    <w:rsid w:val="00801C48"/>
    <w:rsid w:val="00802041"/>
    <w:rsid w:val="008022C9"/>
    <w:rsid w:val="00802605"/>
    <w:rsid w:val="00802F9E"/>
    <w:rsid w:val="008030C6"/>
    <w:rsid w:val="008031F8"/>
    <w:rsid w:val="00803700"/>
    <w:rsid w:val="0080375D"/>
    <w:rsid w:val="00803AF8"/>
    <w:rsid w:val="00803D9D"/>
    <w:rsid w:val="008041C5"/>
    <w:rsid w:val="0080543F"/>
    <w:rsid w:val="008059C6"/>
    <w:rsid w:val="00805AD7"/>
    <w:rsid w:val="00805B03"/>
    <w:rsid w:val="00805BD6"/>
    <w:rsid w:val="00805DE3"/>
    <w:rsid w:val="0080683F"/>
    <w:rsid w:val="0080750E"/>
    <w:rsid w:val="00807C35"/>
    <w:rsid w:val="00807F35"/>
    <w:rsid w:val="00807F69"/>
    <w:rsid w:val="008100F7"/>
    <w:rsid w:val="00810206"/>
    <w:rsid w:val="00811898"/>
    <w:rsid w:val="00811AC2"/>
    <w:rsid w:val="00811CDC"/>
    <w:rsid w:val="008124D8"/>
    <w:rsid w:val="0081250A"/>
    <w:rsid w:val="00812EB8"/>
    <w:rsid w:val="00813339"/>
    <w:rsid w:val="00813A7B"/>
    <w:rsid w:val="00813F04"/>
    <w:rsid w:val="0081513E"/>
    <w:rsid w:val="00815DA5"/>
    <w:rsid w:val="00816169"/>
    <w:rsid w:val="00816221"/>
    <w:rsid w:val="008167FE"/>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27F1D"/>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920"/>
    <w:rsid w:val="00840E88"/>
    <w:rsid w:val="00840EAE"/>
    <w:rsid w:val="008410D3"/>
    <w:rsid w:val="0084120E"/>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41B"/>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555"/>
    <w:rsid w:val="00874607"/>
    <w:rsid w:val="00874915"/>
    <w:rsid w:val="00874B89"/>
    <w:rsid w:val="00875403"/>
    <w:rsid w:val="00875434"/>
    <w:rsid w:val="00875C1F"/>
    <w:rsid w:val="00876215"/>
    <w:rsid w:val="0087646C"/>
    <w:rsid w:val="00876815"/>
    <w:rsid w:val="008768A9"/>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075B"/>
    <w:rsid w:val="0089107B"/>
    <w:rsid w:val="008913CC"/>
    <w:rsid w:val="008914AE"/>
    <w:rsid w:val="008919CF"/>
    <w:rsid w:val="00891F84"/>
    <w:rsid w:val="008928EC"/>
    <w:rsid w:val="00892E5D"/>
    <w:rsid w:val="008935CF"/>
    <w:rsid w:val="0089436B"/>
    <w:rsid w:val="00894436"/>
    <w:rsid w:val="0089494C"/>
    <w:rsid w:val="00894BB1"/>
    <w:rsid w:val="008951D0"/>
    <w:rsid w:val="00895828"/>
    <w:rsid w:val="0089582D"/>
    <w:rsid w:val="008959C6"/>
    <w:rsid w:val="00895E8C"/>
    <w:rsid w:val="0089606D"/>
    <w:rsid w:val="00896129"/>
    <w:rsid w:val="00896316"/>
    <w:rsid w:val="00896C70"/>
    <w:rsid w:val="0089774F"/>
    <w:rsid w:val="00897875"/>
    <w:rsid w:val="00897B8F"/>
    <w:rsid w:val="008A00D9"/>
    <w:rsid w:val="008A043A"/>
    <w:rsid w:val="008A07D5"/>
    <w:rsid w:val="008A15D3"/>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7ABE"/>
    <w:rsid w:val="008B7D6D"/>
    <w:rsid w:val="008C065F"/>
    <w:rsid w:val="008C0743"/>
    <w:rsid w:val="008C0882"/>
    <w:rsid w:val="008C0B4C"/>
    <w:rsid w:val="008C0D9F"/>
    <w:rsid w:val="008C11F0"/>
    <w:rsid w:val="008C1DBA"/>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18AA"/>
    <w:rsid w:val="008D1A2A"/>
    <w:rsid w:val="008D1ADE"/>
    <w:rsid w:val="008D3148"/>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30C4"/>
    <w:rsid w:val="008E38B4"/>
    <w:rsid w:val="008E3BA4"/>
    <w:rsid w:val="008E44AB"/>
    <w:rsid w:val="008E4E27"/>
    <w:rsid w:val="008E5179"/>
    <w:rsid w:val="008E57FE"/>
    <w:rsid w:val="008E6226"/>
    <w:rsid w:val="008E6401"/>
    <w:rsid w:val="008E6598"/>
    <w:rsid w:val="008E6CC2"/>
    <w:rsid w:val="008E7214"/>
    <w:rsid w:val="008E7884"/>
    <w:rsid w:val="008E7D6E"/>
    <w:rsid w:val="008F0D02"/>
    <w:rsid w:val="008F1056"/>
    <w:rsid w:val="008F16F3"/>
    <w:rsid w:val="008F2E8D"/>
    <w:rsid w:val="008F361D"/>
    <w:rsid w:val="008F3839"/>
    <w:rsid w:val="008F387B"/>
    <w:rsid w:val="008F3952"/>
    <w:rsid w:val="008F3DD9"/>
    <w:rsid w:val="008F4782"/>
    <w:rsid w:val="008F4814"/>
    <w:rsid w:val="008F4DA6"/>
    <w:rsid w:val="008F538E"/>
    <w:rsid w:val="008F5A20"/>
    <w:rsid w:val="008F5ABA"/>
    <w:rsid w:val="008F71AB"/>
    <w:rsid w:val="008F7383"/>
    <w:rsid w:val="008F74CC"/>
    <w:rsid w:val="008F7905"/>
    <w:rsid w:val="008F7989"/>
    <w:rsid w:val="00901F1D"/>
    <w:rsid w:val="009020B3"/>
    <w:rsid w:val="009028E8"/>
    <w:rsid w:val="00902E5C"/>
    <w:rsid w:val="00902EA6"/>
    <w:rsid w:val="0090363E"/>
    <w:rsid w:val="009046E5"/>
    <w:rsid w:val="009047C5"/>
    <w:rsid w:val="009055CE"/>
    <w:rsid w:val="00910683"/>
    <w:rsid w:val="00910E00"/>
    <w:rsid w:val="009116CE"/>
    <w:rsid w:val="00911714"/>
    <w:rsid w:val="00911D04"/>
    <w:rsid w:val="00911EFF"/>
    <w:rsid w:val="00911F26"/>
    <w:rsid w:val="00912462"/>
    <w:rsid w:val="009136D4"/>
    <w:rsid w:val="00914159"/>
    <w:rsid w:val="00914B9A"/>
    <w:rsid w:val="00914C3F"/>
    <w:rsid w:val="00914F33"/>
    <w:rsid w:val="00914FF0"/>
    <w:rsid w:val="00915FCE"/>
    <w:rsid w:val="00916722"/>
    <w:rsid w:val="00916AFE"/>
    <w:rsid w:val="00916EFF"/>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537"/>
    <w:rsid w:val="00934CEC"/>
    <w:rsid w:val="00934E69"/>
    <w:rsid w:val="00934F0F"/>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57B"/>
    <w:rsid w:val="0095560F"/>
    <w:rsid w:val="00955AB4"/>
    <w:rsid w:val="0095780A"/>
    <w:rsid w:val="009578C3"/>
    <w:rsid w:val="009579E4"/>
    <w:rsid w:val="00957AA4"/>
    <w:rsid w:val="00957ACB"/>
    <w:rsid w:val="00957CC5"/>
    <w:rsid w:val="00957F27"/>
    <w:rsid w:val="00960156"/>
    <w:rsid w:val="00960198"/>
    <w:rsid w:val="00960BDB"/>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66343"/>
    <w:rsid w:val="00971053"/>
    <w:rsid w:val="009710E5"/>
    <w:rsid w:val="00971441"/>
    <w:rsid w:val="009715D4"/>
    <w:rsid w:val="0097179A"/>
    <w:rsid w:val="009732A4"/>
    <w:rsid w:val="009739A8"/>
    <w:rsid w:val="00973C05"/>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5DF8"/>
    <w:rsid w:val="0098606C"/>
    <w:rsid w:val="009865D5"/>
    <w:rsid w:val="00986906"/>
    <w:rsid w:val="00986DF4"/>
    <w:rsid w:val="009876F2"/>
    <w:rsid w:val="00987C77"/>
    <w:rsid w:val="00987FED"/>
    <w:rsid w:val="00990345"/>
    <w:rsid w:val="00990395"/>
    <w:rsid w:val="009903A7"/>
    <w:rsid w:val="0099042D"/>
    <w:rsid w:val="00990701"/>
    <w:rsid w:val="0099119C"/>
    <w:rsid w:val="0099137A"/>
    <w:rsid w:val="0099211C"/>
    <w:rsid w:val="0099333E"/>
    <w:rsid w:val="0099349E"/>
    <w:rsid w:val="00993B78"/>
    <w:rsid w:val="00993DBE"/>
    <w:rsid w:val="00994C7D"/>
    <w:rsid w:val="00995119"/>
    <w:rsid w:val="0099522B"/>
    <w:rsid w:val="0099531F"/>
    <w:rsid w:val="009953AD"/>
    <w:rsid w:val="0099583D"/>
    <w:rsid w:val="00995B3A"/>
    <w:rsid w:val="00996020"/>
    <w:rsid w:val="00996992"/>
    <w:rsid w:val="00996E1E"/>
    <w:rsid w:val="00997148"/>
    <w:rsid w:val="00997392"/>
    <w:rsid w:val="0099747C"/>
    <w:rsid w:val="0099771C"/>
    <w:rsid w:val="009A01E4"/>
    <w:rsid w:val="009A0215"/>
    <w:rsid w:val="009A0917"/>
    <w:rsid w:val="009A0A33"/>
    <w:rsid w:val="009A0F66"/>
    <w:rsid w:val="009A1351"/>
    <w:rsid w:val="009A2435"/>
    <w:rsid w:val="009A254A"/>
    <w:rsid w:val="009A35DC"/>
    <w:rsid w:val="009A38AB"/>
    <w:rsid w:val="009A39DD"/>
    <w:rsid w:val="009A3D47"/>
    <w:rsid w:val="009A3DE2"/>
    <w:rsid w:val="009A3EDE"/>
    <w:rsid w:val="009A4D63"/>
    <w:rsid w:val="009A5356"/>
    <w:rsid w:val="009A5468"/>
    <w:rsid w:val="009A5D99"/>
    <w:rsid w:val="009A5D9E"/>
    <w:rsid w:val="009A608C"/>
    <w:rsid w:val="009A6FDF"/>
    <w:rsid w:val="009A715F"/>
    <w:rsid w:val="009A71C1"/>
    <w:rsid w:val="009A76D6"/>
    <w:rsid w:val="009A7FB7"/>
    <w:rsid w:val="009B043F"/>
    <w:rsid w:val="009B0F53"/>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B6B"/>
    <w:rsid w:val="009C5E4F"/>
    <w:rsid w:val="009C5F64"/>
    <w:rsid w:val="009C5F82"/>
    <w:rsid w:val="009C60EA"/>
    <w:rsid w:val="009C6262"/>
    <w:rsid w:val="009C6BFC"/>
    <w:rsid w:val="009C70F8"/>
    <w:rsid w:val="009C72FA"/>
    <w:rsid w:val="009C75FC"/>
    <w:rsid w:val="009C78A3"/>
    <w:rsid w:val="009C7E68"/>
    <w:rsid w:val="009D00D7"/>
    <w:rsid w:val="009D0156"/>
    <w:rsid w:val="009D05DA"/>
    <w:rsid w:val="009D07AE"/>
    <w:rsid w:val="009D10D7"/>
    <w:rsid w:val="009D11F6"/>
    <w:rsid w:val="009D1A14"/>
    <w:rsid w:val="009D1E2A"/>
    <w:rsid w:val="009D1F8D"/>
    <w:rsid w:val="009D1FA0"/>
    <w:rsid w:val="009D265C"/>
    <w:rsid w:val="009D2BDF"/>
    <w:rsid w:val="009D3736"/>
    <w:rsid w:val="009D3C84"/>
    <w:rsid w:val="009D4529"/>
    <w:rsid w:val="009D604F"/>
    <w:rsid w:val="009D61BB"/>
    <w:rsid w:val="009D6410"/>
    <w:rsid w:val="009D68BB"/>
    <w:rsid w:val="009D70C2"/>
    <w:rsid w:val="009D7ADB"/>
    <w:rsid w:val="009D7B33"/>
    <w:rsid w:val="009E06C3"/>
    <w:rsid w:val="009E0703"/>
    <w:rsid w:val="009E0EFC"/>
    <w:rsid w:val="009E1035"/>
    <w:rsid w:val="009E16DA"/>
    <w:rsid w:val="009E1CD4"/>
    <w:rsid w:val="009E2391"/>
    <w:rsid w:val="009E2865"/>
    <w:rsid w:val="009E2EF9"/>
    <w:rsid w:val="009E304F"/>
    <w:rsid w:val="009E34A5"/>
    <w:rsid w:val="009E4648"/>
    <w:rsid w:val="009E476A"/>
    <w:rsid w:val="009E4E05"/>
    <w:rsid w:val="009E56FF"/>
    <w:rsid w:val="009E5960"/>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6D2"/>
    <w:rsid w:val="00A04A54"/>
    <w:rsid w:val="00A05B4B"/>
    <w:rsid w:val="00A066C3"/>
    <w:rsid w:val="00A06754"/>
    <w:rsid w:val="00A069E0"/>
    <w:rsid w:val="00A06E0D"/>
    <w:rsid w:val="00A06E4A"/>
    <w:rsid w:val="00A06EE8"/>
    <w:rsid w:val="00A070E9"/>
    <w:rsid w:val="00A078FB"/>
    <w:rsid w:val="00A07FB7"/>
    <w:rsid w:val="00A1036D"/>
    <w:rsid w:val="00A1069F"/>
    <w:rsid w:val="00A10AAD"/>
    <w:rsid w:val="00A10ACA"/>
    <w:rsid w:val="00A10D08"/>
    <w:rsid w:val="00A11E67"/>
    <w:rsid w:val="00A11E78"/>
    <w:rsid w:val="00A12355"/>
    <w:rsid w:val="00A127D2"/>
    <w:rsid w:val="00A13CF5"/>
    <w:rsid w:val="00A13FB0"/>
    <w:rsid w:val="00A143EC"/>
    <w:rsid w:val="00A148A5"/>
    <w:rsid w:val="00A149E8"/>
    <w:rsid w:val="00A14B88"/>
    <w:rsid w:val="00A1500F"/>
    <w:rsid w:val="00A15621"/>
    <w:rsid w:val="00A15670"/>
    <w:rsid w:val="00A157A0"/>
    <w:rsid w:val="00A1585B"/>
    <w:rsid w:val="00A15C19"/>
    <w:rsid w:val="00A15FE9"/>
    <w:rsid w:val="00A16052"/>
    <w:rsid w:val="00A16809"/>
    <w:rsid w:val="00A16D8E"/>
    <w:rsid w:val="00A17448"/>
    <w:rsid w:val="00A17769"/>
    <w:rsid w:val="00A17EA2"/>
    <w:rsid w:val="00A20264"/>
    <w:rsid w:val="00A20997"/>
    <w:rsid w:val="00A213DD"/>
    <w:rsid w:val="00A21454"/>
    <w:rsid w:val="00A216CE"/>
    <w:rsid w:val="00A22025"/>
    <w:rsid w:val="00A22498"/>
    <w:rsid w:val="00A22571"/>
    <w:rsid w:val="00A2298D"/>
    <w:rsid w:val="00A23B97"/>
    <w:rsid w:val="00A24560"/>
    <w:rsid w:val="00A25B0F"/>
    <w:rsid w:val="00A25BBB"/>
    <w:rsid w:val="00A27207"/>
    <w:rsid w:val="00A27FB6"/>
    <w:rsid w:val="00A27FDD"/>
    <w:rsid w:val="00A30121"/>
    <w:rsid w:val="00A30368"/>
    <w:rsid w:val="00A3043A"/>
    <w:rsid w:val="00A30E02"/>
    <w:rsid w:val="00A30F6A"/>
    <w:rsid w:val="00A310D9"/>
    <w:rsid w:val="00A318DD"/>
    <w:rsid w:val="00A31C3E"/>
    <w:rsid w:val="00A322A6"/>
    <w:rsid w:val="00A32D39"/>
    <w:rsid w:val="00A32D82"/>
    <w:rsid w:val="00A34538"/>
    <w:rsid w:val="00A34677"/>
    <w:rsid w:val="00A3535E"/>
    <w:rsid w:val="00A3540F"/>
    <w:rsid w:val="00A35630"/>
    <w:rsid w:val="00A35914"/>
    <w:rsid w:val="00A36189"/>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500B1"/>
    <w:rsid w:val="00A52A53"/>
    <w:rsid w:val="00A52EE5"/>
    <w:rsid w:val="00A53037"/>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89C"/>
    <w:rsid w:val="00A64F18"/>
    <w:rsid w:val="00A64F2F"/>
    <w:rsid w:val="00A65505"/>
    <w:rsid w:val="00A6611E"/>
    <w:rsid w:val="00A6634D"/>
    <w:rsid w:val="00A668BA"/>
    <w:rsid w:val="00A66FA7"/>
    <w:rsid w:val="00A67052"/>
    <w:rsid w:val="00A67E16"/>
    <w:rsid w:val="00A67E2C"/>
    <w:rsid w:val="00A67EB1"/>
    <w:rsid w:val="00A703CC"/>
    <w:rsid w:val="00A70C5C"/>
    <w:rsid w:val="00A710A2"/>
    <w:rsid w:val="00A719D1"/>
    <w:rsid w:val="00A71EA7"/>
    <w:rsid w:val="00A71F99"/>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F12"/>
    <w:rsid w:val="00A91DAA"/>
    <w:rsid w:val="00A91E24"/>
    <w:rsid w:val="00A927D5"/>
    <w:rsid w:val="00A93101"/>
    <w:rsid w:val="00A9413E"/>
    <w:rsid w:val="00A94281"/>
    <w:rsid w:val="00A94293"/>
    <w:rsid w:val="00A9496E"/>
    <w:rsid w:val="00A949F0"/>
    <w:rsid w:val="00A94BDE"/>
    <w:rsid w:val="00A94EE3"/>
    <w:rsid w:val="00A94FCA"/>
    <w:rsid w:val="00A95E4C"/>
    <w:rsid w:val="00A96568"/>
    <w:rsid w:val="00A96C60"/>
    <w:rsid w:val="00A96EC5"/>
    <w:rsid w:val="00A9740B"/>
    <w:rsid w:val="00A9766C"/>
    <w:rsid w:val="00A977F8"/>
    <w:rsid w:val="00A979DB"/>
    <w:rsid w:val="00A97C93"/>
    <w:rsid w:val="00A97E85"/>
    <w:rsid w:val="00AA08E7"/>
    <w:rsid w:val="00AA0A06"/>
    <w:rsid w:val="00AA1351"/>
    <w:rsid w:val="00AA184C"/>
    <w:rsid w:val="00AA1C84"/>
    <w:rsid w:val="00AA20FA"/>
    <w:rsid w:val="00AA2C93"/>
    <w:rsid w:val="00AA3D7B"/>
    <w:rsid w:val="00AA42A0"/>
    <w:rsid w:val="00AA442B"/>
    <w:rsid w:val="00AA46A4"/>
    <w:rsid w:val="00AA53E1"/>
    <w:rsid w:val="00AA568B"/>
    <w:rsid w:val="00AA5779"/>
    <w:rsid w:val="00AA58A1"/>
    <w:rsid w:val="00AA59B5"/>
    <w:rsid w:val="00AA61C7"/>
    <w:rsid w:val="00AA669D"/>
    <w:rsid w:val="00AA66ED"/>
    <w:rsid w:val="00AA6904"/>
    <w:rsid w:val="00AA6B59"/>
    <w:rsid w:val="00AA6BE1"/>
    <w:rsid w:val="00AA7416"/>
    <w:rsid w:val="00AA7A60"/>
    <w:rsid w:val="00AA7B42"/>
    <w:rsid w:val="00AB041C"/>
    <w:rsid w:val="00AB0EA6"/>
    <w:rsid w:val="00AB14E8"/>
    <w:rsid w:val="00AB1676"/>
    <w:rsid w:val="00AB1B1D"/>
    <w:rsid w:val="00AB2216"/>
    <w:rsid w:val="00AB358D"/>
    <w:rsid w:val="00AB37A1"/>
    <w:rsid w:val="00AB3BAD"/>
    <w:rsid w:val="00AB3CFD"/>
    <w:rsid w:val="00AB4244"/>
    <w:rsid w:val="00AB4376"/>
    <w:rsid w:val="00AB49BC"/>
    <w:rsid w:val="00AB4C02"/>
    <w:rsid w:val="00AB4DEE"/>
    <w:rsid w:val="00AB4E32"/>
    <w:rsid w:val="00AB5999"/>
    <w:rsid w:val="00AB59AE"/>
    <w:rsid w:val="00AB5C19"/>
    <w:rsid w:val="00AB6065"/>
    <w:rsid w:val="00AB724B"/>
    <w:rsid w:val="00AB726C"/>
    <w:rsid w:val="00AB72B4"/>
    <w:rsid w:val="00AB75B8"/>
    <w:rsid w:val="00AB75D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772"/>
    <w:rsid w:val="00AE1990"/>
    <w:rsid w:val="00AE1D23"/>
    <w:rsid w:val="00AE1FC8"/>
    <w:rsid w:val="00AE20E5"/>
    <w:rsid w:val="00AE25C0"/>
    <w:rsid w:val="00AE25E8"/>
    <w:rsid w:val="00AE26F0"/>
    <w:rsid w:val="00AE2AD4"/>
    <w:rsid w:val="00AE2CA7"/>
    <w:rsid w:val="00AE2F1D"/>
    <w:rsid w:val="00AE340C"/>
    <w:rsid w:val="00AE3434"/>
    <w:rsid w:val="00AE3EDA"/>
    <w:rsid w:val="00AE4C81"/>
    <w:rsid w:val="00AE586F"/>
    <w:rsid w:val="00AE6582"/>
    <w:rsid w:val="00AE6DC5"/>
    <w:rsid w:val="00AE7686"/>
    <w:rsid w:val="00AE799A"/>
    <w:rsid w:val="00AF041E"/>
    <w:rsid w:val="00AF0E81"/>
    <w:rsid w:val="00AF117A"/>
    <w:rsid w:val="00AF16CA"/>
    <w:rsid w:val="00AF186E"/>
    <w:rsid w:val="00AF19DF"/>
    <w:rsid w:val="00AF1D41"/>
    <w:rsid w:val="00AF26CF"/>
    <w:rsid w:val="00AF2A18"/>
    <w:rsid w:val="00AF344D"/>
    <w:rsid w:val="00AF3532"/>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7AA"/>
    <w:rsid w:val="00B458D0"/>
    <w:rsid w:val="00B4595C"/>
    <w:rsid w:val="00B45E13"/>
    <w:rsid w:val="00B4661B"/>
    <w:rsid w:val="00B46915"/>
    <w:rsid w:val="00B4792C"/>
    <w:rsid w:val="00B50CAE"/>
    <w:rsid w:val="00B50E01"/>
    <w:rsid w:val="00B512AD"/>
    <w:rsid w:val="00B5196C"/>
    <w:rsid w:val="00B52201"/>
    <w:rsid w:val="00B525CB"/>
    <w:rsid w:val="00B52697"/>
    <w:rsid w:val="00B52FA2"/>
    <w:rsid w:val="00B54BF6"/>
    <w:rsid w:val="00B54D8F"/>
    <w:rsid w:val="00B55230"/>
    <w:rsid w:val="00B557D8"/>
    <w:rsid w:val="00B55857"/>
    <w:rsid w:val="00B55C69"/>
    <w:rsid w:val="00B56851"/>
    <w:rsid w:val="00B569D4"/>
    <w:rsid w:val="00B56BA8"/>
    <w:rsid w:val="00B56D6E"/>
    <w:rsid w:val="00B572F7"/>
    <w:rsid w:val="00B57B9D"/>
    <w:rsid w:val="00B57DAF"/>
    <w:rsid w:val="00B60094"/>
    <w:rsid w:val="00B6022C"/>
    <w:rsid w:val="00B602D1"/>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162"/>
    <w:rsid w:val="00B66349"/>
    <w:rsid w:val="00B66CB4"/>
    <w:rsid w:val="00B67903"/>
    <w:rsid w:val="00B67FBF"/>
    <w:rsid w:val="00B70832"/>
    <w:rsid w:val="00B71376"/>
    <w:rsid w:val="00B71461"/>
    <w:rsid w:val="00B71617"/>
    <w:rsid w:val="00B716D7"/>
    <w:rsid w:val="00B71CAC"/>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BD7"/>
    <w:rsid w:val="00B80C72"/>
    <w:rsid w:val="00B81964"/>
    <w:rsid w:val="00B81E6F"/>
    <w:rsid w:val="00B82123"/>
    <w:rsid w:val="00B8225B"/>
    <w:rsid w:val="00B825BB"/>
    <w:rsid w:val="00B82BB5"/>
    <w:rsid w:val="00B83182"/>
    <w:rsid w:val="00B839F0"/>
    <w:rsid w:val="00B851E4"/>
    <w:rsid w:val="00B85341"/>
    <w:rsid w:val="00B854CE"/>
    <w:rsid w:val="00B85681"/>
    <w:rsid w:val="00B857EB"/>
    <w:rsid w:val="00B86162"/>
    <w:rsid w:val="00B86877"/>
    <w:rsid w:val="00B8695D"/>
    <w:rsid w:val="00B86A0C"/>
    <w:rsid w:val="00B86E66"/>
    <w:rsid w:val="00B873BA"/>
    <w:rsid w:val="00B8746F"/>
    <w:rsid w:val="00B8760D"/>
    <w:rsid w:val="00B87706"/>
    <w:rsid w:val="00B900D9"/>
    <w:rsid w:val="00B901CA"/>
    <w:rsid w:val="00B90631"/>
    <w:rsid w:val="00B90A49"/>
    <w:rsid w:val="00B90A73"/>
    <w:rsid w:val="00B91B8E"/>
    <w:rsid w:val="00B92531"/>
    <w:rsid w:val="00B925CF"/>
    <w:rsid w:val="00B92618"/>
    <w:rsid w:val="00B92751"/>
    <w:rsid w:val="00B92B69"/>
    <w:rsid w:val="00B92CC6"/>
    <w:rsid w:val="00B92E63"/>
    <w:rsid w:val="00B935C9"/>
    <w:rsid w:val="00B93E3D"/>
    <w:rsid w:val="00B94D8A"/>
    <w:rsid w:val="00B95464"/>
    <w:rsid w:val="00B95786"/>
    <w:rsid w:val="00B95C30"/>
    <w:rsid w:val="00B95D2F"/>
    <w:rsid w:val="00B95E3D"/>
    <w:rsid w:val="00B9691F"/>
    <w:rsid w:val="00B96EEC"/>
    <w:rsid w:val="00B97392"/>
    <w:rsid w:val="00B976C7"/>
    <w:rsid w:val="00BA023A"/>
    <w:rsid w:val="00BA0345"/>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E9B"/>
    <w:rsid w:val="00BA6FE8"/>
    <w:rsid w:val="00BA732D"/>
    <w:rsid w:val="00BA7370"/>
    <w:rsid w:val="00BA778B"/>
    <w:rsid w:val="00BB04A0"/>
    <w:rsid w:val="00BB0888"/>
    <w:rsid w:val="00BB0DF1"/>
    <w:rsid w:val="00BB0E9B"/>
    <w:rsid w:val="00BB1109"/>
    <w:rsid w:val="00BB1251"/>
    <w:rsid w:val="00BB14FF"/>
    <w:rsid w:val="00BB1F02"/>
    <w:rsid w:val="00BB2268"/>
    <w:rsid w:val="00BB2841"/>
    <w:rsid w:val="00BB2A74"/>
    <w:rsid w:val="00BB300F"/>
    <w:rsid w:val="00BB32C9"/>
    <w:rsid w:val="00BB35C5"/>
    <w:rsid w:val="00BB4293"/>
    <w:rsid w:val="00BB4C8E"/>
    <w:rsid w:val="00BB4F9C"/>
    <w:rsid w:val="00BB5790"/>
    <w:rsid w:val="00BB57ED"/>
    <w:rsid w:val="00BB5DD6"/>
    <w:rsid w:val="00BB65C3"/>
    <w:rsid w:val="00BB662E"/>
    <w:rsid w:val="00BB6721"/>
    <w:rsid w:val="00BB67A9"/>
    <w:rsid w:val="00BB68DA"/>
    <w:rsid w:val="00BB6C01"/>
    <w:rsid w:val="00BB748C"/>
    <w:rsid w:val="00BB7942"/>
    <w:rsid w:val="00BB7CD1"/>
    <w:rsid w:val="00BC0F33"/>
    <w:rsid w:val="00BC132C"/>
    <w:rsid w:val="00BC14A7"/>
    <w:rsid w:val="00BC17CC"/>
    <w:rsid w:val="00BC2898"/>
    <w:rsid w:val="00BC2928"/>
    <w:rsid w:val="00BC296E"/>
    <w:rsid w:val="00BC29BD"/>
    <w:rsid w:val="00BC2BB1"/>
    <w:rsid w:val="00BC34A3"/>
    <w:rsid w:val="00BC3FF9"/>
    <w:rsid w:val="00BC4112"/>
    <w:rsid w:val="00BC4834"/>
    <w:rsid w:val="00BC4A97"/>
    <w:rsid w:val="00BC4E15"/>
    <w:rsid w:val="00BC520E"/>
    <w:rsid w:val="00BC5A25"/>
    <w:rsid w:val="00BC5BC0"/>
    <w:rsid w:val="00BC5FDD"/>
    <w:rsid w:val="00BC68B4"/>
    <w:rsid w:val="00BD0140"/>
    <w:rsid w:val="00BD02CC"/>
    <w:rsid w:val="00BD0611"/>
    <w:rsid w:val="00BD088E"/>
    <w:rsid w:val="00BD0F18"/>
    <w:rsid w:val="00BD115F"/>
    <w:rsid w:val="00BD14C9"/>
    <w:rsid w:val="00BD177B"/>
    <w:rsid w:val="00BD1B42"/>
    <w:rsid w:val="00BD2063"/>
    <w:rsid w:val="00BD2F4F"/>
    <w:rsid w:val="00BD33D9"/>
    <w:rsid w:val="00BD38C5"/>
    <w:rsid w:val="00BD3DEA"/>
    <w:rsid w:val="00BD3E97"/>
    <w:rsid w:val="00BD40E4"/>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28B"/>
    <w:rsid w:val="00BE0767"/>
    <w:rsid w:val="00BE12D7"/>
    <w:rsid w:val="00BE1372"/>
    <w:rsid w:val="00BE1775"/>
    <w:rsid w:val="00BE18DA"/>
    <w:rsid w:val="00BE26C0"/>
    <w:rsid w:val="00BE3442"/>
    <w:rsid w:val="00BE37CD"/>
    <w:rsid w:val="00BE3E65"/>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B3D"/>
    <w:rsid w:val="00BF0E64"/>
    <w:rsid w:val="00BF0EE8"/>
    <w:rsid w:val="00BF1D87"/>
    <w:rsid w:val="00BF1DD2"/>
    <w:rsid w:val="00BF22BF"/>
    <w:rsid w:val="00BF23A3"/>
    <w:rsid w:val="00BF2A7E"/>
    <w:rsid w:val="00BF3331"/>
    <w:rsid w:val="00BF3A45"/>
    <w:rsid w:val="00BF422D"/>
    <w:rsid w:val="00BF436F"/>
    <w:rsid w:val="00BF4484"/>
    <w:rsid w:val="00BF5C05"/>
    <w:rsid w:val="00BF5CB4"/>
    <w:rsid w:val="00BF64A3"/>
    <w:rsid w:val="00BF6FC6"/>
    <w:rsid w:val="00BF7C52"/>
    <w:rsid w:val="00BF7D44"/>
    <w:rsid w:val="00BF7F99"/>
    <w:rsid w:val="00C00713"/>
    <w:rsid w:val="00C009A0"/>
    <w:rsid w:val="00C01F74"/>
    <w:rsid w:val="00C02558"/>
    <w:rsid w:val="00C0285F"/>
    <w:rsid w:val="00C02A1D"/>
    <w:rsid w:val="00C02C06"/>
    <w:rsid w:val="00C02F35"/>
    <w:rsid w:val="00C0304B"/>
    <w:rsid w:val="00C03305"/>
    <w:rsid w:val="00C03515"/>
    <w:rsid w:val="00C03738"/>
    <w:rsid w:val="00C037A6"/>
    <w:rsid w:val="00C039F8"/>
    <w:rsid w:val="00C043F5"/>
    <w:rsid w:val="00C044E3"/>
    <w:rsid w:val="00C04607"/>
    <w:rsid w:val="00C04BDB"/>
    <w:rsid w:val="00C052C6"/>
    <w:rsid w:val="00C0594D"/>
    <w:rsid w:val="00C05A61"/>
    <w:rsid w:val="00C05AD5"/>
    <w:rsid w:val="00C05FEE"/>
    <w:rsid w:val="00C06CCF"/>
    <w:rsid w:val="00C0794D"/>
    <w:rsid w:val="00C10B33"/>
    <w:rsid w:val="00C10E78"/>
    <w:rsid w:val="00C11177"/>
    <w:rsid w:val="00C1159D"/>
    <w:rsid w:val="00C1209D"/>
    <w:rsid w:val="00C1233E"/>
    <w:rsid w:val="00C123F6"/>
    <w:rsid w:val="00C12FB3"/>
    <w:rsid w:val="00C138BC"/>
    <w:rsid w:val="00C13CCB"/>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25F"/>
    <w:rsid w:val="00C309E8"/>
    <w:rsid w:val="00C30F97"/>
    <w:rsid w:val="00C32017"/>
    <w:rsid w:val="00C32571"/>
    <w:rsid w:val="00C325CD"/>
    <w:rsid w:val="00C32868"/>
    <w:rsid w:val="00C32B8C"/>
    <w:rsid w:val="00C3322E"/>
    <w:rsid w:val="00C33333"/>
    <w:rsid w:val="00C337F5"/>
    <w:rsid w:val="00C33B90"/>
    <w:rsid w:val="00C34161"/>
    <w:rsid w:val="00C34B5F"/>
    <w:rsid w:val="00C358D4"/>
    <w:rsid w:val="00C362D1"/>
    <w:rsid w:val="00C36462"/>
    <w:rsid w:val="00C365C6"/>
    <w:rsid w:val="00C366F4"/>
    <w:rsid w:val="00C36785"/>
    <w:rsid w:val="00C369EA"/>
    <w:rsid w:val="00C3711C"/>
    <w:rsid w:val="00C37256"/>
    <w:rsid w:val="00C3729C"/>
    <w:rsid w:val="00C37A7B"/>
    <w:rsid w:val="00C37FAA"/>
    <w:rsid w:val="00C37FFE"/>
    <w:rsid w:val="00C405FE"/>
    <w:rsid w:val="00C40B50"/>
    <w:rsid w:val="00C419E3"/>
    <w:rsid w:val="00C419F4"/>
    <w:rsid w:val="00C41E6A"/>
    <w:rsid w:val="00C42247"/>
    <w:rsid w:val="00C4231E"/>
    <w:rsid w:val="00C43369"/>
    <w:rsid w:val="00C439BE"/>
    <w:rsid w:val="00C43F5E"/>
    <w:rsid w:val="00C44622"/>
    <w:rsid w:val="00C4494B"/>
    <w:rsid w:val="00C4539B"/>
    <w:rsid w:val="00C45466"/>
    <w:rsid w:val="00C455C1"/>
    <w:rsid w:val="00C4581D"/>
    <w:rsid w:val="00C472B4"/>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AB9"/>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7C7"/>
    <w:rsid w:val="00C767CD"/>
    <w:rsid w:val="00C76D66"/>
    <w:rsid w:val="00C800FA"/>
    <w:rsid w:val="00C8082B"/>
    <w:rsid w:val="00C81164"/>
    <w:rsid w:val="00C81A88"/>
    <w:rsid w:val="00C81AE5"/>
    <w:rsid w:val="00C81D46"/>
    <w:rsid w:val="00C82298"/>
    <w:rsid w:val="00C833B4"/>
    <w:rsid w:val="00C83851"/>
    <w:rsid w:val="00C83A0B"/>
    <w:rsid w:val="00C84284"/>
    <w:rsid w:val="00C84E33"/>
    <w:rsid w:val="00C85D99"/>
    <w:rsid w:val="00C85FFC"/>
    <w:rsid w:val="00C861FC"/>
    <w:rsid w:val="00C86C87"/>
    <w:rsid w:val="00C9005E"/>
    <w:rsid w:val="00C90111"/>
    <w:rsid w:val="00C9038E"/>
    <w:rsid w:val="00C9077B"/>
    <w:rsid w:val="00C90CA9"/>
    <w:rsid w:val="00C90CDA"/>
    <w:rsid w:val="00C90F88"/>
    <w:rsid w:val="00C915F2"/>
    <w:rsid w:val="00C917B1"/>
    <w:rsid w:val="00C9193C"/>
    <w:rsid w:val="00C91B77"/>
    <w:rsid w:val="00C920E2"/>
    <w:rsid w:val="00C92DD4"/>
    <w:rsid w:val="00C92DEC"/>
    <w:rsid w:val="00C92EE5"/>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A0031"/>
    <w:rsid w:val="00CA0413"/>
    <w:rsid w:val="00CA043A"/>
    <w:rsid w:val="00CA0E51"/>
    <w:rsid w:val="00CA1691"/>
    <w:rsid w:val="00CA1B45"/>
    <w:rsid w:val="00CA2738"/>
    <w:rsid w:val="00CA2D2E"/>
    <w:rsid w:val="00CA37E7"/>
    <w:rsid w:val="00CA3B2C"/>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2C3A"/>
    <w:rsid w:val="00CB2D38"/>
    <w:rsid w:val="00CB376E"/>
    <w:rsid w:val="00CB4137"/>
    <w:rsid w:val="00CB4A21"/>
    <w:rsid w:val="00CB4A29"/>
    <w:rsid w:val="00CB52D0"/>
    <w:rsid w:val="00CB5578"/>
    <w:rsid w:val="00CB5671"/>
    <w:rsid w:val="00CB591C"/>
    <w:rsid w:val="00CB5943"/>
    <w:rsid w:val="00CB61B3"/>
    <w:rsid w:val="00CB6F83"/>
    <w:rsid w:val="00CB7183"/>
    <w:rsid w:val="00CB72AE"/>
    <w:rsid w:val="00CB7773"/>
    <w:rsid w:val="00CB7D4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935"/>
    <w:rsid w:val="00CC7A62"/>
    <w:rsid w:val="00CD050A"/>
    <w:rsid w:val="00CD1017"/>
    <w:rsid w:val="00CD13F6"/>
    <w:rsid w:val="00CD205D"/>
    <w:rsid w:val="00CD2415"/>
    <w:rsid w:val="00CD2A22"/>
    <w:rsid w:val="00CD2B50"/>
    <w:rsid w:val="00CD2FD9"/>
    <w:rsid w:val="00CD3172"/>
    <w:rsid w:val="00CD3EDA"/>
    <w:rsid w:val="00CD4357"/>
    <w:rsid w:val="00CD43B3"/>
    <w:rsid w:val="00CD4506"/>
    <w:rsid w:val="00CD45A4"/>
    <w:rsid w:val="00CD520B"/>
    <w:rsid w:val="00CD592E"/>
    <w:rsid w:val="00CD5982"/>
    <w:rsid w:val="00CD5A1A"/>
    <w:rsid w:val="00CD5B33"/>
    <w:rsid w:val="00CD6988"/>
    <w:rsid w:val="00CD7EFA"/>
    <w:rsid w:val="00CE020E"/>
    <w:rsid w:val="00CE0566"/>
    <w:rsid w:val="00CE0E1C"/>
    <w:rsid w:val="00CE126F"/>
    <w:rsid w:val="00CE1384"/>
    <w:rsid w:val="00CE1CD4"/>
    <w:rsid w:val="00CE207C"/>
    <w:rsid w:val="00CE2761"/>
    <w:rsid w:val="00CE28FC"/>
    <w:rsid w:val="00CE2DD6"/>
    <w:rsid w:val="00CE314E"/>
    <w:rsid w:val="00CE3D5C"/>
    <w:rsid w:val="00CE3E09"/>
    <w:rsid w:val="00CE3E14"/>
    <w:rsid w:val="00CE446A"/>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BEC"/>
    <w:rsid w:val="00CF3DD5"/>
    <w:rsid w:val="00CF481B"/>
    <w:rsid w:val="00CF4AF7"/>
    <w:rsid w:val="00CF4D20"/>
    <w:rsid w:val="00CF4E9C"/>
    <w:rsid w:val="00CF73F8"/>
    <w:rsid w:val="00CF75C1"/>
    <w:rsid w:val="00CF7928"/>
    <w:rsid w:val="00CF7CA2"/>
    <w:rsid w:val="00D004F6"/>
    <w:rsid w:val="00D00684"/>
    <w:rsid w:val="00D00911"/>
    <w:rsid w:val="00D00A8E"/>
    <w:rsid w:val="00D00DE0"/>
    <w:rsid w:val="00D00F79"/>
    <w:rsid w:val="00D012BF"/>
    <w:rsid w:val="00D01760"/>
    <w:rsid w:val="00D01B0B"/>
    <w:rsid w:val="00D0254E"/>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CFD"/>
    <w:rsid w:val="00D06E6B"/>
    <w:rsid w:val="00D07315"/>
    <w:rsid w:val="00D07790"/>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61E5"/>
    <w:rsid w:val="00D2742F"/>
    <w:rsid w:val="00D27479"/>
    <w:rsid w:val="00D2754F"/>
    <w:rsid w:val="00D277C5"/>
    <w:rsid w:val="00D279D9"/>
    <w:rsid w:val="00D30474"/>
    <w:rsid w:val="00D312DC"/>
    <w:rsid w:val="00D31B84"/>
    <w:rsid w:val="00D31C6A"/>
    <w:rsid w:val="00D31EDF"/>
    <w:rsid w:val="00D31F0A"/>
    <w:rsid w:val="00D31FF9"/>
    <w:rsid w:val="00D32149"/>
    <w:rsid w:val="00D32256"/>
    <w:rsid w:val="00D32634"/>
    <w:rsid w:val="00D32A27"/>
    <w:rsid w:val="00D32ABC"/>
    <w:rsid w:val="00D32ACB"/>
    <w:rsid w:val="00D33063"/>
    <w:rsid w:val="00D33F45"/>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28C"/>
    <w:rsid w:val="00D416D5"/>
    <w:rsid w:val="00D41858"/>
    <w:rsid w:val="00D421E2"/>
    <w:rsid w:val="00D422DB"/>
    <w:rsid w:val="00D42303"/>
    <w:rsid w:val="00D42314"/>
    <w:rsid w:val="00D42AC2"/>
    <w:rsid w:val="00D4405C"/>
    <w:rsid w:val="00D44498"/>
    <w:rsid w:val="00D4498E"/>
    <w:rsid w:val="00D4515F"/>
    <w:rsid w:val="00D451E8"/>
    <w:rsid w:val="00D45590"/>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904"/>
    <w:rsid w:val="00D5616F"/>
    <w:rsid w:val="00D565EE"/>
    <w:rsid w:val="00D57940"/>
    <w:rsid w:val="00D60327"/>
    <w:rsid w:val="00D60EE8"/>
    <w:rsid w:val="00D61116"/>
    <w:rsid w:val="00D61384"/>
    <w:rsid w:val="00D61526"/>
    <w:rsid w:val="00D61634"/>
    <w:rsid w:val="00D61F81"/>
    <w:rsid w:val="00D6276C"/>
    <w:rsid w:val="00D62BE6"/>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4BB"/>
    <w:rsid w:val="00D8582C"/>
    <w:rsid w:val="00D858B1"/>
    <w:rsid w:val="00D85D61"/>
    <w:rsid w:val="00D8616D"/>
    <w:rsid w:val="00D86363"/>
    <w:rsid w:val="00D8641F"/>
    <w:rsid w:val="00D866CA"/>
    <w:rsid w:val="00D8689D"/>
    <w:rsid w:val="00D869B7"/>
    <w:rsid w:val="00D86EC2"/>
    <w:rsid w:val="00D8711B"/>
    <w:rsid w:val="00D87384"/>
    <w:rsid w:val="00D87AD1"/>
    <w:rsid w:val="00D87AE8"/>
    <w:rsid w:val="00D90274"/>
    <w:rsid w:val="00D9052A"/>
    <w:rsid w:val="00D90683"/>
    <w:rsid w:val="00D90B2A"/>
    <w:rsid w:val="00D91391"/>
    <w:rsid w:val="00D91483"/>
    <w:rsid w:val="00D915C8"/>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4842"/>
    <w:rsid w:val="00DA4B69"/>
    <w:rsid w:val="00DA4C5A"/>
    <w:rsid w:val="00DA5989"/>
    <w:rsid w:val="00DA5AB1"/>
    <w:rsid w:val="00DA5F9D"/>
    <w:rsid w:val="00DA5FFB"/>
    <w:rsid w:val="00DA69B2"/>
    <w:rsid w:val="00DA7374"/>
    <w:rsid w:val="00DA7462"/>
    <w:rsid w:val="00DA7AD0"/>
    <w:rsid w:val="00DB02D7"/>
    <w:rsid w:val="00DB03CC"/>
    <w:rsid w:val="00DB12D4"/>
    <w:rsid w:val="00DB14F0"/>
    <w:rsid w:val="00DB1745"/>
    <w:rsid w:val="00DB19BB"/>
    <w:rsid w:val="00DB1AFF"/>
    <w:rsid w:val="00DB219A"/>
    <w:rsid w:val="00DB23DD"/>
    <w:rsid w:val="00DB3165"/>
    <w:rsid w:val="00DB4292"/>
    <w:rsid w:val="00DB4A12"/>
    <w:rsid w:val="00DB5023"/>
    <w:rsid w:val="00DB629E"/>
    <w:rsid w:val="00DB6381"/>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C7EA8"/>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89E"/>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5FD7"/>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04F"/>
    <w:rsid w:val="00E0420C"/>
    <w:rsid w:val="00E04230"/>
    <w:rsid w:val="00E04EDD"/>
    <w:rsid w:val="00E055C2"/>
    <w:rsid w:val="00E05E70"/>
    <w:rsid w:val="00E05F4A"/>
    <w:rsid w:val="00E064BC"/>
    <w:rsid w:val="00E065C9"/>
    <w:rsid w:val="00E06C59"/>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2F9A"/>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446"/>
    <w:rsid w:val="00E368BD"/>
    <w:rsid w:val="00E36C86"/>
    <w:rsid w:val="00E36CEB"/>
    <w:rsid w:val="00E37387"/>
    <w:rsid w:val="00E37A28"/>
    <w:rsid w:val="00E40430"/>
    <w:rsid w:val="00E40690"/>
    <w:rsid w:val="00E40AEB"/>
    <w:rsid w:val="00E40B4D"/>
    <w:rsid w:val="00E412AC"/>
    <w:rsid w:val="00E4143A"/>
    <w:rsid w:val="00E424C8"/>
    <w:rsid w:val="00E4251D"/>
    <w:rsid w:val="00E437CE"/>
    <w:rsid w:val="00E43D00"/>
    <w:rsid w:val="00E43EF5"/>
    <w:rsid w:val="00E443B4"/>
    <w:rsid w:val="00E445E4"/>
    <w:rsid w:val="00E457CB"/>
    <w:rsid w:val="00E45D47"/>
    <w:rsid w:val="00E45DE4"/>
    <w:rsid w:val="00E45E63"/>
    <w:rsid w:val="00E462F0"/>
    <w:rsid w:val="00E46BBC"/>
    <w:rsid w:val="00E4759C"/>
    <w:rsid w:val="00E50A7B"/>
    <w:rsid w:val="00E50B0B"/>
    <w:rsid w:val="00E510FE"/>
    <w:rsid w:val="00E51129"/>
    <w:rsid w:val="00E516C7"/>
    <w:rsid w:val="00E51E25"/>
    <w:rsid w:val="00E5205B"/>
    <w:rsid w:val="00E521AE"/>
    <w:rsid w:val="00E52212"/>
    <w:rsid w:val="00E522B5"/>
    <w:rsid w:val="00E527D6"/>
    <w:rsid w:val="00E529A3"/>
    <w:rsid w:val="00E52CE7"/>
    <w:rsid w:val="00E53A21"/>
    <w:rsid w:val="00E53BCA"/>
    <w:rsid w:val="00E53DE2"/>
    <w:rsid w:val="00E53F02"/>
    <w:rsid w:val="00E54534"/>
    <w:rsid w:val="00E548C3"/>
    <w:rsid w:val="00E54C5A"/>
    <w:rsid w:val="00E54F27"/>
    <w:rsid w:val="00E5511A"/>
    <w:rsid w:val="00E5525E"/>
    <w:rsid w:val="00E554CF"/>
    <w:rsid w:val="00E55E1C"/>
    <w:rsid w:val="00E55FF1"/>
    <w:rsid w:val="00E56090"/>
    <w:rsid w:val="00E565B9"/>
    <w:rsid w:val="00E56CF4"/>
    <w:rsid w:val="00E56E7B"/>
    <w:rsid w:val="00E5733B"/>
    <w:rsid w:val="00E5756C"/>
    <w:rsid w:val="00E57811"/>
    <w:rsid w:val="00E5798B"/>
    <w:rsid w:val="00E601BE"/>
    <w:rsid w:val="00E60B5F"/>
    <w:rsid w:val="00E612EE"/>
    <w:rsid w:val="00E613AE"/>
    <w:rsid w:val="00E61429"/>
    <w:rsid w:val="00E61ABB"/>
    <w:rsid w:val="00E61FD7"/>
    <w:rsid w:val="00E620B6"/>
    <w:rsid w:val="00E62103"/>
    <w:rsid w:val="00E623E6"/>
    <w:rsid w:val="00E62851"/>
    <w:rsid w:val="00E630C0"/>
    <w:rsid w:val="00E63107"/>
    <w:rsid w:val="00E6312C"/>
    <w:rsid w:val="00E634E6"/>
    <w:rsid w:val="00E63DCE"/>
    <w:rsid w:val="00E6453E"/>
    <w:rsid w:val="00E64700"/>
    <w:rsid w:val="00E64854"/>
    <w:rsid w:val="00E64F45"/>
    <w:rsid w:val="00E65074"/>
    <w:rsid w:val="00E6526E"/>
    <w:rsid w:val="00E65E7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408"/>
    <w:rsid w:val="00E82C1F"/>
    <w:rsid w:val="00E83671"/>
    <w:rsid w:val="00E8406E"/>
    <w:rsid w:val="00E840EE"/>
    <w:rsid w:val="00E8416F"/>
    <w:rsid w:val="00E84A6D"/>
    <w:rsid w:val="00E84A71"/>
    <w:rsid w:val="00E85170"/>
    <w:rsid w:val="00E86556"/>
    <w:rsid w:val="00E86985"/>
    <w:rsid w:val="00E86D35"/>
    <w:rsid w:val="00E86DC2"/>
    <w:rsid w:val="00E86E32"/>
    <w:rsid w:val="00E86F2E"/>
    <w:rsid w:val="00E8732E"/>
    <w:rsid w:val="00E8744A"/>
    <w:rsid w:val="00E87E9C"/>
    <w:rsid w:val="00E9011F"/>
    <w:rsid w:val="00E906EB"/>
    <w:rsid w:val="00E90A66"/>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737B"/>
    <w:rsid w:val="00E97A3F"/>
    <w:rsid w:val="00E97F0A"/>
    <w:rsid w:val="00EA0100"/>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A79BB"/>
    <w:rsid w:val="00EA7FD4"/>
    <w:rsid w:val="00EB0A89"/>
    <w:rsid w:val="00EB1573"/>
    <w:rsid w:val="00EB1910"/>
    <w:rsid w:val="00EB2D83"/>
    <w:rsid w:val="00EB2E97"/>
    <w:rsid w:val="00EB3416"/>
    <w:rsid w:val="00EB3C01"/>
    <w:rsid w:val="00EB3D29"/>
    <w:rsid w:val="00EB43BB"/>
    <w:rsid w:val="00EB48E9"/>
    <w:rsid w:val="00EB4A31"/>
    <w:rsid w:val="00EB4AE1"/>
    <w:rsid w:val="00EB52F4"/>
    <w:rsid w:val="00EB5694"/>
    <w:rsid w:val="00EB5779"/>
    <w:rsid w:val="00EB5D2F"/>
    <w:rsid w:val="00EB64FB"/>
    <w:rsid w:val="00EB66C3"/>
    <w:rsid w:val="00EB67F1"/>
    <w:rsid w:val="00EB67FB"/>
    <w:rsid w:val="00EB70D2"/>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019"/>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6B0"/>
    <w:rsid w:val="00EE4BA1"/>
    <w:rsid w:val="00EE4CDF"/>
    <w:rsid w:val="00EE5454"/>
    <w:rsid w:val="00EE59B5"/>
    <w:rsid w:val="00EE5FB7"/>
    <w:rsid w:val="00EE6783"/>
    <w:rsid w:val="00EE7266"/>
    <w:rsid w:val="00EE7B54"/>
    <w:rsid w:val="00EE7C47"/>
    <w:rsid w:val="00EE7C88"/>
    <w:rsid w:val="00EE7C8B"/>
    <w:rsid w:val="00EF0209"/>
    <w:rsid w:val="00EF05C0"/>
    <w:rsid w:val="00EF0EA4"/>
    <w:rsid w:val="00EF0FE1"/>
    <w:rsid w:val="00EF1E97"/>
    <w:rsid w:val="00EF1FAB"/>
    <w:rsid w:val="00EF21E6"/>
    <w:rsid w:val="00EF2388"/>
    <w:rsid w:val="00EF2436"/>
    <w:rsid w:val="00EF2547"/>
    <w:rsid w:val="00EF284B"/>
    <w:rsid w:val="00EF296B"/>
    <w:rsid w:val="00EF2B2B"/>
    <w:rsid w:val="00EF2E1C"/>
    <w:rsid w:val="00EF2FD6"/>
    <w:rsid w:val="00EF326A"/>
    <w:rsid w:val="00EF3850"/>
    <w:rsid w:val="00EF38B3"/>
    <w:rsid w:val="00EF3ECF"/>
    <w:rsid w:val="00EF3FAE"/>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A14"/>
    <w:rsid w:val="00EF6DC2"/>
    <w:rsid w:val="00EF7506"/>
    <w:rsid w:val="00EF79D1"/>
    <w:rsid w:val="00EF7BF4"/>
    <w:rsid w:val="00F0012F"/>
    <w:rsid w:val="00F0030F"/>
    <w:rsid w:val="00F00674"/>
    <w:rsid w:val="00F01657"/>
    <w:rsid w:val="00F01E67"/>
    <w:rsid w:val="00F02744"/>
    <w:rsid w:val="00F02BFD"/>
    <w:rsid w:val="00F02D25"/>
    <w:rsid w:val="00F03C3D"/>
    <w:rsid w:val="00F04070"/>
    <w:rsid w:val="00F0435D"/>
    <w:rsid w:val="00F04580"/>
    <w:rsid w:val="00F04ECA"/>
    <w:rsid w:val="00F04F8B"/>
    <w:rsid w:val="00F053C4"/>
    <w:rsid w:val="00F06E19"/>
    <w:rsid w:val="00F06F84"/>
    <w:rsid w:val="00F07616"/>
    <w:rsid w:val="00F076E7"/>
    <w:rsid w:val="00F079C3"/>
    <w:rsid w:val="00F07AA1"/>
    <w:rsid w:val="00F07CCE"/>
    <w:rsid w:val="00F105AE"/>
    <w:rsid w:val="00F10618"/>
    <w:rsid w:val="00F107DF"/>
    <w:rsid w:val="00F1108B"/>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ACD"/>
    <w:rsid w:val="00F16E4F"/>
    <w:rsid w:val="00F17244"/>
    <w:rsid w:val="00F17500"/>
    <w:rsid w:val="00F213A0"/>
    <w:rsid w:val="00F21D54"/>
    <w:rsid w:val="00F21EF4"/>
    <w:rsid w:val="00F23113"/>
    <w:rsid w:val="00F23255"/>
    <w:rsid w:val="00F23393"/>
    <w:rsid w:val="00F23759"/>
    <w:rsid w:val="00F24644"/>
    <w:rsid w:val="00F25418"/>
    <w:rsid w:val="00F25947"/>
    <w:rsid w:val="00F262D6"/>
    <w:rsid w:val="00F26F33"/>
    <w:rsid w:val="00F2748A"/>
    <w:rsid w:val="00F27A2B"/>
    <w:rsid w:val="00F300A8"/>
    <w:rsid w:val="00F302C6"/>
    <w:rsid w:val="00F30400"/>
    <w:rsid w:val="00F3079E"/>
    <w:rsid w:val="00F319D2"/>
    <w:rsid w:val="00F31BEF"/>
    <w:rsid w:val="00F334DB"/>
    <w:rsid w:val="00F33968"/>
    <w:rsid w:val="00F3399B"/>
    <w:rsid w:val="00F33F4B"/>
    <w:rsid w:val="00F34645"/>
    <w:rsid w:val="00F346ED"/>
    <w:rsid w:val="00F34945"/>
    <w:rsid w:val="00F34E1E"/>
    <w:rsid w:val="00F3570C"/>
    <w:rsid w:val="00F357D6"/>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353"/>
    <w:rsid w:val="00F50D92"/>
    <w:rsid w:val="00F51427"/>
    <w:rsid w:val="00F5160A"/>
    <w:rsid w:val="00F51765"/>
    <w:rsid w:val="00F5183B"/>
    <w:rsid w:val="00F51A51"/>
    <w:rsid w:val="00F51BC6"/>
    <w:rsid w:val="00F51CB4"/>
    <w:rsid w:val="00F52324"/>
    <w:rsid w:val="00F52950"/>
    <w:rsid w:val="00F52C9D"/>
    <w:rsid w:val="00F533F1"/>
    <w:rsid w:val="00F55565"/>
    <w:rsid w:val="00F55679"/>
    <w:rsid w:val="00F561E3"/>
    <w:rsid w:val="00F565E6"/>
    <w:rsid w:val="00F567F4"/>
    <w:rsid w:val="00F56AFA"/>
    <w:rsid w:val="00F573E9"/>
    <w:rsid w:val="00F575E2"/>
    <w:rsid w:val="00F579FF"/>
    <w:rsid w:val="00F600E0"/>
    <w:rsid w:val="00F605EC"/>
    <w:rsid w:val="00F60F60"/>
    <w:rsid w:val="00F612CE"/>
    <w:rsid w:val="00F6133C"/>
    <w:rsid w:val="00F623D7"/>
    <w:rsid w:val="00F624A7"/>
    <w:rsid w:val="00F62AB6"/>
    <w:rsid w:val="00F64933"/>
    <w:rsid w:val="00F65A3C"/>
    <w:rsid w:val="00F65CF6"/>
    <w:rsid w:val="00F65D0E"/>
    <w:rsid w:val="00F66282"/>
    <w:rsid w:val="00F6639E"/>
    <w:rsid w:val="00F670E9"/>
    <w:rsid w:val="00F67AF1"/>
    <w:rsid w:val="00F67D8B"/>
    <w:rsid w:val="00F701C5"/>
    <w:rsid w:val="00F70961"/>
    <w:rsid w:val="00F70A8F"/>
    <w:rsid w:val="00F70E36"/>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3393"/>
    <w:rsid w:val="00F9374A"/>
    <w:rsid w:val="00F9375C"/>
    <w:rsid w:val="00F93DBC"/>
    <w:rsid w:val="00F93E41"/>
    <w:rsid w:val="00F94644"/>
    <w:rsid w:val="00F952E4"/>
    <w:rsid w:val="00F9537B"/>
    <w:rsid w:val="00F963FC"/>
    <w:rsid w:val="00F965D2"/>
    <w:rsid w:val="00F97A94"/>
    <w:rsid w:val="00F97CF1"/>
    <w:rsid w:val="00F97CF8"/>
    <w:rsid w:val="00FA015F"/>
    <w:rsid w:val="00FA0160"/>
    <w:rsid w:val="00FA0446"/>
    <w:rsid w:val="00FA0FAC"/>
    <w:rsid w:val="00FA10F7"/>
    <w:rsid w:val="00FA1DA2"/>
    <w:rsid w:val="00FA1E83"/>
    <w:rsid w:val="00FA3247"/>
    <w:rsid w:val="00FA3414"/>
    <w:rsid w:val="00FA347A"/>
    <w:rsid w:val="00FA37E1"/>
    <w:rsid w:val="00FA3CDE"/>
    <w:rsid w:val="00FA40FC"/>
    <w:rsid w:val="00FA49B7"/>
    <w:rsid w:val="00FA4CA8"/>
    <w:rsid w:val="00FA5043"/>
    <w:rsid w:val="00FA6C18"/>
    <w:rsid w:val="00FA6F8B"/>
    <w:rsid w:val="00FA727C"/>
    <w:rsid w:val="00FA7779"/>
    <w:rsid w:val="00FA7A30"/>
    <w:rsid w:val="00FB033F"/>
    <w:rsid w:val="00FB12E3"/>
    <w:rsid w:val="00FB1570"/>
    <w:rsid w:val="00FB193B"/>
    <w:rsid w:val="00FB1FBC"/>
    <w:rsid w:val="00FB2276"/>
    <w:rsid w:val="00FB27B7"/>
    <w:rsid w:val="00FB2BFA"/>
    <w:rsid w:val="00FB2F28"/>
    <w:rsid w:val="00FB3157"/>
    <w:rsid w:val="00FB3441"/>
    <w:rsid w:val="00FB35E3"/>
    <w:rsid w:val="00FB4C98"/>
    <w:rsid w:val="00FB4C9F"/>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2A2"/>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1A"/>
    <w:rsid w:val="00FF045F"/>
    <w:rsid w:val="00FF0FA2"/>
    <w:rsid w:val="00FF13D4"/>
    <w:rsid w:val="00FF2053"/>
    <w:rsid w:val="00FF3AFD"/>
    <w:rsid w:val="00FF3B37"/>
    <w:rsid w:val="00FF3CC7"/>
    <w:rsid w:val="00FF3D6F"/>
    <w:rsid w:val="00FF40D6"/>
    <w:rsid w:val="00FF4489"/>
    <w:rsid w:val="00FF4BD8"/>
    <w:rsid w:val="00FF4D11"/>
    <w:rsid w:val="00FF5214"/>
    <w:rsid w:val="00FF596E"/>
    <w:rsid w:val="00FF5B59"/>
    <w:rsid w:val="00FF5BFD"/>
    <w:rsid w:val="00FF5F9E"/>
    <w:rsid w:val="00FF6095"/>
    <w:rsid w:val="00FF62FE"/>
    <w:rsid w:val="00FF6553"/>
    <w:rsid w:val="00FF6D70"/>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F8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Footnote Text Char Char Char Char Car,Ref. de nota al pie11 Car,Footnote Text Cha Car,Footnote Text Char Char Char Car,FA Fuﬂnotentext Car,Texto nota pie Car Car"/>
    <w:basedOn w:val="Fuentedeprrafopredeter"/>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paragraph" w:customStyle="1" w:styleId="BodyText21">
    <w:name w:val="Body Text 21"/>
    <w:basedOn w:val="Normal"/>
    <w:uiPriority w:val="99"/>
    <w:rsid w:val="00DB4A12"/>
    <w:pPr>
      <w:overflowPunct w:val="0"/>
      <w:autoSpaceDE w:val="0"/>
      <w:autoSpaceDN w:val="0"/>
      <w:adjustRightInd w:val="0"/>
      <w:spacing w:line="480" w:lineRule="auto"/>
      <w:jc w:val="both"/>
      <w:textAlignment w:val="baseline"/>
    </w:pPr>
    <w:rPr>
      <w:rFonts w:ascii="Arial" w:hAnsi="Arial" w:cs="Aria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2851165">
      <w:bodyDiv w:val="1"/>
      <w:marLeft w:val="0"/>
      <w:marRight w:val="0"/>
      <w:marTop w:val="0"/>
      <w:marBottom w:val="0"/>
      <w:divBdr>
        <w:top w:val="none" w:sz="0" w:space="0" w:color="auto"/>
        <w:left w:val="none" w:sz="0" w:space="0" w:color="auto"/>
        <w:bottom w:val="none" w:sz="0" w:space="0" w:color="auto"/>
        <w:right w:val="none" w:sz="0" w:space="0" w:color="auto"/>
      </w:divBdr>
      <w:divsChild>
        <w:div w:id="1053849021">
          <w:marLeft w:val="0"/>
          <w:marRight w:val="0"/>
          <w:marTop w:val="0"/>
          <w:marBottom w:val="0"/>
          <w:divBdr>
            <w:top w:val="none" w:sz="0" w:space="0" w:color="auto"/>
            <w:left w:val="none" w:sz="0" w:space="0" w:color="auto"/>
            <w:bottom w:val="none" w:sz="0" w:space="0" w:color="auto"/>
            <w:right w:val="none" w:sz="0" w:space="0" w:color="auto"/>
          </w:divBdr>
          <w:divsChild>
            <w:div w:id="1236548123">
              <w:marLeft w:val="0"/>
              <w:marRight w:val="0"/>
              <w:marTop w:val="0"/>
              <w:marBottom w:val="0"/>
              <w:divBdr>
                <w:top w:val="none" w:sz="0" w:space="0" w:color="auto"/>
                <w:left w:val="none" w:sz="0" w:space="0" w:color="auto"/>
                <w:bottom w:val="none" w:sz="0" w:space="0" w:color="auto"/>
                <w:right w:val="none" w:sz="0" w:space="0" w:color="auto"/>
              </w:divBdr>
              <w:divsChild>
                <w:div w:id="989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769378">
      <w:bodyDiv w:val="1"/>
      <w:marLeft w:val="0"/>
      <w:marRight w:val="0"/>
      <w:marTop w:val="0"/>
      <w:marBottom w:val="0"/>
      <w:divBdr>
        <w:top w:val="none" w:sz="0" w:space="0" w:color="auto"/>
        <w:left w:val="none" w:sz="0" w:space="0" w:color="auto"/>
        <w:bottom w:val="none" w:sz="0" w:space="0" w:color="auto"/>
        <w:right w:val="none" w:sz="0" w:space="0" w:color="auto"/>
      </w:divBdr>
    </w:div>
    <w:div w:id="63995201">
      <w:bodyDiv w:val="1"/>
      <w:marLeft w:val="0"/>
      <w:marRight w:val="0"/>
      <w:marTop w:val="0"/>
      <w:marBottom w:val="0"/>
      <w:divBdr>
        <w:top w:val="none" w:sz="0" w:space="0" w:color="auto"/>
        <w:left w:val="none" w:sz="0" w:space="0" w:color="auto"/>
        <w:bottom w:val="none" w:sz="0" w:space="0" w:color="auto"/>
        <w:right w:val="none" w:sz="0" w:space="0" w:color="auto"/>
      </w:divBdr>
      <w:divsChild>
        <w:div w:id="873540060">
          <w:marLeft w:val="0"/>
          <w:marRight w:val="0"/>
          <w:marTop w:val="0"/>
          <w:marBottom w:val="0"/>
          <w:divBdr>
            <w:top w:val="none" w:sz="0" w:space="0" w:color="auto"/>
            <w:left w:val="none" w:sz="0" w:space="0" w:color="auto"/>
            <w:bottom w:val="none" w:sz="0" w:space="0" w:color="auto"/>
            <w:right w:val="none" w:sz="0" w:space="0" w:color="auto"/>
          </w:divBdr>
          <w:divsChild>
            <w:div w:id="1741365175">
              <w:marLeft w:val="0"/>
              <w:marRight w:val="0"/>
              <w:marTop w:val="0"/>
              <w:marBottom w:val="0"/>
              <w:divBdr>
                <w:top w:val="none" w:sz="0" w:space="0" w:color="auto"/>
                <w:left w:val="none" w:sz="0" w:space="0" w:color="auto"/>
                <w:bottom w:val="none" w:sz="0" w:space="0" w:color="auto"/>
                <w:right w:val="none" w:sz="0" w:space="0" w:color="auto"/>
              </w:divBdr>
              <w:divsChild>
                <w:div w:id="8084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44709248">
      <w:bodyDiv w:val="1"/>
      <w:marLeft w:val="0"/>
      <w:marRight w:val="0"/>
      <w:marTop w:val="0"/>
      <w:marBottom w:val="0"/>
      <w:divBdr>
        <w:top w:val="none" w:sz="0" w:space="0" w:color="auto"/>
        <w:left w:val="none" w:sz="0" w:space="0" w:color="auto"/>
        <w:bottom w:val="none" w:sz="0" w:space="0" w:color="auto"/>
        <w:right w:val="none" w:sz="0" w:space="0" w:color="auto"/>
      </w:divBdr>
      <w:divsChild>
        <w:div w:id="695472413">
          <w:marLeft w:val="0"/>
          <w:marRight w:val="0"/>
          <w:marTop w:val="0"/>
          <w:marBottom w:val="0"/>
          <w:divBdr>
            <w:top w:val="none" w:sz="0" w:space="0" w:color="auto"/>
            <w:left w:val="none" w:sz="0" w:space="0" w:color="auto"/>
            <w:bottom w:val="none" w:sz="0" w:space="0" w:color="auto"/>
            <w:right w:val="none" w:sz="0" w:space="0" w:color="auto"/>
          </w:divBdr>
          <w:divsChild>
            <w:div w:id="1564826828">
              <w:marLeft w:val="0"/>
              <w:marRight w:val="0"/>
              <w:marTop w:val="0"/>
              <w:marBottom w:val="0"/>
              <w:divBdr>
                <w:top w:val="none" w:sz="0" w:space="0" w:color="auto"/>
                <w:left w:val="none" w:sz="0" w:space="0" w:color="auto"/>
                <w:bottom w:val="none" w:sz="0" w:space="0" w:color="auto"/>
                <w:right w:val="none" w:sz="0" w:space="0" w:color="auto"/>
              </w:divBdr>
              <w:divsChild>
                <w:div w:id="8976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4725520">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2984">
      <w:bodyDiv w:val="1"/>
      <w:marLeft w:val="0"/>
      <w:marRight w:val="0"/>
      <w:marTop w:val="0"/>
      <w:marBottom w:val="0"/>
      <w:divBdr>
        <w:top w:val="none" w:sz="0" w:space="0" w:color="auto"/>
        <w:left w:val="none" w:sz="0" w:space="0" w:color="auto"/>
        <w:bottom w:val="none" w:sz="0" w:space="0" w:color="auto"/>
        <w:right w:val="none" w:sz="0" w:space="0" w:color="auto"/>
      </w:divBdr>
      <w:divsChild>
        <w:div w:id="2117554822">
          <w:marLeft w:val="0"/>
          <w:marRight w:val="0"/>
          <w:marTop w:val="0"/>
          <w:marBottom w:val="0"/>
          <w:divBdr>
            <w:top w:val="none" w:sz="0" w:space="0" w:color="auto"/>
            <w:left w:val="none" w:sz="0" w:space="0" w:color="auto"/>
            <w:bottom w:val="none" w:sz="0" w:space="0" w:color="auto"/>
            <w:right w:val="none" w:sz="0" w:space="0" w:color="auto"/>
          </w:divBdr>
          <w:divsChild>
            <w:div w:id="169876355">
              <w:marLeft w:val="0"/>
              <w:marRight w:val="0"/>
              <w:marTop w:val="0"/>
              <w:marBottom w:val="0"/>
              <w:divBdr>
                <w:top w:val="none" w:sz="0" w:space="0" w:color="auto"/>
                <w:left w:val="none" w:sz="0" w:space="0" w:color="auto"/>
                <w:bottom w:val="none" w:sz="0" w:space="0" w:color="auto"/>
                <w:right w:val="none" w:sz="0" w:space="0" w:color="auto"/>
              </w:divBdr>
              <w:divsChild>
                <w:div w:id="1314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0463170">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756166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5565">
      <w:bodyDiv w:val="1"/>
      <w:marLeft w:val="0"/>
      <w:marRight w:val="0"/>
      <w:marTop w:val="0"/>
      <w:marBottom w:val="0"/>
      <w:divBdr>
        <w:top w:val="none" w:sz="0" w:space="0" w:color="auto"/>
        <w:left w:val="none" w:sz="0" w:space="0" w:color="auto"/>
        <w:bottom w:val="none" w:sz="0" w:space="0" w:color="auto"/>
        <w:right w:val="none" w:sz="0" w:space="0" w:color="auto"/>
      </w:divBdr>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382147">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57474167">
      <w:bodyDiv w:val="1"/>
      <w:marLeft w:val="0"/>
      <w:marRight w:val="0"/>
      <w:marTop w:val="0"/>
      <w:marBottom w:val="0"/>
      <w:divBdr>
        <w:top w:val="none" w:sz="0" w:space="0" w:color="auto"/>
        <w:left w:val="none" w:sz="0" w:space="0" w:color="auto"/>
        <w:bottom w:val="none" w:sz="0" w:space="0" w:color="auto"/>
        <w:right w:val="none" w:sz="0" w:space="0" w:color="auto"/>
      </w:divBdr>
      <w:divsChild>
        <w:div w:id="1809932122">
          <w:marLeft w:val="0"/>
          <w:marRight w:val="0"/>
          <w:marTop w:val="0"/>
          <w:marBottom w:val="0"/>
          <w:divBdr>
            <w:top w:val="none" w:sz="0" w:space="0" w:color="auto"/>
            <w:left w:val="none" w:sz="0" w:space="0" w:color="auto"/>
            <w:bottom w:val="none" w:sz="0" w:space="0" w:color="auto"/>
            <w:right w:val="none" w:sz="0" w:space="0" w:color="auto"/>
          </w:divBdr>
          <w:divsChild>
            <w:div w:id="308174093">
              <w:marLeft w:val="0"/>
              <w:marRight w:val="0"/>
              <w:marTop w:val="0"/>
              <w:marBottom w:val="0"/>
              <w:divBdr>
                <w:top w:val="none" w:sz="0" w:space="0" w:color="auto"/>
                <w:left w:val="none" w:sz="0" w:space="0" w:color="auto"/>
                <w:bottom w:val="none" w:sz="0" w:space="0" w:color="auto"/>
                <w:right w:val="none" w:sz="0" w:space="0" w:color="auto"/>
              </w:divBdr>
              <w:divsChild>
                <w:div w:id="851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8148">
      <w:bodyDiv w:val="1"/>
      <w:marLeft w:val="0"/>
      <w:marRight w:val="0"/>
      <w:marTop w:val="0"/>
      <w:marBottom w:val="0"/>
      <w:divBdr>
        <w:top w:val="none" w:sz="0" w:space="0" w:color="auto"/>
        <w:left w:val="none" w:sz="0" w:space="0" w:color="auto"/>
        <w:bottom w:val="none" w:sz="0" w:space="0" w:color="auto"/>
        <w:right w:val="none" w:sz="0" w:space="0" w:color="auto"/>
      </w:divBdr>
      <w:divsChild>
        <w:div w:id="734625639">
          <w:marLeft w:val="0"/>
          <w:marRight w:val="0"/>
          <w:marTop w:val="0"/>
          <w:marBottom w:val="0"/>
          <w:divBdr>
            <w:top w:val="none" w:sz="0" w:space="0" w:color="auto"/>
            <w:left w:val="none" w:sz="0" w:space="0" w:color="auto"/>
            <w:bottom w:val="none" w:sz="0" w:space="0" w:color="auto"/>
            <w:right w:val="none" w:sz="0" w:space="0" w:color="auto"/>
          </w:divBdr>
          <w:divsChild>
            <w:div w:id="386343813">
              <w:marLeft w:val="0"/>
              <w:marRight w:val="0"/>
              <w:marTop w:val="0"/>
              <w:marBottom w:val="0"/>
              <w:divBdr>
                <w:top w:val="none" w:sz="0" w:space="0" w:color="auto"/>
                <w:left w:val="none" w:sz="0" w:space="0" w:color="auto"/>
                <w:bottom w:val="none" w:sz="0" w:space="0" w:color="auto"/>
                <w:right w:val="none" w:sz="0" w:space="0" w:color="auto"/>
              </w:divBdr>
              <w:divsChild>
                <w:div w:id="8369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0724002">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1487387">
      <w:bodyDiv w:val="1"/>
      <w:marLeft w:val="0"/>
      <w:marRight w:val="0"/>
      <w:marTop w:val="0"/>
      <w:marBottom w:val="0"/>
      <w:divBdr>
        <w:top w:val="none" w:sz="0" w:space="0" w:color="auto"/>
        <w:left w:val="none" w:sz="0" w:space="0" w:color="auto"/>
        <w:bottom w:val="none" w:sz="0" w:space="0" w:color="auto"/>
        <w:right w:val="none" w:sz="0" w:space="0" w:color="auto"/>
      </w:divBdr>
      <w:divsChild>
        <w:div w:id="744187789">
          <w:marLeft w:val="0"/>
          <w:marRight w:val="0"/>
          <w:marTop w:val="0"/>
          <w:marBottom w:val="0"/>
          <w:divBdr>
            <w:top w:val="none" w:sz="0" w:space="0" w:color="auto"/>
            <w:left w:val="none" w:sz="0" w:space="0" w:color="auto"/>
            <w:bottom w:val="none" w:sz="0" w:space="0" w:color="auto"/>
            <w:right w:val="none" w:sz="0" w:space="0" w:color="auto"/>
          </w:divBdr>
          <w:divsChild>
            <w:div w:id="875895721">
              <w:marLeft w:val="0"/>
              <w:marRight w:val="0"/>
              <w:marTop w:val="0"/>
              <w:marBottom w:val="0"/>
              <w:divBdr>
                <w:top w:val="none" w:sz="0" w:space="0" w:color="auto"/>
                <w:left w:val="none" w:sz="0" w:space="0" w:color="auto"/>
                <w:bottom w:val="none" w:sz="0" w:space="0" w:color="auto"/>
                <w:right w:val="none" w:sz="0" w:space="0" w:color="auto"/>
              </w:divBdr>
              <w:divsChild>
                <w:div w:id="1923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4087157">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6530369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2074776">
      <w:bodyDiv w:val="1"/>
      <w:marLeft w:val="0"/>
      <w:marRight w:val="0"/>
      <w:marTop w:val="0"/>
      <w:marBottom w:val="0"/>
      <w:divBdr>
        <w:top w:val="none" w:sz="0" w:space="0" w:color="auto"/>
        <w:left w:val="none" w:sz="0" w:space="0" w:color="auto"/>
        <w:bottom w:val="none" w:sz="0" w:space="0" w:color="auto"/>
        <w:right w:val="none" w:sz="0" w:space="0" w:color="auto"/>
      </w:divBdr>
      <w:divsChild>
        <w:div w:id="1800108713">
          <w:marLeft w:val="0"/>
          <w:marRight w:val="0"/>
          <w:marTop w:val="0"/>
          <w:marBottom w:val="0"/>
          <w:divBdr>
            <w:top w:val="none" w:sz="0" w:space="0" w:color="auto"/>
            <w:left w:val="none" w:sz="0" w:space="0" w:color="auto"/>
            <w:bottom w:val="none" w:sz="0" w:space="0" w:color="auto"/>
            <w:right w:val="none" w:sz="0" w:space="0" w:color="auto"/>
          </w:divBdr>
        </w:div>
      </w:divsChild>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1948">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5228012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541423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49605472">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80830">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84122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0338673">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4298603">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2973145">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2107">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7148141">
      <w:bodyDiv w:val="1"/>
      <w:marLeft w:val="0"/>
      <w:marRight w:val="0"/>
      <w:marTop w:val="0"/>
      <w:marBottom w:val="0"/>
      <w:divBdr>
        <w:top w:val="none" w:sz="0" w:space="0" w:color="auto"/>
        <w:left w:val="none" w:sz="0" w:space="0" w:color="auto"/>
        <w:bottom w:val="none" w:sz="0" w:space="0" w:color="auto"/>
        <w:right w:val="none" w:sz="0" w:space="0" w:color="auto"/>
      </w:divBdr>
      <w:divsChild>
        <w:div w:id="1383364980">
          <w:marLeft w:val="0"/>
          <w:marRight w:val="0"/>
          <w:marTop w:val="0"/>
          <w:marBottom w:val="0"/>
          <w:divBdr>
            <w:top w:val="none" w:sz="0" w:space="0" w:color="auto"/>
            <w:left w:val="none" w:sz="0" w:space="0" w:color="auto"/>
            <w:bottom w:val="none" w:sz="0" w:space="0" w:color="auto"/>
            <w:right w:val="none" w:sz="0" w:space="0" w:color="auto"/>
          </w:divBdr>
          <w:divsChild>
            <w:div w:id="1866164991">
              <w:marLeft w:val="0"/>
              <w:marRight w:val="0"/>
              <w:marTop w:val="0"/>
              <w:marBottom w:val="0"/>
              <w:divBdr>
                <w:top w:val="none" w:sz="0" w:space="0" w:color="auto"/>
                <w:left w:val="none" w:sz="0" w:space="0" w:color="auto"/>
                <w:bottom w:val="none" w:sz="0" w:space="0" w:color="auto"/>
                <w:right w:val="none" w:sz="0" w:space="0" w:color="auto"/>
              </w:divBdr>
              <w:divsChild>
                <w:div w:id="5018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09541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4EBD048E-CBD4-4443-8941-65E6B1B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TotalTime>
  <Pages>14</Pages>
  <Words>5419</Words>
  <Characters>29809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5</cp:revision>
  <cp:lastPrinted>2020-01-30T15:05:00Z</cp:lastPrinted>
  <dcterms:created xsi:type="dcterms:W3CDTF">2021-08-31T20:59:00Z</dcterms:created>
  <dcterms:modified xsi:type="dcterms:W3CDTF">2021-08-31T21:57:00Z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