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E4C3" w14:textId="4CCD1A7C" w:rsidR="00DA4E96" w:rsidRDefault="00214878" w:rsidP="00052739">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7E73FE">
        <w:rPr>
          <w:rFonts w:ascii="Arial" w:hAnsi="Arial" w:cs="Arial"/>
          <w:b/>
          <w:sz w:val="16"/>
          <w:szCs w:val="16"/>
          <w:lang w:eastAsia="es-ES"/>
        </w:rPr>
        <w:t>CCE-DES-FM-17</w:t>
      </w:r>
      <w:bookmarkEnd w:id="0"/>
      <w:bookmarkEnd w:id="1"/>
    </w:p>
    <w:p w14:paraId="00B5C83F" w14:textId="5EE72969" w:rsidR="007A7080" w:rsidRPr="003953CA" w:rsidRDefault="00D83B93" w:rsidP="007A7080">
      <w:pPr>
        <w:jc w:val="both"/>
        <w:rPr>
          <w:rFonts w:ascii="Arial" w:eastAsia="Calibri" w:hAnsi="Arial" w:cs="Arial"/>
          <w:b/>
          <w:bCs/>
          <w:sz w:val="22"/>
          <w:lang w:val="es-ES_tradnl"/>
        </w:rPr>
      </w:pPr>
      <w:r>
        <w:rPr>
          <w:rFonts w:ascii="Arial" w:eastAsia="Calibri" w:hAnsi="Arial" w:cs="Arial"/>
          <w:b/>
          <w:bCs/>
          <w:sz w:val="22"/>
          <w:lang w:val="es-ES_tradnl"/>
        </w:rPr>
        <w:t>RÉ</w:t>
      </w:r>
      <w:r w:rsidR="007A7080">
        <w:rPr>
          <w:rFonts w:ascii="Arial" w:eastAsia="Calibri" w:hAnsi="Arial" w:cs="Arial"/>
          <w:b/>
          <w:bCs/>
          <w:sz w:val="22"/>
          <w:lang w:val="es-ES_tradnl"/>
        </w:rPr>
        <w:t xml:space="preserve">GIMEN DE </w:t>
      </w:r>
      <w:r w:rsidR="007A7080" w:rsidRPr="003953CA">
        <w:rPr>
          <w:rFonts w:ascii="Arial" w:eastAsia="Calibri" w:hAnsi="Arial" w:cs="Arial"/>
          <w:b/>
          <w:bCs/>
          <w:sz w:val="22"/>
          <w:lang w:val="es-ES_tradnl"/>
        </w:rPr>
        <w:t xml:space="preserve">INHABILIDADES </w:t>
      </w:r>
      <w:r w:rsidR="007A7080">
        <w:rPr>
          <w:rFonts w:ascii="Arial" w:eastAsia="Calibri" w:hAnsi="Arial" w:cs="Arial"/>
          <w:b/>
          <w:bCs/>
          <w:sz w:val="22"/>
          <w:lang w:val="es-ES_tradnl"/>
        </w:rPr>
        <w:t>E INCOMPATIBILIDADES</w:t>
      </w:r>
      <w:r w:rsidR="0081689C">
        <w:rPr>
          <w:rFonts w:ascii="Arial" w:eastAsia="Calibri" w:hAnsi="Arial" w:cs="Arial"/>
          <w:b/>
          <w:bCs/>
          <w:sz w:val="22"/>
          <w:lang w:val="es-ES_tradnl"/>
        </w:rPr>
        <w:t xml:space="preserve"> </w:t>
      </w:r>
      <w:r w:rsidR="007A7080" w:rsidRPr="003953CA">
        <w:rPr>
          <w:rFonts w:ascii="Arial" w:eastAsia="Calibri" w:hAnsi="Arial" w:cs="Arial"/>
          <w:b/>
          <w:bCs/>
          <w:sz w:val="22"/>
          <w:lang w:val="es-ES_tradnl"/>
        </w:rPr>
        <w:t>– Taxatividad – Principio de legalidad – Interpretación restrictiva</w:t>
      </w:r>
    </w:p>
    <w:p w14:paraId="1634432E" w14:textId="77777777" w:rsidR="00E47159" w:rsidRPr="007A7080" w:rsidRDefault="00E47159" w:rsidP="00E47159">
      <w:pPr>
        <w:rPr>
          <w:rFonts w:ascii="Arial" w:eastAsia="Calibri" w:hAnsi="Arial" w:cs="Arial"/>
          <w:b/>
          <w:sz w:val="22"/>
          <w:highlight w:val="magenta"/>
          <w:lang w:val="es-ES_tradnl"/>
        </w:rPr>
      </w:pPr>
    </w:p>
    <w:p w14:paraId="5DB33820" w14:textId="6904F4E4" w:rsidR="00180E2A" w:rsidRDefault="00E47159" w:rsidP="007E73FE">
      <w:pPr>
        <w:pStyle w:val="Textoindependiente"/>
        <w:spacing w:after="0" w:line="240" w:lineRule="auto"/>
        <w:rPr>
          <w:color w:val="000000"/>
          <w:sz w:val="20"/>
          <w:szCs w:val="20"/>
          <w:lang w:val="es-ES_tradnl"/>
        </w:rPr>
      </w:pPr>
      <w:r w:rsidRPr="007A7080">
        <w:rPr>
          <w:sz w:val="20"/>
          <w:szCs w:val="20"/>
        </w:rPr>
        <w:t xml:space="preserve">[...] </w:t>
      </w:r>
      <w:r w:rsidR="00180E2A" w:rsidRPr="007E73FE">
        <w:rPr>
          <w:color w:val="000000"/>
          <w:sz w:val="20"/>
          <w:szCs w:val="20"/>
          <w:lang w:val="es-ES_tradnl"/>
        </w:rPr>
        <w:t xml:space="preserve">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00180E2A" w:rsidRPr="007E73FE">
        <w:rPr>
          <w:i/>
          <w:iCs/>
          <w:color w:val="000000"/>
          <w:sz w:val="20"/>
          <w:szCs w:val="20"/>
          <w:lang w:val="es-ES_tradnl"/>
        </w:rPr>
        <w:t>restrictiva</w:t>
      </w:r>
      <w:r w:rsidR="00180E2A" w:rsidRPr="007E73FE">
        <w:rPr>
          <w:color w:val="000000"/>
          <w:sz w:val="20"/>
          <w:szCs w:val="20"/>
          <w:lang w:val="es-ES_tradnl"/>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r w:rsidR="00180E2A">
        <w:rPr>
          <w:color w:val="000000"/>
          <w:lang w:val="es-ES_tradnl"/>
        </w:rPr>
        <w:t xml:space="preserve"> </w:t>
      </w:r>
    </w:p>
    <w:p w14:paraId="5C0F3314" w14:textId="77777777" w:rsidR="00180E2A" w:rsidRDefault="00180E2A" w:rsidP="007E73FE">
      <w:pPr>
        <w:pStyle w:val="Textoindependiente"/>
        <w:spacing w:after="0" w:line="240" w:lineRule="auto"/>
        <w:rPr>
          <w:color w:val="000000"/>
          <w:sz w:val="20"/>
          <w:szCs w:val="20"/>
          <w:lang w:val="es-ES_tradnl"/>
        </w:rPr>
      </w:pPr>
    </w:p>
    <w:p w14:paraId="006B7DA2" w14:textId="3C528A23" w:rsidR="00E16BCB" w:rsidRPr="00183069" w:rsidRDefault="00E16BCB" w:rsidP="0081689C">
      <w:pPr>
        <w:pStyle w:val="Textoindependiente"/>
        <w:spacing w:after="0" w:line="240" w:lineRule="auto"/>
        <w:rPr>
          <w:rFonts w:eastAsia="Calibri"/>
          <w:b/>
        </w:rPr>
      </w:pPr>
      <w:r w:rsidRPr="005B75D8">
        <w:rPr>
          <w:rFonts w:eastAsia="Calibri"/>
          <w:b/>
        </w:rPr>
        <w:t>RÉGIMEN DE INHABILIDADES</w:t>
      </w:r>
      <w:r w:rsidR="00183069">
        <w:rPr>
          <w:rFonts w:eastAsia="Calibri"/>
          <w:b/>
        </w:rPr>
        <w:t xml:space="preserve"> E</w:t>
      </w:r>
      <w:r w:rsidRPr="005B75D8">
        <w:rPr>
          <w:rFonts w:eastAsia="Calibri"/>
          <w:b/>
        </w:rPr>
        <w:t xml:space="preserve"> INCOMPATIBILIDADES</w:t>
      </w:r>
      <w:r w:rsidR="00183069">
        <w:rPr>
          <w:rFonts w:eastAsia="Calibri"/>
          <w:b/>
        </w:rPr>
        <w:t xml:space="preserve"> </w:t>
      </w:r>
      <w:r w:rsidRPr="005B75D8">
        <w:rPr>
          <w:rFonts w:eastAsia="Calibri"/>
          <w:b/>
        </w:rPr>
        <w:t xml:space="preserve">– </w:t>
      </w:r>
      <w:r w:rsidR="00183069">
        <w:rPr>
          <w:rFonts w:eastAsia="Calibri"/>
          <w:b/>
        </w:rPr>
        <w:t>Conflicto de interés –</w:t>
      </w:r>
      <w:r w:rsidRPr="005B75D8">
        <w:rPr>
          <w:rFonts w:eastAsia="Calibri"/>
          <w:b/>
        </w:rPr>
        <w:t>Comité Evaluador</w:t>
      </w:r>
    </w:p>
    <w:p w14:paraId="70812CB8" w14:textId="77777777" w:rsidR="00052739" w:rsidRDefault="00052739" w:rsidP="0081689C">
      <w:pPr>
        <w:widowControl w:val="0"/>
        <w:autoSpaceDE w:val="0"/>
        <w:autoSpaceDN w:val="0"/>
        <w:jc w:val="both"/>
        <w:rPr>
          <w:rFonts w:ascii="Arial" w:eastAsia="Arial" w:hAnsi="Arial" w:cs="Arial"/>
          <w:sz w:val="20"/>
          <w:szCs w:val="20"/>
          <w:lang w:val="es-ES_tradnl"/>
        </w:rPr>
      </w:pPr>
    </w:p>
    <w:p w14:paraId="2D688157" w14:textId="1792A99A" w:rsidR="00052739" w:rsidRPr="00052739" w:rsidRDefault="00052739" w:rsidP="0081689C">
      <w:pPr>
        <w:widowControl w:val="0"/>
        <w:autoSpaceDE w:val="0"/>
        <w:autoSpaceDN w:val="0"/>
        <w:jc w:val="both"/>
        <w:rPr>
          <w:rFonts w:ascii="Arial" w:eastAsia="Arial" w:hAnsi="Arial" w:cs="Arial"/>
          <w:sz w:val="20"/>
          <w:szCs w:val="20"/>
          <w:lang w:val="es-ES"/>
        </w:rPr>
      </w:pPr>
      <w:r w:rsidRPr="00052739">
        <w:rPr>
          <w:rFonts w:ascii="Arial" w:eastAsia="Arial" w:hAnsi="Arial" w:cs="Arial"/>
          <w:sz w:val="20"/>
          <w:szCs w:val="20"/>
          <w:lang w:val="es-ES_tradnl"/>
        </w:rPr>
        <w:t>D</w:t>
      </w:r>
      <w:proofErr w:type="spellStart"/>
      <w:r w:rsidRPr="00052739">
        <w:rPr>
          <w:rFonts w:ascii="Arial" w:eastAsia="Arial" w:hAnsi="Arial" w:cs="Arial"/>
          <w:sz w:val="20"/>
          <w:szCs w:val="20"/>
          <w:lang w:val="es-ES"/>
        </w:rPr>
        <w:t>e</w:t>
      </w:r>
      <w:proofErr w:type="spellEnd"/>
      <w:r w:rsidRPr="00052739">
        <w:rPr>
          <w:rFonts w:ascii="Arial" w:eastAsia="Arial" w:hAnsi="Arial" w:cs="Arial"/>
          <w:sz w:val="20"/>
          <w:szCs w:val="20"/>
          <w:lang w:val="es-ES"/>
        </w:rPr>
        <w:t xml:space="preserve"> conformidad con la pregunta planteada por el peticionario sobre si es aplicable el régimen de inhabilidades e incompatibilidades y conflicto de interés en relación con los miembros del </w:t>
      </w:r>
      <w:r w:rsidRPr="00052739">
        <w:rPr>
          <w:rFonts w:ascii="Arial" w:eastAsia="Arial" w:hAnsi="Arial" w:cs="Arial"/>
          <w:sz w:val="20"/>
          <w:szCs w:val="20"/>
          <w:lang w:val="es-CO"/>
        </w:rPr>
        <w:t>«</w:t>
      </w:r>
      <w:r w:rsidRPr="00052739">
        <w:rPr>
          <w:rFonts w:ascii="Arial" w:eastAsia="Arial" w:hAnsi="Arial" w:cs="Arial"/>
          <w:sz w:val="20"/>
          <w:szCs w:val="20"/>
          <w:lang w:val="es-ES"/>
        </w:rPr>
        <w:t>comité evaluador» de ofertas de las entidades estatales, dentro de los procesos de selección, se tiene que el Decreto 1082 de 2015, en el artículo 2.2.1.1.2.2.3, establece que las entidades estatales pueden designar un comité evaluador, conformado por servidores públicos o por particulares contratados para evaluar las ofertas y las manifestaciones de interés para cada proceso de</w:t>
      </w:r>
      <w:r w:rsidRPr="00052739">
        <w:rPr>
          <w:rFonts w:ascii="Arial" w:eastAsia="Arial" w:hAnsi="Arial" w:cs="Arial"/>
          <w:spacing w:val="-5"/>
          <w:sz w:val="20"/>
          <w:szCs w:val="20"/>
          <w:lang w:val="es-ES"/>
        </w:rPr>
        <w:t xml:space="preserve"> </w:t>
      </w:r>
      <w:r w:rsidRPr="00052739">
        <w:rPr>
          <w:rFonts w:ascii="Arial" w:eastAsia="Arial" w:hAnsi="Arial" w:cs="Arial"/>
          <w:sz w:val="20"/>
          <w:szCs w:val="20"/>
          <w:lang w:val="es-ES"/>
        </w:rPr>
        <w:t>contratación.</w:t>
      </w:r>
    </w:p>
    <w:p w14:paraId="3BDBCC0E" w14:textId="2A1CF0DA" w:rsidR="00EE1D5B" w:rsidRPr="007E73FE" w:rsidRDefault="00EE1D5B" w:rsidP="0081689C">
      <w:pPr>
        <w:widowControl w:val="0"/>
        <w:autoSpaceDE w:val="0"/>
        <w:autoSpaceDN w:val="0"/>
        <w:jc w:val="both"/>
        <w:rPr>
          <w:rFonts w:ascii="Arial" w:eastAsia="Arial" w:hAnsi="Arial" w:cs="Arial"/>
          <w:sz w:val="20"/>
          <w:szCs w:val="20"/>
          <w:lang w:val="es-ES"/>
        </w:rPr>
      </w:pPr>
      <w:r w:rsidRPr="000C54B4">
        <w:rPr>
          <w:rFonts w:ascii="Arial" w:eastAsia="Arial" w:hAnsi="Arial" w:cs="Arial"/>
          <w:sz w:val="20"/>
          <w:szCs w:val="20"/>
          <w:lang w:val="es-ES"/>
        </w:rPr>
        <w:t>[...]</w:t>
      </w:r>
    </w:p>
    <w:p w14:paraId="1B2A33E4" w14:textId="597E0205" w:rsidR="00052739" w:rsidRPr="00052739" w:rsidRDefault="00052739" w:rsidP="0081689C">
      <w:pPr>
        <w:jc w:val="both"/>
        <w:rPr>
          <w:rFonts w:ascii="Arial" w:eastAsia="Arial" w:hAnsi="Arial" w:cs="Arial"/>
          <w:sz w:val="20"/>
          <w:szCs w:val="20"/>
          <w:lang w:val="es-ES"/>
        </w:rPr>
      </w:pPr>
      <w:r w:rsidRPr="00052739">
        <w:rPr>
          <w:rFonts w:ascii="Arial" w:eastAsia="Arial" w:hAnsi="Arial" w:cs="Arial"/>
          <w:sz w:val="20"/>
          <w:szCs w:val="20"/>
          <w:lang w:val="es-ES"/>
        </w:rPr>
        <w:t>[</w:t>
      </w:r>
      <w:r w:rsidR="00387FDE">
        <w:rPr>
          <w:rFonts w:ascii="Arial" w:eastAsia="Arial" w:hAnsi="Arial" w:cs="Arial"/>
          <w:sz w:val="20"/>
          <w:szCs w:val="20"/>
          <w:lang w:val="es-ES"/>
        </w:rPr>
        <w:t>...</w:t>
      </w:r>
      <w:r w:rsidRPr="00052739">
        <w:rPr>
          <w:rFonts w:ascii="Arial" w:eastAsia="Arial" w:hAnsi="Arial" w:cs="Arial"/>
          <w:sz w:val="20"/>
          <w:szCs w:val="20"/>
          <w:lang w:val="es-ES"/>
        </w:rPr>
        <w:t>] el inciso segundo de la citada disposición normativa señala que los miembros del comité evaluador están sometidos al régimen de inhabilidades e incompatibilidades y conflicto de interés establecido en la Constitución y la Ley, esto debido al grado de responsabilidad que tienen estas personas frente a la labor que les ha sido encomendada, siendo esta restricción razonable y proporcional, de cara a la evaluación de ofertas dentro de un proceso de selección, el cual debe estar dotado de todos los principios que rigen la contratación pública, para este aspecto en específico, con primordial énfasis en el principio de transparencia.</w:t>
      </w:r>
    </w:p>
    <w:p w14:paraId="52BBF09C" w14:textId="77777777" w:rsidR="00E16BCB" w:rsidRDefault="00E16BCB" w:rsidP="00E9276C">
      <w:pPr>
        <w:jc w:val="both"/>
        <w:rPr>
          <w:rFonts w:ascii="Arial" w:eastAsia="Calibri" w:hAnsi="Arial" w:cs="Arial"/>
          <w:b/>
          <w:sz w:val="22"/>
          <w:lang w:val="es-ES"/>
        </w:rPr>
      </w:pPr>
    </w:p>
    <w:p w14:paraId="30245C2B" w14:textId="6D824400" w:rsidR="00052739" w:rsidRDefault="00D83B93" w:rsidP="007E73FE">
      <w:pPr>
        <w:jc w:val="both"/>
        <w:rPr>
          <w:rFonts w:ascii="Arial" w:eastAsia="Calibri" w:hAnsi="Arial" w:cs="Arial"/>
          <w:b/>
          <w:bCs/>
          <w:sz w:val="22"/>
          <w:lang w:val="es-ES_tradnl"/>
        </w:rPr>
      </w:pPr>
      <w:r>
        <w:rPr>
          <w:rFonts w:ascii="Arial" w:eastAsia="Calibri" w:hAnsi="Arial" w:cs="Arial"/>
          <w:b/>
          <w:sz w:val="22"/>
          <w:lang w:val="es-ES"/>
        </w:rPr>
        <w:t>RÉ</w:t>
      </w:r>
      <w:r w:rsidR="00E9276C" w:rsidRPr="00E9276C">
        <w:rPr>
          <w:rFonts w:ascii="Arial" w:eastAsia="Calibri" w:hAnsi="Arial" w:cs="Arial"/>
          <w:b/>
          <w:sz w:val="22"/>
          <w:lang w:val="es-ES"/>
        </w:rPr>
        <w:t xml:space="preserve">GIMEN DE INHABILIDADES E INCOMPATIBILIDADES </w:t>
      </w:r>
      <w:r w:rsidR="00E9276C" w:rsidRPr="00E9276C">
        <w:rPr>
          <w:rFonts w:ascii="Arial" w:eastAsia="Calibri" w:hAnsi="Arial" w:cs="Arial"/>
          <w:b/>
          <w:sz w:val="22"/>
          <w:lang w:val="es-CO"/>
        </w:rPr>
        <w:t>–</w:t>
      </w:r>
      <w:r w:rsidR="004247E7" w:rsidRPr="00E9276C">
        <w:rPr>
          <w:rFonts w:ascii="Arial" w:eastAsia="Calibri" w:hAnsi="Arial" w:cs="Arial"/>
          <w:b/>
          <w:sz w:val="22"/>
          <w:lang w:val="es-CO"/>
        </w:rPr>
        <w:t xml:space="preserve"> </w:t>
      </w:r>
      <w:r w:rsidR="00E9276C" w:rsidRPr="00E9276C">
        <w:rPr>
          <w:rFonts w:ascii="Arial" w:eastAsia="Calibri" w:hAnsi="Arial" w:cs="Arial"/>
          <w:b/>
          <w:bCs/>
          <w:sz w:val="22"/>
          <w:lang w:val="es-ES_tradnl"/>
        </w:rPr>
        <w:t>Alcance</w:t>
      </w:r>
      <w:r w:rsidR="00627F7D">
        <w:rPr>
          <w:rFonts w:ascii="Arial" w:eastAsia="Calibri" w:hAnsi="Arial" w:cs="Arial"/>
          <w:b/>
          <w:bCs/>
          <w:sz w:val="22"/>
          <w:lang w:val="es-ES_tradnl"/>
        </w:rPr>
        <w:t xml:space="preserve"> – A</w:t>
      </w:r>
      <w:r w:rsidR="00E9276C" w:rsidRPr="001872EB">
        <w:rPr>
          <w:rFonts w:ascii="Arial" w:eastAsia="Calibri" w:hAnsi="Arial" w:cs="Arial"/>
          <w:b/>
          <w:bCs/>
          <w:sz w:val="22"/>
          <w:lang w:val="es-ES_tradnl"/>
        </w:rPr>
        <w:t xml:space="preserve">rtículo 8, literal b) </w:t>
      </w:r>
      <w:r w:rsidR="008A7A0F">
        <w:rPr>
          <w:rFonts w:ascii="Arial" w:eastAsia="Calibri" w:hAnsi="Arial" w:cs="Arial"/>
          <w:b/>
          <w:bCs/>
          <w:sz w:val="22"/>
          <w:lang w:val="es-ES_tradnl"/>
        </w:rPr>
        <w:t>– Ley</w:t>
      </w:r>
      <w:r w:rsidR="00E9276C" w:rsidRPr="001872EB">
        <w:rPr>
          <w:rFonts w:ascii="Arial" w:eastAsia="Calibri" w:hAnsi="Arial" w:cs="Arial"/>
          <w:b/>
          <w:bCs/>
          <w:sz w:val="22"/>
          <w:lang w:val="es-ES_tradnl"/>
        </w:rPr>
        <w:t xml:space="preserve"> 80 de 1993</w:t>
      </w:r>
    </w:p>
    <w:p w14:paraId="0B6CCBF4" w14:textId="1B553D7B" w:rsidR="00EE1D5B" w:rsidRDefault="00E9276C" w:rsidP="007E73FE">
      <w:pPr>
        <w:jc w:val="both"/>
        <w:rPr>
          <w:rFonts w:ascii="Arial" w:eastAsia="Calibri" w:hAnsi="Arial" w:cs="Arial"/>
          <w:sz w:val="20"/>
          <w:szCs w:val="20"/>
          <w:lang w:val="es-CO"/>
        </w:rPr>
      </w:pPr>
      <w:r>
        <w:rPr>
          <w:rFonts w:ascii="Arial" w:eastAsia="Calibri" w:hAnsi="Arial" w:cs="Arial"/>
          <w:b/>
          <w:bCs/>
          <w:sz w:val="22"/>
          <w:lang w:val="es-ES_tradnl"/>
        </w:rPr>
        <w:t xml:space="preserve">  </w:t>
      </w:r>
    </w:p>
    <w:p w14:paraId="1E5821B1" w14:textId="5F367DB7" w:rsidR="00EE1D5B" w:rsidRDefault="00EE1D5B" w:rsidP="008A7A0F">
      <w:pPr>
        <w:jc w:val="both"/>
        <w:rPr>
          <w:rFonts w:ascii="Arial" w:eastAsia="Calibri" w:hAnsi="Arial" w:cs="Arial"/>
          <w:sz w:val="20"/>
          <w:szCs w:val="20"/>
          <w:lang w:val="es-CO"/>
        </w:rPr>
      </w:pPr>
      <w:r>
        <w:rPr>
          <w:rFonts w:ascii="Arial" w:eastAsia="Calibri" w:hAnsi="Arial" w:cs="Arial"/>
          <w:sz w:val="20"/>
          <w:szCs w:val="20"/>
          <w:lang w:val="es-CO"/>
        </w:rPr>
        <w:t>[…]</w:t>
      </w:r>
    </w:p>
    <w:p w14:paraId="4881BB75" w14:textId="6E1C964A" w:rsidR="00052739" w:rsidRDefault="00052739" w:rsidP="008A7A0F">
      <w:pPr>
        <w:jc w:val="both"/>
        <w:rPr>
          <w:rFonts w:ascii="Arial" w:eastAsia="Calibri" w:hAnsi="Arial" w:cs="Arial"/>
          <w:sz w:val="20"/>
          <w:szCs w:val="20"/>
          <w:lang w:val="es-ES_tradnl"/>
        </w:rPr>
      </w:pPr>
      <w:r w:rsidRPr="00052739">
        <w:rPr>
          <w:rFonts w:ascii="Arial" w:eastAsia="Calibri" w:hAnsi="Arial" w:cs="Arial"/>
          <w:sz w:val="20"/>
          <w:szCs w:val="20"/>
          <w:lang w:val="es-ES_tradnl"/>
        </w:rPr>
        <w:t>A manera de ejemplo, en relación con el régimen de inhabilidades e incompatibilidades, sobre una de las causales establecidas en la ley y que se relaciona con el objeto de la consulta, el artículo 8, literal b) del numeral 2, de la Ley 80 de 1993, señala que no podrán participar en procedimientos de selección ni celebrar contratos estatales con la entidad respectiva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De acuerdo con lo explicado por la Corte Constitucional en la Sentencia C-429 de 1997, esta causal de inhabilidad protege el principio de moralidad administrativa, pues «[…]</w:t>
      </w:r>
      <w:r w:rsidRPr="00052739">
        <w:rPr>
          <w:sz w:val="20"/>
          <w:szCs w:val="20"/>
        </w:rPr>
        <w:t xml:space="preserve"> </w:t>
      </w:r>
      <w:r w:rsidRPr="00052739">
        <w:rPr>
          <w:rFonts w:ascii="Arial" w:eastAsia="Calibri" w:hAnsi="Arial" w:cs="Arial"/>
          <w:sz w:val="20"/>
          <w:szCs w:val="20"/>
          <w:lang w:val="es-ES_tradnl"/>
        </w:rPr>
        <w:t>se dirige a los familiares de aquellas personas que gozan del poder de decisión de adjudicar contratos, o pueden tener influencias que razonablemente puedan determinar la decisión, pues en tales casos esos vínculos colocan en peligro la transparencia y seriedad del proceso de contratación administrativa».</w:t>
      </w:r>
    </w:p>
    <w:p w14:paraId="59BE770A" w14:textId="77777777" w:rsidR="00052739" w:rsidRPr="00052739" w:rsidRDefault="00052739" w:rsidP="00052739">
      <w:pPr>
        <w:spacing w:before="120"/>
        <w:jc w:val="both"/>
        <w:rPr>
          <w:rFonts w:ascii="Arial" w:eastAsia="Calibri" w:hAnsi="Arial" w:cs="Arial"/>
          <w:sz w:val="20"/>
          <w:szCs w:val="20"/>
          <w:lang w:val="es-CO"/>
        </w:rPr>
      </w:pPr>
    </w:p>
    <w:p w14:paraId="3FB4CACF" w14:textId="49BD7490" w:rsidR="00F7571C" w:rsidRPr="00627F7D" w:rsidRDefault="00D83B93" w:rsidP="00F7571C">
      <w:pPr>
        <w:tabs>
          <w:tab w:val="left" w:pos="0"/>
        </w:tabs>
        <w:jc w:val="both"/>
        <w:rPr>
          <w:rFonts w:ascii="Arial" w:eastAsia="Calibri" w:hAnsi="Arial" w:cs="Arial"/>
          <w:b/>
          <w:sz w:val="22"/>
          <w:lang w:val="es-ES"/>
        </w:rPr>
      </w:pPr>
      <w:r>
        <w:rPr>
          <w:rFonts w:ascii="Arial" w:eastAsia="Calibri" w:hAnsi="Arial" w:cs="Arial"/>
          <w:b/>
          <w:sz w:val="22"/>
          <w:lang w:val="es-ES"/>
        </w:rPr>
        <w:lastRenderedPageBreak/>
        <w:t>CONFLICTO DE INTERÉ</w:t>
      </w:r>
      <w:r w:rsidR="00F7571C">
        <w:rPr>
          <w:rFonts w:ascii="Arial" w:eastAsia="Calibri" w:hAnsi="Arial" w:cs="Arial"/>
          <w:b/>
          <w:sz w:val="22"/>
          <w:lang w:val="es-ES"/>
        </w:rPr>
        <w:t xml:space="preserve">S </w:t>
      </w:r>
      <w:r w:rsidR="00416041">
        <w:rPr>
          <w:rFonts w:ascii="Arial" w:eastAsia="Calibri" w:hAnsi="Arial" w:cs="Arial"/>
          <w:b/>
          <w:sz w:val="22"/>
          <w:lang w:val="es-ES"/>
        </w:rPr>
        <w:t>–</w:t>
      </w:r>
      <w:r w:rsidR="00416041">
        <w:rPr>
          <w:rFonts w:eastAsia="Calibri"/>
          <w:b/>
          <w:sz w:val="22"/>
          <w:lang w:val="es-ES"/>
        </w:rPr>
        <w:t xml:space="preserve"> </w:t>
      </w:r>
      <w:r w:rsidR="00416041" w:rsidRPr="00627F7D">
        <w:rPr>
          <w:rFonts w:ascii="Arial" w:eastAsia="Calibri" w:hAnsi="Arial" w:cs="Arial"/>
          <w:b/>
          <w:sz w:val="22"/>
          <w:lang w:val="es-ES"/>
        </w:rPr>
        <w:t>Ámbito</w:t>
      </w:r>
      <w:r w:rsidR="00F7571C" w:rsidRPr="00627F7D">
        <w:rPr>
          <w:rFonts w:ascii="Arial" w:eastAsia="Calibri" w:hAnsi="Arial" w:cs="Arial"/>
          <w:b/>
          <w:sz w:val="22"/>
          <w:lang w:val="es-ES"/>
        </w:rPr>
        <w:t xml:space="preserve"> de aplicación</w:t>
      </w:r>
      <w:r w:rsidR="00416041" w:rsidRPr="00627F7D">
        <w:rPr>
          <w:rFonts w:ascii="Arial" w:eastAsia="Calibri" w:hAnsi="Arial" w:cs="Arial"/>
          <w:b/>
          <w:sz w:val="22"/>
          <w:lang w:val="es-ES"/>
        </w:rPr>
        <w:t xml:space="preserve"> </w:t>
      </w:r>
      <w:r w:rsidR="00F7571C" w:rsidRPr="00627F7D">
        <w:rPr>
          <w:rFonts w:ascii="Arial" w:eastAsia="Calibri" w:hAnsi="Arial" w:cs="Arial"/>
          <w:b/>
          <w:sz w:val="22"/>
          <w:lang w:val="es-ES"/>
        </w:rPr>
        <w:t xml:space="preserve">– </w:t>
      </w:r>
      <w:r w:rsidR="00EE1D5B" w:rsidRPr="00627F7D">
        <w:rPr>
          <w:rFonts w:ascii="Arial" w:eastAsia="Calibri" w:hAnsi="Arial" w:cs="Arial"/>
          <w:b/>
          <w:sz w:val="22"/>
          <w:lang w:val="es-ES"/>
        </w:rPr>
        <w:t>Artículos 11 y 12</w:t>
      </w:r>
      <w:r w:rsidR="00627F7D" w:rsidRPr="00627F7D">
        <w:rPr>
          <w:rFonts w:ascii="Arial" w:eastAsia="Calibri" w:hAnsi="Arial" w:cs="Arial"/>
          <w:b/>
          <w:sz w:val="22"/>
          <w:lang w:val="es-ES"/>
        </w:rPr>
        <w:t xml:space="preserve"> </w:t>
      </w:r>
      <w:proofErr w:type="spellStart"/>
      <w:r w:rsidR="00627F7D" w:rsidRPr="00627F7D">
        <w:rPr>
          <w:rFonts w:ascii="Arial" w:eastAsia="Calibri" w:hAnsi="Arial" w:cs="Arial"/>
          <w:b/>
          <w:sz w:val="22"/>
          <w:lang w:val="es-ES"/>
        </w:rPr>
        <w:t>cpaca</w:t>
      </w:r>
      <w:proofErr w:type="spellEnd"/>
      <w:r w:rsidR="00EE1D5B" w:rsidRPr="00627F7D">
        <w:rPr>
          <w:rFonts w:ascii="Arial" w:eastAsia="Calibri" w:hAnsi="Arial" w:cs="Arial"/>
          <w:b/>
          <w:sz w:val="22"/>
          <w:lang w:val="es-ES"/>
        </w:rPr>
        <w:t xml:space="preserve"> – Comité evaluador </w:t>
      </w:r>
    </w:p>
    <w:p w14:paraId="3E27AF5A" w14:textId="49E4C003" w:rsidR="004247E7" w:rsidRPr="00627F7D" w:rsidRDefault="004247E7" w:rsidP="00F7571C">
      <w:pPr>
        <w:pStyle w:val="Default"/>
        <w:jc w:val="both"/>
        <w:rPr>
          <w:rFonts w:eastAsia="Calibri"/>
          <w:b/>
          <w:color w:val="auto"/>
          <w:sz w:val="22"/>
          <w:szCs w:val="22"/>
          <w:lang w:val="es-ES"/>
        </w:rPr>
      </w:pPr>
    </w:p>
    <w:p w14:paraId="45DBDEE6" w14:textId="16AE1C03" w:rsidR="00052739" w:rsidRDefault="00EE1D5B" w:rsidP="00180E2A">
      <w:pPr>
        <w:pStyle w:val="Default"/>
        <w:jc w:val="both"/>
        <w:rPr>
          <w:rFonts w:eastAsia="Calibri"/>
          <w:color w:val="000000" w:themeColor="text1"/>
          <w:sz w:val="20"/>
          <w:szCs w:val="20"/>
          <w:lang w:val="es-ES_tradnl"/>
        </w:rPr>
      </w:pPr>
      <w:r>
        <w:rPr>
          <w:rFonts w:eastAsia="Calibri"/>
          <w:color w:val="000000" w:themeColor="text1"/>
          <w:sz w:val="20"/>
          <w:szCs w:val="20"/>
          <w:lang w:val="es-ES_tradnl"/>
        </w:rPr>
        <w:t>[…]</w:t>
      </w:r>
    </w:p>
    <w:p w14:paraId="3DB77D1D" w14:textId="114DE9B3" w:rsidR="00EE1D5B" w:rsidRPr="00052739" w:rsidRDefault="00052739" w:rsidP="00052739">
      <w:pPr>
        <w:pStyle w:val="Default"/>
        <w:jc w:val="both"/>
        <w:rPr>
          <w:sz w:val="20"/>
          <w:szCs w:val="20"/>
        </w:rPr>
      </w:pPr>
      <w:r w:rsidRPr="00052739">
        <w:rPr>
          <w:rFonts w:eastAsia="Calibri"/>
          <w:color w:val="000000" w:themeColor="text1"/>
          <w:sz w:val="20"/>
          <w:szCs w:val="20"/>
          <w:lang w:val="es-ES_tradnl"/>
        </w:rPr>
        <w:t>La institución de los conflictos de interés no está definida con carácter general en las normas que regulan la contratación estatal, por lo que es un asunto ausente en el Estatuto General de Contratación de la Administración Pública –en adelante EGCAP–. Sin embargo, el artículo 77 de la Ley 80 ha señalado que «en cuanto sean compatibles con la finalidad y los principios de esta ley, las normas que rigen los procedimientos y actuaciones en la función administrativa serán aplicables en las actuaciones contractuales». Esta disposición es armónica, además, con lo establecido en el artículo 2 de la Ley 1437 de 2011, Código de procedimiento Administrativo y de lo Contencioso Administrativo –CPACA–, que en su artículo segundo establece que las disposiciones de dicho código se aplicarán de forma supletiva en los aspectos no regulados en procedimientos administrativos especiales, como sería en los procedimientos administrativos de selección de contratistas</w:t>
      </w:r>
    </w:p>
    <w:p w14:paraId="62C28E8E" w14:textId="7E6F53B8" w:rsidR="00EE1D5B" w:rsidRPr="007E73FE" w:rsidRDefault="00EE1D5B" w:rsidP="007E73FE">
      <w:pPr>
        <w:pStyle w:val="Default"/>
        <w:jc w:val="both"/>
        <w:rPr>
          <w:rFonts w:eastAsia="Calibri"/>
          <w:sz w:val="20"/>
          <w:szCs w:val="20"/>
        </w:rPr>
      </w:pPr>
    </w:p>
    <w:p w14:paraId="645C8934" w14:textId="77777777" w:rsidR="00EE1D5B" w:rsidRDefault="00EE1D5B" w:rsidP="00DF0F8E">
      <w:pPr>
        <w:rPr>
          <w:rFonts w:ascii="Arial" w:eastAsia="Calibri" w:hAnsi="Arial" w:cs="Arial"/>
          <w:sz w:val="22"/>
        </w:rPr>
      </w:pPr>
    </w:p>
    <w:p w14:paraId="718EDA17" w14:textId="77777777" w:rsidR="004165BC" w:rsidRDefault="004165BC">
      <w:pPr>
        <w:spacing w:after="200" w:line="276" w:lineRule="auto"/>
        <w:rPr>
          <w:rFonts w:ascii="Arial" w:eastAsia="Calibri" w:hAnsi="Arial" w:cs="Arial"/>
          <w:sz w:val="22"/>
        </w:rPr>
      </w:pPr>
      <w:r>
        <w:rPr>
          <w:rFonts w:ascii="Arial" w:eastAsia="Calibri" w:hAnsi="Arial" w:cs="Arial"/>
          <w:sz w:val="22"/>
        </w:rPr>
        <w:br w:type="page"/>
      </w:r>
    </w:p>
    <w:p w14:paraId="22687210" w14:textId="77777777" w:rsidR="0013140B" w:rsidRDefault="0013140B" w:rsidP="00DF0F8E">
      <w:pPr>
        <w:rPr>
          <w:rFonts w:ascii="Arial" w:eastAsia="Calibri" w:hAnsi="Arial" w:cs="Arial"/>
          <w:sz w:val="22"/>
        </w:rPr>
      </w:pPr>
    </w:p>
    <w:p w14:paraId="0CB2AFD4" w14:textId="14C101C3" w:rsidR="0013140B" w:rsidRDefault="0013140B" w:rsidP="0013140B">
      <w:pPr>
        <w:jc w:val="right"/>
        <w:rPr>
          <w:rFonts w:ascii="Arial" w:eastAsia="Calibri" w:hAnsi="Arial" w:cs="Arial"/>
          <w:sz w:val="22"/>
        </w:rPr>
      </w:pPr>
      <w:r w:rsidRPr="0013140B">
        <w:rPr>
          <w:rFonts w:ascii="Arial" w:eastAsia="Calibri" w:hAnsi="Arial" w:cs="Arial"/>
          <w:noProof/>
          <w:sz w:val="22"/>
          <w:lang w:val="en-US"/>
        </w:rPr>
        <w:drawing>
          <wp:inline distT="0" distB="0" distL="0" distR="0" wp14:anchorId="5F9AED9E" wp14:editId="1ACC8673">
            <wp:extent cx="272542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016" cy="688718"/>
                    </a:xfrm>
                    <a:prstGeom prst="rect">
                      <a:avLst/>
                    </a:prstGeom>
                    <a:noFill/>
                    <a:ln>
                      <a:noFill/>
                    </a:ln>
                  </pic:spPr>
                </pic:pic>
              </a:graphicData>
            </a:graphic>
          </wp:inline>
        </w:drawing>
      </w:r>
    </w:p>
    <w:p w14:paraId="4CF8ED78" w14:textId="77777777" w:rsidR="0013140B" w:rsidRDefault="0013140B" w:rsidP="00DF0F8E">
      <w:pPr>
        <w:rPr>
          <w:rFonts w:ascii="Arial" w:eastAsia="Calibri" w:hAnsi="Arial" w:cs="Arial"/>
          <w:sz w:val="22"/>
        </w:rPr>
      </w:pPr>
    </w:p>
    <w:p w14:paraId="61E06DAC" w14:textId="77777777" w:rsidR="0013140B" w:rsidRDefault="0013140B" w:rsidP="00DF0F8E">
      <w:pPr>
        <w:rPr>
          <w:rFonts w:ascii="ArialMT" w:hAnsi="ArialMT" w:cs="ArialMT"/>
          <w:color w:val="4E4D4D"/>
          <w:sz w:val="22"/>
          <w:lang w:val="en-US"/>
        </w:rPr>
      </w:pPr>
    </w:p>
    <w:p w14:paraId="562ABC75" w14:textId="41EAA59E" w:rsidR="0013140B" w:rsidRDefault="0013140B" w:rsidP="00DF0F8E">
      <w:pPr>
        <w:rPr>
          <w:rFonts w:ascii="ArialMT" w:hAnsi="ArialMT" w:cs="ArialMT"/>
          <w:color w:val="4E4D4D"/>
          <w:sz w:val="22"/>
          <w:lang w:val="en-US"/>
        </w:rPr>
      </w:pPr>
      <w:r>
        <w:rPr>
          <w:rFonts w:ascii="ArialMT" w:hAnsi="ArialMT" w:cs="ArialMT"/>
          <w:color w:val="4E4D4D"/>
          <w:sz w:val="22"/>
          <w:lang w:val="en-US"/>
        </w:rPr>
        <w:t>Bogotá, 31 Agosto 2021</w:t>
      </w:r>
    </w:p>
    <w:p w14:paraId="3274848F" w14:textId="77777777" w:rsidR="0013140B" w:rsidRDefault="0013140B" w:rsidP="00DF0F8E">
      <w:pPr>
        <w:rPr>
          <w:rFonts w:ascii="Arial" w:eastAsia="Calibri" w:hAnsi="Arial" w:cs="Arial"/>
          <w:sz w:val="22"/>
        </w:rPr>
      </w:pPr>
    </w:p>
    <w:p w14:paraId="1F3E67BB" w14:textId="5EF77405" w:rsidR="00AF1718" w:rsidRPr="00E91076" w:rsidRDefault="00AF1718" w:rsidP="00DF0F8E">
      <w:pPr>
        <w:rPr>
          <w:rFonts w:ascii="Arial" w:eastAsia="Calibri" w:hAnsi="Arial" w:cs="Arial"/>
          <w:sz w:val="22"/>
        </w:rPr>
      </w:pPr>
      <w:r w:rsidRPr="00E91076">
        <w:rPr>
          <w:rFonts w:ascii="Arial" w:eastAsia="Calibri" w:hAnsi="Arial" w:cs="Arial"/>
          <w:sz w:val="22"/>
        </w:rPr>
        <w:t>Señor</w:t>
      </w:r>
    </w:p>
    <w:p w14:paraId="2042AA13" w14:textId="0A69E0C5" w:rsidR="00091D7A" w:rsidRDefault="00091D7A" w:rsidP="00DF0F8E">
      <w:pPr>
        <w:rPr>
          <w:rFonts w:ascii="Arial" w:eastAsia="Calibri" w:hAnsi="Arial" w:cs="Arial"/>
          <w:sz w:val="22"/>
          <w:lang w:val="es-ES"/>
        </w:rPr>
      </w:pPr>
      <w:r>
        <w:rPr>
          <w:rFonts w:ascii="Arial" w:eastAsia="Calibri" w:hAnsi="Arial" w:cs="Arial"/>
          <w:sz w:val="22"/>
          <w:lang w:val="es-ES"/>
        </w:rPr>
        <w:t>Carlos Andrés Suesc</w:t>
      </w:r>
      <w:r w:rsidR="00590C1A">
        <w:rPr>
          <w:rFonts w:ascii="Arial" w:eastAsia="Calibri" w:hAnsi="Arial" w:cs="Arial"/>
          <w:sz w:val="22"/>
          <w:lang w:val="es-ES"/>
        </w:rPr>
        <w:t>ú</w:t>
      </w:r>
      <w:r>
        <w:rPr>
          <w:rFonts w:ascii="Arial" w:eastAsia="Calibri" w:hAnsi="Arial" w:cs="Arial"/>
          <w:sz w:val="22"/>
          <w:lang w:val="es-ES"/>
        </w:rPr>
        <w:t xml:space="preserve">n Ballesteros </w:t>
      </w:r>
    </w:p>
    <w:p w14:paraId="49A4DDE9" w14:textId="339618D0" w:rsidR="00866AEB" w:rsidRPr="00E91076" w:rsidRDefault="00F13F00" w:rsidP="00DF0F8E">
      <w:pPr>
        <w:rPr>
          <w:rFonts w:ascii="Arial" w:eastAsia="Calibri" w:hAnsi="Arial" w:cs="Arial"/>
          <w:sz w:val="22"/>
          <w:lang w:val="es-ES"/>
        </w:rPr>
      </w:pPr>
      <w:r>
        <w:rPr>
          <w:rFonts w:ascii="Arial" w:eastAsia="Calibri" w:hAnsi="Arial" w:cs="Arial"/>
          <w:sz w:val="22"/>
          <w:lang w:val="es-ES"/>
        </w:rPr>
        <w:t xml:space="preserve">Bogotá D.C </w:t>
      </w:r>
    </w:p>
    <w:p w14:paraId="38C44013" w14:textId="1320B27D" w:rsidR="002330A3" w:rsidRPr="00E91076" w:rsidRDefault="002330A3" w:rsidP="00DF0F8E">
      <w:pPr>
        <w:rPr>
          <w:rFonts w:ascii="Arial" w:eastAsia="Calibri" w:hAnsi="Arial" w:cs="Arial"/>
          <w:sz w:val="22"/>
          <w:lang w:val="es-ES"/>
        </w:rPr>
      </w:pPr>
    </w:p>
    <w:p w14:paraId="4E74460C" w14:textId="52C99EA9" w:rsidR="002330A3" w:rsidRPr="00E91076" w:rsidRDefault="002330A3" w:rsidP="00DF0F8E">
      <w:pPr>
        <w:rPr>
          <w:rFonts w:ascii="Arial" w:eastAsia="Calibri" w:hAnsi="Arial" w:cs="Arial"/>
          <w:sz w:val="22"/>
        </w:rPr>
      </w:pPr>
    </w:p>
    <w:p w14:paraId="25167302" w14:textId="77777777" w:rsidR="00A60A14" w:rsidRPr="00E91076" w:rsidRDefault="00A60A14" w:rsidP="00DF0F8E">
      <w:pPr>
        <w:rPr>
          <w:rFonts w:ascii="Arial" w:eastAsia="Calibri" w:hAnsi="Arial" w:cs="Arial"/>
          <w:sz w:val="22"/>
        </w:rPr>
      </w:pPr>
    </w:p>
    <w:p w14:paraId="64DAC2D7" w14:textId="72489039" w:rsidR="00AF1718" w:rsidRPr="00E91076" w:rsidRDefault="00091D7A" w:rsidP="00DF0F8E">
      <w:pPr>
        <w:ind w:left="2124" w:firstLine="570"/>
        <w:rPr>
          <w:rFonts w:ascii="Arial" w:eastAsia="Calibri" w:hAnsi="Arial" w:cs="Arial"/>
          <w:b/>
          <w:sz w:val="22"/>
        </w:rPr>
      </w:pPr>
      <w:r>
        <w:rPr>
          <w:rFonts w:ascii="Arial" w:eastAsia="Calibri" w:hAnsi="Arial" w:cs="Arial"/>
          <w:b/>
          <w:sz w:val="22"/>
        </w:rPr>
        <w:t>Concepto C- 449</w:t>
      </w:r>
      <w:r w:rsidR="00AF1718" w:rsidRPr="00E91076">
        <w:rPr>
          <w:rFonts w:ascii="Arial" w:eastAsia="Calibri" w:hAnsi="Arial" w:cs="Arial"/>
          <w:b/>
          <w:sz w:val="22"/>
        </w:rPr>
        <w:t xml:space="preserve"> de 2021</w:t>
      </w:r>
    </w:p>
    <w:p w14:paraId="37719CA8" w14:textId="77777777" w:rsidR="00AF1718" w:rsidRPr="00E91076"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3DB55792" w14:textId="76BA90B1" w:rsidR="00EE1D5B" w:rsidRPr="007E73FE" w:rsidRDefault="00D83B93" w:rsidP="00EE1D5B">
            <w:pPr>
              <w:tabs>
                <w:tab w:val="left" w:pos="0"/>
              </w:tabs>
              <w:jc w:val="both"/>
              <w:rPr>
                <w:rFonts w:ascii="Arial" w:eastAsia="Calibri" w:hAnsi="Arial" w:cs="Arial"/>
                <w:sz w:val="22"/>
                <w:lang w:val="es-ES"/>
              </w:rPr>
            </w:pPr>
            <w:r w:rsidRPr="00EE1D5B">
              <w:rPr>
                <w:rFonts w:ascii="Arial" w:eastAsia="Calibri" w:hAnsi="Arial" w:cs="Arial"/>
                <w:bCs/>
                <w:sz w:val="22"/>
                <w:lang w:val="es-ES_tradnl"/>
              </w:rPr>
              <w:t>RÉ</w:t>
            </w:r>
            <w:r w:rsidR="002C392D" w:rsidRPr="00EE1D5B">
              <w:rPr>
                <w:rFonts w:ascii="Arial" w:eastAsia="Calibri" w:hAnsi="Arial" w:cs="Arial"/>
                <w:bCs/>
                <w:sz w:val="22"/>
                <w:lang w:val="es-ES_tradnl"/>
              </w:rPr>
              <w:t xml:space="preserve">GIMEN DE INHABILIDADES E INCOMPATIBILIDADES– Taxatividad – Principio de legalidad – Interpretación restrictiva </w:t>
            </w:r>
            <w:r w:rsidR="002C392D" w:rsidRPr="00EE1D5B">
              <w:rPr>
                <w:rFonts w:ascii="Arial" w:eastAsia="Calibri" w:hAnsi="Arial" w:cs="Arial"/>
                <w:sz w:val="22"/>
                <w:lang w:val="es-ES_tradnl"/>
              </w:rPr>
              <w:t>/</w:t>
            </w:r>
            <w:r w:rsidR="007C5CF1" w:rsidRPr="00EE1D5B">
              <w:rPr>
                <w:rFonts w:ascii="Arial" w:eastAsia="Calibri" w:hAnsi="Arial" w:cs="Arial"/>
                <w:sz w:val="22"/>
                <w:lang w:val="es-CO"/>
              </w:rPr>
              <w:t xml:space="preserve"> </w:t>
            </w:r>
            <w:r w:rsidR="00EE1D5B" w:rsidRPr="007E73FE">
              <w:rPr>
                <w:rFonts w:ascii="Arial" w:eastAsia="Calibri" w:hAnsi="Arial" w:cs="Arial"/>
                <w:sz w:val="22"/>
                <w:lang w:val="es-ES"/>
              </w:rPr>
              <w:t xml:space="preserve">RÉGIMEN DE INHABILIDADES, INCOMPATIBILIDADES Y CONFLICTO DE INTERÉS – Comité Evaluador / </w:t>
            </w:r>
            <w:r w:rsidRPr="00EE1D5B">
              <w:rPr>
                <w:rFonts w:ascii="Arial" w:eastAsia="Calibri" w:hAnsi="Arial" w:cs="Arial"/>
                <w:sz w:val="22"/>
                <w:lang w:val="es-ES"/>
              </w:rPr>
              <w:t>RÉ</w:t>
            </w:r>
            <w:r w:rsidR="002C392D" w:rsidRPr="00EE1D5B">
              <w:rPr>
                <w:rFonts w:ascii="Arial" w:eastAsia="Calibri" w:hAnsi="Arial" w:cs="Arial"/>
                <w:sz w:val="22"/>
                <w:lang w:val="es-ES"/>
              </w:rPr>
              <w:t xml:space="preserve">GIMEN DE INHABILIDADES E INCOMPATIBILIDADES </w:t>
            </w:r>
            <w:r w:rsidR="002C392D" w:rsidRPr="00EE1D5B">
              <w:rPr>
                <w:rFonts w:ascii="Arial" w:eastAsia="Calibri" w:hAnsi="Arial" w:cs="Arial"/>
                <w:sz w:val="22"/>
                <w:lang w:val="es-CO"/>
              </w:rPr>
              <w:t xml:space="preserve">– </w:t>
            </w:r>
            <w:r w:rsidR="002C392D" w:rsidRPr="00EE1D5B">
              <w:rPr>
                <w:rFonts w:ascii="Arial" w:eastAsia="Calibri" w:hAnsi="Arial" w:cs="Arial"/>
                <w:bCs/>
                <w:sz w:val="22"/>
                <w:lang w:val="es-ES_tradnl"/>
              </w:rPr>
              <w:t xml:space="preserve">Alcance de las prohibiciones reguladas en el artículo 8, literal b) del numeral 2, de la Ley 80 de 1993 </w:t>
            </w:r>
            <w:r w:rsidR="002C392D" w:rsidRPr="00EE1D5B">
              <w:rPr>
                <w:rFonts w:ascii="Arial" w:eastAsia="Calibri" w:hAnsi="Arial" w:cs="Arial"/>
                <w:sz w:val="22"/>
                <w:lang w:val="es-ES_tradnl"/>
              </w:rPr>
              <w:t xml:space="preserve">/ </w:t>
            </w:r>
            <w:r w:rsidR="002C392D" w:rsidRPr="00EE1D5B">
              <w:rPr>
                <w:rFonts w:ascii="Arial" w:eastAsia="Calibri" w:hAnsi="Arial" w:cs="Arial"/>
                <w:sz w:val="22"/>
                <w:lang w:val="es-ES"/>
              </w:rPr>
              <w:t xml:space="preserve">/ </w:t>
            </w:r>
            <w:r w:rsidRPr="00EE1D5B">
              <w:rPr>
                <w:rFonts w:ascii="Arial" w:eastAsia="Calibri" w:hAnsi="Arial" w:cs="Arial"/>
                <w:sz w:val="22"/>
                <w:lang w:val="es-ES"/>
              </w:rPr>
              <w:t>CONFLICTO DE INTERÉ</w:t>
            </w:r>
            <w:r w:rsidR="002C392D" w:rsidRPr="00EE1D5B">
              <w:rPr>
                <w:rFonts w:ascii="Arial" w:eastAsia="Calibri" w:hAnsi="Arial" w:cs="Arial"/>
                <w:sz w:val="22"/>
                <w:lang w:val="es-ES"/>
              </w:rPr>
              <w:t>S –</w:t>
            </w:r>
            <w:r w:rsidR="002C392D" w:rsidRPr="00EE1D5B">
              <w:rPr>
                <w:rFonts w:eastAsia="Calibri"/>
                <w:sz w:val="22"/>
                <w:lang w:val="es-ES"/>
              </w:rPr>
              <w:t xml:space="preserve"> </w:t>
            </w:r>
            <w:r w:rsidR="002C392D" w:rsidRPr="00EE1D5B">
              <w:rPr>
                <w:rFonts w:ascii="Arial" w:eastAsia="Calibri" w:hAnsi="Arial" w:cs="Arial"/>
                <w:sz w:val="22"/>
                <w:lang w:val="es-ES"/>
              </w:rPr>
              <w:t>Ámbito de aplicación en la contratación estatal –</w:t>
            </w:r>
            <w:r w:rsidR="002C392D" w:rsidRPr="00EE1D5B">
              <w:rPr>
                <w:rFonts w:eastAsia="Calibri"/>
                <w:sz w:val="22"/>
                <w:lang w:val="es-ES"/>
              </w:rPr>
              <w:t xml:space="preserve"> </w:t>
            </w:r>
            <w:r w:rsidR="00EE1D5B" w:rsidRPr="007E73FE">
              <w:rPr>
                <w:rFonts w:ascii="Arial" w:eastAsia="Calibri" w:hAnsi="Arial" w:cs="Arial"/>
                <w:sz w:val="22"/>
                <w:lang w:val="es-ES"/>
              </w:rPr>
              <w:t xml:space="preserve"> Artículos 11 y 12 Ley 1437 de 2011 – Comité evaluador </w:t>
            </w:r>
          </w:p>
          <w:p w14:paraId="473D5736" w14:textId="77777777" w:rsidR="00EE74FF" w:rsidRPr="002C392D" w:rsidRDefault="00EE74FF" w:rsidP="002C392D">
            <w:pPr>
              <w:tabs>
                <w:tab w:val="left" w:pos="0"/>
              </w:tabs>
              <w:jc w:val="both"/>
              <w:rPr>
                <w:rFonts w:ascii="Arial" w:hAnsi="Arial" w:cs="Arial"/>
                <w:color w:val="000000" w:themeColor="text1"/>
                <w:sz w:val="20"/>
                <w:szCs w:val="20"/>
                <w:lang w:val="es-CO"/>
              </w:rPr>
            </w:pPr>
          </w:p>
          <w:p w14:paraId="30A9E48B" w14:textId="69E32356" w:rsidR="00196CF5" w:rsidRPr="00E91076" w:rsidRDefault="00196CF5" w:rsidP="00196CF5">
            <w:pPr>
              <w:rPr>
                <w:rFonts w:ascii="Arial" w:eastAsia="Calibri" w:hAnsi="Arial" w:cs="Arial"/>
                <w:sz w:val="22"/>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68F223FD"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091D7A">
              <w:rPr>
                <w:rFonts w:ascii="Arial" w:eastAsia="Calibri" w:hAnsi="Arial" w:cs="Arial"/>
                <w:sz w:val="22"/>
              </w:rPr>
              <w:t xml:space="preserve"> P20210716006290</w:t>
            </w:r>
            <w:r w:rsidR="002330A3" w:rsidRPr="00E91076">
              <w:rPr>
                <w:rFonts w:ascii="Arial" w:eastAsia="Calibri" w:hAnsi="Arial" w:cs="Arial"/>
                <w:sz w:val="22"/>
              </w:rPr>
              <w:t xml:space="preserve">. </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10D25A63" w:rsidR="00AF1718" w:rsidRPr="00E91076" w:rsidRDefault="00091D7A" w:rsidP="008B1764">
      <w:pPr>
        <w:spacing w:line="276" w:lineRule="auto"/>
        <w:rPr>
          <w:rFonts w:ascii="Arial" w:eastAsia="Calibri" w:hAnsi="Arial" w:cs="Arial"/>
          <w:sz w:val="22"/>
        </w:rPr>
      </w:pPr>
      <w:r>
        <w:rPr>
          <w:rFonts w:ascii="Arial" w:eastAsia="Calibri" w:hAnsi="Arial" w:cs="Arial"/>
          <w:sz w:val="22"/>
        </w:rPr>
        <w:t>Estimado</w:t>
      </w:r>
      <w:r w:rsidR="00391E67">
        <w:rPr>
          <w:rFonts w:ascii="Arial" w:eastAsia="Calibri" w:hAnsi="Arial" w:cs="Arial"/>
          <w:sz w:val="22"/>
        </w:rPr>
        <w:t xml:space="preserve"> señor</w:t>
      </w:r>
      <w:r>
        <w:rPr>
          <w:rFonts w:ascii="Arial" w:eastAsia="Calibri" w:hAnsi="Arial" w:cs="Arial"/>
          <w:sz w:val="22"/>
        </w:rPr>
        <w:t xml:space="preserve"> Suesc</w:t>
      </w:r>
      <w:r w:rsidR="00B51C71">
        <w:rPr>
          <w:rFonts w:ascii="Arial" w:eastAsia="Calibri" w:hAnsi="Arial" w:cs="Arial"/>
          <w:sz w:val="22"/>
        </w:rPr>
        <w:t>ú</w:t>
      </w:r>
      <w:r>
        <w:rPr>
          <w:rFonts w:ascii="Arial" w:eastAsia="Calibri" w:hAnsi="Arial" w:cs="Arial"/>
          <w:sz w:val="22"/>
        </w:rPr>
        <w:t>n</w:t>
      </w:r>
      <w:r w:rsidR="00AF1718" w:rsidRPr="00E91076">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561187EB"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AC0DBD">
        <w:rPr>
          <w:rFonts w:ascii="Arial" w:eastAsia="Calibri" w:hAnsi="Arial" w:cs="Arial"/>
          <w:sz w:val="22"/>
        </w:rPr>
        <w:t xml:space="preserve"> del </w:t>
      </w:r>
      <w:r w:rsidR="00091D7A">
        <w:rPr>
          <w:rFonts w:ascii="Arial" w:eastAsia="Calibri" w:hAnsi="Arial" w:cs="Arial"/>
          <w:sz w:val="22"/>
        </w:rPr>
        <w:t>1</w:t>
      </w:r>
      <w:r w:rsidR="00AC0DBD">
        <w:rPr>
          <w:rFonts w:ascii="Arial" w:eastAsia="Calibri" w:hAnsi="Arial" w:cs="Arial"/>
          <w:sz w:val="22"/>
        </w:rPr>
        <w:t>6</w:t>
      </w:r>
      <w:r w:rsidR="00391E67">
        <w:rPr>
          <w:rFonts w:ascii="Arial" w:eastAsia="Calibri" w:hAnsi="Arial" w:cs="Arial"/>
          <w:sz w:val="22"/>
        </w:rPr>
        <w:t xml:space="preserve"> de jul</w:t>
      </w:r>
      <w:r w:rsidR="00866AEB" w:rsidRPr="00E91076">
        <w:rPr>
          <w:rFonts w:ascii="Arial" w:eastAsia="Calibri" w:hAnsi="Arial" w:cs="Arial"/>
          <w:sz w:val="22"/>
        </w:rPr>
        <w:t>io</w:t>
      </w:r>
      <w:r w:rsidRPr="00E91076">
        <w:rPr>
          <w:rFonts w:ascii="Arial" w:eastAsia="Calibri" w:hAnsi="Arial" w:cs="Arial"/>
          <w:sz w:val="22"/>
        </w:rPr>
        <w:t xml:space="preserve"> de 2021.</w:t>
      </w:r>
    </w:p>
    <w:p w14:paraId="0423D3E8" w14:textId="77777777" w:rsidR="00735EB6" w:rsidRPr="00E91076" w:rsidRDefault="00735EB6" w:rsidP="008B1764">
      <w:pPr>
        <w:spacing w:line="276" w:lineRule="auto"/>
        <w:jc w:val="both"/>
        <w:rPr>
          <w:rFonts w:ascii="Arial" w:eastAsia="Calibri" w:hAnsi="Arial" w:cs="Arial"/>
          <w:sz w:val="22"/>
        </w:rPr>
      </w:pPr>
    </w:p>
    <w:p w14:paraId="2B178A13" w14:textId="0FEBC7FC" w:rsidR="00AF1718" w:rsidRPr="00E91076" w:rsidRDefault="00AF1718" w:rsidP="008B1764">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p>
    <w:p w14:paraId="26CBCC38" w14:textId="77777777" w:rsidR="00735EB6" w:rsidRPr="00E91076" w:rsidRDefault="00735EB6" w:rsidP="008B1764">
      <w:pPr>
        <w:tabs>
          <w:tab w:val="left" w:pos="426"/>
        </w:tabs>
        <w:spacing w:line="276" w:lineRule="auto"/>
        <w:jc w:val="both"/>
        <w:rPr>
          <w:rFonts w:ascii="Arial" w:eastAsia="Calibri" w:hAnsi="Arial" w:cs="Arial"/>
          <w:sz w:val="22"/>
        </w:rPr>
      </w:pPr>
      <w:bookmarkStart w:id="4" w:name="_Hlk68679800"/>
    </w:p>
    <w:p w14:paraId="07BDC40C" w14:textId="1D7959A8" w:rsidR="00BC7936" w:rsidRDefault="00AF1718" w:rsidP="008B1764">
      <w:pPr>
        <w:tabs>
          <w:tab w:val="left" w:pos="426"/>
        </w:tabs>
        <w:spacing w:line="276" w:lineRule="auto"/>
        <w:jc w:val="both"/>
        <w:rPr>
          <w:rFonts w:ascii="Arial" w:eastAsia="Calibri" w:hAnsi="Arial" w:cs="Arial"/>
          <w:sz w:val="22"/>
        </w:rPr>
      </w:pPr>
      <w:r w:rsidRPr="00E91076">
        <w:rPr>
          <w:rFonts w:ascii="Arial" w:eastAsia="Calibri" w:hAnsi="Arial" w:cs="Arial"/>
          <w:sz w:val="22"/>
        </w:rPr>
        <w:t xml:space="preserve">En relación </w:t>
      </w:r>
      <w:r w:rsidR="00091D7A">
        <w:rPr>
          <w:rFonts w:ascii="Arial" w:hAnsi="Arial" w:cs="Arial"/>
          <w:color w:val="000000" w:themeColor="text1"/>
          <w:sz w:val="22"/>
          <w:lang w:val="es-ES_tradnl"/>
        </w:rPr>
        <w:t xml:space="preserve">al régimen de inhabilidades e incompatibilidades </w:t>
      </w:r>
      <w:r w:rsidR="00391E67" w:rsidRPr="00E91076">
        <w:rPr>
          <w:rFonts w:ascii="Arial" w:eastAsia="Calibri" w:hAnsi="Arial" w:cs="Arial"/>
          <w:sz w:val="22"/>
        </w:rPr>
        <w:t>usted</w:t>
      </w:r>
      <w:r w:rsidR="00091D7A">
        <w:rPr>
          <w:rFonts w:ascii="Arial" w:eastAsia="Calibri" w:hAnsi="Arial" w:cs="Arial"/>
          <w:sz w:val="22"/>
        </w:rPr>
        <w:t xml:space="preserve"> realiza la siguiente consulta</w:t>
      </w:r>
      <w:r w:rsidRPr="00E91076">
        <w:rPr>
          <w:rFonts w:ascii="Arial" w:eastAsia="Calibri" w:hAnsi="Arial" w:cs="Arial"/>
          <w:sz w:val="22"/>
        </w:rPr>
        <w:t>:</w:t>
      </w:r>
    </w:p>
    <w:p w14:paraId="53713AE7" w14:textId="77777777" w:rsidR="00D83B93" w:rsidRPr="00E91076" w:rsidRDefault="00D83B93" w:rsidP="008B1764">
      <w:pPr>
        <w:tabs>
          <w:tab w:val="left" w:pos="426"/>
        </w:tabs>
        <w:spacing w:line="276" w:lineRule="auto"/>
        <w:jc w:val="both"/>
        <w:rPr>
          <w:rFonts w:ascii="Arial" w:eastAsia="Calibri" w:hAnsi="Arial" w:cs="Arial"/>
          <w:sz w:val="22"/>
        </w:rPr>
      </w:pPr>
    </w:p>
    <w:p w14:paraId="6D8452C6" w14:textId="26A80BDB" w:rsidR="00AF1718" w:rsidRPr="00E91076" w:rsidRDefault="00AF1718" w:rsidP="00196CF5">
      <w:pPr>
        <w:tabs>
          <w:tab w:val="left" w:pos="426"/>
        </w:tabs>
        <w:ind w:left="709" w:right="709"/>
        <w:jc w:val="both"/>
        <w:rPr>
          <w:rFonts w:ascii="Arial" w:eastAsia="Calibri" w:hAnsi="Arial" w:cs="Arial"/>
          <w:sz w:val="21"/>
          <w:szCs w:val="21"/>
        </w:rPr>
      </w:pPr>
      <w:r w:rsidRPr="00E91076">
        <w:rPr>
          <w:rFonts w:ascii="Arial" w:eastAsia="Calibri" w:hAnsi="Arial" w:cs="Arial"/>
          <w:sz w:val="21"/>
          <w:szCs w:val="21"/>
        </w:rPr>
        <w:t>«</w:t>
      </w:r>
      <w:r w:rsidR="00091D7A">
        <w:rPr>
          <w:rFonts w:ascii="Arial" w:eastAsia="Calibri" w:hAnsi="Arial" w:cs="Arial"/>
          <w:sz w:val="21"/>
          <w:szCs w:val="21"/>
        </w:rPr>
        <w:t xml:space="preserve">Solicito cordialmente se amplié el concepto sobre: el régimen de inhabilidades e incompatibilidades entre contratistas y miembros del comité evaluador. ¿Hasta qué grado existe inhabilidad por consanguinidad entre contratistas y miembros </w:t>
      </w:r>
      <w:r w:rsidR="00091D7A">
        <w:rPr>
          <w:rFonts w:ascii="Arial" w:eastAsia="Calibri" w:hAnsi="Arial" w:cs="Arial"/>
          <w:sz w:val="21"/>
          <w:szCs w:val="21"/>
        </w:rPr>
        <w:lastRenderedPageBreak/>
        <w:t>del comité evaluador? ¿Entre contratistas y miembros del comité de evaluación existe conflicto de intereses?</w:t>
      </w:r>
      <w:r w:rsidRPr="00E91076">
        <w:rPr>
          <w:rFonts w:ascii="Arial" w:eastAsia="Calibri" w:hAnsi="Arial" w:cs="Arial"/>
          <w:sz w:val="21"/>
          <w:szCs w:val="21"/>
        </w:rPr>
        <w:t>»</w:t>
      </w:r>
      <w:bookmarkEnd w:id="4"/>
      <w:r w:rsidRPr="00E91076">
        <w:rPr>
          <w:rFonts w:ascii="Arial" w:eastAsia="Calibri" w:hAnsi="Arial" w:cs="Arial"/>
          <w:sz w:val="21"/>
          <w:szCs w:val="21"/>
        </w:rPr>
        <w:t>.</w:t>
      </w:r>
    </w:p>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686E487D" w14:textId="6363D80D" w:rsidR="00A83FFE" w:rsidRDefault="00E7138C" w:rsidP="008B1764">
      <w:pPr>
        <w:tabs>
          <w:tab w:val="left" w:pos="426"/>
        </w:tabs>
        <w:spacing w:line="276" w:lineRule="auto"/>
        <w:jc w:val="both"/>
        <w:rPr>
          <w:rFonts w:ascii="Arial" w:eastAsia="Calibri" w:hAnsi="Arial" w:cs="Arial"/>
          <w:b/>
          <w:sz w:val="22"/>
        </w:rPr>
      </w:pPr>
      <w:r w:rsidRPr="005238E2">
        <w:rPr>
          <w:rFonts w:ascii="Arial" w:eastAsia="Calibri" w:hAnsi="Arial" w:cs="Arial"/>
          <w:b/>
          <w:sz w:val="22"/>
        </w:rPr>
        <w:t>2. Consideraciones</w:t>
      </w:r>
    </w:p>
    <w:p w14:paraId="7C8ED87B" w14:textId="77777777" w:rsidR="0021701A" w:rsidRDefault="0021701A" w:rsidP="008B1764">
      <w:pPr>
        <w:tabs>
          <w:tab w:val="left" w:pos="426"/>
        </w:tabs>
        <w:spacing w:line="276" w:lineRule="auto"/>
        <w:jc w:val="both"/>
        <w:rPr>
          <w:rFonts w:ascii="Arial" w:eastAsia="Calibri" w:hAnsi="Arial" w:cs="Arial"/>
          <w:b/>
          <w:sz w:val="22"/>
        </w:rPr>
      </w:pPr>
    </w:p>
    <w:p w14:paraId="01479CBE" w14:textId="16CD571E" w:rsidR="00AD3670" w:rsidRDefault="001872EB" w:rsidP="001872EB">
      <w:pPr>
        <w:spacing w:line="276" w:lineRule="auto"/>
        <w:jc w:val="both"/>
        <w:rPr>
          <w:rFonts w:ascii="Arial" w:hAnsi="Arial" w:cs="Arial"/>
          <w:color w:val="000000" w:themeColor="text1"/>
          <w:sz w:val="22"/>
          <w:lang w:val="es-ES_tradnl"/>
        </w:rPr>
      </w:pPr>
      <w:r w:rsidRPr="001872EB">
        <w:rPr>
          <w:rFonts w:ascii="Arial" w:hAnsi="Arial" w:cs="Arial"/>
          <w:sz w:val="22"/>
        </w:rPr>
        <w:t xml:space="preserve">La Agencia Nacional de Contratación Pública – Colombia Compra Eficiente, en el ejercicio de su competencia consultiva, ha estudiado </w:t>
      </w:r>
      <w:r w:rsidRPr="001872EB">
        <w:rPr>
          <w:rFonts w:ascii="Arial" w:eastAsia="Calibri" w:hAnsi="Arial" w:cs="Arial"/>
          <w:sz w:val="22"/>
        </w:rPr>
        <w:t>la naturaleza jurídica del régimen de inhabilidades e incompatibilidades para contratar con el Estado, señalando que constituyen un límite a la capacidad contractual; además de ello, ha profundizado en la forma de interpretación de estas restricciones. Dicho estudio se puede apreciar en los conceptos con radicados No</w:t>
      </w:r>
      <w:r w:rsidR="00590C1A">
        <w:rPr>
          <w:rFonts w:ascii="Arial" w:eastAsia="Calibri" w:hAnsi="Arial" w:cs="Arial"/>
          <w:sz w:val="22"/>
        </w:rPr>
        <w:t>s</w:t>
      </w:r>
      <w:r w:rsidRPr="001872EB">
        <w:rPr>
          <w:rFonts w:ascii="Arial" w:eastAsia="Calibri" w:hAnsi="Arial" w:cs="Arial"/>
          <w:sz w:val="22"/>
        </w:rPr>
        <w:t xml:space="preserve">.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w:t>
      </w:r>
      <w:r>
        <w:rPr>
          <w:rFonts w:ascii="Arial" w:eastAsia="Calibri" w:hAnsi="Arial" w:cs="Arial"/>
          <w:sz w:val="22"/>
        </w:rPr>
        <w:t xml:space="preserve">C-293 del 28 de junio de 2021, C-321 del 2 de julio de 2021 y C-349 del 15 de julio de 2021. </w:t>
      </w:r>
      <w:r w:rsidR="0003324A" w:rsidRPr="00E91076">
        <w:rPr>
          <w:rFonts w:ascii="Arial" w:hAnsi="Arial" w:cs="Arial"/>
          <w:color w:val="000000" w:themeColor="text1"/>
          <w:sz w:val="22"/>
          <w:lang w:val="es-ES_tradnl"/>
        </w:rPr>
        <w:t>La tesis propuesta en estos conceptos se reitera a continuación</w:t>
      </w:r>
      <w:r>
        <w:rPr>
          <w:rFonts w:ascii="Arial" w:hAnsi="Arial" w:cs="Arial"/>
          <w:color w:val="000000" w:themeColor="text1"/>
          <w:sz w:val="22"/>
          <w:lang w:val="es-ES_tradnl"/>
        </w:rPr>
        <w:t xml:space="preserve">. </w:t>
      </w:r>
    </w:p>
    <w:p w14:paraId="7260C347" w14:textId="1D245EA7" w:rsidR="001872EB" w:rsidRDefault="001872EB" w:rsidP="001872EB">
      <w:pPr>
        <w:spacing w:line="276" w:lineRule="auto"/>
        <w:jc w:val="both"/>
        <w:rPr>
          <w:rFonts w:ascii="Arial" w:hAnsi="Arial" w:cs="Arial"/>
          <w:color w:val="000000" w:themeColor="text1"/>
          <w:sz w:val="22"/>
          <w:lang w:val="es-ES_tradnl"/>
        </w:rPr>
      </w:pPr>
    </w:p>
    <w:p w14:paraId="44BBDA1E" w14:textId="08644BD5" w:rsidR="001872EB" w:rsidRDefault="00374C3D" w:rsidP="001872EB">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t>2.1</w:t>
      </w:r>
      <w:r w:rsidR="001872EB" w:rsidRPr="001872EB">
        <w:rPr>
          <w:rFonts w:ascii="Arial" w:eastAsia="Calibri" w:hAnsi="Arial" w:cs="Arial"/>
          <w:b/>
          <w:sz w:val="22"/>
          <w:lang w:val="es-ES_tradnl"/>
        </w:rPr>
        <w:t xml:space="preserve">. </w:t>
      </w:r>
      <w:r>
        <w:rPr>
          <w:rFonts w:ascii="Arial" w:eastAsia="Calibri" w:hAnsi="Arial" w:cs="Arial"/>
          <w:b/>
          <w:sz w:val="22"/>
          <w:lang w:val="es-ES_tradnl"/>
        </w:rPr>
        <w:t xml:space="preserve">Régimen de </w:t>
      </w:r>
      <w:r w:rsidR="00E24EA1">
        <w:rPr>
          <w:rFonts w:ascii="Arial" w:eastAsia="Calibri" w:hAnsi="Arial" w:cs="Arial"/>
          <w:b/>
          <w:sz w:val="22"/>
          <w:lang w:val="es-ES_tradnl"/>
        </w:rPr>
        <w:t>i</w:t>
      </w:r>
      <w:r w:rsidR="001872EB" w:rsidRPr="001872EB">
        <w:rPr>
          <w:rFonts w:ascii="Arial" w:eastAsia="Calibri" w:hAnsi="Arial" w:cs="Arial"/>
          <w:b/>
          <w:sz w:val="22"/>
          <w:lang w:val="es-ES_tradnl"/>
        </w:rPr>
        <w:t>nhabilidades e incompatibilidades en la contratación estatal: un límite a la capacidad contractual. La interpretación restrictiva como criterio hermenéutico de los enunciados normativos gravosos y la reserva de ley</w:t>
      </w:r>
      <w:r w:rsidR="005A31A3">
        <w:rPr>
          <w:rFonts w:ascii="Arial" w:eastAsia="Calibri" w:hAnsi="Arial" w:cs="Arial"/>
          <w:b/>
          <w:sz w:val="22"/>
          <w:lang w:val="es-ES_tradnl"/>
        </w:rPr>
        <w:t xml:space="preserve"> </w:t>
      </w:r>
    </w:p>
    <w:p w14:paraId="78513635" w14:textId="6A3B0439" w:rsidR="00374C3D" w:rsidRDefault="00374C3D" w:rsidP="001872EB">
      <w:pPr>
        <w:tabs>
          <w:tab w:val="left" w:pos="426"/>
        </w:tabs>
        <w:spacing w:line="276" w:lineRule="auto"/>
        <w:jc w:val="both"/>
        <w:rPr>
          <w:rFonts w:ascii="Arial" w:eastAsia="Calibri" w:hAnsi="Arial" w:cs="Arial"/>
          <w:b/>
          <w:sz w:val="22"/>
          <w:lang w:val="es-ES_tradnl"/>
        </w:rPr>
      </w:pPr>
    </w:p>
    <w:p w14:paraId="11F7AB3B" w14:textId="77777777" w:rsidR="00374C3D" w:rsidRDefault="00374C3D" w:rsidP="00374C3D">
      <w:pPr>
        <w:spacing w:after="120" w:line="276" w:lineRule="auto"/>
        <w:jc w:val="both"/>
        <w:rPr>
          <w:rFonts w:ascii="Arial" w:eastAsia="Arial" w:hAnsi="Arial" w:cs="Arial"/>
          <w:color w:val="000000"/>
          <w:sz w:val="22"/>
          <w:lang w:val="es-ES_tradnl"/>
        </w:rPr>
      </w:pPr>
      <w:r>
        <w:rPr>
          <w:rFonts w:ascii="Arial" w:eastAsia="Arial" w:hAnsi="Arial" w:cs="Arial"/>
          <w:color w:val="000000"/>
          <w:sz w:val="22"/>
          <w:lang w:val="es-ES_tradnl"/>
        </w:rPr>
        <w:t xml:space="preserve">En la contratación estatal, la </w:t>
      </w:r>
      <w:r>
        <w:rPr>
          <w:rFonts w:ascii="Arial" w:eastAsia="Arial" w:hAnsi="Arial" w:cs="Arial"/>
          <w:i/>
          <w:iCs/>
          <w:color w:val="000000"/>
          <w:sz w:val="22"/>
          <w:lang w:val="es-ES_tradnl"/>
        </w:rPr>
        <w:t>capacidad</w:t>
      </w:r>
      <w:r>
        <w:rPr>
          <w:rFonts w:ascii="Arial" w:eastAsia="Arial" w:hAnsi="Arial" w:cs="Arial"/>
          <w:color w:val="000000"/>
          <w:sz w:val="22"/>
          <w:lang w:val="es-ES_tradnl"/>
        </w:rPr>
        <w:t xml:space="preserve"> </w:t>
      </w:r>
      <w:r>
        <w:rPr>
          <w:rFonts w:ascii="Arial" w:eastAsia="Arial" w:hAnsi="Arial" w:cs="Arial"/>
          <w:i/>
          <w:iCs/>
          <w:color w:val="000000"/>
          <w:sz w:val="22"/>
          <w:lang w:val="es-ES_tradnl"/>
        </w:rPr>
        <w:t>jurídica</w:t>
      </w:r>
      <w:r>
        <w:rPr>
          <w:rFonts w:ascii="Arial" w:eastAsia="Arial" w:hAnsi="Arial" w:cs="Arial"/>
          <w:color w:val="000000"/>
          <w:sz w:val="22"/>
          <w:lang w:val="es-ES_tradnl"/>
        </w:rPr>
        <w:t xml:space="preserve"> también es un requisito de validez de los contratos, tanto en el régimen de las entidades sujetas al Estatuto General de Contratación de la Administración Pública</w:t>
      </w:r>
      <w:r>
        <w:rPr>
          <w:rFonts w:ascii="Arial" w:eastAsia="Arial" w:hAnsi="Arial" w:cs="Arial"/>
          <w:color w:val="000000"/>
          <w:sz w:val="22"/>
          <w:vertAlign w:val="superscript"/>
          <w:lang w:val="es-ES_tradnl"/>
        </w:rPr>
        <w:footnoteReference w:id="1"/>
      </w:r>
      <w:r>
        <w:rPr>
          <w:rFonts w:ascii="Arial" w:eastAsia="Arial" w:hAnsi="Arial" w:cs="Arial"/>
          <w:color w:val="000000"/>
          <w:sz w:val="22"/>
          <w:lang w:val="es-ES_tradnl"/>
        </w:rPr>
        <w:t>, como en el de las entidades exceptuadas de aquel</w:t>
      </w:r>
      <w:r>
        <w:rPr>
          <w:rFonts w:ascii="Arial" w:eastAsia="Arial" w:hAnsi="Arial" w:cs="Arial"/>
          <w:color w:val="000000"/>
          <w:sz w:val="22"/>
          <w:vertAlign w:val="superscript"/>
          <w:lang w:val="es-ES_tradnl"/>
        </w:rPr>
        <w:footnoteReference w:id="2"/>
      </w:r>
      <w:r>
        <w:rPr>
          <w:rFonts w:ascii="Arial" w:eastAsia="Arial" w:hAnsi="Arial" w:cs="Arial"/>
          <w:color w:val="000000"/>
          <w:sz w:val="22"/>
          <w:lang w:val="es-ES_tradnl"/>
        </w:rPr>
        <w:t xml:space="preserve">. Si bien </w:t>
      </w:r>
      <w:r>
        <w:rPr>
          <w:rFonts w:ascii="Arial" w:eastAsia="Arial" w:hAnsi="Arial" w:cs="Arial"/>
          <w:color w:val="000000"/>
          <w:sz w:val="22"/>
          <w:lang w:val="es-ES_tradnl"/>
        </w:rPr>
        <w:lastRenderedPageBreak/>
        <w:t>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Pr>
          <w:rFonts w:ascii="Arial" w:eastAsia="Arial" w:hAnsi="Arial" w:cs="Arial"/>
          <w:color w:val="000000"/>
          <w:sz w:val="22"/>
          <w:vertAlign w:val="superscript"/>
          <w:lang w:val="es-ES_tradnl"/>
        </w:rPr>
        <w:footnoteReference w:id="3"/>
      </w:r>
      <w:r>
        <w:rPr>
          <w:rFonts w:ascii="Arial" w:eastAsia="Arial" w:hAnsi="Arial" w:cs="Arial"/>
          <w:color w:val="000000"/>
          <w:sz w:val="22"/>
          <w:lang w:val="es-ES_tradnl"/>
        </w:rPr>
        <w:t>.</w:t>
      </w:r>
    </w:p>
    <w:p w14:paraId="6570B8E5" w14:textId="77777777" w:rsidR="00374C3D" w:rsidRDefault="00374C3D" w:rsidP="00D83B93">
      <w:pPr>
        <w:spacing w:after="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t>Las inhabilidades son prohibiciones para concurrir en los procedimientos de selección y para contratar con el Estado, que se derivan i) de la existencia de comportamientos reprochables de sanciones anteriormente impuestas, ii) de vínculos personales relativos al parentesco o al estado civil</w:t>
      </w:r>
      <w:r>
        <w:rPr>
          <w:rFonts w:ascii="Arial" w:eastAsia="Arial" w:hAnsi="Arial" w:cs="Arial"/>
          <w:color w:val="000000"/>
          <w:sz w:val="22"/>
          <w:vertAlign w:val="superscript"/>
          <w:lang w:val="es-ES_tradnl"/>
        </w:rPr>
        <w:t xml:space="preserve"> </w:t>
      </w:r>
      <w:r>
        <w:rPr>
          <w:rFonts w:ascii="Arial" w:eastAsia="Arial" w:hAnsi="Arial" w:cs="Arial"/>
          <w:color w:val="000000"/>
          <w:sz w:val="22"/>
          <w:lang w:val="es-ES_tradnl"/>
        </w:rPr>
        <w:t>o iii) de una actividad u oficio que se desempeñó en el pasado.</w:t>
      </w:r>
    </w:p>
    <w:p w14:paraId="595C23DB" w14:textId="7DC8914B" w:rsidR="00D83B93" w:rsidRDefault="00374C3D" w:rsidP="00D83B93">
      <w:pPr>
        <w:spacing w:before="120" w:after="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w:t>
      </w:r>
      <w:proofErr w:type="spellStart"/>
      <w:r>
        <w:rPr>
          <w:rFonts w:ascii="Arial" w:eastAsia="Arial" w:hAnsi="Arial" w:cs="Arial"/>
          <w:color w:val="000000"/>
          <w:sz w:val="22"/>
          <w:lang w:val="es-ES_tradnl"/>
        </w:rPr>
        <w:t>neopunitivo</w:t>
      </w:r>
      <w:proofErr w:type="spellEnd"/>
      <w:r>
        <w:rPr>
          <w:rFonts w:ascii="Arial" w:eastAsia="Arial" w:hAnsi="Arial" w:cs="Arial"/>
          <w:color w:val="000000"/>
          <w:sz w:val="22"/>
          <w:lang w:val="es-ES_tradnl"/>
        </w:rPr>
        <w:t>»</w:t>
      </w:r>
      <w:r>
        <w:rPr>
          <w:rFonts w:ascii="Arial" w:eastAsia="Arial" w:hAnsi="Arial" w:cs="Arial"/>
          <w:color w:val="000000"/>
          <w:sz w:val="22"/>
          <w:vertAlign w:val="superscript"/>
          <w:lang w:val="es-ES_tradnl"/>
        </w:rPr>
        <w:footnoteReference w:id="4"/>
      </w:r>
      <w:r>
        <w:rPr>
          <w:rFonts w:ascii="Arial" w:eastAsia="Arial" w:hAnsi="Arial" w:cs="Arial"/>
          <w:color w:val="000000"/>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2194B3F3" w14:textId="77777777" w:rsidR="00374C3D" w:rsidRDefault="00374C3D" w:rsidP="00D83B93">
      <w:pPr>
        <w:spacing w:before="120" w:after="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lastRenderedPageBreak/>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Pr>
          <w:rFonts w:ascii="Arial" w:eastAsia="Arial" w:hAnsi="Arial" w:cs="Arial"/>
          <w:i/>
          <w:iCs/>
          <w:color w:val="000000"/>
          <w:sz w:val="22"/>
          <w:lang w:val="es-ES_tradnl"/>
        </w:rPr>
        <w:t>restrictiva</w:t>
      </w:r>
      <w:r>
        <w:rPr>
          <w:rFonts w:ascii="Arial" w:eastAsia="Arial" w:hAnsi="Arial" w:cs="Arial"/>
          <w:color w:val="000000"/>
          <w:sz w:val="22"/>
          <w:vertAlign w:val="superscript"/>
          <w:lang w:val="es-ES_tradnl"/>
        </w:rPr>
        <w:footnoteReference w:id="5"/>
      </w:r>
      <w:r>
        <w:rPr>
          <w:rFonts w:ascii="Arial" w:eastAsia="Arial" w:hAnsi="Arial" w:cs="Arial"/>
          <w:color w:val="000000"/>
          <w:sz w:val="22"/>
          <w:lang w:val="es-ES_tradnl"/>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60C83DB4" w14:textId="77777777" w:rsidR="00374C3D" w:rsidRDefault="00374C3D" w:rsidP="00D83B93">
      <w:pPr>
        <w:spacing w:before="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t xml:space="preserve">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w:t>
      </w:r>
      <w:r w:rsidRPr="004F69B3">
        <w:rPr>
          <w:rFonts w:ascii="Arial" w:eastAsia="Arial" w:hAnsi="Arial" w:cs="Arial"/>
          <w:color w:val="000000"/>
          <w:sz w:val="22"/>
          <w:lang w:val="es-ES_tradnl"/>
        </w:rPr>
        <w:t>prima facie</w:t>
      </w:r>
      <w:r>
        <w:rPr>
          <w:rFonts w:ascii="Arial" w:eastAsia="Arial" w:hAnsi="Arial" w:cs="Arial"/>
          <w:color w:val="000000"/>
          <w:sz w:val="22"/>
          <w:lang w:val="es-ES_tradnl"/>
        </w:rPr>
        <w:t xml:space="preserve"> a criterios interpretativos tales como la analogía, la interpretación extensiva para ampliar el alcance de las causales legalmente fijadas»</w:t>
      </w:r>
      <w:r>
        <w:rPr>
          <w:rFonts w:ascii="Arial" w:eastAsia="Arial" w:hAnsi="Arial" w:cs="Arial"/>
          <w:color w:val="000000"/>
          <w:sz w:val="22"/>
          <w:vertAlign w:val="superscript"/>
          <w:lang w:val="es-ES_tradnl"/>
        </w:rPr>
        <w:footnoteReference w:id="6"/>
      </w:r>
      <w:r>
        <w:rPr>
          <w:rFonts w:ascii="Arial" w:eastAsia="Arial" w:hAnsi="Arial" w:cs="Arial"/>
          <w:color w:val="000000"/>
          <w:sz w:val="22"/>
          <w:lang w:val="es-ES_tradnl"/>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Arial" w:hAnsi="Arial" w:cs="Arial"/>
          <w:color w:val="000000"/>
          <w:sz w:val="22"/>
          <w:vertAlign w:val="superscript"/>
          <w:lang w:val="es-ES_tradnl"/>
        </w:rPr>
        <w:footnoteReference w:id="7"/>
      </w:r>
      <w:r>
        <w:rPr>
          <w:rFonts w:ascii="Arial" w:eastAsia="Arial" w:hAnsi="Arial" w:cs="Arial"/>
          <w:color w:val="000000"/>
          <w:sz w:val="22"/>
          <w:lang w:val="es-ES_tradnl"/>
        </w:rPr>
        <w:t>. En tal sentido, la Sección Tercera ha señalado que:</w:t>
      </w:r>
    </w:p>
    <w:p w14:paraId="7CF406B7" w14:textId="77777777" w:rsidR="00374C3D" w:rsidRDefault="00374C3D" w:rsidP="00374C3D">
      <w:pPr>
        <w:spacing w:line="276" w:lineRule="auto"/>
        <w:ind w:firstLine="720"/>
        <w:jc w:val="both"/>
        <w:rPr>
          <w:rFonts w:ascii="Arial" w:eastAsia="Arial" w:hAnsi="Arial" w:cs="Arial"/>
          <w:color w:val="000000"/>
          <w:sz w:val="22"/>
          <w:lang w:val="es-ES_tradnl"/>
        </w:rPr>
      </w:pPr>
    </w:p>
    <w:p w14:paraId="38240F0B" w14:textId="42B54035" w:rsidR="00374C3D" w:rsidRDefault="00374C3D" w:rsidP="002D372F">
      <w:pPr>
        <w:spacing w:after="120"/>
        <w:ind w:left="709" w:right="709"/>
        <w:jc w:val="both"/>
        <w:rPr>
          <w:rFonts w:ascii="Arial" w:eastAsia="Arial" w:hAnsi="Arial" w:cs="Arial"/>
          <w:color w:val="000000"/>
          <w:sz w:val="21"/>
          <w:szCs w:val="21"/>
          <w:lang w:val="es-ES_tradnl"/>
        </w:rPr>
      </w:pPr>
      <w:r>
        <w:rPr>
          <w:rFonts w:ascii="Arial" w:eastAsia="Arial" w:hAnsi="Arial" w:cs="Arial"/>
          <w:color w:val="000000"/>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eastAsia="Arial" w:hAnsi="Arial" w:cs="Arial"/>
          <w:color w:val="000000"/>
          <w:sz w:val="21"/>
          <w:szCs w:val="21"/>
          <w:vertAlign w:val="superscript"/>
          <w:lang w:val="es-ES_tradnl"/>
        </w:rPr>
        <w:footnoteReference w:id="8"/>
      </w:r>
      <w:r>
        <w:rPr>
          <w:rFonts w:ascii="Arial" w:eastAsia="Arial" w:hAnsi="Arial" w:cs="Arial"/>
          <w:color w:val="000000"/>
          <w:sz w:val="21"/>
          <w:szCs w:val="21"/>
          <w:lang w:val="es-ES_tradnl"/>
        </w:rPr>
        <w:t>.</w:t>
      </w:r>
    </w:p>
    <w:p w14:paraId="7763934E" w14:textId="5FA54E0B" w:rsidR="00374C3D" w:rsidRDefault="00374C3D" w:rsidP="002D372F">
      <w:pPr>
        <w:spacing w:before="120" w:after="120" w:line="276" w:lineRule="auto"/>
        <w:ind w:firstLine="720"/>
        <w:jc w:val="both"/>
        <w:rPr>
          <w:rFonts w:ascii="Arial" w:eastAsia="Arial" w:hAnsi="Arial" w:cs="Arial"/>
          <w:color w:val="000000"/>
          <w:sz w:val="22"/>
          <w:lang w:val="es-ES_tradnl"/>
        </w:rPr>
      </w:pPr>
      <w:r>
        <w:rPr>
          <w:rFonts w:ascii="Arial" w:eastAsia="Arial" w:hAnsi="Arial" w:cs="Arial"/>
          <w:color w:val="000000"/>
          <w:sz w:val="22"/>
          <w:lang w:val="es-ES_tradnl"/>
        </w:rPr>
        <w:t>También ha dicho que:</w:t>
      </w:r>
    </w:p>
    <w:p w14:paraId="421702EF" w14:textId="77777777" w:rsidR="00374C3D" w:rsidRDefault="00374C3D" w:rsidP="002D372F">
      <w:pPr>
        <w:spacing w:before="120"/>
        <w:ind w:left="709" w:right="709"/>
        <w:jc w:val="both"/>
        <w:rPr>
          <w:rFonts w:ascii="Arial" w:eastAsia="Arial" w:hAnsi="Arial" w:cs="Arial"/>
          <w:color w:val="000000"/>
          <w:sz w:val="21"/>
          <w:szCs w:val="21"/>
          <w:lang w:val="es-ES_tradnl"/>
        </w:rPr>
      </w:pPr>
      <w:r>
        <w:rPr>
          <w:rFonts w:ascii="Arial" w:eastAsia="Arial" w:hAnsi="Arial" w:cs="Arial"/>
          <w:color w:val="000000"/>
          <w:sz w:val="21"/>
          <w:szCs w:val="21"/>
          <w:lang w:val="es-ES_tradnl"/>
        </w:rPr>
        <w:lastRenderedPageBreak/>
        <w:t xml:space="preserve">[…] la aplicación de estos preceptos exige una interpretación restrictiva, dado que según el principio hermenéutico pro </w:t>
      </w:r>
      <w:proofErr w:type="spellStart"/>
      <w:r>
        <w:rPr>
          <w:rFonts w:ascii="Arial" w:eastAsia="Arial" w:hAnsi="Arial" w:cs="Arial"/>
          <w:color w:val="000000"/>
          <w:sz w:val="21"/>
          <w:szCs w:val="21"/>
          <w:lang w:val="es-ES_tradnl"/>
        </w:rPr>
        <w:t>libertate</w:t>
      </w:r>
      <w:proofErr w:type="spellEnd"/>
      <w:r>
        <w:rPr>
          <w:rFonts w:ascii="Arial" w:eastAsia="Arial" w:hAnsi="Arial" w:cs="Arial"/>
          <w:color w:val="000000"/>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Fonts w:ascii="Arial" w:eastAsia="Arial" w:hAnsi="Arial" w:cs="Arial"/>
          <w:color w:val="000000"/>
          <w:sz w:val="21"/>
          <w:szCs w:val="21"/>
          <w:vertAlign w:val="superscript"/>
          <w:lang w:val="es-ES_tradnl"/>
        </w:rPr>
        <w:footnoteReference w:id="9"/>
      </w:r>
      <w:r>
        <w:rPr>
          <w:rFonts w:ascii="Arial" w:eastAsia="Arial" w:hAnsi="Arial" w:cs="Arial"/>
          <w:color w:val="000000"/>
          <w:sz w:val="21"/>
          <w:szCs w:val="21"/>
          <w:lang w:val="es-ES_tradnl"/>
        </w:rPr>
        <w:t>.</w:t>
      </w:r>
    </w:p>
    <w:p w14:paraId="07D85E5F" w14:textId="77777777" w:rsidR="00374C3D" w:rsidRDefault="00374C3D" w:rsidP="00374C3D">
      <w:pPr>
        <w:ind w:left="709" w:right="709"/>
        <w:jc w:val="both"/>
        <w:rPr>
          <w:rFonts w:ascii="Arial" w:eastAsia="Arial" w:hAnsi="Arial" w:cs="Arial"/>
          <w:color w:val="000000"/>
          <w:sz w:val="21"/>
          <w:szCs w:val="21"/>
          <w:lang w:val="es-ES_tradnl"/>
        </w:rPr>
      </w:pPr>
    </w:p>
    <w:p w14:paraId="12A92A4C" w14:textId="04C45A95" w:rsidR="00374C3D" w:rsidRDefault="00374C3D" w:rsidP="00D83B93">
      <w:pPr>
        <w:spacing w:line="276" w:lineRule="auto"/>
        <w:ind w:firstLine="709"/>
        <w:jc w:val="both"/>
        <w:rPr>
          <w:rFonts w:ascii="Arial" w:eastAsia="Calibri" w:hAnsi="Arial" w:cs="Arial"/>
          <w:color w:val="000000" w:themeColor="text1"/>
          <w:sz w:val="22"/>
          <w:szCs w:val="24"/>
          <w:lang w:val="es-ES"/>
        </w:rPr>
      </w:pPr>
      <w:r>
        <w:rPr>
          <w:rFonts w:ascii="Arial" w:eastAsia="Arial" w:hAnsi="Arial" w:cs="Arial"/>
          <w:color w:val="000000"/>
          <w:sz w:val="22"/>
          <w:lang w:val="es-ES_tradnl"/>
        </w:rPr>
        <w:t xml:space="preserve">Como se aprecia, el principio </w:t>
      </w:r>
      <w:r>
        <w:rPr>
          <w:rFonts w:ascii="Arial" w:eastAsia="Arial" w:hAnsi="Arial" w:cs="Arial"/>
          <w:i/>
          <w:iCs/>
          <w:color w:val="000000"/>
          <w:sz w:val="22"/>
          <w:lang w:val="es-ES_tradnl"/>
        </w:rPr>
        <w:t xml:space="preserve">pro </w:t>
      </w:r>
      <w:proofErr w:type="spellStart"/>
      <w:r>
        <w:rPr>
          <w:rFonts w:ascii="Arial" w:eastAsia="Arial" w:hAnsi="Arial" w:cs="Arial"/>
          <w:i/>
          <w:iCs/>
          <w:color w:val="000000"/>
          <w:sz w:val="22"/>
          <w:lang w:val="es-ES_tradnl"/>
        </w:rPr>
        <w:t>libertate</w:t>
      </w:r>
      <w:proofErr w:type="spellEnd"/>
      <w:r>
        <w:rPr>
          <w:rFonts w:ascii="Arial" w:eastAsia="Arial" w:hAnsi="Arial" w:cs="Arial"/>
          <w:color w:val="000000"/>
          <w:sz w:val="22"/>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sz w:val="22"/>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w:t>
      </w:r>
      <w:r w:rsidR="005B1F39">
        <w:rPr>
          <w:rFonts w:ascii="Arial" w:hAnsi="Arial" w:cs="Arial"/>
          <w:color w:val="000000" w:themeColor="text1"/>
          <w:sz w:val="22"/>
        </w:rPr>
        <w:t>en los siguientes términos</w:t>
      </w:r>
      <w:r>
        <w:rPr>
          <w:rFonts w:ascii="Arial" w:hAnsi="Arial" w:cs="Arial"/>
          <w:color w:val="000000" w:themeColor="text1"/>
          <w:sz w:val="22"/>
        </w:rPr>
        <w:t>:</w:t>
      </w:r>
    </w:p>
    <w:p w14:paraId="7EC85988" w14:textId="33A16096" w:rsidR="00374C3D" w:rsidRDefault="00374C3D" w:rsidP="00374C3D">
      <w:pPr>
        <w:pStyle w:val="Sinespaciado"/>
        <w:tabs>
          <w:tab w:val="left" w:pos="1532"/>
        </w:tabs>
        <w:spacing w:line="276" w:lineRule="auto"/>
        <w:jc w:val="both"/>
        <w:rPr>
          <w:rFonts w:ascii="Arial" w:hAnsi="Arial" w:cs="Arial"/>
          <w:color w:val="000000" w:themeColor="text1"/>
          <w:sz w:val="22"/>
        </w:rPr>
      </w:pPr>
    </w:p>
    <w:p w14:paraId="23FFB73E" w14:textId="4FBF67D8" w:rsidR="002D372F" w:rsidRDefault="00374C3D" w:rsidP="002D372F">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Pr>
          <w:rFonts w:ascii="Arial" w:hAnsi="Arial" w:cs="Arial"/>
          <w:color w:val="000000" w:themeColor="text1"/>
          <w:sz w:val="21"/>
          <w:szCs w:val="21"/>
        </w:rPr>
        <w:t>libertate</w:t>
      </w:r>
      <w:proofErr w:type="spellEnd"/>
      <w:r>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14:paraId="45F8387E" w14:textId="189EED3B" w:rsidR="00374C3D" w:rsidRDefault="00374C3D" w:rsidP="002D372F">
      <w:pPr>
        <w:spacing w:before="120" w:after="120"/>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5E9C0A3F" w14:textId="77777777" w:rsidR="00374C3D" w:rsidRDefault="00374C3D" w:rsidP="002D372F">
      <w:pPr>
        <w:spacing w:before="120"/>
        <w:ind w:left="709" w:right="709"/>
        <w:jc w:val="both"/>
        <w:rPr>
          <w:rFonts w:ascii="Arial" w:hAnsi="Arial" w:cs="Arial"/>
          <w:color w:val="000000" w:themeColor="text1"/>
          <w:sz w:val="21"/>
          <w:szCs w:val="21"/>
        </w:rPr>
      </w:pPr>
      <w:r>
        <w:rPr>
          <w:rFonts w:ascii="Arial" w:hAnsi="Arial" w:cs="Arial"/>
          <w:color w:val="000000" w:themeColor="text1"/>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rStyle w:val="Refdenotaalpie"/>
          <w:rFonts w:ascii="Arial" w:hAnsi="Arial" w:cs="Arial"/>
          <w:color w:val="000000" w:themeColor="text1"/>
          <w:sz w:val="21"/>
          <w:szCs w:val="21"/>
        </w:rPr>
        <w:footnoteReference w:id="10"/>
      </w:r>
      <w:r>
        <w:rPr>
          <w:rFonts w:ascii="Arial" w:hAnsi="Arial" w:cs="Arial"/>
          <w:color w:val="000000" w:themeColor="text1"/>
          <w:sz w:val="21"/>
          <w:szCs w:val="21"/>
        </w:rPr>
        <w:t>.</w:t>
      </w:r>
    </w:p>
    <w:p w14:paraId="2341EFE0" w14:textId="77777777" w:rsidR="00374C3D" w:rsidRDefault="00374C3D" w:rsidP="00374C3D">
      <w:pPr>
        <w:pStyle w:val="Sinespaciado"/>
        <w:spacing w:line="276" w:lineRule="auto"/>
        <w:jc w:val="both"/>
        <w:rPr>
          <w:rFonts w:ascii="Arial" w:hAnsi="Arial" w:cs="Arial"/>
          <w:color w:val="000000" w:themeColor="text1"/>
          <w:sz w:val="22"/>
          <w:lang w:val="es-ES"/>
        </w:rPr>
      </w:pPr>
    </w:p>
    <w:p w14:paraId="339C27D0" w14:textId="77777777" w:rsidR="00374C3D" w:rsidRDefault="00374C3D" w:rsidP="00374C3D">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rPr>
        <w:t xml:space="preserve">De igual forma, conviene acudir a la distinción que se ha trazado en torno a la fuente de las inhabilidades, las cuales han sido clasificadas en dos grupos: i) inhabilidades-sanción </w:t>
      </w:r>
      <w:r>
        <w:rPr>
          <w:rFonts w:ascii="Arial" w:hAnsi="Arial" w:cs="Arial"/>
          <w:color w:val="000000" w:themeColor="text1"/>
          <w:sz w:val="22"/>
        </w:rPr>
        <w:lastRenderedPageBreak/>
        <w:t>y ii)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Pr>
          <w:rStyle w:val="Refdenotaalpie"/>
          <w:rFonts w:ascii="Arial" w:hAnsi="Arial" w:cs="Arial"/>
          <w:color w:val="000000" w:themeColor="text1"/>
          <w:sz w:val="22"/>
        </w:rPr>
        <w:footnoteReference w:id="11"/>
      </w:r>
      <w:r>
        <w:rPr>
          <w:rFonts w:ascii="Arial" w:hAnsi="Arial" w:cs="Arial"/>
          <w:color w:val="000000" w:themeColor="text1"/>
          <w:sz w:val="22"/>
        </w:rPr>
        <w:t xml:space="preserve">. </w:t>
      </w:r>
    </w:p>
    <w:p w14:paraId="08B01C53" w14:textId="77777777" w:rsidR="00374C3D" w:rsidRDefault="00374C3D" w:rsidP="00D83B93">
      <w:pPr>
        <w:spacing w:before="120"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673B53BF" w14:textId="77777777" w:rsidR="00374C3D" w:rsidRDefault="00374C3D" w:rsidP="00D83B93">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p>
    <w:p w14:paraId="6A08BE0C" w14:textId="77777777" w:rsidR="00374C3D" w:rsidRPr="00106160" w:rsidRDefault="00374C3D" w:rsidP="00052739">
      <w:pPr>
        <w:pStyle w:val="CEDAContenido"/>
        <w:ind w:firstLine="709"/>
        <w:rPr>
          <w:rFonts w:ascii="Arial" w:hAnsi="Arial" w:cs="Arial"/>
          <w:b/>
          <w:bCs/>
        </w:rPr>
      </w:pPr>
      <w:r w:rsidRPr="00106160">
        <w:rPr>
          <w:rFonts w:ascii="Arial" w:hAnsi="Arial" w:cs="Arial"/>
          <w:shd w:val="clear" w:color="auto" w:fill="FFFFFF"/>
          <w:lang w:val="es-MX"/>
        </w:rPr>
        <w:t xml:space="preserve">En este sentido, retomando una idea esbozada con anterioridad, la doctrina y la jurisprudencia son pacíficas en considerar que </w:t>
      </w:r>
      <w:r w:rsidRPr="0086722E">
        <w:rPr>
          <w:rFonts w:ascii="Arial" w:hAnsi="Arial" w:cs="Arial"/>
          <w:shd w:val="clear" w:color="auto" w:fill="FFFFFF"/>
          <w:lang w:val="es-MX"/>
        </w:rPr>
        <w:t>la creación de inhabilidades e incompatibilidades es un asunto con reserva de ley, en tanto, «</w:t>
      </w:r>
      <w:r w:rsidRPr="0086722E">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sidRPr="0086722E">
        <w:rPr>
          <w:rFonts w:ascii="Arial" w:hAnsi="Arial" w:cs="Arial"/>
          <w:shd w:val="clear" w:color="auto" w:fill="FFFFFF"/>
          <w:lang w:val="es-MX"/>
        </w:rPr>
        <w:t>»</w:t>
      </w:r>
      <w:r w:rsidRPr="0086722E">
        <w:rPr>
          <w:rStyle w:val="Refdenotaalpie"/>
          <w:rFonts w:ascii="Arial" w:hAnsi="Arial" w:cs="Arial"/>
          <w:shd w:val="clear" w:color="auto" w:fill="FFFFFF"/>
          <w:lang w:val="es-MX"/>
        </w:rPr>
        <w:footnoteReference w:id="12"/>
      </w:r>
      <w:r w:rsidRPr="0086722E">
        <w:rPr>
          <w:rFonts w:ascii="Arial" w:hAnsi="Arial" w:cs="Arial"/>
          <w:shd w:val="clear" w:color="auto" w:fill="FFFFFF"/>
          <w:lang w:val="es-MX"/>
        </w:rPr>
        <w:t xml:space="preserve">. En similar sentido, la Sala de Consulta y Servicio Civil del Consejo de Estado expresó </w:t>
      </w:r>
      <w:r w:rsidRPr="0086722E">
        <w:rPr>
          <w:rFonts w:ascii="Arial" w:hAnsi="Arial" w:cs="Arial"/>
          <w:color w:val="000000"/>
          <w:shd w:val="clear" w:color="auto" w:fill="FFFFFF"/>
        </w:rPr>
        <w:t xml:space="preserve">que «[…] </w:t>
      </w:r>
      <w:r w:rsidRPr="0086722E">
        <w:rPr>
          <w:rFonts w:ascii="Arial" w:hAnsi="Arial" w:cs="Arial"/>
          <w:color w:val="000000"/>
          <w:shd w:val="clear" w:color="auto" w:fill="FFFFFF"/>
        </w:rPr>
        <w:lastRenderedPageBreak/>
        <w:t>las causales de inhabilidad e incompatibilidad deben estar expresa y taxativamente establecidas en la Constitución o en la ley y son de aplicación e interpretación restrictivas […]»</w:t>
      </w:r>
      <w:r w:rsidRPr="0086722E">
        <w:rPr>
          <w:rStyle w:val="Refdenotaalpie"/>
          <w:rFonts w:ascii="Arial" w:hAnsi="Arial" w:cs="Arial"/>
          <w:color w:val="000000"/>
          <w:shd w:val="clear" w:color="auto" w:fill="FFFFFF"/>
        </w:rPr>
        <w:footnoteReference w:id="13"/>
      </w:r>
      <w:r w:rsidRPr="0086722E">
        <w:rPr>
          <w:rFonts w:ascii="Arial" w:hAnsi="Arial" w:cs="Arial"/>
          <w:color w:val="000000"/>
          <w:shd w:val="clear" w:color="auto" w:fill="FFFFFF"/>
        </w:rPr>
        <w:t>. En este sentido, como se observa, existe consenso</w:t>
      </w:r>
      <w:r>
        <w:rPr>
          <w:rFonts w:ascii="Arial" w:hAnsi="Arial" w:cs="Arial"/>
          <w:color w:val="000000"/>
          <w:shd w:val="clear" w:color="auto" w:fill="FFFFFF"/>
        </w:rPr>
        <w:t>, incluso como lo ha expresado esta Agencia en ocasiones anteriores, que la creación de inhabilidades o incompatibilidades está reservada al constituyente o al legislador.</w:t>
      </w:r>
    </w:p>
    <w:p w14:paraId="0BA8F815" w14:textId="3A6CE61E" w:rsidR="001872EB" w:rsidRPr="001872EB" w:rsidRDefault="001872EB" w:rsidP="001872EB">
      <w:pPr>
        <w:spacing w:line="276" w:lineRule="auto"/>
        <w:jc w:val="both"/>
        <w:rPr>
          <w:rFonts w:ascii="Arial" w:eastAsia="Calibri" w:hAnsi="Arial" w:cs="Arial"/>
          <w:sz w:val="22"/>
          <w:lang w:val="es-ES"/>
        </w:rPr>
      </w:pPr>
    </w:p>
    <w:p w14:paraId="3215D789" w14:textId="581E3061" w:rsidR="005E20A4" w:rsidRPr="005B75D8" w:rsidRDefault="00374C3D" w:rsidP="001872EB">
      <w:pPr>
        <w:spacing w:line="276" w:lineRule="auto"/>
        <w:jc w:val="both"/>
        <w:rPr>
          <w:rFonts w:ascii="Arial" w:eastAsia="Calibri" w:hAnsi="Arial" w:cs="Arial"/>
          <w:b/>
          <w:bCs/>
          <w:sz w:val="22"/>
          <w:lang w:val="es-ES_tradnl"/>
        </w:rPr>
      </w:pPr>
      <w:r w:rsidRPr="005B75D8">
        <w:rPr>
          <w:rFonts w:ascii="Arial" w:eastAsia="Calibri" w:hAnsi="Arial" w:cs="Arial"/>
          <w:b/>
          <w:bCs/>
          <w:sz w:val="22"/>
          <w:lang w:val="es-ES_tradnl"/>
        </w:rPr>
        <w:t>2.2</w:t>
      </w:r>
      <w:r w:rsidR="001872EB" w:rsidRPr="005B75D8">
        <w:rPr>
          <w:rFonts w:ascii="Arial" w:eastAsia="Calibri" w:hAnsi="Arial" w:cs="Arial"/>
          <w:b/>
          <w:bCs/>
          <w:sz w:val="22"/>
          <w:lang w:val="es-ES_tradnl"/>
        </w:rPr>
        <w:t xml:space="preserve">. Alcance </w:t>
      </w:r>
      <w:r w:rsidR="005E20A4" w:rsidRPr="005B75D8">
        <w:rPr>
          <w:rFonts w:ascii="Arial" w:eastAsia="Calibri" w:hAnsi="Arial" w:cs="Arial"/>
          <w:b/>
          <w:bCs/>
          <w:sz w:val="22"/>
          <w:lang w:val="es-ES_tradnl"/>
        </w:rPr>
        <w:t xml:space="preserve">del régimen de inhabilidades e incompatibilidades y conflicto de interés </w:t>
      </w:r>
      <w:r w:rsidR="004165BC" w:rsidRPr="005B75D8">
        <w:rPr>
          <w:rFonts w:ascii="Arial" w:eastAsia="Calibri" w:hAnsi="Arial" w:cs="Arial"/>
          <w:b/>
          <w:bCs/>
          <w:sz w:val="22"/>
          <w:lang w:val="es-ES_tradnl"/>
        </w:rPr>
        <w:t xml:space="preserve">frente </w:t>
      </w:r>
      <w:r w:rsidR="005E20A4" w:rsidRPr="005B75D8">
        <w:rPr>
          <w:rFonts w:ascii="Arial" w:eastAsia="Calibri" w:hAnsi="Arial" w:cs="Arial"/>
          <w:b/>
          <w:bCs/>
          <w:sz w:val="22"/>
          <w:lang w:val="es-ES_tradnl"/>
        </w:rPr>
        <w:t xml:space="preserve">a los miembros del comité evaluador de ofertas de las entidades estatales </w:t>
      </w:r>
      <w:r w:rsidR="00CC72A0" w:rsidRPr="005B75D8">
        <w:rPr>
          <w:rFonts w:ascii="Arial" w:eastAsia="Calibri" w:hAnsi="Arial" w:cs="Arial"/>
          <w:b/>
          <w:bCs/>
          <w:sz w:val="22"/>
          <w:lang w:val="es-ES_tradnl"/>
        </w:rPr>
        <w:t xml:space="preserve"> </w:t>
      </w:r>
    </w:p>
    <w:p w14:paraId="42DDDF32" w14:textId="77777777" w:rsidR="00BF7C67" w:rsidRDefault="00BF7C67" w:rsidP="00BF7C67">
      <w:pPr>
        <w:widowControl w:val="0"/>
        <w:autoSpaceDE w:val="0"/>
        <w:autoSpaceDN w:val="0"/>
        <w:spacing w:after="120" w:line="276" w:lineRule="auto"/>
        <w:jc w:val="both"/>
        <w:rPr>
          <w:rFonts w:ascii="Arial" w:eastAsia="Arial" w:hAnsi="Arial" w:cs="Arial"/>
          <w:sz w:val="22"/>
          <w:lang w:val="es-ES_tradnl"/>
        </w:rPr>
      </w:pPr>
    </w:p>
    <w:p w14:paraId="4F23A8CA" w14:textId="711B6425" w:rsidR="005E20A4" w:rsidRPr="005B75D8" w:rsidRDefault="005E20A4" w:rsidP="00BF7C67">
      <w:pPr>
        <w:widowControl w:val="0"/>
        <w:autoSpaceDE w:val="0"/>
        <w:autoSpaceDN w:val="0"/>
        <w:spacing w:after="120" w:line="276" w:lineRule="auto"/>
        <w:jc w:val="both"/>
        <w:rPr>
          <w:rFonts w:ascii="Arial" w:eastAsia="Arial" w:hAnsi="Arial" w:cs="Arial"/>
          <w:sz w:val="22"/>
          <w:lang w:val="es-ES"/>
        </w:rPr>
      </w:pPr>
      <w:r w:rsidRPr="005B75D8">
        <w:rPr>
          <w:rFonts w:ascii="Arial" w:eastAsia="Arial" w:hAnsi="Arial" w:cs="Arial"/>
          <w:sz w:val="22"/>
          <w:lang w:val="es-ES_tradnl"/>
        </w:rPr>
        <w:t>D</w:t>
      </w:r>
      <w:proofErr w:type="spellStart"/>
      <w:r w:rsidR="00052739">
        <w:rPr>
          <w:rFonts w:ascii="Arial" w:eastAsia="Arial" w:hAnsi="Arial" w:cs="Arial"/>
          <w:sz w:val="22"/>
          <w:lang w:val="es-ES"/>
        </w:rPr>
        <w:t>e</w:t>
      </w:r>
      <w:proofErr w:type="spellEnd"/>
      <w:r w:rsidRPr="005B75D8">
        <w:rPr>
          <w:rFonts w:ascii="Arial" w:eastAsia="Arial" w:hAnsi="Arial" w:cs="Arial"/>
          <w:sz w:val="22"/>
          <w:lang w:val="es-ES"/>
        </w:rPr>
        <w:t xml:space="preserve"> conformidad con la pregunta planteada por el peticionario sobre si es aplicable el régimen de inhabilidades e incompatibilidades y conflicto de interés </w:t>
      </w:r>
      <w:r w:rsidR="004165BC" w:rsidRPr="005B75D8">
        <w:rPr>
          <w:rFonts w:ascii="Arial" w:eastAsia="Arial" w:hAnsi="Arial" w:cs="Arial"/>
          <w:sz w:val="22"/>
          <w:lang w:val="es-ES"/>
        </w:rPr>
        <w:t>en relación con</w:t>
      </w:r>
      <w:r w:rsidRPr="005B75D8">
        <w:rPr>
          <w:rFonts w:ascii="Arial" w:eastAsia="Arial" w:hAnsi="Arial" w:cs="Arial"/>
          <w:sz w:val="22"/>
          <w:lang w:val="es-ES"/>
        </w:rPr>
        <w:t xml:space="preserve"> los miembros del </w:t>
      </w:r>
      <w:r w:rsidRPr="005B75D8">
        <w:rPr>
          <w:rFonts w:ascii="Arial" w:eastAsia="Arial" w:hAnsi="Arial" w:cs="Arial"/>
          <w:sz w:val="22"/>
          <w:lang w:val="es-CO"/>
        </w:rPr>
        <w:t>«</w:t>
      </w:r>
      <w:r w:rsidRPr="005B75D8">
        <w:rPr>
          <w:rFonts w:ascii="Arial" w:eastAsia="Arial" w:hAnsi="Arial" w:cs="Arial"/>
          <w:sz w:val="22"/>
          <w:lang w:val="es-ES"/>
        </w:rPr>
        <w:t>comité evaluador» de ofertas de las entidades estatales, dentro de los procesos de selección, se tiene que el Decreto 1082 de 2015, en el artículo 2.2.1.1.2.2.3</w:t>
      </w:r>
      <w:r w:rsidRPr="005B75D8">
        <w:rPr>
          <w:rStyle w:val="Refdenotaalpie"/>
          <w:rFonts w:ascii="Arial" w:eastAsia="Arial" w:hAnsi="Arial" w:cs="Arial"/>
          <w:sz w:val="22"/>
          <w:lang w:val="es-ES"/>
        </w:rPr>
        <w:footnoteReference w:id="14"/>
      </w:r>
      <w:r w:rsidRPr="005B75D8">
        <w:rPr>
          <w:rFonts w:ascii="Arial" w:eastAsia="Arial" w:hAnsi="Arial" w:cs="Arial"/>
          <w:sz w:val="22"/>
          <w:lang w:val="es-ES"/>
        </w:rPr>
        <w:t>, establece que las entidades estatales pueden designar un comité evaluador, conformado por servidores públicos o por particulares contratados para evaluar las ofertas y las manifestaciones de interés para cada proceso de</w:t>
      </w:r>
      <w:r w:rsidRPr="005B75D8">
        <w:rPr>
          <w:rFonts w:ascii="Arial" w:eastAsia="Arial" w:hAnsi="Arial" w:cs="Arial"/>
          <w:spacing w:val="-5"/>
          <w:sz w:val="22"/>
          <w:lang w:val="es-ES"/>
        </w:rPr>
        <w:t xml:space="preserve"> </w:t>
      </w:r>
      <w:r w:rsidRPr="005B75D8">
        <w:rPr>
          <w:rFonts w:ascii="Arial" w:eastAsia="Arial" w:hAnsi="Arial" w:cs="Arial"/>
          <w:sz w:val="22"/>
          <w:lang w:val="es-ES"/>
        </w:rPr>
        <w:t>contratación.</w:t>
      </w:r>
    </w:p>
    <w:p w14:paraId="260F2679" w14:textId="060140CE" w:rsidR="005E20A4" w:rsidRPr="005B75D8" w:rsidRDefault="005E20A4" w:rsidP="005E20A4">
      <w:pPr>
        <w:spacing w:before="120" w:after="120" w:line="276" w:lineRule="auto"/>
        <w:ind w:firstLine="709"/>
        <w:jc w:val="both"/>
        <w:rPr>
          <w:rFonts w:ascii="Arial" w:hAnsi="Arial" w:cs="Arial"/>
          <w:sz w:val="22"/>
          <w:lang w:val="es-ES"/>
        </w:rPr>
      </w:pPr>
      <w:r w:rsidRPr="005B75D8">
        <w:rPr>
          <w:rFonts w:ascii="Arial" w:hAnsi="Arial" w:cs="Arial"/>
          <w:sz w:val="22"/>
          <w:lang w:val="es-ES"/>
        </w:rPr>
        <w:t>Las funciones principales de dicho comité son las de realizar su labor de manera objetiva conforme a las reglas exclusivas contenidas en los pliegos de condiciones, siendo su obligación valorar y calificar las ofertas en atención a lo estipulado en dichos pliegos, y a partir de la recomendación de este comité el jefe de la entidad, como responsable del Proceso de Contratación, tomar</w:t>
      </w:r>
      <w:r w:rsidR="00644E90" w:rsidRPr="005B75D8">
        <w:rPr>
          <w:rFonts w:ascii="Arial" w:hAnsi="Arial" w:cs="Arial"/>
          <w:sz w:val="22"/>
          <w:lang w:val="es-ES"/>
        </w:rPr>
        <w:t>á</w:t>
      </w:r>
      <w:r w:rsidRPr="005B75D8">
        <w:rPr>
          <w:rFonts w:ascii="Arial" w:hAnsi="Arial" w:cs="Arial"/>
          <w:sz w:val="22"/>
          <w:lang w:val="es-ES"/>
        </w:rPr>
        <w:t xml:space="preserve"> la decisión correspondiente</w:t>
      </w:r>
      <w:r w:rsidR="004165BC" w:rsidRPr="005B75D8">
        <w:rPr>
          <w:rFonts w:ascii="Arial" w:hAnsi="Arial" w:cs="Arial"/>
          <w:sz w:val="22"/>
          <w:lang w:val="es-ES"/>
        </w:rPr>
        <w:t xml:space="preserve"> en relación con el procedimiento de selección</w:t>
      </w:r>
      <w:r w:rsidRPr="005B75D8">
        <w:rPr>
          <w:rFonts w:ascii="Arial" w:hAnsi="Arial" w:cs="Arial"/>
          <w:sz w:val="22"/>
          <w:lang w:val="es-ES"/>
        </w:rPr>
        <w:t>. Por lo anterior, el límite para la decisión que adopte el comité evaluador será lo que esté previsto en el pliego de condiciones.</w:t>
      </w:r>
    </w:p>
    <w:p w14:paraId="1E853554" w14:textId="77777777" w:rsidR="007E73FE" w:rsidRDefault="005E20A4" w:rsidP="00326677">
      <w:pPr>
        <w:spacing w:before="120" w:after="120" w:line="276" w:lineRule="auto"/>
        <w:ind w:firstLine="709"/>
        <w:jc w:val="both"/>
        <w:rPr>
          <w:rFonts w:ascii="Arial" w:eastAsia="Arial" w:hAnsi="Arial" w:cs="Arial"/>
          <w:sz w:val="22"/>
          <w:lang w:val="es-ES"/>
        </w:rPr>
      </w:pPr>
      <w:r w:rsidRPr="005B75D8">
        <w:rPr>
          <w:rFonts w:ascii="Arial" w:eastAsia="Arial" w:hAnsi="Arial" w:cs="Arial"/>
          <w:sz w:val="22"/>
          <w:lang w:val="es-ES"/>
        </w:rPr>
        <w:t>En virtud de lo anterior</w:t>
      </w:r>
      <w:r w:rsidR="005C4AB9" w:rsidRPr="005B75D8">
        <w:rPr>
          <w:rFonts w:ascii="Arial" w:eastAsia="Arial" w:hAnsi="Arial" w:cs="Arial"/>
          <w:sz w:val="22"/>
          <w:lang w:val="es-ES"/>
        </w:rPr>
        <w:t>,</w:t>
      </w:r>
      <w:r w:rsidRPr="005B75D8">
        <w:rPr>
          <w:rFonts w:ascii="Arial" w:eastAsia="Arial" w:hAnsi="Arial" w:cs="Arial"/>
          <w:sz w:val="22"/>
          <w:lang w:val="es-ES"/>
        </w:rPr>
        <w:t xml:space="preserve"> el inciso segundo de la citada disposición normativa señala que los miembros del comité evaluador están sometidos al régimen de inhabilidades e incompatibilidades y conflicto de interés establecido en la Constitución y la Ley, esto debido al grado de responsabilidad que tienen estas personas frente a la labor que les ha sido </w:t>
      </w:r>
      <w:r w:rsidRPr="005B75D8">
        <w:rPr>
          <w:rFonts w:ascii="Arial" w:eastAsia="Arial" w:hAnsi="Arial" w:cs="Arial"/>
          <w:sz w:val="22"/>
          <w:lang w:val="es-ES"/>
        </w:rPr>
        <w:lastRenderedPageBreak/>
        <w:t>encomendada, siendo esta restricción razonable y proporcional, de cara a la evaluación de ofertas dentro de un proceso de selección</w:t>
      </w:r>
      <w:r w:rsidR="004165BC" w:rsidRPr="005B75D8">
        <w:rPr>
          <w:rFonts w:ascii="Arial" w:eastAsia="Arial" w:hAnsi="Arial" w:cs="Arial"/>
          <w:sz w:val="22"/>
          <w:lang w:val="es-ES"/>
        </w:rPr>
        <w:t>,</w:t>
      </w:r>
      <w:r w:rsidRPr="005B75D8">
        <w:rPr>
          <w:rFonts w:ascii="Arial" w:eastAsia="Arial" w:hAnsi="Arial" w:cs="Arial"/>
          <w:sz w:val="22"/>
          <w:lang w:val="es-ES"/>
        </w:rPr>
        <w:t xml:space="preserve"> el cual debe estar dotado de todos los principios que rigen la contratación pública, para este aspecto en específico, con primordial énfasis en</w:t>
      </w:r>
      <w:r w:rsidR="007E73FE">
        <w:rPr>
          <w:rFonts w:ascii="Arial" w:eastAsia="Arial" w:hAnsi="Arial" w:cs="Arial"/>
          <w:sz w:val="22"/>
          <w:lang w:val="es-ES"/>
        </w:rPr>
        <w:t xml:space="preserve"> el principio de transparencia.</w:t>
      </w:r>
    </w:p>
    <w:p w14:paraId="201FC45A" w14:textId="297C3EE2" w:rsidR="001872EB" w:rsidRPr="005B75D8" w:rsidRDefault="005E20A4" w:rsidP="00326677">
      <w:pPr>
        <w:spacing w:before="120" w:after="120" w:line="276" w:lineRule="auto"/>
        <w:ind w:firstLine="709"/>
        <w:jc w:val="both"/>
        <w:rPr>
          <w:rFonts w:ascii="Arial" w:eastAsia="Calibri" w:hAnsi="Arial" w:cs="Arial"/>
          <w:sz w:val="22"/>
          <w:lang w:val="es-ES_tradnl"/>
        </w:rPr>
      </w:pPr>
      <w:r w:rsidRPr="005B75D8">
        <w:rPr>
          <w:rFonts w:ascii="Arial" w:eastAsia="Calibri" w:hAnsi="Arial" w:cs="Arial"/>
          <w:sz w:val="22"/>
          <w:lang w:val="es-ES_tradnl"/>
        </w:rPr>
        <w:t xml:space="preserve">A manera de ejemplo, </w:t>
      </w:r>
      <w:r w:rsidR="004165BC" w:rsidRPr="005B75D8">
        <w:rPr>
          <w:rFonts w:ascii="Arial" w:eastAsia="Calibri" w:hAnsi="Arial" w:cs="Arial"/>
          <w:sz w:val="22"/>
          <w:lang w:val="es-ES_tradnl"/>
        </w:rPr>
        <w:t xml:space="preserve">en relación con el régimen de inhabilidades e incompatibilidades, </w:t>
      </w:r>
      <w:r w:rsidRPr="005B75D8">
        <w:rPr>
          <w:rFonts w:ascii="Arial" w:eastAsia="Calibri" w:hAnsi="Arial" w:cs="Arial"/>
          <w:sz w:val="22"/>
          <w:lang w:val="es-ES_tradnl"/>
        </w:rPr>
        <w:t xml:space="preserve">sobre una de las causales establecidas en la ley y que </w:t>
      </w:r>
      <w:r w:rsidR="004165BC" w:rsidRPr="005B75D8">
        <w:rPr>
          <w:rFonts w:ascii="Arial" w:eastAsia="Calibri" w:hAnsi="Arial" w:cs="Arial"/>
          <w:sz w:val="22"/>
          <w:lang w:val="es-ES_tradnl"/>
        </w:rPr>
        <w:t>se relaciona con el</w:t>
      </w:r>
      <w:r w:rsidRPr="005B75D8">
        <w:rPr>
          <w:rFonts w:ascii="Arial" w:eastAsia="Calibri" w:hAnsi="Arial" w:cs="Arial"/>
          <w:sz w:val="22"/>
          <w:lang w:val="es-ES_tradnl"/>
        </w:rPr>
        <w:t xml:space="preserve"> objeto de la consulta, </w:t>
      </w:r>
      <w:r w:rsidR="00A669EC" w:rsidRPr="005B75D8">
        <w:rPr>
          <w:rFonts w:ascii="Arial" w:eastAsia="Calibri" w:hAnsi="Arial" w:cs="Arial"/>
          <w:sz w:val="22"/>
          <w:lang w:val="es-ES_tradnl"/>
        </w:rPr>
        <w:t xml:space="preserve">el </w:t>
      </w:r>
      <w:r w:rsidR="001872EB" w:rsidRPr="005B75D8">
        <w:rPr>
          <w:rFonts w:ascii="Arial" w:eastAsia="Calibri" w:hAnsi="Arial" w:cs="Arial"/>
          <w:sz w:val="22"/>
          <w:lang w:val="es-ES_tradnl"/>
        </w:rPr>
        <w:t xml:space="preserve">artículo 8, literal b) del numeral 2, de la Ley 80 de 1993, </w:t>
      </w:r>
      <w:r w:rsidR="00644E90" w:rsidRPr="005B75D8">
        <w:rPr>
          <w:rFonts w:ascii="Arial" w:eastAsia="Calibri" w:hAnsi="Arial" w:cs="Arial"/>
          <w:sz w:val="22"/>
          <w:lang w:val="es-ES_tradnl"/>
        </w:rPr>
        <w:t xml:space="preserve">señala que </w:t>
      </w:r>
      <w:r w:rsidR="001872EB" w:rsidRPr="005B75D8">
        <w:rPr>
          <w:rFonts w:ascii="Arial" w:eastAsia="Calibri" w:hAnsi="Arial" w:cs="Arial"/>
          <w:sz w:val="22"/>
          <w:lang w:val="es-ES_tradnl"/>
        </w:rPr>
        <w:t>no podrán participar en procedimientos de selección ni celebrar contratos estatales con la entidad respectiva «</w:t>
      </w:r>
      <w:bookmarkStart w:id="5" w:name="_Hlk74045502"/>
      <w:r w:rsidR="001872EB" w:rsidRPr="005B75D8">
        <w:rPr>
          <w:rFonts w:ascii="Arial" w:eastAsia="Calibri" w:hAnsi="Arial" w:cs="Arial"/>
          <w:sz w:val="22"/>
          <w:lang w:val="es-ES_tradnl"/>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bookmarkEnd w:id="5"/>
      <w:r w:rsidR="001872EB" w:rsidRPr="005B75D8">
        <w:rPr>
          <w:rFonts w:ascii="Arial" w:eastAsia="Calibri" w:hAnsi="Arial" w:cs="Arial"/>
          <w:sz w:val="22"/>
          <w:lang w:val="es-ES_tradnl"/>
        </w:rPr>
        <w:t xml:space="preserve">». De acuerdo con lo explicado por la Corte Constitucional en la Sentencia C-429 de 1997, </w:t>
      </w:r>
      <w:r w:rsidR="00B51C71" w:rsidRPr="005B75D8">
        <w:rPr>
          <w:rFonts w:ascii="Arial" w:eastAsia="Calibri" w:hAnsi="Arial" w:cs="Arial"/>
          <w:sz w:val="22"/>
          <w:lang w:val="es-ES_tradnl"/>
        </w:rPr>
        <w:t xml:space="preserve">esta causal de inhabilidad </w:t>
      </w:r>
      <w:r w:rsidR="001872EB" w:rsidRPr="005B75D8">
        <w:rPr>
          <w:rFonts w:ascii="Arial" w:eastAsia="Calibri" w:hAnsi="Arial" w:cs="Arial"/>
          <w:sz w:val="22"/>
          <w:lang w:val="es-ES_tradnl"/>
        </w:rPr>
        <w:t xml:space="preserve">protege el principio de moralidad administrativa, </w:t>
      </w:r>
      <w:r w:rsidR="001E4E4A" w:rsidRPr="005B75D8">
        <w:rPr>
          <w:rFonts w:ascii="Arial" w:eastAsia="Calibri" w:hAnsi="Arial" w:cs="Arial"/>
          <w:sz w:val="22"/>
          <w:lang w:val="es-ES_tradnl"/>
        </w:rPr>
        <w:t>pues</w:t>
      </w:r>
      <w:r w:rsidR="001872EB" w:rsidRPr="005B75D8">
        <w:rPr>
          <w:rFonts w:ascii="Arial" w:eastAsia="Calibri" w:hAnsi="Arial" w:cs="Arial"/>
          <w:sz w:val="22"/>
          <w:lang w:val="es-ES_tradnl"/>
        </w:rPr>
        <w:t xml:space="preserve"> «[…]</w:t>
      </w:r>
      <w:r w:rsidR="001872EB" w:rsidRPr="005B75D8">
        <w:t xml:space="preserve"> </w:t>
      </w:r>
      <w:r w:rsidR="001872EB" w:rsidRPr="005B75D8">
        <w:rPr>
          <w:rFonts w:ascii="Arial" w:eastAsia="Calibri" w:hAnsi="Arial" w:cs="Arial"/>
          <w:sz w:val="22"/>
          <w:lang w:val="es-ES_tradnl"/>
        </w:rPr>
        <w:t>se dirige a los familiares de aquellas personas que gozan del poder de decisión de adjudicar contratos, o pueden tener influencias que razonablemente puedan determinar la decisión, pues en tales casos esos vínculos colocan en peligro la transparencia y seriedad del proceso de contratación administrativa».</w:t>
      </w:r>
    </w:p>
    <w:p w14:paraId="7DBC69CA" w14:textId="4BF72CF8" w:rsidR="001872EB" w:rsidRPr="005B75D8" w:rsidRDefault="001872EB" w:rsidP="00D83B93">
      <w:pPr>
        <w:spacing w:before="120" w:after="120" w:line="276" w:lineRule="auto"/>
        <w:ind w:firstLine="709"/>
        <w:jc w:val="both"/>
        <w:rPr>
          <w:rFonts w:ascii="Arial" w:hAnsi="Arial" w:cs="Arial"/>
          <w:color w:val="000000" w:themeColor="text1"/>
          <w:sz w:val="22"/>
        </w:rPr>
      </w:pPr>
      <w:r w:rsidRPr="005B75D8">
        <w:rPr>
          <w:rFonts w:ascii="Arial" w:eastAsia="Calibri" w:hAnsi="Arial" w:cs="Arial"/>
          <w:sz w:val="22"/>
          <w:lang w:val="es-ES_tradnl"/>
        </w:rPr>
        <w:t xml:space="preserve">Como se observa, la restricción aplica a los parientes de los servidores públicos de los niveles directivo, asesor, ejecutivo. Para estos efectos, </w:t>
      </w:r>
      <w:r w:rsidRPr="005B75D8">
        <w:rPr>
          <w:rFonts w:ascii="Arial" w:hAnsi="Arial" w:cs="Arial"/>
          <w:color w:val="000000" w:themeColor="text1"/>
          <w:sz w:val="22"/>
        </w:rPr>
        <w:t>es necesario remitirse a la normativa que rige la función pública, la cual clasifica los cargos públicos de acuerdo con su nivel jerárquico dentro la administración del orden nacional y territorial. No obstante, de acuerdo con los Decretos 770 y 785 de 2005, que regulan las funciones y requisitos de los empleos públicos de entidades del orden nacional y territorial, respectivamente, señalan como responsabilidad del Gobierno nacional la modificación de las plantas de personal para que se elimine el nivel «ejecutivo</w:t>
      </w:r>
      <w:r w:rsidRPr="005B75D8">
        <w:rPr>
          <w:rFonts w:ascii="Arial" w:hAnsi="Arial" w:cs="Arial"/>
          <w:color w:val="000000" w:themeColor="text1"/>
          <w:sz w:val="19"/>
          <w:szCs w:val="19"/>
          <w:lang w:val="es-ES"/>
        </w:rPr>
        <w:t>»</w:t>
      </w:r>
      <w:r w:rsidRPr="005B75D8">
        <w:rPr>
          <w:rFonts w:ascii="Arial" w:hAnsi="Arial" w:cs="Arial"/>
          <w:color w:val="000000" w:themeColor="text1"/>
          <w:sz w:val="22"/>
        </w:rPr>
        <w:t xml:space="preserve"> y se utilicen los niveles jerárquicos señalados por los Decretos, dentro de los cuales figuran el nivel «directivo» y «asesor», entre otros</w:t>
      </w:r>
      <w:r w:rsidRPr="005B75D8">
        <w:rPr>
          <w:rFonts w:ascii="Arial" w:hAnsi="Arial" w:cs="Arial"/>
          <w:color w:val="000000" w:themeColor="text1"/>
          <w:sz w:val="22"/>
          <w:vertAlign w:val="superscript"/>
        </w:rPr>
        <w:footnoteReference w:id="15"/>
      </w:r>
      <w:r w:rsidRPr="005B75D8">
        <w:rPr>
          <w:rFonts w:ascii="Arial" w:hAnsi="Arial" w:cs="Arial"/>
          <w:color w:val="000000" w:themeColor="text1"/>
          <w:sz w:val="22"/>
        </w:rPr>
        <w:t>.</w:t>
      </w:r>
    </w:p>
    <w:p w14:paraId="403353F5" w14:textId="713D469B" w:rsidR="001872EB" w:rsidRPr="005B75D8" w:rsidRDefault="001872EB" w:rsidP="00CC72A0">
      <w:pPr>
        <w:spacing w:before="120" w:after="120" w:line="276" w:lineRule="auto"/>
        <w:ind w:firstLine="709"/>
        <w:jc w:val="both"/>
        <w:rPr>
          <w:rFonts w:ascii="Arial" w:eastAsia="Calibri" w:hAnsi="Arial" w:cs="Arial"/>
          <w:color w:val="000000" w:themeColor="text1"/>
          <w:sz w:val="22"/>
        </w:rPr>
      </w:pPr>
      <w:r w:rsidRPr="005B75D8">
        <w:rPr>
          <w:rFonts w:ascii="Arial" w:eastAsia="Calibri" w:hAnsi="Arial" w:cs="Arial"/>
          <w:color w:val="000000" w:themeColor="text1"/>
          <w:sz w:val="22"/>
        </w:rPr>
        <w:lastRenderedPageBreak/>
        <w:t xml:space="preserve">Las definiciones del nivel </w:t>
      </w:r>
      <w:r w:rsidRPr="005B75D8">
        <w:rPr>
          <w:rFonts w:ascii="Arial" w:hAnsi="Arial" w:cs="Arial"/>
          <w:color w:val="000000" w:themeColor="text1"/>
          <w:sz w:val="22"/>
        </w:rPr>
        <w:t>«directivo»</w:t>
      </w:r>
      <w:r w:rsidRPr="005B75D8">
        <w:rPr>
          <w:rFonts w:ascii="Arial" w:eastAsia="Calibri" w:hAnsi="Arial" w:cs="Arial"/>
          <w:color w:val="000000" w:themeColor="text1"/>
          <w:sz w:val="22"/>
        </w:rPr>
        <w:t xml:space="preserve"> y del nivel </w:t>
      </w:r>
      <w:r w:rsidRPr="005B75D8">
        <w:rPr>
          <w:rFonts w:ascii="Arial" w:hAnsi="Arial" w:cs="Arial"/>
          <w:color w:val="000000" w:themeColor="text1"/>
          <w:sz w:val="22"/>
        </w:rPr>
        <w:t>«asesor»</w:t>
      </w:r>
      <w:r w:rsidRPr="005B75D8">
        <w:rPr>
          <w:rFonts w:ascii="Arial" w:eastAsia="Calibri" w:hAnsi="Arial" w:cs="Arial"/>
          <w:color w:val="000000" w:themeColor="text1"/>
          <w:sz w:val="22"/>
        </w:rPr>
        <w:t xml:space="preserve">, en los Decretos citados, están claramente diferenciadas, por lo cual el nivel directivo no es equivalente al nivel asesor, </w:t>
      </w:r>
      <w:r w:rsidR="00B51C71" w:rsidRPr="005B75D8">
        <w:rPr>
          <w:rFonts w:ascii="Arial" w:eastAsia="Calibri" w:hAnsi="Arial" w:cs="Arial"/>
          <w:color w:val="000000" w:themeColor="text1"/>
          <w:sz w:val="22"/>
        </w:rPr>
        <w:t xml:space="preserve">sino que </w:t>
      </w:r>
      <w:r w:rsidRPr="005B75D8">
        <w:rPr>
          <w:rFonts w:ascii="Arial" w:eastAsia="Calibri" w:hAnsi="Arial" w:cs="Arial"/>
          <w:color w:val="000000" w:themeColor="text1"/>
          <w:sz w:val="22"/>
        </w:rPr>
        <w:t>son diferentes y comprenden funciones generales que no se asimilan entre sí, y se dividen de acuerdo con lo requerido para cada cargo</w:t>
      </w:r>
      <w:r w:rsidRPr="005B75D8">
        <w:rPr>
          <w:rFonts w:ascii="Arial" w:eastAsia="Calibri" w:hAnsi="Arial" w:cs="Arial"/>
          <w:color w:val="000000" w:themeColor="text1"/>
          <w:sz w:val="22"/>
          <w:vertAlign w:val="superscript"/>
        </w:rPr>
        <w:footnoteReference w:id="16"/>
      </w:r>
      <w:r w:rsidRPr="005B75D8">
        <w:rPr>
          <w:rFonts w:ascii="Arial" w:eastAsia="Calibri" w:hAnsi="Arial" w:cs="Arial"/>
          <w:color w:val="000000" w:themeColor="text1"/>
          <w:sz w:val="22"/>
        </w:rPr>
        <w:t>.</w:t>
      </w:r>
    </w:p>
    <w:p w14:paraId="0C28B54D" w14:textId="49D59C5A" w:rsidR="001872EB" w:rsidRPr="005B75D8" w:rsidRDefault="001872EB" w:rsidP="00D83B93">
      <w:pPr>
        <w:spacing w:before="120" w:after="120" w:line="276" w:lineRule="auto"/>
        <w:ind w:firstLine="709"/>
        <w:jc w:val="both"/>
        <w:rPr>
          <w:rFonts w:ascii="Arial" w:eastAsia="Calibri" w:hAnsi="Arial" w:cs="Arial"/>
          <w:color w:val="000000" w:themeColor="text1"/>
          <w:sz w:val="22"/>
        </w:rPr>
      </w:pPr>
      <w:r w:rsidRPr="005B75D8">
        <w:rPr>
          <w:rFonts w:ascii="Arial" w:eastAsia="Calibri" w:hAnsi="Arial" w:cs="Arial"/>
          <w:color w:val="000000" w:themeColor="text1"/>
          <w:sz w:val="22"/>
        </w:rPr>
        <w:t xml:space="preserve">En esta medida, considerando las modificaciones introducidas por normas posteriores, </w:t>
      </w:r>
      <w:r w:rsidR="00B51C71" w:rsidRPr="005B75D8">
        <w:rPr>
          <w:rFonts w:ascii="Arial" w:eastAsia="Calibri" w:hAnsi="Arial" w:cs="Arial"/>
          <w:color w:val="000000" w:themeColor="text1"/>
          <w:sz w:val="22"/>
        </w:rPr>
        <w:t xml:space="preserve">prácticamente </w:t>
      </w:r>
      <w:r w:rsidRPr="005B75D8">
        <w:rPr>
          <w:rFonts w:ascii="Arial" w:eastAsia="Calibri" w:hAnsi="Arial" w:cs="Arial"/>
          <w:color w:val="000000" w:themeColor="text1"/>
          <w:sz w:val="22"/>
        </w:rPr>
        <w:t xml:space="preserve">ha desaparecido la referencia al nivel ejecutivo dentro de las plantas de cargos de las entidades públicas. Por tanto, la restricción prevista </w:t>
      </w:r>
      <w:r w:rsidRPr="005B75D8">
        <w:rPr>
          <w:rFonts w:ascii="Arial" w:eastAsia="Calibri" w:hAnsi="Arial" w:cs="Arial"/>
          <w:sz w:val="22"/>
          <w:lang w:val="es-ES_tradnl"/>
        </w:rPr>
        <w:t>en el artículo 8, literal b) del numeral 2, de la Ley 80 de 1993 se aplica especialmente a los parientes de los servidores públicos de los niveles directivo y asesor.</w:t>
      </w:r>
      <w:r w:rsidRPr="005B75D8">
        <w:rPr>
          <w:rFonts w:ascii="Arial" w:eastAsia="Calibri" w:hAnsi="Arial" w:cs="Arial"/>
          <w:color w:val="000000" w:themeColor="text1"/>
          <w:sz w:val="22"/>
        </w:rPr>
        <w:t xml:space="preserve"> </w:t>
      </w:r>
    </w:p>
    <w:p w14:paraId="10BFEF8A" w14:textId="77777777" w:rsidR="001872EB" w:rsidRPr="005B75D8" w:rsidRDefault="001872EB" w:rsidP="00CC72A0">
      <w:pPr>
        <w:spacing w:before="120" w:after="120" w:line="276" w:lineRule="auto"/>
        <w:ind w:firstLine="709"/>
        <w:jc w:val="both"/>
        <w:rPr>
          <w:rFonts w:ascii="Arial" w:eastAsia="Calibri" w:hAnsi="Arial" w:cs="Arial"/>
          <w:sz w:val="22"/>
          <w:lang w:val="es-ES_tradnl"/>
        </w:rPr>
      </w:pPr>
      <w:r w:rsidRPr="005B75D8">
        <w:rPr>
          <w:rFonts w:ascii="Arial" w:eastAsia="Calibri" w:hAnsi="Arial" w:cs="Arial"/>
          <w:color w:val="000000" w:themeColor="text1"/>
          <w:sz w:val="22"/>
        </w:rPr>
        <w:lastRenderedPageBreak/>
        <w:t xml:space="preserve">Igualmente, esta inhabilidad aplica a los familiares de </w:t>
      </w:r>
      <w:r w:rsidRPr="005B75D8">
        <w:rPr>
          <w:rFonts w:ascii="Arial" w:eastAsia="Calibri" w:hAnsi="Arial" w:cs="Arial"/>
          <w:sz w:val="22"/>
          <w:lang w:val="es-ES_tradnl"/>
        </w:rPr>
        <w:t>los miembros de la junta o consejo directivo. Teniendo en cuenta que el artículo 4 de los Decretos 770 y 785 de 2005 dispone que el nivel directivo «Comprende los empleos a los cuales corresponden funciones de Dirección General, de formulación de políticas institucionales y de adopción de planes, programas y proyectos», la Corte Constitucional en la decisión anteriormente citada explica que los miembros de las juntas o consejos directivos de establecimientos públicos, sociedades comerciales del Estado, empresas industriales y comerciales del Estado y sociedades de economía mixta, pertenecen a esta categoría de empleos. Además, también aplica a los parientes de las personas que ejerzan el control interno o fiscal de la entidad contratante</w:t>
      </w:r>
      <w:r w:rsidRPr="005B75D8">
        <w:rPr>
          <w:rFonts w:ascii="Arial" w:eastAsia="Calibri" w:hAnsi="Arial" w:cs="Arial"/>
          <w:sz w:val="22"/>
          <w:vertAlign w:val="superscript"/>
          <w:lang w:val="es-ES_tradnl"/>
        </w:rPr>
        <w:footnoteReference w:id="17"/>
      </w:r>
      <w:r w:rsidRPr="005B75D8">
        <w:rPr>
          <w:rFonts w:ascii="Arial" w:eastAsia="Calibri" w:hAnsi="Arial" w:cs="Arial"/>
          <w:sz w:val="22"/>
          <w:lang w:val="es-ES_tradnl"/>
        </w:rPr>
        <w:t>.</w:t>
      </w:r>
    </w:p>
    <w:p w14:paraId="2E554D30" w14:textId="66CB43D1" w:rsidR="001872EB" w:rsidRPr="005B75D8" w:rsidRDefault="001872EB" w:rsidP="00D83B93">
      <w:pPr>
        <w:spacing w:before="120" w:after="120" w:line="276" w:lineRule="auto"/>
        <w:ind w:firstLine="709"/>
        <w:jc w:val="both"/>
        <w:rPr>
          <w:rFonts w:ascii="Arial" w:eastAsia="Calibri" w:hAnsi="Arial" w:cs="Arial"/>
          <w:sz w:val="22"/>
          <w:lang w:val="es-ES_tradnl"/>
        </w:rPr>
      </w:pPr>
      <w:r w:rsidRPr="005B75D8">
        <w:rPr>
          <w:rFonts w:ascii="Arial" w:eastAsia="Calibri" w:hAnsi="Arial" w:cs="Arial"/>
          <w:color w:val="000000" w:themeColor="text1"/>
          <w:sz w:val="22"/>
        </w:rPr>
        <w:t xml:space="preserve">Naturalmente, la restricción no aplica a todos los familiares sino a los parientes «[…] </w:t>
      </w:r>
      <w:r w:rsidRPr="005B75D8">
        <w:rPr>
          <w:rFonts w:ascii="Arial" w:eastAsia="Calibri" w:hAnsi="Arial" w:cs="Arial"/>
          <w:sz w:val="22"/>
          <w:lang w:val="es-ES_tradnl"/>
        </w:rPr>
        <w:t xml:space="preserve">hasta el segundo grado de consanguinidad, segundo de afinidad o primero civil […]». </w:t>
      </w:r>
      <w:r w:rsidR="00B51C71" w:rsidRPr="005B75D8">
        <w:rPr>
          <w:rFonts w:ascii="Arial" w:eastAsia="Calibri" w:hAnsi="Arial" w:cs="Arial"/>
          <w:sz w:val="22"/>
          <w:lang w:val="es-ES_tradnl"/>
        </w:rPr>
        <w:t>De esta manera</w:t>
      </w:r>
      <w:r w:rsidRPr="005B75D8">
        <w:rPr>
          <w:rFonts w:ascii="Arial" w:eastAsia="Calibri" w:hAnsi="Arial" w:cs="Arial"/>
          <w:sz w:val="22"/>
          <w:lang w:val="es-ES_tradnl"/>
        </w:rPr>
        <w:t xml:space="preserve">, el parentesco por consanguinidad para la prohibición se restringe a los padres, hijos, abuelos, nietos y hermanos conforme a las definiciones de los artículos 35 y siguientes del Código Civil. Lo anterior, sin que pueda extenderse del tercer grado de consanguinidad en adelante, ya que no es posible la interpretación extensiva. </w:t>
      </w:r>
    </w:p>
    <w:p w14:paraId="61A60869" w14:textId="33BEE54D" w:rsidR="00346810" w:rsidRPr="005B75D8" w:rsidRDefault="004165BC" w:rsidP="00485B5F">
      <w:pPr>
        <w:spacing w:before="120" w:after="120" w:line="276" w:lineRule="auto"/>
        <w:ind w:firstLine="709"/>
        <w:jc w:val="both"/>
        <w:rPr>
          <w:rFonts w:ascii="Arial" w:eastAsia="Calibri" w:hAnsi="Arial" w:cs="Arial"/>
          <w:sz w:val="22"/>
          <w:lang w:val="es-ES_tradnl"/>
        </w:rPr>
      </w:pPr>
      <w:r w:rsidRPr="005B75D8">
        <w:rPr>
          <w:rFonts w:ascii="Arial" w:eastAsia="Calibri" w:hAnsi="Arial" w:cs="Arial"/>
          <w:sz w:val="22"/>
          <w:lang w:val="es-ES_tradnl"/>
        </w:rPr>
        <w:t xml:space="preserve">Partiendo del ejemplo de la causal anterior, que hace parte del régimen de inhabilidades e incompatibilidades, </w:t>
      </w:r>
      <w:r w:rsidR="00346810" w:rsidRPr="005B75D8">
        <w:rPr>
          <w:rFonts w:ascii="Arial" w:eastAsia="Calibri" w:hAnsi="Arial" w:cs="Arial"/>
          <w:sz w:val="22"/>
          <w:lang w:val="es-ES_tradnl"/>
        </w:rPr>
        <w:t>que</w:t>
      </w:r>
      <w:r w:rsidRPr="005B75D8">
        <w:rPr>
          <w:rFonts w:ascii="Arial" w:eastAsia="Calibri" w:hAnsi="Arial" w:cs="Arial"/>
          <w:sz w:val="22"/>
          <w:lang w:val="es-ES_tradnl"/>
        </w:rPr>
        <w:t xml:space="preserve"> constituyen</w:t>
      </w:r>
      <w:r w:rsidR="00485B5F" w:rsidRPr="005B75D8">
        <w:rPr>
          <w:rFonts w:ascii="Arial" w:eastAsia="Calibri" w:hAnsi="Arial" w:cs="Arial"/>
          <w:sz w:val="22"/>
          <w:lang w:val="es-ES_tradnl"/>
        </w:rPr>
        <w:t xml:space="preserve"> límites a la capacidad </w:t>
      </w:r>
      <w:r w:rsidRPr="005B75D8">
        <w:rPr>
          <w:rFonts w:ascii="Arial" w:eastAsia="Calibri" w:hAnsi="Arial" w:cs="Arial"/>
          <w:sz w:val="22"/>
          <w:lang w:val="es-ES_tradnl"/>
        </w:rPr>
        <w:t xml:space="preserve">jurídica </w:t>
      </w:r>
      <w:r w:rsidR="00485B5F" w:rsidRPr="005B75D8">
        <w:rPr>
          <w:rFonts w:ascii="Arial" w:eastAsia="Calibri" w:hAnsi="Arial" w:cs="Arial"/>
          <w:sz w:val="22"/>
          <w:lang w:val="es-ES_tradnl"/>
        </w:rPr>
        <w:t>de los proponentes que pretenden participar en procesos de selección llevados a cabo por entidades estatales,</w:t>
      </w:r>
      <w:r w:rsidRPr="005B75D8">
        <w:rPr>
          <w:rFonts w:ascii="Arial" w:eastAsia="Calibri" w:hAnsi="Arial" w:cs="Arial"/>
          <w:sz w:val="22"/>
          <w:lang w:val="es-ES_tradnl"/>
        </w:rPr>
        <w:t xml:space="preserve"> al igual que para suscribir contratos</w:t>
      </w:r>
      <w:r w:rsidR="00346810" w:rsidRPr="005B75D8">
        <w:rPr>
          <w:rFonts w:ascii="Arial" w:eastAsia="Calibri" w:hAnsi="Arial" w:cs="Arial"/>
          <w:sz w:val="22"/>
          <w:lang w:val="es-ES_tradnl"/>
        </w:rPr>
        <w:t>,</w:t>
      </w:r>
      <w:r w:rsidR="00485B5F" w:rsidRPr="005B75D8">
        <w:rPr>
          <w:rFonts w:ascii="Arial" w:eastAsia="Calibri" w:hAnsi="Arial" w:cs="Arial"/>
          <w:sz w:val="22"/>
          <w:lang w:val="es-ES_tradnl"/>
        </w:rPr>
        <w:t xml:space="preserve"> </w:t>
      </w:r>
      <w:r w:rsidR="00B37C12" w:rsidRPr="005B75D8">
        <w:rPr>
          <w:rFonts w:ascii="Arial" w:eastAsia="Calibri" w:hAnsi="Arial" w:cs="Arial"/>
          <w:sz w:val="22"/>
          <w:lang w:val="es-ES_tradnl"/>
        </w:rPr>
        <w:t>por lo que al</w:t>
      </w:r>
      <w:r w:rsidR="00485B5F" w:rsidRPr="005B75D8">
        <w:rPr>
          <w:rFonts w:ascii="Arial" w:eastAsia="Calibri" w:hAnsi="Arial" w:cs="Arial"/>
          <w:sz w:val="22"/>
          <w:lang w:val="es-ES_tradnl"/>
        </w:rPr>
        <w:t xml:space="preserve"> encontrarse </w:t>
      </w:r>
      <w:r w:rsidR="00346810" w:rsidRPr="005B75D8">
        <w:rPr>
          <w:rFonts w:ascii="Arial" w:eastAsia="Calibri" w:hAnsi="Arial" w:cs="Arial"/>
          <w:sz w:val="22"/>
          <w:lang w:val="es-ES_tradnl"/>
        </w:rPr>
        <w:t xml:space="preserve">que uno de los proponentes se encuentra inmerso en alguna de estas causales procedería el rechazo de la oferta. Ahora bien, estas causales de inhabilidad e incompatibilidad podrían presentarse teniendo en cuenta alguna relación entre los miembros del comité evaluador, quienes pueden ser servidores públicos, y alguno de los proponentes. Este sería el caso en que eventualmente el comité evaluador estuviera conformado por un servidor del nivel asesor, caso en el cual las personas que tengan vínculos de parentesco, hasta el segundo grado de consanguinidad, segundo de afinidad o primero civil, con dicho servidor público </w:t>
      </w:r>
      <w:r w:rsidR="00346810" w:rsidRPr="005B75D8">
        <w:rPr>
          <w:rFonts w:ascii="Arial" w:eastAsia="Calibri" w:hAnsi="Arial" w:cs="Arial"/>
          <w:sz w:val="22"/>
          <w:lang w:val="es-ES_tradnl"/>
        </w:rPr>
        <w:lastRenderedPageBreak/>
        <w:t>no podrían participar en el procedimiento de selección. Lo anterior teniendo en cuenta la causal analizada anteriormente establecida en el literal b) del numeral 2 del artículo 8 de la Ley 80 de 1993.</w:t>
      </w:r>
    </w:p>
    <w:p w14:paraId="0EFD13F0" w14:textId="0774BCE4" w:rsidR="00346810" w:rsidRPr="005B75D8" w:rsidRDefault="00346810" w:rsidP="00485B5F">
      <w:pPr>
        <w:spacing w:before="120" w:after="120" w:line="276" w:lineRule="auto"/>
        <w:ind w:firstLine="709"/>
        <w:jc w:val="both"/>
        <w:rPr>
          <w:rFonts w:ascii="Arial" w:eastAsia="Calibri" w:hAnsi="Arial" w:cs="Arial"/>
          <w:sz w:val="22"/>
          <w:lang w:val="es-ES_tradnl"/>
        </w:rPr>
      </w:pPr>
      <w:r w:rsidRPr="005B75D8">
        <w:rPr>
          <w:rFonts w:ascii="Arial" w:eastAsia="Calibri" w:hAnsi="Arial" w:cs="Arial"/>
          <w:sz w:val="22"/>
          <w:lang w:val="es-ES_tradnl"/>
        </w:rPr>
        <w:t>En todo caso, lo anterior simplemente reafirma la línea desarrolla</w:t>
      </w:r>
      <w:r w:rsidR="00FE037F" w:rsidRPr="005B75D8">
        <w:rPr>
          <w:rFonts w:ascii="Arial" w:eastAsia="Calibri" w:hAnsi="Arial" w:cs="Arial"/>
          <w:sz w:val="22"/>
          <w:lang w:val="es-ES_tradnl"/>
        </w:rPr>
        <w:t>da</w:t>
      </w:r>
      <w:r w:rsidRPr="005B75D8">
        <w:rPr>
          <w:rFonts w:ascii="Arial" w:eastAsia="Calibri" w:hAnsi="Arial" w:cs="Arial"/>
          <w:sz w:val="22"/>
          <w:lang w:val="es-ES_tradnl"/>
        </w:rPr>
        <w:t xml:space="preserve"> en el numeral 1 de este concepto, en el sentido de que las causales de inhabilidad e incompatibilidad son de interpretación restrictiva, de manera que aplican en los casos establecidos por el legislador. Ahora bien, un ejemplo como el anterior en realidad podría ser de difícil ocurrencia</w:t>
      </w:r>
      <w:r w:rsidR="003422F7" w:rsidRPr="005B75D8">
        <w:rPr>
          <w:rFonts w:ascii="Arial" w:eastAsia="Calibri" w:hAnsi="Arial" w:cs="Arial"/>
          <w:sz w:val="22"/>
          <w:lang w:val="es-ES_tradnl"/>
        </w:rPr>
        <w:t>, dado que los servidores de estos niveles no suelen ser parte en los comités de evaluación de las ofertas</w:t>
      </w:r>
      <w:r w:rsidRPr="005B75D8">
        <w:rPr>
          <w:rFonts w:ascii="Arial" w:eastAsia="Calibri" w:hAnsi="Arial" w:cs="Arial"/>
          <w:sz w:val="22"/>
          <w:lang w:val="es-ES_tradnl"/>
        </w:rPr>
        <w:t xml:space="preserve">; </w:t>
      </w:r>
      <w:r w:rsidR="003422F7" w:rsidRPr="005B75D8">
        <w:rPr>
          <w:rFonts w:ascii="Arial" w:eastAsia="Calibri" w:hAnsi="Arial" w:cs="Arial"/>
          <w:sz w:val="22"/>
          <w:lang w:val="es-ES_tradnl"/>
        </w:rPr>
        <w:t>pero ello no desvirtúa el criterio interpretativo señalado anteriormente, que consiste simplemente en aplicar el régimen de inhabilidades e incompatibilidades.</w:t>
      </w:r>
      <w:r w:rsidRPr="005B75D8">
        <w:rPr>
          <w:rFonts w:ascii="Arial" w:eastAsia="Calibri" w:hAnsi="Arial" w:cs="Arial"/>
          <w:sz w:val="22"/>
          <w:lang w:val="es-ES_tradnl"/>
        </w:rPr>
        <w:t xml:space="preserve"> </w:t>
      </w:r>
    </w:p>
    <w:p w14:paraId="756AA2AC" w14:textId="0ABDED71" w:rsidR="00374C3D" w:rsidRPr="005B75D8" w:rsidRDefault="003422F7" w:rsidP="00BF7C67">
      <w:pPr>
        <w:spacing w:before="120" w:after="120" w:line="276" w:lineRule="auto"/>
        <w:ind w:firstLine="709"/>
        <w:jc w:val="both"/>
        <w:rPr>
          <w:rFonts w:ascii="Arial" w:hAnsi="Arial" w:cs="Arial"/>
          <w:color w:val="000000" w:themeColor="text1"/>
          <w:sz w:val="22"/>
          <w:lang w:val="es-ES_tradnl"/>
        </w:rPr>
      </w:pPr>
      <w:r w:rsidRPr="005B75D8">
        <w:rPr>
          <w:rFonts w:ascii="Arial" w:eastAsia="Calibri" w:hAnsi="Arial" w:cs="Arial"/>
          <w:sz w:val="22"/>
          <w:lang w:val="es-ES_tradnl"/>
        </w:rPr>
        <w:t>En este sentido, en los casos en que eventualmente se configurara una causal de inhabilidad e incompatibilidad por alguna relación existente entre un proponente y un miembro del comité evaluador, dicho oferente no podría participar en el procedimiento de selección, por encontrarse incurso en dicha prohibición. Sin embargo, como se indicó esto sería de difícil ocurrencia, de modo que únicamente se presentaría en el evento de configurarse alguna de las causales establecidas por el legislador.</w:t>
      </w:r>
    </w:p>
    <w:p w14:paraId="28D5AE59" w14:textId="77777777" w:rsidR="003422F7" w:rsidRPr="005B75D8" w:rsidRDefault="003F2AC0" w:rsidP="00BF7C67">
      <w:pPr>
        <w:spacing w:before="120" w:after="120" w:line="276" w:lineRule="auto"/>
        <w:ind w:firstLine="709"/>
        <w:jc w:val="both"/>
        <w:rPr>
          <w:rFonts w:ascii="Arial" w:eastAsia="Calibri" w:hAnsi="Arial" w:cs="Arial"/>
          <w:color w:val="000000" w:themeColor="text1"/>
          <w:sz w:val="22"/>
          <w:lang w:val="es-ES_tradnl"/>
        </w:rPr>
      </w:pPr>
      <w:bookmarkStart w:id="7" w:name="_Hlk36672256"/>
      <w:r w:rsidRPr="005B75D8">
        <w:rPr>
          <w:rFonts w:ascii="Arial" w:eastAsia="Calibri" w:hAnsi="Arial" w:cs="Arial"/>
          <w:color w:val="000000" w:themeColor="text1"/>
          <w:sz w:val="22"/>
          <w:lang w:val="es-ES_tradnl"/>
        </w:rPr>
        <w:t xml:space="preserve">Ahora bien, </w:t>
      </w:r>
      <w:r w:rsidR="003422F7" w:rsidRPr="005B75D8">
        <w:rPr>
          <w:rFonts w:ascii="Arial" w:eastAsia="Calibri" w:hAnsi="Arial" w:cs="Arial"/>
          <w:color w:val="000000" w:themeColor="text1"/>
          <w:sz w:val="22"/>
          <w:lang w:val="es-ES_tradnl"/>
        </w:rPr>
        <w:t xml:space="preserve">un tratamiento distinto ocurre frente a los «conflictos de interés» que se le pueda presentar a uno de los miembros del comité evaluador con algún proponente, pues las consecuencias son totalmente diferentes. De esta manera, </w:t>
      </w:r>
      <w:r w:rsidRPr="005B75D8">
        <w:rPr>
          <w:rFonts w:ascii="Arial" w:eastAsia="Calibri" w:hAnsi="Arial" w:cs="Arial"/>
          <w:color w:val="000000" w:themeColor="text1"/>
          <w:sz w:val="22"/>
          <w:lang w:val="es-ES_tradnl"/>
        </w:rPr>
        <w:t>e</w:t>
      </w:r>
      <w:r w:rsidR="00374C3D" w:rsidRPr="005B75D8">
        <w:rPr>
          <w:rFonts w:ascii="Arial" w:eastAsia="Calibri" w:hAnsi="Arial" w:cs="Arial"/>
          <w:color w:val="000000" w:themeColor="text1"/>
          <w:sz w:val="22"/>
          <w:lang w:val="es-ES_tradnl"/>
        </w:rPr>
        <w:t>sta Agencia ha realizado algunos pronunciamientos sobre el régimen de los conflictos de interés en la contratación estatal, consideraciones que se retomarán y complementarán en lo pertinente</w:t>
      </w:r>
      <w:r w:rsidR="00374C3D" w:rsidRPr="005B75D8">
        <w:rPr>
          <w:rStyle w:val="Refdenotaalpie"/>
          <w:rFonts w:ascii="Arial" w:eastAsia="Calibri" w:hAnsi="Arial" w:cs="Arial"/>
          <w:color w:val="000000" w:themeColor="text1"/>
          <w:sz w:val="22"/>
          <w:lang w:val="es-ES_tradnl"/>
        </w:rPr>
        <w:footnoteReference w:id="18"/>
      </w:r>
      <w:r w:rsidR="00374C3D" w:rsidRPr="005B75D8">
        <w:rPr>
          <w:rFonts w:ascii="Arial" w:eastAsia="Calibri" w:hAnsi="Arial" w:cs="Arial"/>
          <w:color w:val="000000" w:themeColor="text1"/>
          <w:sz w:val="22"/>
          <w:lang w:val="es-ES_tradnl"/>
        </w:rPr>
        <w:t xml:space="preserve">. </w:t>
      </w:r>
    </w:p>
    <w:p w14:paraId="16EFA9AE" w14:textId="0A24AD2E" w:rsidR="00374C3D" w:rsidRPr="005B75D8" w:rsidRDefault="00374C3D" w:rsidP="00BF7C67">
      <w:pPr>
        <w:spacing w:before="120" w:after="120" w:line="276" w:lineRule="auto"/>
        <w:ind w:firstLine="709"/>
        <w:jc w:val="both"/>
        <w:rPr>
          <w:rFonts w:ascii="Arial" w:eastAsia="Calibri" w:hAnsi="Arial" w:cs="Arial"/>
          <w:color w:val="000000" w:themeColor="text1"/>
          <w:sz w:val="22"/>
          <w:lang w:val="es-ES_tradnl"/>
        </w:rPr>
      </w:pPr>
      <w:r w:rsidRPr="005B75D8">
        <w:rPr>
          <w:rFonts w:ascii="Arial" w:eastAsia="Calibri" w:hAnsi="Arial" w:cs="Arial"/>
          <w:color w:val="000000" w:themeColor="text1"/>
          <w:sz w:val="22"/>
          <w:lang w:val="es-ES_tradnl"/>
        </w:rPr>
        <w:t xml:space="preserve">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w:t>
      </w:r>
      <w:r w:rsidR="00BE5D5F" w:rsidRPr="005B75D8">
        <w:rPr>
          <w:rFonts w:ascii="Arial" w:eastAsia="Calibri" w:hAnsi="Arial" w:cs="Arial"/>
          <w:color w:val="000000" w:themeColor="text1"/>
          <w:sz w:val="22"/>
          <w:lang w:val="es-ES_tradnl"/>
        </w:rPr>
        <w:t xml:space="preserve">En desarrollo </w:t>
      </w:r>
      <w:r w:rsidRPr="005B75D8">
        <w:rPr>
          <w:rFonts w:ascii="Arial" w:eastAsia="Calibri" w:hAnsi="Arial" w:cs="Arial"/>
          <w:color w:val="000000" w:themeColor="text1"/>
          <w:sz w:val="22"/>
          <w:lang w:val="es-ES_tradnl"/>
        </w:rPr>
        <w:t xml:space="preserve">de esta directriz, </w:t>
      </w:r>
      <w:bookmarkStart w:id="8" w:name="_Hlk36672204"/>
      <w:r w:rsidRPr="005B75D8">
        <w:rPr>
          <w:rFonts w:ascii="Arial" w:eastAsia="Calibri" w:hAnsi="Arial" w:cs="Arial"/>
          <w:color w:val="000000" w:themeColor="text1"/>
          <w:sz w:val="22"/>
          <w:lang w:val="es-ES_tradnl"/>
        </w:rPr>
        <w:t xml:space="preserve">el régimen de los </w:t>
      </w:r>
      <w:r w:rsidRPr="005B75D8">
        <w:rPr>
          <w:rFonts w:ascii="Arial" w:eastAsia="Calibri" w:hAnsi="Arial" w:cs="Arial"/>
          <w:i/>
          <w:iCs/>
          <w:color w:val="000000" w:themeColor="text1"/>
          <w:sz w:val="22"/>
          <w:lang w:val="es-ES_tradnl"/>
        </w:rPr>
        <w:t>conflictos de interés</w:t>
      </w:r>
      <w:r w:rsidRPr="005B75D8">
        <w:rPr>
          <w:rFonts w:ascii="Arial" w:eastAsia="Calibri" w:hAnsi="Arial" w:cs="Arial"/>
          <w:color w:val="000000" w:themeColor="text1"/>
          <w:sz w:val="22"/>
          <w:lang w:val="es-ES_tradnl"/>
        </w:rPr>
        <w:t xml:space="preserve"> tiene como objetivo la prevalencia del bien común sobre el particular, razón por la cual se configuran cuando actúan influenciados por consideraciones personales que colisionan con el beber de preservar su independencia e imparcialidad. En este sentido, se definen como la </w:t>
      </w:r>
      <w:bookmarkStart w:id="9" w:name="_Hlk36668905"/>
      <w:r w:rsidRPr="005B75D8">
        <w:rPr>
          <w:rFonts w:ascii="Arial" w:eastAsia="Calibri" w:hAnsi="Arial" w:cs="Arial"/>
          <w:color w:val="000000" w:themeColor="text1"/>
          <w:sz w:val="22"/>
          <w:lang w:val="es-ES_tradnl"/>
        </w:rPr>
        <w:t>concurrencia de intereses antagónicos que afectan la transparencia de las decisiones, al implicar –en detrimento del interés general– el aprovechamiento personal, familiar o particular</w:t>
      </w:r>
      <w:bookmarkEnd w:id="7"/>
      <w:bookmarkEnd w:id="8"/>
      <w:bookmarkEnd w:id="9"/>
      <w:r w:rsidRPr="005B75D8">
        <w:rPr>
          <w:rStyle w:val="Refdenotaalpie"/>
          <w:rFonts w:ascii="Arial" w:eastAsia="Calibri" w:hAnsi="Arial" w:cs="Arial"/>
          <w:color w:val="000000" w:themeColor="text1"/>
          <w:sz w:val="22"/>
          <w:lang w:val="es-ES_tradnl"/>
        </w:rPr>
        <w:footnoteReference w:id="19"/>
      </w:r>
      <w:r w:rsidRPr="005B75D8">
        <w:rPr>
          <w:rFonts w:ascii="Arial" w:eastAsia="Calibri" w:hAnsi="Arial" w:cs="Arial"/>
          <w:color w:val="000000" w:themeColor="text1"/>
          <w:sz w:val="22"/>
          <w:lang w:val="es-ES_tradnl"/>
        </w:rPr>
        <w:t>.</w:t>
      </w:r>
    </w:p>
    <w:p w14:paraId="058894E1" w14:textId="54BC2228" w:rsidR="00A715F1" w:rsidRPr="005B75D8" w:rsidRDefault="00374C3D" w:rsidP="00052739">
      <w:pPr>
        <w:spacing w:before="120" w:after="120" w:line="276" w:lineRule="auto"/>
        <w:ind w:firstLine="709"/>
        <w:jc w:val="both"/>
        <w:rPr>
          <w:rFonts w:ascii="Arial" w:eastAsia="Calibri" w:hAnsi="Arial" w:cs="Arial"/>
          <w:color w:val="000000" w:themeColor="text1"/>
          <w:sz w:val="22"/>
          <w:lang w:val="es-ES_tradnl"/>
        </w:rPr>
      </w:pPr>
      <w:r w:rsidRPr="005B75D8">
        <w:rPr>
          <w:rFonts w:ascii="Arial" w:eastAsia="Calibri" w:hAnsi="Arial" w:cs="Arial"/>
          <w:color w:val="000000" w:themeColor="text1"/>
          <w:sz w:val="22"/>
          <w:lang w:val="es-ES_tradnl"/>
        </w:rPr>
        <w:lastRenderedPageBreak/>
        <w:t xml:space="preserve">La institución de los conflictos de interés no está definida con carácter general en las normas que regulan la contratación estatal, por lo que es un asunto ausente en el Estatuto General de Contratación de la Administración Pública –en adelante EGCAP–. </w:t>
      </w:r>
      <w:r w:rsidR="00DD584D" w:rsidRPr="005B75D8">
        <w:rPr>
          <w:rFonts w:ascii="Arial" w:eastAsia="Calibri" w:hAnsi="Arial" w:cs="Arial"/>
          <w:color w:val="000000" w:themeColor="text1"/>
          <w:sz w:val="22"/>
          <w:lang w:val="es-ES_tradnl"/>
        </w:rPr>
        <w:t xml:space="preserve">Sin embargo, </w:t>
      </w:r>
      <w:r w:rsidR="0095546A" w:rsidRPr="005B75D8">
        <w:rPr>
          <w:rFonts w:ascii="Arial" w:eastAsia="Calibri" w:hAnsi="Arial" w:cs="Arial"/>
          <w:color w:val="000000" w:themeColor="text1"/>
          <w:sz w:val="22"/>
          <w:lang w:val="es-ES_tradnl"/>
        </w:rPr>
        <w:t xml:space="preserve">el artículo 77 de </w:t>
      </w:r>
      <w:r w:rsidR="00DD584D" w:rsidRPr="005B75D8">
        <w:rPr>
          <w:rFonts w:ascii="Arial" w:eastAsia="Calibri" w:hAnsi="Arial" w:cs="Arial"/>
          <w:color w:val="000000" w:themeColor="text1"/>
          <w:sz w:val="22"/>
          <w:lang w:val="es-ES_tradnl"/>
        </w:rPr>
        <w:t>la Ley 80</w:t>
      </w:r>
      <w:r w:rsidR="0095546A" w:rsidRPr="005B75D8">
        <w:rPr>
          <w:rFonts w:ascii="Arial" w:eastAsia="Calibri" w:hAnsi="Arial" w:cs="Arial"/>
          <w:color w:val="000000" w:themeColor="text1"/>
          <w:sz w:val="22"/>
          <w:lang w:val="es-ES_tradnl"/>
        </w:rPr>
        <w:t xml:space="preserve"> ha señalado que «e</w:t>
      </w:r>
      <w:r w:rsidR="0095546A" w:rsidRPr="007E73FE">
        <w:rPr>
          <w:rFonts w:ascii="Arial" w:eastAsia="Calibri" w:hAnsi="Arial" w:cs="Arial"/>
          <w:color w:val="000000" w:themeColor="text1"/>
          <w:sz w:val="22"/>
          <w:lang w:val="es-ES_tradnl"/>
        </w:rPr>
        <w:t>n cuanto sean compatibles con la finalidad y los principios de esta ley, las normas que rigen los procedimientos y actuaciones en la función administrativa serán aplicables en las actuaciones contractuales</w:t>
      </w:r>
      <w:r w:rsidR="0095546A" w:rsidRPr="005B75D8">
        <w:rPr>
          <w:rFonts w:ascii="Arial" w:eastAsia="Calibri" w:hAnsi="Arial" w:cs="Arial"/>
          <w:color w:val="000000" w:themeColor="text1"/>
          <w:sz w:val="22"/>
          <w:lang w:val="es-ES_tradnl"/>
        </w:rPr>
        <w:t>»</w:t>
      </w:r>
      <w:r w:rsidR="00A715F1" w:rsidRPr="005B75D8">
        <w:rPr>
          <w:rFonts w:ascii="Arial" w:eastAsia="Calibri" w:hAnsi="Arial" w:cs="Arial"/>
          <w:color w:val="000000" w:themeColor="text1"/>
          <w:sz w:val="22"/>
          <w:lang w:val="es-ES_tradnl"/>
        </w:rPr>
        <w:t xml:space="preserve">. Esta disposición es armónica, además, con lo establecido en el artículo 2 de la Ley 1437 de 2011, Código de procedimiento Administrativo y de lo Contencioso Administrativo –CPACA–, que en su artículo segundo establece que las disposiciones de dicho código se aplicarán de forma supletiva en los aspectos no regulados en procedimientos administrativos especiales, como sería </w:t>
      </w:r>
      <w:r w:rsidR="00323CB5" w:rsidRPr="005B75D8">
        <w:rPr>
          <w:rFonts w:ascii="Arial" w:eastAsia="Calibri" w:hAnsi="Arial" w:cs="Arial"/>
          <w:color w:val="000000" w:themeColor="text1"/>
          <w:sz w:val="22"/>
          <w:lang w:val="es-ES_tradnl"/>
        </w:rPr>
        <w:t>en</w:t>
      </w:r>
      <w:r w:rsidR="00A715F1" w:rsidRPr="005B75D8">
        <w:rPr>
          <w:rFonts w:ascii="Arial" w:eastAsia="Calibri" w:hAnsi="Arial" w:cs="Arial"/>
          <w:color w:val="000000" w:themeColor="text1"/>
          <w:sz w:val="22"/>
          <w:lang w:val="es-ES_tradnl"/>
        </w:rPr>
        <w:t xml:space="preserve"> los procedimientos administrativos de selección de contratistas</w:t>
      </w:r>
      <w:r w:rsidR="00A715F1" w:rsidRPr="005B75D8">
        <w:rPr>
          <w:rStyle w:val="Refdenotaalpie"/>
          <w:rFonts w:ascii="Arial" w:eastAsia="Calibri" w:hAnsi="Arial" w:cs="Arial"/>
          <w:color w:val="000000" w:themeColor="text1"/>
          <w:sz w:val="22"/>
          <w:lang w:val="es-ES_tradnl"/>
        </w:rPr>
        <w:footnoteReference w:id="20"/>
      </w:r>
      <w:r w:rsidR="00A715F1" w:rsidRPr="005B75D8">
        <w:rPr>
          <w:rFonts w:ascii="Arial" w:eastAsia="Calibri" w:hAnsi="Arial" w:cs="Arial"/>
          <w:color w:val="000000" w:themeColor="text1"/>
          <w:sz w:val="22"/>
          <w:lang w:val="es-ES_tradnl"/>
        </w:rPr>
        <w:t xml:space="preserve">. </w:t>
      </w:r>
    </w:p>
    <w:p w14:paraId="5F554181" w14:textId="47723851" w:rsidR="00476F40" w:rsidRPr="005B75D8" w:rsidRDefault="00323CB5" w:rsidP="00476F40">
      <w:pPr>
        <w:spacing w:before="120" w:after="120" w:line="276" w:lineRule="auto"/>
        <w:ind w:firstLine="709"/>
        <w:jc w:val="both"/>
        <w:rPr>
          <w:rFonts w:ascii="Arial" w:eastAsia="Calibri" w:hAnsi="Arial" w:cs="Arial"/>
          <w:color w:val="000000" w:themeColor="text1"/>
          <w:sz w:val="22"/>
          <w:lang w:val="es-ES_tradnl"/>
        </w:rPr>
      </w:pPr>
      <w:r w:rsidRPr="005B75D8">
        <w:rPr>
          <w:rFonts w:ascii="Arial" w:eastAsia="Calibri" w:hAnsi="Arial" w:cs="Arial"/>
          <w:color w:val="000000" w:themeColor="text1"/>
          <w:sz w:val="22"/>
          <w:lang w:val="es-ES_tradnl"/>
        </w:rPr>
        <w:t xml:space="preserve">De esta manera, en los procedimientos administrativos de selección de contratistas resultan aplicables, de forma supletiva, la regulación de los conflictos de interés, las causales de impedimento y recusación, al igual que el trámite de los impedimentos y recusaciones, esto es, los artículos </w:t>
      </w:r>
      <w:r w:rsidR="00DD584D" w:rsidRPr="005B75D8">
        <w:rPr>
          <w:rFonts w:ascii="Arial" w:eastAsia="Calibri" w:hAnsi="Arial" w:cs="Arial"/>
          <w:color w:val="000000" w:themeColor="text1"/>
          <w:sz w:val="22"/>
          <w:lang w:val="es-ES_tradnl"/>
        </w:rPr>
        <w:t xml:space="preserve">11 y 12 de la Ley 1437 </w:t>
      </w:r>
      <w:r w:rsidRPr="005B75D8">
        <w:rPr>
          <w:rFonts w:ascii="Arial" w:eastAsia="Calibri" w:hAnsi="Arial" w:cs="Arial"/>
          <w:color w:val="000000" w:themeColor="text1"/>
          <w:sz w:val="22"/>
          <w:lang w:val="es-ES_tradnl"/>
        </w:rPr>
        <w:t xml:space="preserve">de 2011. De esta </w:t>
      </w:r>
      <w:r w:rsidR="007E73FE" w:rsidRPr="005B75D8">
        <w:rPr>
          <w:rFonts w:ascii="Arial" w:eastAsia="Calibri" w:hAnsi="Arial" w:cs="Arial"/>
          <w:color w:val="000000" w:themeColor="text1"/>
          <w:sz w:val="22"/>
          <w:lang w:val="es-ES_tradnl"/>
        </w:rPr>
        <w:t>manera, estos</w:t>
      </w:r>
      <w:r w:rsidR="00DC53A6" w:rsidRPr="005B75D8">
        <w:rPr>
          <w:rFonts w:ascii="Arial" w:eastAsia="Calibri" w:hAnsi="Arial" w:cs="Arial"/>
          <w:color w:val="000000" w:themeColor="text1"/>
          <w:sz w:val="22"/>
          <w:lang w:val="es-ES_tradnl"/>
        </w:rPr>
        <w:t xml:space="preserve"> aplicarían a los servidores</w:t>
      </w:r>
      <w:r w:rsidR="00374C3D" w:rsidRPr="005B75D8">
        <w:rPr>
          <w:rFonts w:ascii="Arial" w:eastAsia="Calibri" w:hAnsi="Arial" w:cs="Arial"/>
          <w:color w:val="000000" w:themeColor="text1"/>
          <w:sz w:val="22"/>
          <w:lang w:val="es-ES_tradnl"/>
        </w:rPr>
        <w:t xml:space="preserve"> que </w:t>
      </w:r>
      <w:r w:rsidR="00DC53A6" w:rsidRPr="005B75D8">
        <w:rPr>
          <w:rFonts w:ascii="Arial" w:eastAsia="Calibri" w:hAnsi="Arial" w:cs="Arial"/>
          <w:color w:val="000000" w:themeColor="text1"/>
          <w:sz w:val="22"/>
          <w:lang w:val="es-ES_tradnl"/>
        </w:rPr>
        <w:t>realizan los procedimientos de selección de contratistas por parte de la entidad estatal, dentro de los cuales se encontrarían quienes hacen parte de los comités de evaluación de las ofertas</w:t>
      </w:r>
      <w:r w:rsidR="00374C3D" w:rsidRPr="005B75D8">
        <w:rPr>
          <w:rFonts w:ascii="Arial" w:eastAsia="Calibri" w:hAnsi="Arial" w:cs="Arial"/>
          <w:color w:val="000000" w:themeColor="text1"/>
          <w:sz w:val="22"/>
          <w:lang w:val="es-ES_tradnl"/>
        </w:rPr>
        <w:t xml:space="preserve">. Por lo anterior, sus destinatarios no son los proponentes o contratistas particulares que participan en el procedimiento de selección o celebran el contrato con la entidad estatal, sino los servidores indicados. En este sentido, en caso de </w:t>
      </w:r>
      <w:r w:rsidR="00DC53A6" w:rsidRPr="005B75D8">
        <w:rPr>
          <w:rFonts w:ascii="Arial" w:eastAsia="Calibri" w:hAnsi="Arial" w:cs="Arial"/>
          <w:color w:val="000000" w:themeColor="text1"/>
          <w:sz w:val="22"/>
          <w:lang w:val="es-ES_tradnl"/>
        </w:rPr>
        <w:t xml:space="preserve">que estos servidores adviertan que incurren en </w:t>
      </w:r>
      <w:r w:rsidR="00374C3D" w:rsidRPr="005B75D8">
        <w:rPr>
          <w:rFonts w:ascii="Arial" w:eastAsia="Calibri" w:hAnsi="Arial" w:cs="Arial"/>
          <w:color w:val="000000" w:themeColor="text1"/>
          <w:sz w:val="22"/>
          <w:lang w:val="es-ES_tradnl"/>
        </w:rPr>
        <w:t xml:space="preserve">alguna de las causales establecidas en el artículo 11 del </w:t>
      </w:r>
      <w:r w:rsidR="00DC53A6" w:rsidRPr="005B75D8">
        <w:rPr>
          <w:rFonts w:ascii="Arial" w:eastAsia="Calibri" w:hAnsi="Arial" w:cs="Arial"/>
          <w:color w:val="000000" w:themeColor="text1"/>
          <w:sz w:val="22"/>
          <w:lang w:val="es-ES_tradnl"/>
        </w:rPr>
        <w:t>CPACA</w:t>
      </w:r>
      <w:r w:rsidR="00374C3D" w:rsidRPr="005B75D8">
        <w:rPr>
          <w:rFonts w:ascii="Arial" w:eastAsia="Calibri" w:hAnsi="Arial" w:cs="Arial"/>
          <w:color w:val="000000" w:themeColor="text1"/>
          <w:sz w:val="22"/>
          <w:lang w:val="es-ES_tradnl"/>
        </w:rPr>
        <w:t xml:space="preserve">, </w:t>
      </w:r>
      <w:r w:rsidR="00DC53A6" w:rsidRPr="005B75D8">
        <w:rPr>
          <w:rFonts w:ascii="Arial" w:eastAsia="Calibri" w:hAnsi="Arial" w:cs="Arial"/>
          <w:color w:val="000000" w:themeColor="text1"/>
          <w:sz w:val="22"/>
          <w:lang w:val="es-ES_tradnl"/>
        </w:rPr>
        <w:t xml:space="preserve">dada su relación, de acuerdo con las causales establecidas en dicho artículo, con alguno de los proponentes, </w:t>
      </w:r>
      <w:r w:rsidR="00374C3D" w:rsidRPr="005B75D8">
        <w:rPr>
          <w:rFonts w:ascii="Arial" w:eastAsia="Calibri" w:hAnsi="Arial" w:cs="Arial"/>
          <w:color w:val="000000" w:themeColor="text1"/>
          <w:sz w:val="22"/>
          <w:lang w:val="es-ES_tradnl"/>
        </w:rPr>
        <w:t>corresponde</w:t>
      </w:r>
      <w:r w:rsidR="00DC53A6" w:rsidRPr="005B75D8">
        <w:rPr>
          <w:rFonts w:ascii="Arial" w:eastAsia="Calibri" w:hAnsi="Arial" w:cs="Arial"/>
          <w:color w:val="000000" w:themeColor="text1"/>
          <w:sz w:val="22"/>
          <w:lang w:val="es-ES_tradnl"/>
        </w:rPr>
        <w:t>ría</w:t>
      </w:r>
      <w:r w:rsidR="00374C3D" w:rsidRPr="005B75D8">
        <w:rPr>
          <w:rFonts w:ascii="Arial" w:eastAsia="Calibri" w:hAnsi="Arial" w:cs="Arial"/>
          <w:color w:val="000000" w:themeColor="text1"/>
          <w:sz w:val="22"/>
          <w:lang w:val="es-ES_tradnl"/>
        </w:rPr>
        <w:t xml:space="preserve"> aplicar el trámite establecido en el artículo 12 de la misma ley</w:t>
      </w:r>
      <w:r w:rsidR="0095546A" w:rsidRPr="005B75D8">
        <w:rPr>
          <w:rFonts w:ascii="Arial" w:eastAsia="Calibri" w:hAnsi="Arial" w:cs="Arial"/>
          <w:color w:val="000000" w:themeColor="text1"/>
          <w:sz w:val="22"/>
          <w:lang w:val="es-ES_tradnl"/>
        </w:rPr>
        <w:t xml:space="preserve">. </w:t>
      </w:r>
      <w:r w:rsidR="00476F40" w:rsidRPr="005B75D8">
        <w:rPr>
          <w:rFonts w:ascii="Arial" w:eastAsia="Calibri" w:hAnsi="Arial" w:cs="Arial"/>
          <w:color w:val="000000" w:themeColor="text1"/>
          <w:sz w:val="22"/>
          <w:lang w:val="es-ES_tradnl"/>
        </w:rPr>
        <w:t xml:space="preserve">Sobre el particular el artículo 11 de la mencionada Ley ha </w:t>
      </w:r>
      <w:r w:rsidR="00DC53A6" w:rsidRPr="005B75D8">
        <w:rPr>
          <w:rFonts w:ascii="Arial" w:eastAsia="Calibri" w:hAnsi="Arial" w:cs="Arial"/>
          <w:color w:val="000000" w:themeColor="text1"/>
          <w:sz w:val="22"/>
          <w:lang w:val="es-ES_tradnl"/>
        </w:rPr>
        <w:t>establecido frente al</w:t>
      </w:r>
      <w:r w:rsidR="00476F40" w:rsidRPr="005B75D8">
        <w:rPr>
          <w:rFonts w:ascii="Arial" w:eastAsia="Calibri" w:hAnsi="Arial" w:cs="Arial"/>
          <w:color w:val="000000" w:themeColor="text1"/>
          <w:sz w:val="22"/>
          <w:lang w:val="es-ES_tradnl"/>
        </w:rPr>
        <w:t xml:space="preserve"> conflicto de interés </w:t>
      </w:r>
      <w:r w:rsidR="00DC53A6" w:rsidRPr="005B75D8">
        <w:rPr>
          <w:rFonts w:ascii="Arial" w:eastAsia="Calibri" w:hAnsi="Arial" w:cs="Arial"/>
          <w:color w:val="000000" w:themeColor="text1"/>
          <w:sz w:val="22"/>
          <w:lang w:val="es-ES_tradnl"/>
        </w:rPr>
        <w:t>lo siguiente</w:t>
      </w:r>
      <w:r w:rsidR="00476F40" w:rsidRPr="005B75D8">
        <w:rPr>
          <w:rFonts w:ascii="Arial" w:eastAsia="Calibri" w:hAnsi="Arial" w:cs="Arial"/>
          <w:color w:val="000000" w:themeColor="text1"/>
          <w:sz w:val="22"/>
          <w:lang w:val="es-ES_tradnl"/>
        </w:rPr>
        <w:t xml:space="preserve">: </w:t>
      </w:r>
    </w:p>
    <w:p w14:paraId="2EC418D3" w14:textId="0C561F0E" w:rsidR="00476F40" w:rsidRPr="005B75D8" w:rsidRDefault="00476F40" w:rsidP="007E73FE">
      <w:pPr>
        <w:spacing w:before="120" w:after="120"/>
        <w:ind w:left="709" w:right="709"/>
        <w:jc w:val="both"/>
        <w:rPr>
          <w:rFonts w:ascii="Arial" w:eastAsia="Calibri" w:hAnsi="Arial" w:cs="Arial"/>
          <w:color w:val="000000" w:themeColor="text1"/>
          <w:sz w:val="21"/>
          <w:szCs w:val="21"/>
          <w:lang w:val="es-ES_tradnl"/>
        </w:rPr>
      </w:pPr>
      <w:r w:rsidRPr="005B75D8">
        <w:rPr>
          <w:rFonts w:ascii="Arial" w:eastAsia="Calibri" w:hAnsi="Arial" w:cs="Arial"/>
          <w:color w:val="000000" w:themeColor="text1"/>
          <w:sz w:val="21"/>
          <w:szCs w:val="21"/>
          <w:lang w:val="es-ES_tradnl"/>
        </w:rPr>
        <w:t xml:space="preserve">Cuando el interés general propio de la función pública entre en conflicto con el interés particular y directo del servidor público, este deberá declararse impedido. </w:t>
      </w:r>
      <w:r w:rsidRPr="005B75D8">
        <w:rPr>
          <w:rFonts w:ascii="Arial" w:eastAsia="Calibri" w:hAnsi="Arial" w:cs="Arial"/>
          <w:color w:val="000000" w:themeColor="text1"/>
          <w:sz w:val="21"/>
          <w:szCs w:val="21"/>
          <w:lang w:val="es-ES_tradnl"/>
        </w:rPr>
        <w:lastRenderedPageBreak/>
        <w:t>Todo servidor público que deba adelantar o sustanciar actuaciones administrativas, realizar investigaciones, practicar pruebas o pronunciar decisiones definitivas podrá ser recusado si no manifiesta su impedimento por: […]</w:t>
      </w:r>
    </w:p>
    <w:p w14:paraId="1365C4A1" w14:textId="35E6C19C" w:rsidR="0028080D" w:rsidRPr="005B75D8" w:rsidRDefault="0028080D" w:rsidP="007E73FE">
      <w:pPr>
        <w:spacing w:before="120" w:line="276" w:lineRule="auto"/>
        <w:ind w:firstLine="709"/>
        <w:jc w:val="both"/>
        <w:rPr>
          <w:rFonts w:ascii="Arial" w:eastAsia="Calibri" w:hAnsi="Arial" w:cs="Arial"/>
          <w:color w:val="000000" w:themeColor="text1"/>
          <w:sz w:val="22"/>
          <w:lang w:val="es-ES_tradnl"/>
        </w:rPr>
      </w:pPr>
      <w:r w:rsidRPr="005B75D8">
        <w:rPr>
          <w:rFonts w:ascii="Arial" w:eastAsia="Calibri" w:hAnsi="Arial" w:cs="Arial"/>
          <w:color w:val="000000" w:themeColor="text1"/>
          <w:sz w:val="22"/>
          <w:lang w:val="es-ES_tradnl"/>
        </w:rPr>
        <w:t>De igual forma el mismo aparte normativo ha señalado las causales de impedimento y recusación</w:t>
      </w:r>
      <w:r w:rsidR="00D52D42" w:rsidRPr="005B75D8">
        <w:rPr>
          <w:rFonts w:ascii="Arial" w:eastAsia="Calibri" w:hAnsi="Arial" w:cs="Arial"/>
          <w:color w:val="000000" w:themeColor="text1"/>
          <w:sz w:val="22"/>
          <w:lang w:val="es-ES_tradnl"/>
        </w:rPr>
        <w:t xml:space="preserve">, para el caso </w:t>
      </w:r>
      <w:r w:rsidRPr="005B75D8">
        <w:rPr>
          <w:rFonts w:ascii="Arial" w:eastAsia="Calibri" w:hAnsi="Arial" w:cs="Arial"/>
          <w:color w:val="000000" w:themeColor="text1"/>
          <w:sz w:val="22"/>
          <w:lang w:val="es-ES_tradnl"/>
        </w:rPr>
        <w:t xml:space="preserve">de la consulta </w:t>
      </w:r>
      <w:r w:rsidR="00DC53A6" w:rsidRPr="005B75D8">
        <w:rPr>
          <w:rFonts w:ascii="Arial" w:eastAsia="Calibri" w:hAnsi="Arial" w:cs="Arial"/>
          <w:color w:val="000000" w:themeColor="text1"/>
          <w:sz w:val="22"/>
          <w:lang w:val="es-ES_tradnl"/>
        </w:rPr>
        <w:t>vale la pena destacar, a modo de ejemplo, la siguiente</w:t>
      </w:r>
      <w:r w:rsidRPr="005B75D8">
        <w:rPr>
          <w:rFonts w:ascii="Arial" w:eastAsia="Calibri" w:hAnsi="Arial" w:cs="Arial"/>
          <w:color w:val="000000" w:themeColor="text1"/>
          <w:sz w:val="22"/>
          <w:lang w:val="es-ES_tradnl"/>
        </w:rPr>
        <w:t xml:space="preserve">: </w:t>
      </w:r>
    </w:p>
    <w:p w14:paraId="14F8D53B" w14:textId="77777777" w:rsidR="00DC53A6" w:rsidRPr="005B75D8" w:rsidRDefault="00DC53A6" w:rsidP="007E73FE">
      <w:pPr>
        <w:spacing w:line="276" w:lineRule="auto"/>
        <w:ind w:firstLine="709"/>
        <w:jc w:val="both"/>
        <w:rPr>
          <w:rFonts w:ascii="Arial" w:eastAsia="Calibri" w:hAnsi="Arial" w:cs="Arial"/>
          <w:color w:val="000000" w:themeColor="text1"/>
          <w:sz w:val="22"/>
          <w:lang w:val="es-ES_tradnl"/>
        </w:rPr>
      </w:pPr>
    </w:p>
    <w:p w14:paraId="2EC12B0D" w14:textId="307B7C58" w:rsidR="0028080D" w:rsidRPr="005B75D8" w:rsidRDefault="0028080D" w:rsidP="00DC53A6">
      <w:pPr>
        <w:ind w:left="709" w:right="709"/>
        <w:jc w:val="both"/>
        <w:rPr>
          <w:rFonts w:ascii="Arial" w:eastAsia="Calibri" w:hAnsi="Arial" w:cs="Arial"/>
          <w:color w:val="000000" w:themeColor="text1"/>
          <w:sz w:val="21"/>
          <w:szCs w:val="21"/>
          <w:lang w:val="es-ES_tradnl"/>
        </w:rPr>
      </w:pPr>
      <w:r w:rsidRPr="007E73FE">
        <w:rPr>
          <w:rFonts w:ascii="Arial" w:eastAsia="Calibri" w:hAnsi="Arial" w:cs="Arial"/>
          <w:color w:val="000000" w:themeColor="text1"/>
          <w:sz w:val="21"/>
          <w:szCs w:val="21"/>
          <w:lang w:val="es-ES_tradnl"/>
        </w:rPr>
        <w:t xml:space="preserve">1. Tener interés particular y directo en la regulación, gestión, control o decisión del asunto, o tenerlo su </w:t>
      </w:r>
      <w:r w:rsidR="00D26D7F" w:rsidRPr="007E73FE">
        <w:rPr>
          <w:rFonts w:ascii="Arial" w:eastAsia="Calibri" w:hAnsi="Arial" w:cs="Arial"/>
          <w:color w:val="000000" w:themeColor="text1"/>
          <w:sz w:val="21"/>
          <w:szCs w:val="21"/>
          <w:lang w:val="es-ES_tradnl"/>
        </w:rPr>
        <w:t>cónyuge</w:t>
      </w:r>
      <w:r w:rsidRPr="007E73FE">
        <w:rPr>
          <w:rFonts w:ascii="Arial" w:eastAsia="Calibri" w:hAnsi="Arial" w:cs="Arial"/>
          <w:color w:val="000000" w:themeColor="text1"/>
          <w:sz w:val="21"/>
          <w:szCs w:val="21"/>
          <w:lang w:val="es-ES_tradnl"/>
        </w:rPr>
        <w:t xml:space="preserve">, compañero o compañera permanente, o alguno de </w:t>
      </w:r>
      <w:r w:rsidR="00D26D7F" w:rsidRPr="007E73FE">
        <w:rPr>
          <w:rFonts w:ascii="Arial" w:eastAsia="Calibri" w:hAnsi="Arial" w:cs="Arial"/>
          <w:color w:val="000000" w:themeColor="text1"/>
          <w:sz w:val="21"/>
          <w:szCs w:val="21"/>
          <w:lang w:val="es-ES_tradnl"/>
        </w:rPr>
        <w:t>sus</w:t>
      </w:r>
      <w:r w:rsidRPr="007E73FE">
        <w:rPr>
          <w:rFonts w:ascii="Arial" w:eastAsia="Calibri" w:hAnsi="Arial" w:cs="Arial"/>
          <w:color w:val="000000" w:themeColor="text1"/>
          <w:sz w:val="21"/>
          <w:szCs w:val="21"/>
          <w:lang w:val="es-ES_tradnl"/>
        </w:rPr>
        <w:t xml:space="preserve"> parientes dentro del cuarto grado de consanguinidad, segundo de afinidad o primero civil, o su socio o socios de hecho o de derecho. </w:t>
      </w:r>
    </w:p>
    <w:p w14:paraId="0C5E01E1" w14:textId="77777777" w:rsidR="00DC53A6" w:rsidRPr="007E73FE" w:rsidRDefault="00DC53A6" w:rsidP="007E73FE">
      <w:pPr>
        <w:ind w:left="709" w:right="709"/>
        <w:jc w:val="both"/>
        <w:rPr>
          <w:rFonts w:ascii="Arial" w:eastAsia="Calibri" w:hAnsi="Arial" w:cs="Arial"/>
          <w:color w:val="000000" w:themeColor="text1"/>
          <w:sz w:val="21"/>
          <w:szCs w:val="21"/>
          <w:lang w:val="es-ES_tradnl"/>
        </w:rPr>
      </w:pPr>
    </w:p>
    <w:p w14:paraId="27FA6A13" w14:textId="03E7606F" w:rsidR="004165BC" w:rsidRPr="005B75D8" w:rsidRDefault="00D53486" w:rsidP="0028080D">
      <w:pPr>
        <w:spacing w:before="120" w:after="120" w:line="276" w:lineRule="auto"/>
        <w:ind w:firstLine="709"/>
        <w:jc w:val="both"/>
        <w:rPr>
          <w:rFonts w:ascii="Arial" w:eastAsia="Calibri" w:hAnsi="Arial" w:cs="Arial"/>
          <w:color w:val="000000" w:themeColor="text1"/>
          <w:sz w:val="22"/>
        </w:rPr>
      </w:pPr>
      <w:r w:rsidRPr="005B75D8">
        <w:rPr>
          <w:rFonts w:ascii="Arial" w:eastAsia="Calibri" w:hAnsi="Arial" w:cs="Arial"/>
          <w:color w:val="000000" w:themeColor="text1"/>
          <w:sz w:val="22"/>
          <w:lang w:val="es-ES_tradnl"/>
        </w:rPr>
        <w:t xml:space="preserve">Por tanto, </w:t>
      </w:r>
      <w:r w:rsidR="0028080D" w:rsidRPr="005B75D8">
        <w:rPr>
          <w:rFonts w:ascii="Arial" w:eastAsia="Calibri" w:hAnsi="Arial" w:cs="Arial"/>
          <w:color w:val="000000" w:themeColor="text1"/>
          <w:sz w:val="22"/>
          <w:lang w:val="es-ES_tradnl"/>
        </w:rPr>
        <w:t xml:space="preserve">dado que el régimen de conflicto de interés también es aplicable a los miembros del comité evaluador, en </w:t>
      </w:r>
      <w:r w:rsidR="00D52D42" w:rsidRPr="005B75D8">
        <w:rPr>
          <w:rFonts w:ascii="Arial" w:eastAsia="Calibri" w:hAnsi="Arial" w:cs="Arial"/>
          <w:color w:val="000000" w:themeColor="text1"/>
          <w:sz w:val="22"/>
          <w:lang w:val="es-ES_tradnl"/>
        </w:rPr>
        <w:t xml:space="preserve">el </w:t>
      </w:r>
      <w:r w:rsidR="0028080D" w:rsidRPr="005B75D8">
        <w:rPr>
          <w:rFonts w:ascii="Arial" w:eastAsia="Calibri" w:hAnsi="Arial" w:cs="Arial"/>
          <w:color w:val="000000" w:themeColor="text1"/>
          <w:sz w:val="22"/>
          <w:lang w:val="es-ES_tradnl"/>
        </w:rPr>
        <w:t xml:space="preserve">caso </w:t>
      </w:r>
      <w:r w:rsidR="00D52D42" w:rsidRPr="005B75D8">
        <w:rPr>
          <w:rFonts w:ascii="Arial" w:eastAsia="Calibri" w:hAnsi="Arial" w:cs="Arial"/>
          <w:color w:val="000000" w:themeColor="text1"/>
          <w:sz w:val="22"/>
          <w:lang w:val="es-ES_tradnl"/>
        </w:rPr>
        <w:t xml:space="preserve">que un integrante del comité al </w:t>
      </w:r>
      <w:r w:rsidR="000C26CB" w:rsidRPr="005B75D8">
        <w:rPr>
          <w:rFonts w:ascii="Arial" w:eastAsia="Calibri" w:hAnsi="Arial" w:cs="Arial"/>
          <w:color w:val="000000" w:themeColor="text1"/>
          <w:sz w:val="22"/>
          <w:lang w:val="es-ES_tradnl"/>
        </w:rPr>
        <w:t>estudiar una oferta</w:t>
      </w:r>
      <w:r w:rsidR="00DC53A6" w:rsidRPr="005B75D8">
        <w:rPr>
          <w:rFonts w:ascii="Arial" w:eastAsia="Calibri" w:hAnsi="Arial" w:cs="Arial"/>
          <w:color w:val="000000" w:themeColor="text1"/>
          <w:sz w:val="22"/>
          <w:lang w:val="es-ES_tradnl"/>
        </w:rPr>
        <w:t>,</w:t>
      </w:r>
      <w:r w:rsidR="000C26CB" w:rsidRPr="005B75D8">
        <w:rPr>
          <w:rFonts w:ascii="Arial" w:eastAsia="Calibri" w:hAnsi="Arial" w:cs="Arial"/>
          <w:color w:val="000000" w:themeColor="text1"/>
          <w:sz w:val="22"/>
          <w:lang w:val="es-ES_tradnl"/>
        </w:rPr>
        <w:t xml:space="preserve"> </w:t>
      </w:r>
      <w:r w:rsidR="00D52D42" w:rsidRPr="005B75D8">
        <w:rPr>
          <w:rFonts w:ascii="Arial" w:eastAsia="Calibri" w:hAnsi="Arial" w:cs="Arial"/>
          <w:color w:val="000000" w:themeColor="text1"/>
          <w:sz w:val="22"/>
          <w:lang w:val="es-ES_tradnl"/>
        </w:rPr>
        <w:t xml:space="preserve">se encuentre en </w:t>
      </w:r>
      <w:r w:rsidR="0028080D" w:rsidRPr="005B75D8">
        <w:rPr>
          <w:rFonts w:ascii="Arial" w:eastAsia="Calibri" w:hAnsi="Arial" w:cs="Arial"/>
          <w:color w:val="000000" w:themeColor="text1"/>
          <w:sz w:val="22"/>
          <w:lang w:val="es-ES_tradnl"/>
        </w:rPr>
        <w:t>la situación descrita</w:t>
      </w:r>
      <w:r w:rsidR="00DC53A6" w:rsidRPr="005B75D8">
        <w:rPr>
          <w:rFonts w:ascii="Arial" w:eastAsia="Calibri" w:hAnsi="Arial" w:cs="Arial"/>
          <w:color w:val="000000" w:themeColor="text1"/>
          <w:sz w:val="22"/>
          <w:lang w:val="es-ES_tradnl"/>
        </w:rPr>
        <w:t xml:space="preserve"> o alguna de las otras establecidas en el artículo 11 de la Ley 1437 de 2011, lo procedente sería</w:t>
      </w:r>
      <w:r w:rsidR="0028080D" w:rsidRPr="005B75D8">
        <w:rPr>
          <w:rFonts w:ascii="Arial" w:eastAsia="Calibri" w:hAnsi="Arial" w:cs="Arial"/>
          <w:color w:val="000000" w:themeColor="text1"/>
          <w:sz w:val="22"/>
          <w:lang w:val="es-ES_tradnl"/>
        </w:rPr>
        <w:t xml:space="preserve"> </w:t>
      </w:r>
      <w:r w:rsidR="00D52D42" w:rsidRPr="005B75D8">
        <w:rPr>
          <w:rFonts w:ascii="Arial" w:eastAsia="Calibri" w:hAnsi="Arial" w:cs="Arial"/>
          <w:color w:val="000000" w:themeColor="text1"/>
          <w:sz w:val="22"/>
          <w:lang w:val="es-ES_tradnl"/>
        </w:rPr>
        <w:t xml:space="preserve">declararse impedido conforme lo dispone el </w:t>
      </w:r>
      <w:r w:rsidR="00D26D7F" w:rsidRPr="005B75D8">
        <w:rPr>
          <w:rFonts w:ascii="Arial" w:eastAsia="Calibri" w:hAnsi="Arial" w:cs="Arial"/>
          <w:color w:val="000000" w:themeColor="text1"/>
          <w:sz w:val="22"/>
          <w:lang w:val="es-ES_tradnl"/>
        </w:rPr>
        <w:t>artículo</w:t>
      </w:r>
      <w:r w:rsidR="0028080D" w:rsidRPr="005B75D8">
        <w:rPr>
          <w:rFonts w:ascii="Arial" w:eastAsia="Calibri" w:hAnsi="Arial" w:cs="Arial"/>
          <w:color w:val="000000" w:themeColor="text1"/>
          <w:sz w:val="22"/>
          <w:lang w:val="es-ES_tradnl"/>
        </w:rPr>
        <w:t xml:space="preserve"> 12 de la Ley 1437 de 2011</w:t>
      </w:r>
      <w:r w:rsidR="00151B13" w:rsidRPr="005B75D8">
        <w:rPr>
          <w:rFonts w:ascii="Arial" w:eastAsia="Calibri" w:hAnsi="Arial" w:cs="Arial"/>
          <w:color w:val="000000" w:themeColor="text1"/>
          <w:sz w:val="22"/>
          <w:lang w:val="es-ES_tradnl"/>
        </w:rPr>
        <w:t xml:space="preserve">. </w:t>
      </w:r>
      <w:r w:rsidR="000C26CB" w:rsidRPr="005B75D8">
        <w:rPr>
          <w:rFonts w:ascii="Arial" w:eastAsia="Calibri" w:hAnsi="Arial" w:cs="Arial"/>
          <w:color w:val="000000" w:themeColor="text1"/>
          <w:sz w:val="22"/>
          <w:lang w:val="es-ES_tradnl"/>
        </w:rPr>
        <w:t xml:space="preserve">De no hacerlo, </w:t>
      </w:r>
      <w:r w:rsidR="00151B13" w:rsidRPr="005B75D8">
        <w:rPr>
          <w:rFonts w:ascii="Arial" w:eastAsia="Calibri" w:hAnsi="Arial" w:cs="Arial"/>
          <w:color w:val="000000" w:themeColor="text1"/>
          <w:sz w:val="22"/>
          <w:lang w:val="es-ES_tradnl"/>
        </w:rPr>
        <w:t xml:space="preserve">el mismo podrá ser recusado por cualquier persona que haya detectado </w:t>
      </w:r>
      <w:r w:rsidR="00D26D7F" w:rsidRPr="005B75D8">
        <w:rPr>
          <w:rFonts w:ascii="Arial" w:eastAsia="Calibri" w:hAnsi="Arial" w:cs="Arial"/>
          <w:color w:val="000000" w:themeColor="text1"/>
          <w:sz w:val="22"/>
          <w:lang w:val="es-ES_tradnl"/>
        </w:rPr>
        <w:t xml:space="preserve">la situación siguiendo igualmente el procedimiento descrito en la </w:t>
      </w:r>
      <w:r w:rsidR="000C26CB" w:rsidRPr="005B75D8">
        <w:rPr>
          <w:rFonts w:ascii="Arial" w:eastAsia="Calibri" w:hAnsi="Arial" w:cs="Arial"/>
          <w:color w:val="000000" w:themeColor="text1"/>
          <w:sz w:val="22"/>
          <w:lang w:val="es-ES_tradnl"/>
        </w:rPr>
        <w:t>misma disposición, por afectarse su imparcialidad y objetividad.</w:t>
      </w:r>
      <w:r w:rsidR="00DC53A6" w:rsidRPr="005B75D8">
        <w:rPr>
          <w:rFonts w:ascii="Arial" w:eastAsia="Calibri" w:hAnsi="Arial" w:cs="Arial"/>
          <w:color w:val="000000" w:themeColor="text1"/>
          <w:sz w:val="22"/>
          <w:lang w:val="es-ES_tradnl"/>
        </w:rPr>
        <w:t xml:space="preserve"> </w:t>
      </w:r>
    </w:p>
    <w:p w14:paraId="755F910B" w14:textId="317F99A4" w:rsidR="00875F8B" w:rsidRPr="005B75D8" w:rsidRDefault="00875F8B" w:rsidP="00875F8B">
      <w:pPr>
        <w:widowControl w:val="0"/>
        <w:autoSpaceDE w:val="0"/>
        <w:autoSpaceDN w:val="0"/>
        <w:spacing w:line="276" w:lineRule="auto"/>
        <w:ind w:firstLine="709"/>
        <w:jc w:val="both"/>
        <w:rPr>
          <w:rFonts w:ascii="Arial" w:eastAsia="Calibri" w:hAnsi="Arial" w:cs="Arial"/>
          <w:sz w:val="22"/>
          <w:lang w:val="es-CO"/>
        </w:rPr>
      </w:pPr>
    </w:p>
    <w:p w14:paraId="50ACAD28" w14:textId="5E6B301B" w:rsidR="00305947" w:rsidRPr="005B75D8" w:rsidRDefault="00305947" w:rsidP="00E71381">
      <w:pPr>
        <w:spacing w:line="276" w:lineRule="auto"/>
        <w:jc w:val="both"/>
        <w:rPr>
          <w:rFonts w:ascii="Arial" w:eastAsia="Calibri" w:hAnsi="Arial" w:cs="Arial"/>
          <w:b/>
          <w:sz w:val="22"/>
        </w:rPr>
      </w:pPr>
      <w:r w:rsidRPr="005B75D8">
        <w:rPr>
          <w:rFonts w:ascii="Arial" w:eastAsia="Calibri" w:hAnsi="Arial" w:cs="Arial"/>
          <w:b/>
          <w:sz w:val="22"/>
        </w:rPr>
        <w:t>3. Respuesta</w:t>
      </w:r>
    </w:p>
    <w:p w14:paraId="552F3E2D" w14:textId="77777777" w:rsidR="00AB177F" w:rsidRPr="005B75D8" w:rsidRDefault="00AB177F" w:rsidP="00AB177F">
      <w:pPr>
        <w:tabs>
          <w:tab w:val="left" w:pos="426"/>
        </w:tabs>
        <w:spacing w:line="276" w:lineRule="auto"/>
        <w:jc w:val="both"/>
        <w:rPr>
          <w:rFonts w:ascii="Arial" w:eastAsia="Calibri" w:hAnsi="Arial" w:cs="Arial"/>
          <w:sz w:val="22"/>
        </w:rPr>
      </w:pPr>
    </w:p>
    <w:p w14:paraId="56390334" w14:textId="77777777" w:rsidR="00BA2314" w:rsidRPr="005B75D8" w:rsidRDefault="00BA2314" w:rsidP="00BA2314">
      <w:pPr>
        <w:tabs>
          <w:tab w:val="left" w:pos="426"/>
        </w:tabs>
        <w:ind w:left="709" w:right="709"/>
        <w:jc w:val="both"/>
        <w:rPr>
          <w:rFonts w:ascii="Arial" w:eastAsia="Calibri" w:hAnsi="Arial" w:cs="Arial"/>
          <w:sz w:val="21"/>
          <w:szCs w:val="21"/>
        </w:rPr>
      </w:pPr>
      <w:r w:rsidRPr="005B75D8">
        <w:rPr>
          <w:rFonts w:ascii="Arial" w:eastAsia="Calibri" w:hAnsi="Arial" w:cs="Arial"/>
          <w:sz w:val="21"/>
          <w:szCs w:val="21"/>
        </w:rPr>
        <w:t>«Solicito cordialmente se amplié el concepto sobre: el régimen de inhabilidades e incompatibilidades entre contratistas y miembros del comité evaluador. ¿Hasta qué grado existe inhabilidad por consanguinidad entre contratistas y miembros del comité evaluador? ¿Entre contratistas y miembros del comité de evaluación existe conflicto de intereses?».</w:t>
      </w:r>
    </w:p>
    <w:p w14:paraId="2B3ADE8F" w14:textId="30176429" w:rsidR="00D832AF" w:rsidRPr="005B75D8" w:rsidRDefault="00D832AF" w:rsidP="00BA2314">
      <w:pPr>
        <w:tabs>
          <w:tab w:val="left" w:pos="426"/>
        </w:tabs>
        <w:ind w:right="709"/>
        <w:jc w:val="both"/>
        <w:rPr>
          <w:rFonts w:ascii="Arial" w:eastAsia="Calibri" w:hAnsi="Arial" w:cs="Arial"/>
          <w:sz w:val="21"/>
          <w:szCs w:val="21"/>
        </w:rPr>
      </w:pPr>
    </w:p>
    <w:p w14:paraId="5450CAA8" w14:textId="6C720F6C" w:rsidR="0088415F" w:rsidRPr="005B75D8" w:rsidRDefault="005E55D7" w:rsidP="002F27A7">
      <w:pPr>
        <w:spacing w:after="120" w:line="276" w:lineRule="auto"/>
        <w:jc w:val="both"/>
        <w:rPr>
          <w:rFonts w:ascii="Arial" w:eastAsia="Arial" w:hAnsi="Arial" w:cs="Arial"/>
          <w:color w:val="000000"/>
          <w:sz w:val="22"/>
          <w:lang w:val="es-ES_tradnl"/>
        </w:rPr>
      </w:pPr>
      <w:r w:rsidRPr="005B75D8">
        <w:rPr>
          <w:rFonts w:ascii="Arial" w:hAnsi="Arial" w:cs="Arial"/>
          <w:sz w:val="22"/>
        </w:rPr>
        <w:t>Conforme a las consideraci</w:t>
      </w:r>
      <w:r w:rsidR="00621149" w:rsidRPr="005B75D8">
        <w:rPr>
          <w:rFonts w:ascii="Arial" w:hAnsi="Arial" w:cs="Arial"/>
          <w:sz w:val="22"/>
        </w:rPr>
        <w:t>one</w:t>
      </w:r>
      <w:r w:rsidR="00606730" w:rsidRPr="005B75D8">
        <w:rPr>
          <w:rFonts w:ascii="Arial" w:hAnsi="Arial" w:cs="Arial"/>
          <w:sz w:val="22"/>
        </w:rPr>
        <w:t>s an</w:t>
      </w:r>
      <w:r w:rsidR="00424964" w:rsidRPr="005B75D8">
        <w:rPr>
          <w:rFonts w:ascii="Arial" w:hAnsi="Arial" w:cs="Arial"/>
          <w:sz w:val="22"/>
        </w:rPr>
        <w:t xml:space="preserve">tes indicadas </w:t>
      </w:r>
      <w:r w:rsidR="00722D5C" w:rsidRPr="005B75D8">
        <w:rPr>
          <w:rFonts w:ascii="Arial" w:hAnsi="Arial" w:cs="Arial"/>
          <w:sz w:val="22"/>
        </w:rPr>
        <w:t xml:space="preserve">y al tenor del </w:t>
      </w:r>
      <w:r w:rsidR="00384AD7" w:rsidRPr="005B75D8">
        <w:rPr>
          <w:rFonts w:ascii="Arial" w:hAnsi="Arial" w:cs="Arial"/>
          <w:sz w:val="22"/>
        </w:rPr>
        <w:t>artículo</w:t>
      </w:r>
      <w:r w:rsidR="00AD4D17" w:rsidRPr="005B75D8">
        <w:rPr>
          <w:rFonts w:ascii="Arial" w:hAnsi="Arial" w:cs="Arial"/>
          <w:sz w:val="22"/>
        </w:rPr>
        <w:t xml:space="preserve"> 8° de la Ley 80 de 1993</w:t>
      </w:r>
      <w:r w:rsidR="00875F8B" w:rsidRPr="005B75D8">
        <w:rPr>
          <w:rFonts w:ascii="Arial" w:hAnsi="Arial" w:cs="Arial"/>
          <w:sz w:val="22"/>
        </w:rPr>
        <w:t>, art</w:t>
      </w:r>
      <w:r w:rsidR="002F27A7" w:rsidRPr="005B75D8">
        <w:rPr>
          <w:rFonts w:ascii="Arial" w:hAnsi="Arial" w:cs="Arial"/>
          <w:sz w:val="22"/>
        </w:rPr>
        <w:t>í</w:t>
      </w:r>
      <w:r w:rsidR="00875F8B" w:rsidRPr="005B75D8">
        <w:rPr>
          <w:rFonts w:ascii="Arial" w:hAnsi="Arial" w:cs="Arial"/>
          <w:sz w:val="22"/>
        </w:rPr>
        <w:t xml:space="preserve">culo 11 y 12 de la Ley 1437 de 2011, </w:t>
      </w:r>
      <w:r w:rsidR="00AD4D17" w:rsidRPr="005B75D8">
        <w:rPr>
          <w:rFonts w:ascii="Arial" w:hAnsi="Arial" w:cs="Arial"/>
          <w:sz w:val="22"/>
        </w:rPr>
        <w:t xml:space="preserve">el articulo </w:t>
      </w:r>
      <w:r w:rsidR="00384AD7" w:rsidRPr="005B75D8">
        <w:rPr>
          <w:rFonts w:ascii="Arial" w:eastAsia="Arial" w:hAnsi="Arial" w:cs="Arial"/>
          <w:sz w:val="22"/>
          <w:lang w:val="es-ES"/>
        </w:rPr>
        <w:t>2.2.1.1.2.2.3 del Decreto 1082</w:t>
      </w:r>
      <w:r w:rsidR="00875F8B" w:rsidRPr="005B75D8">
        <w:rPr>
          <w:rFonts w:ascii="Arial" w:eastAsia="Arial" w:hAnsi="Arial" w:cs="Arial"/>
          <w:sz w:val="22"/>
          <w:lang w:val="es-ES"/>
        </w:rPr>
        <w:t xml:space="preserve"> de 2015</w:t>
      </w:r>
      <w:r w:rsidR="00384AD7" w:rsidRPr="005B75D8">
        <w:rPr>
          <w:rFonts w:ascii="Arial" w:eastAsia="Arial" w:hAnsi="Arial" w:cs="Arial"/>
          <w:sz w:val="22"/>
          <w:lang w:val="es-ES"/>
        </w:rPr>
        <w:t xml:space="preserve"> </w:t>
      </w:r>
      <w:r w:rsidR="00875F8B" w:rsidRPr="005B75D8">
        <w:rPr>
          <w:rFonts w:ascii="Arial" w:eastAsia="Arial" w:hAnsi="Arial" w:cs="Arial"/>
          <w:sz w:val="22"/>
          <w:lang w:val="es-ES"/>
        </w:rPr>
        <w:t xml:space="preserve">y demás normas concordantes, </w:t>
      </w:r>
      <w:r w:rsidR="0088415F" w:rsidRPr="005B75D8">
        <w:rPr>
          <w:rFonts w:ascii="Arial" w:eastAsia="Arial" w:hAnsi="Arial" w:cs="Arial"/>
          <w:color w:val="000000"/>
          <w:sz w:val="22"/>
          <w:lang w:val="es-ES_tradnl"/>
        </w:rPr>
        <w:t xml:space="preserve">las inhabilidades e incompatibilidades al ser restricciones o límites especiales a la capacidad para presentar ofertas y celebrar contratos estatales, deben estar expresamente establecidas en la Constitución o la Ley, esto en virtud del principio de legalidad. </w:t>
      </w:r>
    </w:p>
    <w:p w14:paraId="1D6A7B5F" w14:textId="78510446" w:rsidR="00675412" w:rsidRPr="005B75D8" w:rsidRDefault="0088415F" w:rsidP="00BF7C67">
      <w:pPr>
        <w:spacing w:before="120" w:after="120" w:line="276" w:lineRule="auto"/>
        <w:ind w:firstLine="709"/>
        <w:jc w:val="both"/>
        <w:rPr>
          <w:rFonts w:ascii="Arial" w:eastAsia="Arial" w:hAnsi="Arial" w:cs="Arial"/>
          <w:color w:val="000000"/>
          <w:sz w:val="22"/>
          <w:lang w:val="es-ES_tradnl"/>
        </w:rPr>
      </w:pPr>
      <w:r w:rsidRPr="005B75D8">
        <w:rPr>
          <w:rFonts w:ascii="Arial" w:eastAsia="Arial" w:hAnsi="Arial" w:cs="Arial"/>
          <w:color w:val="000000"/>
          <w:sz w:val="22"/>
          <w:lang w:val="es-ES_tradnl"/>
        </w:rPr>
        <w:t>En consecuencia</w:t>
      </w:r>
      <w:r w:rsidR="00033181" w:rsidRPr="005B75D8">
        <w:rPr>
          <w:rFonts w:ascii="Arial" w:eastAsia="Arial" w:hAnsi="Arial" w:cs="Arial"/>
          <w:color w:val="000000"/>
          <w:sz w:val="22"/>
          <w:lang w:val="es-ES_tradnl"/>
        </w:rPr>
        <w:t xml:space="preserve">, el marco jurídico </w:t>
      </w:r>
      <w:r w:rsidRPr="005B75D8">
        <w:rPr>
          <w:rFonts w:ascii="Arial" w:eastAsia="Arial" w:hAnsi="Arial" w:cs="Arial"/>
          <w:color w:val="000000"/>
          <w:sz w:val="22"/>
          <w:lang w:val="es-ES_tradnl"/>
        </w:rPr>
        <w:t>ha señalado que a los miembros del comité evaluador de los diferentes procesos de selección que lleven a cabo las entidades estatales, están sometidos al régimen de inhabilidades, incompatibilidades y conflictos de interés</w:t>
      </w:r>
      <w:r w:rsidR="0037188C" w:rsidRPr="005B75D8">
        <w:rPr>
          <w:rFonts w:ascii="Arial" w:eastAsia="Arial" w:hAnsi="Arial" w:cs="Arial"/>
          <w:color w:val="000000"/>
          <w:sz w:val="22"/>
          <w:lang w:val="es-ES_tradnl"/>
        </w:rPr>
        <w:t xml:space="preserve">. </w:t>
      </w:r>
      <w:r w:rsidR="002F27A7" w:rsidRPr="005B75D8">
        <w:rPr>
          <w:rFonts w:ascii="Arial" w:eastAsia="Arial" w:hAnsi="Arial" w:cs="Arial"/>
          <w:color w:val="000000"/>
          <w:sz w:val="22"/>
          <w:lang w:val="es-ES_tradnl"/>
        </w:rPr>
        <w:t>Ahora bien</w:t>
      </w:r>
      <w:r w:rsidR="0037188C" w:rsidRPr="005B75D8">
        <w:rPr>
          <w:rFonts w:ascii="Arial" w:eastAsia="Arial" w:hAnsi="Arial" w:cs="Arial"/>
          <w:color w:val="000000"/>
          <w:sz w:val="22"/>
          <w:lang w:val="es-ES_tradnl"/>
        </w:rPr>
        <w:t>,</w:t>
      </w:r>
      <w:r w:rsidRPr="005B75D8">
        <w:rPr>
          <w:rFonts w:ascii="Arial" w:eastAsia="Arial" w:hAnsi="Arial" w:cs="Arial"/>
          <w:color w:val="000000"/>
          <w:sz w:val="22"/>
          <w:lang w:val="es-ES_tradnl"/>
        </w:rPr>
        <w:t xml:space="preserve"> </w:t>
      </w:r>
      <w:r w:rsidR="007B5B11" w:rsidRPr="005B75D8">
        <w:rPr>
          <w:rFonts w:ascii="Arial" w:eastAsia="Arial" w:hAnsi="Arial" w:cs="Arial"/>
          <w:color w:val="000000"/>
          <w:sz w:val="22"/>
          <w:lang w:val="es-ES_tradnl"/>
        </w:rPr>
        <w:t xml:space="preserve">si un oferente se encuentra dentro de una de las causales de inhabilidad o incompatibilidad establecidas por la ley con </w:t>
      </w:r>
      <w:r w:rsidR="0037188C" w:rsidRPr="005B75D8">
        <w:rPr>
          <w:rFonts w:ascii="Arial" w:eastAsia="Arial" w:hAnsi="Arial" w:cs="Arial"/>
          <w:color w:val="000000"/>
          <w:sz w:val="22"/>
          <w:lang w:val="es-ES_tradnl"/>
        </w:rPr>
        <w:t xml:space="preserve">uno de </w:t>
      </w:r>
      <w:r w:rsidR="002F27A7" w:rsidRPr="005B75D8">
        <w:rPr>
          <w:rFonts w:ascii="Arial" w:eastAsia="Arial" w:hAnsi="Arial" w:cs="Arial"/>
          <w:color w:val="000000"/>
          <w:sz w:val="22"/>
          <w:lang w:val="es-ES_tradnl"/>
        </w:rPr>
        <w:t>los integrantes del comité evaluador</w:t>
      </w:r>
      <w:r w:rsidR="006B4093" w:rsidRPr="005B75D8">
        <w:rPr>
          <w:rFonts w:ascii="Arial" w:eastAsia="Arial" w:hAnsi="Arial" w:cs="Arial"/>
          <w:color w:val="000000"/>
          <w:sz w:val="22"/>
          <w:lang w:val="es-ES_tradnl"/>
        </w:rPr>
        <w:t>,</w:t>
      </w:r>
      <w:r w:rsidR="00241448" w:rsidRPr="005B75D8">
        <w:rPr>
          <w:rFonts w:ascii="Arial" w:eastAsia="Arial" w:hAnsi="Arial" w:cs="Arial"/>
          <w:color w:val="000000"/>
          <w:sz w:val="22"/>
          <w:lang w:val="es-ES_tradnl"/>
        </w:rPr>
        <w:t xml:space="preserve"> </w:t>
      </w:r>
      <w:r w:rsidR="006B4093" w:rsidRPr="005B75D8">
        <w:rPr>
          <w:rFonts w:ascii="Arial" w:eastAsia="Arial" w:hAnsi="Arial" w:cs="Arial"/>
          <w:color w:val="000000"/>
          <w:sz w:val="22"/>
          <w:lang w:val="es-ES_tradnl"/>
        </w:rPr>
        <w:t xml:space="preserve">esto </w:t>
      </w:r>
      <w:r w:rsidR="0037188C" w:rsidRPr="005B75D8">
        <w:rPr>
          <w:rFonts w:ascii="Arial" w:eastAsia="Arial" w:hAnsi="Arial" w:cs="Arial"/>
          <w:color w:val="000000"/>
          <w:sz w:val="22"/>
          <w:lang w:val="es-ES_tradnl"/>
        </w:rPr>
        <w:t xml:space="preserve">conlleva a </w:t>
      </w:r>
      <w:r w:rsidR="00241448" w:rsidRPr="005B75D8">
        <w:rPr>
          <w:rFonts w:ascii="Arial" w:eastAsia="Arial" w:hAnsi="Arial" w:cs="Arial"/>
          <w:color w:val="000000"/>
          <w:sz w:val="22"/>
          <w:lang w:val="es-ES_tradnl"/>
        </w:rPr>
        <w:t>la afectación de la capacidad jurídica del proponente</w:t>
      </w:r>
      <w:r w:rsidR="0037188C" w:rsidRPr="005B75D8">
        <w:rPr>
          <w:rFonts w:ascii="Arial" w:eastAsia="Arial" w:hAnsi="Arial" w:cs="Arial"/>
          <w:color w:val="000000"/>
          <w:sz w:val="22"/>
          <w:lang w:val="es-ES_tradnl"/>
        </w:rPr>
        <w:t xml:space="preserve">, </w:t>
      </w:r>
      <w:r w:rsidR="006C2612" w:rsidRPr="005B75D8">
        <w:rPr>
          <w:rFonts w:ascii="Arial" w:eastAsia="Arial" w:hAnsi="Arial" w:cs="Arial"/>
          <w:color w:val="000000"/>
          <w:sz w:val="22"/>
          <w:lang w:val="es-ES_tradnl"/>
        </w:rPr>
        <w:t xml:space="preserve">por lo que no podría </w:t>
      </w:r>
      <w:r w:rsidR="006C2612" w:rsidRPr="005B75D8">
        <w:rPr>
          <w:rFonts w:ascii="Arial" w:eastAsia="Arial" w:hAnsi="Arial" w:cs="Arial"/>
          <w:color w:val="000000"/>
          <w:sz w:val="22"/>
          <w:lang w:val="es-ES_tradnl"/>
        </w:rPr>
        <w:lastRenderedPageBreak/>
        <w:t>participar en el procedimiento de selección</w:t>
      </w:r>
      <w:r w:rsidR="00675412" w:rsidRPr="005B75D8">
        <w:rPr>
          <w:rFonts w:ascii="Arial" w:eastAsia="Arial" w:hAnsi="Arial" w:cs="Arial"/>
          <w:color w:val="000000"/>
          <w:sz w:val="22"/>
          <w:lang w:val="es-ES_tradnl"/>
        </w:rPr>
        <w:t>.</w:t>
      </w:r>
      <w:r w:rsidR="006C2612" w:rsidRPr="005B75D8">
        <w:rPr>
          <w:rFonts w:ascii="Arial" w:eastAsia="Arial" w:hAnsi="Arial" w:cs="Arial"/>
          <w:color w:val="000000"/>
          <w:sz w:val="22"/>
          <w:lang w:val="es-ES_tradnl"/>
        </w:rPr>
        <w:t xml:space="preserve"> Lo anterior, siempre que se presente alguna de las causales establecidas en la ley, las cuales como se expresó, serían de difícil configuración, por lo que se remite al peticionario a las consideraciones</w:t>
      </w:r>
      <w:r w:rsidR="002F27A7" w:rsidRPr="005B75D8">
        <w:rPr>
          <w:rFonts w:ascii="Arial" w:eastAsia="Arial" w:hAnsi="Arial" w:cs="Arial"/>
          <w:color w:val="000000"/>
          <w:sz w:val="22"/>
          <w:lang w:val="es-ES_tradnl"/>
        </w:rPr>
        <w:t xml:space="preserve"> donde se profundizó en la idea anterior.</w:t>
      </w:r>
    </w:p>
    <w:p w14:paraId="5A43D65F" w14:textId="7E9EB00B" w:rsidR="0088415F" w:rsidRDefault="00443DB5" w:rsidP="00BF7C67">
      <w:pPr>
        <w:spacing w:before="120" w:line="276" w:lineRule="auto"/>
        <w:ind w:firstLine="709"/>
        <w:jc w:val="both"/>
        <w:rPr>
          <w:rFonts w:ascii="Arial" w:eastAsia="Calibri" w:hAnsi="Arial" w:cs="Arial"/>
          <w:sz w:val="22"/>
          <w:lang w:val="es-ES_tradnl"/>
        </w:rPr>
      </w:pPr>
      <w:r w:rsidRPr="005B75D8">
        <w:rPr>
          <w:rFonts w:ascii="Arial" w:eastAsia="Calibri" w:hAnsi="Arial" w:cs="Arial"/>
          <w:sz w:val="22"/>
          <w:lang w:val="es-ES_tradnl"/>
        </w:rPr>
        <w:t>Ahora bien, e</w:t>
      </w:r>
      <w:r w:rsidR="00E16BCB" w:rsidRPr="005B75D8">
        <w:rPr>
          <w:rFonts w:ascii="Arial" w:eastAsia="Calibri" w:hAnsi="Arial" w:cs="Arial"/>
          <w:sz w:val="22"/>
          <w:lang w:val="es-ES_tradnl"/>
        </w:rPr>
        <w:t xml:space="preserve">n el caso de presentarse un </w:t>
      </w:r>
      <w:r w:rsidR="00E16BCB" w:rsidRPr="005B75D8">
        <w:rPr>
          <w:rFonts w:ascii="Arial" w:eastAsia="Calibri" w:hAnsi="Arial" w:cs="Arial"/>
          <w:i/>
          <w:iCs/>
          <w:sz w:val="22"/>
          <w:lang w:val="es-ES_tradnl"/>
        </w:rPr>
        <w:t>conflicto de interés</w:t>
      </w:r>
      <w:r w:rsidR="00E16BCB" w:rsidRPr="005B75D8">
        <w:rPr>
          <w:rFonts w:ascii="Arial" w:eastAsia="Calibri" w:hAnsi="Arial" w:cs="Arial"/>
          <w:sz w:val="22"/>
          <w:lang w:val="es-ES_tradnl"/>
        </w:rPr>
        <w:t xml:space="preserve"> </w:t>
      </w:r>
      <w:r w:rsidR="007B5B11" w:rsidRPr="005B75D8">
        <w:rPr>
          <w:rFonts w:ascii="Arial" w:eastAsia="Calibri" w:hAnsi="Arial" w:cs="Arial"/>
          <w:sz w:val="22"/>
          <w:lang w:val="es-ES_tradnl"/>
        </w:rPr>
        <w:t xml:space="preserve">entre un oferente y un integrante del comité evaluador, </w:t>
      </w:r>
      <w:r w:rsidR="00E16BCB" w:rsidRPr="005B75D8">
        <w:rPr>
          <w:rFonts w:ascii="Arial" w:eastAsia="Calibri" w:hAnsi="Arial" w:cs="Arial"/>
          <w:sz w:val="22"/>
          <w:lang w:val="es-ES_tradnl"/>
        </w:rPr>
        <w:t xml:space="preserve">la consecuencia </w:t>
      </w:r>
      <w:r w:rsidR="007B5B11" w:rsidRPr="005B75D8">
        <w:rPr>
          <w:rFonts w:ascii="Arial" w:eastAsia="Calibri" w:hAnsi="Arial" w:cs="Arial"/>
          <w:sz w:val="22"/>
          <w:lang w:val="es-ES_tradnl"/>
        </w:rPr>
        <w:t>jurídica</w:t>
      </w:r>
      <w:r w:rsidR="00180E2A" w:rsidRPr="005B75D8">
        <w:rPr>
          <w:rFonts w:ascii="Arial" w:eastAsia="Calibri" w:hAnsi="Arial" w:cs="Arial"/>
          <w:sz w:val="22"/>
          <w:lang w:val="es-ES_tradnl"/>
        </w:rPr>
        <w:t xml:space="preserve"> para este último</w:t>
      </w:r>
      <w:r w:rsidR="007B5B11" w:rsidRPr="005B75D8">
        <w:rPr>
          <w:rFonts w:ascii="Arial" w:eastAsia="Calibri" w:hAnsi="Arial" w:cs="Arial"/>
          <w:sz w:val="22"/>
          <w:lang w:val="es-ES_tradnl"/>
        </w:rPr>
        <w:t xml:space="preserve"> será declararse impedido para evalua</w:t>
      </w:r>
      <w:r w:rsidR="003C434E" w:rsidRPr="005B75D8">
        <w:rPr>
          <w:rFonts w:ascii="Arial" w:eastAsia="Calibri" w:hAnsi="Arial" w:cs="Arial"/>
          <w:sz w:val="22"/>
          <w:lang w:val="es-ES_tradnl"/>
        </w:rPr>
        <w:t>r</w:t>
      </w:r>
      <w:r w:rsidR="007B5B11" w:rsidRPr="005B75D8">
        <w:rPr>
          <w:rFonts w:ascii="Arial" w:eastAsia="Calibri" w:hAnsi="Arial" w:cs="Arial"/>
          <w:sz w:val="22"/>
          <w:lang w:val="es-ES_tradnl"/>
        </w:rPr>
        <w:t xml:space="preserve"> las propuestas</w:t>
      </w:r>
      <w:r w:rsidRPr="005B75D8">
        <w:rPr>
          <w:rFonts w:ascii="Arial" w:eastAsia="Calibri" w:hAnsi="Arial" w:cs="Arial"/>
          <w:sz w:val="22"/>
          <w:lang w:val="es-ES_tradnl"/>
        </w:rPr>
        <w:t xml:space="preserve"> y realizar actuaciones en dicho procedimiento de selección</w:t>
      </w:r>
      <w:r w:rsidR="007B5B11" w:rsidRPr="005B75D8">
        <w:rPr>
          <w:rFonts w:ascii="Arial" w:eastAsia="Calibri" w:hAnsi="Arial" w:cs="Arial"/>
          <w:sz w:val="22"/>
          <w:lang w:val="es-ES_tradnl"/>
        </w:rPr>
        <w:t xml:space="preserve">. De no manifestar su impedimento, </w:t>
      </w:r>
      <w:r w:rsidR="00E10D3E" w:rsidRPr="005B75D8">
        <w:rPr>
          <w:rFonts w:ascii="Arial" w:eastAsia="Calibri" w:hAnsi="Arial" w:cs="Arial"/>
          <w:sz w:val="22"/>
          <w:lang w:val="es-ES_tradnl"/>
        </w:rPr>
        <w:t>podr</w:t>
      </w:r>
      <w:r w:rsidRPr="005B75D8">
        <w:rPr>
          <w:rFonts w:ascii="Arial" w:eastAsia="Calibri" w:hAnsi="Arial" w:cs="Arial"/>
          <w:sz w:val="22"/>
          <w:lang w:val="es-ES_tradnl"/>
        </w:rPr>
        <w:t>ía</w:t>
      </w:r>
      <w:r w:rsidR="00E10D3E" w:rsidRPr="005B75D8">
        <w:rPr>
          <w:rFonts w:ascii="Arial" w:eastAsia="Calibri" w:hAnsi="Arial" w:cs="Arial"/>
          <w:sz w:val="22"/>
          <w:lang w:val="es-ES_tradnl"/>
        </w:rPr>
        <w:t xml:space="preserve"> ser recusado</w:t>
      </w:r>
      <w:r w:rsidRPr="005B75D8">
        <w:rPr>
          <w:rFonts w:ascii="Arial" w:eastAsia="Calibri" w:hAnsi="Arial" w:cs="Arial"/>
          <w:sz w:val="22"/>
          <w:lang w:val="es-ES_tradnl"/>
        </w:rPr>
        <w:t xml:space="preserve">. En tal sentido, como se expresó, las causales de impedimento y recusación por presentarse un conflicto de interés frente a uno de los miembros del comité evaluador serían las establecidas en el artículo 11 de la Ley 1437 de 2011 y su trámite se adelantaría de acuerdo con el artículo 12 de esta misma ley. </w:t>
      </w:r>
    </w:p>
    <w:p w14:paraId="28D4A051" w14:textId="77777777" w:rsidR="00BF7C67" w:rsidRPr="00BF7C67" w:rsidRDefault="00BF7C67" w:rsidP="00BF7C67">
      <w:pPr>
        <w:spacing w:before="120" w:line="276" w:lineRule="auto"/>
        <w:ind w:firstLine="709"/>
        <w:jc w:val="both"/>
        <w:rPr>
          <w:rFonts w:ascii="Arial" w:eastAsia="Calibri" w:hAnsi="Arial" w:cs="Arial"/>
          <w:sz w:val="22"/>
          <w:lang w:val="es-ES_tradnl"/>
        </w:rPr>
      </w:pPr>
    </w:p>
    <w:p w14:paraId="426B5DCA" w14:textId="3B5623DB" w:rsidR="00214878" w:rsidRPr="00E91076" w:rsidRDefault="00214878" w:rsidP="00C21E1B">
      <w:pPr>
        <w:spacing w:line="276" w:lineRule="auto"/>
        <w:jc w:val="both"/>
        <w:rPr>
          <w:rFonts w:ascii="Arial" w:eastAsia="Calibri" w:hAnsi="Arial" w:cs="Arial"/>
          <w:sz w:val="22"/>
        </w:rPr>
      </w:pPr>
      <w:r w:rsidRPr="00E91076">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E91076" w:rsidRDefault="0002551F" w:rsidP="00C21E1B">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7D73C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FC6667" w14:textId="1669EF20" w:rsidR="009C0366" w:rsidRPr="00E91076" w:rsidRDefault="0013140B"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7907607C" wp14:editId="3AE4637E">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E91076" w:rsidRDefault="008D7064"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 xml:space="preserve">Jorge Alberto García Calume </w:t>
            </w:r>
            <w:r w:rsidR="00A60725" w:rsidRPr="00E91076">
              <w:rPr>
                <w:rFonts w:ascii="Arial" w:eastAsia="Times New Roman" w:hAnsi="Arial" w:cs="Arial"/>
                <w:sz w:val="14"/>
                <w:szCs w:val="14"/>
                <w:lang w:eastAsia="es-ES"/>
              </w:rPr>
              <w:t xml:space="preserve"> </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199EE643" w:rsidR="0014392D" w:rsidRPr="00E91076" w:rsidRDefault="00E522C5" w:rsidP="00DF0F8E">
            <w:pPr>
              <w:rPr>
                <w:rFonts w:ascii="Arial" w:hAnsi="Arial" w:cs="Arial"/>
                <w:sz w:val="14"/>
                <w:szCs w:val="14"/>
                <w:lang w:eastAsia="es-ES"/>
              </w:rPr>
            </w:pPr>
            <w:r w:rsidRPr="00E91076">
              <w:rPr>
                <w:rFonts w:ascii="Arial" w:hAnsi="Arial" w:cs="Arial"/>
                <w:sz w:val="14"/>
                <w:szCs w:val="14"/>
                <w:lang w:eastAsia="es-ES"/>
              </w:rPr>
              <w:t xml:space="preserve">Sebastián Ramírez Grisales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33F5" w14:textId="77777777" w:rsidR="007B3DAF" w:rsidRDefault="007B3DAF">
      <w:r>
        <w:separator/>
      </w:r>
    </w:p>
  </w:endnote>
  <w:endnote w:type="continuationSeparator" w:id="0">
    <w:p w14:paraId="00541F52" w14:textId="77777777" w:rsidR="007B3DAF" w:rsidRDefault="007B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3D5DAAE1" w:rsidR="003644CA" w:rsidRPr="00970582" w:rsidRDefault="003644CA" w:rsidP="00214878">
    <w:pPr>
      <w:pStyle w:val="Piedepgina"/>
      <w:jc w:val="right"/>
      <w:rPr>
        <w:rFonts w:ascii="Arial" w:hAnsi="Arial" w:cs="Arial"/>
        <w:color w:val="7F7F7F"/>
        <w:sz w:val="16"/>
        <w:szCs w:val="16"/>
      </w:rPr>
    </w:pPr>
    <w:r w:rsidRPr="00970582">
      <w:rPr>
        <w:rFonts w:ascii="Arial" w:hAnsi="Arial" w:cs="Arial"/>
        <w:bCs/>
        <w:color w:val="7F7F7F"/>
        <w:sz w:val="16"/>
        <w:szCs w:val="16"/>
      </w:rPr>
      <w:t xml:space="preserve">Página </w:t>
    </w:r>
    <w:r w:rsidRPr="00970582">
      <w:rPr>
        <w:rFonts w:ascii="Arial" w:hAnsi="Arial" w:cs="Arial"/>
        <w:b/>
        <w:bCs/>
        <w:color w:val="7F7F7F"/>
        <w:sz w:val="16"/>
        <w:szCs w:val="16"/>
      </w:rPr>
      <w:fldChar w:fldCharType="begin"/>
    </w:r>
    <w:r w:rsidRPr="00970582">
      <w:rPr>
        <w:rFonts w:ascii="Arial" w:hAnsi="Arial" w:cs="Arial"/>
        <w:b/>
        <w:bCs/>
        <w:color w:val="7F7F7F"/>
        <w:sz w:val="16"/>
        <w:szCs w:val="16"/>
      </w:rPr>
      <w:instrText>PAGE  \* Arabic  \* MERGEFORMAT</w:instrText>
    </w:r>
    <w:r w:rsidRPr="00970582">
      <w:rPr>
        <w:rFonts w:ascii="Arial" w:hAnsi="Arial" w:cs="Arial"/>
        <w:b/>
        <w:bCs/>
        <w:color w:val="7F7F7F"/>
        <w:sz w:val="16"/>
        <w:szCs w:val="16"/>
      </w:rPr>
      <w:fldChar w:fldCharType="separate"/>
    </w:r>
    <w:r w:rsidR="0013140B">
      <w:rPr>
        <w:rFonts w:ascii="Arial" w:hAnsi="Arial" w:cs="Arial"/>
        <w:b/>
        <w:bCs/>
        <w:noProof/>
        <w:color w:val="7F7F7F"/>
        <w:sz w:val="16"/>
        <w:szCs w:val="16"/>
      </w:rPr>
      <w:t>16</w:t>
    </w:r>
    <w:r w:rsidRPr="00970582">
      <w:rPr>
        <w:rFonts w:ascii="Arial" w:hAnsi="Arial" w:cs="Arial"/>
        <w:b/>
        <w:bCs/>
        <w:color w:val="7F7F7F"/>
        <w:sz w:val="16"/>
        <w:szCs w:val="16"/>
      </w:rPr>
      <w:fldChar w:fldCharType="end"/>
    </w:r>
    <w:r w:rsidRPr="00970582">
      <w:rPr>
        <w:rFonts w:ascii="Arial" w:hAnsi="Arial" w:cs="Arial"/>
        <w:color w:val="7F7F7F"/>
        <w:sz w:val="16"/>
        <w:szCs w:val="16"/>
      </w:rPr>
      <w:t xml:space="preserve"> de </w:t>
    </w:r>
    <w:r w:rsidRPr="00970582">
      <w:rPr>
        <w:rFonts w:ascii="Arial" w:hAnsi="Arial" w:cs="Arial"/>
        <w:b/>
        <w:bCs/>
        <w:color w:val="7F7F7F"/>
        <w:sz w:val="16"/>
        <w:szCs w:val="16"/>
      </w:rPr>
      <w:fldChar w:fldCharType="begin"/>
    </w:r>
    <w:r w:rsidRPr="00970582">
      <w:rPr>
        <w:rFonts w:ascii="Arial" w:hAnsi="Arial" w:cs="Arial"/>
        <w:b/>
        <w:bCs/>
        <w:color w:val="7F7F7F"/>
        <w:sz w:val="16"/>
        <w:szCs w:val="16"/>
      </w:rPr>
      <w:instrText>NUMPAGES  \* Arabic  \* MERGEFORMAT</w:instrText>
    </w:r>
    <w:r w:rsidRPr="00970582">
      <w:rPr>
        <w:rFonts w:ascii="Arial" w:hAnsi="Arial" w:cs="Arial"/>
        <w:b/>
        <w:bCs/>
        <w:color w:val="7F7F7F"/>
        <w:sz w:val="16"/>
        <w:szCs w:val="16"/>
      </w:rPr>
      <w:fldChar w:fldCharType="separate"/>
    </w:r>
    <w:r w:rsidR="0013140B">
      <w:rPr>
        <w:rFonts w:ascii="Arial" w:hAnsi="Arial" w:cs="Arial"/>
        <w:b/>
        <w:bCs/>
        <w:noProof/>
        <w:color w:val="7F7F7F"/>
        <w:sz w:val="16"/>
        <w:szCs w:val="16"/>
      </w:rPr>
      <w:t>16</w:t>
    </w:r>
    <w:r w:rsidRPr="00970582">
      <w:rPr>
        <w:rFonts w:ascii="Arial" w:hAnsi="Arial" w:cs="Arial"/>
        <w:b/>
        <w:bCs/>
        <w:color w:val="7F7F7F"/>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43D0879D" w14:textId="77777777" w:rsidR="00AC7FE2" w:rsidRDefault="00AC7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E646" w14:textId="77777777" w:rsidR="007B3DAF" w:rsidRDefault="007B3DAF">
      <w:r>
        <w:separator/>
      </w:r>
    </w:p>
  </w:footnote>
  <w:footnote w:type="continuationSeparator" w:id="0">
    <w:p w14:paraId="306EC777" w14:textId="77777777" w:rsidR="007B3DAF" w:rsidRDefault="007B3DAF">
      <w:r>
        <w:continuationSeparator/>
      </w:r>
    </w:p>
  </w:footnote>
  <w:footnote w:id="1">
    <w:p w14:paraId="6C6FAF45"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13A3CCE6" w14:textId="77777777" w:rsidR="00374C3D" w:rsidRPr="00A715F1" w:rsidRDefault="00374C3D" w:rsidP="00A715F1">
      <w:pPr>
        <w:pStyle w:val="Textonotapie"/>
        <w:ind w:firstLine="709"/>
        <w:jc w:val="both"/>
        <w:rPr>
          <w:rFonts w:ascii="Arial" w:eastAsia="Calibri" w:hAnsi="Arial" w:cs="Arial"/>
          <w:color w:val="000000" w:themeColor="text1"/>
          <w:sz w:val="19"/>
          <w:szCs w:val="19"/>
          <w:lang w:val="es-CO"/>
        </w:rPr>
      </w:pPr>
      <w:r w:rsidRPr="00A715F1">
        <w:rPr>
          <w:rFonts w:ascii="Arial" w:hAnsi="Arial" w:cs="Arial"/>
          <w:color w:val="000000" w:themeColor="text1"/>
          <w:sz w:val="19"/>
          <w:szCs w:val="19"/>
        </w:rPr>
        <w:t>»Las personas jurídicas nacionales y extranjeras deberán acreditar que su duración no será inferior a la del plazo del contrato y un año más».</w:t>
      </w:r>
    </w:p>
    <w:p w14:paraId="0DF85D83" w14:textId="77777777" w:rsidR="00374C3D" w:rsidRPr="00A715F1" w:rsidRDefault="00374C3D" w:rsidP="00A715F1">
      <w:pPr>
        <w:pStyle w:val="Textonotapie"/>
        <w:ind w:firstLine="709"/>
        <w:jc w:val="both"/>
        <w:rPr>
          <w:rFonts w:ascii="Arial" w:hAnsi="Arial" w:cs="Arial"/>
          <w:color w:val="000000" w:themeColor="text1"/>
          <w:sz w:val="19"/>
          <w:szCs w:val="19"/>
        </w:rPr>
      </w:pPr>
    </w:p>
  </w:footnote>
  <w:footnote w:id="2">
    <w:p w14:paraId="0C2828C9"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7BB1515A"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Fonts w:ascii="Arial" w:hAnsi="Arial" w:cs="Arial"/>
          <w:color w:val="000000" w:themeColor="text1"/>
          <w:sz w:val="19"/>
          <w:szCs w:val="19"/>
        </w:rPr>
        <w:t>»1o.) que sea legalmente capaz.</w:t>
      </w:r>
    </w:p>
    <w:p w14:paraId="5C8ADB96"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Fonts w:ascii="Arial" w:hAnsi="Arial" w:cs="Arial"/>
          <w:color w:val="000000" w:themeColor="text1"/>
          <w:sz w:val="19"/>
          <w:szCs w:val="19"/>
        </w:rPr>
        <w:t>[…]</w:t>
      </w:r>
    </w:p>
    <w:p w14:paraId="5616E6ED"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Fonts w:ascii="Arial" w:hAnsi="Arial" w:cs="Arial"/>
          <w:color w:val="000000" w:themeColor="text1"/>
          <w:sz w:val="19"/>
          <w:szCs w:val="19"/>
        </w:rPr>
        <w:t>»La capacidad legal de una persona consiste en poderse obligar por sí misma, sin el ministerio o la autorización de otra».</w:t>
      </w:r>
    </w:p>
    <w:p w14:paraId="47A5FF58" w14:textId="77777777" w:rsidR="00374C3D" w:rsidRPr="00A715F1" w:rsidRDefault="00374C3D" w:rsidP="00A715F1">
      <w:pPr>
        <w:pStyle w:val="Textonotapie"/>
        <w:ind w:firstLine="709"/>
        <w:jc w:val="both"/>
        <w:rPr>
          <w:rFonts w:ascii="Arial" w:hAnsi="Arial" w:cs="Arial"/>
          <w:color w:val="000000" w:themeColor="text1"/>
          <w:sz w:val="19"/>
          <w:szCs w:val="19"/>
        </w:rPr>
      </w:pPr>
    </w:p>
  </w:footnote>
  <w:footnote w:id="3">
    <w:p w14:paraId="4641A65D"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A715F1">
        <w:rPr>
          <w:rFonts w:ascii="Arial" w:hAnsi="Arial" w:cs="Arial"/>
          <w:i/>
          <w:iCs/>
          <w:color w:val="000000" w:themeColor="text1"/>
          <w:sz w:val="19"/>
          <w:szCs w:val="19"/>
          <w:lang w:val="es-ES"/>
        </w:rPr>
        <w:t>el régimen de inhabilidades e incompatibilidades</w:t>
      </w:r>
      <w:r w:rsidRPr="00A715F1">
        <w:rPr>
          <w:rFonts w:ascii="Arial" w:hAnsi="Arial" w:cs="Arial"/>
          <w:color w:val="000000" w:themeColor="text1"/>
          <w:sz w:val="19"/>
          <w:szCs w:val="19"/>
          <w:lang w:val="es-ES"/>
        </w:rPr>
        <w:t xml:space="preserve"> (1) y la obligación de ciertos proponentes de inscribirse en el </w:t>
      </w:r>
      <w:r w:rsidRPr="00A715F1">
        <w:rPr>
          <w:rFonts w:ascii="Arial" w:hAnsi="Arial" w:cs="Arial"/>
          <w:i/>
          <w:iCs/>
          <w:color w:val="000000" w:themeColor="text1"/>
          <w:sz w:val="19"/>
          <w:szCs w:val="19"/>
          <w:lang w:val="es-ES"/>
        </w:rPr>
        <w:t>registro único</w:t>
      </w:r>
      <w:r w:rsidRPr="00A715F1">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5F981DFE"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4">
    <w:p w14:paraId="69C37BCD"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color w:val="000000" w:themeColor="text1"/>
          <w:sz w:val="19"/>
          <w:szCs w:val="19"/>
          <w:lang w:val="es-ES"/>
        </w:rPr>
        <w:t>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0B716235"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5">
    <w:p w14:paraId="17D152F7"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color w:val="000000" w:themeColor="text1"/>
          <w:sz w:val="19"/>
          <w:szCs w:val="19"/>
          <w:lang w:val="es-ES"/>
        </w:rPr>
        <w:t>Ibíd., p. 69.</w:t>
      </w:r>
    </w:p>
    <w:p w14:paraId="54687AB0"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6">
    <w:p w14:paraId="38E32400" w14:textId="3C013B93" w:rsidR="00374C3D" w:rsidRPr="00A715F1" w:rsidRDefault="00374C3D" w:rsidP="00A715F1">
      <w:pPr>
        <w:pStyle w:val="Textonotapie"/>
        <w:ind w:firstLine="709"/>
        <w:jc w:val="both"/>
        <w:rPr>
          <w:rFonts w:ascii="Arial" w:hAnsi="Arial" w:cs="Arial"/>
          <w:color w:val="000000" w:themeColor="text1"/>
          <w:sz w:val="19"/>
          <w:szCs w:val="19"/>
          <w:lang w:val="es-ES"/>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footnote>
  <w:footnote w:id="7">
    <w:p w14:paraId="7CE8E7FE"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0E18ECDE"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8">
    <w:p w14:paraId="6D43C235"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5B7E68FB"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9">
    <w:p w14:paraId="1B8E5D99"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3FA96616" w14:textId="77777777" w:rsidR="00374C3D" w:rsidRPr="00A715F1" w:rsidRDefault="00374C3D" w:rsidP="00A715F1">
      <w:pPr>
        <w:pStyle w:val="Textonotapie"/>
        <w:ind w:firstLine="709"/>
        <w:jc w:val="both"/>
        <w:rPr>
          <w:rFonts w:ascii="Arial" w:hAnsi="Arial" w:cs="Arial"/>
          <w:color w:val="000000" w:themeColor="text1"/>
          <w:sz w:val="19"/>
          <w:szCs w:val="19"/>
          <w:lang w:val="es-ES"/>
        </w:rPr>
      </w:pPr>
    </w:p>
  </w:footnote>
  <w:footnote w:id="10">
    <w:p w14:paraId="60BE39F9" w14:textId="77777777" w:rsidR="00374C3D" w:rsidRPr="00A715F1" w:rsidRDefault="00374C3D" w:rsidP="00A715F1">
      <w:pPr>
        <w:pStyle w:val="Textonotapie"/>
        <w:ind w:firstLine="708"/>
        <w:jc w:val="both"/>
        <w:rPr>
          <w:rFonts w:ascii="Arial" w:hAnsi="Arial" w:cs="Arial"/>
          <w:color w:val="000000" w:themeColor="text1"/>
          <w:sz w:val="19"/>
          <w:szCs w:val="19"/>
          <w:lang w:val="es-CO"/>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w:t>
      </w:r>
      <w:r w:rsidRPr="00A715F1">
        <w:rPr>
          <w:rFonts w:ascii="Arial" w:hAnsi="Arial" w:cs="Arial"/>
          <w:i/>
          <w:iCs/>
          <w:color w:val="000000" w:themeColor="text1"/>
          <w:sz w:val="19"/>
          <w:szCs w:val="19"/>
        </w:rPr>
        <w:t>Ibid</w:t>
      </w:r>
      <w:r w:rsidRPr="00A715F1">
        <w:rPr>
          <w:rFonts w:ascii="Arial" w:hAnsi="Arial" w:cs="Arial"/>
          <w:color w:val="000000" w:themeColor="text1"/>
          <w:sz w:val="19"/>
          <w:szCs w:val="19"/>
        </w:rPr>
        <w:t xml:space="preserve">. </w:t>
      </w:r>
    </w:p>
    <w:p w14:paraId="7CC2F971" w14:textId="77777777" w:rsidR="00374C3D" w:rsidRPr="00A715F1" w:rsidRDefault="00374C3D" w:rsidP="00A715F1">
      <w:pPr>
        <w:pStyle w:val="Textonotapie"/>
        <w:ind w:firstLine="708"/>
        <w:jc w:val="both"/>
        <w:rPr>
          <w:rFonts w:ascii="Arial" w:hAnsi="Arial" w:cs="Arial"/>
          <w:color w:val="000000" w:themeColor="text1"/>
          <w:sz w:val="19"/>
          <w:szCs w:val="19"/>
        </w:rPr>
      </w:pPr>
    </w:p>
  </w:footnote>
  <w:footnote w:id="11">
    <w:p w14:paraId="5EE86B25" w14:textId="77777777" w:rsidR="00374C3D" w:rsidRPr="00A715F1" w:rsidRDefault="00374C3D" w:rsidP="00A715F1">
      <w:pPr>
        <w:pStyle w:val="Textonotapie"/>
        <w:ind w:firstLine="708"/>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Cfr. CORTE CONSTITUCIONAL. Sentencia C-780 de 2001. M.P. Jaime Córdoba Triviño.</w:t>
      </w:r>
    </w:p>
    <w:p w14:paraId="15635777" w14:textId="77777777" w:rsidR="00374C3D" w:rsidRPr="00A715F1" w:rsidRDefault="00374C3D" w:rsidP="00A715F1">
      <w:pPr>
        <w:pStyle w:val="Textonotapie"/>
        <w:ind w:firstLine="708"/>
        <w:jc w:val="both"/>
        <w:rPr>
          <w:rFonts w:ascii="Arial" w:hAnsi="Arial" w:cs="Arial"/>
          <w:color w:val="000000" w:themeColor="text1"/>
          <w:sz w:val="19"/>
          <w:szCs w:val="19"/>
        </w:rPr>
      </w:pPr>
      <w:r w:rsidRPr="00A715F1">
        <w:rPr>
          <w:rFonts w:ascii="Arial" w:hAnsi="Arial" w:cs="Arial"/>
          <w:color w:val="000000" w:themeColor="text1"/>
          <w:sz w:val="19"/>
          <w:szCs w:val="19"/>
        </w:rPr>
        <w:t xml:space="preserve"> </w:t>
      </w:r>
    </w:p>
  </w:footnote>
  <w:footnote w:id="12">
    <w:p w14:paraId="1F1F2EB9" w14:textId="77777777" w:rsidR="00374C3D" w:rsidRPr="00A715F1" w:rsidRDefault="00374C3D" w:rsidP="00A715F1">
      <w:pPr>
        <w:pStyle w:val="Textonotapie"/>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0A50356B" w14:textId="77777777" w:rsidR="00374C3D" w:rsidRPr="00A715F1" w:rsidRDefault="00374C3D" w:rsidP="00A715F1">
      <w:pPr>
        <w:pStyle w:val="Textonotapie"/>
        <w:ind w:firstLine="709"/>
        <w:jc w:val="both"/>
        <w:rPr>
          <w:rFonts w:ascii="Arial" w:hAnsi="Arial" w:cs="Arial"/>
          <w:color w:val="000000" w:themeColor="text1"/>
          <w:sz w:val="19"/>
          <w:szCs w:val="19"/>
        </w:rPr>
      </w:pPr>
    </w:p>
  </w:footnote>
  <w:footnote w:id="13">
    <w:p w14:paraId="421E04EA" w14:textId="3078475A" w:rsidR="00374C3D" w:rsidRPr="00A715F1" w:rsidRDefault="00374C3D" w:rsidP="00A715F1">
      <w:pPr>
        <w:ind w:firstLine="709"/>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CONSEJO DE ESTADO. Sala de Consulta y Servicio Civil. Concepto del 29 de abril de 1998. Rad. 1097. C.P. Augusto Trejos Jaramillo. </w:t>
      </w:r>
    </w:p>
    <w:p w14:paraId="11562416" w14:textId="77777777" w:rsidR="00C7628E" w:rsidRPr="00A715F1" w:rsidRDefault="00C7628E" w:rsidP="00A715F1">
      <w:pPr>
        <w:ind w:firstLine="709"/>
        <w:jc w:val="both"/>
        <w:rPr>
          <w:rFonts w:ascii="Arial" w:hAnsi="Arial" w:cs="Arial"/>
          <w:color w:val="000000" w:themeColor="text1"/>
          <w:sz w:val="19"/>
          <w:szCs w:val="19"/>
        </w:rPr>
      </w:pPr>
    </w:p>
  </w:footnote>
  <w:footnote w:id="14">
    <w:p w14:paraId="4A1C3C08" w14:textId="77777777" w:rsidR="005E20A4" w:rsidRPr="00A715F1" w:rsidRDefault="005E20A4" w:rsidP="00A715F1">
      <w:pPr>
        <w:widowControl w:val="0"/>
        <w:autoSpaceDE w:val="0"/>
        <w:autoSpaceDN w:val="0"/>
        <w:ind w:firstLine="707"/>
        <w:jc w:val="both"/>
        <w:rPr>
          <w:rFonts w:ascii="Arial" w:eastAsia="Arial" w:hAnsi="Arial" w:cs="Arial"/>
          <w:sz w:val="19"/>
          <w:szCs w:val="19"/>
          <w:lang w:val="es-ES"/>
        </w:rPr>
      </w:pPr>
      <w:r w:rsidRPr="00A715F1">
        <w:rPr>
          <w:rStyle w:val="Refdenotaalpie"/>
          <w:rFonts w:ascii="Arial" w:hAnsi="Arial" w:cs="Arial"/>
          <w:sz w:val="19"/>
          <w:szCs w:val="19"/>
        </w:rPr>
        <w:footnoteRef/>
      </w:r>
      <w:r w:rsidRPr="00A715F1">
        <w:rPr>
          <w:rFonts w:ascii="Arial" w:hAnsi="Arial" w:cs="Arial"/>
          <w:sz w:val="19"/>
          <w:szCs w:val="19"/>
        </w:rPr>
        <w:t xml:space="preserve"> «</w:t>
      </w:r>
      <w:r w:rsidRPr="00A715F1">
        <w:rPr>
          <w:rFonts w:ascii="Arial" w:eastAsia="Arial" w:hAnsi="Arial" w:cs="Arial"/>
          <w:sz w:val="19"/>
          <w:szCs w:val="19"/>
          <w:lang w:val="es-ES"/>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w:t>
      </w:r>
      <w:r w:rsidRPr="00A715F1">
        <w:rPr>
          <w:rFonts w:ascii="Arial" w:eastAsia="Arial" w:hAnsi="Arial" w:cs="Arial"/>
          <w:spacing w:val="-15"/>
          <w:sz w:val="19"/>
          <w:szCs w:val="19"/>
          <w:lang w:val="es-ES"/>
        </w:rPr>
        <w:t xml:space="preserve"> </w:t>
      </w:r>
      <w:r w:rsidRPr="00A715F1">
        <w:rPr>
          <w:rFonts w:ascii="Arial" w:eastAsia="Arial" w:hAnsi="Arial" w:cs="Arial"/>
          <w:sz w:val="19"/>
          <w:szCs w:val="19"/>
          <w:lang w:val="es-ES"/>
        </w:rPr>
        <w:t>decisión.</w:t>
      </w:r>
    </w:p>
    <w:p w14:paraId="3837DCA4" w14:textId="77777777" w:rsidR="005E20A4" w:rsidRPr="00A715F1" w:rsidRDefault="005E20A4">
      <w:pPr>
        <w:widowControl w:val="0"/>
        <w:autoSpaceDE w:val="0"/>
        <w:autoSpaceDN w:val="0"/>
        <w:ind w:firstLine="709"/>
        <w:jc w:val="both"/>
        <w:rPr>
          <w:rFonts w:ascii="Arial" w:eastAsia="Arial" w:hAnsi="Arial" w:cs="Arial"/>
          <w:sz w:val="19"/>
          <w:szCs w:val="19"/>
          <w:lang w:val="es-ES"/>
        </w:rPr>
      </w:pPr>
      <w:r w:rsidRPr="00A715F1">
        <w:rPr>
          <w:rFonts w:ascii="Arial" w:eastAsia="Arial" w:hAnsi="Arial" w:cs="Arial"/>
          <w:sz w:val="19"/>
          <w:szCs w:val="19"/>
          <w:lang w:val="es-ES"/>
        </w:rPr>
        <w:t>»Los miembros del comité evaluador están sujetos al régimen de inhabilidades e incompatibilidades y conflicto de interés previstos en la Constitución y la ley. […]»</w:t>
      </w:r>
    </w:p>
    <w:p w14:paraId="52186255" w14:textId="77777777" w:rsidR="005E20A4" w:rsidRPr="00A715F1" w:rsidRDefault="005E20A4">
      <w:pPr>
        <w:pStyle w:val="Textonotapie"/>
        <w:jc w:val="both"/>
        <w:rPr>
          <w:rFonts w:ascii="Arial" w:hAnsi="Arial" w:cs="Arial"/>
          <w:sz w:val="19"/>
          <w:szCs w:val="19"/>
          <w:lang w:val="es-ES"/>
        </w:rPr>
      </w:pPr>
    </w:p>
  </w:footnote>
  <w:footnote w:id="15">
    <w:p w14:paraId="2597E509" w14:textId="77777777" w:rsidR="001872EB" w:rsidRPr="00A715F1" w:rsidRDefault="001872EB">
      <w:pPr>
        <w:pStyle w:val="Textonotapie"/>
        <w:ind w:firstLine="709"/>
        <w:jc w:val="both"/>
        <w:rPr>
          <w:rFonts w:ascii="Arial" w:hAnsi="Arial" w:cs="Arial"/>
          <w:color w:val="000000" w:themeColor="text1"/>
          <w:sz w:val="19"/>
          <w:szCs w:val="19"/>
        </w:rPr>
      </w:pPr>
      <w:r w:rsidRPr="00A715F1">
        <w:rPr>
          <w:rStyle w:val="Refdenotaalpie"/>
          <w:rFonts w:ascii="Arial" w:hAnsi="Arial" w:cs="Arial"/>
          <w:sz w:val="19"/>
          <w:szCs w:val="19"/>
        </w:rPr>
        <w:footnoteRef/>
      </w:r>
      <w:r w:rsidRPr="00A715F1">
        <w:rPr>
          <w:rFonts w:ascii="Arial" w:hAnsi="Arial" w:cs="Arial"/>
          <w:sz w:val="19"/>
          <w:szCs w:val="19"/>
        </w:rPr>
        <w:t xml:space="preserve"> </w:t>
      </w:r>
      <w:r w:rsidRPr="00A715F1">
        <w:rPr>
          <w:rFonts w:ascii="Arial" w:hAnsi="Arial" w:cs="Arial"/>
          <w:color w:val="000000" w:themeColor="text1"/>
          <w:sz w:val="19"/>
          <w:szCs w:val="19"/>
        </w:rPr>
        <w:t>Decreto 770 de 2005: «Artículo 3. Niveles jerárquicos de los empleos. Según la naturaleza general de sus funciones, las competencias y los requisitos exigidos para su desempeño, los empleos de las entidades u organismos a los cuales se refiere el presente decreto se clasifican en los siguientes niveles jerárquicos: Nivel Directivo, Nivel Asesor, Nivel Profesional, Nivel Técnico y Nivel Asistencial.</w:t>
      </w:r>
    </w:p>
    <w:p w14:paraId="4F3A43E4"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w:t>
      </w:r>
    </w:p>
    <w:p w14:paraId="094B4F75"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»Artículo 13. Transitorio. El Gobierno Nacional, en un término no superior a doce (12) meses contados a partir de la vigencia del presente decreto, modificará las plantas de personal de los organismos y entidades a los cuales se aplica el presente decreto, para adecuar los empleos a la nueva nomenclatura y clasificación. Hasta que dichas modificaciones se realicen continuarán vigentes las denominaciones de empleo correspondientes al nivel ejecutivo. Vencido este plazo no podrán existir en las respectivas plantas de personal cargos con denominaciones del mencionado nivel jerárquico.</w:t>
      </w:r>
    </w:p>
    <w:p w14:paraId="2933F5E0"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»Si durante este período se presentare vacante definitiva en alguno de los empleos pertenecientes al nivel ejecutivo, este deberá ser suprimido, salvo que por necesidades del servicio se efectúen las equivalencias del caso, dentro del Nivel Profesional.</w:t>
      </w:r>
    </w:p>
    <w:p w14:paraId="496C58F5"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»La aplicación de las equivalencias relacionadas con la nomenclatura de empleos, en ningún caso conllevará incrementos salariales».</w:t>
      </w:r>
    </w:p>
    <w:p w14:paraId="5C9D8CE3" w14:textId="77777777" w:rsidR="001872EB" w:rsidRPr="00A715F1" w:rsidRDefault="001872EB">
      <w:pPr>
        <w:pStyle w:val="Textonotapie"/>
        <w:jc w:val="both"/>
        <w:rPr>
          <w:rFonts w:ascii="Arial" w:hAnsi="Arial" w:cs="Arial"/>
          <w:color w:val="000000" w:themeColor="text1"/>
          <w:sz w:val="19"/>
          <w:szCs w:val="19"/>
          <w:lang w:val="es-ES"/>
        </w:rPr>
      </w:pPr>
    </w:p>
    <w:p w14:paraId="2332D129"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 xml:space="preserve">Decreto 785 de 2005: </w:t>
      </w:r>
      <w:r w:rsidRPr="00A715F1">
        <w:rPr>
          <w:rFonts w:ascii="Arial" w:hAnsi="Arial" w:cs="Arial"/>
          <w:color w:val="000000" w:themeColor="text1"/>
          <w:sz w:val="19"/>
          <w:szCs w:val="19"/>
        </w:rPr>
        <w:t>«</w:t>
      </w:r>
      <w:r w:rsidRPr="00A715F1">
        <w:rPr>
          <w:rFonts w:ascii="Arial" w:hAnsi="Arial" w:cs="Arial"/>
          <w:color w:val="000000" w:themeColor="text1"/>
          <w:sz w:val="19"/>
          <w:szCs w:val="19"/>
          <w:lang w:val="es-ES"/>
        </w:rPr>
        <w:t>Artículo 3. Niveles jerárquicos de los empleos. Según la naturaleza general de sus funciones, las competencias y los requisitos exigidos para su desempeño, los empleos de las entidades territoriales se clasifican en los siguientes niveles jerárquicos: Nivel Directivo, Nivel Asesor, Nivel Profesional, Nivel Técnico y Nivel Asistencial.</w:t>
      </w:r>
    </w:p>
    <w:p w14:paraId="6F8ECC90"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w:t>
      </w:r>
    </w:p>
    <w:p w14:paraId="544A92C4"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»Artículo 33. Transitorio. Las autoridades territoriales competentes, en un término no superior a doce (12) meses contados a partir de la vigencia del presente decreto­ley, procederán a modificar las plantas de personal para adecuar los empleos a la nueva nomenclatura y clasificación.</w:t>
      </w:r>
    </w:p>
    <w:p w14:paraId="4BED5D1E"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 xml:space="preserve">»Hasta que dichas modificaciones se realicen continuarán vigentes las siguientes denominaciones de empleo correspondientes al nivel ejecutivo, así: </w:t>
      </w:r>
    </w:p>
    <w:p w14:paraId="6C1A21A9"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w:t>
      </w:r>
    </w:p>
    <w:p w14:paraId="418A4176"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»Parágrafo. Vencido el plazo señalado en este artículo, no podrán existir en las respectivas plantas de personal cargos con denominaciones del mencionado nivel jerárquico. Si durante este período se presentare vacante definitiva en alguno de los empleos pertenecientes al nivel ejecutivo, este deberá ser suprimido, salvo que por necesidades del servicio se efectúen las equivalencias del caso, dentro del nivel profesional».</w:t>
      </w:r>
    </w:p>
    <w:p w14:paraId="6FFE2973" w14:textId="77777777" w:rsidR="001872EB" w:rsidRPr="00A715F1" w:rsidRDefault="001872EB">
      <w:pPr>
        <w:pStyle w:val="Textonotapie"/>
        <w:jc w:val="both"/>
        <w:rPr>
          <w:rFonts w:ascii="Arial" w:hAnsi="Arial" w:cs="Arial"/>
          <w:sz w:val="19"/>
          <w:szCs w:val="19"/>
          <w:lang w:val="es-ES_tradnl"/>
        </w:rPr>
      </w:pPr>
    </w:p>
  </w:footnote>
  <w:footnote w:id="16">
    <w:p w14:paraId="04891BF7" w14:textId="52E4989D" w:rsidR="001872EB" w:rsidRPr="00A715F1" w:rsidRDefault="001872EB">
      <w:pPr>
        <w:pStyle w:val="Textonotapie"/>
        <w:ind w:firstLine="708"/>
        <w:jc w:val="both"/>
        <w:rPr>
          <w:rFonts w:ascii="Arial" w:hAnsi="Arial" w:cs="Arial"/>
          <w:color w:val="000000" w:themeColor="text1"/>
          <w:sz w:val="19"/>
          <w:szCs w:val="19"/>
        </w:rPr>
      </w:pPr>
      <w:r w:rsidRPr="00A715F1">
        <w:rPr>
          <w:rStyle w:val="Refdenotaalpie"/>
          <w:rFonts w:ascii="Arial" w:hAnsi="Arial" w:cs="Arial"/>
          <w:sz w:val="19"/>
          <w:szCs w:val="19"/>
        </w:rPr>
        <w:footnoteRef/>
      </w:r>
      <w:r w:rsidRPr="00A715F1">
        <w:rPr>
          <w:rFonts w:ascii="Arial" w:hAnsi="Arial" w:cs="Arial"/>
          <w:sz w:val="19"/>
          <w:szCs w:val="19"/>
        </w:rPr>
        <w:t xml:space="preserve"> </w:t>
      </w:r>
      <w:r w:rsidRPr="00A715F1">
        <w:rPr>
          <w:rFonts w:ascii="Arial" w:hAnsi="Arial" w:cs="Arial"/>
          <w:color w:val="000000" w:themeColor="text1"/>
          <w:sz w:val="19"/>
          <w:szCs w:val="19"/>
        </w:rPr>
        <w:t xml:space="preserve">Decreto 770 de 2005: «Artículo 4. Naturaleza general de las funciones. A los empleos agrupados en los niveles jerárquicos de que trata el artículo anterior, les corresponden las siguientes funciones generales: </w:t>
      </w:r>
    </w:p>
    <w:p w14:paraId="26BFB1C1" w14:textId="77777777" w:rsidR="00A81098" w:rsidRPr="00A715F1" w:rsidRDefault="00A81098">
      <w:pPr>
        <w:pStyle w:val="Textonotapie"/>
        <w:ind w:firstLine="708"/>
        <w:jc w:val="both"/>
        <w:rPr>
          <w:rFonts w:ascii="Arial" w:hAnsi="Arial" w:cs="Arial"/>
          <w:color w:val="000000" w:themeColor="text1"/>
          <w:sz w:val="19"/>
          <w:szCs w:val="19"/>
        </w:rPr>
      </w:pPr>
    </w:p>
    <w:p w14:paraId="1B027786" w14:textId="77777777" w:rsidR="001872EB" w:rsidRPr="00A715F1" w:rsidRDefault="001872EB">
      <w:pPr>
        <w:pStyle w:val="Textonotapie"/>
        <w:ind w:firstLine="708"/>
        <w:jc w:val="both"/>
        <w:rPr>
          <w:rFonts w:ascii="Arial" w:hAnsi="Arial" w:cs="Arial"/>
          <w:color w:val="000000" w:themeColor="text1"/>
          <w:sz w:val="19"/>
          <w:szCs w:val="19"/>
        </w:rPr>
      </w:pPr>
      <w:r w:rsidRPr="00A715F1">
        <w:rPr>
          <w:rFonts w:ascii="Arial" w:hAnsi="Arial" w:cs="Arial"/>
          <w:color w:val="000000" w:themeColor="text1"/>
          <w:sz w:val="19"/>
          <w:szCs w:val="19"/>
          <w:lang w:val="es-ES"/>
        </w:rPr>
        <w:t>»</w:t>
      </w:r>
      <w:r w:rsidRPr="00A715F1">
        <w:rPr>
          <w:rFonts w:ascii="Arial" w:hAnsi="Arial" w:cs="Arial"/>
          <w:color w:val="000000" w:themeColor="text1"/>
          <w:sz w:val="19"/>
          <w:szCs w:val="19"/>
        </w:rPr>
        <w:t>4.1 Nivel Directivo. Comprende los empleos a los cuales corresponden funciones de dirección general, de formulación de políticas institucionales y de adopción de planes, programas y proyectos.</w:t>
      </w:r>
    </w:p>
    <w:p w14:paraId="48B00A46" w14:textId="77777777" w:rsidR="001872EB" w:rsidRPr="00A715F1" w:rsidRDefault="001872EB">
      <w:pPr>
        <w:pStyle w:val="Textonotapie"/>
        <w:ind w:firstLine="708"/>
        <w:jc w:val="both"/>
        <w:rPr>
          <w:rFonts w:ascii="Arial" w:hAnsi="Arial" w:cs="Arial"/>
          <w:color w:val="000000" w:themeColor="text1"/>
          <w:sz w:val="19"/>
          <w:szCs w:val="19"/>
        </w:rPr>
      </w:pPr>
      <w:r w:rsidRPr="00A715F1">
        <w:rPr>
          <w:rFonts w:ascii="Arial" w:hAnsi="Arial" w:cs="Arial"/>
          <w:color w:val="000000" w:themeColor="text1"/>
          <w:sz w:val="19"/>
          <w:szCs w:val="19"/>
          <w:lang w:val="es-ES"/>
        </w:rPr>
        <w:t>»</w:t>
      </w:r>
      <w:r w:rsidRPr="00A715F1">
        <w:rPr>
          <w:rFonts w:ascii="Arial" w:hAnsi="Arial" w:cs="Arial"/>
          <w:color w:val="000000" w:themeColor="text1"/>
          <w:sz w:val="19"/>
          <w:szCs w:val="19"/>
        </w:rPr>
        <w:t>4.2 Nivel Asesor. Agrupa los empleos cuyas funciones consisten en asistir, aconsejar y asesorar directamente a los empleados públicos de la alta dirección de la rama ejecutiva del orden nacional</w:t>
      </w:r>
      <w:r w:rsidRPr="00A715F1">
        <w:rPr>
          <w:rFonts w:ascii="Arial" w:hAnsi="Arial" w:cs="Arial"/>
          <w:color w:val="000000" w:themeColor="text1"/>
          <w:sz w:val="19"/>
          <w:szCs w:val="19"/>
          <w:lang w:val="es-ES"/>
        </w:rPr>
        <w:t>»</w:t>
      </w:r>
    </w:p>
    <w:p w14:paraId="2486FAEB" w14:textId="77777777" w:rsidR="001872EB" w:rsidRPr="00A715F1" w:rsidRDefault="001872EB">
      <w:pPr>
        <w:pStyle w:val="Textonotapie"/>
        <w:jc w:val="both"/>
        <w:rPr>
          <w:rFonts w:ascii="Arial" w:hAnsi="Arial" w:cs="Arial"/>
          <w:color w:val="000000" w:themeColor="text1"/>
          <w:sz w:val="19"/>
          <w:szCs w:val="19"/>
        </w:rPr>
      </w:pPr>
    </w:p>
    <w:p w14:paraId="6954DAE4"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 xml:space="preserve">Decreto 785 de 2005: «Artículo 4. Naturaleza general de las funciones. A los empleos agrupados en los niveles jerárquicos de que trata el artículo anterior, les corresponden las siguientes funciones generales: </w:t>
      </w:r>
    </w:p>
    <w:p w14:paraId="775E4EA4"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 xml:space="preserve">»4.1. Nivel Directivo. </w:t>
      </w:r>
      <w:bookmarkStart w:id="6" w:name="_Hlk73974130"/>
      <w:r w:rsidRPr="00A715F1">
        <w:rPr>
          <w:rFonts w:ascii="Arial" w:hAnsi="Arial" w:cs="Arial"/>
          <w:color w:val="000000" w:themeColor="text1"/>
          <w:sz w:val="19"/>
          <w:szCs w:val="19"/>
          <w:lang w:val="es-ES"/>
        </w:rPr>
        <w:t>Comprende los empleos a los cuales corresponden funciones de Dirección General, de formulación de políticas institucionales y de adopción de planes, programas y proyectos</w:t>
      </w:r>
      <w:bookmarkEnd w:id="6"/>
      <w:r w:rsidRPr="00A715F1">
        <w:rPr>
          <w:rFonts w:ascii="Arial" w:hAnsi="Arial" w:cs="Arial"/>
          <w:color w:val="000000" w:themeColor="text1"/>
          <w:sz w:val="19"/>
          <w:szCs w:val="19"/>
          <w:lang w:val="es-ES"/>
        </w:rPr>
        <w:t xml:space="preserve">.  </w:t>
      </w:r>
    </w:p>
    <w:p w14:paraId="77FBE668" w14:textId="77777777" w:rsidR="001872EB" w:rsidRPr="00A715F1" w:rsidRDefault="001872EB">
      <w:pPr>
        <w:pStyle w:val="Textonotapie"/>
        <w:ind w:firstLine="708"/>
        <w:jc w:val="both"/>
        <w:rPr>
          <w:rFonts w:ascii="Arial" w:hAnsi="Arial" w:cs="Arial"/>
          <w:color w:val="000000" w:themeColor="text1"/>
          <w:sz w:val="19"/>
          <w:szCs w:val="19"/>
          <w:lang w:val="es-ES"/>
        </w:rPr>
      </w:pPr>
      <w:r w:rsidRPr="00A715F1">
        <w:rPr>
          <w:rFonts w:ascii="Arial" w:hAnsi="Arial" w:cs="Arial"/>
          <w:color w:val="000000" w:themeColor="text1"/>
          <w:sz w:val="19"/>
          <w:szCs w:val="19"/>
          <w:lang w:val="es-ES"/>
        </w:rPr>
        <w:t>»4.2.  Nivel Asesor. Agrupa los empleos cuyas funciones consisten en asistir, aconsejar y asesorar directamente a los empleados públicos de la alta dirección territorial».</w:t>
      </w:r>
    </w:p>
    <w:p w14:paraId="15C3154D" w14:textId="77777777" w:rsidR="001872EB" w:rsidRPr="00A715F1" w:rsidRDefault="001872EB">
      <w:pPr>
        <w:pStyle w:val="Textonotapie"/>
        <w:jc w:val="both"/>
        <w:rPr>
          <w:rFonts w:ascii="Arial" w:hAnsi="Arial" w:cs="Arial"/>
          <w:sz w:val="19"/>
          <w:szCs w:val="19"/>
          <w:lang w:val="es-ES"/>
        </w:rPr>
      </w:pPr>
    </w:p>
  </w:footnote>
  <w:footnote w:id="17">
    <w:p w14:paraId="7814E5A3" w14:textId="77777777" w:rsidR="001872EB" w:rsidRPr="00A715F1" w:rsidRDefault="001872EB">
      <w:pPr>
        <w:pStyle w:val="Textonotapie"/>
        <w:ind w:firstLine="709"/>
        <w:jc w:val="both"/>
        <w:rPr>
          <w:rFonts w:ascii="Arial" w:hAnsi="Arial" w:cs="Arial"/>
          <w:sz w:val="19"/>
          <w:szCs w:val="19"/>
        </w:rPr>
      </w:pPr>
      <w:r w:rsidRPr="00A715F1">
        <w:rPr>
          <w:rStyle w:val="Refdenotaalpie"/>
          <w:rFonts w:ascii="Arial" w:hAnsi="Arial" w:cs="Arial"/>
          <w:sz w:val="19"/>
          <w:szCs w:val="19"/>
        </w:rPr>
        <w:footnoteRef/>
      </w:r>
      <w:r w:rsidRPr="00A715F1">
        <w:rPr>
          <w:rFonts w:ascii="Arial" w:hAnsi="Arial" w:cs="Arial"/>
          <w:sz w:val="19"/>
          <w:szCs w:val="19"/>
        </w:rPr>
        <w:t xml:space="preserve"> Para la doctrina, «En lo que respecta a los funcionarios que ejercen el control fiscal, en nuestra opinión, la disposición resulta inaplicable. En momentos en que se expidió el estatuto de contratación, por virtud de la legislación vigente en materia de régimen fiscal, la mayoría de entes descentralizados contaban con una oficina delegada de la Contraloría en la misma sede de la entidad vigilada que se encargaba de realizar las funciones de control respecto de ella. Usualmente participaba en la toma de decisiones y entre ellas las relativas a contratos. Con las reformas que introdujo la Ley 42 de 1993, las llamadas auditorías o agencias de control fiscal destacadas en cada entidad desaparecieron y con ello la incompatibilidad devino en irrealizable por sustracción de materia» (Cfr. DÁVILA VINUEZA, Luis Guillermo. Régimen jurídico de la contratación estatal. Tercera edición. Bogotá: Legis, 2016. pp. 290 – 291). Sin embargo, también agrega que «[…] la utilidad de la disposición se encuentra cuando dichas funciones sean desempeñadas por personas particulares, en virtud de contrato, caso en el cual se presentaría la prohibición (Cfr. PÁLACIO HINCAPIÉ, Juan Ángel. La contratación de las entidades estatales. Octava edición. Medellín: Librería Jurídica Sánchez R. SAS. p. 152).</w:t>
      </w:r>
    </w:p>
    <w:p w14:paraId="54BAA708" w14:textId="77777777" w:rsidR="001872EB" w:rsidRPr="00A715F1" w:rsidRDefault="001872EB">
      <w:pPr>
        <w:pStyle w:val="Textonotapie"/>
        <w:jc w:val="both"/>
        <w:rPr>
          <w:rFonts w:ascii="Arial" w:hAnsi="Arial" w:cs="Arial"/>
          <w:sz w:val="19"/>
          <w:szCs w:val="19"/>
          <w:lang w:val="es-ES_tradnl"/>
        </w:rPr>
      </w:pPr>
    </w:p>
  </w:footnote>
  <w:footnote w:id="18">
    <w:p w14:paraId="64D77995" w14:textId="77777777" w:rsidR="00374C3D" w:rsidRPr="00A715F1" w:rsidRDefault="00374C3D">
      <w:pPr>
        <w:pStyle w:val="Textonotapie"/>
        <w:ind w:firstLine="708"/>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Cfr. Concepto C–229 del 16 de abril de 2020.</w:t>
      </w:r>
    </w:p>
    <w:p w14:paraId="396042E3" w14:textId="77777777" w:rsidR="00374C3D" w:rsidRPr="00A715F1" w:rsidRDefault="00374C3D">
      <w:pPr>
        <w:pStyle w:val="Textonotapie"/>
        <w:ind w:firstLine="708"/>
        <w:jc w:val="both"/>
        <w:rPr>
          <w:rFonts w:ascii="Arial" w:hAnsi="Arial" w:cs="Arial"/>
          <w:color w:val="000000" w:themeColor="text1"/>
          <w:sz w:val="19"/>
          <w:szCs w:val="19"/>
          <w:lang w:val="es-CO"/>
        </w:rPr>
      </w:pPr>
    </w:p>
  </w:footnote>
  <w:footnote w:id="19">
    <w:p w14:paraId="3CF2DEAC" w14:textId="77777777" w:rsidR="00374C3D" w:rsidRPr="00A715F1" w:rsidRDefault="00374C3D">
      <w:pPr>
        <w:pStyle w:val="Textonotapie"/>
        <w:ind w:firstLine="708"/>
        <w:jc w:val="both"/>
        <w:rPr>
          <w:rFonts w:ascii="Arial" w:hAnsi="Arial" w:cs="Arial"/>
          <w:color w:val="000000" w:themeColor="text1"/>
          <w:sz w:val="19"/>
          <w:szCs w:val="19"/>
        </w:rPr>
      </w:pPr>
      <w:r w:rsidRPr="00A715F1">
        <w:rPr>
          <w:rStyle w:val="Refdenotaalpie"/>
          <w:rFonts w:ascii="Arial" w:hAnsi="Arial" w:cs="Arial"/>
          <w:color w:val="000000" w:themeColor="text1"/>
          <w:sz w:val="19"/>
          <w:szCs w:val="19"/>
        </w:rPr>
        <w:footnoteRef/>
      </w:r>
      <w:r w:rsidRPr="00A715F1">
        <w:rPr>
          <w:rFonts w:ascii="Arial" w:hAnsi="Arial" w:cs="Arial"/>
          <w:color w:val="000000" w:themeColor="text1"/>
          <w:sz w:val="19"/>
          <w:szCs w:val="19"/>
        </w:rPr>
        <w:t xml:space="preserve"> CONSEJO DE ESTADO. Sala de Consulta y de Servicio Civil. Concepto del 23 de marzo de 2011. Rad. 2.045. C.P. Enrique José Arboleda Perdomo.</w:t>
      </w:r>
    </w:p>
    <w:p w14:paraId="4C554F04" w14:textId="77777777" w:rsidR="00374C3D" w:rsidRPr="00A715F1" w:rsidRDefault="00374C3D">
      <w:pPr>
        <w:pStyle w:val="Textonotapie"/>
        <w:ind w:firstLine="708"/>
        <w:jc w:val="both"/>
        <w:rPr>
          <w:rFonts w:ascii="Arial" w:hAnsi="Arial" w:cs="Arial"/>
          <w:color w:val="000000" w:themeColor="text1"/>
          <w:sz w:val="19"/>
          <w:szCs w:val="19"/>
        </w:rPr>
      </w:pPr>
    </w:p>
  </w:footnote>
  <w:footnote w:id="20">
    <w:p w14:paraId="0A818CC6" w14:textId="2EEFD258" w:rsidR="00A715F1" w:rsidRPr="007E73FE" w:rsidRDefault="00A715F1" w:rsidP="007E73FE">
      <w:pPr>
        <w:pStyle w:val="Textonotapie"/>
        <w:ind w:firstLine="708"/>
        <w:jc w:val="both"/>
        <w:rPr>
          <w:rFonts w:ascii="Arial" w:hAnsi="Arial" w:cs="Arial"/>
          <w:sz w:val="19"/>
          <w:szCs w:val="19"/>
        </w:rPr>
      </w:pPr>
      <w:r w:rsidRPr="007E73FE">
        <w:rPr>
          <w:rStyle w:val="Refdenotaalpie"/>
          <w:rFonts w:ascii="Arial" w:hAnsi="Arial" w:cs="Arial"/>
          <w:sz w:val="19"/>
          <w:szCs w:val="19"/>
        </w:rPr>
        <w:footnoteRef/>
      </w:r>
      <w:r w:rsidRPr="007E73FE">
        <w:rPr>
          <w:rFonts w:ascii="Arial" w:hAnsi="Arial" w:cs="Arial"/>
          <w:sz w:val="19"/>
          <w:szCs w:val="19"/>
        </w:rPr>
        <w:t xml:space="preserve"> Ley 1437 de 2011: «Artículo 2°.Ámbito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14:paraId="5DC67749" w14:textId="3B349AC6" w:rsidR="00A715F1" w:rsidRPr="007E73FE" w:rsidRDefault="00A715F1" w:rsidP="007E73FE">
      <w:pPr>
        <w:pStyle w:val="Textonotapie"/>
        <w:ind w:firstLine="708"/>
        <w:jc w:val="both"/>
        <w:rPr>
          <w:rFonts w:ascii="Arial" w:hAnsi="Arial" w:cs="Arial"/>
          <w:sz w:val="19"/>
          <w:szCs w:val="19"/>
        </w:rPr>
      </w:pPr>
      <w:r>
        <w:rPr>
          <w:rFonts w:ascii="Arial" w:hAnsi="Arial" w:cs="Arial"/>
          <w:sz w:val="19"/>
          <w:szCs w:val="19"/>
        </w:rPr>
        <w:t>»</w:t>
      </w:r>
      <w:r w:rsidRPr="007E73FE">
        <w:rPr>
          <w:rFonts w:ascii="Arial" w:hAnsi="Arial" w:cs="Arial"/>
          <w:sz w:val="19"/>
          <w:szCs w:val="19"/>
        </w:rPr>
        <w:t xml:space="preserve">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w:t>
      </w:r>
    </w:p>
    <w:p w14:paraId="02546D35" w14:textId="7F262B95" w:rsidR="00A715F1" w:rsidRPr="007E73FE" w:rsidRDefault="00A715F1" w:rsidP="007E73FE">
      <w:pPr>
        <w:pStyle w:val="Textonotapie"/>
        <w:ind w:firstLine="708"/>
        <w:jc w:val="both"/>
        <w:rPr>
          <w:rFonts w:ascii="Arial" w:hAnsi="Arial" w:cs="Arial"/>
          <w:sz w:val="19"/>
          <w:szCs w:val="19"/>
        </w:rPr>
      </w:pPr>
      <w:r>
        <w:rPr>
          <w:rFonts w:ascii="Arial" w:hAnsi="Arial" w:cs="Arial"/>
          <w:sz w:val="19"/>
          <w:szCs w:val="19"/>
        </w:rPr>
        <w:t>»</w:t>
      </w:r>
      <w:r w:rsidRPr="007E73FE">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7E73F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p w14:paraId="3722EB09" w14:textId="77777777" w:rsidR="00AC7FE2" w:rsidRDefault="00AC7FE2"/>
  <w:p w14:paraId="1F658E26" w14:textId="77777777" w:rsidR="00AC7FE2" w:rsidRDefault="00AC7FE2"/>
  <w:p w14:paraId="376CF5B3" w14:textId="77777777" w:rsidR="00AC7FE2" w:rsidRDefault="00AC7FE2"/>
  <w:p w14:paraId="481C0392" w14:textId="77777777" w:rsidR="00AC7FE2" w:rsidRDefault="00AC7FE2"/>
  <w:p w14:paraId="177DB252" w14:textId="77777777" w:rsidR="00AC7FE2" w:rsidRDefault="00AC7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BB5744"/>
    <w:multiLevelType w:val="hybridMultilevel"/>
    <w:tmpl w:val="9172339A"/>
    <w:lvl w:ilvl="0" w:tplc="EABCCB3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9F7B34"/>
    <w:multiLevelType w:val="hybridMultilevel"/>
    <w:tmpl w:val="EA229C96"/>
    <w:lvl w:ilvl="0" w:tplc="A634B6BC">
      <w:start w:val="1"/>
      <w:numFmt w:val="decimal"/>
      <w:lvlText w:val="%1."/>
      <w:lvlJc w:val="left"/>
      <w:pPr>
        <w:ind w:left="1778" w:hanging="360"/>
      </w:pPr>
      <w:rPr>
        <w:rFonts w:hint="default"/>
        <w:sz w:val="21"/>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462261"/>
    <w:multiLevelType w:val="hybridMultilevel"/>
    <w:tmpl w:val="BF5A65DA"/>
    <w:lvl w:ilvl="0" w:tplc="1F347DC0">
      <w:start w:val="1"/>
      <w:numFmt w:val="decimal"/>
      <w:lvlText w:val="%1."/>
      <w:lvlJc w:val="left"/>
      <w:pPr>
        <w:ind w:left="1069" w:hanging="360"/>
      </w:pPr>
      <w:rPr>
        <w:rFonts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4"/>
  </w:num>
  <w:num w:numId="2">
    <w:abstractNumId w:val="3"/>
  </w:num>
  <w:num w:numId="3">
    <w:abstractNumId w:val="6"/>
  </w:num>
  <w:num w:numId="4">
    <w:abstractNumId w:val="8"/>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1"/>
  </w:num>
  <w:num w:numId="10">
    <w:abstractNumId w:val="10"/>
  </w:num>
  <w:num w:numId="11">
    <w:abstractNumId w:val="13"/>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5DF9"/>
    <w:rsid w:val="000162C3"/>
    <w:rsid w:val="00016DCE"/>
    <w:rsid w:val="00023000"/>
    <w:rsid w:val="00023BE4"/>
    <w:rsid w:val="00023C87"/>
    <w:rsid w:val="0002551F"/>
    <w:rsid w:val="00031FC6"/>
    <w:rsid w:val="00033181"/>
    <w:rsid w:val="0003324A"/>
    <w:rsid w:val="00033B21"/>
    <w:rsid w:val="00035210"/>
    <w:rsid w:val="00036204"/>
    <w:rsid w:val="00041EFA"/>
    <w:rsid w:val="00043688"/>
    <w:rsid w:val="0004523D"/>
    <w:rsid w:val="00052739"/>
    <w:rsid w:val="00056788"/>
    <w:rsid w:val="00060398"/>
    <w:rsid w:val="00064E2F"/>
    <w:rsid w:val="00064ED7"/>
    <w:rsid w:val="00065BD4"/>
    <w:rsid w:val="000709B9"/>
    <w:rsid w:val="00074108"/>
    <w:rsid w:val="00086C1E"/>
    <w:rsid w:val="00087C80"/>
    <w:rsid w:val="00091D7A"/>
    <w:rsid w:val="00091F03"/>
    <w:rsid w:val="0009351A"/>
    <w:rsid w:val="000942EB"/>
    <w:rsid w:val="000950AA"/>
    <w:rsid w:val="000A3D48"/>
    <w:rsid w:val="000A711E"/>
    <w:rsid w:val="000A785D"/>
    <w:rsid w:val="000B103F"/>
    <w:rsid w:val="000B2127"/>
    <w:rsid w:val="000B6AB4"/>
    <w:rsid w:val="000C0959"/>
    <w:rsid w:val="000C19E1"/>
    <w:rsid w:val="000C26CB"/>
    <w:rsid w:val="000C54B4"/>
    <w:rsid w:val="000D02B3"/>
    <w:rsid w:val="000D0CE3"/>
    <w:rsid w:val="000D3A92"/>
    <w:rsid w:val="000D4A92"/>
    <w:rsid w:val="000E1BF2"/>
    <w:rsid w:val="000E21A4"/>
    <w:rsid w:val="000E3501"/>
    <w:rsid w:val="000E40FE"/>
    <w:rsid w:val="000E4B5C"/>
    <w:rsid w:val="000E699E"/>
    <w:rsid w:val="000E730C"/>
    <w:rsid w:val="000F14E8"/>
    <w:rsid w:val="000F18A6"/>
    <w:rsid w:val="00101D47"/>
    <w:rsid w:val="00103915"/>
    <w:rsid w:val="00110320"/>
    <w:rsid w:val="001103A2"/>
    <w:rsid w:val="001128A8"/>
    <w:rsid w:val="00113958"/>
    <w:rsid w:val="00121CD3"/>
    <w:rsid w:val="00122B23"/>
    <w:rsid w:val="001233CA"/>
    <w:rsid w:val="00123889"/>
    <w:rsid w:val="00125924"/>
    <w:rsid w:val="0013140B"/>
    <w:rsid w:val="001353DC"/>
    <w:rsid w:val="0013568D"/>
    <w:rsid w:val="0013799F"/>
    <w:rsid w:val="00137BCE"/>
    <w:rsid w:val="00137FFA"/>
    <w:rsid w:val="00141FAC"/>
    <w:rsid w:val="001428A2"/>
    <w:rsid w:val="001437AF"/>
    <w:rsid w:val="0014392D"/>
    <w:rsid w:val="00143A66"/>
    <w:rsid w:val="001507BA"/>
    <w:rsid w:val="00151B13"/>
    <w:rsid w:val="00154DCF"/>
    <w:rsid w:val="00161B7E"/>
    <w:rsid w:val="00166A34"/>
    <w:rsid w:val="00166B32"/>
    <w:rsid w:val="0017007F"/>
    <w:rsid w:val="00170D3D"/>
    <w:rsid w:val="001750D6"/>
    <w:rsid w:val="00175FDC"/>
    <w:rsid w:val="0018007B"/>
    <w:rsid w:val="00180E2A"/>
    <w:rsid w:val="001821C5"/>
    <w:rsid w:val="00182AAD"/>
    <w:rsid w:val="00183069"/>
    <w:rsid w:val="0018522E"/>
    <w:rsid w:val="001872EB"/>
    <w:rsid w:val="00193EFC"/>
    <w:rsid w:val="00196CF5"/>
    <w:rsid w:val="001A695E"/>
    <w:rsid w:val="001A7009"/>
    <w:rsid w:val="001B319C"/>
    <w:rsid w:val="001B493A"/>
    <w:rsid w:val="001C01AC"/>
    <w:rsid w:val="001C12E3"/>
    <w:rsid w:val="001C47C6"/>
    <w:rsid w:val="001C5F61"/>
    <w:rsid w:val="001C67D0"/>
    <w:rsid w:val="001C6B55"/>
    <w:rsid w:val="001C7A51"/>
    <w:rsid w:val="001D0521"/>
    <w:rsid w:val="001E0106"/>
    <w:rsid w:val="001E0955"/>
    <w:rsid w:val="001E0B25"/>
    <w:rsid w:val="001E21CB"/>
    <w:rsid w:val="001E3A55"/>
    <w:rsid w:val="001E4E4A"/>
    <w:rsid w:val="001E62AF"/>
    <w:rsid w:val="001E7544"/>
    <w:rsid w:val="001E7DB9"/>
    <w:rsid w:val="001F2A9C"/>
    <w:rsid w:val="002002A3"/>
    <w:rsid w:val="00202F2E"/>
    <w:rsid w:val="0020576F"/>
    <w:rsid w:val="002106C7"/>
    <w:rsid w:val="0021312A"/>
    <w:rsid w:val="00213765"/>
    <w:rsid w:val="00214878"/>
    <w:rsid w:val="00215A41"/>
    <w:rsid w:val="0021701A"/>
    <w:rsid w:val="00220DCB"/>
    <w:rsid w:val="00224AFF"/>
    <w:rsid w:val="00230492"/>
    <w:rsid w:val="00231C01"/>
    <w:rsid w:val="002330A3"/>
    <w:rsid w:val="002346FC"/>
    <w:rsid w:val="00234B84"/>
    <w:rsid w:val="00237377"/>
    <w:rsid w:val="002411E9"/>
    <w:rsid w:val="00241448"/>
    <w:rsid w:val="00242ED7"/>
    <w:rsid w:val="0024480D"/>
    <w:rsid w:val="002454B3"/>
    <w:rsid w:val="00250EB5"/>
    <w:rsid w:val="00251EE8"/>
    <w:rsid w:val="00254868"/>
    <w:rsid w:val="00255AFA"/>
    <w:rsid w:val="00256635"/>
    <w:rsid w:val="00261507"/>
    <w:rsid w:val="0026156A"/>
    <w:rsid w:val="0026186C"/>
    <w:rsid w:val="00261A2E"/>
    <w:rsid w:val="002630D9"/>
    <w:rsid w:val="00263A39"/>
    <w:rsid w:val="00264997"/>
    <w:rsid w:val="002706B4"/>
    <w:rsid w:val="002706C7"/>
    <w:rsid w:val="0027359F"/>
    <w:rsid w:val="0028080D"/>
    <w:rsid w:val="00280E65"/>
    <w:rsid w:val="00286DB6"/>
    <w:rsid w:val="00287A42"/>
    <w:rsid w:val="002918F7"/>
    <w:rsid w:val="002932EB"/>
    <w:rsid w:val="00293C69"/>
    <w:rsid w:val="00294025"/>
    <w:rsid w:val="00294A08"/>
    <w:rsid w:val="002A256F"/>
    <w:rsid w:val="002A36A9"/>
    <w:rsid w:val="002A3B51"/>
    <w:rsid w:val="002A4D54"/>
    <w:rsid w:val="002A72FB"/>
    <w:rsid w:val="002B0967"/>
    <w:rsid w:val="002B1F1E"/>
    <w:rsid w:val="002B3D4E"/>
    <w:rsid w:val="002C392D"/>
    <w:rsid w:val="002C3D5A"/>
    <w:rsid w:val="002C71CA"/>
    <w:rsid w:val="002C7E55"/>
    <w:rsid w:val="002C7E5B"/>
    <w:rsid w:val="002D1AA6"/>
    <w:rsid w:val="002D372F"/>
    <w:rsid w:val="002D7662"/>
    <w:rsid w:val="002D7A0C"/>
    <w:rsid w:val="002E1753"/>
    <w:rsid w:val="002E6F9C"/>
    <w:rsid w:val="002E7375"/>
    <w:rsid w:val="002E79A9"/>
    <w:rsid w:val="002F2195"/>
    <w:rsid w:val="002F27A7"/>
    <w:rsid w:val="002F33C3"/>
    <w:rsid w:val="003011A3"/>
    <w:rsid w:val="00303001"/>
    <w:rsid w:val="003033BA"/>
    <w:rsid w:val="00305947"/>
    <w:rsid w:val="00306259"/>
    <w:rsid w:val="003067C4"/>
    <w:rsid w:val="00313908"/>
    <w:rsid w:val="003159B5"/>
    <w:rsid w:val="00315C98"/>
    <w:rsid w:val="00323084"/>
    <w:rsid w:val="00323CB5"/>
    <w:rsid w:val="00323E51"/>
    <w:rsid w:val="00325F32"/>
    <w:rsid w:val="00326677"/>
    <w:rsid w:val="0033055F"/>
    <w:rsid w:val="0033352A"/>
    <w:rsid w:val="00333DBC"/>
    <w:rsid w:val="00337968"/>
    <w:rsid w:val="003404C9"/>
    <w:rsid w:val="00341A74"/>
    <w:rsid w:val="003422F7"/>
    <w:rsid w:val="0034680A"/>
    <w:rsid w:val="00346810"/>
    <w:rsid w:val="003471F9"/>
    <w:rsid w:val="0034781E"/>
    <w:rsid w:val="00352311"/>
    <w:rsid w:val="003544BB"/>
    <w:rsid w:val="00356E6F"/>
    <w:rsid w:val="003600DB"/>
    <w:rsid w:val="00362481"/>
    <w:rsid w:val="00362FC9"/>
    <w:rsid w:val="00363113"/>
    <w:rsid w:val="003644CA"/>
    <w:rsid w:val="003657FD"/>
    <w:rsid w:val="0037188C"/>
    <w:rsid w:val="00372B16"/>
    <w:rsid w:val="003739B8"/>
    <w:rsid w:val="00373EC8"/>
    <w:rsid w:val="00374C3D"/>
    <w:rsid w:val="003751BE"/>
    <w:rsid w:val="00376566"/>
    <w:rsid w:val="00380B61"/>
    <w:rsid w:val="00384AD7"/>
    <w:rsid w:val="00385468"/>
    <w:rsid w:val="00386456"/>
    <w:rsid w:val="00387590"/>
    <w:rsid w:val="00387FDE"/>
    <w:rsid w:val="00391E67"/>
    <w:rsid w:val="00392F03"/>
    <w:rsid w:val="003945B8"/>
    <w:rsid w:val="00395355"/>
    <w:rsid w:val="00395C94"/>
    <w:rsid w:val="003A1AAE"/>
    <w:rsid w:val="003A581E"/>
    <w:rsid w:val="003B0B5A"/>
    <w:rsid w:val="003B4F39"/>
    <w:rsid w:val="003B5D56"/>
    <w:rsid w:val="003C0C02"/>
    <w:rsid w:val="003C434E"/>
    <w:rsid w:val="003C43B0"/>
    <w:rsid w:val="003C7776"/>
    <w:rsid w:val="003D14E8"/>
    <w:rsid w:val="003D2747"/>
    <w:rsid w:val="003D2AA2"/>
    <w:rsid w:val="003D338B"/>
    <w:rsid w:val="003D4BB2"/>
    <w:rsid w:val="003D78B1"/>
    <w:rsid w:val="003D7DB6"/>
    <w:rsid w:val="003E4ED2"/>
    <w:rsid w:val="003F2AC0"/>
    <w:rsid w:val="003F2F99"/>
    <w:rsid w:val="003F6242"/>
    <w:rsid w:val="003F6F8C"/>
    <w:rsid w:val="00400DDE"/>
    <w:rsid w:val="00401574"/>
    <w:rsid w:val="004043C0"/>
    <w:rsid w:val="004046EE"/>
    <w:rsid w:val="00405662"/>
    <w:rsid w:val="00410870"/>
    <w:rsid w:val="004110F1"/>
    <w:rsid w:val="00414A77"/>
    <w:rsid w:val="00416041"/>
    <w:rsid w:val="004165BC"/>
    <w:rsid w:val="00416B88"/>
    <w:rsid w:val="00417402"/>
    <w:rsid w:val="00420BEF"/>
    <w:rsid w:val="004247E7"/>
    <w:rsid w:val="00424964"/>
    <w:rsid w:val="0043152C"/>
    <w:rsid w:val="00431C82"/>
    <w:rsid w:val="00432163"/>
    <w:rsid w:val="00434BC9"/>
    <w:rsid w:val="004422D6"/>
    <w:rsid w:val="00443DB5"/>
    <w:rsid w:val="00443F10"/>
    <w:rsid w:val="00445F18"/>
    <w:rsid w:val="004513E8"/>
    <w:rsid w:val="00462527"/>
    <w:rsid w:val="00467950"/>
    <w:rsid w:val="00471F8D"/>
    <w:rsid w:val="00476A47"/>
    <w:rsid w:val="00476F40"/>
    <w:rsid w:val="00477B6D"/>
    <w:rsid w:val="00482FC0"/>
    <w:rsid w:val="00483490"/>
    <w:rsid w:val="00485B5F"/>
    <w:rsid w:val="00487048"/>
    <w:rsid w:val="0048706D"/>
    <w:rsid w:val="00490869"/>
    <w:rsid w:val="0049197E"/>
    <w:rsid w:val="00493EF0"/>
    <w:rsid w:val="004A34D2"/>
    <w:rsid w:val="004A51B7"/>
    <w:rsid w:val="004B2EF6"/>
    <w:rsid w:val="004B5A38"/>
    <w:rsid w:val="004B6213"/>
    <w:rsid w:val="004B62BE"/>
    <w:rsid w:val="004C0588"/>
    <w:rsid w:val="004C35C3"/>
    <w:rsid w:val="004C56C4"/>
    <w:rsid w:val="004C64DF"/>
    <w:rsid w:val="004D021E"/>
    <w:rsid w:val="004D2202"/>
    <w:rsid w:val="004D2FE0"/>
    <w:rsid w:val="004D6F1F"/>
    <w:rsid w:val="004E2DEA"/>
    <w:rsid w:val="004E420A"/>
    <w:rsid w:val="004E6117"/>
    <w:rsid w:val="004F1A74"/>
    <w:rsid w:val="004F39DB"/>
    <w:rsid w:val="004F3CEB"/>
    <w:rsid w:val="004F3E22"/>
    <w:rsid w:val="004F4C0F"/>
    <w:rsid w:val="004F69B3"/>
    <w:rsid w:val="004F7B52"/>
    <w:rsid w:val="0050193D"/>
    <w:rsid w:val="00501AD2"/>
    <w:rsid w:val="00504976"/>
    <w:rsid w:val="00504B90"/>
    <w:rsid w:val="0050689F"/>
    <w:rsid w:val="00507B55"/>
    <w:rsid w:val="0051074C"/>
    <w:rsid w:val="00511BA3"/>
    <w:rsid w:val="00512714"/>
    <w:rsid w:val="00513AF2"/>
    <w:rsid w:val="0051416A"/>
    <w:rsid w:val="00517832"/>
    <w:rsid w:val="00520337"/>
    <w:rsid w:val="005238E2"/>
    <w:rsid w:val="00525C51"/>
    <w:rsid w:val="005356EA"/>
    <w:rsid w:val="0053681E"/>
    <w:rsid w:val="00536F1C"/>
    <w:rsid w:val="0054229C"/>
    <w:rsid w:val="005427CF"/>
    <w:rsid w:val="00542E18"/>
    <w:rsid w:val="0054413A"/>
    <w:rsid w:val="00546CA7"/>
    <w:rsid w:val="00550FD8"/>
    <w:rsid w:val="00553C83"/>
    <w:rsid w:val="00553EAD"/>
    <w:rsid w:val="005564CA"/>
    <w:rsid w:val="00557C64"/>
    <w:rsid w:val="0056302E"/>
    <w:rsid w:val="005637B5"/>
    <w:rsid w:val="005641FB"/>
    <w:rsid w:val="00565602"/>
    <w:rsid w:val="00566674"/>
    <w:rsid w:val="00572EF9"/>
    <w:rsid w:val="00574C0E"/>
    <w:rsid w:val="005761FD"/>
    <w:rsid w:val="005776D4"/>
    <w:rsid w:val="005858C8"/>
    <w:rsid w:val="005909E4"/>
    <w:rsid w:val="00590C1A"/>
    <w:rsid w:val="005A31A3"/>
    <w:rsid w:val="005A3893"/>
    <w:rsid w:val="005A4AEC"/>
    <w:rsid w:val="005A7711"/>
    <w:rsid w:val="005B0CD4"/>
    <w:rsid w:val="005B11C6"/>
    <w:rsid w:val="005B1F39"/>
    <w:rsid w:val="005B57CE"/>
    <w:rsid w:val="005B75D8"/>
    <w:rsid w:val="005C275C"/>
    <w:rsid w:val="005C4AB9"/>
    <w:rsid w:val="005C50CF"/>
    <w:rsid w:val="005C7CDD"/>
    <w:rsid w:val="005D0519"/>
    <w:rsid w:val="005D1B45"/>
    <w:rsid w:val="005D25BD"/>
    <w:rsid w:val="005D69B0"/>
    <w:rsid w:val="005E20A4"/>
    <w:rsid w:val="005E3FDC"/>
    <w:rsid w:val="005E46CB"/>
    <w:rsid w:val="005E55D7"/>
    <w:rsid w:val="005E5AD9"/>
    <w:rsid w:val="00600AC5"/>
    <w:rsid w:val="00604F33"/>
    <w:rsid w:val="006052ED"/>
    <w:rsid w:val="00606730"/>
    <w:rsid w:val="006072DA"/>
    <w:rsid w:val="00615A40"/>
    <w:rsid w:val="0062065E"/>
    <w:rsid w:val="00621149"/>
    <w:rsid w:val="0062127A"/>
    <w:rsid w:val="00621E35"/>
    <w:rsid w:val="0062303B"/>
    <w:rsid w:val="00627F7D"/>
    <w:rsid w:val="00635151"/>
    <w:rsid w:val="00636072"/>
    <w:rsid w:val="00642B0D"/>
    <w:rsid w:val="00644299"/>
    <w:rsid w:val="00644E90"/>
    <w:rsid w:val="00645D51"/>
    <w:rsid w:val="006535D1"/>
    <w:rsid w:val="00654AA6"/>
    <w:rsid w:val="00655371"/>
    <w:rsid w:val="00656629"/>
    <w:rsid w:val="00662A05"/>
    <w:rsid w:val="00662D79"/>
    <w:rsid w:val="006735A6"/>
    <w:rsid w:val="00675412"/>
    <w:rsid w:val="006754C6"/>
    <w:rsid w:val="00676EE8"/>
    <w:rsid w:val="00685F97"/>
    <w:rsid w:val="00687EC0"/>
    <w:rsid w:val="00690936"/>
    <w:rsid w:val="00697665"/>
    <w:rsid w:val="006A7FD0"/>
    <w:rsid w:val="006B0278"/>
    <w:rsid w:val="006B3A0D"/>
    <w:rsid w:val="006B4093"/>
    <w:rsid w:val="006B6ED7"/>
    <w:rsid w:val="006C0BAA"/>
    <w:rsid w:val="006C1231"/>
    <w:rsid w:val="006C2612"/>
    <w:rsid w:val="006C68E6"/>
    <w:rsid w:val="006D0203"/>
    <w:rsid w:val="006D0AAC"/>
    <w:rsid w:val="006D1878"/>
    <w:rsid w:val="006D32A2"/>
    <w:rsid w:val="006D7687"/>
    <w:rsid w:val="006D79C0"/>
    <w:rsid w:val="006D7AF0"/>
    <w:rsid w:val="006E0572"/>
    <w:rsid w:val="006E54A1"/>
    <w:rsid w:val="00700D9E"/>
    <w:rsid w:val="00704381"/>
    <w:rsid w:val="00705631"/>
    <w:rsid w:val="0071707F"/>
    <w:rsid w:val="00722D5C"/>
    <w:rsid w:val="00726845"/>
    <w:rsid w:val="00727C3C"/>
    <w:rsid w:val="00734A94"/>
    <w:rsid w:val="00734B73"/>
    <w:rsid w:val="00735EB6"/>
    <w:rsid w:val="00737DB6"/>
    <w:rsid w:val="007424A8"/>
    <w:rsid w:val="00742DD2"/>
    <w:rsid w:val="00744529"/>
    <w:rsid w:val="007452CF"/>
    <w:rsid w:val="0075010E"/>
    <w:rsid w:val="007511C7"/>
    <w:rsid w:val="00751379"/>
    <w:rsid w:val="00754451"/>
    <w:rsid w:val="00755127"/>
    <w:rsid w:val="0075647A"/>
    <w:rsid w:val="00756B38"/>
    <w:rsid w:val="007575ED"/>
    <w:rsid w:val="007609E9"/>
    <w:rsid w:val="007618B2"/>
    <w:rsid w:val="007634AD"/>
    <w:rsid w:val="00764F47"/>
    <w:rsid w:val="0076517D"/>
    <w:rsid w:val="00771390"/>
    <w:rsid w:val="007810C3"/>
    <w:rsid w:val="0078122E"/>
    <w:rsid w:val="00781AA8"/>
    <w:rsid w:val="0078365A"/>
    <w:rsid w:val="0078391E"/>
    <w:rsid w:val="0079134A"/>
    <w:rsid w:val="00795113"/>
    <w:rsid w:val="007A645F"/>
    <w:rsid w:val="007A6A34"/>
    <w:rsid w:val="007A7080"/>
    <w:rsid w:val="007B0854"/>
    <w:rsid w:val="007B3DAF"/>
    <w:rsid w:val="007B5B11"/>
    <w:rsid w:val="007C5CF1"/>
    <w:rsid w:val="007D220F"/>
    <w:rsid w:val="007D2317"/>
    <w:rsid w:val="007D3323"/>
    <w:rsid w:val="007E193F"/>
    <w:rsid w:val="007E24A0"/>
    <w:rsid w:val="007E331A"/>
    <w:rsid w:val="007E6D71"/>
    <w:rsid w:val="007E7112"/>
    <w:rsid w:val="007E73FE"/>
    <w:rsid w:val="007F1C74"/>
    <w:rsid w:val="007F5937"/>
    <w:rsid w:val="007F7255"/>
    <w:rsid w:val="007F72CB"/>
    <w:rsid w:val="00801F73"/>
    <w:rsid w:val="00802FF0"/>
    <w:rsid w:val="008065A8"/>
    <w:rsid w:val="00806F37"/>
    <w:rsid w:val="00807AB4"/>
    <w:rsid w:val="00810875"/>
    <w:rsid w:val="00811EDD"/>
    <w:rsid w:val="00816423"/>
    <w:rsid w:val="0081689C"/>
    <w:rsid w:val="00816B40"/>
    <w:rsid w:val="008229F3"/>
    <w:rsid w:val="00824A6D"/>
    <w:rsid w:val="00826F8B"/>
    <w:rsid w:val="00830498"/>
    <w:rsid w:val="0083119B"/>
    <w:rsid w:val="00835C7D"/>
    <w:rsid w:val="008369AB"/>
    <w:rsid w:val="00836EAB"/>
    <w:rsid w:val="00837C23"/>
    <w:rsid w:val="008431E7"/>
    <w:rsid w:val="00844741"/>
    <w:rsid w:val="00844F9D"/>
    <w:rsid w:val="0084692D"/>
    <w:rsid w:val="0085092D"/>
    <w:rsid w:val="00854B8E"/>
    <w:rsid w:val="00860B66"/>
    <w:rsid w:val="008615FD"/>
    <w:rsid w:val="00862405"/>
    <w:rsid w:val="00863745"/>
    <w:rsid w:val="00864BE4"/>
    <w:rsid w:val="008662E2"/>
    <w:rsid w:val="00866AEB"/>
    <w:rsid w:val="00871A33"/>
    <w:rsid w:val="008735FF"/>
    <w:rsid w:val="00874B3D"/>
    <w:rsid w:val="00875F8B"/>
    <w:rsid w:val="0088415F"/>
    <w:rsid w:val="00884F75"/>
    <w:rsid w:val="008865C0"/>
    <w:rsid w:val="0088776A"/>
    <w:rsid w:val="008903AE"/>
    <w:rsid w:val="00893375"/>
    <w:rsid w:val="008941DC"/>
    <w:rsid w:val="00894712"/>
    <w:rsid w:val="00896CE7"/>
    <w:rsid w:val="00896EE0"/>
    <w:rsid w:val="008A0886"/>
    <w:rsid w:val="008A29B2"/>
    <w:rsid w:val="008A56B5"/>
    <w:rsid w:val="008A7A0F"/>
    <w:rsid w:val="008A7BB3"/>
    <w:rsid w:val="008B1764"/>
    <w:rsid w:val="008B5890"/>
    <w:rsid w:val="008B6368"/>
    <w:rsid w:val="008B79E0"/>
    <w:rsid w:val="008C2A2A"/>
    <w:rsid w:val="008C449B"/>
    <w:rsid w:val="008C5FE5"/>
    <w:rsid w:val="008D7064"/>
    <w:rsid w:val="008E121D"/>
    <w:rsid w:val="008E1608"/>
    <w:rsid w:val="008E1C15"/>
    <w:rsid w:val="008E3555"/>
    <w:rsid w:val="008E68C3"/>
    <w:rsid w:val="008F53F4"/>
    <w:rsid w:val="00901339"/>
    <w:rsid w:val="00902872"/>
    <w:rsid w:val="009047C5"/>
    <w:rsid w:val="00905611"/>
    <w:rsid w:val="009101AA"/>
    <w:rsid w:val="00911BF7"/>
    <w:rsid w:val="0091275E"/>
    <w:rsid w:val="00913B77"/>
    <w:rsid w:val="00916DB5"/>
    <w:rsid w:val="00921955"/>
    <w:rsid w:val="009242C9"/>
    <w:rsid w:val="00924B66"/>
    <w:rsid w:val="00932ABE"/>
    <w:rsid w:val="00941B45"/>
    <w:rsid w:val="00941BB1"/>
    <w:rsid w:val="00947945"/>
    <w:rsid w:val="00951524"/>
    <w:rsid w:val="0095385A"/>
    <w:rsid w:val="00954AC6"/>
    <w:rsid w:val="0095546A"/>
    <w:rsid w:val="009604E6"/>
    <w:rsid w:val="0096190A"/>
    <w:rsid w:val="00965006"/>
    <w:rsid w:val="00966013"/>
    <w:rsid w:val="00966595"/>
    <w:rsid w:val="00970582"/>
    <w:rsid w:val="00971321"/>
    <w:rsid w:val="00975427"/>
    <w:rsid w:val="00975E28"/>
    <w:rsid w:val="009769F6"/>
    <w:rsid w:val="00981254"/>
    <w:rsid w:val="009859D4"/>
    <w:rsid w:val="0098629E"/>
    <w:rsid w:val="009A7EAF"/>
    <w:rsid w:val="009B2E85"/>
    <w:rsid w:val="009B3E7E"/>
    <w:rsid w:val="009B42A9"/>
    <w:rsid w:val="009C0366"/>
    <w:rsid w:val="009C12D0"/>
    <w:rsid w:val="009C2258"/>
    <w:rsid w:val="009C50D0"/>
    <w:rsid w:val="009C50DA"/>
    <w:rsid w:val="009C56E5"/>
    <w:rsid w:val="009E0233"/>
    <w:rsid w:val="009F12D8"/>
    <w:rsid w:val="00A06772"/>
    <w:rsid w:val="00A074BF"/>
    <w:rsid w:val="00A0798E"/>
    <w:rsid w:val="00A12E39"/>
    <w:rsid w:val="00A1500F"/>
    <w:rsid w:val="00A17103"/>
    <w:rsid w:val="00A23EDF"/>
    <w:rsid w:val="00A241AD"/>
    <w:rsid w:val="00A24322"/>
    <w:rsid w:val="00A24560"/>
    <w:rsid w:val="00A24FCF"/>
    <w:rsid w:val="00A25C0C"/>
    <w:rsid w:val="00A27285"/>
    <w:rsid w:val="00A31BC6"/>
    <w:rsid w:val="00A34538"/>
    <w:rsid w:val="00A37819"/>
    <w:rsid w:val="00A43B4B"/>
    <w:rsid w:val="00A44694"/>
    <w:rsid w:val="00A45F5D"/>
    <w:rsid w:val="00A47BA8"/>
    <w:rsid w:val="00A50EA1"/>
    <w:rsid w:val="00A537D4"/>
    <w:rsid w:val="00A54843"/>
    <w:rsid w:val="00A54FA1"/>
    <w:rsid w:val="00A562DC"/>
    <w:rsid w:val="00A5668B"/>
    <w:rsid w:val="00A60725"/>
    <w:rsid w:val="00A60A14"/>
    <w:rsid w:val="00A620C8"/>
    <w:rsid w:val="00A64ADC"/>
    <w:rsid w:val="00A669EC"/>
    <w:rsid w:val="00A67F5B"/>
    <w:rsid w:val="00A70ECB"/>
    <w:rsid w:val="00A715F1"/>
    <w:rsid w:val="00A737CD"/>
    <w:rsid w:val="00A8084F"/>
    <w:rsid w:val="00A81098"/>
    <w:rsid w:val="00A83FFE"/>
    <w:rsid w:val="00A8663D"/>
    <w:rsid w:val="00A95A3C"/>
    <w:rsid w:val="00A95E66"/>
    <w:rsid w:val="00AA442B"/>
    <w:rsid w:val="00AA6D04"/>
    <w:rsid w:val="00AA707B"/>
    <w:rsid w:val="00AB177F"/>
    <w:rsid w:val="00AB31E7"/>
    <w:rsid w:val="00AB3864"/>
    <w:rsid w:val="00AB7B09"/>
    <w:rsid w:val="00AC0DBD"/>
    <w:rsid w:val="00AC22E7"/>
    <w:rsid w:val="00AC7FE2"/>
    <w:rsid w:val="00AD0B3D"/>
    <w:rsid w:val="00AD0EDA"/>
    <w:rsid w:val="00AD3670"/>
    <w:rsid w:val="00AD4D17"/>
    <w:rsid w:val="00AD57D9"/>
    <w:rsid w:val="00AE3C7C"/>
    <w:rsid w:val="00AF16AE"/>
    <w:rsid w:val="00AF1718"/>
    <w:rsid w:val="00AF2440"/>
    <w:rsid w:val="00AF798A"/>
    <w:rsid w:val="00B004FA"/>
    <w:rsid w:val="00B04EDB"/>
    <w:rsid w:val="00B064C3"/>
    <w:rsid w:val="00B11CB1"/>
    <w:rsid w:val="00B159A0"/>
    <w:rsid w:val="00B160D8"/>
    <w:rsid w:val="00B2165B"/>
    <w:rsid w:val="00B22E22"/>
    <w:rsid w:val="00B26B8B"/>
    <w:rsid w:val="00B311A1"/>
    <w:rsid w:val="00B333CE"/>
    <w:rsid w:val="00B33532"/>
    <w:rsid w:val="00B36A7A"/>
    <w:rsid w:val="00B36C98"/>
    <w:rsid w:val="00B37C12"/>
    <w:rsid w:val="00B40EBB"/>
    <w:rsid w:val="00B41E72"/>
    <w:rsid w:val="00B44CCE"/>
    <w:rsid w:val="00B51C71"/>
    <w:rsid w:val="00B525CB"/>
    <w:rsid w:val="00B52A56"/>
    <w:rsid w:val="00B53388"/>
    <w:rsid w:val="00B56418"/>
    <w:rsid w:val="00B6012D"/>
    <w:rsid w:val="00B61BDD"/>
    <w:rsid w:val="00B61FD8"/>
    <w:rsid w:val="00B6341B"/>
    <w:rsid w:val="00B63CB2"/>
    <w:rsid w:val="00B65ABA"/>
    <w:rsid w:val="00B71D4E"/>
    <w:rsid w:val="00B74072"/>
    <w:rsid w:val="00B77832"/>
    <w:rsid w:val="00B851DC"/>
    <w:rsid w:val="00B93513"/>
    <w:rsid w:val="00BA2314"/>
    <w:rsid w:val="00BA62F5"/>
    <w:rsid w:val="00BA71CD"/>
    <w:rsid w:val="00BA753C"/>
    <w:rsid w:val="00BB2C01"/>
    <w:rsid w:val="00BB59B6"/>
    <w:rsid w:val="00BC1B41"/>
    <w:rsid w:val="00BC7936"/>
    <w:rsid w:val="00BD0D6C"/>
    <w:rsid w:val="00BD1EF0"/>
    <w:rsid w:val="00BD422F"/>
    <w:rsid w:val="00BD5D8F"/>
    <w:rsid w:val="00BD78FE"/>
    <w:rsid w:val="00BE0EDB"/>
    <w:rsid w:val="00BE2C3A"/>
    <w:rsid w:val="00BE5D5F"/>
    <w:rsid w:val="00BF1906"/>
    <w:rsid w:val="00BF46F6"/>
    <w:rsid w:val="00BF5880"/>
    <w:rsid w:val="00BF624E"/>
    <w:rsid w:val="00BF7C67"/>
    <w:rsid w:val="00BF7E18"/>
    <w:rsid w:val="00C03DC6"/>
    <w:rsid w:val="00C07C55"/>
    <w:rsid w:val="00C1017B"/>
    <w:rsid w:val="00C13234"/>
    <w:rsid w:val="00C14C9E"/>
    <w:rsid w:val="00C15E76"/>
    <w:rsid w:val="00C17D54"/>
    <w:rsid w:val="00C21E1B"/>
    <w:rsid w:val="00C22B69"/>
    <w:rsid w:val="00C30E82"/>
    <w:rsid w:val="00C343AD"/>
    <w:rsid w:val="00C34B22"/>
    <w:rsid w:val="00C35F7C"/>
    <w:rsid w:val="00C371A6"/>
    <w:rsid w:val="00C5124A"/>
    <w:rsid w:val="00C5128E"/>
    <w:rsid w:val="00C523AA"/>
    <w:rsid w:val="00C528E6"/>
    <w:rsid w:val="00C65DCF"/>
    <w:rsid w:val="00C67FE4"/>
    <w:rsid w:val="00C7160E"/>
    <w:rsid w:val="00C720DD"/>
    <w:rsid w:val="00C759C4"/>
    <w:rsid w:val="00C7628E"/>
    <w:rsid w:val="00C762CE"/>
    <w:rsid w:val="00C913C9"/>
    <w:rsid w:val="00C914CD"/>
    <w:rsid w:val="00C93A8A"/>
    <w:rsid w:val="00C93EB1"/>
    <w:rsid w:val="00C968EC"/>
    <w:rsid w:val="00CA3F2F"/>
    <w:rsid w:val="00CA6816"/>
    <w:rsid w:val="00CA7FEF"/>
    <w:rsid w:val="00CB345A"/>
    <w:rsid w:val="00CC00CD"/>
    <w:rsid w:val="00CC1660"/>
    <w:rsid w:val="00CC3E1F"/>
    <w:rsid w:val="00CC72A0"/>
    <w:rsid w:val="00CC7BB6"/>
    <w:rsid w:val="00CC7FF4"/>
    <w:rsid w:val="00CD3ACB"/>
    <w:rsid w:val="00CD5C88"/>
    <w:rsid w:val="00CE14B9"/>
    <w:rsid w:val="00CE1F6E"/>
    <w:rsid w:val="00CE20F7"/>
    <w:rsid w:val="00CE3521"/>
    <w:rsid w:val="00CE352A"/>
    <w:rsid w:val="00CE6542"/>
    <w:rsid w:val="00CE675D"/>
    <w:rsid w:val="00CF10C1"/>
    <w:rsid w:val="00CF2489"/>
    <w:rsid w:val="00CF2BDE"/>
    <w:rsid w:val="00CF2E86"/>
    <w:rsid w:val="00CF415E"/>
    <w:rsid w:val="00D10643"/>
    <w:rsid w:val="00D10740"/>
    <w:rsid w:val="00D10E69"/>
    <w:rsid w:val="00D117C5"/>
    <w:rsid w:val="00D13EF1"/>
    <w:rsid w:val="00D1627F"/>
    <w:rsid w:val="00D1676F"/>
    <w:rsid w:val="00D16E39"/>
    <w:rsid w:val="00D2531F"/>
    <w:rsid w:val="00D25BEF"/>
    <w:rsid w:val="00D25C34"/>
    <w:rsid w:val="00D26D7F"/>
    <w:rsid w:val="00D309A0"/>
    <w:rsid w:val="00D30D87"/>
    <w:rsid w:val="00D35139"/>
    <w:rsid w:val="00D41357"/>
    <w:rsid w:val="00D433FD"/>
    <w:rsid w:val="00D44475"/>
    <w:rsid w:val="00D51773"/>
    <w:rsid w:val="00D52D42"/>
    <w:rsid w:val="00D52F10"/>
    <w:rsid w:val="00D53486"/>
    <w:rsid w:val="00D5523A"/>
    <w:rsid w:val="00D5689F"/>
    <w:rsid w:val="00D60714"/>
    <w:rsid w:val="00D6212C"/>
    <w:rsid w:val="00D70F3B"/>
    <w:rsid w:val="00D72E9D"/>
    <w:rsid w:val="00D73D97"/>
    <w:rsid w:val="00D74CDA"/>
    <w:rsid w:val="00D77683"/>
    <w:rsid w:val="00D802C1"/>
    <w:rsid w:val="00D8081E"/>
    <w:rsid w:val="00D81907"/>
    <w:rsid w:val="00D82CE5"/>
    <w:rsid w:val="00D832AF"/>
    <w:rsid w:val="00D83B93"/>
    <w:rsid w:val="00D84EE3"/>
    <w:rsid w:val="00D92430"/>
    <w:rsid w:val="00DA3351"/>
    <w:rsid w:val="00DA4E96"/>
    <w:rsid w:val="00DA5AB1"/>
    <w:rsid w:val="00DA740E"/>
    <w:rsid w:val="00DB36AB"/>
    <w:rsid w:val="00DB614C"/>
    <w:rsid w:val="00DC0452"/>
    <w:rsid w:val="00DC5121"/>
    <w:rsid w:val="00DC53A6"/>
    <w:rsid w:val="00DC62E5"/>
    <w:rsid w:val="00DD07F7"/>
    <w:rsid w:val="00DD1B27"/>
    <w:rsid w:val="00DD20BA"/>
    <w:rsid w:val="00DD30CE"/>
    <w:rsid w:val="00DD584D"/>
    <w:rsid w:val="00DD735D"/>
    <w:rsid w:val="00DE3119"/>
    <w:rsid w:val="00DE3CA6"/>
    <w:rsid w:val="00DF02DC"/>
    <w:rsid w:val="00DF0F8E"/>
    <w:rsid w:val="00DF236B"/>
    <w:rsid w:val="00DF248A"/>
    <w:rsid w:val="00DF2D13"/>
    <w:rsid w:val="00DF6F90"/>
    <w:rsid w:val="00E10D3E"/>
    <w:rsid w:val="00E13AB8"/>
    <w:rsid w:val="00E13F01"/>
    <w:rsid w:val="00E144B9"/>
    <w:rsid w:val="00E16729"/>
    <w:rsid w:val="00E16BCB"/>
    <w:rsid w:val="00E24EA1"/>
    <w:rsid w:val="00E25A08"/>
    <w:rsid w:val="00E27C85"/>
    <w:rsid w:val="00E307BC"/>
    <w:rsid w:val="00E31B50"/>
    <w:rsid w:val="00E33B62"/>
    <w:rsid w:val="00E357DC"/>
    <w:rsid w:val="00E429C9"/>
    <w:rsid w:val="00E44E00"/>
    <w:rsid w:val="00E4609B"/>
    <w:rsid w:val="00E47159"/>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817E1"/>
    <w:rsid w:val="00E90F4B"/>
    <w:rsid w:val="00E91076"/>
    <w:rsid w:val="00E9276C"/>
    <w:rsid w:val="00E93373"/>
    <w:rsid w:val="00EA4E7D"/>
    <w:rsid w:val="00EA76D7"/>
    <w:rsid w:val="00EA7CF6"/>
    <w:rsid w:val="00ED7FE6"/>
    <w:rsid w:val="00EE1D5B"/>
    <w:rsid w:val="00EE3397"/>
    <w:rsid w:val="00EE4614"/>
    <w:rsid w:val="00EE74FF"/>
    <w:rsid w:val="00EF2D2A"/>
    <w:rsid w:val="00EF7D7B"/>
    <w:rsid w:val="00EF7DB4"/>
    <w:rsid w:val="00F01D75"/>
    <w:rsid w:val="00F03745"/>
    <w:rsid w:val="00F05293"/>
    <w:rsid w:val="00F05E4F"/>
    <w:rsid w:val="00F13A3B"/>
    <w:rsid w:val="00F13F00"/>
    <w:rsid w:val="00F22044"/>
    <w:rsid w:val="00F36A58"/>
    <w:rsid w:val="00F4285A"/>
    <w:rsid w:val="00F444A4"/>
    <w:rsid w:val="00F45FE4"/>
    <w:rsid w:val="00F50D1D"/>
    <w:rsid w:val="00F57426"/>
    <w:rsid w:val="00F617C8"/>
    <w:rsid w:val="00F63E8C"/>
    <w:rsid w:val="00F64252"/>
    <w:rsid w:val="00F70073"/>
    <w:rsid w:val="00F70C89"/>
    <w:rsid w:val="00F7402A"/>
    <w:rsid w:val="00F74D1D"/>
    <w:rsid w:val="00F75297"/>
    <w:rsid w:val="00F7571C"/>
    <w:rsid w:val="00F7608B"/>
    <w:rsid w:val="00F77524"/>
    <w:rsid w:val="00F8291A"/>
    <w:rsid w:val="00F82CE2"/>
    <w:rsid w:val="00F83681"/>
    <w:rsid w:val="00F8436F"/>
    <w:rsid w:val="00F84899"/>
    <w:rsid w:val="00F859F0"/>
    <w:rsid w:val="00F9050C"/>
    <w:rsid w:val="00F94E91"/>
    <w:rsid w:val="00F974BA"/>
    <w:rsid w:val="00FA0C11"/>
    <w:rsid w:val="00FA7689"/>
    <w:rsid w:val="00FA7D4C"/>
    <w:rsid w:val="00FA7D6F"/>
    <w:rsid w:val="00FB0241"/>
    <w:rsid w:val="00FB0FEA"/>
    <w:rsid w:val="00FB289E"/>
    <w:rsid w:val="00FB46F8"/>
    <w:rsid w:val="00FB672B"/>
    <w:rsid w:val="00FC180A"/>
    <w:rsid w:val="00FE037F"/>
    <w:rsid w:val="00FE141E"/>
    <w:rsid w:val="00FE159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paragraph" w:customStyle="1" w:styleId="CEDAContenido">
    <w:name w:val="CEDA Contenido"/>
    <w:basedOn w:val="Normal"/>
    <w:link w:val="CEDAContenidoCar"/>
    <w:qFormat/>
    <w:rsid w:val="00374C3D"/>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374C3D"/>
    <w:rPr>
      <w:rFonts w:ascii="Bookman Old Style" w:eastAsiaTheme="minorEastAsia"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EF223-A129-41A5-88E2-0B8FDFF3B71F}">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9d85dbaf-23eb-4e57-a637-93dcacc8b1a1"/>
    <ds:schemaRef ds:uri="http://schemas.microsoft.com/office/2006/documentManagement/types"/>
    <ds:schemaRef ds:uri="http://schemas.microsoft.com/office/infopath/2007/PartnerControls"/>
    <ds:schemaRef ds:uri="a6cb9e4b-f1d1-4245-83ec-6cad768d538a"/>
    <ds:schemaRef ds:uri="http://purl.org/dc/elements/1.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73F74F1-C6D2-4BA5-96CB-58C6E300D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25</TotalTime>
  <Pages>16</Pages>
  <Words>5231</Words>
  <Characters>28776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4</cp:revision>
  <dcterms:created xsi:type="dcterms:W3CDTF">2021-09-03T16:40:00Z</dcterms:created>
  <dcterms:modified xsi:type="dcterms:W3CDTF">2021-09-03T17:45:00Z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