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31E4" w14:textId="77777777" w:rsidR="005B6E09" w:rsidRPr="00180F68" w:rsidRDefault="005B6E09" w:rsidP="005B6E09">
      <w:pPr>
        <w:ind w:left="708" w:hanging="708"/>
        <w:jc w:val="right"/>
        <w:rPr>
          <w:rFonts w:ascii="Arial" w:hAnsi="Arial" w:cs="Arial"/>
          <w:b/>
          <w:sz w:val="16"/>
          <w:szCs w:val="16"/>
          <w:lang w:eastAsia="es-ES"/>
        </w:rPr>
      </w:pPr>
      <w:bookmarkStart w:id="0" w:name="_Hlk34041509"/>
      <w:bookmarkStart w:id="1" w:name="_Hlk28946138"/>
      <w:bookmarkStart w:id="2" w:name="_Hlk29548183"/>
      <w:bookmarkEnd w:id="0"/>
      <w:r w:rsidRPr="00180F68">
        <w:rPr>
          <w:rFonts w:ascii="Arial" w:hAnsi="Arial" w:cs="Arial"/>
          <w:b/>
          <w:sz w:val="16"/>
          <w:szCs w:val="16"/>
          <w:lang w:eastAsia="es-ES"/>
        </w:rPr>
        <w:t>CCE-DES-FM-17</w:t>
      </w:r>
    </w:p>
    <w:p w14:paraId="08CAA936" w14:textId="77777777" w:rsidR="005B6E09" w:rsidRPr="00180F68" w:rsidRDefault="005B6E09" w:rsidP="005B6E09">
      <w:pPr>
        <w:jc w:val="both"/>
        <w:rPr>
          <w:rFonts w:ascii="Arial" w:eastAsia="Calibri" w:hAnsi="Arial" w:cs="Arial"/>
          <w:b/>
          <w:sz w:val="16"/>
          <w:szCs w:val="16"/>
        </w:rPr>
      </w:pPr>
    </w:p>
    <w:p w14:paraId="6C42E157" w14:textId="5C85C4C0" w:rsidR="009A5AA4" w:rsidRPr="00180F68" w:rsidRDefault="00B708C3" w:rsidP="009A5AA4">
      <w:pPr>
        <w:jc w:val="both"/>
        <w:rPr>
          <w:rFonts w:ascii="Arial" w:eastAsia="Calibri" w:hAnsi="Arial" w:cs="Arial"/>
          <w:b/>
          <w:bCs/>
          <w:color w:val="000000" w:themeColor="text1"/>
          <w:sz w:val="22"/>
          <w:lang w:val="es-ES_tradnl"/>
        </w:rPr>
      </w:pPr>
      <w:r w:rsidRPr="00180F68">
        <w:rPr>
          <w:rFonts w:ascii="Arial" w:eastAsia="Calibri" w:hAnsi="Arial" w:cs="Arial"/>
          <w:b/>
          <w:bCs/>
          <w:color w:val="000000" w:themeColor="text1"/>
          <w:sz w:val="22"/>
          <w:lang w:val="es-ES_tradnl"/>
        </w:rPr>
        <w:t>DOCUMENTOS TIPO – Fundamento normativo</w:t>
      </w:r>
    </w:p>
    <w:p w14:paraId="12D9E414" w14:textId="4C0F7D13" w:rsidR="00B708C3" w:rsidRPr="00180F68" w:rsidRDefault="00B708C3" w:rsidP="009A5AA4">
      <w:pPr>
        <w:jc w:val="both"/>
        <w:rPr>
          <w:rFonts w:ascii="Arial" w:eastAsia="Calibri" w:hAnsi="Arial" w:cs="Arial"/>
          <w:b/>
          <w:bCs/>
          <w:color w:val="000000" w:themeColor="text1"/>
          <w:sz w:val="22"/>
          <w:lang w:val="es-ES_tradnl"/>
        </w:rPr>
      </w:pPr>
    </w:p>
    <w:p w14:paraId="610013C5" w14:textId="77777777" w:rsidR="00E803FB" w:rsidRPr="003668C9" w:rsidRDefault="00E803FB" w:rsidP="00E803FB">
      <w:pPr>
        <w:shd w:val="clear" w:color="auto" w:fill="FFFFFF"/>
        <w:jc w:val="both"/>
        <w:rPr>
          <w:rFonts w:ascii="Arial" w:hAnsi="Arial" w:cs="Arial"/>
          <w:color w:val="0D0D0D"/>
          <w:sz w:val="20"/>
          <w:szCs w:val="20"/>
          <w:bdr w:val="none" w:sz="0" w:space="0" w:color="auto" w:frame="1"/>
          <w:lang w:eastAsia="es-CO"/>
        </w:rPr>
      </w:pPr>
      <w:r w:rsidRPr="003668C9">
        <w:rPr>
          <w:rFonts w:ascii="Arial" w:hAnsi="Arial" w:cs="Arial"/>
          <w:color w:val="0D0D0D"/>
          <w:sz w:val="20"/>
          <w:szCs w:val="20"/>
          <w:bdr w:val="none" w:sz="0" w:space="0" w:color="auto" w:frame="1"/>
          <w:lang w:eastAsia="es-CO"/>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 </w:t>
      </w:r>
    </w:p>
    <w:p w14:paraId="5B035BC2" w14:textId="77777777" w:rsidR="00E803FB" w:rsidRPr="003668C9" w:rsidRDefault="00E803FB" w:rsidP="00E803FB">
      <w:pPr>
        <w:rPr>
          <w:rFonts w:ascii="Arial" w:hAnsi="Arial" w:cs="Arial"/>
          <w:sz w:val="20"/>
          <w:szCs w:val="20"/>
        </w:rPr>
      </w:pPr>
      <w:r w:rsidRPr="003668C9">
        <w:rPr>
          <w:rFonts w:ascii="Arial" w:hAnsi="Arial" w:cs="Arial"/>
          <w:sz w:val="20"/>
          <w:szCs w:val="20"/>
        </w:rPr>
        <w:t>[….]</w:t>
      </w:r>
    </w:p>
    <w:p w14:paraId="2AE41099" w14:textId="77777777" w:rsidR="00E803FB" w:rsidRPr="003668C9" w:rsidRDefault="00E803FB" w:rsidP="00E803FB">
      <w:pPr>
        <w:shd w:val="clear" w:color="auto" w:fill="FFFFFF"/>
        <w:jc w:val="both"/>
        <w:rPr>
          <w:rFonts w:ascii="Arial" w:hAnsi="Arial" w:cs="Arial"/>
          <w:color w:val="0D0D0D"/>
          <w:sz w:val="20"/>
          <w:szCs w:val="20"/>
          <w:bdr w:val="none" w:sz="0" w:space="0" w:color="auto" w:frame="1"/>
          <w:lang w:eastAsia="es-CO"/>
        </w:rPr>
      </w:pPr>
      <w:r w:rsidRPr="003668C9">
        <w:rPr>
          <w:rFonts w:ascii="Arial" w:hAnsi="Arial" w:cs="Arial"/>
          <w:color w:val="0D0D0D"/>
          <w:sz w:val="20"/>
          <w:szCs w:val="20"/>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3668C9">
        <w:rPr>
          <w:rFonts w:ascii="Arial" w:hAnsi="Arial" w:cs="Arial"/>
          <w:color w:val="0D0D0D"/>
          <w:sz w:val="20"/>
          <w:szCs w:val="20"/>
          <w:bdr w:val="none" w:sz="0" w:space="0" w:color="auto" w:frame="1"/>
          <w:lang w:eastAsia="es-CO"/>
        </w:rPr>
        <w:t>ii</w:t>
      </w:r>
      <w:proofErr w:type="spellEnd"/>
      <w:r w:rsidRPr="003668C9">
        <w:rPr>
          <w:rFonts w:ascii="Arial" w:hAnsi="Arial" w:cs="Arial"/>
          <w:color w:val="0D0D0D"/>
          <w:sz w:val="20"/>
          <w:szCs w:val="20"/>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3668C9">
        <w:rPr>
          <w:rFonts w:ascii="Arial" w:hAnsi="Arial" w:cs="Arial"/>
          <w:color w:val="0D0D0D"/>
          <w:sz w:val="20"/>
          <w:szCs w:val="20"/>
          <w:bdr w:val="none" w:sz="0" w:space="0" w:color="auto" w:frame="1"/>
          <w:lang w:eastAsia="es-CO"/>
        </w:rPr>
        <w:t>iii</w:t>
      </w:r>
      <w:proofErr w:type="spellEnd"/>
      <w:r w:rsidRPr="003668C9">
        <w:rPr>
          <w:rFonts w:ascii="Arial" w:hAnsi="Arial" w:cs="Arial"/>
          <w:color w:val="0D0D0D"/>
          <w:sz w:val="20"/>
          <w:szCs w:val="20"/>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3668C9">
        <w:rPr>
          <w:rFonts w:ascii="Arial" w:hAnsi="Arial" w:cs="Arial"/>
          <w:color w:val="0D0D0D"/>
          <w:sz w:val="20"/>
          <w:szCs w:val="20"/>
          <w:bdr w:val="none" w:sz="0" w:space="0" w:color="auto" w:frame="1"/>
          <w:lang w:eastAsia="es-CO"/>
        </w:rPr>
        <w:t>iv</w:t>
      </w:r>
      <w:proofErr w:type="spellEnd"/>
      <w:r w:rsidRPr="003668C9">
        <w:rPr>
          <w:rFonts w:ascii="Arial" w:hAnsi="Arial" w:cs="Arial"/>
          <w:color w:val="0D0D0D"/>
          <w:sz w:val="20"/>
          <w:szCs w:val="20"/>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11212763" w14:textId="3FFF6A6F" w:rsidR="005B6E09" w:rsidRPr="00180F68" w:rsidRDefault="005B6E09" w:rsidP="0002432A">
      <w:pPr>
        <w:jc w:val="both"/>
        <w:rPr>
          <w:rFonts w:ascii="Arial" w:hAnsi="Arial" w:cs="Arial"/>
          <w:color w:val="000000" w:themeColor="text1"/>
          <w:sz w:val="20"/>
          <w:szCs w:val="20"/>
          <w:lang w:val="es-CO"/>
        </w:rPr>
      </w:pPr>
    </w:p>
    <w:p w14:paraId="3CB83A86" w14:textId="77777777" w:rsidR="00950711" w:rsidRPr="00180F68" w:rsidRDefault="00950711" w:rsidP="0002432A">
      <w:pPr>
        <w:jc w:val="both"/>
        <w:rPr>
          <w:rFonts w:ascii="Arial" w:hAnsi="Arial" w:cs="Arial"/>
          <w:b/>
          <w:sz w:val="22"/>
        </w:rPr>
      </w:pPr>
      <w:r w:rsidRPr="00180F68">
        <w:rPr>
          <w:rFonts w:ascii="Arial" w:eastAsia="Calibri" w:hAnsi="Arial" w:cs="Arial"/>
          <w:b/>
          <w:sz w:val="22"/>
        </w:rPr>
        <w:t xml:space="preserve">DOCUMENTOS TIPO – Inalterabilidad – Información en corchetes y resaltado gris </w:t>
      </w:r>
    </w:p>
    <w:p w14:paraId="02AA00BF" w14:textId="77777777" w:rsidR="00950711" w:rsidRPr="00180F68" w:rsidRDefault="00950711" w:rsidP="0002432A">
      <w:pPr>
        <w:jc w:val="both"/>
        <w:rPr>
          <w:rFonts w:ascii="Arial" w:hAnsi="Arial" w:cs="Arial"/>
          <w:sz w:val="20"/>
          <w:szCs w:val="20"/>
        </w:rPr>
      </w:pPr>
    </w:p>
    <w:p w14:paraId="5399970C" w14:textId="2C347E98" w:rsidR="00E803FB" w:rsidRPr="00E803FB" w:rsidRDefault="00E803FB" w:rsidP="00E803FB">
      <w:pPr>
        <w:spacing w:before="120"/>
        <w:jc w:val="both"/>
        <w:rPr>
          <w:rFonts w:ascii="Arial" w:hAnsi="Arial" w:cs="Arial"/>
          <w:bCs/>
          <w:sz w:val="20"/>
          <w:szCs w:val="20"/>
        </w:rPr>
      </w:pPr>
      <w:r w:rsidRPr="00E803FB">
        <w:rPr>
          <w:rFonts w:ascii="Arial" w:hAnsi="Arial" w:cs="Arial"/>
          <w:bCs/>
          <w:sz w:val="20"/>
          <w:szCs w:val="20"/>
        </w:rPr>
        <w:t xml:space="preserve">[…] </w:t>
      </w:r>
      <w:r w:rsidRPr="00E803FB">
        <w:rPr>
          <w:rFonts w:ascii="Arial" w:hAnsi="Arial" w:cs="Arial"/>
          <w:bCs/>
          <w:sz w:val="20"/>
          <w:szCs w:val="20"/>
        </w:rPr>
        <w:t>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46448D1D" w14:textId="77777777" w:rsidR="00E803FB" w:rsidRPr="00E803FB" w:rsidRDefault="00E803FB" w:rsidP="00E803FB">
      <w:pPr>
        <w:spacing w:before="120"/>
        <w:jc w:val="both"/>
        <w:rPr>
          <w:rFonts w:ascii="Arial" w:hAnsi="Arial" w:cs="Arial"/>
          <w:bCs/>
          <w:sz w:val="20"/>
          <w:szCs w:val="20"/>
        </w:rPr>
      </w:pPr>
      <w:r w:rsidRPr="00E803FB">
        <w:rPr>
          <w:rFonts w:ascii="Arial" w:hAnsi="Arial" w:cs="Arial"/>
          <w:bCs/>
          <w:sz w:val="20"/>
          <w:szCs w:val="20"/>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44A30309" w14:textId="77777777" w:rsidR="00950711" w:rsidRPr="00180F68" w:rsidRDefault="00950711" w:rsidP="00E803FB">
      <w:pPr>
        <w:jc w:val="both"/>
        <w:rPr>
          <w:rFonts w:ascii="Arial" w:hAnsi="Arial" w:cs="Arial"/>
          <w:color w:val="000000" w:themeColor="text1"/>
          <w:sz w:val="20"/>
          <w:szCs w:val="20"/>
          <w:lang w:val="es-CO"/>
        </w:rPr>
      </w:pPr>
    </w:p>
    <w:p w14:paraId="3FF0C7B3" w14:textId="77777777" w:rsidR="005B6E09" w:rsidRPr="00180F68" w:rsidRDefault="005B6E09" w:rsidP="005B6E09">
      <w:pPr>
        <w:jc w:val="both"/>
        <w:rPr>
          <w:rFonts w:ascii="Arial" w:eastAsia="Calibri" w:hAnsi="Arial" w:cs="Arial"/>
          <w:b/>
          <w:bCs/>
          <w:color w:val="000000" w:themeColor="text1"/>
          <w:sz w:val="22"/>
        </w:rPr>
      </w:pPr>
      <w:r w:rsidRPr="00180F68">
        <w:rPr>
          <w:rFonts w:ascii="Arial" w:eastAsia="Calibri" w:hAnsi="Arial" w:cs="Arial"/>
          <w:b/>
          <w:bCs/>
          <w:color w:val="000000" w:themeColor="text1"/>
          <w:sz w:val="22"/>
        </w:rPr>
        <w:t>ANEXO 5 MINUTA DEL CONTRATO – Cláusula 8 ‒ Forma de pago – Opción 3 – Fórmula de pago parcial</w:t>
      </w:r>
    </w:p>
    <w:p w14:paraId="1329E37D" w14:textId="77777777" w:rsidR="005B6E09" w:rsidRPr="00180F68" w:rsidRDefault="005B6E09" w:rsidP="005B6E09">
      <w:pPr>
        <w:jc w:val="both"/>
        <w:rPr>
          <w:rFonts w:ascii="Arial" w:hAnsi="Arial" w:cs="Arial"/>
          <w:color w:val="000000" w:themeColor="text1"/>
          <w:sz w:val="20"/>
          <w:szCs w:val="20"/>
        </w:rPr>
      </w:pPr>
    </w:p>
    <w:p w14:paraId="12034CF0" w14:textId="34781711" w:rsidR="00E803FB" w:rsidRPr="00DE15CC" w:rsidRDefault="00E803FB" w:rsidP="00DE15CC">
      <w:pPr>
        <w:tabs>
          <w:tab w:val="center" w:pos="4244"/>
        </w:tabs>
        <w:spacing w:before="120" w:after="120"/>
        <w:jc w:val="both"/>
        <w:rPr>
          <w:rFonts w:ascii="Arial" w:eastAsia="Calibri" w:hAnsi="Arial" w:cs="Arial"/>
          <w:color w:val="000000" w:themeColor="text1"/>
          <w:sz w:val="20"/>
          <w:szCs w:val="20"/>
        </w:rPr>
      </w:pPr>
      <w:r w:rsidRPr="00DE15CC">
        <w:rPr>
          <w:rFonts w:ascii="Arial" w:eastAsia="Calibri" w:hAnsi="Arial" w:cs="Arial"/>
          <w:color w:val="000000" w:themeColor="text1"/>
          <w:sz w:val="20"/>
          <w:szCs w:val="20"/>
        </w:rPr>
        <w:t xml:space="preserve">Ahora bien, la «Cláusula 8. Forma de pago» tiene por objeto establecer las condiciones a las que está sometido el contratista para que la entidad estatal cancele el valor del contrato. Esta cláusula contiene tres opciones: la opción uno, sometida al porcentaje de avance mensual; la opción dos, existiendo anticipo, sometida a pagos mensuales en relación con la cantidad de obra ejecutada; y la </w:t>
      </w:r>
      <w:r w:rsidRPr="00DE15CC">
        <w:rPr>
          <w:rFonts w:ascii="Arial" w:eastAsia="Calibri" w:hAnsi="Arial" w:cs="Arial"/>
          <w:color w:val="000000" w:themeColor="text1"/>
          <w:sz w:val="20"/>
          <w:szCs w:val="20"/>
        </w:rPr>
        <w:lastRenderedPageBreak/>
        <w:t xml:space="preserve">opción tres, sometida a la entrega y recibo a satisfacción de hitos o unidades funcionales del proyecto. </w:t>
      </w:r>
    </w:p>
    <w:p w14:paraId="450B6C5B" w14:textId="6F3FF5AD" w:rsidR="00E803FB" w:rsidRPr="00DE15CC" w:rsidRDefault="00E803FB" w:rsidP="00DE15CC">
      <w:pPr>
        <w:tabs>
          <w:tab w:val="center" w:pos="4244"/>
        </w:tabs>
        <w:spacing w:before="120" w:after="120"/>
        <w:jc w:val="both"/>
        <w:rPr>
          <w:rFonts w:ascii="Arial" w:eastAsia="Calibri" w:hAnsi="Arial" w:cs="Arial"/>
          <w:color w:val="000000" w:themeColor="text1"/>
          <w:sz w:val="20"/>
          <w:szCs w:val="20"/>
        </w:rPr>
      </w:pPr>
      <w:r w:rsidRPr="00DE15CC">
        <w:rPr>
          <w:rFonts w:ascii="Arial" w:eastAsia="Calibri" w:hAnsi="Arial" w:cs="Arial"/>
          <w:color w:val="000000" w:themeColor="text1"/>
          <w:sz w:val="20"/>
          <w:szCs w:val="20"/>
        </w:rPr>
        <w:t xml:space="preserve">A su vez, esta cláusula contiene aspectos incluidos en corchetes y resaltado gris que disponen la libertad para la entidad de seleccionar la opción que considere más conveniente o de adicionar o establecer supuestos y/o condiciones diferentes para cancelar el valor del contrato. </w:t>
      </w:r>
    </w:p>
    <w:p w14:paraId="1DAD416A" w14:textId="16619835" w:rsidR="00E803FB" w:rsidRPr="00DE15CC" w:rsidRDefault="00E803FB" w:rsidP="00DE15CC">
      <w:pPr>
        <w:tabs>
          <w:tab w:val="center" w:pos="4244"/>
        </w:tabs>
        <w:spacing w:before="120" w:after="120"/>
        <w:jc w:val="both"/>
        <w:rPr>
          <w:rFonts w:ascii="Arial" w:eastAsia="Calibri" w:hAnsi="Arial" w:cs="Arial"/>
          <w:color w:val="000000" w:themeColor="text1"/>
          <w:sz w:val="20"/>
          <w:szCs w:val="20"/>
        </w:rPr>
      </w:pPr>
      <w:r w:rsidRPr="00DE15CC">
        <w:rPr>
          <w:rFonts w:ascii="Arial" w:eastAsia="Calibri" w:hAnsi="Arial" w:cs="Arial"/>
          <w:color w:val="000000" w:themeColor="text1"/>
          <w:sz w:val="20"/>
          <w:szCs w:val="20"/>
        </w:rPr>
        <w:t xml:space="preserve">Expresamente, la misma cláusula 8 permite que la entidad pueda acogerse a una de las opciones que dispone el texto de la minuta. En todo caso, también puede definir una forma de pago distinta según las necesidades de la entidad, pues podrá configurar la que considere conveniente. </w:t>
      </w:r>
      <w:r w:rsidR="007F0BEE">
        <w:rPr>
          <w:rFonts w:ascii="Arial" w:eastAsia="Calibri" w:hAnsi="Arial" w:cs="Arial"/>
          <w:color w:val="000000" w:themeColor="text1"/>
          <w:sz w:val="20"/>
          <w:szCs w:val="20"/>
        </w:rPr>
        <w:t>[…]</w:t>
      </w:r>
    </w:p>
    <w:p w14:paraId="1AB34891" w14:textId="77777777" w:rsidR="00E803FB" w:rsidRPr="00DE15CC" w:rsidRDefault="00E803FB" w:rsidP="00DE15CC">
      <w:pPr>
        <w:tabs>
          <w:tab w:val="center" w:pos="4244"/>
        </w:tabs>
        <w:spacing w:after="120"/>
        <w:jc w:val="both"/>
        <w:rPr>
          <w:rFonts w:ascii="Arial" w:eastAsia="Calibri" w:hAnsi="Arial" w:cs="Arial"/>
          <w:color w:val="000000" w:themeColor="text1"/>
          <w:sz w:val="20"/>
          <w:szCs w:val="20"/>
        </w:rPr>
      </w:pPr>
      <w:r w:rsidRPr="00DE15CC">
        <w:rPr>
          <w:rFonts w:ascii="Arial" w:eastAsia="Calibri" w:hAnsi="Arial" w:cs="Arial"/>
          <w:color w:val="000000" w:themeColor="text1"/>
          <w:sz w:val="20"/>
          <w:szCs w:val="20"/>
        </w:rPr>
        <w:t>Es importante indicar que en los «Documentos Tipo – Versión 3» de licitación pública de obra de infraestructura de transporte, la entidad debe estipular la forma de pago, el plazo, los documentos requeridos y –cuando se pacte– el pago anticipado, sin que para ello sea obligatorio establecer como forma de pago alguna de las alternativas</w:t>
      </w:r>
      <w:r w:rsidRPr="00DE15CC" w:rsidDel="00911058">
        <w:rPr>
          <w:rFonts w:ascii="Arial" w:eastAsia="Calibri" w:hAnsi="Arial" w:cs="Arial"/>
          <w:color w:val="000000" w:themeColor="text1"/>
          <w:sz w:val="20"/>
          <w:szCs w:val="20"/>
        </w:rPr>
        <w:t xml:space="preserve"> </w:t>
      </w:r>
      <w:r w:rsidRPr="00DE15CC">
        <w:rPr>
          <w:rFonts w:ascii="Arial" w:eastAsia="Calibri" w:hAnsi="Arial" w:cs="Arial"/>
          <w:color w:val="000000" w:themeColor="text1"/>
          <w:sz w:val="20"/>
          <w:szCs w:val="20"/>
        </w:rPr>
        <w:t xml:space="preserve">del anexo 5. Lo anterior en la medida que el documento tipo le permite a la entidad escoger alguna de las opciones disponibles, o configurar la forma de pago que considere conveniente para cancelar el valor del contrato. En esta medida, si la entidad puede adaptar el contenido de la cláusula 8 antes de la expedición del aviso de convocatoria y la publicación del proyecto de pliego de condiciones, sin perjuicio de los ajustes posteriores resultado de observaciones al prepliego o al pliego de condiciones definitivo, las partes del contrato pueden modificar con mayor razón el alcance de la forma de pago una vez celebrado el contrato.   </w:t>
      </w:r>
    </w:p>
    <w:p w14:paraId="6AF399F8" w14:textId="7DC2674E" w:rsidR="00E803FB" w:rsidRPr="00DE15CC" w:rsidRDefault="00E803FB" w:rsidP="00DE15CC">
      <w:pPr>
        <w:shd w:val="clear" w:color="auto" w:fill="FFFFFF"/>
        <w:spacing w:after="120"/>
        <w:jc w:val="both"/>
        <w:textAlignment w:val="baseline"/>
        <w:rPr>
          <w:rFonts w:ascii="Arial" w:eastAsia="Calibri" w:hAnsi="Arial" w:cs="Arial"/>
          <w:color w:val="000000" w:themeColor="text1"/>
          <w:sz w:val="20"/>
          <w:szCs w:val="20"/>
        </w:rPr>
      </w:pPr>
      <w:r w:rsidRPr="00DE15CC">
        <w:rPr>
          <w:rFonts w:ascii="Arial" w:eastAsia="Calibri" w:hAnsi="Arial" w:cs="Arial"/>
          <w:color w:val="000000" w:themeColor="text1"/>
          <w:sz w:val="20"/>
          <w:szCs w:val="20"/>
        </w:rPr>
        <w:t xml:space="preserve">Este razonamiento, el cual tiene por objeto los documentos tipo implementados mediante la Resolución 240 del 27 de noviembre de 2020, se aplica </w:t>
      </w:r>
      <w:r w:rsidRPr="00DE15CC">
        <w:rPr>
          <w:rFonts w:ascii="Arial" w:eastAsia="Calibri" w:hAnsi="Arial" w:cs="Arial"/>
          <w:i/>
          <w:iCs/>
          <w:color w:val="000000" w:themeColor="text1"/>
          <w:sz w:val="20"/>
          <w:szCs w:val="20"/>
        </w:rPr>
        <w:t>mutatis mutandis</w:t>
      </w:r>
      <w:r w:rsidRPr="00DE15CC">
        <w:rPr>
          <w:rFonts w:ascii="Arial" w:eastAsia="Calibri" w:hAnsi="Arial" w:cs="Arial"/>
          <w:color w:val="000000" w:themeColor="text1"/>
          <w:sz w:val="20"/>
          <w:szCs w:val="20"/>
        </w:rPr>
        <w:t xml:space="preserve"> a la minuta del contrato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p>
    <w:p w14:paraId="100CCE09" w14:textId="77777777" w:rsidR="005B6E09" w:rsidRPr="00180F68" w:rsidRDefault="005B6E09" w:rsidP="005B6E09">
      <w:pPr>
        <w:jc w:val="both"/>
        <w:rPr>
          <w:rFonts w:ascii="Arial" w:hAnsi="Arial" w:cs="Arial"/>
          <w:color w:val="000000" w:themeColor="text1"/>
          <w:sz w:val="22"/>
        </w:rPr>
      </w:pPr>
    </w:p>
    <w:p w14:paraId="5648EAC3" w14:textId="77777777" w:rsidR="005B6E09" w:rsidRPr="00180F68" w:rsidRDefault="005B6E09" w:rsidP="005B6E09">
      <w:pPr>
        <w:jc w:val="both"/>
        <w:rPr>
          <w:rFonts w:ascii="Arial" w:hAnsi="Arial" w:cs="Arial"/>
          <w:color w:val="000000" w:themeColor="text1"/>
          <w:sz w:val="22"/>
        </w:rPr>
      </w:pPr>
    </w:p>
    <w:p w14:paraId="46631D38" w14:textId="77777777" w:rsidR="005B6E09" w:rsidRPr="00180F68" w:rsidRDefault="005B6E09" w:rsidP="005B6E09">
      <w:pPr>
        <w:jc w:val="both"/>
        <w:rPr>
          <w:rFonts w:ascii="Arial" w:hAnsi="Arial" w:cs="Arial"/>
          <w:color w:val="000000" w:themeColor="text1"/>
          <w:sz w:val="22"/>
        </w:rPr>
      </w:pPr>
    </w:p>
    <w:p w14:paraId="6364DA23" w14:textId="3359589A" w:rsidR="005B6E09" w:rsidRDefault="005B6E09" w:rsidP="005B6E09">
      <w:pPr>
        <w:jc w:val="both"/>
        <w:rPr>
          <w:rFonts w:ascii="Arial" w:hAnsi="Arial" w:cs="Arial"/>
          <w:color w:val="000000" w:themeColor="text1"/>
          <w:sz w:val="22"/>
        </w:rPr>
      </w:pPr>
    </w:p>
    <w:p w14:paraId="05A8E916" w14:textId="3C029C00" w:rsidR="006043A3" w:rsidRDefault="006043A3" w:rsidP="005B6E09">
      <w:pPr>
        <w:jc w:val="both"/>
        <w:rPr>
          <w:rFonts w:ascii="Arial" w:hAnsi="Arial" w:cs="Arial"/>
          <w:color w:val="000000" w:themeColor="text1"/>
          <w:sz w:val="22"/>
        </w:rPr>
      </w:pPr>
    </w:p>
    <w:p w14:paraId="4B278FE1" w14:textId="47C78973" w:rsidR="006043A3" w:rsidRDefault="006043A3" w:rsidP="005B6E09">
      <w:pPr>
        <w:jc w:val="both"/>
        <w:rPr>
          <w:rFonts w:ascii="Arial" w:hAnsi="Arial" w:cs="Arial"/>
          <w:color w:val="000000" w:themeColor="text1"/>
          <w:sz w:val="22"/>
        </w:rPr>
      </w:pPr>
    </w:p>
    <w:p w14:paraId="4CF0CB08" w14:textId="4CA9CBF8" w:rsidR="006043A3" w:rsidRDefault="006043A3" w:rsidP="005B6E09">
      <w:pPr>
        <w:jc w:val="both"/>
        <w:rPr>
          <w:rFonts w:ascii="Arial" w:hAnsi="Arial" w:cs="Arial"/>
          <w:color w:val="000000" w:themeColor="text1"/>
          <w:sz w:val="22"/>
        </w:rPr>
      </w:pPr>
    </w:p>
    <w:p w14:paraId="2902CFAC" w14:textId="6BE5C682" w:rsidR="006043A3" w:rsidRDefault="006043A3" w:rsidP="005B6E09">
      <w:pPr>
        <w:jc w:val="both"/>
        <w:rPr>
          <w:rFonts w:ascii="Arial" w:hAnsi="Arial" w:cs="Arial"/>
          <w:color w:val="000000" w:themeColor="text1"/>
          <w:sz w:val="22"/>
        </w:rPr>
      </w:pPr>
    </w:p>
    <w:p w14:paraId="68FD5EF0" w14:textId="5B3004D0" w:rsidR="006043A3" w:rsidRDefault="006043A3" w:rsidP="005B6E09">
      <w:pPr>
        <w:jc w:val="both"/>
        <w:rPr>
          <w:rFonts w:ascii="Arial" w:hAnsi="Arial" w:cs="Arial"/>
          <w:color w:val="000000" w:themeColor="text1"/>
          <w:sz w:val="22"/>
        </w:rPr>
      </w:pPr>
    </w:p>
    <w:p w14:paraId="5C35816B" w14:textId="0BB2C841" w:rsidR="006043A3" w:rsidRDefault="006043A3" w:rsidP="005B6E09">
      <w:pPr>
        <w:jc w:val="both"/>
        <w:rPr>
          <w:rFonts w:ascii="Arial" w:hAnsi="Arial" w:cs="Arial"/>
          <w:color w:val="000000" w:themeColor="text1"/>
          <w:sz w:val="22"/>
        </w:rPr>
      </w:pPr>
    </w:p>
    <w:p w14:paraId="64B92C0B" w14:textId="2EDB984F" w:rsidR="006043A3" w:rsidRDefault="006043A3" w:rsidP="005B6E09">
      <w:pPr>
        <w:jc w:val="both"/>
        <w:rPr>
          <w:rFonts w:ascii="Arial" w:hAnsi="Arial" w:cs="Arial"/>
          <w:color w:val="000000" w:themeColor="text1"/>
          <w:sz w:val="22"/>
        </w:rPr>
      </w:pPr>
    </w:p>
    <w:p w14:paraId="396EE145" w14:textId="6DC4F459" w:rsidR="006043A3" w:rsidRDefault="006043A3" w:rsidP="005B6E09">
      <w:pPr>
        <w:jc w:val="both"/>
        <w:rPr>
          <w:rFonts w:ascii="Arial" w:hAnsi="Arial" w:cs="Arial"/>
          <w:color w:val="000000" w:themeColor="text1"/>
          <w:sz w:val="22"/>
        </w:rPr>
      </w:pPr>
    </w:p>
    <w:p w14:paraId="37DEE3D5" w14:textId="7CD732A0" w:rsidR="006043A3" w:rsidRDefault="006043A3" w:rsidP="005B6E09">
      <w:pPr>
        <w:jc w:val="both"/>
        <w:rPr>
          <w:rFonts w:ascii="Arial" w:hAnsi="Arial" w:cs="Arial"/>
          <w:color w:val="000000" w:themeColor="text1"/>
          <w:sz w:val="22"/>
        </w:rPr>
      </w:pPr>
    </w:p>
    <w:p w14:paraId="66BE1291" w14:textId="24DB3AFD" w:rsidR="006043A3" w:rsidRDefault="006043A3" w:rsidP="005B6E09">
      <w:pPr>
        <w:jc w:val="both"/>
        <w:rPr>
          <w:rFonts w:ascii="Arial" w:hAnsi="Arial" w:cs="Arial"/>
          <w:color w:val="000000" w:themeColor="text1"/>
          <w:sz w:val="22"/>
        </w:rPr>
      </w:pPr>
    </w:p>
    <w:p w14:paraId="0972CE7C" w14:textId="146824F8" w:rsidR="006043A3" w:rsidRDefault="006043A3" w:rsidP="005B6E09">
      <w:pPr>
        <w:jc w:val="both"/>
        <w:rPr>
          <w:rFonts w:ascii="Arial" w:hAnsi="Arial" w:cs="Arial"/>
          <w:color w:val="000000" w:themeColor="text1"/>
          <w:sz w:val="22"/>
        </w:rPr>
      </w:pPr>
    </w:p>
    <w:p w14:paraId="7A5F013A" w14:textId="77777777" w:rsidR="006043A3" w:rsidRPr="00180F68" w:rsidRDefault="006043A3" w:rsidP="005B6E09">
      <w:pPr>
        <w:jc w:val="both"/>
        <w:rPr>
          <w:rFonts w:ascii="Arial" w:hAnsi="Arial" w:cs="Arial"/>
          <w:color w:val="000000" w:themeColor="text1"/>
          <w:sz w:val="22"/>
        </w:rPr>
      </w:pPr>
    </w:p>
    <w:p w14:paraId="2F116707" w14:textId="77777777" w:rsidR="005B6E09" w:rsidRPr="00180F68" w:rsidRDefault="005B6E09" w:rsidP="005B6E09">
      <w:pPr>
        <w:jc w:val="both"/>
        <w:rPr>
          <w:rFonts w:ascii="Arial" w:hAnsi="Arial" w:cs="Arial"/>
          <w:color w:val="000000" w:themeColor="text1"/>
          <w:sz w:val="22"/>
        </w:rPr>
      </w:pPr>
    </w:p>
    <w:p w14:paraId="14DB6C44" w14:textId="697C2E76" w:rsidR="005B6E09" w:rsidRPr="00180F68" w:rsidRDefault="00DF42AD" w:rsidP="00DF42AD">
      <w:pPr>
        <w:spacing w:line="276" w:lineRule="auto"/>
        <w:jc w:val="right"/>
        <w:rPr>
          <w:rFonts w:ascii="Arial" w:hAnsi="Arial" w:cs="Arial"/>
          <w:sz w:val="22"/>
          <w:lang w:val="es-CO"/>
        </w:rPr>
      </w:pPr>
      <w:r>
        <w:rPr>
          <w:noProof/>
        </w:rPr>
        <w:drawing>
          <wp:inline distT="0" distB="0" distL="0" distR="0" wp14:anchorId="5C0F576E" wp14:editId="539A0CBF">
            <wp:extent cx="3105150" cy="821362"/>
            <wp:effectExtent l="0" t="0" r="0" b="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8"/>
                    <a:srcRect l="61941" t="49245" r="10595" b="37833"/>
                    <a:stretch/>
                  </pic:blipFill>
                  <pic:spPr bwMode="auto">
                    <a:xfrm>
                      <a:off x="0" y="0"/>
                      <a:ext cx="3117740" cy="824692"/>
                    </a:xfrm>
                    <a:prstGeom prst="rect">
                      <a:avLst/>
                    </a:prstGeom>
                    <a:ln>
                      <a:noFill/>
                    </a:ln>
                    <a:extLst>
                      <a:ext uri="{53640926-AAD7-44D8-BBD7-CCE9431645EC}">
                        <a14:shadowObscured xmlns:a14="http://schemas.microsoft.com/office/drawing/2010/main"/>
                      </a:ext>
                    </a:extLst>
                  </pic:spPr>
                </pic:pic>
              </a:graphicData>
            </a:graphic>
          </wp:inline>
        </w:drawing>
      </w:r>
    </w:p>
    <w:p w14:paraId="4B1A3B8F" w14:textId="1F76F33D" w:rsidR="005B6E09" w:rsidRDefault="005B6E09" w:rsidP="005B6E09">
      <w:pPr>
        <w:rPr>
          <w:rFonts w:ascii="Arial" w:eastAsia="Calibri" w:hAnsi="Arial" w:cs="Arial"/>
          <w:sz w:val="22"/>
        </w:rPr>
      </w:pPr>
    </w:p>
    <w:p w14:paraId="315E2DC6" w14:textId="050ECAC4" w:rsidR="00DF42AD" w:rsidRDefault="00DF42AD" w:rsidP="005B6E09">
      <w:pPr>
        <w:rPr>
          <w:rFonts w:ascii="Arial" w:eastAsia="Calibri" w:hAnsi="Arial" w:cs="Arial"/>
          <w:sz w:val="22"/>
        </w:rPr>
      </w:pPr>
    </w:p>
    <w:p w14:paraId="23857FC5" w14:textId="6120B9AF" w:rsidR="00DF42AD" w:rsidRPr="00E30862" w:rsidRDefault="00E30862" w:rsidP="005B6E09">
      <w:pPr>
        <w:rPr>
          <w:rFonts w:ascii="Arial" w:hAnsi="Arial" w:cs="Arial"/>
          <w:sz w:val="22"/>
        </w:rPr>
      </w:pPr>
      <w:r w:rsidRPr="00E30862">
        <w:rPr>
          <w:rFonts w:ascii="Arial" w:hAnsi="Arial" w:cs="Arial"/>
          <w:sz w:val="22"/>
        </w:rPr>
        <w:t xml:space="preserve">Bogotá, 31 </w:t>
      </w:r>
      <w:proofErr w:type="gramStart"/>
      <w:r w:rsidRPr="00E30862">
        <w:rPr>
          <w:rFonts w:ascii="Arial" w:hAnsi="Arial" w:cs="Arial"/>
          <w:sz w:val="22"/>
        </w:rPr>
        <w:t>Agosto</w:t>
      </w:r>
      <w:proofErr w:type="gramEnd"/>
      <w:r w:rsidRPr="00E30862">
        <w:rPr>
          <w:rFonts w:ascii="Arial" w:hAnsi="Arial" w:cs="Arial"/>
          <w:sz w:val="22"/>
        </w:rPr>
        <w:t xml:space="preserve"> 2021</w:t>
      </w:r>
    </w:p>
    <w:p w14:paraId="3F805EBE" w14:textId="77777777" w:rsidR="00E30862" w:rsidRPr="00180F68" w:rsidRDefault="00E30862" w:rsidP="005B6E09">
      <w:pPr>
        <w:rPr>
          <w:rFonts w:ascii="Arial" w:eastAsia="Calibri" w:hAnsi="Arial" w:cs="Arial"/>
          <w:sz w:val="22"/>
        </w:rPr>
      </w:pPr>
    </w:p>
    <w:p w14:paraId="486BBA16" w14:textId="77777777" w:rsidR="005B6E09" w:rsidRPr="00180F68" w:rsidRDefault="005B6E09" w:rsidP="005B6E09">
      <w:pPr>
        <w:rPr>
          <w:rFonts w:ascii="Arial" w:eastAsia="Calibri" w:hAnsi="Arial" w:cs="Arial"/>
          <w:color w:val="000000" w:themeColor="text1"/>
          <w:sz w:val="22"/>
        </w:rPr>
      </w:pPr>
      <w:r w:rsidRPr="00180F68">
        <w:rPr>
          <w:rFonts w:ascii="Arial" w:eastAsia="Calibri" w:hAnsi="Arial" w:cs="Arial"/>
          <w:color w:val="000000" w:themeColor="text1"/>
          <w:sz w:val="22"/>
        </w:rPr>
        <w:t>Señor</w:t>
      </w:r>
    </w:p>
    <w:p w14:paraId="18B16678" w14:textId="4BA5BC96" w:rsidR="005B6E09" w:rsidRPr="00180F68" w:rsidRDefault="005B6E09" w:rsidP="005B6E09">
      <w:pPr>
        <w:rPr>
          <w:rFonts w:ascii="Arial" w:hAnsi="Arial" w:cs="Arial"/>
          <w:b/>
          <w:bCs/>
          <w:sz w:val="22"/>
        </w:rPr>
      </w:pPr>
      <w:r w:rsidRPr="00180F68">
        <w:rPr>
          <w:rFonts w:ascii="Arial" w:hAnsi="Arial" w:cs="Arial"/>
          <w:b/>
          <w:bCs/>
          <w:sz w:val="22"/>
        </w:rPr>
        <w:t>Gustavo Adolfo Patarroyo Cubides</w:t>
      </w:r>
    </w:p>
    <w:p w14:paraId="30409EE9" w14:textId="7D99F94F" w:rsidR="005B6E09" w:rsidRPr="00180F68" w:rsidRDefault="005B6E09" w:rsidP="005B6E09">
      <w:pPr>
        <w:rPr>
          <w:rFonts w:ascii="Arial" w:hAnsi="Arial" w:cs="Arial"/>
          <w:sz w:val="22"/>
        </w:rPr>
      </w:pPr>
      <w:r w:rsidRPr="00180F68">
        <w:rPr>
          <w:rFonts w:ascii="Arial" w:hAnsi="Arial" w:cs="Arial"/>
          <w:sz w:val="22"/>
        </w:rPr>
        <w:t>Ibagué, Tolima</w:t>
      </w:r>
    </w:p>
    <w:p w14:paraId="75022D9A" w14:textId="77777777" w:rsidR="005B6E09" w:rsidRPr="00180F68" w:rsidRDefault="005B6E09" w:rsidP="005B6E09">
      <w:pPr>
        <w:rPr>
          <w:rFonts w:ascii="Arial" w:eastAsia="Calibri" w:hAnsi="Arial" w:cs="Arial"/>
          <w:color w:val="000000" w:themeColor="text1"/>
          <w:sz w:val="22"/>
        </w:rPr>
      </w:pPr>
    </w:p>
    <w:p w14:paraId="68B4D3D8" w14:textId="77777777" w:rsidR="005B6E09" w:rsidRPr="00180F68" w:rsidRDefault="005B6E09" w:rsidP="005B6E09">
      <w:pPr>
        <w:rPr>
          <w:rFonts w:ascii="Arial" w:eastAsia="Calibri" w:hAnsi="Arial" w:cs="Arial"/>
          <w:color w:val="000000" w:themeColor="text1"/>
          <w:sz w:val="22"/>
        </w:rPr>
      </w:pPr>
    </w:p>
    <w:p w14:paraId="7C3005E4" w14:textId="219DD4F7" w:rsidR="005B6E09" w:rsidRPr="00180F68" w:rsidRDefault="005B6E09" w:rsidP="005B6E09">
      <w:pPr>
        <w:rPr>
          <w:rFonts w:ascii="Arial" w:eastAsia="Calibri" w:hAnsi="Arial" w:cs="Arial"/>
          <w:b/>
          <w:color w:val="000000" w:themeColor="text1"/>
          <w:sz w:val="22"/>
        </w:rPr>
      </w:pPr>
      <w:r w:rsidRPr="00180F68">
        <w:rPr>
          <w:rFonts w:ascii="Arial" w:eastAsia="Calibri" w:hAnsi="Arial" w:cs="Arial"/>
          <w:b/>
          <w:color w:val="000000" w:themeColor="text1"/>
          <w:sz w:val="22"/>
        </w:rPr>
        <w:t xml:space="preserve">                                            Concepto C – 450 de 2021</w:t>
      </w:r>
    </w:p>
    <w:p w14:paraId="595F08C4" w14:textId="77777777" w:rsidR="005B6E09" w:rsidRPr="00180F68" w:rsidRDefault="005B6E09" w:rsidP="005B6E09">
      <w:pPr>
        <w:rPr>
          <w:rFonts w:ascii="Arial" w:eastAsia="Calibri" w:hAnsi="Arial" w:cs="Arial"/>
          <w:b/>
          <w:color w:val="000000" w:themeColor="text1"/>
          <w:sz w:val="22"/>
        </w:rPr>
      </w:pPr>
    </w:p>
    <w:tbl>
      <w:tblPr>
        <w:tblStyle w:val="Tablaconcuadrcula"/>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49"/>
      </w:tblGrid>
      <w:tr w:rsidR="005B6E09" w:rsidRPr="00180F68" w14:paraId="4B5A6DE0" w14:textId="77777777" w:rsidTr="00B60AAF">
        <w:trPr>
          <w:trHeight w:val="311"/>
        </w:trPr>
        <w:tc>
          <w:tcPr>
            <w:tcW w:w="2694" w:type="dxa"/>
            <w:hideMark/>
          </w:tcPr>
          <w:p w14:paraId="2DE03AAB" w14:textId="77777777" w:rsidR="005B6E09" w:rsidRPr="00180F68" w:rsidRDefault="005B6E09" w:rsidP="00B60AAF">
            <w:pPr>
              <w:rPr>
                <w:rFonts w:ascii="Arial" w:eastAsia="Calibri" w:hAnsi="Arial" w:cs="Arial"/>
                <w:color w:val="000000" w:themeColor="text1"/>
                <w:sz w:val="22"/>
              </w:rPr>
            </w:pPr>
            <w:r w:rsidRPr="00180F68">
              <w:rPr>
                <w:rFonts w:ascii="Arial" w:eastAsia="Calibri" w:hAnsi="Arial" w:cs="Arial"/>
                <w:b/>
                <w:color w:val="000000" w:themeColor="text1"/>
                <w:sz w:val="22"/>
              </w:rPr>
              <w:t>Temas:</w:t>
            </w:r>
            <w:r w:rsidRPr="00180F68">
              <w:rPr>
                <w:rFonts w:ascii="Arial" w:eastAsia="Calibri" w:hAnsi="Arial" w:cs="Arial"/>
                <w:color w:val="000000" w:themeColor="text1"/>
                <w:sz w:val="22"/>
              </w:rPr>
              <w:t xml:space="preserve">           </w:t>
            </w:r>
          </w:p>
        </w:tc>
        <w:tc>
          <w:tcPr>
            <w:tcW w:w="6249" w:type="dxa"/>
            <w:hideMark/>
          </w:tcPr>
          <w:p w14:paraId="3BD29A13" w14:textId="77777777" w:rsidR="00440746" w:rsidRPr="00180F68" w:rsidRDefault="009979E4" w:rsidP="00180F68">
            <w:pPr>
              <w:spacing w:after="120"/>
              <w:jc w:val="both"/>
              <w:rPr>
                <w:rFonts w:ascii="Arial" w:eastAsia="Calibri" w:hAnsi="Arial" w:cs="Arial"/>
                <w:color w:val="000000" w:themeColor="text1"/>
                <w:sz w:val="22"/>
              </w:rPr>
            </w:pPr>
            <w:r w:rsidRPr="00180F68">
              <w:rPr>
                <w:rFonts w:ascii="Arial" w:eastAsia="Calibri" w:hAnsi="Arial" w:cs="Arial"/>
                <w:color w:val="000000" w:themeColor="text1"/>
                <w:sz w:val="22"/>
                <w:lang w:val="es-ES_tradnl"/>
              </w:rPr>
              <w:t xml:space="preserve">DOCUMENTOS TIPO – Fundamento normativo / </w:t>
            </w:r>
            <w:r w:rsidRPr="00180F68">
              <w:rPr>
                <w:rFonts w:ascii="Arial" w:eastAsia="Calibri" w:hAnsi="Arial" w:cs="Arial"/>
                <w:sz w:val="22"/>
              </w:rPr>
              <w:t xml:space="preserve">DOCUMENTOS TIPO – Inalterabilidad – Información en corchetes y resaltado gris </w:t>
            </w:r>
            <w:r w:rsidR="00440746" w:rsidRPr="00180F68">
              <w:rPr>
                <w:rFonts w:ascii="Arial" w:eastAsia="Calibri" w:hAnsi="Arial" w:cs="Arial"/>
                <w:sz w:val="22"/>
              </w:rPr>
              <w:t xml:space="preserve">/ </w:t>
            </w:r>
            <w:r w:rsidR="00440746" w:rsidRPr="00180F68">
              <w:rPr>
                <w:rFonts w:ascii="Arial" w:eastAsia="Calibri" w:hAnsi="Arial" w:cs="Arial"/>
                <w:sz w:val="22"/>
                <w:lang w:val="es-ES_tradnl" w:eastAsia="es-ES"/>
              </w:rPr>
              <w:t xml:space="preserve">DOCUMENTOS TIPO </w:t>
            </w:r>
            <w:r w:rsidR="00440746" w:rsidRPr="00180F68">
              <w:rPr>
                <w:rFonts w:ascii="Arial" w:eastAsia="Calibri" w:hAnsi="Arial" w:cs="Arial"/>
                <w:sz w:val="22"/>
                <w:lang w:val="x-none" w:eastAsia="es-ES"/>
              </w:rPr>
              <w:t>–</w:t>
            </w:r>
            <w:r w:rsidR="00440746" w:rsidRPr="00180F68">
              <w:rPr>
                <w:rFonts w:ascii="Arial" w:eastAsia="Calibri" w:hAnsi="Arial" w:cs="Arial"/>
                <w:sz w:val="22"/>
                <w:lang w:val="es-ES_tradnl" w:eastAsia="es-ES"/>
              </w:rPr>
              <w:t xml:space="preserve"> Inalterabilidad </w:t>
            </w:r>
            <w:r w:rsidR="00440746" w:rsidRPr="00180F68">
              <w:rPr>
                <w:rFonts w:ascii="Arial" w:eastAsia="Calibri" w:hAnsi="Arial" w:cs="Arial"/>
                <w:sz w:val="22"/>
                <w:lang w:val="x-none" w:eastAsia="es-ES"/>
              </w:rPr>
              <w:t>–</w:t>
            </w:r>
            <w:r w:rsidR="00440746" w:rsidRPr="00180F68">
              <w:rPr>
                <w:rFonts w:ascii="Arial" w:eastAsia="Calibri" w:hAnsi="Arial" w:cs="Arial"/>
                <w:sz w:val="22"/>
                <w:lang w:val="es-ES_tradnl" w:eastAsia="es-ES"/>
              </w:rPr>
              <w:t xml:space="preserve"> Prevalencia del derecho sustancial / </w:t>
            </w:r>
            <w:r w:rsidR="00440746" w:rsidRPr="00180F68">
              <w:rPr>
                <w:rFonts w:ascii="Arial" w:eastAsia="Calibri" w:hAnsi="Arial" w:cs="Arial"/>
                <w:color w:val="000000" w:themeColor="text1"/>
                <w:sz w:val="22"/>
              </w:rPr>
              <w:t>ANEXO 5 MINUTA DEL CONTRATO – Cláusula 8 ‒ Forma de pago – Opción 3 – Fórmula de pago parcial</w:t>
            </w:r>
          </w:p>
          <w:p w14:paraId="7D629E28" w14:textId="77777777" w:rsidR="005B6E09" w:rsidRPr="00180F68" w:rsidRDefault="005B6E09" w:rsidP="00B60AAF">
            <w:pPr>
              <w:spacing w:after="120"/>
              <w:jc w:val="both"/>
              <w:rPr>
                <w:rFonts w:ascii="Arial" w:eastAsia="Calibri" w:hAnsi="Arial" w:cs="Arial"/>
                <w:color w:val="000000" w:themeColor="text1"/>
                <w:sz w:val="22"/>
              </w:rPr>
            </w:pPr>
          </w:p>
        </w:tc>
      </w:tr>
      <w:tr w:rsidR="005B6E09" w:rsidRPr="00180F68" w14:paraId="453CB5E6" w14:textId="77777777" w:rsidTr="00B60AAF">
        <w:trPr>
          <w:trHeight w:val="261"/>
        </w:trPr>
        <w:tc>
          <w:tcPr>
            <w:tcW w:w="2694" w:type="dxa"/>
          </w:tcPr>
          <w:p w14:paraId="67360244" w14:textId="77777777" w:rsidR="005B6E09" w:rsidRPr="00180F68" w:rsidRDefault="005B6E09" w:rsidP="00B60AAF">
            <w:pPr>
              <w:rPr>
                <w:rFonts w:ascii="Arial" w:eastAsia="Calibri" w:hAnsi="Arial" w:cs="Arial"/>
                <w:b/>
                <w:color w:val="000000" w:themeColor="text1"/>
                <w:sz w:val="22"/>
              </w:rPr>
            </w:pPr>
            <w:r w:rsidRPr="00180F68">
              <w:rPr>
                <w:rFonts w:ascii="Arial" w:eastAsia="Calibri" w:hAnsi="Arial" w:cs="Arial"/>
                <w:b/>
                <w:color w:val="000000" w:themeColor="text1"/>
                <w:sz w:val="22"/>
              </w:rPr>
              <w:t>Radicación:</w:t>
            </w:r>
            <w:r w:rsidRPr="00180F68">
              <w:rPr>
                <w:rFonts w:ascii="Arial" w:eastAsia="Calibri" w:hAnsi="Arial" w:cs="Arial"/>
                <w:color w:val="000000" w:themeColor="text1"/>
                <w:sz w:val="22"/>
              </w:rPr>
              <w:t xml:space="preserve">                              </w:t>
            </w:r>
          </w:p>
        </w:tc>
        <w:tc>
          <w:tcPr>
            <w:tcW w:w="6249" w:type="dxa"/>
          </w:tcPr>
          <w:p w14:paraId="1E01C704" w14:textId="412AE5A1" w:rsidR="005B6E09" w:rsidRPr="00180F68" w:rsidRDefault="005B6E09" w:rsidP="00B60AAF">
            <w:pPr>
              <w:jc w:val="both"/>
              <w:rPr>
                <w:rFonts w:ascii="Arial" w:eastAsia="Calibri" w:hAnsi="Arial" w:cs="Arial"/>
                <w:color w:val="000000" w:themeColor="text1"/>
                <w:sz w:val="22"/>
              </w:rPr>
            </w:pPr>
            <w:r w:rsidRPr="00180F68">
              <w:rPr>
                <w:rFonts w:ascii="Arial" w:eastAsia="Calibri" w:hAnsi="Arial" w:cs="Arial"/>
                <w:color w:val="000000" w:themeColor="text1"/>
                <w:sz w:val="22"/>
              </w:rPr>
              <w:t>Respuesta a consulta # P20210716006297</w:t>
            </w:r>
          </w:p>
        </w:tc>
      </w:tr>
    </w:tbl>
    <w:p w14:paraId="3D2A0102" w14:textId="675A0129" w:rsidR="005B6E09" w:rsidRPr="00180F68" w:rsidRDefault="005B6E09" w:rsidP="005B6E09">
      <w:pPr>
        <w:spacing w:line="276" w:lineRule="auto"/>
        <w:rPr>
          <w:rFonts w:ascii="Arial" w:eastAsia="Calibri" w:hAnsi="Arial" w:cs="Arial"/>
          <w:color w:val="000000" w:themeColor="text1"/>
          <w:sz w:val="22"/>
        </w:rPr>
      </w:pPr>
    </w:p>
    <w:p w14:paraId="02EB6913" w14:textId="77777777" w:rsidR="00860B12" w:rsidRPr="00180F68" w:rsidRDefault="00860B12" w:rsidP="005B6E09">
      <w:pPr>
        <w:spacing w:line="276" w:lineRule="auto"/>
        <w:rPr>
          <w:rFonts w:ascii="Arial" w:eastAsia="Calibri" w:hAnsi="Arial" w:cs="Arial"/>
          <w:color w:val="000000" w:themeColor="text1"/>
          <w:sz w:val="22"/>
        </w:rPr>
      </w:pPr>
    </w:p>
    <w:p w14:paraId="0F75745C" w14:textId="40C48DBA" w:rsidR="005B6E09" w:rsidRPr="00180F68" w:rsidRDefault="005B6E09" w:rsidP="005B6E09">
      <w:pPr>
        <w:spacing w:line="276" w:lineRule="auto"/>
        <w:rPr>
          <w:rFonts w:ascii="Arial" w:eastAsia="Calibri" w:hAnsi="Arial" w:cs="Arial"/>
          <w:color w:val="000000" w:themeColor="text1"/>
          <w:sz w:val="22"/>
        </w:rPr>
      </w:pPr>
      <w:r w:rsidRPr="00180F68">
        <w:rPr>
          <w:rFonts w:ascii="Arial" w:eastAsia="Calibri" w:hAnsi="Arial" w:cs="Arial"/>
          <w:color w:val="000000" w:themeColor="text1"/>
          <w:sz w:val="22"/>
        </w:rPr>
        <w:t>Estimado señor</w:t>
      </w:r>
      <w:r w:rsidRPr="00180F68">
        <w:rPr>
          <w:rFonts w:ascii="Arial" w:hAnsi="Arial" w:cs="Arial"/>
          <w:b/>
          <w:bCs/>
          <w:sz w:val="22"/>
        </w:rPr>
        <w:t xml:space="preserve"> </w:t>
      </w:r>
      <w:r w:rsidRPr="00180F68">
        <w:rPr>
          <w:rFonts w:ascii="Arial" w:hAnsi="Arial" w:cs="Arial"/>
          <w:sz w:val="22"/>
        </w:rPr>
        <w:t>Patarroyo Cubides</w:t>
      </w:r>
      <w:r w:rsidRPr="00180F68">
        <w:rPr>
          <w:rFonts w:ascii="Arial" w:eastAsia="Calibri" w:hAnsi="Arial" w:cs="Arial"/>
          <w:color w:val="000000" w:themeColor="text1"/>
          <w:sz w:val="22"/>
        </w:rPr>
        <w:t>:</w:t>
      </w:r>
    </w:p>
    <w:p w14:paraId="27FD9D9A" w14:textId="77777777" w:rsidR="005B6E09" w:rsidRPr="00180F68" w:rsidRDefault="005B6E09" w:rsidP="005B6E09">
      <w:pPr>
        <w:spacing w:line="276" w:lineRule="auto"/>
        <w:ind w:right="49"/>
        <w:jc w:val="both"/>
        <w:rPr>
          <w:rFonts w:ascii="Arial" w:eastAsia="Calibri" w:hAnsi="Arial" w:cs="Arial"/>
          <w:color w:val="000000" w:themeColor="text1"/>
          <w:sz w:val="22"/>
        </w:rPr>
      </w:pPr>
    </w:p>
    <w:p w14:paraId="4793EEEB" w14:textId="267C0818" w:rsidR="005B6E09" w:rsidRPr="00180F68" w:rsidRDefault="005B6E09" w:rsidP="005B6E09">
      <w:pPr>
        <w:spacing w:line="276" w:lineRule="auto"/>
        <w:ind w:right="4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16 de julio de 2021. </w:t>
      </w:r>
    </w:p>
    <w:p w14:paraId="11417C46" w14:textId="77777777" w:rsidR="005B6E09" w:rsidRPr="00180F68" w:rsidRDefault="005B6E09" w:rsidP="005B6E09">
      <w:pPr>
        <w:jc w:val="both"/>
        <w:rPr>
          <w:rFonts w:ascii="Arial" w:eastAsia="Calibri" w:hAnsi="Arial" w:cs="Arial"/>
          <w:color w:val="000000" w:themeColor="text1"/>
          <w:sz w:val="22"/>
        </w:rPr>
      </w:pPr>
    </w:p>
    <w:p w14:paraId="1849472C" w14:textId="77777777" w:rsidR="005B6E09" w:rsidRPr="00180F68" w:rsidRDefault="005B6E09" w:rsidP="005B6E09">
      <w:pPr>
        <w:pStyle w:val="Prrafodelista"/>
        <w:numPr>
          <w:ilvl w:val="0"/>
          <w:numId w:val="1"/>
        </w:numPr>
        <w:tabs>
          <w:tab w:val="left" w:pos="284"/>
        </w:tabs>
        <w:ind w:left="0" w:firstLine="0"/>
        <w:jc w:val="both"/>
        <w:rPr>
          <w:rFonts w:ascii="Arial" w:eastAsia="Calibri" w:hAnsi="Arial" w:cs="Arial"/>
          <w:b/>
          <w:color w:val="000000" w:themeColor="text1"/>
          <w:sz w:val="22"/>
        </w:rPr>
      </w:pPr>
      <w:r w:rsidRPr="00180F68">
        <w:rPr>
          <w:rFonts w:ascii="Arial" w:eastAsia="Calibri" w:hAnsi="Arial" w:cs="Arial"/>
          <w:b/>
          <w:color w:val="000000" w:themeColor="text1"/>
          <w:sz w:val="22"/>
        </w:rPr>
        <w:t>Problema planteado</w:t>
      </w:r>
    </w:p>
    <w:p w14:paraId="4E3C303C" w14:textId="77777777" w:rsidR="005B6E09" w:rsidRPr="00180F68" w:rsidRDefault="005B6E09" w:rsidP="005B6E09">
      <w:pPr>
        <w:pStyle w:val="Prrafodelista"/>
        <w:tabs>
          <w:tab w:val="left" w:pos="284"/>
        </w:tabs>
        <w:ind w:left="0"/>
        <w:jc w:val="both"/>
        <w:rPr>
          <w:rFonts w:ascii="Arial" w:eastAsia="Calibri" w:hAnsi="Arial" w:cs="Arial"/>
          <w:b/>
          <w:color w:val="000000" w:themeColor="text1"/>
          <w:sz w:val="22"/>
        </w:rPr>
      </w:pPr>
    </w:p>
    <w:p w14:paraId="7613520C" w14:textId="19A66043" w:rsidR="005B6E09" w:rsidRPr="00180F68" w:rsidRDefault="005B6E09" w:rsidP="005B6E09">
      <w:pPr>
        <w:tabs>
          <w:tab w:val="left" w:pos="426"/>
        </w:tabs>
        <w:spacing w:line="276" w:lineRule="auto"/>
        <w:jc w:val="both"/>
        <w:rPr>
          <w:rFonts w:ascii="Arial" w:hAnsi="Arial" w:cs="Arial"/>
          <w:color w:val="000000" w:themeColor="text1"/>
          <w:sz w:val="22"/>
          <w:lang w:val="es-CO"/>
        </w:rPr>
      </w:pPr>
      <w:bookmarkStart w:id="3" w:name="_Hlk75363163"/>
      <w:r w:rsidRPr="00180F68">
        <w:rPr>
          <w:rFonts w:ascii="Arial" w:eastAsia="Calibri" w:hAnsi="Arial" w:cs="Arial"/>
          <w:color w:val="000000" w:themeColor="text1"/>
          <w:sz w:val="22"/>
        </w:rPr>
        <w:t>Respecto a los Documentos Tipo, usted realiza la siguiente pregunta: «</w:t>
      </w:r>
      <w:r w:rsidRPr="00180F68">
        <w:rPr>
          <w:rFonts w:ascii="Arial" w:hAnsi="Arial" w:cs="Arial"/>
          <w:sz w:val="22"/>
        </w:rPr>
        <w:t>SE PUEDE MODIFICAR LA FORMA DE PAGO DE LOS CONTRATOS ADJUDICADOS Y CELEBRADOS MEDIANTE DOCUMENTOS TIPO</w:t>
      </w:r>
      <w:r w:rsidRPr="00180F68">
        <w:rPr>
          <w:rFonts w:ascii="Arial" w:hAnsi="Arial" w:cs="Arial"/>
          <w:color w:val="000000" w:themeColor="text1"/>
          <w:sz w:val="22"/>
          <w:lang w:val="es-CO"/>
        </w:rPr>
        <w:t>»</w:t>
      </w:r>
      <w:bookmarkEnd w:id="3"/>
      <w:r w:rsidRPr="00180F68">
        <w:rPr>
          <w:rFonts w:ascii="Arial" w:hAnsi="Arial" w:cs="Arial"/>
          <w:color w:val="000000" w:themeColor="text1"/>
          <w:sz w:val="22"/>
          <w:lang w:val="es-CO"/>
        </w:rPr>
        <w:t xml:space="preserve">. </w:t>
      </w:r>
    </w:p>
    <w:p w14:paraId="48B3A1BB" w14:textId="77777777" w:rsidR="005B6E09" w:rsidRPr="00180F68" w:rsidRDefault="005B6E09" w:rsidP="005B6E09">
      <w:pPr>
        <w:tabs>
          <w:tab w:val="left" w:pos="426"/>
        </w:tabs>
        <w:jc w:val="both"/>
        <w:rPr>
          <w:rFonts w:ascii="Arial" w:eastAsia="Calibri" w:hAnsi="Arial" w:cs="Arial"/>
          <w:color w:val="000000" w:themeColor="text1"/>
          <w:sz w:val="22"/>
          <w:lang w:val="es-CO"/>
        </w:rPr>
      </w:pPr>
    </w:p>
    <w:p w14:paraId="2E5065D7" w14:textId="77777777" w:rsidR="005B6E09" w:rsidRPr="00180F68" w:rsidRDefault="005B6E09" w:rsidP="005B6E09">
      <w:pPr>
        <w:jc w:val="both"/>
        <w:rPr>
          <w:rFonts w:ascii="Arial" w:eastAsia="Calibri" w:hAnsi="Arial" w:cs="Arial"/>
          <w:b/>
          <w:color w:val="000000" w:themeColor="text1"/>
          <w:sz w:val="22"/>
        </w:rPr>
      </w:pPr>
      <w:r w:rsidRPr="00180F68">
        <w:rPr>
          <w:rFonts w:ascii="Arial" w:eastAsia="Calibri" w:hAnsi="Arial" w:cs="Arial"/>
          <w:b/>
          <w:color w:val="000000" w:themeColor="text1"/>
          <w:sz w:val="22"/>
        </w:rPr>
        <w:t>2. Consideraciones</w:t>
      </w:r>
    </w:p>
    <w:p w14:paraId="5D5FB9F4" w14:textId="77777777" w:rsidR="005B6E09" w:rsidRPr="00180F68" w:rsidRDefault="005B6E09" w:rsidP="005B6E09">
      <w:pPr>
        <w:jc w:val="both"/>
        <w:rPr>
          <w:rFonts w:ascii="Arial" w:eastAsia="Calibri" w:hAnsi="Arial" w:cs="Arial"/>
          <w:b/>
          <w:color w:val="000000" w:themeColor="text1"/>
          <w:sz w:val="22"/>
        </w:rPr>
      </w:pPr>
    </w:p>
    <w:p w14:paraId="24B9CA59" w14:textId="5F38407C" w:rsidR="005B6E09" w:rsidRPr="00180F68" w:rsidRDefault="005B6E09" w:rsidP="005B6E09">
      <w:pPr>
        <w:spacing w:line="276" w:lineRule="auto"/>
        <w:jc w:val="both"/>
        <w:rPr>
          <w:rFonts w:ascii="Arial" w:eastAsia="Calibri" w:hAnsi="Arial" w:cs="Arial"/>
          <w:color w:val="000000" w:themeColor="text1"/>
          <w:sz w:val="22"/>
        </w:rPr>
      </w:pPr>
      <w:r w:rsidRPr="00180F68">
        <w:rPr>
          <w:rFonts w:ascii="Arial" w:eastAsia="Calibri" w:hAnsi="Arial" w:cs="Arial"/>
          <w:sz w:val="22"/>
        </w:rPr>
        <w:t xml:space="preserve">La Agencia Nacional de Contratación Pública – Colombia Compra Eficiente analizó el fundamento normativo de los pliegos de condiciones tipo en la contratación estatal, entre otros, en los Conceptos </w:t>
      </w:r>
      <w:r w:rsidRPr="00180F68">
        <w:rPr>
          <w:rFonts w:ascii="Arial" w:hAnsi="Arial" w:cs="Arial"/>
          <w:sz w:val="22"/>
          <w:lang w:val="es-CO"/>
        </w:rPr>
        <w:t xml:space="preserve">C-144 del 2 de marzo de 2020, C-174 del 16 de marzo de 2020,  </w:t>
      </w:r>
      <w:r w:rsidRPr="00180F68">
        <w:rPr>
          <w:rFonts w:ascii="Arial" w:hAnsi="Arial" w:cs="Arial"/>
          <w:sz w:val="22"/>
          <w:lang w:val="es-CO"/>
        </w:rPr>
        <w:lastRenderedPageBreak/>
        <w:t>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1º de marzo de 2021 y C-204 del 6 de mayo de 2021</w:t>
      </w:r>
      <w:r w:rsidRPr="00180F68">
        <w:rPr>
          <w:rFonts w:ascii="Arial" w:eastAsia="Calibri" w:hAnsi="Arial" w:cs="Arial"/>
          <w:sz w:val="22"/>
        </w:rPr>
        <w:t xml:space="preserve">.  </w:t>
      </w:r>
      <w:r w:rsidRPr="00180F68">
        <w:rPr>
          <w:rFonts w:ascii="Arial" w:eastAsia="Calibri" w:hAnsi="Arial" w:cs="Arial"/>
          <w:color w:val="000000" w:themeColor="text1"/>
          <w:sz w:val="22"/>
        </w:rPr>
        <w:t xml:space="preserve">De otra parte, en </w:t>
      </w:r>
      <w:r w:rsidR="00860B12" w:rsidRPr="00180F68">
        <w:rPr>
          <w:rFonts w:ascii="Arial" w:eastAsia="Calibri" w:hAnsi="Arial" w:cs="Arial"/>
          <w:color w:val="000000" w:themeColor="text1"/>
          <w:sz w:val="22"/>
        </w:rPr>
        <w:t xml:space="preserve">los </w:t>
      </w:r>
      <w:r w:rsidRPr="00180F68">
        <w:rPr>
          <w:rFonts w:ascii="Arial" w:eastAsia="Calibri" w:hAnsi="Arial" w:cs="Arial"/>
          <w:color w:val="000000" w:themeColor="text1"/>
          <w:sz w:val="22"/>
        </w:rPr>
        <w:t>Concepto</w:t>
      </w:r>
      <w:r w:rsidR="00860B12" w:rsidRPr="00180F68">
        <w:rPr>
          <w:rFonts w:ascii="Arial" w:eastAsia="Calibri" w:hAnsi="Arial" w:cs="Arial"/>
          <w:color w:val="000000" w:themeColor="text1"/>
          <w:sz w:val="22"/>
        </w:rPr>
        <w:t>s</w:t>
      </w:r>
      <w:r w:rsidRPr="00180F68">
        <w:rPr>
          <w:rFonts w:ascii="Arial" w:eastAsia="Calibri" w:hAnsi="Arial" w:cs="Arial"/>
          <w:color w:val="000000" w:themeColor="text1"/>
          <w:sz w:val="22"/>
        </w:rPr>
        <w:t xml:space="preserve"> C-289 del 26 de mayo de 2020, C-295 del 22 de junio de 2021,</w:t>
      </w:r>
      <w:r w:rsidR="0099133F" w:rsidRPr="00180F68">
        <w:rPr>
          <w:rFonts w:ascii="Arial" w:eastAsia="Calibri" w:hAnsi="Arial" w:cs="Arial"/>
          <w:color w:val="000000" w:themeColor="text1"/>
          <w:sz w:val="22"/>
        </w:rPr>
        <w:t xml:space="preserve"> C-310 </w:t>
      </w:r>
      <w:r w:rsidR="00E87A3C" w:rsidRPr="00180F68">
        <w:rPr>
          <w:rFonts w:ascii="Arial" w:eastAsia="Calibri" w:hAnsi="Arial" w:cs="Arial"/>
          <w:color w:val="000000" w:themeColor="text1"/>
          <w:sz w:val="22"/>
        </w:rPr>
        <w:t>del 25 de junio</w:t>
      </w:r>
      <w:r w:rsidR="007D0FB4" w:rsidRPr="00180F68">
        <w:rPr>
          <w:rFonts w:ascii="Arial" w:eastAsia="Calibri" w:hAnsi="Arial" w:cs="Arial"/>
          <w:color w:val="000000" w:themeColor="text1"/>
          <w:sz w:val="22"/>
        </w:rPr>
        <w:t xml:space="preserve"> y</w:t>
      </w:r>
      <w:r w:rsidRPr="00180F68">
        <w:rPr>
          <w:rFonts w:ascii="Arial" w:eastAsia="Calibri" w:hAnsi="Arial" w:cs="Arial"/>
          <w:color w:val="000000" w:themeColor="text1"/>
          <w:sz w:val="22"/>
        </w:rPr>
        <w:t xml:space="preserve"> C-314 del 29 de junio de 2021, se analizó el alcance del «Anexo 5 – Minuta del Contrato» en el marco de los documentos tipo. Las tesis desarrolladas en estos conceptos se reiteran a continuación</w:t>
      </w:r>
      <w:r w:rsidR="004C4854" w:rsidRPr="00180F68">
        <w:rPr>
          <w:rFonts w:ascii="Arial" w:eastAsia="Calibri" w:hAnsi="Arial" w:cs="Arial"/>
          <w:color w:val="000000" w:themeColor="text1"/>
          <w:sz w:val="22"/>
        </w:rPr>
        <w:t xml:space="preserve"> tomando como base los documentos tipo de licitación de infraestructura de transporte</w:t>
      </w:r>
      <w:r w:rsidRPr="00180F68">
        <w:rPr>
          <w:rFonts w:ascii="Arial" w:eastAsia="Calibri" w:hAnsi="Arial" w:cs="Arial"/>
          <w:color w:val="000000" w:themeColor="text1"/>
          <w:sz w:val="22"/>
        </w:rPr>
        <w:t>:</w:t>
      </w:r>
    </w:p>
    <w:p w14:paraId="1FA32716" w14:textId="35BE9DBC" w:rsidR="005B6E09" w:rsidRPr="00180F68" w:rsidRDefault="005B6E09" w:rsidP="005B6E09">
      <w:pPr>
        <w:shd w:val="clear" w:color="auto" w:fill="FFFFFF"/>
        <w:spacing w:line="276" w:lineRule="auto"/>
        <w:jc w:val="both"/>
        <w:textAlignment w:val="baseline"/>
        <w:rPr>
          <w:rFonts w:ascii="Arial" w:hAnsi="Arial" w:cs="Arial"/>
          <w:b/>
          <w:bCs/>
          <w:sz w:val="22"/>
          <w:lang w:val="es-CO"/>
        </w:rPr>
      </w:pPr>
    </w:p>
    <w:p w14:paraId="01B1C2A4" w14:textId="0C0ECD89" w:rsidR="004C512E" w:rsidRPr="00180F68" w:rsidRDefault="004C512E" w:rsidP="004C512E">
      <w:pPr>
        <w:spacing w:line="276" w:lineRule="auto"/>
        <w:jc w:val="both"/>
        <w:rPr>
          <w:rFonts w:ascii="Arial" w:eastAsia="Calibri" w:hAnsi="Arial" w:cs="Arial"/>
          <w:b/>
          <w:bCs/>
          <w:color w:val="000000" w:themeColor="text1"/>
          <w:sz w:val="22"/>
          <w:lang w:val="es-ES_tradnl"/>
        </w:rPr>
      </w:pPr>
      <w:r w:rsidRPr="00180F68">
        <w:rPr>
          <w:rFonts w:ascii="Arial" w:hAnsi="Arial" w:cs="Arial"/>
          <w:b/>
          <w:bCs/>
          <w:color w:val="000000" w:themeColor="text1"/>
          <w:sz w:val="22"/>
          <w:lang w:val="es-ES"/>
        </w:rPr>
        <w:t xml:space="preserve">2.1 </w:t>
      </w:r>
      <w:r w:rsidRPr="00180F68">
        <w:rPr>
          <w:rFonts w:ascii="Arial" w:eastAsia="Calibri" w:hAnsi="Arial" w:cs="Arial"/>
          <w:b/>
          <w:bCs/>
          <w:color w:val="000000" w:themeColor="text1"/>
          <w:sz w:val="22"/>
          <w:lang w:val="es-ES_tradnl"/>
        </w:rPr>
        <w:t xml:space="preserve">Antecedentes y fundamentos de los documentos tipo </w:t>
      </w:r>
      <w:r w:rsidR="006639A0" w:rsidRPr="00180F68">
        <w:rPr>
          <w:rFonts w:ascii="Arial" w:eastAsia="Calibri" w:hAnsi="Arial" w:cs="Arial"/>
          <w:b/>
          <w:bCs/>
          <w:color w:val="000000" w:themeColor="text1"/>
          <w:sz w:val="22"/>
          <w:lang w:val="es-ES_tradnl"/>
        </w:rPr>
        <w:t>de obra pública para</w:t>
      </w:r>
      <w:r w:rsidR="002961A6" w:rsidRPr="00180F68">
        <w:rPr>
          <w:rFonts w:ascii="Arial" w:eastAsia="Calibri" w:hAnsi="Arial" w:cs="Arial"/>
          <w:b/>
          <w:bCs/>
          <w:color w:val="000000" w:themeColor="text1"/>
          <w:sz w:val="22"/>
          <w:lang w:val="es-ES_tradnl"/>
        </w:rPr>
        <w:t xml:space="preserve"> infraestructura de transporte</w:t>
      </w:r>
    </w:p>
    <w:p w14:paraId="1B84CB66" w14:textId="77777777" w:rsidR="004C512E" w:rsidRPr="00180F68" w:rsidRDefault="004C512E" w:rsidP="004C512E">
      <w:pPr>
        <w:spacing w:line="276" w:lineRule="auto"/>
        <w:jc w:val="both"/>
        <w:rPr>
          <w:rFonts w:ascii="Arial" w:eastAsia="Calibri" w:hAnsi="Arial" w:cs="Arial"/>
          <w:b/>
          <w:bCs/>
          <w:color w:val="000000" w:themeColor="text1"/>
          <w:sz w:val="22"/>
          <w:lang w:val="es-ES_tradnl"/>
        </w:rPr>
      </w:pPr>
    </w:p>
    <w:p w14:paraId="7F309B2B" w14:textId="77777777" w:rsidR="006639A0" w:rsidRPr="00180F68" w:rsidRDefault="006639A0" w:rsidP="00180F68">
      <w:pPr>
        <w:shd w:val="clear" w:color="auto" w:fill="FFFFFF"/>
        <w:spacing w:line="276" w:lineRule="auto"/>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180F68">
        <w:rPr>
          <w:rStyle w:val="Refdenotaalpie"/>
          <w:rFonts w:ascii="Arial" w:hAnsi="Arial" w:cs="Arial"/>
          <w:color w:val="0D0D0D"/>
          <w:sz w:val="22"/>
          <w:bdr w:val="none" w:sz="0" w:space="0" w:color="auto" w:frame="1"/>
          <w:lang w:eastAsia="es-CO"/>
        </w:rPr>
        <w:footnoteReference w:id="1"/>
      </w:r>
      <w:r w:rsidRPr="00180F68">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180F68">
        <w:rPr>
          <w:rStyle w:val="Refdenotaalpie"/>
          <w:rFonts w:ascii="Arial" w:hAnsi="Arial" w:cs="Arial"/>
          <w:color w:val="0D0D0D"/>
          <w:sz w:val="22"/>
          <w:bdr w:val="none" w:sz="0" w:space="0" w:color="auto" w:frame="1"/>
          <w:lang w:eastAsia="es-CO"/>
        </w:rPr>
        <w:footnoteReference w:id="2"/>
      </w:r>
      <w:r w:rsidRPr="00180F68">
        <w:rPr>
          <w:rFonts w:ascii="Arial" w:hAnsi="Arial" w:cs="Arial"/>
          <w:color w:val="0D0D0D"/>
          <w:sz w:val="22"/>
          <w:bdr w:val="none" w:sz="0" w:space="0" w:color="auto" w:frame="1"/>
          <w:lang w:eastAsia="es-CO"/>
        </w:rPr>
        <w:t>. </w:t>
      </w:r>
    </w:p>
    <w:p w14:paraId="06BDAF25" w14:textId="77777777" w:rsidR="006639A0" w:rsidRPr="00180F68" w:rsidRDefault="006639A0" w:rsidP="006639A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lastRenderedPageBreak/>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180F68">
        <w:rPr>
          <w:rStyle w:val="Refdenotaalpie"/>
          <w:rFonts w:ascii="Arial" w:hAnsi="Arial" w:cs="Arial"/>
          <w:color w:val="0D0D0D"/>
          <w:sz w:val="22"/>
          <w:bdr w:val="none" w:sz="0" w:space="0" w:color="auto" w:frame="1"/>
          <w:lang w:eastAsia="es-CO"/>
        </w:rPr>
        <w:footnoteReference w:id="3"/>
      </w:r>
      <w:r w:rsidRPr="00180F68">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180F68">
        <w:rPr>
          <w:rStyle w:val="Refdenotaalpie"/>
          <w:rFonts w:ascii="Arial" w:hAnsi="Arial" w:cs="Arial"/>
          <w:color w:val="0D0D0D"/>
          <w:sz w:val="22"/>
          <w:bdr w:val="none" w:sz="0" w:space="0" w:color="auto" w:frame="1"/>
          <w:lang w:eastAsia="es-CO"/>
        </w:rPr>
        <w:footnoteReference w:id="4"/>
      </w:r>
      <w:r w:rsidRPr="00180F68">
        <w:rPr>
          <w:rFonts w:ascii="Arial" w:hAnsi="Arial" w:cs="Arial"/>
          <w:color w:val="0D0D0D"/>
          <w:sz w:val="22"/>
          <w:bdr w:val="none" w:sz="0" w:space="0" w:color="auto" w:frame="1"/>
          <w:lang w:eastAsia="es-CO"/>
        </w:rPr>
        <w:t>. </w:t>
      </w:r>
    </w:p>
    <w:p w14:paraId="35F4CEEC" w14:textId="77777777" w:rsidR="006639A0" w:rsidRPr="00180F68" w:rsidRDefault="006639A0" w:rsidP="006639A0">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0BB2FB38" w14:textId="77777777" w:rsidR="006639A0" w:rsidRPr="00180F68" w:rsidRDefault="006639A0" w:rsidP="006639A0">
      <w:pPr>
        <w:shd w:val="clear" w:color="auto" w:fill="FFFFFF"/>
        <w:spacing w:line="276" w:lineRule="auto"/>
        <w:ind w:firstLine="709"/>
        <w:jc w:val="both"/>
        <w:rPr>
          <w:rFonts w:ascii="Arial" w:hAnsi="Arial" w:cs="Arial"/>
          <w:color w:val="000000"/>
          <w:sz w:val="22"/>
          <w:lang w:eastAsia="es-CO"/>
        </w:rPr>
      </w:pPr>
    </w:p>
    <w:p w14:paraId="6C5C51C2" w14:textId="77777777" w:rsidR="006639A0" w:rsidRPr="00180F68" w:rsidRDefault="006639A0" w:rsidP="006639A0">
      <w:pPr>
        <w:shd w:val="clear" w:color="auto" w:fill="FFFFFF"/>
        <w:ind w:left="709" w:right="709"/>
        <w:jc w:val="both"/>
        <w:rPr>
          <w:rFonts w:ascii="Arial" w:hAnsi="Arial" w:cs="Arial"/>
          <w:color w:val="0D0D0D"/>
          <w:sz w:val="21"/>
          <w:szCs w:val="21"/>
          <w:bdr w:val="none" w:sz="0" w:space="0" w:color="auto" w:frame="1"/>
          <w:lang w:eastAsia="es-CO"/>
        </w:rPr>
      </w:pPr>
      <w:r w:rsidRPr="00180F68">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180F68">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180F68">
        <w:rPr>
          <w:rFonts w:ascii="Arial" w:hAnsi="Arial" w:cs="Arial"/>
          <w:color w:val="0D0D0D"/>
          <w:sz w:val="21"/>
          <w:szCs w:val="21"/>
          <w:bdr w:val="none" w:sz="0" w:space="0" w:color="auto" w:frame="1"/>
          <w:lang w:eastAsia="es-CO"/>
        </w:rPr>
        <w:t> […] </w:t>
      </w:r>
      <w:r w:rsidRPr="00180F68">
        <w:rPr>
          <w:rFonts w:ascii="Arial" w:hAnsi="Arial" w:cs="Arial"/>
          <w:i/>
          <w:iCs/>
          <w:color w:val="0D0D0D"/>
          <w:sz w:val="21"/>
          <w:szCs w:val="21"/>
          <w:bdr w:val="none" w:sz="0" w:space="0" w:color="auto" w:frame="1"/>
          <w:lang w:eastAsia="es-CO"/>
        </w:rPr>
        <w:t>teniendo en cuenta la naturaleza y cuantía de los contratos</w:t>
      </w:r>
      <w:r w:rsidRPr="00180F68">
        <w:rPr>
          <w:rFonts w:ascii="Arial" w:hAnsi="Arial" w:cs="Arial"/>
          <w:color w:val="0D0D0D"/>
          <w:sz w:val="21"/>
          <w:szCs w:val="21"/>
          <w:bdr w:val="none" w:sz="0" w:space="0" w:color="auto" w:frame="1"/>
          <w:lang w:eastAsia="es-CO"/>
        </w:rPr>
        <w:t> […]. (Énfasis fuera de texto) </w:t>
      </w:r>
    </w:p>
    <w:p w14:paraId="2CB96515" w14:textId="77777777" w:rsidR="006639A0" w:rsidRPr="00180F68" w:rsidRDefault="006639A0" w:rsidP="006639A0">
      <w:pPr>
        <w:shd w:val="clear" w:color="auto" w:fill="FFFFFF"/>
        <w:spacing w:line="276" w:lineRule="auto"/>
        <w:ind w:left="709" w:right="709"/>
        <w:jc w:val="both"/>
        <w:rPr>
          <w:rFonts w:ascii="Arial" w:hAnsi="Arial" w:cs="Arial"/>
          <w:color w:val="000000"/>
          <w:sz w:val="22"/>
          <w:lang w:eastAsia="es-CO"/>
        </w:rPr>
      </w:pPr>
    </w:p>
    <w:p w14:paraId="5F6795CB" w14:textId="77777777" w:rsidR="006639A0" w:rsidRPr="00180F68" w:rsidRDefault="006639A0" w:rsidP="006639A0">
      <w:pPr>
        <w:shd w:val="clear" w:color="auto" w:fill="FFFFFF"/>
        <w:spacing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180F68">
        <w:rPr>
          <w:rFonts w:ascii="Arial" w:hAnsi="Arial" w:cs="Arial"/>
          <w:color w:val="0D0D0D"/>
          <w:sz w:val="22"/>
          <w:bdr w:val="none" w:sz="0" w:space="0" w:color="auto" w:frame="1"/>
          <w:lang w:eastAsia="es-CO"/>
        </w:rPr>
        <w:t>ii</w:t>
      </w:r>
      <w:proofErr w:type="spellEnd"/>
      <w:r w:rsidRPr="00180F68">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180F68">
        <w:rPr>
          <w:rFonts w:ascii="Arial" w:hAnsi="Arial" w:cs="Arial"/>
          <w:color w:val="0D0D0D"/>
          <w:sz w:val="22"/>
          <w:bdr w:val="none" w:sz="0" w:space="0" w:color="auto" w:frame="1"/>
          <w:lang w:eastAsia="es-CO"/>
        </w:rPr>
        <w:t>iii</w:t>
      </w:r>
      <w:proofErr w:type="spellEnd"/>
      <w:r w:rsidRPr="00180F68">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180F68">
        <w:rPr>
          <w:rFonts w:ascii="Arial" w:hAnsi="Arial" w:cs="Arial"/>
          <w:color w:val="0D0D0D"/>
          <w:sz w:val="22"/>
          <w:bdr w:val="none" w:sz="0" w:space="0" w:color="auto" w:frame="1"/>
          <w:lang w:eastAsia="es-CO"/>
        </w:rPr>
        <w:t>iv</w:t>
      </w:r>
      <w:proofErr w:type="spellEnd"/>
      <w:r w:rsidRPr="00180F68">
        <w:rPr>
          <w:rFonts w:ascii="Arial" w:hAnsi="Arial" w:cs="Arial"/>
          <w:color w:val="0D0D0D"/>
          <w:sz w:val="22"/>
          <w:bdr w:val="none" w:sz="0" w:space="0" w:color="auto" w:frame="1"/>
          <w:lang w:eastAsia="es-CO"/>
        </w:rPr>
        <w:t xml:space="preserve">) las responsabilidades para Colombia Compra Eficiente en la definición del desarrollo e implementación de los documentos tipo mediante cronogramas, coordinación con otras </w:t>
      </w:r>
      <w:r w:rsidRPr="00180F68">
        <w:rPr>
          <w:rFonts w:ascii="Arial" w:hAnsi="Arial" w:cs="Arial"/>
          <w:color w:val="0D0D0D"/>
          <w:sz w:val="22"/>
          <w:bdr w:val="none" w:sz="0" w:space="0" w:color="auto" w:frame="1"/>
          <w:lang w:eastAsia="es-CO"/>
        </w:rPr>
        <w:lastRenderedPageBreak/>
        <w:t>entidades especializadas, recepción de comentarios de los interesados y revisión de los documentos tipo expedidos</w:t>
      </w:r>
      <w:r w:rsidRPr="00180F68">
        <w:rPr>
          <w:rStyle w:val="Refdenotaalpie"/>
          <w:rFonts w:ascii="Arial" w:hAnsi="Arial" w:cs="Arial"/>
          <w:color w:val="0D0D0D"/>
          <w:sz w:val="22"/>
          <w:bdr w:val="none" w:sz="0" w:space="0" w:color="auto" w:frame="1"/>
          <w:lang w:eastAsia="es-CO"/>
        </w:rPr>
        <w:footnoteReference w:id="5"/>
      </w:r>
      <w:r w:rsidRPr="00180F68">
        <w:rPr>
          <w:rFonts w:ascii="Arial" w:hAnsi="Arial" w:cs="Arial"/>
          <w:color w:val="0D0D0D"/>
          <w:sz w:val="22"/>
          <w:bdr w:val="none" w:sz="0" w:space="0" w:color="auto" w:frame="1"/>
          <w:lang w:eastAsia="es-CO"/>
        </w:rPr>
        <w:t>.  </w:t>
      </w:r>
    </w:p>
    <w:p w14:paraId="23EA6B4F" w14:textId="77777777" w:rsidR="006639A0" w:rsidRPr="00180F68" w:rsidRDefault="006639A0" w:rsidP="006639A0">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73237204" w14:textId="5A8E2296" w:rsidR="006639A0" w:rsidRPr="00180F68" w:rsidRDefault="006639A0" w:rsidP="006639A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En ejercicio de la competencia conferida por el citado parágrafo, el Gobierno Nacional expidió el Decreto 342 de 2019</w:t>
      </w:r>
      <w:r w:rsidR="00737E13" w:rsidRPr="00180F68">
        <w:rPr>
          <w:rFonts w:ascii="Arial" w:hAnsi="Arial" w:cs="Arial"/>
          <w:color w:val="0D0D0D"/>
          <w:sz w:val="22"/>
          <w:bdr w:val="none" w:sz="0" w:space="0" w:color="auto" w:frame="1"/>
          <w:lang w:eastAsia="es-CO"/>
        </w:rPr>
        <w:t xml:space="preserve"> mediante el cual</w:t>
      </w:r>
      <w:r w:rsidRPr="00180F68">
        <w:rPr>
          <w:rFonts w:ascii="Arial" w:hAnsi="Arial" w:cs="Arial"/>
          <w:color w:val="0D0D0D"/>
          <w:sz w:val="22"/>
          <w:bdr w:val="none" w:sz="0" w:space="0" w:color="auto" w:frame="1"/>
          <w:lang w:eastAsia="es-CO"/>
        </w:rPr>
        <w:t xml:space="preserv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31D9E5C3" w14:textId="77777777" w:rsidR="006639A0" w:rsidRPr="00180F68" w:rsidRDefault="006639A0" w:rsidP="006639A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w:t>
      </w:r>
      <w:r w:rsidRPr="00180F68">
        <w:rPr>
          <w:rFonts w:ascii="Arial" w:hAnsi="Arial" w:cs="Arial"/>
          <w:color w:val="0D0D0D"/>
          <w:sz w:val="22"/>
          <w:bdr w:val="none" w:sz="0" w:space="0" w:color="auto" w:frame="1"/>
          <w:lang w:eastAsia="es-CO"/>
        </w:rPr>
        <w:lastRenderedPageBreak/>
        <w:t>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0F50294F" w14:textId="77777777" w:rsidR="006639A0" w:rsidRPr="00180F68" w:rsidRDefault="006639A0" w:rsidP="006639A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114D6969" w14:textId="77777777" w:rsidR="006639A0" w:rsidRPr="00180F68" w:rsidRDefault="006639A0" w:rsidP="006639A0">
      <w:pPr>
        <w:shd w:val="clear" w:color="auto" w:fill="FFFFFF"/>
        <w:spacing w:before="120" w:line="276" w:lineRule="auto"/>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1D18CFA" w14:textId="156C266B" w:rsidR="006639A0" w:rsidRPr="00180F68" w:rsidRDefault="00DE4EBC" w:rsidP="006639A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De igual forma, e</w:t>
      </w:r>
      <w:r w:rsidR="006639A0" w:rsidRPr="00180F68">
        <w:rPr>
          <w:rFonts w:ascii="Arial" w:hAnsi="Arial" w:cs="Arial"/>
          <w:color w:val="0D0D0D"/>
          <w:sz w:val="22"/>
          <w:bdr w:val="none" w:sz="0" w:space="0" w:color="auto" w:frame="1"/>
          <w:lang w:eastAsia="es-CO"/>
        </w:rPr>
        <w:t xml:space="preserve">l Gobierno Nacional ejerció nuevamente la competencia prevista en el citado artículo 4 de la Ley 1882 de 2018, expidiendo el Decreto 2096 de 2019. </w:t>
      </w:r>
      <w:r w:rsidR="00A02A27" w:rsidRPr="00180F68">
        <w:rPr>
          <w:rFonts w:ascii="Arial" w:hAnsi="Arial" w:cs="Arial"/>
          <w:color w:val="0D0D0D"/>
          <w:sz w:val="22"/>
          <w:bdr w:val="none" w:sz="0" w:space="0" w:color="auto" w:frame="1"/>
          <w:lang w:eastAsia="es-CO"/>
        </w:rPr>
        <w:t>El</w:t>
      </w:r>
      <w:r w:rsidRPr="00180F68">
        <w:rPr>
          <w:rFonts w:ascii="Arial" w:hAnsi="Arial" w:cs="Arial"/>
          <w:color w:val="0D0D0D"/>
          <w:sz w:val="22"/>
          <w:bdr w:val="none" w:sz="0" w:space="0" w:color="auto" w:frame="1"/>
          <w:lang w:eastAsia="es-CO"/>
        </w:rPr>
        <w:t xml:space="preserve"> Decreto</w:t>
      </w:r>
      <w:r w:rsidR="006639A0" w:rsidRPr="00180F68">
        <w:rPr>
          <w:rFonts w:ascii="Arial" w:hAnsi="Arial" w:cs="Arial"/>
          <w:color w:val="0D0D0D"/>
          <w:sz w:val="22"/>
          <w:bdr w:val="none" w:sz="0" w:space="0" w:color="auto" w:frame="1"/>
          <w:lang w:eastAsia="es-CO"/>
        </w:rPr>
        <w:t xml:space="preserve"> autoriz</w:t>
      </w:r>
      <w:r w:rsidR="00A02A27" w:rsidRPr="00180F68">
        <w:rPr>
          <w:rFonts w:ascii="Arial" w:hAnsi="Arial" w:cs="Arial"/>
          <w:color w:val="0D0D0D"/>
          <w:sz w:val="22"/>
          <w:bdr w:val="none" w:sz="0" w:space="0" w:color="auto" w:frame="1"/>
          <w:lang w:eastAsia="es-CO"/>
        </w:rPr>
        <w:t>ó</w:t>
      </w:r>
      <w:r w:rsidR="006639A0" w:rsidRPr="00180F68">
        <w:rPr>
          <w:rFonts w:ascii="Arial" w:hAnsi="Arial" w:cs="Arial"/>
          <w:color w:val="0D0D0D"/>
          <w:sz w:val="22"/>
          <w:bdr w:val="none" w:sz="0" w:space="0" w:color="auto" w:frame="1"/>
          <w:lang w:eastAsia="es-CO"/>
        </w:rPr>
        <w:t xml:space="preserve">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3F1A36A0" w14:textId="77777777" w:rsidR="006639A0" w:rsidRPr="00180F68" w:rsidRDefault="006639A0" w:rsidP="006639A0">
      <w:pPr>
        <w:shd w:val="clear" w:color="auto" w:fill="FFFFFF"/>
        <w:spacing w:before="120" w:line="276" w:lineRule="auto"/>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180F68">
        <w:rPr>
          <w:rFonts w:ascii="Arial" w:hAnsi="Arial" w:cs="Arial"/>
          <w:i/>
          <w:iCs/>
          <w:color w:val="0D0D0D"/>
          <w:sz w:val="22"/>
          <w:bdr w:val="none" w:sz="0" w:space="0" w:color="auto" w:frame="1"/>
          <w:lang w:eastAsia="es-CO"/>
        </w:rPr>
        <w:t>ibidem</w:t>
      </w:r>
      <w:r w:rsidRPr="00180F68">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6BAE6FDD" w14:textId="77777777" w:rsidR="006639A0" w:rsidRPr="00180F68" w:rsidRDefault="006639A0" w:rsidP="006639A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 xml:space="preserve">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w:t>
      </w:r>
      <w:r w:rsidRPr="00180F68">
        <w:rPr>
          <w:rFonts w:ascii="Arial" w:hAnsi="Arial" w:cs="Arial"/>
          <w:color w:val="0D0D0D"/>
          <w:sz w:val="22"/>
          <w:bdr w:val="none" w:sz="0" w:space="0" w:color="auto" w:frame="1"/>
          <w:lang w:eastAsia="es-CO"/>
        </w:rPr>
        <w:lastRenderedPageBreak/>
        <w:t>Subsección 3 a la Sección 6 del Capítulo 2 del Título 1 de la parte 2 del Libro 2 del Decreto 1082 de 2015. </w:t>
      </w:r>
    </w:p>
    <w:p w14:paraId="1E066607" w14:textId="77777777" w:rsidR="006639A0" w:rsidRPr="00180F68" w:rsidRDefault="006639A0" w:rsidP="00180F68">
      <w:pPr>
        <w:shd w:val="clear" w:color="auto" w:fill="FFFFFF"/>
        <w:spacing w:before="120" w:after="120" w:line="276" w:lineRule="auto"/>
        <w:ind w:firstLine="709"/>
        <w:jc w:val="both"/>
        <w:rPr>
          <w:rFonts w:ascii="Arial" w:hAnsi="Arial" w:cs="Arial"/>
          <w:color w:val="0D0D0D"/>
          <w:sz w:val="22"/>
          <w:bdr w:val="none" w:sz="0" w:space="0" w:color="auto" w:frame="1"/>
          <w:lang w:eastAsia="es-CO"/>
        </w:rPr>
      </w:pPr>
      <w:r w:rsidRPr="00180F68">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9F0544A" w14:textId="6CBF26C7" w:rsidR="005B6E09" w:rsidRPr="00180F68" w:rsidRDefault="006639A0" w:rsidP="00180F68">
      <w:pPr>
        <w:shd w:val="clear" w:color="auto" w:fill="FFFFFF"/>
        <w:spacing w:line="276" w:lineRule="auto"/>
        <w:ind w:firstLine="708"/>
        <w:jc w:val="both"/>
        <w:textAlignment w:val="baseline"/>
        <w:rPr>
          <w:rFonts w:ascii="Arial" w:eastAsia="Times New Roman" w:hAnsi="Arial" w:cs="Arial"/>
          <w:b/>
          <w:bCs/>
          <w:color w:val="000000"/>
          <w:sz w:val="22"/>
          <w:lang w:eastAsia="es-CO"/>
        </w:rPr>
      </w:pPr>
      <w:r w:rsidRPr="00180F68">
        <w:rPr>
          <w:rFonts w:ascii="Arial" w:hAnsi="Arial" w:cs="Arial"/>
          <w:color w:val="0D0D0D"/>
          <w:sz w:val="22"/>
          <w:bdr w:val="none" w:sz="0" w:space="0" w:color="auto" w:frame="1"/>
          <w:lang w:eastAsia="es-CO"/>
        </w:rPr>
        <w:t xml:space="preserve">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a través de las cuales se adoptan los documentos tipo de licitación de obra pública – versión 3 y de selección abreviada de menor cuantía – versión 2 de infraestructura de transporte, los cuales son obligatorios a partir del 1º de enero de 2021. Incluso, con la expedición de la Ley de Emprendimiento, estos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857AE35" w14:textId="77777777" w:rsidR="00B0098B" w:rsidRPr="00180F68" w:rsidRDefault="00B0098B" w:rsidP="005B6E09">
      <w:pPr>
        <w:shd w:val="clear" w:color="auto" w:fill="FFFFFF"/>
        <w:spacing w:line="276" w:lineRule="auto"/>
        <w:jc w:val="both"/>
        <w:textAlignment w:val="baseline"/>
        <w:rPr>
          <w:rFonts w:ascii="Arial" w:eastAsia="Times New Roman" w:hAnsi="Arial" w:cs="Arial"/>
          <w:b/>
          <w:bCs/>
          <w:color w:val="000000"/>
          <w:sz w:val="22"/>
          <w:lang w:eastAsia="es-CO"/>
        </w:rPr>
      </w:pPr>
    </w:p>
    <w:p w14:paraId="43DE7BFD" w14:textId="77777777" w:rsidR="005B6E09" w:rsidRPr="00180F68" w:rsidRDefault="005B6E09" w:rsidP="005B6E09">
      <w:pPr>
        <w:shd w:val="clear" w:color="auto" w:fill="FFFFFF"/>
        <w:spacing w:line="276" w:lineRule="auto"/>
        <w:jc w:val="both"/>
        <w:textAlignment w:val="baseline"/>
        <w:rPr>
          <w:rFonts w:ascii="Arial" w:eastAsia="Times New Roman" w:hAnsi="Arial" w:cs="Arial"/>
          <w:b/>
          <w:bCs/>
          <w:color w:val="000000"/>
          <w:sz w:val="22"/>
          <w:lang w:eastAsia="es-CO"/>
        </w:rPr>
      </w:pPr>
      <w:r w:rsidRPr="00180F68">
        <w:rPr>
          <w:rFonts w:ascii="Arial" w:eastAsia="Times New Roman" w:hAnsi="Arial" w:cs="Arial"/>
          <w:b/>
          <w:bCs/>
          <w:color w:val="000000"/>
          <w:sz w:val="22"/>
          <w:lang w:eastAsia="es-CO"/>
        </w:rPr>
        <w:t xml:space="preserve">2.2. Inalterabilidad de los documentos tipo de licitación para obra pública de infraestructura de transporte y sus excepciones </w:t>
      </w:r>
    </w:p>
    <w:p w14:paraId="49478256" w14:textId="77777777" w:rsidR="005B6E09" w:rsidRPr="00180F68" w:rsidRDefault="005B6E09" w:rsidP="005B6E09">
      <w:pPr>
        <w:shd w:val="clear" w:color="auto" w:fill="FFFFFF"/>
        <w:spacing w:line="276" w:lineRule="auto"/>
        <w:textAlignment w:val="baseline"/>
        <w:rPr>
          <w:rFonts w:ascii="Arial" w:eastAsia="Times New Roman" w:hAnsi="Arial" w:cs="Arial"/>
          <w:b/>
          <w:bCs/>
          <w:color w:val="000000"/>
          <w:sz w:val="22"/>
          <w:lang w:eastAsia="es-CO"/>
        </w:rPr>
      </w:pPr>
    </w:p>
    <w:p w14:paraId="68E6AE6A" w14:textId="77777777" w:rsidR="007C7250" w:rsidRPr="00180F68" w:rsidRDefault="007C7250" w:rsidP="007C7250">
      <w:pPr>
        <w:shd w:val="clear" w:color="auto" w:fill="FFFFFF"/>
        <w:spacing w:line="276" w:lineRule="auto"/>
        <w:jc w:val="both"/>
        <w:textAlignment w:val="baseline"/>
        <w:rPr>
          <w:rFonts w:ascii="Arial" w:eastAsia="Times New Roman" w:hAnsi="Arial" w:cs="Arial"/>
          <w:b/>
          <w:bCs/>
          <w:color w:val="000000"/>
          <w:sz w:val="22"/>
          <w:lang w:eastAsia="es-CO"/>
        </w:rPr>
      </w:pPr>
      <w:bookmarkStart w:id="4" w:name="_Hlk72774853"/>
      <w:r w:rsidRPr="00180F68">
        <w:rPr>
          <w:rFonts w:ascii="Arial" w:hAnsi="Arial" w:cs="Arial"/>
          <w:bCs/>
          <w:sz w:val="22"/>
          <w:lang w:val="es-ES_tradnl"/>
        </w:rPr>
        <w:t xml:space="preserve">El </w:t>
      </w:r>
      <w:bookmarkStart w:id="5" w:name="_Hlk81313863"/>
      <w:r w:rsidRPr="00180F68">
        <w:rPr>
          <w:rFonts w:ascii="Arial" w:hAnsi="Arial" w:cs="Arial"/>
          <w:bCs/>
          <w:sz w:val="22"/>
          <w:lang w:val="es-ES_tradnl"/>
        </w:rPr>
        <w:t xml:space="preserve">artículo 2.2.1.2.6.1.4 del Decreto 1082 de 2015 </w:t>
      </w:r>
      <w:bookmarkEnd w:id="5"/>
      <w:r w:rsidRPr="00180F68">
        <w:rPr>
          <w:rFonts w:ascii="Arial" w:hAnsi="Arial" w:cs="Arial"/>
          <w:bCs/>
          <w:sz w:val="22"/>
          <w:lang w:val="es-ES_tradnl"/>
        </w:rPr>
        <w:t>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180F68">
        <w:rPr>
          <w:rStyle w:val="Refdenotaalpie"/>
          <w:rFonts w:ascii="Arial" w:hAnsi="Arial" w:cs="Arial"/>
          <w:bCs/>
          <w:sz w:val="22"/>
          <w:lang w:val="es-ES_tradnl"/>
        </w:rPr>
        <w:footnoteReference w:id="6"/>
      </w:r>
      <w:r w:rsidRPr="00180F68">
        <w:rPr>
          <w:rFonts w:ascii="Arial" w:hAnsi="Arial" w:cs="Arial"/>
          <w:bCs/>
          <w:sz w:val="22"/>
          <w:lang w:val="es-ES_tradnl"/>
        </w:rPr>
        <w:t>. En consecuencia</w:t>
      </w:r>
      <w:bookmarkStart w:id="6" w:name="_Hlk64290904"/>
      <w:r w:rsidRPr="00180F68">
        <w:rPr>
          <w:rFonts w:ascii="Arial" w:hAnsi="Arial" w:cs="Arial"/>
          <w:bCs/>
          <w:sz w:val="22"/>
          <w:lang w:val="es-ES_tradnl"/>
        </w:rPr>
        <w:t xml:space="preserve">, las condiciones establecidas en los documentos que adopte la Agencia, en ejercicio del </w:t>
      </w:r>
      <w:r w:rsidRPr="00180F68">
        <w:rPr>
          <w:rFonts w:ascii="Arial" w:hAnsi="Arial" w:cs="Arial"/>
          <w:bCs/>
          <w:sz w:val="22"/>
          <w:lang w:val="es-ES_tradnl"/>
        </w:rPr>
        <w:lastRenderedPageBreak/>
        <w:t>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fijados en ellos.</w:t>
      </w:r>
      <w:bookmarkEnd w:id="6"/>
      <w:r w:rsidRPr="00180F68">
        <w:rPr>
          <w:rFonts w:ascii="Arial" w:hAnsi="Arial" w:cs="Arial"/>
          <w:bCs/>
          <w:sz w:val="22"/>
          <w:lang w:val="es-ES_tradnl"/>
        </w:rPr>
        <w:t xml:space="preserve"> </w:t>
      </w:r>
    </w:p>
    <w:p w14:paraId="74BE0FA4" w14:textId="77777777" w:rsidR="007C7250" w:rsidRPr="00180F68" w:rsidRDefault="007C7250" w:rsidP="007C7250">
      <w:pPr>
        <w:spacing w:before="120" w:line="276" w:lineRule="auto"/>
        <w:ind w:firstLine="709"/>
        <w:jc w:val="both"/>
        <w:rPr>
          <w:rFonts w:ascii="Arial" w:eastAsia="Calibri" w:hAnsi="Arial" w:cs="Arial"/>
          <w:bCs/>
          <w:sz w:val="22"/>
          <w:lang w:val="es-ES_tradnl"/>
        </w:rPr>
      </w:pPr>
      <w:r w:rsidRPr="00180F68">
        <w:rPr>
          <w:rFonts w:ascii="Arial" w:hAnsi="Arial" w:cs="Arial"/>
          <w:bCs/>
          <w:sz w:val="22"/>
          <w:lang w:val="es-ES_tradnl"/>
        </w:rPr>
        <w:t xml:space="preserve">Esta prohibición la ratifica el </w:t>
      </w:r>
      <w:bookmarkStart w:id="7" w:name="_Hlk81313856"/>
      <w:r w:rsidRPr="00180F68">
        <w:rPr>
          <w:rFonts w:ascii="Arial" w:hAnsi="Arial" w:cs="Arial"/>
          <w:bCs/>
          <w:sz w:val="22"/>
          <w:lang w:val="es-ES_tradnl"/>
        </w:rPr>
        <w:t>artículo 3 de la Resolución No. 240 de 2020</w:t>
      </w:r>
      <w:bookmarkEnd w:id="7"/>
      <w:r w:rsidRPr="00180F68">
        <w:rPr>
          <w:rFonts w:ascii="Arial" w:hAnsi="Arial" w:cs="Arial"/>
          <w:bCs/>
          <w:sz w:val="22"/>
          <w:lang w:val="es-ES_tradnl"/>
        </w:rPr>
        <w:t xml:space="preserve">,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bookmarkEnd w:id="4"/>
    <w:p w14:paraId="3A6AFF70" w14:textId="77777777" w:rsidR="007C7250" w:rsidRPr="00180F68" w:rsidRDefault="007C7250" w:rsidP="007C7250">
      <w:pPr>
        <w:spacing w:before="120" w:line="276" w:lineRule="auto"/>
        <w:ind w:firstLine="708"/>
        <w:jc w:val="both"/>
        <w:rPr>
          <w:rFonts w:ascii="Arial" w:hAnsi="Arial" w:cs="Arial"/>
          <w:bCs/>
          <w:sz w:val="22"/>
          <w:lang w:val="es-ES_tradnl"/>
        </w:rPr>
      </w:pPr>
      <w:r w:rsidRPr="00180F68">
        <w:rPr>
          <w:rFonts w:ascii="Arial" w:hAnsi="Arial" w:cs="Arial"/>
          <w:bCs/>
          <w:sz w:val="22"/>
          <w:lang w:val="es-ES_tradnl"/>
        </w:rPr>
        <w:t xml:space="preserve">Además, las entidades estatales deben garantizar el </w:t>
      </w:r>
      <w:r w:rsidRPr="00180F68">
        <w:rPr>
          <w:rFonts w:ascii="Arial" w:hAnsi="Arial" w:cs="Arial"/>
          <w:bCs/>
          <w:i/>
          <w:iCs/>
          <w:sz w:val="22"/>
          <w:lang w:val="es-ES_tradnl"/>
        </w:rPr>
        <w:t>principio de economía</w:t>
      </w:r>
      <w:r w:rsidRPr="00180F68">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180F68">
        <w:rPr>
          <w:rStyle w:val="Refdenotaalpie"/>
          <w:rFonts w:ascii="Arial" w:hAnsi="Arial" w:cs="Arial"/>
          <w:bCs/>
          <w:sz w:val="22"/>
          <w:lang w:val="es-ES_tradnl"/>
        </w:rPr>
        <w:footnoteReference w:id="7"/>
      </w:r>
      <w:r w:rsidRPr="00180F68">
        <w:rPr>
          <w:rFonts w:ascii="Arial" w:hAnsi="Arial" w:cs="Arial"/>
          <w:bCs/>
          <w:sz w:val="22"/>
          <w:lang w:val="es-ES_tradnl"/>
        </w:rPr>
        <w:t xml:space="preserve"> sino además en la normativa </w:t>
      </w:r>
      <w:proofErr w:type="spellStart"/>
      <w:r w:rsidRPr="00180F68">
        <w:rPr>
          <w:rFonts w:ascii="Arial" w:hAnsi="Arial" w:cs="Arial"/>
          <w:bCs/>
          <w:sz w:val="22"/>
          <w:lang w:val="es-ES_tradnl"/>
        </w:rPr>
        <w:t>antitrámites</w:t>
      </w:r>
      <w:proofErr w:type="spellEnd"/>
      <w:r w:rsidRPr="00180F68">
        <w:rPr>
          <w:rFonts w:ascii="Arial" w:hAnsi="Arial" w:cs="Arial"/>
          <w:bCs/>
          <w:sz w:val="22"/>
          <w:lang w:val="es-ES_tradnl"/>
        </w:rPr>
        <w:t>, pues se inscribe dentro de la tendencia de simplificación y racionalización de los procedimientos administrativos</w:t>
      </w:r>
      <w:r w:rsidRPr="00180F68">
        <w:rPr>
          <w:rStyle w:val="Refdenotaalpie"/>
          <w:rFonts w:ascii="Arial" w:hAnsi="Arial" w:cs="Arial"/>
          <w:bCs/>
          <w:sz w:val="22"/>
          <w:lang w:val="es-ES_tradnl"/>
        </w:rPr>
        <w:footnoteReference w:id="8"/>
      </w:r>
      <w:r w:rsidRPr="00180F68">
        <w:rPr>
          <w:rFonts w:ascii="Arial" w:hAnsi="Arial" w:cs="Arial"/>
          <w:bCs/>
          <w:sz w:val="22"/>
          <w:lang w:val="es-ES_tradnl"/>
        </w:rPr>
        <w:t>. De ahí que cuando las autoridades solicitan la entrega de documentación innecesaria, menoscaban el principio de economía.</w:t>
      </w:r>
    </w:p>
    <w:p w14:paraId="35D64514" w14:textId="77777777" w:rsidR="007C7250" w:rsidRPr="00180F68" w:rsidRDefault="007C7250" w:rsidP="007C7250">
      <w:pPr>
        <w:spacing w:before="120" w:line="276" w:lineRule="auto"/>
        <w:ind w:firstLine="709"/>
        <w:jc w:val="both"/>
        <w:rPr>
          <w:rFonts w:ascii="Arial" w:hAnsi="Arial" w:cs="Arial"/>
          <w:sz w:val="22"/>
        </w:rPr>
      </w:pPr>
      <w:r w:rsidRPr="00180F68">
        <w:rPr>
          <w:rFonts w:ascii="Arial" w:hAnsi="Arial" w:cs="Arial"/>
          <w:sz w:val="22"/>
        </w:rPr>
        <w:t xml:space="preserve">Por su parte, la parte introductoria de los documentos tipo dispone que los aspectos incluidos en corchetes y resaltado gris </w:t>
      </w:r>
      <w:r w:rsidRPr="00180F68">
        <w:rPr>
          <w:rFonts w:ascii="Arial" w:hAnsi="Arial" w:cs="Arial"/>
          <w:sz w:val="22"/>
          <w:highlight w:val="lightGray"/>
        </w:rPr>
        <w:t>–[texto de ejemplo]–</w:t>
      </w:r>
      <w:r w:rsidRPr="00180F68">
        <w:rPr>
          <w:rFonts w:ascii="Arial"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w:t>
      </w:r>
      <w:r w:rsidRPr="00180F68">
        <w:rPr>
          <w:rFonts w:ascii="Arial" w:hAnsi="Arial" w:cs="Arial"/>
          <w:sz w:val="22"/>
        </w:rPr>
        <w:lastRenderedPageBreak/>
        <w:t xml:space="preserve">diligenciará en los documentos tipo, de acuerdo con su necesidad y las instrucciones del pliego. </w:t>
      </w:r>
    </w:p>
    <w:p w14:paraId="7824DE7D" w14:textId="77777777" w:rsidR="007C7250" w:rsidRPr="00180F68" w:rsidRDefault="007C7250" w:rsidP="007C7250">
      <w:pPr>
        <w:spacing w:before="120" w:line="276" w:lineRule="auto"/>
        <w:ind w:firstLine="709"/>
        <w:jc w:val="both"/>
        <w:rPr>
          <w:rFonts w:ascii="Arial" w:hAnsi="Arial" w:cs="Arial"/>
          <w:bCs/>
          <w:sz w:val="22"/>
        </w:rPr>
      </w:pPr>
      <w:r w:rsidRPr="00180F68">
        <w:rPr>
          <w:rFonts w:ascii="Arial" w:hAnsi="Arial" w:cs="Arial"/>
          <w:bCs/>
          <w:sz w:val="22"/>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9785387" w14:textId="77777777" w:rsidR="007C7250" w:rsidRPr="00180F68" w:rsidRDefault="007C7250" w:rsidP="007C7250">
      <w:pPr>
        <w:spacing w:before="120" w:line="276" w:lineRule="auto"/>
        <w:ind w:firstLine="709"/>
        <w:jc w:val="both"/>
        <w:rPr>
          <w:rFonts w:ascii="Arial" w:hAnsi="Arial" w:cs="Arial"/>
          <w:sz w:val="22"/>
        </w:rPr>
      </w:pPr>
      <w:r w:rsidRPr="00180F68">
        <w:rPr>
          <w:rFonts w:ascii="Arial" w:hAnsi="Arial" w:cs="Arial"/>
          <w:sz w:val="22"/>
        </w:rPr>
        <w:t>Además, el artículo 3 de la Resolución No. 240 de 2020 prevé los eventos en los que el objeto contractual incluye bienes o servicios adicionales a la obra pública de infraestructura de transporte</w:t>
      </w:r>
      <w:r w:rsidRPr="00180F68">
        <w:rPr>
          <w:rStyle w:val="Refdenotaalpie"/>
          <w:rFonts w:ascii="Arial" w:hAnsi="Arial" w:cs="Arial"/>
          <w:sz w:val="22"/>
        </w:rPr>
        <w:footnoteReference w:id="9"/>
      </w:r>
      <w:r w:rsidRPr="00180F68">
        <w:rPr>
          <w:rFonts w:ascii="Arial" w:hAnsi="Arial" w:cs="Arial"/>
          <w:sz w:val="22"/>
        </w:rPr>
        <w:t xml:space="preserv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180F68">
        <w:rPr>
          <w:rFonts w:ascii="Arial" w:hAnsi="Arial" w:cs="Arial"/>
          <w:sz w:val="22"/>
        </w:rPr>
        <w:t>ii</w:t>
      </w:r>
      <w:proofErr w:type="spellEnd"/>
      <w:r w:rsidRPr="00180F68">
        <w:rPr>
          <w:rFonts w:ascii="Arial" w:hAnsi="Arial" w:cs="Arial"/>
          <w:sz w:val="22"/>
        </w:rPr>
        <w:t xml:space="preserve">) conservar los requisitos exigidos en los documentos tipo, </w:t>
      </w:r>
      <w:proofErr w:type="spellStart"/>
      <w:r w:rsidRPr="00180F68">
        <w:rPr>
          <w:rFonts w:ascii="Arial" w:hAnsi="Arial" w:cs="Arial"/>
          <w:sz w:val="22"/>
        </w:rPr>
        <w:t>iii</w:t>
      </w:r>
      <w:proofErr w:type="spellEnd"/>
      <w:r w:rsidRPr="00180F68">
        <w:rPr>
          <w:rFonts w:ascii="Arial"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180F68">
        <w:rPr>
          <w:rFonts w:ascii="Arial" w:hAnsi="Arial" w:cs="Arial"/>
          <w:sz w:val="22"/>
        </w:rPr>
        <w:t>iv</w:t>
      </w:r>
      <w:proofErr w:type="spellEnd"/>
      <w:r w:rsidRPr="00180F68">
        <w:rPr>
          <w:rFonts w:ascii="Arial" w:hAnsi="Arial" w:cs="Arial"/>
          <w:sz w:val="22"/>
        </w:rPr>
        <w:t xml:space="preserve">) clasificar la experiencia requerida solo hasta el tercer nivel del Clasificador de Bienes y Servicios e incluir exclusivamente los códigos que estén relacionados directamente con el objeto a contratar. </w:t>
      </w:r>
    </w:p>
    <w:p w14:paraId="58292E18" w14:textId="4FBF0D7D" w:rsidR="007C7250" w:rsidRPr="00180F68" w:rsidRDefault="007C7250" w:rsidP="007C7250">
      <w:pPr>
        <w:spacing w:before="120" w:line="276" w:lineRule="auto"/>
        <w:ind w:firstLine="709"/>
        <w:jc w:val="both"/>
        <w:rPr>
          <w:rFonts w:ascii="Arial" w:hAnsi="Arial" w:cs="Arial"/>
          <w:bCs/>
          <w:sz w:val="22"/>
        </w:rPr>
      </w:pPr>
      <w:r w:rsidRPr="00180F68">
        <w:rPr>
          <w:rFonts w:ascii="Arial" w:hAnsi="Arial" w:cs="Arial"/>
          <w:bCs/>
          <w:sz w:val="22"/>
        </w:rPr>
        <w:t xml:space="preserve">En suma, la regla general frente la aplicación del «Documento Base» es su inalterabilidad, y no se podrán incluir o modificar en los documentos del proceso las condiciones habilitantes, los factores técnicos y económicos de escogencia y los sistemas </w:t>
      </w:r>
      <w:r w:rsidRPr="00180F68">
        <w:rPr>
          <w:rFonts w:ascii="Arial" w:hAnsi="Arial" w:cs="Arial"/>
          <w:bCs/>
          <w:sz w:val="22"/>
        </w:rPr>
        <w:lastRenderedPageBreak/>
        <w:t>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3EDA3692" w14:textId="77777777" w:rsidR="007C7250" w:rsidRPr="00180F68" w:rsidRDefault="007C7250" w:rsidP="007C7250">
      <w:pPr>
        <w:spacing w:before="120" w:line="276" w:lineRule="auto"/>
        <w:ind w:firstLine="709"/>
        <w:jc w:val="both"/>
        <w:rPr>
          <w:rFonts w:ascii="Arial" w:hAnsi="Arial" w:cs="Arial"/>
          <w:bCs/>
          <w:sz w:val="22"/>
        </w:rPr>
      </w:pPr>
      <w:r w:rsidRPr="00180F68">
        <w:rPr>
          <w:rFonts w:ascii="Arial" w:hAnsi="Arial" w:cs="Arial"/>
          <w:bCs/>
          <w:sz w:val="22"/>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5A3051B4" w14:textId="6F755943" w:rsidR="007C7250" w:rsidRPr="00180F68" w:rsidRDefault="007C7250" w:rsidP="00B62ECA">
      <w:pPr>
        <w:spacing w:before="120" w:line="276" w:lineRule="auto"/>
        <w:ind w:firstLine="709"/>
        <w:jc w:val="both"/>
        <w:rPr>
          <w:rFonts w:ascii="Arial" w:hAnsi="Arial" w:cs="Arial"/>
          <w:sz w:val="22"/>
        </w:rPr>
      </w:pPr>
      <w:r w:rsidRPr="00180F68">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180F68">
        <w:rPr>
          <w:rFonts w:ascii="Arial" w:hAnsi="Arial" w:cs="Arial"/>
          <w:i/>
          <w:iCs/>
          <w:sz w:val="22"/>
        </w:rPr>
        <w:t>sub examine</w:t>
      </w:r>
      <w:r w:rsidRPr="00180F68">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80F68">
        <w:rPr>
          <w:rStyle w:val="Refdenotaalpie"/>
          <w:rFonts w:ascii="Arial" w:hAnsi="Arial" w:cs="Arial"/>
          <w:sz w:val="22"/>
        </w:rPr>
        <w:footnoteReference w:id="10"/>
      </w:r>
      <w:r w:rsidRPr="00180F68">
        <w:rPr>
          <w:rFonts w:ascii="Arial" w:hAnsi="Arial" w:cs="Arial"/>
          <w:sz w:val="22"/>
        </w:rPr>
        <w:t xml:space="preserve">. </w:t>
      </w:r>
    </w:p>
    <w:p w14:paraId="3BB719D9" w14:textId="47B732A3" w:rsidR="004C512E" w:rsidRPr="00180F68" w:rsidRDefault="007C7250" w:rsidP="007C7250">
      <w:pPr>
        <w:spacing w:before="120" w:line="276" w:lineRule="auto"/>
        <w:ind w:firstLine="709"/>
        <w:jc w:val="both"/>
        <w:rPr>
          <w:rFonts w:ascii="Arial" w:hAnsi="Arial" w:cs="Arial"/>
          <w:sz w:val="22"/>
        </w:rPr>
      </w:pPr>
      <w:r w:rsidRPr="00180F68">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3F925545" w14:textId="77777777" w:rsidR="005B6E09" w:rsidRPr="00180F68" w:rsidRDefault="005B6E09" w:rsidP="005B6E09">
      <w:pPr>
        <w:spacing w:line="276" w:lineRule="auto"/>
        <w:ind w:firstLine="709"/>
        <w:jc w:val="both"/>
        <w:rPr>
          <w:rFonts w:ascii="Arial" w:hAnsi="Arial" w:cs="Arial"/>
          <w:sz w:val="22"/>
        </w:rPr>
      </w:pPr>
    </w:p>
    <w:p w14:paraId="4EC51A1E" w14:textId="6341EEC4" w:rsidR="00B438E1" w:rsidRPr="00180F68" w:rsidRDefault="00B438E1" w:rsidP="00B438E1">
      <w:pPr>
        <w:shd w:val="clear" w:color="auto" w:fill="FFFFFF"/>
        <w:spacing w:line="276" w:lineRule="auto"/>
        <w:jc w:val="both"/>
        <w:textAlignment w:val="baseline"/>
        <w:rPr>
          <w:rFonts w:ascii="Arial" w:eastAsia="Times New Roman" w:hAnsi="Arial" w:cs="Arial"/>
          <w:b/>
          <w:bCs/>
          <w:color w:val="000000"/>
          <w:sz w:val="22"/>
          <w:lang w:eastAsia="es-CO"/>
        </w:rPr>
      </w:pPr>
      <w:r w:rsidRPr="00180F68">
        <w:rPr>
          <w:rFonts w:ascii="Arial" w:eastAsia="Times New Roman" w:hAnsi="Arial" w:cs="Arial"/>
          <w:b/>
          <w:bCs/>
          <w:color w:val="000000"/>
          <w:sz w:val="22"/>
          <w:lang w:eastAsia="es-CO"/>
        </w:rPr>
        <w:lastRenderedPageBreak/>
        <w:t>2.3. Alcance de la «Cláusula 8 ‒ Forma de pago» del «Anexo 5 – Minuta del Contrato» en los documentos tipo de licitación para obra pública de infraestructura de transporte</w:t>
      </w:r>
      <w:r w:rsidR="00DF5064" w:rsidRPr="00180F68">
        <w:rPr>
          <w:rFonts w:ascii="Arial" w:eastAsia="Times New Roman" w:hAnsi="Arial" w:cs="Arial"/>
          <w:b/>
          <w:bCs/>
          <w:color w:val="000000"/>
          <w:sz w:val="22"/>
          <w:lang w:eastAsia="es-CO"/>
        </w:rPr>
        <w:t>.</w:t>
      </w:r>
    </w:p>
    <w:p w14:paraId="7A87C377" w14:textId="77777777" w:rsidR="00B438E1" w:rsidRPr="00180F68" w:rsidRDefault="00B438E1" w:rsidP="00B438E1">
      <w:pPr>
        <w:spacing w:line="276" w:lineRule="auto"/>
        <w:jc w:val="both"/>
        <w:rPr>
          <w:rFonts w:ascii="Arial" w:eastAsia="Calibri" w:hAnsi="Arial" w:cs="Arial"/>
          <w:bCs/>
          <w:color w:val="000000" w:themeColor="text1"/>
          <w:sz w:val="22"/>
        </w:rPr>
      </w:pPr>
    </w:p>
    <w:p w14:paraId="4562B2E0" w14:textId="77777777" w:rsidR="00B438E1" w:rsidRPr="00180F68" w:rsidRDefault="00B438E1" w:rsidP="00B438E1">
      <w:pPr>
        <w:spacing w:line="276" w:lineRule="auto"/>
        <w:jc w:val="both"/>
        <w:rPr>
          <w:rFonts w:ascii="Arial" w:eastAsia="Calibri" w:hAnsi="Arial" w:cs="Arial"/>
          <w:sz w:val="22"/>
        </w:rPr>
      </w:pPr>
      <w:r w:rsidRPr="00180F68">
        <w:rPr>
          <w:rFonts w:ascii="Arial" w:hAnsi="Arial" w:cs="Arial"/>
          <w:color w:val="000000"/>
          <w:sz w:val="22"/>
          <w:bdr w:val="none" w:sz="0" w:space="0" w:color="auto" w:frame="1"/>
        </w:rPr>
        <w:t xml:space="preserve">Conforme a la competencia del artículo 1° de la Ley 2022 de 2020, esta Agencia expidió </w:t>
      </w:r>
      <w:r w:rsidRPr="00180F68">
        <w:rPr>
          <w:rFonts w:ascii="Arial" w:eastAsia="Calibri" w:hAnsi="Arial" w:cs="Arial"/>
          <w:sz w:val="22"/>
        </w:rPr>
        <w:t xml:space="preserve">la Resolución </w:t>
      </w:r>
      <w:bookmarkStart w:id="8" w:name="_Hlk81205433"/>
      <w:r w:rsidRPr="00180F68">
        <w:rPr>
          <w:rFonts w:ascii="Arial" w:eastAsia="Calibri" w:hAnsi="Arial" w:cs="Arial"/>
          <w:sz w:val="22"/>
        </w:rPr>
        <w:t>No. 240 del 27 de noviembre de 2020</w:t>
      </w:r>
      <w:bookmarkEnd w:id="8"/>
      <w:r w:rsidRPr="00180F68">
        <w:rPr>
          <w:rFonts w:ascii="Arial" w:eastAsia="Calibri" w:hAnsi="Arial" w:cs="Arial"/>
          <w:sz w:val="22"/>
        </w:rPr>
        <w:t xml:space="preserve">. Mediante este acto administrativo se adoptaron los documentos tipo para licitación de obras públicas de infraestructura de transporte. De acuerdo con el artículo 6 </w:t>
      </w:r>
      <w:proofErr w:type="spellStart"/>
      <w:r w:rsidRPr="00180F68">
        <w:rPr>
          <w:rFonts w:ascii="Arial" w:eastAsia="Calibri" w:hAnsi="Arial" w:cs="Arial"/>
          <w:i/>
          <w:iCs/>
          <w:sz w:val="22"/>
        </w:rPr>
        <w:t>ibídem</w:t>
      </w:r>
      <w:proofErr w:type="spellEnd"/>
      <w:r w:rsidRPr="00180F68">
        <w:rPr>
          <w:rFonts w:ascii="Arial" w:eastAsia="Calibri" w:hAnsi="Arial" w:cs="Arial"/>
          <w:i/>
          <w:iCs/>
          <w:sz w:val="22"/>
        </w:rPr>
        <w:t xml:space="preserve">, </w:t>
      </w:r>
      <w:r w:rsidRPr="00180F68">
        <w:rPr>
          <w:rFonts w:ascii="Arial" w:eastAsia="Calibri" w:hAnsi="Arial" w:cs="Arial"/>
          <w:sz w:val="22"/>
        </w:rPr>
        <w:t xml:space="preserve">la implementación de estos documentos es obligatoria en los procedimientos de selección de licitación pública cuyo aviso de convocatoria se publique a partir del 1º de enero de 2021. </w:t>
      </w:r>
    </w:p>
    <w:p w14:paraId="767524F2" w14:textId="7C3F9507" w:rsidR="00B438E1" w:rsidRPr="00180F68" w:rsidRDefault="00B438E1" w:rsidP="00B438E1">
      <w:pPr>
        <w:spacing w:before="120" w:line="276" w:lineRule="auto"/>
        <w:ind w:firstLine="709"/>
        <w:jc w:val="both"/>
        <w:rPr>
          <w:rFonts w:ascii="Arial" w:eastAsia="Calibri" w:hAnsi="Arial" w:cs="Arial"/>
          <w:sz w:val="22"/>
        </w:rPr>
      </w:pPr>
      <w:r w:rsidRPr="00180F68">
        <w:rPr>
          <w:rFonts w:ascii="Arial" w:eastAsia="Calibri" w:hAnsi="Arial" w:cs="Arial"/>
          <w:sz w:val="22"/>
        </w:rPr>
        <w:t xml:space="preserve">En relación con los documentos tipo propiamente dichos, el artículo 2 de la resolución citada contempló el documento base o pliego tipo, junto con los correspondientes anexos, formatos, matrices y formularios. </w:t>
      </w:r>
      <w:r w:rsidRPr="00180F68">
        <w:rPr>
          <w:rFonts w:ascii="Arial" w:eastAsia="Calibri" w:hAnsi="Arial" w:cs="Arial"/>
          <w:bCs/>
          <w:sz w:val="22"/>
        </w:rPr>
        <w:t xml:space="preserve">Dentro del listado de los documentos tipo se encuentra el «Anexo 5 – Minuta del contrato». Este consta de 25 cláusulas orientadas a servir de insumo para el contrato que finalmente será suscrito por las partes. Este anexo constituye una particularidad frente a los demás anexos de los documentos tipo, </w:t>
      </w:r>
      <w:r w:rsidR="00CF0B4D" w:rsidRPr="00180F68">
        <w:rPr>
          <w:rFonts w:ascii="Arial" w:eastAsia="Calibri" w:hAnsi="Arial" w:cs="Arial"/>
          <w:bCs/>
          <w:sz w:val="22"/>
        </w:rPr>
        <w:t>pues</w:t>
      </w:r>
      <w:r w:rsidRPr="00180F68">
        <w:rPr>
          <w:rFonts w:ascii="Arial" w:eastAsia="Calibri" w:hAnsi="Arial" w:cs="Arial"/>
          <w:bCs/>
          <w:sz w:val="22"/>
        </w:rPr>
        <w:t xml:space="preserve"> no está destinado a regular aspectos propios del proceso de selección sino de la relación contractual.</w:t>
      </w:r>
    </w:p>
    <w:p w14:paraId="627AD7A0" w14:textId="77777777" w:rsidR="005B6E09" w:rsidRPr="00180F68" w:rsidRDefault="005B6E09" w:rsidP="005B6E09">
      <w:pPr>
        <w:spacing w:before="120" w:line="276" w:lineRule="auto"/>
        <w:ind w:firstLine="709"/>
        <w:jc w:val="both"/>
        <w:rPr>
          <w:rFonts w:ascii="Arial" w:eastAsia="Calibri" w:hAnsi="Arial" w:cs="Arial"/>
          <w:bCs/>
          <w:sz w:val="22"/>
        </w:rPr>
      </w:pPr>
      <w:r w:rsidRPr="00180F68">
        <w:rPr>
          <w:rFonts w:ascii="Arial" w:eastAsia="Calibri" w:hAnsi="Arial" w:cs="Arial"/>
          <w:bCs/>
          <w:sz w:val="22"/>
        </w:rPr>
        <w:t xml:space="preserve">En razón de ello, dentro de las 25 cláusulas que conforman este documento encontramos una serie de apartados grises entre corchetes –que se presentan con mayor frecuencia que en otros documentos tipo– destinados a que las entidades estatales, en el marco de la discrecionalidad que les corresponde, dispongan en ellos información relativa a las necesidades que pretenden satisfacer, el objeto a contratar y en general información necesaria para regular la relación contractual, partiendo de los aspectos más básicos como el objeto, el plazo, la forma de pago, las obligaciones, etc., a partir de opciones, alternativas y sugerencias de cláusulas prestablecidas en </w:t>
      </w:r>
      <w:bookmarkStart w:id="9" w:name="_Hlk81313414"/>
      <w:r w:rsidRPr="00180F68">
        <w:rPr>
          <w:rFonts w:ascii="Arial" w:eastAsia="Calibri" w:hAnsi="Arial" w:cs="Arial"/>
          <w:bCs/>
          <w:sz w:val="22"/>
        </w:rPr>
        <w:t xml:space="preserve">el anexo 5. Al respecto, el «CAPÍTULO VIII MINUTA Y CONDICIONES DEL CONTRATO» </w:t>
      </w:r>
      <w:bookmarkEnd w:id="9"/>
      <w:r w:rsidRPr="00180F68">
        <w:rPr>
          <w:rFonts w:ascii="Arial" w:eastAsia="Calibri" w:hAnsi="Arial" w:cs="Arial"/>
          <w:bCs/>
          <w:sz w:val="22"/>
        </w:rPr>
        <w:t xml:space="preserve">del documento base dispone lo siguiente: </w:t>
      </w:r>
    </w:p>
    <w:p w14:paraId="1DAEF616" w14:textId="77777777" w:rsidR="005B6E09" w:rsidRPr="00180F68" w:rsidRDefault="005B6E09" w:rsidP="005B6E09">
      <w:pPr>
        <w:spacing w:line="276" w:lineRule="auto"/>
        <w:ind w:firstLine="709"/>
        <w:jc w:val="both"/>
        <w:rPr>
          <w:rFonts w:ascii="Arial" w:eastAsia="Calibri" w:hAnsi="Arial" w:cs="Arial"/>
          <w:bCs/>
          <w:sz w:val="22"/>
        </w:rPr>
      </w:pPr>
    </w:p>
    <w:p w14:paraId="5C235F1D" w14:textId="77777777" w:rsidR="005B6E09" w:rsidRPr="00180F68" w:rsidRDefault="005B6E09" w:rsidP="005B6E09">
      <w:pPr>
        <w:spacing w:after="120"/>
        <w:ind w:left="709" w:right="709"/>
        <w:jc w:val="both"/>
        <w:rPr>
          <w:rFonts w:ascii="Arial" w:hAnsi="Arial" w:cs="Arial"/>
          <w:sz w:val="21"/>
          <w:szCs w:val="21"/>
        </w:rPr>
      </w:pPr>
      <w:bookmarkStart w:id="10" w:name="_Hlk516155163"/>
      <w:r w:rsidRPr="00180F68">
        <w:rPr>
          <w:rFonts w:ascii="Arial" w:hAnsi="Arial" w:cs="Arial"/>
          <w:sz w:val="21"/>
          <w:szCs w:val="21"/>
        </w:rPr>
        <w:t xml:space="preserve">Las condiciones de ejecución del contrato están previstas en el Anexo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5404D36B" w14:textId="77777777" w:rsidR="005B6E09" w:rsidRPr="00180F68" w:rsidRDefault="005B6E09" w:rsidP="005B6E09">
      <w:pPr>
        <w:spacing w:after="120"/>
        <w:ind w:left="709" w:right="709"/>
        <w:jc w:val="both"/>
        <w:rPr>
          <w:rFonts w:ascii="Arial" w:hAnsi="Arial" w:cs="Arial"/>
          <w:sz w:val="21"/>
          <w:szCs w:val="21"/>
        </w:rPr>
      </w:pPr>
      <w:r w:rsidRPr="00180F68">
        <w:rPr>
          <w:rFonts w:ascii="Arial" w:hAnsi="Arial" w:cs="Arial"/>
          <w:sz w:val="21"/>
          <w:szCs w:val="21"/>
        </w:rPr>
        <w:t xml:space="preserve">El Proponente adjudicatario debe presentar el Registro Único Tributario—RUT y demás documentos necesarios para la celebración del contrato al momento de firma. </w:t>
      </w:r>
    </w:p>
    <w:p w14:paraId="582FA1B0"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 xml:space="preserve">[La entidad deberá incluir en el Anexo el contenido mínimo allí establecido. Podrá incluir cláusulas con condiciones adicionales que no contradigan lo dispuesto en el Anexo. En todo caso, las cláusulas adicionales deberán obedecer a las </w:t>
      </w:r>
      <w:r w:rsidRPr="00180F68">
        <w:rPr>
          <w:rFonts w:ascii="Arial" w:hAnsi="Arial" w:cs="Arial"/>
          <w:sz w:val="21"/>
          <w:szCs w:val="21"/>
        </w:rPr>
        <w:lastRenderedPageBreak/>
        <w:t>necesidades de ejecución del contrato ni deben contrariar las condiciones señaladas en los Documentos Tipo]</w:t>
      </w:r>
      <w:bookmarkEnd w:id="10"/>
    </w:p>
    <w:p w14:paraId="365AB368" w14:textId="77777777" w:rsidR="005B6E09" w:rsidRPr="00180F68" w:rsidRDefault="005B6E09" w:rsidP="005B6E09">
      <w:pPr>
        <w:spacing w:line="276" w:lineRule="auto"/>
        <w:ind w:left="709" w:right="709"/>
        <w:jc w:val="both"/>
        <w:rPr>
          <w:rFonts w:ascii="Arial" w:hAnsi="Arial" w:cs="Arial"/>
          <w:sz w:val="22"/>
        </w:rPr>
      </w:pPr>
    </w:p>
    <w:p w14:paraId="50A167C9" w14:textId="77777777" w:rsidR="005B6E09" w:rsidRPr="00180F68" w:rsidRDefault="005B6E09" w:rsidP="005B6E09">
      <w:pPr>
        <w:spacing w:line="276" w:lineRule="auto"/>
        <w:ind w:firstLine="708"/>
        <w:jc w:val="both"/>
        <w:rPr>
          <w:rFonts w:ascii="Arial" w:eastAsia="Calibri" w:hAnsi="Arial" w:cs="Arial"/>
          <w:bCs/>
          <w:sz w:val="22"/>
        </w:rPr>
      </w:pPr>
      <w:r w:rsidRPr="00180F68">
        <w:rPr>
          <w:rFonts w:ascii="Arial" w:eastAsia="Calibri" w:hAnsi="Arial" w:cs="Arial"/>
          <w:bCs/>
          <w:sz w:val="22"/>
        </w:rPr>
        <w:t>En concordancia, sin perjuicio de la mencionada discrecionalidad, el diligenciamiento de los apartados grises entre corchetes del Anexo 5 debe realizarse conforme a las indicaciones de los documentos tipo, las cuales están establecidas en el párrafo sombreado en gris y entre corchetes que encabeza dicho anexo. Este dispone lo siguiente:</w:t>
      </w:r>
    </w:p>
    <w:p w14:paraId="5B175D0A" w14:textId="77777777" w:rsidR="005B6E09" w:rsidRPr="00180F68" w:rsidRDefault="005B6E09" w:rsidP="005B6E09">
      <w:pPr>
        <w:spacing w:line="276" w:lineRule="auto"/>
        <w:ind w:firstLine="709"/>
        <w:jc w:val="both"/>
        <w:rPr>
          <w:rFonts w:ascii="Arial" w:eastAsia="Calibri" w:hAnsi="Arial" w:cs="Arial"/>
          <w:bCs/>
          <w:sz w:val="22"/>
        </w:rPr>
      </w:pPr>
    </w:p>
    <w:p w14:paraId="2A592C5D"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p>
    <w:p w14:paraId="3A07BC8F"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 xml:space="preserve">[…] </w:t>
      </w:r>
    </w:p>
    <w:p w14:paraId="55D98C72" w14:textId="77777777" w:rsidR="005B6E09" w:rsidRPr="00180F68" w:rsidRDefault="005B6E09" w:rsidP="005B6E09">
      <w:pPr>
        <w:spacing w:line="276" w:lineRule="auto"/>
        <w:ind w:left="709" w:right="709"/>
        <w:jc w:val="both"/>
        <w:rPr>
          <w:rFonts w:ascii="Arial" w:hAnsi="Arial" w:cs="Arial"/>
          <w:sz w:val="21"/>
          <w:szCs w:val="21"/>
        </w:rPr>
      </w:pPr>
    </w:p>
    <w:p w14:paraId="15EDCABB" w14:textId="77777777" w:rsidR="005B6E09" w:rsidRPr="00180F68" w:rsidRDefault="005B6E09" w:rsidP="005B6E09">
      <w:pPr>
        <w:spacing w:line="276" w:lineRule="auto"/>
        <w:ind w:firstLine="708"/>
        <w:jc w:val="both"/>
        <w:rPr>
          <w:rFonts w:ascii="Arial" w:hAnsi="Arial" w:cs="Arial"/>
          <w:sz w:val="22"/>
        </w:rPr>
      </w:pPr>
      <w:r w:rsidRPr="00180F68">
        <w:rPr>
          <w:rFonts w:ascii="Arial" w:eastAsia="Calibri" w:hAnsi="Arial" w:cs="Arial"/>
          <w:bCs/>
          <w:sz w:val="22"/>
        </w:rPr>
        <w:t xml:space="preserve">Estas indicaciones fueron precisadas por la Agencia en el Concepto C-289 del 26 de mayo de 2020. En este se explicó que la entidad estatal debe incluir como mínimo las 25 cláusulas mencionadas, y que la indicación de que se </w:t>
      </w:r>
      <w:r w:rsidRPr="00180F68">
        <w:rPr>
          <w:rFonts w:ascii="Arial" w:hAnsi="Arial" w:cs="Arial"/>
          <w:sz w:val="22"/>
        </w:rPr>
        <w:t>«Podrá incluir condiciones adicionales que no contradigan lo dispuesto en el presente Anexo»,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Además, el concepto citado precisó el alcance la expresión «En algunas cláusulas la Entidad podrá escoger entre algunas opciones de cláusula, podrá combinar opciones o podrá construir su propia cláusula […]», explicando que:</w:t>
      </w:r>
    </w:p>
    <w:p w14:paraId="5E872F30" w14:textId="77777777" w:rsidR="005B6E09" w:rsidRPr="00180F68" w:rsidRDefault="005B6E09" w:rsidP="005B6E09">
      <w:pPr>
        <w:spacing w:line="276" w:lineRule="auto"/>
        <w:ind w:left="709" w:right="709"/>
        <w:jc w:val="both"/>
        <w:rPr>
          <w:rFonts w:ascii="Arial" w:hAnsi="Arial" w:cs="Arial"/>
          <w:sz w:val="22"/>
        </w:rPr>
      </w:pPr>
    </w:p>
    <w:p w14:paraId="032A3AAE" w14:textId="77777777" w:rsidR="005B6E09" w:rsidRPr="00180F68" w:rsidRDefault="005B6E09" w:rsidP="005B6E09">
      <w:pPr>
        <w:ind w:left="709" w:right="709"/>
        <w:jc w:val="both"/>
        <w:rPr>
          <w:rFonts w:ascii="Arial" w:hAnsi="Arial" w:cs="Arial"/>
          <w:sz w:val="21"/>
          <w:szCs w:val="21"/>
        </w:rPr>
      </w:pPr>
      <w:r w:rsidRPr="00180F68">
        <w:rPr>
          <w:rFonts w:ascii="Arial" w:hAnsi="Arial" w:cs="Arial"/>
          <w:sz w:val="21"/>
          <w:szCs w:val="21"/>
        </w:rPr>
        <w:t xml:space="preserve">[…] algunas cláusulas del «Anexo 5 ‒ Minuta del contrato» tienen un mayor grado de modificabilidad o alterabilidad que permiten, a discrecionalidad de la entidad, estipular algunas condiciones, </w:t>
      </w:r>
      <w:proofErr w:type="gramStart"/>
      <w:r w:rsidRPr="00180F68">
        <w:rPr>
          <w:rFonts w:ascii="Arial" w:hAnsi="Arial" w:cs="Arial"/>
          <w:sz w:val="21"/>
          <w:szCs w:val="21"/>
        </w:rPr>
        <w:t>que</w:t>
      </w:r>
      <w:proofErr w:type="gramEnd"/>
      <w:r w:rsidRPr="00180F68">
        <w:rPr>
          <w:rFonts w:ascii="Arial" w:hAnsi="Arial" w:cs="Arial"/>
          <w:sz w:val="21"/>
          <w:szCs w:val="21"/>
        </w:rPr>
        <w:t xml:space="preserve"> de acuerdo a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0619CA74" w14:textId="77777777" w:rsidR="005B6E09" w:rsidRPr="00180F68" w:rsidRDefault="005B6E09" w:rsidP="005B6E09">
      <w:pPr>
        <w:spacing w:line="276" w:lineRule="auto"/>
        <w:ind w:left="709" w:right="709"/>
        <w:jc w:val="both"/>
        <w:rPr>
          <w:rFonts w:ascii="Arial" w:eastAsia="Calibri" w:hAnsi="Arial" w:cs="Arial"/>
          <w:bCs/>
          <w:sz w:val="22"/>
        </w:rPr>
      </w:pPr>
    </w:p>
    <w:p w14:paraId="2678822F" w14:textId="196F5AB6" w:rsidR="005B6E09" w:rsidRPr="00180F68" w:rsidRDefault="005B6E09" w:rsidP="005B6E09">
      <w:pPr>
        <w:spacing w:line="276" w:lineRule="auto"/>
        <w:ind w:firstLine="708"/>
        <w:jc w:val="both"/>
        <w:rPr>
          <w:rFonts w:ascii="Arial" w:eastAsia="Calibri" w:hAnsi="Arial" w:cs="Arial"/>
          <w:bCs/>
          <w:color w:val="000000" w:themeColor="text1"/>
          <w:sz w:val="22"/>
        </w:rPr>
      </w:pPr>
      <w:r w:rsidRPr="00180F68">
        <w:rPr>
          <w:rFonts w:ascii="Arial" w:eastAsia="Calibri" w:hAnsi="Arial" w:cs="Arial"/>
          <w:bCs/>
          <w:sz w:val="22"/>
        </w:rPr>
        <w:t xml:space="preserve">El contenido de las 25 cláusulas </w:t>
      </w:r>
      <w:r w:rsidR="00151FFD" w:rsidRPr="00180F68">
        <w:rPr>
          <w:rFonts w:ascii="Arial" w:eastAsia="Calibri" w:hAnsi="Arial" w:cs="Arial"/>
          <w:bCs/>
          <w:sz w:val="22"/>
        </w:rPr>
        <w:t>d</w:t>
      </w:r>
      <w:r w:rsidRPr="00180F68">
        <w:rPr>
          <w:rFonts w:ascii="Arial" w:eastAsia="Calibri" w:hAnsi="Arial" w:cs="Arial"/>
          <w:bCs/>
          <w:sz w:val="22"/>
        </w:rPr>
        <w:t xml:space="preserve">e la minuta sirve de punto de partida para que las partes regulen su relación contractual. En ese orden, las diferentes cláusulas contienen una serie de apartados grises entre corchetes, dirigidos a que las entidades estatales puedan </w:t>
      </w:r>
      <w:r w:rsidRPr="00180F68">
        <w:rPr>
          <w:rFonts w:ascii="Arial" w:eastAsia="Calibri" w:hAnsi="Arial" w:cs="Arial"/>
          <w:bCs/>
          <w:sz w:val="22"/>
        </w:rPr>
        <w:lastRenderedPageBreak/>
        <w:t>consignar en ellos la información relativa al objeto contractual, valiéndose de unas indicaciones establecidas en el encabezado que son indispensables para que las partes diligencien los campos destinados para ello en el cuerpo del documento. Así, las indicaciones en el encabezado del Anexo 5 y los espacios entre corchetes incluidos en el clausulado prestablecido en este, ofrecen a las entidades estatales un margen amplio para la configuración del contrato de acuerdo con las necesidades identificadas por cada entidad.</w:t>
      </w:r>
    </w:p>
    <w:p w14:paraId="78271ED3" w14:textId="77777777" w:rsidR="005B6E09" w:rsidRPr="00180F68" w:rsidRDefault="005B6E09" w:rsidP="005B6E09">
      <w:pPr>
        <w:tabs>
          <w:tab w:val="center" w:pos="4244"/>
        </w:tabs>
        <w:spacing w:before="120" w:after="120"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Ahora bien, la </w:t>
      </w:r>
      <w:bookmarkStart w:id="11" w:name="_Hlk81313602"/>
      <w:r w:rsidRPr="00180F68">
        <w:rPr>
          <w:rFonts w:ascii="Arial" w:eastAsia="Calibri" w:hAnsi="Arial" w:cs="Arial"/>
          <w:color w:val="000000" w:themeColor="text1"/>
          <w:sz w:val="22"/>
        </w:rPr>
        <w:t xml:space="preserve">«Cláusula 8. Forma de pago» </w:t>
      </w:r>
      <w:bookmarkEnd w:id="11"/>
      <w:r w:rsidRPr="00180F68">
        <w:rPr>
          <w:rFonts w:ascii="Arial" w:eastAsia="Calibri" w:hAnsi="Arial" w:cs="Arial"/>
          <w:color w:val="000000" w:themeColor="text1"/>
          <w:sz w:val="22"/>
        </w:rPr>
        <w:t>tiene por objeto establecer las condiciones a las que está sometido el contratista para que la entidad estatal cancele el valor del contrato</w:t>
      </w:r>
      <w:r w:rsidRPr="00180F68">
        <w:rPr>
          <w:rStyle w:val="Refdenotaalpie"/>
          <w:rFonts w:ascii="Arial" w:eastAsia="Calibri" w:hAnsi="Arial" w:cs="Arial"/>
          <w:color w:val="000000" w:themeColor="text1"/>
          <w:sz w:val="22"/>
        </w:rPr>
        <w:footnoteReference w:id="11"/>
      </w:r>
      <w:r w:rsidRPr="00180F68">
        <w:rPr>
          <w:rFonts w:ascii="Arial" w:eastAsia="Calibri" w:hAnsi="Arial" w:cs="Arial"/>
          <w:color w:val="000000" w:themeColor="text1"/>
          <w:sz w:val="22"/>
        </w:rPr>
        <w:t xml:space="preserve">. Esta cláusula contiene tres opciones: la opción uno, sometida al porcentaje de avance mensual; la opción dos, existiendo anticipo, sometida a pagos mensuales en relación con la cantidad de obra ejecutada; y la opción tres, sometida a la entrega y recibo a satisfacción de hitos o unidades funcionales del proyecto. </w:t>
      </w:r>
    </w:p>
    <w:p w14:paraId="0FD68CD6" w14:textId="77777777" w:rsidR="005B6E09" w:rsidRPr="00180F68" w:rsidRDefault="005B6E09" w:rsidP="005B6E09">
      <w:pPr>
        <w:tabs>
          <w:tab w:val="center" w:pos="4244"/>
        </w:tabs>
        <w:spacing w:before="120" w:line="276" w:lineRule="auto"/>
        <w:ind w:firstLine="709"/>
        <w:jc w:val="both"/>
        <w:rPr>
          <w:rFonts w:ascii="Arial" w:eastAsia="Calibri" w:hAnsi="Arial" w:cs="Arial"/>
          <w:bCs/>
          <w:color w:val="000000" w:themeColor="text1"/>
          <w:sz w:val="22"/>
        </w:rPr>
      </w:pPr>
      <w:r w:rsidRPr="00180F68">
        <w:rPr>
          <w:rFonts w:ascii="Arial" w:eastAsia="Calibri" w:hAnsi="Arial" w:cs="Arial"/>
          <w:color w:val="000000" w:themeColor="text1"/>
          <w:sz w:val="22"/>
        </w:rPr>
        <w:t xml:space="preserve">A su vez, esta cláusula contiene aspectos incluidos en corchetes y resaltado gris que disponen la libertad para la entidad de seleccionar la opción que considere más conveniente o de adicionar o establecer supuestos y/o condiciones diferentes para cancelar </w:t>
      </w:r>
      <w:r w:rsidRPr="00180F68">
        <w:rPr>
          <w:rFonts w:ascii="Arial" w:eastAsia="Calibri" w:hAnsi="Arial" w:cs="Arial"/>
          <w:color w:val="000000" w:themeColor="text1"/>
          <w:sz w:val="22"/>
        </w:rPr>
        <w:lastRenderedPageBreak/>
        <w:t xml:space="preserve">el valor del contrato. De esta manera, la cláusula 8 del </w:t>
      </w:r>
      <w:r w:rsidRPr="00180F68">
        <w:rPr>
          <w:rFonts w:ascii="Arial" w:eastAsia="Calibri" w:hAnsi="Arial" w:cs="Arial"/>
          <w:bCs/>
          <w:color w:val="000000" w:themeColor="text1"/>
          <w:sz w:val="22"/>
        </w:rPr>
        <w:t>«Anexo 5 – Minuta del Contrato» dispone lo siguiente:</w:t>
      </w:r>
    </w:p>
    <w:p w14:paraId="34E5B97F" w14:textId="77777777" w:rsidR="005B6E09" w:rsidRPr="00180F68" w:rsidRDefault="005B6E09" w:rsidP="005B6E09">
      <w:pPr>
        <w:tabs>
          <w:tab w:val="center" w:pos="4244"/>
        </w:tabs>
        <w:spacing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 </w:t>
      </w:r>
    </w:p>
    <w:p w14:paraId="6C0A091D" w14:textId="77777777" w:rsidR="005B6E09" w:rsidRPr="00180F68" w:rsidRDefault="005B6E09" w:rsidP="005B6E09">
      <w:pPr>
        <w:tabs>
          <w:tab w:val="center" w:pos="4244"/>
        </w:tabs>
        <w:ind w:left="709" w:right="709"/>
        <w:jc w:val="both"/>
        <w:rPr>
          <w:rFonts w:ascii="Arial" w:eastAsia="Arial" w:hAnsi="Arial" w:cs="Arial"/>
          <w:color w:val="000000" w:themeColor="text1"/>
          <w:sz w:val="21"/>
          <w:szCs w:val="21"/>
          <w:lang w:val="es-CO"/>
        </w:rPr>
      </w:pPr>
      <w:r w:rsidRPr="00180F68">
        <w:rPr>
          <w:rFonts w:ascii="Arial" w:eastAsia="Arial" w:hAnsi="Arial" w:cs="Arial"/>
          <w:color w:val="000000" w:themeColor="text1"/>
          <w:sz w:val="21"/>
          <w:szCs w:val="21"/>
          <w:lang w:val="es-CO"/>
        </w:rPr>
        <w:t>La Entidad podrá escoger alguna de las siguientes formas de pago o configurar la que considere conveniente para cancelar el valor del contrato al Contratista. Incluir descripción de forma de pago, incluyendo todos los documentos y plazos para el mismo, incluyendo el pago anticipado del contrato, en caso de que se haya pactado</w:t>
      </w:r>
    </w:p>
    <w:p w14:paraId="580C7E6B" w14:textId="77777777" w:rsidR="005B6E09" w:rsidRPr="00180F68" w:rsidRDefault="005B6E09" w:rsidP="005B6E09">
      <w:pPr>
        <w:tabs>
          <w:tab w:val="center" w:pos="4244"/>
        </w:tabs>
        <w:spacing w:after="120"/>
        <w:ind w:left="709" w:right="709"/>
        <w:jc w:val="both"/>
        <w:rPr>
          <w:rFonts w:ascii="Arial" w:eastAsia="Arial" w:hAnsi="Arial" w:cs="Arial"/>
          <w:color w:val="000000" w:themeColor="text1"/>
          <w:sz w:val="21"/>
          <w:szCs w:val="21"/>
          <w:lang w:val="es-CO"/>
        </w:rPr>
      </w:pPr>
      <w:r w:rsidRPr="00180F68">
        <w:rPr>
          <w:rFonts w:ascii="Arial" w:eastAsia="Arial" w:hAnsi="Arial" w:cs="Arial"/>
          <w:color w:val="000000" w:themeColor="text1"/>
          <w:sz w:val="21"/>
          <w:szCs w:val="21"/>
          <w:lang w:val="es-CO"/>
        </w:rPr>
        <w:t>[…]</w:t>
      </w:r>
    </w:p>
    <w:p w14:paraId="725AA376" w14:textId="77777777" w:rsidR="005B6E09" w:rsidRPr="00180F68" w:rsidRDefault="005B6E09" w:rsidP="005B6E09">
      <w:pPr>
        <w:tabs>
          <w:tab w:val="center" w:pos="4244"/>
        </w:tabs>
        <w:spacing w:before="120"/>
        <w:ind w:left="709" w:right="709"/>
        <w:jc w:val="both"/>
        <w:rPr>
          <w:rFonts w:ascii="Arial" w:eastAsia="Arial" w:hAnsi="Arial" w:cs="Arial"/>
          <w:color w:val="000000" w:themeColor="text1"/>
          <w:sz w:val="21"/>
          <w:szCs w:val="21"/>
          <w:lang w:val="es-CO"/>
        </w:rPr>
      </w:pPr>
      <w:r w:rsidRPr="00180F68">
        <w:rPr>
          <w:rFonts w:ascii="Arial" w:eastAsia="Arial" w:hAnsi="Arial" w:cs="Arial"/>
          <w:color w:val="000000" w:themeColor="text1"/>
          <w:sz w:val="21"/>
          <w:szCs w:val="21"/>
          <w:lang w:val="es-CO"/>
        </w:rPr>
        <w:t>La Entidad debe escoger alguna de las formas de pago anteriores, o podrá configurar la que considere conveniente.</w:t>
      </w:r>
    </w:p>
    <w:p w14:paraId="1A3DE8D8" w14:textId="77777777" w:rsidR="005B6E09" w:rsidRPr="00180F68" w:rsidRDefault="005B6E09" w:rsidP="005B6E09">
      <w:pPr>
        <w:tabs>
          <w:tab w:val="center" w:pos="4244"/>
        </w:tabs>
        <w:spacing w:line="276" w:lineRule="auto"/>
        <w:ind w:left="709" w:right="709"/>
        <w:jc w:val="both"/>
        <w:rPr>
          <w:rFonts w:ascii="Arial" w:eastAsia="Arial" w:hAnsi="Arial" w:cs="Arial"/>
          <w:color w:val="000000" w:themeColor="text1"/>
          <w:sz w:val="21"/>
          <w:szCs w:val="21"/>
          <w:lang w:val="es-CO"/>
        </w:rPr>
      </w:pPr>
    </w:p>
    <w:p w14:paraId="5F479909" w14:textId="3EE2D0D6" w:rsidR="005B6E09" w:rsidRPr="00180F68" w:rsidRDefault="00376988" w:rsidP="000A4F91">
      <w:pPr>
        <w:tabs>
          <w:tab w:val="center" w:pos="4244"/>
        </w:tabs>
        <w:spacing w:after="120"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Expresamente</w:t>
      </w:r>
      <w:r w:rsidR="005B6E09" w:rsidRPr="00180F68">
        <w:rPr>
          <w:rFonts w:ascii="Arial" w:eastAsia="Calibri" w:hAnsi="Arial" w:cs="Arial"/>
          <w:color w:val="000000" w:themeColor="text1"/>
          <w:sz w:val="22"/>
        </w:rPr>
        <w:t>, la misma cláusula 8 permite que la entidad pueda acogerse a una de las opciones que dispone el texto de la minuta. En todo caso, también puede definir una forma de pago distinta según las necesidades de la entidad, pues podrá configurar la que considere conveniente</w:t>
      </w:r>
      <w:r w:rsidR="00C22880" w:rsidRPr="00180F68">
        <w:rPr>
          <w:rFonts w:ascii="Arial" w:eastAsia="Calibri" w:hAnsi="Arial" w:cs="Arial"/>
          <w:color w:val="000000" w:themeColor="text1"/>
          <w:sz w:val="22"/>
        </w:rPr>
        <w:t>.</w:t>
      </w:r>
      <w:r w:rsidR="00E25098" w:rsidRPr="00180F68">
        <w:rPr>
          <w:rFonts w:ascii="Arial" w:eastAsia="Calibri" w:hAnsi="Arial" w:cs="Arial"/>
          <w:color w:val="000000" w:themeColor="text1"/>
          <w:sz w:val="22"/>
        </w:rPr>
        <w:t xml:space="preserve"> Los interesados </w:t>
      </w:r>
      <w:r w:rsidRPr="00180F68">
        <w:rPr>
          <w:rFonts w:ascii="Arial" w:eastAsia="Calibri" w:hAnsi="Arial" w:cs="Arial"/>
          <w:color w:val="000000" w:themeColor="text1"/>
          <w:sz w:val="22"/>
        </w:rPr>
        <w:t>podrán</w:t>
      </w:r>
      <w:r w:rsidR="00E25098" w:rsidRPr="00180F68">
        <w:rPr>
          <w:rFonts w:ascii="Arial" w:eastAsia="Calibri" w:hAnsi="Arial" w:cs="Arial"/>
          <w:color w:val="000000" w:themeColor="text1"/>
          <w:sz w:val="22"/>
        </w:rPr>
        <w:t xml:space="preserve"> presentar observaciones al respecto, toda vez que la minuta del contrato hace parte del contenido de los pliegos de condiciones</w:t>
      </w:r>
      <w:r w:rsidRPr="00180F68">
        <w:rPr>
          <w:rFonts w:ascii="Arial" w:eastAsia="Calibri" w:hAnsi="Arial" w:cs="Arial"/>
          <w:color w:val="000000" w:themeColor="text1"/>
          <w:sz w:val="22"/>
        </w:rPr>
        <w:t xml:space="preserve"> de acuerdo </w:t>
      </w:r>
      <w:r w:rsidR="00804B30" w:rsidRPr="00180F68">
        <w:rPr>
          <w:rFonts w:ascii="Arial" w:eastAsia="Calibri" w:hAnsi="Arial" w:cs="Arial"/>
          <w:color w:val="000000" w:themeColor="text1"/>
          <w:sz w:val="22"/>
        </w:rPr>
        <w:t>con e</w:t>
      </w:r>
      <w:r w:rsidR="00E25098" w:rsidRPr="00180F68">
        <w:rPr>
          <w:rFonts w:ascii="Arial" w:eastAsia="Calibri" w:hAnsi="Arial" w:cs="Arial"/>
          <w:color w:val="000000" w:themeColor="text1"/>
          <w:sz w:val="22"/>
        </w:rPr>
        <w:t>l numeral 11 del artículo 2.2.1.1.2.1.3 del Decreto 1082 de 2015</w:t>
      </w:r>
      <w:r w:rsidRPr="00180F68">
        <w:rPr>
          <w:rFonts w:ascii="Arial" w:eastAsia="Calibri" w:hAnsi="Arial" w:cs="Arial"/>
          <w:color w:val="000000" w:themeColor="text1"/>
          <w:sz w:val="22"/>
        </w:rPr>
        <w:t>.</w:t>
      </w:r>
    </w:p>
    <w:p w14:paraId="58C6DC43" w14:textId="3EE0F8BC" w:rsidR="005B6E09" w:rsidRPr="00180F68" w:rsidRDefault="005B6E09" w:rsidP="000A4F91">
      <w:pPr>
        <w:tabs>
          <w:tab w:val="center" w:pos="4244"/>
        </w:tabs>
        <w:spacing w:after="120" w:line="276" w:lineRule="auto"/>
        <w:ind w:firstLine="709"/>
        <w:jc w:val="both"/>
        <w:rPr>
          <w:rFonts w:ascii="Arial" w:eastAsia="Calibri" w:hAnsi="Arial" w:cs="Arial"/>
          <w:color w:val="000000" w:themeColor="text1"/>
          <w:sz w:val="22"/>
        </w:rPr>
      </w:pPr>
      <w:r w:rsidRPr="00180F68">
        <w:rPr>
          <w:rFonts w:ascii="Arial" w:eastAsia="Calibri" w:hAnsi="Arial" w:cs="Arial"/>
          <w:color w:val="000000" w:themeColor="text1"/>
          <w:sz w:val="22"/>
        </w:rPr>
        <w:t xml:space="preserve">Es importante indicar que en los </w:t>
      </w:r>
      <w:bookmarkStart w:id="12" w:name="_Hlk81313674"/>
      <w:r w:rsidRPr="00180F68">
        <w:rPr>
          <w:rFonts w:ascii="Arial" w:eastAsia="Calibri" w:hAnsi="Arial" w:cs="Arial"/>
          <w:color w:val="000000" w:themeColor="text1"/>
          <w:sz w:val="22"/>
        </w:rPr>
        <w:t>«Documentos Tipo – Versión 3» de licitación pública de obra de infraestructura de transporte</w:t>
      </w:r>
      <w:bookmarkEnd w:id="12"/>
      <w:r w:rsidRPr="00180F68">
        <w:rPr>
          <w:rFonts w:ascii="Arial" w:eastAsia="Calibri" w:hAnsi="Arial" w:cs="Arial"/>
          <w:color w:val="000000" w:themeColor="text1"/>
          <w:sz w:val="22"/>
        </w:rPr>
        <w:t>, la entidad debe estipular la forma de pago, el plazo, los documentos requeridos y –cuando se pacte– el pago anticipado, sin que para ello sea obligatorio establecer como forma de pago alguna de las alternativas</w:t>
      </w:r>
      <w:r w:rsidRPr="00180F68" w:rsidDel="00911058">
        <w:rPr>
          <w:rFonts w:ascii="Arial" w:eastAsia="Calibri" w:hAnsi="Arial" w:cs="Arial"/>
          <w:color w:val="000000" w:themeColor="text1"/>
          <w:sz w:val="22"/>
        </w:rPr>
        <w:t xml:space="preserve"> </w:t>
      </w:r>
      <w:r w:rsidRPr="00180F68">
        <w:rPr>
          <w:rFonts w:ascii="Arial" w:eastAsia="Calibri" w:hAnsi="Arial" w:cs="Arial"/>
          <w:color w:val="000000" w:themeColor="text1"/>
          <w:sz w:val="22"/>
        </w:rPr>
        <w:t>del anexo 5. Lo anterior en la medida que el documento tipo le permite a la entidad escoger alguna de las opciones disponibles, o configurar la forma de pago que considere conveniente</w:t>
      </w:r>
      <w:r w:rsidR="00C22880" w:rsidRPr="00180F68">
        <w:rPr>
          <w:rFonts w:ascii="Arial" w:eastAsia="Calibri" w:hAnsi="Arial" w:cs="Arial"/>
          <w:color w:val="000000" w:themeColor="text1"/>
          <w:sz w:val="22"/>
        </w:rPr>
        <w:t xml:space="preserve"> para cancelar el valor del contrato. </w:t>
      </w:r>
      <w:r w:rsidR="006639A0" w:rsidRPr="00180F68">
        <w:rPr>
          <w:rFonts w:ascii="Arial" w:eastAsia="Calibri" w:hAnsi="Arial" w:cs="Arial"/>
          <w:color w:val="000000" w:themeColor="text1"/>
          <w:sz w:val="22"/>
        </w:rPr>
        <w:t>En esta medida,</w:t>
      </w:r>
      <w:r w:rsidR="00ED3CED" w:rsidRPr="00180F68">
        <w:rPr>
          <w:rFonts w:ascii="Arial" w:eastAsia="Calibri" w:hAnsi="Arial" w:cs="Arial"/>
          <w:color w:val="000000" w:themeColor="text1"/>
          <w:sz w:val="22"/>
        </w:rPr>
        <w:t xml:space="preserve"> si</w:t>
      </w:r>
      <w:r w:rsidR="006639A0" w:rsidRPr="00180F68">
        <w:rPr>
          <w:rFonts w:ascii="Arial" w:eastAsia="Calibri" w:hAnsi="Arial" w:cs="Arial"/>
          <w:color w:val="000000" w:themeColor="text1"/>
          <w:sz w:val="22"/>
        </w:rPr>
        <w:t xml:space="preserve"> la entidad puede adaptar el contenido de la cláusula 8 antes de la expedición del aviso de convocatoria y la publicación del proyecto de pliego de condiciones, </w:t>
      </w:r>
      <w:r w:rsidR="00ED3CED" w:rsidRPr="00180F68">
        <w:rPr>
          <w:rFonts w:ascii="Arial" w:eastAsia="Calibri" w:hAnsi="Arial" w:cs="Arial"/>
          <w:color w:val="000000" w:themeColor="text1"/>
          <w:sz w:val="22"/>
        </w:rPr>
        <w:t xml:space="preserve">sin perjuicio de los ajustes posteriores resultado de observaciones al prepliego o al pliego de condiciones definitivo, las partes del contrato pueden modificar con mayor razón el alcance de la forma de pago una vez celebrado el contrato.  </w:t>
      </w:r>
      <w:r w:rsidR="006639A0" w:rsidRPr="00180F68">
        <w:rPr>
          <w:rFonts w:ascii="Arial" w:eastAsia="Calibri" w:hAnsi="Arial" w:cs="Arial"/>
          <w:color w:val="000000" w:themeColor="text1"/>
          <w:sz w:val="22"/>
        </w:rPr>
        <w:t xml:space="preserve"> </w:t>
      </w:r>
    </w:p>
    <w:p w14:paraId="7F36CB37" w14:textId="19ECF40A" w:rsidR="007B368C" w:rsidRPr="00180F68" w:rsidRDefault="00C22880" w:rsidP="007B368C">
      <w:pPr>
        <w:shd w:val="clear" w:color="auto" w:fill="FFFFFF"/>
        <w:spacing w:after="120" w:line="276" w:lineRule="auto"/>
        <w:jc w:val="both"/>
        <w:textAlignment w:val="baseline"/>
        <w:rPr>
          <w:rFonts w:ascii="Arial" w:eastAsia="Calibri" w:hAnsi="Arial" w:cs="Arial"/>
          <w:color w:val="000000" w:themeColor="text1"/>
          <w:sz w:val="22"/>
        </w:rPr>
      </w:pPr>
      <w:r w:rsidRPr="00180F68">
        <w:rPr>
          <w:rFonts w:ascii="Arial" w:eastAsia="Calibri" w:hAnsi="Arial" w:cs="Arial"/>
          <w:color w:val="000000" w:themeColor="text1"/>
          <w:sz w:val="22"/>
        </w:rPr>
        <w:tab/>
      </w:r>
      <w:r w:rsidR="002A35F1" w:rsidRPr="00180F68">
        <w:rPr>
          <w:rFonts w:ascii="Arial" w:eastAsia="Calibri" w:hAnsi="Arial" w:cs="Arial"/>
          <w:color w:val="000000" w:themeColor="text1"/>
          <w:sz w:val="22"/>
        </w:rPr>
        <w:t>Este</w:t>
      </w:r>
      <w:r w:rsidR="00ED3CED" w:rsidRPr="00180F68">
        <w:rPr>
          <w:rFonts w:ascii="Arial" w:eastAsia="Calibri" w:hAnsi="Arial" w:cs="Arial"/>
          <w:color w:val="000000" w:themeColor="text1"/>
          <w:sz w:val="22"/>
        </w:rPr>
        <w:t xml:space="preserve"> razonamiento, el cual tiene por objeto los documentos tipo implementados mediante la Resolución 240 del 27 de noviembre de 2020, se aplica </w:t>
      </w:r>
      <w:r w:rsidR="00ED3CED" w:rsidRPr="00180F68">
        <w:rPr>
          <w:rFonts w:ascii="Arial" w:eastAsia="Calibri" w:hAnsi="Arial" w:cs="Arial"/>
          <w:i/>
          <w:iCs/>
          <w:color w:val="000000" w:themeColor="text1"/>
          <w:sz w:val="22"/>
        </w:rPr>
        <w:t>mutatis mutandis</w:t>
      </w:r>
      <w:r w:rsidR="00ED3CED" w:rsidRPr="00180F68">
        <w:rPr>
          <w:rFonts w:ascii="Arial" w:eastAsia="Calibri" w:hAnsi="Arial" w:cs="Arial"/>
          <w:color w:val="000000" w:themeColor="text1"/>
          <w:sz w:val="22"/>
        </w:rPr>
        <w:t xml:space="preserve"> </w:t>
      </w:r>
      <w:r w:rsidR="00DA625D" w:rsidRPr="00180F68">
        <w:rPr>
          <w:rFonts w:ascii="Arial" w:eastAsia="Calibri" w:hAnsi="Arial" w:cs="Arial"/>
          <w:color w:val="000000" w:themeColor="text1"/>
          <w:sz w:val="22"/>
        </w:rPr>
        <w:t>a la minuta del contrato de los documentos tipo de la Resolución 241 del 27 de noviembre 2020, «</w:t>
      </w:r>
      <w:r w:rsidR="00B0098B" w:rsidRPr="00180F68">
        <w:rPr>
          <w:rFonts w:ascii="Arial" w:eastAsia="Calibri" w:hAnsi="Arial" w:cs="Arial"/>
          <w:color w:val="000000" w:themeColor="text1"/>
          <w:sz w:val="22"/>
        </w:rPr>
        <w:t xml:space="preserve">Por la cual se actualizan los Documentos Tipo para los procesos de selección abreviada de menor cuantía de obra pública de infraestructura de transporte y se deroga la Resolución 0044 de 2020». </w:t>
      </w:r>
      <w:r w:rsidR="002A35F1" w:rsidRPr="00180F68">
        <w:rPr>
          <w:rFonts w:ascii="Arial" w:eastAsia="Calibri" w:hAnsi="Arial" w:cs="Arial"/>
          <w:color w:val="000000" w:themeColor="text1"/>
          <w:sz w:val="22"/>
        </w:rPr>
        <w:t>S</w:t>
      </w:r>
      <w:r w:rsidR="00B0098B" w:rsidRPr="00180F68">
        <w:rPr>
          <w:rFonts w:ascii="Arial" w:eastAsia="Calibri" w:hAnsi="Arial" w:cs="Arial"/>
          <w:color w:val="000000" w:themeColor="text1"/>
          <w:sz w:val="22"/>
        </w:rPr>
        <w:t>e extiende</w:t>
      </w:r>
      <w:r w:rsidR="002A35F1" w:rsidRPr="00180F68">
        <w:rPr>
          <w:rFonts w:ascii="Arial" w:eastAsia="Calibri" w:hAnsi="Arial" w:cs="Arial"/>
          <w:color w:val="000000" w:themeColor="text1"/>
          <w:sz w:val="22"/>
        </w:rPr>
        <w:t xml:space="preserve"> en lo pertinente</w:t>
      </w:r>
      <w:r w:rsidR="00B0098B" w:rsidRPr="00180F68">
        <w:rPr>
          <w:rFonts w:ascii="Arial" w:eastAsia="Calibri" w:hAnsi="Arial" w:cs="Arial"/>
          <w:color w:val="000000" w:themeColor="text1"/>
          <w:sz w:val="22"/>
        </w:rPr>
        <w:t xml:space="preserve"> a los documentos tipo de las Resoluciones</w:t>
      </w:r>
      <w:r w:rsidR="007B368C" w:rsidRPr="00180F68">
        <w:rPr>
          <w:rFonts w:ascii="Arial" w:eastAsia="Calibri" w:hAnsi="Arial" w:cs="Arial"/>
          <w:color w:val="000000" w:themeColor="text1"/>
          <w:sz w:val="22"/>
        </w:rPr>
        <w:t xml:space="preserve">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w:t>
      </w:r>
      <w:r w:rsidR="007B368C" w:rsidRPr="00180F68">
        <w:rPr>
          <w:rFonts w:ascii="Arial" w:eastAsia="Calibri" w:hAnsi="Arial" w:cs="Arial"/>
          <w:color w:val="000000" w:themeColor="text1"/>
          <w:sz w:val="22"/>
        </w:rPr>
        <w:lastRenderedPageBreak/>
        <w:t>«Por la cual se adoptan los documentos tipo para los procesos de selección de concursos de méritos, para contratar la interventoría de obras públicas de infraestructura de transporte».</w:t>
      </w:r>
    </w:p>
    <w:p w14:paraId="19DC5B38" w14:textId="467BB191" w:rsidR="00B0098B" w:rsidRPr="00180F68" w:rsidRDefault="007B368C" w:rsidP="00180F68">
      <w:pPr>
        <w:pStyle w:val="Normal11pt"/>
        <w:spacing w:before="120" w:line="276" w:lineRule="auto"/>
        <w:ind w:left="0" w:firstLine="709"/>
        <w:rPr>
          <w:rFonts w:eastAsia="Calibri"/>
          <w:color w:val="000000" w:themeColor="text1"/>
        </w:rPr>
      </w:pPr>
      <w:r w:rsidRPr="00180F68">
        <w:rPr>
          <w:rFonts w:eastAsia="Calibri"/>
          <w:color w:val="000000" w:themeColor="text1"/>
        </w:rPr>
        <w:t>La misma idea también aplica a la minuta del contrato de los documentos tipo de la Resolución 193 del 14 de julio de 2021, «</w:t>
      </w:r>
      <w:r w:rsidRPr="00180F68">
        <w:t>Por la cual se adoptan los documentos tipo para los procesos de selección de concurso de méritos, para contratar la consultoría de estudios 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w:t>
      </w:r>
      <w:r w:rsidR="00AD5423" w:rsidRPr="00180F68">
        <w:t>. Est</w:t>
      </w:r>
      <w:r w:rsidR="002A35F1" w:rsidRPr="00180F68">
        <w:t>a</w:t>
      </w:r>
      <w:r w:rsidR="00AD5423" w:rsidRPr="00180F68">
        <w:t>s últim</w:t>
      </w:r>
      <w:r w:rsidR="002A35F1" w:rsidRPr="00180F68">
        <w:t>a</w:t>
      </w:r>
      <w:r w:rsidR="00AD5423" w:rsidRPr="00180F68">
        <w:t>s –con la</w:t>
      </w:r>
      <w:r w:rsidR="002A35F1" w:rsidRPr="00180F68">
        <w:t>s</w:t>
      </w:r>
      <w:r w:rsidR="00AD5423" w:rsidRPr="00180F68">
        <w:t xml:space="preserve"> modificaciones de la Resolución 261 del 27 de agosto de 2021– se aplicarán a los procedimientos de selección cuyo aviso de convocatoria se publique a partir del 2 de noviembre del presente año</w:t>
      </w:r>
      <w:r w:rsidRPr="00180F68">
        <w:t>.</w:t>
      </w:r>
    </w:p>
    <w:p w14:paraId="5FFCE90E" w14:textId="25B5B5C3" w:rsidR="005B6E09" w:rsidRPr="00180F68" w:rsidRDefault="005B6E09" w:rsidP="00180F68">
      <w:pPr>
        <w:shd w:val="clear" w:color="auto" w:fill="FFFFFF"/>
        <w:spacing w:line="276" w:lineRule="auto"/>
        <w:jc w:val="both"/>
        <w:textAlignment w:val="baseline"/>
        <w:rPr>
          <w:rFonts w:ascii="Arial" w:eastAsia="Calibri" w:hAnsi="Arial" w:cs="Arial"/>
          <w:bCs/>
          <w:color w:val="000000" w:themeColor="text1"/>
          <w:sz w:val="22"/>
        </w:rPr>
      </w:pPr>
    </w:p>
    <w:p w14:paraId="04859B73" w14:textId="77777777" w:rsidR="005B6E09" w:rsidRPr="00180F68" w:rsidRDefault="005B6E09" w:rsidP="0094724E">
      <w:pPr>
        <w:jc w:val="both"/>
        <w:rPr>
          <w:rFonts w:ascii="Arial" w:eastAsia="Calibri" w:hAnsi="Arial" w:cs="Arial"/>
          <w:b/>
          <w:bCs/>
          <w:color w:val="000000" w:themeColor="text1"/>
          <w:sz w:val="22"/>
        </w:rPr>
      </w:pPr>
      <w:r w:rsidRPr="00180F68">
        <w:rPr>
          <w:rFonts w:ascii="Arial" w:eastAsia="Calibri" w:hAnsi="Arial" w:cs="Arial"/>
          <w:b/>
          <w:bCs/>
          <w:color w:val="000000" w:themeColor="text1"/>
          <w:sz w:val="22"/>
        </w:rPr>
        <w:t>3. Respuestas.</w:t>
      </w:r>
    </w:p>
    <w:p w14:paraId="59E4EC16" w14:textId="77777777" w:rsidR="0094724E" w:rsidRPr="00180F68" w:rsidRDefault="0094724E" w:rsidP="0094724E">
      <w:pPr>
        <w:tabs>
          <w:tab w:val="left" w:pos="426"/>
        </w:tabs>
        <w:spacing w:line="276" w:lineRule="auto"/>
        <w:jc w:val="both"/>
        <w:rPr>
          <w:rFonts w:ascii="Arial" w:eastAsia="Calibri" w:hAnsi="Arial" w:cs="Arial"/>
          <w:color w:val="000000" w:themeColor="text1"/>
          <w:sz w:val="22"/>
        </w:rPr>
      </w:pPr>
    </w:p>
    <w:p w14:paraId="2A7E38D1" w14:textId="47566EC9" w:rsidR="0094724E" w:rsidRPr="00180F68" w:rsidRDefault="0094724E" w:rsidP="0094724E">
      <w:pPr>
        <w:tabs>
          <w:tab w:val="left" w:pos="426"/>
        </w:tabs>
        <w:spacing w:line="276" w:lineRule="auto"/>
        <w:ind w:left="709" w:right="709"/>
        <w:jc w:val="both"/>
        <w:rPr>
          <w:rFonts w:ascii="Arial" w:hAnsi="Arial" w:cs="Arial"/>
          <w:color w:val="000000" w:themeColor="text1"/>
          <w:sz w:val="21"/>
          <w:szCs w:val="21"/>
          <w:lang w:val="es-CO"/>
        </w:rPr>
      </w:pPr>
      <w:r w:rsidRPr="00180F68">
        <w:rPr>
          <w:rFonts w:ascii="Arial" w:eastAsia="Calibri" w:hAnsi="Arial" w:cs="Arial"/>
          <w:color w:val="000000" w:themeColor="text1"/>
          <w:sz w:val="21"/>
          <w:szCs w:val="21"/>
        </w:rPr>
        <w:t>«</w:t>
      </w:r>
      <w:r w:rsidRPr="00180F68">
        <w:rPr>
          <w:rFonts w:ascii="Arial" w:hAnsi="Arial" w:cs="Arial"/>
          <w:sz w:val="21"/>
          <w:szCs w:val="21"/>
        </w:rPr>
        <w:t>SE PUEDE MODIFICAR LA FORMA DE PAGO DE LOS CONTRATOS ADJUDICADOS Y CELEBRADOS MEDIANTE DOCUMENTOS TIPO</w:t>
      </w:r>
      <w:r w:rsidRPr="00180F68">
        <w:rPr>
          <w:rFonts w:ascii="Arial" w:hAnsi="Arial" w:cs="Arial"/>
          <w:color w:val="000000" w:themeColor="text1"/>
          <w:sz w:val="21"/>
          <w:szCs w:val="21"/>
          <w:lang w:val="es-CO"/>
        </w:rPr>
        <w:t xml:space="preserve">». </w:t>
      </w:r>
    </w:p>
    <w:p w14:paraId="752D3C87" w14:textId="77777777" w:rsidR="005B6E09" w:rsidRPr="00180F68" w:rsidRDefault="005B6E09" w:rsidP="005B6E09">
      <w:pPr>
        <w:tabs>
          <w:tab w:val="left" w:pos="426"/>
        </w:tabs>
        <w:spacing w:line="276" w:lineRule="auto"/>
        <w:jc w:val="both"/>
        <w:rPr>
          <w:rFonts w:ascii="Arial" w:eastAsia="Arial" w:hAnsi="Arial" w:cs="Arial"/>
          <w:color w:val="000000" w:themeColor="text1"/>
          <w:sz w:val="22"/>
          <w:lang w:val="es-CO"/>
        </w:rPr>
      </w:pPr>
    </w:p>
    <w:p w14:paraId="107C9523" w14:textId="74BB06CC" w:rsidR="00F6363E" w:rsidRPr="00180F68" w:rsidRDefault="00956FC9" w:rsidP="00180F68">
      <w:pPr>
        <w:tabs>
          <w:tab w:val="center" w:pos="4244"/>
        </w:tabs>
        <w:spacing w:after="120" w:line="276" w:lineRule="auto"/>
        <w:jc w:val="both"/>
        <w:rPr>
          <w:rFonts w:ascii="Arial" w:eastAsia="Calibri" w:hAnsi="Arial" w:cs="Arial"/>
          <w:color w:val="000000" w:themeColor="text1"/>
          <w:sz w:val="22"/>
        </w:rPr>
      </w:pPr>
      <w:r w:rsidRPr="00180F68">
        <w:rPr>
          <w:rFonts w:ascii="Arial" w:eastAsia="Calibri" w:hAnsi="Arial" w:cs="Arial"/>
          <w:color w:val="000000" w:themeColor="text1"/>
          <w:sz w:val="22"/>
        </w:rPr>
        <w:t>De acuerdo con</w:t>
      </w:r>
      <w:r w:rsidR="0094724E" w:rsidRPr="00180F68">
        <w:rPr>
          <w:rFonts w:ascii="Arial" w:eastAsia="Calibri" w:hAnsi="Arial" w:cs="Arial"/>
          <w:color w:val="000000" w:themeColor="text1"/>
          <w:sz w:val="22"/>
        </w:rPr>
        <w:t xml:space="preserve"> </w:t>
      </w:r>
      <w:r w:rsidR="00F6363E" w:rsidRPr="00180F68">
        <w:rPr>
          <w:rFonts w:ascii="Arial" w:eastAsia="Calibri" w:hAnsi="Arial" w:cs="Arial"/>
          <w:color w:val="000000" w:themeColor="text1"/>
          <w:sz w:val="22"/>
        </w:rPr>
        <w:t>la explicación precedente</w:t>
      </w:r>
      <w:r w:rsidR="005B6E09" w:rsidRPr="00180F68">
        <w:rPr>
          <w:rFonts w:ascii="Arial" w:eastAsia="Calibri" w:hAnsi="Arial" w:cs="Arial"/>
          <w:color w:val="000000" w:themeColor="text1"/>
          <w:sz w:val="22"/>
        </w:rPr>
        <w:t xml:space="preserve">, </w:t>
      </w:r>
      <w:r w:rsidR="00F6363E" w:rsidRPr="00180F68">
        <w:rPr>
          <w:rFonts w:ascii="Arial" w:eastAsia="Calibri" w:hAnsi="Arial" w:cs="Arial"/>
          <w:color w:val="000000" w:themeColor="text1"/>
          <w:sz w:val="22"/>
        </w:rPr>
        <w:t>para efectos de los «Documentos Tipo – Versión 3» de licitación pública de obra de infraestructura de transporte, la entidad debe estipular la forma de pago, el plazo, los documentos requeridos y –cuando se pacte– el pago anticipado, sin que para ello sea obligatorio establecer como forma de pago alguna de las alternativas</w:t>
      </w:r>
      <w:r w:rsidR="00F6363E" w:rsidRPr="00180F68" w:rsidDel="00911058">
        <w:rPr>
          <w:rFonts w:ascii="Arial" w:eastAsia="Calibri" w:hAnsi="Arial" w:cs="Arial"/>
          <w:color w:val="000000" w:themeColor="text1"/>
          <w:sz w:val="22"/>
        </w:rPr>
        <w:t xml:space="preserve"> </w:t>
      </w:r>
      <w:r w:rsidR="00F6363E" w:rsidRPr="00180F68">
        <w:rPr>
          <w:rFonts w:ascii="Arial" w:eastAsia="Calibri" w:hAnsi="Arial" w:cs="Arial"/>
          <w:color w:val="000000" w:themeColor="text1"/>
          <w:sz w:val="22"/>
        </w:rPr>
        <w:t xml:space="preserve">del «Anexo 5 – Minuta del contrato». Lo anterior en la medida que el documento tipo le permite a la entidad escoger alguna de las opciones disponibles, o configurar la forma de pago que considere conveniente para cancelar el valor del contrato. En esta medida, si la entidad puede adaptar el contenido de la cláusula 8 antes de la expedición del aviso de convocatoria y la publicación del proyecto de pliego de condiciones, sin perjuicio de los ajustes posteriores resultado de observaciones al prepliego o al pliego de condiciones definitivo, las partes del contrato pueden modificar con mayor razón el alcance de la forma de pago una vez celebrado el contrato.   </w:t>
      </w:r>
    </w:p>
    <w:p w14:paraId="1672263A" w14:textId="77777777" w:rsidR="00F6363E" w:rsidRPr="00180F68" w:rsidRDefault="00F6363E" w:rsidP="00F6363E">
      <w:pPr>
        <w:shd w:val="clear" w:color="auto" w:fill="FFFFFF"/>
        <w:spacing w:after="120" w:line="276" w:lineRule="auto"/>
        <w:jc w:val="both"/>
        <w:textAlignment w:val="baseline"/>
        <w:rPr>
          <w:rFonts w:ascii="Arial" w:eastAsia="Calibri" w:hAnsi="Arial" w:cs="Arial"/>
          <w:color w:val="000000" w:themeColor="text1"/>
          <w:sz w:val="22"/>
        </w:rPr>
      </w:pPr>
      <w:r w:rsidRPr="00180F68">
        <w:rPr>
          <w:rFonts w:ascii="Arial" w:eastAsia="Calibri" w:hAnsi="Arial" w:cs="Arial"/>
          <w:color w:val="000000" w:themeColor="text1"/>
          <w:sz w:val="22"/>
        </w:rPr>
        <w:tab/>
        <w:t xml:space="preserve">Este razonamiento, el cual tiene por objeto los documentos tipo implementados mediante la Resolución 240 del 27 de noviembre de 2020, se aplica </w:t>
      </w:r>
      <w:r w:rsidRPr="00180F68">
        <w:rPr>
          <w:rFonts w:ascii="Arial" w:eastAsia="Calibri" w:hAnsi="Arial" w:cs="Arial"/>
          <w:i/>
          <w:iCs/>
          <w:color w:val="000000" w:themeColor="text1"/>
          <w:sz w:val="22"/>
        </w:rPr>
        <w:t>mutatis mutandis</w:t>
      </w:r>
      <w:r w:rsidRPr="00180F68">
        <w:rPr>
          <w:rFonts w:ascii="Arial" w:eastAsia="Calibri" w:hAnsi="Arial" w:cs="Arial"/>
          <w:color w:val="000000" w:themeColor="text1"/>
          <w:sz w:val="22"/>
        </w:rPr>
        <w:t xml:space="preserve"> a la minuta del contrato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w:t>
      </w:r>
      <w:r w:rsidRPr="00180F68">
        <w:rPr>
          <w:rFonts w:ascii="Arial" w:eastAsia="Calibri" w:hAnsi="Arial" w:cs="Arial"/>
          <w:color w:val="000000" w:themeColor="text1"/>
          <w:sz w:val="22"/>
        </w:rPr>
        <w:lastRenderedPageBreak/>
        <w:t>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p>
    <w:p w14:paraId="6377F004" w14:textId="1546D818" w:rsidR="005B6E09" w:rsidRPr="00180F68" w:rsidRDefault="00F6363E" w:rsidP="00180F68">
      <w:pPr>
        <w:pStyle w:val="Normal11pt"/>
        <w:spacing w:before="120" w:line="276" w:lineRule="auto"/>
        <w:ind w:left="0" w:firstLine="709"/>
        <w:rPr>
          <w:rFonts w:eastAsia="Calibri"/>
          <w:color w:val="000000" w:themeColor="text1"/>
        </w:rPr>
      </w:pPr>
      <w:r w:rsidRPr="00180F68">
        <w:rPr>
          <w:rFonts w:eastAsia="Calibri"/>
          <w:color w:val="000000" w:themeColor="text1"/>
        </w:rPr>
        <w:t>La misma idea también aplica a la minuta del contrato de los documentos tipo de la Resolución 193 del 14 de julio de 2021, «</w:t>
      </w:r>
      <w:r w:rsidRPr="00180F68">
        <w:t>Por la cual se adoptan los documentos tipo para los procesos de selección de concurso de méritos, para contratar la consultoría de estudios de ingeniería de infraestructura de transporte», así como de las Resoluciones 219 y 220 del 6 de agosto de 2021 por las cuales se adoptan los «documentos tipo transversales» de licitación de obra pública de infraestructura social y los «documentos tipo adicionales» relacionados con infraestructura educativa. Estas últimas –con las modificaciones de la Resolución 261 del 27 de agosto de 2021– se aplicarán a los procedimientos de selección cuyo aviso de convocatoria se publique a partir del 2 de noviembre del presente año</w:t>
      </w:r>
      <w:r w:rsidR="005B6E09" w:rsidRPr="00180F68">
        <w:rPr>
          <w:rFonts w:eastAsia="Calibri"/>
          <w:color w:val="000000" w:themeColor="text1"/>
        </w:rPr>
        <w:t xml:space="preserve">. </w:t>
      </w:r>
    </w:p>
    <w:p w14:paraId="0C2415F3" w14:textId="04227F24" w:rsidR="005B6E09" w:rsidRPr="00180F68" w:rsidRDefault="005B6E09" w:rsidP="00956FC9">
      <w:pPr>
        <w:tabs>
          <w:tab w:val="left" w:pos="426"/>
        </w:tabs>
        <w:spacing w:after="120" w:line="276" w:lineRule="auto"/>
        <w:jc w:val="both"/>
        <w:rPr>
          <w:rFonts w:ascii="Arial" w:eastAsia="Calibri" w:hAnsi="Arial" w:cs="Arial"/>
          <w:color w:val="000000" w:themeColor="text1"/>
          <w:sz w:val="22"/>
        </w:rPr>
      </w:pPr>
      <w:r w:rsidRPr="00180F68">
        <w:rPr>
          <w:rFonts w:ascii="Arial" w:eastAsia="Calibri" w:hAnsi="Arial" w:cs="Arial"/>
          <w:color w:val="000000" w:themeColor="text1"/>
          <w:sz w:val="22"/>
        </w:rPr>
        <w:tab/>
      </w:r>
      <w:r w:rsidRPr="00180F68">
        <w:rPr>
          <w:rFonts w:ascii="Arial" w:eastAsia="Calibri" w:hAnsi="Arial" w:cs="Arial"/>
          <w:color w:val="000000" w:themeColor="text1"/>
          <w:sz w:val="22"/>
        </w:rPr>
        <w:tab/>
      </w:r>
    </w:p>
    <w:bookmarkEnd w:id="1"/>
    <w:bookmarkEnd w:id="2"/>
    <w:p w14:paraId="5F6AC0B3" w14:textId="77777777" w:rsidR="005B6E09" w:rsidRPr="00180F68" w:rsidRDefault="005B6E09" w:rsidP="00180F68">
      <w:pPr>
        <w:spacing w:line="276" w:lineRule="auto"/>
        <w:jc w:val="both"/>
        <w:rPr>
          <w:rFonts w:ascii="Arial" w:eastAsia="Calibri" w:hAnsi="Arial" w:cs="Arial"/>
          <w:color w:val="000000" w:themeColor="text1"/>
          <w:sz w:val="22"/>
        </w:rPr>
      </w:pPr>
      <w:r w:rsidRPr="00180F68">
        <w:rPr>
          <w:rFonts w:ascii="Arial" w:eastAsia="Calibri" w:hAnsi="Arial" w:cs="Arial"/>
          <w:color w:val="000000" w:themeColor="text1"/>
          <w:sz w:val="22"/>
        </w:rPr>
        <w:t>Este concepto tiene el alcance previsto en el artículo 28 del Código de Procedimiento Administrativo y de lo Contencioso Administrativo.</w:t>
      </w:r>
    </w:p>
    <w:p w14:paraId="1D6F806D" w14:textId="77777777" w:rsidR="005B6E09" w:rsidRPr="00180F68" w:rsidRDefault="005B6E09" w:rsidP="005B6E09">
      <w:pPr>
        <w:spacing w:line="276" w:lineRule="auto"/>
        <w:jc w:val="both"/>
        <w:rPr>
          <w:rFonts w:ascii="Arial" w:eastAsia="Calibri" w:hAnsi="Arial" w:cs="Arial"/>
          <w:color w:val="4E4D4D"/>
          <w:sz w:val="22"/>
        </w:rPr>
      </w:pPr>
    </w:p>
    <w:p w14:paraId="331CE2A5" w14:textId="71336CD4" w:rsidR="005B6E09" w:rsidRPr="00180F68" w:rsidRDefault="005B6E09" w:rsidP="005B6E09">
      <w:pPr>
        <w:rPr>
          <w:rFonts w:ascii="Arial" w:eastAsia="Times New Roman" w:hAnsi="Arial" w:cs="Arial"/>
          <w:color w:val="000000" w:themeColor="text1"/>
          <w:sz w:val="22"/>
          <w:lang w:eastAsia="es-CO"/>
        </w:rPr>
      </w:pPr>
      <w:r w:rsidRPr="00180F68">
        <w:rPr>
          <w:rFonts w:ascii="Arial" w:eastAsia="Times New Roman" w:hAnsi="Arial" w:cs="Arial"/>
          <w:color w:val="000000" w:themeColor="text1"/>
          <w:sz w:val="22"/>
          <w:lang w:eastAsia="es-CO"/>
        </w:rPr>
        <w:t>Atentamente,</w:t>
      </w:r>
    </w:p>
    <w:p w14:paraId="762F90DB" w14:textId="0997D8D5" w:rsidR="005B6E09" w:rsidRPr="00180F68" w:rsidRDefault="005B6E09" w:rsidP="005B6E09">
      <w:pPr>
        <w:jc w:val="center"/>
        <w:rPr>
          <w:rFonts w:ascii="Arial" w:eastAsia="Times New Roman" w:hAnsi="Arial" w:cs="Arial"/>
          <w:color w:val="4E4D4D"/>
          <w:sz w:val="18"/>
          <w:szCs w:val="20"/>
          <w:lang w:eastAsia="es-CO"/>
        </w:rPr>
      </w:pPr>
    </w:p>
    <w:p w14:paraId="19D51540" w14:textId="191F4E6F" w:rsidR="005B6E09" w:rsidRPr="00180F68" w:rsidRDefault="003E4A42" w:rsidP="005B6E09">
      <w:pPr>
        <w:jc w:val="center"/>
      </w:pPr>
      <w:r>
        <w:rPr>
          <w:rFonts w:ascii="Arial" w:hAnsi="Arial" w:cs="Arial"/>
          <w:noProof/>
          <w:color w:val="000000" w:themeColor="text1"/>
          <w:sz w:val="18"/>
          <w:szCs w:val="20"/>
        </w:rPr>
        <w:drawing>
          <wp:inline distT="0" distB="0" distL="0" distR="0" wp14:anchorId="6110B610" wp14:editId="5925776D">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363E3537" w14:textId="1CCD7501" w:rsidR="009979E4" w:rsidRPr="00180F68" w:rsidRDefault="009979E4" w:rsidP="005B6E09">
      <w:pPr>
        <w:jc w:val="center"/>
      </w:pPr>
    </w:p>
    <w:p w14:paraId="41EBD1AC" w14:textId="77777777" w:rsidR="009979E4" w:rsidRPr="00180F68" w:rsidRDefault="009979E4" w:rsidP="005B6E09">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B6E09" w:rsidRPr="00180F68" w14:paraId="06DDD547" w14:textId="77777777" w:rsidTr="00B60AAF">
        <w:trPr>
          <w:trHeight w:val="315"/>
        </w:trPr>
        <w:tc>
          <w:tcPr>
            <w:tcW w:w="812" w:type="dxa"/>
            <w:vAlign w:val="center"/>
            <w:hideMark/>
          </w:tcPr>
          <w:p w14:paraId="1E9CFD1D" w14:textId="77777777" w:rsidR="005B6E09" w:rsidRPr="00180F68"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7A6F23E" w14:textId="5C0DE8A2" w:rsidR="005B6E09" w:rsidRPr="00180F68" w:rsidRDefault="009979E4"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Carlos Mario Castrill</w:t>
            </w:r>
            <w:r w:rsidR="00F6363E" w:rsidRPr="00180F68">
              <w:rPr>
                <w:rFonts w:ascii="Arial" w:eastAsia="Times New Roman" w:hAnsi="Arial" w:cs="Arial"/>
                <w:color w:val="000000" w:themeColor="text1"/>
                <w:sz w:val="16"/>
                <w:szCs w:val="16"/>
                <w:lang w:eastAsia="es-ES"/>
              </w:rPr>
              <w:t>ó</w:t>
            </w:r>
            <w:r w:rsidRPr="00180F68">
              <w:rPr>
                <w:rFonts w:ascii="Arial" w:eastAsia="Times New Roman" w:hAnsi="Arial" w:cs="Arial"/>
                <w:color w:val="000000" w:themeColor="text1"/>
                <w:sz w:val="16"/>
                <w:szCs w:val="16"/>
                <w:lang w:eastAsia="es-ES"/>
              </w:rPr>
              <w:t>n Endo</w:t>
            </w:r>
          </w:p>
          <w:p w14:paraId="2AA7EA8C" w14:textId="77777777" w:rsidR="005B6E09" w:rsidRPr="00180F68"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 xml:space="preserve">Contratista de la Subdirección de Gestión Contractual </w:t>
            </w:r>
          </w:p>
        </w:tc>
      </w:tr>
      <w:tr w:rsidR="005B6E09" w:rsidRPr="00180F68" w14:paraId="76C29FD2" w14:textId="77777777" w:rsidTr="00B60AAF">
        <w:trPr>
          <w:trHeight w:val="330"/>
        </w:trPr>
        <w:tc>
          <w:tcPr>
            <w:tcW w:w="812" w:type="dxa"/>
            <w:vAlign w:val="center"/>
            <w:hideMark/>
          </w:tcPr>
          <w:p w14:paraId="074BC529" w14:textId="77777777" w:rsidR="005B6E09" w:rsidRPr="00180F68"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D76A80" w14:textId="77777777" w:rsidR="005B6E09" w:rsidRPr="00180F68"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Juan David Montoya Penagos</w:t>
            </w:r>
          </w:p>
          <w:p w14:paraId="631D513E" w14:textId="77777777" w:rsidR="005B6E09" w:rsidRPr="00180F68"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Gestor T1-15 de la Subdirección de Gestión Contractual</w:t>
            </w:r>
          </w:p>
        </w:tc>
      </w:tr>
      <w:tr w:rsidR="005B6E09" w:rsidRPr="00827A53" w14:paraId="67A7B3DC" w14:textId="77777777" w:rsidTr="00B60AAF">
        <w:trPr>
          <w:trHeight w:val="300"/>
        </w:trPr>
        <w:tc>
          <w:tcPr>
            <w:tcW w:w="812" w:type="dxa"/>
            <w:vAlign w:val="center"/>
            <w:hideMark/>
          </w:tcPr>
          <w:p w14:paraId="237A40F7" w14:textId="77777777" w:rsidR="005B6E09" w:rsidRPr="00180F68"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1AF902" w14:textId="77777777" w:rsidR="005B6E09" w:rsidRPr="00180F68" w:rsidRDefault="005B6E09" w:rsidP="00B60AAF">
            <w:pPr>
              <w:rPr>
                <w:rFonts w:ascii="Arial" w:eastAsia="Times New Roman" w:hAnsi="Arial" w:cs="Arial"/>
                <w:sz w:val="16"/>
                <w:szCs w:val="16"/>
                <w:lang w:val="es-CO" w:eastAsia="es-ES"/>
              </w:rPr>
            </w:pPr>
            <w:r w:rsidRPr="00180F68">
              <w:rPr>
                <w:rFonts w:ascii="Arial" w:eastAsia="Times New Roman" w:hAnsi="Arial" w:cs="Arial"/>
                <w:sz w:val="16"/>
                <w:szCs w:val="16"/>
                <w:lang w:val="es-CO" w:eastAsia="es-ES"/>
              </w:rPr>
              <w:t>Jorge Augusto Tirado Navarro</w:t>
            </w:r>
          </w:p>
          <w:p w14:paraId="39CF7AD3" w14:textId="77777777" w:rsidR="005B6E09" w:rsidRPr="0067257F" w:rsidRDefault="005B6E09" w:rsidP="00B60AAF">
            <w:pPr>
              <w:rPr>
                <w:rFonts w:ascii="Arial" w:eastAsia="Times New Roman" w:hAnsi="Arial" w:cs="Arial"/>
                <w:color w:val="000000" w:themeColor="text1"/>
                <w:sz w:val="16"/>
                <w:szCs w:val="16"/>
                <w:lang w:eastAsia="es-ES"/>
              </w:rPr>
            </w:pPr>
            <w:r w:rsidRPr="00180F68">
              <w:rPr>
                <w:rFonts w:ascii="Arial" w:eastAsia="Times New Roman" w:hAnsi="Arial" w:cs="Arial"/>
                <w:color w:val="000000" w:themeColor="text1"/>
                <w:sz w:val="16"/>
                <w:szCs w:val="16"/>
                <w:lang w:eastAsia="es-ES"/>
              </w:rPr>
              <w:t>Subdirector de Gestión Contractual ANCP – CCE</w:t>
            </w:r>
          </w:p>
        </w:tc>
      </w:tr>
    </w:tbl>
    <w:p w14:paraId="27ABFC81" w14:textId="77777777" w:rsidR="005B6E09" w:rsidRPr="00746E08" w:rsidRDefault="005B6E09" w:rsidP="005B6E09">
      <w:pPr>
        <w:rPr>
          <w:rFonts w:ascii="Arial" w:eastAsia="Times New Roman" w:hAnsi="Arial" w:cs="Arial"/>
          <w:color w:val="7F7F7F" w:themeColor="text1" w:themeTint="80"/>
          <w:sz w:val="16"/>
          <w:szCs w:val="16"/>
          <w:lang w:eastAsia="es-ES"/>
        </w:rPr>
      </w:pPr>
    </w:p>
    <w:p w14:paraId="167E2085" w14:textId="77777777" w:rsidR="00FB347B" w:rsidRDefault="00FB347B"/>
    <w:sectPr w:rsidR="00FB347B"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548D" w14:textId="77777777" w:rsidR="00361E55" w:rsidRDefault="00361E55" w:rsidP="005B6E09">
      <w:r>
        <w:separator/>
      </w:r>
    </w:p>
  </w:endnote>
  <w:endnote w:type="continuationSeparator" w:id="0">
    <w:p w14:paraId="1C90D07D" w14:textId="77777777" w:rsidR="00361E55" w:rsidRDefault="00361E55" w:rsidP="005B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78C8" w14:textId="44E5EE1D" w:rsidR="00601896" w:rsidRDefault="00150414" w:rsidP="00322937">
    <w:pPr>
      <w:pStyle w:val="Sinespaciado"/>
      <w:jc w:val="right"/>
      <w:rPr>
        <w:rFonts w:ascii="Arial" w:hAnsi="Arial" w:cs="Arial"/>
        <w:sz w:val="18"/>
        <w:szCs w:val="18"/>
      </w:rPr>
    </w:pPr>
  </w:p>
  <w:p w14:paraId="3F7E28AA" w14:textId="77777777" w:rsidR="003E4A42" w:rsidRDefault="003E4A42" w:rsidP="00322937">
    <w:pPr>
      <w:pStyle w:val="Sinespaciado"/>
      <w:jc w:val="right"/>
      <w:rPr>
        <w:rFonts w:ascii="Arial" w:hAnsi="Arial" w:cs="Arial"/>
        <w:sz w:val="18"/>
        <w:szCs w:val="18"/>
      </w:rPr>
    </w:pPr>
  </w:p>
  <w:p w14:paraId="75227EFC" w14:textId="77777777" w:rsidR="00FE42ED" w:rsidRPr="008217B7" w:rsidRDefault="004A377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76E888D" w14:textId="77777777" w:rsidR="009047C5" w:rsidRDefault="004A3776" w:rsidP="00322937">
    <w:pPr>
      <w:pStyle w:val="Piedepgina"/>
      <w:jc w:val="center"/>
      <w:rPr>
        <w:lang w:val="es-ES"/>
      </w:rPr>
    </w:pPr>
    <w:r>
      <w:rPr>
        <w:noProof/>
      </w:rPr>
      <w:drawing>
        <wp:inline distT="0" distB="0" distL="0" distR="0" wp14:anchorId="23FD5CD7" wp14:editId="49DF5A47">
          <wp:extent cx="3700130" cy="519139"/>
          <wp:effectExtent l="0" t="0" r="0" b="0"/>
          <wp:docPr id="1549849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6795E90" w14:textId="77777777" w:rsidR="00322937" w:rsidRPr="00D5001C" w:rsidRDefault="00150414" w:rsidP="007B0854">
    <w:pPr>
      <w:pStyle w:val="Piedepgina"/>
      <w:jc w:val="center"/>
      <w:rPr>
        <w:sz w:val="20"/>
        <w:szCs w:val="20"/>
        <w:lang w:val="es-ES"/>
      </w:rPr>
    </w:pPr>
  </w:p>
  <w:p w14:paraId="292DB63F" w14:textId="77777777" w:rsidR="004A34D2" w:rsidRPr="00D5001C" w:rsidRDefault="00150414"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DBB9" w14:textId="77777777" w:rsidR="00361E55" w:rsidRDefault="00361E55" w:rsidP="005B6E09">
      <w:r>
        <w:separator/>
      </w:r>
    </w:p>
  </w:footnote>
  <w:footnote w:type="continuationSeparator" w:id="0">
    <w:p w14:paraId="79A21A48" w14:textId="77777777" w:rsidR="00361E55" w:rsidRDefault="00361E55" w:rsidP="005B6E09">
      <w:r>
        <w:continuationSeparator/>
      </w:r>
    </w:p>
  </w:footnote>
  <w:footnote w:id="1">
    <w:p w14:paraId="5FE0677D" w14:textId="77777777" w:rsidR="006639A0" w:rsidRDefault="006639A0" w:rsidP="006639A0">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EEEFFF3" w14:textId="77777777" w:rsidR="006639A0" w:rsidRDefault="006639A0" w:rsidP="006639A0">
      <w:pPr>
        <w:pStyle w:val="Textonotapie"/>
        <w:ind w:firstLine="709"/>
      </w:pPr>
    </w:p>
  </w:footnote>
  <w:footnote w:id="2">
    <w:p w14:paraId="71DDE970" w14:textId="77777777" w:rsidR="006639A0" w:rsidRDefault="006639A0" w:rsidP="006639A0">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6951578F" w14:textId="77777777" w:rsidR="006639A0" w:rsidRDefault="006639A0" w:rsidP="006639A0">
      <w:pPr>
        <w:pStyle w:val="Textonotapie"/>
        <w:ind w:firstLine="709"/>
      </w:pPr>
    </w:p>
  </w:footnote>
  <w:footnote w:id="3">
    <w:p w14:paraId="7098FC1D" w14:textId="77777777" w:rsidR="006639A0" w:rsidRDefault="006639A0" w:rsidP="006639A0">
      <w:pPr>
        <w:pStyle w:val="Textonotapie"/>
        <w:ind w:firstLine="709"/>
      </w:pPr>
      <w:r>
        <w:rPr>
          <w:rStyle w:val="Refdenotaalpie"/>
        </w:rPr>
        <w:footnoteRef/>
      </w:r>
      <w:r>
        <w:t xml:space="preserve"> </w:t>
      </w:r>
      <w:proofErr w:type="spellStart"/>
      <w:r w:rsidRPr="0043040E">
        <w:rPr>
          <w:rFonts w:ascii="Arial" w:hAnsi="Arial" w:cs="Arial"/>
          <w:sz w:val="19"/>
          <w:szCs w:val="19"/>
        </w:rPr>
        <w:t>Ibídem</w:t>
      </w:r>
      <w:proofErr w:type="spellEnd"/>
      <w:r w:rsidRPr="0043040E">
        <w:rPr>
          <w:rFonts w:ascii="Arial" w:hAnsi="Arial" w:cs="Arial"/>
          <w:sz w:val="19"/>
          <w:szCs w:val="19"/>
        </w:rPr>
        <w:t>.</w:t>
      </w:r>
      <w:r w:rsidRPr="0043040E">
        <w:t xml:space="preserve">  </w:t>
      </w:r>
    </w:p>
    <w:p w14:paraId="380CC558" w14:textId="77777777" w:rsidR="006639A0" w:rsidRDefault="006639A0" w:rsidP="006639A0">
      <w:pPr>
        <w:pStyle w:val="Textonotapie"/>
        <w:ind w:firstLine="709"/>
      </w:pPr>
    </w:p>
  </w:footnote>
  <w:footnote w:id="4">
    <w:p w14:paraId="5CFB8E85" w14:textId="77777777" w:rsidR="006639A0" w:rsidRDefault="006639A0" w:rsidP="006639A0">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39975E15"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p>
  </w:footnote>
  <w:footnote w:id="5">
    <w:p w14:paraId="7F011654"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7C29863"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»Dentro</w:t>
      </w:r>
      <w:proofErr w:type="gramEnd"/>
      <w:r w:rsidRPr="0043040E">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F5D022E"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»Con</w:t>
      </w:r>
      <w:proofErr w:type="gramEnd"/>
      <w:r w:rsidRPr="0043040E">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E296DFD" w14:textId="77777777" w:rsidR="006639A0" w:rsidRPr="0043040E" w:rsidRDefault="006639A0" w:rsidP="006639A0">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66D3D21" w14:textId="77777777" w:rsidR="006639A0" w:rsidRPr="0043040E" w:rsidRDefault="006639A0" w:rsidP="006639A0">
      <w:pPr>
        <w:shd w:val="clear" w:color="auto" w:fill="FFFFFF"/>
        <w:ind w:firstLine="708"/>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»En</w:t>
      </w:r>
      <w:proofErr w:type="gramEnd"/>
      <w:r w:rsidRPr="0043040E">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7CEFA00" w14:textId="77777777" w:rsidR="006639A0" w:rsidRDefault="006639A0" w:rsidP="006639A0">
      <w:pPr>
        <w:pStyle w:val="Textonotapie"/>
      </w:pPr>
    </w:p>
  </w:footnote>
  <w:footnote w:id="6">
    <w:p w14:paraId="4F9E4672" w14:textId="77777777" w:rsidR="007C7250" w:rsidRDefault="007C7250" w:rsidP="007C7250">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60164E6" w14:textId="77777777" w:rsidR="007C7250" w:rsidRDefault="007C7250" w:rsidP="007C7250">
      <w:pPr>
        <w:pStyle w:val="Textonotapie"/>
        <w:ind w:firstLine="708"/>
        <w:rPr>
          <w:rFonts w:ascii="Arial" w:hAnsi="Arial" w:cs="Arial"/>
          <w:sz w:val="19"/>
          <w:szCs w:val="19"/>
          <w:lang w:val="es-CO"/>
        </w:rPr>
      </w:pPr>
      <w:r>
        <w:rPr>
          <w:rFonts w:ascii="Arial" w:hAnsi="Arial" w:cs="Arial"/>
          <w:sz w:val="19"/>
          <w:szCs w:val="19"/>
        </w:rPr>
        <w:t xml:space="preserve"> </w:t>
      </w:r>
    </w:p>
  </w:footnote>
  <w:footnote w:id="7">
    <w:p w14:paraId="7E888B17" w14:textId="77777777" w:rsidR="007C7250" w:rsidRDefault="007C7250" w:rsidP="007C7250">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74CF2C1" w14:textId="77777777" w:rsidR="007C7250" w:rsidRDefault="007C7250" w:rsidP="007C7250">
      <w:pPr>
        <w:pStyle w:val="Textonotapie"/>
        <w:ind w:firstLine="709"/>
        <w:jc w:val="both"/>
        <w:rPr>
          <w:rFonts w:ascii="Arial" w:hAnsi="Arial" w:cs="Arial"/>
          <w:color w:val="000000" w:themeColor="text1"/>
          <w:sz w:val="19"/>
          <w:szCs w:val="19"/>
        </w:rPr>
      </w:pPr>
    </w:p>
  </w:footnote>
  <w:footnote w:id="8">
    <w:p w14:paraId="3E09CAA1" w14:textId="77777777" w:rsidR="007C7250" w:rsidRDefault="007C7250" w:rsidP="007C7250">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18AF4746" w14:textId="77777777" w:rsidR="007C7250" w:rsidRDefault="007C7250" w:rsidP="007C7250">
      <w:pPr>
        <w:ind w:firstLine="709"/>
        <w:jc w:val="both"/>
        <w:rPr>
          <w:rFonts w:ascii="Arial" w:hAnsi="Arial" w:cs="Arial"/>
          <w:color w:val="000000" w:themeColor="text1"/>
          <w:sz w:val="19"/>
          <w:szCs w:val="19"/>
          <w:lang w:val="es-ES"/>
        </w:rPr>
      </w:pPr>
    </w:p>
  </w:footnote>
  <w:footnote w:id="9">
    <w:p w14:paraId="174E1888" w14:textId="77777777" w:rsidR="007C7250" w:rsidRDefault="007C7250" w:rsidP="007C725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2A0FD38D" w14:textId="77777777" w:rsidR="007C7250" w:rsidRDefault="007C7250" w:rsidP="007C7250">
      <w:pPr>
        <w:pStyle w:val="Textonotapie"/>
        <w:ind w:firstLine="708"/>
        <w:jc w:val="both"/>
        <w:rPr>
          <w:rFonts w:ascii="Arial" w:hAnsi="Arial" w:cs="Arial"/>
          <w:sz w:val="19"/>
          <w:szCs w:val="19"/>
        </w:rPr>
      </w:pPr>
      <w:r>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3C33A044" w14:textId="77777777" w:rsidR="007C7250" w:rsidRDefault="007C7250" w:rsidP="007C7250">
      <w:pPr>
        <w:pStyle w:val="Textonotapie"/>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23981497" w14:textId="77777777" w:rsidR="007C7250" w:rsidRDefault="007C7250" w:rsidP="007C7250">
      <w:pPr>
        <w:pStyle w:val="Textonotapie"/>
        <w:ind w:firstLine="708"/>
        <w:jc w:val="both"/>
        <w:rPr>
          <w:rFonts w:ascii="Arial" w:hAnsi="Arial" w:cs="Arial"/>
          <w:sz w:val="19"/>
          <w:szCs w:val="19"/>
        </w:rPr>
      </w:pPr>
      <w:r>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1C5AAE10" w14:textId="77777777" w:rsidR="007C7250" w:rsidRDefault="007C7250" w:rsidP="007C7250">
      <w:pPr>
        <w:pStyle w:val="Textonotapie"/>
        <w:ind w:firstLine="708"/>
        <w:jc w:val="both"/>
        <w:rPr>
          <w:lang w:val="es-CO"/>
        </w:rPr>
      </w:pPr>
      <w:r>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r>
        <w:t xml:space="preserve">  </w:t>
      </w:r>
    </w:p>
  </w:footnote>
  <w:footnote w:id="10">
    <w:p w14:paraId="5DD4610B" w14:textId="77777777" w:rsidR="007C7250" w:rsidRDefault="007C7250" w:rsidP="007C7250">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379BDCE8" w14:textId="77777777" w:rsidR="007C7250" w:rsidRDefault="007C7250" w:rsidP="007C7250">
      <w:pPr>
        <w:ind w:firstLine="708"/>
        <w:jc w:val="both"/>
        <w:rPr>
          <w:rFonts w:ascii="Arial" w:hAnsi="Arial" w:cs="Arial"/>
          <w:color w:val="000000" w:themeColor="text1"/>
          <w:sz w:val="19"/>
          <w:szCs w:val="19"/>
        </w:rPr>
      </w:pPr>
    </w:p>
  </w:footnote>
  <w:footnote w:id="11">
    <w:p w14:paraId="322555B1" w14:textId="77777777" w:rsidR="005B6E09" w:rsidRPr="000A459A" w:rsidRDefault="005B6E09" w:rsidP="005B6E09">
      <w:pPr>
        <w:ind w:firstLine="709"/>
        <w:jc w:val="both"/>
        <w:rPr>
          <w:rFonts w:ascii="Arial" w:hAnsi="Arial" w:cs="Arial"/>
          <w:b/>
          <w:bCs/>
          <w:color w:val="000000" w:themeColor="text1"/>
          <w:sz w:val="19"/>
          <w:szCs w:val="19"/>
          <w:lang w:val="es-ES"/>
        </w:rPr>
      </w:pPr>
      <w:r>
        <w:rPr>
          <w:rStyle w:val="Refdenotaalpie"/>
        </w:rPr>
        <w:footnoteRef/>
      </w:r>
      <w:r>
        <w:t xml:space="preserve"> </w:t>
      </w:r>
      <w:r w:rsidRPr="000A459A">
        <w:rPr>
          <w:rFonts w:ascii="Arial" w:hAnsi="Arial" w:cs="Arial"/>
          <w:b/>
          <w:bCs/>
          <w:color w:val="000000" w:themeColor="text1"/>
          <w:sz w:val="19"/>
          <w:szCs w:val="19"/>
          <w:lang w:val="es-ES"/>
        </w:rPr>
        <w:t>Anexo 5 – Minuta del Contrato</w:t>
      </w:r>
      <w:r>
        <w:rPr>
          <w:rFonts w:ascii="Arial" w:hAnsi="Arial" w:cs="Arial"/>
          <w:b/>
          <w:bCs/>
          <w:color w:val="000000" w:themeColor="text1"/>
          <w:sz w:val="19"/>
          <w:szCs w:val="19"/>
          <w:lang w:val="es-ES"/>
        </w:rPr>
        <w:t>.</w:t>
      </w:r>
      <w:r w:rsidRPr="000A459A">
        <w:rPr>
          <w:rFonts w:ascii="Arial" w:hAnsi="Arial" w:cs="Arial"/>
          <w:b/>
          <w:bCs/>
          <w:color w:val="000000" w:themeColor="text1"/>
          <w:sz w:val="19"/>
          <w:szCs w:val="19"/>
          <w:lang w:val="es-ES"/>
        </w:rPr>
        <w:t xml:space="preserve"> </w:t>
      </w:r>
      <w:r>
        <w:rPr>
          <w:rFonts w:ascii="Arial" w:hAnsi="Arial" w:cs="Arial"/>
          <w:b/>
          <w:bCs/>
          <w:color w:val="000000" w:themeColor="text1"/>
          <w:sz w:val="19"/>
          <w:szCs w:val="19"/>
          <w:lang w:val="es-ES"/>
        </w:rPr>
        <w:t xml:space="preserve">[…] </w:t>
      </w:r>
      <w:r w:rsidRPr="000A459A">
        <w:rPr>
          <w:rFonts w:ascii="Arial" w:hAnsi="Arial" w:cs="Arial"/>
          <w:b/>
          <w:bCs/>
          <w:color w:val="000000" w:themeColor="text1"/>
          <w:sz w:val="19"/>
          <w:szCs w:val="19"/>
          <w:lang w:val="es-ES"/>
        </w:rPr>
        <w:t>CLÁSULA 8. FORMA DE PAGO</w:t>
      </w:r>
      <w:r>
        <w:rPr>
          <w:rFonts w:ascii="Arial" w:hAnsi="Arial" w:cs="Arial"/>
          <w:b/>
          <w:bCs/>
          <w:color w:val="000000" w:themeColor="text1"/>
          <w:sz w:val="19"/>
          <w:szCs w:val="19"/>
          <w:lang w:val="es-ES"/>
        </w:rPr>
        <w:t>.</w:t>
      </w:r>
    </w:p>
    <w:p w14:paraId="5D554496" w14:textId="77777777" w:rsidR="005B6E09" w:rsidRDefault="005B6E09" w:rsidP="005B6E09">
      <w:pPr>
        <w:ind w:firstLine="709"/>
        <w:jc w:val="both"/>
      </w:pPr>
      <w:r>
        <w:t>[…]</w:t>
      </w:r>
    </w:p>
    <w:p w14:paraId="2B350DCD" w14:textId="77777777" w:rsidR="005B6E09" w:rsidRPr="000A459A" w:rsidRDefault="005B6E09" w:rsidP="005B6E09">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1:</w:t>
      </w:r>
    </w:p>
    <w:p w14:paraId="2D5F4D1D"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La Entidad cancelará al Contratista el valor del contrato en pagos parciales mensuales por avance de obra, de acuerdo con las cantidades ejecutadas y aprobadas por la interventoría hasta el 95% del valor del contrato. El 5% restante del valor del contrato se pagará contra liquidación del contrato. </w:t>
      </w:r>
    </w:p>
    <w:p w14:paraId="3C1E0AA2" w14:textId="77777777" w:rsidR="005B6E09" w:rsidRPr="000A459A" w:rsidRDefault="005B6E09" w:rsidP="005B6E09">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2:</w:t>
      </w:r>
    </w:p>
    <w:p w14:paraId="678AAC0F"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La Entidad entregará un anticipo y posteriormente hará pagos parciales con su respectiva amortización, todo lo cual se regirá por las siguientes reglas:</w:t>
      </w:r>
    </w:p>
    <w:p w14:paraId="4DF7B907"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La entidad efectuará al Contratista pagos mensuales en pesos colombianos, de acuerdo con las cantidades de obra realmente ejecutadas, revisadas, aceptadas y recibidas a satisfacción por la interventoría en el mes inmediatamente anterior, las cuales además deben ser verificables físicamente y deberán soportarse en Actas de Obra, de conformidad con los precios unitarios y el valor del AIU pactado.</w:t>
      </w:r>
    </w:p>
    <w:p w14:paraId="33822BDE"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b/>
          <w:bCs/>
          <w:color w:val="000000" w:themeColor="text1"/>
          <w:sz w:val="19"/>
          <w:szCs w:val="19"/>
          <w:lang w:val="es-ES"/>
        </w:rPr>
        <w:t>Parágrafo 1</w:t>
      </w:r>
      <w:r w:rsidRPr="000A459A">
        <w:rPr>
          <w:rFonts w:ascii="Arial" w:hAnsi="Arial" w:cs="Arial"/>
          <w:color w:val="000000" w:themeColor="text1"/>
          <w:sz w:val="19"/>
          <w:szCs w:val="19"/>
          <w:lang w:val="es-ES"/>
        </w:rPr>
        <w:t>. La entidad realizará al Contratista el último pago, cuyo valor no podrá ser inferior al cinco por ciento (5%) del valor total del contrato, el cual se hará a la terminación de los trabajos recibidos a entera satisfacción de la entidad.</w:t>
      </w:r>
    </w:p>
    <w:p w14:paraId="23D9B3D3" w14:textId="77777777" w:rsidR="005B6E09" w:rsidRPr="000A459A" w:rsidRDefault="005B6E09" w:rsidP="005B6E09">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3:</w:t>
      </w:r>
    </w:p>
    <w:p w14:paraId="71D466C3"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En contraprestación por las actividades ejecutadas, la Entidad reconocerá al Contratista un acta de pago cuando se haya recibido a entera satisfacción los hitos o unidades funcionales del proyecto, por parte del interventor. </w:t>
      </w:r>
    </w:p>
    <w:p w14:paraId="7C77411F"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El pago a el Contratista se efectuará dentro de los (XX) días hábiles siguientes a la presentación de la factura y visto bueno por parte del interventor designado del recibo a satisfacción de las actividades, acompañada del acta de recibo y de la certificación de encontrarse el Contratista al día en el pago de aportes al Sistema de la Seguridad Social y Parafiscales, de conformidad con lo señalado en el parágrafo 1º del artículo 23 de la Ley 1150 de 2007. </w:t>
      </w:r>
    </w:p>
    <w:p w14:paraId="060A2CE3" w14:textId="77777777" w:rsidR="005B6E09" w:rsidRPr="000A459A" w:rsidRDefault="005B6E09" w:rsidP="005B6E09">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El interventor designado solo aprobará el pago de aquellas actividades que sean comprobables y efectivamente soportadas y que, en consecuencia, hayan sido debidamente ejecutadas por el 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AC" w14:textId="77777777" w:rsidR="007B0854" w:rsidRDefault="004A3776">
    <w:pPr>
      <w:pStyle w:val="Encabezado"/>
    </w:pPr>
    <w:r>
      <w:rPr>
        <w:noProof/>
        <w:lang w:val="en-US"/>
      </w:rPr>
      <w:drawing>
        <wp:anchor distT="0" distB="0" distL="114300" distR="114300" simplePos="0" relativeHeight="251659264" behindDoc="1" locked="0" layoutInCell="1" allowOverlap="1" wp14:anchorId="1C439E7E" wp14:editId="6923F86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7904F96C"/>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09"/>
    <w:rsid w:val="0002432A"/>
    <w:rsid w:val="000A4F91"/>
    <w:rsid w:val="000C15C6"/>
    <w:rsid w:val="001425C6"/>
    <w:rsid w:val="00150414"/>
    <w:rsid w:val="00151FFD"/>
    <w:rsid w:val="00180F68"/>
    <w:rsid w:val="00181A0F"/>
    <w:rsid w:val="001A28AB"/>
    <w:rsid w:val="001A5C14"/>
    <w:rsid w:val="001C0518"/>
    <w:rsid w:val="001F4597"/>
    <w:rsid w:val="002961A6"/>
    <w:rsid w:val="002A35F1"/>
    <w:rsid w:val="00301683"/>
    <w:rsid w:val="00325D22"/>
    <w:rsid w:val="00351055"/>
    <w:rsid w:val="00361E55"/>
    <w:rsid w:val="00376988"/>
    <w:rsid w:val="003E4A42"/>
    <w:rsid w:val="00422C36"/>
    <w:rsid w:val="00440746"/>
    <w:rsid w:val="00450CE7"/>
    <w:rsid w:val="00461559"/>
    <w:rsid w:val="004A3776"/>
    <w:rsid w:val="004C4854"/>
    <w:rsid w:val="004C512E"/>
    <w:rsid w:val="005047DA"/>
    <w:rsid w:val="00544C0A"/>
    <w:rsid w:val="005873F2"/>
    <w:rsid w:val="00590B95"/>
    <w:rsid w:val="005A3892"/>
    <w:rsid w:val="005B6E09"/>
    <w:rsid w:val="006043A3"/>
    <w:rsid w:val="006332F6"/>
    <w:rsid w:val="0066109D"/>
    <w:rsid w:val="006639A0"/>
    <w:rsid w:val="00666920"/>
    <w:rsid w:val="00692DA1"/>
    <w:rsid w:val="00717CE6"/>
    <w:rsid w:val="00737E13"/>
    <w:rsid w:val="007B368C"/>
    <w:rsid w:val="007C7250"/>
    <w:rsid w:val="007D0FB4"/>
    <w:rsid w:val="007F0BEE"/>
    <w:rsid w:val="00804B30"/>
    <w:rsid w:val="0085766A"/>
    <w:rsid w:val="00860B12"/>
    <w:rsid w:val="008A10BD"/>
    <w:rsid w:val="008F679E"/>
    <w:rsid w:val="00916198"/>
    <w:rsid w:val="0094724E"/>
    <w:rsid w:val="00950711"/>
    <w:rsid w:val="00956FC9"/>
    <w:rsid w:val="0099133F"/>
    <w:rsid w:val="009963A0"/>
    <w:rsid w:val="009979E4"/>
    <w:rsid w:val="009A5AA4"/>
    <w:rsid w:val="009E3A91"/>
    <w:rsid w:val="00A02A27"/>
    <w:rsid w:val="00AD5423"/>
    <w:rsid w:val="00B0098B"/>
    <w:rsid w:val="00B3330D"/>
    <w:rsid w:val="00B438E1"/>
    <w:rsid w:val="00B62ECA"/>
    <w:rsid w:val="00B708C3"/>
    <w:rsid w:val="00BA509F"/>
    <w:rsid w:val="00C22880"/>
    <w:rsid w:val="00C5334F"/>
    <w:rsid w:val="00C754E5"/>
    <w:rsid w:val="00CF0B4D"/>
    <w:rsid w:val="00D537B0"/>
    <w:rsid w:val="00DA625D"/>
    <w:rsid w:val="00DE15CC"/>
    <w:rsid w:val="00DE4EBC"/>
    <w:rsid w:val="00DF4282"/>
    <w:rsid w:val="00DF42AD"/>
    <w:rsid w:val="00DF5064"/>
    <w:rsid w:val="00E25098"/>
    <w:rsid w:val="00E30862"/>
    <w:rsid w:val="00E474D9"/>
    <w:rsid w:val="00E803FB"/>
    <w:rsid w:val="00E87A3C"/>
    <w:rsid w:val="00EA05CE"/>
    <w:rsid w:val="00EB27C2"/>
    <w:rsid w:val="00ED3CED"/>
    <w:rsid w:val="00F57CF9"/>
    <w:rsid w:val="00F6363E"/>
    <w:rsid w:val="00F821C7"/>
    <w:rsid w:val="00FB347B"/>
    <w:rsid w:val="00FE08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B634"/>
  <w15:chartTrackingRefBased/>
  <w15:docId w15:val="{C85775F6-5B4F-4378-9C29-A553EC04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0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B6E09"/>
    <w:pPr>
      <w:tabs>
        <w:tab w:val="center" w:pos="4419"/>
        <w:tab w:val="right" w:pos="8838"/>
      </w:tabs>
    </w:pPr>
  </w:style>
  <w:style w:type="character" w:customStyle="1" w:styleId="PiedepginaCar">
    <w:name w:val="Pie de página Car"/>
    <w:basedOn w:val="Fuentedeprrafopredeter"/>
    <w:link w:val="Piedepgina"/>
    <w:uiPriority w:val="99"/>
    <w:rsid w:val="005B6E09"/>
    <w:rPr>
      <w:sz w:val="24"/>
      <w:lang w:val="es-MX"/>
    </w:rPr>
  </w:style>
  <w:style w:type="paragraph" w:styleId="Encabezado">
    <w:name w:val="header"/>
    <w:basedOn w:val="Normal"/>
    <w:link w:val="EncabezadoCar"/>
    <w:uiPriority w:val="99"/>
    <w:unhideWhenUsed/>
    <w:rsid w:val="005B6E09"/>
    <w:pPr>
      <w:tabs>
        <w:tab w:val="center" w:pos="4252"/>
        <w:tab w:val="right" w:pos="8504"/>
      </w:tabs>
    </w:pPr>
  </w:style>
  <w:style w:type="character" w:customStyle="1" w:styleId="EncabezadoCar">
    <w:name w:val="Encabezado Car"/>
    <w:basedOn w:val="Fuentedeprrafopredeter"/>
    <w:link w:val="Encabezado"/>
    <w:uiPriority w:val="99"/>
    <w:rsid w:val="005B6E09"/>
    <w:rPr>
      <w:sz w:val="24"/>
      <w:lang w:val="es-MX"/>
    </w:rPr>
  </w:style>
  <w:style w:type="table" w:styleId="Tablaconcuadrcula">
    <w:name w:val="Table Grid"/>
    <w:basedOn w:val="Tablanormal"/>
    <w:uiPriority w:val="39"/>
    <w:rsid w:val="005B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B6E09"/>
    <w:pPr>
      <w:ind w:left="720"/>
      <w:contextualSpacing/>
    </w:pPr>
  </w:style>
  <w:style w:type="paragraph" w:styleId="Sinespaciado">
    <w:name w:val="No Spacing"/>
    <w:uiPriority w:val="1"/>
    <w:qFormat/>
    <w:rsid w:val="005B6E0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B6E0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B6E09"/>
    <w:rPr>
      <w:sz w:val="20"/>
      <w:szCs w:val="20"/>
    </w:rPr>
  </w:style>
  <w:style w:type="character" w:customStyle="1" w:styleId="TextonotapieCar1">
    <w:name w:val="Texto nota pie Car1"/>
    <w:basedOn w:val="Fuentedeprrafopredeter"/>
    <w:uiPriority w:val="99"/>
    <w:semiHidden/>
    <w:rsid w:val="005B6E0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B6E0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B6E09"/>
    <w:rPr>
      <w:vertAlign w:val="superscript"/>
    </w:rPr>
  </w:style>
  <w:style w:type="paragraph" w:customStyle="1" w:styleId="Appelnotedebasde">
    <w:name w:val="Appel note de bas de..."/>
    <w:basedOn w:val="Normal"/>
    <w:link w:val="Refdenotaalpie"/>
    <w:uiPriority w:val="99"/>
    <w:rsid w:val="005B6E09"/>
    <w:pPr>
      <w:spacing w:after="160" w:line="240" w:lineRule="exact"/>
    </w:pPr>
    <w:rPr>
      <w:sz w:val="22"/>
      <w:vertAlign w:val="superscript"/>
      <w:lang w:val="es-CO"/>
    </w:rPr>
  </w:style>
  <w:style w:type="character" w:styleId="Refdecomentario">
    <w:name w:val="annotation reference"/>
    <w:basedOn w:val="Fuentedeprrafopredeter"/>
    <w:uiPriority w:val="99"/>
    <w:semiHidden/>
    <w:unhideWhenUsed/>
    <w:rsid w:val="004C512E"/>
    <w:rPr>
      <w:sz w:val="16"/>
      <w:szCs w:val="16"/>
    </w:rPr>
  </w:style>
  <w:style w:type="paragraph" w:customStyle="1" w:styleId="Normal11pt">
    <w:name w:val="Normal + 11 pt"/>
    <w:aliases w:val="Negro,Justificado,Izquierda:  -0,95 cm,Derecha:  0,04 cm"/>
    <w:basedOn w:val="Normal"/>
    <w:uiPriority w:val="99"/>
    <w:rsid w:val="004C512E"/>
    <w:pPr>
      <w:ind w:left="-540"/>
      <w:jc w:val="both"/>
    </w:pPr>
    <w:rPr>
      <w:rFonts w:ascii="Arial" w:eastAsia="Times New Roman" w:hAnsi="Arial" w:cs="Arial"/>
      <w:color w:val="000000"/>
      <w:sz w:val="22"/>
      <w:lang w:val="es-ES_tradnl" w:eastAsia="es-ES"/>
    </w:rPr>
  </w:style>
  <w:style w:type="paragraph" w:styleId="Textocomentario">
    <w:name w:val="annotation text"/>
    <w:basedOn w:val="Normal"/>
    <w:link w:val="TextocomentarioCar"/>
    <w:uiPriority w:val="99"/>
    <w:semiHidden/>
    <w:unhideWhenUsed/>
    <w:rsid w:val="00E474D9"/>
    <w:rPr>
      <w:sz w:val="20"/>
      <w:szCs w:val="20"/>
    </w:rPr>
  </w:style>
  <w:style w:type="character" w:customStyle="1" w:styleId="TextocomentarioCar">
    <w:name w:val="Texto comentario Car"/>
    <w:basedOn w:val="Fuentedeprrafopredeter"/>
    <w:link w:val="Textocomentario"/>
    <w:uiPriority w:val="99"/>
    <w:semiHidden/>
    <w:rsid w:val="00E474D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474D9"/>
    <w:rPr>
      <w:b/>
      <w:bCs/>
    </w:rPr>
  </w:style>
  <w:style w:type="character" w:customStyle="1" w:styleId="AsuntodelcomentarioCar">
    <w:name w:val="Asunto del comentario Car"/>
    <w:basedOn w:val="TextocomentarioCar"/>
    <w:link w:val="Asuntodelcomentario"/>
    <w:uiPriority w:val="99"/>
    <w:semiHidden/>
    <w:rsid w:val="00E474D9"/>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689F9A-2A1A-426E-A08F-DCD098C475C2}">
  <ds:schemaRefs>
    <ds:schemaRef ds:uri="http://schemas.openxmlformats.org/officeDocument/2006/bibliography"/>
  </ds:schemaRefs>
</ds:datastoreItem>
</file>

<file path=customXml/itemProps2.xml><?xml version="1.0" encoding="utf-8"?>
<ds:datastoreItem xmlns:ds="http://schemas.openxmlformats.org/officeDocument/2006/customXml" ds:itemID="{A8908663-88C7-4829-8316-5F50E98891DC}"/>
</file>

<file path=customXml/itemProps3.xml><?xml version="1.0" encoding="utf-8"?>
<ds:datastoreItem xmlns:ds="http://schemas.openxmlformats.org/officeDocument/2006/customXml" ds:itemID="{9BA684FF-544A-438E-B25F-1E674C7DAAB5}"/>
</file>

<file path=customXml/itemProps4.xml><?xml version="1.0" encoding="utf-8"?>
<ds:datastoreItem xmlns:ds="http://schemas.openxmlformats.org/officeDocument/2006/customXml" ds:itemID="{6A0D23DB-4D2B-432D-8182-B88AE3752AB0}"/>
</file>

<file path=docProps/app.xml><?xml version="1.0" encoding="utf-8"?>
<Properties xmlns="http://schemas.openxmlformats.org/officeDocument/2006/extended-properties" xmlns:vt="http://schemas.openxmlformats.org/officeDocument/2006/docPropsVTypes">
  <Template>Normal</Template>
  <TotalTime>1</TotalTime>
  <Pages>17</Pages>
  <Words>6354</Words>
  <Characters>34948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2021-08-31T20:01:00Z</dcterms:created>
  <dcterms:modified xsi:type="dcterms:W3CDTF">2021-08-31T20:01:00Z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