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3301F" w:rsidP="009B0569" w:rsidRDefault="0063301F" w14:paraId="64F0CC7E" w14:textId="77777777">
      <w:pPr>
        <w:jc w:val="right"/>
        <w:rPr>
          <w:bCs/>
          <w:color w:val="000000" w:themeColor="text1"/>
          <w:sz w:val="16"/>
          <w:szCs w:val="16"/>
        </w:rPr>
      </w:pPr>
      <w:bookmarkStart w:name="_Hlk81385560" w:id="0"/>
      <w:bookmarkEnd w:id="0"/>
    </w:p>
    <w:p w:rsidR="0063301F" w:rsidP="009B0569" w:rsidRDefault="0063301F" w14:paraId="6B524314" w14:textId="77777777">
      <w:pPr>
        <w:jc w:val="right"/>
        <w:rPr>
          <w:bCs/>
          <w:color w:val="000000" w:themeColor="text1"/>
          <w:sz w:val="16"/>
          <w:szCs w:val="16"/>
        </w:rPr>
      </w:pPr>
    </w:p>
    <w:p w:rsidR="0063301F" w:rsidP="009B0569" w:rsidRDefault="0063301F" w14:paraId="4985E5FB" w14:textId="77777777">
      <w:pPr>
        <w:jc w:val="right"/>
        <w:rPr>
          <w:bCs/>
          <w:color w:val="000000" w:themeColor="text1"/>
          <w:sz w:val="16"/>
          <w:szCs w:val="16"/>
        </w:rPr>
      </w:pPr>
    </w:p>
    <w:p w:rsidRPr="004E085D" w:rsidR="00395ACC" w:rsidP="31CA8A54" w:rsidRDefault="00395ACC" w14:paraId="109608DE" w14:textId="46D2EF5E">
      <w:pPr>
        <w:spacing w:line="276" w:lineRule="auto"/>
        <w:jc w:val="both"/>
        <w:rPr>
          <w:rFonts w:eastAsia="Calibri"/>
          <w:b w:val="1"/>
          <w:bCs w:val="1"/>
          <w:color w:val="000000" w:themeColor="text1"/>
          <w:lang w:val="es-ES"/>
        </w:rPr>
      </w:pPr>
      <w:r w:rsidRPr="31CA8A54" w:rsidR="00395ACC">
        <w:rPr>
          <w:rFonts w:eastAsia="Calibri"/>
          <w:b w:val="1"/>
          <w:bCs w:val="1"/>
          <w:color w:val="000000" w:themeColor="text1" w:themeTint="FF" w:themeShade="FF"/>
          <w:lang w:val="es-ES"/>
        </w:rPr>
        <w:t>CONTRATO DE OBRA PÚBLICA</w:t>
      </w:r>
      <w:r w:rsidRPr="31CA8A54" w:rsidR="00395ACC">
        <w:rPr>
          <w:rFonts w:eastAsia="Calibri"/>
          <w:b w:val="1"/>
          <w:bCs w:val="1"/>
          <w:color w:val="000000" w:themeColor="text1" w:themeTint="FF" w:themeShade="FF"/>
          <w:lang w:val="es-ES"/>
        </w:rPr>
        <w:t xml:space="preserve"> </w:t>
      </w:r>
      <w:r w:rsidRPr="31CA8A54" w:rsidR="00F6273C">
        <w:rPr>
          <w:rFonts w:eastAsia="Calibri"/>
          <w:b w:val="1"/>
          <w:bCs w:val="1"/>
          <w:color w:val="000000" w:themeColor="text1" w:themeTint="FF" w:themeShade="FF"/>
          <w:lang w:val="es-ES"/>
        </w:rPr>
        <w:t>–</w:t>
      </w:r>
      <w:r w:rsidRPr="31CA8A54" w:rsidR="00395ACC">
        <w:rPr>
          <w:rFonts w:eastAsia="Calibri"/>
          <w:b w:val="1"/>
          <w:bCs w:val="1"/>
          <w:color w:val="000000" w:themeColor="text1" w:themeTint="FF" w:themeShade="FF"/>
          <w:lang w:val="es-ES"/>
        </w:rPr>
        <w:t xml:space="preserve"> Tipología </w:t>
      </w:r>
      <w:r w:rsidRPr="31CA8A54" w:rsidR="00F6273C">
        <w:rPr>
          <w:rFonts w:eastAsia="Calibri"/>
          <w:b w:val="1"/>
          <w:bCs w:val="1"/>
          <w:color w:val="000000" w:themeColor="text1" w:themeTint="FF" w:themeShade="FF"/>
          <w:lang w:val="es-ES"/>
        </w:rPr>
        <w:t xml:space="preserve">– </w:t>
      </w:r>
      <w:r w:rsidRPr="31CA8A54" w:rsidR="00C62C96">
        <w:rPr>
          <w:rFonts w:eastAsia="Calibri"/>
          <w:b w:val="1"/>
          <w:bCs w:val="1"/>
          <w:color w:val="000000" w:themeColor="text1" w:themeTint="FF" w:themeShade="FF"/>
          <w:lang w:val="es-ES"/>
        </w:rPr>
        <w:t>Confección de obra material</w:t>
      </w:r>
      <w:r w:rsidRPr="31CA8A54" w:rsidR="021727D9">
        <w:rPr>
          <w:rFonts w:eastAsia="Calibri"/>
          <w:b w:val="1"/>
          <w:bCs w:val="1"/>
          <w:color w:val="000000" w:themeColor="text1" w:themeTint="FF" w:themeShade="FF"/>
          <w:lang w:val="es-ES"/>
        </w:rPr>
        <w:t xml:space="preserve"> </w:t>
      </w:r>
      <w:r w:rsidRPr="31CA8A54" w:rsidR="00C62C96">
        <w:rPr>
          <w:rFonts w:eastAsia="Calibri"/>
          <w:b w:val="1"/>
          <w:bCs w:val="1"/>
          <w:color w:val="000000" w:themeColor="text1" w:themeTint="FF" w:themeShade="FF"/>
          <w:lang w:val="es-ES"/>
        </w:rPr>
        <w:t>–</w:t>
      </w:r>
      <w:r w:rsidRPr="31CA8A54" w:rsidR="00F6273C">
        <w:rPr>
          <w:rFonts w:eastAsia="Calibri"/>
          <w:b w:val="1"/>
          <w:bCs w:val="1"/>
          <w:color w:val="000000" w:themeColor="text1" w:themeTint="FF" w:themeShade="FF"/>
          <w:lang w:val="es-ES"/>
        </w:rPr>
        <w:t>Arrendamiento</w:t>
      </w:r>
    </w:p>
    <w:p w:rsidRPr="00896901" w:rsidR="00395ACC" w:rsidP="00395ACC" w:rsidRDefault="00395ACC" w14:paraId="66DED901" w14:textId="77777777">
      <w:pPr>
        <w:jc w:val="both"/>
        <w:rPr>
          <w:rFonts w:eastAsia="Calibri"/>
          <w:b/>
          <w:bCs/>
          <w:color w:val="000000" w:themeColor="text1"/>
          <w:lang w:val="es-ES_tradnl"/>
        </w:rPr>
      </w:pPr>
    </w:p>
    <w:p w:rsidR="00411C51" w:rsidP="00395ACC" w:rsidRDefault="00395ACC" w14:paraId="3D3ADA41" w14:textId="16CD0D24">
      <w:pPr>
        <w:spacing w:line="276" w:lineRule="auto"/>
        <w:jc w:val="both"/>
        <w:rPr>
          <w:rFonts w:eastAsia="Calibri"/>
          <w:color w:val="000000" w:themeColor="text1"/>
          <w:sz w:val="20"/>
          <w:szCs w:val="20"/>
          <w:lang w:val="es-ES_tradnl"/>
        </w:rPr>
      </w:pPr>
      <w:r w:rsidRPr="001E4B4C">
        <w:rPr>
          <w:rFonts w:eastAsia="Calibri"/>
          <w:color w:val="000000" w:themeColor="text1"/>
          <w:sz w:val="20"/>
          <w:szCs w:val="20"/>
          <w:lang w:val="es-ES_tradnl"/>
        </w:rPr>
        <w:t xml:space="preserve">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r w:rsidR="00F6273C">
        <w:rPr>
          <w:rFonts w:eastAsia="Calibri"/>
          <w:color w:val="000000" w:themeColor="text1"/>
          <w:sz w:val="20"/>
          <w:szCs w:val="20"/>
          <w:lang w:val="es-ES_tradnl"/>
        </w:rPr>
        <w:t xml:space="preserve">[…] </w:t>
      </w:r>
      <w:r w:rsidR="00411C51">
        <w:rPr>
          <w:rFonts w:eastAsia="Calibri"/>
          <w:color w:val="000000" w:themeColor="text1"/>
          <w:sz w:val="20"/>
          <w:szCs w:val="20"/>
          <w:lang w:val="es-ES_tradnl"/>
        </w:rPr>
        <w:t>[E]n</w:t>
      </w:r>
      <w:r w:rsidRPr="00411C51" w:rsidR="00411C51">
        <w:rPr>
          <w:rFonts w:eastAsia="Calibri"/>
          <w:color w:val="000000" w:themeColor="text1"/>
          <w:sz w:val="20"/>
          <w:szCs w:val="20"/>
          <w:lang w:val="es-ES_tradnl"/>
        </w:rPr>
        <w:t xml:space="preserve">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w:t>
      </w:r>
    </w:p>
    <w:p w:rsidR="00411C51" w:rsidP="00395ACC" w:rsidRDefault="00411C51" w14:paraId="79E12D6E" w14:textId="77777777">
      <w:pPr>
        <w:spacing w:line="276" w:lineRule="auto"/>
        <w:jc w:val="both"/>
        <w:rPr>
          <w:rFonts w:eastAsia="Calibri"/>
          <w:color w:val="000000" w:themeColor="text1"/>
          <w:sz w:val="20"/>
          <w:szCs w:val="20"/>
          <w:lang w:val="es-ES_tradnl"/>
        </w:rPr>
      </w:pPr>
    </w:p>
    <w:p w:rsidR="00586E3C" w:rsidP="001E4B4C" w:rsidRDefault="00BB3352" w14:paraId="4531B640" w14:textId="28E753ED">
      <w:pPr>
        <w:widowControl/>
        <w:autoSpaceDE/>
        <w:autoSpaceDN/>
        <w:spacing w:after="160" w:line="259" w:lineRule="auto"/>
        <w:jc w:val="both"/>
        <w:rPr>
          <w:rFonts w:eastAsia="Calibri"/>
          <w:b/>
          <w:bCs/>
          <w:color w:val="000000" w:themeColor="text1"/>
          <w:lang w:val="es-ES_tradnl"/>
        </w:rPr>
      </w:pPr>
      <w:bookmarkStart w:name="_Hlk81428782" w:id="1"/>
      <w:r>
        <w:rPr>
          <w:rFonts w:eastAsia="Calibri"/>
          <w:b/>
          <w:bCs/>
          <w:color w:val="000000" w:themeColor="text1"/>
          <w:lang w:val="es-ES_tradnl"/>
        </w:rPr>
        <w:t>C</w:t>
      </w:r>
      <w:r w:rsidRPr="004E085D">
        <w:rPr>
          <w:rFonts w:eastAsia="Calibri"/>
          <w:b/>
          <w:bCs/>
          <w:color w:val="000000" w:themeColor="text1"/>
          <w:lang w:val="es-ES_tradnl"/>
        </w:rPr>
        <w:t>ONTRATO DE OBRA PÚBLICA</w:t>
      </w:r>
      <w:r>
        <w:rPr>
          <w:rFonts w:eastAsia="Calibri"/>
          <w:b/>
          <w:bCs/>
          <w:color w:val="000000" w:themeColor="text1"/>
          <w:lang w:val="es-ES_tradnl"/>
        </w:rPr>
        <w:t xml:space="preserve"> </w:t>
      </w:r>
      <w:bookmarkEnd w:id="1"/>
      <w:r w:rsidR="00586E3C">
        <w:rPr>
          <w:rFonts w:eastAsia="Calibri"/>
          <w:b/>
          <w:bCs/>
          <w:color w:val="000000" w:themeColor="text1"/>
          <w:lang w:val="es-ES_tradnl"/>
        </w:rPr>
        <w:t>–</w:t>
      </w:r>
      <w:r>
        <w:rPr>
          <w:rFonts w:eastAsia="Calibri"/>
          <w:b/>
          <w:bCs/>
          <w:color w:val="000000" w:themeColor="text1"/>
          <w:lang w:val="es-ES_tradnl"/>
        </w:rPr>
        <w:t xml:space="preserve"> </w:t>
      </w:r>
      <w:r w:rsidR="00FD341B">
        <w:rPr>
          <w:rFonts w:eastAsia="Calibri"/>
          <w:b/>
          <w:bCs/>
          <w:color w:val="000000" w:themeColor="text1"/>
          <w:lang w:val="es-ES_tradnl"/>
        </w:rPr>
        <w:t xml:space="preserve">Definición </w:t>
      </w:r>
      <w:r w:rsidR="00314515">
        <w:rPr>
          <w:rFonts w:eastAsia="Calibri"/>
          <w:b/>
          <w:bCs/>
          <w:color w:val="000000" w:themeColor="text1"/>
          <w:lang w:val="es-ES_tradnl"/>
        </w:rPr>
        <w:t>–</w:t>
      </w:r>
      <w:r w:rsidR="00586E3C">
        <w:rPr>
          <w:rFonts w:eastAsia="Calibri"/>
          <w:b/>
          <w:bCs/>
          <w:color w:val="000000" w:themeColor="text1"/>
          <w:lang w:val="es-ES_tradnl"/>
        </w:rPr>
        <w:t xml:space="preserve"> Bienes inmuebles </w:t>
      </w:r>
    </w:p>
    <w:p w:rsidRPr="001E4B4C" w:rsidR="00586E3C" w:rsidP="00586E3C" w:rsidRDefault="00586E3C" w14:paraId="35B8DF7C" w14:textId="77777777">
      <w:pPr>
        <w:widowControl/>
        <w:autoSpaceDE/>
        <w:autoSpaceDN/>
        <w:spacing w:after="160" w:line="259" w:lineRule="auto"/>
        <w:jc w:val="both"/>
        <w:rPr>
          <w:rFonts w:eastAsia="Calibri"/>
          <w:color w:val="000000" w:themeColor="text1"/>
          <w:sz w:val="20"/>
          <w:szCs w:val="20"/>
          <w:lang w:val="es-ES_tradnl"/>
        </w:rPr>
      </w:pPr>
      <w:r w:rsidRPr="001E4B4C">
        <w:rPr>
          <w:rFonts w:eastAsia="Calibri"/>
          <w:color w:val="000000" w:themeColor="text1"/>
          <w:sz w:val="20"/>
          <w:szCs w:val="20"/>
          <w:lang w:val="es-ES_tradnl"/>
        </w:rPr>
        <w:t xml:space="preserve">El numeral 1 del artículo 32 de la Ley 80 de 1993 opta por un </w:t>
      </w:r>
      <w:r w:rsidRPr="001E4B4C">
        <w:rPr>
          <w:rFonts w:eastAsia="Calibri"/>
          <w:i/>
          <w:iCs/>
          <w:color w:val="000000" w:themeColor="text1"/>
          <w:sz w:val="20"/>
          <w:szCs w:val="20"/>
          <w:lang w:val="es-ES_tradnl"/>
        </w:rPr>
        <w:t>sentido restringido</w:t>
      </w:r>
      <w:r w:rsidRPr="001E4B4C">
        <w:rPr>
          <w:rFonts w:eastAsia="Calibri"/>
          <w:color w:val="000000" w:themeColor="text1"/>
          <w:sz w:val="20"/>
          <w:szCs w:val="20"/>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rsidR="00586E3C" w:rsidP="00586E3C" w:rsidRDefault="00586E3C" w14:paraId="6CAC5F4B" w14:textId="7E767E16">
      <w:pPr>
        <w:widowControl/>
        <w:autoSpaceDE/>
        <w:autoSpaceDN/>
        <w:spacing w:after="160" w:line="259" w:lineRule="auto"/>
        <w:jc w:val="both"/>
        <w:rPr>
          <w:rFonts w:eastAsia="Calibri"/>
          <w:b/>
          <w:bCs/>
          <w:color w:val="000000" w:themeColor="text1"/>
          <w:lang w:val="es-ES_tradnl"/>
        </w:rPr>
      </w:pPr>
      <w:r>
        <w:rPr>
          <w:rFonts w:eastAsia="Calibri"/>
          <w:b/>
          <w:bCs/>
          <w:color w:val="000000" w:themeColor="text1"/>
          <w:lang w:val="es-ES_tradnl"/>
        </w:rPr>
        <w:t>C</w:t>
      </w:r>
      <w:r w:rsidRPr="004E085D">
        <w:rPr>
          <w:rFonts w:eastAsia="Calibri"/>
          <w:b/>
          <w:bCs/>
          <w:color w:val="000000" w:themeColor="text1"/>
          <w:lang w:val="es-ES_tradnl"/>
        </w:rPr>
        <w:t>ONTRATO DE OBRA PÚBLICA</w:t>
      </w:r>
      <w:r>
        <w:rPr>
          <w:rFonts w:eastAsia="Calibri"/>
          <w:b/>
          <w:bCs/>
          <w:color w:val="000000" w:themeColor="text1"/>
          <w:lang w:val="es-ES_tradnl"/>
        </w:rPr>
        <w:t xml:space="preserve"> – </w:t>
      </w:r>
      <w:r w:rsidR="005D6BD8">
        <w:rPr>
          <w:rFonts w:eastAsia="Calibri"/>
          <w:b/>
          <w:bCs/>
          <w:color w:val="000000" w:themeColor="text1"/>
          <w:lang w:val="es-ES_tradnl"/>
        </w:rPr>
        <w:t>Tipos de i</w:t>
      </w:r>
      <w:r>
        <w:rPr>
          <w:rFonts w:eastAsia="Calibri"/>
          <w:b/>
          <w:bCs/>
          <w:color w:val="000000" w:themeColor="text1"/>
          <w:lang w:val="es-ES_tradnl"/>
        </w:rPr>
        <w:t xml:space="preserve">nmuebles – </w:t>
      </w:r>
      <w:r w:rsidR="005D6BD8">
        <w:rPr>
          <w:rFonts w:eastAsia="Calibri"/>
          <w:b/>
          <w:bCs/>
          <w:color w:val="000000" w:themeColor="text1"/>
          <w:lang w:val="es-ES_tradnl"/>
        </w:rPr>
        <w:t>Por a</w:t>
      </w:r>
      <w:r>
        <w:rPr>
          <w:rFonts w:eastAsia="Calibri"/>
          <w:b/>
          <w:bCs/>
          <w:color w:val="000000" w:themeColor="text1"/>
          <w:lang w:val="es-ES_tradnl"/>
        </w:rPr>
        <w:t xml:space="preserve">dhesión – </w:t>
      </w:r>
      <w:r w:rsidR="005D6BD8">
        <w:rPr>
          <w:rFonts w:eastAsia="Calibri"/>
          <w:b/>
          <w:bCs/>
          <w:color w:val="000000" w:themeColor="text1"/>
          <w:lang w:val="es-ES_tradnl"/>
        </w:rPr>
        <w:t>Por d</w:t>
      </w:r>
      <w:r>
        <w:rPr>
          <w:rFonts w:eastAsia="Calibri"/>
          <w:b/>
          <w:bCs/>
          <w:color w:val="000000" w:themeColor="text1"/>
          <w:lang w:val="es-ES_tradnl"/>
        </w:rPr>
        <w:t xml:space="preserve">estinación </w:t>
      </w:r>
    </w:p>
    <w:p w:rsidR="0003788A" w:rsidP="005D6BD8" w:rsidRDefault="00586E3C" w14:paraId="320EA971" w14:textId="4C0496CE">
      <w:pPr>
        <w:widowControl/>
        <w:autoSpaceDE/>
        <w:autoSpaceDN/>
        <w:spacing w:after="160" w:line="259" w:lineRule="auto"/>
        <w:jc w:val="both"/>
        <w:rPr>
          <w:rFonts w:eastAsia="Calibri"/>
          <w:color w:val="000000" w:themeColor="text1"/>
          <w:sz w:val="20"/>
          <w:szCs w:val="20"/>
          <w:lang w:val="es-ES_tradnl"/>
        </w:rPr>
      </w:pPr>
      <w:r w:rsidRPr="001E4B4C">
        <w:rPr>
          <w:rFonts w:eastAsia="Calibri"/>
          <w:color w:val="000000" w:themeColor="text1"/>
          <w:sz w:val="20"/>
          <w:szCs w:val="20"/>
          <w:lang w:val="es-ES_tradnl"/>
        </w:rPr>
        <w:t xml:space="preserve">[E]l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inmuebles por adhesión y la doctrina los caracteriza como «[…] bienes muebles por naturaleza, adheridos permanente y materialmente a un inmueble, incorporados por el propietario o por una persona distinta de él, que por una ficción jurídica del legislador se transforman en bienes inmuebles». […] Por otra parte, el artículo 658 del Código Civil crea la categoría de </w:t>
      </w:r>
      <w:r w:rsidRPr="001E4B4C">
        <w:rPr>
          <w:rFonts w:eastAsia="Calibri"/>
          <w:i/>
          <w:iCs/>
          <w:color w:val="000000" w:themeColor="text1"/>
          <w:sz w:val="20"/>
          <w:szCs w:val="20"/>
          <w:lang w:val="es-ES_tradnl"/>
        </w:rPr>
        <w:t>inmuebles por destinación</w:t>
      </w:r>
      <w:r w:rsidRPr="001E4B4C">
        <w:rPr>
          <w:rFonts w:eastAsia="Calibri"/>
          <w:color w:val="000000" w:themeColor="text1"/>
          <w:sz w:val="20"/>
          <w:szCs w:val="20"/>
          <w:lang w:val="es-ES_tradnl"/>
        </w:rPr>
        <w:t>, disponiendo que «Se reputan inmuebles, aunque por su naturaleza no lo sean, las cosas que están permanentemente destinadas al uso, cultivo y beneficio de un inmueble, sin embargo de que puedan separarse sin detrimento».</w:t>
      </w:r>
      <w:r w:rsidRPr="001E4B4C">
        <w:rPr>
          <w:sz w:val="20"/>
          <w:szCs w:val="20"/>
        </w:rPr>
        <w:t xml:space="preserve"> […] </w:t>
      </w:r>
      <w:r w:rsidRPr="001E4B4C">
        <w:rPr>
          <w:rFonts w:eastAsia="Calibri"/>
          <w:color w:val="000000" w:themeColor="text1"/>
          <w:sz w:val="20"/>
          <w:szCs w:val="20"/>
          <w:lang w:val="es-ES_tradnl"/>
        </w:rPr>
        <w:t xml:space="preserve">Así las cosas, para que clasifiquen dentro de esta categoría se requiere que los muebles sirvan para prestar un servicio útil al inmueble por naturaleza, que el servicio sea permanente, además de que ambos sean </w:t>
      </w:r>
      <w:r w:rsidRPr="001E4B4C">
        <w:rPr>
          <w:rFonts w:eastAsia="Calibri"/>
          <w:color w:val="000000" w:themeColor="text1"/>
          <w:sz w:val="20"/>
          <w:szCs w:val="20"/>
          <w:lang w:val="es-ES_tradnl"/>
        </w:rPr>
        <w:lastRenderedPageBreak/>
        <w:t xml:space="preserve">del mismo propietario. En esta medida: «Por excepción al criterio extraído de la naturaleza física de las cosas, los redactores del Código Civil han considerado como inmuebles las cosas trasladables: las clasifican entre los inmuebles en razón de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  </w:t>
      </w:r>
      <w:r w:rsidRPr="005D6BD8" w:rsidR="005D6BD8">
        <w:rPr>
          <w:rFonts w:eastAsia="Calibri"/>
          <w:color w:val="000000" w:themeColor="text1"/>
          <w:sz w:val="20"/>
          <w:szCs w:val="20"/>
          <w:lang w:val="es-ES_tradnl"/>
        </w:rPr>
        <w:t>términos del Estatuto General de Contratación de la Administración Pública.</w:t>
      </w:r>
      <w:r w:rsidR="00247B22">
        <w:rPr>
          <w:rFonts w:eastAsia="Calibri"/>
          <w:color w:val="000000" w:themeColor="text1"/>
          <w:sz w:val="20"/>
          <w:szCs w:val="20"/>
          <w:lang w:val="es-ES_tradnl"/>
        </w:rPr>
        <w:t xml:space="preserve"> […] </w:t>
      </w:r>
      <w:r w:rsidRPr="005D6BD8" w:rsidR="005D6BD8">
        <w:rPr>
          <w:rFonts w:eastAsia="Calibri"/>
          <w:color w:val="000000" w:themeColor="text1"/>
          <w:sz w:val="20"/>
          <w:szCs w:val="20"/>
          <w:lang w:val="es-ES_tradnl"/>
        </w:rPr>
        <w:t>En ese sentido, la naturaleza inmueble del bien sobre el que se realizan el mantenimiento es determinante para saber si está ante un contrato de obra pública, ya que de este tipo contractual se encuentran excluidos trabajos materiales realizados sobre bienes muebles, por lo que estos corresponderían a un tipo contractual diferente</w:t>
      </w:r>
      <w:r w:rsidR="00E972DA">
        <w:rPr>
          <w:rFonts w:eastAsia="Calibri"/>
          <w:color w:val="000000" w:themeColor="text1"/>
          <w:sz w:val="20"/>
          <w:szCs w:val="20"/>
          <w:lang w:val="es-ES_tradnl"/>
        </w:rPr>
        <w:t>.</w:t>
      </w:r>
    </w:p>
    <w:p w:rsidR="0003788A" w:rsidP="0003788A" w:rsidRDefault="0003788A" w14:paraId="3840A2F5" w14:textId="296B8F6B">
      <w:pPr>
        <w:pStyle w:val="Textoindependiente"/>
        <w:spacing w:before="5" w:line="276" w:lineRule="auto"/>
        <w:jc w:val="both"/>
        <w:rPr>
          <w:b/>
        </w:rPr>
      </w:pPr>
      <w:r w:rsidRPr="003B2A0A">
        <w:rPr>
          <w:b/>
        </w:rPr>
        <w:t>CONTRATO DE PRESTACIÓN DE SERVICIOS</w:t>
      </w:r>
      <w:r>
        <w:rPr>
          <w:b/>
        </w:rPr>
        <w:t xml:space="preserve"> – Definición </w:t>
      </w:r>
      <w:r>
        <w:rPr>
          <w:b/>
        </w:rPr>
        <w:softHyphen/>
        <w:t xml:space="preserve"> </w:t>
      </w:r>
    </w:p>
    <w:p w:rsidRPr="001E4B4C" w:rsidR="00E972DA" w:rsidP="001E4B4C" w:rsidRDefault="00E972DA" w14:paraId="1E69D198" w14:textId="77777777">
      <w:pPr>
        <w:pStyle w:val="Textoindependiente"/>
        <w:spacing w:before="5" w:line="276" w:lineRule="auto"/>
        <w:jc w:val="both"/>
        <w:rPr>
          <w:b/>
        </w:rPr>
      </w:pPr>
    </w:p>
    <w:p w:rsidRPr="001E4B4C" w:rsidR="0003788A" w:rsidP="001E4B4C" w:rsidRDefault="0003788A" w14:paraId="295A9AA1" w14:textId="215C4954">
      <w:pPr>
        <w:spacing w:after="120" w:line="276" w:lineRule="auto"/>
        <w:jc w:val="both"/>
        <w:rPr>
          <w:rFonts w:eastAsia="Calibri"/>
          <w:color w:val="000000" w:themeColor="text1"/>
          <w:sz w:val="20"/>
          <w:szCs w:val="20"/>
          <w:lang w:val="es-ES_tradnl"/>
        </w:rPr>
      </w:pPr>
      <w:r w:rsidRPr="001E4B4C">
        <w:rPr>
          <w:rFonts w:eastAsia="Calibri"/>
          <w:color w:val="000000" w:themeColor="text1"/>
          <w:sz w:val="20"/>
          <w:szCs w:val="20"/>
          <w:lang w:val="es-ES_tradnl"/>
        </w:rPr>
        <w:t xml:space="preserve">El artículo 32.3 de la Ley 80 de 1993 dispuso que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rsidR="0003788A" w:rsidP="0003788A" w:rsidRDefault="0003788A" w14:paraId="122D7D4F" w14:textId="77777777">
      <w:pPr>
        <w:pStyle w:val="Textoindependiente"/>
        <w:spacing w:before="5" w:line="276" w:lineRule="auto"/>
        <w:jc w:val="both"/>
        <w:rPr>
          <w:b/>
        </w:rPr>
      </w:pPr>
    </w:p>
    <w:p w:rsidR="0003788A" w:rsidP="0003788A" w:rsidRDefault="0003788A" w14:paraId="12387679" w14:textId="63644BFF">
      <w:pPr>
        <w:pStyle w:val="Textoindependiente"/>
        <w:spacing w:before="5" w:line="276" w:lineRule="auto"/>
        <w:jc w:val="both"/>
        <w:rPr>
          <w:b/>
        </w:rPr>
      </w:pPr>
      <w:r w:rsidRPr="003B2A0A">
        <w:rPr>
          <w:b/>
        </w:rPr>
        <w:t>CONTRATO DE PRESTACIÓN DE SERVICIOS</w:t>
      </w:r>
      <w:r>
        <w:rPr>
          <w:b/>
        </w:rPr>
        <w:t xml:space="preserve"> – Modalidades </w:t>
      </w:r>
    </w:p>
    <w:p w:rsidRPr="001E4B4C" w:rsidR="0063301F" w:rsidP="001E4B4C" w:rsidRDefault="0063301F" w14:paraId="6AF68C10" w14:textId="77777777">
      <w:pPr>
        <w:jc w:val="both"/>
        <w:rPr>
          <w:bCs/>
          <w:color w:val="000000" w:themeColor="text1"/>
          <w:sz w:val="20"/>
          <w:szCs w:val="20"/>
        </w:rPr>
      </w:pPr>
    </w:p>
    <w:p w:rsidR="0003788A" w:rsidP="0003788A" w:rsidRDefault="0003788A" w14:paraId="398CA46A" w14:textId="6AAC3B35">
      <w:pPr>
        <w:widowControl/>
        <w:autoSpaceDE/>
        <w:autoSpaceDN/>
        <w:spacing w:after="160" w:line="259" w:lineRule="auto"/>
        <w:jc w:val="both"/>
        <w:rPr>
          <w:bCs/>
          <w:color w:val="000000" w:themeColor="text1"/>
          <w:sz w:val="20"/>
          <w:szCs w:val="20"/>
        </w:rPr>
      </w:pPr>
      <w:r>
        <w:rPr>
          <w:bCs/>
          <w:color w:val="000000" w:themeColor="text1"/>
          <w:sz w:val="20"/>
          <w:szCs w:val="20"/>
        </w:rPr>
        <w:t>[P]</w:t>
      </w:r>
      <w:r w:rsidRPr="001E4B4C">
        <w:rPr>
          <w:bCs/>
          <w:color w:val="000000" w:themeColor="text1"/>
          <w:sz w:val="20"/>
          <w:szCs w:val="20"/>
        </w:rPr>
        <w:t>ueden identificarse tres modalidades de contratos de prestación de servicios: a) Contratos de servicios profesionales: Son aquellos cuyo objeto requiere el desarrollo de actividades con conocimientos especializados para satisfacer necesidades de las entidades relativas a su gestión administrativa o de funcionamiento. Así «[…] los técnicos profesionales, los tecnólogos y los profesionales para efectos de la contratación de servicios profesionales, son considerados como profesionales a luz de la normatividad vigente que rige la materia». Por consiguiente, las actividades objeto de esta modalidad de contrato demandan la aprehensión de competencias y habilidades propias de la formación profesional o especializada de una persona natural o jurídica, o de un saber o despliegue intelectivo calificado</w:t>
      </w:r>
      <w:r>
        <w:rPr>
          <w:bCs/>
          <w:color w:val="000000" w:themeColor="text1"/>
          <w:sz w:val="20"/>
          <w:szCs w:val="20"/>
        </w:rPr>
        <w:t xml:space="preserve">. </w:t>
      </w:r>
      <w:r w:rsidRPr="001E4B4C">
        <w:rPr>
          <w:bCs/>
          <w:color w:val="000000" w:themeColor="text1"/>
          <w:sz w:val="20"/>
          <w:szCs w:val="20"/>
        </w:rPr>
        <w:t>b) Contratos de apoyo a la gestión: Se trata de los contratos cuya ejecución implica la realización de actividades operativas, logísticas y asistenciales, vinculadas a la realización de las tareas propias de la entidad. Se caracterizan por corresponder a actividades dominantemente materiales y no calificadas, que pueden recaer sobre asunto de naturaleza técnica, por ende, no profesionales.</w:t>
      </w:r>
      <w:r w:rsidR="000E4F28">
        <w:rPr>
          <w:bCs/>
          <w:color w:val="000000" w:themeColor="text1"/>
          <w:sz w:val="20"/>
          <w:szCs w:val="20"/>
        </w:rPr>
        <w:t xml:space="preserve"> </w:t>
      </w:r>
      <w:r w:rsidRPr="001E4B4C">
        <w:rPr>
          <w:bCs/>
          <w:color w:val="000000" w:themeColor="text1"/>
          <w:sz w:val="20"/>
          <w:szCs w:val="20"/>
        </w:rPr>
        <w:t>c) Contratos para la realización de trabajos artísticos: Corresponden a aquellas actividades que deben ser encomendados a una determinada persona natural que, por sus características, dotes, capacidades, creatividad, talento y aptitudes resultan ser únicas o especiales en el arte que manejan y cuyo producto será una obra o pieza de arte o artística.</w:t>
      </w:r>
    </w:p>
    <w:p w:rsidR="00314515" w:rsidP="0003788A" w:rsidRDefault="00314515" w14:paraId="6D30C09F" w14:textId="77777777">
      <w:pPr>
        <w:pStyle w:val="Textoindependiente"/>
        <w:spacing w:before="5" w:line="276" w:lineRule="auto"/>
        <w:jc w:val="both"/>
        <w:rPr>
          <w:b/>
        </w:rPr>
      </w:pPr>
    </w:p>
    <w:p w:rsidR="0003788A" w:rsidP="0003788A" w:rsidRDefault="0003788A" w14:paraId="454F2B38" w14:textId="2D569221">
      <w:pPr>
        <w:pStyle w:val="Textoindependiente"/>
        <w:spacing w:before="5" w:line="276" w:lineRule="auto"/>
        <w:jc w:val="both"/>
        <w:rPr>
          <w:b/>
        </w:rPr>
      </w:pPr>
      <w:r w:rsidRPr="003B2A0A">
        <w:rPr>
          <w:b/>
        </w:rPr>
        <w:t>CONTRATO DE PRESTACIÓN DE SERVICIOS</w:t>
      </w:r>
      <w:r>
        <w:rPr>
          <w:b/>
        </w:rPr>
        <w:t xml:space="preserve"> – </w:t>
      </w:r>
      <w:r w:rsidR="00753425">
        <w:rPr>
          <w:b/>
        </w:rPr>
        <w:t>Criterio residual</w:t>
      </w:r>
    </w:p>
    <w:p w:rsidR="00314515" w:rsidP="001E4B4C" w:rsidRDefault="00314515" w14:paraId="352D7E64" w14:textId="77777777">
      <w:pPr>
        <w:pStyle w:val="Textoindependiente"/>
        <w:spacing w:before="5" w:line="276" w:lineRule="auto"/>
        <w:jc w:val="both"/>
        <w:rPr>
          <w:b/>
        </w:rPr>
      </w:pPr>
    </w:p>
    <w:p w:rsidRPr="006A7A57" w:rsidR="00553808" w:rsidP="0003788A" w:rsidRDefault="0003788A" w14:paraId="3D606109" w14:textId="51805DA8">
      <w:pPr>
        <w:widowControl/>
        <w:autoSpaceDE/>
        <w:autoSpaceDN/>
        <w:spacing w:after="160" w:line="259" w:lineRule="auto"/>
        <w:jc w:val="both"/>
      </w:pPr>
      <w:r w:rsidRPr="001E4B4C">
        <w:rPr>
          <w:sz w:val="20"/>
          <w:szCs w:val="20"/>
        </w:rPr>
        <w:t xml:space="preserve">[R]especto al contrato de prestación de servicios, también es importante tener en cuenta que las prestaciones no pueden corresponder a aquellas que se ejecutan a través de los demás contratos previstos en el Estatuto General de Contratación de la Administración. Por ello, la doctrina explica que «[…] las materias que pueden integrar el objeto del contrato de prestación de servicios rige un criterio </w:t>
      </w:r>
      <w:r w:rsidRPr="001E4B4C">
        <w:rPr>
          <w:sz w:val="20"/>
          <w:szCs w:val="20"/>
        </w:rPr>
        <w:lastRenderedPageBreak/>
        <w:t>residual o supletivo, en virtud del cual únicamente puede contratarse bajo esta modalidad lo que no ingrese dentro de la tipología de otros contratos estatales […]». Así, por ejemplo, si la labor que se pretende contratar está relacionada con las actividades de los numerales 1 y 2 del artículo 32 del Estatuto General, la entidad debe suscribir el contrato de obra o de prestación de servicios, según corresponda</w:t>
      </w:r>
      <w:r w:rsidRPr="001E4B4C" w:rsidR="00753425">
        <w:rPr>
          <w:sz w:val="20"/>
          <w:szCs w:val="20"/>
        </w:rPr>
        <w:t>.</w:t>
      </w:r>
    </w:p>
    <w:p w:rsidRPr="006A7A57" w:rsidR="00553808" w:rsidP="0003788A" w:rsidRDefault="00375ECA" w14:paraId="416B1B79" w14:textId="4CF41BFE">
      <w:pPr>
        <w:widowControl/>
        <w:autoSpaceDE/>
        <w:autoSpaceDN/>
        <w:spacing w:after="160" w:line="259" w:lineRule="auto"/>
        <w:jc w:val="both"/>
        <w:rPr>
          <w:b/>
          <w:bCs/>
        </w:rPr>
      </w:pPr>
      <w:r w:rsidRPr="006A7A57">
        <w:rPr>
          <w:b/>
          <w:bCs/>
        </w:rPr>
        <w:t xml:space="preserve">CONTRATO ESTATAL – Tipificación </w:t>
      </w:r>
    </w:p>
    <w:p w:rsidR="00553808" w:rsidP="0003788A" w:rsidRDefault="00553808" w14:paraId="597BDAAA" w14:textId="77777777">
      <w:pPr>
        <w:widowControl/>
        <w:autoSpaceDE/>
        <w:autoSpaceDN/>
        <w:spacing w:after="160" w:line="259" w:lineRule="auto"/>
        <w:jc w:val="both"/>
        <w:rPr>
          <w:rFonts w:eastAsia="Calibri"/>
          <w:color w:val="000000" w:themeColor="text1"/>
          <w:lang w:val="es-ES_tradnl"/>
        </w:rPr>
      </w:pPr>
      <w:r w:rsidRPr="001E4B4C">
        <w:rPr>
          <w:rFonts w:eastAsia="Calibri"/>
          <w:color w:val="000000" w:themeColor="text1"/>
          <w:sz w:val="20"/>
          <w:szCs w:val="20"/>
          <w:lang w:val="es-ES_tradnl"/>
        </w:rPr>
        <w:t xml:space="preserve">[E]s la entidad estatal, después de analizar detalladamente el objeto, y previa justificación de su régimen jurídico, quien debe definir en que tipo contractual se encuadra la actividad a contratar, para lo cual resultan relevantes las consideraciones aquí esbozadas. En ese sentido, determinar el régimen contractual de las actividades de mantenimiento señaladas en el caso concreto objeto de consulta, es un asunto que compete a la correspondiente entidad, labor que además tampoco resulta posible en una valoración </w:t>
      </w:r>
      <w:r w:rsidRPr="001E4B4C">
        <w:rPr>
          <w:rFonts w:eastAsia="Calibri"/>
          <w:i/>
          <w:iCs/>
          <w:color w:val="000000" w:themeColor="text1"/>
          <w:sz w:val="20"/>
          <w:szCs w:val="20"/>
          <w:lang w:val="es-ES_tradnl"/>
        </w:rPr>
        <w:t xml:space="preserve">ex ante </w:t>
      </w:r>
      <w:r w:rsidRPr="001E4B4C">
        <w:rPr>
          <w:rFonts w:eastAsia="Calibri"/>
          <w:color w:val="000000" w:themeColor="text1"/>
          <w:sz w:val="20"/>
          <w:szCs w:val="20"/>
          <w:lang w:val="es-ES_tradnl"/>
        </w:rPr>
        <w:t>realizada en el marco del ejercicio de la función consultiva, sin conocer las particularidades técnicas del objeto contractual</w:t>
      </w:r>
      <w:r w:rsidRPr="00430D26">
        <w:rPr>
          <w:rFonts w:eastAsia="Calibri"/>
          <w:color w:val="000000" w:themeColor="text1"/>
          <w:lang w:val="es-ES_tradnl"/>
        </w:rPr>
        <w:t>.</w:t>
      </w:r>
    </w:p>
    <w:p w:rsidR="00553808" w:rsidP="0003788A" w:rsidRDefault="00553808" w14:paraId="6959CE5D" w14:textId="33B1500C">
      <w:pPr>
        <w:widowControl/>
        <w:autoSpaceDE/>
        <w:autoSpaceDN/>
        <w:spacing w:after="160" w:line="259" w:lineRule="auto"/>
        <w:jc w:val="both"/>
        <w:rPr>
          <w:b/>
        </w:rPr>
      </w:pPr>
      <w:r w:rsidRPr="001E4B4C">
        <w:rPr>
          <w:rFonts w:eastAsia="Calibri"/>
          <w:b/>
          <w:bCs/>
          <w:color w:val="000000" w:themeColor="text1"/>
          <w:lang w:val="es-ES_tradnl"/>
        </w:rPr>
        <w:t>CONTRATOS ESTATALES MIXT</w:t>
      </w:r>
      <w:r w:rsidR="00C44492">
        <w:rPr>
          <w:rFonts w:eastAsia="Calibri"/>
          <w:b/>
          <w:bCs/>
          <w:color w:val="000000" w:themeColor="text1"/>
          <w:lang w:val="es-ES_tradnl"/>
        </w:rPr>
        <w:t>O</w:t>
      </w:r>
      <w:r w:rsidRPr="001E4B4C">
        <w:rPr>
          <w:rFonts w:eastAsia="Calibri"/>
          <w:b/>
          <w:bCs/>
          <w:color w:val="000000" w:themeColor="text1"/>
          <w:lang w:val="es-ES_tradnl"/>
        </w:rPr>
        <w:t xml:space="preserve">S </w:t>
      </w:r>
      <w:r>
        <w:rPr>
          <w:b/>
        </w:rPr>
        <w:t xml:space="preserve">– Régimen </w:t>
      </w:r>
      <w:r w:rsidR="00C44492">
        <w:rPr>
          <w:b/>
        </w:rPr>
        <w:t>contractual</w:t>
      </w:r>
      <w:r w:rsidR="007A65E1">
        <w:rPr>
          <w:b/>
        </w:rPr>
        <w:t xml:space="preserve"> – Uniones de contratos – Diferencias</w:t>
      </w:r>
    </w:p>
    <w:p w:rsidR="00AA23FD" w:rsidP="0003788A" w:rsidRDefault="00C01D39" w14:paraId="2004AD44" w14:textId="6E77C678">
      <w:pPr>
        <w:widowControl/>
        <w:autoSpaceDE/>
        <w:autoSpaceDN/>
        <w:spacing w:after="160" w:line="259" w:lineRule="auto"/>
        <w:jc w:val="both"/>
        <w:rPr>
          <w:rFonts w:eastAsia="Calibri"/>
          <w:color w:val="000000" w:themeColor="text1"/>
          <w:sz w:val="20"/>
          <w:szCs w:val="20"/>
          <w:lang w:val="es-ES_tradnl"/>
        </w:rPr>
      </w:pPr>
      <w:r w:rsidRPr="001E4B4C">
        <w:rPr>
          <w:rFonts w:eastAsia="Calibri"/>
          <w:color w:val="000000" w:themeColor="text1"/>
          <w:sz w:val="20"/>
          <w:szCs w:val="20"/>
          <w:lang w:val="es-ES_tradnl"/>
        </w:rPr>
        <w:t xml:space="preserve">Los ejemplos comunes de estos contratos son el diseño y construcción de obras, el suministro y la instalación de equipos, la compra de repuestos y la reparación de bienes, etc. En este contexto, es importante diferenciar los «contratos mixtos» de las «uniones de contratos». En el contrato mixto existe un solo acuerdo con elementos de diversos tipos de contrato, mientras que en las uniones de contrato cada uno de ellos mantiene su régimen y autonomía. Para esta distinción corresponde identificar la causa del contrato, es decir, el móvil para celebrarlo: si existe unidad causal corresponde a un «contrato mixto»; de lo contrario, es una «unión de contratos» </w:t>
      </w:r>
      <w:r w:rsidRPr="001E4B4C" w:rsidR="00553808">
        <w:rPr>
          <w:rFonts w:eastAsia="Calibri"/>
          <w:color w:val="000000" w:themeColor="text1"/>
          <w:sz w:val="20"/>
          <w:szCs w:val="20"/>
          <w:lang w:val="es-ES_tradnl"/>
        </w:rPr>
        <w:t xml:space="preserve">[L]as partes están facultadas para suscribir </w:t>
      </w:r>
      <w:r w:rsidRPr="001E4B4C" w:rsidR="00553808">
        <w:rPr>
          <w:rFonts w:eastAsia="Calibri"/>
          <w:i/>
          <w:iCs/>
          <w:color w:val="000000" w:themeColor="text1"/>
          <w:sz w:val="20"/>
          <w:szCs w:val="20"/>
          <w:lang w:val="es-ES_tradnl"/>
        </w:rPr>
        <w:t>contratos mixtos</w:t>
      </w:r>
      <w:r w:rsidRPr="001E4B4C" w:rsidR="00553808">
        <w:rPr>
          <w:rFonts w:eastAsia="Calibri"/>
          <w:color w:val="000000" w:themeColor="text1"/>
          <w:sz w:val="20"/>
          <w:szCs w:val="20"/>
          <w:lang w:val="es-ES_tradnl"/>
        </w:rPr>
        <w:t>. Como una forma de contratación atípica, estos se caracterizan por acumular prestaciones de varios contratos nominados para satisfacer una necesidad común, es decir, «Su finalidad económica es única y condensa el propósito perseguido por los contratantes. Las diversas prestaciones, aunque corresponden a diversos contratos típicos, se subordinan a esa finalidad e intención de las partes»</w:t>
      </w:r>
      <w:r w:rsidR="00AB00C9">
        <w:rPr>
          <w:rFonts w:eastAsia="Calibri"/>
          <w:color w:val="000000" w:themeColor="text1"/>
          <w:sz w:val="20"/>
          <w:szCs w:val="20"/>
          <w:lang w:val="es-ES_tradnl"/>
        </w:rPr>
        <w:t>.</w:t>
      </w:r>
    </w:p>
    <w:p w:rsidR="00AB00C9" w:rsidP="0003788A" w:rsidRDefault="00AA23FD" w14:paraId="24E0124D" w14:textId="6565619A">
      <w:pPr>
        <w:widowControl/>
        <w:autoSpaceDE/>
        <w:autoSpaceDN/>
        <w:spacing w:after="160" w:line="259" w:lineRule="auto"/>
        <w:jc w:val="both"/>
        <w:rPr>
          <w:rFonts w:eastAsia="Calibri"/>
          <w:color w:val="000000" w:themeColor="text1"/>
          <w:sz w:val="20"/>
          <w:szCs w:val="20"/>
          <w:lang w:val="es-ES_tradnl"/>
        </w:rPr>
      </w:pPr>
      <w:r w:rsidRPr="004E085D">
        <w:rPr>
          <w:rFonts w:eastAsia="Calibri"/>
          <w:b/>
          <w:bCs/>
          <w:color w:val="000000" w:themeColor="text1"/>
          <w:lang w:val="es-ES_tradnl"/>
        </w:rPr>
        <w:t>CONTRATOS ESTATALES MIXT</w:t>
      </w:r>
      <w:r>
        <w:rPr>
          <w:rFonts w:eastAsia="Calibri"/>
          <w:b/>
          <w:bCs/>
          <w:color w:val="000000" w:themeColor="text1"/>
          <w:lang w:val="es-ES_tradnl"/>
        </w:rPr>
        <w:t>O</w:t>
      </w:r>
      <w:r w:rsidRPr="004E085D">
        <w:rPr>
          <w:rFonts w:eastAsia="Calibri"/>
          <w:b/>
          <w:bCs/>
          <w:color w:val="000000" w:themeColor="text1"/>
          <w:lang w:val="es-ES_tradnl"/>
        </w:rPr>
        <w:t>S</w:t>
      </w:r>
      <w:r>
        <w:rPr>
          <w:rFonts w:eastAsia="Calibri"/>
          <w:b/>
          <w:bCs/>
          <w:color w:val="000000" w:themeColor="text1"/>
          <w:lang w:val="es-ES_tradnl"/>
        </w:rPr>
        <w:t xml:space="preserve"> – Método de absorción </w:t>
      </w:r>
    </w:p>
    <w:p w:rsidR="00AA23FD" w:rsidP="0003788A" w:rsidRDefault="00AB00C9" w14:paraId="22FD9747" w14:textId="77777777">
      <w:pPr>
        <w:widowControl/>
        <w:autoSpaceDE/>
        <w:autoSpaceDN/>
        <w:spacing w:after="160" w:line="259" w:lineRule="auto"/>
        <w:jc w:val="both"/>
        <w:rPr>
          <w:rFonts w:eastAsia="Calibri"/>
          <w:color w:val="000000" w:themeColor="text1"/>
        </w:rPr>
      </w:pPr>
      <w:r>
        <w:rPr>
          <w:rFonts w:eastAsia="Calibri"/>
          <w:color w:val="000000" w:themeColor="text1"/>
          <w:lang w:val="es-ES_tradnl"/>
        </w:rPr>
        <w:t>[L]</w:t>
      </w:r>
      <w:r w:rsidRPr="00430D26">
        <w:rPr>
          <w:rFonts w:eastAsia="Calibri"/>
          <w:color w:val="000000" w:themeColor="text1"/>
          <w:lang w:val="es-ES_tradnl"/>
        </w:rPr>
        <w:t>a Sala de Consulta y Servicio Civil del Consejo de Estado explica que e</w:t>
      </w:r>
      <w:r w:rsidRPr="00430D26">
        <w:rPr>
          <w:rFonts w:eastAsia="Calibri"/>
          <w:color w:val="000000" w:themeColor="text1"/>
        </w:rPr>
        <w:t xml:space="preserve">s posible la existencia de </w:t>
      </w:r>
      <w:r w:rsidRPr="004E085D">
        <w:rPr>
          <w:rFonts w:eastAsia="Calibri"/>
          <w:i/>
          <w:iCs/>
          <w:color w:val="000000" w:themeColor="text1"/>
        </w:rPr>
        <w:t>contratos mixtos</w:t>
      </w:r>
      <w:r w:rsidRPr="00430D26">
        <w:rPr>
          <w:rFonts w:eastAsia="Calibri"/>
          <w:color w:val="000000" w:themeColor="text1"/>
        </w:rPr>
        <w:t xml:space="preserve"> que contengan prestaciones correspondientes a varias tipologías contractuales. En estos casos, adhiriéndose al método de absorción para efectos de integrar el régimen jurídico aplicable, considera que «Ante la ausencia y vacío legislativo, para la Sala un criterio de interpretación que ayude a dilucidar esta situación será el de atender al carácter de la prestación principal. El objeto principal, a su vez, podría determinarse en función de cuál es la prestación que tenga el mayor de los valores estimados. Se trata de una regla general que debe centrase en definir el fin buscado por la administración en los términos del artículo 3° de la Ley 80 de 1993»</w:t>
      </w:r>
    </w:p>
    <w:p w:rsidR="00A1008D" w:rsidRDefault="00A1008D" w14:paraId="45544441" w14:textId="52E11697">
      <w:pPr>
        <w:widowControl/>
        <w:autoSpaceDE/>
        <w:autoSpaceDN/>
        <w:spacing w:after="160" w:line="259" w:lineRule="auto"/>
        <w:rPr>
          <w:rFonts w:eastAsia="Calibri"/>
          <w:color w:val="000000" w:themeColor="text1"/>
        </w:rPr>
      </w:pPr>
      <w:r>
        <w:rPr>
          <w:rFonts w:eastAsia="Calibri"/>
          <w:color w:val="000000" w:themeColor="text1"/>
        </w:rPr>
        <w:br w:type="page"/>
      </w:r>
    </w:p>
    <w:p w:rsidRPr="00430D26" w:rsidR="009B0569" w:rsidP="00A151CB" w:rsidRDefault="00A151CB" w14:paraId="0D005F5F" w14:textId="769E37E6">
      <w:pPr>
        <w:jc w:val="right"/>
        <w:rPr>
          <w:color w:val="000000" w:themeColor="text1"/>
        </w:rPr>
      </w:pPr>
      <w:r>
        <w:rPr>
          <w:noProof/>
        </w:rPr>
        <w:lastRenderedPageBreak/>
        <w:drawing>
          <wp:inline distT="0" distB="0" distL="0" distR="0" wp14:anchorId="2ED358E8" wp14:editId="7D069AEA">
            <wp:extent cx="2743200" cy="1200150"/>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8"/>
                    <a:stretch>
                      <a:fillRect/>
                    </a:stretch>
                  </pic:blipFill>
                  <pic:spPr>
                    <a:xfrm>
                      <a:off x="0" y="0"/>
                      <a:ext cx="2743200" cy="1200150"/>
                    </a:xfrm>
                    <a:prstGeom prst="rect">
                      <a:avLst/>
                    </a:prstGeom>
                  </pic:spPr>
                </pic:pic>
              </a:graphicData>
            </a:graphic>
          </wp:inline>
        </w:drawing>
      </w:r>
    </w:p>
    <w:p w:rsidR="0063301F" w:rsidP="009B0569" w:rsidRDefault="0063301F" w14:paraId="2FBE7151" w14:textId="2012FFC6">
      <w:pPr>
        <w:rPr>
          <w:color w:val="000000" w:themeColor="text1"/>
        </w:rPr>
      </w:pPr>
    </w:p>
    <w:p w:rsidRPr="00430D26" w:rsidR="00A151CB" w:rsidP="009B0569" w:rsidRDefault="00A151CB" w14:paraId="13EB11C5" w14:textId="77777777">
      <w:pPr>
        <w:rPr>
          <w:color w:val="000000" w:themeColor="text1"/>
        </w:rPr>
      </w:pPr>
    </w:p>
    <w:p w:rsidRPr="001E4B4C" w:rsidR="009B0569" w:rsidP="00A534BF" w:rsidRDefault="00A151CB" w14:paraId="09916BD9" w14:textId="34B90F06">
      <w:pPr>
        <w:spacing w:line="276" w:lineRule="auto"/>
        <w:jc w:val="both"/>
        <w:rPr>
          <w:bCs/>
        </w:rPr>
      </w:pPr>
      <w:r>
        <w:rPr>
          <w:noProof/>
        </w:rPr>
        <w:drawing>
          <wp:inline distT="0" distB="0" distL="0" distR="0" wp14:anchorId="3A821D4A" wp14:editId="2CAA7DFF">
            <wp:extent cx="1933575" cy="171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3575" cy="171450"/>
                    </a:xfrm>
                    <a:prstGeom prst="rect">
                      <a:avLst/>
                    </a:prstGeom>
                  </pic:spPr>
                </pic:pic>
              </a:graphicData>
            </a:graphic>
          </wp:inline>
        </w:drawing>
      </w:r>
    </w:p>
    <w:p w:rsidR="00C87B30" w:rsidP="001E4B4C" w:rsidRDefault="00C87B30" w14:paraId="0BB3134D" w14:textId="6F3D2EEC">
      <w:pPr>
        <w:rPr>
          <w:rFonts w:eastAsia="Calibri"/>
          <w:lang w:val="es-CO"/>
        </w:rPr>
      </w:pPr>
    </w:p>
    <w:p w:rsidRPr="00430D26" w:rsidR="00A151CB" w:rsidP="001E4B4C" w:rsidRDefault="00A151CB" w14:paraId="193E0DE8" w14:textId="77777777">
      <w:pPr>
        <w:rPr>
          <w:rFonts w:eastAsia="Calibri"/>
          <w:lang w:val="es-CO"/>
        </w:rPr>
      </w:pPr>
    </w:p>
    <w:p w:rsidRPr="00430D26" w:rsidR="00C87B30" w:rsidP="00A534BF" w:rsidRDefault="00444EE2" w14:paraId="6FF82AF7" w14:textId="4139473E">
      <w:pPr>
        <w:spacing w:line="276" w:lineRule="auto"/>
        <w:rPr>
          <w:rFonts w:eastAsia="Calibri"/>
          <w:lang w:val="es-CO"/>
        </w:rPr>
      </w:pPr>
      <w:r w:rsidRPr="00430D26">
        <w:rPr>
          <w:rFonts w:eastAsia="Calibri"/>
          <w:lang w:val="es-CO"/>
        </w:rPr>
        <w:t>Señora</w:t>
      </w:r>
    </w:p>
    <w:p w:rsidRPr="00430D26" w:rsidR="00444EE2" w:rsidP="00A534BF" w:rsidRDefault="00BE49EB" w14:paraId="4D6EE386" w14:textId="6F43EFAD">
      <w:pPr>
        <w:spacing w:line="276" w:lineRule="auto"/>
        <w:rPr>
          <w:rFonts w:eastAsia="Calibri"/>
          <w:b/>
          <w:bCs/>
          <w:lang w:val="es-CO"/>
        </w:rPr>
      </w:pPr>
      <w:r w:rsidRPr="00430D26">
        <w:rPr>
          <w:b/>
          <w:bCs/>
        </w:rPr>
        <w:t>Claudia Stella Valencia Ricaurte</w:t>
      </w:r>
    </w:p>
    <w:p w:rsidRPr="00430D26" w:rsidR="00444EE2" w:rsidP="00A534BF" w:rsidRDefault="00955771" w14:paraId="663909C5" w14:textId="3DABA3A3">
      <w:pPr>
        <w:spacing w:line="276" w:lineRule="auto"/>
        <w:rPr>
          <w:rFonts w:eastAsia="Calibri"/>
          <w:bCs/>
          <w:lang w:val="es-CO"/>
        </w:rPr>
      </w:pPr>
      <w:r w:rsidRPr="00430D26">
        <w:rPr>
          <w:rFonts w:eastAsia="Calibri"/>
          <w:bCs/>
          <w:lang w:val="es-CO"/>
        </w:rPr>
        <w:t>Santiago de C</w:t>
      </w:r>
      <w:r w:rsidRPr="00430D26" w:rsidR="00444EE2">
        <w:rPr>
          <w:rFonts w:eastAsia="Calibri"/>
          <w:bCs/>
          <w:lang w:val="es-CO"/>
        </w:rPr>
        <w:t>ali</w:t>
      </w:r>
      <w:r w:rsidRPr="00430D26" w:rsidR="00BE49EB">
        <w:rPr>
          <w:rFonts w:eastAsia="Calibri"/>
          <w:bCs/>
          <w:lang w:val="es-CO"/>
        </w:rPr>
        <w:t xml:space="preserve">, </w:t>
      </w:r>
      <w:r w:rsidRPr="00430D26" w:rsidR="00444EE2">
        <w:rPr>
          <w:rFonts w:eastAsia="Calibri"/>
          <w:bCs/>
          <w:lang w:val="es-CO"/>
        </w:rPr>
        <w:t>Valle</w:t>
      </w:r>
      <w:r w:rsidRPr="00430D26">
        <w:rPr>
          <w:rFonts w:eastAsia="Calibri"/>
          <w:bCs/>
          <w:lang w:val="es-CO"/>
        </w:rPr>
        <w:t xml:space="preserve"> del Cauca</w:t>
      </w:r>
    </w:p>
    <w:p w:rsidRPr="00430D26" w:rsidR="00B33112" w:rsidP="00B33112" w:rsidRDefault="00B33112" w14:paraId="1628E351" w14:textId="77777777">
      <w:pPr>
        <w:spacing w:line="276" w:lineRule="auto"/>
        <w:rPr>
          <w:rFonts w:eastAsia="Calibri"/>
          <w:lang w:val="es-CO"/>
        </w:rPr>
      </w:pPr>
    </w:p>
    <w:p w:rsidRPr="00430D26" w:rsidR="00B33112" w:rsidP="00B33112" w:rsidRDefault="00B33112" w14:paraId="39A55386" w14:textId="1F22B385">
      <w:pPr>
        <w:spacing w:line="276" w:lineRule="auto"/>
        <w:rPr>
          <w:lang w:val="es-CO"/>
        </w:rPr>
      </w:pPr>
      <w:r w:rsidRPr="00430D26">
        <w:rPr>
          <w:rFonts w:eastAsia="Calibri"/>
          <w:lang w:val="es-CO"/>
        </w:rPr>
        <w:t xml:space="preserve">                                            </w:t>
      </w:r>
      <w:r w:rsidRPr="00430D26">
        <w:rPr>
          <w:rFonts w:eastAsia="Calibri"/>
          <w:b/>
          <w:lang w:val="es-CO"/>
        </w:rPr>
        <w:t>Concepto C – 440 de 2021</w:t>
      </w:r>
      <w:r w:rsidRPr="00430D26">
        <w:rPr>
          <w:lang w:val="es-CO"/>
        </w:rPr>
        <w:t xml:space="preserve"> </w:t>
      </w:r>
    </w:p>
    <w:p w:rsidRPr="00430D26" w:rsidR="00B33112" w:rsidP="00B33112" w:rsidRDefault="00B33112" w14:paraId="1681FEE5" w14:textId="77777777">
      <w:pPr>
        <w:spacing w:line="276" w:lineRule="auto"/>
        <w:rPr>
          <w:rFonts w:eastAsia="Calibri"/>
          <w:b/>
          <w:lang w:val="es-CO"/>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30D26" w:rsidR="00B33112" w:rsidTr="00DD7830" w14:paraId="7C1FF1F6" w14:textId="77777777">
        <w:trPr>
          <w:trHeight w:val="1195"/>
        </w:trPr>
        <w:tc>
          <w:tcPr>
            <w:tcW w:w="2689" w:type="dxa"/>
            <w:hideMark/>
          </w:tcPr>
          <w:p w:rsidRPr="00430D26" w:rsidR="00B33112" w:rsidP="00DD7830" w:rsidRDefault="00B33112" w14:paraId="141C480C" w14:textId="77777777">
            <w:pPr>
              <w:spacing w:line="276" w:lineRule="auto"/>
              <w:contextualSpacing/>
              <w:rPr>
                <w:rFonts w:eastAsia="Calibri"/>
                <w:noProof/>
                <w:lang w:val="es-ES_tradnl"/>
              </w:rPr>
            </w:pPr>
            <w:r w:rsidRPr="00430D26">
              <w:rPr>
                <w:rFonts w:eastAsia="Calibri"/>
                <w:b/>
                <w:noProof/>
                <w:lang w:val="es-ES_tradnl"/>
              </w:rPr>
              <w:t>Temas:</w:t>
            </w:r>
            <w:r w:rsidRPr="00430D26">
              <w:rPr>
                <w:rFonts w:eastAsia="Calibri"/>
                <w:noProof/>
                <w:lang w:val="es-ES_tradnl"/>
              </w:rPr>
              <w:t xml:space="preserve">        </w:t>
            </w:r>
          </w:p>
        </w:tc>
        <w:tc>
          <w:tcPr>
            <w:tcW w:w="6237" w:type="dxa"/>
            <w:hideMark/>
          </w:tcPr>
          <w:p w:rsidR="009C5EA5" w:rsidP="009C5EA5" w:rsidRDefault="009C5EA5" w14:paraId="60EE03F6" w14:textId="1DE13B62">
            <w:pPr>
              <w:spacing w:line="276" w:lineRule="auto"/>
              <w:jc w:val="both"/>
              <w:rPr>
                <w:rFonts w:eastAsia="Calibri"/>
                <w:color w:val="000000" w:themeColor="text1"/>
                <w:lang w:val="es-ES_tradnl"/>
              </w:rPr>
            </w:pPr>
            <w:r w:rsidRPr="00A1008D">
              <w:rPr>
                <w:rFonts w:eastAsia="Calibri"/>
                <w:color w:val="000000" w:themeColor="text1"/>
                <w:lang w:val="es-ES_tradnl"/>
              </w:rPr>
              <w:t>CONTRATO DE OBRA PÚBLICA – Tipología – Confección de obra material</w:t>
            </w:r>
            <w:r w:rsidR="00B92EEC">
              <w:rPr>
                <w:rFonts w:eastAsia="Calibri"/>
                <w:color w:val="000000" w:themeColor="text1"/>
                <w:lang w:val="es-ES_tradnl"/>
              </w:rPr>
              <w:t xml:space="preserve"> </w:t>
            </w:r>
            <w:r w:rsidRPr="00A1008D">
              <w:rPr>
                <w:rFonts w:eastAsia="Calibri"/>
                <w:color w:val="000000" w:themeColor="text1"/>
                <w:lang w:val="es-ES_tradnl"/>
              </w:rPr>
              <w:t>–</w:t>
            </w:r>
            <w:r w:rsidR="00B92EEC">
              <w:rPr>
                <w:rFonts w:eastAsia="Calibri"/>
                <w:color w:val="000000" w:themeColor="text1"/>
                <w:lang w:val="es-ES_tradnl"/>
              </w:rPr>
              <w:t xml:space="preserve"> </w:t>
            </w:r>
            <w:r w:rsidRPr="00A1008D">
              <w:rPr>
                <w:rFonts w:eastAsia="Calibri"/>
                <w:color w:val="000000" w:themeColor="text1"/>
                <w:lang w:val="es-ES_tradnl"/>
              </w:rPr>
              <w:t xml:space="preserve">Arrendamiento – Diferencias / CONTRATO DE OBRA PÚBLICA – Definición – Bienes inmuebles / CONTRATO DE OBRA PÚBLICA – Tipos de inmuebles – Por adhesión – Por destinación / </w:t>
            </w:r>
            <w:r w:rsidRPr="00A1008D">
              <w:t xml:space="preserve">CONTRATO DE PRESTACIÓN DE SERVICIOS – Definición </w:t>
            </w:r>
            <w:r w:rsidRPr="00A1008D">
              <w:softHyphen/>
              <w:t xml:space="preserve">/ CONTRATO DE PRESTACIÓN DE SERVICIOS – Modalidades / CONTRATO DE PRESTACIÓN DE SERVICIOS – Criterio residual / CONTRATO ESTATAL – Tipificación / </w:t>
            </w:r>
            <w:r w:rsidRPr="00A1008D">
              <w:rPr>
                <w:rFonts w:eastAsia="Calibri"/>
                <w:color w:val="000000" w:themeColor="text1"/>
                <w:lang w:val="es-ES_tradnl"/>
              </w:rPr>
              <w:t xml:space="preserve">CONTRATOS ESTATALES MIXTOS </w:t>
            </w:r>
            <w:r w:rsidRPr="00A1008D">
              <w:t xml:space="preserve">– Régimen contractual – Uniones de contratos – Diferencias / </w:t>
            </w:r>
            <w:r w:rsidRPr="00A1008D">
              <w:rPr>
                <w:rFonts w:eastAsia="Calibri"/>
                <w:color w:val="000000" w:themeColor="text1"/>
                <w:lang w:val="es-ES_tradnl"/>
              </w:rPr>
              <w:t>CONTRATOS ESTATALES MIXTOS – Método de absorción</w:t>
            </w:r>
          </w:p>
          <w:p w:rsidRPr="00A1008D" w:rsidR="00822CC8" w:rsidP="009C5EA5" w:rsidRDefault="00822CC8" w14:paraId="64AFDB4B" w14:textId="77777777">
            <w:pPr>
              <w:spacing w:line="276" w:lineRule="auto"/>
              <w:jc w:val="both"/>
              <w:rPr>
                <w:sz w:val="20"/>
                <w:szCs w:val="20"/>
                <w:lang w:val="es-ES"/>
              </w:rPr>
            </w:pPr>
          </w:p>
          <w:p w:rsidRPr="009C5EA5" w:rsidR="004517E2" w:rsidP="004517E2" w:rsidRDefault="004517E2" w14:paraId="1C04B852" w14:textId="5F2AAAB6">
            <w:pPr>
              <w:spacing w:after="120" w:line="276" w:lineRule="auto"/>
              <w:contextualSpacing/>
              <w:jc w:val="both"/>
              <w:rPr>
                <w:rFonts w:eastAsia="Calibri"/>
                <w:b/>
                <w:lang w:val="es-ES"/>
              </w:rPr>
            </w:pPr>
          </w:p>
        </w:tc>
      </w:tr>
      <w:tr w:rsidRPr="00430D26" w:rsidR="00B33112" w:rsidTr="00DD7830" w14:paraId="223B2838" w14:textId="77777777">
        <w:trPr>
          <w:trHeight w:val="80"/>
        </w:trPr>
        <w:tc>
          <w:tcPr>
            <w:tcW w:w="2689" w:type="dxa"/>
          </w:tcPr>
          <w:p w:rsidRPr="00430D26" w:rsidR="00B33112" w:rsidP="00DD7830" w:rsidRDefault="00B33112" w14:paraId="709251D7" w14:textId="3C277078">
            <w:pPr>
              <w:spacing w:line="276" w:lineRule="auto"/>
              <w:contextualSpacing/>
              <w:rPr>
                <w:rFonts w:eastAsia="Calibri"/>
                <w:b/>
                <w:noProof/>
                <w:lang w:val="es-ES_tradnl"/>
              </w:rPr>
            </w:pPr>
            <w:r w:rsidRPr="00430D26">
              <w:rPr>
                <w:rFonts w:eastAsia="Calibri"/>
                <w:b/>
                <w:noProof/>
                <w:lang w:val="es-ES_tradnl"/>
              </w:rPr>
              <w:t xml:space="preserve"> Radicación:</w:t>
            </w:r>
          </w:p>
          <w:p w:rsidRPr="00430D26" w:rsidR="00B33112" w:rsidP="00DD7830" w:rsidRDefault="00B33112" w14:paraId="385A9F77" w14:textId="6FA41C5E">
            <w:pPr>
              <w:spacing w:line="276" w:lineRule="auto"/>
              <w:contextualSpacing/>
              <w:rPr>
                <w:rFonts w:eastAsia="Calibri"/>
                <w:b/>
                <w:noProof/>
                <w:lang w:val="es-ES_tradnl"/>
              </w:rPr>
            </w:pPr>
            <w:r w:rsidRPr="00430D26">
              <w:rPr>
                <w:rFonts w:eastAsia="Calibri"/>
                <w:noProof/>
                <w:lang w:val="es-ES_tradnl"/>
              </w:rPr>
              <w:t xml:space="preserve">        </w:t>
            </w:r>
          </w:p>
        </w:tc>
        <w:tc>
          <w:tcPr>
            <w:tcW w:w="6237" w:type="dxa"/>
          </w:tcPr>
          <w:p w:rsidRPr="00430D26" w:rsidR="00B33112" w:rsidP="00DD7830" w:rsidRDefault="00B33112" w14:paraId="488B474D" w14:textId="77777777">
            <w:pPr>
              <w:spacing w:line="276" w:lineRule="auto"/>
              <w:contextualSpacing/>
              <w:jc w:val="both"/>
              <w:rPr>
                <w:rFonts w:eastAsia="Calibri"/>
                <w:noProof/>
                <w:lang w:val="es-ES_tradnl"/>
              </w:rPr>
            </w:pPr>
            <w:r w:rsidRPr="00430D26">
              <w:rPr>
                <w:rFonts w:eastAsia="Calibri"/>
                <w:noProof/>
                <w:lang w:val="es-ES_tradnl"/>
              </w:rPr>
              <w:t>Respuesta a consulta P20210714006208</w:t>
            </w:r>
          </w:p>
        </w:tc>
      </w:tr>
    </w:tbl>
    <w:p w:rsidRPr="00430D26" w:rsidR="00B33112" w:rsidP="00A534BF" w:rsidRDefault="00B33112" w14:paraId="321402D0" w14:textId="77777777">
      <w:pPr>
        <w:spacing w:before="1" w:line="276" w:lineRule="auto"/>
        <w:ind w:right="68"/>
        <w:jc w:val="both"/>
      </w:pPr>
    </w:p>
    <w:p w:rsidRPr="00430D26" w:rsidR="00C05F13" w:rsidP="00A534BF" w:rsidRDefault="00C05F13" w14:paraId="17366636" w14:textId="327448A7">
      <w:pPr>
        <w:spacing w:before="1" w:line="276" w:lineRule="auto"/>
        <w:ind w:right="68"/>
        <w:jc w:val="both"/>
      </w:pPr>
      <w:r w:rsidRPr="00430D26">
        <w:t>Estimad</w:t>
      </w:r>
      <w:r w:rsidRPr="00430D26" w:rsidR="008B1ABE">
        <w:t>a</w:t>
      </w:r>
      <w:r w:rsidRPr="00430D26">
        <w:t xml:space="preserve"> señor</w:t>
      </w:r>
      <w:r w:rsidRPr="00430D26" w:rsidR="008B1ABE">
        <w:t>a</w:t>
      </w:r>
      <w:r w:rsidRPr="00430D26">
        <w:t xml:space="preserve"> </w:t>
      </w:r>
      <w:r w:rsidRPr="00430D26" w:rsidR="008B1ABE">
        <w:t>Valencia</w:t>
      </w:r>
      <w:r w:rsidRPr="00430D26">
        <w:t>:</w:t>
      </w:r>
    </w:p>
    <w:p w:rsidRPr="00430D26" w:rsidR="00C05F13" w:rsidP="00A534BF" w:rsidRDefault="00C05F13" w14:paraId="1CFBDDAB" w14:textId="77777777">
      <w:pPr>
        <w:spacing w:before="1" w:line="276" w:lineRule="auto"/>
        <w:ind w:right="68"/>
        <w:jc w:val="both"/>
      </w:pPr>
    </w:p>
    <w:p w:rsidRPr="00430D26" w:rsidR="00900116" w:rsidP="00E26C02" w:rsidRDefault="00C05F13" w14:paraId="33489898" w14:textId="5632EB8A">
      <w:pPr>
        <w:spacing w:line="276" w:lineRule="auto"/>
        <w:jc w:val="both"/>
      </w:pPr>
      <w:r w:rsidRPr="00430D26">
        <w:t xml:space="preserve">En ejercicio de la función otorgada por el numeral 8 del artículo 11 y el numeral 5 del artículo 3 del Decreto Ley 4170 de 2011, la Agencia Nacional de Contratación Pública – Colombia Compra Eficiente responde la consulta </w:t>
      </w:r>
      <w:r w:rsidRPr="00430D26" w:rsidR="00955771">
        <w:t>d</w:t>
      </w:r>
      <w:r w:rsidRPr="00430D26" w:rsidR="006F3530">
        <w:t>el 14 de julio de 2021</w:t>
      </w:r>
      <w:r w:rsidRPr="00430D26" w:rsidR="00900116">
        <w:t>.</w:t>
      </w:r>
      <w:r w:rsidRPr="00430D26" w:rsidR="009B0569">
        <w:t xml:space="preserve"> </w:t>
      </w:r>
    </w:p>
    <w:p w:rsidRPr="00430D26" w:rsidR="00E26C02" w:rsidP="001E4B4C" w:rsidRDefault="00E26C02" w14:paraId="696F837E" w14:textId="77777777">
      <w:pPr>
        <w:spacing w:line="276" w:lineRule="auto"/>
        <w:jc w:val="both"/>
      </w:pPr>
    </w:p>
    <w:p w:rsidRPr="00430D26" w:rsidR="00900116" w:rsidP="00E26C02" w:rsidRDefault="005975F9" w14:paraId="6ECC4BE3" w14:textId="7968693E">
      <w:pPr>
        <w:pStyle w:val="Prrafodelista"/>
        <w:numPr>
          <w:ilvl w:val="0"/>
          <w:numId w:val="11"/>
        </w:numPr>
        <w:spacing w:line="276" w:lineRule="auto"/>
        <w:ind w:left="426" w:hanging="426"/>
        <w:jc w:val="both"/>
        <w:rPr>
          <w:b/>
          <w:bCs/>
        </w:rPr>
      </w:pPr>
      <w:r w:rsidRPr="001E4B4C">
        <w:rPr>
          <w:b/>
          <w:bCs/>
        </w:rPr>
        <w:t xml:space="preserve">Problema planteado </w:t>
      </w:r>
    </w:p>
    <w:p w:rsidRPr="001E4B4C" w:rsidR="00E26C02" w:rsidP="001E4B4C" w:rsidRDefault="00E26C02" w14:paraId="359A7340" w14:textId="77777777">
      <w:pPr>
        <w:pStyle w:val="Prrafodelista"/>
        <w:spacing w:line="276" w:lineRule="auto"/>
        <w:ind w:left="426" w:firstLine="0"/>
        <w:jc w:val="both"/>
        <w:rPr>
          <w:b/>
          <w:bCs/>
        </w:rPr>
      </w:pPr>
    </w:p>
    <w:p w:rsidRPr="00430D26" w:rsidR="00E26C02" w:rsidP="001E4B4C" w:rsidRDefault="00393CDA" w14:paraId="29B9A4A7" w14:textId="266A358B">
      <w:pPr>
        <w:pStyle w:val="Textoindependiente"/>
        <w:spacing w:line="276" w:lineRule="auto"/>
        <w:jc w:val="both"/>
      </w:pPr>
      <w:r w:rsidRPr="00430D26">
        <w:t xml:space="preserve">Usted realiza la siguiente consulta </w:t>
      </w:r>
      <w:r w:rsidRPr="00430D26" w:rsidR="0070157E">
        <w:t xml:space="preserve">referida a </w:t>
      </w:r>
      <w:r w:rsidRPr="00430D26" w:rsidR="00955771">
        <w:t xml:space="preserve">la tipología prevista en el artículo 32.1 de la Ley </w:t>
      </w:r>
      <w:r w:rsidRPr="00430D26" w:rsidR="00955771">
        <w:lastRenderedPageBreak/>
        <w:t>80 de 1993</w:t>
      </w:r>
      <w:r w:rsidRPr="00430D26" w:rsidR="00C05F13">
        <w:t xml:space="preserve">: </w:t>
      </w:r>
      <w:bookmarkStart w:name="_Hlk80103312" w:id="2"/>
      <w:r w:rsidRPr="00430D26" w:rsidR="00955771">
        <w:t>«</w:t>
      </w:r>
      <w:r w:rsidRPr="00430D26" w:rsidR="00E26C02">
        <w:t xml:space="preserve">[…] </w:t>
      </w:r>
      <w:r w:rsidRPr="00430D26" w:rsidR="00C05F13">
        <w:t>¿</w:t>
      </w:r>
      <w:r w:rsidRPr="00430D26" w:rsidR="00E169EB">
        <w:t xml:space="preserve">el mantenimiento de aires acondicionados tipo mini Split con suministro de repuestos puede ser </w:t>
      </w:r>
      <w:r w:rsidRPr="00430D26" w:rsidR="00C05F13">
        <w:t xml:space="preserve">considerado </w:t>
      </w:r>
      <w:r w:rsidRPr="00430D26" w:rsidR="00E169EB">
        <w:t>como un contrato de obra</w:t>
      </w:r>
      <w:r w:rsidRPr="00430D26" w:rsidR="00C05F13">
        <w:t>?</w:t>
      </w:r>
      <w:r w:rsidRPr="00430D26" w:rsidR="00955771">
        <w:t>».</w:t>
      </w:r>
    </w:p>
    <w:p w:rsidRPr="00430D26" w:rsidR="00B33112" w:rsidRDefault="00B33112" w14:paraId="2E596168" w14:textId="77777777">
      <w:pPr>
        <w:pStyle w:val="Textoindependiente"/>
        <w:spacing w:line="276" w:lineRule="auto"/>
        <w:rPr>
          <w:sz w:val="25"/>
        </w:rPr>
      </w:pPr>
    </w:p>
    <w:bookmarkEnd w:id="2"/>
    <w:p w:rsidRPr="00430D26" w:rsidR="00EE0460" w:rsidRDefault="00EE0460" w14:paraId="0AAB3CB0" w14:textId="0A96F1AC">
      <w:pPr>
        <w:spacing w:line="276" w:lineRule="auto"/>
        <w:jc w:val="both"/>
        <w:rPr>
          <w:bCs/>
        </w:rPr>
      </w:pPr>
    </w:p>
    <w:p w:rsidRPr="00430D26" w:rsidR="00900116" w:rsidP="00E26C02" w:rsidRDefault="00900116" w14:paraId="3C7AA334" w14:textId="17699926">
      <w:pPr>
        <w:pStyle w:val="Prrafodelista"/>
        <w:numPr>
          <w:ilvl w:val="0"/>
          <w:numId w:val="11"/>
        </w:numPr>
        <w:spacing w:line="276" w:lineRule="auto"/>
        <w:ind w:left="284" w:hanging="284"/>
        <w:jc w:val="both"/>
        <w:rPr>
          <w:b/>
        </w:rPr>
      </w:pPr>
      <w:r w:rsidRPr="001E4B4C">
        <w:rPr>
          <w:b/>
        </w:rPr>
        <w:t xml:space="preserve">Consideraciones </w:t>
      </w:r>
    </w:p>
    <w:p w:rsidRPr="001E4B4C" w:rsidR="00E26C02" w:rsidP="001E4B4C" w:rsidRDefault="00E26C02" w14:paraId="4924F3C3" w14:textId="77777777">
      <w:pPr>
        <w:jc w:val="both"/>
        <w:rPr>
          <w:b/>
        </w:rPr>
      </w:pPr>
    </w:p>
    <w:p w:rsidRPr="00430D26" w:rsidR="00AC3A9B" w:rsidP="001E4B4C" w:rsidRDefault="00683C09" w14:paraId="4687ECE4" w14:textId="1BEAFC6A">
      <w:pPr>
        <w:spacing w:after="120" w:line="276" w:lineRule="auto"/>
        <w:jc w:val="both"/>
      </w:pPr>
      <w:bookmarkStart w:name="_Hlk62136649" w:id="3"/>
      <w:r w:rsidRPr="00430D26">
        <w:rPr>
          <w:bCs/>
        </w:rPr>
        <w:t xml:space="preserve">La Agencia Nacional de Contratación Pública – Colombia Compra Eficiente </w:t>
      </w:r>
      <w:r w:rsidRPr="00430D26" w:rsidR="00EE0460">
        <w:t>–</w:t>
      </w:r>
      <w:r w:rsidRPr="00430D26">
        <w:t xml:space="preserve"> </w:t>
      </w:r>
      <w:r w:rsidRPr="00430D26" w:rsidR="00EE0460">
        <w:t>dentro de los límites de sus atribuciones, esto es, haciendo abstracción del caso particular expuesto por el peticionario– resolverá la consulta conforme a las normas generales en materia de contratación estatal</w:t>
      </w:r>
      <w:r w:rsidRPr="00430D26">
        <w:rPr>
          <w:vertAlign w:val="superscript"/>
        </w:rPr>
        <w:footnoteReference w:id="1"/>
      </w:r>
      <w:r w:rsidRPr="00430D26" w:rsidR="00EE0460">
        <w:t>.</w:t>
      </w:r>
      <w:r w:rsidRPr="00430D26" w:rsidR="00860F29">
        <w:t xml:space="preserve"> </w:t>
      </w:r>
      <w:r w:rsidRPr="00430D26" w:rsidR="00B315D5">
        <w:t xml:space="preserve">Para responder el interrogante planteado, se estudiarán los siguientes temas: i) el contrato de obra pública, sus elementos y características, ii) el contrato de prestación de servicios: elementos características y criterios para su distinción del contrato de obra pública y iii) contratos estatales con prestaciones mixtas y su régimen jurídico. </w:t>
      </w:r>
    </w:p>
    <w:p w:rsidRPr="00430D26" w:rsidR="00306F03" w:rsidP="001E4B4C" w:rsidRDefault="00EE0460" w14:paraId="0CF784E2" w14:textId="607F471D">
      <w:pPr>
        <w:spacing w:line="276" w:lineRule="auto"/>
        <w:ind w:firstLine="709"/>
        <w:jc w:val="both"/>
        <w:rPr>
          <w:rFonts w:eastAsia="Calibri"/>
          <w:b/>
          <w:bCs/>
          <w:color w:val="000000" w:themeColor="text1"/>
          <w:lang w:val="es-ES_tradnl"/>
        </w:rPr>
      </w:pPr>
      <w:r w:rsidRPr="00430D26">
        <w:rPr>
          <w:color w:val="000000" w:themeColor="text1"/>
        </w:rPr>
        <w:t>Para estos efectos, la Agencia Nacional de Contratación Pública – Colombia Compra Eficiente</w:t>
      </w:r>
      <w:r w:rsidRPr="00430D26" w:rsidR="00695DBC">
        <w:rPr>
          <w:color w:val="000000" w:themeColor="text1"/>
        </w:rPr>
        <w:t xml:space="preserve">, </w:t>
      </w:r>
      <w:r w:rsidRPr="001E4B4C" w:rsidR="000126B5">
        <w:rPr>
          <w:color w:val="000000" w:themeColor="text1"/>
        </w:rPr>
        <w:t>r</w:t>
      </w:r>
      <w:r w:rsidRPr="001E4B4C" w:rsidR="002D0DCE">
        <w:rPr>
          <w:color w:val="000000" w:themeColor="text1"/>
        </w:rPr>
        <w:t xml:space="preserve">etomará algunas de las consideraciones realizadas </w:t>
      </w:r>
      <w:r w:rsidRPr="00430D26" w:rsidR="00695DBC">
        <w:rPr>
          <w:rFonts w:eastAsia="Calibri"/>
          <w:color w:val="000000" w:themeColor="text1"/>
        </w:rPr>
        <w:t>en los conceptos C-225 del 14 de abril de 2020, C-332 del 26 de mayo de 2020 y C-</w:t>
      </w:r>
      <w:r w:rsidRPr="00430D26" w:rsidR="006170C5">
        <w:rPr>
          <w:rFonts w:eastAsia="Calibri"/>
          <w:color w:val="000000" w:themeColor="text1"/>
        </w:rPr>
        <w:t>279 del 25 de mayo de 2021</w:t>
      </w:r>
      <w:r w:rsidRPr="00430D26" w:rsidR="00695DBC">
        <w:rPr>
          <w:rFonts w:eastAsia="Calibri"/>
          <w:color w:val="000000" w:themeColor="text1"/>
        </w:rPr>
        <w:t xml:space="preserve">, </w:t>
      </w:r>
      <w:r w:rsidRPr="001E4B4C" w:rsidR="002D0DCE">
        <w:rPr>
          <w:rFonts w:eastAsia="Calibri"/>
          <w:color w:val="000000" w:themeColor="text1"/>
        </w:rPr>
        <w:t xml:space="preserve">en los que se </w:t>
      </w:r>
      <w:r w:rsidRPr="00430D26" w:rsidR="006170C5">
        <w:rPr>
          <w:rFonts w:eastAsia="Calibri"/>
          <w:color w:val="000000" w:themeColor="text1"/>
        </w:rPr>
        <w:t>estudi</w:t>
      </w:r>
      <w:r w:rsidRPr="001E4B4C" w:rsidR="002D0DCE">
        <w:rPr>
          <w:rFonts w:eastAsia="Calibri"/>
          <w:color w:val="000000" w:themeColor="text1"/>
        </w:rPr>
        <w:t>aron</w:t>
      </w:r>
      <w:r w:rsidRPr="00430D26" w:rsidR="00695DBC">
        <w:rPr>
          <w:rFonts w:eastAsia="Calibri"/>
          <w:color w:val="000000" w:themeColor="text1"/>
        </w:rPr>
        <w:t xml:space="preserve"> las características y objeto del contrato de obra pública. </w:t>
      </w:r>
      <w:r w:rsidRPr="00430D26" w:rsidR="00AC3A9B">
        <w:rPr>
          <w:rFonts w:eastAsia="Calibri"/>
          <w:color w:val="000000" w:themeColor="text1"/>
        </w:rPr>
        <w:t xml:space="preserve"> </w:t>
      </w:r>
      <w:r w:rsidRPr="00430D26" w:rsidR="002E22A7">
        <w:rPr>
          <w:rFonts w:eastAsia="Calibri"/>
          <w:color w:val="000000" w:themeColor="text1"/>
        </w:rPr>
        <w:t xml:space="preserve">Por otro lado, </w:t>
      </w:r>
      <w:r w:rsidRPr="00430D26" w:rsidR="00DB6340">
        <w:rPr>
          <w:rFonts w:eastAsia="Calibri"/>
          <w:color w:val="000000" w:themeColor="text1"/>
        </w:rPr>
        <w:t xml:space="preserve">esta Agencia </w:t>
      </w:r>
      <w:r w:rsidRPr="00430D26" w:rsidR="002E22A7">
        <w:rPr>
          <w:rFonts w:eastAsia="Calibri"/>
          <w:color w:val="000000" w:themeColor="text1"/>
        </w:rPr>
        <w:t xml:space="preserve">también </w:t>
      </w:r>
      <w:r w:rsidRPr="00430D26" w:rsidR="00DB6340">
        <w:rPr>
          <w:noProof/>
          <w:lang w:val="es-ES_tradnl"/>
        </w:rPr>
        <w:t xml:space="preserve">se </w:t>
      </w:r>
      <w:r w:rsidRPr="00430D26" w:rsidR="002E22A7">
        <w:rPr>
          <w:noProof/>
          <w:lang w:val="es-ES_tradnl"/>
        </w:rPr>
        <w:t xml:space="preserve">ha </w:t>
      </w:r>
      <w:r w:rsidRPr="00430D26" w:rsidR="00DB6340">
        <w:rPr>
          <w:noProof/>
          <w:lang w:val="es-ES_tradnl"/>
        </w:rPr>
        <w:t>pronunci</w:t>
      </w:r>
      <w:r w:rsidRPr="00430D26" w:rsidR="002E22A7">
        <w:rPr>
          <w:noProof/>
          <w:lang w:val="es-ES_tradnl"/>
        </w:rPr>
        <w:t>ado</w:t>
      </w:r>
      <w:r w:rsidRPr="00430D26" w:rsidR="00DB6340">
        <w:rPr>
          <w:noProof/>
          <w:lang w:val="es-ES_tradnl"/>
        </w:rPr>
        <w:t xml:space="preserve"> sobre los elementos del contrato de prestación de servicios en lo</w:t>
      </w:r>
      <w:r w:rsidRPr="00430D26" w:rsidR="00FE34F8">
        <w:rPr>
          <w:noProof/>
          <w:lang w:val="es-ES_tradnl"/>
        </w:rPr>
        <w:t xml:space="preserve">s conceptos </w:t>
      </w:r>
      <w:r w:rsidRPr="00430D26" w:rsidR="00AC3A9B">
        <w:rPr>
          <w:rFonts w:eastAsia="Calibri"/>
          <w:color w:val="000000" w:themeColor="text1"/>
          <w:lang w:val="es-ES_tradnl"/>
        </w:rPr>
        <w:t xml:space="preserve">C-090 del </w:t>
      </w:r>
      <w:r w:rsidRPr="00430D26" w:rsidR="00AC3A9B">
        <w:rPr>
          <w:color w:val="000000" w:themeColor="text1"/>
        </w:rPr>
        <w:t xml:space="preserve">24 de febrero de 2020, </w:t>
      </w:r>
      <w:r w:rsidRPr="00430D26" w:rsidR="00AC3A9B">
        <w:t xml:space="preserve">C-105 del 12 de marzo 03 de 2020, C-156 del 3 de abril de 2020, C-188 del </w:t>
      </w:r>
      <w:r w:rsidRPr="00430D26" w:rsidR="00AC3A9B">
        <w:rPr>
          <w:color w:val="000000" w:themeColor="text1"/>
          <w:lang w:val="es-CO"/>
        </w:rPr>
        <w:t xml:space="preserve">13 de abril de 2020, </w:t>
      </w:r>
      <w:r w:rsidRPr="00430D26" w:rsidR="00AC3A9B">
        <w:t xml:space="preserve">C-208 del </w:t>
      </w:r>
      <w:r w:rsidRPr="00430D26" w:rsidR="00AC3A9B">
        <w:rPr>
          <w:color w:val="000000" w:themeColor="text1"/>
        </w:rPr>
        <w:t xml:space="preserve">24 de abril de 2020, </w:t>
      </w:r>
      <w:r w:rsidRPr="00430D26" w:rsidR="00AC3A9B">
        <w:rPr>
          <w:noProof/>
          <w:lang w:val="es-ES_tradnl"/>
        </w:rPr>
        <w:t>No. C-138, C-005, C-006 y C-018 del 11 de mayo de 2020; C-175, C-320, C-053, C-255, C-282 y C-293 del 12 de mayo de 2020, C-288 del 27 de mayo de 2020, C-345 del 13 de mayo de 2020</w:t>
      </w:r>
      <w:r w:rsidRPr="00430D26" w:rsidR="00AC3A9B">
        <w:rPr>
          <w:color w:val="000000" w:themeColor="text1"/>
        </w:rPr>
        <w:t xml:space="preserve">, </w:t>
      </w:r>
      <w:r w:rsidRPr="00430D26" w:rsidR="00AC3A9B">
        <w:rPr>
          <w:color w:val="212529"/>
        </w:rPr>
        <w:t xml:space="preserve">C-414 </w:t>
      </w:r>
      <w:r w:rsidRPr="00430D26" w:rsidR="00AC3A9B">
        <w:t xml:space="preserve">del 30 de junio de 2020, </w:t>
      </w:r>
      <w:r w:rsidRPr="00430D26" w:rsidR="00AC3A9B">
        <w:rPr>
          <w:noProof/>
          <w:lang w:val="es-ES_tradnl"/>
        </w:rPr>
        <w:t>C-484 del 6 de agosto de 2020, C-608 del 1 de octubre de 2020</w:t>
      </w:r>
      <w:r w:rsidRPr="00430D26" w:rsidR="00FE34F8">
        <w:rPr>
          <w:noProof/>
          <w:lang w:val="es-ES_tradnl"/>
        </w:rPr>
        <w:t>,</w:t>
      </w:r>
      <w:r w:rsidRPr="00430D26" w:rsidR="00AC3A9B">
        <w:t xml:space="preserve"> C-739 del 16 de diciembre de 2020</w:t>
      </w:r>
      <w:r w:rsidRPr="00430D26" w:rsidR="00BC303C">
        <w:t xml:space="preserve"> y</w:t>
      </w:r>
      <w:r w:rsidRPr="00430D26" w:rsidR="00FE34F8">
        <w:t xml:space="preserve"> C-</w:t>
      </w:r>
      <w:r w:rsidRPr="00430D26" w:rsidR="00BC303C">
        <w:t>106 del 7 de abril de 2021</w:t>
      </w:r>
      <w:r w:rsidRPr="00430D26" w:rsidR="00354655">
        <w:t>. Particular</w:t>
      </w:r>
      <w:r w:rsidRPr="00430D26" w:rsidR="00083F12">
        <w:t xml:space="preserve">mente, </w:t>
      </w:r>
      <w:r w:rsidRPr="00430D26" w:rsidR="009170C4">
        <w:rPr>
          <w:rFonts w:eastAsia="Calibri"/>
          <w:bCs/>
          <w:lang w:val="es-CO"/>
        </w:rPr>
        <w:t>en los conceptos</w:t>
      </w:r>
      <w:r w:rsidRPr="00430D26" w:rsidR="00083F12">
        <w:rPr>
          <w:rFonts w:eastAsia="Calibri"/>
          <w:bCs/>
          <w:lang w:val="es-CO"/>
        </w:rPr>
        <w:t xml:space="preserve"> con radicados 2201913000009572 y 2201913000009588</w:t>
      </w:r>
      <w:r w:rsidRPr="00430D26" w:rsidR="009170C4">
        <w:rPr>
          <w:rFonts w:eastAsia="Calibri"/>
          <w:bCs/>
          <w:lang w:val="es-CO"/>
        </w:rPr>
        <w:t xml:space="preserve"> del 24 de diciembre de 2019</w:t>
      </w:r>
      <w:r w:rsidRPr="00430D26" w:rsidR="00083F12">
        <w:rPr>
          <w:rFonts w:eastAsia="Calibri"/>
          <w:bCs/>
          <w:lang w:val="es-CO"/>
        </w:rPr>
        <w:t>, se estudi</w:t>
      </w:r>
      <w:r w:rsidRPr="00430D26" w:rsidR="00534667">
        <w:rPr>
          <w:rFonts w:eastAsia="Calibri"/>
          <w:bCs/>
          <w:lang w:val="es-CO"/>
        </w:rPr>
        <w:t>ó el régimen contractual de actividades mantenimiento en el marco de</w:t>
      </w:r>
      <w:r w:rsidRPr="00430D26" w:rsidR="00274E7E">
        <w:rPr>
          <w:rFonts w:eastAsia="Calibri"/>
          <w:bCs/>
          <w:lang w:val="es-CO"/>
        </w:rPr>
        <w:t xml:space="preserve"> contratos con prestaciones mixtas</w:t>
      </w:r>
      <w:r w:rsidRPr="00430D26" w:rsidR="00306F03">
        <w:rPr>
          <w:rFonts w:eastAsia="Calibri"/>
          <w:bCs/>
          <w:lang w:val="es-CO"/>
        </w:rPr>
        <w:t xml:space="preserve">. </w:t>
      </w:r>
      <w:r w:rsidRPr="00430D26" w:rsidR="00306F03">
        <w:rPr>
          <w:rFonts w:eastAsia="Calibri"/>
          <w:color w:val="000000" w:themeColor="text1"/>
        </w:rPr>
        <w:t xml:space="preserve">Algunos de los argumentos </w:t>
      </w:r>
      <w:r w:rsidRPr="00430D26" w:rsidR="00695DBC">
        <w:rPr>
          <w:rFonts w:eastAsia="Calibri"/>
          <w:color w:val="000000" w:themeColor="text1"/>
        </w:rPr>
        <w:t>desarrollad</w:t>
      </w:r>
      <w:r w:rsidRPr="00430D26" w:rsidR="00306F03">
        <w:rPr>
          <w:rFonts w:eastAsia="Calibri"/>
          <w:color w:val="000000" w:themeColor="text1"/>
        </w:rPr>
        <w:t>os</w:t>
      </w:r>
      <w:r w:rsidRPr="00430D26" w:rsidR="00695DBC">
        <w:rPr>
          <w:rFonts w:eastAsia="Calibri"/>
          <w:color w:val="000000" w:themeColor="text1"/>
        </w:rPr>
        <w:t xml:space="preserve"> en estos conceptos </w:t>
      </w:r>
      <w:r w:rsidRPr="00430D26" w:rsidR="00306F03">
        <w:rPr>
          <w:rFonts w:eastAsia="Calibri"/>
          <w:color w:val="000000" w:themeColor="text1"/>
        </w:rPr>
        <w:t xml:space="preserve">se retoman y se complementan a continuación, en lo pertinente.   </w:t>
      </w:r>
    </w:p>
    <w:p w:rsidRPr="00430D26" w:rsidR="00306F03" w:rsidP="001E4B4C" w:rsidRDefault="00306F03" w14:paraId="37965777" w14:textId="77777777">
      <w:pPr>
        <w:spacing w:line="276" w:lineRule="auto"/>
        <w:jc w:val="both"/>
        <w:rPr>
          <w:rFonts w:eastAsia="Calibri"/>
          <w:b/>
          <w:bCs/>
          <w:color w:val="000000" w:themeColor="text1"/>
          <w:lang w:val="es-ES_tradnl"/>
        </w:rPr>
      </w:pPr>
    </w:p>
    <w:p w:rsidRPr="00430D26" w:rsidR="00033A2C" w:rsidP="001E4B4C" w:rsidRDefault="00033A2C" w14:paraId="0FCA3EEF" w14:textId="588DE6E8">
      <w:pPr>
        <w:pStyle w:val="Prrafodelista"/>
        <w:numPr>
          <w:ilvl w:val="1"/>
          <w:numId w:val="11"/>
        </w:numPr>
        <w:spacing w:line="276" w:lineRule="auto"/>
        <w:ind w:left="426" w:hanging="426"/>
        <w:jc w:val="both"/>
        <w:rPr>
          <w:rFonts w:eastAsia="Calibri"/>
          <w:b/>
          <w:bCs/>
          <w:color w:val="000000" w:themeColor="text1"/>
          <w:lang w:val="es-ES_tradnl"/>
        </w:rPr>
      </w:pPr>
      <w:r w:rsidRPr="001E4B4C">
        <w:rPr>
          <w:rFonts w:eastAsia="Calibri"/>
          <w:b/>
          <w:bCs/>
          <w:color w:val="000000" w:themeColor="text1"/>
          <w:lang w:val="es-ES_tradnl"/>
        </w:rPr>
        <w:t>El contrato de obra pública</w:t>
      </w:r>
      <w:r w:rsidRPr="00430D26">
        <w:rPr>
          <w:rFonts w:eastAsia="Calibri"/>
          <w:b/>
          <w:bCs/>
          <w:color w:val="000000" w:themeColor="text1"/>
          <w:lang w:val="es-ES_tradnl"/>
        </w:rPr>
        <w:t xml:space="preserve">: </w:t>
      </w:r>
      <w:r w:rsidRPr="00430D26" w:rsidR="0051392C">
        <w:rPr>
          <w:rFonts w:eastAsia="Calibri"/>
          <w:b/>
          <w:bCs/>
          <w:color w:val="000000" w:themeColor="text1"/>
          <w:lang w:val="es-ES_tradnl"/>
        </w:rPr>
        <w:t>e</w:t>
      </w:r>
      <w:r w:rsidRPr="00430D26">
        <w:rPr>
          <w:rFonts w:eastAsia="Calibri"/>
          <w:b/>
          <w:bCs/>
          <w:color w:val="000000" w:themeColor="text1"/>
          <w:lang w:val="es-ES_tradnl"/>
        </w:rPr>
        <w:t xml:space="preserve">lementos y características </w:t>
      </w:r>
    </w:p>
    <w:p w:rsidRPr="001E4B4C" w:rsidR="00033A2C" w:rsidP="001E4B4C" w:rsidRDefault="00033A2C" w14:paraId="0C884BF8" w14:textId="1542DA18">
      <w:pPr>
        <w:jc w:val="both"/>
        <w:rPr>
          <w:rFonts w:eastAsia="Calibri"/>
          <w:b/>
          <w:bCs/>
          <w:color w:val="000000" w:themeColor="text1"/>
          <w:lang w:val="es-ES_tradnl"/>
        </w:rPr>
      </w:pPr>
    </w:p>
    <w:p w:rsidRPr="00430D26" w:rsidR="00860F29" w:rsidRDefault="00860F29" w14:paraId="35A8DA97" w14:textId="78591505">
      <w:pPr>
        <w:spacing w:line="276" w:lineRule="auto"/>
        <w:jc w:val="both"/>
        <w:rPr>
          <w:rFonts w:eastAsia="Calibri"/>
          <w:color w:val="000000" w:themeColor="text1"/>
          <w:lang w:val="es-ES_tradnl"/>
        </w:rPr>
      </w:pPr>
      <w:r w:rsidRPr="00430D26">
        <w:rPr>
          <w:rFonts w:eastAsia="Calibri"/>
          <w:color w:val="000000" w:themeColor="text1"/>
          <w:lang w:val="es-ES_tradnl"/>
        </w:rPr>
        <w:t xml:space="preserve">La obra pública es una tipología de los contratos estatales, entendidos estos últimos como los actos jurídicos generadores de obligaciones que han sido celebrados por alguna de las </w:t>
      </w:r>
      <w:r w:rsidRPr="00430D26">
        <w:rPr>
          <w:rFonts w:eastAsia="Calibri"/>
          <w:color w:val="000000" w:themeColor="text1"/>
          <w:lang w:val="es-ES_tradnl"/>
        </w:rPr>
        <w:lastRenderedPageBreak/>
        <w:t xml:space="preserve">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rsidRPr="00430D26" w:rsidR="00860F29" w:rsidP="00860F29" w:rsidRDefault="00860F29" w14:paraId="29D6AEA5" w14:textId="77777777">
      <w:pPr>
        <w:spacing w:before="120" w:line="276" w:lineRule="auto"/>
        <w:ind w:firstLine="708"/>
        <w:jc w:val="both"/>
        <w:rPr>
          <w:rFonts w:eastAsia="Calibri"/>
          <w:color w:val="000000" w:themeColor="text1"/>
          <w:lang w:val="es-ES_tradnl"/>
        </w:rPr>
      </w:pPr>
      <w:r w:rsidRPr="00430D26">
        <w:rPr>
          <w:rFonts w:eastAsia="Calibri"/>
          <w:color w:val="000000" w:themeColor="text1"/>
          <w:lang w:val="es-ES_tradnl"/>
        </w:rPr>
        <w:t xml:space="preserve">En efecto, </w:t>
      </w:r>
      <w:bookmarkStart w:name="_Hlk81432298" w:id="4"/>
      <w:r w:rsidRPr="00430D26">
        <w:rPr>
          <w:rFonts w:eastAsia="Calibri"/>
          <w:color w:val="000000" w:themeColor="text1"/>
          <w:lang w:val="es-ES_tradnl"/>
        </w:rPr>
        <w:t xml:space="preserve">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w:t>
      </w:r>
      <w:bookmarkEnd w:id="4"/>
      <w:r w:rsidRPr="00430D26">
        <w:rPr>
          <w:rFonts w:eastAsia="Calibri"/>
          <w:color w:val="000000" w:themeColor="text1"/>
          <w:lang w:val="es-ES_tradnl"/>
        </w:rPr>
        <w:t>Así, la doctrina considera que:</w:t>
      </w:r>
    </w:p>
    <w:p w:rsidRPr="00430D26" w:rsidR="00860F29" w:rsidP="00860F29" w:rsidRDefault="00860F29" w14:paraId="2BF6B6FA" w14:textId="77777777">
      <w:pPr>
        <w:spacing w:line="276" w:lineRule="auto"/>
        <w:ind w:left="709" w:right="709"/>
        <w:jc w:val="both"/>
        <w:rPr>
          <w:rFonts w:eastAsia="Calibri"/>
          <w:color w:val="000000" w:themeColor="text1"/>
          <w:lang w:val="es-ES_tradnl"/>
        </w:rPr>
      </w:pPr>
    </w:p>
    <w:p w:rsidRPr="00430D26" w:rsidR="00860F29" w:rsidP="00860F29" w:rsidRDefault="00860F29" w14:paraId="32D64FCA" w14:textId="77777777">
      <w:pPr>
        <w:spacing w:after="120"/>
        <w:ind w:left="709" w:right="709"/>
        <w:jc w:val="both"/>
        <w:rPr>
          <w:rFonts w:eastAsia="Calibri"/>
          <w:color w:val="000000" w:themeColor="text1"/>
          <w:sz w:val="21"/>
          <w:szCs w:val="21"/>
          <w:lang w:val="es-ES_tradnl"/>
        </w:rPr>
      </w:pPr>
      <w:r w:rsidRPr="00430D26">
        <w:rPr>
          <w:rFonts w:eastAsia="Calibri"/>
          <w:color w:val="000000" w:themeColor="text1"/>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rsidRPr="00430D26" w:rsidR="00860F29" w:rsidP="00860F29" w:rsidRDefault="00860F29" w14:paraId="62BFD059" w14:textId="77777777">
      <w:pPr>
        <w:spacing w:before="120"/>
        <w:ind w:left="709" w:right="709"/>
        <w:jc w:val="both"/>
        <w:rPr>
          <w:rFonts w:eastAsia="Calibri"/>
          <w:color w:val="000000" w:themeColor="text1"/>
          <w:sz w:val="21"/>
          <w:szCs w:val="21"/>
          <w:lang w:val="es-ES_tradnl"/>
        </w:rPr>
      </w:pPr>
      <w:r w:rsidRPr="00430D26">
        <w:rPr>
          <w:rFonts w:eastAsia="Calibri"/>
          <w:color w:val="000000" w:themeColor="text1"/>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430D26">
        <w:rPr>
          <w:rStyle w:val="Refdenotaalpie"/>
          <w:rFonts w:eastAsia="Calibri"/>
          <w:color w:val="000000" w:themeColor="text1"/>
          <w:sz w:val="21"/>
          <w:szCs w:val="21"/>
          <w:lang w:val="es-ES_tradnl"/>
        </w:rPr>
        <w:footnoteReference w:id="2"/>
      </w:r>
      <w:r w:rsidRPr="00430D26">
        <w:rPr>
          <w:rFonts w:eastAsia="Calibri"/>
          <w:color w:val="000000" w:themeColor="text1"/>
          <w:sz w:val="21"/>
          <w:szCs w:val="21"/>
          <w:lang w:val="es-ES_tradnl"/>
        </w:rPr>
        <w:t xml:space="preserve">.  </w:t>
      </w:r>
    </w:p>
    <w:p w:rsidRPr="00430D26" w:rsidR="00860F29" w:rsidP="00860F29" w:rsidRDefault="00860F29" w14:paraId="73A8C99C" w14:textId="77777777">
      <w:pPr>
        <w:spacing w:line="276" w:lineRule="auto"/>
        <w:ind w:left="709" w:right="709"/>
        <w:jc w:val="both"/>
        <w:rPr>
          <w:rFonts w:eastAsia="Calibri"/>
          <w:color w:val="000000" w:themeColor="text1"/>
          <w:sz w:val="21"/>
          <w:szCs w:val="21"/>
          <w:lang w:val="es-ES_tradnl"/>
        </w:rPr>
      </w:pPr>
      <w:r w:rsidRPr="00430D26">
        <w:rPr>
          <w:rFonts w:eastAsia="Calibri"/>
          <w:color w:val="000000" w:themeColor="text1"/>
          <w:sz w:val="21"/>
          <w:szCs w:val="21"/>
          <w:lang w:val="es-ES_tradnl"/>
        </w:rPr>
        <w:t xml:space="preserve">    </w:t>
      </w:r>
    </w:p>
    <w:p w:rsidRPr="00430D26" w:rsidR="00860F29" w:rsidP="00860F29" w:rsidRDefault="00860F29" w14:paraId="2D4B595D" w14:textId="77777777">
      <w:pPr>
        <w:spacing w:line="276" w:lineRule="auto"/>
        <w:ind w:firstLine="708"/>
        <w:jc w:val="both"/>
        <w:rPr>
          <w:rFonts w:eastAsia="Calibri"/>
          <w:color w:val="000000" w:themeColor="text1"/>
          <w:lang w:val="es-ES_tradnl"/>
        </w:rPr>
      </w:pPr>
      <w:bookmarkStart w:name="_Hlk35420344" w:id="5"/>
      <w:r w:rsidRPr="00430D26">
        <w:rPr>
          <w:rFonts w:eastAsia="Calibri"/>
          <w:color w:val="000000" w:themeColor="text1"/>
          <w:lang w:val="es-ES_tradnl"/>
        </w:rPr>
        <w:t xml:space="preserve">En </w:t>
      </w:r>
      <w:r w:rsidRPr="00430D26">
        <w:rPr>
          <w:rFonts w:eastAsia="Calibri"/>
          <w:i/>
          <w:iCs/>
          <w:color w:val="000000" w:themeColor="text1"/>
          <w:lang w:val="es-ES_tradnl"/>
        </w:rPr>
        <w:t>sentido amplio</w:t>
      </w:r>
      <w:r w:rsidRPr="00430D26">
        <w:rPr>
          <w:rFonts w:eastAsia="Calibri"/>
          <w:color w:val="000000" w:themeColor="text1"/>
          <w:lang w:val="es-ES_tradnl"/>
        </w:rPr>
        <w:t xml:space="preserve">, dado que la «obra» es un bien que crea la actividad humana, el hecho de que sea «pública» significa que es todo trabajo material en cuya creación o realización interviene el Estado. No obstante, </w:t>
      </w:r>
      <w:bookmarkStart w:name="_Hlk81428563" w:id="6"/>
      <w:r w:rsidRPr="00430D26">
        <w:rPr>
          <w:rFonts w:eastAsia="Calibri"/>
          <w:color w:val="000000" w:themeColor="text1"/>
          <w:lang w:val="es-ES_tradnl"/>
        </w:rPr>
        <w:t xml:space="preserve">el numeral 1 del artículo 32 de la Ley 80 de 1993 opta por un </w:t>
      </w:r>
      <w:r w:rsidRPr="00430D26">
        <w:rPr>
          <w:rFonts w:eastAsia="Calibri"/>
          <w:i/>
          <w:iCs/>
          <w:color w:val="000000" w:themeColor="text1"/>
          <w:lang w:val="es-ES_tradnl"/>
        </w:rPr>
        <w:t>sentido restringido</w:t>
      </w:r>
      <w:r w:rsidRPr="00430D26">
        <w:rPr>
          <w:rFonts w:eastAsia="Calibri"/>
          <w:color w:val="000000" w:themeColor="text1"/>
          <w:lang w:val="es-ES_tradnl"/>
        </w:rPr>
        <w:t xml:space="preserve">,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w:t>
      </w:r>
      <w:r w:rsidRPr="00430D26">
        <w:rPr>
          <w:rFonts w:eastAsia="Calibri"/>
          <w:color w:val="000000" w:themeColor="text1"/>
          <w:lang w:val="es-ES_tradnl"/>
        </w:rPr>
        <w:lastRenderedPageBreak/>
        <w:t>construir, conservar o modificar bienes inmuebles, lo cual incluye trabajos de construcción, instalación, conservación, mantenimiento, reparación y demolición de esos mismos</w:t>
      </w:r>
      <w:bookmarkEnd w:id="5"/>
      <w:bookmarkEnd w:id="6"/>
      <w:r w:rsidRPr="00430D26">
        <w:rPr>
          <w:rStyle w:val="Refdenotaalpie"/>
          <w:rFonts w:eastAsia="Calibri"/>
          <w:color w:val="000000" w:themeColor="text1"/>
          <w:lang w:val="es-ES_tradnl"/>
        </w:rPr>
        <w:footnoteReference w:id="3"/>
      </w:r>
      <w:r w:rsidRPr="00430D26">
        <w:rPr>
          <w:rFonts w:eastAsia="Calibri"/>
          <w:color w:val="000000" w:themeColor="text1"/>
          <w:lang w:val="es-ES_tradnl"/>
        </w:rPr>
        <w:t>. De esta manera:</w:t>
      </w:r>
    </w:p>
    <w:p w:rsidRPr="00430D26" w:rsidR="00860F29" w:rsidP="00860F29" w:rsidRDefault="00860F29" w14:paraId="3EB009A5" w14:textId="77777777">
      <w:pPr>
        <w:spacing w:line="276" w:lineRule="auto"/>
        <w:ind w:firstLine="709"/>
        <w:jc w:val="both"/>
        <w:rPr>
          <w:rFonts w:eastAsia="Calibri"/>
          <w:color w:val="000000" w:themeColor="text1"/>
          <w:lang w:val="es-ES_tradnl"/>
        </w:rPr>
      </w:pPr>
    </w:p>
    <w:p w:rsidRPr="00430D26" w:rsidR="00860F29" w:rsidP="00860F29" w:rsidRDefault="00860F29" w14:paraId="026ED603" w14:textId="77777777">
      <w:pPr>
        <w:ind w:left="709" w:right="709"/>
        <w:jc w:val="both"/>
        <w:rPr>
          <w:rFonts w:eastAsia="Calibri"/>
          <w:color w:val="000000" w:themeColor="text1"/>
          <w:sz w:val="21"/>
          <w:szCs w:val="21"/>
          <w:lang w:val="es-ES_tradnl"/>
        </w:rPr>
      </w:pPr>
      <w:r w:rsidRPr="00430D26">
        <w:rPr>
          <w:rFonts w:eastAsia="Calibri"/>
          <w:color w:val="000000" w:themeColor="text1"/>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rsidRPr="00430D26" w:rsidR="00860F29" w:rsidP="00860F29" w:rsidRDefault="00860F29" w14:paraId="7114E71C" w14:textId="77777777">
      <w:pPr>
        <w:spacing w:before="120"/>
        <w:ind w:left="709" w:right="709"/>
        <w:jc w:val="both"/>
        <w:rPr>
          <w:rFonts w:eastAsia="Calibri"/>
          <w:color w:val="000000" w:themeColor="text1"/>
          <w:sz w:val="21"/>
          <w:szCs w:val="21"/>
          <w:lang w:val="es-ES_tradnl"/>
        </w:rPr>
      </w:pPr>
      <w:r w:rsidRPr="00430D26">
        <w:rPr>
          <w:rFonts w:eastAsia="Calibri"/>
          <w:color w:val="000000" w:themeColor="text1"/>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430D26">
        <w:rPr>
          <w:rStyle w:val="Refdenotaalpie"/>
          <w:rFonts w:eastAsia="Calibri"/>
          <w:color w:val="000000" w:themeColor="text1"/>
          <w:sz w:val="21"/>
          <w:szCs w:val="21"/>
          <w:lang w:val="es-ES_tradnl"/>
        </w:rPr>
        <w:footnoteReference w:id="4"/>
      </w:r>
      <w:r w:rsidRPr="00430D26">
        <w:rPr>
          <w:rFonts w:eastAsia="Calibri"/>
          <w:color w:val="000000" w:themeColor="text1"/>
          <w:sz w:val="21"/>
          <w:szCs w:val="21"/>
          <w:lang w:val="es-ES_tradnl"/>
        </w:rPr>
        <w:t>.</w:t>
      </w:r>
    </w:p>
    <w:p w:rsidRPr="00430D26" w:rsidR="00860F29" w:rsidP="00860F29" w:rsidRDefault="00860F29" w14:paraId="49F31BF4" w14:textId="77777777">
      <w:pPr>
        <w:ind w:left="709" w:right="709"/>
        <w:jc w:val="both"/>
        <w:rPr>
          <w:rFonts w:eastAsia="Calibri"/>
          <w:color w:val="000000" w:themeColor="text1"/>
          <w:sz w:val="21"/>
          <w:szCs w:val="21"/>
          <w:lang w:val="es-ES_tradnl"/>
        </w:rPr>
      </w:pPr>
    </w:p>
    <w:p w:rsidRPr="00430D26" w:rsidR="00860F29" w:rsidP="00332219" w:rsidRDefault="00860F29" w14:paraId="0686C00A" w14:textId="294115F0">
      <w:pPr>
        <w:spacing w:after="120" w:line="276" w:lineRule="auto"/>
        <w:ind w:firstLine="708"/>
        <w:jc w:val="both"/>
        <w:rPr>
          <w:rFonts w:eastAsia="Calibri"/>
          <w:color w:val="000000" w:themeColor="text1"/>
          <w:lang w:val="es-ES_tradnl"/>
        </w:rPr>
      </w:pPr>
      <w:r w:rsidRPr="00430D26">
        <w:rPr>
          <w:rFonts w:eastAsia="Calibri"/>
          <w:color w:val="000000" w:themeColor="text1"/>
          <w:lang w:val="es-ES_tradnl"/>
        </w:rPr>
        <w:t>En la disposición citada, el contrato de obra pública no se limita a la construcción de inmuebles, pues la definición se extiende a las actividades de mantenimiento e instalación, lo cual supone un bien preexistente.</w:t>
      </w:r>
      <w:r w:rsidRPr="00430D26" w:rsidR="00332219">
        <w:rPr>
          <w:rFonts w:eastAsia="Calibri"/>
          <w:color w:val="000000" w:themeColor="text1"/>
          <w:lang w:val="es-ES_tradnl"/>
        </w:rPr>
        <w:t xml:space="preserve"> Para la Real Academia Española </w:t>
      </w:r>
      <w:r w:rsidRPr="00430D26" w:rsidR="005F68EA">
        <w:rPr>
          <w:rFonts w:eastAsia="Calibri"/>
          <w:color w:val="000000" w:themeColor="text1"/>
          <w:lang w:val="es-ES_tradnl"/>
        </w:rPr>
        <w:t>«</w:t>
      </w:r>
      <w:r w:rsidRPr="00430D26" w:rsidR="00332219">
        <w:rPr>
          <w:rFonts w:eastAsia="Calibri"/>
          <w:color w:val="000000" w:themeColor="text1"/>
          <w:lang w:val="es-ES_tradnl"/>
        </w:rPr>
        <w:t>construir</w:t>
      </w:r>
      <w:r w:rsidRPr="00430D26" w:rsidR="005F68EA">
        <w:rPr>
          <w:rFonts w:eastAsia="Calibri"/>
          <w:color w:val="000000" w:themeColor="text1"/>
          <w:lang w:val="es-ES_tradnl"/>
        </w:rPr>
        <w:t>»</w:t>
      </w:r>
      <w:r w:rsidRPr="00430D26" w:rsidR="00332219">
        <w:rPr>
          <w:rFonts w:eastAsia="Calibri"/>
          <w:color w:val="000000" w:themeColor="text1"/>
          <w:lang w:val="es-ES_tradnl"/>
        </w:rPr>
        <w:t xml:space="preserve"> significa fabricar, erigir, edificar y hacer de nueva planta una cosa; en tanto que </w:t>
      </w:r>
      <w:r w:rsidRPr="00430D26" w:rsidR="00952AA3">
        <w:rPr>
          <w:rFonts w:eastAsia="Calibri"/>
          <w:color w:val="000000" w:themeColor="text1"/>
          <w:lang w:val="es-ES_tradnl"/>
        </w:rPr>
        <w:t>«</w:t>
      </w:r>
      <w:r w:rsidRPr="00430D26" w:rsidR="00332219">
        <w:rPr>
          <w:rFonts w:eastAsia="Calibri"/>
          <w:color w:val="000000" w:themeColor="text1"/>
          <w:lang w:val="es-ES_tradnl"/>
        </w:rPr>
        <w:t>mantener</w:t>
      </w:r>
      <w:r w:rsidRPr="00430D26" w:rsidR="00952AA3">
        <w:rPr>
          <w:rFonts w:eastAsia="Calibri"/>
          <w:color w:val="000000" w:themeColor="text1"/>
          <w:lang w:val="es-ES_tradnl"/>
        </w:rPr>
        <w:t>»</w:t>
      </w:r>
      <w:r w:rsidRPr="00430D26" w:rsidR="00332219">
        <w:rPr>
          <w:rFonts w:eastAsia="Calibri"/>
          <w:color w:val="000000" w:themeColor="text1"/>
          <w:lang w:val="es-ES_tradnl"/>
        </w:rPr>
        <w:t xml:space="preserve"> significa conservar una cosa en su ser, darle vigor y permanencia; y, finalmente, </w:t>
      </w:r>
      <w:r w:rsidRPr="00430D26" w:rsidR="00952AA3">
        <w:rPr>
          <w:rFonts w:eastAsia="Calibri"/>
          <w:color w:val="000000" w:themeColor="text1"/>
          <w:lang w:val="es-ES_tradnl"/>
        </w:rPr>
        <w:t>«</w:t>
      </w:r>
      <w:r w:rsidRPr="00430D26" w:rsidR="00332219">
        <w:rPr>
          <w:rFonts w:eastAsia="Calibri"/>
          <w:color w:val="000000" w:themeColor="text1"/>
          <w:lang w:val="es-ES_tradnl"/>
        </w:rPr>
        <w:t>instalar</w:t>
      </w:r>
      <w:r w:rsidRPr="00430D26" w:rsidR="00952AA3">
        <w:rPr>
          <w:rFonts w:eastAsia="Calibri"/>
          <w:color w:val="000000" w:themeColor="text1"/>
          <w:lang w:val="es-ES_tradnl"/>
        </w:rPr>
        <w:t>»</w:t>
      </w:r>
      <w:r w:rsidRPr="00430D26" w:rsidR="00332219">
        <w:rPr>
          <w:rFonts w:eastAsia="Calibri"/>
          <w:color w:val="000000" w:themeColor="text1"/>
          <w:lang w:val="es-ES_tradnl"/>
        </w:rPr>
        <w:t xml:space="preserve"> es poner o colocar </w:t>
      </w:r>
      <w:r w:rsidRPr="00430D26" w:rsidR="00952AA3">
        <w:rPr>
          <w:rFonts w:eastAsia="Calibri"/>
          <w:color w:val="000000" w:themeColor="text1"/>
          <w:lang w:val="es-ES_tradnl"/>
        </w:rPr>
        <w:t xml:space="preserve">algo </w:t>
      </w:r>
      <w:r w:rsidRPr="00430D26" w:rsidR="00332219">
        <w:rPr>
          <w:rFonts w:eastAsia="Calibri"/>
          <w:color w:val="000000" w:themeColor="text1"/>
          <w:lang w:val="es-ES_tradnl"/>
        </w:rPr>
        <w:t>en su lugar debido.</w:t>
      </w:r>
      <w:r w:rsidRPr="00430D26">
        <w:rPr>
          <w:rFonts w:eastAsia="Calibri"/>
          <w:color w:val="000000" w:themeColor="text1"/>
          <w:lang w:val="es-ES_tradnl"/>
        </w:rPr>
        <w:t xml:space="preserve"> Igualmente, el concepto se extiende a cualquier trabajo</w:t>
      </w:r>
      <w:r w:rsidRPr="00430D26" w:rsidR="00952AA3">
        <w:rPr>
          <w:rFonts w:eastAsia="Calibri"/>
          <w:color w:val="000000" w:themeColor="text1"/>
          <w:lang w:val="es-ES_tradnl"/>
        </w:rPr>
        <w:t xml:space="preserve"> material</w:t>
      </w:r>
      <w:r w:rsidRPr="00430D26">
        <w:rPr>
          <w:rFonts w:eastAsia="Calibri"/>
          <w:color w:val="000000" w:themeColor="text1"/>
          <w:lang w:val="es-ES_tradnl"/>
        </w:rPr>
        <w:t xml:space="preserve"> realizado sobre bienes inmuebles, tales como la reforma</w:t>
      </w:r>
      <w:r w:rsidRPr="00430D26" w:rsidR="00332219">
        <w:rPr>
          <w:rFonts w:eastAsia="Calibri"/>
          <w:color w:val="000000" w:themeColor="text1"/>
          <w:lang w:val="es-ES_tradnl"/>
        </w:rPr>
        <w:t xml:space="preserve"> y</w:t>
      </w:r>
      <w:r w:rsidRPr="00430D26">
        <w:rPr>
          <w:rFonts w:eastAsia="Calibri"/>
          <w:color w:val="000000" w:themeColor="text1"/>
          <w:lang w:val="es-ES_tradnl"/>
        </w:rPr>
        <w:t xml:space="preserve"> la demolición.</w:t>
      </w:r>
    </w:p>
    <w:p w:rsidRPr="00430D26" w:rsidR="00952AA3" w:rsidP="001E4B4C" w:rsidRDefault="00952AA3" w14:paraId="3D9701E0" w14:textId="77777777">
      <w:pPr>
        <w:spacing w:line="276" w:lineRule="auto"/>
        <w:ind w:firstLine="708"/>
        <w:jc w:val="both"/>
        <w:rPr>
          <w:rFonts w:eastAsia="Calibri"/>
          <w:color w:val="000000" w:themeColor="text1"/>
          <w:lang w:val="es-ES_tradnl"/>
        </w:rPr>
      </w:pPr>
      <w:r w:rsidRPr="00430D26">
        <w:rPr>
          <w:rFonts w:eastAsia="Calibri"/>
          <w:color w:val="000000" w:themeColor="text1"/>
          <w:lang w:val="es-ES_tradnl"/>
        </w:rPr>
        <w:t xml:space="preserve">Respecto a la referencia a los bienes inmuebles, se debe considerar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rsidRPr="00430D26" w:rsidR="00952AA3" w:rsidP="00952AA3" w:rsidRDefault="00952AA3" w14:paraId="652FB721" w14:textId="4D54084E">
      <w:pPr>
        <w:spacing w:before="120" w:line="276" w:lineRule="auto"/>
        <w:ind w:firstLine="708"/>
        <w:jc w:val="both"/>
        <w:rPr>
          <w:rFonts w:eastAsia="Calibri"/>
          <w:color w:val="000000" w:themeColor="text1"/>
          <w:lang w:val="es-ES_tradnl"/>
        </w:rPr>
      </w:pPr>
      <w:r w:rsidRPr="00430D26">
        <w:rPr>
          <w:rFonts w:eastAsia="Calibri"/>
          <w:color w:val="000000" w:themeColor="text1"/>
          <w:lang w:val="es-ES_tradnl"/>
        </w:rPr>
        <w:t xml:space="preserve">Teniendo en cuenta la remisión de los artículos 13, 32 y 40 del Estatuto General de Contratación al Código Civil, </w:t>
      </w:r>
      <w:bookmarkStart w:name="_Hlk81428905" w:id="7"/>
      <w:r w:rsidRPr="00430D26">
        <w:rPr>
          <w:rFonts w:eastAsia="Calibri"/>
          <w:color w:val="000000" w:themeColor="text1"/>
          <w:lang w:val="es-ES_tradnl"/>
        </w:rPr>
        <w:t xml:space="preserve">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w:t>
      </w:r>
      <w:r w:rsidRPr="00430D26">
        <w:rPr>
          <w:rFonts w:eastAsia="Calibri"/>
          <w:i/>
          <w:iCs/>
          <w:color w:val="000000" w:themeColor="text1"/>
          <w:lang w:val="es-ES_tradnl"/>
        </w:rPr>
        <w:t>inmuebles por adhesión</w:t>
      </w:r>
      <w:r w:rsidRPr="00430D26">
        <w:rPr>
          <w:rFonts w:eastAsia="Calibri"/>
          <w:color w:val="000000" w:themeColor="text1"/>
          <w:lang w:val="es-ES_tradnl"/>
        </w:rPr>
        <w:t xml:space="preserve"> y la doctrina los caracteriza como «[…] bienes muebles por naturaleza, adheridos permanente y materialmente a</w:t>
      </w:r>
      <w:r w:rsidRPr="00430D26" w:rsidR="000E5F56">
        <w:rPr>
          <w:rFonts w:eastAsia="Calibri"/>
          <w:color w:val="000000" w:themeColor="text1"/>
          <w:lang w:val="es-ES_tradnl"/>
        </w:rPr>
        <w:t xml:space="preserve"> un</w:t>
      </w:r>
      <w:r w:rsidRPr="00430D26">
        <w:rPr>
          <w:rFonts w:eastAsia="Calibri"/>
          <w:color w:val="000000" w:themeColor="text1"/>
          <w:lang w:val="es-ES_tradnl"/>
        </w:rPr>
        <w:t xml:space="preserve"> inmueble, </w:t>
      </w:r>
      <w:r w:rsidRPr="00430D26">
        <w:rPr>
          <w:rFonts w:eastAsia="Calibri"/>
          <w:color w:val="000000" w:themeColor="text1"/>
          <w:lang w:val="es-ES_tradnl"/>
        </w:rPr>
        <w:lastRenderedPageBreak/>
        <w:t>incorporados por el propietario o por una persona distinta de él, que por una ficción jurídica del legislador se transforman en bienes inmuebles»</w:t>
      </w:r>
      <w:r w:rsidRPr="00430D26">
        <w:rPr>
          <w:rStyle w:val="Refdenotaalpie"/>
          <w:rFonts w:eastAsia="Calibri"/>
          <w:color w:val="000000" w:themeColor="text1"/>
          <w:lang w:val="es-ES_tradnl"/>
        </w:rPr>
        <w:footnoteReference w:id="5"/>
      </w:r>
      <w:r w:rsidRPr="00430D26">
        <w:rPr>
          <w:rFonts w:eastAsia="Calibri"/>
          <w:color w:val="000000" w:themeColor="text1"/>
          <w:lang w:val="es-ES_tradnl"/>
        </w:rPr>
        <w:t xml:space="preserve">.   </w:t>
      </w:r>
    </w:p>
    <w:p w:rsidRPr="00430D26" w:rsidR="00952AA3" w:rsidP="00952AA3" w:rsidRDefault="00952AA3" w14:paraId="72915523" w14:textId="77777777">
      <w:pPr>
        <w:spacing w:before="120" w:line="276" w:lineRule="auto"/>
        <w:ind w:firstLine="708"/>
        <w:jc w:val="both"/>
        <w:rPr>
          <w:rFonts w:eastAsia="Calibri"/>
          <w:color w:val="000000" w:themeColor="text1"/>
          <w:lang w:val="es-ES_tradnl"/>
        </w:rPr>
      </w:pPr>
      <w:bookmarkStart w:name="_Hlk81428960" w:id="9"/>
      <w:bookmarkEnd w:id="7"/>
      <w:r w:rsidRPr="00430D26">
        <w:rPr>
          <w:rFonts w:eastAsia="Calibri"/>
          <w:color w:val="000000" w:themeColor="text1"/>
          <w:lang w:val="es-ES_tradnl"/>
        </w:rPr>
        <w:t xml:space="preserve">Por otra parte, el artículo 658 del Código Civil crea la categoría de </w:t>
      </w:r>
      <w:r w:rsidRPr="00430D26">
        <w:rPr>
          <w:rFonts w:eastAsia="Calibri"/>
          <w:i/>
          <w:iCs/>
          <w:color w:val="000000" w:themeColor="text1"/>
          <w:lang w:val="es-ES_tradnl"/>
        </w:rPr>
        <w:t>inmuebles por destinación</w:t>
      </w:r>
      <w:r w:rsidRPr="00430D26">
        <w:rPr>
          <w:rFonts w:eastAsia="Calibri"/>
          <w:color w:val="000000" w:themeColor="text1"/>
          <w:lang w:val="es-ES_tradnl"/>
        </w:rPr>
        <w:t>, disponiendo que «Se reputan inmuebles, aunque por su naturaleza no lo sean, las cosas que están permanentemente destinadas al uso, cultivo y beneficio de un inmueble, sin embargo de que puedan separarse sin detrimento».</w:t>
      </w:r>
      <w:bookmarkEnd w:id="9"/>
      <w:r w:rsidRPr="00430D26">
        <w:rPr>
          <w:rFonts w:eastAsia="Calibri"/>
          <w:color w:val="000000" w:themeColor="text1"/>
          <w:lang w:val="es-ES_tradnl"/>
        </w:rPr>
        <w:t xml:space="preserve"> El mismo artículo crea una lista enunciativa de estos bienes, dentro de los cuales se encuentran: i) las losas de un pavimento; ii) los tubos de las cañerías; iii) los utensilios de labranza o minería, y los animales actualmente destinados al cultivo o beneficio de una finca, con tal que hayan sido puestos en ella por el dueño de la finca; iv)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 </w:t>
      </w:r>
    </w:p>
    <w:p w:rsidRPr="00430D26" w:rsidR="00952AA3" w:rsidP="00952AA3" w:rsidRDefault="00952AA3" w14:paraId="4C7C0BFC" w14:textId="77777777">
      <w:pPr>
        <w:spacing w:before="120" w:line="276" w:lineRule="auto"/>
        <w:ind w:firstLine="708"/>
        <w:jc w:val="both"/>
        <w:rPr>
          <w:rFonts w:eastAsia="Calibri"/>
          <w:color w:val="000000" w:themeColor="text1"/>
          <w:lang w:val="es-ES_tradnl"/>
        </w:rPr>
      </w:pPr>
      <w:bookmarkStart w:name="_Hlk81429063" w:id="10"/>
      <w:r w:rsidRPr="00430D26">
        <w:rPr>
          <w:rFonts w:eastAsia="Calibri"/>
          <w:color w:val="000000" w:themeColor="text1"/>
          <w:lang w:val="es-ES_tradnl"/>
        </w:rPr>
        <w:t>Así las cosas, para que clasifiquen dentro de esta categoría se requiere que los 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en razón de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bookmarkEnd w:id="10"/>
      <w:r w:rsidRPr="00430D26">
        <w:rPr>
          <w:rStyle w:val="Refdenotaalpie"/>
          <w:rFonts w:eastAsia="Calibri"/>
          <w:color w:val="000000" w:themeColor="text1"/>
          <w:lang w:val="es-ES_tradnl"/>
        </w:rPr>
        <w:footnoteReference w:id="6"/>
      </w:r>
      <w:r w:rsidRPr="00430D26">
        <w:rPr>
          <w:rFonts w:eastAsia="Calibri"/>
          <w:color w:val="000000" w:themeColor="text1"/>
          <w:lang w:val="es-ES_tradnl"/>
        </w:rPr>
        <w:t xml:space="preserve">.  </w:t>
      </w:r>
    </w:p>
    <w:p w:rsidRPr="00430D26" w:rsidR="00420D31" w:rsidP="0065330A" w:rsidRDefault="00952AA3" w14:paraId="520CE074" w14:textId="4BC89213">
      <w:pPr>
        <w:spacing w:before="120" w:line="276" w:lineRule="auto"/>
        <w:ind w:firstLine="708"/>
        <w:jc w:val="both"/>
        <w:rPr>
          <w:rFonts w:eastAsia="Calibri"/>
          <w:color w:val="000000" w:themeColor="text1"/>
          <w:lang w:val="es-ES_tradnl"/>
        </w:rPr>
      </w:pPr>
      <w:r w:rsidRPr="00430D26">
        <w:rPr>
          <w:rFonts w:eastAsia="Calibri"/>
          <w:color w:val="000000" w:themeColor="text1"/>
          <w:lang w:val="es-ES_tradnl"/>
        </w:rPr>
        <w:t xml:space="preserve">Las diferencias entre ambos tipos de bienes se derivan de que: i) mientras la incorporación de los </w:t>
      </w:r>
      <w:r w:rsidRPr="00430D26">
        <w:rPr>
          <w:rFonts w:eastAsia="Calibri"/>
          <w:i/>
          <w:iCs/>
          <w:color w:val="000000" w:themeColor="text1"/>
          <w:lang w:val="es-ES_tradnl"/>
        </w:rPr>
        <w:t>inmuebles por adhesión</w:t>
      </w:r>
      <w:r w:rsidRPr="00430D26">
        <w:rPr>
          <w:rFonts w:eastAsia="Calibri"/>
          <w:color w:val="000000" w:themeColor="text1"/>
          <w:lang w:val="es-ES_tradnl"/>
        </w:rPr>
        <w:t xml:space="preserve"> es material, la de los </w:t>
      </w:r>
      <w:r w:rsidRPr="00430D26">
        <w:rPr>
          <w:rFonts w:eastAsia="Calibri"/>
          <w:i/>
          <w:iCs/>
          <w:color w:val="000000" w:themeColor="text1"/>
          <w:lang w:val="es-ES_tradnl"/>
        </w:rPr>
        <w:t xml:space="preserve">inmuebles por destinación </w:t>
      </w:r>
      <w:r w:rsidRPr="00430D26">
        <w:rPr>
          <w:rFonts w:eastAsia="Calibri"/>
          <w:color w:val="000000" w:themeColor="text1"/>
          <w:lang w:val="es-ES_tradnl"/>
        </w:rPr>
        <w:t>es intelectual; ii) mientras los primeros son incorporados por el dueño o por terceras personas, en los segundos es necesaria la identidad del propietario; finalmente, iii) mientras que aquellos pierden individualidad por la incorporación al inmueble, no sucede lo mismo con los segundos, los cuales conservan su autonomía pese a estar destinados al cultivo de aquel.</w:t>
      </w:r>
      <w:r w:rsidRPr="00430D26" w:rsidR="00211741">
        <w:rPr>
          <w:rFonts w:eastAsia="Calibri"/>
          <w:color w:val="000000" w:themeColor="text1"/>
          <w:lang w:val="es-ES_tradnl"/>
        </w:rPr>
        <w:t xml:space="preserve"> De esta manera, la distinción del Código Civil entre bienes muebles e inmuebles influye en la identificación de una actividad material como parte de un contrato de obra pública en los </w:t>
      </w:r>
      <w:bookmarkStart w:name="_Hlk81429290" w:id="11"/>
      <w:r w:rsidRPr="00430D26" w:rsidR="00211741">
        <w:rPr>
          <w:rFonts w:eastAsia="Calibri"/>
          <w:color w:val="000000" w:themeColor="text1"/>
          <w:lang w:val="es-ES_tradnl"/>
        </w:rPr>
        <w:t xml:space="preserve">términos del Estatuto General de Contratación de la Administración Pública. </w:t>
      </w:r>
    </w:p>
    <w:p w:rsidRPr="001E4B4C" w:rsidR="00683C09" w:rsidRDefault="005C02D2" w14:paraId="298253ED" w14:textId="64FC5F79">
      <w:pPr>
        <w:spacing w:before="120" w:line="276" w:lineRule="auto"/>
        <w:ind w:firstLine="709"/>
        <w:jc w:val="both"/>
        <w:rPr>
          <w:rFonts w:eastAsia="Calibri"/>
          <w:color w:val="000000" w:themeColor="text1"/>
          <w:lang w:val="es-ES_tradnl"/>
        </w:rPr>
      </w:pPr>
      <w:r w:rsidRPr="001E4B4C">
        <w:rPr>
          <w:rFonts w:eastAsia="Calibri"/>
          <w:color w:val="000000" w:themeColor="text1"/>
          <w:lang w:val="es-ES_tradnl"/>
        </w:rPr>
        <w:t>En ese sentido</w:t>
      </w:r>
      <w:r w:rsidRPr="00430D26" w:rsidR="0078586D">
        <w:rPr>
          <w:rFonts w:eastAsia="Calibri"/>
          <w:color w:val="000000" w:themeColor="text1"/>
          <w:lang w:val="es-ES_tradnl"/>
        </w:rPr>
        <w:t xml:space="preserve">, </w:t>
      </w:r>
      <w:r w:rsidRPr="001E4B4C" w:rsidR="00683C09">
        <w:rPr>
          <w:rFonts w:eastAsia="Calibri"/>
          <w:color w:val="000000" w:themeColor="text1"/>
          <w:lang w:val="es-ES_tradnl"/>
        </w:rPr>
        <w:t>la naturaleza</w:t>
      </w:r>
      <w:r w:rsidRPr="001E4B4C" w:rsidR="008954BB">
        <w:rPr>
          <w:rFonts w:eastAsia="Calibri"/>
          <w:color w:val="000000" w:themeColor="text1"/>
          <w:lang w:val="es-ES_tradnl"/>
        </w:rPr>
        <w:t xml:space="preserve"> </w:t>
      </w:r>
      <w:r w:rsidRPr="001E4B4C" w:rsidR="00683C09">
        <w:rPr>
          <w:rFonts w:eastAsia="Calibri"/>
          <w:color w:val="000000" w:themeColor="text1"/>
          <w:lang w:val="es-ES_tradnl"/>
        </w:rPr>
        <w:t>inmueble del</w:t>
      </w:r>
      <w:r w:rsidRPr="001E4B4C" w:rsidR="008954BB">
        <w:rPr>
          <w:rFonts w:eastAsia="Calibri"/>
          <w:color w:val="000000" w:themeColor="text1"/>
          <w:lang w:val="es-ES_tradnl"/>
        </w:rPr>
        <w:t xml:space="preserve"> bien</w:t>
      </w:r>
      <w:r w:rsidRPr="001E4B4C" w:rsidR="00683C09">
        <w:rPr>
          <w:rFonts w:eastAsia="Calibri"/>
          <w:color w:val="000000" w:themeColor="text1"/>
          <w:lang w:val="es-ES_tradnl"/>
        </w:rPr>
        <w:t xml:space="preserve"> sobre el que se realizan el mantenimiento es determinante para saber si está ante un contrato de obra pública, ya que de </w:t>
      </w:r>
      <w:r w:rsidRPr="001E4B4C" w:rsidR="00683C09">
        <w:rPr>
          <w:rFonts w:eastAsia="Calibri"/>
          <w:color w:val="000000" w:themeColor="text1"/>
          <w:lang w:val="es-ES_tradnl"/>
        </w:rPr>
        <w:lastRenderedPageBreak/>
        <w:t xml:space="preserve">este tipo contractual se encuentran excluidos trabajos materiales realizados sobre bienes muebles, por lo que estos corresponderían a un </w:t>
      </w:r>
      <w:r w:rsidRPr="001E4B4C" w:rsidR="00C95108">
        <w:rPr>
          <w:rFonts w:eastAsia="Calibri"/>
          <w:color w:val="000000" w:themeColor="text1"/>
          <w:lang w:val="es-ES_tradnl"/>
        </w:rPr>
        <w:t>tipo</w:t>
      </w:r>
      <w:r w:rsidRPr="001E4B4C" w:rsidR="00683C09">
        <w:rPr>
          <w:rFonts w:eastAsia="Calibri"/>
          <w:color w:val="000000" w:themeColor="text1"/>
          <w:lang w:val="es-ES_tradnl"/>
        </w:rPr>
        <w:t xml:space="preserve"> contractual diferente. </w:t>
      </w:r>
      <w:bookmarkEnd w:id="11"/>
      <w:r w:rsidRPr="001E4B4C" w:rsidR="00683C09">
        <w:rPr>
          <w:rFonts w:eastAsia="Calibri"/>
          <w:color w:val="000000" w:themeColor="text1"/>
          <w:lang w:val="es-ES_tradnl"/>
        </w:rPr>
        <w:t xml:space="preserve">Esto supone que, </w:t>
      </w:r>
      <w:r w:rsidRPr="00430D26" w:rsidR="0078586D">
        <w:rPr>
          <w:rFonts w:eastAsia="Calibri"/>
          <w:color w:val="000000" w:themeColor="text1"/>
          <w:lang w:val="es-ES_tradnl"/>
        </w:rPr>
        <w:t>en caso de</w:t>
      </w:r>
      <w:r w:rsidRPr="001E4B4C" w:rsidR="00E821C5">
        <w:rPr>
          <w:rFonts w:eastAsia="Calibri"/>
          <w:color w:val="000000" w:themeColor="text1"/>
          <w:lang w:val="es-ES_tradnl"/>
        </w:rPr>
        <w:t xml:space="preserve"> que</w:t>
      </w:r>
      <w:r w:rsidRPr="00430D26" w:rsidR="0078586D">
        <w:rPr>
          <w:rFonts w:eastAsia="Calibri"/>
          <w:color w:val="000000" w:themeColor="text1"/>
          <w:lang w:val="es-ES_tradnl"/>
        </w:rPr>
        <w:t xml:space="preserve"> las prestaciones</w:t>
      </w:r>
      <w:r w:rsidRPr="001E4B4C" w:rsidR="00683C09">
        <w:rPr>
          <w:rFonts w:eastAsia="Calibri"/>
          <w:color w:val="000000" w:themeColor="text1"/>
          <w:lang w:val="es-ES_tradnl"/>
        </w:rPr>
        <w:t xml:space="preserve"> a realizarse</w:t>
      </w:r>
      <w:r w:rsidRPr="00430D26" w:rsidR="0078586D">
        <w:rPr>
          <w:rFonts w:eastAsia="Calibri"/>
          <w:color w:val="000000" w:themeColor="text1"/>
          <w:lang w:val="es-ES_tradnl"/>
        </w:rPr>
        <w:t xml:space="preserve"> impliquen el desarrollo de actividades materiales sobre bienes muebles, </w:t>
      </w:r>
      <w:r w:rsidRPr="001E4B4C" w:rsidR="00683C09">
        <w:rPr>
          <w:rFonts w:eastAsia="Calibri"/>
          <w:color w:val="000000" w:themeColor="text1"/>
          <w:lang w:val="es-ES_tradnl"/>
        </w:rPr>
        <w:t>no resulta jurídicamente valido acudir al contrato de obra pública, debiendo la</w:t>
      </w:r>
      <w:r w:rsidRPr="00430D26" w:rsidR="0078586D">
        <w:rPr>
          <w:rFonts w:eastAsia="Calibri"/>
          <w:color w:val="000000" w:themeColor="text1"/>
          <w:lang w:val="es-ES_tradnl"/>
        </w:rPr>
        <w:t xml:space="preserve"> entidad acudir al régimen contractual de </w:t>
      </w:r>
      <w:r w:rsidRPr="001E4B4C" w:rsidR="00683C09">
        <w:rPr>
          <w:rFonts w:eastAsia="Calibri"/>
          <w:color w:val="000000" w:themeColor="text1"/>
          <w:lang w:val="es-ES_tradnl"/>
        </w:rPr>
        <w:t>algún otro tipo contractual en el que se subsuma la actividad a contratar, como, por ejemplo, el</w:t>
      </w:r>
      <w:r w:rsidRPr="00430D26" w:rsidR="0078586D">
        <w:rPr>
          <w:rFonts w:eastAsia="Calibri"/>
          <w:color w:val="000000" w:themeColor="text1"/>
          <w:lang w:val="es-ES_tradnl"/>
        </w:rPr>
        <w:t xml:space="preserve"> contrato de prestación de servicios, o a cualquier otra modalidad típica o atípica, nominada o innominada que pueda celebrarse entre la entidad estatal y un contratista, en los términos de la autonomía de la voluntad de las partes, de acuerdo con lo previsto en los artículos 32 y 40 de la </w:t>
      </w:r>
      <w:r w:rsidRPr="001E4B4C" w:rsidR="00C95108">
        <w:rPr>
          <w:rFonts w:eastAsia="Calibri"/>
          <w:color w:val="000000" w:themeColor="text1"/>
          <w:lang w:val="es-ES_tradnl"/>
        </w:rPr>
        <w:t>L</w:t>
      </w:r>
      <w:r w:rsidRPr="00430D26" w:rsidR="0078586D">
        <w:rPr>
          <w:rFonts w:eastAsia="Calibri"/>
          <w:color w:val="000000" w:themeColor="text1"/>
          <w:lang w:val="es-ES_tradnl"/>
        </w:rPr>
        <w:t xml:space="preserve">ey 80 de 1993. </w:t>
      </w:r>
    </w:p>
    <w:p w:rsidRPr="001E4B4C" w:rsidR="00DD581A" w:rsidP="000E2C9B" w:rsidRDefault="00DD581A" w14:paraId="0113FF16" w14:textId="77777777">
      <w:pPr>
        <w:pStyle w:val="Textoindependiente"/>
        <w:spacing w:line="276" w:lineRule="auto"/>
        <w:ind w:right="109"/>
        <w:jc w:val="both"/>
        <w:rPr>
          <w:rFonts w:eastAsia="Calibri"/>
          <w:b/>
          <w:bCs/>
          <w:color w:val="000000" w:themeColor="text1"/>
          <w:lang w:val="es-ES_tradnl"/>
        </w:rPr>
      </w:pPr>
    </w:p>
    <w:p w:rsidRPr="00430D26" w:rsidR="000E2C9B" w:rsidP="00091EEF" w:rsidRDefault="00DD581A" w14:paraId="5E4F2318" w14:textId="0D8CA046">
      <w:pPr>
        <w:pStyle w:val="Textoindependiente"/>
        <w:numPr>
          <w:ilvl w:val="1"/>
          <w:numId w:val="11"/>
        </w:numPr>
        <w:spacing w:line="276" w:lineRule="auto"/>
        <w:ind w:left="0" w:right="109" w:hanging="11"/>
        <w:jc w:val="both"/>
        <w:rPr>
          <w:rFonts w:eastAsia="Calibri"/>
          <w:b/>
          <w:bCs/>
          <w:color w:val="000000" w:themeColor="text1"/>
          <w:lang w:val="es-ES_tradnl"/>
        </w:rPr>
      </w:pPr>
      <w:r w:rsidRPr="001E4B4C">
        <w:rPr>
          <w:rFonts w:eastAsia="Calibri"/>
          <w:b/>
          <w:bCs/>
          <w:color w:val="000000" w:themeColor="text1"/>
          <w:lang w:val="es-ES_tradnl"/>
        </w:rPr>
        <w:t>El contrato de prestación de servicios</w:t>
      </w:r>
      <w:r w:rsidRPr="00430D26" w:rsidR="0051392C">
        <w:rPr>
          <w:rFonts w:eastAsia="Calibri"/>
          <w:b/>
          <w:bCs/>
          <w:color w:val="000000" w:themeColor="text1"/>
          <w:lang w:val="es-ES_tradnl"/>
        </w:rPr>
        <w:t>:</w:t>
      </w:r>
      <w:r w:rsidRPr="00430D26" w:rsidR="001912ED">
        <w:rPr>
          <w:rFonts w:eastAsia="Calibri"/>
          <w:b/>
          <w:bCs/>
          <w:color w:val="000000" w:themeColor="text1"/>
          <w:lang w:val="es-ES_tradnl"/>
        </w:rPr>
        <w:t xml:space="preserve"> </w:t>
      </w:r>
      <w:r w:rsidRPr="00430D26" w:rsidR="0051392C">
        <w:rPr>
          <w:rFonts w:eastAsia="Calibri"/>
          <w:b/>
          <w:bCs/>
          <w:color w:val="000000" w:themeColor="text1"/>
          <w:lang w:val="es-ES_tradnl"/>
        </w:rPr>
        <w:t xml:space="preserve">elementos características </w:t>
      </w:r>
      <w:r w:rsidRPr="00430D26" w:rsidR="001912ED">
        <w:rPr>
          <w:rFonts w:eastAsia="Calibri"/>
          <w:b/>
          <w:bCs/>
          <w:color w:val="000000" w:themeColor="text1"/>
          <w:lang w:val="es-ES_tradnl"/>
        </w:rPr>
        <w:t xml:space="preserve">y </w:t>
      </w:r>
      <w:r w:rsidRPr="00430D26" w:rsidR="0051392C">
        <w:rPr>
          <w:rFonts w:eastAsia="Calibri"/>
          <w:b/>
          <w:bCs/>
          <w:color w:val="000000" w:themeColor="text1"/>
          <w:lang w:val="es-ES_tradnl"/>
        </w:rPr>
        <w:t xml:space="preserve">criterios para su </w:t>
      </w:r>
      <w:r w:rsidRPr="00430D26" w:rsidR="001912ED">
        <w:rPr>
          <w:rFonts w:eastAsia="Calibri"/>
          <w:b/>
          <w:bCs/>
          <w:color w:val="000000" w:themeColor="text1"/>
          <w:lang w:val="es-ES_tradnl"/>
        </w:rPr>
        <w:t>distinción del contrato de obra pública</w:t>
      </w:r>
    </w:p>
    <w:p w:rsidRPr="00430D26" w:rsidR="00AD2174" w:rsidP="001E4B4C" w:rsidRDefault="00AD2174" w14:paraId="068B91E7" w14:textId="73541ED7">
      <w:pPr>
        <w:pStyle w:val="Textoindependiente"/>
        <w:ind w:right="109"/>
        <w:jc w:val="both"/>
        <w:rPr>
          <w:rFonts w:eastAsia="Calibri"/>
          <w:b/>
          <w:bCs/>
          <w:color w:val="000000" w:themeColor="text1"/>
          <w:lang w:val="es-ES_tradnl"/>
        </w:rPr>
      </w:pPr>
    </w:p>
    <w:p w:rsidRPr="00430D26" w:rsidR="00AD2174" w:rsidP="001E4B4C" w:rsidRDefault="00AD2174" w14:paraId="15132BA8" w14:textId="4FB5BAD3">
      <w:pPr>
        <w:spacing w:after="120" w:line="276" w:lineRule="auto"/>
        <w:jc w:val="both"/>
      </w:pPr>
      <w:r w:rsidRPr="00430D26">
        <w:t>La Administración Pública suele contratar servicios con personas naturales externas, no vinculadas como servidores o funcionarios suyos, para satisfacer necesidades asociadas a su funcionamiento o para el cumplimiento de actividades dirigidas a su cargo. Igualmente, contrata personas jurídicas con la misma finalidad</w:t>
      </w:r>
      <w:r w:rsidRPr="001E4B4C" w:rsidR="00C95108">
        <w:rPr>
          <w:rStyle w:val="Refdenotaalpie"/>
          <w:rFonts w:eastAsia="Calibri"/>
          <w:color w:val="000000" w:themeColor="text1"/>
          <w:lang w:val="es-ES_tradnl"/>
        </w:rPr>
        <w:footnoteReference w:id="7"/>
      </w:r>
      <w:r w:rsidRPr="00430D26">
        <w:t xml:space="preserve">. </w:t>
      </w:r>
    </w:p>
    <w:p w:rsidRPr="001E4B4C" w:rsidR="00CC6DFA" w:rsidP="001E4B4C" w:rsidRDefault="008B158A" w14:paraId="430C7D0C" w14:textId="00791E3F">
      <w:pPr>
        <w:spacing w:after="120" w:line="276" w:lineRule="auto"/>
        <w:ind w:firstLine="709"/>
        <w:jc w:val="both"/>
        <w:rPr>
          <w:rFonts w:eastAsia="Calibri"/>
          <w:color w:val="000000" w:themeColor="text1"/>
          <w:lang w:val="es-ES_tradnl"/>
        </w:rPr>
      </w:pPr>
      <w:bookmarkStart w:name="_Hlk81429513" w:id="12"/>
      <w:r w:rsidRPr="00430D26">
        <w:rPr>
          <w:rFonts w:eastAsia="Calibri"/>
          <w:color w:val="000000" w:themeColor="text1"/>
          <w:lang w:val="es-ES_tradnl"/>
        </w:rPr>
        <w:t xml:space="preserve">El artículo 32.3 de la Ley 80 de 1993 dispuso que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bookmarkEnd w:id="12"/>
    <w:p w:rsidRPr="00430D26" w:rsidR="00CC6DFA" w:rsidP="00CC6DFA" w:rsidRDefault="00CC6DFA" w14:paraId="1987ABC3" w14:textId="6E45F52D">
      <w:pPr>
        <w:spacing w:line="276" w:lineRule="auto"/>
        <w:ind w:firstLine="709"/>
        <w:jc w:val="both"/>
      </w:pPr>
      <w:r w:rsidRPr="00430D26">
        <w:rPr>
          <w:lang w:val="es-CO"/>
        </w:rPr>
        <w:t>En este sentido, como lo ha reconocido la doctrina, e</w:t>
      </w:r>
      <w:r w:rsidRPr="00430D26">
        <w:t>l contrato de prestación de servicios es «</w:t>
      </w:r>
      <w:r w:rsidRPr="00430D26" w:rsidR="00993383">
        <w:t>[</w:t>
      </w:r>
      <w:r w:rsidRPr="00430D26">
        <w:t>u</w:t>
      </w:r>
      <w:r w:rsidRPr="00430D26" w:rsidR="00993383">
        <w:t>]</w:t>
      </w:r>
      <w:r w:rsidRPr="00430D26">
        <w:t>n instrumento de gestión utilizado por la administración pública para la ejecución de algunas de sus actividades e incluso para la prestación de algunos servicios públicos. Por ende, las características de autonomía del contratista, especialidad de la gestión y la excepcionalidad del contrato, son las determinantes en la conformación de este negocio jurídico […]</w:t>
      </w:r>
      <w:r w:rsidRPr="00430D26" w:rsidR="00993383">
        <w:t>»</w:t>
      </w:r>
      <w:r w:rsidRPr="00430D26">
        <w:rPr>
          <w:rStyle w:val="Refdenotaalpie"/>
        </w:rPr>
        <w:footnoteReference w:id="8"/>
      </w:r>
      <w:r w:rsidRPr="00430D26">
        <w:t xml:space="preserve"> </w:t>
      </w:r>
      <w:r w:rsidRPr="00430D26" w:rsidR="00993383">
        <w:t xml:space="preserve"> </w:t>
      </w:r>
      <w:r w:rsidRPr="00430D26">
        <w:t xml:space="preserve">Vale la pena precisar que </w:t>
      </w:r>
      <w:r w:rsidRPr="00430D26" w:rsidR="00993383">
        <w:rPr>
          <w:lang w:val="es-CO"/>
        </w:rPr>
        <w:t>«</w:t>
      </w:r>
      <w:r w:rsidRPr="00430D26">
        <w:t xml:space="preserve">[e]n su interpretación gramatical, los vocablos </w:t>
      </w:r>
      <w:r w:rsidRPr="00430D26" w:rsidR="00FC7C2B">
        <w:rPr>
          <w:i/>
          <w:iCs/>
        </w:rPr>
        <w:t>«</w:t>
      </w:r>
      <w:r w:rsidRPr="001E4B4C">
        <w:rPr>
          <w:i/>
          <w:iCs/>
        </w:rPr>
        <w:t>administración</w:t>
      </w:r>
      <w:r w:rsidRPr="00430D26" w:rsidR="00FC7C2B">
        <w:rPr>
          <w:i/>
          <w:iCs/>
        </w:rPr>
        <w:t>»</w:t>
      </w:r>
      <w:r w:rsidRPr="00430D26">
        <w:t xml:space="preserve"> y </w:t>
      </w:r>
      <w:r w:rsidRPr="00430D26" w:rsidR="00FC7C2B">
        <w:rPr>
          <w:i/>
          <w:iCs/>
        </w:rPr>
        <w:t>«</w:t>
      </w:r>
      <w:r w:rsidRPr="001E4B4C">
        <w:rPr>
          <w:i/>
          <w:iCs/>
        </w:rPr>
        <w:t>funcionamiento</w:t>
      </w:r>
      <w:r w:rsidRPr="00430D26" w:rsidR="00FC7C2B">
        <w:rPr>
          <w:i/>
          <w:iCs/>
        </w:rPr>
        <w:t>»</w:t>
      </w:r>
      <w:r w:rsidRPr="00430D26">
        <w:t xml:space="preserve"> definen actividades de distinta naturaleza dentro de una </w:t>
      </w:r>
      <w:r w:rsidRPr="00430D26">
        <w:lastRenderedPageBreak/>
        <w:t xml:space="preserve">organización, las cuales en la práctica administrativa se identifican respectivamente como </w:t>
      </w:r>
      <w:r w:rsidRPr="00430D26" w:rsidR="00FC7C2B">
        <w:rPr>
          <w:i/>
          <w:iCs/>
        </w:rPr>
        <w:t>«</w:t>
      </w:r>
      <w:r w:rsidRPr="001E4B4C">
        <w:rPr>
          <w:i/>
          <w:iCs/>
        </w:rPr>
        <w:t>de apoyo</w:t>
      </w:r>
      <w:r w:rsidRPr="00430D26" w:rsidR="00FC7C2B">
        <w:rPr>
          <w:i/>
          <w:iCs/>
        </w:rPr>
        <w:t xml:space="preserve">» </w:t>
      </w:r>
      <w:r w:rsidRPr="00430D26">
        <w:t xml:space="preserve">y </w:t>
      </w:r>
      <w:r w:rsidRPr="001E4B4C" w:rsidR="00FC7C2B">
        <w:rPr>
          <w:i/>
          <w:iCs/>
        </w:rPr>
        <w:t>«</w:t>
      </w:r>
      <w:r w:rsidRPr="001E4B4C">
        <w:rPr>
          <w:i/>
          <w:iCs/>
        </w:rPr>
        <w:t>misionales</w:t>
      </w:r>
      <w:r w:rsidRPr="001E4B4C" w:rsidR="00FC7C2B">
        <w:rPr>
          <w:i/>
          <w:iCs/>
        </w:rPr>
        <w:t>»</w:t>
      </w:r>
      <w:r w:rsidRPr="00430D26">
        <w:rPr>
          <w:rStyle w:val="Refdenotaalpie"/>
        </w:rPr>
        <w:footnoteReference w:id="9"/>
      </w:r>
      <w:r w:rsidRPr="00430D26">
        <w:t xml:space="preserve">.  De manera que este tipo contractual es </w:t>
      </w:r>
      <w:r w:rsidRPr="00430D26">
        <w:rPr>
          <w:lang w:val="es-CO"/>
        </w:rPr>
        <w:t xml:space="preserve">utilizado por la Administración para la contratación de actividades que necesiten conocimientos profesionales, técnicos, científicos o cuando se esté frente a la insuficiencia de personal de planta para cubrir un requerimiento concreto, con el fin de que las acompañen, asesoren, apoyen o soporten. </w:t>
      </w:r>
    </w:p>
    <w:p w:rsidRPr="001E4B4C" w:rsidR="00CC6DFA" w:rsidP="00AD2174" w:rsidRDefault="00CC6DFA" w14:paraId="55BB7B96" w14:textId="77777777">
      <w:pPr>
        <w:spacing w:line="276" w:lineRule="auto"/>
        <w:ind w:firstLine="708"/>
        <w:jc w:val="both"/>
        <w:rPr>
          <w:rFonts w:eastAsia="Calibri"/>
          <w:color w:val="000000" w:themeColor="text1"/>
          <w:lang w:val="es-ES_tradnl"/>
        </w:rPr>
      </w:pPr>
    </w:p>
    <w:p w:rsidRPr="00430D26" w:rsidR="008B158A" w:rsidP="001E4B4C" w:rsidRDefault="008B158A" w14:paraId="39FE3C2A" w14:textId="650A827F">
      <w:pPr>
        <w:spacing w:line="276" w:lineRule="auto"/>
        <w:ind w:firstLine="708"/>
        <w:jc w:val="both"/>
      </w:pPr>
      <w:r w:rsidRPr="00430D26">
        <w:t>Respecto a esta tipología de contrato, la Corte Constitucional en Sentencia C-154 del 19 de marzo de 1997 explicó que:</w:t>
      </w:r>
    </w:p>
    <w:p w:rsidRPr="001E4B4C" w:rsidR="008B158A" w:rsidP="008B158A" w:rsidRDefault="008B158A" w14:paraId="1909F6BE" w14:textId="77777777">
      <w:pPr>
        <w:pStyle w:val="Textoindependiente"/>
        <w:spacing w:line="276" w:lineRule="auto"/>
        <w:ind w:right="109" w:firstLine="709"/>
        <w:jc w:val="both"/>
      </w:pPr>
    </w:p>
    <w:p w:rsidRPr="001E4B4C" w:rsidR="008B158A" w:rsidRDefault="008B158A" w14:paraId="56C2AB52" w14:textId="46CBB2F7">
      <w:pPr>
        <w:ind w:left="709" w:right="709"/>
        <w:jc w:val="both"/>
        <w:rPr>
          <w:sz w:val="21"/>
          <w:szCs w:val="21"/>
        </w:rPr>
      </w:pPr>
      <w:r w:rsidRPr="00430D26">
        <w:rPr>
          <w:sz w:val="21"/>
          <w:szCs w:val="21"/>
        </w:rPr>
        <w:t>El contrato de prestación de servicios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a. La prestación de servicios versa sobre una obligación de hacer para la ejecución de labores en razón de la experiencia, capacitación y formación profesional de una persona en determinada materia, con la cual se acuerdan las respectivas labores profesionales. b. La autonomía e independencia del contratista desde el punto de vista técnico y científico, constituye el elemento esencial de este contrato. c. La vigencia del contrato es temporal y, por lo tanto, su duración debe ser por tiempo limitado y el indispensable para ejecutar el objeto contractual convenido.</w:t>
      </w:r>
      <w:r w:rsidRPr="00430D26">
        <w:rPr>
          <w:rStyle w:val="Refdenotaalpie"/>
          <w:sz w:val="21"/>
          <w:szCs w:val="21"/>
        </w:rPr>
        <w:footnoteReference w:id="10"/>
      </w:r>
    </w:p>
    <w:p w:rsidRPr="001E4B4C" w:rsidR="00C15D6A" w:rsidRDefault="00C15D6A" w14:paraId="1551D6CF" w14:textId="7FAA8907">
      <w:pPr>
        <w:ind w:left="709" w:right="709"/>
        <w:jc w:val="both"/>
        <w:rPr>
          <w:sz w:val="21"/>
          <w:szCs w:val="21"/>
        </w:rPr>
      </w:pPr>
    </w:p>
    <w:p w:rsidRPr="00430D26" w:rsidR="00C15D6A" w:rsidP="001E4B4C" w:rsidRDefault="00C15D6A" w14:paraId="61BFCAFE" w14:textId="77777777">
      <w:pPr>
        <w:pStyle w:val="Textoindependiente"/>
        <w:spacing w:line="276" w:lineRule="auto"/>
        <w:ind w:left="709"/>
        <w:jc w:val="both"/>
      </w:pPr>
      <w:r w:rsidRPr="00430D26">
        <w:t>En esa misma línea, el Departamento Administrativo de la Función Pública precisó:</w:t>
      </w:r>
    </w:p>
    <w:p w:rsidRPr="00430D26" w:rsidR="00C15D6A" w:rsidP="00C15D6A" w:rsidRDefault="00C15D6A" w14:paraId="15DB5688" w14:textId="77777777">
      <w:pPr>
        <w:pStyle w:val="Textoindependiente"/>
        <w:spacing w:before="9" w:line="276" w:lineRule="auto"/>
        <w:rPr>
          <w:sz w:val="24"/>
        </w:rPr>
      </w:pPr>
    </w:p>
    <w:p w:rsidRPr="001E4B4C" w:rsidR="00C15D6A" w:rsidP="001E4B4C" w:rsidRDefault="00C15D6A" w14:paraId="1A93543C" w14:textId="1E8C5CD9">
      <w:pPr>
        <w:pStyle w:val="Textoindependiente"/>
        <w:ind w:left="709" w:right="709"/>
        <w:jc w:val="both"/>
        <w:rPr>
          <w:sz w:val="21"/>
          <w:szCs w:val="21"/>
        </w:rPr>
      </w:pPr>
      <w:r w:rsidRPr="00430D26">
        <w:rPr>
          <w:sz w:val="21"/>
          <w:szCs w:val="21"/>
        </w:rPr>
        <w:t>[E]l contrato de prestación de servicios es una modalidad de vinculación con el Estado de tipo excepcional que se justifica constitucionalmente si es concebida como un instrumento para atender funciones ocasionales, que son aquellas que no hacen parte del “giro ordinario” de las labores encomendadas a la entidad, o que, siendo parte de ellas, no pueden ejecutarse con empleados de planta o requieren de conocimientos especializados; vinculación que en ningún caso debe conllevar</w:t>
      </w:r>
      <w:r w:rsidRPr="00430D26">
        <w:rPr>
          <w:spacing w:val="-4"/>
          <w:sz w:val="21"/>
          <w:szCs w:val="21"/>
        </w:rPr>
        <w:t xml:space="preserve"> </w:t>
      </w:r>
      <w:r w:rsidRPr="00430D26">
        <w:rPr>
          <w:sz w:val="21"/>
          <w:szCs w:val="21"/>
        </w:rPr>
        <w:t>subordinación.</w:t>
      </w:r>
      <w:r w:rsidRPr="001E4B4C">
        <w:rPr>
          <w:rStyle w:val="Refdenotaalpie"/>
          <w:sz w:val="21"/>
          <w:szCs w:val="21"/>
        </w:rPr>
        <w:footnoteReference w:id="11"/>
      </w:r>
    </w:p>
    <w:p w:rsidRPr="00430D26" w:rsidR="008B158A" w:rsidP="008B158A" w:rsidRDefault="008B158A" w14:paraId="436C6063" w14:textId="77777777">
      <w:pPr>
        <w:spacing w:line="276" w:lineRule="auto"/>
        <w:ind w:firstLine="709"/>
        <w:jc w:val="both"/>
      </w:pPr>
    </w:p>
    <w:p w:rsidRPr="001E4B4C" w:rsidR="008A7F08" w:rsidRDefault="00E704B3" w14:paraId="77354D0F" w14:textId="37B1B793">
      <w:pPr>
        <w:spacing w:after="120" w:line="276" w:lineRule="auto"/>
        <w:ind w:firstLine="709"/>
        <w:jc w:val="both"/>
      </w:pPr>
      <w:r w:rsidRPr="001E4B4C">
        <w:t>Por su parte</w:t>
      </w:r>
      <w:r w:rsidRPr="00430D26" w:rsidR="008B158A">
        <w:t xml:space="preserve">, el artículo 2.2.1.2.1.4.9 del Decreto 1082 de 2015, </w:t>
      </w:r>
      <w:r w:rsidRPr="00430D26" w:rsidR="00F51CDD">
        <w:t>prescribe</w:t>
      </w:r>
      <w:r w:rsidRPr="00430D26" w:rsidR="008B158A">
        <w:t xml:space="preserve"> que las entidades estatales podrán contratar directamente la prestación de servicios profesionales y de apoyo a la gestión </w:t>
      </w:r>
      <w:r w:rsidRPr="00430D26" w:rsidR="00F51CDD">
        <w:t>«</w:t>
      </w:r>
      <w:r w:rsidRPr="00430D26" w:rsidR="008B158A">
        <w:t>con la persona que esté en capacidad de ejecutar el objeto del contrato, siempre y cuando la entidad estatal verifique la idoneidad o experiencia requerida y relacionada con el área de que se trate</w:t>
      </w:r>
      <w:r w:rsidRPr="00430D26" w:rsidR="00F51CDD">
        <w:t>»</w:t>
      </w:r>
      <w:r w:rsidRPr="00430D26" w:rsidR="008B158A">
        <w:t xml:space="preserve">. Así mismo, la norma reglamentaria preceptúa que los contratos de prestación de servicios profesionales y de apoyo a la gestión son aquellos de naturaleza </w:t>
      </w:r>
      <w:r w:rsidRPr="00430D26" w:rsidR="008B158A">
        <w:lastRenderedPageBreak/>
        <w:t>intelectual que se derivan del cumplimiento de funciones de la Administración, como los relacionados con actividades operativas, logísticas o asistenciales.</w:t>
      </w:r>
    </w:p>
    <w:p w:rsidRPr="00430D26" w:rsidR="00841D63" w:rsidP="001E4B4C" w:rsidRDefault="00841D63" w14:paraId="55ADB170" w14:textId="77777777">
      <w:pPr>
        <w:spacing w:after="120" w:line="276" w:lineRule="auto"/>
        <w:ind w:firstLine="709"/>
        <w:jc w:val="both"/>
      </w:pPr>
      <w:r w:rsidRPr="00430D26">
        <w:t xml:space="preserve">De las anteriores normas, </w:t>
      </w:r>
      <w:bookmarkStart w:name="_Hlk81429601" w:id="13"/>
      <w:r w:rsidRPr="00430D26">
        <w:t>pueden identificarse tres modalidades de contratos de prestación de servicios:</w:t>
      </w:r>
    </w:p>
    <w:p w:rsidRPr="00430D26" w:rsidR="00841D63" w:rsidP="001E4B4C" w:rsidRDefault="00841D63" w14:paraId="6B5152F7" w14:textId="7808FCB8">
      <w:pPr>
        <w:spacing w:after="120" w:line="276" w:lineRule="auto"/>
        <w:ind w:firstLine="709"/>
        <w:jc w:val="both"/>
      </w:pPr>
      <w:r w:rsidRPr="00430D26">
        <w:rPr>
          <w:i/>
          <w:iCs/>
        </w:rPr>
        <w:t xml:space="preserve"> </w:t>
      </w:r>
      <w:r w:rsidRPr="00430D26" w:rsidR="00D47FC7">
        <w:rPr>
          <w:i/>
          <w:iCs/>
        </w:rPr>
        <w:t xml:space="preserve">a) </w:t>
      </w:r>
      <w:r w:rsidRPr="00430D26">
        <w:rPr>
          <w:i/>
          <w:iCs/>
        </w:rPr>
        <w:t>Contratos de servicios profesionales</w:t>
      </w:r>
      <w:r w:rsidRPr="00430D26">
        <w:t>: Son aquellos cuyo objeto requiere el desarrollo de actividades con conocimientos especializados para satisfacer necesidades de las entidades relativas a su gestión administrativa o de funcionamiento. Así «[…] los técnicos profesionales, los tecnólogos y los profesionales para efectos de la contratación de servicios profesionales, son considerados como profesionales a luz de la normatividad vigente que rige la materia»</w:t>
      </w:r>
      <w:r w:rsidRPr="00430D26">
        <w:rPr>
          <w:rStyle w:val="Refdenotaalpie"/>
        </w:rPr>
        <w:footnoteReference w:id="12"/>
      </w:r>
      <w:r w:rsidRPr="00430D26">
        <w:t>.  Por consiguiente, las actividades objeto de esta modalidad de contrato demandan la aprehensión de competencias y habilidades propias de la formación profesional o especializada de una persona natural o jurídica, o de un saber o despliegue intelectivo calificado</w:t>
      </w:r>
      <w:r w:rsidRPr="00430D26">
        <w:rPr>
          <w:rStyle w:val="Refdenotaalpie"/>
        </w:rPr>
        <w:footnoteReference w:id="13"/>
      </w:r>
      <w:r w:rsidRPr="00430D26">
        <w:t>.</w:t>
      </w:r>
    </w:p>
    <w:p w:rsidRPr="00430D26" w:rsidR="00841D63" w:rsidP="001E4B4C" w:rsidRDefault="00D47FC7" w14:paraId="611A73A0" w14:textId="5B1A01B6">
      <w:pPr>
        <w:spacing w:after="120" w:line="276" w:lineRule="auto"/>
        <w:ind w:firstLine="709"/>
        <w:jc w:val="both"/>
      </w:pPr>
      <w:r w:rsidRPr="00430D26">
        <w:rPr>
          <w:i/>
          <w:iCs/>
        </w:rPr>
        <w:t>b)</w:t>
      </w:r>
      <w:r w:rsidRPr="00430D26" w:rsidR="00841D63">
        <w:rPr>
          <w:i/>
          <w:iCs/>
        </w:rPr>
        <w:t xml:space="preserve"> Contratos de apoyo a la gestión:</w:t>
      </w:r>
      <w:r w:rsidRPr="00430D26" w:rsidR="00841D63">
        <w:t xml:space="preserve"> Se trata de los contratos cuya ejecución implica la realización de actividades operativas, logísticas y asistenciales, vinculadas a la realización de las tareas propias de la entidad. Se caracterizan por corresponder a actividades dominantemente materiales y no calificadas</w:t>
      </w:r>
      <w:r w:rsidRPr="00430D26" w:rsidR="00841D63">
        <w:rPr>
          <w:vertAlign w:val="superscript"/>
        </w:rPr>
        <w:footnoteReference w:id="14"/>
      </w:r>
      <w:r w:rsidRPr="00430D26" w:rsidR="00841D63">
        <w:t>, que pueden recaer</w:t>
      </w:r>
      <w:r w:rsidRPr="00430D26" w:rsidR="00980BCB">
        <w:t xml:space="preserve"> sobre asunto de naturaleza </w:t>
      </w:r>
      <w:r w:rsidRPr="00430D26" w:rsidR="00841D63">
        <w:t>técnica, por ende, no profesionales</w:t>
      </w:r>
      <w:r w:rsidRPr="00430D26" w:rsidR="00841D63">
        <w:rPr>
          <w:rStyle w:val="Refdenotaalpie"/>
        </w:rPr>
        <w:footnoteReference w:id="15"/>
      </w:r>
      <w:r w:rsidRPr="00430D26" w:rsidR="00841D63">
        <w:t>.</w:t>
      </w:r>
    </w:p>
    <w:p w:rsidRPr="00430D26" w:rsidR="00841D63" w:rsidP="001E4B4C" w:rsidRDefault="00841D63" w14:paraId="016D1D73" w14:textId="7EB3EF63">
      <w:pPr>
        <w:spacing w:after="120" w:line="276" w:lineRule="auto"/>
        <w:ind w:firstLine="708"/>
        <w:jc w:val="both"/>
      </w:pPr>
      <w:r w:rsidRPr="00430D26">
        <w:rPr>
          <w:i/>
          <w:iCs/>
        </w:rPr>
        <w:t xml:space="preserve"> </w:t>
      </w:r>
      <w:r w:rsidRPr="00430D26" w:rsidR="00D47FC7">
        <w:rPr>
          <w:i/>
          <w:iCs/>
        </w:rPr>
        <w:t xml:space="preserve">c) </w:t>
      </w:r>
      <w:r w:rsidRPr="00430D26">
        <w:rPr>
          <w:i/>
          <w:iCs/>
        </w:rPr>
        <w:t>Contratos para la realización de trabajos artísticos:</w:t>
      </w:r>
      <w:r w:rsidRPr="00430D26">
        <w:t xml:space="preserve"> </w:t>
      </w:r>
      <w:r w:rsidRPr="00430D26" w:rsidR="00980BCB">
        <w:t>Corresponden a aquellas actividades que</w:t>
      </w:r>
      <w:r w:rsidRPr="00430D26">
        <w:t xml:space="preserve"> </w:t>
      </w:r>
      <w:r w:rsidRPr="00430D26" w:rsidR="00980BCB">
        <w:t>deben ser</w:t>
      </w:r>
      <w:r w:rsidRPr="00430D26">
        <w:t xml:space="preserve"> encomenda</w:t>
      </w:r>
      <w:r w:rsidRPr="00430D26" w:rsidR="00980BCB">
        <w:t>dos</w:t>
      </w:r>
      <w:r w:rsidRPr="00430D26">
        <w:t xml:space="preserve"> a una determinada persona natural que, por sus características, dotes, capacidades, creatividad, talento y aptitudes resultan ser únicas o especiales en el arte que manejan y cuyo producto será una obra o pieza de arte o artística.</w:t>
      </w:r>
    </w:p>
    <w:bookmarkEnd w:id="13"/>
    <w:p w:rsidRPr="00430D26" w:rsidR="00841D63" w:rsidP="001E4B4C" w:rsidRDefault="008E7636" w14:paraId="34E45A0A" w14:textId="5CA6F424">
      <w:pPr>
        <w:spacing w:after="120" w:line="276" w:lineRule="auto"/>
        <w:ind w:firstLine="709"/>
        <w:jc w:val="both"/>
      </w:pPr>
      <w:r w:rsidRPr="00430D26">
        <w:t>C</w:t>
      </w:r>
      <w:r w:rsidRPr="00430D26" w:rsidR="00774EB4">
        <w:t>omo características</w:t>
      </w:r>
      <w:r w:rsidRPr="00430D26" w:rsidR="00841D63">
        <w:t xml:space="preserve"> </w:t>
      </w:r>
      <w:r w:rsidRPr="00430D26" w:rsidR="00774EB4">
        <w:t>generales d</w:t>
      </w:r>
      <w:r w:rsidRPr="00430D26" w:rsidR="00841D63">
        <w:t>el contrato de prestación de servicios</w:t>
      </w:r>
      <w:r w:rsidRPr="00430D26" w:rsidR="00774EB4">
        <w:t>,</w:t>
      </w:r>
      <w:r w:rsidRPr="00430D26" w:rsidR="00841D63">
        <w:t xml:space="preserve"> en el marco de la Ley 80 de 1993</w:t>
      </w:r>
      <w:r w:rsidRPr="00430D26" w:rsidR="00774EB4">
        <w:t xml:space="preserve">, se pueden predicar </w:t>
      </w:r>
      <w:r w:rsidRPr="00430D26" w:rsidR="00841D63">
        <w:t xml:space="preserve"> </w:t>
      </w:r>
      <w:r w:rsidRPr="00430D26" w:rsidR="00774EB4">
        <w:t xml:space="preserve">las </w:t>
      </w:r>
      <w:r w:rsidRPr="00430D26">
        <w:t>siguientes:</w:t>
      </w:r>
      <w:r w:rsidRPr="00430D26" w:rsidR="00774EB4">
        <w:t xml:space="preserve"> </w:t>
      </w:r>
      <w:r w:rsidRPr="001E4B4C">
        <w:rPr>
          <w:i/>
          <w:iCs/>
        </w:rPr>
        <w:t>i)</w:t>
      </w:r>
      <w:r w:rsidRPr="00430D26">
        <w:t xml:space="preserve"> es </w:t>
      </w:r>
      <w:r w:rsidRPr="00430D26" w:rsidR="00841D63">
        <w:t>un contrato típico por estar definido en la ley;</w:t>
      </w:r>
      <w:r w:rsidRPr="00430D26">
        <w:t xml:space="preserve"> </w:t>
      </w:r>
      <w:r w:rsidRPr="001E4B4C">
        <w:rPr>
          <w:i/>
          <w:iCs/>
        </w:rPr>
        <w:t>ii)</w:t>
      </w:r>
      <w:r w:rsidRPr="00430D26">
        <w:t xml:space="preserve"> es</w:t>
      </w:r>
      <w:r w:rsidRPr="00430D26" w:rsidR="00841D63">
        <w:t xml:space="preserve"> temporal por su carácter excepcional;  </w:t>
      </w:r>
      <w:r w:rsidRPr="001E4B4C" w:rsidR="007B68A8">
        <w:rPr>
          <w:i/>
          <w:iCs/>
        </w:rPr>
        <w:t>iii)</w:t>
      </w:r>
      <w:r w:rsidRPr="00430D26" w:rsidR="007B68A8">
        <w:t xml:space="preserve"> </w:t>
      </w:r>
      <w:r w:rsidRPr="00430D26" w:rsidR="00841D63">
        <w:t>su objeto contiene una obligación</w:t>
      </w:r>
      <w:r w:rsidRPr="00430D26">
        <w:t xml:space="preserve"> asociada</w:t>
      </w:r>
      <w:r w:rsidRPr="00430D26" w:rsidR="00841D63">
        <w:t xml:space="preserve"> </w:t>
      </w:r>
      <w:r w:rsidRPr="00430D26">
        <w:t>a</w:t>
      </w:r>
      <w:r w:rsidRPr="00430D26" w:rsidR="00841D63">
        <w:t xml:space="preserve"> la realización o el desarrollo de una actividad específica;</w:t>
      </w:r>
      <w:r w:rsidRPr="001E4B4C" w:rsidR="00841D63">
        <w:rPr>
          <w:i/>
          <w:iCs/>
        </w:rPr>
        <w:t xml:space="preserve"> </w:t>
      </w:r>
      <w:r w:rsidRPr="001E4B4C" w:rsidR="007B68A8">
        <w:rPr>
          <w:i/>
          <w:iCs/>
        </w:rPr>
        <w:t>iv)</w:t>
      </w:r>
      <w:r w:rsidRPr="00430D26" w:rsidR="007B68A8">
        <w:t xml:space="preserve"> </w:t>
      </w:r>
      <w:r w:rsidRPr="00430D26" w:rsidR="00841D63">
        <w:t xml:space="preserve">de tracto sucesivo o prestaciones periódicas, pues </w:t>
      </w:r>
      <w:r w:rsidRPr="00430D26" w:rsidR="007B68A8">
        <w:t>su ejecución</w:t>
      </w:r>
      <w:r w:rsidRPr="00430D26" w:rsidR="00841D63">
        <w:t xml:space="preserve"> </w:t>
      </w:r>
      <w:r w:rsidRPr="00430D26" w:rsidR="007B68A8">
        <w:t xml:space="preserve">se extiende </w:t>
      </w:r>
      <w:r w:rsidRPr="00430D26" w:rsidR="00841D63">
        <w:t>en el tiempo;</w:t>
      </w:r>
      <w:r w:rsidRPr="00430D26" w:rsidR="007B68A8">
        <w:t xml:space="preserve"> </w:t>
      </w:r>
      <w:r w:rsidRPr="001E4B4C" w:rsidR="007B68A8">
        <w:rPr>
          <w:i/>
          <w:iCs/>
        </w:rPr>
        <w:t>v)</w:t>
      </w:r>
      <w:r w:rsidRPr="00430D26" w:rsidR="00841D63">
        <w:t xml:space="preserve"> las cláusulas excepcionales son facultativas, de manera que si se pretender hacer valer deben pactarse expresamente</w:t>
      </w:r>
      <w:r w:rsidRPr="00430D26" w:rsidR="00466744">
        <w:rPr>
          <w:rStyle w:val="Refdenotaalpie"/>
        </w:rPr>
        <w:footnoteReference w:id="16"/>
      </w:r>
      <w:r w:rsidRPr="00430D26" w:rsidR="00841D63">
        <w:t xml:space="preserve">; </w:t>
      </w:r>
      <w:r w:rsidRPr="001E4B4C" w:rsidR="006F56BA">
        <w:rPr>
          <w:i/>
          <w:iCs/>
        </w:rPr>
        <w:t>vi)</w:t>
      </w:r>
      <w:r w:rsidRPr="00430D26" w:rsidR="006F56BA">
        <w:t xml:space="preserve"> </w:t>
      </w:r>
      <w:r w:rsidRPr="00430D26" w:rsidR="00841D63">
        <w:t xml:space="preserve">no puede comprender actividades para las cuales la entidad disponga de </w:t>
      </w:r>
      <w:r w:rsidRPr="00430D26" w:rsidR="00841D63">
        <w:lastRenderedPageBreak/>
        <w:t xml:space="preserve">personal de planta; y </w:t>
      </w:r>
      <w:r w:rsidRPr="001E4B4C" w:rsidR="006F56BA">
        <w:rPr>
          <w:i/>
          <w:iCs/>
        </w:rPr>
        <w:t>vii)</w:t>
      </w:r>
      <w:r w:rsidRPr="00430D26" w:rsidR="00C51CA3">
        <w:t xml:space="preserve"> </w:t>
      </w:r>
      <w:r w:rsidRPr="00430D26" w:rsidR="00841D63">
        <w:t>en ningún caso genera relación laboral ni prestaciones sociales.</w:t>
      </w:r>
    </w:p>
    <w:p w:rsidRPr="00430D26" w:rsidR="00F51CDD" w:rsidP="008B158A" w:rsidRDefault="00C51CA3" w14:paraId="6E1EE796" w14:textId="1CB73D98">
      <w:pPr>
        <w:spacing w:line="276" w:lineRule="auto"/>
        <w:ind w:firstLine="709"/>
        <w:jc w:val="both"/>
      </w:pPr>
      <w:r w:rsidRPr="001E4B4C">
        <w:t xml:space="preserve">Ahora bien, </w:t>
      </w:r>
      <w:bookmarkStart w:name="_Hlk81429844" w:id="14"/>
      <w:r w:rsidRPr="001E4B4C">
        <w:t>r</w:t>
      </w:r>
      <w:r w:rsidRPr="00430D26" w:rsidR="00F51CDD">
        <w:t xml:space="preserve">especto al contrato de prestación de servicios, </w:t>
      </w:r>
      <w:r w:rsidRPr="001E4B4C">
        <w:t xml:space="preserve">también </w:t>
      </w:r>
      <w:r w:rsidRPr="00430D26" w:rsidR="00F51CDD">
        <w:t>es importante tener en cuenta que las prestaciones no pueden corresponder a aquellas que se ejecutan a través de los demás contratos previstos en el Estatuto General de Contratación de la Administración. Por ello, la doctrina explica que «[…] las materias que pueden integrar el objeto del contrato de prestación de servicios rige un criterio residual o supletivo, en virtud del cual únicamente puede contratarse bajo esta modalidad lo que no ingrese dentro de la tipología de otros contratos estatales</w:t>
      </w:r>
      <w:r w:rsidRPr="00430D26" w:rsidR="00BA500C">
        <w:t xml:space="preserve"> […]</w:t>
      </w:r>
      <w:r w:rsidRPr="00430D26" w:rsidR="00F51CDD">
        <w:t>»</w:t>
      </w:r>
      <w:r w:rsidRPr="00430D26" w:rsidR="00BA500C">
        <w:rPr>
          <w:rStyle w:val="Refdenotaalpie"/>
        </w:rPr>
        <w:footnoteReference w:id="17"/>
      </w:r>
      <w:r w:rsidRPr="00430D26" w:rsidR="00F51CDD">
        <w:t xml:space="preserve">. Así, por ejemplo, si la labor que se pretende contratar está relacionada con las actividades de los numerales 1 </w:t>
      </w:r>
      <w:r w:rsidRPr="00430D26" w:rsidR="00BA500C">
        <w:t xml:space="preserve">y 2 del artículo 32 del Estatuto General, la entidad debe suscribir el contrato de obra o de </w:t>
      </w:r>
      <w:r w:rsidRPr="001E4B4C" w:rsidR="00E821C5">
        <w:t>prestación de servicios</w:t>
      </w:r>
      <w:r w:rsidRPr="00430D26" w:rsidR="00BA500C">
        <w:t>, según corresponda</w:t>
      </w:r>
      <w:bookmarkEnd w:id="14"/>
      <w:r w:rsidRPr="00430D26" w:rsidR="00BA500C">
        <w:t>. De esta manera, respecto a las actividades de man</w:t>
      </w:r>
      <w:r w:rsidRPr="00430D26" w:rsidR="008A7F08">
        <w:t>tenimiento, el Consejo de Estado adopta el siguiente criterio orientador para distinguir el objeto del contrato de obra del de prestación de servicios:</w:t>
      </w:r>
    </w:p>
    <w:p w:rsidRPr="00430D26" w:rsidR="008A7F08" w:rsidP="008B158A" w:rsidRDefault="008A7F08" w14:paraId="60E91163" w14:textId="77777777">
      <w:pPr>
        <w:spacing w:line="276" w:lineRule="auto"/>
        <w:ind w:firstLine="709"/>
        <w:jc w:val="both"/>
      </w:pPr>
    </w:p>
    <w:p w:rsidRPr="00430D26" w:rsidR="008A7F08" w:rsidP="001E4B4C" w:rsidRDefault="008A7F08" w14:paraId="51656CE9" w14:textId="3CC2AA97">
      <w:pPr>
        <w:pStyle w:val="Textoindependiente"/>
        <w:spacing w:before="5" w:after="120"/>
        <w:ind w:left="709" w:right="709"/>
        <w:jc w:val="both"/>
        <w:rPr>
          <w:sz w:val="21"/>
          <w:szCs w:val="21"/>
        </w:rPr>
      </w:pPr>
      <w:r w:rsidRPr="00430D26">
        <w:rPr>
          <w:sz w:val="21"/>
          <w:szCs w:val="21"/>
        </w:rPr>
        <w:t xml:space="preserve">[…] el contrato de mantenimiento, para que sea considerado como una obra, debe implicar una intervención que quede incorporada al inmueble. Así, </w:t>
      </w:r>
      <w:r w:rsidRPr="001E4B4C">
        <w:rPr>
          <w:sz w:val="21"/>
          <w:szCs w:val="21"/>
        </w:rPr>
        <w:t>aquellas actividades de mantenimiento que no incorporen el trabajo material propio de una obra en el contexto citado, no podrán ser consideradas contratos de esta naturaleza</w:t>
      </w:r>
      <w:r w:rsidRPr="00430D26">
        <w:rPr>
          <w:sz w:val="21"/>
          <w:szCs w:val="21"/>
        </w:rPr>
        <w:t>.</w:t>
      </w:r>
    </w:p>
    <w:p w:rsidRPr="00430D26" w:rsidR="008A7F08" w:rsidP="001E4B4C" w:rsidRDefault="008A7F08" w14:paraId="1E956BFE" w14:textId="7A9D8B92">
      <w:pPr>
        <w:pStyle w:val="Textoindependiente"/>
        <w:spacing w:before="5" w:after="120"/>
        <w:ind w:left="709" w:right="709"/>
        <w:jc w:val="both"/>
        <w:rPr>
          <w:sz w:val="21"/>
          <w:szCs w:val="21"/>
        </w:rPr>
      </w:pPr>
      <w:r w:rsidRPr="001E4B4C">
        <w:rPr>
          <w:sz w:val="21"/>
          <w:szCs w:val="21"/>
        </w:rPr>
        <w:t>Pretender que se extienda el contrato de mante</w:t>
      </w:r>
      <w:r w:rsidRPr="001E4B4C" w:rsidR="00E821C5">
        <w:rPr>
          <w:sz w:val="21"/>
          <w:szCs w:val="21"/>
        </w:rPr>
        <w:t>ni</w:t>
      </w:r>
      <w:r w:rsidRPr="001E4B4C">
        <w:rPr>
          <w:sz w:val="21"/>
          <w:szCs w:val="21"/>
        </w:rPr>
        <w:t>miento sobre bien inmueble de otra forma, sería ampliar de manera indiscriminada el concepto de obra a cualquier tipo de actividad que no necesariamente implique “obra” en la forma citada</w:t>
      </w:r>
      <w:r w:rsidRPr="00430D26">
        <w:rPr>
          <w:sz w:val="21"/>
          <w:szCs w:val="21"/>
        </w:rPr>
        <w:t>. Por tal razón, para la Sala el contrato de mantenimiento será considerado como contrato de obra cuando (i) recae sobre un bien inmueble, (ii) la prestación a realizar queda incorporada al inmueble y (iii) el mantenimiento tiene como objetivo permitir que el inmueble pueda seguir funcionando de manera adecuada.</w:t>
      </w:r>
    </w:p>
    <w:p w:rsidRPr="00430D26" w:rsidR="008A7F08" w:rsidP="001E4B4C" w:rsidRDefault="008A7F08" w14:paraId="37166B26" w14:textId="0CE57CED">
      <w:pPr>
        <w:pStyle w:val="Textoindependiente"/>
        <w:ind w:left="709" w:right="709"/>
        <w:jc w:val="both"/>
        <w:rPr>
          <w:sz w:val="21"/>
          <w:szCs w:val="21"/>
        </w:rPr>
      </w:pPr>
      <w:r w:rsidRPr="00430D26">
        <w:rPr>
          <w:sz w:val="21"/>
          <w:szCs w:val="21"/>
        </w:rPr>
        <w:t>De todas formas, será necesario analizar en cada caso las prestaciones específicas que pretendan satisfacer las demandas del servicio</w:t>
      </w:r>
      <w:r w:rsidRPr="00430D26">
        <w:rPr>
          <w:rStyle w:val="Refdenotaalpie"/>
          <w:sz w:val="21"/>
          <w:szCs w:val="21"/>
        </w:rPr>
        <w:footnoteReference w:id="18"/>
      </w:r>
      <w:r w:rsidRPr="00430D26">
        <w:t>.</w:t>
      </w:r>
    </w:p>
    <w:p w:rsidRPr="00430D26" w:rsidR="008A7F08" w:rsidP="001E4B4C" w:rsidRDefault="008A7F08" w14:paraId="58985841" w14:textId="77777777">
      <w:pPr>
        <w:spacing w:line="276" w:lineRule="auto"/>
        <w:ind w:firstLine="708"/>
        <w:jc w:val="both"/>
        <w:rPr>
          <w:rFonts w:eastAsia="Calibri"/>
          <w:color w:val="000000" w:themeColor="text1"/>
          <w:lang w:val="es-ES_tradnl"/>
        </w:rPr>
      </w:pPr>
    </w:p>
    <w:p w:rsidRPr="00430D26" w:rsidR="00FB1193" w:rsidP="001E4B4C" w:rsidRDefault="004F1898" w14:paraId="2C53BA6B" w14:textId="090050BC">
      <w:pPr>
        <w:spacing w:after="120" w:line="276" w:lineRule="auto"/>
        <w:ind w:firstLine="709"/>
        <w:jc w:val="both"/>
        <w:rPr>
          <w:rFonts w:eastAsia="Calibri"/>
          <w:color w:val="000000" w:themeColor="text1"/>
          <w:lang w:val="es-ES_tradnl"/>
        </w:rPr>
      </w:pPr>
      <w:r w:rsidRPr="00430D26">
        <w:rPr>
          <w:rFonts w:eastAsia="Calibri"/>
          <w:color w:val="000000" w:themeColor="text1"/>
          <w:lang w:val="es-ES_tradnl"/>
        </w:rPr>
        <w:t>Conforme a lo anterior, es</w:t>
      </w:r>
      <w:r w:rsidRPr="00430D26" w:rsidR="00182B19">
        <w:rPr>
          <w:rFonts w:eastAsia="Calibri"/>
          <w:color w:val="000000" w:themeColor="text1"/>
          <w:lang w:val="es-ES_tradnl"/>
        </w:rPr>
        <w:t xml:space="preserve"> posible establecer si un</w:t>
      </w:r>
      <w:r w:rsidRPr="00430D26" w:rsidR="00201676">
        <w:rPr>
          <w:rFonts w:eastAsia="Calibri"/>
          <w:color w:val="000000" w:themeColor="text1"/>
          <w:lang w:val="es-ES_tradnl"/>
        </w:rPr>
        <w:t>a acti</w:t>
      </w:r>
      <w:r w:rsidRPr="00430D26" w:rsidR="003025E5">
        <w:rPr>
          <w:rFonts w:eastAsia="Calibri"/>
          <w:color w:val="000000" w:themeColor="text1"/>
          <w:lang w:val="es-ES_tradnl"/>
        </w:rPr>
        <w:t xml:space="preserve">vidad </w:t>
      </w:r>
      <w:r w:rsidRPr="00430D26" w:rsidR="00182B19">
        <w:rPr>
          <w:rFonts w:eastAsia="Calibri"/>
          <w:color w:val="000000" w:themeColor="text1"/>
          <w:lang w:val="es-ES_tradnl"/>
        </w:rPr>
        <w:t xml:space="preserve">de mantenimiento </w:t>
      </w:r>
      <w:r w:rsidRPr="00430D26" w:rsidR="003025E5">
        <w:rPr>
          <w:rFonts w:eastAsia="Calibri"/>
          <w:color w:val="000000" w:themeColor="text1"/>
          <w:lang w:val="es-ES_tradnl"/>
        </w:rPr>
        <w:t xml:space="preserve">se enmarca dentro de un </w:t>
      </w:r>
      <w:r w:rsidRPr="00430D26" w:rsidR="00CA53DE">
        <w:rPr>
          <w:rFonts w:eastAsia="Calibri"/>
          <w:color w:val="000000" w:themeColor="text1"/>
          <w:lang w:val="es-ES_tradnl"/>
        </w:rPr>
        <w:t xml:space="preserve">contrato de obra pública o </w:t>
      </w:r>
      <w:r w:rsidRPr="00430D26" w:rsidR="00E078E2">
        <w:rPr>
          <w:rFonts w:eastAsia="Calibri"/>
          <w:color w:val="000000" w:themeColor="text1"/>
          <w:lang w:val="es-ES_tradnl"/>
        </w:rPr>
        <w:t xml:space="preserve">de </w:t>
      </w:r>
      <w:r w:rsidRPr="00430D26" w:rsidR="00CA53DE">
        <w:rPr>
          <w:rFonts w:eastAsia="Calibri"/>
          <w:color w:val="000000" w:themeColor="text1"/>
          <w:lang w:val="es-ES_tradnl"/>
        </w:rPr>
        <w:t xml:space="preserve">prestación de servicios, </w:t>
      </w:r>
      <w:r w:rsidRPr="00430D26" w:rsidR="00E078E2">
        <w:rPr>
          <w:rFonts w:eastAsia="Calibri"/>
          <w:color w:val="000000" w:themeColor="text1"/>
          <w:lang w:val="es-ES_tradnl"/>
        </w:rPr>
        <w:t xml:space="preserve">a partir de estos </w:t>
      </w:r>
      <w:r w:rsidRPr="00430D26" w:rsidR="00E078E2">
        <w:rPr>
          <w:rFonts w:eastAsia="Calibri"/>
          <w:color w:val="000000" w:themeColor="text1"/>
          <w:lang w:val="es-ES_tradnl"/>
        </w:rPr>
        <w:lastRenderedPageBreak/>
        <w:t xml:space="preserve">tres elementos </w:t>
      </w:r>
      <w:r w:rsidRPr="00430D26" w:rsidR="00647A16">
        <w:rPr>
          <w:rFonts w:eastAsia="Calibri"/>
          <w:color w:val="000000" w:themeColor="text1"/>
          <w:lang w:val="es-ES_tradnl"/>
        </w:rPr>
        <w:t xml:space="preserve">distintivos, los cuales se encuentran intrínsecamente </w:t>
      </w:r>
      <w:r w:rsidRPr="00430D26" w:rsidR="00EC0E36">
        <w:rPr>
          <w:rFonts w:eastAsia="Calibri"/>
          <w:color w:val="000000" w:themeColor="text1"/>
          <w:lang w:val="es-ES_tradnl"/>
        </w:rPr>
        <w:t xml:space="preserve">relacionados con el contrato de obra pública, </w:t>
      </w:r>
      <w:r w:rsidRPr="00430D26" w:rsidR="00577C98">
        <w:rPr>
          <w:rFonts w:eastAsia="Calibri"/>
          <w:color w:val="000000" w:themeColor="text1"/>
          <w:lang w:val="es-ES_tradnl"/>
        </w:rPr>
        <w:t xml:space="preserve">cuyo régimen </w:t>
      </w:r>
      <w:r w:rsidRPr="00430D26" w:rsidR="00A862A6">
        <w:rPr>
          <w:rFonts w:eastAsia="Calibri"/>
          <w:color w:val="000000" w:themeColor="text1"/>
          <w:lang w:val="es-ES_tradnl"/>
        </w:rPr>
        <w:t>jurídico es prevalente frente al de prestación de servicios.</w:t>
      </w:r>
      <w:r w:rsidRPr="00430D26" w:rsidR="007C2DF4">
        <w:rPr>
          <w:rFonts w:eastAsia="Calibri"/>
          <w:color w:val="000000" w:themeColor="text1"/>
          <w:lang w:val="es-ES_tradnl"/>
        </w:rPr>
        <w:t xml:space="preserve"> En tales términos,</w:t>
      </w:r>
      <w:r w:rsidRPr="00430D26" w:rsidR="003E5320">
        <w:rPr>
          <w:rFonts w:eastAsia="Calibri"/>
          <w:color w:val="000000" w:themeColor="text1"/>
          <w:lang w:val="es-ES_tradnl"/>
        </w:rPr>
        <w:t xml:space="preserve"> una actividad de mantenimiento deber</w:t>
      </w:r>
      <w:r w:rsidRPr="00430D26" w:rsidR="00FC08AA">
        <w:rPr>
          <w:rFonts w:eastAsia="Calibri"/>
          <w:color w:val="000000" w:themeColor="text1"/>
          <w:lang w:val="es-ES_tradnl"/>
        </w:rPr>
        <w:t>á ser catalogada como obra pública si la misma consiste en una prestaci</w:t>
      </w:r>
      <w:r w:rsidRPr="00430D26" w:rsidR="0083071B">
        <w:rPr>
          <w:rFonts w:eastAsia="Calibri"/>
          <w:color w:val="000000" w:themeColor="text1"/>
          <w:lang w:val="es-ES_tradnl"/>
        </w:rPr>
        <w:t xml:space="preserve">ón realizada sobre un bien inmueble, </w:t>
      </w:r>
      <w:r w:rsidRPr="00430D26" w:rsidR="00B41812">
        <w:rPr>
          <w:rFonts w:eastAsia="Calibri"/>
          <w:color w:val="000000" w:themeColor="text1"/>
          <w:lang w:val="es-ES_tradnl"/>
        </w:rPr>
        <w:t>realizada para</w:t>
      </w:r>
      <w:r w:rsidRPr="001E4B4C" w:rsidR="00F139B3">
        <w:rPr>
          <w:rFonts w:eastAsia="Calibri"/>
          <w:color w:val="000000" w:themeColor="text1"/>
          <w:lang w:val="es-ES_tradnl"/>
        </w:rPr>
        <w:t xml:space="preserve"> el</w:t>
      </w:r>
      <w:r w:rsidRPr="00430D26" w:rsidR="00B41812">
        <w:rPr>
          <w:rFonts w:eastAsia="Calibri"/>
          <w:color w:val="000000" w:themeColor="text1"/>
          <w:lang w:val="es-ES_tradnl"/>
        </w:rPr>
        <w:t xml:space="preserve"> correcto funcionamiento y queda incorporada al mismo, mientras que será de prestación de servicios si falta alguno de estos elementos. </w:t>
      </w:r>
    </w:p>
    <w:p w:rsidRPr="00430D26" w:rsidR="00753957" w:rsidRDefault="00B41812" w14:paraId="70C2A9A5" w14:textId="07804431">
      <w:pPr>
        <w:spacing w:line="276" w:lineRule="auto"/>
        <w:ind w:firstLine="709"/>
        <w:jc w:val="both"/>
        <w:rPr>
          <w:rFonts w:eastAsia="Calibri"/>
          <w:color w:val="000000" w:themeColor="text1"/>
          <w:lang w:val="es-ES_tradnl"/>
        </w:rPr>
      </w:pPr>
      <w:r w:rsidRPr="00430D26">
        <w:rPr>
          <w:rFonts w:eastAsia="Calibri"/>
          <w:color w:val="000000" w:themeColor="text1"/>
          <w:lang w:val="es-ES_tradnl"/>
        </w:rPr>
        <w:t>En tod</w:t>
      </w:r>
      <w:r w:rsidRPr="00430D26" w:rsidR="00FB1193">
        <w:rPr>
          <w:rFonts w:eastAsia="Calibri"/>
          <w:color w:val="000000" w:themeColor="text1"/>
          <w:lang w:val="es-ES_tradnl"/>
        </w:rPr>
        <w:t xml:space="preserve">o caso, debe precisarse que, </w:t>
      </w:r>
      <w:bookmarkStart w:name="_Hlk81430735" w:id="15"/>
      <w:r w:rsidRPr="00430D26" w:rsidR="00FB1193">
        <w:rPr>
          <w:rFonts w:eastAsia="Calibri"/>
          <w:color w:val="000000" w:themeColor="text1"/>
          <w:lang w:val="es-ES_tradnl"/>
        </w:rPr>
        <w:t>es la entidad estatal</w:t>
      </w:r>
      <w:r w:rsidRPr="00430D26" w:rsidR="00644EB3">
        <w:rPr>
          <w:rFonts w:eastAsia="Calibri"/>
          <w:color w:val="000000" w:themeColor="text1"/>
          <w:lang w:val="es-ES_tradnl"/>
        </w:rPr>
        <w:t>,</w:t>
      </w:r>
      <w:r w:rsidRPr="00430D26" w:rsidR="00FB1193">
        <w:rPr>
          <w:rFonts w:eastAsia="Calibri"/>
          <w:color w:val="000000" w:themeColor="text1"/>
          <w:lang w:val="es-ES_tradnl"/>
        </w:rPr>
        <w:t xml:space="preserve"> </w:t>
      </w:r>
      <w:r w:rsidRPr="001E4B4C" w:rsidR="00A253B6">
        <w:rPr>
          <w:rFonts w:eastAsia="Calibri"/>
          <w:color w:val="000000" w:themeColor="text1"/>
          <w:lang w:val="es-ES_tradnl"/>
        </w:rPr>
        <w:t>después de</w:t>
      </w:r>
      <w:r w:rsidRPr="00430D26" w:rsidR="003B544E">
        <w:rPr>
          <w:rFonts w:eastAsia="Calibri"/>
          <w:color w:val="000000" w:themeColor="text1"/>
          <w:lang w:val="es-ES_tradnl"/>
        </w:rPr>
        <w:t xml:space="preserve"> analizar detalladamente el objeto, </w:t>
      </w:r>
      <w:r w:rsidRPr="00430D26" w:rsidR="008D6B86">
        <w:rPr>
          <w:rFonts w:eastAsia="Calibri"/>
          <w:color w:val="000000" w:themeColor="text1"/>
          <w:lang w:val="es-ES_tradnl"/>
        </w:rPr>
        <w:t xml:space="preserve">y </w:t>
      </w:r>
      <w:r w:rsidRPr="00430D26" w:rsidR="003B544E">
        <w:rPr>
          <w:rFonts w:eastAsia="Calibri"/>
          <w:color w:val="000000" w:themeColor="text1"/>
          <w:lang w:val="es-ES_tradnl"/>
        </w:rPr>
        <w:t xml:space="preserve">previa justificación de su régimen jurídico, quien debe definir en que tipo contractual se </w:t>
      </w:r>
      <w:r w:rsidRPr="00430D26" w:rsidR="00941B24">
        <w:rPr>
          <w:rFonts w:eastAsia="Calibri"/>
          <w:color w:val="000000" w:themeColor="text1"/>
          <w:lang w:val="es-ES_tradnl"/>
        </w:rPr>
        <w:t xml:space="preserve">encuadra </w:t>
      </w:r>
      <w:r w:rsidRPr="00430D26" w:rsidR="0077427E">
        <w:rPr>
          <w:rFonts w:eastAsia="Calibri"/>
          <w:color w:val="000000" w:themeColor="text1"/>
          <w:lang w:val="es-ES_tradnl"/>
        </w:rPr>
        <w:t>la actividad</w:t>
      </w:r>
      <w:r w:rsidRPr="00430D26" w:rsidR="00FB1193">
        <w:rPr>
          <w:rFonts w:eastAsia="Calibri"/>
          <w:color w:val="000000" w:themeColor="text1"/>
          <w:lang w:val="es-ES_tradnl"/>
        </w:rPr>
        <w:t xml:space="preserve"> </w:t>
      </w:r>
      <w:r w:rsidRPr="00430D26" w:rsidR="0077427E">
        <w:rPr>
          <w:rFonts w:eastAsia="Calibri"/>
          <w:color w:val="000000" w:themeColor="text1"/>
          <w:lang w:val="es-ES_tradnl"/>
        </w:rPr>
        <w:t xml:space="preserve">a contratar, para lo cual resultan relevantes las consideraciones aquí esbozadas. </w:t>
      </w:r>
      <w:r w:rsidRPr="00430D26" w:rsidR="007C2DF4">
        <w:rPr>
          <w:rFonts w:eastAsia="Calibri"/>
          <w:color w:val="000000" w:themeColor="text1"/>
          <w:lang w:val="es-ES_tradnl"/>
        </w:rPr>
        <w:t xml:space="preserve">En ese sentido, determinar </w:t>
      </w:r>
      <w:r w:rsidRPr="00430D26" w:rsidR="00212FB1">
        <w:rPr>
          <w:rFonts w:eastAsia="Calibri"/>
          <w:color w:val="000000" w:themeColor="text1"/>
          <w:lang w:val="es-ES_tradnl"/>
        </w:rPr>
        <w:t xml:space="preserve">el régimen contractual de las actividades de mantenimiento señaladas en el caso concreto objeto de consulta, es un asunto </w:t>
      </w:r>
      <w:r w:rsidRPr="00430D26" w:rsidR="00EE0C27">
        <w:rPr>
          <w:rFonts w:eastAsia="Calibri"/>
          <w:color w:val="000000" w:themeColor="text1"/>
          <w:lang w:val="es-ES_tradnl"/>
        </w:rPr>
        <w:t>que</w:t>
      </w:r>
      <w:r w:rsidRPr="00430D26" w:rsidR="00212FB1">
        <w:rPr>
          <w:rFonts w:eastAsia="Calibri"/>
          <w:color w:val="000000" w:themeColor="text1"/>
          <w:lang w:val="es-ES_tradnl"/>
        </w:rPr>
        <w:t xml:space="preserve"> compete</w:t>
      </w:r>
      <w:r w:rsidRPr="00430D26" w:rsidR="00EE0C27">
        <w:rPr>
          <w:rFonts w:eastAsia="Calibri"/>
          <w:color w:val="000000" w:themeColor="text1"/>
          <w:lang w:val="es-ES_tradnl"/>
        </w:rPr>
        <w:t xml:space="preserve"> a la correspondiente entidad, </w:t>
      </w:r>
      <w:r w:rsidRPr="00430D26" w:rsidR="00941B24">
        <w:rPr>
          <w:rFonts w:eastAsia="Calibri"/>
          <w:color w:val="000000" w:themeColor="text1"/>
          <w:lang w:val="es-ES_tradnl"/>
        </w:rPr>
        <w:t xml:space="preserve">labor que </w:t>
      </w:r>
      <w:r w:rsidRPr="00430D26" w:rsidR="00C203ED">
        <w:rPr>
          <w:rFonts w:eastAsia="Calibri"/>
          <w:color w:val="000000" w:themeColor="text1"/>
          <w:lang w:val="es-ES_tradnl"/>
        </w:rPr>
        <w:t xml:space="preserve">además </w:t>
      </w:r>
      <w:r w:rsidRPr="00430D26" w:rsidR="00941B24">
        <w:rPr>
          <w:rFonts w:eastAsia="Calibri"/>
          <w:color w:val="000000" w:themeColor="text1"/>
          <w:lang w:val="es-ES_tradnl"/>
        </w:rPr>
        <w:t xml:space="preserve">tampoco </w:t>
      </w:r>
      <w:r w:rsidRPr="00430D26" w:rsidR="00C203ED">
        <w:rPr>
          <w:rFonts w:eastAsia="Calibri"/>
          <w:color w:val="000000" w:themeColor="text1"/>
          <w:lang w:val="es-ES_tradnl"/>
        </w:rPr>
        <w:t>resulta</w:t>
      </w:r>
      <w:r w:rsidRPr="00430D26" w:rsidR="00941B24">
        <w:rPr>
          <w:rFonts w:eastAsia="Calibri"/>
          <w:color w:val="000000" w:themeColor="text1"/>
          <w:lang w:val="es-ES_tradnl"/>
        </w:rPr>
        <w:t xml:space="preserve"> posible </w:t>
      </w:r>
      <w:r w:rsidRPr="00430D26" w:rsidR="00BA0FF3">
        <w:rPr>
          <w:rFonts w:eastAsia="Calibri"/>
          <w:color w:val="000000" w:themeColor="text1"/>
          <w:lang w:val="es-ES_tradnl"/>
        </w:rPr>
        <w:t xml:space="preserve">en una valoración </w:t>
      </w:r>
      <w:r w:rsidRPr="001E4B4C" w:rsidR="00BA0FF3">
        <w:rPr>
          <w:rFonts w:eastAsia="Calibri"/>
          <w:i/>
          <w:iCs/>
          <w:color w:val="000000" w:themeColor="text1"/>
          <w:lang w:val="es-ES_tradnl"/>
        </w:rPr>
        <w:t>ex ante</w:t>
      </w:r>
      <w:r w:rsidRPr="00430D26" w:rsidR="00BA0FF3">
        <w:rPr>
          <w:rFonts w:eastAsia="Calibri"/>
          <w:i/>
          <w:iCs/>
          <w:color w:val="000000" w:themeColor="text1"/>
          <w:lang w:val="es-ES_tradnl"/>
        </w:rPr>
        <w:t xml:space="preserve"> </w:t>
      </w:r>
      <w:r w:rsidRPr="00430D26" w:rsidR="00AD288D">
        <w:rPr>
          <w:rFonts w:eastAsia="Calibri"/>
          <w:color w:val="000000" w:themeColor="text1"/>
          <w:lang w:val="es-ES_tradnl"/>
        </w:rPr>
        <w:t>realizada</w:t>
      </w:r>
      <w:r w:rsidRPr="00430D26" w:rsidR="002E6EB5">
        <w:rPr>
          <w:rFonts w:eastAsia="Calibri"/>
          <w:color w:val="000000" w:themeColor="text1"/>
          <w:lang w:val="es-ES_tradnl"/>
        </w:rPr>
        <w:t xml:space="preserve"> </w:t>
      </w:r>
      <w:r w:rsidRPr="00430D26" w:rsidR="00AD288D">
        <w:rPr>
          <w:rFonts w:eastAsia="Calibri"/>
          <w:color w:val="000000" w:themeColor="text1"/>
          <w:lang w:val="es-ES_tradnl"/>
        </w:rPr>
        <w:t xml:space="preserve">en </w:t>
      </w:r>
      <w:r w:rsidRPr="00430D26" w:rsidR="002E6EB5">
        <w:rPr>
          <w:rFonts w:eastAsia="Calibri"/>
          <w:color w:val="000000" w:themeColor="text1"/>
          <w:lang w:val="es-ES_tradnl"/>
        </w:rPr>
        <w:t>el marco de</w:t>
      </w:r>
      <w:r w:rsidRPr="00430D26" w:rsidR="00AD288D">
        <w:rPr>
          <w:rFonts w:eastAsia="Calibri"/>
          <w:color w:val="000000" w:themeColor="text1"/>
          <w:lang w:val="es-ES_tradnl"/>
        </w:rPr>
        <w:t>l ejercicio de</w:t>
      </w:r>
      <w:r w:rsidRPr="00430D26" w:rsidR="002E6EB5">
        <w:rPr>
          <w:rFonts w:eastAsia="Calibri"/>
          <w:color w:val="000000" w:themeColor="text1"/>
          <w:lang w:val="es-ES_tradnl"/>
        </w:rPr>
        <w:t xml:space="preserve"> la función consultiva, sin conoce</w:t>
      </w:r>
      <w:r w:rsidRPr="00430D26" w:rsidR="00F70F75">
        <w:rPr>
          <w:rFonts w:eastAsia="Calibri"/>
          <w:color w:val="000000" w:themeColor="text1"/>
          <w:lang w:val="es-ES_tradnl"/>
        </w:rPr>
        <w:t xml:space="preserve">r las particularidades </w:t>
      </w:r>
      <w:r w:rsidRPr="00430D26" w:rsidR="00AD288D">
        <w:rPr>
          <w:rFonts w:eastAsia="Calibri"/>
          <w:color w:val="000000" w:themeColor="text1"/>
          <w:lang w:val="es-ES_tradnl"/>
        </w:rPr>
        <w:t xml:space="preserve">técnicas </w:t>
      </w:r>
      <w:r w:rsidRPr="00430D26" w:rsidR="00F70F75">
        <w:rPr>
          <w:rFonts w:eastAsia="Calibri"/>
          <w:color w:val="000000" w:themeColor="text1"/>
          <w:lang w:val="es-ES_tradnl"/>
        </w:rPr>
        <w:t xml:space="preserve">del objeto contractual. </w:t>
      </w:r>
      <w:r w:rsidRPr="00430D26" w:rsidR="00AD288D">
        <w:rPr>
          <w:rFonts w:eastAsia="Calibri"/>
          <w:color w:val="000000" w:themeColor="text1"/>
          <w:lang w:val="es-ES_tradnl"/>
        </w:rPr>
        <w:t xml:space="preserve"> </w:t>
      </w:r>
      <w:bookmarkEnd w:id="15"/>
      <w:r w:rsidRPr="00430D26" w:rsidR="00AD288D">
        <w:rPr>
          <w:rFonts w:eastAsia="Calibri"/>
          <w:color w:val="000000" w:themeColor="text1"/>
          <w:lang w:val="es-ES_tradnl"/>
        </w:rPr>
        <w:t>Esto s</w:t>
      </w:r>
      <w:r w:rsidRPr="00430D26" w:rsidR="00EE0C27">
        <w:rPr>
          <w:rFonts w:eastAsia="Calibri"/>
          <w:color w:val="000000" w:themeColor="text1"/>
          <w:lang w:val="es-ES_tradnl"/>
        </w:rPr>
        <w:t>in perjuicio del análisis jurídico aquí realizado</w:t>
      </w:r>
      <w:r w:rsidRPr="00430D26" w:rsidR="008F4D89">
        <w:rPr>
          <w:rFonts w:eastAsia="Calibri"/>
          <w:color w:val="000000" w:themeColor="text1"/>
          <w:lang w:val="es-ES_tradnl"/>
        </w:rPr>
        <w:t xml:space="preserve"> en</w:t>
      </w:r>
      <w:r w:rsidRPr="00430D26" w:rsidR="00C203ED">
        <w:rPr>
          <w:rFonts w:eastAsia="Calibri"/>
          <w:color w:val="000000" w:themeColor="text1"/>
          <w:lang w:val="es-ES_tradnl"/>
        </w:rPr>
        <w:t xml:space="preserve"> torno a las categorías contractuales que pudieran ser relevantes para dicho propósito</w:t>
      </w:r>
      <w:r w:rsidRPr="00430D26" w:rsidR="00A1530E">
        <w:rPr>
          <w:rFonts w:eastAsia="Calibri"/>
          <w:color w:val="000000" w:themeColor="text1"/>
          <w:lang w:val="es-ES_tradnl"/>
        </w:rPr>
        <w:t xml:space="preserve">, así como de la posibilidad de celebrar </w:t>
      </w:r>
      <w:bookmarkStart w:name="_Hlk81430825" w:id="16"/>
      <w:r w:rsidRPr="00430D26" w:rsidR="00A1530E">
        <w:rPr>
          <w:rFonts w:eastAsia="Calibri"/>
          <w:color w:val="000000" w:themeColor="text1"/>
          <w:lang w:val="es-ES_tradnl"/>
        </w:rPr>
        <w:t>contratos estatales con prestaci</w:t>
      </w:r>
      <w:r w:rsidRPr="001E4B4C" w:rsidR="009E640E">
        <w:rPr>
          <w:rFonts w:eastAsia="Calibri"/>
          <w:color w:val="000000" w:themeColor="text1"/>
          <w:lang w:val="es-ES_tradnl"/>
        </w:rPr>
        <w:t>o</w:t>
      </w:r>
      <w:r w:rsidRPr="00430D26" w:rsidR="00A1530E">
        <w:rPr>
          <w:rFonts w:eastAsia="Calibri"/>
          <w:color w:val="000000" w:themeColor="text1"/>
          <w:lang w:val="es-ES_tradnl"/>
        </w:rPr>
        <w:t>n</w:t>
      </w:r>
      <w:r w:rsidRPr="001E4B4C" w:rsidR="009E640E">
        <w:rPr>
          <w:rFonts w:eastAsia="Calibri"/>
          <w:color w:val="000000" w:themeColor="text1"/>
          <w:lang w:val="es-ES_tradnl"/>
        </w:rPr>
        <w:t>es</w:t>
      </w:r>
      <w:r w:rsidRPr="00430D26" w:rsidR="00A1530E">
        <w:rPr>
          <w:rFonts w:eastAsia="Calibri"/>
          <w:color w:val="000000" w:themeColor="text1"/>
          <w:lang w:val="es-ES_tradnl"/>
        </w:rPr>
        <w:t xml:space="preserve"> mixtas </w:t>
      </w:r>
      <w:bookmarkEnd w:id="16"/>
      <w:r w:rsidRPr="00430D26" w:rsidR="00A1530E">
        <w:rPr>
          <w:rFonts w:eastAsia="Calibri"/>
          <w:color w:val="000000" w:themeColor="text1"/>
          <w:lang w:val="es-ES_tradnl"/>
        </w:rPr>
        <w:t>que a continuación se explica</w:t>
      </w:r>
      <w:r w:rsidRPr="00430D26" w:rsidR="008954BB">
        <w:rPr>
          <w:rFonts w:eastAsia="Calibri"/>
          <w:color w:val="000000" w:themeColor="text1"/>
          <w:lang w:val="es-ES_tradnl"/>
        </w:rPr>
        <w:t xml:space="preserve"> –comoquiera que en la consulta se hace referencia a la contratación de actividades de mantenimiento en conjunto con suministro de repuestos–.</w:t>
      </w:r>
      <w:r w:rsidRPr="00430D26" w:rsidR="00C203ED">
        <w:rPr>
          <w:rFonts w:eastAsia="Calibri"/>
          <w:color w:val="000000" w:themeColor="text1"/>
          <w:lang w:val="es-ES_tradnl"/>
        </w:rPr>
        <w:t xml:space="preserve">  </w:t>
      </w:r>
      <w:r w:rsidRPr="00430D26" w:rsidR="008F4D89">
        <w:rPr>
          <w:rFonts w:eastAsia="Calibri"/>
          <w:color w:val="000000" w:themeColor="text1"/>
          <w:lang w:val="es-ES_tradnl"/>
        </w:rPr>
        <w:t xml:space="preserve"> </w:t>
      </w:r>
    </w:p>
    <w:p w:rsidRPr="00430D26" w:rsidR="00D7333C" w:rsidP="00445919" w:rsidRDefault="00D7333C" w14:paraId="1C151DCF" w14:textId="77777777">
      <w:pPr>
        <w:spacing w:line="276" w:lineRule="auto"/>
        <w:ind w:firstLine="709"/>
        <w:jc w:val="both"/>
        <w:rPr>
          <w:rFonts w:eastAsia="Calibri"/>
          <w:color w:val="000000" w:themeColor="text1"/>
          <w:lang w:val="es-ES_tradnl"/>
        </w:rPr>
      </w:pPr>
    </w:p>
    <w:p w:rsidRPr="00430D26" w:rsidR="00753957" w:rsidP="001E4B4C" w:rsidRDefault="00EE7540" w14:paraId="6882DA3D" w14:textId="309AC4EC">
      <w:pPr>
        <w:pStyle w:val="Prrafodelista"/>
        <w:numPr>
          <w:ilvl w:val="1"/>
          <w:numId w:val="11"/>
        </w:numPr>
        <w:spacing w:line="276" w:lineRule="auto"/>
        <w:ind w:left="0" w:hanging="11"/>
        <w:jc w:val="both"/>
        <w:rPr>
          <w:rFonts w:eastAsia="Calibri"/>
          <w:b/>
          <w:bCs/>
          <w:color w:val="000000" w:themeColor="text1"/>
          <w:lang w:val="es-ES_tradnl"/>
        </w:rPr>
      </w:pPr>
      <w:r w:rsidRPr="001E4B4C">
        <w:rPr>
          <w:rFonts w:eastAsia="Calibri"/>
          <w:b/>
          <w:bCs/>
          <w:color w:val="000000" w:themeColor="text1"/>
          <w:lang w:val="es-ES_tradnl"/>
        </w:rPr>
        <w:t>Contratos</w:t>
      </w:r>
      <w:r w:rsidRPr="00430D26" w:rsidR="00A1530E">
        <w:rPr>
          <w:rFonts w:eastAsia="Calibri"/>
          <w:b/>
          <w:bCs/>
          <w:color w:val="000000" w:themeColor="text1"/>
          <w:lang w:val="es-ES_tradnl"/>
        </w:rPr>
        <w:t xml:space="preserve"> estatales</w:t>
      </w:r>
      <w:r w:rsidRPr="001E4B4C">
        <w:rPr>
          <w:rFonts w:eastAsia="Calibri"/>
          <w:b/>
          <w:bCs/>
          <w:color w:val="000000" w:themeColor="text1"/>
          <w:lang w:val="es-ES_tradnl"/>
        </w:rPr>
        <w:t xml:space="preserve"> con prestaciones mixtas</w:t>
      </w:r>
      <w:r w:rsidRPr="00430D26" w:rsidR="00D7333C">
        <w:rPr>
          <w:rFonts w:eastAsia="Calibri"/>
          <w:b/>
          <w:bCs/>
          <w:color w:val="000000" w:themeColor="text1"/>
          <w:lang w:val="es-ES_tradnl"/>
        </w:rPr>
        <w:t xml:space="preserve"> y </w:t>
      </w:r>
      <w:r w:rsidRPr="00430D26" w:rsidR="00A1530E">
        <w:rPr>
          <w:rFonts w:eastAsia="Calibri"/>
          <w:b/>
          <w:bCs/>
          <w:color w:val="000000" w:themeColor="text1"/>
          <w:lang w:val="es-ES_tradnl"/>
        </w:rPr>
        <w:t xml:space="preserve">su </w:t>
      </w:r>
      <w:r w:rsidRPr="00430D26" w:rsidR="00D7333C">
        <w:rPr>
          <w:rFonts w:eastAsia="Calibri"/>
          <w:b/>
          <w:bCs/>
          <w:color w:val="000000" w:themeColor="text1"/>
          <w:lang w:val="es-ES_tradnl"/>
        </w:rPr>
        <w:t xml:space="preserve">régimen jurídico </w:t>
      </w:r>
    </w:p>
    <w:p w:rsidRPr="001E4B4C" w:rsidR="00EE7540" w:rsidP="001E4B4C" w:rsidRDefault="00EE7540" w14:paraId="675C4AFB" w14:textId="77777777">
      <w:pPr>
        <w:jc w:val="both"/>
        <w:rPr>
          <w:rFonts w:eastAsia="Calibri"/>
          <w:b/>
          <w:bCs/>
          <w:color w:val="000000" w:themeColor="text1"/>
          <w:lang w:val="es-ES_tradnl"/>
        </w:rPr>
      </w:pPr>
    </w:p>
    <w:p w:rsidRPr="00430D26" w:rsidR="008B158A" w:rsidP="001E4B4C" w:rsidRDefault="00EE7540" w14:paraId="5B7F25AC" w14:textId="4B953594">
      <w:pPr>
        <w:spacing w:line="276" w:lineRule="auto"/>
        <w:jc w:val="both"/>
        <w:rPr>
          <w:rFonts w:eastAsia="Calibri"/>
          <w:color w:val="000000" w:themeColor="text1"/>
          <w:lang w:val="es-ES_tradnl"/>
        </w:rPr>
      </w:pPr>
      <w:r w:rsidRPr="00430D26">
        <w:rPr>
          <w:rFonts w:eastAsia="Calibri"/>
          <w:color w:val="000000" w:themeColor="text1"/>
          <w:lang w:val="es-ES_tradnl"/>
        </w:rPr>
        <w:t>E</w:t>
      </w:r>
      <w:r w:rsidRPr="00430D26" w:rsidR="00612DDA">
        <w:rPr>
          <w:rFonts w:eastAsia="Calibri"/>
          <w:color w:val="000000" w:themeColor="text1"/>
          <w:lang w:val="es-ES_tradnl"/>
        </w:rPr>
        <w:t xml:space="preserve">l inciso primero del artículo 32 de la Ley 80 de 1993 define los contratos estatales como «[…] todos los actos jurídicos generadores de obligaciones que celebren las entidades a que se refiere el presente estatuto, previstos en el derecho privado o en disposiciones especiales, o derivados del ejercicio de la autonomía de la voluntad […]», </w:t>
      </w:r>
      <w:r w:rsidRPr="00430D26" w:rsidR="00D3237C">
        <w:rPr>
          <w:rFonts w:eastAsia="Calibri"/>
          <w:color w:val="000000" w:themeColor="text1"/>
          <w:lang w:val="es-ES_tradnl"/>
        </w:rPr>
        <w:t xml:space="preserve">por lo que </w:t>
      </w:r>
      <w:bookmarkStart w:name="_Hlk81430928" w:id="17"/>
      <w:r w:rsidRPr="00430D26" w:rsidR="00612DDA">
        <w:rPr>
          <w:rFonts w:eastAsia="Calibri"/>
          <w:color w:val="000000" w:themeColor="text1"/>
          <w:lang w:val="es-ES_tradnl"/>
        </w:rPr>
        <w:t>la</w:t>
      </w:r>
      <w:r w:rsidRPr="00430D26" w:rsidR="00965F60">
        <w:rPr>
          <w:rFonts w:eastAsia="Calibri"/>
          <w:color w:val="000000" w:themeColor="text1"/>
          <w:lang w:val="es-ES_tradnl"/>
        </w:rPr>
        <w:t>s</w:t>
      </w:r>
      <w:r w:rsidRPr="00430D26" w:rsidR="00612DDA">
        <w:rPr>
          <w:rFonts w:eastAsia="Calibri"/>
          <w:color w:val="000000" w:themeColor="text1"/>
          <w:lang w:val="es-ES_tradnl"/>
        </w:rPr>
        <w:t xml:space="preserve"> partes están facultadas para suscribir </w:t>
      </w:r>
      <w:r w:rsidRPr="001E4B4C" w:rsidR="00612DDA">
        <w:rPr>
          <w:rFonts w:eastAsia="Calibri"/>
          <w:i/>
          <w:iCs/>
          <w:color w:val="000000" w:themeColor="text1"/>
          <w:lang w:val="es-ES_tradnl"/>
        </w:rPr>
        <w:t>contratos</w:t>
      </w:r>
      <w:r w:rsidRPr="00430D26" w:rsidR="00831821">
        <w:rPr>
          <w:rFonts w:eastAsia="Calibri"/>
          <w:i/>
          <w:iCs/>
          <w:color w:val="000000" w:themeColor="text1"/>
          <w:lang w:val="es-ES_tradnl"/>
        </w:rPr>
        <w:t xml:space="preserve"> </w:t>
      </w:r>
      <w:r w:rsidRPr="001E4B4C" w:rsidR="00612DDA">
        <w:rPr>
          <w:rFonts w:eastAsia="Calibri"/>
          <w:i/>
          <w:iCs/>
          <w:color w:val="000000" w:themeColor="text1"/>
          <w:lang w:val="es-ES_tradnl"/>
        </w:rPr>
        <w:t>mixtos</w:t>
      </w:r>
      <w:r w:rsidRPr="00430D26" w:rsidR="00612DDA">
        <w:rPr>
          <w:rFonts w:eastAsia="Calibri"/>
          <w:color w:val="000000" w:themeColor="text1"/>
          <w:lang w:val="es-ES_tradnl"/>
        </w:rPr>
        <w:t>.</w:t>
      </w:r>
      <w:r w:rsidRPr="00430D26" w:rsidR="00952AA3">
        <w:rPr>
          <w:rFonts w:eastAsia="Calibri"/>
          <w:color w:val="000000" w:themeColor="text1"/>
          <w:lang w:val="es-ES_tradnl"/>
        </w:rPr>
        <w:t xml:space="preserve"> </w:t>
      </w:r>
      <w:r w:rsidRPr="00430D26" w:rsidR="009C1CAC">
        <w:rPr>
          <w:rFonts w:eastAsia="Calibri"/>
          <w:color w:val="000000" w:themeColor="text1"/>
          <w:lang w:val="es-ES_tradnl"/>
        </w:rPr>
        <w:t>Como una forma de contratación atípica, e</w:t>
      </w:r>
      <w:r w:rsidRPr="00430D26" w:rsidR="00612DDA">
        <w:rPr>
          <w:rFonts w:eastAsia="Calibri"/>
          <w:color w:val="000000" w:themeColor="text1"/>
          <w:lang w:val="es-ES_tradnl"/>
        </w:rPr>
        <w:t>st</w:t>
      </w:r>
      <w:r w:rsidRPr="00430D26" w:rsidR="00965F60">
        <w:rPr>
          <w:rFonts w:eastAsia="Calibri"/>
          <w:color w:val="000000" w:themeColor="text1"/>
          <w:lang w:val="es-ES_tradnl"/>
        </w:rPr>
        <w:t xml:space="preserve">os </w:t>
      </w:r>
      <w:r w:rsidRPr="00430D26" w:rsidR="00612DDA">
        <w:rPr>
          <w:rFonts w:eastAsia="Calibri"/>
          <w:color w:val="000000" w:themeColor="text1"/>
          <w:lang w:val="es-ES_tradnl"/>
        </w:rPr>
        <w:t>se caracteriza</w:t>
      </w:r>
      <w:r w:rsidRPr="00430D26" w:rsidR="00965F60">
        <w:rPr>
          <w:rFonts w:eastAsia="Calibri"/>
          <w:color w:val="000000" w:themeColor="text1"/>
          <w:lang w:val="es-ES_tradnl"/>
        </w:rPr>
        <w:t>n</w:t>
      </w:r>
      <w:r w:rsidRPr="00430D26" w:rsidR="00612DDA">
        <w:rPr>
          <w:rFonts w:eastAsia="Calibri"/>
          <w:color w:val="000000" w:themeColor="text1"/>
          <w:lang w:val="es-ES_tradnl"/>
        </w:rPr>
        <w:t xml:space="preserve"> po</w:t>
      </w:r>
      <w:r w:rsidRPr="00430D26" w:rsidR="00965F60">
        <w:rPr>
          <w:rFonts w:eastAsia="Calibri"/>
          <w:color w:val="000000" w:themeColor="text1"/>
          <w:lang w:val="es-ES_tradnl"/>
        </w:rPr>
        <w:t xml:space="preserve">r </w:t>
      </w:r>
      <w:r w:rsidRPr="00430D26" w:rsidR="000E5F56">
        <w:rPr>
          <w:rFonts w:eastAsia="Calibri"/>
          <w:color w:val="000000" w:themeColor="text1"/>
          <w:lang w:val="es-ES_tradnl"/>
        </w:rPr>
        <w:t>acumular</w:t>
      </w:r>
      <w:r w:rsidRPr="00430D26" w:rsidR="00965F60">
        <w:rPr>
          <w:rFonts w:eastAsia="Calibri"/>
          <w:color w:val="000000" w:themeColor="text1"/>
          <w:lang w:val="es-ES_tradnl"/>
        </w:rPr>
        <w:t xml:space="preserve"> prestaciones de varios contratos </w:t>
      </w:r>
      <w:r w:rsidRPr="00430D26" w:rsidR="009C1CAC">
        <w:rPr>
          <w:rFonts w:eastAsia="Calibri"/>
          <w:color w:val="000000" w:themeColor="text1"/>
          <w:lang w:val="es-ES_tradnl"/>
        </w:rPr>
        <w:t>nominados</w:t>
      </w:r>
      <w:r w:rsidRPr="00430D26" w:rsidR="00965F60">
        <w:rPr>
          <w:rFonts w:eastAsia="Calibri"/>
          <w:color w:val="000000" w:themeColor="text1"/>
          <w:lang w:val="es-ES_tradnl"/>
        </w:rPr>
        <w:t xml:space="preserve"> para satisfacer una necesidad común, es decir, «</w:t>
      </w:r>
      <w:r w:rsidRPr="00430D26" w:rsidR="00280ABB">
        <w:rPr>
          <w:rFonts w:eastAsia="Calibri"/>
          <w:color w:val="000000" w:themeColor="text1"/>
          <w:lang w:val="es-ES_tradnl"/>
        </w:rPr>
        <w:t>Su finalidad económica es única y condensa el propósito perseguido por los contratantes. Las diversas prestaciones, aunque corresponden a diversos contratos típicos, se subordinan a esa finalidad e intención de las partes»</w:t>
      </w:r>
      <w:bookmarkEnd w:id="17"/>
      <w:r w:rsidRPr="00430D26" w:rsidR="00706B14">
        <w:rPr>
          <w:rStyle w:val="Refdenotaalpie"/>
          <w:rFonts w:eastAsia="Calibri"/>
          <w:color w:val="000000" w:themeColor="text1"/>
          <w:lang w:val="es-ES_tradnl"/>
        </w:rPr>
        <w:footnoteReference w:id="19"/>
      </w:r>
      <w:r w:rsidRPr="00430D26" w:rsidR="00280ABB">
        <w:rPr>
          <w:rFonts w:eastAsia="Calibri"/>
          <w:color w:val="000000" w:themeColor="text1"/>
          <w:lang w:val="es-ES_tradnl"/>
        </w:rPr>
        <w:t xml:space="preserve">. </w:t>
      </w:r>
    </w:p>
    <w:p w:rsidRPr="00430D26" w:rsidR="00C96FAE" w:rsidP="00952AA3" w:rsidRDefault="00DC00F3" w14:paraId="25203D23" w14:textId="36355EC9">
      <w:pPr>
        <w:spacing w:before="120" w:line="276" w:lineRule="auto"/>
        <w:ind w:firstLine="708"/>
        <w:jc w:val="both"/>
        <w:rPr>
          <w:rFonts w:eastAsia="Calibri"/>
          <w:color w:val="000000" w:themeColor="text1"/>
          <w:lang w:val="es-ES_tradnl"/>
        </w:rPr>
      </w:pPr>
      <w:r w:rsidRPr="00430D26">
        <w:rPr>
          <w:rFonts w:eastAsia="Calibri"/>
          <w:color w:val="000000" w:themeColor="text1"/>
          <w:lang w:val="es-ES_tradnl"/>
        </w:rPr>
        <w:t>Los ejemplos comunes de estos contratos son el diseño y construcción de obras, el suministro y la instalación de equipos</w:t>
      </w:r>
      <w:r w:rsidRPr="00430D26" w:rsidR="00741232">
        <w:rPr>
          <w:rFonts w:eastAsia="Calibri"/>
          <w:color w:val="000000" w:themeColor="text1"/>
          <w:lang w:val="es-ES_tradnl"/>
        </w:rPr>
        <w:t>, la compra de repuestos y la reparación de bienes, etc.</w:t>
      </w:r>
      <w:r w:rsidRPr="00430D26" w:rsidR="00E964FB">
        <w:rPr>
          <w:rFonts w:eastAsia="Calibri"/>
          <w:color w:val="000000" w:themeColor="text1"/>
          <w:lang w:val="es-ES_tradnl"/>
        </w:rPr>
        <w:t xml:space="preserve"> </w:t>
      </w:r>
      <w:r w:rsidRPr="00430D26" w:rsidR="00E964FB">
        <w:rPr>
          <w:rFonts w:eastAsia="Calibri"/>
          <w:color w:val="000000" w:themeColor="text1"/>
        </w:rPr>
        <w:t xml:space="preserve">En este contexto, es importante diferenciar los «contratos mixtos» de las «uniones de contratos». En el </w:t>
      </w:r>
      <w:r w:rsidRPr="001E4B4C" w:rsidR="00E964FB">
        <w:rPr>
          <w:rFonts w:eastAsia="Calibri"/>
          <w:i/>
          <w:iCs/>
          <w:color w:val="000000" w:themeColor="text1"/>
        </w:rPr>
        <w:t>contrato mixto</w:t>
      </w:r>
      <w:r w:rsidRPr="00430D26" w:rsidR="00E964FB">
        <w:rPr>
          <w:rFonts w:eastAsia="Calibri"/>
          <w:color w:val="000000" w:themeColor="text1"/>
        </w:rPr>
        <w:t xml:space="preserve"> existe un solo acuerdo con elementos de diversos tipos de </w:t>
      </w:r>
      <w:r w:rsidRPr="00430D26" w:rsidR="00E964FB">
        <w:rPr>
          <w:rFonts w:eastAsia="Calibri"/>
          <w:color w:val="000000" w:themeColor="text1"/>
        </w:rPr>
        <w:lastRenderedPageBreak/>
        <w:t xml:space="preserve">contrato, mientras que en las </w:t>
      </w:r>
      <w:r w:rsidRPr="001E4B4C" w:rsidR="00E964FB">
        <w:rPr>
          <w:rFonts w:eastAsia="Calibri"/>
          <w:i/>
          <w:iCs/>
          <w:color w:val="000000" w:themeColor="text1"/>
        </w:rPr>
        <w:t>uniones de contrato</w:t>
      </w:r>
      <w:r w:rsidRPr="00430D26" w:rsidR="00E964FB">
        <w:rPr>
          <w:rFonts w:eastAsia="Calibri"/>
          <w:color w:val="000000" w:themeColor="text1"/>
        </w:rPr>
        <w:t xml:space="preserve"> cada uno de ellos mantiene su régimen y autonomía. Para esta distinción corresponde identificar la causa del contrato, es decir, el móvil para celebrarlo: si existe unidad causal</w:t>
      </w:r>
      <w:r w:rsidRPr="00430D26" w:rsidR="003F066B">
        <w:rPr>
          <w:rFonts w:eastAsia="Calibri"/>
          <w:color w:val="000000" w:themeColor="text1"/>
        </w:rPr>
        <w:t xml:space="preserve"> corresponde</w:t>
      </w:r>
      <w:r w:rsidRPr="00430D26" w:rsidR="00E964FB">
        <w:rPr>
          <w:rFonts w:eastAsia="Calibri"/>
          <w:color w:val="000000" w:themeColor="text1"/>
        </w:rPr>
        <w:t xml:space="preserve"> a un «contrato mixto»</w:t>
      </w:r>
      <w:r w:rsidRPr="00430D26" w:rsidR="00FD23AB">
        <w:rPr>
          <w:rFonts w:eastAsia="Calibri"/>
          <w:color w:val="000000" w:themeColor="text1"/>
        </w:rPr>
        <w:t>;</w:t>
      </w:r>
      <w:r w:rsidRPr="00430D26" w:rsidR="00E964FB">
        <w:rPr>
          <w:rFonts w:eastAsia="Calibri"/>
          <w:color w:val="000000" w:themeColor="text1"/>
        </w:rPr>
        <w:t xml:space="preserve"> de lo contrario</w:t>
      </w:r>
      <w:r w:rsidRPr="00430D26" w:rsidR="00FD23AB">
        <w:rPr>
          <w:rFonts w:eastAsia="Calibri"/>
          <w:color w:val="000000" w:themeColor="text1"/>
        </w:rPr>
        <w:t>,</w:t>
      </w:r>
      <w:r w:rsidRPr="00430D26" w:rsidR="00E964FB">
        <w:rPr>
          <w:rFonts w:eastAsia="Calibri"/>
          <w:color w:val="000000" w:themeColor="text1"/>
        </w:rPr>
        <w:t xml:space="preserve"> </w:t>
      </w:r>
      <w:r w:rsidRPr="00430D26" w:rsidR="003F066B">
        <w:rPr>
          <w:rFonts w:eastAsia="Calibri"/>
          <w:color w:val="000000" w:themeColor="text1"/>
        </w:rPr>
        <w:t>es</w:t>
      </w:r>
      <w:r w:rsidRPr="00430D26" w:rsidR="00E964FB">
        <w:rPr>
          <w:rFonts w:eastAsia="Calibri"/>
          <w:color w:val="000000" w:themeColor="text1"/>
        </w:rPr>
        <w:t xml:space="preserve"> una «unión de contratos»</w:t>
      </w:r>
      <w:r w:rsidRPr="00430D26" w:rsidR="00E964FB">
        <w:rPr>
          <w:rStyle w:val="Refdenotaalpie"/>
          <w:rFonts w:eastAsia="Calibri"/>
          <w:color w:val="000000" w:themeColor="text1"/>
        </w:rPr>
        <w:footnoteReference w:id="20"/>
      </w:r>
      <w:r w:rsidRPr="00430D26" w:rsidR="00E964FB">
        <w:rPr>
          <w:rFonts w:eastAsia="Calibri"/>
          <w:color w:val="000000" w:themeColor="text1"/>
        </w:rPr>
        <w:t>.</w:t>
      </w:r>
      <w:r w:rsidRPr="00430D26" w:rsidR="00741232">
        <w:rPr>
          <w:rFonts w:eastAsia="Calibri"/>
          <w:color w:val="000000" w:themeColor="text1"/>
          <w:lang w:val="es-ES_tradnl"/>
        </w:rPr>
        <w:t xml:space="preserve"> </w:t>
      </w:r>
    </w:p>
    <w:p w:rsidRPr="00430D26" w:rsidR="006F44B9" w:rsidP="006F44B9" w:rsidRDefault="009C1CAC" w14:paraId="138AAE68" w14:textId="2A590979">
      <w:pPr>
        <w:spacing w:before="120" w:line="276" w:lineRule="auto"/>
        <w:ind w:firstLine="708"/>
        <w:jc w:val="both"/>
        <w:rPr>
          <w:rFonts w:eastAsia="Calibri"/>
          <w:color w:val="000000" w:themeColor="text1"/>
          <w:lang w:val="es-ES_tradnl"/>
        </w:rPr>
      </w:pPr>
      <w:r w:rsidRPr="00430D26">
        <w:rPr>
          <w:rFonts w:eastAsia="Calibri"/>
          <w:color w:val="000000" w:themeColor="text1"/>
          <w:lang w:val="es-ES_tradnl"/>
        </w:rPr>
        <w:t xml:space="preserve">De acuerdo con la jurisprudencia de la Sala de Casación Civil de la Corte Suprema de Justicia, </w:t>
      </w:r>
      <w:r w:rsidRPr="00430D26" w:rsidR="006F44B9">
        <w:rPr>
          <w:rFonts w:eastAsia="Calibri"/>
          <w:color w:val="000000" w:themeColor="text1"/>
          <w:lang w:val="es-ES_tradnl"/>
        </w:rPr>
        <w:t xml:space="preserve">un sector de la doctrina explica que </w:t>
      </w:r>
      <w:r w:rsidRPr="00430D26">
        <w:rPr>
          <w:rFonts w:eastAsia="Calibri"/>
          <w:color w:val="000000" w:themeColor="text1"/>
          <w:lang w:val="es-ES_tradnl"/>
        </w:rPr>
        <w:t xml:space="preserve">el régimen contractual de los </w:t>
      </w:r>
      <w:r w:rsidRPr="00430D26">
        <w:rPr>
          <w:rFonts w:eastAsia="Calibri"/>
          <w:i/>
          <w:iCs/>
          <w:color w:val="000000" w:themeColor="text1"/>
          <w:lang w:val="es-ES_tradnl"/>
        </w:rPr>
        <w:t>contratos mixtos</w:t>
      </w:r>
      <w:r w:rsidRPr="00430D26">
        <w:rPr>
          <w:rFonts w:eastAsia="Calibri"/>
          <w:color w:val="000000" w:themeColor="text1"/>
          <w:lang w:val="es-ES_tradnl"/>
        </w:rPr>
        <w:t xml:space="preserve"> se</w:t>
      </w:r>
      <w:r w:rsidRPr="00430D26" w:rsidR="0074200C">
        <w:rPr>
          <w:rFonts w:eastAsia="Calibri"/>
          <w:color w:val="000000" w:themeColor="text1"/>
          <w:lang w:val="es-ES_tradnl"/>
        </w:rPr>
        <w:t xml:space="preserve"> ha determinado</w:t>
      </w:r>
      <w:r w:rsidRPr="00430D26">
        <w:rPr>
          <w:rFonts w:eastAsia="Calibri"/>
          <w:color w:val="000000" w:themeColor="text1"/>
          <w:lang w:val="es-ES_tradnl"/>
        </w:rPr>
        <w:t xml:space="preserve"> por el método de absorción. Conforme a este criterio, debe </w:t>
      </w:r>
      <w:r w:rsidRPr="00430D26" w:rsidR="0074200C">
        <w:rPr>
          <w:rFonts w:eastAsia="Calibri"/>
          <w:color w:val="000000" w:themeColor="text1"/>
          <w:lang w:val="es-ES_tradnl"/>
        </w:rPr>
        <w:t>identificarse</w:t>
      </w:r>
      <w:r w:rsidRPr="00430D26">
        <w:rPr>
          <w:rFonts w:eastAsia="Calibri"/>
          <w:color w:val="000000" w:themeColor="text1"/>
          <w:lang w:val="es-ES_tradnl"/>
        </w:rPr>
        <w:t xml:space="preserve"> el objeto principal de la prestación para aplicar el régimen del contrato típico al que pertenece</w:t>
      </w:r>
      <w:r w:rsidRPr="00430D26" w:rsidR="005E6E11">
        <w:rPr>
          <w:rFonts w:eastAsia="Calibri"/>
          <w:color w:val="000000" w:themeColor="text1"/>
          <w:lang w:val="es-ES_tradnl"/>
        </w:rPr>
        <w:t xml:space="preserve">, </w:t>
      </w:r>
      <w:r w:rsidRPr="00430D26" w:rsidR="0071103C">
        <w:rPr>
          <w:rFonts w:eastAsia="Calibri"/>
          <w:color w:val="000000" w:themeColor="text1"/>
          <w:lang w:val="es-ES_tradnl"/>
        </w:rPr>
        <w:t xml:space="preserve">es decir, </w:t>
      </w:r>
      <w:r w:rsidRPr="00430D26" w:rsidR="005E6E11">
        <w:rPr>
          <w:rFonts w:eastAsia="Calibri"/>
          <w:color w:val="000000" w:themeColor="text1"/>
          <w:lang w:val="es-ES_tradnl"/>
        </w:rPr>
        <w:t>la</w:t>
      </w:r>
      <w:r w:rsidRPr="00430D26" w:rsidR="0071103C">
        <w:rPr>
          <w:rFonts w:eastAsia="Calibri"/>
          <w:color w:val="000000" w:themeColor="text1"/>
          <w:lang w:val="es-ES_tradnl"/>
        </w:rPr>
        <w:t>s</w:t>
      </w:r>
      <w:r w:rsidRPr="00430D26" w:rsidR="005E6E11">
        <w:rPr>
          <w:rFonts w:eastAsia="Calibri"/>
          <w:color w:val="000000" w:themeColor="text1"/>
          <w:lang w:val="es-ES_tradnl"/>
        </w:rPr>
        <w:t xml:space="preserve"> reglas que disciplinan el acuerdo en su conjunto se someten al contrato nominado </w:t>
      </w:r>
      <w:r w:rsidRPr="00430D26" w:rsidR="0071103C">
        <w:rPr>
          <w:rFonts w:eastAsia="Calibri"/>
          <w:color w:val="000000" w:themeColor="text1"/>
          <w:lang w:val="es-ES_tradnl"/>
        </w:rPr>
        <w:t>del</w:t>
      </w:r>
      <w:r w:rsidRPr="00430D26" w:rsidR="005E6E11">
        <w:rPr>
          <w:rFonts w:eastAsia="Calibri"/>
          <w:color w:val="000000" w:themeColor="text1"/>
          <w:lang w:val="es-ES_tradnl"/>
        </w:rPr>
        <w:t xml:space="preserve"> objeto principal</w:t>
      </w:r>
      <w:r w:rsidRPr="00430D26" w:rsidR="00581030">
        <w:rPr>
          <w:rFonts w:eastAsia="Calibri"/>
          <w:color w:val="000000" w:themeColor="text1"/>
          <w:lang w:val="es-ES_tradnl"/>
        </w:rPr>
        <w:t>. Por ello, «en el contrato mixto habría siempre un elemento prevalente que absorbe los elementos secundarios; esta circunstancia permitiría regular el contrato entero con las normas del contrato nominado correspondiente, el que estaría dotado de una fuerza de expansión respecto de las figuras contractuales que estén provistas de una función económica análoga»</w:t>
      </w:r>
      <w:r w:rsidRPr="00430D26" w:rsidR="0071103C">
        <w:rPr>
          <w:rStyle w:val="Refdenotaalpie"/>
          <w:rFonts w:eastAsia="Calibri"/>
          <w:color w:val="000000" w:themeColor="text1"/>
          <w:lang w:val="es-ES_tradnl"/>
        </w:rPr>
        <w:footnoteReference w:id="21"/>
      </w:r>
      <w:r w:rsidRPr="00430D26" w:rsidR="00581030">
        <w:rPr>
          <w:rFonts w:eastAsia="Calibri"/>
          <w:color w:val="000000" w:themeColor="text1"/>
          <w:lang w:val="es-ES_tradnl"/>
        </w:rPr>
        <w:t>.</w:t>
      </w:r>
      <w:r w:rsidRPr="00430D26" w:rsidR="006F44B9">
        <w:rPr>
          <w:rFonts w:eastAsia="Calibri"/>
          <w:color w:val="000000" w:themeColor="text1"/>
          <w:lang w:val="es-ES_tradnl"/>
        </w:rPr>
        <w:t xml:space="preserve"> </w:t>
      </w:r>
    </w:p>
    <w:p w:rsidRPr="00430D26" w:rsidR="00AC6255" w:rsidP="006F44B9" w:rsidRDefault="006E77D0" w14:paraId="63EA9610" w14:textId="38820DB3">
      <w:pPr>
        <w:spacing w:before="120" w:line="276" w:lineRule="auto"/>
        <w:ind w:firstLine="708"/>
        <w:jc w:val="both"/>
        <w:rPr>
          <w:rFonts w:eastAsia="Calibri"/>
          <w:color w:val="000000" w:themeColor="text1"/>
          <w:lang w:val="es-ES_tradnl"/>
        </w:rPr>
      </w:pPr>
      <w:r w:rsidRPr="00430D26">
        <w:rPr>
          <w:rFonts w:eastAsia="Calibri"/>
          <w:color w:val="000000" w:themeColor="text1"/>
          <w:lang w:val="es-ES_tradnl"/>
        </w:rPr>
        <w:t>L</w:t>
      </w:r>
      <w:r w:rsidRPr="00430D26" w:rsidR="006F44B9">
        <w:rPr>
          <w:rFonts w:eastAsia="Calibri"/>
          <w:color w:val="000000" w:themeColor="text1"/>
          <w:lang w:val="es-ES_tradnl"/>
        </w:rPr>
        <w:t>a jurisprudencia citada también explica los métodos de analogía y combinación. El primero alude a que el contrato atípico se rige por las normas que disciplinan la figura contractual típica mas parecida</w:t>
      </w:r>
      <w:r w:rsidRPr="00430D26" w:rsidR="00A43A0A">
        <w:rPr>
          <w:rFonts w:eastAsia="Calibri"/>
          <w:color w:val="000000" w:themeColor="text1"/>
          <w:lang w:val="es-ES_tradnl"/>
        </w:rPr>
        <w:t xml:space="preserve">. El segundo, por su parte, considera </w:t>
      </w:r>
      <w:r w:rsidRPr="001E4B4C" w:rsidR="00FA68B9">
        <w:rPr>
          <w:rFonts w:eastAsia="Calibri"/>
          <w:color w:val="000000" w:themeColor="text1"/>
          <w:lang w:val="es-ES_tradnl"/>
        </w:rPr>
        <w:t>que,</w:t>
      </w:r>
      <w:r w:rsidRPr="00430D26" w:rsidR="00A43A0A">
        <w:rPr>
          <w:rFonts w:eastAsia="Calibri"/>
          <w:color w:val="000000" w:themeColor="text1"/>
          <w:lang w:val="es-ES_tradnl"/>
        </w:rPr>
        <w:t xml:space="preserve"> si un contrato comprende prestaciones de diferentes tipologías, deben aplicarse la</w:t>
      </w:r>
      <w:r w:rsidRPr="001E4B4C" w:rsidR="00645F9C">
        <w:rPr>
          <w:rFonts w:eastAsia="Calibri"/>
          <w:color w:val="000000" w:themeColor="text1"/>
          <w:lang w:val="es-ES_tradnl"/>
        </w:rPr>
        <w:t>s</w:t>
      </w:r>
      <w:r w:rsidRPr="00430D26" w:rsidR="00A43A0A">
        <w:rPr>
          <w:rFonts w:eastAsia="Calibri"/>
          <w:color w:val="000000" w:themeColor="text1"/>
          <w:lang w:val="es-ES_tradnl"/>
        </w:rPr>
        <w:t xml:space="preserve"> normas correspondientes a cada figura. Para la Corte Suprema de Justicia, los criterios de absorción y combinación se reducen a la analogía</w:t>
      </w:r>
      <w:r w:rsidRPr="00430D26" w:rsidR="00A43A0A">
        <w:rPr>
          <w:rStyle w:val="Refdenotaalpie"/>
          <w:rFonts w:eastAsia="Calibri"/>
          <w:color w:val="000000" w:themeColor="text1"/>
          <w:lang w:val="es-ES_tradnl"/>
        </w:rPr>
        <w:footnoteReference w:id="22"/>
      </w:r>
      <w:r w:rsidRPr="00430D26" w:rsidR="00A43A0A">
        <w:rPr>
          <w:rFonts w:eastAsia="Calibri"/>
          <w:color w:val="000000" w:themeColor="text1"/>
          <w:lang w:val="es-ES_tradnl"/>
        </w:rPr>
        <w:t xml:space="preserve">. </w:t>
      </w:r>
      <w:r w:rsidRPr="00430D26">
        <w:rPr>
          <w:rFonts w:eastAsia="Calibri"/>
          <w:color w:val="000000" w:themeColor="text1"/>
          <w:lang w:val="es-ES_tradnl"/>
        </w:rPr>
        <w:t>En todo caso</w:t>
      </w:r>
      <w:r w:rsidRPr="00430D26" w:rsidR="00AC6255">
        <w:rPr>
          <w:rFonts w:eastAsia="Calibri"/>
          <w:color w:val="000000" w:themeColor="text1"/>
          <w:lang w:val="es-ES_tradnl"/>
        </w:rPr>
        <w:t>, la doctrina advierte que:</w:t>
      </w:r>
    </w:p>
    <w:p w:rsidRPr="00430D26" w:rsidR="00AC6255" w:rsidP="001E4B4C" w:rsidRDefault="00AC6255" w14:paraId="77685B30" w14:textId="77777777">
      <w:pPr>
        <w:spacing w:line="276" w:lineRule="auto"/>
        <w:ind w:firstLine="708"/>
        <w:jc w:val="both"/>
        <w:rPr>
          <w:rFonts w:eastAsia="Calibri"/>
          <w:color w:val="000000" w:themeColor="text1"/>
          <w:lang w:val="es-ES_tradnl"/>
        </w:rPr>
      </w:pPr>
    </w:p>
    <w:p w:rsidRPr="001E4B4C" w:rsidR="00AC6255" w:rsidP="001E4B4C" w:rsidRDefault="00AC6255" w14:paraId="5E49A28D" w14:textId="6E164089">
      <w:pPr>
        <w:ind w:left="709" w:right="709"/>
        <w:jc w:val="both"/>
        <w:rPr>
          <w:rFonts w:eastAsia="Calibri"/>
          <w:color w:val="000000" w:themeColor="text1"/>
          <w:sz w:val="21"/>
          <w:szCs w:val="21"/>
        </w:rPr>
      </w:pPr>
      <w:r w:rsidRPr="001E4B4C">
        <w:rPr>
          <w:rFonts w:eastAsia="Calibri"/>
          <w:color w:val="000000" w:themeColor="text1"/>
          <w:sz w:val="21"/>
          <w:szCs w:val="21"/>
        </w:rPr>
        <w:t>[...] “la afinidad con otros tipos no excluye una relevancia original y autónoma del contrato”. Por tanto, se hace necesario auscultar también el interés y la intención de las partes en el contrato atípico.</w:t>
      </w:r>
      <w:r w:rsidRPr="001E4B4C">
        <w:rPr>
          <w:sz w:val="21"/>
          <w:szCs w:val="21"/>
        </w:rPr>
        <w:t xml:space="preserve"> </w:t>
      </w:r>
      <w:r w:rsidRPr="001E4B4C">
        <w:rPr>
          <w:rFonts w:eastAsia="Calibri"/>
          <w:color w:val="000000" w:themeColor="text1"/>
          <w:sz w:val="21"/>
          <w:szCs w:val="21"/>
        </w:rPr>
        <w:t xml:space="preserve">En últimas es la autonomía negocial la que da origen a los contratos innominados. La creación de un nuevo tipo contractual no es sino una adecuación progresiva del fenómeno de la autonomía negocial a los </w:t>
      </w:r>
      <w:r w:rsidRPr="001E4B4C">
        <w:rPr>
          <w:rFonts w:eastAsia="Calibri"/>
          <w:color w:val="000000" w:themeColor="text1"/>
          <w:sz w:val="21"/>
          <w:szCs w:val="21"/>
        </w:rPr>
        <w:lastRenderedPageBreak/>
        <w:t>intereses específicos de los sujetos. La creación de un nuevo tipo contractual no es sino la adecuación progresiva del fenómeno de la autonomía negocial a los intereses específicos de los sujetos</w:t>
      </w:r>
      <w:r w:rsidRPr="00430D26">
        <w:rPr>
          <w:rStyle w:val="Refdenotaalpie"/>
          <w:rFonts w:eastAsia="Calibri"/>
          <w:color w:val="000000" w:themeColor="text1"/>
          <w:sz w:val="21"/>
          <w:szCs w:val="21"/>
        </w:rPr>
        <w:footnoteReference w:id="23"/>
      </w:r>
      <w:r w:rsidRPr="001E4B4C">
        <w:rPr>
          <w:rFonts w:eastAsia="Calibri"/>
          <w:color w:val="000000" w:themeColor="text1"/>
          <w:sz w:val="21"/>
          <w:szCs w:val="21"/>
        </w:rPr>
        <w:t>.</w:t>
      </w:r>
    </w:p>
    <w:p w:rsidRPr="00430D26" w:rsidR="00AC6255" w:rsidP="001E4B4C" w:rsidRDefault="00AC6255" w14:paraId="6EB8C447" w14:textId="77777777">
      <w:pPr>
        <w:spacing w:line="276" w:lineRule="auto"/>
        <w:ind w:left="709" w:right="709"/>
        <w:jc w:val="both"/>
        <w:rPr>
          <w:rFonts w:eastAsia="Calibri"/>
          <w:color w:val="000000" w:themeColor="text1"/>
          <w:lang w:val="es-ES_tradnl"/>
        </w:rPr>
      </w:pPr>
    </w:p>
    <w:p w:rsidRPr="00430D26" w:rsidR="00420D31" w:rsidRDefault="006F44B9" w14:paraId="3ED0BF87" w14:textId="56B14D01">
      <w:pPr>
        <w:spacing w:line="276" w:lineRule="auto"/>
        <w:ind w:firstLine="708"/>
        <w:jc w:val="both"/>
        <w:rPr>
          <w:rFonts w:eastAsia="Calibri"/>
          <w:color w:val="000000" w:themeColor="text1"/>
        </w:rPr>
      </w:pPr>
      <w:r w:rsidRPr="00430D26">
        <w:rPr>
          <w:rFonts w:eastAsia="Calibri"/>
          <w:color w:val="000000" w:themeColor="text1"/>
          <w:lang w:val="es-ES_tradnl"/>
        </w:rPr>
        <w:t>Por su parte</w:t>
      </w:r>
      <w:r w:rsidRPr="00430D26" w:rsidR="00420D31">
        <w:rPr>
          <w:rFonts w:eastAsia="Calibri"/>
          <w:color w:val="000000" w:themeColor="text1"/>
          <w:lang w:val="es-ES_tradnl"/>
        </w:rPr>
        <w:t>, la Sala de Consulta y Servicio Civil del Consejo de Estado explica que</w:t>
      </w:r>
      <w:r w:rsidRPr="00430D26" w:rsidR="00FD23AB">
        <w:rPr>
          <w:rFonts w:eastAsia="Calibri"/>
          <w:color w:val="000000" w:themeColor="text1"/>
          <w:lang w:val="es-ES_tradnl"/>
        </w:rPr>
        <w:t xml:space="preserve"> </w:t>
      </w:r>
      <w:r w:rsidRPr="00430D26" w:rsidR="007724E3">
        <w:rPr>
          <w:rFonts w:eastAsia="Calibri"/>
          <w:color w:val="000000" w:themeColor="text1"/>
          <w:lang w:val="es-ES_tradnl"/>
        </w:rPr>
        <w:t>e</w:t>
      </w:r>
      <w:r w:rsidRPr="00430D26" w:rsidR="007724E3">
        <w:rPr>
          <w:rFonts w:eastAsia="Calibri"/>
          <w:color w:val="000000" w:themeColor="text1"/>
        </w:rPr>
        <w:t xml:space="preserve">s posible </w:t>
      </w:r>
      <w:r w:rsidRPr="00430D26" w:rsidR="0065330A">
        <w:rPr>
          <w:rFonts w:eastAsia="Calibri"/>
          <w:color w:val="000000" w:themeColor="text1"/>
        </w:rPr>
        <w:t>la existencia de</w:t>
      </w:r>
      <w:r w:rsidRPr="00430D26" w:rsidR="007724E3">
        <w:rPr>
          <w:rFonts w:eastAsia="Calibri"/>
          <w:color w:val="000000" w:themeColor="text1"/>
        </w:rPr>
        <w:t xml:space="preserve"> </w:t>
      </w:r>
      <w:r w:rsidRPr="001E4B4C" w:rsidR="007724E3">
        <w:rPr>
          <w:rFonts w:eastAsia="Calibri"/>
          <w:i/>
          <w:iCs/>
          <w:color w:val="000000" w:themeColor="text1"/>
        </w:rPr>
        <w:t>contratos mixtos</w:t>
      </w:r>
      <w:r w:rsidRPr="00430D26" w:rsidR="007724E3">
        <w:rPr>
          <w:rFonts w:eastAsia="Calibri"/>
          <w:color w:val="000000" w:themeColor="text1"/>
        </w:rPr>
        <w:t xml:space="preserve"> que contengan prestaciones correspondientes </w:t>
      </w:r>
      <w:r w:rsidRPr="00430D26" w:rsidR="003F066B">
        <w:rPr>
          <w:rFonts w:eastAsia="Calibri"/>
          <w:color w:val="000000" w:themeColor="text1"/>
        </w:rPr>
        <w:t xml:space="preserve">a </w:t>
      </w:r>
      <w:r w:rsidRPr="00430D26" w:rsidR="0065330A">
        <w:rPr>
          <w:rFonts w:eastAsia="Calibri"/>
          <w:color w:val="000000" w:themeColor="text1"/>
        </w:rPr>
        <w:t>varias tipologías contractuales</w:t>
      </w:r>
      <w:r w:rsidRPr="00430D26" w:rsidR="007724E3">
        <w:rPr>
          <w:rFonts w:eastAsia="Calibri"/>
          <w:color w:val="000000" w:themeColor="text1"/>
        </w:rPr>
        <w:t xml:space="preserve">. En estos casos, </w:t>
      </w:r>
      <w:r w:rsidRPr="00430D26">
        <w:rPr>
          <w:rFonts w:eastAsia="Calibri"/>
          <w:color w:val="000000" w:themeColor="text1"/>
        </w:rPr>
        <w:t xml:space="preserve">adhiriéndose al método de absorción </w:t>
      </w:r>
      <w:r w:rsidRPr="00430D26" w:rsidR="007724E3">
        <w:rPr>
          <w:rFonts w:eastAsia="Calibri"/>
          <w:color w:val="000000" w:themeColor="text1"/>
        </w:rPr>
        <w:t xml:space="preserve">para efectos </w:t>
      </w:r>
      <w:r w:rsidRPr="00430D26">
        <w:rPr>
          <w:rFonts w:eastAsia="Calibri"/>
          <w:color w:val="000000" w:themeColor="text1"/>
        </w:rPr>
        <w:t xml:space="preserve">de integrar </w:t>
      </w:r>
      <w:r w:rsidRPr="00430D26" w:rsidR="007724E3">
        <w:rPr>
          <w:rFonts w:eastAsia="Calibri"/>
          <w:color w:val="000000" w:themeColor="text1"/>
        </w:rPr>
        <w:t>el régimen jurídico aplicable</w:t>
      </w:r>
      <w:r w:rsidRPr="00430D26" w:rsidR="0065330A">
        <w:rPr>
          <w:rFonts w:eastAsia="Calibri"/>
          <w:color w:val="000000" w:themeColor="text1"/>
        </w:rPr>
        <w:t>,</w:t>
      </w:r>
      <w:r w:rsidRPr="00430D26" w:rsidR="007724E3">
        <w:rPr>
          <w:rFonts w:eastAsia="Calibri"/>
          <w:color w:val="000000" w:themeColor="text1"/>
        </w:rPr>
        <w:t xml:space="preserve"> considera que «Ante la ausencia y vacío legislativo, para la Sala un criterio de interpretación que ayude a dilucidar esta situación será el de atender al carácter de la prestación principal. El objeto principal, a su vez, podría determinarse en función de cuál es la prestación que tenga el mayor de los valores estimados. Se trata de una regla general que debe centrase en definir el fin buscado por la administración en los términos del artículo 3° de la Ley 80 de 1993»</w:t>
      </w:r>
      <w:r w:rsidRPr="00430D26" w:rsidR="007724E3">
        <w:rPr>
          <w:rStyle w:val="Refdenotaalpie"/>
          <w:rFonts w:eastAsia="Calibri"/>
          <w:color w:val="000000" w:themeColor="text1"/>
        </w:rPr>
        <w:footnoteReference w:id="24"/>
      </w:r>
      <w:r w:rsidRPr="00430D26" w:rsidR="007724E3">
        <w:rPr>
          <w:rFonts w:eastAsia="Calibri"/>
          <w:color w:val="000000" w:themeColor="text1"/>
        </w:rPr>
        <w:t>.</w:t>
      </w:r>
    </w:p>
    <w:p w:rsidRPr="00430D26" w:rsidR="00690599" w:rsidP="001E4B4C" w:rsidRDefault="00690599" w14:paraId="6AE407BD" w14:textId="77777777">
      <w:pPr>
        <w:spacing w:line="276" w:lineRule="auto"/>
        <w:ind w:firstLine="708"/>
        <w:jc w:val="both"/>
        <w:rPr>
          <w:rFonts w:eastAsia="Calibri"/>
          <w:color w:val="000000" w:themeColor="text1"/>
        </w:rPr>
      </w:pPr>
    </w:p>
    <w:p w:rsidRPr="001E4B4C" w:rsidR="001060E2" w:rsidP="00690599" w:rsidRDefault="001060E2" w14:paraId="31FBEAA6" w14:textId="1DBE1B4E">
      <w:pPr>
        <w:pStyle w:val="Prrafodelista"/>
        <w:numPr>
          <w:ilvl w:val="0"/>
          <w:numId w:val="11"/>
        </w:numPr>
        <w:spacing w:line="276" w:lineRule="auto"/>
        <w:ind w:left="357" w:hanging="357"/>
        <w:jc w:val="both"/>
        <w:rPr>
          <w:rFonts w:eastAsia="Calibri"/>
          <w:b/>
          <w:bCs/>
          <w:color w:val="000000" w:themeColor="text1"/>
        </w:rPr>
      </w:pPr>
      <w:r w:rsidRPr="001E4B4C">
        <w:rPr>
          <w:rFonts w:eastAsia="Calibri"/>
          <w:b/>
          <w:bCs/>
          <w:color w:val="000000" w:themeColor="text1"/>
        </w:rPr>
        <w:t xml:space="preserve">Respuesta </w:t>
      </w:r>
    </w:p>
    <w:p w:rsidRPr="001E4B4C" w:rsidR="00CD554B" w:rsidP="00CD554B" w:rsidRDefault="00CD554B" w14:paraId="212A3091" w14:textId="11087485">
      <w:pPr>
        <w:pStyle w:val="Prrafodelista"/>
        <w:spacing w:line="276" w:lineRule="auto"/>
        <w:ind w:left="357" w:firstLine="0"/>
        <w:jc w:val="both"/>
        <w:rPr>
          <w:rFonts w:eastAsia="Calibri"/>
          <w:b/>
          <w:bCs/>
          <w:color w:val="000000" w:themeColor="text1"/>
        </w:rPr>
      </w:pPr>
    </w:p>
    <w:p w:rsidR="00CD554B" w:rsidRDefault="00CD554B" w14:paraId="0C6ABBC1" w14:textId="53A612D4">
      <w:pPr>
        <w:pStyle w:val="Prrafodelista"/>
        <w:ind w:left="709" w:right="709" w:firstLine="0"/>
        <w:jc w:val="both"/>
        <w:rPr>
          <w:sz w:val="21"/>
          <w:szCs w:val="21"/>
        </w:rPr>
      </w:pPr>
      <w:r w:rsidRPr="001E4B4C">
        <w:rPr>
          <w:sz w:val="21"/>
          <w:szCs w:val="21"/>
        </w:rPr>
        <w:t>«[…] ¿el mantenimiento de aires acondicionados tipo mini Split con suministro de repuestos puede ser considerado como un contrato de obra?»</w:t>
      </w:r>
    </w:p>
    <w:p w:rsidRPr="001E4B4C" w:rsidR="00E071C6" w:rsidP="001E4B4C" w:rsidRDefault="00E071C6" w14:paraId="252D4268" w14:textId="77777777">
      <w:pPr>
        <w:pStyle w:val="Prrafodelista"/>
        <w:ind w:left="709" w:right="709" w:firstLine="0"/>
        <w:jc w:val="both"/>
        <w:rPr>
          <w:rFonts w:eastAsia="Calibri"/>
          <w:b/>
          <w:bCs/>
          <w:color w:val="000000" w:themeColor="text1"/>
          <w:sz w:val="21"/>
          <w:szCs w:val="21"/>
        </w:rPr>
      </w:pPr>
    </w:p>
    <w:p w:rsidRPr="001E4B4C" w:rsidR="00B71104" w:rsidP="001E4B4C" w:rsidRDefault="00296292" w14:paraId="5911AE85" w14:textId="2D7173DA">
      <w:pPr>
        <w:spacing w:line="276" w:lineRule="auto"/>
        <w:jc w:val="both"/>
        <w:rPr>
          <w:rFonts w:eastAsia="Calibri"/>
          <w:color w:val="000000" w:themeColor="text1"/>
        </w:rPr>
      </w:pPr>
      <w:r w:rsidRPr="00430D26">
        <w:rPr>
          <w:rFonts w:eastAsia="Calibri"/>
          <w:color w:val="000000" w:themeColor="text1"/>
        </w:rPr>
        <w:t xml:space="preserve">De acuerdo con lo expuesto, </w:t>
      </w:r>
      <w:r w:rsidRPr="001E4B4C" w:rsidR="00990F37">
        <w:rPr>
          <w:rFonts w:eastAsia="Calibri"/>
          <w:color w:val="000000" w:themeColor="text1"/>
        </w:rPr>
        <w:t xml:space="preserve">la entidad estatal </w:t>
      </w:r>
      <w:r w:rsidRPr="001E4B4C" w:rsidR="00C95108">
        <w:rPr>
          <w:rFonts w:eastAsia="Calibri"/>
          <w:color w:val="000000" w:themeColor="text1"/>
        </w:rPr>
        <w:t xml:space="preserve">contratante, </w:t>
      </w:r>
      <w:r w:rsidRPr="001E4B4C" w:rsidR="00BB1067">
        <w:rPr>
          <w:rFonts w:eastAsia="Calibri"/>
          <w:color w:val="000000" w:themeColor="text1"/>
        </w:rPr>
        <w:t>des</w:t>
      </w:r>
      <w:r w:rsidRPr="001E4B4C" w:rsidR="00416D85">
        <w:rPr>
          <w:rFonts w:eastAsia="Calibri"/>
          <w:color w:val="000000" w:themeColor="text1"/>
        </w:rPr>
        <w:t>pués de</w:t>
      </w:r>
      <w:r w:rsidRPr="001E4B4C" w:rsidR="00990F37">
        <w:rPr>
          <w:rFonts w:eastAsia="Calibri"/>
          <w:color w:val="000000" w:themeColor="text1"/>
        </w:rPr>
        <w:t xml:space="preserve"> analizar detalladamente el objeto contractual</w:t>
      </w:r>
      <w:r w:rsidRPr="001E4B4C" w:rsidR="00196ED7">
        <w:rPr>
          <w:rFonts w:eastAsia="Calibri"/>
          <w:color w:val="000000" w:themeColor="text1"/>
        </w:rPr>
        <w:t xml:space="preserve">, </w:t>
      </w:r>
      <w:r w:rsidRPr="001E4B4C" w:rsidR="00EB77D4">
        <w:rPr>
          <w:rFonts w:eastAsia="Calibri"/>
          <w:color w:val="000000" w:themeColor="text1"/>
        </w:rPr>
        <w:t xml:space="preserve">y </w:t>
      </w:r>
      <w:r w:rsidRPr="001E4B4C" w:rsidR="00196ED7">
        <w:rPr>
          <w:rFonts w:eastAsia="Calibri"/>
          <w:color w:val="000000" w:themeColor="text1"/>
        </w:rPr>
        <w:t>p</w:t>
      </w:r>
      <w:r w:rsidRPr="001E4B4C" w:rsidR="00690599">
        <w:rPr>
          <w:rFonts w:eastAsia="Calibri"/>
          <w:color w:val="000000" w:themeColor="text1"/>
        </w:rPr>
        <w:t xml:space="preserve">revia integración del régimen jurídico aplicable, </w:t>
      </w:r>
      <w:r w:rsidRPr="001E4B4C" w:rsidR="00196ED7">
        <w:rPr>
          <w:rFonts w:eastAsia="Calibri"/>
          <w:color w:val="000000" w:themeColor="text1"/>
        </w:rPr>
        <w:t xml:space="preserve"> debe </w:t>
      </w:r>
      <w:r w:rsidRPr="001E4B4C" w:rsidR="003A16FE">
        <w:rPr>
          <w:rFonts w:eastAsia="Calibri"/>
          <w:color w:val="000000" w:themeColor="text1"/>
        </w:rPr>
        <w:t xml:space="preserve">determinar </w:t>
      </w:r>
      <w:r w:rsidRPr="001E4B4C" w:rsidR="00690599">
        <w:rPr>
          <w:rFonts w:eastAsia="Calibri"/>
          <w:color w:val="000000" w:themeColor="text1"/>
        </w:rPr>
        <w:t xml:space="preserve">si </w:t>
      </w:r>
      <w:r w:rsidR="00E071C6">
        <w:rPr>
          <w:rFonts w:eastAsia="Calibri"/>
          <w:color w:val="000000" w:themeColor="text1"/>
        </w:rPr>
        <w:t xml:space="preserve">al desarrollo de </w:t>
      </w:r>
      <w:r w:rsidRPr="001E4B4C" w:rsidR="003A16FE">
        <w:rPr>
          <w:rFonts w:eastAsia="Calibri"/>
          <w:color w:val="000000" w:themeColor="text1"/>
        </w:rPr>
        <w:t>la actividad de mantenimiento a contratar</w:t>
      </w:r>
      <w:r w:rsidRPr="001E4B4C" w:rsidR="00690599">
        <w:rPr>
          <w:rFonts w:eastAsia="Calibri"/>
          <w:color w:val="000000" w:themeColor="text1"/>
        </w:rPr>
        <w:t xml:space="preserve"> </w:t>
      </w:r>
      <w:r w:rsidR="00E071C6">
        <w:rPr>
          <w:rFonts w:eastAsia="Calibri"/>
          <w:color w:val="000000" w:themeColor="text1"/>
        </w:rPr>
        <w:t>concurren los siguientes tres elementos</w:t>
      </w:r>
      <w:r w:rsidRPr="001E4B4C" w:rsidR="00D451CA">
        <w:rPr>
          <w:rFonts w:eastAsia="Calibri"/>
          <w:color w:val="000000" w:themeColor="text1"/>
        </w:rPr>
        <w:t>:</w:t>
      </w:r>
      <w:r w:rsidRPr="001E4B4C" w:rsidR="00690599">
        <w:rPr>
          <w:rFonts w:eastAsia="Calibri"/>
          <w:color w:val="000000" w:themeColor="text1"/>
        </w:rPr>
        <w:t xml:space="preserve"> </w:t>
      </w:r>
      <w:r w:rsidRPr="001E4B4C" w:rsidR="00D451CA">
        <w:rPr>
          <w:rFonts w:eastAsia="Calibri"/>
          <w:i/>
          <w:iCs/>
          <w:color w:val="000000" w:themeColor="text1"/>
        </w:rPr>
        <w:t>(i)</w:t>
      </w:r>
      <w:r w:rsidRPr="001E4B4C" w:rsidR="00D451CA">
        <w:rPr>
          <w:rFonts w:eastAsia="Calibri"/>
          <w:color w:val="000000" w:themeColor="text1"/>
        </w:rPr>
        <w:t xml:space="preserve">  la </w:t>
      </w:r>
      <w:r w:rsidRPr="001E4B4C" w:rsidR="00690599">
        <w:rPr>
          <w:rFonts w:eastAsia="Calibri"/>
          <w:color w:val="000000" w:themeColor="text1"/>
        </w:rPr>
        <w:t xml:space="preserve">ejecución de </w:t>
      </w:r>
      <w:r w:rsidRPr="001E4B4C" w:rsidR="00FE21AD">
        <w:rPr>
          <w:rFonts w:eastAsia="Calibri"/>
          <w:color w:val="000000" w:themeColor="text1"/>
        </w:rPr>
        <w:t xml:space="preserve">una prestación consistente en la realización de </w:t>
      </w:r>
      <w:r w:rsidRPr="001E4B4C" w:rsidR="00690599">
        <w:rPr>
          <w:rFonts w:eastAsia="Calibri"/>
          <w:color w:val="000000" w:themeColor="text1"/>
        </w:rPr>
        <w:t>trabajos materiales sobre</w:t>
      </w:r>
      <w:r w:rsidRPr="001E4B4C" w:rsidR="00C312AD">
        <w:rPr>
          <w:rFonts w:eastAsia="Calibri"/>
          <w:color w:val="000000" w:themeColor="text1"/>
        </w:rPr>
        <w:t xml:space="preserve"> un </w:t>
      </w:r>
      <w:r w:rsidRPr="001E4B4C" w:rsidR="00690599">
        <w:rPr>
          <w:rFonts w:eastAsia="Calibri"/>
          <w:color w:val="000000" w:themeColor="text1"/>
        </w:rPr>
        <w:t xml:space="preserve"> bien inmueble</w:t>
      </w:r>
      <w:r w:rsidRPr="001E4B4C" w:rsidR="003A16FE">
        <w:rPr>
          <w:rFonts w:eastAsia="Calibri"/>
          <w:color w:val="000000" w:themeColor="text1"/>
        </w:rPr>
        <w:t xml:space="preserve"> –</w:t>
      </w:r>
      <w:r w:rsidRPr="001E4B4C" w:rsidR="00690599">
        <w:rPr>
          <w:rFonts w:eastAsia="Calibri"/>
          <w:color w:val="000000" w:themeColor="text1"/>
        </w:rPr>
        <w:t>bien sea por naturaleza, adhesión o destinación</w:t>
      </w:r>
      <w:r w:rsidR="00256F7E">
        <w:rPr>
          <w:rFonts w:eastAsia="Calibri"/>
          <w:color w:val="000000" w:themeColor="text1"/>
        </w:rPr>
        <w:t>-</w:t>
      </w:r>
      <w:r w:rsidRPr="001E4B4C" w:rsidR="00690599">
        <w:rPr>
          <w:rFonts w:eastAsia="Calibri"/>
          <w:color w:val="000000" w:themeColor="text1"/>
        </w:rPr>
        <w:t>,</w:t>
      </w:r>
      <w:r w:rsidRPr="001E4B4C" w:rsidR="00D451CA">
        <w:rPr>
          <w:rFonts w:eastAsia="Calibri"/>
          <w:color w:val="000000" w:themeColor="text1"/>
        </w:rPr>
        <w:t xml:space="preserve"> </w:t>
      </w:r>
      <w:r w:rsidRPr="001E4B4C" w:rsidR="00D451CA">
        <w:rPr>
          <w:rFonts w:eastAsia="Calibri"/>
          <w:i/>
          <w:iCs/>
          <w:color w:val="000000" w:themeColor="text1"/>
        </w:rPr>
        <w:t>(ii)</w:t>
      </w:r>
      <w:r w:rsidRPr="001E4B4C" w:rsidR="00D451CA">
        <w:rPr>
          <w:rFonts w:eastAsia="Calibri"/>
          <w:color w:val="000000" w:themeColor="text1"/>
        </w:rPr>
        <w:t xml:space="preserve"> que</w:t>
      </w:r>
      <w:r w:rsidR="00E071C6">
        <w:rPr>
          <w:rFonts w:eastAsia="Calibri"/>
          <w:color w:val="000000" w:themeColor="text1"/>
        </w:rPr>
        <w:t xml:space="preserve"> los trabajos materiales</w:t>
      </w:r>
      <w:r w:rsidRPr="001E4B4C" w:rsidR="00D451CA">
        <w:rPr>
          <w:rFonts w:eastAsia="Calibri"/>
          <w:color w:val="000000" w:themeColor="text1"/>
        </w:rPr>
        <w:t xml:space="preserve"> queden incorporados al </w:t>
      </w:r>
      <w:r w:rsidR="00E071C6">
        <w:rPr>
          <w:rFonts w:eastAsia="Calibri"/>
          <w:color w:val="000000" w:themeColor="text1"/>
        </w:rPr>
        <w:t>inmueble</w:t>
      </w:r>
      <w:r w:rsidRPr="001E4B4C" w:rsidR="00C312AD">
        <w:rPr>
          <w:rFonts w:eastAsia="Calibri"/>
          <w:color w:val="000000" w:themeColor="text1"/>
        </w:rPr>
        <w:t xml:space="preserve"> y </w:t>
      </w:r>
      <w:r w:rsidRPr="001E4B4C" w:rsidR="007B4660">
        <w:rPr>
          <w:rFonts w:eastAsia="Calibri"/>
          <w:i/>
          <w:iCs/>
          <w:color w:val="000000" w:themeColor="text1"/>
        </w:rPr>
        <w:t>(</w:t>
      </w:r>
      <w:r w:rsidRPr="001E4B4C" w:rsidR="00C312AD">
        <w:rPr>
          <w:rFonts w:eastAsia="Calibri"/>
          <w:i/>
          <w:iCs/>
          <w:color w:val="000000" w:themeColor="text1"/>
        </w:rPr>
        <w:t>iii)</w:t>
      </w:r>
      <w:r w:rsidRPr="001E4B4C" w:rsidR="00C312AD">
        <w:rPr>
          <w:rFonts w:eastAsia="Calibri"/>
          <w:color w:val="000000" w:themeColor="text1"/>
        </w:rPr>
        <w:t xml:space="preserve"> </w:t>
      </w:r>
      <w:r w:rsidR="00E071C6">
        <w:rPr>
          <w:rFonts w:eastAsia="Calibri"/>
          <w:color w:val="000000" w:themeColor="text1"/>
        </w:rPr>
        <w:t xml:space="preserve">que estos </w:t>
      </w:r>
      <w:r w:rsidRPr="001E4B4C" w:rsidR="00C312AD">
        <w:rPr>
          <w:rFonts w:eastAsia="Calibri"/>
          <w:color w:val="000000" w:themeColor="text1"/>
        </w:rPr>
        <w:t>sean</w:t>
      </w:r>
      <w:r w:rsidRPr="001E4B4C" w:rsidR="00FE21AD">
        <w:rPr>
          <w:rFonts w:eastAsia="Calibri"/>
          <w:color w:val="000000" w:themeColor="text1"/>
        </w:rPr>
        <w:t xml:space="preserve"> re</w:t>
      </w:r>
      <w:r w:rsidRPr="001E4B4C" w:rsidR="009A5C11">
        <w:rPr>
          <w:rFonts w:eastAsia="Calibri"/>
          <w:color w:val="000000" w:themeColor="text1"/>
        </w:rPr>
        <w:t xml:space="preserve">queridos para </w:t>
      </w:r>
      <w:r w:rsidR="00E071C6">
        <w:rPr>
          <w:rFonts w:eastAsia="Calibri"/>
          <w:color w:val="000000" w:themeColor="text1"/>
        </w:rPr>
        <w:t>el</w:t>
      </w:r>
      <w:r w:rsidRPr="001E4B4C" w:rsidR="009A5C11">
        <w:rPr>
          <w:rFonts w:eastAsia="Calibri"/>
          <w:color w:val="000000" w:themeColor="text1"/>
        </w:rPr>
        <w:t xml:space="preserve"> adecuado funcionamiento</w:t>
      </w:r>
      <w:r w:rsidR="00E071C6">
        <w:rPr>
          <w:rFonts w:eastAsia="Calibri"/>
          <w:color w:val="000000" w:themeColor="text1"/>
        </w:rPr>
        <w:t xml:space="preserve"> del inmueble</w:t>
      </w:r>
      <w:r w:rsidRPr="001E4B4C" w:rsidR="00C312AD">
        <w:rPr>
          <w:rFonts w:eastAsia="Calibri"/>
          <w:color w:val="000000" w:themeColor="text1"/>
        </w:rPr>
        <w:t xml:space="preserve">, </w:t>
      </w:r>
      <w:r w:rsidR="00E071C6">
        <w:rPr>
          <w:rFonts w:eastAsia="Calibri"/>
          <w:color w:val="000000" w:themeColor="text1"/>
        </w:rPr>
        <w:t>de concurrir estos elementos</w:t>
      </w:r>
      <w:r w:rsidRPr="001E4B4C" w:rsidR="00C312AD">
        <w:rPr>
          <w:rFonts w:eastAsia="Calibri"/>
          <w:color w:val="000000" w:themeColor="text1"/>
        </w:rPr>
        <w:t xml:space="preserve"> </w:t>
      </w:r>
      <w:r w:rsidR="00E071C6">
        <w:rPr>
          <w:rFonts w:eastAsia="Calibri"/>
          <w:color w:val="000000" w:themeColor="text1"/>
        </w:rPr>
        <w:t xml:space="preserve">el contrato a celebrar </w:t>
      </w:r>
      <w:r w:rsidRPr="001E4B4C" w:rsidR="005A3389">
        <w:rPr>
          <w:rFonts w:eastAsia="Calibri"/>
          <w:color w:val="000000" w:themeColor="text1"/>
        </w:rPr>
        <w:t>corresponderá a</w:t>
      </w:r>
      <w:r w:rsidR="00E071C6">
        <w:rPr>
          <w:rFonts w:eastAsia="Calibri"/>
          <w:color w:val="000000" w:themeColor="text1"/>
        </w:rPr>
        <w:t>l tipo de obra pública</w:t>
      </w:r>
      <w:r w:rsidRPr="001E4B4C" w:rsidR="005A3389">
        <w:rPr>
          <w:rFonts w:eastAsia="Calibri"/>
          <w:color w:val="000000" w:themeColor="text1"/>
        </w:rPr>
        <w:t>.</w:t>
      </w:r>
      <w:r w:rsidRPr="001E4B4C" w:rsidR="00F04454">
        <w:rPr>
          <w:rFonts w:eastAsia="Calibri"/>
          <w:color w:val="000000" w:themeColor="text1"/>
        </w:rPr>
        <w:t xml:space="preserve"> De lo contrario, en caso de estimar</w:t>
      </w:r>
      <w:r w:rsidRPr="001E4B4C" w:rsidR="00EB77D4">
        <w:rPr>
          <w:rFonts w:eastAsia="Calibri"/>
          <w:color w:val="000000" w:themeColor="text1"/>
        </w:rPr>
        <w:t>se</w:t>
      </w:r>
      <w:r w:rsidRPr="001E4B4C" w:rsidR="00F04454">
        <w:rPr>
          <w:rFonts w:eastAsia="Calibri"/>
          <w:color w:val="000000" w:themeColor="text1"/>
        </w:rPr>
        <w:t xml:space="preserve"> que la prestación implica actividades materiales sobre bienes muebles, la entidad podrá acudir al régimen contractual de los contratos de prestación de servicios, o a cualquier otra modalidad típica o atípica, nominada o innominada que pueda celebrarse entre la entidad estatal y un contratista, en los términos de la autonomía de la voluntad de las partes, de acuerdo con lo previsto en los artículos 32 y 40 de </w:t>
      </w:r>
      <w:r w:rsidRPr="001E4B4C" w:rsidR="00B71104">
        <w:rPr>
          <w:rFonts w:eastAsia="Calibri"/>
          <w:color w:val="000000" w:themeColor="text1"/>
        </w:rPr>
        <w:t>l</w:t>
      </w:r>
      <w:r w:rsidRPr="001E4B4C" w:rsidR="00F04454">
        <w:rPr>
          <w:rFonts w:eastAsia="Calibri"/>
          <w:color w:val="000000" w:themeColor="text1"/>
        </w:rPr>
        <w:t xml:space="preserve">a </w:t>
      </w:r>
      <w:r w:rsidRPr="001E4B4C" w:rsidR="00B71104">
        <w:rPr>
          <w:rFonts w:eastAsia="Calibri"/>
          <w:color w:val="000000" w:themeColor="text1"/>
        </w:rPr>
        <w:t>L</w:t>
      </w:r>
      <w:r w:rsidRPr="001E4B4C" w:rsidR="00F04454">
        <w:rPr>
          <w:rFonts w:eastAsia="Calibri"/>
          <w:color w:val="000000" w:themeColor="text1"/>
        </w:rPr>
        <w:t>ey 80 de 1993.</w:t>
      </w:r>
      <w:r w:rsidRPr="001E4B4C" w:rsidR="00F04454">
        <w:rPr>
          <w:rFonts w:eastAsia="Calibri"/>
          <w:color w:val="000000" w:themeColor="text1"/>
          <w:sz w:val="21"/>
          <w:szCs w:val="21"/>
          <w:lang w:val="es-ES_tradnl"/>
        </w:rPr>
        <w:t xml:space="preserve"> </w:t>
      </w:r>
      <w:r w:rsidR="0080298E">
        <w:rPr>
          <w:rFonts w:eastAsia="Calibri"/>
          <w:color w:val="000000" w:themeColor="text1"/>
        </w:rPr>
        <w:t xml:space="preserve"> </w:t>
      </w:r>
      <w:r w:rsidRPr="001E4B4C" w:rsidR="00F576DD">
        <w:rPr>
          <w:rFonts w:eastAsia="Calibri"/>
          <w:color w:val="000000" w:themeColor="text1"/>
        </w:rPr>
        <w:t>En todo caso,</w:t>
      </w:r>
      <w:r w:rsidRPr="001E4B4C" w:rsidR="004D0441">
        <w:rPr>
          <w:rFonts w:eastAsia="Calibri"/>
          <w:color w:val="000000" w:themeColor="text1"/>
        </w:rPr>
        <w:t xml:space="preserve"> se </w:t>
      </w:r>
      <w:r w:rsidRPr="001E4B4C" w:rsidR="00474EF1">
        <w:rPr>
          <w:rFonts w:eastAsia="Calibri"/>
          <w:color w:val="000000" w:themeColor="text1"/>
        </w:rPr>
        <w:t>re</w:t>
      </w:r>
      <w:r w:rsidRPr="001E4B4C" w:rsidR="004D0441">
        <w:rPr>
          <w:rFonts w:eastAsia="Calibri"/>
          <w:color w:val="000000" w:themeColor="text1"/>
        </w:rPr>
        <w:t>itera,</w:t>
      </w:r>
      <w:r w:rsidRPr="001E4B4C" w:rsidR="00F576DD">
        <w:rPr>
          <w:rFonts w:eastAsia="Calibri"/>
          <w:color w:val="000000" w:themeColor="text1"/>
        </w:rPr>
        <w:t xml:space="preserve"> la determinación del objeto contractual es</w:t>
      </w:r>
      <w:r w:rsidRPr="001E4B4C" w:rsidR="00737220">
        <w:rPr>
          <w:rFonts w:eastAsia="Calibri"/>
          <w:color w:val="000000" w:themeColor="text1"/>
        </w:rPr>
        <w:t xml:space="preserve"> un</w:t>
      </w:r>
      <w:r w:rsidRPr="001E4B4C" w:rsidR="00F576DD">
        <w:rPr>
          <w:rFonts w:eastAsia="Calibri"/>
          <w:color w:val="000000" w:themeColor="text1"/>
        </w:rPr>
        <w:t xml:space="preserve"> asunto </w:t>
      </w:r>
      <w:r w:rsidRPr="001E4B4C" w:rsidR="009D1A0C">
        <w:rPr>
          <w:rFonts w:eastAsia="Calibri"/>
          <w:color w:val="000000" w:themeColor="text1"/>
        </w:rPr>
        <w:t xml:space="preserve">que compete a la entidad contratante, </w:t>
      </w:r>
      <w:r w:rsidRPr="001E4B4C" w:rsidR="00737220">
        <w:rPr>
          <w:rFonts w:eastAsia="Calibri"/>
          <w:color w:val="000000" w:themeColor="text1"/>
        </w:rPr>
        <w:t xml:space="preserve">en atención particularidades técnicas </w:t>
      </w:r>
      <w:r w:rsidRPr="001E4B4C" w:rsidR="007B4660">
        <w:rPr>
          <w:rFonts w:eastAsia="Calibri"/>
          <w:color w:val="000000" w:themeColor="text1"/>
        </w:rPr>
        <w:t>de la actividad mantenimiento</w:t>
      </w:r>
      <w:r w:rsidRPr="001E4B4C" w:rsidR="00801A3C">
        <w:rPr>
          <w:rFonts w:eastAsia="Calibri"/>
          <w:color w:val="000000" w:themeColor="text1"/>
        </w:rPr>
        <w:t xml:space="preserve">, </w:t>
      </w:r>
      <w:r w:rsidRPr="001E4B4C" w:rsidR="00F04454">
        <w:rPr>
          <w:rFonts w:eastAsia="Calibri"/>
          <w:color w:val="000000" w:themeColor="text1"/>
        </w:rPr>
        <w:t>de las que surgirá la concurrencia de los elementos de uno u otro contrato.</w:t>
      </w:r>
      <w:r w:rsidRPr="001E4B4C" w:rsidR="007B4660">
        <w:rPr>
          <w:rFonts w:eastAsia="Calibri"/>
          <w:color w:val="000000" w:themeColor="text1"/>
        </w:rPr>
        <w:t xml:space="preserve"> </w:t>
      </w:r>
    </w:p>
    <w:p w:rsidRPr="001E4B4C" w:rsidR="00C95108" w:rsidP="001E4B4C" w:rsidRDefault="00A66C5E" w14:paraId="5B53CAD9" w14:textId="204519B9">
      <w:pPr>
        <w:spacing w:before="120" w:line="276" w:lineRule="auto"/>
        <w:ind w:firstLine="708"/>
        <w:jc w:val="both"/>
        <w:rPr>
          <w:rFonts w:eastAsia="Calibri"/>
          <w:color w:val="000000" w:themeColor="text1"/>
        </w:rPr>
      </w:pPr>
      <w:r w:rsidRPr="001E4B4C">
        <w:rPr>
          <w:rFonts w:eastAsia="Calibri"/>
          <w:color w:val="000000" w:themeColor="text1"/>
        </w:rPr>
        <w:t>Las</w:t>
      </w:r>
      <w:r w:rsidRPr="001E4B4C" w:rsidR="00514D92">
        <w:rPr>
          <w:rFonts w:eastAsia="Calibri"/>
          <w:color w:val="000000" w:themeColor="text1"/>
        </w:rPr>
        <w:t xml:space="preserve"> entidades </w:t>
      </w:r>
      <w:r w:rsidRPr="001E4B4C" w:rsidR="004D0441">
        <w:rPr>
          <w:rFonts w:eastAsia="Calibri"/>
          <w:color w:val="000000" w:themeColor="text1"/>
        </w:rPr>
        <w:t xml:space="preserve">también </w:t>
      </w:r>
      <w:r w:rsidRPr="001E4B4C" w:rsidR="00514D92">
        <w:rPr>
          <w:rFonts w:eastAsia="Calibri"/>
          <w:color w:val="000000" w:themeColor="text1"/>
        </w:rPr>
        <w:t xml:space="preserve">están facultadas para celebrar </w:t>
      </w:r>
      <w:r w:rsidRPr="001E4B4C" w:rsidR="00514D92">
        <w:rPr>
          <w:rFonts w:eastAsia="Calibri"/>
          <w:i/>
          <w:iCs/>
          <w:color w:val="000000" w:themeColor="text1"/>
        </w:rPr>
        <w:t>contratos mixtos</w:t>
      </w:r>
      <w:r w:rsidRPr="001E4B4C" w:rsidR="00514D92">
        <w:rPr>
          <w:rFonts w:eastAsia="Calibri"/>
          <w:color w:val="000000" w:themeColor="text1"/>
        </w:rPr>
        <w:t xml:space="preserve"> –como, por </w:t>
      </w:r>
      <w:r w:rsidRPr="001E4B4C" w:rsidR="00514D92">
        <w:rPr>
          <w:rFonts w:eastAsia="Calibri"/>
          <w:color w:val="000000" w:themeColor="text1"/>
        </w:rPr>
        <w:lastRenderedPageBreak/>
        <w:t>ejemplo, aquellos que impliquen actividades de mantenimiento y suministro– de acuerdo con el postulado de la autonomía de la voluntad privada previsto en el Estatuto General de Contratación</w:t>
      </w:r>
      <w:r w:rsidRPr="001E4B4C" w:rsidR="004D0441">
        <w:rPr>
          <w:rFonts w:eastAsia="Calibri"/>
          <w:color w:val="000000" w:themeColor="text1"/>
        </w:rPr>
        <w:t xml:space="preserve">. </w:t>
      </w:r>
      <w:r w:rsidRPr="00430D26" w:rsidR="00FD3395">
        <w:rPr>
          <w:rFonts w:eastAsia="Calibri"/>
          <w:color w:val="000000" w:themeColor="text1"/>
        </w:rPr>
        <w:t>En el ámbito de discrecionalidad para estructurar los procedimientos de selección, las entidades contratantes valorar</w:t>
      </w:r>
      <w:r w:rsidRPr="00430D26" w:rsidR="00BF512E">
        <w:rPr>
          <w:rFonts w:eastAsia="Calibri"/>
          <w:color w:val="000000" w:themeColor="text1"/>
        </w:rPr>
        <w:t>á</w:t>
      </w:r>
      <w:r w:rsidRPr="00430D26" w:rsidR="00FD3395">
        <w:rPr>
          <w:rFonts w:eastAsia="Calibri"/>
          <w:color w:val="000000" w:themeColor="text1"/>
        </w:rPr>
        <w:t xml:space="preserve">n </w:t>
      </w:r>
      <w:r w:rsidRPr="001E4B4C" w:rsidR="005438C6">
        <w:rPr>
          <w:rFonts w:eastAsia="Calibri"/>
          <w:color w:val="000000" w:themeColor="text1"/>
        </w:rPr>
        <w:t>las circunstancias descritas en los párrafos precedentes</w:t>
      </w:r>
      <w:r w:rsidRPr="00430D26" w:rsidR="00BF512E">
        <w:rPr>
          <w:rFonts w:eastAsia="Calibri"/>
          <w:color w:val="000000" w:themeColor="text1"/>
        </w:rPr>
        <w:t xml:space="preserve"> desde el aspec</w:t>
      </w:r>
      <w:r w:rsidRPr="00430D26" w:rsidR="006D7FC0">
        <w:rPr>
          <w:rFonts w:eastAsia="Calibri"/>
          <w:color w:val="000000" w:themeColor="text1"/>
        </w:rPr>
        <w:t>to</w:t>
      </w:r>
      <w:r w:rsidRPr="00430D26" w:rsidR="00BF512E">
        <w:rPr>
          <w:rFonts w:eastAsia="Calibri"/>
          <w:color w:val="000000" w:themeColor="text1"/>
        </w:rPr>
        <w:t xml:space="preserve"> técnico </w:t>
      </w:r>
      <w:r w:rsidRPr="00430D26" w:rsidR="006D7FC0">
        <w:rPr>
          <w:rFonts w:eastAsia="Calibri"/>
          <w:color w:val="000000" w:themeColor="text1"/>
        </w:rPr>
        <w:t>y</w:t>
      </w:r>
      <w:r w:rsidRPr="00430D26" w:rsidR="00BF512E">
        <w:rPr>
          <w:rFonts w:eastAsia="Calibri"/>
          <w:color w:val="000000" w:themeColor="text1"/>
        </w:rPr>
        <w:t xml:space="preserve"> jurídico, </w:t>
      </w:r>
      <w:r w:rsidRPr="00430D26" w:rsidR="006D7FC0">
        <w:rPr>
          <w:rFonts w:eastAsia="Calibri"/>
          <w:color w:val="000000" w:themeColor="text1"/>
        </w:rPr>
        <w:t>aplicando</w:t>
      </w:r>
      <w:r w:rsidRPr="00430D26" w:rsidR="00FD3395">
        <w:rPr>
          <w:rFonts w:eastAsia="Calibri"/>
          <w:color w:val="000000" w:themeColor="text1"/>
        </w:rPr>
        <w:t xml:space="preserve"> las consecuencias</w:t>
      </w:r>
      <w:r w:rsidRPr="00430D26" w:rsidR="006957BC">
        <w:rPr>
          <w:rFonts w:eastAsia="Calibri"/>
          <w:color w:val="000000" w:themeColor="text1"/>
        </w:rPr>
        <w:t xml:space="preserve"> </w:t>
      </w:r>
      <w:r w:rsidRPr="00430D26" w:rsidR="00FD3395">
        <w:rPr>
          <w:rFonts w:eastAsia="Calibri"/>
          <w:color w:val="000000" w:themeColor="text1"/>
        </w:rPr>
        <w:t xml:space="preserve">que se deriven de la calificación </w:t>
      </w:r>
      <w:r w:rsidRPr="00430D26" w:rsidR="00BF512E">
        <w:rPr>
          <w:rFonts w:eastAsia="Calibri"/>
          <w:color w:val="000000" w:themeColor="text1"/>
        </w:rPr>
        <w:t>realizada</w:t>
      </w:r>
      <w:r w:rsidRPr="00430D26" w:rsidR="00FD3395">
        <w:rPr>
          <w:rFonts w:eastAsia="Calibri"/>
          <w:color w:val="000000" w:themeColor="text1"/>
        </w:rPr>
        <w:t xml:space="preserve">. </w:t>
      </w:r>
      <w:bookmarkEnd w:id="3"/>
      <w:r w:rsidRPr="001E4B4C" w:rsidR="005438C6">
        <w:rPr>
          <w:rFonts w:eastAsia="Calibri"/>
          <w:color w:val="000000" w:themeColor="text1"/>
        </w:rPr>
        <w:t xml:space="preserve">Por tanto, determinarán </w:t>
      </w:r>
      <w:r w:rsidRPr="001E4B4C" w:rsidR="00633086">
        <w:rPr>
          <w:rFonts w:eastAsia="Calibri"/>
          <w:color w:val="000000" w:themeColor="text1"/>
        </w:rPr>
        <w:t>el proceso de contratación</w:t>
      </w:r>
      <w:r w:rsidRPr="001E4B4C" w:rsidR="005438C6">
        <w:rPr>
          <w:rFonts w:eastAsia="Calibri"/>
          <w:color w:val="000000" w:themeColor="text1"/>
        </w:rPr>
        <w:t xml:space="preserve"> y el tipo contrato para efectos del aviso de convocatoria y la expedición del acto de apertura</w:t>
      </w:r>
      <w:r w:rsidRPr="001E4B4C" w:rsidR="00633086">
        <w:rPr>
          <w:rFonts w:eastAsia="Calibri"/>
          <w:color w:val="000000" w:themeColor="text1"/>
        </w:rPr>
        <w:t xml:space="preserve"> de acuerdo </w:t>
      </w:r>
      <w:r w:rsidRPr="001E4B4C" w:rsidR="00353D5D">
        <w:rPr>
          <w:rFonts w:eastAsia="Calibri"/>
          <w:color w:val="000000" w:themeColor="text1"/>
        </w:rPr>
        <w:t>con e</w:t>
      </w:r>
      <w:r w:rsidRPr="001E4B4C" w:rsidR="00633086">
        <w:rPr>
          <w:rFonts w:eastAsia="Calibri"/>
          <w:color w:val="000000" w:themeColor="text1"/>
        </w:rPr>
        <w:t>l régimen legal aplicable.</w:t>
      </w:r>
    </w:p>
    <w:p w:rsidRPr="001E4B4C" w:rsidR="00C95108" w:rsidP="001E4B4C" w:rsidRDefault="008954BB" w14:paraId="37A0FEAD" w14:textId="6A5495DF">
      <w:pPr>
        <w:spacing w:before="120" w:line="276" w:lineRule="auto"/>
        <w:ind w:firstLine="708"/>
        <w:jc w:val="both"/>
        <w:rPr>
          <w:rFonts w:eastAsia="Calibri"/>
          <w:color w:val="000000" w:themeColor="text1"/>
        </w:rPr>
      </w:pPr>
      <w:r w:rsidRPr="001E4B4C">
        <w:rPr>
          <w:rFonts w:eastAsia="Calibri"/>
          <w:color w:val="000000" w:themeColor="text1"/>
        </w:rPr>
        <w:t xml:space="preserve">En los anteriores términos se responde la consulta planteada, </w:t>
      </w:r>
      <w:r w:rsidRPr="001E4B4C" w:rsidR="00C95108">
        <w:rPr>
          <w:rFonts w:eastAsia="Calibri"/>
          <w:color w:val="000000" w:themeColor="text1"/>
        </w:rPr>
        <w:t xml:space="preserve">haciendo abstracción del caso particular </w:t>
      </w:r>
      <w:r w:rsidRPr="001E4B4C">
        <w:rPr>
          <w:rFonts w:eastAsia="Calibri"/>
          <w:color w:val="000000" w:themeColor="text1"/>
        </w:rPr>
        <w:t xml:space="preserve">mencionado en la petición, </w:t>
      </w:r>
      <w:r w:rsidRPr="001E4B4C" w:rsidR="00C95108">
        <w:rPr>
          <w:rFonts w:eastAsia="Calibri"/>
          <w:color w:val="000000" w:themeColor="text1"/>
        </w:rPr>
        <w:t xml:space="preserve">por las razones explicadas </w:t>
      </w:r>
      <w:r w:rsidRPr="001E4B4C" w:rsidR="00C95108">
        <w:rPr>
          <w:rFonts w:eastAsia="Calibri"/>
          <w:i/>
          <w:iCs/>
          <w:color w:val="000000" w:themeColor="text1"/>
        </w:rPr>
        <w:t>ut supra</w:t>
      </w:r>
      <w:r w:rsidRPr="001E4B4C" w:rsidR="00C95108">
        <w:rPr>
          <w:rFonts w:eastAsia="Calibri"/>
          <w:color w:val="000000" w:themeColor="text1"/>
        </w:rPr>
        <w:t xml:space="preserve">, </w:t>
      </w:r>
      <w:r w:rsidRPr="001E4B4C">
        <w:rPr>
          <w:rFonts w:eastAsia="Calibri"/>
          <w:color w:val="000000" w:themeColor="text1"/>
        </w:rPr>
        <w:t xml:space="preserve">máxime siendo </w:t>
      </w:r>
      <w:r w:rsidRPr="001E4B4C" w:rsidR="00C95108">
        <w:rPr>
          <w:rFonts w:eastAsia="Calibri"/>
          <w:color w:val="000000" w:themeColor="text1"/>
        </w:rPr>
        <w:t>las entidades estatales</w:t>
      </w:r>
      <w:r w:rsidRPr="001E4B4C">
        <w:rPr>
          <w:rFonts w:eastAsia="Calibri"/>
          <w:color w:val="000000" w:themeColor="text1"/>
        </w:rPr>
        <w:t xml:space="preserve">, </w:t>
      </w:r>
      <w:r w:rsidRPr="001E4B4C" w:rsidR="00C95108">
        <w:rPr>
          <w:rFonts w:eastAsia="Calibri"/>
          <w:color w:val="000000" w:themeColor="text1"/>
        </w:rPr>
        <w:t>durante la planeación de los contratos que pretendan celebrar, a quienes corresponde determinar la tipología contractual en la que se enmarcan las actividades a contratar. La Agencia Nacional de Contratación Pública – Colombia Compra Eficiente – no tiene competencia para definir si el objeto contractual mencionado en la consulta corresponde a un contrato de obra pública o a uno de prestación de servicios</w:t>
      </w:r>
      <w:r w:rsidRPr="001E4B4C">
        <w:rPr>
          <w:rFonts w:eastAsia="Calibri"/>
          <w:color w:val="000000" w:themeColor="text1"/>
        </w:rPr>
        <w:t>, por lo que aquí manifestado no constituye un pronunciamiento vinculante respecto de la situación planteada.</w:t>
      </w:r>
    </w:p>
    <w:p w:rsidRPr="00430D26" w:rsidR="008954BB" w:rsidP="00A534BF" w:rsidRDefault="008954BB" w14:paraId="25905614" w14:textId="77777777">
      <w:pPr>
        <w:spacing w:line="276" w:lineRule="auto"/>
        <w:jc w:val="both"/>
        <w:rPr>
          <w:rFonts w:eastAsia="Calibri"/>
          <w:lang w:val="es-CO"/>
        </w:rPr>
      </w:pPr>
    </w:p>
    <w:p w:rsidRPr="00430D26" w:rsidR="00E436A4" w:rsidP="00A534BF" w:rsidRDefault="00E436A4" w14:paraId="12926AF3" w14:textId="054790F2">
      <w:pPr>
        <w:spacing w:line="276" w:lineRule="auto"/>
        <w:jc w:val="both"/>
        <w:rPr>
          <w:rFonts w:eastAsia="Calibri"/>
          <w:lang w:val="es-CO"/>
        </w:rPr>
      </w:pPr>
      <w:r w:rsidRPr="00430D26">
        <w:rPr>
          <w:rFonts w:eastAsia="Calibri"/>
          <w:lang w:val="es-CO"/>
        </w:rPr>
        <w:t>Este concepto tiene el alcance previsto en el artículo 28 del Código de Procedimiento Administrativo y de lo Contencioso Administrativo.</w:t>
      </w:r>
    </w:p>
    <w:p w:rsidRPr="00430D26" w:rsidR="00E436A4" w:rsidP="00A534BF" w:rsidRDefault="00E436A4" w14:paraId="161DA41A" w14:textId="304F0F96">
      <w:pPr>
        <w:spacing w:line="276" w:lineRule="auto"/>
        <w:rPr>
          <w:rFonts w:eastAsia="Times New Roman"/>
          <w:lang w:val="es-CO" w:eastAsia="es-CO"/>
        </w:rPr>
      </w:pPr>
    </w:p>
    <w:p w:rsidR="00E436A4" w:rsidP="00A534BF" w:rsidRDefault="00E436A4" w14:paraId="0A2D394A" w14:textId="0D069A06">
      <w:pPr>
        <w:spacing w:line="276" w:lineRule="auto"/>
        <w:rPr>
          <w:rFonts w:eastAsia="Times New Roman"/>
          <w:lang w:val="es-CO" w:eastAsia="es-CO"/>
        </w:rPr>
      </w:pPr>
      <w:r w:rsidRPr="00430D26">
        <w:rPr>
          <w:rFonts w:eastAsia="Times New Roman"/>
          <w:lang w:val="es-CO" w:eastAsia="es-CO"/>
        </w:rPr>
        <w:t>Atentamente,</w:t>
      </w:r>
    </w:p>
    <w:p w:rsidR="00F3355A" w:rsidP="00A534BF" w:rsidRDefault="00F3355A" w14:paraId="514F82D0" w14:textId="08213E09">
      <w:pPr>
        <w:spacing w:line="276" w:lineRule="auto"/>
        <w:rPr>
          <w:rFonts w:eastAsia="Times New Roman"/>
          <w:lang w:val="es-CO" w:eastAsia="es-CO"/>
        </w:rPr>
      </w:pPr>
    </w:p>
    <w:p w:rsidRPr="00430D26" w:rsidR="00F3355A" w:rsidP="00F3355A" w:rsidRDefault="00F3355A" w14:paraId="7E55852E" w14:textId="31E33278">
      <w:pPr>
        <w:spacing w:line="276" w:lineRule="auto"/>
        <w:jc w:val="center"/>
        <w:rPr>
          <w:rFonts w:eastAsia="Times New Roman"/>
          <w:lang w:val="es-CO" w:eastAsia="es-CO"/>
        </w:rPr>
      </w:pPr>
      <w:r>
        <w:rPr>
          <w:b/>
          <w:bCs/>
          <w:noProof/>
          <w:lang w:val="es-ES_tradnl" w:eastAsia="es-CO"/>
        </w:rPr>
        <w:drawing>
          <wp:inline distT="0" distB="0" distL="0" distR="0" wp14:anchorId="7413E9B3" wp14:editId="3AF97C80">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p w:rsidRPr="00430D26" w:rsidR="005C3C97" w:rsidP="001E4B4C" w:rsidRDefault="005C3C97" w14:paraId="2032BC82" w14:textId="77777777">
      <w:pPr>
        <w:spacing w:line="276" w:lineRule="auto"/>
        <w:rPr>
          <w:rFonts w:eastAsia="Times New Roman"/>
          <w:color w:val="000000" w:themeColor="text1"/>
          <w:sz w:val="18"/>
          <w:szCs w:val="20"/>
          <w:lang w:eastAsia="es-CO"/>
        </w:rPr>
      </w:pPr>
    </w:p>
    <w:p w:rsidRPr="00430D26" w:rsidR="00CD554B" w:rsidP="00A534BF" w:rsidRDefault="00CD554B" w14:paraId="3CEBE07C" w14:textId="2E5A5EBF">
      <w:pPr>
        <w:spacing w:line="276" w:lineRule="auto"/>
        <w:jc w:val="center"/>
        <w:rPr>
          <w:rFonts w:eastAsia="Times New Roman"/>
          <w:color w:val="000000" w:themeColor="text1"/>
          <w:sz w:val="18"/>
          <w:szCs w:val="20"/>
          <w:lang w:eastAsia="es-CO"/>
        </w:rPr>
      </w:pPr>
    </w:p>
    <w:p w:rsidRPr="00430D26" w:rsidR="00E436A4" w:rsidP="00A534BF" w:rsidRDefault="00E436A4" w14:paraId="60ED4E21" w14:textId="59AB1911">
      <w:pPr>
        <w:spacing w:line="276" w:lineRule="auto"/>
        <w:jc w:val="center"/>
        <w:rPr>
          <w:rFonts w:eastAsia="Times New Roman"/>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0"/>
        <w:gridCol w:w="4413"/>
      </w:tblGrid>
      <w:tr w:rsidRPr="00430D26" w:rsidR="00E436A4" w:rsidTr="00CD554B" w14:paraId="19B804C8" w14:textId="77777777">
        <w:trPr>
          <w:trHeight w:val="315"/>
        </w:trPr>
        <w:tc>
          <w:tcPr>
            <w:tcW w:w="1070" w:type="dxa"/>
            <w:vAlign w:val="center"/>
            <w:hideMark/>
          </w:tcPr>
          <w:p w:rsidRPr="00430D26" w:rsidR="00E436A4" w:rsidP="00A534BF" w:rsidRDefault="00E436A4" w14:paraId="0ADB2DAB" w14:textId="77777777">
            <w:pPr>
              <w:spacing w:line="276" w:lineRule="auto"/>
              <w:rPr>
                <w:sz w:val="16"/>
                <w:szCs w:val="16"/>
              </w:rPr>
            </w:pPr>
            <w:r w:rsidRPr="00430D26">
              <w:rPr>
                <w:sz w:val="16"/>
                <w:szCs w:val="16"/>
              </w:rPr>
              <w:t>Elaboró:</w:t>
            </w:r>
          </w:p>
        </w:tc>
        <w:tc>
          <w:tcPr>
            <w:tcW w:w="4413" w:type="dxa"/>
            <w:tcBorders>
              <w:top w:val="nil"/>
              <w:left w:val="nil"/>
              <w:bottom w:val="dotted" w:color="7F7F7F" w:themeColor="text1" w:themeTint="80" w:sz="4" w:space="0"/>
              <w:right w:val="nil"/>
            </w:tcBorders>
            <w:vAlign w:val="center"/>
            <w:hideMark/>
          </w:tcPr>
          <w:p w:rsidRPr="00430D26" w:rsidR="003F2C43" w:rsidP="003F2C43" w:rsidRDefault="003F2C43" w14:paraId="4D3D7F33" w14:textId="77777777">
            <w:pPr>
              <w:rPr>
                <w:rFonts w:eastAsia="Times New Roman"/>
                <w:color w:val="000000" w:themeColor="text1"/>
                <w:sz w:val="16"/>
                <w:szCs w:val="16"/>
              </w:rPr>
            </w:pPr>
            <w:r w:rsidRPr="00430D26">
              <w:rPr>
                <w:rFonts w:eastAsia="Times New Roman"/>
                <w:color w:val="000000" w:themeColor="text1"/>
                <w:sz w:val="16"/>
                <w:szCs w:val="16"/>
              </w:rPr>
              <w:t>Diego Enrique Franco Victoria</w:t>
            </w:r>
          </w:p>
          <w:p w:rsidRPr="00430D26" w:rsidR="00E436A4" w:rsidP="00A534BF" w:rsidRDefault="00E436A4" w14:paraId="147CFB0E" w14:textId="77777777">
            <w:pPr>
              <w:spacing w:line="276" w:lineRule="auto"/>
              <w:rPr>
                <w:sz w:val="16"/>
                <w:szCs w:val="16"/>
              </w:rPr>
            </w:pPr>
            <w:r w:rsidRPr="00430D26">
              <w:rPr>
                <w:sz w:val="16"/>
                <w:szCs w:val="16"/>
              </w:rPr>
              <w:t>Contratista de la Subdirección de Gestión Contractual</w:t>
            </w:r>
          </w:p>
        </w:tc>
      </w:tr>
      <w:tr w:rsidRPr="00430D26" w:rsidR="00CD554B" w:rsidTr="00CD554B" w14:paraId="0F0719A6" w14:textId="77777777">
        <w:trPr>
          <w:trHeight w:val="330"/>
        </w:trPr>
        <w:tc>
          <w:tcPr>
            <w:tcW w:w="1070" w:type="dxa"/>
            <w:vMerge w:val="restart"/>
            <w:vAlign w:val="center"/>
            <w:hideMark/>
          </w:tcPr>
          <w:p w:rsidRPr="00430D26" w:rsidR="00CD554B" w:rsidP="00A534BF" w:rsidRDefault="00CD554B" w14:paraId="439C2514" w14:textId="0525D552">
            <w:pPr>
              <w:spacing w:line="276" w:lineRule="auto"/>
              <w:rPr>
                <w:sz w:val="16"/>
                <w:szCs w:val="16"/>
              </w:rPr>
            </w:pPr>
            <w:r w:rsidRPr="00430D26">
              <w:rPr>
                <w:sz w:val="16"/>
                <w:szCs w:val="16"/>
              </w:rPr>
              <w:t>Revisaron:</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30D26" w:rsidR="00CD554B" w:rsidP="00CD554B" w:rsidRDefault="00CD554B" w14:paraId="53262069" w14:textId="5D23798C">
            <w:pPr>
              <w:spacing w:line="276" w:lineRule="auto"/>
              <w:rPr>
                <w:sz w:val="16"/>
                <w:szCs w:val="16"/>
              </w:rPr>
            </w:pPr>
            <w:r w:rsidRPr="00430D26">
              <w:rPr>
                <w:sz w:val="16"/>
                <w:szCs w:val="16"/>
              </w:rPr>
              <w:t>Alejandro Sarmiento Cantillo</w:t>
            </w:r>
          </w:p>
          <w:p w:rsidRPr="00430D26" w:rsidR="00CD554B" w:rsidP="00A534BF" w:rsidRDefault="00CD554B" w14:paraId="40A82E5A" w14:textId="4A1EE1E5">
            <w:pPr>
              <w:spacing w:line="276" w:lineRule="auto"/>
              <w:rPr>
                <w:sz w:val="16"/>
                <w:szCs w:val="16"/>
              </w:rPr>
            </w:pPr>
            <w:r w:rsidRPr="00430D26">
              <w:rPr>
                <w:sz w:val="16"/>
                <w:szCs w:val="16"/>
              </w:rPr>
              <w:t>Gestor T1-11 de la Subdirección de Gestión Contractual</w:t>
            </w:r>
            <w:r w:rsidRPr="00430D26" w:rsidDel="00CD554B">
              <w:rPr>
                <w:sz w:val="16"/>
                <w:szCs w:val="16"/>
              </w:rPr>
              <w:t xml:space="preserve"> </w:t>
            </w:r>
          </w:p>
        </w:tc>
      </w:tr>
      <w:tr w:rsidRPr="00430D26" w:rsidR="00CD554B" w:rsidTr="00CD554B" w14:paraId="26027EBA" w14:textId="77777777">
        <w:trPr>
          <w:trHeight w:val="330"/>
        </w:trPr>
        <w:tc>
          <w:tcPr>
            <w:tcW w:w="1070" w:type="dxa"/>
            <w:vMerge/>
            <w:vAlign w:val="center"/>
          </w:tcPr>
          <w:p w:rsidRPr="00430D26" w:rsidR="00CD554B" w:rsidP="00A534BF" w:rsidRDefault="00CD554B" w14:paraId="09977E57" w14:textId="77777777">
            <w:pPr>
              <w:spacing w:line="276" w:lineRule="auto"/>
              <w:rPr>
                <w:sz w:val="16"/>
                <w:szCs w:val="16"/>
              </w:rPr>
            </w:pPr>
          </w:p>
        </w:tc>
        <w:tc>
          <w:tcPr>
            <w:tcW w:w="4413" w:type="dxa"/>
            <w:tcBorders>
              <w:top w:val="dotted" w:color="7F7F7F" w:themeColor="text1" w:themeTint="80" w:sz="4" w:space="0"/>
              <w:left w:val="nil"/>
              <w:bottom w:val="dotted" w:color="7F7F7F" w:themeColor="text1" w:themeTint="80" w:sz="4" w:space="0"/>
              <w:right w:val="nil"/>
            </w:tcBorders>
            <w:vAlign w:val="center"/>
          </w:tcPr>
          <w:p w:rsidRPr="00430D26" w:rsidR="00CD554B" w:rsidP="00CD554B" w:rsidRDefault="00CD554B" w14:paraId="104D5D8E" w14:textId="77777777">
            <w:pPr>
              <w:spacing w:line="276" w:lineRule="auto"/>
              <w:rPr>
                <w:sz w:val="16"/>
                <w:szCs w:val="16"/>
              </w:rPr>
            </w:pPr>
            <w:r w:rsidRPr="00430D26">
              <w:rPr>
                <w:sz w:val="16"/>
                <w:szCs w:val="16"/>
              </w:rPr>
              <w:t>Juan David Montoya Penagos</w:t>
            </w:r>
          </w:p>
          <w:p w:rsidRPr="00430D26" w:rsidR="00CD554B" w:rsidP="00CD554B" w:rsidRDefault="00CD554B" w14:paraId="13D67991" w14:textId="030AD5C0">
            <w:pPr>
              <w:spacing w:line="276" w:lineRule="auto"/>
              <w:rPr>
                <w:sz w:val="16"/>
                <w:szCs w:val="16"/>
              </w:rPr>
            </w:pPr>
            <w:r w:rsidRPr="00430D26">
              <w:rPr>
                <w:sz w:val="16"/>
                <w:szCs w:val="16"/>
              </w:rPr>
              <w:t>Gestor T1-15 de la Subdirección de Gestión Contractual</w:t>
            </w:r>
          </w:p>
        </w:tc>
      </w:tr>
      <w:tr w:rsidRPr="00430D26" w:rsidR="00E436A4" w:rsidTr="00CD554B" w14:paraId="70B3E31E" w14:textId="77777777">
        <w:trPr>
          <w:trHeight w:val="300"/>
        </w:trPr>
        <w:tc>
          <w:tcPr>
            <w:tcW w:w="1070" w:type="dxa"/>
            <w:vAlign w:val="center"/>
            <w:hideMark/>
          </w:tcPr>
          <w:p w:rsidRPr="00430D26" w:rsidR="00E436A4" w:rsidP="00A534BF" w:rsidRDefault="00E436A4" w14:paraId="1E6FBED0" w14:textId="77777777">
            <w:pPr>
              <w:spacing w:line="276" w:lineRule="auto"/>
              <w:rPr>
                <w:sz w:val="16"/>
                <w:szCs w:val="16"/>
              </w:rPr>
            </w:pPr>
            <w:r w:rsidRPr="00430D26">
              <w:rPr>
                <w:sz w:val="16"/>
                <w:szCs w:val="16"/>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30D26" w:rsidR="00E436A4" w:rsidP="00A534BF" w:rsidRDefault="00E436A4" w14:paraId="3FF7EC4E" w14:textId="77777777">
            <w:pPr>
              <w:spacing w:line="276" w:lineRule="auto"/>
              <w:rPr>
                <w:sz w:val="16"/>
                <w:szCs w:val="16"/>
              </w:rPr>
            </w:pPr>
            <w:r w:rsidRPr="00430D26">
              <w:rPr>
                <w:sz w:val="16"/>
                <w:szCs w:val="16"/>
              </w:rPr>
              <w:t>Jorge Augusto Tirado Navarro</w:t>
            </w:r>
          </w:p>
          <w:p w:rsidRPr="00430D26" w:rsidR="00E436A4" w:rsidP="00A534BF" w:rsidRDefault="00E436A4" w14:paraId="253155C3" w14:textId="3479DD96">
            <w:pPr>
              <w:spacing w:line="276" w:lineRule="auto"/>
              <w:rPr>
                <w:sz w:val="16"/>
                <w:szCs w:val="16"/>
              </w:rPr>
            </w:pPr>
            <w:r w:rsidRPr="00430D26">
              <w:rPr>
                <w:sz w:val="16"/>
                <w:szCs w:val="16"/>
              </w:rPr>
              <w:t>Subdirector de Gestión Contractual</w:t>
            </w:r>
            <w:r w:rsidRPr="00430D26" w:rsidR="00BF512E">
              <w:rPr>
                <w:sz w:val="16"/>
                <w:szCs w:val="16"/>
              </w:rPr>
              <w:t xml:space="preserve"> ANCP – CCE</w:t>
            </w:r>
          </w:p>
        </w:tc>
      </w:tr>
    </w:tbl>
    <w:p w:rsidR="009A4089" w:rsidP="00A534BF" w:rsidRDefault="007D6098" w14:paraId="058966C3" w14:textId="77777777">
      <w:pPr>
        <w:pStyle w:val="Textoindependiente"/>
        <w:spacing w:line="276" w:lineRule="auto"/>
      </w:pPr>
    </w:p>
    <w:sectPr w:rsidR="009A4089">
      <w:headerReference w:type="default" r:id="rId11"/>
      <w:footerReference w:type="default" r:id="rId12"/>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098" w:rsidP="00CE2A9F" w:rsidRDefault="007D6098" w14:paraId="1E2C9BA1" w14:textId="77777777">
      <w:r>
        <w:separator/>
      </w:r>
    </w:p>
  </w:endnote>
  <w:endnote w:type="continuationSeparator" w:id="0">
    <w:p w:rsidR="007D6098" w:rsidP="00CE2A9F" w:rsidRDefault="007D6098" w14:paraId="36922A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A14CB" w:rsidRDefault="007C6855" w14:paraId="161BDD0D" w14:textId="77777777">
    <w:pPr>
      <w:pStyle w:val="Textoindependiente"/>
      <w:spacing w:line="14" w:lineRule="auto"/>
      <w:rPr>
        <w:sz w:val="20"/>
      </w:rPr>
    </w:pPr>
    <w:r>
      <w:rPr>
        <w:noProof/>
        <w:lang w:bidi="ar-SA"/>
      </w:rPr>
      <w:drawing>
        <wp:anchor distT="0" distB="0" distL="0" distR="0" simplePos="0" relativeHeight="251660288" behindDoc="1" locked="0" layoutInCell="1" allowOverlap="1" wp14:anchorId="1F5DB02B" wp14:editId="683C273A">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098" w:rsidP="00CE2A9F" w:rsidRDefault="007D6098" w14:paraId="6B978371" w14:textId="77777777">
      <w:r>
        <w:separator/>
      </w:r>
    </w:p>
  </w:footnote>
  <w:footnote w:type="continuationSeparator" w:id="0">
    <w:p w:rsidR="007D6098" w:rsidP="00CE2A9F" w:rsidRDefault="007D6098" w14:paraId="74465506" w14:textId="77777777">
      <w:r>
        <w:continuationSeparator/>
      </w:r>
    </w:p>
  </w:footnote>
  <w:footnote w:id="1">
    <w:p w:rsidRPr="00D47FC7" w:rsidR="00683C09" w:rsidP="00683C09" w:rsidRDefault="00683C09" w14:paraId="216713A4" w14:textId="77777777">
      <w:pPr>
        <w:pStyle w:val="Textonotapie"/>
        <w:ind w:firstLine="708"/>
        <w:jc w:val="both"/>
        <w:rPr>
          <w:sz w:val="19"/>
          <w:szCs w:val="19"/>
        </w:rPr>
      </w:pPr>
      <w:r w:rsidRPr="00D47FC7">
        <w:rPr>
          <w:rStyle w:val="Refdenotaalpie"/>
          <w:sz w:val="19"/>
          <w:szCs w:val="19"/>
        </w:rPr>
        <w:footnoteRef/>
      </w:r>
      <w:r w:rsidRPr="00D47FC7">
        <w:rPr>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D47FC7">
        <w:rPr>
          <w:i/>
          <w:iCs/>
          <w:sz w:val="19"/>
          <w:szCs w:val="19"/>
        </w:rPr>
        <w:t xml:space="preserve">ibidem </w:t>
      </w:r>
      <w:r w:rsidRPr="00D47FC7">
        <w:rPr>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D47FC7" w:rsidR="00860F29" w:rsidRDefault="00860F29" w14:paraId="0141F97F" w14:textId="77777777">
      <w:pPr>
        <w:pStyle w:val="Textonotapie"/>
        <w:ind w:firstLine="708"/>
        <w:jc w:val="both"/>
        <w:rPr>
          <w:color w:val="000000" w:themeColor="text1"/>
          <w:sz w:val="19"/>
          <w:szCs w:val="19"/>
        </w:rPr>
      </w:pPr>
      <w:r w:rsidRPr="00D47FC7">
        <w:rPr>
          <w:rStyle w:val="Refdenotaalpie"/>
          <w:color w:val="000000" w:themeColor="text1"/>
          <w:sz w:val="19"/>
          <w:szCs w:val="19"/>
        </w:rPr>
        <w:footnoteRef/>
      </w:r>
      <w:r w:rsidRPr="00D47FC7">
        <w:rPr>
          <w:color w:val="000000" w:themeColor="text1"/>
          <w:sz w:val="19"/>
          <w:szCs w:val="19"/>
        </w:rPr>
        <w:t xml:space="preserve"> ALESSANDRI RODRÍGUEZ, Arturo. De los contratos. Santiago de Chile: Editorial Jurídica EDIAR-CONOCSUR LTDA, 1988. p. 182. </w:t>
      </w:r>
    </w:p>
    <w:p w:rsidRPr="00D47FC7" w:rsidR="00860F29" w:rsidRDefault="00860F29" w14:paraId="5B0D40F2" w14:textId="77777777">
      <w:pPr>
        <w:pStyle w:val="Textonotapie"/>
        <w:ind w:firstLine="708"/>
        <w:jc w:val="both"/>
        <w:rPr>
          <w:color w:val="000000" w:themeColor="text1"/>
          <w:sz w:val="19"/>
          <w:szCs w:val="19"/>
        </w:rPr>
      </w:pPr>
    </w:p>
  </w:footnote>
  <w:footnote w:id="3">
    <w:p w:rsidRPr="00D47FC7" w:rsidR="00860F29" w:rsidP="001E4B4C" w:rsidRDefault="00860F29" w14:paraId="26816C84" w14:textId="77777777">
      <w:pPr>
        <w:pStyle w:val="Textonotapie"/>
        <w:ind w:firstLine="708"/>
        <w:jc w:val="both"/>
        <w:rPr>
          <w:color w:val="000000" w:themeColor="text1"/>
          <w:sz w:val="19"/>
          <w:szCs w:val="19"/>
        </w:rPr>
      </w:pPr>
      <w:r w:rsidRPr="001E4B4C">
        <w:rPr>
          <w:rStyle w:val="Refdenotaalpie"/>
          <w:color w:val="000000" w:themeColor="text1"/>
          <w:sz w:val="19"/>
          <w:szCs w:val="19"/>
        </w:rPr>
        <w:footnoteRef/>
      </w:r>
      <w:r w:rsidRPr="001E4B4C">
        <w:rPr>
          <w:color w:val="000000" w:themeColor="text1"/>
          <w:sz w:val="19"/>
          <w:szCs w:val="19"/>
        </w:rPr>
        <w:t xml:space="preserve"> </w:t>
      </w:r>
      <w:r w:rsidRPr="00D47FC7">
        <w:rPr>
          <w:color w:val="000000" w:themeColor="text1"/>
          <w:sz w:val="19"/>
          <w:szCs w:val="19"/>
        </w:rPr>
        <w:t>OSPINA MENA, Jesús Marino. Régimen de la Contratación Estatal. Un salto a la contratación liquida. Bogotá: Dike, 2020. p. 168.</w:t>
      </w:r>
    </w:p>
    <w:p w:rsidRPr="001E4B4C" w:rsidR="00860F29" w:rsidP="001E4B4C" w:rsidRDefault="00860F29" w14:paraId="4E2CD8C5" w14:textId="77777777">
      <w:pPr>
        <w:pStyle w:val="Textonotapie"/>
        <w:ind w:firstLine="708"/>
        <w:jc w:val="both"/>
        <w:rPr>
          <w:color w:val="000000" w:themeColor="text1"/>
          <w:sz w:val="19"/>
          <w:szCs w:val="19"/>
        </w:rPr>
      </w:pPr>
    </w:p>
  </w:footnote>
  <w:footnote w:id="4">
    <w:p w:rsidRPr="00D47FC7" w:rsidR="00860F29" w:rsidP="001E4B4C" w:rsidRDefault="00860F29" w14:paraId="2984EF16" w14:textId="77777777">
      <w:pPr>
        <w:pStyle w:val="Textonotapie"/>
        <w:ind w:firstLine="708"/>
        <w:jc w:val="both"/>
        <w:rPr>
          <w:color w:val="000000" w:themeColor="text1"/>
          <w:sz w:val="19"/>
          <w:szCs w:val="19"/>
        </w:rPr>
      </w:pPr>
      <w:r w:rsidRPr="00D47FC7">
        <w:rPr>
          <w:rStyle w:val="Refdenotaalpie"/>
          <w:color w:val="000000" w:themeColor="text1"/>
          <w:sz w:val="19"/>
          <w:szCs w:val="19"/>
        </w:rPr>
        <w:footnoteRef/>
      </w:r>
      <w:r w:rsidRPr="00D47FC7">
        <w:rPr>
          <w:color w:val="000000" w:themeColor="text1"/>
          <w:sz w:val="19"/>
          <w:szCs w:val="19"/>
        </w:rPr>
        <w:t xml:space="preserve"> CONSEJO DE ESTADO. Sala de Consulta y Servicio Civil. Concepto del 5 de septiembre de 2018. Rad. 2.386. C.P. Edgar González López.</w:t>
      </w:r>
    </w:p>
    <w:p w:rsidRPr="00D47FC7" w:rsidR="00860F29" w:rsidP="001E4B4C" w:rsidRDefault="00860F29" w14:paraId="6BD4D995" w14:textId="77777777">
      <w:pPr>
        <w:pStyle w:val="Textonotapie"/>
        <w:ind w:firstLine="708"/>
        <w:jc w:val="both"/>
        <w:rPr>
          <w:color w:val="000000" w:themeColor="text1"/>
          <w:sz w:val="19"/>
          <w:szCs w:val="19"/>
        </w:rPr>
      </w:pPr>
    </w:p>
  </w:footnote>
  <w:footnote w:id="5">
    <w:p w:rsidRPr="00D47FC7" w:rsidR="00952AA3" w:rsidRDefault="00952AA3" w14:paraId="5907F457" w14:textId="77777777">
      <w:pPr>
        <w:pStyle w:val="Textonotapie"/>
        <w:ind w:firstLine="708"/>
        <w:jc w:val="both"/>
        <w:rPr>
          <w:color w:val="000000" w:themeColor="text1"/>
          <w:sz w:val="19"/>
          <w:szCs w:val="19"/>
        </w:rPr>
      </w:pPr>
      <w:r w:rsidRPr="00D47FC7">
        <w:rPr>
          <w:rStyle w:val="Refdenotaalpie"/>
          <w:color w:val="000000" w:themeColor="text1"/>
          <w:sz w:val="19"/>
          <w:szCs w:val="19"/>
        </w:rPr>
        <w:footnoteRef/>
      </w:r>
      <w:r w:rsidRPr="00D47FC7">
        <w:rPr>
          <w:color w:val="000000" w:themeColor="text1"/>
          <w:sz w:val="19"/>
          <w:szCs w:val="19"/>
        </w:rPr>
        <w:t xml:space="preserve"> </w:t>
      </w:r>
      <w:bookmarkStart w:name="_Hlk35341897" w:id="8"/>
      <w:r w:rsidRPr="00D47FC7">
        <w:rPr>
          <w:color w:val="000000" w:themeColor="text1"/>
          <w:sz w:val="19"/>
          <w:szCs w:val="19"/>
        </w:rPr>
        <w:t>VELÁSQUEZ JARAMILLO, Luis Guillermo. Bienes. Duodécima edición. Bogotá: Temis, 2010. p. 22</w:t>
      </w:r>
      <w:bookmarkEnd w:id="8"/>
      <w:r w:rsidRPr="00D47FC7">
        <w:rPr>
          <w:color w:val="000000" w:themeColor="text1"/>
          <w:sz w:val="19"/>
          <w:szCs w:val="19"/>
        </w:rPr>
        <w:t>.</w:t>
      </w:r>
    </w:p>
    <w:p w:rsidRPr="00D47FC7" w:rsidR="00952AA3" w:rsidRDefault="00952AA3" w14:paraId="21358726" w14:textId="77777777">
      <w:pPr>
        <w:pStyle w:val="Textonotapie"/>
        <w:ind w:firstLine="708"/>
        <w:jc w:val="both"/>
        <w:rPr>
          <w:color w:val="000000" w:themeColor="text1"/>
          <w:sz w:val="19"/>
          <w:szCs w:val="19"/>
        </w:rPr>
      </w:pPr>
    </w:p>
  </w:footnote>
  <w:footnote w:id="6">
    <w:p w:rsidRPr="00D47FC7" w:rsidR="00952AA3" w:rsidRDefault="00952AA3" w14:paraId="1D8E729B" w14:textId="77777777">
      <w:pPr>
        <w:pStyle w:val="Textonotapie"/>
        <w:ind w:firstLine="708"/>
        <w:jc w:val="both"/>
        <w:rPr>
          <w:color w:val="000000" w:themeColor="text1"/>
          <w:sz w:val="19"/>
          <w:szCs w:val="19"/>
        </w:rPr>
      </w:pPr>
      <w:r w:rsidRPr="00D47FC7">
        <w:rPr>
          <w:rStyle w:val="Refdenotaalpie"/>
          <w:color w:val="000000" w:themeColor="text1"/>
          <w:sz w:val="19"/>
          <w:szCs w:val="19"/>
        </w:rPr>
        <w:footnoteRef/>
      </w:r>
      <w:r w:rsidRPr="00D47FC7">
        <w:rPr>
          <w:color w:val="000000" w:themeColor="text1"/>
          <w:sz w:val="19"/>
          <w:szCs w:val="19"/>
        </w:rPr>
        <w:t xml:space="preserve"> MAZEUD, Henri, MAZEUD, León y MAZEUD, Jean. Lecciones de derecho civil. Parte Primera. Volumen I. Buenos Aires: EJEA, 1976. p. 305-306.</w:t>
      </w:r>
    </w:p>
    <w:p w:rsidRPr="00D47FC7" w:rsidR="00952AA3" w:rsidRDefault="00952AA3" w14:paraId="7CCF67D1" w14:textId="77777777">
      <w:pPr>
        <w:pStyle w:val="Textonotapie"/>
        <w:ind w:firstLine="708"/>
        <w:jc w:val="both"/>
        <w:rPr>
          <w:color w:val="000000" w:themeColor="text1"/>
          <w:sz w:val="19"/>
          <w:szCs w:val="19"/>
        </w:rPr>
      </w:pPr>
    </w:p>
  </w:footnote>
  <w:footnote w:id="7">
    <w:p w:rsidRPr="00D47FC7" w:rsidR="00C95108" w:rsidP="00C95108" w:rsidRDefault="00C95108" w14:paraId="09CD0506" w14:textId="77777777">
      <w:pPr>
        <w:ind w:firstLine="708"/>
        <w:jc w:val="both"/>
        <w:rPr>
          <w:sz w:val="19"/>
          <w:szCs w:val="19"/>
        </w:rPr>
      </w:pPr>
      <w:r w:rsidRPr="00D47FC7">
        <w:rPr>
          <w:rStyle w:val="Refdenotaalpie"/>
          <w:sz w:val="19"/>
          <w:szCs w:val="19"/>
        </w:rPr>
        <w:footnoteRef/>
      </w:r>
      <w:r w:rsidRPr="00D47FC7">
        <w:rPr>
          <w:sz w:val="19"/>
          <w:szCs w:val="19"/>
        </w:rPr>
        <w:t xml:space="preserve"> </w:t>
      </w:r>
      <w:r w:rsidRPr="00D47FC7">
        <w:rPr>
          <w:sz w:val="19"/>
          <w:szCs w:val="19"/>
          <w:lang w:val="es-CO"/>
        </w:rPr>
        <w:t>En este sentido, como lo ha reconocido la doctrina, e</w:t>
      </w:r>
      <w:r w:rsidRPr="00D47FC7">
        <w:rPr>
          <w:sz w:val="19"/>
          <w:szCs w:val="19"/>
        </w:rPr>
        <w:t>l contrato de prestación de servicios es «un instrumento de gestión utilizado por la administración pública para la ejecución de algunas de sus actividades e incluso para la prestación de algunos servicios públicos. Por ende, las características de autonomía del contratista, especialidad de la gestión y la excepcionalidad del contrato, son las determinantes en la conformación de este negocio jurídico […]» (Cfr. BENAVIDES, José Luis. Contrato de prestación de servicios: difícil delimitación frente al contrato realidad. Revista Derecho del Estado Número 25, Universidad Externado de Colombia, diciembre de 2010, p. 85 a 115).</w:t>
      </w:r>
    </w:p>
    <w:p w:rsidRPr="00D47FC7" w:rsidR="00C95108" w:rsidP="00C95108" w:rsidRDefault="00C95108" w14:paraId="19467EE4" w14:textId="77777777">
      <w:pPr>
        <w:pStyle w:val="Textonotapie"/>
        <w:ind w:firstLine="708"/>
        <w:jc w:val="both"/>
        <w:rPr>
          <w:sz w:val="19"/>
          <w:szCs w:val="19"/>
          <w:lang w:val="es-MX"/>
        </w:rPr>
      </w:pPr>
    </w:p>
  </w:footnote>
  <w:footnote w:id="8">
    <w:p w:rsidRPr="00D47FC7" w:rsidR="00CC6DFA" w:rsidP="001E4B4C" w:rsidRDefault="00CC6DFA" w14:paraId="0005673A" w14:textId="19A53998">
      <w:pPr>
        <w:pStyle w:val="Textonotapie"/>
        <w:ind w:firstLine="709"/>
        <w:jc w:val="both"/>
        <w:rPr>
          <w:sz w:val="19"/>
          <w:szCs w:val="19"/>
        </w:rPr>
      </w:pPr>
      <w:r w:rsidRPr="00D47FC7">
        <w:rPr>
          <w:rStyle w:val="Refdenotaalpie"/>
          <w:sz w:val="19"/>
          <w:szCs w:val="19"/>
        </w:rPr>
        <w:footnoteRef/>
      </w:r>
      <w:r w:rsidRPr="00D47FC7">
        <w:rPr>
          <w:sz w:val="19"/>
          <w:szCs w:val="19"/>
        </w:rPr>
        <w:t xml:space="preserve"> BENAVIDES, José Luis. Contrato de prestación de servicios: difícil delimitación frente al contrato realidad. Revista Derecho del Estado Número 25, Universidad Externado de Colombia, diciembre de 2010, p. 85 a 115.</w:t>
      </w:r>
    </w:p>
    <w:p w:rsidRPr="00D47FC7" w:rsidR="00CC6DFA" w:rsidP="001E4B4C" w:rsidRDefault="00CC6DFA" w14:paraId="6A55C488" w14:textId="77777777">
      <w:pPr>
        <w:pStyle w:val="Textonotapie"/>
        <w:jc w:val="both"/>
        <w:rPr>
          <w:sz w:val="19"/>
          <w:szCs w:val="19"/>
        </w:rPr>
      </w:pPr>
    </w:p>
  </w:footnote>
  <w:footnote w:id="9">
    <w:p w:rsidRPr="00D47FC7" w:rsidR="00CC6DFA" w:rsidP="001E4B4C" w:rsidRDefault="00CC6DFA" w14:paraId="7761728A" w14:textId="15B36FE5">
      <w:pPr>
        <w:pStyle w:val="Textonotapie"/>
        <w:ind w:firstLine="709"/>
        <w:jc w:val="both"/>
        <w:rPr>
          <w:sz w:val="19"/>
          <w:szCs w:val="19"/>
          <w:lang w:val="es-ES_tradnl"/>
        </w:rPr>
      </w:pPr>
      <w:r w:rsidRPr="00D47FC7">
        <w:rPr>
          <w:rStyle w:val="Refdenotaalpie"/>
          <w:sz w:val="19"/>
          <w:szCs w:val="19"/>
        </w:rPr>
        <w:footnoteRef/>
      </w:r>
      <w:r w:rsidRPr="00D47FC7">
        <w:rPr>
          <w:sz w:val="19"/>
          <w:szCs w:val="19"/>
        </w:rPr>
        <w:t xml:space="preserve"> CONSEJO DE ESTADO</w:t>
      </w:r>
      <w:r w:rsidRPr="00D47FC7" w:rsidR="00841D63">
        <w:rPr>
          <w:sz w:val="19"/>
          <w:szCs w:val="19"/>
        </w:rPr>
        <w:t>.</w:t>
      </w:r>
      <w:r w:rsidRPr="00D47FC7">
        <w:rPr>
          <w:sz w:val="19"/>
          <w:szCs w:val="19"/>
        </w:rPr>
        <w:t xml:space="preserve"> Sala de Consulta y Servicio Civil</w:t>
      </w:r>
      <w:r w:rsidRPr="00D47FC7" w:rsidR="00841D63">
        <w:rPr>
          <w:sz w:val="19"/>
          <w:szCs w:val="19"/>
        </w:rPr>
        <w:t>.</w:t>
      </w:r>
      <w:r w:rsidRPr="00D47FC7">
        <w:rPr>
          <w:sz w:val="19"/>
          <w:szCs w:val="19"/>
        </w:rPr>
        <w:t xml:space="preserve"> Concepto del 19 de agosto de 2010, Rad. </w:t>
      </w:r>
      <w:r w:rsidRPr="00D47FC7">
        <w:rPr>
          <w:sz w:val="19"/>
          <w:szCs w:val="19"/>
          <w:lang w:val="es-ES_tradnl"/>
        </w:rPr>
        <w:t>11001-03-06-000-2010-00052-00 (2003).</w:t>
      </w:r>
      <w:r w:rsidRPr="00D47FC7" w:rsidR="00841D63">
        <w:rPr>
          <w:sz w:val="19"/>
          <w:szCs w:val="19"/>
          <w:lang w:val="es-ES_tradnl"/>
        </w:rPr>
        <w:t xml:space="preserve"> </w:t>
      </w:r>
      <w:r w:rsidRPr="00D47FC7" w:rsidR="00841D63">
        <w:rPr>
          <w:sz w:val="19"/>
          <w:szCs w:val="19"/>
        </w:rPr>
        <w:t>C.P. Enrique José Arboleda Perdomo.</w:t>
      </w:r>
    </w:p>
    <w:p w:rsidRPr="00D47FC7" w:rsidR="00E704B3" w:rsidP="001E4B4C" w:rsidRDefault="00E704B3" w14:paraId="09E64EE0" w14:textId="77777777">
      <w:pPr>
        <w:pStyle w:val="Textonotapie"/>
        <w:ind w:firstLine="709"/>
        <w:jc w:val="both"/>
        <w:rPr>
          <w:sz w:val="19"/>
          <w:szCs w:val="19"/>
        </w:rPr>
      </w:pPr>
    </w:p>
  </w:footnote>
  <w:footnote w:id="10">
    <w:p w:rsidRPr="00D47FC7" w:rsidR="008B158A" w:rsidP="001E4B4C" w:rsidRDefault="008B158A" w14:paraId="50CFDBDA" w14:textId="6E20909A">
      <w:pPr>
        <w:pStyle w:val="Textonotapie"/>
        <w:ind w:firstLine="709"/>
        <w:jc w:val="both"/>
        <w:rPr>
          <w:sz w:val="19"/>
          <w:szCs w:val="19"/>
        </w:rPr>
      </w:pPr>
      <w:r w:rsidRPr="00D47FC7">
        <w:rPr>
          <w:rStyle w:val="Refdenotaalpie"/>
          <w:sz w:val="19"/>
          <w:szCs w:val="19"/>
        </w:rPr>
        <w:footnoteRef/>
      </w:r>
      <w:r w:rsidRPr="00D47FC7">
        <w:rPr>
          <w:sz w:val="19"/>
          <w:szCs w:val="19"/>
        </w:rPr>
        <w:t xml:space="preserve"> CORTE CONSTITUCIONAL</w:t>
      </w:r>
      <w:r w:rsidRPr="00D47FC7" w:rsidR="00841D63">
        <w:rPr>
          <w:sz w:val="19"/>
          <w:szCs w:val="19"/>
        </w:rPr>
        <w:t>.</w:t>
      </w:r>
      <w:r w:rsidRPr="00D47FC7">
        <w:rPr>
          <w:sz w:val="19"/>
          <w:szCs w:val="19"/>
        </w:rPr>
        <w:t xml:space="preserve"> Sentencia C-154 del 19 de marzo de 1997. M.P. Hernando Herrera Vergara.</w:t>
      </w:r>
    </w:p>
    <w:p w:rsidRPr="00D47FC7" w:rsidR="00841D63" w:rsidP="001E4B4C" w:rsidRDefault="00841D63" w14:paraId="3138A0A7" w14:textId="77777777">
      <w:pPr>
        <w:pStyle w:val="Textonotapie"/>
        <w:ind w:firstLine="709"/>
        <w:jc w:val="both"/>
        <w:rPr>
          <w:sz w:val="19"/>
          <w:szCs w:val="19"/>
        </w:rPr>
      </w:pPr>
    </w:p>
  </w:footnote>
  <w:footnote w:id="11">
    <w:p w:rsidRPr="00D47FC7" w:rsidR="00C15D6A" w:rsidP="001E4B4C" w:rsidRDefault="00C15D6A" w14:paraId="21133773" w14:textId="77777777">
      <w:pPr>
        <w:pStyle w:val="Textonotapie"/>
        <w:ind w:firstLine="709"/>
        <w:jc w:val="both"/>
        <w:rPr>
          <w:sz w:val="19"/>
          <w:szCs w:val="19"/>
        </w:rPr>
      </w:pPr>
      <w:r w:rsidRPr="00D47FC7">
        <w:rPr>
          <w:rStyle w:val="Refdenotaalpie"/>
          <w:sz w:val="19"/>
          <w:szCs w:val="19"/>
        </w:rPr>
        <w:footnoteRef/>
      </w:r>
      <w:r w:rsidRPr="00D47FC7">
        <w:rPr>
          <w:sz w:val="19"/>
          <w:szCs w:val="19"/>
        </w:rPr>
        <w:t xml:space="preserve"> DEPARTAMENTO ADMINISTRATIVO DE LA FUNCIÓN PÚBLICA. Concepto 183681 del 20 de julio de 2016.</w:t>
      </w:r>
    </w:p>
  </w:footnote>
  <w:footnote w:id="12">
    <w:p w:rsidRPr="00D47FC7" w:rsidR="00841D63" w:rsidP="001E4B4C" w:rsidRDefault="00841D63" w14:paraId="537EBBAE" w14:textId="77777777">
      <w:pPr>
        <w:pStyle w:val="Textonotapie"/>
        <w:ind w:firstLine="709"/>
        <w:jc w:val="both"/>
        <w:rPr>
          <w:sz w:val="19"/>
          <w:szCs w:val="19"/>
        </w:rPr>
      </w:pPr>
      <w:r w:rsidRPr="00D47FC7">
        <w:rPr>
          <w:rStyle w:val="Refdenotaalpie"/>
          <w:sz w:val="19"/>
          <w:szCs w:val="19"/>
        </w:rPr>
        <w:footnoteRef/>
      </w:r>
      <w:r w:rsidRPr="00D47FC7">
        <w:rPr>
          <w:sz w:val="19"/>
          <w:szCs w:val="19"/>
        </w:rPr>
        <w:t xml:space="preserve"> SUÁREZ BELTRÁN, Gonzalo, Estudios de Derecho Contractual Público, Pontificia Universidad Javeriana, Legis, enero 2014, p. 168.</w:t>
      </w:r>
    </w:p>
  </w:footnote>
  <w:footnote w:id="13">
    <w:p w:rsidRPr="00D47FC7" w:rsidR="00841D63" w:rsidP="001E4B4C" w:rsidRDefault="00841D63" w14:paraId="3FF2EF88" w14:textId="77777777">
      <w:pPr>
        <w:pStyle w:val="Textonotapie"/>
        <w:ind w:firstLine="709"/>
        <w:jc w:val="both"/>
        <w:rPr>
          <w:sz w:val="19"/>
          <w:szCs w:val="19"/>
        </w:rPr>
      </w:pPr>
    </w:p>
    <w:p w:rsidRPr="00D47FC7" w:rsidR="00841D63" w:rsidP="001E4B4C" w:rsidRDefault="00841D63" w14:paraId="65DC0EC5" w14:textId="17A69E1B">
      <w:pPr>
        <w:pStyle w:val="Textonotapie"/>
        <w:ind w:firstLine="709"/>
        <w:jc w:val="both"/>
        <w:rPr>
          <w:sz w:val="19"/>
          <w:szCs w:val="19"/>
        </w:rPr>
      </w:pPr>
      <w:r w:rsidRPr="00D47FC7">
        <w:rPr>
          <w:rStyle w:val="Refdenotaalpie"/>
          <w:sz w:val="19"/>
          <w:szCs w:val="19"/>
        </w:rPr>
        <w:footnoteRef/>
      </w:r>
      <w:r w:rsidRPr="00D47FC7">
        <w:rPr>
          <w:sz w:val="19"/>
          <w:szCs w:val="19"/>
        </w:rPr>
        <w:t xml:space="preserve"> CONSEJO DE ESTADO. Sección Tercera. Sentencia de 2 de diciembre de 2013, Exp. 41719, C.P. Jaime Orlando Santofimio Gamboa.</w:t>
      </w:r>
    </w:p>
  </w:footnote>
  <w:footnote w:id="14">
    <w:p w:rsidRPr="00D47FC7" w:rsidR="00841D63" w:rsidP="001E4B4C" w:rsidRDefault="00841D63" w14:paraId="462F77A7" w14:textId="77777777">
      <w:pPr>
        <w:pStyle w:val="Textonotapie"/>
        <w:ind w:firstLine="709"/>
        <w:jc w:val="both"/>
        <w:rPr>
          <w:sz w:val="19"/>
          <w:szCs w:val="19"/>
        </w:rPr>
      </w:pPr>
    </w:p>
    <w:p w:rsidRPr="00D47FC7" w:rsidR="00841D63" w:rsidP="001E4B4C" w:rsidRDefault="00841D63" w14:paraId="260E2493" w14:textId="1CEDEFB9">
      <w:pPr>
        <w:pStyle w:val="Textonotapie"/>
        <w:ind w:firstLine="709"/>
        <w:jc w:val="both"/>
        <w:rPr>
          <w:sz w:val="19"/>
          <w:szCs w:val="19"/>
        </w:rPr>
      </w:pPr>
      <w:r w:rsidRPr="00D47FC7">
        <w:rPr>
          <w:rStyle w:val="Refdenotaalpie"/>
          <w:sz w:val="19"/>
          <w:szCs w:val="19"/>
        </w:rPr>
        <w:footnoteRef/>
      </w:r>
      <w:r w:rsidRPr="00D47FC7">
        <w:rPr>
          <w:sz w:val="19"/>
          <w:szCs w:val="19"/>
        </w:rPr>
        <w:t xml:space="preserve"> SUÁREZ BELTRÁN, Gonzalo, </w:t>
      </w:r>
      <w:r w:rsidRPr="00D47FC7" w:rsidR="00980BCB">
        <w:rPr>
          <w:i/>
          <w:iCs/>
          <w:sz w:val="19"/>
          <w:szCs w:val="19"/>
        </w:rPr>
        <w:t xml:space="preserve">Op, cit. </w:t>
      </w:r>
      <w:r w:rsidRPr="00D47FC7">
        <w:rPr>
          <w:sz w:val="19"/>
          <w:szCs w:val="19"/>
        </w:rPr>
        <w:t xml:space="preserve"> p. 168.</w:t>
      </w:r>
    </w:p>
  </w:footnote>
  <w:footnote w:id="15">
    <w:p w:rsidRPr="00D47FC7" w:rsidR="00841D63" w:rsidP="001E4B4C" w:rsidRDefault="00841D63" w14:paraId="079DEC41" w14:textId="77777777">
      <w:pPr>
        <w:pStyle w:val="Textonotapie"/>
        <w:ind w:firstLine="709"/>
        <w:jc w:val="both"/>
        <w:rPr>
          <w:sz w:val="19"/>
          <w:szCs w:val="19"/>
        </w:rPr>
      </w:pPr>
    </w:p>
    <w:p w:rsidRPr="00D47FC7" w:rsidR="00841D63" w:rsidP="001E4B4C" w:rsidRDefault="00841D63" w14:paraId="507D2CB7" w14:textId="77562865">
      <w:pPr>
        <w:pStyle w:val="Textonotapie"/>
        <w:ind w:firstLine="709"/>
        <w:jc w:val="both"/>
        <w:rPr>
          <w:sz w:val="19"/>
          <w:szCs w:val="19"/>
        </w:rPr>
      </w:pPr>
      <w:r w:rsidRPr="00D47FC7">
        <w:rPr>
          <w:rStyle w:val="Refdenotaalpie"/>
          <w:sz w:val="19"/>
          <w:szCs w:val="19"/>
        </w:rPr>
        <w:footnoteRef/>
      </w:r>
      <w:r w:rsidRPr="00D47FC7">
        <w:rPr>
          <w:sz w:val="19"/>
          <w:szCs w:val="19"/>
        </w:rPr>
        <w:t xml:space="preserve"> CONSEJO DE ESTADO</w:t>
      </w:r>
      <w:r w:rsidRPr="00D47FC7" w:rsidR="007B1E23">
        <w:rPr>
          <w:sz w:val="19"/>
          <w:szCs w:val="19"/>
        </w:rPr>
        <w:t xml:space="preserve">. </w:t>
      </w:r>
      <w:r w:rsidRPr="00D47FC7">
        <w:rPr>
          <w:sz w:val="19"/>
          <w:szCs w:val="19"/>
        </w:rPr>
        <w:t>Sección Tercera</w:t>
      </w:r>
      <w:r w:rsidRPr="00D47FC7" w:rsidR="007B1E23">
        <w:rPr>
          <w:sz w:val="19"/>
          <w:szCs w:val="19"/>
        </w:rPr>
        <w:t>.</w:t>
      </w:r>
      <w:r w:rsidRPr="00D47FC7">
        <w:rPr>
          <w:sz w:val="19"/>
          <w:szCs w:val="19"/>
        </w:rPr>
        <w:t xml:space="preserve"> Sentencia de 2 de diciembre de 2013, Exp. 41719, C.P. Jaime Orlando Santofimio Gamboa.</w:t>
      </w:r>
    </w:p>
    <w:p w:rsidRPr="00D47FC7" w:rsidR="00980BCB" w:rsidP="001E4B4C" w:rsidRDefault="00980BCB" w14:paraId="2B52A08A" w14:textId="77777777">
      <w:pPr>
        <w:pStyle w:val="Textonotapie"/>
        <w:ind w:firstLine="709"/>
        <w:jc w:val="both"/>
        <w:rPr>
          <w:sz w:val="19"/>
          <w:szCs w:val="19"/>
        </w:rPr>
      </w:pPr>
    </w:p>
  </w:footnote>
  <w:footnote w:id="16">
    <w:p w:rsidRPr="001E4B4C" w:rsidR="00466744" w:rsidP="001E4B4C" w:rsidRDefault="00466744" w14:paraId="67841AD8" w14:textId="5BCA8365">
      <w:pPr>
        <w:pStyle w:val="Textonotapie"/>
        <w:ind w:firstLine="708"/>
        <w:jc w:val="both"/>
        <w:rPr>
          <w:sz w:val="19"/>
          <w:szCs w:val="19"/>
        </w:rPr>
      </w:pPr>
      <w:r w:rsidRPr="001E4B4C">
        <w:rPr>
          <w:rStyle w:val="Refdenotaalpie"/>
          <w:sz w:val="19"/>
          <w:szCs w:val="19"/>
        </w:rPr>
        <w:footnoteRef/>
      </w:r>
      <w:r w:rsidRPr="001E4B4C">
        <w:rPr>
          <w:sz w:val="19"/>
          <w:szCs w:val="19"/>
        </w:rPr>
        <w:t xml:space="preserve"> Ley 80 de 1993</w:t>
      </w:r>
      <w:r w:rsidRPr="001E4B4C" w:rsidR="001308E4">
        <w:rPr>
          <w:sz w:val="19"/>
          <w:szCs w:val="19"/>
        </w:rPr>
        <w:t>: «Artículo</w:t>
      </w:r>
      <w:r w:rsidRPr="001E4B4C">
        <w:rPr>
          <w:sz w:val="19"/>
          <w:szCs w:val="19"/>
        </w:rPr>
        <w:t xml:space="preserve"> 14. </w:t>
      </w:r>
      <w:r w:rsidRPr="001E4B4C" w:rsidR="001308E4">
        <w:rPr>
          <w:sz w:val="19"/>
          <w:szCs w:val="19"/>
        </w:rPr>
        <w:t>De los medios que pueden utilizar las entidades estatales para el cumplimiento del objeto contractual</w:t>
      </w:r>
      <w:r w:rsidRPr="001E4B4C">
        <w:rPr>
          <w:sz w:val="19"/>
          <w:szCs w:val="19"/>
        </w:rPr>
        <w:t xml:space="preserve">. Para el cumplimiento de los fines de la contratación, las entidades estatales al celebrar un contrato: </w:t>
      </w:r>
    </w:p>
    <w:p w:rsidRPr="001E4B4C" w:rsidR="00466744" w:rsidP="001E4B4C" w:rsidRDefault="00330B49" w14:paraId="75074248" w14:textId="56F63778">
      <w:pPr>
        <w:pStyle w:val="Textonotapie"/>
        <w:ind w:firstLine="708"/>
        <w:jc w:val="both"/>
        <w:rPr>
          <w:sz w:val="19"/>
          <w:szCs w:val="19"/>
        </w:rPr>
      </w:pPr>
      <w:r w:rsidRPr="001E4B4C">
        <w:rPr>
          <w:sz w:val="19"/>
          <w:szCs w:val="19"/>
        </w:rPr>
        <w:t>[…]</w:t>
      </w:r>
      <w:r w:rsidRPr="001E4B4C" w:rsidR="00466744">
        <w:rPr>
          <w:sz w:val="19"/>
          <w:szCs w:val="19"/>
        </w:rPr>
        <w:t xml:space="preserve"> </w:t>
      </w:r>
    </w:p>
    <w:p w:rsidRPr="001E4B4C" w:rsidR="00466744" w:rsidP="001E4B4C" w:rsidRDefault="00330B49" w14:paraId="767B56ED" w14:textId="2A807AD6">
      <w:pPr>
        <w:pStyle w:val="Textonotapie"/>
        <w:ind w:firstLine="708"/>
        <w:jc w:val="both"/>
        <w:rPr>
          <w:sz w:val="19"/>
          <w:szCs w:val="19"/>
        </w:rPr>
      </w:pPr>
      <w:r w:rsidRPr="001E4B4C">
        <w:rPr>
          <w:sz w:val="19"/>
          <w:szCs w:val="19"/>
        </w:rPr>
        <w:t>»</w:t>
      </w:r>
      <w:r w:rsidRPr="001E4B4C" w:rsidR="00466744">
        <w:rPr>
          <w:i/>
          <w:iCs/>
          <w:sz w:val="19"/>
          <w:szCs w:val="19"/>
          <w:u w:val="single"/>
        </w:rPr>
        <w:t>Las entidades estatales podrán pactar estas cláusulas en los contratos de suministro y de prestación de servicios.</w:t>
      </w:r>
      <w:r w:rsidRPr="001E4B4C" w:rsidR="00466744">
        <w:rPr>
          <w:sz w:val="19"/>
          <w:szCs w:val="19"/>
        </w:rPr>
        <w:t xml:space="preserve"> </w:t>
      </w:r>
    </w:p>
    <w:p w:rsidRPr="001E4B4C" w:rsidR="00330B49" w:rsidP="001E4B4C" w:rsidRDefault="00330B49" w14:paraId="3A32AEA4" w14:textId="513021AB">
      <w:pPr>
        <w:pStyle w:val="Textonotapie"/>
        <w:ind w:firstLine="708"/>
        <w:jc w:val="both"/>
        <w:rPr>
          <w:sz w:val="19"/>
          <w:szCs w:val="19"/>
        </w:rPr>
      </w:pPr>
      <w:r w:rsidRPr="001E4B4C">
        <w:rPr>
          <w:sz w:val="19"/>
          <w:szCs w:val="19"/>
        </w:rPr>
        <w:t>»</w:t>
      </w:r>
      <w:r w:rsidRPr="001E4B4C" w:rsidR="00466744">
        <w:rPr>
          <w:sz w:val="19"/>
          <w:szCs w:val="19"/>
        </w:rPr>
        <w:t>En los casos previstos en este numeral, las cláusulas excepcionales se entienden pactadas aun cuando no se consignen expresamente</w:t>
      </w:r>
      <w:r w:rsidRPr="001E4B4C">
        <w:rPr>
          <w:sz w:val="19"/>
          <w:szCs w:val="19"/>
        </w:rPr>
        <w:t>»</w:t>
      </w:r>
      <w:r w:rsidR="00D47FC7">
        <w:rPr>
          <w:sz w:val="19"/>
          <w:szCs w:val="19"/>
        </w:rPr>
        <w:t xml:space="preserve"> (Énfasis fuera de texto).</w:t>
      </w:r>
    </w:p>
    <w:p w:rsidRPr="001E4B4C" w:rsidR="00466744" w:rsidP="001E4B4C" w:rsidRDefault="00466744" w14:paraId="0F93E659" w14:textId="7888FBD9">
      <w:pPr>
        <w:pStyle w:val="Textonotapie"/>
        <w:ind w:firstLine="708"/>
        <w:jc w:val="both"/>
        <w:rPr>
          <w:sz w:val="19"/>
          <w:szCs w:val="19"/>
          <w:lang w:val="es-MX"/>
        </w:rPr>
      </w:pPr>
      <w:r w:rsidRPr="001E4B4C">
        <w:rPr>
          <w:sz w:val="19"/>
          <w:szCs w:val="19"/>
        </w:rPr>
        <w:t xml:space="preserve"> </w:t>
      </w:r>
    </w:p>
  </w:footnote>
  <w:footnote w:id="17">
    <w:p w:rsidRPr="00D47FC7" w:rsidR="00BA500C" w:rsidRDefault="00BA500C" w14:paraId="786639C7" w14:textId="254E6553">
      <w:pPr>
        <w:pStyle w:val="Textonotapie"/>
        <w:ind w:firstLine="708"/>
        <w:jc w:val="both"/>
        <w:rPr>
          <w:sz w:val="19"/>
          <w:szCs w:val="19"/>
        </w:rPr>
      </w:pPr>
      <w:r w:rsidRPr="001E4B4C">
        <w:rPr>
          <w:rStyle w:val="Refdenotaalpie"/>
          <w:sz w:val="19"/>
          <w:szCs w:val="19"/>
        </w:rPr>
        <w:footnoteRef/>
      </w:r>
      <w:r w:rsidRPr="001E4B4C">
        <w:rPr>
          <w:sz w:val="19"/>
          <w:szCs w:val="19"/>
        </w:rPr>
        <w:t xml:space="preserve"> </w:t>
      </w:r>
      <w:r w:rsidRPr="00D47FC7">
        <w:rPr>
          <w:sz w:val="19"/>
          <w:szCs w:val="19"/>
        </w:rPr>
        <w:t xml:space="preserve">DÍAZ DÍEZ, Cristian Andrés &amp; GÓMEZ VELÁSQUEZ, Alejandro. El contrato de prestación de servicios en el estatuto general de contratación de la administración pública: un tipo contractual de compleja celebración. Consultado el 23 de agosto de 2021 en la página </w:t>
      </w:r>
      <w:hyperlink w:history="1" r:id="rId1">
        <w:r w:rsidRPr="00D47FC7">
          <w:rPr>
            <w:rStyle w:val="Hipervnculo"/>
            <w:sz w:val="19"/>
            <w:szCs w:val="19"/>
          </w:rPr>
          <w:t>https://revistas.javeriana.edu.co/files-articulos/VJ/139%20(2019-II)/82562148007/</w:t>
        </w:r>
      </w:hyperlink>
      <w:r w:rsidRPr="00D47FC7">
        <w:rPr>
          <w:sz w:val="19"/>
          <w:szCs w:val="19"/>
        </w:rPr>
        <w:t xml:space="preserve">.  </w:t>
      </w:r>
    </w:p>
    <w:p w:rsidRPr="001E4B4C" w:rsidR="004C3146" w:rsidP="001E4B4C" w:rsidRDefault="004C3146" w14:paraId="4B91F24D" w14:textId="77777777">
      <w:pPr>
        <w:pStyle w:val="Textonotapie"/>
        <w:ind w:firstLine="708"/>
        <w:jc w:val="both"/>
        <w:rPr>
          <w:sz w:val="19"/>
          <w:szCs w:val="19"/>
          <w:lang w:val="es-MX"/>
        </w:rPr>
      </w:pPr>
    </w:p>
  </w:footnote>
  <w:footnote w:id="18">
    <w:p w:rsidRPr="001E4B4C" w:rsidR="008A7F08" w:rsidP="001E4B4C" w:rsidRDefault="008A7F08" w14:paraId="5AF63D34" w14:textId="13D67EC9">
      <w:pPr>
        <w:pStyle w:val="Textonotapie"/>
        <w:ind w:firstLine="708"/>
        <w:jc w:val="both"/>
        <w:rPr>
          <w:sz w:val="19"/>
          <w:szCs w:val="19"/>
        </w:rPr>
      </w:pPr>
      <w:r w:rsidRPr="001E4B4C">
        <w:rPr>
          <w:rStyle w:val="Refdenotaalpie"/>
          <w:sz w:val="19"/>
          <w:szCs w:val="19"/>
        </w:rPr>
        <w:footnoteRef/>
      </w:r>
      <w:r w:rsidRPr="001E4B4C">
        <w:rPr>
          <w:sz w:val="19"/>
          <w:szCs w:val="19"/>
        </w:rPr>
        <w:t xml:space="preserve"> </w:t>
      </w:r>
      <w:r w:rsidRPr="00D47FC7">
        <w:rPr>
          <w:color w:val="000000" w:themeColor="text1"/>
          <w:sz w:val="19"/>
          <w:szCs w:val="19"/>
        </w:rPr>
        <w:t>CONSEJO DE ESTADO. Sala de Consulta y Servicio Civil. Concepto del 5 de septiembre de 2018. Rad. 2.386. C.P. Edgar González López.</w:t>
      </w:r>
    </w:p>
    <w:p w:rsidRPr="001E4B4C" w:rsidR="008A7F08" w:rsidP="001E4B4C" w:rsidRDefault="008A7F08" w14:paraId="490A1C58" w14:textId="77777777">
      <w:pPr>
        <w:pStyle w:val="Textonotapie"/>
        <w:ind w:firstLine="708"/>
        <w:jc w:val="both"/>
        <w:rPr>
          <w:sz w:val="19"/>
          <w:szCs w:val="19"/>
          <w:lang w:val="es-MX"/>
        </w:rPr>
      </w:pPr>
    </w:p>
  </w:footnote>
  <w:footnote w:id="19">
    <w:p w:rsidRPr="00D47FC7" w:rsidR="00706B14" w:rsidRDefault="00706B14" w14:paraId="77FD6251" w14:textId="308E9C59">
      <w:pPr>
        <w:pStyle w:val="Textonotapie"/>
        <w:ind w:firstLine="708"/>
        <w:jc w:val="both"/>
        <w:rPr>
          <w:sz w:val="19"/>
          <w:szCs w:val="19"/>
        </w:rPr>
      </w:pPr>
      <w:r w:rsidRPr="001E4B4C">
        <w:rPr>
          <w:rStyle w:val="Refdenotaalpie"/>
          <w:sz w:val="19"/>
          <w:szCs w:val="19"/>
        </w:rPr>
        <w:footnoteRef/>
      </w:r>
      <w:r w:rsidRPr="001E4B4C">
        <w:rPr>
          <w:sz w:val="19"/>
          <w:szCs w:val="19"/>
        </w:rPr>
        <w:t xml:space="preserve"> </w:t>
      </w:r>
      <w:r w:rsidRPr="00D47FC7">
        <w:rPr>
          <w:sz w:val="19"/>
          <w:szCs w:val="19"/>
        </w:rPr>
        <w:t>SUÁREZ BELTRÁN, Gonzalo. Estudios de derecho público contractual: Bogotá: Legis, 2014. p. 238.</w:t>
      </w:r>
      <w:r w:rsidRPr="00D47FC7" w:rsidR="00831821">
        <w:rPr>
          <w:sz w:val="19"/>
          <w:szCs w:val="19"/>
        </w:rPr>
        <w:t xml:space="preserve"> </w:t>
      </w:r>
      <w:r w:rsidRPr="00D47FC7" w:rsidR="00741232">
        <w:rPr>
          <w:sz w:val="19"/>
          <w:szCs w:val="19"/>
        </w:rPr>
        <w:t>Al respecto</w:t>
      </w:r>
      <w:r w:rsidRPr="00D47FC7" w:rsidR="00831821">
        <w:rPr>
          <w:sz w:val="19"/>
          <w:szCs w:val="19"/>
        </w:rPr>
        <w:t xml:space="preserve">, </w:t>
      </w:r>
      <w:r w:rsidRPr="00D47FC7" w:rsidR="00741232">
        <w:rPr>
          <w:sz w:val="19"/>
          <w:szCs w:val="19"/>
        </w:rPr>
        <w:t xml:space="preserve">la doctrina considera que </w:t>
      </w:r>
      <w:r w:rsidRPr="00D47FC7" w:rsidR="00831821">
        <w:rPr>
          <w:sz w:val="19"/>
          <w:szCs w:val="19"/>
        </w:rPr>
        <w:t xml:space="preserve">«Esta clase de contratos está constituida por aquellas figuras cuyos elementos son conocidos (elementos legales); dispuestos, sin embargo, en combinaciones diferentes a las que se pueden apreciar en los contratos típicos y que, además, han sido tomadas de más de un tipo de contrato. Estos elementos pueden encontrarse en una relación de coordinación o de subordinación» (Cfr. ARRUBLA PAUCAR, Jaime Alberto. Contratos mercantiles: contratos atípicos. Octava edición. Bogotá: Legis, 2015. p. 36). </w:t>
      </w:r>
    </w:p>
    <w:p w:rsidRPr="001E4B4C" w:rsidR="00612640" w:rsidP="001E4B4C" w:rsidRDefault="00612640" w14:paraId="6A10D6B3" w14:textId="77777777">
      <w:pPr>
        <w:pStyle w:val="Textonotapie"/>
        <w:ind w:firstLine="708"/>
        <w:jc w:val="both"/>
        <w:rPr>
          <w:sz w:val="19"/>
          <w:szCs w:val="19"/>
          <w:lang w:val="es-MX"/>
        </w:rPr>
      </w:pPr>
    </w:p>
  </w:footnote>
  <w:footnote w:id="20">
    <w:p w:rsidRPr="00D47FC7" w:rsidR="00E964FB" w:rsidRDefault="00E964FB" w14:paraId="298BB6D4" w14:textId="77777777">
      <w:pPr>
        <w:pStyle w:val="Textonotapie"/>
        <w:ind w:firstLine="708"/>
        <w:jc w:val="both"/>
        <w:rPr>
          <w:color w:val="000000" w:themeColor="text1"/>
          <w:sz w:val="19"/>
          <w:szCs w:val="19"/>
        </w:rPr>
      </w:pPr>
      <w:r w:rsidRPr="001E4B4C">
        <w:rPr>
          <w:rStyle w:val="Refdenotaalpie"/>
          <w:sz w:val="19"/>
          <w:szCs w:val="19"/>
        </w:rPr>
        <w:footnoteRef/>
      </w:r>
      <w:r w:rsidRPr="001E4B4C">
        <w:rPr>
          <w:sz w:val="19"/>
          <w:szCs w:val="19"/>
        </w:rPr>
        <w:t xml:space="preserve"> </w:t>
      </w:r>
      <w:r w:rsidRPr="00D47FC7">
        <w:rPr>
          <w:color w:val="000000" w:themeColor="text1"/>
          <w:sz w:val="19"/>
          <w:szCs w:val="19"/>
        </w:rPr>
        <w:t>CONSEJO DE ESTADO. Sala de Consulta y Servicio Civil. Concepto del 5 de septiembre de 2018. Rad. 2.386. C.P. Edgar González López.</w:t>
      </w:r>
    </w:p>
    <w:p w:rsidRPr="001E4B4C" w:rsidR="00E964FB" w:rsidP="001E4B4C" w:rsidRDefault="00E964FB" w14:paraId="17A7299C" w14:textId="6FF1BE33">
      <w:pPr>
        <w:pStyle w:val="Textonotapie"/>
        <w:ind w:firstLine="708"/>
        <w:jc w:val="both"/>
        <w:rPr>
          <w:sz w:val="19"/>
          <w:szCs w:val="19"/>
          <w:lang w:val="es-MX"/>
        </w:rPr>
      </w:pPr>
    </w:p>
  </w:footnote>
  <w:footnote w:id="21">
    <w:p w:rsidRPr="00D47FC7" w:rsidR="0071103C" w:rsidRDefault="0071103C" w14:paraId="5054A117" w14:textId="571177FF">
      <w:pPr>
        <w:pStyle w:val="Textonotapie"/>
        <w:ind w:firstLine="708"/>
        <w:jc w:val="both"/>
        <w:rPr>
          <w:sz w:val="19"/>
          <w:szCs w:val="19"/>
        </w:rPr>
      </w:pPr>
      <w:r w:rsidRPr="001E4B4C">
        <w:rPr>
          <w:rStyle w:val="Refdenotaalpie"/>
          <w:sz w:val="19"/>
          <w:szCs w:val="19"/>
        </w:rPr>
        <w:footnoteRef/>
      </w:r>
      <w:r w:rsidRPr="001E4B4C">
        <w:rPr>
          <w:sz w:val="19"/>
          <w:szCs w:val="19"/>
        </w:rPr>
        <w:t xml:space="preserve"> </w:t>
      </w:r>
      <w:r w:rsidRPr="00D47FC7">
        <w:rPr>
          <w:sz w:val="19"/>
          <w:szCs w:val="19"/>
        </w:rPr>
        <w:t xml:space="preserve">CORTE SUPREMA DE JUSTICIA. Sala de Casación Civil. Sentencia del 5 de diciembre de 1956. M.P. </w:t>
      </w:r>
      <w:r w:rsidRPr="00D47FC7" w:rsidR="00581030">
        <w:rPr>
          <w:sz w:val="19"/>
          <w:szCs w:val="19"/>
        </w:rPr>
        <w:t>Pablo Emilio Manotas. Decisión publicada en el Gaceta Judicial LXXXIV, No. 2177-2180. p. 317.</w:t>
      </w:r>
      <w:r w:rsidRPr="00D47FC7" w:rsidR="00DA1041">
        <w:rPr>
          <w:sz w:val="19"/>
          <w:szCs w:val="19"/>
        </w:rPr>
        <w:t xml:space="preserve"> Este criterio se adoptó explícitamente en el derogado artículo</w:t>
      </w:r>
      <w:r w:rsidRPr="00D47FC7" w:rsidR="000D7B0C">
        <w:rPr>
          <w:sz w:val="19"/>
          <w:szCs w:val="19"/>
        </w:rPr>
        <w:t xml:space="preserve"> 3.3.1.1 del Decreto 734 de 2012. Concretamente, el inciso cuarto disponía que «En el caso de que el objeto contractual incluya los servicios de consultoría y otras obligaciones principales, como por ejemplo en el caso de ejecución de proyectos que incluyen diseño y construcción de la obra, la escogencia del contratista deberá adelantarse mediante licitación pública y selección abreviada, según corresponda de conformidad con lo señalado en la ley y en el presente decreto, sin perjuicio de lo previsto para la mínima cuantía. En todo caso, el equipo de profesionales y expertos propuestos deberá ser aprobado por la entidad».</w:t>
      </w:r>
    </w:p>
    <w:p w:rsidRPr="001E4B4C" w:rsidR="007724E3" w:rsidP="001E4B4C" w:rsidRDefault="007724E3" w14:paraId="54356147" w14:textId="77777777">
      <w:pPr>
        <w:pStyle w:val="Textonotapie"/>
        <w:ind w:firstLine="708"/>
        <w:jc w:val="both"/>
        <w:rPr>
          <w:sz w:val="19"/>
          <w:szCs w:val="19"/>
        </w:rPr>
      </w:pPr>
    </w:p>
  </w:footnote>
  <w:footnote w:id="22">
    <w:p w:rsidRPr="001E4B4C" w:rsidR="00A43A0A" w:rsidP="001E4B4C" w:rsidRDefault="00A43A0A" w14:paraId="7EC9D016" w14:textId="380E8B1B">
      <w:pPr>
        <w:pStyle w:val="Textonotapie"/>
        <w:ind w:firstLine="708"/>
        <w:jc w:val="both"/>
        <w:rPr>
          <w:sz w:val="19"/>
          <w:szCs w:val="19"/>
        </w:rPr>
      </w:pPr>
      <w:r w:rsidRPr="001E4B4C">
        <w:rPr>
          <w:rStyle w:val="Refdenotaalpie"/>
          <w:sz w:val="19"/>
          <w:szCs w:val="19"/>
        </w:rPr>
        <w:footnoteRef/>
      </w:r>
      <w:r w:rsidRPr="001E4B4C">
        <w:rPr>
          <w:sz w:val="19"/>
          <w:szCs w:val="19"/>
        </w:rPr>
        <w:t xml:space="preserve"> </w:t>
      </w:r>
      <w:r w:rsidRPr="00D47FC7">
        <w:rPr>
          <w:sz w:val="19"/>
          <w:szCs w:val="19"/>
        </w:rPr>
        <w:t>Por ello, explica que «[…] todos estos criterios de interpretación no son, en último análisis más que especificaciones del principio de la analogía, inspiradas en las peculiaridades de cada materia. De aquí, también, que el criterio de interpretación más serio, respecto del contrato innominado mixto, es, además de la aplicación directa de las reglas generales sobre los contratos, el de la aplicación analógica de las singulares relativas al contrato nominado dado, que se manifiesten como las más adecuadas al contrato mixto que se debe interpretar, y si éstas no existen, entonces recurrir a las de la analogía iuris» (</w:t>
      </w:r>
      <w:r w:rsidRPr="001E4B4C">
        <w:rPr>
          <w:i/>
          <w:iCs/>
          <w:sz w:val="19"/>
          <w:szCs w:val="19"/>
        </w:rPr>
        <w:t>ibidem</w:t>
      </w:r>
      <w:r w:rsidRPr="00D47FC7">
        <w:rPr>
          <w:sz w:val="19"/>
          <w:szCs w:val="19"/>
        </w:rPr>
        <w:t>).</w:t>
      </w:r>
    </w:p>
  </w:footnote>
  <w:footnote w:id="23">
    <w:p w:rsidRPr="001E4B4C" w:rsidR="00AC6255" w:rsidP="001E4B4C" w:rsidRDefault="00AC6255" w14:paraId="66B6BBE8" w14:textId="19118C21">
      <w:pPr>
        <w:pStyle w:val="Textonotapie"/>
        <w:ind w:firstLine="708"/>
        <w:jc w:val="both"/>
        <w:rPr>
          <w:sz w:val="19"/>
          <w:szCs w:val="19"/>
        </w:rPr>
      </w:pPr>
      <w:r w:rsidRPr="001E4B4C">
        <w:rPr>
          <w:rStyle w:val="Refdenotaalpie"/>
          <w:sz w:val="19"/>
          <w:szCs w:val="19"/>
        </w:rPr>
        <w:footnoteRef/>
      </w:r>
      <w:r w:rsidRPr="001E4B4C">
        <w:rPr>
          <w:sz w:val="19"/>
          <w:szCs w:val="19"/>
        </w:rPr>
        <w:t xml:space="preserve"> </w:t>
      </w:r>
      <w:r w:rsidRPr="001E4B4C" w:rsidR="006E77D0">
        <w:rPr>
          <w:sz w:val="19"/>
          <w:szCs w:val="19"/>
        </w:rPr>
        <w:t xml:space="preserve">RENGIFO GARCÍA, Ernesto. Interpretación del contrato atípico a la luz de la jurisprudencia colombiana. En: Los contratos en el derecho privado. Bogotá: Legis – Universidad del Rosario, 2009. p. 48. </w:t>
      </w:r>
    </w:p>
    <w:p w:rsidRPr="001E4B4C" w:rsidR="00AC6255" w:rsidP="001E4B4C" w:rsidRDefault="00AC6255" w14:paraId="3513EDFB" w14:textId="77777777">
      <w:pPr>
        <w:pStyle w:val="Textonotapie"/>
        <w:ind w:firstLine="708"/>
        <w:jc w:val="both"/>
        <w:rPr>
          <w:sz w:val="19"/>
          <w:szCs w:val="19"/>
          <w:lang w:val="es-MX"/>
        </w:rPr>
      </w:pPr>
    </w:p>
  </w:footnote>
  <w:footnote w:id="24">
    <w:p w:rsidR="00745F8C" w:rsidP="001E4B4C" w:rsidRDefault="00745F8C" w14:paraId="0AF07AC3" w14:textId="77777777">
      <w:pPr>
        <w:pStyle w:val="Textonotapie"/>
        <w:ind w:firstLine="708"/>
        <w:jc w:val="both"/>
        <w:rPr>
          <w:sz w:val="19"/>
          <w:szCs w:val="19"/>
        </w:rPr>
      </w:pPr>
    </w:p>
    <w:p w:rsidR="007724E3" w:rsidP="001E4B4C" w:rsidRDefault="007724E3" w14:paraId="066F1D93" w14:textId="4B475764">
      <w:pPr>
        <w:pStyle w:val="Textonotapie"/>
        <w:ind w:firstLine="708"/>
        <w:jc w:val="both"/>
        <w:rPr>
          <w:color w:val="000000" w:themeColor="text1"/>
          <w:sz w:val="19"/>
          <w:szCs w:val="19"/>
        </w:rPr>
      </w:pPr>
      <w:r w:rsidRPr="001E4B4C">
        <w:rPr>
          <w:rStyle w:val="Refdenotaalpie"/>
          <w:sz w:val="19"/>
          <w:szCs w:val="19"/>
        </w:rPr>
        <w:footnoteRef/>
      </w:r>
      <w:r w:rsidRPr="001E4B4C">
        <w:rPr>
          <w:sz w:val="19"/>
          <w:szCs w:val="19"/>
        </w:rPr>
        <w:t xml:space="preserve"> </w:t>
      </w:r>
      <w:r w:rsidRPr="00D47FC7" w:rsidR="00DA3870">
        <w:rPr>
          <w:color w:val="000000" w:themeColor="text1"/>
          <w:sz w:val="19"/>
          <w:szCs w:val="19"/>
        </w:rPr>
        <w:t>CONSEJO DE ESTADO. Sala de Consulta y Servicio Civil. Concepto del 5 de septiembre de 2018. Rad. 2.386. C.P. Edgar González López.</w:t>
      </w:r>
    </w:p>
    <w:p w:rsidRPr="001E4B4C" w:rsidR="00745F8C" w:rsidP="001E4B4C" w:rsidRDefault="00745F8C" w14:paraId="7DCA0C50" w14:textId="77777777">
      <w:pPr>
        <w:pStyle w:val="Textonotapie"/>
        <w:ind w:firstLine="708"/>
        <w:jc w:val="both"/>
        <w:rPr>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35F97" w:rsidRDefault="00335F97" w14:paraId="7BDD9C05" w14:textId="77777777">
    <w:pPr>
      <w:pStyle w:val="Textoindependiente"/>
      <w:spacing w:line="14" w:lineRule="auto"/>
      <w:rPr>
        <w:sz w:val="20"/>
      </w:rPr>
    </w:pPr>
  </w:p>
  <w:p w:rsidR="00335F97" w:rsidRDefault="00335F97" w14:paraId="3ADD2BCF" w14:textId="77777777">
    <w:pPr>
      <w:pStyle w:val="Textoindependiente"/>
      <w:spacing w:line="14" w:lineRule="auto"/>
      <w:rPr>
        <w:sz w:val="20"/>
      </w:rPr>
    </w:pPr>
  </w:p>
  <w:p w:rsidR="00EA14CB" w:rsidRDefault="007C6855" w14:paraId="203EC705" w14:textId="7FB76CFD">
    <w:pPr>
      <w:pStyle w:val="Textoindependiente"/>
      <w:spacing w:line="14" w:lineRule="auto"/>
      <w:rPr>
        <w:sz w:val="20"/>
      </w:rPr>
    </w:pPr>
    <w:r>
      <w:rPr>
        <w:noProof/>
        <w:lang w:bidi="ar-SA"/>
      </w:rPr>
      <w:drawing>
        <wp:anchor distT="0" distB="0" distL="0" distR="0" simplePos="0" relativeHeight="251659264" behindDoc="1" locked="0" layoutInCell="1" allowOverlap="1" wp14:anchorId="1C404656" wp14:editId="68D71C18">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E5A"/>
    <w:multiLevelType w:val="hybridMultilevel"/>
    <w:tmpl w:val="51AC9BC6"/>
    <w:lvl w:ilvl="0" w:tplc="81A41A2E">
      <w:numFmt w:val="bullet"/>
      <w:lvlText w:val="-"/>
      <w:lvlJc w:val="left"/>
      <w:pPr>
        <w:ind w:left="363" w:hanging="143"/>
      </w:pPr>
      <w:rPr>
        <w:rFonts w:hint="default" w:ascii="Arial" w:hAnsi="Arial" w:eastAsia="Arial" w:cs="Arial"/>
        <w:color w:val="4E4D4D"/>
        <w:w w:val="100"/>
        <w:sz w:val="22"/>
        <w:szCs w:val="22"/>
        <w:lang w:val="es-ES" w:eastAsia="en-US" w:bidi="ar-SA"/>
      </w:rPr>
    </w:lvl>
    <w:lvl w:ilvl="1" w:tplc="A55AFF8C">
      <w:numFmt w:val="bullet"/>
      <w:lvlText w:val="•"/>
      <w:lvlJc w:val="left"/>
      <w:pPr>
        <w:ind w:left="1250" w:hanging="143"/>
      </w:pPr>
      <w:rPr>
        <w:rFonts w:hint="default"/>
        <w:lang w:val="es-ES" w:eastAsia="en-US" w:bidi="ar-SA"/>
      </w:rPr>
    </w:lvl>
    <w:lvl w:ilvl="2" w:tplc="263E823E">
      <w:numFmt w:val="bullet"/>
      <w:lvlText w:val="•"/>
      <w:lvlJc w:val="left"/>
      <w:pPr>
        <w:ind w:left="2140" w:hanging="143"/>
      </w:pPr>
      <w:rPr>
        <w:rFonts w:hint="default"/>
        <w:lang w:val="es-ES" w:eastAsia="en-US" w:bidi="ar-SA"/>
      </w:rPr>
    </w:lvl>
    <w:lvl w:ilvl="3" w:tplc="FF3EB6C6">
      <w:numFmt w:val="bullet"/>
      <w:lvlText w:val="•"/>
      <w:lvlJc w:val="left"/>
      <w:pPr>
        <w:ind w:left="3030" w:hanging="143"/>
      </w:pPr>
      <w:rPr>
        <w:rFonts w:hint="default"/>
        <w:lang w:val="es-ES" w:eastAsia="en-US" w:bidi="ar-SA"/>
      </w:rPr>
    </w:lvl>
    <w:lvl w:ilvl="4" w:tplc="4D925CA0">
      <w:numFmt w:val="bullet"/>
      <w:lvlText w:val="•"/>
      <w:lvlJc w:val="left"/>
      <w:pPr>
        <w:ind w:left="3920" w:hanging="143"/>
      </w:pPr>
      <w:rPr>
        <w:rFonts w:hint="default"/>
        <w:lang w:val="es-ES" w:eastAsia="en-US" w:bidi="ar-SA"/>
      </w:rPr>
    </w:lvl>
    <w:lvl w:ilvl="5" w:tplc="F3942022">
      <w:numFmt w:val="bullet"/>
      <w:lvlText w:val="•"/>
      <w:lvlJc w:val="left"/>
      <w:pPr>
        <w:ind w:left="4810" w:hanging="143"/>
      </w:pPr>
      <w:rPr>
        <w:rFonts w:hint="default"/>
        <w:lang w:val="es-ES" w:eastAsia="en-US" w:bidi="ar-SA"/>
      </w:rPr>
    </w:lvl>
    <w:lvl w:ilvl="6" w:tplc="447814C8">
      <w:numFmt w:val="bullet"/>
      <w:lvlText w:val="•"/>
      <w:lvlJc w:val="left"/>
      <w:pPr>
        <w:ind w:left="5700" w:hanging="143"/>
      </w:pPr>
      <w:rPr>
        <w:rFonts w:hint="default"/>
        <w:lang w:val="es-ES" w:eastAsia="en-US" w:bidi="ar-SA"/>
      </w:rPr>
    </w:lvl>
    <w:lvl w:ilvl="7" w:tplc="8D3CBEDC">
      <w:numFmt w:val="bullet"/>
      <w:lvlText w:val="•"/>
      <w:lvlJc w:val="left"/>
      <w:pPr>
        <w:ind w:left="6590" w:hanging="143"/>
      </w:pPr>
      <w:rPr>
        <w:rFonts w:hint="default"/>
        <w:lang w:val="es-ES" w:eastAsia="en-US" w:bidi="ar-SA"/>
      </w:rPr>
    </w:lvl>
    <w:lvl w:ilvl="8" w:tplc="8A042262">
      <w:numFmt w:val="bullet"/>
      <w:lvlText w:val="•"/>
      <w:lvlJc w:val="left"/>
      <w:pPr>
        <w:ind w:left="7480" w:hanging="143"/>
      </w:pPr>
      <w:rPr>
        <w:rFonts w:hint="default"/>
        <w:lang w:val="es-ES" w:eastAsia="en-US" w:bidi="ar-SA"/>
      </w:rPr>
    </w:lvl>
  </w:abstractNum>
  <w:abstractNum w:abstractNumId="1" w15:restartNumberingAfterBreak="0">
    <w:nsid w:val="0A550AD3"/>
    <w:multiLevelType w:val="multilevel"/>
    <w:tmpl w:val="D37E2C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BF3217"/>
    <w:multiLevelType w:val="hybridMultilevel"/>
    <w:tmpl w:val="C7A8244E"/>
    <w:lvl w:ilvl="0" w:tplc="EF82CF64">
      <w:start w:val="2"/>
      <w:numFmt w:val="decimal"/>
      <w:lvlText w:val="%1."/>
      <w:lvlJc w:val="left"/>
      <w:pPr>
        <w:ind w:left="459" w:hanging="360"/>
      </w:pPr>
      <w:rPr>
        <w:rFonts w:hint="default"/>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3" w15:restartNumberingAfterBreak="0">
    <w:nsid w:val="2BBB6AEA"/>
    <w:multiLevelType w:val="multilevel"/>
    <w:tmpl w:val="D92AD1F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931B6F"/>
    <w:multiLevelType w:val="multilevel"/>
    <w:tmpl w:val="6F5EC330"/>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0AE09F0"/>
    <w:multiLevelType w:val="multilevel"/>
    <w:tmpl w:val="BC045F2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B64BFA"/>
    <w:multiLevelType w:val="hybridMultilevel"/>
    <w:tmpl w:val="22CC3B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F55732"/>
    <w:multiLevelType w:val="hybridMultilevel"/>
    <w:tmpl w:val="7F1A7BB0"/>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2A7387"/>
    <w:multiLevelType w:val="hybridMultilevel"/>
    <w:tmpl w:val="CC4026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DB4100"/>
    <w:multiLevelType w:val="multilevel"/>
    <w:tmpl w:val="20F6F194"/>
    <w:lvl w:ilvl="0">
      <w:start w:val="1"/>
      <w:numFmt w:val="decimal"/>
      <w:lvlText w:val="%1."/>
      <w:lvlJc w:val="left"/>
      <w:pPr>
        <w:ind w:left="460" w:hanging="360"/>
      </w:pPr>
      <w:rPr>
        <w:rFonts w:hint="default" w:ascii="Arial" w:hAnsi="Arial" w:eastAsia="Arial" w:cs="Arial"/>
        <w:b/>
        <w:bCs/>
        <w:color w:val="4E4D4D"/>
        <w:spacing w:val="-8"/>
        <w:w w:val="100"/>
        <w:sz w:val="22"/>
        <w:szCs w:val="22"/>
        <w:lang w:val="es-ES" w:eastAsia="es-ES" w:bidi="es-ES"/>
      </w:rPr>
    </w:lvl>
    <w:lvl w:ilvl="1">
      <w:start w:val="1"/>
      <w:numFmt w:val="decimal"/>
      <w:lvlText w:val="%1.%2."/>
      <w:lvlJc w:val="left"/>
      <w:pPr>
        <w:ind w:left="820" w:hanging="720"/>
      </w:pPr>
      <w:rPr>
        <w:rFonts w:hint="default" w:ascii="Arial" w:hAnsi="Arial" w:eastAsia="Arial" w:cs="Arial"/>
        <w:b/>
        <w:bCs/>
        <w:color w:val="4E4D4D"/>
        <w:spacing w:val="-2"/>
        <w:w w:val="100"/>
        <w:sz w:val="22"/>
        <w:szCs w:val="22"/>
        <w:lang w:val="es-ES" w:eastAsia="es-ES" w:bidi="es-ES"/>
      </w:rPr>
    </w:lvl>
    <w:lvl w:ilvl="2">
      <w:numFmt w:val="bullet"/>
      <w:lvlText w:val="•"/>
      <w:lvlJc w:val="left"/>
      <w:pPr>
        <w:ind w:left="1744" w:hanging="720"/>
      </w:pPr>
      <w:rPr>
        <w:rFonts w:hint="default"/>
        <w:lang w:val="es-ES" w:eastAsia="es-ES" w:bidi="es-ES"/>
      </w:rPr>
    </w:lvl>
    <w:lvl w:ilvl="3">
      <w:numFmt w:val="bullet"/>
      <w:lvlText w:val="•"/>
      <w:lvlJc w:val="left"/>
      <w:pPr>
        <w:ind w:left="2668" w:hanging="720"/>
      </w:pPr>
      <w:rPr>
        <w:rFonts w:hint="default"/>
        <w:lang w:val="es-ES" w:eastAsia="es-ES" w:bidi="es-ES"/>
      </w:rPr>
    </w:lvl>
    <w:lvl w:ilvl="4">
      <w:numFmt w:val="bullet"/>
      <w:lvlText w:val="•"/>
      <w:lvlJc w:val="left"/>
      <w:pPr>
        <w:ind w:left="3593" w:hanging="720"/>
      </w:pPr>
      <w:rPr>
        <w:rFonts w:hint="default"/>
        <w:lang w:val="es-ES" w:eastAsia="es-ES" w:bidi="es-ES"/>
      </w:rPr>
    </w:lvl>
    <w:lvl w:ilvl="5">
      <w:numFmt w:val="bullet"/>
      <w:lvlText w:val="•"/>
      <w:lvlJc w:val="left"/>
      <w:pPr>
        <w:ind w:left="4517" w:hanging="720"/>
      </w:pPr>
      <w:rPr>
        <w:rFonts w:hint="default"/>
        <w:lang w:val="es-ES" w:eastAsia="es-ES" w:bidi="es-ES"/>
      </w:rPr>
    </w:lvl>
    <w:lvl w:ilvl="6">
      <w:numFmt w:val="bullet"/>
      <w:lvlText w:val="•"/>
      <w:lvlJc w:val="left"/>
      <w:pPr>
        <w:ind w:left="5442" w:hanging="720"/>
      </w:pPr>
      <w:rPr>
        <w:rFonts w:hint="default"/>
        <w:lang w:val="es-ES" w:eastAsia="es-ES" w:bidi="es-ES"/>
      </w:rPr>
    </w:lvl>
    <w:lvl w:ilvl="7">
      <w:numFmt w:val="bullet"/>
      <w:lvlText w:val="•"/>
      <w:lvlJc w:val="left"/>
      <w:pPr>
        <w:ind w:left="6366" w:hanging="720"/>
      </w:pPr>
      <w:rPr>
        <w:rFonts w:hint="default"/>
        <w:lang w:val="es-ES" w:eastAsia="es-ES" w:bidi="es-ES"/>
      </w:rPr>
    </w:lvl>
    <w:lvl w:ilvl="8">
      <w:numFmt w:val="bullet"/>
      <w:lvlText w:val="•"/>
      <w:lvlJc w:val="left"/>
      <w:pPr>
        <w:ind w:left="7291" w:hanging="720"/>
      </w:pPr>
      <w:rPr>
        <w:rFonts w:hint="default"/>
        <w:lang w:val="es-ES" w:eastAsia="es-ES" w:bidi="es-ES"/>
      </w:rPr>
    </w:lvl>
  </w:abstractNum>
  <w:abstractNum w:abstractNumId="11" w15:restartNumberingAfterBreak="0">
    <w:nsid w:val="69995D1B"/>
    <w:multiLevelType w:val="hybridMultilevel"/>
    <w:tmpl w:val="3E0CBFAC"/>
    <w:lvl w:ilvl="0" w:tplc="D8AA8A12">
      <w:numFmt w:val="bullet"/>
      <w:lvlText w:val="–"/>
      <w:lvlJc w:val="left"/>
      <w:pPr>
        <w:ind w:left="100" w:hanging="208"/>
      </w:pPr>
      <w:rPr>
        <w:rFonts w:hint="default" w:ascii="Arial" w:hAnsi="Arial" w:eastAsia="Arial" w:cs="Arial"/>
        <w:color w:val="4E4D4D"/>
        <w:w w:val="100"/>
        <w:sz w:val="22"/>
        <w:szCs w:val="22"/>
        <w:lang w:val="es-ES" w:eastAsia="es-ES" w:bidi="es-ES"/>
      </w:rPr>
    </w:lvl>
    <w:lvl w:ilvl="1" w:tplc="35127054">
      <w:numFmt w:val="bullet"/>
      <w:lvlText w:val=""/>
      <w:lvlJc w:val="left"/>
      <w:pPr>
        <w:ind w:left="820" w:hanging="360"/>
      </w:pPr>
      <w:rPr>
        <w:rFonts w:hint="default" w:ascii="Symbol" w:hAnsi="Symbol" w:eastAsia="Symbol" w:cs="Symbol"/>
        <w:color w:val="4E4D4D"/>
        <w:w w:val="100"/>
        <w:sz w:val="22"/>
        <w:szCs w:val="22"/>
        <w:lang w:val="es-ES" w:eastAsia="es-ES" w:bidi="es-ES"/>
      </w:rPr>
    </w:lvl>
    <w:lvl w:ilvl="2" w:tplc="E7681912">
      <w:numFmt w:val="bullet"/>
      <w:lvlText w:val="•"/>
      <w:lvlJc w:val="left"/>
      <w:pPr>
        <w:ind w:left="1744" w:hanging="360"/>
      </w:pPr>
      <w:rPr>
        <w:rFonts w:hint="default"/>
        <w:lang w:val="es-ES" w:eastAsia="es-ES" w:bidi="es-ES"/>
      </w:rPr>
    </w:lvl>
    <w:lvl w:ilvl="3" w:tplc="3906FECC">
      <w:numFmt w:val="bullet"/>
      <w:lvlText w:val="•"/>
      <w:lvlJc w:val="left"/>
      <w:pPr>
        <w:ind w:left="2668" w:hanging="360"/>
      </w:pPr>
      <w:rPr>
        <w:rFonts w:hint="default"/>
        <w:lang w:val="es-ES" w:eastAsia="es-ES" w:bidi="es-ES"/>
      </w:rPr>
    </w:lvl>
    <w:lvl w:ilvl="4" w:tplc="982E9E68">
      <w:numFmt w:val="bullet"/>
      <w:lvlText w:val="•"/>
      <w:lvlJc w:val="left"/>
      <w:pPr>
        <w:ind w:left="3593" w:hanging="360"/>
      </w:pPr>
      <w:rPr>
        <w:rFonts w:hint="default"/>
        <w:lang w:val="es-ES" w:eastAsia="es-ES" w:bidi="es-ES"/>
      </w:rPr>
    </w:lvl>
    <w:lvl w:ilvl="5" w:tplc="8524266C">
      <w:numFmt w:val="bullet"/>
      <w:lvlText w:val="•"/>
      <w:lvlJc w:val="left"/>
      <w:pPr>
        <w:ind w:left="4517" w:hanging="360"/>
      </w:pPr>
      <w:rPr>
        <w:rFonts w:hint="default"/>
        <w:lang w:val="es-ES" w:eastAsia="es-ES" w:bidi="es-ES"/>
      </w:rPr>
    </w:lvl>
    <w:lvl w:ilvl="6" w:tplc="6C88FC3E">
      <w:numFmt w:val="bullet"/>
      <w:lvlText w:val="•"/>
      <w:lvlJc w:val="left"/>
      <w:pPr>
        <w:ind w:left="5442" w:hanging="360"/>
      </w:pPr>
      <w:rPr>
        <w:rFonts w:hint="default"/>
        <w:lang w:val="es-ES" w:eastAsia="es-ES" w:bidi="es-ES"/>
      </w:rPr>
    </w:lvl>
    <w:lvl w:ilvl="7" w:tplc="9774DEA8">
      <w:numFmt w:val="bullet"/>
      <w:lvlText w:val="•"/>
      <w:lvlJc w:val="left"/>
      <w:pPr>
        <w:ind w:left="6366" w:hanging="360"/>
      </w:pPr>
      <w:rPr>
        <w:rFonts w:hint="default"/>
        <w:lang w:val="es-ES" w:eastAsia="es-ES" w:bidi="es-ES"/>
      </w:rPr>
    </w:lvl>
    <w:lvl w:ilvl="8" w:tplc="602E4350">
      <w:numFmt w:val="bullet"/>
      <w:lvlText w:val="•"/>
      <w:lvlJc w:val="left"/>
      <w:pPr>
        <w:ind w:left="7291" w:hanging="360"/>
      </w:pPr>
      <w:rPr>
        <w:rFonts w:hint="default"/>
        <w:lang w:val="es-ES" w:eastAsia="es-ES" w:bidi="es-ES"/>
      </w:rPr>
    </w:lvl>
  </w:abstractNum>
  <w:num w:numId="1">
    <w:abstractNumId w:val="11"/>
  </w:num>
  <w:num w:numId="2">
    <w:abstractNumId w:val="10"/>
  </w:num>
  <w:num w:numId="3">
    <w:abstractNumId w:val="0"/>
  </w:num>
  <w:num w:numId="4">
    <w:abstractNumId w:val="1"/>
  </w:num>
  <w:num w:numId="5">
    <w:abstractNumId w:val="3"/>
  </w:num>
  <w:num w:numId="6">
    <w:abstractNumId w:val="4"/>
  </w:num>
  <w:num w:numId="7">
    <w:abstractNumId w:val="7"/>
  </w:num>
  <w:num w:numId="8">
    <w:abstractNumId w:val="2"/>
  </w:num>
  <w:num w:numId="9">
    <w:abstractNumId w:val="8"/>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9F"/>
    <w:rsid w:val="0000768A"/>
    <w:rsid w:val="000101CA"/>
    <w:rsid w:val="00011601"/>
    <w:rsid w:val="000126B5"/>
    <w:rsid w:val="00014144"/>
    <w:rsid w:val="0002254D"/>
    <w:rsid w:val="00033A2C"/>
    <w:rsid w:val="0003788A"/>
    <w:rsid w:val="000430D8"/>
    <w:rsid w:val="000437BE"/>
    <w:rsid w:val="000535E9"/>
    <w:rsid w:val="0005480D"/>
    <w:rsid w:val="00055E94"/>
    <w:rsid w:val="00064AC0"/>
    <w:rsid w:val="000674D6"/>
    <w:rsid w:val="00077108"/>
    <w:rsid w:val="000807ED"/>
    <w:rsid w:val="00080B58"/>
    <w:rsid w:val="00083119"/>
    <w:rsid w:val="00083F12"/>
    <w:rsid w:val="00084547"/>
    <w:rsid w:val="00085EC0"/>
    <w:rsid w:val="00087F6E"/>
    <w:rsid w:val="00090B94"/>
    <w:rsid w:val="00091EEF"/>
    <w:rsid w:val="00092AB1"/>
    <w:rsid w:val="000946B0"/>
    <w:rsid w:val="000A5C95"/>
    <w:rsid w:val="000B0586"/>
    <w:rsid w:val="000B5841"/>
    <w:rsid w:val="000B7BBE"/>
    <w:rsid w:val="000D642E"/>
    <w:rsid w:val="000D7141"/>
    <w:rsid w:val="000D7B0C"/>
    <w:rsid w:val="000E2C9B"/>
    <w:rsid w:val="000E4F28"/>
    <w:rsid w:val="000E52DD"/>
    <w:rsid w:val="000E5F56"/>
    <w:rsid w:val="000F2698"/>
    <w:rsid w:val="001060E2"/>
    <w:rsid w:val="00122000"/>
    <w:rsid w:val="001308E4"/>
    <w:rsid w:val="00140393"/>
    <w:rsid w:val="00154926"/>
    <w:rsid w:val="00164ED3"/>
    <w:rsid w:val="001664FB"/>
    <w:rsid w:val="00172422"/>
    <w:rsid w:val="001824C8"/>
    <w:rsid w:val="00182B19"/>
    <w:rsid w:val="00183037"/>
    <w:rsid w:val="001912ED"/>
    <w:rsid w:val="00196ED7"/>
    <w:rsid w:val="00196FD5"/>
    <w:rsid w:val="001A7666"/>
    <w:rsid w:val="001B5F0B"/>
    <w:rsid w:val="001B69F1"/>
    <w:rsid w:val="001B6A5A"/>
    <w:rsid w:val="001C0B0B"/>
    <w:rsid w:val="001C70F9"/>
    <w:rsid w:val="001D2F63"/>
    <w:rsid w:val="001D5AFF"/>
    <w:rsid w:val="001E43AD"/>
    <w:rsid w:val="001E4B4C"/>
    <w:rsid w:val="001F1EDF"/>
    <w:rsid w:val="001F2E21"/>
    <w:rsid w:val="00201676"/>
    <w:rsid w:val="00211741"/>
    <w:rsid w:val="00212D31"/>
    <w:rsid w:val="00212FB1"/>
    <w:rsid w:val="00213DC8"/>
    <w:rsid w:val="00220786"/>
    <w:rsid w:val="00227FAA"/>
    <w:rsid w:val="00232A84"/>
    <w:rsid w:val="002339B0"/>
    <w:rsid w:val="00234138"/>
    <w:rsid w:val="00244B10"/>
    <w:rsid w:val="00245421"/>
    <w:rsid w:val="00247B22"/>
    <w:rsid w:val="0025119E"/>
    <w:rsid w:val="00251CEF"/>
    <w:rsid w:val="00256F7E"/>
    <w:rsid w:val="0027123D"/>
    <w:rsid w:val="002742B9"/>
    <w:rsid w:val="00274E7E"/>
    <w:rsid w:val="00276E2B"/>
    <w:rsid w:val="00280ABB"/>
    <w:rsid w:val="00280C66"/>
    <w:rsid w:val="00282C60"/>
    <w:rsid w:val="00283314"/>
    <w:rsid w:val="00291992"/>
    <w:rsid w:val="00296292"/>
    <w:rsid w:val="0029709B"/>
    <w:rsid w:val="00297924"/>
    <w:rsid w:val="002A064A"/>
    <w:rsid w:val="002A1FA5"/>
    <w:rsid w:val="002A2470"/>
    <w:rsid w:val="002A6971"/>
    <w:rsid w:val="002B515E"/>
    <w:rsid w:val="002C3EE8"/>
    <w:rsid w:val="002C5729"/>
    <w:rsid w:val="002C78D2"/>
    <w:rsid w:val="002D0DCE"/>
    <w:rsid w:val="002D14D3"/>
    <w:rsid w:val="002D60BD"/>
    <w:rsid w:val="002E1EC0"/>
    <w:rsid w:val="002E22A7"/>
    <w:rsid w:val="002E6EB5"/>
    <w:rsid w:val="002F09C0"/>
    <w:rsid w:val="002F7ABE"/>
    <w:rsid w:val="003025E5"/>
    <w:rsid w:val="00306F03"/>
    <w:rsid w:val="00311C6E"/>
    <w:rsid w:val="00314515"/>
    <w:rsid w:val="00322D50"/>
    <w:rsid w:val="0032736A"/>
    <w:rsid w:val="00330B49"/>
    <w:rsid w:val="00332219"/>
    <w:rsid w:val="00335F97"/>
    <w:rsid w:val="00344583"/>
    <w:rsid w:val="0035383E"/>
    <w:rsid w:val="00353D5D"/>
    <w:rsid w:val="00354655"/>
    <w:rsid w:val="00365718"/>
    <w:rsid w:val="00366E00"/>
    <w:rsid w:val="00373E16"/>
    <w:rsid w:val="00374575"/>
    <w:rsid w:val="00375ECA"/>
    <w:rsid w:val="003838A6"/>
    <w:rsid w:val="00385795"/>
    <w:rsid w:val="00393CDA"/>
    <w:rsid w:val="00393EBD"/>
    <w:rsid w:val="00395ACC"/>
    <w:rsid w:val="003A16FE"/>
    <w:rsid w:val="003B1C71"/>
    <w:rsid w:val="003B2A0A"/>
    <w:rsid w:val="003B544E"/>
    <w:rsid w:val="003D0AC5"/>
    <w:rsid w:val="003D7589"/>
    <w:rsid w:val="003D7F81"/>
    <w:rsid w:val="003E26B7"/>
    <w:rsid w:val="003E5320"/>
    <w:rsid w:val="003F066B"/>
    <w:rsid w:val="003F1A25"/>
    <w:rsid w:val="003F2C43"/>
    <w:rsid w:val="00400067"/>
    <w:rsid w:val="00411C51"/>
    <w:rsid w:val="00416D85"/>
    <w:rsid w:val="00420D31"/>
    <w:rsid w:val="004213C4"/>
    <w:rsid w:val="00425EC7"/>
    <w:rsid w:val="00430D26"/>
    <w:rsid w:val="00441264"/>
    <w:rsid w:val="004414BD"/>
    <w:rsid w:val="00444EE2"/>
    <w:rsid w:val="00445919"/>
    <w:rsid w:val="00445B6E"/>
    <w:rsid w:val="00446E2D"/>
    <w:rsid w:val="004517E2"/>
    <w:rsid w:val="004638B5"/>
    <w:rsid w:val="00466744"/>
    <w:rsid w:val="00471159"/>
    <w:rsid w:val="00474EF1"/>
    <w:rsid w:val="00481820"/>
    <w:rsid w:val="004A1E15"/>
    <w:rsid w:val="004A78CD"/>
    <w:rsid w:val="004C3146"/>
    <w:rsid w:val="004D0441"/>
    <w:rsid w:val="004D4A51"/>
    <w:rsid w:val="004F1898"/>
    <w:rsid w:val="0050354D"/>
    <w:rsid w:val="00504FE6"/>
    <w:rsid w:val="00505A2B"/>
    <w:rsid w:val="0050610B"/>
    <w:rsid w:val="0051392C"/>
    <w:rsid w:val="00514D92"/>
    <w:rsid w:val="0051625A"/>
    <w:rsid w:val="00531C08"/>
    <w:rsid w:val="005343BB"/>
    <w:rsid w:val="00534667"/>
    <w:rsid w:val="0054027E"/>
    <w:rsid w:val="005438C6"/>
    <w:rsid w:val="00550604"/>
    <w:rsid w:val="00553808"/>
    <w:rsid w:val="00555ED1"/>
    <w:rsid w:val="005579F9"/>
    <w:rsid w:val="0056441A"/>
    <w:rsid w:val="00565806"/>
    <w:rsid w:val="00572685"/>
    <w:rsid w:val="00577C98"/>
    <w:rsid w:val="00581030"/>
    <w:rsid w:val="00586E3C"/>
    <w:rsid w:val="00597327"/>
    <w:rsid w:val="005975F9"/>
    <w:rsid w:val="005A09C3"/>
    <w:rsid w:val="005A1B20"/>
    <w:rsid w:val="005A3389"/>
    <w:rsid w:val="005C02D2"/>
    <w:rsid w:val="005C3C97"/>
    <w:rsid w:val="005C4D58"/>
    <w:rsid w:val="005D22F5"/>
    <w:rsid w:val="005D6BD8"/>
    <w:rsid w:val="005E6E11"/>
    <w:rsid w:val="005F68EA"/>
    <w:rsid w:val="00603B31"/>
    <w:rsid w:val="00607E9F"/>
    <w:rsid w:val="00612640"/>
    <w:rsid w:val="00612DDA"/>
    <w:rsid w:val="00615891"/>
    <w:rsid w:val="00616010"/>
    <w:rsid w:val="00616865"/>
    <w:rsid w:val="006170C5"/>
    <w:rsid w:val="00630C14"/>
    <w:rsid w:val="0063301F"/>
    <w:rsid w:val="00633086"/>
    <w:rsid w:val="0063428E"/>
    <w:rsid w:val="00636CAF"/>
    <w:rsid w:val="00644EB3"/>
    <w:rsid w:val="00645F9C"/>
    <w:rsid w:val="00647A16"/>
    <w:rsid w:val="00650E43"/>
    <w:rsid w:val="0065330A"/>
    <w:rsid w:val="006717C3"/>
    <w:rsid w:val="00672C03"/>
    <w:rsid w:val="00673BF9"/>
    <w:rsid w:val="00675878"/>
    <w:rsid w:val="006778AF"/>
    <w:rsid w:val="00680791"/>
    <w:rsid w:val="00681704"/>
    <w:rsid w:val="00683AB3"/>
    <w:rsid w:val="00683C09"/>
    <w:rsid w:val="00687764"/>
    <w:rsid w:val="00690599"/>
    <w:rsid w:val="00693EF0"/>
    <w:rsid w:val="006957BC"/>
    <w:rsid w:val="00695DBC"/>
    <w:rsid w:val="006A763B"/>
    <w:rsid w:val="006A7A57"/>
    <w:rsid w:val="006B0F76"/>
    <w:rsid w:val="006B1B6B"/>
    <w:rsid w:val="006B4CFC"/>
    <w:rsid w:val="006B7A0F"/>
    <w:rsid w:val="006D5A15"/>
    <w:rsid w:val="006D7FC0"/>
    <w:rsid w:val="006E70D4"/>
    <w:rsid w:val="006E77D0"/>
    <w:rsid w:val="006F3530"/>
    <w:rsid w:val="006F44B9"/>
    <w:rsid w:val="006F56BA"/>
    <w:rsid w:val="0070157E"/>
    <w:rsid w:val="00706B14"/>
    <w:rsid w:val="0071103C"/>
    <w:rsid w:val="00715DCD"/>
    <w:rsid w:val="007266A5"/>
    <w:rsid w:val="00737220"/>
    <w:rsid w:val="00741232"/>
    <w:rsid w:val="00741706"/>
    <w:rsid w:val="0074200C"/>
    <w:rsid w:val="00745F8C"/>
    <w:rsid w:val="00746083"/>
    <w:rsid w:val="00753425"/>
    <w:rsid w:val="00753957"/>
    <w:rsid w:val="007618E3"/>
    <w:rsid w:val="00761C9F"/>
    <w:rsid w:val="00762E53"/>
    <w:rsid w:val="007724E3"/>
    <w:rsid w:val="00773BD0"/>
    <w:rsid w:val="0077427E"/>
    <w:rsid w:val="00774EB4"/>
    <w:rsid w:val="00776678"/>
    <w:rsid w:val="0078586D"/>
    <w:rsid w:val="00792416"/>
    <w:rsid w:val="0079317C"/>
    <w:rsid w:val="007A65E1"/>
    <w:rsid w:val="007B1E23"/>
    <w:rsid w:val="007B4660"/>
    <w:rsid w:val="007B68A8"/>
    <w:rsid w:val="007B7A13"/>
    <w:rsid w:val="007C02CA"/>
    <w:rsid w:val="007C2DF4"/>
    <w:rsid w:val="007C6855"/>
    <w:rsid w:val="007D3121"/>
    <w:rsid w:val="007D6098"/>
    <w:rsid w:val="007F5459"/>
    <w:rsid w:val="00800A23"/>
    <w:rsid w:val="00801A3C"/>
    <w:rsid w:val="0080298E"/>
    <w:rsid w:val="008077B9"/>
    <w:rsid w:val="00810DB7"/>
    <w:rsid w:val="00814ECD"/>
    <w:rsid w:val="00822CC8"/>
    <w:rsid w:val="0082613F"/>
    <w:rsid w:val="00826404"/>
    <w:rsid w:val="0083071B"/>
    <w:rsid w:val="00831821"/>
    <w:rsid w:val="00840509"/>
    <w:rsid w:val="00841D63"/>
    <w:rsid w:val="0084791B"/>
    <w:rsid w:val="008556E9"/>
    <w:rsid w:val="00856A26"/>
    <w:rsid w:val="00856F17"/>
    <w:rsid w:val="00860F29"/>
    <w:rsid w:val="00866904"/>
    <w:rsid w:val="00866934"/>
    <w:rsid w:val="00877FD1"/>
    <w:rsid w:val="00880758"/>
    <w:rsid w:val="008807DC"/>
    <w:rsid w:val="008914C5"/>
    <w:rsid w:val="00893BEE"/>
    <w:rsid w:val="008954BB"/>
    <w:rsid w:val="008A5AD4"/>
    <w:rsid w:val="008A7F08"/>
    <w:rsid w:val="008B0475"/>
    <w:rsid w:val="008B158A"/>
    <w:rsid w:val="008B1ABE"/>
    <w:rsid w:val="008C470D"/>
    <w:rsid w:val="008C52CB"/>
    <w:rsid w:val="008D6B86"/>
    <w:rsid w:val="008E7636"/>
    <w:rsid w:val="008F4D89"/>
    <w:rsid w:val="00900116"/>
    <w:rsid w:val="009063F8"/>
    <w:rsid w:val="009170C4"/>
    <w:rsid w:val="0091710D"/>
    <w:rsid w:val="00936E7A"/>
    <w:rsid w:val="00937F01"/>
    <w:rsid w:val="00941B24"/>
    <w:rsid w:val="00941D47"/>
    <w:rsid w:val="009424FC"/>
    <w:rsid w:val="00946896"/>
    <w:rsid w:val="00952AA3"/>
    <w:rsid w:val="00955771"/>
    <w:rsid w:val="00960748"/>
    <w:rsid w:val="00965F60"/>
    <w:rsid w:val="00970B5C"/>
    <w:rsid w:val="00980BCB"/>
    <w:rsid w:val="00983138"/>
    <w:rsid w:val="00985206"/>
    <w:rsid w:val="00990F37"/>
    <w:rsid w:val="0099213C"/>
    <w:rsid w:val="00993383"/>
    <w:rsid w:val="00994E1A"/>
    <w:rsid w:val="009A1837"/>
    <w:rsid w:val="009A5C11"/>
    <w:rsid w:val="009A7383"/>
    <w:rsid w:val="009B0569"/>
    <w:rsid w:val="009B69CB"/>
    <w:rsid w:val="009C0461"/>
    <w:rsid w:val="009C1CAC"/>
    <w:rsid w:val="009C5EA5"/>
    <w:rsid w:val="009D1A0C"/>
    <w:rsid w:val="009D2A8B"/>
    <w:rsid w:val="009D51C8"/>
    <w:rsid w:val="009D6E54"/>
    <w:rsid w:val="009D7CA0"/>
    <w:rsid w:val="009E640E"/>
    <w:rsid w:val="00A05C90"/>
    <w:rsid w:val="00A06884"/>
    <w:rsid w:val="00A1008D"/>
    <w:rsid w:val="00A151CB"/>
    <w:rsid w:val="00A1530E"/>
    <w:rsid w:val="00A16AC1"/>
    <w:rsid w:val="00A213E8"/>
    <w:rsid w:val="00A2330B"/>
    <w:rsid w:val="00A253B6"/>
    <w:rsid w:val="00A34A72"/>
    <w:rsid w:val="00A42285"/>
    <w:rsid w:val="00A42352"/>
    <w:rsid w:val="00A43A0A"/>
    <w:rsid w:val="00A534BF"/>
    <w:rsid w:val="00A571E6"/>
    <w:rsid w:val="00A62F37"/>
    <w:rsid w:val="00A662CD"/>
    <w:rsid w:val="00A66C5E"/>
    <w:rsid w:val="00A703AF"/>
    <w:rsid w:val="00A70D4B"/>
    <w:rsid w:val="00A71DF1"/>
    <w:rsid w:val="00A862A6"/>
    <w:rsid w:val="00A903A6"/>
    <w:rsid w:val="00A926DE"/>
    <w:rsid w:val="00A92A07"/>
    <w:rsid w:val="00AA23FD"/>
    <w:rsid w:val="00AA7726"/>
    <w:rsid w:val="00AB00C9"/>
    <w:rsid w:val="00AC3A9B"/>
    <w:rsid w:val="00AC5024"/>
    <w:rsid w:val="00AC6255"/>
    <w:rsid w:val="00AD2174"/>
    <w:rsid w:val="00AD288D"/>
    <w:rsid w:val="00AE43C4"/>
    <w:rsid w:val="00AF4105"/>
    <w:rsid w:val="00B03E92"/>
    <w:rsid w:val="00B06FDE"/>
    <w:rsid w:val="00B07FFE"/>
    <w:rsid w:val="00B315D5"/>
    <w:rsid w:val="00B33112"/>
    <w:rsid w:val="00B333F4"/>
    <w:rsid w:val="00B36B2C"/>
    <w:rsid w:val="00B41812"/>
    <w:rsid w:val="00B4260B"/>
    <w:rsid w:val="00B5129E"/>
    <w:rsid w:val="00B5174A"/>
    <w:rsid w:val="00B66414"/>
    <w:rsid w:val="00B71104"/>
    <w:rsid w:val="00B733D8"/>
    <w:rsid w:val="00B7405A"/>
    <w:rsid w:val="00B86CC0"/>
    <w:rsid w:val="00B874BC"/>
    <w:rsid w:val="00B92EEC"/>
    <w:rsid w:val="00B93ACA"/>
    <w:rsid w:val="00B93B52"/>
    <w:rsid w:val="00BA07A6"/>
    <w:rsid w:val="00BA0FF3"/>
    <w:rsid w:val="00BA4D40"/>
    <w:rsid w:val="00BA500C"/>
    <w:rsid w:val="00BA50A4"/>
    <w:rsid w:val="00BB0477"/>
    <w:rsid w:val="00BB1067"/>
    <w:rsid w:val="00BB3352"/>
    <w:rsid w:val="00BB33B9"/>
    <w:rsid w:val="00BB3655"/>
    <w:rsid w:val="00BC303C"/>
    <w:rsid w:val="00BD607C"/>
    <w:rsid w:val="00BE3958"/>
    <w:rsid w:val="00BE49EB"/>
    <w:rsid w:val="00BF2E2B"/>
    <w:rsid w:val="00BF512E"/>
    <w:rsid w:val="00C01D39"/>
    <w:rsid w:val="00C05F13"/>
    <w:rsid w:val="00C06E64"/>
    <w:rsid w:val="00C13EF3"/>
    <w:rsid w:val="00C15D6A"/>
    <w:rsid w:val="00C203ED"/>
    <w:rsid w:val="00C219A6"/>
    <w:rsid w:val="00C26864"/>
    <w:rsid w:val="00C303F3"/>
    <w:rsid w:val="00C312AD"/>
    <w:rsid w:val="00C41E57"/>
    <w:rsid w:val="00C44492"/>
    <w:rsid w:val="00C448E8"/>
    <w:rsid w:val="00C44F1E"/>
    <w:rsid w:val="00C51CA3"/>
    <w:rsid w:val="00C54D25"/>
    <w:rsid w:val="00C56BEF"/>
    <w:rsid w:val="00C61DFC"/>
    <w:rsid w:val="00C62C96"/>
    <w:rsid w:val="00C6529F"/>
    <w:rsid w:val="00C65B17"/>
    <w:rsid w:val="00C75263"/>
    <w:rsid w:val="00C760A3"/>
    <w:rsid w:val="00C82AB5"/>
    <w:rsid w:val="00C87B30"/>
    <w:rsid w:val="00C90D40"/>
    <w:rsid w:val="00C937E3"/>
    <w:rsid w:val="00C95108"/>
    <w:rsid w:val="00C96FAE"/>
    <w:rsid w:val="00C97349"/>
    <w:rsid w:val="00CA37E7"/>
    <w:rsid w:val="00CA53DE"/>
    <w:rsid w:val="00CB2C2E"/>
    <w:rsid w:val="00CC6DFA"/>
    <w:rsid w:val="00CD54E8"/>
    <w:rsid w:val="00CD554B"/>
    <w:rsid w:val="00CE2A9F"/>
    <w:rsid w:val="00CF20CA"/>
    <w:rsid w:val="00D05720"/>
    <w:rsid w:val="00D07810"/>
    <w:rsid w:val="00D11CED"/>
    <w:rsid w:val="00D261C2"/>
    <w:rsid w:val="00D3237C"/>
    <w:rsid w:val="00D32420"/>
    <w:rsid w:val="00D451CA"/>
    <w:rsid w:val="00D47FC7"/>
    <w:rsid w:val="00D54A08"/>
    <w:rsid w:val="00D7333C"/>
    <w:rsid w:val="00D73603"/>
    <w:rsid w:val="00D73802"/>
    <w:rsid w:val="00D81E08"/>
    <w:rsid w:val="00D87AB4"/>
    <w:rsid w:val="00DA0C3E"/>
    <w:rsid w:val="00DA1041"/>
    <w:rsid w:val="00DA2C45"/>
    <w:rsid w:val="00DA3870"/>
    <w:rsid w:val="00DA4BCC"/>
    <w:rsid w:val="00DA4FDE"/>
    <w:rsid w:val="00DA5593"/>
    <w:rsid w:val="00DB57CA"/>
    <w:rsid w:val="00DB6340"/>
    <w:rsid w:val="00DB7700"/>
    <w:rsid w:val="00DC00F3"/>
    <w:rsid w:val="00DC14B8"/>
    <w:rsid w:val="00DC6355"/>
    <w:rsid w:val="00DD581A"/>
    <w:rsid w:val="00DD6371"/>
    <w:rsid w:val="00DD6E99"/>
    <w:rsid w:val="00E071C6"/>
    <w:rsid w:val="00E078E2"/>
    <w:rsid w:val="00E1369F"/>
    <w:rsid w:val="00E169EB"/>
    <w:rsid w:val="00E24624"/>
    <w:rsid w:val="00E26C02"/>
    <w:rsid w:val="00E332E7"/>
    <w:rsid w:val="00E436A4"/>
    <w:rsid w:val="00E51DD8"/>
    <w:rsid w:val="00E542B0"/>
    <w:rsid w:val="00E60735"/>
    <w:rsid w:val="00E6444A"/>
    <w:rsid w:val="00E6657C"/>
    <w:rsid w:val="00E704B3"/>
    <w:rsid w:val="00E72C43"/>
    <w:rsid w:val="00E735AD"/>
    <w:rsid w:val="00E821C5"/>
    <w:rsid w:val="00E964FB"/>
    <w:rsid w:val="00E972DA"/>
    <w:rsid w:val="00EA17C0"/>
    <w:rsid w:val="00EA27F7"/>
    <w:rsid w:val="00EA558E"/>
    <w:rsid w:val="00EB32FB"/>
    <w:rsid w:val="00EB77D4"/>
    <w:rsid w:val="00EC0E36"/>
    <w:rsid w:val="00EC377C"/>
    <w:rsid w:val="00EC4B2E"/>
    <w:rsid w:val="00ED0C51"/>
    <w:rsid w:val="00EE0460"/>
    <w:rsid w:val="00EE0C27"/>
    <w:rsid w:val="00EE0FB0"/>
    <w:rsid w:val="00EE4819"/>
    <w:rsid w:val="00EE7540"/>
    <w:rsid w:val="00EF12F8"/>
    <w:rsid w:val="00F001AF"/>
    <w:rsid w:val="00F03889"/>
    <w:rsid w:val="00F04454"/>
    <w:rsid w:val="00F07D94"/>
    <w:rsid w:val="00F11C89"/>
    <w:rsid w:val="00F139B3"/>
    <w:rsid w:val="00F1711F"/>
    <w:rsid w:val="00F31704"/>
    <w:rsid w:val="00F3355A"/>
    <w:rsid w:val="00F356EB"/>
    <w:rsid w:val="00F3739B"/>
    <w:rsid w:val="00F44F9E"/>
    <w:rsid w:val="00F45FAC"/>
    <w:rsid w:val="00F51CDD"/>
    <w:rsid w:val="00F576DD"/>
    <w:rsid w:val="00F60F5F"/>
    <w:rsid w:val="00F6273C"/>
    <w:rsid w:val="00F650D8"/>
    <w:rsid w:val="00F70439"/>
    <w:rsid w:val="00F70F75"/>
    <w:rsid w:val="00F733B4"/>
    <w:rsid w:val="00F803FF"/>
    <w:rsid w:val="00F81B28"/>
    <w:rsid w:val="00F8257F"/>
    <w:rsid w:val="00F857B9"/>
    <w:rsid w:val="00F95B4A"/>
    <w:rsid w:val="00F9740D"/>
    <w:rsid w:val="00FA68B9"/>
    <w:rsid w:val="00FB1193"/>
    <w:rsid w:val="00FB528A"/>
    <w:rsid w:val="00FB7A08"/>
    <w:rsid w:val="00FC08AA"/>
    <w:rsid w:val="00FC1A89"/>
    <w:rsid w:val="00FC6EAB"/>
    <w:rsid w:val="00FC7C2B"/>
    <w:rsid w:val="00FD23AB"/>
    <w:rsid w:val="00FD3395"/>
    <w:rsid w:val="00FD341B"/>
    <w:rsid w:val="00FD6529"/>
    <w:rsid w:val="00FE12F6"/>
    <w:rsid w:val="00FE21AD"/>
    <w:rsid w:val="00FE34F8"/>
    <w:rsid w:val="00FF0003"/>
    <w:rsid w:val="00FF494C"/>
    <w:rsid w:val="021727D9"/>
    <w:rsid w:val="31CA8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2F83"/>
  <w15:chartTrackingRefBased/>
  <w15:docId w15:val="{8126598C-9B1E-47DA-A43A-9F14B73C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CE2A9F"/>
    <w:pPr>
      <w:widowControl w:val="0"/>
      <w:autoSpaceDE w:val="0"/>
      <w:autoSpaceDN w:val="0"/>
      <w:spacing w:after="0" w:line="240" w:lineRule="auto"/>
    </w:pPr>
    <w:rPr>
      <w:rFonts w:ascii="Arial" w:hAnsi="Arial" w:eastAsia="Arial" w:cs="Arial"/>
      <w:lang w:eastAsia="es-ES" w:bidi="es-ES"/>
    </w:rPr>
  </w:style>
  <w:style w:type="paragraph" w:styleId="Ttulo1">
    <w:name w:val="heading 1"/>
    <w:basedOn w:val="Normal"/>
    <w:link w:val="Ttulo1Car"/>
    <w:uiPriority w:val="1"/>
    <w:qFormat/>
    <w:rsid w:val="00CE2A9F"/>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1"/>
    <w:rsid w:val="00CE2A9F"/>
    <w:rPr>
      <w:rFonts w:ascii="Arial" w:hAnsi="Arial" w:eastAsia="Arial" w:cs="Arial"/>
      <w:b/>
      <w:bCs/>
      <w:lang w:eastAsia="es-ES" w:bidi="es-ES"/>
    </w:rPr>
  </w:style>
  <w:style w:type="paragraph" w:styleId="Textoindependiente">
    <w:name w:val="Body Text"/>
    <w:basedOn w:val="Normal"/>
    <w:link w:val="TextoindependienteCar"/>
    <w:uiPriority w:val="1"/>
    <w:qFormat/>
    <w:rsid w:val="00CE2A9F"/>
  </w:style>
  <w:style w:type="character" w:styleId="TextoindependienteCar" w:customStyle="1">
    <w:name w:val="Texto independiente Car"/>
    <w:basedOn w:val="Fuentedeprrafopredeter"/>
    <w:link w:val="Textoindependiente"/>
    <w:uiPriority w:val="1"/>
    <w:rsid w:val="00CE2A9F"/>
    <w:rPr>
      <w:rFonts w:ascii="Arial" w:hAnsi="Arial" w:eastAsia="Arial" w:cs="Arial"/>
      <w:lang w:eastAsia="es-ES" w:bidi="es-ES"/>
    </w:rPr>
  </w:style>
  <w:style w:type="paragraph" w:styleId="Prrafodelista">
    <w:name w:val="List Paragraph"/>
    <w:basedOn w:val="Normal"/>
    <w:uiPriority w:val="1"/>
    <w:qFormat/>
    <w:rsid w:val="00CE2A9F"/>
    <w:pPr>
      <w:ind w:left="820" w:hanging="361"/>
    </w:p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CE2A9F"/>
    <w:rPr>
      <w:sz w:val="20"/>
      <w:szCs w:val="20"/>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CE2A9F"/>
    <w:rPr>
      <w:rFonts w:ascii="Arial" w:hAnsi="Arial" w:eastAsia="Arial" w:cs="Arial"/>
      <w:sz w:val="20"/>
      <w:szCs w:val="20"/>
      <w:lang w:eastAsia="es-ES" w:bidi="es-ES"/>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CE2A9F"/>
    <w:rPr>
      <w:vertAlign w:val="superscript"/>
    </w:rPr>
  </w:style>
  <w:style w:type="paragraph" w:styleId="Encabezado">
    <w:name w:val="header"/>
    <w:basedOn w:val="Normal"/>
    <w:link w:val="EncabezadoCar"/>
    <w:uiPriority w:val="99"/>
    <w:unhideWhenUsed/>
    <w:rsid w:val="00227FAA"/>
    <w:pPr>
      <w:tabs>
        <w:tab w:val="center" w:pos="4252"/>
        <w:tab w:val="right" w:pos="8504"/>
      </w:tabs>
    </w:pPr>
  </w:style>
  <w:style w:type="character" w:styleId="EncabezadoCar" w:customStyle="1">
    <w:name w:val="Encabezado Car"/>
    <w:basedOn w:val="Fuentedeprrafopredeter"/>
    <w:link w:val="Encabezado"/>
    <w:uiPriority w:val="99"/>
    <w:rsid w:val="00227FAA"/>
    <w:rPr>
      <w:rFonts w:ascii="Arial" w:hAnsi="Arial" w:eastAsia="Arial" w:cs="Arial"/>
      <w:lang w:eastAsia="es-ES" w:bidi="es-ES"/>
    </w:rPr>
  </w:style>
  <w:style w:type="paragraph" w:styleId="Piedepgina">
    <w:name w:val="footer"/>
    <w:basedOn w:val="Normal"/>
    <w:link w:val="PiedepginaCar"/>
    <w:uiPriority w:val="99"/>
    <w:unhideWhenUsed/>
    <w:rsid w:val="00227FAA"/>
    <w:pPr>
      <w:tabs>
        <w:tab w:val="center" w:pos="4252"/>
        <w:tab w:val="right" w:pos="8504"/>
      </w:tabs>
    </w:pPr>
  </w:style>
  <w:style w:type="character" w:styleId="PiedepginaCar" w:customStyle="1">
    <w:name w:val="Pie de página Car"/>
    <w:basedOn w:val="Fuentedeprrafopredeter"/>
    <w:link w:val="Piedepgina"/>
    <w:uiPriority w:val="99"/>
    <w:rsid w:val="00227FAA"/>
    <w:rPr>
      <w:rFonts w:ascii="Arial" w:hAnsi="Arial" w:eastAsia="Arial" w:cs="Arial"/>
      <w:lang w:eastAsia="es-ES" w:bidi="es-ES"/>
    </w:rPr>
  </w:style>
  <w:style w:type="paragraph" w:styleId="Appelnotedebasde" w:customStyle="1">
    <w:name w:val="Appel note de bas de..."/>
    <w:basedOn w:val="Normal"/>
    <w:link w:val="Refdenotaalpie"/>
    <w:uiPriority w:val="99"/>
    <w:rsid w:val="003838A6"/>
    <w:pPr>
      <w:widowControl/>
      <w:autoSpaceDE/>
      <w:autoSpaceDN/>
      <w:spacing w:after="160" w:line="240" w:lineRule="exact"/>
      <w:jc w:val="both"/>
    </w:pPr>
    <w:rPr>
      <w:rFonts w:asciiTheme="minorHAnsi" w:hAnsiTheme="minorHAnsi" w:eastAsiaTheme="minorHAnsi" w:cstheme="minorBidi"/>
      <w:vertAlign w:val="superscript"/>
      <w:lang w:eastAsia="en-US" w:bidi="ar-SA"/>
    </w:rPr>
  </w:style>
  <w:style w:type="table" w:styleId="Tablaconcuadrcula">
    <w:name w:val="Table Grid"/>
    <w:basedOn w:val="Tablanormal"/>
    <w:uiPriority w:val="59"/>
    <w:rsid w:val="00E436A4"/>
    <w:pPr>
      <w:spacing w:after="0" w:line="240" w:lineRule="auto"/>
      <w:jc w:val="both"/>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 w:customStyle="1">
    <w:name w:val="Tabla con cuadrícula1"/>
    <w:basedOn w:val="Tablanormal"/>
    <w:next w:val="Tablaconcuadrcula"/>
    <w:uiPriority w:val="39"/>
    <w:rsid w:val="00C87B30"/>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5162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51625A"/>
    <w:pPr>
      <w:spacing w:line="249" w:lineRule="exact"/>
      <w:ind w:left="110"/>
    </w:pPr>
    <w:rPr>
      <w:lang w:eastAsia="en-US" w:bidi="ar-SA"/>
    </w:rPr>
  </w:style>
  <w:style w:type="character" w:styleId="Nmerodepgina">
    <w:name w:val="page number"/>
    <w:basedOn w:val="Fuentedeprrafopredeter"/>
    <w:rsid w:val="005A1B20"/>
  </w:style>
  <w:style w:type="character" w:styleId="Refdecomentario">
    <w:name w:val="annotation reference"/>
    <w:basedOn w:val="Fuentedeprrafopredeter"/>
    <w:uiPriority w:val="99"/>
    <w:semiHidden/>
    <w:unhideWhenUsed/>
    <w:rsid w:val="00F733B4"/>
    <w:rPr>
      <w:sz w:val="16"/>
      <w:szCs w:val="16"/>
    </w:rPr>
  </w:style>
  <w:style w:type="paragraph" w:styleId="Textocomentario">
    <w:name w:val="annotation text"/>
    <w:basedOn w:val="Normal"/>
    <w:link w:val="TextocomentarioCar"/>
    <w:uiPriority w:val="99"/>
    <w:semiHidden/>
    <w:unhideWhenUsed/>
    <w:rsid w:val="00F733B4"/>
    <w:rPr>
      <w:sz w:val="20"/>
      <w:szCs w:val="20"/>
    </w:rPr>
  </w:style>
  <w:style w:type="character" w:styleId="TextocomentarioCar" w:customStyle="1">
    <w:name w:val="Texto comentario Car"/>
    <w:basedOn w:val="Fuentedeprrafopredeter"/>
    <w:link w:val="Textocomentario"/>
    <w:uiPriority w:val="99"/>
    <w:semiHidden/>
    <w:rsid w:val="00F733B4"/>
    <w:rPr>
      <w:rFonts w:ascii="Arial" w:hAnsi="Arial" w:eastAsia="Arial" w:cs="Arial"/>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F733B4"/>
    <w:rPr>
      <w:b/>
      <w:bCs/>
    </w:rPr>
  </w:style>
  <w:style w:type="character" w:styleId="AsuntodelcomentarioCar" w:customStyle="1">
    <w:name w:val="Asunto del comentario Car"/>
    <w:basedOn w:val="TextocomentarioCar"/>
    <w:link w:val="Asuntodelcomentario"/>
    <w:uiPriority w:val="99"/>
    <w:semiHidden/>
    <w:rsid w:val="00F733B4"/>
    <w:rPr>
      <w:rFonts w:ascii="Arial" w:hAnsi="Arial" w:eastAsia="Arial" w:cs="Arial"/>
      <w:b/>
      <w:bCs/>
      <w:sz w:val="20"/>
      <w:szCs w:val="20"/>
      <w:lang w:eastAsia="es-ES" w:bidi="es-ES"/>
    </w:rPr>
  </w:style>
  <w:style w:type="character" w:styleId="Hipervnculo">
    <w:name w:val="Hyperlink"/>
    <w:basedOn w:val="Fuentedeprrafopredeter"/>
    <w:uiPriority w:val="99"/>
    <w:unhideWhenUsed/>
    <w:rsid w:val="00BA500C"/>
    <w:rPr>
      <w:color w:val="0563C1" w:themeColor="hyperlink"/>
      <w:u w:val="single"/>
    </w:rPr>
  </w:style>
  <w:style w:type="character" w:styleId="Mencinsinresolver">
    <w:name w:val="Unresolved Mention"/>
    <w:basedOn w:val="Fuentedeprrafopredeter"/>
    <w:uiPriority w:val="99"/>
    <w:semiHidden/>
    <w:unhideWhenUsed/>
    <w:rsid w:val="00BA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9631">
      <w:bodyDiv w:val="1"/>
      <w:marLeft w:val="0"/>
      <w:marRight w:val="0"/>
      <w:marTop w:val="0"/>
      <w:marBottom w:val="0"/>
      <w:divBdr>
        <w:top w:val="none" w:sz="0" w:space="0" w:color="auto"/>
        <w:left w:val="none" w:sz="0" w:space="0" w:color="auto"/>
        <w:bottom w:val="none" w:sz="0" w:space="0" w:color="auto"/>
        <w:right w:val="none" w:sz="0" w:space="0" w:color="auto"/>
      </w:divBdr>
    </w:div>
    <w:div w:id="13442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vistas.javeriana.edu.co/files-articulos/VJ/139%20(2019-II)/82562148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F1C12FF-A586-45C3-A344-EED3DD9DB906}">
  <ds:schemaRefs>
    <ds:schemaRef ds:uri="http://schemas.openxmlformats.org/officeDocument/2006/bibliography"/>
  </ds:schemaRefs>
</ds:datastoreItem>
</file>

<file path=customXml/itemProps2.xml><?xml version="1.0" encoding="utf-8"?>
<ds:datastoreItem xmlns:ds="http://schemas.openxmlformats.org/officeDocument/2006/customXml" ds:itemID="{E5EC8D43-FB8B-457E-B84C-1D74EA71C25E}"/>
</file>

<file path=customXml/itemProps3.xml><?xml version="1.0" encoding="utf-8"?>
<ds:datastoreItem xmlns:ds="http://schemas.openxmlformats.org/officeDocument/2006/customXml" ds:itemID="{62949400-35D7-45B6-958F-9BE76796D61C}"/>
</file>

<file path=customXml/itemProps4.xml><?xml version="1.0" encoding="utf-8"?>
<ds:datastoreItem xmlns:ds="http://schemas.openxmlformats.org/officeDocument/2006/customXml" ds:itemID="{95EE7DD1-A80D-46BB-8311-3B5AAC7CC0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personal</dc:creator>
  <keywords/>
  <dc:description/>
  <lastModifiedBy>Nasly Yeana Mosquera Rivas</lastModifiedBy>
  <revision>4</revision>
  <dcterms:created xsi:type="dcterms:W3CDTF">2021-09-02T17:55:00.0000000Z</dcterms:created>
  <dcterms:modified xsi:type="dcterms:W3CDTF">2021-09-06T12:46:56.3155215Z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